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30794" w14:textId="77777777" w:rsidR="00450556" w:rsidRDefault="002F27BC">
      <w:pPr>
        <w:spacing w:beforeLines="50" w:before="156" w:afterLines="50" w:after="156"/>
        <w:rPr>
          <w:bCs/>
          <w:szCs w:val="21"/>
        </w:rPr>
      </w:pPr>
      <w:r>
        <w:rPr>
          <w:rFonts w:hint="eastAsia"/>
          <w:bCs/>
          <w:szCs w:val="21"/>
        </w:rPr>
        <w:t>公司代码：</w:t>
      </w:r>
      <w:sdt>
        <w:sdtPr>
          <w:rPr>
            <w:rFonts w:hint="eastAsia"/>
            <w:bCs/>
            <w:szCs w:val="21"/>
          </w:rPr>
          <w:alias w:val="公司代码"/>
          <w:tag w:val="_GBC_704b7b03ea3f4a93b8d4655a09b2ff61"/>
          <w:id w:val="-55626118"/>
          <w:lock w:val="sdtLocked"/>
          <w:placeholder>
            <w:docPart w:val="GBC22222222222222222222222222222"/>
          </w:placeholder>
        </w:sdtPr>
        <w:sdtEndPr/>
        <w:sdtContent>
          <w:r>
            <w:rPr>
              <w:rFonts w:hint="eastAsia"/>
              <w:bCs/>
              <w:szCs w:val="21"/>
            </w:rPr>
            <w:t>600860</w:t>
          </w:r>
        </w:sdtContent>
      </w:sdt>
      <w:r>
        <w:rPr>
          <w:rFonts w:hint="eastAsia"/>
          <w:bCs/>
          <w:szCs w:val="21"/>
        </w:rPr>
        <w:t xml:space="preserve">                      　　　　　　　　　　公司简称：</w:t>
      </w:r>
      <w:sdt>
        <w:sdtPr>
          <w:rPr>
            <w:rFonts w:hint="eastAsia"/>
            <w:bCs/>
            <w:szCs w:val="21"/>
          </w:rPr>
          <w:alias w:val="公司简称"/>
          <w:tag w:val="_GBC_0384ae715a1e4b4894a29e4d27f5bef4"/>
          <w:id w:val="980266927"/>
          <w:lock w:val="sdtLocked"/>
          <w:placeholder>
            <w:docPart w:val="GBC22222222222222222222222222222"/>
          </w:placeholder>
        </w:sdtPr>
        <w:sdtEndPr/>
        <w:sdtContent>
          <w:r>
            <w:rPr>
              <w:rFonts w:hint="eastAsia"/>
              <w:bCs/>
              <w:szCs w:val="21"/>
            </w:rPr>
            <w:t>京城股份</w:t>
          </w:r>
        </w:sdtContent>
      </w:sdt>
    </w:p>
    <w:p w14:paraId="2CD6680C" w14:textId="77777777" w:rsidR="00450556" w:rsidRDefault="00450556"/>
    <w:p w14:paraId="38625F70" w14:textId="77777777" w:rsidR="00450556" w:rsidRDefault="00450556"/>
    <w:p w14:paraId="30F425AD" w14:textId="77777777" w:rsidR="00450556" w:rsidRDefault="00450556"/>
    <w:p w14:paraId="21563D75" w14:textId="77777777" w:rsidR="00450556" w:rsidRDefault="00450556"/>
    <w:p w14:paraId="048082A8" w14:textId="77777777" w:rsidR="00450556" w:rsidRDefault="00450556"/>
    <w:p w14:paraId="51210FA4" w14:textId="77777777" w:rsidR="00450556" w:rsidRPr="00233518" w:rsidRDefault="00450556"/>
    <w:p w14:paraId="7C61F1A6" w14:textId="77777777" w:rsidR="00450556" w:rsidRDefault="00450556"/>
    <w:p w14:paraId="54805CCC" w14:textId="77777777" w:rsidR="00450556" w:rsidRDefault="00B664AF">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ef279e32efc14c6bb521c62ff1f265ba"/>
          <w:id w:val="718469009"/>
          <w:lock w:val="sdtLocked"/>
          <w:placeholder>
            <w:docPart w:val="GBC22222222222222222222222222222"/>
          </w:placeholder>
          <w:dataBinding w:prefixMappings="xmlns:clcid-cgi='clcid-cgi'" w:xpath="/*/clcid-cgi:GongSiFaDingZhongWenMingCheng" w:storeItemID="{89EBAB94-44A0-46A2-B712-30D997D04A6D}"/>
          <w:text/>
        </w:sdtPr>
        <w:sdtEndPr/>
        <w:sdtContent>
          <w:r w:rsidR="002F27BC">
            <w:rPr>
              <w:rFonts w:ascii="黑体" w:eastAsia="黑体" w:hAnsi="黑体" w:hint="eastAsia"/>
              <w:b/>
              <w:bCs/>
              <w:color w:val="FF0000"/>
              <w:sz w:val="44"/>
              <w:szCs w:val="44"/>
            </w:rPr>
            <w:t>北京京城机电股份有限公司</w:t>
          </w:r>
        </w:sdtContent>
      </w:sdt>
    </w:p>
    <w:p w14:paraId="5B74E2BD" w14:textId="6B3561C8" w:rsidR="00450556" w:rsidRDefault="002F27BC">
      <w:pPr>
        <w:jc w:val="center"/>
        <w:rPr>
          <w:rFonts w:ascii="黑体" w:eastAsia="黑体" w:hAnsi="黑体"/>
          <w:b/>
          <w:bCs/>
          <w:color w:val="FF0000"/>
          <w:sz w:val="44"/>
          <w:szCs w:val="44"/>
        </w:rPr>
      </w:pPr>
      <w:r>
        <w:rPr>
          <w:rFonts w:ascii="黑体" w:eastAsia="黑体" w:hAnsi="黑体"/>
          <w:b/>
          <w:bCs/>
          <w:color w:val="FF0000"/>
          <w:sz w:val="44"/>
          <w:szCs w:val="44"/>
        </w:rPr>
        <w:t>2021</w:t>
      </w:r>
      <w:r>
        <w:rPr>
          <w:rFonts w:ascii="黑体" w:eastAsia="黑体" w:hAnsi="黑体" w:hint="eastAsia"/>
          <w:b/>
          <w:bCs/>
          <w:color w:val="FF0000"/>
          <w:sz w:val="44"/>
          <w:szCs w:val="44"/>
        </w:rPr>
        <w:t>年半年度报告</w:t>
      </w:r>
    </w:p>
    <w:p w14:paraId="2E2B4454" w14:textId="77777777" w:rsidR="00450556" w:rsidRDefault="00450556"/>
    <w:p w14:paraId="4CE911EC" w14:textId="77777777" w:rsidR="00450556" w:rsidRDefault="00450556"/>
    <w:p w14:paraId="2461688C" w14:textId="77777777" w:rsidR="00450556" w:rsidRDefault="00450556"/>
    <w:p w14:paraId="47F48638" w14:textId="77777777" w:rsidR="00450556" w:rsidRDefault="00450556"/>
    <w:p w14:paraId="0ACDF780" w14:textId="77777777" w:rsidR="00450556" w:rsidRDefault="00450556"/>
    <w:p w14:paraId="1A9CA538" w14:textId="77777777" w:rsidR="00450556" w:rsidRDefault="00450556"/>
    <w:p w14:paraId="067B2645" w14:textId="77777777" w:rsidR="00450556" w:rsidRDefault="00450556"/>
    <w:p w14:paraId="3D77DF23" w14:textId="77777777" w:rsidR="00450556" w:rsidRDefault="002F27BC">
      <w:r>
        <w:br w:type="page"/>
      </w:r>
    </w:p>
    <w:p w14:paraId="3AB812CA" w14:textId="77777777" w:rsidR="00450556" w:rsidRDefault="002F27BC">
      <w:pPr>
        <w:pStyle w:val="aff9"/>
        <w:spacing w:after="280" w:afterAutospacing="0"/>
        <w:jc w:val="center"/>
        <w:rPr>
          <w:b/>
          <w:bCs/>
          <w:sz w:val="28"/>
          <w:szCs w:val="28"/>
        </w:rPr>
      </w:pPr>
      <w:bookmarkStart w:id="0" w:name="_Toc387656034"/>
      <w:r>
        <w:rPr>
          <w:rFonts w:hint="eastAsia"/>
          <w:b/>
          <w:bCs/>
          <w:sz w:val="28"/>
          <w:szCs w:val="28"/>
        </w:rPr>
        <w:lastRenderedPageBreak/>
        <w:t>重要提示</w:t>
      </w:r>
      <w:bookmarkEnd w:id="0"/>
    </w:p>
    <w:sdt>
      <w:sdtPr>
        <w:rPr>
          <w:rFonts w:ascii="宋体" w:hAnsi="宋体" w:hint="eastAsia"/>
        </w:rPr>
        <w:alias w:val="选项模块:董事会及董事声明"/>
        <w:tag w:val="_SEC_d5e0e82062cc4f3cb5a290078031cbd7"/>
        <w:id w:val="-1031798269"/>
        <w:lock w:val="sdtLocked"/>
        <w:placeholder>
          <w:docPart w:val="GBC22222222222222222222222222222"/>
        </w:placeholder>
      </w:sdtPr>
      <w:sdtEndPr/>
      <w:sdtContent>
        <w:p w14:paraId="42B59764" w14:textId="77777777" w:rsidR="00450556" w:rsidRDefault="00B664AF" w:rsidP="004F686E">
          <w:pPr>
            <w:pStyle w:val="2"/>
            <w:numPr>
              <w:ilvl w:val="0"/>
              <w:numId w:val="1"/>
            </w:numPr>
            <w:tabs>
              <w:tab w:val="left" w:pos="434"/>
            </w:tabs>
            <w:spacing w:before="0" w:after="0" w:line="360" w:lineRule="auto"/>
            <w:ind w:left="369" w:hangingChars="175" w:hanging="369"/>
            <w:rPr>
              <w:rFonts w:ascii="宋体" w:hAnsi="宋体"/>
            </w:rPr>
          </w:pPr>
          <w:sdt>
            <w:sdtPr>
              <w:rPr>
                <w:rFonts w:ascii="宋体" w:hAnsi="宋体" w:hint="eastAsia"/>
              </w:rPr>
              <w:alias w:val="董事会及董事声明"/>
              <w:tag w:val="_GBC_6c6da163383e4e4c92758ff24076a138"/>
              <w:id w:val="-544911985"/>
              <w:lock w:val="sdtLocked"/>
              <w:placeholder>
                <w:docPart w:val="GBC22222222222222222222222222222"/>
              </w:placeholder>
            </w:sdtPr>
            <w:sdtEndPr/>
            <w:sdtContent>
              <w:r w:rsidR="002F27BC">
                <w:rPr>
                  <w:rFonts w:ascii="宋体" w:hAnsi="宋体" w:cs="宋体"/>
                  <w:bCs w:val="0"/>
                </w:rPr>
                <w:t>本公司董事会、监事会及董事、监事、高级管理人员保证</w:t>
              </w:r>
              <w:r w:rsidR="002F27BC">
                <w:rPr>
                  <w:rFonts w:ascii="宋体" w:hAnsi="宋体" w:cs="宋体" w:hint="eastAsia"/>
                  <w:bCs w:val="0"/>
                </w:rPr>
                <w:t>半</w:t>
              </w:r>
              <w:r w:rsidR="002F27BC">
                <w:rPr>
                  <w:rFonts w:ascii="宋体" w:hAnsi="宋体" w:cs="宋体"/>
                  <w:bCs w:val="0"/>
                </w:rPr>
                <w:t>年度报告内容的真实、准确、完整，不存在虚假记载、误导性陈述或重大遗漏，并承担个别和连带的法律责任。</w:t>
              </w:r>
            </w:sdtContent>
          </w:sdt>
        </w:p>
      </w:sdtContent>
    </w:sdt>
    <w:p w14:paraId="4B7DA028" w14:textId="08B60E39" w:rsidR="00450556" w:rsidRDefault="00450556"/>
    <w:p w14:paraId="24F68175" w14:textId="77777777" w:rsidR="00450556" w:rsidRDefault="00450556"/>
    <w:sdt>
      <w:sdtPr>
        <w:rPr>
          <w:rFonts w:ascii="宋体" w:hAnsi="宋体" w:cs="宋体" w:hint="eastAsia"/>
          <w:b w:val="0"/>
          <w:bCs w:val="0"/>
          <w:kern w:val="0"/>
          <w:sz w:val="24"/>
          <w:szCs w:val="22"/>
        </w:rPr>
        <w:alias w:val="选项模块:公司全体董事出席董事会会议。"/>
        <w:tag w:val="_GBC_1b1325bf1ae840869be71054a10ad268"/>
        <w:id w:val="-362670295"/>
        <w:lock w:val="sdtLocked"/>
        <w:placeholder>
          <w:docPart w:val="GBC22222222222222222222222222222"/>
        </w:placeholder>
      </w:sdtPr>
      <w:sdtEndPr>
        <w:rPr>
          <w:rFonts w:hint="default"/>
          <w:sz w:val="21"/>
          <w:szCs w:val="21"/>
        </w:rPr>
      </w:sdtEndPr>
      <w:sdtContent>
        <w:p w14:paraId="1FD12B6A" w14:textId="77777777" w:rsidR="00450556" w:rsidRDefault="002F27BC" w:rsidP="004F686E">
          <w:pPr>
            <w:pStyle w:val="2"/>
            <w:numPr>
              <w:ilvl w:val="0"/>
              <w:numId w:val="1"/>
            </w:numPr>
            <w:tabs>
              <w:tab w:val="left" w:pos="448"/>
            </w:tabs>
            <w:spacing w:before="0" w:after="0" w:line="360" w:lineRule="auto"/>
            <w:ind w:left="420" w:hangingChars="175"/>
            <w:rPr>
              <w:rFonts w:ascii="宋体" w:hAnsi="宋体"/>
            </w:rPr>
          </w:pPr>
          <w:r>
            <w:rPr>
              <w:rFonts w:ascii="宋体" w:hAnsi="宋体" w:hint="eastAsia"/>
            </w:rPr>
            <w:t>公司</w:t>
          </w:r>
          <w:sdt>
            <w:sdtPr>
              <w:rPr>
                <w:rFonts w:ascii="宋体" w:hAnsi="宋体" w:hint="eastAsia"/>
              </w:rPr>
              <w:tag w:val="_GBC_2e0ee33ebae04a83b92e8b1aa6754169"/>
              <w:id w:val="1995843751"/>
              <w:lock w:val="sdtLocked"/>
              <w:placeholder>
                <w:docPart w:val="GBC22222222222222222222222222222"/>
              </w:placeholder>
            </w:sdtPr>
            <w:sdtEndPr/>
            <w:sdtContent>
              <w:r>
                <w:rPr>
                  <w:rFonts w:ascii="宋体" w:hAnsi="宋体" w:hint="eastAsia"/>
                </w:rPr>
                <w:t>全体董事出席</w:t>
              </w:r>
            </w:sdtContent>
          </w:sdt>
          <w:r>
            <w:rPr>
              <w:rFonts w:ascii="宋体" w:hAnsi="宋体" w:hint="eastAsia"/>
            </w:rPr>
            <w:t>董事会会议。</w:t>
          </w:r>
        </w:p>
        <w:p w14:paraId="367B470B" w14:textId="77777777" w:rsidR="00450556" w:rsidRDefault="00B664AF">
          <w:pPr>
            <w:rPr>
              <w:szCs w:val="21"/>
            </w:rPr>
          </w:pPr>
        </w:p>
      </w:sdtContent>
    </w:sdt>
    <w:p w14:paraId="07248507" w14:textId="77777777" w:rsidR="00450556" w:rsidRDefault="00450556"/>
    <w:sdt>
      <w:sdtPr>
        <w:rPr>
          <w:rFonts w:ascii="宋体" w:hAnsi="宋体" w:cs="宋体" w:hint="eastAsia"/>
          <w:b w:val="0"/>
          <w:bCs w:val="0"/>
          <w:kern w:val="0"/>
          <w:sz w:val="24"/>
          <w:szCs w:val="24"/>
        </w:rPr>
        <w:alias w:val="选项模块:本年度报告未经审计。"/>
        <w:tag w:val="_GBC_07370c6ee32a4bea8271133440d087fd"/>
        <w:id w:val="1736500573"/>
        <w:lock w:val="sdtLocked"/>
        <w:placeholder>
          <w:docPart w:val="GBC22222222222222222222222222222"/>
        </w:placeholder>
      </w:sdtPr>
      <w:sdtEndPr>
        <w:rPr>
          <w:rFonts w:hint="default"/>
          <w:sz w:val="21"/>
        </w:rPr>
      </w:sdtEndPr>
      <w:sdtContent>
        <w:p w14:paraId="1F1021A8" w14:textId="77777777" w:rsidR="00450556" w:rsidRDefault="002F27BC" w:rsidP="004F686E">
          <w:pPr>
            <w:pStyle w:val="2"/>
            <w:numPr>
              <w:ilvl w:val="0"/>
              <w:numId w:val="1"/>
            </w:numPr>
            <w:tabs>
              <w:tab w:val="left" w:pos="490"/>
            </w:tabs>
            <w:spacing w:before="0" w:after="0" w:line="360" w:lineRule="auto"/>
            <w:ind w:left="420" w:hangingChars="175"/>
            <w:rPr>
              <w:rFonts w:ascii="宋体" w:hAnsi="宋体"/>
            </w:rPr>
          </w:pPr>
          <w:r>
            <w:rPr>
              <w:rFonts w:ascii="宋体" w:hAnsi="宋体" w:hint="eastAsia"/>
            </w:rPr>
            <w:t>本半年度报告</w:t>
          </w:r>
          <w:sdt>
            <w:sdtPr>
              <w:rPr>
                <w:rFonts w:ascii="宋体" w:hAnsi="宋体" w:hint="eastAsia"/>
              </w:rPr>
              <w:tag w:val="_GBC_be15b7a71d95430e82193d4cab461623"/>
              <w:id w:val="-1092536982"/>
              <w:lock w:val="sdtLocked"/>
              <w:placeholder>
                <w:docPart w:val="GBC22222222222222222222222222222"/>
              </w:placeholder>
            </w:sdtPr>
            <w:sdtEndPr/>
            <w:sdtContent>
              <w:r>
                <w:rPr>
                  <w:rFonts w:ascii="宋体" w:hAnsi="宋体" w:hint="eastAsia"/>
                </w:rPr>
                <w:t>未经审计</w:t>
              </w:r>
            </w:sdtContent>
          </w:sdt>
          <w:r>
            <w:rPr>
              <w:rFonts w:ascii="宋体" w:hAnsi="宋体" w:hint="eastAsia"/>
            </w:rPr>
            <w:t>。</w:t>
          </w:r>
        </w:p>
        <w:p w14:paraId="48E7E1C7" w14:textId="77777777" w:rsidR="00450556" w:rsidRDefault="00B664AF">
          <w:pPr>
            <w:rPr>
              <w:szCs w:val="21"/>
            </w:rPr>
          </w:pPr>
        </w:p>
      </w:sdtContent>
    </w:sdt>
    <w:sdt>
      <w:sdtPr>
        <w:rPr>
          <w:rFonts w:ascii="宋体" w:hAnsi="宋体" w:hint="eastAsia"/>
          <w:b w:val="0"/>
        </w:rPr>
        <w:alias w:val="模块:公司负责人等声明"/>
        <w:tag w:val="_GBC_04b137e7f87b43b8812b2c33bd605e04"/>
        <w:id w:val="840668619"/>
        <w:lock w:val="sdtLocked"/>
        <w:placeholder>
          <w:docPart w:val="GBC22222222222222222222222222222"/>
        </w:placeholder>
      </w:sdtPr>
      <w:sdtEndPr>
        <w:rPr>
          <w:b/>
        </w:rPr>
      </w:sdtEndPr>
      <w:sdtContent>
        <w:p w14:paraId="5542DC52" w14:textId="3351535A" w:rsidR="00450556" w:rsidRDefault="002F27BC" w:rsidP="004F686E">
          <w:pPr>
            <w:pStyle w:val="2"/>
            <w:numPr>
              <w:ilvl w:val="0"/>
              <w:numId w:val="1"/>
            </w:numPr>
            <w:tabs>
              <w:tab w:val="left" w:pos="434"/>
            </w:tabs>
            <w:spacing w:before="0" w:after="0" w:line="360" w:lineRule="auto"/>
            <w:ind w:left="368" w:hangingChars="175" w:hanging="368"/>
            <w:rPr>
              <w:rFonts w:ascii="宋体" w:hAnsi="宋体"/>
            </w:rPr>
          </w:pPr>
          <w:r>
            <w:rPr>
              <w:rFonts w:ascii="宋体" w:hAnsi="宋体" w:hint="eastAsia"/>
            </w:rPr>
            <w:t>公司负责人</w:t>
          </w:r>
          <w:sdt>
            <w:sdtPr>
              <w:rPr>
                <w:rFonts w:ascii="宋体" w:hAnsi="宋体"/>
              </w:rPr>
              <w:alias w:val="公司负责人姓名"/>
              <w:tag w:val="_GBC_ee6b72f666bb497bbe8fc037096654d2"/>
              <w:id w:val="-2124615316"/>
              <w:lock w:val="sdtLocked"/>
              <w:placeholder>
                <w:docPart w:val="GBC22222222222222222222222222222"/>
              </w:placeholder>
              <w:dataBinding w:prefixMappings="xmlns:clcid-mr='clcid-mr'" w:xpath="/*/clcid-mr:GongSiFuZeRenXingMing[not(@periodRef)]" w:storeItemID="{89EBAB94-44A0-46A2-B712-30D997D04A6D}"/>
              <w:text/>
            </w:sdtPr>
            <w:sdtEndPr/>
            <w:sdtContent>
              <w:r w:rsidR="00C544D5">
                <w:rPr>
                  <w:rFonts w:ascii="宋体" w:hAnsi="宋体"/>
                </w:rPr>
                <w:t>王军先生</w:t>
              </w:r>
            </w:sdtContent>
          </w:sdt>
          <w:r>
            <w:rPr>
              <w:rFonts w:ascii="宋体" w:hAnsi="宋体" w:hint="eastAsia"/>
            </w:rPr>
            <w:t>、主管会计工作负责人</w:t>
          </w:r>
          <w:sdt>
            <w:sdtPr>
              <w:rPr>
                <w:rFonts w:ascii="宋体" w:hAnsi="宋体"/>
              </w:rPr>
              <w:alias w:val="主管会计工作负责人姓名"/>
              <w:tag w:val="_GBC_51ed55c6ff134dadaa6756998c964cdf"/>
              <w:id w:val="761182267"/>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C544D5">
                <w:rPr>
                  <w:rFonts w:ascii="宋体" w:hAnsi="宋体"/>
                </w:rPr>
                <w:t>姜驰女士</w:t>
              </w:r>
            </w:sdtContent>
          </w:sdt>
          <w:r>
            <w:rPr>
              <w:rFonts w:ascii="宋体" w:hAnsi="宋体" w:hint="eastAsia"/>
            </w:rPr>
            <w:t>及会计机构负责人（会计主管人员）</w:t>
          </w:r>
          <w:sdt>
            <w:sdtPr>
              <w:rPr>
                <w:rFonts w:ascii="宋体" w:hAnsi="宋体"/>
              </w:rPr>
              <w:alias w:val="会计机构负责人姓名"/>
              <w:tag w:val="_GBC_aa7d9e44d6e64b9abdcdefb4a3968427"/>
              <w:id w:val="445200561"/>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6564CB">
                <w:rPr>
                  <w:rFonts w:ascii="宋体" w:hAnsi="宋体"/>
                </w:rPr>
                <w:t>王艳东先生</w:t>
              </w:r>
            </w:sdtContent>
          </w:sdt>
          <w:r>
            <w:rPr>
              <w:rFonts w:ascii="宋体" w:hAnsi="宋体" w:hint="eastAsia"/>
            </w:rPr>
            <w:t>声明：保证半年度报告中财务报告的真实、准确、完整。</w:t>
          </w:r>
        </w:p>
      </w:sdtContent>
    </w:sdt>
    <w:p w14:paraId="010B0F2F" w14:textId="77777777" w:rsidR="00450556" w:rsidRDefault="00450556"/>
    <w:sdt>
      <w:sdtPr>
        <w:rPr>
          <w:rFonts w:ascii="宋体" w:hAnsi="宋体" w:cs="宋体"/>
          <w:b w:val="0"/>
          <w:bCs w:val="0"/>
          <w:kern w:val="0"/>
          <w:sz w:val="24"/>
          <w:szCs w:val="24"/>
        </w:rPr>
        <w:alias w:val="模块:经董事会审议的报告期利润分配预案或公积金转增股本预案"/>
        <w:tag w:val="_GBC_21c095fa67114a208ee8411405e3a22a"/>
        <w:id w:val="-584919481"/>
        <w:lock w:val="sdtLocked"/>
        <w:placeholder>
          <w:docPart w:val="GBC22222222222222222222222222222"/>
        </w:placeholder>
      </w:sdtPr>
      <w:sdtEndPr>
        <w:rPr>
          <w:rFonts w:hint="eastAsia"/>
          <w:sz w:val="21"/>
          <w:shd w:val="pct15" w:color="auto" w:fill="FFFFFF"/>
        </w:rPr>
      </w:sdtEndPr>
      <w:sdtContent>
        <w:p w14:paraId="205225F0" w14:textId="5708ACC5" w:rsidR="00450556" w:rsidRDefault="002F27BC" w:rsidP="004F686E">
          <w:pPr>
            <w:pStyle w:val="2"/>
            <w:numPr>
              <w:ilvl w:val="0"/>
              <w:numId w:val="1"/>
            </w:numPr>
            <w:tabs>
              <w:tab w:val="left" w:pos="490"/>
            </w:tabs>
            <w:spacing w:before="0" w:after="0" w:line="360" w:lineRule="auto"/>
            <w:ind w:left="420" w:hangingChars="175"/>
            <w:rPr>
              <w:rFonts w:ascii="宋体" w:hAnsi="宋体"/>
              <w:sz w:val="24"/>
              <w:szCs w:val="24"/>
            </w:rPr>
          </w:pPr>
          <w:r>
            <w:rPr>
              <w:rFonts w:ascii="宋体" w:hAnsi="宋体"/>
            </w:rPr>
            <w:t>董事会</w:t>
          </w:r>
          <w:r>
            <w:t>决议通过的本报告期利润分配预案或公积金转增股本预案</w:t>
          </w:r>
        </w:p>
        <w:sdt>
          <w:sdtPr>
            <w:rPr>
              <w:rFonts w:hint="eastAsia"/>
              <w:szCs w:val="21"/>
            </w:rPr>
            <w:alias w:val="经董事会审议的报告期利润分配预案或公积金转增股本预案"/>
            <w:tag w:val="_GBC_7676626d447143468bebcc8d267ec746"/>
            <w:id w:val="-625080169"/>
            <w:lock w:val="sdtLocked"/>
            <w:placeholder>
              <w:docPart w:val="GBC22222222222222222222222222222"/>
            </w:placeholder>
          </w:sdtPr>
          <w:sdtEndPr>
            <w:rPr>
              <w:shd w:val="pct15" w:color="auto" w:fill="FFFFFF"/>
            </w:rPr>
          </w:sdtEndPr>
          <w:sdtContent>
            <w:p w14:paraId="0A8633F2" w14:textId="2EE01030" w:rsidR="00450556" w:rsidRDefault="006564CB">
              <w:pPr>
                <w:kinsoku w:val="0"/>
                <w:overflowPunct w:val="0"/>
                <w:autoSpaceDE w:val="0"/>
                <w:autoSpaceDN w:val="0"/>
                <w:adjustRightInd w:val="0"/>
                <w:snapToGrid w:val="0"/>
                <w:spacing w:line="360" w:lineRule="exact"/>
                <w:rPr>
                  <w:szCs w:val="21"/>
                  <w:shd w:val="pct15" w:color="auto" w:fill="FFFFFF"/>
                </w:rPr>
              </w:pPr>
              <w:r>
                <w:rPr>
                  <w:rFonts w:hint="eastAsia"/>
                  <w:szCs w:val="21"/>
                </w:rPr>
                <w:t>无</w:t>
              </w:r>
            </w:p>
          </w:sdtContent>
        </w:sdt>
      </w:sdtContent>
    </w:sdt>
    <w:p w14:paraId="33095087" w14:textId="77777777" w:rsidR="00450556" w:rsidRDefault="00450556">
      <w:pPr>
        <w:kinsoku w:val="0"/>
        <w:overflowPunct w:val="0"/>
        <w:autoSpaceDE w:val="0"/>
        <w:autoSpaceDN w:val="0"/>
        <w:adjustRightInd w:val="0"/>
        <w:snapToGrid w:val="0"/>
        <w:spacing w:line="360" w:lineRule="exact"/>
        <w:rPr>
          <w:szCs w:val="21"/>
          <w:shd w:val="pct15" w:color="auto" w:fill="FFFFFF"/>
        </w:rPr>
      </w:pPr>
    </w:p>
    <w:sdt>
      <w:sdtPr>
        <w:rPr>
          <w:rFonts w:ascii="宋体" w:hAnsi="宋体" w:cs="宋体"/>
          <w:b w:val="0"/>
          <w:bCs w:val="0"/>
          <w:kern w:val="0"/>
          <w:sz w:val="24"/>
          <w:szCs w:val="24"/>
        </w:rPr>
        <w:alias w:val="模块:前瞻性陈述的风险声明"/>
        <w:tag w:val="_GBC_cc24ced211694e75b40a9765d2616e01"/>
        <w:id w:val="-1316957043"/>
        <w:lock w:val="sdtLocked"/>
        <w:placeholder>
          <w:docPart w:val="GBC22222222222222222222222222222"/>
        </w:placeholder>
      </w:sdtPr>
      <w:sdtEndPr>
        <w:rPr>
          <w:rFonts w:hint="eastAsia"/>
          <w:sz w:val="21"/>
          <w:shd w:val="pct15" w:color="auto" w:fill="FFFFFF"/>
        </w:rPr>
      </w:sdtEndPr>
      <w:sdtContent>
        <w:p w14:paraId="243A0813" w14:textId="77777777" w:rsidR="007F1C2B" w:rsidRDefault="004F686E" w:rsidP="004F686E">
          <w:pPr>
            <w:pStyle w:val="2"/>
            <w:numPr>
              <w:ilvl w:val="0"/>
              <w:numId w:val="1"/>
            </w:numPr>
            <w:tabs>
              <w:tab w:val="left" w:pos="504"/>
            </w:tabs>
            <w:spacing w:before="0" w:after="0" w:line="360" w:lineRule="auto"/>
            <w:ind w:left="420" w:hangingChars="175"/>
            <w:rPr>
              <w:rFonts w:ascii="宋体" w:hAnsi="宋体"/>
            </w:rPr>
          </w:pPr>
          <w:r>
            <w:rPr>
              <w:rFonts w:ascii="宋体" w:hAnsi="宋体"/>
            </w:rPr>
            <w:t>前瞻性陈述的风险声明</w:t>
          </w:r>
        </w:p>
        <w:sdt>
          <w:sdtPr>
            <w:alias w:val="是否适用：前瞻性陈述的风险声明[双击切换]"/>
            <w:tag w:val="_GBC_6a28949332914149bda7cc0225d614b7"/>
            <w:id w:val="-726377461"/>
            <w:lock w:val="sdtLocked"/>
            <w:placeholder>
              <w:docPart w:val="GBC22222222222222222222222222222"/>
            </w:placeholder>
          </w:sdtPr>
          <w:sdtEndPr/>
          <w:sdtContent>
            <w:p w14:paraId="615495DF" w14:textId="5DD3CEDC" w:rsidR="007F1C2B"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szCs w:val="21"/>
            </w:rPr>
            <w:alias w:val="公司对报告涉及未来计划等前瞻性陈述的声明"/>
            <w:tag w:val="_GBC_6511b5aecc604062ad93b5fbd25fd19b"/>
            <w:id w:val="1745530102"/>
            <w:lock w:val="sdtLocked"/>
            <w:placeholder>
              <w:docPart w:val="GBC22222222222222222222222222222"/>
            </w:placeholder>
          </w:sdtPr>
          <w:sdtEndPr>
            <w:rPr>
              <w:shd w:val="pct15" w:color="auto" w:fill="FFFFFF"/>
            </w:rPr>
          </w:sdtEndPr>
          <w:sdtContent>
            <w:p w14:paraId="0506651B" w14:textId="25B48609" w:rsidR="007F1C2B" w:rsidRDefault="004F686E">
              <w:pPr>
                <w:kinsoku w:val="0"/>
                <w:overflowPunct w:val="0"/>
                <w:autoSpaceDE w:val="0"/>
                <w:autoSpaceDN w:val="0"/>
                <w:adjustRightInd w:val="0"/>
                <w:snapToGrid w:val="0"/>
                <w:spacing w:line="360" w:lineRule="exact"/>
                <w:rPr>
                  <w:szCs w:val="21"/>
                  <w:shd w:val="pct15" w:color="auto" w:fill="FFFFFF"/>
                </w:rPr>
              </w:pPr>
              <w:r w:rsidRPr="00515044">
                <w:rPr>
                  <w:rFonts w:hint="eastAsia"/>
                  <w:szCs w:val="21"/>
                </w:rPr>
                <w:t>本半年度报告内容中涉及未来计划等前瞻性陈述因存在不确定性，不构成公司对投资者的实质承诺，请投资者注意投资风险。</w:t>
              </w:r>
            </w:p>
          </w:sdtContent>
        </w:sdt>
      </w:sdtContent>
    </w:sdt>
    <w:p w14:paraId="61616F29" w14:textId="77777777" w:rsidR="007F1C2B" w:rsidRDefault="00B664AF">
      <w:pPr>
        <w:kinsoku w:val="0"/>
        <w:overflowPunct w:val="0"/>
        <w:autoSpaceDE w:val="0"/>
        <w:autoSpaceDN w:val="0"/>
        <w:adjustRightInd w:val="0"/>
        <w:snapToGrid w:val="0"/>
        <w:spacing w:line="360" w:lineRule="exact"/>
        <w:rPr>
          <w:szCs w:val="21"/>
          <w:shd w:val="pct15" w:color="auto" w:fill="FFFFFF"/>
        </w:rPr>
      </w:pPr>
    </w:p>
    <w:sdt>
      <w:sdtPr>
        <w:rPr>
          <w:rFonts w:ascii="宋体" w:hAnsi="宋体" w:cs="宋体" w:hint="eastAsia"/>
          <w:b w:val="0"/>
          <w:bCs w:val="0"/>
          <w:kern w:val="0"/>
          <w:sz w:val="24"/>
          <w:szCs w:val="24"/>
          <w:shd w:val="pct15" w:color="auto" w:fill="FFFFFF"/>
        </w:rPr>
        <w:alias w:val="模块:是否存在被控股股东及其关联方非经营性占用资金情况"/>
        <w:tag w:val="_GBC_70f733efbc484640a48089ddc49bf2b9"/>
        <w:id w:val="-847788674"/>
        <w:lock w:val="sdtLocked"/>
        <w:placeholder>
          <w:docPart w:val="GBC22222222222222222222222222222"/>
        </w:placeholder>
      </w:sdtPr>
      <w:sdtEndPr>
        <w:rPr>
          <w:sz w:val="21"/>
          <w:shd w:val="clear" w:color="auto" w:fill="auto"/>
        </w:rPr>
      </w:sdtEndPr>
      <w:sdtContent>
        <w:p w14:paraId="71F25421" w14:textId="77777777" w:rsidR="007F1C2B" w:rsidRDefault="004F686E" w:rsidP="004F686E">
          <w:pPr>
            <w:pStyle w:val="2"/>
            <w:numPr>
              <w:ilvl w:val="0"/>
              <w:numId w:val="1"/>
            </w:numPr>
            <w:tabs>
              <w:tab w:val="left" w:pos="434"/>
              <w:tab w:val="left" w:pos="644"/>
            </w:tabs>
            <w:spacing w:before="0" w:after="0" w:line="360" w:lineRule="auto"/>
            <w:ind w:left="420" w:hangingChars="175"/>
            <w:rPr>
              <w:rFonts w:ascii="宋体" w:hAnsi="宋体"/>
            </w:rPr>
          </w:pPr>
          <w:r>
            <w:rPr>
              <w:rFonts w:ascii="宋体" w:hAnsi="宋体"/>
            </w:rPr>
            <w:t>是否存在被控股股东及其关联方非经营性占用资金情况</w:t>
          </w:r>
        </w:p>
        <w:sdt>
          <w:sdtPr>
            <w:rPr>
              <w:rFonts w:hint="eastAsia"/>
              <w:bCs/>
              <w:szCs w:val="21"/>
            </w:rPr>
            <w:alias w:val="本公司是否存在大股东占用资金情况"/>
            <w:tag w:val="_GBC_a32400ff33ee44d89632e0d79a7f2c42"/>
            <w:id w:val="-1776856905"/>
            <w:lock w:val="sdtLocked"/>
            <w:placeholder>
              <w:docPart w:val="GBC22222222222222222222222222222"/>
            </w:placeholder>
            <w:comboBox>
              <w:listItem w:displayText="是" w:value="true"/>
              <w:listItem w:displayText="否" w:value="false"/>
            </w:comboBox>
          </w:sdtPr>
          <w:sdtEndPr/>
          <w:sdtContent>
            <w:p w14:paraId="789266D4" w14:textId="06821B22" w:rsidR="007F1C2B" w:rsidRDefault="004F686E">
              <w:pPr>
                <w:kinsoku w:val="0"/>
                <w:overflowPunct w:val="0"/>
                <w:autoSpaceDE w:val="0"/>
                <w:autoSpaceDN w:val="0"/>
                <w:adjustRightInd w:val="0"/>
                <w:snapToGrid w:val="0"/>
                <w:spacing w:line="360" w:lineRule="exact"/>
                <w:rPr>
                  <w:bCs/>
                  <w:szCs w:val="21"/>
                </w:rPr>
              </w:pPr>
              <w:r>
                <w:rPr>
                  <w:rFonts w:hint="eastAsia"/>
                  <w:bCs/>
                  <w:szCs w:val="21"/>
                </w:rPr>
                <w:t>否</w:t>
              </w:r>
            </w:p>
          </w:sdtContent>
        </w:sdt>
      </w:sdtContent>
    </w:sdt>
    <w:p w14:paraId="237FC223" w14:textId="77777777" w:rsidR="007F1C2B" w:rsidRDefault="00B664AF">
      <w:pPr>
        <w:kinsoku w:val="0"/>
        <w:overflowPunct w:val="0"/>
        <w:autoSpaceDE w:val="0"/>
        <w:autoSpaceDN w:val="0"/>
        <w:adjustRightInd w:val="0"/>
        <w:snapToGrid w:val="0"/>
        <w:spacing w:line="360" w:lineRule="exact"/>
        <w:rPr>
          <w:szCs w:val="21"/>
          <w:shd w:val="pct15" w:color="auto" w:fill="FFFFFF"/>
        </w:rPr>
      </w:pPr>
    </w:p>
    <w:sdt>
      <w:sdtPr>
        <w:rPr>
          <w:rFonts w:ascii="宋体" w:hAnsi="宋体" w:cs="宋体"/>
          <w:b w:val="0"/>
          <w:bCs w:val="0"/>
          <w:kern w:val="0"/>
          <w:sz w:val="24"/>
          <w:szCs w:val="24"/>
        </w:rPr>
        <w:alias w:val="模块:是否存在违反规定决策程序对外提供担保的情况"/>
        <w:tag w:val="_GBC_0b5725dfa5c04f85874bece4083eddb4"/>
        <w:id w:val="-772019987"/>
        <w:lock w:val="sdtLocked"/>
        <w:placeholder>
          <w:docPart w:val="GBC22222222222222222222222222222"/>
        </w:placeholder>
      </w:sdtPr>
      <w:sdtEndPr>
        <w:rPr>
          <w:rFonts w:hint="eastAsia"/>
          <w:sz w:val="21"/>
        </w:rPr>
      </w:sdtEndPr>
      <w:sdtContent>
        <w:p w14:paraId="77477A93" w14:textId="77777777" w:rsidR="007F1C2B" w:rsidRDefault="004F686E" w:rsidP="004F686E">
          <w:pPr>
            <w:pStyle w:val="2"/>
            <w:numPr>
              <w:ilvl w:val="0"/>
              <w:numId w:val="1"/>
            </w:numPr>
            <w:tabs>
              <w:tab w:val="left" w:pos="644"/>
            </w:tabs>
            <w:spacing w:before="0" w:after="0" w:line="360" w:lineRule="auto"/>
            <w:ind w:left="420" w:hangingChars="175"/>
            <w:rPr>
              <w:rFonts w:ascii="宋体" w:hAnsi="宋体"/>
            </w:rPr>
          </w:pPr>
          <w:r>
            <w:rPr>
              <w:rFonts w:ascii="宋体" w:hAnsi="宋体"/>
            </w:rPr>
            <w:t>是否存在违反规定决策程序对外提供担保的情况？</w:t>
          </w:r>
        </w:p>
        <w:sdt>
          <w:sdtPr>
            <w:rPr>
              <w:rFonts w:hint="eastAsia"/>
              <w:szCs w:val="21"/>
            </w:rPr>
            <w:alias w:val="本公司是否存在违反规定决策程序对外提供担保的情况"/>
            <w:tag w:val="_GBC_3bc3f02bd342494aa2858bb9a39d8458"/>
            <w:id w:val="-339234866"/>
            <w:lock w:val="sdtLocked"/>
            <w:placeholder>
              <w:docPart w:val="GBC22222222222222222222222222222"/>
            </w:placeholder>
            <w:comboBox>
              <w:listItem w:displayText="是" w:value="true"/>
              <w:listItem w:displayText="否" w:value="false"/>
            </w:comboBox>
          </w:sdtPr>
          <w:sdtEndPr/>
          <w:sdtContent>
            <w:p w14:paraId="0C364CA5" w14:textId="6448C3C5" w:rsidR="007F1C2B" w:rsidRDefault="004F686E">
              <w:pPr>
                <w:rPr>
                  <w:szCs w:val="21"/>
                </w:rPr>
              </w:pPr>
              <w:r>
                <w:rPr>
                  <w:rFonts w:hint="eastAsia"/>
                  <w:szCs w:val="21"/>
                </w:rPr>
                <w:t>否</w:t>
              </w:r>
            </w:p>
          </w:sdtContent>
        </w:sdt>
      </w:sdtContent>
    </w:sdt>
    <w:p w14:paraId="1A271782" w14:textId="3C4E6B35" w:rsidR="007F1C2B" w:rsidRDefault="00B664AF">
      <w:pPr>
        <w:rPr>
          <w:szCs w:val="21"/>
        </w:rPr>
      </w:pPr>
    </w:p>
    <w:bookmarkStart w:id="1" w:name="_Hlk72769553" w:displacedByCustomXml="next"/>
    <w:sdt>
      <w:sdtPr>
        <w:rPr>
          <w:rFonts w:ascii="宋体" w:hAnsi="宋体" w:cs="宋体" w:hint="eastAsia"/>
          <w:b w:val="0"/>
          <w:bCs w:val="0"/>
          <w:kern w:val="0"/>
          <w:szCs w:val="24"/>
        </w:rPr>
        <w:alias w:val="模块:"/>
        <w:tag w:val="_SEC_f8924de2a90b4f29b727c0dcf0bfd58a"/>
        <w:id w:val="884839247"/>
        <w:lock w:val="sdtLocked"/>
        <w:placeholder>
          <w:docPart w:val="GBC22222222222222222222222222222"/>
        </w:placeholder>
      </w:sdtPr>
      <w:sdtEndPr/>
      <w:sdtContent>
        <w:bookmarkStart w:id="2" w:name="_Hlk61881950" w:displacedByCustomXml="prev"/>
        <w:p w14:paraId="75169BBC" w14:textId="5686268F" w:rsidR="007F1C2B" w:rsidRDefault="004F686E" w:rsidP="004F686E">
          <w:pPr>
            <w:pStyle w:val="2"/>
            <w:numPr>
              <w:ilvl w:val="0"/>
              <w:numId w:val="1"/>
            </w:numPr>
            <w:tabs>
              <w:tab w:val="left" w:pos="644"/>
            </w:tabs>
            <w:spacing w:before="0" w:after="0" w:line="360" w:lineRule="auto"/>
            <w:ind w:left="368" w:hangingChars="175" w:hanging="368"/>
            <w:rPr>
              <w:rFonts w:ascii="宋体" w:hAnsi="宋体" w:cs="宋体"/>
              <w:kern w:val="0"/>
            </w:rPr>
          </w:pPr>
          <w:r>
            <w:rPr>
              <w:rFonts w:ascii="宋体" w:hAnsi="宋体" w:cs="宋体"/>
              <w:kern w:val="0"/>
            </w:rPr>
            <w:t>是否存在半数</w:t>
          </w:r>
          <w:r>
            <w:rPr>
              <w:rFonts w:ascii="宋体" w:hAnsi="宋体" w:cs="宋体" w:hint="eastAsia"/>
              <w:kern w:val="0"/>
            </w:rPr>
            <w:t>以上</w:t>
          </w:r>
          <w:r>
            <w:rPr>
              <w:rFonts w:ascii="宋体" w:hAnsi="宋体" w:cs="宋体"/>
              <w:kern w:val="0"/>
            </w:rPr>
            <w:t>董事无法保证公司所披露</w:t>
          </w:r>
          <w:r>
            <w:rPr>
              <w:rFonts w:ascii="宋体" w:hAnsi="宋体" w:cs="宋体" w:hint="eastAsia"/>
              <w:kern w:val="0"/>
            </w:rPr>
            <w:t>半</w:t>
          </w:r>
          <w:r>
            <w:rPr>
              <w:rFonts w:ascii="宋体" w:hAnsi="宋体" w:cs="宋体"/>
              <w:kern w:val="0"/>
            </w:rPr>
            <w:t>年度报告的真实性、准确性和完整性</w:t>
          </w:r>
          <w:bookmarkEnd w:id="2"/>
        </w:p>
        <w:sdt>
          <w:sdtPr>
            <w:rPr>
              <w:rFonts w:hint="eastAsia"/>
            </w:rPr>
            <w:alias w:val="是否存在半数以上董事无法保证公司所披露年度报告的真实性、准确性和完整性"/>
            <w:tag w:val="_GBC_016ca2a0d8c2429a89679ee7fdc015c2"/>
            <w:id w:val="686647223"/>
            <w:lock w:val="sdtLocked"/>
            <w:placeholder>
              <w:docPart w:val="GBC22222222222222222222222222222"/>
            </w:placeholder>
            <w:comboBox>
              <w:listItem w:displayText="是" w:value="是"/>
              <w:listItem w:displayText="否" w:value="否"/>
            </w:comboBox>
          </w:sdtPr>
          <w:sdtEndPr/>
          <w:sdtContent>
            <w:p w14:paraId="58759E8F" w14:textId="08A9CD93" w:rsidR="007F1C2B" w:rsidRDefault="004F686E" w:rsidP="00515044">
              <w:r>
                <w:rPr>
                  <w:rFonts w:hint="eastAsia"/>
                </w:rPr>
                <w:t>否</w:t>
              </w:r>
            </w:p>
          </w:sdtContent>
        </w:sdt>
        <w:p w14:paraId="2773A633" w14:textId="20494600" w:rsidR="007F1C2B" w:rsidRDefault="00B664AF">
          <w:pPr>
            <w:rPr>
              <w:szCs w:val="21"/>
            </w:rPr>
          </w:pPr>
        </w:p>
      </w:sdtContent>
    </w:sdt>
    <w:bookmarkEnd w:id="1" w:displacedByCustomXml="prev"/>
    <w:sdt>
      <w:sdtPr>
        <w:rPr>
          <w:rFonts w:ascii="宋体" w:hAnsi="宋体" w:cs="宋体"/>
          <w:b w:val="0"/>
          <w:bCs w:val="0"/>
          <w:kern w:val="0"/>
          <w:szCs w:val="24"/>
        </w:rPr>
        <w:alias w:val="模块:重大风险提示"/>
        <w:tag w:val="_SEC_765dd5e867e04417bfcc7ba07f902949"/>
        <w:id w:val="-2035646860"/>
        <w:lock w:val="sdtLocked"/>
        <w:placeholder>
          <w:docPart w:val="GBC22222222222222222222222222222"/>
        </w:placeholder>
      </w:sdtPr>
      <w:sdtEndPr>
        <w:rPr>
          <w:rFonts w:hint="eastAsia"/>
        </w:rPr>
      </w:sdtEndPr>
      <w:sdtContent>
        <w:p w14:paraId="68BD873A" w14:textId="77777777" w:rsidR="007F1C2B" w:rsidRDefault="004F686E" w:rsidP="004F686E">
          <w:pPr>
            <w:pStyle w:val="2"/>
            <w:numPr>
              <w:ilvl w:val="0"/>
              <w:numId w:val="1"/>
            </w:numPr>
            <w:tabs>
              <w:tab w:val="left" w:pos="644"/>
            </w:tabs>
            <w:spacing w:before="0" w:after="0" w:line="360" w:lineRule="auto"/>
            <w:ind w:left="368" w:hangingChars="175" w:hanging="368"/>
            <w:rPr>
              <w:rFonts w:ascii="宋体" w:hAnsi="宋体"/>
            </w:rPr>
          </w:pPr>
          <w:r>
            <w:rPr>
              <w:rFonts w:ascii="宋体" w:hAnsi="宋体"/>
            </w:rPr>
            <w:t>重大风险提示</w:t>
          </w:r>
        </w:p>
        <w:sdt>
          <w:sdtPr>
            <w:rPr>
              <w:rFonts w:hint="eastAsia"/>
              <w:szCs w:val="21"/>
            </w:rPr>
            <w:alias w:val="重大风险提示"/>
            <w:tag w:val="_GBC_d0220f8592e64dd1b898937e183da1e3"/>
            <w:id w:val="-1474132383"/>
            <w:lock w:val="sdtLocked"/>
            <w:placeholder>
              <w:docPart w:val="GBC22222222222222222222222222222"/>
            </w:placeholder>
          </w:sdtPr>
          <w:sdtEndPr/>
          <w:sdtContent>
            <w:p w14:paraId="3FD8266A" w14:textId="3B7C1653" w:rsidR="00515044" w:rsidRDefault="004F686E" w:rsidP="00515044">
              <w:pPr>
                <w:ind w:firstLineChars="200" w:firstLine="420"/>
              </w:pPr>
              <w:r>
                <w:rPr>
                  <w:szCs w:val="21"/>
                </w:rPr>
                <w:t>1</w:t>
              </w:r>
              <w:r>
                <w:rPr>
                  <w:rFonts w:hint="eastAsia"/>
                  <w:szCs w:val="21"/>
                </w:rPr>
                <w:t>、</w:t>
              </w:r>
              <w:r>
                <w:t>实施本次并购重组的风险</w:t>
              </w:r>
            </w:p>
            <w:p w14:paraId="47FCA115" w14:textId="542CC093" w:rsidR="00515044" w:rsidRDefault="004F686E" w:rsidP="00052C19">
              <w:pPr>
                <w:ind w:firstLineChars="200" w:firstLine="420"/>
              </w:pPr>
              <w:r>
                <w:t>为提升公司持续经营和盈利能力，公司正在实施购买青岛北洋天青数联智能股份有限公司80%股权项目。2020年8月17日，公司召开第十届董事会第五次临时会议，逐项审议通过了发行股份及支付现金购买资产并募集配套资金项目各项议案；2020年12月29日，公司召开第十</w:t>
              </w:r>
              <w:r>
                <w:lastRenderedPageBreak/>
                <w:t>届董事会第八次临时会议，逐项审议通过了修订发行股份及支付现金购买资产并募集配套资金项目各项议案；2021年2月9日，公司召开2021年第一次临时股东大会、2021年第一次A股类别股东大会及2021年第一次H股类别股东大会，投票通过发行股份及支付现金购买资产并募集配套资金项目各项议案，同意并授权董事会全权办理公司本次发行股份及支付现金购买资产并募集配套资金有关事宜；2021年2月25日，公司收到中国证券监督管理委员会出具的《中国证监会行政许可申请受理单》(受理序号：210440号)。</w:t>
              </w:r>
              <w:r w:rsidRPr="00C86E04">
                <w:t>2021年5月19日</w:t>
              </w:r>
              <w:r>
                <w:rPr>
                  <w:rFonts w:hint="eastAsia"/>
                </w:rPr>
                <w:t>，</w:t>
              </w:r>
              <w:r w:rsidRPr="00C86E04">
                <w:rPr>
                  <w:rFonts w:hint="eastAsia"/>
                </w:rPr>
                <w:t>中国证券监督管理委员会上市公司并购重组审核委员会召开</w:t>
              </w:r>
              <w:r w:rsidRPr="00C86E04">
                <w:t>2021年第10次并购重组委工作会议，对公司发行股份及支付现金购买资产并募集配套资金事项进行了审核。根据会议审核结果，</w:t>
              </w:r>
              <w:r w:rsidRPr="00C86E04">
                <w:rPr>
                  <w:rFonts w:hint="eastAsia"/>
                </w:rPr>
                <w:t>公司本次重组事项未获得审核通过</w:t>
              </w:r>
              <w:r>
                <w:rPr>
                  <w:rFonts w:hint="eastAsia"/>
                </w:rPr>
                <w:t>。</w:t>
              </w:r>
              <w:r w:rsidRPr="00052C19">
                <w:t>2021年6月11日，</w:t>
              </w:r>
              <w:r>
                <w:rPr>
                  <w:rFonts w:hint="eastAsia"/>
                </w:rPr>
                <w:t>公司召开</w:t>
              </w:r>
              <w:r w:rsidRPr="00052C19">
                <w:rPr>
                  <w:rFonts w:hint="eastAsia"/>
                </w:rPr>
                <w:t>第十届董事会第十一次临时会议</w:t>
              </w:r>
              <w:r>
                <w:rPr>
                  <w:rFonts w:hint="eastAsia"/>
                </w:rPr>
                <w:t>，</w:t>
              </w:r>
              <w:r w:rsidRPr="00052C19">
                <w:rPr>
                  <w:rFonts w:hint="eastAsia"/>
                </w:rPr>
                <w:t>审议通过《关于北京京城机电股份有限公司继续推进发行股份及支付现金购买资产并募集配套资金事项的议案》</w:t>
              </w:r>
              <w:r>
                <w:rPr>
                  <w:rFonts w:hint="eastAsia"/>
                </w:rPr>
                <w:t>，</w:t>
              </w:r>
              <w:r w:rsidRPr="00052C19">
                <w:rPr>
                  <w:rFonts w:hint="eastAsia"/>
                </w:rPr>
                <w:t>董事会经研究论证，同意继续推进本次资产重组事项。</w:t>
              </w:r>
              <w:r>
                <w:t>公司本次发行股份及支付现金购买资产并募集配套资金事项尚须中国证监会的核准，能否获得中国证监会核准及最终获得核准的时间尚存在不确定性，公司将根据相关进展情况，严格做好信息保密工作，并严格按照相关法律法规要求履行信息披露义务，及时对该事项的进展情况进行公告。</w:t>
              </w:r>
            </w:p>
            <w:p w14:paraId="53E4B9F8" w14:textId="77777777" w:rsidR="00A63961" w:rsidRDefault="00A63961" w:rsidP="00052C19">
              <w:pPr>
                <w:ind w:firstLineChars="200" w:firstLine="420"/>
              </w:pPr>
            </w:p>
            <w:p w14:paraId="1C9FA8C0" w14:textId="08261A31" w:rsidR="00763E56" w:rsidRDefault="002847DC" w:rsidP="008B6827">
              <w:pPr>
                <w:ind w:firstLineChars="200" w:firstLine="420"/>
              </w:pPr>
              <w:r>
                <w:rPr>
                  <w:rFonts w:hint="eastAsia"/>
                </w:rPr>
                <w:t>2、</w:t>
              </w:r>
              <w:r w:rsidR="00763E56">
                <w:rPr>
                  <w:rFonts w:hint="eastAsia"/>
                </w:rPr>
                <w:t>公司孙公司</w:t>
              </w:r>
              <w:r w:rsidR="00763E56" w:rsidRPr="00763E56">
                <w:rPr>
                  <w:rFonts w:hint="eastAsia"/>
                </w:rPr>
                <w:t>涉及诉讼</w:t>
              </w:r>
              <w:r w:rsidR="00763E56">
                <w:rPr>
                  <w:rFonts w:hint="eastAsia"/>
                </w:rPr>
                <w:t>的风险</w:t>
              </w:r>
            </w:p>
            <w:p w14:paraId="16A4EDB6" w14:textId="4AF04B2A" w:rsidR="008B6827" w:rsidRDefault="008B6827" w:rsidP="008B6827">
              <w:pPr>
                <w:ind w:firstLineChars="200" w:firstLine="420"/>
              </w:pPr>
              <w:r>
                <w:rPr>
                  <w:rFonts w:hint="eastAsia"/>
                </w:rPr>
                <w:t>2</w:t>
              </w:r>
              <w:r>
                <w:t>020</w:t>
              </w:r>
              <w:r>
                <w:rPr>
                  <w:rFonts w:hint="eastAsia"/>
                </w:rPr>
                <w:t>年6月3日，公司</w:t>
              </w:r>
              <w:r w:rsidR="004F4357">
                <w:rPr>
                  <w:rFonts w:hint="eastAsia"/>
                </w:rPr>
                <w:t>披露了</w:t>
              </w:r>
              <w:r>
                <w:rPr>
                  <w:rFonts w:hint="eastAsia"/>
                </w:rPr>
                <w:t>《</w:t>
              </w:r>
              <w:r w:rsidRPr="008B6827">
                <w:rPr>
                  <w:rFonts w:hint="eastAsia"/>
                </w:rPr>
                <w:t>关于北京天海低温设备有限公司涉及诉讼的公告</w:t>
              </w:r>
              <w:r>
                <w:rPr>
                  <w:rFonts w:hint="eastAsia"/>
                </w:rPr>
                <w:t>》，</w:t>
              </w:r>
              <w:r>
                <w:t>公司孙公司北京天海低温设备有限公司</w:t>
              </w:r>
              <w:r w:rsidRPr="008B6827">
                <w:rPr>
                  <w:rFonts w:hint="eastAsia"/>
                </w:rPr>
                <w:t>收到上海市第一中级人民法院出具的《应诉通知书》及上海君正物流有限公司（以下简称“君正公司”）提交上海市第一中级人民法院的《民事起诉状》</w:t>
              </w:r>
              <w:r>
                <w:rPr>
                  <w:rFonts w:hint="eastAsia"/>
                </w:rPr>
                <w:t>；</w:t>
              </w:r>
              <w:r w:rsidRPr="008B6827">
                <w:t>2021 年 5月13日，公司收到上海市第一中级人民法院民事判决书，就本案作出一审判决</w:t>
              </w:r>
              <w:r>
                <w:rPr>
                  <w:rFonts w:hint="eastAsia"/>
                </w:rPr>
                <w:t>；</w:t>
              </w:r>
              <w:r w:rsidRPr="008B6827">
                <w:rPr>
                  <w:rFonts w:hint="eastAsia"/>
                </w:rPr>
                <w:t>君正公司不服上海市第一中级人民法院做出的（</w:t>
              </w:r>
              <w:r w:rsidRPr="008B6827">
                <w:t>2020）沪01民初127号一审判决，已依法向上海市高院提起上诉。上海市高院立案后，依法组成合议庭，将于2021年8月24日开庭审理。</w:t>
              </w:r>
            </w:p>
            <w:p w14:paraId="313E7F52" w14:textId="79387378" w:rsidR="008B6827" w:rsidRDefault="008B6827" w:rsidP="008B6827">
              <w:pPr>
                <w:ind w:firstLineChars="200" w:firstLine="420"/>
              </w:pPr>
              <w:r>
                <w:rPr>
                  <w:rFonts w:hint="eastAsia"/>
                </w:rPr>
                <w:t>因诉讼尚未</w:t>
              </w:r>
              <w:r w:rsidR="004340E1">
                <w:rPr>
                  <w:rFonts w:hint="eastAsia"/>
                </w:rPr>
                <w:t>做出最终判决</w:t>
              </w:r>
              <w:r>
                <w:rPr>
                  <w:rFonts w:hint="eastAsia"/>
                </w:rPr>
                <w:t>，目前无法预计对公司本期利润或期后利润的影响。公司将积极应诉，维护公司合法权益。公司将根据进展情况及时履行信息披露义务，敬请广大投资者关注相关公告并注意投资风险。</w:t>
              </w:r>
            </w:p>
            <w:p w14:paraId="3CC9261C" w14:textId="77777777" w:rsidR="008B6827" w:rsidRDefault="008B6827" w:rsidP="002847DC">
              <w:pPr>
                <w:ind w:firstLineChars="200" w:firstLine="420"/>
              </w:pPr>
            </w:p>
            <w:p w14:paraId="584545EF" w14:textId="71283910" w:rsidR="002847DC" w:rsidRDefault="00763E56" w:rsidP="002847DC">
              <w:pPr>
                <w:ind w:firstLineChars="200" w:firstLine="420"/>
              </w:pPr>
              <w:r>
                <w:t>3</w:t>
              </w:r>
              <w:r w:rsidR="002847DC">
                <w:t>、新型冠状病毒肺炎疫情的风险</w:t>
              </w:r>
            </w:p>
            <w:p w14:paraId="6A608580" w14:textId="41E047BC" w:rsidR="00A63961" w:rsidRDefault="00A63961" w:rsidP="00A63961">
              <w:pPr>
                <w:ind w:firstLineChars="200" w:firstLine="420"/>
              </w:pPr>
              <w:r>
                <w:rPr>
                  <w:rFonts w:hint="eastAsia"/>
                </w:rPr>
                <w:t>因受疫情影响，企业经营所面临运营成本增大、市场不稳定、运输受限、人员不固定等困难，同时人员流动减少，使得企业产品按照传统方式销售的难度增大，增加企业经营压力，给公司带来一定的经营风险。</w:t>
              </w:r>
              <w:r w:rsidR="002847DC">
                <w:rPr>
                  <w:rFonts w:hint="eastAsia"/>
                </w:rPr>
                <w:t>针对上述风险，公司认真建立、健全疫情防控机制，统筹落实、开展疫情防控工作。公司将结合国内外疫情发展态势，积极采取有效措施，最大限度降低疫情可能给公司生产经营造成的不利影响。</w:t>
              </w:r>
            </w:p>
            <w:p w14:paraId="2556C6B0" w14:textId="13EE77C3" w:rsidR="002847DC" w:rsidRPr="00A63961" w:rsidRDefault="002847DC" w:rsidP="002847DC">
              <w:pPr>
                <w:ind w:firstLineChars="200" w:firstLine="420"/>
              </w:pPr>
            </w:p>
            <w:p w14:paraId="49F9B454" w14:textId="0DF3A599" w:rsidR="007F1C2B" w:rsidRDefault="00B664AF">
              <w:pPr>
                <w:rPr>
                  <w:szCs w:val="21"/>
                </w:rPr>
              </w:pPr>
            </w:p>
          </w:sdtContent>
        </w:sdt>
      </w:sdtContent>
    </w:sdt>
    <w:p w14:paraId="0B87E8D0" w14:textId="77777777" w:rsidR="007F1C2B" w:rsidRDefault="00B664AF">
      <w:pPr>
        <w:rPr>
          <w:szCs w:val="21"/>
        </w:rPr>
      </w:pPr>
    </w:p>
    <w:sdt>
      <w:sdtPr>
        <w:rPr>
          <w:rFonts w:ascii="宋体" w:hAnsi="宋体" w:cs="宋体"/>
          <w:b w:val="0"/>
          <w:bCs w:val="0"/>
          <w:kern w:val="0"/>
          <w:sz w:val="24"/>
          <w:szCs w:val="24"/>
        </w:rPr>
        <w:alias w:val="模块:重要提示的其他情况说明"/>
        <w:tag w:val="_GBC_b8bb35c675b44fbdaf150c1114447d89"/>
        <w:id w:val="57293001"/>
        <w:lock w:val="sdtLocked"/>
        <w:placeholder>
          <w:docPart w:val="GBC22222222222222222222222222222"/>
        </w:placeholder>
      </w:sdtPr>
      <w:sdtEndPr>
        <w:rPr>
          <w:sz w:val="21"/>
        </w:rPr>
      </w:sdtEndPr>
      <w:sdtContent>
        <w:p w14:paraId="77FB356C" w14:textId="77777777" w:rsidR="007F1C2B" w:rsidRDefault="004F686E" w:rsidP="004F686E">
          <w:pPr>
            <w:pStyle w:val="2"/>
            <w:numPr>
              <w:ilvl w:val="0"/>
              <w:numId w:val="1"/>
            </w:numPr>
            <w:tabs>
              <w:tab w:val="left" w:pos="588"/>
              <w:tab w:val="left" w:pos="644"/>
              <w:tab w:val="left" w:pos="672"/>
            </w:tabs>
            <w:spacing w:before="0" w:after="0" w:line="360" w:lineRule="auto"/>
            <w:ind w:left="420" w:hangingChars="175"/>
            <w:rPr>
              <w:rFonts w:ascii="宋体" w:hAnsi="宋体"/>
              <w:sz w:val="24"/>
              <w:szCs w:val="24"/>
            </w:rPr>
          </w:pPr>
          <w:r>
            <w:rPr>
              <w:rFonts w:ascii="宋体" w:hAnsi="宋体" w:hint="eastAsia"/>
              <w:sz w:val="24"/>
              <w:szCs w:val="24"/>
            </w:rPr>
            <w:t>其他</w:t>
          </w:r>
        </w:p>
        <w:sdt>
          <w:sdtPr>
            <w:alias w:val="是否适用：其他重要提示[双击切换]"/>
            <w:tag w:val="_GBC_3a91363d913942688077b069148debc5"/>
            <w:id w:val="-1824663124"/>
            <w:lock w:val="sdtLocked"/>
            <w:placeholder>
              <w:docPart w:val="GBC22222222222222222222222222222"/>
            </w:placeholder>
          </w:sdtPr>
          <w:sdtEndPr/>
          <w:sdtContent>
            <w:p w14:paraId="7D1E00E1" w14:textId="1C94DF30" w:rsidR="007F1C2B" w:rsidRDefault="004F686E" w:rsidP="00484D50">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0314B58C" w14:textId="77777777" w:rsidR="007F1C2B" w:rsidRDefault="00B664AF">
      <w:pPr>
        <w:rPr>
          <w:szCs w:val="21"/>
        </w:rPr>
        <w:sectPr w:rsidR="007F1C2B" w:rsidSect="005B5D50">
          <w:headerReference w:type="default" r:id="rId12"/>
          <w:footerReference w:type="default" r:id="rId13"/>
          <w:pgSz w:w="11906" w:h="16838"/>
          <w:pgMar w:top="1525" w:right="1276" w:bottom="1440" w:left="1797" w:header="855" w:footer="992" w:gutter="0"/>
          <w:cols w:space="425"/>
          <w:docGrid w:type="lines" w:linePitch="312"/>
        </w:sectPr>
      </w:pPr>
    </w:p>
    <w:p w14:paraId="4C856E6F" w14:textId="77777777" w:rsidR="007F1C2B" w:rsidRDefault="00B664AF">
      <w:pPr>
        <w:rPr>
          <w:szCs w:val="21"/>
        </w:rPr>
      </w:pPr>
    </w:p>
    <w:p w14:paraId="497B76C9" w14:textId="77777777" w:rsidR="007F1C2B" w:rsidRDefault="004F686E">
      <w:pPr>
        <w:kinsoku w:val="0"/>
        <w:overflowPunct w:val="0"/>
        <w:autoSpaceDE w:val="0"/>
        <w:autoSpaceDN w:val="0"/>
        <w:adjustRightInd w:val="0"/>
        <w:snapToGrid w:val="0"/>
        <w:spacing w:line="360" w:lineRule="exact"/>
        <w:jc w:val="center"/>
        <w:rPr>
          <w:noProof/>
        </w:rPr>
      </w:pPr>
      <w:r>
        <w:rPr>
          <w:rFonts w:hint="eastAsia"/>
          <w:b/>
          <w:sz w:val="32"/>
          <w:szCs w:val="32"/>
        </w:rPr>
        <w:t>目录</w:t>
      </w:r>
      <w:r>
        <w:rPr>
          <w:shd w:val="pct15" w:color="auto" w:fill="FFFFFF"/>
        </w:rPr>
        <w:fldChar w:fldCharType="begin"/>
      </w:r>
      <w:r>
        <w:rPr>
          <w:shd w:val="pct15" w:color="auto" w:fill="FFFFFF"/>
        </w:rPr>
        <w:instrText xml:space="preserve"> TOC \o "1-1" \h \z \u </w:instrText>
      </w:r>
      <w:r>
        <w:rPr>
          <w:shd w:val="pct15" w:color="auto" w:fill="FFFFFF"/>
        </w:rPr>
        <w:fldChar w:fldCharType="separate"/>
      </w:r>
    </w:p>
    <w:p w14:paraId="2088CCAC" w14:textId="018F55A6" w:rsidR="007F1C2B" w:rsidRDefault="00B664AF">
      <w:pPr>
        <w:pStyle w:val="TOC1"/>
        <w:rPr>
          <w:rFonts w:asciiTheme="minorHAnsi" w:eastAsiaTheme="minorEastAsia" w:hAnsiTheme="minorHAnsi" w:cstheme="minorBidi"/>
          <w:b/>
          <w:bCs/>
          <w:noProof/>
          <w:szCs w:val="22"/>
        </w:rPr>
      </w:pPr>
      <w:hyperlink w:anchor="_Toc76114272" w:history="1">
        <w:r w:rsidR="004F686E">
          <w:rPr>
            <w:rStyle w:val="a3"/>
            <w:rFonts w:ascii="黑体" w:hAnsi="黑体"/>
            <w:b/>
            <w:bCs/>
            <w:noProof/>
          </w:rPr>
          <w:t>第一节</w:t>
        </w:r>
        <w:r w:rsidR="004F686E">
          <w:rPr>
            <w:rFonts w:asciiTheme="minorHAnsi" w:eastAsiaTheme="minorEastAsia" w:hAnsiTheme="minorHAnsi" w:cstheme="minorBidi"/>
            <w:b/>
            <w:bCs/>
            <w:noProof/>
            <w:szCs w:val="22"/>
          </w:rPr>
          <w:tab/>
        </w:r>
        <w:r w:rsidR="004F686E">
          <w:rPr>
            <w:rStyle w:val="a3"/>
            <w:rFonts w:ascii="黑体" w:hAnsi="黑体"/>
            <w:b/>
            <w:bCs/>
            <w:noProof/>
          </w:rPr>
          <w:t>释义</w:t>
        </w:r>
        <w:r w:rsidR="004F686E">
          <w:rPr>
            <w:b/>
            <w:bCs/>
            <w:noProof/>
            <w:webHidden/>
          </w:rPr>
          <w:tab/>
        </w:r>
        <w:r w:rsidR="004F686E">
          <w:rPr>
            <w:b/>
            <w:bCs/>
            <w:noProof/>
            <w:webHidden/>
          </w:rPr>
          <w:fldChar w:fldCharType="begin"/>
        </w:r>
        <w:r w:rsidR="004F686E">
          <w:rPr>
            <w:b/>
            <w:bCs/>
            <w:noProof/>
            <w:webHidden/>
          </w:rPr>
          <w:instrText xml:space="preserve"> PAGEREF _Toc76114272 \h </w:instrText>
        </w:r>
        <w:r w:rsidR="004F686E">
          <w:rPr>
            <w:b/>
            <w:bCs/>
            <w:noProof/>
            <w:webHidden/>
          </w:rPr>
        </w:r>
        <w:r w:rsidR="004F686E">
          <w:rPr>
            <w:b/>
            <w:bCs/>
            <w:noProof/>
            <w:webHidden/>
          </w:rPr>
          <w:fldChar w:fldCharType="separate"/>
        </w:r>
        <w:r w:rsidR="004F686E">
          <w:rPr>
            <w:b/>
            <w:bCs/>
            <w:noProof/>
            <w:webHidden/>
          </w:rPr>
          <w:t>5</w:t>
        </w:r>
        <w:r w:rsidR="004F686E">
          <w:rPr>
            <w:b/>
            <w:bCs/>
            <w:noProof/>
            <w:webHidden/>
          </w:rPr>
          <w:fldChar w:fldCharType="end"/>
        </w:r>
      </w:hyperlink>
    </w:p>
    <w:p w14:paraId="3B20992F" w14:textId="0C2B331E" w:rsidR="007F1C2B" w:rsidRDefault="00B664AF">
      <w:pPr>
        <w:pStyle w:val="TOC1"/>
        <w:rPr>
          <w:rFonts w:asciiTheme="minorHAnsi" w:eastAsiaTheme="minorEastAsia" w:hAnsiTheme="minorHAnsi" w:cstheme="minorBidi"/>
          <w:b/>
          <w:bCs/>
          <w:noProof/>
          <w:szCs w:val="22"/>
        </w:rPr>
      </w:pPr>
      <w:hyperlink w:anchor="_Toc76114273" w:history="1">
        <w:r w:rsidR="004F686E">
          <w:rPr>
            <w:rStyle w:val="a3"/>
            <w:rFonts w:ascii="黑体" w:hAnsi="黑体"/>
            <w:b/>
            <w:bCs/>
            <w:noProof/>
          </w:rPr>
          <w:t>第二节</w:t>
        </w:r>
        <w:r w:rsidR="004F686E">
          <w:rPr>
            <w:rFonts w:asciiTheme="minorHAnsi" w:eastAsiaTheme="minorEastAsia" w:hAnsiTheme="minorHAnsi" w:cstheme="minorBidi"/>
            <w:b/>
            <w:bCs/>
            <w:noProof/>
            <w:szCs w:val="22"/>
          </w:rPr>
          <w:tab/>
        </w:r>
        <w:r w:rsidR="004F686E">
          <w:rPr>
            <w:rStyle w:val="a3"/>
            <w:rFonts w:ascii="黑体" w:hAnsi="黑体"/>
            <w:b/>
            <w:bCs/>
            <w:noProof/>
          </w:rPr>
          <w:t>公司简介和主要财务指标</w:t>
        </w:r>
        <w:r w:rsidR="004F686E">
          <w:rPr>
            <w:b/>
            <w:bCs/>
            <w:noProof/>
            <w:webHidden/>
          </w:rPr>
          <w:tab/>
        </w:r>
        <w:r w:rsidR="004F686E">
          <w:rPr>
            <w:b/>
            <w:bCs/>
            <w:noProof/>
            <w:webHidden/>
          </w:rPr>
          <w:fldChar w:fldCharType="begin"/>
        </w:r>
        <w:r w:rsidR="004F686E">
          <w:rPr>
            <w:b/>
            <w:bCs/>
            <w:noProof/>
            <w:webHidden/>
          </w:rPr>
          <w:instrText xml:space="preserve"> PAGEREF _Toc76114273 \h </w:instrText>
        </w:r>
        <w:r w:rsidR="004F686E">
          <w:rPr>
            <w:b/>
            <w:bCs/>
            <w:noProof/>
            <w:webHidden/>
          </w:rPr>
        </w:r>
        <w:r w:rsidR="004F686E">
          <w:rPr>
            <w:b/>
            <w:bCs/>
            <w:noProof/>
            <w:webHidden/>
          </w:rPr>
          <w:fldChar w:fldCharType="separate"/>
        </w:r>
        <w:r w:rsidR="004F686E">
          <w:rPr>
            <w:b/>
            <w:bCs/>
            <w:noProof/>
            <w:webHidden/>
          </w:rPr>
          <w:t>6</w:t>
        </w:r>
        <w:r w:rsidR="004F686E">
          <w:rPr>
            <w:b/>
            <w:bCs/>
            <w:noProof/>
            <w:webHidden/>
          </w:rPr>
          <w:fldChar w:fldCharType="end"/>
        </w:r>
      </w:hyperlink>
    </w:p>
    <w:p w14:paraId="6CA16A7A" w14:textId="7BA65D12" w:rsidR="007F1C2B" w:rsidRDefault="00B664AF">
      <w:pPr>
        <w:pStyle w:val="TOC1"/>
        <w:rPr>
          <w:rFonts w:asciiTheme="minorHAnsi" w:eastAsiaTheme="minorEastAsia" w:hAnsiTheme="minorHAnsi" w:cstheme="minorBidi"/>
          <w:b/>
          <w:bCs/>
          <w:noProof/>
          <w:szCs w:val="22"/>
        </w:rPr>
      </w:pPr>
      <w:hyperlink w:anchor="_Toc76114274" w:history="1">
        <w:r w:rsidR="004F686E">
          <w:rPr>
            <w:rStyle w:val="a3"/>
            <w:rFonts w:ascii="黑体" w:hAnsi="黑体"/>
            <w:b/>
            <w:bCs/>
            <w:noProof/>
          </w:rPr>
          <w:t>第三节</w:t>
        </w:r>
        <w:r w:rsidR="004F686E">
          <w:rPr>
            <w:rFonts w:asciiTheme="minorHAnsi" w:eastAsiaTheme="minorEastAsia" w:hAnsiTheme="minorHAnsi" w:cstheme="minorBidi"/>
            <w:b/>
            <w:bCs/>
            <w:noProof/>
            <w:szCs w:val="22"/>
          </w:rPr>
          <w:tab/>
        </w:r>
        <w:r w:rsidR="004F686E">
          <w:rPr>
            <w:rStyle w:val="a3"/>
            <w:rFonts w:ascii="黑体" w:hAnsi="黑体"/>
            <w:b/>
            <w:bCs/>
            <w:noProof/>
          </w:rPr>
          <w:t>管理层讨论与分析</w:t>
        </w:r>
        <w:r w:rsidR="004F686E">
          <w:rPr>
            <w:b/>
            <w:bCs/>
            <w:noProof/>
            <w:webHidden/>
          </w:rPr>
          <w:tab/>
        </w:r>
        <w:r w:rsidR="004F686E">
          <w:rPr>
            <w:b/>
            <w:bCs/>
            <w:noProof/>
            <w:webHidden/>
          </w:rPr>
          <w:fldChar w:fldCharType="begin"/>
        </w:r>
        <w:r w:rsidR="004F686E">
          <w:rPr>
            <w:b/>
            <w:bCs/>
            <w:noProof/>
            <w:webHidden/>
          </w:rPr>
          <w:instrText xml:space="preserve"> PAGEREF _Toc76114274 \h </w:instrText>
        </w:r>
        <w:r w:rsidR="004F686E">
          <w:rPr>
            <w:b/>
            <w:bCs/>
            <w:noProof/>
            <w:webHidden/>
          </w:rPr>
        </w:r>
        <w:r w:rsidR="004F686E">
          <w:rPr>
            <w:b/>
            <w:bCs/>
            <w:noProof/>
            <w:webHidden/>
          </w:rPr>
          <w:fldChar w:fldCharType="separate"/>
        </w:r>
        <w:r w:rsidR="004F686E">
          <w:rPr>
            <w:b/>
            <w:bCs/>
            <w:noProof/>
            <w:webHidden/>
          </w:rPr>
          <w:t>9</w:t>
        </w:r>
        <w:r w:rsidR="004F686E">
          <w:rPr>
            <w:b/>
            <w:bCs/>
            <w:noProof/>
            <w:webHidden/>
          </w:rPr>
          <w:fldChar w:fldCharType="end"/>
        </w:r>
      </w:hyperlink>
    </w:p>
    <w:p w14:paraId="077EB253" w14:textId="10C76BCE" w:rsidR="007F1C2B" w:rsidRDefault="00B664AF">
      <w:pPr>
        <w:pStyle w:val="TOC1"/>
        <w:rPr>
          <w:rFonts w:asciiTheme="minorHAnsi" w:eastAsiaTheme="minorEastAsia" w:hAnsiTheme="minorHAnsi" w:cstheme="minorBidi"/>
          <w:b/>
          <w:bCs/>
          <w:noProof/>
          <w:szCs w:val="22"/>
        </w:rPr>
      </w:pPr>
      <w:hyperlink w:anchor="_Toc76114275" w:history="1">
        <w:r w:rsidR="004F686E">
          <w:rPr>
            <w:rStyle w:val="a3"/>
            <w:rFonts w:ascii="黑体" w:hAnsi="黑体"/>
            <w:b/>
            <w:bCs/>
            <w:noProof/>
          </w:rPr>
          <w:t>第四节</w:t>
        </w:r>
        <w:r w:rsidR="004F686E">
          <w:rPr>
            <w:rFonts w:asciiTheme="minorHAnsi" w:eastAsiaTheme="minorEastAsia" w:hAnsiTheme="minorHAnsi" w:cstheme="minorBidi"/>
            <w:b/>
            <w:bCs/>
            <w:noProof/>
            <w:szCs w:val="22"/>
          </w:rPr>
          <w:tab/>
        </w:r>
        <w:r w:rsidR="004F686E">
          <w:rPr>
            <w:rStyle w:val="a3"/>
            <w:rFonts w:ascii="黑体" w:hAnsi="黑体"/>
            <w:b/>
            <w:bCs/>
            <w:noProof/>
          </w:rPr>
          <w:t>公司治理</w:t>
        </w:r>
        <w:r w:rsidR="004F686E">
          <w:rPr>
            <w:b/>
            <w:bCs/>
            <w:noProof/>
            <w:webHidden/>
          </w:rPr>
          <w:tab/>
        </w:r>
        <w:r w:rsidR="004F686E">
          <w:rPr>
            <w:b/>
            <w:bCs/>
            <w:noProof/>
            <w:webHidden/>
          </w:rPr>
          <w:fldChar w:fldCharType="begin"/>
        </w:r>
        <w:r w:rsidR="004F686E">
          <w:rPr>
            <w:b/>
            <w:bCs/>
            <w:noProof/>
            <w:webHidden/>
          </w:rPr>
          <w:instrText xml:space="preserve"> PAGEREF _Toc76114275 \h </w:instrText>
        </w:r>
        <w:r w:rsidR="004F686E">
          <w:rPr>
            <w:b/>
            <w:bCs/>
            <w:noProof/>
            <w:webHidden/>
          </w:rPr>
        </w:r>
        <w:r w:rsidR="004F686E">
          <w:rPr>
            <w:b/>
            <w:bCs/>
            <w:noProof/>
            <w:webHidden/>
          </w:rPr>
          <w:fldChar w:fldCharType="separate"/>
        </w:r>
        <w:r w:rsidR="004F686E">
          <w:rPr>
            <w:b/>
            <w:bCs/>
            <w:noProof/>
            <w:webHidden/>
          </w:rPr>
          <w:t>16</w:t>
        </w:r>
        <w:r w:rsidR="004F686E">
          <w:rPr>
            <w:b/>
            <w:bCs/>
            <w:noProof/>
            <w:webHidden/>
          </w:rPr>
          <w:fldChar w:fldCharType="end"/>
        </w:r>
      </w:hyperlink>
    </w:p>
    <w:p w14:paraId="228BD220" w14:textId="306F561A" w:rsidR="007F1C2B" w:rsidRDefault="00B664AF">
      <w:pPr>
        <w:pStyle w:val="TOC1"/>
        <w:rPr>
          <w:rFonts w:asciiTheme="minorHAnsi" w:eastAsiaTheme="minorEastAsia" w:hAnsiTheme="minorHAnsi" w:cstheme="minorBidi"/>
          <w:b/>
          <w:bCs/>
          <w:noProof/>
          <w:szCs w:val="22"/>
        </w:rPr>
      </w:pPr>
      <w:hyperlink w:anchor="_Toc76114276" w:history="1">
        <w:r w:rsidR="004F686E">
          <w:rPr>
            <w:rStyle w:val="a3"/>
            <w:rFonts w:ascii="黑体" w:hAnsi="黑体"/>
            <w:b/>
            <w:bCs/>
            <w:noProof/>
          </w:rPr>
          <w:t>第五节</w:t>
        </w:r>
        <w:r w:rsidR="004F686E">
          <w:rPr>
            <w:rFonts w:asciiTheme="minorHAnsi" w:eastAsiaTheme="minorEastAsia" w:hAnsiTheme="minorHAnsi" w:cstheme="minorBidi"/>
            <w:b/>
            <w:bCs/>
            <w:noProof/>
            <w:szCs w:val="22"/>
          </w:rPr>
          <w:tab/>
        </w:r>
        <w:r w:rsidR="004F686E">
          <w:rPr>
            <w:rStyle w:val="a3"/>
            <w:rFonts w:ascii="黑体" w:hAnsi="黑体"/>
            <w:b/>
            <w:bCs/>
            <w:noProof/>
          </w:rPr>
          <w:t>环境与社会责任</w:t>
        </w:r>
        <w:r w:rsidR="004F686E">
          <w:rPr>
            <w:b/>
            <w:bCs/>
            <w:noProof/>
            <w:webHidden/>
          </w:rPr>
          <w:tab/>
        </w:r>
        <w:r w:rsidR="004F686E">
          <w:rPr>
            <w:b/>
            <w:bCs/>
            <w:noProof/>
            <w:webHidden/>
          </w:rPr>
          <w:fldChar w:fldCharType="begin"/>
        </w:r>
        <w:r w:rsidR="004F686E">
          <w:rPr>
            <w:b/>
            <w:bCs/>
            <w:noProof/>
            <w:webHidden/>
          </w:rPr>
          <w:instrText xml:space="preserve"> PAGEREF _Toc76114276 \h </w:instrText>
        </w:r>
        <w:r w:rsidR="004F686E">
          <w:rPr>
            <w:b/>
            <w:bCs/>
            <w:noProof/>
            <w:webHidden/>
          </w:rPr>
        </w:r>
        <w:r w:rsidR="004F686E">
          <w:rPr>
            <w:b/>
            <w:bCs/>
            <w:noProof/>
            <w:webHidden/>
          </w:rPr>
          <w:fldChar w:fldCharType="separate"/>
        </w:r>
        <w:r w:rsidR="004F686E">
          <w:rPr>
            <w:b/>
            <w:bCs/>
            <w:noProof/>
            <w:webHidden/>
          </w:rPr>
          <w:t>19</w:t>
        </w:r>
        <w:r w:rsidR="004F686E">
          <w:rPr>
            <w:b/>
            <w:bCs/>
            <w:noProof/>
            <w:webHidden/>
          </w:rPr>
          <w:fldChar w:fldCharType="end"/>
        </w:r>
      </w:hyperlink>
    </w:p>
    <w:p w14:paraId="6908E366" w14:textId="4EE01D2B" w:rsidR="007F1C2B" w:rsidRDefault="00B664AF">
      <w:pPr>
        <w:pStyle w:val="TOC1"/>
        <w:rPr>
          <w:rFonts w:asciiTheme="minorHAnsi" w:eastAsiaTheme="minorEastAsia" w:hAnsiTheme="minorHAnsi" w:cstheme="minorBidi"/>
          <w:b/>
          <w:bCs/>
          <w:noProof/>
          <w:szCs w:val="22"/>
        </w:rPr>
      </w:pPr>
      <w:hyperlink w:anchor="_Toc76114277" w:history="1">
        <w:r w:rsidR="004F686E">
          <w:rPr>
            <w:rStyle w:val="a3"/>
            <w:rFonts w:ascii="黑体" w:hAnsi="黑体"/>
            <w:b/>
            <w:bCs/>
            <w:noProof/>
          </w:rPr>
          <w:t>第六节</w:t>
        </w:r>
        <w:r w:rsidR="004F686E">
          <w:rPr>
            <w:rFonts w:asciiTheme="minorHAnsi" w:eastAsiaTheme="minorEastAsia" w:hAnsiTheme="minorHAnsi" w:cstheme="minorBidi"/>
            <w:b/>
            <w:bCs/>
            <w:noProof/>
            <w:szCs w:val="22"/>
          </w:rPr>
          <w:tab/>
        </w:r>
        <w:r w:rsidR="004F686E">
          <w:rPr>
            <w:rStyle w:val="a3"/>
            <w:rFonts w:ascii="黑体" w:hAnsi="黑体"/>
            <w:b/>
            <w:bCs/>
            <w:noProof/>
          </w:rPr>
          <w:t>重要事项</w:t>
        </w:r>
        <w:r w:rsidR="004F686E">
          <w:rPr>
            <w:b/>
            <w:bCs/>
            <w:noProof/>
            <w:webHidden/>
          </w:rPr>
          <w:tab/>
        </w:r>
        <w:r w:rsidR="004F686E">
          <w:rPr>
            <w:b/>
            <w:bCs/>
            <w:noProof/>
            <w:webHidden/>
          </w:rPr>
          <w:fldChar w:fldCharType="begin"/>
        </w:r>
        <w:r w:rsidR="004F686E">
          <w:rPr>
            <w:b/>
            <w:bCs/>
            <w:noProof/>
            <w:webHidden/>
          </w:rPr>
          <w:instrText xml:space="preserve"> PAGEREF _Toc76114277 \h </w:instrText>
        </w:r>
        <w:r w:rsidR="004F686E">
          <w:rPr>
            <w:b/>
            <w:bCs/>
            <w:noProof/>
            <w:webHidden/>
          </w:rPr>
        </w:r>
        <w:r w:rsidR="004F686E">
          <w:rPr>
            <w:b/>
            <w:bCs/>
            <w:noProof/>
            <w:webHidden/>
          </w:rPr>
          <w:fldChar w:fldCharType="separate"/>
        </w:r>
        <w:r w:rsidR="004F686E">
          <w:rPr>
            <w:b/>
            <w:bCs/>
            <w:noProof/>
            <w:webHidden/>
          </w:rPr>
          <w:t>25</w:t>
        </w:r>
        <w:r w:rsidR="004F686E">
          <w:rPr>
            <w:b/>
            <w:bCs/>
            <w:noProof/>
            <w:webHidden/>
          </w:rPr>
          <w:fldChar w:fldCharType="end"/>
        </w:r>
      </w:hyperlink>
    </w:p>
    <w:p w14:paraId="1508AEBA" w14:textId="542CA9D7" w:rsidR="007F1C2B" w:rsidRDefault="00B664AF">
      <w:pPr>
        <w:pStyle w:val="TOC1"/>
        <w:rPr>
          <w:rFonts w:asciiTheme="minorHAnsi" w:eastAsiaTheme="minorEastAsia" w:hAnsiTheme="minorHAnsi" w:cstheme="minorBidi"/>
          <w:b/>
          <w:bCs/>
          <w:noProof/>
          <w:szCs w:val="22"/>
        </w:rPr>
      </w:pPr>
      <w:hyperlink w:anchor="_Toc76114278" w:history="1">
        <w:r w:rsidR="004F686E">
          <w:rPr>
            <w:rStyle w:val="a3"/>
            <w:rFonts w:ascii="黑体" w:hAnsi="黑体"/>
            <w:b/>
            <w:bCs/>
            <w:noProof/>
          </w:rPr>
          <w:t>第七节</w:t>
        </w:r>
        <w:r w:rsidR="004F686E">
          <w:rPr>
            <w:rFonts w:asciiTheme="minorHAnsi" w:eastAsiaTheme="minorEastAsia" w:hAnsiTheme="minorHAnsi" w:cstheme="minorBidi"/>
            <w:b/>
            <w:bCs/>
            <w:noProof/>
            <w:szCs w:val="22"/>
          </w:rPr>
          <w:tab/>
        </w:r>
        <w:r w:rsidR="004F686E">
          <w:rPr>
            <w:rStyle w:val="a3"/>
            <w:rFonts w:ascii="黑体" w:hAnsi="黑体"/>
            <w:b/>
            <w:bCs/>
            <w:noProof/>
          </w:rPr>
          <w:t>股份变动及股东情况</w:t>
        </w:r>
        <w:r w:rsidR="004F686E">
          <w:rPr>
            <w:b/>
            <w:bCs/>
            <w:noProof/>
            <w:webHidden/>
          </w:rPr>
          <w:tab/>
        </w:r>
        <w:r w:rsidR="004F686E">
          <w:rPr>
            <w:b/>
            <w:bCs/>
            <w:noProof/>
            <w:webHidden/>
          </w:rPr>
          <w:fldChar w:fldCharType="begin"/>
        </w:r>
        <w:r w:rsidR="004F686E">
          <w:rPr>
            <w:b/>
            <w:bCs/>
            <w:noProof/>
            <w:webHidden/>
          </w:rPr>
          <w:instrText xml:space="preserve"> PAGEREF _Toc76114278 \h </w:instrText>
        </w:r>
        <w:r w:rsidR="004F686E">
          <w:rPr>
            <w:b/>
            <w:bCs/>
            <w:noProof/>
            <w:webHidden/>
          </w:rPr>
        </w:r>
        <w:r w:rsidR="004F686E">
          <w:rPr>
            <w:b/>
            <w:bCs/>
            <w:noProof/>
            <w:webHidden/>
          </w:rPr>
          <w:fldChar w:fldCharType="separate"/>
        </w:r>
        <w:r w:rsidR="004F686E">
          <w:rPr>
            <w:b/>
            <w:bCs/>
            <w:noProof/>
            <w:webHidden/>
          </w:rPr>
          <w:t>34</w:t>
        </w:r>
        <w:r w:rsidR="004F686E">
          <w:rPr>
            <w:b/>
            <w:bCs/>
            <w:noProof/>
            <w:webHidden/>
          </w:rPr>
          <w:fldChar w:fldCharType="end"/>
        </w:r>
      </w:hyperlink>
    </w:p>
    <w:p w14:paraId="0923D3EA" w14:textId="542DB997" w:rsidR="007F1C2B" w:rsidRDefault="00B664AF">
      <w:pPr>
        <w:pStyle w:val="TOC1"/>
        <w:rPr>
          <w:rFonts w:asciiTheme="minorHAnsi" w:eastAsiaTheme="minorEastAsia" w:hAnsiTheme="minorHAnsi" w:cstheme="minorBidi"/>
          <w:b/>
          <w:bCs/>
          <w:noProof/>
          <w:szCs w:val="22"/>
        </w:rPr>
      </w:pPr>
      <w:hyperlink w:anchor="_Toc76114279" w:history="1">
        <w:r w:rsidR="004F686E">
          <w:rPr>
            <w:rStyle w:val="a3"/>
            <w:rFonts w:ascii="黑体" w:hAnsi="黑体"/>
            <w:b/>
            <w:bCs/>
            <w:noProof/>
          </w:rPr>
          <w:t>第八节</w:t>
        </w:r>
        <w:r w:rsidR="004F686E">
          <w:rPr>
            <w:rFonts w:asciiTheme="minorHAnsi" w:eastAsiaTheme="minorEastAsia" w:hAnsiTheme="minorHAnsi" w:cstheme="minorBidi"/>
            <w:b/>
            <w:bCs/>
            <w:noProof/>
            <w:szCs w:val="22"/>
          </w:rPr>
          <w:tab/>
        </w:r>
        <w:r w:rsidR="004F686E">
          <w:rPr>
            <w:rStyle w:val="a3"/>
            <w:rFonts w:ascii="黑体" w:hAnsi="黑体"/>
            <w:b/>
            <w:bCs/>
            <w:noProof/>
          </w:rPr>
          <w:t>优先股相关情况</w:t>
        </w:r>
        <w:r w:rsidR="004F686E">
          <w:rPr>
            <w:b/>
            <w:bCs/>
            <w:noProof/>
            <w:webHidden/>
          </w:rPr>
          <w:tab/>
        </w:r>
        <w:r w:rsidR="004F686E">
          <w:rPr>
            <w:b/>
            <w:bCs/>
            <w:noProof/>
            <w:webHidden/>
          </w:rPr>
          <w:fldChar w:fldCharType="begin"/>
        </w:r>
        <w:r w:rsidR="004F686E">
          <w:rPr>
            <w:b/>
            <w:bCs/>
            <w:noProof/>
            <w:webHidden/>
          </w:rPr>
          <w:instrText xml:space="preserve"> PAGEREF _Toc76114279 \h </w:instrText>
        </w:r>
        <w:r w:rsidR="004F686E">
          <w:rPr>
            <w:b/>
            <w:bCs/>
            <w:noProof/>
            <w:webHidden/>
          </w:rPr>
        </w:r>
        <w:r w:rsidR="004F686E">
          <w:rPr>
            <w:b/>
            <w:bCs/>
            <w:noProof/>
            <w:webHidden/>
          </w:rPr>
          <w:fldChar w:fldCharType="separate"/>
        </w:r>
        <w:r w:rsidR="004F686E">
          <w:rPr>
            <w:b/>
            <w:bCs/>
            <w:noProof/>
            <w:webHidden/>
          </w:rPr>
          <w:t>36</w:t>
        </w:r>
        <w:r w:rsidR="004F686E">
          <w:rPr>
            <w:b/>
            <w:bCs/>
            <w:noProof/>
            <w:webHidden/>
          </w:rPr>
          <w:fldChar w:fldCharType="end"/>
        </w:r>
      </w:hyperlink>
    </w:p>
    <w:p w14:paraId="3E857048" w14:textId="1DE99716" w:rsidR="007F1C2B" w:rsidRDefault="00B664AF">
      <w:pPr>
        <w:pStyle w:val="TOC1"/>
        <w:rPr>
          <w:rFonts w:asciiTheme="minorHAnsi" w:eastAsiaTheme="minorEastAsia" w:hAnsiTheme="minorHAnsi" w:cstheme="minorBidi"/>
          <w:b/>
          <w:bCs/>
          <w:noProof/>
          <w:szCs w:val="22"/>
        </w:rPr>
      </w:pPr>
      <w:hyperlink w:anchor="_Toc76114280" w:history="1">
        <w:r w:rsidR="004F686E">
          <w:rPr>
            <w:rStyle w:val="a3"/>
            <w:rFonts w:ascii="黑体" w:hAnsi="黑体"/>
            <w:b/>
            <w:bCs/>
            <w:noProof/>
          </w:rPr>
          <w:t>第九节</w:t>
        </w:r>
        <w:r w:rsidR="004F686E">
          <w:rPr>
            <w:rFonts w:asciiTheme="minorHAnsi" w:eastAsiaTheme="minorEastAsia" w:hAnsiTheme="minorHAnsi" w:cstheme="minorBidi"/>
            <w:b/>
            <w:bCs/>
            <w:noProof/>
            <w:szCs w:val="22"/>
          </w:rPr>
          <w:tab/>
        </w:r>
        <w:r w:rsidR="004F686E">
          <w:rPr>
            <w:rStyle w:val="a3"/>
            <w:rFonts w:ascii="黑体" w:hAnsi="黑体"/>
            <w:b/>
            <w:bCs/>
            <w:noProof/>
          </w:rPr>
          <w:t>债券相关情况</w:t>
        </w:r>
        <w:r w:rsidR="004F686E">
          <w:rPr>
            <w:b/>
            <w:bCs/>
            <w:noProof/>
            <w:webHidden/>
          </w:rPr>
          <w:tab/>
        </w:r>
        <w:r w:rsidR="004F686E">
          <w:rPr>
            <w:b/>
            <w:bCs/>
            <w:noProof/>
            <w:webHidden/>
          </w:rPr>
          <w:fldChar w:fldCharType="begin"/>
        </w:r>
        <w:r w:rsidR="004F686E">
          <w:rPr>
            <w:b/>
            <w:bCs/>
            <w:noProof/>
            <w:webHidden/>
          </w:rPr>
          <w:instrText xml:space="preserve"> PAGEREF _Toc76114280 \h </w:instrText>
        </w:r>
        <w:r w:rsidR="004F686E">
          <w:rPr>
            <w:b/>
            <w:bCs/>
            <w:noProof/>
            <w:webHidden/>
          </w:rPr>
        </w:r>
        <w:r w:rsidR="004F686E">
          <w:rPr>
            <w:b/>
            <w:bCs/>
            <w:noProof/>
            <w:webHidden/>
          </w:rPr>
          <w:fldChar w:fldCharType="separate"/>
        </w:r>
        <w:r w:rsidR="004F686E">
          <w:rPr>
            <w:b/>
            <w:bCs/>
            <w:noProof/>
            <w:webHidden/>
          </w:rPr>
          <w:t>37</w:t>
        </w:r>
        <w:r w:rsidR="004F686E">
          <w:rPr>
            <w:b/>
            <w:bCs/>
            <w:noProof/>
            <w:webHidden/>
          </w:rPr>
          <w:fldChar w:fldCharType="end"/>
        </w:r>
      </w:hyperlink>
    </w:p>
    <w:p w14:paraId="20313D72" w14:textId="6AB9331B" w:rsidR="007F1C2B" w:rsidRDefault="00B664AF">
      <w:pPr>
        <w:pStyle w:val="TOC1"/>
        <w:rPr>
          <w:rFonts w:asciiTheme="minorHAnsi" w:eastAsiaTheme="minorEastAsia" w:hAnsiTheme="minorHAnsi" w:cstheme="minorBidi"/>
          <w:b/>
          <w:bCs/>
          <w:noProof/>
          <w:szCs w:val="22"/>
        </w:rPr>
      </w:pPr>
      <w:hyperlink w:anchor="_Toc76114281" w:history="1">
        <w:r w:rsidR="004F686E">
          <w:rPr>
            <w:rStyle w:val="a3"/>
            <w:rFonts w:ascii="黑体" w:hAnsi="黑体"/>
            <w:b/>
            <w:bCs/>
            <w:noProof/>
          </w:rPr>
          <w:t>第十节</w:t>
        </w:r>
        <w:r w:rsidR="004F686E">
          <w:rPr>
            <w:rFonts w:asciiTheme="minorHAnsi" w:eastAsiaTheme="minorEastAsia" w:hAnsiTheme="minorHAnsi" w:cstheme="minorBidi"/>
            <w:b/>
            <w:bCs/>
            <w:noProof/>
            <w:szCs w:val="22"/>
          </w:rPr>
          <w:tab/>
        </w:r>
        <w:r w:rsidR="004F686E">
          <w:rPr>
            <w:rStyle w:val="a3"/>
            <w:rFonts w:ascii="黑体" w:hAnsi="黑体"/>
            <w:b/>
            <w:bCs/>
            <w:noProof/>
          </w:rPr>
          <w:t>财务报告</w:t>
        </w:r>
        <w:r w:rsidR="004F686E">
          <w:rPr>
            <w:b/>
            <w:bCs/>
            <w:noProof/>
            <w:webHidden/>
          </w:rPr>
          <w:tab/>
        </w:r>
        <w:r w:rsidR="004F686E">
          <w:rPr>
            <w:b/>
            <w:bCs/>
            <w:noProof/>
            <w:webHidden/>
          </w:rPr>
          <w:fldChar w:fldCharType="begin"/>
        </w:r>
        <w:r w:rsidR="004F686E">
          <w:rPr>
            <w:b/>
            <w:bCs/>
            <w:noProof/>
            <w:webHidden/>
          </w:rPr>
          <w:instrText xml:space="preserve"> PAGEREF _Toc76114281 \h </w:instrText>
        </w:r>
        <w:r w:rsidR="004F686E">
          <w:rPr>
            <w:b/>
            <w:bCs/>
            <w:noProof/>
            <w:webHidden/>
          </w:rPr>
        </w:r>
        <w:r w:rsidR="004F686E">
          <w:rPr>
            <w:b/>
            <w:bCs/>
            <w:noProof/>
            <w:webHidden/>
          </w:rPr>
          <w:fldChar w:fldCharType="separate"/>
        </w:r>
        <w:r w:rsidR="004F686E">
          <w:rPr>
            <w:b/>
            <w:bCs/>
            <w:noProof/>
            <w:webHidden/>
          </w:rPr>
          <w:t>38</w:t>
        </w:r>
        <w:r w:rsidR="004F686E">
          <w:rPr>
            <w:b/>
            <w:bCs/>
            <w:noProof/>
            <w:webHidden/>
          </w:rPr>
          <w:fldChar w:fldCharType="end"/>
        </w:r>
      </w:hyperlink>
    </w:p>
    <w:p w14:paraId="679FB0D4" w14:textId="5D8E81A6" w:rsidR="007F1C2B" w:rsidRDefault="004F686E">
      <w:pPr>
        <w:kinsoku w:val="0"/>
        <w:overflowPunct w:val="0"/>
        <w:autoSpaceDE w:val="0"/>
        <w:autoSpaceDN w:val="0"/>
        <w:adjustRightInd w:val="0"/>
        <w:snapToGrid w:val="0"/>
        <w:spacing w:line="360" w:lineRule="exact"/>
        <w:rPr>
          <w:shd w:val="pct15" w:color="auto" w:fill="FFFFFF"/>
        </w:rPr>
      </w:pPr>
      <w:r>
        <w:rPr>
          <w:shd w:val="pct15" w:color="auto" w:fill="FFFFFF"/>
        </w:rPr>
        <w:fldChar w:fldCharType="end"/>
      </w:r>
    </w:p>
    <w:bookmarkStart w:id="3" w:name="_Hlk76111741" w:displacedByCustomXml="next"/>
    <w:sdt>
      <w:sdtPr>
        <w:rPr>
          <w:b/>
          <w:bCs/>
          <w:sz w:val="24"/>
        </w:rPr>
        <w:alias w:val="模块:备查文件目录"/>
        <w:tag w:val="_SEC_821e9eb80bde4a9883ae71815f226d98"/>
        <w:id w:val="-844016195"/>
        <w:lock w:val="sdtLocked"/>
        <w:placeholder>
          <w:docPart w:val="GBC22222222222222222222222222222"/>
        </w:placeholder>
      </w:sdtPr>
      <w:sdtEndPr>
        <w:rPr>
          <w:b w:val="0"/>
          <w:bCs w:val="0"/>
          <w:sz w:val="21"/>
        </w:rPr>
      </w:sdtEndPr>
      <w:sdtContent>
        <w:p w14:paraId="30194349" w14:textId="3C3373BD" w:rsidR="007F1C2B" w:rsidRDefault="00B664AF">
          <w:pPr>
            <w:spacing w:line="360" w:lineRule="exact"/>
            <w:ind w:right="5"/>
            <w:rPr>
              <w:b/>
              <w:bCs/>
              <w:sz w:val="24"/>
            </w:rPr>
          </w:pPr>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276"/>
            <w:gridCol w:w="6547"/>
          </w:tblGrid>
          <w:sdt>
            <w:sdtPr>
              <w:rPr>
                <w:rFonts w:asciiTheme="minorHAnsi" w:eastAsiaTheme="minorEastAsia" w:hAnsiTheme="minorHAnsi" w:cstheme="minorBidi"/>
                <w:kern w:val="2"/>
                <w:szCs w:val="22"/>
              </w:rPr>
              <w:alias w:val="备查文件情况"/>
              <w:tag w:val="_TUP_d1defbbd2758417a8ea21948dd35feef"/>
              <w:id w:val="-111753212"/>
            </w:sdtPr>
            <w:sdtEndPr/>
            <w:sdtContent>
              <w:tr w:rsidR="001E7D21" w14:paraId="7BEEE250" w14:textId="77777777" w:rsidTr="00471D53">
                <w:trPr>
                  <w:cantSplit/>
                </w:trPr>
                <w:tc>
                  <w:tcPr>
                    <w:tcW w:w="1290" w:type="pct"/>
                    <w:vMerge w:val="restart"/>
                    <w:tcBorders>
                      <w:top w:val="single" w:sz="4" w:space="0" w:color="auto"/>
                      <w:left w:val="single" w:sz="4" w:space="0" w:color="auto"/>
                      <w:bottom w:val="single" w:sz="4" w:space="0" w:color="auto"/>
                      <w:right w:val="single" w:sz="4" w:space="0" w:color="auto"/>
                    </w:tcBorders>
                    <w:vAlign w:val="center"/>
                  </w:tcPr>
                  <w:sdt>
                    <w:sdtPr>
                      <w:tag w:val="_PLD_4dedc5664132424db8ffece735208815"/>
                      <w:id w:val="-1031565486"/>
                      <w:lock w:val="sdtLocked"/>
                    </w:sdtPr>
                    <w:sdtEndPr/>
                    <w:sdtContent>
                      <w:p w14:paraId="79EB5D91" w14:textId="77777777" w:rsidR="001E7D21" w:rsidRDefault="004F686E" w:rsidP="00471D53">
                        <w:pPr>
                          <w:autoSpaceDE w:val="0"/>
                          <w:autoSpaceDN w:val="0"/>
                          <w:adjustRightInd w:val="0"/>
                          <w:jc w:val="center"/>
                        </w:pPr>
                        <w:r>
                          <w:t>备查文件目录</w:t>
                        </w:r>
                      </w:p>
                    </w:sdtContent>
                  </w:sdt>
                </w:tc>
                <w:sdt>
                  <w:sdtPr>
                    <w:alias w:val="备查文件目录"/>
                    <w:tag w:val="_GBC_b75b724a20654c669c9ce009a20dc247"/>
                    <w:id w:val="-1531487424"/>
                    <w:lock w:val="sdtLocked"/>
                  </w:sdtPr>
                  <w:sdtEndPr/>
                  <w:sdtContent>
                    <w:tc>
                      <w:tcPr>
                        <w:tcW w:w="3710" w:type="pct"/>
                        <w:tcBorders>
                          <w:top w:val="single" w:sz="4" w:space="0" w:color="auto"/>
                          <w:left w:val="single" w:sz="4" w:space="0" w:color="auto"/>
                          <w:bottom w:val="single" w:sz="4" w:space="0" w:color="auto"/>
                          <w:right w:val="single" w:sz="4" w:space="0" w:color="auto"/>
                        </w:tcBorders>
                      </w:tcPr>
                      <w:p w14:paraId="55717052" w14:textId="77777777" w:rsidR="001E7D21" w:rsidRDefault="004F686E" w:rsidP="00471D53">
                        <w:pPr>
                          <w:autoSpaceDE w:val="0"/>
                          <w:autoSpaceDN w:val="0"/>
                          <w:adjustRightInd w:val="0"/>
                        </w:pPr>
                        <w:r w:rsidRPr="001E7D21">
                          <w:t>1、载有董事长亲笔签名的半年度报告正本。</w:t>
                        </w:r>
                        <w:r w:rsidRPr="001E7D21">
                          <w:cr/>
                        </w:r>
                      </w:p>
                    </w:tc>
                  </w:sdtContent>
                </w:sdt>
              </w:tr>
            </w:sdtContent>
          </w:sdt>
          <w:tr w:rsidR="001E7D21" w14:paraId="57534D3A" w14:textId="77777777" w:rsidTr="00471D53">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14:paraId="166CFFD1" w14:textId="77777777" w:rsidR="001E7D21" w:rsidRDefault="00B664AF" w:rsidP="00471D53"/>
            </w:tc>
            <w:sdt>
              <w:sdtPr>
                <w:alias w:val="备查文件目录"/>
                <w:tag w:val="_GBC_b75b724a20654c669c9ce009a20dc247"/>
                <w:id w:val="-1326591365"/>
                <w:lock w:val="sdtLocked"/>
              </w:sdtPr>
              <w:sdtEndPr/>
              <w:sdtContent>
                <w:tc>
                  <w:tcPr>
                    <w:tcW w:w="3710" w:type="pct"/>
                    <w:tcBorders>
                      <w:top w:val="single" w:sz="4" w:space="0" w:color="auto"/>
                      <w:left w:val="single" w:sz="4" w:space="0" w:color="auto"/>
                      <w:bottom w:val="single" w:sz="4" w:space="0" w:color="auto"/>
                      <w:right w:val="single" w:sz="4" w:space="0" w:color="auto"/>
                    </w:tcBorders>
                  </w:tcPr>
                  <w:p w14:paraId="6E9EA600" w14:textId="7CC8ED6D" w:rsidR="001E7D21" w:rsidRDefault="004F686E" w:rsidP="001E7D21">
                    <w:pPr>
                      <w:autoSpaceDE w:val="0"/>
                      <w:autoSpaceDN w:val="0"/>
                      <w:adjustRightInd w:val="0"/>
                    </w:pPr>
                    <w:r>
                      <w:t>2、载有公司法定代表人、主管会计工作负责人、会计机构负责人签名并</w:t>
                    </w:r>
                    <w:r>
                      <w:rPr>
                        <w:rFonts w:hint="eastAsia"/>
                      </w:rPr>
                      <w:t>盖章的财务报表。</w:t>
                    </w:r>
                  </w:p>
                </w:tc>
              </w:sdtContent>
            </w:sdt>
          </w:tr>
          <w:tr w:rsidR="001E7D21" w14:paraId="366F23C3" w14:textId="77777777" w:rsidTr="00471D53">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14:paraId="31C69465" w14:textId="77777777" w:rsidR="001E7D21" w:rsidRDefault="00B664AF" w:rsidP="00471D53"/>
            </w:tc>
            <w:sdt>
              <w:sdtPr>
                <w:alias w:val="备查文件目录"/>
                <w:tag w:val="_GBC_b75b724a20654c669c9ce009a20dc247"/>
                <w:id w:val="818163028"/>
                <w:lock w:val="sdtLocked"/>
              </w:sdtPr>
              <w:sdtEndPr/>
              <w:sdtContent>
                <w:tc>
                  <w:tcPr>
                    <w:tcW w:w="3710" w:type="pct"/>
                    <w:tcBorders>
                      <w:top w:val="single" w:sz="4" w:space="0" w:color="auto"/>
                      <w:left w:val="single" w:sz="4" w:space="0" w:color="auto"/>
                      <w:bottom w:val="single" w:sz="4" w:space="0" w:color="auto"/>
                      <w:right w:val="single" w:sz="4" w:space="0" w:color="auto"/>
                    </w:tcBorders>
                  </w:tcPr>
                  <w:p w14:paraId="2A37B6DE" w14:textId="324A5153" w:rsidR="001E7D21" w:rsidRDefault="004F686E" w:rsidP="001E7D21">
                    <w:pPr>
                      <w:autoSpaceDE w:val="0"/>
                      <w:autoSpaceDN w:val="0"/>
                      <w:adjustRightInd w:val="0"/>
                    </w:pPr>
                    <w:r>
                      <w:t>3、报告期内在《上海证券报》、上海证券交易所网站、香港联交所披露</w:t>
                    </w:r>
                    <w:r>
                      <w:rPr>
                        <w:rFonts w:hint="eastAsia"/>
                      </w:rPr>
                      <w:t>易网站上公开披露过的所有公司文件的正本。</w:t>
                    </w:r>
                    <w:r>
                      <w:cr/>
                    </w:r>
                  </w:p>
                </w:tc>
              </w:sdtContent>
            </w:sdt>
          </w:tr>
          <w:tr w:rsidR="001E7D21" w14:paraId="4442AF21" w14:textId="77777777" w:rsidTr="00471D53">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14:paraId="60BBC3C2" w14:textId="77777777" w:rsidR="001E7D21" w:rsidRDefault="00B664AF" w:rsidP="00471D53"/>
            </w:tc>
            <w:sdt>
              <w:sdtPr>
                <w:alias w:val="备查文件目录"/>
                <w:tag w:val="_GBC_b75b724a20654c669c9ce009a20dc247"/>
                <w:id w:val="1363554896"/>
                <w:lock w:val="sdtLocked"/>
              </w:sdtPr>
              <w:sdtEndPr/>
              <w:sdtContent>
                <w:tc>
                  <w:tcPr>
                    <w:tcW w:w="3710" w:type="pct"/>
                    <w:tcBorders>
                      <w:top w:val="single" w:sz="4" w:space="0" w:color="auto"/>
                      <w:left w:val="single" w:sz="4" w:space="0" w:color="auto"/>
                      <w:bottom w:val="single" w:sz="4" w:space="0" w:color="auto"/>
                      <w:right w:val="single" w:sz="4" w:space="0" w:color="auto"/>
                    </w:tcBorders>
                  </w:tcPr>
                  <w:p w14:paraId="1E51D41A" w14:textId="02654062" w:rsidR="001E7D21" w:rsidRDefault="004F686E" w:rsidP="00471D53">
                    <w:pPr>
                      <w:autoSpaceDE w:val="0"/>
                      <w:autoSpaceDN w:val="0"/>
                      <w:adjustRightInd w:val="0"/>
                    </w:pPr>
                    <w:r w:rsidRPr="001E7D21">
                      <w:t>4、公司章程。</w:t>
                    </w:r>
                  </w:p>
                </w:tc>
              </w:sdtContent>
            </w:sdt>
          </w:tr>
          <w:tr w:rsidR="001E7D21" w:rsidRPr="001E7D21" w14:paraId="3E06CD7B" w14:textId="77777777" w:rsidTr="00471D53">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14:paraId="4D455BFB" w14:textId="77777777" w:rsidR="001E7D21" w:rsidRDefault="00B664AF" w:rsidP="00471D53"/>
            </w:tc>
            <w:sdt>
              <w:sdtPr>
                <w:alias w:val="备查文件目录"/>
                <w:tag w:val="_GBC_b75b724a20654c669c9ce009a20dc247"/>
                <w:id w:val="2014870344"/>
                <w:lock w:val="sdtLocked"/>
              </w:sdtPr>
              <w:sdtEndPr/>
              <w:sdtContent>
                <w:tc>
                  <w:tcPr>
                    <w:tcW w:w="3710" w:type="pct"/>
                    <w:tcBorders>
                      <w:top w:val="single" w:sz="4" w:space="0" w:color="auto"/>
                      <w:left w:val="single" w:sz="4" w:space="0" w:color="auto"/>
                      <w:bottom w:val="single" w:sz="4" w:space="0" w:color="auto"/>
                      <w:right w:val="single" w:sz="4" w:space="0" w:color="auto"/>
                    </w:tcBorders>
                  </w:tcPr>
                  <w:p w14:paraId="78E68199" w14:textId="7EF99421" w:rsidR="001E7D21" w:rsidRDefault="004F686E" w:rsidP="001E7D21">
                    <w:pPr>
                      <w:autoSpaceDE w:val="0"/>
                      <w:autoSpaceDN w:val="0"/>
                      <w:adjustRightInd w:val="0"/>
                    </w:pPr>
                    <w:r>
                      <w:t>5、以上备查文件可到本公司董事会办公室查阅，地址为中国北京市通州</w:t>
                    </w:r>
                    <w:r>
                      <w:rPr>
                        <w:rFonts w:hint="eastAsia"/>
                      </w:rPr>
                      <w:t>区漷县镇漷县南三街</w:t>
                    </w:r>
                    <w:r>
                      <w:t>2号。</w:t>
                    </w:r>
                    <w:r>
                      <w:cr/>
                    </w:r>
                  </w:p>
                </w:tc>
              </w:sdtContent>
            </w:sdt>
          </w:tr>
        </w:tbl>
        <w:p w14:paraId="27045D76" w14:textId="141DFD63" w:rsidR="007F1C2B" w:rsidRPr="001E7D21" w:rsidRDefault="00B664AF" w:rsidP="001E7D21"/>
      </w:sdtContent>
    </w:sdt>
    <w:bookmarkEnd w:id="3"/>
    <w:p w14:paraId="5E7D456F" w14:textId="77777777" w:rsidR="007F1C2B" w:rsidRDefault="00B664AF">
      <w:pPr>
        <w:kinsoku w:val="0"/>
        <w:overflowPunct w:val="0"/>
        <w:autoSpaceDE w:val="0"/>
        <w:autoSpaceDN w:val="0"/>
        <w:adjustRightInd w:val="0"/>
        <w:snapToGrid w:val="0"/>
        <w:spacing w:line="360" w:lineRule="exact"/>
        <w:rPr>
          <w:szCs w:val="21"/>
          <w:shd w:val="pct15" w:color="auto" w:fill="FFFFFF"/>
        </w:rPr>
      </w:pPr>
    </w:p>
    <w:p w14:paraId="329BE041" w14:textId="77777777" w:rsidR="007F1C2B" w:rsidRDefault="004F686E">
      <w:pPr>
        <w:rPr>
          <w:szCs w:val="21"/>
        </w:rPr>
      </w:pPr>
      <w:r>
        <w:rPr>
          <w:szCs w:val="21"/>
        </w:rPr>
        <w:br w:type="page"/>
      </w:r>
    </w:p>
    <w:p w14:paraId="20F6E120" w14:textId="77777777" w:rsidR="007F1C2B" w:rsidRDefault="004F686E" w:rsidP="004F686E">
      <w:pPr>
        <w:pStyle w:val="10"/>
        <w:numPr>
          <w:ilvl w:val="0"/>
          <w:numId w:val="3"/>
        </w:numPr>
        <w:rPr>
          <w:rFonts w:ascii="黑体" w:hAnsi="黑体"/>
        </w:rPr>
      </w:pPr>
      <w:bookmarkStart w:id="4" w:name="_Toc76114272"/>
      <w:bookmarkStart w:id="5" w:name="_Toc342565880"/>
      <w:r>
        <w:rPr>
          <w:rFonts w:ascii="黑体" w:hAnsi="黑体" w:hint="eastAsia"/>
        </w:rPr>
        <w:lastRenderedPageBreak/>
        <w:t>释义</w:t>
      </w:r>
      <w:bookmarkEnd w:id="4"/>
    </w:p>
    <w:sdt>
      <w:sdtPr>
        <w:rPr>
          <w:b/>
          <w:bCs/>
          <w:sz w:val="24"/>
          <w:szCs w:val="22"/>
        </w:rPr>
        <w:alias w:val="模块:释义"/>
        <w:tag w:val="_GBC_5d2d156d1e654b289921f6ca279d0332"/>
        <w:id w:val="-1248716653"/>
        <w:lock w:val="sdtLocked"/>
        <w:placeholder>
          <w:docPart w:val="GBC22222222222222222222222222222"/>
        </w:placeholder>
      </w:sdtPr>
      <w:sdtEndPr>
        <w:rPr>
          <w:b w:val="0"/>
          <w:bCs w:val="0"/>
          <w:sz w:val="21"/>
          <w:szCs w:val="24"/>
        </w:rPr>
      </w:sdtEndPr>
      <w:sdtContent>
        <w:p w14:paraId="5A96716D" w14:textId="77777777" w:rsidR="009C29E3" w:rsidRDefault="004F686E">
          <w:pPr>
            <w:rPr>
              <w:szCs w:val="21"/>
            </w:rPr>
          </w:pPr>
          <w:r>
            <w:rPr>
              <w:szCs w:val="21"/>
            </w:rPr>
            <w:t>在本报告书中，除非文义另有所指，下列词语具有如下含义：</w:t>
          </w:r>
        </w:p>
        <w:tbl>
          <w:tblPr>
            <w:tblStyle w:val="g2"/>
            <w:tblW w:w="0" w:type="auto"/>
            <w:tblLook w:val="04A0" w:firstRow="1" w:lastRow="0" w:firstColumn="1" w:lastColumn="0" w:noHBand="0" w:noVBand="1"/>
          </w:tblPr>
          <w:tblGrid>
            <w:gridCol w:w="2122"/>
            <w:gridCol w:w="426"/>
            <w:gridCol w:w="6275"/>
          </w:tblGrid>
          <w:tr w:rsidR="00AB774A" w14:paraId="290FD1CF" w14:textId="77777777" w:rsidTr="00471D53">
            <w:sdt>
              <w:sdtPr>
                <w:tag w:val="_PLD_d73bff14187b49a1b1c86b56316c5e47"/>
                <w:id w:val="2122798079"/>
                <w:lock w:val="sdtLocked"/>
              </w:sdtPr>
              <w:sdtEndPr/>
              <w:sdtContent>
                <w:tc>
                  <w:tcPr>
                    <w:tcW w:w="8823" w:type="dxa"/>
                    <w:gridSpan w:val="3"/>
                  </w:tcPr>
                  <w:p w14:paraId="6422E09D" w14:textId="77777777" w:rsidR="00AB774A" w:rsidRDefault="004F686E" w:rsidP="00471D53">
                    <w:pPr>
                      <w:rPr>
                        <w:szCs w:val="21"/>
                      </w:rPr>
                    </w:pPr>
                    <w:r>
                      <w:rPr>
                        <w:szCs w:val="21"/>
                      </w:rPr>
                      <w:t>常用词语释义</w:t>
                    </w:r>
                  </w:p>
                </w:tc>
              </w:sdtContent>
            </w:sdt>
          </w:tr>
          <w:sdt>
            <w:sdtPr>
              <w:rPr>
                <w:rFonts w:asciiTheme="minorHAnsi" w:eastAsiaTheme="minorEastAsia" w:hAnsiTheme="minorHAnsi" w:cstheme="minorBidi" w:hint="eastAsia"/>
                <w:kern w:val="2"/>
                <w:szCs w:val="21"/>
              </w:rPr>
              <w:alias w:val="释义"/>
              <w:tag w:val="_GBC_ca5c2cb7a4e545e2b2d9d1b94b528746"/>
              <w:id w:val="-2005743473"/>
            </w:sdtPr>
            <w:sdtEndPr/>
            <w:sdtContent>
              <w:tr w:rsidR="00AB774A" w14:paraId="62C906F7" w14:textId="77777777" w:rsidTr="00471D53">
                <w:tc>
                  <w:tcPr>
                    <w:tcW w:w="2122" w:type="dxa"/>
                  </w:tcPr>
                  <w:p w14:paraId="5EF0C5D1" w14:textId="77777777" w:rsidR="00AB774A" w:rsidRDefault="004F686E" w:rsidP="00471D53">
                    <w:pPr>
                      <w:rPr>
                        <w:szCs w:val="21"/>
                      </w:rPr>
                    </w:pPr>
                    <w:r>
                      <w:t>公司、本公司</w:t>
                    </w:r>
                  </w:p>
                </w:tc>
                <w:tc>
                  <w:tcPr>
                    <w:tcW w:w="425" w:type="dxa"/>
                  </w:tcPr>
                  <w:sdt>
                    <w:sdtPr>
                      <w:rPr>
                        <w:rFonts w:hint="eastAsia"/>
                        <w:szCs w:val="21"/>
                      </w:rPr>
                      <w:tag w:val="_PLD_289cf7e5c3a845d59c038a21dcd4a571"/>
                      <w:id w:val="-1149283573"/>
                      <w:lock w:val="sdtLocked"/>
                    </w:sdtPr>
                    <w:sdtEndPr/>
                    <w:sdtContent>
                      <w:p w14:paraId="55E1D80A" w14:textId="77777777" w:rsidR="00AB774A" w:rsidRDefault="004F686E" w:rsidP="00471D53">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273686005"/>
                  </w:sdtPr>
                  <w:sdtEndPr/>
                  <w:sdtContent>
                    <w:tc>
                      <w:tcPr>
                        <w:tcW w:w="6276" w:type="dxa"/>
                      </w:tcPr>
                      <w:p w14:paraId="5429CDCD" w14:textId="77777777" w:rsidR="00AB774A" w:rsidRDefault="004F686E" w:rsidP="00471D53">
                        <w:pPr>
                          <w:rPr>
                            <w:szCs w:val="21"/>
                          </w:rPr>
                        </w:pPr>
                        <w:r>
                          <w:rPr>
                            <w:rFonts w:hint="eastAsia"/>
                            <w:szCs w:val="21"/>
                          </w:rPr>
                          <w:t>北京京城机电股份有限公司，一间于中国注册成立之股份有限公司，其股份于联交所主板及上交所上市</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1833180302"/>
            </w:sdtPr>
            <w:sdtEndPr/>
            <w:sdtContent>
              <w:tr w:rsidR="00AB774A" w14:paraId="3B92EF9C" w14:textId="77777777" w:rsidTr="00471D53">
                <w:tc>
                  <w:tcPr>
                    <w:tcW w:w="2122" w:type="dxa"/>
                  </w:tcPr>
                  <w:p w14:paraId="551D153C" w14:textId="77777777" w:rsidR="00AB774A" w:rsidRDefault="004F686E" w:rsidP="00471D53">
                    <w:pPr>
                      <w:rPr>
                        <w:szCs w:val="21"/>
                      </w:rPr>
                    </w:pPr>
                    <w:r>
                      <w:t>北人股份</w:t>
                    </w:r>
                  </w:p>
                </w:tc>
                <w:tc>
                  <w:tcPr>
                    <w:tcW w:w="425" w:type="dxa"/>
                  </w:tcPr>
                  <w:sdt>
                    <w:sdtPr>
                      <w:rPr>
                        <w:rFonts w:hint="eastAsia"/>
                        <w:szCs w:val="21"/>
                      </w:rPr>
                      <w:tag w:val="_PLD_289cf7e5c3a845d59c038a21dcd4a571"/>
                      <w:id w:val="-1905133906"/>
                      <w:lock w:val="sdtLocked"/>
                    </w:sdtPr>
                    <w:sdtEndPr/>
                    <w:sdtContent>
                      <w:p w14:paraId="57C48107" w14:textId="77777777" w:rsidR="00AB774A" w:rsidRDefault="004F686E" w:rsidP="00471D53">
                        <w:pPr>
                          <w:jc w:val="center"/>
                          <w:rPr>
                            <w:szCs w:val="21"/>
                            <w:highlight w:val="lightGray"/>
                          </w:rPr>
                        </w:pPr>
                        <w:r>
                          <w:rPr>
                            <w:rFonts w:hint="eastAsia"/>
                            <w:szCs w:val="21"/>
                          </w:rPr>
                          <w:t>指</w:t>
                        </w:r>
                      </w:p>
                    </w:sdtContent>
                  </w:sdt>
                </w:tc>
                <w:tc>
                  <w:tcPr>
                    <w:tcW w:w="6276" w:type="dxa"/>
                  </w:tcPr>
                  <w:p w14:paraId="2896C867" w14:textId="77777777" w:rsidR="00AB774A" w:rsidRDefault="00B664AF" w:rsidP="00471D53">
                    <w:pPr>
                      <w:rPr>
                        <w:szCs w:val="21"/>
                      </w:rPr>
                    </w:pPr>
                    <w:sdt>
                      <w:sdtPr>
                        <w:rPr>
                          <w:rFonts w:hint="eastAsia"/>
                          <w:szCs w:val="21"/>
                        </w:rPr>
                        <w:alias w:val="常用词语释义"/>
                        <w:tag w:val="_GBC_b625dd71b03542c3b074c2ce59de70ad"/>
                        <w:id w:val="-824424629"/>
                      </w:sdtPr>
                      <w:sdtEndPr/>
                      <w:sdtContent>
                        <w:r w:rsidR="004F686E">
                          <w:rPr>
                            <w:rFonts w:hint="eastAsia"/>
                            <w:szCs w:val="21"/>
                          </w:rPr>
                          <w:t>北人印刷机械股份有限公司（更名前本公司）</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1853228425"/>
            </w:sdtPr>
            <w:sdtEndPr/>
            <w:sdtContent>
              <w:tr w:rsidR="00AB774A" w:rsidRPr="009C29E3" w14:paraId="49CA5176" w14:textId="77777777" w:rsidTr="00471D53">
                <w:tc>
                  <w:tcPr>
                    <w:tcW w:w="2122" w:type="dxa"/>
                  </w:tcPr>
                  <w:p w14:paraId="0EFF057F" w14:textId="77777777" w:rsidR="00AB774A" w:rsidRDefault="004F686E" w:rsidP="00471D53">
                    <w:pPr>
                      <w:rPr>
                        <w:szCs w:val="21"/>
                      </w:rPr>
                    </w:pPr>
                    <w:r>
                      <w:t>本集团</w:t>
                    </w:r>
                  </w:p>
                </w:tc>
                <w:tc>
                  <w:tcPr>
                    <w:tcW w:w="425" w:type="dxa"/>
                  </w:tcPr>
                  <w:sdt>
                    <w:sdtPr>
                      <w:rPr>
                        <w:rFonts w:hint="eastAsia"/>
                        <w:szCs w:val="21"/>
                      </w:rPr>
                      <w:tag w:val="_PLD_289cf7e5c3a845d59c038a21dcd4a571"/>
                      <w:id w:val="-1285579109"/>
                      <w:lock w:val="sdtLocked"/>
                    </w:sdtPr>
                    <w:sdtEndPr/>
                    <w:sdtContent>
                      <w:p w14:paraId="68829A19" w14:textId="77777777" w:rsidR="00AB774A" w:rsidRDefault="004F686E" w:rsidP="00471D53">
                        <w:pPr>
                          <w:jc w:val="center"/>
                          <w:rPr>
                            <w:szCs w:val="21"/>
                            <w:highlight w:val="lightGray"/>
                          </w:rPr>
                        </w:pPr>
                        <w:r>
                          <w:rPr>
                            <w:rFonts w:hint="eastAsia"/>
                            <w:szCs w:val="21"/>
                          </w:rPr>
                          <w:t>指</w:t>
                        </w:r>
                      </w:p>
                    </w:sdtContent>
                  </w:sdt>
                </w:tc>
                <w:tc>
                  <w:tcPr>
                    <w:tcW w:w="6276" w:type="dxa"/>
                  </w:tcPr>
                  <w:p w14:paraId="755E9D6D" w14:textId="77777777" w:rsidR="00AB774A" w:rsidRDefault="00B664AF" w:rsidP="00471D53">
                    <w:pPr>
                      <w:rPr>
                        <w:szCs w:val="21"/>
                      </w:rPr>
                    </w:pPr>
                    <w:sdt>
                      <w:sdtPr>
                        <w:rPr>
                          <w:rFonts w:hint="eastAsia"/>
                          <w:szCs w:val="21"/>
                        </w:rPr>
                        <w:alias w:val="常用词语释义"/>
                        <w:tag w:val="_GBC_b625dd71b03542c3b074c2ce59de70ad"/>
                        <w:id w:val="311989363"/>
                      </w:sdtPr>
                      <w:sdtEndPr/>
                      <w:sdtContent>
                        <w:r w:rsidR="004F686E">
                          <w:rPr>
                            <w:rFonts w:hint="eastAsia"/>
                            <w:szCs w:val="21"/>
                          </w:rPr>
                          <w:t>本公司及其附属公司</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466397546"/>
            </w:sdtPr>
            <w:sdtEndPr/>
            <w:sdtContent>
              <w:tr w:rsidR="00AB774A" w:rsidRPr="009C29E3" w14:paraId="2A46BF96" w14:textId="77777777" w:rsidTr="00471D53">
                <w:tc>
                  <w:tcPr>
                    <w:tcW w:w="2122" w:type="dxa"/>
                  </w:tcPr>
                  <w:p w14:paraId="71A4073D" w14:textId="77777777" w:rsidR="00AB774A" w:rsidRDefault="004F686E" w:rsidP="00471D53">
                    <w:pPr>
                      <w:rPr>
                        <w:szCs w:val="21"/>
                      </w:rPr>
                    </w:pPr>
                    <w:r>
                      <w:t>京城控股（控股股东、实际控制人）</w:t>
                    </w:r>
                  </w:p>
                </w:tc>
                <w:tc>
                  <w:tcPr>
                    <w:tcW w:w="425" w:type="dxa"/>
                  </w:tcPr>
                  <w:sdt>
                    <w:sdtPr>
                      <w:rPr>
                        <w:rFonts w:hint="eastAsia"/>
                        <w:szCs w:val="21"/>
                      </w:rPr>
                      <w:tag w:val="_PLD_289cf7e5c3a845d59c038a21dcd4a571"/>
                      <w:id w:val="-1242564177"/>
                      <w:lock w:val="sdtLocked"/>
                    </w:sdtPr>
                    <w:sdtEndPr/>
                    <w:sdtContent>
                      <w:p w14:paraId="3CB6942A" w14:textId="77777777" w:rsidR="00AB774A" w:rsidRDefault="004F686E" w:rsidP="00471D53">
                        <w:pPr>
                          <w:jc w:val="center"/>
                          <w:rPr>
                            <w:szCs w:val="21"/>
                            <w:highlight w:val="lightGray"/>
                          </w:rPr>
                        </w:pPr>
                        <w:r>
                          <w:rPr>
                            <w:rFonts w:hint="eastAsia"/>
                            <w:szCs w:val="21"/>
                          </w:rPr>
                          <w:t>指</w:t>
                        </w:r>
                      </w:p>
                    </w:sdtContent>
                  </w:sdt>
                </w:tc>
                <w:tc>
                  <w:tcPr>
                    <w:tcW w:w="6276" w:type="dxa"/>
                  </w:tcPr>
                  <w:p w14:paraId="435EE367" w14:textId="77777777" w:rsidR="00AB774A" w:rsidRDefault="00B664AF" w:rsidP="00471D53">
                    <w:pPr>
                      <w:rPr>
                        <w:szCs w:val="21"/>
                      </w:rPr>
                    </w:pPr>
                    <w:sdt>
                      <w:sdtPr>
                        <w:rPr>
                          <w:rFonts w:hint="eastAsia"/>
                          <w:szCs w:val="21"/>
                        </w:rPr>
                        <w:alias w:val="常用词语释义"/>
                        <w:tag w:val="_GBC_b625dd71b03542c3b074c2ce59de70ad"/>
                        <w:id w:val="367810999"/>
                      </w:sdtPr>
                      <w:sdtEndPr/>
                      <w:sdtContent>
                        <w:r w:rsidR="004F686E">
                          <w:rPr>
                            <w:rFonts w:hint="eastAsia"/>
                            <w:szCs w:val="21"/>
                          </w:rPr>
                          <w:t>北京京城机电控股有限责任公司，一间于中国成立之公司，为本公司之控股股东，持有本公司约50.67%之股权</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1293438904"/>
            </w:sdtPr>
            <w:sdtEndPr/>
            <w:sdtContent>
              <w:tr w:rsidR="00AB774A" w:rsidRPr="009C29E3" w14:paraId="390A4043" w14:textId="77777777" w:rsidTr="00471D53">
                <w:tc>
                  <w:tcPr>
                    <w:tcW w:w="2122" w:type="dxa"/>
                  </w:tcPr>
                  <w:p w14:paraId="773096CF" w14:textId="77777777" w:rsidR="00AB774A" w:rsidRDefault="004F686E" w:rsidP="00471D53">
                    <w:pPr>
                      <w:rPr>
                        <w:szCs w:val="21"/>
                      </w:rPr>
                    </w:pPr>
                    <w:r>
                      <w:t>北人集团</w:t>
                    </w:r>
                  </w:p>
                </w:tc>
                <w:tc>
                  <w:tcPr>
                    <w:tcW w:w="425" w:type="dxa"/>
                  </w:tcPr>
                  <w:sdt>
                    <w:sdtPr>
                      <w:rPr>
                        <w:rFonts w:hint="eastAsia"/>
                        <w:szCs w:val="21"/>
                      </w:rPr>
                      <w:tag w:val="_PLD_289cf7e5c3a845d59c038a21dcd4a571"/>
                      <w:id w:val="-1573575309"/>
                      <w:lock w:val="sdtLocked"/>
                    </w:sdtPr>
                    <w:sdtEndPr/>
                    <w:sdtContent>
                      <w:p w14:paraId="1E1681AE" w14:textId="77777777" w:rsidR="00AB774A" w:rsidRDefault="004F686E" w:rsidP="00471D53">
                        <w:pPr>
                          <w:jc w:val="center"/>
                          <w:rPr>
                            <w:szCs w:val="21"/>
                            <w:highlight w:val="lightGray"/>
                          </w:rPr>
                        </w:pPr>
                        <w:r>
                          <w:rPr>
                            <w:rFonts w:hint="eastAsia"/>
                            <w:szCs w:val="21"/>
                          </w:rPr>
                          <w:t>指</w:t>
                        </w:r>
                      </w:p>
                    </w:sdtContent>
                  </w:sdt>
                </w:tc>
                <w:tc>
                  <w:tcPr>
                    <w:tcW w:w="6276" w:type="dxa"/>
                  </w:tcPr>
                  <w:p w14:paraId="6079BB10" w14:textId="77777777" w:rsidR="00AB774A" w:rsidRDefault="00B664AF" w:rsidP="00471D53">
                    <w:pPr>
                      <w:rPr>
                        <w:szCs w:val="21"/>
                      </w:rPr>
                    </w:pPr>
                    <w:sdt>
                      <w:sdtPr>
                        <w:rPr>
                          <w:rFonts w:hint="eastAsia"/>
                          <w:szCs w:val="21"/>
                        </w:rPr>
                        <w:alias w:val="常用词语释义"/>
                        <w:tag w:val="_GBC_b625dd71b03542c3b074c2ce59de70ad"/>
                        <w:id w:val="-165714437"/>
                      </w:sdtPr>
                      <w:sdtEndPr/>
                      <w:sdtContent>
                        <w:r w:rsidR="004F686E">
                          <w:rPr>
                            <w:rFonts w:hint="eastAsia"/>
                            <w:szCs w:val="21"/>
                          </w:rPr>
                          <w:t>北人集团公司，一间于中国注册成立之公司，京城控股之附属子公司（原为本公司之控股股东)</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1676142901"/>
            </w:sdtPr>
            <w:sdtEndPr/>
            <w:sdtContent>
              <w:tr w:rsidR="00AB774A" w:rsidRPr="009C29E3" w14:paraId="306F49D4" w14:textId="77777777" w:rsidTr="00471D53">
                <w:tc>
                  <w:tcPr>
                    <w:tcW w:w="2122" w:type="dxa"/>
                  </w:tcPr>
                  <w:p w14:paraId="59500FF2" w14:textId="77777777" w:rsidR="00AB774A" w:rsidRDefault="004F686E" w:rsidP="00471D53">
                    <w:pPr>
                      <w:rPr>
                        <w:szCs w:val="21"/>
                      </w:rPr>
                    </w:pPr>
                    <w:r>
                      <w:t>天海工业及北京天海</w:t>
                    </w:r>
                  </w:p>
                </w:tc>
                <w:tc>
                  <w:tcPr>
                    <w:tcW w:w="425" w:type="dxa"/>
                  </w:tcPr>
                  <w:sdt>
                    <w:sdtPr>
                      <w:rPr>
                        <w:rFonts w:hint="eastAsia"/>
                        <w:szCs w:val="21"/>
                      </w:rPr>
                      <w:tag w:val="_PLD_289cf7e5c3a845d59c038a21dcd4a571"/>
                      <w:id w:val="660202039"/>
                      <w:lock w:val="sdtLocked"/>
                    </w:sdtPr>
                    <w:sdtEndPr/>
                    <w:sdtContent>
                      <w:p w14:paraId="6F80AD4C" w14:textId="77777777" w:rsidR="00AB774A" w:rsidRDefault="004F686E" w:rsidP="00471D53">
                        <w:pPr>
                          <w:jc w:val="center"/>
                          <w:rPr>
                            <w:szCs w:val="21"/>
                            <w:highlight w:val="lightGray"/>
                          </w:rPr>
                        </w:pPr>
                        <w:r>
                          <w:rPr>
                            <w:rFonts w:hint="eastAsia"/>
                            <w:szCs w:val="21"/>
                          </w:rPr>
                          <w:t>指</w:t>
                        </w:r>
                      </w:p>
                    </w:sdtContent>
                  </w:sdt>
                </w:tc>
                <w:tc>
                  <w:tcPr>
                    <w:tcW w:w="6276" w:type="dxa"/>
                  </w:tcPr>
                  <w:p w14:paraId="36853C83" w14:textId="77777777" w:rsidR="00AB774A" w:rsidRDefault="00B664AF" w:rsidP="00471D53">
                    <w:pPr>
                      <w:rPr>
                        <w:szCs w:val="21"/>
                      </w:rPr>
                    </w:pPr>
                    <w:sdt>
                      <w:sdtPr>
                        <w:rPr>
                          <w:rFonts w:hint="eastAsia"/>
                          <w:szCs w:val="21"/>
                        </w:rPr>
                        <w:alias w:val="常用词语释义"/>
                        <w:tag w:val="_GBC_b625dd71b03542c3b074c2ce59de70ad"/>
                        <w:id w:val="-888717240"/>
                      </w:sdtPr>
                      <w:sdtEndPr/>
                      <w:sdtContent>
                        <w:r w:rsidR="004F686E">
                          <w:rPr>
                            <w:rFonts w:hint="eastAsia"/>
                            <w:szCs w:val="21"/>
                          </w:rPr>
                          <w:t>北京天海工业有限公司（本公司之子公司）</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1705238221"/>
            </w:sdtPr>
            <w:sdtEndPr/>
            <w:sdtContent>
              <w:tr w:rsidR="00AB774A" w:rsidRPr="009C29E3" w14:paraId="39C5CD50" w14:textId="77777777" w:rsidTr="00471D53">
                <w:tc>
                  <w:tcPr>
                    <w:tcW w:w="2122" w:type="dxa"/>
                  </w:tcPr>
                  <w:p w14:paraId="3870147F" w14:textId="77777777" w:rsidR="00AB774A" w:rsidRDefault="004F686E" w:rsidP="00471D53">
                    <w:pPr>
                      <w:rPr>
                        <w:szCs w:val="21"/>
                      </w:rPr>
                    </w:pPr>
                    <w:r>
                      <w:t>京城香港</w:t>
                    </w:r>
                  </w:p>
                </w:tc>
                <w:tc>
                  <w:tcPr>
                    <w:tcW w:w="425" w:type="dxa"/>
                  </w:tcPr>
                  <w:sdt>
                    <w:sdtPr>
                      <w:rPr>
                        <w:rFonts w:hint="eastAsia"/>
                        <w:szCs w:val="21"/>
                      </w:rPr>
                      <w:tag w:val="_PLD_289cf7e5c3a845d59c038a21dcd4a571"/>
                      <w:id w:val="362874973"/>
                      <w:lock w:val="sdtLocked"/>
                    </w:sdtPr>
                    <w:sdtEndPr/>
                    <w:sdtContent>
                      <w:p w14:paraId="3ECF14BE" w14:textId="77777777" w:rsidR="00AB774A" w:rsidRDefault="004F686E" w:rsidP="00471D53">
                        <w:pPr>
                          <w:jc w:val="center"/>
                          <w:rPr>
                            <w:szCs w:val="21"/>
                            <w:highlight w:val="lightGray"/>
                          </w:rPr>
                        </w:pPr>
                        <w:r>
                          <w:rPr>
                            <w:rFonts w:hint="eastAsia"/>
                            <w:szCs w:val="21"/>
                          </w:rPr>
                          <w:t>指</w:t>
                        </w:r>
                      </w:p>
                    </w:sdtContent>
                  </w:sdt>
                </w:tc>
                <w:tc>
                  <w:tcPr>
                    <w:tcW w:w="6276" w:type="dxa"/>
                  </w:tcPr>
                  <w:p w14:paraId="295B973D" w14:textId="77777777" w:rsidR="00AB774A" w:rsidRDefault="00B664AF" w:rsidP="00471D53">
                    <w:pPr>
                      <w:rPr>
                        <w:szCs w:val="21"/>
                      </w:rPr>
                    </w:pPr>
                    <w:sdt>
                      <w:sdtPr>
                        <w:rPr>
                          <w:rFonts w:hint="eastAsia"/>
                          <w:szCs w:val="21"/>
                        </w:rPr>
                        <w:alias w:val="常用词语释义"/>
                        <w:tag w:val="_GBC_b625dd71b03542c3b074c2ce59de70ad"/>
                        <w:id w:val="556130923"/>
                      </w:sdtPr>
                      <w:sdtEndPr/>
                      <w:sdtContent>
                        <w:r w:rsidR="004F686E">
                          <w:rPr>
                            <w:rFonts w:hint="eastAsia"/>
                            <w:szCs w:val="21"/>
                          </w:rPr>
                          <w:t>京城控股（香港）有限公司（本公司之子公司）</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1957170454"/>
            </w:sdtPr>
            <w:sdtEndPr/>
            <w:sdtContent>
              <w:tr w:rsidR="00AB774A" w:rsidRPr="009C29E3" w14:paraId="7B291A14" w14:textId="77777777" w:rsidTr="00471D53">
                <w:tc>
                  <w:tcPr>
                    <w:tcW w:w="2122" w:type="dxa"/>
                  </w:tcPr>
                  <w:p w14:paraId="74623AD8" w14:textId="77777777" w:rsidR="00AB774A" w:rsidRDefault="004F686E" w:rsidP="00471D53">
                    <w:pPr>
                      <w:rPr>
                        <w:szCs w:val="21"/>
                      </w:rPr>
                    </w:pPr>
                    <w:r>
                      <w:t>董事会</w:t>
                    </w:r>
                  </w:p>
                </w:tc>
                <w:tc>
                  <w:tcPr>
                    <w:tcW w:w="425" w:type="dxa"/>
                  </w:tcPr>
                  <w:sdt>
                    <w:sdtPr>
                      <w:rPr>
                        <w:rFonts w:hint="eastAsia"/>
                        <w:szCs w:val="21"/>
                      </w:rPr>
                      <w:tag w:val="_PLD_289cf7e5c3a845d59c038a21dcd4a571"/>
                      <w:id w:val="-423100238"/>
                      <w:lock w:val="sdtLocked"/>
                    </w:sdtPr>
                    <w:sdtEndPr/>
                    <w:sdtContent>
                      <w:p w14:paraId="777866ED" w14:textId="77777777" w:rsidR="00AB774A" w:rsidRDefault="004F686E" w:rsidP="00471D53">
                        <w:pPr>
                          <w:jc w:val="center"/>
                          <w:rPr>
                            <w:szCs w:val="21"/>
                            <w:highlight w:val="lightGray"/>
                          </w:rPr>
                        </w:pPr>
                        <w:r>
                          <w:rPr>
                            <w:rFonts w:hint="eastAsia"/>
                            <w:szCs w:val="21"/>
                          </w:rPr>
                          <w:t>指</w:t>
                        </w:r>
                      </w:p>
                    </w:sdtContent>
                  </w:sdt>
                </w:tc>
                <w:tc>
                  <w:tcPr>
                    <w:tcW w:w="6276" w:type="dxa"/>
                  </w:tcPr>
                  <w:p w14:paraId="6111990B" w14:textId="77777777" w:rsidR="00AB774A" w:rsidRDefault="00B664AF" w:rsidP="00471D53">
                    <w:pPr>
                      <w:rPr>
                        <w:szCs w:val="21"/>
                      </w:rPr>
                    </w:pPr>
                    <w:sdt>
                      <w:sdtPr>
                        <w:rPr>
                          <w:rFonts w:hint="eastAsia"/>
                          <w:szCs w:val="21"/>
                        </w:rPr>
                        <w:alias w:val="常用词语释义"/>
                        <w:tag w:val="_GBC_b625dd71b03542c3b074c2ce59de70ad"/>
                        <w:id w:val="-308170283"/>
                      </w:sdtPr>
                      <w:sdtEndPr/>
                      <w:sdtContent>
                        <w:r w:rsidR="004F686E">
                          <w:rPr>
                            <w:rFonts w:hint="eastAsia"/>
                            <w:szCs w:val="21"/>
                          </w:rPr>
                          <w:t>本公司董事会</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2085640208"/>
            </w:sdtPr>
            <w:sdtEndPr/>
            <w:sdtContent>
              <w:tr w:rsidR="00AB774A" w:rsidRPr="009C29E3" w14:paraId="19FE2F1D" w14:textId="77777777" w:rsidTr="00471D53">
                <w:tc>
                  <w:tcPr>
                    <w:tcW w:w="2122" w:type="dxa"/>
                  </w:tcPr>
                  <w:p w14:paraId="72DA5E5C" w14:textId="77777777" w:rsidR="00AB774A" w:rsidRDefault="004F686E" w:rsidP="00471D53">
                    <w:pPr>
                      <w:rPr>
                        <w:szCs w:val="21"/>
                      </w:rPr>
                    </w:pPr>
                    <w:r>
                      <w:t>监事会</w:t>
                    </w:r>
                  </w:p>
                </w:tc>
                <w:tc>
                  <w:tcPr>
                    <w:tcW w:w="425" w:type="dxa"/>
                  </w:tcPr>
                  <w:sdt>
                    <w:sdtPr>
                      <w:rPr>
                        <w:rFonts w:hint="eastAsia"/>
                        <w:szCs w:val="21"/>
                      </w:rPr>
                      <w:tag w:val="_PLD_289cf7e5c3a845d59c038a21dcd4a571"/>
                      <w:id w:val="1611310718"/>
                      <w:lock w:val="sdtLocked"/>
                    </w:sdtPr>
                    <w:sdtEndPr/>
                    <w:sdtContent>
                      <w:p w14:paraId="3E62DB3E" w14:textId="77777777" w:rsidR="00AB774A" w:rsidRDefault="004F686E" w:rsidP="00471D53">
                        <w:pPr>
                          <w:jc w:val="center"/>
                          <w:rPr>
                            <w:szCs w:val="21"/>
                            <w:highlight w:val="lightGray"/>
                          </w:rPr>
                        </w:pPr>
                        <w:r>
                          <w:rPr>
                            <w:rFonts w:hint="eastAsia"/>
                            <w:szCs w:val="21"/>
                          </w:rPr>
                          <w:t>指</w:t>
                        </w:r>
                      </w:p>
                    </w:sdtContent>
                  </w:sdt>
                </w:tc>
                <w:tc>
                  <w:tcPr>
                    <w:tcW w:w="6276" w:type="dxa"/>
                  </w:tcPr>
                  <w:p w14:paraId="7181C20C" w14:textId="77777777" w:rsidR="00AB774A" w:rsidRDefault="00B664AF" w:rsidP="00471D53">
                    <w:pPr>
                      <w:rPr>
                        <w:szCs w:val="21"/>
                      </w:rPr>
                    </w:pPr>
                    <w:sdt>
                      <w:sdtPr>
                        <w:rPr>
                          <w:rFonts w:hint="eastAsia"/>
                          <w:szCs w:val="21"/>
                        </w:rPr>
                        <w:alias w:val="常用词语释义"/>
                        <w:tag w:val="_GBC_b625dd71b03542c3b074c2ce59de70ad"/>
                        <w:id w:val="-2029331428"/>
                      </w:sdtPr>
                      <w:sdtEndPr/>
                      <w:sdtContent>
                        <w:r w:rsidR="004F686E">
                          <w:rPr>
                            <w:rFonts w:hint="eastAsia"/>
                            <w:szCs w:val="21"/>
                          </w:rPr>
                          <w:t>本公司监事会</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770359229"/>
            </w:sdtPr>
            <w:sdtEndPr/>
            <w:sdtContent>
              <w:tr w:rsidR="00AB774A" w:rsidRPr="009C29E3" w14:paraId="2D41282C" w14:textId="77777777" w:rsidTr="00471D53">
                <w:tc>
                  <w:tcPr>
                    <w:tcW w:w="2122" w:type="dxa"/>
                  </w:tcPr>
                  <w:p w14:paraId="47621C9D" w14:textId="77777777" w:rsidR="00AB774A" w:rsidRDefault="004F686E" w:rsidP="00471D53">
                    <w:pPr>
                      <w:rPr>
                        <w:szCs w:val="21"/>
                      </w:rPr>
                    </w:pPr>
                    <w:r>
                      <w:t>股东大会</w:t>
                    </w:r>
                  </w:p>
                </w:tc>
                <w:tc>
                  <w:tcPr>
                    <w:tcW w:w="425" w:type="dxa"/>
                  </w:tcPr>
                  <w:sdt>
                    <w:sdtPr>
                      <w:rPr>
                        <w:rFonts w:hint="eastAsia"/>
                        <w:szCs w:val="21"/>
                      </w:rPr>
                      <w:tag w:val="_PLD_289cf7e5c3a845d59c038a21dcd4a571"/>
                      <w:id w:val="-1231222776"/>
                      <w:lock w:val="sdtLocked"/>
                    </w:sdtPr>
                    <w:sdtEndPr/>
                    <w:sdtContent>
                      <w:p w14:paraId="19F08BE7" w14:textId="77777777" w:rsidR="00AB774A" w:rsidRDefault="004F686E" w:rsidP="00471D53">
                        <w:pPr>
                          <w:jc w:val="center"/>
                          <w:rPr>
                            <w:szCs w:val="21"/>
                            <w:highlight w:val="lightGray"/>
                          </w:rPr>
                        </w:pPr>
                        <w:r>
                          <w:rPr>
                            <w:rFonts w:hint="eastAsia"/>
                            <w:szCs w:val="21"/>
                          </w:rPr>
                          <w:t>指</w:t>
                        </w:r>
                      </w:p>
                    </w:sdtContent>
                  </w:sdt>
                </w:tc>
                <w:tc>
                  <w:tcPr>
                    <w:tcW w:w="6276" w:type="dxa"/>
                  </w:tcPr>
                  <w:p w14:paraId="3C33E0BB" w14:textId="77777777" w:rsidR="00AB774A" w:rsidRDefault="00B664AF" w:rsidP="00471D53">
                    <w:pPr>
                      <w:rPr>
                        <w:szCs w:val="21"/>
                      </w:rPr>
                    </w:pPr>
                    <w:sdt>
                      <w:sdtPr>
                        <w:rPr>
                          <w:rFonts w:hint="eastAsia"/>
                          <w:szCs w:val="21"/>
                        </w:rPr>
                        <w:alias w:val="常用词语释义"/>
                        <w:tag w:val="_GBC_b625dd71b03542c3b074c2ce59de70ad"/>
                        <w:id w:val="1641921459"/>
                      </w:sdtPr>
                      <w:sdtEndPr/>
                      <w:sdtContent>
                        <w:r w:rsidR="004F686E">
                          <w:rPr>
                            <w:rFonts w:hint="eastAsia"/>
                            <w:szCs w:val="21"/>
                          </w:rPr>
                          <w:t>于202</w:t>
                        </w:r>
                        <w:r w:rsidR="004F686E">
                          <w:rPr>
                            <w:szCs w:val="21"/>
                          </w:rPr>
                          <w:t>1</w:t>
                        </w:r>
                        <w:r w:rsidR="004F686E">
                          <w:rPr>
                            <w:rFonts w:hint="eastAsia"/>
                            <w:szCs w:val="21"/>
                          </w:rPr>
                          <w:t>年6月9日召开的20</w:t>
                        </w:r>
                        <w:r w:rsidR="004F686E">
                          <w:rPr>
                            <w:szCs w:val="21"/>
                          </w:rPr>
                          <w:t>20</w:t>
                        </w:r>
                        <w:r w:rsidR="004F686E">
                          <w:rPr>
                            <w:rFonts w:hint="eastAsia"/>
                            <w:szCs w:val="21"/>
                          </w:rPr>
                          <w:t>年度股东周年大会</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1015381093"/>
            </w:sdtPr>
            <w:sdtEndPr/>
            <w:sdtContent>
              <w:tr w:rsidR="00AB774A" w:rsidRPr="009C29E3" w14:paraId="1719081E" w14:textId="77777777" w:rsidTr="00471D53">
                <w:tc>
                  <w:tcPr>
                    <w:tcW w:w="2122" w:type="dxa"/>
                  </w:tcPr>
                  <w:p w14:paraId="37AEE957" w14:textId="77777777" w:rsidR="00AB774A" w:rsidRDefault="004F686E" w:rsidP="00471D53">
                    <w:pPr>
                      <w:rPr>
                        <w:szCs w:val="21"/>
                      </w:rPr>
                    </w:pPr>
                    <w:r>
                      <w:t>第一次临时股东大会</w:t>
                    </w:r>
                  </w:p>
                </w:tc>
                <w:tc>
                  <w:tcPr>
                    <w:tcW w:w="425" w:type="dxa"/>
                  </w:tcPr>
                  <w:sdt>
                    <w:sdtPr>
                      <w:rPr>
                        <w:rFonts w:hint="eastAsia"/>
                        <w:szCs w:val="21"/>
                      </w:rPr>
                      <w:tag w:val="_PLD_289cf7e5c3a845d59c038a21dcd4a571"/>
                      <w:id w:val="190200748"/>
                      <w:lock w:val="sdtLocked"/>
                    </w:sdtPr>
                    <w:sdtEndPr/>
                    <w:sdtContent>
                      <w:p w14:paraId="4C3A81C7" w14:textId="77777777" w:rsidR="00AB774A" w:rsidRDefault="004F686E" w:rsidP="00471D53">
                        <w:pPr>
                          <w:jc w:val="center"/>
                          <w:rPr>
                            <w:szCs w:val="21"/>
                            <w:highlight w:val="lightGray"/>
                          </w:rPr>
                        </w:pPr>
                        <w:r>
                          <w:rPr>
                            <w:rFonts w:hint="eastAsia"/>
                            <w:szCs w:val="21"/>
                          </w:rPr>
                          <w:t>指</w:t>
                        </w:r>
                      </w:p>
                    </w:sdtContent>
                  </w:sdt>
                </w:tc>
                <w:tc>
                  <w:tcPr>
                    <w:tcW w:w="6276" w:type="dxa"/>
                  </w:tcPr>
                  <w:p w14:paraId="7B917A98" w14:textId="1FDDC460" w:rsidR="00AB774A" w:rsidRDefault="00B664AF" w:rsidP="00471D53">
                    <w:pPr>
                      <w:rPr>
                        <w:szCs w:val="21"/>
                      </w:rPr>
                    </w:pPr>
                    <w:sdt>
                      <w:sdtPr>
                        <w:rPr>
                          <w:rFonts w:hint="eastAsia"/>
                          <w:szCs w:val="21"/>
                        </w:rPr>
                        <w:alias w:val="常用词语释义"/>
                        <w:tag w:val="_GBC_b625dd71b03542c3b074c2ce59de70ad"/>
                        <w:id w:val="-1739547270"/>
                      </w:sdtPr>
                      <w:sdtEndPr/>
                      <w:sdtContent>
                        <w:r w:rsidR="004F686E">
                          <w:rPr>
                            <w:rFonts w:hint="eastAsia"/>
                            <w:szCs w:val="21"/>
                          </w:rPr>
                          <w:t>于202</w:t>
                        </w:r>
                        <w:r w:rsidR="004F686E">
                          <w:rPr>
                            <w:szCs w:val="21"/>
                          </w:rPr>
                          <w:t>1</w:t>
                        </w:r>
                        <w:r w:rsidR="004F686E">
                          <w:rPr>
                            <w:rFonts w:hint="eastAsia"/>
                            <w:szCs w:val="21"/>
                          </w:rPr>
                          <w:t>年2月9日召开的202</w:t>
                        </w:r>
                        <w:r w:rsidR="004F686E">
                          <w:rPr>
                            <w:szCs w:val="21"/>
                          </w:rPr>
                          <w:t>1</w:t>
                        </w:r>
                        <w:r w:rsidR="004F686E">
                          <w:rPr>
                            <w:rFonts w:hint="eastAsia"/>
                            <w:szCs w:val="21"/>
                          </w:rPr>
                          <w:t>年第一次临时股东大会</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1496097405"/>
            </w:sdtPr>
            <w:sdtEndPr/>
            <w:sdtContent>
              <w:tr w:rsidR="00AB774A" w:rsidRPr="009C29E3" w14:paraId="1D6A2DA2" w14:textId="77777777" w:rsidTr="00471D53">
                <w:tc>
                  <w:tcPr>
                    <w:tcW w:w="2122" w:type="dxa"/>
                  </w:tcPr>
                  <w:p w14:paraId="365913C8" w14:textId="4700DA28" w:rsidR="00AB774A" w:rsidRDefault="004F686E" w:rsidP="00471D53">
                    <w:pPr>
                      <w:rPr>
                        <w:szCs w:val="21"/>
                      </w:rPr>
                    </w:pPr>
                    <w:r>
                      <w:rPr>
                        <w:rFonts w:asciiTheme="minorHAnsi" w:eastAsiaTheme="minorEastAsia" w:hAnsiTheme="minorHAnsi" w:cstheme="minorBidi" w:hint="eastAsia"/>
                        <w:kern w:val="2"/>
                        <w:szCs w:val="21"/>
                      </w:rPr>
                      <w:t>第一次</w:t>
                    </w:r>
                    <w:r>
                      <w:rPr>
                        <w:rFonts w:asciiTheme="minorHAnsi" w:eastAsiaTheme="minorEastAsia" w:hAnsiTheme="minorHAnsi" w:cstheme="minorBidi"/>
                        <w:kern w:val="2"/>
                        <w:szCs w:val="21"/>
                      </w:rPr>
                      <w:t>A</w:t>
                    </w:r>
                    <w:r>
                      <w:rPr>
                        <w:rFonts w:asciiTheme="minorHAnsi" w:eastAsiaTheme="minorEastAsia" w:hAnsiTheme="minorHAnsi" w:cstheme="minorBidi" w:hint="eastAsia"/>
                        <w:kern w:val="2"/>
                        <w:szCs w:val="21"/>
                      </w:rPr>
                      <w:t>股类别股东大会</w:t>
                    </w:r>
                  </w:p>
                </w:tc>
                <w:tc>
                  <w:tcPr>
                    <w:tcW w:w="425" w:type="dxa"/>
                  </w:tcPr>
                  <w:sdt>
                    <w:sdtPr>
                      <w:rPr>
                        <w:rFonts w:hint="eastAsia"/>
                        <w:szCs w:val="21"/>
                      </w:rPr>
                      <w:tag w:val="_PLD_289cf7e5c3a845d59c038a21dcd4a571"/>
                      <w:id w:val="1054814760"/>
                      <w:lock w:val="sdtLocked"/>
                    </w:sdtPr>
                    <w:sdtEndPr/>
                    <w:sdtContent>
                      <w:p w14:paraId="1258B1EE" w14:textId="77777777" w:rsidR="00AB774A" w:rsidRDefault="004F686E" w:rsidP="00471D53">
                        <w:pPr>
                          <w:jc w:val="center"/>
                          <w:rPr>
                            <w:szCs w:val="21"/>
                            <w:highlight w:val="lightGray"/>
                          </w:rPr>
                        </w:pPr>
                        <w:r>
                          <w:rPr>
                            <w:rFonts w:hint="eastAsia"/>
                            <w:szCs w:val="21"/>
                          </w:rPr>
                          <w:t>指</w:t>
                        </w:r>
                      </w:p>
                    </w:sdtContent>
                  </w:sdt>
                </w:tc>
                <w:tc>
                  <w:tcPr>
                    <w:tcW w:w="6276" w:type="dxa"/>
                  </w:tcPr>
                  <w:p w14:paraId="6FAEBBDE" w14:textId="266ED442" w:rsidR="00AB774A" w:rsidRDefault="00B664AF" w:rsidP="00471D53">
                    <w:pPr>
                      <w:rPr>
                        <w:szCs w:val="21"/>
                      </w:rPr>
                    </w:pPr>
                    <w:sdt>
                      <w:sdtPr>
                        <w:rPr>
                          <w:rFonts w:hint="eastAsia"/>
                          <w:szCs w:val="21"/>
                        </w:rPr>
                        <w:alias w:val="常用词语释义"/>
                        <w:tag w:val="_GBC_b625dd71b03542c3b074c2ce59de70ad"/>
                        <w:id w:val="1779062613"/>
                      </w:sdtPr>
                      <w:sdtEndPr/>
                      <w:sdtContent>
                        <w:r w:rsidR="004F686E" w:rsidRPr="00AB774A">
                          <w:rPr>
                            <w:rFonts w:hint="eastAsia"/>
                            <w:szCs w:val="21"/>
                          </w:rPr>
                          <w:t>于</w:t>
                        </w:r>
                        <w:r w:rsidR="004F686E" w:rsidRPr="00AB774A">
                          <w:rPr>
                            <w:szCs w:val="21"/>
                          </w:rPr>
                          <w:t>2021年2月9日召开的2021年第一次</w:t>
                        </w:r>
                        <w:r w:rsidR="004F686E">
                          <w:rPr>
                            <w:rFonts w:hint="eastAsia"/>
                            <w:szCs w:val="21"/>
                          </w:rPr>
                          <w:t>A股类别</w:t>
                        </w:r>
                        <w:r w:rsidR="004F686E" w:rsidRPr="00AB774A">
                          <w:rPr>
                            <w:szCs w:val="21"/>
                          </w:rPr>
                          <w:t>股东大会</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749163974"/>
            </w:sdtPr>
            <w:sdtEndPr/>
            <w:sdtContent>
              <w:tr w:rsidR="00AB774A" w:rsidRPr="009C29E3" w14:paraId="10FF860D" w14:textId="77777777" w:rsidTr="00471D53">
                <w:tc>
                  <w:tcPr>
                    <w:tcW w:w="2122" w:type="dxa"/>
                  </w:tcPr>
                  <w:p w14:paraId="0D656E9B" w14:textId="0976F985" w:rsidR="00AB774A" w:rsidRDefault="004F686E" w:rsidP="00471D53">
                    <w:pPr>
                      <w:rPr>
                        <w:szCs w:val="21"/>
                      </w:rPr>
                    </w:pPr>
                    <w:r w:rsidRPr="00AB774A">
                      <w:rPr>
                        <w:rFonts w:asciiTheme="minorHAnsi" w:eastAsiaTheme="minorEastAsia" w:hAnsiTheme="minorHAnsi" w:cstheme="minorBidi" w:hint="eastAsia"/>
                        <w:kern w:val="2"/>
                        <w:szCs w:val="21"/>
                      </w:rPr>
                      <w:t>第一次</w:t>
                    </w:r>
                    <w:r>
                      <w:rPr>
                        <w:rFonts w:asciiTheme="minorHAnsi" w:eastAsiaTheme="minorEastAsia" w:hAnsiTheme="minorHAnsi" w:cstheme="minorBidi" w:hint="eastAsia"/>
                        <w:kern w:val="2"/>
                        <w:szCs w:val="21"/>
                      </w:rPr>
                      <w:t>H</w:t>
                    </w:r>
                    <w:r w:rsidRPr="00AB774A">
                      <w:rPr>
                        <w:rFonts w:asciiTheme="minorHAnsi" w:eastAsiaTheme="minorEastAsia" w:hAnsiTheme="minorHAnsi" w:cstheme="minorBidi"/>
                        <w:kern w:val="2"/>
                        <w:szCs w:val="21"/>
                      </w:rPr>
                      <w:t>股类别股东大会</w:t>
                    </w:r>
                  </w:p>
                </w:tc>
                <w:tc>
                  <w:tcPr>
                    <w:tcW w:w="425" w:type="dxa"/>
                  </w:tcPr>
                  <w:sdt>
                    <w:sdtPr>
                      <w:rPr>
                        <w:rFonts w:hint="eastAsia"/>
                        <w:szCs w:val="21"/>
                      </w:rPr>
                      <w:tag w:val="_PLD_289cf7e5c3a845d59c038a21dcd4a571"/>
                      <w:id w:val="-1276014128"/>
                      <w:lock w:val="sdtLocked"/>
                    </w:sdtPr>
                    <w:sdtEndPr/>
                    <w:sdtContent>
                      <w:p w14:paraId="0750E01E" w14:textId="77777777" w:rsidR="00AB774A" w:rsidRDefault="004F686E" w:rsidP="00471D53">
                        <w:pPr>
                          <w:jc w:val="center"/>
                          <w:rPr>
                            <w:szCs w:val="21"/>
                            <w:highlight w:val="lightGray"/>
                          </w:rPr>
                        </w:pPr>
                        <w:r>
                          <w:rPr>
                            <w:rFonts w:hint="eastAsia"/>
                            <w:szCs w:val="21"/>
                          </w:rPr>
                          <w:t>指</w:t>
                        </w:r>
                      </w:p>
                    </w:sdtContent>
                  </w:sdt>
                </w:tc>
                <w:tc>
                  <w:tcPr>
                    <w:tcW w:w="6276" w:type="dxa"/>
                  </w:tcPr>
                  <w:p w14:paraId="44B28E07" w14:textId="44ACE5D9" w:rsidR="00AB774A" w:rsidRDefault="00B664AF" w:rsidP="00471D53">
                    <w:pPr>
                      <w:rPr>
                        <w:szCs w:val="21"/>
                      </w:rPr>
                    </w:pPr>
                    <w:sdt>
                      <w:sdtPr>
                        <w:rPr>
                          <w:rFonts w:hint="eastAsia"/>
                          <w:szCs w:val="21"/>
                        </w:rPr>
                        <w:alias w:val="常用词语释义"/>
                        <w:tag w:val="_GBC_b625dd71b03542c3b074c2ce59de70ad"/>
                        <w:id w:val="753796646"/>
                      </w:sdtPr>
                      <w:sdtEndPr/>
                      <w:sdtContent>
                        <w:r w:rsidR="004F686E" w:rsidRPr="00AB774A">
                          <w:rPr>
                            <w:rFonts w:hint="eastAsia"/>
                            <w:szCs w:val="21"/>
                          </w:rPr>
                          <w:t>于</w:t>
                        </w:r>
                        <w:r w:rsidR="004F686E" w:rsidRPr="00AB774A">
                          <w:rPr>
                            <w:szCs w:val="21"/>
                          </w:rPr>
                          <w:t>2021年2月9日召开的2021年第一次</w:t>
                        </w:r>
                        <w:r w:rsidR="004F686E">
                          <w:rPr>
                            <w:rFonts w:hint="eastAsia"/>
                            <w:szCs w:val="21"/>
                          </w:rPr>
                          <w:t>H</w:t>
                        </w:r>
                        <w:r w:rsidR="004F686E" w:rsidRPr="00AB774A">
                          <w:rPr>
                            <w:szCs w:val="21"/>
                          </w:rPr>
                          <w:t>股类别股东大</w:t>
                        </w:r>
                        <w:r w:rsidR="008F26D4">
                          <w:rPr>
                            <w:rFonts w:hint="eastAsia"/>
                            <w:szCs w:val="21"/>
                          </w:rPr>
                          <w:t>会</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692424287"/>
            </w:sdtPr>
            <w:sdtEndPr/>
            <w:sdtContent>
              <w:tr w:rsidR="00AB774A" w:rsidRPr="009C29E3" w14:paraId="1040CF4F" w14:textId="77777777" w:rsidTr="00471D53">
                <w:tc>
                  <w:tcPr>
                    <w:tcW w:w="2122" w:type="dxa"/>
                  </w:tcPr>
                  <w:p w14:paraId="35C65C97" w14:textId="77777777" w:rsidR="00AB774A" w:rsidRDefault="004F686E" w:rsidP="00471D53">
                    <w:pPr>
                      <w:rPr>
                        <w:szCs w:val="21"/>
                      </w:rPr>
                    </w:pPr>
                    <w:r>
                      <w:t>董事</w:t>
                    </w:r>
                  </w:p>
                </w:tc>
                <w:tc>
                  <w:tcPr>
                    <w:tcW w:w="425" w:type="dxa"/>
                  </w:tcPr>
                  <w:sdt>
                    <w:sdtPr>
                      <w:rPr>
                        <w:rFonts w:hint="eastAsia"/>
                        <w:szCs w:val="21"/>
                      </w:rPr>
                      <w:tag w:val="_PLD_289cf7e5c3a845d59c038a21dcd4a571"/>
                      <w:id w:val="-250656682"/>
                      <w:lock w:val="sdtLocked"/>
                    </w:sdtPr>
                    <w:sdtEndPr/>
                    <w:sdtContent>
                      <w:p w14:paraId="15DAEBB8" w14:textId="77777777" w:rsidR="00AB774A" w:rsidRDefault="004F686E" w:rsidP="00471D53">
                        <w:pPr>
                          <w:jc w:val="center"/>
                          <w:rPr>
                            <w:szCs w:val="21"/>
                            <w:highlight w:val="lightGray"/>
                          </w:rPr>
                        </w:pPr>
                        <w:r>
                          <w:rPr>
                            <w:rFonts w:hint="eastAsia"/>
                            <w:szCs w:val="21"/>
                          </w:rPr>
                          <w:t>指</w:t>
                        </w:r>
                      </w:p>
                    </w:sdtContent>
                  </w:sdt>
                </w:tc>
                <w:tc>
                  <w:tcPr>
                    <w:tcW w:w="6276" w:type="dxa"/>
                  </w:tcPr>
                  <w:p w14:paraId="0A91A3AD" w14:textId="77777777" w:rsidR="00AB774A" w:rsidRDefault="00B664AF" w:rsidP="00471D53">
                    <w:pPr>
                      <w:rPr>
                        <w:szCs w:val="21"/>
                      </w:rPr>
                    </w:pPr>
                    <w:sdt>
                      <w:sdtPr>
                        <w:rPr>
                          <w:rFonts w:hint="eastAsia"/>
                          <w:szCs w:val="21"/>
                        </w:rPr>
                        <w:alias w:val="常用词语释义"/>
                        <w:tag w:val="_GBC_b625dd71b03542c3b074c2ce59de70ad"/>
                        <w:id w:val="1857696534"/>
                      </w:sdtPr>
                      <w:sdtEndPr/>
                      <w:sdtContent>
                        <w:r w:rsidR="004F686E">
                          <w:rPr>
                            <w:rFonts w:hint="eastAsia"/>
                            <w:szCs w:val="21"/>
                          </w:rPr>
                          <w:t>本公司董事</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2004150943"/>
            </w:sdtPr>
            <w:sdtEndPr/>
            <w:sdtContent>
              <w:tr w:rsidR="00AB774A" w:rsidRPr="009C29E3" w14:paraId="128C79FB" w14:textId="77777777" w:rsidTr="00471D53">
                <w:tc>
                  <w:tcPr>
                    <w:tcW w:w="2122" w:type="dxa"/>
                  </w:tcPr>
                  <w:p w14:paraId="215DCAAA" w14:textId="77777777" w:rsidR="00AB774A" w:rsidRDefault="004F686E" w:rsidP="00471D53">
                    <w:pPr>
                      <w:rPr>
                        <w:szCs w:val="21"/>
                      </w:rPr>
                    </w:pPr>
                    <w:r>
                      <w:t>监事</w:t>
                    </w:r>
                  </w:p>
                </w:tc>
                <w:tc>
                  <w:tcPr>
                    <w:tcW w:w="425" w:type="dxa"/>
                  </w:tcPr>
                  <w:sdt>
                    <w:sdtPr>
                      <w:rPr>
                        <w:rFonts w:hint="eastAsia"/>
                        <w:szCs w:val="21"/>
                      </w:rPr>
                      <w:tag w:val="_PLD_289cf7e5c3a845d59c038a21dcd4a571"/>
                      <w:id w:val="1066991517"/>
                      <w:lock w:val="sdtLocked"/>
                    </w:sdtPr>
                    <w:sdtEndPr/>
                    <w:sdtContent>
                      <w:p w14:paraId="2634A1BE" w14:textId="77777777" w:rsidR="00AB774A" w:rsidRDefault="004F686E" w:rsidP="00471D53">
                        <w:pPr>
                          <w:jc w:val="center"/>
                          <w:rPr>
                            <w:szCs w:val="21"/>
                            <w:highlight w:val="lightGray"/>
                          </w:rPr>
                        </w:pPr>
                        <w:r>
                          <w:rPr>
                            <w:rFonts w:hint="eastAsia"/>
                            <w:szCs w:val="21"/>
                          </w:rPr>
                          <w:t>指</w:t>
                        </w:r>
                      </w:p>
                    </w:sdtContent>
                  </w:sdt>
                </w:tc>
                <w:tc>
                  <w:tcPr>
                    <w:tcW w:w="6276" w:type="dxa"/>
                  </w:tcPr>
                  <w:p w14:paraId="4C2DC286" w14:textId="77777777" w:rsidR="00AB774A" w:rsidRDefault="00B664AF" w:rsidP="00471D53">
                    <w:pPr>
                      <w:rPr>
                        <w:szCs w:val="21"/>
                      </w:rPr>
                    </w:pPr>
                    <w:sdt>
                      <w:sdtPr>
                        <w:rPr>
                          <w:rFonts w:hint="eastAsia"/>
                          <w:szCs w:val="21"/>
                        </w:rPr>
                        <w:alias w:val="常用词语释义"/>
                        <w:tag w:val="_GBC_b625dd71b03542c3b074c2ce59de70ad"/>
                        <w:id w:val="-1759433860"/>
                      </w:sdtPr>
                      <w:sdtEndPr/>
                      <w:sdtContent>
                        <w:r w:rsidR="004F686E">
                          <w:rPr>
                            <w:rFonts w:hint="eastAsia"/>
                            <w:szCs w:val="21"/>
                          </w:rPr>
                          <w:t>本公司监事</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1733268485"/>
            </w:sdtPr>
            <w:sdtEndPr/>
            <w:sdtContent>
              <w:tr w:rsidR="00AB774A" w:rsidRPr="009C29E3" w14:paraId="16872B43" w14:textId="77777777" w:rsidTr="00471D53">
                <w:tc>
                  <w:tcPr>
                    <w:tcW w:w="2122" w:type="dxa"/>
                  </w:tcPr>
                  <w:p w14:paraId="323049DB" w14:textId="77777777" w:rsidR="00AB774A" w:rsidRDefault="004F686E" w:rsidP="00471D53">
                    <w:pPr>
                      <w:rPr>
                        <w:szCs w:val="21"/>
                      </w:rPr>
                    </w:pPr>
                    <w:r>
                      <w:t>股东</w:t>
                    </w:r>
                  </w:p>
                </w:tc>
                <w:tc>
                  <w:tcPr>
                    <w:tcW w:w="425" w:type="dxa"/>
                  </w:tcPr>
                  <w:sdt>
                    <w:sdtPr>
                      <w:rPr>
                        <w:rFonts w:hint="eastAsia"/>
                        <w:szCs w:val="21"/>
                      </w:rPr>
                      <w:tag w:val="_PLD_289cf7e5c3a845d59c038a21dcd4a571"/>
                      <w:id w:val="960851045"/>
                      <w:lock w:val="sdtLocked"/>
                    </w:sdtPr>
                    <w:sdtEndPr/>
                    <w:sdtContent>
                      <w:p w14:paraId="018E2ED4" w14:textId="77777777" w:rsidR="00AB774A" w:rsidRDefault="004F686E" w:rsidP="00471D53">
                        <w:pPr>
                          <w:jc w:val="center"/>
                          <w:rPr>
                            <w:szCs w:val="21"/>
                            <w:highlight w:val="lightGray"/>
                          </w:rPr>
                        </w:pPr>
                        <w:r>
                          <w:rPr>
                            <w:rFonts w:hint="eastAsia"/>
                            <w:szCs w:val="21"/>
                          </w:rPr>
                          <w:t>指</w:t>
                        </w:r>
                      </w:p>
                    </w:sdtContent>
                  </w:sdt>
                </w:tc>
                <w:tc>
                  <w:tcPr>
                    <w:tcW w:w="6276" w:type="dxa"/>
                  </w:tcPr>
                  <w:p w14:paraId="46A72D71" w14:textId="77777777" w:rsidR="00AB774A" w:rsidRDefault="00B664AF" w:rsidP="00471D53">
                    <w:pPr>
                      <w:rPr>
                        <w:szCs w:val="21"/>
                      </w:rPr>
                    </w:pPr>
                    <w:sdt>
                      <w:sdtPr>
                        <w:rPr>
                          <w:rFonts w:hint="eastAsia"/>
                          <w:szCs w:val="21"/>
                        </w:rPr>
                        <w:alias w:val="常用词语释义"/>
                        <w:tag w:val="_GBC_b625dd71b03542c3b074c2ce59de70ad"/>
                        <w:id w:val="-1407682657"/>
                      </w:sdtPr>
                      <w:sdtEndPr/>
                      <w:sdtContent>
                        <w:r w:rsidR="004F686E">
                          <w:rPr>
                            <w:rFonts w:hint="eastAsia"/>
                            <w:szCs w:val="21"/>
                          </w:rPr>
                          <w:t>股份持有人</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1378747867"/>
            </w:sdtPr>
            <w:sdtEndPr/>
            <w:sdtContent>
              <w:tr w:rsidR="00AB774A" w:rsidRPr="009C29E3" w14:paraId="26EECDFD" w14:textId="77777777" w:rsidTr="00471D53">
                <w:tc>
                  <w:tcPr>
                    <w:tcW w:w="2122" w:type="dxa"/>
                  </w:tcPr>
                  <w:p w14:paraId="5A9354CC" w14:textId="77777777" w:rsidR="00AB774A" w:rsidRDefault="004F686E" w:rsidP="00471D53">
                    <w:pPr>
                      <w:rPr>
                        <w:szCs w:val="21"/>
                      </w:rPr>
                    </w:pPr>
                    <w:r>
                      <w:t>关联人士</w:t>
                    </w:r>
                  </w:p>
                </w:tc>
                <w:tc>
                  <w:tcPr>
                    <w:tcW w:w="425" w:type="dxa"/>
                  </w:tcPr>
                  <w:sdt>
                    <w:sdtPr>
                      <w:rPr>
                        <w:rFonts w:hint="eastAsia"/>
                        <w:szCs w:val="21"/>
                      </w:rPr>
                      <w:tag w:val="_PLD_289cf7e5c3a845d59c038a21dcd4a571"/>
                      <w:id w:val="-609824695"/>
                      <w:lock w:val="sdtLocked"/>
                    </w:sdtPr>
                    <w:sdtEndPr/>
                    <w:sdtContent>
                      <w:p w14:paraId="6128FD6F" w14:textId="77777777" w:rsidR="00AB774A" w:rsidRDefault="004F686E" w:rsidP="00471D53">
                        <w:pPr>
                          <w:jc w:val="center"/>
                          <w:rPr>
                            <w:szCs w:val="21"/>
                            <w:highlight w:val="lightGray"/>
                          </w:rPr>
                        </w:pPr>
                        <w:r>
                          <w:rPr>
                            <w:rFonts w:hint="eastAsia"/>
                            <w:szCs w:val="21"/>
                          </w:rPr>
                          <w:t>指</w:t>
                        </w:r>
                      </w:p>
                    </w:sdtContent>
                  </w:sdt>
                </w:tc>
                <w:tc>
                  <w:tcPr>
                    <w:tcW w:w="6276" w:type="dxa"/>
                  </w:tcPr>
                  <w:p w14:paraId="7C8F77AB" w14:textId="77777777" w:rsidR="00AB774A" w:rsidRDefault="00B664AF" w:rsidP="00471D53">
                    <w:pPr>
                      <w:rPr>
                        <w:szCs w:val="21"/>
                      </w:rPr>
                    </w:pPr>
                    <w:sdt>
                      <w:sdtPr>
                        <w:rPr>
                          <w:rFonts w:hint="eastAsia"/>
                          <w:szCs w:val="21"/>
                        </w:rPr>
                        <w:alias w:val="常用词语释义"/>
                        <w:tag w:val="_GBC_b625dd71b03542c3b074c2ce59de70ad"/>
                        <w:id w:val="-216282060"/>
                      </w:sdtPr>
                      <w:sdtEndPr/>
                      <w:sdtContent>
                        <w:r w:rsidR="004F686E">
                          <w:rPr>
                            <w:rFonts w:hint="eastAsia"/>
                            <w:szCs w:val="21"/>
                          </w:rPr>
                          <w:t>具有上市规则赋予该词之涵义</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452139388"/>
            </w:sdtPr>
            <w:sdtEndPr/>
            <w:sdtContent>
              <w:tr w:rsidR="00AB774A" w:rsidRPr="009C29E3" w14:paraId="46EA52FB" w14:textId="77777777" w:rsidTr="00471D53">
                <w:tc>
                  <w:tcPr>
                    <w:tcW w:w="2122" w:type="dxa"/>
                  </w:tcPr>
                  <w:p w14:paraId="326127EC" w14:textId="77777777" w:rsidR="00AB774A" w:rsidRDefault="004F686E" w:rsidP="00471D53">
                    <w:pPr>
                      <w:rPr>
                        <w:szCs w:val="21"/>
                      </w:rPr>
                    </w:pPr>
                    <w:r>
                      <w:t>股份</w:t>
                    </w:r>
                  </w:p>
                </w:tc>
                <w:tc>
                  <w:tcPr>
                    <w:tcW w:w="425" w:type="dxa"/>
                  </w:tcPr>
                  <w:sdt>
                    <w:sdtPr>
                      <w:rPr>
                        <w:rFonts w:hint="eastAsia"/>
                        <w:szCs w:val="21"/>
                      </w:rPr>
                      <w:tag w:val="_PLD_289cf7e5c3a845d59c038a21dcd4a571"/>
                      <w:id w:val="-282350750"/>
                      <w:lock w:val="sdtLocked"/>
                    </w:sdtPr>
                    <w:sdtEndPr/>
                    <w:sdtContent>
                      <w:p w14:paraId="54454760" w14:textId="77777777" w:rsidR="00AB774A" w:rsidRDefault="004F686E" w:rsidP="00471D53">
                        <w:pPr>
                          <w:jc w:val="center"/>
                          <w:rPr>
                            <w:szCs w:val="21"/>
                            <w:highlight w:val="lightGray"/>
                          </w:rPr>
                        </w:pPr>
                        <w:r>
                          <w:rPr>
                            <w:rFonts w:hint="eastAsia"/>
                            <w:szCs w:val="21"/>
                          </w:rPr>
                          <w:t>指</w:t>
                        </w:r>
                      </w:p>
                    </w:sdtContent>
                  </w:sdt>
                </w:tc>
                <w:tc>
                  <w:tcPr>
                    <w:tcW w:w="6276" w:type="dxa"/>
                  </w:tcPr>
                  <w:p w14:paraId="00D00206" w14:textId="77777777" w:rsidR="00AB774A" w:rsidRDefault="00B664AF" w:rsidP="00471D53">
                    <w:pPr>
                      <w:rPr>
                        <w:szCs w:val="21"/>
                      </w:rPr>
                    </w:pPr>
                    <w:sdt>
                      <w:sdtPr>
                        <w:rPr>
                          <w:rFonts w:hint="eastAsia"/>
                          <w:szCs w:val="21"/>
                        </w:rPr>
                        <w:alias w:val="常用词语释义"/>
                        <w:tag w:val="_GBC_b625dd71b03542c3b074c2ce59de70ad"/>
                        <w:id w:val="948594287"/>
                      </w:sdtPr>
                      <w:sdtEndPr/>
                      <w:sdtContent>
                        <w:r w:rsidR="004F686E">
                          <w:rPr>
                            <w:rFonts w:hint="eastAsia"/>
                            <w:szCs w:val="21"/>
                          </w:rPr>
                          <w:t>本公司股份，包括A股及H股，另有所指除外</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8450147"/>
            </w:sdtPr>
            <w:sdtEndPr/>
            <w:sdtContent>
              <w:tr w:rsidR="00AB774A" w:rsidRPr="009C29E3" w14:paraId="02B8E9CF" w14:textId="77777777" w:rsidTr="00471D53">
                <w:tc>
                  <w:tcPr>
                    <w:tcW w:w="2122" w:type="dxa"/>
                  </w:tcPr>
                  <w:p w14:paraId="267E46DF" w14:textId="77777777" w:rsidR="00AB774A" w:rsidRDefault="004F686E" w:rsidP="00471D53">
                    <w:pPr>
                      <w:rPr>
                        <w:szCs w:val="21"/>
                      </w:rPr>
                    </w:pPr>
                    <w:r>
                      <w:t>报告期</w:t>
                    </w:r>
                  </w:p>
                </w:tc>
                <w:tc>
                  <w:tcPr>
                    <w:tcW w:w="425" w:type="dxa"/>
                  </w:tcPr>
                  <w:sdt>
                    <w:sdtPr>
                      <w:rPr>
                        <w:rFonts w:hint="eastAsia"/>
                        <w:szCs w:val="21"/>
                      </w:rPr>
                      <w:tag w:val="_PLD_289cf7e5c3a845d59c038a21dcd4a571"/>
                      <w:id w:val="-101271653"/>
                      <w:lock w:val="sdtLocked"/>
                    </w:sdtPr>
                    <w:sdtEndPr/>
                    <w:sdtContent>
                      <w:p w14:paraId="5571963A" w14:textId="77777777" w:rsidR="00AB774A" w:rsidRDefault="004F686E" w:rsidP="00471D53">
                        <w:pPr>
                          <w:jc w:val="center"/>
                          <w:rPr>
                            <w:szCs w:val="21"/>
                            <w:highlight w:val="lightGray"/>
                          </w:rPr>
                        </w:pPr>
                        <w:r>
                          <w:rPr>
                            <w:rFonts w:hint="eastAsia"/>
                            <w:szCs w:val="21"/>
                          </w:rPr>
                          <w:t>指</w:t>
                        </w:r>
                      </w:p>
                    </w:sdtContent>
                  </w:sdt>
                </w:tc>
                <w:tc>
                  <w:tcPr>
                    <w:tcW w:w="6276" w:type="dxa"/>
                  </w:tcPr>
                  <w:p w14:paraId="019D1846" w14:textId="15495F72" w:rsidR="00AB774A" w:rsidRDefault="00B664AF" w:rsidP="00471D53">
                    <w:pPr>
                      <w:rPr>
                        <w:szCs w:val="21"/>
                      </w:rPr>
                    </w:pPr>
                    <w:sdt>
                      <w:sdtPr>
                        <w:rPr>
                          <w:rFonts w:hint="eastAsia"/>
                          <w:szCs w:val="21"/>
                        </w:rPr>
                        <w:alias w:val="常用词语释义"/>
                        <w:tag w:val="_GBC_b625dd71b03542c3b074c2ce59de70ad"/>
                        <w:id w:val="123049560"/>
                      </w:sdtPr>
                      <w:sdtEndPr/>
                      <w:sdtContent>
                        <w:r w:rsidR="004F686E">
                          <w:rPr>
                            <w:rFonts w:hint="eastAsia"/>
                            <w:szCs w:val="21"/>
                          </w:rPr>
                          <w:t>202</w:t>
                        </w:r>
                        <w:r w:rsidR="004F686E">
                          <w:rPr>
                            <w:szCs w:val="21"/>
                          </w:rPr>
                          <w:t>1</w:t>
                        </w:r>
                        <w:r w:rsidR="004F686E">
                          <w:rPr>
                            <w:rFonts w:hint="eastAsia"/>
                            <w:szCs w:val="21"/>
                          </w:rPr>
                          <w:t>年1月1日至202</w:t>
                        </w:r>
                        <w:r w:rsidR="004F686E">
                          <w:rPr>
                            <w:szCs w:val="21"/>
                          </w:rPr>
                          <w:t>1</w:t>
                        </w:r>
                        <w:r w:rsidR="004F686E">
                          <w:rPr>
                            <w:rFonts w:hint="eastAsia"/>
                            <w:szCs w:val="21"/>
                          </w:rPr>
                          <w:t>年6月3</w:t>
                        </w:r>
                        <w:r w:rsidR="004F686E">
                          <w:rPr>
                            <w:szCs w:val="21"/>
                          </w:rPr>
                          <w:t>0</w:t>
                        </w:r>
                        <w:r w:rsidR="004F686E">
                          <w:rPr>
                            <w:rFonts w:hint="eastAsia"/>
                            <w:szCs w:val="21"/>
                          </w:rPr>
                          <w:t>日</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1366754663"/>
            </w:sdtPr>
            <w:sdtEndPr/>
            <w:sdtContent>
              <w:tr w:rsidR="00AB774A" w:rsidRPr="009C29E3" w14:paraId="7B504693" w14:textId="77777777" w:rsidTr="00471D53">
                <w:tc>
                  <w:tcPr>
                    <w:tcW w:w="2122" w:type="dxa"/>
                  </w:tcPr>
                  <w:p w14:paraId="0AEE5C68" w14:textId="77777777" w:rsidR="00AB774A" w:rsidRDefault="004F686E" w:rsidP="00471D53">
                    <w:pPr>
                      <w:rPr>
                        <w:szCs w:val="21"/>
                      </w:rPr>
                    </w:pPr>
                    <w:r>
                      <w:t>上交所</w:t>
                    </w:r>
                  </w:p>
                </w:tc>
                <w:tc>
                  <w:tcPr>
                    <w:tcW w:w="425" w:type="dxa"/>
                  </w:tcPr>
                  <w:sdt>
                    <w:sdtPr>
                      <w:rPr>
                        <w:rFonts w:hint="eastAsia"/>
                        <w:szCs w:val="21"/>
                      </w:rPr>
                      <w:tag w:val="_PLD_289cf7e5c3a845d59c038a21dcd4a571"/>
                      <w:id w:val="1081807804"/>
                      <w:lock w:val="sdtLocked"/>
                    </w:sdtPr>
                    <w:sdtEndPr/>
                    <w:sdtContent>
                      <w:p w14:paraId="755BB537" w14:textId="77777777" w:rsidR="00AB774A" w:rsidRDefault="004F686E" w:rsidP="00471D53">
                        <w:pPr>
                          <w:jc w:val="center"/>
                          <w:rPr>
                            <w:szCs w:val="21"/>
                            <w:highlight w:val="lightGray"/>
                          </w:rPr>
                        </w:pPr>
                        <w:r>
                          <w:rPr>
                            <w:rFonts w:hint="eastAsia"/>
                            <w:szCs w:val="21"/>
                          </w:rPr>
                          <w:t>指</w:t>
                        </w:r>
                      </w:p>
                    </w:sdtContent>
                  </w:sdt>
                </w:tc>
                <w:tc>
                  <w:tcPr>
                    <w:tcW w:w="6276" w:type="dxa"/>
                  </w:tcPr>
                  <w:p w14:paraId="5A43EFB8" w14:textId="77777777" w:rsidR="00AB774A" w:rsidRDefault="00B664AF" w:rsidP="00471D53">
                    <w:pPr>
                      <w:rPr>
                        <w:szCs w:val="21"/>
                      </w:rPr>
                    </w:pPr>
                    <w:sdt>
                      <w:sdtPr>
                        <w:rPr>
                          <w:rFonts w:hint="eastAsia"/>
                          <w:szCs w:val="21"/>
                        </w:rPr>
                        <w:alias w:val="常用词语释义"/>
                        <w:tag w:val="_GBC_b625dd71b03542c3b074c2ce59de70ad"/>
                        <w:id w:val="1584726766"/>
                      </w:sdtPr>
                      <w:sdtEndPr/>
                      <w:sdtContent>
                        <w:r w:rsidR="004F686E">
                          <w:rPr>
                            <w:rFonts w:hint="eastAsia"/>
                            <w:szCs w:val="21"/>
                          </w:rPr>
                          <w:t>上海证券交易所</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1602213780"/>
            </w:sdtPr>
            <w:sdtEndPr/>
            <w:sdtContent>
              <w:tr w:rsidR="00AB774A" w:rsidRPr="009C29E3" w14:paraId="0A31EF74" w14:textId="77777777" w:rsidTr="00471D53">
                <w:tc>
                  <w:tcPr>
                    <w:tcW w:w="2122" w:type="dxa"/>
                  </w:tcPr>
                  <w:p w14:paraId="51B06259" w14:textId="77777777" w:rsidR="00AB774A" w:rsidRDefault="004F686E" w:rsidP="00471D53">
                    <w:pPr>
                      <w:rPr>
                        <w:szCs w:val="21"/>
                      </w:rPr>
                    </w:pPr>
                    <w:r>
                      <w:t>联交所</w:t>
                    </w:r>
                  </w:p>
                </w:tc>
                <w:tc>
                  <w:tcPr>
                    <w:tcW w:w="425" w:type="dxa"/>
                  </w:tcPr>
                  <w:sdt>
                    <w:sdtPr>
                      <w:rPr>
                        <w:rFonts w:hint="eastAsia"/>
                        <w:szCs w:val="21"/>
                      </w:rPr>
                      <w:tag w:val="_PLD_289cf7e5c3a845d59c038a21dcd4a571"/>
                      <w:id w:val="1055435480"/>
                      <w:lock w:val="sdtLocked"/>
                    </w:sdtPr>
                    <w:sdtEndPr/>
                    <w:sdtContent>
                      <w:p w14:paraId="76B9CE5D" w14:textId="77777777" w:rsidR="00AB774A" w:rsidRDefault="004F686E" w:rsidP="00471D53">
                        <w:pPr>
                          <w:jc w:val="center"/>
                          <w:rPr>
                            <w:szCs w:val="21"/>
                            <w:highlight w:val="lightGray"/>
                          </w:rPr>
                        </w:pPr>
                        <w:r>
                          <w:rPr>
                            <w:rFonts w:hint="eastAsia"/>
                            <w:szCs w:val="21"/>
                          </w:rPr>
                          <w:t>指</w:t>
                        </w:r>
                      </w:p>
                    </w:sdtContent>
                  </w:sdt>
                </w:tc>
                <w:tc>
                  <w:tcPr>
                    <w:tcW w:w="6276" w:type="dxa"/>
                  </w:tcPr>
                  <w:p w14:paraId="512EC46A" w14:textId="77777777" w:rsidR="00AB774A" w:rsidRDefault="00B664AF" w:rsidP="00471D53">
                    <w:pPr>
                      <w:rPr>
                        <w:szCs w:val="21"/>
                      </w:rPr>
                    </w:pPr>
                    <w:sdt>
                      <w:sdtPr>
                        <w:rPr>
                          <w:rFonts w:hint="eastAsia"/>
                          <w:szCs w:val="21"/>
                        </w:rPr>
                        <w:alias w:val="常用词语释义"/>
                        <w:tag w:val="_GBC_b625dd71b03542c3b074c2ce59de70ad"/>
                        <w:id w:val="1957139137"/>
                      </w:sdtPr>
                      <w:sdtEndPr/>
                      <w:sdtContent>
                        <w:r w:rsidR="004F686E">
                          <w:rPr>
                            <w:rFonts w:hint="eastAsia"/>
                            <w:szCs w:val="21"/>
                          </w:rPr>
                          <w:t>香港联合交易所有限公司</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926495774"/>
            </w:sdtPr>
            <w:sdtEndPr/>
            <w:sdtContent>
              <w:tr w:rsidR="00AB774A" w:rsidRPr="009C29E3" w14:paraId="4AE33DEE" w14:textId="77777777" w:rsidTr="00471D53">
                <w:tc>
                  <w:tcPr>
                    <w:tcW w:w="2122" w:type="dxa"/>
                  </w:tcPr>
                  <w:p w14:paraId="38BBD98E" w14:textId="77777777" w:rsidR="00AB774A" w:rsidRDefault="004F686E" w:rsidP="00471D53">
                    <w:pPr>
                      <w:rPr>
                        <w:szCs w:val="21"/>
                      </w:rPr>
                    </w:pPr>
                    <w:r>
                      <w:t>中国证监会</w:t>
                    </w:r>
                  </w:p>
                </w:tc>
                <w:tc>
                  <w:tcPr>
                    <w:tcW w:w="425" w:type="dxa"/>
                  </w:tcPr>
                  <w:sdt>
                    <w:sdtPr>
                      <w:rPr>
                        <w:rFonts w:hint="eastAsia"/>
                        <w:szCs w:val="21"/>
                      </w:rPr>
                      <w:tag w:val="_PLD_289cf7e5c3a845d59c038a21dcd4a571"/>
                      <w:id w:val="-618837076"/>
                      <w:lock w:val="sdtLocked"/>
                    </w:sdtPr>
                    <w:sdtEndPr/>
                    <w:sdtContent>
                      <w:p w14:paraId="19960111" w14:textId="77777777" w:rsidR="00AB774A" w:rsidRDefault="004F686E" w:rsidP="00471D53">
                        <w:pPr>
                          <w:jc w:val="center"/>
                          <w:rPr>
                            <w:szCs w:val="21"/>
                            <w:highlight w:val="lightGray"/>
                          </w:rPr>
                        </w:pPr>
                        <w:r>
                          <w:rPr>
                            <w:rFonts w:hint="eastAsia"/>
                            <w:szCs w:val="21"/>
                          </w:rPr>
                          <w:t>指</w:t>
                        </w:r>
                      </w:p>
                    </w:sdtContent>
                  </w:sdt>
                </w:tc>
                <w:tc>
                  <w:tcPr>
                    <w:tcW w:w="6276" w:type="dxa"/>
                  </w:tcPr>
                  <w:p w14:paraId="2AB3B2E8" w14:textId="77777777" w:rsidR="00AB774A" w:rsidRDefault="00B664AF" w:rsidP="00471D53">
                    <w:pPr>
                      <w:rPr>
                        <w:szCs w:val="21"/>
                      </w:rPr>
                    </w:pPr>
                    <w:sdt>
                      <w:sdtPr>
                        <w:rPr>
                          <w:rFonts w:hint="eastAsia"/>
                          <w:szCs w:val="21"/>
                        </w:rPr>
                        <w:alias w:val="常用词语释义"/>
                        <w:tag w:val="_GBC_b625dd71b03542c3b074c2ce59de70ad"/>
                        <w:id w:val="1263421575"/>
                      </w:sdtPr>
                      <w:sdtEndPr/>
                      <w:sdtContent>
                        <w:r w:rsidR="004F686E">
                          <w:rPr>
                            <w:rFonts w:hint="eastAsia"/>
                            <w:szCs w:val="21"/>
                          </w:rPr>
                          <w:t>中国证券监督管理委员会</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2101367860"/>
            </w:sdtPr>
            <w:sdtEndPr/>
            <w:sdtContent>
              <w:tr w:rsidR="00AB774A" w:rsidRPr="009C29E3" w14:paraId="2BD43ED3" w14:textId="77777777" w:rsidTr="00471D53">
                <w:tc>
                  <w:tcPr>
                    <w:tcW w:w="2122" w:type="dxa"/>
                  </w:tcPr>
                  <w:p w14:paraId="0ACBB087" w14:textId="77777777" w:rsidR="00AB774A" w:rsidRDefault="004F686E" w:rsidP="00471D53">
                    <w:pPr>
                      <w:rPr>
                        <w:szCs w:val="21"/>
                      </w:rPr>
                    </w:pPr>
                    <w:r>
                      <w:t>北京市国资委</w:t>
                    </w:r>
                  </w:p>
                </w:tc>
                <w:tc>
                  <w:tcPr>
                    <w:tcW w:w="425" w:type="dxa"/>
                  </w:tcPr>
                  <w:sdt>
                    <w:sdtPr>
                      <w:rPr>
                        <w:rFonts w:hint="eastAsia"/>
                        <w:szCs w:val="21"/>
                      </w:rPr>
                      <w:tag w:val="_PLD_289cf7e5c3a845d59c038a21dcd4a571"/>
                      <w:id w:val="343827431"/>
                      <w:lock w:val="sdtLocked"/>
                    </w:sdtPr>
                    <w:sdtEndPr/>
                    <w:sdtContent>
                      <w:p w14:paraId="433FCF15" w14:textId="77777777" w:rsidR="00AB774A" w:rsidRDefault="004F686E" w:rsidP="00471D53">
                        <w:pPr>
                          <w:jc w:val="center"/>
                          <w:rPr>
                            <w:szCs w:val="21"/>
                            <w:highlight w:val="lightGray"/>
                          </w:rPr>
                        </w:pPr>
                        <w:r>
                          <w:rPr>
                            <w:rFonts w:hint="eastAsia"/>
                            <w:szCs w:val="21"/>
                          </w:rPr>
                          <w:t>指</w:t>
                        </w:r>
                      </w:p>
                    </w:sdtContent>
                  </w:sdt>
                </w:tc>
                <w:tc>
                  <w:tcPr>
                    <w:tcW w:w="6276" w:type="dxa"/>
                  </w:tcPr>
                  <w:p w14:paraId="01F840A2" w14:textId="77777777" w:rsidR="00AB774A" w:rsidRDefault="00B664AF" w:rsidP="00471D53">
                    <w:pPr>
                      <w:rPr>
                        <w:szCs w:val="21"/>
                      </w:rPr>
                    </w:pPr>
                    <w:sdt>
                      <w:sdtPr>
                        <w:rPr>
                          <w:rFonts w:hint="eastAsia"/>
                          <w:szCs w:val="21"/>
                        </w:rPr>
                        <w:alias w:val="常用词语释义"/>
                        <w:tag w:val="_GBC_b625dd71b03542c3b074c2ce59de70ad"/>
                        <w:id w:val="-516386010"/>
                      </w:sdtPr>
                      <w:sdtEndPr/>
                      <w:sdtContent>
                        <w:r w:rsidR="004F686E">
                          <w:rPr>
                            <w:rFonts w:hint="eastAsia"/>
                            <w:szCs w:val="21"/>
                          </w:rPr>
                          <w:t>北京市人民政府国有资产监督管理委员会</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1270383377"/>
            </w:sdtPr>
            <w:sdtEndPr/>
            <w:sdtContent>
              <w:tr w:rsidR="00AB774A" w:rsidRPr="009C29E3" w14:paraId="6CB32FEC" w14:textId="77777777" w:rsidTr="00471D53">
                <w:tc>
                  <w:tcPr>
                    <w:tcW w:w="2122" w:type="dxa"/>
                  </w:tcPr>
                  <w:p w14:paraId="087AF26F" w14:textId="0500DBF6" w:rsidR="00AB774A" w:rsidRDefault="004F686E" w:rsidP="00471D53">
                    <w:pPr>
                      <w:rPr>
                        <w:szCs w:val="21"/>
                      </w:rPr>
                    </w:pPr>
                    <w:r>
                      <w:t>北京证监局</w:t>
                    </w:r>
                  </w:p>
                </w:tc>
                <w:tc>
                  <w:tcPr>
                    <w:tcW w:w="425" w:type="dxa"/>
                  </w:tcPr>
                  <w:sdt>
                    <w:sdtPr>
                      <w:rPr>
                        <w:rFonts w:hint="eastAsia"/>
                        <w:szCs w:val="21"/>
                      </w:rPr>
                      <w:tag w:val="_PLD_289cf7e5c3a845d59c038a21dcd4a571"/>
                      <w:id w:val="-1629849734"/>
                      <w:lock w:val="sdtLocked"/>
                    </w:sdtPr>
                    <w:sdtEndPr/>
                    <w:sdtContent>
                      <w:p w14:paraId="6FB34544" w14:textId="77777777" w:rsidR="00AB774A" w:rsidRDefault="004F686E" w:rsidP="00471D53">
                        <w:pPr>
                          <w:jc w:val="center"/>
                          <w:rPr>
                            <w:szCs w:val="21"/>
                            <w:highlight w:val="lightGray"/>
                          </w:rPr>
                        </w:pPr>
                        <w:r>
                          <w:rPr>
                            <w:rFonts w:hint="eastAsia"/>
                            <w:szCs w:val="21"/>
                          </w:rPr>
                          <w:t>指</w:t>
                        </w:r>
                      </w:p>
                    </w:sdtContent>
                  </w:sdt>
                </w:tc>
                <w:tc>
                  <w:tcPr>
                    <w:tcW w:w="6276" w:type="dxa"/>
                  </w:tcPr>
                  <w:p w14:paraId="4B7543B4" w14:textId="77777777" w:rsidR="00AB774A" w:rsidRDefault="00B664AF" w:rsidP="00471D53">
                    <w:pPr>
                      <w:rPr>
                        <w:szCs w:val="21"/>
                      </w:rPr>
                    </w:pPr>
                    <w:sdt>
                      <w:sdtPr>
                        <w:rPr>
                          <w:rFonts w:hint="eastAsia"/>
                          <w:szCs w:val="21"/>
                        </w:rPr>
                        <w:alias w:val="常用词语释义"/>
                        <w:tag w:val="_GBC_b625dd71b03542c3b074c2ce59de70ad"/>
                        <w:id w:val="-882248706"/>
                      </w:sdtPr>
                      <w:sdtEndPr/>
                      <w:sdtContent>
                        <w:r w:rsidR="004F686E">
                          <w:rPr>
                            <w:rFonts w:hint="eastAsia"/>
                            <w:szCs w:val="21"/>
                          </w:rPr>
                          <w:t>中国证券监督管理委员会北京监管局</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795600482"/>
            </w:sdtPr>
            <w:sdtEndPr/>
            <w:sdtContent>
              <w:tr w:rsidR="00AB774A" w:rsidRPr="009C29E3" w14:paraId="35C449B1" w14:textId="77777777" w:rsidTr="00471D53">
                <w:tc>
                  <w:tcPr>
                    <w:tcW w:w="2122" w:type="dxa"/>
                  </w:tcPr>
                  <w:p w14:paraId="31426147" w14:textId="77777777" w:rsidR="00AB774A" w:rsidRDefault="004F686E" w:rsidP="00471D53">
                    <w:pPr>
                      <w:rPr>
                        <w:szCs w:val="21"/>
                      </w:rPr>
                    </w:pPr>
                    <w:r>
                      <w:t>控股股东</w:t>
                    </w:r>
                  </w:p>
                </w:tc>
                <w:tc>
                  <w:tcPr>
                    <w:tcW w:w="425" w:type="dxa"/>
                  </w:tcPr>
                  <w:sdt>
                    <w:sdtPr>
                      <w:rPr>
                        <w:rFonts w:hint="eastAsia"/>
                        <w:szCs w:val="21"/>
                      </w:rPr>
                      <w:tag w:val="_PLD_289cf7e5c3a845d59c038a21dcd4a571"/>
                      <w:id w:val="769817744"/>
                      <w:lock w:val="sdtLocked"/>
                    </w:sdtPr>
                    <w:sdtEndPr/>
                    <w:sdtContent>
                      <w:p w14:paraId="5A9AB409" w14:textId="77777777" w:rsidR="00AB774A" w:rsidRDefault="004F686E" w:rsidP="00471D53">
                        <w:pPr>
                          <w:jc w:val="center"/>
                          <w:rPr>
                            <w:szCs w:val="21"/>
                            <w:highlight w:val="lightGray"/>
                          </w:rPr>
                        </w:pPr>
                        <w:r>
                          <w:rPr>
                            <w:rFonts w:hint="eastAsia"/>
                            <w:szCs w:val="21"/>
                          </w:rPr>
                          <w:t>指</w:t>
                        </w:r>
                      </w:p>
                    </w:sdtContent>
                  </w:sdt>
                </w:tc>
                <w:tc>
                  <w:tcPr>
                    <w:tcW w:w="6276" w:type="dxa"/>
                  </w:tcPr>
                  <w:p w14:paraId="7BF9B5E7" w14:textId="77777777" w:rsidR="00AB774A" w:rsidRDefault="00B664AF" w:rsidP="00471D53">
                    <w:pPr>
                      <w:rPr>
                        <w:szCs w:val="21"/>
                      </w:rPr>
                    </w:pPr>
                    <w:sdt>
                      <w:sdtPr>
                        <w:rPr>
                          <w:rFonts w:hint="eastAsia"/>
                          <w:szCs w:val="21"/>
                        </w:rPr>
                        <w:alias w:val="常用词语释义"/>
                        <w:tag w:val="_GBC_b625dd71b03542c3b074c2ce59de70ad"/>
                        <w:id w:val="68779658"/>
                      </w:sdtPr>
                      <w:sdtEndPr/>
                      <w:sdtContent>
                        <w:r w:rsidR="004F686E">
                          <w:rPr>
                            <w:rFonts w:hint="eastAsia"/>
                            <w:szCs w:val="21"/>
                          </w:rPr>
                          <w:t>具有上市规则赋予该词之涵义</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1916281500"/>
            </w:sdtPr>
            <w:sdtEndPr/>
            <w:sdtContent>
              <w:tr w:rsidR="00AB774A" w:rsidRPr="009C29E3" w14:paraId="43211B8E" w14:textId="77777777" w:rsidTr="00471D53">
                <w:tc>
                  <w:tcPr>
                    <w:tcW w:w="2122" w:type="dxa"/>
                  </w:tcPr>
                  <w:p w14:paraId="0476E0D6" w14:textId="77777777" w:rsidR="00AB774A" w:rsidRDefault="004F686E" w:rsidP="00471D53">
                    <w:pPr>
                      <w:rPr>
                        <w:szCs w:val="21"/>
                      </w:rPr>
                    </w:pPr>
                    <w:r>
                      <w:t>上市规则</w:t>
                    </w:r>
                  </w:p>
                </w:tc>
                <w:tc>
                  <w:tcPr>
                    <w:tcW w:w="425" w:type="dxa"/>
                  </w:tcPr>
                  <w:sdt>
                    <w:sdtPr>
                      <w:rPr>
                        <w:rFonts w:hint="eastAsia"/>
                        <w:szCs w:val="21"/>
                      </w:rPr>
                      <w:tag w:val="_PLD_289cf7e5c3a845d59c038a21dcd4a571"/>
                      <w:id w:val="-1551683066"/>
                      <w:lock w:val="sdtLocked"/>
                    </w:sdtPr>
                    <w:sdtEndPr/>
                    <w:sdtContent>
                      <w:p w14:paraId="5F9C1914" w14:textId="77777777" w:rsidR="00AB774A" w:rsidRDefault="004F686E" w:rsidP="00471D53">
                        <w:pPr>
                          <w:jc w:val="center"/>
                          <w:rPr>
                            <w:szCs w:val="21"/>
                            <w:highlight w:val="lightGray"/>
                          </w:rPr>
                        </w:pPr>
                        <w:r>
                          <w:rPr>
                            <w:rFonts w:hint="eastAsia"/>
                            <w:szCs w:val="21"/>
                          </w:rPr>
                          <w:t>指</w:t>
                        </w:r>
                      </w:p>
                    </w:sdtContent>
                  </w:sdt>
                </w:tc>
                <w:tc>
                  <w:tcPr>
                    <w:tcW w:w="6276" w:type="dxa"/>
                  </w:tcPr>
                  <w:p w14:paraId="027AFBF8" w14:textId="77777777" w:rsidR="00AB774A" w:rsidRDefault="00B664AF" w:rsidP="00471D53">
                    <w:pPr>
                      <w:rPr>
                        <w:szCs w:val="21"/>
                      </w:rPr>
                    </w:pPr>
                    <w:sdt>
                      <w:sdtPr>
                        <w:rPr>
                          <w:rFonts w:hint="eastAsia"/>
                          <w:szCs w:val="21"/>
                        </w:rPr>
                        <w:alias w:val="常用词语释义"/>
                        <w:tag w:val="_GBC_b625dd71b03542c3b074c2ce59de70ad"/>
                        <w:id w:val="1305512695"/>
                      </w:sdtPr>
                      <w:sdtEndPr/>
                      <w:sdtContent>
                        <w:r w:rsidR="004F686E">
                          <w:rPr>
                            <w:rFonts w:hint="eastAsia"/>
                            <w:szCs w:val="21"/>
                          </w:rPr>
                          <w:t>上海证券交易所上市规则和联交所证券上市规则</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1502924767"/>
            </w:sdtPr>
            <w:sdtEndPr/>
            <w:sdtContent>
              <w:tr w:rsidR="00AB774A" w:rsidRPr="009C29E3" w14:paraId="31B78E21" w14:textId="77777777" w:rsidTr="00471D53">
                <w:tc>
                  <w:tcPr>
                    <w:tcW w:w="2122" w:type="dxa"/>
                  </w:tcPr>
                  <w:p w14:paraId="682AF4D9" w14:textId="77777777" w:rsidR="00AB774A" w:rsidRDefault="004F686E" w:rsidP="00471D53">
                    <w:pPr>
                      <w:rPr>
                        <w:szCs w:val="21"/>
                      </w:rPr>
                    </w:pPr>
                    <w:r>
                      <w:t>中国企业会计准则</w:t>
                    </w:r>
                  </w:p>
                </w:tc>
                <w:tc>
                  <w:tcPr>
                    <w:tcW w:w="425" w:type="dxa"/>
                  </w:tcPr>
                  <w:sdt>
                    <w:sdtPr>
                      <w:rPr>
                        <w:rFonts w:hint="eastAsia"/>
                        <w:szCs w:val="21"/>
                      </w:rPr>
                      <w:tag w:val="_PLD_289cf7e5c3a845d59c038a21dcd4a571"/>
                      <w:id w:val="349147462"/>
                      <w:lock w:val="sdtLocked"/>
                    </w:sdtPr>
                    <w:sdtEndPr/>
                    <w:sdtContent>
                      <w:p w14:paraId="530006A4" w14:textId="77777777" w:rsidR="00AB774A" w:rsidRDefault="004F686E" w:rsidP="00471D53">
                        <w:pPr>
                          <w:jc w:val="center"/>
                          <w:rPr>
                            <w:szCs w:val="21"/>
                            <w:highlight w:val="lightGray"/>
                          </w:rPr>
                        </w:pPr>
                        <w:r>
                          <w:rPr>
                            <w:rFonts w:hint="eastAsia"/>
                            <w:szCs w:val="21"/>
                          </w:rPr>
                          <w:t>指</w:t>
                        </w:r>
                      </w:p>
                    </w:sdtContent>
                  </w:sdt>
                </w:tc>
                <w:tc>
                  <w:tcPr>
                    <w:tcW w:w="6276" w:type="dxa"/>
                  </w:tcPr>
                  <w:p w14:paraId="430BAB4D" w14:textId="77777777" w:rsidR="00AB774A" w:rsidRDefault="00B664AF" w:rsidP="00471D53">
                    <w:pPr>
                      <w:rPr>
                        <w:szCs w:val="21"/>
                      </w:rPr>
                    </w:pPr>
                    <w:sdt>
                      <w:sdtPr>
                        <w:rPr>
                          <w:rFonts w:hint="eastAsia"/>
                          <w:szCs w:val="21"/>
                        </w:rPr>
                        <w:alias w:val="常用词语释义"/>
                        <w:tag w:val="_GBC_b625dd71b03542c3b074c2ce59de70ad"/>
                        <w:id w:val="-1800060149"/>
                      </w:sdtPr>
                      <w:sdtEndPr/>
                      <w:sdtContent>
                        <w:r w:rsidR="004F686E">
                          <w:rPr>
                            <w:rFonts w:hint="eastAsia"/>
                            <w:szCs w:val="21"/>
                          </w:rPr>
                          <w:t>中国企业会计准则</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1315298311"/>
            </w:sdtPr>
            <w:sdtEndPr/>
            <w:sdtContent>
              <w:tr w:rsidR="00AB774A" w:rsidRPr="009C29E3" w14:paraId="37A6D33B" w14:textId="77777777" w:rsidTr="00471D53">
                <w:tc>
                  <w:tcPr>
                    <w:tcW w:w="2122" w:type="dxa"/>
                  </w:tcPr>
                  <w:p w14:paraId="69D443B4" w14:textId="77777777" w:rsidR="00AB774A" w:rsidRDefault="004F686E" w:rsidP="00471D53">
                    <w:pPr>
                      <w:rPr>
                        <w:szCs w:val="21"/>
                      </w:rPr>
                    </w:pPr>
                    <w:r>
                      <w:t>人民币</w:t>
                    </w:r>
                  </w:p>
                </w:tc>
                <w:tc>
                  <w:tcPr>
                    <w:tcW w:w="425" w:type="dxa"/>
                  </w:tcPr>
                  <w:sdt>
                    <w:sdtPr>
                      <w:rPr>
                        <w:rFonts w:hint="eastAsia"/>
                        <w:szCs w:val="21"/>
                      </w:rPr>
                      <w:tag w:val="_PLD_289cf7e5c3a845d59c038a21dcd4a571"/>
                      <w:id w:val="332572553"/>
                      <w:lock w:val="sdtLocked"/>
                    </w:sdtPr>
                    <w:sdtEndPr/>
                    <w:sdtContent>
                      <w:p w14:paraId="0F3647AE" w14:textId="77777777" w:rsidR="00AB774A" w:rsidRDefault="004F686E" w:rsidP="00471D53">
                        <w:pPr>
                          <w:jc w:val="center"/>
                          <w:rPr>
                            <w:szCs w:val="21"/>
                            <w:highlight w:val="lightGray"/>
                          </w:rPr>
                        </w:pPr>
                        <w:r>
                          <w:rPr>
                            <w:rFonts w:hint="eastAsia"/>
                            <w:szCs w:val="21"/>
                          </w:rPr>
                          <w:t>指</w:t>
                        </w:r>
                      </w:p>
                    </w:sdtContent>
                  </w:sdt>
                </w:tc>
                <w:tc>
                  <w:tcPr>
                    <w:tcW w:w="6276" w:type="dxa"/>
                  </w:tcPr>
                  <w:p w14:paraId="30689848" w14:textId="77777777" w:rsidR="00AB774A" w:rsidRDefault="00B664AF" w:rsidP="00471D53">
                    <w:pPr>
                      <w:rPr>
                        <w:szCs w:val="21"/>
                      </w:rPr>
                    </w:pPr>
                    <w:sdt>
                      <w:sdtPr>
                        <w:rPr>
                          <w:rFonts w:hint="eastAsia"/>
                          <w:szCs w:val="21"/>
                        </w:rPr>
                        <w:alias w:val="常用词语释义"/>
                        <w:tag w:val="_GBC_b625dd71b03542c3b074c2ce59de70ad"/>
                        <w:id w:val="-1955236832"/>
                      </w:sdtPr>
                      <w:sdtEndPr/>
                      <w:sdtContent>
                        <w:r w:rsidR="004F686E">
                          <w:rPr>
                            <w:rFonts w:hint="eastAsia"/>
                            <w:szCs w:val="21"/>
                          </w:rPr>
                          <w:t>中国法定货币人民币</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1880314472"/>
            </w:sdtPr>
            <w:sdtEndPr/>
            <w:sdtContent>
              <w:tr w:rsidR="00AB774A" w:rsidRPr="009C29E3" w14:paraId="11EF14C9" w14:textId="77777777" w:rsidTr="00471D53">
                <w:tc>
                  <w:tcPr>
                    <w:tcW w:w="2122" w:type="dxa"/>
                  </w:tcPr>
                  <w:p w14:paraId="16024671" w14:textId="77777777" w:rsidR="00AB774A" w:rsidRDefault="004F686E" w:rsidP="00471D53">
                    <w:pPr>
                      <w:rPr>
                        <w:szCs w:val="21"/>
                      </w:rPr>
                    </w:pPr>
                    <w:r>
                      <w:t>港元</w:t>
                    </w:r>
                  </w:p>
                </w:tc>
                <w:tc>
                  <w:tcPr>
                    <w:tcW w:w="425" w:type="dxa"/>
                  </w:tcPr>
                  <w:sdt>
                    <w:sdtPr>
                      <w:rPr>
                        <w:rFonts w:hint="eastAsia"/>
                        <w:szCs w:val="21"/>
                      </w:rPr>
                      <w:tag w:val="_PLD_289cf7e5c3a845d59c038a21dcd4a571"/>
                      <w:id w:val="1814367783"/>
                      <w:lock w:val="sdtLocked"/>
                    </w:sdtPr>
                    <w:sdtEndPr/>
                    <w:sdtContent>
                      <w:p w14:paraId="705525E1" w14:textId="77777777" w:rsidR="00AB774A" w:rsidRDefault="004F686E" w:rsidP="00471D53">
                        <w:pPr>
                          <w:jc w:val="center"/>
                          <w:rPr>
                            <w:szCs w:val="21"/>
                            <w:highlight w:val="lightGray"/>
                          </w:rPr>
                        </w:pPr>
                        <w:r>
                          <w:rPr>
                            <w:rFonts w:hint="eastAsia"/>
                            <w:szCs w:val="21"/>
                          </w:rPr>
                          <w:t>指</w:t>
                        </w:r>
                      </w:p>
                    </w:sdtContent>
                  </w:sdt>
                </w:tc>
                <w:tc>
                  <w:tcPr>
                    <w:tcW w:w="6276" w:type="dxa"/>
                  </w:tcPr>
                  <w:p w14:paraId="0D9B17DC" w14:textId="77777777" w:rsidR="00AB774A" w:rsidRDefault="00B664AF" w:rsidP="00471D53">
                    <w:pPr>
                      <w:rPr>
                        <w:szCs w:val="21"/>
                      </w:rPr>
                    </w:pPr>
                    <w:sdt>
                      <w:sdtPr>
                        <w:rPr>
                          <w:rFonts w:hint="eastAsia"/>
                          <w:szCs w:val="21"/>
                        </w:rPr>
                        <w:alias w:val="常用词语释义"/>
                        <w:tag w:val="_GBC_b625dd71b03542c3b074c2ce59de70ad"/>
                        <w:id w:val="1032845666"/>
                      </w:sdtPr>
                      <w:sdtEndPr/>
                      <w:sdtContent>
                        <w:r w:rsidR="004F686E">
                          <w:rPr>
                            <w:rFonts w:hint="eastAsia"/>
                            <w:szCs w:val="21"/>
                          </w:rPr>
                          <w:t>香港法定货币港元</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1357585763"/>
            </w:sdtPr>
            <w:sdtEndPr/>
            <w:sdtContent>
              <w:tr w:rsidR="00AB774A" w:rsidRPr="009C29E3" w14:paraId="786D18D1" w14:textId="77777777" w:rsidTr="00471D53">
                <w:tc>
                  <w:tcPr>
                    <w:tcW w:w="2122" w:type="dxa"/>
                  </w:tcPr>
                  <w:p w14:paraId="1BFD2FE6" w14:textId="77777777" w:rsidR="00AB774A" w:rsidRDefault="004F686E" w:rsidP="00471D53">
                    <w:pPr>
                      <w:rPr>
                        <w:szCs w:val="21"/>
                      </w:rPr>
                    </w:pPr>
                    <w:r>
                      <w:t>美元</w:t>
                    </w:r>
                  </w:p>
                </w:tc>
                <w:tc>
                  <w:tcPr>
                    <w:tcW w:w="425" w:type="dxa"/>
                  </w:tcPr>
                  <w:sdt>
                    <w:sdtPr>
                      <w:rPr>
                        <w:rFonts w:hint="eastAsia"/>
                        <w:szCs w:val="21"/>
                      </w:rPr>
                      <w:tag w:val="_PLD_289cf7e5c3a845d59c038a21dcd4a571"/>
                      <w:id w:val="119194011"/>
                      <w:lock w:val="sdtLocked"/>
                    </w:sdtPr>
                    <w:sdtEndPr/>
                    <w:sdtContent>
                      <w:p w14:paraId="5B234BF7" w14:textId="77777777" w:rsidR="00AB774A" w:rsidRDefault="004F686E" w:rsidP="00471D53">
                        <w:pPr>
                          <w:jc w:val="center"/>
                          <w:rPr>
                            <w:szCs w:val="21"/>
                            <w:highlight w:val="lightGray"/>
                          </w:rPr>
                        </w:pPr>
                        <w:r>
                          <w:rPr>
                            <w:rFonts w:hint="eastAsia"/>
                            <w:szCs w:val="21"/>
                          </w:rPr>
                          <w:t>指</w:t>
                        </w:r>
                      </w:p>
                    </w:sdtContent>
                  </w:sdt>
                </w:tc>
                <w:tc>
                  <w:tcPr>
                    <w:tcW w:w="6276" w:type="dxa"/>
                  </w:tcPr>
                  <w:p w14:paraId="74263285" w14:textId="77777777" w:rsidR="00AB774A" w:rsidRDefault="00B664AF" w:rsidP="00471D53">
                    <w:pPr>
                      <w:rPr>
                        <w:szCs w:val="21"/>
                      </w:rPr>
                    </w:pPr>
                    <w:sdt>
                      <w:sdtPr>
                        <w:rPr>
                          <w:rFonts w:hint="eastAsia"/>
                          <w:szCs w:val="21"/>
                        </w:rPr>
                        <w:alias w:val="常用词语释义"/>
                        <w:tag w:val="_GBC_b625dd71b03542c3b074c2ce59de70ad"/>
                        <w:id w:val="-1260442948"/>
                      </w:sdtPr>
                      <w:sdtEndPr/>
                      <w:sdtContent>
                        <w:r w:rsidR="004F686E">
                          <w:rPr>
                            <w:rFonts w:hint="eastAsia"/>
                            <w:szCs w:val="21"/>
                          </w:rPr>
                          <w:t>美利坚合众国法定货币美元</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196512168"/>
            </w:sdtPr>
            <w:sdtEndPr/>
            <w:sdtContent>
              <w:tr w:rsidR="00AB774A" w:rsidRPr="009C29E3" w14:paraId="2D78EDDA" w14:textId="77777777" w:rsidTr="00471D53">
                <w:tc>
                  <w:tcPr>
                    <w:tcW w:w="2122" w:type="dxa"/>
                  </w:tcPr>
                  <w:p w14:paraId="0C5DF78D" w14:textId="77777777" w:rsidR="00AB774A" w:rsidRDefault="004F686E" w:rsidP="00471D53">
                    <w:pPr>
                      <w:rPr>
                        <w:szCs w:val="21"/>
                      </w:rPr>
                    </w:pPr>
                    <w:r>
                      <w:t>DOT</w:t>
                    </w:r>
                  </w:p>
                </w:tc>
                <w:tc>
                  <w:tcPr>
                    <w:tcW w:w="425" w:type="dxa"/>
                  </w:tcPr>
                  <w:sdt>
                    <w:sdtPr>
                      <w:rPr>
                        <w:rFonts w:hint="eastAsia"/>
                        <w:szCs w:val="21"/>
                      </w:rPr>
                      <w:tag w:val="_PLD_289cf7e5c3a845d59c038a21dcd4a571"/>
                      <w:id w:val="230660668"/>
                      <w:lock w:val="sdtLocked"/>
                    </w:sdtPr>
                    <w:sdtEndPr/>
                    <w:sdtContent>
                      <w:p w14:paraId="0BEE85D0" w14:textId="77777777" w:rsidR="00AB774A" w:rsidRDefault="004F686E" w:rsidP="00471D53">
                        <w:pPr>
                          <w:jc w:val="center"/>
                          <w:rPr>
                            <w:szCs w:val="21"/>
                            <w:highlight w:val="lightGray"/>
                          </w:rPr>
                        </w:pPr>
                        <w:r>
                          <w:rPr>
                            <w:rFonts w:hint="eastAsia"/>
                            <w:szCs w:val="21"/>
                          </w:rPr>
                          <w:t>指</w:t>
                        </w:r>
                      </w:p>
                    </w:sdtContent>
                  </w:sdt>
                </w:tc>
                <w:tc>
                  <w:tcPr>
                    <w:tcW w:w="6276" w:type="dxa"/>
                  </w:tcPr>
                  <w:p w14:paraId="589028C5" w14:textId="77777777" w:rsidR="00AB774A" w:rsidRDefault="00B664AF" w:rsidP="00471D53">
                    <w:pPr>
                      <w:rPr>
                        <w:szCs w:val="21"/>
                      </w:rPr>
                    </w:pPr>
                    <w:sdt>
                      <w:sdtPr>
                        <w:rPr>
                          <w:rFonts w:hint="eastAsia"/>
                          <w:szCs w:val="21"/>
                        </w:rPr>
                        <w:alias w:val="常用词语释义"/>
                        <w:tag w:val="_GBC_b625dd71b03542c3b074c2ce59de70ad"/>
                        <w:id w:val="1300487960"/>
                      </w:sdtPr>
                      <w:sdtEndPr/>
                      <w:sdtContent>
                        <w:r w:rsidR="004F686E">
                          <w:rPr>
                            <w:rFonts w:hint="eastAsia"/>
                            <w:szCs w:val="21"/>
                          </w:rPr>
                          <w:t>美国交通部(US Department of Transportation) 的英文缩写</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2099048542"/>
            </w:sdtPr>
            <w:sdtEndPr/>
            <w:sdtContent>
              <w:tr w:rsidR="00AB774A" w:rsidRPr="009C29E3" w14:paraId="002C6C58" w14:textId="77777777" w:rsidTr="00471D53">
                <w:tc>
                  <w:tcPr>
                    <w:tcW w:w="2122" w:type="dxa"/>
                  </w:tcPr>
                  <w:p w14:paraId="13498756" w14:textId="77777777" w:rsidR="00AB774A" w:rsidRDefault="004F686E" w:rsidP="00471D53">
                    <w:pPr>
                      <w:rPr>
                        <w:szCs w:val="21"/>
                      </w:rPr>
                    </w:pPr>
                    <w:r>
                      <w:t>LNG</w:t>
                    </w:r>
                  </w:p>
                </w:tc>
                <w:tc>
                  <w:tcPr>
                    <w:tcW w:w="425" w:type="dxa"/>
                  </w:tcPr>
                  <w:sdt>
                    <w:sdtPr>
                      <w:rPr>
                        <w:rFonts w:hint="eastAsia"/>
                        <w:szCs w:val="21"/>
                      </w:rPr>
                      <w:tag w:val="_PLD_289cf7e5c3a845d59c038a21dcd4a571"/>
                      <w:id w:val="1365484265"/>
                      <w:lock w:val="sdtLocked"/>
                    </w:sdtPr>
                    <w:sdtEndPr/>
                    <w:sdtContent>
                      <w:p w14:paraId="06D99822" w14:textId="77777777" w:rsidR="00AB774A" w:rsidRDefault="004F686E" w:rsidP="00471D53">
                        <w:pPr>
                          <w:jc w:val="center"/>
                          <w:rPr>
                            <w:szCs w:val="21"/>
                            <w:highlight w:val="lightGray"/>
                          </w:rPr>
                        </w:pPr>
                        <w:r>
                          <w:rPr>
                            <w:rFonts w:hint="eastAsia"/>
                            <w:szCs w:val="21"/>
                          </w:rPr>
                          <w:t>指</w:t>
                        </w:r>
                      </w:p>
                    </w:sdtContent>
                  </w:sdt>
                </w:tc>
                <w:tc>
                  <w:tcPr>
                    <w:tcW w:w="6276" w:type="dxa"/>
                  </w:tcPr>
                  <w:p w14:paraId="64ADF211" w14:textId="77777777" w:rsidR="00AB774A" w:rsidRDefault="00B664AF" w:rsidP="00471D53">
                    <w:pPr>
                      <w:rPr>
                        <w:szCs w:val="21"/>
                      </w:rPr>
                    </w:pPr>
                    <w:sdt>
                      <w:sdtPr>
                        <w:rPr>
                          <w:rFonts w:hint="eastAsia"/>
                          <w:szCs w:val="21"/>
                        </w:rPr>
                        <w:alias w:val="常用词语释义"/>
                        <w:tag w:val="_GBC_b625dd71b03542c3b074c2ce59de70ad"/>
                        <w:id w:val="784922831"/>
                      </w:sdtPr>
                      <w:sdtEndPr/>
                      <w:sdtContent>
                        <w:r w:rsidR="004F686E">
                          <w:rPr>
                            <w:rFonts w:hint="eastAsia"/>
                            <w:szCs w:val="21"/>
                          </w:rPr>
                          <w:t>液化天然气（liquefied natural gas）的英文缩写</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1562678061"/>
            </w:sdtPr>
            <w:sdtEndPr/>
            <w:sdtContent>
              <w:tr w:rsidR="00AB774A" w:rsidRPr="009C29E3" w14:paraId="46D9269D" w14:textId="77777777" w:rsidTr="00471D53">
                <w:tc>
                  <w:tcPr>
                    <w:tcW w:w="2122" w:type="dxa"/>
                  </w:tcPr>
                  <w:p w14:paraId="43450A3D" w14:textId="77777777" w:rsidR="00AB774A" w:rsidRDefault="004F686E" w:rsidP="00471D53">
                    <w:pPr>
                      <w:rPr>
                        <w:szCs w:val="21"/>
                      </w:rPr>
                    </w:pPr>
                    <w:r>
                      <w:t>CNG</w:t>
                    </w:r>
                  </w:p>
                </w:tc>
                <w:tc>
                  <w:tcPr>
                    <w:tcW w:w="425" w:type="dxa"/>
                  </w:tcPr>
                  <w:sdt>
                    <w:sdtPr>
                      <w:rPr>
                        <w:rFonts w:hint="eastAsia"/>
                        <w:szCs w:val="21"/>
                      </w:rPr>
                      <w:tag w:val="_PLD_289cf7e5c3a845d59c038a21dcd4a571"/>
                      <w:id w:val="-1084216016"/>
                      <w:lock w:val="sdtLocked"/>
                    </w:sdtPr>
                    <w:sdtEndPr/>
                    <w:sdtContent>
                      <w:p w14:paraId="4AA6AEB0" w14:textId="77777777" w:rsidR="00AB774A" w:rsidRDefault="004F686E" w:rsidP="00471D53">
                        <w:pPr>
                          <w:jc w:val="center"/>
                          <w:rPr>
                            <w:szCs w:val="21"/>
                            <w:highlight w:val="lightGray"/>
                          </w:rPr>
                        </w:pPr>
                        <w:r>
                          <w:rPr>
                            <w:rFonts w:hint="eastAsia"/>
                            <w:szCs w:val="21"/>
                          </w:rPr>
                          <w:t>指</w:t>
                        </w:r>
                      </w:p>
                    </w:sdtContent>
                  </w:sdt>
                </w:tc>
                <w:tc>
                  <w:tcPr>
                    <w:tcW w:w="6276" w:type="dxa"/>
                  </w:tcPr>
                  <w:p w14:paraId="778866B5" w14:textId="77777777" w:rsidR="00AB774A" w:rsidRDefault="00B664AF" w:rsidP="00471D53">
                    <w:pPr>
                      <w:rPr>
                        <w:szCs w:val="21"/>
                      </w:rPr>
                    </w:pPr>
                    <w:sdt>
                      <w:sdtPr>
                        <w:rPr>
                          <w:rFonts w:hint="eastAsia"/>
                          <w:szCs w:val="21"/>
                        </w:rPr>
                        <w:alias w:val="常用词语释义"/>
                        <w:tag w:val="_GBC_b625dd71b03542c3b074c2ce59de70ad"/>
                        <w:id w:val="-576120690"/>
                      </w:sdtPr>
                      <w:sdtEndPr/>
                      <w:sdtContent>
                        <w:r w:rsidR="004F686E">
                          <w:rPr>
                            <w:rFonts w:hint="eastAsia"/>
                            <w:szCs w:val="21"/>
                          </w:rPr>
                          <w:t>压缩天然气（Compressed Natural Gas）的英文缩写</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1404834650"/>
            </w:sdtPr>
            <w:sdtEndPr/>
            <w:sdtContent>
              <w:tr w:rsidR="00AB774A" w:rsidRPr="009C29E3" w14:paraId="03FA44C3" w14:textId="77777777" w:rsidTr="00471D53">
                <w:tc>
                  <w:tcPr>
                    <w:tcW w:w="2122" w:type="dxa"/>
                  </w:tcPr>
                  <w:p w14:paraId="13AB2E6D" w14:textId="77777777" w:rsidR="00AB774A" w:rsidRDefault="004F686E" w:rsidP="00471D53">
                    <w:pPr>
                      <w:rPr>
                        <w:szCs w:val="21"/>
                      </w:rPr>
                    </w:pPr>
                    <w:r>
                      <w:t>加气站</w:t>
                    </w:r>
                  </w:p>
                </w:tc>
                <w:tc>
                  <w:tcPr>
                    <w:tcW w:w="425" w:type="dxa"/>
                  </w:tcPr>
                  <w:sdt>
                    <w:sdtPr>
                      <w:rPr>
                        <w:rFonts w:hint="eastAsia"/>
                        <w:szCs w:val="21"/>
                      </w:rPr>
                      <w:tag w:val="_PLD_289cf7e5c3a845d59c038a21dcd4a571"/>
                      <w:id w:val="-2079433215"/>
                      <w:lock w:val="sdtLocked"/>
                    </w:sdtPr>
                    <w:sdtEndPr/>
                    <w:sdtContent>
                      <w:p w14:paraId="2920D9D3" w14:textId="77777777" w:rsidR="00AB774A" w:rsidRDefault="004F686E" w:rsidP="00471D53">
                        <w:pPr>
                          <w:jc w:val="center"/>
                          <w:rPr>
                            <w:szCs w:val="21"/>
                            <w:highlight w:val="lightGray"/>
                          </w:rPr>
                        </w:pPr>
                        <w:r>
                          <w:rPr>
                            <w:rFonts w:hint="eastAsia"/>
                            <w:szCs w:val="21"/>
                          </w:rPr>
                          <w:t>指</w:t>
                        </w:r>
                      </w:p>
                    </w:sdtContent>
                  </w:sdt>
                </w:tc>
                <w:tc>
                  <w:tcPr>
                    <w:tcW w:w="6276" w:type="dxa"/>
                  </w:tcPr>
                  <w:p w14:paraId="6C513F67" w14:textId="77777777" w:rsidR="00AB774A" w:rsidRDefault="00B664AF" w:rsidP="00471D53">
                    <w:pPr>
                      <w:rPr>
                        <w:szCs w:val="21"/>
                      </w:rPr>
                    </w:pPr>
                    <w:sdt>
                      <w:sdtPr>
                        <w:rPr>
                          <w:rFonts w:hint="eastAsia"/>
                          <w:szCs w:val="21"/>
                        </w:rPr>
                        <w:alias w:val="常用词语释义"/>
                        <w:tag w:val="_GBC_b625dd71b03542c3b074c2ce59de70ad"/>
                        <w:id w:val="-1270924284"/>
                      </w:sdtPr>
                      <w:sdtEndPr/>
                      <w:sdtContent>
                        <w:r w:rsidR="004F686E">
                          <w:rPr>
                            <w:rFonts w:hint="eastAsia"/>
                            <w:szCs w:val="21"/>
                          </w:rPr>
                          <w:t>将液化天然气或压缩天然气给汽车加注的站</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335116059"/>
            </w:sdtPr>
            <w:sdtEndPr/>
            <w:sdtContent>
              <w:tr w:rsidR="00AB774A" w:rsidRPr="009C29E3" w14:paraId="5EACB8A5" w14:textId="77777777" w:rsidTr="00471D53">
                <w:tc>
                  <w:tcPr>
                    <w:tcW w:w="2122" w:type="dxa"/>
                  </w:tcPr>
                  <w:p w14:paraId="332CA783" w14:textId="77777777" w:rsidR="00AB774A" w:rsidRDefault="004F686E" w:rsidP="00471D53">
                    <w:pPr>
                      <w:rPr>
                        <w:szCs w:val="21"/>
                      </w:rPr>
                    </w:pPr>
                    <w:r>
                      <w:t>工业气瓶</w:t>
                    </w:r>
                  </w:p>
                </w:tc>
                <w:tc>
                  <w:tcPr>
                    <w:tcW w:w="425" w:type="dxa"/>
                  </w:tcPr>
                  <w:sdt>
                    <w:sdtPr>
                      <w:rPr>
                        <w:rFonts w:hint="eastAsia"/>
                        <w:szCs w:val="21"/>
                      </w:rPr>
                      <w:tag w:val="_PLD_289cf7e5c3a845d59c038a21dcd4a571"/>
                      <w:id w:val="-137579390"/>
                      <w:lock w:val="sdtLocked"/>
                    </w:sdtPr>
                    <w:sdtEndPr/>
                    <w:sdtContent>
                      <w:p w14:paraId="532308AE" w14:textId="77777777" w:rsidR="00AB774A" w:rsidRDefault="004F686E" w:rsidP="00471D53">
                        <w:pPr>
                          <w:jc w:val="center"/>
                          <w:rPr>
                            <w:szCs w:val="21"/>
                            <w:highlight w:val="lightGray"/>
                          </w:rPr>
                        </w:pPr>
                        <w:r>
                          <w:rPr>
                            <w:rFonts w:hint="eastAsia"/>
                            <w:szCs w:val="21"/>
                          </w:rPr>
                          <w:t>指</w:t>
                        </w:r>
                      </w:p>
                    </w:sdtContent>
                  </w:sdt>
                </w:tc>
                <w:tc>
                  <w:tcPr>
                    <w:tcW w:w="6276" w:type="dxa"/>
                  </w:tcPr>
                  <w:p w14:paraId="0210EEFB" w14:textId="77777777" w:rsidR="00AB774A" w:rsidRDefault="00B664AF" w:rsidP="00471D53">
                    <w:pPr>
                      <w:rPr>
                        <w:szCs w:val="21"/>
                      </w:rPr>
                    </w:pPr>
                    <w:sdt>
                      <w:sdtPr>
                        <w:rPr>
                          <w:rFonts w:hint="eastAsia"/>
                          <w:szCs w:val="21"/>
                        </w:rPr>
                        <w:alias w:val="常用词语释义"/>
                        <w:tag w:val="_GBC_b625dd71b03542c3b074c2ce59de70ad"/>
                        <w:id w:val="1182390140"/>
                      </w:sdtPr>
                      <w:sdtEndPr/>
                      <w:sdtContent>
                        <w:r w:rsidR="004F686E">
                          <w:rPr>
                            <w:rFonts w:hint="eastAsia"/>
                            <w:szCs w:val="21"/>
                          </w:rPr>
                          <w:t>灌装工业气体的钢瓶统称</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1855837697"/>
            </w:sdtPr>
            <w:sdtEndPr/>
            <w:sdtContent>
              <w:tr w:rsidR="00AB774A" w:rsidRPr="009C29E3" w14:paraId="57E4281A" w14:textId="77777777" w:rsidTr="00471D53">
                <w:tc>
                  <w:tcPr>
                    <w:tcW w:w="2122" w:type="dxa"/>
                  </w:tcPr>
                  <w:p w14:paraId="23348B41" w14:textId="77777777" w:rsidR="00AB774A" w:rsidRDefault="004F686E" w:rsidP="00471D53">
                    <w:pPr>
                      <w:rPr>
                        <w:szCs w:val="21"/>
                      </w:rPr>
                    </w:pPr>
                    <w:r>
                      <w:t>四型瓶</w:t>
                    </w:r>
                  </w:p>
                </w:tc>
                <w:tc>
                  <w:tcPr>
                    <w:tcW w:w="425" w:type="dxa"/>
                  </w:tcPr>
                  <w:sdt>
                    <w:sdtPr>
                      <w:rPr>
                        <w:rFonts w:hint="eastAsia"/>
                        <w:szCs w:val="21"/>
                      </w:rPr>
                      <w:tag w:val="_PLD_289cf7e5c3a845d59c038a21dcd4a571"/>
                      <w:id w:val="-1462029620"/>
                      <w:lock w:val="sdtLocked"/>
                    </w:sdtPr>
                    <w:sdtEndPr/>
                    <w:sdtContent>
                      <w:p w14:paraId="31CF0A04" w14:textId="77777777" w:rsidR="00AB774A" w:rsidRDefault="004F686E" w:rsidP="00471D53">
                        <w:pPr>
                          <w:jc w:val="center"/>
                          <w:rPr>
                            <w:szCs w:val="21"/>
                            <w:highlight w:val="lightGray"/>
                          </w:rPr>
                        </w:pPr>
                        <w:r>
                          <w:rPr>
                            <w:rFonts w:hint="eastAsia"/>
                            <w:szCs w:val="21"/>
                          </w:rPr>
                          <w:t>指</w:t>
                        </w:r>
                      </w:p>
                    </w:sdtContent>
                  </w:sdt>
                </w:tc>
                <w:tc>
                  <w:tcPr>
                    <w:tcW w:w="6276" w:type="dxa"/>
                  </w:tcPr>
                  <w:p w14:paraId="6EC00747" w14:textId="77777777" w:rsidR="00AB774A" w:rsidRDefault="00B664AF" w:rsidP="00471D53">
                    <w:pPr>
                      <w:rPr>
                        <w:szCs w:val="21"/>
                      </w:rPr>
                    </w:pPr>
                    <w:sdt>
                      <w:sdtPr>
                        <w:rPr>
                          <w:rFonts w:hint="eastAsia"/>
                          <w:szCs w:val="21"/>
                        </w:rPr>
                        <w:alias w:val="常用词语释义"/>
                        <w:tag w:val="_GBC_b625dd71b03542c3b074c2ce59de70ad"/>
                        <w:id w:val="56749652"/>
                      </w:sdtPr>
                      <w:sdtEndPr/>
                      <w:sdtContent>
                        <w:r w:rsidR="004F686E">
                          <w:rPr>
                            <w:rFonts w:hint="eastAsia"/>
                            <w:szCs w:val="21"/>
                          </w:rPr>
                          <w:t>塑料内胆纤维全缠绕复合气瓶，主要用于车用燃料储气用、充装天然气或氢气</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592548072"/>
            </w:sdtPr>
            <w:sdtEndPr/>
            <w:sdtContent>
              <w:tr w:rsidR="00AB774A" w:rsidRPr="009C29E3" w14:paraId="19663024" w14:textId="77777777" w:rsidTr="00471D53">
                <w:tc>
                  <w:tcPr>
                    <w:tcW w:w="2122" w:type="dxa"/>
                  </w:tcPr>
                  <w:p w14:paraId="66E34A48" w14:textId="77777777" w:rsidR="00AB774A" w:rsidRDefault="004F686E" w:rsidP="00471D53">
                    <w:pPr>
                      <w:rPr>
                        <w:szCs w:val="21"/>
                      </w:rPr>
                    </w:pPr>
                    <w:r>
                      <w:t>四型瓶智能化数控生产线建设项目</w:t>
                    </w:r>
                  </w:p>
                </w:tc>
                <w:tc>
                  <w:tcPr>
                    <w:tcW w:w="425" w:type="dxa"/>
                  </w:tcPr>
                  <w:sdt>
                    <w:sdtPr>
                      <w:rPr>
                        <w:rFonts w:hint="eastAsia"/>
                        <w:szCs w:val="21"/>
                      </w:rPr>
                      <w:tag w:val="_PLD_289cf7e5c3a845d59c038a21dcd4a571"/>
                      <w:id w:val="1217623424"/>
                      <w:lock w:val="sdtLocked"/>
                    </w:sdtPr>
                    <w:sdtEndPr/>
                    <w:sdtContent>
                      <w:p w14:paraId="38A58805" w14:textId="77777777" w:rsidR="00AB774A" w:rsidRDefault="004F686E" w:rsidP="00471D53">
                        <w:pPr>
                          <w:jc w:val="center"/>
                          <w:rPr>
                            <w:szCs w:val="21"/>
                            <w:highlight w:val="lightGray"/>
                          </w:rPr>
                        </w:pPr>
                        <w:r>
                          <w:rPr>
                            <w:rFonts w:hint="eastAsia"/>
                            <w:szCs w:val="21"/>
                          </w:rPr>
                          <w:t>指</w:t>
                        </w:r>
                      </w:p>
                    </w:sdtContent>
                  </w:sdt>
                </w:tc>
                <w:tc>
                  <w:tcPr>
                    <w:tcW w:w="6276" w:type="dxa"/>
                  </w:tcPr>
                  <w:p w14:paraId="415FF5D1" w14:textId="77777777" w:rsidR="00AB774A" w:rsidRDefault="00B664AF" w:rsidP="00471D53">
                    <w:pPr>
                      <w:rPr>
                        <w:szCs w:val="21"/>
                      </w:rPr>
                    </w:pPr>
                    <w:sdt>
                      <w:sdtPr>
                        <w:rPr>
                          <w:rFonts w:hint="eastAsia"/>
                          <w:szCs w:val="21"/>
                        </w:rPr>
                        <w:alias w:val="常用词语释义"/>
                        <w:tag w:val="_GBC_b625dd71b03542c3b074c2ce59de70ad"/>
                        <w:id w:val="-52084134"/>
                      </w:sdtPr>
                      <w:sdtEndPr/>
                      <w:sdtContent>
                        <w:r w:rsidR="004F686E">
                          <w:rPr>
                            <w:rFonts w:hint="eastAsia"/>
                            <w:szCs w:val="21"/>
                          </w:rPr>
                          <w:t>塑料内胆纤维全缠绕复合气瓶智能化数控生产线建设项目</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1084687285"/>
            </w:sdtPr>
            <w:sdtEndPr/>
            <w:sdtContent>
              <w:tr w:rsidR="00AB774A" w:rsidRPr="009C29E3" w14:paraId="1872A17C" w14:textId="77777777" w:rsidTr="00471D53">
                <w:tc>
                  <w:tcPr>
                    <w:tcW w:w="2122" w:type="dxa"/>
                  </w:tcPr>
                  <w:p w14:paraId="572D006A" w14:textId="77777777" w:rsidR="00AB774A" w:rsidRDefault="004F686E" w:rsidP="00471D53">
                    <w:pPr>
                      <w:rPr>
                        <w:szCs w:val="21"/>
                      </w:rPr>
                    </w:pPr>
                    <w:r>
                      <w:t>本次并购</w:t>
                    </w:r>
                  </w:p>
                </w:tc>
                <w:tc>
                  <w:tcPr>
                    <w:tcW w:w="425" w:type="dxa"/>
                  </w:tcPr>
                  <w:sdt>
                    <w:sdtPr>
                      <w:rPr>
                        <w:rFonts w:hint="eastAsia"/>
                        <w:szCs w:val="21"/>
                      </w:rPr>
                      <w:tag w:val="_PLD_289cf7e5c3a845d59c038a21dcd4a571"/>
                      <w:id w:val="1130828112"/>
                      <w:lock w:val="sdtLocked"/>
                    </w:sdtPr>
                    <w:sdtEndPr/>
                    <w:sdtContent>
                      <w:p w14:paraId="7475D96B" w14:textId="77777777" w:rsidR="00AB774A" w:rsidRDefault="004F686E" w:rsidP="00471D53">
                        <w:pPr>
                          <w:jc w:val="center"/>
                          <w:rPr>
                            <w:szCs w:val="21"/>
                            <w:highlight w:val="lightGray"/>
                          </w:rPr>
                        </w:pPr>
                        <w:r>
                          <w:rPr>
                            <w:rFonts w:hint="eastAsia"/>
                            <w:szCs w:val="21"/>
                          </w:rPr>
                          <w:t>指</w:t>
                        </w:r>
                      </w:p>
                    </w:sdtContent>
                  </w:sdt>
                </w:tc>
                <w:tc>
                  <w:tcPr>
                    <w:tcW w:w="6276" w:type="dxa"/>
                  </w:tcPr>
                  <w:p w14:paraId="6822C1D3" w14:textId="77777777" w:rsidR="00AB774A" w:rsidRDefault="00B664AF" w:rsidP="00471D53">
                    <w:pPr>
                      <w:rPr>
                        <w:szCs w:val="21"/>
                      </w:rPr>
                    </w:pPr>
                    <w:sdt>
                      <w:sdtPr>
                        <w:rPr>
                          <w:rFonts w:hint="eastAsia"/>
                          <w:szCs w:val="21"/>
                        </w:rPr>
                        <w:alias w:val="常用词语释义"/>
                        <w:tag w:val="_GBC_b625dd71b03542c3b074c2ce59de70ad"/>
                        <w:id w:val="-2097000225"/>
                      </w:sdtPr>
                      <w:sdtEndPr/>
                      <w:sdtContent>
                        <w:r w:rsidR="004F686E">
                          <w:rPr>
                            <w:rFonts w:hint="eastAsia"/>
                            <w:szCs w:val="21"/>
                          </w:rPr>
                          <w:t>向特定对象发行股份及支付现金购买青岛北洋天青数联智能股份</w:t>
                        </w:r>
                        <w:r w:rsidR="004F686E">
                          <w:rPr>
                            <w:rFonts w:hint="eastAsia"/>
                            <w:szCs w:val="21"/>
                          </w:rPr>
                          <w:lastRenderedPageBreak/>
                          <w:t>有限公司部分股权并配套募集资金的行为</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1669322292"/>
            </w:sdtPr>
            <w:sdtEndPr/>
            <w:sdtContent>
              <w:tr w:rsidR="00AB774A" w:rsidRPr="009C29E3" w14:paraId="134CB31C" w14:textId="77777777" w:rsidTr="00471D53">
                <w:tc>
                  <w:tcPr>
                    <w:tcW w:w="2122" w:type="dxa"/>
                  </w:tcPr>
                  <w:p w14:paraId="00A9BFC2" w14:textId="77777777" w:rsidR="00AB774A" w:rsidRDefault="004F686E" w:rsidP="00471D53">
                    <w:pPr>
                      <w:rPr>
                        <w:szCs w:val="21"/>
                      </w:rPr>
                    </w:pPr>
                    <w:r>
                      <w:t>北洋天青</w:t>
                    </w:r>
                  </w:p>
                </w:tc>
                <w:tc>
                  <w:tcPr>
                    <w:tcW w:w="425" w:type="dxa"/>
                  </w:tcPr>
                  <w:sdt>
                    <w:sdtPr>
                      <w:rPr>
                        <w:rFonts w:hint="eastAsia"/>
                        <w:szCs w:val="21"/>
                      </w:rPr>
                      <w:tag w:val="_PLD_289cf7e5c3a845d59c038a21dcd4a571"/>
                      <w:id w:val="709996860"/>
                      <w:lock w:val="sdtLocked"/>
                    </w:sdtPr>
                    <w:sdtEndPr/>
                    <w:sdtContent>
                      <w:p w14:paraId="0B2E2150" w14:textId="77777777" w:rsidR="00AB774A" w:rsidRDefault="004F686E" w:rsidP="00471D53">
                        <w:pPr>
                          <w:jc w:val="center"/>
                          <w:rPr>
                            <w:szCs w:val="21"/>
                            <w:highlight w:val="lightGray"/>
                          </w:rPr>
                        </w:pPr>
                        <w:r>
                          <w:rPr>
                            <w:rFonts w:hint="eastAsia"/>
                            <w:szCs w:val="21"/>
                          </w:rPr>
                          <w:t>指</w:t>
                        </w:r>
                      </w:p>
                    </w:sdtContent>
                  </w:sdt>
                </w:tc>
                <w:tc>
                  <w:tcPr>
                    <w:tcW w:w="6276" w:type="dxa"/>
                  </w:tcPr>
                  <w:p w14:paraId="03C0B782" w14:textId="77777777" w:rsidR="00AB774A" w:rsidRDefault="00B664AF" w:rsidP="00471D53">
                    <w:pPr>
                      <w:rPr>
                        <w:szCs w:val="21"/>
                      </w:rPr>
                    </w:pPr>
                    <w:sdt>
                      <w:sdtPr>
                        <w:rPr>
                          <w:rFonts w:hint="eastAsia"/>
                          <w:szCs w:val="21"/>
                        </w:rPr>
                        <w:alias w:val="常用词语释义"/>
                        <w:tag w:val="_GBC_b625dd71b03542c3b074c2ce59de70ad"/>
                        <w:id w:val="-1616822412"/>
                      </w:sdtPr>
                      <w:sdtEndPr/>
                      <w:sdtContent>
                        <w:r w:rsidR="004F686E">
                          <w:rPr>
                            <w:rFonts w:hint="eastAsia"/>
                            <w:szCs w:val="21"/>
                          </w:rPr>
                          <w:t>青岛北洋天青数联智能股份有限公司</w:t>
                        </w:r>
                      </w:sdtContent>
                    </w:sdt>
                  </w:p>
                </w:tc>
              </w:tr>
            </w:sdtContent>
          </w:sdt>
        </w:tbl>
        <w:p w14:paraId="1428498E" w14:textId="77777777" w:rsidR="00AB774A" w:rsidRDefault="00B664AF"/>
        <w:p w14:paraId="3A27555A" w14:textId="58414239" w:rsidR="007F1C2B" w:rsidRPr="009C29E3" w:rsidRDefault="00B664AF" w:rsidP="009C29E3"/>
      </w:sdtContent>
    </w:sdt>
    <w:p w14:paraId="44A314D4" w14:textId="77777777" w:rsidR="007F1C2B" w:rsidRDefault="00B664AF"/>
    <w:p w14:paraId="3F62DA03" w14:textId="77777777" w:rsidR="007F1C2B" w:rsidRDefault="00B664AF"/>
    <w:p w14:paraId="4E528C7E" w14:textId="77777777" w:rsidR="007F1C2B" w:rsidRDefault="004F686E" w:rsidP="004F686E">
      <w:pPr>
        <w:pStyle w:val="10"/>
        <w:numPr>
          <w:ilvl w:val="0"/>
          <w:numId w:val="3"/>
        </w:numPr>
        <w:rPr>
          <w:rFonts w:ascii="黑体" w:hAnsi="黑体"/>
          <w:color w:val="FF0000"/>
          <w:u w:val="single"/>
        </w:rPr>
      </w:pPr>
      <w:bookmarkStart w:id="6" w:name="_Toc76114273"/>
      <w:r>
        <w:rPr>
          <w:rFonts w:ascii="黑体" w:hAnsi="黑体" w:hint="eastAsia"/>
        </w:rPr>
        <w:t>公司简介</w:t>
      </w:r>
      <w:bookmarkEnd w:id="5"/>
      <w:r>
        <w:rPr>
          <w:rFonts w:ascii="黑体" w:hAnsi="黑体" w:hint="eastAsia"/>
        </w:rPr>
        <w:t>和主要财务指标</w:t>
      </w:r>
      <w:bookmarkEnd w:id="6"/>
    </w:p>
    <w:bookmarkStart w:id="7" w:name="_Toc342051041" w:displacedByCustomXml="next"/>
    <w:bookmarkStart w:id="8" w:name="_Toc342565881" w:displacedByCustomXml="next"/>
    <w:sdt>
      <w:sdtPr>
        <w:rPr>
          <w:rFonts w:ascii="宋体" w:hAnsi="宋体" w:cs="宋体" w:hint="eastAsia"/>
          <w:b w:val="0"/>
          <w:bCs w:val="0"/>
          <w:kern w:val="0"/>
          <w:szCs w:val="24"/>
        </w:rPr>
        <w:alias w:val="模块:公司信息"/>
        <w:tag w:val="_GBC_aa763dfc67ed4eac9000c019cc1ff258"/>
        <w:id w:val="-726135911"/>
        <w:placeholder>
          <w:docPart w:val="GBC22222222222222222222222222222"/>
        </w:placeholder>
      </w:sdtPr>
      <w:sdtEndPr>
        <w:rPr>
          <w:szCs w:val="21"/>
        </w:rPr>
      </w:sdtEndPr>
      <w:sdtContent>
        <w:p w14:paraId="4FE48AB9" w14:textId="77777777" w:rsidR="007F1C2B" w:rsidRDefault="004F686E" w:rsidP="004F686E">
          <w:pPr>
            <w:pStyle w:val="2"/>
            <w:numPr>
              <w:ilvl w:val="0"/>
              <w:numId w:val="4"/>
            </w:numPr>
            <w:ind w:firstLineChars="0"/>
          </w:pPr>
          <w:r>
            <w:rPr>
              <w:rFonts w:hint="eastAsia"/>
            </w:rPr>
            <w:t>公司信息</w:t>
          </w:r>
          <w:bookmarkEnd w:id="8"/>
          <w:bookmarkEnd w:id="7"/>
        </w:p>
        <w:tbl>
          <w:tblPr>
            <w:tblStyle w:val="g4"/>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2280"/>
            <w:gridCol w:w="6543"/>
          </w:tblGrid>
          <w:tr w:rsidR="007F1C2B" w14:paraId="1737F6CB" w14:textId="77777777" w:rsidTr="009C29E3">
            <w:trPr>
              <w:trHeight w:val="293"/>
            </w:trPr>
            <w:sdt>
              <w:sdtPr>
                <w:tag w:val="_PLD_372cd7a5ecc1420488735479d42bf939"/>
                <w:id w:val="111486016"/>
                <w:lock w:val="sdtLocked"/>
              </w:sdtPr>
              <w:sdtEndPr/>
              <w:sdtContent>
                <w:tc>
                  <w:tcPr>
                    <w:tcW w:w="1292" w:type="pct"/>
                    <w:tcBorders>
                      <w:top w:val="single" w:sz="4" w:space="0" w:color="auto"/>
                      <w:bottom w:val="single" w:sz="4" w:space="0" w:color="auto"/>
                      <w:right w:val="single" w:sz="4" w:space="0" w:color="auto"/>
                    </w:tcBorders>
                    <w:shd w:val="clear" w:color="auto" w:fill="auto"/>
                  </w:tcPr>
                  <w:p w14:paraId="0DAAC9F4" w14:textId="77777777" w:rsidR="007F1C2B" w:rsidRDefault="004F686E">
                    <w:pPr>
                      <w:kinsoku w:val="0"/>
                      <w:overflowPunct w:val="0"/>
                      <w:autoSpaceDE w:val="0"/>
                      <w:autoSpaceDN w:val="0"/>
                      <w:adjustRightInd w:val="0"/>
                      <w:snapToGrid w:val="0"/>
                      <w:rPr>
                        <w:szCs w:val="21"/>
                      </w:rPr>
                    </w:pPr>
                    <w:r>
                      <w:rPr>
                        <w:rFonts w:hint="eastAsia"/>
                        <w:szCs w:val="21"/>
                      </w:rPr>
                      <w:t>公司的中文名称</w:t>
                    </w:r>
                  </w:p>
                </w:tc>
              </w:sdtContent>
            </w:sdt>
            <w:sdt>
              <w:sdtPr>
                <w:rPr>
                  <w:rFonts w:hint="eastAsia"/>
                  <w:szCs w:val="21"/>
                </w:rPr>
                <w:alias w:val="公司法定中文名称"/>
                <w:tag w:val="_GBC_6f7f4fb261c84402a309f1371502ca4f"/>
                <w:id w:val="-173737741"/>
                <w:lock w:val="sdtLocked"/>
                <w:dataBinding w:prefixMappings="xmlns:clcid-cgi='clcid-cgi'" w:xpath="/*/clcid-cgi:GongSiFaDingZhongWenMingCheng[not(@periodRef)]" w:storeItemID="{89EBAB94-44A0-46A2-B712-30D997D04A6D}"/>
                <w:text/>
              </w:sdtPr>
              <w:sdtEndPr/>
              <w:sdtContent>
                <w:tc>
                  <w:tcPr>
                    <w:tcW w:w="3708" w:type="pct"/>
                    <w:tcBorders>
                      <w:top w:val="single" w:sz="4" w:space="0" w:color="auto"/>
                      <w:left w:val="single" w:sz="4" w:space="0" w:color="auto"/>
                      <w:bottom w:val="single" w:sz="4" w:space="0" w:color="auto"/>
                    </w:tcBorders>
                  </w:tcPr>
                  <w:p w14:paraId="6C125AF2" w14:textId="77777777" w:rsidR="007F1C2B" w:rsidRDefault="004F686E">
                    <w:pPr>
                      <w:kinsoku w:val="0"/>
                      <w:overflowPunct w:val="0"/>
                      <w:autoSpaceDE w:val="0"/>
                      <w:autoSpaceDN w:val="0"/>
                      <w:adjustRightInd w:val="0"/>
                      <w:snapToGrid w:val="0"/>
                      <w:rPr>
                        <w:color w:val="FFC000"/>
                        <w:szCs w:val="21"/>
                      </w:rPr>
                    </w:pPr>
                    <w:r>
                      <w:rPr>
                        <w:rFonts w:hint="eastAsia"/>
                        <w:szCs w:val="21"/>
                      </w:rPr>
                      <w:t>北京京城机电股份有限公司</w:t>
                    </w:r>
                  </w:p>
                </w:tc>
              </w:sdtContent>
            </w:sdt>
          </w:tr>
          <w:tr w:rsidR="007F1C2B" w14:paraId="62F54C02" w14:textId="77777777" w:rsidTr="009C29E3">
            <w:trPr>
              <w:trHeight w:val="293"/>
            </w:trPr>
            <w:sdt>
              <w:sdtPr>
                <w:tag w:val="_PLD_8eb858f464044693a8d56b2fb5bf4064"/>
                <w:id w:val="-394653891"/>
                <w:lock w:val="sdtLocked"/>
              </w:sdtPr>
              <w:sdtEndPr/>
              <w:sdtContent>
                <w:tc>
                  <w:tcPr>
                    <w:tcW w:w="1292" w:type="pct"/>
                    <w:tcBorders>
                      <w:top w:val="single" w:sz="4" w:space="0" w:color="auto"/>
                      <w:bottom w:val="single" w:sz="4" w:space="0" w:color="auto"/>
                      <w:right w:val="single" w:sz="4" w:space="0" w:color="auto"/>
                    </w:tcBorders>
                    <w:shd w:val="clear" w:color="auto" w:fill="auto"/>
                  </w:tcPr>
                  <w:p w14:paraId="59038D68" w14:textId="77777777" w:rsidR="007F1C2B" w:rsidRDefault="004F686E">
                    <w:pPr>
                      <w:kinsoku w:val="0"/>
                      <w:overflowPunct w:val="0"/>
                      <w:autoSpaceDE w:val="0"/>
                      <w:autoSpaceDN w:val="0"/>
                      <w:adjustRightInd w:val="0"/>
                      <w:snapToGrid w:val="0"/>
                      <w:rPr>
                        <w:szCs w:val="21"/>
                      </w:rPr>
                    </w:pPr>
                    <w:r>
                      <w:rPr>
                        <w:rFonts w:hint="eastAsia"/>
                        <w:szCs w:val="21"/>
                      </w:rPr>
                      <w:t>公司的中文简称</w:t>
                    </w:r>
                  </w:p>
                </w:tc>
              </w:sdtContent>
            </w:sdt>
            <w:tc>
              <w:tcPr>
                <w:tcW w:w="3708" w:type="pct"/>
                <w:tcBorders>
                  <w:top w:val="single" w:sz="4" w:space="0" w:color="auto"/>
                  <w:left w:val="single" w:sz="4" w:space="0" w:color="auto"/>
                  <w:bottom w:val="single" w:sz="4" w:space="0" w:color="auto"/>
                </w:tcBorders>
              </w:tcPr>
              <w:p w14:paraId="7854A971" w14:textId="77E98270" w:rsidR="007F1C2B" w:rsidRDefault="004F686E">
                <w:pPr>
                  <w:kinsoku w:val="0"/>
                  <w:overflowPunct w:val="0"/>
                  <w:autoSpaceDE w:val="0"/>
                  <w:autoSpaceDN w:val="0"/>
                  <w:adjustRightInd w:val="0"/>
                  <w:snapToGrid w:val="0"/>
                  <w:rPr>
                    <w:szCs w:val="21"/>
                  </w:rPr>
                </w:pPr>
                <w:r w:rsidRPr="009C29E3">
                  <w:rPr>
                    <w:rFonts w:hint="eastAsia"/>
                    <w:szCs w:val="21"/>
                  </w:rPr>
                  <w:t>京城股份</w:t>
                </w:r>
              </w:p>
            </w:tc>
          </w:tr>
          <w:tr w:rsidR="009C29E3" w14:paraId="6FD99C74" w14:textId="77777777" w:rsidTr="009C29E3">
            <w:trPr>
              <w:trHeight w:val="293"/>
            </w:trPr>
            <w:sdt>
              <w:sdtPr>
                <w:tag w:val="_PLD_d0fcb2dfd03a44bfb413f503945ba2fb"/>
                <w:id w:val="-355812458"/>
                <w:lock w:val="sdtLocked"/>
              </w:sdtPr>
              <w:sdtEndPr/>
              <w:sdtContent>
                <w:tc>
                  <w:tcPr>
                    <w:tcW w:w="1292" w:type="pct"/>
                    <w:tcBorders>
                      <w:top w:val="single" w:sz="4" w:space="0" w:color="auto"/>
                      <w:bottom w:val="single" w:sz="4" w:space="0" w:color="auto"/>
                      <w:right w:val="single" w:sz="4" w:space="0" w:color="auto"/>
                    </w:tcBorders>
                    <w:shd w:val="clear" w:color="auto" w:fill="auto"/>
                  </w:tcPr>
                  <w:p w14:paraId="7771E195" w14:textId="77777777" w:rsidR="009C29E3" w:rsidRDefault="004F686E" w:rsidP="009C29E3">
                    <w:pPr>
                      <w:kinsoku w:val="0"/>
                      <w:overflowPunct w:val="0"/>
                      <w:autoSpaceDE w:val="0"/>
                      <w:autoSpaceDN w:val="0"/>
                      <w:adjustRightInd w:val="0"/>
                      <w:snapToGrid w:val="0"/>
                      <w:rPr>
                        <w:szCs w:val="21"/>
                      </w:rPr>
                    </w:pPr>
                    <w:r>
                      <w:rPr>
                        <w:szCs w:val="21"/>
                      </w:rPr>
                      <w:t>公司的外文名称</w:t>
                    </w:r>
                  </w:p>
                </w:tc>
              </w:sdtContent>
            </w:sdt>
            <w:tc>
              <w:tcPr>
                <w:tcW w:w="3708" w:type="pct"/>
                <w:tcBorders>
                  <w:top w:val="single" w:sz="4" w:space="0" w:color="auto"/>
                  <w:left w:val="single" w:sz="4" w:space="0" w:color="auto"/>
                  <w:bottom w:val="single" w:sz="4" w:space="0" w:color="auto"/>
                </w:tcBorders>
              </w:tcPr>
              <w:p w14:paraId="66E810CE" w14:textId="08F1E539" w:rsidR="009C29E3" w:rsidRDefault="004F686E" w:rsidP="009C29E3">
                <w:pPr>
                  <w:kinsoku w:val="0"/>
                  <w:overflowPunct w:val="0"/>
                  <w:autoSpaceDE w:val="0"/>
                  <w:autoSpaceDN w:val="0"/>
                  <w:adjustRightInd w:val="0"/>
                  <w:snapToGrid w:val="0"/>
                  <w:rPr>
                    <w:szCs w:val="21"/>
                  </w:rPr>
                </w:pPr>
                <w:r>
                  <w:t>BEIJING JINGCHENG MACHINERY ELECTRIC COMPANY LIMITED</w:t>
                </w:r>
              </w:p>
            </w:tc>
          </w:tr>
          <w:tr w:rsidR="009C29E3" w14:paraId="21838441" w14:textId="77777777" w:rsidTr="009C29E3">
            <w:trPr>
              <w:trHeight w:val="293"/>
            </w:trPr>
            <w:sdt>
              <w:sdtPr>
                <w:tag w:val="_PLD_b5f89c94b3dc4510b2035a96ac69493a"/>
                <w:id w:val="-566495230"/>
                <w:lock w:val="sdtLocked"/>
              </w:sdtPr>
              <w:sdtEndPr/>
              <w:sdtContent>
                <w:tc>
                  <w:tcPr>
                    <w:tcW w:w="1292" w:type="pct"/>
                    <w:tcBorders>
                      <w:top w:val="single" w:sz="4" w:space="0" w:color="auto"/>
                      <w:bottom w:val="single" w:sz="4" w:space="0" w:color="auto"/>
                      <w:right w:val="single" w:sz="4" w:space="0" w:color="auto"/>
                    </w:tcBorders>
                    <w:shd w:val="clear" w:color="auto" w:fill="auto"/>
                  </w:tcPr>
                  <w:p w14:paraId="0A540462" w14:textId="77777777" w:rsidR="009C29E3" w:rsidRDefault="004F686E" w:rsidP="009C29E3">
                    <w:pPr>
                      <w:kinsoku w:val="0"/>
                      <w:overflowPunct w:val="0"/>
                      <w:autoSpaceDE w:val="0"/>
                      <w:autoSpaceDN w:val="0"/>
                      <w:adjustRightInd w:val="0"/>
                      <w:snapToGrid w:val="0"/>
                      <w:rPr>
                        <w:szCs w:val="21"/>
                      </w:rPr>
                    </w:pPr>
                    <w:r>
                      <w:rPr>
                        <w:szCs w:val="21"/>
                      </w:rPr>
                      <w:t>公司的外文名称缩写</w:t>
                    </w:r>
                  </w:p>
                </w:tc>
              </w:sdtContent>
            </w:sdt>
            <w:tc>
              <w:tcPr>
                <w:tcW w:w="3708" w:type="pct"/>
                <w:tcBorders>
                  <w:top w:val="single" w:sz="4" w:space="0" w:color="auto"/>
                  <w:left w:val="single" w:sz="4" w:space="0" w:color="auto"/>
                  <w:bottom w:val="single" w:sz="4" w:space="0" w:color="auto"/>
                </w:tcBorders>
              </w:tcPr>
              <w:p w14:paraId="5438C8FD" w14:textId="02DBC993" w:rsidR="009C29E3" w:rsidRDefault="004F686E" w:rsidP="009C29E3">
                <w:pPr>
                  <w:kinsoku w:val="0"/>
                  <w:overflowPunct w:val="0"/>
                  <w:autoSpaceDE w:val="0"/>
                  <w:autoSpaceDN w:val="0"/>
                  <w:adjustRightInd w:val="0"/>
                  <w:snapToGrid w:val="0"/>
                  <w:rPr>
                    <w:szCs w:val="21"/>
                  </w:rPr>
                </w:pPr>
                <w:r w:rsidRPr="009C29E3">
                  <w:rPr>
                    <w:szCs w:val="21"/>
                  </w:rPr>
                  <w:t>JINGCHENG MAC</w:t>
                </w:r>
              </w:p>
            </w:tc>
          </w:tr>
          <w:tr w:rsidR="009C29E3" w14:paraId="2FA6C8A8" w14:textId="77777777" w:rsidTr="009C29E3">
            <w:trPr>
              <w:trHeight w:val="293"/>
            </w:trPr>
            <w:sdt>
              <w:sdtPr>
                <w:tag w:val="_PLD_af8be2c600724acab3e545cfcbaa3ccf"/>
                <w:id w:val="-532500721"/>
                <w:lock w:val="sdtLocked"/>
              </w:sdtPr>
              <w:sdtEndPr/>
              <w:sdtContent>
                <w:tc>
                  <w:tcPr>
                    <w:tcW w:w="1292" w:type="pct"/>
                    <w:tcBorders>
                      <w:top w:val="single" w:sz="4" w:space="0" w:color="auto"/>
                      <w:bottom w:val="single" w:sz="4" w:space="0" w:color="auto"/>
                      <w:right w:val="single" w:sz="4" w:space="0" w:color="auto"/>
                    </w:tcBorders>
                    <w:shd w:val="clear" w:color="auto" w:fill="auto"/>
                  </w:tcPr>
                  <w:p w14:paraId="4D756C22" w14:textId="34CF19F3" w:rsidR="009C29E3" w:rsidRDefault="004F686E" w:rsidP="009C29E3">
                    <w:pPr>
                      <w:kinsoku w:val="0"/>
                      <w:overflowPunct w:val="0"/>
                      <w:autoSpaceDE w:val="0"/>
                      <w:autoSpaceDN w:val="0"/>
                      <w:adjustRightInd w:val="0"/>
                      <w:snapToGrid w:val="0"/>
                      <w:rPr>
                        <w:szCs w:val="21"/>
                      </w:rPr>
                    </w:pPr>
                    <w:r>
                      <w:rPr>
                        <w:szCs w:val="21"/>
                      </w:rPr>
                      <w:t>公司的</w:t>
                    </w:r>
                    <w:r>
                      <w:rPr>
                        <w:rFonts w:hint="eastAsia"/>
                        <w:szCs w:val="21"/>
                      </w:rPr>
                      <w:t>法定代表人</w:t>
                    </w:r>
                  </w:p>
                </w:tc>
              </w:sdtContent>
            </w:sdt>
            <w:sdt>
              <w:sdtPr>
                <w:rPr>
                  <w:rFonts w:hint="eastAsia"/>
                  <w:szCs w:val="21"/>
                </w:rPr>
                <w:alias w:val="公司法定代表人"/>
                <w:tag w:val="_GBC_71327a0d8afa49e1aba9d42a68663413"/>
                <w:id w:val="788244696"/>
                <w:lock w:val="sdtLocked"/>
                <w:dataBinding w:prefixMappings="xmlns:clcid-cgi='clcid-cgi'" w:xpath="/*/clcid-cgi:GongSiFaDingDaiBiaoRen[not(@periodRef)]" w:storeItemID="{89EBAB94-44A0-46A2-B712-30D997D04A6D}"/>
                <w:text/>
              </w:sdtPr>
              <w:sdtEndPr/>
              <w:sdtContent>
                <w:tc>
                  <w:tcPr>
                    <w:tcW w:w="3708" w:type="pct"/>
                    <w:tcBorders>
                      <w:top w:val="single" w:sz="4" w:space="0" w:color="auto"/>
                      <w:left w:val="single" w:sz="4" w:space="0" w:color="auto"/>
                      <w:bottom w:val="single" w:sz="4" w:space="0" w:color="auto"/>
                    </w:tcBorders>
                  </w:tcPr>
                  <w:p w14:paraId="2CC228DF" w14:textId="14026FFE" w:rsidR="009C29E3" w:rsidRDefault="004F686E" w:rsidP="009C29E3">
                    <w:pPr>
                      <w:kinsoku w:val="0"/>
                      <w:overflowPunct w:val="0"/>
                      <w:autoSpaceDE w:val="0"/>
                      <w:autoSpaceDN w:val="0"/>
                      <w:adjustRightInd w:val="0"/>
                      <w:snapToGrid w:val="0"/>
                      <w:rPr>
                        <w:szCs w:val="21"/>
                      </w:rPr>
                    </w:pPr>
                    <w:r>
                      <w:rPr>
                        <w:rFonts w:hint="eastAsia"/>
                        <w:szCs w:val="21"/>
                      </w:rPr>
                      <w:t>王军先生</w:t>
                    </w:r>
                  </w:p>
                </w:tc>
              </w:sdtContent>
            </w:sdt>
          </w:tr>
        </w:tbl>
      </w:sdtContent>
    </w:sdt>
    <w:p w14:paraId="28FE2603" w14:textId="6D4753BF" w:rsidR="007F1C2B" w:rsidRDefault="00B664AF">
      <w:pPr>
        <w:kinsoku w:val="0"/>
        <w:overflowPunct w:val="0"/>
        <w:autoSpaceDE w:val="0"/>
        <w:autoSpaceDN w:val="0"/>
        <w:adjustRightInd w:val="0"/>
        <w:snapToGrid w:val="0"/>
        <w:rPr>
          <w:szCs w:val="21"/>
        </w:rPr>
      </w:pPr>
    </w:p>
    <w:bookmarkStart w:id="9" w:name="_Toc342051042" w:displacedByCustomXml="next"/>
    <w:bookmarkStart w:id="10" w:name="_Toc342565882" w:displacedByCustomXml="next"/>
    <w:sdt>
      <w:sdtPr>
        <w:rPr>
          <w:rFonts w:ascii="宋体" w:hAnsi="宋体" w:cs="宋体" w:hint="eastAsia"/>
          <w:b w:val="0"/>
          <w:bCs w:val="0"/>
          <w:kern w:val="0"/>
          <w:szCs w:val="24"/>
        </w:rPr>
        <w:alias w:val="模块:联系人和联系方式"/>
        <w:tag w:val="_GBC_c68db6bd18a148f3a9683d04b791123b"/>
        <w:id w:val="417369227"/>
        <w:lock w:val="sdtLocked"/>
        <w:placeholder>
          <w:docPart w:val="GBC22222222222222222222222222222"/>
        </w:placeholder>
      </w:sdtPr>
      <w:sdtEndPr/>
      <w:sdtContent>
        <w:p w14:paraId="39051024" w14:textId="77777777" w:rsidR="007F1C2B" w:rsidRDefault="004F686E" w:rsidP="004F686E">
          <w:pPr>
            <w:pStyle w:val="2"/>
            <w:numPr>
              <w:ilvl w:val="0"/>
              <w:numId w:val="4"/>
            </w:numPr>
            <w:ind w:firstLineChars="0"/>
          </w:pPr>
          <w:r>
            <w:rPr>
              <w:rFonts w:hint="eastAsia"/>
            </w:rPr>
            <w:t>联系人和联系方式</w:t>
          </w:r>
          <w:bookmarkEnd w:id="10"/>
          <w:bookmarkEnd w:id="9"/>
        </w:p>
        <w:tbl>
          <w:tblPr>
            <w:tblStyle w:val="g4"/>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717"/>
            <w:gridCol w:w="3517"/>
            <w:gridCol w:w="3589"/>
          </w:tblGrid>
          <w:tr w:rsidR="007F1C2B" w14:paraId="259BE7DE" w14:textId="77777777" w:rsidTr="009C29E3">
            <w:tc>
              <w:tcPr>
                <w:tcW w:w="973" w:type="pct"/>
                <w:tcBorders>
                  <w:top w:val="single" w:sz="4" w:space="0" w:color="auto"/>
                  <w:bottom w:val="single" w:sz="4" w:space="0" w:color="auto"/>
                  <w:right w:val="single" w:sz="4" w:space="0" w:color="auto"/>
                </w:tcBorders>
                <w:shd w:val="clear" w:color="auto" w:fill="auto"/>
              </w:tcPr>
              <w:p w14:paraId="124900C2" w14:textId="77777777" w:rsidR="007F1C2B" w:rsidRDefault="00B664AF">
                <w:pPr>
                  <w:kinsoku w:val="0"/>
                  <w:overflowPunct w:val="0"/>
                  <w:autoSpaceDE w:val="0"/>
                  <w:autoSpaceDN w:val="0"/>
                  <w:adjustRightInd w:val="0"/>
                  <w:snapToGrid w:val="0"/>
                  <w:rPr>
                    <w:szCs w:val="21"/>
                  </w:rPr>
                </w:pPr>
              </w:p>
            </w:tc>
            <w:tc>
              <w:tcPr>
                <w:tcW w:w="1993" w:type="pct"/>
                <w:tcBorders>
                  <w:top w:val="single" w:sz="4" w:space="0" w:color="auto"/>
                  <w:left w:val="single" w:sz="4" w:space="0" w:color="auto"/>
                  <w:bottom w:val="single" w:sz="4" w:space="0" w:color="auto"/>
                  <w:right w:val="single" w:sz="4" w:space="0" w:color="auto"/>
                </w:tcBorders>
                <w:shd w:val="clear" w:color="auto" w:fill="auto"/>
              </w:tcPr>
              <w:p w14:paraId="15AED77D" w14:textId="6A181970" w:rsidR="007F1C2B" w:rsidRDefault="00B664AF">
                <w:pPr>
                  <w:pStyle w:val="ab"/>
                  <w:kinsoku w:val="0"/>
                  <w:overflowPunct w:val="0"/>
                  <w:autoSpaceDE w:val="0"/>
                  <w:autoSpaceDN w:val="0"/>
                  <w:adjustRightInd w:val="0"/>
                  <w:snapToGrid w:val="0"/>
                  <w:jc w:val="center"/>
                  <w:rPr>
                    <w:rFonts w:ascii="宋体" w:hAnsi="宋体"/>
                    <w:color w:val="008000"/>
                  </w:rPr>
                </w:pPr>
                <w:sdt>
                  <w:sdtPr>
                    <w:rPr>
                      <w:rFonts w:ascii="宋体" w:hAnsi="宋体"/>
                    </w:rPr>
                    <w:tag w:val="_PLD_d0432012a3f249c3b4fdd759ff340e86"/>
                    <w:id w:val="871658127"/>
                    <w:lock w:val="sdtLocked"/>
                  </w:sdtPr>
                  <w:sdtEndPr/>
                  <w:sdtContent>
                    <w:r w:rsidR="004F686E">
                      <w:rPr>
                        <w:rFonts w:ascii="宋体" w:hAnsi="宋体" w:cs="宋体" w:hint="eastAsia"/>
                      </w:rPr>
                      <w:t>董事会秘书</w:t>
                    </w:r>
                  </w:sdtContent>
                </w:sdt>
                <w:r w:rsidR="004F686E">
                  <w:rPr>
                    <w:rFonts w:ascii="宋体" w:hAnsi="宋体"/>
                  </w:rPr>
                  <w:t xml:space="preserve"> </w:t>
                </w:r>
              </w:p>
            </w:tc>
            <w:sdt>
              <w:sdtPr>
                <w:rPr>
                  <w:rFonts w:ascii="宋体" w:hAnsi="宋体"/>
                </w:rPr>
                <w:tag w:val="_PLD_3a25396416c14d2cb0688ae0ac8a1d4d"/>
                <w:id w:val="843282306"/>
                <w:lock w:val="sdtLocked"/>
              </w:sdtPr>
              <w:sdtEndPr/>
              <w:sdtContent>
                <w:tc>
                  <w:tcPr>
                    <w:tcW w:w="2034" w:type="pct"/>
                    <w:tcBorders>
                      <w:top w:val="single" w:sz="4" w:space="0" w:color="auto"/>
                      <w:left w:val="single" w:sz="4" w:space="0" w:color="auto"/>
                      <w:bottom w:val="single" w:sz="4" w:space="0" w:color="auto"/>
                    </w:tcBorders>
                    <w:shd w:val="clear" w:color="auto" w:fill="auto"/>
                  </w:tcPr>
                  <w:p w14:paraId="6F8D950C" w14:textId="77777777" w:rsidR="007F1C2B" w:rsidRDefault="004F686E">
                    <w:pPr>
                      <w:pStyle w:val="ab"/>
                      <w:kinsoku w:val="0"/>
                      <w:overflowPunct w:val="0"/>
                      <w:autoSpaceDE w:val="0"/>
                      <w:autoSpaceDN w:val="0"/>
                      <w:adjustRightInd w:val="0"/>
                      <w:snapToGrid w:val="0"/>
                      <w:jc w:val="center"/>
                      <w:rPr>
                        <w:rFonts w:ascii="宋体" w:hAnsi="宋体" w:cs="宋体"/>
                      </w:rPr>
                    </w:pPr>
                    <w:r>
                      <w:rPr>
                        <w:rFonts w:ascii="宋体" w:hAnsi="宋体" w:cs="宋体" w:hint="eastAsia"/>
                      </w:rPr>
                      <w:t>证券事务代表</w:t>
                    </w:r>
                  </w:p>
                </w:tc>
              </w:sdtContent>
            </w:sdt>
          </w:tr>
          <w:tr w:rsidR="009C29E3" w14:paraId="16C2916C" w14:textId="77777777" w:rsidTr="009C29E3">
            <w:sdt>
              <w:sdtPr>
                <w:tag w:val="_PLD_c18fe8824f6a4cb6b9318e599fe71657"/>
                <w:id w:val="417295605"/>
                <w:lock w:val="sdtLocked"/>
              </w:sdtPr>
              <w:sdtEndPr/>
              <w:sdtContent>
                <w:tc>
                  <w:tcPr>
                    <w:tcW w:w="973" w:type="pct"/>
                    <w:tcBorders>
                      <w:top w:val="single" w:sz="4" w:space="0" w:color="auto"/>
                      <w:bottom w:val="single" w:sz="4" w:space="0" w:color="auto"/>
                      <w:right w:val="single" w:sz="4" w:space="0" w:color="auto"/>
                    </w:tcBorders>
                    <w:shd w:val="clear" w:color="auto" w:fill="auto"/>
                  </w:tcPr>
                  <w:p w14:paraId="691B08E3" w14:textId="77777777" w:rsidR="009C29E3" w:rsidRDefault="004F686E" w:rsidP="009C29E3">
                    <w:pPr>
                      <w:kinsoku w:val="0"/>
                      <w:overflowPunct w:val="0"/>
                      <w:autoSpaceDE w:val="0"/>
                      <w:autoSpaceDN w:val="0"/>
                      <w:adjustRightInd w:val="0"/>
                      <w:snapToGrid w:val="0"/>
                      <w:rPr>
                        <w:szCs w:val="21"/>
                      </w:rPr>
                    </w:pPr>
                    <w:r>
                      <w:rPr>
                        <w:rFonts w:hint="eastAsia"/>
                        <w:szCs w:val="21"/>
                      </w:rPr>
                      <w:t>姓名</w:t>
                    </w:r>
                  </w:p>
                </w:tc>
              </w:sdtContent>
            </w:sdt>
            <w:tc>
              <w:tcPr>
                <w:tcW w:w="1993" w:type="pct"/>
                <w:tcBorders>
                  <w:top w:val="single" w:sz="4" w:space="0" w:color="auto"/>
                  <w:left w:val="single" w:sz="4" w:space="0" w:color="auto"/>
                  <w:bottom w:val="single" w:sz="4" w:space="0" w:color="auto"/>
                  <w:right w:val="single" w:sz="4" w:space="0" w:color="auto"/>
                </w:tcBorders>
                <w:vAlign w:val="center"/>
              </w:tcPr>
              <w:p w14:paraId="4D30D31E" w14:textId="20E5E3C5" w:rsidR="009C29E3" w:rsidRDefault="004F686E" w:rsidP="006564CB">
                <w:pPr>
                  <w:kinsoku w:val="0"/>
                  <w:overflowPunct w:val="0"/>
                  <w:autoSpaceDE w:val="0"/>
                  <w:autoSpaceDN w:val="0"/>
                  <w:adjustRightInd w:val="0"/>
                  <w:snapToGrid w:val="0"/>
                  <w:jc w:val="center"/>
                  <w:rPr>
                    <w:szCs w:val="21"/>
                  </w:rPr>
                </w:pPr>
                <w:r>
                  <w:t>栾杰</w:t>
                </w:r>
              </w:p>
            </w:tc>
            <w:tc>
              <w:tcPr>
                <w:tcW w:w="2034" w:type="pct"/>
                <w:tcBorders>
                  <w:top w:val="single" w:sz="4" w:space="0" w:color="auto"/>
                  <w:left w:val="single" w:sz="4" w:space="0" w:color="auto"/>
                  <w:bottom w:val="single" w:sz="4" w:space="0" w:color="auto"/>
                </w:tcBorders>
                <w:vAlign w:val="center"/>
              </w:tcPr>
              <w:p w14:paraId="651FF9E4" w14:textId="78CDC907" w:rsidR="009C29E3" w:rsidRDefault="004F686E" w:rsidP="006564CB">
                <w:pPr>
                  <w:kinsoku w:val="0"/>
                  <w:overflowPunct w:val="0"/>
                  <w:autoSpaceDE w:val="0"/>
                  <w:autoSpaceDN w:val="0"/>
                  <w:adjustRightInd w:val="0"/>
                  <w:snapToGrid w:val="0"/>
                  <w:jc w:val="center"/>
                  <w:rPr>
                    <w:szCs w:val="21"/>
                  </w:rPr>
                </w:pPr>
                <w:r>
                  <w:t>陈健</w:t>
                </w:r>
              </w:p>
            </w:tc>
          </w:tr>
          <w:tr w:rsidR="009C29E3" w14:paraId="3C18205A" w14:textId="77777777" w:rsidTr="009C29E3">
            <w:sdt>
              <w:sdtPr>
                <w:tag w:val="_PLD_7d3032f58380420991f3cbceac5e81fd"/>
                <w:id w:val="1209841555"/>
                <w:lock w:val="sdtLocked"/>
              </w:sdtPr>
              <w:sdtEndPr/>
              <w:sdtContent>
                <w:tc>
                  <w:tcPr>
                    <w:tcW w:w="973" w:type="pct"/>
                    <w:tcBorders>
                      <w:top w:val="single" w:sz="4" w:space="0" w:color="auto"/>
                      <w:bottom w:val="single" w:sz="4" w:space="0" w:color="auto"/>
                      <w:right w:val="single" w:sz="4" w:space="0" w:color="auto"/>
                    </w:tcBorders>
                    <w:shd w:val="clear" w:color="auto" w:fill="auto"/>
                  </w:tcPr>
                  <w:p w14:paraId="41519DCC" w14:textId="77777777" w:rsidR="009C29E3" w:rsidRDefault="004F686E" w:rsidP="009C29E3">
                    <w:pPr>
                      <w:kinsoku w:val="0"/>
                      <w:overflowPunct w:val="0"/>
                      <w:autoSpaceDE w:val="0"/>
                      <w:autoSpaceDN w:val="0"/>
                      <w:adjustRightInd w:val="0"/>
                      <w:snapToGrid w:val="0"/>
                      <w:rPr>
                        <w:szCs w:val="21"/>
                      </w:rPr>
                    </w:pPr>
                    <w:r>
                      <w:rPr>
                        <w:rFonts w:hint="eastAsia"/>
                        <w:szCs w:val="21"/>
                      </w:rPr>
                      <w:t>联系地址</w:t>
                    </w:r>
                  </w:p>
                </w:tc>
              </w:sdtContent>
            </w:sdt>
            <w:tc>
              <w:tcPr>
                <w:tcW w:w="1993" w:type="pct"/>
                <w:tcBorders>
                  <w:top w:val="single" w:sz="4" w:space="0" w:color="auto"/>
                  <w:left w:val="single" w:sz="4" w:space="0" w:color="auto"/>
                  <w:bottom w:val="single" w:sz="4" w:space="0" w:color="auto"/>
                  <w:right w:val="single" w:sz="4" w:space="0" w:color="auto"/>
                </w:tcBorders>
                <w:vAlign w:val="center"/>
              </w:tcPr>
              <w:p w14:paraId="731F7279" w14:textId="2E5FC89F" w:rsidR="009C29E3" w:rsidRDefault="004F686E" w:rsidP="009C29E3">
                <w:pPr>
                  <w:kinsoku w:val="0"/>
                  <w:overflowPunct w:val="0"/>
                  <w:autoSpaceDE w:val="0"/>
                  <w:autoSpaceDN w:val="0"/>
                  <w:adjustRightInd w:val="0"/>
                  <w:snapToGrid w:val="0"/>
                  <w:rPr>
                    <w:szCs w:val="21"/>
                  </w:rPr>
                </w:pPr>
                <w:r>
                  <w:t>北京市通州区漷县镇漷县南三街2号</w:t>
                </w:r>
              </w:p>
            </w:tc>
            <w:tc>
              <w:tcPr>
                <w:tcW w:w="2034" w:type="pct"/>
                <w:tcBorders>
                  <w:top w:val="single" w:sz="4" w:space="0" w:color="auto"/>
                  <w:left w:val="single" w:sz="4" w:space="0" w:color="auto"/>
                  <w:bottom w:val="single" w:sz="4" w:space="0" w:color="auto"/>
                </w:tcBorders>
                <w:vAlign w:val="center"/>
              </w:tcPr>
              <w:p w14:paraId="18778438" w14:textId="09A61C64" w:rsidR="009C29E3" w:rsidRDefault="004F686E" w:rsidP="009C29E3">
                <w:pPr>
                  <w:kinsoku w:val="0"/>
                  <w:overflowPunct w:val="0"/>
                  <w:autoSpaceDE w:val="0"/>
                  <w:autoSpaceDN w:val="0"/>
                  <w:adjustRightInd w:val="0"/>
                  <w:snapToGrid w:val="0"/>
                  <w:rPr>
                    <w:szCs w:val="21"/>
                  </w:rPr>
                </w:pPr>
                <w:r>
                  <w:t>北京市通州区漷县镇漷县南三街2号</w:t>
                </w:r>
              </w:p>
            </w:tc>
          </w:tr>
          <w:tr w:rsidR="009C29E3" w14:paraId="081DF640" w14:textId="77777777" w:rsidTr="009C29E3">
            <w:sdt>
              <w:sdtPr>
                <w:tag w:val="_PLD_84ed4619f9cd46ba8ed261c2524b976d"/>
                <w:id w:val="-727995164"/>
                <w:lock w:val="sdtLocked"/>
              </w:sdtPr>
              <w:sdtEndPr/>
              <w:sdtContent>
                <w:tc>
                  <w:tcPr>
                    <w:tcW w:w="973" w:type="pct"/>
                    <w:tcBorders>
                      <w:top w:val="single" w:sz="4" w:space="0" w:color="auto"/>
                      <w:bottom w:val="single" w:sz="4" w:space="0" w:color="auto"/>
                      <w:right w:val="single" w:sz="4" w:space="0" w:color="auto"/>
                    </w:tcBorders>
                    <w:shd w:val="clear" w:color="auto" w:fill="auto"/>
                  </w:tcPr>
                  <w:p w14:paraId="049DE588" w14:textId="77777777" w:rsidR="009C29E3" w:rsidRDefault="004F686E" w:rsidP="009C29E3">
                    <w:pPr>
                      <w:kinsoku w:val="0"/>
                      <w:overflowPunct w:val="0"/>
                      <w:autoSpaceDE w:val="0"/>
                      <w:autoSpaceDN w:val="0"/>
                      <w:adjustRightInd w:val="0"/>
                      <w:snapToGrid w:val="0"/>
                      <w:rPr>
                        <w:szCs w:val="21"/>
                      </w:rPr>
                    </w:pPr>
                    <w:r>
                      <w:rPr>
                        <w:szCs w:val="21"/>
                      </w:rPr>
                      <w:t>电话</w:t>
                    </w:r>
                  </w:p>
                </w:tc>
              </w:sdtContent>
            </w:sdt>
            <w:tc>
              <w:tcPr>
                <w:tcW w:w="1993" w:type="pct"/>
                <w:tcBorders>
                  <w:top w:val="single" w:sz="4" w:space="0" w:color="auto"/>
                  <w:left w:val="single" w:sz="4" w:space="0" w:color="auto"/>
                  <w:bottom w:val="single" w:sz="4" w:space="0" w:color="auto"/>
                  <w:right w:val="single" w:sz="4" w:space="0" w:color="auto"/>
                </w:tcBorders>
                <w:vAlign w:val="center"/>
              </w:tcPr>
              <w:p w14:paraId="387B34CD" w14:textId="2BA03D40" w:rsidR="009C29E3" w:rsidRDefault="004F686E" w:rsidP="009C29E3">
                <w:pPr>
                  <w:kinsoku w:val="0"/>
                  <w:overflowPunct w:val="0"/>
                  <w:autoSpaceDE w:val="0"/>
                  <w:autoSpaceDN w:val="0"/>
                  <w:adjustRightInd w:val="0"/>
                  <w:snapToGrid w:val="0"/>
                  <w:rPr>
                    <w:szCs w:val="21"/>
                  </w:rPr>
                </w:pPr>
                <w:r>
                  <w:t>010-58761949/67365383</w:t>
                </w:r>
              </w:p>
            </w:tc>
            <w:tc>
              <w:tcPr>
                <w:tcW w:w="2034" w:type="pct"/>
                <w:tcBorders>
                  <w:top w:val="single" w:sz="4" w:space="0" w:color="auto"/>
                  <w:left w:val="single" w:sz="4" w:space="0" w:color="auto"/>
                  <w:bottom w:val="single" w:sz="4" w:space="0" w:color="auto"/>
                </w:tcBorders>
                <w:vAlign w:val="center"/>
              </w:tcPr>
              <w:p w14:paraId="69A55E42" w14:textId="449BCBC5" w:rsidR="009C29E3" w:rsidRDefault="004F686E" w:rsidP="009C29E3">
                <w:pPr>
                  <w:kinsoku w:val="0"/>
                  <w:overflowPunct w:val="0"/>
                  <w:autoSpaceDE w:val="0"/>
                  <w:autoSpaceDN w:val="0"/>
                  <w:adjustRightInd w:val="0"/>
                  <w:snapToGrid w:val="0"/>
                  <w:rPr>
                    <w:szCs w:val="21"/>
                  </w:rPr>
                </w:pPr>
                <w:r>
                  <w:t>010-58761949/67365383</w:t>
                </w:r>
              </w:p>
            </w:tc>
          </w:tr>
          <w:tr w:rsidR="009C29E3" w14:paraId="20936391" w14:textId="77777777" w:rsidTr="009C29E3">
            <w:sdt>
              <w:sdtPr>
                <w:tag w:val="_PLD_53ff1b9808534a99b3bbc1bc09dac246"/>
                <w:id w:val="-25792501"/>
                <w:lock w:val="sdtLocked"/>
              </w:sdtPr>
              <w:sdtEndPr/>
              <w:sdtContent>
                <w:tc>
                  <w:tcPr>
                    <w:tcW w:w="973" w:type="pct"/>
                    <w:tcBorders>
                      <w:top w:val="single" w:sz="4" w:space="0" w:color="auto"/>
                      <w:bottom w:val="single" w:sz="4" w:space="0" w:color="auto"/>
                      <w:right w:val="single" w:sz="4" w:space="0" w:color="auto"/>
                    </w:tcBorders>
                    <w:shd w:val="clear" w:color="auto" w:fill="auto"/>
                  </w:tcPr>
                  <w:p w14:paraId="007CBACA" w14:textId="77777777" w:rsidR="009C29E3" w:rsidRDefault="004F686E" w:rsidP="009C29E3">
                    <w:pPr>
                      <w:kinsoku w:val="0"/>
                      <w:overflowPunct w:val="0"/>
                      <w:autoSpaceDE w:val="0"/>
                      <w:autoSpaceDN w:val="0"/>
                      <w:adjustRightInd w:val="0"/>
                      <w:snapToGrid w:val="0"/>
                      <w:rPr>
                        <w:szCs w:val="21"/>
                      </w:rPr>
                    </w:pPr>
                    <w:r>
                      <w:rPr>
                        <w:szCs w:val="21"/>
                      </w:rPr>
                      <w:t>传真</w:t>
                    </w:r>
                  </w:p>
                </w:tc>
              </w:sdtContent>
            </w:sdt>
            <w:tc>
              <w:tcPr>
                <w:tcW w:w="1993" w:type="pct"/>
                <w:tcBorders>
                  <w:top w:val="single" w:sz="4" w:space="0" w:color="auto"/>
                  <w:left w:val="single" w:sz="4" w:space="0" w:color="auto"/>
                  <w:bottom w:val="single" w:sz="4" w:space="0" w:color="auto"/>
                  <w:right w:val="single" w:sz="4" w:space="0" w:color="auto"/>
                </w:tcBorders>
                <w:vAlign w:val="center"/>
              </w:tcPr>
              <w:p w14:paraId="4C167A13" w14:textId="3D5A90A6" w:rsidR="009C29E3" w:rsidRDefault="004F686E" w:rsidP="009C29E3">
                <w:pPr>
                  <w:kinsoku w:val="0"/>
                  <w:overflowPunct w:val="0"/>
                  <w:autoSpaceDE w:val="0"/>
                  <w:autoSpaceDN w:val="0"/>
                  <w:adjustRightInd w:val="0"/>
                  <w:snapToGrid w:val="0"/>
                  <w:rPr>
                    <w:szCs w:val="21"/>
                  </w:rPr>
                </w:pPr>
                <w:r>
                  <w:t>010-58766735/87392058</w:t>
                </w:r>
              </w:p>
            </w:tc>
            <w:tc>
              <w:tcPr>
                <w:tcW w:w="2034" w:type="pct"/>
                <w:tcBorders>
                  <w:top w:val="single" w:sz="4" w:space="0" w:color="auto"/>
                  <w:left w:val="single" w:sz="4" w:space="0" w:color="auto"/>
                  <w:bottom w:val="single" w:sz="4" w:space="0" w:color="auto"/>
                </w:tcBorders>
                <w:vAlign w:val="center"/>
              </w:tcPr>
              <w:p w14:paraId="15560891" w14:textId="27E51B2F" w:rsidR="009C29E3" w:rsidRDefault="004F686E" w:rsidP="009C29E3">
                <w:pPr>
                  <w:kinsoku w:val="0"/>
                  <w:overflowPunct w:val="0"/>
                  <w:autoSpaceDE w:val="0"/>
                  <w:autoSpaceDN w:val="0"/>
                  <w:adjustRightInd w:val="0"/>
                  <w:snapToGrid w:val="0"/>
                  <w:rPr>
                    <w:szCs w:val="21"/>
                  </w:rPr>
                </w:pPr>
                <w:r>
                  <w:t>010-58766735/87392058</w:t>
                </w:r>
              </w:p>
            </w:tc>
          </w:tr>
          <w:tr w:rsidR="009C29E3" w14:paraId="231DEC97" w14:textId="77777777" w:rsidTr="009C29E3">
            <w:sdt>
              <w:sdtPr>
                <w:tag w:val="_PLD_18165b6e55e1423db094125dc7ac3ad0"/>
                <w:id w:val="-1510668829"/>
                <w:lock w:val="sdtLocked"/>
              </w:sdtPr>
              <w:sdtEndPr/>
              <w:sdtContent>
                <w:tc>
                  <w:tcPr>
                    <w:tcW w:w="973" w:type="pct"/>
                    <w:tcBorders>
                      <w:top w:val="single" w:sz="4" w:space="0" w:color="auto"/>
                      <w:bottom w:val="single" w:sz="4" w:space="0" w:color="auto"/>
                      <w:right w:val="single" w:sz="4" w:space="0" w:color="auto"/>
                    </w:tcBorders>
                    <w:shd w:val="clear" w:color="auto" w:fill="auto"/>
                  </w:tcPr>
                  <w:p w14:paraId="515F70B1" w14:textId="77777777" w:rsidR="009C29E3" w:rsidRDefault="004F686E" w:rsidP="009C29E3">
                    <w:pPr>
                      <w:kinsoku w:val="0"/>
                      <w:overflowPunct w:val="0"/>
                      <w:autoSpaceDE w:val="0"/>
                      <w:autoSpaceDN w:val="0"/>
                      <w:adjustRightInd w:val="0"/>
                      <w:snapToGrid w:val="0"/>
                      <w:rPr>
                        <w:szCs w:val="21"/>
                      </w:rPr>
                    </w:pPr>
                    <w:r>
                      <w:rPr>
                        <w:szCs w:val="21"/>
                      </w:rPr>
                      <w:t>电子信箱</w:t>
                    </w:r>
                  </w:p>
                </w:tc>
              </w:sdtContent>
            </w:sdt>
            <w:tc>
              <w:tcPr>
                <w:tcW w:w="1993" w:type="pct"/>
                <w:tcBorders>
                  <w:top w:val="single" w:sz="4" w:space="0" w:color="auto"/>
                  <w:left w:val="single" w:sz="4" w:space="0" w:color="auto"/>
                  <w:bottom w:val="single" w:sz="4" w:space="0" w:color="auto"/>
                  <w:right w:val="single" w:sz="4" w:space="0" w:color="auto"/>
                </w:tcBorders>
                <w:vAlign w:val="center"/>
              </w:tcPr>
              <w:p w14:paraId="557306EC" w14:textId="566C0652" w:rsidR="009C29E3" w:rsidRDefault="004F686E" w:rsidP="009C29E3">
                <w:pPr>
                  <w:kinsoku w:val="0"/>
                  <w:overflowPunct w:val="0"/>
                  <w:autoSpaceDE w:val="0"/>
                  <w:autoSpaceDN w:val="0"/>
                  <w:adjustRightInd w:val="0"/>
                  <w:snapToGrid w:val="0"/>
                  <w:rPr>
                    <w:szCs w:val="21"/>
                  </w:rPr>
                </w:pPr>
                <w:r>
                  <w:t>jcgf@btic.com.cn</w:t>
                </w:r>
              </w:p>
            </w:tc>
            <w:tc>
              <w:tcPr>
                <w:tcW w:w="2034" w:type="pct"/>
                <w:tcBorders>
                  <w:top w:val="single" w:sz="4" w:space="0" w:color="auto"/>
                  <w:left w:val="single" w:sz="4" w:space="0" w:color="auto"/>
                  <w:bottom w:val="single" w:sz="4" w:space="0" w:color="auto"/>
                </w:tcBorders>
                <w:vAlign w:val="center"/>
              </w:tcPr>
              <w:p w14:paraId="38DD76A8" w14:textId="4B480938" w:rsidR="009C29E3" w:rsidRDefault="004F686E" w:rsidP="009C29E3">
                <w:pPr>
                  <w:kinsoku w:val="0"/>
                  <w:overflowPunct w:val="0"/>
                  <w:autoSpaceDE w:val="0"/>
                  <w:autoSpaceDN w:val="0"/>
                  <w:adjustRightInd w:val="0"/>
                  <w:snapToGrid w:val="0"/>
                  <w:rPr>
                    <w:szCs w:val="21"/>
                  </w:rPr>
                </w:pPr>
                <w:r>
                  <w:t>jcgf@btic.com.cn</w:t>
                </w:r>
              </w:p>
            </w:tc>
          </w:tr>
        </w:tbl>
      </w:sdtContent>
    </w:sdt>
    <w:p w14:paraId="4E0A235D" w14:textId="77777777" w:rsidR="007F1C2B" w:rsidRDefault="00B664AF">
      <w:pPr>
        <w:kinsoku w:val="0"/>
        <w:overflowPunct w:val="0"/>
        <w:autoSpaceDE w:val="0"/>
        <w:autoSpaceDN w:val="0"/>
        <w:adjustRightInd w:val="0"/>
        <w:snapToGrid w:val="0"/>
        <w:rPr>
          <w:szCs w:val="21"/>
        </w:rPr>
      </w:pPr>
    </w:p>
    <w:sdt>
      <w:sdtPr>
        <w:rPr>
          <w:rFonts w:ascii="宋体" w:hAnsi="宋体" w:cs="宋体"/>
          <w:b w:val="0"/>
          <w:bCs w:val="0"/>
          <w:kern w:val="0"/>
          <w:szCs w:val="24"/>
        </w:rPr>
        <w:alias w:val="模块:基本情况变更简介公司注册地址公司注册地址的邮政编码（..."/>
        <w:tag w:val="_SEC_3b2e98069dfe4938a93e32b37561ce15"/>
        <w:id w:val="-1525080980"/>
        <w:lock w:val="sdtLocked"/>
        <w:placeholder>
          <w:docPart w:val="GBC22222222222222222222222222222"/>
        </w:placeholder>
      </w:sdtPr>
      <w:sdtEndPr/>
      <w:sdtContent>
        <w:p w14:paraId="27C41517" w14:textId="77777777" w:rsidR="009C29E3" w:rsidRDefault="004F686E" w:rsidP="004F686E">
          <w:pPr>
            <w:pStyle w:val="2"/>
            <w:numPr>
              <w:ilvl w:val="0"/>
              <w:numId w:val="4"/>
            </w:numPr>
            <w:ind w:firstLineChars="0"/>
          </w:pPr>
          <w:r>
            <w:t>基本情况变更简介</w:t>
          </w:r>
        </w:p>
        <w:tbl>
          <w:tblPr>
            <w:tblStyle w:val="g4"/>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27"/>
            <w:gridCol w:w="4996"/>
          </w:tblGrid>
          <w:tr w:rsidR="009C29E3" w14:paraId="1786025D" w14:textId="77777777" w:rsidTr="00471D53">
            <w:trPr>
              <w:trHeight w:val="293"/>
            </w:trPr>
            <w:sdt>
              <w:sdtPr>
                <w:tag w:val="_PLD_85d89a4aa7974727a1dc32c53cb7ca26"/>
                <w:id w:val="6185223"/>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30463A37" w14:textId="77777777" w:rsidR="009C29E3" w:rsidRDefault="004F686E" w:rsidP="00471D53">
                    <w:pPr>
                      <w:kinsoku w:val="0"/>
                      <w:overflowPunct w:val="0"/>
                      <w:autoSpaceDE w:val="0"/>
                      <w:autoSpaceDN w:val="0"/>
                      <w:adjustRightInd w:val="0"/>
                      <w:snapToGrid w:val="0"/>
                      <w:rPr>
                        <w:szCs w:val="21"/>
                      </w:rPr>
                    </w:pPr>
                    <w:r>
                      <w:t>公司注册地址</w:t>
                    </w:r>
                  </w:p>
                </w:tc>
              </w:sdtContent>
            </w:sdt>
            <w:sdt>
              <w:sdtPr>
                <w:rPr>
                  <w:szCs w:val="21"/>
                </w:rPr>
                <w:alias w:val="公司注册地址"/>
                <w:tag w:val="_GBC_176149bee7bf41819b29097eb854f331"/>
                <w:id w:val="-1876218386"/>
                <w:lock w:val="sdtLocked"/>
              </w:sdtPr>
              <w:sdtEndPr/>
              <w:sdtContent>
                <w:tc>
                  <w:tcPr>
                    <w:tcW w:w="2831" w:type="pct"/>
                    <w:tcBorders>
                      <w:top w:val="single" w:sz="4" w:space="0" w:color="auto"/>
                      <w:left w:val="single" w:sz="4" w:space="0" w:color="auto"/>
                      <w:bottom w:val="single" w:sz="4" w:space="0" w:color="auto"/>
                    </w:tcBorders>
                  </w:tcPr>
                  <w:p w14:paraId="11341E95" w14:textId="77777777" w:rsidR="009C29E3" w:rsidRDefault="004F686E" w:rsidP="00471D53">
                    <w:pPr>
                      <w:kinsoku w:val="0"/>
                      <w:overflowPunct w:val="0"/>
                      <w:autoSpaceDE w:val="0"/>
                      <w:autoSpaceDN w:val="0"/>
                      <w:adjustRightInd w:val="0"/>
                      <w:snapToGrid w:val="0"/>
                      <w:rPr>
                        <w:szCs w:val="21"/>
                      </w:rPr>
                    </w:pPr>
                    <w:r>
                      <w:rPr>
                        <w:szCs w:val="21"/>
                      </w:rPr>
                      <w:t>北京市朝阳区东三环中路59号楼901室</w:t>
                    </w:r>
                  </w:p>
                </w:tc>
              </w:sdtContent>
            </w:sdt>
          </w:tr>
          <w:tr w:rsidR="009C29E3" w14:paraId="19BFBFCC" w14:textId="77777777" w:rsidTr="00471D53">
            <w:trPr>
              <w:trHeight w:val="293"/>
            </w:trPr>
            <w:tc>
              <w:tcPr>
                <w:tcW w:w="2169" w:type="pct"/>
                <w:tcBorders>
                  <w:top w:val="single" w:sz="4" w:space="0" w:color="auto"/>
                  <w:bottom w:val="single" w:sz="4" w:space="0" w:color="auto"/>
                  <w:right w:val="single" w:sz="4" w:space="0" w:color="auto"/>
                </w:tcBorders>
                <w:shd w:val="clear" w:color="auto" w:fill="auto"/>
              </w:tcPr>
              <w:sdt>
                <w:sdtPr>
                  <w:rPr>
                    <w:rFonts w:hint="eastAsia"/>
                  </w:rPr>
                  <w:tag w:val="_PLD_86df6b07c3cb4a49842ab34107a073eb"/>
                  <w:id w:val="1409262351"/>
                  <w:lock w:val="sdtLocked"/>
                </w:sdtPr>
                <w:sdtEndPr/>
                <w:sdtContent>
                  <w:p w14:paraId="0B156129" w14:textId="77777777" w:rsidR="009C29E3" w:rsidRDefault="004F686E" w:rsidP="00471D53">
                    <w:pPr>
                      <w:kinsoku w:val="0"/>
                      <w:overflowPunct w:val="0"/>
                      <w:autoSpaceDE w:val="0"/>
                      <w:autoSpaceDN w:val="0"/>
                      <w:adjustRightInd w:val="0"/>
                      <w:snapToGrid w:val="0"/>
                    </w:pPr>
                    <w:r>
                      <w:rPr>
                        <w:rFonts w:hint="eastAsia"/>
                      </w:rPr>
                      <w:t>公司注册地址的历史变更情况</w:t>
                    </w:r>
                  </w:p>
                </w:sdtContent>
              </w:sdt>
            </w:tc>
            <w:sdt>
              <w:sdtPr>
                <w:rPr>
                  <w:szCs w:val="21"/>
                </w:rPr>
                <w:alias w:val="公司注册地址的历史变更情况"/>
                <w:tag w:val="_GBC_1ae6dbe87be04682949409d4dbd0335e"/>
                <w:id w:val="-771928641"/>
                <w:lock w:val="sdtLocked"/>
              </w:sdtPr>
              <w:sdtEndPr/>
              <w:sdtContent>
                <w:tc>
                  <w:tcPr>
                    <w:tcW w:w="2831" w:type="pct"/>
                    <w:tcBorders>
                      <w:top w:val="single" w:sz="4" w:space="0" w:color="auto"/>
                      <w:left w:val="single" w:sz="4" w:space="0" w:color="auto"/>
                      <w:bottom w:val="single" w:sz="4" w:space="0" w:color="auto"/>
                    </w:tcBorders>
                  </w:tcPr>
                  <w:p w14:paraId="4E3D1E49" w14:textId="77777777" w:rsidR="009C29E3" w:rsidRDefault="004F686E" w:rsidP="00471D53">
                    <w:pPr>
                      <w:kinsoku w:val="0"/>
                      <w:overflowPunct w:val="0"/>
                      <w:autoSpaceDE w:val="0"/>
                      <w:autoSpaceDN w:val="0"/>
                      <w:adjustRightInd w:val="0"/>
                      <w:snapToGrid w:val="0"/>
                      <w:rPr>
                        <w:szCs w:val="21"/>
                      </w:rPr>
                    </w:pPr>
                    <w:r>
                      <w:rPr>
                        <w:szCs w:val="21"/>
                      </w:rPr>
                      <w:t>100022</w:t>
                    </w:r>
                  </w:p>
                </w:tc>
              </w:sdtContent>
            </w:sdt>
          </w:tr>
          <w:tr w:rsidR="009C29E3" w14:paraId="6BF0173D" w14:textId="77777777" w:rsidTr="00471D53">
            <w:trPr>
              <w:trHeight w:val="293"/>
            </w:trPr>
            <w:sdt>
              <w:sdtPr>
                <w:tag w:val="_PLD_afb934b530604b0a8d7df0bf16875d49"/>
                <w:id w:val="-107278522"/>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6C2DB073" w14:textId="77777777" w:rsidR="009C29E3" w:rsidRDefault="004F686E" w:rsidP="00471D53">
                    <w:pPr>
                      <w:kinsoku w:val="0"/>
                      <w:overflowPunct w:val="0"/>
                      <w:autoSpaceDE w:val="0"/>
                      <w:autoSpaceDN w:val="0"/>
                      <w:adjustRightInd w:val="0"/>
                      <w:snapToGrid w:val="0"/>
                      <w:rPr>
                        <w:szCs w:val="21"/>
                      </w:rPr>
                    </w:pPr>
                    <w:r>
                      <w:t>公司办公地址</w:t>
                    </w:r>
                  </w:p>
                </w:tc>
              </w:sdtContent>
            </w:sdt>
            <w:sdt>
              <w:sdtPr>
                <w:rPr>
                  <w:rFonts w:hint="eastAsia"/>
                  <w:szCs w:val="21"/>
                </w:rPr>
                <w:alias w:val="公司办公地址"/>
                <w:tag w:val="_GBC_5d7ed1a91af0489a99a8b9a1eb39057e"/>
                <w:id w:val="1326010926"/>
                <w:lock w:val="sdtLocked"/>
              </w:sdtPr>
              <w:sdtEndPr/>
              <w:sdtContent>
                <w:tc>
                  <w:tcPr>
                    <w:tcW w:w="2831" w:type="pct"/>
                    <w:tcBorders>
                      <w:top w:val="single" w:sz="4" w:space="0" w:color="auto"/>
                      <w:left w:val="single" w:sz="4" w:space="0" w:color="auto"/>
                      <w:bottom w:val="single" w:sz="4" w:space="0" w:color="auto"/>
                    </w:tcBorders>
                  </w:tcPr>
                  <w:p w14:paraId="2FD72696" w14:textId="77777777" w:rsidR="009C29E3" w:rsidRDefault="004F686E" w:rsidP="00471D53">
                    <w:pPr>
                      <w:kinsoku w:val="0"/>
                      <w:overflowPunct w:val="0"/>
                      <w:autoSpaceDE w:val="0"/>
                      <w:autoSpaceDN w:val="0"/>
                      <w:adjustRightInd w:val="0"/>
                      <w:snapToGrid w:val="0"/>
                      <w:rPr>
                        <w:szCs w:val="21"/>
                      </w:rPr>
                    </w:pPr>
                    <w:r>
                      <w:rPr>
                        <w:rFonts w:hint="eastAsia"/>
                        <w:szCs w:val="21"/>
                      </w:rPr>
                      <w:t>北京市通州区漷县镇漷县南三街2号</w:t>
                    </w:r>
                  </w:p>
                </w:tc>
              </w:sdtContent>
            </w:sdt>
          </w:tr>
          <w:tr w:rsidR="009C29E3" w14:paraId="6CA6B111" w14:textId="77777777" w:rsidTr="00471D53">
            <w:trPr>
              <w:trHeight w:val="293"/>
            </w:trPr>
            <w:sdt>
              <w:sdtPr>
                <w:tag w:val="_PLD_0b92629df2db4d92969852a0afee64f9"/>
                <w:id w:val="296192659"/>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74B87BB0" w14:textId="77777777" w:rsidR="009C29E3" w:rsidRDefault="004F686E" w:rsidP="00471D53">
                    <w:pPr>
                      <w:kinsoku w:val="0"/>
                      <w:overflowPunct w:val="0"/>
                      <w:autoSpaceDE w:val="0"/>
                      <w:autoSpaceDN w:val="0"/>
                      <w:adjustRightInd w:val="0"/>
                      <w:snapToGrid w:val="0"/>
                      <w:rPr>
                        <w:szCs w:val="21"/>
                      </w:rPr>
                    </w:pPr>
                    <w:r>
                      <w:t>公司办公地址的邮政编码</w:t>
                    </w:r>
                  </w:p>
                </w:tc>
              </w:sdtContent>
            </w:sdt>
            <w:sdt>
              <w:sdtPr>
                <w:rPr>
                  <w:rFonts w:hint="eastAsia"/>
                  <w:szCs w:val="21"/>
                </w:rPr>
                <w:alias w:val="公司办公地址邮政编码"/>
                <w:tag w:val="_GBC_0b586d6a76e74eb5bfd69803dd5b3f21"/>
                <w:id w:val="-2017224978"/>
                <w:lock w:val="sdtLocked"/>
              </w:sdtPr>
              <w:sdtEndPr/>
              <w:sdtContent>
                <w:tc>
                  <w:tcPr>
                    <w:tcW w:w="2831" w:type="pct"/>
                    <w:tcBorders>
                      <w:top w:val="single" w:sz="4" w:space="0" w:color="auto"/>
                      <w:left w:val="single" w:sz="4" w:space="0" w:color="auto"/>
                      <w:bottom w:val="single" w:sz="4" w:space="0" w:color="auto"/>
                    </w:tcBorders>
                  </w:tcPr>
                  <w:p w14:paraId="646E0AF1" w14:textId="77777777" w:rsidR="009C29E3" w:rsidRDefault="004F686E" w:rsidP="00471D53">
                    <w:pPr>
                      <w:kinsoku w:val="0"/>
                      <w:overflowPunct w:val="0"/>
                      <w:autoSpaceDE w:val="0"/>
                      <w:autoSpaceDN w:val="0"/>
                      <w:adjustRightInd w:val="0"/>
                      <w:snapToGrid w:val="0"/>
                      <w:rPr>
                        <w:szCs w:val="21"/>
                      </w:rPr>
                    </w:pPr>
                    <w:r>
                      <w:rPr>
                        <w:rFonts w:hint="eastAsia"/>
                        <w:szCs w:val="21"/>
                      </w:rPr>
                      <w:t>101109</w:t>
                    </w:r>
                  </w:p>
                </w:tc>
              </w:sdtContent>
            </w:sdt>
          </w:tr>
          <w:tr w:rsidR="009C29E3" w14:paraId="4CE91A5E" w14:textId="77777777" w:rsidTr="00471D53">
            <w:trPr>
              <w:trHeight w:val="293"/>
            </w:trPr>
            <w:sdt>
              <w:sdtPr>
                <w:tag w:val="_PLD_0d67a69c3a1340c3a07767557b490fe5"/>
                <w:id w:val="-1863040811"/>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51E3BA22" w14:textId="77777777" w:rsidR="009C29E3" w:rsidRDefault="004F686E" w:rsidP="00471D53">
                    <w:pPr>
                      <w:kinsoku w:val="0"/>
                      <w:overflowPunct w:val="0"/>
                      <w:autoSpaceDE w:val="0"/>
                      <w:autoSpaceDN w:val="0"/>
                      <w:adjustRightInd w:val="0"/>
                      <w:snapToGrid w:val="0"/>
                      <w:rPr>
                        <w:szCs w:val="21"/>
                      </w:rPr>
                    </w:pPr>
                    <w:r>
                      <w:t>公司网址</w:t>
                    </w:r>
                  </w:p>
                </w:tc>
              </w:sdtContent>
            </w:sdt>
            <w:sdt>
              <w:sdtPr>
                <w:rPr>
                  <w:rFonts w:hint="eastAsia"/>
                  <w:szCs w:val="21"/>
                </w:rPr>
                <w:alias w:val="公司国际互联网网址"/>
                <w:tag w:val="_GBC_7230b5ca49734fc2ad410245ff685045"/>
                <w:id w:val="-2020841321"/>
                <w:lock w:val="sdtLocked"/>
              </w:sdtPr>
              <w:sdtEndPr/>
              <w:sdtContent>
                <w:tc>
                  <w:tcPr>
                    <w:tcW w:w="2831" w:type="pct"/>
                    <w:tcBorders>
                      <w:top w:val="single" w:sz="4" w:space="0" w:color="auto"/>
                      <w:left w:val="single" w:sz="4" w:space="0" w:color="auto"/>
                      <w:bottom w:val="single" w:sz="4" w:space="0" w:color="auto"/>
                    </w:tcBorders>
                  </w:tcPr>
                  <w:p w14:paraId="286885FE" w14:textId="77777777" w:rsidR="009C29E3" w:rsidRDefault="004F686E" w:rsidP="00471D53">
                    <w:pPr>
                      <w:kinsoku w:val="0"/>
                      <w:overflowPunct w:val="0"/>
                      <w:autoSpaceDE w:val="0"/>
                      <w:autoSpaceDN w:val="0"/>
                      <w:adjustRightInd w:val="0"/>
                      <w:snapToGrid w:val="0"/>
                      <w:rPr>
                        <w:szCs w:val="21"/>
                      </w:rPr>
                    </w:pPr>
                    <w:r>
                      <w:rPr>
                        <w:rFonts w:hint="eastAsia"/>
                        <w:szCs w:val="21"/>
                      </w:rPr>
                      <w:t>www.jingchenggf.com.cn</w:t>
                    </w:r>
                  </w:p>
                </w:tc>
              </w:sdtContent>
            </w:sdt>
          </w:tr>
          <w:tr w:rsidR="009C29E3" w14:paraId="008C2290" w14:textId="77777777" w:rsidTr="00471D53">
            <w:trPr>
              <w:trHeight w:val="293"/>
            </w:trPr>
            <w:sdt>
              <w:sdtPr>
                <w:tag w:val="_PLD_f90a226f402046c6b34fcce5cb28265b"/>
                <w:id w:val="-1053153247"/>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25A571B9" w14:textId="77777777" w:rsidR="009C29E3" w:rsidRDefault="004F686E" w:rsidP="00471D53">
                    <w:pPr>
                      <w:kinsoku w:val="0"/>
                      <w:overflowPunct w:val="0"/>
                      <w:autoSpaceDE w:val="0"/>
                      <w:autoSpaceDN w:val="0"/>
                      <w:adjustRightInd w:val="0"/>
                      <w:snapToGrid w:val="0"/>
                      <w:rPr>
                        <w:szCs w:val="21"/>
                      </w:rPr>
                    </w:pPr>
                    <w:r>
                      <w:t>电子信箱</w:t>
                    </w:r>
                  </w:p>
                </w:tc>
              </w:sdtContent>
            </w:sdt>
            <w:sdt>
              <w:sdtPr>
                <w:rPr>
                  <w:rFonts w:hint="eastAsia"/>
                  <w:szCs w:val="21"/>
                </w:rPr>
                <w:alias w:val="公司电子信箱"/>
                <w:tag w:val="_GBC_229dc578e23341bbaf9302c6a1aaeb1e"/>
                <w:id w:val="-1050381734"/>
                <w:lock w:val="sdtLocked"/>
              </w:sdtPr>
              <w:sdtEndPr/>
              <w:sdtContent>
                <w:tc>
                  <w:tcPr>
                    <w:tcW w:w="2831" w:type="pct"/>
                    <w:tcBorders>
                      <w:top w:val="single" w:sz="4" w:space="0" w:color="auto"/>
                      <w:left w:val="single" w:sz="4" w:space="0" w:color="auto"/>
                      <w:bottom w:val="single" w:sz="4" w:space="0" w:color="auto"/>
                    </w:tcBorders>
                  </w:tcPr>
                  <w:p w14:paraId="57089D6C" w14:textId="77777777" w:rsidR="009C29E3" w:rsidRDefault="004F686E" w:rsidP="00471D53">
                    <w:pPr>
                      <w:kinsoku w:val="0"/>
                      <w:overflowPunct w:val="0"/>
                      <w:autoSpaceDE w:val="0"/>
                      <w:autoSpaceDN w:val="0"/>
                      <w:adjustRightInd w:val="0"/>
                      <w:snapToGrid w:val="0"/>
                      <w:rPr>
                        <w:szCs w:val="21"/>
                      </w:rPr>
                    </w:pPr>
                    <w:r>
                      <w:rPr>
                        <w:rFonts w:hint="eastAsia"/>
                        <w:szCs w:val="21"/>
                      </w:rPr>
                      <w:t>jcgf@btic.com.cn</w:t>
                    </w:r>
                  </w:p>
                </w:tc>
              </w:sdtContent>
            </w:sdt>
          </w:tr>
          <w:tr w:rsidR="009C29E3" w:rsidRPr="009C29E3" w14:paraId="66466614" w14:textId="77777777" w:rsidTr="00471D53">
            <w:trPr>
              <w:trHeight w:val="293"/>
            </w:trPr>
            <w:sdt>
              <w:sdtPr>
                <w:tag w:val="_PLD_780e327206de42a7a09f77e6debfb7d1"/>
                <w:id w:val="947351576"/>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1B169820" w14:textId="77777777" w:rsidR="009C29E3" w:rsidRDefault="004F686E" w:rsidP="00471D53">
                    <w:pPr>
                      <w:kinsoku w:val="0"/>
                      <w:overflowPunct w:val="0"/>
                      <w:autoSpaceDE w:val="0"/>
                      <w:autoSpaceDN w:val="0"/>
                      <w:adjustRightInd w:val="0"/>
                      <w:snapToGrid w:val="0"/>
                      <w:rPr>
                        <w:szCs w:val="21"/>
                      </w:rPr>
                    </w:pPr>
                    <w:r w:rsidRPr="00C164F6">
                      <w:t>报告期内变更情况查询索引</w:t>
                    </w:r>
                  </w:p>
                </w:tc>
              </w:sdtContent>
            </w:sdt>
            <w:tc>
              <w:tcPr>
                <w:tcW w:w="2831" w:type="pct"/>
                <w:tcBorders>
                  <w:top w:val="single" w:sz="4" w:space="0" w:color="auto"/>
                  <w:left w:val="single" w:sz="4" w:space="0" w:color="auto"/>
                  <w:bottom w:val="single" w:sz="4" w:space="0" w:color="auto"/>
                </w:tcBorders>
              </w:tcPr>
              <w:p w14:paraId="4CD6C4BD" w14:textId="4FA40312" w:rsidR="009C29E3" w:rsidRDefault="00B664AF" w:rsidP="00471D53">
                <w:pPr>
                  <w:kinsoku w:val="0"/>
                  <w:overflowPunct w:val="0"/>
                  <w:autoSpaceDE w:val="0"/>
                  <w:autoSpaceDN w:val="0"/>
                  <w:adjustRightInd w:val="0"/>
                  <w:snapToGrid w:val="0"/>
                  <w:rPr>
                    <w:szCs w:val="21"/>
                  </w:rPr>
                </w:pPr>
                <w:sdt>
                  <w:sdtPr>
                    <w:rPr>
                      <w:rFonts w:hint="eastAsia"/>
                      <w:szCs w:val="21"/>
                    </w:rPr>
                    <w:alias w:val="公司基本情况报告期内变更查询索引"/>
                    <w:tag w:val="_GBC_faa254795096437fb73ed03d5cbc1c7e"/>
                    <w:id w:val="-1249117920"/>
                    <w:lock w:val="sdtLocked"/>
                  </w:sdtPr>
                  <w:sdtEndPr/>
                  <w:sdtContent>
                    <w:r w:rsidR="004F686E">
                      <w:rPr>
                        <w:rFonts w:hint="eastAsia"/>
                        <w:szCs w:val="21"/>
                      </w:rPr>
                      <w:t>未变更</w:t>
                    </w:r>
                  </w:sdtContent>
                </w:sdt>
              </w:p>
            </w:tc>
          </w:tr>
        </w:tbl>
        <w:p w14:paraId="75FB7DB3" w14:textId="59DDA9B3" w:rsidR="007F1C2B" w:rsidRPr="009C29E3" w:rsidRDefault="00B664AF" w:rsidP="009C29E3"/>
      </w:sdtContent>
    </w:sdt>
    <w:p w14:paraId="688D9390" w14:textId="77777777" w:rsidR="007F1C2B" w:rsidRDefault="00B664AF">
      <w:pPr>
        <w:kinsoku w:val="0"/>
        <w:overflowPunct w:val="0"/>
        <w:autoSpaceDE w:val="0"/>
        <w:autoSpaceDN w:val="0"/>
        <w:adjustRightInd w:val="0"/>
        <w:snapToGrid w:val="0"/>
        <w:rPr>
          <w:szCs w:val="21"/>
        </w:rPr>
      </w:pPr>
    </w:p>
    <w:sdt>
      <w:sdtPr>
        <w:rPr>
          <w:rFonts w:ascii="宋体" w:hAnsi="宋体" w:cs="宋体"/>
          <w:b w:val="0"/>
          <w:bCs w:val="0"/>
          <w:kern w:val="0"/>
          <w:szCs w:val="24"/>
        </w:rPr>
        <w:alias w:val="模块:信息披露及备置地点变更情况简介"/>
        <w:tag w:val="_GBC_20a39c6141734cc19616660ebf1a0dfa"/>
        <w:id w:val="-1071421619"/>
        <w:lock w:val="sdtLocked"/>
        <w:placeholder>
          <w:docPart w:val="GBC22222222222222222222222222222"/>
        </w:placeholder>
      </w:sdtPr>
      <w:sdtEndPr/>
      <w:sdtContent>
        <w:p w14:paraId="26FCB450" w14:textId="77777777" w:rsidR="009C29E3" w:rsidRDefault="004F686E" w:rsidP="004F686E">
          <w:pPr>
            <w:pStyle w:val="2"/>
            <w:numPr>
              <w:ilvl w:val="0"/>
              <w:numId w:val="4"/>
            </w:numPr>
            <w:ind w:firstLineChars="0"/>
          </w:pPr>
          <w:r>
            <w:t>信息披露及备置地点变更情况简介</w:t>
          </w:r>
        </w:p>
        <w:tbl>
          <w:tblPr>
            <w:tblStyle w:val="g4"/>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27"/>
            <w:gridCol w:w="4996"/>
          </w:tblGrid>
          <w:tr w:rsidR="009C29E3" w14:paraId="663114B2" w14:textId="77777777" w:rsidTr="00471D53">
            <w:trPr>
              <w:trHeight w:val="293"/>
            </w:trPr>
            <w:sdt>
              <w:sdtPr>
                <w:tag w:val="_PLD_5a9e1277ac2b48eb8d7aa1b69c532d31"/>
                <w:id w:val="-1537653778"/>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647D8FEA" w14:textId="77777777" w:rsidR="009C29E3" w:rsidRDefault="004F686E" w:rsidP="00471D53">
                    <w:pPr>
                      <w:kinsoku w:val="0"/>
                      <w:overflowPunct w:val="0"/>
                      <w:autoSpaceDE w:val="0"/>
                      <w:autoSpaceDN w:val="0"/>
                      <w:adjustRightInd w:val="0"/>
                      <w:snapToGrid w:val="0"/>
                      <w:rPr>
                        <w:szCs w:val="21"/>
                      </w:rPr>
                    </w:pPr>
                    <w:r>
                      <w:t>公司选定的信息披露报纸名称</w:t>
                    </w:r>
                  </w:p>
                </w:tc>
              </w:sdtContent>
            </w:sdt>
            <w:sdt>
              <w:sdtPr>
                <w:rPr>
                  <w:szCs w:val="21"/>
                </w:rPr>
                <w:alias w:val="公司选定的信息披露报纸名称"/>
                <w:tag w:val="_GBC_ea25303a54e24033a0a9a380e9688e98"/>
                <w:id w:val="1227885500"/>
                <w:lock w:val="sdtLocked"/>
              </w:sdtPr>
              <w:sdtEndPr/>
              <w:sdtContent>
                <w:tc>
                  <w:tcPr>
                    <w:tcW w:w="2831" w:type="pct"/>
                    <w:tcBorders>
                      <w:top w:val="single" w:sz="4" w:space="0" w:color="auto"/>
                      <w:left w:val="single" w:sz="4" w:space="0" w:color="auto"/>
                      <w:bottom w:val="single" w:sz="4" w:space="0" w:color="auto"/>
                    </w:tcBorders>
                  </w:tcPr>
                  <w:p w14:paraId="4006F6A6" w14:textId="77777777" w:rsidR="009C29E3" w:rsidRDefault="004F686E" w:rsidP="00471D53">
                    <w:pPr>
                      <w:kinsoku w:val="0"/>
                      <w:overflowPunct w:val="0"/>
                      <w:autoSpaceDE w:val="0"/>
                      <w:autoSpaceDN w:val="0"/>
                      <w:adjustRightInd w:val="0"/>
                      <w:snapToGrid w:val="0"/>
                      <w:rPr>
                        <w:szCs w:val="21"/>
                      </w:rPr>
                    </w:pPr>
                    <w:r>
                      <w:rPr>
                        <w:szCs w:val="21"/>
                      </w:rPr>
                      <w:t>《上海证券报》</w:t>
                    </w:r>
                  </w:p>
                </w:tc>
              </w:sdtContent>
            </w:sdt>
          </w:tr>
          <w:tr w:rsidR="009C29E3" w14:paraId="3AC832FF" w14:textId="77777777" w:rsidTr="00471D53">
            <w:trPr>
              <w:trHeight w:val="293"/>
            </w:trPr>
            <w:sdt>
              <w:sdtPr>
                <w:tag w:val="_PLD_34ad3e071c96488fa36dcc1913587c39"/>
                <w:id w:val="-2093696320"/>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03F3DB11" w14:textId="77777777" w:rsidR="009C29E3" w:rsidRDefault="004F686E" w:rsidP="00471D53">
                    <w:pPr>
                      <w:kinsoku w:val="0"/>
                      <w:overflowPunct w:val="0"/>
                      <w:autoSpaceDE w:val="0"/>
                      <w:autoSpaceDN w:val="0"/>
                      <w:adjustRightInd w:val="0"/>
                      <w:snapToGrid w:val="0"/>
                      <w:rPr>
                        <w:szCs w:val="21"/>
                      </w:rPr>
                    </w:pPr>
                    <w:r>
                      <w:t>登载半年度报告的</w:t>
                    </w:r>
                    <w:r>
                      <w:rPr>
                        <w:rFonts w:hint="eastAsia"/>
                      </w:rPr>
                      <w:t>网站地</w:t>
                    </w:r>
                    <w:r>
                      <w:t>址</w:t>
                    </w:r>
                  </w:p>
                </w:tc>
              </w:sdtContent>
            </w:sdt>
            <w:tc>
              <w:tcPr>
                <w:tcW w:w="2831" w:type="pct"/>
                <w:tcBorders>
                  <w:top w:val="single" w:sz="4" w:space="0" w:color="auto"/>
                  <w:left w:val="single" w:sz="4" w:space="0" w:color="auto"/>
                  <w:bottom w:val="single" w:sz="4" w:space="0" w:color="auto"/>
                </w:tcBorders>
              </w:tcPr>
              <w:p w14:paraId="3D27CBF4" w14:textId="77777777" w:rsidR="009C29E3" w:rsidRDefault="004F686E" w:rsidP="00471D53">
                <w:pPr>
                  <w:kinsoku w:val="0"/>
                  <w:overflowPunct w:val="0"/>
                  <w:autoSpaceDE w:val="0"/>
                  <w:autoSpaceDN w:val="0"/>
                  <w:adjustRightInd w:val="0"/>
                  <w:snapToGrid w:val="0"/>
                  <w:rPr>
                    <w:szCs w:val="21"/>
                  </w:rPr>
                </w:pPr>
                <w:r>
                  <w:t>www.sse.com.cn</w:t>
                </w:r>
              </w:p>
            </w:tc>
          </w:tr>
          <w:tr w:rsidR="009C29E3" w14:paraId="73BAECC0" w14:textId="77777777" w:rsidTr="00471D53">
            <w:trPr>
              <w:trHeight w:val="293"/>
            </w:trPr>
            <w:sdt>
              <w:sdtPr>
                <w:tag w:val="_PLD_533f230e5c504d15b6024014067b6306"/>
                <w:id w:val="-1176032987"/>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2D5934EF" w14:textId="77777777" w:rsidR="009C29E3" w:rsidRDefault="004F686E" w:rsidP="00471D53">
                    <w:pPr>
                      <w:kinsoku w:val="0"/>
                      <w:overflowPunct w:val="0"/>
                      <w:autoSpaceDE w:val="0"/>
                      <w:autoSpaceDN w:val="0"/>
                      <w:adjustRightInd w:val="0"/>
                      <w:snapToGrid w:val="0"/>
                      <w:rPr>
                        <w:szCs w:val="21"/>
                      </w:rPr>
                    </w:pPr>
                    <w:r>
                      <w:t>公司半年度报告备置地点</w:t>
                    </w:r>
                  </w:p>
                </w:tc>
              </w:sdtContent>
            </w:sdt>
            <w:tc>
              <w:tcPr>
                <w:tcW w:w="2831" w:type="pct"/>
                <w:tcBorders>
                  <w:top w:val="single" w:sz="4" w:space="0" w:color="auto"/>
                  <w:left w:val="single" w:sz="4" w:space="0" w:color="auto"/>
                  <w:bottom w:val="single" w:sz="4" w:space="0" w:color="auto"/>
                </w:tcBorders>
              </w:tcPr>
              <w:p w14:paraId="52507590" w14:textId="77777777" w:rsidR="009C29E3" w:rsidRDefault="004F686E" w:rsidP="00471D53">
                <w:pPr>
                  <w:kinsoku w:val="0"/>
                  <w:overflowPunct w:val="0"/>
                  <w:autoSpaceDE w:val="0"/>
                  <w:autoSpaceDN w:val="0"/>
                  <w:adjustRightInd w:val="0"/>
                  <w:snapToGrid w:val="0"/>
                  <w:rPr>
                    <w:szCs w:val="21"/>
                  </w:rPr>
                </w:pPr>
                <w:r>
                  <w:t>本公司董事会办公室</w:t>
                </w:r>
              </w:p>
            </w:tc>
          </w:tr>
          <w:tr w:rsidR="009C29E3" w:rsidRPr="009C29E3" w14:paraId="2B4B189E" w14:textId="77777777" w:rsidTr="00471D53">
            <w:trPr>
              <w:trHeight w:val="293"/>
            </w:trPr>
            <w:sdt>
              <w:sdtPr>
                <w:tag w:val="_PLD_71b3b22b33f543709c7346090ee03414"/>
                <w:id w:val="-1191146966"/>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651980FA" w14:textId="77777777" w:rsidR="009C29E3" w:rsidRDefault="004F686E" w:rsidP="00471D53">
                    <w:pPr>
                      <w:kinsoku w:val="0"/>
                      <w:overflowPunct w:val="0"/>
                      <w:autoSpaceDE w:val="0"/>
                      <w:autoSpaceDN w:val="0"/>
                      <w:adjustRightInd w:val="0"/>
                      <w:snapToGrid w:val="0"/>
                      <w:rPr>
                        <w:szCs w:val="21"/>
                      </w:rPr>
                    </w:pPr>
                    <w:r w:rsidRPr="00C164F6">
                      <w:t>报告期内变更情况查询索引</w:t>
                    </w:r>
                  </w:p>
                </w:tc>
              </w:sdtContent>
            </w:sdt>
            <w:tc>
              <w:tcPr>
                <w:tcW w:w="2831" w:type="pct"/>
                <w:tcBorders>
                  <w:top w:val="single" w:sz="4" w:space="0" w:color="auto"/>
                  <w:left w:val="single" w:sz="4" w:space="0" w:color="auto"/>
                  <w:bottom w:val="single" w:sz="4" w:space="0" w:color="auto"/>
                </w:tcBorders>
              </w:tcPr>
              <w:p w14:paraId="1E75E125" w14:textId="6DD354B2" w:rsidR="009C29E3" w:rsidRPr="009C29E3" w:rsidRDefault="004F686E" w:rsidP="009C29E3">
                <w:r w:rsidRPr="00FE05E9">
                  <w:rPr>
                    <w:rFonts w:hint="eastAsia"/>
                  </w:rPr>
                  <w:t>未变更</w:t>
                </w:r>
              </w:p>
            </w:tc>
          </w:tr>
        </w:tbl>
        <w:p w14:paraId="1A62E7D0" w14:textId="4999A932" w:rsidR="007F1C2B" w:rsidRPr="009C29E3" w:rsidRDefault="00B664AF" w:rsidP="009C29E3"/>
      </w:sdtContent>
    </w:sdt>
    <w:p w14:paraId="0E108E9B" w14:textId="77777777" w:rsidR="007F1C2B" w:rsidRDefault="00B664AF">
      <w:pPr>
        <w:kinsoku w:val="0"/>
        <w:overflowPunct w:val="0"/>
        <w:autoSpaceDE w:val="0"/>
        <w:autoSpaceDN w:val="0"/>
        <w:adjustRightInd w:val="0"/>
        <w:snapToGrid w:val="0"/>
        <w:rPr>
          <w:szCs w:val="21"/>
        </w:rPr>
      </w:pPr>
    </w:p>
    <w:bookmarkStart w:id="11" w:name="_Toc342051045" w:displacedByCustomXml="next"/>
    <w:bookmarkStart w:id="12" w:name="_Toc342565885" w:displacedByCustomXml="next"/>
    <w:sdt>
      <w:sdtPr>
        <w:rPr>
          <w:rFonts w:ascii="宋体" w:hAnsi="宋体" w:cs="宋体" w:hint="eastAsia"/>
          <w:b w:val="0"/>
          <w:bCs w:val="0"/>
          <w:kern w:val="0"/>
          <w:szCs w:val="24"/>
        </w:rPr>
        <w:alias w:val="模块:公司股票简况"/>
        <w:tag w:val="_GBC_f73e31215837403db78d7a2ed15723c6"/>
        <w:id w:val="-998809485"/>
        <w:lock w:val="sdtLocked"/>
        <w:placeholder>
          <w:docPart w:val="GBC22222222222222222222222222222"/>
        </w:placeholder>
      </w:sdtPr>
      <w:sdtEndPr>
        <w:rPr>
          <w:color w:val="0070C0"/>
        </w:rPr>
      </w:sdtEndPr>
      <w:sdtContent>
        <w:p w14:paraId="2C3B7D31" w14:textId="77777777" w:rsidR="007F1C2B" w:rsidRDefault="004F686E" w:rsidP="004F686E">
          <w:pPr>
            <w:pStyle w:val="2"/>
            <w:numPr>
              <w:ilvl w:val="0"/>
              <w:numId w:val="4"/>
            </w:numPr>
            <w:ind w:firstLineChars="0"/>
          </w:pPr>
          <w:r>
            <w:rPr>
              <w:rFonts w:hint="eastAsia"/>
            </w:rPr>
            <w:t>公司股票简况</w:t>
          </w:r>
          <w:bookmarkEnd w:id="12"/>
          <w:bookmarkEnd w:id="11"/>
        </w:p>
        <w:tbl>
          <w:tblPr>
            <w:tblStyle w:val="g4"/>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438"/>
            <w:gridCol w:w="2389"/>
            <w:gridCol w:w="1828"/>
            <w:gridCol w:w="1403"/>
            <w:gridCol w:w="1765"/>
          </w:tblGrid>
          <w:tr w:rsidR="009C29E3" w14:paraId="62079F76" w14:textId="77777777" w:rsidTr="009C29E3">
            <w:trPr>
              <w:trHeight w:val="293"/>
            </w:trPr>
            <w:sdt>
              <w:sdtPr>
                <w:tag w:val="_PLD_136d907086394f5eaee0ec7d22ac5510"/>
                <w:id w:val="1557209853"/>
                <w:lock w:val="sdtLocked"/>
              </w:sdtPr>
              <w:sdtEndPr/>
              <w:sdtContent>
                <w:tc>
                  <w:tcPr>
                    <w:tcW w:w="815" w:type="pct"/>
                    <w:tcBorders>
                      <w:top w:val="single" w:sz="4" w:space="0" w:color="auto"/>
                      <w:bottom w:val="single" w:sz="4" w:space="0" w:color="auto"/>
                      <w:right w:val="single" w:sz="4" w:space="0" w:color="auto"/>
                    </w:tcBorders>
                    <w:shd w:val="clear" w:color="auto" w:fill="auto"/>
                  </w:tcPr>
                  <w:p w14:paraId="092DC7B4" w14:textId="77777777" w:rsidR="009C29E3" w:rsidRDefault="004F686E" w:rsidP="00471D53">
                    <w:pPr>
                      <w:kinsoku w:val="0"/>
                      <w:overflowPunct w:val="0"/>
                      <w:autoSpaceDE w:val="0"/>
                      <w:autoSpaceDN w:val="0"/>
                      <w:adjustRightInd w:val="0"/>
                      <w:snapToGrid w:val="0"/>
                      <w:jc w:val="center"/>
                      <w:rPr>
                        <w:szCs w:val="21"/>
                      </w:rPr>
                    </w:pPr>
                    <w:r>
                      <w:rPr>
                        <w:rFonts w:hint="eastAsia"/>
                        <w:szCs w:val="21"/>
                      </w:rPr>
                      <w:t>股票种类</w:t>
                    </w:r>
                  </w:p>
                </w:tc>
              </w:sdtContent>
            </w:sdt>
            <w:sdt>
              <w:sdtPr>
                <w:tag w:val="_PLD_6a843bcbb5a24c0aa6b5fa899c00d11d"/>
                <w:id w:val="-1901359616"/>
                <w:lock w:val="sdtLocked"/>
              </w:sdtPr>
              <w:sdtEndPr/>
              <w:sdtContent>
                <w:tc>
                  <w:tcPr>
                    <w:tcW w:w="1354" w:type="pct"/>
                    <w:tcBorders>
                      <w:top w:val="single" w:sz="4" w:space="0" w:color="auto"/>
                      <w:left w:val="single" w:sz="4" w:space="0" w:color="auto"/>
                      <w:bottom w:val="single" w:sz="4" w:space="0" w:color="auto"/>
                      <w:right w:val="single" w:sz="4" w:space="0" w:color="auto"/>
                    </w:tcBorders>
                    <w:shd w:val="clear" w:color="auto" w:fill="auto"/>
                  </w:tcPr>
                  <w:p w14:paraId="3C52F791" w14:textId="77777777" w:rsidR="009C29E3" w:rsidRDefault="004F686E" w:rsidP="00471D53">
                    <w:pPr>
                      <w:kinsoku w:val="0"/>
                      <w:overflowPunct w:val="0"/>
                      <w:autoSpaceDE w:val="0"/>
                      <w:autoSpaceDN w:val="0"/>
                      <w:adjustRightInd w:val="0"/>
                      <w:snapToGrid w:val="0"/>
                      <w:jc w:val="center"/>
                      <w:rPr>
                        <w:szCs w:val="21"/>
                      </w:rPr>
                    </w:pPr>
                    <w:r>
                      <w:rPr>
                        <w:rFonts w:hint="eastAsia"/>
                        <w:szCs w:val="21"/>
                      </w:rPr>
                      <w:t>股票上市交易所</w:t>
                    </w:r>
                  </w:p>
                </w:tc>
              </w:sdtContent>
            </w:sdt>
            <w:sdt>
              <w:sdtPr>
                <w:tag w:val="_PLD_c012a58bb3cc4bbd9a7de1f52bd17553"/>
                <w:id w:val="25678728"/>
                <w:lock w:val="sdtLocked"/>
              </w:sdtPr>
              <w:sdtEndPr/>
              <w:sdtContent>
                <w:tc>
                  <w:tcPr>
                    <w:tcW w:w="1036" w:type="pct"/>
                    <w:tcBorders>
                      <w:top w:val="single" w:sz="4" w:space="0" w:color="auto"/>
                      <w:left w:val="single" w:sz="4" w:space="0" w:color="auto"/>
                      <w:bottom w:val="single" w:sz="4" w:space="0" w:color="auto"/>
                      <w:right w:val="single" w:sz="4" w:space="0" w:color="auto"/>
                    </w:tcBorders>
                    <w:shd w:val="clear" w:color="auto" w:fill="auto"/>
                  </w:tcPr>
                  <w:p w14:paraId="55F051D6" w14:textId="77777777" w:rsidR="009C29E3" w:rsidRDefault="004F686E" w:rsidP="00471D53">
                    <w:pPr>
                      <w:kinsoku w:val="0"/>
                      <w:overflowPunct w:val="0"/>
                      <w:autoSpaceDE w:val="0"/>
                      <w:autoSpaceDN w:val="0"/>
                      <w:adjustRightInd w:val="0"/>
                      <w:snapToGrid w:val="0"/>
                      <w:jc w:val="center"/>
                      <w:rPr>
                        <w:szCs w:val="21"/>
                      </w:rPr>
                    </w:pPr>
                    <w:r>
                      <w:rPr>
                        <w:rFonts w:hint="eastAsia"/>
                        <w:szCs w:val="21"/>
                      </w:rPr>
                      <w:t>股票简称</w:t>
                    </w:r>
                  </w:p>
                </w:tc>
              </w:sdtContent>
            </w:sdt>
            <w:sdt>
              <w:sdtPr>
                <w:tag w:val="_PLD_9fa1e8781b094b29b21027138e9f63e8"/>
                <w:id w:val="-2090909087"/>
                <w:lock w:val="sdtLocked"/>
              </w:sdtPr>
              <w:sdtEndPr/>
              <w:sdtContent>
                <w:tc>
                  <w:tcPr>
                    <w:tcW w:w="795" w:type="pct"/>
                    <w:tcBorders>
                      <w:top w:val="single" w:sz="4" w:space="0" w:color="auto"/>
                      <w:left w:val="single" w:sz="4" w:space="0" w:color="auto"/>
                      <w:bottom w:val="single" w:sz="4" w:space="0" w:color="auto"/>
                      <w:right w:val="single" w:sz="4" w:space="0" w:color="auto"/>
                    </w:tcBorders>
                    <w:shd w:val="clear" w:color="auto" w:fill="auto"/>
                  </w:tcPr>
                  <w:p w14:paraId="7F80689D" w14:textId="77777777" w:rsidR="009C29E3" w:rsidRDefault="004F686E" w:rsidP="00471D53">
                    <w:pPr>
                      <w:kinsoku w:val="0"/>
                      <w:overflowPunct w:val="0"/>
                      <w:autoSpaceDE w:val="0"/>
                      <w:autoSpaceDN w:val="0"/>
                      <w:adjustRightInd w:val="0"/>
                      <w:snapToGrid w:val="0"/>
                      <w:jc w:val="center"/>
                      <w:rPr>
                        <w:szCs w:val="21"/>
                      </w:rPr>
                    </w:pPr>
                    <w:r>
                      <w:rPr>
                        <w:rFonts w:hint="eastAsia"/>
                        <w:szCs w:val="21"/>
                      </w:rPr>
                      <w:t>股票代码</w:t>
                    </w:r>
                  </w:p>
                </w:tc>
              </w:sdtContent>
            </w:sdt>
            <w:sdt>
              <w:sdtPr>
                <w:tag w:val="_PLD_38293dc771ef4460bd5252827867d07d"/>
                <w:id w:val="-580605679"/>
                <w:lock w:val="sdtLocked"/>
              </w:sdtPr>
              <w:sdtEndPr/>
              <w:sdtContent>
                <w:tc>
                  <w:tcPr>
                    <w:tcW w:w="1000" w:type="pct"/>
                    <w:tcBorders>
                      <w:top w:val="single" w:sz="4" w:space="0" w:color="auto"/>
                      <w:left w:val="single" w:sz="4" w:space="0" w:color="auto"/>
                      <w:bottom w:val="single" w:sz="4" w:space="0" w:color="auto"/>
                    </w:tcBorders>
                    <w:shd w:val="clear" w:color="auto" w:fill="auto"/>
                  </w:tcPr>
                  <w:p w14:paraId="7C3A421F" w14:textId="77777777" w:rsidR="009C29E3" w:rsidRDefault="004F686E" w:rsidP="00471D53">
                    <w:pPr>
                      <w:kinsoku w:val="0"/>
                      <w:overflowPunct w:val="0"/>
                      <w:autoSpaceDE w:val="0"/>
                      <w:autoSpaceDN w:val="0"/>
                      <w:adjustRightInd w:val="0"/>
                      <w:snapToGrid w:val="0"/>
                      <w:jc w:val="center"/>
                      <w:rPr>
                        <w:szCs w:val="21"/>
                      </w:rPr>
                    </w:pPr>
                    <w:r>
                      <w:rPr>
                        <w:rFonts w:hint="eastAsia"/>
                        <w:szCs w:val="21"/>
                      </w:rPr>
                      <w:t>变更前股票简称</w:t>
                    </w:r>
                  </w:p>
                </w:tc>
              </w:sdtContent>
            </w:sdt>
          </w:tr>
          <w:sdt>
            <w:sdtPr>
              <w:rPr>
                <w:rFonts w:hint="eastAsia"/>
                <w:szCs w:val="21"/>
              </w:rPr>
              <w:alias w:val="公司其他股票简况"/>
              <w:tag w:val="_GBC_4e064b55e0734b1d9be1e41379a353e2"/>
              <w:id w:val="-755517846"/>
              <w:lock w:val="sdtLocked"/>
            </w:sdtPr>
            <w:sdtEndPr/>
            <w:sdtContent>
              <w:tr w:rsidR="009C29E3" w14:paraId="655B8DC5" w14:textId="77777777" w:rsidTr="009C29E3">
                <w:trPr>
                  <w:trHeight w:val="293"/>
                </w:trPr>
                <w:tc>
                  <w:tcPr>
                    <w:tcW w:w="815" w:type="pct"/>
                    <w:tcBorders>
                      <w:top w:val="single" w:sz="4" w:space="0" w:color="auto"/>
                      <w:bottom w:val="single" w:sz="4" w:space="0" w:color="auto"/>
                      <w:right w:val="single" w:sz="4" w:space="0" w:color="auto"/>
                    </w:tcBorders>
                    <w:shd w:val="clear" w:color="auto" w:fill="auto"/>
                  </w:tcPr>
                  <w:p w14:paraId="597D69FA" w14:textId="77777777" w:rsidR="009C29E3" w:rsidRDefault="004F686E" w:rsidP="00471D53">
                    <w:pPr>
                      <w:kinsoku w:val="0"/>
                      <w:overflowPunct w:val="0"/>
                      <w:autoSpaceDE w:val="0"/>
                      <w:autoSpaceDN w:val="0"/>
                      <w:adjustRightInd w:val="0"/>
                      <w:snapToGrid w:val="0"/>
                      <w:rPr>
                        <w:szCs w:val="21"/>
                      </w:rPr>
                    </w:pPr>
                    <w:r>
                      <w:t>A股</w:t>
                    </w:r>
                  </w:p>
                </w:tc>
                <w:tc>
                  <w:tcPr>
                    <w:tcW w:w="1354" w:type="pct"/>
                    <w:tcBorders>
                      <w:top w:val="single" w:sz="4" w:space="0" w:color="auto"/>
                      <w:left w:val="single" w:sz="4" w:space="0" w:color="auto"/>
                      <w:bottom w:val="single" w:sz="4" w:space="0" w:color="auto"/>
                      <w:right w:val="single" w:sz="4" w:space="0" w:color="auto"/>
                    </w:tcBorders>
                    <w:shd w:val="clear" w:color="auto" w:fill="auto"/>
                  </w:tcPr>
                  <w:p w14:paraId="3B577C2E" w14:textId="77777777" w:rsidR="009C29E3" w:rsidRDefault="004F686E" w:rsidP="00471D53">
                    <w:pPr>
                      <w:kinsoku w:val="0"/>
                      <w:overflowPunct w:val="0"/>
                      <w:autoSpaceDE w:val="0"/>
                      <w:autoSpaceDN w:val="0"/>
                      <w:adjustRightInd w:val="0"/>
                      <w:snapToGrid w:val="0"/>
                      <w:rPr>
                        <w:szCs w:val="21"/>
                      </w:rPr>
                    </w:pPr>
                    <w:r>
                      <w:t>上海证券交易所</w:t>
                    </w:r>
                  </w:p>
                </w:tc>
                <w:tc>
                  <w:tcPr>
                    <w:tcW w:w="1036" w:type="pct"/>
                    <w:tcBorders>
                      <w:top w:val="single" w:sz="4" w:space="0" w:color="auto"/>
                      <w:left w:val="single" w:sz="4" w:space="0" w:color="auto"/>
                      <w:bottom w:val="single" w:sz="4" w:space="0" w:color="auto"/>
                      <w:right w:val="single" w:sz="4" w:space="0" w:color="auto"/>
                    </w:tcBorders>
                    <w:shd w:val="clear" w:color="auto" w:fill="auto"/>
                  </w:tcPr>
                  <w:p w14:paraId="2643BAD1" w14:textId="4E0F625E" w:rsidR="009C29E3" w:rsidRDefault="004F686E" w:rsidP="00471D53">
                    <w:pPr>
                      <w:kinsoku w:val="0"/>
                      <w:overflowPunct w:val="0"/>
                      <w:autoSpaceDE w:val="0"/>
                      <w:autoSpaceDN w:val="0"/>
                      <w:adjustRightInd w:val="0"/>
                      <w:snapToGrid w:val="0"/>
                      <w:rPr>
                        <w:szCs w:val="21"/>
                      </w:rPr>
                    </w:pPr>
                    <w:r>
                      <w:rPr>
                        <w:rFonts w:hint="eastAsia"/>
                        <w:szCs w:val="21"/>
                      </w:rPr>
                      <w:t>京城股份</w:t>
                    </w: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0F62B00E" w14:textId="77777777" w:rsidR="009C29E3" w:rsidRDefault="004F686E" w:rsidP="00471D53">
                    <w:pPr>
                      <w:kinsoku w:val="0"/>
                      <w:overflowPunct w:val="0"/>
                      <w:autoSpaceDE w:val="0"/>
                      <w:autoSpaceDN w:val="0"/>
                      <w:adjustRightInd w:val="0"/>
                      <w:snapToGrid w:val="0"/>
                      <w:rPr>
                        <w:szCs w:val="21"/>
                      </w:rPr>
                    </w:pPr>
                    <w:r>
                      <w:t>600860</w:t>
                    </w:r>
                  </w:p>
                </w:tc>
                <w:tc>
                  <w:tcPr>
                    <w:tcW w:w="1000" w:type="pct"/>
                    <w:tcBorders>
                      <w:top w:val="single" w:sz="4" w:space="0" w:color="auto"/>
                      <w:left w:val="single" w:sz="4" w:space="0" w:color="auto"/>
                      <w:bottom w:val="single" w:sz="4" w:space="0" w:color="auto"/>
                    </w:tcBorders>
                    <w:shd w:val="clear" w:color="auto" w:fill="auto"/>
                  </w:tcPr>
                  <w:p w14:paraId="5808D18A" w14:textId="79EA2C39" w:rsidR="009C29E3" w:rsidRDefault="004F686E" w:rsidP="00471D53">
                    <w:pPr>
                      <w:kinsoku w:val="0"/>
                      <w:overflowPunct w:val="0"/>
                      <w:autoSpaceDE w:val="0"/>
                      <w:autoSpaceDN w:val="0"/>
                      <w:adjustRightInd w:val="0"/>
                      <w:snapToGrid w:val="0"/>
                      <w:rPr>
                        <w:szCs w:val="21"/>
                      </w:rPr>
                    </w:pPr>
                    <w:r w:rsidRPr="008908A3">
                      <w:rPr>
                        <w:rFonts w:hint="eastAsia"/>
                      </w:rPr>
                      <w:t>京城股份</w:t>
                    </w:r>
                  </w:p>
                </w:tc>
              </w:tr>
            </w:sdtContent>
          </w:sdt>
          <w:sdt>
            <w:sdtPr>
              <w:rPr>
                <w:rFonts w:hint="eastAsia"/>
                <w:szCs w:val="21"/>
              </w:rPr>
              <w:alias w:val="公司其他股票简况"/>
              <w:tag w:val="_GBC_4e064b55e0734b1d9be1e41379a353e2"/>
              <w:id w:val="1621024074"/>
              <w:lock w:val="sdtLocked"/>
            </w:sdtPr>
            <w:sdtEndPr/>
            <w:sdtContent>
              <w:tr w:rsidR="009C29E3" w14:paraId="35FD37B0" w14:textId="77777777" w:rsidTr="009C29E3">
                <w:trPr>
                  <w:trHeight w:val="293"/>
                </w:trPr>
                <w:tc>
                  <w:tcPr>
                    <w:tcW w:w="815" w:type="pct"/>
                    <w:tcBorders>
                      <w:top w:val="single" w:sz="4" w:space="0" w:color="auto"/>
                      <w:bottom w:val="single" w:sz="4" w:space="0" w:color="auto"/>
                      <w:right w:val="single" w:sz="4" w:space="0" w:color="auto"/>
                    </w:tcBorders>
                    <w:shd w:val="clear" w:color="auto" w:fill="auto"/>
                  </w:tcPr>
                  <w:p w14:paraId="045ABB53" w14:textId="77777777" w:rsidR="009C29E3" w:rsidRDefault="004F686E" w:rsidP="00471D53">
                    <w:pPr>
                      <w:kinsoku w:val="0"/>
                      <w:overflowPunct w:val="0"/>
                      <w:autoSpaceDE w:val="0"/>
                      <w:autoSpaceDN w:val="0"/>
                      <w:adjustRightInd w:val="0"/>
                      <w:snapToGrid w:val="0"/>
                      <w:rPr>
                        <w:szCs w:val="21"/>
                      </w:rPr>
                    </w:pPr>
                    <w:r>
                      <w:t>H股</w:t>
                    </w:r>
                  </w:p>
                </w:tc>
                <w:tc>
                  <w:tcPr>
                    <w:tcW w:w="1354" w:type="pct"/>
                    <w:tcBorders>
                      <w:top w:val="single" w:sz="4" w:space="0" w:color="auto"/>
                      <w:left w:val="single" w:sz="4" w:space="0" w:color="auto"/>
                      <w:bottom w:val="single" w:sz="4" w:space="0" w:color="auto"/>
                      <w:right w:val="single" w:sz="4" w:space="0" w:color="auto"/>
                    </w:tcBorders>
                    <w:shd w:val="clear" w:color="auto" w:fill="auto"/>
                  </w:tcPr>
                  <w:p w14:paraId="27D12330" w14:textId="77777777" w:rsidR="009C29E3" w:rsidRDefault="004F686E" w:rsidP="00471D53">
                    <w:pPr>
                      <w:kinsoku w:val="0"/>
                      <w:overflowPunct w:val="0"/>
                      <w:autoSpaceDE w:val="0"/>
                      <w:autoSpaceDN w:val="0"/>
                      <w:adjustRightInd w:val="0"/>
                      <w:snapToGrid w:val="0"/>
                      <w:rPr>
                        <w:szCs w:val="21"/>
                      </w:rPr>
                    </w:pPr>
                    <w:r>
                      <w:t>香港联合交易所有限公司</w:t>
                    </w:r>
                  </w:p>
                </w:tc>
                <w:tc>
                  <w:tcPr>
                    <w:tcW w:w="1036" w:type="pct"/>
                    <w:tcBorders>
                      <w:top w:val="single" w:sz="4" w:space="0" w:color="auto"/>
                      <w:left w:val="single" w:sz="4" w:space="0" w:color="auto"/>
                      <w:bottom w:val="single" w:sz="4" w:space="0" w:color="auto"/>
                      <w:right w:val="single" w:sz="4" w:space="0" w:color="auto"/>
                    </w:tcBorders>
                    <w:shd w:val="clear" w:color="auto" w:fill="auto"/>
                  </w:tcPr>
                  <w:p w14:paraId="1D3FBF95" w14:textId="77777777" w:rsidR="009C29E3" w:rsidRDefault="004F686E" w:rsidP="00471D53">
                    <w:pPr>
                      <w:kinsoku w:val="0"/>
                      <w:overflowPunct w:val="0"/>
                      <w:autoSpaceDE w:val="0"/>
                      <w:autoSpaceDN w:val="0"/>
                      <w:adjustRightInd w:val="0"/>
                      <w:snapToGrid w:val="0"/>
                      <w:rPr>
                        <w:szCs w:val="21"/>
                      </w:rPr>
                    </w:pPr>
                    <w:r>
                      <w:t>京城机电股份</w:t>
                    </w: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31A5741F" w14:textId="77777777" w:rsidR="009C29E3" w:rsidRDefault="004F686E" w:rsidP="00471D53">
                    <w:pPr>
                      <w:kinsoku w:val="0"/>
                      <w:overflowPunct w:val="0"/>
                      <w:autoSpaceDE w:val="0"/>
                      <w:autoSpaceDN w:val="0"/>
                      <w:adjustRightInd w:val="0"/>
                      <w:snapToGrid w:val="0"/>
                      <w:rPr>
                        <w:szCs w:val="21"/>
                      </w:rPr>
                    </w:pPr>
                    <w:r>
                      <w:t>00187</w:t>
                    </w:r>
                  </w:p>
                </w:tc>
                <w:tc>
                  <w:tcPr>
                    <w:tcW w:w="1000" w:type="pct"/>
                    <w:tcBorders>
                      <w:top w:val="single" w:sz="4" w:space="0" w:color="auto"/>
                      <w:left w:val="single" w:sz="4" w:space="0" w:color="auto"/>
                      <w:bottom w:val="single" w:sz="4" w:space="0" w:color="auto"/>
                    </w:tcBorders>
                    <w:shd w:val="clear" w:color="auto" w:fill="auto"/>
                  </w:tcPr>
                  <w:p w14:paraId="33649D8F" w14:textId="77777777" w:rsidR="009C29E3" w:rsidRDefault="004F686E" w:rsidP="00471D53">
                    <w:pPr>
                      <w:kinsoku w:val="0"/>
                      <w:overflowPunct w:val="0"/>
                      <w:autoSpaceDE w:val="0"/>
                      <w:autoSpaceDN w:val="0"/>
                      <w:adjustRightInd w:val="0"/>
                      <w:snapToGrid w:val="0"/>
                      <w:rPr>
                        <w:szCs w:val="21"/>
                      </w:rPr>
                    </w:pPr>
                    <w:r>
                      <w:t>京城机电股份</w:t>
                    </w:r>
                  </w:p>
                </w:tc>
              </w:tr>
            </w:sdtContent>
          </w:sdt>
        </w:tbl>
        <w:p w14:paraId="6E6DB8D0" w14:textId="3C3FE9C7" w:rsidR="007F1C2B" w:rsidRDefault="00B664AF">
          <w:pPr>
            <w:kinsoku w:val="0"/>
            <w:overflowPunct w:val="0"/>
            <w:autoSpaceDE w:val="0"/>
            <w:autoSpaceDN w:val="0"/>
            <w:adjustRightInd w:val="0"/>
            <w:snapToGrid w:val="0"/>
            <w:rPr>
              <w:color w:val="0070C0"/>
            </w:rPr>
          </w:pPr>
        </w:p>
      </w:sdtContent>
    </w:sdt>
    <w:sdt>
      <w:sdtPr>
        <w:rPr>
          <w:rFonts w:ascii="宋体" w:hAnsi="宋体" w:cs="宋体"/>
          <w:b w:val="0"/>
          <w:bCs w:val="0"/>
          <w:kern w:val="0"/>
          <w:szCs w:val="24"/>
        </w:rPr>
        <w:alias w:val="模块:其他有关资料"/>
        <w:tag w:val="_GBC_cd186ef4acaf4e28b71fed998e691ebd"/>
        <w:id w:val="713154503"/>
        <w:lock w:val="sdtLocked"/>
        <w:placeholder>
          <w:docPart w:val="GBC22222222222222222222222222222"/>
        </w:placeholder>
      </w:sdtPr>
      <w:sdtEndPr>
        <w:rPr>
          <w:rFonts w:hint="eastAsia"/>
        </w:rPr>
      </w:sdtEndPr>
      <w:sdtContent>
        <w:p w14:paraId="0257E8A5" w14:textId="77777777" w:rsidR="007F1C2B" w:rsidRDefault="004F686E" w:rsidP="004F686E">
          <w:pPr>
            <w:pStyle w:val="2"/>
            <w:numPr>
              <w:ilvl w:val="0"/>
              <w:numId w:val="4"/>
            </w:numPr>
            <w:ind w:firstLineChars="0"/>
          </w:pPr>
          <w:r>
            <w:t>其他有关资料</w:t>
          </w:r>
        </w:p>
        <w:sdt>
          <w:sdtPr>
            <w:alias w:val="是否适用：其他有关资料[双击切换]"/>
            <w:tag w:val="_GBC_78c3cc115c0d4dd3bf5e7c57142e5e68"/>
            <w:id w:val="2093198621"/>
            <w:lock w:val="sdtLocked"/>
            <w:placeholder>
              <w:docPart w:val="GBC22222222222222222222222222222"/>
            </w:placeholder>
          </w:sdtPr>
          <w:sdtEndPr/>
          <w:sdtContent>
            <w:p w14:paraId="0184B6C5" w14:textId="68A79B30" w:rsidR="007F1C2B"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公司其他基本情况"/>
            <w:tag w:val="_GBC_2e5f79011fd44589b010b5b927248a22"/>
            <w:id w:val="-1757050203"/>
            <w:lock w:val="sdtLocked"/>
            <w:placeholder>
              <w:docPart w:val="GBC22222222222222222222222222222"/>
            </w:placeholder>
          </w:sdtPr>
          <w:sdtEndPr/>
          <w:sdtContent>
            <w:p w14:paraId="0660A0FC" w14:textId="77777777" w:rsidR="008908A3" w:rsidRDefault="00B664AF"/>
            <w:tbl>
              <w:tblPr>
                <w:tblStyle w:val="g2"/>
                <w:tblW w:w="5000" w:type="pct"/>
                <w:tblLook w:val="04A0" w:firstRow="1" w:lastRow="0" w:firstColumn="1" w:lastColumn="0" w:noHBand="0" w:noVBand="1"/>
              </w:tblPr>
              <w:tblGrid>
                <w:gridCol w:w="2918"/>
                <w:gridCol w:w="1749"/>
                <w:gridCol w:w="4156"/>
              </w:tblGrid>
              <w:tr w:rsidR="008908A3" w14:paraId="5418DF8C" w14:textId="77777777" w:rsidTr="00471D53">
                <w:trPr>
                  <w:trHeight w:val="132"/>
                </w:trPr>
                <w:tc>
                  <w:tcPr>
                    <w:tcW w:w="1654" w:type="pct"/>
                    <w:vMerge w:val="restart"/>
                    <w:vAlign w:val="center"/>
                  </w:tcPr>
                  <w:p w14:paraId="440C9D3E" w14:textId="36634366" w:rsidR="008908A3" w:rsidRDefault="004F686E" w:rsidP="00471D53">
                    <w:pPr>
                      <w:rPr>
                        <w:szCs w:val="21"/>
                      </w:rPr>
                    </w:pPr>
                    <w:r>
                      <w:rPr>
                        <w:rFonts w:hint="eastAsia"/>
                        <w:szCs w:val="21"/>
                      </w:rPr>
                      <w:t>公司聘请的会计师事务所（境内）</w:t>
                    </w:r>
                  </w:p>
                </w:tc>
                <w:tc>
                  <w:tcPr>
                    <w:tcW w:w="991" w:type="pct"/>
                  </w:tcPr>
                  <w:p w14:paraId="32F9281E" w14:textId="077469A5" w:rsidR="008908A3" w:rsidRDefault="004F686E" w:rsidP="00471D53">
                    <w:pPr>
                      <w:rPr>
                        <w:szCs w:val="21"/>
                      </w:rPr>
                    </w:pPr>
                    <w:r>
                      <w:rPr>
                        <w:rFonts w:hint="eastAsia"/>
                        <w:szCs w:val="21"/>
                      </w:rPr>
                      <w:t>名称</w:t>
                    </w:r>
                  </w:p>
                </w:tc>
                <w:tc>
                  <w:tcPr>
                    <w:tcW w:w="2355" w:type="pct"/>
                  </w:tcPr>
                  <w:p w14:paraId="1B84E383" w14:textId="0D9F4B2C" w:rsidR="008908A3" w:rsidRDefault="004F686E" w:rsidP="00471D53">
                    <w:pPr>
                      <w:rPr>
                        <w:szCs w:val="21"/>
                      </w:rPr>
                    </w:pPr>
                    <w:r>
                      <w:rPr>
                        <w:rFonts w:hint="eastAsia"/>
                        <w:szCs w:val="21"/>
                      </w:rPr>
                      <w:t>信永中和会计师事务所（特殊普通合伙）</w:t>
                    </w:r>
                  </w:p>
                </w:tc>
              </w:tr>
              <w:tr w:rsidR="008908A3" w14:paraId="20A87B85" w14:textId="77777777" w:rsidTr="00471D53">
                <w:trPr>
                  <w:trHeight w:val="90"/>
                </w:trPr>
                <w:tc>
                  <w:tcPr>
                    <w:tcW w:w="1654" w:type="pct"/>
                    <w:vMerge/>
                    <w:vAlign w:val="center"/>
                  </w:tcPr>
                  <w:p w14:paraId="5944D839" w14:textId="77777777" w:rsidR="008908A3" w:rsidRDefault="00B664AF" w:rsidP="00471D53">
                    <w:pPr>
                      <w:rPr>
                        <w:szCs w:val="21"/>
                      </w:rPr>
                    </w:pPr>
                  </w:p>
                </w:tc>
                <w:tc>
                  <w:tcPr>
                    <w:tcW w:w="991" w:type="pct"/>
                  </w:tcPr>
                  <w:p w14:paraId="4127DECB" w14:textId="195D457A" w:rsidR="008908A3" w:rsidRDefault="004F686E" w:rsidP="00471D53">
                    <w:pPr>
                      <w:rPr>
                        <w:szCs w:val="21"/>
                      </w:rPr>
                    </w:pPr>
                    <w:r>
                      <w:rPr>
                        <w:rFonts w:hint="eastAsia"/>
                        <w:szCs w:val="21"/>
                      </w:rPr>
                      <w:t>办公地址</w:t>
                    </w:r>
                  </w:p>
                </w:tc>
                <w:tc>
                  <w:tcPr>
                    <w:tcW w:w="2355" w:type="pct"/>
                  </w:tcPr>
                  <w:p w14:paraId="319AF4A7" w14:textId="77777777" w:rsidR="008908A3" w:rsidRDefault="004F686E" w:rsidP="00471D53">
                    <w:pPr>
                      <w:rPr>
                        <w:szCs w:val="21"/>
                      </w:rPr>
                    </w:pPr>
                    <w:r>
                      <w:t>北京市东城区朝阳门北大街8号富华大厦A 座9层</w:t>
                    </w:r>
                  </w:p>
                </w:tc>
              </w:tr>
              <w:tr w:rsidR="008908A3" w14:paraId="7D16B66B" w14:textId="77777777" w:rsidTr="00471D53">
                <w:trPr>
                  <w:trHeight w:val="210"/>
                </w:trPr>
                <w:tc>
                  <w:tcPr>
                    <w:tcW w:w="1654" w:type="pct"/>
                    <w:vMerge/>
                    <w:vAlign w:val="center"/>
                  </w:tcPr>
                  <w:p w14:paraId="7A97506A" w14:textId="77777777" w:rsidR="008908A3" w:rsidRDefault="00B664AF" w:rsidP="00471D53">
                    <w:pPr>
                      <w:rPr>
                        <w:szCs w:val="21"/>
                      </w:rPr>
                    </w:pPr>
                  </w:p>
                </w:tc>
                <w:tc>
                  <w:tcPr>
                    <w:tcW w:w="991" w:type="pct"/>
                  </w:tcPr>
                  <w:p w14:paraId="19F4EE11" w14:textId="2A8A06E8" w:rsidR="008908A3" w:rsidRDefault="004F686E" w:rsidP="00471D53">
                    <w:pPr>
                      <w:rPr>
                        <w:szCs w:val="21"/>
                      </w:rPr>
                    </w:pPr>
                    <w:r>
                      <w:rPr>
                        <w:rFonts w:hint="eastAsia"/>
                        <w:szCs w:val="21"/>
                      </w:rPr>
                      <w:t>签字会计师姓名</w:t>
                    </w:r>
                  </w:p>
                </w:tc>
                <w:tc>
                  <w:tcPr>
                    <w:tcW w:w="2355" w:type="pct"/>
                  </w:tcPr>
                  <w:p w14:paraId="645DC9E1" w14:textId="5B90BE88" w:rsidR="008908A3" w:rsidRDefault="004F686E" w:rsidP="00471D53">
                    <w:pPr>
                      <w:rPr>
                        <w:szCs w:val="21"/>
                      </w:rPr>
                    </w:pPr>
                    <w:r w:rsidRPr="00D921F4">
                      <w:rPr>
                        <w:rFonts w:hint="eastAsia"/>
                      </w:rPr>
                      <w:t>马传军、闫欢</w:t>
                    </w:r>
                  </w:p>
                </w:tc>
              </w:tr>
              <w:tr w:rsidR="008908A3" w14:paraId="42299F1C" w14:textId="77777777" w:rsidTr="00471D53">
                <w:trPr>
                  <w:trHeight w:val="210"/>
                </w:trPr>
                <w:tc>
                  <w:tcPr>
                    <w:tcW w:w="1654" w:type="pct"/>
                    <w:vMerge w:val="restart"/>
                    <w:vAlign w:val="center"/>
                  </w:tcPr>
                  <w:p w14:paraId="6B612679" w14:textId="77777777" w:rsidR="008908A3" w:rsidRDefault="004F686E" w:rsidP="00471D53">
                    <w:pPr>
                      <w:rPr>
                        <w:szCs w:val="21"/>
                      </w:rPr>
                    </w:pPr>
                    <w:r w:rsidRPr="00FF5ACC">
                      <w:rPr>
                        <w:rFonts w:hint="eastAsia"/>
                        <w:szCs w:val="21"/>
                      </w:rPr>
                      <w:t>公司聘请的会计师事务所（境内内控报告审计）</w:t>
                    </w:r>
                  </w:p>
                </w:tc>
                <w:tc>
                  <w:tcPr>
                    <w:tcW w:w="991" w:type="pct"/>
                  </w:tcPr>
                  <w:p w14:paraId="090DD6B0" w14:textId="77777777" w:rsidR="008908A3" w:rsidRDefault="004F686E" w:rsidP="00471D53">
                    <w:r>
                      <w:t>名称</w:t>
                    </w:r>
                  </w:p>
                </w:tc>
                <w:tc>
                  <w:tcPr>
                    <w:tcW w:w="2355" w:type="pct"/>
                  </w:tcPr>
                  <w:p w14:paraId="72F1D29C" w14:textId="77777777" w:rsidR="008908A3" w:rsidRDefault="004F686E" w:rsidP="00471D53">
                    <w:pPr>
                      <w:rPr>
                        <w:szCs w:val="21"/>
                      </w:rPr>
                    </w:pPr>
                    <w:r>
                      <w:t>大华会计师事务所（特殊普通合伙）</w:t>
                    </w:r>
                  </w:p>
                </w:tc>
              </w:tr>
              <w:tr w:rsidR="008908A3" w14:paraId="2A0D7B0C" w14:textId="77777777" w:rsidTr="00471D53">
                <w:trPr>
                  <w:trHeight w:val="210"/>
                </w:trPr>
                <w:tc>
                  <w:tcPr>
                    <w:tcW w:w="1654" w:type="pct"/>
                    <w:vMerge/>
                    <w:vAlign w:val="center"/>
                  </w:tcPr>
                  <w:p w14:paraId="51C9D980" w14:textId="77777777" w:rsidR="008908A3" w:rsidRDefault="00B664AF" w:rsidP="00471D53">
                    <w:pPr>
                      <w:rPr>
                        <w:szCs w:val="21"/>
                      </w:rPr>
                    </w:pPr>
                  </w:p>
                </w:tc>
                <w:tc>
                  <w:tcPr>
                    <w:tcW w:w="991" w:type="pct"/>
                  </w:tcPr>
                  <w:p w14:paraId="47A9E5A8" w14:textId="77777777" w:rsidR="008908A3" w:rsidRDefault="004F686E" w:rsidP="00471D53">
                    <w:r>
                      <w:t>办公地址</w:t>
                    </w:r>
                  </w:p>
                </w:tc>
                <w:tc>
                  <w:tcPr>
                    <w:tcW w:w="2355" w:type="pct"/>
                  </w:tcPr>
                  <w:p w14:paraId="5BDC35EC" w14:textId="77777777" w:rsidR="008908A3" w:rsidRDefault="004F686E" w:rsidP="00471D53">
                    <w:pPr>
                      <w:rPr>
                        <w:szCs w:val="21"/>
                      </w:rPr>
                    </w:pPr>
                    <w:r>
                      <w:t>北京市海淀区北三环西路 99 号院 1 号楼西海国际中心 8 层</w:t>
                    </w:r>
                  </w:p>
                </w:tc>
              </w:tr>
              <w:tr w:rsidR="008908A3" w14:paraId="5F72A6E3" w14:textId="77777777" w:rsidTr="00471D53">
                <w:trPr>
                  <w:trHeight w:val="210"/>
                </w:trPr>
                <w:tc>
                  <w:tcPr>
                    <w:tcW w:w="1654" w:type="pct"/>
                    <w:vMerge/>
                    <w:vAlign w:val="center"/>
                  </w:tcPr>
                  <w:p w14:paraId="62364CCE" w14:textId="77777777" w:rsidR="008908A3" w:rsidRDefault="00B664AF" w:rsidP="00471D53">
                    <w:pPr>
                      <w:rPr>
                        <w:szCs w:val="21"/>
                      </w:rPr>
                    </w:pPr>
                  </w:p>
                </w:tc>
                <w:tc>
                  <w:tcPr>
                    <w:tcW w:w="991" w:type="pct"/>
                  </w:tcPr>
                  <w:p w14:paraId="582D65AF" w14:textId="77777777" w:rsidR="008908A3" w:rsidRDefault="004F686E" w:rsidP="00471D53">
                    <w:r>
                      <w:t>签字会计师姓名</w:t>
                    </w:r>
                  </w:p>
                </w:tc>
                <w:tc>
                  <w:tcPr>
                    <w:tcW w:w="2355" w:type="pct"/>
                  </w:tcPr>
                  <w:p w14:paraId="60A2C529" w14:textId="77777777" w:rsidR="008908A3" w:rsidRDefault="004F686E" w:rsidP="00471D53">
                    <w:pPr>
                      <w:rPr>
                        <w:szCs w:val="21"/>
                      </w:rPr>
                    </w:pPr>
                    <w:r>
                      <w:t>刘国清、白丽晗</w:t>
                    </w:r>
                  </w:p>
                </w:tc>
              </w:tr>
              <w:tr w:rsidR="008908A3" w14:paraId="1A544034" w14:textId="77777777" w:rsidTr="00471D53">
                <w:trPr>
                  <w:trHeight w:val="210"/>
                </w:trPr>
                <w:tc>
                  <w:tcPr>
                    <w:tcW w:w="1654" w:type="pct"/>
                    <w:vMerge w:val="restart"/>
                    <w:vAlign w:val="center"/>
                  </w:tcPr>
                  <w:p w14:paraId="4C792902" w14:textId="77777777" w:rsidR="008908A3" w:rsidRDefault="004F686E" w:rsidP="00471D53">
                    <w:pPr>
                      <w:rPr>
                        <w:szCs w:val="21"/>
                      </w:rPr>
                    </w:pPr>
                    <w:r>
                      <w:t>公司聘请的境内法律顾问</w:t>
                    </w:r>
                  </w:p>
                </w:tc>
                <w:tc>
                  <w:tcPr>
                    <w:tcW w:w="991" w:type="pct"/>
                  </w:tcPr>
                  <w:p w14:paraId="5F2703B2" w14:textId="77777777" w:rsidR="008908A3" w:rsidRDefault="004F686E" w:rsidP="00471D53">
                    <w:r>
                      <w:t>名称</w:t>
                    </w:r>
                  </w:p>
                </w:tc>
                <w:tc>
                  <w:tcPr>
                    <w:tcW w:w="2355" w:type="pct"/>
                  </w:tcPr>
                  <w:p w14:paraId="76C5B8EC" w14:textId="77777777" w:rsidR="008908A3" w:rsidRDefault="004F686E" w:rsidP="00471D53">
                    <w:r>
                      <w:t>北京市康达律师事务所</w:t>
                    </w:r>
                  </w:p>
                </w:tc>
              </w:tr>
              <w:tr w:rsidR="008908A3" w14:paraId="42DB2930" w14:textId="77777777" w:rsidTr="00471D53">
                <w:trPr>
                  <w:trHeight w:val="210"/>
                </w:trPr>
                <w:tc>
                  <w:tcPr>
                    <w:tcW w:w="1654" w:type="pct"/>
                    <w:vMerge/>
                    <w:vAlign w:val="center"/>
                  </w:tcPr>
                  <w:p w14:paraId="2D2FD825" w14:textId="77777777" w:rsidR="008908A3" w:rsidRDefault="00B664AF" w:rsidP="00471D53">
                    <w:pPr>
                      <w:rPr>
                        <w:szCs w:val="21"/>
                      </w:rPr>
                    </w:pPr>
                  </w:p>
                </w:tc>
                <w:tc>
                  <w:tcPr>
                    <w:tcW w:w="991" w:type="pct"/>
                  </w:tcPr>
                  <w:p w14:paraId="1F83C156" w14:textId="77777777" w:rsidR="008908A3" w:rsidRDefault="004F686E" w:rsidP="00471D53">
                    <w:r>
                      <w:t>办公地址</w:t>
                    </w:r>
                  </w:p>
                </w:tc>
                <w:tc>
                  <w:tcPr>
                    <w:tcW w:w="2355" w:type="pct"/>
                  </w:tcPr>
                  <w:p w14:paraId="1C9CB512" w14:textId="77777777" w:rsidR="008908A3" w:rsidRDefault="004F686E" w:rsidP="00471D53">
                    <w:r>
                      <w:t>中国北京朝阳区建国门外大街 19 号</w:t>
                    </w:r>
                  </w:p>
                </w:tc>
              </w:tr>
              <w:tr w:rsidR="008908A3" w14:paraId="64AFEA67" w14:textId="77777777" w:rsidTr="00471D53">
                <w:trPr>
                  <w:trHeight w:val="210"/>
                </w:trPr>
                <w:tc>
                  <w:tcPr>
                    <w:tcW w:w="1654" w:type="pct"/>
                    <w:vMerge w:val="restart"/>
                    <w:vAlign w:val="center"/>
                  </w:tcPr>
                  <w:p w14:paraId="6CC7F25F" w14:textId="77777777" w:rsidR="008908A3" w:rsidRDefault="004F686E" w:rsidP="00471D53">
                    <w:pPr>
                      <w:rPr>
                        <w:szCs w:val="21"/>
                      </w:rPr>
                    </w:pPr>
                    <w:r>
                      <w:t>公司聘请的境外法律顾问</w:t>
                    </w:r>
                  </w:p>
                </w:tc>
                <w:tc>
                  <w:tcPr>
                    <w:tcW w:w="991" w:type="pct"/>
                  </w:tcPr>
                  <w:p w14:paraId="4DAA21D8" w14:textId="77777777" w:rsidR="008908A3" w:rsidRDefault="004F686E" w:rsidP="00471D53">
                    <w:r>
                      <w:t>名称</w:t>
                    </w:r>
                  </w:p>
                </w:tc>
                <w:tc>
                  <w:tcPr>
                    <w:tcW w:w="2355" w:type="pct"/>
                  </w:tcPr>
                  <w:p w14:paraId="12E134B6" w14:textId="77777777" w:rsidR="008908A3" w:rsidRDefault="004F686E" w:rsidP="00471D53">
                    <w:r>
                      <w:t>胡关李罗律师行</w:t>
                    </w:r>
                  </w:p>
                </w:tc>
              </w:tr>
              <w:tr w:rsidR="008908A3" w14:paraId="42803BE4" w14:textId="77777777" w:rsidTr="00471D53">
                <w:trPr>
                  <w:trHeight w:val="210"/>
                </w:trPr>
                <w:tc>
                  <w:tcPr>
                    <w:tcW w:w="1654" w:type="pct"/>
                    <w:vMerge/>
                    <w:vAlign w:val="center"/>
                  </w:tcPr>
                  <w:p w14:paraId="4BC06BC7" w14:textId="77777777" w:rsidR="008908A3" w:rsidRDefault="00B664AF" w:rsidP="00471D53">
                    <w:pPr>
                      <w:rPr>
                        <w:szCs w:val="21"/>
                      </w:rPr>
                    </w:pPr>
                  </w:p>
                </w:tc>
                <w:tc>
                  <w:tcPr>
                    <w:tcW w:w="991" w:type="pct"/>
                  </w:tcPr>
                  <w:p w14:paraId="2FF37C86" w14:textId="77777777" w:rsidR="008908A3" w:rsidRDefault="004F686E" w:rsidP="00471D53">
                    <w:r>
                      <w:t>办公地址</w:t>
                    </w:r>
                  </w:p>
                </w:tc>
                <w:tc>
                  <w:tcPr>
                    <w:tcW w:w="2355" w:type="pct"/>
                  </w:tcPr>
                  <w:p w14:paraId="2AFCE23E" w14:textId="77777777" w:rsidR="008908A3" w:rsidRDefault="004F686E" w:rsidP="00471D53">
                    <w:r>
                      <w:t>香港中环怡和大厦 26 楼</w:t>
                    </w:r>
                  </w:p>
                </w:tc>
              </w:tr>
              <w:tr w:rsidR="008908A3" w14:paraId="5B82E072" w14:textId="77777777" w:rsidTr="00471D53">
                <w:trPr>
                  <w:trHeight w:val="240"/>
                </w:trPr>
                <w:tc>
                  <w:tcPr>
                    <w:tcW w:w="1654" w:type="pct"/>
                    <w:vMerge w:val="restart"/>
                    <w:vAlign w:val="center"/>
                  </w:tcPr>
                  <w:p w14:paraId="4C866BB9" w14:textId="3B17B4EA" w:rsidR="008908A3" w:rsidRDefault="004F686E" w:rsidP="00471D53">
                    <w:pPr>
                      <w:rPr>
                        <w:szCs w:val="21"/>
                      </w:rPr>
                    </w:pPr>
                    <w:r>
                      <w:rPr>
                        <w:rFonts w:hint="eastAsia"/>
                        <w:szCs w:val="21"/>
                      </w:rPr>
                      <w:t>报告期内履行持续督导职责的保荐机构</w:t>
                    </w:r>
                  </w:p>
                </w:tc>
                <w:tc>
                  <w:tcPr>
                    <w:tcW w:w="991" w:type="pct"/>
                  </w:tcPr>
                  <w:p w14:paraId="5BDF8680" w14:textId="1EFDCFB5" w:rsidR="008908A3" w:rsidRDefault="004F686E" w:rsidP="00471D53">
                    <w:pPr>
                      <w:rPr>
                        <w:szCs w:val="21"/>
                      </w:rPr>
                    </w:pPr>
                    <w:r>
                      <w:rPr>
                        <w:rFonts w:hint="eastAsia"/>
                        <w:szCs w:val="21"/>
                      </w:rPr>
                      <w:t>名称</w:t>
                    </w:r>
                  </w:p>
                </w:tc>
                <w:tc>
                  <w:tcPr>
                    <w:tcW w:w="2355" w:type="pct"/>
                  </w:tcPr>
                  <w:p w14:paraId="2937C4BA" w14:textId="77777777" w:rsidR="008908A3" w:rsidRDefault="004F686E" w:rsidP="00471D53">
                    <w:pPr>
                      <w:rPr>
                        <w:szCs w:val="21"/>
                      </w:rPr>
                    </w:pPr>
                    <w:r>
                      <w:t>中德证券有限责任公司</w:t>
                    </w:r>
                  </w:p>
                </w:tc>
              </w:tr>
              <w:tr w:rsidR="008908A3" w14:paraId="42ABD596" w14:textId="77777777" w:rsidTr="00471D53">
                <w:trPr>
                  <w:trHeight w:val="180"/>
                </w:trPr>
                <w:tc>
                  <w:tcPr>
                    <w:tcW w:w="1654" w:type="pct"/>
                    <w:vMerge/>
                    <w:vAlign w:val="center"/>
                  </w:tcPr>
                  <w:p w14:paraId="46E95D31" w14:textId="77777777" w:rsidR="008908A3" w:rsidRDefault="00B664AF" w:rsidP="00471D53">
                    <w:pPr>
                      <w:rPr>
                        <w:szCs w:val="21"/>
                      </w:rPr>
                    </w:pPr>
                  </w:p>
                </w:tc>
                <w:tc>
                  <w:tcPr>
                    <w:tcW w:w="991" w:type="pct"/>
                  </w:tcPr>
                  <w:p w14:paraId="01A8EA3C" w14:textId="0CD7B019" w:rsidR="008908A3" w:rsidRDefault="004F686E" w:rsidP="00471D53">
                    <w:pPr>
                      <w:rPr>
                        <w:szCs w:val="21"/>
                      </w:rPr>
                    </w:pPr>
                    <w:r>
                      <w:rPr>
                        <w:rFonts w:hint="eastAsia"/>
                        <w:szCs w:val="21"/>
                      </w:rPr>
                      <w:t>办公地址</w:t>
                    </w:r>
                  </w:p>
                </w:tc>
                <w:tc>
                  <w:tcPr>
                    <w:tcW w:w="2355" w:type="pct"/>
                  </w:tcPr>
                  <w:p w14:paraId="482EB392" w14:textId="77777777" w:rsidR="008908A3" w:rsidRDefault="004F686E" w:rsidP="00471D53">
                    <w:pPr>
                      <w:rPr>
                        <w:szCs w:val="21"/>
                      </w:rPr>
                    </w:pPr>
                    <w:r>
                      <w:t>北京市朝阳区建国路81号华贸中心德意志银行大厦22、23层</w:t>
                    </w:r>
                  </w:p>
                </w:tc>
              </w:tr>
              <w:tr w:rsidR="008908A3" w14:paraId="36084F76" w14:textId="77777777" w:rsidTr="00471D53">
                <w:trPr>
                  <w:trHeight w:val="165"/>
                </w:trPr>
                <w:tc>
                  <w:tcPr>
                    <w:tcW w:w="1654" w:type="pct"/>
                    <w:vMerge/>
                    <w:vAlign w:val="center"/>
                  </w:tcPr>
                  <w:p w14:paraId="552DAFDC" w14:textId="77777777" w:rsidR="008908A3" w:rsidRDefault="00B664AF" w:rsidP="00471D53">
                    <w:pPr>
                      <w:rPr>
                        <w:szCs w:val="21"/>
                      </w:rPr>
                    </w:pPr>
                  </w:p>
                </w:tc>
                <w:tc>
                  <w:tcPr>
                    <w:tcW w:w="991" w:type="pct"/>
                  </w:tcPr>
                  <w:p w14:paraId="54C078FE" w14:textId="4B4B121C" w:rsidR="008908A3" w:rsidRDefault="004F686E" w:rsidP="00471D53">
                    <w:pPr>
                      <w:rPr>
                        <w:szCs w:val="21"/>
                      </w:rPr>
                    </w:pPr>
                    <w:r>
                      <w:rPr>
                        <w:rFonts w:hint="eastAsia"/>
                        <w:szCs w:val="21"/>
                      </w:rPr>
                      <w:t>签字的保荐代表人姓名</w:t>
                    </w:r>
                  </w:p>
                </w:tc>
                <w:tc>
                  <w:tcPr>
                    <w:tcW w:w="2355" w:type="pct"/>
                  </w:tcPr>
                  <w:p w14:paraId="76EE7B97" w14:textId="77777777" w:rsidR="008908A3" w:rsidRDefault="004F686E" w:rsidP="00471D53">
                    <w:pPr>
                      <w:rPr>
                        <w:szCs w:val="21"/>
                      </w:rPr>
                    </w:pPr>
                    <w:r>
                      <w:t>郝国栋、缪兴旺</w:t>
                    </w:r>
                  </w:p>
                </w:tc>
              </w:tr>
              <w:tr w:rsidR="008908A3" w14:paraId="54FF0903" w14:textId="77777777" w:rsidTr="00471D53">
                <w:trPr>
                  <w:trHeight w:val="135"/>
                </w:trPr>
                <w:tc>
                  <w:tcPr>
                    <w:tcW w:w="1654" w:type="pct"/>
                    <w:vMerge/>
                    <w:vAlign w:val="center"/>
                  </w:tcPr>
                  <w:p w14:paraId="77DD223A" w14:textId="77777777" w:rsidR="008908A3" w:rsidRDefault="00B664AF" w:rsidP="00471D53">
                    <w:pPr>
                      <w:rPr>
                        <w:szCs w:val="21"/>
                      </w:rPr>
                    </w:pPr>
                  </w:p>
                </w:tc>
                <w:tc>
                  <w:tcPr>
                    <w:tcW w:w="991" w:type="pct"/>
                  </w:tcPr>
                  <w:p w14:paraId="79770C65" w14:textId="7B783B77" w:rsidR="008908A3" w:rsidRDefault="004F686E" w:rsidP="00471D53">
                    <w:pPr>
                      <w:rPr>
                        <w:szCs w:val="21"/>
                      </w:rPr>
                    </w:pPr>
                    <w:r>
                      <w:rPr>
                        <w:rFonts w:hint="eastAsia"/>
                        <w:szCs w:val="21"/>
                      </w:rPr>
                      <w:t>持续督导的期间</w:t>
                    </w:r>
                  </w:p>
                </w:tc>
                <w:tc>
                  <w:tcPr>
                    <w:tcW w:w="2355" w:type="pct"/>
                  </w:tcPr>
                  <w:p w14:paraId="67236C4F" w14:textId="77777777" w:rsidR="008908A3" w:rsidRDefault="004F686E" w:rsidP="00471D53">
                    <w:pPr>
                      <w:rPr>
                        <w:szCs w:val="21"/>
                      </w:rPr>
                    </w:pPr>
                    <w:r>
                      <w:t>2020年7月10日至2021年12月31日</w:t>
                    </w:r>
                  </w:p>
                </w:tc>
              </w:tr>
              <w:tr w:rsidR="008908A3" w14:paraId="7AF8B758" w14:textId="77777777" w:rsidTr="00471D53">
                <w:trPr>
                  <w:trHeight w:val="135"/>
                </w:trPr>
                <w:tc>
                  <w:tcPr>
                    <w:tcW w:w="1654" w:type="pct"/>
                    <w:vAlign w:val="center"/>
                  </w:tcPr>
                  <w:p w14:paraId="57098AA9" w14:textId="77777777" w:rsidR="008908A3" w:rsidRDefault="004F686E" w:rsidP="00471D53">
                    <w:pPr>
                      <w:rPr>
                        <w:szCs w:val="21"/>
                      </w:rPr>
                    </w:pPr>
                    <w:r>
                      <w:t>公司其他基本情况</w:t>
                    </w:r>
                  </w:p>
                </w:tc>
                <w:tc>
                  <w:tcPr>
                    <w:tcW w:w="3346" w:type="pct"/>
                    <w:gridSpan w:val="2"/>
                  </w:tcPr>
                  <w:p w14:paraId="241955AE" w14:textId="6ABE5E10" w:rsidR="008908A3" w:rsidRDefault="004F686E" w:rsidP="00471D53">
                    <w:r>
                      <w:t>股东接待日：每月 10 日及 20 日（节假日顺延）(公司每星期六、星期日休息)上午 9：00-11：00 下午 2：00-4：00</w:t>
                    </w:r>
                  </w:p>
                </w:tc>
              </w:tr>
            </w:tbl>
            <w:p w14:paraId="5B645937" w14:textId="1C305CB1" w:rsidR="007F1C2B" w:rsidRDefault="00B664AF"/>
          </w:sdtContent>
        </w:sdt>
      </w:sdtContent>
    </w:sdt>
    <w:p w14:paraId="33BF85EA" w14:textId="77777777" w:rsidR="007F1C2B" w:rsidRDefault="00B664AF">
      <w:pPr>
        <w:rPr>
          <w:bdr w:val="single" w:sz="4" w:space="0" w:color="auto"/>
        </w:rPr>
      </w:pPr>
    </w:p>
    <w:p w14:paraId="2B336764" w14:textId="77777777" w:rsidR="00471D53" w:rsidRDefault="004F686E" w:rsidP="004F686E">
      <w:pPr>
        <w:pStyle w:val="2"/>
        <w:numPr>
          <w:ilvl w:val="0"/>
          <w:numId w:val="4"/>
        </w:numPr>
        <w:ind w:firstLineChars="0"/>
      </w:pPr>
      <w:bookmarkStart w:id="13" w:name="_Toc342056397"/>
      <w:bookmarkStart w:id="14" w:name="_Toc342565889"/>
      <w:r>
        <w:rPr>
          <w:rFonts w:hint="eastAsia"/>
        </w:rPr>
        <w:t>公司主要会计数据和财务指标</w:t>
      </w:r>
      <w:bookmarkEnd w:id="13"/>
      <w:bookmarkEnd w:id="14"/>
    </w:p>
    <w:p w14:paraId="6E122E35" w14:textId="77777777" w:rsidR="00471D53" w:rsidRDefault="004F686E" w:rsidP="004F686E">
      <w:pPr>
        <w:pStyle w:val="afffff7"/>
        <w:numPr>
          <w:ilvl w:val="1"/>
          <w:numId w:val="5"/>
        </w:numPr>
        <w:rPr>
          <w:rFonts w:ascii="宋体" w:hAnsi="宋体"/>
        </w:rPr>
      </w:pPr>
      <w:r>
        <w:rPr>
          <w:rFonts w:ascii="宋体" w:hAnsi="宋体" w:hint="eastAsia"/>
        </w:rPr>
        <w:t>主要会计数据</w:t>
      </w:r>
    </w:p>
    <w:p w14:paraId="4A83A103" w14:textId="68A63A91" w:rsidR="00471D53" w:rsidRDefault="004F686E">
      <w:pPr>
        <w:jc w:val="right"/>
        <w:rPr>
          <w:szCs w:val="21"/>
        </w:rPr>
      </w:pPr>
      <w:r>
        <w:rPr>
          <w:rFonts w:hint="eastAsia"/>
          <w:szCs w:val="21"/>
        </w:rPr>
        <w:t>单位：</w:t>
      </w:r>
      <w:sdt>
        <w:sdtPr>
          <w:rPr>
            <w:rFonts w:hint="eastAsia"/>
            <w:szCs w:val="21"/>
          </w:rPr>
          <w:alias w:val="单位：报告期末公司前三年主要会计数据和财务指标"/>
          <w:tag w:val="_GBC_c7cd0dd826b247dbba8cc8b1a811aefb"/>
          <w:id w:val="11221192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报告期末公司前三年主要会计数据和财务指标"/>
          <w:tag w:val="_GBC_2df6a5d441324c13bcf6c4c54ac41eb0"/>
          <w:id w:val="3351200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bookmarkStart w:id="15" w:name="_Hlk72769913" w:displacedByCustomXml="next"/>
    <w:sdt>
      <w:sdtPr>
        <w:rPr>
          <w:rFonts w:hint="eastAsia"/>
          <w:szCs w:val="21"/>
        </w:rPr>
        <w:alias w:val="选项模块:主要会计数据(无追溯)"/>
        <w:tag w:val="_GBC_aea1fefe2cc54d88a8a870982a41d97a"/>
        <w:id w:val="1311433836"/>
        <w:placeholder>
          <w:docPart w:val="GBC22222222222222222222222222222"/>
        </w:placeholder>
      </w:sdtPr>
      <w:sdtEndPr>
        <w:rPr>
          <w:color w:val="000000"/>
        </w:rPr>
      </w:sdtEndPr>
      <w:sdtContent>
        <w:tbl>
          <w:tblPr>
            <w:tblStyle w:val="g5"/>
            <w:tblW w:w="5000" w:type="pct"/>
            <w:tblLook w:val="0000" w:firstRow="0" w:lastRow="0" w:firstColumn="0" w:lastColumn="0" w:noHBand="0" w:noVBand="0"/>
          </w:tblPr>
          <w:tblGrid>
            <w:gridCol w:w="3136"/>
            <w:gridCol w:w="2526"/>
            <w:gridCol w:w="1896"/>
            <w:gridCol w:w="1265"/>
          </w:tblGrid>
          <w:tr w:rsidR="00471D53" w14:paraId="0BCF3DEF" w14:textId="77777777" w:rsidTr="00680B89">
            <w:trPr>
              <w:trHeight w:val="596"/>
            </w:trPr>
            <w:sdt>
              <w:sdtPr>
                <w:rPr>
                  <w:rFonts w:hint="eastAsia"/>
                  <w:szCs w:val="21"/>
                </w:rPr>
                <w:tag w:val="_PLD_e63d02b963714237aa4678b1878c888d"/>
                <w:id w:val="-36816117"/>
                <w:lock w:val="sdtLocked"/>
              </w:sdtPr>
              <w:sdtEndPr>
                <w:rPr>
                  <w:rFonts w:hint="default"/>
                  <w:szCs w:val="24"/>
                </w:rPr>
              </w:sdtEndPr>
              <w:sdtContent>
                <w:tc>
                  <w:tcPr>
                    <w:tcW w:w="1777" w:type="pct"/>
                    <w:vAlign w:val="center"/>
                  </w:tcPr>
                  <w:p w14:paraId="430445E3" w14:textId="77777777" w:rsidR="00471D53" w:rsidRDefault="004F686E">
                    <w:pPr>
                      <w:kinsoku w:val="0"/>
                      <w:overflowPunct w:val="0"/>
                      <w:autoSpaceDE w:val="0"/>
                      <w:autoSpaceDN w:val="0"/>
                      <w:adjustRightInd w:val="0"/>
                      <w:snapToGrid w:val="0"/>
                      <w:jc w:val="center"/>
                      <w:rPr>
                        <w:szCs w:val="21"/>
                      </w:rPr>
                    </w:pPr>
                    <w:r>
                      <w:rPr>
                        <w:rFonts w:hint="eastAsia"/>
                        <w:szCs w:val="21"/>
                      </w:rPr>
                      <w:t>主要会计数据</w:t>
                    </w:r>
                  </w:p>
                </w:tc>
              </w:sdtContent>
            </w:sdt>
            <w:sdt>
              <w:sdtPr>
                <w:tag w:val="_PLD_913ae157f7e74eee947ea98d96be3599"/>
                <w:id w:val="1440409744"/>
                <w:lock w:val="sdtLocked"/>
              </w:sdtPr>
              <w:sdtEndPr/>
              <w:sdtContent>
                <w:tc>
                  <w:tcPr>
                    <w:tcW w:w="1431" w:type="pct"/>
                    <w:vAlign w:val="center"/>
                  </w:tcPr>
                  <w:p w14:paraId="6541E7B8" w14:textId="77777777" w:rsidR="00471D53" w:rsidRDefault="004F686E">
                    <w:pPr>
                      <w:kinsoku w:val="0"/>
                      <w:overflowPunct w:val="0"/>
                      <w:autoSpaceDE w:val="0"/>
                      <w:autoSpaceDN w:val="0"/>
                      <w:adjustRightInd w:val="0"/>
                      <w:snapToGrid w:val="0"/>
                      <w:jc w:val="center"/>
                    </w:pPr>
                    <w:r>
                      <w:rPr>
                        <w:rFonts w:hint="eastAsia"/>
                      </w:rPr>
                      <w:t>本</w:t>
                    </w:r>
                    <w:r>
                      <w:t>报告期</w:t>
                    </w:r>
                  </w:p>
                  <w:p w14:paraId="2C637475" w14:textId="77777777" w:rsidR="00471D53" w:rsidRDefault="004F686E">
                    <w:pPr>
                      <w:kinsoku w:val="0"/>
                      <w:overflowPunct w:val="0"/>
                      <w:autoSpaceDE w:val="0"/>
                      <w:autoSpaceDN w:val="0"/>
                      <w:adjustRightInd w:val="0"/>
                      <w:snapToGrid w:val="0"/>
                      <w:jc w:val="center"/>
                      <w:rPr>
                        <w:szCs w:val="21"/>
                      </w:rPr>
                    </w:pPr>
                    <w:r>
                      <w:t>（1－6月）</w:t>
                    </w:r>
                  </w:p>
                </w:tc>
              </w:sdtContent>
            </w:sdt>
            <w:sdt>
              <w:sdtPr>
                <w:tag w:val="_PLD_0f32665f64034720b1ecd674058f4d8b"/>
                <w:id w:val="1492439060"/>
                <w:lock w:val="sdtLocked"/>
              </w:sdtPr>
              <w:sdtEndPr/>
              <w:sdtContent>
                <w:tc>
                  <w:tcPr>
                    <w:tcW w:w="1074" w:type="pct"/>
                    <w:vAlign w:val="center"/>
                  </w:tcPr>
                  <w:p w14:paraId="3C53F7F5" w14:textId="77777777" w:rsidR="00471D53" w:rsidRDefault="004F686E">
                    <w:pPr>
                      <w:kinsoku w:val="0"/>
                      <w:overflowPunct w:val="0"/>
                      <w:autoSpaceDE w:val="0"/>
                      <w:autoSpaceDN w:val="0"/>
                      <w:adjustRightInd w:val="0"/>
                      <w:snapToGrid w:val="0"/>
                      <w:jc w:val="center"/>
                      <w:rPr>
                        <w:szCs w:val="21"/>
                      </w:rPr>
                    </w:pPr>
                    <w:r>
                      <w:t>上年同期</w:t>
                    </w:r>
                  </w:p>
                </w:tc>
              </w:sdtContent>
            </w:sdt>
            <w:sdt>
              <w:sdtPr>
                <w:tag w:val="_PLD_e634aa67fe8c44038b152224d8a245d6"/>
                <w:id w:val="-389805562"/>
                <w:lock w:val="sdtLocked"/>
              </w:sdtPr>
              <w:sdtEndPr/>
              <w:sdtContent>
                <w:tc>
                  <w:tcPr>
                    <w:tcW w:w="717" w:type="pct"/>
                    <w:vAlign w:val="center"/>
                  </w:tcPr>
                  <w:p w14:paraId="5D1C53EC" w14:textId="77777777" w:rsidR="00471D53" w:rsidRDefault="004F686E">
                    <w:pPr>
                      <w:kinsoku w:val="0"/>
                      <w:overflowPunct w:val="0"/>
                      <w:autoSpaceDE w:val="0"/>
                      <w:autoSpaceDN w:val="0"/>
                      <w:adjustRightInd w:val="0"/>
                      <w:snapToGrid w:val="0"/>
                      <w:jc w:val="center"/>
                      <w:rPr>
                        <w:szCs w:val="21"/>
                      </w:rPr>
                    </w:pPr>
                    <w:r>
                      <w:t>本报告期比上年同期增减</w:t>
                    </w:r>
                    <w:r>
                      <w:rPr>
                        <w:szCs w:val="21"/>
                      </w:rPr>
                      <w:t>(%)</w:t>
                    </w:r>
                  </w:p>
                </w:tc>
              </w:sdtContent>
            </w:sdt>
          </w:tr>
          <w:tr w:rsidR="00680B89" w14:paraId="36AA2624" w14:textId="77777777" w:rsidTr="00680B89">
            <w:trPr>
              <w:trHeight w:val="285"/>
            </w:trPr>
            <w:bookmarkStart w:id="16" w:name="_Hlk79152918" w:displacedByCustomXml="next"/>
            <w:sdt>
              <w:sdtPr>
                <w:tag w:val="_PLD_601d7d8438f74f1c9abca1ce60a4f163"/>
                <w:id w:val="-462807271"/>
                <w:lock w:val="sdtLocked"/>
              </w:sdtPr>
              <w:sdtEndPr/>
              <w:sdtContent>
                <w:tc>
                  <w:tcPr>
                    <w:tcW w:w="1777" w:type="pct"/>
                  </w:tcPr>
                  <w:p w14:paraId="2887B578" w14:textId="77777777" w:rsidR="00680B89" w:rsidRDefault="004F686E" w:rsidP="00680B89">
                    <w:pPr>
                      <w:kinsoku w:val="0"/>
                      <w:overflowPunct w:val="0"/>
                      <w:autoSpaceDE w:val="0"/>
                      <w:autoSpaceDN w:val="0"/>
                      <w:adjustRightInd w:val="0"/>
                      <w:snapToGrid w:val="0"/>
                      <w:rPr>
                        <w:szCs w:val="21"/>
                      </w:rPr>
                    </w:pPr>
                    <w:r>
                      <w:rPr>
                        <w:rFonts w:hint="eastAsia"/>
                        <w:szCs w:val="21"/>
                      </w:rPr>
                      <w:t>营业收入</w:t>
                    </w:r>
                  </w:p>
                </w:tc>
              </w:sdtContent>
            </w:sdt>
            <w:tc>
              <w:tcPr>
                <w:tcW w:w="1431" w:type="pct"/>
                <w:vAlign w:val="center"/>
              </w:tcPr>
              <w:p w14:paraId="57E8931C" w14:textId="000E3088" w:rsidR="00680B89" w:rsidRDefault="004F686E" w:rsidP="00680B89">
                <w:pPr>
                  <w:ind w:right="840"/>
                  <w:jc w:val="right"/>
                  <w:rPr>
                    <w:color w:val="000000"/>
                    <w:szCs w:val="21"/>
                  </w:rPr>
                </w:pPr>
                <w:r>
                  <w:t>526,554,520.75</w:t>
                </w:r>
              </w:p>
            </w:tc>
            <w:tc>
              <w:tcPr>
                <w:tcW w:w="1074" w:type="pct"/>
                <w:vAlign w:val="center"/>
              </w:tcPr>
              <w:p w14:paraId="10607D5B" w14:textId="08E0A025" w:rsidR="00680B89" w:rsidRDefault="004F686E" w:rsidP="00680B89">
                <w:pPr>
                  <w:jc w:val="right"/>
                  <w:rPr>
                    <w:color w:val="000000"/>
                    <w:szCs w:val="21"/>
                  </w:rPr>
                </w:pPr>
                <w:r>
                  <w:rPr>
                    <w:rFonts w:hint="eastAsia"/>
                    <w:color w:val="000000"/>
                    <w:szCs w:val="21"/>
                  </w:rPr>
                  <w:t>523,831,648.77</w:t>
                </w:r>
              </w:p>
            </w:tc>
            <w:tc>
              <w:tcPr>
                <w:tcW w:w="717" w:type="pct"/>
                <w:vAlign w:val="center"/>
              </w:tcPr>
              <w:p w14:paraId="60B5B9EA" w14:textId="1D974A66" w:rsidR="00680B89" w:rsidRDefault="004F686E" w:rsidP="00680B89">
                <w:pPr>
                  <w:jc w:val="right"/>
                  <w:rPr>
                    <w:color w:val="000000"/>
                    <w:szCs w:val="21"/>
                  </w:rPr>
                </w:pPr>
                <w:r>
                  <w:rPr>
                    <w:rFonts w:hint="eastAsia"/>
                    <w:color w:val="000000"/>
                    <w:szCs w:val="21"/>
                  </w:rPr>
                  <w:t>0.52</w:t>
                </w:r>
              </w:p>
            </w:tc>
          </w:tr>
          <w:tr w:rsidR="00680B89" w14:paraId="245D7EC0" w14:textId="77777777" w:rsidTr="00680B89">
            <w:trPr>
              <w:trHeight w:val="285"/>
            </w:trPr>
            <w:sdt>
              <w:sdtPr>
                <w:tag w:val="_PLD_1825ec6c60fc481f877063c3cecfffca"/>
                <w:id w:val="1449665013"/>
                <w:lock w:val="sdtLocked"/>
              </w:sdtPr>
              <w:sdtEndPr/>
              <w:sdtContent>
                <w:tc>
                  <w:tcPr>
                    <w:tcW w:w="1777" w:type="pct"/>
                  </w:tcPr>
                  <w:p w14:paraId="38860EA4" w14:textId="77777777" w:rsidR="00680B89" w:rsidRDefault="004F686E" w:rsidP="00680B89">
                    <w:pPr>
                      <w:kinsoku w:val="0"/>
                      <w:overflowPunct w:val="0"/>
                      <w:autoSpaceDE w:val="0"/>
                      <w:autoSpaceDN w:val="0"/>
                      <w:adjustRightInd w:val="0"/>
                      <w:snapToGrid w:val="0"/>
                      <w:rPr>
                        <w:szCs w:val="21"/>
                      </w:rPr>
                    </w:pPr>
                    <w:r>
                      <w:rPr>
                        <w:rFonts w:hint="eastAsia"/>
                        <w:szCs w:val="21"/>
                      </w:rPr>
                      <w:t>归属于上市公司股东的净利润</w:t>
                    </w:r>
                  </w:p>
                </w:tc>
              </w:sdtContent>
            </w:sdt>
            <w:tc>
              <w:tcPr>
                <w:tcW w:w="1431" w:type="pct"/>
                <w:vAlign w:val="center"/>
              </w:tcPr>
              <w:p w14:paraId="206F48DB" w14:textId="33994575" w:rsidR="00680B89" w:rsidRDefault="004F686E" w:rsidP="00680B89">
                <w:pPr>
                  <w:ind w:right="840"/>
                  <w:jc w:val="right"/>
                  <w:rPr>
                    <w:color w:val="000000"/>
                    <w:szCs w:val="21"/>
                  </w:rPr>
                </w:pPr>
                <w:r>
                  <w:t>-1,313,304.91</w:t>
                </w:r>
              </w:p>
            </w:tc>
            <w:tc>
              <w:tcPr>
                <w:tcW w:w="1074" w:type="pct"/>
                <w:vAlign w:val="center"/>
              </w:tcPr>
              <w:p w14:paraId="684AC10A" w14:textId="1D5B908D" w:rsidR="00680B89" w:rsidRDefault="004F686E" w:rsidP="00680B89">
                <w:pPr>
                  <w:jc w:val="right"/>
                  <w:rPr>
                    <w:color w:val="000000"/>
                    <w:szCs w:val="21"/>
                  </w:rPr>
                </w:pPr>
                <w:r>
                  <w:rPr>
                    <w:rFonts w:hint="eastAsia"/>
                    <w:color w:val="000000"/>
                    <w:szCs w:val="21"/>
                  </w:rPr>
                  <w:t>-24,089,791.77</w:t>
                </w:r>
              </w:p>
            </w:tc>
            <w:tc>
              <w:tcPr>
                <w:tcW w:w="717" w:type="pct"/>
                <w:vAlign w:val="center"/>
              </w:tcPr>
              <w:p w14:paraId="16DC816A" w14:textId="140662B7" w:rsidR="00680B89" w:rsidRDefault="004F686E" w:rsidP="00680B89">
                <w:pPr>
                  <w:jc w:val="right"/>
                  <w:rPr>
                    <w:color w:val="000000"/>
                    <w:szCs w:val="21"/>
                  </w:rPr>
                </w:pPr>
                <w:r>
                  <w:rPr>
                    <w:rFonts w:hint="eastAsia"/>
                    <w:color w:val="000000"/>
                    <w:szCs w:val="21"/>
                  </w:rPr>
                  <w:t>-</w:t>
                </w:r>
              </w:p>
            </w:tc>
          </w:tr>
          <w:tr w:rsidR="00680B89" w14:paraId="0EB64CE1" w14:textId="77777777" w:rsidTr="00680B89">
            <w:trPr>
              <w:trHeight w:val="285"/>
            </w:trPr>
            <w:sdt>
              <w:sdtPr>
                <w:tag w:val="_PLD_f59cc08add024388b79135816e85f0a1"/>
                <w:id w:val="351455024"/>
                <w:lock w:val="sdtLocked"/>
              </w:sdtPr>
              <w:sdtEndPr/>
              <w:sdtContent>
                <w:tc>
                  <w:tcPr>
                    <w:tcW w:w="1777" w:type="pct"/>
                  </w:tcPr>
                  <w:p w14:paraId="31D44AEA" w14:textId="77777777" w:rsidR="00680B89" w:rsidRDefault="004F686E" w:rsidP="00680B89">
                    <w:pPr>
                      <w:kinsoku w:val="0"/>
                      <w:overflowPunct w:val="0"/>
                      <w:autoSpaceDE w:val="0"/>
                      <w:autoSpaceDN w:val="0"/>
                      <w:adjustRightInd w:val="0"/>
                      <w:snapToGrid w:val="0"/>
                      <w:rPr>
                        <w:szCs w:val="21"/>
                      </w:rPr>
                    </w:pPr>
                    <w:r>
                      <w:rPr>
                        <w:rFonts w:hint="eastAsia"/>
                        <w:szCs w:val="21"/>
                      </w:rPr>
                      <w:t>归属于上市公司股东的扣除非经常性损益的净利润</w:t>
                    </w:r>
                  </w:p>
                </w:tc>
              </w:sdtContent>
            </w:sdt>
            <w:tc>
              <w:tcPr>
                <w:tcW w:w="1431" w:type="pct"/>
                <w:vAlign w:val="center"/>
              </w:tcPr>
              <w:p w14:paraId="7806A75D" w14:textId="1C7979D8" w:rsidR="00680B89" w:rsidRDefault="004F686E" w:rsidP="00680B89">
                <w:pPr>
                  <w:ind w:right="840"/>
                  <w:jc w:val="right"/>
                  <w:rPr>
                    <w:color w:val="000000"/>
                    <w:szCs w:val="21"/>
                  </w:rPr>
                </w:pPr>
                <w:r>
                  <w:t>-9,270,610.57</w:t>
                </w:r>
              </w:p>
            </w:tc>
            <w:tc>
              <w:tcPr>
                <w:tcW w:w="1074" w:type="pct"/>
                <w:vAlign w:val="center"/>
              </w:tcPr>
              <w:p w14:paraId="324F809D" w14:textId="53B32844" w:rsidR="00680B89" w:rsidRDefault="004F686E" w:rsidP="00680B89">
                <w:pPr>
                  <w:jc w:val="right"/>
                  <w:rPr>
                    <w:color w:val="000000"/>
                    <w:szCs w:val="21"/>
                  </w:rPr>
                </w:pPr>
                <w:r>
                  <w:rPr>
                    <w:rFonts w:hint="eastAsia"/>
                    <w:color w:val="000000"/>
                    <w:szCs w:val="21"/>
                  </w:rPr>
                  <w:t>-27,666,725.33</w:t>
                </w:r>
              </w:p>
            </w:tc>
            <w:tc>
              <w:tcPr>
                <w:tcW w:w="717" w:type="pct"/>
                <w:vAlign w:val="center"/>
              </w:tcPr>
              <w:p w14:paraId="2F05DB2E" w14:textId="77777777" w:rsidR="00680B89" w:rsidRDefault="004F686E" w:rsidP="00680B89">
                <w:pPr>
                  <w:jc w:val="right"/>
                  <w:rPr>
                    <w:color w:val="000000"/>
                    <w:szCs w:val="21"/>
                  </w:rPr>
                </w:pPr>
                <w:r>
                  <w:rPr>
                    <w:rFonts w:hint="eastAsia"/>
                    <w:color w:val="000000"/>
                    <w:szCs w:val="21"/>
                  </w:rPr>
                  <w:t>-</w:t>
                </w:r>
              </w:p>
            </w:tc>
          </w:tr>
          <w:tr w:rsidR="00680B89" w14:paraId="6B9370AC" w14:textId="77777777" w:rsidTr="00680B89">
            <w:trPr>
              <w:trHeight w:val="285"/>
            </w:trPr>
            <w:sdt>
              <w:sdtPr>
                <w:tag w:val="_PLD_895da6708d8042d69e93b2530ead8964"/>
                <w:id w:val="-448554504"/>
                <w:lock w:val="sdtLocked"/>
              </w:sdtPr>
              <w:sdtEndPr/>
              <w:sdtContent>
                <w:tc>
                  <w:tcPr>
                    <w:tcW w:w="1777" w:type="pct"/>
                  </w:tcPr>
                  <w:p w14:paraId="02B00D10" w14:textId="77777777" w:rsidR="00680B89" w:rsidRDefault="004F686E" w:rsidP="00680B89">
                    <w:pPr>
                      <w:kinsoku w:val="0"/>
                      <w:overflowPunct w:val="0"/>
                      <w:autoSpaceDE w:val="0"/>
                      <w:autoSpaceDN w:val="0"/>
                      <w:adjustRightInd w:val="0"/>
                      <w:snapToGrid w:val="0"/>
                      <w:rPr>
                        <w:szCs w:val="21"/>
                        <w:highlight w:val="magenta"/>
                      </w:rPr>
                    </w:pPr>
                    <w:r>
                      <w:rPr>
                        <w:rFonts w:hint="eastAsia"/>
                        <w:szCs w:val="21"/>
                      </w:rPr>
                      <w:t>经营活动产生的现金流量净额</w:t>
                    </w:r>
                  </w:p>
                </w:tc>
              </w:sdtContent>
            </w:sdt>
            <w:tc>
              <w:tcPr>
                <w:tcW w:w="1431" w:type="pct"/>
                <w:vAlign w:val="center"/>
              </w:tcPr>
              <w:p w14:paraId="70D5DE7E" w14:textId="7D609159" w:rsidR="00680B89" w:rsidRDefault="004F686E" w:rsidP="00680B89">
                <w:pPr>
                  <w:ind w:right="840"/>
                  <w:jc w:val="right"/>
                  <w:rPr>
                    <w:color w:val="000000"/>
                    <w:szCs w:val="21"/>
                  </w:rPr>
                </w:pPr>
                <w:r>
                  <w:t>-42,048,198.13</w:t>
                </w:r>
              </w:p>
            </w:tc>
            <w:tc>
              <w:tcPr>
                <w:tcW w:w="1074" w:type="pct"/>
                <w:vAlign w:val="center"/>
              </w:tcPr>
              <w:p w14:paraId="57C56AC1" w14:textId="734EE9AC" w:rsidR="00680B89" w:rsidRDefault="004F686E" w:rsidP="00680B89">
                <w:pPr>
                  <w:jc w:val="right"/>
                  <w:rPr>
                    <w:color w:val="000000"/>
                    <w:szCs w:val="21"/>
                  </w:rPr>
                </w:pPr>
                <w:r>
                  <w:rPr>
                    <w:rFonts w:hint="eastAsia"/>
                    <w:color w:val="000000"/>
                    <w:szCs w:val="21"/>
                  </w:rPr>
                  <w:t>26,638,246.85</w:t>
                </w:r>
              </w:p>
            </w:tc>
            <w:tc>
              <w:tcPr>
                <w:tcW w:w="717" w:type="pct"/>
                <w:vAlign w:val="center"/>
              </w:tcPr>
              <w:p w14:paraId="4B9D4601" w14:textId="77777777" w:rsidR="00680B89" w:rsidRDefault="004F686E" w:rsidP="00680B89">
                <w:pPr>
                  <w:jc w:val="right"/>
                  <w:rPr>
                    <w:color w:val="000000"/>
                    <w:szCs w:val="21"/>
                  </w:rPr>
                </w:pPr>
                <w:r>
                  <w:rPr>
                    <w:rFonts w:hint="eastAsia"/>
                    <w:color w:val="000000"/>
                    <w:szCs w:val="21"/>
                  </w:rPr>
                  <w:t>-</w:t>
                </w:r>
              </w:p>
            </w:tc>
          </w:tr>
          <w:bookmarkEnd w:id="16"/>
          <w:tr w:rsidR="00680B89" w14:paraId="3AA7E4D0" w14:textId="77777777" w:rsidTr="00680B89">
            <w:trPr>
              <w:trHeight w:val="533"/>
            </w:trPr>
            <w:tc>
              <w:tcPr>
                <w:tcW w:w="1777" w:type="pct"/>
                <w:vAlign w:val="center"/>
              </w:tcPr>
              <w:p w14:paraId="12566E4C" w14:textId="77777777" w:rsidR="00680B89" w:rsidRDefault="00B664AF" w:rsidP="00680B89">
                <w:pPr>
                  <w:kinsoku w:val="0"/>
                  <w:overflowPunct w:val="0"/>
                  <w:autoSpaceDE w:val="0"/>
                  <w:autoSpaceDN w:val="0"/>
                  <w:adjustRightInd w:val="0"/>
                  <w:snapToGrid w:val="0"/>
                  <w:jc w:val="center"/>
                  <w:rPr>
                    <w:szCs w:val="21"/>
                  </w:rPr>
                </w:pPr>
              </w:p>
            </w:tc>
            <w:sdt>
              <w:sdtPr>
                <w:tag w:val="_PLD_b75e9aa554cc48539ab9de572d244f45"/>
                <w:id w:val="689569344"/>
                <w:lock w:val="sdtLocked"/>
              </w:sdtPr>
              <w:sdtEndPr/>
              <w:sdtContent>
                <w:tc>
                  <w:tcPr>
                    <w:tcW w:w="1431" w:type="pct"/>
                    <w:vAlign w:val="center"/>
                  </w:tcPr>
                  <w:p w14:paraId="18D21E2C" w14:textId="77777777" w:rsidR="00680B89" w:rsidRDefault="004F686E" w:rsidP="00680B89">
                    <w:pPr>
                      <w:kinsoku w:val="0"/>
                      <w:overflowPunct w:val="0"/>
                      <w:autoSpaceDE w:val="0"/>
                      <w:autoSpaceDN w:val="0"/>
                      <w:adjustRightInd w:val="0"/>
                      <w:snapToGrid w:val="0"/>
                      <w:jc w:val="center"/>
                      <w:rPr>
                        <w:szCs w:val="21"/>
                      </w:rPr>
                    </w:pPr>
                    <w:r>
                      <w:t>本报告期末</w:t>
                    </w:r>
                  </w:p>
                </w:tc>
              </w:sdtContent>
            </w:sdt>
            <w:sdt>
              <w:sdtPr>
                <w:tag w:val="_PLD_7425b2bc6a39452296814978a781ba72"/>
                <w:id w:val="1163361115"/>
                <w:lock w:val="sdtLocked"/>
              </w:sdtPr>
              <w:sdtEndPr/>
              <w:sdtContent>
                <w:tc>
                  <w:tcPr>
                    <w:tcW w:w="1074" w:type="pct"/>
                    <w:vAlign w:val="center"/>
                  </w:tcPr>
                  <w:p w14:paraId="2D9A1B43" w14:textId="77777777" w:rsidR="00680B89" w:rsidRDefault="004F686E" w:rsidP="00680B89">
                    <w:pPr>
                      <w:kinsoku w:val="0"/>
                      <w:overflowPunct w:val="0"/>
                      <w:autoSpaceDE w:val="0"/>
                      <w:autoSpaceDN w:val="0"/>
                      <w:adjustRightInd w:val="0"/>
                      <w:snapToGrid w:val="0"/>
                      <w:jc w:val="center"/>
                      <w:rPr>
                        <w:szCs w:val="21"/>
                      </w:rPr>
                    </w:pPr>
                    <w:r>
                      <w:t>上年度末</w:t>
                    </w:r>
                  </w:p>
                </w:tc>
              </w:sdtContent>
            </w:sdt>
            <w:sdt>
              <w:sdtPr>
                <w:tag w:val="_PLD_7a1ba9a6d9b54e51bd320f47b6233184"/>
                <w:id w:val="-1209104373"/>
                <w:lock w:val="sdtLocked"/>
              </w:sdtPr>
              <w:sdtEndPr/>
              <w:sdtContent>
                <w:tc>
                  <w:tcPr>
                    <w:tcW w:w="717" w:type="pct"/>
                    <w:vAlign w:val="center"/>
                  </w:tcPr>
                  <w:p w14:paraId="35E1529C" w14:textId="77777777" w:rsidR="00680B89" w:rsidRDefault="004F686E" w:rsidP="00680B89">
                    <w:pPr>
                      <w:kinsoku w:val="0"/>
                      <w:overflowPunct w:val="0"/>
                      <w:autoSpaceDE w:val="0"/>
                      <w:autoSpaceDN w:val="0"/>
                      <w:adjustRightInd w:val="0"/>
                      <w:snapToGrid w:val="0"/>
                      <w:jc w:val="center"/>
                      <w:rPr>
                        <w:szCs w:val="21"/>
                      </w:rPr>
                    </w:pPr>
                    <w:r>
                      <w:t>本报告期末比上年度末增减</w:t>
                    </w:r>
                    <w:r>
                      <w:rPr>
                        <w:szCs w:val="21"/>
                      </w:rPr>
                      <w:t>(%)</w:t>
                    </w:r>
                  </w:p>
                </w:tc>
              </w:sdtContent>
            </w:sdt>
          </w:tr>
          <w:tr w:rsidR="00680B89" w14:paraId="71446075" w14:textId="77777777" w:rsidTr="00680B89">
            <w:trPr>
              <w:trHeight w:val="285"/>
            </w:trPr>
            <w:sdt>
              <w:sdtPr>
                <w:tag w:val="_PLD_c12ab31af03f46e4bd02eb659877c070"/>
                <w:id w:val="1643004661"/>
                <w:lock w:val="sdtLocked"/>
              </w:sdtPr>
              <w:sdtEndPr/>
              <w:sdtContent>
                <w:tc>
                  <w:tcPr>
                    <w:tcW w:w="1777" w:type="pct"/>
                  </w:tcPr>
                  <w:p w14:paraId="5601D042" w14:textId="77777777" w:rsidR="00680B89" w:rsidRDefault="004F686E" w:rsidP="00680B89">
                    <w:pPr>
                      <w:kinsoku w:val="0"/>
                      <w:overflowPunct w:val="0"/>
                      <w:autoSpaceDE w:val="0"/>
                      <w:autoSpaceDN w:val="0"/>
                      <w:adjustRightInd w:val="0"/>
                      <w:snapToGrid w:val="0"/>
                      <w:rPr>
                        <w:szCs w:val="21"/>
                      </w:rPr>
                    </w:pPr>
                    <w:r>
                      <w:rPr>
                        <w:rFonts w:hint="eastAsia"/>
                        <w:szCs w:val="21"/>
                      </w:rPr>
                      <w:t>归属于上市公司股东的净资产</w:t>
                    </w:r>
                  </w:p>
                </w:tc>
              </w:sdtContent>
            </w:sdt>
            <w:tc>
              <w:tcPr>
                <w:tcW w:w="1431" w:type="pct"/>
                <w:vAlign w:val="center"/>
              </w:tcPr>
              <w:p w14:paraId="6795B9DF" w14:textId="2011C588" w:rsidR="00680B89" w:rsidRDefault="004F686E" w:rsidP="00680B89">
                <w:pPr>
                  <w:ind w:right="840"/>
                  <w:jc w:val="right"/>
                  <w:rPr>
                    <w:color w:val="000000"/>
                    <w:szCs w:val="21"/>
                  </w:rPr>
                </w:pPr>
                <w:r>
                  <w:rPr>
                    <w:rFonts w:hint="eastAsia"/>
                    <w:color w:val="000000"/>
                    <w:szCs w:val="21"/>
                  </w:rPr>
                  <w:t>697,873,302.44</w:t>
                </w:r>
              </w:p>
            </w:tc>
            <w:tc>
              <w:tcPr>
                <w:tcW w:w="1074" w:type="pct"/>
                <w:vAlign w:val="center"/>
              </w:tcPr>
              <w:p w14:paraId="760899C4" w14:textId="2A0F403C" w:rsidR="00680B89" w:rsidRDefault="004F686E" w:rsidP="00680B89">
                <w:pPr>
                  <w:ind w:right="210"/>
                  <w:jc w:val="right"/>
                  <w:rPr>
                    <w:color w:val="000000"/>
                    <w:szCs w:val="21"/>
                  </w:rPr>
                </w:pPr>
                <w:r>
                  <w:rPr>
                    <w:rFonts w:hint="eastAsia"/>
                    <w:color w:val="000000"/>
                    <w:szCs w:val="21"/>
                  </w:rPr>
                  <w:t>699,472,630.04</w:t>
                </w:r>
              </w:p>
            </w:tc>
            <w:tc>
              <w:tcPr>
                <w:tcW w:w="717" w:type="pct"/>
                <w:vAlign w:val="center"/>
              </w:tcPr>
              <w:p w14:paraId="42FFFAC6" w14:textId="77777777" w:rsidR="00680B89" w:rsidRDefault="004F686E" w:rsidP="00680B89">
                <w:pPr>
                  <w:jc w:val="right"/>
                  <w:rPr>
                    <w:color w:val="000000"/>
                    <w:szCs w:val="21"/>
                  </w:rPr>
                </w:pPr>
                <w:r>
                  <w:rPr>
                    <w:rFonts w:hint="eastAsia"/>
                    <w:color w:val="000000"/>
                    <w:szCs w:val="21"/>
                  </w:rPr>
                  <w:t>-0.23</w:t>
                </w:r>
              </w:p>
            </w:tc>
          </w:tr>
          <w:tr w:rsidR="00680B89" w14:paraId="427A84E8" w14:textId="77777777" w:rsidTr="00680B89">
            <w:trPr>
              <w:trHeight w:val="285"/>
            </w:trPr>
            <w:sdt>
              <w:sdtPr>
                <w:tag w:val="_PLD_c9e79cad72304cada434a9145656a31f"/>
                <w:id w:val="-181441057"/>
                <w:lock w:val="sdtLocked"/>
              </w:sdtPr>
              <w:sdtEndPr/>
              <w:sdtContent>
                <w:tc>
                  <w:tcPr>
                    <w:tcW w:w="1777" w:type="pct"/>
                  </w:tcPr>
                  <w:p w14:paraId="6735633C" w14:textId="77777777" w:rsidR="00680B89" w:rsidRDefault="004F686E" w:rsidP="00680B89">
                    <w:pPr>
                      <w:kinsoku w:val="0"/>
                      <w:overflowPunct w:val="0"/>
                      <w:autoSpaceDE w:val="0"/>
                      <w:autoSpaceDN w:val="0"/>
                      <w:adjustRightInd w:val="0"/>
                      <w:snapToGrid w:val="0"/>
                      <w:rPr>
                        <w:szCs w:val="21"/>
                      </w:rPr>
                    </w:pPr>
                    <w:r>
                      <w:rPr>
                        <w:rFonts w:hint="eastAsia"/>
                        <w:szCs w:val="21"/>
                      </w:rPr>
                      <w:t>总资产</w:t>
                    </w:r>
                  </w:p>
                </w:tc>
              </w:sdtContent>
            </w:sdt>
            <w:tc>
              <w:tcPr>
                <w:tcW w:w="1431" w:type="pct"/>
                <w:vAlign w:val="center"/>
              </w:tcPr>
              <w:p w14:paraId="48FEA41D" w14:textId="23021DD8" w:rsidR="00680B89" w:rsidRDefault="004F686E" w:rsidP="00680B89">
                <w:pPr>
                  <w:ind w:right="630"/>
                  <w:jc w:val="right"/>
                  <w:rPr>
                    <w:color w:val="000000"/>
                    <w:szCs w:val="21"/>
                  </w:rPr>
                </w:pPr>
                <w:r>
                  <w:rPr>
                    <w:rFonts w:hint="eastAsia"/>
                    <w:color w:val="000000"/>
                    <w:szCs w:val="21"/>
                  </w:rPr>
                  <w:t>1,584,850,794.15</w:t>
                </w:r>
              </w:p>
            </w:tc>
            <w:tc>
              <w:tcPr>
                <w:tcW w:w="1074" w:type="pct"/>
                <w:vAlign w:val="center"/>
              </w:tcPr>
              <w:p w14:paraId="6BEAD3F0" w14:textId="6F99CBCA" w:rsidR="00680B89" w:rsidRDefault="004F686E" w:rsidP="00680B89">
                <w:pPr>
                  <w:jc w:val="right"/>
                  <w:rPr>
                    <w:color w:val="000000"/>
                    <w:szCs w:val="21"/>
                  </w:rPr>
                </w:pPr>
                <w:r>
                  <w:rPr>
                    <w:rFonts w:hint="eastAsia"/>
                    <w:color w:val="000000"/>
                    <w:szCs w:val="21"/>
                  </w:rPr>
                  <w:t>1,705,430,862.39</w:t>
                </w:r>
              </w:p>
            </w:tc>
            <w:tc>
              <w:tcPr>
                <w:tcW w:w="717" w:type="pct"/>
                <w:vAlign w:val="center"/>
              </w:tcPr>
              <w:p w14:paraId="2AD18225" w14:textId="231D1A6B" w:rsidR="00680B89" w:rsidRDefault="004F686E" w:rsidP="00680B89">
                <w:pPr>
                  <w:jc w:val="right"/>
                  <w:rPr>
                    <w:color w:val="000000"/>
                    <w:szCs w:val="21"/>
                  </w:rPr>
                </w:pPr>
                <w:r>
                  <w:rPr>
                    <w:rFonts w:hint="eastAsia"/>
                    <w:color w:val="000000"/>
                    <w:szCs w:val="21"/>
                  </w:rPr>
                  <w:t>-7.07</w:t>
                </w:r>
              </w:p>
            </w:tc>
          </w:tr>
          <w:bookmarkEnd w:id="15"/>
        </w:tbl>
      </w:sdtContent>
    </w:sdt>
    <w:p w14:paraId="0E6C50B6" w14:textId="77777777" w:rsidR="00471D53" w:rsidRDefault="00B664AF">
      <w:pPr>
        <w:kinsoku w:val="0"/>
        <w:overflowPunct w:val="0"/>
        <w:autoSpaceDE w:val="0"/>
        <w:autoSpaceDN w:val="0"/>
        <w:adjustRightInd w:val="0"/>
        <w:snapToGrid w:val="0"/>
        <w:rPr>
          <w:szCs w:val="21"/>
        </w:rPr>
      </w:pPr>
    </w:p>
    <w:p w14:paraId="6C610E76" w14:textId="31F2E3D2" w:rsidR="00471D53" w:rsidRDefault="00B664AF">
      <w:pPr>
        <w:kinsoku w:val="0"/>
        <w:overflowPunct w:val="0"/>
        <w:autoSpaceDE w:val="0"/>
        <w:autoSpaceDN w:val="0"/>
        <w:adjustRightInd w:val="0"/>
        <w:snapToGrid w:val="0"/>
        <w:rPr>
          <w:szCs w:val="21"/>
        </w:rPr>
      </w:pPr>
    </w:p>
    <w:p w14:paraId="4E1AAB15" w14:textId="64D9D97A" w:rsidR="00680B89" w:rsidRDefault="00B664AF">
      <w:pPr>
        <w:kinsoku w:val="0"/>
        <w:overflowPunct w:val="0"/>
        <w:autoSpaceDE w:val="0"/>
        <w:autoSpaceDN w:val="0"/>
        <w:adjustRightInd w:val="0"/>
        <w:snapToGrid w:val="0"/>
        <w:rPr>
          <w:szCs w:val="21"/>
        </w:rPr>
      </w:pPr>
    </w:p>
    <w:p w14:paraId="14790792" w14:textId="02243540" w:rsidR="006564CB" w:rsidRDefault="006564CB">
      <w:pPr>
        <w:kinsoku w:val="0"/>
        <w:overflowPunct w:val="0"/>
        <w:autoSpaceDE w:val="0"/>
        <w:autoSpaceDN w:val="0"/>
        <w:adjustRightInd w:val="0"/>
        <w:snapToGrid w:val="0"/>
        <w:rPr>
          <w:szCs w:val="21"/>
        </w:rPr>
      </w:pPr>
    </w:p>
    <w:p w14:paraId="421B771F" w14:textId="77777777" w:rsidR="006564CB" w:rsidRDefault="006564CB">
      <w:pPr>
        <w:kinsoku w:val="0"/>
        <w:overflowPunct w:val="0"/>
        <w:autoSpaceDE w:val="0"/>
        <w:autoSpaceDN w:val="0"/>
        <w:adjustRightInd w:val="0"/>
        <w:snapToGrid w:val="0"/>
        <w:rPr>
          <w:szCs w:val="21"/>
        </w:rPr>
      </w:pPr>
    </w:p>
    <w:p w14:paraId="67ACF6A0" w14:textId="77777777" w:rsidR="00680B89" w:rsidRDefault="00B664AF">
      <w:pPr>
        <w:kinsoku w:val="0"/>
        <w:overflowPunct w:val="0"/>
        <w:autoSpaceDE w:val="0"/>
        <w:autoSpaceDN w:val="0"/>
        <w:adjustRightInd w:val="0"/>
        <w:snapToGrid w:val="0"/>
        <w:rPr>
          <w:szCs w:val="21"/>
        </w:rPr>
      </w:pPr>
    </w:p>
    <w:p w14:paraId="6274B57C" w14:textId="77777777" w:rsidR="00471D53" w:rsidRDefault="004F686E" w:rsidP="004F686E">
      <w:pPr>
        <w:pStyle w:val="afffff7"/>
        <w:numPr>
          <w:ilvl w:val="1"/>
          <w:numId w:val="5"/>
        </w:numPr>
        <w:rPr>
          <w:rFonts w:ascii="宋体" w:hAnsi="宋体"/>
          <w:szCs w:val="21"/>
        </w:rPr>
      </w:pPr>
      <w:r>
        <w:rPr>
          <w:rFonts w:ascii="宋体" w:hAnsi="宋体"/>
        </w:rPr>
        <w:lastRenderedPageBreak/>
        <w:t>主要财务指标</w:t>
      </w:r>
    </w:p>
    <w:bookmarkStart w:id="17" w:name="_Hlk78889539" w:displacedByCustomXml="next"/>
    <w:sdt>
      <w:sdtPr>
        <w:alias w:val="选项模块:主要财务指标(无追溯)"/>
        <w:tag w:val="_GBC_b44cc48c2c094fe699f563d257345cf5"/>
        <w:id w:val="-1517992538"/>
        <w:placeholder>
          <w:docPart w:val="GBC22222222222222222222222222222"/>
        </w:placeholder>
      </w:sdtPr>
      <w:sdtEndPr>
        <w:rPr>
          <w:rFonts w:hint="eastAsia"/>
          <w:color w:val="000000"/>
          <w:szCs w:val="21"/>
        </w:rPr>
      </w:sdtEndPr>
      <w:sdtContent>
        <w:tbl>
          <w:tblPr>
            <w:tblStyle w:val="g5"/>
            <w:tblW w:w="0" w:type="auto"/>
            <w:tblLook w:val="04A0" w:firstRow="1" w:lastRow="0" w:firstColumn="1" w:lastColumn="0" w:noHBand="0" w:noVBand="1"/>
          </w:tblPr>
          <w:tblGrid>
            <w:gridCol w:w="3544"/>
            <w:gridCol w:w="1665"/>
            <w:gridCol w:w="1803"/>
            <w:gridCol w:w="1811"/>
          </w:tblGrid>
          <w:tr w:rsidR="00471D53" w14:paraId="183B97C4" w14:textId="77777777" w:rsidTr="00124C57">
            <w:sdt>
              <w:sdtPr>
                <w:tag w:val="_PLD_b12e929543994adfbc7a21fe743cd125"/>
                <w:id w:val="1672447738"/>
                <w:lock w:val="sdtLocked"/>
              </w:sdtPr>
              <w:sdtEndPr/>
              <w:sdtContent>
                <w:tc>
                  <w:tcPr>
                    <w:tcW w:w="3652" w:type="dxa"/>
                    <w:vAlign w:val="center"/>
                  </w:tcPr>
                  <w:p w14:paraId="32633030" w14:textId="77777777" w:rsidR="00471D53" w:rsidRDefault="004F686E">
                    <w:pPr>
                      <w:kinsoku w:val="0"/>
                      <w:overflowPunct w:val="0"/>
                      <w:autoSpaceDE w:val="0"/>
                      <w:autoSpaceDN w:val="0"/>
                      <w:adjustRightInd w:val="0"/>
                      <w:snapToGrid w:val="0"/>
                      <w:jc w:val="center"/>
                      <w:rPr>
                        <w:szCs w:val="21"/>
                      </w:rPr>
                    </w:pPr>
                    <w:r>
                      <w:t>主要财务指标</w:t>
                    </w:r>
                  </w:p>
                </w:tc>
              </w:sdtContent>
            </w:sdt>
            <w:sdt>
              <w:sdtPr>
                <w:tag w:val="_PLD_d04f89449ff14c5fa39e871117b7e9e2"/>
                <w:id w:val="2013104028"/>
                <w:lock w:val="sdtLocked"/>
              </w:sdtPr>
              <w:sdtEndPr/>
              <w:sdtContent>
                <w:tc>
                  <w:tcPr>
                    <w:tcW w:w="1701" w:type="dxa"/>
                    <w:vAlign w:val="center"/>
                  </w:tcPr>
                  <w:p w14:paraId="78D0C3D7" w14:textId="77777777" w:rsidR="00471D53" w:rsidRDefault="004F686E">
                    <w:pPr>
                      <w:kinsoku w:val="0"/>
                      <w:overflowPunct w:val="0"/>
                      <w:autoSpaceDE w:val="0"/>
                      <w:autoSpaceDN w:val="0"/>
                      <w:adjustRightInd w:val="0"/>
                      <w:snapToGrid w:val="0"/>
                      <w:jc w:val="center"/>
                    </w:pPr>
                    <w:r>
                      <w:t>本报告期</w:t>
                    </w:r>
                  </w:p>
                  <w:p w14:paraId="7BF6197F" w14:textId="77777777" w:rsidR="00471D53" w:rsidRDefault="004F686E">
                    <w:pPr>
                      <w:kinsoku w:val="0"/>
                      <w:overflowPunct w:val="0"/>
                      <w:autoSpaceDE w:val="0"/>
                      <w:autoSpaceDN w:val="0"/>
                      <w:adjustRightInd w:val="0"/>
                      <w:snapToGrid w:val="0"/>
                      <w:jc w:val="center"/>
                      <w:rPr>
                        <w:szCs w:val="21"/>
                      </w:rPr>
                    </w:pPr>
                    <w:r>
                      <w:t>（1－6月）</w:t>
                    </w:r>
                  </w:p>
                </w:tc>
              </w:sdtContent>
            </w:sdt>
            <w:sdt>
              <w:sdtPr>
                <w:tag w:val="_PLD_bdb91a2a58254a0e945eecc5aef91521"/>
                <w:id w:val="-1041517487"/>
                <w:lock w:val="sdtLocked"/>
              </w:sdtPr>
              <w:sdtEndPr/>
              <w:sdtContent>
                <w:tc>
                  <w:tcPr>
                    <w:tcW w:w="1843" w:type="dxa"/>
                    <w:vAlign w:val="center"/>
                  </w:tcPr>
                  <w:p w14:paraId="4F0CB806" w14:textId="77777777" w:rsidR="00471D53" w:rsidRDefault="004F686E">
                    <w:pPr>
                      <w:kinsoku w:val="0"/>
                      <w:overflowPunct w:val="0"/>
                      <w:autoSpaceDE w:val="0"/>
                      <w:autoSpaceDN w:val="0"/>
                      <w:adjustRightInd w:val="0"/>
                      <w:snapToGrid w:val="0"/>
                      <w:jc w:val="center"/>
                      <w:rPr>
                        <w:szCs w:val="21"/>
                      </w:rPr>
                    </w:pPr>
                    <w:r>
                      <w:t>上年同期</w:t>
                    </w:r>
                  </w:p>
                </w:tc>
              </w:sdtContent>
            </w:sdt>
            <w:sdt>
              <w:sdtPr>
                <w:tag w:val="_PLD_08306889e5b040aa83784b3f6db386f1"/>
                <w:id w:val="-228692155"/>
                <w:lock w:val="sdtLocked"/>
              </w:sdtPr>
              <w:sdtEndPr/>
              <w:sdtContent>
                <w:tc>
                  <w:tcPr>
                    <w:tcW w:w="1852" w:type="dxa"/>
                    <w:vAlign w:val="center"/>
                  </w:tcPr>
                  <w:p w14:paraId="579EDF9D" w14:textId="77777777" w:rsidR="00471D53" w:rsidRDefault="004F686E">
                    <w:pPr>
                      <w:kinsoku w:val="0"/>
                      <w:overflowPunct w:val="0"/>
                      <w:autoSpaceDE w:val="0"/>
                      <w:autoSpaceDN w:val="0"/>
                      <w:adjustRightInd w:val="0"/>
                      <w:snapToGrid w:val="0"/>
                      <w:jc w:val="center"/>
                      <w:rPr>
                        <w:szCs w:val="21"/>
                      </w:rPr>
                    </w:pPr>
                    <w:r>
                      <w:t>本报告期比上年同期增减</w:t>
                    </w:r>
                    <w:r>
                      <w:rPr>
                        <w:szCs w:val="21"/>
                      </w:rPr>
                      <w:t>(%)</w:t>
                    </w:r>
                  </w:p>
                </w:tc>
              </w:sdtContent>
            </w:sdt>
          </w:tr>
          <w:tr w:rsidR="00471D53" w14:paraId="2BA70AC7" w14:textId="77777777" w:rsidTr="00471D53">
            <w:sdt>
              <w:sdtPr>
                <w:tag w:val="_PLD_089671b43cd048bda3f42f7ff187200a"/>
                <w:id w:val="26991497"/>
                <w:lock w:val="sdtLocked"/>
              </w:sdtPr>
              <w:sdtEndPr/>
              <w:sdtContent>
                <w:tc>
                  <w:tcPr>
                    <w:tcW w:w="3652" w:type="dxa"/>
                  </w:tcPr>
                  <w:p w14:paraId="4139F3D3" w14:textId="77777777" w:rsidR="00471D53" w:rsidRDefault="004F686E">
                    <w:pPr>
                      <w:kinsoku w:val="0"/>
                      <w:overflowPunct w:val="0"/>
                      <w:autoSpaceDE w:val="0"/>
                      <w:autoSpaceDN w:val="0"/>
                      <w:adjustRightInd w:val="0"/>
                      <w:snapToGrid w:val="0"/>
                      <w:rPr>
                        <w:szCs w:val="21"/>
                      </w:rPr>
                    </w:pPr>
                    <w:r>
                      <w:t>基本每股收益（元／股）</w:t>
                    </w:r>
                  </w:p>
                </w:tc>
              </w:sdtContent>
            </w:sdt>
            <w:tc>
              <w:tcPr>
                <w:tcW w:w="1701" w:type="dxa"/>
                <w:vAlign w:val="center"/>
              </w:tcPr>
              <w:p w14:paraId="7ADA809F" w14:textId="47165C67" w:rsidR="00471D53" w:rsidRDefault="004F686E">
                <w:pPr>
                  <w:jc w:val="right"/>
                  <w:rPr>
                    <w:color w:val="000000"/>
                    <w:szCs w:val="21"/>
                  </w:rPr>
                </w:pPr>
                <w:r>
                  <w:rPr>
                    <w:rFonts w:hint="eastAsia"/>
                    <w:color w:val="000000"/>
                    <w:szCs w:val="21"/>
                  </w:rPr>
                  <w:t>-0.01</w:t>
                </w:r>
              </w:p>
            </w:tc>
            <w:tc>
              <w:tcPr>
                <w:tcW w:w="1843" w:type="dxa"/>
                <w:vAlign w:val="center"/>
              </w:tcPr>
              <w:p w14:paraId="2B855803" w14:textId="77777777" w:rsidR="00471D53" w:rsidRDefault="004F686E">
                <w:pPr>
                  <w:jc w:val="right"/>
                  <w:rPr>
                    <w:color w:val="000000"/>
                    <w:szCs w:val="21"/>
                  </w:rPr>
                </w:pPr>
                <w:r>
                  <w:rPr>
                    <w:rFonts w:hint="eastAsia"/>
                    <w:color w:val="000000"/>
                    <w:szCs w:val="21"/>
                  </w:rPr>
                  <w:t>-0.06</w:t>
                </w:r>
              </w:p>
            </w:tc>
            <w:tc>
              <w:tcPr>
                <w:tcW w:w="1852" w:type="dxa"/>
                <w:vAlign w:val="center"/>
              </w:tcPr>
              <w:p w14:paraId="358E357F" w14:textId="77777777" w:rsidR="00471D53" w:rsidRDefault="004F686E">
                <w:pPr>
                  <w:jc w:val="right"/>
                  <w:rPr>
                    <w:color w:val="000000"/>
                    <w:szCs w:val="21"/>
                  </w:rPr>
                </w:pPr>
                <w:r>
                  <w:rPr>
                    <w:rFonts w:hint="eastAsia"/>
                    <w:color w:val="000000"/>
                    <w:szCs w:val="21"/>
                  </w:rPr>
                  <w:t>-</w:t>
                </w:r>
              </w:p>
            </w:tc>
          </w:tr>
          <w:tr w:rsidR="00471D53" w14:paraId="54ACE3B2" w14:textId="77777777" w:rsidTr="00471D53">
            <w:sdt>
              <w:sdtPr>
                <w:tag w:val="_PLD_b53c618810f6494198af9022cf5f9c92"/>
                <w:id w:val="1978420141"/>
                <w:lock w:val="sdtLocked"/>
              </w:sdtPr>
              <w:sdtEndPr/>
              <w:sdtContent>
                <w:tc>
                  <w:tcPr>
                    <w:tcW w:w="3652" w:type="dxa"/>
                  </w:tcPr>
                  <w:p w14:paraId="42552C44" w14:textId="77777777" w:rsidR="00471D53" w:rsidRDefault="004F686E">
                    <w:pPr>
                      <w:kinsoku w:val="0"/>
                      <w:overflowPunct w:val="0"/>
                      <w:autoSpaceDE w:val="0"/>
                      <w:autoSpaceDN w:val="0"/>
                      <w:adjustRightInd w:val="0"/>
                      <w:snapToGrid w:val="0"/>
                      <w:rPr>
                        <w:szCs w:val="21"/>
                      </w:rPr>
                    </w:pPr>
                    <w:r>
                      <w:t>稀释每股收益（元／股）</w:t>
                    </w:r>
                  </w:p>
                </w:tc>
              </w:sdtContent>
            </w:sdt>
            <w:tc>
              <w:tcPr>
                <w:tcW w:w="1701" w:type="dxa"/>
                <w:vAlign w:val="center"/>
              </w:tcPr>
              <w:p w14:paraId="722AB69C" w14:textId="01ABA62A" w:rsidR="00471D53" w:rsidRDefault="004F686E">
                <w:pPr>
                  <w:jc w:val="right"/>
                  <w:rPr>
                    <w:color w:val="000000"/>
                    <w:szCs w:val="21"/>
                  </w:rPr>
                </w:pPr>
                <w:r>
                  <w:rPr>
                    <w:rFonts w:hint="eastAsia"/>
                    <w:color w:val="000000"/>
                    <w:szCs w:val="21"/>
                  </w:rPr>
                  <w:t>-0.01</w:t>
                </w:r>
              </w:p>
            </w:tc>
            <w:tc>
              <w:tcPr>
                <w:tcW w:w="1843" w:type="dxa"/>
                <w:vAlign w:val="center"/>
              </w:tcPr>
              <w:p w14:paraId="6BAC83AB" w14:textId="77777777" w:rsidR="00471D53" w:rsidRDefault="004F686E">
                <w:pPr>
                  <w:jc w:val="right"/>
                  <w:rPr>
                    <w:color w:val="000000"/>
                    <w:szCs w:val="21"/>
                  </w:rPr>
                </w:pPr>
                <w:r>
                  <w:rPr>
                    <w:rFonts w:hint="eastAsia"/>
                    <w:color w:val="000000"/>
                    <w:szCs w:val="21"/>
                  </w:rPr>
                  <w:t>-0.06</w:t>
                </w:r>
              </w:p>
            </w:tc>
            <w:tc>
              <w:tcPr>
                <w:tcW w:w="1852" w:type="dxa"/>
                <w:vAlign w:val="center"/>
              </w:tcPr>
              <w:p w14:paraId="544420D8" w14:textId="77777777" w:rsidR="00471D53" w:rsidRDefault="004F686E">
                <w:pPr>
                  <w:jc w:val="right"/>
                  <w:rPr>
                    <w:color w:val="000000"/>
                    <w:szCs w:val="21"/>
                  </w:rPr>
                </w:pPr>
                <w:r>
                  <w:rPr>
                    <w:rFonts w:hint="eastAsia"/>
                    <w:color w:val="000000"/>
                    <w:szCs w:val="21"/>
                  </w:rPr>
                  <w:t>-</w:t>
                </w:r>
              </w:p>
            </w:tc>
          </w:tr>
          <w:tr w:rsidR="00471D53" w14:paraId="70F36316" w14:textId="77777777" w:rsidTr="00471D53">
            <w:sdt>
              <w:sdtPr>
                <w:tag w:val="_PLD_7995656a90ee4448a470f6a06fe39000"/>
                <w:id w:val="-2095387766"/>
                <w:lock w:val="sdtLocked"/>
              </w:sdtPr>
              <w:sdtEndPr/>
              <w:sdtContent>
                <w:tc>
                  <w:tcPr>
                    <w:tcW w:w="3652" w:type="dxa"/>
                  </w:tcPr>
                  <w:p w14:paraId="07A80CB8" w14:textId="77777777" w:rsidR="00471D53" w:rsidRDefault="004F686E">
                    <w:pPr>
                      <w:kinsoku w:val="0"/>
                      <w:overflowPunct w:val="0"/>
                      <w:autoSpaceDE w:val="0"/>
                      <w:autoSpaceDN w:val="0"/>
                      <w:adjustRightInd w:val="0"/>
                      <w:snapToGrid w:val="0"/>
                      <w:rPr>
                        <w:szCs w:val="21"/>
                      </w:rPr>
                    </w:pPr>
                    <w:r>
                      <w:t>扣除非经常性损益后的基本每股收益（元／股）</w:t>
                    </w:r>
                  </w:p>
                </w:tc>
              </w:sdtContent>
            </w:sdt>
            <w:tc>
              <w:tcPr>
                <w:tcW w:w="1701" w:type="dxa"/>
                <w:vAlign w:val="center"/>
              </w:tcPr>
              <w:p w14:paraId="55589048" w14:textId="77777777" w:rsidR="00471D53" w:rsidRDefault="004F686E">
                <w:pPr>
                  <w:jc w:val="right"/>
                  <w:rPr>
                    <w:color w:val="000000"/>
                    <w:szCs w:val="21"/>
                  </w:rPr>
                </w:pPr>
                <w:r>
                  <w:rPr>
                    <w:rFonts w:hint="eastAsia"/>
                    <w:color w:val="000000"/>
                    <w:szCs w:val="21"/>
                  </w:rPr>
                  <w:t>-0.02</w:t>
                </w:r>
              </w:p>
            </w:tc>
            <w:tc>
              <w:tcPr>
                <w:tcW w:w="1843" w:type="dxa"/>
                <w:vAlign w:val="center"/>
              </w:tcPr>
              <w:p w14:paraId="41A3F3FF" w14:textId="77777777" w:rsidR="00471D53" w:rsidRDefault="004F686E">
                <w:pPr>
                  <w:jc w:val="right"/>
                  <w:rPr>
                    <w:color w:val="000000"/>
                    <w:szCs w:val="21"/>
                  </w:rPr>
                </w:pPr>
                <w:r>
                  <w:rPr>
                    <w:rFonts w:hint="eastAsia"/>
                    <w:color w:val="000000"/>
                    <w:szCs w:val="21"/>
                  </w:rPr>
                  <w:t>-0.07</w:t>
                </w:r>
              </w:p>
            </w:tc>
            <w:tc>
              <w:tcPr>
                <w:tcW w:w="1852" w:type="dxa"/>
                <w:vAlign w:val="center"/>
              </w:tcPr>
              <w:p w14:paraId="49D44F4F" w14:textId="77777777" w:rsidR="00471D53" w:rsidRDefault="004F686E">
                <w:pPr>
                  <w:jc w:val="right"/>
                  <w:rPr>
                    <w:color w:val="000000"/>
                    <w:szCs w:val="21"/>
                  </w:rPr>
                </w:pPr>
                <w:r>
                  <w:rPr>
                    <w:rFonts w:hint="eastAsia"/>
                    <w:color w:val="000000"/>
                    <w:szCs w:val="21"/>
                  </w:rPr>
                  <w:t>-</w:t>
                </w:r>
              </w:p>
            </w:tc>
          </w:tr>
          <w:tr w:rsidR="00471D53" w14:paraId="5640E030" w14:textId="77777777" w:rsidTr="00471D53">
            <w:sdt>
              <w:sdtPr>
                <w:tag w:val="_PLD_7ae3fa8992794ff1bdf49e4e770ce96d"/>
                <w:id w:val="2022050639"/>
                <w:lock w:val="sdtLocked"/>
              </w:sdtPr>
              <w:sdtEndPr/>
              <w:sdtContent>
                <w:tc>
                  <w:tcPr>
                    <w:tcW w:w="3652" w:type="dxa"/>
                  </w:tcPr>
                  <w:p w14:paraId="442D3795" w14:textId="77777777" w:rsidR="00471D53" w:rsidRDefault="004F686E">
                    <w:pPr>
                      <w:kinsoku w:val="0"/>
                      <w:overflowPunct w:val="0"/>
                      <w:autoSpaceDE w:val="0"/>
                      <w:autoSpaceDN w:val="0"/>
                      <w:adjustRightInd w:val="0"/>
                      <w:snapToGrid w:val="0"/>
                      <w:rPr>
                        <w:szCs w:val="21"/>
                      </w:rPr>
                    </w:pPr>
                    <w:r>
                      <w:t>加权平均净资产收益率（%）</w:t>
                    </w:r>
                  </w:p>
                </w:tc>
              </w:sdtContent>
            </w:sdt>
            <w:tc>
              <w:tcPr>
                <w:tcW w:w="1701" w:type="dxa"/>
                <w:vAlign w:val="center"/>
              </w:tcPr>
              <w:p w14:paraId="42900C26" w14:textId="77777777" w:rsidR="00471D53" w:rsidRDefault="004F686E">
                <w:pPr>
                  <w:jc w:val="right"/>
                  <w:rPr>
                    <w:color w:val="000000"/>
                    <w:szCs w:val="21"/>
                  </w:rPr>
                </w:pPr>
                <w:r>
                  <w:rPr>
                    <w:rFonts w:hint="eastAsia"/>
                    <w:color w:val="000000"/>
                    <w:szCs w:val="21"/>
                  </w:rPr>
                  <w:t>-0.19</w:t>
                </w:r>
              </w:p>
            </w:tc>
            <w:tc>
              <w:tcPr>
                <w:tcW w:w="1843" w:type="dxa"/>
                <w:vAlign w:val="center"/>
              </w:tcPr>
              <w:p w14:paraId="2B2EE253" w14:textId="77777777" w:rsidR="00471D53" w:rsidRDefault="004F686E">
                <w:pPr>
                  <w:jc w:val="right"/>
                  <w:rPr>
                    <w:color w:val="000000"/>
                    <w:szCs w:val="21"/>
                  </w:rPr>
                </w:pPr>
                <w:r>
                  <w:rPr>
                    <w:rFonts w:hint="eastAsia"/>
                    <w:color w:val="000000"/>
                    <w:szCs w:val="21"/>
                  </w:rPr>
                  <w:t>-7.41</w:t>
                </w:r>
              </w:p>
            </w:tc>
            <w:tc>
              <w:tcPr>
                <w:tcW w:w="1852" w:type="dxa"/>
                <w:vAlign w:val="center"/>
              </w:tcPr>
              <w:p w14:paraId="40AD5FCC" w14:textId="77777777" w:rsidR="00471D53" w:rsidRDefault="004F686E">
                <w:pPr>
                  <w:jc w:val="right"/>
                  <w:rPr>
                    <w:color w:val="000000"/>
                    <w:szCs w:val="21"/>
                  </w:rPr>
                </w:pPr>
                <w:r>
                  <w:rPr>
                    <w:rFonts w:hint="eastAsia"/>
                    <w:color w:val="000000"/>
                    <w:szCs w:val="21"/>
                  </w:rPr>
                  <w:t>增加</w:t>
                </w:r>
                <w:r>
                  <w:rPr>
                    <w:color w:val="000000"/>
                    <w:szCs w:val="21"/>
                  </w:rPr>
                  <w:t>7.22个百分点</w:t>
                </w:r>
              </w:p>
            </w:tc>
          </w:tr>
          <w:tr w:rsidR="00471D53" w14:paraId="1870B27E" w14:textId="77777777" w:rsidTr="00471D53">
            <w:sdt>
              <w:sdtPr>
                <w:tag w:val="_PLD_37d92f3112bf450196ad8233f93a5237"/>
                <w:id w:val="277995479"/>
                <w:lock w:val="sdtLocked"/>
              </w:sdtPr>
              <w:sdtEndPr/>
              <w:sdtContent>
                <w:tc>
                  <w:tcPr>
                    <w:tcW w:w="3652" w:type="dxa"/>
                  </w:tcPr>
                  <w:p w14:paraId="11E56B6E" w14:textId="77777777" w:rsidR="00471D53" w:rsidRDefault="004F686E">
                    <w:pPr>
                      <w:kinsoku w:val="0"/>
                      <w:overflowPunct w:val="0"/>
                      <w:autoSpaceDE w:val="0"/>
                      <w:autoSpaceDN w:val="0"/>
                      <w:adjustRightInd w:val="0"/>
                      <w:snapToGrid w:val="0"/>
                      <w:rPr>
                        <w:szCs w:val="21"/>
                      </w:rPr>
                    </w:pPr>
                    <w:r>
                      <w:t>扣除非经常性损益后的加权平均净资产收益率（%）</w:t>
                    </w:r>
                  </w:p>
                </w:tc>
              </w:sdtContent>
            </w:sdt>
            <w:tc>
              <w:tcPr>
                <w:tcW w:w="1701" w:type="dxa"/>
                <w:vAlign w:val="center"/>
              </w:tcPr>
              <w:p w14:paraId="31956C65" w14:textId="77777777" w:rsidR="00471D53" w:rsidRDefault="004F686E">
                <w:pPr>
                  <w:jc w:val="right"/>
                  <w:rPr>
                    <w:color w:val="000000"/>
                    <w:szCs w:val="21"/>
                  </w:rPr>
                </w:pPr>
                <w:r>
                  <w:rPr>
                    <w:rFonts w:hint="eastAsia"/>
                    <w:color w:val="000000"/>
                    <w:szCs w:val="21"/>
                  </w:rPr>
                  <w:t>-1.33</w:t>
                </w:r>
              </w:p>
            </w:tc>
            <w:tc>
              <w:tcPr>
                <w:tcW w:w="1843" w:type="dxa"/>
                <w:vAlign w:val="center"/>
              </w:tcPr>
              <w:p w14:paraId="4C6C2366" w14:textId="77777777" w:rsidR="00471D53" w:rsidRDefault="004F686E">
                <w:pPr>
                  <w:jc w:val="right"/>
                  <w:rPr>
                    <w:color w:val="000000"/>
                    <w:szCs w:val="21"/>
                  </w:rPr>
                </w:pPr>
                <w:r>
                  <w:rPr>
                    <w:rFonts w:hint="eastAsia"/>
                    <w:color w:val="000000"/>
                    <w:szCs w:val="21"/>
                  </w:rPr>
                  <w:t>-8.51</w:t>
                </w:r>
              </w:p>
            </w:tc>
            <w:tc>
              <w:tcPr>
                <w:tcW w:w="1852" w:type="dxa"/>
                <w:vAlign w:val="center"/>
              </w:tcPr>
              <w:p w14:paraId="6B96EF8C" w14:textId="77777777" w:rsidR="00471D53" w:rsidRDefault="004F686E">
                <w:pPr>
                  <w:jc w:val="right"/>
                  <w:rPr>
                    <w:color w:val="000000"/>
                    <w:szCs w:val="21"/>
                  </w:rPr>
                </w:pPr>
                <w:r>
                  <w:rPr>
                    <w:rFonts w:hint="eastAsia"/>
                    <w:color w:val="000000"/>
                    <w:szCs w:val="21"/>
                  </w:rPr>
                  <w:t>增加</w:t>
                </w:r>
                <w:r>
                  <w:rPr>
                    <w:color w:val="000000"/>
                    <w:szCs w:val="21"/>
                  </w:rPr>
                  <w:t>7.18个百分点</w:t>
                </w:r>
              </w:p>
            </w:tc>
          </w:tr>
        </w:tbl>
      </w:sdtContent>
    </w:sdt>
    <w:p w14:paraId="3920E130" w14:textId="77777777" w:rsidR="00471D53" w:rsidRDefault="00B664AF">
      <w:bookmarkStart w:id="18" w:name="_Toc342565890"/>
      <w:bookmarkStart w:id="19" w:name="_Toc342056398"/>
      <w:bookmarkEnd w:id="17"/>
    </w:p>
    <w:sdt>
      <w:sdtPr>
        <w:alias w:val="模块:公司主要会计数据和财务指标的说明"/>
        <w:tag w:val="_GBC_89dd4b4cf79140928f55be83e164f009"/>
        <w:id w:val="-1323878965"/>
        <w:lock w:val="sdtLocked"/>
        <w:placeholder>
          <w:docPart w:val="GBC22222222222222222222222222222"/>
        </w:placeholder>
      </w:sdtPr>
      <w:sdtEndPr/>
      <w:sdtContent>
        <w:p w14:paraId="3D6BB22C" w14:textId="77777777" w:rsidR="00471D53" w:rsidRDefault="004F686E">
          <w:r>
            <w:t>公司主要会计数据和财务指标的说明</w:t>
          </w:r>
        </w:p>
        <w:sdt>
          <w:sdtPr>
            <w:alias w:val="是否适用：公司主要会计数据和财务指标的说明[双击切换]"/>
            <w:tag w:val="_GBC_cfe99dae5f804f6f8f02eb429483f98a"/>
            <w:id w:val="839120156"/>
            <w:lock w:val="sdtLocked"/>
            <w:placeholder>
              <w:docPart w:val="GBC22222222222222222222222222222"/>
            </w:placeholder>
          </w:sdtPr>
          <w:sdtEndPr/>
          <w:sdtContent>
            <w:p w14:paraId="679F239D"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0A0CD99E" w14:textId="77777777" w:rsidR="00471D53" w:rsidRDefault="00B664AF"/>
    <w:p w14:paraId="2A053FEB" w14:textId="77777777" w:rsidR="00471D53" w:rsidRDefault="004F686E" w:rsidP="004F686E">
      <w:pPr>
        <w:pStyle w:val="2"/>
        <w:numPr>
          <w:ilvl w:val="0"/>
          <w:numId w:val="4"/>
        </w:numPr>
        <w:ind w:firstLineChars="0"/>
      </w:pPr>
      <w:r>
        <w:rPr>
          <w:rFonts w:hint="eastAsia"/>
        </w:rPr>
        <w:t>境内外会计准则下会计数据差异</w:t>
      </w:r>
      <w:bookmarkEnd w:id="18"/>
      <w:bookmarkEnd w:id="19"/>
    </w:p>
    <w:sdt>
      <w:sdtPr>
        <w:alias w:val="是否适用：境内外会计准则下会计数据差异[双击切换]"/>
        <w:tag w:val="_GBC_bdabc18d82504a7696c49b78e67b7ce4"/>
        <w:id w:val="-66181648"/>
        <w:lock w:val="sdtLocked"/>
        <w:placeholder>
          <w:docPart w:val="GBC22222222222222222222222222222"/>
        </w:placeholder>
      </w:sdtPr>
      <w:sdtEndPr/>
      <w:sdtContent>
        <w:p w14:paraId="2671D2B8"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B73262B" w14:textId="77777777" w:rsidR="00471D53" w:rsidRDefault="00B664AF"/>
    <w:p w14:paraId="7B8C1A95" w14:textId="77777777" w:rsidR="00471D53" w:rsidRDefault="00B664AF"/>
    <w:bookmarkStart w:id="20" w:name="_Hlk10207943" w:displacedByCustomXml="next"/>
    <w:sdt>
      <w:sdtPr>
        <w:rPr>
          <w:rFonts w:ascii="宋体" w:hAnsi="宋体" w:cs="宋体"/>
          <w:b w:val="0"/>
          <w:bCs w:val="0"/>
          <w:kern w:val="0"/>
          <w:szCs w:val="24"/>
        </w:rPr>
        <w:alias w:val="模块:非经常性损益项目和金额"/>
        <w:tag w:val="_GBC_cc768cb4b3324e91897639bcc1eabf3a"/>
        <w:id w:val="1574859692"/>
        <w:lock w:val="sdtLocked"/>
        <w:placeholder>
          <w:docPart w:val="GBC22222222222222222222222222222"/>
        </w:placeholder>
      </w:sdtPr>
      <w:sdtEndPr>
        <w:rPr>
          <w:rFonts w:hint="eastAsia"/>
        </w:rPr>
      </w:sdtEndPr>
      <w:sdtContent>
        <w:p w14:paraId="48E4B399" w14:textId="77777777" w:rsidR="00471D53" w:rsidRDefault="004F686E" w:rsidP="004F686E">
          <w:pPr>
            <w:pStyle w:val="2"/>
            <w:numPr>
              <w:ilvl w:val="0"/>
              <w:numId w:val="4"/>
            </w:numPr>
            <w:ind w:firstLineChars="0"/>
          </w:pPr>
          <w:r>
            <w:t>非经常性损益项目和金额</w:t>
          </w:r>
        </w:p>
        <w:sdt>
          <w:sdtPr>
            <w:alias w:val="是否适用：扣除非经常性损益项目和金额[双击切换]"/>
            <w:tag w:val="_GBC_73788dbb480b4eb4a9ce7ed83af2d844"/>
            <w:id w:val="-1468886588"/>
            <w:lock w:val="sdtLocked"/>
            <w:placeholder>
              <w:docPart w:val="GBC22222222222222222222222222222"/>
            </w:placeholder>
          </w:sdtPr>
          <w:sdtEndPr/>
          <w:sdtContent>
            <w:p w14:paraId="08CADCF6"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6406B0C" w14:textId="446CE94E" w:rsidR="00471D53" w:rsidRDefault="004F686E">
          <w:pPr>
            <w:jc w:val="right"/>
          </w:pPr>
          <w:r>
            <w:rPr>
              <w:rFonts w:hint="eastAsia"/>
            </w:rPr>
            <w:t>单位：</w:t>
          </w:r>
          <w:sdt>
            <w:sdtPr>
              <w:rPr>
                <w:rFonts w:hint="eastAsia"/>
              </w:rPr>
              <w:alias w:val="单位：扣除非经常性损益项目和金额"/>
              <w:tag w:val="_GBC_4e9158759d174bf5a404e9d2ad2cb849"/>
              <w:id w:val="19729399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扣除非经常性损益项目和金额"/>
              <w:tag w:val="_GBC_afe0377f3c754b5092310bd32f09f447"/>
              <w:id w:val="8456740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5"/>
            <w:tblW w:w="0" w:type="auto"/>
            <w:tblLook w:val="04A0" w:firstRow="1" w:lastRow="0" w:firstColumn="1" w:lastColumn="0" w:noHBand="0" w:noVBand="1"/>
          </w:tblPr>
          <w:tblGrid>
            <w:gridCol w:w="5240"/>
            <w:gridCol w:w="1559"/>
            <w:gridCol w:w="2024"/>
          </w:tblGrid>
          <w:tr w:rsidR="00471D53" w14:paraId="68A6DB98" w14:textId="77777777" w:rsidTr="00680B89">
            <w:sdt>
              <w:sdtPr>
                <w:rPr>
                  <w:rFonts w:ascii="宋体" w:hAnsi="宋体"/>
                </w:rPr>
                <w:tag w:val="_PLD_46af532b652e45b49bf4f28412917df0"/>
                <w:id w:val="50121224"/>
                <w:lock w:val="sdtLocked"/>
              </w:sdtPr>
              <w:sdtEndPr/>
              <w:sdtContent>
                <w:tc>
                  <w:tcPr>
                    <w:tcW w:w="5240" w:type="dxa"/>
                  </w:tcPr>
                  <w:p w14:paraId="61B3DB20" w14:textId="77777777" w:rsidR="00471D53" w:rsidRDefault="004F686E">
                    <w:pPr>
                      <w:pStyle w:val="affffff7"/>
                      <w:ind w:firstLineChars="0" w:firstLine="0"/>
                      <w:jc w:val="center"/>
                      <w:rPr>
                        <w:rFonts w:ascii="宋体" w:hAnsi="宋体"/>
                      </w:rPr>
                    </w:pPr>
                    <w:r>
                      <w:rPr>
                        <w:rFonts w:ascii="宋体" w:hAnsi="宋体" w:hint="eastAsia"/>
                      </w:rPr>
                      <w:t>非经常性损益项目</w:t>
                    </w:r>
                  </w:p>
                </w:tc>
              </w:sdtContent>
            </w:sdt>
            <w:sdt>
              <w:sdtPr>
                <w:rPr>
                  <w:rFonts w:ascii="宋体" w:hAnsi="宋体"/>
                </w:rPr>
                <w:tag w:val="_PLD_61b9b734635d488db996440c136563c8"/>
                <w:id w:val="-44147746"/>
                <w:lock w:val="sdtLocked"/>
              </w:sdtPr>
              <w:sdtEndPr/>
              <w:sdtContent>
                <w:tc>
                  <w:tcPr>
                    <w:tcW w:w="1559" w:type="dxa"/>
                  </w:tcPr>
                  <w:p w14:paraId="14360C83" w14:textId="77777777" w:rsidR="00471D53" w:rsidRDefault="004F686E">
                    <w:pPr>
                      <w:pStyle w:val="affffff7"/>
                      <w:ind w:firstLineChars="0" w:firstLine="0"/>
                      <w:jc w:val="center"/>
                      <w:rPr>
                        <w:rFonts w:ascii="宋体" w:hAnsi="宋体"/>
                      </w:rPr>
                    </w:pPr>
                    <w:r>
                      <w:rPr>
                        <w:rFonts w:ascii="宋体" w:hAnsi="宋体" w:hint="eastAsia"/>
                      </w:rPr>
                      <w:t>金额</w:t>
                    </w:r>
                  </w:p>
                </w:tc>
              </w:sdtContent>
            </w:sdt>
            <w:sdt>
              <w:sdtPr>
                <w:rPr>
                  <w:rFonts w:ascii="宋体" w:hAnsi="宋体"/>
                </w:rPr>
                <w:tag w:val="_PLD_9e5d4505fc224fa08bc94ae2dc6cd081"/>
                <w:id w:val="-1149744901"/>
                <w:lock w:val="sdtLocked"/>
              </w:sdtPr>
              <w:sdtEndPr/>
              <w:sdtContent>
                <w:tc>
                  <w:tcPr>
                    <w:tcW w:w="2024" w:type="dxa"/>
                  </w:tcPr>
                  <w:p w14:paraId="43BFDF22" w14:textId="77777777" w:rsidR="00471D53" w:rsidRDefault="004F686E">
                    <w:pPr>
                      <w:pStyle w:val="affffff7"/>
                      <w:ind w:firstLineChars="0" w:firstLine="0"/>
                      <w:jc w:val="center"/>
                      <w:rPr>
                        <w:rFonts w:ascii="宋体" w:hAnsi="宋体"/>
                      </w:rPr>
                    </w:pPr>
                    <w:r>
                      <w:rPr>
                        <w:rFonts w:ascii="宋体" w:hAnsi="宋体" w:hint="eastAsia"/>
                      </w:rPr>
                      <w:t>附注（如适用）</w:t>
                    </w:r>
                  </w:p>
                </w:tc>
              </w:sdtContent>
            </w:sdt>
          </w:tr>
          <w:tr w:rsidR="00471D53" w14:paraId="169CAD02" w14:textId="77777777" w:rsidTr="00680B89">
            <w:sdt>
              <w:sdtPr>
                <w:rPr>
                  <w:rFonts w:ascii="宋体" w:hAnsi="宋体"/>
                </w:rPr>
                <w:tag w:val="_PLD_1ec9e925297d478d84779a68eec2bcd9"/>
                <w:id w:val="528993609"/>
                <w:lock w:val="sdtLocked"/>
              </w:sdtPr>
              <w:sdtEndPr/>
              <w:sdtContent>
                <w:tc>
                  <w:tcPr>
                    <w:tcW w:w="5240" w:type="dxa"/>
                  </w:tcPr>
                  <w:p w14:paraId="644350CD" w14:textId="77777777" w:rsidR="00471D53" w:rsidRDefault="004F686E">
                    <w:pPr>
                      <w:pStyle w:val="affffff7"/>
                      <w:ind w:firstLineChars="0" w:firstLine="0"/>
                      <w:jc w:val="left"/>
                      <w:rPr>
                        <w:rFonts w:ascii="宋体" w:hAnsi="宋体"/>
                      </w:rPr>
                    </w:pPr>
                    <w:r>
                      <w:rPr>
                        <w:rFonts w:ascii="宋体" w:hAnsi="宋体"/>
                      </w:rPr>
                      <w:t>非流动资产处置损益</w:t>
                    </w:r>
                  </w:p>
                </w:tc>
              </w:sdtContent>
            </w:sdt>
            <w:tc>
              <w:tcPr>
                <w:tcW w:w="1559" w:type="dxa"/>
              </w:tcPr>
              <w:p w14:paraId="3AAACC81" w14:textId="77777777" w:rsidR="00471D53" w:rsidRPr="00A14DCC" w:rsidRDefault="004F686E" w:rsidP="00471D53">
                <w:pPr>
                  <w:jc w:val="right"/>
                  <w:rPr>
                    <w:color w:val="000000"/>
                    <w:szCs w:val="21"/>
                  </w:rPr>
                </w:pPr>
                <w:r>
                  <w:rPr>
                    <w:rFonts w:hint="eastAsia"/>
                    <w:color w:val="000000"/>
                    <w:szCs w:val="21"/>
                  </w:rPr>
                  <w:t>-41,990.15</w:t>
                </w:r>
              </w:p>
            </w:tc>
            <w:tc>
              <w:tcPr>
                <w:tcW w:w="2024" w:type="dxa"/>
              </w:tcPr>
              <w:p w14:paraId="45743832" w14:textId="77777777" w:rsidR="00471D53" w:rsidRDefault="00B664AF"/>
            </w:tc>
          </w:tr>
          <w:tr w:rsidR="00471D53" w14:paraId="3168022B" w14:textId="77777777" w:rsidTr="00680B89">
            <w:sdt>
              <w:sdtPr>
                <w:rPr>
                  <w:rFonts w:ascii="宋体" w:hAnsi="宋体"/>
                </w:rPr>
                <w:tag w:val="_PLD_69edea550024421a884da164740efd47"/>
                <w:id w:val="-1095636092"/>
                <w:lock w:val="sdtLocked"/>
              </w:sdtPr>
              <w:sdtEndPr/>
              <w:sdtContent>
                <w:tc>
                  <w:tcPr>
                    <w:tcW w:w="5240" w:type="dxa"/>
                  </w:tcPr>
                  <w:p w14:paraId="13A5ED36" w14:textId="77777777" w:rsidR="00471D53" w:rsidRDefault="004F686E">
                    <w:pPr>
                      <w:pStyle w:val="affffff7"/>
                      <w:ind w:firstLineChars="0" w:firstLine="0"/>
                      <w:jc w:val="left"/>
                      <w:rPr>
                        <w:rFonts w:ascii="宋体" w:hAnsi="宋体"/>
                      </w:rPr>
                    </w:pPr>
                    <w:r>
                      <w:rPr>
                        <w:rFonts w:ascii="宋体" w:hAnsi="宋体"/>
                      </w:rPr>
                      <w:t>越权审批，或无正式批准文件，或偶发性的税收返还、减免</w:t>
                    </w:r>
                  </w:p>
                </w:tc>
              </w:sdtContent>
            </w:sdt>
            <w:tc>
              <w:tcPr>
                <w:tcW w:w="1559" w:type="dxa"/>
              </w:tcPr>
              <w:p w14:paraId="308EBFC1" w14:textId="77777777" w:rsidR="00471D53" w:rsidRDefault="00B664AF">
                <w:pPr>
                  <w:jc w:val="right"/>
                </w:pPr>
              </w:p>
            </w:tc>
            <w:tc>
              <w:tcPr>
                <w:tcW w:w="2024" w:type="dxa"/>
              </w:tcPr>
              <w:p w14:paraId="6F5F2DAC" w14:textId="77777777" w:rsidR="00471D53" w:rsidRDefault="00B664AF"/>
            </w:tc>
          </w:tr>
          <w:tr w:rsidR="00471D53" w14:paraId="29A3A68F" w14:textId="77777777" w:rsidTr="00680B89">
            <w:sdt>
              <w:sdtPr>
                <w:rPr>
                  <w:rFonts w:ascii="宋体" w:hAnsi="宋体"/>
                </w:rPr>
                <w:tag w:val="_PLD_02595b9db1a84694900203cf9656bfe9"/>
                <w:id w:val="-1569489937"/>
                <w:lock w:val="sdtLocked"/>
              </w:sdtPr>
              <w:sdtEndPr/>
              <w:sdtContent>
                <w:tc>
                  <w:tcPr>
                    <w:tcW w:w="5240" w:type="dxa"/>
                  </w:tcPr>
                  <w:p w14:paraId="7E27E7A3" w14:textId="77777777" w:rsidR="00471D53" w:rsidRDefault="004F686E">
                    <w:pPr>
                      <w:pStyle w:val="affffff7"/>
                      <w:ind w:firstLineChars="0" w:firstLine="0"/>
                      <w:jc w:val="left"/>
                      <w:rPr>
                        <w:rFonts w:ascii="宋体" w:hAnsi="宋体"/>
                      </w:rPr>
                    </w:pPr>
                    <w:r>
                      <w:rPr>
                        <w:rFonts w:ascii="宋体" w:hAnsi="宋体"/>
                      </w:rPr>
                      <w:t>计入当期损益的政府补助，但与公司正常经营业务密切相关，符合国家政策规定、按照一定标准定额或定量持续享受的政府补助除外</w:t>
                    </w:r>
                  </w:p>
                </w:tc>
              </w:sdtContent>
            </w:sdt>
            <w:tc>
              <w:tcPr>
                <w:tcW w:w="1559" w:type="dxa"/>
              </w:tcPr>
              <w:p w14:paraId="78D6D633" w14:textId="77777777" w:rsidR="00471D53" w:rsidRDefault="004F686E">
                <w:pPr>
                  <w:jc w:val="right"/>
                </w:pPr>
                <w:r w:rsidRPr="00A14DCC">
                  <w:t>7,754,445.94</w:t>
                </w:r>
              </w:p>
            </w:tc>
            <w:tc>
              <w:tcPr>
                <w:tcW w:w="2024" w:type="dxa"/>
              </w:tcPr>
              <w:p w14:paraId="64E4692C" w14:textId="77777777" w:rsidR="00471D53" w:rsidRDefault="00B664AF"/>
            </w:tc>
          </w:tr>
          <w:tr w:rsidR="00471D53" w14:paraId="1DFCD34A" w14:textId="77777777" w:rsidTr="00680B89">
            <w:sdt>
              <w:sdtPr>
                <w:rPr>
                  <w:rFonts w:ascii="宋体" w:hAnsi="宋体"/>
                </w:rPr>
                <w:tag w:val="_PLD_e255b5bb064c4c0694bb65440d7bb1c2"/>
                <w:id w:val="-433522983"/>
                <w:lock w:val="sdtLocked"/>
              </w:sdtPr>
              <w:sdtEndPr/>
              <w:sdtContent>
                <w:tc>
                  <w:tcPr>
                    <w:tcW w:w="5240" w:type="dxa"/>
                  </w:tcPr>
                  <w:p w14:paraId="0639932B" w14:textId="77777777" w:rsidR="00471D53" w:rsidRDefault="004F686E">
                    <w:pPr>
                      <w:pStyle w:val="affffff7"/>
                      <w:ind w:firstLineChars="0" w:firstLine="0"/>
                      <w:jc w:val="left"/>
                      <w:rPr>
                        <w:rFonts w:ascii="宋体" w:hAnsi="宋体"/>
                      </w:rPr>
                    </w:pPr>
                    <w:r>
                      <w:rPr>
                        <w:rFonts w:ascii="宋体" w:hAnsi="宋体"/>
                      </w:rPr>
                      <w:t>计入当期损益的对非金融企业收取的资金占用费</w:t>
                    </w:r>
                  </w:p>
                </w:tc>
              </w:sdtContent>
            </w:sdt>
            <w:tc>
              <w:tcPr>
                <w:tcW w:w="1559" w:type="dxa"/>
              </w:tcPr>
              <w:p w14:paraId="6C620172" w14:textId="77777777" w:rsidR="00471D53" w:rsidRPr="00A14DCC" w:rsidRDefault="00B664AF" w:rsidP="00471D53">
                <w:pPr>
                  <w:jc w:val="right"/>
                  <w:rPr>
                    <w:color w:val="000000"/>
                    <w:szCs w:val="21"/>
                  </w:rPr>
                </w:pPr>
              </w:p>
            </w:tc>
            <w:tc>
              <w:tcPr>
                <w:tcW w:w="2024" w:type="dxa"/>
              </w:tcPr>
              <w:p w14:paraId="06DE6CB3" w14:textId="77777777" w:rsidR="00471D53" w:rsidRDefault="00B664AF"/>
            </w:tc>
          </w:tr>
          <w:tr w:rsidR="00471D53" w14:paraId="02B7F972" w14:textId="77777777" w:rsidTr="00680B89">
            <w:sdt>
              <w:sdtPr>
                <w:rPr>
                  <w:rFonts w:ascii="宋体" w:hAnsi="宋体"/>
                </w:rPr>
                <w:tag w:val="_PLD_09b4af3349af48359dce87b8be6a224a"/>
                <w:id w:val="1552425577"/>
                <w:lock w:val="sdtLocked"/>
              </w:sdtPr>
              <w:sdtEndPr/>
              <w:sdtContent>
                <w:tc>
                  <w:tcPr>
                    <w:tcW w:w="5240" w:type="dxa"/>
                  </w:tcPr>
                  <w:p w14:paraId="07428392" w14:textId="77777777" w:rsidR="00471D53" w:rsidRDefault="004F686E">
                    <w:pPr>
                      <w:pStyle w:val="affffff7"/>
                      <w:ind w:firstLineChars="0" w:firstLine="0"/>
                      <w:jc w:val="left"/>
                      <w:rPr>
                        <w:rFonts w:ascii="宋体" w:hAnsi="宋体"/>
                      </w:rPr>
                    </w:pPr>
                    <w:r>
                      <w:rPr>
                        <w:rFonts w:ascii="宋体" w:hAnsi="宋体"/>
                      </w:rPr>
                      <w:t>企业取得子公司、联营企业及合营企业的投资成本小于取得投资时应享有被投资单位可辨认净资产公允价值产生的收益</w:t>
                    </w:r>
                  </w:p>
                </w:tc>
              </w:sdtContent>
            </w:sdt>
            <w:tc>
              <w:tcPr>
                <w:tcW w:w="1559" w:type="dxa"/>
              </w:tcPr>
              <w:p w14:paraId="434D73AB" w14:textId="77777777" w:rsidR="00471D53" w:rsidRDefault="00B664AF">
                <w:pPr>
                  <w:jc w:val="right"/>
                </w:pPr>
              </w:p>
            </w:tc>
            <w:tc>
              <w:tcPr>
                <w:tcW w:w="2024" w:type="dxa"/>
              </w:tcPr>
              <w:p w14:paraId="0D5B4D7A" w14:textId="77777777" w:rsidR="00471D53" w:rsidRDefault="00B664AF"/>
            </w:tc>
          </w:tr>
          <w:tr w:rsidR="00471D53" w14:paraId="683667FE" w14:textId="77777777" w:rsidTr="00680B89">
            <w:sdt>
              <w:sdtPr>
                <w:rPr>
                  <w:rFonts w:ascii="宋体" w:hAnsi="宋体"/>
                </w:rPr>
                <w:tag w:val="_PLD_428e8a6b0f714a4895facab4d1ebbbd6"/>
                <w:id w:val="1592592371"/>
                <w:lock w:val="sdtLocked"/>
              </w:sdtPr>
              <w:sdtEndPr/>
              <w:sdtContent>
                <w:tc>
                  <w:tcPr>
                    <w:tcW w:w="5240" w:type="dxa"/>
                  </w:tcPr>
                  <w:p w14:paraId="66E93FC3" w14:textId="77777777" w:rsidR="00471D53" w:rsidRDefault="004F686E">
                    <w:pPr>
                      <w:pStyle w:val="affffff7"/>
                      <w:ind w:firstLineChars="0" w:firstLine="0"/>
                      <w:jc w:val="left"/>
                      <w:rPr>
                        <w:rFonts w:ascii="宋体" w:hAnsi="宋体"/>
                      </w:rPr>
                    </w:pPr>
                    <w:r>
                      <w:rPr>
                        <w:rFonts w:ascii="宋体" w:hAnsi="宋体"/>
                      </w:rPr>
                      <w:t>非货币性资产交换损益</w:t>
                    </w:r>
                  </w:p>
                </w:tc>
              </w:sdtContent>
            </w:sdt>
            <w:tc>
              <w:tcPr>
                <w:tcW w:w="1559" w:type="dxa"/>
              </w:tcPr>
              <w:p w14:paraId="19E7DE6C" w14:textId="77777777" w:rsidR="00471D53" w:rsidRDefault="00B664AF">
                <w:pPr>
                  <w:jc w:val="right"/>
                </w:pPr>
              </w:p>
            </w:tc>
            <w:tc>
              <w:tcPr>
                <w:tcW w:w="2024" w:type="dxa"/>
              </w:tcPr>
              <w:p w14:paraId="6F4C967F" w14:textId="77777777" w:rsidR="00471D53" w:rsidRDefault="00B664AF"/>
            </w:tc>
          </w:tr>
          <w:tr w:rsidR="00471D53" w14:paraId="1E785E00" w14:textId="77777777" w:rsidTr="00680B89">
            <w:sdt>
              <w:sdtPr>
                <w:rPr>
                  <w:rFonts w:ascii="宋体" w:hAnsi="宋体"/>
                </w:rPr>
                <w:tag w:val="_PLD_9cc3804b94354fc1b0925734be3d281a"/>
                <w:id w:val="1356935192"/>
                <w:lock w:val="sdtLocked"/>
              </w:sdtPr>
              <w:sdtEndPr/>
              <w:sdtContent>
                <w:tc>
                  <w:tcPr>
                    <w:tcW w:w="5240" w:type="dxa"/>
                  </w:tcPr>
                  <w:p w14:paraId="0A405DCF" w14:textId="77777777" w:rsidR="00471D53" w:rsidRDefault="004F686E">
                    <w:pPr>
                      <w:pStyle w:val="affffff7"/>
                      <w:ind w:firstLineChars="0" w:firstLine="0"/>
                      <w:jc w:val="left"/>
                      <w:rPr>
                        <w:rFonts w:ascii="宋体" w:hAnsi="宋体"/>
                      </w:rPr>
                    </w:pPr>
                    <w:r>
                      <w:rPr>
                        <w:rFonts w:ascii="宋体" w:hAnsi="宋体"/>
                      </w:rPr>
                      <w:t>委托他人投资或管理资产的损益</w:t>
                    </w:r>
                  </w:p>
                </w:tc>
              </w:sdtContent>
            </w:sdt>
            <w:tc>
              <w:tcPr>
                <w:tcW w:w="1559" w:type="dxa"/>
              </w:tcPr>
              <w:p w14:paraId="4D68E4B0" w14:textId="77777777" w:rsidR="00471D53" w:rsidRDefault="00B664AF">
                <w:pPr>
                  <w:jc w:val="right"/>
                </w:pPr>
              </w:p>
            </w:tc>
            <w:tc>
              <w:tcPr>
                <w:tcW w:w="2024" w:type="dxa"/>
              </w:tcPr>
              <w:p w14:paraId="4C1A0D2D" w14:textId="77777777" w:rsidR="00471D53" w:rsidRDefault="00B664AF"/>
            </w:tc>
          </w:tr>
          <w:tr w:rsidR="00471D53" w14:paraId="0C565059" w14:textId="77777777" w:rsidTr="00680B89">
            <w:sdt>
              <w:sdtPr>
                <w:rPr>
                  <w:rFonts w:ascii="宋体" w:hAnsi="宋体"/>
                </w:rPr>
                <w:tag w:val="_PLD_fecca44b524c43b6a0e1f89ecfc4895f"/>
                <w:id w:val="1800261820"/>
                <w:lock w:val="sdtLocked"/>
              </w:sdtPr>
              <w:sdtEndPr/>
              <w:sdtContent>
                <w:tc>
                  <w:tcPr>
                    <w:tcW w:w="5240" w:type="dxa"/>
                  </w:tcPr>
                  <w:p w14:paraId="0ABAFA00" w14:textId="77777777" w:rsidR="00471D53" w:rsidRDefault="004F686E">
                    <w:pPr>
                      <w:pStyle w:val="affffff7"/>
                      <w:ind w:firstLineChars="0" w:firstLine="0"/>
                      <w:jc w:val="left"/>
                      <w:rPr>
                        <w:rFonts w:ascii="宋体" w:hAnsi="宋体"/>
                      </w:rPr>
                    </w:pPr>
                    <w:r>
                      <w:rPr>
                        <w:rFonts w:ascii="宋体" w:hAnsi="宋体"/>
                      </w:rPr>
                      <w:t>因不可抗力因素，如遭受自然灾害而计提的各项资产减值准备</w:t>
                    </w:r>
                  </w:p>
                </w:tc>
              </w:sdtContent>
            </w:sdt>
            <w:tc>
              <w:tcPr>
                <w:tcW w:w="1559" w:type="dxa"/>
              </w:tcPr>
              <w:p w14:paraId="14A8C2FD" w14:textId="77777777" w:rsidR="00471D53" w:rsidRDefault="00B664AF">
                <w:pPr>
                  <w:jc w:val="right"/>
                </w:pPr>
              </w:p>
            </w:tc>
            <w:tc>
              <w:tcPr>
                <w:tcW w:w="2024" w:type="dxa"/>
              </w:tcPr>
              <w:p w14:paraId="294D0F72" w14:textId="77777777" w:rsidR="00471D53" w:rsidRDefault="00B664AF"/>
            </w:tc>
          </w:tr>
          <w:tr w:rsidR="00471D53" w14:paraId="6DC37591" w14:textId="77777777" w:rsidTr="00680B89">
            <w:sdt>
              <w:sdtPr>
                <w:rPr>
                  <w:rFonts w:ascii="宋体" w:hAnsi="宋体"/>
                </w:rPr>
                <w:tag w:val="_PLD_c626abd827544a1fb3e7de188e0e31cd"/>
                <w:id w:val="629519850"/>
                <w:lock w:val="sdtLocked"/>
              </w:sdtPr>
              <w:sdtEndPr/>
              <w:sdtContent>
                <w:tc>
                  <w:tcPr>
                    <w:tcW w:w="5240" w:type="dxa"/>
                  </w:tcPr>
                  <w:p w14:paraId="66552831" w14:textId="77777777" w:rsidR="00471D53" w:rsidRDefault="004F686E">
                    <w:pPr>
                      <w:pStyle w:val="affffff7"/>
                      <w:ind w:firstLineChars="0" w:firstLine="0"/>
                      <w:jc w:val="left"/>
                      <w:rPr>
                        <w:rFonts w:ascii="宋体" w:hAnsi="宋体"/>
                      </w:rPr>
                    </w:pPr>
                    <w:r>
                      <w:rPr>
                        <w:rFonts w:ascii="宋体" w:hAnsi="宋体"/>
                      </w:rPr>
                      <w:t>债务重组损益</w:t>
                    </w:r>
                  </w:p>
                </w:tc>
              </w:sdtContent>
            </w:sdt>
            <w:tc>
              <w:tcPr>
                <w:tcW w:w="1559" w:type="dxa"/>
              </w:tcPr>
              <w:p w14:paraId="44D99BA6" w14:textId="77777777" w:rsidR="00471D53" w:rsidRDefault="00B664AF">
                <w:pPr>
                  <w:jc w:val="right"/>
                </w:pPr>
              </w:p>
            </w:tc>
            <w:tc>
              <w:tcPr>
                <w:tcW w:w="2024" w:type="dxa"/>
              </w:tcPr>
              <w:p w14:paraId="6B351069" w14:textId="77777777" w:rsidR="00471D53" w:rsidRDefault="00B664AF"/>
            </w:tc>
          </w:tr>
          <w:tr w:rsidR="00471D53" w14:paraId="45E04876" w14:textId="77777777" w:rsidTr="00680B89">
            <w:sdt>
              <w:sdtPr>
                <w:rPr>
                  <w:rFonts w:ascii="宋体" w:hAnsi="宋体"/>
                </w:rPr>
                <w:tag w:val="_PLD_ae9b12ee17354afbb6160dc193b1ac86"/>
                <w:id w:val="1045339061"/>
                <w:lock w:val="sdtLocked"/>
              </w:sdtPr>
              <w:sdtEndPr/>
              <w:sdtContent>
                <w:tc>
                  <w:tcPr>
                    <w:tcW w:w="5240" w:type="dxa"/>
                  </w:tcPr>
                  <w:p w14:paraId="7E822B64" w14:textId="77777777" w:rsidR="00471D53" w:rsidRDefault="004F686E">
                    <w:pPr>
                      <w:pStyle w:val="affffff7"/>
                      <w:ind w:firstLineChars="0" w:firstLine="0"/>
                      <w:jc w:val="left"/>
                      <w:rPr>
                        <w:rFonts w:ascii="宋体" w:hAnsi="宋体"/>
                      </w:rPr>
                    </w:pPr>
                    <w:r>
                      <w:rPr>
                        <w:rFonts w:ascii="宋体" w:hAnsi="宋体"/>
                      </w:rPr>
                      <w:t>企业重组费用，如安置职工的支出、整合费用等</w:t>
                    </w:r>
                  </w:p>
                </w:tc>
              </w:sdtContent>
            </w:sdt>
            <w:tc>
              <w:tcPr>
                <w:tcW w:w="1559" w:type="dxa"/>
              </w:tcPr>
              <w:p w14:paraId="0CA78C27" w14:textId="77777777" w:rsidR="00471D53" w:rsidRDefault="00B664AF">
                <w:pPr>
                  <w:jc w:val="right"/>
                </w:pPr>
              </w:p>
            </w:tc>
            <w:tc>
              <w:tcPr>
                <w:tcW w:w="2024" w:type="dxa"/>
              </w:tcPr>
              <w:p w14:paraId="12B85D4F" w14:textId="77777777" w:rsidR="00471D53" w:rsidRDefault="00B664AF"/>
            </w:tc>
          </w:tr>
          <w:tr w:rsidR="00471D53" w14:paraId="141961A1" w14:textId="77777777" w:rsidTr="00680B89">
            <w:sdt>
              <w:sdtPr>
                <w:rPr>
                  <w:rFonts w:ascii="宋体" w:hAnsi="宋体"/>
                </w:rPr>
                <w:tag w:val="_PLD_d593e972b89d4f63b162bd30012b012a"/>
                <w:id w:val="-956409937"/>
                <w:lock w:val="sdtLocked"/>
              </w:sdtPr>
              <w:sdtEndPr/>
              <w:sdtContent>
                <w:tc>
                  <w:tcPr>
                    <w:tcW w:w="5240" w:type="dxa"/>
                  </w:tcPr>
                  <w:p w14:paraId="4848A983" w14:textId="77777777" w:rsidR="00471D53" w:rsidRDefault="004F686E">
                    <w:pPr>
                      <w:pStyle w:val="affffff7"/>
                      <w:ind w:firstLineChars="0" w:firstLine="0"/>
                      <w:jc w:val="left"/>
                      <w:rPr>
                        <w:rFonts w:ascii="宋体" w:hAnsi="宋体"/>
                      </w:rPr>
                    </w:pPr>
                    <w:r>
                      <w:rPr>
                        <w:rFonts w:ascii="宋体" w:hAnsi="宋体"/>
                      </w:rPr>
                      <w:t>交易价格显失公允的交易产生的超过公允价值部分的损益</w:t>
                    </w:r>
                  </w:p>
                </w:tc>
              </w:sdtContent>
            </w:sdt>
            <w:tc>
              <w:tcPr>
                <w:tcW w:w="1559" w:type="dxa"/>
              </w:tcPr>
              <w:p w14:paraId="6E3703AB" w14:textId="77777777" w:rsidR="00471D53" w:rsidRDefault="00B664AF">
                <w:pPr>
                  <w:jc w:val="right"/>
                </w:pPr>
              </w:p>
            </w:tc>
            <w:tc>
              <w:tcPr>
                <w:tcW w:w="2024" w:type="dxa"/>
              </w:tcPr>
              <w:p w14:paraId="4F94A20B" w14:textId="77777777" w:rsidR="00471D53" w:rsidRDefault="00B664AF"/>
            </w:tc>
          </w:tr>
          <w:tr w:rsidR="00471D53" w14:paraId="6FE99E13" w14:textId="77777777" w:rsidTr="00680B89">
            <w:sdt>
              <w:sdtPr>
                <w:rPr>
                  <w:rFonts w:ascii="宋体" w:hAnsi="宋体"/>
                </w:rPr>
                <w:tag w:val="_PLD_d0759855140a42e887b44ac9b84eefb5"/>
                <w:id w:val="767422516"/>
                <w:lock w:val="sdtLocked"/>
              </w:sdtPr>
              <w:sdtEndPr/>
              <w:sdtContent>
                <w:tc>
                  <w:tcPr>
                    <w:tcW w:w="5240" w:type="dxa"/>
                  </w:tcPr>
                  <w:p w14:paraId="2CC32AF7" w14:textId="77777777" w:rsidR="00471D53" w:rsidRDefault="004F686E">
                    <w:pPr>
                      <w:pStyle w:val="affffff7"/>
                      <w:ind w:firstLineChars="0" w:firstLine="0"/>
                      <w:jc w:val="left"/>
                      <w:rPr>
                        <w:rFonts w:ascii="宋体" w:hAnsi="宋体"/>
                      </w:rPr>
                    </w:pPr>
                    <w:r>
                      <w:rPr>
                        <w:rFonts w:ascii="宋体" w:hAnsi="宋体"/>
                      </w:rPr>
                      <w:t>同一控制下企业合并产生的子公司期初至合并日的当期净损益</w:t>
                    </w:r>
                  </w:p>
                </w:tc>
              </w:sdtContent>
            </w:sdt>
            <w:tc>
              <w:tcPr>
                <w:tcW w:w="1559" w:type="dxa"/>
              </w:tcPr>
              <w:p w14:paraId="23433EC9" w14:textId="77777777" w:rsidR="00471D53" w:rsidRDefault="00B664AF">
                <w:pPr>
                  <w:jc w:val="right"/>
                </w:pPr>
              </w:p>
            </w:tc>
            <w:tc>
              <w:tcPr>
                <w:tcW w:w="2024" w:type="dxa"/>
              </w:tcPr>
              <w:p w14:paraId="65CC7677" w14:textId="77777777" w:rsidR="00471D53" w:rsidRDefault="00B664AF"/>
            </w:tc>
          </w:tr>
          <w:tr w:rsidR="00471D53" w14:paraId="2BEDF9A3" w14:textId="77777777" w:rsidTr="00680B89">
            <w:sdt>
              <w:sdtPr>
                <w:rPr>
                  <w:rFonts w:ascii="宋体" w:hAnsi="宋体"/>
                </w:rPr>
                <w:tag w:val="_PLD_0eefeb426a104d448899cf6f7c9f4fae"/>
                <w:id w:val="1653408812"/>
                <w:lock w:val="sdtLocked"/>
              </w:sdtPr>
              <w:sdtEndPr/>
              <w:sdtContent>
                <w:tc>
                  <w:tcPr>
                    <w:tcW w:w="5240" w:type="dxa"/>
                  </w:tcPr>
                  <w:p w14:paraId="70623FDA" w14:textId="77777777" w:rsidR="00471D53" w:rsidRDefault="004F686E">
                    <w:pPr>
                      <w:pStyle w:val="affffff7"/>
                      <w:ind w:firstLineChars="0" w:firstLine="0"/>
                      <w:jc w:val="left"/>
                      <w:rPr>
                        <w:rFonts w:ascii="宋体" w:hAnsi="宋体"/>
                      </w:rPr>
                    </w:pPr>
                    <w:r>
                      <w:rPr>
                        <w:rFonts w:ascii="宋体" w:hAnsi="宋体"/>
                      </w:rPr>
                      <w:t>与公司正常经营业务无关的或有事项产生的损益</w:t>
                    </w:r>
                  </w:p>
                </w:tc>
              </w:sdtContent>
            </w:sdt>
            <w:tc>
              <w:tcPr>
                <w:tcW w:w="1559" w:type="dxa"/>
              </w:tcPr>
              <w:p w14:paraId="1FEAFAEB" w14:textId="77777777" w:rsidR="00471D53" w:rsidRDefault="00B664AF">
                <w:pPr>
                  <w:jc w:val="right"/>
                </w:pPr>
              </w:p>
            </w:tc>
            <w:tc>
              <w:tcPr>
                <w:tcW w:w="2024" w:type="dxa"/>
              </w:tcPr>
              <w:p w14:paraId="14A8D487" w14:textId="77777777" w:rsidR="00471D53" w:rsidRDefault="00B664AF"/>
            </w:tc>
          </w:tr>
          <w:tr w:rsidR="00471D53" w14:paraId="61315FAB" w14:textId="77777777" w:rsidTr="00680B89">
            <w:tc>
              <w:tcPr>
                <w:tcW w:w="5240" w:type="dxa"/>
                <w:vAlign w:val="center"/>
              </w:tcPr>
              <w:sdt>
                <w:sdtPr>
                  <w:rPr>
                    <w:rFonts w:ascii="宋体" w:hAnsi="宋体" w:hint="eastAsia"/>
                  </w:rPr>
                  <w:tag w:val="_PLD_9013c99948ab4bafbc5ae7fb21987377"/>
                  <w:id w:val="1382365299"/>
                  <w:lock w:val="sdtLocked"/>
                </w:sdtPr>
                <w:sdtEndPr/>
                <w:sdtContent>
                  <w:p w14:paraId="638EBDB3" w14:textId="77777777" w:rsidR="00471D53" w:rsidRDefault="004F686E">
                    <w:pPr>
                      <w:pStyle w:val="affffff7"/>
                      <w:ind w:firstLineChars="0" w:firstLine="0"/>
                      <w:rPr>
                        <w:rFonts w:ascii="宋体" w:hAnsi="宋体"/>
                      </w:rPr>
                    </w:pPr>
                    <w:r>
                      <w:rPr>
                        <w:rFonts w:ascii="宋体" w:hAnsi="宋体"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w:t>
                    </w:r>
                    <w:r>
                      <w:rPr>
                        <w:rFonts w:ascii="宋体" w:hAnsi="宋体" w:hint="eastAsia"/>
                      </w:rPr>
                      <w:lastRenderedPageBreak/>
                      <w:t>融负债和其他债权投资取得的投资收益</w:t>
                    </w:r>
                  </w:p>
                </w:sdtContent>
              </w:sdt>
            </w:tc>
            <w:tc>
              <w:tcPr>
                <w:tcW w:w="1559" w:type="dxa"/>
              </w:tcPr>
              <w:p w14:paraId="3AFABC69" w14:textId="77777777" w:rsidR="00471D53" w:rsidRDefault="00B664AF">
                <w:pPr>
                  <w:jc w:val="right"/>
                  <w:rPr>
                    <w:szCs w:val="21"/>
                  </w:rPr>
                </w:pPr>
              </w:p>
            </w:tc>
            <w:tc>
              <w:tcPr>
                <w:tcW w:w="2024" w:type="dxa"/>
              </w:tcPr>
              <w:p w14:paraId="401ADA31" w14:textId="77777777" w:rsidR="00471D53" w:rsidRDefault="00B664AF">
                <w:pPr>
                  <w:rPr>
                    <w:szCs w:val="21"/>
                  </w:rPr>
                </w:pPr>
              </w:p>
            </w:tc>
          </w:tr>
          <w:tr w:rsidR="00471D53" w14:paraId="35939B6E" w14:textId="77777777" w:rsidTr="00680B89">
            <w:tc>
              <w:tcPr>
                <w:tcW w:w="5240" w:type="dxa"/>
                <w:vAlign w:val="center"/>
              </w:tcPr>
              <w:sdt>
                <w:sdtPr>
                  <w:rPr>
                    <w:rFonts w:ascii="宋体" w:hAnsi="宋体" w:hint="eastAsia"/>
                  </w:rPr>
                  <w:tag w:val="_PLD_07983e73f75f4d6380526934b80f9026"/>
                  <w:id w:val="-604958793"/>
                  <w:lock w:val="sdtLocked"/>
                </w:sdtPr>
                <w:sdtEndPr/>
                <w:sdtContent>
                  <w:p w14:paraId="3E30031B" w14:textId="77777777" w:rsidR="00471D53" w:rsidRDefault="004F686E">
                    <w:pPr>
                      <w:pStyle w:val="affffff7"/>
                      <w:ind w:firstLineChars="0" w:firstLine="0"/>
                      <w:rPr>
                        <w:rFonts w:ascii="宋体" w:hAnsi="宋体"/>
                      </w:rPr>
                    </w:pPr>
                    <w:r>
                      <w:rPr>
                        <w:rFonts w:ascii="宋体" w:hAnsi="宋体" w:hint="eastAsia"/>
                      </w:rPr>
                      <w:t>单独进行减值测试的应收款项、合同资产减值准备转回</w:t>
                    </w:r>
                  </w:p>
                </w:sdtContent>
              </w:sdt>
            </w:tc>
            <w:tc>
              <w:tcPr>
                <w:tcW w:w="1559" w:type="dxa"/>
              </w:tcPr>
              <w:p w14:paraId="1FF10D09" w14:textId="77777777" w:rsidR="00471D53" w:rsidRDefault="004F686E">
                <w:pPr>
                  <w:jc w:val="right"/>
                  <w:rPr>
                    <w:szCs w:val="21"/>
                  </w:rPr>
                </w:pPr>
                <w:r>
                  <w:rPr>
                    <w:szCs w:val="21"/>
                  </w:rPr>
                  <w:t>819,000.00</w:t>
                </w:r>
              </w:p>
            </w:tc>
            <w:sdt>
              <w:sdtPr>
                <w:rPr>
                  <w:szCs w:val="21"/>
                </w:rPr>
                <w:alias w:val="单独进行减值测试的应收款项、合同资产减值准备转回的说明（非经常性损益项目）"/>
                <w:tag w:val="_GBC_bad7c98154a64afe8bf80aee3a621494"/>
                <w:id w:val="488220343"/>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EndPr/>
              <w:sdtContent>
                <w:tc>
                  <w:tcPr>
                    <w:tcW w:w="2024" w:type="dxa"/>
                  </w:tcPr>
                  <w:p w14:paraId="7D8DC9F0" w14:textId="77777777" w:rsidR="00471D53" w:rsidRDefault="004F686E">
                    <w:pPr>
                      <w:rPr>
                        <w:szCs w:val="21"/>
                      </w:rPr>
                    </w:pPr>
                    <w:r>
                      <w:rPr>
                        <w:rFonts w:hint="eastAsia"/>
                      </w:rPr>
                      <w:t xml:space="preserve">　</w:t>
                    </w:r>
                  </w:p>
                </w:tc>
              </w:sdtContent>
            </w:sdt>
          </w:tr>
          <w:tr w:rsidR="00471D53" w14:paraId="7315EF83" w14:textId="77777777" w:rsidTr="00680B89">
            <w:sdt>
              <w:sdtPr>
                <w:rPr>
                  <w:rFonts w:ascii="宋体" w:hAnsi="宋体"/>
                </w:rPr>
                <w:tag w:val="_PLD_299f6d9f507d4cb48114acd837ad8359"/>
                <w:id w:val="762731779"/>
                <w:lock w:val="sdtLocked"/>
              </w:sdtPr>
              <w:sdtEndPr/>
              <w:sdtContent>
                <w:tc>
                  <w:tcPr>
                    <w:tcW w:w="5240" w:type="dxa"/>
                  </w:tcPr>
                  <w:p w14:paraId="7ABE8939" w14:textId="77777777" w:rsidR="00471D53" w:rsidRDefault="004F686E">
                    <w:pPr>
                      <w:pStyle w:val="affffff7"/>
                      <w:ind w:firstLineChars="0" w:firstLine="0"/>
                      <w:jc w:val="left"/>
                      <w:rPr>
                        <w:rFonts w:ascii="宋体" w:hAnsi="宋体"/>
                      </w:rPr>
                    </w:pPr>
                    <w:r>
                      <w:rPr>
                        <w:rFonts w:ascii="宋体" w:hAnsi="宋体"/>
                      </w:rPr>
                      <w:t>对外委托贷款取得的损益</w:t>
                    </w:r>
                  </w:p>
                </w:tc>
              </w:sdtContent>
            </w:sdt>
            <w:tc>
              <w:tcPr>
                <w:tcW w:w="1559" w:type="dxa"/>
              </w:tcPr>
              <w:p w14:paraId="5FF010CD" w14:textId="77777777" w:rsidR="00471D53" w:rsidRDefault="00B664AF">
                <w:pPr>
                  <w:jc w:val="right"/>
                </w:pPr>
              </w:p>
            </w:tc>
            <w:tc>
              <w:tcPr>
                <w:tcW w:w="2024" w:type="dxa"/>
              </w:tcPr>
              <w:p w14:paraId="17C170ED" w14:textId="77777777" w:rsidR="00471D53" w:rsidRDefault="00B664AF"/>
            </w:tc>
          </w:tr>
          <w:tr w:rsidR="00471D53" w14:paraId="1F14A5FA" w14:textId="77777777" w:rsidTr="00680B89">
            <w:sdt>
              <w:sdtPr>
                <w:rPr>
                  <w:rFonts w:ascii="宋体" w:hAnsi="宋体"/>
                </w:rPr>
                <w:tag w:val="_PLD_72cb907064dc458eba67ef7a85130648"/>
                <w:id w:val="-1933807581"/>
                <w:lock w:val="sdtLocked"/>
              </w:sdtPr>
              <w:sdtEndPr/>
              <w:sdtContent>
                <w:tc>
                  <w:tcPr>
                    <w:tcW w:w="5240" w:type="dxa"/>
                  </w:tcPr>
                  <w:p w14:paraId="2B92765E" w14:textId="77777777" w:rsidR="00471D53" w:rsidRDefault="004F686E">
                    <w:pPr>
                      <w:pStyle w:val="affffff7"/>
                      <w:ind w:firstLineChars="0" w:firstLine="0"/>
                      <w:jc w:val="left"/>
                      <w:rPr>
                        <w:rFonts w:ascii="宋体" w:hAnsi="宋体"/>
                      </w:rPr>
                    </w:pPr>
                    <w:r>
                      <w:rPr>
                        <w:rFonts w:ascii="宋体" w:hAnsi="宋体"/>
                      </w:rPr>
                      <w:t>采用公允价值模式进行后续计量的投资性房地产公允价值变动产生的损益</w:t>
                    </w:r>
                  </w:p>
                </w:tc>
              </w:sdtContent>
            </w:sdt>
            <w:tc>
              <w:tcPr>
                <w:tcW w:w="1559" w:type="dxa"/>
              </w:tcPr>
              <w:p w14:paraId="27DBAFD3" w14:textId="77777777" w:rsidR="00471D53" w:rsidRDefault="00B664AF">
                <w:pPr>
                  <w:jc w:val="right"/>
                </w:pPr>
              </w:p>
            </w:tc>
            <w:tc>
              <w:tcPr>
                <w:tcW w:w="2024" w:type="dxa"/>
              </w:tcPr>
              <w:p w14:paraId="31F5002E" w14:textId="77777777" w:rsidR="00471D53" w:rsidRDefault="00B664AF"/>
            </w:tc>
          </w:tr>
          <w:tr w:rsidR="00471D53" w14:paraId="3BA3518E" w14:textId="77777777" w:rsidTr="00680B89">
            <w:sdt>
              <w:sdtPr>
                <w:rPr>
                  <w:rFonts w:ascii="宋体" w:hAnsi="宋体"/>
                </w:rPr>
                <w:tag w:val="_PLD_aa0be028e1d94d7091c2fcdebb5010f4"/>
                <w:id w:val="1164518960"/>
                <w:lock w:val="sdtLocked"/>
              </w:sdtPr>
              <w:sdtEndPr/>
              <w:sdtContent>
                <w:tc>
                  <w:tcPr>
                    <w:tcW w:w="5240" w:type="dxa"/>
                  </w:tcPr>
                  <w:p w14:paraId="7630234F" w14:textId="77777777" w:rsidR="00471D53" w:rsidRDefault="004F686E">
                    <w:pPr>
                      <w:pStyle w:val="affffff7"/>
                      <w:ind w:firstLineChars="0" w:firstLine="0"/>
                      <w:jc w:val="left"/>
                      <w:rPr>
                        <w:rFonts w:ascii="宋体" w:hAnsi="宋体"/>
                      </w:rPr>
                    </w:pPr>
                    <w:r>
                      <w:rPr>
                        <w:rFonts w:ascii="宋体" w:hAnsi="宋体"/>
                      </w:rPr>
                      <w:t>根据税收、会计等法律、法规的要求对当期损益进行一次性调整对当期损益的影响</w:t>
                    </w:r>
                  </w:p>
                </w:tc>
              </w:sdtContent>
            </w:sdt>
            <w:tc>
              <w:tcPr>
                <w:tcW w:w="1559" w:type="dxa"/>
              </w:tcPr>
              <w:p w14:paraId="2AFD89A7" w14:textId="77777777" w:rsidR="00471D53" w:rsidRDefault="00B664AF">
                <w:pPr>
                  <w:jc w:val="right"/>
                </w:pPr>
              </w:p>
            </w:tc>
            <w:tc>
              <w:tcPr>
                <w:tcW w:w="2024" w:type="dxa"/>
              </w:tcPr>
              <w:p w14:paraId="5B969A1E" w14:textId="77777777" w:rsidR="00471D53" w:rsidRDefault="00B664AF"/>
            </w:tc>
          </w:tr>
          <w:tr w:rsidR="00471D53" w14:paraId="5C1032C2" w14:textId="77777777" w:rsidTr="00680B89">
            <w:sdt>
              <w:sdtPr>
                <w:rPr>
                  <w:rFonts w:ascii="宋体" w:hAnsi="宋体"/>
                </w:rPr>
                <w:tag w:val="_PLD_c52efb594a7b40eeacf6cee54ea027cd"/>
                <w:id w:val="1187026650"/>
                <w:lock w:val="sdtLocked"/>
              </w:sdtPr>
              <w:sdtEndPr/>
              <w:sdtContent>
                <w:tc>
                  <w:tcPr>
                    <w:tcW w:w="5240" w:type="dxa"/>
                  </w:tcPr>
                  <w:p w14:paraId="037C9A91" w14:textId="77777777" w:rsidR="00471D53" w:rsidRDefault="004F686E">
                    <w:pPr>
                      <w:pStyle w:val="affffff7"/>
                      <w:ind w:firstLineChars="0" w:firstLine="0"/>
                      <w:jc w:val="left"/>
                      <w:rPr>
                        <w:rFonts w:ascii="宋体" w:hAnsi="宋体"/>
                      </w:rPr>
                    </w:pPr>
                    <w:r>
                      <w:rPr>
                        <w:rFonts w:ascii="宋体" w:hAnsi="宋体"/>
                      </w:rPr>
                      <w:t>受托经营取得的托管费收入</w:t>
                    </w:r>
                  </w:p>
                </w:tc>
              </w:sdtContent>
            </w:sdt>
            <w:tc>
              <w:tcPr>
                <w:tcW w:w="1559" w:type="dxa"/>
              </w:tcPr>
              <w:p w14:paraId="4D02EC94" w14:textId="77777777" w:rsidR="00471D53" w:rsidRDefault="00B664AF">
                <w:pPr>
                  <w:jc w:val="right"/>
                </w:pPr>
              </w:p>
            </w:tc>
            <w:tc>
              <w:tcPr>
                <w:tcW w:w="2024" w:type="dxa"/>
              </w:tcPr>
              <w:p w14:paraId="043ABA78" w14:textId="77777777" w:rsidR="00471D53" w:rsidRDefault="00B664AF"/>
            </w:tc>
          </w:tr>
          <w:tr w:rsidR="00471D53" w14:paraId="36BF45E9" w14:textId="77777777" w:rsidTr="00680B89">
            <w:sdt>
              <w:sdtPr>
                <w:rPr>
                  <w:rFonts w:ascii="宋体" w:hAnsi="宋体"/>
                </w:rPr>
                <w:tag w:val="_PLD_65d777c46bf342c69b250c467e00507e"/>
                <w:id w:val="-1752952362"/>
                <w:lock w:val="sdtLocked"/>
              </w:sdtPr>
              <w:sdtEndPr/>
              <w:sdtContent>
                <w:tc>
                  <w:tcPr>
                    <w:tcW w:w="5240" w:type="dxa"/>
                  </w:tcPr>
                  <w:p w14:paraId="747819E9" w14:textId="77777777" w:rsidR="00471D53" w:rsidRDefault="004F686E">
                    <w:pPr>
                      <w:pStyle w:val="affffff7"/>
                      <w:ind w:firstLineChars="0" w:firstLine="0"/>
                      <w:jc w:val="left"/>
                      <w:rPr>
                        <w:rFonts w:ascii="宋体" w:hAnsi="宋体"/>
                      </w:rPr>
                    </w:pPr>
                    <w:r>
                      <w:rPr>
                        <w:rFonts w:ascii="宋体" w:hAnsi="宋体"/>
                      </w:rPr>
                      <w:t>除上述各项之外的其他营业外收入和支出</w:t>
                    </w:r>
                  </w:p>
                </w:tc>
              </w:sdtContent>
            </w:sdt>
            <w:tc>
              <w:tcPr>
                <w:tcW w:w="1559" w:type="dxa"/>
              </w:tcPr>
              <w:p w14:paraId="3D0CBCA8" w14:textId="77777777" w:rsidR="00471D53" w:rsidRDefault="004F686E">
                <w:pPr>
                  <w:jc w:val="right"/>
                </w:pPr>
                <w:r>
                  <w:t>583,767.12</w:t>
                </w:r>
              </w:p>
            </w:tc>
            <w:tc>
              <w:tcPr>
                <w:tcW w:w="2024" w:type="dxa"/>
              </w:tcPr>
              <w:p w14:paraId="2CAE5352" w14:textId="77777777" w:rsidR="00471D53" w:rsidRDefault="00B664AF"/>
            </w:tc>
          </w:tr>
          <w:tr w:rsidR="00471D53" w14:paraId="38ADD83D" w14:textId="77777777" w:rsidTr="00680B89">
            <w:sdt>
              <w:sdtPr>
                <w:rPr>
                  <w:rFonts w:ascii="宋体" w:hAnsi="宋体"/>
                </w:rPr>
                <w:tag w:val="_PLD_0bcc4b6356f34adeb11de3e851d72079"/>
                <w:id w:val="-1918623471"/>
                <w:lock w:val="sdtLocked"/>
              </w:sdtPr>
              <w:sdtEndPr/>
              <w:sdtContent>
                <w:tc>
                  <w:tcPr>
                    <w:tcW w:w="5240" w:type="dxa"/>
                  </w:tcPr>
                  <w:p w14:paraId="62E9BC4E" w14:textId="77777777" w:rsidR="00471D53" w:rsidRDefault="004F686E">
                    <w:pPr>
                      <w:pStyle w:val="affffff7"/>
                      <w:ind w:firstLineChars="0" w:firstLine="0"/>
                      <w:jc w:val="left"/>
                      <w:rPr>
                        <w:rFonts w:ascii="宋体" w:hAnsi="宋体"/>
                      </w:rPr>
                    </w:pPr>
                    <w:r>
                      <w:rPr>
                        <w:rFonts w:ascii="宋体" w:hAnsi="宋体"/>
                      </w:rPr>
                      <w:t>其他符合非经常性损益定义的损益项目</w:t>
                    </w:r>
                  </w:p>
                </w:tc>
              </w:sdtContent>
            </w:sdt>
            <w:tc>
              <w:tcPr>
                <w:tcW w:w="1559" w:type="dxa"/>
              </w:tcPr>
              <w:p w14:paraId="649202E4" w14:textId="77777777" w:rsidR="00471D53" w:rsidRDefault="00B664AF">
                <w:pPr>
                  <w:jc w:val="right"/>
                </w:pPr>
              </w:p>
            </w:tc>
            <w:tc>
              <w:tcPr>
                <w:tcW w:w="2024" w:type="dxa"/>
              </w:tcPr>
              <w:p w14:paraId="5085D0F3" w14:textId="77777777" w:rsidR="00471D53" w:rsidRDefault="00B664AF"/>
            </w:tc>
          </w:tr>
          <w:tr w:rsidR="00471D53" w14:paraId="5AB458D0" w14:textId="77777777" w:rsidTr="00680B89">
            <w:sdt>
              <w:sdtPr>
                <w:rPr>
                  <w:rFonts w:ascii="宋体" w:hAnsi="宋体"/>
                </w:rPr>
                <w:tag w:val="_PLD_4e0667d68c0b417b952eb294efd204d7"/>
                <w:id w:val="-931202284"/>
                <w:lock w:val="sdtLocked"/>
              </w:sdtPr>
              <w:sdtEndPr/>
              <w:sdtContent>
                <w:tc>
                  <w:tcPr>
                    <w:tcW w:w="5240" w:type="dxa"/>
                  </w:tcPr>
                  <w:p w14:paraId="16B2D05C" w14:textId="77777777" w:rsidR="00471D53" w:rsidRDefault="004F686E">
                    <w:pPr>
                      <w:pStyle w:val="affffff7"/>
                      <w:ind w:firstLineChars="0" w:firstLine="0"/>
                      <w:jc w:val="left"/>
                      <w:rPr>
                        <w:rFonts w:ascii="宋体" w:hAnsi="宋体"/>
                      </w:rPr>
                    </w:pPr>
                    <w:r>
                      <w:rPr>
                        <w:rFonts w:ascii="宋体" w:hAnsi="宋体"/>
                      </w:rPr>
                      <w:t>少数股东权益影响额</w:t>
                    </w:r>
                  </w:p>
                </w:tc>
              </w:sdtContent>
            </w:sdt>
            <w:tc>
              <w:tcPr>
                <w:tcW w:w="1559" w:type="dxa"/>
                <w:vAlign w:val="center"/>
              </w:tcPr>
              <w:p w14:paraId="6F36426A" w14:textId="77777777" w:rsidR="00471D53" w:rsidRDefault="004F686E" w:rsidP="00471D53">
                <w:pPr>
                  <w:jc w:val="right"/>
                  <w:rPr>
                    <w:sz w:val="24"/>
                  </w:rPr>
                </w:pPr>
                <w:r>
                  <w:t>-848,526.79</w:t>
                </w:r>
              </w:p>
            </w:tc>
            <w:tc>
              <w:tcPr>
                <w:tcW w:w="2024" w:type="dxa"/>
              </w:tcPr>
              <w:p w14:paraId="0F9ED093" w14:textId="77777777" w:rsidR="00471D53" w:rsidRDefault="00B664AF"/>
            </w:tc>
          </w:tr>
          <w:tr w:rsidR="00471D53" w14:paraId="243DC4F3" w14:textId="77777777" w:rsidTr="00680B89">
            <w:sdt>
              <w:sdtPr>
                <w:rPr>
                  <w:rFonts w:ascii="宋体" w:hAnsi="宋体"/>
                </w:rPr>
                <w:tag w:val="_PLD_f67b3fcceba046d6ad67b7ce52c94054"/>
                <w:id w:val="-1684966933"/>
                <w:lock w:val="sdtLocked"/>
              </w:sdtPr>
              <w:sdtEndPr/>
              <w:sdtContent>
                <w:tc>
                  <w:tcPr>
                    <w:tcW w:w="5240" w:type="dxa"/>
                  </w:tcPr>
                  <w:p w14:paraId="53C0135B" w14:textId="77777777" w:rsidR="00471D53" w:rsidRDefault="004F686E">
                    <w:pPr>
                      <w:pStyle w:val="affffff7"/>
                      <w:ind w:firstLineChars="0" w:firstLine="0"/>
                      <w:jc w:val="left"/>
                      <w:rPr>
                        <w:rFonts w:ascii="宋体" w:hAnsi="宋体"/>
                      </w:rPr>
                    </w:pPr>
                    <w:r>
                      <w:rPr>
                        <w:rFonts w:ascii="宋体" w:hAnsi="宋体"/>
                      </w:rPr>
                      <w:t>所得税影响额</w:t>
                    </w:r>
                  </w:p>
                </w:tc>
              </w:sdtContent>
            </w:sdt>
            <w:tc>
              <w:tcPr>
                <w:tcW w:w="1559" w:type="dxa"/>
                <w:vAlign w:val="center"/>
              </w:tcPr>
              <w:p w14:paraId="6D227205" w14:textId="77777777" w:rsidR="00471D53" w:rsidRDefault="004F686E" w:rsidP="00471D53">
                <w:pPr>
                  <w:jc w:val="right"/>
                  <w:rPr>
                    <w:sz w:val="24"/>
                  </w:rPr>
                </w:pPr>
                <w:r>
                  <w:t>-309,390.46</w:t>
                </w:r>
              </w:p>
            </w:tc>
            <w:tc>
              <w:tcPr>
                <w:tcW w:w="2024" w:type="dxa"/>
              </w:tcPr>
              <w:p w14:paraId="5D7D1FE7" w14:textId="77777777" w:rsidR="00471D53" w:rsidRDefault="00B664AF"/>
            </w:tc>
          </w:tr>
          <w:tr w:rsidR="00471D53" w14:paraId="62B44A79" w14:textId="77777777" w:rsidTr="00680B89">
            <w:sdt>
              <w:sdtPr>
                <w:rPr>
                  <w:rFonts w:ascii="宋体" w:hAnsi="宋体"/>
                </w:rPr>
                <w:tag w:val="_PLD_196ea10929cc45b2a25a10ce3f3fd3ad"/>
                <w:id w:val="-1641338303"/>
                <w:lock w:val="sdtLocked"/>
              </w:sdtPr>
              <w:sdtEndPr/>
              <w:sdtContent>
                <w:tc>
                  <w:tcPr>
                    <w:tcW w:w="5240" w:type="dxa"/>
                  </w:tcPr>
                  <w:p w14:paraId="70B9648F" w14:textId="77777777" w:rsidR="00471D53" w:rsidRDefault="004F686E">
                    <w:pPr>
                      <w:pStyle w:val="affffff7"/>
                      <w:ind w:firstLineChars="0" w:firstLine="0"/>
                      <w:jc w:val="left"/>
                      <w:rPr>
                        <w:rFonts w:ascii="宋体" w:hAnsi="宋体"/>
                      </w:rPr>
                    </w:pPr>
                    <w:r>
                      <w:rPr>
                        <w:rFonts w:ascii="宋体" w:hAnsi="宋体"/>
                      </w:rPr>
                      <w:t>合计</w:t>
                    </w:r>
                  </w:p>
                </w:tc>
              </w:sdtContent>
            </w:sdt>
            <w:tc>
              <w:tcPr>
                <w:tcW w:w="1559" w:type="dxa"/>
                <w:vAlign w:val="center"/>
              </w:tcPr>
              <w:p w14:paraId="7B931F22" w14:textId="77777777" w:rsidR="00471D53" w:rsidRDefault="004F686E" w:rsidP="00471D53">
                <w:pPr>
                  <w:jc w:val="right"/>
                  <w:rPr>
                    <w:sz w:val="24"/>
                  </w:rPr>
                </w:pPr>
                <w:r>
                  <w:t>7,957,305.66</w:t>
                </w:r>
              </w:p>
            </w:tc>
            <w:tc>
              <w:tcPr>
                <w:tcW w:w="2024" w:type="dxa"/>
              </w:tcPr>
              <w:p w14:paraId="561E47C6" w14:textId="77777777" w:rsidR="00471D53" w:rsidRDefault="00B664AF"/>
            </w:tc>
          </w:tr>
        </w:tbl>
        <w:p w14:paraId="3999F21A" w14:textId="77777777" w:rsidR="00471D53" w:rsidRDefault="00B664AF"/>
      </w:sdtContent>
    </w:sdt>
    <w:bookmarkEnd w:id="20" w:displacedByCustomXml="prev"/>
    <w:sdt>
      <w:sdtPr>
        <w:rPr>
          <w:rFonts w:ascii="宋体" w:hAnsi="宋体" w:cs="宋体" w:hint="eastAsia"/>
          <w:b w:val="0"/>
          <w:bCs w:val="0"/>
          <w:kern w:val="0"/>
          <w:szCs w:val="24"/>
        </w:rPr>
        <w:alias w:val="模块:其他财务和业务数据"/>
        <w:tag w:val="_GBC_129e81c113f94ab2b6af974b5d24abc6"/>
        <w:id w:val="1422295258"/>
        <w:lock w:val="sdtLocked"/>
        <w:placeholder>
          <w:docPart w:val="GBC22222222222222222222222222222"/>
        </w:placeholder>
      </w:sdtPr>
      <w:sdtEndPr/>
      <w:sdtContent>
        <w:p w14:paraId="1B491EC2" w14:textId="77777777" w:rsidR="007F1C2B" w:rsidRDefault="004F686E" w:rsidP="004F686E">
          <w:pPr>
            <w:pStyle w:val="2"/>
            <w:numPr>
              <w:ilvl w:val="0"/>
              <w:numId w:val="4"/>
            </w:numPr>
            <w:ind w:firstLineChars="0"/>
          </w:pPr>
          <w:r>
            <w:rPr>
              <w:rFonts w:hint="eastAsia"/>
            </w:rPr>
            <w:t>其他</w:t>
          </w:r>
        </w:p>
        <w:sdt>
          <w:sdtPr>
            <w:alias w:val="是否适用：公司简介和主要财务指标其他说明[双击切换]"/>
            <w:tag w:val="_GBC_5b4104dc5c2c4501bc2420c70be30c2a"/>
            <w:id w:val="-168106634"/>
            <w:lock w:val="sdtLocked"/>
            <w:placeholder>
              <w:docPart w:val="GBC22222222222222222222222222222"/>
            </w:placeholder>
          </w:sdtPr>
          <w:sdtEndPr/>
          <w:sdtContent>
            <w:p w14:paraId="7A8E6EBE" w14:textId="52401B93" w:rsidR="007F1C2B" w:rsidRDefault="004F686E" w:rsidP="00F37B6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Start w:id="21" w:name="_Hlk78829203" w:displacedByCustomXml="next"/>
      </w:sdtContent>
    </w:sdt>
    <w:bookmarkEnd w:id="21" w:displacedByCustomXml="prev"/>
    <w:p w14:paraId="2CF5CE2E" w14:textId="77777777" w:rsidR="007F1C2B" w:rsidRDefault="00B664AF">
      <w:pPr>
        <w:kinsoku w:val="0"/>
        <w:overflowPunct w:val="0"/>
        <w:autoSpaceDE w:val="0"/>
        <w:autoSpaceDN w:val="0"/>
        <w:adjustRightInd w:val="0"/>
        <w:snapToGrid w:val="0"/>
        <w:rPr>
          <w:szCs w:val="21"/>
        </w:rPr>
      </w:pPr>
    </w:p>
    <w:p w14:paraId="73B0B15A" w14:textId="5A3E9497" w:rsidR="007F1C2B" w:rsidRDefault="004F686E" w:rsidP="004F686E">
      <w:pPr>
        <w:pStyle w:val="10"/>
        <w:numPr>
          <w:ilvl w:val="0"/>
          <w:numId w:val="3"/>
        </w:numPr>
        <w:rPr>
          <w:rFonts w:ascii="黑体" w:hAnsi="黑体"/>
          <w:szCs w:val="21"/>
        </w:rPr>
      </w:pPr>
      <w:bookmarkStart w:id="22" w:name="_Toc76114274"/>
      <w:r>
        <w:rPr>
          <w:rFonts w:ascii="黑体" w:hAnsi="黑体" w:hint="eastAsia"/>
          <w:szCs w:val="21"/>
        </w:rPr>
        <w:t>管理层讨论与分析</w:t>
      </w:r>
      <w:bookmarkEnd w:id="22"/>
    </w:p>
    <w:sdt>
      <w:sdtPr>
        <w:rPr>
          <w:rFonts w:ascii="宋体" w:hAnsi="宋体" w:cs="宋体" w:hint="eastAsia"/>
          <w:b w:val="0"/>
          <w:bCs w:val="0"/>
          <w:kern w:val="0"/>
          <w:szCs w:val="24"/>
        </w:rPr>
        <w:alias w:val="模块:报告期内公司所从事的主要业务、经营模式及行业情况说明"/>
        <w:tag w:val="_SEC_30613ac4c1d74a918acca2b58acc457d"/>
        <w:id w:val="-1913686207"/>
        <w:lock w:val="sdtLocked"/>
        <w:placeholder>
          <w:docPart w:val="GBC22222222222222222222222222222"/>
        </w:placeholder>
      </w:sdtPr>
      <w:sdtEndPr/>
      <w:sdtContent>
        <w:p w14:paraId="5C90C3D4" w14:textId="47E484DC" w:rsidR="007F1C2B" w:rsidRDefault="004F686E" w:rsidP="004F686E">
          <w:pPr>
            <w:pStyle w:val="2"/>
            <w:numPr>
              <w:ilvl w:val="0"/>
              <w:numId w:val="6"/>
            </w:numPr>
            <w:tabs>
              <w:tab w:val="left" w:pos="426"/>
            </w:tabs>
            <w:jc w:val="left"/>
            <w:rPr>
              <w:rFonts w:ascii="宋体" w:hAnsi="宋体"/>
            </w:rPr>
          </w:pPr>
          <w:r>
            <w:rPr>
              <w:rFonts w:ascii="宋体" w:hAnsi="宋体" w:hint="eastAsia"/>
            </w:rPr>
            <w:t>报告期内公司所属行业及主营业务情况说明</w:t>
          </w:r>
        </w:p>
        <w:sdt>
          <w:sdtPr>
            <w:rPr>
              <w:rFonts w:hint="eastAsia"/>
            </w:rPr>
            <w:alias w:val="报告期内公司所从事的主要业务、经营模式及行业情况说明"/>
            <w:tag w:val="_GBC_5c28d6f46eea48f892bed0c5fc99ab60"/>
            <w:id w:val="-2040346527"/>
            <w:lock w:val="sdtLocked"/>
            <w:placeholder>
              <w:docPart w:val="GBC22222222222222222222222222222"/>
            </w:placeholder>
          </w:sdtPr>
          <w:sdtEndPr/>
          <w:sdtContent>
            <w:p w14:paraId="34F650FC" w14:textId="77777777" w:rsidR="00A63BF5" w:rsidRDefault="004F686E" w:rsidP="006564CB">
              <w:pPr>
                <w:ind w:firstLineChars="200" w:firstLine="420"/>
              </w:pPr>
              <w:r>
                <w:t>1、经营业务范围：</w:t>
              </w:r>
            </w:p>
            <w:p w14:paraId="688D91A9" w14:textId="77777777" w:rsidR="00A63BF5" w:rsidRDefault="004F686E" w:rsidP="006564CB">
              <w:pPr>
                <w:ind w:firstLineChars="200" w:firstLine="420"/>
              </w:pPr>
              <w:r>
                <w:rPr>
                  <w:rFonts w:hint="eastAsia"/>
                </w:rPr>
                <w:t>许可经营项目：普通货运；专业承包。</w:t>
              </w:r>
            </w:p>
            <w:p w14:paraId="1A19F07D" w14:textId="77777777" w:rsidR="00A63BF5" w:rsidRDefault="004F686E" w:rsidP="006564CB">
              <w:pPr>
                <w:ind w:firstLineChars="200" w:firstLine="420"/>
              </w:pPr>
              <w:r>
                <w:rPr>
                  <w:rFonts w:hint="eastAsia"/>
                </w:rPr>
                <w:t>一般经营项目：开发、设计、销售、安装、调试、修理低温储运容器、压缩机（活塞式压缩机、隔膜式压缩机、核级膜压缩机）及配件；机械设备、电气设备；技术咨询、技术服务；货物进出口、技术进出口、代理进出口。</w:t>
              </w:r>
            </w:p>
            <w:p w14:paraId="702BBB0E" w14:textId="77777777" w:rsidR="00A63BF5" w:rsidRDefault="004F686E" w:rsidP="006564CB">
              <w:pPr>
                <w:ind w:firstLineChars="200" w:firstLine="420"/>
              </w:pPr>
              <w:r>
                <w:rPr>
                  <w:rFonts w:hint="eastAsia"/>
                </w:rPr>
                <w:t>主要产品及应用：</w:t>
              </w:r>
            </w:p>
            <w:p w14:paraId="58B40B82" w14:textId="77777777" w:rsidR="00A63BF5" w:rsidRDefault="004F686E" w:rsidP="006564CB">
              <w:pPr>
                <w:ind w:firstLineChars="200" w:firstLine="420"/>
              </w:pPr>
              <w:r>
                <w:rPr>
                  <w:rFonts w:hint="eastAsia"/>
                </w:rPr>
                <w:t>公司主要产品有：车用液化天然气（</w:t>
              </w:r>
              <w:r>
                <w:t>LNG）气瓶，车用压缩天然气（CNG）气瓶，钢质无缝气瓶，钢质焊接气瓶，焊接绝热气瓶，碳纤维全缠绕复合气瓶，板冲式无石棉填料乙炔瓶ISO罐式集装箱，氢燃料电池用铝内胆碳纤维全缠绕复合气瓶以及低温储罐、LNG加气站设备等。</w:t>
              </w:r>
            </w:p>
            <w:p w14:paraId="0E2A6B26" w14:textId="77777777" w:rsidR="00A63BF5" w:rsidRDefault="00B664AF" w:rsidP="00A63BF5"/>
            <w:p w14:paraId="0C5D3A05" w14:textId="77777777" w:rsidR="00A63BF5" w:rsidRDefault="004F686E" w:rsidP="006564CB">
              <w:pPr>
                <w:ind w:firstLineChars="200" w:firstLine="420"/>
              </w:pPr>
              <w:r>
                <w:t>2、经营模式</w:t>
              </w:r>
            </w:p>
            <w:p w14:paraId="6F87818B" w14:textId="77777777" w:rsidR="00A63BF5" w:rsidRDefault="004F686E" w:rsidP="006564CB">
              <w:pPr>
                <w:ind w:firstLineChars="200" w:firstLine="420"/>
              </w:pPr>
              <w:r>
                <w:rPr>
                  <w:rFonts w:hint="eastAsia"/>
                </w:rPr>
                <w:t>公司产品经营模式为产品研发、原料采购、生产加工、销售几个环节，即：</w:t>
              </w:r>
            </w:p>
            <w:p w14:paraId="3C81A662" w14:textId="77777777" w:rsidR="00A63BF5" w:rsidRDefault="004F686E" w:rsidP="006564CB">
              <w:pPr>
                <w:ind w:firstLineChars="200" w:firstLine="420"/>
              </w:pPr>
              <w:r>
                <w:rPr>
                  <w:rFonts w:hint="eastAsia"/>
                </w:rPr>
                <w:t>（</w:t>
              </w:r>
              <w:r>
                <w:t>1）采购模式：公司生产主要原料为钢铁，主要产品为钢瓶。采取货到付款的方式采购。</w:t>
              </w:r>
            </w:p>
            <w:p w14:paraId="54D8E53A" w14:textId="77777777" w:rsidR="00A63BF5" w:rsidRDefault="004F686E" w:rsidP="006564CB">
              <w:pPr>
                <w:ind w:firstLineChars="200" w:firstLine="420"/>
              </w:pPr>
              <w:r>
                <w:rPr>
                  <w:rFonts w:hint="eastAsia"/>
                </w:rPr>
                <w:t>（</w:t>
              </w:r>
              <w:r>
                <w:t>2）生产模式：由于钢瓶生产工艺复杂，生产过程多是高温高压、低温负压并连续性强，所以公司生产必须保持连续稳定长周期运行。</w:t>
              </w:r>
            </w:p>
            <w:p w14:paraId="1FDEC3EE" w14:textId="77777777" w:rsidR="00A63BF5" w:rsidRDefault="004F686E" w:rsidP="006564CB">
              <w:pPr>
                <w:ind w:firstLineChars="200" w:firstLine="420"/>
              </w:pPr>
              <w:r>
                <w:rPr>
                  <w:rFonts w:hint="eastAsia"/>
                </w:rPr>
                <w:t>（</w:t>
              </w:r>
              <w:r>
                <w:t>3）销售模式：公司产品销售模式主要采取直销和经销模式。通过有实力并有一定渠道的经销商占领市场，同时向有条件的厂家和终端客户直接销售，获取部分终端市场份额。</w:t>
              </w:r>
            </w:p>
            <w:p w14:paraId="400F3D7B" w14:textId="77777777" w:rsidR="00A63BF5" w:rsidRDefault="00B664AF" w:rsidP="00A63BF5"/>
            <w:p w14:paraId="23B65E1E" w14:textId="77777777" w:rsidR="00A63BF5" w:rsidRDefault="004F686E" w:rsidP="006564CB">
              <w:pPr>
                <w:ind w:firstLineChars="200" w:firstLine="420"/>
              </w:pPr>
              <w:r>
                <w:t xml:space="preserve">3、行业情况 </w:t>
              </w:r>
            </w:p>
            <w:p w14:paraId="264574D9" w14:textId="77777777" w:rsidR="00A63BF5" w:rsidRDefault="004F686E" w:rsidP="006564CB">
              <w:pPr>
                <w:ind w:firstLineChars="200" w:firstLine="420"/>
              </w:pPr>
              <w:r>
                <w:rPr>
                  <w:rFonts w:hint="eastAsia"/>
                </w:rPr>
                <w:t>（</w:t>
              </w:r>
              <w:r>
                <w:t xml:space="preserve">1）工业消防行业 </w:t>
              </w:r>
            </w:p>
            <w:p w14:paraId="51A07B67" w14:textId="77777777" w:rsidR="00A63BF5" w:rsidRDefault="004F686E" w:rsidP="006564CB">
              <w:pPr>
                <w:ind w:firstLineChars="200" w:firstLine="420"/>
              </w:pPr>
              <w:r>
                <w:rPr>
                  <w:rFonts w:hint="eastAsia"/>
                </w:rPr>
                <w:t>上半年，我国工业气体市场的规模实现</w:t>
              </w:r>
              <w:r>
                <w:t>8-10%的增长。目前，全球工业气体市场规模超过千亿美元，近十年来，全球工业气体市场规模年复合增速维持在10%左右。随着全球经济的稳定发展，对于工业气体的需求仍将维持稳定增长。这也将相应带动工业气体储运行业的稳步发展。</w:t>
              </w:r>
            </w:p>
            <w:p w14:paraId="14AAFEB4" w14:textId="77777777" w:rsidR="00A63BF5" w:rsidRDefault="004F686E" w:rsidP="006564CB">
              <w:pPr>
                <w:ind w:firstLineChars="200" w:firstLine="420"/>
              </w:pPr>
              <w:r>
                <w:rPr>
                  <w:rFonts w:hint="eastAsia"/>
                </w:rPr>
                <w:t>（</w:t>
              </w:r>
              <w:r>
                <w:t xml:space="preserve">2）天然气行业 </w:t>
              </w:r>
            </w:p>
            <w:p w14:paraId="7EFA0286" w14:textId="77777777" w:rsidR="00A63BF5" w:rsidRDefault="004F686E" w:rsidP="006564CB">
              <w:pPr>
                <w:ind w:firstLineChars="200" w:firstLine="420"/>
              </w:pPr>
              <w:r>
                <w:rPr>
                  <w:rFonts w:hint="eastAsia"/>
                </w:rPr>
                <w:t>在碳中和政策支持下，清洁能源设备的需求将带动储运装置需求的增长。</w:t>
              </w:r>
              <w:r>
                <w:t>2021年1-5月，中国的天然气表观消费量和 LNG 进口量稳步增长，两年复合增长率分别为10.6%和18.1%。需求量的上涨将一定程度上带动了天然气上下游行业的发展。LNG重卡方面，在今年7月1日柴油车的国六标准正式生效之前，LNG重卡的销售受到了低价国五卡车的强劲销售所压制，但鉴于LNG重卡更高的燃油经济性和更好的排放控制，预计其销售增长将在2021年下半年回到正轨。</w:t>
              </w:r>
            </w:p>
            <w:p w14:paraId="583FC54A" w14:textId="77777777" w:rsidR="00A63BF5" w:rsidRDefault="004F686E" w:rsidP="006564CB">
              <w:pPr>
                <w:ind w:firstLineChars="200" w:firstLine="420"/>
              </w:pPr>
              <w:r>
                <w:rPr>
                  <w:rFonts w:hint="eastAsia"/>
                </w:rPr>
                <w:lastRenderedPageBreak/>
                <w:t>（</w:t>
              </w:r>
              <w:r>
                <w:t xml:space="preserve">3）氢能及燃料电池行业 </w:t>
              </w:r>
            </w:p>
            <w:p w14:paraId="38B578DA" w14:textId="71650C6B" w:rsidR="007F1C2B" w:rsidRDefault="004F686E" w:rsidP="006564CB">
              <w:pPr>
                <w:ind w:firstLineChars="200" w:firstLine="420"/>
              </w:pPr>
              <w:r>
                <w:rPr>
                  <w:rFonts w:hint="eastAsia"/>
                </w:rPr>
                <w:t>碳中和的大背景以及冬奥会的历史性机遇推动氢能源加速推广，预计</w:t>
              </w:r>
              <w:r>
                <w:t>2021-2035年是我国氢能汽车推广、规模降本、技术完善的阶段。2020年修订的</w:t>
              </w:r>
              <w:r w:rsidR="008F26D4">
                <w:rPr>
                  <w:rFonts w:hint="eastAsia"/>
                </w:rPr>
                <w:t>《中华人民共和国</w:t>
              </w:r>
              <w:r>
                <w:t>能源法</w:t>
              </w:r>
              <w:r w:rsidR="008F26D4">
                <w:rPr>
                  <w:rFonts w:hint="eastAsia"/>
                </w:rPr>
                <w:t>》</w:t>
              </w:r>
              <w:r>
                <w:t>已将氢能纳入能源范畴，国务院办公厅发布的《新能源汽车产业发展规划电基（2021-2035年）》中就氢能源的发展有明确要求，一半以上省份在十四五规划中指明氢能源产业链发展的具体规划和举措。未来几年氢燃料电池汽车将保持良好发展趋势，政策即将全面落地，预计后续行业需求将实现拐点向上，下半年将是行业新周期的起点。</w:t>
              </w:r>
            </w:p>
          </w:sdtContent>
        </w:sdt>
      </w:sdtContent>
    </w:sdt>
    <w:p w14:paraId="24EA1F0F" w14:textId="3C786868" w:rsidR="007F1C2B" w:rsidRDefault="00B664AF"/>
    <w:sdt>
      <w:sdtPr>
        <w:rPr>
          <w:rFonts w:ascii="宋体" w:hAnsi="宋体" w:cs="宋体" w:hint="eastAsia"/>
          <w:b w:val="0"/>
          <w:bCs w:val="0"/>
          <w:kern w:val="0"/>
          <w:szCs w:val="24"/>
        </w:rPr>
        <w:alias w:val="模块:报告期内核心竞争力分析"/>
        <w:tag w:val="_SEC_95fcc6373f8d4d92bdccbe04323713c4"/>
        <w:id w:val="-1459109283"/>
        <w:lock w:val="sdtLocked"/>
        <w:placeholder>
          <w:docPart w:val="GBC22222222222222222222222222222"/>
        </w:placeholder>
      </w:sdtPr>
      <w:sdtEndPr/>
      <w:sdtContent>
        <w:p w14:paraId="00419312" w14:textId="77777777" w:rsidR="007F1C2B" w:rsidRDefault="004F686E" w:rsidP="004F686E">
          <w:pPr>
            <w:pStyle w:val="2"/>
            <w:numPr>
              <w:ilvl w:val="0"/>
              <w:numId w:val="6"/>
            </w:numPr>
            <w:tabs>
              <w:tab w:val="left" w:pos="426"/>
            </w:tabs>
            <w:jc w:val="left"/>
            <w:rPr>
              <w:rFonts w:ascii="宋体" w:hAnsi="宋体"/>
            </w:rPr>
          </w:pPr>
          <w:r>
            <w:rPr>
              <w:rFonts w:ascii="宋体" w:hAnsi="宋体" w:hint="eastAsia"/>
            </w:rPr>
            <w:t>报告期内核心竞争力分析</w:t>
          </w:r>
        </w:p>
        <w:sdt>
          <w:sdtPr>
            <w:alias w:val="是否适用：报告期内核心竞争力分析[双击切换]"/>
            <w:tag w:val="_GBC_f5e4beedb06c4dedb1da9c7f429d840e"/>
            <w:id w:val="1525591782"/>
            <w:lock w:val="sdtLocked"/>
            <w:placeholder>
              <w:docPart w:val="GBC22222222222222222222222222222"/>
            </w:placeholder>
          </w:sdtPr>
          <w:sdtEndPr/>
          <w:sdtContent>
            <w:p w14:paraId="6EB3DBA0" w14:textId="2A929F6C" w:rsidR="007F1C2B"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报告期内核心竞争力分析"/>
            <w:tag w:val="_GBC_2aded0644185447a9ec788ba0b35ac4f"/>
            <w:id w:val="270905933"/>
            <w:lock w:val="sdtLocked"/>
            <w:placeholder>
              <w:docPart w:val="GBC22222222222222222222222222222"/>
            </w:placeholder>
          </w:sdtPr>
          <w:sdtEndPr/>
          <w:sdtContent>
            <w:p w14:paraId="2F1E49BD" w14:textId="77777777" w:rsidR="00A63BF5" w:rsidRDefault="004F686E" w:rsidP="006564CB">
              <w:pPr>
                <w:ind w:firstLineChars="200" w:firstLine="420"/>
              </w:pPr>
              <w:r>
                <w:rPr>
                  <w:rFonts w:hint="eastAsia"/>
                </w:rPr>
                <w:t>公司经过多年的发展，在规模与品牌、技术、销售体系、人力资源、融资等方面拥有以下竞争优势：</w:t>
              </w:r>
            </w:p>
            <w:p w14:paraId="37FFA73C" w14:textId="77777777" w:rsidR="00A63BF5" w:rsidRDefault="004F686E" w:rsidP="006564CB">
              <w:pPr>
                <w:ind w:firstLineChars="200" w:firstLine="420"/>
              </w:pPr>
              <w:r>
                <w:t>1、规模与品牌优势</w:t>
              </w:r>
            </w:p>
            <w:p w14:paraId="65BF7EE3" w14:textId="77777777" w:rsidR="00A63BF5" w:rsidRDefault="004F686E" w:rsidP="006564CB">
              <w:pPr>
                <w:ind w:firstLineChars="200" w:firstLine="420"/>
              </w:pPr>
              <w:r>
                <w:rPr>
                  <w:rFonts w:hint="eastAsia"/>
                </w:rPr>
                <w:t>公司是一个拥有八个专业气体储运装备生产基地（北京天海、明晖天海、天海低温、天津天海、上海天海、宽城天海、天海氢能、江苏天海）及一个美国公司的集团公司。经过二十多年的经营发展，公司在行业内树立了技术基础优良、产品稳定可靠的企业形象，天海品牌已成为行业内知名品牌之一。</w:t>
              </w:r>
            </w:p>
            <w:p w14:paraId="7E73BF59" w14:textId="77777777" w:rsidR="00A63BF5" w:rsidRDefault="004F686E" w:rsidP="006564CB">
              <w:pPr>
                <w:ind w:firstLineChars="200" w:firstLine="420"/>
              </w:pPr>
              <w:r>
                <w:t>2、技术优势</w:t>
              </w:r>
            </w:p>
            <w:p w14:paraId="3980C752" w14:textId="5884D5A0" w:rsidR="00A63BF5" w:rsidRDefault="004F686E" w:rsidP="006564CB">
              <w:pPr>
                <w:ind w:firstLineChars="200" w:firstLine="420"/>
              </w:pPr>
              <w:r>
                <w:rPr>
                  <w:rFonts w:hint="eastAsia"/>
                </w:rPr>
                <w:t>经过持续不断的技术研发创新，目前公司具有</w:t>
              </w:r>
              <w:r>
                <w:t>C2、</w:t>
              </w:r>
              <w:r w:rsidR="00704C87">
                <w:t>D1</w:t>
              </w:r>
              <w:r w:rsidR="00704C87">
                <w:rPr>
                  <w:rFonts w:hint="eastAsia"/>
                </w:rPr>
                <w:t>、D</w:t>
              </w:r>
              <w:r w:rsidR="00704C87">
                <w:t>2</w:t>
              </w:r>
              <w:r>
                <w:t>级压力容器设计资格和B1、B2、B3、C2、D1、D2级压力容器制造资格。现可生产800余个品种规格的钢质无缝气瓶、缠绕气瓶、蓄能器壳体、无石棉填料乙炔瓶、焊接绝热气瓶、碳纤维全缠绕复合气瓶（含车用）、低温罐箱及加气站等系列产品；公司的产品广泛应用于汽车、化工、消防、医疗、石油、能源、城建、食品、冶金、机械、电子等行业。</w:t>
              </w:r>
            </w:p>
            <w:p w14:paraId="1C6B76B9" w14:textId="77777777" w:rsidR="00A63BF5" w:rsidRDefault="004F686E" w:rsidP="006564CB">
              <w:pPr>
                <w:ind w:firstLineChars="200" w:firstLine="420"/>
              </w:pPr>
              <w:r>
                <w:rPr>
                  <w:rFonts w:hint="eastAsia"/>
                </w:rPr>
                <w:t>同时，凭借对清洁能源市场的准确把握，公司通过对车用</w:t>
              </w:r>
              <w:r>
                <w:t>LNG气瓶、CNG气瓶、低温贮罐、天然气汽车加气站等多方位的技术整合，可为客户提供LNG/CNG系统解决方案。公司还可按中国压力容器标准、欧盟ADM和97/23/EC PED、澳大利亚/新西兰AS1210等标准设计制造不同容积和压力等级的低温贮罐、IMO罐式集装箱产品。</w:t>
              </w:r>
            </w:p>
            <w:p w14:paraId="61B65A31" w14:textId="77777777" w:rsidR="00A63BF5" w:rsidRDefault="004F686E" w:rsidP="006564CB">
              <w:pPr>
                <w:ind w:firstLineChars="200" w:firstLine="420"/>
              </w:pPr>
              <w:r>
                <w:t>3、销售体系优势</w:t>
              </w:r>
            </w:p>
            <w:p w14:paraId="2BAEF27A" w14:textId="77777777" w:rsidR="00A63BF5" w:rsidRDefault="004F686E" w:rsidP="006564CB">
              <w:pPr>
                <w:ind w:firstLineChars="200" w:firstLine="420"/>
              </w:pPr>
              <w:r>
                <w:rPr>
                  <w:rFonts w:hint="eastAsia"/>
                </w:rPr>
                <w:t>公司建立了完备的销售网络。在国内拥有</w:t>
              </w:r>
              <w:r>
                <w:t>30多个经销网点，实现全国各个地区全覆盖，在国内主流车厂的零部件供应链中，为国内汽车行业规模最大的汽车厂商等提供零部件；在境外建立了8个销售网点，主要分布在美国、新加坡、韩国、印度、澳大利亚等国家，相关产品已被全球最具影响力的八大气体公司中的7家接受；为了打通基层与市场的链接，提高战略执行单元的活力和经营业绩，公司对内部的管控模式进行了转型升级，使各下属公司建立起研产供销为一体的事业部模式，充分释放组织活力，能够针对市场变化灵活快速的做出反应，切实提升经营业绩。</w:t>
              </w:r>
            </w:p>
            <w:p w14:paraId="719902A4" w14:textId="77777777" w:rsidR="00A63BF5" w:rsidRDefault="004F686E" w:rsidP="00907EF9">
              <w:pPr>
                <w:ind w:firstLineChars="200" w:firstLine="420"/>
              </w:pPr>
              <w:r>
                <w:rPr>
                  <w:rFonts w:hint="eastAsia"/>
                </w:rPr>
                <w:t>公司凭借先进的技术、优良的管理水平、可靠的产品质量和完善的售后服务体系，稳步向成为全球领先的能源气体储运装备制造及服务企业迈进。</w:t>
              </w:r>
            </w:p>
            <w:p w14:paraId="160742FE" w14:textId="77777777" w:rsidR="00A63BF5" w:rsidRDefault="004F686E" w:rsidP="006564CB">
              <w:pPr>
                <w:ind w:firstLineChars="200" w:firstLine="420"/>
              </w:pPr>
              <w:r>
                <w:t>4、人力资源优势</w:t>
              </w:r>
            </w:p>
            <w:p w14:paraId="04FD6AE9" w14:textId="2FA1D607" w:rsidR="007F1C2B" w:rsidRDefault="004F686E" w:rsidP="006564CB">
              <w:pPr>
                <w:ind w:firstLineChars="200" w:firstLine="420"/>
              </w:pPr>
              <w:r>
                <w:rPr>
                  <w:rFonts w:hint="eastAsia"/>
                </w:rPr>
                <w:t>公司建立了符合市场竞争要求的内部组织体系和运行机制、绩效考核机制和薪酬福利体系，为干部员工提供个人与企业共同成长、共享发展成果的事业发展平台，创造良好的企业文化氛围，实现事业留人、待遇留人、感情留人。在研发、销售、管理、运营及生产一线等岗位，打造德才兼备、具有核心能力和职业素养的核心人才队伍。</w:t>
              </w:r>
            </w:p>
          </w:sdtContent>
        </w:sdt>
      </w:sdtContent>
    </w:sdt>
    <w:p w14:paraId="08FB3029" w14:textId="77777777" w:rsidR="007F1C2B" w:rsidRDefault="00B664AF"/>
    <w:bookmarkStart w:id="23" w:name="_Hlk79428538" w:displacedByCustomXml="next"/>
    <w:sdt>
      <w:sdtPr>
        <w:rPr>
          <w:rFonts w:ascii="宋体" w:hAnsi="宋体" w:cs="宋体" w:hint="eastAsia"/>
          <w:b w:val="0"/>
          <w:bCs w:val="0"/>
          <w:kern w:val="0"/>
          <w:szCs w:val="24"/>
        </w:rPr>
        <w:alias w:val="模块:经营情况的讨论与分析"/>
        <w:tag w:val="_GBC_ba3734a9f27a452095f3115c17f4b09e"/>
        <w:id w:val="1606622594"/>
        <w:lock w:val="sdtLocked"/>
        <w:placeholder>
          <w:docPart w:val="GBC22222222222222222222222222222"/>
        </w:placeholder>
      </w:sdtPr>
      <w:sdtEndPr/>
      <w:sdtContent>
        <w:p w14:paraId="2CCC585A" w14:textId="77777777" w:rsidR="00225DF5" w:rsidRDefault="00225DF5" w:rsidP="00225DF5">
          <w:pPr>
            <w:pStyle w:val="2"/>
            <w:numPr>
              <w:ilvl w:val="0"/>
              <w:numId w:val="6"/>
            </w:numPr>
            <w:tabs>
              <w:tab w:val="left" w:pos="426"/>
            </w:tabs>
            <w:jc w:val="left"/>
            <w:rPr>
              <w:rFonts w:ascii="宋体" w:hAnsi="宋体" w:cs="宋体"/>
              <w:kern w:val="0"/>
              <w:szCs w:val="24"/>
            </w:rPr>
          </w:pPr>
          <w:r>
            <w:rPr>
              <w:rFonts w:ascii="宋体" w:hAnsi="宋体" w:cs="宋体"/>
              <w:kern w:val="0"/>
              <w:szCs w:val="24"/>
            </w:rPr>
            <w:t>经营情况的讨论与分析</w:t>
          </w:r>
        </w:p>
        <w:sdt>
          <w:sdtPr>
            <w:rPr>
              <w:rFonts w:hint="eastAsia"/>
            </w:rPr>
            <w:alias w:val="管理层讨论与分析"/>
            <w:tag w:val="_GBC_886258ec69e240da99b57ac102afbda6"/>
            <w:id w:val="9918106"/>
            <w:lock w:val="sdtLocked"/>
          </w:sdtPr>
          <w:sdtEndPr/>
          <w:sdtContent>
            <w:p w14:paraId="3AD325F0" w14:textId="77777777" w:rsidR="00225DF5" w:rsidRDefault="00225DF5" w:rsidP="00225DF5">
              <w:pPr>
                <w:ind w:firstLineChars="200" w:firstLine="420"/>
              </w:pPr>
              <w:r>
                <w:t>2021年上半年，面对严峻复杂的国际形势，公司坚定不移地贯彻执行公司年初制定的战略发展目标，围绕全年预算，坚决落实各项部署，主要经济指标有所突破，多项重点工作取得进展，为“十四五”良好开局奠定了坚实基础。</w:t>
              </w:r>
            </w:p>
            <w:p w14:paraId="7059BD52" w14:textId="4C706B68" w:rsidR="00225DF5" w:rsidRDefault="00225DF5" w:rsidP="00225DF5">
              <w:pPr>
                <w:ind w:firstLineChars="200" w:firstLine="420"/>
              </w:pPr>
              <w:r>
                <w:rPr>
                  <w:rFonts w:hint="eastAsia"/>
                </w:rPr>
                <w:t>报告期内，公司实现营业收入约</w:t>
              </w:r>
              <w:r>
                <w:t xml:space="preserve"> 52,655.45 万元，比上年同期增加约0.52%。归属于上市公司股东的净利润约为-131.33万元，同比减亏约2</w:t>
              </w:r>
              <w:r w:rsidR="00BF0033">
                <w:t>,</w:t>
              </w:r>
              <w:r>
                <w:t>277</w:t>
              </w:r>
              <w:r w:rsidR="00BF0033">
                <w:t>.</w:t>
              </w:r>
              <w:r>
                <w:t xml:space="preserve">65万元。 </w:t>
              </w:r>
            </w:p>
            <w:p w14:paraId="51634D57" w14:textId="4EA378AF" w:rsidR="00225DF5" w:rsidRDefault="00225DF5" w:rsidP="00225DF5">
              <w:r>
                <w:t xml:space="preserve">    报告期内，重点开展了以下工作：</w:t>
              </w:r>
            </w:p>
            <w:p w14:paraId="699AE4AF" w14:textId="77777777" w:rsidR="00225DF5" w:rsidRDefault="00225DF5" w:rsidP="00225DF5">
              <w:pPr>
                <w:ind w:firstLineChars="200" w:firstLine="420"/>
              </w:pPr>
              <w:r>
                <w:lastRenderedPageBreak/>
                <w:t>1、市场开拓取得积极进展</w:t>
              </w:r>
            </w:p>
            <w:p w14:paraId="764404DB" w14:textId="0453DF5E" w:rsidR="00225DF5" w:rsidRDefault="00225DF5" w:rsidP="00225DF5">
              <w:pPr>
                <w:ind w:firstLineChars="200" w:firstLine="420"/>
              </w:pPr>
              <w:r>
                <w:rPr>
                  <w:rFonts w:hint="eastAsia"/>
                </w:rPr>
                <w:t>国内市场：随着国内经济复苏和低碳环保政策导向的进一步明确，上半年气体储运市场趋势整体向好，公司紧跟政策变化，抓住市场机遇，积极扩大销售。在天然气应用领域</w:t>
              </w:r>
              <w:r>
                <w:t>LNG储罐订单增长116%，在工业气体及消防市场，工业罐销售收入同比增长51%，低温瓶销售收入同比增长110%；氢能领域，实现对多家车厂储氢系统批量销售。</w:t>
              </w:r>
            </w:p>
            <w:p w14:paraId="2A7B4C5B" w14:textId="77777777" w:rsidR="00225DF5" w:rsidRDefault="00225DF5" w:rsidP="00225DF5">
              <w:pPr>
                <w:ind w:firstLineChars="200" w:firstLine="420"/>
              </w:pPr>
              <w:r>
                <w:rPr>
                  <w:rFonts w:hint="eastAsia"/>
                </w:rPr>
                <w:t>国际市场：随着部分国家的疫情得到控制，国际市场的经济及社会活动正在逐渐恢复。在欧洲市场，公司上半年销售收入同比增长</w:t>
              </w:r>
              <w:r>
                <w:t>11%，与欧洲厂商合作项目也在稳步推进中。美国市场需求量稳步回升，公司克服原材料、运费价格上涨困难，稳定大客户、开发新客户，实现销售收入同比增长5.6%。新兴市场受疫情持续影响，医疗需求猛增。南美、印度，对钢瓶的需求维持在高位，上半年销售收入增长142%。跨国公司业务平稳发展，与去年同期基本持平。</w:t>
              </w:r>
            </w:p>
            <w:p w14:paraId="572D1034" w14:textId="77777777" w:rsidR="00225DF5" w:rsidRDefault="00225DF5" w:rsidP="00225DF5">
              <w:pPr>
                <w:ind w:firstLineChars="200" w:firstLine="420"/>
              </w:pPr>
              <w:r>
                <w:t>2、紧盯创新驱动，重点项目推进顺利</w:t>
              </w:r>
            </w:p>
            <w:p w14:paraId="76D3903A" w14:textId="77777777" w:rsidR="00225DF5" w:rsidRDefault="00225DF5" w:rsidP="00225DF5">
              <w:pPr>
                <w:ind w:firstLineChars="200" w:firstLine="420"/>
              </w:pPr>
              <w:r>
                <w:t>5月17日，子公司北京天海工业有限公司在北京召开发布会，推出具有完全自主知识产权的新一代车载储氢气瓶——IV型瓶，完成了20MPa、35MPa、70MPa多种规格IV型瓶产品设计及试制，各项指标均达到或超过国内团体标准及ISO国际标准要求，解决了国内IV型瓶产品的卡脖子问题，攻克了多项核心技术，申请了多项发明专利和实用新型专利。</w:t>
              </w:r>
            </w:p>
            <w:p w14:paraId="2D50EC25" w14:textId="77777777" w:rsidR="00225DF5" w:rsidRDefault="00225DF5" w:rsidP="00225DF5">
              <w:pPr>
                <w:ind w:firstLineChars="200" w:firstLine="420"/>
              </w:pPr>
              <w:r>
                <w:t>3、内部管理水平不断提升</w:t>
              </w:r>
            </w:p>
            <w:p w14:paraId="148010A6" w14:textId="77777777" w:rsidR="00225DF5" w:rsidRDefault="00225DF5" w:rsidP="00225DF5">
              <w:pPr>
                <w:ind w:firstLineChars="200" w:firstLine="420"/>
              </w:pPr>
              <w:r>
                <w:rPr>
                  <w:rFonts w:hint="eastAsia"/>
                </w:rPr>
                <w:t>建立“协同高效、分权有序、执行有度”的集团化管控模式，进行扁平化、大部制改革，持续优化公司集团治理能力和治理体系建设水平，全面强化生产经营管理，为公司“十四五”战略实施开好局起好步提供坚强组织保证。</w:t>
              </w:r>
            </w:p>
            <w:p w14:paraId="100B758B" w14:textId="77777777" w:rsidR="00225DF5" w:rsidRDefault="00225DF5" w:rsidP="00225DF5">
              <w:pPr>
                <w:ind w:firstLineChars="200" w:firstLine="420"/>
              </w:pPr>
              <w:r>
                <w:t>4、薪酬体系改革平稳落地</w:t>
              </w:r>
            </w:p>
            <w:p w14:paraId="22A902AE" w14:textId="77777777" w:rsidR="00225DF5" w:rsidRDefault="00225DF5" w:rsidP="00225DF5">
              <w:pPr>
                <w:ind w:firstLineChars="200" w:firstLine="420"/>
              </w:pPr>
              <w:r>
                <w:rPr>
                  <w:rFonts w:hint="eastAsia"/>
                </w:rPr>
                <w:t>今年上半年，公司正式实施了新版《员工薪酬管理办法》，充分突出岗位价值和岗位造诣两个结构单元的效能，实施动态工资管理，注重业绩和能力评价，更加有利于贯彻按劳分配，同时颁布了《核心人才管理办法》，针对技术职系、技能职系、业务职系和管理职系不同岗位的员工搭建了多元化的职业发展通道，极大地调动企业职工扎根本岗、埋头实干、不断提高业务能力的积极性。</w:t>
              </w:r>
            </w:p>
            <w:p w14:paraId="48D894FE" w14:textId="77777777" w:rsidR="00225DF5" w:rsidRDefault="00225DF5" w:rsidP="00225DF5">
              <w:pPr>
                <w:ind w:firstLineChars="200" w:firstLine="420"/>
              </w:pPr>
              <w:r>
                <w:t>5、降本增效取得较大进展</w:t>
              </w:r>
            </w:p>
            <w:p w14:paraId="37D8AE90" w14:textId="312AB530" w:rsidR="00225DF5" w:rsidRDefault="00225DF5" w:rsidP="00225DF5">
              <w:pPr>
                <w:ind w:firstLineChars="200" w:firstLine="420"/>
              </w:pPr>
              <w:r>
                <w:rPr>
                  <w:rFonts w:hint="eastAsia"/>
                </w:rPr>
                <w:t>今年各子公司苦练内功、深挖潜力，积极推动落实“三降一减一提升”各项举措，大力开源节流，经营效益稳步提升，应收存货结构持续优化，科技降本、人工降本、财务降本、采购降本</w:t>
              </w:r>
              <w:r w:rsidR="00F143F5">
                <w:rPr>
                  <w:rFonts w:hint="eastAsia"/>
                </w:rPr>
                <w:t>方面</w:t>
              </w:r>
              <w:r>
                <w:rPr>
                  <w:rFonts w:hint="eastAsia"/>
                </w:rPr>
                <w:t>均取得明显成效。</w:t>
              </w:r>
            </w:p>
            <w:p w14:paraId="0EAD9F6F" w14:textId="77777777" w:rsidR="00225DF5" w:rsidRDefault="00225DF5" w:rsidP="00225DF5">
              <w:pPr>
                <w:ind w:firstLineChars="200" w:firstLine="420"/>
              </w:pPr>
              <w:r>
                <w:t>6、加强内部控制管理，防范企业经营风险</w:t>
              </w:r>
            </w:p>
            <w:p w14:paraId="35CA25FD" w14:textId="77777777" w:rsidR="00225DF5" w:rsidRDefault="00225DF5" w:rsidP="00225DF5">
              <w:pPr>
                <w:ind w:firstLineChars="200" w:firstLine="420"/>
              </w:pPr>
              <w:r>
                <w:rPr>
                  <w:rFonts w:hint="eastAsia"/>
                </w:rPr>
                <w:t>质量管理体系持续有效运行。公司持续加强风险防控体系建设，完善制度建设，全面梳理公司制度流程；全面推进合规试点工作，推进采购、对外宣传领域合规管理；加强案件管理力度，重大案件取得阶段性进展；加强境外投资经营管控，开展境外企业审计工作；加强内部审计，加大整改工作力度，风险防控能力得到增强，保障公司有序经营管理。</w:t>
              </w:r>
            </w:p>
            <w:p w14:paraId="27202B63" w14:textId="77777777" w:rsidR="00225DF5" w:rsidRDefault="00225DF5" w:rsidP="00225DF5">
              <w:pPr>
                <w:ind w:firstLineChars="200" w:firstLine="420"/>
              </w:pPr>
              <w:r>
                <w:rPr>
                  <w:rFonts w:hint="eastAsia"/>
                </w:rPr>
                <w:t>下半年重点工作：</w:t>
              </w:r>
            </w:p>
            <w:p w14:paraId="182D2B97" w14:textId="77777777" w:rsidR="00225DF5" w:rsidRDefault="00225DF5" w:rsidP="00225DF5">
              <w:pPr>
                <w:ind w:firstLineChars="200" w:firstLine="420"/>
              </w:pPr>
              <w:r>
                <w:rPr>
                  <w:rFonts w:hint="eastAsia"/>
                </w:rPr>
                <w:t>下半年，在碳中和政策支持下，清洁能源设备的需求将带动储运装置需求的增长。公司将紧跟产业动态，把握市场需求趋势，立足自身技术特色，不断研发推出高质量产品，延伸拓展应用领域，增强市场核心竞争力。完善激励机制，激发科研团队创新活力，加强专业领域核心技术研发攻关，推动科研成果落地转化，为实现碳达峰、碳中和提供有力支撑。</w:t>
              </w:r>
            </w:p>
            <w:p w14:paraId="17EE034B" w14:textId="6A782500" w:rsidR="00225DF5" w:rsidRDefault="00225DF5" w:rsidP="00225DF5">
              <w:pPr>
                <w:ind w:firstLineChars="200" w:firstLine="420"/>
              </w:pPr>
              <w:r>
                <w:t>1、紧盯营业收入预算指标，外抓订单，内保交付</w:t>
              </w:r>
            </w:p>
            <w:p w14:paraId="21011A02" w14:textId="77777777" w:rsidR="00225DF5" w:rsidRDefault="00225DF5" w:rsidP="00225DF5">
              <w:pPr>
                <w:ind w:firstLineChars="200" w:firstLine="420"/>
              </w:pPr>
              <w:r>
                <w:rPr>
                  <w:rFonts w:hint="eastAsia"/>
                </w:rPr>
                <w:t>公司需增强排产的计划性，做好与供应生产衔接，加快投入产出速度，提高资金利用效率；加强与货代公司合作交流，灵活调整海运和铁路运输配合方式，克服海运价格暴涨、订舱难等困难，提高发货效率，减少仓储时间；加大公司战略产品的市场开拓力度，提高产品的销售收入。</w:t>
              </w:r>
            </w:p>
            <w:p w14:paraId="424F7653" w14:textId="1E306152" w:rsidR="00225DF5" w:rsidRDefault="00225DF5" w:rsidP="00225DF5">
              <w:pPr>
                <w:ind w:firstLineChars="200" w:firstLine="420"/>
              </w:pPr>
              <w:r>
                <w:t>2、紧盯创新驱动，加快重点项目推进，为企业发展提供不竭动力</w:t>
              </w:r>
            </w:p>
            <w:p w14:paraId="7D7B1F72" w14:textId="77777777" w:rsidR="00225DF5" w:rsidRDefault="00225DF5" w:rsidP="00225DF5">
              <w:pPr>
                <w:ind w:firstLineChars="200" w:firstLine="420"/>
              </w:pPr>
              <w:r>
                <w:rPr>
                  <w:rFonts w:hint="eastAsia"/>
                </w:rPr>
                <w:t>创新是引领发展的第一动力，创新驱动是高质量发展的鲜明特征和必然路径。全力推进四型瓶项目，结合市场需求完成关键产品的增项取证工作。完善智能生产线的联调联试，确保数字化平台系统与生产同步投入使用。加快运氢、加氢系列产品开发速度，在瓶组式集装箱、加氢站压缩橇、加氢站用氢气瓶组等产品取得实质性突破，落实十四五战略要求。高度重视承担的液氢瓶和液氢罐课题，确保按节点要求完成。</w:t>
              </w:r>
            </w:p>
            <w:p w14:paraId="77725BAF" w14:textId="411244FB" w:rsidR="00225DF5" w:rsidRDefault="00225DF5" w:rsidP="00225DF5">
              <w:pPr>
                <w:ind w:firstLineChars="200" w:firstLine="420"/>
              </w:pPr>
              <w:r>
                <w:t>3、坚持战略引领，持续深化改革</w:t>
              </w:r>
            </w:p>
            <w:p w14:paraId="793451C4" w14:textId="77777777" w:rsidR="00225DF5" w:rsidRDefault="00225DF5" w:rsidP="00225DF5">
              <w:pPr>
                <w:ind w:firstLineChars="200" w:firstLine="420"/>
              </w:pPr>
              <w:r>
                <w:rPr>
                  <w:rFonts w:hint="eastAsia"/>
                </w:rPr>
                <w:lastRenderedPageBreak/>
                <w:t>坚持战略引领，继续稳步推进对北洋天青的并购重组，以本次并购重组作为战略发展的突破点，助力公司推进产业转型升级，发展高端装备制造业务，提升持续盈利能力。</w:t>
              </w:r>
            </w:p>
            <w:p w14:paraId="6731BC85" w14:textId="77777777" w:rsidR="00225DF5" w:rsidRDefault="00225DF5" w:rsidP="00907EF9">
              <w:pPr>
                <w:ind w:firstLineChars="200" w:firstLine="420"/>
              </w:pPr>
              <w:r>
                <w:rPr>
                  <w:rFonts w:hint="eastAsia"/>
                </w:rPr>
                <w:t>持续深化改革，提升信息化水平。加强数字化、网络化、智能化等新一代信息技术运用，推动企业产品、生产制造、管理服务向数字化转型、智能化升级。在战略和管控的基础上，继续强化赋能、协同，各职能中心要加强自身专业化、职业化建设，探索实施课题制、项目制，深度挖掘经营过程中的管理难点和痛点，并组织各方力量加以解决。</w:t>
              </w:r>
            </w:p>
            <w:p w14:paraId="7A1A1EF1" w14:textId="74ED21E1" w:rsidR="00225DF5" w:rsidRDefault="00225DF5" w:rsidP="00225DF5">
              <w:pPr>
                <w:ind w:firstLineChars="200" w:firstLine="420"/>
              </w:pPr>
              <w:r>
                <w:t>4、紧盯合法合规，完善风险一体化体系建设</w:t>
              </w:r>
            </w:p>
            <w:p w14:paraId="0A62EA4D" w14:textId="0BACFA49" w:rsidR="00225DF5" w:rsidRDefault="00225DF5" w:rsidP="00225DF5">
              <w:pPr>
                <w:ind w:firstLineChars="200" w:firstLine="420"/>
              </w:pPr>
              <w:r>
                <w:rPr>
                  <w:rFonts w:hint="eastAsia"/>
                </w:rPr>
                <w:t>加大合规管理力度，健全合规管理运行机制；将风险管控及合法合规要求不断嵌入制度流程，形成长效机制；强化重点领域审计监督，加大境外企业监督，加强对子公司合同管理的指导监督和培训，推动子公司逐步落实三项审核，防范合同法律风险，加强对子公司法律、内控、合规、风险能力建设的管理、指导和培训，提高子公司专业化管理水平。健全知识产权管理组织机构，完善相关制度，推动技术创新并形成自主知识产权，加强商标和专利的维护和授权管理，提升知识产权保护能力。</w:t>
              </w:r>
            </w:p>
          </w:sdtContent>
        </w:sdt>
        <w:p w14:paraId="0FC33B8E" w14:textId="77777777" w:rsidR="00225DF5" w:rsidRDefault="00225DF5"/>
        <w:p w14:paraId="5C2B8A53" w14:textId="4FD0772C" w:rsidR="007F1C2B" w:rsidRDefault="00B664AF" w:rsidP="00680B89">
          <w:pPr>
            <w:ind w:firstLineChars="200" w:firstLine="420"/>
          </w:pPr>
        </w:p>
      </w:sdtContent>
    </w:sdt>
    <w:bookmarkEnd w:id="23" w:displacedByCustomXml="prev"/>
    <w:sdt>
      <w:sdtPr>
        <w:rPr>
          <w:rFonts w:hint="eastAsia"/>
        </w:rPr>
        <w:alias w:val="模块:报告期内公司经营情况的重大变化，以及报告期内发生的对公司经营..."/>
        <w:tag w:val="_SEC_5c790aea31ad48bb8832d20c53fcc625"/>
        <w:id w:val="172076358"/>
        <w:lock w:val="sdtLocked"/>
        <w:placeholder>
          <w:docPart w:val="GBC22222222222222222222222222222"/>
        </w:placeholder>
      </w:sdtPr>
      <w:sdtEndPr>
        <w:rPr>
          <w:rFonts w:hint="default"/>
        </w:rPr>
      </w:sdtEndPr>
      <w:sdtContent>
        <w:p w14:paraId="1E6E3FDC" w14:textId="2F507C32" w:rsidR="007F1C2B" w:rsidRDefault="004F686E">
          <w:pPr>
            <w:rPr>
              <w:b/>
              <w:bCs/>
            </w:rPr>
          </w:pPr>
          <w:r>
            <w:rPr>
              <w:rFonts w:hint="eastAsia"/>
              <w:b/>
              <w:bCs/>
            </w:rPr>
            <w:t>报告期内公司经营情况的重大变化，以及报告期内发生的对公司经营情况有重大影响和预计未来会有重大影响的事项</w:t>
          </w:r>
        </w:p>
        <w:sdt>
          <w:sdtPr>
            <w:rPr>
              <w:rFonts w:hint="eastAsia"/>
            </w:rPr>
            <w:alias w:val="是否适用：报告期内公司经营情况的重大变化，以及报告期内发生的对公司经营情况有重大影响和预计未来会有重大影响的事项[双击切换]"/>
            <w:tag w:val="_GBC_0f91ff55b5a9406ea662149119d7e23c"/>
            <w:id w:val="1380897242"/>
            <w:lock w:val="sdtLocked"/>
            <w:placeholder>
              <w:docPart w:val="GBC22222222222222222222222222222"/>
            </w:placeholder>
          </w:sdtPr>
          <w:sdtEndPr/>
          <w:sdtContent>
            <w:p w14:paraId="1B740812" w14:textId="320F6E26" w:rsidR="007F1C2B" w:rsidRDefault="004F686E" w:rsidP="00A63BF5">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5BE0D34" w14:textId="6F3BBDCF" w:rsidR="007F1C2B" w:rsidRDefault="00B664AF"/>
      </w:sdtContent>
    </w:sdt>
    <w:p w14:paraId="3F2B9547" w14:textId="77777777" w:rsidR="00471D53" w:rsidRDefault="004F686E" w:rsidP="004F686E">
      <w:pPr>
        <w:pStyle w:val="2"/>
        <w:numPr>
          <w:ilvl w:val="0"/>
          <w:numId w:val="6"/>
        </w:numPr>
        <w:tabs>
          <w:tab w:val="left" w:pos="426"/>
        </w:tabs>
        <w:ind w:left="422" w:hanging="422"/>
        <w:jc w:val="left"/>
        <w:rPr>
          <w:rFonts w:ascii="宋体" w:hAnsi="宋体" w:cs="宋体"/>
          <w:kern w:val="0"/>
          <w:szCs w:val="24"/>
        </w:rPr>
      </w:pPr>
      <w:r>
        <w:rPr>
          <w:rFonts w:ascii="宋体" w:hAnsi="宋体" w:cs="宋体" w:hint="eastAsia"/>
          <w:kern w:val="0"/>
          <w:szCs w:val="24"/>
        </w:rPr>
        <w:t>报告期内主要经营情况</w:t>
      </w:r>
    </w:p>
    <w:p w14:paraId="060A9A5D" w14:textId="77777777" w:rsidR="00471D53" w:rsidRDefault="004F686E" w:rsidP="004F686E">
      <w:pPr>
        <w:pStyle w:val="3"/>
        <w:numPr>
          <w:ilvl w:val="0"/>
          <w:numId w:val="8"/>
        </w:numPr>
        <w:rPr>
          <w:rFonts w:ascii="宋体" w:hAnsi="宋体"/>
        </w:rPr>
      </w:pPr>
      <w:bookmarkStart w:id="24" w:name="_Toc342559738"/>
      <w:bookmarkStart w:id="25" w:name="_Toc342565895"/>
      <w:r>
        <w:rPr>
          <w:rFonts w:ascii="宋体" w:hAnsi="宋体" w:hint="eastAsia"/>
        </w:rPr>
        <w:t>主营业务分析</w:t>
      </w:r>
      <w:bookmarkEnd w:id="24"/>
      <w:bookmarkEnd w:id="25"/>
    </w:p>
    <w:p w14:paraId="5FD0A5E5" w14:textId="77777777" w:rsidR="00471D53" w:rsidRDefault="004F686E" w:rsidP="004F686E">
      <w:pPr>
        <w:pStyle w:val="afffff8"/>
        <w:numPr>
          <w:ilvl w:val="0"/>
          <w:numId w:val="9"/>
        </w:numPr>
        <w:rPr>
          <w:rFonts w:ascii="宋体" w:hAnsi="宋体"/>
        </w:rPr>
      </w:pPr>
      <w:bookmarkStart w:id="26" w:name="_Toc342559739"/>
      <w:bookmarkStart w:id="27" w:name="_Toc342565896"/>
      <w:r>
        <w:rPr>
          <w:rFonts w:ascii="宋体" w:hAnsi="宋体" w:hint="eastAsia"/>
        </w:rPr>
        <w:t>财务报表相关科目变动分析表</w:t>
      </w:r>
      <w:bookmarkEnd w:id="26"/>
      <w:bookmarkEnd w:id="27"/>
    </w:p>
    <w:bookmarkStart w:id="28" w:name="_Hlk10208083" w:displacedByCustomXml="next"/>
    <w:sdt>
      <w:sdtPr>
        <w:rPr>
          <w:rFonts w:ascii="宋体" w:hAnsi="宋体" w:hint="eastAsia"/>
        </w:rPr>
        <w:alias w:val="模块:财务报表相关科目变动分析表"/>
        <w:tag w:val="_GBC_281bf95299804381a41f7dd82e2c19f3"/>
        <w:id w:val="-1924798219"/>
        <w:lock w:val="sdtLocked"/>
        <w:placeholder>
          <w:docPart w:val="GBC22222222222222222222222222222"/>
        </w:placeholder>
      </w:sdtPr>
      <w:sdtEndPr/>
      <w:sdtContent>
        <w:p w14:paraId="6279204D" w14:textId="77777777" w:rsidR="00471D53" w:rsidRDefault="004F686E">
          <w:pPr>
            <w:pStyle w:val="affffff7"/>
            <w:ind w:left="360" w:firstLineChars="0" w:firstLine="0"/>
            <w:jc w:val="right"/>
            <w:rPr>
              <w:rFonts w:ascii="宋体" w:hAnsi="宋体"/>
            </w:rPr>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ece1a77905b94e6db0c76206578fe2db"/>
              <w:id w:val="-10597038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6c86f79f9e2349b09f37ad908cd43f73"/>
              <w:id w:val="-13447761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szCs w:val="21"/>
                </w:rPr>
                <w:t>人民币</w:t>
              </w:r>
            </w:sdtContent>
          </w:sdt>
        </w:p>
        <w:tbl>
          <w:tblPr>
            <w:tblStyle w:val="g5"/>
            <w:tblW w:w="4994" w:type="pct"/>
            <w:tblLook w:val="04A0" w:firstRow="1" w:lastRow="0" w:firstColumn="1" w:lastColumn="0" w:noHBand="0" w:noVBand="1"/>
          </w:tblPr>
          <w:tblGrid>
            <w:gridCol w:w="3008"/>
            <w:gridCol w:w="2073"/>
            <w:gridCol w:w="1935"/>
            <w:gridCol w:w="1796"/>
          </w:tblGrid>
          <w:tr w:rsidR="00471D53" w14:paraId="401B552E" w14:textId="77777777" w:rsidTr="005F6ED8">
            <w:bookmarkStart w:id="29" w:name="_Hlk10208057" w:displacedByCustomXml="next"/>
            <w:sdt>
              <w:sdtPr>
                <w:rPr>
                  <w:rFonts w:ascii="宋体" w:hAnsi="宋体"/>
                </w:rPr>
                <w:tag w:val="_PLD_2e2e0d1bb8d44a278061305ea6808979"/>
                <w:id w:val="-2115886504"/>
                <w:lock w:val="sdtLocked"/>
              </w:sdtPr>
              <w:sdtEndPr/>
              <w:sdtContent>
                <w:tc>
                  <w:tcPr>
                    <w:tcW w:w="1707" w:type="pct"/>
                  </w:tcPr>
                  <w:p w14:paraId="2C45AE14" w14:textId="77777777" w:rsidR="00471D53" w:rsidRDefault="004F686E">
                    <w:pPr>
                      <w:pStyle w:val="affffff7"/>
                      <w:ind w:firstLineChars="0" w:firstLine="0"/>
                      <w:rPr>
                        <w:rFonts w:ascii="宋体" w:hAnsi="宋体"/>
                        <w:szCs w:val="21"/>
                      </w:rPr>
                    </w:pPr>
                    <w:r>
                      <w:rPr>
                        <w:rFonts w:ascii="宋体" w:hAnsi="宋体" w:hint="eastAsia"/>
                        <w:szCs w:val="21"/>
                      </w:rPr>
                      <w:t>科目</w:t>
                    </w:r>
                  </w:p>
                </w:tc>
              </w:sdtContent>
            </w:sdt>
            <w:sdt>
              <w:sdtPr>
                <w:rPr>
                  <w:rFonts w:ascii="宋体" w:hAnsi="宋体"/>
                </w:rPr>
                <w:tag w:val="_PLD_37391874ab08430b841a55f53c4d20e6"/>
                <w:id w:val="-937910075"/>
                <w:lock w:val="sdtLocked"/>
              </w:sdtPr>
              <w:sdtEndPr/>
              <w:sdtContent>
                <w:tc>
                  <w:tcPr>
                    <w:tcW w:w="1176" w:type="pct"/>
                    <w:vAlign w:val="center"/>
                  </w:tcPr>
                  <w:p w14:paraId="1D99B9D3" w14:textId="77777777" w:rsidR="00471D53" w:rsidRDefault="004F686E">
                    <w:pPr>
                      <w:pStyle w:val="affffff7"/>
                      <w:ind w:firstLineChars="0" w:firstLine="0"/>
                      <w:jc w:val="center"/>
                      <w:rPr>
                        <w:rFonts w:ascii="宋体" w:hAnsi="宋体"/>
                        <w:szCs w:val="21"/>
                      </w:rPr>
                    </w:pPr>
                    <w:r>
                      <w:rPr>
                        <w:rFonts w:ascii="宋体" w:hAnsi="宋体" w:hint="eastAsia"/>
                        <w:szCs w:val="21"/>
                      </w:rPr>
                      <w:t>本期数</w:t>
                    </w:r>
                  </w:p>
                </w:tc>
              </w:sdtContent>
            </w:sdt>
            <w:sdt>
              <w:sdtPr>
                <w:rPr>
                  <w:rFonts w:ascii="宋体" w:hAnsi="宋体"/>
                </w:rPr>
                <w:tag w:val="_PLD_d061bf6d7e824e93a5540d2e36feb15d"/>
                <w:id w:val="-195156485"/>
                <w:lock w:val="sdtLocked"/>
              </w:sdtPr>
              <w:sdtEndPr/>
              <w:sdtContent>
                <w:tc>
                  <w:tcPr>
                    <w:tcW w:w="1098" w:type="pct"/>
                    <w:vAlign w:val="center"/>
                  </w:tcPr>
                  <w:p w14:paraId="499B967F" w14:textId="77777777" w:rsidR="00471D53" w:rsidRDefault="004F686E">
                    <w:pPr>
                      <w:pStyle w:val="affffff7"/>
                      <w:ind w:firstLineChars="0" w:firstLine="0"/>
                      <w:jc w:val="center"/>
                      <w:rPr>
                        <w:rFonts w:ascii="宋体" w:hAnsi="宋体"/>
                        <w:szCs w:val="21"/>
                      </w:rPr>
                    </w:pPr>
                    <w:r>
                      <w:rPr>
                        <w:rFonts w:ascii="宋体" w:hAnsi="宋体" w:hint="eastAsia"/>
                        <w:szCs w:val="21"/>
                      </w:rPr>
                      <w:t>上年同期数</w:t>
                    </w:r>
                  </w:p>
                </w:tc>
              </w:sdtContent>
            </w:sdt>
            <w:sdt>
              <w:sdtPr>
                <w:rPr>
                  <w:rFonts w:ascii="宋体" w:hAnsi="宋体"/>
                </w:rPr>
                <w:tag w:val="_PLD_1792b71106c34c75af22292391c96e49"/>
                <w:id w:val="1364407011"/>
                <w:lock w:val="sdtLocked"/>
              </w:sdtPr>
              <w:sdtEndPr/>
              <w:sdtContent>
                <w:tc>
                  <w:tcPr>
                    <w:tcW w:w="1019" w:type="pct"/>
                    <w:vAlign w:val="center"/>
                  </w:tcPr>
                  <w:p w14:paraId="031BAFA5" w14:textId="77777777" w:rsidR="00471D53" w:rsidRDefault="004F686E">
                    <w:pPr>
                      <w:pStyle w:val="affffff7"/>
                      <w:ind w:firstLineChars="0" w:firstLine="0"/>
                      <w:jc w:val="center"/>
                      <w:rPr>
                        <w:rFonts w:ascii="宋体" w:hAnsi="宋体"/>
                        <w:szCs w:val="21"/>
                      </w:rPr>
                    </w:pPr>
                    <w:r>
                      <w:rPr>
                        <w:rFonts w:ascii="宋体" w:hAnsi="宋体" w:hint="eastAsia"/>
                        <w:szCs w:val="21"/>
                      </w:rPr>
                      <w:t>变动比例（%）</w:t>
                    </w:r>
                  </w:p>
                </w:tc>
              </w:sdtContent>
            </w:sdt>
          </w:tr>
          <w:tr w:rsidR="00471D53" w14:paraId="3E719006" w14:textId="77777777" w:rsidTr="00471D53">
            <w:sdt>
              <w:sdtPr>
                <w:rPr>
                  <w:rFonts w:ascii="宋体" w:hAnsi="宋体"/>
                </w:rPr>
                <w:tag w:val="_PLD_c7aabd73356d4df6ad6c67395e690823"/>
                <w:id w:val="1964071727"/>
                <w:lock w:val="sdtLocked"/>
              </w:sdtPr>
              <w:sdtEndPr/>
              <w:sdtContent>
                <w:tc>
                  <w:tcPr>
                    <w:tcW w:w="1707" w:type="pct"/>
                  </w:tcPr>
                  <w:p w14:paraId="739F9FD9" w14:textId="77777777" w:rsidR="00471D53" w:rsidRDefault="004F686E">
                    <w:pPr>
                      <w:pStyle w:val="affffff7"/>
                      <w:ind w:firstLineChars="0" w:firstLine="0"/>
                      <w:rPr>
                        <w:rFonts w:ascii="宋体" w:hAnsi="宋体"/>
                        <w:szCs w:val="21"/>
                      </w:rPr>
                    </w:pPr>
                    <w:r>
                      <w:rPr>
                        <w:rFonts w:ascii="宋体" w:hAnsi="宋体" w:hint="eastAsia"/>
                        <w:szCs w:val="21"/>
                      </w:rPr>
                      <w:t>营业收入</w:t>
                    </w:r>
                  </w:p>
                </w:tc>
              </w:sdtContent>
            </w:sdt>
            <w:tc>
              <w:tcPr>
                <w:tcW w:w="1176" w:type="pct"/>
                <w:vAlign w:val="center"/>
              </w:tcPr>
              <w:p w14:paraId="775F81E7" w14:textId="64B4E870" w:rsidR="00471D53" w:rsidRDefault="004F686E">
                <w:pPr>
                  <w:jc w:val="right"/>
                  <w:rPr>
                    <w:color w:val="000000"/>
                    <w:szCs w:val="21"/>
                  </w:rPr>
                </w:pPr>
                <w:r>
                  <w:rPr>
                    <w:rFonts w:hint="eastAsia"/>
                    <w:color w:val="000000"/>
                    <w:szCs w:val="21"/>
                  </w:rPr>
                  <w:t>526,554,520.75</w:t>
                </w:r>
              </w:p>
            </w:tc>
            <w:tc>
              <w:tcPr>
                <w:tcW w:w="1098" w:type="pct"/>
                <w:vAlign w:val="center"/>
              </w:tcPr>
              <w:p w14:paraId="26077D38" w14:textId="7CF49AA8" w:rsidR="00471D53" w:rsidRDefault="004F686E">
                <w:pPr>
                  <w:jc w:val="right"/>
                  <w:rPr>
                    <w:color w:val="000000"/>
                    <w:szCs w:val="21"/>
                  </w:rPr>
                </w:pPr>
                <w:r>
                  <w:rPr>
                    <w:rFonts w:hint="eastAsia"/>
                    <w:color w:val="000000"/>
                    <w:szCs w:val="21"/>
                  </w:rPr>
                  <w:t>523,831,648.77</w:t>
                </w:r>
              </w:p>
            </w:tc>
            <w:tc>
              <w:tcPr>
                <w:tcW w:w="1019" w:type="pct"/>
                <w:vAlign w:val="center"/>
              </w:tcPr>
              <w:p w14:paraId="085BA264" w14:textId="207A69EE" w:rsidR="00471D53" w:rsidRDefault="004F686E">
                <w:pPr>
                  <w:jc w:val="right"/>
                  <w:rPr>
                    <w:color w:val="000000"/>
                    <w:szCs w:val="21"/>
                  </w:rPr>
                </w:pPr>
                <w:r>
                  <w:rPr>
                    <w:rFonts w:hint="eastAsia"/>
                    <w:color w:val="000000"/>
                    <w:szCs w:val="21"/>
                  </w:rPr>
                  <w:t>0.52</w:t>
                </w:r>
              </w:p>
            </w:tc>
          </w:tr>
          <w:tr w:rsidR="00471D53" w14:paraId="3DDC1DEC" w14:textId="77777777" w:rsidTr="00471D53">
            <w:sdt>
              <w:sdtPr>
                <w:rPr>
                  <w:rFonts w:ascii="宋体" w:hAnsi="宋体"/>
                </w:rPr>
                <w:tag w:val="_PLD_143930b444784190b0545eacad3472d8"/>
                <w:id w:val="2018194625"/>
                <w:lock w:val="sdtLocked"/>
              </w:sdtPr>
              <w:sdtEndPr/>
              <w:sdtContent>
                <w:tc>
                  <w:tcPr>
                    <w:tcW w:w="1707" w:type="pct"/>
                  </w:tcPr>
                  <w:p w14:paraId="25AF0AC7" w14:textId="77777777" w:rsidR="00471D53" w:rsidRDefault="004F686E">
                    <w:pPr>
                      <w:pStyle w:val="affffff7"/>
                      <w:ind w:firstLineChars="0" w:firstLine="0"/>
                      <w:rPr>
                        <w:rFonts w:ascii="宋体" w:hAnsi="宋体"/>
                        <w:szCs w:val="21"/>
                      </w:rPr>
                    </w:pPr>
                    <w:r>
                      <w:rPr>
                        <w:rFonts w:ascii="宋体" w:hAnsi="宋体"/>
                        <w:szCs w:val="21"/>
                      </w:rPr>
                      <w:t>营业成本</w:t>
                    </w:r>
                  </w:p>
                </w:tc>
              </w:sdtContent>
            </w:sdt>
            <w:tc>
              <w:tcPr>
                <w:tcW w:w="1176" w:type="pct"/>
                <w:vAlign w:val="center"/>
              </w:tcPr>
              <w:p w14:paraId="605D8581" w14:textId="301CA02C" w:rsidR="00471D53" w:rsidRDefault="004F686E">
                <w:pPr>
                  <w:jc w:val="right"/>
                  <w:rPr>
                    <w:color w:val="000000"/>
                    <w:szCs w:val="21"/>
                  </w:rPr>
                </w:pPr>
                <w:r>
                  <w:rPr>
                    <w:rFonts w:hint="eastAsia"/>
                    <w:color w:val="000000"/>
                    <w:szCs w:val="21"/>
                  </w:rPr>
                  <w:t>453,219,285.37</w:t>
                </w:r>
              </w:p>
            </w:tc>
            <w:tc>
              <w:tcPr>
                <w:tcW w:w="1098" w:type="pct"/>
                <w:vAlign w:val="center"/>
              </w:tcPr>
              <w:p w14:paraId="7ED781F2" w14:textId="4484FDB3" w:rsidR="00471D53" w:rsidRDefault="004F686E">
                <w:pPr>
                  <w:jc w:val="right"/>
                  <w:rPr>
                    <w:color w:val="000000"/>
                    <w:szCs w:val="21"/>
                  </w:rPr>
                </w:pPr>
                <w:r>
                  <w:rPr>
                    <w:rFonts w:hint="eastAsia"/>
                    <w:color w:val="000000"/>
                    <w:szCs w:val="21"/>
                  </w:rPr>
                  <w:t>460,653,282.50</w:t>
                </w:r>
              </w:p>
            </w:tc>
            <w:tc>
              <w:tcPr>
                <w:tcW w:w="1019" w:type="pct"/>
                <w:vAlign w:val="center"/>
              </w:tcPr>
              <w:p w14:paraId="2CA12A2F" w14:textId="087FAFD7" w:rsidR="00471D53" w:rsidRDefault="004F686E">
                <w:pPr>
                  <w:jc w:val="right"/>
                  <w:rPr>
                    <w:color w:val="000000"/>
                    <w:szCs w:val="21"/>
                  </w:rPr>
                </w:pPr>
                <w:r>
                  <w:rPr>
                    <w:rFonts w:hint="eastAsia"/>
                    <w:color w:val="000000"/>
                    <w:szCs w:val="21"/>
                  </w:rPr>
                  <w:t>-1.61</w:t>
                </w:r>
              </w:p>
            </w:tc>
          </w:tr>
          <w:tr w:rsidR="00471D53" w14:paraId="1CA885D5" w14:textId="77777777" w:rsidTr="00471D53">
            <w:sdt>
              <w:sdtPr>
                <w:rPr>
                  <w:rFonts w:ascii="宋体" w:hAnsi="宋体"/>
                </w:rPr>
                <w:tag w:val="_PLD_3140de3631dd486996919c00b7b71b20"/>
                <w:id w:val="355924053"/>
                <w:lock w:val="sdtLocked"/>
              </w:sdtPr>
              <w:sdtEndPr/>
              <w:sdtContent>
                <w:tc>
                  <w:tcPr>
                    <w:tcW w:w="1707" w:type="pct"/>
                  </w:tcPr>
                  <w:p w14:paraId="4074C033" w14:textId="77777777" w:rsidR="00471D53" w:rsidRDefault="004F686E">
                    <w:pPr>
                      <w:pStyle w:val="affffff7"/>
                      <w:ind w:firstLineChars="0" w:firstLine="0"/>
                      <w:rPr>
                        <w:rFonts w:ascii="宋体" w:hAnsi="宋体"/>
                        <w:szCs w:val="21"/>
                      </w:rPr>
                    </w:pPr>
                    <w:r>
                      <w:rPr>
                        <w:rFonts w:ascii="宋体" w:hAnsi="宋体"/>
                        <w:szCs w:val="21"/>
                      </w:rPr>
                      <w:t>销售费用</w:t>
                    </w:r>
                  </w:p>
                </w:tc>
              </w:sdtContent>
            </w:sdt>
            <w:tc>
              <w:tcPr>
                <w:tcW w:w="1176" w:type="pct"/>
                <w:vAlign w:val="center"/>
              </w:tcPr>
              <w:p w14:paraId="5B934575" w14:textId="793B9FB7" w:rsidR="00471D53" w:rsidRDefault="004F686E">
                <w:pPr>
                  <w:jc w:val="right"/>
                  <w:rPr>
                    <w:color w:val="000000"/>
                    <w:szCs w:val="21"/>
                  </w:rPr>
                </w:pPr>
                <w:r>
                  <w:rPr>
                    <w:rFonts w:hint="eastAsia"/>
                    <w:color w:val="000000"/>
                    <w:szCs w:val="21"/>
                  </w:rPr>
                  <w:t>15,050,487.21</w:t>
                </w:r>
              </w:p>
            </w:tc>
            <w:tc>
              <w:tcPr>
                <w:tcW w:w="1098" w:type="pct"/>
                <w:vAlign w:val="center"/>
              </w:tcPr>
              <w:p w14:paraId="3BDC76DD" w14:textId="042E5452" w:rsidR="00471D53" w:rsidRDefault="004F686E">
                <w:pPr>
                  <w:jc w:val="right"/>
                  <w:rPr>
                    <w:color w:val="000000"/>
                    <w:szCs w:val="21"/>
                  </w:rPr>
                </w:pPr>
                <w:r>
                  <w:rPr>
                    <w:rFonts w:hint="eastAsia"/>
                    <w:color w:val="000000"/>
                    <w:szCs w:val="21"/>
                  </w:rPr>
                  <w:t>23,619,779.98</w:t>
                </w:r>
              </w:p>
            </w:tc>
            <w:tc>
              <w:tcPr>
                <w:tcW w:w="1019" w:type="pct"/>
                <w:vAlign w:val="center"/>
              </w:tcPr>
              <w:p w14:paraId="13C8E291" w14:textId="3E6A2BB5" w:rsidR="00471D53" w:rsidRDefault="004F686E">
                <w:pPr>
                  <w:jc w:val="right"/>
                  <w:rPr>
                    <w:color w:val="000000"/>
                    <w:szCs w:val="21"/>
                  </w:rPr>
                </w:pPr>
                <w:r>
                  <w:rPr>
                    <w:rFonts w:hint="eastAsia"/>
                    <w:color w:val="000000"/>
                    <w:szCs w:val="21"/>
                  </w:rPr>
                  <w:t>-36.28</w:t>
                </w:r>
              </w:p>
            </w:tc>
          </w:tr>
          <w:tr w:rsidR="00471D53" w14:paraId="716170FC" w14:textId="77777777" w:rsidTr="00471D53">
            <w:sdt>
              <w:sdtPr>
                <w:rPr>
                  <w:rFonts w:ascii="宋体" w:hAnsi="宋体"/>
                </w:rPr>
                <w:tag w:val="_PLD_6448b6c19be4461084a37286c6a46673"/>
                <w:id w:val="954676490"/>
                <w:lock w:val="sdtLocked"/>
              </w:sdtPr>
              <w:sdtEndPr/>
              <w:sdtContent>
                <w:tc>
                  <w:tcPr>
                    <w:tcW w:w="1707" w:type="pct"/>
                  </w:tcPr>
                  <w:p w14:paraId="0822F5DA" w14:textId="77777777" w:rsidR="00471D53" w:rsidRDefault="004F686E">
                    <w:pPr>
                      <w:pStyle w:val="affffff7"/>
                      <w:ind w:firstLineChars="0" w:firstLine="0"/>
                      <w:rPr>
                        <w:rFonts w:ascii="宋体" w:hAnsi="宋体"/>
                        <w:szCs w:val="21"/>
                      </w:rPr>
                    </w:pPr>
                    <w:r>
                      <w:rPr>
                        <w:rFonts w:ascii="宋体" w:hAnsi="宋体"/>
                        <w:szCs w:val="21"/>
                      </w:rPr>
                      <w:t>管理费用</w:t>
                    </w:r>
                  </w:p>
                </w:tc>
              </w:sdtContent>
            </w:sdt>
            <w:tc>
              <w:tcPr>
                <w:tcW w:w="1176" w:type="pct"/>
                <w:vAlign w:val="center"/>
              </w:tcPr>
              <w:p w14:paraId="47991319" w14:textId="5F8724BE" w:rsidR="00471D53" w:rsidRDefault="004F686E">
                <w:pPr>
                  <w:jc w:val="right"/>
                  <w:rPr>
                    <w:color w:val="000000"/>
                    <w:szCs w:val="21"/>
                  </w:rPr>
                </w:pPr>
                <w:r>
                  <w:rPr>
                    <w:rFonts w:hint="eastAsia"/>
                    <w:color w:val="000000"/>
                    <w:szCs w:val="21"/>
                  </w:rPr>
                  <w:t>39,916,462.24</w:t>
                </w:r>
              </w:p>
            </w:tc>
            <w:tc>
              <w:tcPr>
                <w:tcW w:w="1098" w:type="pct"/>
                <w:vAlign w:val="center"/>
              </w:tcPr>
              <w:p w14:paraId="567E8B02" w14:textId="32BD8591" w:rsidR="00471D53" w:rsidRDefault="004F686E">
                <w:pPr>
                  <w:jc w:val="right"/>
                  <w:rPr>
                    <w:color w:val="000000"/>
                    <w:szCs w:val="21"/>
                  </w:rPr>
                </w:pPr>
                <w:r>
                  <w:rPr>
                    <w:rFonts w:hint="eastAsia"/>
                    <w:color w:val="000000"/>
                    <w:szCs w:val="21"/>
                  </w:rPr>
                  <w:t>32,304,626.97</w:t>
                </w:r>
              </w:p>
            </w:tc>
            <w:tc>
              <w:tcPr>
                <w:tcW w:w="1019" w:type="pct"/>
                <w:vAlign w:val="center"/>
              </w:tcPr>
              <w:p w14:paraId="4FA7BF44" w14:textId="2256812C" w:rsidR="00471D53" w:rsidRDefault="004F686E">
                <w:pPr>
                  <w:jc w:val="right"/>
                  <w:rPr>
                    <w:color w:val="000000"/>
                    <w:szCs w:val="21"/>
                  </w:rPr>
                </w:pPr>
                <w:r>
                  <w:rPr>
                    <w:rFonts w:hint="eastAsia"/>
                    <w:color w:val="000000"/>
                    <w:szCs w:val="21"/>
                  </w:rPr>
                  <w:t>23.56</w:t>
                </w:r>
              </w:p>
            </w:tc>
          </w:tr>
          <w:tr w:rsidR="00471D53" w14:paraId="3D0D2145" w14:textId="77777777" w:rsidTr="00471D53">
            <w:sdt>
              <w:sdtPr>
                <w:rPr>
                  <w:rFonts w:ascii="宋体" w:hAnsi="宋体"/>
                </w:rPr>
                <w:tag w:val="_PLD_d989f363470245b8a8044d51af95f876"/>
                <w:id w:val="500704014"/>
                <w:lock w:val="sdtLocked"/>
              </w:sdtPr>
              <w:sdtEndPr/>
              <w:sdtContent>
                <w:tc>
                  <w:tcPr>
                    <w:tcW w:w="1707" w:type="pct"/>
                  </w:tcPr>
                  <w:p w14:paraId="42387938" w14:textId="77777777" w:rsidR="00471D53" w:rsidRDefault="004F686E">
                    <w:pPr>
                      <w:pStyle w:val="affffff7"/>
                      <w:ind w:firstLineChars="0" w:firstLine="0"/>
                      <w:rPr>
                        <w:rFonts w:ascii="宋体" w:hAnsi="宋体"/>
                        <w:szCs w:val="21"/>
                      </w:rPr>
                    </w:pPr>
                    <w:r>
                      <w:rPr>
                        <w:rFonts w:ascii="宋体" w:hAnsi="宋体"/>
                        <w:szCs w:val="21"/>
                      </w:rPr>
                      <w:t>财务费用</w:t>
                    </w:r>
                  </w:p>
                </w:tc>
              </w:sdtContent>
            </w:sdt>
            <w:tc>
              <w:tcPr>
                <w:tcW w:w="1176" w:type="pct"/>
                <w:vAlign w:val="center"/>
              </w:tcPr>
              <w:p w14:paraId="13B85D28" w14:textId="24FC648B" w:rsidR="00471D53" w:rsidRDefault="004F686E">
                <w:pPr>
                  <w:jc w:val="right"/>
                  <w:rPr>
                    <w:color w:val="000000"/>
                    <w:szCs w:val="21"/>
                  </w:rPr>
                </w:pPr>
                <w:r>
                  <w:rPr>
                    <w:rFonts w:hint="eastAsia"/>
                    <w:color w:val="000000"/>
                    <w:szCs w:val="21"/>
                  </w:rPr>
                  <w:t>6,189,937.17</w:t>
                </w:r>
              </w:p>
            </w:tc>
            <w:tc>
              <w:tcPr>
                <w:tcW w:w="1098" w:type="pct"/>
                <w:vAlign w:val="center"/>
              </w:tcPr>
              <w:p w14:paraId="22DA7863" w14:textId="3723FAB4" w:rsidR="00471D53" w:rsidRDefault="004F686E">
                <w:pPr>
                  <w:jc w:val="right"/>
                  <w:rPr>
                    <w:color w:val="000000"/>
                    <w:szCs w:val="21"/>
                  </w:rPr>
                </w:pPr>
                <w:r>
                  <w:rPr>
                    <w:rFonts w:hint="eastAsia"/>
                    <w:color w:val="000000"/>
                    <w:szCs w:val="21"/>
                  </w:rPr>
                  <w:t>9,724,015.22</w:t>
                </w:r>
              </w:p>
            </w:tc>
            <w:tc>
              <w:tcPr>
                <w:tcW w:w="1019" w:type="pct"/>
                <w:vAlign w:val="center"/>
              </w:tcPr>
              <w:p w14:paraId="324931ED" w14:textId="61A348A7" w:rsidR="00471D53" w:rsidRDefault="004F686E">
                <w:pPr>
                  <w:jc w:val="right"/>
                  <w:rPr>
                    <w:color w:val="000000"/>
                    <w:szCs w:val="21"/>
                  </w:rPr>
                </w:pPr>
                <w:r>
                  <w:rPr>
                    <w:rFonts w:hint="eastAsia"/>
                    <w:color w:val="000000"/>
                    <w:szCs w:val="21"/>
                  </w:rPr>
                  <w:t>-36.34</w:t>
                </w:r>
              </w:p>
            </w:tc>
          </w:tr>
          <w:tr w:rsidR="00471D53" w14:paraId="015EA004" w14:textId="77777777" w:rsidTr="00471D53">
            <w:sdt>
              <w:sdtPr>
                <w:rPr>
                  <w:rFonts w:ascii="宋体" w:hAnsi="宋体"/>
                </w:rPr>
                <w:tag w:val="_PLD_79aac573eb414fcbb6f291d963446057"/>
                <w:id w:val="466708604"/>
                <w:lock w:val="sdtLocked"/>
              </w:sdtPr>
              <w:sdtEndPr/>
              <w:sdtContent>
                <w:tc>
                  <w:tcPr>
                    <w:tcW w:w="1707" w:type="pct"/>
                  </w:tcPr>
                  <w:p w14:paraId="3BC23B8B" w14:textId="77777777" w:rsidR="00471D53" w:rsidRDefault="004F686E">
                    <w:pPr>
                      <w:pStyle w:val="affffff7"/>
                      <w:ind w:firstLineChars="0" w:firstLine="0"/>
                      <w:rPr>
                        <w:rFonts w:ascii="宋体" w:hAnsi="宋体"/>
                        <w:szCs w:val="21"/>
                      </w:rPr>
                    </w:pPr>
                    <w:r>
                      <w:rPr>
                        <w:rFonts w:ascii="宋体" w:hAnsi="宋体" w:hint="eastAsia"/>
                        <w:szCs w:val="21"/>
                      </w:rPr>
                      <w:t>研发费用</w:t>
                    </w:r>
                  </w:p>
                </w:tc>
              </w:sdtContent>
            </w:sdt>
            <w:tc>
              <w:tcPr>
                <w:tcW w:w="1176" w:type="pct"/>
                <w:vAlign w:val="center"/>
              </w:tcPr>
              <w:p w14:paraId="434E6609" w14:textId="156FD5D9" w:rsidR="00471D53" w:rsidRDefault="004F686E">
                <w:pPr>
                  <w:jc w:val="right"/>
                  <w:rPr>
                    <w:color w:val="000000"/>
                    <w:szCs w:val="21"/>
                  </w:rPr>
                </w:pPr>
                <w:r>
                  <w:rPr>
                    <w:rFonts w:hint="eastAsia"/>
                    <w:color w:val="000000"/>
                    <w:szCs w:val="21"/>
                  </w:rPr>
                  <w:t>10,015,871.43</w:t>
                </w:r>
              </w:p>
            </w:tc>
            <w:tc>
              <w:tcPr>
                <w:tcW w:w="1098" w:type="pct"/>
                <w:vAlign w:val="center"/>
              </w:tcPr>
              <w:p w14:paraId="31AD3E43" w14:textId="40CB698B" w:rsidR="00471D53" w:rsidRDefault="004F686E">
                <w:pPr>
                  <w:jc w:val="right"/>
                  <w:rPr>
                    <w:color w:val="000000"/>
                    <w:szCs w:val="21"/>
                  </w:rPr>
                </w:pPr>
                <w:r>
                  <w:rPr>
                    <w:rFonts w:hint="eastAsia"/>
                    <w:color w:val="000000"/>
                    <w:szCs w:val="21"/>
                  </w:rPr>
                  <w:t>9,163,732.02</w:t>
                </w:r>
              </w:p>
            </w:tc>
            <w:tc>
              <w:tcPr>
                <w:tcW w:w="1019" w:type="pct"/>
                <w:vAlign w:val="center"/>
              </w:tcPr>
              <w:p w14:paraId="5E3A65C2" w14:textId="5DB4A935" w:rsidR="00471D53" w:rsidRDefault="004F686E">
                <w:pPr>
                  <w:jc w:val="right"/>
                  <w:rPr>
                    <w:color w:val="000000"/>
                    <w:szCs w:val="21"/>
                  </w:rPr>
                </w:pPr>
                <w:r>
                  <w:rPr>
                    <w:rFonts w:hint="eastAsia"/>
                    <w:color w:val="000000"/>
                    <w:szCs w:val="21"/>
                  </w:rPr>
                  <w:t>9.30</w:t>
                </w:r>
              </w:p>
            </w:tc>
          </w:tr>
          <w:tr w:rsidR="00471D53" w14:paraId="10BE6053" w14:textId="77777777" w:rsidTr="00471D53">
            <w:sdt>
              <w:sdtPr>
                <w:rPr>
                  <w:rFonts w:ascii="宋体" w:hAnsi="宋体"/>
                </w:rPr>
                <w:tag w:val="_PLD_3e652539acb44f708b4f7202c302af4f"/>
                <w:id w:val="-954783293"/>
                <w:lock w:val="sdtLocked"/>
              </w:sdtPr>
              <w:sdtEndPr/>
              <w:sdtContent>
                <w:tc>
                  <w:tcPr>
                    <w:tcW w:w="1707" w:type="pct"/>
                  </w:tcPr>
                  <w:p w14:paraId="262D7972" w14:textId="77777777" w:rsidR="00471D53" w:rsidRDefault="004F686E">
                    <w:pPr>
                      <w:pStyle w:val="affffff7"/>
                      <w:ind w:firstLineChars="0" w:firstLine="0"/>
                      <w:rPr>
                        <w:rFonts w:ascii="宋体" w:hAnsi="宋体"/>
                        <w:szCs w:val="21"/>
                      </w:rPr>
                    </w:pPr>
                    <w:r>
                      <w:rPr>
                        <w:rFonts w:ascii="宋体" w:hAnsi="宋体"/>
                        <w:szCs w:val="21"/>
                      </w:rPr>
                      <w:t>经营活动产生的现金流量净额</w:t>
                    </w:r>
                  </w:p>
                </w:tc>
              </w:sdtContent>
            </w:sdt>
            <w:tc>
              <w:tcPr>
                <w:tcW w:w="1176" w:type="pct"/>
                <w:vAlign w:val="center"/>
              </w:tcPr>
              <w:p w14:paraId="2AD5DA39" w14:textId="3B0679B2" w:rsidR="00471D53" w:rsidRDefault="004F686E">
                <w:pPr>
                  <w:jc w:val="right"/>
                  <w:rPr>
                    <w:color w:val="000000"/>
                    <w:szCs w:val="21"/>
                  </w:rPr>
                </w:pPr>
                <w:r>
                  <w:rPr>
                    <w:rFonts w:hint="eastAsia"/>
                    <w:color w:val="000000"/>
                    <w:szCs w:val="21"/>
                  </w:rPr>
                  <w:t>-42,048,198.13</w:t>
                </w:r>
              </w:p>
            </w:tc>
            <w:tc>
              <w:tcPr>
                <w:tcW w:w="1098" w:type="pct"/>
                <w:vAlign w:val="center"/>
              </w:tcPr>
              <w:p w14:paraId="69218BE7" w14:textId="3699F65B" w:rsidR="00471D53" w:rsidRDefault="004F686E">
                <w:pPr>
                  <w:jc w:val="right"/>
                  <w:rPr>
                    <w:color w:val="000000"/>
                    <w:szCs w:val="21"/>
                  </w:rPr>
                </w:pPr>
                <w:r>
                  <w:rPr>
                    <w:rFonts w:hint="eastAsia"/>
                    <w:color w:val="000000"/>
                    <w:szCs w:val="21"/>
                  </w:rPr>
                  <w:t>26,638,246.85</w:t>
                </w:r>
              </w:p>
            </w:tc>
            <w:tc>
              <w:tcPr>
                <w:tcW w:w="1019" w:type="pct"/>
                <w:vAlign w:val="center"/>
              </w:tcPr>
              <w:p w14:paraId="47011CE5" w14:textId="722FE3D5" w:rsidR="00471D53" w:rsidRDefault="004F686E">
                <w:pPr>
                  <w:jc w:val="right"/>
                  <w:rPr>
                    <w:color w:val="000000"/>
                    <w:szCs w:val="21"/>
                  </w:rPr>
                </w:pPr>
                <w:r>
                  <w:rPr>
                    <w:rFonts w:hint="eastAsia"/>
                    <w:color w:val="000000"/>
                    <w:szCs w:val="21"/>
                  </w:rPr>
                  <w:t>-</w:t>
                </w:r>
              </w:p>
            </w:tc>
          </w:tr>
          <w:tr w:rsidR="00471D53" w14:paraId="63125F54" w14:textId="77777777" w:rsidTr="00471D53">
            <w:sdt>
              <w:sdtPr>
                <w:rPr>
                  <w:rFonts w:ascii="宋体" w:hAnsi="宋体"/>
                </w:rPr>
                <w:tag w:val="_PLD_93331660aee640afb46a84edc7e2d2a4"/>
                <w:id w:val="1712539668"/>
                <w:lock w:val="sdtLocked"/>
              </w:sdtPr>
              <w:sdtEndPr/>
              <w:sdtContent>
                <w:tc>
                  <w:tcPr>
                    <w:tcW w:w="1707" w:type="pct"/>
                  </w:tcPr>
                  <w:p w14:paraId="72820F8A" w14:textId="77777777" w:rsidR="00471D53" w:rsidRDefault="004F686E">
                    <w:pPr>
                      <w:pStyle w:val="affffff7"/>
                      <w:ind w:firstLineChars="0" w:firstLine="0"/>
                      <w:rPr>
                        <w:rFonts w:ascii="宋体" w:hAnsi="宋体"/>
                        <w:szCs w:val="21"/>
                      </w:rPr>
                    </w:pPr>
                    <w:r>
                      <w:rPr>
                        <w:rFonts w:ascii="宋体" w:hAnsi="宋体"/>
                        <w:szCs w:val="21"/>
                      </w:rPr>
                      <w:t>投资活动产生的现金流量净额</w:t>
                    </w:r>
                  </w:p>
                </w:tc>
              </w:sdtContent>
            </w:sdt>
            <w:tc>
              <w:tcPr>
                <w:tcW w:w="1176" w:type="pct"/>
                <w:vAlign w:val="center"/>
              </w:tcPr>
              <w:p w14:paraId="3BA8C5DC" w14:textId="38E0447A" w:rsidR="00471D53" w:rsidRDefault="004F686E">
                <w:pPr>
                  <w:jc w:val="right"/>
                  <w:rPr>
                    <w:color w:val="000000"/>
                    <w:szCs w:val="21"/>
                  </w:rPr>
                </w:pPr>
                <w:r>
                  <w:rPr>
                    <w:rFonts w:hint="eastAsia"/>
                    <w:color w:val="000000"/>
                    <w:szCs w:val="21"/>
                  </w:rPr>
                  <w:t>-33,123,899.27</w:t>
                </w:r>
              </w:p>
            </w:tc>
            <w:tc>
              <w:tcPr>
                <w:tcW w:w="1098" w:type="pct"/>
                <w:vAlign w:val="center"/>
              </w:tcPr>
              <w:p w14:paraId="54BB50B4" w14:textId="632DE1E5" w:rsidR="00471D53" w:rsidRDefault="004F686E">
                <w:pPr>
                  <w:jc w:val="right"/>
                  <w:rPr>
                    <w:color w:val="000000"/>
                    <w:szCs w:val="21"/>
                  </w:rPr>
                </w:pPr>
                <w:r>
                  <w:rPr>
                    <w:rFonts w:hint="eastAsia"/>
                    <w:color w:val="000000"/>
                    <w:szCs w:val="21"/>
                  </w:rPr>
                  <w:t>18,036,307.86</w:t>
                </w:r>
              </w:p>
            </w:tc>
            <w:tc>
              <w:tcPr>
                <w:tcW w:w="1019" w:type="pct"/>
                <w:vAlign w:val="center"/>
              </w:tcPr>
              <w:p w14:paraId="3113E3AE" w14:textId="18B82C74" w:rsidR="00471D53" w:rsidRDefault="004F686E">
                <w:pPr>
                  <w:jc w:val="right"/>
                  <w:rPr>
                    <w:color w:val="000000"/>
                    <w:szCs w:val="21"/>
                  </w:rPr>
                </w:pPr>
                <w:r>
                  <w:rPr>
                    <w:rFonts w:hint="eastAsia"/>
                    <w:color w:val="000000"/>
                    <w:szCs w:val="21"/>
                  </w:rPr>
                  <w:t>-</w:t>
                </w:r>
              </w:p>
            </w:tc>
          </w:tr>
          <w:tr w:rsidR="00471D53" w14:paraId="4D432785" w14:textId="77777777" w:rsidTr="00471D53">
            <w:sdt>
              <w:sdtPr>
                <w:rPr>
                  <w:rFonts w:ascii="宋体" w:hAnsi="宋体"/>
                </w:rPr>
                <w:tag w:val="_PLD_8e32eafcb28041f58b5df53597b43172"/>
                <w:id w:val="-2105876737"/>
                <w:lock w:val="sdtLocked"/>
              </w:sdtPr>
              <w:sdtEndPr/>
              <w:sdtContent>
                <w:tc>
                  <w:tcPr>
                    <w:tcW w:w="1707" w:type="pct"/>
                  </w:tcPr>
                  <w:p w14:paraId="52E0008B" w14:textId="77777777" w:rsidR="00471D53" w:rsidRDefault="004F686E">
                    <w:pPr>
                      <w:pStyle w:val="affffff7"/>
                      <w:ind w:firstLineChars="0" w:firstLine="0"/>
                      <w:rPr>
                        <w:rFonts w:ascii="宋体" w:hAnsi="宋体"/>
                        <w:szCs w:val="21"/>
                      </w:rPr>
                    </w:pPr>
                    <w:r>
                      <w:rPr>
                        <w:rFonts w:ascii="宋体" w:hAnsi="宋体"/>
                        <w:szCs w:val="21"/>
                      </w:rPr>
                      <w:t>筹资活动产生的现金流量净额</w:t>
                    </w:r>
                  </w:p>
                </w:tc>
              </w:sdtContent>
            </w:sdt>
            <w:tc>
              <w:tcPr>
                <w:tcW w:w="1176" w:type="pct"/>
                <w:vAlign w:val="center"/>
              </w:tcPr>
              <w:p w14:paraId="07243825" w14:textId="56C336A3" w:rsidR="00471D53" w:rsidRDefault="004F686E">
                <w:pPr>
                  <w:jc w:val="right"/>
                  <w:rPr>
                    <w:color w:val="000000"/>
                    <w:szCs w:val="21"/>
                  </w:rPr>
                </w:pPr>
                <w:r>
                  <w:rPr>
                    <w:rFonts w:hint="eastAsia"/>
                    <w:color w:val="000000"/>
                    <w:szCs w:val="21"/>
                  </w:rPr>
                  <w:t>-74,779,453.38</w:t>
                </w:r>
              </w:p>
            </w:tc>
            <w:tc>
              <w:tcPr>
                <w:tcW w:w="1098" w:type="pct"/>
                <w:vAlign w:val="center"/>
              </w:tcPr>
              <w:p w14:paraId="138A89CF" w14:textId="57D73E4C" w:rsidR="00471D53" w:rsidRDefault="004F686E">
                <w:pPr>
                  <w:jc w:val="right"/>
                  <w:rPr>
                    <w:color w:val="000000"/>
                    <w:szCs w:val="21"/>
                  </w:rPr>
                </w:pPr>
                <w:r>
                  <w:rPr>
                    <w:rFonts w:hint="eastAsia"/>
                    <w:color w:val="000000"/>
                    <w:szCs w:val="21"/>
                  </w:rPr>
                  <w:t>137,635,630.94</w:t>
                </w:r>
              </w:p>
            </w:tc>
            <w:tc>
              <w:tcPr>
                <w:tcW w:w="1019" w:type="pct"/>
                <w:vAlign w:val="center"/>
              </w:tcPr>
              <w:p w14:paraId="44D57DAD" w14:textId="2F275FCB" w:rsidR="00471D53" w:rsidRDefault="004F686E">
                <w:pPr>
                  <w:jc w:val="right"/>
                  <w:rPr>
                    <w:color w:val="000000"/>
                    <w:szCs w:val="21"/>
                  </w:rPr>
                </w:pPr>
                <w:r>
                  <w:rPr>
                    <w:rFonts w:hint="eastAsia"/>
                    <w:color w:val="000000"/>
                    <w:szCs w:val="21"/>
                  </w:rPr>
                  <w:t>-</w:t>
                </w:r>
              </w:p>
            </w:tc>
          </w:tr>
        </w:tbl>
        <w:bookmarkEnd w:id="29"/>
        <w:p w14:paraId="244FF2B5" w14:textId="77777777" w:rsidR="00471D53" w:rsidRDefault="004F686E">
          <w:pPr>
            <w:pStyle w:val="affffff7"/>
            <w:ind w:firstLineChars="0" w:firstLine="0"/>
            <w:jc w:val="left"/>
            <w:rPr>
              <w:rFonts w:ascii="宋体" w:hAnsi="宋体"/>
            </w:rPr>
          </w:pPr>
          <w:r>
            <w:rPr>
              <w:rFonts w:ascii="宋体" w:hAnsi="宋体" w:hint="eastAsia"/>
            </w:rPr>
            <w:t>营业收入变动原因说明：</w:t>
          </w:r>
          <w:sdt>
            <w:sdtPr>
              <w:rPr>
                <w:rFonts w:ascii="宋体" w:hAnsi="宋体"/>
                <w:szCs w:val="21"/>
              </w:rPr>
              <w:alias w:val="营业收入变动原因说明"/>
              <w:tag w:val="_GBC_f42c61e6c2ef46fe886ea6ecdd4ea15b"/>
              <w:id w:val="1462919224"/>
              <w:lock w:val="sdtLocked"/>
              <w:placeholder>
                <w:docPart w:val="GBC22222222222222222222222222222"/>
              </w:placeholder>
            </w:sdtPr>
            <w:sdtEndPr/>
            <w:sdtContent>
              <w:r>
                <w:rPr>
                  <w:rFonts w:ascii="宋体" w:hAnsi="宋体" w:hint="eastAsia"/>
                  <w:szCs w:val="21"/>
                </w:rPr>
                <w:t>同比增长0.52%，与上年同期持平；</w:t>
              </w:r>
            </w:sdtContent>
          </w:sdt>
        </w:p>
        <w:p w14:paraId="37E25A2A" w14:textId="77777777" w:rsidR="00471D53" w:rsidRDefault="004F686E">
          <w:pPr>
            <w:pStyle w:val="affffff7"/>
            <w:ind w:firstLineChars="0" w:firstLine="0"/>
            <w:jc w:val="left"/>
            <w:rPr>
              <w:rFonts w:ascii="宋体" w:hAnsi="宋体"/>
            </w:rPr>
          </w:pPr>
          <w:r>
            <w:rPr>
              <w:rFonts w:ascii="宋体" w:hAnsi="宋体" w:hint="eastAsia"/>
            </w:rPr>
            <w:t>营业成本变动原因说明：</w:t>
          </w:r>
          <w:sdt>
            <w:sdtPr>
              <w:rPr>
                <w:rFonts w:ascii="宋体" w:hAnsi="宋体" w:hint="eastAsia"/>
              </w:rPr>
              <w:alias w:val="营业成本变动原因说明"/>
              <w:tag w:val="_GBC_4ab47071f9844da58abe164f6bd272aa"/>
              <w:id w:val="-1503810883"/>
              <w:lock w:val="sdtLocked"/>
              <w:placeholder>
                <w:docPart w:val="GBC22222222222222222222222222222"/>
              </w:placeholder>
            </w:sdtPr>
            <w:sdtEndPr/>
            <w:sdtContent>
              <w:r>
                <w:rPr>
                  <w:rFonts w:ascii="宋体" w:hAnsi="宋体" w:hint="eastAsia"/>
                </w:rPr>
                <w:t>同比减少1.61%，主要是公司通过采购降本、科技降本所致；</w:t>
              </w:r>
            </w:sdtContent>
          </w:sdt>
        </w:p>
        <w:p w14:paraId="5B0A9A02" w14:textId="77777777" w:rsidR="00471D53" w:rsidRDefault="004F686E">
          <w:pPr>
            <w:pStyle w:val="affffff7"/>
            <w:ind w:firstLineChars="0" w:firstLine="0"/>
            <w:jc w:val="left"/>
            <w:rPr>
              <w:rFonts w:ascii="宋体" w:hAnsi="宋体"/>
            </w:rPr>
          </w:pPr>
          <w:r>
            <w:rPr>
              <w:rFonts w:ascii="宋体" w:hAnsi="宋体" w:hint="eastAsia"/>
            </w:rPr>
            <w:t>销售费用变动原因说明：</w:t>
          </w:r>
          <w:sdt>
            <w:sdtPr>
              <w:rPr>
                <w:rFonts w:ascii="宋体" w:hAnsi="宋体" w:hint="eastAsia"/>
              </w:rPr>
              <w:alias w:val="销售费用变动原因说明"/>
              <w:tag w:val="_GBC_d8f3d3236009445ca57b171f1c954fae"/>
              <w:id w:val="-1983681501"/>
              <w:lock w:val="sdtLocked"/>
              <w:placeholder>
                <w:docPart w:val="GBC22222222222222222222222222222"/>
              </w:placeholder>
            </w:sdtPr>
            <w:sdtEndPr/>
            <w:sdtContent>
              <w:r>
                <w:rPr>
                  <w:rFonts w:ascii="宋体" w:hAnsi="宋体" w:hint="eastAsia"/>
                </w:rPr>
                <w:t>同比减少36.28%，主要是公司严控费用所致；</w:t>
              </w:r>
            </w:sdtContent>
          </w:sdt>
        </w:p>
        <w:p w14:paraId="1887A739" w14:textId="77777777" w:rsidR="00471D53" w:rsidRDefault="004F686E">
          <w:pPr>
            <w:pStyle w:val="affffff7"/>
            <w:ind w:firstLineChars="0" w:firstLine="0"/>
            <w:jc w:val="left"/>
            <w:rPr>
              <w:rFonts w:ascii="宋体" w:hAnsi="宋体"/>
            </w:rPr>
          </w:pPr>
          <w:r>
            <w:rPr>
              <w:rFonts w:ascii="宋体" w:hAnsi="宋体" w:hint="eastAsia"/>
            </w:rPr>
            <w:t>管理费用变动原因说明：</w:t>
          </w:r>
          <w:sdt>
            <w:sdtPr>
              <w:rPr>
                <w:rFonts w:ascii="宋体" w:hAnsi="宋体" w:hint="eastAsia"/>
              </w:rPr>
              <w:alias w:val="管理费用变动原因说明"/>
              <w:tag w:val="_GBC_13103bbe23ee4770b17eecdee03d38a1"/>
              <w:id w:val="-945613353"/>
              <w:lock w:val="sdtLocked"/>
              <w:placeholder>
                <w:docPart w:val="GBC22222222222222222222222222222"/>
              </w:placeholder>
            </w:sdtPr>
            <w:sdtEndPr/>
            <w:sdtContent>
              <w:r>
                <w:rPr>
                  <w:rFonts w:ascii="宋体" w:hAnsi="宋体" w:hint="eastAsia"/>
                </w:rPr>
                <w:t>同比增长23.56%，主要是薪酬与上年同期相比增加，上年同期因疫情享受社保减免政策所致；</w:t>
              </w:r>
            </w:sdtContent>
          </w:sdt>
        </w:p>
        <w:p w14:paraId="0EC9D23D" w14:textId="77777777" w:rsidR="00471D53" w:rsidRDefault="004F686E">
          <w:pPr>
            <w:pStyle w:val="affffff7"/>
            <w:ind w:firstLineChars="0" w:firstLine="0"/>
            <w:jc w:val="left"/>
            <w:rPr>
              <w:rFonts w:ascii="宋体" w:hAnsi="宋体"/>
            </w:rPr>
          </w:pPr>
          <w:r>
            <w:rPr>
              <w:rFonts w:ascii="宋体" w:hAnsi="宋体" w:hint="eastAsia"/>
            </w:rPr>
            <w:t>财务费用变动原因说明：</w:t>
          </w:r>
          <w:sdt>
            <w:sdtPr>
              <w:rPr>
                <w:rFonts w:ascii="宋体" w:hAnsi="宋体" w:hint="eastAsia"/>
              </w:rPr>
              <w:alias w:val="财务费用变动原因说明"/>
              <w:tag w:val="_GBC_2876360f1d844724b6ba84d6b9756580"/>
              <w:id w:val="533770853"/>
              <w:lock w:val="sdtLocked"/>
              <w:placeholder>
                <w:docPart w:val="GBC22222222222222222222222222222"/>
              </w:placeholder>
            </w:sdtPr>
            <w:sdtEndPr/>
            <w:sdtContent>
              <w:r>
                <w:rPr>
                  <w:rFonts w:ascii="宋体" w:hAnsi="宋体" w:hint="eastAsia"/>
                </w:rPr>
                <w:t>同比减少36.34%，主要是贷款减少导致利息减少所致；</w:t>
              </w:r>
            </w:sdtContent>
          </w:sdt>
        </w:p>
        <w:p w14:paraId="5343D616" w14:textId="77777777" w:rsidR="00471D53" w:rsidRDefault="004F686E">
          <w:pPr>
            <w:pStyle w:val="affffff7"/>
            <w:ind w:firstLineChars="0" w:firstLine="0"/>
            <w:jc w:val="left"/>
            <w:rPr>
              <w:rFonts w:ascii="宋体" w:hAnsi="宋体"/>
            </w:rPr>
          </w:pPr>
          <w:r>
            <w:rPr>
              <w:rFonts w:ascii="宋体" w:hAnsi="宋体" w:hint="eastAsia"/>
            </w:rPr>
            <w:t>研发费用变动原因说明</w:t>
          </w:r>
          <w:r>
            <w:rPr>
              <w:rFonts w:ascii="宋体" w:hAnsi="宋体"/>
            </w:rPr>
            <w:t>：</w:t>
          </w:r>
          <w:sdt>
            <w:sdtPr>
              <w:rPr>
                <w:rFonts w:ascii="宋体" w:hAnsi="宋体"/>
              </w:rPr>
              <w:alias w:val="研发费用变动原因说明"/>
              <w:tag w:val="_GBC_b0b71742eb3f4715afa18751ce433454"/>
              <w:id w:val="788164837"/>
              <w:lock w:val="sdtLocked"/>
              <w:placeholder>
                <w:docPart w:val="GBC22222222222222222222222222222"/>
              </w:placeholder>
            </w:sdtPr>
            <w:sdtEndPr/>
            <w:sdtContent>
              <w:r>
                <w:rPr>
                  <w:rFonts w:ascii="宋体" w:hAnsi="宋体" w:hint="eastAsia"/>
                </w:rPr>
                <w:t>同比增长9.30%，主要是本期增加研发投入所致；</w:t>
              </w:r>
            </w:sdtContent>
          </w:sdt>
        </w:p>
        <w:p w14:paraId="525D5332" w14:textId="77777777" w:rsidR="00471D53" w:rsidRPr="00C22D9B" w:rsidRDefault="004F686E" w:rsidP="00471D53">
          <w:pPr>
            <w:rPr>
              <w:color w:val="000000"/>
              <w:sz w:val="22"/>
              <w:szCs w:val="22"/>
            </w:rPr>
          </w:pPr>
          <w:r>
            <w:rPr>
              <w:szCs w:val="21"/>
            </w:rPr>
            <w:t>经营活动产生的现金流量净额</w:t>
          </w:r>
          <w:r>
            <w:rPr>
              <w:rFonts w:hint="eastAsia"/>
              <w:szCs w:val="21"/>
            </w:rPr>
            <w:t>变动原因说明：</w:t>
          </w:r>
          <w:sdt>
            <w:sdtPr>
              <w:rPr>
                <w:rFonts w:hint="eastAsia"/>
                <w:szCs w:val="21"/>
              </w:rPr>
              <w:alias w:val="经营活动产生的现金流量净额变动原因说明"/>
              <w:tag w:val="_GBC_309323bb8b0046e9bb6afe0231994d50"/>
              <w:id w:val="1644616061"/>
              <w:lock w:val="sdtLocked"/>
              <w:placeholder>
                <w:docPart w:val="GBC22222222222222222222222222222"/>
              </w:placeholder>
            </w:sdtPr>
            <w:sdtEndPr>
              <w:rPr>
                <w:rFonts w:cs="Times New Roman"/>
                <w:kern w:val="2"/>
              </w:rPr>
            </w:sdtEndPr>
            <w:sdtContent>
              <w:r>
                <w:rPr>
                  <w:rFonts w:hint="eastAsia"/>
                  <w:szCs w:val="21"/>
                </w:rPr>
                <w:t>同比减少约6868.64万元，主要是收到经营活动现金减少，同时支付经营活动现金增加所致；</w:t>
              </w:r>
            </w:sdtContent>
          </w:sdt>
        </w:p>
        <w:p w14:paraId="2D4A34DA" w14:textId="77777777" w:rsidR="00471D53" w:rsidRDefault="004F686E">
          <w:pPr>
            <w:pStyle w:val="affffff7"/>
            <w:ind w:firstLineChars="0" w:firstLine="0"/>
            <w:jc w:val="left"/>
            <w:rPr>
              <w:rFonts w:ascii="宋体" w:hAnsi="宋体"/>
            </w:rPr>
          </w:pPr>
          <w:r>
            <w:rPr>
              <w:rFonts w:ascii="宋体" w:hAnsi="宋体"/>
              <w:szCs w:val="21"/>
            </w:rPr>
            <w:t>投资活动产生的现金流量净额</w:t>
          </w:r>
          <w:r>
            <w:rPr>
              <w:rFonts w:ascii="宋体" w:hAnsi="宋体" w:hint="eastAsia"/>
              <w:szCs w:val="21"/>
            </w:rPr>
            <w:t>变动原因说明：</w:t>
          </w:r>
          <w:sdt>
            <w:sdtPr>
              <w:rPr>
                <w:rFonts w:ascii="宋体" w:hAnsi="宋体" w:hint="eastAsia"/>
                <w:szCs w:val="21"/>
              </w:rPr>
              <w:alias w:val="投资活动产生的现金流量净额变动原因说明"/>
              <w:tag w:val="_GBC_981bcb9573814b8080b52fae435fb1b0"/>
              <w:id w:val="1246226278"/>
              <w:lock w:val="sdtLocked"/>
              <w:placeholder>
                <w:docPart w:val="GBC22222222222222222222222222222"/>
              </w:placeholder>
            </w:sdtPr>
            <w:sdtEndPr/>
            <w:sdtContent>
              <w:r>
                <w:rPr>
                  <w:rFonts w:ascii="宋体" w:hAnsi="宋体" w:hint="eastAsia"/>
                  <w:szCs w:val="21"/>
                </w:rPr>
                <w:t>同比减少约5116.02万元，主要是本期支付合营联营公司认缴出资款以及上期收到股权转让款所致；</w:t>
              </w:r>
            </w:sdtContent>
          </w:sdt>
        </w:p>
        <w:p w14:paraId="4EE72EB4" w14:textId="1D6CE7BE" w:rsidR="00471D53" w:rsidRDefault="004F686E">
          <w:pPr>
            <w:pStyle w:val="affffff7"/>
            <w:ind w:firstLineChars="0" w:firstLine="0"/>
            <w:jc w:val="left"/>
            <w:rPr>
              <w:rFonts w:ascii="宋体" w:hAnsi="宋体"/>
            </w:rPr>
          </w:pPr>
          <w:r>
            <w:rPr>
              <w:rFonts w:ascii="宋体" w:hAnsi="宋体"/>
              <w:szCs w:val="21"/>
            </w:rPr>
            <w:t>筹资活动产生的现金流量净额</w:t>
          </w:r>
          <w:r>
            <w:rPr>
              <w:rFonts w:ascii="宋体" w:hAnsi="宋体" w:hint="eastAsia"/>
              <w:szCs w:val="21"/>
            </w:rPr>
            <w:t>变动原因说明：</w:t>
          </w:r>
          <w:sdt>
            <w:sdtPr>
              <w:rPr>
                <w:rFonts w:ascii="宋体" w:hAnsi="宋体" w:hint="eastAsia"/>
                <w:szCs w:val="21"/>
              </w:rPr>
              <w:alias w:val="筹资活动产生的现金流量净额变动原因说明"/>
              <w:tag w:val="_GBC_900a9d8acfac4ec18a35c4034161c13e"/>
              <w:id w:val="-1465196966"/>
              <w:lock w:val="sdtLocked"/>
              <w:placeholder>
                <w:docPart w:val="GBC22222222222222222222222222222"/>
              </w:placeholder>
            </w:sdtPr>
            <w:sdtEndPr/>
            <w:sdtContent>
              <w:r>
                <w:rPr>
                  <w:rFonts w:ascii="宋体" w:hAnsi="宋体" w:hint="eastAsia"/>
                  <w:szCs w:val="21"/>
                </w:rPr>
                <w:t>同比减少约21241.51万元，主要是上期取得增资款所致</w:t>
              </w:r>
              <w:r w:rsidR="00907EF9">
                <w:rPr>
                  <w:rFonts w:ascii="宋体" w:hAnsi="宋体" w:hint="eastAsia"/>
                  <w:szCs w:val="21"/>
                </w:rPr>
                <w:t>。</w:t>
              </w:r>
            </w:sdtContent>
          </w:sdt>
        </w:p>
      </w:sdtContent>
    </w:sdt>
    <w:p w14:paraId="7C754E70" w14:textId="77777777" w:rsidR="00471D53" w:rsidRDefault="00B664AF">
      <w:pPr>
        <w:pStyle w:val="affffff7"/>
        <w:ind w:firstLineChars="0" w:firstLine="0"/>
        <w:jc w:val="left"/>
        <w:rPr>
          <w:rFonts w:ascii="宋体" w:hAnsi="宋体"/>
        </w:rPr>
      </w:pPr>
      <w:bookmarkStart w:id="30" w:name="_Toc342559755"/>
      <w:bookmarkStart w:id="31" w:name="_Toc342565903"/>
      <w:bookmarkEnd w:id="28"/>
    </w:p>
    <w:sdt>
      <w:sdtPr>
        <w:rPr>
          <w:rFonts w:ascii="宋体" w:hAnsi="宋体" w:cs="宋体"/>
          <w:b w:val="0"/>
          <w:bCs w:val="0"/>
          <w:kern w:val="0"/>
          <w:szCs w:val="24"/>
        </w:rPr>
        <w:alias w:val="模块:公司利润构成或利润来源发生重大变动的详细说明"/>
        <w:tag w:val="_GBC_2346c2f60a0d447bb4e68d1cdeb1ae6e"/>
        <w:id w:val="-2071713131"/>
        <w:lock w:val="sdtLocked"/>
        <w:placeholder>
          <w:docPart w:val="GBC22222222222222222222222222222"/>
        </w:placeholder>
      </w:sdtPr>
      <w:sdtEndPr>
        <w:rPr>
          <w:rFonts w:hint="eastAsia"/>
        </w:rPr>
      </w:sdtEndPr>
      <w:sdtContent>
        <w:p w14:paraId="3B4F1141" w14:textId="77777777" w:rsidR="00471D53" w:rsidRDefault="004F686E" w:rsidP="004F686E">
          <w:pPr>
            <w:pStyle w:val="afffff8"/>
            <w:numPr>
              <w:ilvl w:val="0"/>
              <w:numId w:val="9"/>
            </w:numPr>
            <w:rPr>
              <w:rFonts w:ascii="宋体" w:hAnsi="宋体"/>
            </w:rPr>
          </w:pPr>
          <w:r>
            <w:rPr>
              <w:rFonts w:ascii="宋体" w:hAnsi="宋体" w:hint="eastAsia"/>
            </w:rPr>
            <w:t>本期</w:t>
          </w:r>
          <w:r>
            <w:rPr>
              <w:rFonts w:ascii="宋体" w:hAnsi="宋体"/>
            </w:rPr>
            <w:t>公司</w:t>
          </w:r>
          <w:r>
            <w:rPr>
              <w:rFonts w:ascii="宋体" w:hAnsi="宋体" w:hint="eastAsia"/>
            </w:rPr>
            <w:t>业务类型、</w:t>
          </w:r>
          <w:r>
            <w:rPr>
              <w:rFonts w:ascii="宋体" w:hAnsi="宋体"/>
            </w:rPr>
            <w:t>利润构成或利润来源发生重大变动的详细说明</w:t>
          </w:r>
        </w:p>
        <w:sdt>
          <w:sdtPr>
            <w:alias w:val="是否适用：公司利润构成或利润来源发生重大变动的详细说明[双击切换]"/>
            <w:tag w:val="_GBC_cf62b49cb7b54052a77aa6c4ec7218c8"/>
            <w:id w:val="1931309393"/>
            <w:lock w:val="sdtLocked"/>
            <w:placeholder>
              <w:docPart w:val="GBC22222222222222222222222222222"/>
            </w:placeholder>
          </w:sdtPr>
          <w:sdtEndPr/>
          <w:sdtContent>
            <w:p w14:paraId="5CCD75F5" w14:textId="7C46B987" w:rsidR="00471D53" w:rsidRDefault="004F686E" w:rsidP="006F47BC">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9323276" w14:textId="77777777" w:rsidR="00471D53" w:rsidRDefault="00B664AF"/>
      </w:sdtContent>
    </w:sdt>
    <w:sdt>
      <w:sdtPr>
        <w:rPr>
          <w:rFonts w:ascii="宋体" w:hAnsi="宋体" w:cs="宋体" w:hint="eastAsia"/>
          <w:b w:val="0"/>
          <w:bCs w:val="0"/>
          <w:kern w:val="0"/>
          <w:szCs w:val="24"/>
        </w:rPr>
        <w:alias w:val="模块:非主营业务导致利润重大变化的说明"/>
        <w:tag w:val="_SEC_8eca3e31ebef41f0bccb8c1e5fae0579"/>
        <w:id w:val="1118794885"/>
        <w:lock w:val="sdtLocked"/>
        <w:placeholder>
          <w:docPart w:val="GBC22222222222222222222222222222"/>
        </w:placeholder>
      </w:sdtPr>
      <w:sdtEndPr/>
      <w:sdtContent>
        <w:p w14:paraId="5E38A7DD" w14:textId="77777777" w:rsidR="00471D53" w:rsidRDefault="004F686E" w:rsidP="004F686E">
          <w:pPr>
            <w:pStyle w:val="3"/>
            <w:numPr>
              <w:ilvl w:val="0"/>
              <w:numId w:val="8"/>
            </w:numPr>
            <w:rPr>
              <w:rFonts w:ascii="宋体" w:hAnsi="宋体"/>
            </w:rPr>
          </w:pPr>
          <w:r>
            <w:rPr>
              <w:rFonts w:ascii="宋体" w:hAnsi="宋体"/>
            </w:rPr>
            <w:t>非主营业务导致利润重大变化的说明</w:t>
          </w:r>
        </w:p>
        <w:sdt>
          <w:sdtPr>
            <w:rPr>
              <w:rFonts w:hint="eastAsia"/>
            </w:rPr>
            <w:alias w:val="是否适用：非主营业务来源分析[双击切换]"/>
            <w:tag w:val="_GBC_45f0580c6f114551af0270412b25ccd0"/>
            <w:id w:val="-568350374"/>
            <w:lock w:val="sdtLocked"/>
            <w:placeholder>
              <w:docPart w:val="GBC22222222222222222222222222222"/>
            </w:placeholder>
          </w:sdtPr>
          <w:sdtEndPr/>
          <w:sdtContent>
            <w:p w14:paraId="3E8CAC7E"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670C04E1" w14:textId="77777777" w:rsidR="00471D53" w:rsidRDefault="00B664AF"/>
    <w:p w14:paraId="53241383" w14:textId="77777777" w:rsidR="00471D53" w:rsidRDefault="004F686E" w:rsidP="004F686E">
      <w:pPr>
        <w:pStyle w:val="3"/>
        <w:numPr>
          <w:ilvl w:val="0"/>
          <w:numId w:val="8"/>
        </w:numPr>
        <w:rPr>
          <w:rFonts w:ascii="宋体" w:hAnsi="宋体"/>
          <w:szCs w:val="21"/>
        </w:rPr>
      </w:pPr>
      <w:r>
        <w:rPr>
          <w:rFonts w:ascii="宋体" w:hAnsi="宋体"/>
          <w:szCs w:val="21"/>
        </w:rPr>
        <w:t>资产、负债情况分析</w:t>
      </w:r>
    </w:p>
    <w:p w14:paraId="2A0D7862" w14:textId="77777777" w:rsidR="00471D53" w:rsidRDefault="00B664AF">
      <w:sdt>
        <w:sdtPr>
          <w:rPr>
            <w:rFonts w:hint="eastAsia"/>
          </w:rPr>
          <w:alias w:val="是否适用：资产、负债情况分析[双击切换]"/>
          <w:tag w:val="_GBC_7e768f46f428417e8696bff3cfaf9902"/>
          <w:id w:val="1881203864"/>
          <w:lock w:val="sdtContentLocked"/>
          <w:placeholder>
            <w:docPart w:val="GBC22222222222222222222222222222"/>
          </w:placeholder>
        </w:sdtPr>
        <w:sdtEndPr/>
        <w:sdtContent>
          <w:r w:rsidR="004F686E">
            <w:fldChar w:fldCharType="begin"/>
          </w:r>
          <w:r w:rsidR="004F686E">
            <w:instrText xml:space="preserve"> MACROBUTTON  SnrToggleCheckbox √适用 </w:instrText>
          </w:r>
          <w:r w:rsidR="004F686E">
            <w:fldChar w:fldCharType="end"/>
          </w:r>
          <w:r w:rsidR="004F686E">
            <w:fldChar w:fldCharType="begin"/>
          </w:r>
          <w:r w:rsidR="004F686E">
            <w:instrText xml:space="preserve"> MACROBUTTON  SnrToggleCheckbox □不适用 </w:instrText>
          </w:r>
          <w:r w:rsidR="004F686E">
            <w:fldChar w:fldCharType="end"/>
          </w:r>
        </w:sdtContent>
      </w:sdt>
    </w:p>
    <w:bookmarkStart w:id="32" w:name="_Hlk74730011" w:displacedByCustomXml="next"/>
    <w:sdt>
      <w:sdtPr>
        <w:rPr>
          <w:rFonts w:ascii="宋体" w:hAnsi="宋体" w:cs="宋体"/>
          <w:b w:val="0"/>
          <w:bCs w:val="0"/>
          <w:kern w:val="0"/>
          <w:szCs w:val="21"/>
        </w:rPr>
        <w:alias w:val="模块:资产负债情况分析表"/>
        <w:tag w:val="_SEC_6223798588db4238825d68a423f52705"/>
        <w:id w:val="-1862891560"/>
        <w:lock w:val="sdtLocked"/>
        <w:placeholder>
          <w:docPart w:val="GBC22222222222222222222222222222"/>
        </w:placeholder>
      </w:sdtPr>
      <w:sdtEndPr/>
      <w:sdtContent>
        <w:p w14:paraId="16714012" w14:textId="77777777" w:rsidR="00471D53" w:rsidRDefault="004F686E" w:rsidP="004F686E">
          <w:pPr>
            <w:pStyle w:val="afffff8"/>
            <w:numPr>
              <w:ilvl w:val="0"/>
              <w:numId w:val="10"/>
            </w:numPr>
            <w:rPr>
              <w:rFonts w:ascii="宋体" w:hAnsi="宋体"/>
              <w:b w:val="0"/>
            </w:rPr>
          </w:pPr>
          <w:r>
            <w:rPr>
              <w:rFonts w:ascii="宋体" w:hAnsi="宋体"/>
            </w:rPr>
            <w:t>资产</w:t>
          </w:r>
          <w:r>
            <w:rPr>
              <w:rFonts w:ascii="宋体" w:hAnsi="宋体" w:hint="eastAsia"/>
            </w:rPr>
            <w:t>及</w:t>
          </w:r>
          <w:r>
            <w:rPr>
              <w:rFonts w:ascii="宋体" w:hAnsi="宋体"/>
            </w:rPr>
            <w:t>负债</w:t>
          </w:r>
          <w:r>
            <w:rPr>
              <w:rFonts w:ascii="宋体" w:hAnsi="宋体" w:hint="eastAsia"/>
              <w:szCs w:val="21"/>
            </w:rPr>
            <w:t>状</w:t>
          </w:r>
          <w:r>
            <w:rPr>
              <w:rFonts w:ascii="宋体" w:hAnsi="宋体"/>
              <w:szCs w:val="21"/>
            </w:rPr>
            <w:t>况</w:t>
          </w:r>
        </w:p>
        <w:p w14:paraId="11B3B048" w14:textId="77777777" w:rsidR="00471D53" w:rsidRDefault="004F686E">
          <w:pPr>
            <w:jc w:val="right"/>
            <w:rPr>
              <w:szCs w:val="21"/>
            </w:rPr>
          </w:pPr>
          <w:r>
            <w:rPr>
              <w:rFonts w:hint="eastAsia"/>
              <w:szCs w:val="21"/>
            </w:rPr>
            <w:t>单位：</w:t>
          </w:r>
          <w:sdt>
            <w:sdtPr>
              <w:rPr>
                <w:rFonts w:hint="eastAsia"/>
                <w:szCs w:val="21"/>
              </w:rPr>
              <w:alias w:val="单位：资产负债状况分析"/>
              <w:tag w:val="_GBC_21de4e2184d94baf8e19137a1d0d5b74"/>
              <w:id w:val="307518460"/>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p>
        <w:tbl>
          <w:tblPr>
            <w:tblStyle w:val="g5"/>
            <w:tblW w:w="5875" w:type="pct"/>
            <w:tblInd w:w="-1026" w:type="dxa"/>
            <w:tblLayout w:type="fixed"/>
            <w:tblLook w:val="04A0" w:firstRow="1" w:lastRow="0" w:firstColumn="1" w:lastColumn="0" w:noHBand="0" w:noVBand="1"/>
          </w:tblPr>
          <w:tblGrid>
            <w:gridCol w:w="1164"/>
            <w:gridCol w:w="1701"/>
            <w:gridCol w:w="1135"/>
            <w:gridCol w:w="1701"/>
            <w:gridCol w:w="1133"/>
            <w:gridCol w:w="1275"/>
            <w:gridCol w:w="2258"/>
          </w:tblGrid>
          <w:tr w:rsidR="00907EF9" w14:paraId="12601AEA" w14:textId="77777777" w:rsidTr="00907EF9">
            <w:trPr>
              <w:trHeight w:val="180"/>
            </w:trPr>
            <w:sdt>
              <w:sdtPr>
                <w:rPr>
                  <w:rFonts w:asciiTheme="minorEastAsia" w:hAnsiTheme="minorEastAsia"/>
                </w:rPr>
                <w:tag w:val="_PLD_d0f356a255cd4ad2a1d809f43b17afe4"/>
                <w:id w:val="769823954"/>
                <w:lock w:val="sdtLocked"/>
              </w:sdtPr>
              <w:sdtEndPr/>
              <w:sdtContent>
                <w:tc>
                  <w:tcPr>
                    <w:tcW w:w="561" w:type="pct"/>
                    <w:vAlign w:val="center"/>
                  </w:tcPr>
                  <w:p w14:paraId="51858575" w14:textId="77777777" w:rsidR="00471D53" w:rsidRDefault="004F686E" w:rsidP="00471D53">
                    <w:pPr>
                      <w:jc w:val="center"/>
                      <w:rPr>
                        <w:rStyle w:val="5Char1"/>
                        <w:rFonts w:asciiTheme="minorEastAsia" w:eastAsiaTheme="minorEastAsia" w:hAnsiTheme="minorEastAsia"/>
                        <w:b w:val="0"/>
                        <w:bCs w:val="0"/>
                      </w:rPr>
                    </w:pPr>
                    <w:r>
                      <w:rPr>
                        <w:rFonts w:asciiTheme="minorEastAsia" w:eastAsiaTheme="minorEastAsia" w:hAnsiTheme="minorEastAsia"/>
                        <w:szCs w:val="21"/>
                      </w:rPr>
                      <w:t>项目名称</w:t>
                    </w:r>
                  </w:p>
                </w:tc>
              </w:sdtContent>
            </w:sdt>
            <w:sdt>
              <w:sdtPr>
                <w:rPr>
                  <w:rFonts w:asciiTheme="minorEastAsia" w:hAnsiTheme="minorEastAsia"/>
                </w:rPr>
                <w:tag w:val="_PLD_908740cf286747d79d5abbe407fef2b5"/>
                <w:id w:val="-1406684214"/>
                <w:lock w:val="sdtLocked"/>
              </w:sdtPr>
              <w:sdtEndPr/>
              <w:sdtContent>
                <w:tc>
                  <w:tcPr>
                    <w:tcW w:w="820" w:type="pct"/>
                    <w:vAlign w:val="center"/>
                  </w:tcPr>
                  <w:p w14:paraId="2B7053CC" w14:textId="77777777" w:rsidR="00471D53" w:rsidRDefault="004F686E" w:rsidP="00471D53">
                    <w:pPr>
                      <w:jc w:val="center"/>
                      <w:rPr>
                        <w:rStyle w:val="5Char1"/>
                        <w:rFonts w:asciiTheme="minorEastAsia" w:eastAsiaTheme="minorEastAsia" w:hAnsiTheme="minorEastAsia"/>
                        <w:b w:val="0"/>
                        <w:bCs w:val="0"/>
                      </w:rPr>
                    </w:pPr>
                    <w:r>
                      <w:rPr>
                        <w:rFonts w:asciiTheme="minorEastAsia" w:eastAsiaTheme="minorEastAsia" w:hAnsiTheme="minorEastAsia"/>
                        <w:szCs w:val="21"/>
                      </w:rPr>
                      <w:t>本期期末数</w:t>
                    </w:r>
                  </w:p>
                </w:tc>
              </w:sdtContent>
            </w:sdt>
            <w:sdt>
              <w:sdtPr>
                <w:rPr>
                  <w:rFonts w:asciiTheme="minorEastAsia" w:hAnsiTheme="minorEastAsia"/>
                </w:rPr>
                <w:tag w:val="_PLD_329bbbc9fa484c0990e705c4343b8bd2"/>
                <w:id w:val="-1581360452"/>
                <w:lock w:val="sdtLocked"/>
              </w:sdtPr>
              <w:sdtEndPr/>
              <w:sdtContent>
                <w:tc>
                  <w:tcPr>
                    <w:tcW w:w="547" w:type="pct"/>
                    <w:vAlign w:val="center"/>
                  </w:tcPr>
                  <w:p w14:paraId="373531C3" w14:textId="77777777" w:rsidR="00471D53" w:rsidRDefault="004F686E" w:rsidP="00471D53">
                    <w:pPr>
                      <w:jc w:val="center"/>
                      <w:rPr>
                        <w:rStyle w:val="5Char1"/>
                        <w:rFonts w:asciiTheme="minorEastAsia" w:eastAsiaTheme="minorEastAsia" w:hAnsiTheme="minorEastAsia"/>
                        <w:b w:val="0"/>
                        <w:bCs w:val="0"/>
                      </w:rPr>
                    </w:pPr>
                    <w:r>
                      <w:rPr>
                        <w:rFonts w:asciiTheme="minorEastAsia" w:eastAsiaTheme="minorEastAsia" w:hAnsiTheme="minorEastAsia"/>
                        <w:szCs w:val="21"/>
                      </w:rPr>
                      <w:t>本期期末数占总资产的比例（%）</w:t>
                    </w:r>
                  </w:p>
                </w:tc>
              </w:sdtContent>
            </w:sdt>
            <w:sdt>
              <w:sdtPr>
                <w:rPr>
                  <w:rFonts w:asciiTheme="minorEastAsia" w:hAnsiTheme="minorEastAsia"/>
                </w:rPr>
                <w:tag w:val="_PLD_56ec8d815a204f39816e77d18cf2ac7e"/>
                <w:id w:val="962768212"/>
                <w:lock w:val="sdtLocked"/>
              </w:sdtPr>
              <w:sdtEndPr/>
              <w:sdtContent>
                <w:tc>
                  <w:tcPr>
                    <w:tcW w:w="820" w:type="pct"/>
                    <w:vAlign w:val="center"/>
                  </w:tcPr>
                  <w:p w14:paraId="4668D6E8" w14:textId="77777777" w:rsidR="00471D53" w:rsidRDefault="004F686E" w:rsidP="00471D53">
                    <w:pPr>
                      <w:jc w:val="center"/>
                      <w:rPr>
                        <w:rStyle w:val="5Char1"/>
                        <w:rFonts w:asciiTheme="minorEastAsia" w:eastAsiaTheme="minorEastAsia" w:hAnsiTheme="minorEastAsia"/>
                        <w:b w:val="0"/>
                        <w:bCs w:val="0"/>
                      </w:rPr>
                    </w:pPr>
                    <w:r>
                      <w:rPr>
                        <w:rFonts w:asciiTheme="minorEastAsia" w:eastAsiaTheme="minorEastAsia" w:hAnsiTheme="minorEastAsia"/>
                        <w:szCs w:val="21"/>
                      </w:rPr>
                      <w:t>上</w:t>
                    </w:r>
                    <w:r>
                      <w:rPr>
                        <w:rFonts w:asciiTheme="minorEastAsia" w:eastAsiaTheme="minorEastAsia" w:hAnsiTheme="minorEastAsia" w:hint="eastAsia"/>
                        <w:szCs w:val="21"/>
                      </w:rPr>
                      <w:t>年</w:t>
                    </w:r>
                    <w:r>
                      <w:rPr>
                        <w:rFonts w:asciiTheme="minorEastAsia" w:eastAsiaTheme="minorEastAsia" w:hAnsiTheme="minorEastAsia"/>
                        <w:szCs w:val="21"/>
                      </w:rPr>
                      <w:t>期末数</w:t>
                    </w:r>
                  </w:p>
                </w:tc>
              </w:sdtContent>
            </w:sdt>
            <w:sdt>
              <w:sdtPr>
                <w:rPr>
                  <w:rFonts w:asciiTheme="minorEastAsia" w:hAnsiTheme="minorEastAsia"/>
                </w:rPr>
                <w:tag w:val="_PLD_4bc2806364aa476db7b5ac96d585ad18"/>
                <w:id w:val="-606353865"/>
                <w:lock w:val="sdtLocked"/>
              </w:sdtPr>
              <w:sdtEndPr/>
              <w:sdtContent>
                <w:tc>
                  <w:tcPr>
                    <w:tcW w:w="546" w:type="pct"/>
                    <w:vAlign w:val="center"/>
                  </w:tcPr>
                  <w:p w14:paraId="60693D45" w14:textId="77777777" w:rsidR="00471D53" w:rsidRDefault="004F686E" w:rsidP="00471D53">
                    <w:pPr>
                      <w:jc w:val="center"/>
                      <w:rPr>
                        <w:rStyle w:val="5Char1"/>
                        <w:rFonts w:asciiTheme="minorEastAsia" w:eastAsiaTheme="minorEastAsia" w:hAnsiTheme="minorEastAsia"/>
                        <w:b w:val="0"/>
                        <w:bCs w:val="0"/>
                      </w:rPr>
                    </w:pPr>
                    <w:r>
                      <w:rPr>
                        <w:rFonts w:asciiTheme="minorEastAsia" w:eastAsiaTheme="minorEastAsia" w:hAnsiTheme="minorEastAsia"/>
                        <w:szCs w:val="21"/>
                      </w:rPr>
                      <w:t>上</w:t>
                    </w:r>
                    <w:r>
                      <w:rPr>
                        <w:rFonts w:asciiTheme="minorEastAsia" w:eastAsiaTheme="minorEastAsia" w:hAnsiTheme="minorEastAsia" w:hint="eastAsia"/>
                        <w:szCs w:val="21"/>
                      </w:rPr>
                      <w:t>年</w:t>
                    </w:r>
                    <w:r>
                      <w:rPr>
                        <w:rFonts w:asciiTheme="minorEastAsia" w:eastAsiaTheme="minorEastAsia" w:hAnsiTheme="minorEastAsia"/>
                        <w:szCs w:val="21"/>
                      </w:rPr>
                      <w:t>期末数占总资产的比例（%）</w:t>
                    </w:r>
                  </w:p>
                </w:tc>
              </w:sdtContent>
            </w:sdt>
            <w:sdt>
              <w:sdtPr>
                <w:rPr>
                  <w:rFonts w:asciiTheme="minorEastAsia" w:hAnsiTheme="minorEastAsia"/>
                </w:rPr>
                <w:tag w:val="_PLD_4cfcbfaae8d94f2d87cb33b122df7a82"/>
                <w:id w:val="-2075886043"/>
                <w:lock w:val="sdtLocked"/>
              </w:sdtPr>
              <w:sdtEndPr/>
              <w:sdtContent>
                <w:tc>
                  <w:tcPr>
                    <w:tcW w:w="615" w:type="pct"/>
                    <w:vAlign w:val="center"/>
                  </w:tcPr>
                  <w:p w14:paraId="766E3C4C" w14:textId="77777777" w:rsidR="00471D53" w:rsidRDefault="004F686E" w:rsidP="00471D53">
                    <w:pPr>
                      <w:jc w:val="center"/>
                      <w:rPr>
                        <w:rStyle w:val="5Char1"/>
                        <w:rFonts w:asciiTheme="minorEastAsia" w:eastAsiaTheme="minorEastAsia" w:hAnsiTheme="minorEastAsia"/>
                        <w:b w:val="0"/>
                        <w:bCs w:val="0"/>
                      </w:rPr>
                    </w:pPr>
                    <w:r>
                      <w:rPr>
                        <w:rFonts w:asciiTheme="minorEastAsia" w:eastAsiaTheme="minorEastAsia" w:hAnsiTheme="minorEastAsia"/>
                        <w:szCs w:val="21"/>
                      </w:rPr>
                      <w:t>本期期末金额较上</w:t>
                    </w:r>
                    <w:r>
                      <w:rPr>
                        <w:rFonts w:asciiTheme="minorEastAsia" w:eastAsiaTheme="minorEastAsia" w:hAnsiTheme="minorEastAsia" w:hint="eastAsia"/>
                        <w:szCs w:val="21"/>
                      </w:rPr>
                      <w:t>年</w:t>
                    </w:r>
                    <w:r>
                      <w:rPr>
                        <w:rFonts w:asciiTheme="minorEastAsia" w:eastAsiaTheme="minorEastAsia" w:hAnsiTheme="minorEastAsia"/>
                        <w:szCs w:val="21"/>
                      </w:rPr>
                      <w:t>期末变动比例（%）</w:t>
                    </w:r>
                  </w:p>
                </w:tc>
              </w:sdtContent>
            </w:sdt>
            <w:sdt>
              <w:sdtPr>
                <w:rPr>
                  <w:rFonts w:asciiTheme="minorEastAsia" w:hAnsiTheme="minorEastAsia"/>
                </w:rPr>
                <w:tag w:val="_PLD_2acc4b359fa846d5bfb9939daf2ce46b"/>
                <w:id w:val="-1409143044"/>
                <w:lock w:val="sdtLocked"/>
              </w:sdtPr>
              <w:sdtEndPr/>
              <w:sdtContent>
                <w:tc>
                  <w:tcPr>
                    <w:tcW w:w="1089" w:type="pct"/>
                    <w:vAlign w:val="center"/>
                  </w:tcPr>
                  <w:p w14:paraId="67D5B367" w14:textId="77777777" w:rsidR="00471D53" w:rsidRDefault="004F686E" w:rsidP="00471D53">
                    <w:pPr>
                      <w:jc w:val="center"/>
                      <w:rPr>
                        <w:rStyle w:val="5Char1"/>
                        <w:rFonts w:asciiTheme="minorEastAsia" w:eastAsiaTheme="minorEastAsia" w:hAnsiTheme="minorEastAsia"/>
                        <w:b w:val="0"/>
                        <w:bCs w:val="0"/>
                      </w:rPr>
                    </w:pPr>
                    <w:r>
                      <w:rPr>
                        <w:rFonts w:asciiTheme="minorEastAsia" w:eastAsiaTheme="minorEastAsia" w:hAnsiTheme="minorEastAsia"/>
                        <w:szCs w:val="21"/>
                      </w:rPr>
                      <w:t>情况说明</w:t>
                    </w:r>
                  </w:p>
                </w:tc>
              </w:sdtContent>
            </w:sdt>
          </w:tr>
          <w:sdt>
            <w:sdtPr>
              <w:rPr>
                <w:rStyle w:val="5Char1"/>
                <w:rFonts w:asciiTheme="minorEastAsia" w:eastAsiaTheme="minorEastAsia" w:hAnsiTheme="minorEastAsia" w:cstheme="minorBidi" w:hint="eastAsia"/>
                <w:b w:val="0"/>
                <w:bCs w:val="0"/>
              </w:rPr>
              <w:alias w:val="资产负债状况分析"/>
              <w:tag w:val="_TUP_5b9451a24cf94bb19fcd924892517ec7"/>
              <w:id w:val="-773483147"/>
              <w:lock w:val="sdtLocked"/>
            </w:sdtPr>
            <w:sdtEndPr>
              <w:rPr>
                <w:rStyle w:val="5Char1"/>
              </w:rPr>
            </w:sdtEndPr>
            <w:sdtContent>
              <w:tr w:rsidR="00907EF9" w14:paraId="40CF34F9" w14:textId="77777777" w:rsidTr="00907EF9">
                <w:trPr>
                  <w:trHeight w:val="135"/>
                </w:trPr>
                <w:tc>
                  <w:tcPr>
                    <w:tcW w:w="561" w:type="pct"/>
                  </w:tcPr>
                  <w:p w14:paraId="0BF52B8C" w14:textId="77777777" w:rsidR="00471D53" w:rsidRDefault="004F686E" w:rsidP="00471D53">
                    <w:pPr>
                      <w:rPr>
                        <w:rStyle w:val="5Char1"/>
                        <w:rFonts w:asciiTheme="minorEastAsia" w:eastAsiaTheme="minorEastAsia" w:hAnsiTheme="minorEastAsia"/>
                        <w:b w:val="0"/>
                        <w:bCs w:val="0"/>
                      </w:rPr>
                    </w:pPr>
                    <w:r>
                      <w:t>货币资金</w:t>
                    </w:r>
                  </w:p>
                </w:tc>
                <w:tc>
                  <w:tcPr>
                    <w:tcW w:w="820" w:type="pct"/>
                  </w:tcPr>
                  <w:p w14:paraId="57945799" w14:textId="77777777" w:rsidR="00471D53" w:rsidRDefault="004F686E" w:rsidP="00471D53">
                    <w:pPr>
                      <w:jc w:val="right"/>
                      <w:rPr>
                        <w:rStyle w:val="5Char1"/>
                        <w:rFonts w:asciiTheme="minorEastAsia" w:eastAsiaTheme="minorEastAsia" w:hAnsiTheme="minorEastAsia"/>
                        <w:b w:val="0"/>
                        <w:bCs w:val="0"/>
                      </w:rPr>
                    </w:pPr>
                    <w:r>
                      <w:t>109,896,372.32</w:t>
                    </w:r>
                  </w:p>
                </w:tc>
                <w:tc>
                  <w:tcPr>
                    <w:tcW w:w="547" w:type="pct"/>
                  </w:tcPr>
                  <w:p w14:paraId="70F17C32" w14:textId="77777777" w:rsidR="00471D53" w:rsidRDefault="004F686E" w:rsidP="00471D53">
                    <w:pPr>
                      <w:jc w:val="right"/>
                      <w:rPr>
                        <w:rStyle w:val="5Char1"/>
                        <w:rFonts w:asciiTheme="minorEastAsia" w:eastAsiaTheme="minorEastAsia" w:hAnsiTheme="minorEastAsia"/>
                        <w:b w:val="0"/>
                        <w:bCs w:val="0"/>
                      </w:rPr>
                    </w:pPr>
                    <w:r>
                      <w:t>6.93</w:t>
                    </w:r>
                  </w:p>
                </w:tc>
                <w:tc>
                  <w:tcPr>
                    <w:tcW w:w="820" w:type="pct"/>
                  </w:tcPr>
                  <w:p w14:paraId="7B366E6A" w14:textId="77777777" w:rsidR="00471D53" w:rsidRDefault="004F686E" w:rsidP="00471D53">
                    <w:pPr>
                      <w:jc w:val="right"/>
                      <w:rPr>
                        <w:rStyle w:val="5Char1"/>
                        <w:rFonts w:asciiTheme="minorEastAsia" w:eastAsiaTheme="minorEastAsia" w:hAnsiTheme="minorEastAsia"/>
                        <w:b w:val="0"/>
                        <w:bCs w:val="0"/>
                      </w:rPr>
                    </w:pPr>
                    <w:r>
                      <w:t>279,067,536.83</w:t>
                    </w:r>
                  </w:p>
                </w:tc>
                <w:tc>
                  <w:tcPr>
                    <w:tcW w:w="546" w:type="pct"/>
                  </w:tcPr>
                  <w:p w14:paraId="7236DA35" w14:textId="77777777" w:rsidR="00471D53" w:rsidRDefault="004F686E" w:rsidP="00471D53">
                    <w:pPr>
                      <w:jc w:val="right"/>
                      <w:rPr>
                        <w:rStyle w:val="5Char1"/>
                        <w:rFonts w:asciiTheme="minorEastAsia" w:eastAsiaTheme="minorEastAsia" w:hAnsiTheme="minorEastAsia"/>
                        <w:b w:val="0"/>
                        <w:bCs w:val="0"/>
                      </w:rPr>
                    </w:pPr>
                    <w:r>
                      <w:t>16.36</w:t>
                    </w:r>
                  </w:p>
                </w:tc>
                <w:tc>
                  <w:tcPr>
                    <w:tcW w:w="615" w:type="pct"/>
                  </w:tcPr>
                  <w:p w14:paraId="3D5E0D47" w14:textId="77777777" w:rsidR="00471D53" w:rsidRDefault="004F686E" w:rsidP="00471D53">
                    <w:pPr>
                      <w:jc w:val="right"/>
                      <w:rPr>
                        <w:rStyle w:val="5Char1"/>
                        <w:rFonts w:asciiTheme="minorEastAsia" w:eastAsiaTheme="minorEastAsia" w:hAnsiTheme="minorEastAsia"/>
                        <w:b w:val="0"/>
                        <w:bCs w:val="0"/>
                      </w:rPr>
                    </w:pPr>
                    <w:r>
                      <w:t>-60.62</w:t>
                    </w:r>
                  </w:p>
                </w:tc>
                <w:tc>
                  <w:tcPr>
                    <w:tcW w:w="1089" w:type="pct"/>
                  </w:tcPr>
                  <w:p w14:paraId="5C303788" w14:textId="3FE0752F" w:rsidR="00471D53" w:rsidRDefault="004F686E" w:rsidP="00471D53">
                    <w:pPr>
                      <w:rPr>
                        <w:rStyle w:val="5Char1"/>
                        <w:rFonts w:asciiTheme="minorEastAsia" w:eastAsiaTheme="minorEastAsia" w:hAnsiTheme="minorEastAsia"/>
                        <w:b w:val="0"/>
                        <w:bCs w:val="0"/>
                      </w:rPr>
                    </w:pPr>
                    <w:r>
                      <w:t>主要是上期子公司北京天海收到</w:t>
                    </w:r>
                    <w:r w:rsidR="00AB11FD">
                      <w:rPr>
                        <w:rFonts w:hint="eastAsia"/>
                      </w:rPr>
                      <w:t>五方桥</w:t>
                    </w:r>
                    <w:r>
                      <w:t>房产转让价款所致</w:t>
                    </w:r>
                  </w:p>
                </w:tc>
              </w:tr>
            </w:sdtContent>
          </w:sdt>
          <w:sdt>
            <w:sdtPr>
              <w:rPr>
                <w:rStyle w:val="5Char1"/>
                <w:rFonts w:asciiTheme="minorEastAsia" w:eastAsiaTheme="minorEastAsia" w:hAnsiTheme="minorEastAsia" w:cstheme="minorBidi" w:hint="eastAsia"/>
                <w:b w:val="0"/>
                <w:bCs w:val="0"/>
              </w:rPr>
              <w:alias w:val="资产负债状况分析"/>
              <w:tag w:val="_TUP_5b9451a24cf94bb19fcd924892517ec7"/>
              <w:id w:val="378519770"/>
              <w:lock w:val="sdtLocked"/>
            </w:sdtPr>
            <w:sdtEndPr>
              <w:rPr>
                <w:rStyle w:val="5Char1"/>
              </w:rPr>
            </w:sdtEndPr>
            <w:sdtContent>
              <w:tr w:rsidR="00907EF9" w14:paraId="56E9F475" w14:textId="77777777" w:rsidTr="00907EF9">
                <w:trPr>
                  <w:trHeight w:val="135"/>
                </w:trPr>
                <w:tc>
                  <w:tcPr>
                    <w:tcW w:w="561" w:type="pct"/>
                  </w:tcPr>
                  <w:p w14:paraId="6E762F62" w14:textId="77777777" w:rsidR="00471D53" w:rsidRDefault="004F686E" w:rsidP="00471D53">
                    <w:pPr>
                      <w:rPr>
                        <w:rStyle w:val="5Char1"/>
                        <w:rFonts w:asciiTheme="minorEastAsia" w:eastAsiaTheme="minorEastAsia" w:hAnsiTheme="minorEastAsia"/>
                        <w:b w:val="0"/>
                        <w:bCs w:val="0"/>
                      </w:rPr>
                    </w:pPr>
                    <w:r>
                      <w:t>存货</w:t>
                    </w:r>
                  </w:p>
                </w:tc>
                <w:tc>
                  <w:tcPr>
                    <w:tcW w:w="820" w:type="pct"/>
                  </w:tcPr>
                  <w:p w14:paraId="4704A3DC" w14:textId="77777777" w:rsidR="00471D53" w:rsidRDefault="004F686E" w:rsidP="00471D53">
                    <w:pPr>
                      <w:jc w:val="right"/>
                      <w:rPr>
                        <w:rStyle w:val="5Char1"/>
                        <w:rFonts w:asciiTheme="minorEastAsia" w:eastAsiaTheme="minorEastAsia" w:hAnsiTheme="minorEastAsia"/>
                        <w:b w:val="0"/>
                        <w:bCs w:val="0"/>
                      </w:rPr>
                    </w:pPr>
                    <w:r>
                      <w:t>365,440,503.75</w:t>
                    </w:r>
                  </w:p>
                </w:tc>
                <w:tc>
                  <w:tcPr>
                    <w:tcW w:w="547" w:type="pct"/>
                  </w:tcPr>
                  <w:p w14:paraId="180F0012" w14:textId="77777777" w:rsidR="00471D53" w:rsidRDefault="004F686E" w:rsidP="00471D53">
                    <w:pPr>
                      <w:jc w:val="right"/>
                      <w:rPr>
                        <w:rStyle w:val="5Char1"/>
                        <w:rFonts w:asciiTheme="minorEastAsia" w:eastAsiaTheme="minorEastAsia" w:hAnsiTheme="minorEastAsia"/>
                        <w:b w:val="0"/>
                        <w:bCs w:val="0"/>
                      </w:rPr>
                    </w:pPr>
                    <w:r>
                      <w:t>23.06</w:t>
                    </w:r>
                  </w:p>
                </w:tc>
                <w:tc>
                  <w:tcPr>
                    <w:tcW w:w="820" w:type="pct"/>
                  </w:tcPr>
                  <w:p w14:paraId="12828184" w14:textId="77777777" w:rsidR="00471D53" w:rsidRDefault="004F686E" w:rsidP="00471D53">
                    <w:pPr>
                      <w:jc w:val="right"/>
                      <w:rPr>
                        <w:rStyle w:val="5Char1"/>
                        <w:rFonts w:asciiTheme="minorEastAsia" w:eastAsiaTheme="minorEastAsia" w:hAnsiTheme="minorEastAsia"/>
                        <w:b w:val="0"/>
                        <w:bCs w:val="0"/>
                      </w:rPr>
                    </w:pPr>
                    <w:r>
                      <w:t>274,506,836.67</w:t>
                    </w:r>
                  </w:p>
                </w:tc>
                <w:tc>
                  <w:tcPr>
                    <w:tcW w:w="546" w:type="pct"/>
                  </w:tcPr>
                  <w:p w14:paraId="33AF69AA" w14:textId="77777777" w:rsidR="00471D53" w:rsidRDefault="004F686E" w:rsidP="00471D53">
                    <w:pPr>
                      <w:jc w:val="right"/>
                      <w:rPr>
                        <w:rStyle w:val="5Char1"/>
                        <w:rFonts w:asciiTheme="minorEastAsia" w:eastAsiaTheme="minorEastAsia" w:hAnsiTheme="minorEastAsia"/>
                        <w:b w:val="0"/>
                        <w:bCs w:val="0"/>
                      </w:rPr>
                    </w:pPr>
                    <w:r>
                      <w:t>16.10</w:t>
                    </w:r>
                  </w:p>
                </w:tc>
                <w:tc>
                  <w:tcPr>
                    <w:tcW w:w="615" w:type="pct"/>
                  </w:tcPr>
                  <w:p w14:paraId="6B7567E3" w14:textId="77777777" w:rsidR="00471D53" w:rsidRDefault="004F686E" w:rsidP="00471D53">
                    <w:pPr>
                      <w:jc w:val="right"/>
                      <w:rPr>
                        <w:rStyle w:val="5Char1"/>
                        <w:rFonts w:asciiTheme="minorEastAsia" w:eastAsiaTheme="minorEastAsia" w:hAnsiTheme="minorEastAsia"/>
                        <w:b w:val="0"/>
                        <w:bCs w:val="0"/>
                      </w:rPr>
                    </w:pPr>
                    <w:r>
                      <w:t>33.13</w:t>
                    </w:r>
                  </w:p>
                </w:tc>
                <w:tc>
                  <w:tcPr>
                    <w:tcW w:w="1089" w:type="pct"/>
                  </w:tcPr>
                  <w:p w14:paraId="121F5419" w14:textId="77777777" w:rsidR="00471D53" w:rsidRDefault="004F686E" w:rsidP="00471D53">
                    <w:pPr>
                      <w:rPr>
                        <w:rStyle w:val="5Char1"/>
                        <w:rFonts w:asciiTheme="minorEastAsia" w:eastAsiaTheme="minorEastAsia" w:hAnsiTheme="minorEastAsia"/>
                        <w:b w:val="0"/>
                        <w:bCs w:val="0"/>
                      </w:rPr>
                    </w:pPr>
                    <w:r>
                      <w:t>主要是原材料价格上涨，为应对上涨趋势进行原材料储备所致</w:t>
                    </w:r>
                  </w:p>
                </w:tc>
              </w:tr>
            </w:sdtContent>
          </w:sdt>
          <w:sdt>
            <w:sdtPr>
              <w:rPr>
                <w:rFonts w:asciiTheme="minorEastAsia" w:eastAsiaTheme="minorEastAsia" w:hAnsiTheme="minorEastAsia" w:cstheme="minorBidi" w:hint="eastAsia"/>
                <w:kern w:val="2"/>
                <w:szCs w:val="21"/>
              </w:rPr>
              <w:alias w:val="资产负债状况分析"/>
              <w:tag w:val="_TUP_5b9451a24cf94bb19fcd924892517ec7"/>
              <w:id w:val="-599252993"/>
              <w:lock w:val="sdtLocked"/>
            </w:sdtPr>
            <w:sdtEndPr/>
            <w:sdtContent>
              <w:tr w:rsidR="00907EF9" w14:paraId="792F1B0D" w14:textId="77777777" w:rsidTr="00907EF9">
                <w:trPr>
                  <w:trHeight w:val="135"/>
                </w:trPr>
                <w:tc>
                  <w:tcPr>
                    <w:tcW w:w="561" w:type="pct"/>
                  </w:tcPr>
                  <w:p w14:paraId="60E2FEB7" w14:textId="77777777" w:rsidR="00471D53" w:rsidRDefault="004F686E" w:rsidP="00471D53">
                    <w:pPr>
                      <w:rPr>
                        <w:rFonts w:asciiTheme="minorEastAsia" w:eastAsiaTheme="minorEastAsia" w:hAnsiTheme="minorEastAsia"/>
                        <w:szCs w:val="21"/>
                      </w:rPr>
                    </w:pPr>
                    <w:r>
                      <w:t>递延所得税资产</w:t>
                    </w:r>
                  </w:p>
                </w:tc>
                <w:tc>
                  <w:tcPr>
                    <w:tcW w:w="820" w:type="pct"/>
                  </w:tcPr>
                  <w:p w14:paraId="7F52941C" w14:textId="77777777" w:rsidR="00471D53" w:rsidRDefault="004F686E" w:rsidP="00471D53">
                    <w:pPr>
                      <w:jc w:val="right"/>
                      <w:rPr>
                        <w:rFonts w:asciiTheme="minorEastAsia" w:eastAsiaTheme="minorEastAsia" w:hAnsiTheme="minorEastAsia"/>
                        <w:szCs w:val="21"/>
                      </w:rPr>
                    </w:pPr>
                    <w:r>
                      <w:t>54,991.30</w:t>
                    </w:r>
                  </w:p>
                </w:tc>
                <w:tc>
                  <w:tcPr>
                    <w:tcW w:w="547" w:type="pct"/>
                  </w:tcPr>
                  <w:p w14:paraId="1E08EA03" w14:textId="77777777" w:rsidR="00471D53" w:rsidRDefault="004F686E" w:rsidP="00471D53">
                    <w:pPr>
                      <w:jc w:val="right"/>
                      <w:rPr>
                        <w:rFonts w:asciiTheme="minorEastAsia" w:eastAsiaTheme="minorEastAsia" w:hAnsiTheme="minorEastAsia"/>
                        <w:szCs w:val="21"/>
                      </w:rPr>
                    </w:pPr>
                    <w:r>
                      <w:t>0.00</w:t>
                    </w:r>
                  </w:p>
                </w:tc>
                <w:tc>
                  <w:tcPr>
                    <w:tcW w:w="820" w:type="pct"/>
                  </w:tcPr>
                  <w:p w14:paraId="57064809" w14:textId="77777777" w:rsidR="00471D53" w:rsidRDefault="004F686E" w:rsidP="00471D53">
                    <w:pPr>
                      <w:jc w:val="right"/>
                      <w:rPr>
                        <w:rFonts w:asciiTheme="minorEastAsia" w:eastAsiaTheme="minorEastAsia" w:hAnsiTheme="minorEastAsia"/>
                        <w:szCs w:val="21"/>
                      </w:rPr>
                    </w:pPr>
                    <w:r>
                      <w:t>287,827.59</w:t>
                    </w:r>
                  </w:p>
                </w:tc>
                <w:tc>
                  <w:tcPr>
                    <w:tcW w:w="546" w:type="pct"/>
                  </w:tcPr>
                  <w:p w14:paraId="27065E08" w14:textId="77777777" w:rsidR="00471D53" w:rsidRDefault="004F686E" w:rsidP="00471D53">
                    <w:pPr>
                      <w:jc w:val="right"/>
                      <w:rPr>
                        <w:rFonts w:asciiTheme="minorEastAsia" w:eastAsiaTheme="minorEastAsia" w:hAnsiTheme="minorEastAsia"/>
                        <w:szCs w:val="21"/>
                      </w:rPr>
                    </w:pPr>
                    <w:r>
                      <w:t>0.02</w:t>
                    </w:r>
                  </w:p>
                </w:tc>
                <w:tc>
                  <w:tcPr>
                    <w:tcW w:w="615" w:type="pct"/>
                  </w:tcPr>
                  <w:p w14:paraId="3A522DCD" w14:textId="77777777" w:rsidR="00471D53" w:rsidRDefault="004F686E" w:rsidP="00471D53">
                    <w:pPr>
                      <w:jc w:val="right"/>
                      <w:rPr>
                        <w:rFonts w:asciiTheme="minorEastAsia" w:eastAsiaTheme="minorEastAsia" w:hAnsiTheme="minorEastAsia"/>
                        <w:szCs w:val="21"/>
                      </w:rPr>
                    </w:pPr>
                    <w:r>
                      <w:t>-80.89</w:t>
                    </w:r>
                  </w:p>
                </w:tc>
                <w:tc>
                  <w:tcPr>
                    <w:tcW w:w="1089" w:type="pct"/>
                  </w:tcPr>
                  <w:p w14:paraId="7DB3E397" w14:textId="77777777" w:rsidR="00471D53" w:rsidRDefault="004F686E" w:rsidP="00471D53">
                    <w:pPr>
                      <w:rPr>
                        <w:rFonts w:asciiTheme="minorEastAsia" w:eastAsiaTheme="minorEastAsia" w:hAnsiTheme="minorEastAsia"/>
                        <w:szCs w:val="21"/>
                      </w:rPr>
                    </w:pPr>
                    <w:r>
                      <w:t>主要是子公司递延税项影响所致</w:t>
                    </w:r>
                  </w:p>
                </w:tc>
              </w:tr>
            </w:sdtContent>
          </w:sdt>
          <w:sdt>
            <w:sdtPr>
              <w:rPr>
                <w:rFonts w:asciiTheme="minorEastAsia" w:eastAsiaTheme="minorEastAsia" w:hAnsiTheme="minorEastAsia" w:cstheme="minorBidi" w:hint="eastAsia"/>
                <w:kern w:val="2"/>
                <w:szCs w:val="21"/>
              </w:rPr>
              <w:alias w:val="资产负债状况分析"/>
              <w:tag w:val="_TUP_5b9451a24cf94bb19fcd924892517ec7"/>
              <w:id w:val="-787579854"/>
              <w:lock w:val="sdtLocked"/>
            </w:sdtPr>
            <w:sdtEndPr/>
            <w:sdtContent>
              <w:tr w:rsidR="00907EF9" w14:paraId="71F81AC8" w14:textId="77777777" w:rsidTr="00907EF9">
                <w:trPr>
                  <w:trHeight w:val="135"/>
                </w:trPr>
                <w:tc>
                  <w:tcPr>
                    <w:tcW w:w="561" w:type="pct"/>
                  </w:tcPr>
                  <w:p w14:paraId="79773DC3" w14:textId="77777777" w:rsidR="00471D53" w:rsidRDefault="004F686E" w:rsidP="00471D53">
                    <w:pPr>
                      <w:rPr>
                        <w:rFonts w:asciiTheme="minorEastAsia" w:eastAsiaTheme="minorEastAsia" w:hAnsiTheme="minorEastAsia"/>
                        <w:szCs w:val="21"/>
                      </w:rPr>
                    </w:pPr>
                    <w:r>
                      <w:t>短期借款</w:t>
                    </w:r>
                  </w:p>
                </w:tc>
                <w:tc>
                  <w:tcPr>
                    <w:tcW w:w="820" w:type="pct"/>
                  </w:tcPr>
                  <w:p w14:paraId="6E895CCB" w14:textId="77777777" w:rsidR="00471D53" w:rsidRDefault="004F686E" w:rsidP="00471D53">
                    <w:pPr>
                      <w:jc w:val="right"/>
                      <w:rPr>
                        <w:rFonts w:asciiTheme="minorEastAsia" w:eastAsiaTheme="minorEastAsia" w:hAnsiTheme="minorEastAsia"/>
                        <w:szCs w:val="21"/>
                      </w:rPr>
                    </w:pPr>
                    <w:r>
                      <w:t>108,000,000.00</w:t>
                    </w:r>
                  </w:p>
                </w:tc>
                <w:tc>
                  <w:tcPr>
                    <w:tcW w:w="547" w:type="pct"/>
                  </w:tcPr>
                  <w:p w14:paraId="26B9DACC" w14:textId="77777777" w:rsidR="00471D53" w:rsidRDefault="004F686E" w:rsidP="00471D53">
                    <w:pPr>
                      <w:jc w:val="right"/>
                      <w:rPr>
                        <w:rFonts w:asciiTheme="minorEastAsia" w:eastAsiaTheme="minorEastAsia" w:hAnsiTheme="minorEastAsia"/>
                        <w:szCs w:val="21"/>
                      </w:rPr>
                    </w:pPr>
                    <w:r>
                      <w:t>6.81</w:t>
                    </w:r>
                  </w:p>
                </w:tc>
                <w:tc>
                  <w:tcPr>
                    <w:tcW w:w="820" w:type="pct"/>
                  </w:tcPr>
                  <w:p w14:paraId="430B921C" w14:textId="77777777" w:rsidR="00471D53" w:rsidRDefault="004F686E" w:rsidP="00471D53">
                    <w:pPr>
                      <w:jc w:val="right"/>
                      <w:rPr>
                        <w:rFonts w:asciiTheme="minorEastAsia" w:eastAsiaTheme="minorEastAsia" w:hAnsiTheme="minorEastAsia"/>
                        <w:szCs w:val="21"/>
                      </w:rPr>
                    </w:pPr>
                    <w:r>
                      <w:t>168,000,000.00</w:t>
                    </w:r>
                  </w:p>
                </w:tc>
                <w:tc>
                  <w:tcPr>
                    <w:tcW w:w="546" w:type="pct"/>
                  </w:tcPr>
                  <w:p w14:paraId="2DF11962" w14:textId="77777777" w:rsidR="00471D53" w:rsidRDefault="004F686E" w:rsidP="00471D53">
                    <w:pPr>
                      <w:jc w:val="right"/>
                      <w:rPr>
                        <w:rFonts w:asciiTheme="minorEastAsia" w:eastAsiaTheme="minorEastAsia" w:hAnsiTheme="minorEastAsia"/>
                        <w:szCs w:val="21"/>
                      </w:rPr>
                    </w:pPr>
                    <w:r>
                      <w:t>9.85</w:t>
                    </w:r>
                  </w:p>
                </w:tc>
                <w:tc>
                  <w:tcPr>
                    <w:tcW w:w="615" w:type="pct"/>
                  </w:tcPr>
                  <w:p w14:paraId="15679CF2" w14:textId="77777777" w:rsidR="00471D53" w:rsidRDefault="004F686E" w:rsidP="00471D53">
                    <w:pPr>
                      <w:jc w:val="right"/>
                      <w:rPr>
                        <w:rFonts w:asciiTheme="minorEastAsia" w:eastAsiaTheme="minorEastAsia" w:hAnsiTheme="minorEastAsia"/>
                        <w:szCs w:val="21"/>
                      </w:rPr>
                    </w:pPr>
                    <w:r>
                      <w:t>-35.71</w:t>
                    </w:r>
                  </w:p>
                </w:tc>
                <w:tc>
                  <w:tcPr>
                    <w:tcW w:w="1089" w:type="pct"/>
                  </w:tcPr>
                  <w:p w14:paraId="42FCA94F" w14:textId="77777777" w:rsidR="00471D53" w:rsidRDefault="004F686E" w:rsidP="00471D53">
                    <w:pPr>
                      <w:rPr>
                        <w:rFonts w:asciiTheme="minorEastAsia" w:eastAsiaTheme="minorEastAsia" w:hAnsiTheme="minorEastAsia"/>
                        <w:szCs w:val="21"/>
                      </w:rPr>
                    </w:pPr>
                    <w:r>
                      <w:t>主要是本期子公司贷款减少所致</w:t>
                    </w:r>
                  </w:p>
                </w:tc>
              </w:tr>
            </w:sdtContent>
          </w:sdt>
          <w:sdt>
            <w:sdtPr>
              <w:rPr>
                <w:rFonts w:asciiTheme="minorEastAsia" w:eastAsiaTheme="minorEastAsia" w:hAnsiTheme="minorEastAsia" w:cstheme="minorBidi" w:hint="eastAsia"/>
                <w:kern w:val="2"/>
                <w:szCs w:val="21"/>
              </w:rPr>
              <w:alias w:val="资产负债状况分析"/>
              <w:tag w:val="_TUP_5b9451a24cf94bb19fcd924892517ec7"/>
              <w:id w:val="-212197159"/>
              <w:lock w:val="sdtLocked"/>
            </w:sdtPr>
            <w:sdtEndPr/>
            <w:sdtContent>
              <w:tr w:rsidR="00907EF9" w14:paraId="394197F9" w14:textId="77777777" w:rsidTr="00907EF9">
                <w:trPr>
                  <w:trHeight w:val="135"/>
                </w:trPr>
                <w:tc>
                  <w:tcPr>
                    <w:tcW w:w="561" w:type="pct"/>
                  </w:tcPr>
                  <w:p w14:paraId="0075657E" w14:textId="77777777" w:rsidR="00471D53" w:rsidRDefault="004F686E" w:rsidP="00471D53">
                    <w:pPr>
                      <w:rPr>
                        <w:rFonts w:asciiTheme="minorEastAsia" w:eastAsiaTheme="minorEastAsia" w:hAnsiTheme="minorEastAsia" w:cstheme="minorBidi"/>
                        <w:kern w:val="2"/>
                        <w:szCs w:val="21"/>
                      </w:rPr>
                    </w:pPr>
                    <w:r>
                      <w:t>应付票据</w:t>
                    </w:r>
                  </w:p>
                </w:tc>
                <w:tc>
                  <w:tcPr>
                    <w:tcW w:w="820" w:type="pct"/>
                  </w:tcPr>
                  <w:p w14:paraId="32C34E31" w14:textId="77777777" w:rsidR="00471D53" w:rsidRDefault="004F686E" w:rsidP="00471D53">
                    <w:pPr>
                      <w:jc w:val="right"/>
                      <w:rPr>
                        <w:rFonts w:asciiTheme="minorEastAsia" w:eastAsiaTheme="minorEastAsia" w:hAnsiTheme="minorEastAsia"/>
                        <w:szCs w:val="21"/>
                      </w:rPr>
                    </w:pPr>
                    <w:r>
                      <w:t>20,000,000.00</w:t>
                    </w:r>
                  </w:p>
                </w:tc>
                <w:tc>
                  <w:tcPr>
                    <w:tcW w:w="547" w:type="pct"/>
                  </w:tcPr>
                  <w:p w14:paraId="099B8938" w14:textId="77777777" w:rsidR="00471D53" w:rsidRDefault="004F686E" w:rsidP="00471D53">
                    <w:pPr>
                      <w:jc w:val="right"/>
                      <w:rPr>
                        <w:rFonts w:asciiTheme="minorEastAsia" w:eastAsiaTheme="minorEastAsia" w:hAnsiTheme="minorEastAsia"/>
                        <w:szCs w:val="21"/>
                      </w:rPr>
                    </w:pPr>
                    <w:r>
                      <w:t>1.26</w:t>
                    </w:r>
                  </w:p>
                </w:tc>
                <w:tc>
                  <w:tcPr>
                    <w:tcW w:w="820" w:type="pct"/>
                  </w:tcPr>
                  <w:p w14:paraId="2EEBD909" w14:textId="77777777" w:rsidR="00471D53" w:rsidRDefault="004F686E" w:rsidP="00471D53">
                    <w:pPr>
                      <w:jc w:val="right"/>
                      <w:rPr>
                        <w:rFonts w:asciiTheme="minorEastAsia" w:eastAsiaTheme="minorEastAsia" w:hAnsiTheme="minorEastAsia"/>
                        <w:szCs w:val="21"/>
                      </w:rPr>
                    </w:pPr>
                    <w:r>
                      <w:t>56,000,000.00</w:t>
                    </w:r>
                  </w:p>
                </w:tc>
                <w:tc>
                  <w:tcPr>
                    <w:tcW w:w="546" w:type="pct"/>
                  </w:tcPr>
                  <w:p w14:paraId="28F20C7E" w14:textId="77777777" w:rsidR="00471D53" w:rsidRDefault="004F686E" w:rsidP="00471D53">
                    <w:pPr>
                      <w:jc w:val="right"/>
                      <w:rPr>
                        <w:rFonts w:asciiTheme="minorEastAsia" w:eastAsiaTheme="minorEastAsia" w:hAnsiTheme="minorEastAsia"/>
                        <w:szCs w:val="21"/>
                      </w:rPr>
                    </w:pPr>
                    <w:r>
                      <w:t>3.28</w:t>
                    </w:r>
                  </w:p>
                </w:tc>
                <w:tc>
                  <w:tcPr>
                    <w:tcW w:w="615" w:type="pct"/>
                  </w:tcPr>
                  <w:p w14:paraId="68D61447" w14:textId="77777777" w:rsidR="00471D53" w:rsidRDefault="004F686E" w:rsidP="00471D53">
                    <w:pPr>
                      <w:jc w:val="right"/>
                      <w:rPr>
                        <w:rFonts w:asciiTheme="minorEastAsia" w:eastAsiaTheme="minorEastAsia" w:hAnsiTheme="minorEastAsia"/>
                        <w:szCs w:val="21"/>
                      </w:rPr>
                    </w:pPr>
                    <w:r>
                      <w:t>-64.29</w:t>
                    </w:r>
                  </w:p>
                </w:tc>
                <w:tc>
                  <w:tcPr>
                    <w:tcW w:w="1089" w:type="pct"/>
                  </w:tcPr>
                  <w:p w14:paraId="77D4C975" w14:textId="1492CD62" w:rsidR="00471D53" w:rsidRDefault="004F686E" w:rsidP="00471D53">
                    <w:pPr>
                      <w:rPr>
                        <w:rFonts w:asciiTheme="minorEastAsia" w:eastAsiaTheme="minorEastAsia" w:hAnsiTheme="minorEastAsia" w:cstheme="minorBidi"/>
                        <w:kern w:val="2"/>
                        <w:szCs w:val="21"/>
                      </w:rPr>
                    </w:pPr>
                    <w:r>
                      <w:t>主要是子公司开具银行承兑汇票减少所致</w:t>
                    </w:r>
                  </w:p>
                </w:tc>
              </w:tr>
            </w:sdtContent>
          </w:sdt>
          <w:sdt>
            <w:sdtPr>
              <w:rPr>
                <w:rFonts w:asciiTheme="minorEastAsia" w:eastAsiaTheme="minorEastAsia" w:hAnsiTheme="minorEastAsia" w:cstheme="minorBidi" w:hint="eastAsia"/>
                <w:kern w:val="2"/>
                <w:szCs w:val="21"/>
              </w:rPr>
              <w:alias w:val="资产负债状况分析"/>
              <w:tag w:val="_TUP_5b9451a24cf94bb19fcd924892517ec7"/>
              <w:id w:val="1784376984"/>
              <w:lock w:val="sdtLocked"/>
            </w:sdtPr>
            <w:sdtEndPr/>
            <w:sdtContent>
              <w:tr w:rsidR="00907EF9" w14:paraId="0E109B13" w14:textId="77777777" w:rsidTr="00907EF9">
                <w:trPr>
                  <w:trHeight w:val="135"/>
                </w:trPr>
                <w:tc>
                  <w:tcPr>
                    <w:tcW w:w="561" w:type="pct"/>
                  </w:tcPr>
                  <w:p w14:paraId="373053EA" w14:textId="77777777" w:rsidR="00471D53" w:rsidRDefault="004F686E" w:rsidP="00471D53">
                    <w:pPr>
                      <w:rPr>
                        <w:rFonts w:asciiTheme="minorEastAsia" w:eastAsiaTheme="minorEastAsia" w:hAnsiTheme="minorEastAsia" w:cstheme="minorBidi"/>
                        <w:kern w:val="2"/>
                        <w:szCs w:val="21"/>
                      </w:rPr>
                    </w:pPr>
                    <w:r>
                      <w:t>合同负债</w:t>
                    </w:r>
                  </w:p>
                </w:tc>
                <w:tc>
                  <w:tcPr>
                    <w:tcW w:w="820" w:type="pct"/>
                  </w:tcPr>
                  <w:p w14:paraId="54101418" w14:textId="77777777" w:rsidR="00471D53" w:rsidRDefault="004F686E" w:rsidP="00471D53">
                    <w:pPr>
                      <w:jc w:val="right"/>
                      <w:rPr>
                        <w:rFonts w:asciiTheme="minorEastAsia" w:eastAsiaTheme="minorEastAsia" w:hAnsiTheme="minorEastAsia"/>
                        <w:szCs w:val="21"/>
                      </w:rPr>
                    </w:pPr>
                    <w:r>
                      <w:t>85,965,855.60</w:t>
                    </w:r>
                  </w:p>
                </w:tc>
                <w:tc>
                  <w:tcPr>
                    <w:tcW w:w="547" w:type="pct"/>
                  </w:tcPr>
                  <w:p w14:paraId="07DFBFA1" w14:textId="77777777" w:rsidR="00471D53" w:rsidRDefault="004F686E" w:rsidP="00471D53">
                    <w:pPr>
                      <w:jc w:val="right"/>
                      <w:rPr>
                        <w:rFonts w:asciiTheme="minorEastAsia" w:eastAsiaTheme="minorEastAsia" w:hAnsiTheme="minorEastAsia"/>
                        <w:szCs w:val="21"/>
                      </w:rPr>
                    </w:pPr>
                    <w:r>
                      <w:t>5.42</w:t>
                    </w:r>
                  </w:p>
                </w:tc>
                <w:tc>
                  <w:tcPr>
                    <w:tcW w:w="820" w:type="pct"/>
                  </w:tcPr>
                  <w:p w14:paraId="2DC72DF9" w14:textId="77777777" w:rsidR="00471D53" w:rsidRDefault="004F686E" w:rsidP="00471D53">
                    <w:pPr>
                      <w:jc w:val="right"/>
                      <w:rPr>
                        <w:rFonts w:asciiTheme="minorEastAsia" w:eastAsiaTheme="minorEastAsia" w:hAnsiTheme="minorEastAsia"/>
                        <w:szCs w:val="21"/>
                      </w:rPr>
                    </w:pPr>
                    <w:r>
                      <w:t>60,853,270.89</w:t>
                    </w:r>
                  </w:p>
                </w:tc>
                <w:tc>
                  <w:tcPr>
                    <w:tcW w:w="546" w:type="pct"/>
                  </w:tcPr>
                  <w:p w14:paraId="4D3B82EC" w14:textId="77777777" w:rsidR="00471D53" w:rsidRDefault="004F686E" w:rsidP="00471D53">
                    <w:pPr>
                      <w:jc w:val="right"/>
                      <w:rPr>
                        <w:rFonts w:asciiTheme="minorEastAsia" w:eastAsiaTheme="minorEastAsia" w:hAnsiTheme="minorEastAsia"/>
                        <w:szCs w:val="21"/>
                      </w:rPr>
                    </w:pPr>
                    <w:r>
                      <w:t>3.57</w:t>
                    </w:r>
                  </w:p>
                </w:tc>
                <w:tc>
                  <w:tcPr>
                    <w:tcW w:w="615" w:type="pct"/>
                  </w:tcPr>
                  <w:p w14:paraId="7F1A6CED" w14:textId="77777777" w:rsidR="00471D53" w:rsidRDefault="004F686E" w:rsidP="00471D53">
                    <w:pPr>
                      <w:jc w:val="right"/>
                      <w:rPr>
                        <w:rFonts w:asciiTheme="minorEastAsia" w:eastAsiaTheme="minorEastAsia" w:hAnsiTheme="minorEastAsia"/>
                        <w:szCs w:val="21"/>
                      </w:rPr>
                    </w:pPr>
                    <w:r>
                      <w:t>41.27</w:t>
                    </w:r>
                  </w:p>
                </w:tc>
                <w:tc>
                  <w:tcPr>
                    <w:tcW w:w="1089" w:type="pct"/>
                  </w:tcPr>
                  <w:p w14:paraId="33D1AE18" w14:textId="77777777" w:rsidR="00471D53" w:rsidRDefault="004F686E" w:rsidP="00471D53">
                    <w:pPr>
                      <w:rPr>
                        <w:rFonts w:asciiTheme="minorEastAsia" w:eastAsiaTheme="minorEastAsia" w:hAnsiTheme="minorEastAsia" w:cstheme="minorBidi"/>
                        <w:kern w:val="2"/>
                        <w:szCs w:val="21"/>
                      </w:rPr>
                    </w:pPr>
                    <w:r>
                      <w:t>主要是子公司预收账款增加所致</w:t>
                    </w:r>
                  </w:p>
                </w:tc>
              </w:tr>
            </w:sdtContent>
          </w:sdt>
          <w:sdt>
            <w:sdtPr>
              <w:rPr>
                <w:rFonts w:asciiTheme="minorEastAsia" w:eastAsiaTheme="minorEastAsia" w:hAnsiTheme="minorEastAsia" w:cstheme="minorBidi" w:hint="eastAsia"/>
                <w:kern w:val="2"/>
                <w:szCs w:val="21"/>
              </w:rPr>
              <w:alias w:val="资产负债状况分析"/>
              <w:tag w:val="_TUP_5b9451a24cf94bb19fcd924892517ec7"/>
              <w:id w:val="509260837"/>
              <w:lock w:val="sdtLocked"/>
            </w:sdtPr>
            <w:sdtEndPr/>
            <w:sdtContent>
              <w:tr w:rsidR="00907EF9" w14:paraId="77ABD849" w14:textId="77777777" w:rsidTr="00907EF9">
                <w:trPr>
                  <w:trHeight w:val="135"/>
                </w:trPr>
                <w:tc>
                  <w:tcPr>
                    <w:tcW w:w="561" w:type="pct"/>
                  </w:tcPr>
                  <w:p w14:paraId="7064D9E4" w14:textId="77777777" w:rsidR="00471D53" w:rsidRDefault="004F686E" w:rsidP="00471D53">
                    <w:pPr>
                      <w:rPr>
                        <w:rFonts w:asciiTheme="minorEastAsia" w:eastAsiaTheme="minorEastAsia" w:hAnsiTheme="minorEastAsia"/>
                        <w:szCs w:val="21"/>
                      </w:rPr>
                    </w:pPr>
                    <w:r>
                      <w:t>应付职工薪酬</w:t>
                    </w:r>
                  </w:p>
                </w:tc>
                <w:tc>
                  <w:tcPr>
                    <w:tcW w:w="820" w:type="pct"/>
                  </w:tcPr>
                  <w:p w14:paraId="68080606" w14:textId="77777777" w:rsidR="00471D53" w:rsidRDefault="004F686E" w:rsidP="00471D53">
                    <w:pPr>
                      <w:jc w:val="right"/>
                      <w:rPr>
                        <w:rFonts w:asciiTheme="minorEastAsia" w:eastAsiaTheme="minorEastAsia" w:hAnsiTheme="minorEastAsia"/>
                        <w:szCs w:val="21"/>
                      </w:rPr>
                    </w:pPr>
                    <w:r>
                      <w:t>17,239,837.40</w:t>
                    </w:r>
                  </w:p>
                </w:tc>
                <w:tc>
                  <w:tcPr>
                    <w:tcW w:w="547" w:type="pct"/>
                  </w:tcPr>
                  <w:p w14:paraId="16DBFA4F" w14:textId="77777777" w:rsidR="00471D53" w:rsidRDefault="004F686E" w:rsidP="00471D53">
                    <w:pPr>
                      <w:jc w:val="right"/>
                      <w:rPr>
                        <w:rFonts w:asciiTheme="minorEastAsia" w:eastAsiaTheme="minorEastAsia" w:hAnsiTheme="minorEastAsia"/>
                        <w:szCs w:val="21"/>
                      </w:rPr>
                    </w:pPr>
                    <w:r>
                      <w:t>1.09</w:t>
                    </w:r>
                  </w:p>
                </w:tc>
                <w:tc>
                  <w:tcPr>
                    <w:tcW w:w="820" w:type="pct"/>
                  </w:tcPr>
                  <w:p w14:paraId="101E7248" w14:textId="77777777" w:rsidR="00471D53" w:rsidRDefault="004F686E" w:rsidP="00471D53">
                    <w:pPr>
                      <w:jc w:val="right"/>
                      <w:rPr>
                        <w:rFonts w:asciiTheme="minorEastAsia" w:eastAsiaTheme="minorEastAsia" w:hAnsiTheme="minorEastAsia"/>
                        <w:szCs w:val="21"/>
                      </w:rPr>
                    </w:pPr>
                    <w:r>
                      <w:t>28,176,562.77</w:t>
                    </w:r>
                  </w:p>
                </w:tc>
                <w:tc>
                  <w:tcPr>
                    <w:tcW w:w="546" w:type="pct"/>
                  </w:tcPr>
                  <w:p w14:paraId="7B12F5DD" w14:textId="77777777" w:rsidR="00471D53" w:rsidRDefault="004F686E" w:rsidP="00471D53">
                    <w:pPr>
                      <w:jc w:val="right"/>
                      <w:rPr>
                        <w:rFonts w:asciiTheme="minorEastAsia" w:eastAsiaTheme="minorEastAsia" w:hAnsiTheme="minorEastAsia"/>
                        <w:szCs w:val="21"/>
                      </w:rPr>
                    </w:pPr>
                    <w:r>
                      <w:t>1.65</w:t>
                    </w:r>
                  </w:p>
                </w:tc>
                <w:tc>
                  <w:tcPr>
                    <w:tcW w:w="615" w:type="pct"/>
                  </w:tcPr>
                  <w:p w14:paraId="216F2AF4" w14:textId="77777777" w:rsidR="00471D53" w:rsidRDefault="004F686E" w:rsidP="00471D53">
                    <w:pPr>
                      <w:jc w:val="right"/>
                      <w:rPr>
                        <w:rFonts w:asciiTheme="minorEastAsia" w:eastAsiaTheme="minorEastAsia" w:hAnsiTheme="minorEastAsia"/>
                        <w:szCs w:val="21"/>
                      </w:rPr>
                    </w:pPr>
                    <w:r>
                      <w:t>-38.81</w:t>
                    </w:r>
                  </w:p>
                </w:tc>
                <w:tc>
                  <w:tcPr>
                    <w:tcW w:w="1089" w:type="pct"/>
                  </w:tcPr>
                  <w:p w14:paraId="40CF9C4C" w14:textId="77777777" w:rsidR="00471D53" w:rsidRDefault="004F686E" w:rsidP="00471D53">
                    <w:pPr>
                      <w:rPr>
                        <w:rFonts w:asciiTheme="minorEastAsia" w:eastAsiaTheme="minorEastAsia" w:hAnsiTheme="minorEastAsia"/>
                        <w:szCs w:val="21"/>
                      </w:rPr>
                    </w:pPr>
                    <w:r>
                      <w:t>主要是本期支付上年应付薪酬所致</w:t>
                    </w:r>
                  </w:p>
                </w:tc>
              </w:tr>
            </w:sdtContent>
          </w:sdt>
          <w:sdt>
            <w:sdtPr>
              <w:rPr>
                <w:rFonts w:asciiTheme="minorEastAsia" w:eastAsiaTheme="minorEastAsia" w:hAnsiTheme="minorEastAsia" w:cstheme="minorBidi" w:hint="eastAsia"/>
                <w:kern w:val="2"/>
                <w:szCs w:val="21"/>
              </w:rPr>
              <w:alias w:val="资产负债状况分析"/>
              <w:tag w:val="_TUP_5b9451a24cf94bb19fcd924892517ec7"/>
              <w:id w:val="1228958792"/>
              <w:lock w:val="sdtLocked"/>
            </w:sdtPr>
            <w:sdtEndPr/>
            <w:sdtContent>
              <w:tr w:rsidR="00907EF9" w14:paraId="79775B43" w14:textId="77777777" w:rsidTr="00907EF9">
                <w:trPr>
                  <w:trHeight w:val="135"/>
                </w:trPr>
                <w:tc>
                  <w:tcPr>
                    <w:tcW w:w="561" w:type="pct"/>
                  </w:tcPr>
                  <w:p w14:paraId="5572C448" w14:textId="77777777" w:rsidR="00471D53" w:rsidRDefault="004F686E" w:rsidP="00471D53">
                    <w:pPr>
                      <w:rPr>
                        <w:rFonts w:asciiTheme="minorEastAsia" w:eastAsiaTheme="minorEastAsia" w:hAnsiTheme="minorEastAsia"/>
                        <w:szCs w:val="21"/>
                      </w:rPr>
                    </w:pPr>
                    <w:r>
                      <w:t>应交税费</w:t>
                    </w:r>
                  </w:p>
                </w:tc>
                <w:tc>
                  <w:tcPr>
                    <w:tcW w:w="820" w:type="pct"/>
                  </w:tcPr>
                  <w:p w14:paraId="2EE0ECFA" w14:textId="77777777" w:rsidR="00471D53" w:rsidRDefault="004F686E" w:rsidP="00471D53">
                    <w:pPr>
                      <w:jc w:val="right"/>
                      <w:rPr>
                        <w:rFonts w:asciiTheme="minorEastAsia" w:eastAsiaTheme="minorEastAsia" w:hAnsiTheme="minorEastAsia"/>
                        <w:szCs w:val="21"/>
                      </w:rPr>
                    </w:pPr>
                    <w:r>
                      <w:t>3,148,984.89</w:t>
                    </w:r>
                  </w:p>
                </w:tc>
                <w:tc>
                  <w:tcPr>
                    <w:tcW w:w="547" w:type="pct"/>
                  </w:tcPr>
                  <w:p w14:paraId="05EFFF1A" w14:textId="77777777" w:rsidR="00471D53" w:rsidRDefault="004F686E" w:rsidP="00471D53">
                    <w:pPr>
                      <w:jc w:val="right"/>
                      <w:rPr>
                        <w:rFonts w:asciiTheme="minorEastAsia" w:eastAsiaTheme="minorEastAsia" w:hAnsiTheme="minorEastAsia"/>
                        <w:szCs w:val="21"/>
                      </w:rPr>
                    </w:pPr>
                    <w:r>
                      <w:t>0.20</w:t>
                    </w:r>
                  </w:p>
                </w:tc>
                <w:tc>
                  <w:tcPr>
                    <w:tcW w:w="820" w:type="pct"/>
                  </w:tcPr>
                  <w:p w14:paraId="631A3879" w14:textId="77777777" w:rsidR="00471D53" w:rsidRDefault="004F686E" w:rsidP="00471D53">
                    <w:pPr>
                      <w:jc w:val="right"/>
                      <w:rPr>
                        <w:rFonts w:asciiTheme="minorEastAsia" w:eastAsiaTheme="minorEastAsia" w:hAnsiTheme="minorEastAsia"/>
                        <w:szCs w:val="21"/>
                      </w:rPr>
                    </w:pPr>
                    <w:r>
                      <w:t>6,720,070.38</w:t>
                    </w:r>
                  </w:p>
                </w:tc>
                <w:tc>
                  <w:tcPr>
                    <w:tcW w:w="546" w:type="pct"/>
                  </w:tcPr>
                  <w:p w14:paraId="7FF5645A" w14:textId="77777777" w:rsidR="00471D53" w:rsidRDefault="004F686E" w:rsidP="00471D53">
                    <w:pPr>
                      <w:jc w:val="right"/>
                      <w:rPr>
                        <w:rFonts w:asciiTheme="minorEastAsia" w:eastAsiaTheme="minorEastAsia" w:hAnsiTheme="minorEastAsia"/>
                        <w:szCs w:val="21"/>
                      </w:rPr>
                    </w:pPr>
                    <w:r>
                      <w:t>0.39</w:t>
                    </w:r>
                  </w:p>
                </w:tc>
                <w:tc>
                  <w:tcPr>
                    <w:tcW w:w="615" w:type="pct"/>
                  </w:tcPr>
                  <w:p w14:paraId="0417CE34" w14:textId="77777777" w:rsidR="00471D53" w:rsidRDefault="004F686E" w:rsidP="00471D53">
                    <w:pPr>
                      <w:jc w:val="right"/>
                      <w:rPr>
                        <w:rFonts w:asciiTheme="minorEastAsia" w:eastAsiaTheme="minorEastAsia" w:hAnsiTheme="minorEastAsia"/>
                        <w:szCs w:val="21"/>
                      </w:rPr>
                    </w:pPr>
                    <w:r>
                      <w:t>-53.14</w:t>
                    </w:r>
                  </w:p>
                </w:tc>
                <w:tc>
                  <w:tcPr>
                    <w:tcW w:w="1089" w:type="pct"/>
                  </w:tcPr>
                  <w:p w14:paraId="204E5DF6" w14:textId="77777777" w:rsidR="00471D53" w:rsidRDefault="004F686E" w:rsidP="00471D53">
                    <w:pPr>
                      <w:rPr>
                        <w:rFonts w:asciiTheme="minorEastAsia" w:eastAsiaTheme="minorEastAsia" w:hAnsiTheme="minorEastAsia"/>
                        <w:szCs w:val="21"/>
                      </w:rPr>
                    </w:pPr>
                    <w:r>
                      <w:t>主要是本期支付上年末未交税金所致</w:t>
                    </w:r>
                  </w:p>
                </w:tc>
              </w:tr>
            </w:sdtContent>
          </w:sdt>
          <w:sdt>
            <w:sdtPr>
              <w:rPr>
                <w:rFonts w:asciiTheme="minorEastAsia" w:eastAsiaTheme="minorEastAsia" w:hAnsiTheme="minorEastAsia" w:cstheme="minorBidi" w:hint="eastAsia"/>
                <w:kern w:val="2"/>
                <w:szCs w:val="21"/>
              </w:rPr>
              <w:alias w:val="资产负债状况分析"/>
              <w:tag w:val="_TUP_5b9451a24cf94bb19fcd924892517ec7"/>
              <w:id w:val="1484581728"/>
              <w:lock w:val="sdtLocked"/>
            </w:sdtPr>
            <w:sdtEndPr/>
            <w:sdtContent>
              <w:tr w:rsidR="00907EF9" w14:paraId="73A1C428" w14:textId="77777777" w:rsidTr="00907EF9">
                <w:trPr>
                  <w:trHeight w:val="135"/>
                </w:trPr>
                <w:tc>
                  <w:tcPr>
                    <w:tcW w:w="561" w:type="pct"/>
                  </w:tcPr>
                  <w:p w14:paraId="5F67909E" w14:textId="77777777" w:rsidR="00471D53" w:rsidRDefault="004F686E" w:rsidP="00471D53">
                    <w:pPr>
                      <w:rPr>
                        <w:rFonts w:asciiTheme="minorEastAsia" w:eastAsiaTheme="minorEastAsia" w:hAnsiTheme="minorEastAsia"/>
                        <w:szCs w:val="21"/>
                      </w:rPr>
                    </w:pPr>
                    <w:r>
                      <w:t>其他应付款</w:t>
                    </w:r>
                  </w:p>
                </w:tc>
                <w:tc>
                  <w:tcPr>
                    <w:tcW w:w="820" w:type="pct"/>
                  </w:tcPr>
                  <w:p w14:paraId="2323D5D1" w14:textId="77777777" w:rsidR="00471D53" w:rsidRDefault="004F686E" w:rsidP="00471D53">
                    <w:pPr>
                      <w:jc w:val="right"/>
                      <w:rPr>
                        <w:rFonts w:asciiTheme="minorEastAsia" w:eastAsiaTheme="minorEastAsia" w:hAnsiTheme="minorEastAsia"/>
                        <w:szCs w:val="21"/>
                      </w:rPr>
                    </w:pPr>
                    <w:r>
                      <w:t>22,040,189.30</w:t>
                    </w:r>
                  </w:p>
                </w:tc>
                <w:tc>
                  <w:tcPr>
                    <w:tcW w:w="547" w:type="pct"/>
                  </w:tcPr>
                  <w:p w14:paraId="30CE734A" w14:textId="77777777" w:rsidR="00471D53" w:rsidRDefault="004F686E" w:rsidP="00471D53">
                    <w:pPr>
                      <w:jc w:val="right"/>
                      <w:rPr>
                        <w:rFonts w:asciiTheme="minorEastAsia" w:eastAsiaTheme="minorEastAsia" w:hAnsiTheme="minorEastAsia"/>
                        <w:szCs w:val="21"/>
                      </w:rPr>
                    </w:pPr>
                    <w:r>
                      <w:t>1.39</w:t>
                    </w:r>
                  </w:p>
                </w:tc>
                <w:tc>
                  <w:tcPr>
                    <w:tcW w:w="820" w:type="pct"/>
                  </w:tcPr>
                  <w:p w14:paraId="7B29B8D8" w14:textId="77777777" w:rsidR="00471D53" w:rsidRDefault="004F686E" w:rsidP="00471D53">
                    <w:pPr>
                      <w:jc w:val="right"/>
                      <w:rPr>
                        <w:rFonts w:asciiTheme="minorEastAsia" w:eastAsiaTheme="minorEastAsia" w:hAnsiTheme="minorEastAsia"/>
                        <w:szCs w:val="21"/>
                      </w:rPr>
                    </w:pPr>
                    <w:r>
                      <w:t>45,176,375.13</w:t>
                    </w:r>
                  </w:p>
                </w:tc>
                <w:tc>
                  <w:tcPr>
                    <w:tcW w:w="546" w:type="pct"/>
                  </w:tcPr>
                  <w:p w14:paraId="0AA523F1" w14:textId="77777777" w:rsidR="00471D53" w:rsidRDefault="004F686E" w:rsidP="00471D53">
                    <w:pPr>
                      <w:jc w:val="right"/>
                      <w:rPr>
                        <w:rFonts w:asciiTheme="minorEastAsia" w:eastAsiaTheme="minorEastAsia" w:hAnsiTheme="minorEastAsia"/>
                        <w:szCs w:val="21"/>
                      </w:rPr>
                    </w:pPr>
                    <w:r>
                      <w:t>2.65</w:t>
                    </w:r>
                  </w:p>
                </w:tc>
                <w:tc>
                  <w:tcPr>
                    <w:tcW w:w="615" w:type="pct"/>
                  </w:tcPr>
                  <w:p w14:paraId="7C60968F" w14:textId="77777777" w:rsidR="00471D53" w:rsidRDefault="004F686E" w:rsidP="00471D53">
                    <w:pPr>
                      <w:jc w:val="right"/>
                      <w:rPr>
                        <w:rFonts w:asciiTheme="minorEastAsia" w:eastAsiaTheme="minorEastAsia" w:hAnsiTheme="minorEastAsia"/>
                        <w:szCs w:val="21"/>
                      </w:rPr>
                    </w:pPr>
                    <w:r>
                      <w:t>-51.21</w:t>
                    </w:r>
                  </w:p>
                </w:tc>
                <w:tc>
                  <w:tcPr>
                    <w:tcW w:w="1089" w:type="pct"/>
                  </w:tcPr>
                  <w:p w14:paraId="207CED21" w14:textId="77777777" w:rsidR="00471D53" w:rsidRDefault="004F686E" w:rsidP="00471D53">
                    <w:pPr>
                      <w:rPr>
                        <w:rFonts w:asciiTheme="minorEastAsia" w:eastAsiaTheme="minorEastAsia" w:hAnsiTheme="minorEastAsia"/>
                        <w:szCs w:val="21"/>
                      </w:rPr>
                    </w:pPr>
                    <w:r>
                      <w:t>主要是本期支付少数股东减资款所致</w:t>
                    </w:r>
                  </w:p>
                </w:tc>
              </w:tr>
            </w:sdtContent>
          </w:sdt>
          <w:sdt>
            <w:sdtPr>
              <w:rPr>
                <w:rFonts w:asciiTheme="minorEastAsia" w:eastAsiaTheme="minorEastAsia" w:hAnsiTheme="minorEastAsia" w:cstheme="minorBidi" w:hint="eastAsia"/>
                <w:kern w:val="2"/>
                <w:szCs w:val="21"/>
              </w:rPr>
              <w:alias w:val="资产负债状况分析"/>
              <w:tag w:val="_TUP_5b9451a24cf94bb19fcd924892517ec7"/>
              <w:id w:val="1071230695"/>
              <w:lock w:val="sdtLocked"/>
            </w:sdtPr>
            <w:sdtEndPr/>
            <w:sdtContent>
              <w:tr w:rsidR="00907EF9" w14:paraId="15CBD9B1" w14:textId="77777777" w:rsidTr="00907EF9">
                <w:trPr>
                  <w:trHeight w:val="135"/>
                </w:trPr>
                <w:tc>
                  <w:tcPr>
                    <w:tcW w:w="561" w:type="pct"/>
                  </w:tcPr>
                  <w:p w14:paraId="7FE57B13" w14:textId="77777777" w:rsidR="00471D53" w:rsidRDefault="004F686E" w:rsidP="00471D53">
                    <w:pPr>
                      <w:rPr>
                        <w:rFonts w:asciiTheme="minorEastAsia" w:eastAsiaTheme="minorEastAsia" w:hAnsiTheme="minorEastAsia"/>
                        <w:szCs w:val="21"/>
                      </w:rPr>
                    </w:pPr>
                    <w:r>
                      <w:t>一年内到期的非流动负债</w:t>
                    </w:r>
                  </w:p>
                </w:tc>
                <w:tc>
                  <w:tcPr>
                    <w:tcW w:w="820" w:type="pct"/>
                  </w:tcPr>
                  <w:p w14:paraId="21AF72AD" w14:textId="77777777" w:rsidR="00471D53" w:rsidRDefault="00B664AF" w:rsidP="00471D53">
                    <w:pPr>
                      <w:jc w:val="right"/>
                      <w:rPr>
                        <w:rFonts w:asciiTheme="minorEastAsia" w:eastAsiaTheme="minorEastAsia" w:hAnsiTheme="minorEastAsia"/>
                        <w:szCs w:val="21"/>
                      </w:rPr>
                    </w:pPr>
                  </w:p>
                </w:tc>
                <w:tc>
                  <w:tcPr>
                    <w:tcW w:w="547" w:type="pct"/>
                  </w:tcPr>
                  <w:p w14:paraId="62CF2A8A" w14:textId="77777777" w:rsidR="00471D53" w:rsidRDefault="004F686E" w:rsidP="00471D53">
                    <w:pPr>
                      <w:jc w:val="right"/>
                      <w:rPr>
                        <w:rFonts w:asciiTheme="minorEastAsia" w:eastAsiaTheme="minorEastAsia" w:hAnsiTheme="minorEastAsia"/>
                        <w:szCs w:val="21"/>
                      </w:rPr>
                    </w:pPr>
                    <w:r>
                      <w:t>0.00</w:t>
                    </w:r>
                  </w:p>
                </w:tc>
                <w:tc>
                  <w:tcPr>
                    <w:tcW w:w="820" w:type="pct"/>
                  </w:tcPr>
                  <w:p w14:paraId="409FEC37" w14:textId="77777777" w:rsidR="00471D53" w:rsidRDefault="004F686E" w:rsidP="00471D53">
                    <w:pPr>
                      <w:jc w:val="right"/>
                      <w:rPr>
                        <w:rFonts w:asciiTheme="minorEastAsia" w:eastAsiaTheme="minorEastAsia" w:hAnsiTheme="minorEastAsia"/>
                        <w:szCs w:val="21"/>
                      </w:rPr>
                    </w:pPr>
                    <w:r>
                      <w:t>15,540,454.46</w:t>
                    </w:r>
                  </w:p>
                </w:tc>
                <w:tc>
                  <w:tcPr>
                    <w:tcW w:w="546" w:type="pct"/>
                  </w:tcPr>
                  <w:p w14:paraId="5235CC07" w14:textId="77777777" w:rsidR="00471D53" w:rsidRDefault="004F686E" w:rsidP="00471D53">
                    <w:pPr>
                      <w:jc w:val="right"/>
                      <w:rPr>
                        <w:rFonts w:asciiTheme="minorEastAsia" w:eastAsiaTheme="minorEastAsia" w:hAnsiTheme="minorEastAsia"/>
                        <w:szCs w:val="21"/>
                      </w:rPr>
                    </w:pPr>
                    <w:r>
                      <w:t>0.91</w:t>
                    </w:r>
                  </w:p>
                </w:tc>
                <w:tc>
                  <w:tcPr>
                    <w:tcW w:w="615" w:type="pct"/>
                  </w:tcPr>
                  <w:p w14:paraId="74E0FE68" w14:textId="77777777" w:rsidR="00471D53" w:rsidRDefault="004F686E" w:rsidP="00471D53">
                    <w:pPr>
                      <w:jc w:val="right"/>
                      <w:rPr>
                        <w:rFonts w:asciiTheme="minorEastAsia" w:eastAsiaTheme="minorEastAsia" w:hAnsiTheme="minorEastAsia"/>
                        <w:szCs w:val="21"/>
                      </w:rPr>
                    </w:pPr>
                    <w:r>
                      <w:t>-100.00</w:t>
                    </w:r>
                  </w:p>
                </w:tc>
                <w:tc>
                  <w:tcPr>
                    <w:tcW w:w="1089" w:type="pct"/>
                  </w:tcPr>
                  <w:p w14:paraId="768CE220" w14:textId="77777777" w:rsidR="00471D53" w:rsidRDefault="004F686E" w:rsidP="00471D53">
                    <w:pPr>
                      <w:rPr>
                        <w:rFonts w:asciiTheme="minorEastAsia" w:eastAsiaTheme="minorEastAsia" w:hAnsiTheme="minorEastAsia"/>
                        <w:szCs w:val="21"/>
                      </w:rPr>
                    </w:pPr>
                    <w:r>
                      <w:t>主要是本期支付合营公司认缴出资额所致</w:t>
                    </w:r>
                  </w:p>
                </w:tc>
              </w:tr>
            </w:sdtContent>
          </w:sdt>
          <w:sdt>
            <w:sdtPr>
              <w:rPr>
                <w:rFonts w:asciiTheme="minorEastAsia" w:eastAsiaTheme="minorEastAsia" w:hAnsiTheme="minorEastAsia" w:cstheme="minorBidi" w:hint="eastAsia"/>
                <w:kern w:val="2"/>
                <w:szCs w:val="21"/>
              </w:rPr>
              <w:alias w:val="资产负债状况分析"/>
              <w:tag w:val="_TUP_5b9451a24cf94bb19fcd924892517ec7"/>
              <w:id w:val="731205448"/>
              <w:lock w:val="sdtLocked"/>
            </w:sdtPr>
            <w:sdtEndPr/>
            <w:sdtContent>
              <w:tr w:rsidR="00907EF9" w14:paraId="2FAA4445" w14:textId="77777777" w:rsidTr="00907EF9">
                <w:trPr>
                  <w:trHeight w:val="135"/>
                </w:trPr>
                <w:tc>
                  <w:tcPr>
                    <w:tcW w:w="561" w:type="pct"/>
                  </w:tcPr>
                  <w:p w14:paraId="446E01C9" w14:textId="77777777" w:rsidR="00471D53" w:rsidRDefault="004F686E" w:rsidP="00471D53">
                    <w:pPr>
                      <w:rPr>
                        <w:rFonts w:asciiTheme="minorEastAsia" w:eastAsiaTheme="minorEastAsia" w:hAnsiTheme="minorEastAsia"/>
                        <w:szCs w:val="21"/>
                      </w:rPr>
                    </w:pPr>
                    <w:r>
                      <w:t>其他流动负债</w:t>
                    </w:r>
                  </w:p>
                </w:tc>
                <w:tc>
                  <w:tcPr>
                    <w:tcW w:w="820" w:type="pct"/>
                  </w:tcPr>
                  <w:p w14:paraId="4B474333" w14:textId="77777777" w:rsidR="00471D53" w:rsidRDefault="004F686E" w:rsidP="00471D53">
                    <w:pPr>
                      <w:jc w:val="right"/>
                      <w:rPr>
                        <w:rFonts w:asciiTheme="minorEastAsia" w:eastAsiaTheme="minorEastAsia" w:hAnsiTheme="minorEastAsia"/>
                        <w:szCs w:val="21"/>
                      </w:rPr>
                    </w:pPr>
                    <w:r>
                      <w:t>4,157,447.04</w:t>
                    </w:r>
                  </w:p>
                </w:tc>
                <w:tc>
                  <w:tcPr>
                    <w:tcW w:w="547" w:type="pct"/>
                  </w:tcPr>
                  <w:p w14:paraId="07E9EACD" w14:textId="77777777" w:rsidR="00471D53" w:rsidRDefault="004F686E" w:rsidP="00471D53">
                    <w:pPr>
                      <w:jc w:val="right"/>
                      <w:rPr>
                        <w:rFonts w:asciiTheme="minorEastAsia" w:eastAsiaTheme="minorEastAsia" w:hAnsiTheme="minorEastAsia"/>
                        <w:szCs w:val="21"/>
                      </w:rPr>
                    </w:pPr>
                    <w:r>
                      <w:t>0.26</w:t>
                    </w:r>
                  </w:p>
                </w:tc>
                <w:tc>
                  <w:tcPr>
                    <w:tcW w:w="820" w:type="pct"/>
                  </w:tcPr>
                  <w:p w14:paraId="33E163D6" w14:textId="77777777" w:rsidR="00471D53" w:rsidRDefault="004F686E" w:rsidP="00471D53">
                    <w:pPr>
                      <w:jc w:val="right"/>
                      <w:rPr>
                        <w:rFonts w:asciiTheme="minorEastAsia" w:eastAsiaTheme="minorEastAsia" w:hAnsiTheme="minorEastAsia"/>
                        <w:szCs w:val="21"/>
                      </w:rPr>
                    </w:pPr>
                    <w:r>
                      <w:t>8,472,856.14</w:t>
                    </w:r>
                  </w:p>
                </w:tc>
                <w:tc>
                  <w:tcPr>
                    <w:tcW w:w="546" w:type="pct"/>
                  </w:tcPr>
                  <w:p w14:paraId="68BFC668" w14:textId="77777777" w:rsidR="00471D53" w:rsidRDefault="004F686E" w:rsidP="00471D53">
                    <w:pPr>
                      <w:jc w:val="right"/>
                      <w:rPr>
                        <w:rFonts w:asciiTheme="minorEastAsia" w:eastAsiaTheme="minorEastAsia" w:hAnsiTheme="minorEastAsia"/>
                        <w:szCs w:val="21"/>
                      </w:rPr>
                    </w:pPr>
                    <w:r>
                      <w:t>0.50</w:t>
                    </w:r>
                  </w:p>
                </w:tc>
                <w:tc>
                  <w:tcPr>
                    <w:tcW w:w="615" w:type="pct"/>
                  </w:tcPr>
                  <w:p w14:paraId="202B706E" w14:textId="77777777" w:rsidR="00471D53" w:rsidRDefault="004F686E" w:rsidP="00471D53">
                    <w:pPr>
                      <w:jc w:val="right"/>
                      <w:rPr>
                        <w:rFonts w:asciiTheme="minorEastAsia" w:eastAsiaTheme="minorEastAsia" w:hAnsiTheme="minorEastAsia"/>
                        <w:szCs w:val="21"/>
                      </w:rPr>
                    </w:pPr>
                    <w:r>
                      <w:t>-50.93</w:t>
                    </w:r>
                  </w:p>
                </w:tc>
                <w:tc>
                  <w:tcPr>
                    <w:tcW w:w="1089" w:type="pct"/>
                  </w:tcPr>
                  <w:p w14:paraId="3D84EDF9" w14:textId="77777777" w:rsidR="00471D53" w:rsidRDefault="004F686E" w:rsidP="00471D53">
                    <w:pPr>
                      <w:rPr>
                        <w:rFonts w:asciiTheme="minorEastAsia" w:eastAsiaTheme="minorEastAsia" w:hAnsiTheme="minorEastAsia"/>
                        <w:szCs w:val="21"/>
                      </w:rPr>
                    </w:pPr>
                    <w:r>
                      <w:t>主要是本期合同负债中增值税重分类减少所致</w:t>
                    </w:r>
                  </w:p>
                </w:tc>
              </w:tr>
            </w:sdtContent>
          </w:sdt>
          <w:sdt>
            <w:sdtPr>
              <w:rPr>
                <w:rFonts w:asciiTheme="minorEastAsia" w:eastAsiaTheme="minorEastAsia" w:hAnsiTheme="minorEastAsia" w:cstheme="minorBidi" w:hint="eastAsia"/>
                <w:kern w:val="2"/>
                <w:szCs w:val="21"/>
              </w:rPr>
              <w:alias w:val="资产负债状况分析"/>
              <w:tag w:val="_TUP_5b9451a24cf94bb19fcd924892517ec7"/>
              <w:id w:val="-636261985"/>
              <w:lock w:val="sdtLocked"/>
            </w:sdtPr>
            <w:sdtEndPr/>
            <w:sdtContent>
              <w:tr w:rsidR="00907EF9" w14:paraId="3C5ED7DA" w14:textId="77777777" w:rsidTr="00907EF9">
                <w:trPr>
                  <w:trHeight w:val="135"/>
                </w:trPr>
                <w:tc>
                  <w:tcPr>
                    <w:tcW w:w="561" w:type="pct"/>
                  </w:tcPr>
                  <w:p w14:paraId="7B97FEB8" w14:textId="77777777" w:rsidR="00471D53" w:rsidRDefault="004F686E" w:rsidP="00471D53">
                    <w:pPr>
                      <w:rPr>
                        <w:rFonts w:asciiTheme="minorEastAsia" w:eastAsiaTheme="minorEastAsia" w:hAnsiTheme="minorEastAsia"/>
                        <w:szCs w:val="21"/>
                      </w:rPr>
                    </w:pPr>
                    <w:r>
                      <w:t>长期借款</w:t>
                    </w:r>
                  </w:p>
                </w:tc>
                <w:tc>
                  <w:tcPr>
                    <w:tcW w:w="820" w:type="pct"/>
                  </w:tcPr>
                  <w:p w14:paraId="1113C38B" w14:textId="35B8DB10" w:rsidR="00471D53" w:rsidRDefault="00B664AF" w:rsidP="00471D53">
                    <w:pPr>
                      <w:jc w:val="right"/>
                      <w:rPr>
                        <w:rFonts w:asciiTheme="minorEastAsia" w:eastAsiaTheme="minorEastAsia" w:hAnsiTheme="minorEastAsia"/>
                        <w:szCs w:val="21"/>
                      </w:rPr>
                    </w:pPr>
                  </w:p>
                </w:tc>
                <w:tc>
                  <w:tcPr>
                    <w:tcW w:w="547" w:type="pct"/>
                  </w:tcPr>
                  <w:p w14:paraId="3E417826" w14:textId="77777777" w:rsidR="00471D53" w:rsidRDefault="004F686E" w:rsidP="00471D53">
                    <w:pPr>
                      <w:jc w:val="right"/>
                      <w:rPr>
                        <w:rFonts w:asciiTheme="minorEastAsia" w:eastAsiaTheme="minorEastAsia" w:hAnsiTheme="minorEastAsia"/>
                        <w:szCs w:val="21"/>
                      </w:rPr>
                    </w:pPr>
                    <w:r>
                      <w:t>0.00</w:t>
                    </w:r>
                  </w:p>
                </w:tc>
                <w:tc>
                  <w:tcPr>
                    <w:tcW w:w="820" w:type="pct"/>
                  </w:tcPr>
                  <w:p w14:paraId="70AB1CAC" w14:textId="77777777" w:rsidR="00471D53" w:rsidRDefault="004F686E" w:rsidP="00471D53">
                    <w:pPr>
                      <w:jc w:val="right"/>
                      <w:rPr>
                        <w:rFonts w:asciiTheme="minorEastAsia" w:eastAsiaTheme="minorEastAsia" w:hAnsiTheme="minorEastAsia"/>
                        <w:szCs w:val="21"/>
                      </w:rPr>
                    </w:pPr>
                    <w:r>
                      <w:t>1,154,907.30</w:t>
                    </w:r>
                  </w:p>
                </w:tc>
                <w:tc>
                  <w:tcPr>
                    <w:tcW w:w="546" w:type="pct"/>
                  </w:tcPr>
                  <w:p w14:paraId="6F77EEA3" w14:textId="77777777" w:rsidR="00471D53" w:rsidRDefault="004F686E" w:rsidP="00471D53">
                    <w:pPr>
                      <w:jc w:val="right"/>
                      <w:rPr>
                        <w:rFonts w:asciiTheme="minorEastAsia" w:eastAsiaTheme="minorEastAsia" w:hAnsiTheme="minorEastAsia"/>
                        <w:szCs w:val="21"/>
                      </w:rPr>
                    </w:pPr>
                    <w:r>
                      <w:t>0.07</w:t>
                    </w:r>
                  </w:p>
                </w:tc>
                <w:tc>
                  <w:tcPr>
                    <w:tcW w:w="615" w:type="pct"/>
                  </w:tcPr>
                  <w:p w14:paraId="670AE2AA" w14:textId="77777777" w:rsidR="00471D53" w:rsidRDefault="004F686E" w:rsidP="00471D53">
                    <w:pPr>
                      <w:jc w:val="right"/>
                      <w:rPr>
                        <w:rFonts w:asciiTheme="minorEastAsia" w:eastAsiaTheme="minorEastAsia" w:hAnsiTheme="minorEastAsia"/>
                        <w:szCs w:val="21"/>
                      </w:rPr>
                    </w:pPr>
                    <w:r>
                      <w:t>-100.00</w:t>
                    </w:r>
                  </w:p>
                </w:tc>
                <w:tc>
                  <w:tcPr>
                    <w:tcW w:w="1089" w:type="pct"/>
                  </w:tcPr>
                  <w:p w14:paraId="27A692EA" w14:textId="77777777" w:rsidR="00471D53" w:rsidRDefault="004F686E" w:rsidP="00471D53">
                    <w:pPr>
                      <w:rPr>
                        <w:rFonts w:asciiTheme="minorEastAsia" w:eastAsiaTheme="minorEastAsia" w:hAnsiTheme="minorEastAsia"/>
                        <w:szCs w:val="21"/>
                      </w:rPr>
                    </w:pPr>
                    <w:r>
                      <w:t>主要是下属企业享受中小企业扶持政策得到贷款豁免所致</w:t>
                    </w:r>
                  </w:p>
                </w:tc>
              </w:tr>
            </w:sdtContent>
          </w:sdt>
          <w:sdt>
            <w:sdtPr>
              <w:rPr>
                <w:rFonts w:asciiTheme="minorEastAsia" w:eastAsiaTheme="minorEastAsia" w:hAnsiTheme="minorEastAsia" w:cstheme="minorBidi" w:hint="eastAsia"/>
                <w:kern w:val="2"/>
                <w:szCs w:val="21"/>
              </w:rPr>
              <w:alias w:val="资产负债状况分析"/>
              <w:tag w:val="_TUP_5b9451a24cf94bb19fcd924892517ec7"/>
              <w:id w:val="1386599821"/>
              <w:lock w:val="sdtLocked"/>
            </w:sdtPr>
            <w:sdtEndPr/>
            <w:sdtContent>
              <w:tr w:rsidR="00907EF9" w14:paraId="05D8FCD6" w14:textId="77777777" w:rsidTr="00907EF9">
                <w:trPr>
                  <w:trHeight w:val="135"/>
                </w:trPr>
                <w:tc>
                  <w:tcPr>
                    <w:tcW w:w="561" w:type="pct"/>
                  </w:tcPr>
                  <w:p w14:paraId="31CF4D5E" w14:textId="77777777" w:rsidR="00471D53" w:rsidRDefault="004F686E" w:rsidP="00471D53">
                    <w:pPr>
                      <w:rPr>
                        <w:rFonts w:asciiTheme="minorEastAsia" w:eastAsiaTheme="minorEastAsia" w:hAnsiTheme="minorEastAsia"/>
                        <w:szCs w:val="21"/>
                      </w:rPr>
                    </w:pPr>
                    <w:r>
                      <w:t>长期应付款</w:t>
                    </w:r>
                  </w:p>
                </w:tc>
                <w:tc>
                  <w:tcPr>
                    <w:tcW w:w="820" w:type="pct"/>
                  </w:tcPr>
                  <w:p w14:paraId="78D7EF0E" w14:textId="77777777" w:rsidR="00471D53" w:rsidRDefault="004F686E" w:rsidP="00471D53">
                    <w:pPr>
                      <w:jc w:val="right"/>
                      <w:rPr>
                        <w:rFonts w:asciiTheme="minorEastAsia" w:eastAsiaTheme="minorEastAsia" w:hAnsiTheme="minorEastAsia"/>
                        <w:szCs w:val="21"/>
                      </w:rPr>
                    </w:pPr>
                    <w:r>
                      <w:t>7,000,000.00</w:t>
                    </w:r>
                  </w:p>
                </w:tc>
                <w:tc>
                  <w:tcPr>
                    <w:tcW w:w="547" w:type="pct"/>
                  </w:tcPr>
                  <w:p w14:paraId="0EFAD91C" w14:textId="77777777" w:rsidR="00471D53" w:rsidRDefault="004F686E" w:rsidP="00471D53">
                    <w:pPr>
                      <w:jc w:val="right"/>
                      <w:rPr>
                        <w:rFonts w:asciiTheme="minorEastAsia" w:eastAsiaTheme="minorEastAsia" w:hAnsiTheme="minorEastAsia"/>
                        <w:szCs w:val="21"/>
                      </w:rPr>
                    </w:pPr>
                    <w:r>
                      <w:t>0.44</w:t>
                    </w:r>
                  </w:p>
                </w:tc>
                <w:tc>
                  <w:tcPr>
                    <w:tcW w:w="820" w:type="pct"/>
                  </w:tcPr>
                  <w:p w14:paraId="4867C5BD" w14:textId="77777777" w:rsidR="00471D53" w:rsidRDefault="004F686E" w:rsidP="00471D53">
                    <w:pPr>
                      <w:jc w:val="right"/>
                      <w:rPr>
                        <w:rFonts w:asciiTheme="minorEastAsia" w:eastAsiaTheme="minorEastAsia" w:hAnsiTheme="minorEastAsia"/>
                        <w:szCs w:val="21"/>
                      </w:rPr>
                    </w:pPr>
                    <w:r>
                      <w:t>10,000,000.00</w:t>
                    </w:r>
                  </w:p>
                </w:tc>
                <w:tc>
                  <w:tcPr>
                    <w:tcW w:w="546" w:type="pct"/>
                  </w:tcPr>
                  <w:p w14:paraId="5019B0D6" w14:textId="77777777" w:rsidR="00471D53" w:rsidRDefault="004F686E" w:rsidP="00471D53">
                    <w:pPr>
                      <w:jc w:val="right"/>
                      <w:rPr>
                        <w:rFonts w:asciiTheme="minorEastAsia" w:eastAsiaTheme="minorEastAsia" w:hAnsiTheme="minorEastAsia"/>
                        <w:szCs w:val="21"/>
                      </w:rPr>
                    </w:pPr>
                    <w:r>
                      <w:t>0.59</w:t>
                    </w:r>
                  </w:p>
                </w:tc>
                <w:tc>
                  <w:tcPr>
                    <w:tcW w:w="615" w:type="pct"/>
                  </w:tcPr>
                  <w:p w14:paraId="04A1DF08" w14:textId="77777777" w:rsidR="00471D53" w:rsidRDefault="004F686E" w:rsidP="00471D53">
                    <w:pPr>
                      <w:jc w:val="right"/>
                      <w:rPr>
                        <w:rFonts w:asciiTheme="minorEastAsia" w:eastAsiaTheme="minorEastAsia" w:hAnsiTheme="minorEastAsia"/>
                        <w:szCs w:val="21"/>
                      </w:rPr>
                    </w:pPr>
                    <w:r>
                      <w:t>-30.00</w:t>
                    </w:r>
                  </w:p>
                </w:tc>
                <w:tc>
                  <w:tcPr>
                    <w:tcW w:w="1089" w:type="pct"/>
                  </w:tcPr>
                  <w:p w14:paraId="50F5EEDA" w14:textId="77777777" w:rsidR="00471D53" w:rsidRDefault="004F686E" w:rsidP="00471D53">
                    <w:pPr>
                      <w:rPr>
                        <w:rFonts w:asciiTheme="minorEastAsia" w:eastAsiaTheme="minorEastAsia" w:hAnsiTheme="minorEastAsia"/>
                        <w:szCs w:val="21"/>
                      </w:rPr>
                    </w:pPr>
                    <w:r>
                      <w:t>主要是本期支付联营公司认缴出资款所致</w:t>
                    </w:r>
                  </w:p>
                </w:tc>
              </w:tr>
            </w:sdtContent>
          </w:sdt>
          <w:sdt>
            <w:sdtPr>
              <w:rPr>
                <w:rFonts w:asciiTheme="minorEastAsia" w:eastAsiaTheme="minorEastAsia" w:hAnsiTheme="minorEastAsia" w:cstheme="minorBidi" w:hint="eastAsia"/>
                <w:kern w:val="2"/>
                <w:szCs w:val="21"/>
              </w:rPr>
              <w:alias w:val="资产负债状况分析"/>
              <w:tag w:val="_TUP_5b9451a24cf94bb19fcd924892517ec7"/>
              <w:id w:val="-642036967"/>
              <w:lock w:val="sdtLocked"/>
            </w:sdtPr>
            <w:sdtEndPr/>
            <w:sdtContent>
              <w:tr w:rsidR="00907EF9" w14:paraId="283891C1" w14:textId="77777777" w:rsidTr="00907EF9">
                <w:trPr>
                  <w:trHeight w:val="135"/>
                </w:trPr>
                <w:tc>
                  <w:tcPr>
                    <w:tcW w:w="561" w:type="pct"/>
                  </w:tcPr>
                  <w:p w14:paraId="1B1BAFB8" w14:textId="77777777" w:rsidR="00471D53" w:rsidRDefault="004F686E" w:rsidP="00471D53">
                    <w:pPr>
                      <w:rPr>
                        <w:rFonts w:asciiTheme="minorEastAsia" w:eastAsiaTheme="minorEastAsia" w:hAnsiTheme="minorEastAsia"/>
                        <w:szCs w:val="21"/>
                      </w:rPr>
                    </w:pPr>
                    <w:r>
                      <w:t>其他综合收益</w:t>
                    </w:r>
                  </w:p>
                </w:tc>
                <w:tc>
                  <w:tcPr>
                    <w:tcW w:w="820" w:type="pct"/>
                  </w:tcPr>
                  <w:p w14:paraId="1030F0DA" w14:textId="77777777" w:rsidR="00471D53" w:rsidRDefault="004F686E" w:rsidP="00471D53">
                    <w:pPr>
                      <w:jc w:val="right"/>
                      <w:rPr>
                        <w:rFonts w:asciiTheme="minorEastAsia" w:eastAsiaTheme="minorEastAsia" w:hAnsiTheme="minorEastAsia"/>
                        <w:szCs w:val="21"/>
                      </w:rPr>
                    </w:pPr>
                    <w:r>
                      <w:t>-611,447.28</w:t>
                    </w:r>
                  </w:p>
                </w:tc>
                <w:tc>
                  <w:tcPr>
                    <w:tcW w:w="547" w:type="pct"/>
                  </w:tcPr>
                  <w:p w14:paraId="409487DA" w14:textId="77777777" w:rsidR="00471D53" w:rsidRDefault="004F686E" w:rsidP="00471D53">
                    <w:pPr>
                      <w:jc w:val="right"/>
                      <w:rPr>
                        <w:rFonts w:asciiTheme="minorEastAsia" w:eastAsiaTheme="minorEastAsia" w:hAnsiTheme="minorEastAsia"/>
                        <w:szCs w:val="21"/>
                      </w:rPr>
                    </w:pPr>
                    <w:r>
                      <w:t>-0.04</w:t>
                    </w:r>
                  </w:p>
                </w:tc>
                <w:tc>
                  <w:tcPr>
                    <w:tcW w:w="820" w:type="pct"/>
                  </w:tcPr>
                  <w:p w14:paraId="1D2C99ED" w14:textId="77777777" w:rsidR="00471D53" w:rsidRDefault="004F686E" w:rsidP="00471D53">
                    <w:pPr>
                      <w:jc w:val="right"/>
                      <w:rPr>
                        <w:rFonts w:asciiTheme="minorEastAsia" w:eastAsiaTheme="minorEastAsia" w:hAnsiTheme="minorEastAsia"/>
                        <w:szCs w:val="21"/>
                      </w:rPr>
                    </w:pPr>
                    <w:r>
                      <w:t>-325,424.59</w:t>
                    </w:r>
                  </w:p>
                </w:tc>
                <w:tc>
                  <w:tcPr>
                    <w:tcW w:w="546" w:type="pct"/>
                  </w:tcPr>
                  <w:p w14:paraId="5319E9DF" w14:textId="77777777" w:rsidR="00471D53" w:rsidRDefault="004F686E" w:rsidP="00471D53">
                    <w:pPr>
                      <w:jc w:val="right"/>
                      <w:rPr>
                        <w:rFonts w:asciiTheme="minorEastAsia" w:eastAsiaTheme="minorEastAsia" w:hAnsiTheme="minorEastAsia"/>
                        <w:szCs w:val="21"/>
                      </w:rPr>
                    </w:pPr>
                    <w:r>
                      <w:t>-0.02</w:t>
                    </w:r>
                  </w:p>
                </w:tc>
                <w:tc>
                  <w:tcPr>
                    <w:tcW w:w="615" w:type="pct"/>
                  </w:tcPr>
                  <w:p w14:paraId="242DE283" w14:textId="77777777" w:rsidR="00471D53" w:rsidRDefault="004F686E" w:rsidP="00471D53">
                    <w:pPr>
                      <w:jc w:val="right"/>
                      <w:rPr>
                        <w:rFonts w:asciiTheme="minorEastAsia" w:eastAsiaTheme="minorEastAsia" w:hAnsiTheme="minorEastAsia"/>
                        <w:szCs w:val="21"/>
                      </w:rPr>
                    </w:pPr>
                    <w:r>
                      <w:t>87.89</w:t>
                    </w:r>
                  </w:p>
                </w:tc>
                <w:tc>
                  <w:tcPr>
                    <w:tcW w:w="1089" w:type="pct"/>
                  </w:tcPr>
                  <w:p w14:paraId="0F576E8B" w14:textId="77777777" w:rsidR="00471D53" w:rsidRDefault="004F686E" w:rsidP="00471D53">
                    <w:pPr>
                      <w:rPr>
                        <w:rFonts w:asciiTheme="minorEastAsia" w:eastAsiaTheme="minorEastAsia" w:hAnsiTheme="minorEastAsia"/>
                        <w:szCs w:val="21"/>
                      </w:rPr>
                    </w:pPr>
                    <w:r>
                      <w:t>主要是外币报表折算差额影响所致</w:t>
                    </w:r>
                  </w:p>
                </w:tc>
              </w:tr>
            </w:sdtContent>
          </w:sdt>
        </w:tbl>
        <w:p w14:paraId="289FEEFF" w14:textId="77777777" w:rsidR="00471D53" w:rsidRDefault="00B664AF"/>
        <w:p w14:paraId="1AA06F67" w14:textId="77777777" w:rsidR="00471D53" w:rsidRDefault="004F686E">
          <w:pPr>
            <w:rPr>
              <w:szCs w:val="21"/>
            </w:rPr>
          </w:pPr>
          <w:r>
            <w:rPr>
              <w:rFonts w:hint="eastAsia"/>
              <w:szCs w:val="21"/>
            </w:rPr>
            <w:t>其他说明</w:t>
          </w:r>
        </w:p>
        <w:sdt>
          <w:sdtPr>
            <w:rPr>
              <w:rFonts w:hint="eastAsia"/>
              <w:szCs w:val="21"/>
            </w:rPr>
            <w:alias w:val="资产及负债状况的其他说明"/>
            <w:tag w:val="_GBC_cb3eda90e3e24589a444c633ca113f7e"/>
            <w:id w:val="1134290830"/>
            <w:lock w:val="sdtLocked"/>
          </w:sdtPr>
          <w:sdtEndPr/>
          <w:sdtContent>
            <w:p w14:paraId="17DE6FD4" w14:textId="77777777" w:rsidR="00471D53" w:rsidRDefault="004F686E">
              <w:pPr>
                <w:rPr>
                  <w:szCs w:val="21"/>
                </w:rPr>
              </w:pPr>
              <w:r>
                <w:rPr>
                  <w:rFonts w:hint="eastAsia"/>
                  <w:szCs w:val="21"/>
                </w:rPr>
                <w:t>无</w:t>
              </w:r>
            </w:p>
          </w:sdtContent>
        </w:sdt>
      </w:sdtContent>
    </w:sdt>
    <w:bookmarkEnd w:id="32" w:displacedByCustomXml="prev"/>
    <w:p w14:paraId="332E1ABD" w14:textId="77777777" w:rsidR="00471D53" w:rsidRDefault="00B664AF">
      <w:pPr>
        <w:rPr>
          <w:szCs w:val="21"/>
        </w:rPr>
      </w:pPr>
    </w:p>
    <w:p w14:paraId="0AC48ED8" w14:textId="77777777" w:rsidR="00471D53" w:rsidRPr="00106D9C" w:rsidRDefault="004F686E" w:rsidP="004F686E">
      <w:pPr>
        <w:pStyle w:val="afffff8"/>
        <w:numPr>
          <w:ilvl w:val="0"/>
          <w:numId w:val="10"/>
        </w:numPr>
        <w:ind w:left="0" w:firstLine="0"/>
        <w:rPr>
          <w:rFonts w:ascii="宋体" w:hAnsi="宋体"/>
          <w:szCs w:val="21"/>
        </w:rPr>
      </w:pPr>
      <w:r w:rsidRPr="00106D9C">
        <w:rPr>
          <w:rFonts w:ascii="宋体" w:hAnsi="宋体" w:hint="eastAsia"/>
          <w:szCs w:val="21"/>
        </w:rPr>
        <w:lastRenderedPageBreak/>
        <w:t>境外资产</w:t>
      </w:r>
      <w:r w:rsidRPr="00106D9C">
        <w:rPr>
          <w:rFonts w:ascii="宋体" w:hAnsi="宋体"/>
          <w:szCs w:val="21"/>
        </w:rPr>
        <w:t>情</w:t>
      </w:r>
      <w:r w:rsidRPr="00106D9C">
        <w:rPr>
          <w:rFonts w:ascii="宋体" w:hAnsi="宋体" w:hint="eastAsia"/>
          <w:szCs w:val="21"/>
        </w:rPr>
        <w:t>况</w:t>
      </w:r>
    </w:p>
    <w:sdt>
      <w:sdtPr>
        <w:rPr>
          <w:szCs w:val="21"/>
        </w:rPr>
        <w:alias w:val="是否适用：境外资产情况 [双击切换]"/>
        <w:tag w:val="_GBC_95d71e9a9dcd4966863ba2859a3bf0b7"/>
        <w:id w:val="-1245803196"/>
        <w:lock w:val="sdtLocked"/>
        <w:placeholder>
          <w:docPart w:val="GBC22222222222222222222222222222"/>
        </w:placeholder>
      </w:sdtPr>
      <w:sdtEndPr/>
      <w:sdtContent>
        <w:p w14:paraId="31A8A134" w14:textId="77777777" w:rsidR="00471D53" w:rsidRDefault="004F686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bookmarkStart w:id="33" w:name="_Hlk74646369" w:displacedByCustomXml="next"/>
    <w:sdt>
      <w:sdtPr>
        <w:rPr>
          <w:rFonts w:ascii="宋体" w:hAnsi="宋体" w:cs="宋体" w:hint="eastAsia"/>
          <w:b w:val="0"/>
          <w:bCs w:val="0"/>
          <w:kern w:val="0"/>
          <w:szCs w:val="21"/>
        </w:rPr>
        <w:alias w:val="模块:"/>
        <w:tag w:val="_SEC_7f2308a9bb284441948806ea6c09c608"/>
        <w:id w:val="669220445"/>
        <w:lock w:val="sdtLocked"/>
        <w:placeholder>
          <w:docPart w:val="GBC22222222222222222222222222222"/>
        </w:placeholder>
      </w:sdtPr>
      <w:sdtEndPr/>
      <w:sdtContent>
        <w:p w14:paraId="2D4F6114" w14:textId="77777777" w:rsidR="00471D53" w:rsidRDefault="004F686E" w:rsidP="004F686E">
          <w:pPr>
            <w:pStyle w:val="afffff9"/>
            <w:numPr>
              <w:ilvl w:val="0"/>
              <w:numId w:val="11"/>
            </w:numPr>
            <w:ind w:left="450" w:hanging="450"/>
            <w:rPr>
              <w:rFonts w:ascii="宋体" w:hAnsi="宋体"/>
              <w:szCs w:val="21"/>
            </w:rPr>
          </w:pPr>
          <w:r>
            <w:rPr>
              <w:rFonts w:ascii="宋体" w:hAnsi="宋体" w:hint="eastAsia"/>
              <w:szCs w:val="21"/>
            </w:rPr>
            <w:t>资产规模</w:t>
          </w:r>
        </w:p>
        <w:p w14:paraId="594C120F" w14:textId="015C0CBA" w:rsidR="00471D53" w:rsidRDefault="004F686E">
          <w:pPr>
            <w:rPr>
              <w:szCs w:val="21"/>
            </w:rPr>
          </w:pPr>
          <w:r>
            <w:rPr>
              <w:rFonts w:hint="eastAsia"/>
              <w:szCs w:val="21"/>
            </w:rPr>
            <w:t>其中：境外资产</w:t>
          </w:r>
          <w:sdt>
            <w:sdtPr>
              <w:rPr>
                <w:rFonts w:hint="eastAsia"/>
                <w:szCs w:val="21"/>
              </w:rPr>
              <w:alias w:val="报告期内公司境外资产变化"/>
              <w:tag w:val="_GBC_7edcbeb27a8a4dc89717cd882c719546"/>
              <w:id w:val="-703171533"/>
              <w:lock w:val="sdtLocked"/>
              <w:placeholder>
                <w:docPart w:val="GBC22222222222222222222222222222"/>
              </w:placeholder>
            </w:sdtPr>
            <w:sdtEndPr>
              <w:rPr>
                <w:szCs w:val="24"/>
              </w:rPr>
            </w:sdtEndPr>
            <w:sdtContent>
              <w:r w:rsidRPr="0002518B">
                <w:rPr>
                  <w:szCs w:val="21"/>
                </w:rPr>
                <w:t>183,004,161.45</w:t>
              </w:r>
            </w:sdtContent>
          </w:sdt>
          <w:r>
            <w:rPr>
              <w:rFonts w:hint="eastAsia"/>
              <w:szCs w:val="21"/>
            </w:rPr>
            <w:t>（单位：</w:t>
          </w:r>
          <w:sdt>
            <w:sdtPr>
              <w:rPr>
                <w:rFonts w:hint="eastAsia"/>
                <w:szCs w:val="21"/>
              </w:rPr>
              <w:alias w:val="单位：报告期内公司境外资产变化"/>
              <w:tag w:val="_GBC_5372243019964ba2af35a9061c614f89"/>
              <w:id w:val="7495539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报告期内公司境外资产变化"/>
              <w:tag w:val="_GBC_09b61176994d443a8e1c524c6afd9c93"/>
              <w:id w:val="-7962982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r>
            <w:rPr>
              <w:rFonts w:hint="eastAsia"/>
              <w:szCs w:val="21"/>
            </w:rPr>
            <w:t>），占总资产的比例为</w:t>
          </w:r>
          <w:sdt>
            <w:sdtPr>
              <w:rPr>
                <w:rFonts w:hint="eastAsia"/>
                <w:szCs w:val="21"/>
              </w:rPr>
              <w:alias w:val="报告期内公司境外资产变化占总资产的比例"/>
              <w:tag w:val="_GBC_c83f06156a574d209e05b2246741ffae"/>
              <w:id w:val="1405570430"/>
              <w:lock w:val="sdtLocked"/>
              <w:placeholder>
                <w:docPart w:val="GBC22222222222222222222222222222"/>
              </w:placeholder>
            </w:sdtPr>
            <w:sdtEndPr>
              <w:rPr>
                <w:szCs w:val="24"/>
              </w:rPr>
            </w:sdtEndPr>
            <w:sdtContent>
              <w:r>
                <w:rPr>
                  <w:rFonts w:hint="eastAsia"/>
                  <w:szCs w:val="21"/>
                </w:rPr>
                <w:t>11.55</w:t>
              </w:r>
            </w:sdtContent>
          </w:sdt>
          <w:r>
            <w:rPr>
              <w:rFonts w:hint="eastAsia"/>
              <w:szCs w:val="21"/>
            </w:rPr>
            <w:t>%。</w:t>
          </w:r>
        </w:p>
        <w:p w14:paraId="6F71062F" w14:textId="77777777" w:rsidR="00471D53" w:rsidRDefault="00B664AF">
          <w:pPr>
            <w:rPr>
              <w:szCs w:val="21"/>
            </w:rPr>
          </w:pPr>
        </w:p>
      </w:sdtContent>
    </w:sdt>
    <w:bookmarkEnd w:id="33" w:displacedByCustomXml="prev"/>
    <w:sdt>
      <w:sdtPr>
        <w:rPr>
          <w:rFonts w:ascii="宋体" w:hAnsi="宋体" w:cs="宋体" w:hint="eastAsia"/>
          <w:b w:val="0"/>
          <w:bCs w:val="0"/>
          <w:kern w:val="0"/>
          <w:szCs w:val="21"/>
        </w:rPr>
        <w:alias w:val="模块:境外资产相关说明  ____"/>
        <w:tag w:val="_SEC_c10c2b9d803e41e382e61ceacfe44d03"/>
        <w:id w:val="1339343263"/>
        <w:lock w:val="sdtLocked"/>
        <w:placeholder>
          <w:docPart w:val="GBC22222222222222222222222222222"/>
        </w:placeholder>
      </w:sdtPr>
      <w:sdtEndPr>
        <w:rPr>
          <w:color w:val="000000" w:themeColor="text1"/>
          <w:szCs w:val="24"/>
        </w:rPr>
      </w:sdtEndPr>
      <w:sdtContent>
        <w:p w14:paraId="1BDEEC6E" w14:textId="77777777" w:rsidR="00471D53" w:rsidRPr="003A45AE" w:rsidRDefault="004F686E" w:rsidP="004F686E">
          <w:pPr>
            <w:pStyle w:val="afffff9"/>
            <w:numPr>
              <w:ilvl w:val="0"/>
              <w:numId w:val="11"/>
            </w:numPr>
            <w:ind w:left="450" w:hanging="450"/>
            <w:rPr>
              <w:rFonts w:ascii="宋体" w:hAnsi="宋体"/>
              <w:szCs w:val="21"/>
            </w:rPr>
          </w:pPr>
          <w:r w:rsidRPr="003A45AE">
            <w:rPr>
              <w:rFonts w:ascii="宋体" w:hAnsi="宋体" w:hint="eastAsia"/>
              <w:szCs w:val="21"/>
            </w:rPr>
            <w:t>境外资产相关说明</w:t>
          </w:r>
        </w:p>
        <w:sdt>
          <w:sdtPr>
            <w:rPr>
              <w:color w:val="000000" w:themeColor="text1"/>
              <w:szCs w:val="21"/>
            </w:rPr>
            <w:alias w:val="是否适用：境外资产相关说明 [双击切换]"/>
            <w:tag w:val="_GBC_c53c446d7e72415fad4a28be09ecb0bc"/>
            <w:id w:val="159135615"/>
            <w:lock w:val="sdtLocked"/>
            <w:placeholder>
              <w:docPart w:val="GBC22222222222222222222222222222"/>
            </w:placeholder>
          </w:sdtPr>
          <w:sdtEndPr/>
          <w:sdtContent>
            <w:p w14:paraId="5220F494" w14:textId="77777777" w:rsidR="00471D53" w:rsidRDefault="004F686E" w:rsidP="00471D53">
              <w:pPr>
                <w:rPr>
                  <w:color w:val="000000" w:themeColor="text1"/>
                </w:rPr>
              </w:pPr>
              <w:r>
                <w:rPr>
                  <w:color w:val="000000" w:themeColor="text1"/>
                  <w:szCs w:val="21"/>
                </w:rPr>
                <w:fldChar w:fldCharType="begin"/>
              </w:r>
              <w:r>
                <w:rPr>
                  <w:color w:val="000000" w:themeColor="text1"/>
                  <w:szCs w:val="21"/>
                </w:rPr>
                <w:instrText xml:space="preserve"> MACROBUTTON  SnrToggleCheckbox □适用 </w:instrText>
              </w:r>
              <w:r>
                <w:rPr>
                  <w:color w:val="000000" w:themeColor="text1"/>
                  <w:szCs w:val="21"/>
                </w:rPr>
                <w:fldChar w:fldCharType="end"/>
              </w:r>
              <w:r>
                <w:rPr>
                  <w:color w:val="000000" w:themeColor="text1"/>
                  <w:szCs w:val="21"/>
                </w:rPr>
                <w:fldChar w:fldCharType="begin"/>
              </w:r>
              <w:r>
                <w:rPr>
                  <w:color w:val="000000" w:themeColor="text1"/>
                  <w:szCs w:val="21"/>
                </w:rPr>
                <w:instrText xml:space="preserve"> MACROBUTTON  SnrToggleCheckbox √不适用 </w:instrText>
              </w:r>
              <w:r>
                <w:rPr>
                  <w:color w:val="000000" w:themeColor="text1"/>
                  <w:szCs w:val="21"/>
                </w:rPr>
                <w:fldChar w:fldCharType="end"/>
              </w:r>
            </w:p>
          </w:sdtContent>
        </w:sdt>
      </w:sdtContent>
    </w:sdt>
    <w:p w14:paraId="09980E48" w14:textId="77777777" w:rsidR="00471D53" w:rsidRDefault="00B664AF">
      <w:pPr>
        <w:rPr>
          <w:szCs w:val="21"/>
        </w:rPr>
      </w:pPr>
    </w:p>
    <w:sdt>
      <w:sdtPr>
        <w:rPr>
          <w:rFonts w:ascii="宋体" w:hAnsi="宋体" w:cs="宋体"/>
          <w:b w:val="0"/>
          <w:bCs w:val="0"/>
          <w:kern w:val="0"/>
          <w:szCs w:val="21"/>
        </w:rPr>
        <w:alias w:val="模块:截至报告期末主要资产受限情"/>
        <w:tag w:val="_SEC_390cddc4349f46b4bcccd468c3e69d14"/>
        <w:id w:val="-89848827"/>
        <w:lock w:val="sdtLocked"/>
        <w:placeholder>
          <w:docPart w:val="GBC22222222222222222222222222222"/>
        </w:placeholder>
      </w:sdtPr>
      <w:sdtEndPr>
        <w:rPr>
          <w:rFonts w:hint="eastAsia"/>
          <w:color w:val="000000" w:themeColor="text1"/>
        </w:rPr>
      </w:sdtEndPr>
      <w:sdtContent>
        <w:p w14:paraId="29689907" w14:textId="77777777" w:rsidR="00471D53" w:rsidRDefault="004F686E" w:rsidP="004F686E">
          <w:pPr>
            <w:pStyle w:val="afffff8"/>
            <w:numPr>
              <w:ilvl w:val="0"/>
              <w:numId w:val="10"/>
            </w:numPr>
            <w:rPr>
              <w:rFonts w:ascii="宋体" w:hAnsi="宋体"/>
              <w:szCs w:val="21"/>
            </w:rPr>
          </w:pPr>
          <w:r>
            <w:rPr>
              <w:rFonts w:ascii="宋体" w:hAnsi="宋体"/>
              <w:szCs w:val="21"/>
            </w:rPr>
            <w:t>截至报告期末主要资产受限情</w:t>
          </w:r>
          <w:r>
            <w:rPr>
              <w:rFonts w:ascii="宋体" w:hAnsi="宋体" w:hint="eastAsia"/>
              <w:szCs w:val="21"/>
            </w:rPr>
            <w:t>况</w:t>
          </w:r>
        </w:p>
        <w:sdt>
          <w:sdtPr>
            <w:rPr>
              <w:rFonts w:hint="eastAsia"/>
              <w:color w:val="000000" w:themeColor="text1"/>
              <w:szCs w:val="21"/>
            </w:rPr>
            <w:alias w:val="是否适用：主要资产受限情况[双击切换]"/>
            <w:tag w:val="_GBC_e9f1a2b3f13345eaac848c40837fffbb"/>
            <w:id w:val="1564133513"/>
            <w:lock w:val="sdtLocked"/>
            <w:placeholder>
              <w:docPart w:val="GBC22222222222222222222222222222"/>
            </w:placeholder>
          </w:sdtPr>
          <w:sdtEndPr/>
          <w:sdtContent>
            <w:p w14:paraId="2CC37637" w14:textId="77777777" w:rsidR="00471D53" w:rsidRDefault="004F686E">
              <w:pPr>
                <w:rPr>
                  <w:color w:val="000000" w:themeColor="text1"/>
                  <w:szCs w:val="21"/>
                </w:rPr>
              </w:pPr>
              <w:r>
                <w:rPr>
                  <w:color w:val="000000" w:themeColor="text1"/>
                  <w:szCs w:val="21"/>
                </w:rPr>
                <w:fldChar w:fldCharType="begin"/>
              </w:r>
              <w:r>
                <w:rPr>
                  <w:color w:val="000000" w:themeColor="text1"/>
                  <w:szCs w:val="21"/>
                </w:rPr>
                <w:instrText xml:space="preserve"> MACROBUTTON  SnrToggleCheckbox √适用 </w:instrText>
              </w:r>
              <w:r>
                <w:rPr>
                  <w:color w:val="000000" w:themeColor="text1"/>
                  <w:szCs w:val="21"/>
                </w:rPr>
                <w:fldChar w:fldCharType="end"/>
              </w:r>
              <w:r>
                <w:rPr>
                  <w:color w:val="000000" w:themeColor="text1"/>
                  <w:szCs w:val="21"/>
                </w:rPr>
                <w:fldChar w:fldCharType="begin"/>
              </w:r>
              <w:r>
                <w:rPr>
                  <w:color w:val="000000" w:themeColor="text1"/>
                  <w:szCs w:val="21"/>
                </w:rPr>
                <w:instrText xml:space="preserve"> MACROBUTTON  SnrToggleCheckbox □不适用 </w:instrText>
              </w:r>
              <w:r>
                <w:rPr>
                  <w:color w:val="000000" w:themeColor="text1"/>
                  <w:szCs w:val="21"/>
                </w:rPr>
                <w:fldChar w:fldCharType="end"/>
              </w:r>
            </w:p>
          </w:sdtContent>
        </w:sdt>
        <w:sdt>
          <w:sdtPr>
            <w:rPr>
              <w:color w:val="000000" w:themeColor="text1"/>
              <w:szCs w:val="21"/>
            </w:rPr>
            <w:alias w:val="主要资产受限情况"/>
            <w:tag w:val="_GBC_a45de9537ca94b758cc1d9c201a60b53"/>
            <w:id w:val="-1650972104"/>
            <w:lock w:val="sdtLocked"/>
            <w:placeholder>
              <w:docPart w:val="GBC22222222222222222222222222222"/>
            </w:placeholder>
          </w:sdtPr>
          <w:sdtEndPr/>
          <w:sdtContent>
            <w:p w14:paraId="54979686" w14:textId="77777777" w:rsidR="00471D53" w:rsidRDefault="00B664AF">
              <w:pPr>
                <w:rPr>
                  <w:color w:val="000000" w:themeColor="text1"/>
                  <w:szCs w:val="21"/>
                </w:rPr>
              </w:pPr>
            </w:p>
            <w:tbl>
              <w:tblPr>
                <w:tblStyle w:val="g4"/>
                <w:tblW w:w="5000" w:type="pct"/>
                <w:jc w:val="center"/>
                <w:tblBorders>
                  <w:top w:val="double" w:sz="4" w:space="0" w:color="auto"/>
                  <w:bottom w:val="double" w:sz="4" w:space="0" w:color="auto"/>
                  <w:insideH w:val="single" w:sz="2" w:space="0" w:color="auto"/>
                  <w:insideV w:val="single" w:sz="2" w:space="0" w:color="auto"/>
                </w:tblBorders>
                <w:tblLook w:val="0000" w:firstRow="0" w:lastRow="0" w:firstColumn="0" w:lastColumn="0" w:noHBand="0" w:noVBand="0"/>
              </w:tblPr>
              <w:tblGrid>
                <w:gridCol w:w="1580"/>
                <w:gridCol w:w="1784"/>
                <w:gridCol w:w="5469"/>
              </w:tblGrid>
              <w:tr w:rsidR="00471D53" w14:paraId="00D2EEC1" w14:textId="77777777" w:rsidTr="00471D53">
                <w:trPr>
                  <w:trHeight w:val="340"/>
                  <w:tblHeader/>
                  <w:jc w:val="center"/>
                </w:trPr>
                <w:tc>
                  <w:tcPr>
                    <w:tcW w:w="894" w:type="pct"/>
                    <w:vAlign w:val="center"/>
                  </w:tcPr>
                  <w:p w14:paraId="56766B3E" w14:textId="77777777" w:rsidR="00471D53" w:rsidRDefault="004F686E" w:rsidP="00471D53">
                    <w:pPr>
                      <w:rPr>
                        <w:b/>
                        <w:sz w:val="22"/>
                        <w:szCs w:val="22"/>
                      </w:rPr>
                    </w:pPr>
                    <w:r>
                      <w:rPr>
                        <w:rFonts w:hint="eastAsia"/>
                        <w:b/>
                        <w:sz w:val="22"/>
                        <w:szCs w:val="22"/>
                      </w:rPr>
                      <w:t>项目</w:t>
                    </w:r>
                  </w:p>
                </w:tc>
                <w:tc>
                  <w:tcPr>
                    <w:tcW w:w="1010" w:type="pct"/>
                    <w:vAlign w:val="center"/>
                  </w:tcPr>
                  <w:p w14:paraId="17FD1E31" w14:textId="77777777" w:rsidR="00471D53" w:rsidRDefault="004F686E" w:rsidP="00471D53">
                    <w:pPr>
                      <w:autoSpaceDE w:val="0"/>
                      <w:autoSpaceDN w:val="0"/>
                      <w:jc w:val="center"/>
                      <w:rPr>
                        <w:b/>
                        <w:sz w:val="22"/>
                        <w:szCs w:val="22"/>
                      </w:rPr>
                    </w:pPr>
                    <w:r>
                      <w:rPr>
                        <w:rFonts w:hint="eastAsia"/>
                        <w:b/>
                        <w:sz w:val="22"/>
                        <w:szCs w:val="22"/>
                      </w:rPr>
                      <w:t>期末账面价值</w:t>
                    </w:r>
                  </w:p>
                </w:tc>
                <w:tc>
                  <w:tcPr>
                    <w:tcW w:w="3096" w:type="pct"/>
                    <w:vAlign w:val="center"/>
                  </w:tcPr>
                  <w:p w14:paraId="647BEA28" w14:textId="77777777" w:rsidR="00471D53" w:rsidRDefault="004F686E" w:rsidP="00471D53">
                    <w:pPr>
                      <w:kinsoku w:val="0"/>
                      <w:overflowPunct w:val="0"/>
                      <w:autoSpaceDE w:val="0"/>
                      <w:autoSpaceDN w:val="0"/>
                      <w:jc w:val="center"/>
                      <w:rPr>
                        <w:b/>
                        <w:sz w:val="22"/>
                        <w:szCs w:val="22"/>
                      </w:rPr>
                    </w:pPr>
                    <w:r>
                      <w:rPr>
                        <w:rFonts w:hint="eastAsia"/>
                        <w:b/>
                        <w:sz w:val="22"/>
                        <w:szCs w:val="22"/>
                      </w:rPr>
                      <w:t>受限原因</w:t>
                    </w:r>
                  </w:p>
                </w:tc>
              </w:tr>
              <w:tr w:rsidR="00471D53" w14:paraId="12516FD7" w14:textId="77777777" w:rsidTr="00471D53">
                <w:trPr>
                  <w:trHeight w:val="340"/>
                  <w:jc w:val="center"/>
                </w:trPr>
                <w:tc>
                  <w:tcPr>
                    <w:tcW w:w="894" w:type="pct"/>
                    <w:vAlign w:val="center"/>
                  </w:tcPr>
                  <w:p w14:paraId="371E1D02" w14:textId="77777777" w:rsidR="00471D53" w:rsidRDefault="004F686E" w:rsidP="00471D53">
                    <w:pPr>
                      <w:rPr>
                        <w:sz w:val="22"/>
                        <w:szCs w:val="22"/>
                      </w:rPr>
                    </w:pPr>
                    <w:r>
                      <w:rPr>
                        <w:rFonts w:hint="eastAsia"/>
                        <w:sz w:val="22"/>
                        <w:szCs w:val="22"/>
                      </w:rPr>
                      <w:t>货币资金</w:t>
                    </w:r>
                  </w:p>
                </w:tc>
                <w:tc>
                  <w:tcPr>
                    <w:tcW w:w="1010" w:type="pct"/>
                    <w:vAlign w:val="center"/>
                  </w:tcPr>
                  <w:p w14:paraId="194BA6BA" w14:textId="77777777" w:rsidR="00471D53" w:rsidRDefault="004F686E" w:rsidP="00471D53">
                    <w:pPr>
                      <w:jc w:val="right"/>
                      <w:rPr>
                        <w:sz w:val="22"/>
                        <w:szCs w:val="22"/>
                      </w:rPr>
                    </w:pPr>
                    <w:r w:rsidRPr="007E73F4">
                      <w:rPr>
                        <w:sz w:val="22"/>
                        <w:szCs w:val="22"/>
                      </w:rPr>
                      <w:t>15,350,166.73</w:t>
                    </w:r>
                  </w:p>
                </w:tc>
                <w:tc>
                  <w:tcPr>
                    <w:tcW w:w="3096" w:type="pct"/>
                    <w:vAlign w:val="center"/>
                  </w:tcPr>
                  <w:p w14:paraId="0647FA13" w14:textId="77777777" w:rsidR="00471D53" w:rsidRDefault="004F686E" w:rsidP="00471D53">
                    <w:pPr>
                      <w:jc w:val="center"/>
                      <w:rPr>
                        <w:sz w:val="22"/>
                        <w:szCs w:val="22"/>
                      </w:rPr>
                    </w:pPr>
                    <w:r>
                      <w:rPr>
                        <w:rFonts w:hint="eastAsia"/>
                        <w:sz w:val="22"/>
                        <w:szCs w:val="22"/>
                      </w:rPr>
                      <w:t>银行承兑汇票保证金、保函保证金、诉讼冻结</w:t>
                    </w:r>
                  </w:p>
                </w:tc>
              </w:tr>
            </w:tbl>
            <w:p w14:paraId="593C42C7" w14:textId="77777777" w:rsidR="00471D53" w:rsidRDefault="00B664AF">
              <w:pPr>
                <w:rPr>
                  <w:color w:val="000000" w:themeColor="text1"/>
                  <w:szCs w:val="21"/>
                </w:rPr>
              </w:pPr>
            </w:p>
          </w:sdtContent>
        </w:sdt>
      </w:sdtContent>
    </w:sdt>
    <w:p w14:paraId="5B025D99" w14:textId="77777777" w:rsidR="00471D53" w:rsidRDefault="00B664AF">
      <w:pPr>
        <w:rPr>
          <w:color w:val="000000" w:themeColor="text1"/>
          <w:szCs w:val="21"/>
        </w:rPr>
      </w:pPr>
    </w:p>
    <w:sdt>
      <w:sdtPr>
        <w:rPr>
          <w:rFonts w:ascii="宋体" w:hAnsi="宋体" w:cs="宋体"/>
          <w:b w:val="0"/>
          <w:bCs w:val="0"/>
          <w:kern w:val="0"/>
          <w:szCs w:val="21"/>
        </w:rPr>
        <w:alias w:val="模块:其他说明"/>
        <w:tag w:val="_SEC_a3069c29080242b4a4de48db80a4164e"/>
        <w:id w:val="-2030712329"/>
        <w:lock w:val="sdtLocked"/>
        <w:placeholder>
          <w:docPart w:val="GBC22222222222222222222222222222"/>
        </w:placeholder>
      </w:sdtPr>
      <w:sdtEndPr>
        <w:rPr>
          <w:rFonts w:hint="eastAsia"/>
        </w:rPr>
      </w:sdtEndPr>
      <w:sdtContent>
        <w:p w14:paraId="04CD8DA7" w14:textId="77777777" w:rsidR="00471D53" w:rsidRDefault="004F686E" w:rsidP="004F686E">
          <w:pPr>
            <w:pStyle w:val="afffff8"/>
            <w:numPr>
              <w:ilvl w:val="0"/>
              <w:numId w:val="10"/>
            </w:numPr>
            <w:rPr>
              <w:rFonts w:ascii="宋体" w:hAnsi="宋体"/>
              <w:szCs w:val="21"/>
            </w:rPr>
          </w:pPr>
          <w:r>
            <w:rPr>
              <w:rFonts w:ascii="宋体" w:hAnsi="宋体"/>
              <w:szCs w:val="21"/>
            </w:rPr>
            <w:t>其他说明</w:t>
          </w:r>
        </w:p>
        <w:sdt>
          <w:sdtPr>
            <w:rPr>
              <w:rFonts w:hint="eastAsia"/>
              <w:szCs w:val="21"/>
            </w:rPr>
            <w:alias w:val="是否适用：资产及负债状况的其他说明[双击切换]"/>
            <w:tag w:val="_GBC_ba674147d80648fba521aedf33ce0b27"/>
            <w:id w:val="-2139861498"/>
            <w:lock w:val="sdtLocked"/>
            <w:placeholder>
              <w:docPart w:val="GBC22222222222222222222222222222"/>
            </w:placeholder>
          </w:sdtPr>
          <w:sdtEndPr/>
          <w:sdtContent>
            <w:p w14:paraId="5CBFF5B1" w14:textId="77777777" w:rsidR="00471D53" w:rsidRDefault="004F686E" w:rsidP="00471D5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14:paraId="775A1D13" w14:textId="77777777" w:rsidR="00471D53" w:rsidRDefault="00B664AF"/>
    <w:p w14:paraId="19A425E3" w14:textId="77777777" w:rsidR="007F1C2B" w:rsidRDefault="004F686E" w:rsidP="004F686E">
      <w:pPr>
        <w:pStyle w:val="3"/>
        <w:numPr>
          <w:ilvl w:val="0"/>
          <w:numId w:val="8"/>
        </w:numPr>
        <w:rPr>
          <w:rFonts w:ascii="宋体" w:hAnsi="宋体"/>
        </w:rPr>
      </w:pPr>
      <w:r>
        <w:rPr>
          <w:rFonts w:ascii="宋体" w:hAnsi="宋体" w:hint="eastAsia"/>
        </w:rPr>
        <w:t>投资状况分析</w:t>
      </w:r>
    </w:p>
    <w:sdt>
      <w:sdtPr>
        <w:rPr>
          <w:rFonts w:ascii="宋体" w:hAnsi="宋体" w:cs="宋体"/>
          <w:b w:val="0"/>
          <w:bCs w:val="0"/>
          <w:kern w:val="0"/>
          <w:szCs w:val="24"/>
        </w:rPr>
        <w:alias w:val="模块:对外股权投资总体分析"/>
        <w:tag w:val="_SEC_e7a08c655c9844a8b5127e2ae800064c"/>
        <w:id w:val="1873575827"/>
        <w:lock w:val="sdtLocked"/>
        <w:placeholder>
          <w:docPart w:val="GBC22222222222222222222222222222"/>
        </w:placeholder>
      </w:sdtPr>
      <w:sdtEndPr>
        <w:rPr>
          <w:rFonts w:hint="eastAsia"/>
        </w:rPr>
      </w:sdtEndPr>
      <w:sdtContent>
        <w:p w14:paraId="75F6D907" w14:textId="56EABBBA" w:rsidR="007F1C2B" w:rsidRDefault="004F686E" w:rsidP="004F686E">
          <w:pPr>
            <w:pStyle w:val="4"/>
            <w:numPr>
              <w:ilvl w:val="0"/>
              <w:numId w:val="12"/>
            </w:numPr>
            <w:rPr>
              <w:rFonts w:ascii="宋体" w:hAnsi="宋体"/>
            </w:rPr>
          </w:pPr>
          <w:r>
            <w:rPr>
              <w:rFonts w:ascii="宋体" w:hAnsi="宋体"/>
            </w:rPr>
            <w:t>对外股权投资总体分析</w:t>
          </w:r>
        </w:p>
        <w:p w14:paraId="68B0F9D2" w14:textId="2BA63800" w:rsidR="007F1C2B" w:rsidRDefault="00B664AF" w:rsidP="00F37B6D">
          <w:sdt>
            <w:sdtPr>
              <w:alias w:val="是否适用：对外股权投资总体分析[双击切换]"/>
              <w:tag w:val="_GBC_d1852fb41d2a420f9f1d78c35235341a"/>
              <w:id w:val="1809820823"/>
              <w:lock w:val="sdtLocked"/>
              <w:placeholder>
                <w:docPart w:val="GBC22222222222222222222222222222"/>
              </w:placeholder>
            </w:sdtPr>
            <w:sdtEndPr/>
            <w:sdtContent>
              <w:r w:rsidR="004F686E">
                <w:fldChar w:fldCharType="begin"/>
              </w:r>
              <w:r w:rsidR="004F686E">
                <w:instrText xml:space="preserve"> MACROBUTTON  SnrToggleCheckbox □适用 </w:instrText>
              </w:r>
              <w:r w:rsidR="004F686E">
                <w:fldChar w:fldCharType="end"/>
              </w:r>
              <w:r w:rsidR="004F686E">
                <w:fldChar w:fldCharType="begin"/>
              </w:r>
              <w:r w:rsidR="004F686E">
                <w:instrText xml:space="preserve"> MACROBUTTON  SnrToggleCheckbox √不适用 </w:instrText>
              </w:r>
              <w:r w:rsidR="004F686E">
                <w:fldChar w:fldCharType="end"/>
              </w:r>
            </w:sdtContent>
          </w:sdt>
        </w:p>
        <w:p w14:paraId="686CD058" w14:textId="77777777" w:rsidR="007F1C2B" w:rsidRDefault="00B664AF"/>
      </w:sdtContent>
    </w:sdt>
    <w:sdt>
      <w:sdtPr>
        <w:rPr>
          <w:rFonts w:ascii="宋体" w:hAnsi="宋体" w:cs="宋体" w:hint="eastAsia"/>
          <w:b w:val="0"/>
          <w:bCs w:val="0"/>
          <w:kern w:val="0"/>
          <w:szCs w:val="21"/>
        </w:rPr>
        <w:alias w:val="模块:重大的股权投资"/>
        <w:tag w:val="_SEC_72e4a7e3254a45e8898d094084d31b27"/>
        <w:id w:val="510187818"/>
        <w:lock w:val="sdtLocked"/>
        <w:placeholder>
          <w:docPart w:val="GBC22222222222222222222222222222"/>
        </w:placeholder>
      </w:sdtPr>
      <w:sdtEndPr>
        <w:rPr>
          <w:szCs w:val="24"/>
        </w:rPr>
      </w:sdtEndPr>
      <w:sdtContent>
        <w:p w14:paraId="31819EC1" w14:textId="77777777" w:rsidR="007F1C2B" w:rsidRDefault="004F686E" w:rsidP="004F686E">
          <w:pPr>
            <w:pStyle w:val="5"/>
            <w:numPr>
              <w:ilvl w:val="0"/>
              <w:numId w:val="13"/>
            </w:numPr>
            <w:rPr>
              <w:rFonts w:ascii="宋体" w:hAnsi="宋体"/>
              <w:szCs w:val="21"/>
            </w:rPr>
          </w:pPr>
          <w:r>
            <w:rPr>
              <w:rFonts w:ascii="宋体" w:hAnsi="宋体" w:hint="eastAsia"/>
              <w:szCs w:val="21"/>
            </w:rPr>
            <w:t>重大的股权投资</w:t>
          </w:r>
        </w:p>
        <w:sdt>
          <w:sdtPr>
            <w:rPr>
              <w:rFonts w:hint="eastAsia"/>
            </w:rPr>
            <w:alias w:val="是否适用：重大的股权投资[双击切换]"/>
            <w:tag w:val="_GBC_f8bfa224d9f34f9e99e6f78de51aa576"/>
            <w:id w:val="-2016151827"/>
            <w:lock w:val="sdtLocked"/>
            <w:placeholder>
              <w:docPart w:val="GBC22222222222222222222222222222"/>
            </w:placeholder>
          </w:sdtPr>
          <w:sdtEndPr/>
          <w:sdtContent>
            <w:p w14:paraId="54B42356" w14:textId="610285C1" w:rsidR="007F1C2B"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重大的股权投资情况"/>
            <w:tag w:val="_GBC_66534194d2ce4e8885ec7560835fd79f"/>
            <w:id w:val="1412732204"/>
            <w:lock w:val="sdtLocked"/>
            <w:placeholder>
              <w:docPart w:val="GBC22222222222222222222222222222"/>
            </w:placeholder>
          </w:sdtPr>
          <w:sdtEndPr/>
          <w:sdtContent>
            <w:p w14:paraId="334E4626" w14:textId="74AA9C10" w:rsidR="00F37B6D" w:rsidRDefault="004F686E" w:rsidP="00F37B6D">
              <w:pPr>
                <w:ind w:firstLineChars="200" w:firstLine="420"/>
              </w:pPr>
              <w:r>
                <w:rPr>
                  <w:rFonts w:hint="eastAsia"/>
                </w:rPr>
                <w:t>发行股份及支付现金购买资产</w:t>
              </w:r>
              <w:r w:rsidR="00B32AE5">
                <w:rPr>
                  <w:rFonts w:hint="eastAsia"/>
                </w:rPr>
                <w:t>项目</w:t>
              </w:r>
            </w:p>
            <w:p w14:paraId="0E915CE6" w14:textId="4E9C12E8" w:rsidR="00F37B6D" w:rsidRDefault="004F686E" w:rsidP="00F37B6D">
              <w:pPr>
                <w:ind w:firstLineChars="200" w:firstLine="420"/>
              </w:pPr>
              <w:r>
                <w:t>为提升公司持续经营和盈利能力，公司正在实施购买青岛北洋天青数联智能股份有限公司80%股权项目。2020年8月17日，公司召开第十届董事会第五次临时会议，逐项审议通过了发行股份及支付现金购买资产并募集配套资金项目各项议案；2020年12月29日，公司召开第十届董事会第八次临时会议，逐项审议通过了修订发行股份及支付现金购买资产并募集配套资金项目各项议案；2021年2月9日，公司召开2021年第一次临时股东大会、2021年第一次A股类别股东大会及2021年第一次H股类别股东大会，投票通过发行股份及支付现金购买资产并募集配套资金项目各项议案，同意并授权董事会全权办理公司本次发行股份及支付现金购买资产并募集配套资金有关事宜；2021年2月25日，公司收到中国证券监督管理委员会出具的《中国证监会行政许可申请受理单》(受理序号：210440号)。</w:t>
              </w:r>
              <w:r w:rsidRPr="00C86E04">
                <w:t>2021年5月19日</w:t>
              </w:r>
              <w:r>
                <w:rPr>
                  <w:rFonts w:hint="eastAsia"/>
                </w:rPr>
                <w:t>，</w:t>
              </w:r>
              <w:r w:rsidRPr="00C86E04">
                <w:rPr>
                  <w:rFonts w:hint="eastAsia"/>
                </w:rPr>
                <w:t>中国证券监督管理委员会上市公司并购重组审核委员会召开</w:t>
              </w:r>
              <w:r w:rsidRPr="00C86E04">
                <w:t>2021年第10次并购重组委工作会议，对公司发行股份及支付现金购买资产并募集配套资金事项进行了审核。根据会议审核结果，</w:t>
              </w:r>
              <w:r w:rsidRPr="00C86E04">
                <w:rPr>
                  <w:rFonts w:hint="eastAsia"/>
                </w:rPr>
                <w:t>公司本次重组事项未获得审核通过</w:t>
              </w:r>
              <w:r>
                <w:rPr>
                  <w:rFonts w:hint="eastAsia"/>
                </w:rPr>
                <w:t>。</w:t>
              </w:r>
              <w:r w:rsidRPr="00052C19">
                <w:t>2021年6月11日，</w:t>
              </w:r>
              <w:r>
                <w:rPr>
                  <w:rFonts w:hint="eastAsia"/>
                </w:rPr>
                <w:t>公司召开</w:t>
              </w:r>
              <w:r w:rsidRPr="00052C19">
                <w:rPr>
                  <w:rFonts w:hint="eastAsia"/>
                </w:rPr>
                <w:t>第十届董事会第十一次临时会议</w:t>
              </w:r>
              <w:r>
                <w:rPr>
                  <w:rFonts w:hint="eastAsia"/>
                </w:rPr>
                <w:t>，</w:t>
              </w:r>
              <w:r w:rsidRPr="00052C19">
                <w:rPr>
                  <w:rFonts w:hint="eastAsia"/>
                </w:rPr>
                <w:t>审议通过《关于北京京城机电股份有限公司继续推进发行股份及支付现金购买资产并募集配套资金事项的议案》</w:t>
              </w:r>
              <w:r>
                <w:rPr>
                  <w:rFonts w:hint="eastAsia"/>
                </w:rPr>
                <w:t>，</w:t>
              </w:r>
              <w:r w:rsidRPr="00052C19">
                <w:rPr>
                  <w:rFonts w:hint="eastAsia"/>
                </w:rPr>
                <w:t>董事会经研究论证，同意继续推进本次资产重组事项。</w:t>
              </w:r>
            </w:p>
            <w:p w14:paraId="1DBC7030" w14:textId="79A59767" w:rsidR="007F1C2B" w:rsidRDefault="00B664AF"/>
          </w:sdtContent>
        </w:sdt>
        <w:p w14:paraId="6128A206" w14:textId="77777777" w:rsidR="007F1C2B" w:rsidRDefault="00B664AF"/>
      </w:sdtContent>
    </w:sdt>
    <w:sdt>
      <w:sdtPr>
        <w:rPr>
          <w:rFonts w:ascii="宋体" w:hAnsi="宋体" w:cs="宋体" w:hint="eastAsia"/>
          <w:b w:val="0"/>
          <w:bCs w:val="0"/>
          <w:kern w:val="0"/>
          <w:szCs w:val="21"/>
        </w:rPr>
        <w:alias w:val="模块:重大的非股权投资"/>
        <w:tag w:val="_SEC_ac9932f6d2bb4e35b86dbcc496bca6c4"/>
        <w:id w:val="1097995143"/>
        <w:lock w:val="sdtLocked"/>
        <w:placeholder>
          <w:docPart w:val="GBC22222222222222222222222222222"/>
        </w:placeholder>
      </w:sdtPr>
      <w:sdtEndPr>
        <w:rPr>
          <w:szCs w:val="24"/>
        </w:rPr>
      </w:sdtEndPr>
      <w:sdtContent>
        <w:p w14:paraId="6EDCB00C" w14:textId="77777777" w:rsidR="007F1C2B" w:rsidRDefault="004F686E" w:rsidP="004F686E">
          <w:pPr>
            <w:pStyle w:val="5"/>
            <w:numPr>
              <w:ilvl w:val="0"/>
              <w:numId w:val="13"/>
            </w:numPr>
            <w:rPr>
              <w:rFonts w:ascii="宋体" w:hAnsi="宋体"/>
              <w:szCs w:val="21"/>
            </w:rPr>
          </w:pPr>
          <w:r>
            <w:rPr>
              <w:rFonts w:ascii="宋体" w:hAnsi="宋体" w:hint="eastAsia"/>
              <w:szCs w:val="21"/>
            </w:rPr>
            <w:t>重大的非股权投资</w:t>
          </w:r>
        </w:p>
        <w:sdt>
          <w:sdtPr>
            <w:rPr>
              <w:rFonts w:hint="eastAsia"/>
            </w:rPr>
            <w:alias w:val="是否适用：重大的非股权投资[双击切换]"/>
            <w:tag w:val="_GBC_ea7fdcb7583549f38c0db41e73af0a8b"/>
            <w:id w:val="2093124061"/>
            <w:lock w:val="sdtLocked"/>
            <w:placeholder>
              <w:docPart w:val="GBC22222222222222222222222222222"/>
            </w:placeholder>
          </w:sdtPr>
          <w:sdtEndPr/>
          <w:sdtContent>
            <w:p w14:paraId="6657C7A7" w14:textId="0E22D30B" w:rsidR="007F1C2B" w:rsidRDefault="004F686E" w:rsidP="00F37B6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093414F" w14:textId="77777777" w:rsidR="007F1C2B" w:rsidRDefault="00B664AF"/>
      </w:sdtContent>
    </w:sdt>
    <w:sdt>
      <w:sdtPr>
        <w:rPr>
          <w:rFonts w:ascii="宋体" w:hAnsi="宋体" w:cs="宋体" w:hint="eastAsia"/>
          <w:b w:val="0"/>
          <w:bCs w:val="0"/>
          <w:kern w:val="0"/>
          <w:szCs w:val="21"/>
        </w:rPr>
        <w:alias w:val="模块:以公允价值计量的金融资产"/>
        <w:tag w:val="_SEC_e1149f3e433f42c9895dce036b5525db"/>
        <w:id w:val="-20327089"/>
        <w:lock w:val="sdtLocked"/>
        <w:placeholder>
          <w:docPart w:val="GBC22222222222222222222222222222"/>
        </w:placeholder>
      </w:sdtPr>
      <w:sdtEndPr/>
      <w:sdtContent>
        <w:p w14:paraId="3C3D6644" w14:textId="77777777" w:rsidR="007F1C2B" w:rsidRDefault="004F686E" w:rsidP="004F686E">
          <w:pPr>
            <w:pStyle w:val="5"/>
            <w:numPr>
              <w:ilvl w:val="0"/>
              <w:numId w:val="13"/>
            </w:numPr>
            <w:rPr>
              <w:rFonts w:ascii="宋体" w:hAnsi="宋体"/>
              <w:szCs w:val="21"/>
            </w:rPr>
          </w:pPr>
          <w:r>
            <w:rPr>
              <w:rFonts w:ascii="宋体" w:hAnsi="宋体" w:hint="eastAsia"/>
              <w:szCs w:val="21"/>
            </w:rPr>
            <w:t>以公允价值计量的金融资产</w:t>
          </w:r>
        </w:p>
        <w:sdt>
          <w:sdtPr>
            <w:rPr>
              <w:rFonts w:hint="eastAsia"/>
              <w:szCs w:val="21"/>
            </w:rPr>
            <w:alias w:val="是否适用：以公允价值计量的金融资产[双击切换]"/>
            <w:tag w:val="_GBC_b79a1e16dad54b258983c3fa6da7033b"/>
            <w:id w:val="1773972928"/>
            <w:lock w:val="sdtLocked"/>
            <w:placeholder>
              <w:docPart w:val="GBC22222222222222222222222222222"/>
            </w:placeholder>
          </w:sdtPr>
          <w:sdtEndPr/>
          <w:sdtContent>
            <w:p w14:paraId="16EFD026" w14:textId="013CCD11" w:rsidR="007F1C2B" w:rsidRDefault="004F686E" w:rsidP="00F37B6D">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14:paraId="0910F236" w14:textId="77777777" w:rsidR="007F1C2B" w:rsidRDefault="00B664AF"/>
    <w:sdt>
      <w:sdtPr>
        <w:rPr>
          <w:rFonts w:ascii="宋体" w:hAnsi="宋体" w:cs="宋体"/>
          <w:b w:val="0"/>
          <w:bCs w:val="0"/>
          <w:kern w:val="0"/>
          <w:szCs w:val="24"/>
        </w:rPr>
        <w:alias w:val="模块:重大资产和股权出售"/>
        <w:tag w:val="_SEC_04b9238e9d184f1bab78bd58a24f46ef"/>
        <w:id w:val="1800414248"/>
        <w:lock w:val="sdtLocked"/>
        <w:placeholder>
          <w:docPart w:val="GBC22222222222222222222222222222"/>
        </w:placeholder>
      </w:sdtPr>
      <w:sdtEndPr>
        <w:rPr>
          <w:rFonts w:hint="eastAsia"/>
        </w:rPr>
      </w:sdtEndPr>
      <w:sdtContent>
        <w:p w14:paraId="6A28C221" w14:textId="77777777" w:rsidR="007F1C2B" w:rsidRDefault="004F686E" w:rsidP="004F686E">
          <w:pPr>
            <w:pStyle w:val="3"/>
            <w:numPr>
              <w:ilvl w:val="0"/>
              <w:numId w:val="8"/>
            </w:numPr>
            <w:rPr>
              <w:rFonts w:ascii="宋体" w:hAnsi="宋体"/>
            </w:rPr>
          </w:pPr>
          <w:r>
            <w:rPr>
              <w:rFonts w:ascii="宋体" w:hAnsi="宋体"/>
            </w:rPr>
            <w:t>重大资产和股权出售</w:t>
          </w:r>
        </w:p>
        <w:sdt>
          <w:sdtPr>
            <w:rPr>
              <w:rFonts w:hint="eastAsia"/>
            </w:rPr>
            <w:alias w:val="是否适用：重大资产和股权出售[双击切换]"/>
            <w:tag w:val="_GBC_f566f251245e49238092032f065852be"/>
            <w:id w:val="-1617444195"/>
            <w:lock w:val="sdtLocked"/>
            <w:placeholder>
              <w:docPart w:val="GBC22222222222222222222222222222"/>
            </w:placeholder>
          </w:sdtPr>
          <w:sdtEndPr/>
          <w:sdtContent>
            <w:p w14:paraId="46416DB1" w14:textId="6A3F5D12" w:rsidR="007F1C2B" w:rsidRDefault="004F686E" w:rsidP="00F37B6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571A0859" w14:textId="77777777" w:rsidR="007F1C2B" w:rsidRDefault="00B664AF"/>
    <w:sdt>
      <w:sdtPr>
        <w:rPr>
          <w:rFonts w:ascii="宋体" w:hAnsi="宋体" w:cs="宋体"/>
          <w:b w:val="0"/>
          <w:bCs w:val="0"/>
          <w:kern w:val="0"/>
          <w:szCs w:val="22"/>
        </w:rPr>
        <w:alias w:val="模块:主要控股参股公司分析"/>
        <w:tag w:val="_SEC_2a2bbe84e5b044d9b42284613cdb120d"/>
        <w:id w:val="589438806"/>
        <w:lock w:val="sdtLocked"/>
        <w:placeholder>
          <w:docPart w:val="GBC22222222222222222222222222222"/>
        </w:placeholder>
      </w:sdtPr>
      <w:sdtEndPr>
        <w:rPr>
          <w:rFonts w:hint="eastAsia"/>
          <w:szCs w:val="24"/>
        </w:rPr>
      </w:sdtEndPr>
      <w:sdtContent>
        <w:p w14:paraId="213E5520" w14:textId="77777777" w:rsidR="00471D53" w:rsidRDefault="004F686E" w:rsidP="004F686E">
          <w:pPr>
            <w:pStyle w:val="3"/>
            <w:numPr>
              <w:ilvl w:val="0"/>
              <w:numId w:val="8"/>
            </w:numPr>
            <w:rPr>
              <w:rFonts w:ascii="宋体" w:hAnsi="宋体"/>
            </w:rPr>
          </w:pPr>
          <w:r>
            <w:rPr>
              <w:rFonts w:ascii="宋体" w:hAnsi="宋体" w:hint="eastAsia"/>
            </w:rPr>
            <w:t>主要控股参股公司分析</w:t>
          </w:r>
        </w:p>
        <w:sdt>
          <w:sdtPr>
            <w:alias w:val="是否适用：主要控股参股公司分析[双击切换]"/>
            <w:tag w:val="_GBC_3f3bd67865a44413bcd1143c0df7558d"/>
            <w:id w:val="1409579783"/>
            <w:lock w:val="sdtLocked"/>
            <w:placeholder>
              <w:docPart w:val="GBC22222222222222222222222222222"/>
            </w:placeholder>
          </w:sdtPr>
          <w:sdtEndPr/>
          <w:sdtContent>
            <w:p w14:paraId="6F546C63"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主要子公司、参股公司分析"/>
            <w:tag w:val="_GBC_839e73df2f5d460cbcde577c1623d15c"/>
            <w:id w:val="659808192"/>
            <w:lock w:val="sdtLocked"/>
            <w:placeholder>
              <w:docPart w:val="GBC22222222222222222222222222222"/>
            </w:placeholder>
          </w:sdtPr>
          <w:sdtEndPr/>
          <w:sdtContent>
            <w:p w14:paraId="783E8D1A" w14:textId="77777777" w:rsidR="00471D53" w:rsidRDefault="00B664AF"/>
            <w:tbl>
              <w:tblPr>
                <w:tblStyle w:val="g4"/>
                <w:tblW w:w="9820" w:type="dxa"/>
                <w:tblInd w:w="-5" w:type="dxa"/>
                <w:tblLook w:val="04A0" w:firstRow="1" w:lastRow="0" w:firstColumn="1" w:lastColumn="0" w:noHBand="0" w:noVBand="1"/>
              </w:tblPr>
              <w:tblGrid>
                <w:gridCol w:w="1080"/>
                <w:gridCol w:w="949"/>
                <w:gridCol w:w="1559"/>
                <w:gridCol w:w="1559"/>
                <w:gridCol w:w="1713"/>
                <w:gridCol w:w="1480"/>
                <w:gridCol w:w="1480"/>
              </w:tblGrid>
              <w:tr w:rsidR="00471D53" w:rsidRPr="00A55CA6" w14:paraId="029E7640" w14:textId="77777777" w:rsidTr="000B2EEB">
                <w:trPr>
                  <w:trHeight w:val="270"/>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B80639" w14:textId="6913AD07" w:rsidR="00471D53" w:rsidRPr="00A55CA6" w:rsidRDefault="004F686E" w:rsidP="00471D53">
                    <w:pPr>
                      <w:jc w:val="center"/>
                      <w:rPr>
                        <w:sz w:val="18"/>
                        <w:szCs w:val="18"/>
                      </w:rPr>
                    </w:pPr>
                    <w:r w:rsidRPr="00A55CA6">
                      <w:rPr>
                        <w:rFonts w:hint="eastAsia"/>
                        <w:sz w:val="18"/>
                        <w:szCs w:val="18"/>
                      </w:rPr>
                      <w:t>公司名称</w:t>
                    </w:r>
                  </w:p>
                </w:tc>
                <w:tc>
                  <w:tcPr>
                    <w:tcW w:w="949" w:type="dxa"/>
                    <w:tcBorders>
                      <w:top w:val="single" w:sz="4" w:space="0" w:color="auto"/>
                      <w:left w:val="nil"/>
                      <w:bottom w:val="single" w:sz="4" w:space="0" w:color="auto"/>
                      <w:right w:val="single" w:sz="4" w:space="0" w:color="auto"/>
                    </w:tcBorders>
                    <w:shd w:val="clear" w:color="000000" w:fill="FFFFFF"/>
                    <w:noWrap/>
                    <w:vAlign w:val="center"/>
                    <w:hideMark/>
                  </w:tcPr>
                  <w:p w14:paraId="38D38236" w14:textId="77777777" w:rsidR="00471D53" w:rsidRPr="00A55CA6" w:rsidRDefault="004F686E" w:rsidP="00471D53">
                    <w:pPr>
                      <w:jc w:val="center"/>
                      <w:rPr>
                        <w:sz w:val="18"/>
                        <w:szCs w:val="18"/>
                      </w:rPr>
                    </w:pPr>
                    <w:r w:rsidRPr="00A55CA6">
                      <w:rPr>
                        <w:rFonts w:hint="eastAsia"/>
                        <w:sz w:val="18"/>
                        <w:szCs w:val="18"/>
                      </w:rPr>
                      <w:t>业务性质</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14:paraId="253732BA" w14:textId="77777777" w:rsidR="00471D53" w:rsidRPr="00A55CA6" w:rsidRDefault="004F686E" w:rsidP="00471D53">
                    <w:pPr>
                      <w:jc w:val="center"/>
                      <w:rPr>
                        <w:sz w:val="18"/>
                        <w:szCs w:val="18"/>
                      </w:rPr>
                    </w:pPr>
                    <w:r w:rsidRPr="00A55CA6">
                      <w:rPr>
                        <w:rFonts w:hint="eastAsia"/>
                        <w:sz w:val="18"/>
                        <w:szCs w:val="18"/>
                      </w:rPr>
                      <w:t>主要产品或服务</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14:paraId="51A1CCA1" w14:textId="77777777" w:rsidR="00471D53" w:rsidRPr="00A55CA6" w:rsidRDefault="004F686E" w:rsidP="00471D53">
                    <w:pPr>
                      <w:jc w:val="center"/>
                      <w:rPr>
                        <w:sz w:val="18"/>
                        <w:szCs w:val="18"/>
                      </w:rPr>
                    </w:pPr>
                    <w:r w:rsidRPr="00A55CA6">
                      <w:rPr>
                        <w:rFonts w:hint="eastAsia"/>
                        <w:sz w:val="18"/>
                        <w:szCs w:val="18"/>
                      </w:rPr>
                      <w:t>注册资本</w:t>
                    </w:r>
                  </w:p>
                </w:tc>
                <w:tc>
                  <w:tcPr>
                    <w:tcW w:w="1713" w:type="dxa"/>
                    <w:tcBorders>
                      <w:top w:val="single" w:sz="4" w:space="0" w:color="auto"/>
                      <w:left w:val="nil"/>
                      <w:bottom w:val="single" w:sz="4" w:space="0" w:color="auto"/>
                      <w:right w:val="single" w:sz="4" w:space="0" w:color="auto"/>
                    </w:tcBorders>
                    <w:shd w:val="clear" w:color="000000" w:fill="FFFFFF"/>
                    <w:noWrap/>
                    <w:vAlign w:val="center"/>
                    <w:hideMark/>
                  </w:tcPr>
                  <w:p w14:paraId="47342C22" w14:textId="77777777" w:rsidR="00471D53" w:rsidRPr="00A55CA6" w:rsidRDefault="004F686E" w:rsidP="00471D53">
                    <w:pPr>
                      <w:jc w:val="center"/>
                      <w:rPr>
                        <w:sz w:val="18"/>
                        <w:szCs w:val="18"/>
                      </w:rPr>
                    </w:pPr>
                    <w:r w:rsidRPr="00A55CA6">
                      <w:rPr>
                        <w:rFonts w:hint="eastAsia"/>
                        <w:sz w:val="18"/>
                        <w:szCs w:val="18"/>
                      </w:rPr>
                      <w:t>总资产</w:t>
                    </w:r>
                  </w:p>
                </w:tc>
                <w:tc>
                  <w:tcPr>
                    <w:tcW w:w="1480" w:type="dxa"/>
                    <w:tcBorders>
                      <w:top w:val="single" w:sz="4" w:space="0" w:color="auto"/>
                      <w:left w:val="nil"/>
                      <w:bottom w:val="single" w:sz="4" w:space="0" w:color="auto"/>
                      <w:right w:val="single" w:sz="4" w:space="0" w:color="auto"/>
                    </w:tcBorders>
                    <w:shd w:val="clear" w:color="000000" w:fill="FFFFFF"/>
                    <w:noWrap/>
                    <w:vAlign w:val="center"/>
                    <w:hideMark/>
                  </w:tcPr>
                  <w:p w14:paraId="378DE08E" w14:textId="77777777" w:rsidR="00471D53" w:rsidRPr="00A55CA6" w:rsidRDefault="004F686E" w:rsidP="00471D53">
                    <w:pPr>
                      <w:jc w:val="center"/>
                      <w:rPr>
                        <w:sz w:val="18"/>
                        <w:szCs w:val="18"/>
                      </w:rPr>
                    </w:pPr>
                    <w:r w:rsidRPr="00A55CA6">
                      <w:rPr>
                        <w:rFonts w:hint="eastAsia"/>
                        <w:sz w:val="18"/>
                        <w:szCs w:val="18"/>
                      </w:rPr>
                      <w:t>净资产</w:t>
                    </w:r>
                  </w:p>
                </w:tc>
                <w:tc>
                  <w:tcPr>
                    <w:tcW w:w="1480" w:type="dxa"/>
                    <w:tcBorders>
                      <w:top w:val="single" w:sz="4" w:space="0" w:color="auto"/>
                      <w:left w:val="nil"/>
                      <w:bottom w:val="single" w:sz="4" w:space="0" w:color="auto"/>
                      <w:right w:val="single" w:sz="4" w:space="0" w:color="auto"/>
                    </w:tcBorders>
                    <w:shd w:val="clear" w:color="000000" w:fill="FFFFFF"/>
                    <w:noWrap/>
                    <w:vAlign w:val="center"/>
                    <w:hideMark/>
                  </w:tcPr>
                  <w:p w14:paraId="58EC7702" w14:textId="77777777" w:rsidR="00471D53" w:rsidRPr="00A55CA6" w:rsidRDefault="004F686E" w:rsidP="00471D53">
                    <w:pPr>
                      <w:jc w:val="center"/>
                      <w:rPr>
                        <w:sz w:val="18"/>
                        <w:szCs w:val="18"/>
                      </w:rPr>
                    </w:pPr>
                    <w:r w:rsidRPr="00A55CA6">
                      <w:rPr>
                        <w:rFonts w:hint="eastAsia"/>
                        <w:sz w:val="18"/>
                        <w:szCs w:val="18"/>
                      </w:rPr>
                      <w:t>净利润</w:t>
                    </w:r>
                  </w:p>
                </w:tc>
              </w:tr>
              <w:tr w:rsidR="00471D53" w:rsidRPr="00A55CA6" w14:paraId="472B752B" w14:textId="77777777" w:rsidTr="000B2EEB">
                <w:trPr>
                  <w:trHeight w:val="90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142B25A8" w14:textId="77777777" w:rsidR="00471D53" w:rsidRPr="00A55CA6" w:rsidRDefault="004F686E" w:rsidP="00471D53">
                    <w:pPr>
                      <w:jc w:val="center"/>
                      <w:rPr>
                        <w:sz w:val="18"/>
                        <w:szCs w:val="18"/>
                      </w:rPr>
                    </w:pPr>
                    <w:r w:rsidRPr="00A55CA6">
                      <w:rPr>
                        <w:rFonts w:hint="eastAsia"/>
                        <w:sz w:val="18"/>
                        <w:szCs w:val="18"/>
                      </w:rPr>
                      <w:t>北京天海工业有限公司</w:t>
                    </w:r>
                  </w:p>
                </w:tc>
                <w:tc>
                  <w:tcPr>
                    <w:tcW w:w="949" w:type="dxa"/>
                    <w:tcBorders>
                      <w:top w:val="nil"/>
                      <w:left w:val="nil"/>
                      <w:bottom w:val="single" w:sz="4" w:space="0" w:color="auto"/>
                      <w:right w:val="single" w:sz="4" w:space="0" w:color="auto"/>
                    </w:tcBorders>
                    <w:shd w:val="clear" w:color="000000" w:fill="FFFFFF"/>
                    <w:noWrap/>
                    <w:vAlign w:val="center"/>
                    <w:hideMark/>
                  </w:tcPr>
                  <w:p w14:paraId="56505E8C" w14:textId="77777777" w:rsidR="00471D53" w:rsidRPr="00A55CA6" w:rsidRDefault="004F686E" w:rsidP="00471D53">
                    <w:pPr>
                      <w:jc w:val="center"/>
                      <w:rPr>
                        <w:sz w:val="18"/>
                        <w:szCs w:val="18"/>
                      </w:rPr>
                    </w:pPr>
                    <w:r w:rsidRPr="00A55CA6">
                      <w:rPr>
                        <w:rFonts w:hint="eastAsia"/>
                        <w:sz w:val="18"/>
                        <w:szCs w:val="18"/>
                      </w:rPr>
                      <w:t>生产</w:t>
                    </w:r>
                  </w:p>
                </w:tc>
                <w:tc>
                  <w:tcPr>
                    <w:tcW w:w="1559" w:type="dxa"/>
                    <w:tcBorders>
                      <w:top w:val="nil"/>
                      <w:left w:val="nil"/>
                      <w:bottom w:val="single" w:sz="4" w:space="0" w:color="auto"/>
                      <w:right w:val="single" w:sz="4" w:space="0" w:color="auto"/>
                    </w:tcBorders>
                    <w:shd w:val="clear" w:color="000000" w:fill="FFFFFF"/>
                    <w:vAlign w:val="center"/>
                    <w:hideMark/>
                  </w:tcPr>
                  <w:p w14:paraId="6447FA66" w14:textId="77777777" w:rsidR="00471D53" w:rsidRPr="00A55CA6" w:rsidRDefault="004F686E" w:rsidP="00471D53">
                    <w:pPr>
                      <w:rPr>
                        <w:sz w:val="18"/>
                        <w:szCs w:val="18"/>
                      </w:rPr>
                    </w:pPr>
                    <w:r w:rsidRPr="00A55CA6">
                      <w:rPr>
                        <w:rFonts w:hint="eastAsia"/>
                        <w:sz w:val="18"/>
                        <w:szCs w:val="18"/>
                      </w:rPr>
                      <w:t>生产、销售气瓶、蓄能器、压力容器及配套设备等</w:t>
                    </w:r>
                  </w:p>
                </w:tc>
                <w:tc>
                  <w:tcPr>
                    <w:tcW w:w="1559" w:type="dxa"/>
                    <w:tcBorders>
                      <w:top w:val="nil"/>
                      <w:left w:val="nil"/>
                      <w:bottom w:val="single" w:sz="4" w:space="0" w:color="auto"/>
                      <w:right w:val="single" w:sz="4" w:space="0" w:color="auto"/>
                    </w:tcBorders>
                    <w:shd w:val="clear" w:color="auto" w:fill="auto"/>
                    <w:noWrap/>
                    <w:vAlign w:val="center"/>
                    <w:hideMark/>
                  </w:tcPr>
                  <w:p w14:paraId="385DF738" w14:textId="77777777" w:rsidR="00471D53" w:rsidRPr="00A55CA6" w:rsidRDefault="004F686E" w:rsidP="00471D53">
                    <w:pPr>
                      <w:jc w:val="center"/>
                      <w:rPr>
                        <w:sz w:val="18"/>
                        <w:szCs w:val="18"/>
                      </w:rPr>
                    </w:pPr>
                    <w:r w:rsidRPr="00106D9C">
                      <w:rPr>
                        <w:rFonts w:hint="eastAsia"/>
                        <w:sz w:val="18"/>
                        <w:szCs w:val="18"/>
                      </w:rPr>
                      <w:t>9071.95万美元</w:t>
                    </w:r>
                  </w:p>
                </w:tc>
                <w:tc>
                  <w:tcPr>
                    <w:tcW w:w="1713" w:type="dxa"/>
                    <w:tcBorders>
                      <w:top w:val="nil"/>
                      <w:left w:val="nil"/>
                      <w:bottom w:val="single" w:sz="4" w:space="0" w:color="auto"/>
                      <w:right w:val="single" w:sz="4" w:space="0" w:color="auto"/>
                    </w:tcBorders>
                    <w:shd w:val="clear" w:color="auto" w:fill="auto"/>
                    <w:noWrap/>
                    <w:vAlign w:val="center"/>
                    <w:hideMark/>
                  </w:tcPr>
                  <w:p w14:paraId="07E1E2DC" w14:textId="151C7649" w:rsidR="00471D53" w:rsidRPr="00A55CA6" w:rsidRDefault="004F686E" w:rsidP="00471D53">
                    <w:pPr>
                      <w:jc w:val="center"/>
                      <w:rPr>
                        <w:sz w:val="18"/>
                        <w:szCs w:val="18"/>
                      </w:rPr>
                    </w:pPr>
                    <w:r w:rsidRPr="00A55CA6">
                      <w:rPr>
                        <w:rFonts w:hint="eastAsia"/>
                        <w:sz w:val="18"/>
                        <w:szCs w:val="18"/>
                      </w:rPr>
                      <w:t>1,581,551,446.93</w:t>
                    </w:r>
                  </w:p>
                </w:tc>
                <w:tc>
                  <w:tcPr>
                    <w:tcW w:w="1480" w:type="dxa"/>
                    <w:tcBorders>
                      <w:top w:val="nil"/>
                      <w:left w:val="nil"/>
                      <w:bottom w:val="single" w:sz="4" w:space="0" w:color="auto"/>
                      <w:right w:val="single" w:sz="4" w:space="0" w:color="auto"/>
                    </w:tcBorders>
                    <w:shd w:val="clear" w:color="auto" w:fill="auto"/>
                    <w:noWrap/>
                    <w:vAlign w:val="center"/>
                    <w:hideMark/>
                  </w:tcPr>
                  <w:p w14:paraId="7FC8B848" w14:textId="77777777" w:rsidR="00471D53" w:rsidRPr="00A55CA6" w:rsidRDefault="004F686E" w:rsidP="00471D53">
                    <w:pPr>
                      <w:jc w:val="center"/>
                      <w:rPr>
                        <w:sz w:val="18"/>
                        <w:szCs w:val="18"/>
                      </w:rPr>
                    </w:pPr>
                    <w:r w:rsidRPr="00A55CA6">
                      <w:rPr>
                        <w:rFonts w:hint="eastAsia"/>
                        <w:sz w:val="18"/>
                        <w:szCs w:val="18"/>
                      </w:rPr>
                      <w:t>619,366,251.80</w:t>
                    </w:r>
                  </w:p>
                </w:tc>
                <w:tc>
                  <w:tcPr>
                    <w:tcW w:w="1480" w:type="dxa"/>
                    <w:tcBorders>
                      <w:top w:val="nil"/>
                      <w:left w:val="nil"/>
                      <w:bottom w:val="single" w:sz="4" w:space="0" w:color="auto"/>
                      <w:right w:val="single" w:sz="4" w:space="0" w:color="auto"/>
                    </w:tcBorders>
                    <w:shd w:val="clear" w:color="auto" w:fill="auto"/>
                    <w:noWrap/>
                    <w:vAlign w:val="center"/>
                    <w:hideMark/>
                  </w:tcPr>
                  <w:p w14:paraId="5252A25C" w14:textId="77777777" w:rsidR="00471D53" w:rsidRPr="00A55CA6" w:rsidRDefault="004F686E" w:rsidP="00471D53">
                    <w:pPr>
                      <w:jc w:val="center"/>
                      <w:rPr>
                        <w:sz w:val="18"/>
                        <w:szCs w:val="18"/>
                      </w:rPr>
                    </w:pPr>
                    <w:r w:rsidRPr="00A55CA6">
                      <w:rPr>
                        <w:rFonts w:hint="eastAsia"/>
                        <w:sz w:val="18"/>
                        <w:szCs w:val="18"/>
                      </w:rPr>
                      <w:t>-3,905,975.16</w:t>
                    </w:r>
                  </w:p>
                </w:tc>
              </w:tr>
              <w:tr w:rsidR="00471D53" w:rsidRPr="00A55CA6" w14:paraId="46570891" w14:textId="77777777" w:rsidTr="000B2EEB">
                <w:trPr>
                  <w:trHeight w:val="67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693AD2FA" w14:textId="77777777" w:rsidR="00471D53" w:rsidRPr="00A55CA6" w:rsidRDefault="004F686E" w:rsidP="00471D53">
                    <w:pPr>
                      <w:jc w:val="center"/>
                      <w:rPr>
                        <w:sz w:val="18"/>
                        <w:szCs w:val="18"/>
                      </w:rPr>
                    </w:pPr>
                    <w:r w:rsidRPr="00A55CA6">
                      <w:rPr>
                        <w:rFonts w:hint="eastAsia"/>
                        <w:sz w:val="18"/>
                        <w:szCs w:val="18"/>
                      </w:rPr>
                      <w:t>京城控股（香港）有限公司</w:t>
                    </w:r>
                  </w:p>
                </w:tc>
                <w:tc>
                  <w:tcPr>
                    <w:tcW w:w="949" w:type="dxa"/>
                    <w:tcBorders>
                      <w:top w:val="nil"/>
                      <w:left w:val="nil"/>
                      <w:bottom w:val="single" w:sz="4" w:space="0" w:color="auto"/>
                      <w:right w:val="single" w:sz="4" w:space="0" w:color="auto"/>
                    </w:tcBorders>
                    <w:shd w:val="clear" w:color="000000" w:fill="FFFFFF"/>
                    <w:noWrap/>
                    <w:vAlign w:val="center"/>
                    <w:hideMark/>
                  </w:tcPr>
                  <w:p w14:paraId="10BCB14A" w14:textId="77777777" w:rsidR="00471D53" w:rsidRPr="00A55CA6" w:rsidRDefault="004F686E" w:rsidP="00471D53">
                    <w:pPr>
                      <w:jc w:val="center"/>
                      <w:rPr>
                        <w:sz w:val="18"/>
                        <w:szCs w:val="18"/>
                      </w:rPr>
                    </w:pPr>
                    <w:r w:rsidRPr="00A55CA6">
                      <w:rPr>
                        <w:rFonts w:hint="eastAsia"/>
                        <w:sz w:val="18"/>
                        <w:szCs w:val="18"/>
                      </w:rPr>
                      <w:t>贸易投资</w:t>
                    </w:r>
                  </w:p>
                </w:tc>
                <w:tc>
                  <w:tcPr>
                    <w:tcW w:w="1559" w:type="dxa"/>
                    <w:tcBorders>
                      <w:top w:val="nil"/>
                      <w:left w:val="nil"/>
                      <w:bottom w:val="single" w:sz="4" w:space="0" w:color="auto"/>
                      <w:right w:val="single" w:sz="4" w:space="0" w:color="auto"/>
                    </w:tcBorders>
                    <w:shd w:val="clear" w:color="000000" w:fill="FFFFFF"/>
                    <w:vAlign w:val="center"/>
                    <w:hideMark/>
                  </w:tcPr>
                  <w:p w14:paraId="31EA3003" w14:textId="77777777" w:rsidR="00471D53" w:rsidRPr="00A55CA6" w:rsidRDefault="004F686E" w:rsidP="00471D53">
                    <w:pPr>
                      <w:rPr>
                        <w:sz w:val="18"/>
                        <w:szCs w:val="18"/>
                      </w:rPr>
                    </w:pPr>
                    <w:r w:rsidRPr="00A55CA6">
                      <w:rPr>
                        <w:rFonts w:hint="eastAsia"/>
                        <w:sz w:val="18"/>
                        <w:szCs w:val="18"/>
                      </w:rPr>
                      <w:t>进出口贸易、投资控股及顾问服务等。</w:t>
                    </w:r>
                  </w:p>
                </w:tc>
                <w:tc>
                  <w:tcPr>
                    <w:tcW w:w="1559" w:type="dxa"/>
                    <w:tcBorders>
                      <w:top w:val="nil"/>
                      <w:left w:val="nil"/>
                      <w:bottom w:val="single" w:sz="4" w:space="0" w:color="auto"/>
                      <w:right w:val="single" w:sz="4" w:space="0" w:color="auto"/>
                    </w:tcBorders>
                    <w:shd w:val="clear" w:color="auto" w:fill="auto"/>
                    <w:noWrap/>
                    <w:vAlign w:val="center"/>
                    <w:hideMark/>
                  </w:tcPr>
                  <w:p w14:paraId="0040AB8D" w14:textId="77777777" w:rsidR="00471D53" w:rsidRPr="00A55CA6" w:rsidRDefault="004F686E" w:rsidP="00471D53">
                    <w:pPr>
                      <w:jc w:val="center"/>
                      <w:rPr>
                        <w:sz w:val="18"/>
                        <w:szCs w:val="18"/>
                      </w:rPr>
                    </w:pPr>
                    <w:r w:rsidRPr="00A55CA6">
                      <w:rPr>
                        <w:rFonts w:hint="eastAsia"/>
                        <w:sz w:val="18"/>
                        <w:szCs w:val="18"/>
                      </w:rPr>
                      <w:t>1,000港元</w:t>
                    </w:r>
                  </w:p>
                </w:tc>
                <w:tc>
                  <w:tcPr>
                    <w:tcW w:w="1713" w:type="dxa"/>
                    <w:tcBorders>
                      <w:top w:val="nil"/>
                      <w:left w:val="nil"/>
                      <w:bottom w:val="single" w:sz="4" w:space="0" w:color="auto"/>
                      <w:right w:val="single" w:sz="4" w:space="0" w:color="auto"/>
                    </w:tcBorders>
                    <w:shd w:val="clear" w:color="auto" w:fill="auto"/>
                    <w:noWrap/>
                    <w:vAlign w:val="center"/>
                    <w:hideMark/>
                  </w:tcPr>
                  <w:p w14:paraId="4C01E623" w14:textId="33CAEC9F" w:rsidR="00471D53" w:rsidRPr="00A55CA6" w:rsidRDefault="004F686E" w:rsidP="00471D53">
                    <w:pPr>
                      <w:jc w:val="center"/>
                      <w:rPr>
                        <w:sz w:val="18"/>
                        <w:szCs w:val="18"/>
                      </w:rPr>
                    </w:pPr>
                    <w:r w:rsidRPr="00A55CA6">
                      <w:rPr>
                        <w:rFonts w:hint="eastAsia"/>
                        <w:sz w:val="18"/>
                        <w:szCs w:val="18"/>
                      </w:rPr>
                      <w:t>155,747,035.66</w:t>
                    </w:r>
                  </w:p>
                </w:tc>
                <w:tc>
                  <w:tcPr>
                    <w:tcW w:w="1480" w:type="dxa"/>
                    <w:tcBorders>
                      <w:top w:val="nil"/>
                      <w:left w:val="nil"/>
                      <w:bottom w:val="single" w:sz="4" w:space="0" w:color="auto"/>
                      <w:right w:val="single" w:sz="4" w:space="0" w:color="auto"/>
                    </w:tcBorders>
                    <w:shd w:val="clear" w:color="auto" w:fill="auto"/>
                    <w:noWrap/>
                    <w:vAlign w:val="center"/>
                    <w:hideMark/>
                  </w:tcPr>
                  <w:p w14:paraId="7FE6A31B" w14:textId="77777777" w:rsidR="00471D53" w:rsidRPr="00A55CA6" w:rsidRDefault="004F686E" w:rsidP="00471D53">
                    <w:pPr>
                      <w:jc w:val="center"/>
                      <w:rPr>
                        <w:sz w:val="18"/>
                        <w:szCs w:val="18"/>
                      </w:rPr>
                    </w:pPr>
                    <w:r w:rsidRPr="00A55CA6">
                      <w:rPr>
                        <w:rFonts w:hint="eastAsia"/>
                        <w:sz w:val="18"/>
                        <w:szCs w:val="18"/>
                      </w:rPr>
                      <w:t>151,552,301.96</w:t>
                    </w:r>
                  </w:p>
                </w:tc>
                <w:tc>
                  <w:tcPr>
                    <w:tcW w:w="1480" w:type="dxa"/>
                    <w:tcBorders>
                      <w:top w:val="nil"/>
                      <w:left w:val="nil"/>
                      <w:bottom w:val="single" w:sz="4" w:space="0" w:color="auto"/>
                      <w:right w:val="single" w:sz="4" w:space="0" w:color="auto"/>
                    </w:tcBorders>
                    <w:shd w:val="clear" w:color="auto" w:fill="auto"/>
                    <w:noWrap/>
                    <w:vAlign w:val="center"/>
                    <w:hideMark/>
                  </w:tcPr>
                  <w:p w14:paraId="4E0C3B98" w14:textId="77777777" w:rsidR="00471D53" w:rsidRPr="00A55CA6" w:rsidRDefault="004F686E" w:rsidP="00471D53">
                    <w:pPr>
                      <w:jc w:val="center"/>
                      <w:rPr>
                        <w:sz w:val="18"/>
                        <w:szCs w:val="18"/>
                      </w:rPr>
                    </w:pPr>
                    <w:r w:rsidRPr="00A55CA6">
                      <w:rPr>
                        <w:rFonts w:hint="eastAsia"/>
                        <w:sz w:val="18"/>
                        <w:szCs w:val="18"/>
                      </w:rPr>
                      <w:t>856,932.68</w:t>
                    </w:r>
                  </w:p>
                </w:tc>
              </w:tr>
            </w:tbl>
            <w:p w14:paraId="13F06E0F" w14:textId="77777777" w:rsidR="00471D53" w:rsidRDefault="00B664AF"/>
          </w:sdtContent>
        </w:sdt>
      </w:sdtContent>
    </w:sdt>
    <w:p w14:paraId="7F0FBA69" w14:textId="77777777" w:rsidR="00471D53" w:rsidRDefault="00B664AF"/>
    <w:sdt>
      <w:sdtPr>
        <w:rPr>
          <w:rFonts w:ascii="宋体" w:hAnsi="宋体" w:cs="宋体"/>
          <w:b w:val="0"/>
          <w:bCs w:val="0"/>
          <w:kern w:val="0"/>
          <w:szCs w:val="24"/>
        </w:rPr>
        <w:alias w:val="模块:公司控制的结构化主体情况"/>
        <w:tag w:val="_SEC_1ac5f271c9c14f569093b3be96ecc8d2"/>
        <w:id w:val="1022131377"/>
        <w:lock w:val="sdtLocked"/>
        <w:placeholder>
          <w:docPart w:val="GBC22222222222222222222222222222"/>
        </w:placeholder>
      </w:sdtPr>
      <w:sdtEndPr/>
      <w:sdtContent>
        <w:p w14:paraId="76EFF948" w14:textId="77777777" w:rsidR="007F1C2B" w:rsidRDefault="004F686E" w:rsidP="004F686E">
          <w:pPr>
            <w:pStyle w:val="3"/>
            <w:numPr>
              <w:ilvl w:val="0"/>
              <w:numId w:val="8"/>
            </w:numPr>
            <w:rPr>
              <w:rFonts w:ascii="宋体" w:hAnsi="宋体"/>
            </w:rPr>
          </w:pPr>
          <w:r>
            <w:rPr>
              <w:rFonts w:ascii="宋体" w:hAnsi="宋体"/>
            </w:rPr>
            <w:t>公司控制的结构化主体情况</w:t>
          </w:r>
        </w:p>
        <w:sdt>
          <w:sdtPr>
            <w:rPr>
              <w:rFonts w:hint="eastAsia"/>
            </w:rPr>
            <w:alias w:val="是否适用：公司控制的结构化主体情况[双击切换]"/>
            <w:tag w:val="_GBC_6dee8f13bc9a4596ad3e5af6f90f0b8b"/>
            <w:id w:val="1882138220"/>
            <w:lock w:val="sdtLocked"/>
            <w:placeholder>
              <w:docPart w:val="GBC22222222222222222222222222222"/>
            </w:placeholder>
          </w:sdtPr>
          <w:sdtEndPr/>
          <w:sdtContent>
            <w:p w14:paraId="4FF492FE" w14:textId="0A8A6B66" w:rsidR="007F1C2B" w:rsidRDefault="004F686E" w:rsidP="00600CF4">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74B7F469" w14:textId="77777777" w:rsidR="007F1C2B" w:rsidRDefault="00B664AF"/>
    <w:p w14:paraId="50284DB0" w14:textId="77777777" w:rsidR="007F1C2B" w:rsidRDefault="004F686E" w:rsidP="004F686E">
      <w:pPr>
        <w:pStyle w:val="2"/>
        <w:numPr>
          <w:ilvl w:val="0"/>
          <w:numId w:val="6"/>
        </w:numPr>
        <w:tabs>
          <w:tab w:val="left" w:pos="426"/>
        </w:tabs>
        <w:ind w:left="422" w:hanging="422"/>
        <w:jc w:val="left"/>
        <w:rPr>
          <w:rFonts w:ascii="宋体" w:hAnsi="宋体" w:cs="宋体"/>
          <w:kern w:val="0"/>
          <w:szCs w:val="24"/>
        </w:rPr>
      </w:pPr>
      <w:r>
        <w:rPr>
          <w:rFonts w:ascii="宋体" w:hAnsi="宋体" w:cs="宋体" w:hint="eastAsia"/>
          <w:kern w:val="0"/>
          <w:szCs w:val="24"/>
        </w:rPr>
        <w:t>其他披露事项</w:t>
      </w:r>
    </w:p>
    <w:sdt>
      <w:sdtPr>
        <w:rPr>
          <w:rFonts w:ascii="宋体" w:hAnsi="宋体" w:cs="宋体"/>
          <w:b w:val="0"/>
          <w:bCs w:val="0"/>
          <w:kern w:val="0"/>
          <w:szCs w:val="24"/>
        </w:rPr>
        <w:alias w:val="模块:可能面对的风险"/>
        <w:tag w:val="_SEC_81e2de17d1214ba3b0e3ff89b6c2b65d"/>
        <w:id w:val="158504536"/>
        <w:lock w:val="sdtLocked"/>
        <w:placeholder>
          <w:docPart w:val="GBC22222222222222222222222222222"/>
        </w:placeholder>
      </w:sdtPr>
      <w:sdtEndPr>
        <w:rPr>
          <w:rFonts w:hint="eastAsia"/>
        </w:rPr>
      </w:sdtEndPr>
      <w:sdtContent>
        <w:p w14:paraId="70C9FE4D" w14:textId="77777777" w:rsidR="007F1C2B" w:rsidRPr="001E71C3" w:rsidRDefault="004F686E" w:rsidP="004F686E">
          <w:pPr>
            <w:pStyle w:val="3"/>
            <w:numPr>
              <w:ilvl w:val="0"/>
              <w:numId w:val="14"/>
            </w:numPr>
            <w:rPr>
              <w:rFonts w:ascii="宋体" w:hAnsi="宋体"/>
            </w:rPr>
          </w:pPr>
          <w:r w:rsidRPr="001E71C3">
            <w:rPr>
              <w:rFonts w:ascii="宋体" w:hAnsi="宋体"/>
            </w:rPr>
            <w:t>可能面对的风险</w:t>
          </w:r>
        </w:p>
        <w:sdt>
          <w:sdtPr>
            <w:rPr>
              <w:rFonts w:hint="eastAsia"/>
            </w:rPr>
            <w:alias w:val="是否适用：可能面对的风险[双击切换]"/>
            <w:tag w:val="_GBC_2a971d8ab5884d3eb5547ede4e1e17c9"/>
            <w:id w:val="-556387721"/>
            <w:lock w:val="sdtLocked"/>
            <w:placeholder>
              <w:docPart w:val="GBC22222222222222222222222222222"/>
            </w:placeholder>
          </w:sdtPr>
          <w:sdtEndPr/>
          <w:sdtContent>
            <w:p w14:paraId="102DCA2F" w14:textId="1A0BC535" w:rsidR="007F1C2B"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公司可能面对的风险"/>
            <w:tag w:val="_GBC_6e03b01ba4f1453dbc563404b41bfdbc"/>
            <w:id w:val="1214780132"/>
            <w:lock w:val="sdtLocked"/>
            <w:placeholder>
              <w:docPart w:val="GBC22222222222222222222222222222"/>
            </w:placeholder>
          </w:sdtPr>
          <w:sdtEndPr/>
          <w:sdtContent>
            <w:p w14:paraId="30BA0FA0" w14:textId="77777777" w:rsidR="006F47BC" w:rsidRDefault="004F686E" w:rsidP="006F47BC">
              <w:r>
                <w:t>1、行业政策风险</w:t>
              </w:r>
            </w:p>
            <w:p w14:paraId="6CF628B1" w14:textId="77777777" w:rsidR="006F47BC" w:rsidRDefault="004F686E" w:rsidP="006F47BC">
              <w:pPr>
                <w:ind w:firstLineChars="200" w:firstLine="420"/>
              </w:pPr>
              <w:r>
                <w:rPr>
                  <w:rFonts w:hint="eastAsia"/>
                </w:rPr>
                <w:t>其一受油气价差、新能源产业政策等方面因素的影响，天然气储运行业市场需求变动明显，对公司主营业务天然气储运板块产生一定的影响；其二公司所涉及的氢能储运板块属于新产业，容易受国家政策、经济环境、上下游产业链发展等因素的影响。因此，针对上述风险，公司将及时掌握国家宏观政策，关注行业发展动态，拓宽产品应用领域，同时加强核心技术发展，拓展新产品市场，将行业政策风险因素控制在最小范围，减少对公司的影响。</w:t>
              </w:r>
            </w:p>
            <w:p w14:paraId="3A83F7A7" w14:textId="77777777" w:rsidR="006F47BC" w:rsidRDefault="004F686E" w:rsidP="006F47BC">
              <w:r>
                <w:t>2、市场竞争加剧风险</w:t>
              </w:r>
            </w:p>
            <w:p w14:paraId="73C08420" w14:textId="77777777" w:rsidR="006F47BC" w:rsidRDefault="004F686E" w:rsidP="006F47BC">
              <w:pPr>
                <w:ind w:firstLineChars="200" w:firstLine="420"/>
              </w:pPr>
              <w:r>
                <w:rPr>
                  <w:rFonts w:hint="eastAsia"/>
                </w:rPr>
                <w:t>尽管气体储运市场总体呈现稳中有升的态势，但是行业竞争愈加激烈，未来产品市场可能会发生变化，也会给公司的经营发展带来一定的不确定因素和影响。因此未来公司要突出科技自立自强，持续提升自主创新能力，科学部署，全力推进科技创新工作。增强市场意识和竞争意识，突出专业化发展方向，巩固、拓展、扩大市场份额。</w:t>
              </w:r>
            </w:p>
            <w:p w14:paraId="3B99C440" w14:textId="77777777" w:rsidR="006F47BC" w:rsidRDefault="004F686E" w:rsidP="006F47BC">
              <w:r>
                <w:t xml:space="preserve">3、新业务新市场开拓风险 </w:t>
              </w:r>
            </w:p>
            <w:p w14:paraId="150A9236" w14:textId="792E36B7" w:rsidR="006F47BC" w:rsidRDefault="004F686E" w:rsidP="006F47BC">
              <w:pPr>
                <w:ind w:firstLineChars="200" w:firstLine="420"/>
              </w:pPr>
              <w:r>
                <w:rPr>
                  <w:rFonts w:hint="eastAsia"/>
                </w:rPr>
                <w:t>氢能及燃料电池目前中国以商用车为主，主要应用在物流、公交和大巴等领域，尚处于蓄势待发阶段，受国家和各地方政策等较多不确定因素影响，公司在发展新业务、新市场开拓方面则会遇到不可预期的风险。</w:t>
              </w:r>
              <w:r>
                <w:t xml:space="preserve">2021年随着北京等全国各地的氢能产业规划的实施，产业化、商业化的趋势的日趋明显，公司将继续加大氢能业务发展力度，推进氢能业务逐步步入正轨。       </w:t>
              </w:r>
            </w:p>
            <w:p w14:paraId="773279F3" w14:textId="4F69ED62" w:rsidR="006F47BC" w:rsidRDefault="00763E56" w:rsidP="006F47BC">
              <w:r>
                <w:t>4</w:t>
              </w:r>
              <w:r w:rsidR="004F686E">
                <w:t>、国际航运费用暴涨风险</w:t>
              </w:r>
            </w:p>
            <w:p w14:paraId="47B22A71" w14:textId="7C5BF457" w:rsidR="007F1C2B" w:rsidRDefault="004F686E" w:rsidP="006F47BC">
              <w:pPr>
                <w:ind w:firstLineChars="200" w:firstLine="420"/>
              </w:pPr>
              <w:r>
                <w:rPr>
                  <w:rFonts w:hint="eastAsia"/>
                </w:rPr>
                <w:t>公司出口业务占比</w:t>
              </w:r>
              <w:r>
                <w:t>50%以上，目前国际航运费持续上涨，且订舱困难，给公司下阶段出口市场造成不确定影响，经营风险加大。</w:t>
              </w:r>
              <w:r w:rsidR="00FF6B05">
                <w:rPr>
                  <w:rFonts w:hint="eastAsia"/>
                </w:rPr>
                <w:t>公司将积极与航运企业进行沟通，提前订舱，将其所产生的影响最小化。</w:t>
              </w:r>
            </w:p>
          </w:sdtContent>
        </w:sdt>
      </w:sdtContent>
    </w:sdt>
    <w:p w14:paraId="191301D4" w14:textId="77777777" w:rsidR="007F1C2B" w:rsidRDefault="00B664AF"/>
    <w:sdt>
      <w:sdtPr>
        <w:rPr>
          <w:rFonts w:ascii="宋体" w:hAnsi="宋体" w:cs="宋体"/>
          <w:b w:val="0"/>
          <w:bCs w:val="0"/>
          <w:kern w:val="0"/>
          <w:szCs w:val="24"/>
        </w:rPr>
        <w:alias w:val="模块:其他披露事项"/>
        <w:tag w:val="_SEC_2d00d0d8a1b7409b884a0beb6a447e0d"/>
        <w:id w:val="980584165"/>
        <w:lock w:val="sdtLocked"/>
        <w:placeholder>
          <w:docPart w:val="GBC22222222222222222222222222222"/>
        </w:placeholder>
      </w:sdtPr>
      <w:sdtEndPr/>
      <w:sdtContent>
        <w:p w14:paraId="0939CE27" w14:textId="77777777" w:rsidR="007F1C2B" w:rsidRDefault="004F686E" w:rsidP="004F686E">
          <w:pPr>
            <w:pStyle w:val="3"/>
            <w:numPr>
              <w:ilvl w:val="0"/>
              <w:numId w:val="14"/>
            </w:numPr>
            <w:rPr>
              <w:rFonts w:ascii="宋体" w:hAnsi="宋体"/>
            </w:rPr>
          </w:pPr>
          <w:r>
            <w:rPr>
              <w:rFonts w:ascii="宋体" w:hAnsi="宋体"/>
            </w:rPr>
            <w:t>其他披露事项</w:t>
          </w:r>
        </w:p>
        <w:sdt>
          <w:sdtPr>
            <w:rPr>
              <w:rFonts w:hint="eastAsia"/>
            </w:rPr>
            <w:alias w:val="是否适用：董事会其他需要披露的事项[双击切换]"/>
            <w:tag w:val="_GBC_4bd5ba6bf4044aee9ecd40a0c2fc29bf"/>
            <w:id w:val="167366357"/>
            <w:lock w:val="sdtLocked"/>
            <w:placeholder>
              <w:docPart w:val="GBC22222222222222222222222222222"/>
            </w:placeholder>
          </w:sdtPr>
          <w:sdtEndPr/>
          <w:sdtContent>
            <w:p w14:paraId="5BFF3263" w14:textId="77777777" w:rsidR="00B32AE5" w:rsidRDefault="004F686E" w:rsidP="00600CF4">
              <w:r>
                <w:fldChar w:fldCharType="begin"/>
              </w:r>
              <w:r w:rsidR="00B32AE5">
                <w:instrText xml:space="preserve"> MACROBUTTON  SnrToggleCheckbox √适用 </w:instrText>
              </w:r>
              <w:r>
                <w:fldChar w:fldCharType="end"/>
              </w:r>
              <w:r>
                <w:fldChar w:fldCharType="begin"/>
              </w:r>
              <w:r w:rsidR="00B32AE5">
                <w:instrText xml:space="preserve"> MACROBUTTON  SnrToggleCheckbox □不适用 </w:instrText>
              </w:r>
              <w:r>
                <w:fldChar w:fldCharType="end"/>
              </w:r>
            </w:p>
          </w:sdtContent>
        </w:sdt>
        <w:sdt>
          <w:sdtPr>
            <w:alias w:val="董事会其他需要披露的事项"/>
            <w:tag w:val="_GBC_1751869900474e38a4456794ea384b7e"/>
            <w:id w:val="1802346517"/>
            <w:lock w:val="sdtLocked"/>
            <w:placeholder>
              <w:docPart w:val="9EBB0EB121A54FE492B72C6A28FCD919"/>
            </w:placeholder>
          </w:sdtPr>
          <w:sdtEndPr/>
          <w:sdtContent>
            <w:p w14:paraId="555404E8" w14:textId="042E2247" w:rsidR="00B32AE5" w:rsidRDefault="00B32AE5" w:rsidP="00B32AE5">
              <w:pPr>
                <w:ind w:firstLineChars="200" w:firstLine="420"/>
              </w:pPr>
              <w:r>
                <w:t>1、财务状况分析</w:t>
              </w:r>
            </w:p>
            <w:p w14:paraId="134D23E2" w14:textId="77777777" w:rsidR="00B32AE5" w:rsidRDefault="00B32AE5" w:rsidP="00B32AE5">
              <w:pPr>
                <w:ind w:firstLineChars="200" w:firstLine="420"/>
              </w:pPr>
              <w:r>
                <w:rPr>
                  <w:rFonts w:hint="eastAsia"/>
                </w:rPr>
                <w:t>公司实施谨慎的财务政策，对投资、融资及现金管理等建立了严格的风险控制体系，一贯保持稳健的资本结构和良好的融资渠道，公司严格控制贷款规模，在满足公司经营活动资金需求的</w:t>
              </w:r>
              <w:r>
                <w:rPr>
                  <w:rFonts w:hint="eastAsia"/>
                </w:rPr>
                <w:lastRenderedPageBreak/>
                <w:t>同时，充分利用金融工具及时努力减少财务费用和防范财务风险，以实现公司持续发展和股东价值的最大化。</w:t>
              </w:r>
            </w:p>
            <w:p w14:paraId="11664249" w14:textId="77777777" w:rsidR="00B32AE5" w:rsidRDefault="00B32AE5" w:rsidP="00B32AE5">
              <w:pPr>
                <w:ind w:firstLineChars="200" w:firstLine="420"/>
              </w:pPr>
              <w:r>
                <w:rPr>
                  <w:rFonts w:hint="eastAsia"/>
                </w:rPr>
                <w:t>流动性和资本结构</w:t>
              </w:r>
            </w:p>
            <w:p w14:paraId="1B09B24E" w14:textId="77777777" w:rsidR="00B32AE5" w:rsidRDefault="00B32AE5" w:rsidP="00B32AE5">
              <w:r>
                <w:t xml:space="preserve">                                   期末            期初</w:t>
              </w:r>
            </w:p>
            <w:p w14:paraId="5E0A0E42" w14:textId="77777777" w:rsidR="00B32AE5" w:rsidRDefault="00B32AE5" w:rsidP="00B32AE5">
              <w:r>
                <w:rPr>
                  <w:rFonts w:hint="eastAsia"/>
                </w:rPr>
                <w:t>（</w:t>
              </w:r>
              <w:r>
                <w:t xml:space="preserve">1）资产负债率                   36.86%          41.27%       </w:t>
              </w:r>
            </w:p>
            <w:p w14:paraId="42D1F575" w14:textId="1C588D16" w:rsidR="00B32AE5" w:rsidRDefault="00B32AE5" w:rsidP="00B32AE5">
              <w:r>
                <w:rPr>
                  <w:rFonts w:hint="eastAsia"/>
                </w:rPr>
                <w:t>（</w:t>
              </w:r>
              <w:r>
                <w:t xml:space="preserve">2）速动比率                    </w:t>
              </w:r>
              <w:r w:rsidR="00BC0D4B">
                <w:t xml:space="preserve"> </w:t>
              </w:r>
              <w:r>
                <w:t>72.20%          90.34%</w:t>
              </w:r>
            </w:p>
            <w:p w14:paraId="0BC27089" w14:textId="68E7BB71" w:rsidR="00B32AE5" w:rsidRDefault="00B32AE5" w:rsidP="00B32AE5">
              <w:r>
                <w:rPr>
                  <w:rFonts w:hint="eastAsia"/>
                </w:rPr>
                <w:t>（</w:t>
              </w:r>
              <w:r>
                <w:t>3）流动比率                    140.95%         132.75%</w:t>
              </w:r>
            </w:p>
            <w:p w14:paraId="3D63E1E1" w14:textId="78E5BE27" w:rsidR="00B32AE5" w:rsidRDefault="00B32AE5" w:rsidP="00B32AE5">
              <w:pPr>
                <w:ind w:firstLineChars="200" w:firstLine="420"/>
              </w:pPr>
              <w:r>
                <w:t>2、银行借款</w:t>
              </w:r>
            </w:p>
            <w:p w14:paraId="3BDD51BA" w14:textId="7CC1C658" w:rsidR="00B32AE5" w:rsidRDefault="00B32AE5" w:rsidP="00B32AE5">
              <w:pPr>
                <w:ind w:firstLineChars="200" w:firstLine="420"/>
              </w:pPr>
              <w:r>
                <w:rPr>
                  <w:rFonts w:hint="eastAsia"/>
                </w:rPr>
                <w:t>公司认真执行年度资金收支预算并依据市场环境变化和客户要求，严格控制银行贷款规模。在满足公司经营活动资金需求的同时充分利用金融工具及时努力减少财务费用和防范财务风险，提高公司及股东收益。报告期末公司短期借款</w:t>
              </w:r>
              <w:r>
                <w:t>10,800.00 万元，比年初减少35.71%。长期借款：期末长期借款0元，一年内到期非流动负债的0元，本期减少1,554.05万</w:t>
              </w:r>
              <w:r w:rsidR="003323BB">
                <w:rPr>
                  <w:rFonts w:hint="eastAsia"/>
                </w:rPr>
                <w:t>元</w:t>
              </w:r>
              <w:r>
                <w:t xml:space="preserve">，按照不重分类计算，比年初减少100%。   </w:t>
              </w:r>
            </w:p>
            <w:p w14:paraId="34951002" w14:textId="20BCDF7F" w:rsidR="00B32AE5" w:rsidRDefault="00B32AE5" w:rsidP="00B32AE5">
              <w:pPr>
                <w:ind w:firstLineChars="200" w:firstLine="420"/>
              </w:pPr>
              <w:r>
                <w:t>3、外汇风险管理</w:t>
              </w:r>
            </w:p>
            <w:p w14:paraId="5593E27C" w14:textId="77777777" w:rsidR="00B32AE5" w:rsidRDefault="00B32AE5" w:rsidP="00B32AE5">
              <w:pPr>
                <w:ind w:firstLineChars="200" w:firstLine="420"/>
              </w:pPr>
              <w:r>
                <w:rPr>
                  <w:rFonts w:hint="eastAsia"/>
                </w:rPr>
                <w:t>外汇风险指因汇率变动产生损失的风险。本集团承受外汇风险主要与美元有关，除本公司的下属子公司天海美洲公司、京城控股（香港）有限公司以美元进行采购和销售外，本集团的其它主要业务活动以人民币计价结算。因此可能面临美元与人民币汇率变动引起的外汇风险，公司积极采取措施，降低外汇风险。</w:t>
              </w:r>
            </w:p>
            <w:p w14:paraId="25648D02" w14:textId="08D6D266" w:rsidR="00B32AE5" w:rsidRDefault="00B32AE5" w:rsidP="00B32AE5">
              <w:pPr>
                <w:ind w:firstLineChars="200" w:firstLine="420"/>
              </w:pPr>
              <w:r>
                <w:t>4、资金主要来源和运用</w:t>
              </w:r>
            </w:p>
            <w:p w14:paraId="1D825707" w14:textId="77777777" w:rsidR="00B32AE5" w:rsidRDefault="00B32AE5" w:rsidP="00B32AE5">
              <w:pPr>
                <w:ind w:firstLineChars="200" w:firstLine="420"/>
              </w:pPr>
              <w:r>
                <w:t>1 经营活动现金流量</w:t>
              </w:r>
            </w:p>
            <w:p w14:paraId="2C515E18" w14:textId="594DBF81" w:rsidR="00B32AE5" w:rsidRDefault="00B32AE5" w:rsidP="00B32AE5">
              <w:pPr>
                <w:ind w:firstLineChars="200" w:firstLine="420"/>
              </w:pPr>
              <w:r>
                <w:rPr>
                  <w:rFonts w:hint="eastAsia"/>
                </w:rPr>
                <w:t>报告期公司经营活动产生的现金流入主要来源于销售商品业务收入，现金流出主要用于生产经营活动有关的支出。报告期经营活动产生的现金流入</w:t>
              </w:r>
              <w:r>
                <w:t>45,197.83 万元，现金流出49,402.65 万元，报告期经营活动产生的现金流量净额-4,204.82 万元。</w:t>
              </w:r>
            </w:p>
            <w:p w14:paraId="48937B30" w14:textId="77777777" w:rsidR="00B32AE5" w:rsidRDefault="00B32AE5" w:rsidP="00B32AE5">
              <w:pPr>
                <w:ind w:firstLineChars="200" w:firstLine="420"/>
              </w:pPr>
              <w:r>
                <w:t>2 投资活动现金流量</w:t>
              </w:r>
            </w:p>
            <w:p w14:paraId="5CE9AA51" w14:textId="79478243" w:rsidR="00B32AE5" w:rsidRDefault="00B32AE5" w:rsidP="00B32AE5">
              <w:r>
                <w:rPr>
                  <w:rFonts w:hint="eastAsia"/>
                </w:rPr>
                <w:t xml:space="preserve">　 </w:t>
              </w:r>
              <w:r>
                <w:t xml:space="preserve"> </w:t>
              </w:r>
              <w:r>
                <w:rPr>
                  <w:rFonts w:hint="eastAsia"/>
                </w:rPr>
                <w:t>报告期公司投资活动产生的现金流入为</w:t>
              </w:r>
              <w:r>
                <w:t>80.36 万元 ，投资活动支出的现金3,392.75 万元，主要用于支付合营联营公司出资款及购建固定资产等资金支出，报告期投资活动产生的现金流量净额为-3,312.39 万元。</w:t>
              </w:r>
            </w:p>
            <w:p w14:paraId="0B37C304" w14:textId="77777777" w:rsidR="00B32AE5" w:rsidRDefault="00B32AE5" w:rsidP="00B32AE5">
              <w:pPr>
                <w:ind w:firstLineChars="200" w:firstLine="420"/>
              </w:pPr>
              <w:r>
                <w:t>3 筹资活动现金流量</w:t>
              </w:r>
            </w:p>
            <w:p w14:paraId="5E4B9BCC" w14:textId="30E30D8A" w:rsidR="00B32AE5" w:rsidRDefault="00B32AE5" w:rsidP="00B32AE5">
              <w:pPr>
                <w:ind w:firstLineChars="200" w:firstLine="420"/>
              </w:pPr>
              <w:r>
                <w:rPr>
                  <w:rFonts w:hint="eastAsia"/>
                </w:rPr>
                <w:t>报告期筹资活动现金流入</w:t>
              </w:r>
              <w:r>
                <w:t>0元，报告期筹资活动现金流出7,477.95 万元，主要用于偿还贷款本金及利息等支出，报告期筹资活动现金流量净额-7,477.95 万元。</w:t>
              </w:r>
            </w:p>
            <w:p w14:paraId="15A4C225" w14:textId="77777777" w:rsidR="00B32AE5" w:rsidRDefault="00B32AE5" w:rsidP="00B32AE5">
              <w:pPr>
                <w:ind w:firstLineChars="200" w:firstLine="420"/>
              </w:pPr>
              <w:r>
                <w:rPr>
                  <w:rFonts w:hint="eastAsia"/>
                </w:rPr>
                <w:t>本期经营活动现金净额同比减少约</w:t>
              </w:r>
              <w:r>
                <w:t>6,868.64 万元，主要是本期经营活动现金流入减少且经营活动现金流出增加，使本期经营活动现金流量净额减少；投资活动产生的现金流量净额同比减少约5,116.02 万元，主要是本期支付合营联营公司认缴出资款以及上期收到股权转让款所致；筹资活动产生的现金流量净额同比减少约21,241.51 万元, 主要是上期取得增资款所致。</w:t>
              </w:r>
            </w:p>
            <w:p w14:paraId="6CB8C188" w14:textId="77777777" w:rsidR="00B32AE5" w:rsidRDefault="00B32AE5" w:rsidP="00B32AE5">
              <w:pPr>
                <w:ind w:firstLineChars="200" w:firstLine="420"/>
              </w:pPr>
              <w:r>
                <w:rPr>
                  <w:rFonts w:hint="eastAsia"/>
                </w:rPr>
                <w:t>本期经营活动产生的现金流量净额为</w:t>
              </w:r>
              <w:r>
                <w:t>-6,868.64 万元，本期净利润为-61.88 万元，本公司主要通过内部产生的现金流筹集营运所需资金。</w:t>
              </w:r>
            </w:p>
            <w:p w14:paraId="06E5722D" w14:textId="77777777" w:rsidR="00B32AE5" w:rsidRDefault="00B32AE5" w:rsidP="00B32AE5">
              <w:pPr>
                <w:ind w:firstLineChars="200" w:firstLine="420"/>
              </w:pPr>
              <w:r>
                <w:t>5、资本结构</w:t>
              </w:r>
            </w:p>
            <w:p w14:paraId="2B59CDE3" w14:textId="77777777" w:rsidR="00B32AE5" w:rsidRDefault="00B32AE5" w:rsidP="0081641D">
              <w:pPr>
                <w:ind w:firstLineChars="200" w:firstLine="420"/>
              </w:pPr>
              <w:r>
                <w:rPr>
                  <w:rFonts w:hint="eastAsia"/>
                </w:rPr>
                <w:t>报告期公司资本结构由股东权益和负债构成。股东权益</w:t>
              </w:r>
              <w:r>
                <w:t>100,067.07 万元，其中，少数股东权益30,279.73 万元；负债总额58,418.01 万元。资产总额158,485.08 万元，期末资产负债率36.86%。</w:t>
              </w:r>
            </w:p>
            <w:p w14:paraId="2F3C5761" w14:textId="77777777" w:rsidR="00B32AE5" w:rsidRDefault="00B32AE5" w:rsidP="0081641D">
              <w:r>
                <w:rPr>
                  <w:rFonts w:hint="eastAsia"/>
                </w:rPr>
                <w:t>按流动性划分资本结构</w:t>
              </w:r>
            </w:p>
            <w:p w14:paraId="38F0FCE1" w14:textId="43FDD5E6" w:rsidR="00B32AE5" w:rsidRDefault="00B32AE5" w:rsidP="00B32AE5">
              <w:r>
                <w:rPr>
                  <w:rFonts w:hint="eastAsia"/>
                </w:rPr>
                <w:t>流动负债合计</w:t>
              </w:r>
              <w:r>
                <w:t xml:space="preserve">               </w:t>
              </w:r>
              <w:r w:rsidR="0081641D">
                <w:t xml:space="preserve"> </w:t>
              </w:r>
              <w:r>
                <w:t xml:space="preserve"> 53,152.90 </w:t>
              </w:r>
              <w:r w:rsidR="005D4A21">
                <w:t xml:space="preserve"> </w:t>
              </w:r>
              <w:r>
                <w:t xml:space="preserve">万元       </w:t>
              </w:r>
              <w:r w:rsidR="005D4A21">
                <w:t xml:space="preserve"> </w:t>
              </w:r>
              <w:r>
                <w:t xml:space="preserve">  占资产比重   33.54%</w:t>
              </w:r>
            </w:p>
            <w:p w14:paraId="10221903" w14:textId="7C03C3A0" w:rsidR="00B32AE5" w:rsidRDefault="00B32AE5" w:rsidP="00B32AE5">
              <w:r>
                <w:rPr>
                  <w:rFonts w:hint="eastAsia"/>
                </w:rPr>
                <w:t>股东权益合计</w:t>
              </w:r>
              <w:r>
                <w:t xml:space="preserve">              </w:t>
              </w:r>
              <w:r w:rsidR="0081641D">
                <w:t xml:space="preserve">  </w:t>
              </w:r>
              <w:r>
                <w:t xml:space="preserve"> 100,067.07万元         </w:t>
              </w:r>
              <w:r w:rsidR="005D4A21">
                <w:t xml:space="preserve"> </w:t>
              </w:r>
              <w:r>
                <w:t xml:space="preserve"> 占资产比重   63.14%</w:t>
              </w:r>
            </w:p>
            <w:p w14:paraId="07263055" w14:textId="77777777" w:rsidR="00B32AE5" w:rsidRDefault="00B32AE5" w:rsidP="00B32AE5">
              <w:r>
                <w:rPr>
                  <w:rFonts w:hint="eastAsia"/>
                </w:rPr>
                <w:t>其中：少数股东权益</w:t>
              </w:r>
              <w:r>
                <w:t xml:space="preserve">           30,279.73 万元           占资产比重   19.11%</w:t>
              </w:r>
            </w:p>
            <w:p w14:paraId="5F18CEBF" w14:textId="77777777" w:rsidR="00B32AE5" w:rsidRDefault="00B32AE5" w:rsidP="0081641D">
              <w:pPr>
                <w:ind w:firstLineChars="200" w:firstLine="420"/>
              </w:pPr>
              <w:r>
                <w:t>6、或有负债</w:t>
              </w:r>
            </w:p>
            <w:p w14:paraId="55C0531F" w14:textId="77777777" w:rsidR="00B32AE5" w:rsidRDefault="00B32AE5" w:rsidP="0081641D">
              <w:pPr>
                <w:ind w:firstLineChars="200" w:firstLine="420"/>
              </w:pPr>
              <w:r>
                <w:rPr>
                  <w:rFonts w:hint="eastAsia"/>
                </w:rPr>
                <w:t>报告期末，本集团无需要披露的重大或有事项。</w:t>
              </w:r>
            </w:p>
            <w:p w14:paraId="4E41AF04" w14:textId="77777777" w:rsidR="00B32AE5" w:rsidRDefault="00B32AE5" w:rsidP="00B32AE5"/>
            <w:p w14:paraId="48E415BA" w14:textId="77777777" w:rsidR="00B32AE5" w:rsidRDefault="00B32AE5" w:rsidP="0081641D">
              <w:pPr>
                <w:ind w:firstLineChars="200" w:firstLine="420"/>
              </w:pPr>
              <w:r>
                <w:t>7、公司资产押记祥情</w:t>
              </w:r>
            </w:p>
            <w:p w14:paraId="71226246" w14:textId="46C27E6F" w:rsidR="00B32AE5" w:rsidRDefault="00B32AE5" w:rsidP="00B32AE5">
              <w:r>
                <w:rPr>
                  <w:rFonts w:hint="eastAsia"/>
                </w:rPr>
                <w:t>项目</w:t>
              </w:r>
              <w:r>
                <w:tab/>
              </w:r>
              <w:r w:rsidR="0081641D">
                <w:t xml:space="preserve">    </w:t>
              </w:r>
              <w:r>
                <w:t>期末账面价值</w:t>
              </w:r>
              <w:r>
                <w:tab/>
                <w:t>受限原因</w:t>
              </w:r>
            </w:p>
            <w:p w14:paraId="4F21123D" w14:textId="77777777" w:rsidR="00B32AE5" w:rsidRDefault="00B32AE5" w:rsidP="00B32AE5">
              <w:r>
                <w:rPr>
                  <w:rFonts w:hint="eastAsia"/>
                </w:rPr>
                <w:t>货币资金</w:t>
              </w:r>
              <w:r>
                <w:tab/>
                <w:t>15,350,166.73</w:t>
              </w:r>
              <w:r>
                <w:tab/>
                <w:t>银行承兑汇票保证金、保函保证金、诉讼冻结</w:t>
              </w:r>
            </w:p>
            <w:p w14:paraId="42C57CE9" w14:textId="77777777" w:rsidR="00B32AE5" w:rsidRDefault="00B32AE5" w:rsidP="00B32AE5"/>
            <w:p w14:paraId="2D55CCD0" w14:textId="77777777" w:rsidR="00B32AE5" w:rsidRDefault="00B32AE5" w:rsidP="0043540E">
              <w:pPr>
                <w:ind w:firstLineChars="200" w:firstLine="420"/>
              </w:pPr>
              <w:r>
                <w:t>8、报告期雇员人数、酬金、薪酬政策以及培训计划情况</w:t>
              </w:r>
            </w:p>
            <w:p w14:paraId="4F9F1D0E" w14:textId="77777777" w:rsidR="00B32AE5" w:rsidRDefault="00B32AE5" w:rsidP="0081641D">
              <w:pPr>
                <w:ind w:firstLineChars="200" w:firstLine="420"/>
              </w:pPr>
              <w:r>
                <w:rPr>
                  <w:rFonts w:hint="eastAsia"/>
                </w:rPr>
                <w:t>（</w:t>
              </w:r>
              <w:r>
                <w:t>1） 雇员人数：</w:t>
              </w:r>
            </w:p>
            <w:p w14:paraId="262A8598" w14:textId="77777777" w:rsidR="00B32AE5" w:rsidRDefault="00B32AE5" w:rsidP="0081641D">
              <w:pPr>
                <w:ind w:firstLineChars="200" w:firstLine="420"/>
              </w:pPr>
              <w:r>
                <w:rPr>
                  <w:rFonts w:hint="eastAsia"/>
                </w:rPr>
                <w:t>报告期公司雇员人</w:t>
              </w:r>
              <w:r>
                <w:t>1323人。</w:t>
              </w:r>
            </w:p>
            <w:p w14:paraId="4853D416" w14:textId="77777777" w:rsidR="00B32AE5" w:rsidRDefault="00B32AE5" w:rsidP="0081641D">
              <w:pPr>
                <w:ind w:firstLineChars="200" w:firstLine="420"/>
              </w:pPr>
              <w:r>
                <w:rPr>
                  <w:rFonts w:hint="eastAsia"/>
                </w:rPr>
                <w:t>（</w:t>
              </w:r>
              <w:r>
                <w:t>2）酬金：</w:t>
              </w:r>
            </w:p>
            <w:p w14:paraId="52FC2EDA" w14:textId="77777777" w:rsidR="00B32AE5" w:rsidRDefault="00B32AE5" w:rsidP="0081641D">
              <w:pPr>
                <w:ind w:firstLineChars="200" w:firstLine="420"/>
              </w:pPr>
              <w:r>
                <w:rPr>
                  <w:rFonts w:hint="eastAsia"/>
                </w:rPr>
                <w:t>报告期支付雇员酬金</w:t>
              </w:r>
              <w:r>
                <w:t>7783.85万元。</w:t>
              </w:r>
            </w:p>
            <w:p w14:paraId="2F9E3963" w14:textId="77777777" w:rsidR="00B32AE5" w:rsidRDefault="00B32AE5" w:rsidP="0081641D">
              <w:pPr>
                <w:ind w:firstLineChars="200" w:firstLine="420"/>
              </w:pPr>
              <w:r>
                <w:rPr>
                  <w:rFonts w:hint="eastAsia"/>
                </w:rPr>
                <w:t>（</w:t>
              </w:r>
              <w:r>
                <w:t>3）薪酬政策</w:t>
              </w:r>
            </w:p>
            <w:p w14:paraId="640C5CC9" w14:textId="77777777" w:rsidR="00B32AE5" w:rsidRDefault="00B32AE5" w:rsidP="0081641D">
              <w:pPr>
                <w:ind w:firstLineChars="200" w:firstLine="420"/>
              </w:pPr>
              <w:r>
                <w:rPr>
                  <w:rFonts w:hint="eastAsia"/>
                </w:rPr>
                <w:t>公司实施以岗位绩效工资为主体的多元化薪酬制度</w:t>
              </w:r>
              <w:r>
                <w:t>,岗位绩效工资按照在定岗定编的基础上,通过岗位评价确定岗位相对价值并参考劳动力市场价位确定工资水平,以保证薪酬的内外部公平性。在此基础上，技术职系人员实施技术等级评聘和技术创新奖励办法，业务职系人员实施销售业绩提成办法，一线技能职系人员实施计件工资制度，管理职系人员实施岗位业绩和能力考核，高级管理人员实施年薪制，按照不同人员不同工作性质，采取分层分类的多元化的薪酬政策。2021年5月本部正式实施《员工薪酬管理办法》，进一步完善公司薪酬管理制度，更加有利于贯彻按劳分</w:t>
              </w:r>
              <w:r>
                <w:rPr>
                  <w:rFonts w:hint="eastAsia"/>
                </w:rPr>
                <w:t>配，同时颁布了《核心人才管理办法》，针对技术职系、技能职系、业务职系和管理职系不同岗位的员工搭建了多元化的职业发展通道，极大地调动企业职工扎根本岗、埋头实干、不断提高员工业务能力的积极性。</w:t>
              </w:r>
            </w:p>
            <w:p w14:paraId="49507258" w14:textId="77777777" w:rsidR="00B32AE5" w:rsidRDefault="00B32AE5" w:rsidP="0081641D">
              <w:pPr>
                <w:ind w:firstLineChars="200" w:firstLine="420"/>
              </w:pPr>
              <w:r>
                <w:rPr>
                  <w:rFonts w:hint="eastAsia"/>
                </w:rPr>
                <w:t>（</w:t>
              </w:r>
              <w:r>
                <w:t>4）培训计划</w:t>
              </w:r>
            </w:p>
            <w:p w14:paraId="2E3F8651" w14:textId="77777777" w:rsidR="00B32AE5" w:rsidRDefault="00B32AE5" w:rsidP="0081641D">
              <w:pPr>
                <w:ind w:firstLineChars="200" w:firstLine="420"/>
              </w:pPr>
              <w:r>
                <w:t>2021年上半年，根据《2021年度培训计划》已经完成培训总学时12580小时，共涉及2773培训人次，人均培训课时达10.1小时。根据公司年度培训计划内容，公司组织完成了《数字化管理技能提升》《&lt;新瓶规&gt;宣贯》《技术研发人员职业素养修炼》《产品基础知识培训》《业务人员合规培训》《安全生产法规和规章宣贯》等等。</w:t>
              </w:r>
            </w:p>
            <w:p w14:paraId="56109DED" w14:textId="77777777" w:rsidR="00B32AE5" w:rsidRDefault="00B32AE5" w:rsidP="0081641D">
              <w:pPr>
                <w:ind w:firstLineChars="200" w:firstLine="420"/>
              </w:pPr>
              <w:r>
                <w:t>9、公司治理</w:t>
              </w:r>
            </w:p>
            <w:p w14:paraId="56877865" w14:textId="77777777" w:rsidR="00B32AE5" w:rsidRDefault="00B32AE5" w:rsidP="0081641D">
              <w:pPr>
                <w:ind w:firstLineChars="200" w:firstLine="420"/>
              </w:pPr>
              <w:r>
                <w:rPr>
                  <w:rFonts w:hint="eastAsia"/>
                </w:rPr>
                <w:t>报告期内，公司有效保证了股东大会、董事会、监事会及经理层之间权责明确、各司其职、运营合规。公司董事会及下设战略委员会、审计委员会、薪酬与考核委员会及提名委员会和监事会按各自职责开展工作。公司信息披露真实、准确、完整、及时。公司治理的实际状况符合相关规定的要求。</w:t>
              </w:r>
            </w:p>
            <w:p w14:paraId="262298BA" w14:textId="77777777" w:rsidR="00B32AE5" w:rsidRDefault="00B32AE5" w:rsidP="0081641D">
              <w:pPr>
                <w:ind w:firstLineChars="200" w:firstLine="420"/>
              </w:pPr>
              <w:r>
                <w:t>10、其他</w:t>
              </w:r>
            </w:p>
            <w:p w14:paraId="1849EFD7" w14:textId="77777777" w:rsidR="00B32AE5" w:rsidRDefault="00B32AE5" w:rsidP="0081641D">
              <w:pPr>
                <w:ind w:firstLineChars="200" w:firstLine="420"/>
              </w:pPr>
              <w:r>
                <w:rPr>
                  <w:rFonts w:hint="eastAsia"/>
                </w:rPr>
                <w:t>（</w:t>
              </w:r>
              <w:r>
                <w:t xml:space="preserve">1）报告期本公司企业所得税的适用税率为25%。 </w:t>
              </w:r>
            </w:p>
            <w:p w14:paraId="6782BD88" w14:textId="77777777" w:rsidR="00B32AE5" w:rsidRDefault="00B32AE5" w:rsidP="0081641D">
              <w:pPr>
                <w:ind w:firstLineChars="200" w:firstLine="420"/>
              </w:pPr>
              <w:r>
                <w:rPr>
                  <w:rFonts w:hint="eastAsia"/>
                </w:rPr>
                <w:t>（</w:t>
              </w:r>
              <w:r>
                <w:t xml:space="preserve">2）本公司董事会之审计委员会已审阅了本公司未经审计的2021年半年度业绩报告。 </w:t>
              </w:r>
            </w:p>
            <w:p w14:paraId="1DADED9D" w14:textId="77777777" w:rsidR="00B32AE5" w:rsidRDefault="00B32AE5" w:rsidP="0081641D">
              <w:pPr>
                <w:ind w:firstLineChars="200" w:firstLine="420"/>
              </w:pPr>
              <w:r>
                <w:rPr>
                  <w:rFonts w:hint="eastAsia"/>
                </w:rPr>
                <w:t>（</w:t>
              </w:r>
              <w:r>
                <w:t xml:space="preserve">3）本公司于报告期内一直遵守联交所证券上市规则附录十四之《企业管治常规守则》守则条文。 </w:t>
              </w:r>
            </w:p>
            <w:p w14:paraId="34816665" w14:textId="77777777" w:rsidR="00B32AE5" w:rsidRDefault="00B32AE5" w:rsidP="0081641D">
              <w:pPr>
                <w:ind w:firstLineChars="200" w:firstLine="420"/>
              </w:pPr>
              <w:r>
                <w:rPr>
                  <w:rFonts w:hint="eastAsia"/>
                </w:rPr>
                <w:t>（</w:t>
              </w:r>
              <w:r>
                <w:t xml:space="preserve">4）于报告期内，本公司就董事及监事的证券交易，已采纳一套不低于联交所证券上市规则附录十所载的《标准守则》。经与全部董事及监事做出查询后，本公司确认，在截止2021年6月30日之6个月，各董事及监事已遵守该标准守则所规定有关董事进行证券交易的标准。 </w:t>
              </w:r>
            </w:p>
            <w:p w14:paraId="6341F9AB" w14:textId="77777777" w:rsidR="00B32AE5" w:rsidRDefault="00B32AE5" w:rsidP="0081641D">
              <w:pPr>
                <w:ind w:firstLineChars="200" w:firstLine="420"/>
              </w:pPr>
              <w:r>
                <w:rPr>
                  <w:rFonts w:hint="eastAsia"/>
                </w:rPr>
                <w:t>（</w:t>
              </w:r>
              <w:r>
                <w:t xml:space="preserve">5）报告期内，本公司及附属公司均没有购买、出售或赎回任何本公司之股票。 </w:t>
              </w:r>
            </w:p>
            <w:p w14:paraId="7514122C" w14:textId="77777777" w:rsidR="00B32AE5" w:rsidRDefault="00B32AE5" w:rsidP="0081641D">
              <w:pPr>
                <w:ind w:firstLineChars="200" w:firstLine="420"/>
              </w:pPr>
              <w:r>
                <w:rPr>
                  <w:rFonts w:hint="eastAsia"/>
                </w:rPr>
                <w:t>（</w:t>
              </w:r>
              <w:r>
                <w:t>6）与上年度财务报告相比，合并报表范围未发生变化。</w:t>
              </w:r>
            </w:p>
            <w:p w14:paraId="19972454" w14:textId="06B732A3" w:rsidR="00B32AE5" w:rsidRDefault="00B664AF"/>
          </w:sdtContent>
        </w:sdt>
        <w:p w14:paraId="229EDA68" w14:textId="3D87C9A7" w:rsidR="007F1C2B" w:rsidRDefault="00B664AF"/>
      </w:sdtContent>
    </w:sdt>
    <w:bookmarkEnd w:id="31" w:displacedByCustomXml="prev"/>
    <w:bookmarkEnd w:id="30" w:displacedByCustomXml="prev"/>
    <w:p w14:paraId="3CC0C0C1" w14:textId="5BF3B475" w:rsidR="007F1C2B" w:rsidRDefault="004F686E" w:rsidP="004F686E">
      <w:pPr>
        <w:pStyle w:val="10"/>
        <w:numPr>
          <w:ilvl w:val="0"/>
          <w:numId w:val="3"/>
        </w:numPr>
        <w:rPr>
          <w:rFonts w:ascii="黑体" w:hAnsi="黑体"/>
        </w:rPr>
      </w:pPr>
      <w:bookmarkStart w:id="34" w:name="_Toc76114275"/>
      <w:r>
        <w:rPr>
          <w:rFonts w:ascii="黑体" w:hAnsi="黑体" w:hint="eastAsia"/>
        </w:rPr>
        <w:t>公司治理</w:t>
      </w:r>
      <w:bookmarkEnd w:id="34"/>
    </w:p>
    <w:bookmarkStart w:id="35" w:name="_Hlk74646363" w:displacedByCustomXml="next"/>
    <w:sdt>
      <w:sdtPr>
        <w:rPr>
          <w:rFonts w:ascii="宋体" w:hAnsi="宋体" w:cs="宋体"/>
          <w:b w:val="0"/>
          <w:bCs w:val="0"/>
          <w:kern w:val="0"/>
          <w:szCs w:val="24"/>
        </w:rPr>
        <w:alias w:val="模块:股东大会情况简介"/>
        <w:tag w:val="_SEC_d8b5f940b6314e479198b8ccc086b98d"/>
        <w:id w:val="756786247"/>
        <w:lock w:val="sdtLocked"/>
        <w:placeholder>
          <w:docPart w:val="GBC22222222222222222222222222222"/>
        </w:placeholder>
      </w:sdtPr>
      <w:sdtEndPr/>
      <w:sdtContent>
        <w:p w14:paraId="0B222F2F" w14:textId="501407F2" w:rsidR="007F1C2B" w:rsidRDefault="004F686E" w:rsidP="004F686E">
          <w:pPr>
            <w:pStyle w:val="2"/>
            <w:numPr>
              <w:ilvl w:val="0"/>
              <w:numId w:val="15"/>
            </w:numPr>
            <w:tabs>
              <w:tab w:val="left" w:pos="426"/>
            </w:tabs>
            <w:ind w:firstLineChars="0"/>
            <w:jc w:val="left"/>
            <w:rPr>
              <w:rFonts w:ascii="宋体" w:hAnsi="宋体"/>
            </w:rPr>
          </w:pPr>
          <w:r>
            <w:rPr>
              <w:rFonts w:ascii="宋体" w:hAnsi="宋体"/>
            </w:rPr>
            <w:t>股东大会情况简介</w:t>
          </w:r>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636"/>
            <w:gridCol w:w="2526"/>
            <w:gridCol w:w="875"/>
            <w:gridCol w:w="4150"/>
          </w:tblGrid>
          <w:tr w:rsidR="00FC65A7" w14:paraId="789ADB6C" w14:textId="77777777" w:rsidTr="006311A2">
            <w:trPr>
              <w:trHeight w:val="165"/>
            </w:trPr>
            <w:sdt>
              <w:sdtPr>
                <w:tag w:val="_PLD_22bc61a8a37f49b2b6002bda8044b00b"/>
                <w:id w:val="2003302397"/>
                <w:lock w:val="sdtLocked"/>
              </w:sdtPr>
              <w:sdtEndPr/>
              <w:sdtContent>
                <w:tc>
                  <w:tcPr>
                    <w:tcW w:w="360" w:type="pct"/>
                    <w:vAlign w:val="center"/>
                  </w:tcPr>
                  <w:p w14:paraId="78F8177C" w14:textId="77777777" w:rsidR="00FC65A7" w:rsidRDefault="00FC65A7" w:rsidP="006311A2">
                    <w:pPr>
                      <w:jc w:val="center"/>
                      <w:rPr>
                        <w:szCs w:val="21"/>
                      </w:rPr>
                    </w:pPr>
                    <w:r>
                      <w:rPr>
                        <w:szCs w:val="21"/>
                      </w:rPr>
                      <w:t>会议届次</w:t>
                    </w:r>
                  </w:p>
                </w:tc>
              </w:sdtContent>
            </w:sdt>
            <w:sdt>
              <w:sdtPr>
                <w:tag w:val="_PLD_4d4c6f75c14e44a5ae87874c2dde133c"/>
                <w:id w:val="355703651"/>
                <w:lock w:val="sdtLocked"/>
              </w:sdtPr>
              <w:sdtEndPr/>
              <w:sdtContent>
                <w:tc>
                  <w:tcPr>
                    <w:tcW w:w="360" w:type="pct"/>
                    <w:vAlign w:val="center"/>
                  </w:tcPr>
                  <w:p w14:paraId="60A9EE86" w14:textId="77777777" w:rsidR="00FC65A7" w:rsidRDefault="00FC65A7" w:rsidP="006311A2">
                    <w:pPr>
                      <w:jc w:val="center"/>
                      <w:rPr>
                        <w:szCs w:val="21"/>
                      </w:rPr>
                    </w:pPr>
                    <w:r>
                      <w:rPr>
                        <w:szCs w:val="21"/>
                      </w:rPr>
                      <w:t>召开</w:t>
                    </w:r>
                  </w:p>
                  <w:p w14:paraId="72307BE5" w14:textId="77777777" w:rsidR="00FC65A7" w:rsidRDefault="00FC65A7" w:rsidP="006311A2">
                    <w:pPr>
                      <w:jc w:val="center"/>
                      <w:rPr>
                        <w:szCs w:val="21"/>
                      </w:rPr>
                    </w:pPr>
                    <w:r>
                      <w:rPr>
                        <w:szCs w:val="21"/>
                      </w:rPr>
                      <w:t>日期</w:t>
                    </w:r>
                  </w:p>
                </w:tc>
              </w:sdtContent>
            </w:sdt>
            <w:sdt>
              <w:sdtPr>
                <w:tag w:val="_PLD_63dde22e2e0a412986c86439c3ed05c3"/>
                <w:id w:val="1928066705"/>
                <w:lock w:val="sdtLocked"/>
              </w:sdtPr>
              <w:sdtEndPr/>
              <w:sdtContent>
                <w:tc>
                  <w:tcPr>
                    <w:tcW w:w="1431" w:type="pct"/>
                    <w:vAlign w:val="center"/>
                  </w:tcPr>
                  <w:p w14:paraId="490DEBA3" w14:textId="77777777" w:rsidR="00FC65A7" w:rsidRDefault="00FC65A7" w:rsidP="006311A2">
                    <w:pPr>
                      <w:jc w:val="center"/>
                      <w:rPr>
                        <w:szCs w:val="21"/>
                      </w:rPr>
                    </w:pPr>
                    <w:r>
                      <w:rPr>
                        <w:szCs w:val="21"/>
                      </w:rPr>
                      <w:t>决议刊登的指定</w:t>
                    </w:r>
                  </w:p>
                  <w:p w14:paraId="3615B856" w14:textId="77777777" w:rsidR="00FC65A7" w:rsidRDefault="00FC65A7" w:rsidP="006311A2">
                    <w:pPr>
                      <w:jc w:val="center"/>
                      <w:rPr>
                        <w:szCs w:val="21"/>
                      </w:rPr>
                    </w:pPr>
                    <w:r>
                      <w:rPr>
                        <w:szCs w:val="21"/>
                      </w:rPr>
                      <w:t>网站的查询索引</w:t>
                    </w:r>
                  </w:p>
                </w:tc>
              </w:sdtContent>
            </w:sdt>
            <w:sdt>
              <w:sdtPr>
                <w:tag w:val="_PLD_68e4d17d74f541f9b1d7075bcbb5b6c5"/>
                <w:id w:val="2061354450"/>
                <w:lock w:val="sdtLocked"/>
              </w:sdtPr>
              <w:sdtEndPr/>
              <w:sdtContent>
                <w:tc>
                  <w:tcPr>
                    <w:tcW w:w="496" w:type="pct"/>
                    <w:vAlign w:val="center"/>
                  </w:tcPr>
                  <w:p w14:paraId="7A4D9933" w14:textId="77777777" w:rsidR="00FC65A7" w:rsidRDefault="00FC65A7" w:rsidP="006311A2">
                    <w:pPr>
                      <w:jc w:val="center"/>
                      <w:rPr>
                        <w:szCs w:val="21"/>
                      </w:rPr>
                    </w:pPr>
                    <w:r>
                      <w:rPr>
                        <w:szCs w:val="21"/>
                      </w:rPr>
                      <w:t>决议刊登的披露日期</w:t>
                    </w:r>
                  </w:p>
                </w:tc>
              </w:sdtContent>
            </w:sdt>
            <w:tc>
              <w:tcPr>
                <w:tcW w:w="2352" w:type="pct"/>
                <w:vAlign w:val="center"/>
              </w:tcPr>
              <w:sdt>
                <w:sdtPr>
                  <w:rPr>
                    <w:rFonts w:hint="eastAsia"/>
                  </w:rPr>
                  <w:tag w:val="_PLD_d7d78aa5be2349bcb77c83b55ac046e4"/>
                  <w:id w:val="1693176537"/>
                  <w:lock w:val="sdtLocked"/>
                </w:sdtPr>
                <w:sdtEndPr/>
                <w:sdtContent>
                  <w:p w14:paraId="0DFB3131" w14:textId="77777777" w:rsidR="00FC65A7" w:rsidRDefault="00FC65A7" w:rsidP="006311A2">
                    <w:pPr>
                      <w:jc w:val="center"/>
                    </w:pPr>
                    <w:r w:rsidRPr="00471D53">
                      <w:rPr>
                        <w:rFonts w:hint="eastAsia"/>
                      </w:rPr>
                      <w:t>会议决议</w:t>
                    </w:r>
                  </w:p>
                </w:sdtContent>
              </w:sdt>
            </w:tc>
          </w:tr>
          <w:sdt>
            <w:sdtPr>
              <w:rPr>
                <w:rFonts w:asciiTheme="minorHAnsi" w:eastAsiaTheme="minorEastAsia" w:hAnsiTheme="minorHAnsi" w:cstheme="minorBidi" w:hint="eastAsia"/>
                <w:kern w:val="2"/>
                <w:szCs w:val="21"/>
              </w:rPr>
              <w:alias w:val="股东大会情况"/>
              <w:tag w:val="_TUP_4299ac0eb78c4c11ae0a1812edf5a2f1"/>
              <w:id w:val="763031882"/>
              <w:lock w:val="sdtLocked"/>
            </w:sdtPr>
            <w:sdtEndPr/>
            <w:sdtContent>
              <w:tr w:rsidR="00FC65A7" w14:paraId="3380A350" w14:textId="77777777" w:rsidTr="006311A2">
                <w:trPr>
                  <w:trHeight w:val="195"/>
                </w:trPr>
                <w:tc>
                  <w:tcPr>
                    <w:tcW w:w="360" w:type="pct"/>
                  </w:tcPr>
                  <w:p w14:paraId="67E0A808" w14:textId="77777777" w:rsidR="00FC65A7" w:rsidRDefault="00FC65A7" w:rsidP="006311A2">
                    <w:pPr>
                      <w:rPr>
                        <w:szCs w:val="21"/>
                      </w:rPr>
                    </w:pPr>
                    <w:r w:rsidRPr="00C64405">
                      <w:rPr>
                        <w:szCs w:val="21"/>
                      </w:rPr>
                      <w:t>202</w:t>
                    </w:r>
                    <w:r>
                      <w:rPr>
                        <w:szCs w:val="21"/>
                      </w:rPr>
                      <w:t>1</w:t>
                    </w:r>
                    <w:r w:rsidRPr="00C64405">
                      <w:rPr>
                        <w:szCs w:val="21"/>
                      </w:rPr>
                      <w:t>年第一次临时股东大会</w:t>
                    </w:r>
                  </w:p>
                </w:tc>
                <w:tc>
                  <w:tcPr>
                    <w:tcW w:w="360" w:type="pct"/>
                  </w:tcPr>
                  <w:p w14:paraId="309B2707" w14:textId="77777777" w:rsidR="00FC65A7" w:rsidRDefault="00FC65A7" w:rsidP="006311A2">
                    <w:pPr>
                      <w:rPr>
                        <w:szCs w:val="21"/>
                      </w:rPr>
                    </w:pPr>
                    <w:r w:rsidRPr="00C64405">
                      <w:rPr>
                        <w:szCs w:val="21"/>
                      </w:rPr>
                      <w:t>2021年</w:t>
                    </w:r>
                  </w:p>
                  <w:p w14:paraId="4B351581" w14:textId="77777777" w:rsidR="00FC65A7" w:rsidRPr="00C64405" w:rsidRDefault="00FC65A7" w:rsidP="006311A2">
                    <w:pPr>
                      <w:rPr>
                        <w:szCs w:val="21"/>
                      </w:rPr>
                    </w:pPr>
                    <w:r w:rsidRPr="00C64405">
                      <w:rPr>
                        <w:szCs w:val="21"/>
                      </w:rPr>
                      <w:t>2月9日</w:t>
                    </w:r>
                  </w:p>
                </w:tc>
                <w:tc>
                  <w:tcPr>
                    <w:tcW w:w="1431" w:type="pct"/>
                  </w:tcPr>
                  <w:p w14:paraId="4E86C729" w14:textId="77777777" w:rsidR="00FC65A7" w:rsidRDefault="00FC65A7" w:rsidP="006311A2">
                    <w:pPr>
                      <w:rPr>
                        <w:szCs w:val="21"/>
                      </w:rPr>
                    </w:pPr>
                    <w:r w:rsidRPr="00295C65">
                      <w:rPr>
                        <w:rFonts w:hint="eastAsia"/>
                        <w:szCs w:val="21"/>
                      </w:rPr>
                      <w:t>上海证券交易所网站</w:t>
                    </w:r>
                    <w:r w:rsidRPr="00295C65">
                      <w:rPr>
                        <w:szCs w:val="21"/>
                      </w:rPr>
                      <w:t>http://www.sse.com.cn;香港交易所披露易网站http://www.hkexnews.hk</w:t>
                    </w:r>
                  </w:p>
                  <w:p w14:paraId="23934CCF" w14:textId="77777777" w:rsidR="00FC65A7" w:rsidRDefault="00FC65A7" w:rsidP="006311A2">
                    <w:pPr>
                      <w:rPr>
                        <w:szCs w:val="21"/>
                      </w:rPr>
                    </w:pPr>
                  </w:p>
                </w:tc>
                <w:tc>
                  <w:tcPr>
                    <w:tcW w:w="496" w:type="pct"/>
                  </w:tcPr>
                  <w:p w14:paraId="64F65DAA" w14:textId="77777777" w:rsidR="00FC65A7" w:rsidRDefault="00FC65A7" w:rsidP="006311A2">
                    <w:pPr>
                      <w:rPr>
                        <w:szCs w:val="21"/>
                      </w:rPr>
                    </w:pPr>
                    <w:r w:rsidRPr="00295C65">
                      <w:rPr>
                        <w:szCs w:val="21"/>
                      </w:rPr>
                      <w:t>2021年2月</w:t>
                    </w:r>
                  </w:p>
                  <w:p w14:paraId="5A743300" w14:textId="77777777" w:rsidR="00FC65A7" w:rsidRDefault="00FC65A7" w:rsidP="006311A2">
                    <w:pPr>
                      <w:rPr>
                        <w:szCs w:val="21"/>
                      </w:rPr>
                    </w:pPr>
                    <w:r>
                      <w:rPr>
                        <w:szCs w:val="21"/>
                      </w:rPr>
                      <w:t>10</w:t>
                    </w:r>
                    <w:r w:rsidRPr="00295C65">
                      <w:rPr>
                        <w:szCs w:val="21"/>
                      </w:rPr>
                      <w:t>日</w:t>
                    </w:r>
                  </w:p>
                </w:tc>
                <w:tc>
                  <w:tcPr>
                    <w:tcW w:w="2352" w:type="pct"/>
                  </w:tcPr>
                  <w:p w14:paraId="36D56496" w14:textId="77777777" w:rsidR="00FC65A7" w:rsidRDefault="00FC65A7" w:rsidP="006311A2">
                    <w:pPr>
                      <w:rPr>
                        <w:szCs w:val="21"/>
                      </w:rPr>
                    </w:pPr>
                    <w:r>
                      <w:rPr>
                        <w:rFonts w:hint="eastAsia"/>
                        <w:szCs w:val="21"/>
                      </w:rPr>
                      <w:t>审议通过以下议案：</w:t>
                    </w:r>
                    <w:r w:rsidRPr="00471D53">
                      <w:rPr>
                        <w:rFonts w:hint="eastAsia"/>
                        <w:szCs w:val="21"/>
                      </w:rPr>
                      <w:t>《关于公司符合发行股份及支付现金购买资产并募集配套资金条件的议案》；《关于公司发行股份及支付现金购买资产并募集配套资金方案的议案》；《关于</w:t>
                    </w:r>
                    <w:r w:rsidRPr="00471D53">
                      <w:rPr>
                        <w:szCs w:val="21"/>
                      </w:rPr>
                      <w:t>&lt;北京京城机电股份有限公司发行股份及支付现金购买资产并募集配套</w:t>
                    </w:r>
                    <w:r w:rsidRPr="00471D53">
                      <w:rPr>
                        <w:szCs w:val="21"/>
                      </w:rPr>
                      <w:lastRenderedPageBreak/>
                      <w:t>资金报告书（草案）（修订稿）&gt;及其摘要的议案》；《关于公司签订附条件生效的&lt;发行股份及支付现金购买资产协议&gt;及&lt;业绩补偿协议&gt;的议案》；《关于公司本次发行股份及支付现金购买资产并募集配套资金预计不构成重大资产重组、不构成重组上市的议案》；《关于公司本次发行股份及支付现金购买资产并募集配套资金符合&lt;关于规范上市公</w:t>
                    </w:r>
                    <w:r w:rsidRPr="00471D53">
                      <w:rPr>
                        <w:rFonts w:hint="eastAsia"/>
                        <w:szCs w:val="21"/>
                      </w:rPr>
                      <w:t>司重大资产重组若干问题的规定</w:t>
                    </w:r>
                    <w:r w:rsidRPr="00471D53">
                      <w:rPr>
                        <w:szCs w:val="21"/>
                      </w:rPr>
                      <w:t>&gt;第四条的议案》；《关于公司本次发行股份及支付现金购买资产并募集配套资金符合&lt;上市公司重大资产重组管理办法&gt;第十一条、第四十三规定的议案》；《关于公司本次发行股份及支付现金购买资产并募集配套资金符合&lt;上市公司重大资产重组管理办法&gt;第四十四条规定的议案》；《本次交易符合&lt;上市公司证券发行管理办法&gt;第三十九条规定的议案》；《关于公司股票价格波动未达到&lt;关于规范上市公司信息披露及相关各方行为的通知&gt;第五条相关标准的说明的议案》；《关于公司本次交易相关主体不存在依据&lt;关于加强与上市公司重</w:t>
                    </w:r>
                    <w:r w:rsidRPr="00471D53">
                      <w:rPr>
                        <w:rFonts w:hint="eastAsia"/>
                        <w:szCs w:val="21"/>
                      </w:rPr>
                      <w:t>大资产重组相关股票异常交易监管的暂行规定</w:t>
                    </w:r>
                    <w:r w:rsidRPr="00471D53">
                      <w:rPr>
                        <w:szCs w:val="21"/>
                      </w:rPr>
                      <w:t>&gt;第十三条不得参与任何上市公司重大资产重组情形的议案》；《关于公司本次交易履行法定程序的完备性、合规性及提交法律文件的有效性的说明》；《关于公司本次交易不构成关联交易的议案》；《关于公司本次交易对即期回报影响及填补回报措施的议案》；《关于提请股东大会及类别股东大会授权董事会全权办理公司本次发行股份及支付现金购买资产并募集配套资金有关事宜的议案》；《关于评估机构独立性、评估假设前提合理性、评估方法与评估目的相关性及评估定价公允性之意见的议案》；《关于批准本次交易有关审计</w:t>
                    </w:r>
                    <w:r w:rsidRPr="00471D53">
                      <w:rPr>
                        <w:rFonts w:hint="eastAsia"/>
                        <w:szCs w:val="21"/>
                      </w:rPr>
                      <w:t>报告、评估报告、备考审阅报告的议案》；《关于修订</w:t>
                    </w:r>
                    <w:r w:rsidRPr="00471D53">
                      <w:rPr>
                        <w:szCs w:val="21"/>
                      </w:rPr>
                      <w:t>&lt;公司章程&gt;的议案》；《关于修订&lt;股东大会议事规则&gt;的议案》；《关于修订&lt;董事会议事规则&gt;的议案》；《关于修订&lt;监事会议事规则&gt;的议案》；《关于修订&lt;募集资金管理办法&gt;的议案》</w:t>
                    </w:r>
                    <w:r>
                      <w:rPr>
                        <w:rFonts w:hint="eastAsia"/>
                        <w:szCs w:val="21"/>
                      </w:rPr>
                      <w:t>。</w:t>
                    </w:r>
                  </w:p>
                </w:tc>
              </w:tr>
            </w:sdtContent>
          </w:sdt>
          <w:sdt>
            <w:sdtPr>
              <w:rPr>
                <w:rFonts w:asciiTheme="minorHAnsi" w:eastAsiaTheme="minorEastAsia" w:hAnsiTheme="minorHAnsi" w:cstheme="minorBidi" w:hint="eastAsia"/>
                <w:kern w:val="2"/>
                <w:szCs w:val="21"/>
              </w:rPr>
              <w:alias w:val="股东大会情况"/>
              <w:tag w:val="_TUP_4299ac0eb78c4c11ae0a1812edf5a2f1"/>
              <w:id w:val="460394631"/>
              <w:lock w:val="sdtLocked"/>
            </w:sdtPr>
            <w:sdtEndPr/>
            <w:sdtContent>
              <w:tr w:rsidR="00FC65A7" w14:paraId="5039356D" w14:textId="77777777" w:rsidTr="006311A2">
                <w:trPr>
                  <w:trHeight w:val="195"/>
                </w:trPr>
                <w:tc>
                  <w:tcPr>
                    <w:tcW w:w="360" w:type="pct"/>
                  </w:tcPr>
                  <w:p w14:paraId="6905FF37" w14:textId="77777777" w:rsidR="00FC65A7" w:rsidRDefault="00FC65A7" w:rsidP="006311A2">
                    <w:pPr>
                      <w:rPr>
                        <w:szCs w:val="21"/>
                      </w:rPr>
                    </w:pPr>
                    <w:r>
                      <w:t>2021年第一次A股类别股东大会</w:t>
                    </w:r>
                  </w:p>
                </w:tc>
                <w:tc>
                  <w:tcPr>
                    <w:tcW w:w="360" w:type="pct"/>
                  </w:tcPr>
                  <w:p w14:paraId="261CC1F1" w14:textId="77777777" w:rsidR="00FC65A7" w:rsidRDefault="00FC65A7" w:rsidP="006311A2">
                    <w:pPr>
                      <w:rPr>
                        <w:szCs w:val="21"/>
                      </w:rPr>
                    </w:pPr>
                    <w:r>
                      <w:t>2021年2月9日</w:t>
                    </w:r>
                  </w:p>
                  <w:p w14:paraId="3848EFAD" w14:textId="77777777" w:rsidR="00FC65A7" w:rsidRPr="00C64405" w:rsidRDefault="00FC65A7" w:rsidP="006311A2">
                    <w:pPr>
                      <w:rPr>
                        <w:szCs w:val="21"/>
                      </w:rPr>
                    </w:pPr>
                  </w:p>
                </w:tc>
                <w:tc>
                  <w:tcPr>
                    <w:tcW w:w="1431" w:type="pct"/>
                  </w:tcPr>
                  <w:p w14:paraId="611F915E" w14:textId="77777777" w:rsidR="00FC65A7" w:rsidRDefault="00FC65A7" w:rsidP="006311A2">
                    <w:pPr>
                      <w:rPr>
                        <w:szCs w:val="21"/>
                      </w:rPr>
                    </w:pPr>
                  </w:p>
                  <w:p w14:paraId="1318B4F8" w14:textId="77777777" w:rsidR="00FC65A7" w:rsidRDefault="00FC65A7" w:rsidP="006311A2">
                    <w:pPr>
                      <w:rPr>
                        <w:szCs w:val="21"/>
                      </w:rPr>
                    </w:pPr>
                  </w:p>
                </w:tc>
                <w:tc>
                  <w:tcPr>
                    <w:tcW w:w="496" w:type="pct"/>
                  </w:tcPr>
                  <w:p w14:paraId="35E33E33" w14:textId="77777777" w:rsidR="00FC65A7" w:rsidRDefault="00FC65A7" w:rsidP="006311A2">
                    <w:pPr>
                      <w:rPr>
                        <w:szCs w:val="21"/>
                      </w:rPr>
                    </w:pPr>
                    <w:r>
                      <w:t>2021年2月10日</w:t>
                    </w:r>
                  </w:p>
                </w:tc>
                <w:tc>
                  <w:tcPr>
                    <w:tcW w:w="2352" w:type="pct"/>
                  </w:tcPr>
                  <w:p w14:paraId="69D5F587" w14:textId="77777777" w:rsidR="00FC65A7" w:rsidRDefault="00FC65A7" w:rsidP="006311A2">
                    <w:pPr>
                      <w:rPr>
                        <w:szCs w:val="21"/>
                      </w:rPr>
                    </w:pPr>
                    <w:r>
                      <w:t>审议通过以下议案：《关于公司发行股份及支付现金购买资产并募集配套资金方案的议案》；《关于&lt;北京京城机电股份有限公司发行股份及支付现金购买资产并募集配套资金报告书（草案）（修订稿）&gt;及其摘要的议案》；《关于公司签订附条件生效的&lt;发行股份及支付现金购买资产协议&gt;</w:t>
                    </w:r>
                    <w:r>
                      <w:lastRenderedPageBreak/>
                      <w:t>及&lt;业绩补偿协议&gt;的议案》；《关于提请股东大会及类别股东大会授权董事会全权办理公司本次发行股份及支付现金购买资产并募集配套资金有关事宜的议案》。</w:t>
                    </w:r>
                  </w:p>
                </w:tc>
              </w:tr>
            </w:sdtContent>
          </w:sdt>
          <w:sdt>
            <w:sdtPr>
              <w:rPr>
                <w:rFonts w:asciiTheme="minorHAnsi" w:eastAsiaTheme="minorEastAsia" w:hAnsiTheme="minorHAnsi" w:cstheme="minorBidi" w:hint="eastAsia"/>
                <w:kern w:val="2"/>
                <w:szCs w:val="21"/>
              </w:rPr>
              <w:alias w:val="股东大会情况"/>
              <w:tag w:val="_TUP_4299ac0eb78c4c11ae0a1812edf5a2f1"/>
              <w:id w:val="1541390130"/>
              <w:lock w:val="sdtLocked"/>
            </w:sdtPr>
            <w:sdtEndPr/>
            <w:sdtContent>
              <w:tr w:rsidR="00FC65A7" w14:paraId="63A9782C" w14:textId="77777777" w:rsidTr="006311A2">
                <w:trPr>
                  <w:trHeight w:val="195"/>
                </w:trPr>
                <w:tc>
                  <w:tcPr>
                    <w:tcW w:w="360" w:type="pct"/>
                  </w:tcPr>
                  <w:p w14:paraId="3DC37A54" w14:textId="77777777" w:rsidR="00FC65A7" w:rsidRDefault="00FC65A7" w:rsidP="006311A2">
                    <w:pPr>
                      <w:rPr>
                        <w:szCs w:val="21"/>
                      </w:rPr>
                    </w:pPr>
                    <w:r>
                      <w:t>2021年第一次H股类别股东大会</w:t>
                    </w:r>
                  </w:p>
                </w:tc>
                <w:tc>
                  <w:tcPr>
                    <w:tcW w:w="360" w:type="pct"/>
                  </w:tcPr>
                  <w:p w14:paraId="0F38B94B" w14:textId="77777777" w:rsidR="00FC65A7" w:rsidRDefault="00FC65A7" w:rsidP="006311A2">
                    <w:pPr>
                      <w:rPr>
                        <w:szCs w:val="21"/>
                      </w:rPr>
                    </w:pPr>
                    <w:r>
                      <w:t>2021年2月9日</w:t>
                    </w:r>
                  </w:p>
                  <w:p w14:paraId="0E291E62" w14:textId="77777777" w:rsidR="00FC65A7" w:rsidRPr="00C64405" w:rsidRDefault="00FC65A7" w:rsidP="006311A2">
                    <w:pPr>
                      <w:rPr>
                        <w:szCs w:val="21"/>
                      </w:rPr>
                    </w:pPr>
                  </w:p>
                </w:tc>
                <w:tc>
                  <w:tcPr>
                    <w:tcW w:w="1431" w:type="pct"/>
                  </w:tcPr>
                  <w:p w14:paraId="5A7F488D" w14:textId="77777777" w:rsidR="00FC65A7" w:rsidRDefault="00FC65A7" w:rsidP="006311A2">
                    <w:pPr>
                      <w:rPr>
                        <w:szCs w:val="21"/>
                      </w:rPr>
                    </w:pPr>
                  </w:p>
                  <w:p w14:paraId="600F36D7" w14:textId="77777777" w:rsidR="00FC65A7" w:rsidRDefault="00FC65A7" w:rsidP="006311A2">
                    <w:pPr>
                      <w:rPr>
                        <w:szCs w:val="21"/>
                      </w:rPr>
                    </w:pPr>
                  </w:p>
                </w:tc>
                <w:tc>
                  <w:tcPr>
                    <w:tcW w:w="496" w:type="pct"/>
                  </w:tcPr>
                  <w:p w14:paraId="42B7CC58" w14:textId="77777777" w:rsidR="00FC65A7" w:rsidRDefault="00FC65A7" w:rsidP="006311A2">
                    <w:pPr>
                      <w:rPr>
                        <w:szCs w:val="21"/>
                      </w:rPr>
                    </w:pPr>
                    <w:r>
                      <w:t>2021年2月10日</w:t>
                    </w:r>
                  </w:p>
                  <w:p w14:paraId="20271793" w14:textId="77777777" w:rsidR="00FC65A7" w:rsidRDefault="00FC65A7" w:rsidP="006311A2">
                    <w:pPr>
                      <w:rPr>
                        <w:szCs w:val="21"/>
                      </w:rPr>
                    </w:pPr>
                  </w:p>
                </w:tc>
                <w:tc>
                  <w:tcPr>
                    <w:tcW w:w="2352" w:type="pct"/>
                  </w:tcPr>
                  <w:p w14:paraId="16C02072" w14:textId="77777777" w:rsidR="00FC65A7" w:rsidRDefault="00FC65A7" w:rsidP="006311A2">
                    <w:pPr>
                      <w:rPr>
                        <w:szCs w:val="21"/>
                      </w:rPr>
                    </w:pPr>
                    <w:r>
                      <w:t>审议通过以下议案：《关于公司发行股份及支付现金购买资产并募集配套资金方案的议案》；《关于&lt;北京京城机电股份有限公司发行股份及支付现金购买资产并募集配套资金报告书（草案）（修订稿）&gt;及其摘要的议案》；《关于公司签订附条件生效的&lt;发行股份及支付现金购买资产协议&gt;及&lt;业绩补偿协议&gt;的议案》；《关于提请股东大会及类别股东大会授权董事会全权办理公司本次发行股份及支付现金购买资产并募集配套资金有关事宜的议案》。</w:t>
                    </w:r>
                  </w:p>
                </w:tc>
              </w:tr>
            </w:sdtContent>
          </w:sdt>
          <w:sdt>
            <w:sdtPr>
              <w:rPr>
                <w:rFonts w:asciiTheme="minorHAnsi" w:eastAsiaTheme="minorEastAsia" w:hAnsiTheme="minorHAnsi" w:cstheme="minorBidi" w:hint="eastAsia"/>
                <w:kern w:val="2"/>
                <w:szCs w:val="21"/>
              </w:rPr>
              <w:alias w:val="股东大会情况"/>
              <w:tag w:val="_TUP_4299ac0eb78c4c11ae0a1812edf5a2f1"/>
              <w:id w:val="1379588025"/>
              <w:lock w:val="sdtLocked"/>
            </w:sdtPr>
            <w:sdtEndPr/>
            <w:sdtContent>
              <w:tr w:rsidR="00FC65A7" w14:paraId="6D259D24" w14:textId="77777777" w:rsidTr="006311A2">
                <w:trPr>
                  <w:trHeight w:val="195"/>
                </w:trPr>
                <w:tc>
                  <w:tcPr>
                    <w:tcW w:w="360" w:type="pct"/>
                  </w:tcPr>
                  <w:p w14:paraId="77742A1D" w14:textId="77777777" w:rsidR="00FC65A7" w:rsidRDefault="00FC65A7" w:rsidP="006311A2">
                    <w:pPr>
                      <w:rPr>
                        <w:szCs w:val="21"/>
                      </w:rPr>
                    </w:pPr>
                    <w:r>
                      <w:t>2020年年度股东大会</w:t>
                    </w:r>
                  </w:p>
                </w:tc>
                <w:tc>
                  <w:tcPr>
                    <w:tcW w:w="360" w:type="pct"/>
                  </w:tcPr>
                  <w:p w14:paraId="3E809D96" w14:textId="77777777" w:rsidR="00FC65A7" w:rsidRDefault="00FC65A7" w:rsidP="006311A2">
                    <w:pPr>
                      <w:rPr>
                        <w:szCs w:val="21"/>
                      </w:rPr>
                    </w:pPr>
                    <w:r>
                      <w:t>2021年6月9日</w:t>
                    </w:r>
                  </w:p>
                  <w:p w14:paraId="672A517E" w14:textId="77777777" w:rsidR="00FC65A7" w:rsidRPr="00C64405" w:rsidRDefault="00FC65A7" w:rsidP="006311A2">
                    <w:pPr>
                      <w:rPr>
                        <w:szCs w:val="21"/>
                      </w:rPr>
                    </w:pPr>
                  </w:p>
                </w:tc>
                <w:tc>
                  <w:tcPr>
                    <w:tcW w:w="1431" w:type="pct"/>
                  </w:tcPr>
                  <w:p w14:paraId="5D852BFC" w14:textId="77777777" w:rsidR="00FC65A7" w:rsidRDefault="00FC65A7" w:rsidP="006311A2">
                    <w:pPr>
                      <w:rPr>
                        <w:szCs w:val="21"/>
                      </w:rPr>
                    </w:pPr>
                  </w:p>
                  <w:p w14:paraId="58F53AE3" w14:textId="77777777" w:rsidR="00FC65A7" w:rsidRDefault="00FC65A7" w:rsidP="006311A2">
                    <w:pPr>
                      <w:rPr>
                        <w:szCs w:val="21"/>
                      </w:rPr>
                    </w:pPr>
                  </w:p>
                </w:tc>
                <w:tc>
                  <w:tcPr>
                    <w:tcW w:w="496" w:type="pct"/>
                  </w:tcPr>
                  <w:p w14:paraId="52E0F639" w14:textId="77777777" w:rsidR="00FC65A7" w:rsidRDefault="00FC65A7" w:rsidP="006311A2">
                    <w:pPr>
                      <w:rPr>
                        <w:szCs w:val="21"/>
                      </w:rPr>
                    </w:pPr>
                    <w:r>
                      <w:t>2021年6月10日</w:t>
                    </w:r>
                  </w:p>
                  <w:p w14:paraId="1B52C7CB" w14:textId="77777777" w:rsidR="00FC65A7" w:rsidRDefault="00FC65A7" w:rsidP="006311A2">
                    <w:pPr>
                      <w:rPr>
                        <w:szCs w:val="21"/>
                      </w:rPr>
                    </w:pPr>
                  </w:p>
                </w:tc>
                <w:tc>
                  <w:tcPr>
                    <w:tcW w:w="2352" w:type="pct"/>
                  </w:tcPr>
                  <w:p w14:paraId="51C77D7A" w14:textId="77777777" w:rsidR="00FC65A7" w:rsidRDefault="00FC65A7" w:rsidP="006311A2">
                    <w:pPr>
                      <w:rPr>
                        <w:szCs w:val="21"/>
                      </w:rPr>
                    </w:pPr>
                    <w:r>
                      <w:t>审议通过以下议案：《2020年A股年度报告全文及摘要、H股年度报告》；《2020年度董事会工作报告》；《2020年度监事会工作报告》；《2020年度经审计的财务报告》；《2020年度财务报告内部控制审计报告》；《2020年度独立非执行董事述职报告》《续聘信永中和会计师事务所（特殊普通合伙）为公司2021年财务报告的审计机构，并提请股东大会授权董事会负责与其签署聘任协议以及决定其酬金事项》；《续聘大华会计师事务所（特殊普通合伙）为公司2021年财务报告内部控制审计报告的审计机构，并提请股东大会授权董事会与其签署聘任协议以及决定其酬金事项》；《公司2020年度不进行利润分配的议案》；《关于授予董事会发行H股一般性授权的议案》。</w:t>
                    </w:r>
                  </w:p>
                </w:tc>
              </w:tr>
            </w:sdtContent>
          </w:sdt>
        </w:tbl>
        <w:p w14:paraId="570A5687" w14:textId="77777777" w:rsidR="00FC65A7" w:rsidRDefault="00FC65A7"/>
        <w:p w14:paraId="3B18C295" w14:textId="1FAAA367" w:rsidR="007F1C2B" w:rsidRDefault="00B664AF"/>
      </w:sdtContent>
    </w:sdt>
    <w:bookmarkEnd w:id="35" w:displacedByCustomXml="prev"/>
    <w:bookmarkStart w:id="36" w:name="_Hlk41294309" w:displacedByCustomXml="next"/>
    <w:sdt>
      <w:sdtPr>
        <w:rPr>
          <w:rFonts w:hint="eastAsia"/>
          <w:b/>
        </w:rPr>
        <w:alias w:val="模块:表决权恢复的优先股股东请求召开临时股东大会 "/>
        <w:tag w:val="_SEC_d5dd00e8721a44d88174eb5aacf152b7"/>
        <w:id w:val="1126664002"/>
        <w:lock w:val="sdtLocked"/>
        <w:placeholder>
          <w:docPart w:val="GBC22222222222222222222222222222"/>
        </w:placeholder>
      </w:sdtPr>
      <w:sdtEndPr>
        <w:rPr>
          <w:b w:val="0"/>
          <w:color w:val="333399"/>
        </w:rPr>
      </w:sdtEndPr>
      <w:sdtContent>
        <w:p w14:paraId="2F04C4AC" w14:textId="42F3877D" w:rsidR="007F1C2B" w:rsidRDefault="004F686E">
          <w:pPr>
            <w:rPr>
              <w:b/>
            </w:rPr>
          </w:pPr>
          <w:r>
            <w:rPr>
              <w:rFonts w:hint="eastAsia"/>
              <w:b/>
            </w:rPr>
            <w:t>表决权恢复的优先股股东请求召开临时股东大会</w:t>
          </w:r>
        </w:p>
        <w:sdt>
          <w:sdtPr>
            <w:alias w:val="是否适用：表决权恢复的优先股股东请求召开临时股东大会[双击切换]"/>
            <w:tag w:val="_GBC_07c9bc8db9ab4498ac0bfac48beddedc"/>
            <w:id w:val="-1775080737"/>
            <w:lock w:val="sdtLocked"/>
            <w:placeholder>
              <w:docPart w:val="GBC22222222222222222222222222222"/>
            </w:placeholder>
          </w:sdtPr>
          <w:sdtEndPr/>
          <w:sdtContent>
            <w:p w14:paraId="5FBACCAB" w14:textId="00BEF6CC" w:rsidR="007F1C2B" w:rsidRDefault="004F686E" w:rsidP="000467E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36" w:displacedByCustomXml="prev"/>
    <w:p w14:paraId="7691F1F1" w14:textId="77777777" w:rsidR="007F1C2B" w:rsidRDefault="00B664AF"/>
    <w:sdt>
      <w:sdtPr>
        <w:rPr>
          <w:rFonts w:hint="eastAsia"/>
        </w:rPr>
        <w:alias w:val="模块:股东大会情况说明"/>
        <w:tag w:val="_SEC_bf1ce0d19a464ce2a3d1a1d438ffde42"/>
        <w:id w:val="78566450"/>
        <w:lock w:val="sdtLocked"/>
        <w:placeholder>
          <w:docPart w:val="GBC22222222222222222222222222222"/>
        </w:placeholder>
      </w:sdtPr>
      <w:sdtEndPr/>
      <w:sdtContent>
        <w:p w14:paraId="527980FD" w14:textId="77777777" w:rsidR="007F1C2B" w:rsidRDefault="004F686E">
          <w:r>
            <w:rPr>
              <w:rFonts w:hint="eastAsia"/>
            </w:rPr>
            <w:t>股东大会情况说明</w:t>
          </w:r>
        </w:p>
        <w:sdt>
          <w:sdtPr>
            <w:rPr>
              <w:rFonts w:hint="eastAsia"/>
            </w:rPr>
            <w:alias w:val="是否适用：股东大会情况说明[双击切换]"/>
            <w:tag w:val="_GBC_bc06fc78c35044b0a848192606e2a5ad"/>
            <w:id w:val="1158116936"/>
            <w:lock w:val="sdtLocked"/>
            <w:placeholder>
              <w:docPart w:val="GBC22222222222222222222222222222"/>
            </w:placeholder>
          </w:sdtPr>
          <w:sdtEndPr/>
          <w:sdtContent>
            <w:p w14:paraId="7CE1B25B" w14:textId="58D7360C" w:rsidR="007F1C2B" w:rsidRDefault="004F686E" w:rsidP="000467E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2F5EC6A5" w14:textId="69980543" w:rsidR="007F1C2B" w:rsidRDefault="00B664AF"/>
    <w:bookmarkStart w:id="37" w:name="_Toc342057949" w:displacedByCustomXml="next"/>
    <w:bookmarkStart w:id="38" w:name="_Toc342566009" w:displacedByCustomXml="next"/>
    <w:sdt>
      <w:sdtPr>
        <w:rPr>
          <w:rFonts w:ascii="宋体" w:hAnsi="宋体" w:cs="宋体" w:hint="eastAsia"/>
          <w:b w:val="0"/>
          <w:bCs w:val="0"/>
          <w:kern w:val="0"/>
          <w:szCs w:val="24"/>
        </w:rPr>
        <w:alias w:val="模块:公司董事、监事、高级管理人员变动情况"/>
        <w:tag w:val="_SEC_fe90051e8bfd40b8bb8541284a29b30e"/>
        <w:id w:val="-1746950726"/>
        <w:lock w:val="sdtLocked"/>
        <w:placeholder>
          <w:docPart w:val="GBC22222222222222222222222222222"/>
        </w:placeholder>
      </w:sdtPr>
      <w:sdtEndPr/>
      <w:sdtContent>
        <w:p w14:paraId="3277D9D1" w14:textId="77777777" w:rsidR="007F1C2B" w:rsidRDefault="004F686E" w:rsidP="004F686E">
          <w:pPr>
            <w:pStyle w:val="2"/>
            <w:numPr>
              <w:ilvl w:val="0"/>
              <w:numId w:val="15"/>
            </w:numPr>
            <w:tabs>
              <w:tab w:val="left" w:pos="426"/>
            </w:tabs>
            <w:jc w:val="left"/>
            <w:rPr>
              <w:rFonts w:ascii="宋体" w:hAnsi="宋体"/>
            </w:rPr>
          </w:pPr>
          <w:r>
            <w:rPr>
              <w:rFonts w:ascii="宋体" w:hAnsi="宋体" w:hint="eastAsia"/>
            </w:rPr>
            <w:t>公司董事、监事、高级管理人员变动情况</w:t>
          </w:r>
          <w:bookmarkEnd w:id="38"/>
          <w:bookmarkEnd w:id="37"/>
        </w:p>
        <w:sdt>
          <w:sdtPr>
            <w:alias w:val="是否适用：公司董事、监事、高级管理人员变动情况[双击切换]"/>
            <w:tag w:val="_GBC_001d837207464f1aaa52a7fb8cd9d226"/>
            <w:id w:val="-523787573"/>
            <w:lock w:val="sdtLocked"/>
            <w:placeholder>
              <w:docPart w:val="GBC22222222222222222222222222222"/>
            </w:placeholder>
          </w:sdtPr>
          <w:sdtEndPr/>
          <w:sdtContent>
            <w:p w14:paraId="5A6C1669" w14:textId="46DA86B8" w:rsidR="007F1C2B" w:rsidRDefault="004F686E" w:rsidP="000467E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rPr>
        <w:alias w:val="模块:公司董事、监事、高级管理人员变动的情况说明"/>
        <w:tag w:val="_SEC_9d764ab9e1c44e0e972e846b8ecf0813"/>
        <w:id w:val="82120110"/>
        <w:lock w:val="sdtLocked"/>
        <w:placeholder>
          <w:docPart w:val="GBC22222222222222222222222222222"/>
        </w:placeholder>
      </w:sdtPr>
      <w:sdtEndPr/>
      <w:sdtContent>
        <w:p w14:paraId="4EFC2D54" w14:textId="77777777" w:rsidR="007F1C2B" w:rsidRDefault="004F686E">
          <w:r>
            <w:rPr>
              <w:rFonts w:hint="eastAsia"/>
            </w:rPr>
            <w:t>公司董事、监事、高级管理人员变动的情况说明</w:t>
          </w:r>
        </w:p>
        <w:sdt>
          <w:sdtPr>
            <w:rPr>
              <w:rFonts w:hint="eastAsia"/>
            </w:rPr>
            <w:alias w:val="是否适用：公司董事、监事、高级管理人员变动的情况说明 [双击切换]"/>
            <w:tag w:val="_GBC_1eda708e71a542fa89f6ad1bb8abbf70"/>
            <w:id w:val="796105828"/>
            <w:lock w:val="sdtLocked"/>
            <w:placeholder>
              <w:docPart w:val="GBC22222222222222222222222222222"/>
            </w:placeholder>
          </w:sdtPr>
          <w:sdtEndPr/>
          <w:sdtContent>
            <w:p w14:paraId="7E41CFF4" w14:textId="3824E95D" w:rsidR="007F1C2B" w:rsidRDefault="004F686E" w:rsidP="000467E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080EBABA" w14:textId="381E2DD0" w:rsidR="007F1C2B" w:rsidRDefault="00B664AF"/>
    <w:p w14:paraId="14E87173" w14:textId="77777777" w:rsidR="007F1C2B" w:rsidRDefault="004F686E" w:rsidP="004F686E">
      <w:pPr>
        <w:pStyle w:val="2"/>
        <w:numPr>
          <w:ilvl w:val="0"/>
          <w:numId w:val="15"/>
        </w:numPr>
        <w:tabs>
          <w:tab w:val="left" w:pos="426"/>
        </w:tabs>
        <w:ind w:left="422" w:hanging="422"/>
        <w:jc w:val="left"/>
        <w:rPr>
          <w:rFonts w:ascii="宋体" w:hAnsi="宋体"/>
        </w:rPr>
      </w:pPr>
      <w:r>
        <w:rPr>
          <w:rFonts w:ascii="宋体" w:hAnsi="宋体"/>
        </w:rPr>
        <w:t>利润分配或资本公积金转增预案</w:t>
      </w:r>
    </w:p>
    <w:p w14:paraId="3454F908" w14:textId="77777777" w:rsidR="007F1C2B" w:rsidRDefault="004F686E">
      <w:pPr>
        <w:rPr>
          <w:b/>
          <w:bCs/>
        </w:rPr>
      </w:pPr>
      <w:r>
        <w:rPr>
          <w:b/>
          <w:bCs/>
        </w:rPr>
        <w:t>半年度拟定的利润分配预案、公积金转增股本预案</w:t>
      </w:r>
    </w:p>
    <w:sdt>
      <w:sdtPr>
        <w:alias w:val="模块:半年度拟定的利润分配预案"/>
        <w:tag w:val="_GBC_e4b48d016b974478b1fce3e8671a7227"/>
        <w:id w:val="-1781710374"/>
        <w:lock w:val="sdtLocked"/>
        <w:placeholder>
          <w:docPart w:val="GBC22222222222222222222222222222"/>
        </w:placeholder>
      </w:sdtPr>
      <w:sdtEndPr>
        <w:rPr>
          <w:rFonts w:hint="eastAsia"/>
        </w:rPr>
      </w:sdtEndPr>
      <w:sdtContent>
        <w:tbl>
          <w:tblPr>
            <w:tblStyle w:val="g2"/>
            <w:tblW w:w="0" w:type="auto"/>
            <w:tblLook w:val="04A0" w:firstRow="1" w:lastRow="0" w:firstColumn="1" w:lastColumn="0" w:noHBand="0" w:noVBand="1"/>
          </w:tblPr>
          <w:tblGrid>
            <w:gridCol w:w="4418"/>
            <w:gridCol w:w="4405"/>
          </w:tblGrid>
          <w:tr w:rsidR="007F1C2B" w14:paraId="28AA7827" w14:textId="77777777" w:rsidTr="00471D53">
            <w:sdt>
              <w:sdtPr>
                <w:tag w:val="_PLD_dee68179c02c4ccc8a9b8d7e3f70f2c6"/>
                <w:id w:val="375130512"/>
                <w:lock w:val="sdtLocked"/>
              </w:sdtPr>
              <w:sdtEndPr/>
              <w:sdtContent>
                <w:tc>
                  <w:tcPr>
                    <w:tcW w:w="4524" w:type="dxa"/>
                  </w:tcPr>
                  <w:p w14:paraId="3AE280D9" w14:textId="77777777" w:rsidR="007F1C2B" w:rsidRDefault="004F686E">
                    <w:r>
                      <w:t>是否分配或转增</w:t>
                    </w:r>
                  </w:p>
                </w:tc>
              </w:sdtContent>
            </w:sdt>
            <w:sdt>
              <w:sdtPr>
                <w:rPr>
                  <w:rFonts w:hint="eastAsia"/>
                </w:rPr>
                <w:alias w:val="是否分配或转增"/>
                <w:tag w:val="_GBC_1aa3bb539f35454da0536200efcc4f60"/>
                <w:id w:val="616265614"/>
                <w:lock w:val="sdtLocked"/>
                <w:comboBox>
                  <w:listItem w:displayText="是" w:value="true"/>
                  <w:listItem w:displayText="否" w:value="false"/>
                </w:comboBox>
              </w:sdtPr>
              <w:sdtEndPr/>
              <w:sdtContent>
                <w:tc>
                  <w:tcPr>
                    <w:tcW w:w="4524" w:type="dxa"/>
                  </w:tcPr>
                  <w:p w14:paraId="1E75CF9D" w14:textId="09DDF9C3" w:rsidR="007F1C2B" w:rsidRDefault="004F686E">
                    <w:pPr>
                      <w:jc w:val="left"/>
                    </w:pPr>
                    <w:r>
                      <w:rPr>
                        <w:rFonts w:hint="eastAsia"/>
                      </w:rPr>
                      <w:t>否</w:t>
                    </w:r>
                  </w:p>
                </w:tc>
              </w:sdtContent>
            </w:sdt>
          </w:tr>
          <w:tr w:rsidR="007F1C2B" w14:paraId="025D33F5" w14:textId="77777777" w:rsidTr="00471D53">
            <w:sdt>
              <w:sdtPr>
                <w:tag w:val="_PLD_bd901803dd924026b7c6f59fdd31aad5"/>
                <w:id w:val="-490176234"/>
                <w:lock w:val="sdtLocked"/>
              </w:sdtPr>
              <w:sdtEndPr/>
              <w:sdtContent>
                <w:tc>
                  <w:tcPr>
                    <w:tcW w:w="4524" w:type="dxa"/>
                  </w:tcPr>
                  <w:p w14:paraId="2ED039E6" w14:textId="77777777" w:rsidR="007F1C2B" w:rsidRDefault="004F686E">
                    <w:r>
                      <w:t>每10股送红股数（股）</w:t>
                    </w:r>
                  </w:p>
                </w:tc>
              </w:sdtContent>
            </w:sdt>
            <w:tc>
              <w:tcPr>
                <w:tcW w:w="4524" w:type="dxa"/>
              </w:tcPr>
              <w:p w14:paraId="0549FC35" w14:textId="77777777" w:rsidR="007F1C2B" w:rsidRDefault="00B664AF">
                <w:pPr>
                  <w:jc w:val="right"/>
                </w:pPr>
              </w:p>
            </w:tc>
          </w:tr>
          <w:tr w:rsidR="007F1C2B" w14:paraId="2C03D6FA" w14:textId="77777777" w:rsidTr="00471D53">
            <w:sdt>
              <w:sdtPr>
                <w:tag w:val="_PLD_6cbe2a97f01847b28eeb312b29d1d347"/>
                <w:id w:val="-1901198082"/>
                <w:lock w:val="sdtLocked"/>
              </w:sdtPr>
              <w:sdtEndPr/>
              <w:sdtContent>
                <w:tc>
                  <w:tcPr>
                    <w:tcW w:w="4524" w:type="dxa"/>
                  </w:tcPr>
                  <w:p w14:paraId="4C9EE20B" w14:textId="77777777" w:rsidR="007F1C2B" w:rsidRDefault="004F686E">
                    <w:r>
                      <w:t>每10股派息数(元)（含税）</w:t>
                    </w:r>
                  </w:p>
                </w:tc>
              </w:sdtContent>
            </w:sdt>
            <w:tc>
              <w:tcPr>
                <w:tcW w:w="4524" w:type="dxa"/>
              </w:tcPr>
              <w:p w14:paraId="0652A801" w14:textId="77777777" w:rsidR="007F1C2B" w:rsidRDefault="00B664AF">
                <w:pPr>
                  <w:jc w:val="right"/>
                </w:pPr>
              </w:p>
            </w:tc>
          </w:tr>
          <w:tr w:rsidR="007F1C2B" w14:paraId="14AC2F67" w14:textId="77777777" w:rsidTr="00471D53">
            <w:sdt>
              <w:sdtPr>
                <w:tag w:val="_PLD_ea0844d0f72e40a392aba3e62b2e7e9c"/>
                <w:id w:val="-874998203"/>
                <w:lock w:val="sdtLocked"/>
              </w:sdtPr>
              <w:sdtEndPr/>
              <w:sdtContent>
                <w:tc>
                  <w:tcPr>
                    <w:tcW w:w="4524" w:type="dxa"/>
                  </w:tcPr>
                  <w:p w14:paraId="2A5AF988" w14:textId="77777777" w:rsidR="007F1C2B" w:rsidRDefault="004F686E">
                    <w:r>
                      <w:t>每10股转增数（股）</w:t>
                    </w:r>
                  </w:p>
                </w:tc>
              </w:sdtContent>
            </w:sdt>
            <w:tc>
              <w:tcPr>
                <w:tcW w:w="4524" w:type="dxa"/>
              </w:tcPr>
              <w:p w14:paraId="7F239F88" w14:textId="77777777" w:rsidR="007F1C2B" w:rsidRDefault="00B664AF">
                <w:pPr>
                  <w:jc w:val="right"/>
                </w:pPr>
              </w:p>
            </w:tc>
          </w:tr>
          <w:tr w:rsidR="007F1C2B" w14:paraId="0C06E77D" w14:textId="77777777" w:rsidTr="00471D53">
            <w:sdt>
              <w:sdtPr>
                <w:tag w:val="_PLD_6f4b1db2793f4d00b5b11589fa8a57fc"/>
                <w:id w:val="878436588"/>
                <w:lock w:val="sdtLocked"/>
              </w:sdtPr>
              <w:sdtEndPr/>
              <w:sdtContent>
                <w:tc>
                  <w:tcPr>
                    <w:tcW w:w="9048" w:type="dxa"/>
                    <w:gridSpan w:val="2"/>
                  </w:tcPr>
                  <w:p w14:paraId="2CA333CC" w14:textId="77777777" w:rsidR="007F1C2B" w:rsidRDefault="004F686E">
                    <w:pPr>
                      <w:jc w:val="center"/>
                    </w:pPr>
                    <w:r>
                      <w:t>利润分配或资本公积金转增预案的相关情况说明</w:t>
                    </w:r>
                  </w:p>
                </w:tc>
              </w:sdtContent>
            </w:sdt>
          </w:tr>
          <w:tr w:rsidR="007F1C2B" w14:paraId="02DE6B66" w14:textId="77777777" w:rsidTr="00471D53">
            <w:sdt>
              <w:sdtPr>
                <w:alias w:val="利润分配或资本公积金转增预案详细情况"/>
                <w:tag w:val="_GBC_94bed1d7442547dda64f3e2963ffc525"/>
                <w:id w:val="421538878"/>
                <w:lock w:val="sdtLocked"/>
              </w:sdtPr>
              <w:sdtEndPr/>
              <w:sdtContent>
                <w:tc>
                  <w:tcPr>
                    <w:tcW w:w="9048" w:type="dxa"/>
                    <w:gridSpan w:val="2"/>
                  </w:tcPr>
                  <w:p w14:paraId="7FEB59BC" w14:textId="09004E02" w:rsidR="007F1C2B" w:rsidRDefault="004F686E">
                    <w:r>
                      <w:rPr>
                        <w:rFonts w:hint="eastAsia"/>
                      </w:rPr>
                      <w:t>无</w:t>
                    </w:r>
                  </w:p>
                </w:tc>
              </w:sdtContent>
            </w:sdt>
          </w:tr>
        </w:tbl>
      </w:sdtContent>
    </w:sdt>
    <w:p w14:paraId="29CAE353" w14:textId="77777777" w:rsidR="007F1C2B" w:rsidRDefault="00B664AF"/>
    <w:p w14:paraId="1B41CFF7" w14:textId="6F5D299C" w:rsidR="007F1C2B" w:rsidRDefault="004F686E" w:rsidP="004F686E">
      <w:pPr>
        <w:pStyle w:val="2"/>
        <w:numPr>
          <w:ilvl w:val="0"/>
          <w:numId w:val="15"/>
        </w:numPr>
        <w:tabs>
          <w:tab w:val="left" w:pos="426"/>
        </w:tabs>
        <w:ind w:left="422" w:hanging="422"/>
        <w:jc w:val="left"/>
        <w:rPr>
          <w:rFonts w:ascii="宋体" w:hAnsi="宋体"/>
        </w:rPr>
      </w:pPr>
      <w:r>
        <w:rPr>
          <w:rFonts w:ascii="宋体" w:hAnsi="宋体" w:hint="eastAsia"/>
        </w:rPr>
        <w:t>公司股权激励计划、员工持股计划或其他员工激励措施的情况及其影响</w:t>
      </w:r>
    </w:p>
    <w:bookmarkStart w:id="39" w:name="_Hlk74641818" w:displacedByCustomXml="next"/>
    <w:sdt>
      <w:sdtPr>
        <w:rPr>
          <w:rFonts w:ascii="宋体" w:hAnsi="宋体" w:cs="宋体"/>
          <w:b w:val="0"/>
          <w:bCs w:val="0"/>
          <w:kern w:val="0"/>
          <w:szCs w:val="24"/>
        </w:rPr>
        <w:alias w:val="模块:相关股权激励事项已在临时公告披露且后续实施无进展或变化的"/>
        <w:tag w:val="_SEC_27d68d30f5fb4d008c2e762ac7309c77"/>
        <w:id w:val="394779245"/>
        <w:lock w:val="sdtLocked"/>
        <w:placeholder>
          <w:docPart w:val="GBC22222222222222222222222222222"/>
        </w:placeholder>
      </w:sdtPr>
      <w:sdtEndPr/>
      <w:sdtContent>
        <w:p w14:paraId="0AFFBA2B" w14:textId="53CE35F1" w:rsidR="007F1C2B" w:rsidRDefault="004F686E" w:rsidP="004F686E">
          <w:pPr>
            <w:pStyle w:val="3"/>
            <w:numPr>
              <w:ilvl w:val="1"/>
              <w:numId w:val="16"/>
            </w:numPr>
            <w:rPr>
              <w:rFonts w:ascii="宋体" w:hAnsi="宋体"/>
              <w:kern w:val="44"/>
            </w:rPr>
          </w:pPr>
          <w:r>
            <w:rPr>
              <w:rFonts w:ascii="宋体" w:hAnsi="宋体" w:hint="eastAsia"/>
              <w:kern w:val="44"/>
            </w:rPr>
            <w:t>相关股权激励事项已在临时公告披露且后续实施无进展或变化的</w:t>
          </w:r>
        </w:p>
        <w:sdt>
          <w:sdtPr>
            <w:alias w:val="是否适用：相关激励事项已在临时公告披露且后续实施无进展或变化的[双击切换]"/>
            <w:tag w:val="_GBC_3c43a5cea9ef47daa40f133532dcd63c"/>
            <w:id w:val="-1420634845"/>
            <w:lock w:val="sdtLocked"/>
            <w:placeholder>
              <w:docPart w:val="GBC22222222222222222222222222222"/>
            </w:placeholder>
          </w:sdtPr>
          <w:sdtEndPr/>
          <w:sdtContent>
            <w:p w14:paraId="6412298D" w14:textId="79B130FB" w:rsidR="007F1C2B" w:rsidRDefault="004F686E" w:rsidP="00D72055">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Start w:id="40" w:name="_Hlk77612541" w:displacedByCustomXml="next"/>
      </w:sdtContent>
    </w:sdt>
    <w:bookmarkEnd w:id="40" w:displacedByCustomXml="prev"/>
    <w:bookmarkEnd w:id="39" w:displacedByCustomXml="prev"/>
    <w:p w14:paraId="39AAD23D" w14:textId="77777777" w:rsidR="007F1C2B" w:rsidRDefault="004F686E" w:rsidP="004F686E">
      <w:pPr>
        <w:pStyle w:val="3"/>
        <w:numPr>
          <w:ilvl w:val="1"/>
          <w:numId w:val="16"/>
        </w:numPr>
        <w:rPr>
          <w:rFonts w:ascii="宋体" w:hAnsi="宋体" w:cs="宋体"/>
          <w:kern w:val="0"/>
          <w:szCs w:val="24"/>
        </w:rPr>
      </w:pPr>
      <w:r>
        <w:rPr>
          <w:rFonts w:ascii="宋体" w:hAnsi="宋体" w:cs="宋体" w:hint="eastAsia"/>
          <w:kern w:val="0"/>
          <w:szCs w:val="24"/>
        </w:rPr>
        <w:t>临时公告未披露或有后续进展的激励情况</w:t>
      </w:r>
    </w:p>
    <w:p w14:paraId="695042E7" w14:textId="77777777" w:rsidR="007F1C2B" w:rsidRDefault="004F686E">
      <w:r>
        <w:rPr>
          <w:rFonts w:hint="eastAsia"/>
        </w:rPr>
        <w:t>股权激励情况</w:t>
      </w:r>
    </w:p>
    <w:sdt>
      <w:sdtPr>
        <w:alias w:val="是否适用：股权激励情况[双击切换]"/>
        <w:tag w:val="_GBC_388221bc7be24cdca55be337256c8bc1"/>
        <w:id w:val="-378780511"/>
        <w:lock w:val="sdtLocked"/>
        <w:placeholder>
          <w:docPart w:val="GBC22222222222222222222222222222"/>
        </w:placeholder>
      </w:sdtPr>
      <w:sdtEndPr/>
      <w:sdtContent>
        <w:p w14:paraId="4D172A8B" w14:textId="172B20CF" w:rsidR="00D72055" w:rsidRDefault="004F686E" w:rsidP="00D72055">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A110E5A" w14:textId="1721878B" w:rsidR="007F1C2B" w:rsidRDefault="00B664AF"/>
    <w:sdt>
      <w:sdtPr>
        <w:rPr>
          <w:rFonts w:hint="eastAsia"/>
          <w:szCs w:val="21"/>
        </w:rPr>
        <w:alias w:val="模块:股权激励情况的说明"/>
        <w:tag w:val="_SEC_a417a9b40b6a4adeba436d511837e016"/>
        <w:id w:val="-1990318499"/>
        <w:lock w:val="sdtLocked"/>
        <w:placeholder>
          <w:docPart w:val="GBC22222222222222222222222222222"/>
        </w:placeholder>
      </w:sdtPr>
      <w:sdtEndPr>
        <w:rPr>
          <w:rFonts w:hint="default"/>
        </w:rPr>
      </w:sdtEndPr>
      <w:sdtContent>
        <w:p w14:paraId="5EC393E9" w14:textId="77777777" w:rsidR="007F1C2B" w:rsidRDefault="004F686E">
          <w:pPr>
            <w:rPr>
              <w:szCs w:val="21"/>
            </w:rPr>
          </w:pPr>
          <w:r>
            <w:rPr>
              <w:rFonts w:hint="eastAsia"/>
              <w:szCs w:val="21"/>
            </w:rPr>
            <w:t>其他说明</w:t>
          </w:r>
        </w:p>
        <w:p w14:paraId="0B1720AE" w14:textId="03584EE7" w:rsidR="007F1C2B" w:rsidRDefault="00B664AF" w:rsidP="00254FDF">
          <w:pPr>
            <w:rPr>
              <w:szCs w:val="21"/>
            </w:rPr>
          </w:pPr>
          <w:sdt>
            <w:sdtPr>
              <w:rPr>
                <w:rFonts w:hint="eastAsia"/>
                <w:szCs w:val="21"/>
              </w:rPr>
              <w:alias w:val="是否适用：股权激励情况的说明[双击切换]"/>
              <w:tag w:val="_GBC_e5a032ecd3e24335b29a38809f65a990"/>
              <w:id w:val="362717037"/>
              <w:lock w:val="sdtLocked"/>
              <w:placeholder>
                <w:docPart w:val="GBC22222222222222222222222222222"/>
              </w:placeholder>
            </w:sdtPr>
            <w:sdtEndPr/>
            <w:sdtContent>
              <w:r w:rsidR="004F686E">
                <w:rPr>
                  <w:szCs w:val="21"/>
                </w:rPr>
                <w:fldChar w:fldCharType="begin"/>
              </w:r>
              <w:r w:rsidR="004F686E">
                <w:rPr>
                  <w:szCs w:val="21"/>
                </w:rPr>
                <w:instrText xml:space="preserve"> MACROBUTTON  SnrToggleCheckbox □适用 </w:instrText>
              </w:r>
              <w:r w:rsidR="004F686E">
                <w:rPr>
                  <w:szCs w:val="21"/>
                </w:rPr>
                <w:fldChar w:fldCharType="end"/>
              </w:r>
              <w:r w:rsidR="004F686E">
                <w:rPr>
                  <w:szCs w:val="21"/>
                </w:rPr>
                <w:fldChar w:fldCharType="begin"/>
              </w:r>
              <w:r w:rsidR="004F686E">
                <w:rPr>
                  <w:szCs w:val="21"/>
                </w:rPr>
                <w:instrText xml:space="preserve"> MACROBUTTON  SnrToggleCheckbox √不适用 </w:instrText>
              </w:r>
              <w:r w:rsidR="004F686E">
                <w:rPr>
                  <w:szCs w:val="21"/>
                </w:rPr>
                <w:fldChar w:fldCharType="end"/>
              </w:r>
            </w:sdtContent>
          </w:sdt>
        </w:p>
      </w:sdtContent>
    </w:sdt>
    <w:p w14:paraId="556A6578" w14:textId="77777777" w:rsidR="007F1C2B" w:rsidRDefault="00B664AF">
      <w:pPr>
        <w:rPr>
          <w:szCs w:val="21"/>
        </w:rPr>
      </w:pPr>
    </w:p>
    <w:sdt>
      <w:sdtPr>
        <w:rPr>
          <w:rFonts w:hint="eastAsia"/>
        </w:rPr>
        <w:alias w:val="模块:员工持股计划情况"/>
        <w:tag w:val="_SEC_70861e225efc4a6aa2a87c82bdeffa60"/>
        <w:id w:val="-251283518"/>
        <w:lock w:val="sdtLocked"/>
        <w:placeholder>
          <w:docPart w:val="GBC22222222222222222222222222222"/>
        </w:placeholder>
      </w:sdtPr>
      <w:sdtEndPr>
        <w:rPr>
          <w:bCs/>
          <w:szCs w:val="21"/>
        </w:rPr>
      </w:sdtEndPr>
      <w:sdtContent>
        <w:p w14:paraId="28838F62" w14:textId="77777777" w:rsidR="007F1C2B" w:rsidRDefault="004F686E">
          <w:r>
            <w:rPr>
              <w:rFonts w:hint="eastAsia"/>
            </w:rPr>
            <w:t>员工持股计划情况</w:t>
          </w:r>
        </w:p>
        <w:sdt>
          <w:sdtPr>
            <w:rPr>
              <w:szCs w:val="21"/>
            </w:rPr>
            <w:alias w:val="是否适用：员工持股计划情况[双击切换]"/>
            <w:tag w:val="_GBC_60a13b60efda4715a83fed9c5960ee3b"/>
            <w:id w:val="473946353"/>
            <w:lock w:val="sdtLocked"/>
            <w:placeholder>
              <w:docPart w:val="GBC22222222222222222222222222222"/>
            </w:placeholder>
          </w:sdtPr>
          <w:sdtEndPr/>
          <w:sdtContent>
            <w:p w14:paraId="27E6142B" w14:textId="658FD581" w:rsidR="007F1C2B" w:rsidRDefault="004F686E" w:rsidP="00254FDF">
              <w:pPr>
                <w:rPr>
                  <w:bCs/>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14:paraId="40A085F2" w14:textId="77777777" w:rsidR="007F1C2B" w:rsidRDefault="00B664AF">
      <w:pPr>
        <w:rPr>
          <w:bCs/>
          <w:szCs w:val="21"/>
        </w:rPr>
      </w:pPr>
    </w:p>
    <w:sdt>
      <w:sdtPr>
        <w:rPr>
          <w:rFonts w:hint="eastAsia"/>
        </w:rPr>
        <w:alias w:val="模块:其他激励措施"/>
        <w:tag w:val="_SEC_63920368dc0b49e9a257b190129bf278"/>
        <w:id w:val="1343437763"/>
        <w:lock w:val="sdtLocked"/>
        <w:placeholder>
          <w:docPart w:val="GBC22222222222222222222222222222"/>
        </w:placeholder>
      </w:sdtPr>
      <w:sdtEndPr>
        <w:rPr>
          <w:bCs/>
          <w:szCs w:val="21"/>
        </w:rPr>
      </w:sdtEndPr>
      <w:sdtContent>
        <w:p w14:paraId="693F63F6" w14:textId="77777777" w:rsidR="007F1C2B" w:rsidRDefault="004F686E">
          <w:r>
            <w:rPr>
              <w:rFonts w:hint="eastAsia"/>
            </w:rPr>
            <w:t>其他激励措施</w:t>
          </w:r>
        </w:p>
        <w:sdt>
          <w:sdtPr>
            <w:rPr>
              <w:szCs w:val="21"/>
            </w:rPr>
            <w:alias w:val="是否适用：其他激励措施[双击切换]"/>
            <w:tag w:val="_GBC_87e3c04518ac4bed97846d84cc8784e1"/>
            <w:id w:val="-62724893"/>
            <w:lock w:val="sdtLocked"/>
            <w:placeholder>
              <w:docPart w:val="GBC22222222222222222222222222222"/>
            </w:placeholder>
          </w:sdtPr>
          <w:sdtEndPr/>
          <w:sdtContent>
            <w:p w14:paraId="2CCA6F28" w14:textId="0CF91FE3" w:rsidR="007F1C2B" w:rsidRDefault="004F686E" w:rsidP="00254FDF">
              <w:pPr>
                <w:rPr>
                  <w:bCs/>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14:paraId="090875A0" w14:textId="77777777" w:rsidR="007F1C2B" w:rsidRDefault="00B664AF"/>
    <w:p w14:paraId="06EE2AC8" w14:textId="2DD75061" w:rsidR="007F1C2B" w:rsidRDefault="004F686E" w:rsidP="004F686E">
      <w:pPr>
        <w:pStyle w:val="10"/>
        <w:numPr>
          <w:ilvl w:val="0"/>
          <w:numId w:val="3"/>
        </w:numPr>
        <w:rPr>
          <w:rFonts w:ascii="黑体" w:hAnsi="黑体"/>
        </w:rPr>
      </w:pPr>
      <w:bookmarkStart w:id="41" w:name="_Toc76114276"/>
      <w:r>
        <w:rPr>
          <w:rFonts w:ascii="黑体" w:hAnsi="黑体" w:hint="eastAsia"/>
        </w:rPr>
        <w:t>环境与社会责任</w:t>
      </w:r>
      <w:bookmarkEnd w:id="41"/>
    </w:p>
    <w:p w14:paraId="3D586698" w14:textId="77777777" w:rsidR="007F1C2B" w:rsidRDefault="004F686E" w:rsidP="004F686E">
      <w:pPr>
        <w:pStyle w:val="2"/>
        <w:numPr>
          <w:ilvl w:val="0"/>
          <w:numId w:val="17"/>
        </w:numPr>
        <w:tabs>
          <w:tab w:val="left" w:pos="426"/>
        </w:tabs>
        <w:ind w:firstLineChars="0"/>
        <w:jc w:val="left"/>
        <w:rPr>
          <w:rFonts w:ascii="宋体" w:hAnsi="宋体"/>
        </w:rPr>
      </w:pPr>
      <w:bookmarkStart w:id="42" w:name="_Hlk78888201"/>
      <w:r>
        <w:rPr>
          <w:rFonts w:ascii="宋体" w:hAnsi="宋体" w:hint="eastAsia"/>
        </w:rPr>
        <w:t>环境</w:t>
      </w:r>
      <w:r>
        <w:rPr>
          <w:rFonts w:ascii="宋体" w:hAnsi="宋体"/>
        </w:rPr>
        <w:t>信息情况</w:t>
      </w:r>
    </w:p>
    <w:p w14:paraId="0364B0DC" w14:textId="7FE38A23" w:rsidR="007F1C2B" w:rsidRDefault="004F686E" w:rsidP="004F686E">
      <w:pPr>
        <w:pStyle w:val="3"/>
        <w:numPr>
          <w:ilvl w:val="0"/>
          <w:numId w:val="18"/>
        </w:numPr>
        <w:rPr>
          <w:rFonts w:ascii="宋体" w:hAnsi="宋体"/>
        </w:rPr>
      </w:pPr>
      <w:r>
        <w:rPr>
          <w:rFonts w:ascii="宋体" w:hAnsi="宋体"/>
        </w:rPr>
        <w:t>属于环境保护部门公布的重点排污单位的公司及其</w:t>
      </w:r>
      <w:r>
        <w:rPr>
          <w:rFonts w:ascii="宋体" w:hAnsi="宋体" w:hint="eastAsia"/>
        </w:rPr>
        <w:t>主要</w:t>
      </w:r>
      <w:r>
        <w:rPr>
          <w:rFonts w:ascii="宋体" w:hAnsi="宋体"/>
        </w:rPr>
        <w:t>子公司的环保情况说明</w:t>
      </w:r>
    </w:p>
    <w:sdt>
      <w:sdtPr>
        <w:rPr>
          <w:rFonts w:hint="eastAsia"/>
        </w:rPr>
        <w:alias w:val="是否适用：重点排污单位环保情况[双击切换]"/>
        <w:tag w:val="_GBC_820250e25791459fb9ab9ed79c168408"/>
        <w:id w:val="66386444"/>
        <w:lock w:val="sdtLocked"/>
        <w:placeholder>
          <w:docPart w:val="GBC22222222222222222222222222222"/>
        </w:placeholder>
      </w:sdtPr>
      <w:sdtEndPr/>
      <w:sdtContent>
        <w:p w14:paraId="48E1A104" w14:textId="46E8CF6B" w:rsidR="007F1C2B"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hAnsi="宋体" w:cs="宋体" w:hint="eastAsia"/>
          <w:b w:val="0"/>
          <w:bCs w:val="0"/>
          <w:kern w:val="0"/>
          <w:szCs w:val="24"/>
        </w:rPr>
        <w:alias w:val="模块:排污信息"/>
        <w:tag w:val="_SEC_692004cb913244878ef4d9f391681f08"/>
        <w:id w:val="-581678630"/>
        <w:lock w:val="sdtLocked"/>
        <w:placeholder>
          <w:docPart w:val="GBC22222222222222222222222222222"/>
        </w:placeholder>
      </w:sdtPr>
      <w:sdtEndPr>
        <w:rPr>
          <w:rFonts w:hint="default"/>
        </w:rPr>
      </w:sdtEndPr>
      <w:sdtContent>
        <w:p w14:paraId="12EB0008" w14:textId="77777777" w:rsidR="007F1C2B" w:rsidRDefault="004F686E" w:rsidP="004F686E">
          <w:pPr>
            <w:pStyle w:val="4"/>
            <w:numPr>
              <w:ilvl w:val="0"/>
              <w:numId w:val="19"/>
            </w:numPr>
            <w:rPr>
              <w:rFonts w:ascii="宋体" w:hAnsi="宋体"/>
            </w:rPr>
          </w:pPr>
          <w:r>
            <w:rPr>
              <w:rFonts w:ascii="宋体" w:hAnsi="宋体" w:hint="eastAsia"/>
            </w:rPr>
            <w:t>排污</w:t>
          </w:r>
          <w:r>
            <w:rPr>
              <w:rFonts w:ascii="宋体" w:hAnsi="宋体"/>
            </w:rPr>
            <w:t>信息</w:t>
          </w:r>
        </w:p>
        <w:sdt>
          <w:sdtPr>
            <w:rPr>
              <w:rFonts w:ascii="宋体" w:hAnsi="宋体" w:hint="eastAsia"/>
            </w:rPr>
            <w:alias w:val="是否适用：排污信息[双击切换]"/>
            <w:tag w:val="_GBC_44bbf262c38141458fba6072b4e5b459"/>
            <w:id w:val="261804117"/>
            <w:lock w:val="sdtLocked"/>
            <w:placeholder>
              <w:docPart w:val="GBC22222222222222222222222222222"/>
            </w:placeholder>
          </w:sdtPr>
          <w:sdtEndPr/>
          <w:sdtContent>
            <w:p w14:paraId="5C6CE3C2" w14:textId="018203EB" w:rsidR="007F1C2B" w:rsidRDefault="004F686E">
              <w:pPr>
                <w:pStyle w:val="afff4"/>
                <w:ind w:firstLineChars="0" w:firstLine="0"/>
                <w:rPr>
                  <w:rFonts w:ascii="宋体" w:hAnsi="宋体"/>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ascii="宋体" w:hAnsi="宋体" w:cs="宋体" w:hint="eastAsia"/>
              <w:kern w:val="0"/>
              <w:szCs w:val="24"/>
            </w:rPr>
            <w:alias w:val="排污信息"/>
            <w:tag w:val="_GBC_28890c46cf8446cc95bd08ae7c7a17dc"/>
            <w:id w:val="-220141987"/>
            <w:lock w:val="sdtLocked"/>
            <w:placeholder>
              <w:docPart w:val="GBC22222222222222222222222222222"/>
            </w:placeholder>
          </w:sdtPr>
          <w:sdtEndPr/>
          <w:sdtContent>
            <w:p w14:paraId="6DC2890D" w14:textId="10C4515A" w:rsidR="008E1E93" w:rsidRDefault="004F686E" w:rsidP="00E84ADB">
              <w:pPr>
                <w:pStyle w:val="afff4"/>
              </w:pPr>
              <w:r w:rsidRPr="00A84987">
                <w:rPr>
                  <w:rFonts w:hint="eastAsia"/>
                </w:rPr>
                <w:t>公司孙公司天津天海被天津市环保局列入</w:t>
              </w:r>
              <w:r w:rsidRPr="00A84987">
                <w:t xml:space="preserve"> 20</w:t>
              </w:r>
              <w:r w:rsidR="00B00994">
                <w:t>21</w:t>
              </w:r>
              <w:r w:rsidRPr="00A84987">
                <w:t xml:space="preserve"> </w:t>
              </w:r>
              <w:r w:rsidRPr="00A84987">
                <w:t>年天津市重点排污单位名录。</w:t>
              </w:r>
            </w:p>
            <w:p w14:paraId="03D67145" w14:textId="77777777" w:rsidR="008E1E93" w:rsidRPr="00A84987" w:rsidRDefault="004F686E" w:rsidP="008E1E93">
              <w:pPr>
                <w:pStyle w:val="afff4"/>
              </w:pPr>
              <w:r w:rsidRPr="00A84987">
                <w:rPr>
                  <w:rFonts w:hint="eastAsia"/>
                </w:rPr>
                <w:t>1</w:t>
              </w:r>
              <w:r w:rsidRPr="00A84987">
                <w:rPr>
                  <w:rFonts w:hint="eastAsia"/>
                </w:rPr>
                <w:t>、废水排放情况</w:t>
              </w:r>
            </w:p>
            <w:p w14:paraId="6BFE86F8" w14:textId="77777777" w:rsidR="00CB6C84" w:rsidRDefault="00CB6C84" w:rsidP="00CB6C84">
              <w:pPr>
                <w:pStyle w:val="afff4"/>
              </w:pPr>
              <w:r>
                <w:rPr>
                  <w:rFonts w:hint="eastAsia"/>
                </w:rPr>
                <w:t>天津天海高压容器有限责任公司有</w:t>
              </w:r>
              <w:r>
                <w:t>2</w:t>
              </w:r>
              <w:r>
                <w:t>个综合废水排放口，废水沉淀后进入城市污水管网</w:t>
              </w:r>
              <w:r>
                <w:t>,</w:t>
              </w:r>
              <w:r>
                <w:t>经保税区扩展区污水处理厂处理后外排。污染因子有</w:t>
              </w:r>
              <w:r>
                <w:t>PH</w:t>
              </w:r>
              <w:r>
                <w:t>值、化学需氧量、氨氮、悬浮物、总磷、石油类、动植物油、阴离子表面活性剂等。</w:t>
              </w:r>
            </w:p>
            <w:p w14:paraId="2487C1BE" w14:textId="07206DB1" w:rsidR="00CB6C84" w:rsidRDefault="00CB6C84" w:rsidP="00CB6C84">
              <w:pPr>
                <w:pStyle w:val="afff4"/>
              </w:pPr>
              <w:r>
                <w:t>2021</w:t>
              </w:r>
              <w:r>
                <w:t>年上半年，废水经委托天津国纳产品检测技术服务有限公司采样检测，结果均符合天津市《污水综合排放标准》</w:t>
              </w:r>
              <w:r>
                <w:t>DB12/356-2018</w:t>
              </w:r>
              <w:r>
                <w:t>（三级），全部达标排放。</w:t>
              </w:r>
            </w:p>
            <w:p w14:paraId="021CE6B6" w14:textId="77777777" w:rsidR="00CB6C84" w:rsidRDefault="00CB6C84" w:rsidP="00CB6C84">
              <w:pPr>
                <w:pStyle w:val="afff4"/>
              </w:pPr>
            </w:p>
            <w:p w14:paraId="55A59D95" w14:textId="60F4A5C1" w:rsidR="008E1E93" w:rsidRPr="00A84987" w:rsidRDefault="004F686E" w:rsidP="00CB6C84">
              <w:pPr>
                <w:pStyle w:val="afff4"/>
              </w:pPr>
              <w:r w:rsidRPr="00A84987">
                <w:t xml:space="preserve"> </w:t>
              </w:r>
              <w:r w:rsidRPr="00A84987">
                <w:rPr>
                  <w:rFonts w:hint="eastAsia"/>
                </w:rPr>
                <w:t xml:space="preserve">                 </w:t>
              </w:r>
              <w:r w:rsidRPr="00A84987">
                <w:rPr>
                  <w:rFonts w:hint="eastAsia"/>
                </w:rPr>
                <w:t>水污染物排放浓度统计表</w:t>
              </w:r>
              <w:r w:rsidRPr="00A84987">
                <w:t xml:space="preserve"> </w:t>
              </w:r>
            </w:p>
            <w:p w14:paraId="4D9B352B" w14:textId="7E5109F2" w:rsidR="008E1E93" w:rsidRPr="00A84987" w:rsidRDefault="004F686E" w:rsidP="008E1E93">
              <w:pPr>
                <w:pStyle w:val="afff4"/>
              </w:pPr>
              <w:r w:rsidRPr="00A84987">
                <w:rPr>
                  <w:rFonts w:hint="eastAsia"/>
                </w:rPr>
                <w:t>表</w:t>
              </w:r>
              <w:r w:rsidRPr="00A84987">
                <w:rPr>
                  <w:rFonts w:hint="eastAsia"/>
                </w:rPr>
                <w:t>1</w:t>
              </w:r>
              <w:r w:rsidRPr="00A84987">
                <w:rPr>
                  <w:rFonts w:hint="eastAsia"/>
                </w:rPr>
                <w:t>—</w:t>
              </w:r>
              <w:r w:rsidRPr="00A84987">
                <w:rPr>
                  <w:rFonts w:hint="eastAsia"/>
                </w:rPr>
                <w:t xml:space="preserve">1                                     </w:t>
              </w:r>
              <w:r w:rsidR="00CB6C84">
                <w:t xml:space="preserve">                </w:t>
              </w:r>
              <w:r w:rsidRPr="00A84987">
                <w:rPr>
                  <w:rFonts w:hint="eastAsia"/>
                </w:rPr>
                <w:t xml:space="preserve">  </w:t>
              </w:r>
              <w:r w:rsidRPr="00A84987">
                <w:rPr>
                  <w:rFonts w:hint="eastAsia"/>
                </w:rPr>
                <w:t>单位</w:t>
              </w:r>
              <w:r w:rsidRPr="00A84987">
                <w:t>:</w:t>
              </w:r>
              <w:r w:rsidRPr="00A84987">
                <w:rPr>
                  <w:rFonts w:hint="eastAsia"/>
                </w:rPr>
                <w:t>毫克</w:t>
              </w:r>
              <w:r w:rsidRPr="00A84987">
                <w:t>/</w:t>
              </w:r>
              <w:r w:rsidRPr="00A84987">
                <w:rPr>
                  <w:rFonts w:hint="eastAsia"/>
                </w:rPr>
                <w:t>升</w:t>
              </w:r>
            </w:p>
            <w:tbl>
              <w:tblPr>
                <w:tblStyle w:val="g3"/>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959"/>
                <w:gridCol w:w="2126"/>
                <w:gridCol w:w="884"/>
                <w:gridCol w:w="2124"/>
                <w:gridCol w:w="1260"/>
                <w:gridCol w:w="1192"/>
              </w:tblGrid>
              <w:tr w:rsidR="00CB6C84" w:rsidRPr="00A84987" w14:paraId="642D0942" w14:textId="77777777" w:rsidTr="00433F3F">
                <w:trPr>
                  <w:trHeight w:val="856"/>
                </w:trPr>
                <w:tc>
                  <w:tcPr>
                    <w:tcW w:w="3085" w:type="dxa"/>
                    <w:gridSpan w:val="2"/>
                    <w:vMerge w:val="restart"/>
                    <w:noWrap/>
                    <w:vAlign w:val="center"/>
                  </w:tcPr>
                  <w:p w14:paraId="508DC9EB" w14:textId="77777777" w:rsidR="00CB6C84" w:rsidRPr="00A84987" w:rsidRDefault="00CB6C84" w:rsidP="00433F3F">
                    <w:pPr>
                      <w:rPr>
                        <w:iCs/>
                      </w:rPr>
                    </w:pPr>
                    <w:r w:rsidRPr="00A84987">
                      <w:rPr>
                        <w:rFonts w:hint="eastAsia"/>
                        <w:iCs/>
                      </w:rPr>
                      <w:t>污染物</w:t>
                    </w:r>
                  </w:p>
                </w:tc>
                <w:tc>
                  <w:tcPr>
                    <w:tcW w:w="884" w:type="dxa"/>
                    <w:vMerge w:val="restart"/>
                    <w:noWrap/>
                    <w:vAlign w:val="center"/>
                  </w:tcPr>
                  <w:p w14:paraId="6A882FAF" w14:textId="77777777" w:rsidR="00CB6C84" w:rsidRDefault="00CB6C84" w:rsidP="00433F3F">
                    <w:pPr>
                      <w:rPr>
                        <w:iCs/>
                      </w:rPr>
                    </w:pPr>
                    <w:r w:rsidRPr="00A84987">
                      <w:rPr>
                        <w:rFonts w:hint="eastAsia"/>
                        <w:iCs/>
                      </w:rPr>
                      <w:t>标准</w:t>
                    </w:r>
                  </w:p>
                  <w:p w14:paraId="059A3B52" w14:textId="77777777" w:rsidR="00CB6C84" w:rsidRPr="00A84987" w:rsidRDefault="00CB6C84" w:rsidP="00433F3F">
                    <w:pPr>
                      <w:rPr>
                        <w:iCs/>
                      </w:rPr>
                    </w:pPr>
                    <w:r w:rsidRPr="00A84987">
                      <w:rPr>
                        <w:rFonts w:hint="eastAsia"/>
                        <w:iCs/>
                      </w:rPr>
                      <w:t>限值</w:t>
                    </w:r>
                  </w:p>
                </w:tc>
                <w:tc>
                  <w:tcPr>
                    <w:tcW w:w="2124" w:type="dxa"/>
                    <w:vAlign w:val="center"/>
                  </w:tcPr>
                  <w:p w14:paraId="08E27E1A" w14:textId="77777777" w:rsidR="00CB6C84" w:rsidRPr="00A84987" w:rsidRDefault="00CB6C84" w:rsidP="00433F3F">
                    <w:r w:rsidRPr="00A84987">
                      <w:rPr>
                        <w:rFonts w:hint="eastAsia"/>
                      </w:rPr>
                      <w:t>排放浓度监测数据（平均值）</w:t>
                    </w:r>
                  </w:p>
                </w:tc>
                <w:tc>
                  <w:tcPr>
                    <w:tcW w:w="1260" w:type="dxa"/>
                    <w:vMerge w:val="restart"/>
                    <w:vAlign w:val="center"/>
                  </w:tcPr>
                  <w:p w14:paraId="740C5F98" w14:textId="77777777" w:rsidR="00CB6C84" w:rsidRPr="00A84987" w:rsidRDefault="00CB6C84" w:rsidP="00433F3F">
                    <w:pPr>
                      <w:rPr>
                        <w:iCs/>
                      </w:rPr>
                    </w:pPr>
                    <w:r w:rsidRPr="00A84987">
                      <w:rPr>
                        <w:rFonts w:hint="eastAsia"/>
                        <w:iCs/>
                      </w:rPr>
                      <w:t>排放规律</w:t>
                    </w:r>
                  </w:p>
                </w:tc>
                <w:tc>
                  <w:tcPr>
                    <w:tcW w:w="1192" w:type="dxa"/>
                    <w:vMerge w:val="restart"/>
                    <w:vAlign w:val="center"/>
                  </w:tcPr>
                  <w:p w14:paraId="19BC343F" w14:textId="77777777" w:rsidR="00CB6C84" w:rsidRPr="00A84987" w:rsidRDefault="00CB6C84" w:rsidP="00433F3F">
                    <w:pPr>
                      <w:rPr>
                        <w:iCs/>
                      </w:rPr>
                    </w:pPr>
                    <w:r w:rsidRPr="00A84987">
                      <w:rPr>
                        <w:rFonts w:hint="eastAsia"/>
                        <w:iCs/>
                      </w:rPr>
                      <w:t>排放去向</w:t>
                    </w:r>
                  </w:p>
                </w:tc>
              </w:tr>
              <w:tr w:rsidR="00CB6C84" w:rsidRPr="00A84987" w14:paraId="444E6B2E" w14:textId="77777777" w:rsidTr="00433F3F">
                <w:trPr>
                  <w:trHeight w:val="286"/>
                </w:trPr>
                <w:tc>
                  <w:tcPr>
                    <w:tcW w:w="3085" w:type="dxa"/>
                    <w:gridSpan w:val="2"/>
                    <w:vMerge/>
                    <w:vAlign w:val="center"/>
                  </w:tcPr>
                  <w:p w14:paraId="2EC927E8" w14:textId="77777777" w:rsidR="00CB6C84" w:rsidRPr="00A84987" w:rsidRDefault="00CB6C84" w:rsidP="00433F3F">
                    <w:pPr>
                      <w:rPr>
                        <w:i/>
                        <w:iCs/>
                      </w:rPr>
                    </w:pPr>
                  </w:p>
                </w:tc>
                <w:tc>
                  <w:tcPr>
                    <w:tcW w:w="884" w:type="dxa"/>
                    <w:vMerge/>
                    <w:vAlign w:val="center"/>
                  </w:tcPr>
                  <w:p w14:paraId="760CBD94" w14:textId="77777777" w:rsidR="00CB6C84" w:rsidRPr="00A84987" w:rsidRDefault="00CB6C84" w:rsidP="00433F3F">
                    <w:pPr>
                      <w:rPr>
                        <w:i/>
                        <w:iCs/>
                      </w:rPr>
                    </w:pPr>
                  </w:p>
                </w:tc>
                <w:tc>
                  <w:tcPr>
                    <w:tcW w:w="2124" w:type="dxa"/>
                  </w:tcPr>
                  <w:p w14:paraId="61D1CFD9" w14:textId="77777777" w:rsidR="00CB6C84" w:rsidRPr="00A84987" w:rsidRDefault="00CB6C84" w:rsidP="00433F3F">
                    <w:r w:rsidRPr="00A84987">
                      <w:rPr>
                        <w:rFonts w:hint="eastAsia"/>
                      </w:rPr>
                      <w:t>202</w:t>
                    </w:r>
                    <w:r>
                      <w:t>1</w:t>
                    </w:r>
                    <w:r w:rsidRPr="00A84987">
                      <w:rPr>
                        <w:rFonts w:hint="eastAsia"/>
                      </w:rPr>
                      <w:t>年</w:t>
                    </w:r>
                  </w:p>
                </w:tc>
                <w:tc>
                  <w:tcPr>
                    <w:tcW w:w="1260" w:type="dxa"/>
                    <w:vMerge/>
                    <w:vAlign w:val="center"/>
                  </w:tcPr>
                  <w:p w14:paraId="491FA60D" w14:textId="77777777" w:rsidR="00CB6C84" w:rsidRPr="00A84987" w:rsidRDefault="00CB6C84" w:rsidP="00433F3F"/>
                </w:tc>
                <w:tc>
                  <w:tcPr>
                    <w:tcW w:w="1192" w:type="dxa"/>
                    <w:vMerge/>
                    <w:vAlign w:val="center"/>
                  </w:tcPr>
                  <w:p w14:paraId="5E3221FA" w14:textId="77777777" w:rsidR="00CB6C84" w:rsidRPr="00A84987" w:rsidRDefault="00CB6C84" w:rsidP="00433F3F">
                    <w:pPr>
                      <w:rPr>
                        <w:i/>
                        <w:iCs/>
                      </w:rPr>
                    </w:pPr>
                  </w:p>
                </w:tc>
              </w:tr>
              <w:tr w:rsidR="00CB6C84" w:rsidRPr="00A84987" w14:paraId="0C38AEDC" w14:textId="77777777" w:rsidTr="00433F3F">
                <w:trPr>
                  <w:trHeight w:val="286"/>
                </w:trPr>
                <w:tc>
                  <w:tcPr>
                    <w:tcW w:w="959" w:type="dxa"/>
                    <w:vMerge w:val="restart"/>
                    <w:noWrap/>
                    <w:vAlign w:val="center"/>
                  </w:tcPr>
                  <w:p w14:paraId="0F72AB1E" w14:textId="77777777" w:rsidR="00CB6C84" w:rsidRDefault="00CB6C84" w:rsidP="00433F3F">
                    <w:r>
                      <w:rPr>
                        <w:rFonts w:hint="eastAsia"/>
                      </w:rPr>
                      <w:t>常规污</w:t>
                    </w:r>
                  </w:p>
                  <w:p w14:paraId="3D1B447D" w14:textId="77777777" w:rsidR="00CB6C84" w:rsidRDefault="00CB6C84" w:rsidP="00433F3F">
                    <w:r>
                      <w:rPr>
                        <w:rFonts w:hint="eastAsia"/>
                      </w:rPr>
                      <w:t>染物</w:t>
                    </w:r>
                  </w:p>
                  <w:p w14:paraId="5A1F37CA" w14:textId="77777777" w:rsidR="00CB6C84" w:rsidRPr="00A84987" w:rsidRDefault="00CB6C84" w:rsidP="00433F3F"/>
                </w:tc>
                <w:tc>
                  <w:tcPr>
                    <w:tcW w:w="2126" w:type="dxa"/>
                    <w:noWrap/>
                    <w:vAlign w:val="center"/>
                  </w:tcPr>
                  <w:p w14:paraId="7AAC2C0D" w14:textId="77777777" w:rsidR="00CB6C84" w:rsidRPr="00A84987" w:rsidRDefault="00CB6C84" w:rsidP="00433F3F">
                    <w:r w:rsidRPr="00A84987">
                      <w:rPr>
                        <w:rFonts w:hint="eastAsia"/>
                      </w:rPr>
                      <w:t>PH值</w:t>
                    </w:r>
                  </w:p>
                </w:tc>
                <w:tc>
                  <w:tcPr>
                    <w:tcW w:w="884" w:type="dxa"/>
                    <w:vAlign w:val="center"/>
                  </w:tcPr>
                  <w:p w14:paraId="3A22EF9A" w14:textId="77777777" w:rsidR="00CB6C84" w:rsidRPr="00A84987" w:rsidRDefault="00CB6C84" w:rsidP="00433F3F">
                    <w:r w:rsidRPr="00A84987">
                      <w:rPr>
                        <w:rFonts w:hint="eastAsia"/>
                      </w:rPr>
                      <w:t>6~9</w:t>
                    </w:r>
                  </w:p>
                </w:tc>
                <w:tc>
                  <w:tcPr>
                    <w:tcW w:w="2124" w:type="dxa"/>
                    <w:vAlign w:val="center"/>
                  </w:tcPr>
                  <w:p w14:paraId="694EAA9A" w14:textId="77777777" w:rsidR="00CB6C84" w:rsidRPr="00A84987" w:rsidRDefault="00CB6C84" w:rsidP="00433F3F">
                    <w:r w:rsidRPr="00A84987">
                      <w:rPr>
                        <w:rFonts w:hint="eastAsia"/>
                      </w:rPr>
                      <w:t>7.79</w:t>
                    </w:r>
                  </w:p>
                </w:tc>
                <w:tc>
                  <w:tcPr>
                    <w:tcW w:w="1260" w:type="dxa"/>
                    <w:vMerge w:val="restart"/>
                    <w:vAlign w:val="center"/>
                  </w:tcPr>
                  <w:p w14:paraId="709C84E9" w14:textId="77777777" w:rsidR="00CB6C84" w:rsidRDefault="00CB6C84" w:rsidP="00433F3F">
                    <w:r>
                      <w:rPr>
                        <w:rFonts w:hint="eastAsia"/>
                      </w:rPr>
                      <w:t>稳定连续</w:t>
                    </w:r>
                  </w:p>
                  <w:p w14:paraId="53ED82DF" w14:textId="77777777" w:rsidR="00CB6C84" w:rsidRDefault="00CB6C84" w:rsidP="00433F3F">
                    <w:r>
                      <w:rPr>
                        <w:rFonts w:hint="eastAsia"/>
                      </w:rPr>
                      <w:t>排放</w:t>
                    </w:r>
                  </w:p>
                  <w:p w14:paraId="6A8AE00D" w14:textId="0BC306EE" w:rsidR="00CB6C84" w:rsidRPr="00A84987" w:rsidRDefault="00CB6C84" w:rsidP="00433F3F"/>
                </w:tc>
                <w:tc>
                  <w:tcPr>
                    <w:tcW w:w="1192" w:type="dxa"/>
                    <w:vMerge w:val="restart"/>
                    <w:vAlign w:val="center"/>
                  </w:tcPr>
                  <w:p w14:paraId="5709A8D3" w14:textId="77777777" w:rsidR="00CB6C84" w:rsidRDefault="00CB6C84" w:rsidP="00433F3F">
                    <w:r>
                      <w:rPr>
                        <w:rFonts w:hint="eastAsia"/>
                      </w:rPr>
                      <w:t>保税区扩</w:t>
                    </w:r>
                  </w:p>
                  <w:p w14:paraId="4E27016E" w14:textId="77777777" w:rsidR="00CB6C84" w:rsidRDefault="00CB6C84" w:rsidP="00433F3F">
                    <w:r>
                      <w:rPr>
                        <w:rFonts w:hint="eastAsia"/>
                      </w:rPr>
                      <w:t>展区污水处理厂</w:t>
                    </w:r>
                  </w:p>
                  <w:p w14:paraId="74D78C92" w14:textId="64272E45" w:rsidR="00CB6C84" w:rsidRPr="00A84987" w:rsidRDefault="00CB6C84" w:rsidP="00433F3F"/>
                </w:tc>
              </w:tr>
              <w:tr w:rsidR="00CB6C84" w:rsidRPr="00A84987" w14:paraId="26929326" w14:textId="77777777" w:rsidTr="00433F3F">
                <w:trPr>
                  <w:trHeight w:val="286"/>
                </w:trPr>
                <w:tc>
                  <w:tcPr>
                    <w:tcW w:w="959" w:type="dxa"/>
                    <w:vMerge/>
                    <w:noWrap/>
                    <w:vAlign w:val="center"/>
                  </w:tcPr>
                  <w:p w14:paraId="7598DE19" w14:textId="77777777" w:rsidR="00CB6C84" w:rsidRPr="00A84987" w:rsidRDefault="00CB6C84" w:rsidP="00433F3F"/>
                </w:tc>
                <w:tc>
                  <w:tcPr>
                    <w:tcW w:w="2126" w:type="dxa"/>
                    <w:noWrap/>
                    <w:vAlign w:val="center"/>
                  </w:tcPr>
                  <w:p w14:paraId="048D5D6C" w14:textId="77777777" w:rsidR="00CB6C84" w:rsidRPr="00A84987" w:rsidRDefault="00CB6C84" w:rsidP="00433F3F">
                    <w:r w:rsidRPr="00A84987">
                      <w:t>化学需氧量</w:t>
                    </w:r>
                  </w:p>
                </w:tc>
                <w:tc>
                  <w:tcPr>
                    <w:tcW w:w="884" w:type="dxa"/>
                    <w:vAlign w:val="center"/>
                  </w:tcPr>
                  <w:p w14:paraId="3E45A0EC" w14:textId="77777777" w:rsidR="00CB6C84" w:rsidRPr="00A84987" w:rsidRDefault="00CB6C84" w:rsidP="00433F3F">
                    <w:r w:rsidRPr="00A84987">
                      <w:t>500</w:t>
                    </w:r>
                  </w:p>
                </w:tc>
                <w:tc>
                  <w:tcPr>
                    <w:tcW w:w="2124" w:type="dxa"/>
                    <w:vAlign w:val="center"/>
                  </w:tcPr>
                  <w:p w14:paraId="103B496A" w14:textId="77777777" w:rsidR="00CB6C84" w:rsidRPr="00A84987" w:rsidRDefault="00CB6C84" w:rsidP="00433F3F">
                    <w:r w:rsidRPr="00A84987">
                      <w:rPr>
                        <w:rFonts w:hint="eastAsia"/>
                      </w:rPr>
                      <w:t>70.5</w:t>
                    </w:r>
                  </w:p>
                </w:tc>
                <w:tc>
                  <w:tcPr>
                    <w:tcW w:w="1260" w:type="dxa"/>
                    <w:vMerge/>
                    <w:vAlign w:val="center"/>
                  </w:tcPr>
                  <w:p w14:paraId="4D7C2C84" w14:textId="77777777" w:rsidR="00CB6C84" w:rsidRPr="00A84987" w:rsidRDefault="00CB6C84" w:rsidP="00433F3F"/>
                </w:tc>
                <w:tc>
                  <w:tcPr>
                    <w:tcW w:w="1192" w:type="dxa"/>
                    <w:vMerge/>
                    <w:vAlign w:val="center"/>
                  </w:tcPr>
                  <w:p w14:paraId="2FC4A8F5" w14:textId="77777777" w:rsidR="00CB6C84" w:rsidRPr="00A84987" w:rsidRDefault="00CB6C84" w:rsidP="00433F3F"/>
                </w:tc>
              </w:tr>
              <w:tr w:rsidR="00CB6C84" w:rsidRPr="00A84987" w14:paraId="7C7A090A" w14:textId="77777777" w:rsidTr="00433F3F">
                <w:trPr>
                  <w:trHeight w:val="292"/>
                </w:trPr>
                <w:tc>
                  <w:tcPr>
                    <w:tcW w:w="959" w:type="dxa"/>
                    <w:vMerge/>
                    <w:vAlign w:val="center"/>
                  </w:tcPr>
                  <w:p w14:paraId="6023F1F8" w14:textId="77777777" w:rsidR="00CB6C84" w:rsidRPr="00A84987" w:rsidRDefault="00CB6C84" w:rsidP="00433F3F"/>
                </w:tc>
                <w:tc>
                  <w:tcPr>
                    <w:tcW w:w="2126" w:type="dxa"/>
                    <w:noWrap/>
                  </w:tcPr>
                  <w:p w14:paraId="5E0696C7" w14:textId="77777777" w:rsidR="00CB6C84" w:rsidRPr="00A84987" w:rsidRDefault="00CB6C84" w:rsidP="00433F3F">
                    <w:r w:rsidRPr="00A84987">
                      <w:rPr>
                        <w:rFonts w:hint="eastAsia"/>
                      </w:rPr>
                      <w:t>氨氮</w:t>
                    </w:r>
                  </w:p>
                </w:tc>
                <w:tc>
                  <w:tcPr>
                    <w:tcW w:w="884" w:type="dxa"/>
                  </w:tcPr>
                  <w:p w14:paraId="3DD32869" w14:textId="77777777" w:rsidR="00CB6C84" w:rsidRPr="00A84987" w:rsidRDefault="00CB6C84" w:rsidP="00433F3F">
                    <w:r w:rsidRPr="00A84987">
                      <w:rPr>
                        <w:rFonts w:hint="eastAsia"/>
                      </w:rPr>
                      <w:t>45</w:t>
                    </w:r>
                  </w:p>
                </w:tc>
                <w:tc>
                  <w:tcPr>
                    <w:tcW w:w="2124" w:type="dxa"/>
                  </w:tcPr>
                  <w:p w14:paraId="68C20EFF" w14:textId="77777777" w:rsidR="00CB6C84" w:rsidRPr="00A84987" w:rsidRDefault="00CB6C84" w:rsidP="00433F3F">
                    <w:r w:rsidRPr="00A84987">
                      <w:rPr>
                        <w:rFonts w:hint="eastAsia"/>
                      </w:rPr>
                      <w:t>11.05</w:t>
                    </w:r>
                  </w:p>
                </w:tc>
                <w:tc>
                  <w:tcPr>
                    <w:tcW w:w="1260" w:type="dxa"/>
                    <w:vMerge/>
                  </w:tcPr>
                  <w:p w14:paraId="77C63815" w14:textId="77777777" w:rsidR="00CB6C84" w:rsidRPr="00A84987" w:rsidRDefault="00CB6C84" w:rsidP="00433F3F"/>
                </w:tc>
                <w:tc>
                  <w:tcPr>
                    <w:tcW w:w="1192" w:type="dxa"/>
                    <w:vMerge/>
                  </w:tcPr>
                  <w:p w14:paraId="0A62699B" w14:textId="77777777" w:rsidR="00CB6C84" w:rsidRPr="00A84987" w:rsidRDefault="00CB6C84" w:rsidP="00433F3F"/>
                </w:tc>
              </w:tr>
              <w:tr w:rsidR="00CB6C84" w:rsidRPr="00A84987" w14:paraId="39EAC643" w14:textId="77777777" w:rsidTr="00433F3F">
                <w:trPr>
                  <w:trHeight w:val="286"/>
                </w:trPr>
                <w:tc>
                  <w:tcPr>
                    <w:tcW w:w="959" w:type="dxa"/>
                    <w:vMerge/>
                    <w:vAlign w:val="center"/>
                  </w:tcPr>
                  <w:p w14:paraId="70B9CB80" w14:textId="77777777" w:rsidR="00CB6C84" w:rsidRPr="00A84987" w:rsidRDefault="00CB6C84" w:rsidP="00433F3F"/>
                </w:tc>
                <w:tc>
                  <w:tcPr>
                    <w:tcW w:w="2126" w:type="dxa"/>
                    <w:noWrap/>
                  </w:tcPr>
                  <w:p w14:paraId="22C0EBE8" w14:textId="77777777" w:rsidR="00CB6C84" w:rsidRPr="00A84987" w:rsidRDefault="00CB6C84" w:rsidP="00433F3F">
                    <w:r w:rsidRPr="00A84987">
                      <w:rPr>
                        <w:rFonts w:hint="eastAsia"/>
                      </w:rPr>
                      <w:t>悬浮物</w:t>
                    </w:r>
                  </w:p>
                </w:tc>
                <w:tc>
                  <w:tcPr>
                    <w:tcW w:w="884" w:type="dxa"/>
                  </w:tcPr>
                  <w:p w14:paraId="5E26E73D" w14:textId="77777777" w:rsidR="00CB6C84" w:rsidRPr="00A84987" w:rsidRDefault="00CB6C84" w:rsidP="00433F3F">
                    <w:r w:rsidRPr="00A84987">
                      <w:rPr>
                        <w:rFonts w:hint="eastAsia"/>
                      </w:rPr>
                      <w:t>400</w:t>
                    </w:r>
                  </w:p>
                </w:tc>
                <w:tc>
                  <w:tcPr>
                    <w:tcW w:w="2124" w:type="dxa"/>
                  </w:tcPr>
                  <w:p w14:paraId="158205B3" w14:textId="77777777" w:rsidR="00CB6C84" w:rsidRPr="00A84987" w:rsidRDefault="00CB6C84" w:rsidP="00433F3F">
                    <w:r w:rsidRPr="00A84987">
                      <w:rPr>
                        <w:rFonts w:hint="eastAsia"/>
                      </w:rPr>
                      <w:t>14</w:t>
                    </w:r>
                  </w:p>
                </w:tc>
                <w:tc>
                  <w:tcPr>
                    <w:tcW w:w="1260" w:type="dxa"/>
                    <w:vMerge/>
                  </w:tcPr>
                  <w:p w14:paraId="38216524" w14:textId="77777777" w:rsidR="00CB6C84" w:rsidRPr="00A84987" w:rsidRDefault="00CB6C84" w:rsidP="00433F3F"/>
                </w:tc>
                <w:tc>
                  <w:tcPr>
                    <w:tcW w:w="1192" w:type="dxa"/>
                    <w:vMerge/>
                  </w:tcPr>
                  <w:p w14:paraId="7431E9FF" w14:textId="77777777" w:rsidR="00CB6C84" w:rsidRPr="00A84987" w:rsidRDefault="00CB6C84" w:rsidP="00433F3F"/>
                </w:tc>
              </w:tr>
              <w:tr w:rsidR="00CB6C84" w:rsidRPr="00A84987" w14:paraId="61CC47DC" w14:textId="77777777" w:rsidTr="00433F3F">
                <w:trPr>
                  <w:trHeight w:val="286"/>
                </w:trPr>
                <w:tc>
                  <w:tcPr>
                    <w:tcW w:w="959" w:type="dxa"/>
                    <w:vMerge/>
                    <w:vAlign w:val="center"/>
                  </w:tcPr>
                  <w:p w14:paraId="7EC4BE18" w14:textId="77777777" w:rsidR="00CB6C84" w:rsidRPr="00A84987" w:rsidRDefault="00CB6C84" w:rsidP="00433F3F"/>
                </w:tc>
                <w:tc>
                  <w:tcPr>
                    <w:tcW w:w="2126" w:type="dxa"/>
                    <w:noWrap/>
                  </w:tcPr>
                  <w:p w14:paraId="5CBDA30A" w14:textId="77777777" w:rsidR="00CB6C84" w:rsidRPr="00A84987" w:rsidRDefault="00CB6C84" w:rsidP="00433F3F">
                    <w:r w:rsidRPr="00A84987">
                      <w:rPr>
                        <w:rFonts w:hint="eastAsia"/>
                      </w:rPr>
                      <w:t>总磷</w:t>
                    </w:r>
                  </w:p>
                </w:tc>
                <w:tc>
                  <w:tcPr>
                    <w:tcW w:w="884" w:type="dxa"/>
                  </w:tcPr>
                  <w:p w14:paraId="7224AE71" w14:textId="77777777" w:rsidR="00CB6C84" w:rsidRPr="00A84987" w:rsidRDefault="00CB6C84" w:rsidP="00433F3F">
                    <w:r w:rsidRPr="00A84987">
                      <w:rPr>
                        <w:rFonts w:hint="eastAsia"/>
                      </w:rPr>
                      <w:t>8</w:t>
                    </w:r>
                  </w:p>
                </w:tc>
                <w:tc>
                  <w:tcPr>
                    <w:tcW w:w="2124" w:type="dxa"/>
                  </w:tcPr>
                  <w:p w14:paraId="04450FE7" w14:textId="77777777" w:rsidR="00CB6C84" w:rsidRPr="00A84987" w:rsidRDefault="00CB6C84" w:rsidP="00433F3F">
                    <w:r w:rsidRPr="00A84987">
                      <w:rPr>
                        <w:rFonts w:hint="eastAsia"/>
                      </w:rPr>
                      <w:t>1.075</w:t>
                    </w:r>
                  </w:p>
                </w:tc>
                <w:tc>
                  <w:tcPr>
                    <w:tcW w:w="1260" w:type="dxa"/>
                    <w:vMerge/>
                  </w:tcPr>
                  <w:p w14:paraId="687FC54A" w14:textId="77777777" w:rsidR="00CB6C84" w:rsidRPr="00A84987" w:rsidRDefault="00CB6C84" w:rsidP="00433F3F"/>
                </w:tc>
                <w:tc>
                  <w:tcPr>
                    <w:tcW w:w="1192" w:type="dxa"/>
                    <w:vMerge/>
                  </w:tcPr>
                  <w:p w14:paraId="08C0A6D1" w14:textId="77777777" w:rsidR="00CB6C84" w:rsidRPr="00A84987" w:rsidRDefault="00CB6C84" w:rsidP="00433F3F"/>
                </w:tc>
              </w:tr>
              <w:tr w:rsidR="00CB6C84" w:rsidRPr="00A84987" w14:paraId="5BB252B7" w14:textId="77777777" w:rsidTr="00433F3F">
                <w:trPr>
                  <w:trHeight w:val="286"/>
                </w:trPr>
                <w:tc>
                  <w:tcPr>
                    <w:tcW w:w="959" w:type="dxa"/>
                    <w:vMerge/>
                    <w:vAlign w:val="center"/>
                  </w:tcPr>
                  <w:p w14:paraId="74EDBC01" w14:textId="77777777" w:rsidR="00CB6C84" w:rsidRPr="00A84987" w:rsidRDefault="00CB6C84" w:rsidP="00433F3F"/>
                </w:tc>
                <w:tc>
                  <w:tcPr>
                    <w:tcW w:w="2126" w:type="dxa"/>
                    <w:noWrap/>
                  </w:tcPr>
                  <w:p w14:paraId="5F526095" w14:textId="77777777" w:rsidR="00CB6C84" w:rsidRPr="00A84987" w:rsidRDefault="00CB6C84" w:rsidP="00433F3F">
                    <w:r>
                      <w:t>石油类</w:t>
                    </w:r>
                  </w:p>
                </w:tc>
                <w:tc>
                  <w:tcPr>
                    <w:tcW w:w="884" w:type="dxa"/>
                  </w:tcPr>
                  <w:p w14:paraId="76501575" w14:textId="77777777" w:rsidR="00CB6C84" w:rsidRPr="00A84987" w:rsidRDefault="00CB6C84" w:rsidP="00433F3F">
                    <w:r>
                      <w:t>15</w:t>
                    </w:r>
                  </w:p>
                </w:tc>
                <w:tc>
                  <w:tcPr>
                    <w:tcW w:w="2124" w:type="dxa"/>
                  </w:tcPr>
                  <w:p w14:paraId="795427D4" w14:textId="77777777" w:rsidR="00CB6C84" w:rsidRPr="00A84987" w:rsidRDefault="00CB6C84" w:rsidP="00433F3F">
                    <w:r>
                      <w:t>0.085</w:t>
                    </w:r>
                  </w:p>
                </w:tc>
                <w:tc>
                  <w:tcPr>
                    <w:tcW w:w="1260" w:type="dxa"/>
                    <w:vMerge/>
                  </w:tcPr>
                  <w:p w14:paraId="2C88F9CF" w14:textId="77777777" w:rsidR="00CB6C84" w:rsidRPr="00A84987" w:rsidRDefault="00CB6C84" w:rsidP="00433F3F"/>
                </w:tc>
                <w:tc>
                  <w:tcPr>
                    <w:tcW w:w="1192" w:type="dxa"/>
                    <w:vMerge/>
                  </w:tcPr>
                  <w:p w14:paraId="1DE4558A" w14:textId="77777777" w:rsidR="00CB6C84" w:rsidRPr="00A84987" w:rsidRDefault="00CB6C84" w:rsidP="00433F3F"/>
                </w:tc>
              </w:tr>
              <w:tr w:rsidR="00CB6C84" w:rsidRPr="00A84987" w14:paraId="364802AC" w14:textId="77777777" w:rsidTr="00433F3F">
                <w:trPr>
                  <w:trHeight w:val="286"/>
                </w:trPr>
                <w:tc>
                  <w:tcPr>
                    <w:tcW w:w="959" w:type="dxa"/>
                    <w:vMerge/>
                    <w:vAlign w:val="center"/>
                  </w:tcPr>
                  <w:p w14:paraId="631C3089" w14:textId="77777777" w:rsidR="00CB6C84" w:rsidRPr="00A84987" w:rsidRDefault="00CB6C84" w:rsidP="00433F3F"/>
                </w:tc>
                <w:tc>
                  <w:tcPr>
                    <w:tcW w:w="2126" w:type="dxa"/>
                    <w:noWrap/>
                  </w:tcPr>
                  <w:p w14:paraId="4B7EF3DA" w14:textId="77777777" w:rsidR="00CB6C84" w:rsidRPr="00A84987" w:rsidRDefault="00CB6C84" w:rsidP="00433F3F">
                    <w:r>
                      <w:t>动植物油</w:t>
                    </w:r>
                  </w:p>
                </w:tc>
                <w:tc>
                  <w:tcPr>
                    <w:tcW w:w="884" w:type="dxa"/>
                  </w:tcPr>
                  <w:p w14:paraId="605DC43D" w14:textId="77777777" w:rsidR="00CB6C84" w:rsidRPr="00A84987" w:rsidRDefault="00CB6C84" w:rsidP="00433F3F">
                    <w:r>
                      <w:t>100</w:t>
                    </w:r>
                  </w:p>
                </w:tc>
                <w:tc>
                  <w:tcPr>
                    <w:tcW w:w="2124" w:type="dxa"/>
                  </w:tcPr>
                  <w:p w14:paraId="083E5465" w14:textId="77777777" w:rsidR="00CB6C84" w:rsidRPr="00A84987" w:rsidRDefault="00CB6C84" w:rsidP="00433F3F">
                    <w:r>
                      <w:t>0.265</w:t>
                    </w:r>
                  </w:p>
                </w:tc>
                <w:tc>
                  <w:tcPr>
                    <w:tcW w:w="1260" w:type="dxa"/>
                    <w:vMerge/>
                  </w:tcPr>
                  <w:p w14:paraId="5A38604F" w14:textId="77777777" w:rsidR="00CB6C84" w:rsidRPr="00A84987" w:rsidRDefault="00CB6C84" w:rsidP="00433F3F"/>
                </w:tc>
                <w:tc>
                  <w:tcPr>
                    <w:tcW w:w="1192" w:type="dxa"/>
                    <w:vMerge/>
                  </w:tcPr>
                  <w:p w14:paraId="3FD3AAB0" w14:textId="77777777" w:rsidR="00CB6C84" w:rsidRPr="00A84987" w:rsidRDefault="00CB6C84" w:rsidP="00433F3F"/>
                </w:tc>
              </w:tr>
              <w:tr w:rsidR="00CB6C84" w:rsidRPr="00A84987" w14:paraId="40AC62A8" w14:textId="77777777" w:rsidTr="00433F3F">
                <w:trPr>
                  <w:trHeight w:val="286"/>
                </w:trPr>
                <w:tc>
                  <w:tcPr>
                    <w:tcW w:w="959" w:type="dxa"/>
                    <w:vMerge/>
                    <w:vAlign w:val="center"/>
                  </w:tcPr>
                  <w:p w14:paraId="039B4712" w14:textId="77777777" w:rsidR="00CB6C84" w:rsidRPr="00A84987" w:rsidRDefault="00CB6C84" w:rsidP="00433F3F"/>
                </w:tc>
                <w:tc>
                  <w:tcPr>
                    <w:tcW w:w="2126" w:type="dxa"/>
                    <w:noWrap/>
                  </w:tcPr>
                  <w:p w14:paraId="7702350F" w14:textId="77777777" w:rsidR="00CB6C84" w:rsidRPr="00A84987" w:rsidRDefault="00CB6C84" w:rsidP="00433F3F">
                    <w:r>
                      <w:t>阴离子表面活性剂</w:t>
                    </w:r>
                  </w:p>
                </w:tc>
                <w:tc>
                  <w:tcPr>
                    <w:tcW w:w="884" w:type="dxa"/>
                  </w:tcPr>
                  <w:p w14:paraId="2ABA7125" w14:textId="77777777" w:rsidR="00CB6C84" w:rsidRPr="00A84987" w:rsidRDefault="00CB6C84" w:rsidP="00433F3F">
                    <w:r>
                      <w:t>20</w:t>
                    </w:r>
                  </w:p>
                </w:tc>
                <w:tc>
                  <w:tcPr>
                    <w:tcW w:w="2124" w:type="dxa"/>
                  </w:tcPr>
                  <w:p w14:paraId="4D93531C" w14:textId="77777777" w:rsidR="00CB6C84" w:rsidRPr="00A84987" w:rsidRDefault="00CB6C84" w:rsidP="00433F3F">
                    <w:r>
                      <w:t>0.05</w:t>
                    </w:r>
                  </w:p>
                </w:tc>
                <w:tc>
                  <w:tcPr>
                    <w:tcW w:w="1260" w:type="dxa"/>
                    <w:vMerge/>
                  </w:tcPr>
                  <w:p w14:paraId="27E83BA1" w14:textId="77777777" w:rsidR="00CB6C84" w:rsidRPr="00A84987" w:rsidRDefault="00CB6C84" w:rsidP="00433F3F"/>
                </w:tc>
                <w:tc>
                  <w:tcPr>
                    <w:tcW w:w="1192" w:type="dxa"/>
                    <w:vMerge/>
                  </w:tcPr>
                  <w:p w14:paraId="13445CE4" w14:textId="77777777" w:rsidR="00CB6C84" w:rsidRPr="00A84987" w:rsidRDefault="00CB6C84" w:rsidP="00433F3F"/>
                </w:tc>
              </w:tr>
            </w:tbl>
            <w:p w14:paraId="305199FA" w14:textId="77777777" w:rsidR="00CB6C84" w:rsidRDefault="00CB6C84"/>
            <w:p w14:paraId="2D38D159" w14:textId="77777777" w:rsidR="008E1E93" w:rsidRPr="00A84987" w:rsidRDefault="00B664AF" w:rsidP="00CB6C84">
              <w:pPr>
                <w:pStyle w:val="afff4"/>
                <w:ind w:firstLineChars="0" w:firstLine="0"/>
              </w:pPr>
            </w:p>
            <w:p w14:paraId="77C407D0" w14:textId="77777777" w:rsidR="008E1E93" w:rsidRPr="00A84987" w:rsidRDefault="004F686E" w:rsidP="008E1E93">
              <w:pPr>
                <w:pStyle w:val="afff4"/>
              </w:pPr>
              <w:r w:rsidRPr="00A84987">
                <w:rPr>
                  <w:rFonts w:hint="eastAsia"/>
                </w:rPr>
                <w:t>水污染物排放总量统计</w:t>
              </w:r>
            </w:p>
            <w:p w14:paraId="366CB784" w14:textId="77777777" w:rsidR="008E1E93" w:rsidRPr="00A84987" w:rsidRDefault="004F686E" w:rsidP="008E1E93">
              <w:pPr>
                <w:pStyle w:val="afff4"/>
              </w:pPr>
              <w:r w:rsidRPr="00A84987">
                <w:rPr>
                  <w:rFonts w:hint="eastAsia"/>
                </w:rPr>
                <w:t>表</w:t>
              </w:r>
              <w:r w:rsidRPr="00A84987">
                <w:rPr>
                  <w:rFonts w:hint="eastAsia"/>
                </w:rPr>
                <w:t>1</w:t>
              </w:r>
              <w:r w:rsidRPr="00A84987">
                <w:rPr>
                  <w:rFonts w:hint="eastAsia"/>
                </w:rPr>
                <w:t>—</w:t>
              </w:r>
              <w:r w:rsidRPr="00A84987">
                <w:rPr>
                  <w:rFonts w:hint="eastAsia"/>
                </w:rPr>
                <w:t>2</w:t>
              </w:r>
              <w:r w:rsidRPr="00A84987">
                <w:t xml:space="preserve">                                           </w:t>
              </w:r>
              <w:r w:rsidRPr="00A84987">
                <w:rPr>
                  <w:rFonts w:hint="eastAsia"/>
                </w:rPr>
                <w:t xml:space="preserve">  </w:t>
              </w:r>
              <w:r w:rsidRPr="00A84987">
                <w:rPr>
                  <w:rFonts w:hint="eastAsia"/>
                </w:rPr>
                <w:t>单位</w:t>
              </w:r>
              <w:r w:rsidRPr="00A84987">
                <w:t>:</w:t>
              </w:r>
              <w:r w:rsidRPr="00A84987">
                <w:rPr>
                  <w:rFonts w:hint="eastAsia"/>
                </w:rPr>
                <w:t>吨</w:t>
              </w:r>
            </w:p>
            <w:tbl>
              <w:tblPr>
                <w:tblStyle w:val="g3"/>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526"/>
                <w:gridCol w:w="2268"/>
                <w:gridCol w:w="2410"/>
                <w:gridCol w:w="1275"/>
                <w:gridCol w:w="1134"/>
              </w:tblGrid>
              <w:tr w:rsidR="00CB6C84" w:rsidRPr="00A84987" w14:paraId="66E34960" w14:textId="77777777" w:rsidTr="00E249A4">
                <w:trPr>
                  <w:trHeight w:val="286"/>
                </w:trPr>
                <w:tc>
                  <w:tcPr>
                    <w:tcW w:w="3794" w:type="dxa"/>
                    <w:gridSpan w:val="2"/>
                    <w:vMerge w:val="restart"/>
                    <w:noWrap/>
                    <w:vAlign w:val="center"/>
                  </w:tcPr>
                  <w:p w14:paraId="072627BA" w14:textId="77777777" w:rsidR="00CB6C84" w:rsidRPr="00A84987" w:rsidRDefault="00CB6C84" w:rsidP="00E249A4">
                    <w:pPr>
                      <w:rPr>
                        <w:iCs/>
                      </w:rPr>
                    </w:pPr>
                    <w:r w:rsidRPr="00A84987">
                      <w:rPr>
                        <w:rFonts w:hint="eastAsia"/>
                        <w:iCs/>
                      </w:rPr>
                      <w:t>污染物</w:t>
                    </w:r>
                  </w:p>
                </w:tc>
                <w:tc>
                  <w:tcPr>
                    <w:tcW w:w="2410" w:type="dxa"/>
                    <w:vMerge w:val="restart"/>
                    <w:vAlign w:val="center"/>
                  </w:tcPr>
                  <w:p w14:paraId="5DCEBEDF" w14:textId="77777777" w:rsidR="00CB6C84" w:rsidRPr="00A84987" w:rsidRDefault="00CB6C84" w:rsidP="00E249A4">
                    <w:pPr>
                      <w:rPr>
                        <w:iCs/>
                      </w:rPr>
                    </w:pPr>
                    <w:r w:rsidRPr="00A84987">
                      <w:rPr>
                        <w:rFonts w:hint="eastAsia"/>
                        <w:iCs/>
                      </w:rPr>
                      <w:t>数据来源</w:t>
                    </w:r>
                  </w:p>
                </w:tc>
                <w:tc>
                  <w:tcPr>
                    <w:tcW w:w="2409" w:type="dxa"/>
                    <w:gridSpan w:val="2"/>
                    <w:vAlign w:val="center"/>
                  </w:tcPr>
                  <w:p w14:paraId="5F7D599A" w14:textId="77777777" w:rsidR="00CB6C84" w:rsidRPr="00A84987" w:rsidRDefault="00CB6C84" w:rsidP="00E249A4">
                    <w:pPr>
                      <w:rPr>
                        <w:iCs/>
                      </w:rPr>
                    </w:pPr>
                    <w:r w:rsidRPr="00A84987">
                      <w:rPr>
                        <w:iCs/>
                      </w:rPr>
                      <w:t>20</w:t>
                    </w:r>
                    <w:r w:rsidRPr="00A84987">
                      <w:rPr>
                        <w:rFonts w:hint="eastAsia"/>
                        <w:iCs/>
                      </w:rPr>
                      <w:t>2</w:t>
                    </w:r>
                    <w:r>
                      <w:rPr>
                        <w:iCs/>
                      </w:rPr>
                      <w:t>1</w:t>
                    </w:r>
                    <w:r w:rsidRPr="00A84987">
                      <w:rPr>
                        <w:rFonts w:hint="eastAsia"/>
                        <w:iCs/>
                      </w:rPr>
                      <w:t>年</w:t>
                    </w:r>
                  </w:p>
                </w:tc>
              </w:tr>
              <w:tr w:rsidR="00CB6C84" w:rsidRPr="00A84987" w14:paraId="539164ED" w14:textId="77777777" w:rsidTr="00E249A4">
                <w:trPr>
                  <w:trHeight w:val="286"/>
                </w:trPr>
                <w:tc>
                  <w:tcPr>
                    <w:tcW w:w="3794" w:type="dxa"/>
                    <w:gridSpan w:val="2"/>
                    <w:vMerge/>
                    <w:vAlign w:val="center"/>
                  </w:tcPr>
                  <w:p w14:paraId="3882DF50" w14:textId="77777777" w:rsidR="00CB6C84" w:rsidRPr="00A84987" w:rsidRDefault="00CB6C84" w:rsidP="00E249A4">
                    <w:pPr>
                      <w:rPr>
                        <w:iCs/>
                      </w:rPr>
                    </w:pPr>
                  </w:p>
                </w:tc>
                <w:tc>
                  <w:tcPr>
                    <w:tcW w:w="2410" w:type="dxa"/>
                    <w:vMerge/>
                    <w:vAlign w:val="center"/>
                  </w:tcPr>
                  <w:p w14:paraId="0FBDC812" w14:textId="77777777" w:rsidR="00CB6C84" w:rsidRPr="00A84987" w:rsidRDefault="00CB6C84" w:rsidP="00E249A4">
                    <w:pPr>
                      <w:rPr>
                        <w:iCs/>
                      </w:rPr>
                    </w:pPr>
                  </w:p>
                </w:tc>
                <w:tc>
                  <w:tcPr>
                    <w:tcW w:w="1275" w:type="dxa"/>
                  </w:tcPr>
                  <w:p w14:paraId="7EB1235E" w14:textId="77777777" w:rsidR="00CB6C84" w:rsidRPr="00A84987" w:rsidRDefault="00CB6C84" w:rsidP="00E249A4">
                    <w:pPr>
                      <w:rPr>
                        <w:iCs/>
                      </w:rPr>
                    </w:pPr>
                    <w:r w:rsidRPr="00A84987">
                      <w:rPr>
                        <w:rFonts w:hint="eastAsia"/>
                        <w:iCs/>
                      </w:rPr>
                      <w:t>产生量</w:t>
                    </w:r>
                  </w:p>
                </w:tc>
                <w:tc>
                  <w:tcPr>
                    <w:tcW w:w="1134" w:type="dxa"/>
                  </w:tcPr>
                  <w:p w14:paraId="6CA6BC44" w14:textId="77777777" w:rsidR="00CB6C84" w:rsidRPr="00A84987" w:rsidRDefault="00CB6C84" w:rsidP="00E249A4">
                    <w:pPr>
                      <w:rPr>
                        <w:iCs/>
                      </w:rPr>
                    </w:pPr>
                    <w:r w:rsidRPr="00A84987">
                      <w:rPr>
                        <w:rFonts w:hint="eastAsia"/>
                        <w:iCs/>
                      </w:rPr>
                      <w:t>排放量</w:t>
                    </w:r>
                  </w:p>
                </w:tc>
              </w:tr>
              <w:tr w:rsidR="00CB6C84" w:rsidRPr="00A84987" w14:paraId="67442D17" w14:textId="77777777" w:rsidTr="00E249A4">
                <w:trPr>
                  <w:trHeight w:val="286"/>
                </w:trPr>
                <w:tc>
                  <w:tcPr>
                    <w:tcW w:w="3794" w:type="dxa"/>
                    <w:gridSpan w:val="2"/>
                    <w:noWrap/>
                    <w:vAlign w:val="center"/>
                  </w:tcPr>
                  <w:p w14:paraId="0BD9CB6A" w14:textId="77777777" w:rsidR="00CB6C84" w:rsidRPr="00A84987" w:rsidRDefault="00CB6C84" w:rsidP="00E249A4">
                    <w:r w:rsidRPr="00A84987">
                      <w:rPr>
                        <w:rFonts w:hint="eastAsia"/>
                        <w:iCs/>
                      </w:rPr>
                      <w:t>废水总排放量</w:t>
                    </w:r>
                  </w:p>
                </w:tc>
                <w:tc>
                  <w:tcPr>
                    <w:tcW w:w="2410" w:type="dxa"/>
                    <w:vAlign w:val="center"/>
                  </w:tcPr>
                  <w:p w14:paraId="3D5D69E4" w14:textId="77777777" w:rsidR="00CB6C84" w:rsidRPr="00A84987" w:rsidRDefault="00CB6C84" w:rsidP="00E249A4">
                    <w:r w:rsidRPr="00A84987">
                      <w:rPr>
                        <w:rFonts w:hint="eastAsia"/>
                      </w:rPr>
                      <w:t>系数折算</w:t>
                    </w:r>
                  </w:p>
                </w:tc>
                <w:tc>
                  <w:tcPr>
                    <w:tcW w:w="1275" w:type="dxa"/>
                  </w:tcPr>
                  <w:p w14:paraId="43B41523" w14:textId="77777777" w:rsidR="00CB6C84" w:rsidRPr="00A84987" w:rsidRDefault="00CB6C84" w:rsidP="00E249A4">
                    <w:r w:rsidRPr="00A84987">
                      <w:rPr>
                        <w:rFonts w:hint="eastAsia"/>
                      </w:rPr>
                      <w:t>68625</w:t>
                    </w:r>
                  </w:p>
                </w:tc>
                <w:tc>
                  <w:tcPr>
                    <w:tcW w:w="1134" w:type="dxa"/>
                  </w:tcPr>
                  <w:p w14:paraId="6E9BBA3A" w14:textId="77777777" w:rsidR="00CB6C84" w:rsidRPr="00A84987" w:rsidRDefault="00CB6C84" w:rsidP="00E249A4">
                    <w:r w:rsidRPr="00A84987">
                      <w:rPr>
                        <w:rFonts w:hint="eastAsia"/>
                      </w:rPr>
                      <w:t>68625</w:t>
                    </w:r>
                  </w:p>
                </w:tc>
              </w:tr>
              <w:tr w:rsidR="00CB6C84" w:rsidRPr="00A84987" w14:paraId="6D411B10" w14:textId="77777777" w:rsidTr="00E249A4">
                <w:trPr>
                  <w:trHeight w:val="286"/>
                </w:trPr>
                <w:tc>
                  <w:tcPr>
                    <w:tcW w:w="1526" w:type="dxa"/>
                    <w:vMerge w:val="restart"/>
                    <w:noWrap/>
                    <w:vAlign w:val="center"/>
                  </w:tcPr>
                  <w:p w14:paraId="3D82CC75" w14:textId="77777777" w:rsidR="00CB6C84" w:rsidRDefault="00CB6C84" w:rsidP="00E249A4">
                    <w:r>
                      <w:rPr>
                        <w:rFonts w:hint="eastAsia"/>
                      </w:rPr>
                      <w:t>常规污染物</w:t>
                    </w:r>
                  </w:p>
                  <w:p w14:paraId="5DEA7D11" w14:textId="77777777" w:rsidR="00CB6C84" w:rsidRPr="00A84987" w:rsidRDefault="00CB6C84" w:rsidP="00E249A4"/>
                </w:tc>
                <w:tc>
                  <w:tcPr>
                    <w:tcW w:w="2268" w:type="dxa"/>
                    <w:noWrap/>
                    <w:vAlign w:val="center"/>
                  </w:tcPr>
                  <w:p w14:paraId="07CCE9D8" w14:textId="77777777" w:rsidR="00CB6C84" w:rsidRPr="00A84987" w:rsidRDefault="00CB6C84" w:rsidP="00E249A4">
                    <w:r w:rsidRPr="00A84987">
                      <w:rPr>
                        <w:rFonts w:hint="eastAsia"/>
                      </w:rPr>
                      <w:t>PH值</w:t>
                    </w:r>
                  </w:p>
                </w:tc>
                <w:tc>
                  <w:tcPr>
                    <w:tcW w:w="2410" w:type="dxa"/>
                    <w:vAlign w:val="center"/>
                  </w:tcPr>
                  <w:p w14:paraId="5B33AFD3" w14:textId="77777777" w:rsidR="00CB6C84" w:rsidRPr="00A84987" w:rsidRDefault="00CB6C84" w:rsidP="00E249A4">
                    <w:r w:rsidRPr="00A84987">
                      <w:rPr>
                        <w:rFonts w:hint="eastAsia"/>
                      </w:rPr>
                      <w:t>委托检测</w:t>
                    </w:r>
                  </w:p>
                </w:tc>
                <w:tc>
                  <w:tcPr>
                    <w:tcW w:w="1275" w:type="dxa"/>
                    <w:vAlign w:val="center"/>
                  </w:tcPr>
                  <w:p w14:paraId="68ED1FDF" w14:textId="77777777" w:rsidR="00CB6C84" w:rsidRPr="00A84987" w:rsidRDefault="00CB6C84" w:rsidP="00E249A4">
                    <w:r w:rsidRPr="00A84987">
                      <w:rPr>
                        <w:rFonts w:hint="eastAsia"/>
                      </w:rPr>
                      <w:t>0.535</w:t>
                    </w:r>
                  </w:p>
                </w:tc>
                <w:tc>
                  <w:tcPr>
                    <w:tcW w:w="1134" w:type="dxa"/>
                    <w:vAlign w:val="center"/>
                  </w:tcPr>
                  <w:p w14:paraId="6BEC8F44" w14:textId="77777777" w:rsidR="00CB6C84" w:rsidRPr="00A84987" w:rsidRDefault="00CB6C84" w:rsidP="00E249A4">
                    <w:r w:rsidRPr="00A84987">
                      <w:rPr>
                        <w:rFonts w:hint="eastAsia"/>
                      </w:rPr>
                      <w:t>0.535</w:t>
                    </w:r>
                  </w:p>
                </w:tc>
              </w:tr>
              <w:tr w:rsidR="00CB6C84" w:rsidRPr="00A84987" w14:paraId="62A6E227" w14:textId="77777777" w:rsidTr="00E249A4">
                <w:trPr>
                  <w:trHeight w:val="286"/>
                </w:trPr>
                <w:tc>
                  <w:tcPr>
                    <w:tcW w:w="1526" w:type="dxa"/>
                    <w:vMerge/>
                    <w:vAlign w:val="center"/>
                  </w:tcPr>
                  <w:p w14:paraId="75B81C49" w14:textId="77777777" w:rsidR="00CB6C84" w:rsidRPr="00A84987" w:rsidRDefault="00CB6C84" w:rsidP="00E249A4"/>
                </w:tc>
                <w:tc>
                  <w:tcPr>
                    <w:tcW w:w="2268" w:type="dxa"/>
                    <w:noWrap/>
                    <w:vAlign w:val="center"/>
                  </w:tcPr>
                  <w:p w14:paraId="332216E1" w14:textId="77777777" w:rsidR="00CB6C84" w:rsidRPr="00A84987" w:rsidRDefault="00CB6C84" w:rsidP="00E249A4">
                    <w:r w:rsidRPr="00A84987">
                      <w:rPr>
                        <w:rFonts w:hint="eastAsia"/>
                      </w:rPr>
                      <w:t>化学需氧量</w:t>
                    </w:r>
                  </w:p>
                </w:tc>
                <w:tc>
                  <w:tcPr>
                    <w:tcW w:w="2410" w:type="dxa"/>
                    <w:vAlign w:val="center"/>
                  </w:tcPr>
                  <w:p w14:paraId="3DD4810B" w14:textId="77777777" w:rsidR="00CB6C84" w:rsidRPr="00A84987" w:rsidRDefault="00CB6C84" w:rsidP="00E249A4">
                    <w:r w:rsidRPr="00A84987">
                      <w:rPr>
                        <w:rFonts w:hint="eastAsia"/>
                      </w:rPr>
                      <w:t>委托检测</w:t>
                    </w:r>
                  </w:p>
                </w:tc>
                <w:tc>
                  <w:tcPr>
                    <w:tcW w:w="1275" w:type="dxa"/>
                    <w:vAlign w:val="center"/>
                  </w:tcPr>
                  <w:p w14:paraId="1C674B87" w14:textId="77777777" w:rsidR="00CB6C84" w:rsidRPr="00A84987" w:rsidRDefault="00CB6C84" w:rsidP="00E249A4">
                    <w:r w:rsidRPr="00A84987">
                      <w:rPr>
                        <w:rFonts w:hint="eastAsia"/>
                      </w:rPr>
                      <w:t>4.838</w:t>
                    </w:r>
                  </w:p>
                </w:tc>
                <w:tc>
                  <w:tcPr>
                    <w:tcW w:w="1134" w:type="dxa"/>
                    <w:vAlign w:val="center"/>
                  </w:tcPr>
                  <w:p w14:paraId="41C94D4A" w14:textId="77777777" w:rsidR="00CB6C84" w:rsidRPr="00A84987" w:rsidRDefault="00CB6C84" w:rsidP="00E249A4">
                    <w:r w:rsidRPr="00A84987">
                      <w:rPr>
                        <w:rFonts w:hint="eastAsia"/>
                      </w:rPr>
                      <w:t>4.838</w:t>
                    </w:r>
                  </w:p>
                </w:tc>
              </w:tr>
              <w:tr w:rsidR="00CB6C84" w:rsidRPr="00A84987" w14:paraId="3965D402" w14:textId="77777777" w:rsidTr="00E249A4">
                <w:trPr>
                  <w:trHeight w:val="286"/>
                </w:trPr>
                <w:tc>
                  <w:tcPr>
                    <w:tcW w:w="1526" w:type="dxa"/>
                    <w:vMerge/>
                    <w:vAlign w:val="center"/>
                  </w:tcPr>
                  <w:p w14:paraId="373EDCF1" w14:textId="77777777" w:rsidR="00CB6C84" w:rsidRPr="00A84987" w:rsidRDefault="00CB6C84" w:rsidP="00E249A4"/>
                </w:tc>
                <w:tc>
                  <w:tcPr>
                    <w:tcW w:w="2268" w:type="dxa"/>
                    <w:noWrap/>
                    <w:vAlign w:val="center"/>
                  </w:tcPr>
                  <w:p w14:paraId="01AEDD2D" w14:textId="77777777" w:rsidR="00CB6C84" w:rsidRPr="00A84987" w:rsidRDefault="00CB6C84" w:rsidP="00E249A4">
                    <w:r w:rsidRPr="00A84987">
                      <w:rPr>
                        <w:rFonts w:hint="eastAsia"/>
                      </w:rPr>
                      <w:t>氨氮</w:t>
                    </w:r>
                  </w:p>
                </w:tc>
                <w:tc>
                  <w:tcPr>
                    <w:tcW w:w="2410" w:type="dxa"/>
                    <w:vAlign w:val="center"/>
                  </w:tcPr>
                  <w:p w14:paraId="2C67AFBC" w14:textId="77777777" w:rsidR="00CB6C84" w:rsidRPr="00A84987" w:rsidRDefault="00CB6C84" w:rsidP="00E249A4">
                    <w:r w:rsidRPr="00A84987">
                      <w:rPr>
                        <w:rFonts w:hint="eastAsia"/>
                      </w:rPr>
                      <w:t>委托检测</w:t>
                    </w:r>
                  </w:p>
                </w:tc>
                <w:tc>
                  <w:tcPr>
                    <w:tcW w:w="1275" w:type="dxa"/>
                    <w:vAlign w:val="center"/>
                  </w:tcPr>
                  <w:p w14:paraId="20CD9578" w14:textId="77777777" w:rsidR="00CB6C84" w:rsidRPr="00A84987" w:rsidRDefault="00CB6C84" w:rsidP="00E249A4">
                    <w:r w:rsidRPr="00A84987">
                      <w:rPr>
                        <w:rFonts w:hint="eastAsia"/>
                      </w:rPr>
                      <w:t>0.758</w:t>
                    </w:r>
                  </w:p>
                </w:tc>
                <w:tc>
                  <w:tcPr>
                    <w:tcW w:w="1134" w:type="dxa"/>
                    <w:vAlign w:val="center"/>
                  </w:tcPr>
                  <w:p w14:paraId="09EBE2BB" w14:textId="77777777" w:rsidR="00CB6C84" w:rsidRPr="00A84987" w:rsidRDefault="00CB6C84" w:rsidP="00E249A4">
                    <w:r w:rsidRPr="00A84987">
                      <w:rPr>
                        <w:rFonts w:hint="eastAsia"/>
                      </w:rPr>
                      <w:t>0.758</w:t>
                    </w:r>
                  </w:p>
                </w:tc>
              </w:tr>
              <w:tr w:rsidR="00CB6C84" w:rsidRPr="00A84987" w14:paraId="5CBCFEBC" w14:textId="77777777" w:rsidTr="00E249A4">
                <w:trPr>
                  <w:trHeight w:val="286"/>
                </w:trPr>
                <w:tc>
                  <w:tcPr>
                    <w:tcW w:w="1526" w:type="dxa"/>
                    <w:vMerge/>
                    <w:vAlign w:val="center"/>
                  </w:tcPr>
                  <w:p w14:paraId="128333C9" w14:textId="77777777" w:rsidR="00CB6C84" w:rsidRPr="00A84987" w:rsidRDefault="00CB6C84" w:rsidP="00E249A4"/>
                </w:tc>
                <w:tc>
                  <w:tcPr>
                    <w:tcW w:w="2268" w:type="dxa"/>
                    <w:noWrap/>
                    <w:vAlign w:val="center"/>
                  </w:tcPr>
                  <w:p w14:paraId="4E665E71" w14:textId="77777777" w:rsidR="00CB6C84" w:rsidRPr="00A84987" w:rsidRDefault="00CB6C84" w:rsidP="00E249A4">
                    <w:r w:rsidRPr="00A84987">
                      <w:rPr>
                        <w:rFonts w:hint="eastAsia"/>
                      </w:rPr>
                      <w:t>悬浮物</w:t>
                    </w:r>
                  </w:p>
                </w:tc>
                <w:tc>
                  <w:tcPr>
                    <w:tcW w:w="2410" w:type="dxa"/>
                    <w:vAlign w:val="center"/>
                  </w:tcPr>
                  <w:p w14:paraId="4841E646" w14:textId="77777777" w:rsidR="00CB6C84" w:rsidRPr="00A84987" w:rsidRDefault="00CB6C84" w:rsidP="00E249A4">
                    <w:r w:rsidRPr="00A84987">
                      <w:rPr>
                        <w:rFonts w:hint="eastAsia"/>
                      </w:rPr>
                      <w:t>委托检测</w:t>
                    </w:r>
                  </w:p>
                </w:tc>
                <w:tc>
                  <w:tcPr>
                    <w:tcW w:w="1275" w:type="dxa"/>
                    <w:vAlign w:val="center"/>
                  </w:tcPr>
                  <w:p w14:paraId="232BE160" w14:textId="77777777" w:rsidR="00CB6C84" w:rsidRPr="00A84987" w:rsidRDefault="00CB6C84" w:rsidP="00E249A4">
                    <w:r w:rsidRPr="00A84987">
                      <w:rPr>
                        <w:rFonts w:hint="eastAsia"/>
                      </w:rPr>
                      <w:t>0.961</w:t>
                    </w:r>
                  </w:p>
                </w:tc>
                <w:tc>
                  <w:tcPr>
                    <w:tcW w:w="1134" w:type="dxa"/>
                    <w:vAlign w:val="center"/>
                  </w:tcPr>
                  <w:p w14:paraId="6571E076" w14:textId="77777777" w:rsidR="00CB6C84" w:rsidRPr="00A84987" w:rsidRDefault="00CB6C84" w:rsidP="00E249A4">
                    <w:r w:rsidRPr="00A84987">
                      <w:rPr>
                        <w:rFonts w:hint="eastAsia"/>
                      </w:rPr>
                      <w:t>0.961</w:t>
                    </w:r>
                  </w:p>
                </w:tc>
              </w:tr>
              <w:tr w:rsidR="00CB6C84" w:rsidRPr="00A84987" w14:paraId="0FC3531E" w14:textId="77777777" w:rsidTr="00E249A4">
                <w:trPr>
                  <w:trHeight w:val="286"/>
                </w:trPr>
                <w:tc>
                  <w:tcPr>
                    <w:tcW w:w="1526" w:type="dxa"/>
                    <w:vMerge/>
                    <w:noWrap/>
                    <w:vAlign w:val="center"/>
                  </w:tcPr>
                  <w:p w14:paraId="59855367" w14:textId="77777777" w:rsidR="00CB6C84" w:rsidRPr="00A84987" w:rsidRDefault="00CB6C84" w:rsidP="00E249A4"/>
                </w:tc>
                <w:tc>
                  <w:tcPr>
                    <w:tcW w:w="2268" w:type="dxa"/>
                    <w:noWrap/>
                    <w:vAlign w:val="center"/>
                  </w:tcPr>
                  <w:p w14:paraId="6ADD7FD7" w14:textId="77777777" w:rsidR="00CB6C84" w:rsidRPr="00A84987" w:rsidRDefault="00CB6C84" w:rsidP="00E249A4">
                    <w:r w:rsidRPr="00A84987">
                      <w:rPr>
                        <w:rFonts w:hint="eastAsia"/>
                      </w:rPr>
                      <w:t>总磷</w:t>
                    </w:r>
                  </w:p>
                </w:tc>
                <w:tc>
                  <w:tcPr>
                    <w:tcW w:w="2410" w:type="dxa"/>
                    <w:vAlign w:val="center"/>
                  </w:tcPr>
                  <w:p w14:paraId="4E7E4AC0" w14:textId="77777777" w:rsidR="00CB6C84" w:rsidRPr="00A84987" w:rsidRDefault="00CB6C84" w:rsidP="00E249A4">
                    <w:r w:rsidRPr="00A84987">
                      <w:rPr>
                        <w:rFonts w:hint="eastAsia"/>
                      </w:rPr>
                      <w:t>委托检测</w:t>
                    </w:r>
                  </w:p>
                </w:tc>
                <w:tc>
                  <w:tcPr>
                    <w:tcW w:w="1275" w:type="dxa"/>
                    <w:vAlign w:val="center"/>
                  </w:tcPr>
                  <w:p w14:paraId="5E06741A" w14:textId="77777777" w:rsidR="00CB6C84" w:rsidRPr="00A84987" w:rsidRDefault="00CB6C84" w:rsidP="00E249A4">
                    <w:r w:rsidRPr="00A84987">
                      <w:rPr>
                        <w:rFonts w:hint="eastAsia"/>
                      </w:rPr>
                      <w:t>0.074</w:t>
                    </w:r>
                  </w:p>
                </w:tc>
                <w:tc>
                  <w:tcPr>
                    <w:tcW w:w="1134" w:type="dxa"/>
                    <w:vAlign w:val="center"/>
                  </w:tcPr>
                  <w:p w14:paraId="38A0E6CF" w14:textId="77777777" w:rsidR="00CB6C84" w:rsidRPr="00A84987" w:rsidRDefault="00CB6C84" w:rsidP="00E249A4">
                    <w:r w:rsidRPr="00A84987">
                      <w:rPr>
                        <w:rFonts w:hint="eastAsia"/>
                      </w:rPr>
                      <w:t>0.074</w:t>
                    </w:r>
                  </w:p>
                </w:tc>
              </w:tr>
              <w:tr w:rsidR="00CB6C84" w:rsidRPr="00A84987" w14:paraId="1F33EC90" w14:textId="77777777" w:rsidTr="00E249A4">
                <w:trPr>
                  <w:trHeight w:val="286"/>
                </w:trPr>
                <w:tc>
                  <w:tcPr>
                    <w:tcW w:w="1526" w:type="dxa"/>
                    <w:vMerge/>
                    <w:noWrap/>
                    <w:vAlign w:val="center"/>
                  </w:tcPr>
                  <w:p w14:paraId="5358570D" w14:textId="77777777" w:rsidR="00CB6C84" w:rsidRPr="00A84987" w:rsidRDefault="00CB6C84" w:rsidP="00E249A4"/>
                </w:tc>
                <w:tc>
                  <w:tcPr>
                    <w:tcW w:w="2268" w:type="dxa"/>
                    <w:noWrap/>
                    <w:vAlign w:val="center"/>
                  </w:tcPr>
                  <w:p w14:paraId="7F106D8D" w14:textId="77777777" w:rsidR="00CB6C84" w:rsidRPr="00A84987" w:rsidRDefault="00CB6C84" w:rsidP="00E249A4">
                    <w:r>
                      <w:t>石油类</w:t>
                    </w:r>
                  </w:p>
                </w:tc>
                <w:tc>
                  <w:tcPr>
                    <w:tcW w:w="2410" w:type="dxa"/>
                    <w:vAlign w:val="center"/>
                  </w:tcPr>
                  <w:p w14:paraId="3447C6A4" w14:textId="77777777" w:rsidR="00CB6C84" w:rsidRPr="00A84987" w:rsidRDefault="00CB6C84" w:rsidP="00E249A4">
                    <w:r>
                      <w:t>委托检测</w:t>
                    </w:r>
                  </w:p>
                </w:tc>
                <w:tc>
                  <w:tcPr>
                    <w:tcW w:w="1275" w:type="dxa"/>
                    <w:vAlign w:val="center"/>
                  </w:tcPr>
                  <w:p w14:paraId="409C4457" w14:textId="77777777" w:rsidR="00CB6C84" w:rsidRPr="00A84987" w:rsidRDefault="00CB6C84" w:rsidP="00E249A4">
                    <w:r>
                      <w:t>0.0058</w:t>
                    </w:r>
                  </w:p>
                </w:tc>
                <w:tc>
                  <w:tcPr>
                    <w:tcW w:w="1134" w:type="dxa"/>
                    <w:vAlign w:val="center"/>
                  </w:tcPr>
                  <w:p w14:paraId="45F69160" w14:textId="77777777" w:rsidR="00CB6C84" w:rsidRPr="00A84987" w:rsidRDefault="00CB6C84" w:rsidP="00E249A4">
                    <w:r>
                      <w:t>0.0058</w:t>
                    </w:r>
                  </w:p>
                </w:tc>
              </w:tr>
              <w:tr w:rsidR="00CB6C84" w:rsidRPr="00A84987" w14:paraId="477DE4C4" w14:textId="77777777" w:rsidTr="00E249A4">
                <w:trPr>
                  <w:trHeight w:val="286"/>
                </w:trPr>
                <w:tc>
                  <w:tcPr>
                    <w:tcW w:w="1526" w:type="dxa"/>
                    <w:vMerge/>
                    <w:noWrap/>
                    <w:vAlign w:val="center"/>
                  </w:tcPr>
                  <w:p w14:paraId="26071E3D" w14:textId="77777777" w:rsidR="00CB6C84" w:rsidRPr="00A84987" w:rsidRDefault="00CB6C84" w:rsidP="00E249A4"/>
                </w:tc>
                <w:tc>
                  <w:tcPr>
                    <w:tcW w:w="2268" w:type="dxa"/>
                    <w:noWrap/>
                    <w:vAlign w:val="center"/>
                  </w:tcPr>
                  <w:p w14:paraId="7A1FE066" w14:textId="77777777" w:rsidR="00CB6C84" w:rsidRPr="00A84987" w:rsidRDefault="00CB6C84" w:rsidP="00E249A4">
                    <w:r>
                      <w:t>动植物油</w:t>
                    </w:r>
                  </w:p>
                </w:tc>
                <w:tc>
                  <w:tcPr>
                    <w:tcW w:w="2410" w:type="dxa"/>
                    <w:vAlign w:val="center"/>
                  </w:tcPr>
                  <w:p w14:paraId="33F0ABE1" w14:textId="77777777" w:rsidR="00CB6C84" w:rsidRPr="00A84987" w:rsidRDefault="00CB6C84" w:rsidP="00E249A4">
                    <w:r>
                      <w:t>委托检测</w:t>
                    </w:r>
                  </w:p>
                </w:tc>
                <w:tc>
                  <w:tcPr>
                    <w:tcW w:w="1275" w:type="dxa"/>
                    <w:vAlign w:val="center"/>
                  </w:tcPr>
                  <w:p w14:paraId="32FEB646" w14:textId="77777777" w:rsidR="00CB6C84" w:rsidRPr="00A84987" w:rsidRDefault="00CB6C84" w:rsidP="00E249A4">
                    <w:r>
                      <w:t>0.018</w:t>
                    </w:r>
                  </w:p>
                </w:tc>
                <w:tc>
                  <w:tcPr>
                    <w:tcW w:w="1134" w:type="dxa"/>
                    <w:vAlign w:val="center"/>
                  </w:tcPr>
                  <w:p w14:paraId="70A3659B" w14:textId="77777777" w:rsidR="00CB6C84" w:rsidRPr="00A84987" w:rsidRDefault="00CB6C84" w:rsidP="00E249A4">
                    <w:r>
                      <w:t>0.018</w:t>
                    </w:r>
                  </w:p>
                </w:tc>
              </w:tr>
              <w:tr w:rsidR="00CB6C84" w:rsidRPr="00A84987" w14:paraId="26E996F0" w14:textId="77777777" w:rsidTr="00E249A4">
                <w:trPr>
                  <w:trHeight w:val="286"/>
                </w:trPr>
                <w:tc>
                  <w:tcPr>
                    <w:tcW w:w="1526" w:type="dxa"/>
                    <w:vMerge/>
                    <w:noWrap/>
                    <w:vAlign w:val="center"/>
                  </w:tcPr>
                  <w:p w14:paraId="43BE1DFA" w14:textId="77777777" w:rsidR="00CB6C84" w:rsidRPr="00A84987" w:rsidRDefault="00CB6C84" w:rsidP="00E249A4"/>
                </w:tc>
                <w:tc>
                  <w:tcPr>
                    <w:tcW w:w="2268" w:type="dxa"/>
                    <w:noWrap/>
                    <w:vAlign w:val="center"/>
                  </w:tcPr>
                  <w:p w14:paraId="6F90D370" w14:textId="77777777" w:rsidR="00CB6C84" w:rsidRPr="00A84987" w:rsidRDefault="00CB6C84" w:rsidP="00E249A4">
                    <w:r>
                      <w:t>阴离子表面活性剂</w:t>
                    </w:r>
                  </w:p>
                </w:tc>
                <w:tc>
                  <w:tcPr>
                    <w:tcW w:w="2410" w:type="dxa"/>
                    <w:vAlign w:val="center"/>
                  </w:tcPr>
                  <w:p w14:paraId="220C64CD" w14:textId="77777777" w:rsidR="00CB6C84" w:rsidRPr="00A84987" w:rsidRDefault="00CB6C84" w:rsidP="00E249A4">
                    <w:r>
                      <w:t>委托检测</w:t>
                    </w:r>
                  </w:p>
                </w:tc>
                <w:tc>
                  <w:tcPr>
                    <w:tcW w:w="1275" w:type="dxa"/>
                    <w:vAlign w:val="center"/>
                  </w:tcPr>
                  <w:p w14:paraId="5083E2B7" w14:textId="77777777" w:rsidR="00CB6C84" w:rsidRPr="00A84987" w:rsidRDefault="00CB6C84" w:rsidP="00E249A4">
                    <w:r>
                      <w:t>0.0034</w:t>
                    </w:r>
                  </w:p>
                </w:tc>
                <w:tc>
                  <w:tcPr>
                    <w:tcW w:w="1134" w:type="dxa"/>
                    <w:vAlign w:val="center"/>
                  </w:tcPr>
                  <w:p w14:paraId="6E9D62F1" w14:textId="77777777" w:rsidR="00CB6C84" w:rsidRPr="00A84987" w:rsidRDefault="00CB6C84" w:rsidP="00E249A4">
                    <w:r>
                      <w:t>0.0034</w:t>
                    </w:r>
                  </w:p>
                </w:tc>
              </w:tr>
            </w:tbl>
            <w:p w14:paraId="6A503181" w14:textId="77777777" w:rsidR="00CB6C84" w:rsidRDefault="00CB6C84"/>
            <w:p w14:paraId="6385F97A" w14:textId="77777777" w:rsidR="008E1E93" w:rsidRPr="00A84987" w:rsidRDefault="004F686E" w:rsidP="008E1E93">
              <w:pPr>
                <w:pStyle w:val="afff4"/>
              </w:pPr>
              <w:r w:rsidRPr="00A84987">
                <w:rPr>
                  <w:rFonts w:hint="eastAsia"/>
                </w:rPr>
                <w:t>2</w:t>
              </w:r>
              <w:r w:rsidRPr="00A84987">
                <w:rPr>
                  <w:rFonts w:hint="eastAsia"/>
                </w:rPr>
                <w:t>、废气排放情况</w:t>
              </w:r>
            </w:p>
            <w:p w14:paraId="380C7693" w14:textId="77777777" w:rsidR="00CB6C84" w:rsidRDefault="00CB6C84" w:rsidP="00CB6C84">
              <w:pPr>
                <w:pStyle w:val="afff4"/>
              </w:pPr>
              <w:r>
                <w:rPr>
                  <w:rFonts w:hint="eastAsia"/>
                </w:rPr>
                <w:t>天津天海高压容器有限责任公司共有废气排放口</w:t>
              </w:r>
              <w:r>
                <w:t>9</w:t>
              </w:r>
              <w:r>
                <w:t>个，其中喷漆废气排口</w:t>
              </w:r>
              <w:r>
                <w:t>2</w:t>
              </w:r>
              <w:r>
                <w:t>个，手工补漆废气排放口</w:t>
              </w:r>
              <w:r>
                <w:t>1</w:t>
              </w:r>
              <w:r>
                <w:t>个，热处理炉废气排放口</w:t>
              </w:r>
              <w:r>
                <w:t>2</w:t>
              </w:r>
              <w:r>
                <w:t>个，旋压机废气排放口</w:t>
              </w:r>
              <w:r>
                <w:t>2</w:t>
              </w:r>
              <w:r>
                <w:t>个，喷粉固化废气排放口</w:t>
              </w:r>
              <w:r>
                <w:t>1</w:t>
              </w:r>
              <w:r>
                <w:t>个，缠绕固化废气排放口</w:t>
              </w:r>
              <w:r>
                <w:t>1</w:t>
              </w:r>
              <w:r>
                <w:t>个。废气排放污染因子有颗粒物、二氧化硫、氮氧化物、挥发性有机物、苯等。二氧化硫、氮氧化物和颗粒物核定的排放总量分别为</w:t>
              </w:r>
              <w:r>
                <w:t>0.747</w:t>
              </w:r>
              <w:r>
                <w:t>、</w:t>
              </w:r>
              <w:r>
                <w:t>11.223</w:t>
              </w:r>
              <w:r>
                <w:t>吨和</w:t>
              </w:r>
              <w:r>
                <w:t>0.747</w:t>
              </w:r>
              <w:r>
                <w:t>吨。</w:t>
              </w:r>
            </w:p>
            <w:p w14:paraId="55A9C35D" w14:textId="512DB580" w:rsidR="008E1E93" w:rsidRPr="00A84987" w:rsidRDefault="00CB6C84" w:rsidP="00CB6C84">
              <w:pPr>
                <w:pStyle w:val="afff4"/>
              </w:pPr>
              <w:r>
                <w:t>2021</w:t>
              </w:r>
              <w:r>
                <w:t>年上半年，废气经委托天津国纳产品检测技术服务有限公司采样检测，结果均符合《工业炉窑大气污染物排放标准》</w:t>
              </w:r>
              <w:r>
                <w:t>(DB12/556—2015)</w:t>
              </w:r>
              <w:r>
                <w:t>和《工业企业挥发性有机物排放控制标准》</w:t>
              </w:r>
              <w:r>
                <w:t>(DB12/524—2020)</w:t>
              </w:r>
              <w:r>
                <w:t>要求，全部达标排放。</w:t>
              </w:r>
            </w:p>
            <w:p w14:paraId="6CB8BD18" w14:textId="77777777" w:rsidR="008E1E93" w:rsidRPr="00A84987" w:rsidRDefault="00B664AF" w:rsidP="008E1E93">
              <w:pPr>
                <w:pStyle w:val="afff4"/>
              </w:pPr>
            </w:p>
            <w:p w14:paraId="063B3AA8" w14:textId="77777777" w:rsidR="008E1E93" w:rsidRPr="00A84987" w:rsidRDefault="004F686E" w:rsidP="008E1E93">
              <w:pPr>
                <w:pStyle w:val="afff4"/>
              </w:pPr>
              <w:r w:rsidRPr="00A84987">
                <w:rPr>
                  <w:rFonts w:hint="eastAsia"/>
                </w:rPr>
                <w:t>表</w:t>
              </w:r>
              <w:r w:rsidRPr="00A84987">
                <w:rPr>
                  <w:rFonts w:hint="eastAsia"/>
                </w:rPr>
                <w:t>2</w:t>
              </w:r>
              <w:r w:rsidRPr="00A84987">
                <w:rPr>
                  <w:rFonts w:hint="eastAsia"/>
                </w:rPr>
                <w:t>—</w:t>
              </w:r>
              <w:r w:rsidRPr="00A84987">
                <w:rPr>
                  <w:rFonts w:hint="eastAsia"/>
                </w:rPr>
                <w:t xml:space="preserve">1            </w:t>
              </w:r>
              <w:r w:rsidRPr="00A84987">
                <w:rPr>
                  <w:rFonts w:hint="eastAsia"/>
                </w:rPr>
                <w:t>大气污染物监测浓度统计表</w:t>
              </w:r>
            </w:p>
            <w:tbl>
              <w:tblPr>
                <w:tblStyle w:val="g3"/>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814"/>
                <w:gridCol w:w="1560"/>
                <w:gridCol w:w="1262"/>
                <w:gridCol w:w="3418"/>
                <w:gridCol w:w="1559"/>
              </w:tblGrid>
              <w:tr w:rsidR="00CB6C84" w:rsidRPr="00A84987" w14:paraId="72E8C332" w14:textId="77777777" w:rsidTr="000B5DDB">
                <w:trPr>
                  <w:trHeight w:val="286"/>
                </w:trPr>
                <w:tc>
                  <w:tcPr>
                    <w:tcW w:w="2374" w:type="dxa"/>
                    <w:gridSpan w:val="2"/>
                    <w:vMerge w:val="restart"/>
                    <w:noWrap/>
                    <w:vAlign w:val="center"/>
                  </w:tcPr>
                  <w:p w14:paraId="41F3BDFF" w14:textId="77777777" w:rsidR="00CB6C84" w:rsidRPr="00A84987" w:rsidRDefault="00CB6C84" w:rsidP="000B5DDB">
                    <w:r w:rsidRPr="00A84987">
                      <w:rPr>
                        <w:rFonts w:hint="eastAsia"/>
                      </w:rPr>
                      <w:t>污染物</w:t>
                    </w:r>
                  </w:p>
                </w:tc>
                <w:tc>
                  <w:tcPr>
                    <w:tcW w:w="1262" w:type="dxa"/>
                    <w:vMerge w:val="restart"/>
                    <w:noWrap/>
                    <w:vAlign w:val="center"/>
                  </w:tcPr>
                  <w:p w14:paraId="3ECCAEC3" w14:textId="77777777" w:rsidR="00CB6C84" w:rsidRPr="00A84987" w:rsidRDefault="00CB6C84" w:rsidP="000B5DDB">
                    <w:r w:rsidRPr="00A84987">
                      <w:rPr>
                        <w:rFonts w:hint="eastAsia"/>
                      </w:rPr>
                      <w:t>最高允许</w:t>
                    </w:r>
                    <w:r w:rsidRPr="00A84987">
                      <w:t xml:space="preserve"> </w:t>
                    </w:r>
                    <w:r w:rsidRPr="00A84987">
                      <w:rPr>
                        <w:rFonts w:hint="eastAsia"/>
                      </w:rPr>
                      <w:t>排放浓度</w:t>
                    </w:r>
                  </w:p>
                  <w:p w14:paraId="4D59417C" w14:textId="77777777" w:rsidR="00CB6C84" w:rsidRPr="00A84987" w:rsidRDefault="00CB6C84" w:rsidP="000B5DDB">
                    <w:r w:rsidRPr="00A84987">
                      <w:t>(mg/m3)</w:t>
                    </w:r>
                  </w:p>
                </w:tc>
                <w:tc>
                  <w:tcPr>
                    <w:tcW w:w="3418" w:type="dxa"/>
                  </w:tcPr>
                  <w:p w14:paraId="7432194C" w14:textId="77777777" w:rsidR="00CB6C84" w:rsidRPr="00A84987" w:rsidRDefault="00CB6C84" w:rsidP="000B5DDB">
                    <w:r w:rsidRPr="00A84987">
                      <w:rPr>
                        <w:rFonts w:hint="eastAsia"/>
                      </w:rPr>
                      <w:t>排放浓度监测数据年平均值</w:t>
                    </w:r>
                  </w:p>
                  <w:p w14:paraId="41015DFD" w14:textId="77777777" w:rsidR="00CB6C84" w:rsidRPr="00A84987" w:rsidRDefault="00CB6C84" w:rsidP="000B5DDB">
                    <w:r w:rsidRPr="00A84987">
                      <w:t>(mg/m3)</w:t>
                    </w:r>
                  </w:p>
                </w:tc>
                <w:tc>
                  <w:tcPr>
                    <w:tcW w:w="1559" w:type="dxa"/>
                    <w:vMerge w:val="restart"/>
                  </w:tcPr>
                  <w:p w14:paraId="6C7F839B" w14:textId="77777777" w:rsidR="00CB6C84" w:rsidRPr="00A84987" w:rsidRDefault="00CB6C84" w:rsidP="000B5DDB">
                    <w:r w:rsidRPr="00A84987">
                      <w:rPr>
                        <w:rFonts w:hint="eastAsia"/>
                      </w:rPr>
                      <w:t>最高允许排放速率</w:t>
                    </w:r>
                    <w:r w:rsidRPr="00A84987">
                      <w:t>kg/h</w:t>
                    </w:r>
                  </w:p>
                </w:tc>
              </w:tr>
              <w:tr w:rsidR="00CB6C84" w:rsidRPr="00A84987" w14:paraId="61CC845A" w14:textId="77777777" w:rsidTr="000B5DDB">
                <w:trPr>
                  <w:trHeight w:val="286"/>
                </w:trPr>
                <w:tc>
                  <w:tcPr>
                    <w:tcW w:w="2374" w:type="dxa"/>
                    <w:gridSpan w:val="2"/>
                    <w:vMerge/>
                    <w:vAlign w:val="center"/>
                  </w:tcPr>
                  <w:p w14:paraId="669558F6" w14:textId="77777777" w:rsidR="00CB6C84" w:rsidRPr="00A84987" w:rsidRDefault="00CB6C84" w:rsidP="000B5DDB"/>
                </w:tc>
                <w:tc>
                  <w:tcPr>
                    <w:tcW w:w="1262" w:type="dxa"/>
                    <w:vMerge/>
                    <w:vAlign w:val="center"/>
                  </w:tcPr>
                  <w:p w14:paraId="0A82C2B1" w14:textId="77777777" w:rsidR="00CB6C84" w:rsidRPr="00A84987" w:rsidRDefault="00CB6C84" w:rsidP="000B5DDB"/>
                </w:tc>
                <w:tc>
                  <w:tcPr>
                    <w:tcW w:w="3418" w:type="dxa"/>
                  </w:tcPr>
                  <w:p w14:paraId="5573B44D" w14:textId="77777777" w:rsidR="00CB6C84" w:rsidRPr="00A84987" w:rsidRDefault="00CB6C84" w:rsidP="000B5DDB">
                    <w:r w:rsidRPr="00A84987">
                      <w:rPr>
                        <w:rFonts w:hint="eastAsia"/>
                      </w:rPr>
                      <w:t>202</w:t>
                    </w:r>
                    <w:r>
                      <w:t>1</w:t>
                    </w:r>
                    <w:r w:rsidRPr="00A84987">
                      <w:rPr>
                        <w:rFonts w:hint="eastAsia"/>
                      </w:rPr>
                      <w:t>年</w:t>
                    </w:r>
                  </w:p>
                </w:tc>
                <w:tc>
                  <w:tcPr>
                    <w:tcW w:w="1559" w:type="dxa"/>
                    <w:vMerge/>
                    <w:vAlign w:val="center"/>
                  </w:tcPr>
                  <w:p w14:paraId="52D8CA0F" w14:textId="77777777" w:rsidR="00CB6C84" w:rsidRPr="00A84987" w:rsidRDefault="00CB6C84" w:rsidP="000B5DDB"/>
                </w:tc>
              </w:tr>
              <w:tr w:rsidR="00CB6C84" w:rsidRPr="00A84987" w14:paraId="23E508BF" w14:textId="77777777" w:rsidTr="000B5DDB">
                <w:trPr>
                  <w:trHeight w:val="386"/>
                </w:trPr>
                <w:tc>
                  <w:tcPr>
                    <w:tcW w:w="8613" w:type="dxa"/>
                    <w:gridSpan w:val="5"/>
                    <w:vAlign w:val="center"/>
                  </w:tcPr>
                  <w:p w14:paraId="7DFE67E7" w14:textId="77777777" w:rsidR="00CB6C84" w:rsidRPr="00A84987" w:rsidRDefault="00CB6C84" w:rsidP="000B5DDB">
                    <w:r w:rsidRPr="00A84987">
                      <w:rPr>
                        <w:rFonts w:hint="eastAsia"/>
                      </w:rPr>
                      <w:t>天然气燃烧废气排放口</w:t>
                    </w:r>
                  </w:p>
                </w:tc>
              </w:tr>
              <w:tr w:rsidR="00CB6C84" w:rsidRPr="00A84987" w14:paraId="7EE59DA4" w14:textId="77777777" w:rsidTr="000B5DDB">
                <w:trPr>
                  <w:trHeight w:val="734"/>
                </w:trPr>
                <w:tc>
                  <w:tcPr>
                    <w:tcW w:w="814" w:type="dxa"/>
                    <w:vMerge w:val="restart"/>
                    <w:noWrap/>
                    <w:vAlign w:val="center"/>
                  </w:tcPr>
                  <w:p w14:paraId="248D5CBB" w14:textId="77777777" w:rsidR="00CB6C84" w:rsidRDefault="00CB6C84" w:rsidP="000B5DDB">
                    <w:r>
                      <w:rPr>
                        <w:rFonts w:hint="eastAsia"/>
                      </w:rPr>
                      <w:t xml:space="preserve">常规污染物 </w:t>
                    </w:r>
                  </w:p>
                  <w:p w14:paraId="5E2B4780" w14:textId="77777777" w:rsidR="00CB6C84" w:rsidRPr="00A84987" w:rsidRDefault="00CB6C84" w:rsidP="000B5DDB"/>
                </w:tc>
                <w:tc>
                  <w:tcPr>
                    <w:tcW w:w="1560" w:type="dxa"/>
                    <w:noWrap/>
                    <w:vAlign w:val="center"/>
                  </w:tcPr>
                  <w:p w14:paraId="3D62E3F9" w14:textId="77777777" w:rsidR="00CB6C84" w:rsidRPr="00A84987" w:rsidRDefault="00CB6C84" w:rsidP="000B5DDB">
                    <w:r w:rsidRPr="00A84987">
                      <w:rPr>
                        <w:rFonts w:hint="eastAsia"/>
                      </w:rPr>
                      <w:t>二氧化硫</w:t>
                    </w:r>
                  </w:p>
                </w:tc>
                <w:tc>
                  <w:tcPr>
                    <w:tcW w:w="1262" w:type="dxa"/>
                    <w:vAlign w:val="center"/>
                  </w:tcPr>
                  <w:p w14:paraId="15D0A592" w14:textId="77777777" w:rsidR="00CB6C84" w:rsidRPr="00A84987" w:rsidRDefault="00CB6C84" w:rsidP="000B5DDB">
                    <w:r w:rsidRPr="00A84987">
                      <w:rPr>
                        <w:rFonts w:hint="eastAsia"/>
                      </w:rPr>
                      <w:t>50</w:t>
                    </w:r>
                  </w:p>
                </w:tc>
                <w:tc>
                  <w:tcPr>
                    <w:tcW w:w="3418" w:type="dxa"/>
                    <w:vAlign w:val="center"/>
                  </w:tcPr>
                  <w:p w14:paraId="006C8AEA" w14:textId="77777777" w:rsidR="00CB6C84" w:rsidRPr="00A84987" w:rsidRDefault="00CB6C84" w:rsidP="000B5DDB">
                    <w:r w:rsidRPr="00A84987">
                      <w:rPr>
                        <w:rFonts w:hint="eastAsia"/>
                      </w:rPr>
                      <w:t>3.15</w:t>
                    </w:r>
                  </w:p>
                </w:tc>
                <w:tc>
                  <w:tcPr>
                    <w:tcW w:w="1559" w:type="dxa"/>
                    <w:vAlign w:val="center"/>
                  </w:tcPr>
                  <w:p w14:paraId="5F19E150" w14:textId="77777777" w:rsidR="00CB6C84" w:rsidRPr="00A84987" w:rsidRDefault="00CB6C84" w:rsidP="000B5DDB">
                    <w:r w:rsidRPr="00A84987">
                      <w:rPr>
                        <w:rFonts w:hint="eastAsia"/>
                      </w:rPr>
                      <w:t>无</w:t>
                    </w:r>
                  </w:p>
                </w:tc>
              </w:tr>
              <w:tr w:rsidR="00CB6C84" w:rsidRPr="00A84987" w14:paraId="4FB871E2" w14:textId="77777777" w:rsidTr="000B5DDB">
                <w:trPr>
                  <w:trHeight w:val="689"/>
                </w:trPr>
                <w:tc>
                  <w:tcPr>
                    <w:tcW w:w="814" w:type="dxa"/>
                    <w:vMerge/>
                    <w:vAlign w:val="center"/>
                  </w:tcPr>
                  <w:p w14:paraId="49DD913E" w14:textId="77777777" w:rsidR="00CB6C84" w:rsidRPr="00A84987" w:rsidRDefault="00CB6C84" w:rsidP="000B5DDB"/>
                </w:tc>
                <w:tc>
                  <w:tcPr>
                    <w:tcW w:w="1560" w:type="dxa"/>
                    <w:noWrap/>
                    <w:vAlign w:val="center"/>
                  </w:tcPr>
                  <w:p w14:paraId="5419CA51" w14:textId="77777777" w:rsidR="00CB6C84" w:rsidRPr="00A84987" w:rsidRDefault="00CB6C84" w:rsidP="000B5DDB">
                    <w:r w:rsidRPr="00A84987">
                      <w:rPr>
                        <w:rFonts w:hint="eastAsia"/>
                      </w:rPr>
                      <w:t>氮氧化物</w:t>
                    </w:r>
                  </w:p>
                </w:tc>
                <w:tc>
                  <w:tcPr>
                    <w:tcW w:w="1262" w:type="dxa"/>
                    <w:vAlign w:val="center"/>
                  </w:tcPr>
                  <w:p w14:paraId="7C737A9C" w14:textId="77777777" w:rsidR="00CB6C84" w:rsidRPr="00A84987" w:rsidRDefault="00CB6C84" w:rsidP="000B5DDB">
                    <w:r w:rsidRPr="00A84987">
                      <w:rPr>
                        <w:rFonts w:hint="eastAsia"/>
                      </w:rPr>
                      <w:t>150</w:t>
                    </w:r>
                  </w:p>
                </w:tc>
                <w:tc>
                  <w:tcPr>
                    <w:tcW w:w="3418" w:type="dxa"/>
                    <w:vAlign w:val="center"/>
                  </w:tcPr>
                  <w:p w14:paraId="7533B62B" w14:textId="77777777" w:rsidR="00CB6C84" w:rsidRPr="00A84987" w:rsidRDefault="00CB6C84" w:rsidP="000B5DDB">
                    <w:r w:rsidRPr="00A84987">
                      <w:rPr>
                        <w:rFonts w:hint="eastAsia"/>
                      </w:rPr>
                      <w:t>23.17</w:t>
                    </w:r>
                  </w:p>
                </w:tc>
                <w:tc>
                  <w:tcPr>
                    <w:tcW w:w="1559" w:type="dxa"/>
                    <w:vAlign w:val="center"/>
                  </w:tcPr>
                  <w:p w14:paraId="5BE0876E" w14:textId="77777777" w:rsidR="00CB6C84" w:rsidRPr="00A84987" w:rsidRDefault="00CB6C84" w:rsidP="000B5DDB">
                    <w:r w:rsidRPr="00A84987">
                      <w:rPr>
                        <w:rFonts w:hint="eastAsia"/>
                      </w:rPr>
                      <w:t>无</w:t>
                    </w:r>
                  </w:p>
                </w:tc>
              </w:tr>
              <w:tr w:rsidR="00CB6C84" w:rsidRPr="00A84987" w14:paraId="7A09E992" w14:textId="77777777" w:rsidTr="000B5DDB">
                <w:trPr>
                  <w:trHeight w:val="689"/>
                </w:trPr>
                <w:tc>
                  <w:tcPr>
                    <w:tcW w:w="814" w:type="dxa"/>
                    <w:vMerge/>
                    <w:vAlign w:val="center"/>
                  </w:tcPr>
                  <w:p w14:paraId="71F5CCA8" w14:textId="77777777" w:rsidR="00CB6C84" w:rsidRPr="00A84987" w:rsidRDefault="00CB6C84" w:rsidP="000B5DDB"/>
                </w:tc>
                <w:tc>
                  <w:tcPr>
                    <w:tcW w:w="1560" w:type="dxa"/>
                    <w:noWrap/>
                    <w:vAlign w:val="center"/>
                  </w:tcPr>
                  <w:p w14:paraId="7DB935E6" w14:textId="77777777" w:rsidR="00CB6C84" w:rsidRPr="00A84987" w:rsidRDefault="00CB6C84" w:rsidP="000B5DDB">
                    <w:r w:rsidRPr="00CB6C84">
                      <w:rPr>
                        <w:rFonts w:hint="eastAsia"/>
                      </w:rPr>
                      <w:t>颗粒物</w:t>
                    </w:r>
                  </w:p>
                </w:tc>
                <w:tc>
                  <w:tcPr>
                    <w:tcW w:w="1262" w:type="dxa"/>
                    <w:vAlign w:val="center"/>
                  </w:tcPr>
                  <w:p w14:paraId="4555B5E9" w14:textId="77777777" w:rsidR="00CB6C84" w:rsidRPr="00A84987" w:rsidRDefault="00CB6C84" w:rsidP="000B5DDB">
                    <w:r>
                      <w:t>20</w:t>
                    </w:r>
                  </w:p>
                </w:tc>
                <w:tc>
                  <w:tcPr>
                    <w:tcW w:w="3418" w:type="dxa"/>
                    <w:vAlign w:val="center"/>
                  </w:tcPr>
                  <w:p w14:paraId="04308124" w14:textId="77777777" w:rsidR="00CB6C84" w:rsidRPr="00A84987" w:rsidRDefault="00CB6C84" w:rsidP="000B5DDB">
                    <w:r>
                      <w:t>2.15</w:t>
                    </w:r>
                  </w:p>
                </w:tc>
                <w:tc>
                  <w:tcPr>
                    <w:tcW w:w="1559" w:type="dxa"/>
                    <w:vAlign w:val="center"/>
                  </w:tcPr>
                  <w:p w14:paraId="53D6FF38" w14:textId="77777777" w:rsidR="00CB6C84" w:rsidRPr="00A84987" w:rsidRDefault="00CB6C84" w:rsidP="000B5DDB">
                    <w:r>
                      <w:t>无</w:t>
                    </w:r>
                  </w:p>
                </w:tc>
              </w:tr>
            </w:tbl>
            <w:p w14:paraId="69528B42" w14:textId="77777777" w:rsidR="00CB6C84" w:rsidRDefault="00CB6C84"/>
            <w:p w14:paraId="026770C8" w14:textId="77777777" w:rsidR="008E1E93" w:rsidRPr="00A84987" w:rsidRDefault="004F686E" w:rsidP="008E1E93">
              <w:pPr>
                <w:pStyle w:val="afff4"/>
              </w:pPr>
              <w:r w:rsidRPr="00A84987">
                <w:rPr>
                  <w:rFonts w:hint="eastAsia"/>
                </w:rPr>
                <w:t>表</w:t>
              </w:r>
              <w:r w:rsidRPr="00A84987">
                <w:rPr>
                  <w:rFonts w:hint="eastAsia"/>
                </w:rPr>
                <w:t>2</w:t>
              </w:r>
              <w:r w:rsidRPr="00A84987">
                <w:rPr>
                  <w:rFonts w:hint="eastAsia"/>
                </w:rPr>
                <w:t>—</w:t>
              </w:r>
              <w:r w:rsidRPr="00A84987">
                <w:rPr>
                  <w:rFonts w:hint="eastAsia"/>
                </w:rPr>
                <w:t xml:space="preserve">2             </w:t>
              </w:r>
              <w:r w:rsidRPr="00A84987">
                <w:rPr>
                  <w:rFonts w:hint="eastAsia"/>
                </w:rPr>
                <w:t>大气污染物监测浓度统计表</w:t>
              </w:r>
            </w:p>
            <w:tbl>
              <w:tblPr>
                <w:tblStyle w:val="g3"/>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850"/>
                <w:gridCol w:w="1558"/>
                <w:gridCol w:w="1276"/>
                <w:gridCol w:w="3404"/>
                <w:gridCol w:w="1559"/>
              </w:tblGrid>
              <w:tr w:rsidR="00FC668A" w:rsidRPr="00A84987" w14:paraId="3AB3B86C" w14:textId="77777777" w:rsidTr="000228E4">
                <w:trPr>
                  <w:trHeight w:val="286"/>
                </w:trPr>
                <w:tc>
                  <w:tcPr>
                    <w:tcW w:w="2408" w:type="dxa"/>
                    <w:gridSpan w:val="2"/>
                    <w:vMerge w:val="restart"/>
                    <w:noWrap/>
                    <w:vAlign w:val="center"/>
                  </w:tcPr>
                  <w:p w14:paraId="211992AC" w14:textId="77777777" w:rsidR="00FC668A" w:rsidRPr="00A84987" w:rsidRDefault="00FC668A" w:rsidP="000228E4">
                    <w:r w:rsidRPr="00A84987">
                      <w:rPr>
                        <w:rFonts w:hint="eastAsia"/>
                      </w:rPr>
                      <w:t>污染物</w:t>
                    </w:r>
                  </w:p>
                </w:tc>
                <w:tc>
                  <w:tcPr>
                    <w:tcW w:w="1276" w:type="dxa"/>
                    <w:vMerge w:val="restart"/>
                    <w:noWrap/>
                    <w:vAlign w:val="center"/>
                  </w:tcPr>
                  <w:p w14:paraId="6D1C9784" w14:textId="77777777" w:rsidR="00FC668A" w:rsidRPr="00A84987" w:rsidRDefault="00FC668A" w:rsidP="000228E4">
                    <w:r w:rsidRPr="00A84987">
                      <w:rPr>
                        <w:rFonts w:hint="eastAsia"/>
                      </w:rPr>
                      <w:t>最高允许排放浓度</w:t>
                    </w:r>
                  </w:p>
                  <w:p w14:paraId="7CED8448" w14:textId="77777777" w:rsidR="00FC668A" w:rsidRPr="00A84987" w:rsidRDefault="00FC668A" w:rsidP="000228E4">
                    <w:r w:rsidRPr="00A84987">
                      <w:t>(mg/m3)</w:t>
                    </w:r>
                  </w:p>
                </w:tc>
                <w:tc>
                  <w:tcPr>
                    <w:tcW w:w="3404" w:type="dxa"/>
                    <w:vAlign w:val="center"/>
                  </w:tcPr>
                  <w:p w14:paraId="3EF8BC90" w14:textId="77777777" w:rsidR="00FC668A" w:rsidRPr="00A84987" w:rsidRDefault="00FC668A" w:rsidP="000228E4">
                    <w:r w:rsidRPr="00A84987">
                      <w:rPr>
                        <w:rFonts w:hint="eastAsia"/>
                      </w:rPr>
                      <w:t>排放浓度监测数据年平均值</w:t>
                    </w:r>
                    <w:r w:rsidRPr="00A84987">
                      <w:t>(mg/m3)</w:t>
                    </w:r>
                  </w:p>
                </w:tc>
                <w:tc>
                  <w:tcPr>
                    <w:tcW w:w="1559" w:type="dxa"/>
                    <w:vMerge w:val="restart"/>
                    <w:vAlign w:val="center"/>
                  </w:tcPr>
                  <w:p w14:paraId="6766A445" w14:textId="77777777" w:rsidR="00FC668A" w:rsidRPr="00A84987" w:rsidRDefault="00FC668A" w:rsidP="000228E4">
                    <w:r w:rsidRPr="00A84987">
                      <w:rPr>
                        <w:rFonts w:hint="eastAsia"/>
                      </w:rPr>
                      <w:t>最高允许排放</w:t>
                    </w:r>
                  </w:p>
                  <w:p w14:paraId="67B8E19A" w14:textId="77777777" w:rsidR="00FC668A" w:rsidRPr="00A84987" w:rsidRDefault="00FC668A" w:rsidP="000228E4">
                    <w:r w:rsidRPr="00A84987">
                      <w:rPr>
                        <w:rFonts w:hint="eastAsia"/>
                      </w:rPr>
                      <w:t>速率（</w:t>
                    </w:r>
                    <w:r w:rsidRPr="00A84987">
                      <w:t>kg/h</w:t>
                    </w:r>
                    <w:r w:rsidRPr="00A84987">
                      <w:rPr>
                        <w:rFonts w:hint="eastAsia"/>
                      </w:rPr>
                      <w:t>）</w:t>
                    </w:r>
                  </w:p>
                </w:tc>
              </w:tr>
              <w:tr w:rsidR="00FC668A" w:rsidRPr="00A84987" w14:paraId="3D6E3E0F" w14:textId="77777777" w:rsidTr="000228E4">
                <w:trPr>
                  <w:trHeight w:val="286"/>
                </w:trPr>
                <w:tc>
                  <w:tcPr>
                    <w:tcW w:w="2408" w:type="dxa"/>
                    <w:gridSpan w:val="2"/>
                    <w:vMerge/>
                    <w:vAlign w:val="center"/>
                  </w:tcPr>
                  <w:p w14:paraId="1BB6DB28" w14:textId="77777777" w:rsidR="00FC668A" w:rsidRPr="00A84987" w:rsidRDefault="00FC668A" w:rsidP="000228E4"/>
                </w:tc>
                <w:tc>
                  <w:tcPr>
                    <w:tcW w:w="1276" w:type="dxa"/>
                    <w:vMerge/>
                    <w:vAlign w:val="center"/>
                  </w:tcPr>
                  <w:p w14:paraId="510251CA" w14:textId="77777777" w:rsidR="00FC668A" w:rsidRPr="00A84987" w:rsidRDefault="00FC668A" w:rsidP="000228E4"/>
                </w:tc>
                <w:tc>
                  <w:tcPr>
                    <w:tcW w:w="3404" w:type="dxa"/>
                  </w:tcPr>
                  <w:p w14:paraId="61089E6D" w14:textId="77777777" w:rsidR="00FC668A" w:rsidRPr="00A84987" w:rsidRDefault="00FC668A" w:rsidP="000228E4">
                    <w:r w:rsidRPr="00A84987">
                      <w:rPr>
                        <w:iCs/>
                      </w:rPr>
                      <w:t>20</w:t>
                    </w:r>
                    <w:r w:rsidRPr="00A84987">
                      <w:rPr>
                        <w:rFonts w:hint="eastAsia"/>
                        <w:iCs/>
                      </w:rPr>
                      <w:t>2</w:t>
                    </w:r>
                    <w:r>
                      <w:rPr>
                        <w:iCs/>
                      </w:rPr>
                      <w:t>1</w:t>
                    </w:r>
                    <w:r w:rsidRPr="00A84987">
                      <w:rPr>
                        <w:rFonts w:hint="eastAsia"/>
                        <w:iCs/>
                      </w:rPr>
                      <w:t>年</w:t>
                    </w:r>
                  </w:p>
                </w:tc>
                <w:tc>
                  <w:tcPr>
                    <w:tcW w:w="1559" w:type="dxa"/>
                    <w:vMerge/>
                    <w:vAlign w:val="center"/>
                  </w:tcPr>
                  <w:p w14:paraId="22B2B8F4" w14:textId="77777777" w:rsidR="00FC668A" w:rsidRPr="00A84987" w:rsidRDefault="00FC668A" w:rsidP="000228E4"/>
                </w:tc>
              </w:tr>
              <w:tr w:rsidR="00FC668A" w:rsidRPr="00A84987" w14:paraId="0F0626E7" w14:textId="77777777" w:rsidTr="000228E4">
                <w:trPr>
                  <w:trHeight w:val="386"/>
                </w:trPr>
                <w:tc>
                  <w:tcPr>
                    <w:tcW w:w="8647" w:type="dxa"/>
                    <w:gridSpan w:val="5"/>
                    <w:vAlign w:val="center"/>
                  </w:tcPr>
                  <w:p w14:paraId="494FA1FC" w14:textId="77777777" w:rsidR="00FC668A" w:rsidRPr="00A84987" w:rsidRDefault="00FC668A" w:rsidP="000228E4">
                    <w:r w:rsidRPr="00A84987">
                      <w:rPr>
                        <w:rFonts w:hint="eastAsia"/>
                      </w:rPr>
                      <w:t>喷漆工艺废气排放口</w:t>
                    </w:r>
                  </w:p>
                </w:tc>
              </w:tr>
              <w:tr w:rsidR="00FC668A" w:rsidRPr="00A84987" w14:paraId="57DE6656" w14:textId="77777777" w:rsidTr="00FC668A">
                <w:trPr>
                  <w:trHeight w:val="485"/>
                </w:trPr>
                <w:tc>
                  <w:tcPr>
                    <w:tcW w:w="850" w:type="dxa"/>
                    <w:vMerge w:val="restart"/>
                    <w:noWrap/>
                    <w:vAlign w:val="center"/>
                  </w:tcPr>
                  <w:p w14:paraId="7A0F2409" w14:textId="77777777" w:rsidR="00FC668A" w:rsidRPr="00A84987" w:rsidRDefault="00FC668A" w:rsidP="00FC668A">
                    <w:pPr>
                      <w:jc w:val="both"/>
                    </w:pPr>
                    <w:r w:rsidRPr="00A84987">
                      <w:rPr>
                        <w:rFonts w:hint="eastAsia"/>
                      </w:rPr>
                      <w:lastRenderedPageBreak/>
                      <w:t>特征污</w:t>
                    </w:r>
                  </w:p>
                  <w:p w14:paraId="31E66F59" w14:textId="77777777" w:rsidR="00FC668A" w:rsidRPr="00A84987" w:rsidRDefault="00FC668A" w:rsidP="00FC668A">
                    <w:pPr>
                      <w:jc w:val="both"/>
                    </w:pPr>
                    <w:r w:rsidRPr="00A84987">
                      <w:rPr>
                        <w:rFonts w:hint="eastAsia"/>
                      </w:rPr>
                      <w:t>染物</w:t>
                    </w:r>
                    <w:r w:rsidRPr="00A84987">
                      <w:t xml:space="preserve"> </w:t>
                    </w:r>
                  </w:p>
                </w:tc>
                <w:tc>
                  <w:tcPr>
                    <w:tcW w:w="1558" w:type="dxa"/>
                    <w:noWrap/>
                    <w:vAlign w:val="center"/>
                  </w:tcPr>
                  <w:p w14:paraId="704A6965" w14:textId="77777777" w:rsidR="00FC668A" w:rsidRPr="00A84987" w:rsidRDefault="00FC668A" w:rsidP="000228E4">
                    <w:r w:rsidRPr="00A84987">
                      <w:rPr>
                        <w:rFonts w:hint="eastAsia"/>
                      </w:rPr>
                      <w:t>苯</w:t>
                    </w:r>
                  </w:p>
                </w:tc>
                <w:tc>
                  <w:tcPr>
                    <w:tcW w:w="1276" w:type="dxa"/>
                    <w:vAlign w:val="center"/>
                  </w:tcPr>
                  <w:p w14:paraId="71BA2D24" w14:textId="77777777" w:rsidR="00FC668A" w:rsidRPr="00A84987" w:rsidRDefault="00FC668A" w:rsidP="000228E4">
                    <w:r w:rsidRPr="00A84987">
                      <w:rPr>
                        <w:rFonts w:hint="eastAsia"/>
                      </w:rPr>
                      <w:t>1</w:t>
                    </w:r>
                  </w:p>
                </w:tc>
                <w:tc>
                  <w:tcPr>
                    <w:tcW w:w="3404" w:type="dxa"/>
                    <w:vAlign w:val="center"/>
                  </w:tcPr>
                  <w:p w14:paraId="0E62BC30" w14:textId="77777777" w:rsidR="00FC668A" w:rsidRPr="00A84987" w:rsidRDefault="00FC668A" w:rsidP="000228E4">
                    <w:r w:rsidRPr="00A84987">
                      <w:rPr>
                        <w:rFonts w:hint="eastAsia"/>
                      </w:rPr>
                      <w:t>0.004</w:t>
                    </w:r>
                  </w:p>
                </w:tc>
                <w:tc>
                  <w:tcPr>
                    <w:tcW w:w="1559" w:type="dxa"/>
                    <w:vAlign w:val="center"/>
                  </w:tcPr>
                  <w:p w14:paraId="7CDA2585" w14:textId="77777777" w:rsidR="00FC668A" w:rsidRPr="00A84987" w:rsidRDefault="00FC668A" w:rsidP="000228E4">
                    <w:r w:rsidRPr="00A84987">
                      <w:rPr>
                        <w:rFonts w:hint="eastAsia"/>
                      </w:rPr>
                      <w:t>0.2</w:t>
                    </w:r>
                  </w:p>
                </w:tc>
              </w:tr>
              <w:tr w:rsidR="00FC668A" w:rsidRPr="00A84987" w14:paraId="5B6C401A" w14:textId="77777777" w:rsidTr="00FC668A">
                <w:trPr>
                  <w:trHeight w:val="550"/>
                </w:trPr>
                <w:tc>
                  <w:tcPr>
                    <w:tcW w:w="850" w:type="dxa"/>
                    <w:vMerge/>
                    <w:noWrap/>
                  </w:tcPr>
                  <w:p w14:paraId="0A08D760" w14:textId="77777777" w:rsidR="00FC668A" w:rsidRPr="00A84987" w:rsidRDefault="00FC668A" w:rsidP="000228E4"/>
                </w:tc>
                <w:tc>
                  <w:tcPr>
                    <w:tcW w:w="1558" w:type="dxa"/>
                    <w:noWrap/>
                    <w:vAlign w:val="center"/>
                  </w:tcPr>
                  <w:p w14:paraId="103B2118" w14:textId="77777777" w:rsidR="00FC668A" w:rsidRPr="00A84987" w:rsidRDefault="00FC668A" w:rsidP="000228E4">
                    <w:r w:rsidRPr="00A84987">
                      <w:rPr>
                        <w:rFonts w:hint="eastAsia"/>
                      </w:rPr>
                      <w:t>VOCS</w:t>
                    </w:r>
                  </w:p>
                </w:tc>
                <w:tc>
                  <w:tcPr>
                    <w:tcW w:w="1276" w:type="dxa"/>
                    <w:vAlign w:val="center"/>
                  </w:tcPr>
                  <w:p w14:paraId="4771576E" w14:textId="77777777" w:rsidR="00FC668A" w:rsidRPr="00A84987" w:rsidRDefault="00FC668A" w:rsidP="000228E4">
                    <w:r w:rsidRPr="00A84987">
                      <w:rPr>
                        <w:rFonts w:hint="eastAsia"/>
                      </w:rPr>
                      <w:t>40</w:t>
                    </w:r>
                  </w:p>
                </w:tc>
                <w:tc>
                  <w:tcPr>
                    <w:tcW w:w="3404" w:type="dxa"/>
                    <w:vAlign w:val="center"/>
                  </w:tcPr>
                  <w:p w14:paraId="6233FC43" w14:textId="77777777" w:rsidR="00FC668A" w:rsidRPr="00A84987" w:rsidRDefault="00FC668A" w:rsidP="000228E4">
                    <w:r w:rsidRPr="00A84987">
                      <w:rPr>
                        <w:rFonts w:hint="eastAsia"/>
                      </w:rPr>
                      <w:t>0.998</w:t>
                    </w:r>
                  </w:p>
                </w:tc>
                <w:tc>
                  <w:tcPr>
                    <w:tcW w:w="1559" w:type="dxa"/>
                    <w:vAlign w:val="center"/>
                  </w:tcPr>
                  <w:p w14:paraId="7F61865B" w14:textId="77777777" w:rsidR="00FC668A" w:rsidRPr="00A84987" w:rsidRDefault="00FC668A" w:rsidP="000228E4">
                    <w:r w:rsidRPr="00A84987">
                      <w:rPr>
                        <w:rFonts w:hint="eastAsia"/>
                      </w:rPr>
                      <w:t>1.5</w:t>
                    </w:r>
                  </w:p>
                </w:tc>
              </w:tr>
            </w:tbl>
            <w:p w14:paraId="62E406C6" w14:textId="475F4A87" w:rsidR="00FC668A" w:rsidRDefault="00FC668A"/>
            <w:p w14:paraId="2DBAF66F" w14:textId="788CCE8C" w:rsidR="00FC668A" w:rsidRDefault="00FC668A"/>
            <w:p w14:paraId="04CA9EDE" w14:textId="77777777" w:rsidR="00FC668A" w:rsidRDefault="00FC668A"/>
            <w:p w14:paraId="64231E35" w14:textId="59BDBF82" w:rsidR="008E1E93" w:rsidRPr="00A84987" w:rsidRDefault="004F686E" w:rsidP="008E1E93">
              <w:pPr>
                <w:pStyle w:val="afff4"/>
              </w:pPr>
              <w:r w:rsidRPr="00A84987">
                <w:rPr>
                  <w:rFonts w:hint="eastAsia"/>
                </w:rPr>
                <w:t xml:space="preserve">        </w:t>
              </w:r>
            </w:p>
            <w:p w14:paraId="324AB0A5" w14:textId="10C24DF6" w:rsidR="008E1E93" w:rsidRPr="00A84987" w:rsidRDefault="004F686E" w:rsidP="00B17EAC">
              <w:pPr>
                <w:pStyle w:val="afff4"/>
              </w:pPr>
              <w:r w:rsidRPr="00A84987">
                <w:rPr>
                  <w:rFonts w:hint="eastAsia"/>
                </w:rPr>
                <w:t>表</w:t>
              </w:r>
              <w:r w:rsidRPr="00A84987">
                <w:rPr>
                  <w:rFonts w:hint="eastAsia"/>
                </w:rPr>
                <w:t>2</w:t>
              </w:r>
              <w:r w:rsidRPr="00A84987">
                <w:rPr>
                  <w:rFonts w:hint="eastAsia"/>
                </w:rPr>
                <w:t>—</w:t>
              </w:r>
              <w:r w:rsidRPr="00A84987">
                <w:rPr>
                  <w:rFonts w:hint="eastAsia"/>
                </w:rPr>
                <w:t xml:space="preserve">3          </w:t>
              </w:r>
              <w:r w:rsidR="00B17EAC" w:rsidRPr="00A84987">
                <w:rPr>
                  <w:rFonts w:hint="eastAsia"/>
                </w:rPr>
                <w:t>大气污染物排放总量统计表</w:t>
              </w:r>
            </w:p>
            <w:tbl>
              <w:tblPr>
                <w:tblStyle w:val="g3"/>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851"/>
                <w:gridCol w:w="2410"/>
                <w:gridCol w:w="2410"/>
                <w:gridCol w:w="2835"/>
              </w:tblGrid>
              <w:tr w:rsidR="00FC668A" w:rsidRPr="00A84987" w14:paraId="453EB659" w14:textId="77777777" w:rsidTr="00246D4E">
                <w:trPr>
                  <w:trHeight w:val="286"/>
                </w:trPr>
                <w:tc>
                  <w:tcPr>
                    <w:tcW w:w="3261" w:type="dxa"/>
                    <w:gridSpan w:val="2"/>
                    <w:noWrap/>
                    <w:vAlign w:val="center"/>
                  </w:tcPr>
                  <w:p w14:paraId="5FFE5DB0" w14:textId="77777777" w:rsidR="00FC668A" w:rsidRPr="00A84987" w:rsidRDefault="00FC668A" w:rsidP="00246D4E">
                    <w:pPr>
                      <w:rPr>
                        <w:iCs/>
                      </w:rPr>
                    </w:pPr>
                    <w:r w:rsidRPr="00A84987">
                      <w:rPr>
                        <w:rFonts w:hint="eastAsia"/>
                        <w:iCs/>
                      </w:rPr>
                      <w:t>天然气燃烧废气排放量</w:t>
                    </w:r>
                  </w:p>
                </w:tc>
                <w:tc>
                  <w:tcPr>
                    <w:tcW w:w="2410" w:type="dxa"/>
                    <w:vAlign w:val="center"/>
                  </w:tcPr>
                  <w:p w14:paraId="3C5D15CF" w14:textId="77777777" w:rsidR="00FC668A" w:rsidRPr="00A84987" w:rsidRDefault="00FC668A" w:rsidP="00246D4E">
                    <w:pPr>
                      <w:rPr>
                        <w:iCs/>
                      </w:rPr>
                    </w:pPr>
                    <w:r w:rsidRPr="00A84987">
                      <w:rPr>
                        <w:rFonts w:hint="eastAsia"/>
                        <w:iCs/>
                      </w:rPr>
                      <w:t>12954.2755万立方米</w:t>
                    </w:r>
                  </w:p>
                </w:tc>
                <w:tc>
                  <w:tcPr>
                    <w:tcW w:w="2835" w:type="dxa"/>
                    <w:vMerge w:val="restart"/>
                    <w:vAlign w:val="center"/>
                  </w:tcPr>
                  <w:p w14:paraId="5A1A7D1D" w14:textId="77777777" w:rsidR="00FC668A" w:rsidRPr="00A84987" w:rsidRDefault="00FC668A" w:rsidP="00246D4E">
                    <w:pPr>
                      <w:rPr>
                        <w:iCs/>
                      </w:rPr>
                    </w:pPr>
                    <w:r w:rsidRPr="00A84987">
                      <w:rPr>
                        <w:iCs/>
                      </w:rPr>
                      <w:t>20</w:t>
                    </w:r>
                    <w:r w:rsidRPr="00A84987">
                      <w:rPr>
                        <w:rFonts w:hint="eastAsia"/>
                        <w:iCs/>
                      </w:rPr>
                      <w:t>2</w:t>
                    </w:r>
                    <w:r>
                      <w:rPr>
                        <w:iCs/>
                      </w:rPr>
                      <w:t>1</w:t>
                    </w:r>
                    <w:r w:rsidRPr="00A84987">
                      <w:rPr>
                        <w:rFonts w:hint="eastAsia"/>
                        <w:iCs/>
                      </w:rPr>
                      <w:t>年</w:t>
                    </w:r>
                  </w:p>
                </w:tc>
              </w:tr>
              <w:tr w:rsidR="00FC668A" w:rsidRPr="00A84987" w14:paraId="4723A4E9" w14:textId="77777777" w:rsidTr="00246D4E">
                <w:trPr>
                  <w:trHeight w:val="286"/>
                </w:trPr>
                <w:tc>
                  <w:tcPr>
                    <w:tcW w:w="3261" w:type="dxa"/>
                    <w:gridSpan w:val="2"/>
                    <w:noWrap/>
                    <w:vAlign w:val="center"/>
                  </w:tcPr>
                  <w:p w14:paraId="11E654FE" w14:textId="77777777" w:rsidR="00FC668A" w:rsidRPr="00A84987" w:rsidRDefault="00FC668A" w:rsidP="00246D4E">
                    <w:pPr>
                      <w:rPr>
                        <w:iCs/>
                      </w:rPr>
                    </w:pPr>
                    <w:r w:rsidRPr="00A84987">
                      <w:rPr>
                        <w:rFonts w:hint="eastAsia"/>
                        <w:iCs/>
                      </w:rPr>
                      <w:t>喷漆工艺废气排放量</w:t>
                    </w:r>
                  </w:p>
                </w:tc>
                <w:tc>
                  <w:tcPr>
                    <w:tcW w:w="2410" w:type="dxa"/>
                    <w:vAlign w:val="center"/>
                  </w:tcPr>
                  <w:p w14:paraId="4C5753E3" w14:textId="77777777" w:rsidR="00FC668A" w:rsidRPr="00A84987" w:rsidRDefault="00FC668A" w:rsidP="00246D4E">
                    <w:pPr>
                      <w:rPr>
                        <w:iCs/>
                      </w:rPr>
                    </w:pPr>
                    <w:r w:rsidRPr="00A84987">
                      <w:rPr>
                        <w:rFonts w:hint="eastAsia"/>
                        <w:iCs/>
                      </w:rPr>
                      <w:t>13515.77万立方米</w:t>
                    </w:r>
                  </w:p>
                </w:tc>
                <w:tc>
                  <w:tcPr>
                    <w:tcW w:w="2835" w:type="dxa"/>
                    <w:vMerge/>
                    <w:vAlign w:val="center"/>
                  </w:tcPr>
                  <w:p w14:paraId="4D3A0D78" w14:textId="77777777" w:rsidR="00FC668A" w:rsidRPr="00A84987" w:rsidRDefault="00FC668A" w:rsidP="00246D4E">
                    <w:pPr>
                      <w:rPr>
                        <w:iCs/>
                      </w:rPr>
                    </w:pPr>
                  </w:p>
                </w:tc>
              </w:tr>
              <w:tr w:rsidR="00FC668A" w:rsidRPr="00A84987" w14:paraId="3486A305" w14:textId="77777777" w:rsidTr="00246D4E">
                <w:trPr>
                  <w:trHeight w:val="286"/>
                </w:trPr>
                <w:tc>
                  <w:tcPr>
                    <w:tcW w:w="3261" w:type="dxa"/>
                    <w:gridSpan w:val="2"/>
                    <w:vAlign w:val="center"/>
                  </w:tcPr>
                  <w:p w14:paraId="3D7A6333" w14:textId="77777777" w:rsidR="00FC668A" w:rsidRPr="00A84987" w:rsidRDefault="00FC668A" w:rsidP="00246D4E">
                    <w:pPr>
                      <w:rPr>
                        <w:iCs/>
                      </w:rPr>
                    </w:pPr>
                    <w:r w:rsidRPr="00A84987">
                      <w:rPr>
                        <w:rFonts w:hint="eastAsia"/>
                        <w:iCs/>
                      </w:rPr>
                      <w:t>污染物</w:t>
                    </w:r>
                  </w:p>
                </w:tc>
                <w:tc>
                  <w:tcPr>
                    <w:tcW w:w="2410" w:type="dxa"/>
                  </w:tcPr>
                  <w:p w14:paraId="1B3C6C3A" w14:textId="77777777" w:rsidR="00FC668A" w:rsidRPr="00A84987" w:rsidRDefault="00FC668A" w:rsidP="00246D4E">
                    <w:pPr>
                      <w:rPr>
                        <w:iCs/>
                      </w:rPr>
                    </w:pPr>
                    <w:r w:rsidRPr="00A84987">
                      <w:rPr>
                        <w:rFonts w:hint="eastAsia"/>
                        <w:iCs/>
                      </w:rPr>
                      <w:t>数据来源</w:t>
                    </w:r>
                  </w:p>
                </w:tc>
                <w:tc>
                  <w:tcPr>
                    <w:tcW w:w="2835" w:type="dxa"/>
                  </w:tcPr>
                  <w:p w14:paraId="7810B898" w14:textId="656E53E9" w:rsidR="00FC668A" w:rsidRPr="00A84987" w:rsidRDefault="00FC668A" w:rsidP="00246D4E">
                    <w:pPr>
                      <w:rPr>
                        <w:iCs/>
                      </w:rPr>
                    </w:pPr>
                    <w:r w:rsidRPr="00A84987">
                      <w:rPr>
                        <w:rFonts w:hint="eastAsia"/>
                        <w:iCs/>
                      </w:rPr>
                      <w:t>排放量</w:t>
                    </w:r>
                    <w:r w:rsidR="00B17EAC">
                      <w:rPr>
                        <w:rFonts w:hint="eastAsia"/>
                        <w:iCs/>
                      </w:rPr>
                      <w:t>（吨）</w:t>
                    </w:r>
                  </w:p>
                </w:tc>
              </w:tr>
              <w:tr w:rsidR="00FC668A" w:rsidRPr="00A84987" w14:paraId="6DE6A41C" w14:textId="77777777" w:rsidTr="00B17EAC">
                <w:trPr>
                  <w:trHeight w:val="406"/>
                </w:trPr>
                <w:tc>
                  <w:tcPr>
                    <w:tcW w:w="851" w:type="dxa"/>
                    <w:vMerge w:val="restart"/>
                    <w:noWrap/>
                    <w:vAlign w:val="center"/>
                  </w:tcPr>
                  <w:p w14:paraId="2C28BDC6" w14:textId="77777777" w:rsidR="00FC668A" w:rsidRPr="00A84987" w:rsidRDefault="00FC668A" w:rsidP="00246D4E">
                    <w:r w:rsidRPr="00A84987">
                      <w:rPr>
                        <w:rFonts w:hint="eastAsia"/>
                      </w:rPr>
                      <w:t>常规</w:t>
                    </w:r>
                  </w:p>
                  <w:p w14:paraId="32052F4B" w14:textId="77777777" w:rsidR="00FC668A" w:rsidRPr="00A84987" w:rsidRDefault="00FC668A" w:rsidP="00246D4E">
                    <w:r w:rsidRPr="00A84987">
                      <w:rPr>
                        <w:rFonts w:hint="eastAsia"/>
                      </w:rPr>
                      <w:t>污染物</w:t>
                    </w:r>
                  </w:p>
                </w:tc>
                <w:tc>
                  <w:tcPr>
                    <w:tcW w:w="2410" w:type="dxa"/>
                    <w:noWrap/>
                    <w:vAlign w:val="center"/>
                  </w:tcPr>
                  <w:p w14:paraId="0BF42C56" w14:textId="77777777" w:rsidR="00FC668A" w:rsidRPr="00A84987" w:rsidRDefault="00FC668A" w:rsidP="00246D4E">
                    <w:r w:rsidRPr="00A84987">
                      <w:rPr>
                        <w:rFonts w:hint="eastAsia"/>
                      </w:rPr>
                      <w:t>二氧化硫</w:t>
                    </w:r>
                  </w:p>
                </w:tc>
                <w:tc>
                  <w:tcPr>
                    <w:tcW w:w="2410" w:type="dxa"/>
                    <w:vAlign w:val="center"/>
                  </w:tcPr>
                  <w:p w14:paraId="31559BC9" w14:textId="77777777" w:rsidR="00FC668A" w:rsidRPr="00A84987" w:rsidRDefault="00FC668A" w:rsidP="00246D4E">
                    <w:r w:rsidRPr="00A84987">
                      <w:rPr>
                        <w:rFonts w:hint="eastAsia"/>
                      </w:rPr>
                      <w:t>委托检测</w:t>
                    </w:r>
                  </w:p>
                </w:tc>
                <w:tc>
                  <w:tcPr>
                    <w:tcW w:w="2835" w:type="dxa"/>
                    <w:vAlign w:val="center"/>
                  </w:tcPr>
                  <w:p w14:paraId="3C463EDE" w14:textId="77777777" w:rsidR="00FC668A" w:rsidRPr="00A84987" w:rsidRDefault="00FC668A" w:rsidP="00246D4E">
                    <w:r w:rsidRPr="00A84987">
                      <w:rPr>
                        <w:rFonts w:hint="eastAsia"/>
                      </w:rPr>
                      <w:t>0.408</w:t>
                    </w:r>
                  </w:p>
                </w:tc>
              </w:tr>
              <w:tr w:rsidR="00FC668A" w:rsidRPr="00A84987" w14:paraId="1FF10A66" w14:textId="77777777" w:rsidTr="00FC668A">
                <w:trPr>
                  <w:trHeight w:val="399"/>
                </w:trPr>
                <w:tc>
                  <w:tcPr>
                    <w:tcW w:w="851" w:type="dxa"/>
                    <w:vMerge/>
                    <w:vAlign w:val="center"/>
                  </w:tcPr>
                  <w:p w14:paraId="4432C1BB" w14:textId="77777777" w:rsidR="00FC668A" w:rsidRPr="00A84987" w:rsidRDefault="00FC668A" w:rsidP="00246D4E"/>
                </w:tc>
                <w:tc>
                  <w:tcPr>
                    <w:tcW w:w="2410" w:type="dxa"/>
                    <w:noWrap/>
                    <w:vAlign w:val="center"/>
                  </w:tcPr>
                  <w:p w14:paraId="6A3EEAA3" w14:textId="77777777" w:rsidR="00FC668A" w:rsidRPr="00A84987" w:rsidRDefault="00FC668A" w:rsidP="00246D4E">
                    <w:r w:rsidRPr="00A84987">
                      <w:rPr>
                        <w:rFonts w:hint="eastAsia"/>
                      </w:rPr>
                      <w:t>氮氧化物</w:t>
                    </w:r>
                  </w:p>
                </w:tc>
                <w:tc>
                  <w:tcPr>
                    <w:tcW w:w="2410" w:type="dxa"/>
                    <w:vAlign w:val="center"/>
                  </w:tcPr>
                  <w:p w14:paraId="0ABC68E7" w14:textId="77777777" w:rsidR="00FC668A" w:rsidRPr="00A84987" w:rsidRDefault="00FC668A" w:rsidP="00246D4E">
                    <w:r w:rsidRPr="00A84987">
                      <w:rPr>
                        <w:rFonts w:hint="eastAsia"/>
                      </w:rPr>
                      <w:t>委托检测</w:t>
                    </w:r>
                  </w:p>
                </w:tc>
                <w:tc>
                  <w:tcPr>
                    <w:tcW w:w="2835" w:type="dxa"/>
                    <w:vAlign w:val="center"/>
                  </w:tcPr>
                  <w:p w14:paraId="791118CB" w14:textId="77777777" w:rsidR="00FC668A" w:rsidRPr="00A84987" w:rsidRDefault="00FC668A" w:rsidP="00246D4E">
                    <w:r w:rsidRPr="00A84987">
                      <w:rPr>
                        <w:rFonts w:hint="eastAsia"/>
                      </w:rPr>
                      <w:t>3</w:t>
                    </w:r>
                  </w:p>
                </w:tc>
              </w:tr>
              <w:tr w:rsidR="00FC668A" w:rsidRPr="00A84987" w14:paraId="21C21465" w14:textId="77777777" w:rsidTr="00B17EAC">
                <w:trPr>
                  <w:trHeight w:val="304"/>
                </w:trPr>
                <w:tc>
                  <w:tcPr>
                    <w:tcW w:w="851" w:type="dxa"/>
                    <w:vMerge/>
                    <w:vAlign w:val="center"/>
                  </w:tcPr>
                  <w:p w14:paraId="7D28BF32" w14:textId="77777777" w:rsidR="00FC668A" w:rsidRPr="00A84987" w:rsidRDefault="00FC668A" w:rsidP="00246D4E"/>
                </w:tc>
                <w:tc>
                  <w:tcPr>
                    <w:tcW w:w="2410" w:type="dxa"/>
                    <w:noWrap/>
                    <w:vAlign w:val="center"/>
                  </w:tcPr>
                  <w:p w14:paraId="1F3BE0B2" w14:textId="77777777" w:rsidR="00FC668A" w:rsidRPr="00A84987" w:rsidRDefault="00FC668A" w:rsidP="00246D4E">
                    <w:r>
                      <w:t>颗粒物</w:t>
                    </w:r>
                  </w:p>
                </w:tc>
                <w:tc>
                  <w:tcPr>
                    <w:tcW w:w="2410" w:type="dxa"/>
                    <w:vAlign w:val="center"/>
                  </w:tcPr>
                  <w:p w14:paraId="5727C622" w14:textId="77777777" w:rsidR="00FC668A" w:rsidRPr="00A84987" w:rsidRDefault="00FC668A" w:rsidP="00246D4E">
                    <w:r>
                      <w:t>委托检测</w:t>
                    </w:r>
                  </w:p>
                </w:tc>
                <w:tc>
                  <w:tcPr>
                    <w:tcW w:w="2835" w:type="dxa"/>
                    <w:vAlign w:val="center"/>
                  </w:tcPr>
                  <w:p w14:paraId="2BE8EC68" w14:textId="77777777" w:rsidR="00FC668A" w:rsidRPr="00A84987" w:rsidRDefault="00FC668A" w:rsidP="00246D4E">
                    <w:r>
                      <w:t>0.216</w:t>
                    </w:r>
                  </w:p>
                </w:tc>
              </w:tr>
              <w:tr w:rsidR="00FC668A" w:rsidRPr="00A84987" w14:paraId="0F641636" w14:textId="77777777" w:rsidTr="00FC668A">
                <w:trPr>
                  <w:trHeight w:val="365"/>
                </w:trPr>
                <w:tc>
                  <w:tcPr>
                    <w:tcW w:w="851" w:type="dxa"/>
                    <w:vMerge/>
                    <w:vAlign w:val="center"/>
                  </w:tcPr>
                  <w:p w14:paraId="2D952C87" w14:textId="77777777" w:rsidR="00FC668A" w:rsidRPr="00A84987" w:rsidRDefault="00FC668A" w:rsidP="00246D4E"/>
                </w:tc>
                <w:tc>
                  <w:tcPr>
                    <w:tcW w:w="2410" w:type="dxa"/>
                    <w:noWrap/>
                    <w:vAlign w:val="center"/>
                  </w:tcPr>
                  <w:p w14:paraId="4ED9F59C" w14:textId="77777777" w:rsidR="00FC668A" w:rsidRPr="00A84987" w:rsidRDefault="00FC668A" w:rsidP="00246D4E">
                    <w:r w:rsidRPr="00A84987">
                      <w:rPr>
                        <w:rFonts w:hint="eastAsia"/>
                      </w:rPr>
                      <w:t>苯</w:t>
                    </w:r>
                  </w:p>
                </w:tc>
                <w:tc>
                  <w:tcPr>
                    <w:tcW w:w="2410" w:type="dxa"/>
                    <w:vAlign w:val="center"/>
                  </w:tcPr>
                  <w:p w14:paraId="1AB02EDA" w14:textId="77777777" w:rsidR="00FC668A" w:rsidRPr="00A84987" w:rsidRDefault="00FC668A" w:rsidP="00246D4E">
                    <w:r w:rsidRPr="00A84987">
                      <w:rPr>
                        <w:rFonts w:hint="eastAsia"/>
                      </w:rPr>
                      <w:t>委托检测</w:t>
                    </w:r>
                  </w:p>
                </w:tc>
                <w:tc>
                  <w:tcPr>
                    <w:tcW w:w="2835" w:type="dxa"/>
                    <w:vAlign w:val="center"/>
                  </w:tcPr>
                  <w:p w14:paraId="7402181D" w14:textId="77777777" w:rsidR="00FC668A" w:rsidRPr="00A84987" w:rsidRDefault="00FC668A" w:rsidP="00246D4E">
                    <w:r w:rsidRPr="00A84987">
                      <w:rPr>
                        <w:rFonts w:hint="eastAsia"/>
                      </w:rPr>
                      <w:t>0.0005</w:t>
                    </w:r>
                  </w:p>
                </w:tc>
              </w:tr>
              <w:tr w:rsidR="00FC668A" w:rsidRPr="00A84987" w14:paraId="1BEC3405" w14:textId="77777777" w:rsidTr="00B17EAC">
                <w:trPr>
                  <w:trHeight w:val="344"/>
                </w:trPr>
                <w:tc>
                  <w:tcPr>
                    <w:tcW w:w="851" w:type="dxa"/>
                    <w:vMerge/>
                    <w:vAlign w:val="center"/>
                  </w:tcPr>
                  <w:p w14:paraId="0DB4CAE5" w14:textId="77777777" w:rsidR="00FC668A" w:rsidRPr="00A84987" w:rsidRDefault="00FC668A" w:rsidP="00246D4E"/>
                </w:tc>
                <w:tc>
                  <w:tcPr>
                    <w:tcW w:w="2410" w:type="dxa"/>
                    <w:noWrap/>
                    <w:vAlign w:val="center"/>
                  </w:tcPr>
                  <w:p w14:paraId="6BD86C49" w14:textId="77777777" w:rsidR="00FC668A" w:rsidRPr="00A84987" w:rsidRDefault="00FC668A" w:rsidP="00246D4E">
                    <w:r w:rsidRPr="00FC668A">
                      <w:t>VOCS</w:t>
                    </w:r>
                  </w:p>
                </w:tc>
                <w:tc>
                  <w:tcPr>
                    <w:tcW w:w="2410" w:type="dxa"/>
                    <w:vAlign w:val="center"/>
                  </w:tcPr>
                  <w:p w14:paraId="68BF1617" w14:textId="77777777" w:rsidR="00FC668A" w:rsidRPr="00A84987" w:rsidRDefault="00FC668A" w:rsidP="00246D4E">
                    <w:r w:rsidRPr="00A84987">
                      <w:rPr>
                        <w:rFonts w:hint="eastAsia"/>
                      </w:rPr>
                      <w:t>委托检测</w:t>
                    </w:r>
                  </w:p>
                </w:tc>
                <w:tc>
                  <w:tcPr>
                    <w:tcW w:w="2835" w:type="dxa"/>
                    <w:vAlign w:val="center"/>
                  </w:tcPr>
                  <w:p w14:paraId="05BF6E04" w14:textId="77777777" w:rsidR="00FC668A" w:rsidRPr="00A84987" w:rsidRDefault="00FC668A" w:rsidP="00246D4E">
                    <w:r w:rsidRPr="00A84987">
                      <w:rPr>
                        <w:rFonts w:hint="eastAsia"/>
                      </w:rPr>
                      <w:t>0.135</w:t>
                    </w:r>
                  </w:p>
                </w:tc>
              </w:tr>
            </w:tbl>
            <w:p w14:paraId="4F946FDE" w14:textId="77777777" w:rsidR="00FC668A" w:rsidRDefault="00FC668A"/>
            <w:p w14:paraId="18EAA9F5" w14:textId="77777777" w:rsidR="008E1E93" w:rsidRPr="00A84987" w:rsidRDefault="004F686E" w:rsidP="008E1E93">
              <w:pPr>
                <w:pStyle w:val="afff4"/>
              </w:pPr>
              <w:r w:rsidRPr="00A84987">
                <w:rPr>
                  <w:rFonts w:hint="eastAsia"/>
                </w:rPr>
                <w:t>3</w:t>
              </w:r>
              <w:r w:rsidRPr="00A84987">
                <w:rPr>
                  <w:rFonts w:hint="eastAsia"/>
                </w:rPr>
                <w:t>、固体废物排放控制</w:t>
              </w:r>
            </w:p>
            <w:p w14:paraId="2B2D93B1" w14:textId="32216E69" w:rsidR="008E1E93" w:rsidRDefault="00B17EAC" w:rsidP="00B17EAC">
              <w:pPr>
                <w:pStyle w:val="afff4"/>
              </w:pPr>
              <w:r w:rsidRPr="00B17EAC">
                <w:rPr>
                  <w:rFonts w:hint="eastAsia"/>
                </w:rPr>
                <w:t>生产过程中产生的危险废弃物，按照规定交由有资质的危险废物处置单位——天津合佳威立雅环境服务有限公司进行处置。</w:t>
              </w:r>
            </w:p>
            <w:p w14:paraId="19186776" w14:textId="77777777" w:rsidR="00B17EAC" w:rsidRPr="00B17EAC" w:rsidRDefault="00B17EAC" w:rsidP="00B17EAC">
              <w:pPr>
                <w:pStyle w:val="afff4"/>
              </w:pPr>
            </w:p>
            <w:p w14:paraId="178C547D" w14:textId="16739867" w:rsidR="00B17EAC" w:rsidRPr="00B17EAC" w:rsidRDefault="00B17EAC" w:rsidP="00B17EAC">
              <w:pPr>
                <w:widowControl w:val="0"/>
                <w:jc w:val="both"/>
                <w:rPr>
                  <w:rFonts w:cs="SimSun-Identity-H"/>
                  <w:szCs w:val="21"/>
                </w:rPr>
              </w:pPr>
              <w:bookmarkStart w:id="43" w:name="_Hlk79411298"/>
              <w:r w:rsidRPr="00B17EAC">
                <w:rPr>
                  <w:rFonts w:cs="Times New Roman" w:hint="eastAsia"/>
                  <w:kern w:val="2"/>
                  <w:szCs w:val="21"/>
                </w:rPr>
                <w:t>表3</w:t>
              </w:r>
              <w:r w:rsidRPr="00B17EAC">
                <w:rPr>
                  <w:rFonts w:cs="Times New Roman"/>
                  <w:kern w:val="2"/>
                  <w:szCs w:val="21"/>
                </w:rPr>
                <w:t xml:space="preserve"> </w:t>
              </w:r>
              <w:r w:rsidRPr="00B17EAC">
                <w:rPr>
                  <w:rFonts w:cs="Times New Roman" w:hint="eastAsia"/>
                  <w:kern w:val="2"/>
                  <w:szCs w:val="21"/>
                </w:rPr>
                <w:t xml:space="preserve">   </w:t>
              </w:r>
              <w:r>
                <w:rPr>
                  <w:rFonts w:cs="Times New Roman"/>
                  <w:kern w:val="2"/>
                  <w:szCs w:val="21"/>
                </w:rPr>
                <w:t xml:space="preserve">           </w:t>
              </w:r>
              <w:r w:rsidRPr="00B17EAC">
                <w:rPr>
                  <w:rFonts w:cs="Times New Roman" w:hint="eastAsia"/>
                  <w:kern w:val="2"/>
                  <w:szCs w:val="21"/>
                </w:rPr>
                <w:t xml:space="preserve"> 危险废物产生及处置情况统计表</w:t>
              </w:r>
            </w:p>
            <w:p w14:paraId="7D91EAA4" w14:textId="511A48B5" w:rsidR="00B17EAC" w:rsidRPr="00B17EAC" w:rsidRDefault="00B17EAC" w:rsidP="00B17EAC">
              <w:pPr>
                <w:widowControl w:val="0"/>
                <w:jc w:val="both"/>
                <w:rPr>
                  <w:rFonts w:cs="Times New Roman"/>
                  <w:kern w:val="2"/>
                  <w:szCs w:val="21"/>
                </w:rPr>
              </w:pPr>
              <w:r w:rsidRPr="00B17EAC">
                <w:rPr>
                  <w:rFonts w:cs="Times New Roman" w:hint="eastAsia"/>
                  <w:kern w:val="2"/>
                  <w:szCs w:val="21"/>
                </w:rPr>
                <w:t xml:space="preserve">                                       </w:t>
              </w:r>
              <w:r w:rsidR="00833DA9">
                <w:rPr>
                  <w:rFonts w:cs="Times New Roman"/>
                  <w:kern w:val="2"/>
                  <w:szCs w:val="21"/>
                </w:rPr>
                <w:t xml:space="preserve">            </w:t>
              </w:r>
              <w:r w:rsidRPr="00B17EAC">
                <w:rPr>
                  <w:rFonts w:cs="SimSun-Identity-H" w:hint="eastAsia"/>
                  <w:szCs w:val="21"/>
                </w:rPr>
                <w:t>单位：吨</w:t>
              </w:r>
              <w:r w:rsidRPr="00B17EAC">
                <w:rPr>
                  <w:rFonts w:cs="Times New Roman" w:hint="eastAsia"/>
                  <w:kern w:val="2"/>
                  <w:szCs w:val="21"/>
                </w:rPr>
                <w:t xml:space="preserve"> </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78"/>
                <w:gridCol w:w="832"/>
                <w:gridCol w:w="1276"/>
                <w:gridCol w:w="1276"/>
                <w:gridCol w:w="1217"/>
                <w:gridCol w:w="1809"/>
                <w:gridCol w:w="1276"/>
              </w:tblGrid>
              <w:tr w:rsidR="00B17EAC" w:rsidRPr="00B17EAC" w14:paraId="73F45F08" w14:textId="77777777" w:rsidTr="005062B1">
                <w:trPr>
                  <w:trHeight w:val="386"/>
                </w:trPr>
                <w:tc>
                  <w:tcPr>
                    <w:tcW w:w="678" w:type="dxa"/>
                    <w:vMerge w:val="restart"/>
                    <w:noWrap/>
                    <w:vAlign w:val="center"/>
                  </w:tcPr>
                  <w:p w14:paraId="61E38E5C" w14:textId="77777777" w:rsidR="00B17EAC" w:rsidRPr="00B17EAC" w:rsidRDefault="00B17EAC" w:rsidP="00B17EAC">
                    <w:pPr>
                      <w:widowControl w:val="0"/>
                      <w:jc w:val="center"/>
                      <w:rPr>
                        <w:rFonts w:cs="Times New Roman"/>
                        <w:iCs/>
                        <w:kern w:val="2"/>
                        <w:szCs w:val="21"/>
                      </w:rPr>
                    </w:pPr>
                    <w:r w:rsidRPr="00B17EAC">
                      <w:rPr>
                        <w:rFonts w:cs="Times New Roman" w:hint="eastAsia"/>
                        <w:iCs/>
                        <w:kern w:val="2"/>
                        <w:szCs w:val="21"/>
                      </w:rPr>
                      <w:t>名称</w:t>
                    </w:r>
                  </w:p>
                </w:tc>
                <w:tc>
                  <w:tcPr>
                    <w:tcW w:w="832" w:type="dxa"/>
                    <w:vMerge w:val="restart"/>
                    <w:noWrap/>
                    <w:vAlign w:val="center"/>
                  </w:tcPr>
                  <w:p w14:paraId="71D95821" w14:textId="77777777" w:rsidR="00B17EAC" w:rsidRPr="00B17EAC" w:rsidRDefault="00B17EAC" w:rsidP="00B17EAC">
                    <w:pPr>
                      <w:widowControl w:val="0"/>
                      <w:jc w:val="center"/>
                      <w:rPr>
                        <w:rFonts w:cs="Times New Roman"/>
                        <w:iCs/>
                        <w:kern w:val="2"/>
                        <w:szCs w:val="21"/>
                      </w:rPr>
                    </w:pPr>
                    <w:r w:rsidRPr="00B17EAC">
                      <w:rPr>
                        <w:rFonts w:cs="Times New Roman" w:hint="eastAsia"/>
                        <w:iCs/>
                        <w:kern w:val="2"/>
                        <w:szCs w:val="21"/>
                      </w:rPr>
                      <w:t>废物类别</w:t>
                    </w:r>
                  </w:p>
                </w:tc>
                <w:tc>
                  <w:tcPr>
                    <w:tcW w:w="1276" w:type="dxa"/>
                    <w:vMerge w:val="restart"/>
                    <w:noWrap/>
                    <w:vAlign w:val="center"/>
                  </w:tcPr>
                  <w:p w14:paraId="3A16DBBB" w14:textId="77777777" w:rsidR="00B17EAC" w:rsidRPr="00B17EAC" w:rsidRDefault="00B17EAC" w:rsidP="00B17EAC">
                    <w:pPr>
                      <w:widowControl w:val="0"/>
                      <w:jc w:val="center"/>
                      <w:rPr>
                        <w:rFonts w:cs="Times New Roman"/>
                        <w:iCs/>
                        <w:kern w:val="2"/>
                        <w:szCs w:val="21"/>
                      </w:rPr>
                    </w:pPr>
                    <w:r w:rsidRPr="00B17EAC">
                      <w:rPr>
                        <w:rFonts w:cs="Times New Roman" w:hint="eastAsia"/>
                        <w:iCs/>
                        <w:kern w:val="2"/>
                        <w:szCs w:val="21"/>
                      </w:rPr>
                      <w:t>主要有害成分</w:t>
                    </w:r>
                  </w:p>
                </w:tc>
                <w:tc>
                  <w:tcPr>
                    <w:tcW w:w="1276" w:type="dxa"/>
                    <w:vMerge w:val="restart"/>
                    <w:noWrap/>
                    <w:vAlign w:val="center"/>
                  </w:tcPr>
                  <w:p w14:paraId="19F86496" w14:textId="77777777" w:rsidR="00B17EAC" w:rsidRPr="00B17EAC" w:rsidRDefault="00B17EAC" w:rsidP="00B17EAC">
                    <w:pPr>
                      <w:widowControl w:val="0"/>
                      <w:jc w:val="center"/>
                      <w:rPr>
                        <w:rFonts w:cs="Times New Roman"/>
                        <w:iCs/>
                        <w:kern w:val="2"/>
                        <w:szCs w:val="21"/>
                      </w:rPr>
                    </w:pPr>
                    <w:r w:rsidRPr="00B17EAC">
                      <w:rPr>
                        <w:rFonts w:cs="Times New Roman" w:hint="eastAsia"/>
                        <w:iCs/>
                        <w:kern w:val="2"/>
                        <w:szCs w:val="21"/>
                      </w:rPr>
                      <w:t>形态</w:t>
                    </w:r>
                    <w:r w:rsidRPr="00B17EAC">
                      <w:rPr>
                        <w:rFonts w:cs="Times New Roman"/>
                        <w:iCs/>
                        <w:kern w:val="2"/>
                        <w:szCs w:val="21"/>
                      </w:rPr>
                      <w:t>(</w:t>
                    </w:r>
                    <w:r w:rsidRPr="00B17EAC">
                      <w:rPr>
                        <w:rFonts w:cs="Times New Roman" w:hint="eastAsia"/>
                        <w:iCs/>
                        <w:kern w:val="2"/>
                        <w:szCs w:val="21"/>
                      </w:rPr>
                      <w:t>固、液、气</w:t>
                    </w:r>
                    <w:r w:rsidRPr="00B17EAC">
                      <w:rPr>
                        <w:rFonts w:cs="Times New Roman"/>
                        <w:iCs/>
                        <w:kern w:val="2"/>
                        <w:szCs w:val="21"/>
                      </w:rPr>
                      <w:t>)</w:t>
                    </w:r>
                  </w:p>
                </w:tc>
                <w:tc>
                  <w:tcPr>
                    <w:tcW w:w="1217" w:type="dxa"/>
                    <w:vMerge w:val="restart"/>
                    <w:vAlign w:val="center"/>
                  </w:tcPr>
                  <w:p w14:paraId="69378530" w14:textId="77777777" w:rsidR="00B17EAC" w:rsidRPr="00B17EAC" w:rsidRDefault="00B17EAC" w:rsidP="00B17EAC">
                    <w:pPr>
                      <w:widowControl w:val="0"/>
                      <w:jc w:val="center"/>
                      <w:rPr>
                        <w:rFonts w:cs="Times New Roman"/>
                        <w:iCs/>
                        <w:kern w:val="2"/>
                        <w:szCs w:val="21"/>
                      </w:rPr>
                    </w:pPr>
                    <w:r w:rsidRPr="00B17EAC">
                      <w:rPr>
                        <w:rFonts w:cs="Times New Roman" w:hint="eastAsia"/>
                        <w:iCs/>
                        <w:kern w:val="2"/>
                        <w:szCs w:val="21"/>
                      </w:rPr>
                      <w:t>产生来源</w:t>
                    </w:r>
                  </w:p>
                </w:tc>
                <w:tc>
                  <w:tcPr>
                    <w:tcW w:w="1809" w:type="dxa"/>
                    <w:vAlign w:val="center"/>
                  </w:tcPr>
                  <w:p w14:paraId="11FD7335" w14:textId="77777777" w:rsidR="00B17EAC" w:rsidRPr="00B17EAC" w:rsidRDefault="00B17EAC" w:rsidP="00B17EAC">
                    <w:pPr>
                      <w:widowControl w:val="0"/>
                      <w:ind w:firstLineChars="100" w:firstLine="210"/>
                      <w:jc w:val="center"/>
                      <w:rPr>
                        <w:rFonts w:cs="Times New Roman"/>
                        <w:iCs/>
                        <w:kern w:val="2"/>
                        <w:szCs w:val="21"/>
                      </w:rPr>
                    </w:pPr>
                    <w:r w:rsidRPr="00B17EAC">
                      <w:rPr>
                        <w:rFonts w:cs="Times New Roman" w:hint="eastAsia"/>
                        <w:iCs/>
                        <w:kern w:val="2"/>
                        <w:szCs w:val="21"/>
                      </w:rPr>
                      <w:t>年产生量</w:t>
                    </w:r>
                  </w:p>
                  <w:p w14:paraId="433979E4" w14:textId="77777777" w:rsidR="00B17EAC" w:rsidRPr="00B17EAC" w:rsidRDefault="00B17EAC" w:rsidP="00B17EAC">
                    <w:pPr>
                      <w:widowControl w:val="0"/>
                      <w:ind w:firstLineChars="50" w:firstLine="105"/>
                      <w:jc w:val="center"/>
                      <w:rPr>
                        <w:rFonts w:cs="Times New Roman"/>
                        <w:iCs/>
                        <w:kern w:val="2"/>
                        <w:szCs w:val="21"/>
                      </w:rPr>
                    </w:pPr>
                    <w:r w:rsidRPr="00B17EAC">
                      <w:rPr>
                        <w:rFonts w:cs="Times New Roman" w:hint="eastAsia"/>
                        <w:iCs/>
                        <w:kern w:val="2"/>
                        <w:szCs w:val="21"/>
                      </w:rPr>
                      <w:t>（处置量）</w:t>
                    </w:r>
                  </w:p>
                </w:tc>
                <w:tc>
                  <w:tcPr>
                    <w:tcW w:w="1276" w:type="dxa"/>
                    <w:vMerge w:val="restart"/>
                    <w:noWrap/>
                    <w:vAlign w:val="center"/>
                  </w:tcPr>
                  <w:p w14:paraId="0F05FE2B" w14:textId="77777777" w:rsidR="00B17EAC" w:rsidRPr="00B17EAC" w:rsidRDefault="00B17EAC" w:rsidP="00B17EAC">
                    <w:pPr>
                      <w:widowControl w:val="0"/>
                      <w:jc w:val="center"/>
                      <w:rPr>
                        <w:rFonts w:cs="Times New Roman"/>
                        <w:iCs/>
                        <w:kern w:val="2"/>
                        <w:szCs w:val="21"/>
                      </w:rPr>
                    </w:pPr>
                    <w:r w:rsidRPr="00B17EAC">
                      <w:rPr>
                        <w:rFonts w:cs="Times New Roman" w:hint="eastAsia"/>
                        <w:iCs/>
                        <w:kern w:val="2"/>
                        <w:szCs w:val="21"/>
                      </w:rPr>
                      <w:t>处置方式</w:t>
                    </w:r>
                  </w:p>
                </w:tc>
              </w:tr>
              <w:tr w:rsidR="00B17EAC" w:rsidRPr="00B17EAC" w14:paraId="7699294E" w14:textId="77777777" w:rsidTr="005062B1">
                <w:trPr>
                  <w:trHeight w:val="285"/>
                </w:trPr>
                <w:tc>
                  <w:tcPr>
                    <w:tcW w:w="678" w:type="dxa"/>
                    <w:vMerge/>
                    <w:vAlign w:val="center"/>
                  </w:tcPr>
                  <w:p w14:paraId="00EEA494" w14:textId="77777777" w:rsidR="00B17EAC" w:rsidRPr="00B17EAC" w:rsidRDefault="00B17EAC" w:rsidP="00B17EAC">
                    <w:pPr>
                      <w:jc w:val="center"/>
                      <w:rPr>
                        <w:rFonts w:cs="Times New Roman"/>
                        <w:i/>
                        <w:iCs/>
                        <w:kern w:val="2"/>
                        <w:szCs w:val="21"/>
                      </w:rPr>
                    </w:pPr>
                  </w:p>
                </w:tc>
                <w:tc>
                  <w:tcPr>
                    <w:tcW w:w="832" w:type="dxa"/>
                    <w:vMerge/>
                    <w:vAlign w:val="center"/>
                  </w:tcPr>
                  <w:p w14:paraId="5E2C802E" w14:textId="77777777" w:rsidR="00B17EAC" w:rsidRPr="00B17EAC" w:rsidRDefault="00B17EAC" w:rsidP="00B17EAC">
                    <w:pPr>
                      <w:jc w:val="center"/>
                      <w:rPr>
                        <w:rFonts w:cs="Times New Roman"/>
                        <w:i/>
                        <w:iCs/>
                        <w:kern w:val="2"/>
                        <w:szCs w:val="21"/>
                      </w:rPr>
                    </w:pPr>
                  </w:p>
                </w:tc>
                <w:tc>
                  <w:tcPr>
                    <w:tcW w:w="1276" w:type="dxa"/>
                    <w:vMerge/>
                    <w:vAlign w:val="center"/>
                  </w:tcPr>
                  <w:p w14:paraId="6C3E4A50" w14:textId="77777777" w:rsidR="00B17EAC" w:rsidRPr="00B17EAC" w:rsidRDefault="00B17EAC" w:rsidP="00B17EAC">
                    <w:pPr>
                      <w:jc w:val="center"/>
                      <w:rPr>
                        <w:rFonts w:cs="Times New Roman"/>
                        <w:i/>
                        <w:iCs/>
                        <w:kern w:val="2"/>
                        <w:szCs w:val="21"/>
                      </w:rPr>
                    </w:pPr>
                  </w:p>
                </w:tc>
                <w:tc>
                  <w:tcPr>
                    <w:tcW w:w="1276" w:type="dxa"/>
                    <w:vMerge/>
                    <w:vAlign w:val="center"/>
                  </w:tcPr>
                  <w:p w14:paraId="2CB5D00E" w14:textId="77777777" w:rsidR="00B17EAC" w:rsidRPr="00B17EAC" w:rsidRDefault="00B17EAC" w:rsidP="00B17EAC">
                    <w:pPr>
                      <w:jc w:val="center"/>
                      <w:rPr>
                        <w:rFonts w:cs="Times New Roman"/>
                        <w:i/>
                        <w:iCs/>
                        <w:kern w:val="2"/>
                        <w:szCs w:val="21"/>
                      </w:rPr>
                    </w:pPr>
                  </w:p>
                </w:tc>
                <w:tc>
                  <w:tcPr>
                    <w:tcW w:w="1217" w:type="dxa"/>
                    <w:vMerge/>
                    <w:vAlign w:val="center"/>
                  </w:tcPr>
                  <w:p w14:paraId="55FB7FA1" w14:textId="77777777" w:rsidR="00B17EAC" w:rsidRPr="00B17EAC" w:rsidRDefault="00B17EAC" w:rsidP="00B17EAC">
                    <w:pPr>
                      <w:jc w:val="center"/>
                      <w:rPr>
                        <w:rFonts w:cs="Times New Roman"/>
                        <w:i/>
                        <w:iCs/>
                        <w:kern w:val="2"/>
                        <w:szCs w:val="21"/>
                      </w:rPr>
                    </w:pPr>
                  </w:p>
                </w:tc>
                <w:tc>
                  <w:tcPr>
                    <w:tcW w:w="1809" w:type="dxa"/>
                    <w:vAlign w:val="center"/>
                  </w:tcPr>
                  <w:p w14:paraId="2C5C1576" w14:textId="77777777" w:rsidR="00B17EAC" w:rsidRPr="00B17EAC" w:rsidRDefault="00B17EAC" w:rsidP="00B17EAC">
                    <w:pPr>
                      <w:widowControl w:val="0"/>
                      <w:jc w:val="both"/>
                      <w:rPr>
                        <w:rFonts w:cs="Times New Roman"/>
                        <w:iCs/>
                        <w:kern w:val="2"/>
                        <w:szCs w:val="21"/>
                      </w:rPr>
                    </w:pPr>
                    <w:r w:rsidRPr="00B17EAC">
                      <w:rPr>
                        <w:rFonts w:cs="Times New Roman"/>
                        <w:iCs/>
                        <w:kern w:val="2"/>
                        <w:szCs w:val="21"/>
                      </w:rPr>
                      <w:t>20</w:t>
                    </w:r>
                    <w:r w:rsidRPr="00B17EAC">
                      <w:rPr>
                        <w:rFonts w:cs="Times New Roman" w:hint="eastAsia"/>
                        <w:iCs/>
                        <w:kern w:val="2"/>
                        <w:szCs w:val="21"/>
                      </w:rPr>
                      <w:t>21年上半年</w:t>
                    </w:r>
                  </w:p>
                </w:tc>
                <w:tc>
                  <w:tcPr>
                    <w:tcW w:w="1276" w:type="dxa"/>
                    <w:vMerge/>
                    <w:vAlign w:val="center"/>
                  </w:tcPr>
                  <w:p w14:paraId="63B01EC4" w14:textId="77777777" w:rsidR="00B17EAC" w:rsidRPr="00B17EAC" w:rsidRDefault="00B17EAC" w:rsidP="00B17EAC">
                    <w:pPr>
                      <w:jc w:val="center"/>
                      <w:rPr>
                        <w:rFonts w:cs="Times New Roman"/>
                        <w:i/>
                        <w:iCs/>
                        <w:kern w:val="2"/>
                        <w:szCs w:val="21"/>
                      </w:rPr>
                    </w:pPr>
                  </w:p>
                </w:tc>
              </w:tr>
              <w:tr w:rsidR="00B17EAC" w:rsidRPr="00B17EAC" w14:paraId="11D3F999" w14:textId="77777777" w:rsidTr="005062B1">
                <w:trPr>
                  <w:trHeight w:val="285"/>
                </w:trPr>
                <w:tc>
                  <w:tcPr>
                    <w:tcW w:w="678" w:type="dxa"/>
                    <w:noWrap/>
                    <w:vAlign w:val="center"/>
                  </w:tcPr>
                  <w:p w14:paraId="6CD288F3" w14:textId="77777777" w:rsidR="00B17EAC" w:rsidRPr="00B17EAC" w:rsidRDefault="00B17EAC" w:rsidP="00B17EAC">
                    <w:pPr>
                      <w:widowControl w:val="0"/>
                      <w:jc w:val="center"/>
                      <w:rPr>
                        <w:rFonts w:cs="Times New Roman"/>
                        <w:kern w:val="2"/>
                        <w:szCs w:val="21"/>
                      </w:rPr>
                    </w:pPr>
                    <w:r w:rsidRPr="00B17EAC">
                      <w:rPr>
                        <w:rFonts w:cs="Times New Roman"/>
                        <w:kern w:val="2"/>
                        <w:szCs w:val="21"/>
                      </w:rPr>
                      <w:t>1</w:t>
                    </w:r>
                  </w:p>
                </w:tc>
                <w:tc>
                  <w:tcPr>
                    <w:tcW w:w="832" w:type="dxa"/>
                    <w:noWrap/>
                    <w:vAlign w:val="center"/>
                  </w:tcPr>
                  <w:p w14:paraId="63DCB69B" w14:textId="77777777" w:rsidR="00B17EAC" w:rsidRPr="00B17EAC" w:rsidRDefault="00B17EAC" w:rsidP="00B17EAC">
                    <w:pPr>
                      <w:widowControl w:val="0"/>
                      <w:jc w:val="center"/>
                      <w:rPr>
                        <w:rFonts w:cs="Times New Roman"/>
                        <w:kern w:val="2"/>
                        <w:szCs w:val="21"/>
                      </w:rPr>
                    </w:pPr>
                    <w:r w:rsidRPr="00B17EAC">
                      <w:rPr>
                        <w:rFonts w:cs="Times New Roman" w:hint="eastAsia"/>
                        <w:kern w:val="2"/>
                        <w:szCs w:val="21"/>
                      </w:rPr>
                      <w:t>HW08</w:t>
                    </w:r>
                  </w:p>
                </w:tc>
                <w:tc>
                  <w:tcPr>
                    <w:tcW w:w="1276" w:type="dxa"/>
                    <w:noWrap/>
                    <w:vAlign w:val="center"/>
                  </w:tcPr>
                  <w:p w14:paraId="25563A8B" w14:textId="77777777" w:rsidR="00B17EAC" w:rsidRPr="00B17EAC" w:rsidRDefault="00B17EAC" w:rsidP="00B17EAC">
                    <w:pPr>
                      <w:widowControl w:val="0"/>
                      <w:jc w:val="center"/>
                      <w:rPr>
                        <w:rFonts w:cs="Times New Roman"/>
                        <w:kern w:val="2"/>
                        <w:szCs w:val="21"/>
                      </w:rPr>
                    </w:pPr>
                    <w:r w:rsidRPr="00B17EAC">
                      <w:rPr>
                        <w:rFonts w:cs="Times New Roman" w:hint="eastAsia"/>
                        <w:kern w:val="2"/>
                        <w:szCs w:val="21"/>
                      </w:rPr>
                      <w:t>矿物油</w:t>
                    </w:r>
                  </w:p>
                </w:tc>
                <w:tc>
                  <w:tcPr>
                    <w:tcW w:w="1276" w:type="dxa"/>
                    <w:noWrap/>
                    <w:vAlign w:val="center"/>
                  </w:tcPr>
                  <w:p w14:paraId="78109EFD" w14:textId="77777777" w:rsidR="00B17EAC" w:rsidRPr="00B17EAC" w:rsidRDefault="00B17EAC" w:rsidP="00B17EAC">
                    <w:pPr>
                      <w:widowControl w:val="0"/>
                      <w:jc w:val="center"/>
                      <w:rPr>
                        <w:rFonts w:cs="Times New Roman"/>
                        <w:kern w:val="2"/>
                        <w:szCs w:val="21"/>
                      </w:rPr>
                    </w:pPr>
                    <w:r w:rsidRPr="00B17EAC">
                      <w:rPr>
                        <w:rFonts w:cs="Times New Roman" w:hint="eastAsia"/>
                        <w:kern w:val="2"/>
                        <w:szCs w:val="21"/>
                      </w:rPr>
                      <w:t>液</w:t>
                    </w:r>
                  </w:p>
                </w:tc>
                <w:tc>
                  <w:tcPr>
                    <w:tcW w:w="1217" w:type="dxa"/>
                    <w:vAlign w:val="center"/>
                  </w:tcPr>
                  <w:p w14:paraId="30B04E77" w14:textId="77777777" w:rsidR="00B17EAC" w:rsidRPr="00B17EAC" w:rsidRDefault="00B17EAC" w:rsidP="00B17EAC">
                    <w:pPr>
                      <w:widowControl w:val="0"/>
                      <w:jc w:val="center"/>
                      <w:rPr>
                        <w:rFonts w:cs="Times New Roman"/>
                        <w:kern w:val="2"/>
                        <w:szCs w:val="21"/>
                      </w:rPr>
                    </w:pPr>
                    <w:r w:rsidRPr="00B17EAC">
                      <w:rPr>
                        <w:rFonts w:cs="Times New Roman" w:hint="eastAsia"/>
                        <w:kern w:val="2"/>
                        <w:szCs w:val="21"/>
                      </w:rPr>
                      <w:t>生产过程</w:t>
                    </w:r>
                  </w:p>
                </w:tc>
                <w:tc>
                  <w:tcPr>
                    <w:tcW w:w="1809" w:type="dxa"/>
                    <w:vAlign w:val="center"/>
                  </w:tcPr>
                  <w:p w14:paraId="76BEFD20" w14:textId="77777777" w:rsidR="00B17EAC" w:rsidRPr="00B17EAC" w:rsidRDefault="00B17EAC" w:rsidP="00B17EAC">
                    <w:pPr>
                      <w:widowControl w:val="0"/>
                      <w:jc w:val="center"/>
                      <w:rPr>
                        <w:rFonts w:cs="Times New Roman"/>
                        <w:kern w:val="2"/>
                        <w:szCs w:val="21"/>
                      </w:rPr>
                    </w:pPr>
                    <w:r w:rsidRPr="00B17EAC">
                      <w:rPr>
                        <w:rFonts w:cs="Times New Roman" w:hint="eastAsia"/>
                        <w:kern w:val="2"/>
                        <w:szCs w:val="21"/>
                      </w:rPr>
                      <w:t>0.63</w:t>
                    </w:r>
                  </w:p>
                </w:tc>
                <w:tc>
                  <w:tcPr>
                    <w:tcW w:w="1276" w:type="dxa"/>
                    <w:vMerge w:val="restart"/>
                    <w:noWrap/>
                    <w:vAlign w:val="center"/>
                  </w:tcPr>
                  <w:p w14:paraId="1801A2EC" w14:textId="77777777" w:rsidR="00B17EAC" w:rsidRPr="00B17EAC" w:rsidRDefault="00B17EAC" w:rsidP="00B17EAC">
                    <w:pPr>
                      <w:widowControl w:val="0"/>
                      <w:jc w:val="center"/>
                      <w:rPr>
                        <w:rFonts w:cs="Times New Roman"/>
                        <w:kern w:val="2"/>
                        <w:szCs w:val="21"/>
                      </w:rPr>
                    </w:pPr>
                    <w:r w:rsidRPr="00B17EAC">
                      <w:rPr>
                        <w:rFonts w:cs="Times New Roman" w:hint="eastAsia"/>
                        <w:kern w:val="2"/>
                        <w:szCs w:val="21"/>
                      </w:rPr>
                      <w:t>委托处置</w:t>
                    </w:r>
                  </w:p>
                </w:tc>
              </w:tr>
              <w:tr w:rsidR="00B17EAC" w:rsidRPr="00B17EAC" w14:paraId="64C66E59" w14:textId="77777777" w:rsidTr="005062B1">
                <w:trPr>
                  <w:trHeight w:val="285"/>
                </w:trPr>
                <w:tc>
                  <w:tcPr>
                    <w:tcW w:w="678" w:type="dxa"/>
                    <w:noWrap/>
                    <w:vAlign w:val="center"/>
                  </w:tcPr>
                  <w:p w14:paraId="0C1B2F76" w14:textId="77777777" w:rsidR="00B17EAC" w:rsidRPr="00B17EAC" w:rsidRDefault="00B17EAC" w:rsidP="00B17EAC">
                    <w:pPr>
                      <w:widowControl w:val="0"/>
                      <w:jc w:val="center"/>
                      <w:rPr>
                        <w:rFonts w:cs="Times New Roman"/>
                        <w:kern w:val="2"/>
                        <w:szCs w:val="21"/>
                      </w:rPr>
                    </w:pPr>
                    <w:r w:rsidRPr="00B17EAC">
                      <w:rPr>
                        <w:rFonts w:cs="Times New Roman" w:hint="eastAsia"/>
                        <w:kern w:val="2"/>
                        <w:szCs w:val="21"/>
                      </w:rPr>
                      <w:t>2</w:t>
                    </w:r>
                  </w:p>
                </w:tc>
                <w:tc>
                  <w:tcPr>
                    <w:tcW w:w="832" w:type="dxa"/>
                    <w:noWrap/>
                    <w:vAlign w:val="center"/>
                  </w:tcPr>
                  <w:p w14:paraId="09F88349" w14:textId="77777777" w:rsidR="00B17EAC" w:rsidRPr="00B17EAC" w:rsidRDefault="00B17EAC" w:rsidP="00B17EAC">
                    <w:pPr>
                      <w:widowControl w:val="0"/>
                      <w:jc w:val="center"/>
                      <w:rPr>
                        <w:rFonts w:cs="Times New Roman"/>
                        <w:kern w:val="2"/>
                        <w:szCs w:val="21"/>
                      </w:rPr>
                    </w:pPr>
                    <w:r w:rsidRPr="00B17EAC">
                      <w:rPr>
                        <w:rFonts w:cs="Times New Roman" w:hint="eastAsia"/>
                        <w:kern w:val="2"/>
                        <w:szCs w:val="21"/>
                      </w:rPr>
                      <w:t>HW12</w:t>
                    </w:r>
                  </w:p>
                </w:tc>
                <w:tc>
                  <w:tcPr>
                    <w:tcW w:w="1276" w:type="dxa"/>
                    <w:noWrap/>
                    <w:vAlign w:val="center"/>
                  </w:tcPr>
                  <w:p w14:paraId="1DD12A97" w14:textId="77777777" w:rsidR="00B17EAC" w:rsidRPr="00B17EAC" w:rsidRDefault="00B17EAC" w:rsidP="00B17EAC">
                    <w:pPr>
                      <w:widowControl w:val="0"/>
                      <w:jc w:val="center"/>
                      <w:rPr>
                        <w:rFonts w:cs="Times New Roman"/>
                        <w:kern w:val="2"/>
                        <w:szCs w:val="21"/>
                      </w:rPr>
                    </w:pPr>
                    <w:r w:rsidRPr="00B17EAC">
                      <w:rPr>
                        <w:rFonts w:cs="Times New Roman" w:hint="eastAsia"/>
                        <w:kern w:val="2"/>
                        <w:szCs w:val="21"/>
                      </w:rPr>
                      <w:t>漆</w:t>
                    </w:r>
                  </w:p>
                </w:tc>
                <w:tc>
                  <w:tcPr>
                    <w:tcW w:w="1276" w:type="dxa"/>
                    <w:noWrap/>
                    <w:vAlign w:val="center"/>
                  </w:tcPr>
                  <w:p w14:paraId="7C5B96A1" w14:textId="77777777" w:rsidR="00B17EAC" w:rsidRPr="00B17EAC" w:rsidRDefault="00B17EAC" w:rsidP="00B17EAC">
                    <w:pPr>
                      <w:widowControl w:val="0"/>
                      <w:jc w:val="center"/>
                      <w:rPr>
                        <w:rFonts w:cs="Times New Roman"/>
                        <w:kern w:val="2"/>
                        <w:szCs w:val="21"/>
                      </w:rPr>
                    </w:pPr>
                    <w:r w:rsidRPr="00B17EAC">
                      <w:rPr>
                        <w:rFonts w:cs="Times New Roman" w:hint="eastAsia"/>
                        <w:kern w:val="2"/>
                        <w:szCs w:val="21"/>
                      </w:rPr>
                      <w:t>固</w:t>
                    </w:r>
                  </w:p>
                </w:tc>
                <w:tc>
                  <w:tcPr>
                    <w:tcW w:w="1217" w:type="dxa"/>
                    <w:vAlign w:val="center"/>
                  </w:tcPr>
                  <w:p w14:paraId="60AE8C08" w14:textId="77777777" w:rsidR="00B17EAC" w:rsidRPr="00B17EAC" w:rsidRDefault="00B17EAC" w:rsidP="00B17EAC">
                    <w:pPr>
                      <w:widowControl w:val="0"/>
                      <w:jc w:val="center"/>
                      <w:rPr>
                        <w:rFonts w:cs="Times New Roman"/>
                        <w:kern w:val="2"/>
                        <w:szCs w:val="21"/>
                      </w:rPr>
                    </w:pPr>
                    <w:r w:rsidRPr="00B17EAC">
                      <w:rPr>
                        <w:rFonts w:cs="Times New Roman" w:hint="eastAsia"/>
                        <w:kern w:val="2"/>
                        <w:szCs w:val="21"/>
                      </w:rPr>
                      <w:t>生产过程</w:t>
                    </w:r>
                  </w:p>
                </w:tc>
                <w:tc>
                  <w:tcPr>
                    <w:tcW w:w="1809" w:type="dxa"/>
                    <w:vAlign w:val="center"/>
                  </w:tcPr>
                  <w:p w14:paraId="233EFE54" w14:textId="77777777" w:rsidR="00B17EAC" w:rsidRPr="00B17EAC" w:rsidRDefault="00B17EAC" w:rsidP="00B17EAC">
                    <w:pPr>
                      <w:widowControl w:val="0"/>
                      <w:jc w:val="center"/>
                      <w:rPr>
                        <w:rFonts w:cs="Times New Roman"/>
                        <w:kern w:val="2"/>
                        <w:szCs w:val="21"/>
                      </w:rPr>
                    </w:pPr>
                    <w:r w:rsidRPr="00B17EAC">
                      <w:rPr>
                        <w:rFonts w:cs="Times New Roman" w:hint="eastAsia"/>
                        <w:kern w:val="2"/>
                        <w:szCs w:val="21"/>
                      </w:rPr>
                      <w:t>9.18</w:t>
                    </w:r>
                  </w:p>
                </w:tc>
                <w:tc>
                  <w:tcPr>
                    <w:tcW w:w="1276" w:type="dxa"/>
                    <w:vMerge/>
                    <w:noWrap/>
                    <w:vAlign w:val="center"/>
                  </w:tcPr>
                  <w:p w14:paraId="42AF93D0" w14:textId="77777777" w:rsidR="00B17EAC" w:rsidRPr="00B17EAC" w:rsidRDefault="00B17EAC" w:rsidP="00B17EAC">
                    <w:pPr>
                      <w:widowControl w:val="0"/>
                      <w:jc w:val="center"/>
                      <w:rPr>
                        <w:rFonts w:cs="Times New Roman"/>
                        <w:kern w:val="2"/>
                        <w:szCs w:val="21"/>
                      </w:rPr>
                    </w:pPr>
                  </w:p>
                </w:tc>
              </w:tr>
              <w:tr w:rsidR="00B17EAC" w:rsidRPr="00B17EAC" w14:paraId="5C8A2FF2" w14:textId="77777777" w:rsidTr="005062B1">
                <w:trPr>
                  <w:trHeight w:val="285"/>
                </w:trPr>
                <w:tc>
                  <w:tcPr>
                    <w:tcW w:w="678" w:type="dxa"/>
                    <w:noWrap/>
                    <w:vAlign w:val="center"/>
                  </w:tcPr>
                  <w:p w14:paraId="2B8439BB" w14:textId="77777777" w:rsidR="00B17EAC" w:rsidRPr="00B17EAC" w:rsidRDefault="00B17EAC" w:rsidP="00B17EAC">
                    <w:pPr>
                      <w:widowControl w:val="0"/>
                      <w:jc w:val="center"/>
                      <w:rPr>
                        <w:rFonts w:cs="Times New Roman"/>
                        <w:kern w:val="2"/>
                        <w:szCs w:val="21"/>
                      </w:rPr>
                    </w:pPr>
                    <w:r w:rsidRPr="00B17EAC">
                      <w:rPr>
                        <w:rFonts w:cs="Times New Roman" w:hint="eastAsia"/>
                        <w:kern w:val="2"/>
                        <w:szCs w:val="21"/>
                      </w:rPr>
                      <w:t>3</w:t>
                    </w:r>
                  </w:p>
                </w:tc>
                <w:tc>
                  <w:tcPr>
                    <w:tcW w:w="832" w:type="dxa"/>
                    <w:noWrap/>
                    <w:vAlign w:val="center"/>
                  </w:tcPr>
                  <w:p w14:paraId="0AA775E8" w14:textId="77777777" w:rsidR="00B17EAC" w:rsidRPr="00B17EAC" w:rsidRDefault="00B17EAC" w:rsidP="00B17EAC">
                    <w:pPr>
                      <w:widowControl w:val="0"/>
                      <w:jc w:val="center"/>
                      <w:rPr>
                        <w:rFonts w:cs="Times New Roman"/>
                        <w:kern w:val="2"/>
                        <w:szCs w:val="21"/>
                      </w:rPr>
                    </w:pPr>
                    <w:r w:rsidRPr="00B17EAC">
                      <w:rPr>
                        <w:rFonts w:cs="Times New Roman" w:hint="eastAsia"/>
                        <w:kern w:val="2"/>
                        <w:szCs w:val="21"/>
                      </w:rPr>
                      <w:t>HW13</w:t>
                    </w:r>
                  </w:p>
                </w:tc>
                <w:tc>
                  <w:tcPr>
                    <w:tcW w:w="1276" w:type="dxa"/>
                    <w:noWrap/>
                    <w:vAlign w:val="center"/>
                  </w:tcPr>
                  <w:p w14:paraId="5562F6E2" w14:textId="77777777" w:rsidR="00B17EAC" w:rsidRPr="00B17EAC" w:rsidRDefault="00B17EAC" w:rsidP="00B17EAC">
                    <w:pPr>
                      <w:widowControl w:val="0"/>
                      <w:jc w:val="center"/>
                      <w:rPr>
                        <w:rFonts w:cs="Times New Roman"/>
                        <w:kern w:val="2"/>
                        <w:szCs w:val="21"/>
                      </w:rPr>
                    </w:pPr>
                    <w:r w:rsidRPr="00B17EAC">
                      <w:rPr>
                        <w:rFonts w:cs="Times New Roman" w:hint="eastAsia"/>
                        <w:kern w:val="2"/>
                        <w:szCs w:val="21"/>
                      </w:rPr>
                      <w:t>树脂</w:t>
                    </w:r>
                  </w:p>
                </w:tc>
                <w:tc>
                  <w:tcPr>
                    <w:tcW w:w="1276" w:type="dxa"/>
                    <w:noWrap/>
                    <w:vAlign w:val="center"/>
                  </w:tcPr>
                  <w:p w14:paraId="50A61F61" w14:textId="77777777" w:rsidR="00B17EAC" w:rsidRPr="00B17EAC" w:rsidRDefault="00B17EAC" w:rsidP="00B17EAC">
                    <w:pPr>
                      <w:widowControl w:val="0"/>
                      <w:jc w:val="center"/>
                      <w:rPr>
                        <w:rFonts w:cs="Times New Roman"/>
                        <w:kern w:val="2"/>
                        <w:szCs w:val="21"/>
                      </w:rPr>
                    </w:pPr>
                    <w:r w:rsidRPr="00B17EAC">
                      <w:rPr>
                        <w:rFonts w:cs="Times New Roman" w:hint="eastAsia"/>
                        <w:kern w:val="2"/>
                        <w:szCs w:val="21"/>
                      </w:rPr>
                      <w:t>固</w:t>
                    </w:r>
                  </w:p>
                </w:tc>
                <w:tc>
                  <w:tcPr>
                    <w:tcW w:w="1217" w:type="dxa"/>
                    <w:vAlign w:val="center"/>
                  </w:tcPr>
                  <w:p w14:paraId="100EBFEE" w14:textId="77777777" w:rsidR="00B17EAC" w:rsidRPr="00B17EAC" w:rsidRDefault="00B17EAC" w:rsidP="00B17EAC">
                    <w:pPr>
                      <w:widowControl w:val="0"/>
                      <w:jc w:val="center"/>
                      <w:rPr>
                        <w:rFonts w:cs="Times New Roman"/>
                        <w:kern w:val="2"/>
                        <w:szCs w:val="21"/>
                      </w:rPr>
                    </w:pPr>
                    <w:r w:rsidRPr="00B17EAC">
                      <w:rPr>
                        <w:rFonts w:cs="Times New Roman" w:hint="eastAsia"/>
                        <w:kern w:val="2"/>
                        <w:szCs w:val="21"/>
                      </w:rPr>
                      <w:t>生产过程</w:t>
                    </w:r>
                  </w:p>
                </w:tc>
                <w:tc>
                  <w:tcPr>
                    <w:tcW w:w="1809" w:type="dxa"/>
                    <w:vAlign w:val="center"/>
                  </w:tcPr>
                  <w:p w14:paraId="20E5D252" w14:textId="77777777" w:rsidR="00B17EAC" w:rsidRPr="00B17EAC" w:rsidRDefault="00B17EAC" w:rsidP="00B17EAC">
                    <w:pPr>
                      <w:widowControl w:val="0"/>
                      <w:jc w:val="center"/>
                      <w:rPr>
                        <w:rFonts w:cs="Times New Roman"/>
                        <w:kern w:val="2"/>
                        <w:szCs w:val="21"/>
                      </w:rPr>
                    </w:pPr>
                    <w:r w:rsidRPr="00B17EAC">
                      <w:rPr>
                        <w:rFonts w:cs="Times New Roman" w:hint="eastAsia"/>
                        <w:kern w:val="2"/>
                        <w:szCs w:val="21"/>
                      </w:rPr>
                      <w:t>4.6</w:t>
                    </w:r>
                  </w:p>
                </w:tc>
                <w:tc>
                  <w:tcPr>
                    <w:tcW w:w="1276" w:type="dxa"/>
                    <w:vMerge/>
                    <w:noWrap/>
                    <w:vAlign w:val="center"/>
                  </w:tcPr>
                  <w:p w14:paraId="2BC26ADB" w14:textId="77777777" w:rsidR="00B17EAC" w:rsidRPr="00B17EAC" w:rsidRDefault="00B17EAC" w:rsidP="00B17EAC">
                    <w:pPr>
                      <w:widowControl w:val="0"/>
                      <w:jc w:val="center"/>
                      <w:rPr>
                        <w:rFonts w:cs="Times New Roman"/>
                        <w:kern w:val="2"/>
                        <w:szCs w:val="21"/>
                      </w:rPr>
                    </w:pPr>
                  </w:p>
                </w:tc>
              </w:tr>
              <w:tr w:rsidR="00B17EAC" w:rsidRPr="00B17EAC" w14:paraId="160BE6B4" w14:textId="77777777" w:rsidTr="005062B1">
                <w:trPr>
                  <w:trHeight w:val="285"/>
                </w:trPr>
                <w:tc>
                  <w:tcPr>
                    <w:tcW w:w="678" w:type="dxa"/>
                    <w:noWrap/>
                    <w:vAlign w:val="center"/>
                  </w:tcPr>
                  <w:p w14:paraId="3C5E2F54" w14:textId="77777777" w:rsidR="00B17EAC" w:rsidRPr="00B17EAC" w:rsidRDefault="00B17EAC" w:rsidP="00B17EAC">
                    <w:pPr>
                      <w:widowControl w:val="0"/>
                      <w:jc w:val="center"/>
                      <w:rPr>
                        <w:rFonts w:cs="Times New Roman"/>
                        <w:kern w:val="2"/>
                        <w:szCs w:val="21"/>
                      </w:rPr>
                    </w:pPr>
                    <w:r w:rsidRPr="00B17EAC">
                      <w:rPr>
                        <w:rFonts w:cs="Times New Roman" w:hint="eastAsia"/>
                        <w:kern w:val="2"/>
                        <w:szCs w:val="21"/>
                      </w:rPr>
                      <w:t>4</w:t>
                    </w:r>
                  </w:p>
                </w:tc>
                <w:tc>
                  <w:tcPr>
                    <w:tcW w:w="832" w:type="dxa"/>
                    <w:noWrap/>
                    <w:vAlign w:val="center"/>
                  </w:tcPr>
                  <w:p w14:paraId="044A903F" w14:textId="77777777" w:rsidR="00B17EAC" w:rsidRPr="00B17EAC" w:rsidRDefault="00B17EAC" w:rsidP="00B17EAC">
                    <w:pPr>
                      <w:widowControl w:val="0"/>
                      <w:jc w:val="center"/>
                      <w:rPr>
                        <w:rFonts w:cs="Times New Roman"/>
                        <w:kern w:val="2"/>
                        <w:szCs w:val="21"/>
                      </w:rPr>
                    </w:pPr>
                    <w:r w:rsidRPr="00B17EAC">
                      <w:rPr>
                        <w:rFonts w:cs="Times New Roman" w:hint="eastAsia"/>
                        <w:kern w:val="2"/>
                        <w:szCs w:val="21"/>
                      </w:rPr>
                      <w:t>HW49</w:t>
                    </w:r>
                  </w:p>
                </w:tc>
                <w:tc>
                  <w:tcPr>
                    <w:tcW w:w="1276" w:type="dxa"/>
                    <w:noWrap/>
                    <w:vAlign w:val="center"/>
                  </w:tcPr>
                  <w:p w14:paraId="3B8C757D" w14:textId="77777777" w:rsidR="00B17EAC" w:rsidRPr="00B17EAC" w:rsidRDefault="00B17EAC" w:rsidP="00B17EAC">
                    <w:pPr>
                      <w:widowControl w:val="0"/>
                      <w:jc w:val="center"/>
                      <w:rPr>
                        <w:rFonts w:cs="Times New Roman"/>
                        <w:kern w:val="2"/>
                        <w:szCs w:val="21"/>
                      </w:rPr>
                    </w:pPr>
                    <w:r w:rsidRPr="00B17EAC">
                      <w:rPr>
                        <w:rFonts w:cs="Times New Roman" w:hint="eastAsia"/>
                        <w:kern w:val="2"/>
                        <w:szCs w:val="21"/>
                      </w:rPr>
                      <w:t>漆</w:t>
                    </w:r>
                  </w:p>
                </w:tc>
                <w:tc>
                  <w:tcPr>
                    <w:tcW w:w="1276" w:type="dxa"/>
                    <w:noWrap/>
                    <w:vAlign w:val="center"/>
                  </w:tcPr>
                  <w:p w14:paraId="16840385" w14:textId="77777777" w:rsidR="00B17EAC" w:rsidRPr="00B17EAC" w:rsidRDefault="00B17EAC" w:rsidP="00B17EAC">
                    <w:pPr>
                      <w:widowControl w:val="0"/>
                      <w:jc w:val="center"/>
                      <w:rPr>
                        <w:rFonts w:cs="Times New Roman"/>
                        <w:kern w:val="2"/>
                        <w:szCs w:val="21"/>
                      </w:rPr>
                    </w:pPr>
                    <w:r w:rsidRPr="00B17EAC">
                      <w:rPr>
                        <w:rFonts w:cs="Times New Roman" w:hint="eastAsia"/>
                        <w:kern w:val="2"/>
                        <w:szCs w:val="21"/>
                      </w:rPr>
                      <w:t>固</w:t>
                    </w:r>
                  </w:p>
                </w:tc>
                <w:tc>
                  <w:tcPr>
                    <w:tcW w:w="1217" w:type="dxa"/>
                    <w:vAlign w:val="center"/>
                  </w:tcPr>
                  <w:p w14:paraId="6187C740" w14:textId="77777777" w:rsidR="00B17EAC" w:rsidRPr="00B17EAC" w:rsidRDefault="00B17EAC" w:rsidP="00B17EAC">
                    <w:pPr>
                      <w:widowControl w:val="0"/>
                      <w:jc w:val="center"/>
                      <w:rPr>
                        <w:rFonts w:cs="Times New Roman"/>
                        <w:kern w:val="2"/>
                        <w:szCs w:val="21"/>
                      </w:rPr>
                    </w:pPr>
                    <w:r w:rsidRPr="00B17EAC">
                      <w:rPr>
                        <w:rFonts w:cs="Times New Roman" w:hint="eastAsia"/>
                        <w:kern w:val="2"/>
                        <w:szCs w:val="21"/>
                      </w:rPr>
                      <w:t>生产过程</w:t>
                    </w:r>
                  </w:p>
                </w:tc>
                <w:tc>
                  <w:tcPr>
                    <w:tcW w:w="1809" w:type="dxa"/>
                    <w:vAlign w:val="center"/>
                  </w:tcPr>
                  <w:p w14:paraId="30F3DC76" w14:textId="77777777" w:rsidR="00B17EAC" w:rsidRPr="00B17EAC" w:rsidRDefault="00B17EAC" w:rsidP="00B17EAC">
                    <w:pPr>
                      <w:widowControl w:val="0"/>
                      <w:jc w:val="center"/>
                      <w:rPr>
                        <w:rFonts w:cs="Times New Roman"/>
                        <w:kern w:val="2"/>
                        <w:szCs w:val="21"/>
                      </w:rPr>
                    </w:pPr>
                    <w:r w:rsidRPr="00B17EAC">
                      <w:rPr>
                        <w:rFonts w:cs="Times New Roman" w:hint="eastAsia"/>
                        <w:kern w:val="2"/>
                        <w:szCs w:val="21"/>
                      </w:rPr>
                      <w:t>8.69</w:t>
                    </w:r>
                  </w:p>
                </w:tc>
                <w:tc>
                  <w:tcPr>
                    <w:tcW w:w="1276" w:type="dxa"/>
                    <w:vMerge/>
                    <w:noWrap/>
                    <w:vAlign w:val="center"/>
                  </w:tcPr>
                  <w:p w14:paraId="165D5829" w14:textId="77777777" w:rsidR="00B17EAC" w:rsidRPr="00B17EAC" w:rsidRDefault="00B17EAC" w:rsidP="00B17EAC">
                    <w:pPr>
                      <w:widowControl w:val="0"/>
                      <w:jc w:val="center"/>
                      <w:rPr>
                        <w:rFonts w:cs="Times New Roman"/>
                        <w:kern w:val="2"/>
                        <w:szCs w:val="21"/>
                      </w:rPr>
                    </w:pPr>
                  </w:p>
                </w:tc>
              </w:tr>
              <w:tr w:rsidR="00B17EAC" w:rsidRPr="00B17EAC" w14:paraId="3B6A5938" w14:textId="77777777" w:rsidTr="005062B1">
                <w:trPr>
                  <w:trHeight w:val="285"/>
                </w:trPr>
                <w:tc>
                  <w:tcPr>
                    <w:tcW w:w="5279" w:type="dxa"/>
                    <w:gridSpan w:val="5"/>
                    <w:noWrap/>
                    <w:vAlign w:val="center"/>
                  </w:tcPr>
                  <w:p w14:paraId="619E37A5" w14:textId="77777777" w:rsidR="00B17EAC" w:rsidRPr="00B17EAC" w:rsidRDefault="00B17EAC" w:rsidP="00B17EAC">
                    <w:pPr>
                      <w:widowControl w:val="0"/>
                      <w:jc w:val="center"/>
                      <w:rPr>
                        <w:rFonts w:cs="Times New Roman"/>
                        <w:kern w:val="2"/>
                        <w:szCs w:val="21"/>
                      </w:rPr>
                    </w:pPr>
                    <w:r w:rsidRPr="00B17EAC">
                      <w:rPr>
                        <w:rFonts w:cs="Times New Roman" w:hint="eastAsia"/>
                        <w:kern w:val="2"/>
                        <w:szCs w:val="21"/>
                      </w:rPr>
                      <w:t>合计</w:t>
                    </w:r>
                  </w:p>
                </w:tc>
                <w:tc>
                  <w:tcPr>
                    <w:tcW w:w="1809" w:type="dxa"/>
                    <w:vAlign w:val="center"/>
                  </w:tcPr>
                  <w:p w14:paraId="0DC98DE2" w14:textId="77777777" w:rsidR="00B17EAC" w:rsidRPr="00B17EAC" w:rsidRDefault="00B17EAC" w:rsidP="00B17EAC">
                    <w:pPr>
                      <w:widowControl w:val="0"/>
                      <w:jc w:val="center"/>
                      <w:rPr>
                        <w:rFonts w:cs="Times New Roman"/>
                        <w:kern w:val="2"/>
                        <w:szCs w:val="21"/>
                      </w:rPr>
                    </w:pPr>
                    <w:bookmarkStart w:id="44" w:name="_Hlk79411098"/>
                    <w:r w:rsidRPr="00B17EAC">
                      <w:rPr>
                        <w:rFonts w:cs="Times New Roman" w:hint="eastAsia"/>
                        <w:kern w:val="2"/>
                        <w:szCs w:val="21"/>
                      </w:rPr>
                      <w:t>23.1</w:t>
                    </w:r>
                    <w:bookmarkEnd w:id="44"/>
                  </w:p>
                </w:tc>
                <w:tc>
                  <w:tcPr>
                    <w:tcW w:w="1276" w:type="dxa"/>
                    <w:vMerge/>
                    <w:noWrap/>
                    <w:vAlign w:val="center"/>
                  </w:tcPr>
                  <w:p w14:paraId="0854E1E2" w14:textId="77777777" w:rsidR="00B17EAC" w:rsidRPr="00B17EAC" w:rsidRDefault="00B17EAC" w:rsidP="00B17EAC">
                    <w:pPr>
                      <w:widowControl w:val="0"/>
                      <w:jc w:val="center"/>
                      <w:rPr>
                        <w:rFonts w:cs="Times New Roman"/>
                        <w:kern w:val="2"/>
                        <w:szCs w:val="21"/>
                      </w:rPr>
                    </w:pPr>
                  </w:p>
                </w:tc>
              </w:tr>
            </w:tbl>
            <w:p w14:paraId="79ED8312" w14:textId="77777777" w:rsidR="00B17EAC" w:rsidRPr="00B17EAC" w:rsidRDefault="00B17EAC" w:rsidP="00B17EAC">
              <w:pPr>
                <w:widowControl w:val="0"/>
                <w:jc w:val="both"/>
                <w:rPr>
                  <w:rFonts w:cs="Times New Roman"/>
                  <w:kern w:val="2"/>
                  <w:szCs w:val="21"/>
                </w:rPr>
              </w:pPr>
            </w:p>
            <w:p w14:paraId="27CA3F8E" w14:textId="77777777" w:rsidR="00B17EAC" w:rsidRPr="00B17EAC" w:rsidRDefault="00B17EAC" w:rsidP="00B17EAC">
              <w:pPr>
                <w:widowControl w:val="0"/>
                <w:ind w:firstLineChars="200" w:firstLine="420"/>
                <w:jc w:val="both"/>
                <w:rPr>
                  <w:rFonts w:cs="Times New Roman"/>
                  <w:kern w:val="2"/>
                  <w:szCs w:val="21"/>
                </w:rPr>
              </w:pPr>
              <w:r w:rsidRPr="00B17EAC">
                <w:rPr>
                  <w:rFonts w:cs="Times New Roman" w:hint="eastAsia"/>
                  <w:kern w:val="2"/>
                  <w:szCs w:val="21"/>
                </w:rPr>
                <w:t>4、一般工业固体废物排放控制</w:t>
              </w:r>
            </w:p>
            <w:p w14:paraId="14F4E15D" w14:textId="77777777" w:rsidR="00B17EAC" w:rsidRPr="00B17EAC" w:rsidRDefault="00B17EAC" w:rsidP="00B17EAC">
              <w:pPr>
                <w:widowControl w:val="0"/>
                <w:jc w:val="both"/>
                <w:rPr>
                  <w:rFonts w:cs="Times New Roman"/>
                  <w:kern w:val="2"/>
                  <w:szCs w:val="21"/>
                </w:rPr>
              </w:pPr>
              <w:r w:rsidRPr="00B17EAC">
                <w:rPr>
                  <w:rFonts w:cs="Times New Roman" w:hint="eastAsia"/>
                  <w:kern w:val="2"/>
                  <w:szCs w:val="21"/>
                </w:rPr>
                <w:t xml:space="preserve">    </w:t>
              </w:r>
              <w:bookmarkStart w:id="45" w:name="_Hlk79411252"/>
              <w:r w:rsidRPr="00B17EAC">
                <w:rPr>
                  <w:rFonts w:cs="Times New Roman" w:hint="eastAsia"/>
                  <w:kern w:val="2"/>
                  <w:szCs w:val="21"/>
                </w:rPr>
                <w:t>生产过程中产生的管头、铁屑等一般工业固体废物，由天津清江强贸易有限公司收购。</w:t>
              </w:r>
              <w:bookmarkEnd w:id="45"/>
            </w:p>
            <w:p w14:paraId="0412EAA1" w14:textId="631689B9" w:rsidR="00B17EAC" w:rsidRPr="00B17EAC" w:rsidRDefault="00B17EAC" w:rsidP="00B17EAC">
              <w:pPr>
                <w:widowControl w:val="0"/>
                <w:ind w:firstLineChars="50" w:firstLine="105"/>
                <w:jc w:val="both"/>
                <w:rPr>
                  <w:rFonts w:cs="Times New Roman"/>
                  <w:kern w:val="2"/>
                  <w:szCs w:val="21"/>
                </w:rPr>
              </w:pPr>
              <w:r w:rsidRPr="00B17EAC">
                <w:rPr>
                  <w:rFonts w:cs="Times New Roman" w:hint="eastAsia"/>
                  <w:kern w:val="2"/>
                  <w:szCs w:val="21"/>
                </w:rPr>
                <w:t xml:space="preserve">          </w:t>
              </w:r>
            </w:p>
            <w:p w14:paraId="64BFDAD5" w14:textId="6350F988" w:rsidR="00B17EAC" w:rsidRPr="00B17EAC" w:rsidRDefault="00B17EAC" w:rsidP="00B17EAC">
              <w:pPr>
                <w:widowControl w:val="0"/>
                <w:jc w:val="both"/>
                <w:rPr>
                  <w:rFonts w:cs="Times New Roman"/>
                  <w:kern w:val="2"/>
                  <w:szCs w:val="21"/>
                </w:rPr>
              </w:pPr>
              <w:r w:rsidRPr="00B17EAC">
                <w:rPr>
                  <w:rFonts w:cs="Times New Roman" w:hint="eastAsia"/>
                  <w:kern w:val="2"/>
                  <w:szCs w:val="21"/>
                </w:rPr>
                <w:t xml:space="preserve">表4   </w:t>
              </w:r>
              <w:r>
                <w:rPr>
                  <w:rFonts w:cs="Times New Roman"/>
                  <w:kern w:val="2"/>
                  <w:szCs w:val="21"/>
                </w:rPr>
                <w:t xml:space="preserve">            </w:t>
              </w:r>
              <w:r w:rsidRPr="00B17EAC">
                <w:rPr>
                  <w:rFonts w:cs="Times New Roman" w:hint="eastAsia"/>
                  <w:kern w:val="2"/>
                  <w:szCs w:val="21"/>
                </w:rPr>
                <w:t>一般工业固体废物排放及处置情况</w:t>
              </w:r>
            </w:p>
            <w:p w14:paraId="2F3B0DFF" w14:textId="4133D7F9" w:rsidR="00B17EAC" w:rsidRPr="00B17EAC" w:rsidRDefault="00B17EAC" w:rsidP="00B17EAC">
              <w:pPr>
                <w:widowControl w:val="0"/>
                <w:ind w:firstLineChars="200" w:firstLine="420"/>
                <w:jc w:val="both"/>
                <w:rPr>
                  <w:rFonts w:cs="Times New Roman"/>
                  <w:kern w:val="2"/>
                  <w:szCs w:val="21"/>
                </w:rPr>
              </w:pPr>
              <w:r w:rsidRPr="00B17EAC">
                <w:rPr>
                  <w:rFonts w:cs="Times New Roman" w:hint="eastAsia"/>
                  <w:kern w:val="2"/>
                  <w:szCs w:val="21"/>
                </w:rPr>
                <w:t xml:space="preserve">                                  </w:t>
              </w:r>
              <w:r>
                <w:rPr>
                  <w:rFonts w:cs="Times New Roman"/>
                  <w:kern w:val="2"/>
                  <w:szCs w:val="21"/>
                </w:rPr>
                <w:t xml:space="preserve">            </w:t>
              </w:r>
              <w:r w:rsidRPr="00B17EAC">
                <w:rPr>
                  <w:rFonts w:cs="Times New Roman" w:hint="eastAsia"/>
                  <w:kern w:val="2"/>
                  <w:szCs w:val="21"/>
                </w:rPr>
                <w:t xml:space="preserve">  </w:t>
              </w:r>
              <w:r w:rsidRPr="00B17EAC">
                <w:rPr>
                  <w:rFonts w:cs="SimSun-Identity-H" w:hint="eastAsia"/>
                  <w:szCs w:val="21"/>
                </w:rPr>
                <w:t>单位：吨</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76"/>
                <w:gridCol w:w="892"/>
                <w:gridCol w:w="1134"/>
                <w:gridCol w:w="1134"/>
                <w:gridCol w:w="1134"/>
                <w:gridCol w:w="1134"/>
                <w:gridCol w:w="1275"/>
                <w:gridCol w:w="1269"/>
              </w:tblGrid>
              <w:tr w:rsidR="00B17EAC" w:rsidRPr="00B17EAC" w14:paraId="571D1B8B" w14:textId="77777777" w:rsidTr="005062B1">
                <w:trPr>
                  <w:trHeight w:val="285"/>
                </w:trPr>
                <w:tc>
                  <w:tcPr>
                    <w:tcW w:w="776" w:type="dxa"/>
                    <w:noWrap/>
                    <w:vAlign w:val="center"/>
                  </w:tcPr>
                  <w:p w14:paraId="0794C9B4" w14:textId="77777777" w:rsidR="00B17EAC" w:rsidRPr="00B17EAC" w:rsidRDefault="00B17EAC" w:rsidP="00B17EAC">
                    <w:pPr>
                      <w:widowControl w:val="0"/>
                      <w:jc w:val="center"/>
                      <w:rPr>
                        <w:rFonts w:cs="Times New Roman"/>
                        <w:iCs/>
                        <w:kern w:val="2"/>
                        <w:szCs w:val="21"/>
                      </w:rPr>
                    </w:pPr>
                    <w:r w:rsidRPr="00B17EAC">
                      <w:rPr>
                        <w:rFonts w:cs="Times New Roman" w:hint="eastAsia"/>
                        <w:iCs/>
                        <w:kern w:val="2"/>
                        <w:szCs w:val="21"/>
                      </w:rPr>
                      <w:t>年份</w:t>
                    </w:r>
                  </w:p>
                </w:tc>
                <w:tc>
                  <w:tcPr>
                    <w:tcW w:w="892" w:type="dxa"/>
                    <w:noWrap/>
                    <w:vAlign w:val="center"/>
                  </w:tcPr>
                  <w:p w14:paraId="720ABE9A" w14:textId="77777777" w:rsidR="00B17EAC" w:rsidRPr="00B17EAC" w:rsidRDefault="00B17EAC" w:rsidP="00B17EAC">
                    <w:pPr>
                      <w:widowControl w:val="0"/>
                      <w:jc w:val="center"/>
                      <w:rPr>
                        <w:rFonts w:cs="Times New Roman"/>
                        <w:iCs/>
                        <w:kern w:val="2"/>
                        <w:szCs w:val="21"/>
                      </w:rPr>
                    </w:pPr>
                    <w:r w:rsidRPr="00B17EAC">
                      <w:rPr>
                        <w:rFonts w:cs="Times New Roman" w:hint="eastAsia"/>
                        <w:iCs/>
                        <w:kern w:val="2"/>
                        <w:szCs w:val="21"/>
                      </w:rPr>
                      <w:t>固废名称</w:t>
                    </w:r>
                  </w:p>
                </w:tc>
                <w:tc>
                  <w:tcPr>
                    <w:tcW w:w="1134" w:type="dxa"/>
                    <w:noWrap/>
                    <w:vAlign w:val="center"/>
                  </w:tcPr>
                  <w:p w14:paraId="213F0D56" w14:textId="77777777" w:rsidR="00B17EAC" w:rsidRPr="00B17EAC" w:rsidRDefault="00B17EAC" w:rsidP="00B17EAC">
                    <w:pPr>
                      <w:widowControl w:val="0"/>
                      <w:jc w:val="center"/>
                      <w:rPr>
                        <w:rFonts w:cs="Times New Roman"/>
                        <w:iCs/>
                        <w:kern w:val="2"/>
                        <w:szCs w:val="21"/>
                      </w:rPr>
                    </w:pPr>
                    <w:r w:rsidRPr="00B17EAC">
                      <w:rPr>
                        <w:rFonts w:cs="Times New Roman" w:hint="eastAsia"/>
                        <w:iCs/>
                        <w:kern w:val="2"/>
                        <w:szCs w:val="21"/>
                      </w:rPr>
                      <w:t>产生量</w:t>
                    </w:r>
                  </w:p>
                </w:tc>
                <w:tc>
                  <w:tcPr>
                    <w:tcW w:w="1134" w:type="dxa"/>
                    <w:noWrap/>
                    <w:vAlign w:val="center"/>
                  </w:tcPr>
                  <w:p w14:paraId="0AEF6B98" w14:textId="77777777" w:rsidR="00B17EAC" w:rsidRPr="00B17EAC" w:rsidRDefault="00B17EAC" w:rsidP="00B17EAC">
                    <w:pPr>
                      <w:widowControl w:val="0"/>
                      <w:jc w:val="center"/>
                      <w:rPr>
                        <w:rFonts w:cs="Times New Roman"/>
                        <w:iCs/>
                        <w:kern w:val="2"/>
                        <w:szCs w:val="21"/>
                      </w:rPr>
                    </w:pPr>
                    <w:r w:rsidRPr="00B17EAC">
                      <w:rPr>
                        <w:rFonts w:cs="Times New Roman" w:hint="eastAsia"/>
                        <w:iCs/>
                        <w:kern w:val="2"/>
                        <w:szCs w:val="21"/>
                      </w:rPr>
                      <w:t>综合利用量</w:t>
                    </w:r>
                  </w:p>
                </w:tc>
                <w:tc>
                  <w:tcPr>
                    <w:tcW w:w="1134" w:type="dxa"/>
                    <w:noWrap/>
                    <w:vAlign w:val="center"/>
                  </w:tcPr>
                  <w:p w14:paraId="1DFF6769" w14:textId="77777777" w:rsidR="00B17EAC" w:rsidRPr="00B17EAC" w:rsidRDefault="00B17EAC" w:rsidP="00B17EAC">
                    <w:pPr>
                      <w:widowControl w:val="0"/>
                      <w:jc w:val="center"/>
                      <w:rPr>
                        <w:rFonts w:cs="Times New Roman"/>
                        <w:iCs/>
                        <w:kern w:val="2"/>
                        <w:szCs w:val="21"/>
                      </w:rPr>
                    </w:pPr>
                    <w:r w:rsidRPr="00B17EAC">
                      <w:rPr>
                        <w:rFonts w:cs="Times New Roman" w:hint="eastAsia"/>
                        <w:iCs/>
                        <w:kern w:val="2"/>
                        <w:szCs w:val="21"/>
                      </w:rPr>
                      <w:t>处置量</w:t>
                    </w:r>
                  </w:p>
                </w:tc>
                <w:tc>
                  <w:tcPr>
                    <w:tcW w:w="1134" w:type="dxa"/>
                    <w:noWrap/>
                    <w:vAlign w:val="center"/>
                  </w:tcPr>
                  <w:p w14:paraId="6A2EDBAB" w14:textId="77777777" w:rsidR="00B17EAC" w:rsidRPr="00B17EAC" w:rsidRDefault="00B17EAC" w:rsidP="00B17EAC">
                    <w:pPr>
                      <w:widowControl w:val="0"/>
                      <w:jc w:val="center"/>
                      <w:rPr>
                        <w:rFonts w:cs="Times New Roman"/>
                        <w:iCs/>
                        <w:kern w:val="2"/>
                        <w:szCs w:val="21"/>
                      </w:rPr>
                    </w:pPr>
                    <w:r w:rsidRPr="00B17EAC">
                      <w:rPr>
                        <w:rFonts w:cs="Times New Roman" w:hint="eastAsia"/>
                        <w:iCs/>
                        <w:kern w:val="2"/>
                        <w:szCs w:val="21"/>
                      </w:rPr>
                      <w:t>贮存量</w:t>
                    </w:r>
                  </w:p>
                </w:tc>
                <w:tc>
                  <w:tcPr>
                    <w:tcW w:w="1275" w:type="dxa"/>
                    <w:noWrap/>
                    <w:vAlign w:val="center"/>
                  </w:tcPr>
                  <w:p w14:paraId="22AE15A0" w14:textId="77777777" w:rsidR="00B17EAC" w:rsidRPr="00B17EAC" w:rsidRDefault="00B17EAC" w:rsidP="00B17EAC">
                    <w:pPr>
                      <w:widowControl w:val="0"/>
                      <w:jc w:val="center"/>
                      <w:rPr>
                        <w:rFonts w:cs="Times New Roman"/>
                        <w:iCs/>
                        <w:kern w:val="2"/>
                        <w:szCs w:val="21"/>
                      </w:rPr>
                    </w:pPr>
                    <w:r w:rsidRPr="00B17EAC">
                      <w:rPr>
                        <w:rFonts w:cs="Times New Roman" w:hint="eastAsia"/>
                        <w:iCs/>
                        <w:kern w:val="2"/>
                        <w:szCs w:val="21"/>
                      </w:rPr>
                      <w:t>排放量</w:t>
                    </w:r>
                  </w:p>
                </w:tc>
                <w:tc>
                  <w:tcPr>
                    <w:tcW w:w="1269" w:type="dxa"/>
                    <w:noWrap/>
                    <w:vAlign w:val="center"/>
                  </w:tcPr>
                  <w:p w14:paraId="0B806130" w14:textId="77777777" w:rsidR="00B17EAC" w:rsidRPr="00B17EAC" w:rsidRDefault="00B17EAC" w:rsidP="00B17EAC">
                    <w:pPr>
                      <w:widowControl w:val="0"/>
                      <w:jc w:val="center"/>
                      <w:rPr>
                        <w:rFonts w:cs="Times New Roman"/>
                        <w:iCs/>
                        <w:kern w:val="2"/>
                        <w:szCs w:val="21"/>
                      </w:rPr>
                    </w:pPr>
                    <w:r w:rsidRPr="00B17EAC">
                      <w:rPr>
                        <w:rFonts w:cs="Times New Roman" w:hint="eastAsia"/>
                        <w:iCs/>
                        <w:kern w:val="2"/>
                        <w:szCs w:val="21"/>
                      </w:rPr>
                      <w:t>排放去向</w:t>
                    </w:r>
                  </w:p>
                </w:tc>
              </w:tr>
              <w:tr w:rsidR="00B17EAC" w:rsidRPr="00B17EAC" w14:paraId="627440CE" w14:textId="77777777" w:rsidTr="005062B1">
                <w:trPr>
                  <w:trHeight w:val="285"/>
                </w:trPr>
                <w:tc>
                  <w:tcPr>
                    <w:tcW w:w="776" w:type="dxa"/>
                    <w:noWrap/>
                    <w:vAlign w:val="center"/>
                  </w:tcPr>
                  <w:p w14:paraId="12B68AAD" w14:textId="77777777" w:rsidR="00B17EAC" w:rsidRPr="00B17EAC" w:rsidRDefault="00B17EAC" w:rsidP="00B17EAC">
                    <w:pPr>
                      <w:widowControl w:val="0"/>
                      <w:jc w:val="center"/>
                      <w:rPr>
                        <w:rFonts w:cs="Times New Roman"/>
                        <w:kern w:val="2"/>
                        <w:szCs w:val="21"/>
                      </w:rPr>
                    </w:pPr>
                    <w:bookmarkStart w:id="46" w:name="_Hlk79411075"/>
                    <w:r w:rsidRPr="00B17EAC">
                      <w:rPr>
                        <w:rFonts w:cs="Times New Roman" w:hint="eastAsia"/>
                        <w:kern w:val="2"/>
                        <w:szCs w:val="21"/>
                      </w:rPr>
                      <w:t>2021</w:t>
                    </w:r>
                  </w:p>
                </w:tc>
                <w:tc>
                  <w:tcPr>
                    <w:tcW w:w="892" w:type="dxa"/>
                    <w:noWrap/>
                    <w:vAlign w:val="center"/>
                  </w:tcPr>
                  <w:p w14:paraId="7FF2C6E4" w14:textId="77777777" w:rsidR="00B17EAC" w:rsidRPr="00B17EAC" w:rsidRDefault="00B17EAC" w:rsidP="00B17EAC">
                    <w:pPr>
                      <w:widowControl w:val="0"/>
                      <w:jc w:val="center"/>
                      <w:rPr>
                        <w:rFonts w:cs="Times New Roman"/>
                        <w:kern w:val="2"/>
                        <w:szCs w:val="21"/>
                      </w:rPr>
                    </w:pPr>
                    <w:r w:rsidRPr="00B17EAC">
                      <w:rPr>
                        <w:rFonts w:cs="Times New Roman" w:hint="eastAsia"/>
                        <w:kern w:val="2"/>
                        <w:szCs w:val="21"/>
                      </w:rPr>
                      <w:t>管头、切屑</w:t>
                    </w:r>
                  </w:p>
                </w:tc>
                <w:tc>
                  <w:tcPr>
                    <w:tcW w:w="1134" w:type="dxa"/>
                    <w:noWrap/>
                    <w:vAlign w:val="center"/>
                  </w:tcPr>
                  <w:p w14:paraId="1FC513F0" w14:textId="77777777" w:rsidR="00B17EAC" w:rsidRPr="00B17EAC" w:rsidRDefault="00B17EAC" w:rsidP="00B17EAC">
                    <w:pPr>
                      <w:widowControl w:val="0"/>
                      <w:jc w:val="center"/>
                      <w:rPr>
                        <w:rFonts w:cs="Times New Roman"/>
                        <w:kern w:val="2"/>
                        <w:szCs w:val="21"/>
                      </w:rPr>
                    </w:pPr>
                    <w:r w:rsidRPr="00B17EAC">
                      <w:rPr>
                        <w:rFonts w:cs="Times New Roman" w:hint="eastAsia"/>
                        <w:kern w:val="2"/>
                        <w:szCs w:val="21"/>
                      </w:rPr>
                      <w:t>1212.33</w:t>
                    </w:r>
                  </w:p>
                </w:tc>
                <w:tc>
                  <w:tcPr>
                    <w:tcW w:w="1134" w:type="dxa"/>
                    <w:noWrap/>
                    <w:vAlign w:val="center"/>
                  </w:tcPr>
                  <w:p w14:paraId="669AA272" w14:textId="77777777" w:rsidR="00B17EAC" w:rsidRPr="00B17EAC" w:rsidRDefault="00B17EAC" w:rsidP="00B17EAC">
                    <w:pPr>
                      <w:widowControl w:val="0"/>
                      <w:jc w:val="center"/>
                      <w:rPr>
                        <w:rFonts w:cs="Times New Roman"/>
                        <w:kern w:val="2"/>
                        <w:szCs w:val="21"/>
                      </w:rPr>
                    </w:pPr>
                    <w:r w:rsidRPr="00B17EAC">
                      <w:rPr>
                        <w:rFonts w:cs="Times New Roman" w:hint="eastAsia"/>
                        <w:kern w:val="2"/>
                        <w:szCs w:val="21"/>
                      </w:rPr>
                      <w:t>1212.33</w:t>
                    </w:r>
                  </w:p>
                </w:tc>
                <w:tc>
                  <w:tcPr>
                    <w:tcW w:w="1134" w:type="dxa"/>
                    <w:noWrap/>
                    <w:vAlign w:val="center"/>
                  </w:tcPr>
                  <w:p w14:paraId="5556DB76" w14:textId="77777777" w:rsidR="00B17EAC" w:rsidRPr="00B17EAC" w:rsidRDefault="00B17EAC" w:rsidP="00B17EAC">
                    <w:pPr>
                      <w:widowControl w:val="0"/>
                      <w:jc w:val="center"/>
                      <w:rPr>
                        <w:rFonts w:cs="Times New Roman"/>
                        <w:kern w:val="2"/>
                        <w:szCs w:val="21"/>
                      </w:rPr>
                    </w:pPr>
                    <w:r w:rsidRPr="00B17EAC">
                      <w:rPr>
                        <w:rFonts w:cs="Times New Roman" w:hint="eastAsia"/>
                        <w:kern w:val="2"/>
                        <w:szCs w:val="21"/>
                      </w:rPr>
                      <w:t>0</w:t>
                    </w:r>
                  </w:p>
                </w:tc>
                <w:tc>
                  <w:tcPr>
                    <w:tcW w:w="1134" w:type="dxa"/>
                    <w:noWrap/>
                    <w:vAlign w:val="center"/>
                  </w:tcPr>
                  <w:p w14:paraId="002E14DD" w14:textId="77777777" w:rsidR="00B17EAC" w:rsidRPr="00B17EAC" w:rsidRDefault="00B17EAC" w:rsidP="00B17EAC">
                    <w:pPr>
                      <w:widowControl w:val="0"/>
                      <w:jc w:val="center"/>
                      <w:rPr>
                        <w:rFonts w:cs="Times New Roman"/>
                        <w:kern w:val="2"/>
                        <w:szCs w:val="21"/>
                      </w:rPr>
                    </w:pPr>
                    <w:r w:rsidRPr="00B17EAC">
                      <w:rPr>
                        <w:rFonts w:cs="Times New Roman" w:hint="eastAsia"/>
                        <w:kern w:val="2"/>
                        <w:szCs w:val="21"/>
                      </w:rPr>
                      <w:t>0</w:t>
                    </w:r>
                  </w:p>
                </w:tc>
                <w:tc>
                  <w:tcPr>
                    <w:tcW w:w="1275" w:type="dxa"/>
                    <w:noWrap/>
                    <w:vAlign w:val="center"/>
                  </w:tcPr>
                  <w:p w14:paraId="02E31158" w14:textId="77777777" w:rsidR="00B17EAC" w:rsidRPr="00B17EAC" w:rsidRDefault="00B17EAC" w:rsidP="00B17EAC">
                    <w:pPr>
                      <w:widowControl w:val="0"/>
                      <w:jc w:val="center"/>
                      <w:rPr>
                        <w:rFonts w:cs="Times New Roman"/>
                        <w:kern w:val="2"/>
                        <w:szCs w:val="21"/>
                      </w:rPr>
                    </w:pPr>
                    <w:r w:rsidRPr="00B17EAC">
                      <w:rPr>
                        <w:rFonts w:cs="Times New Roman" w:hint="eastAsia"/>
                        <w:kern w:val="2"/>
                        <w:szCs w:val="21"/>
                      </w:rPr>
                      <w:t>0</w:t>
                    </w:r>
                  </w:p>
                </w:tc>
                <w:tc>
                  <w:tcPr>
                    <w:tcW w:w="1269" w:type="dxa"/>
                    <w:noWrap/>
                    <w:vAlign w:val="center"/>
                  </w:tcPr>
                  <w:p w14:paraId="5C1D1324" w14:textId="77777777" w:rsidR="00B17EAC" w:rsidRPr="00B17EAC" w:rsidRDefault="00B17EAC" w:rsidP="00B17EAC">
                    <w:pPr>
                      <w:widowControl w:val="0"/>
                      <w:jc w:val="center"/>
                      <w:rPr>
                        <w:rFonts w:cs="Times New Roman"/>
                        <w:kern w:val="2"/>
                        <w:szCs w:val="21"/>
                      </w:rPr>
                    </w:pPr>
                    <w:r w:rsidRPr="00B17EAC">
                      <w:rPr>
                        <w:rFonts w:cs="Times New Roman" w:hint="eastAsia"/>
                        <w:kern w:val="2"/>
                        <w:szCs w:val="21"/>
                      </w:rPr>
                      <w:t>回收利用</w:t>
                    </w:r>
                  </w:p>
                </w:tc>
              </w:tr>
              <w:bookmarkEnd w:id="46"/>
            </w:tbl>
            <w:p w14:paraId="20E6F89A" w14:textId="77777777" w:rsidR="00B17EAC" w:rsidRPr="00B17EAC" w:rsidRDefault="00B17EAC" w:rsidP="00B17EAC">
              <w:pPr>
                <w:widowControl w:val="0"/>
                <w:jc w:val="both"/>
                <w:rPr>
                  <w:rFonts w:cs="Times New Roman"/>
                  <w:kern w:val="2"/>
                  <w:szCs w:val="21"/>
                </w:rPr>
              </w:pPr>
            </w:p>
            <w:p w14:paraId="57DBF6A6" w14:textId="77777777" w:rsidR="00B17EAC" w:rsidRPr="00B17EAC" w:rsidRDefault="00B17EAC" w:rsidP="00B17EAC">
              <w:pPr>
                <w:widowControl w:val="0"/>
                <w:jc w:val="both"/>
                <w:rPr>
                  <w:rFonts w:cs="Times New Roman"/>
                  <w:kern w:val="2"/>
                  <w:szCs w:val="21"/>
                </w:rPr>
              </w:pPr>
              <w:r w:rsidRPr="00B17EAC">
                <w:rPr>
                  <w:rFonts w:cs="Times New Roman" w:hint="eastAsia"/>
                  <w:kern w:val="2"/>
                  <w:szCs w:val="21"/>
                </w:rPr>
                <w:t>5、噪声污染排放控制情况</w:t>
              </w:r>
            </w:p>
            <w:p w14:paraId="14FED77C" w14:textId="77777777" w:rsidR="00B17EAC" w:rsidRDefault="00B17EAC" w:rsidP="00B17EAC">
              <w:pPr>
                <w:widowControl w:val="0"/>
                <w:jc w:val="both"/>
                <w:rPr>
                  <w:rFonts w:cs="Times New Roman"/>
                  <w:kern w:val="2"/>
                  <w:szCs w:val="21"/>
                </w:rPr>
              </w:pPr>
              <w:r w:rsidRPr="00B17EAC">
                <w:rPr>
                  <w:rFonts w:cs="Times New Roman" w:hint="eastAsia"/>
                  <w:kern w:val="2"/>
                  <w:szCs w:val="21"/>
                </w:rPr>
                <w:t>表5               噪声污染排放及处置情况</w:t>
              </w:r>
              <w:bookmarkEnd w:id="43"/>
            </w:p>
            <w:p w14:paraId="23E8DE63" w14:textId="77777777" w:rsidR="00B17EAC" w:rsidRDefault="00B17EAC" w:rsidP="00B17EAC">
              <w:pPr>
                <w:widowControl w:val="0"/>
                <w:jc w:val="both"/>
                <w:rPr>
                  <w:rFonts w:cs="Times New Roman"/>
                  <w:kern w:val="2"/>
                  <w:szCs w:val="21"/>
                </w:rPr>
              </w:pPr>
            </w:p>
            <w:tbl>
              <w:tblPr>
                <w:tblpPr w:leftFromText="180" w:rightFromText="180" w:vertAnchor="text" w:horzAnchor="margin" w:tblpY="-19"/>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813"/>
                <w:gridCol w:w="852"/>
                <w:gridCol w:w="1133"/>
                <w:gridCol w:w="1133"/>
                <w:gridCol w:w="1280"/>
                <w:gridCol w:w="988"/>
                <w:gridCol w:w="1355"/>
                <w:gridCol w:w="1059"/>
              </w:tblGrid>
              <w:tr w:rsidR="00B17EAC" w:rsidRPr="00B17EAC" w14:paraId="5FB46A0F" w14:textId="77777777" w:rsidTr="00B17EAC">
                <w:trPr>
                  <w:trHeight w:val="285"/>
                </w:trPr>
                <w:tc>
                  <w:tcPr>
                    <w:tcW w:w="813" w:type="dxa"/>
                    <w:vMerge w:val="restart"/>
                    <w:noWrap/>
                    <w:vAlign w:val="center"/>
                  </w:tcPr>
                  <w:p w14:paraId="7E0B6C7D" w14:textId="77777777" w:rsidR="00B17EAC" w:rsidRPr="00B17EAC" w:rsidRDefault="00B17EAC" w:rsidP="00B17EAC">
                    <w:pPr>
                      <w:widowControl w:val="0"/>
                      <w:jc w:val="center"/>
                      <w:rPr>
                        <w:rFonts w:cs="Times New Roman"/>
                        <w:iCs/>
                        <w:kern w:val="2"/>
                        <w:szCs w:val="21"/>
                      </w:rPr>
                    </w:pPr>
                    <w:r w:rsidRPr="00B17EAC">
                      <w:rPr>
                        <w:rFonts w:cs="Times New Roman" w:hint="eastAsia"/>
                        <w:iCs/>
                        <w:kern w:val="2"/>
                        <w:szCs w:val="21"/>
                      </w:rPr>
                      <w:lastRenderedPageBreak/>
                      <w:t>年份</w:t>
                    </w:r>
                  </w:p>
                </w:tc>
                <w:tc>
                  <w:tcPr>
                    <w:tcW w:w="852" w:type="dxa"/>
                    <w:vMerge w:val="restart"/>
                    <w:noWrap/>
                    <w:vAlign w:val="center"/>
                  </w:tcPr>
                  <w:p w14:paraId="174DFF8F" w14:textId="77777777" w:rsidR="00B17EAC" w:rsidRPr="00B17EAC" w:rsidRDefault="00B17EAC" w:rsidP="00B17EAC">
                    <w:pPr>
                      <w:widowControl w:val="0"/>
                      <w:jc w:val="center"/>
                      <w:rPr>
                        <w:rFonts w:cs="Times New Roman"/>
                        <w:iCs/>
                        <w:kern w:val="2"/>
                        <w:szCs w:val="21"/>
                      </w:rPr>
                    </w:pPr>
                    <w:r w:rsidRPr="00B17EAC">
                      <w:rPr>
                        <w:rFonts w:cs="Times New Roman" w:hint="eastAsia"/>
                        <w:iCs/>
                        <w:kern w:val="2"/>
                        <w:szCs w:val="21"/>
                      </w:rPr>
                      <w:t>测点位置</w:t>
                    </w:r>
                  </w:p>
                </w:tc>
                <w:tc>
                  <w:tcPr>
                    <w:tcW w:w="1133" w:type="dxa"/>
                    <w:vMerge w:val="restart"/>
                    <w:noWrap/>
                    <w:vAlign w:val="center"/>
                  </w:tcPr>
                  <w:p w14:paraId="2651C613" w14:textId="77777777" w:rsidR="00B17EAC" w:rsidRPr="00B17EAC" w:rsidRDefault="00B17EAC" w:rsidP="00B17EAC">
                    <w:pPr>
                      <w:widowControl w:val="0"/>
                      <w:jc w:val="center"/>
                      <w:rPr>
                        <w:rFonts w:cs="Times New Roman"/>
                        <w:iCs/>
                        <w:kern w:val="2"/>
                        <w:szCs w:val="21"/>
                      </w:rPr>
                    </w:pPr>
                    <w:r w:rsidRPr="00B17EAC">
                      <w:rPr>
                        <w:rFonts w:cs="Times New Roman" w:hint="eastAsia"/>
                        <w:iCs/>
                        <w:kern w:val="2"/>
                        <w:szCs w:val="21"/>
                      </w:rPr>
                      <w:t>对应噪声源</w:t>
                    </w:r>
                  </w:p>
                </w:tc>
                <w:tc>
                  <w:tcPr>
                    <w:tcW w:w="1133" w:type="dxa"/>
                    <w:vMerge w:val="restart"/>
                    <w:noWrap/>
                    <w:vAlign w:val="center"/>
                  </w:tcPr>
                  <w:p w14:paraId="2A28986D" w14:textId="77777777" w:rsidR="00B17EAC" w:rsidRPr="00B17EAC" w:rsidRDefault="00B17EAC" w:rsidP="00B17EAC">
                    <w:pPr>
                      <w:widowControl w:val="0"/>
                      <w:jc w:val="center"/>
                      <w:rPr>
                        <w:rFonts w:cs="Times New Roman"/>
                        <w:iCs/>
                        <w:kern w:val="2"/>
                        <w:szCs w:val="21"/>
                      </w:rPr>
                    </w:pPr>
                    <w:r w:rsidRPr="00B17EAC">
                      <w:rPr>
                        <w:rFonts w:cs="Times New Roman" w:hint="eastAsia"/>
                        <w:iCs/>
                        <w:kern w:val="2"/>
                        <w:szCs w:val="21"/>
                      </w:rPr>
                      <w:t>噪声源</w:t>
                    </w:r>
                  </w:p>
                  <w:p w14:paraId="726C590C" w14:textId="77777777" w:rsidR="00B17EAC" w:rsidRPr="00B17EAC" w:rsidRDefault="00B17EAC" w:rsidP="00B17EAC">
                    <w:pPr>
                      <w:widowControl w:val="0"/>
                      <w:jc w:val="center"/>
                      <w:rPr>
                        <w:rFonts w:cs="Times New Roman"/>
                        <w:iCs/>
                        <w:kern w:val="2"/>
                        <w:szCs w:val="21"/>
                      </w:rPr>
                    </w:pPr>
                    <w:r w:rsidRPr="00B17EAC">
                      <w:rPr>
                        <w:rFonts w:cs="Times New Roman" w:hint="eastAsia"/>
                        <w:iCs/>
                        <w:kern w:val="2"/>
                        <w:szCs w:val="21"/>
                      </w:rPr>
                      <w:t>性质</w:t>
                    </w:r>
                  </w:p>
                </w:tc>
                <w:tc>
                  <w:tcPr>
                    <w:tcW w:w="2268" w:type="dxa"/>
                    <w:gridSpan w:val="2"/>
                    <w:noWrap/>
                  </w:tcPr>
                  <w:p w14:paraId="41A11E31" w14:textId="77777777" w:rsidR="00B17EAC" w:rsidRPr="00B17EAC" w:rsidRDefault="00B17EAC" w:rsidP="00B17EAC">
                    <w:pPr>
                      <w:widowControl w:val="0"/>
                      <w:ind w:firstLineChars="150" w:firstLine="315"/>
                      <w:jc w:val="both"/>
                      <w:rPr>
                        <w:rFonts w:cs="Times New Roman"/>
                        <w:iCs/>
                        <w:kern w:val="2"/>
                        <w:szCs w:val="21"/>
                      </w:rPr>
                    </w:pPr>
                    <w:r w:rsidRPr="00B17EAC">
                      <w:rPr>
                        <w:rFonts w:cs="Times New Roman" w:hint="eastAsia"/>
                        <w:iCs/>
                        <w:kern w:val="2"/>
                        <w:szCs w:val="21"/>
                      </w:rPr>
                      <w:t>昼间噪声排放</w:t>
                    </w:r>
                  </w:p>
                  <w:p w14:paraId="5D1008F4" w14:textId="77777777" w:rsidR="00B17EAC" w:rsidRPr="00B17EAC" w:rsidRDefault="00B17EAC" w:rsidP="00B17EAC">
                    <w:pPr>
                      <w:widowControl w:val="0"/>
                      <w:jc w:val="both"/>
                      <w:rPr>
                        <w:rFonts w:cs="Times New Roman"/>
                        <w:iCs/>
                        <w:kern w:val="2"/>
                        <w:szCs w:val="21"/>
                      </w:rPr>
                    </w:pPr>
                    <w:r w:rsidRPr="00B17EAC">
                      <w:rPr>
                        <w:rFonts w:cs="Times New Roman" w:hint="eastAsia"/>
                        <w:iCs/>
                        <w:kern w:val="2"/>
                        <w:szCs w:val="21"/>
                      </w:rPr>
                      <w:t>（</w:t>
                    </w:r>
                    <w:r w:rsidRPr="00B17EAC">
                      <w:rPr>
                        <w:rFonts w:cs="Times New Roman"/>
                        <w:iCs/>
                        <w:kern w:val="2"/>
                        <w:szCs w:val="21"/>
                        <w:u w:val="single"/>
                      </w:rPr>
                      <w:t xml:space="preserve"> </w:t>
                    </w:r>
                    <w:r w:rsidRPr="00B17EAC">
                      <w:rPr>
                        <w:rFonts w:cs="Times New Roman" w:hint="eastAsia"/>
                        <w:iCs/>
                        <w:kern w:val="2"/>
                        <w:szCs w:val="21"/>
                        <w:u w:val="single"/>
                      </w:rPr>
                      <w:t>6</w:t>
                    </w:r>
                    <w:r w:rsidRPr="00B17EAC">
                      <w:rPr>
                        <w:rFonts w:cs="Times New Roman"/>
                        <w:iCs/>
                        <w:kern w:val="2"/>
                        <w:szCs w:val="21"/>
                        <w:u w:val="single"/>
                      </w:rPr>
                      <w:t xml:space="preserve"> </w:t>
                    </w:r>
                    <w:r w:rsidRPr="00B17EAC">
                      <w:rPr>
                        <w:rFonts w:cs="Times New Roman" w:hint="eastAsia"/>
                        <w:iCs/>
                        <w:kern w:val="2"/>
                        <w:szCs w:val="21"/>
                      </w:rPr>
                      <w:t>时</w:t>
                    </w:r>
                    <w:r w:rsidRPr="00B17EAC">
                      <w:rPr>
                        <w:rFonts w:cs="Times New Roman"/>
                        <w:iCs/>
                        <w:kern w:val="2"/>
                        <w:szCs w:val="21"/>
                      </w:rPr>
                      <w:t>--</w:t>
                    </w:r>
                    <w:r w:rsidRPr="00B17EAC">
                      <w:rPr>
                        <w:rFonts w:cs="Times New Roman"/>
                        <w:iCs/>
                        <w:kern w:val="2"/>
                        <w:szCs w:val="21"/>
                        <w:u w:val="single"/>
                      </w:rPr>
                      <w:t xml:space="preserve"> </w:t>
                    </w:r>
                    <w:r w:rsidRPr="00B17EAC">
                      <w:rPr>
                        <w:rFonts w:cs="Times New Roman" w:hint="eastAsia"/>
                        <w:iCs/>
                        <w:kern w:val="2"/>
                        <w:szCs w:val="21"/>
                        <w:u w:val="single"/>
                      </w:rPr>
                      <w:t>22</w:t>
                    </w:r>
                    <w:r w:rsidRPr="00B17EAC">
                      <w:rPr>
                        <w:rFonts w:cs="Times New Roman"/>
                        <w:iCs/>
                        <w:kern w:val="2"/>
                        <w:szCs w:val="21"/>
                        <w:u w:val="single"/>
                      </w:rPr>
                      <w:t xml:space="preserve"> </w:t>
                    </w:r>
                    <w:r w:rsidRPr="00B17EAC">
                      <w:rPr>
                        <w:rFonts w:cs="Times New Roman" w:hint="eastAsia"/>
                        <w:iCs/>
                        <w:kern w:val="2"/>
                        <w:szCs w:val="21"/>
                      </w:rPr>
                      <w:t>时）</w:t>
                    </w:r>
                    <w:r w:rsidRPr="00B17EAC">
                      <w:rPr>
                        <w:rFonts w:cs="Times New Roman"/>
                        <w:iCs/>
                        <w:kern w:val="2"/>
                        <w:szCs w:val="21"/>
                      </w:rPr>
                      <w:t>/dB(A)</w:t>
                    </w:r>
                  </w:p>
                </w:tc>
                <w:tc>
                  <w:tcPr>
                    <w:tcW w:w="2414" w:type="dxa"/>
                    <w:gridSpan w:val="2"/>
                  </w:tcPr>
                  <w:p w14:paraId="4B345999" w14:textId="77777777" w:rsidR="00B17EAC" w:rsidRPr="00B17EAC" w:rsidRDefault="00B17EAC" w:rsidP="00B17EAC">
                    <w:pPr>
                      <w:widowControl w:val="0"/>
                      <w:ind w:firstLineChars="150" w:firstLine="315"/>
                      <w:jc w:val="both"/>
                      <w:rPr>
                        <w:rFonts w:cs="Times New Roman"/>
                        <w:iCs/>
                        <w:kern w:val="2"/>
                        <w:szCs w:val="21"/>
                      </w:rPr>
                    </w:pPr>
                    <w:r w:rsidRPr="00B17EAC">
                      <w:rPr>
                        <w:rFonts w:cs="Times New Roman" w:hint="eastAsia"/>
                        <w:iCs/>
                        <w:kern w:val="2"/>
                        <w:szCs w:val="21"/>
                      </w:rPr>
                      <w:t>夜间噪声排放</w:t>
                    </w:r>
                  </w:p>
                  <w:p w14:paraId="325E1E12" w14:textId="77777777" w:rsidR="00B17EAC" w:rsidRPr="00B17EAC" w:rsidRDefault="00B17EAC" w:rsidP="00B17EAC">
                    <w:pPr>
                      <w:widowControl w:val="0"/>
                      <w:jc w:val="both"/>
                      <w:rPr>
                        <w:rFonts w:cs="Times New Roman"/>
                        <w:iCs/>
                        <w:kern w:val="2"/>
                        <w:szCs w:val="21"/>
                      </w:rPr>
                    </w:pPr>
                    <w:r w:rsidRPr="00B17EAC">
                      <w:rPr>
                        <w:rFonts w:cs="Times New Roman" w:hint="eastAsia"/>
                        <w:iCs/>
                        <w:kern w:val="2"/>
                        <w:szCs w:val="21"/>
                      </w:rPr>
                      <w:t>（</w:t>
                    </w:r>
                    <w:r w:rsidRPr="00B17EAC">
                      <w:rPr>
                        <w:rFonts w:cs="Times New Roman"/>
                        <w:iCs/>
                        <w:kern w:val="2"/>
                        <w:szCs w:val="21"/>
                        <w:u w:val="single"/>
                      </w:rPr>
                      <w:t xml:space="preserve"> </w:t>
                    </w:r>
                    <w:r w:rsidRPr="00B17EAC">
                      <w:rPr>
                        <w:rFonts w:cs="Times New Roman" w:hint="eastAsia"/>
                        <w:iCs/>
                        <w:kern w:val="2"/>
                        <w:szCs w:val="21"/>
                        <w:u w:val="single"/>
                      </w:rPr>
                      <w:t>22</w:t>
                    </w:r>
                    <w:r w:rsidRPr="00B17EAC">
                      <w:rPr>
                        <w:rFonts w:cs="Times New Roman" w:hint="eastAsia"/>
                        <w:iCs/>
                        <w:kern w:val="2"/>
                        <w:szCs w:val="21"/>
                      </w:rPr>
                      <w:t>时</w:t>
                    </w:r>
                    <w:r w:rsidRPr="00B17EAC">
                      <w:rPr>
                        <w:rFonts w:cs="Times New Roman"/>
                        <w:iCs/>
                        <w:kern w:val="2"/>
                        <w:szCs w:val="21"/>
                      </w:rPr>
                      <w:t>--</w:t>
                    </w:r>
                    <w:r w:rsidRPr="00B17EAC">
                      <w:rPr>
                        <w:rFonts w:cs="Times New Roman"/>
                        <w:iCs/>
                        <w:kern w:val="2"/>
                        <w:szCs w:val="21"/>
                        <w:u w:val="single"/>
                      </w:rPr>
                      <w:t xml:space="preserve">  </w:t>
                    </w:r>
                    <w:r w:rsidRPr="00B17EAC">
                      <w:rPr>
                        <w:rFonts w:cs="Times New Roman" w:hint="eastAsia"/>
                        <w:iCs/>
                        <w:kern w:val="2"/>
                        <w:szCs w:val="21"/>
                        <w:u w:val="single"/>
                      </w:rPr>
                      <w:t>6</w:t>
                    </w:r>
                    <w:r w:rsidRPr="00B17EAC">
                      <w:rPr>
                        <w:rFonts w:cs="Times New Roman" w:hint="eastAsia"/>
                        <w:iCs/>
                        <w:kern w:val="2"/>
                        <w:szCs w:val="21"/>
                      </w:rPr>
                      <w:t>时）</w:t>
                    </w:r>
                    <w:r w:rsidRPr="00B17EAC">
                      <w:rPr>
                        <w:rFonts w:cs="Times New Roman"/>
                        <w:iCs/>
                        <w:kern w:val="2"/>
                        <w:szCs w:val="21"/>
                      </w:rPr>
                      <w:t xml:space="preserve"> / dB(A)</w:t>
                    </w:r>
                  </w:p>
                </w:tc>
              </w:tr>
              <w:tr w:rsidR="00B17EAC" w:rsidRPr="00B17EAC" w14:paraId="2950D0EC" w14:textId="77777777" w:rsidTr="00B17EAC">
                <w:trPr>
                  <w:trHeight w:val="285"/>
                </w:trPr>
                <w:tc>
                  <w:tcPr>
                    <w:tcW w:w="813" w:type="dxa"/>
                    <w:vMerge/>
                    <w:noWrap/>
                  </w:tcPr>
                  <w:p w14:paraId="2755B344" w14:textId="77777777" w:rsidR="00B17EAC" w:rsidRPr="00B17EAC" w:rsidRDefault="00B17EAC" w:rsidP="00B17EAC">
                    <w:pPr>
                      <w:widowControl w:val="0"/>
                      <w:jc w:val="both"/>
                      <w:rPr>
                        <w:rFonts w:cs="Times New Roman"/>
                        <w:kern w:val="2"/>
                        <w:szCs w:val="21"/>
                      </w:rPr>
                    </w:pPr>
                  </w:p>
                </w:tc>
                <w:tc>
                  <w:tcPr>
                    <w:tcW w:w="852" w:type="dxa"/>
                    <w:vMerge/>
                    <w:noWrap/>
                  </w:tcPr>
                  <w:p w14:paraId="1DCB0E2C" w14:textId="77777777" w:rsidR="00B17EAC" w:rsidRPr="00B17EAC" w:rsidRDefault="00B17EAC" w:rsidP="00B17EAC">
                    <w:pPr>
                      <w:widowControl w:val="0"/>
                      <w:jc w:val="both"/>
                      <w:rPr>
                        <w:rFonts w:cs="Times New Roman"/>
                        <w:kern w:val="2"/>
                        <w:szCs w:val="21"/>
                      </w:rPr>
                    </w:pPr>
                  </w:p>
                </w:tc>
                <w:tc>
                  <w:tcPr>
                    <w:tcW w:w="1133" w:type="dxa"/>
                    <w:vMerge/>
                    <w:noWrap/>
                  </w:tcPr>
                  <w:p w14:paraId="11EB78FE" w14:textId="77777777" w:rsidR="00B17EAC" w:rsidRPr="00B17EAC" w:rsidRDefault="00B17EAC" w:rsidP="00B17EAC">
                    <w:pPr>
                      <w:widowControl w:val="0"/>
                      <w:jc w:val="both"/>
                      <w:rPr>
                        <w:rFonts w:cs="Times New Roman"/>
                        <w:kern w:val="2"/>
                        <w:szCs w:val="21"/>
                      </w:rPr>
                    </w:pPr>
                  </w:p>
                </w:tc>
                <w:tc>
                  <w:tcPr>
                    <w:tcW w:w="1133" w:type="dxa"/>
                    <w:vMerge/>
                    <w:noWrap/>
                  </w:tcPr>
                  <w:p w14:paraId="118D54EF" w14:textId="77777777" w:rsidR="00B17EAC" w:rsidRPr="00B17EAC" w:rsidRDefault="00B17EAC" w:rsidP="00B17EAC">
                    <w:pPr>
                      <w:widowControl w:val="0"/>
                      <w:jc w:val="both"/>
                      <w:rPr>
                        <w:rFonts w:cs="Times New Roman"/>
                        <w:kern w:val="2"/>
                        <w:szCs w:val="21"/>
                      </w:rPr>
                    </w:pPr>
                  </w:p>
                </w:tc>
                <w:tc>
                  <w:tcPr>
                    <w:tcW w:w="1280" w:type="dxa"/>
                    <w:noWrap/>
                  </w:tcPr>
                  <w:p w14:paraId="76001230" w14:textId="77777777" w:rsidR="00B17EAC" w:rsidRPr="00B17EAC" w:rsidRDefault="00B17EAC" w:rsidP="00B17EAC">
                    <w:pPr>
                      <w:widowControl w:val="0"/>
                      <w:rPr>
                        <w:rFonts w:cs="Times New Roman"/>
                        <w:kern w:val="2"/>
                        <w:szCs w:val="21"/>
                      </w:rPr>
                    </w:pPr>
                    <w:r w:rsidRPr="00B17EAC">
                      <w:rPr>
                        <w:rFonts w:cs="Times New Roman" w:hint="eastAsia"/>
                        <w:kern w:val="2"/>
                        <w:szCs w:val="21"/>
                      </w:rPr>
                      <w:t>排放限值</w:t>
                    </w:r>
                  </w:p>
                </w:tc>
                <w:tc>
                  <w:tcPr>
                    <w:tcW w:w="988" w:type="dxa"/>
                  </w:tcPr>
                  <w:p w14:paraId="7BC6B292" w14:textId="77777777" w:rsidR="00B17EAC" w:rsidRPr="00B17EAC" w:rsidRDefault="00B17EAC" w:rsidP="00B17EAC">
                    <w:pPr>
                      <w:widowControl w:val="0"/>
                      <w:rPr>
                        <w:rFonts w:cs="Times New Roman"/>
                        <w:kern w:val="2"/>
                        <w:szCs w:val="21"/>
                      </w:rPr>
                    </w:pPr>
                    <w:r w:rsidRPr="00B17EAC">
                      <w:rPr>
                        <w:rFonts w:cs="Times New Roman" w:hint="eastAsia"/>
                        <w:kern w:val="2"/>
                        <w:szCs w:val="21"/>
                      </w:rPr>
                      <w:t>结果值</w:t>
                    </w:r>
                    <w:r w:rsidRPr="00B17EAC">
                      <w:rPr>
                        <w:rFonts w:cs="Times New Roman"/>
                        <w:kern w:val="2"/>
                        <w:szCs w:val="21"/>
                      </w:rPr>
                      <w:t xml:space="preserve"> </w:t>
                    </w:r>
                  </w:p>
                </w:tc>
                <w:tc>
                  <w:tcPr>
                    <w:tcW w:w="1355" w:type="dxa"/>
                  </w:tcPr>
                  <w:p w14:paraId="10BD840D" w14:textId="77777777" w:rsidR="00B17EAC" w:rsidRPr="00B17EAC" w:rsidRDefault="00B17EAC" w:rsidP="00B17EAC">
                    <w:pPr>
                      <w:widowControl w:val="0"/>
                      <w:rPr>
                        <w:rFonts w:cs="Times New Roman"/>
                        <w:kern w:val="2"/>
                        <w:szCs w:val="21"/>
                      </w:rPr>
                    </w:pPr>
                    <w:r w:rsidRPr="00B17EAC">
                      <w:rPr>
                        <w:rFonts w:cs="Times New Roman" w:hint="eastAsia"/>
                        <w:kern w:val="2"/>
                        <w:szCs w:val="21"/>
                      </w:rPr>
                      <w:t>排放限值</w:t>
                    </w:r>
                  </w:p>
                </w:tc>
                <w:tc>
                  <w:tcPr>
                    <w:tcW w:w="1059" w:type="dxa"/>
                    <w:noWrap/>
                  </w:tcPr>
                  <w:p w14:paraId="517FA7AF" w14:textId="77777777" w:rsidR="00B17EAC" w:rsidRPr="00B17EAC" w:rsidRDefault="00B17EAC" w:rsidP="00B17EAC">
                    <w:pPr>
                      <w:widowControl w:val="0"/>
                      <w:rPr>
                        <w:rFonts w:cs="Times New Roman"/>
                        <w:kern w:val="2"/>
                        <w:szCs w:val="21"/>
                      </w:rPr>
                    </w:pPr>
                    <w:r w:rsidRPr="00B17EAC">
                      <w:rPr>
                        <w:rFonts w:cs="Times New Roman" w:hint="eastAsia"/>
                        <w:kern w:val="2"/>
                        <w:szCs w:val="21"/>
                      </w:rPr>
                      <w:t>结果值</w:t>
                    </w:r>
                  </w:p>
                </w:tc>
              </w:tr>
              <w:tr w:rsidR="00B17EAC" w:rsidRPr="00B17EAC" w14:paraId="160FA2FD" w14:textId="77777777" w:rsidTr="00B17EAC">
                <w:trPr>
                  <w:trHeight w:val="285"/>
                </w:trPr>
                <w:tc>
                  <w:tcPr>
                    <w:tcW w:w="813" w:type="dxa"/>
                    <w:noWrap/>
                    <w:vAlign w:val="center"/>
                  </w:tcPr>
                  <w:p w14:paraId="1C6BBA3D" w14:textId="77777777" w:rsidR="00B17EAC" w:rsidRPr="00B17EAC" w:rsidRDefault="00B17EAC" w:rsidP="00B17EAC">
                    <w:pPr>
                      <w:widowControl w:val="0"/>
                      <w:jc w:val="center"/>
                      <w:rPr>
                        <w:rFonts w:cs="Times New Roman"/>
                        <w:kern w:val="2"/>
                        <w:szCs w:val="21"/>
                      </w:rPr>
                    </w:pPr>
                    <w:r w:rsidRPr="00B17EAC">
                      <w:rPr>
                        <w:rFonts w:cs="Times New Roman" w:hint="eastAsia"/>
                        <w:kern w:val="2"/>
                        <w:szCs w:val="21"/>
                      </w:rPr>
                      <w:t>2021</w:t>
                    </w:r>
                  </w:p>
                </w:tc>
                <w:tc>
                  <w:tcPr>
                    <w:tcW w:w="852" w:type="dxa"/>
                    <w:noWrap/>
                    <w:vAlign w:val="center"/>
                  </w:tcPr>
                  <w:p w14:paraId="6BD47B18" w14:textId="77777777" w:rsidR="00B17EAC" w:rsidRPr="00B17EAC" w:rsidRDefault="00B17EAC" w:rsidP="00B17EAC">
                    <w:pPr>
                      <w:widowControl w:val="0"/>
                      <w:jc w:val="center"/>
                      <w:rPr>
                        <w:rFonts w:cs="Times New Roman"/>
                        <w:kern w:val="2"/>
                        <w:szCs w:val="21"/>
                      </w:rPr>
                    </w:pPr>
                    <w:r w:rsidRPr="00B17EAC">
                      <w:rPr>
                        <w:rFonts w:cs="Times New Roman" w:hint="eastAsia"/>
                        <w:kern w:val="2"/>
                        <w:szCs w:val="21"/>
                      </w:rPr>
                      <w:t>厂区周边</w:t>
                    </w:r>
                  </w:p>
                </w:tc>
                <w:tc>
                  <w:tcPr>
                    <w:tcW w:w="1133" w:type="dxa"/>
                    <w:noWrap/>
                    <w:vAlign w:val="center"/>
                  </w:tcPr>
                  <w:p w14:paraId="518325C1" w14:textId="77777777" w:rsidR="00B17EAC" w:rsidRPr="00B17EAC" w:rsidRDefault="00B17EAC" w:rsidP="00B17EAC">
                    <w:pPr>
                      <w:widowControl w:val="0"/>
                      <w:jc w:val="center"/>
                      <w:rPr>
                        <w:rFonts w:cs="Times New Roman"/>
                        <w:kern w:val="2"/>
                        <w:szCs w:val="21"/>
                      </w:rPr>
                    </w:pPr>
                    <w:r w:rsidRPr="00B17EAC">
                      <w:rPr>
                        <w:rFonts w:cs="Times New Roman" w:hint="eastAsia"/>
                        <w:kern w:val="2"/>
                        <w:szCs w:val="21"/>
                      </w:rPr>
                      <w:t>生产</w:t>
                    </w:r>
                  </w:p>
                  <w:p w14:paraId="2F4C3575" w14:textId="77777777" w:rsidR="00B17EAC" w:rsidRPr="00B17EAC" w:rsidRDefault="00B17EAC" w:rsidP="00B17EAC">
                    <w:pPr>
                      <w:widowControl w:val="0"/>
                      <w:jc w:val="center"/>
                      <w:rPr>
                        <w:rFonts w:cs="Times New Roman"/>
                        <w:kern w:val="2"/>
                        <w:szCs w:val="21"/>
                      </w:rPr>
                    </w:pPr>
                    <w:r w:rsidRPr="00B17EAC">
                      <w:rPr>
                        <w:rFonts w:cs="Times New Roman" w:hint="eastAsia"/>
                        <w:kern w:val="2"/>
                        <w:szCs w:val="21"/>
                      </w:rPr>
                      <w:t>设备</w:t>
                    </w:r>
                  </w:p>
                </w:tc>
                <w:tc>
                  <w:tcPr>
                    <w:tcW w:w="1133" w:type="dxa"/>
                    <w:noWrap/>
                    <w:vAlign w:val="center"/>
                  </w:tcPr>
                  <w:p w14:paraId="19AB82E7" w14:textId="77777777" w:rsidR="00B17EAC" w:rsidRPr="00B17EAC" w:rsidRDefault="00B17EAC" w:rsidP="00B17EAC">
                    <w:pPr>
                      <w:widowControl w:val="0"/>
                      <w:jc w:val="center"/>
                      <w:rPr>
                        <w:rFonts w:cs="Times New Roman"/>
                        <w:kern w:val="2"/>
                        <w:szCs w:val="21"/>
                      </w:rPr>
                    </w:pPr>
                    <w:r w:rsidRPr="00B17EAC">
                      <w:rPr>
                        <w:rFonts w:cs="Times New Roman" w:hint="eastAsia"/>
                        <w:kern w:val="2"/>
                        <w:szCs w:val="21"/>
                      </w:rPr>
                      <w:t>机械性噪声</w:t>
                    </w:r>
                  </w:p>
                </w:tc>
                <w:tc>
                  <w:tcPr>
                    <w:tcW w:w="1280" w:type="dxa"/>
                    <w:noWrap/>
                    <w:vAlign w:val="center"/>
                  </w:tcPr>
                  <w:p w14:paraId="63C990A3" w14:textId="77777777" w:rsidR="00B17EAC" w:rsidRPr="00B17EAC" w:rsidRDefault="00B17EAC" w:rsidP="00B17EAC">
                    <w:pPr>
                      <w:widowControl w:val="0"/>
                      <w:jc w:val="center"/>
                      <w:rPr>
                        <w:rFonts w:cs="Times New Roman"/>
                        <w:kern w:val="2"/>
                        <w:szCs w:val="21"/>
                      </w:rPr>
                    </w:pPr>
                    <w:r w:rsidRPr="00B17EAC">
                      <w:rPr>
                        <w:rFonts w:cs="Times New Roman" w:hint="eastAsia"/>
                        <w:kern w:val="2"/>
                        <w:szCs w:val="21"/>
                      </w:rPr>
                      <w:t>65</w:t>
                    </w:r>
                  </w:p>
                </w:tc>
                <w:tc>
                  <w:tcPr>
                    <w:tcW w:w="988" w:type="dxa"/>
                    <w:vAlign w:val="center"/>
                  </w:tcPr>
                  <w:p w14:paraId="46BEAA4F" w14:textId="77777777" w:rsidR="00B17EAC" w:rsidRPr="00B17EAC" w:rsidRDefault="00B17EAC" w:rsidP="00B17EAC">
                    <w:pPr>
                      <w:widowControl w:val="0"/>
                      <w:jc w:val="center"/>
                      <w:rPr>
                        <w:rFonts w:cs="Times New Roman"/>
                        <w:kern w:val="2"/>
                        <w:szCs w:val="21"/>
                      </w:rPr>
                    </w:pPr>
                    <w:r w:rsidRPr="00B17EAC">
                      <w:rPr>
                        <w:rFonts w:cs="Times New Roman" w:hint="eastAsia"/>
                        <w:kern w:val="2"/>
                        <w:szCs w:val="21"/>
                      </w:rPr>
                      <w:t>56</w:t>
                    </w:r>
                  </w:p>
                </w:tc>
                <w:tc>
                  <w:tcPr>
                    <w:tcW w:w="1355" w:type="dxa"/>
                    <w:vAlign w:val="center"/>
                  </w:tcPr>
                  <w:p w14:paraId="1B988486" w14:textId="77777777" w:rsidR="00B17EAC" w:rsidRPr="00B17EAC" w:rsidRDefault="00B17EAC" w:rsidP="00B17EAC">
                    <w:pPr>
                      <w:widowControl w:val="0"/>
                      <w:jc w:val="center"/>
                      <w:rPr>
                        <w:rFonts w:cs="Times New Roman"/>
                        <w:kern w:val="2"/>
                        <w:szCs w:val="21"/>
                      </w:rPr>
                    </w:pPr>
                    <w:r w:rsidRPr="00B17EAC">
                      <w:rPr>
                        <w:rFonts w:cs="Times New Roman" w:hint="eastAsia"/>
                        <w:kern w:val="2"/>
                        <w:szCs w:val="21"/>
                      </w:rPr>
                      <w:t>——</w:t>
                    </w:r>
                  </w:p>
                </w:tc>
                <w:tc>
                  <w:tcPr>
                    <w:tcW w:w="1059" w:type="dxa"/>
                    <w:noWrap/>
                    <w:vAlign w:val="center"/>
                  </w:tcPr>
                  <w:p w14:paraId="4520CAC4" w14:textId="77777777" w:rsidR="00B17EAC" w:rsidRPr="00B17EAC" w:rsidRDefault="00B17EAC" w:rsidP="00B17EAC">
                    <w:pPr>
                      <w:widowControl w:val="0"/>
                      <w:jc w:val="center"/>
                      <w:rPr>
                        <w:rFonts w:cs="Times New Roman"/>
                        <w:kern w:val="2"/>
                        <w:szCs w:val="21"/>
                      </w:rPr>
                    </w:pPr>
                    <w:r w:rsidRPr="00B17EAC">
                      <w:rPr>
                        <w:rFonts w:cs="Times New Roman" w:hint="eastAsia"/>
                        <w:kern w:val="2"/>
                        <w:szCs w:val="21"/>
                      </w:rPr>
                      <w:t>——</w:t>
                    </w:r>
                  </w:p>
                </w:tc>
              </w:tr>
            </w:tbl>
            <w:p w14:paraId="586A73CC" w14:textId="0F9D62ED" w:rsidR="007F1C2B" w:rsidRPr="00B17EAC" w:rsidRDefault="00B664AF" w:rsidP="00B17EAC">
              <w:pPr>
                <w:widowControl w:val="0"/>
                <w:jc w:val="both"/>
                <w:rPr>
                  <w:rFonts w:cs="Times New Roman"/>
                  <w:kern w:val="2"/>
                  <w:szCs w:val="21"/>
                </w:rPr>
              </w:pPr>
            </w:p>
          </w:sdtContent>
        </w:sdt>
        <w:p w14:paraId="06E94FA6" w14:textId="77777777" w:rsidR="007F1C2B" w:rsidRDefault="00B664AF"/>
      </w:sdtContent>
    </w:sdt>
    <w:sdt>
      <w:sdtPr>
        <w:rPr>
          <w:rFonts w:ascii="宋体" w:hAnsi="宋体" w:hint="eastAsia"/>
          <w:b w:val="0"/>
          <w:bCs w:val="0"/>
          <w:szCs w:val="22"/>
        </w:rPr>
        <w:alias w:val="模块:防治污染设施的建设和运行情况"/>
        <w:tag w:val="_SEC_9647358b46c84a02b09d75557c728419"/>
        <w:id w:val="-380407439"/>
        <w:lock w:val="sdtLocked"/>
        <w:placeholder>
          <w:docPart w:val="GBC22222222222222222222222222222"/>
        </w:placeholder>
      </w:sdtPr>
      <w:sdtEndPr/>
      <w:sdtContent>
        <w:p w14:paraId="3FA1546B" w14:textId="77777777" w:rsidR="007F1C2B" w:rsidRDefault="004F686E" w:rsidP="004F686E">
          <w:pPr>
            <w:pStyle w:val="4"/>
            <w:numPr>
              <w:ilvl w:val="0"/>
              <w:numId w:val="19"/>
            </w:numPr>
            <w:rPr>
              <w:rFonts w:ascii="宋体" w:hAnsi="宋体"/>
              <w:bCs w:val="0"/>
              <w:szCs w:val="21"/>
            </w:rPr>
          </w:pPr>
          <w:r>
            <w:rPr>
              <w:rFonts w:ascii="宋体" w:hAnsi="宋体" w:hint="eastAsia"/>
            </w:rPr>
            <w:t>防治污染设</w:t>
          </w:r>
          <w:r>
            <w:rPr>
              <w:rFonts w:ascii="宋体" w:hAnsi="宋体" w:hint="eastAsia"/>
              <w:szCs w:val="21"/>
            </w:rPr>
            <w:t>施的建设和运行情况</w:t>
          </w:r>
        </w:p>
        <w:sdt>
          <w:sdtPr>
            <w:alias w:val="是否适用：防治污染设施的建设和运行情况[双击切换]"/>
            <w:tag w:val="_GBC_e5a6ee71f2e449e58d9301e4ca07981f"/>
            <w:id w:val="-2069098188"/>
            <w:lock w:val="sdtLocked"/>
            <w:placeholder>
              <w:docPart w:val="GBC22222222222222222222222222222"/>
            </w:placeholder>
          </w:sdtPr>
          <w:sdtEndPr/>
          <w:sdtContent>
            <w:p w14:paraId="2B3060CB" w14:textId="6EE6DF49" w:rsidR="007F1C2B"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防治污染设施的建设和运行情况"/>
            <w:tag w:val="_GBC_1c83977b65834eaa98d6c63b6e3074af"/>
            <w:id w:val="1041090913"/>
            <w:lock w:val="sdtLocked"/>
            <w:placeholder>
              <w:docPart w:val="GBC22222222222222222222222222222"/>
            </w:placeholder>
          </w:sdtPr>
          <w:sdtEndPr/>
          <w:sdtContent>
            <w:p w14:paraId="79FE1001" w14:textId="3BFDD12D" w:rsidR="007F1C2B" w:rsidRDefault="00B17EAC" w:rsidP="008E1E93">
              <w:pPr>
                <w:ind w:firstLineChars="200" w:firstLine="420"/>
              </w:pPr>
              <w:r w:rsidRPr="00B17EAC">
                <w:rPr>
                  <w:rFonts w:hint="eastAsia"/>
                </w:rPr>
                <w:t>天津天海高压容器有限责任公司对各个生产设施排污节点设有污染防治设施，产生挥发性有机物废气排口，采用干式过滤器</w:t>
              </w:r>
              <w:r w:rsidRPr="00B17EAC">
                <w:t>+活性炭吸附+催化燃烧脱附再生处理工艺，抛丸工序采用二次除尘，防治污染设施运行正常有效。</w:t>
              </w:r>
            </w:p>
          </w:sdtContent>
        </w:sdt>
        <w:p w14:paraId="22B8E269" w14:textId="77777777" w:rsidR="007F1C2B" w:rsidRDefault="00B664AF">
          <w:pPr>
            <w:pStyle w:val="afff4"/>
            <w:ind w:firstLineChars="0" w:firstLine="0"/>
            <w:rPr>
              <w:rFonts w:ascii="宋体" w:hAnsi="宋体"/>
            </w:rPr>
          </w:pPr>
        </w:p>
      </w:sdtContent>
    </w:sdt>
    <w:sdt>
      <w:sdtPr>
        <w:rPr>
          <w:rFonts w:ascii="宋体" w:hAnsi="宋体" w:cs="宋体" w:hint="eastAsia"/>
          <w:b w:val="0"/>
          <w:bCs w:val="0"/>
          <w:kern w:val="0"/>
          <w:szCs w:val="21"/>
        </w:rPr>
        <w:alias w:val="模块:建设项目环境影响评价及其他环境保护行政许可情况"/>
        <w:tag w:val="_SEC_2708d5a25473420b9cd1646eac86c715"/>
        <w:id w:val="1874573566"/>
        <w:lock w:val="sdtLocked"/>
        <w:placeholder>
          <w:docPart w:val="GBC22222222222222222222222222222"/>
        </w:placeholder>
      </w:sdtPr>
      <w:sdtEndPr>
        <w:rPr>
          <w:szCs w:val="24"/>
        </w:rPr>
      </w:sdtEndPr>
      <w:sdtContent>
        <w:p w14:paraId="29D2AD4A" w14:textId="77777777" w:rsidR="007F1C2B" w:rsidRDefault="004F686E" w:rsidP="004F686E">
          <w:pPr>
            <w:pStyle w:val="4"/>
            <w:numPr>
              <w:ilvl w:val="0"/>
              <w:numId w:val="19"/>
            </w:numPr>
            <w:rPr>
              <w:rFonts w:ascii="宋体" w:hAnsi="宋体"/>
              <w:bCs w:val="0"/>
              <w:szCs w:val="22"/>
            </w:rPr>
          </w:pPr>
          <w:r>
            <w:rPr>
              <w:rFonts w:ascii="宋体" w:hAnsi="宋体" w:hint="eastAsia"/>
              <w:szCs w:val="21"/>
            </w:rPr>
            <w:t>建设项目环境影响评价及其他环境保护行政许可情况</w:t>
          </w:r>
        </w:p>
        <w:sdt>
          <w:sdtPr>
            <w:rPr>
              <w:rFonts w:ascii="宋体" w:hAnsi="宋体" w:hint="eastAsia"/>
            </w:rPr>
            <w:alias w:val="是否适用：环境影响评价及其他环境保护行政许可[双击切换]"/>
            <w:tag w:val="_GBC_3824fd66ff4141358cbb17c1d49124d4"/>
            <w:id w:val="1345974081"/>
            <w:lock w:val="sdtLocked"/>
            <w:placeholder>
              <w:docPart w:val="GBC22222222222222222222222222222"/>
            </w:placeholder>
          </w:sdtPr>
          <w:sdtEndPr/>
          <w:sdtContent>
            <w:p w14:paraId="124EACE1" w14:textId="26C0CF74" w:rsidR="007F1C2B" w:rsidRDefault="004F686E">
              <w:pPr>
                <w:pStyle w:val="afff4"/>
                <w:ind w:firstLineChars="0" w:firstLine="0"/>
                <w:rPr>
                  <w:rFonts w:ascii="宋体" w:hAnsi="宋体"/>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环境影响评价及其他环境保护行政许可"/>
            <w:tag w:val="_GBC_8592b333277f43349f710f284bb4c167"/>
            <w:id w:val="-224915127"/>
            <w:lock w:val="sdtLocked"/>
            <w:placeholder>
              <w:docPart w:val="GBC22222222222222222222222222222"/>
            </w:placeholder>
          </w:sdtPr>
          <w:sdtEndPr/>
          <w:sdtContent>
            <w:p w14:paraId="6F4AE1AB" w14:textId="190D881C" w:rsidR="007F1C2B" w:rsidRDefault="00874A50" w:rsidP="00874A50">
              <w:pPr>
                <w:ind w:firstLineChars="200" w:firstLine="420"/>
              </w:pPr>
              <w:r w:rsidRPr="00874A50">
                <w:t>2021年上半年，我公司</w:t>
              </w:r>
              <w:r>
                <w:rPr>
                  <w:rFonts w:hint="eastAsia"/>
                </w:rPr>
                <w:t>无</w:t>
              </w:r>
              <w:r w:rsidRPr="00874A50">
                <w:t>建设项目。</w:t>
              </w:r>
            </w:p>
          </w:sdtContent>
        </w:sdt>
        <w:p w14:paraId="26C04439" w14:textId="77777777" w:rsidR="007F1C2B" w:rsidRDefault="00B664AF"/>
      </w:sdtContent>
    </w:sdt>
    <w:sdt>
      <w:sdtPr>
        <w:rPr>
          <w:rFonts w:ascii="宋体" w:hAnsi="宋体" w:cs="宋体" w:hint="eastAsia"/>
          <w:b w:val="0"/>
          <w:bCs w:val="0"/>
          <w:kern w:val="0"/>
          <w:szCs w:val="21"/>
        </w:rPr>
        <w:alias w:val="模块:突发环境事件应急预案"/>
        <w:tag w:val="_SEC_8a186947e6794ae7a56369fd5232b227"/>
        <w:id w:val="735897402"/>
        <w:lock w:val="sdtLocked"/>
        <w:placeholder>
          <w:docPart w:val="GBC22222222222222222222222222222"/>
        </w:placeholder>
      </w:sdtPr>
      <w:sdtEndPr>
        <w:rPr>
          <w:rFonts w:hint="default"/>
          <w:szCs w:val="24"/>
        </w:rPr>
      </w:sdtEndPr>
      <w:sdtContent>
        <w:p w14:paraId="39061626" w14:textId="77777777" w:rsidR="007F1C2B" w:rsidRDefault="004F686E" w:rsidP="004F686E">
          <w:pPr>
            <w:pStyle w:val="4"/>
            <w:numPr>
              <w:ilvl w:val="0"/>
              <w:numId w:val="19"/>
            </w:numPr>
            <w:rPr>
              <w:rFonts w:ascii="宋体" w:hAnsi="宋体"/>
            </w:rPr>
          </w:pPr>
          <w:r>
            <w:rPr>
              <w:rFonts w:ascii="宋体" w:hAnsi="宋体" w:hint="eastAsia"/>
              <w:szCs w:val="21"/>
            </w:rPr>
            <w:t>突发环境事件应急预案</w:t>
          </w:r>
        </w:p>
        <w:sdt>
          <w:sdtPr>
            <w:alias w:val="是否适用：突发环境事件应急预案[双击切换]"/>
            <w:tag w:val="_GBC_df8be27e0fe04478b8e2d99d253dbf26"/>
            <w:id w:val="1523599129"/>
            <w:lock w:val="sdtLocked"/>
            <w:placeholder>
              <w:docPart w:val="GBC22222222222222222222222222222"/>
            </w:placeholder>
          </w:sdtPr>
          <w:sdtEndPr/>
          <w:sdtContent>
            <w:p w14:paraId="398C88AC" w14:textId="4CAF4EB5" w:rsidR="007F1C2B"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突发环境事件应急预案"/>
            <w:tag w:val="_GBC_2185e6aced094c6c8ba2229f13fa085b"/>
            <w:id w:val="-869831256"/>
            <w:lock w:val="sdtLocked"/>
            <w:placeholder>
              <w:docPart w:val="GBC22222222222222222222222222222"/>
            </w:placeholder>
          </w:sdtPr>
          <w:sdtEndPr/>
          <w:sdtContent>
            <w:p w14:paraId="5F63F24B" w14:textId="4A1527F1" w:rsidR="007F1C2B" w:rsidRDefault="00874A50" w:rsidP="00B13627">
              <w:pPr>
                <w:ind w:firstLineChars="200" w:firstLine="420"/>
              </w:pPr>
              <w:r w:rsidRPr="00874A50">
                <w:rPr>
                  <w:rFonts w:hint="eastAsia"/>
                </w:rPr>
                <w:t>为应对可能突发的环境风险事故，建立健全突发环境污染事故应急机制，以便及时、高效、妥善的处理公司内发生的突发性环境污染事故，按照天津市、保税区环保局相关要求，编制了天津天海公司突发环境污染事故应急预案并进行了备案（备案编号：</w:t>
              </w:r>
              <w:r w:rsidRPr="00874A50">
                <w:t>120117—2019—116—L）。对公司存在的环境风险、可能引发的环境污染事件进行了分析，每年至少组织一次应急演练，对演练情况进行总结评估，并针对演练发现的问题，对预案进行修订、完善。</w:t>
              </w:r>
            </w:p>
          </w:sdtContent>
        </w:sdt>
        <w:p w14:paraId="18530FD9" w14:textId="77777777" w:rsidR="007F1C2B" w:rsidRDefault="00B664AF"/>
      </w:sdtContent>
    </w:sdt>
    <w:sdt>
      <w:sdtPr>
        <w:rPr>
          <w:rFonts w:ascii="宋体" w:hAnsi="宋体" w:cs="宋体" w:hint="eastAsia"/>
          <w:b w:val="0"/>
          <w:bCs w:val="0"/>
          <w:kern w:val="0"/>
          <w:szCs w:val="21"/>
        </w:rPr>
        <w:alias w:val="模块:环境自行监测方案"/>
        <w:tag w:val="_SEC_9756f3e7d2714d9788f7344c9c15bb49"/>
        <w:id w:val="1607769385"/>
        <w:lock w:val="sdtLocked"/>
        <w:placeholder>
          <w:docPart w:val="GBC22222222222222222222222222222"/>
        </w:placeholder>
      </w:sdtPr>
      <w:sdtEndPr>
        <w:rPr>
          <w:rFonts w:hint="default"/>
          <w:szCs w:val="24"/>
        </w:rPr>
      </w:sdtEndPr>
      <w:sdtContent>
        <w:p w14:paraId="4593C130" w14:textId="77777777" w:rsidR="007F1C2B" w:rsidRDefault="004F686E" w:rsidP="004F686E">
          <w:pPr>
            <w:pStyle w:val="4"/>
            <w:numPr>
              <w:ilvl w:val="0"/>
              <w:numId w:val="19"/>
            </w:numPr>
            <w:rPr>
              <w:rFonts w:ascii="宋体" w:hAnsi="宋体"/>
              <w:bCs w:val="0"/>
              <w:szCs w:val="22"/>
            </w:rPr>
          </w:pPr>
          <w:r>
            <w:rPr>
              <w:rFonts w:ascii="宋体" w:hAnsi="宋体" w:hint="eastAsia"/>
              <w:szCs w:val="21"/>
            </w:rPr>
            <w:t>环境自行监测方案</w:t>
          </w:r>
        </w:p>
        <w:sdt>
          <w:sdtPr>
            <w:rPr>
              <w:rFonts w:ascii="宋体" w:hAnsi="宋体" w:hint="eastAsia"/>
            </w:rPr>
            <w:alias w:val="是否适用：环境自行监测方案[双击切换]"/>
            <w:tag w:val="_GBC_8282bd073e454f33b6fa8f66542c0ea4"/>
            <w:id w:val="412739677"/>
            <w:lock w:val="sdtLocked"/>
            <w:placeholder>
              <w:docPart w:val="GBC22222222222222222222222222222"/>
            </w:placeholder>
          </w:sdtPr>
          <w:sdtEndPr/>
          <w:sdtContent>
            <w:p w14:paraId="5067219B" w14:textId="3DB7AC40" w:rsidR="007F1C2B" w:rsidRDefault="004F686E">
              <w:pPr>
                <w:pStyle w:val="afff4"/>
                <w:ind w:firstLineChars="0" w:firstLine="0"/>
                <w:rPr>
                  <w:rFonts w:ascii="宋体" w:hAnsi="宋体"/>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bookmarkStart w:id="47" w:name="_Hlk79421248" w:displacedByCustomXml="next"/>
        <w:sdt>
          <w:sdtPr>
            <w:alias w:val="环境自行监测方案"/>
            <w:tag w:val="_GBC_fcc9259ff58741f496af8580b408371e"/>
            <w:id w:val="-1687976659"/>
            <w:lock w:val="sdtLocked"/>
            <w:placeholder>
              <w:docPart w:val="GBC22222222222222222222222222222"/>
            </w:placeholder>
          </w:sdtPr>
          <w:sdtEndPr/>
          <w:sdtContent>
            <w:p w14:paraId="5D2DFE13" w14:textId="77777777" w:rsidR="00874A50" w:rsidRDefault="00874A50" w:rsidP="00874A50">
              <w:pPr>
                <w:ind w:firstLineChars="200" w:firstLine="420"/>
              </w:pPr>
              <w:r w:rsidRPr="00874A50">
                <w:t>2021上半年年，委托天津国纳产品检测技术服务有限公司，按监测方案要求对污染物排放口进行检测，检测结果均符合标准要求（见表1-1、表2-2、表5）。</w:t>
              </w:r>
            </w:p>
            <w:p w14:paraId="51F483A9" w14:textId="77777777" w:rsidR="00874A50" w:rsidRPr="00874A50" w:rsidRDefault="00874A50" w:rsidP="00874A50">
              <w:pPr>
                <w:widowControl w:val="0"/>
                <w:jc w:val="both"/>
                <w:rPr>
                  <w:rFonts w:cs="Times New Roman"/>
                  <w:kern w:val="2"/>
                  <w:szCs w:val="21"/>
                </w:rPr>
              </w:pPr>
              <w:r w:rsidRPr="00874A50">
                <w:rPr>
                  <w:rFonts w:cs="Times New Roman" w:hint="eastAsia"/>
                  <w:kern w:val="2"/>
                  <w:szCs w:val="21"/>
                </w:rPr>
                <w:t>1、废水</w:t>
              </w:r>
              <w:r w:rsidRPr="00874A50">
                <w:rPr>
                  <w:rFonts w:cs="Times New Roman"/>
                  <w:kern w:val="2"/>
                  <w:szCs w:val="21"/>
                </w:rPr>
                <w:t>执行</w:t>
              </w:r>
              <w:r w:rsidRPr="00874A50">
                <w:rPr>
                  <w:rFonts w:cs="Times New Roman" w:hint="eastAsia"/>
                  <w:kern w:val="2"/>
                  <w:szCs w:val="21"/>
                </w:rPr>
                <w:t>排放标准</w:t>
              </w:r>
              <w:r w:rsidRPr="00874A50">
                <w:rPr>
                  <w:rFonts w:cs="Times New Roman"/>
                  <w:kern w:val="2"/>
                  <w:szCs w:val="21"/>
                </w:rPr>
                <w:t>及其限值</w:t>
              </w:r>
              <w:r w:rsidRPr="00874A50">
                <w:rPr>
                  <w:rFonts w:cs="Times New Roman" w:hint="eastAsia"/>
                  <w:kern w:val="2"/>
                  <w:szCs w:val="21"/>
                </w:rPr>
                <w:t xml:space="preserve">    </w:t>
              </w:r>
            </w:p>
            <w:tbl>
              <w:tblPr>
                <w:tblW w:w="8049" w:type="dxa"/>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2637"/>
                <w:gridCol w:w="2781"/>
              </w:tblGrid>
              <w:tr w:rsidR="00874A50" w:rsidRPr="00874A50" w14:paraId="151B49F5" w14:textId="77777777" w:rsidTr="005062B1">
                <w:tc>
                  <w:tcPr>
                    <w:tcW w:w="2631" w:type="dxa"/>
                    <w:vAlign w:val="center"/>
                  </w:tcPr>
                  <w:p w14:paraId="2C6BD95D" w14:textId="77777777" w:rsidR="00874A50" w:rsidRPr="00874A50" w:rsidRDefault="00874A50" w:rsidP="00874A50">
                    <w:pPr>
                      <w:widowControl w:val="0"/>
                      <w:jc w:val="center"/>
                      <w:rPr>
                        <w:rFonts w:cs="Times New Roman"/>
                        <w:kern w:val="2"/>
                        <w:szCs w:val="21"/>
                      </w:rPr>
                    </w:pPr>
                    <w:r w:rsidRPr="00874A50">
                      <w:rPr>
                        <w:rFonts w:cs="Times New Roman" w:hint="eastAsia"/>
                        <w:kern w:val="2"/>
                        <w:szCs w:val="21"/>
                      </w:rPr>
                      <w:t>项目</w:t>
                    </w:r>
                  </w:p>
                </w:tc>
                <w:tc>
                  <w:tcPr>
                    <w:tcW w:w="2637" w:type="dxa"/>
                    <w:vAlign w:val="center"/>
                  </w:tcPr>
                  <w:p w14:paraId="407E9F00" w14:textId="77777777" w:rsidR="00874A50" w:rsidRPr="00874A50" w:rsidRDefault="00874A50" w:rsidP="00874A50">
                    <w:pPr>
                      <w:widowControl w:val="0"/>
                      <w:jc w:val="center"/>
                      <w:rPr>
                        <w:rFonts w:cs="Times New Roman"/>
                        <w:kern w:val="2"/>
                        <w:szCs w:val="21"/>
                      </w:rPr>
                    </w:pPr>
                    <w:r w:rsidRPr="00874A50">
                      <w:rPr>
                        <w:rFonts w:cs="Times New Roman" w:hint="eastAsia"/>
                        <w:kern w:val="2"/>
                        <w:szCs w:val="21"/>
                      </w:rPr>
                      <w:t>标准浓度限值</w:t>
                    </w:r>
                  </w:p>
                </w:tc>
                <w:tc>
                  <w:tcPr>
                    <w:tcW w:w="2781" w:type="dxa"/>
                    <w:vAlign w:val="center"/>
                  </w:tcPr>
                  <w:p w14:paraId="54A69126" w14:textId="77777777" w:rsidR="00874A50" w:rsidRPr="00874A50" w:rsidRDefault="00874A50" w:rsidP="00874A50">
                    <w:pPr>
                      <w:widowControl w:val="0"/>
                      <w:jc w:val="center"/>
                      <w:rPr>
                        <w:rFonts w:cs="Times New Roman"/>
                        <w:kern w:val="2"/>
                        <w:szCs w:val="21"/>
                      </w:rPr>
                    </w:pPr>
                    <w:r w:rsidRPr="00874A50">
                      <w:rPr>
                        <w:rFonts w:cs="Times New Roman" w:hint="eastAsia"/>
                        <w:kern w:val="2"/>
                        <w:szCs w:val="21"/>
                      </w:rPr>
                      <w:t>标准依据</w:t>
                    </w:r>
                  </w:p>
                </w:tc>
              </w:tr>
              <w:tr w:rsidR="00874A50" w:rsidRPr="00874A50" w14:paraId="1E97D105" w14:textId="77777777" w:rsidTr="005062B1">
                <w:tc>
                  <w:tcPr>
                    <w:tcW w:w="2631" w:type="dxa"/>
                    <w:vAlign w:val="center"/>
                  </w:tcPr>
                  <w:p w14:paraId="52F0E5BD" w14:textId="77777777" w:rsidR="00874A50" w:rsidRPr="00874A50" w:rsidRDefault="00874A50" w:rsidP="00874A50">
                    <w:pPr>
                      <w:widowControl w:val="0"/>
                      <w:jc w:val="center"/>
                      <w:rPr>
                        <w:rFonts w:cs="Times New Roman"/>
                        <w:kern w:val="2"/>
                        <w:szCs w:val="21"/>
                      </w:rPr>
                    </w:pPr>
                    <w:r w:rsidRPr="00874A50">
                      <w:rPr>
                        <w:rFonts w:cs="Times New Roman" w:hint="eastAsia"/>
                        <w:kern w:val="2"/>
                        <w:szCs w:val="21"/>
                      </w:rPr>
                      <w:t>PH值</w:t>
                    </w:r>
                  </w:p>
                </w:tc>
                <w:tc>
                  <w:tcPr>
                    <w:tcW w:w="2637" w:type="dxa"/>
                    <w:vAlign w:val="center"/>
                  </w:tcPr>
                  <w:p w14:paraId="7EAA642A" w14:textId="77777777" w:rsidR="00874A50" w:rsidRPr="00874A50" w:rsidRDefault="00874A50" w:rsidP="00874A50">
                    <w:pPr>
                      <w:widowControl w:val="0"/>
                      <w:jc w:val="center"/>
                      <w:rPr>
                        <w:rFonts w:cs="Times New Roman"/>
                        <w:kern w:val="2"/>
                        <w:szCs w:val="21"/>
                      </w:rPr>
                    </w:pPr>
                    <w:r w:rsidRPr="00874A50">
                      <w:rPr>
                        <w:rFonts w:cs="Times New Roman" w:hint="eastAsia"/>
                        <w:kern w:val="2"/>
                        <w:szCs w:val="21"/>
                      </w:rPr>
                      <w:t>6~9</w:t>
                    </w:r>
                  </w:p>
                </w:tc>
                <w:tc>
                  <w:tcPr>
                    <w:tcW w:w="2781" w:type="dxa"/>
                    <w:vMerge w:val="restart"/>
                    <w:vAlign w:val="center"/>
                  </w:tcPr>
                  <w:p w14:paraId="69D19DA9" w14:textId="77777777" w:rsidR="00874A50" w:rsidRPr="00874A50" w:rsidRDefault="00874A50" w:rsidP="00874A50">
                    <w:pPr>
                      <w:widowControl w:val="0"/>
                      <w:jc w:val="center"/>
                      <w:rPr>
                        <w:rFonts w:cs="Times New Roman"/>
                        <w:kern w:val="2"/>
                        <w:szCs w:val="21"/>
                      </w:rPr>
                    </w:pPr>
                    <w:r w:rsidRPr="00874A50">
                      <w:rPr>
                        <w:rFonts w:cs="Times New Roman" w:hint="eastAsia"/>
                        <w:kern w:val="2"/>
                        <w:szCs w:val="21"/>
                      </w:rPr>
                      <w:t>《污水综合排放标准》</w:t>
                    </w:r>
                  </w:p>
                  <w:p w14:paraId="299A46B8" w14:textId="7D363479" w:rsidR="00874A50" w:rsidRPr="00874A50" w:rsidRDefault="00874A50" w:rsidP="00874A50">
                    <w:pPr>
                      <w:widowControl w:val="0"/>
                      <w:jc w:val="center"/>
                      <w:rPr>
                        <w:rFonts w:cs="Times New Roman"/>
                        <w:kern w:val="2"/>
                        <w:szCs w:val="21"/>
                      </w:rPr>
                    </w:pPr>
                    <w:r w:rsidRPr="00874A50">
                      <w:rPr>
                        <w:rFonts w:cs="Times New Roman" w:hint="eastAsia"/>
                        <w:kern w:val="2"/>
                        <w:szCs w:val="21"/>
                      </w:rPr>
                      <w:t>DB12/356—2018三级</w:t>
                    </w:r>
                  </w:p>
                </w:tc>
              </w:tr>
              <w:tr w:rsidR="00874A50" w:rsidRPr="00874A50" w14:paraId="719DBA0A" w14:textId="77777777" w:rsidTr="005062B1">
                <w:tc>
                  <w:tcPr>
                    <w:tcW w:w="2631" w:type="dxa"/>
                    <w:vAlign w:val="center"/>
                  </w:tcPr>
                  <w:p w14:paraId="413A6DEE" w14:textId="77777777" w:rsidR="00874A50" w:rsidRPr="00874A50" w:rsidRDefault="00874A50" w:rsidP="00874A50">
                    <w:pPr>
                      <w:widowControl w:val="0"/>
                      <w:jc w:val="center"/>
                      <w:rPr>
                        <w:rFonts w:cs="Times New Roman"/>
                        <w:kern w:val="2"/>
                        <w:szCs w:val="21"/>
                      </w:rPr>
                    </w:pPr>
                    <w:r w:rsidRPr="00874A50">
                      <w:rPr>
                        <w:rFonts w:cs="Times New Roman" w:hint="eastAsia"/>
                        <w:kern w:val="2"/>
                        <w:szCs w:val="21"/>
                      </w:rPr>
                      <w:t>悬浮物</w:t>
                    </w:r>
                  </w:p>
                </w:tc>
                <w:tc>
                  <w:tcPr>
                    <w:tcW w:w="2637" w:type="dxa"/>
                    <w:vAlign w:val="center"/>
                  </w:tcPr>
                  <w:p w14:paraId="79981761" w14:textId="77777777" w:rsidR="00874A50" w:rsidRPr="00874A50" w:rsidRDefault="00874A50" w:rsidP="00874A50">
                    <w:pPr>
                      <w:widowControl w:val="0"/>
                      <w:jc w:val="center"/>
                      <w:rPr>
                        <w:rFonts w:cs="Times New Roman"/>
                        <w:kern w:val="2"/>
                        <w:szCs w:val="21"/>
                      </w:rPr>
                    </w:pPr>
                    <w:r w:rsidRPr="00874A50">
                      <w:rPr>
                        <w:rFonts w:cs="Times New Roman" w:hint="eastAsia"/>
                        <w:kern w:val="2"/>
                        <w:szCs w:val="21"/>
                      </w:rPr>
                      <w:t>400㎎/L</w:t>
                    </w:r>
                  </w:p>
                </w:tc>
                <w:tc>
                  <w:tcPr>
                    <w:tcW w:w="2781" w:type="dxa"/>
                    <w:vMerge/>
                    <w:vAlign w:val="center"/>
                  </w:tcPr>
                  <w:p w14:paraId="5AC5CEDC" w14:textId="77777777" w:rsidR="00874A50" w:rsidRPr="00874A50" w:rsidRDefault="00874A50" w:rsidP="00874A50">
                    <w:pPr>
                      <w:widowControl w:val="0"/>
                      <w:jc w:val="center"/>
                      <w:rPr>
                        <w:rFonts w:cs="Times New Roman"/>
                        <w:kern w:val="2"/>
                        <w:szCs w:val="21"/>
                      </w:rPr>
                    </w:pPr>
                  </w:p>
                </w:tc>
              </w:tr>
              <w:tr w:rsidR="00874A50" w:rsidRPr="00874A50" w14:paraId="2043D3B7" w14:textId="77777777" w:rsidTr="005062B1">
                <w:tc>
                  <w:tcPr>
                    <w:tcW w:w="2631" w:type="dxa"/>
                    <w:vAlign w:val="center"/>
                  </w:tcPr>
                  <w:p w14:paraId="4AF715F5" w14:textId="77777777" w:rsidR="00874A50" w:rsidRPr="00874A50" w:rsidRDefault="00874A50" w:rsidP="00874A50">
                    <w:pPr>
                      <w:widowControl w:val="0"/>
                      <w:jc w:val="center"/>
                      <w:rPr>
                        <w:rFonts w:cs="Times New Roman"/>
                        <w:kern w:val="2"/>
                        <w:szCs w:val="21"/>
                      </w:rPr>
                    </w:pPr>
                    <w:r w:rsidRPr="00874A50">
                      <w:rPr>
                        <w:rFonts w:cs="Times New Roman" w:hint="eastAsia"/>
                        <w:kern w:val="2"/>
                        <w:szCs w:val="21"/>
                      </w:rPr>
                      <w:t>华学需氧量</w:t>
                    </w:r>
                  </w:p>
                </w:tc>
                <w:tc>
                  <w:tcPr>
                    <w:tcW w:w="2637" w:type="dxa"/>
                    <w:vAlign w:val="center"/>
                  </w:tcPr>
                  <w:p w14:paraId="04122974" w14:textId="77777777" w:rsidR="00874A50" w:rsidRPr="00874A50" w:rsidRDefault="00874A50" w:rsidP="00874A50">
                    <w:pPr>
                      <w:widowControl w:val="0"/>
                      <w:jc w:val="center"/>
                      <w:rPr>
                        <w:rFonts w:cs="Times New Roman"/>
                        <w:kern w:val="2"/>
                        <w:szCs w:val="21"/>
                      </w:rPr>
                    </w:pPr>
                    <w:r w:rsidRPr="00874A50">
                      <w:rPr>
                        <w:rFonts w:cs="Times New Roman" w:hint="eastAsia"/>
                        <w:kern w:val="2"/>
                        <w:szCs w:val="21"/>
                      </w:rPr>
                      <w:t xml:space="preserve">500㎎/L </w:t>
                    </w:r>
                  </w:p>
                </w:tc>
                <w:tc>
                  <w:tcPr>
                    <w:tcW w:w="2781" w:type="dxa"/>
                    <w:vMerge/>
                    <w:vAlign w:val="center"/>
                  </w:tcPr>
                  <w:p w14:paraId="47CD0BA0" w14:textId="77777777" w:rsidR="00874A50" w:rsidRPr="00874A50" w:rsidRDefault="00874A50" w:rsidP="00874A50">
                    <w:pPr>
                      <w:widowControl w:val="0"/>
                      <w:jc w:val="center"/>
                      <w:rPr>
                        <w:rFonts w:cs="Times New Roman"/>
                        <w:kern w:val="2"/>
                        <w:szCs w:val="21"/>
                      </w:rPr>
                    </w:pPr>
                  </w:p>
                </w:tc>
              </w:tr>
              <w:tr w:rsidR="00874A50" w:rsidRPr="00874A50" w14:paraId="063D550B" w14:textId="77777777" w:rsidTr="005062B1">
                <w:tc>
                  <w:tcPr>
                    <w:tcW w:w="2631" w:type="dxa"/>
                    <w:vAlign w:val="center"/>
                  </w:tcPr>
                  <w:p w14:paraId="651DDE1B" w14:textId="77777777" w:rsidR="00874A50" w:rsidRPr="00874A50" w:rsidRDefault="00874A50" w:rsidP="00874A50">
                    <w:pPr>
                      <w:widowControl w:val="0"/>
                      <w:jc w:val="center"/>
                      <w:rPr>
                        <w:rFonts w:cs="Times New Roman"/>
                        <w:kern w:val="2"/>
                        <w:szCs w:val="21"/>
                      </w:rPr>
                    </w:pPr>
                    <w:r w:rsidRPr="00874A50">
                      <w:rPr>
                        <w:rFonts w:cs="Times New Roman" w:hint="eastAsia"/>
                        <w:kern w:val="2"/>
                        <w:szCs w:val="21"/>
                      </w:rPr>
                      <w:t>石油类</w:t>
                    </w:r>
                  </w:p>
                </w:tc>
                <w:tc>
                  <w:tcPr>
                    <w:tcW w:w="2637" w:type="dxa"/>
                    <w:vAlign w:val="center"/>
                  </w:tcPr>
                  <w:p w14:paraId="45DEAEB7" w14:textId="77777777" w:rsidR="00874A50" w:rsidRPr="00874A50" w:rsidRDefault="00874A50" w:rsidP="00874A50">
                    <w:pPr>
                      <w:widowControl w:val="0"/>
                      <w:jc w:val="center"/>
                      <w:rPr>
                        <w:rFonts w:cs="Times New Roman"/>
                        <w:kern w:val="2"/>
                        <w:szCs w:val="21"/>
                      </w:rPr>
                    </w:pPr>
                    <w:r w:rsidRPr="00874A50">
                      <w:rPr>
                        <w:rFonts w:cs="Times New Roman" w:hint="eastAsia"/>
                        <w:kern w:val="2"/>
                        <w:szCs w:val="21"/>
                      </w:rPr>
                      <w:t>15㎎/L</w:t>
                    </w:r>
                  </w:p>
                </w:tc>
                <w:tc>
                  <w:tcPr>
                    <w:tcW w:w="2781" w:type="dxa"/>
                    <w:vMerge/>
                    <w:vAlign w:val="center"/>
                  </w:tcPr>
                  <w:p w14:paraId="0AE17475" w14:textId="77777777" w:rsidR="00874A50" w:rsidRPr="00874A50" w:rsidRDefault="00874A50" w:rsidP="00874A50">
                    <w:pPr>
                      <w:widowControl w:val="0"/>
                      <w:jc w:val="center"/>
                      <w:rPr>
                        <w:rFonts w:cs="Times New Roman"/>
                        <w:kern w:val="2"/>
                        <w:szCs w:val="21"/>
                      </w:rPr>
                    </w:pPr>
                  </w:p>
                </w:tc>
              </w:tr>
              <w:tr w:rsidR="00874A50" w:rsidRPr="00874A50" w14:paraId="2735B39D" w14:textId="77777777" w:rsidTr="005062B1">
                <w:tc>
                  <w:tcPr>
                    <w:tcW w:w="2631" w:type="dxa"/>
                    <w:vAlign w:val="center"/>
                  </w:tcPr>
                  <w:p w14:paraId="79F444BC" w14:textId="77777777" w:rsidR="00874A50" w:rsidRPr="00874A50" w:rsidRDefault="00874A50" w:rsidP="00874A50">
                    <w:pPr>
                      <w:widowControl w:val="0"/>
                      <w:jc w:val="center"/>
                      <w:rPr>
                        <w:rFonts w:cs="Times New Roman"/>
                        <w:kern w:val="2"/>
                        <w:szCs w:val="21"/>
                      </w:rPr>
                    </w:pPr>
                    <w:r w:rsidRPr="00874A50">
                      <w:rPr>
                        <w:rFonts w:cs="Times New Roman" w:hint="eastAsia"/>
                        <w:kern w:val="2"/>
                        <w:szCs w:val="21"/>
                      </w:rPr>
                      <w:t>生化需氧量</w:t>
                    </w:r>
                  </w:p>
                </w:tc>
                <w:tc>
                  <w:tcPr>
                    <w:tcW w:w="2637" w:type="dxa"/>
                    <w:vAlign w:val="center"/>
                  </w:tcPr>
                  <w:p w14:paraId="2AFDD3EA" w14:textId="77777777" w:rsidR="00874A50" w:rsidRPr="00874A50" w:rsidRDefault="00874A50" w:rsidP="00874A50">
                    <w:pPr>
                      <w:widowControl w:val="0"/>
                      <w:jc w:val="center"/>
                      <w:rPr>
                        <w:rFonts w:cs="Times New Roman"/>
                        <w:kern w:val="2"/>
                        <w:szCs w:val="21"/>
                      </w:rPr>
                    </w:pPr>
                    <w:r w:rsidRPr="00874A50">
                      <w:rPr>
                        <w:rFonts w:cs="Times New Roman" w:hint="eastAsia"/>
                        <w:kern w:val="2"/>
                        <w:szCs w:val="21"/>
                      </w:rPr>
                      <w:t>300㎎/L</w:t>
                    </w:r>
                  </w:p>
                </w:tc>
                <w:tc>
                  <w:tcPr>
                    <w:tcW w:w="2781" w:type="dxa"/>
                    <w:vMerge/>
                    <w:vAlign w:val="center"/>
                  </w:tcPr>
                  <w:p w14:paraId="66B775F9" w14:textId="77777777" w:rsidR="00874A50" w:rsidRPr="00874A50" w:rsidRDefault="00874A50" w:rsidP="00874A50">
                    <w:pPr>
                      <w:widowControl w:val="0"/>
                      <w:jc w:val="center"/>
                      <w:rPr>
                        <w:rFonts w:cs="Times New Roman"/>
                        <w:kern w:val="2"/>
                        <w:szCs w:val="21"/>
                      </w:rPr>
                    </w:pPr>
                  </w:p>
                </w:tc>
              </w:tr>
              <w:tr w:rsidR="00874A50" w:rsidRPr="00874A50" w14:paraId="4A4E1DB4" w14:textId="77777777" w:rsidTr="005062B1">
                <w:tc>
                  <w:tcPr>
                    <w:tcW w:w="2631" w:type="dxa"/>
                    <w:vAlign w:val="center"/>
                  </w:tcPr>
                  <w:p w14:paraId="523865ED" w14:textId="77777777" w:rsidR="00874A50" w:rsidRPr="00874A50" w:rsidRDefault="00874A50" w:rsidP="00874A50">
                    <w:pPr>
                      <w:widowControl w:val="0"/>
                      <w:jc w:val="center"/>
                      <w:rPr>
                        <w:rFonts w:cs="Times New Roman"/>
                        <w:kern w:val="2"/>
                        <w:szCs w:val="21"/>
                      </w:rPr>
                    </w:pPr>
                    <w:r w:rsidRPr="00874A50">
                      <w:rPr>
                        <w:rFonts w:cs="Times New Roman" w:hint="eastAsia"/>
                        <w:kern w:val="2"/>
                        <w:szCs w:val="21"/>
                      </w:rPr>
                      <w:t>氨氮</w:t>
                    </w:r>
                  </w:p>
                </w:tc>
                <w:tc>
                  <w:tcPr>
                    <w:tcW w:w="2637" w:type="dxa"/>
                    <w:vAlign w:val="center"/>
                  </w:tcPr>
                  <w:p w14:paraId="58AB1168" w14:textId="77777777" w:rsidR="00874A50" w:rsidRPr="00874A50" w:rsidRDefault="00874A50" w:rsidP="00874A50">
                    <w:pPr>
                      <w:widowControl w:val="0"/>
                      <w:jc w:val="center"/>
                      <w:rPr>
                        <w:rFonts w:cs="Times New Roman"/>
                        <w:kern w:val="2"/>
                        <w:szCs w:val="21"/>
                      </w:rPr>
                    </w:pPr>
                    <w:r w:rsidRPr="00874A50">
                      <w:rPr>
                        <w:rFonts w:cs="Times New Roman" w:hint="eastAsia"/>
                        <w:kern w:val="2"/>
                        <w:szCs w:val="21"/>
                      </w:rPr>
                      <w:t>45㎎/L</w:t>
                    </w:r>
                  </w:p>
                </w:tc>
                <w:tc>
                  <w:tcPr>
                    <w:tcW w:w="2781" w:type="dxa"/>
                    <w:vMerge/>
                    <w:vAlign w:val="center"/>
                  </w:tcPr>
                  <w:p w14:paraId="35C7BA98" w14:textId="77777777" w:rsidR="00874A50" w:rsidRPr="00874A50" w:rsidRDefault="00874A50" w:rsidP="00874A50">
                    <w:pPr>
                      <w:widowControl w:val="0"/>
                      <w:jc w:val="center"/>
                      <w:rPr>
                        <w:rFonts w:cs="Times New Roman"/>
                        <w:kern w:val="2"/>
                        <w:szCs w:val="21"/>
                      </w:rPr>
                    </w:pPr>
                  </w:p>
                </w:tc>
              </w:tr>
              <w:tr w:rsidR="00874A50" w:rsidRPr="00874A50" w14:paraId="310742C8" w14:textId="77777777" w:rsidTr="005062B1">
                <w:tc>
                  <w:tcPr>
                    <w:tcW w:w="2631" w:type="dxa"/>
                    <w:vAlign w:val="center"/>
                  </w:tcPr>
                  <w:p w14:paraId="31D65CFB" w14:textId="77777777" w:rsidR="00874A50" w:rsidRPr="00874A50" w:rsidRDefault="00874A50" w:rsidP="00874A50">
                    <w:pPr>
                      <w:widowControl w:val="0"/>
                      <w:jc w:val="center"/>
                      <w:rPr>
                        <w:rFonts w:cs="Times New Roman"/>
                        <w:kern w:val="2"/>
                        <w:szCs w:val="21"/>
                      </w:rPr>
                    </w:pPr>
                    <w:r w:rsidRPr="00874A50">
                      <w:rPr>
                        <w:rFonts w:cs="Times New Roman" w:hint="eastAsia"/>
                        <w:kern w:val="2"/>
                        <w:szCs w:val="21"/>
                      </w:rPr>
                      <w:t>总磷</w:t>
                    </w:r>
                  </w:p>
                </w:tc>
                <w:tc>
                  <w:tcPr>
                    <w:tcW w:w="2637" w:type="dxa"/>
                    <w:vAlign w:val="center"/>
                  </w:tcPr>
                  <w:p w14:paraId="07B9D3D1" w14:textId="77777777" w:rsidR="00874A50" w:rsidRPr="00874A50" w:rsidRDefault="00874A50" w:rsidP="00874A50">
                    <w:pPr>
                      <w:widowControl w:val="0"/>
                      <w:jc w:val="center"/>
                      <w:rPr>
                        <w:rFonts w:cs="Times New Roman"/>
                        <w:kern w:val="2"/>
                        <w:szCs w:val="21"/>
                      </w:rPr>
                    </w:pPr>
                    <w:r w:rsidRPr="00874A50">
                      <w:rPr>
                        <w:rFonts w:cs="Times New Roman" w:hint="eastAsia"/>
                        <w:kern w:val="2"/>
                        <w:szCs w:val="21"/>
                      </w:rPr>
                      <w:t>8㎎/L</w:t>
                    </w:r>
                  </w:p>
                </w:tc>
                <w:tc>
                  <w:tcPr>
                    <w:tcW w:w="2781" w:type="dxa"/>
                    <w:vMerge/>
                    <w:vAlign w:val="center"/>
                  </w:tcPr>
                  <w:p w14:paraId="7EFFA91A" w14:textId="77777777" w:rsidR="00874A50" w:rsidRPr="00874A50" w:rsidRDefault="00874A50" w:rsidP="00874A50">
                    <w:pPr>
                      <w:widowControl w:val="0"/>
                      <w:jc w:val="center"/>
                      <w:rPr>
                        <w:rFonts w:cs="Times New Roman"/>
                        <w:kern w:val="2"/>
                        <w:szCs w:val="21"/>
                      </w:rPr>
                    </w:pPr>
                  </w:p>
                </w:tc>
              </w:tr>
              <w:tr w:rsidR="00874A50" w:rsidRPr="00874A50" w14:paraId="1CB714B3" w14:textId="77777777" w:rsidTr="005062B1">
                <w:tc>
                  <w:tcPr>
                    <w:tcW w:w="2631" w:type="dxa"/>
                    <w:vAlign w:val="center"/>
                  </w:tcPr>
                  <w:p w14:paraId="7E99C1B4" w14:textId="77777777" w:rsidR="00874A50" w:rsidRPr="00874A50" w:rsidRDefault="00874A50" w:rsidP="00874A50">
                    <w:pPr>
                      <w:widowControl w:val="0"/>
                      <w:jc w:val="center"/>
                      <w:rPr>
                        <w:rFonts w:cs="Times New Roman"/>
                        <w:kern w:val="2"/>
                        <w:szCs w:val="21"/>
                      </w:rPr>
                    </w:pPr>
                    <w:r w:rsidRPr="00874A50">
                      <w:rPr>
                        <w:rFonts w:cs="Times New Roman" w:hint="eastAsia"/>
                        <w:kern w:val="2"/>
                        <w:szCs w:val="21"/>
                      </w:rPr>
                      <w:t>总氮</w:t>
                    </w:r>
                  </w:p>
                </w:tc>
                <w:tc>
                  <w:tcPr>
                    <w:tcW w:w="2637" w:type="dxa"/>
                    <w:vAlign w:val="center"/>
                  </w:tcPr>
                  <w:p w14:paraId="6BA9086E" w14:textId="77777777" w:rsidR="00874A50" w:rsidRPr="00874A50" w:rsidRDefault="00874A50" w:rsidP="00874A50">
                    <w:pPr>
                      <w:widowControl w:val="0"/>
                      <w:jc w:val="center"/>
                      <w:rPr>
                        <w:rFonts w:cs="Times New Roman"/>
                        <w:kern w:val="2"/>
                        <w:szCs w:val="21"/>
                      </w:rPr>
                    </w:pPr>
                    <w:r w:rsidRPr="00874A50">
                      <w:rPr>
                        <w:rFonts w:cs="Times New Roman" w:hint="eastAsia"/>
                        <w:kern w:val="2"/>
                        <w:szCs w:val="21"/>
                      </w:rPr>
                      <w:t xml:space="preserve"> 70㎎/L</w:t>
                    </w:r>
                  </w:p>
                </w:tc>
                <w:tc>
                  <w:tcPr>
                    <w:tcW w:w="2781" w:type="dxa"/>
                    <w:vMerge/>
                    <w:vAlign w:val="center"/>
                  </w:tcPr>
                  <w:p w14:paraId="4EB54F7C" w14:textId="77777777" w:rsidR="00874A50" w:rsidRPr="00874A50" w:rsidRDefault="00874A50" w:rsidP="00874A50">
                    <w:pPr>
                      <w:widowControl w:val="0"/>
                      <w:jc w:val="center"/>
                      <w:rPr>
                        <w:rFonts w:cs="Times New Roman"/>
                        <w:kern w:val="2"/>
                        <w:szCs w:val="21"/>
                      </w:rPr>
                    </w:pPr>
                  </w:p>
                </w:tc>
              </w:tr>
              <w:tr w:rsidR="00874A50" w:rsidRPr="00874A50" w14:paraId="27C53D15" w14:textId="77777777" w:rsidTr="005062B1">
                <w:tc>
                  <w:tcPr>
                    <w:tcW w:w="2631" w:type="dxa"/>
                    <w:vAlign w:val="center"/>
                  </w:tcPr>
                  <w:p w14:paraId="36A1E9E6" w14:textId="77777777" w:rsidR="00874A50" w:rsidRPr="00874A50" w:rsidRDefault="00874A50" w:rsidP="00874A50">
                    <w:pPr>
                      <w:jc w:val="center"/>
                      <w:rPr>
                        <w:szCs w:val="21"/>
                      </w:rPr>
                    </w:pPr>
                    <w:r w:rsidRPr="00874A50">
                      <w:rPr>
                        <w:rFonts w:cs="SimSun-Identity-H" w:hint="eastAsia"/>
                        <w:szCs w:val="21"/>
                      </w:rPr>
                      <w:t>动植物油</w:t>
                    </w:r>
                  </w:p>
                </w:tc>
                <w:tc>
                  <w:tcPr>
                    <w:tcW w:w="2637" w:type="dxa"/>
                    <w:vAlign w:val="center"/>
                  </w:tcPr>
                  <w:p w14:paraId="7C96F258" w14:textId="77777777" w:rsidR="00874A50" w:rsidRPr="00874A50" w:rsidRDefault="00874A50" w:rsidP="00874A50">
                    <w:pPr>
                      <w:widowControl w:val="0"/>
                      <w:jc w:val="center"/>
                      <w:rPr>
                        <w:rFonts w:cs="Times New Roman"/>
                        <w:kern w:val="2"/>
                        <w:szCs w:val="21"/>
                      </w:rPr>
                    </w:pPr>
                    <w:r w:rsidRPr="00874A50">
                      <w:rPr>
                        <w:rFonts w:cs="Times New Roman" w:hint="eastAsia"/>
                        <w:kern w:val="2"/>
                        <w:szCs w:val="21"/>
                      </w:rPr>
                      <w:t>100㎎/L</w:t>
                    </w:r>
                  </w:p>
                </w:tc>
                <w:tc>
                  <w:tcPr>
                    <w:tcW w:w="2781" w:type="dxa"/>
                    <w:vMerge/>
                    <w:vAlign w:val="center"/>
                  </w:tcPr>
                  <w:p w14:paraId="45DC1959" w14:textId="77777777" w:rsidR="00874A50" w:rsidRPr="00874A50" w:rsidRDefault="00874A50" w:rsidP="00874A50">
                    <w:pPr>
                      <w:widowControl w:val="0"/>
                      <w:jc w:val="center"/>
                      <w:rPr>
                        <w:rFonts w:cs="Times New Roman"/>
                        <w:kern w:val="2"/>
                        <w:szCs w:val="21"/>
                      </w:rPr>
                    </w:pPr>
                  </w:p>
                </w:tc>
              </w:tr>
              <w:tr w:rsidR="00874A50" w:rsidRPr="00874A50" w14:paraId="06DB9FC6" w14:textId="77777777" w:rsidTr="005062B1">
                <w:tc>
                  <w:tcPr>
                    <w:tcW w:w="2631" w:type="dxa"/>
                    <w:vAlign w:val="center"/>
                  </w:tcPr>
                  <w:p w14:paraId="54C5089F" w14:textId="77777777" w:rsidR="00874A50" w:rsidRPr="00874A50" w:rsidRDefault="00874A50" w:rsidP="00874A50">
                    <w:pPr>
                      <w:jc w:val="center"/>
                      <w:rPr>
                        <w:szCs w:val="21"/>
                      </w:rPr>
                    </w:pPr>
                    <w:r w:rsidRPr="00874A50">
                      <w:rPr>
                        <w:rFonts w:cs="SimSun-Identity-H" w:hint="eastAsia"/>
                        <w:szCs w:val="21"/>
                      </w:rPr>
                      <w:t>阴离子表面活性剂</w:t>
                    </w:r>
                  </w:p>
                </w:tc>
                <w:tc>
                  <w:tcPr>
                    <w:tcW w:w="2637" w:type="dxa"/>
                    <w:vAlign w:val="center"/>
                  </w:tcPr>
                  <w:p w14:paraId="25E8AC3B" w14:textId="77777777" w:rsidR="00874A50" w:rsidRPr="00874A50" w:rsidRDefault="00874A50" w:rsidP="00874A50">
                    <w:pPr>
                      <w:widowControl w:val="0"/>
                      <w:jc w:val="center"/>
                      <w:rPr>
                        <w:rFonts w:cs="Times New Roman"/>
                        <w:kern w:val="2"/>
                        <w:szCs w:val="21"/>
                      </w:rPr>
                    </w:pPr>
                    <w:r w:rsidRPr="00874A50">
                      <w:rPr>
                        <w:rFonts w:cs="Times New Roman" w:hint="eastAsia"/>
                        <w:kern w:val="2"/>
                        <w:szCs w:val="21"/>
                      </w:rPr>
                      <w:t>20㎎/L</w:t>
                    </w:r>
                  </w:p>
                </w:tc>
                <w:tc>
                  <w:tcPr>
                    <w:tcW w:w="2781" w:type="dxa"/>
                    <w:vMerge/>
                    <w:vAlign w:val="center"/>
                  </w:tcPr>
                  <w:p w14:paraId="6A241F8F" w14:textId="77777777" w:rsidR="00874A50" w:rsidRPr="00874A50" w:rsidRDefault="00874A50" w:rsidP="00874A50">
                    <w:pPr>
                      <w:widowControl w:val="0"/>
                      <w:jc w:val="center"/>
                      <w:rPr>
                        <w:rFonts w:cs="Times New Roman"/>
                        <w:kern w:val="2"/>
                        <w:szCs w:val="21"/>
                      </w:rPr>
                    </w:pPr>
                  </w:p>
                </w:tc>
              </w:tr>
            </w:tbl>
            <w:p w14:paraId="328D14D8" w14:textId="77777777" w:rsidR="00874A50" w:rsidRPr="00874A50" w:rsidRDefault="00874A50" w:rsidP="00874A50">
              <w:pPr>
                <w:widowControl w:val="0"/>
                <w:jc w:val="both"/>
                <w:rPr>
                  <w:rFonts w:cs="Times New Roman"/>
                  <w:kern w:val="2"/>
                  <w:szCs w:val="21"/>
                </w:rPr>
              </w:pPr>
              <w:r w:rsidRPr="00874A50">
                <w:rPr>
                  <w:rFonts w:cs="Times New Roman" w:hint="eastAsia"/>
                  <w:kern w:val="2"/>
                  <w:szCs w:val="21"/>
                </w:rPr>
                <w:t xml:space="preserve">    2  废气</w:t>
              </w:r>
              <w:r w:rsidRPr="00874A50">
                <w:rPr>
                  <w:rFonts w:cs="Times New Roman"/>
                  <w:kern w:val="2"/>
                  <w:szCs w:val="21"/>
                </w:rPr>
                <w:t>执行</w:t>
              </w:r>
              <w:r w:rsidRPr="00874A50">
                <w:rPr>
                  <w:rFonts w:cs="Times New Roman" w:hint="eastAsia"/>
                  <w:kern w:val="2"/>
                  <w:szCs w:val="21"/>
                </w:rPr>
                <w:t>排放标准</w:t>
              </w:r>
              <w:r w:rsidRPr="00874A50">
                <w:rPr>
                  <w:rFonts w:cs="Times New Roman"/>
                  <w:kern w:val="2"/>
                  <w:szCs w:val="21"/>
                </w:rPr>
                <w:t>及其限值</w:t>
              </w:r>
            </w:p>
            <w:tbl>
              <w:tblPr>
                <w:tblW w:w="8102" w:type="dxa"/>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8"/>
                <w:gridCol w:w="1987"/>
                <w:gridCol w:w="2000"/>
                <w:gridCol w:w="2127"/>
              </w:tblGrid>
              <w:tr w:rsidR="00874A50" w:rsidRPr="00874A50" w14:paraId="70355234" w14:textId="77777777" w:rsidTr="005062B1">
                <w:trPr>
                  <w:trHeight w:val="623"/>
                </w:trPr>
                <w:tc>
                  <w:tcPr>
                    <w:tcW w:w="1988" w:type="dxa"/>
                    <w:vAlign w:val="center"/>
                  </w:tcPr>
                  <w:p w14:paraId="696578DC" w14:textId="77777777" w:rsidR="00874A50" w:rsidRPr="00874A50" w:rsidRDefault="00874A50" w:rsidP="00874A50">
                    <w:pPr>
                      <w:widowControl w:val="0"/>
                      <w:jc w:val="center"/>
                      <w:rPr>
                        <w:rFonts w:cs="Times New Roman"/>
                        <w:kern w:val="2"/>
                        <w:szCs w:val="21"/>
                      </w:rPr>
                    </w:pPr>
                    <w:r w:rsidRPr="00874A50">
                      <w:rPr>
                        <w:rFonts w:cs="Times New Roman" w:hint="eastAsia"/>
                        <w:kern w:val="2"/>
                        <w:szCs w:val="21"/>
                      </w:rPr>
                      <w:t>污染源</w:t>
                    </w:r>
                  </w:p>
                </w:tc>
                <w:tc>
                  <w:tcPr>
                    <w:tcW w:w="1987" w:type="dxa"/>
                    <w:vAlign w:val="center"/>
                  </w:tcPr>
                  <w:p w14:paraId="74DA7A51" w14:textId="77777777" w:rsidR="00874A50" w:rsidRPr="00874A50" w:rsidRDefault="00874A50" w:rsidP="00874A50">
                    <w:pPr>
                      <w:widowControl w:val="0"/>
                      <w:jc w:val="center"/>
                      <w:rPr>
                        <w:rFonts w:cs="Times New Roman"/>
                        <w:kern w:val="2"/>
                        <w:szCs w:val="21"/>
                      </w:rPr>
                    </w:pPr>
                    <w:r w:rsidRPr="00874A50">
                      <w:rPr>
                        <w:rFonts w:cs="Times New Roman" w:hint="eastAsia"/>
                        <w:kern w:val="2"/>
                        <w:szCs w:val="21"/>
                      </w:rPr>
                      <w:t>污染因子</w:t>
                    </w:r>
                  </w:p>
                </w:tc>
                <w:tc>
                  <w:tcPr>
                    <w:tcW w:w="2000" w:type="dxa"/>
                    <w:vAlign w:val="center"/>
                  </w:tcPr>
                  <w:p w14:paraId="7C9372ED" w14:textId="77777777" w:rsidR="00874A50" w:rsidRPr="00874A50" w:rsidRDefault="00874A50" w:rsidP="00874A50">
                    <w:pPr>
                      <w:widowControl w:val="0"/>
                      <w:jc w:val="center"/>
                      <w:rPr>
                        <w:rFonts w:cs="Times New Roman"/>
                        <w:kern w:val="2"/>
                        <w:szCs w:val="21"/>
                      </w:rPr>
                    </w:pPr>
                    <w:r w:rsidRPr="00874A50">
                      <w:rPr>
                        <w:rFonts w:cs="Times New Roman" w:hint="eastAsia"/>
                        <w:kern w:val="2"/>
                        <w:szCs w:val="21"/>
                      </w:rPr>
                      <w:t>标准浓度限值</w:t>
                    </w:r>
                  </w:p>
                  <w:p w14:paraId="3FACF7E4" w14:textId="77777777" w:rsidR="00874A50" w:rsidRPr="00874A50" w:rsidRDefault="00874A50" w:rsidP="00874A50">
                    <w:pPr>
                      <w:widowControl w:val="0"/>
                      <w:jc w:val="center"/>
                      <w:rPr>
                        <w:rFonts w:cs="Times New Roman"/>
                        <w:kern w:val="2"/>
                        <w:szCs w:val="21"/>
                      </w:rPr>
                    </w:pPr>
                    <w:r w:rsidRPr="00874A50">
                      <w:rPr>
                        <w:rFonts w:cs="Times New Roman" w:hint="eastAsia"/>
                        <w:kern w:val="2"/>
                        <w:szCs w:val="21"/>
                      </w:rPr>
                      <w:t>㎎/</w:t>
                    </w:r>
                    <w:r w:rsidRPr="00874A50">
                      <w:rPr>
                        <w:rFonts w:cs="Times New Roman"/>
                        <w:kern w:val="2"/>
                        <w:szCs w:val="21"/>
                      </w:rPr>
                      <w:t xml:space="preserve"> m</w:t>
                    </w:r>
                    <w:r w:rsidRPr="00874A50">
                      <w:rPr>
                        <w:rFonts w:cs="Times New Roman"/>
                        <w:kern w:val="2"/>
                        <w:szCs w:val="21"/>
                        <w:vertAlign w:val="superscript"/>
                      </w:rPr>
                      <w:t>3</w:t>
                    </w:r>
                  </w:p>
                </w:tc>
                <w:tc>
                  <w:tcPr>
                    <w:tcW w:w="2127" w:type="dxa"/>
                    <w:vAlign w:val="center"/>
                  </w:tcPr>
                  <w:p w14:paraId="69AEC12A" w14:textId="77777777" w:rsidR="00874A50" w:rsidRPr="00874A50" w:rsidRDefault="00874A50" w:rsidP="00874A50">
                    <w:pPr>
                      <w:widowControl w:val="0"/>
                      <w:jc w:val="center"/>
                      <w:rPr>
                        <w:rFonts w:cs="Times New Roman"/>
                        <w:kern w:val="2"/>
                        <w:szCs w:val="21"/>
                      </w:rPr>
                    </w:pPr>
                    <w:r w:rsidRPr="00874A50">
                      <w:rPr>
                        <w:rFonts w:cs="Times New Roman" w:hint="eastAsia"/>
                        <w:kern w:val="2"/>
                        <w:szCs w:val="21"/>
                      </w:rPr>
                      <w:t>标准来源</w:t>
                    </w:r>
                  </w:p>
                </w:tc>
              </w:tr>
              <w:tr w:rsidR="00874A50" w:rsidRPr="00874A50" w14:paraId="0EC60544" w14:textId="77777777" w:rsidTr="005062B1">
                <w:trPr>
                  <w:trHeight w:val="168"/>
                </w:trPr>
                <w:tc>
                  <w:tcPr>
                    <w:tcW w:w="1988" w:type="dxa"/>
                    <w:vMerge w:val="restart"/>
                    <w:vAlign w:val="center"/>
                  </w:tcPr>
                  <w:p w14:paraId="489F8EF3" w14:textId="77777777" w:rsidR="00874A50" w:rsidRPr="00874A50" w:rsidRDefault="00874A50" w:rsidP="00874A50">
                    <w:pPr>
                      <w:widowControl w:val="0"/>
                      <w:jc w:val="center"/>
                      <w:rPr>
                        <w:rFonts w:cs="Times New Roman"/>
                        <w:kern w:val="2"/>
                        <w:szCs w:val="21"/>
                      </w:rPr>
                    </w:pPr>
                    <w:r w:rsidRPr="00874A50">
                      <w:rPr>
                        <w:rFonts w:cs="Times New Roman" w:hint="eastAsia"/>
                        <w:kern w:val="2"/>
                        <w:szCs w:val="21"/>
                      </w:rPr>
                      <w:t>炉窑</w:t>
                    </w:r>
                  </w:p>
                </w:tc>
                <w:tc>
                  <w:tcPr>
                    <w:tcW w:w="1987" w:type="dxa"/>
                    <w:vAlign w:val="center"/>
                  </w:tcPr>
                  <w:p w14:paraId="2C3BD612" w14:textId="77777777" w:rsidR="00874A50" w:rsidRPr="00874A50" w:rsidRDefault="00874A50" w:rsidP="00874A50">
                    <w:pPr>
                      <w:widowControl w:val="0"/>
                      <w:jc w:val="center"/>
                      <w:rPr>
                        <w:rFonts w:cs="Times New Roman"/>
                        <w:kern w:val="2"/>
                        <w:szCs w:val="21"/>
                      </w:rPr>
                    </w:pPr>
                    <w:r w:rsidRPr="00874A50">
                      <w:rPr>
                        <w:rFonts w:cs="Times New Roman" w:hint="eastAsia"/>
                        <w:kern w:val="2"/>
                        <w:szCs w:val="21"/>
                      </w:rPr>
                      <w:t>二氧化硫</w:t>
                    </w:r>
                  </w:p>
                </w:tc>
                <w:tc>
                  <w:tcPr>
                    <w:tcW w:w="2000" w:type="dxa"/>
                    <w:vAlign w:val="center"/>
                  </w:tcPr>
                  <w:p w14:paraId="0E90498F" w14:textId="77777777" w:rsidR="00874A50" w:rsidRPr="00874A50" w:rsidRDefault="00874A50" w:rsidP="00874A50">
                    <w:pPr>
                      <w:widowControl w:val="0"/>
                      <w:jc w:val="center"/>
                      <w:rPr>
                        <w:rFonts w:cs="Times New Roman"/>
                        <w:kern w:val="2"/>
                        <w:szCs w:val="21"/>
                      </w:rPr>
                    </w:pPr>
                    <w:r w:rsidRPr="00874A50">
                      <w:rPr>
                        <w:rFonts w:cs="Times New Roman" w:hint="eastAsia"/>
                        <w:kern w:val="2"/>
                        <w:szCs w:val="21"/>
                      </w:rPr>
                      <w:t>50</w:t>
                    </w:r>
                  </w:p>
                </w:tc>
                <w:tc>
                  <w:tcPr>
                    <w:tcW w:w="2127" w:type="dxa"/>
                    <w:vMerge w:val="restart"/>
                    <w:vAlign w:val="center"/>
                  </w:tcPr>
                  <w:p w14:paraId="50629E55" w14:textId="77777777" w:rsidR="00874A50" w:rsidRPr="00874A50" w:rsidRDefault="00874A50" w:rsidP="00874A50">
                    <w:pPr>
                      <w:widowControl w:val="0"/>
                      <w:jc w:val="center"/>
                      <w:rPr>
                        <w:rFonts w:cs="Times New Roman"/>
                        <w:kern w:val="2"/>
                        <w:szCs w:val="21"/>
                      </w:rPr>
                    </w:pPr>
                    <w:r w:rsidRPr="00874A50">
                      <w:rPr>
                        <w:rFonts w:cs="Times New Roman" w:hint="eastAsia"/>
                        <w:kern w:val="2"/>
                        <w:szCs w:val="21"/>
                      </w:rPr>
                      <w:t>《工业炉窑大气污染物排放标准》</w:t>
                    </w:r>
                  </w:p>
                  <w:p w14:paraId="7261033C" w14:textId="77777777" w:rsidR="00874A50" w:rsidRPr="00874A50" w:rsidRDefault="00874A50" w:rsidP="00874A50">
                    <w:pPr>
                      <w:widowControl w:val="0"/>
                      <w:ind w:firstLineChars="100" w:firstLine="210"/>
                      <w:jc w:val="both"/>
                      <w:rPr>
                        <w:rFonts w:cs="Times New Roman"/>
                        <w:kern w:val="2"/>
                        <w:szCs w:val="21"/>
                      </w:rPr>
                    </w:pPr>
                    <w:r w:rsidRPr="00874A50">
                      <w:rPr>
                        <w:rFonts w:cs="Times New Roman" w:hint="eastAsia"/>
                        <w:kern w:val="2"/>
                        <w:szCs w:val="21"/>
                      </w:rPr>
                      <w:lastRenderedPageBreak/>
                      <w:t>DB12/556—2015</w:t>
                    </w:r>
                  </w:p>
                </w:tc>
              </w:tr>
              <w:tr w:rsidR="00874A50" w:rsidRPr="00874A50" w14:paraId="6AE75B05" w14:textId="77777777" w:rsidTr="005062B1">
                <w:trPr>
                  <w:trHeight w:val="168"/>
                </w:trPr>
                <w:tc>
                  <w:tcPr>
                    <w:tcW w:w="1988" w:type="dxa"/>
                    <w:vMerge/>
                    <w:vAlign w:val="center"/>
                  </w:tcPr>
                  <w:p w14:paraId="5DC4CDE7" w14:textId="77777777" w:rsidR="00874A50" w:rsidRPr="00874A50" w:rsidRDefault="00874A50" w:rsidP="00874A50">
                    <w:pPr>
                      <w:widowControl w:val="0"/>
                      <w:jc w:val="center"/>
                      <w:rPr>
                        <w:rFonts w:cs="Times New Roman"/>
                        <w:kern w:val="2"/>
                        <w:szCs w:val="21"/>
                      </w:rPr>
                    </w:pPr>
                  </w:p>
                </w:tc>
                <w:tc>
                  <w:tcPr>
                    <w:tcW w:w="1987" w:type="dxa"/>
                    <w:vAlign w:val="center"/>
                  </w:tcPr>
                  <w:p w14:paraId="621C0CB4" w14:textId="77777777" w:rsidR="00874A50" w:rsidRPr="00874A50" w:rsidRDefault="00874A50" w:rsidP="00874A50">
                    <w:pPr>
                      <w:widowControl w:val="0"/>
                      <w:jc w:val="center"/>
                      <w:rPr>
                        <w:rFonts w:cs="Times New Roman"/>
                        <w:kern w:val="2"/>
                        <w:szCs w:val="21"/>
                      </w:rPr>
                    </w:pPr>
                    <w:r w:rsidRPr="00874A50">
                      <w:rPr>
                        <w:rFonts w:cs="Times New Roman" w:hint="eastAsia"/>
                        <w:kern w:val="2"/>
                        <w:szCs w:val="21"/>
                      </w:rPr>
                      <w:t>氮氧化物</w:t>
                    </w:r>
                  </w:p>
                </w:tc>
                <w:tc>
                  <w:tcPr>
                    <w:tcW w:w="2000" w:type="dxa"/>
                    <w:vAlign w:val="center"/>
                  </w:tcPr>
                  <w:p w14:paraId="692043E8" w14:textId="77777777" w:rsidR="00874A50" w:rsidRPr="00874A50" w:rsidRDefault="00874A50" w:rsidP="00874A50">
                    <w:pPr>
                      <w:widowControl w:val="0"/>
                      <w:jc w:val="center"/>
                      <w:rPr>
                        <w:rFonts w:cs="Times New Roman"/>
                        <w:kern w:val="2"/>
                        <w:szCs w:val="21"/>
                      </w:rPr>
                    </w:pPr>
                    <w:r w:rsidRPr="00874A50">
                      <w:rPr>
                        <w:rFonts w:cs="Times New Roman" w:hint="eastAsia"/>
                        <w:kern w:val="2"/>
                        <w:szCs w:val="21"/>
                      </w:rPr>
                      <w:t>300</w:t>
                    </w:r>
                  </w:p>
                </w:tc>
                <w:tc>
                  <w:tcPr>
                    <w:tcW w:w="2127" w:type="dxa"/>
                    <w:vMerge/>
                    <w:vAlign w:val="center"/>
                  </w:tcPr>
                  <w:p w14:paraId="15DA186A" w14:textId="77777777" w:rsidR="00874A50" w:rsidRPr="00874A50" w:rsidRDefault="00874A50" w:rsidP="00874A50">
                    <w:pPr>
                      <w:widowControl w:val="0"/>
                      <w:jc w:val="center"/>
                      <w:rPr>
                        <w:rFonts w:cs="Times New Roman"/>
                        <w:kern w:val="2"/>
                        <w:szCs w:val="21"/>
                      </w:rPr>
                    </w:pPr>
                  </w:p>
                </w:tc>
              </w:tr>
              <w:tr w:rsidR="00874A50" w:rsidRPr="00874A50" w14:paraId="658DB118" w14:textId="77777777" w:rsidTr="005062B1">
                <w:trPr>
                  <w:trHeight w:val="320"/>
                </w:trPr>
                <w:tc>
                  <w:tcPr>
                    <w:tcW w:w="1988" w:type="dxa"/>
                    <w:vMerge/>
                    <w:vAlign w:val="center"/>
                  </w:tcPr>
                  <w:p w14:paraId="489BB7B7" w14:textId="77777777" w:rsidR="00874A50" w:rsidRPr="00874A50" w:rsidRDefault="00874A50" w:rsidP="00874A50">
                    <w:pPr>
                      <w:widowControl w:val="0"/>
                      <w:jc w:val="center"/>
                      <w:rPr>
                        <w:rFonts w:cs="Times New Roman"/>
                        <w:kern w:val="2"/>
                        <w:szCs w:val="21"/>
                      </w:rPr>
                    </w:pPr>
                  </w:p>
                </w:tc>
                <w:tc>
                  <w:tcPr>
                    <w:tcW w:w="1987" w:type="dxa"/>
                    <w:vAlign w:val="center"/>
                  </w:tcPr>
                  <w:p w14:paraId="18E3CCB6" w14:textId="77777777" w:rsidR="00874A50" w:rsidRPr="00874A50" w:rsidRDefault="00874A50" w:rsidP="00874A50">
                    <w:pPr>
                      <w:widowControl w:val="0"/>
                      <w:jc w:val="center"/>
                      <w:rPr>
                        <w:rFonts w:cs="Times New Roman"/>
                        <w:kern w:val="2"/>
                        <w:szCs w:val="21"/>
                      </w:rPr>
                    </w:pPr>
                    <w:r w:rsidRPr="00874A50">
                      <w:rPr>
                        <w:rFonts w:cs="Times New Roman" w:hint="eastAsia"/>
                        <w:kern w:val="2"/>
                        <w:szCs w:val="21"/>
                      </w:rPr>
                      <w:t>颗粒物</w:t>
                    </w:r>
                  </w:p>
                </w:tc>
                <w:tc>
                  <w:tcPr>
                    <w:tcW w:w="2000" w:type="dxa"/>
                    <w:vAlign w:val="center"/>
                  </w:tcPr>
                  <w:p w14:paraId="763124CD" w14:textId="77777777" w:rsidR="00874A50" w:rsidRPr="00874A50" w:rsidRDefault="00874A50" w:rsidP="00874A50">
                    <w:pPr>
                      <w:widowControl w:val="0"/>
                      <w:jc w:val="center"/>
                      <w:rPr>
                        <w:rFonts w:cs="Times New Roman"/>
                        <w:kern w:val="2"/>
                        <w:szCs w:val="21"/>
                      </w:rPr>
                    </w:pPr>
                    <w:r w:rsidRPr="00874A50">
                      <w:rPr>
                        <w:rFonts w:cs="Times New Roman" w:hint="eastAsia"/>
                        <w:kern w:val="2"/>
                        <w:szCs w:val="21"/>
                      </w:rPr>
                      <w:t>20</w:t>
                    </w:r>
                  </w:p>
                </w:tc>
                <w:tc>
                  <w:tcPr>
                    <w:tcW w:w="2127" w:type="dxa"/>
                    <w:vMerge/>
                    <w:vAlign w:val="center"/>
                  </w:tcPr>
                  <w:p w14:paraId="565DBFA3" w14:textId="77777777" w:rsidR="00874A50" w:rsidRPr="00874A50" w:rsidRDefault="00874A50" w:rsidP="00874A50">
                    <w:pPr>
                      <w:widowControl w:val="0"/>
                      <w:ind w:firstLineChars="100" w:firstLine="210"/>
                      <w:jc w:val="both"/>
                      <w:rPr>
                        <w:rFonts w:cs="Times New Roman"/>
                        <w:kern w:val="2"/>
                        <w:szCs w:val="21"/>
                      </w:rPr>
                    </w:pPr>
                  </w:p>
                </w:tc>
              </w:tr>
              <w:tr w:rsidR="00874A50" w:rsidRPr="00874A50" w14:paraId="23753D2C" w14:textId="77777777" w:rsidTr="00874A50">
                <w:trPr>
                  <w:trHeight w:val="295"/>
                </w:trPr>
                <w:tc>
                  <w:tcPr>
                    <w:tcW w:w="1988" w:type="dxa"/>
                    <w:vMerge/>
                    <w:vAlign w:val="center"/>
                  </w:tcPr>
                  <w:p w14:paraId="07CFE09B" w14:textId="77777777" w:rsidR="00874A50" w:rsidRPr="00874A50" w:rsidRDefault="00874A50" w:rsidP="00874A50">
                    <w:pPr>
                      <w:widowControl w:val="0"/>
                      <w:jc w:val="center"/>
                      <w:rPr>
                        <w:rFonts w:cs="Times New Roman"/>
                        <w:kern w:val="2"/>
                        <w:szCs w:val="21"/>
                      </w:rPr>
                    </w:pPr>
                  </w:p>
                </w:tc>
                <w:tc>
                  <w:tcPr>
                    <w:tcW w:w="1987" w:type="dxa"/>
                    <w:vAlign w:val="center"/>
                  </w:tcPr>
                  <w:p w14:paraId="4CE84996" w14:textId="77777777" w:rsidR="00874A50" w:rsidRPr="00874A50" w:rsidRDefault="00874A50" w:rsidP="00874A50">
                    <w:pPr>
                      <w:widowControl w:val="0"/>
                      <w:jc w:val="center"/>
                      <w:rPr>
                        <w:rFonts w:cs="Times New Roman"/>
                        <w:kern w:val="2"/>
                        <w:szCs w:val="21"/>
                      </w:rPr>
                    </w:pPr>
                    <w:r w:rsidRPr="00874A50">
                      <w:rPr>
                        <w:rFonts w:cs="Times New Roman" w:hint="eastAsia"/>
                        <w:kern w:val="2"/>
                        <w:szCs w:val="21"/>
                      </w:rPr>
                      <w:t>烟气黑度</w:t>
                    </w:r>
                  </w:p>
                </w:tc>
                <w:tc>
                  <w:tcPr>
                    <w:tcW w:w="2000" w:type="dxa"/>
                    <w:vAlign w:val="center"/>
                  </w:tcPr>
                  <w:p w14:paraId="065BF0F0" w14:textId="77777777" w:rsidR="00874A50" w:rsidRPr="00874A50" w:rsidRDefault="00874A50" w:rsidP="00874A50">
                    <w:pPr>
                      <w:shd w:val="clear" w:color="auto" w:fill="FFFFFF"/>
                      <w:ind w:left="720"/>
                      <w:rPr>
                        <w:rFonts w:cs="Arial"/>
                        <w:color w:val="333333"/>
                        <w:szCs w:val="21"/>
                      </w:rPr>
                    </w:pPr>
                    <w:r w:rsidRPr="00874A50">
                      <w:rPr>
                        <w:rFonts w:cs="Arial"/>
                        <w:color w:val="333333"/>
                        <w:szCs w:val="21"/>
                      </w:rPr>
                      <w:t>≤</w:t>
                    </w:r>
                    <w:r w:rsidRPr="00874A50">
                      <w:rPr>
                        <w:rFonts w:cs="Times New Roman" w:hint="eastAsia"/>
                        <w:kern w:val="2"/>
                        <w:szCs w:val="21"/>
                      </w:rPr>
                      <w:t>1</w:t>
                    </w:r>
                  </w:p>
                </w:tc>
                <w:tc>
                  <w:tcPr>
                    <w:tcW w:w="2127" w:type="dxa"/>
                    <w:vMerge/>
                    <w:vAlign w:val="center"/>
                  </w:tcPr>
                  <w:p w14:paraId="1036DAD1" w14:textId="77777777" w:rsidR="00874A50" w:rsidRPr="00874A50" w:rsidRDefault="00874A50" w:rsidP="00874A50">
                    <w:pPr>
                      <w:widowControl w:val="0"/>
                      <w:jc w:val="center"/>
                      <w:rPr>
                        <w:rFonts w:cs="Times New Roman"/>
                        <w:kern w:val="2"/>
                        <w:szCs w:val="21"/>
                      </w:rPr>
                    </w:pPr>
                  </w:p>
                </w:tc>
              </w:tr>
              <w:tr w:rsidR="00874A50" w:rsidRPr="00874A50" w14:paraId="34DD9BF0" w14:textId="77777777" w:rsidTr="00874A50">
                <w:trPr>
                  <w:trHeight w:val="246"/>
                </w:trPr>
                <w:tc>
                  <w:tcPr>
                    <w:tcW w:w="1988" w:type="dxa"/>
                    <w:vMerge w:val="restart"/>
                    <w:vAlign w:val="center"/>
                  </w:tcPr>
                  <w:p w14:paraId="63B89221" w14:textId="77777777" w:rsidR="00874A50" w:rsidRPr="00874A50" w:rsidRDefault="00874A50" w:rsidP="00874A50">
                    <w:pPr>
                      <w:widowControl w:val="0"/>
                      <w:jc w:val="center"/>
                      <w:rPr>
                        <w:rFonts w:cs="Times New Roman"/>
                        <w:bCs/>
                        <w:kern w:val="2"/>
                        <w:szCs w:val="21"/>
                      </w:rPr>
                    </w:pPr>
                    <w:r w:rsidRPr="00874A50">
                      <w:rPr>
                        <w:rFonts w:cs="Times New Roman" w:hint="eastAsia"/>
                        <w:bCs/>
                        <w:kern w:val="2"/>
                        <w:szCs w:val="21"/>
                      </w:rPr>
                      <w:t>管道</w:t>
                    </w:r>
                  </w:p>
                </w:tc>
                <w:tc>
                  <w:tcPr>
                    <w:tcW w:w="1987" w:type="dxa"/>
                    <w:vAlign w:val="center"/>
                  </w:tcPr>
                  <w:p w14:paraId="3ACAF154" w14:textId="77777777" w:rsidR="00874A50" w:rsidRPr="00874A50" w:rsidRDefault="00874A50" w:rsidP="00874A50">
                    <w:pPr>
                      <w:widowControl w:val="0"/>
                      <w:jc w:val="center"/>
                      <w:rPr>
                        <w:rFonts w:cs="Times New Roman"/>
                        <w:kern w:val="2"/>
                        <w:szCs w:val="21"/>
                      </w:rPr>
                    </w:pPr>
                    <w:r w:rsidRPr="00874A50">
                      <w:rPr>
                        <w:rFonts w:cs="Times New Roman" w:hint="eastAsia"/>
                        <w:kern w:val="2"/>
                        <w:szCs w:val="21"/>
                      </w:rPr>
                      <w:t>苯</w:t>
                    </w:r>
                  </w:p>
                </w:tc>
                <w:tc>
                  <w:tcPr>
                    <w:tcW w:w="2000" w:type="dxa"/>
                    <w:vAlign w:val="center"/>
                  </w:tcPr>
                  <w:p w14:paraId="1698E83A" w14:textId="77777777" w:rsidR="00874A50" w:rsidRPr="00874A50" w:rsidRDefault="00874A50" w:rsidP="00874A50">
                    <w:pPr>
                      <w:widowControl w:val="0"/>
                      <w:jc w:val="center"/>
                      <w:rPr>
                        <w:rFonts w:cs="Times New Roman"/>
                        <w:kern w:val="2"/>
                        <w:szCs w:val="21"/>
                      </w:rPr>
                    </w:pPr>
                    <w:r w:rsidRPr="00874A50">
                      <w:rPr>
                        <w:rFonts w:cs="Times New Roman" w:hint="eastAsia"/>
                        <w:kern w:val="2"/>
                        <w:szCs w:val="21"/>
                      </w:rPr>
                      <w:t>1</w:t>
                    </w:r>
                  </w:p>
                </w:tc>
                <w:tc>
                  <w:tcPr>
                    <w:tcW w:w="2127" w:type="dxa"/>
                    <w:vMerge w:val="restart"/>
                    <w:vAlign w:val="center"/>
                  </w:tcPr>
                  <w:p w14:paraId="5B540328" w14:textId="3CCD6956" w:rsidR="00874A50" w:rsidRPr="00874A50" w:rsidRDefault="00874A50" w:rsidP="00874A50">
                    <w:pPr>
                      <w:widowControl w:val="0"/>
                      <w:jc w:val="center"/>
                      <w:rPr>
                        <w:rFonts w:cs="Times New Roman"/>
                        <w:kern w:val="2"/>
                        <w:szCs w:val="21"/>
                      </w:rPr>
                    </w:pPr>
                    <w:r w:rsidRPr="00874A50">
                      <w:rPr>
                        <w:rFonts w:cs="Times New Roman" w:hint="eastAsia"/>
                        <w:kern w:val="2"/>
                        <w:szCs w:val="21"/>
                      </w:rPr>
                      <w:t>《工业企业挥发性有机物排放控制标准》</w:t>
                    </w:r>
                  </w:p>
                  <w:p w14:paraId="4109ED33" w14:textId="77777777" w:rsidR="00874A50" w:rsidRPr="00874A50" w:rsidRDefault="00874A50" w:rsidP="00874A50">
                    <w:pPr>
                      <w:widowControl w:val="0"/>
                      <w:jc w:val="center"/>
                      <w:rPr>
                        <w:rFonts w:cs="Times New Roman"/>
                        <w:kern w:val="2"/>
                        <w:szCs w:val="21"/>
                      </w:rPr>
                    </w:pPr>
                    <w:r w:rsidRPr="00874A50">
                      <w:rPr>
                        <w:rFonts w:cs="Times New Roman" w:hint="eastAsia"/>
                        <w:kern w:val="2"/>
                        <w:szCs w:val="21"/>
                      </w:rPr>
                      <w:t>DB12/524—2020</w:t>
                    </w:r>
                  </w:p>
                </w:tc>
              </w:tr>
              <w:tr w:rsidR="00874A50" w:rsidRPr="00874A50" w14:paraId="09EEF045" w14:textId="77777777" w:rsidTr="00874A50">
                <w:trPr>
                  <w:trHeight w:val="275"/>
                </w:trPr>
                <w:tc>
                  <w:tcPr>
                    <w:tcW w:w="1988" w:type="dxa"/>
                    <w:vMerge/>
                    <w:vAlign w:val="center"/>
                  </w:tcPr>
                  <w:p w14:paraId="34B41AEF" w14:textId="77777777" w:rsidR="00874A50" w:rsidRPr="00874A50" w:rsidRDefault="00874A50" w:rsidP="00874A50">
                    <w:pPr>
                      <w:widowControl w:val="0"/>
                      <w:jc w:val="center"/>
                      <w:rPr>
                        <w:rFonts w:cs="Times New Roman"/>
                        <w:kern w:val="2"/>
                        <w:szCs w:val="21"/>
                      </w:rPr>
                    </w:pPr>
                  </w:p>
                </w:tc>
                <w:tc>
                  <w:tcPr>
                    <w:tcW w:w="1987" w:type="dxa"/>
                    <w:vAlign w:val="center"/>
                  </w:tcPr>
                  <w:p w14:paraId="7C7A0701" w14:textId="77777777" w:rsidR="00874A50" w:rsidRPr="00874A50" w:rsidRDefault="00874A50" w:rsidP="00874A50">
                    <w:pPr>
                      <w:widowControl w:val="0"/>
                      <w:jc w:val="center"/>
                      <w:rPr>
                        <w:rFonts w:cs="Times New Roman"/>
                        <w:kern w:val="2"/>
                        <w:szCs w:val="21"/>
                      </w:rPr>
                    </w:pPr>
                    <w:r w:rsidRPr="00874A50">
                      <w:rPr>
                        <w:rFonts w:cs="Times New Roman" w:hint="eastAsia"/>
                        <w:kern w:val="2"/>
                        <w:szCs w:val="21"/>
                      </w:rPr>
                      <w:t>甲苯与二甲苯合计</w:t>
                    </w:r>
                  </w:p>
                </w:tc>
                <w:tc>
                  <w:tcPr>
                    <w:tcW w:w="2000" w:type="dxa"/>
                    <w:vAlign w:val="center"/>
                  </w:tcPr>
                  <w:p w14:paraId="706BBCCD" w14:textId="77777777" w:rsidR="00874A50" w:rsidRPr="00874A50" w:rsidRDefault="00874A50" w:rsidP="00874A50">
                    <w:pPr>
                      <w:widowControl w:val="0"/>
                      <w:jc w:val="center"/>
                      <w:rPr>
                        <w:rFonts w:cs="Arial"/>
                        <w:color w:val="333333"/>
                        <w:szCs w:val="21"/>
                      </w:rPr>
                    </w:pPr>
                    <w:r w:rsidRPr="00874A50">
                      <w:rPr>
                        <w:rFonts w:cs="Times New Roman" w:hint="eastAsia"/>
                        <w:kern w:val="2"/>
                        <w:szCs w:val="21"/>
                      </w:rPr>
                      <w:t>20</w:t>
                    </w:r>
                  </w:p>
                </w:tc>
                <w:tc>
                  <w:tcPr>
                    <w:tcW w:w="2127" w:type="dxa"/>
                    <w:vMerge/>
                    <w:vAlign w:val="center"/>
                  </w:tcPr>
                  <w:p w14:paraId="70370605" w14:textId="77777777" w:rsidR="00874A50" w:rsidRPr="00874A50" w:rsidRDefault="00874A50" w:rsidP="00874A50">
                    <w:pPr>
                      <w:widowControl w:val="0"/>
                      <w:jc w:val="center"/>
                      <w:rPr>
                        <w:rFonts w:cs="Times New Roman"/>
                        <w:kern w:val="2"/>
                        <w:szCs w:val="21"/>
                      </w:rPr>
                    </w:pPr>
                  </w:p>
                </w:tc>
              </w:tr>
              <w:tr w:rsidR="00874A50" w:rsidRPr="00874A50" w14:paraId="155CAA59" w14:textId="77777777" w:rsidTr="00874A50">
                <w:trPr>
                  <w:trHeight w:val="270"/>
                </w:trPr>
                <w:tc>
                  <w:tcPr>
                    <w:tcW w:w="1988" w:type="dxa"/>
                    <w:vMerge/>
                    <w:vAlign w:val="center"/>
                  </w:tcPr>
                  <w:p w14:paraId="2E8443AF" w14:textId="77777777" w:rsidR="00874A50" w:rsidRPr="00874A50" w:rsidRDefault="00874A50" w:rsidP="00874A50">
                    <w:pPr>
                      <w:widowControl w:val="0"/>
                      <w:jc w:val="center"/>
                      <w:rPr>
                        <w:rFonts w:cs="Times New Roman"/>
                        <w:kern w:val="2"/>
                        <w:szCs w:val="21"/>
                      </w:rPr>
                    </w:pPr>
                  </w:p>
                </w:tc>
                <w:tc>
                  <w:tcPr>
                    <w:tcW w:w="1987" w:type="dxa"/>
                    <w:vAlign w:val="center"/>
                  </w:tcPr>
                  <w:p w14:paraId="23256864" w14:textId="77777777" w:rsidR="00874A50" w:rsidRPr="00874A50" w:rsidRDefault="00874A50" w:rsidP="00874A50">
                    <w:pPr>
                      <w:widowControl w:val="0"/>
                      <w:jc w:val="center"/>
                      <w:rPr>
                        <w:rFonts w:cs="Times New Roman"/>
                        <w:kern w:val="2"/>
                        <w:szCs w:val="21"/>
                      </w:rPr>
                    </w:pPr>
                    <w:r w:rsidRPr="00874A50">
                      <w:rPr>
                        <w:rFonts w:cs="Times New Roman" w:hint="eastAsia"/>
                        <w:kern w:val="2"/>
                        <w:szCs w:val="21"/>
                      </w:rPr>
                      <w:t>VOCs</w:t>
                    </w:r>
                  </w:p>
                </w:tc>
                <w:tc>
                  <w:tcPr>
                    <w:tcW w:w="2000" w:type="dxa"/>
                    <w:vAlign w:val="center"/>
                  </w:tcPr>
                  <w:p w14:paraId="6D2299AB" w14:textId="77777777" w:rsidR="00874A50" w:rsidRPr="00874A50" w:rsidRDefault="00874A50" w:rsidP="00874A50">
                    <w:pPr>
                      <w:widowControl w:val="0"/>
                      <w:jc w:val="center"/>
                      <w:rPr>
                        <w:rFonts w:cs="Times New Roman"/>
                        <w:kern w:val="2"/>
                        <w:szCs w:val="21"/>
                      </w:rPr>
                    </w:pPr>
                    <w:r w:rsidRPr="00874A50">
                      <w:rPr>
                        <w:rFonts w:cs="Times New Roman" w:hint="eastAsia"/>
                        <w:kern w:val="2"/>
                        <w:szCs w:val="21"/>
                      </w:rPr>
                      <w:t>40</w:t>
                    </w:r>
                  </w:p>
                </w:tc>
                <w:tc>
                  <w:tcPr>
                    <w:tcW w:w="2127" w:type="dxa"/>
                    <w:vMerge/>
                    <w:vAlign w:val="center"/>
                  </w:tcPr>
                  <w:p w14:paraId="636E310D" w14:textId="77777777" w:rsidR="00874A50" w:rsidRPr="00874A50" w:rsidRDefault="00874A50" w:rsidP="00874A50">
                    <w:pPr>
                      <w:widowControl w:val="0"/>
                      <w:jc w:val="center"/>
                      <w:rPr>
                        <w:rFonts w:cs="Times New Roman"/>
                        <w:kern w:val="2"/>
                        <w:szCs w:val="21"/>
                      </w:rPr>
                    </w:pPr>
                  </w:p>
                </w:tc>
              </w:tr>
            </w:tbl>
            <w:p w14:paraId="1EFFDE05" w14:textId="77777777" w:rsidR="00874A50" w:rsidRPr="00874A50" w:rsidRDefault="00874A50" w:rsidP="00874A50">
              <w:pPr>
                <w:widowControl w:val="0"/>
                <w:jc w:val="both"/>
                <w:rPr>
                  <w:rFonts w:cs="Times New Roman"/>
                  <w:kern w:val="2"/>
                  <w:szCs w:val="21"/>
                </w:rPr>
              </w:pPr>
              <w:r w:rsidRPr="00874A50">
                <w:rPr>
                  <w:rFonts w:cs="Times New Roman" w:hint="eastAsia"/>
                  <w:kern w:val="2"/>
                  <w:szCs w:val="21"/>
                </w:rPr>
                <w:t xml:space="preserve">     3、厂界噪声执行GB12348-2008《工业企业厂界噪声标准》中的3、4类标准，昼间65~70ｄB（A），夜间55ｄB（A）。</w:t>
              </w:r>
            </w:p>
            <w:p w14:paraId="58F51672" w14:textId="053CB8F8" w:rsidR="00874A50" w:rsidRPr="00233518" w:rsidRDefault="00233518" w:rsidP="00233518">
              <w:pPr>
                <w:widowControl w:val="0"/>
                <w:autoSpaceDE w:val="0"/>
                <w:autoSpaceDN w:val="0"/>
                <w:adjustRightInd w:val="0"/>
                <w:rPr>
                  <w:rFonts w:cs="Times New Roman"/>
                  <w:b/>
                  <w:bCs/>
                  <w:kern w:val="2"/>
                  <w:szCs w:val="21"/>
                </w:rPr>
              </w:pPr>
              <w:r w:rsidRPr="00233518">
                <w:rPr>
                  <w:rFonts w:cs="Times New Roman"/>
                  <w:b/>
                  <w:bCs/>
                  <w:kern w:val="2"/>
                  <w:szCs w:val="21"/>
                </w:rPr>
                <w:t>6</w:t>
              </w:r>
              <w:r w:rsidRPr="00233518">
                <w:rPr>
                  <w:rFonts w:cs="Times New Roman" w:hint="eastAsia"/>
                  <w:b/>
                  <w:bCs/>
                  <w:kern w:val="2"/>
                  <w:szCs w:val="21"/>
                </w:rPr>
                <w:t>.</w:t>
              </w:r>
              <w:r w:rsidRPr="00233518">
                <w:rPr>
                  <w:rFonts w:cs="Times New Roman"/>
                  <w:b/>
                  <w:bCs/>
                  <w:kern w:val="2"/>
                  <w:szCs w:val="21"/>
                </w:rPr>
                <w:t xml:space="preserve"> </w:t>
              </w:r>
              <w:r w:rsidR="00874A50" w:rsidRPr="00233518">
                <w:rPr>
                  <w:rFonts w:cs="Times New Roman" w:hint="eastAsia"/>
                  <w:b/>
                  <w:bCs/>
                  <w:kern w:val="2"/>
                  <w:szCs w:val="21"/>
                </w:rPr>
                <w:t>其他环境事项</w:t>
              </w:r>
            </w:p>
            <w:p w14:paraId="1F8128FA" w14:textId="21ED92B2" w:rsidR="007F1C2B" w:rsidRPr="00874A50" w:rsidRDefault="00874A50" w:rsidP="00874A50">
              <w:pPr>
                <w:widowControl w:val="0"/>
                <w:autoSpaceDE w:val="0"/>
                <w:autoSpaceDN w:val="0"/>
                <w:adjustRightInd w:val="0"/>
                <w:ind w:firstLineChars="200" w:firstLine="420"/>
                <w:rPr>
                  <w:rFonts w:cs="Times New Roman"/>
                  <w:kern w:val="2"/>
                  <w:szCs w:val="21"/>
                </w:rPr>
              </w:pPr>
              <w:r w:rsidRPr="00874A50">
                <w:rPr>
                  <w:rFonts w:cs="Times New Roman"/>
                  <w:kern w:val="2"/>
                  <w:szCs w:val="21"/>
                </w:rPr>
                <w:t>20</w:t>
              </w:r>
              <w:r w:rsidRPr="00874A50">
                <w:rPr>
                  <w:rFonts w:cs="Times New Roman" w:hint="eastAsia"/>
                  <w:kern w:val="2"/>
                  <w:szCs w:val="21"/>
                </w:rPr>
                <w:t>21年上半年，未发生环境问题被投诉、环境污染事件。</w:t>
              </w:r>
            </w:p>
          </w:sdtContent>
        </w:sdt>
        <w:bookmarkEnd w:id="47" w:displacedByCustomXml="next"/>
      </w:sdtContent>
    </w:sdt>
    <w:p w14:paraId="390DC75A" w14:textId="06C9586F" w:rsidR="007F1C2B" w:rsidRDefault="00B664AF"/>
    <w:sdt>
      <w:sdtPr>
        <w:rPr>
          <w:rFonts w:ascii="宋体" w:hAnsi="宋体" w:cs="宋体" w:hint="eastAsia"/>
          <w:b w:val="0"/>
          <w:bCs w:val="0"/>
          <w:kern w:val="0"/>
          <w:szCs w:val="21"/>
        </w:rPr>
        <w:alias w:val="模块:报告期内因环境问题受到行政处罚的情况"/>
        <w:tag w:val="_SEC_d4d4f3aa551f4da6b52a96fc74100d07"/>
        <w:id w:val="-833138490"/>
        <w:lock w:val="sdtLocked"/>
        <w:placeholder>
          <w:docPart w:val="GBC22222222222222222222222222222"/>
        </w:placeholder>
      </w:sdtPr>
      <w:sdtEndPr>
        <w:rPr>
          <w:rFonts w:ascii="Calibri" w:hAnsi="Calibri" w:cs="Times New Roman" w:hint="default"/>
          <w:kern w:val="2"/>
          <w:szCs w:val="22"/>
        </w:rPr>
      </w:sdtEndPr>
      <w:sdtContent>
        <w:p w14:paraId="7552422F" w14:textId="04E723B4" w:rsidR="007F1C2B" w:rsidRDefault="004F686E" w:rsidP="004F686E">
          <w:pPr>
            <w:pStyle w:val="4"/>
            <w:numPr>
              <w:ilvl w:val="0"/>
              <w:numId w:val="19"/>
            </w:numPr>
            <w:rPr>
              <w:rFonts w:ascii="宋体" w:hAnsi="宋体" w:cs="宋体"/>
              <w:kern w:val="0"/>
              <w:szCs w:val="21"/>
            </w:rPr>
          </w:pPr>
          <w:r>
            <w:rPr>
              <w:rFonts w:ascii="宋体" w:hAnsi="宋体" w:cs="宋体" w:hint="eastAsia"/>
              <w:kern w:val="0"/>
              <w:szCs w:val="21"/>
            </w:rPr>
            <w:t>报告期内因环境问题受到行政处罚的情况</w:t>
          </w:r>
        </w:p>
        <w:sdt>
          <w:sdtPr>
            <w:rPr>
              <w:rFonts w:ascii="宋体" w:hAnsi="宋体"/>
            </w:rPr>
            <w:alias w:val="是否适用：报告期内因环境问题受到行政处罚的情况[双击切换]"/>
            <w:tag w:val="_GBC_5f5b826efaf649958cd6c4a308bbb8f9"/>
            <w:id w:val="-1695305765"/>
            <w:lock w:val="sdtLocked"/>
            <w:placeholder>
              <w:docPart w:val="GBC22222222222222222222222222222"/>
            </w:placeholder>
          </w:sdtPr>
          <w:sdtEndPr/>
          <w:sdtContent>
            <w:p w14:paraId="3C8AEE86" w14:textId="0E5B3947" w:rsidR="007F1C2B" w:rsidRDefault="004F686E" w:rsidP="00B13627">
              <w:pPr>
                <w:pStyle w:val="afffff2"/>
                <w:ind w:firstLineChars="0" w:firstLine="0"/>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bookmarkStart w:id="48" w:name="_Hlk78811318" w:displacedByCustomXml="next"/>
      </w:sdtContent>
    </w:sdt>
    <w:bookmarkEnd w:id="48" w:displacedByCustomXml="prev"/>
    <w:p w14:paraId="675C976E" w14:textId="77777777" w:rsidR="007F1C2B" w:rsidRDefault="00B664AF"/>
    <w:sdt>
      <w:sdtPr>
        <w:rPr>
          <w:rFonts w:ascii="宋体" w:hAnsi="宋体" w:cs="宋体" w:hint="eastAsia"/>
          <w:b w:val="0"/>
          <w:bCs w:val="0"/>
          <w:kern w:val="0"/>
          <w:szCs w:val="21"/>
        </w:rPr>
        <w:alias w:val="模块:其他应当公开的环境信息"/>
        <w:tag w:val="_SEC_c87c813c87604960a2e846d148a1280c"/>
        <w:id w:val="1703821267"/>
        <w:lock w:val="sdtLocked"/>
        <w:placeholder>
          <w:docPart w:val="GBC22222222222222222222222222222"/>
        </w:placeholder>
      </w:sdtPr>
      <w:sdtEndPr>
        <w:rPr>
          <w:szCs w:val="24"/>
        </w:rPr>
      </w:sdtEndPr>
      <w:sdtContent>
        <w:p w14:paraId="60A59AF0" w14:textId="77777777" w:rsidR="007F1C2B" w:rsidRDefault="004F686E" w:rsidP="004F686E">
          <w:pPr>
            <w:pStyle w:val="4"/>
            <w:numPr>
              <w:ilvl w:val="0"/>
              <w:numId w:val="19"/>
            </w:numPr>
            <w:rPr>
              <w:rFonts w:ascii="宋体" w:hAnsi="宋体"/>
              <w:bCs w:val="0"/>
              <w:szCs w:val="22"/>
            </w:rPr>
          </w:pPr>
          <w:r>
            <w:rPr>
              <w:rFonts w:ascii="宋体" w:hAnsi="宋体" w:hint="eastAsia"/>
              <w:szCs w:val="21"/>
            </w:rPr>
            <w:t>其他应当公开的环境信息</w:t>
          </w:r>
        </w:p>
        <w:sdt>
          <w:sdtPr>
            <w:alias w:val="是否适用：其他应当公开的环境信息[双击切换]"/>
            <w:tag w:val="_GBC_b667f965a34943718106b9347a0b30af"/>
            <w:id w:val="344989092"/>
            <w:lock w:val="sdtLocked"/>
            <w:placeholder>
              <w:docPart w:val="GBC22222222222222222222222222222"/>
            </w:placeholder>
          </w:sdtPr>
          <w:sdtEndPr/>
          <w:sdtContent>
            <w:p w14:paraId="4A252010" w14:textId="7C6FE419" w:rsidR="007F1C2B" w:rsidRDefault="004F686E" w:rsidP="00B13627">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FD0766F" w14:textId="1B5C55AC" w:rsidR="007F1C2B" w:rsidRDefault="00B664AF"/>
      </w:sdtContent>
    </w:sdt>
    <w:p w14:paraId="3FCFC88D" w14:textId="3B6A7040" w:rsidR="007F1C2B" w:rsidRDefault="004F686E" w:rsidP="004F686E">
      <w:pPr>
        <w:pStyle w:val="3"/>
        <w:numPr>
          <w:ilvl w:val="0"/>
          <w:numId w:val="18"/>
        </w:numPr>
        <w:rPr>
          <w:rFonts w:ascii="宋体" w:hAnsi="宋体"/>
        </w:rPr>
      </w:pPr>
      <w:r>
        <w:rPr>
          <w:rFonts w:ascii="宋体" w:hAnsi="宋体" w:hint="eastAsia"/>
        </w:rPr>
        <w:t>重点排污单位之外的公司环保情况说明</w:t>
      </w:r>
    </w:p>
    <w:sdt>
      <w:sdtPr>
        <w:alias w:val="是否适用：重点排污单位之外的公司的环保情况[双击切换]"/>
        <w:tag w:val="_GBC_5429e6d325df48abbf95eb4f87e71363"/>
        <w:id w:val="-764613605"/>
        <w:lock w:val="sdtLocked"/>
        <w:placeholder>
          <w:docPart w:val="GBC22222222222222222222222222222"/>
        </w:placeholder>
      </w:sdtPr>
      <w:sdtEndPr/>
      <w:sdtContent>
        <w:p w14:paraId="4C7C4369" w14:textId="14CA8818" w:rsidR="00793576" w:rsidRDefault="004F686E" w:rsidP="00793576">
          <w:r>
            <w:fldChar w:fldCharType="begin"/>
          </w:r>
          <w:r w:rsidR="00793576">
            <w:instrText xml:space="preserve"> MACROBUTTON  SnrToggleCheckbox □适用 </w:instrText>
          </w:r>
          <w:r>
            <w:fldChar w:fldCharType="end"/>
          </w:r>
          <w:r>
            <w:fldChar w:fldCharType="begin"/>
          </w:r>
          <w:r w:rsidR="00793576">
            <w:instrText xml:space="preserve"> MACROBUTTON  SnrToggleCheckbox √不适用 </w:instrText>
          </w:r>
          <w:r>
            <w:fldChar w:fldCharType="end"/>
          </w:r>
        </w:p>
      </w:sdtContent>
    </w:sdt>
    <w:p w14:paraId="229C0EBE" w14:textId="77777777" w:rsidR="00793576" w:rsidRDefault="00793576"/>
    <w:sdt>
      <w:sdtPr>
        <w:rPr>
          <w:rFonts w:ascii="宋体" w:hAnsi="宋体" w:cs="宋体" w:hint="eastAsia"/>
          <w:b w:val="0"/>
          <w:bCs w:val="0"/>
          <w:kern w:val="0"/>
          <w:szCs w:val="24"/>
        </w:rPr>
        <w:alias w:val="模块:报告期内披露环境信息内容的后续进展或变化情况的说明"/>
        <w:tag w:val="_SEC_3c63bb32177f4f368bb662e3b696830a"/>
        <w:id w:val="-49307415"/>
        <w:lock w:val="sdtLocked"/>
        <w:placeholder>
          <w:docPart w:val="GBC22222222222222222222222222222"/>
        </w:placeholder>
      </w:sdtPr>
      <w:sdtEndPr/>
      <w:sdtContent>
        <w:p w14:paraId="212245A2" w14:textId="77777777" w:rsidR="007F1C2B" w:rsidRDefault="004F686E" w:rsidP="004F686E">
          <w:pPr>
            <w:pStyle w:val="3"/>
            <w:numPr>
              <w:ilvl w:val="0"/>
              <w:numId w:val="18"/>
            </w:numPr>
            <w:rPr>
              <w:rFonts w:ascii="宋体" w:hAnsi="宋体"/>
            </w:rPr>
          </w:pPr>
          <w:r>
            <w:rPr>
              <w:rFonts w:ascii="宋体" w:hAnsi="宋体" w:hint="eastAsia"/>
            </w:rPr>
            <w:t>报告期内披露环境信息内容的后续进展或变化情况的说明</w:t>
          </w:r>
        </w:p>
        <w:sdt>
          <w:sdtPr>
            <w:alias w:val="是否适用：披露环境信息内容的后续进展或变化情况[双击切换]"/>
            <w:tag w:val="_GBC_451a415ae7344df7ba110ec71bce5279"/>
            <w:id w:val="-865054336"/>
            <w:lock w:val="sdtLocked"/>
            <w:placeholder>
              <w:docPart w:val="GBC22222222222222222222222222222"/>
            </w:placeholder>
          </w:sdtPr>
          <w:sdtEndPr/>
          <w:sdtContent>
            <w:p w14:paraId="42A54E5B" w14:textId="0A7E1144" w:rsidR="007F1C2B" w:rsidRDefault="004F686E" w:rsidP="00DB2A54">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ABBE0D5" w14:textId="4349E9D3" w:rsidR="007F1C2B" w:rsidRDefault="00B664AF"/>
      </w:sdtContent>
    </w:sdt>
    <w:sdt>
      <w:sdtPr>
        <w:rPr>
          <w:rFonts w:ascii="宋体" w:hAnsi="宋体" w:cs="宋体" w:hint="eastAsia"/>
          <w:b w:val="0"/>
          <w:bCs w:val="0"/>
          <w:kern w:val="0"/>
          <w:szCs w:val="24"/>
        </w:rPr>
        <w:alias w:val="模块:有利于保护生态、防治污染、履行环境责任的相关信息  __..."/>
        <w:tag w:val="_SEC_94dff50e6ff346df8df30ef5135f60ea"/>
        <w:id w:val="393244842"/>
        <w:lock w:val="sdtLocked"/>
        <w:placeholder>
          <w:docPart w:val="GBC22222222222222222222222222222"/>
        </w:placeholder>
      </w:sdtPr>
      <w:sdtEndPr>
        <w:rPr>
          <w:rFonts w:hint="default"/>
        </w:rPr>
      </w:sdtEndPr>
      <w:sdtContent>
        <w:p w14:paraId="4592E278" w14:textId="1175CD3F" w:rsidR="007F1C2B" w:rsidRDefault="004F686E" w:rsidP="004F686E">
          <w:pPr>
            <w:pStyle w:val="3"/>
            <w:numPr>
              <w:ilvl w:val="0"/>
              <w:numId w:val="18"/>
            </w:numPr>
            <w:ind w:left="450" w:hanging="450"/>
            <w:rPr>
              <w:rFonts w:ascii="宋体" w:hAnsi="宋体" w:cs="宋体"/>
              <w:kern w:val="0"/>
              <w:szCs w:val="24"/>
            </w:rPr>
          </w:pPr>
          <w:r>
            <w:rPr>
              <w:rFonts w:ascii="宋体" w:hAnsi="宋体" w:cs="宋体" w:hint="eastAsia"/>
              <w:kern w:val="0"/>
              <w:szCs w:val="24"/>
            </w:rPr>
            <w:t xml:space="preserve"> 有利于保护生态、防治污染、履行环境责任的相关信息</w:t>
          </w:r>
        </w:p>
        <w:sdt>
          <w:sdtPr>
            <w:rPr>
              <w:szCs w:val="21"/>
            </w:rPr>
            <w:alias w:val="是否适用：有利于保护生态、防治污染、履行环境责任的相关信息[双击切换]"/>
            <w:tag w:val="_GBC_1d95a0d39baa46e594806677748c6810"/>
            <w:id w:val="2078775885"/>
            <w:lock w:val="sdtLocked"/>
            <w:placeholder>
              <w:docPart w:val="GBC22222222222222222222222222222"/>
            </w:placeholder>
          </w:sdtPr>
          <w:sdtEndPr/>
          <w:sdtContent>
            <w:p w14:paraId="2F06F38E" w14:textId="5850B49B" w:rsidR="00AB11FD" w:rsidRDefault="004F686E" w:rsidP="00AB11FD">
              <w:pPr>
                <w:rPr>
                  <w:szCs w:val="21"/>
                </w:rPr>
              </w:pPr>
              <w:r>
                <w:rPr>
                  <w:szCs w:val="21"/>
                </w:rPr>
                <w:fldChar w:fldCharType="begin"/>
              </w:r>
              <w:r w:rsidR="00AB11FD">
                <w:rPr>
                  <w:szCs w:val="21"/>
                </w:rPr>
                <w:instrText xml:space="preserve"> MACROBUTTON  SnrToggleCheckbox □适用 </w:instrText>
              </w:r>
              <w:r>
                <w:rPr>
                  <w:szCs w:val="21"/>
                </w:rPr>
                <w:fldChar w:fldCharType="end"/>
              </w:r>
              <w:r>
                <w:rPr>
                  <w:szCs w:val="21"/>
                </w:rPr>
                <w:fldChar w:fldCharType="begin"/>
              </w:r>
              <w:r w:rsidR="00AB11FD">
                <w:rPr>
                  <w:szCs w:val="21"/>
                </w:rPr>
                <w:instrText xml:space="preserve"> MACROBUTTON  SnrToggleCheckbox √不适用 </w:instrText>
              </w:r>
              <w:r>
                <w:rPr>
                  <w:szCs w:val="21"/>
                </w:rPr>
                <w:fldChar w:fldCharType="end"/>
              </w:r>
            </w:p>
          </w:sdtContent>
        </w:sdt>
        <w:p w14:paraId="38BA5FE2" w14:textId="65219A54" w:rsidR="007F1C2B" w:rsidRDefault="00B664AF" w:rsidP="0089112F">
          <w:pPr>
            <w:ind w:firstLineChars="200" w:firstLine="420"/>
            <w:rPr>
              <w:szCs w:val="21"/>
            </w:rPr>
          </w:pPr>
        </w:p>
        <w:p w14:paraId="059C1EEB" w14:textId="6D31256E" w:rsidR="007F1C2B" w:rsidRDefault="00B664AF"/>
      </w:sdtContent>
    </w:sdt>
    <w:sdt>
      <w:sdtPr>
        <w:rPr>
          <w:rFonts w:ascii="宋体" w:hAnsi="宋体" w:cs="宋体"/>
          <w:b w:val="0"/>
          <w:bCs w:val="0"/>
          <w:kern w:val="0"/>
          <w:szCs w:val="24"/>
        </w:rPr>
        <w:alias w:val="模块:在报告期内为减少其碳排放所采取的措施及效果"/>
        <w:tag w:val="_SEC_87628184e820413e96ce4b271e0a263e"/>
        <w:id w:val="1894156975"/>
        <w:lock w:val="sdtLocked"/>
        <w:placeholder>
          <w:docPart w:val="GBC22222222222222222222222222222"/>
        </w:placeholder>
      </w:sdtPr>
      <w:sdtEndPr/>
      <w:sdtContent>
        <w:p w14:paraId="234476A9" w14:textId="62331C73" w:rsidR="007F1C2B" w:rsidRDefault="004F686E" w:rsidP="004F686E">
          <w:pPr>
            <w:pStyle w:val="3"/>
            <w:numPr>
              <w:ilvl w:val="0"/>
              <w:numId w:val="18"/>
            </w:numPr>
            <w:ind w:left="450" w:hanging="450"/>
            <w:rPr>
              <w:rFonts w:ascii="宋体" w:hAnsi="宋体"/>
            </w:rPr>
          </w:pPr>
          <w:r>
            <w:rPr>
              <w:rFonts w:ascii="宋体" w:hAnsi="宋体"/>
            </w:rPr>
            <w:t>在报告期内为减少其碳排放所采取的措施及效果</w:t>
          </w:r>
        </w:p>
        <w:sdt>
          <w:sdtPr>
            <w:alias w:val="是否适用：在报告期内为减少其碳排放所采取的措施及效果 [双击切换]"/>
            <w:tag w:val="_GBC_ca569fabe8a9403daf36205eb0a0b1c9"/>
            <w:id w:val="-1803618836"/>
            <w:lock w:val="sdtLocked"/>
            <w:placeholder>
              <w:docPart w:val="GBC22222222222222222222222222222"/>
            </w:placeholder>
          </w:sdtPr>
          <w:sdtEndPr/>
          <w:sdtContent>
            <w:p w14:paraId="1488E4E0" w14:textId="529AEEEA" w:rsidR="00AB11FD" w:rsidRDefault="004F686E" w:rsidP="00AB11FD">
              <w:r>
                <w:fldChar w:fldCharType="begin"/>
              </w:r>
              <w:r w:rsidR="00AB11FD">
                <w:instrText xml:space="preserve"> MACROBUTTON  SnrToggleCheckbox □适用 </w:instrText>
              </w:r>
              <w:r>
                <w:fldChar w:fldCharType="end"/>
              </w:r>
              <w:r>
                <w:fldChar w:fldCharType="begin"/>
              </w:r>
              <w:r w:rsidR="00AB11FD">
                <w:instrText xml:space="preserve"> MACROBUTTON  SnrToggleCheckbox √不适用 </w:instrText>
              </w:r>
              <w:r>
                <w:fldChar w:fldCharType="end"/>
              </w:r>
            </w:p>
          </w:sdtContent>
        </w:sdt>
        <w:p w14:paraId="62C110AF" w14:textId="79B764C4" w:rsidR="007F1C2B" w:rsidRDefault="00B664AF" w:rsidP="0089112F">
          <w:pPr>
            <w:ind w:firstLineChars="200" w:firstLine="420"/>
          </w:pPr>
        </w:p>
      </w:sdtContent>
    </w:sdt>
    <w:p w14:paraId="0B2C4FFB" w14:textId="4FAAA96F" w:rsidR="007F1C2B" w:rsidRDefault="00B664AF"/>
    <w:bookmarkEnd w:id="42" w:displacedByCustomXml="next"/>
    <w:sdt>
      <w:sdtPr>
        <w:rPr>
          <w:rFonts w:ascii="宋体" w:hAnsi="宋体" w:cs="宋体" w:hint="eastAsia"/>
          <w:b w:val="0"/>
          <w:bCs w:val="0"/>
          <w:kern w:val="0"/>
          <w:szCs w:val="24"/>
        </w:rPr>
        <w:alias w:val="模块:巩固拓展脱贫攻坚成果、乡村振兴工作具体情况"/>
        <w:tag w:val="_SEC_108ac2551a8348aa822912cd114d975d"/>
        <w:id w:val="1587113397"/>
        <w:lock w:val="sdtLocked"/>
        <w:placeholder>
          <w:docPart w:val="GBC22222222222222222222222222222"/>
        </w:placeholder>
      </w:sdtPr>
      <w:sdtEndPr>
        <w:rPr>
          <w:rFonts w:hint="default"/>
        </w:rPr>
      </w:sdtEndPr>
      <w:sdtContent>
        <w:p w14:paraId="1541EBBE" w14:textId="2BB06F6A" w:rsidR="007F1C2B" w:rsidRDefault="004F686E" w:rsidP="004F686E">
          <w:pPr>
            <w:pStyle w:val="2"/>
            <w:numPr>
              <w:ilvl w:val="0"/>
              <w:numId w:val="17"/>
            </w:numPr>
            <w:tabs>
              <w:tab w:val="left" w:pos="426"/>
            </w:tabs>
            <w:jc w:val="left"/>
            <w:rPr>
              <w:rFonts w:ascii="宋体" w:hAnsi="宋体"/>
            </w:rPr>
          </w:pPr>
          <w:r>
            <w:rPr>
              <w:rFonts w:ascii="宋体" w:hAnsi="宋体" w:hint="eastAsia"/>
            </w:rPr>
            <w:t>巩固拓展脱贫攻坚成果、乡村振兴等工作具体情况</w:t>
          </w:r>
        </w:p>
        <w:sdt>
          <w:sdtPr>
            <w:alias w:val="是否适用：巩固拓展脱贫攻坚成果、乡村振兴工作具体情况[双击切换]"/>
            <w:tag w:val="_GBC_343d238938b047859f321e95ba7397a9"/>
            <w:id w:val="-1008293041"/>
            <w:lock w:val="sdtLocked"/>
            <w:placeholder>
              <w:docPart w:val="GBC22222222222222222222222222222"/>
            </w:placeholder>
          </w:sdtPr>
          <w:sdtEndPr/>
          <w:sdtContent>
            <w:p w14:paraId="1CFD9278" w14:textId="34543DAF" w:rsidR="007F1C2B"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巩固拓展脱贫攻坚成果、乡村振兴工作具体情况"/>
            <w:tag w:val="_GBC_d85322d97d5a43f2aa7d20954969492d"/>
            <w:id w:val="1291478541"/>
            <w:lock w:val="sdtLocked"/>
            <w:placeholder>
              <w:docPart w:val="GBC22222222222222222222222222222"/>
            </w:placeholder>
          </w:sdtPr>
          <w:sdtEndPr/>
          <w:sdtContent>
            <w:p w14:paraId="45EBACB4" w14:textId="0FD374FD" w:rsidR="00600CF4" w:rsidRDefault="004F686E" w:rsidP="00194245">
              <w:pPr>
                <w:ind w:firstLineChars="200" w:firstLine="420"/>
              </w:pPr>
              <w:r>
                <w:t>1.</w:t>
              </w:r>
              <w:r>
                <w:rPr>
                  <w:rFonts w:hint="eastAsia"/>
                </w:rPr>
                <w:t>公司</w:t>
              </w:r>
              <w:r w:rsidRPr="00600CF4">
                <w:rPr>
                  <w:rFonts w:hint="eastAsia"/>
                </w:rPr>
                <w:t>工会重大节日</w:t>
              </w:r>
              <w:r>
                <w:rPr>
                  <w:rFonts w:hint="eastAsia"/>
                </w:rPr>
                <w:t>为</w:t>
              </w:r>
              <w:r w:rsidRPr="00600CF4">
                <w:rPr>
                  <w:rFonts w:hint="eastAsia"/>
                </w:rPr>
                <w:t>员工</w:t>
              </w:r>
              <w:r>
                <w:rPr>
                  <w:rFonts w:hint="eastAsia"/>
                </w:rPr>
                <w:t>发放</w:t>
              </w:r>
              <w:r w:rsidRPr="00600CF4">
                <w:rPr>
                  <w:rFonts w:hint="eastAsia"/>
                </w:rPr>
                <w:t>慰问品</w:t>
              </w:r>
              <w:r>
                <w:rPr>
                  <w:rFonts w:hint="eastAsia"/>
                </w:rPr>
                <w:t>，产品采购地均为定点帮扶地区，</w:t>
              </w:r>
              <w:r w:rsidRPr="00600CF4">
                <w:rPr>
                  <w:rFonts w:hint="eastAsia"/>
                </w:rPr>
                <w:t>上半年工会共采购扶贫产品</w:t>
              </w:r>
              <w:r w:rsidRPr="00600CF4">
                <w:t>29.62万元</w:t>
              </w:r>
              <w:r w:rsidR="00AB11FD">
                <w:rPr>
                  <w:rFonts w:hint="eastAsia"/>
                </w:rPr>
                <w:t>。</w:t>
              </w:r>
            </w:p>
            <w:p w14:paraId="1772C7D8" w14:textId="3E3BD2C5" w:rsidR="007F1C2B" w:rsidRDefault="004F686E" w:rsidP="00194245">
              <w:pPr>
                <w:ind w:firstLineChars="200" w:firstLine="420"/>
              </w:pPr>
              <w:r>
                <w:t>2.</w:t>
              </w:r>
              <w:r>
                <w:rPr>
                  <w:rFonts w:hint="eastAsia"/>
                </w:rPr>
                <w:t>公司</w:t>
              </w:r>
              <w:r w:rsidRPr="00600CF4">
                <w:rPr>
                  <w:rFonts w:hint="eastAsia"/>
                </w:rPr>
                <w:t>食堂采购日常食品</w:t>
              </w:r>
              <w:r>
                <w:rPr>
                  <w:rFonts w:hint="eastAsia"/>
                </w:rPr>
                <w:t>，原材料来自定点帮扶地区，上半年</w:t>
              </w:r>
              <w:r w:rsidRPr="00600CF4">
                <w:rPr>
                  <w:rFonts w:hint="eastAsia"/>
                </w:rPr>
                <w:t>食堂</w:t>
              </w:r>
              <w:r>
                <w:rPr>
                  <w:rFonts w:hint="eastAsia"/>
                </w:rPr>
                <w:t>共采购扶贫产品</w:t>
              </w:r>
              <w:r w:rsidRPr="00600CF4">
                <w:rPr>
                  <w:rFonts w:hint="eastAsia"/>
                </w:rPr>
                <w:t>约</w:t>
              </w:r>
              <w:r w:rsidRPr="00600CF4">
                <w:t>22.12万元</w:t>
              </w:r>
              <w:r w:rsidR="00AB11FD">
                <w:rPr>
                  <w:rFonts w:hint="eastAsia"/>
                </w:rPr>
                <w:t>。</w:t>
              </w:r>
            </w:p>
          </w:sdtContent>
        </w:sdt>
        <w:p w14:paraId="46E8D325" w14:textId="10C95948" w:rsidR="007F1C2B" w:rsidRDefault="00B664AF"/>
      </w:sdtContent>
    </w:sdt>
    <w:p w14:paraId="48827E8D" w14:textId="77777777" w:rsidR="007F1C2B" w:rsidRDefault="00B664AF">
      <w:pPr>
        <w:sectPr w:rsidR="007F1C2B" w:rsidSect="004860B6">
          <w:pgSz w:w="11906" w:h="16838"/>
          <w:pgMar w:top="1525" w:right="1276" w:bottom="1440" w:left="1797" w:header="851" w:footer="992" w:gutter="0"/>
          <w:cols w:space="425"/>
          <w:docGrid w:linePitch="312"/>
        </w:sectPr>
      </w:pPr>
    </w:p>
    <w:p w14:paraId="4473B26A" w14:textId="77777777" w:rsidR="007F1C2B" w:rsidRDefault="004F686E" w:rsidP="004F686E">
      <w:pPr>
        <w:pStyle w:val="10"/>
        <w:numPr>
          <w:ilvl w:val="0"/>
          <w:numId w:val="3"/>
        </w:numPr>
        <w:rPr>
          <w:rFonts w:ascii="黑体" w:hAnsi="黑体"/>
        </w:rPr>
      </w:pPr>
      <w:bookmarkStart w:id="49" w:name="_Toc76114277"/>
      <w:r>
        <w:rPr>
          <w:rFonts w:ascii="黑体" w:hAnsi="黑体"/>
        </w:rPr>
        <w:lastRenderedPageBreak/>
        <w:t>重要事项</w:t>
      </w:r>
      <w:bookmarkEnd w:id="49"/>
    </w:p>
    <w:p w14:paraId="5C53AE84" w14:textId="6AB4BE38" w:rsidR="007F1C2B" w:rsidRDefault="00B664AF"/>
    <w:p w14:paraId="61E261FB" w14:textId="77777777" w:rsidR="007F1C2B" w:rsidRDefault="004F686E" w:rsidP="004F686E">
      <w:pPr>
        <w:pStyle w:val="2"/>
        <w:numPr>
          <w:ilvl w:val="0"/>
          <w:numId w:val="20"/>
        </w:numPr>
        <w:tabs>
          <w:tab w:val="left" w:pos="426"/>
        </w:tabs>
        <w:ind w:firstLineChars="0"/>
        <w:jc w:val="left"/>
        <w:rPr>
          <w:rFonts w:ascii="宋体" w:hAnsi="宋体"/>
        </w:rPr>
      </w:pPr>
      <w:bookmarkStart w:id="50" w:name="_Toc342565988"/>
      <w:r>
        <w:rPr>
          <w:rFonts w:ascii="宋体" w:hAnsi="宋体" w:hint="eastAsia"/>
        </w:rPr>
        <w:t>承诺事项履行情况</w:t>
      </w:r>
    </w:p>
    <w:sdt>
      <w:sdtPr>
        <w:rPr>
          <w:rFonts w:ascii="宋体" w:hAnsi="宋体" w:cs="宋体" w:hint="eastAsia"/>
          <w:b w:val="0"/>
          <w:bCs w:val="0"/>
          <w:kern w:val="0"/>
          <w:szCs w:val="21"/>
        </w:rPr>
        <w:alias w:val="模块:公司实际控制人、股东、关联方、收购人以及公司等承诺相关方在报..."/>
        <w:tag w:val="_SEC_0b5886e57afd437b88c6e55a33dbccb9"/>
        <w:id w:val="-1798060693"/>
        <w:lock w:val="sdtLocked"/>
        <w:placeholder>
          <w:docPart w:val="GBC22222222222222222222222222222"/>
        </w:placeholder>
      </w:sdtPr>
      <w:sdtEndPr>
        <w:rPr>
          <w:rFonts w:hint="default"/>
        </w:rPr>
      </w:sdtEndPr>
      <w:sdtContent>
        <w:p w14:paraId="44D5C688" w14:textId="77777777" w:rsidR="007F1C2B" w:rsidRDefault="004F686E" w:rsidP="004F686E">
          <w:pPr>
            <w:pStyle w:val="3"/>
            <w:numPr>
              <w:ilvl w:val="1"/>
              <w:numId w:val="21"/>
            </w:numPr>
            <w:rPr>
              <w:rFonts w:ascii="宋体" w:hAnsi="宋体"/>
              <w:szCs w:val="21"/>
            </w:rPr>
          </w:pPr>
          <w:r>
            <w:rPr>
              <w:rFonts w:ascii="宋体" w:hAnsi="宋体"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1f306de554d7473c98965061dbefd050"/>
            <w:id w:val="369198106"/>
            <w:lock w:val="sdtLocked"/>
            <w:placeholder>
              <w:docPart w:val="GBC22222222222222222222222222222"/>
            </w:placeholder>
          </w:sdtPr>
          <w:sdtEndPr/>
          <w:sdtContent>
            <w:p w14:paraId="582E1BE8" w14:textId="5BBDAE40" w:rsidR="007F1C2B"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Style w:val="g4"/>
            <w:tblW w:w="5005"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697"/>
            <w:gridCol w:w="838"/>
            <w:gridCol w:w="6414"/>
            <w:gridCol w:w="699"/>
            <w:gridCol w:w="697"/>
            <w:gridCol w:w="697"/>
            <w:gridCol w:w="2093"/>
            <w:gridCol w:w="1060"/>
          </w:tblGrid>
          <w:tr w:rsidR="00254FDF" w14:paraId="25415A52" w14:textId="77777777" w:rsidTr="00E455FF">
            <w:sdt>
              <w:sdtPr>
                <w:tag w:val="_PLD_7cf4be735507474ea2ffb334536196ae"/>
                <w:id w:val="1179394000"/>
                <w:lock w:val="sdtLocked"/>
              </w:sdtPr>
              <w:sdtEndPr/>
              <w:sdtContent>
                <w:tc>
                  <w:tcPr>
                    <w:tcW w:w="246" w:type="pct"/>
                    <w:shd w:val="clear" w:color="auto" w:fill="auto"/>
                    <w:vAlign w:val="center"/>
                  </w:tcPr>
                  <w:p w14:paraId="08DE8CA5" w14:textId="77777777" w:rsidR="00254FDF" w:rsidRDefault="004F686E" w:rsidP="00471D53">
                    <w:pPr>
                      <w:jc w:val="center"/>
                      <w:rPr>
                        <w:szCs w:val="21"/>
                      </w:rPr>
                    </w:pPr>
                    <w:r>
                      <w:rPr>
                        <w:rFonts w:hint="eastAsia"/>
                        <w:szCs w:val="21"/>
                      </w:rPr>
                      <w:t>承诺背景</w:t>
                    </w:r>
                  </w:p>
                </w:tc>
              </w:sdtContent>
            </w:sdt>
            <w:sdt>
              <w:sdtPr>
                <w:tag w:val="_PLD_77809d9b500842ee846f5b9234afaf2c"/>
                <w:id w:val="-830289764"/>
                <w:lock w:val="sdtLocked"/>
              </w:sdtPr>
              <w:sdtEndPr/>
              <w:sdtContent>
                <w:tc>
                  <w:tcPr>
                    <w:tcW w:w="251" w:type="pct"/>
                    <w:shd w:val="clear" w:color="auto" w:fill="auto"/>
                    <w:vAlign w:val="center"/>
                  </w:tcPr>
                  <w:p w14:paraId="5CC63842" w14:textId="77777777" w:rsidR="00254FDF" w:rsidRDefault="004F686E" w:rsidP="00471D53">
                    <w:pPr>
                      <w:jc w:val="center"/>
                      <w:rPr>
                        <w:szCs w:val="21"/>
                      </w:rPr>
                    </w:pPr>
                    <w:r>
                      <w:rPr>
                        <w:rFonts w:hint="eastAsia"/>
                        <w:szCs w:val="21"/>
                      </w:rPr>
                      <w:t>承诺</w:t>
                    </w:r>
                  </w:p>
                  <w:p w14:paraId="3B691D29" w14:textId="77777777" w:rsidR="00254FDF" w:rsidRDefault="004F686E" w:rsidP="00471D53">
                    <w:pPr>
                      <w:jc w:val="center"/>
                      <w:rPr>
                        <w:szCs w:val="21"/>
                      </w:rPr>
                    </w:pPr>
                    <w:r>
                      <w:rPr>
                        <w:rFonts w:hint="eastAsia"/>
                        <w:szCs w:val="21"/>
                      </w:rPr>
                      <w:t>类型</w:t>
                    </w:r>
                  </w:p>
                </w:tc>
              </w:sdtContent>
            </w:sdt>
            <w:sdt>
              <w:sdtPr>
                <w:tag w:val="_PLD_d21f336f76d6499095ebb0491402a947"/>
                <w:id w:val="1971327707"/>
                <w:lock w:val="sdtLocked"/>
              </w:sdtPr>
              <w:sdtEndPr/>
              <w:sdtContent>
                <w:tc>
                  <w:tcPr>
                    <w:tcW w:w="302" w:type="pct"/>
                    <w:shd w:val="clear" w:color="auto" w:fill="auto"/>
                    <w:vAlign w:val="center"/>
                  </w:tcPr>
                  <w:p w14:paraId="4A9077EC" w14:textId="77777777" w:rsidR="00254FDF" w:rsidRDefault="004F686E" w:rsidP="00471D53">
                    <w:pPr>
                      <w:jc w:val="center"/>
                      <w:rPr>
                        <w:szCs w:val="21"/>
                      </w:rPr>
                    </w:pPr>
                    <w:r>
                      <w:rPr>
                        <w:rFonts w:hint="eastAsia"/>
                        <w:szCs w:val="21"/>
                      </w:rPr>
                      <w:t>承诺方</w:t>
                    </w:r>
                  </w:p>
                </w:tc>
              </w:sdtContent>
            </w:sdt>
            <w:sdt>
              <w:sdtPr>
                <w:tag w:val="_PLD_edc023441e514f09b2c6745eaeed4f1d"/>
                <w:id w:val="-1532481706"/>
                <w:lock w:val="sdtLocked"/>
              </w:sdtPr>
              <w:sdtEndPr/>
              <w:sdtContent>
                <w:tc>
                  <w:tcPr>
                    <w:tcW w:w="2311" w:type="pct"/>
                    <w:shd w:val="clear" w:color="auto" w:fill="auto"/>
                    <w:vAlign w:val="center"/>
                  </w:tcPr>
                  <w:p w14:paraId="23558442" w14:textId="77777777" w:rsidR="00254FDF" w:rsidRDefault="004F686E" w:rsidP="00471D53">
                    <w:pPr>
                      <w:jc w:val="center"/>
                      <w:rPr>
                        <w:szCs w:val="21"/>
                      </w:rPr>
                    </w:pPr>
                    <w:r>
                      <w:rPr>
                        <w:rFonts w:hint="eastAsia"/>
                        <w:szCs w:val="21"/>
                      </w:rPr>
                      <w:t>承诺</w:t>
                    </w:r>
                  </w:p>
                  <w:p w14:paraId="22BFA48E" w14:textId="77777777" w:rsidR="00254FDF" w:rsidRDefault="004F686E" w:rsidP="00471D53">
                    <w:pPr>
                      <w:jc w:val="center"/>
                      <w:rPr>
                        <w:szCs w:val="21"/>
                      </w:rPr>
                    </w:pPr>
                    <w:r>
                      <w:rPr>
                        <w:rFonts w:hint="eastAsia"/>
                        <w:szCs w:val="21"/>
                      </w:rPr>
                      <w:t>内容</w:t>
                    </w:r>
                  </w:p>
                </w:tc>
              </w:sdtContent>
            </w:sdt>
            <w:sdt>
              <w:sdtPr>
                <w:tag w:val="_PLD_d398e2f412b141208b0742084901cc8c"/>
                <w:id w:val="1504548667"/>
                <w:lock w:val="sdtLocked"/>
              </w:sdtPr>
              <w:sdtEndPr/>
              <w:sdtContent>
                <w:tc>
                  <w:tcPr>
                    <w:tcW w:w="252" w:type="pct"/>
                    <w:shd w:val="clear" w:color="auto" w:fill="auto"/>
                    <w:vAlign w:val="center"/>
                  </w:tcPr>
                  <w:p w14:paraId="2D18A77D" w14:textId="77777777" w:rsidR="00254FDF" w:rsidRDefault="004F686E" w:rsidP="00471D53">
                    <w:pPr>
                      <w:jc w:val="center"/>
                      <w:rPr>
                        <w:szCs w:val="21"/>
                      </w:rPr>
                    </w:pPr>
                    <w:r>
                      <w:rPr>
                        <w:rFonts w:hint="eastAsia"/>
                        <w:szCs w:val="21"/>
                      </w:rPr>
                      <w:t>承诺时间及期限</w:t>
                    </w:r>
                  </w:p>
                </w:tc>
              </w:sdtContent>
            </w:sdt>
            <w:sdt>
              <w:sdtPr>
                <w:tag w:val="_PLD_1bb30cce0850445480f1557cc607067b"/>
                <w:id w:val="341743921"/>
                <w:lock w:val="sdtLocked"/>
              </w:sdtPr>
              <w:sdtEndPr/>
              <w:sdtContent>
                <w:tc>
                  <w:tcPr>
                    <w:tcW w:w="251" w:type="pct"/>
                    <w:shd w:val="clear" w:color="auto" w:fill="auto"/>
                    <w:vAlign w:val="center"/>
                  </w:tcPr>
                  <w:p w14:paraId="25DE4053" w14:textId="77777777" w:rsidR="00254FDF" w:rsidRDefault="004F686E" w:rsidP="00471D53">
                    <w:pPr>
                      <w:jc w:val="center"/>
                      <w:rPr>
                        <w:szCs w:val="21"/>
                      </w:rPr>
                    </w:pPr>
                    <w:r>
                      <w:rPr>
                        <w:rFonts w:hint="eastAsia"/>
                        <w:szCs w:val="21"/>
                      </w:rPr>
                      <w:t>是否有履行期限</w:t>
                    </w:r>
                  </w:p>
                </w:tc>
              </w:sdtContent>
            </w:sdt>
            <w:sdt>
              <w:sdtPr>
                <w:tag w:val="_PLD_163d41dca4704f5ea4aae2d6d04db88e"/>
                <w:id w:val="1505787664"/>
                <w:lock w:val="sdtLocked"/>
              </w:sdtPr>
              <w:sdtEndPr/>
              <w:sdtContent>
                <w:tc>
                  <w:tcPr>
                    <w:tcW w:w="251" w:type="pct"/>
                    <w:shd w:val="clear" w:color="auto" w:fill="auto"/>
                    <w:vAlign w:val="center"/>
                  </w:tcPr>
                  <w:p w14:paraId="5A5688CB" w14:textId="77777777" w:rsidR="00254FDF" w:rsidRDefault="004F686E" w:rsidP="00471D53">
                    <w:pPr>
                      <w:jc w:val="center"/>
                      <w:rPr>
                        <w:szCs w:val="21"/>
                      </w:rPr>
                    </w:pPr>
                    <w:r>
                      <w:rPr>
                        <w:rFonts w:hint="eastAsia"/>
                        <w:szCs w:val="21"/>
                      </w:rPr>
                      <w:t>是否及时严格履行</w:t>
                    </w:r>
                  </w:p>
                </w:tc>
              </w:sdtContent>
            </w:sdt>
            <w:sdt>
              <w:sdtPr>
                <w:tag w:val="_PLD_f0ee8c5125074149961859e986fb6c43"/>
                <w:id w:val="-482997643"/>
                <w:lock w:val="sdtLocked"/>
              </w:sdtPr>
              <w:sdtEndPr/>
              <w:sdtContent>
                <w:tc>
                  <w:tcPr>
                    <w:tcW w:w="754" w:type="pct"/>
                    <w:shd w:val="clear" w:color="auto" w:fill="auto"/>
                    <w:vAlign w:val="center"/>
                  </w:tcPr>
                  <w:p w14:paraId="44CAA904" w14:textId="77777777" w:rsidR="00254FDF" w:rsidRDefault="004F686E" w:rsidP="00471D53">
                    <w:pPr>
                      <w:jc w:val="center"/>
                      <w:rPr>
                        <w:szCs w:val="21"/>
                      </w:rPr>
                    </w:pPr>
                    <w:r>
                      <w:rPr>
                        <w:rFonts w:hint="eastAsia"/>
                        <w:szCs w:val="21"/>
                      </w:rPr>
                      <w:t>如未能及时履行应说明未完成履行的具体原因</w:t>
                    </w:r>
                  </w:p>
                </w:tc>
              </w:sdtContent>
            </w:sdt>
            <w:sdt>
              <w:sdtPr>
                <w:tag w:val="_PLD_a7e59e23ed90488abff575e2b4f10711"/>
                <w:id w:val="1710681195"/>
                <w:lock w:val="sdtLocked"/>
              </w:sdtPr>
              <w:sdtEndPr/>
              <w:sdtContent>
                <w:tc>
                  <w:tcPr>
                    <w:tcW w:w="382" w:type="pct"/>
                    <w:shd w:val="clear" w:color="auto" w:fill="auto"/>
                    <w:vAlign w:val="center"/>
                  </w:tcPr>
                  <w:p w14:paraId="2DC2CD0E" w14:textId="77777777" w:rsidR="00254FDF" w:rsidRDefault="004F686E" w:rsidP="00471D53">
                    <w:pPr>
                      <w:jc w:val="center"/>
                      <w:rPr>
                        <w:szCs w:val="21"/>
                      </w:rPr>
                    </w:pPr>
                    <w:r>
                      <w:rPr>
                        <w:rFonts w:hint="eastAsia"/>
                        <w:szCs w:val="21"/>
                      </w:rPr>
                      <w:t>如未能及时履行应说明下一步计划</w:t>
                    </w:r>
                  </w:p>
                </w:tc>
              </w:sdtContent>
            </w:sdt>
          </w:tr>
          <w:tr w:rsidR="00E455FF" w14:paraId="4B6CF92C" w14:textId="77777777" w:rsidTr="00E455FF">
            <w:tc>
              <w:tcPr>
                <w:tcW w:w="246" w:type="pct"/>
                <w:vMerge w:val="restart"/>
                <w:shd w:val="clear" w:color="auto" w:fill="auto"/>
                <w:vAlign w:val="center"/>
              </w:tcPr>
              <w:p w14:paraId="460CE64B" w14:textId="77777777" w:rsidR="00E455FF" w:rsidRDefault="004F686E" w:rsidP="00471D53">
                <w:pPr>
                  <w:rPr>
                    <w:szCs w:val="21"/>
                  </w:rPr>
                </w:pPr>
                <w:r>
                  <w:rPr>
                    <w:rFonts w:hint="eastAsia"/>
                    <w:szCs w:val="21"/>
                  </w:rPr>
                  <w:t>与重大资产重组相关的承诺</w:t>
                </w:r>
              </w:p>
              <w:p w14:paraId="5732B329" w14:textId="7D7D2BF9" w:rsidR="00E455FF" w:rsidRDefault="00B664AF" w:rsidP="00471D53">
                <w:pPr>
                  <w:rPr>
                    <w:szCs w:val="21"/>
                  </w:rPr>
                </w:pPr>
              </w:p>
            </w:tc>
            <w:sdt>
              <w:sdtPr>
                <w:rPr>
                  <w:szCs w:val="21"/>
                </w:rPr>
                <w:alias w:val="与重大资产重组相关的承诺-承诺类型"/>
                <w:tag w:val="_GBC_c986a55468114c2fbf6186df07b763ce"/>
                <w:id w:val="616339129"/>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14:paraId="4F100EA6" w14:textId="37E21B17" w:rsidR="00E455FF" w:rsidRDefault="004F686E" w:rsidP="00E455FF">
                    <w:pPr>
                      <w:jc w:val="center"/>
                      <w:rPr>
                        <w:color w:val="FFC000"/>
                        <w:szCs w:val="21"/>
                      </w:rPr>
                    </w:pPr>
                    <w:r>
                      <w:rPr>
                        <w:szCs w:val="21"/>
                      </w:rPr>
                      <w:t>解决关联交易</w:t>
                    </w:r>
                  </w:p>
                </w:tc>
              </w:sdtContent>
            </w:sdt>
            <w:tc>
              <w:tcPr>
                <w:tcW w:w="302" w:type="pct"/>
                <w:shd w:val="clear" w:color="auto" w:fill="auto"/>
                <w:vAlign w:val="center"/>
              </w:tcPr>
              <w:p w14:paraId="360EDF94" w14:textId="77777777" w:rsidR="00E455FF" w:rsidRDefault="004F686E" w:rsidP="00E455FF">
                <w:pPr>
                  <w:jc w:val="center"/>
                  <w:rPr>
                    <w:szCs w:val="21"/>
                  </w:rPr>
                </w:pPr>
                <w:r>
                  <w:t>大股东北京京城机电控股有限责任公司</w:t>
                </w:r>
              </w:p>
            </w:tc>
            <w:tc>
              <w:tcPr>
                <w:tcW w:w="2311" w:type="pct"/>
                <w:shd w:val="clear" w:color="auto" w:fill="auto"/>
              </w:tcPr>
              <w:p w14:paraId="73A41278" w14:textId="75F3CCD8" w:rsidR="00E455FF" w:rsidRDefault="004F686E" w:rsidP="00471D53">
                <w:pPr>
                  <w:rPr>
                    <w:szCs w:val="21"/>
                  </w:rPr>
                </w:pPr>
                <w:r>
                  <w:t>京城控股承诺：就本公司及本公司控制的其他企业与上市公司及其控制的企业之间将来无法避免或有合理原因而发生的关联交易事项，本公司及本公司控制的其他企业将遵循市场交易的公开、公平、公正的原则，按照公允、合理的市场价格进行交易，并依据有关法律、法规及规范性文件的规定履行关联交易决策程序，依法履行信息披露义务。本公司保证本公司及本公司控制的其他企业将不通过与上市公司及其控制的企业的关联交易取得任何不正当的利益或使上市公司及其控制的企业承担任何不正当的义务。如违反上述承诺与上市公司及其控制的企业进行交易，而给上市公司及其控制的企业造成损失，由本公司承担赔偿责任。</w:t>
                </w:r>
              </w:p>
            </w:tc>
            <w:tc>
              <w:tcPr>
                <w:tcW w:w="252" w:type="pct"/>
                <w:shd w:val="clear" w:color="auto" w:fill="auto"/>
                <w:vAlign w:val="center"/>
              </w:tcPr>
              <w:p w14:paraId="78658066" w14:textId="77777777" w:rsidR="00E455FF" w:rsidRDefault="004F686E" w:rsidP="00E455FF">
                <w:pPr>
                  <w:jc w:val="center"/>
                  <w:rPr>
                    <w:szCs w:val="21"/>
                  </w:rPr>
                </w:pPr>
                <w:r>
                  <w:t>长期</w:t>
                </w:r>
              </w:p>
            </w:tc>
            <w:sdt>
              <w:sdtPr>
                <w:rPr>
                  <w:szCs w:val="21"/>
                </w:rPr>
                <w:alias w:val="与重大资产重组相关的承诺-是否有履行期限"/>
                <w:tag w:val="_GBC_79e4c1ac8ad34fc58bc66e725cb673e1"/>
                <w:id w:val="-2038879299"/>
                <w:lock w:val="sdtLocked"/>
                <w:comboBox>
                  <w:listItem w:displayText="是" w:value="true"/>
                  <w:listItem w:displayText="否" w:value="false"/>
                </w:comboBox>
              </w:sdtPr>
              <w:sdtEndPr/>
              <w:sdtContent>
                <w:tc>
                  <w:tcPr>
                    <w:tcW w:w="251" w:type="pct"/>
                    <w:shd w:val="clear" w:color="auto" w:fill="auto"/>
                    <w:vAlign w:val="center"/>
                  </w:tcPr>
                  <w:p w14:paraId="68FBBE2A" w14:textId="77777777" w:rsidR="00E455FF" w:rsidRDefault="004F686E" w:rsidP="00E455FF">
                    <w:pPr>
                      <w:jc w:val="center"/>
                      <w:rPr>
                        <w:szCs w:val="21"/>
                      </w:rPr>
                    </w:pPr>
                    <w:r>
                      <w:rPr>
                        <w:szCs w:val="21"/>
                      </w:rPr>
                      <w:t>是</w:t>
                    </w:r>
                  </w:p>
                </w:tc>
              </w:sdtContent>
            </w:sdt>
            <w:sdt>
              <w:sdtPr>
                <w:rPr>
                  <w:szCs w:val="21"/>
                </w:rPr>
                <w:alias w:val="与重大资产重组相关的承诺-是否及时严格履行"/>
                <w:tag w:val="_GBC_1aabacc96fa447b3965eabf1922b74c1"/>
                <w:id w:val="936558228"/>
                <w:lock w:val="sdtLocked"/>
                <w:comboBox>
                  <w:listItem w:displayText="是" w:value="true"/>
                  <w:listItem w:displayText="否" w:value="false"/>
                </w:comboBox>
              </w:sdtPr>
              <w:sdtEndPr/>
              <w:sdtContent>
                <w:tc>
                  <w:tcPr>
                    <w:tcW w:w="251" w:type="pct"/>
                    <w:shd w:val="clear" w:color="auto" w:fill="auto"/>
                    <w:vAlign w:val="center"/>
                  </w:tcPr>
                  <w:p w14:paraId="1CBB4DDE" w14:textId="77777777" w:rsidR="00E455FF" w:rsidRDefault="004F686E" w:rsidP="00E455FF">
                    <w:pPr>
                      <w:jc w:val="center"/>
                      <w:rPr>
                        <w:szCs w:val="21"/>
                      </w:rPr>
                    </w:pPr>
                    <w:r>
                      <w:rPr>
                        <w:szCs w:val="21"/>
                      </w:rPr>
                      <w:t>是</w:t>
                    </w:r>
                  </w:p>
                </w:tc>
              </w:sdtContent>
            </w:sdt>
            <w:tc>
              <w:tcPr>
                <w:tcW w:w="754" w:type="pct"/>
                <w:shd w:val="clear" w:color="auto" w:fill="auto"/>
              </w:tcPr>
              <w:p w14:paraId="58A6F3BF" w14:textId="77777777" w:rsidR="00E455FF" w:rsidRDefault="004F686E" w:rsidP="00471D53">
                <w:pPr>
                  <w:rPr>
                    <w:szCs w:val="21"/>
                  </w:rPr>
                </w:pPr>
                <w:r>
                  <w:t> </w:t>
                </w:r>
              </w:p>
            </w:tc>
            <w:tc>
              <w:tcPr>
                <w:tcW w:w="382" w:type="pct"/>
                <w:shd w:val="clear" w:color="auto" w:fill="auto"/>
              </w:tcPr>
              <w:p w14:paraId="17E1C5C6" w14:textId="77777777" w:rsidR="00E455FF" w:rsidRDefault="00B664AF" w:rsidP="00471D53">
                <w:pPr>
                  <w:rPr>
                    <w:szCs w:val="21"/>
                  </w:rPr>
                </w:pPr>
              </w:p>
            </w:tc>
          </w:tr>
          <w:tr w:rsidR="00E455FF" w14:paraId="34BC4B36" w14:textId="77777777" w:rsidTr="00E455FF">
            <w:tc>
              <w:tcPr>
                <w:tcW w:w="246" w:type="pct"/>
                <w:vMerge/>
                <w:shd w:val="clear" w:color="auto" w:fill="auto"/>
                <w:vAlign w:val="center"/>
              </w:tcPr>
              <w:p w14:paraId="2E9FE853" w14:textId="77777777" w:rsidR="00E455FF" w:rsidRDefault="00B664AF" w:rsidP="00471D53"/>
            </w:tc>
            <w:sdt>
              <w:sdtPr>
                <w:rPr>
                  <w:szCs w:val="21"/>
                </w:rPr>
                <w:alias w:val="与重大资产重组相关的承诺-承诺类型"/>
                <w:tag w:val="_GBC_c986a55468114c2fbf6186df07b763ce"/>
                <w:id w:val="-1903816244"/>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14:paraId="47A07BBD" w14:textId="4E148677" w:rsidR="00E455FF" w:rsidRDefault="004F686E" w:rsidP="00E455FF">
                    <w:pPr>
                      <w:jc w:val="center"/>
                      <w:rPr>
                        <w:color w:val="FFC000"/>
                        <w:szCs w:val="21"/>
                      </w:rPr>
                    </w:pPr>
                    <w:r>
                      <w:rPr>
                        <w:szCs w:val="21"/>
                      </w:rPr>
                      <w:t>解决同业竞争</w:t>
                    </w:r>
                  </w:p>
                </w:tc>
              </w:sdtContent>
            </w:sdt>
            <w:tc>
              <w:tcPr>
                <w:tcW w:w="302" w:type="pct"/>
                <w:shd w:val="clear" w:color="auto" w:fill="auto"/>
                <w:vAlign w:val="center"/>
              </w:tcPr>
              <w:p w14:paraId="72B7D55A" w14:textId="77777777" w:rsidR="00E455FF" w:rsidRDefault="004F686E" w:rsidP="00E455FF">
                <w:pPr>
                  <w:jc w:val="center"/>
                  <w:rPr>
                    <w:szCs w:val="21"/>
                  </w:rPr>
                </w:pPr>
                <w:r>
                  <w:t>大股东北京京城机电控股有限责任公司</w:t>
                </w:r>
              </w:p>
            </w:tc>
            <w:tc>
              <w:tcPr>
                <w:tcW w:w="2311" w:type="pct"/>
                <w:shd w:val="clear" w:color="auto" w:fill="auto"/>
              </w:tcPr>
              <w:p w14:paraId="1180D9C8" w14:textId="6C75068C" w:rsidR="00E455FF" w:rsidRDefault="004F686E" w:rsidP="00471D53">
                <w:pPr>
                  <w:rPr>
                    <w:szCs w:val="21"/>
                  </w:rPr>
                </w:pPr>
                <w:r>
                  <w:t>京城控股承诺：针对本公司以及本公司控制的其他企业未来拟从事或实质性获得上市公司同类业务或商业机会，且该等业务或商业机会所形成的资产和业务与上市公司可能构成潜在同业竞争的情况。本公司将不从事并努力促使本公司控制的其他企业不从事与上市公司相同或相近的业务，以避免与上市公司的业务经营构成直接或间接的竞争。此外，本公司或本公司控制的其他企业在市场份额、商业机会及资源配置等方面可能对上市公司带来不公平的影响时，本公司自愿放弃并努力促使本公司控制的其他企业放弃与上市公司的业务竞争。本公司承诺，自本承诺函出具日起，赔偿上市公司因本公司违反本承诺任何条款而遭受或产生的任何损失或开支。本承诺</w:t>
                </w:r>
                <w:r>
                  <w:lastRenderedPageBreak/>
                  <w:t>函在上市公司合法有效存续且本公司作为上市公司的控股股东（或实际控制人）期间持续有效。</w:t>
                </w:r>
              </w:p>
            </w:tc>
            <w:tc>
              <w:tcPr>
                <w:tcW w:w="252" w:type="pct"/>
                <w:shd w:val="clear" w:color="auto" w:fill="auto"/>
                <w:vAlign w:val="center"/>
              </w:tcPr>
              <w:p w14:paraId="172F7958" w14:textId="77777777" w:rsidR="00E455FF" w:rsidRDefault="004F686E" w:rsidP="00E455FF">
                <w:pPr>
                  <w:jc w:val="center"/>
                  <w:rPr>
                    <w:szCs w:val="21"/>
                  </w:rPr>
                </w:pPr>
                <w:r>
                  <w:lastRenderedPageBreak/>
                  <w:t>长期</w:t>
                </w:r>
              </w:p>
            </w:tc>
            <w:sdt>
              <w:sdtPr>
                <w:rPr>
                  <w:szCs w:val="21"/>
                </w:rPr>
                <w:alias w:val="与重大资产重组相关的承诺-是否有履行期限"/>
                <w:tag w:val="_GBC_79e4c1ac8ad34fc58bc66e725cb673e1"/>
                <w:id w:val="482125734"/>
                <w:lock w:val="sdtLocked"/>
                <w:comboBox>
                  <w:listItem w:displayText="是" w:value="true"/>
                  <w:listItem w:displayText="否" w:value="false"/>
                </w:comboBox>
              </w:sdtPr>
              <w:sdtEndPr/>
              <w:sdtContent>
                <w:tc>
                  <w:tcPr>
                    <w:tcW w:w="251" w:type="pct"/>
                    <w:shd w:val="clear" w:color="auto" w:fill="auto"/>
                    <w:vAlign w:val="center"/>
                  </w:tcPr>
                  <w:p w14:paraId="134ED47A" w14:textId="77777777" w:rsidR="00E455FF" w:rsidRDefault="004F686E" w:rsidP="00E455FF">
                    <w:pPr>
                      <w:jc w:val="center"/>
                      <w:rPr>
                        <w:szCs w:val="21"/>
                      </w:rPr>
                    </w:pPr>
                    <w:r>
                      <w:rPr>
                        <w:szCs w:val="21"/>
                      </w:rPr>
                      <w:t>是</w:t>
                    </w:r>
                  </w:p>
                </w:tc>
              </w:sdtContent>
            </w:sdt>
            <w:sdt>
              <w:sdtPr>
                <w:rPr>
                  <w:szCs w:val="21"/>
                </w:rPr>
                <w:alias w:val="与重大资产重组相关的承诺-是否及时严格履行"/>
                <w:tag w:val="_GBC_1aabacc96fa447b3965eabf1922b74c1"/>
                <w:id w:val="-587455236"/>
                <w:lock w:val="sdtLocked"/>
                <w:comboBox>
                  <w:listItem w:displayText="是" w:value="true"/>
                  <w:listItem w:displayText="否" w:value="false"/>
                </w:comboBox>
              </w:sdtPr>
              <w:sdtEndPr/>
              <w:sdtContent>
                <w:tc>
                  <w:tcPr>
                    <w:tcW w:w="251" w:type="pct"/>
                    <w:shd w:val="clear" w:color="auto" w:fill="auto"/>
                    <w:vAlign w:val="center"/>
                  </w:tcPr>
                  <w:p w14:paraId="523A05F0" w14:textId="77777777" w:rsidR="00E455FF" w:rsidRDefault="004F686E" w:rsidP="00E455FF">
                    <w:pPr>
                      <w:jc w:val="center"/>
                      <w:rPr>
                        <w:szCs w:val="21"/>
                      </w:rPr>
                    </w:pPr>
                    <w:r>
                      <w:rPr>
                        <w:szCs w:val="21"/>
                      </w:rPr>
                      <w:t>是</w:t>
                    </w:r>
                  </w:p>
                </w:tc>
              </w:sdtContent>
            </w:sdt>
            <w:tc>
              <w:tcPr>
                <w:tcW w:w="754" w:type="pct"/>
                <w:shd w:val="clear" w:color="auto" w:fill="auto"/>
              </w:tcPr>
              <w:p w14:paraId="1702BC2E" w14:textId="77777777" w:rsidR="00E455FF" w:rsidRDefault="004F686E" w:rsidP="00471D53">
                <w:pPr>
                  <w:rPr>
                    <w:szCs w:val="21"/>
                  </w:rPr>
                </w:pPr>
                <w:r>
                  <w:t> </w:t>
                </w:r>
              </w:p>
            </w:tc>
            <w:tc>
              <w:tcPr>
                <w:tcW w:w="382" w:type="pct"/>
                <w:shd w:val="clear" w:color="auto" w:fill="auto"/>
              </w:tcPr>
              <w:p w14:paraId="5EF9EB14" w14:textId="77777777" w:rsidR="00E455FF" w:rsidRDefault="00B664AF" w:rsidP="00471D53">
                <w:pPr>
                  <w:rPr>
                    <w:szCs w:val="21"/>
                  </w:rPr>
                </w:pPr>
              </w:p>
            </w:tc>
          </w:tr>
          <w:tr w:rsidR="00E455FF" w14:paraId="4B5D3794" w14:textId="77777777" w:rsidTr="00E455FF">
            <w:tc>
              <w:tcPr>
                <w:tcW w:w="246" w:type="pct"/>
                <w:vMerge/>
                <w:shd w:val="clear" w:color="auto" w:fill="auto"/>
                <w:vAlign w:val="center"/>
              </w:tcPr>
              <w:p w14:paraId="369E3481" w14:textId="77777777" w:rsidR="00E455FF" w:rsidRDefault="00B664AF" w:rsidP="00471D53">
                <w:pPr>
                  <w:rPr>
                    <w:szCs w:val="21"/>
                  </w:rPr>
                </w:pPr>
              </w:p>
            </w:tc>
            <w:sdt>
              <w:sdtPr>
                <w:rPr>
                  <w:szCs w:val="21"/>
                </w:rPr>
                <w:alias w:val="其他承诺相关方的承诺事项-承诺类型"/>
                <w:tag w:val="_GBC_f5c45f48e8c643ae90b289b4f3861c10"/>
                <w:id w:val="614642594"/>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14:paraId="6E510331" w14:textId="741D377B" w:rsidR="00E455FF" w:rsidRDefault="004F686E" w:rsidP="00E455FF">
                    <w:pPr>
                      <w:jc w:val="center"/>
                      <w:rPr>
                        <w:szCs w:val="21"/>
                      </w:rPr>
                    </w:pPr>
                    <w:r>
                      <w:rPr>
                        <w:szCs w:val="21"/>
                      </w:rPr>
                      <w:t>其他</w:t>
                    </w:r>
                  </w:p>
                </w:tc>
              </w:sdtContent>
            </w:sdt>
            <w:tc>
              <w:tcPr>
                <w:tcW w:w="302" w:type="pct"/>
                <w:shd w:val="clear" w:color="auto" w:fill="auto"/>
                <w:vAlign w:val="center"/>
              </w:tcPr>
              <w:p w14:paraId="34F44FD5" w14:textId="77777777" w:rsidR="00E455FF" w:rsidRDefault="004F686E" w:rsidP="00E455FF">
                <w:pPr>
                  <w:jc w:val="center"/>
                  <w:rPr>
                    <w:szCs w:val="21"/>
                  </w:rPr>
                </w:pPr>
                <w:r>
                  <w:t>大股东北京京城机电控股有限责任公司</w:t>
                </w:r>
              </w:p>
            </w:tc>
            <w:tc>
              <w:tcPr>
                <w:tcW w:w="2311" w:type="pct"/>
                <w:shd w:val="clear" w:color="auto" w:fill="auto"/>
              </w:tcPr>
              <w:p w14:paraId="1BA780EA" w14:textId="7FE71A45" w:rsidR="00E455FF" w:rsidRDefault="004F686E" w:rsidP="00471D53">
                <w:pPr>
                  <w:rPr>
                    <w:szCs w:val="21"/>
                  </w:rPr>
                </w:pPr>
                <w:r>
                  <w:t>京城控股承诺</w:t>
                </w:r>
                <w:r w:rsidR="00E43F06">
                  <w:rPr>
                    <w:rFonts w:hint="eastAsia"/>
                  </w:rPr>
                  <w:t>：</w:t>
                </w:r>
                <w:r>
                  <w:t>本次重大资产重组完成后，将保证上市公司在人员、资产、财务、机构、业务等方面的独立性。京城控股分别就人员独立、资产独立、财务独立、机构独立、业务独立等方面作出具体的承诺。该承诺在京城控股作为上市公司的控股股东（或实际控制人）期间内持续有效且不可变更或撤销。如违反上述承诺，并因此给上市公司造成经济损失，京城控股将向上市公司进行赔偿。</w:t>
                </w:r>
              </w:p>
            </w:tc>
            <w:tc>
              <w:tcPr>
                <w:tcW w:w="252" w:type="pct"/>
                <w:shd w:val="clear" w:color="auto" w:fill="auto"/>
                <w:vAlign w:val="center"/>
              </w:tcPr>
              <w:p w14:paraId="04093F05" w14:textId="77777777" w:rsidR="00E455FF" w:rsidRDefault="004F686E" w:rsidP="00E455FF">
                <w:pPr>
                  <w:jc w:val="center"/>
                  <w:rPr>
                    <w:szCs w:val="21"/>
                  </w:rPr>
                </w:pPr>
                <w:r>
                  <w:t>长期</w:t>
                </w:r>
              </w:p>
            </w:tc>
            <w:sdt>
              <w:sdtPr>
                <w:rPr>
                  <w:szCs w:val="21"/>
                </w:rPr>
                <w:alias w:val="其他承诺相关方的承诺事项-是否有履行期限"/>
                <w:tag w:val="_GBC_eea426e94aa64e0d94c932b310318e95"/>
                <w:id w:val="-1496248228"/>
                <w:lock w:val="sdtLocked"/>
                <w:comboBox>
                  <w:listItem w:displayText="是" w:value="是"/>
                  <w:listItem w:displayText="否" w:value="否"/>
                </w:comboBox>
              </w:sdtPr>
              <w:sdtEndPr/>
              <w:sdtContent>
                <w:tc>
                  <w:tcPr>
                    <w:tcW w:w="251" w:type="pct"/>
                    <w:shd w:val="clear" w:color="auto" w:fill="auto"/>
                    <w:vAlign w:val="center"/>
                  </w:tcPr>
                  <w:p w14:paraId="71C34428" w14:textId="77777777" w:rsidR="00E455FF" w:rsidRDefault="004F686E" w:rsidP="00E455FF">
                    <w:pPr>
                      <w:jc w:val="center"/>
                      <w:rPr>
                        <w:szCs w:val="21"/>
                      </w:rPr>
                    </w:pPr>
                    <w:r>
                      <w:rPr>
                        <w:szCs w:val="21"/>
                      </w:rPr>
                      <w:t>是</w:t>
                    </w:r>
                  </w:p>
                </w:tc>
              </w:sdtContent>
            </w:sdt>
            <w:sdt>
              <w:sdtPr>
                <w:rPr>
                  <w:szCs w:val="21"/>
                </w:rPr>
                <w:alias w:val="其他承诺相关方的承诺事项-是否及时严格履行"/>
                <w:tag w:val="_GBC_77946a666c9a4f6a87209acb7df47051"/>
                <w:id w:val="-431662335"/>
                <w:lock w:val="sdtLocked"/>
                <w:comboBox>
                  <w:listItem w:displayText="是" w:value="是"/>
                  <w:listItem w:displayText="否" w:value="否"/>
                </w:comboBox>
              </w:sdtPr>
              <w:sdtEndPr/>
              <w:sdtContent>
                <w:tc>
                  <w:tcPr>
                    <w:tcW w:w="251" w:type="pct"/>
                    <w:shd w:val="clear" w:color="auto" w:fill="auto"/>
                    <w:vAlign w:val="center"/>
                  </w:tcPr>
                  <w:p w14:paraId="6B1AAC36" w14:textId="77777777" w:rsidR="00E455FF" w:rsidRDefault="004F686E" w:rsidP="00E455FF">
                    <w:pPr>
                      <w:jc w:val="center"/>
                      <w:rPr>
                        <w:szCs w:val="21"/>
                      </w:rPr>
                    </w:pPr>
                    <w:r>
                      <w:rPr>
                        <w:szCs w:val="21"/>
                      </w:rPr>
                      <w:t>是</w:t>
                    </w:r>
                  </w:p>
                </w:tc>
              </w:sdtContent>
            </w:sdt>
            <w:tc>
              <w:tcPr>
                <w:tcW w:w="754" w:type="pct"/>
                <w:shd w:val="clear" w:color="auto" w:fill="auto"/>
              </w:tcPr>
              <w:p w14:paraId="794D9338" w14:textId="77777777" w:rsidR="00E455FF" w:rsidRDefault="004F686E" w:rsidP="00471D53">
                <w:pPr>
                  <w:rPr>
                    <w:szCs w:val="21"/>
                  </w:rPr>
                </w:pPr>
                <w:r>
                  <w:t> </w:t>
                </w:r>
              </w:p>
            </w:tc>
            <w:tc>
              <w:tcPr>
                <w:tcW w:w="382" w:type="pct"/>
                <w:shd w:val="clear" w:color="auto" w:fill="auto"/>
              </w:tcPr>
              <w:p w14:paraId="3015B212" w14:textId="77777777" w:rsidR="00E455FF" w:rsidRDefault="00B664AF" w:rsidP="00471D53">
                <w:pPr>
                  <w:rPr>
                    <w:szCs w:val="21"/>
                  </w:rPr>
                </w:pPr>
              </w:p>
            </w:tc>
          </w:tr>
          <w:tr w:rsidR="00E455FF" w14:paraId="57BCB404" w14:textId="77777777" w:rsidTr="00E455FF">
            <w:tc>
              <w:tcPr>
                <w:tcW w:w="246" w:type="pct"/>
                <w:vMerge/>
                <w:shd w:val="clear" w:color="auto" w:fill="auto"/>
                <w:vAlign w:val="center"/>
              </w:tcPr>
              <w:p w14:paraId="5229F6D7" w14:textId="77777777" w:rsidR="00E455FF" w:rsidRDefault="00B664AF" w:rsidP="00471D53">
                <w:pPr>
                  <w:rPr>
                    <w:szCs w:val="21"/>
                  </w:rPr>
                </w:pPr>
              </w:p>
            </w:tc>
            <w:sdt>
              <w:sdtPr>
                <w:rPr>
                  <w:szCs w:val="21"/>
                </w:rPr>
                <w:alias w:val="其他承诺相关方的承诺事项-承诺类型"/>
                <w:tag w:val="_GBC_f5c45f48e8c643ae90b289b4f3861c10"/>
                <w:id w:val="-1923790777"/>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14:paraId="2EEF7A49" w14:textId="6522BF17" w:rsidR="00E455FF" w:rsidRDefault="004F686E" w:rsidP="00E455FF">
                    <w:pPr>
                      <w:jc w:val="center"/>
                      <w:rPr>
                        <w:szCs w:val="21"/>
                      </w:rPr>
                    </w:pPr>
                    <w:r>
                      <w:rPr>
                        <w:szCs w:val="21"/>
                      </w:rPr>
                      <w:t>其他</w:t>
                    </w:r>
                  </w:p>
                </w:tc>
              </w:sdtContent>
            </w:sdt>
            <w:tc>
              <w:tcPr>
                <w:tcW w:w="302" w:type="pct"/>
                <w:shd w:val="clear" w:color="auto" w:fill="auto"/>
                <w:vAlign w:val="center"/>
              </w:tcPr>
              <w:p w14:paraId="343316BD" w14:textId="77777777" w:rsidR="00E455FF" w:rsidRDefault="004F686E" w:rsidP="00E455FF">
                <w:pPr>
                  <w:jc w:val="center"/>
                </w:pPr>
                <w:r>
                  <w:t>大股东北京京城机电控股有限责任公司</w:t>
                </w:r>
              </w:p>
            </w:tc>
            <w:tc>
              <w:tcPr>
                <w:tcW w:w="2311" w:type="pct"/>
                <w:shd w:val="clear" w:color="auto" w:fill="auto"/>
              </w:tcPr>
              <w:p w14:paraId="26FC30CC" w14:textId="5FE7BEA1" w:rsidR="00E455FF" w:rsidRDefault="004F686E" w:rsidP="00471D53">
                <w:r>
                  <w:t>京城控股承诺：1、北人股份的债权人自接到北人股份有关本次重大资产重组事宜的通知书之日起三十日内，未接到通知书的自北人股份就其本次重大资产重组事宜首次公告之日起四十五日内，如果要求北人股份提前清偿债务或提供担保，而北人股份未清偿债务或提供担保的，本公司承诺将承担对该等债务提前清偿或提供担保的责任；2、对于北人股份无法联系到的债权人，以及接到通知或公告期满后仍未发表明确意见的债权人，如其在本次重大资产重组完成前又明确发表不同意意见，而北人股份未按其要求清偿债务或提供担保的，本公司承诺将承担对该等债务提前清偿或提供担保的责任；3、对于北人股份确实无法联系到的债权人，以及接到通知或公告期满后仍未发表明确意见的债权人，如本次重大资产重组完成后，置出资产的承接主体无法清偿其债务的，由本公司负责清偿。本公司承担担保责任或清偿责任后，有权对置出资产的承接主体进行追偿。</w:t>
                </w:r>
              </w:p>
            </w:tc>
            <w:tc>
              <w:tcPr>
                <w:tcW w:w="252" w:type="pct"/>
                <w:shd w:val="clear" w:color="auto" w:fill="auto"/>
                <w:vAlign w:val="center"/>
              </w:tcPr>
              <w:p w14:paraId="33E8B74F" w14:textId="77777777" w:rsidR="00E455FF" w:rsidRDefault="004F686E" w:rsidP="00E455FF">
                <w:pPr>
                  <w:jc w:val="center"/>
                </w:pPr>
                <w:r>
                  <w:t>长期</w:t>
                </w:r>
              </w:p>
            </w:tc>
            <w:sdt>
              <w:sdtPr>
                <w:rPr>
                  <w:szCs w:val="21"/>
                </w:rPr>
                <w:alias w:val="其他承诺相关方的承诺事项-是否有履行期限"/>
                <w:tag w:val="_GBC_eea426e94aa64e0d94c932b310318e95"/>
                <w:id w:val="400719267"/>
                <w:lock w:val="sdtLocked"/>
                <w:comboBox>
                  <w:listItem w:displayText="是" w:value="是"/>
                  <w:listItem w:displayText="否" w:value="否"/>
                </w:comboBox>
              </w:sdtPr>
              <w:sdtEndPr/>
              <w:sdtContent>
                <w:tc>
                  <w:tcPr>
                    <w:tcW w:w="251" w:type="pct"/>
                    <w:shd w:val="clear" w:color="auto" w:fill="auto"/>
                    <w:vAlign w:val="center"/>
                  </w:tcPr>
                  <w:p w14:paraId="01CD2A32" w14:textId="77777777" w:rsidR="00E455FF" w:rsidRDefault="004F686E" w:rsidP="00E455FF">
                    <w:pPr>
                      <w:jc w:val="center"/>
                      <w:rPr>
                        <w:szCs w:val="21"/>
                      </w:rPr>
                    </w:pPr>
                    <w:r>
                      <w:rPr>
                        <w:szCs w:val="21"/>
                      </w:rPr>
                      <w:t>是</w:t>
                    </w:r>
                  </w:p>
                </w:tc>
              </w:sdtContent>
            </w:sdt>
            <w:sdt>
              <w:sdtPr>
                <w:rPr>
                  <w:szCs w:val="21"/>
                </w:rPr>
                <w:alias w:val="其他承诺相关方的承诺事项-是否及时严格履行"/>
                <w:tag w:val="_GBC_77946a666c9a4f6a87209acb7df47051"/>
                <w:id w:val="1138921115"/>
                <w:lock w:val="sdtLocked"/>
                <w:comboBox>
                  <w:listItem w:displayText="是" w:value="是"/>
                  <w:listItem w:displayText="否" w:value="否"/>
                </w:comboBox>
              </w:sdtPr>
              <w:sdtEndPr/>
              <w:sdtContent>
                <w:tc>
                  <w:tcPr>
                    <w:tcW w:w="251" w:type="pct"/>
                    <w:shd w:val="clear" w:color="auto" w:fill="auto"/>
                    <w:vAlign w:val="center"/>
                  </w:tcPr>
                  <w:p w14:paraId="36D86122" w14:textId="77777777" w:rsidR="00E455FF" w:rsidRDefault="004F686E" w:rsidP="00E455FF">
                    <w:pPr>
                      <w:jc w:val="center"/>
                      <w:rPr>
                        <w:szCs w:val="21"/>
                      </w:rPr>
                    </w:pPr>
                    <w:r>
                      <w:rPr>
                        <w:szCs w:val="21"/>
                      </w:rPr>
                      <w:t>是</w:t>
                    </w:r>
                  </w:p>
                </w:tc>
              </w:sdtContent>
            </w:sdt>
            <w:tc>
              <w:tcPr>
                <w:tcW w:w="754" w:type="pct"/>
                <w:shd w:val="clear" w:color="auto" w:fill="auto"/>
              </w:tcPr>
              <w:p w14:paraId="26132C33" w14:textId="77777777" w:rsidR="00E455FF" w:rsidRDefault="004F686E" w:rsidP="00471D53">
                <w:r>
                  <w:t>截至本披露日，京城控股已督促北人集团偿还债务并承诺如果北人集团没有及时清偿，京城控股将负责清偿及提供担保。本公司目前没有因被追索而遭受损失，京城控股未出现违背该承诺的行为。</w:t>
                </w:r>
              </w:p>
            </w:tc>
            <w:tc>
              <w:tcPr>
                <w:tcW w:w="382" w:type="pct"/>
                <w:shd w:val="clear" w:color="auto" w:fill="auto"/>
              </w:tcPr>
              <w:p w14:paraId="489358A6" w14:textId="77777777" w:rsidR="00E455FF" w:rsidRDefault="00B664AF" w:rsidP="00471D53">
                <w:pPr>
                  <w:rPr>
                    <w:szCs w:val="21"/>
                  </w:rPr>
                </w:pPr>
              </w:p>
            </w:tc>
          </w:tr>
          <w:tr w:rsidR="00E455FF" w14:paraId="1451462B" w14:textId="77777777" w:rsidTr="00E455FF">
            <w:tc>
              <w:tcPr>
                <w:tcW w:w="246" w:type="pct"/>
                <w:vMerge/>
                <w:shd w:val="clear" w:color="auto" w:fill="auto"/>
                <w:vAlign w:val="center"/>
              </w:tcPr>
              <w:p w14:paraId="7D52E3E0" w14:textId="77777777" w:rsidR="00E455FF" w:rsidRDefault="00B664AF" w:rsidP="00471D53">
                <w:pPr>
                  <w:rPr>
                    <w:szCs w:val="21"/>
                  </w:rPr>
                </w:pPr>
              </w:p>
            </w:tc>
            <w:sdt>
              <w:sdtPr>
                <w:rPr>
                  <w:szCs w:val="21"/>
                </w:rPr>
                <w:alias w:val="其他承诺相关方的承诺事项-承诺类型"/>
                <w:tag w:val="_GBC_f5c45f48e8c643ae90b289b4f3861c10"/>
                <w:id w:val="976033729"/>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14:paraId="6FFD1430" w14:textId="6DD4A8D7" w:rsidR="00E455FF" w:rsidRDefault="004F686E" w:rsidP="00E455FF">
                    <w:pPr>
                      <w:jc w:val="center"/>
                      <w:rPr>
                        <w:szCs w:val="21"/>
                      </w:rPr>
                    </w:pPr>
                    <w:r>
                      <w:rPr>
                        <w:szCs w:val="21"/>
                      </w:rPr>
                      <w:t>其他</w:t>
                    </w:r>
                  </w:p>
                </w:tc>
              </w:sdtContent>
            </w:sdt>
            <w:tc>
              <w:tcPr>
                <w:tcW w:w="302" w:type="pct"/>
                <w:shd w:val="clear" w:color="auto" w:fill="auto"/>
                <w:vAlign w:val="center"/>
              </w:tcPr>
              <w:p w14:paraId="5AFC738A" w14:textId="77777777" w:rsidR="00E455FF" w:rsidRDefault="004F686E" w:rsidP="00E455FF">
                <w:pPr>
                  <w:jc w:val="center"/>
                </w:pPr>
                <w:r>
                  <w:t>大股东北京京城机电控股有</w:t>
                </w:r>
                <w:r>
                  <w:lastRenderedPageBreak/>
                  <w:t>限责任公司</w:t>
                </w:r>
              </w:p>
            </w:tc>
            <w:tc>
              <w:tcPr>
                <w:tcW w:w="2311" w:type="pct"/>
                <w:shd w:val="clear" w:color="auto" w:fill="auto"/>
              </w:tcPr>
              <w:p w14:paraId="21E969F3" w14:textId="1AD8A873" w:rsidR="00E455FF" w:rsidRDefault="004F686E" w:rsidP="00471D53">
                <w:r>
                  <w:lastRenderedPageBreak/>
                  <w:t>京城控股承诺：若未来天海工业木林镇生产车间因租赁瑕疵房产的问题而导致搬迁，本公司将向本次交易完成后的上市公司全额现金赔偿天海工业在搬迁过程中导致的全部损失。</w:t>
                </w:r>
              </w:p>
            </w:tc>
            <w:tc>
              <w:tcPr>
                <w:tcW w:w="252" w:type="pct"/>
                <w:shd w:val="clear" w:color="auto" w:fill="auto"/>
                <w:vAlign w:val="center"/>
              </w:tcPr>
              <w:p w14:paraId="12924993" w14:textId="77777777" w:rsidR="00E455FF" w:rsidRDefault="004F686E" w:rsidP="00E455FF">
                <w:pPr>
                  <w:jc w:val="center"/>
                </w:pPr>
                <w:r>
                  <w:t>长期</w:t>
                </w:r>
              </w:p>
            </w:tc>
            <w:sdt>
              <w:sdtPr>
                <w:rPr>
                  <w:szCs w:val="21"/>
                </w:rPr>
                <w:alias w:val="其他承诺相关方的承诺事项-是否有履行期限"/>
                <w:tag w:val="_GBC_eea426e94aa64e0d94c932b310318e95"/>
                <w:id w:val="-1513837477"/>
                <w:lock w:val="sdtLocked"/>
                <w:comboBox>
                  <w:listItem w:displayText="是" w:value="是"/>
                  <w:listItem w:displayText="否" w:value="否"/>
                </w:comboBox>
              </w:sdtPr>
              <w:sdtEndPr/>
              <w:sdtContent>
                <w:tc>
                  <w:tcPr>
                    <w:tcW w:w="251" w:type="pct"/>
                    <w:shd w:val="clear" w:color="auto" w:fill="auto"/>
                    <w:vAlign w:val="center"/>
                  </w:tcPr>
                  <w:p w14:paraId="111D4C05" w14:textId="77777777" w:rsidR="00E455FF" w:rsidRDefault="004F686E" w:rsidP="00E455FF">
                    <w:pPr>
                      <w:jc w:val="center"/>
                      <w:rPr>
                        <w:szCs w:val="21"/>
                      </w:rPr>
                    </w:pPr>
                    <w:r>
                      <w:rPr>
                        <w:szCs w:val="21"/>
                      </w:rPr>
                      <w:t>是</w:t>
                    </w:r>
                  </w:p>
                </w:tc>
              </w:sdtContent>
            </w:sdt>
            <w:sdt>
              <w:sdtPr>
                <w:rPr>
                  <w:szCs w:val="21"/>
                </w:rPr>
                <w:alias w:val="其他承诺相关方的承诺事项-是否及时严格履行"/>
                <w:tag w:val="_GBC_77946a666c9a4f6a87209acb7df47051"/>
                <w:id w:val="2044243015"/>
                <w:lock w:val="sdtLocked"/>
                <w:comboBox>
                  <w:listItem w:displayText="是" w:value="是"/>
                  <w:listItem w:displayText="否" w:value="否"/>
                </w:comboBox>
              </w:sdtPr>
              <w:sdtEndPr/>
              <w:sdtContent>
                <w:tc>
                  <w:tcPr>
                    <w:tcW w:w="251" w:type="pct"/>
                    <w:shd w:val="clear" w:color="auto" w:fill="auto"/>
                    <w:vAlign w:val="center"/>
                  </w:tcPr>
                  <w:p w14:paraId="2BFA1776" w14:textId="77777777" w:rsidR="00E455FF" w:rsidRDefault="004F686E" w:rsidP="00E455FF">
                    <w:pPr>
                      <w:jc w:val="center"/>
                      <w:rPr>
                        <w:szCs w:val="21"/>
                      </w:rPr>
                    </w:pPr>
                    <w:r>
                      <w:rPr>
                        <w:szCs w:val="21"/>
                      </w:rPr>
                      <w:t>是</w:t>
                    </w:r>
                  </w:p>
                </w:tc>
              </w:sdtContent>
            </w:sdt>
            <w:tc>
              <w:tcPr>
                <w:tcW w:w="754" w:type="pct"/>
                <w:shd w:val="clear" w:color="auto" w:fill="auto"/>
              </w:tcPr>
              <w:p w14:paraId="3462D3D3" w14:textId="77777777" w:rsidR="00E455FF" w:rsidRDefault="00B664AF" w:rsidP="00471D53"/>
            </w:tc>
            <w:tc>
              <w:tcPr>
                <w:tcW w:w="382" w:type="pct"/>
                <w:shd w:val="clear" w:color="auto" w:fill="auto"/>
              </w:tcPr>
              <w:p w14:paraId="4E6503D8" w14:textId="77777777" w:rsidR="00E455FF" w:rsidRDefault="00B664AF" w:rsidP="00471D53">
                <w:pPr>
                  <w:rPr>
                    <w:szCs w:val="21"/>
                  </w:rPr>
                </w:pPr>
              </w:p>
            </w:tc>
          </w:tr>
          <w:tr w:rsidR="00E455FF" w14:paraId="37DDE4CD" w14:textId="77777777" w:rsidTr="00E455FF">
            <w:tc>
              <w:tcPr>
                <w:tcW w:w="246" w:type="pct"/>
                <w:vMerge/>
                <w:shd w:val="clear" w:color="auto" w:fill="auto"/>
                <w:vAlign w:val="center"/>
              </w:tcPr>
              <w:p w14:paraId="0CFDAB27" w14:textId="77777777" w:rsidR="00E455FF" w:rsidRDefault="00B664AF" w:rsidP="00471D53">
                <w:pPr>
                  <w:rPr>
                    <w:szCs w:val="21"/>
                  </w:rPr>
                </w:pPr>
              </w:p>
            </w:tc>
            <w:sdt>
              <w:sdtPr>
                <w:rPr>
                  <w:szCs w:val="21"/>
                </w:rPr>
                <w:alias w:val="其他承诺相关方的承诺事项-承诺类型"/>
                <w:tag w:val="_GBC_f5c45f48e8c643ae90b289b4f3861c10"/>
                <w:id w:val="-1990161494"/>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14:paraId="7A9BAE3D" w14:textId="415DBBDF" w:rsidR="00E455FF" w:rsidRDefault="004F686E" w:rsidP="00E455FF">
                    <w:pPr>
                      <w:jc w:val="center"/>
                      <w:rPr>
                        <w:szCs w:val="21"/>
                      </w:rPr>
                    </w:pPr>
                    <w:r>
                      <w:rPr>
                        <w:szCs w:val="21"/>
                      </w:rPr>
                      <w:t>其他</w:t>
                    </w:r>
                  </w:p>
                </w:tc>
              </w:sdtContent>
            </w:sdt>
            <w:tc>
              <w:tcPr>
                <w:tcW w:w="302" w:type="pct"/>
                <w:shd w:val="clear" w:color="auto" w:fill="auto"/>
                <w:vAlign w:val="center"/>
              </w:tcPr>
              <w:p w14:paraId="41784768" w14:textId="77777777" w:rsidR="00E455FF" w:rsidRDefault="004F686E" w:rsidP="00E455FF">
                <w:pPr>
                  <w:jc w:val="center"/>
                </w:pPr>
                <w:r>
                  <w:t>大股东北京京城机电控股有限责任公司</w:t>
                </w:r>
              </w:p>
            </w:tc>
            <w:tc>
              <w:tcPr>
                <w:tcW w:w="2311" w:type="pct"/>
                <w:shd w:val="clear" w:color="auto" w:fill="auto"/>
              </w:tcPr>
              <w:p w14:paraId="3E583454" w14:textId="47BF3CD6" w:rsidR="00E455FF" w:rsidRDefault="004F686E" w:rsidP="00471D53">
                <w:r>
                  <w:t>京城控股承诺：本公司已充分知悉置出资产目前存在的上述问题，并承诺若本次重组实施时北人股份上述部分下属公司相关股东行使优先购买权，则本公司同意接受上述置出资产中的长期股权投资变更为相等价值的现金资产，不会因置出资产形式的变化要求终止或变更各方之前已签署的重大资产置换协议或要求北人股份赔偿任何损失或承担法律责任。</w:t>
                </w:r>
              </w:p>
            </w:tc>
            <w:tc>
              <w:tcPr>
                <w:tcW w:w="252" w:type="pct"/>
                <w:shd w:val="clear" w:color="auto" w:fill="auto"/>
                <w:vAlign w:val="center"/>
              </w:tcPr>
              <w:p w14:paraId="58DC424C" w14:textId="77777777" w:rsidR="00E455FF" w:rsidRDefault="004F686E" w:rsidP="00E455FF">
                <w:pPr>
                  <w:jc w:val="center"/>
                </w:pPr>
                <w:r>
                  <w:t>长期</w:t>
                </w:r>
              </w:p>
            </w:tc>
            <w:sdt>
              <w:sdtPr>
                <w:rPr>
                  <w:szCs w:val="21"/>
                </w:rPr>
                <w:alias w:val="其他承诺相关方的承诺事项-是否有履行期限"/>
                <w:tag w:val="_GBC_eea426e94aa64e0d94c932b310318e95"/>
                <w:id w:val="1608544756"/>
                <w:lock w:val="sdtLocked"/>
                <w:comboBox>
                  <w:listItem w:displayText="是" w:value="是"/>
                  <w:listItem w:displayText="否" w:value="否"/>
                </w:comboBox>
              </w:sdtPr>
              <w:sdtEndPr/>
              <w:sdtContent>
                <w:tc>
                  <w:tcPr>
                    <w:tcW w:w="251" w:type="pct"/>
                    <w:shd w:val="clear" w:color="auto" w:fill="auto"/>
                    <w:vAlign w:val="center"/>
                  </w:tcPr>
                  <w:p w14:paraId="14E837E7" w14:textId="77777777" w:rsidR="00E455FF" w:rsidRDefault="004F686E" w:rsidP="00E455FF">
                    <w:pPr>
                      <w:jc w:val="center"/>
                      <w:rPr>
                        <w:szCs w:val="21"/>
                      </w:rPr>
                    </w:pPr>
                    <w:r>
                      <w:rPr>
                        <w:szCs w:val="21"/>
                      </w:rPr>
                      <w:t>是</w:t>
                    </w:r>
                  </w:p>
                </w:tc>
              </w:sdtContent>
            </w:sdt>
            <w:sdt>
              <w:sdtPr>
                <w:rPr>
                  <w:szCs w:val="21"/>
                </w:rPr>
                <w:alias w:val="其他承诺相关方的承诺事项-是否及时严格履行"/>
                <w:tag w:val="_GBC_77946a666c9a4f6a87209acb7df47051"/>
                <w:id w:val="4322863"/>
                <w:lock w:val="sdtLocked"/>
                <w:comboBox>
                  <w:listItem w:displayText="是" w:value="是"/>
                  <w:listItem w:displayText="否" w:value="否"/>
                </w:comboBox>
              </w:sdtPr>
              <w:sdtEndPr/>
              <w:sdtContent>
                <w:tc>
                  <w:tcPr>
                    <w:tcW w:w="251" w:type="pct"/>
                    <w:shd w:val="clear" w:color="auto" w:fill="auto"/>
                    <w:vAlign w:val="center"/>
                  </w:tcPr>
                  <w:p w14:paraId="2BB547AD" w14:textId="77777777" w:rsidR="00E455FF" w:rsidRDefault="004F686E" w:rsidP="00E455FF">
                    <w:pPr>
                      <w:jc w:val="center"/>
                      <w:rPr>
                        <w:szCs w:val="21"/>
                      </w:rPr>
                    </w:pPr>
                    <w:r>
                      <w:rPr>
                        <w:szCs w:val="21"/>
                      </w:rPr>
                      <w:t>是</w:t>
                    </w:r>
                  </w:p>
                </w:tc>
              </w:sdtContent>
            </w:sdt>
            <w:tc>
              <w:tcPr>
                <w:tcW w:w="754" w:type="pct"/>
                <w:shd w:val="clear" w:color="auto" w:fill="auto"/>
              </w:tcPr>
              <w:p w14:paraId="648B7882" w14:textId="77777777" w:rsidR="00E455FF" w:rsidRDefault="00B664AF" w:rsidP="00471D53"/>
            </w:tc>
            <w:tc>
              <w:tcPr>
                <w:tcW w:w="382" w:type="pct"/>
                <w:shd w:val="clear" w:color="auto" w:fill="auto"/>
              </w:tcPr>
              <w:p w14:paraId="559B0A10" w14:textId="77777777" w:rsidR="00E455FF" w:rsidRDefault="00B664AF" w:rsidP="00471D53">
                <w:pPr>
                  <w:rPr>
                    <w:szCs w:val="21"/>
                  </w:rPr>
                </w:pPr>
              </w:p>
            </w:tc>
          </w:tr>
          <w:tr w:rsidR="00E455FF" w14:paraId="2E6AF798" w14:textId="77777777" w:rsidTr="00E455FF">
            <w:tc>
              <w:tcPr>
                <w:tcW w:w="246" w:type="pct"/>
                <w:vMerge/>
                <w:shd w:val="clear" w:color="auto" w:fill="auto"/>
                <w:vAlign w:val="center"/>
              </w:tcPr>
              <w:p w14:paraId="569F4FE8" w14:textId="77777777" w:rsidR="00E455FF" w:rsidRDefault="00B664AF" w:rsidP="00471D53">
                <w:pPr>
                  <w:rPr>
                    <w:szCs w:val="21"/>
                  </w:rPr>
                </w:pPr>
              </w:p>
            </w:tc>
            <w:sdt>
              <w:sdtPr>
                <w:rPr>
                  <w:szCs w:val="21"/>
                </w:rPr>
                <w:alias w:val="其他承诺相关方的承诺事项-承诺类型"/>
                <w:tag w:val="_GBC_f5c45f48e8c643ae90b289b4f3861c10"/>
                <w:id w:val="-724763764"/>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14:paraId="38C96367" w14:textId="649E19A6" w:rsidR="00E455FF" w:rsidRDefault="004F686E" w:rsidP="00E455FF">
                    <w:pPr>
                      <w:jc w:val="center"/>
                      <w:rPr>
                        <w:szCs w:val="21"/>
                      </w:rPr>
                    </w:pPr>
                    <w:r>
                      <w:rPr>
                        <w:szCs w:val="21"/>
                      </w:rPr>
                      <w:t>其他</w:t>
                    </w:r>
                  </w:p>
                </w:tc>
              </w:sdtContent>
            </w:sdt>
            <w:tc>
              <w:tcPr>
                <w:tcW w:w="302" w:type="pct"/>
                <w:shd w:val="clear" w:color="auto" w:fill="auto"/>
                <w:vAlign w:val="center"/>
              </w:tcPr>
              <w:p w14:paraId="20F74461" w14:textId="77777777" w:rsidR="00E455FF" w:rsidRDefault="004F686E" w:rsidP="00E455FF">
                <w:pPr>
                  <w:jc w:val="center"/>
                </w:pPr>
                <w:r>
                  <w:t>大股东北京京城机电控股有限责任公司</w:t>
                </w:r>
              </w:p>
            </w:tc>
            <w:tc>
              <w:tcPr>
                <w:tcW w:w="2311" w:type="pct"/>
                <w:shd w:val="clear" w:color="auto" w:fill="auto"/>
              </w:tcPr>
              <w:p w14:paraId="49070E89" w14:textId="6CBA6CF4" w:rsidR="00E455FF" w:rsidRDefault="004F686E" w:rsidP="00471D53">
                <w:r>
                  <w:t>京城控股承诺：本公司充分知悉拟置出资产目前存在的瑕疵，本公司将承担因拟置出资产瑕疵而产生的任何损失或法律责任，不会因拟置出资产瑕疵要求北人股份承担任何损失或法律责任，亦不会因拟置出资产瑕疵单方面拒绝签署或要求终止、解除、变更《北人印刷机械股份有限公司与北京京城机电控股有限责任公司关于重大资产置换的框架协议》、《北人印刷机械股份有限公司与北京京城机电控股有限责任公司及北人集团公司之重大资产置换协议》及相关协议。如果拟置出资产中所涉及的相关负债（包括自基准日到交割日间新产生的负债），未取得债权人对债务转移的同意，该等债权人向北人股份主张权利的，由北人集团公司承担与此相关的一切义务、责任及费用；如果北人股份因该等债权追索承担了任何责任或遭受了任何损失的，由北人集团公司向北人股份作出全额补偿。本公司承诺：本公司将对北人集团公司的该等补偿责任承担连带责任。</w:t>
                </w:r>
              </w:p>
            </w:tc>
            <w:tc>
              <w:tcPr>
                <w:tcW w:w="252" w:type="pct"/>
                <w:shd w:val="clear" w:color="auto" w:fill="auto"/>
                <w:vAlign w:val="center"/>
              </w:tcPr>
              <w:p w14:paraId="2EC57AAF" w14:textId="77777777" w:rsidR="00E455FF" w:rsidRDefault="004F686E" w:rsidP="00E455FF">
                <w:pPr>
                  <w:jc w:val="center"/>
                </w:pPr>
                <w:r>
                  <w:t>长期</w:t>
                </w:r>
              </w:p>
            </w:tc>
            <w:sdt>
              <w:sdtPr>
                <w:rPr>
                  <w:szCs w:val="21"/>
                </w:rPr>
                <w:alias w:val="其他承诺相关方的承诺事项-是否有履行期限"/>
                <w:tag w:val="_GBC_eea426e94aa64e0d94c932b310318e95"/>
                <w:id w:val="-1416398890"/>
                <w:lock w:val="sdtLocked"/>
                <w:comboBox>
                  <w:listItem w:displayText="是" w:value="是"/>
                  <w:listItem w:displayText="否" w:value="否"/>
                </w:comboBox>
              </w:sdtPr>
              <w:sdtEndPr/>
              <w:sdtContent>
                <w:tc>
                  <w:tcPr>
                    <w:tcW w:w="251" w:type="pct"/>
                    <w:shd w:val="clear" w:color="auto" w:fill="auto"/>
                    <w:vAlign w:val="center"/>
                  </w:tcPr>
                  <w:p w14:paraId="6900480A" w14:textId="77777777" w:rsidR="00E455FF" w:rsidRDefault="004F686E" w:rsidP="00E455FF">
                    <w:pPr>
                      <w:jc w:val="center"/>
                      <w:rPr>
                        <w:szCs w:val="21"/>
                      </w:rPr>
                    </w:pPr>
                    <w:r>
                      <w:rPr>
                        <w:szCs w:val="21"/>
                      </w:rPr>
                      <w:t>是</w:t>
                    </w:r>
                  </w:p>
                </w:tc>
              </w:sdtContent>
            </w:sdt>
            <w:sdt>
              <w:sdtPr>
                <w:rPr>
                  <w:szCs w:val="21"/>
                </w:rPr>
                <w:alias w:val="其他承诺相关方的承诺事项-是否及时严格履行"/>
                <w:tag w:val="_GBC_77946a666c9a4f6a87209acb7df47051"/>
                <w:id w:val="-1678489634"/>
                <w:lock w:val="sdtLocked"/>
                <w:comboBox>
                  <w:listItem w:displayText="是" w:value="是"/>
                  <w:listItem w:displayText="否" w:value="否"/>
                </w:comboBox>
              </w:sdtPr>
              <w:sdtEndPr/>
              <w:sdtContent>
                <w:tc>
                  <w:tcPr>
                    <w:tcW w:w="251" w:type="pct"/>
                    <w:shd w:val="clear" w:color="auto" w:fill="auto"/>
                    <w:vAlign w:val="center"/>
                  </w:tcPr>
                  <w:p w14:paraId="4AD897E0" w14:textId="77777777" w:rsidR="00E455FF" w:rsidRDefault="004F686E" w:rsidP="00E455FF">
                    <w:pPr>
                      <w:jc w:val="center"/>
                      <w:rPr>
                        <w:szCs w:val="21"/>
                      </w:rPr>
                    </w:pPr>
                    <w:r>
                      <w:rPr>
                        <w:szCs w:val="21"/>
                      </w:rPr>
                      <w:t>是</w:t>
                    </w:r>
                  </w:p>
                </w:tc>
              </w:sdtContent>
            </w:sdt>
            <w:tc>
              <w:tcPr>
                <w:tcW w:w="754" w:type="pct"/>
                <w:shd w:val="clear" w:color="auto" w:fill="auto"/>
              </w:tcPr>
              <w:p w14:paraId="724749F5" w14:textId="5B29FA71" w:rsidR="00E455FF" w:rsidRDefault="004F686E" w:rsidP="00471D53">
                <w:r>
                  <w:t>截至本披露日，京城控股已督促北人集团偿还债务并承诺如果北人集团没有及时清偿，京城控股将负责清偿及提供担保。本公司目前没有因被追索而遭受损失，京城控股未出现违背该承诺的行为。</w:t>
                </w:r>
              </w:p>
            </w:tc>
            <w:tc>
              <w:tcPr>
                <w:tcW w:w="382" w:type="pct"/>
                <w:shd w:val="clear" w:color="auto" w:fill="auto"/>
              </w:tcPr>
              <w:p w14:paraId="33ED3730" w14:textId="77777777" w:rsidR="00E455FF" w:rsidRDefault="00B664AF" w:rsidP="00471D53">
                <w:pPr>
                  <w:rPr>
                    <w:szCs w:val="21"/>
                  </w:rPr>
                </w:pPr>
              </w:p>
            </w:tc>
          </w:tr>
          <w:tr w:rsidR="00E455FF" w14:paraId="75561DC0" w14:textId="77777777" w:rsidTr="00E455FF">
            <w:tc>
              <w:tcPr>
                <w:tcW w:w="246" w:type="pct"/>
                <w:vMerge/>
                <w:shd w:val="clear" w:color="auto" w:fill="auto"/>
                <w:vAlign w:val="center"/>
              </w:tcPr>
              <w:p w14:paraId="58A93CD0" w14:textId="77777777" w:rsidR="00E455FF" w:rsidRDefault="00B664AF" w:rsidP="00471D53">
                <w:pPr>
                  <w:rPr>
                    <w:szCs w:val="21"/>
                  </w:rPr>
                </w:pPr>
              </w:p>
            </w:tc>
            <w:sdt>
              <w:sdtPr>
                <w:rPr>
                  <w:szCs w:val="21"/>
                </w:rPr>
                <w:alias w:val="其他承诺相关方的承诺事项-承诺类型"/>
                <w:tag w:val="_GBC_f5c45f48e8c643ae90b289b4f3861c10"/>
                <w:id w:val="1506557411"/>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14:paraId="6F8ED30C" w14:textId="3093B396" w:rsidR="00E455FF" w:rsidRDefault="004F686E" w:rsidP="00E455FF">
                    <w:pPr>
                      <w:jc w:val="center"/>
                      <w:rPr>
                        <w:szCs w:val="21"/>
                      </w:rPr>
                    </w:pPr>
                    <w:r>
                      <w:rPr>
                        <w:szCs w:val="21"/>
                      </w:rPr>
                      <w:t>其他</w:t>
                    </w:r>
                  </w:p>
                </w:tc>
              </w:sdtContent>
            </w:sdt>
            <w:tc>
              <w:tcPr>
                <w:tcW w:w="302" w:type="pct"/>
                <w:shd w:val="clear" w:color="auto" w:fill="auto"/>
                <w:vAlign w:val="center"/>
              </w:tcPr>
              <w:p w14:paraId="55436B3E" w14:textId="77777777" w:rsidR="00E455FF" w:rsidRDefault="004F686E" w:rsidP="00E455FF">
                <w:pPr>
                  <w:jc w:val="center"/>
                </w:pPr>
                <w:r>
                  <w:t>置出资产承接主体（北</w:t>
                </w:r>
                <w:r>
                  <w:lastRenderedPageBreak/>
                  <w:t>人集团）</w:t>
                </w:r>
              </w:p>
            </w:tc>
            <w:tc>
              <w:tcPr>
                <w:tcW w:w="2311" w:type="pct"/>
                <w:shd w:val="clear" w:color="auto" w:fill="auto"/>
              </w:tcPr>
              <w:p w14:paraId="16761B58" w14:textId="5E602EC8" w:rsidR="00E455FF" w:rsidRDefault="004F686E" w:rsidP="00471D53">
                <w:r>
                  <w:lastRenderedPageBreak/>
                  <w:t>北人集团承诺：本公司充分知悉拟置出资产目前存在的瑕疵，本公司将承担因拟置出资产瑕疵而产生的任何损失或法律责任，不会因拟置出资产瑕疵要求北人股份承担任何损失或法律责任。如果拟置出资产中所涉及的相关负债（包括自基准日到交割日间新产生的负债），未取得债权人对债务转移的同意，该等债权人向北人股份主</w:t>
                </w:r>
                <w:r>
                  <w:lastRenderedPageBreak/>
                  <w:t>张权利的，由本公司承担与此相关的一切义务、责任及费用；如果北人股份因该等债权追索承担了任何责任或遭受了任何损失的，由本公司向北人股份作出全额补偿。</w:t>
                </w:r>
              </w:p>
            </w:tc>
            <w:tc>
              <w:tcPr>
                <w:tcW w:w="252" w:type="pct"/>
                <w:shd w:val="clear" w:color="auto" w:fill="auto"/>
                <w:vAlign w:val="center"/>
              </w:tcPr>
              <w:p w14:paraId="4C03AF13" w14:textId="77777777" w:rsidR="00E455FF" w:rsidRDefault="004F686E" w:rsidP="00E455FF">
                <w:pPr>
                  <w:jc w:val="center"/>
                </w:pPr>
                <w:r>
                  <w:lastRenderedPageBreak/>
                  <w:t>长期</w:t>
                </w:r>
              </w:p>
            </w:tc>
            <w:sdt>
              <w:sdtPr>
                <w:rPr>
                  <w:szCs w:val="21"/>
                </w:rPr>
                <w:alias w:val="其他承诺相关方的承诺事项-是否有履行期限"/>
                <w:tag w:val="_GBC_eea426e94aa64e0d94c932b310318e95"/>
                <w:id w:val="2119406933"/>
                <w:lock w:val="sdtLocked"/>
                <w:comboBox>
                  <w:listItem w:displayText="是" w:value="是"/>
                  <w:listItem w:displayText="否" w:value="否"/>
                </w:comboBox>
              </w:sdtPr>
              <w:sdtEndPr/>
              <w:sdtContent>
                <w:tc>
                  <w:tcPr>
                    <w:tcW w:w="251" w:type="pct"/>
                    <w:shd w:val="clear" w:color="auto" w:fill="auto"/>
                    <w:vAlign w:val="center"/>
                  </w:tcPr>
                  <w:p w14:paraId="446036E8" w14:textId="77777777" w:rsidR="00E455FF" w:rsidRDefault="004F686E" w:rsidP="00E455FF">
                    <w:pPr>
                      <w:jc w:val="center"/>
                      <w:rPr>
                        <w:szCs w:val="21"/>
                      </w:rPr>
                    </w:pPr>
                    <w:r>
                      <w:rPr>
                        <w:szCs w:val="21"/>
                      </w:rPr>
                      <w:t>是</w:t>
                    </w:r>
                  </w:p>
                </w:tc>
              </w:sdtContent>
            </w:sdt>
            <w:sdt>
              <w:sdtPr>
                <w:rPr>
                  <w:szCs w:val="21"/>
                </w:rPr>
                <w:alias w:val="其他承诺相关方的承诺事项-是否及时严格履行"/>
                <w:tag w:val="_GBC_77946a666c9a4f6a87209acb7df47051"/>
                <w:id w:val="1338956253"/>
                <w:lock w:val="sdtLocked"/>
                <w:comboBox>
                  <w:listItem w:displayText="是" w:value="是"/>
                  <w:listItem w:displayText="否" w:value="否"/>
                </w:comboBox>
              </w:sdtPr>
              <w:sdtEndPr/>
              <w:sdtContent>
                <w:tc>
                  <w:tcPr>
                    <w:tcW w:w="251" w:type="pct"/>
                    <w:shd w:val="clear" w:color="auto" w:fill="auto"/>
                    <w:vAlign w:val="center"/>
                  </w:tcPr>
                  <w:p w14:paraId="3A27354D" w14:textId="77777777" w:rsidR="00E455FF" w:rsidRDefault="004F686E" w:rsidP="00E455FF">
                    <w:pPr>
                      <w:jc w:val="center"/>
                      <w:rPr>
                        <w:szCs w:val="21"/>
                      </w:rPr>
                    </w:pPr>
                    <w:r>
                      <w:rPr>
                        <w:szCs w:val="21"/>
                      </w:rPr>
                      <w:t>是</w:t>
                    </w:r>
                  </w:p>
                </w:tc>
              </w:sdtContent>
            </w:sdt>
            <w:tc>
              <w:tcPr>
                <w:tcW w:w="754" w:type="pct"/>
                <w:shd w:val="clear" w:color="auto" w:fill="auto"/>
              </w:tcPr>
              <w:p w14:paraId="0D34AEB5" w14:textId="77777777" w:rsidR="00E455FF" w:rsidRDefault="004F686E" w:rsidP="00471D53">
                <w:r>
                  <w:t>截至本披露日，京城控股已督促北人集团偿还债务并承诺如果北人集团没有及时清偿，京城</w:t>
                </w:r>
                <w:r>
                  <w:lastRenderedPageBreak/>
                  <w:t>控股将负责清偿及提供担保。本公司目前没有因被追索而遭受损失，京城控股未出现违背该承诺的行为。</w:t>
                </w:r>
              </w:p>
            </w:tc>
            <w:tc>
              <w:tcPr>
                <w:tcW w:w="382" w:type="pct"/>
                <w:shd w:val="clear" w:color="auto" w:fill="auto"/>
              </w:tcPr>
              <w:p w14:paraId="391F002A" w14:textId="77777777" w:rsidR="00E455FF" w:rsidRDefault="00B664AF" w:rsidP="00471D53">
                <w:pPr>
                  <w:rPr>
                    <w:szCs w:val="21"/>
                  </w:rPr>
                </w:pPr>
              </w:p>
            </w:tc>
          </w:tr>
          <w:tr w:rsidR="00E455FF" w14:paraId="265F2A7E" w14:textId="77777777" w:rsidTr="00E455FF">
            <w:tc>
              <w:tcPr>
                <w:tcW w:w="246" w:type="pct"/>
                <w:vMerge/>
                <w:shd w:val="clear" w:color="auto" w:fill="auto"/>
                <w:vAlign w:val="center"/>
              </w:tcPr>
              <w:p w14:paraId="03C04E6F" w14:textId="77777777" w:rsidR="00E455FF" w:rsidRDefault="00B664AF" w:rsidP="00471D53">
                <w:pPr>
                  <w:rPr>
                    <w:szCs w:val="21"/>
                  </w:rPr>
                </w:pPr>
              </w:p>
            </w:tc>
            <w:sdt>
              <w:sdtPr>
                <w:rPr>
                  <w:szCs w:val="21"/>
                </w:rPr>
                <w:alias w:val="其他承诺相关方的承诺事项-承诺类型"/>
                <w:tag w:val="_GBC_f5c45f48e8c643ae90b289b4f3861c10"/>
                <w:id w:val="1692418093"/>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14:paraId="038D9939" w14:textId="6E18E4FE" w:rsidR="00E455FF" w:rsidRDefault="004F686E" w:rsidP="00E455FF">
                    <w:pPr>
                      <w:jc w:val="center"/>
                      <w:rPr>
                        <w:szCs w:val="21"/>
                      </w:rPr>
                    </w:pPr>
                    <w:r>
                      <w:rPr>
                        <w:szCs w:val="21"/>
                      </w:rPr>
                      <w:t>其他</w:t>
                    </w:r>
                  </w:p>
                </w:tc>
              </w:sdtContent>
            </w:sdt>
            <w:tc>
              <w:tcPr>
                <w:tcW w:w="302" w:type="pct"/>
                <w:shd w:val="clear" w:color="auto" w:fill="auto"/>
                <w:vAlign w:val="center"/>
              </w:tcPr>
              <w:p w14:paraId="6A3BC937" w14:textId="77777777" w:rsidR="00E455FF" w:rsidRDefault="004F686E" w:rsidP="00E455FF">
                <w:pPr>
                  <w:jc w:val="center"/>
                </w:pPr>
                <w:r>
                  <w:t>置出资产承接主体（北人集团）</w:t>
                </w:r>
              </w:p>
            </w:tc>
            <w:tc>
              <w:tcPr>
                <w:tcW w:w="2311" w:type="pct"/>
                <w:shd w:val="clear" w:color="auto" w:fill="auto"/>
              </w:tcPr>
              <w:p w14:paraId="12A334F3" w14:textId="42236402" w:rsidR="00E455FF" w:rsidRDefault="004F686E" w:rsidP="00471D53">
                <w:r>
                  <w:t>北人集团承诺：本公司已充分知悉置出资产目前存在的上述问题，并承诺若本次重组实施时北人股份上述部分下属公司相关股东行使优先购买权，则本公司同意接受上述置出资产中的长期股权投资变更为相等价值的现金资产，不会因置出资产形式的变化要求终止或变更各方之前已签署的重大资产置换协议或要求北人股份赔偿任何损失或承担法律责任。</w:t>
                </w:r>
              </w:p>
            </w:tc>
            <w:tc>
              <w:tcPr>
                <w:tcW w:w="252" w:type="pct"/>
                <w:shd w:val="clear" w:color="auto" w:fill="auto"/>
                <w:vAlign w:val="center"/>
              </w:tcPr>
              <w:p w14:paraId="1A330C52" w14:textId="77777777" w:rsidR="00E455FF" w:rsidRDefault="004F686E" w:rsidP="00E455FF">
                <w:pPr>
                  <w:jc w:val="center"/>
                </w:pPr>
                <w:r>
                  <w:t>长期</w:t>
                </w:r>
              </w:p>
            </w:tc>
            <w:sdt>
              <w:sdtPr>
                <w:rPr>
                  <w:szCs w:val="21"/>
                </w:rPr>
                <w:alias w:val="其他承诺相关方的承诺事项-是否有履行期限"/>
                <w:tag w:val="_GBC_eea426e94aa64e0d94c932b310318e95"/>
                <w:id w:val="1293860084"/>
                <w:lock w:val="sdtLocked"/>
                <w:comboBox>
                  <w:listItem w:displayText="是" w:value="是"/>
                  <w:listItem w:displayText="否" w:value="否"/>
                </w:comboBox>
              </w:sdtPr>
              <w:sdtEndPr/>
              <w:sdtContent>
                <w:tc>
                  <w:tcPr>
                    <w:tcW w:w="251" w:type="pct"/>
                    <w:shd w:val="clear" w:color="auto" w:fill="auto"/>
                    <w:vAlign w:val="center"/>
                  </w:tcPr>
                  <w:p w14:paraId="336C688D" w14:textId="77777777" w:rsidR="00E455FF" w:rsidRDefault="004F686E" w:rsidP="00E455FF">
                    <w:pPr>
                      <w:jc w:val="center"/>
                      <w:rPr>
                        <w:szCs w:val="21"/>
                      </w:rPr>
                    </w:pPr>
                    <w:r>
                      <w:rPr>
                        <w:szCs w:val="21"/>
                      </w:rPr>
                      <w:t>是</w:t>
                    </w:r>
                  </w:p>
                </w:tc>
              </w:sdtContent>
            </w:sdt>
            <w:sdt>
              <w:sdtPr>
                <w:rPr>
                  <w:szCs w:val="21"/>
                </w:rPr>
                <w:alias w:val="其他承诺相关方的承诺事项-是否及时严格履行"/>
                <w:tag w:val="_GBC_77946a666c9a4f6a87209acb7df47051"/>
                <w:id w:val="1049726842"/>
                <w:lock w:val="sdtLocked"/>
                <w:comboBox>
                  <w:listItem w:displayText="是" w:value="是"/>
                  <w:listItem w:displayText="否" w:value="否"/>
                </w:comboBox>
              </w:sdtPr>
              <w:sdtEndPr/>
              <w:sdtContent>
                <w:tc>
                  <w:tcPr>
                    <w:tcW w:w="251" w:type="pct"/>
                    <w:shd w:val="clear" w:color="auto" w:fill="auto"/>
                    <w:vAlign w:val="center"/>
                  </w:tcPr>
                  <w:p w14:paraId="60F3BCFE" w14:textId="77777777" w:rsidR="00E455FF" w:rsidRDefault="004F686E" w:rsidP="00E455FF">
                    <w:pPr>
                      <w:jc w:val="center"/>
                      <w:rPr>
                        <w:szCs w:val="21"/>
                      </w:rPr>
                    </w:pPr>
                    <w:r>
                      <w:rPr>
                        <w:szCs w:val="21"/>
                      </w:rPr>
                      <w:t>是</w:t>
                    </w:r>
                  </w:p>
                </w:tc>
              </w:sdtContent>
            </w:sdt>
            <w:tc>
              <w:tcPr>
                <w:tcW w:w="754" w:type="pct"/>
                <w:shd w:val="clear" w:color="auto" w:fill="auto"/>
              </w:tcPr>
              <w:p w14:paraId="01A638F7" w14:textId="77777777" w:rsidR="00E455FF" w:rsidRDefault="00B664AF" w:rsidP="00471D53"/>
            </w:tc>
            <w:tc>
              <w:tcPr>
                <w:tcW w:w="382" w:type="pct"/>
                <w:shd w:val="clear" w:color="auto" w:fill="auto"/>
              </w:tcPr>
              <w:p w14:paraId="60E4034A" w14:textId="77777777" w:rsidR="00E455FF" w:rsidRDefault="00B664AF" w:rsidP="00471D53">
                <w:pPr>
                  <w:rPr>
                    <w:szCs w:val="21"/>
                  </w:rPr>
                </w:pPr>
              </w:p>
            </w:tc>
          </w:tr>
        </w:tbl>
        <w:p w14:paraId="0CD025CB" w14:textId="29697526" w:rsidR="007F1C2B" w:rsidRDefault="00B664AF">
          <w:pPr>
            <w:rPr>
              <w:szCs w:val="21"/>
            </w:rPr>
          </w:pPr>
        </w:p>
      </w:sdtContent>
    </w:sdt>
    <w:p w14:paraId="4DBFF7D0" w14:textId="77777777" w:rsidR="007F1C2B" w:rsidRDefault="00B664AF">
      <w:pPr>
        <w:rPr>
          <w:szCs w:val="21"/>
        </w:rPr>
      </w:pPr>
    </w:p>
    <w:sdt>
      <w:sdtPr>
        <w:rPr>
          <w:rFonts w:ascii="宋体" w:hAnsi="宋体" w:cs="宋体" w:hint="eastAsia"/>
          <w:b w:val="0"/>
          <w:bCs w:val="0"/>
          <w:kern w:val="0"/>
          <w:szCs w:val="24"/>
        </w:rPr>
        <w:alias w:val="模块:报告期内控股股东及其他关联方非经营性占用资金情况  单位..."/>
        <w:tag w:val="_SEC_2f371a3cc949400ea818d66a836d5785"/>
        <w:id w:val="-352346309"/>
        <w:lock w:val="sdtLocked"/>
        <w:placeholder>
          <w:docPart w:val="GBC22222222222222222222222222222"/>
        </w:placeholder>
      </w:sdtPr>
      <w:sdtEndPr>
        <w:rPr>
          <w:rFonts w:hint="default"/>
        </w:rPr>
      </w:sdtEndPr>
      <w:sdtContent>
        <w:p w14:paraId="37AEF42A" w14:textId="7DFF5FAC" w:rsidR="007F1C2B" w:rsidRDefault="004F686E" w:rsidP="004F686E">
          <w:pPr>
            <w:pStyle w:val="2"/>
            <w:numPr>
              <w:ilvl w:val="0"/>
              <w:numId w:val="20"/>
            </w:numPr>
            <w:tabs>
              <w:tab w:val="left" w:pos="426"/>
            </w:tabs>
            <w:jc w:val="left"/>
            <w:rPr>
              <w:rFonts w:ascii="宋体" w:hAnsi="宋体"/>
            </w:rPr>
          </w:pPr>
          <w:r>
            <w:rPr>
              <w:rFonts w:ascii="宋体" w:hAnsi="宋体" w:hint="eastAsia"/>
            </w:rPr>
            <w:t>报</w:t>
          </w:r>
          <w:r>
            <w:rPr>
              <w:rFonts w:ascii="宋体" w:hAnsi="宋体"/>
            </w:rPr>
            <w:t>告期内</w:t>
          </w:r>
          <w:r>
            <w:rPr>
              <w:rFonts w:ascii="宋体" w:hAnsi="宋体" w:hint="eastAsia"/>
            </w:rPr>
            <w:t>控股股东及其他关联方非经营性占用资金情况</w:t>
          </w:r>
        </w:p>
        <w:sdt>
          <w:sdtPr>
            <w:rPr>
              <w:szCs w:val="21"/>
            </w:rPr>
            <w:alias w:val="是否适用：资金被占用情况及清欠进展情况[双击切换]"/>
            <w:tag w:val="_GBC_ae82394ae54d49eba71e8d8d6447c499"/>
            <w:id w:val="333734006"/>
            <w:lock w:val="sdtLocked"/>
            <w:placeholder>
              <w:docPart w:val="GBC22222222222222222222222222222"/>
            </w:placeholder>
          </w:sdtPr>
          <w:sdtEndPr/>
          <w:sdtContent>
            <w:p w14:paraId="5A7827EB" w14:textId="48DE742C" w:rsidR="007F1C2B" w:rsidRDefault="004F686E" w:rsidP="00E455FF">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bookmarkStart w:id="51" w:name="_Hlk77617363" w:displacedByCustomXml="next"/>
      </w:sdtContent>
    </w:sdt>
    <w:bookmarkEnd w:id="51" w:displacedByCustomXml="prev"/>
    <w:sdt>
      <w:sdtPr>
        <w:rPr>
          <w:rFonts w:ascii="宋体" w:hAnsi="宋体" w:cs="宋体" w:hint="eastAsia"/>
          <w:b w:val="0"/>
          <w:bCs w:val="0"/>
          <w:kern w:val="0"/>
          <w:szCs w:val="24"/>
        </w:rPr>
        <w:alias w:val="模块:违规担保情况"/>
        <w:tag w:val="_SEC_623f0c33c18d4979b146b229057a4e89"/>
        <w:id w:val="1813522736"/>
        <w:lock w:val="sdtLocked"/>
        <w:placeholder>
          <w:docPart w:val="GBC22222222222222222222222222222"/>
        </w:placeholder>
      </w:sdtPr>
      <w:sdtEndPr>
        <w:rPr>
          <w:rFonts w:hint="default"/>
        </w:rPr>
      </w:sdtEndPr>
      <w:sdtContent>
        <w:p w14:paraId="4EA05948" w14:textId="1D9FC59A" w:rsidR="007F1C2B" w:rsidRDefault="004F686E" w:rsidP="004F686E">
          <w:pPr>
            <w:pStyle w:val="2"/>
            <w:numPr>
              <w:ilvl w:val="0"/>
              <w:numId w:val="20"/>
            </w:numPr>
            <w:tabs>
              <w:tab w:val="left" w:pos="426"/>
            </w:tabs>
            <w:jc w:val="left"/>
            <w:rPr>
              <w:rFonts w:ascii="宋体" w:hAnsi="宋体"/>
            </w:rPr>
          </w:pPr>
          <w:r>
            <w:rPr>
              <w:rFonts w:ascii="宋体" w:hAnsi="宋体" w:hint="eastAsia"/>
            </w:rPr>
            <w:t>违规担保情况</w:t>
          </w:r>
        </w:p>
        <w:sdt>
          <w:sdtPr>
            <w:alias w:val="是否适用：违规担保情况[双击切换]"/>
            <w:tag w:val="_GBC_725722c7a37d40c28caf80b13d948933"/>
            <w:id w:val="-326826676"/>
            <w:lock w:val="sdtLocked"/>
            <w:placeholder>
              <w:docPart w:val="GBC22222222222222222222222222222"/>
            </w:placeholder>
          </w:sdtPr>
          <w:sdtEndPr/>
          <w:sdtContent>
            <w:p w14:paraId="76B7698E" w14:textId="2825E6CD" w:rsidR="007F1C2B" w:rsidRDefault="004F686E" w:rsidP="00E455FF">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1B713A17" w14:textId="1B8134D9" w:rsidR="007F1C2B" w:rsidRDefault="00B664AF">
      <w:pPr>
        <w:rPr>
          <w:szCs w:val="21"/>
        </w:rPr>
        <w:sectPr w:rsidR="007F1C2B" w:rsidSect="00714478">
          <w:pgSz w:w="16838" w:h="11906" w:orient="landscape"/>
          <w:pgMar w:top="1797" w:right="1525" w:bottom="1276" w:left="1440" w:header="851" w:footer="992" w:gutter="0"/>
          <w:cols w:space="425"/>
          <w:docGrid w:linePitch="312"/>
        </w:sectPr>
      </w:pPr>
    </w:p>
    <w:p w14:paraId="24CB3F34" w14:textId="77777777" w:rsidR="007F1C2B" w:rsidRDefault="004F686E" w:rsidP="004F686E">
      <w:pPr>
        <w:pStyle w:val="2"/>
        <w:numPr>
          <w:ilvl w:val="0"/>
          <w:numId w:val="20"/>
        </w:numPr>
        <w:tabs>
          <w:tab w:val="left" w:pos="426"/>
        </w:tabs>
        <w:ind w:left="422" w:hanging="422"/>
        <w:jc w:val="left"/>
        <w:rPr>
          <w:rFonts w:ascii="宋体" w:hAnsi="宋体"/>
        </w:rPr>
      </w:pPr>
      <w:r>
        <w:rPr>
          <w:rFonts w:ascii="宋体" w:hAnsi="宋体" w:hint="eastAsia"/>
        </w:rPr>
        <w:lastRenderedPageBreak/>
        <w:t>半年报审计情况</w:t>
      </w:r>
    </w:p>
    <w:sdt>
      <w:sdtPr>
        <w:rPr>
          <w:szCs w:val="21"/>
        </w:rPr>
        <w:alias w:val="是否适用：半年报审计情况  [双击切换]"/>
        <w:tag w:val="_GBC_b2faf86be7fd4060a2a7ad4018aaf033"/>
        <w:id w:val="1835721482"/>
        <w:lock w:val="sdtLocked"/>
        <w:placeholder>
          <w:docPart w:val="GBC22222222222222222222222222222"/>
        </w:placeholder>
      </w:sdtPr>
      <w:sdtEndPr/>
      <w:sdtContent>
        <w:p w14:paraId="244481F6" w14:textId="02CDE005" w:rsidR="005D6975" w:rsidRDefault="004F686E" w:rsidP="005D6975">
          <w:r>
            <w:rPr>
              <w:szCs w:val="21"/>
            </w:rPr>
            <w:fldChar w:fldCharType="begin"/>
          </w:r>
          <w:r w:rsidR="005D6975">
            <w:rPr>
              <w:szCs w:val="21"/>
            </w:rPr>
            <w:instrText xml:space="preserve"> MACROBUTTON  SnrToggleCheckbox □适用 </w:instrText>
          </w:r>
          <w:r>
            <w:rPr>
              <w:szCs w:val="21"/>
            </w:rPr>
            <w:fldChar w:fldCharType="end"/>
          </w:r>
          <w:r>
            <w:rPr>
              <w:szCs w:val="21"/>
            </w:rPr>
            <w:fldChar w:fldCharType="begin"/>
          </w:r>
          <w:r w:rsidR="005D6975">
            <w:rPr>
              <w:szCs w:val="21"/>
            </w:rPr>
            <w:instrText xml:space="preserve"> MACROBUTTON  SnrToggleCheckbox √不适用 </w:instrText>
          </w:r>
          <w:r>
            <w:rPr>
              <w:szCs w:val="21"/>
            </w:rPr>
            <w:fldChar w:fldCharType="end"/>
          </w:r>
        </w:p>
      </w:sdtContent>
    </w:sdt>
    <w:p w14:paraId="11D2ACCB" w14:textId="7879D66D" w:rsidR="007F1C2B" w:rsidRDefault="00B664AF" w:rsidP="00E455FF"/>
    <w:p w14:paraId="5A3BB11A" w14:textId="77777777" w:rsidR="007F1C2B" w:rsidRDefault="00B664AF"/>
    <w:sdt>
      <w:sdtPr>
        <w:rPr>
          <w:rFonts w:ascii="宋体" w:hAnsi="宋体" w:cs="宋体" w:hint="eastAsia"/>
          <w:b w:val="0"/>
          <w:bCs w:val="0"/>
          <w:kern w:val="0"/>
          <w:szCs w:val="24"/>
        </w:rPr>
        <w:alias w:val="模块:公司对上年年度报告中的财务报告被注册会计师出具“非标准审计报..."/>
        <w:tag w:val="_SEC_10be83ff0126440a8620e35536191767"/>
        <w:id w:val="-564342193"/>
        <w:lock w:val="sdtLocked"/>
        <w:placeholder>
          <w:docPart w:val="GBC22222222222222222222222222222"/>
        </w:placeholder>
      </w:sdtPr>
      <w:sdtEndPr/>
      <w:sdtContent>
        <w:p w14:paraId="3F06059E" w14:textId="406CF6EA" w:rsidR="007F1C2B" w:rsidRDefault="004F686E" w:rsidP="004F686E">
          <w:pPr>
            <w:pStyle w:val="2"/>
            <w:numPr>
              <w:ilvl w:val="0"/>
              <w:numId w:val="20"/>
            </w:numPr>
            <w:tabs>
              <w:tab w:val="left" w:pos="426"/>
            </w:tabs>
            <w:jc w:val="left"/>
            <w:rPr>
              <w:rFonts w:ascii="宋体" w:hAnsi="宋体"/>
            </w:rPr>
          </w:pPr>
          <w:r>
            <w:rPr>
              <w:rFonts w:ascii="宋体" w:hAnsi="宋体" w:hint="eastAsia"/>
            </w:rPr>
            <w:t>上年年度报告非标准审计意见涉及事项的变化及处理情况</w:t>
          </w:r>
        </w:p>
        <w:sdt>
          <w:sdtPr>
            <w:rPr>
              <w:rFonts w:hint="eastAsia"/>
            </w:rPr>
            <w:alias w:val="是否适用：公司对上年年度报告中的财务报告被注册会计师出具“非标准审计报告”的说明 [双击切换]"/>
            <w:tag w:val="_GBC_06e0811c47124b6da79369103f766350"/>
            <w:id w:val="788626835"/>
            <w:lock w:val="sdtLocked"/>
            <w:placeholder>
              <w:docPart w:val="GBC22222222222222222222222222222"/>
            </w:placeholder>
          </w:sdtPr>
          <w:sdtEndPr/>
          <w:sdtContent>
            <w:p w14:paraId="09A246ED" w14:textId="123BB6B9" w:rsidR="007F1C2B" w:rsidRDefault="004F686E" w:rsidP="00E455FF">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1879EFB" w14:textId="77777777" w:rsidR="007F1C2B" w:rsidRDefault="00B664AF"/>
      </w:sdtContent>
    </w:sdt>
    <w:sdt>
      <w:sdtPr>
        <w:rPr>
          <w:rFonts w:ascii="宋体" w:hAnsi="宋体" w:cs="宋体" w:hint="eastAsia"/>
          <w:b w:val="0"/>
          <w:bCs w:val="0"/>
          <w:kern w:val="0"/>
          <w:szCs w:val="24"/>
        </w:rPr>
        <w:alias w:val="模块:破产重整相关事项"/>
        <w:tag w:val="_SEC_1ae3a3f4b3c4484980120137749e19ed"/>
        <w:id w:val="1571457076"/>
        <w:lock w:val="sdtLocked"/>
        <w:placeholder>
          <w:docPart w:val="GBC22222222222222222222222222222"/>
        </w:placeholder>
      </w:sdtPr>
      <w:sdtEndPr/>
      <w:sdtContent>
        <w:p w14:paraId="3AEAD575" w14:textId="77777777" w:rsidR="007F1C2B" w:rsidRDefault="004F686E" w:rsidP="004F686E">
          <w:pPr>
            <w:pStyle w:val="2"/>
            <w:numPr>
              <w:ilvl w:val="0"/>
              <w:numId w:val="20"/>
            </w:numPr>
            <w:tabs>
              <w:tab w:val="left" w:pos="426"/>
            </w:tabs>
            <w:jc w:val="left"/>
            <w:rPr>
              <w:rFonts w:ascii="宋体" w:hAnsi="宋体"/>
            </w:rPr>
          </w:pPr>
          <w:r>
            <w:rPr>
              <w:rFonts w:ascii="宋体" w:hAnsi="宋体" w:hint="eastAsia"/>
            </w:rPr>
            <w:t>破产重整相关事项</w:t>
          </w:r>
        </w:p>
        <w:sdt>
          <w:sdtPr>
            <w:rPr>
              <w:rFonts w:hint="eastAsia"/>
            </w:rPr>
            <w:alias w:val="是否适用：破产重整相关事项[双击切换]"/>
            <w:tag w:val="_GBC_c4fc8890d63b44b19353d2188a5bce59"/>
            <w:id w:val="-2064016469"/>
            <w:lock w:val="sdtLocked"/>
            <w:placeholder>
              <w:docPart w:val="GBC22222222222222222222222222222"/>
            </w:placeholder>
          </w:sdtPr>
          <w:sdtEndPr/>
          <w:sdtContent>
            <w:p w14:paraId="011BBDA2" w14:textId="1250C13B" w:rsidR="007F1C2B" w:rsidRDefault="004F686E" w:rsidP="00E455FF">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66B907CF" w14:textId="77777777" w:rsidR="00E365D3" w:rsidRDefault="00E365D3">
      <w:pPr>
        <w:rPr>
          <w:szCs w:val="21"/>
        </w:rPr>
        <w:sectPr w:rsidR="00E365D3" w:rsidSect="004860B6">
          <w:pgSz w:w="11906" w:h="16838"/>
          <w:pgMar w:top="1525" w:right="1276" w:bottom="1440" w:left="1797" w:header="851" w:footer="992" w:gutter="0"/>
          <w:cols w:space="425"/>
          <w:docGrid w:linePitch="312"/>
        </w:sectPr>
      </w:pPr>
    </w:p>
    <w:p w14:paraId="2046983D" w14:textId="02969AB0" w:rsidR="007F1C2B" w:rsidRDefault="00B664AF">
      <w:pPr>
        <w:rPr>
          <w:szCs w:val="21"/>
        </w:rPr>
      </w:pPr>
    </w:p>
    <w:p w14:paraId="4F4B3254" w14:textId="77777777" w:rsidR="007F1C2B" w:rsidRDefault="004F686E" w:rsidP="004F686E">
      <w:pPr>
        <w:pStyle w:val="2"/>
        <w:numPr>
          <w:ilvl w:val="0"/>
          <w:numId w:val="20"/>
        </w:numPr>
        <w:tabs>
          <w:tab w:val="left" w:pos="426"/>
        </w:tabs>
        <w:ind w:left="422" w:hanging="422"/>
        <w:jc w:val="left"/>
        <w:rPr>
          <w:rFonts w:ascii="宋体" w:hAnsi="宋体"/>
        </w:rPr>
      </w:pPr>
      <w:r>
        <w:rPr>
          <w:rFonts w:ascii="宋体" w:hAnsi="宋体"/>
        </w:rPr>
        <w:t>重大诉讼、仲裁事项</w:t>
      </w:r>
    </w:p>
    <w:sdt>
      <w:sdtPr>
        <w:rPr>
          <w:szCs w:val="21"/>
        </w:rPr>
        <w:alias w:val="本年度公司有无重大诉讼、仲裁事项"/>
        <w:tag w:val="_GBC_0fcf1cd2d0814185bde747855edf5227"/>
        <w:id w:val="-1806921662"/>
        <w:lock w:val="sdtLocked"/>
        <w:placeholder>
          <w:docPart w:val="GBC22222222222222222222222222222"/>
        </w:placeholder>
      </w:sdtPr>
      <w:sdtEndPr/>
      <w:sdtContent>
        <w:p w14:paraId="12D6A183" w14:textId="0ABB885F" w:rsidR="007F1C2B" w:rsidRDefault="004F686E">
          <w:pPr>
            <w:rPr>
              <w:szCs w:val="21"/>
            </w:rPr>
          </w:pPr>
          <w:r>
            <w:rPr>
              <w:szCs w:val="21"/>
            </w:rPr>
            <w:fldChar w:fldCharType="begin"/>
          </w:r>
          <w:r>
            <w:rPr>
              <w:szCs w:val="21"/>
            </w:rPr>
            <w:instrText xml:space="preserve"> MACROBUTTON  SnrToggleCheckbox √本报告期公司有重大诉讼、仲裁事项 </w:instrText>
          </w:r>
          <w:r>
            <w:rPr>
              <w:szCs w:val="21"/>
            </w:rPr>
            <w:fldChar w:fldCharType="end"/>
          </w:r>
          <w:r>
            <w:rPr>
              <w:szCs w:val="21"/>
            </w:rPr>
            <w:fldChar w:fldCharType="begin"/>
          </w:r>
          <w:r>
            <w:rPr>
              <w:szCs w:val="21"/>
            </w:rPr>
            <w:instrText xml:space="preserve"> MACROBUTTON  SnrToggleCheckbox □本报告期公司无重大诉讼、仲裁事项 </w:instrText>
          </w:r>
          <w:r>
            <w:rPr>
              <w:szCs w:val="21"/>
            </w:rPr>
            <w:fldChar w:fldCharType="end"/>
          </w:r>
        </w:p>
      </w:sdtContent>
    </w:sdt>
    <w:sdt>
      <w:sdtPr>
        <w:rPr>
          <w:rFonts w:ascii="宋体" w:hAnsi="宋体" w:cs="宋体"/>
          <w:b w:val="0"/>
          <w:bCs w:val="0"/>
          <w:kern w:val="0"/>
          <w:szCs w:val="22"/>
        </w:rPr>
        <w:alias w:val="模块:诉讼、仲裁事项已在临时公告披露且无后续进展的"/>
        <w:tag w:val="_SEC_902756a755994b00b80a02d3baa0ea44"/>
        <w:id w:val="390777299"/>
        <w:lock w:val="sdtLocked"/>
        <w:placeholder>
          <w:docPart w:val="GBC22222222222222222222222222222"/>
        </w:placeholder>
      </w:sdtPr>
      <w:sdtEndPr>
        <w:rPr>
          <w:rFonts w:hint="eastAsia"/>
          <w:szCs w:val="21"/>
        </w:rPr>
      </w:sdtEndPr>
      <w:sdtContent>
        <w:p w14:paraId="4EFEEA6B" w14:textId="77777777" w:rsidR="007F1C2B" w:rsidRDefault="004F686E" w:rsidP="004F686E">
          <w:pPr>
            <w:pStyle w:val="3"/>
            <w:numPr>
              <w:ilvl w:val="0"/>
              <w:numId w:val="22"/>
            </w:numPr>
            <w:rPr>
              <w:rFonts w:ascii="宋体" w:hAnsi="宋体"/>
            </w:rPr>
          </w:pPr>
          <w:r>
            <w:rPr>
              <w:rFonts w:ascii="宋体" w:hAnsi="宋体"/>
            </w:rPr>
            <w:t>诉讼、仲裁事项已在临时公告披露且无后续进展的</w:t>
          </w:r>
        </w:p>
        <w:sdt>
          <w:sdtPr>
            <w:alias w:val="是否适用：诉讼、仲裁事项已在临时公告披露且无后续进展的[双击切换]"/>
            <w:tag w:val="_GBC_1c7697ff89954de38b9736575b9b7dc9"/>
            <w:id w:val="2144920170"/>
            <w:lock w:val="sdtLocked"/>
            <w:placeholder>
              <w:docPart w:val="GBC22222222222222222222222222222"/>
            </w:placeholder>
          </w:sdtPr>
          <w:sdtEndPr/>
          <w:sdtContent>
            <w:p w14:paraId="13D16066" w14:textId="77777777" w:rsidR="00933F52" w:rsidRDefault="004F686E" w:rsidP="00E51636">
              <w:r>
                <w:fldChar w:fldCharType="begin"/>
              </w:r>
              <w:r w:rsidR="00933F52">
                <w:instrText xml:space="preserve"> MACROBUTTON  SnrToggleCheckbox √适用 </w:instrText>
              </w:r>
              <w:r>
                <w:fldChar w:fldCharType="end"/>
              </w:r>
              <w:r>
                <w:fldChar w:fldCharType="begin"/>
              </w:r>
              <w:r w:rsidR="00933F52">
                <w:instrText xml:space="preserve"> MACROBUTTON  SnrToggleCheckbox □不适用 </w:instrText>
              </w:r>
              <w:r>
                <w:fldChar w:fldCharType="end"/>
              </w:r>
            </w:p>
          </w:sdtContent>
        </w:sdt>
        <w:tbl>
          <w:tblPr>
            <w:tblStyle w:val="g2"/>
            <w:tblW w:w="0" w:type="auto"/>
            <w:tblLook w:val="04A0" w:firstRow="1" w:lastRow="0" w:firstColumn="1" w:lastColumn="0" w:noHBand="0" w:noVBand="1"/>
          </w:tblPr>
          <w:tblGrid>
            <w:gridCol w:w="6374"/>
            <w:gridCol w:w="2449"/>
          </w:tblGrid>
          <w:tr w:rsidR="00933F52" w14:paraId="4441569B" w14:textId="77777777" w:rsidTr="00D01BE7">
            <w:sdt>
              <w:sdtPr>
                <w:tag w:val="_PLD_0c5dadb725f645e88d02a44ed41a1e46"/>
                <w:id w:val="1848046634"/>
                <w:lock w:val="sdtLocked"/>
              </w:sdtPr>
              <w:sdtEndPr/>
              <w:sdtContent>
                <w:tc>
                  <w:tcPr>
                    <w:tcW w:w="6374" w:type="dxa"/>
                  </w:tcPr>
                  <w:p w14:paraId="015083BD" w14:textId="77777777" w:rsidR="00933F52" w:rsidRDefault="00933F52" w:rsidP="007044B0">
                    <w:pPr>
                      <w:jc w:val="center"/>
                    </w:pPr>
                    <w:r>
                      <w:t>事项概述及类型</w:t>
                    </w:r>
                  </w:p>
                </w:tc>
              </w:sdtContent>
            </w:sdt>
            <w:sdt>
              <w:sdtPr>
                <w:tag w:val="_PLD_13af72da876f4221b2dfc2f0cc421987"/>
                <w:id w:val="1659190661"/>
                <w:lock w:val="sdtLocked"/>
              </w:sdtPr>
              <w:sdtEndPr/>
              <w:sdtContent>
                <w:tc>
                  <w:tcPr>
                    <w:tcW w:w="2449" w:type="dxa"/>
                  </w:tcPr>
                  <w:p w14:paraId="08DA92E0" w14:textId="77777777" w:rsidR="00933F52" w:rsidRDefault="00933F52" w:rsidP="007044B0">
                    <w:pPr>
                      <w:jc w:val="center"/>
                    </w:pPr>
                    <w:r>
                      <w:t>查询索引</w:t>
                    </w:r>
                  </w:p>
                </w:tc>
              </w:sdtContent>
            </w:sdt>
          </w:tr>
          <w:sdt>
            <w:sdtPr>
              <w:rPr>
                <w:rFonts w:asciiTheme="minorHAnsi" w:eastAsiaTheme="minorEastAsia" w:hAnsiTheme="minorHAnsi" w:cstheme="minorBidi" w:hint="eastAsia"/>
                <w:kern w:val="2"/>
                <w:szCs w:val="22"/>
              </w:rPr>
              <w:alias w:val="诉讼、仲裁或媒体质疑事项已在临时报告披露且无后续进展的"/>
              <w:tag w:val="_TUP_823c9fa8ad8844c29d56b53bc326a27a"/>
              <w:id w:val="1686715835"/>
              <w:lock w:val="sdtLocked"/>
              <w:placeholder>
                <w:docPart w:val="98A867267F8C4563A6AAD77A8E8E5EF5"/>
              </w:placeholder>
            </w:sdtPr>
            <w:sdtEndPr/>
            <w:sdtContent>
              <w:tr w:rsidR="00933F52" w14:paraId="58C66441" w14:textId="77777777" w:rsidTr="00D01BE7">
                <w:tc>
                  <w:tcPr>
                    <w:tcW w:w="6374" w:type="dxa"/>
                  </w:tcPr>
                  <w:p w14:paraId="19A43E7E" w14:textId="77777777" w:rsidR="00933F52" w:rsidRDefault="00933F52" w:rsidP="007044B0">
                    <w:pPr>
                      <w:jc w:val="left"/>
                    </w:pPr>
                    <w:r w:rsidRPr="00600CF4">
                      <w:rPr>
                        <w:rFonts w:hint="eastAsia"/>
                      </w:rPr>
                      <w:t>上海君正物流有限公司合同纠纷</w:t>
                    </w:r>
                  </w:p>
                  <w:p w14:paraId="19BCFE78" w14:textId="16FB153B" w:rsidR="00933F52" w:rsidRDefault="00933F52" w:rsidP="00933F52">
                    <w:pPr>
                      <w:ind w:firstLineChars="200" w:firstLine="420"/>
                      <w:jc w:val="left"/>
                    </w:pPr>
                    <w:r w:rsidRPr="00933F52">
                      <w:rPr>
                        <w:rFonts w:hint="eastAsia"/>
                      </w:rPr>
                      <w:t>上海君正物流有限公司因买卖合同纠纷，将北京京城机电股份有限公司的附属公司北京天海低温设备有限公司（以下简称“天海低温”）诉至上海市第一中级人民法院，请求确认君正公司与天海低温签订的《罐箱采购协议合同》中未履行部分已解除，天海低温向君正公司退还合同价款、资金占用损失、差旅费、车辆租赁费、公证费等共计</w:t>
                    </w:r>
                    <w:r w:rsidRPr="00933F52">
                      <w:t>66,035,037.2元；天海低温承担保全费、保险费及全部诉讼费用。具体内容见刊载于上海证券交易所网站http://www.sse.com.cn、《上海证券报》上的《关</w:t>
                    </w:r>
                    <w:r w:rsidRPr="00933F52">
                      <w:rPr>
                        <w:rFonts w:hint="eastAsia"/>
                      </w:rPr>
                      <w:t>于北京天海低温设备有限公司涉及诉讼的公告》（公告编号：临</w:t>
                    </w:r>
                    <w:r w:rsidRPr="00933F52">
                      <w:t>2020-026）。</w:t>
                    </w:r>
                  </w:p>
                  <w:p w14:paraId="148CE0D6" w14:textId="7E8A1331" w:rsidR="00774AC7" w:rsidRDefault="00774AC7" w:rsidP="00FD63CE">
                    <w:pPr>
                      <w:ind w:firstLineChars="200" w:firstLine="420"/>
                    </w:pPr>
                    <w:r w:rsidRPr="00774AC7">
                      <w:t>2021年5月13日，公司收到上海市第一中级人民法院民事判决书，就本案作出一审判决。</w:t>
                    </w:r>
                    <w:r w:rsidR="00FD63CE" w:rsidRPr="00FD63CE">
                      <w:rPr>
                        <w:rFonts w:hint="eastAsia"/>
                      </w:rPr>
                      <w:t>判决如下：</w:t>
                    </w:r>
                    <w:r w:rsidR="00FD63CE">
                      <w:rPr>
                        <w:rFonts w:hint="eastAsia"/>
                      </w:rPr>
                      <w:t>（</w:t>
                    </w:r>
                    <w:r w:rsidR="00FD63CE">
                      <w:t>1）被告北京天海低温设备有限公司应于本判决生效之日起十日内支付原告上海君正物流有限公司车辆租赁费及差旅费20,000元；</w:t>
                    </w:r>
                    <w:r w:rsidR="00FD63CE">
                      <w:rPr>
                        <w:rFonts w:hint="eastAsia"/>
                      </w:rPr>
                      <w:t>（</w:t>
                    </w:r>
                    <w:r w:rsidR="00FD63CE">
                      <w:t>2）反诉被告上海君正物流有限公司应于本判决生效之日起十日内支付反诉原告北京天海低温设备有限公司仓储费1,800,000元；</w:t>
                    </w:r>
                    <w:r w:rsidR="00FD63CE">
                      <w:rPr>
                        <w:rFonts w:hint="eastAsia"/>
                      </w:rPr>
                      <w:t>（</w:t>
                    </w:r>
                    <w:r w:rsidR="00FD63CE">
                      <w:t>3）驳回原告上海君正物流有限公司其余诉讼请求；</w:t>
                    </w:r>
                    <w:r w:rsidR="00FD63CE">
                      <w:rPr>
                        <w:rFonts w:hint="eastAsia"/>
                      </w:rPr>
                      <w:t>（</w:t>
                    </w:r>
                    <w:r w:rsidR="00FD63CE">
                      <w:t>4）驳回反诉原告北京天海低温设备有限公司其余诉讼请求。</w:t>
                    </w:r>
                    <w:r w:rsidRPr="00774AC7">
                      <w:t>具体内容见刊载于上海证券交易所网站http://www.sse.com.cn、《上海证券报》上的《关于北京天海低温设备有限公司涉及诉讼的进展公告》（公告编号：临2021-025）。</w:t>
                    </w:r>
                  </w:p>
                  <w:p w14:paraId="4CFE1B66" w14:textId="0F96E997" w:rsidR="00774AC7" w:rsidRPr="00774AC7" w:rsidRDefault="00774AC7" w:rsidP="00933F52">
                    <w:pPr>
                      <w:ind w:firstLineChars="200" w:firstLine="420"/>
                      <w:jc w:val="left"/>
                    </w:pPr>
                    <w:r w:rsidRPr="00774AC7">
                      <w:rPr>
                        <w:rFonts w:hint="eastAsia"/>
                      </w:rPr>
                      <w:t>君正公司不服上海市第一中级人民法院做出的（</w:t>
                    </w:r>
                    <w:r w:rsidRPr="00774AC7">
                      <w:t>2020）沪01民初127号一审判决，已依法向上海市高院提起上诉。上海市高院立案后，依法组成合议庭，将于2021年8月24日开庭审理。具体内容见刊载于上海证券交易所网站http://www.sse.com.cn、《上海证券报》上的《关于北京天海低温设备有限公司收到二审&lt;传票&gt;暨诉讼的进展公告》（公告编号：临2021-037）。</w:t>
                    </w:r>
                  </w:p>
                </w:tc>
                <w:tc>
                  <w:tcPr>
                    <w:tcW w:w="2449" w:type="dxa"/>
                  </w:tcPr>
                  <w:p w14:paraId="4B6DF7AA" w14:textId="77777777" w:rsidR="00933F52" w:rsidRDefault="00933F52" w:rsidP="007044B0">
                    <w:pPr>
                      <w:jc w:val="left"/>
                    </w:pPr>
                    <w:r w:rsidRPr="00600CF4">
                      <w:rPr>
                        <w:rFonts w:hint="eastAsia"/>
                      </w:rPr>
                      <w:t>上海证券交易所网站</w:t>
                    </w:r>
                    <w:r w:rsidRPr="00600CF4">
                      <w:t>http://www.sse.com.cn</w:t>
                    </w:r>
                  </w:p>
                  <w:p w14:paraId="54C305E7" w14:textId="35619BE5" w:rsidR="00933F52" w:rsidRDefault="00933F52" w:rsidP="007044B0">
                    <w:r>
                      <w:rPr>
                        <w:rFonts w:hint="eastAsia"/>
                      </w:rPr>
                      <w:t>香港联合交易所披露易网站</w:t>
                    </w:r>
                    <w:r>
                      <w:t>www.hkexnews.hk</w:t>
                    </w:r>
                    <w:r>
                      <w:cr/>
                    </w:r>
                  </w:p>
                </w:tc>
              </w:tr>
            </w:sdtContent>
          </w:sdt>
          <w:sdt>
            <w:sdtPr>
              <w:rPr>
                <w:rFonts w:asciiTheme="minorHAnsi" w:eastAsiaTheme="minorEastAsia" w:hAnsiTheme="minorHAnsi" w:cstheme="minorBidi" w:hint="eastAsia"/>
                <w:kern w:val="2"/>
                <w:szCs w:val="22"/>
              </w:rPr>
              <w:alias w:val="诉讼、仲裁或媒体质疑事项已在临时报告披露且无后续进展的"/>
              <w:tag w:val="_TUP_823c9fa8ad8844c29d56b53bc326a27a"/>
              <w:id w:val="-1916382874"/>
              <w:lock w:val="sdtLocked"/>
              <w:placeholder>
                <w:docPart w:val="98A867267F8C4563A6AAD77A8E8E5EF5"/>
              </w:placeholder>
            </w:sdtPr>
            <w:sdtEndPr/>
            <w:sdtContent>
              <w:tr w:rsidR="00933F52" w14:paraId="453131CE" w14:textId="77777777" w:rsidTr="00D01BE7">
                <w:tc>
                  <w:tcPr>
                    <w:tcW w:w="6374" w:type="dxa"/>
                  </w:tcPr>
                  <w:p w14:paraId="4E00FCAF" w14:textId="77777777" w:rsidR="00933F52" w:rsidRDefault="00933F52" w:rsidP="007044B0">
                    <w:pPr>
                      <w:jc w:val="left"/>
                    </w:pPr>
                  </w:p>
                </w:tc>
                <w:tc>
                  <w:tcPr>
                    <w:tcW w:w="2449" w:type="dxa"/>
                  </w:tcPr>
                  <w:p w14:paraId="16EAB512" w14:textId="77777777" w:rsidR="00933F52" w:rsidRDefault="00933F52" w:rsidP="007044B0">
                    <w:pPr>
                      <w:jc w:val="left"/>
                    </w:pPr>
                  </w:p>
                </w:tc>
              </w:tr>
            </w:sdtContent>
          </w:sdt>
        </w:tbl>
        <w:p w14:paraId="0B508381" w14:textId="77777777" w:rsidR="00933F52" w:rsidRDefault="00933F52"/>
        <w:p w14:paraId="10AA5F4E" w14:textId="65E16AF7" w:rsidR="007F1C2B" w:rsidRDefault="00B664AF" w:rsidP="00E51636">
          <w:pPr>
            <w:rPr>
              <w:szCs w:val="21"/>
            </w:rPr>
          </w:pPr>
        </w:p>
      </w:sdtContent>
    </w:sdt>
    <w:sdt>
      <w:sdtPr>
        <w:rPr>
          <w:rFonts w:ascii="宋体" w:hAnsi="宋体" w:cs="宋体"/>
          <w:b w:val="0"/>
          <w:bCs w:val="0"/>
          <w:kern w:val="0"/>
          <w:szCs w:val="22"/>
        </w:rPr>
        <w:alias w:val="模块:临时公告未披露或有后续进展的诉讼、仲裁情况"/>
        <w:tag w:val="_SEC_85376178a04b46fb90efc5d6fa2e6a28"/>
        <w:id w:val="-1807383278"/>
        <w:lock w:val="sdtLocked"/>
        <w:placeholder>
          <w:docPart w:val="GBC22222222222222222222222222222"/>
        </w:placeholder>
      </w:sdtPr>
      <w:sdtEndPr>
        <w:rPr>
          <w:szCs w:val="24"/>
        </w:rPr>
      </w:sdtEndPr>
      <w:sdtContent>
        <w:p w14:paraId="7316E5AF" w14:textId="77777777" w:rsidR="007F1C2B" w:rsidRDefault="004F686E" w:rsidP="004F686E">
          <w:pPr>
            <w:pStyle w:val="3"/>
            <w:numPr>
              <w:ilvl w:val="0"/>
              <w:numId w:val="22"/>
            </w:numPr>
            <w:rPr>
              <w:rFonts w:ascii="宋体" w:hAnsi="宋体"/>
            </w:rPr>
          </w:pPr>
          <w:r>
            <w:rPr>
              <w:rFonts w:ascii="宋体" w:hAnsi="宋体"/>
            </w:rPr>
            <w:t>临时公告未披露或有后续进展的诉讼、仲裁情况</w:t>
          </w:r>
        </w:p>
        <w:sdt>
          <w:sdtPr>
            <w:alias w:val="是否适用：临时公告未披露或有后续进展的诉讼、仲裁情况[双击切换]"/>
            <w:tag w:val="_GBC_3f59cc6ee3354630821313bac686c029"/>
            <w:id w:val="331963257"/>
            <w:lock w:val="sdtLocked"/>
            <w:placeholder>
              <w:docPart w:val="GBC22222222222222222222222222222"/>
            </w:placeholder>
          </w:sdtPr>
          <w:sdtEndPr/>
          <w:sdtContent>
            <w:p w14:paraId="52010A3E" w14:textId="280C8F92" w:rsidR="002F4581" w:rsidRDefault="004F686E" w:rsidP="00774AC7">
              <w:r>
                <w:fldChar w:fldCharType="begin"/>
              </w:r>
              <w:r w:rsidR="00774AC7">
                <w:instrText xml:space="preserve"> MACROBUTTON  SnrToggleCheckbox □适用 </w:instrText>
              </w:r>
              <w:r>
                <w:fldChar w:fldCharType="end"/>
              </w:r>
              <w:r>
                <w:fldChar w:fldCharType="begin"/>
              </w:r>
              <w:r w:rsidR="00774AC7">
                <w:instrText xml:space="preserve"> MACROBUTTON  SnrToggleCheckbox √不适用 </w:instrText>
              </w:r>
              <w:r>
                <w:fldChar w:fldCharType="end"/>
              </w:r>
            </w:p>
          </w:sdtContent>
        </w:sdt>
        <w:p w14:paraId="6A4721E6" w14:textId="72479B63" w:rsidR="007F1C2B" w:rsidRDefault="00B664AF" w:rsidP="00600CF4"/>
      </w:sdtContent>
    </w:sdt>
    <w:p w14:paraId="5B37DEAC" w14:textId="77777777" w:rsidR="007F1C2B" w:rsidRDefault="00B664AF"/>
    <w:sdt>
      <w:sdtPr>
        <w:rPr>
          <w:rFonts w:ascii="宋体" w:hAnsi="宋体" w:cs="宋体"/>
          <w:b w:val="0"/>
          <w:bCs w:val="0"/>
          <w:kern w:val="0"/>
          <w:szCs w:val="22"/>
        </w:rPr>
        <w:alias w:val="模块:其他诉讼仲裁事项说明"/>
        <w:tag w:val="_SEC_c92a88ec21204766afe5f9688cbd21bd"/>
        <w:id w:val="-85378879"/>
        <w:lock w:val="sdtLocked"/>
        <w:placeholder>
          <w:docPart w:val="GBC22222222222222222222222222222"/>
        </w:placeholder>
      </w:sdtPr>
      <w:sdtEndPr>
        <w:rPr>
          <w:rFonts w:hint="eastAsia"/>
          <w:szCs w:val="24"/>
        </w:rPr>
      </w:sdtEndPr>
      <w:sdtContent>
        <w:p w14:paraId="09665CA8" w14:textId="77777777" w:rsidR="007F1C2B" w:rsidRDefault="004F686E" w:rsidP="004F686E">
          <w:pPr>
            <w:pStyle w:val="3"/>
            <w:numPr>
              <w:ilvl w:val="0"/>
              <w:numId w:val="22"/>
            </w:numPr>
            <w:rPr>
              <w:rFonts w:ascii="宋体" w:hAnsi="宋体"/>
            </w:rPr>
          </w:pPr>
          <w:r>
            <w:rPr>
              <w:rFonts w:ascii="宋体" w:hAnsi="宋体"/>
            </w:rPr>
            <w:t>其他说明</w:t>
          </w:r>
        </w:p>
        <w:sdt>
          <w:sdtPr>
            <w:rPr>
              <w:rFonts w:hint="eastAsia"/>
            </w:rPr>
            <w:alias w:val="是否适用：重大诉讼、仲裁事项其他说明[双击切换]"/>
            <w:tag w:val="_GBC_d8d8aef394564199936be6639c0e21a5"/>
            <w:id w:val="1913576253"/>
            <w:lock w:val="sdtLocked"/>
            <w:placeholder>
              <w:docPart w:val="GBC22222222222222222222222222222"/>
            </w:placeholder>
          </w:sdtPr>
          <w:sdtEndPr/>
          <w:sdtContent>
            <w:p w14:paraId="2DF14E76" w14:textId="016FA87B" w:rsidR="007F1C2B" w:rsidRDefault="004F686E" w:rsidP="00CF7BE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Start w:id="52" w:name="_Hlk77617822" w:displacedByCustomXml="next"/>
      </w:sdtContent>
    </w:sdt>
    <w:bookmarkEnd w:id="52" w:displacedByCustomXml="prev"/>
    <w:p w14:paraId="25669FF9" w14:textId="77777777" w:rsidR="00E365D3" w:rsidRDefault="00E365D3">
      <w:pPr>
        <w:sectPr w:rsidR="00E365D3" w:rsidSect="00774AC7">
          <w:pgSz w:w="11906" w:h="16838"/>
          <w:pgMar w:top="1525" w:right="1276" w:bottom="1440" w:left="1797" w:header="851" w:footer="992" w:gutter="0"/>
          <w:cols w:space="425"/>
          <w:docGrid w:linePitch="312"/>
        </w:sectPr>
      </w:pPr>
    </w:p>
    <w:p w14:paraId="1D5BCFA6" w14:textId="2B84EC36" w:rsidR="007F1C2B" w:rsidRDefault="00B664AF"/>
    <w:sdt>
      <w:sdtPr>
        <w:rPr>
          <w:rFonts w:ascii="宋体" w:hAnsi="宋体" w:cs="宋体"/>
          <w:b w:val="0"/>
          <w:bCs w:val="0"/>
          <w:kern w:val="0"/>
          <w:szCs w:val="24"/>
        </w:rPr>
        <w:alias w:val="模块:上市公司及其董事、监事、高级管理人员、控股股东、实际控制人、收购人处罚及整改情况"/>
        <w:tag w:val="_SEC_61682565f6714c6a81ab8e6d05a5abaa"/>
        <w:id w:val="404027753"/>
        <w:lock w:val="sdtLocked"/>
        <w:placeholder>
          <w:docPart w:val="GBC22222222222222222222222222222"/>
        </w:placeholder>
      </w:sdtPr>
      <w:sdtEndPr>
        <w:rPr>
          <w:rFonts w:hint="eastAsia"/>
        </w:rPr>
      </w:sdtEndPr>
      <w:sdtContent>
        <w:p w14:paraId="6639D16B" w14:textId="1D786A47" w:rsidR="007F1C2B" w:rsidRDefault="004F686E" w:rsidP="004F686E">
          <w:pPr>
            <w:pStyle w:val="2"/>
            <w:numPr>
              <w:ilvl w:val="0"/>
              <w:numId w:val="20"/>
            </w:numPr>
            <w:tabs>
              <w:tab w:val="left" w:pos="426"/>
            </w:tabs>
            <w:jc w:val="left"/>
            <w:rPr>
              <w:rFonts w:ascii="宋体" w:hAnsi="宋体"/>
            </w:rPr>
          </w:pPr>
          <w:r>
            <w:rPr>
              <w:rFonts w:ascii="宋体" w:hAnsi="宋体"/>
            </w:rPr>
            <w:t>上市公司</w:t>
          </w:r>
          <w:r>
            <w:rPr>
              <w:rFonts w:ascii="宋体" w:hAnsi="宋体" w:hint="eastAsia"/>
            </w:rPr>
            <w:t>及其董事、监事、高级管理人员、控股股东、实际控制人</w:t>
          </w:r>
          <w:r>
            <w:rPr>
              <w:rFonts w:ascii="宋体" w:hAnsi="宋体"/>
            </w:rPr>
            <w:t>涉嫌违法违规、受到处罚及整改情况</w:t>
          </w:r>
        </w:p>
        <w:sdt>
          <w:sdtPr>
            <w:rPr>
              <w:rFonts w:hint="eastAsia"/>
            </w:rPr>
            <w:alias w:val="是否适用：上市公司及其董事、监事、高级管理人员、持有5%以上股份的股东、实际控制人、收购人处罚及整改情况[双击切换]"/>
            <w:tag w:val="_GBC_05b097ae59254d13916df227f563a3ed"/>
            <w:id w:val="-1738939293"/>
            <w:lock w:val="sdtLocked"/>
            <w:placeholder>
              <w:docPart w:val="GBC22222222222222222222222222222"/>
            </w:placeholder>
          </w:sdtPr>
          <w:sdtEndPr/>
          <w:sdtContent>
            <w:p w14:paraId="233A0462" w14:textId="5372E9D6" w:rsidR="007F1C2B" w:rsidRDefault="004F686E" w:rsidP="00E455FF">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3C6DA4E" w14:textId="77777777" w:rsidR="007F1C2B" w:rsidRDefault="00B664AF"/>
      </w:sdtContent>
    </w:sdt>
    <w:sdt>
      <w:sdtPr>
        <w:rPr>
          <w:rFonts w:ascii="宋体" w:hAnsi="宋体" w:cs="宋体" w:hint="eastAsia"/>
          <w:b w:val="0"/>
          <w:bCs w:val="0"/>
          <w:kern w:val="0"/>
          <w:szCs w:val="24"/>
        </w:rPr>
        <w:alias w:val="模块:报告期内公司及其控股股东、实际控制人诚信状况的说明"/>
        <w:tag w:val="_SEC_b6520273283341408b24eceadfb999dd"/>
        <w:id w:val="-1092778154"/>
        <w:lock w:val="sdtLocked"/>
        <w:placeholder>
          <w:docPart w:val="GBC22222222222222222222222222222"/>
        </w:placeholder>
      </w:sdtPr>
      <w:sdtEndPr/>
      <w:sdtContent>
        <w:p w14:paraId="7EB1865F" w14:textId="77777777" w:rsidR="007F1C2B" w:rsidRDefault="004F686E" w:rsidP="004F686E">
          <w:pPr>
            <w:pStyle w:val="2"/>
            <w:numPr>
              <w:ilvl w:val="0"/>
              <w:numId w:val="20"/>
            </w:numPr>
            <w:tabs>
              <w:tab w:val="left" w:pos="426"/>
            </w:tabs>
            <w:jc w:val="left"/>
            <w:rPr>
              <w:rFonts w:ascii="宋体" w:hAnsi="宋体"/>
            </w:rPr>
          </w:pPr>
          <w:r>
            <w:rPr>
              <w:rFonts w:ascii="宋体" w:hAnsi="宋体"/>
            </w:rPr>
            <w:t>报告期内公司及其控股股东、实际控制人诚信状况的说明</w:t>
          </w:r>
        </w:p>
        <w:sdt>
          <w:sdtPr>
            <w:rPr>
              <w:rFonts w:hint="eastAsia"/>
            </w:rPr>
            <w:alias w:val="是否适用：报告期内公司及其控股股东、实际控制人诚信状况的说明[双击切换]"/>
            <w:tag w:val="_GBC_650ef1e21808426d806ee2024dd14590"/>
            <w:id w:val="-1830735333"/>
            <w:lock w:val="sdtLocked"/>
            <w:placeholder>
              <w:docPart w:val="GBC22222222222222222222222222222"/>
            </w:placeholder>
          </w:sdtPr>
          <w:sdtEndPr/>
          <w:sdtContent>
            <w:p w14:paraId="7B7CF8DF" w14:textId="6EAF1C5A" w:rsidR="007F1C2B"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报告期内公司及其控股股东、实际控制人诚信状况的说明"/>
            <w:tag w:val="_GBC_29d7055c47724780994aca0175d8a9c8"/>
            <w:id w:val="-1849563816"/>
            <w:lock w:val="sdtLocked"/>
            <w:placeholder>
              <w:docPart w:val="GBC22222222222222222222222222222"/>
            </w:placeholder>
          </w:sdtPr>
          <w:sdtEndPr/>
          <w:sdtContent>
            <w:p w14:paraId="046487B7" w14:textId="245CDC5C" w:rsidR="007F1C2B" w:rsidRDefault="004F686E">
              <w:r w:rsidRPr="00CF7BE6">
                <w:rPr>
                  <w:rFonts w:hint="eastAsia"/>
                </w:rPr>
                <w:t>报告期内，公司及控股股东诚信状况良好。</w:t>
              </w:r>
            </w:p>
          </w:sdtContent>
        </w:sdt>
        <w:p w14:paraId="1FB71EF8" w14:textId="77777777" w:rsidR="007F1C2B" w:rsidRDefault="00B664AF"/>
      </w:sdtContent>
    </w:sdt>
    <w:p w14:paraId="6D411ADC" w14:textId="77777777" w:rsidR="007F1C2B" w:rsidRDefault="004F686E" w:rsidP="004F686E">
      <w:pPr>
        <w:pStyle w:val="2"/>
        <w:numPr>
          <w:ilvl w:val="0"/>
          <w:numId w:val="20"/>
        </w:numPr>
        <w:tabs>
          <w:tab w:val="left" w:pos="426"/>
        </w:tabs>
        <w:ind w:left="422" w:hanging="422"/>
        <w:jc w:val="left"/>
        <w:rPr>
          <w:rFonts w:ascii="宋体" w:hAnsi="宋体"/>
        </w:rPr>
      </w:pPr>
      <w:r>
        <w:rPr>
          <w:rFonts w:ascii="宋体" w:hAnsi="宋体" w:hint="eastAsia"/>
        </w:rPr>
        <w:t>重大关联交易</w:t>
      </w:r>
    </w:p>
    <w:p w14:paraId="75B06746" w14:textId="77777777" w:rsidR="007F1C2B" w:rsidRDefault="004F686E" w:rsidP="004F686E">
      <w:pPr>
        <w:pStyle w:val="3"/>
        <w:numPr>
          <w:ilvl w:val="2"/>
          <w:numId w:val="23"/>
        </w:numPr>
        <w:rPr>
          <w:rFonts w:ascii="宋体" w:hAnsi="宋体"/>
        </w:rPr>
      </w:pPr>
      <w:r>
        <w:rPr>
          <w:rFonts w:ascii="宋体" w:hAnsi="宋体" w:hint="eastAsia"/>
        </w:rPr>
        <w:t>与日常经营相关的关联交易</w:t>
      </w:r>
    </w:p>
    <w:sdt>
      <w:sdtPr>
        <w:rPr>
          <w:rFonts w:ascii="宋体" w:hAnsi="宋体" w:cs="宋体"/>
          <w:b w:val="0"/>
          <w:bCs w:val="0"/>
          <w:kern w:val="0"/>
          <w:szCs w:val="22"/>
        </w:rPr>
        <w:alias w:val="模块:已在临时公告披露且后续实施无进展或变化的事项"/>
        <w:tag w:val="_SEC_b9489dd6b4c843e6be6e5a97de24b51b"/>
        <w:id w:val="389845927"/>
        <w:lock w:val="sdtLocked"/>
        <w:placeholder>
          <w:docPart w:val="GBC22222222222222222222222222222"/>
        </w:placeholder>
      </w:sdtPr>
      <w:sdtEndPr>
        <w:rPr>
          <w:szCs w:val="24"/>
        </w:rPr>
      </w:sdtEndPr>
      <w:sdtContent>
        <w:p w14:paraId="0B76E44A" w14:textId="77777777" w:rsidR="007F1C2B" w:rsidRDefault="004F686E" w:rsidP="004F686E">
          <w:pPr>
            <w:pStyle w:val="4"/>
            <w:numPr>
              <w:ilvl w:val="2"/>
              <w:numId w:val="24"/>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与日常经营相关的关联交易[双击切换]"/>
            <w:tag w:val="_GBC_9cce66e2c46445bea6fd259dd8b5277c"/>
            <w:id w:val="1407185086"/>
            <w:lock w:val="sdtLocked"/>
            <w:placeholder>
              <w:docPart w:val="GBC22222222222222222222222222222"/>
            </w:placeholder>
          </w:sdtPr>
          <w:sdtEndPr/>
          <w:sdtContent>
            <w:p w14:paraId="6B20A819" w14:textId="2B2DFE11" w:rsidR="007F1C2B" w:rsidRDefault="004F686E" w:rsidP="00DA004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31506941" w14:textId="77777777" w:rsidR="007F1C2B" w:rsidRDefault="00B664AF"/>
    <w:sdt>
      <w:sdtPr>
        <w:rPr>
          <w:rFonts w:ascii="宋体" w:hAnsi="宋体" w:cs="宋体"/>
          <w:b w:val="0"/>
          <w:bCs w:val="0"/>
          <w:kern w:val="0"/>
          <w:szCs w:val="22"/>
        </w:rPr>
        <w:alias w:val="模块:已在临时公告披露，但有后续实施的进展或变化的事项"/>
        <w:tag w:val="_SEC_ec9777844cc44aa6b3f98c8af0a20f95"/>
        <w:id w:val="-1934118531"/>
        <w:lock w:val="sdtLocked"/>
        <w:placeholder>
          <w:docPart w:val="GBC22222222222222222222222222222"/>
        </w:placeholder>
      </w:sdtPr>
      <w:sdtEndPr>
        <w:rPr>
          <w:rFonts w:hint="eastAsia"/>
          <w:szCs w:val="24"/>
        </w:rPr>
      </w:sdtEndPr>
      <w:sdtContent>
        <w:p w14:paraId="74E2ACF0" w14:textId="77777777" w:rsidR="007F1C2B" w:rsidRDefault="004F686E" w:rsidP="004F686E">
          <w:pPr>
            <w:pStyle w:val="4"/>
            <w:numPr>
              <w:ilvl w:val="2"/>
              <w:numId w:val="24"/>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与日常经营相关的关联交易[双击切换]"/>
            <w:tag w:val="_GBC_3d236e76c44140259dd09a3aed77ca15"/>
            <w:id w:val="-540207234"/>
            <w:lock w:val="sdtLocked"/>
            <w:placeholder>
              <w:docPart w:val="GBC22222222222222222222222222222"/>
            </w:placeholder>
          </w:sdtPr>
          <w:sdtEndPr/>
          <w:sdtContent>
            <w:p w14:paraId="349888A9" w14:textId="739789E5" w:rsidR="007F1C2B" w:rsidRDefault="004F686E" w:rsidP="00DA004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Start w:id="53" w:name="_Hlk78829940" w:displacedByCustomXml="next"/>
      </w:sdtContent>
    </w:sdt>
    <w:bookmarkEnd w:id="53" w:displacedByCustomXml="prev"/>
    <w:p w14:paraId="5ABF8FC3" w14:textId="77777777" w:rsidR="007F1C2B" w:rsidRDefault="00B664AF"/>
    <w:sdt>
      <w:sdtPr>
        <w:rPr>
          <w:rFonts w:ascii="宋体" w:hAnsi="宋体" w:cs="宋体" w:hint="eastAsia"/>
          <w:b w:val="0"/>
          <w:bCs w:val="0"/>
          <w:kern w:val="0"/>
          <w:szCs w:val="22"/>
        </w:rPr>
        <w:alias w:val="模块:临时公告未披露的事项"/>
        <w:tag w:val="_SEC_227a4feb5cd045acb20f0e655bf26ea8"/>
        <w:id w:val="-747493304"/>
        <w:lock w:val="sdtLocked"/>
        <w:placeholder>
          <w:docPart w:val="GBC22222222222222222222222222222"/>
        </w:placeholder>
      </w:sdtPr>
      <w:sdtEndPr>
        <w:rPr>
          <w:rFonts w:hint="default"/>
          <w:szCs w:val="24"/>
        </w:rPr>
      </w:sdtEndPr>
      <w:sdtContent>
        <w:p w14:paraId="01FB19EA" w14:textId="77777777" w:rsidR="007F1C2B" w:rsidRDefault="004F686E" w:rsidP="004F686E">
          <w:pPr>
            <w:pStyle w:val="4"/>
            <w:numPr>
              <w:ilvl w:val="2"/>
              <w:numId w:val="24"/>
            </w:numPr>
            <w:rPr>
              <w:rFonts w:ascii="宋体" w:hAnsi="宋体"/>
            </w:rPr>
          </w:pPr>
          <w:r>
            <w:rPr>
              <w:rFonts w:ascii="宋体" w:hAnsi="宋体" w:hint="eastAsia"/>
            </w:rPr>
            <w:t>临时公告未披露的事项</w:t>
          </w:r>
        </w:p>
        <w:sdt>
          <w:sdtPr>
            <w:alias w:val="是否适用：与日常经营相关的关联交易_临时公告未披露的事项[双击切换]"/>
            <w:tag w:val="_GBC_91ad548daaa84603a8faa6c0ce358499"/>
            <w:id w:val="1677079916"/>
            <w:lock w:val="sdtLocked"/>
            <w:placeholder>
              <w:docPart w:val="GBC22222222222222222222222222222"/>
            </w:placeholder>
          </w:sdtPr>
          <w:sdtEndPr/>
          <w:sdtContent>
            <w:p w14:paraId="283326F9" w14:textId="4ECAB014" w:rsidR="007F1C2B" w:rsidRDefault="004F686E" w:rsidP="00090C8C">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72E38888" w14:textId="77777777" w:rsidR="007F1C2B" w:rsidRDefault="00B664AF">
      <w:pPr>
        <w:rPr>
          <w:szCs w:val="21"/>
        </w:rPr>
      </w:pPr>
    </w:p>
    <w:p w14:paraId="1DF9D06E" w14:textId="77777777" w:rsidR="007F1C2B" w:rsidRDefault="004F686E" w:rsidP="004F686E">
      <w:pPr>
        <w:pStyle w:val="3"/>
        <w:numPr>
          <w:ilvl w:val="2"/>
          <w:numId w:val="23"/>
        </w:numPr>
        <w:rPr>
          <w:rFonts w:ascii="宋体" w:hAnsi="宋体"/>
        </w:rPr>
      </w:pPr>
      <w:r>
        <w:rPr>
          <w:rFonts w:ascii="宋体" w:hAnsi="宋体"/>
        </w:rPr>
        <w:t>资产收购</w:t>
      </w:r>
      <w:r>
        <w:rPr>
          <w:rFonts w:ascii="宋体" w:hAnsi="宋体" w:hint="eastAsia"/>
        </w:rPr>
        <w:t>或股权收购</w:t>
      </w:r>
      <w:r>
        <w:rPr>
          <w:rFonts w:ascii="宋体" w:hAnsi="宋体"/>
        </w:rPr>
        <w:t>、出售发生的关联交易</w:t>
      </w:r>
    </w:p>
    <w:sdt>
      <w:sdtPr>
        <w:rPr>
          <w:rFonts w:ascii="宋体" w:hAnsi="宋体" w:cs="宋体"/>
          <w:b w:val="0"/>
          <w:bCs w:val="0"/>
          <w:kern w:val="0"/>
          <w:szCs w:val="22"/>
        </w:rPr>
        <w:alias w:val="模块:已在临时公告披露且后续实施无进展或变化的事项"/>
        <w:tag w:val="_SEC_bf9131838c5b421d81cb3165b3861506"/>
        <w:id w:val="-1447692801"/>
        <w:lock w:val="sdtLocked"/>
        <w:placeholder>
          <w:docPart w:val="GBC22222222222222222222222222222"/>
        </w:placeholder>
      </w:sdtPr>
      <w:sdtEndPr>
        <w:rPr>
          <w:szCs w:val="24"/>
        </w:rPr>
      </w:sdtEndPr>
      <w:sdtContent>
        <w:p w14:paraId="13BDCBBA" w14:textId="77777777" w:rsidR="007F1C2B" w:rsidRDefault="004F686E" w:rsidP="004F686E">
          <w:pPr>
            <w:pStyle w:val="4"/>
            <w:numPr>
              <w:ilvl w:val="0"/>
              <w:numId w:val="25"/>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资产或股权收购、出售发生的关联交易[双击切换]"/>
            <w:tag w:val="_GBC_208b69178a984ade8f4f4dd7a3362ae3"/>
            <w:id w:val="-1678949785"/>
            <w:lock w:val="sdtLocked"/>
            <w:placeholder>
              <w:docPart w:val="GBC22222222222222222222222222222"/>
            </w:placeholder>
          </w:sdtPr>
          <w:sdtEndPr/>
          <w:sdtContent>
            <w:p w14:paraId="733D6826" w14:textId="505C4F8E" w:rsidR="007F1C2B" w:rsidRDefault="004F686E" w:rsidP="00C101E7">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62068D80" w14:textId="77777777" w:rsidR="007F1C2B" w:rsidRDefault="00B664AF"/>
    <w:sdt>
      <w:sdtPr>
        <w:rPr>
          <w:rFonts w:ascii="宋体" w:hAnsi="宋体" w:cs="宋体"/>
          <w:b w:val="0"/>
          <w:bCs w:val="0"/>
          <w:kern w:val="0"/>
          <w:szCs w:val="22"/>
        </w:rPr>
        <w:alias w:val="模块:已在临时公告披露，但有后续实施的进展或变化的事项"/>
        <w:tag w:val="_SEC_f9a57b14408248c4bc6881cfd0e81074"/>
        <w:id w:val="2005008924"/>
        <w:lock w:val="sdtLocked"/>
        <w:placeholder>
          <w:docPart w:val="GBC22222222222222222222222222222"/>
        </w:placeholder>
      </w:sdtPr>
      <w:sdtEndPr>
        <w:rPr>
          <w:rFonts w:hint="eastAsia"/>
          <w:szCs w:val="24"/>
        </w:rPr>
      </w:sdtEndPr>
      <w:sdtContent>
        <w:p w14:paraId="306F5CB0" w14:textId="77777777" w:rsidR="007F1C2B" w:rsidRDefault="004F686E" w:rsidP="004F686E">
          <w:pPr>
            <w:pStyle w:val="4"/>
            <w:numPr>
              <w:ilvl w:val="0"/>
              <w:numId w:val="25"/>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资产或股权收购、出售发生的关联交易[双击切换]"/>
            <w:tag w:val="_GBC_b72de17637e74020b42aa0636b393f25"/>
            <w:id w:val="-1379771361"/>
            <w:lock w:val="sdtLocked"/>
            <w:placeholder>
              <w:docPart w:val="GBC22222222222222222222222222222"/>
            </w:placeholder>
          </w:sdtPr>
          <w:sdtEndPr/>
          <w:sdtContent>
            <w:p w14:paraId="2DBA0F47" w14:textId="2B87D963" w:rsidR="007F1C2B" w:rsidRDefault="004F686E" w:rsidP="00C101E7">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55E8D44F" w14:textId="77777777" w:rsidR="007F1C2B" w:rsidRDefault="00B664AF"/>
    <w:sdt>
      <w:sdtPr>
        <w:rPr>
          <w:rFonts w:ascii="宋体" w:hAnsi="宋体" w:cs="宋体"/>
          <w:b w:val="0"/>
          <w:bCs w:val="0"/>
          <w:kern w:val="0"/>
          <w:szCs w:val="22"/>
        </w:rPr>
        <w:alias w:val="模块:临时公告未披露的事项"/>
        <w:tag w:val="_SEC_a7b4eef2f39c4550974e81ee8caca798"/>
        <w:id w:val="-161552202"/>
        <w:lock w:val="sdtLocked"/>
        <w:placeholder>
          <w:docPart w:val="GBC22222222222222222222222222222"/>
        </w:placeholder>
      </w:sdtPr>
      <w:sdtEndPr>
        <w:rPr>
          <w:rFonts w:hint="eastAsia"/>
          <w:szCs w:val="24"/>
        </w:rPr>
      </w:sdtEndPr>
      <w:sdtContent>
        <w:p w14:paraId="6025B968" w14:textId="77777777" w:rsidR="007F1C2B" w:rsidRDefault="004F686E" w:rsidP="004F686E">
          <w:pPr>
            <w:pStyle w:val="4"/>
            <w:numPr>
              <w:ilvl w:val="0"/>
              <w:numId w:val="25"/>
            </w:numPr>
            <w:rPr>
              <w:rFonts w:ascii="宋体" w:hAnsi="宋体"/>
              <w:szCs w:val="32"/>
            </w:rPr>
          </w:pPr>
          <w:r>
            <w:rPr>
              <w:rFonts w:ascii="宋体" w:hAnsi="宋体"/>
              <w:szCs w:val="32"/>
            </w:rPr>
            <w:t>临时公告未披露的事项</w:t>
          </w:r>
        </w:p>
        <w:sdt>
          <w:sdtPr>
            <w:alias w:val="是否适用：资产收购、出售发生的关联交易_临时公告未披露的事项[双击切换]"/>
            <w:tag w:val="_GBC_d3f1f3f5ce564209aee49197432643af"/>
            <w:id w:val="963391189"/>
            <w:lock w:val="sdtLocked"/>
            <w:placeholder>
              <w:docPart w:val="GBC22222222222222222222222222222"/>
            </w:placeholder>
          </w:sdtPr>
          <w:sdtEndPr/>
          <w:sdtContent>
            <w:p w14:paraId="2246BB67" w14:textId="33B934D4" w:rsidR="00C101E7" w:rsidRDefault="004F686E" w:rsidP="00C101E7">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24ED7B5" w14:textId="1EDA7F89" w:rsidR="007F1C2B" w:rsidRDefault="00B664AF"/>
        <w:p w14:paraId="55B62DC5" w14:textId="77777777" w:rsidR="007F1C2B" w:rsidRDefault="00B664AF"/>
      </w:sdtContent>
    </w:sdt>
    <w:sdt>
      <w:sdtPr>
        <w:rPr>
          <w:rFonts w:ascii="宋体" w:hAnsi="宋体" w:cs="宋体"/>
          <w:b w:val="0"/>
          <w:bCs w:val="0"/>
          <w:kern w:val="0"/>
          <w:szCs w:val="24"/>
        </w:rPr>
        <w:alias w:val="模块:涉及业绩约定的，应当披露报告期内的业绩实现情况"/>
        <w:tag w:val="_SEC_e17a03ced9e54c92b773a7e185d85bd3"/>
        <w:id w:val="-708725311"/>
        <w:lock w:val="sdtLocked"/>
        <w:placeholder>
          <w:docPart w:val="GBC22222222222222222222222222222"/>
        </w:placeholder>
      </w:sdtPr>
      <w:sdtEndPr/>
      <w:sdtContent>
        <w:p w14:paraId="4906B183" w14:textId="77777777" w:rsidR="007F1C2B" w:rsidRDefault="004F686E" w:rsidP="004F686E">
          <w:pPr>
            <w:pStyle w:val="4"/>
            <w:numPr>
              <w:ilvl w:val="0"/>
              <w:numId w:val="25"/>
            </w:numPr>
            <w:rPr>
              <w:rFonts w:ascii="宋体" w:hAnsi="宋体"/>
            </w:rPr>
          </w:pPr>
          <w:r>
            <w:rPr>
              <w:rFonts w:ascii="宋体" w:hAnsi="宋体"/>
            </w:rPr>
            <w:t>涉及业绩约定的，应当披露报告期内的业绩实现情况</w:t>
          </w:r>
        </w:p>
        <w:sdt>
          <w:sdtPr>
            <w:alias w:val="是否适用：涉及业绩约定的，应当披露报告期内的业绩实现情况[双击切换]"/>
            <w:tag w:val="_GBC_0640a8fc3526461ca1eed7810b087c23"/>
            <w:id w:val="184723519"/>
            <w:lock w:val="sdtLocked"/>
            <w:placeholder>
              <w:docPart w:val="GBC22222222222222222222222222222"/>
            </w:placeholder>
          </w:sdtPr>
          <w:sdtEndPr/>
          <w:sdtContent>
            <w:p w14:paraId="1E8A1097" w14:textId="5C16B5F0" w:rsidR="007F1C2B" w:rsidRDefault="004F686E" w:rsidP="00C101E7">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31AB42FA" w14:textId="77777777" w:rsidR="007F1C2B" w:rsidRDefault="00B664AF"/>
    <w:p w14:paraId="12354DA9" w14:textId="77777777" w:rsidR="007F1C2B" w:rsidRDefault="004F686E" w:rsidP="004F686E">
      <w:pPr>
        <w:pStyle w:val="3"/>
        <w:numPr>
          <w:ilvl w:val="2"/>
          <w:numId w:val="23"/>
        </w:numPr>
        <w:rPr>
          <w:rFonts w:ascii="宋体" w:hAnsi="宋体"/>
        </w:rPr>
      </w:pPr>
      <w:r>
        <w:rPr>
          <w:rFonts w:ascii="宋体" w:hAnsi="宋体"/>
        </w:rPr>
        <w:t>共同对外投资的重大关联交易</w:t>
      </w:r>
    </w:p>
    <w:sdt>
      <w:sdtPr>
        <w:rPr>
          <w:rFonts w:ascii="宋体" w:hAnsi="宋体" w:cs="宋体"/>
          <w:b w:val="0"/>
          <w:bCs w:val="0"/>
          <w:kern w:val="0"/>
          <w:szCs w:val="22"/>
        </w:rPr>
        <w:alias w:val="模块:已在临时公告披露且后续实施无进展或变化的事项"/>
        <w:tag w:val="_SEC_d9e67609bdab489e985efba8758860bd"/>
        <w:id w:val="2077777406"/>
        <w:lock w:val="sdtLocked"/>
        <w:placeholder>
          <w:docPart w:val="GBC22222222222222222222222222222"/>
        </w:placeholder>
      </w:sdtPr>
      <w:sdtEndPr>
        <w:rPr>
          <w:szCs w:val="24"/>
        </w:rPr>
      </w:sdtEndPr>
      <w:sdtContent>
        <w:p w14:paraId="21F101E5" w14:textId="77777777" w:rsidR="007F1C2B" w:rsidRDefault="004F686E" w:rsidP="004F686E">
          <w:pPr>
            <w:pStyle w:val="4"/>
            <w:numPr>
              <w:ilvl w:val="0"/>
              <w:numId w:val="26"/>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共同对外投资的重大关联交易[双击切换]"/>
            <w:tag w:val="_GBC_dda9192a67f44f8698afb5d0b3e3c767"/>
            <w:id w:val="433718110"/>
            <w:lock w:val="sdtLocked"/>
            <w:placeholder>
              <w:docPart w:val="GBC22222222222222222222222222222"/>
            </w:placeholder>
          </w:sdtPr>
          <w:sdtEndPr/>
          <w:sdtContent>
            <w:p w14:paraId="35E27C31" w14:textId="54F7341A" w:rsidR="007F1C2B" w:rsidRDefault="004F686E" w:rsidP="00C101E7">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b w:val="0"/>
          <w:bCs w:val="0"/>
          <w:kern w:val="0"/>
          <w:szCs w:val="22"/>
        </w:rPr>
        <w:alias w:val="模块:已在临时公告披露，但有后续实施的进展或变化的事项"/>
        <w:tag w:val="_SEC_53e4f8cd2c114fb1a1c9d74236ebd2fc"/>
        <w:id w:val="1851370302"/>
        <w:lock w:val="sdtLocked"/>
        <w:placeholder>
          <w:docPart w:val="GBC22222222222222222222222222222"/>
        </w:placeholder>
      </w:sdtPr>
      <w:sdtEndPr>
        <w:rPr>
          <w:rFonts w:hint="eastAsia"/>
          <w:szCs w:val="24"/>
        </w:rPr>
      </w:sdtEndPr>
      <w:sdtContent>
        <w:p w14:paraId="2C71745C" w14:textId="77777777" w:rsidR="007F1C2B" w:rsidRDefault="004F686E" w:rsidP="004F686E">
          <w:pPr>
            <w:pStyle w:val="4"/>
            <w:numPr>
              <w:ilvl w:val="0"/>
              <w:numId w:val="26"/>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共同对外投资的重大关联交易[双击切换]"/>
            <w:tag w:val="_GBC_f5354c189ecd4cad9ef1e263c325c0db"/>
            <w:id w:val="1011187622"/>
            <w:lock w:val="sdtLocked"/>
            <w:placeholder>
              <w:docPart w:val="GBC22222222222222222222222222222"/>
            </w:placeholder>
          </w:sdtPr>
          <w:sdtEndPr/>
          <w:sdtContent>
            <w:p w14:paraId="1A9A336E" w14:textId="6856BD84" w:rsidR="007F1C2B" w:rsidRDefault="004F686E" w:rsidP="00C101E7">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b w:val="0"/>
          <w:bCs w:val="0"/>
          <w:kern w:val="0"/>
          <w:szCs w:val="22"/>
        </w:rPr>
        <w:alias w:val="模块:临时公告未披露的事项"/>
        <w:tag w:val="_SEC_25e347f9cbc546cbafdf30522b654328"/>
        <w:id w:val="-474059712"/>
        <w:lock w:val="sdtLocked"/>
        <w:placeholder>
          <w:docPart w:val="GBC22222222222222222222222222222"/>
        </w:placeholder>
      </w:sdtPr>
      <w:sdtEndPr>
        <w:rPr>
          <w:rFonts w:hint="eastAsia"/>
          <w:szCs w:val="24"/>
        </w:rPr>
      </w:sdtEndPr>
      <w:sdtContent>
        <w:p w14:paraId="28B3C1FA" w14:textId="77777777" w:rsidR="007F1C2B" w:rsidRDefault="004F686E" w:rsidP="004F686E">
          <w:pPr>
            <w:pStyle w:val="4"/>
            <w:numPr>
              <w:ilvl w:val="0"/>
              <w:numId w:val="26"/>
            </w:numPr>
            <w:rPr>
              <w:rFonts w:ascii="宋体" w:hAnsi="宋体"/>
            </w:rPr>
          </w:pPr>
          <w:r>
            <w:rPr>
              <w:rFonts w:ascii="宋体" w:hAnsi="宋体"/>
            </w:rPr>
            <w:t>临时公告未披露的事项</w:t>
          </w:r>
        </w:p>
        <w:sdt>
          <w:sdtPr>
            <w:rPr>
              <w:rFonts w:hint="eastAsia"/>
            </w:rPr>
            <w:alias w:val="是否适用：共同对外投资的重大关联交易_临时公告未披露的事项[双击切换]"/>
            <w:tag w:val="_GBC_3ac28148c3754202ba544078ad581a24"/>
            <w:id w:val="-828447446"/>
            <w:lock w:val="sdtLocked"/>
            <w:placeholder>
              <w:docPart w:val="GBC22222222222222222222222222222"/>
            </w:placeholder>
          </w:sdtPr>
          <w:sdtEndPr/>
          <w:sdtContent>
            <w:p w14:paraId="13256472" w14:textId="6649188F" w:rsidR="00C101E7" w:rsidRDefault="004F686E" w:rsidP="00C101E7">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E6297FF" w14:textId="5E545769" w:rsidR="007F1C2B" w:rsidRDefault="00B664AF"/>
      </w:sdtContent>
    </w:sdt>
    <w:p w14:paraId="576DF823" w14:textId="77777777" w:rsidR="007F1C2B" w:rsidRDefault="004F686E" w:rsidP="004F686E">
      <w:pPr>
        <w:pStyle w:val="3"/>
        <w:numPr>
          <w:ilvl w:val="2"/>
          <w:numId w:val="23"/>
        </w:numPr>
        <w:rPr>
          <w:rFonts w:ascii="宋体" w:hAnsi="宋体"/>
        </w:rPr>
      </w:pPr>
      <w:r>
        <w:rPr>
          <w:rFonts w:ascii="宋体" w:hAnsi="宋体" w:hint="eastAsia"/>
        </w:rPr>
        <w:lastRenderedPageBreak/>
        <w:t>关联债权债务往来</w:t>
      </w:r>
    </w:p>
    <w:sdt>
      <w:sdtPr>
        <w:rPr>
          <w:rFonts w:ascii="宋体" w:hAnsi="宋体" w:cs="宋体"/>
          <w:b w:val="0"/>
          <w:bCs w:val="0"/>
          <w:kern w:val="0"/>
          <w:szCs w:val="22"/>
        </w:rPr>
        <w:alias w:val="模块:已在临时公告披露且后续实施无进展或变化的事项"/>
        <w:tag w:val="_SEC_2fd4e717dd2949d2b4b4fb580dfce32a"/>
        <w:id w:val="-1381085505"/>
        <w:lock w:val="sdtLocked"/>
        <w:placeholder>
          <w:docPart w:val="GBC22222222222222222222222222222"/>
        </w:placeholder>
      </w:sdtPr>
      <w:sdtEndPr>
        <w:rPr>
          <w:szCs w:val="24"/>
        </w:rPr>
      </w:sdtEndPr>
      <w:sdtContent>
        <w:p w14:paraId="30D54323" w14:textId="77777777" w:rsidR="007F1C2B" w:rsidRDefault="004F686E" w:rsidP="004F686E">
          <w:pPr>
            <w:pStyle w:val="4"/>
            <w:numPr>
              <w:ilvl w:val="0"/>
              <w:numId w:val="27"/>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关联债权债务往来[双击切换]"/>
            <w:tag w:val="_GBC_480ccdae6247445ca78cf6327eb0e24f"/>
            <w:id w:val="986512902"/>
            <w:lock w:val="sdtLocked"/>
            <w:placeholder>
              <w:docPart w:val="GBC22222222222222222222222222222"/>
            </w:placeholder>
          </w:sdtPr>
          <w:sdtEndPr/>
          <w:sdtContent>
            <w:p w14:paraId="007D6930" w14:textId="3707082B" w:rsidR="007F1C2B" w:rsidRDefault="004F686E" w:rsidP="009E3055">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b w:val="0"/>
          <w:bCs w:val="0"/>
          <w:kern w:val="0"/>
          <w:szCs w:val="22"/>
        </w:rPr>
        <w:alias w:val="模块:已在临时公告披露，但有后续实施的进展或变化的事项"/>
        <w:tag w:val="_SEC_dcb3650518df4296931e576a9d6fdaf3"/>
        <w:id w:val="1292935681"/>
        <w:lock w:val="sdtLocked"/>
        <w:placeholder>
          <w:docPart w:val="GBC22222222222222222222222222222"/>
        </w:placeholder>
      </w:sdtPr>
      <w:sdtEndPr>
        <w:rPr>
          <w:rFonts w:hint="eastAsia"/>
          <w:szCs w:val="24"/>
        </w:rPr>
      </w:sdtEndPr>
      <w:sdtContent>
        <w:p w14:paraId="2893730C" w14:textId="77777777" w:rsidR="007F1C2B" w:rsidRDefault="004F686E" w:rsidP="004F686E">
          <w:pPr>
            <w:pStyle w:val="4"/>
            <w:numPr>
              <w:ilvl w:val="0"/>
              <w:numId w:val="27"/>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关联债权债务往来[双击切换]"/>
            <w:tag w:val="_GBC_06dcfbbd6aed49aa878ab07a09b2270b"/>
            <w:id w:val="1093661537"/>
            <w:lock w:val="sdtLocked"/>
            <w:placeholder>
              <w:docPart w:val="GBC22222222222222222222222222222"/>
            </w:placeholder>
          </w:sdtPr>
          <w:sdtEndPr/>
          <w:sdtContent>
            <w:p w14:paraId="20A0103C" w14:textId="42FE74F3" w:rsidR="007F1C2B" w:rsidRDefault="004F686E" w:rsidP="009E3055">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Start w:id="54" w:name="_Hlk78887602" w:displacedByCustomXml="next"/>
      </w:sdtContent>
    </w:sdt>
    <w:bookmarkEnd w:id="54" w:displacedByCustomXml="prev"/>
    <w:sdt>
      <w:sdtPr>
        <w:rPr>
          <w:rFonts w:ascii="宋体" w:hAnsi="宋体" w:cs="宋体" w:hint="eastAsia"/>
          <w:b w:val="0"/>
          <w:bCs w:val="0"/>
          <w:kern w:val="0"/>
          <w:szCs w:val="22"/>
        </w:rPr>
        <w:alias w:val="模块:临时公告未披露的事项"/>
        <w:tag w:val="_SEC_da19abf815bb4e3a97fcb901c6225551"/>
        <w:id w:val="83727679"/>
        <w:lock w:val="sdtLocked"/>
        <w:placeholder>
          <w:docPart w:val="GBC22222222222222222222222222222"/>
        </w:placeholder>
      </w:sdtPr>
      <w:sdtEndPr>
        <w:rPr>
          <w:szCs w:val="21"/>
        </w:rPr>
      </w:sdtEndPr>
      <w:sdtContent>
        <w:p w14:paraId="6BA90BFF" w14:textId="77777777" w:rsidR="00471D53" w:rsidRPr="0060201B" w:rsidRDefault="004F686E" w:rsidP="004F686E">
          <w:pPr>
            <w:pStyle w:val="4"/>
            <w:numPr>
              <w:ilvl w:val="0"/>
              <w:numId w:val="27"/>
            </w:numPr>
            <w:rPr>
              <w:rFonts w:ascii="宋体" w:hAnsi="宋体"/>
            </w:rPr>
          </w:pPr>
          <w:r w:rsidRPr="0060201B">
            <w:rPr>
              <w:rFonts w:ascii="宋体" w:hAnsi="宋体" w:hint="eastAsia"/>
            </w:rPr>
            <w:t>临时公告未披露的事项</w:t>
          </w:r>
        </w:p>
        <w:sdt>
          <w:sdtPr>
            <w:alias w:val="是否适用：关联债权债务往来_临时公告未披露的事项[双击切换]"/>
            <w:tag w:val="_GBC_0f4a6802ca704b49a413888379a91f0b"/>
            <w:id w:val="1391770682"/>
            <w:lock w:val="sdtLocked"/>
            <w:placeholder>
              <w:docPart w:val="GBC22222222222222222222222222222"/>
            </w:placeholder>
          </w:sdtPr>
          <w:sdtEndPr/>
          <w:sdtContent>
            <w:p w14:paraId="5D3EDE05" w14:textId="1B3EB088" w:rsidR="008142CC"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p w14:paraId="4F3E2FFE" w14:textId="0B8DE2B5" w:rsidR="00471D53" w:rsidRDefault="00B664AF"/>
          </w:sdtContent>
        </w:sdt>
        <w:p w14:paraId="5DAF3ADF" w14:textId="77777777" w:rsidR="00471D53" w:rsidRDefault="004F686E">
          <w:pPr>
            <w:jc w:val="right"/>
            <w:rPr>
              <w:szCs w:val="21"/>
            </w:rPr>
          </w:pPr>
          <w:r>
            <w:rPr>
              <w:rFonts w:hint="eastAsia"/>
              <w:szCs w:val="21"/>
            </w:rPr>
            <w:t>单位：</w:t>
          </w:r>
          <w:sdt>
            <w:sdtPr>
              <w:rPr>
                <w:rFonts w:hint="eastAsia"/>
                <w:szCs w:val="21"/>
              </w:rPr>
              <w:alias w:val="单位：关联债权债务往来"/>
              <w:tag w:val="_GBC_3d4746bf1eac4cb78b4d5e8f638c58a7"/>
              <w:id w:val="13962334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关联债权债务往来"/>
              <w:tag w:val="_GBC_5091a378d0114c298e9441456458f056"/>
              <w:id w:val="8775082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6058" w:type="pct"/>
            <w:tblInd w:w="-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688"/>
            <w:gridCol w:w="983"/>
            <w:gridCol w:w="1266"/>
            <w:gridCol w:w="1343"/>
            <w:gridCol w:w="1191"/>
            <w:gridCol w:w="1405"/>
            <w:gridCol w:w="1407"/>
            <w:gridCol w:w="1407"/>
          </w:tblGrid>
          <w:tr w:rsidR="00471D53" w14:paraId="3F32E791" w14:textId="77777777" w:rsidTr="00471D53">
            <w:sdt>
              <w:sdtPr>
                <w:tag w:val="_PLD_a03ab7dba8d64a3988ed93cc7ea7faec"/>
                <w:id w:val="1259804234"/>
                <w:lock w:val="sdtLocked"/>
              </w:sdtPr>
              <w:sdtEndPr/>
              <w:sdtContent>
                <w:tc>
                  <w:tcPr>
                    <w:tcW w:w="790" w:type="pct"/>
                    <w:vMerge w:val="restart"/>
                    <w:shd w:val="clear" w:color="auto" w:fill="auto"/>
                    <w:vAlign w:val="center"/>
                  </w:tcPr>
                  <w:p w14:paraId="6118B154" w14:textId="77777777" w:rsidR="00471D53" w:rsidRDefault="004F686E" w:rsidP="00471D53">
                    <w:pPr>
                      <w:autoSpaceDE w:val="0"/>
                      <w:autoSpaceDN w:val="0"/>
                      <w:adjustRightInd w:val="0"/>
                      <w:jc w:val="center"/>
                      <w:rPr>
                        <w:szCs w:val="21"/>
                      </w:rPr>
                    </w:pPr>
                    <w:r>
                      <w:rPr>
                        <w:rFonts w:hint="eastAsia"/>
                        <w:szCs w:val="21"/>
                      </w:rPr>
                      <w:t>关联方</w:t>
                    </w:r>
                  </w:p>
                </w:tc>
              </w:sdtContent>
            </w:sdt>
            <w:sdt>
              <w:sdtPr>
                <w:tag w:val="_PLD_fd7d9e6d29544e1f819ac61e5ffc7800"/>
                <w:id w:val="1783918468"/>
                <w:lock w:val="sdtLocked"/>
              </w:sdtPr>
              <w:sdtEndPr/>
              <w:sdtContent>
                <w:tc>
                  <w:tcPr>
                    <w:tcW w:w="460" w:type="pct"/>
                    <w:vMerge w:val="restart"/>
                    <w:shd w:val="clear" w:color="auto" w:fill="auto"/>
                    <w:vAlign w:val="center"/>
                  </w:tcPr>
                  <w:p w14:paraId="234932B0" w14:textId="77777777" w:rsidR="00471D53" w:rsidRDefault="004F686E" w:rsidP="00471D53">
                    <w:pPr>
                      <w:autoSpaceDE w:val="0"/>
                      <w:autoSpaceDN w:val="0"/>
                      <w:adjustRightInd w:val="0"/>
                      <w:jc w:val="center"/>
                      <w:rPr>
                        <w:szCs w:val="21"/>
                      </w:rPr>
                    </w:pPr>
                    <w:r>
                      <w:rPr>
                        <w:rFonts w:hint="eastAsia"/>
                        <w:szCs w:val="21"/>
                      </w:rPr>
                      <w:t>关联关系</w:t>
                    </w:r>
                  </w:p>
                </w:tc>
              </w:sdtContent>
            </w:sdt>
            <w:sdt>
              <w:sdtPr>
                <w:tag w:val="_PLD_ab475f26ae1346059edb39a2aa01b7a0"/>
                <w:id w:val="1751857779"/>
                <w:lock w:val="sdtLocked"/>
              </w:sdtPr>
              <w:sdtEndPr/>
              <w:sdtContent>
                <w:tc>
                  <w:tcPr>
                    <w:tcW w:w="1777" w:type="pct"/>
                    <w:gridSpan w:val="3"/>
                    <w:shd w:val="clear" w:color="auto" w:fill="auto"/>
                    <w:vAlign w:val="center"/>
                  </w:tcPr>
                  <w:p w14:paraId="00D9BDC7" w14:textId="77777777" w:rsidR="00471D53" w:rsidRDefault="004F686E" w:rsidP="00471D53">
                    <w:pPr>
                      <w:autoSpaceDE w:val="0"/>
                      <w:autoSpaceDN w:val="0"/>
                      <w:adjustRightInd w:val="0"/>
                      <w:jc w:val="center"/>
                      <w:rPr>
                        <w:szCs w:val="21"/>
                      </w:rPr>
                    </w:pPr>
                    <w:r>
                      <w:rPr>
                        <w:rFonts w:hint="eastAsia"/>
                        <w:szCs w:val="21"/>
                      </w:rPr>
                      <w:t>向关联方提供资金</w:t>
                    </w:r>
                  </w:p>
                </w:tc>
              </w:sdtContent>
            </w:sdt>
            <w:sdt>
              <w:sdtPr>
                <w:tag w:val="_PLD_563c35dec57c48f3b46f1f62e335b927"/>
                <w:id w:val="-1772386748"/>
                <w:lock w:val="sdtLocked"/>
              </w:sdtPr>
              <w:sdtEndPr/>
              <w:sdtContent>
                <w:tc>
                  <w:tcPr>
                    <w:tcW w:w="1973" w:type="pct"/>
                    <w:gridSpan w:val="3"/>
                    <w:shd w:val="clear" w:color="auto" w:fill="auto"/>
                    <w:vAlign w:val="center"/>
                  </w:tcPr>
                  <w:p w14:paraId="26603656" w14:textId="77777777" w:rsidR="00471D53" w:rsidRDefault="004F686E" w:rsidP="00471D53">
                    <w:pPr>
                      <w:autoSpaceDE w:val="0"/>
                      <w:autoSpaceDN w:val="0"/>
                      <w:adjustRightInd w:val="0"/>
                      <w:jc w:val="center"/>
                      <w:rPr>
                        <w:szCs w:val="21"/>
                      </w:rPr>
                    </w:pPr>
                    <w:r>
                      <w:rPr>
                        <w:rFonts w:hint="eastAsia"/>
                        <w:szCs w:val="21"/>
                      </w:rPr>
                      <w:t>关联方向上市公司提供资金</w:t>
                    </w:r>
                  </w:p>
                </w:tc>
              </w:sdtContent>
            </w:sdt>
          </w:tr>
          <w:tr w:rsidR="00471D53" w14:paraId="5CE379C0" w14:textId="77777777" w:rsidTr="00471D53">
            <w:tc>
              <w:tcPr>
                <w:tcW w:w="790" w:type="pct"/>
                <w:vMerge/>
                <w:shd w:val="clear" w:color="auto" w:fill="auto"/>
                <w:vAlign w:val="center"/>
              </w:tcPr>
              <w:p w14:paraId="1EEA7CBF" w14:textId="77777777" w:rsidR="00471D53" w:rsidRDefault="00B664AF" w:rsidP="00471D53">
                <w:pPr>
                  <w:autoSpaceDE w:val="0"/>
                  <w:autoSpaceDN w:val="0"/>
                  <w:adjustRightInd w:val="0"/>
                  <w:jc w:val="center"/>
                  <w:rPr>
                    <w:szCs w:val="21"/>
                  </w:rPr>
                </w:pPr>
              </w:p>
            </w:tc>
            <w:tc>
              <w:tcPr>
                <w:tcW w:w="460" w:type="pct"/>
                <w:vMerge/>
                <w:shd w:val="clear" w:color="auto" w:fill="auto"/>
                <w:vAlign w:val="center"/>
              </w:tcPr>
              <w:p w14:paraId="24C06169" w14:textId="77777777" w:rsidR="00471D53" w:rsidRDefault="00B664AF" w:rsidP="00471D53">
                <w:pPr>
                  <w:autoSpaceDE w:val="0"/>
                  <w:autoSpaceDN w:val="0"/>
                  <w:adjustRightInd w:val="0"/>
                  <w:jc w:val="center"/>
                  <w:rPr>
                    <w:szCs w:val="21"/>
                  </w:rPr>
                </w:pPr>
              </w:p>
            </w:tc>
            <w:sdt>
              <w:sdtPr>
                <w:tag w:val="_PLD_84c4eb576c0841edbba1a279db4bece5"/>
                <w:id w:val="1249077347"/>
                <w:lock w:val="sdtLocked"/>
              </w:sdtPr>
              <w:sdtEndPr/>
              <w:sdtContent>
                <w:tc>
                  <w:tcPr>
                    <w:tcW w:w="592" w:type="pct"/>
                    <w:shd w:val="clear" w:color="auto" w:fill="auto"/>
                    <w:vAlign w:val="center"/>
                  </w:tcPr>
                  <w:p w14:paraId="0365D190" w14:textId="77777777" w:rsidR="00471D53" w:rsidRDefault="004F686E" w:rsidP="00471D53">
                    <w:pPr>
                      <w:autoSpaceDE w:val="0"/>
                      <w:autoSpaceDN w:val="0"/>
                      <w:adjustRightInd w:val="0"/>
                      <w:jc w:val="center"/>
                      <w:rPr>
                        <w:szCs w:val="21"/>
                      </w:rPr>
                    </w:pPr>
                    <w:r>
                      <w:rPr>
                        <w:rFonts w:hint="eastAsia"/>
                        <w:szCs w:val="21"/>
                      </w:rPr>
                      <w:t>期初余额</w:t>
                    </w:r>
                  </w:p>
                </w:tc>
              </w:sdtContent>
            </w:sdt>
            <w:sdt>
              <w:sdtPr>
                <w:tag w:val="_PLD_a0465b18c711498aacc6643f88ec2071"/>
                <w:id w:val="-119695775"/>
                <w:lock w:val="sdtLocked"/>
              </w:sdtPr>
              <w:sdtEndPr/>
              <w:sdtContent>
                <w:tc>
                  <w:tcPr>
                    <w:tcW w:w="628" w:type="pct"/>
                    <w:shd w:val="clear" w:color="auto" w:fill="auto"/>
                    <w:vAlign w:val="center"/>
                  </w:tcPr>
                  <w:p w14:paraId="6B0946D1" w14:textId="77777777" w:rsidR="00471D53" w:rsidRDefault="004F686E" w:rsidP="00471D53">
                    <w:pPr>
                      <w:autoSpaceDE w:val="0"/>
                      <w:autoSpaceDN w:val="0"/>
                      <w:adjustRightInd w:val="0"/>
                      <w:jc w:val="center"/>
                      <w:rPr>
                        <w:szCs w:val="21"/>
                      </w:rPr>
                    </w:pPr>
                    <w:r>
                      <w:rPr>
                        <w:rFonts w:hint="eastAsia"/>
                        <w:szCs w:val="21"/>
                      </w:rPr>
                      <w:t>发生额</w:t>
                    </w:r>
                  </w:p>
                </w:tc>
              </w:sdtContent>
            </w:sdt>
            <w:sdt>
              <w:sdtPr>
                <w:tag w:val="_PLD_50c7dd7dd5804b108bed028ac898954a"/>
                <w:id w:val="1486364061"/>
                <w:lock w:val="sdtLocked"/>
              </w:sdtPr>
              <w:sdtEndPr/>
              <w:sdtContent>
                <w:tc>
                  <w:tcPr>
                    <w:tcW w:w="557" w:type="pct"/>
                    <w:shd w:val="clear" w:color="auto" w:fill="auto"/>
                    <w:vAlign w:val="center"/>
                  </w:tcPr>
                  <w:p w14:paraId="0D318012" w14:textId="77777777" w:rsidR="00471D53" w:rsidRDefault="004F686E" w:rsidP="00471D53">
                    <w:pPr>
                      <w:autoSpaceDE w:val="0"/>
                      <w:autoSpaceDN w:val="0"/>
                      <w:adjustRightInd w:val="0"/>
                      <w:jc w:val="center"/>
                      <w:rPr>
                        <w:szCs w:val="21"/>
                      </w:rPr>
                    </w:pPr>
                    <w:r>
                      <w:rPr>
                        <w:rFonts w:hint="eastAsia"/>
                        <w:szCs w:val="21"/>
                      </w:rPr>
                      <w:t>期末余额</w:t>
                    </w:r>
                  </w:p>
                </w:tc>
              </w:sdtContent>
            </w:sdt>
            <w:sdt>
              <w:sdtPr>
                <w:tag w:val="_PLD_c6512bddd9054caeb41c5dab753be8c6"/>
                <w:id w:val="1590821714"/>
                <w:lock w:val="sdtLocked"/>
              </w:sdtPr>
              <w:sdtEndPr/>
              <w:sdtContent>
                <w:tc>
                  <w:tcPr>
                    <w:tcW w:w="657" w:type="pct"/>
                    <w:shd w:val="clear" w:color="auto" w:fill="auto"/>
                    <w:vAlign w:val="center"/>
                  </w:tcPr>
                  <w:p w14:paraId="100AFBBD" w14:textId="77777777" w:rsidR="00471D53" w:rsidRDefault="004F686E" w:rsidP="00471D53">
                    <w:pPr>
                      <w:autoSpaceDE w:val="0"/>
                      <w:autoSpaceDN w:val="0"/>
                      <w:adjustRightInd w:val="0"/>
                      <w:jc w:val="center"/>
                      <w:rPr>
                        <w:szCs w:val="21"/>
                      </w:rPr>
                    </w:pPr>
                    <w:r>
                      <w:rPr>
                        <w:rFonts w:hint="eastAsia"/>
                        <w:szCs w:val="21"/>
                      </w:rPr>
                      <w:t>期初余额</w:t>
                    </w:r>
                  </w:p>
                </w:tc>
              </w:sdtContent>
            </w:sdt>
            <w:sdt>
              <w:sdtPr>
                <w:tag w:val="_PLD_121e88852b0f4d04b04977cd52578513"/>
                <w:id w:val="-1409603400"/>
                <w:lock w:val="sdtLocked"/>
              </w:sdtPr>
              <w:sdtEndPr/>
              <w:sdtContent>
                <w:tc>
                  <w:tcPr>
                    <w:tcW w:w="658" w:type="pct"/>
                    <w:shd w:val="clear" w:color="auto" w:fill="auto"/>
                    <w:vAlign w:val="center"/>
                  </w:tcPr>
                  <w:p w14:paraId="2BA267EA" w14:textId="77777777" w:rsidR="00471D53" w:rsidRDefault="004F686E" w:rsidP="00471D53">
                    <w:pPr>
                      <w:autoSpaceDE w:val="0"/>
                      <w:autoSpaceDN w:val="0"/>
                      <w:adjustRightInd w:val="0"/>
                      <w:jc w:val="center"/>
                      <w:rPr>
                        <w:szCs w:val="21"/>
                      </w:rPr>
                    </w:pPr>
                    <w:r>
                      <w:rPr>
                        <w:rFonts w:hint="eastAsia"/>
                        <w:szCs w:val="21"/>
                      </w:rPr>
                      <w:t>发生额</w:t>
                    </w:r>
                  </w:p>
                </w:tc>
              </w:sdtContent>
            </w:sdt>
            <w:sdt>
              <w:sdtPr>
                <w:tag w:val="_PLD_656f31b560d642bdb30b1a1db50f1150"/>
                <w:id w:val="1762180467"/>
                <w:lock w:val="sdtLocked"/>
              </w:sdtPr>
              <w:sdtEndPr/>
              <w:sdtContent>
                <w:tc>
                  <w:tcPr>
                    <w:tcW w:w="658" w:type="pct"/>
                    <w:shd w:val="clear" w:color="auto" w:fill="auto"/>
                    <w:vAlign w:val="center"/>
                  </w:tcPr>
                  <w:p w14:paraId="2B792DF0" w14:textId="77777777" w:rsidR="00471D53" w:rsidRDefault="004F686E" w:rsidP="00471D53">
                    <w:pPr>
                      <w:autoSpaceDE w:val="0"/>
                      <w:autoSpaceDN w:val="0"/>
                      <w:adjustRightInd w:val="0"/>
                      <w:jc w:val="center"/>
                      <w:rPr>
                        <w:szCs w:val="21"/>
                      </w:rPr>
                    </w:pPr>
                    <w:r>
                      <w:rPr>
                        <w:rFonts w:hint="eastAsia"/>
                        <w:szCs w:val="21"/>
                      </w:rPr>
                      <w:t>期末余额</w:t>
                    </w:r>
                  </w:p>
                </w:tc>
              </w:sdtContent>
            </w:sdt>
          </w:tr>
          <w:sdt>
            <w:sdtPr>
              <w:rPr>
                <w:sz w:val="18"/>
                <w:szCs w:val="18"/>
              </w:rPr>
              <w:alias w:val="关联债权债务往来"/>
              <w:tag w:val="_TUP_6bcf9c3a79e549839fd3bf2cfdd9967e"/>
              <w:id w:val="261190947"/>
              <w:lock w:val="sdtLocked"/>
            </w:sdtPr>
            <w:sdtEndPr/>
            <w:sdtContent>
              <w:tr w:rsidR="00471D53" w14:paraId="2A800D68" w14:textId="77777777" w:rsidTr="00471D53">
                <w:tc>
                  <w:tcPr>
                    <w:tcW w:w="790" w:type="pct"/>
                    <w:shd w:val="clear" w:color="auto" w:fill="auto"/>
                    <w:vAlign w:val="center"/>
                  </w:tcPr>
                  <w:p w14:paraId="1DC2A886" w14:textId="77777777" w:rsidR="00471D53" w:rsidRPr="00CD2C3B" w:rsidRDefault="004F686E" w:rsidP="00471D53">
                    <w:pPr>
                      <w:autoSpaceDE w:val="0"/>
                      <w:autoSpaceDN w:val="0"/>
                      <w:adjustRightInd w:val="0"/>
                      <w:rPr>
                        <w:sz w:val="18"/>
                        <w:szCs w:val="18"/>
                      </w:rPr>
                    </w:pPr>
                    <w:r w:rsidRPr="00CD2C3B">
                      <w:rPr>
                        <w:sz w:val="18"/>
                        <w:szCs w:val="18"/>
                      </w:rPr>
                      <w:t>江苏天海特种装备有限公司</w:t>
                    </w:r>
                  </w:p>
                </w:tc>
                <w:sdt>
                  <w:sdtPr>
                    <w:rPr>
                      <w:sz w:val="18"/>
                      <w:szCs w:val="18"/>
                    </w:rPr>
                    <w:alias w:val="关联债权债务往来的关联方关系"/>
                    <w:tag w:val="_GBC_679285fa5ad84826afdcbe28cc1f1421"/>
                    <w:id w:val="1322393167"/>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460" w:type="pct"/>
                        <w:shd w:val="clear" w:color="auto" w:fill="auto"/>
                        <w:vAlign w:val="center"/>
                      </w:tcPr>
                      <w:p w14:paraId="4FC7D420" w14:textId="77777777" w:rsidR="00471D53" w:rsidRPr="00CD2C3B" w:rsidRDefault="004F686E" w:rsidP="00471D53">
                        <w:pPr>
                          <w:autoSpaceDE w:val="0"/>
                          <w:autoSpaceDN w:val="0"/>
                          <w:adjustRightInd w:val="0"/>
                          <w:rPr>
                            <w:sz w:val="18"/>
                            <w:szCs w:val="18"/>
                          </w:rPr>
                        </w:pPr>
                        <w:r>
                          <w:rPr>
                            <w:sz w:val="18"/>
                            <w:szCs w:val="18"/>
                          </w:rPr>
                          <w:t>联营公司</w:t>
                        </w:r>
                      </w:p>
                    </w:tc>
                  </w:sdtContent>
                </w:sdt>
                <w:tc>
                  <w:tcPr>
                    <w:tcW w:w="592" w:type="pct"/>
                    <w:shd w:val="clear" w:color="auto" w:fill="auto"/>
                    <w:vAlign w:val="center"/>
                  </w:tcPr>
                  <w:p w14:paraId="1F782721" w14:textId="77777777" w:rsidR="00471D53" w:rsidRPr="00CD2C3B" w:rsidRDefault="004F686E" w:rsidP="00471D53">
                    <w:pPr>
                      <w:autoSpaceDE w:val="0"/>
                      <w:autoSpaceDN w:val="0"/>
                      <w:adjustRightInd w:val="0"/>
                      <w:jc w:val="right"/>
                      <w:rPr>
                        <w:sz w:val="18"/>
                        <w:szCs w:val="18"/>
                      </w:rPr>
                    </w:pPr>
                    <w:r w:rsidRPr="00CD2C3B">
                      <w:rPr>
                        <w:sz w:val="18"/>
                        <w:szCs w:val="18"/>
                      </w:rPr>
                      <w:t>1,646,332.00</w:t>
                    </w:r>
                  </w:p>
                </w:tc>
                <w:tc>
                  <w:tcPr>
                    <w:tcW w:w="628" w:type="pct"/>
                    <w:shd w:val="clear" w:color="auto" w:fill="auto"/>
                    <w:vAlign w:val="center"/>
                  </w:tcPr>
                  <w:p w14:paraId="5F81EDE9" w14:textId="77777777" w:rsidR="00471D53" w:rsidRPr="00CD2C3B" w:rsidRDefault="004F686E" w:rsidP="00471D53">
                    <w:pPr>
                      <w:autoSpaceDE w:val="0"/>
                      <w:autoSpaceDN w:val="0"/>
                      <w:adjustRightInd w:val="0"/>
                      <w:jc w:val="right"/>
                      <w:rPr>
                        <w:sz w:val="18"/>
                        <w:szCs w:val="18"/>
                      </w:rPr>
                    </w:pPr>
                    <w:r w:rsidRPr="00CD2C3B">
                      <w:rPr>
                        <w:sz w:val="18"/>
                        <w:szCs w:val="18"/>
                      </w:rPr>
                      <w:t>1,206,404.03</w:t>
                    </w:r>
                  </w:p>
                </w:tc>
                <w:tc>
                  <w:tcPr>
                    <w:tcW w:w="557" w:type="pct"/>
                    <w:shd w:val="clear" w:color="auto" w:fill="auto"/>
                    <w:vAlign w:val="center"/>
                  </w:tcPr>
                  <w:p w14:paraId="1690E415" w14:textId="77777777" w:rsidR="00471D53" w:rsidRPr="00CD2C3B" w:rsidRDefault="004F686E" w:rsidP="00471D53">
                    <w:pPr>
                      <w:autoSpaceDE w:val="0"/>
                      <w:autoSpaceDN w:val="0"/>
                      <w:adjustRightInd w:val="0"/>
                      <w:jc w:val="right"/>
                      <w:rPr>
                        <w:sz w:val="18"/>
                        <w:szCs w:val="18"/>
                      </w:rPr>
                    </w:pPr>
                    <w:r w:rsidRPr="00CD2C3B">
                      <w:rPr>
                        <w:sz w:val="18"/>
                        <w:szCs w:val="18"/>
                      </w:rPr>
                      <w:t>2,852,736.03</w:t>
                    </w:r>
                  </w:p>
                </w:tc>
                <w:tc>
                  <w:tcPr>
                    <w:tcW w:w="657" w:type="pct"/>
                    <w:shd w:val="clear" w:color="auto" w:fill="auto"/>
                    <w:vAlign w:val="center"/>
                  </w:tcPr>
                  <w:p w14:paraId="4F8AA456" w14:textId="77777777" w:rsidR="00471D53" w:rsidRPr="00CD2C3B" w:rsidRDefault="004F686E" w:rsidP="00471D53">
                    <w:pPr>
                      <w:autoSpaceDE w:val="0"/>
                      <w:autoSpaceDN w:val="0"/>
                      <w:adjustRightInd w:val="0"/>
                      <w:jc w:val="right"/>
                      <w:rPr>
                        <w:sz w:val="18"/>
                        <w:szCs w:val="18"/>
                      </w:rPr>
                    </w:pPr>
                    <w:r w:rsidRPr="00CD2C3B">
                      <w:rPr>
                        <w:sz w:val="18"/>
                        <w:szCs w:val="18"/>
                      </w:rPr>
                      <w:t>5,012,811.31</w:t>
                    </w:r>
                  </w:p>
                </w:tc>
                <w:tc>
                  <w:tcPr>
                    <w:tcW w:w="658" w:type="pct"/>
                    <w:shd w:val="clear" w:color="auto" w:fill="auto"/>
                    <w:vAlign w:val="center"/>
                  </w:tcPr>
                  <w:p w14:paraId="14CF659D" w14:textId="77777777" w:rsidR="00471D53" w:rsidRPr="00CD2C3B" w:rsidRDefault="004F686E" w:rsidP="00471D53">
                    <w:pPr>
                      <w:autoSpaceDE w:val="0"/>
                      <w:autoSpaceDN w:val="0"/>
                      <w:adjustRightInd w:val="0"/>
                      <w:jc w:val="right"/>
                      <w:rPr>
                        <w:sz w:val="18"/>
                        <w:szCs w:val="18"/>
                      </w:rPr>
                    </w:pPr>
                    <w:r w:rsidRPr="00CD2C3B">
                      <w:rPr>
                        <w:sz w:val="18"/>
                        <w:szCs w:val="18"/>
                      </w:rPr>
                      <w:t>77,246.00</w:t>
                    </w:r>
                  </w:p>
                </w:tc>
                <w:tc>
                  <w:tcPr>
                    <w:tcW w:w="658" w:type="pct"/>
                    <w:shd w:val="clear" w:color="auto" w:fill="auto"/>
                    <w:vAlign w:val="center"/>
                  </w:tcPr>
                  <w:p w14:paraId="737A00DD" w14:textId="77777777" w:rsidR="00471D53" w:rsidRPr="00CD2C3B" w:rsidRDefault="004F686E" w:rsidP="00471D53">
                    <w:pPr>
                      <w:autoSpaceDE w:val="0"/>
                      <w:autoSpaceDN w:val="0"/>
                      <w:adjustRightInd w:val="0"/>
                      <w:jc w:val="right"/>
                      <w:rPr>
                        <w:sz w:val="18"/>
                        <w:szCs w:val="18"/>
                      </w:rPr>
                    </w:pPr>
                    <w:r w:rsidRPr="00CD2C3B">
                      <w:rPr>
                        <w:sz w:val="18"/>
                        <w:szCs w:val="18"/>
                      </w:rPr>
                      <w:t>5,090,057.31</w:t>
                    </w:r>
                  </w:p>
                </w:tc>
              </w:tr>
            </w:sdtContent>
          </w:sdt>
          <w:sdt>
            <w:sdtPr>
              <w:rPr>
                <w:sz w:val="18"/>
                <w:szCs w:val="18"/>
              </w:rPr>
              <w:alias w:val="关联债权债务往来"/>
              <w:tag w:val="_TUP_6bcf9c3a79e549839fd3bf2cfdd9967e"/>
              <w:id w:val="462159043"/>
              <w:lock w:val="sdtLocked"/>
            </w:sdtPr>
            <w:sdtEndPr/>
            <w:sdtContent>
              <w:tr w:rsidR="00471D53" w14:paraId="303F635F" w14:textId="77777777" w:rsidTr="00471D53">
                <w:tc>
                  <w:tcPr>
                    <w:tcW w:w="790" w:type="pct"/>
                    <w:shd w:val="clear" w:color="auto" w:fill="auto"/>
                    <w:vAlign w:val="center"/>
                  </w:tcPr>
                  <w:p w14:paraId="3DD577B4" w14:textId="77777777" w:rsidR="00471D53" w:rsidRPr="00CD2C3B" w:rsidRDefault="004F686E" w:rsidP="00471D53">
                    <w:pPr>
                      <w:autoSpaceDE w:val="0"/>
                      <w:autoSpaceDN w:val="0"/>
                      <w:adjustRightInd w:val="0"/>
                      <w:rPr>
                        <w:sz w:val="18"/>
                        <w:szCs w:val="18"/>
                      </w:rPr>
                    </w:pPr>
                    <w:r w:rsidRPr="00CD2C3B">
                      <w:rPr>
                        <w:sz w:val="18"/>
                        <w:szCs w:val="18"/>
                      </w:rPr>
                      <w:t>北京京城工业物流有限公司</w:t>
                    </w:r>
                  </w:p>
                </w:tc>
                <w:sdt>
                  <w:sdtPr>
                    <w:rPr>
                      <w:sz w:val="18"/>
                      <w:szCs w:val="18"/>
                    </w:rPr>
                    <w:alias w:val="关联债权债务往来的关联方关系"/>
                    <w:tag w:val="_GBC_679285fa5ad84826afdcbe28cc1f1421"/>
                    <w:id w:val="450357578"/>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460" w:type="pct"/>
                        <w:shd w:val="clear" w:color="auto" w:fill="auto"/>
                        <w:vAlign w:val="center"/>
                      </w:tcPr>
                      <w:p w14:paraId="415DFDD2" w14:textId="77777777" w:rsidR="00471D53" w:rsidRPr="00CD2C3B" w:rsidRDefault="004F686E" w:rsidP="00471D53">
                        <w:pPr>
                          <w:autoSpaceDE w:val="0"/>
                          <w:autoSpaceDN w:val="0"/>
                          <w:adjustRightInd w:val="0"/>
                          <w:rPr>
                            <w:sz w:val="18"/>
                            <w:szCs w:val="18"/>
                          </w:rPr>
                        </w:pPr>
                        <w:r>
                          <w:rPr>
                            <w:sz w:val="18"/>
                            <w:szCs w:val="18"/>
                          </w:rPr>
                          <w:t>股东的子公司</w:t>
                        </w:r>
                      </w:p>
                    </w:tc>
                  </w:sdtContent>
                </w:sdt>
                <w:tc>
                  <w:tcPr>
                    <w:tcW w:w="592" w:type="pct"/>
                    <w:shd w:val="clear" w:color="auto" w:fill="auto"/>
                    <w:vAlign w:val="center"/>
                  </w:tcPr>
                  <w:p w14:paraId="4479FE59" w14:textId="77777777" w:rsidR="00471D53" w:rsidRPr="00CD2C3B" w:rsidRDefault="00B664AF" w:rsidP="00471D53">
                    <w:pPr>
                      <w:autoSpaceDE w:val="0"/>
                      <w:autoSpaceDN w:val="0"/>
                      <w:adjustRightInd w:val="0"/>
                      <w:jc w:val="right"/>
                      <w:rPr>
                        <w:sz w:val="18"/>
                        <w:szCs w:val="18"/>
                      </w:rPr>
                    </w:pPr>
                  </w:p>
                </w:tc>
                <w:tc>
                  <w:tcPr>
                    <w:tcW w:w="628" w:type="pct"/>
                    <w:shd w:val="clear" w:color="auto" w:fill="auto"/>
                    <w:vAlign w:val="center"/>
                  </w:tcPr>
                  <w:p w14:paraId="171F6C0F" w14:textId="77777777" w:rsidR="00471D53" w:rsidRPr="00CD2C3B" w:rsidRDefault="00B664AF" w:rsidP="00471D53">
                    <w:pPr>
                      <w:autoSpaceDE w:val="0"/>
                      <w:autoSpaceDN w:val="0"/>
                      <w:adjustRightInd w:val="0"/>
                      <w:jc w:val="right"/>
                      <w:rPr>
                        <w:sz w:val="18"/>
                        <w:szCs w:val="18"/>
                      </w:rPr>
                    </w:pPr>
                  </w:p>
                </w:tc>
                <w:tc>
                  <w:tcPr>
                    <w:tcW w:w="557" w:type="pct"/>
                    <w:shd w:val="clear" w:color="auto" w:fill="auto"/>
                    <w:vAlign w:val="center"/>
                  </w:tcPr>
                  <w:p w14:paraId="2B81391E" w14:textId="77777777" w:rsidR="00471D53" w:rsidRPr="00CD2C3B" w:rsidRDefault="00B664AF" w:rsidP="00471D53">
                    <w:pPr>
                      <w:autoSpaceDE w:val="0"/>
                      <w:autoSpaceDN w:val="0"/>
                      <w:adjustRightInd w:val="0"/>
                      <w:jc w:val="right"/>
                      <w:rPr>
                        <w:sz w:val="18"/>
                        <w:szCs w:val="18"/>
                      </w:rPr>
                    </w:pPr>
                  </w:p>
                </w:tc>
                <w:tc>
                  <w:tcPr>
                    <w:tcW w:w="657" w:type="pct"/>
                    <w:shd w:val="clear" w:color="auto" w:fill="auto"/>
                    <w:vAlign w:val="center"/>
                  </w:tcPr>
                  <w:p w14:paraId="1778FA2F" w14:textId="77777777" w:rsidR="00471D53" w:rsidRPr="00CD2C3B" w:rsidRDefault="004F686E" w:rsidP="00471D53">
                    <w:pPr>
                      <w:autoSpaceDE w:val="0"/>
                      <w:autoSpaceDN w:val="0"/>
                      <w:adjustRightInd w:val="0"/>
                      <w:jc w:val="right"/>
                      <w:rPr>
                        <w:sz w:val="18"/>
                        <w:szCs w:val="18"/>
                      </w:rPr>
                    </w:pPr>
                    <w:r w:rsidRPr="00CD2C3B">
                      <w:rPr>
                        <w:sz w:val="18"/>
                        <w:szCs w:val="18"/>
                      </w:rPr>
                      <w:t>902,227.27</w:t>
                    </w:r>
                  </w:p>
                </w:tc>
                <w:tc>
                  <w:tcPr>
                    <w:tcW w:w="658" w:type="pct"/>
                    <w:shd w:val="clear" w:color="auto" w:fill="auto"/>
                    <w:vAlign w:val="center"/>
                  </w:tcPr>
                  <w:p w14:paraId="17229F17" w14:textId="77777777" w:rsidR="00471D53" w:rsidRPr="00CD2C3B" w:rsidRDefault="00B664AF" w:rsidP="00471D53">
                    <w:pPr>
                      <w:autoSpaceDE w:val="0"/>
                      <w:autoSpaceDN w:val="0"/>
                      <w:adjustRightInd w:val="0"/>
                      <w:jc w:val="right"/>
                      <w:rPr>
                        <w:sz w:val="18"/>
                        <w:szCs w:val="18"/>
                      </w:rPr>
                    </w:pPr>
                  </w:p>
                </w:tc>
                <w:tc>
                  <w:tcPr>
                    <w:tcW w:w="658" w:type="pct"/>
                    <w:shd w:val="clear" w:color="auto" w:fill="auto"/>
                    <w:vAlign w:val="center"/>
                  </w:tcPr>
                  <w:p w14:paraId="263DE9CF" w14:textId="77777777" w:rsidR="00471D53" w:rsidRPr="00CD2C3B" w:rsidRDefault="004F686E" w:rsidP="00471D53">
                    <w:pPr>
                      <w:autoSpaceDE w:val="0"/>
                      <w:autoSpaceDN w:val="0"/>
                      <w:adjustRightInd w:val="0"/>
                      <w:jc w:val="right"/>
                      <w:rPr>
                        <w:sz w:val="18"/>
                        <w:szCs w:val="18"/>
                      </w:rPr>
                    </w:pPr>
                    <w:r w:rsidRPr="00CD2C3B">
                      <w:rPr>
                        <w:sz w:val="18"/>
                        <w:szCs w:val="18"/>
                      </w:rPr>
                      <w:t>902,227.27</w:t>
                    </w:r>
                  </w:p>
                </w:tc>
              </w:tr>
            </w:sdtContent>
          </w:sdt>
          <w:sdt>
            <w:sdtPr>
              <w:rPr>
                <w:sz w:val="18"/>
                <w:szCs w:val="18"/>
              </w:rPr>
              <w:alias w:val="关联债权债务往来"/>
              <w:tag w:val="_TUP_6bcf9c3a79e549839fd3bf2cfdd9967e"/>
              <w:id w:val="-1686902712"/>
              <w:lock w:val="sdtLocked"/>
            </w:sdtPr>
            <w:sdtEndPr/>
            <w:sdtContent>
              <w:tr w:rsidR="00471D53" w14:paraId="7EDC7926" w14:textId="77777777" w:rsidTr="00471D53">
                <w:tc>
                  <w:tcPr>
                    <w:tcW w:w="790" w:type="pct"/>
                    <w:shd w:val="clear" w:color="auto" w:fill="auto"/>
                    <w:vAlign w:val="center"/>
                  </w:tcPr>
                  <w:p w14:paraId="14D80764" w14:textId="77777777" w:rsidR="00471D53" w:rsidRPr="00CD2C3B" w:rsidRDefault="004F686E" w:rsidP="00471D53">
                    <w:pPr>
                      <w:autoSpaceDE w:val="0"/>
                      <w:autoSpaceDN w:val="0"/>
                      <w:adjustRightInd w:val="0"/>
                      <w:rPr>
                        <w:sz w:val="18"/>
                        <w:szCs w:val="18"/>
                      </w:rPr>
                    </w:pPr>
                    <w:r w:rsidRPr="00CD2C3B">
                      <w:rPr>
                        <w:sz w:val="18"/>
                        <w:szCs w:val="18"/>
                      </w:rPr>
                      <w:t>北京京城控股有限责任公司</w:t>
                    </w:r>
                  </w:p>
                </w:tc>
                <w:sdt>
                  <w:sdtPr>
                    <w:rPr>
                      <w:sz w:val="18"/>
                      <w:szCs w:val="18"/>
                    </w:rPr>
                    <w:alias w:val="关联债权债务往来的关联方关系"/>
                    <w:tag w:val="_GBC_679285fa5ad84826afdcbe28cc1f1421"/>
                    <w:id w:val="899407497"/>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460" w:type="pct"/>
                        <w:shd w:val="clear" w:color="auto" w:fill="auto"/>
                        <w:vAlign w:val="center"/>
                      </w:tcPr>
                      <w:p w14:paraId="3EA053FC" w14:textId="77777777" w:rsidR="00471D53" w:rsidRPr="00CD2C3B" w:rsidRDefault="004F686E" w:rsidP="00471D53">
                        <w:pPr>
                          <w:autoSpaceDE w:val="0"/>
                          <w:autoSpaceDN w:val="0"/>
                          <w:adjustRightInd w:val="0"/>
                          <w:rPr>
                            <w:sz w:val="18"/>
                            <w:szCs w:val="18"/>
                          </w:rPr>
                        </w:pPr>
                        <w:r>
                          <w:rPr>
                            <w:sz w:val="18"/>
                            <w:szCs w:val="18"/>
                          </w:rPr>
                          <w:t>控股股东</w:t>
                        </w:r>
                      </w:p>
                    </w:tc>
                  </w:sdtContent>
                </w:sdt>
                <w:tc>
                  <w:tcPr>
                    <w:tcW w:w="592" w:type="pct"/>
                    <w:shd w:val="clear" w:color="auto" w:fill="auto"/>
                    <w:vAlign w:val="center"/>
                  </w:tcPr>
                  <w:p w14:paraId="6FA3922F" w14:textId="77777777" w:rsidR="00471D53" w:rsidRPr="00CD2C3B" w:rsidRDefault="004F686E" w:rsidP="00471D53">
                    <w:pPr>
                      <w:autoSpaceDE w:val="0"/>
                      <w:autoSpaceDN w:val="0"/>
                      <w:adjustRightInd w:val="0"/>
                      <w:jc w:val="right"/>
                      <w:rPr>
                        <w:sz w:val="18"/>
                        <w:szCs w:val="18"/>
                      </w:rPr>
                    </w:pPr>
                    <w:r w:rsidRPr="00CD2C3B">
                      <w:rPr>
                        <w:sz w:val="18"/>
                        <w:szCs w:val="18"/>
                      </w:rPr>
                      <w:t>273,750.00</w:t>
                    </w:r>
                  </w:p>
                </w:tc>
                <w:tc>
                  <w:tcPr>
                    <w:tcW w:w="628" w:type="pct"/>
                    <w:shd w:val="clear" w:color="auto" w:fill="auto"/>
                    <w:vAlign w:val="center"/>
                  </w:tcPr>
                  <w:p w14:paraId="712C0D2E" w14:textId="77777777" w:rsidR="00471D53" w:rsidRPr="00CD2C3B" w:rsidRDefault="004F686E" w:rsidP="00471D53">
                    <w:pPr>
                      <w:autoSpaceDE w:val="0"/>
                      <w:autoSpaceDN w:val="0"/>
                      <w:adjustRightInd w:val="0"/>
                      <w:jc w:val="right"/>
                      <w:rPr>
                        <w:sz w:val="18"/>
                        <w:szCs w:val="18"/>
                      </w:rPr>
                    </w:pPr>
                    <w:r w:rsidRPr="00CD2C3B">
                      <w:rPr>
                        <w:sz w:val="18"/>
                        <w:szCs w:val="18"/>
                      </w:rPr>
                      <w:t>-273,750.00</w:t>
                    </w:r>
                  </w:p>
                </w:tc>
                <w:tc>
                  <w:tcPr>
                    <w:tcW w:w="557" w:type="pct"/>
                    <w:shd w:val="clear" w:color="auto" w:fill="auto"/>
                    <w:vAlign w:val="center"/>
                  </w:tcPr>
                  <w:p w14:paraId="4202A482" w14:textId="77777777" w:rsidR="00471D53" w:rsidRPr="00CD2C3B" w:rsidRDefault="004F686E" w:rsidP="00471D53">
                    <w:pPr>
                      <w:autoSpaceDE w:val="0"/>
                      <w:autoSpaceDN w:val="0"/>
                      <w:adjustRightInd w:val="0"/>
                      <w:jc w:val="right"/>
                      <w:rPr>
                        <w:sz w:val="18"/>
                        <w:szCs w:val="18"/>
                      </w:rPr>
                    </w:pPr>
                    <w:r w:rsidRPr="00CD2C3B">
                      <w:rPr>
                        <w:sz w:val="18"/>
                        <w:szCs w:val="18"/>
                      </w:rPr>
                      <w:t>0.00</w:t>
                    </w:r>
                  </w:p>
                </w:tc>
                <w:tc>
                  <w:tcPr>
                    <w:tcW w:w="657" w:type="pct"/>
                    <w:shd w:val="clear" w:color="auto" w:fill="auto"/>
                    <w:vAlign w:val="center"/>
                  </w:tcPr>
                  <w:p w14:paraId="7A6DE05F" w14:textId="77777777" w:rsidR="00471D53" w:rsidRPr="00CD2C3B" w:rsidRDefault="004F686E" w:rsidP="00471D53">
                    <w:pPr>
                      <w:autoSpaceDE w:val="0"/>
                      <w:autoSpaceDN w:val="0"/>
                      <w:adjustRightInd w:val="0"/>
                      <w:jc w:val="right"/>
                      <w:rPr>
                        <w:sz w:val="18"/>
                        <w:szCs w:val="18"/>
                      </w:rPr>
                    </w:pPr>
                    <w:r w:rsidRPr="00CD2C3B">
                      <w:rPr>
                        <w:sz w:val="18"/>
                        <w:szCs w:val="18"/>
                      </w:rPr>
                      <w:t>7,574.30</w:t>
                    </w:r>
                  </w:p>
                </w:tc>
                <w:tc>
                  <w:tcPr>
                    <w:tcW w:w="658" w:type="pct"/>
                    <w:shd w:val="clear" w:color="auto" w:fill="auto"/>
                    <w:vAlign w:val="center"/>
                  </w:tcPr>
                  <w:p w14:paraId="644591D9" w14:textId="77777777" w:rsidR="00471D53" w:rsidRPr="00CD2C3B" w:rsidRDefault="004F686E" w:rsidP="00471D53">
                    <w:pPr>
                      <w:autoSpaceDE w:val="0"/>
                      <w:autoSpaceDN w:val="0"/>
                      <w:adjustRightInd w:val="0"/>
                      <w:jc w:val="right"/>
                      <w:rPr>
                        <w:sz w:val="18"/>
                        <w:szCs w:val="18"/>
                      </w:rPr>
                    </w:pPr>
                    <w:r w:rsidRPr="00CD2C3B">
                      <w:rPr>
                        <w:sz w:val="18"/>
                        <w:szCs w:val="18"/>
                      </w:rPr>
                      <w:t>-75.22</w:t>
                    </w:r>
                  </w:p>
                </w:tc>
                <w:tc>
                  <w:tcPr>
                    <w:tcW w:w="658" w:type="pct"/>
                    <w:shd w:val="clear" w:color="auto" w:fill="auto"/>
                    <w:vAlign w:val="center"/>
                  </w:tcPr>
                  <w:p w14:paraId="5BF91D0E" w14:textId="77777777" w:rsidR="00471D53" w:rsidRPr="00CD2C3B" w:rsidRDefault="004F686E" w:rsidP="00471D53">
                    <w:pPr>
                      <w:autoSpaceDE w:val="0"/>
                      <w:autoSpaceDN w:val="0"/>
                      <w:adjustRightInd w:val="0"/>
                      <w:jc w:val="right"/>
                      <w:rPr>
                        <w:sz w:val="18"/>
                        <w:szCs w:val="18"/>
                      </w:rPr>
                    </w:pPr>
                    <w:r w:rsidRPr="00CD2C3B">
                      <w:rPr>
                        <w:sz w:val="18"/>
                        <w:szCs w:val="18"/>
                      </w:rPr>
                      <w:t>7,499.08</w:t>
                    </w:r>
                  </w:p>
                </w:tc>
              </w:tr>
            </w:sdtContent>
          </w:sdt>
          <w:sdt>
            <w:sdtPr>
              <w:rPr>
                <w:sz w:val="18"/>
                <w:szCs w:val="18"/>
              </w:rPr>
              <w:alias w:val="关联债权债务往来"/>
              <w:tag w:val="_TUP_6bcf9c3a79e549839fd3bf2cfdd9967e"/>
              <w:id w:val="-343321834"/>
              <w:lock w:val="sdtLocked"/>
            </w:sdtPr>
            <w:sdtEndPr/>
            <w:sdtContent>
              <w:tr w:rsidR="00471D53" w14:paraId="0393A967" w14:textId="77777777" w:rsidTr="00471D53">
                <w:tc>
                  <w:tcPr>
                    <w:tcW w:w="790" w:type="pct"/>
                    <w:shd w:val="clear" w:color="auto" w:fill="auto"/>
                    <w:vAlign w:val="center"/>
                  </w:tcPr>
                  <w:p w14:paraId="579F17AC" w14:textId="77777777" w:rsidR="00471D53" w:rsidRPr="00CD2C3B" w:rsidRDefault="004F686E" w:rsidP="00471D53">
                    <w:pPr>
                      <w:autoSpaceDE w:val="0"/>
                      <w:autoSpaceDN w:val="0"/>
                      <w:adjustRightInd w:val="0"/>
                      <w:rPr>
                        <w:sz w:val="18"/>
                        <w:szCs w:val="18"/>
                      </w:rPr>
                    </w:pPr>
                    <w:r w:rsidRPr="00CD2C3B">
                      <w:rPr>
                        <w:sz w:val="18"/>
                        <w:szCs w:val="18"/>
                      </w:rPr>
                      <w:t>北京兰天达汽车清洁燃料技术有限公司</w:t>
                    </w:r>
                  </w:p>
                </w:tc>
                <w:sdt>
                  <w:sdtPr>
                    <w:rPr>
                      <w:sz w:val="18"/>
                      <w:szCs w:val="18"/>
                    </w:rPr>
                    <w:alias w:val="关联债权债务往来的关联方关系"/>
                    <w:tag w:val="_GBC_679285fa5ad84826afdcbe28cc1f1421"/>
                    <w:id w:val="2012027460"/>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460" w:type="pct"/>
                        <w:shd w:val="clear" w:color="auto" w:fill="auto"/>
                        <w:vAlign w:val="center"/>
                      </w:tcPr>
                      <w:p w14:paraId="0D5BFF4C" w14:textId="77777777" w:rsidR="00471D53" w:rsidRPr="00CD2C3B" w:rsidRDefault="004F686E" w:rsidP="00471D53">
                        <w:pPr>
                          <w:autoSpaceDE w:val="0"/>
                          <w:autoSpaceDN w:val="0"/>
                          <w:adjustRightInd w:val="0"/>
                          <w:rPr>
                            <w:sz w:val="18"/>
                            <w:szCs w:val="18"/>
                          </w:rPr>
                        </w:pPr>
                        <w:r>
                          <w:rPr>
                            <w:sz w:val="18"/>
                            <w:szCs w:val="18"/>
                          </w:rPr>
                          <w:t>其他</w:t>
                        </w:r>
                      </w:p>
                    </w:tc>
                  </w:sdtContent>
                </w:sdt>
                <w:tc>
                  <w:tcPr>
                    <w:tcW w:w="592" w:type="pct"/>
                    <w:shd w:val="clear" w:color="auto" w:fill="auto"/>
                    <w:vAlign w:val="center"/>
                  </w:tcPr>
                  <w:p w14:paraId="2D8796F8" w14:textId="77777777" w:rsidR="00471D53" w:rsidRPr="00CD2C3B" w:rsidRDefault="004F686E" w:rsidP="00471D53">
                    <w:pPr>
                      <w:autoSpaceDE w:val="0"/>
                      <w:autoSpaceDN w:val="0"/>
                      <w:adjustRightInd w:val="0"/>
                      <w:jc w:val="right"/>
                      <w:rPr>
                        <w:sz w:val="18"/>
                        <w:szCs w:val="18"/>
                      </w:rPr>
                    </w:pPr>
                    <w:r w:rsidRPr="00CD2C3B">
                      <w:rPr>
                        <w:sz w:val="18"/>
                        <w:szCs w:val="18"/>
                      </w:rPr>
                      <w:t>3,270,914.89</w:t>
                    </w:r>
                  </w:p>
                </w:tc>
                <w:tc>
                  <w:tcPr>
                    <w:tcW w:w="628" w:type="pct"/>
                    <w:shd w:val="clear" w:color="auto" w:fill="auto"/>
                    <w:vAlign w:val="center"/>
                  </w:tcPr>
                  <w:p w14:paraId="45B77904" w14:textId="77777777" w:rsidR="00471D53" w:rsidRPr="00CD2C3B" w:rsidRDefault="004F686E" w:rsidP="00471D53">
                    <w:pPr>
                      <w:autoSpaceDE w:val="0"/>
                      <w:autoSpaceDN w:val="0"/>
                      <w:adjustRightInd w:val="0"/>
                      <w:jc w:val="right"/>
                      <w:rPr>
                        <w:sz w:val="18"/>
                        <w:szCs w:val="18"/>
                      </w:rPr>
                    </w:pPr>
                    <w:r w:rsidRPr="00CD2C3B">
                      <w:rPr>
                        <w:sz w:val="18"/>
                        <w:szCs w:val="18"/>
                      </w:rPr>
                      <w:t>-1,662,514.89</w:t>
                    </w:r>
                  </w:p>
                </w:tc>
                <w:tc>
                  <w:tcPr>
                    <w:tcW w:w="557" w:type="pct"/>
                    <w:shd w:val="clear" w:color="auto" w:fill="auto"/>
                    <w:vAlign w:val="center"/>
                  </w:tcPr>
                  <w:p w14:paraId="2AAA6EE3" w14:textId="77777777" w:rsidR="00471D53" w:rsidRPr="00CD2C3B" w:rsidRDefault="004F686E" w:rsidP="00471D53">
                    <w:pPr>
                      <w:autoSpaceDE w:val="0"/>
                      <w:autoSpaceDN w:val="0"/>
                      <w:adjustRightInd w:val="0"/>
                      <w:jc w:val="right"/>
                      <w:rPr>
                        <w:sz w:val="18"/>
                        <w:szCs w:val="18"/>
                      </w:rPr>
                    </w:pPr>
                    <w:r w:rsidRPr="00CD2C3B">
                      <w:rPr>
                        <w:sz w:val="18"/>
                        <w:szCs w:val="18"/>
                      </w:rPr>
                      <w:t>1,608,400.00</w:t>
                    </w:r>
                  </w:p>
                </w:tc>
                <w:tc>
                  <w:tcPr>
                    <w:tcW w:w="657" w:type="pct"/>
                    <w:shd w:val="clear" w:color="auto" w:fill="auto"/>
                    <w:vAlign w:val="center"/>
                  </w:tcPr>
                  <w:p w14:paraId="676CCB89" w14:textId="77777777" w:rsidR="00471D53" w:rsidRPr="00CD2C3B" w:rsidRDefault="004F686E" w:rsidP="00471D53">
                    <w:pPr>
                      <w:autoSpaceDE w:val="0"/>
                      <w:autoSpaceDN w:val="0"/>
                      <w:adjustRightInd w:val="0"/>
                      <w:jc w:val="right"/>
                      <w:rPr>
                        <w:sz w:val="18"/>
                        <w:szCs w:val="18"/>
                      </w:rPr>
                    </w:pPr>
                    <w:r w:rsidRPr="00CD2C3B">
                      <w:rPr>
                        <w:sz w:val="18"/>
                        <w:szCs w:val="18"/>
                      </w:rPr>
                      <w:t>5,299.15</w:t>
                    </w:r>
                  </w:p>
                </w:tc>
                <w:tc>
                  <w:tcPr>
                    <w:tcW w:w="658" w:type="pct"/>
                    <w:shd w:val="clear" w:color="auto" w:fill="auto"/>
                    <w:vAlign w:val="center"/>
                  </w:tcPr>
                  <w:p w14:paraId="53C93523" w14:textId="77777777" w:rsidR="00471D53" w:rsidRPr="00CD2C3B" w:rsidRDefault="004F686E" w:rsidP="00471D53">
                    <w:pPr>
                      <w:autoSpaceDE w:val="0"/>
                      <w:autoSpaceDN w:val="0"/>
                      <w:adjustRightInd w:val="0"/>
                      <w:jc w:val="right"/>
                      <w:rPr>
                        <w:sz w:val="18"/>
                        <w:szCs w:val="18"/>
                      </w:rPr>
                    </w:pPr>
                    <w:r w:rsidRPr="00CD2C3B">
                      <w:rPr>
                        <w:sz w:val="18"/>
                        <w:szCs w:val="18"/>
                      </w:rPr>
                      <w:t>-5,299.15</w:t>
                    </w:r>
                  </w:p>
                </w:tc>
                <w:tc>
                  <w:tcPr>
                    <w:tcW w:w="658" w:type="pct"/>
                    <w:shd w:val="clear" w:color="auto" w:fill="auto"/>
                    <w:vAlign w:val="center"/>
                  </w:tcPr>
                  <w:p w14:paraId="69086EE8" w14:textId="77777777" w:rsidR="00471D53" w:rsidRPr="00CD2C3B" w:rsidRDefault="004F686E" w:rsidP="00471D53">
                    <w:pPr>
                      <w:autoSpaceDE w:val="0"/>
                      <w:autoSpaceDN w:val="0"/>
                      <w:adjustRightInd w:val="0"/>
                      <w:jc w:val="right"/>
                      <w:rPr>
                        <w:sz w:val="18"/>
                        <w:szCs w:val="18"/>
                      </w:rPr>
                    </w:pPr>
                    <w:r w:rsidRPr="00CD2C3B">
                      <w:rPr>
                        <w:sz w:val="18"/>
                        <w:szCs w:val="18"/>
                      </w:rPr>
                      <w:t>0.00</w:t>
                    </w:r>
                  </w:p>
                </w:tc>
              </w:tr>
            </w:sdtContent>
          </w:sdt>
          <w:sdt>
            <w:sdtPr>
              <w:rPr>
                <w:sz w:val="18"/>
                <w:szCs w:val="18"/>
              </w:rPr>
              <w:alias w:val="关联债权债务往来"/>
              <w:tag w:val="_TUP_6bcf9c3a79e549839fd3bf2cfdd9967e"/>
              <w:id w:val="-322204527"/>
              <w:lock w:val="sdtLocked"/>
            </w:sdtPr>
            <w:sdtEndPr/>
            <w:sdtContent>
              <w:tr w:rsidR="00471D53" w14:paraId="3659BDC9" w14:textId="77777777" w:rsidTr="00471D53">
                <w:tc>
                  <w:tcPr>
                    <w:tcW w:w="790" w:type="pct"/>
                    <w:shd w:val="clear" w:color="auto" w:fill="auto"/>
                    <w:vAlign w:val="center"/>
                  </w:tcPr>
                  <w:p w14:paraId="65FD51CA" w14:textId="77777777" w:rsidR="00471D53" w:rsidRPr="00CD2C3B" w:rsidRDefault="004F686E" w:rsidP="00471D53">
                    <w:pPr>
                      <w:autoSpaceDE w:val="0"/>
                      <w:autoSpaceDN w:val="0"/>
                      <w:adjustRightInd w:val="0"/>
                      <w:rPr>
                        <w:sz w:val="18"/>
                        <w:szCs w:val="18"/>
                      </w:rPr>
                    </w:pPr>
                    <w:r w:rsidRPr="00CD2C3B">
                      <w:rPr>
                        <w:sz w:val="18"/>
                        <w:szCs w:val="18"/>
                      </w:rPr>
                      <w:t>北京第一机床厂</w:t>
                    </w:r>
                  </w:p>
                </w:tc>
                <w:sdt>
                  <w:sdtPr>
                    <w:rPr>
                      <w:sz w:val="18"/>
                      <w:szCs w:val="18"/>
                    </w:rPr>
                    <w:alias w:val="关联债权债务往来的关联方关系"/>
                    <w:tag w:val="_GBC_679285fa5ad84826afdcbe28cc1f1421"/>
                    <w:id w:val="-885950664"/>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460" w:type="pct"/>
                        <w:shd w:val="clear" w:color="auto" w:fill="auto"/>
                        <w:vAlign w:val="center"/>
                      </w:tcPr>
                      <w:p w14:paraId="4237A1CD" w14:textId="77777777" w:rsidR="00471D53" w:rsidRPr="00CD2C3B" w:rsidRDefault="004F686E" w:rsidP="00471D53">
                        <w:pPr>
                          <w:autoSpaceDE w:val="0"/>
                          <w:autoSpaceDN w:val="0"/>
                          <w:adjustRightInd w:val="0"/>
                          <w:rPr>
                            <w:sz w:val="18"/>
                            <w:szCs w:val="18"/>
                          </w:rPr>
                        </w:pPr>
                        <w:r>
                          <w:rPr>
                            <w:sz w:val="18"/>
                            <w:szCs w:val="18"/>
                          </w:rPr>
                          <w:t>股东的子公司</w:t>
                        </w:r>
                      </w:p>
                    </w:tc>
                  </w:sdtContent>
                </w:sdt>
                <w:tc>
                  <w:tcPr>
                    <w:tcW w:w="592" w:type="pct"/>
                    <w:shd w:val="clear" w:color="auto" w:fill="auto"/>
                    <w:vAlign w:val="center"/>
                  </w:tcPr>
                  <w:p w14:paraId="7BA4BB2F" w14:textId="77777777" w:rsidR="00471D53" w:rsidRPr="00CD2C3B" w:rsidRDefault="00B664AF" w:rsidP="00471D53">
                    <w:pPr>
                      <w:autoSpaceDE w:val="0"/>
                      <w:autoSpaceDN w:val="0"/>
                      <w:adjustRightInd w:val="0"/>
                      <w:jc w:val="right"/>
                      <w:rPr>
                        <w:sz w:val="18"/>
                        <w:szCs w:val="18"/>
                      </w:rPr>
                    </w:pPr>
                  </w:p>
                </w:tc>
                <w:tc>
                  <w:tcPr>
                    <w:tcW w:w="628" w:type="pct"/>
                    <w:shd w:val="clear" w:color="auto" w:fill="auto"/>
                    <w:vAlign w:val="center"/>
                  </w:tcPr>
                  <w:p w14:paraId="79ADE25F" w14:textId="77777777" w:rsidR="00471D53" w:rsidRPr="00CD2C3B" w:rsidRDefault="00B664AF" w:rsidP="00471D53">
                    <w:pPr>
                      <w:autoSpaceDE w:val="0"/>
                      <w:autoSpaceDN w:val="0"/>
                      <w:adjustRightInd w:val="0"/>
                      <w:jc w:val="right"/>
                      <w:rPr>
                        <w:sz w:val="18"/>
                        <w:szCs w:val="18"/>
                      </w:rPr>
                    </w:pPr>
                  </w:p>
                </w:tc>
                <w:tc>
                  <w:tcPr>
                    <w:tcW w:w="557" w:type="pct"/>
                    <w:shd w:val="clear" w:color="auto" w:fill="auto"/>
                    <w:vAlign w:val="center"/>
                  </w:tcPr>
                  <w:p w14:paraId="1ED250B9" w14:textId="77777777" w:rsidR="00471D53" w:rsidRPr="00CD2C3B" w:rsidRDefault="00B664AF" w:rsidP="00471D53">
                    <w:pPr>
                      <w:autoSpaceDE w:val="0"/>
                      <w:autoSpaceDN w:val="0"/>
                      <w:adjustRightInd w:val="0"/>
                      <w:jc w:val="right"/>
                      <w:rPr>
                        <w:sz w:val="18"/>
                        <w:szCs w:val="18"/>
                      </w:rPr>
                    </w:pPr>
                  </w:p>
                </w:tc>
                <w:tc>
                  <w:tcPr>
                    <w:tcW w:w="657" w:type="pct"/>
                    <w:shd w:val="clear" w:color="auto" w:fill="auto"/>
                    <w:vAlign w:val="center"/>
                  </w:tcPr>
                  <w:p w14:paraId="056F8694" w14:textId="77777777" w:rsidR="00471D53" w:rsidRPr="00CD2C3B" w:rsidRDefault="004F686E" w:rsidP="00471D53">
                    <w:pPr>
                      <w:autoSpaceDE w:val="0"/>
                      <w:autoSpaceDN w:val="0"/>
                      <w:adjustRightInd w:val="0"/>
                      <w:jc w:val="right"/>
                      <w:rPr>
                        <w:sz w:val="18"/>
                        <w:szCs w:val="18"/>
                      </w:rPr>
                    </w:pPr>
                    <w:r w:rsidRPr="00CD2C3B">
                      <w:rPr>
                        <w:sz w:val="18"/>
                        <w:szCs w:val="18"/>
                      </w:rPr>
                      <w:t>486,159.09</w:t>
                    </w:r>
                  </w:p>
                </w:tc>
                <w:tc>
                  <w:tcPr>
                    <w:tcW w:w="658" w:type="pct"/>
                    <w:shd w:val="clear" w:color="auto" w:fill="auto"/>
                    <w:vAlign w:val="center"/>
                  </w:tcPr>
                  <w:p w14:paraId="228A862D" w14:textId="77777777" w:rsidR="00471D53" w:rsidRPr="00CD2C3B" w:rsidRDefault="00B664AF" w:rsidP="00471D53">
                    <w:pPr>
                      <w:autoSpaceDE w:val="0"/>
                      <w:autoSpaceDN w:val="0"/>
                      <w:adjustRightInd w:val="0"/>
                      <w:jc w:val="right"/>
                      <w:rPr>
                        <w:sz w:val="18"/>
                        <w:szCs w:val="18"/>
                      </w:rPr>
                    </w:pPr>
                  </w:p>
                </w:tc>
                <w:tc>
                  <w:tcPr>
                    <w:tcW w:w="658" w:type="pct"/>
                    <w:shd w:val="clear" w:color="auto" w:fill="auto"/>
                    <w:vAlign w:val="center"/>
                  </w:tcPr>
                  <w:p w14:paraId="374A3ED8" w14:textId="77777777" w:rsidR="00471D53" w:rsidRPr="00CD2C3B" w:rsidRDefault="004F686E" w:rsidP="00471D53">
                    <w:pPr>
                      <w:autoSpaceDE w:val="0"/>
                      <w:autoSpaceDN w:val="0"/>
                      <w:adjustRightInd w:val="0"/>
                      <w:jc w:val="right"/>
                      <w:rPr>
                        <w:sz w:val="18"/>
                        <w:szCs w:val="18"/>
                      </w:rPr>
                    </w:pPr>
                    <w:r w:rsidRPr="00CD2C3B">
                      <w:rPr>
                        <w:sz w:val="18"/>
                        <w:szCs w:val="18"/>
                      </w:rPr>
                      <w:t>486,159.09</w:t>
                    </w:r>
                  </w:p>
                </w:tc>
              </w:tr>
            </w:sdtContent>
          </w:sdt>
          <w:sdt>
            <w:sdtPr>
              <w:rPr>
                <w:sz w:val="18"/>
                <w:szCs w:val="18"/>
              </w:rPr>
              <w:alias w:val="关联债权债务往来"/>
              <w:tag w:val="_TUP_6bcf9c3a79e549839fd3bf2cfdd9967e"/>
              <w:id w:val="-2069714475"/>
              <w:lock w:val="sdtLocked"/>
            </w:sdtPr>
            <w:sdtEndPr/>
            <w:sdtContent>
              <w:tr w:rsidR="00471D53" w14:paraId="6C4F8191" w14:textId="77777777" w:rsidTr="00471D53">
                <w:tc>
                  <w:tcPr>
                    <w:tcW w:w="790" w:type="pct"/>
                    <w:shd w:val="clear" w:color="auto" w:fill="auto"/>
                    <w:vAlign w:val="center"/>
                  </w:tcPr>
                  <w:p w14:paraId="7AA279B8" w14:textId="77777777" w:rsidR="00471D53" w:rsidRPr="00CD2C3B" w:rsidRDefault="004F686E" w:rsidP="00471D53">
                    <w:pPr>
                      <w:autoSpaceDE w:val="0"/>
                      <w:autoSpaceDN w:val="0"/>
                      <w:adjustRightInd w:val="0"/>
                      <w:rPr>
                        <w:sz w:val="18"/>
                        <w:szCs w:val="18"/>
                      </w:rPr>
                    </w:pPr>
                    <w:r w:rsidRPr="00CD2C3B">
                      <w:rPr>
                        <w:sz w:val="18"/>
                        <w:szCs w:val="18"/>
                      </w:rPr>
                      <w:t>北京京城海通科技文化发展有限公司</w:t>
                    </w:r>
                  </w:p>
                </w:tc>
                <w:sdt>
                  <w:sdtPr>
                    <w:rPr>
                      <w:sz w:val="18"/>
                      <w:szCs w:val="18"/>
                    </w:rPr>
                    <w:alias w:val="关联债权债务往来的关联方关系"/>
                    <w:tag w:val="_GBC_679285fa5ad84826afdcbe28cc1f1421"/>
                    <w:id w:val="-312494579"/>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460" w:type="pct"/>
                        <w:shd w:val="clear" w:color="auto" w:fill="auto"/>
                        <w:vAlign w:val="center"/>
                      </w:tcPr>
                      <w:p w14:paraId="4624929C" w14:textId="77777777" w:rsidR="00471D53" w:rsidRPr="00CD2C3B" w:rsidRDefault="004F686E" w:rsidP="00471D53">
                        <w:pPr>
                          <w:autoSpaceDE w:val="0"/>
                          <w:autoSpaceDN w:val="0"/>
                          <w:adjustRightInd w:val="0"/>
                          <w:rPr>
                            <w:sz w:val="18"/>
                            <w:szCs w:val="18"/>
                          </w:rPr>
                        </w:pPr>
                        <w:r>
                          <w:rPr>
                            <w:sz w:val="18"/>
                            <w:szCs w:val="18"/>
                          </w:rPr>
                          <w:t>合营公司</w:t>
                        </w:r>
                      </w:p>
                    </w:tc>
                  </w:sdtContent>
                </w:sdt>
                <w:tc>
                  <w:tcPr>
                    <w:tcW w:w="592" w:type="pct"/>
                    <w:shd w:val="clear" w:color="auto" w:fill="auto"/>
                    <w:vAlign w:val="center"/>
                  </w:tcPr>
                  <w:p w14:paraId="4219706D" w14:textId="77777777" w:rsidR="00471D53" w:rsidRPr="00CD2C3B" w:rsidRDefault="004F686E" w:rsidP="00471D53">
                    <w:pPr>
                      <w:autoSpaceDE w:val="0"/>
                      <w:autoSpaceDN w:val="0"/>
                      <w:adjustRightInd w:val="0"/>
                      <w:jc w:val="right"/>
                      <w:rPr>
                        <w:sz w:val="18"/>
                        <w:szCs w:val="18"/>
                      </w:rPr>
                    </w:pPr>
                    <w:r w:rsidRPr="00CD2C3B">
                      <w:rPr>
                        <w:sz w:val="18"/>
                        <w:szCs w:val="18"/>
                      </w:rPr>
                      <w:t>3,457,570.47</w:t>
                    </w:r>
                  </w:p>
                </w:tc>
                <w:tc>
                  <w:tcPr>
                    <w:tcW w:w="628" w:type="pct"/>
                    <w:shd w:val="clear" w:color="auto" w:fill="auto"/>
                    <w:vAlign w:val="center"/>
                  </w:tcPr>
                  <w:p w14:paraId="64FAD385" w14:textId="77777777" w:rsidR="00471D53" w:rsidRPr="00CD2C3B" w:rsidRDefault="004F686E" w:rsidP="00471D53">
                    <w:pPr>
                      <w:autoSpaceDE w:val="0"/>
                      <w:autoSpaceDN w:val="0"/>
                      <w:adjustRightInd w:val="0"/>
                      <w:jc w:val="right"/>
                      <w:rPr>
                        <w:sz w:val="18"/>
                        <w:szCs w:val="18"/>
                      </w:rPr>
                    </w:pPr>
                    <w:r w:rsidRPr="00CD2C3B">
                      <w:rPr>
                        <w:sz w:val="18"/>
                        <w:szCs w:val="18"/>
                      </w:rPr>
                      <w:t>38,262.15</w:t>
                    </w:r>
                  </w:p>
                </w:tc>
                <w:tc>
                  <w:tcPr>
                    <w:tcW w:w="557" w:type="pct"/>
                    <w:shd w:val="clear" w:color="auto" w:fill="auto"/>
                    <w:vAlign w:val="center"/>
                  </w:tcPr>
                  <w:p w14:paraId="059191ED" w14:textId="77777777" w:rsidR="00471D53" w:rsidRPr="00CD2C3B" w:rsidRDefault="004F686E" w:rsidP="00471D53">
                    <w:pPr>
                      <w:autoSpaceDE w:val="0"/>
                      <w:autoSpaceDN w:val="0"/>
                      <w:adjustRightInd w:val="0"/>
                      <w:jc w:val="right"/>
                      <w:rPr>
                        <w:sz w:val="18"/>
                        <w:szCs w:val="18"/>
                      </w:rPr>
                    </w:pPr>
                    <w:r w:rsidRPr="00CD2C3B">
                      <w:rPr>
                        <w:sz w:val="18"/>
                        <w:szCs w:val="18"/>
                      </w:rPr>
                      <w:t>3,495,832.62</w:t>
                    </w:r>
                  </w:p>
                </w:tc>
                <w:tc>
                  <w:tcPr>
                    <w:tcW w:w="657" w:type="pct"/>
                    <w:shd w:val="clear" w:color="auto" w:fill="auto"/>
                    <w:vAlign w:val="center"/>
                  </w:tcPr>
                  <w:p w14:paraId="3C97E732" w14:textId="77777777" w:rsidR="00471D53" w:rsidRPr="00CD2C3B" w:rsidRDefault="004F686E" w:rsidP="00471D53">
                    <w:pPr>
                      <w:autoSpaceDE w:val="0"/>
                      <w:autoSpaceDN w:val="0"/>
                      <w:adjustRightInd w:val="0"/>
                      <w:jc w:val="right"/>
                      <w:rPr>
                        <w:sz w:val="18"/>
                        <w:szCs w:val="18"/>
                      </w:rPr>
                    </w:pPr>
                    <w:r w:rsidRPr="00CD2C3B">
                      <w:rPr>
                        <w:sz w:val="18"/>
                        <w:szCs w:val="18"/>
                      </w:rPr>
                      <w:t>15,540,454.46</w:t>
                    </w:r>
                  </w:p>
                </w:tc>
                <w:tc>
                  <w:tcPr>
                    <w:tcW w:w="658" w:type="pct"/>
                    <w:shd w:val="clear" w:color="auto" w:fill="auto"/>
                    <w:vAlign w:val="center"/>
                  </w:tcPr>
                  <w:p w14:paraId="2A8D488D" w14:textId="77777777" w:rsidR="00471D53" w:rsidRPr="00CD2C3B" w:rsidRDefault="004F686E" w:rsidP="00471D53">
                    <w:pPr>
                      <w:autoSpaceDE w:val="0"/>
                      <w:autoSpaceDN w:val="0"/>
                      <w:adjustRightInd w:val="0"/>
                      <w:jc w:val="right"/>
                      <w:rPr>
                        <w:sz w:val="18"/>
                        <w:szCs w:val="18"/>
                      </w:rPr>
                    </w:pPr>
                    <w:r w:rsidRPr="00CD2C3B">
                      <w:rPr>
                        <w:sz w:val="18"/>
                        <w:szCs w:val="18"/>
                      </w:rPr>
                      <w:t>-15,540,454.46</w:t>
                    </w:r>
                  </w:p>
                </w:tc>
                <w:tc>
                  <w:tcPr>
                    <w:tcW w:w="658" w:type="pct"/>
                    <w:shd w:val="clear" w:color="auto" w:fill="auto"/>
                    <w:vAlign w:val="center"/>
                  </w:tcPr>
                  <w:p w14:paraId="09250578" w14:textId="77777777" w:rsidR="00471D53" w:rsidRPr="00CD2C3B" w:rsidRDefault="004F686E" w:rsidP="00471D53">
                    <w:pPr>
                      <w:autoSpaceDE w:val="0"/>
                      <w:autoSpaceDN w:val="0"/>
                      <w:adjustRightInd w:val="0"/>
                      <w:jc w:val="right"/>
                      <w:rPr>
                        <w:sz w:val="18"/>
                        <w:szCs w:val="18"/>
                      </w:rPr>
                    </w:pPr>
                    <w:r w:rsidRPr="00CD2C3B">
                      <w:rPr>
                        <w:sz w:val="18"/>
                        <w:szCs w:val="18"/>
                      </w:rPr>
                      <w:t>0.00</w:t>
                    </w:r>
                  </w:p>
                </w:tc>
              </w:tr>
            </w:sdtContent>
          </w:sdt>
          <w:sdt>
            <w:sdtPr>
              <w:rPr>
                <w:sz w:val="18"/>
                <w:szCs w:val="18"/>
              </w:rPr>
              <w:alias w:val="关联债权债务往来"/>
              <w:tag w:val="_TUP_6bcf9c3a79e549839fd3bf2cfdd9967e"/>
              <w:id w:val="424923326"/>
              <w:lock w:val="sdtLocked"/>
            </w:sdtPr>
            <w:sdtEndPr/>
            <w:sdtContent>
              <w:tr w:rsidR="00471D53" w14:paraId="6C2EE2AB" w14:textId="77777777" w:rsidTr="00471D53">
                <w:tc>
                  <w:tcPr>
                    <w:tcW w:w="790" w:type="pct"/>
                    <w:shd w:val="clear" w:color="auto" w:fill="auto"/>
                    <w:vAlign w:val="center"/>
                  </w:tcPr>
                  <w:p w14:paraId="389ACFC0" w14:textId="77777777" w:rsidR="00471D53" w:rsidRPr="00CD2C3B" w:rsidRDefault="004F686E" w:rsidP="00471D53">
                    <w:pPr>
                      <w:autoSpaceDE w:val="0"/>
                      <w:autoSpaceDN w:val="0"/>
                      <w:adjustRightInd w:val="0"/>
                      <w:rPr>
                        <w:sz w:val="18"/>
                        <w:szCs w:val="18"/>
                      </w:rPr>
                    </w:pPr>
                    <w:r w:rsidRPr="00CD2C3B">
                      <w:rPr>
                        <w:sz w:val="18"/>
                        <w:szCs w:val="18"/>
                      </w:rPr>
                      <w:t>郑国祥</w:t>
                    </w:r>
                  </w:p>
                </w:tc>
                <w:sdt>
                  <w:sdtPr>
                    <w:rPr>
                      <w:sz w:val="18"/>
                      <w:szCs w:val="18"/>
                    </w:rPr>
                    <w:alias w:val="关联债权债务往来的关联方关系"/>
                    <w:tag w:val="_GBC_679285fa5ad84826afdcbe28cc1f1421"/>
                    <w:id w:val="-1239011172"/>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460" w:type="pct"/>
                        <w:shd w:val="clear" w:color="auto" w:fill="auto"/>
                        <w:vAlign w:val="center"/>
                      </w:tcPr>
                      <w:p w14:paraId="2620C28E" w14:textId="77777777" w:rsidR="00471D53" w:rsidRPr="00CD2C3B" w:rsidRDefault="004F686E" w:rsidP="00471D53">
                        <w:pPr>
                          <w:autoSpaceDE w:val="0"/>
                          <w:autoSpaceDN w:val="0"/>
                          <w:adjustRightInd w:val="0"/>
                          <w:rPr>
                            <w:sz w:val="18"/>
                            <w:szCs w:val="18"/>
                          </w:rPr>
                        </w:pPr>
                        <w:r>
                          <w:rPr>
                            <w:sz w:val="18"/>
                            <w:szCs w:val="18"/>
                          </w:rPr>
                          <w:t>其他</w:t>
                        </w:r>
                      </w:p>
                    </w:tc>
                  </w:sdtContent>
                </w:sdt>
                <w:tc>
                  <w:tcPr>
                    <w:tcW w:w="592" w:type="pct"/>
                    <w:shd w:val="clear" w:color="auto" w:fill="auto"/>
                    <w:vAlign w:val="center"/>
                  </w:tcPr>
                  <w:p w14:paraId="1E014529" w14:textId="77777777" w:rsidR="00471D53" w:rsidRPr="00CD2C3B" w:rsidRDefault="00B664AF" w:rsidP="00471D53">
                    <w:pPr>
                      <w:autoSpaceDE w:val="0"/>
                      <w:autoSpaceDN w:val="0"/>
                      <w:adjustRightInd w:val="0"/>
                      <w:jc w:val="right"/>
                      <w:rPr>
                        <w:sz w:val="18"/>
                        <w:szCs w:val="18"/>
                      </w:rPr>
                    </w:pPr>
                  </w:p>
                </w:tc>
                <w:tc>
                  <w:tcPr>
                    <w:tcW w:w="628" w:type="pct"/>
                    <w:shd w:val="clear" w:color="auto" w:fill="auto"/>
                    <w:vAlign w:val="center"/>
                  </w:tcPr>
                  <w:p w14:paraId="31C6F403" w14:textId="77777777" w:rsidR="00471D53" w:rsidRPr="00CD2C3B" w:rsidRDefault="00B664AF" w:rsidP="00471D53">
                    <w:pPr>
                      <w:autoSpaceDE w:val="0"/>
                      <w:autoSpaceDN w:val="0"/>
                      <w:adjustRightInd w:val="0"/>
                      <w:jc w:val="right"/>
                      <w:rPr>
                        <w:sz w:val="18"/>
                        <w:szCs w:val="18"/>
                      </w:rPr>
                    </w:pPr>
                  </w:p>
                </w:tc>
                <w:tc>
                  <w:tcPr>
                    <w:tcW w:w="557" w:type="pct"/>
                    <w:shd w:val="clear" w:color="auto" w:fill="auto"/>
                    <w:vAlign w:val="center"/>
                  </w:tcPr>
                  <w:p w14:paraId="388BE0D2" w14:textId="77777777" w:rsidR="00471D53" w:rsidRPr="00CD2C3B" w:rsidRDefault="00B664AF" w:rsidP="00471D53">
                    <w:pPr>
                      <w:autoSpaceDE w:val="0"/>
                      <w:autoSpaceDN w:val="0"/>
                      <w:adjustRightInd w:val="0"/>
                      <w:jc w:val="right"/>
                      <w:rPr>
                        <w:sz w:val="18"/>
                        <w:szCs w:val="18"/>
                      </w:rPr>
                    </w:pPr>
                  </w:p>
                </w:tc>
                <w:tc>
                  <w:tcPr>
                    <w:tcW w:w="657" w:type="pct"/>
                    <w:shd w:val="clear" w:color="auto" w:fill="auto"/>
                    <w:vAlign w:val="center"/>
                  </w:tcPr>
                  <w:p w14:paraId="693CA7F0" w14:textId="77777777" w:rsidR="00471D53" w:rsidRPr="00CD2C3B" w:rsidRDefault="004F686E" w:rsidP="00471D53">
                    <w:pPr>
                      <w:autoSpaceDE w:val="0"/>
                      <w:autoSpaceDN w:val="0"/>
                      <w:adjustRightInd w:val="0"/>
                      <w:jc w:val="right"/>
                      <w:rPr>
                        <w:sz w:val="18"/>
                        <w:szCs w:val="18"/>
                      </w:rPr>
                    </w:pPr>
                    <w:r w:rsidRPr="00CD2C3B">
                      <w:rPr>
                        <w:sz w:val="18"/>
                        <w:szCs w:val="18"/>
                      </w:rPr>
                      <w:t>5,442,594.21</w:t>
                    </w:r>
                  </w:p>
                </w:tc>
                <w:tc>
                  <w:tcPr>
                    <w:tcW w:w="658" w:type="pct"/>
                    <w:shd w:val="clear" w:color="auto" w:fill="auto"/>
                    <w:vAlign w:val="center"/>
                  </w:tcPr>
                  <w:p w14:paraId="57037F3F" w14:textId="77777777" w:rsidR="00471D53" w:rsidRPr="00CD2C3B" w:rsidRDefault="004F686E" w:rsidP="00471D53">
                    <w:pPr>
                      <w:autoSpaceDE w:val="0"/>
                      <w:autoSpaceDN w:val="0"/>
                      <w:adjustRightInd w:val="0"/>
                      <w:jc w:val="right"/>
                      <w:rPr>
                        <w:sz w:val="18"/>
                        <w:szCs w:val="18"/>
                      </w:rPr>
                    </w:pPr>
                    <w:r w:rsidRPr="00CD2C3B">
                      <w:rPr>
                        <w:sz w:val="18"/>
                        <w:szCs w:val="18"/>
                      </w:rPr>
                      <w:t>-5,442,594.21</w:t>
                    </w:r>
                  </w:p>
                </w:tc>
                <w:tc>
                  <w:tcPr>
                    <w:tcW w:w="658" w:type="pct"/>
                    <w:shd w:val="clear" w:color="auto" w:fill="auto"/>
                    <w:vAlign w:val="center"/>
                  </w:tcPr>
                  <w:p w14:paraId="3C3584A8" w14:textId="77777777" w:rsidR="00471D53" w:rsidRPr="00CD2C3B" w:rsidRDefault="004F686E" w:rsidP="00471D53">
                    <w:pPr>
                      <w:autoSpaceDE w:val="0"/>
                      <w:autoSpaceDN w:val="0"/>
                      <w:adjustRightInd w:val="0"/>
                      <w:jc w:val="right"/>
                      <w:rPr>
                        <w:sz w:val="18"/>
                        <w:szCs w:val="18"/>
                      </w:rPr>
                    </w:pPr>
                    <w:r w:rsidRPr="00CD2C3B">
                      <w:rPr>
                        <w:sz w:val="18"/>
                        <w:szCs w:val="18"/>
                      </w:rPr>
                      <w:t>0.00</w:t>
                    </w:r>
                  </w:p>
                </w:tc>
              </w:tr>
            </w:sdtContent>
          </w:sdt>
          <w:sdt>
            <w:sdtPr>
              <w:rPr>
                <w:sz w:val="18"/>
                <w:szCs w:val="18"/>
              </w:rPr>
              <w:alias w:val="关联债权债务往来"/>
              <w:tag w:val="_TUP_6bcf9c3a79e549839fd3bf2cfdd9967e"/>
              <w:id w:val="-1394115569"/>
              <w:lock w:val="sdtLocked"/>
            </w:sdtPr>
            <w:sdtEndPr/>
            <w:sdtContent>
              <w:tr w:rsidR="00471D53" w14:paraId="56E92EAD" w14:textId="77777777" w:rsidTr="00471D53">
                <w:tc>
                  <w:tcPr>
                    <w:tcW w:w="790" w:type="pct"/>
                    <w:shd w:val="clear" w:color="auto" w:fill="auto"/>
                    <w:vAlign w:val="center"/>
                  </w:tcPr>
                  <w:p w14:paraId="379D0855" w14:textId="77777777" w:rsidR="00471D53" w:rsidRPr="00CD2C3B" w:rsidRDefault="004F686E" w:rsidP="00471D53">
                    <w:pPr>
                      <w:autoSpaceDE w:val="0"/>
                      <w:autoSpaceDN w:val="0"/>
                      <w:adjustRightInd w:val="0"/>
                      <w:rPr>
                        <w:sz w:val="18"/>
                        <w:szCs w:val="18"/>
                      </w:rPr>
                    </w:pPr>
                    <w:r w:rsidRPr="00CD2C3B">
                      <w:rPr>
                        <w:sz w:val="18"/>
                        <w:szCs w:val="18"/>
                      </w:rPr>
                      <w:t>郭志红</w:t>
                    </w:r>
                  </w:p>
                </w:tc>
                <w:sdt>
                  <w:sdtPr>
                    <w:rPr>
                      <w:sz w:val="18"/>
                      <w:szCs w:val="18"/>
                    </w:rPr>
                    <w:alias w:val="关联债权债务往来的关联方关系"/>
                    <w:tag w:val="_GBC_679285fa5ad84826afdcbe28cc1f1421"/>
                    <w:id w:val="2028981242"/>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460" w:type="pct"/>
                        <w:shd w:val="clear" w:color="auto" w:fill="auto"/>
                        <w:vAlign w:val="center"/>
                      </w:tcPr>
                      <w:p w14:paraId="1E558577" w14:textId="77777777" w:rsidR="00471D53" w:rsidRPr="00CD2C3B" w:rsidRDefault="004F686E" w:rsidP="00471D53">
                        <w:pPr>
                          <w:autoSpaceDE w:val="0"/>
                          <w:autoSpaceDN w:val="0"/>
                          <w:adjustRightInd w:val="0"/>
                          <w:rPr>
                            <w:sz w:val="18"/>
                            <w:szCs w:val="18"/>
                          </w:rPr>
                        </w:pPr>
                        <w:r>
                          <w:rPr>
                            <w:sz w:val="18"/>
                            <w:szCs w:val="18"/>
                          </w:rPr>
                          <w:t>其他</w:t>
                        </w:r>
                      </w:p>
                    </w:tc>
                  </w:sdtContent>
                </w:sdt>
                <w:tc>
                  <w:tcPr>
                    <w:tcW w:w="592" w:type="pct"/>
                    <w:shd w:val="clear" w:color="auto" w:fill="auto"/>
                    <w:vAlign w:val="center"/>
                  </w:tcPr>
                  <w:p w14:paraId="7354A771" w14:textId="77777777" w:rsidR="00471D53" w:rsidRPr="00CD2C3B" w:rsidRDefault="00B664AF" w:rsidP="00471D53">
                    <w:pPr>
                      <w:autoSpaceDE w:val="0"/>
                      <w:autoSpaceDN w:val="0"/>
                      <w:adjustRightInd w:val="0"/>
                      <w:jc w:val="right"/>
                      <w:rPr>
                        <w:sz w:val="18"/>
                        <w:szCs w:val="18"/>
                      </w:rPr>
                    </w:pPr>
                  </w:p>
                </w:tc>
                <w:tc>
                  <w:tcPr>
                    <w:tcW w:w="628" w:type="pct"/>
                    <w:shd w:val="clear" w:color="auto" w:fill="auto"/>
                    <w:vAlign w:val="center"/>
                  </w:tcPr>
                  <w:p w14:paraId="11A88221" w14:textId="77777777" w:rsidR="00471D53" w:rsidRPr="00CD2C3B" w:rsidRDefault="00B664AF" w:rsidP="00471D53">
                    <w:pPr>
                      <w:autoSpaceDE w:val="0"/>
                      <w:autoSpaceDN w:val="0"/>
                      <w:adjustRightInd w:val="0"/>
                      <w:jc w:val="right"/>
                      <w:rPr>
                        <w:sz w:val="18"/>
                        <w:szCs w:val="18"/>
                      </w:rPr>
                    </w:pPr>
                  </w:p>
                </w:tc>
                <w:tc>
                  <w:tcPr>
                    <w:tcW w:w="557" w:type="pct"/>
                    <w:shd w:val="clear" w:color="auto" w:fill="auto"/>
                    <w:vAlign w:val="center"/>
                  </w:tcPr>
                  <w:p w14:paraId="0894EB02" w14:textId="77777777" w:rsidR="00471D53" w:rsidRPr="00CD2C3B" w:rsidRDefault="00B664AF" w:rsidP="00471D53">
                    <w:pPr>
                      <w:autoSpaceDE w:val="0"/>
                      <w:autoSpaceDN w:val="0"/>
                      <w:adjustRightInd w:val="0"/>
                      <w:jc w:val="right"/>
                      <w:rPr>
                        <w:sz w:val="18"/>
                        <w:szCs w:val="18"/>
                      </w:rPr>
                    </w:pPr>
                  </w:p>
                </w:tc>
                <w:tc>
                  <w:tcPr>
                    <w:tcW w:w="657" w:type="pct"/>
                    <w:shd w:val="clear" w:color="auto" w:fill="auto"/>
                    <w:vAlign w:val="center"/>
                  </w:tcPr>
                  <w:p w14:paraId="540855FC" w14:textId="77777777" w:rsidR="00471D53" w:rsidRPr="00CD2C3B" w:rsidRDefault="004F686E" w:rsidP="00471D53">
                    <w:pPr>
                      <w:autoSpaceDE w:val="0"/>
                      <w:autoSpaceDN w:val="0"/>
                      <w:adjustRightInd w:val="0"/>
                      <w:jc w:val="right"/>
                      <w:rPr>
                        <w:sz w:val="18"/>
                        <w:szCs w:val="18"/>
                      </w:rPr>
                    </w:pPr>
                    <w:r w:rsidRPr="00CD2C3B">
                      <w:rPr>
                        <w:sz w:val="18"/>
                        <w:szCs w:val="18"/>
                      </w:rPr>
                      <w:t>5,442,594.22</w:t>
                    </w:r>
                  </w:p>
                </w:tc>
                <w:tc>
                  <w:tcPr>
                    <w:tcW w:w="658" w:type="pct"/>
                    <w:shd w:val="clear" w:color="auto" w:fill="auto"/>
                    <w:vAlign w:val="center"/>
                  </w:tcPr>
                  <w:p w14:paraId="5ED78F78" w14:textId="77777777" w:rsidR="00471D53" w:rsidRPr="00CD2C3B" w:rsidRDefault="004F686E" w:rsidP="00471D53">
                    <w:pPr>
                      <w:autoSpaceDE w:val="0"/>
                      <w:autoSpaceDN w:val="0"/>
                      <w:adjustRightInd w:val="0"/>
                      <w:jc w:val="right"/>
                      <w:rPr>
                        <w:sz w:val="18"/>
                        <w:szCs w:val="18"/>
                      </w:rPr>
                    </w:pPr>
                    <w:r w:rsidRPr="00CD2C3B">
                      <w:rPr>
                        <w:sz w:val="18"/>
                        <w:szCs w:val="18"/>
                      </w:rPr>
                      <w:t>-5,442,594.22</w:t>
                    </w:r>
                  </w:p>
                </w:tc>
                <w:tc>
                  <w:tcPr>
                    <w:tcW w:w="658" w:type="pct"/>
                    <w:shd w:val="clear" w:color="auto" w:fill="auto"/>
                    <w:vAlign w:val="center"/>
                  </w:tcPr>
                  <w:p w14:paraId="0EA7D027" w14:textId="77777777" w:rsidR="00471D53" w:rsidRPr="00CD2C3B" w:rsidRDefault="004F686E" w:rsidP="00471D53">
                    <w:pPr>
                      <w:autoSpaceDE w:val="0"/>
                      <w:autoSpaceDN w:val="0"/>
                      <w:adjustRightInd w:val="0"/>
                      <w:jc w:val="right"/>
                      <w:rPr>
                        <w:sz w:val="18"/>
                        <w:szCs w:val="18"/>
                      </w:rPr>
                    </w:pPr>
                    <w:r w:rsidRPr="00CD2C3B">
                      <w:rPr>
                        <w:sz w:val="18"/>
                        <w:szCs w:val="18"/>
                      </w:rPr>
                      <w:t>0.00</w:t>
                    </w:r>
                  </w:p>
                </w:tc>
              </w:tr>
            </w:sdtContent>
          </w:sdt>
          <w:sdt>
            <w:sdtPr>
              <w:rPr>
                <w:sz w:val="18"/>
                <w:szCs w:val="18"/>
              </w:rPr>
              <w:alias w:val="关联债权债务往来"/>
              <w:tag w:val="_TUP_6bcf9c3a79e549839fd3bf2cfdd9967e"/>
              <w:id w:val="-989778588"/>
              <w:lock w:val="sdtLocked"/>
            </w:sdtPr>
            <w:sdtEndPr/>
            <w:sdtContent>
              <w:tr w:rsidR="00471D53" w14:paraId="69E3D276" w14:textId="77777777" w:rsidTr="00471D53">
                <w:tc>
                  <w:tcPr>
                    <w:tcW w:w="790" w:type="pct"/>
                    <w:shd w:val="clear" w:color="auto" w:fill="auto"/>
                    <w:vAlign w:val="center"/>
                  </w:tcPr>
                  <w:p w14:paraId="710A4153" w14:textId="77777777" w:rsidR="00471D53" w:rsidRPr="00CD2C3B" w:rsidRDefault="004F686E" w:rsidP="00471D53">
                    <w:pPr>
                      <w:autoSpaceDE w:val="0"/>
                      <w:autoSpaceDN w:val="0"/>
                      <w:adjustRightInd w:val="0"/>
                      <w:rPr>
                        <w:sz w:val="18"/>
                        <w:szCs w:val="18"/>
                      </w:rPr>
                    </w:pPr>
                    <w:r w:rsidRPr="00CD2C3B">
                      <w:rPr>
                        <w:sz w:val="18"/>
                        <w:szCs w:val="18"/>
                      </w:rPr>
                      <w:t>宽城升华压力容器制造有限公司</w:t>
                    </w:r>
                  </w:p>
                </w:tc>
                <w:sdt>
                  <w:sdtPr>
                    <w:rPr>
                      <w:sz w:val="18"/>
                      <w:szCs w:val="18"/>
                    </w:rPr>
                    <w:alias w:val="关联债权债务往来的关联方关系"/>
                    <w:tag w:val="_GBC_679285fa5ad84826afdcbe28cc1f1421"/>
                    <w:id w:val="-1277014374"/>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460" w:type="pct"/>
                        <w:shd w:val="clear" w:color="auto" w:fill="auto"/>
                        <w:vAlign w:val="center"/>
                      </w:tcPr>
                      <w:p w14:paraId="3178F348" w14:textId="77777777" w:rsidR="00471D53" w:rsidRPr="00CD2C3B" w:rsidRDefault="004F686E" w:rsidP="00471D53">
                        <w:pPr>
                          <w:autoSpaceDE w:val="0"/>
                          <w:autoSpaceDN w:val="0"/>
                          <w:adjustRightInd w:val="0"/>
                          <w:rPr>
                            <w:sz w:val="18"/>
                            <w:szCs w:val="18"/>
                          </w:rPr>
                        </w:pPr>
                        <w:r>
                          <w:rPr>
                            <w:sz w:val="18"/>
                            <w:szCs w:val="18"/>
                          </w:rPr>
                          <w:t>其他</w:t>
                        </w:r>
                      </w:p>
                    </w:tc>
                  </w:sdtContent>
                </w:sdt>
                <w:tc>
                  <w:tcPr>
                    <w:tcW w:w="592" w:type="pct"/>
                    <w:shd w:val="clear" w:color="auto" w:fill="auto"/>
                    <w:vAlign w:val="center"/>
                  </w:tcPr>
                  <w:p w14:paraId="1883F9B5" w14:textId="77777777" w:rsidR="00471D53" w:rsidRPr="00CD2C3B" w:rsidRDefault="00B664AF" w:rsidP="00471D53">
                    <w:pPr>
                      <w:autoSpaceDE w:val="0"/>
                      <w:autoSpaceDN w:val="0"/>
                      <w:adjustRightInd w:val="0"/>
                      <w:jc w:val="right"/>
                      <w:rPr>
                        <w:sz w:val="18"/>
                        <w:szCs w:val="18"/>
                      </w:rPr>
                    </w:pPr>
                  </w:p>
                </w:tc>
                <w:tc>
                  <w:tcPr>
                    <w:tcW w:w="628" w:type="pct"/>
                    <w:shd w:val="clear" w:color="auto" w:fill="auto"/>
                    <w:vAlign w:val="center"/>
                  </w:tcPr>
                  <w:p w14:paraId="1A0F5EC9" w14:textId="77777777" w:rsidR="00471D53" w:rsidRPr="00CD2C3B" w:rsidRDefault="004F686E" w:rsidP="00471D53">
                    <w:pPr>
                      <w:autoSpaceDE w:val="0"/>
                      <w:autoSpaceDN w:val="0"/>
                      <w:adjustRightInd w:val="0"/>
                      <w:jc w:val="right"/>
                      <w:rPr>
                        <w:sz w:val="18"/>
                        <w:szCs w:val="18"/>
                      </w:rPr>
                    </w:pPr>
                    <w:r w:rsidRPr="00CD2C3B">
                      <w:rPr>
                        <w:sz w:val="18"/>
                        <w:szCs w:val="18"/>
                      </w:rPr>
                      <w:t>355,838.00</w:t>
                    </w:r>
                  </w:p>
                </w:tc>
                <w:tc>
                  <w:tcPr>
                    <w:tcW w:w="557" w:type="pct"/>
                    <w:shd w:val="clear" w:color="auto" w:fill="auto"/>
                    <w:vAlign w:val="center"/>
                  </w:tcPr>
                  <w:p w14:paraId="5AB40A2D" w14:textId="77777777" w:rsidR="00471D53" w:rsidRPr="00CD2C3B" w:rsidRDefault="004F686E" w:rsidP="00471D53">
                    <w:pPr>
                      <w:autoSpaceDE w:val="0"/>
                      <w:autoSpaceDN w:val="0"/>
                      <w:adjustRightInd w:val="0"/>
                      <w:jc w:val="right"/>
                      <w:rPr>
                        <w:sz w:val="18"/>
                        <w:szCs w:val="18"/>
                      </w:rPr>
                    </w:pPr>
                    <w:r w:rsidRPr="00CD2C3B">
                      <w:rPr>
                        <w:sz w:val="18"/>
                        <w:szCs w:val="18"/>
                      </w:rPr>
                      <w:t>355,838.00</w:t>
                    </w:r>
                  </w:p>
                </w:tc>
                <w:tc>
                  <w:tcPr>
                    <w:tcW w:w="657" w:type="pct"/>
                    <w:shd w:val="clear" w:color="auto" w:fill="auto"/>
                    <w:vAlign w:val="center"/>
                  </w:tcPr>
                  <w:p w14:paraId="47F7534A" w14:textId="77777777" w:rsidR="00471D53" w:rsidRPr="00CD2C3B" w:rsidRDefault="004F686E" w:rsidP="00471D53">
                    <w:pPr>
                      <w:autoSpaceDE w:val="0"/>
                      <w:autoSpaceDN w:val="0"/>
                      <w:adjustRightInd w:val="0"/>
                      <w:jc w:val="right"/>
                      <w:rPr>
                        <w:sz w:val="18"/>
                        <w:szCs w:val="18"/>
                      </w:rPr>
                    </w:pPr>
                    <w:r w:rsidRPr="00CD2C3B">
                      <w:rPr>
                        <w:sz w:val="18"/>
                        <w:szCs w:val="18"/>
                      </w:rPr>
                      <w:t>428.00</w:t>
                    </w:r>
                  </w:p>
                </w:tc>
                <w:tc>
                  <w:tcPr>
                    <w:tcW w:w="658" w:type="pct"/>
                    <w:shd w:val="clear" w:color="auto" w:fill="auto"/>
                    <w:vAlign w:val="center"/>
                  </w:tcPr>
                  <w:p w14:paraId="764309C8" w14:textId="77777777" w:rsidR="00471D53" w:rsidRPr="00CD2C3B" w:rsidRDefault="004F686E" w:rsidP="00471D53">
                    <w:pPr>
                      <w:autoSpaceDE w:val="0"/>
                      <w:autoSpaceDN w:val="0"/>
                      <w:adjustRightInd w:val="0"/>
                      <w:jc w:val="right"/>
                      <w:rPr>
                        <w:sz w:val="18"/>
                        <w:szCs w:val="18"/>
                      </w:rPr>
                    </w:pPr>
                    <w:r w:rsidRPr="00CD2C3B">
                      <w:rPr>
                        <w:sz w:val="18"/>
                        <w:szCs w:val="18"/>
                      </w:rPr>
                      <w:t>-428.00</w:t>
                    </w:r>
                  </w:p>
                </w:tc>
                <w:tc>
                  <w:tcPr>
                    <w:tcW w:w="658" w:type="pct"/>
                    <w:shd w:val="clear" w:color="auto" w:fill="auto"/>
                    <w:vAlign w:val="center"/>
                  </w:tcPr>
                  <w:p w14:paraId="04DB3DF0" w14:textId="77777777" w:rsidR="00471D53" w:rsidRPr="00CD2C3B" w:rsidRDefault="004F686E" w:rsidP="00471D53">
                    <w:pPr>
                      <w:autoSpaceDE w:val="0"/>
                      <w:autoSpaceDN w:val="0"/>
                      <w:adjustRightInd w:val="0"/>
                      <w:jc w:val="right"/>
                      <w:rPr>
                        <w:sz w:val="18"/>
                        <w:szCs w:val="18"/>
                      </w:rPr>
                    </w:pPr>
                    <w:r w:rsidRPr="00CD2C3B">
                      <w:rPr>
                        <w:sz w:val="18"/>
                        <w:szCs w:val="18"/>
                      </w:rPr>
                      <w:t>0.00</w:t>
                    </w:r>
                  </w:p>
                </w:tc>
              </w:tr>
            </w:sdtContent>
          </w:sdt>
          <w:sdt>
            <w:sdtPr>
              <w:rPr>
                <w:sz w:val="18"/>
                <w:szCs w:val="18"/>
              </w:rPr>
              <w:alias w:val="关联债权债务往来"/>
              <w:tag w:val="_TUP_6bcf9c3a79e549839fd3bf2cfdd9967e"/>
              <w:id w:val="-1993090875"/>
              <w:lock w:val="sdtLocked"/>
            </w:sdtPr>
            <w:sdtEndPr/>
            <w:sdtContent>
              <w:tr w:rsidR="00471D53" w14:paraId="3E709B56" w14:textId="77777777" w:rsidTr="00471D53">
                <w:tc>
                  <w:tcPr>
                    <w:tcW w:w="790" w:type="pct"/>
                    <w:shd w:val="clear" w:color="auto" w:fill="auto"/>
                    <w:vAlign w:val="center"/>
                  </w:tcPr>
                  <w:p w14:paraId="1D562AAE" w14:textId="77777777" w:rsidR="00471D53" w:rsidRPr="00CD2C3B" w:rsidRDefault="004F686E" w:rsidP="00471D53">
                    <w:pPr>
                      <w:autoSpaceDE w:val="0"/>
                      <w:autoSpaceDN w:val="0"/>
                      <w:adjustRightInd w:val="0"/>
                      <w:rPr>
                        <w:sz w:val="18"/>
                        <w:szCs w:val="18"/>
                      </w:rPr>
                    </w:pPr>
                    <w:r w:rsidRPr="00CD2C3B">
                      <w:rPr>
                        <w:sz w:val="18"/>
                        <w:szCs w:val="18"/>
                      </w:rPr>
                      <w:t>天津大无缝投资有限责任公司</w:t>
                    </w:r>
                  </w:p>
                </w:tc>
                <w:sdt>
                  <w:sdtPr>
                    <w:rPr>
                      <w:sz w:val="18"/>
                      <w:szCs w:val="18"/>
                    </w:rPr>
                    <w:alias w:val="关联债权债务往来的关联方关系"/>
                    <w:tag w:val="_GBC_679285fa5ad84826afdcbe28cc1f1421"/>
                    <w:id w:val="-1500181592"/>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460" w:type="pct"/>
                        <w:shd w:val="clear" w:color="auto" w:fill="auto"/>
                        <w:vAlign w:val="center"/>
                      </w:tcPr>
                      <w:p w14:paraId="0DB00C96" w14:textId="77777777" w:rsidR="00471D53" w:rsidRPr="00CD2C3B" w:rsidRDefault="004F686E" w:rsidP="00471D53">
                        <w:pPr>
                          <w:autoSpaceDE w:val="0"/>
                          <w:autoSpaceDN w:val="0"/>
                          <w:adjustRightInd w:val="0"/>
                          <w:rPr>
                            <w:sz w:val="18"/>
                            <w:szCs w:val="18"/>
                          </w:rPr>
                        </w:pPr>
                        <w:r>
                          <w:rPr>
                            <w:sz w:val="18"/>
                            <w:szCs w:val="18"/>
                          </w:rPr>
                          <w:t>其他</w:t>
                        </w:r>
                      </w:p>
                    </w:tc>
                  </w:sdtContent>
                </w:sdt>
                <w:tc>
                  <w:tcPr>
                    <w:tcW w:w="592" w:type="pct"/>
                    <w:shd w:val="clear" w:color="auto" w:fill="auto"/>
                    <w:vAlign w:val="center"/>
                  </w:tcPr>
                  <w:p w14:paraId="35F73195" w14:textId="77777777" w:rsidR="00471D53" w:rsidRPr="00CD2C3B" w:rsidRDefault="00B664AF" w:rsidP="00471D53">
                    <w:pPr>
                      <w:autoSpaceDE w:val="0"/>
                      <w:autoSpaceDN w:val="0"/>
                      <w:adjustRightInd w:val="0"/>
                      <w:jc w:val="right"/>
                      <w:rPr>
                        <w:sz w:val="18"/>
                        <w:szCs w:val="18"/>
                      </w:rPr>
                    </w:pPr>
                  </w:p>
                </w:tc>
                <w:tc>
                  <w:tcPr>
                    <w:tcW w:w="628" w:type="pct"/>
                    <w:shd w:val="clear" w:color="auto" w:fill="auto"/>
                    <w:vAlign w:val="center"/>
                  </w:tcPr>
                  <w:p w14:paraId="6735F592" w14:textId="77777777" w:rsidR="00471D53" w:rsidRPr="00CD2C3B" w:rsidRDefault="00B664AF" w:rsidP="00471D53">
                    <w:pPr>
                      <w:autoSpaceDE w:val="0"/>
                      <w:autoSpaceDN w:val="0"/>
                      <w:adjustRightInd w:val="0"/>
                      <w:jc w:val="right"/>
                      <w:rPr>
                        <w:sz w:val="18"/>
                        <w:szCs w:val="18"/>
                      </w:rPr>
                    </w:pPr>
                  </w:p>
                </w:tc>
                <w:tc>
                  <w:tcPr>
                    <w:tcW w:w="557" w:type="pct"/>
                    <w:shd w:val="clear" w:color="auto" w:fill="auto"/>
                    <w:vAlign w:val="center"/>
                  </w:tcPr>
                  <w:p w14:paraId="1C1AD714" w14:textId="77777777" w:rsidR="00471D53" w:rsidRPr="00CD2C3B" w:rsidRDefault="00B664AF" w:rsidP="00471D53">
                    <w:pPr>
                      <w:autoSpaceDE w:val="0"/>
                      <w:autoSpaceDN w:val="0"/>
                      <w:adjustRightInd w:val="0"/>
                      <w:jc w:val="right"/>
                      <w:rPr>
                        <w:sz w:val="18"/>
                        <w:szCs w:val="18"/>
                      </w:rPr>
                    </w:pPr>
                  </w:p>
                </w:tc>
                <w:tc>
                  <w:tcPr>
                    <w:tcW w:w="657" w:type="pct"/>
                    <w:shd w:val="clear" w:color="auto" w:fill="auto"/>
                    <w:vAlign w:val="center"/>
                  </w:tcPr>
                  <w:p w14:paraId="4CB9E977" w14:textId="77777777" w:rsidR="00471D53" w:rsidRPr="00CD2C3B" w:rsidRDefault="004F686E" w:rsidP="00471D53">
                    <w:pPr>
                      <w:autoSpaceDE w:val="0"/>
                      <w:autoSpaceDN w:val="0"/>
                      <w:adjustRightInd w:val="0"/>
                      <w:jc w:val="right"/>
                      <w:rPr>
                        <w:sz w:val="18"/>
                        <w:szCs w:val="18"/>
                      </w:rPr>
                    </w:pPr>
                    <w:r w:rsidRPr="00CD2C3B">
                      <w:rPr>
                        <w:sz w:val="18"/>
                        <w:szCs w:val="18"/>
                      </w:rPr>
                      <w:t>4,294,369.42</w:t>
                    </w:r>
                  </w:p>
                </w:tc>
                <w:tc>
                  <w:tcPr>
                    <w:tcW w:w="658" w:type="pct"/>
                    <w:shd w:val="clear" w:color="auto" w:fill="auto"/>
                    <w:vAlign w:val="center"/>
                  </w:tcPr>
                  <w:p w14:paraId="133E53D9" w14:textId="77777777" w:rsidR="00471D53" w:rsidRPr="00CD2C3B" w:rsidRDefault="004F686E" w:rsidP="00471D53">
                    <w:pPr>
                      <w:autoSpaceDE w:val="0"/>
                      <w:autoSpaceDN w:val="0"/>
                      <w:adjustRightInd w:val="0"/>
                      <w:jc w:val="right"/>
                      <w:rPr>
                        <w:sz w:val="18"/>
                        <w:szCs w:val="18"/>
                      </w:rPr>
                    </w:pPr>
                    <w:r w:rsidRPr="00CD2C3B">
                      <w:rPr>
                        <w:sz w:val="18"/>
                        <w:szCs w:val="18"/>
                      </w:rPr>
                      <w:t>1,546,698.85</w:t>
                    </w:r>
                  </w:p>
                </w:tc>
                <w:tc>
                  <w:tcPr>
                    <w:tcW w:w="658" w:type="pct"/>
                    <w:shd w:val="clear" w:color="auto" w:fill="auto"/>
                    <w:vAlign w:val="center"/>
                  </w:tcPr>
                  <w:p w14:paraId="59236899" w14:textId="77777777" w:rsidR="00471D53" w:rsidRPr="00CD2C3B" w:rsidRDefault="004F686E" w:rsidP="00471D53">
                    <w:pPr>
                      <w:autoSpaceDE w:val="0"/>
                      <w:autoSpaceDN w:val="0"/>
                      <w:adjustRightInd w:val="0"/>
                      <w:jc w:val="right"/>
                      <w:rPr>
                        <w:sz w:val="18"/>
                        <w:szCs w:val="18"/>
                      </w:rPr>
                    </w:pPr>
                    <w:r w:rsidRPr="00CD2C3B">
                      <w:rPr>
                        <w:sz w:val="18"/>
                        <w:szCs w:val="18"/>
                      </w:rPr>
                      <w:t>5,841,068.27</w:t>
                    </w:r>
                  </w:p>
                </w:tc>
              </w:tr>
            </w:sdtContent>
          </w:sdt>
          <w:sdt>
            <w:sdtPr>
              <w:rPr>
                <w:sz w:val="18"/>
                <w:szCs w:val="18"/>
              </w:rPr>
              <w:alias w:val="关联债权债务往来"/>
              <w:tag w:val="_TUP_6bcf9c3a79e549839fd3bf2cfdd9967e"/>
              <w:id w:val="-1992248115"/>
              <w:lock w:val="sdtLocked"/>
            </w:sdtPr>
            <w:sdtEndPr/>
            <w:sdtContent>
              <w:tr w:rsidR="00471D53" w14:paraId="72209E52" w14:textId="77777777" w:rsidTr="00471D53">
                <w:tc>
                  <w:tcPr>
                    <w:tcW w:w="790" w:type="pct"/>
                    <w:shd w:val="clear" w:color="auto" w:fill="auto"/>
                    <w:vAlign w:val="center"/>
                  </w:tcPr>
                  <w:p w14:paraId="50D638F3" w14:textId="77777777" w:rsidR="00471D53" w:rsidRPr="00CD2C3B" w:rsidRDefault="004F686E" w:rsidP="00471D53">
                    <w:pPr>
                      <w:autoSpaceDE w:val="0"/>
                      <w:autoSpaceDN w:val="0"/>
                      <w:adjustRightInd w:val="0"/>
                      <w:rPr>
                        <w:sz w:val="18"/>
                        <w:szCs w:val="18"/>
                      </w:rPr>
                    </w:pPr>
                    <w:r w:rsidRPr="00CD2C3B">
                      <w:rPr>
                        <w:sz w:val="18"/>
                        <w:szCs w:val="18"/>
                      </w:rPr>
                      <w:t>北清智创（北京）新能源汽车科技有限公司</w:t>
                    </w:r>
                  </w:p>
                </w:tc>
                <w:sdt>
                  <w:sdtPr>
                    <w:rPr>
                      <w:sz w:val="18"/>
                      <w:szCs w:val="18"/>
                    </w:rPr>
                    <w:alias w:val="关联债权债务往来的关联方关系"/>
                    <w:tag w:val="_GBC_679285fa5ad84826afdcbe28cc1f1421"/>
                    <w:id w:val="1494763414"/>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460" w:type="pct"/>
                        <w:shd w:val="clear" w:color="auto" w:fill="auto"/>
                        <w:vAlign w:val="center"/>
                      </w:tcPr>
                      <w:p w14:paraId="4553A90B" w14:textId="77777777" w:rsidR="00471D53" w:rsidRPr="00CD2C3B" w:rsidRDefault="004F686E" w:rsidP="00471D53">
                        <w:pPr>
                          <w:autoSpaceDE w:val="0"/>
                          <w:autoSpaceDN w:val="0"/>
                          <w:adjustRightInd w:val="0"/>
                          <w:rPr>
                            <w:sz w:val="18"/>
                            <w:szCs w:val="18"/>
                          </w:rPr>
                        </w:pPr>
                        <w:r>
                          <w:rPr>
                            <w:sz w:val="18"/>
                            <w:szCs w:val="18"/>
                          </w:rPr>
                          <w:t>联营公司</w:t>
                        </w:r>
                      </w:p>
                    </w:tc>
                  </w:sdtContent>
                </w:sdt>
                <w:tc>
                  <w:tcPr>
                    <w:tcW w:w="592" w:type="pct"/>
                    <w:shd w:val="clear" w:color="auto" w:fill="auto"/>
                    <w:vAlign w:val="center"/>
                  </w:tcPr>
                  <w:p w14:paraId="59498E37" w14:textId="77777777" w:rsidR="00471D53" w:rsidRPr="00CD2C3B" w:rsidRDefault="00B664AF" w:rsidP="00471D53">
                    <w:pPr>
                      <w:autoSpaceDE w:val="0"/>
                      <w:autoSpaceDN w:val="0"/>
                      <w:adjustRightInd w:val="0"/>
                      <w:jc w:val="right"/>
                      <w:rPr>
                        <w:sz w:val="18"/>
                        <w:szCs w:val="18"/>
                      </w:rPr>
                    </w:pPr>
                  </w:p>
                </w:tc>
                <w:tc>
                  <w:tcPr>
                    <w:tcW w:w="628" w:type="pct"/>
                    <w:shd w:val="clear" w:color="auto" w:fill="auto"/>
                    <w:vAlign w:val="center"/>
                  </w:tcPr>
                  <w:p w14:paraId="75E1CC3D" w14:textId="77777777" w:rsidR="00471D53" w:rsidRPr="00CD2C3B" w:rsidRDefault="00B664AF" w:rsidP="00471D53">
                    <w:pPr>
                      <w:autoSpaceDE w:val="0"/>
                      <w:autoSpaceDN w:val="0"/>
                      <w:adjustRightInd w:val="0"/>
                      <w:jc w:val="right"/>
                      <w:rPr>
                        <w:sz w:val="18"/>
                        <w:szCs w:val="18"/>
                      </w:rPr>
                    </w:pPr>
                  </w:p>
                </w:tc>
                <w:tc>
                  <w:tcPr>
                    <w:tcW w:w="557" w:type="pct"/>
                    <w:shd w:val="clear" w:color="auto" w:fill="auto"/>
                    <w:vAlign w:val="center"/>
                  </w:tcPr>
                  <w:p w14:paraId="72652E74" w14:textId="77777777" w:rsidR="00471D53" w:rsidRPr="00CD2C3B" w:rsidRDefault="00B664AF" w:rsidP="00471D53">
                    <w:pPr>
                      <w:autoSpaceDE w:val="0"/>
                      <w:autoSpaceDN w:val="0"/>
                      <w:adjustRightInd w:val="0"/>
                      <w:jc w:val="right"/>
                      <w:rPr>
                        <w:sz w:val="18"/>
                        <w:szCs w:val="18"/>
                      </w:rPr>
                    </w:pPr>
                  </w:p>
                </w:tc>
                <w:tc>
                  <w:tcPr>
                    <w:tcW w:w="657" w:type="pct"/>
                    <w:shd w:val="clear" w:color="auto" w:fill="auto"/>
                    <w:vAlign w:val="center"/>
                  </w:tcPr>
                  <w:p w14:paraId="2EB4005E" w14:textId="77777777" w:rsidR="00471D53" w:rsidRPr="00CD2C3B" w:rsidRDefault="004F686E" w:rsidP="00471D53">
                    <w:pPr>
                      <w:autoSpaceDE w:val="0"/>
                      <w:autoSpaceDN w:val="0"/>
                      <w:adjustRightInd w:val="0"/>
                      <w:jc w:val="right"/>
                      <w:rPr>
                        <w:sz w:val="18"/>
                        <w:szCs w:val="18"/>
                      </w:rPr>
                    </w:pPr>
                    <w:r w:rsidRPr="00CD2C3B">
                      <w:rPr>
                        <w:sz w:val="18"/>
                        <w:szCs w:val="18"/>
                      </w:rPr>
                      <w:t>10,000,000.00</w:t>
                    </w:r>
                  </w:p>
                </w:tc>
                <w:tc>
                  <w:tcPr>
                    <w:tcW w:w="658" w:type="pct"/>
                    <w:shd w:val="clear" w:color="auto" w:fill="auto"/>
                    <w:vAlign w:val="center"/>
                  </w:tcPr>
                  <w:p w14:paraId="4A7EE319" w14:textId="77777777" w:rsidR="00471D53" w:rsidRPr="00CD2C3B" w:rsidRDefault="004F686E" w:rsidP="00471D53">
                    <w:pPr>
                      <w:autoSpaceDE w:val="0"/>
                      <w:autoSpaceDN w:val="0"/>
                      <w:adjustRightInd w:val="0"/>
                      <w:jc w:val="right"/>
                      <w:rPr>
                        <w:sz w:val="18"/>
                        <w:szCs w:val="18"/>
                      </w:rPr>
                    </w:pPr>
                    <w:r w:rsidRPr="00CD2C3B">
                      <w:rPr>
                        <w:sz w:val="18"/>
                        <w:szCs w:val="18"/>
                      </w:rPr>
                      <w:t>-3,000,000.00</w:t>
                    </w:r>
                  </w:p>
                </w:tc>
                <w:tc>
                  <w:tcPr>
                    <w:tcW w:w="658" w:type="pct"/>
                    <w:shd w:val="clear" w:color="auto" w:fill="auto"/>
                    <w:vAlign w:val="center"/>
                  </w:tcPr>
                  <w:p w14:paraId="00DB24D5" w14:textId="77777777" w:rsidR="00471D53" w:rsidRPr="00CD2C3B" w:rsidRDefault="004F686E" w:rsidP="00471D53">
                    <w:pPr>
                      <w:autoSpaceDE w:val="0"/>
                      <w:autoSpaceDN w:val="0"/>
                      <w:adjustRightInd w:val="0"/>
                      <w:jc w:val="right"/>
                      <w:rPr>
                        <w:sz w:val="18"/>
                        <w:szCs w:val="18"/>
                      </w:rPr>
                    </w:pPr>
                    <w:r w:rsidRPr="00CD2C3B">
                      <w:rPr>
                        <w:sz w:val="18"/>
                        <w:szCs w:val="18"/>
                      </w:rPr>
                      <w:t>7,000,000.00</w:t>
                    </w:r>
                  </w:p>
                </w:tc>
              </w:tr>
            </w:sdtContent>
          </w:sdt>
          <w:tr w:rsidR="00471D53" w14:paraId="1238B7A6" w14:textId="77777777" w:rsidTr="00471D53">
            <w:sdt>
              <w:sdtPr>
                <w:rPr>
                  <w:rFonts w:ascii="宋体" w:hAnsi="宋体"/>
                </w:rPr>
                <w:tag w:val="_PLD_4e6e1213c0fd4d7ea9bcbd8c87bfc6f1"/>
                <w:id w:val="-2043344605"/>
                <w:lock w:val="sdtLocked"/>
              </w:sdtPr>
              <w:sdtEndPr/>
              <w:sdtContent>
                <w:tc>
                  <w:tcPr>
                    <w:tcW w:w="1250" w:type="pct"/>
                    <w:gridSpan w:val="2"/>
                    <w:shd w:val="clear" w:color="auto" w:fill="auto"/>
                    <w:vAlign w:val="center"/>
                  </w:tcPr>
                  <w:p w14:paraId="4519A667" w14:textId="77777777" w:rsidR="00471D53" w:rsidRDefault="004F686E" w:rsidP="00471D53">
                    <w:pPr>
                      <w:pStyle w:val="afff0"/>
                      <w:autoSpaceDE w:val="0"/>
                      <w:autoSpaceDN w:val="0"/>
                      <w:adjustRightInd w:val="0"/>
                      <w:jc w:val="center"/>
                      <w:rPr>
                        <w:rFonts w:ascii="宋体" w:hAnsi="宋体"/>
                      </w:rPr>
                    </w:pPr>
                    <w:r>
                      <w:rPr>
                        <w:rFonts w:ascii="宋体" w:hAnsi="宋体" w:hint="eastAsia"/>
                      </w:rPr>
                      <w:t>合计</w:t>
                    </w:r>
                  </w:p>
                </w:tc>
              </w:sdtContent>
            </w:sdt>
            <w:tc>
              <w:tcPr>
                <w:tcW w:w="592" w:type="pct"/>
                <w:tcBorders>
                  <w:bottom w:val="nil"/>
                </w:tcBorders>
                <w:shd w:val="clear" w:color="auto" w:fill="auto"/>
                <w:vAlign w:val="bottom"/>
              </w:tcPr>
              <w:p w14:paraId="12A95424" w14:textId="77777777" w:rsidR="00471D53" w:rsidRPr="0002527B" w:rsidRDefault="004F686E" w:rsidP="00471D53">
                <w:pPr>
                  <w:jc w:val="center"/>
                  <w:rPr>
                    <w:rFonts w:asciiTheme="minorEastAsia" w:eastAsiaTheme="minorEastAsia" w:hAnsiTheme="minorEastAsia" w:cs="Times New Roman"/>
                    <w:sz w:val="18"/>
                    <w:szCs w:val="18"/>
                  </w:rPr>
                </w:pPr>
                <w:r w:rsidRPr="0002527B">
                  <w:rPr>
                    <w:rFonts w:asciiTheme="minorEastAsia" w:eastAsiaTheme="minorEastAsia" w:hAnsiTheme="minorEastAsia" w:cs="Times New Roman"/>
                    <w:sz w:val="18"/>
                    <w:szCs w:val="18"/>
                  </w:rPr>
                  <w:t>8,648,567.36</w:t>
                </w:r>
              </w:p>
            </w:tc>
            <w:tc>
              <w:tcPr>
                <w:tcW w:w="628" w:type="pct"/>
                <w:tcBorders>
                  <w:bottom w:val="nil"/>
                </w:tcBorders>
                <w:shd w:val="clear" w:color="auto" w:fill="auto"/>
                <w:vAlign w:val="bottom"/>
              </w:tcPr>
              <w:p w14:paraId="050D9909" w14:textId="77777777" w:rsidR="00471D53" w:rsidRPr="0002527B" w:rsidRDefault="004F686E" w:rsidP="00471D53">
                <w:pPr>
                  <w:jc w:val="center"/>
                  <w:rPr>
                    <w:rFonts w:asciiTheme="minorEastAsia" w:eastAsiaTheme="minorEastAsia" w:hAnsiTheme="minorEastAsia" w:cs="Times New Roman"/>
                    <w:sz w:val="18"/>
                    <w:szCs w:val="18"/>
                  </w:rPr>
                </w:pPr>
                <w:r w:rsidRPr="0002527B">
                  <w:rPr>
                    <w:rFonts w:asciiTheme="minorEastAsia" w:eastAsiaTheme="minorEastAsia" w:hAnsiTheme="minorEastAsia" w:cs="Times New Roman"/>
                    <w:sz w:val="18"/>
                    <w:szCs w:val="18"/>
                  </w:rPr>
                  <w:t>-</w:t>
                </w:r>
                <w:r w:rsidRPr="0002527B">
                  <w:rPr>
                    <w:rFonts w:asciiTheme="minorEastAsia" w:eastAsiaTheme="minorEastAsia" w:hAnsiTheme="minorEastAsia"/>
                    <w:sz w:val="18"/>
                    <w:szCs w:val="18"/>
                  </w:rPr>
                  <w:t>335</w:t>
                </w:r>
                <w:r w:rsidRPr="0002527B">
                  <w:rPr>
                    <w:rFonts w:asciiTheme="minorEastAsia" w:eastAsiaTheme="minorEastAsia" w:hAnsiTheme="minorEastAsia" w:cs="Times New Roman"/>
                    <w:sz w:val="18"/>
                    <w:szCs w:val="18"/>
                  </w:rPr>
                  <w:t>,760.71</w:t>
                </w:r>
              </w:p>
            </w:tc>
            <w:tc>
              <w:tcPr>
                <w:tcW w:w="557" w:type="pct"/>
                <w:tcBorders>
                  <w:bottom w:val="nil"/>
                </w:tcBorders>
                <w:shd w:val="clear" w:color="auto" w:fill="auto"/>
                <w:vAlign w:val="bottom"/>
              </w:tcPr>
              <w:p w14:paraId="75B4AB55" w14:textId="77777777" w:rsidR="00471D53" w:rsidRPr="0002527B" w:rsidRDefault="004F686E" w:rsidP="00471D53">
                <w:pPr>
                  <w:jc w:val="center"/>
                  <w:rPr>
                    <w:rFonts w:asciiTheme="minorEastAsia" w:eastAsiaTheme="minorEastAsia" w:hAnsiTheme="minorEastAsia" w:cs="Times New Roman"/>
                    <w:sz w:val="18"/>
                    <w:szCs w:val="18"/>
                  </w:rPr>
                </w:pPr>
                <w:r w:rsidRPr="0002527B">
                  <w:rPr>
                    <w:rFonts w:asciiTheme="minorEastAsia" w:eastAsiaTheme="minorEastAsia" w:hAnsiTheme="minorEastAsia" w:cs="Times New Roman"/>
                    <w:sz w:val="18"/>
                    <w:szCs w:val="18"/>
                  </w:rPr>
                  <w:t>8,312,806.65</w:t>
                </w:r>
              </w:p>
            </w:tc>
            <w:tc>
              <w:tcPr>
                <w:tcW w:w="657" w:type="pct"/>
                <w:tcBorders>
                  <w:bottom w:val="nil"/>
                </w:tcBorders>
                <w:shd w:val="clear" w:color="auto" w:fill="auto"/>
                <w:vAlign w:val="bottom"/>
              </w:tcPr>
              <w:p w14:paraId="2F1DDD82" w14:textId="77777777" w:rsidR="00471D53" w:rsidRPr="0002527B" w:rsidRDefault="004F686E" w:rsidP="00471D53">
                <w:pPr>
                  <w:jc w:val="center"/>
                  <w:rPr>
                    <w:rFonts w:asciiTheme="minorEastAsia" w:eastAsiaTheme="minorEastAsia" w:hAnsiTheme="minorEastAsia" w:cs="Times New Roman"/>
                    <w:sz w:val="18"/>
                    <w:szCs w:val="18"/>
                  </w:rPr>
                </w:pPr>
                <w:r w:rsidRPr="0002527B">
                  <w:rPr>
                    <w:rFonts w:asciiTheme="minorEastAsia" w:eastAsiaTheme="minorEastAsia" w:hAnsiTheme="minorEastAsia" w:cs="Times New Roman"/>
                    <w:sz w:val="18"/>
                    <w:szCs w:val="18"/>
                  </w:rPr>
                  <w:t>47,134,511.43</w:t>
                </w:r>
              </w:p>
            </w:tc>
            <w:tc>
              <w:tcPr>
                <w:tcW w:w="658" w:type="pct"/>
                <w:tcBorders>
                  <w:bottom w:val="nil"/>
                </w:tcBorders>
                <w:shd w:val="clear" w:color="auto" w:fill="auto"/>
                <w:vAlign w:val="bottom"/>
              </w:tcPr>
              <w:p w14:paraId="27C780FF" w14:textId="77777777" w:rsidR="00471D53" w:rsidRPr="0002527B" w:rsidRDefault="004F686E" w:rsidP="00471D53">
                <w:pPr>
                  <w:jc w:val="center"/>
                  <w:rPr>
                    <w:rFonts w:asciiTheme="minorEastAsia" w:eastAsiaTheme="minorEastAsia" w:hAnsiTheme="minorEastAsia" w:cs="Times New Roman"/>
                    <w:sz w:val="18"/>
                    <w:szCs w:val="18"/>
                  </w:rPr>
                </w:pPr>
                <w:r w:rsidRPr="0002527B">
                  <w:rPr>
                    <w:rFonts w:asciiTheme="minorEastAsia" w:eastAsiaTheme="minorEastAsia" w:hAnsiTheme="minorEastAsia" w:cs="Times New Roman"/>
                    <w:sz w:val="18"/>
                    <w:szCs w:val="18"/>
                  </w:rPr>
                  <w:t>-27,807,500.41</w:t>
                </w:r>
              </w:p>
            </w:tc>
            <w:tc>
              <w:tcPr>
                <w:tcW w:w="658" w:type="pct"/>
                <w:tcBorders>
                  <w:bottom w:val="nil"/>
                </w:tcBorders>
                <w:shd w:val="clear" w:color="auto" w:fill="auto"/>
                <w:vAlign w:val="bottom"/>
              </w:tcPr>
              <w:p w14:paraId="2BAC7607" w14:textId="77777777" w:rsidR="00471D53" w:rsidRPr="0002527B" w:rsidRDefault="004F686E" w:rsidP="00471D53">
                <w:pPr>
                  <w:jc w:val="center"/>
                  <w:rPr>
                    <w:rFonts w:asciiTheme="minorEastAsia" w:eastAsiaTheme="minorEastAsia" w:hAnsiTheme="minorEastAsia" w:cs="Times New Roman"/>
                    <w:sz w:val="18"/>
                    <w:szCs w:val="18"/>
                  </w:rPr>
                </w:pPr>
                <w:r w:rsidRPr="0002527B">
                  <w:rPr>
                    <w:rFonts w:asciiTheme="minorEastAsia" w:eastAsiaTheme="minorEastAsia" w:hAnsiTheme="minorEastAsia" w:cs="Times New Roman"/>
                    <w:sz w:val="18"/>
                    <w:szCs w:val="18"/>
                  </w:rPr>
                  <w:t>19,327,011.02</w:t>
                </w:r>
              </w:p>
            </w:tc>
          </w:tr>
          <w:tr w:rsidR="00471D53" w14:paraId="34D54DA3" w14:textId="77777777" w:rsidTr="00471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_PLD_0ae9b8c1a1764adf98d6d650be3ad229"/>
                <w:id w:val="-572590595"/>
                <w:lock w:val="sdtLocked"/>
              </w:sdtPr>
              <w:sdtEndPr/>
              <w:sdtContent>
                <w:tc>
                  <w:tcPr>
                    <w:tcW w:w="125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EA0B43" w14:textId="77777777" w:rsidR="00471D53" w:rsidRDefault="004F686E" w:rsidP="00471D53">
                    <w:pPr>
                      <w:autoSpaceDE w:val="0"/>
                      <w:autoSpaceDN w:val="0"/>
                      <w:adjustRightInd w:val="0"/>
                      <w:rPr>
                        <w:szCs w:val="21"/>
                      </w:rPr>
                    </w:pPr>
                    <w:r>
                      <w:rPr>
                        <w:rFonts w:hint="eastAsia"/>
                        <w:szCs w:val="21"/>
                      </w:rPr>
                      <w:t>关联债权债务形成原因</w:t>
                    </w:r>
                  </w:p>
                </w:tc>
              </w:sdtContent>
            </w:sdt>
            <w:tc>
              <w:tcPr>
                <w:tcW w:w="375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E210BFA" w14:textId="77777777" w:rsidR="00471D53" w:rsidRDefault="004F686E" w:rsidP="00471D53">
                <w:r>
                  <w:rPr>
                    <w:rFonts w:hint="eastAsia"/>
                  </w:rPr>
                  <w:t>正常经营</w:t>
                </w:r>
              </w:p>
            </w:tc>
          </w:tr>
          <w:tr w:rsidR="00471D53" w14:paraId="34F895C5" w14:textId="77777777" w:rsidTr="00471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_PLD_824080e643bb4ac580353d38c3323862"/>
                <w:id w:val="1522196181"/>
                <w:lock w:val="sdtLocked"/>
              </w:sdtPr>
              <w:sdtEndPr/>
              <w:sdtContent>
                <w:tc>
                  <w:tcPr>
                    <w:tcW w:w="125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103B8E" w14:textId="77777777" w:rsidR="00471D53" w:rsidRDefault="004F686E" w:rsidP="00471D53">
                    <w:pPr>
                      <w:autoSpaceDE w:val="0"/>
                      <w:autoSpaceDN w:val="0"/>
                      <w:adjustRightInd w:val="0"/>
                      <w:rPr>
                        <w:szCs w:val="21"/>
                      </w:rPr>
                    </w:pPr>
                    <w:r>
                      <w:rPr>
                        <w:rFonts w:hint="eastAsia"/>
                        <w:szCs w:val="21"/>
                      </w:rPr>
                      <w:t>关联债权债务对公司经营成果及财务状况的影响</w:t>
                    </w:r>
                  </w:p>
                </w:tc>
              </w:sdtContent>
            </w:sdt>
            <w:tc>
              <w:tcPr>
                <w:tcW w:w="375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4365F74" w14:textId="77777777" w:rsidR="00471D53" w:rsidRDefault="004F686E" w:rsidP="00471D53">
                <w:r>
                  <w:rPr>
                    <w:rFonts w:hint="eastAsia"/>
                  </w:rPr>
                  <w:t>无</w:t>
                </w:r>
              </w:p>
            </w:tc>
          </w:tr>
        </w:tbl>
        <w:p w14:paraId="0B1F4F16" w14:textId="77777777" w:rsidR="00471D53" w:rsidRDefault="00B664AF">
          <w:pPr>
            <w:rPr>
              <w:szCs w:val="21"/>
            </w:rPr>
          </w:pPr>
        </w:p>
      </w:sdtContent>
    </w:sdt>
    <w:p w14:paraId="21C5C7D8" w14:textId="77777777" w:rsidR="007F1C2B" w:rsidRDefault="004F686E" w:rsidP="004F686E">
      <w:pPr>
        <w:pStyle w:val="3"/>
        <w:numPr>
          <w:ilvl w:val="2"/>
          <w:numId w:val="23"/>
        </w:numPr>
        <w:rPr>
          <w:rFonts w:ascii="宋体" w:hAnsi="宋体"/>
        </w:rPr>
      </w:pPr>
      <w:r>
        <w:rPr>
          <w:rFonts w:ascii="宋体" w:hAnsi="宋体"/>
        </w:rPr>
        <w:t>公司与存在关联关系的财务公司、公司控股财务公司与关联方之间的金融业务</w:t>
      </w:r>
    </w:p>
    <w:sdt>
      <w:sdtPr>
        <w:alias w:val="是否适用：公司与存在关联关系的财务公司、公司控股财务公司与关联方之间的金融业务 [双击切换]"/>
        <w:tag w:val="_GBC_918ef76103ad41b4a79075b59fdb8bf4"/>
        <w:id w:val="-361133472"/>
        <w:lock w:val="sdtLocked"/>
        <w:placeholder>
          <w:docPart w:val="GBC22222222222222222222222222222"/>
        </w:placeholder>
      </w:sdtPr>
      <w:sdtEndPr/>
      <w:sdtContent>
        <w:p w14:paraId="3B907380" w14:textId="7F91B0EB" w:rsidR="00C101E7" w:rsidRDefault="004F686E" w:rsidP="00C101E7">
          <w:pPr>
            <w:rPr>
              <w:color w:val="000000" w:themeColor="text1"/>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5F6824F" w14:textId="4475F9B4" w:rsidR="007F1C2B" w:rsidRDefault="00B664AF">
      <w:pPr>
        <w:rPr>
          <w:color w:val="000000" w:themeColor="text1"/>
          <w:szCs w:val="21"/>
        </w:rPr>
      </w:pPr>
    </w:p>
    <w:sdt>
      <w:sdtPr>
        <w:rPr>
          <w:rFonts w:ascii="宋体" w:hAnsi="宋体" w:cs="宋体" w:hint="eastAsia"/>
          <w:b w:val="0"/>
          <w:bCs w:val="0"/>
          <w:kern w:val="0"/>
          <w:szCs w:val="24"/>
        </w:rPr>
        <w:alias w:val="模块:(五) 其他重大关联交易"/>
        <w:tag w:val="_SEC_d0d528034450466db3d12315559a161a"/>
        <w:id w:val="-1074966132"/>
        <w:lock w:val="sdtLocked"/>
        <w:placeholder>
          <w:docPart w:val="GBC22222222222222222222222222222"/>
        </w:placeholder>
      </w:sdtPr>
      <w:sdtEndPr>
        <w:rPr>
          <w:rFonts w:hint="default"/>
          <w:szCs w:val="21"/>
        </w:rPr>
      </w:sdtEndPr>
      <w:sdtContent>
        <w:p w14:paraId="27F80124" w14:textId="77777777" w:rsidR="007F1C2B" w:rsidRDefault="004F686E" w:rsidP="004F686E">
          <w:pPr>
            <w:pStyle w:val="3"/>
            <w:numPr>
              <w:ilvl w:val="2"/>
              <w:numId w:val="23"/>
            </w:numPr>
            <w:rPr>
              <w:rFonts w:ascii="宋体" w:hAnsi="宋体"/>
            </w:rPr>
          </w:pPr>
          <w:r>
            <w:rPr>
              <w:rFonts w:ascii="宋体" w:hAnsi="宋体" w:hint="eastAsia"/>
            </w:rPr>
            <w:t>其</w:t>
          </w:r>
          <w:r w:rsidRPr="00BE411E">
            <w:rPr>
              <w:rFonts w:ascii="宋体" w:hAnsi="宋体" w:hint="eastAsia"/>
            </w:rPr>
            <w:t>他重大关联交易</w:t>
          </w:r>
        </w:p>
        <w:sdt>
          <w:sdtPr>
            <w:rPr>
              <w:rFonts w:hint="eastAsia"/>
              <w:szCs w:val="21"/>
            </w:rPr>
            <w:alias w:val="是否适用：重大关联交易其他说明[双击切换]"/>
            <w:tag w:val="_GBC_7dd39ac420a244dcb8ea88c29ac07190"/>
            <w:id w:val="-260368579"/>
            <w:lock w:val="sdtLocked"/>
            <w:placeholder>
              <w:docPart w:val="GBC22222222222222222222222222222"/>
            </w:placeholder>
          </w:sdtPr>
          <w:sdtEndPr/>
          <w:sdtContent>
            <w:p w14:paraId="5F8E7723" w14:textId="0E7F2CA5" w:rsidR="007F1C2B" w:rsidRDefault="004F686E" w:rsidP="009E3055">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14:paraId="777D5CB1" w14:textId="77777777" w:rsidR="007F1C2B" w:rsidRDefault="00B664AF"/>
    <w:sdt>
      <w:sdtPr>
        <w:rPr>
          <w:rFonts w:ascii="宋体" w:hAnsi="宋体" w:cs="宋体" w:hint="eastAsia"/>
          <w:b w:val="0"/>
          <w:bCs w:val="0"/>
          <w:kern w:val="0"/>
          <w:szCs w:val="24"/>
        </w:rPr>
        <w:alias w:val="模块:其他"/>
        <w:tag w:val="_SEC_94b5dc0c50e04cae8442e9675bd15742"/>
        <w:id w:val="804359754"/>
        <w:lock w:val="sdtLocked"/>
        <w:placeholder>
          <w:docPart w:val="GBC22222222222222222222222222222"/>
        </w:placeholder>
      </w:sdtPr>
      <w:sdtEndPr/>
      <w:sdtContent>
        <w:p w14:paraId="1F59F07B" w14:textId="77777777" w:rsidR="007F1C2B" w:rsidRDefault="004F686E" w:rsidP="004F686E">
          <w:pPr>
            <w:pStyle w:val="3"/>
            <w:numPr>
              <w:ilvl w:val="2"/>
              <w:numId w:val="23"/>
            </w:numPr>
            <w:rPr>
              <w:rFonts w:ascii="宋体" w:hAnsi="宋体"/>
            </w:rPr>
          </w:pPr>
          <w:r>
            <w:rPr>
              <w:rFonts w:ascii="宋体" w:hAnsi="宋体" w:hint="eastAsia"/>
            </w:rPr>
            <w:t>其他</w:t>
          </w:r>
        </w:p>
        <w:sdt>
          <w:sdtPr>
            <w:rPr>
              <w:rFonts w:hint="eastAsia"/>
            </w:rPr>
            <w:alias w:val="是否适用：重大关联交易事项其他补充说明[双击切换]"/>
            <w:tag w:val="_GBC_272061194cde466a9c566f0881c76d0d"/>
            <w:id w:val="-1063487612"/>
            <w:lock w:val="sdtLocked"/>
            <w:placeholder>
              <w:docPart w:val="GBC22222222222222222222222222222"/>
            </w:placeholder>
          </w:sdtPr>
          <w:sdtEndPr/>
          <w:sdtContent>
            <w:p w14:paraId="2F95099D" w14:textId="14DDD602" w:rsidR="00E43F06" w:rsidRDefault="004F686E" w:rsidP="00E43F06">
              <w:r>
                <w:fldChar w:fldCharType="begin"/>
              </w:r>
              <w:r w:rsidR="0083036D">
                <w:instrText xml:space="preserve"> MACROBUTTON  SnrToggleCheckbox √适用 </w:instrText>
              </w:r>
              <w:r>
                <w:fldChar w:fldCharType="end"/>
              </w:r>
              <w:r>
                <w:fldChar w:fldCharType="begin"/>
              </w:r>
              <w:r w:rsidR="0083036D">
                <w:instrText xml:space="preserve"> MACROBUTTON  SnrToggleCheckbox □不适用 </w:instrText>
              </w:r>
              <w:r>
                <w:fldChar w:fldCharType="end"/>
              </w:r>
            </w:p>
          </w:sdtContent>
        </w:sdt>
        <w:sdt>
          <w:sdtPr>
            <w:rPr>
              <w:rFonts w:hint="eastAsia"/>
            </w:rPr>
            <w:alias w:val="重大关联交易事项其他补充说明"/>
            <w:tag w:val="_GBC_d7e81bf863d04b53907fa1dfe08e9124"/>
            <w:id w:val="1391076618"/>
            <w:lock w:val="sdtLocked"/>
          </w:sdtPr>
          <w:sdtEndPr/>
          <w:sdtContent>
            <w:p w14:paraId="40306721" w14:textId="2E4A82EC" w:rsidR="00F86669" w:rsidRDefault="00F86669" w:rsidP="00BD740B">
              <w:pPr>
                <w:ind w:firstLineChars="200" w:firstLine="420"/>
                <w:rPr>
                  <w:szCs w:val="21"/>
                </w:rPr>
              </w:pPr>
              <w:r>
                <w:rPr>
                  <w:rFonts w:hint="eastAsia"/>
                  <w:szCs w:val="21"/>
                </w:rPr>
                <w:t>关联交易</w:t>
              </w:r>
            </w:p>
            <w:p w14:paraId="0414D1B9" w14:textId="062812E6" w:rsidR="0008759B" w:rsidRDefault="0008759B" w:rsidP="0008759B">
              <w:pPr>
                <w:ind w:firstLineChars="200" w:firstLine="420"/>
                <w:rPr>
                  <w:szCs w:val="21"/>
                </w:rPr>
              </w:pPr>
              <w:r w:rsidRPr="00F86669">
                <w:rPr>
                  <w:rFonts w:hint="eastAsia"/>
                  <w:szCs w:val="21"/>
                </w:rPr>
                <w:t>公司间接全资子公司北京天海工业有限公司（以下简称“北京天海”）</w:t>
              </w:r>
              <w:r>
                <w:rPr>
                  <w:rFonts w:hint="eastAsia"/>
                  <w:szCs w:val="21"/>
                </w:rPr>
                <w:t>拟</w:t>
              </w:r>
              <w:r w:rsidRPr="00F86669">
                <w:rPr>
                  <w:rFonts w:hint="eastAsia"/>
                  <w:szCs w:val="21"/>
                </w:rPr>
                <w:t>与北京京城智通机器人科技有限公司（以下简称“京城智通”）签署</w:t>
              </w:r>
              <w:r w:rsidRPr="00F86669">
                <w:rPr>
                  <w:szCs w:val="21"/>
                </w:rPr>
                <w:t>2021年度合作框架协议。</w:t>
              </w:r>
            </w:p>
            <w:p w14:paraId="4A2993C8" w14:textId="77777777" w:rsidR="0008759B" w:rsidRDefault="0008759B" w:rsidP="0008759B">
              <w:pPr>
                <w:ind w:firstLineChars="200" w:firstLine="420"/>
                <w:rPr>
                  <w:szCs w:val="21"/>
                </w:rPr>
              </w:pPr>
              <w:r w:rsidRPr="00F86669">
                <w:rPr>
                  <w:rFonts w:hint="eastAsia"/>
                  <w:szCs w:val="21"/>
                </w:rPr>
                <w:lastRenderedPageBreak/>
                <w:t>王军先生任公司第十届董事会董事长，为公司的关联自然人；同时，王军先生任京城智通董事长，根据《上海证券交易所股票上市规则》的有关规定，京城智通为公司关联法人；北京天海为公司间接全资子公司，本次交易构成关联交易。</w:t>
              </w:r>
            </w:p>
            <w:p w14:paraId="646B640D" w14:textId="64FBB671" w:rsidR="0008759B" w:rsidRDefault="00F86669" w:rsidP="00BD740B">
              <w:pPr>
                <w:ind w:firstLineChars="200" w:firstLine="420"/>
                <w:rPr>
                  <w:szCs w:val="21"/>
                </w:rPr>
              </w:pPr>
              <w:r w:rsidRPr="00F86669">
                <w:rPr>
                  <w:szCs w:val="21"/>
                </w:rPr>
                <w:t>2021年3月17日，公司召开第十届董事会第三次会议和第十届监事会第十一次会议，分别审议通过了《关于公司子公司北京天海工业有限公司与北京京城智通机器人科技有限公司签署2021年度合作框架协议暨关联交易的议案》</w:t>
              </w:r>
              <w:r w:rsidR="0008211C">
                <w:rPr>
                  <w:rFonts w:hint="eastAsia"/>
                  <w:szCs w:val="21"/>
                </w:rPr>
                <w:t>，</w:t>
              </w:r>
              <w:r w:rsidR="0008759B">
                <w:rPr>
                  <w:rFonts w:hint="eastAsia"/>
                  <w:szCs w:val="21"/>
                </w:rPr>
                <w:t>其中</w:t>
              </w:r>
              <w:r w:rsidR="0008211C" w:rsidRPr="0008211C">
                <w:rPr>
                  <w:szCs w:val="21"/>
                </w:rPr>
                <w:t>关联董事王军先生</w:t>
              </w:r>
              <w:r w:rsidR="0008759B">
                <w:rPr>
                  <w:rFonts w:hint="eastAsia"/>
                  <w:szCs w:val="21"/>
                </w:rPr>
                <w:t>已</w:t>
              </w:r>
              <w:r w:rsidR="0008211C" w:rsidRPr="0008211C">
                <w:rPr>
                  <w:szCs w:val="21"/>
                </w:rPr>
                <w:t>回避表决</w:t>
              </w:r>
              <w:r w:rsidR="0008759B">
                <w:rPr>
                  <w:rFonts w:hint="eastAsia"/>
                  <w:szCs w:val="21"/>
                </w:rPr>
                <w:t>，本次交易无需提交股东大会审议</w:t>
              </w:r>
              <w:r>
                <w:rPr>
                  <w:rFonts w:hint="eastAsia"/>
                  <w:szCs w:val="21"/>
                </w:rPr>
                <w:t>。</w:t>
              </w:r>
            </w:p>
            <w:p w14:paraId="56E7F607" w14:textId="3C34F1FB" w:rsidR="00F11F2E" w:rsidRDefault="00F11F2E" w:rsidP="00BD740B">
              <w:pPr>
                <w:ind w:firstLineChars="200" w:firstLine="420"/>
                <w:rPr>
                  <w:szCs w:val="21"/>
                </w:rPr>
              </w:pPr>
              <w:r>
                <w:rPr>
                  <w:rFonts w:hint="eastAsia"/>
                  <w:szCs w:val="21"/>
                </w:rPr>
                <w:t>交易详细内容请见公司于2</w:t>
              </w:r>
              <w:r>
                <w:rPr>
                  <w:szCs w:val="21"/>
                </w:rPr>
                <w:t>021</w:t>
              </w:r>
              <w:r w:rsidR="0008759B">
                <w:rPr>
                  <w:rFonts w:hint="eastAsia"/>
                  <w:szCs w:val="21"/>
                </w:rPr>
                <w:t xml:space="preserve">年 </w:t>
              </w:r>
              <w:r>
                <w:rPr>
                  <w:rFonts w:hint="eastAsia"/>
                  <w:szCs w:val="21"/>
                </w:rPr>
                <w:t>3月1</w:t>
              </w:r>
              <w:r>
                <w:rPr>
                  <w:szCs w:val="21"/>
                </w:rPr>
                <w:t>8</w:t>
              </w:r>
              <w:r>
                <w:rPr>
                  <w:rFonts w:hint="eastAsia"/>
                  <w:szCs w:val="21"/>
                </w:rPr>
                <w:t>日披露的《</w:t>
              </w:r>
              <w:r w:rsidRPr="00F11F2E">
                <w:rPr>
                  <w:rFonts w:hint="eastAsia"/>
                  <w:szCs w:val="21"/>
                </w:rPr>
                <w:t>公司子公司北京天海与京城智通签署</w:t>
              </w:r>
              <w:r w:rsidRPr="00F11F2E">
                <w:rPr>
                  <w:szCs w:val="21"/>
                </w:rPr>
                <w:t>2021年度合作框架协议暨关联交易的公告</w:t>
              </w:r>
              <w:r>
                <w:rPr>
                  <w:rFonts w:hint="eastAsia"/>
                  <w:szCs w:val="21"/>
                </w:rPr>
                <w:t>》（公告编号：</w:t>
              </w:r>
              <w:r w:rsidRPr="00F11F2E">
                <w:rPr>
                  <w:rFonts w:hint="eastAsia"/>
                  <w:szCs w:val="21"/>
                </w:rPr>
                <w:t>临</w:t>
              </w:r>
              <w:r w:rsidRPr="00F11F2E">
                <w:rPr>
                  <w:szCs w:val="21"/>
                </w:rPr>
                <w:t>2021-014</w:t>
              </w:r>
              <w:r>
                <w:rPr>
                  <w:rFonts w:hint="eastAsia"/>
                  <w:szCs w:val="21"/>
                </w:rPr>
                <w:t>）</w:t>
              </w:r>
              <w:r w:rsidR="00C93D24">
                <w:rPr>
                  <w:rFonts w:hint="eastAsia"/>
                  <w:szCs w:val="21"/>
                </w:rPr>
                <w:t>。</w:t>
              </w:r>
            </w:p>
            <w:p w14:paraId="2A11E7DD" w14:textId="4F820CBA" w:rsidR="0083036D" w:rsidRDefault="00A63680" w:rsidP="0012728F">
              <w:pPr>
                <w:ind w:firstLineChars="200" w:firstLine="420"/>
              </w:pPr>
              <w:r>
                <w:rPr>
                  <w:rFonts w:hint="eastAsia"/>
                </w:rPr>
                <w:t>除上文所披露外，董事认为财务报表附注十</w:t>
              </w:r>
              <w:r w:rsidR="00E51636">
                <w:rPr>
                  <w:rFonts w:hint="eastAsia"/>
                </w:rPr>
                <w:t>二</w:t>
              </w:r>
              <w:r>
                <w:rPr>
                  <w:rFonts w:hint="eastAsia"/>
                </w:rPr>
                <w:t>所披露的关联交易并非上市规则第</w:t>
              </w:r>
              <w:r>
                <w:t xml:space="preserve"> 14A 章下界定</w:t>
              </w:r>
              <w:r>
                <w:rPr>
                  <w:rFonts w:hint="eastAsia"/>
                </w:rPr>
                <w:t>的“关联交易”或“持续关联交易”。</w:t>
              </w:r>
              <w:r>
                <w:cr/>
              </w:r>
            </w:p>
          </w:sdtContent>
        </w:sdt>
        <w:p w14:paraId="30F1EEB6" w14:textId="1156D861" w:rsidR="009E3055" w:rsidRDefault="00B664AF" w:rsidP="00471D53"/>
        <w:p w14:paraId="2D4F061D" w14:textId="0994E154" w:rsidR="007F1C2B" w:rsidRDefault="00B664AF" w:rsidP="009E3055"/>
      </w:sdtContent>
    </w:sdt>
    <w:p w14:paraId="4BAA4AA5" w14:textId="77777777" w:rsidR="007F1C2B" w:rsidRDefault="00B664AF"/>
    <w:p w14:paraId="5EFE7A0D" w14:textId="77777777" w:rsidR="007F1C2B" w:rsidRDefault="004F686E" w:rsidP="004F686E">
      <w:pPr>
        <w:pStyle w:val="2"/>
        <w:numPr>
          <w:ilvl w:val="0"/>
          <w:numId w:val="20"/>
        </w:numPr>
        <w:tabs>
          <w:tab w:val="left" w:pos="426"/>
        </w:tabs>
        <w:ind w:left="422" w:hanging="422"/>
        <w:jc w:val="left"/>
        <w:rPr>
          <w:rFonts w:ascii="宋体" w:hAnsi="宋体"/>
        </w:rPr>
      </w:pPr>
      <w:r>
        <w:rPr>
          <w:rFonts w:ascii="宋体" w:hAnsi="宋体" w:hint="eastAsia"/>
        </w:rPr>
        <w:t>重大合同及其履行情况</w:t>
      </w:r>
    </w:p>
    <w:p w14:paraId="639D23F4" w14:textId="77777777" w:rsidR="007F1C2B" w:rsidRDefault="004F686E" w:rsidP="004F686E">
      <w:pPr>
        <w:pStyle w:val="3"/>
        <w:numPr>
          <w:ilvl w:val="0"/>
          <w:numId w:val="28"/>
        </w:numPr>
        <w:rPr>
          <w:rFonts w:ascii="宋体" w:hAnsi="宋体"/>
        </w:rPr>
      </w:pPr>
      <w:r>
        <w:rPr>
          <w:rFonts w:ascii="宋体" w:hAnsi="宋体"/>
        </w:rPr>
        <w:t>托管、承包、租赁事项</w:t>
      </w:r>
    </w:p>
    <w:p w14:paraId="1E7942AD" w14:textId="31443F8C" w:rsidR="008142CC" w:rsidRDefault="00B664AF" w:rsidP="008142CC">
      <w:pPr>
        <w:rPr>
          <w:szCs w:val="21"/>
          <w:shd w:val="pct15" w:color="auto" w:fill="FFFFFF"/>
        </w:rPr>
      </w:pPr>
      <w:sdt>
        <w:sdtPr>
          <w:rPr>
            <w:szCs w:val="21"/>
          </w:rPr>
          <w:alias w:val="是否适用：托管、承包、租赁事项[双击切换]"/>
          <w:tag w:val="_GBC_daed561e68674d828a348a97bffbc154"/>
          <w:id w:val="9659061"/>
          <w:lock w:val="sdtLocked"/>
          <w:placeholder>
            <w:docPart w:val="GBC22222222222222222222222222222"/>
          </w:placeholder>
        </w:sdtPr>
        <w:sdtEndPr/>
        <w:sdtContent>
          <w:r w:rsidR="004F686E">
            <w:rPr>
              <w:szCs w:val="21"/>
            </w:rPr>
            <w:fldChar w:fldCharType="begin"/>
          </w:r>
          <w:r w:rsidR="004F686E">
            <w:rPr>
              <w:szCs w:val="21"/>
            </w:rPr>
            <w:instrText xml:space="preserve"> MACROBUTTON  SnrToggleCheckbox □适用 </w:instrText>
          </w:r>
          <w:r w:rsidR="004F686E">
            <w:rPr>
              <w:szCs w:val="21"/>
            </w:rPr>
            <w:fldChar w:fldCharType="end"/>
          </w:r>
          <w:r w:rsidR="004F686E">
            <w:rPr>
              <w:szCs w:val="21"/>
            </w:rPr>
            <w:fldChar w:fldCharType="begin"/>
          </w:r>
          <w:r w:rsidR="004F686E">
            <w:rPr>
              <w:szCs w:val="21"/>
            </w:rPr>
            <w:instrText xml:space="preserve"> MACROBUTTON  SnrToggleCheckbox √不适用 </w:instrText>
          </w:r>
          <w:r w:rsidR="004F686E">
            <w:rPr>
              <w:szCs w:val="21"/>
            </w:rPr>
            <w:fldChar w:fldCharType="end"/>
          </w:r>
        </w:sdtContent>
      </w:sdt>
    </w:p>
    <w:p w14:paraId="5AA3BFB4" w14:textId="74EBCC21" w:rsidR="007F1C2B" w:rsidRDefault="00B664AF">
      <w:pPr>
        <w:rPr>
          <w:szCs w:val="21"/>
          <w:shd w:val="pct15" w:color="auto" w:fill="FFFFFF"/>
        </w:rPr>
      </w:pPr>
    </w:p>
    <w:p w14:paraId="616C11AB" w14:textId="42FFF7D2" w:rsidR="007F1C2B" w:rsidRDefault="004F686E" w:rsidP="004F686E">
      <w:pPr>
        <w:pStyle w:val="3"/>
        <w:numPr>
          <w:ilvl w:val="0"/>
          <w:numId w:val="28"/>
        </w:numPr>
        <w:ind w:left="450" w:hanging="450"/>
        <w:rPr>
          <w:rFonts w:ascii="宋体" w:hAnsi="宋体"/>
          <w:szCs w:val="21"/>
        </w:rPr>
      </w:pPr>
      <w:r>
        <w:rPr>
          <w:rFonts w:ascii="宋体" w:hAnsi="宋体" w:hint="eastAsia"/>
          <w:szCs w:val="21"/>
        </w:rPr>
        <w:t>报告期内履行的及尚未履行完毕的重大担保情况</w:t>
      </w:r>
    </w:p>
    <w:sdt>
      <w:sdtPr>
        <w:alias w:val="是否适用：担保情况[双击切换]"/>
        <w:tag w:val="_GBC_aae98b3e30bd49e4b2e1d2643f200047"/>
        <w:id w:val="461152068"/>
        <w:lock w:val="sdtLocked"/>
        <w:placeholder>
          <w:docPart w:val="GBC22222222222222222222222222222"/>
        </w:placeholder>
      </w:sdtPr>
      <w:sdtEndPr/>
      <w:sdtContent>
        <w:p w14:paraId="7DD1EDD0" w14:textId="34C643C1" w:rsidR="00C101E7" w:rsidRDefault="004F686E" w:rsidP="00C101E7">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10731A8" w14:textId="4F21E6E3" w:rsidR="007F1C2B" w:rsidRDefault="00B664AF">
      <w:pPr>
        <w:rPr>
          <w:szCs w:val="21"/>
        </w:rPr>
      </w:pPr>
    </w:p>
    <w:p w14:paraId="172C3602" w14:textId="77777777" w:rsidR="007F1C2B" w:rsidRDefault="00B664AF">
      <w:pPr>
        <w:sectPr w:rsidR="007F1C2B" w:rsidSect="00F63A69">
          <w:pgSz w:w="11906" w:h="16838"/>
          <w:pgMar w:top="1525" w:right="1276" w:bottom="1440" w:left="1797" w:header="851" w:footer="992" w:gutter="0"/>
          <w:cols w:space="425"/>
          <w:docGrid w:linePitch="312"/>
        </w:sectPr>
      </w:pPr>
    </w:p>
    <w:sdt>
      <w:sdtPr>
        <w:rPr>
          <w:rFonts w:ascii="宋体" w:hAnsi="宋体" w:cs="宋体"/>
          <w:b w:val="0"/>
          <w:bCs w:val="0"/>
          <w:kern w:val="0"/>
          <w:szCs w:val="21"/>
        </w:rPr>
        <w:alias w:val="模块:其他重大合同"/>
        <w:tag w:val="_SEC_e046194a1b604165ab4ac9dbd406e6b1"/>
        <w:id w:val="-131491473"/>
        <w:lock w:val="sdtLocked"/>
        <w:placeholder>
          <w:docPart w:val="GBC22222222222222222222222222222"/>
        </w:placeholder>
      </w:sdtPr>
      <w:sdtEndPr>
        <w:rPr>
          <w:rFonts w:hint="eastAsia"/>
          <w:szCs w:val="24"/>
        </w:rPr>
      </w:sdtEndPr>
      <w:sdtContent>
        <w:p w14:paraId="2C08B00E" w14:textId="77777777" w:rsidR="007F1C2B" w:rsidRDefault="004F686E" w:rsidP="004F686E">
          <w:pPr>
            <w:pStyle w:val="3"/>
            <w:numPr>
              <w:ilvl w:val="0"/>
              <w:numId w:val="28"/>
            </w:numPr>
            <w:ind w:left="450" w:hanging="450"/>
            <w:rPr>
              <w:rFonts w:ascii="宋体" w:hAnsi="宋体"/>
              <w:szCs w:val="21"/>
            </w:rPr>
          </w:pPr>
          <w:r>
            <w:rPr>
              <w:rFonts w:ascii="宋体" w:hAnsi="宋体"/>
              <w:szCs w:val="21"/>
            </w:rPr>
            <w:t>其他重大合同</w:t>
          </w:r>
        </w:p>
        <w:sdt>
          <w:sdtPr>
            <w:alias w:val="是否适用：其他重大合同[双击切换]"/>
            <w:tag w:val="_GBC_23289ac36e3b4aeeaff6a4f1df0c3165"/>
            <w:id w:val="1323162241"/>
            <w:lock w:val="sdtLocked"/>
            <w:placeholder>
              <w:docPart w:val="GBC22222222222222222222222222222"/>
            </w:placeholder>
          </w:sdtPr>
          <w:sdtEndPr/>
          <w:sdtContent>
            <w:p w14:paraId="7415D239" w14:textId="2247DF64" w:rsidR="007F1C2B" w:rsidRDefault="004F686E" w:rsidP="00C101E7">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Start w:id="55" w:name="_Hlk74904700" w:displacedByCustomXml="next"/>
    <w:sdt>
      <w:sdtPr>
        <w:rPr>
          <w:rFonts w:ascii="宋体" w:hAnsi="宋体" w:cs="宋体"/>
          <w:b w:val="0"/>
          <w:bCs w:val="0"/>
          <w:kern w:val="0"/>
          <w:szCs w:val="24"/>
        </w:rPr>
        <w:alias w:val="模块:"/>
        <w:tag w:val="_SEC_82a7281a6dc544bea8ef97d430f7b6fc"/>
        <w:id w:val="2122641286"/>
        <w:lock w:val="sdtLocked"/>
        <w:placeholder>
          <w:docPart w:val="GBC22222222222222222222222222222"/>
        </w:placeholder>
      </w:sdtPr>
      <w:sdtEndPr/>
      <w:sdtContent>
        <w:bookmarkStart w:id="56" w:name="_Hlk74820557" w:displacedByCustomXml="prev"/>
        <w:p w14:paraId="2CED66CB" w14:textId="31F6A4BC" w:rsidR="007F1C2B" w:rsidRPr="00BE411E" w:rsidRDefault="004F686E" w:rsidP="004F686E">
          <w:pPr>
            <w:pStyle w:val="2"/>
            <w:numPr>
              <w:ilvl w:val="0"/>
              <w:numId w:val="20"/>
            </w:numPr>
            <w:tabs>
              <w:tab w:val="left" w:pos="426"/>
            </w:tabs>
            <w:jc w:val="left"/>
            <w:rPr>
              <w:rFonts w:ascii="宋体" w:hAnsi="宋体"/>
            </w:rPr>
          </w:pPr>
          <w:r w:rsidRPr="00BE411E">
            <w:rPr>
              <w:rFonts w:ascii="宋体" w:hAnsi="宋体"/>
            </w:rPr>
            <w:t>其他</w:t>
          </w:r>
          <w:r w:rsidRPr="00BE411E">
            <w:rPr>
              <w:rFonts w:ascii="宋体" w:hAnsi="宋体" w:hint="eastAsia"/>
            </w:rPr>
            <w:t>重大事项的说明</w:t>
          </w:r>
        </w:p>
        <w:sdt>
          <w:sdtPr>
            <w:alias w:val="是否适用：其他重大事项的说明[双击切换]"/>
            <w:tag w:val="_GBC_60472543195d45309db4d042b8e09883"/>
            <w:id w:val="-1645731790"/>
            <w:lock w:val="sdtLocked"/>
            <w:placeholder>
              <w:docPart w:val="GBC22222222222222222222222222222"/>
            </w:placeholder>
          </w:sdtPr>
          <w:sdtEndPr/>
          <w:sdtContent>
            <w:p w14:paraId="06FB1F23" w14:textId="109EA318" w:rsidR="007F1C2B" w:rsidRDefault="004F686E" w:rsidP="00BE411E">
              <w:r>
                <w:fldChar w:fldCharType="begin"/>
              </w:r>
              <w:r w:rsidR="00E43F06">
                <w:instrText xml:space="preserve"> MACROBUTTON  SnrToggleCheckbox √适用 </w:instrText>
              </w:r>
              <w:r>
                <w:fldChar w:fldCharType="end"/>
              </w:r>
              <w:r>
                <w:fldChar w:fldCharType="begin"/>
              </w:r>
              <w:r w:rsidR="00E43F06">
                <w:instrText xml:space="preserve"> MACROBUTTON  SnrToggleCheckbox □不适用 </w:instrText>
              </w:r>
              <w:r>
                <w:fldChar w:fldCharType="end"/>
              </w:r>
            </w:p>
          </w:sdtContent>
        </w:sdt>
        <w:bookmarkEnd w:id="56" w:displacedByCustomXml="next"/>
        <w:sdt>
          <w:sdtPr>
            <w:alias w:val="其它重大事项说明"/>
            <w:tag w:val="_GBC_2c1880a5abc34ba7be18fdf6374ac4c1"/>
            <w:id w:val="-169030493"/>
            <w:lock w:val="sdtLocked"/>
            <w:placeholder>
              <w:docPart w:val="0C7E0B96AE2A48F497B9318326ABEEDA"/>
            </w:placeholder>
          </w:sdtPr>
          <w:sdtEndPr/>
          <w:sdtContent>
            <w:p w14:paraId="7526D65D" w14:textId="25A2FC80" w:rsidR="00E43F06" w:rsidRDefault="00E43F06" w:rsidP="00E43F06">
              <w:pPr>
                <w:ind w:firstLineChars="200" w:firstLine="420"/>
              </w:pPr>
              <w:r>
                <w:t>为提升公司持续经营和盈利能力，公司正在实施购买青岛北洋天青数联智能股份有限公司80%股权项目。2020年8月17日，公司召开第十届董事会第五次临时会议，逐项审议通过了发行股份及支付现金购买资产并募集配套资金项目各项议案；2020年12月29日，公司召开第十届董事会第八次临时会议，逐项审议通过了修订发行股份及支付现金购买资产并募集配套资金项目各项议案；2021年2月9日，公司召开2021年第一次临时股东大会、2021年第一次A股类别股东大会及2021年第一次H股类别股东大会，投票通过发行股份及支付现金购买资产并募集配套资金项目各项议案，同意并授权董事会全权办理公司本次发行股份及支付现金购买资产并募集配套资金有关事宜；2021年2月25日，公司收到中国证券监督管理委员会出具的《中国证监会行政许可申请受理单》(受理序号：210440号)。</w:t>
              </w:r>
              <w:r w:rsidRPr="00C86E04">
                <w:t>2021年5月19日</w:t>
              </w:r>
              <w:r>
                <w:rPr>
                  <w:rFonts w:hint="eastAsia"/>
                </w:rPr>
                <w:t>，</w:t>
              </w:r>
              <w:r w:rsidRPr="00C86E04">
                <w:rPr>
                  <w:rFonts w:hint="eastAsia"/>
                </w:rPr>
                <w:t>中国证券监督管理委员会上市公司并购重组审核委员会召开</w:t>
              </w:r>
              <w:r w:rsidRPr="00C86E04">
                <w:t>2021年第10次并购重组委工作会议，对公司发行股份及支付现金购买资产并募集配套资金事项进行了审核。根据会议审核结果，</w:t>
              </w:r>
              <w:r w:rsidRPr="00C86E04">
                <w:rPr>
                  <w:rFonts w:hint="eastAsia"/>
                </w:rPr>
                <w:t>公司本次重组事项未获得审核通过</w:t>
              </w:r>
              <w:r>
                <w:rPr>
                  <w:rFonts w:hint="eastAsia"/>
                </w:rPr>
                <w:t>。</w:t>
              </w:r>
              <w:r w:rsidRPr="00052C19">
                <w:t>2021年6月11日，</w:t>
              </w:r>
              <w:r>
                <w:rPr>
                  <w:rFonts w:hint="eastAsia"/>
                </w:rPr>
                <w:t>公司召开</w:t>
              </w:r>
              <w:r w:rsidRPr="00052C19">
                <w:rPr>
                  <w:rFonts w:hint="eastAsia"/>
                </w:rPr>
                <w:t>第十届董事会第十一次临时会议</w:t>
              </w:r>
              <w:r>
                <w:rPr>
                  <w:rFonts w:hint="eastAsia"/>
                </w:rPr>
                <w:t>，</w:t>
              </w:r>
              <w:r w:rsidRPr="00052C19">
                <w:rPr>
                  <w:rFonts w:hint="eastAsia"/>
                </w:rPr>
                <w:t>审议通过《关于北京京城机电股份有限公司继续推进发行股份及支付现金购买资产并募集配套资金事项的议案》</w:t>
              </w:r>
              <w:r>
                <w:rPr>
                  <w:rFonts w:hint="eastAsia"/>
                </w:rPr>
                <w:t>，</w:t>
              </w:r>
              <w:r w:rsidRPr="00052C19">
                <w:rPr>
                  <w:rFonts w:hint="eastAsia"/>
                </w:rPr>
                <w:t>董事会经研究论证，同意继续推进本次资产重组事项。</w:t>
              </w:r>
            </w:p>
            <w:p w14:paraId="10F55756" w14:textId="6DFA9A34" w:rsidR="00E43F06" w:rsidRDefault="00B664AF"/>
          </w:sdtContent>
        </w:sdt>
        <w:p w14:paraId="042ED60A" w14:textId="1F848897" w:rsidR="007F1C2B" w:rsidRDefault="00B664AF"/>
      </w:sdtContent>
    </w:sdt>
    <w:bookmarkEnd w:id="55" w:displacedByCustomXml="prev"/>
    <w:p w14:paraId="25A652F2" w14:textId="77777777" w:rsidR="007F1C2B" w:rsidRDefault="00B664AF"/>
    <w:p w14:paraId="5D2042F3" w14:textId="265EC391" w:rsidR="007F1C2B" w:rsidRDefault="004F686E" w:rsidP="004F686E">
      <w:pPr>
        <w:pStyle w:val="10"/>
        <w:numPr>
          <w:ilvl w:val="0"/>
          <w:numId w:val="3"/>
        </w:numPr>
        <w:rPr>
          <w:rFonts w:ascii="黑体" w:hAnsi="黑体"/>
        </w:rPr>
      </w:pPr>
      <w:bookmarkStart w:id="57" w:name="_Toc392233016"/>
      <w:bookmarkStart w:id="58" w:name="_Toc76114278"/>
      <w:r>
        <w:rPr>
          <w:rFonts w:ascii="黑体" w:hAnsi="黑体" w:hint="eastAsia"/>
        </w:rPr>
        <w:t>股份变动及股东情况</w:t>
      </w:r>
      <w:bookmarkEnd w:id="50"/>
      <w:bookmarkEnd w:id="57"/>
      <w:bookmarkEnd w:id="58"/>
    </w:p>
    <w:p w14:paraId="39B55798" w14:textId="77777777" w:rsidR="007F1C2B" w:rsidRDefault="004F686E" w:rsidP="004F686E">
      <w:pPr>
        <w:pStyle w:val="2"/>
        <w:numPr>
          <w:ilvl w:val="0"/>
          <w:numId w:val="29"/>
        </w:numPr>
        <w:spacing w:line="360" w:lineRule="auto"/>
        <w:ind w:left="422" w:hanging="422"/>
        <w:rPr>
          <w:rFonts w:ascii="宋体" w:hAnsi="宋体"/>
        </w:rPr>
      </w:pPr>
      <w:bookmarkStart w:id="59" w:name="_Toc342059476"/>
      <w:bookmarkStart w:id="60" w:name="_Toc342565989"/>
      <w:r>
        <w:rPr>
          <w:rFonts w:ascii="宋体" w:hAnsi="宋体"/>
        </w:rPr>
        <w:t>股</w:t>
      </w:r>
      <w:r>
        <w:rPr>
          <w:rFonts w:ascii="宋体" w:hAnsi="宋体" w:hint="eastAsia"/>
        </w:rPr>
        <w:t>本变动情况</w:t>
      </w:r>
      <w:bookmarkEnd w:id="59"/>
      <w:bookmarkEnd w:id="60"/>
    </w:p>
    <w:p w14:paraId="7CEE2A99" w14:textId="77777777" w:rsidR="007F1C2B" w:rsidRDefault="004F686E" w:rsidP="004F686E">
      <w:pPr>
        <w:pStyle w:val="3"/>
        <w:numPr>
          <w:ilvl w:val="1"/>
          <w:numId w:val="30"/>
        </w:numPr>
        <w:rPr>
          <w:rFonts w:ascii="宋体" w:hAnsi="宋体"/>
        </w:rPr>
      </w:pPr>
      <w:bookmarkStart w:id="61" w:name="_Toc342059477"/>
      <w:bookmarkStart w:id="62" w:name="_Toc342565990"/>
      <w:r>
        <w:rPr>
          <w:rFonts w:ascii="宋体" w:hAnsi="宋体" w:hint="eastAsia"/>
        </w:rPr>
        <w:t>股份变动情况表</w:t>
      </w:r>
      <w:bookmarkEnd w:id="61"/>
      <w:bookmarkEnd w:id="62"/>
    </w:p>
    <w:p w14:paraId="57E51B41" w14:textId="77777777" w:rsidR="007F1C2B" w:rsidRDefault="004F686E" w:rsidP="004F686E">
      <w:pPr>
        <w:pStyle w:val="4"/>
        <w:numPr>
          <w:ilvl w:val="2"/>
          <w:numId w:val="31"/>
        </w:numPr>
        <w:rPr>
          <w:rFonts w:ascii="宋体" w:hAnsi="宋体"/>
        </w:rPr>
      </w:pPr>
      <w:r>
        <w:rPr>
          <w:rFonts w:ascii="宋体" w:hAnsi="宋体" w:hint="eastAsia"/>
        </w:rPr>
        <w:t>股份变动情况表</w:t>
      </w:r>
    </w:p>
    <w:sdt>
      <w:sdtPr>
        <w:rPr>
          <w:rFonts w:hint="eastAsia"/>
        </w:rPr>
        <w:alias w:val="选项模块:报告期内，公司股份总数及股本结构未发生变化。"/>
        <w:tag w:val="_GBC_dd8bc2a0b3ed4147a1e657cdc8573344"/>
        <w:id w:val="1725335605"/>
        <w:lock w:val="sdtLocked"/>
        <w:placeholder>
          <w:docPart w:val="GBC22222222222222222222222222222"/>
        </w:placeholder>
      </w:sdtPr>
      <w:sdtEndPr/>
      <w:sdtContent>
        <w:p w14:paraId="0B536735" w14:textId="77777777" w:rsidR="007F1C2B" w:rsidRDefault="004F686E">
          <w:r>
            <w:rPr>
              <w:rFonts w:hint="eastAsia"/>
            </w:rPr>
            <w:t>报告期内，公司股份总数及股本结构未发生变化。</w:t>
          </w:r>
        </w:p>
      </w:sdtContent>
    </w:sdt>
    <w:p w14:paraId="13397266" w14:textId="77777777" w:rsidR="007F1C2B" w:rsidRDefault="00B664AF">
      <w:pPr>
        <w:rPr>
          <w:szCs w:val="21"/>
        </w:rPr>
      </w:pPr>
    </w:p>
    <w:bookmarkStart w:id="63" w:name="_Toc342565996" w:displacedByCustomXml="next"/>
    <w:bookmarkStart w:id="64" w:name="_Toc342059483" w:displacedByCustomXml="next"/>
    <w:sdt>
      <w:sdtPr>
        <w:rPr>
          <w:rFonts w:ascii="宋体" w:hAnsi="宋体" w:cs="宋体"/>
          <w:b w:val="0"/>
          <w:bCs w:val="0"/>
          <w:kern w:val="0"/>
          <w:szCs w:val="22"/>
        </w:rPr>
        <w:alias w:val="模块:股份变动情况说明"/>
        <w:tag w:val="_GBC_11d26f58e47e4a1f997d73362074f464"/>
        <w:id w:val="-2104258393"/>
        <w:lock w:val="sdtLocked"/>
        <w:placeholder>
          <w:docPart w:val="GBC22222222222222222222222222222"/>
        </w:placeholder>
      </w:sdtPr>
      <w:sdtEndPr>
        <w:rPr>
          <w:rFonts w:hint="eastAsia"/>
          <w:szCs w:val="24"/>
        </w:rPr>
      </w:sdtEndPr>
      <w:sdtContent>
        <w:p w14:paraId="779F874F" w14:textId="77777777" w:rsidR="007F1C2B" w:rsidRDefault="004F686E" w:rsidP="004F686E">
          <w:pPr>
            <w:pStyle w:val="4"/>
            <w:numPr>
              <w:ilvl w:val="2"/>
              <w:numId w:val="31"/>
            </w:numPr>
            <w:rPr>
              <w:rFonts w:ascii="宋体" w:hAnsi="宋体"/>
            </w:rPr>
          </w:pPr>
          <w:r>
            <w:rPr>
              <w:rFonts w:ascii="宋体" w:hAnsi="宋体"/>
            </w:rPr>
            <w:t>股份变动情况说明</w:t>
          </w:r>
        </w:p>
        <w:sdt>
          <w:sdtPr>
            <w:alias w:val="是否适用：普通股股份变动情况说明[双击切换]"/>
            <w:tag w:val="_GBC_28994e6dc9c649e498c0ab9c340777bf"/>
            <w:id w:val="-1313251413"/>
            <w:lock w:val="sdtLocked"/>
            <w:placeholder>
              <w:docPart w:val="GBC22222222222222222222222222222"/>
            </w:placeholder>
          </w:sdtPr>
          <w:sdtEndPr/>
          <w:sdtContent>
            <w:p w14:paraId="0B8113BA" w14:textId="4094AD19" w:rsidR="007F1C2B" w:rsidRDefault="004F686E" w:rsidP="00054539">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71DE6B22" w14:textId="77777777" w:rsidR="007F1C2B" w:rsidRDefault="00B664AF"/>
    <w:sdt>
      <w:sdtPr>
        <w:rPr>
          <w:rFonts w:ascii="宋体" w:hAnsi="宋体" w:cs="宋体"/>
          <w:b w:val="0"/>
          <w:bCs w:val="0"/>
          <w:kern w:val="0"/>
          <w:szCs w:val="22"/>
        </w:rPr>
        <w:alias w:val="模块:报告期后到半年报披露日期间发生股份变动对每股收益等指标影响"/>
        <w:tag w:val="_GBC_2c9eb79778814e39ab254196ba75dab3"/>
        <w:id w:val="-592249752"/>
        <w:lock w:val="sdtLocked"/>
        <w:placeholder>
          <w:docPart w:val="GBC22222222222222222222222222222"/>
        </w:placeholder>
      </w:sdtPr>
      <w:sdtEndPr>
        <w:rPr>
          <w:rFonts w:hint="eastAsia"/>
          <w:szCs w:val="24"/>
        </w:rPr>
      </w:sdtEndPr>
      <w:sdtContent>
        <w:p w14:paraId="7CC0E9C4" w14:textId="77777777" w:rsidR="007F1C2B" w:rsidRDefault="004F686E" w:rsidP="004F686E">
          <w:pPr>
            <w:pStyle w:val="4"/>
            <w:numPr>
              <w:ilvl w:val="2"/>
              <w:numId w:val="31"/>
            </w:numPr>
            <w:rPr>
              <w:rFonts w:ascii="宋体" w:hAnsi="宋体" w:cs="宋体"/>
              <w:kern w:val="0"/>
              <w:szCs w:val="22"/>
            </w:rPr>
          </w:pPr>
          <w:r>
            <w:rPr>
              <w:rFonts w:ascii="宋体" w:hAnsi="宋体" w:cs="宋体" w:hint="eastAsia"/>
              <w:kern w:val="0"/>
              <w:szCs w:val="22"/>
            </w:rPr>
            <w:t>报告期后到半年报披露日期间发生股份变动对每股收益、每股净资产等财务指标的影响（如有）</w:t>
          </w:r>
        </w:p>
        <w:sdt>
          <w:sdtPr>
            <w:rPr>
              <w:rFonts w:hint="eastAsia"/>
            </w:rPr>
            <w:alias w:val="是否适用：普通股股份变动对最近一年和最近一期每股收益、每股净资产等财务指标的影响[双击切换]"/>
            <w:tag w:val="_GBC_bb0980f1589b4db8944ca5595f342bfe"/>
            <w:id w:val="-1316869864"/>
            <w:lock w:val="sdtLocked"/>
            <w:placeholder>
              <w:docPart w:val="GBC22222222222222222222222222222"/>
            </w:placeholder>
          </w:sdtPr>
          <w:sdtEndPr/>
          <w:sdtContent>
            <w:p w14:paraId="7673856D" w14:textId="64953C93" w:rsidR="007F1C2B" w:rsidRDefault="004F686E" w:rsidP="00054539">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48D2A5D3" w14:textId="77777777" w:rsidR="007F1C2B" w:rsidRDefault="00B664AF"/>
    <w:sdt>
      <w:sdtPr>
        <w:rPr>
          <w:rFonts w:ascii="宋体" w:hAnsi="宋体" w:cs="宋体"/>
          <w:b w:val="0"/>
          <w:bCs w:val="0"/>
          <w:kern w:val="0"/>
          <w:szCs w:val="22"/>
        </w:rPr>
        <w:alias w:val="模块:公司认为必要或证券监管机构要求披露的其他内容"/>
        <w:tag w:val="_GBC_ea8cea8d08c04df4b51a4a58c86eadd2"/>
        <w:id w:val="744606709"/>
        <w:lock w:val="sdtLocked"/>
        <w:placeholder>
          <w:docPart w:val="GBC22222222222222222222222222222"/>
        </w:placeholder>
      </w:sdtPr>
      <w:sdtEndPr>
        <w:rPr>
          <w:rFonts w:hint="eastAsia"/>
          <w:szCs w:val="24"/>
        </w:rPr>
      </w:sdtEndPr>
      <w:sdtContent>
        <w:p w14:paraId="543079FA" w14:textId="77777777" w:rsidR="007F1C2B" w:rsidRDefault="004F686E" w:rsidP="004F686E">
          <w:pPr>
            <w:pStyle w:val="4"/>
            <w:numPr>
              <w:ilvl w:val="2"/>
              <w:numId w:val="31"/>
            </w:numPr>
            <w:rPr>
              <w:rFonts w:ascii="宋体" w:hAnsi="宋体"/>
            </w:rPr>
          </w:pPr>
          <w:r>
            <w:rPr>
              <w:rFonts w:ascii="宋体" w:hAnsi="宋体"/>
            </w:rPr>
            <w:t>公司认为必要或证券监管机构要求披露的其他内容</w:t>
          </w:r>
        </w:p>
        <w:sdt>
          <w:sdtPr>
            <w:alias w:val="是否适用：公司认为必要或证券监管机构要求披露的其他内容[双击切换]"/>
            <w:tag w:val="_GBC_7554eed1e25047d282437f24056d532b"/>
            <w:id w:val="-1786188006"/>
            <w:lock w:val="sdtLocked"/>
            <w:placeholder>
              <w:docPart w:val="GBC22222222222222222222222222222"/>
            </w:placeholder>
          </w:sdtPr>
          <w:sdtEndPr/>
          <w:sdtContent>
            <w:p w14:paraId="1D3E66C0" w14:textId="4ED05A93" w:rsidR="007F1C2B" w:rsidRDefault="004F686E" w:rsidP="00054539">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7DF8A7AB" w14:textId="77777777" w:rsidR="007F1C2B" w:rsidRDefault="00B664AF"/>
    <w:sdt>
      <w:sdtPr>
        <w:rPr>
          <w:rFonts w:ascii="宋体" w:hAnsi="宋体" w:cs="宋体"/>
          <w:b w:val="0"/>
          <w:bCs w:val="0"/>
          <w:kern w:val="0"/>
          <w:szCs w:val="24"/>
        </w:rPr>
        <w:alias w:val="模块:限售股份变动情况"/>
        <w:tag w:val="_SEC_71bda84d0fff4902850bfc37d3477fb7"/>
        <w:id w:val="312533606"/>
        <w:lock w:val="sdtLocked"/>
        <w:placeholder>
          <w:docPart w:val="GBC22222222222222222222222222222"/>
        </w:placeholder>
      </w:sdtPr>
      <w:sdtEndPr>
        <w:rPr>
          <w:rFonts w:hint="eastAsia"/>
        </w:rPr>
      </w:sdtEndPr>
      <w:sdtContent>
        <w:p w14:paraId="474535BE" w14:textId="288ABEEC" w:rsidR="007F1C2B" w:rsidRDefault="004F686E" w:rsidP="004F686E">
          <w:pPr>
            <w:pStyle w:val="3"/>
            <w:numPr>
              <w:ilvl w:val="1"/>
              <w:numId w:val="30"/>
            </w:numPr>
            <w:rPr>
              <w:rFonts w:ascii="宋体" w:hAnsi="宋体"/>
            </w:rPr>
          </w:pPr>
          <w:r w:rsidRPr="00BE411E">
            <w:rPr>
              <w:rFonts w:ascii="宋体" w:hAnsi="宋体"/>
            </w:rPr>
            <w:t>限售股份</w:t>
          </w:r>
          <w:r>
            <w:rPr>
              <w:rFonts w:ascii="宋体" w:hAnsi="宋体"/>
            </w:rPr>
            <w:t>变动情况</w:t>
          </w:r>
        </w:p>
        <w:sdt>
          <w:sdtPr>
            <w:alias w:val="是否适用：限售股份变动情况表[双击切换]"/>
            <w:tag w:val="_GBC_6f5978a50e224b6aa94189436cdee711"/>
            <w:id w:val="-475535549"/>
            <w:lock w:val="sdtLocked"/>
            <w:placeholder>
              <w:docPart w:val="GBC22222222222222222222222222222"/>
            </w:placeholder>
          </w:sdtPr>
          <w:sdtEndPr/>
          <w:sdtContent>
            <w:p w14:paraId="452BA625" w14:textId="279B634D" w:rsidR="007F1C2B" w:rsidRDefault="004F686E">
              <w:r>
                <w:fldChar w:fldCharType="begin"/>
              </w:r>
              <w:r w:rsidR="006C51ED">
                <w:instrText xml:space="preserve"> MACROBUTTON  SnrToggleCheckbox √适用 </w:instrText>
              </w:r>
              <w:r>
                <w:fldChar w:fldCharType="end"/>
              </w:r>
              <w:r>
                <w:fldChar w:fldCharType="begin"/>
              </w:r>
              <w:r w:rsidR="006C51ED">
                <w:instrText xml:space="preserve"> MACROBUTTON  SnrToggleCheckbox □不适用 </w:instrText>
              </w:r>
              <w:r>
                <w:fldChar w:fldCharType="end"/>
              </w:r>
            </w:p>
          </w:sdtContent>
        </w:sdt>
        <w:p w14:paraId="3691B767" w14:textId="7C8DBD42" w:rsidR="007F1C2B" w:rsidRDefault="004F686E">
          <w:pPr>
            <w:jc w:val="right"/>
          </w:pPr>
          <w:r>
            <w:rPr>
              <w:rFonts w:hint="eastAsia"/>
            </w:rPr>
            <w:t xml:space="preserve">单位： </w:t>
          </w:r>
          <w:sdt>
            <w:sdtPr>
              <w:rPr>
                <w:rFonts w:hint="eastAsia"/>
              </w:rPr>
              <w:alias w:val="单位：限售股份变动情况表"/>
              <w:tag w:val="_GBC_bc29b2c9162c4de0949e481db63b6d68"/>
              <w:id w:val="1697736570"/>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rFonts w:hint="eastAsia"/>
                </w:rPr>
                <w:t>股</w:t>
              </w:r>
            </w:sdtContent>
          </w:sdt>
        </w:p>
        <w:tbl>
          <w:tblPr>
            <w:tblStyle w:val="g2"/>
            <w:tblW w:w="0" w:type="auto"/>
            <w:tblLook w:val="04A0" w:firstRow="1" w:lastRow="0" w:firstColumn="1" w:lastColumn="0" w:noHBand="0" w:noVBand="1"/>
          </w:tblPr>
          <w:tblGrid>
            <w:gridCol w:w="1245"/>
            <w:gridCol w:w="1291"/>
            <w:gridCol w:w="1245"/>
            <w:gridCol w:w="1246"/>
            <w:gridCol w:w="1292"/>
            <w:gridCol w:w="1246"/>
            <w:gridCol w:w="1258"/>
          </w:tblGrid>
          <w:tr w:rsidR="007F1C2B" w14:paraId="76EEA395" w14:textId="77777777" w:rsidTr="00310188">
            <w:sdt>
              <w:sdtPr>
                <w:tag w:val="_PLD_8d75aaa1e1a6469c8b8d62739512a0d7"/>
                <w:id w:val="127130108"/>
                <w:lock w:val="sdtLocked"/>
              </w:sdtPr>
              <w:sdtEndPr/>
              <w:sdtContent>
                <w:tc>
                  <w:tcPr>
                    <w:tcW w:w="1292" w:type="dxa"/>
                    <w:vAlign w:val="center"/>
                  </w:tcPr>
                  <w:p w14:paraId="0F35BBB8" w14:textId="77777777" w:rsidR="007F1C2B" w:rsidRDefault="004F686E">
                    <w:pPr>
                      <w:jc w:val="center"/>
                    </w:pPr>
                    <w:r>
                      <w:t>股东名称</w:t>
                    </w:r>
                  </w:p>
                </w:tc>
              </w:sdtContent>
            </w:sdt>
            <w:sdt>
              <w:sdtPr>
                <w:tag w:val="_PLD_3634bb194c734c2696ff13517825df21"/>
                <w:id w:val="-35584097"/>
                <w:lock w:val="sdtLocked"/>
              </w:sdtPr>
              <w:sdtEndPr/>
              <w:sdtContent>
                <w:tc>
                  <w:tcPr>
                    <w:tcW w:w="1292" w:type="dxa"/>
                    <w:vAlign w:val="center"/>
                  </w:tcPr>
                  <w:p w14:paraId="1B6F3865" w14:textId="77777777" w:rsidR="007F1C2B" w:rsidRDefault="004F686E">
                    <w:pPr>
                      <w:jc w:val="center"/>
                    </w:pPr>
                    <w:r>
                      <w:t>期初限售股数</w:t>
                    </w:r>
                  </w:p>
                </w:tc>
              </w:sdtContent>
            </w:sdt>
            <w:sdt>
              <w:sdtPr>
                <w:tag w:val="_PLD_4755ca33c9824685a97cc3f88e193f67"/>
                <w:id w:val="-1621908534"/>
                <w:lock w:val="sdtLocked"/>
              </w:sdtPr>
              <w:sdtEndPr/>
              <w:sdtContent>
                <w:tc>
                  <w:tcPr>
                    <w:tcW w:w="1292" w:type="dxa"/>
                    <w:vAlign w:val="center"/>
                  </w:tcPr>
                  <w:p w14:paraId="14D33729" w14:textId="77777777" w:rsidR="007F1C2B" w:rsidRDefault="004F686E">
                    <w:pPr>
                      <w:jc w:val="center"/>
                    </w:pPr>
                    <w:r>
                      <w:t>报告期解除限售股数</w:t>
                    </w:r>
                  </w:p>
                </w:tc>
              </w:sdtContent>
            </w:sdt>
            <w:sdt>
              <w:sdtPr>
                <w:tag w:val="_PLD_49473502339e4181be770f8a2d8de8a4"/>
                <w:id w:val="-414555994"/>
                <w:lock w:val="sdtLocked"/>
              </w:sdtPr>
              <w:sdtEndPr/>
              <w:sdtContent>
                <w:tc>
                  <w:tcPr>
                    <w:tcW w:w="1293" w:type="dxa"/>
                    <w:vAlign w:val="center"/>
                  </w:tcPr>
                  <w:p w14:paraId="05F7E9C7" w14:textId="77777777" w:rsidR="007F1C2B" w:rsidRDefault="004F686E">
                    <w:pPr>
                      <w:jc w:val="center"/>
                    </w:pPr>
                    <w:r>
                      <w:t>报告期增加限售股数</w:t>
                    </w:r>
                  </w:p>
                </w:tc>
              </w:sdtContent>
            </w:sdt>
            <w:sdt>
              <w:sdtPr>
                <w:tag w:val="_PLD_c697098ebce54cc48717d1ac0dbb84dd"/>
                <w:id w:val="412754363"/>
                <w:lock w:val="sdtLocked"/>
              </w:sdtPr>
              <w:sdtEndPr/>
              <w:sdtContent>
                <w:tc>
                  <w:tcPr>
                    <w:tcW w:w="1293" w:type="dxa"/>
                    <w:vAlign w:val="center"/>
                  </w:tcPr>
                  <w:p w14:paraId="12D02E85" w14:textId="77777777" w:rsidR="007F1C2B" w:rsidRDefault="004F686E">
                    <w:pPr>
                      <w:jc w:val="center"/>
                    </w:pPr>
                    <w:r>
                      <w:t>报告期末限售股数</w:t>
                    </w:r>
                  </w:p>
                </w:tc>
              </w:sdtContent>
            </w:sdt>
            <w:sdt>
              <w:sdtPr>
                <w:tag w:val="_PLD_d0290f9781f3416fbffc73a7286c9b99"/>
                <w:id w:val="1238288112"/>
                <w:lock w:val="sdtLocked"/>
              </w:sdtPr>
              <w:sdtEndPr/>
              <w:sdtContent>
                <w:tc>
                  <w:tcPr>
                    <w:tcW w:w="1293" w:type="dxa"/>
                    <w:vAlign w:val="center"/>
                  </w:tcPr>
                  <w:p w14:paraId="579552C5" w14:textId="77777777" w:rsidR="007F1C2B" w:rsidRDefault="004F686E">
                    <w:pPr>
                      <w:jc w:val="center"/>
                    </w:pPr>
                    <w:r>
                      <w:t>限售原因</w:t>
                    </w:r>
                  </w:p>
                </w:tc>
              </w:sdtContent>
            </w:sdt>
            <w:sdt>
              <w:sdtPr>
                <w:tag w:val="_PLD_a14912db8c344a3b8e5608678863e824"/>
                <w:id w:val="1103459974"/>
                <w:lock w:val="sdtLocked"/>
              </w:sdtPr>
              <w:sdtEndPr/>
              <w:sdtContent>
                <w:tc>
                  <w:tcPr>
                    <w:tcW w:w="1293" w:type="dxa"/>
                    <w:vAlign w:val="center"/>
                  </w:tcPr>
                  <w:p w14:paraId="16954116" w14:textId="77777777" w:rsidR="007F1C2B" w:rsidRDefault="004F686E">
                    <w:pPr>
                      <w:jc w:val="center"/>
                    </w:pPr>
                    <w:r>
                      <w:t>解除限售日期</w:t>
                    </w:r>
                  </w:p>
                </w:tc>
              </w:sdtContent>
            </w:sdt>
          </w:tr>
          <w:sdt>
            <w:sdtPr>
              <w:rPr>
                <w:rFonts w:hint="eastAsia"/>
              </w:rPr>
              <w:alias w:val="限售股份变动情况明细"/>
              <w:tag w:val="_GBC_5bf5408e6ceb4fc586213de4206b6642"/>
              <w:id w:val="1393775701"/>
              <w:lock w:val="sdtLocked"/>
              <w:placeholder>
                <w:docPart w:val="GBC11111111111111111111111111111"/>
              </w:placeholder>
            </w:sdtPr>
            <w:sdtEndPr/>
            <w:sdtContent>
              <w:tr w:rsidR="007F1C2B" w14:paraId="016672D8" w14:textId="77777777" w:rsidTr="009B0249">
                <w:tc>
                  <w:tcPr>
                    <w:tcW w:w="1292" w:type="dxa"/>
                  </w:tcPr>
                  <w:p w14:paraId="3C068CFB" w14:textId="37F14C33" w:rsidR="007F1C2B" w:rsidRDefault="004F686E">
                    <w:pPr>
                      <w:jc w:val="left"/>
                    </w:pPr>
                    <w:r w:rsidRPr="00C71AA0">
                      <w:rPr>
                        <w:rFonts w:hint="eastAsia"/>
                      </w:rPr>
                      <w:t>北京京城机电控股</w:t>
                    </w:r>
                    <w:r w:rsidRPr="00C71AA0">
                      <w:rPr>
                        <w:rFonts w:hint="eastAsia"/>
                      </w:rPr>
                      <w:lastRenderedPageBreak/>
                      <w:t>有限责任公司</w:t>
                    </w:r>
                  </w:p>
                </w:tc>
                <w:tc>
                  <w:tcPr>
                    <w:tcW w:w="1292" w:type="dxa"/>
                  </w:tcPr>
                  <w:p w14:paraId="625B4AC7" w14:textId="502F3916" w:rsidR="007F1C2B" w:rsidRPr="00C71AA0" w:rsidRDefault="004F686E">
                    <w:pPr>
                      <w:jc w:val="right"/>
                    </w:pPr>
                    <w:r>
                      <w:lastRenderedPageBreak/>
                      <w:t>63,000,000</w:t>
                    </w:r>
                  </w:p>
                </w:tc>
                <w:tc>
                  <w:tcPr>
                    <w:tcW w:w="1292" w:type="dxa"/>
                  </w:tcPr>
                  <w:p w14:paraId="6350AD13" w14:textId="3EADE8B1" w:rsidR="007F1C2B" w:rsidRDefault="004F686E">
                    <w:pPr>
                      <w:jc w:val="right"/>
                    </w:pPr>
                    <w:r>
                      <w:rPr>
                        <w:rFonts w:hint="eastAsia"/>
                      </w:rPr>
                      <w:t>0</w:t>
                    </w:r>
                  </w:p>
                </w:tc>
                <w:tc>
                  <w:tcPr>
                    <w:tcW w:w="1293" w:type="dxa"/>
                  </w:tcPr>
                  <w:p w14:paraId="290CAA9D" w14:textId="30C4B720" w:rsidR="007F1C2B" w:rsidRDefault="004F686E">
                    <w:pPr>
                      <w:jc w:val="right"/>
                    </w:pPr>
                    <w:r>
                      <w:rPr>
                        <w:rFonts w:hint="eastAsia"/>
                      </w:rPr>
                      <w:t>0</w:t>
                    </w:r>
                  </w:p>
                </w:tc>
                <w:tc>
                  <w:tcPr>
                    <w:tcW w:w="1293" w:type="dxa"/>
                  </w:tcPr>
                  <w:p w14:paraId="65FA1469" w14:textId="3DB04709" w:rsidR="007F1C2B" w:rsidRDefault="004F686E">
                    <w:pPr>
                      <w:jc w:val="right"/>
                    </w:pPr>
                    <w:r>
                      <w:t>63,000,000</w:t>
                    </w:r>
                  </w:p>
                </w:tc>
                <w:tc>
                  <w:tcPr>
                    <w:tcW w:w="1293" w:type="dxa"/>
                  </w:tcPr>
                  <w:p w14:paraId="45EDF602" w14:textId="03DF28E8" w:rsidR="007F1C2B" w:rsidRDefault="004F686E">
                    <w:pPr>
                      <w:jc w:val="left"/>
                    </w:pPr>
                    <w:r>
                      <w:rPr>
                        <w:rFonts w:hint="eastAsia"/>
                      </w:rPr>
                      <w:t>非公开发行限售</w:t>
                    </w:r>
                  </w:p>
                </w:tc>
                <w:tc>
                  <w:tcPr>
                    <w:tcW w:w="1293" w:type="dxa"/>
                  </w:tcPr>
                  <w:p w14:paraId="550379DA" w14:textId="451EBCC9" w:rsidR="007F1C2B" w:rsidRDefault="004F686E">
                    <w:pPr>
                      <w:jc w:val="left"/>
                    </w:pPr>
                    <w:r w:rsidRPr="001902D9">
                      <w:t>2023年7月11日</w:t>
                    </w:r>
                  </w:p>
                </w:tc>
              </w:tr>
            </w:sdtContent>
          </w:sdt>
          <w:tr w:rsidR="001902D9" w14:paraId="737EC38B" w14:textId="77777777" w:rsidTr="00471D53">
            <w:sdt>
              <w:sdtPr>
                <w:tag w:val="_PLD_9f2d18ccb03a46749847552c3ae44f2d"/>
                <w:id w:val="-1648891608"/>
                <w:lock w:val="sdtLocked"/>
              </w:sdtPr>
              <w:sdtEndPr/>
              <w:sdtContent>
                <w:tc>
                  <w:tcPr>
                    <w:tcW w:w="1292" w:type="dxa"/>
                  </w:tcPr>
                  <w:p w14:paraId="5250895B" w14:textId="77777777" w:rsidR="001902D9" w:rsidRDefault="004F686E" w:rsidP="001902D9">
                    <w:r>
                      <w:t>合计</w:t>
                    </w:r>
                  </w:p>
                </w:tc>
              </w:sdtContent>
            </w:sdt>
            <w:tc>
              <w:tcPr>
                <w:tcW w:w="1292" w:type="dxa"/>
                <w:vAlign w:val="center"/>
              </w:tcPr>
              <w:p w14:paraId="76B24D6F" w14:textId="71BC2197" w:rsidR="001902D9" w:rsidRDefault="004F686E" w:rsidP="001902D9">
                <w:pPr>
                  <w:jc w:val="right"/>
                </w:pPr>
                <w:r>
                  <w:t>63,000,000</w:t>
                </w:r>
              </w:p>
            </w:tc>
            <w:tc>
              <w:tcPr>
                <w:tcW w:w="1292" w:type="dxa"/>
                <w:vAlign w:val="center"/>
              </w:tcPr>
              <w:p w14:paraId="31519DC7" w14:textId="59618A80" w:rsidR="001902D9" w:rsidRDefault="004F686E" w:rsidP="001902D9">
                <w:pPr>
                  <w:jc w:val="right"/>
                </w:pPr>
                <w:r>
                  <w:t>0</w:t>
                </w:r>
              </w:p>
            </w:tc>
            <w:tc>
              <w:tcPr>
                <w:tcW w:w="1293" w:type="dxa"/>
                <w:vAlign w:val="center"/>
              </w:tcPr>
              <w:p w14:paraId="231E97E9" w14:textId="0E0B3907" w:rsidR="001902D9" w:rsidRDefault="004F686E" w:rsidP="001902D9">
                <w:pPr>
                  <w:jc w:val="right"/>
                </w:pPr>
                <w:r>
                  <w:t>0</w:t>
                </w:r>
              </w:p>
            </w:tc>
            <w:tc>
              <w:tcPr>
                <w:tcW w:w="1293" w:type="dxa"/>
                <w:vAlign w:val="center"/>
              </w:tcPr>
              <w:p w14:paraId="67B69D75" w14:textId="5F9783EE" w:rsidR="001902D9" w:rsidRDefault="004F686E" w:rsidP="001902D9">
                <w:pPr>
                  <w:jc w:val="right"/>
                </w:pPr>
                <w:r>
                  <w:t>63,000,000</w:t>
                </w:r>
              </w:p>
            </w:tc>
            <w:tc>
              <w:tcPr>
                <w:tcW w:w="1293" w:type="dxa"/>
              </w:tcPr>
              <w:p w14:paraId="63C38D35" w14:textId="77777777" w:rsidR="001902D9" w:rsidRDefault="004F686E" w:rsidP="001902D9">
                <w:pPr>
                  <w:jc w:val="center"/>
                </w:pPr>
                <w:r>
                  <w:rPr>
                    <w:rFonts w:hint="eastAsia"/>
                  </w:rPr>
                  <w:t>/</w:t>
                </w:r>
              </w:p>
            </w:tc>
            <w:tc>
              <w:tcPr>
                <w:tcW w:w="1293" w:type="dxa"/>
              </w:tcPr>
              <w:p w14:paraId="600D262F" w14:textId="4C90103C" w:rsidR="001902D9" w:rsidRDefault="004F686E" w:rsidP="001902D9">
                <w:pPr>
                  <w:jc w:val="center"/>
                </w:pPr>
                <w:r>
                  <w:rPr>
                    <w:rFonts w:hint="eastAsia"/>
                  </w:rPr>
                  <w:t>/</w:t>
                </w:r>
              </w:p>
            </w:tc>
          </w:tr>
        </w:tbl>
      </w:sdtContent>
    </w:sdt>
    <w:p w14:paraId="6120AFF8" w14:textId="559DE50B" w:rsidR="007F1C2B" w:rsidRDefault="00B664AF"/>
    <w:p w14:paraId="3E0B9C54" w14:textId="77777777" w:rsidR="007F1C2B" w:rsidRDefault="004F686E" w:rsidP="004F686E">
      <w:pPr>
        <w:pStyle w:val="2"/>
        <w:numPr>
          <w:ilvl w:val="0"/>
          <w:numId w:val="29"/>
        </w:numPr>
        <w:spacing w:line="360" w:lineRule="auto"/>
        <w:ind w:left="422" w:hanging="422"/>
        <w:rPr>
          <w:rFonts w:ascii="宋体" w:hAnsi="宋体"/>
        </w:rPr>
      </w:pPr>
      <w:r>
        <w:rPr>
          <w:rFonts w:ascii="宋体" w:hAnsi="宋体"/>
        </w:rPr>
        <w:t>股东情况</w:t>
      </w:r>
      <w:bookmarkEnd w:id="64"/>
      <w:bookmarkEnd w:id="63"/>
    </w:p>
    <w:sdt>
      <w:sdtPr>
        <w:rPr>
          <w:rFonts w:ascii="宋体" w:hAnsi="宋体" w:cs="宋体"/>
          <w:b w:val="0"/>
          <w:bCs w:val="0"/>
          <w:kern w:val="0"/>
          <w:szCs w:val="22"/>
        </w:rPr>
        <w:alias w:val="模块:股东总数"/>
        <w:tag w:val="_GBC_ba0ac3b5d31347c0a620e3662112fa62"/>
        <w:id w:val="2069529999"/>
        <w:lock w:val="sdtLocked"/>
        <w:placeholder>
          <w:docPart w:val="GBC22222222222222222222222222222"/>
        </w:placeholder>
      </w:sdtPr>
      <w:sdtEndPr>
        <w:rPr>
          <w:szCs w:val="24"/>
        </w:rPr>
      </w:sdtEndPr>
      <w:sdtContent>
        <w:p w14:paraId="5E79172F" w14:textId="021A08B3" w:rsidR="007F1C2B" w:rsidRDefault="004F686E" w:rsidP="004F686E">
          <w:pPr>
            <w:pStyle w:val="3"/>
            <w:numPr>
              <w:ilvl w:val="1"/>
              <w:numId w:val="32"/>
            </w:numPr>
            <w:rPr>
              <w:rFonts w:ascii="宋体" w:hAnsi="宋体"/>
            </w:rPr>
          </w:pPr>
          <w:r>
            <w:rPr>
              <w:rFonts w:ascii="宋体" w:hAnsi="宋体"/>
            </w:rPr>
            <w:t>股东总数：</w:t>
          </w:r>
        </w:p>
        <w:tbl>
          <w:tblPr>
            <w:tblStyle w:val="g2"/>
            <w:tblW w:w="0" w:type="auto"/>
            <w:tblLook w:val="04A0" w:firstRow="1" w:lastRow="0" w:firstColumn="1" w:lastColumn="0" w:noHBand="0" w:noVBand="1"/>
          </w:tblPr>
          <w:tblGrid>
            <w:gridCol w:w="4941"/>
            <w:gridCol w:w="3882"/>
          </w:tblGrid>
          <w:tr w:rsidR="007F1C2B" w14:paraId="0C214364" w14:textId="77777777" w:rsidTr="00310188">
            <w:sdt>
              <w:sdtPr>
                <w:tag w:val="_PLD_9206d6884981495295105158630a6172"/>
                <w:id w:val="-228462402"/>
                <w:lock w:val="sdtLocked"/>
              </w:sdtPr>
              <w:sdtEndPr/>
              <w:sdtContent>
                <w:tc>
                  <w:tcPr>
                    <w:tcW w:w="5070" w:type="dxa"/>
                  </w:tcPr>
                  <w:p w14:paraId="667B49A7" w14:textId="77777777" w:rsidR="007F1C2B" w:rsidRDefault="004F686E">
                    <w:r>
                      <w:t>截止报告期末</w:t>
                    </w:r>
                    <w:r>
                      <w:rPr>
                        <w:rFonts w:hint="eastAsia"/>
                      </w:rPr>
                      <w:t>普通股</w:t>
                    </w:r>
                    <w:r>
                      <w:t>股东总数(户)</w:t>
                    </w:r>
                  </w:p>
                </w:tc>
              </w:sdtContent>
            </w:sdt>
            <w:sdt>
              <w:sdtPr>
                <w:alias w:val="报告期末股东总数"/>
                <w:tag w:val="_GBC_9fd402ec66014f4e9716c7fdb0286bd2"/>
                <w:id w:val="313001882"/>
                <w:lock w:val="sdtLocked"/>
              </w:sdtPr>
              <w:sdtEndPr/>
              <w:sdtContent>
                <w:tc>
                  <w:tcPr>
                    <w:tcW w:w="3978" w:type="dxa"/>
                  </w:tcPr>
                  <w:p w14:paraId="22C574DF" w14:textId="265E0E97" w:rsidR="007F1C2B" w:rsidRDefault="004F686E">
                    <w:pPr>
                      <w:jc w:val="right"/>
                    </w:pPr>
                    <w:r>
                      <w:t>15,345</w:t>
                    </w:r>
                  </w:p>
                </w:tc>
              </w:sdtContent>
            </w:sdt>
          </w:tr>
          <w:tr w:rsidR="007F1C2B" w14:paraId="5F5FF28C" w14:textId="77777777" w:rsidTr="00310188">
            <w:sdt>
              <w:sdtPr>
                <w:tag w:val="_PLD_40c51c13ddad420ab635010b5df15a40"/>
                <w:id w:val="-266846549"/>
                <w:lock w:val="sdtLocked"/>
              </w:sdtPr>
              <w:sdtEndPr/>
              <w:sdtContent>
                <w:tc>
                  <w:tcPr>
                    <w:tcW w:w="5070" w:type="dxa"/>
                  </w:tcPr>
                  <w:p w14:paraId="73230587" w14:textId="77777777" w:rsidR="007F1C2B" w:rsidRDefault="004F686E">
                    <w:r>
                      <w:rPr>
                        <w:rFonts w:hint="eastAsia"/>
                      </w:rPr>
                      <w:t>截止报告期末表决权恢复的优先股股东总数（户）</w:t>
                    </w:r>
                  </w:p>
                </w:tc>
              </w:sdtContent>
            </w:sdt>
            <w:tc>
              <w:tcPr>
                <w:tcW w:w="3978" w:type="dxa"/>
              </w:tcPr>
              <w:p w14:paraId="219800B5" w14:textId="62F20FF8" w:rsidR="007F1C2B" w:rsidRDefault="004F686E">
                <w:pPr>
                  <w:jc w:val="right"/>
                </w:pPr>
                <w:r>
                  <w:rPr>
                    <w:rFonts w:hint="eastAsia"/>
                  </w:rPr>
                  <w:t>0</w:t>
                </w:r>
              </w:p>
            </w:tc>
          </w:tr>
        </w:tbl>
        <w:p w14:paraId="3F9FD686" w14:textId="344AE43F" w:rsidR="007F1C2B" w:rsidRDefault="00B664AF"/>
      </w:sdtContent>
    </w:sdt>
    <w:bookmarkStart w:id="65" w:name="_Toc342059485" w:displacedByCustomXml="next"/>
    <w:bookmarkStart w:id="66" w:name="_Toc342565998" w:displacedByCustomXml="next"/>
    <w:sdt>
      <w:sdtPr>
        <w:rPr>
          <w:rFonts w:ascii="宋体" w:hAnsi="宋体" w:cs="宋体" w:hint="eastAsia"/>
          <w:b w:val="0"/>
          <w:bCs w:val="0"/>
          <w:kern w:val="0"/>
          <w:szCs w:val="22"/>
        </w:rPr>
        <w:alias w:val="选项模块:前十名股东持股情况(已完成或不涉及股改)"/>
        <w:tag w:val="_GBC_558dfa41ef4b4fa8adb57b3c9c0a2887"/>
        <w:id w:val="-434214558"/>
        <w:lock w:val="sdtLocked"/>
        <w:placeholder>
          <w:docPart w:val="GBC22222222222222222222222222222"/>
        </w:placeholder>
      </w:sdtPr>
      <w:sdtEndPr>
        <w:rPr>
          <w:rFonts w:hint="default"/>
          <w:szCs w:val="24"/>
        </w:rPr>
      </w:sdtEndPr>
      <w:sdtContent>
        <w:bookmarkEnd w:id="66" w:displacedByCustomXml="prev"/>
        <w:bookmarkEnd w:id="65" w:displacedByCustomXml="prev"/>
        <w:p w14:paraId="4BD790C2" w14:textId="7452F8E3" w:rsidR="007F1C2B" w:rsidRDefault="004F686E" w:rsidP="004F686E">
          <w:pPr>
            <w:pStyle w:val="3"/>
            <w:numPr>
              <w:ilvl w:val="1"/>
              <w:numId w:val="32"/>
            </w:numPr>
            <w:rPr>
              <w:rFonts w:ascii="宋体" w:hAnsi="宋体"/>
            </w:rPr>
          </w:pPr>
          <w:r>
            <w:rPr>
              <w:rFonts w:ascii="宋体" w:hAnsi="宋体" w:hint="eastAsia"/>
              <w:szCs w:val="21"/>
            </w:rPr>
            <w:t>截止报告期末前十名股东、前十名流通股东（或无限售条件股东）持股情况表</w:t>
          </w:r>
        </w:p>
        <w:p w14:paraId="504E6895" w14:textId="1D25AA1B" w:rsidR="007F1C2B" w:rsidRDefault="004F686E">
          <w:pPr>
            <w:jc w:val="right"/>
            <w:rPr>
              <w:szCs w:val="21"/>
            </w:rPr>
          </w:pPr>
          <w:r>
            <w:rPr>
              <w:bCs/>
              <w:szCs w:val="21"/>
            </w:rPr>
            <w:t>单位：</w:t>
          </w:r>
          <w:sdt>
            <w:sdtPr>
              <w:rPr>
                <w:bCs/>
                <w:szCs w:val="21"/>
              </w:rPr>
              <w:alias w:val="单位：前十名股东持股情况"/>
              <w:tag w:val="_GBC_9d020b31dcb449c980ed0856cf6dae82"/>
              <w:id w:val="241145348"/>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bCs/>
                  <w:szCs w:val="21"/>
                </w:rPr>
                <w:t>股</w:t>
              </w:r>
            </w:sdtContent>
          </w:sdt>
        </w:p>
        <w:tbl>
          <w:tblPr>
            <w:tblStyle w:val="g4"/>
            <w:tblW w:w="9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275"/>
            <w:gridCol w:w="1418"/>
            <w:gridCol w:w="850"/>
            <w:gridCol w:w="1418"/>
            <w:gridCol w:w="992"/>
            <w:gridCol w:w="596"/>
            <w:gridCol w:w="255"/>
            <w:gridCol w:w="1144"/>
          </w:tblGrid>
          <w:tr w:rsidR="007F43A3" w14:paraId="7DEB3F9A" w14:textId="77777777" w:rsidTr="002361F1">
            <w:trPr>
              <w:cantSplit/>
            </w:trPr>
            <w:sdt>
              <w:sdtPr>
                <w:rPr>
                  <w:rFonts w:ascii="宋体" w:hAnsi="宋体"/>
                </w:rPr>
                <w:tag w:val="_PLD_3038da138bad4905b589aeba821a8575"/>
                <w:id w:val="1765189164"/>
                <w:lock w:val="sdtLocked"/>
              </w:sdtPr>
              <w:sdtEndPr/>
              <w:sdtContent>
                <w:tc>
                  <w:tcPr>
                    <w:tcW w:w="9049" w:type="dxa"/>
                    <w:gridSpan w:val="9"/>
                    <w:shd w:val="clear" w:color="auto" w:fill="auto"/>
                    <w:vAlign w:val="center"/>
                  </w:tcPr>
                  <w:p w14:paraId="23FEB826" w14:textId="77777777" w:rsidR="007F43A3" w:rsidRDefault="004F686E" w:rsidP="001979B0">
                    <w:pPr>
                      <w:pStyle w:val="ab"/>
                      <w:jc w:val="center"/>
                      <w:rPr>
                        <w:rFonts w:ascii="宋体" w:hAnsi="宋体"/>
                      </w:rPr>
                    </w:pPr>
                    <w:r>
                      <w:rPr>
                        <w:rFonts w:ascii="宋体" w:hAnsi="宋体"/>
                      </w:rPr>
                      <w:t>前十名股东持股情况</w:t>
                    </w:r>
                  </w:p>
                </w:tc>
              </w:sdtContent>
            </w:sdt>
          </w:tr>
          <w:tr w:rsidR="007F43A3" w14:paraId="1923707F" w14:textId="77777777" w:rsidTr="002361F1">
            <w:trPr>
              <w:cantSplit/>
            </w:trPr>
            <w:sdt>
              <w:sdtPr>
                <w:tag w:val="_PLD_80eda5ca76254dc1b950ed7de7dc5885"/>
                <w:id w:val="1348981926"/>
                <w:lock w:val="sdtLocked"/>
              </w:sdtPr>
              <w:sdtEndPr/>
              <w:sdtContent>
                <w:tc>
                  <w:tcPr>
                    <w:tcW w:w="1101" w:type="dxa"/>
                    <w:vMerge w:val="restart"/>
                    <w:shd w:val="clear" w:color="auto" w:fill="auto"/>
                    <w:vAlign w:val="center"/>
                  </w:tcPr>
                  <w:p w14:paraId="44F3E0D2" w14:textId="77777777" w:rsidR="007F43A3" w:rsidRDefault="004F686E" w:rsidP="001979B0">
                    <w:pPr>
                      <w:jc w:val="center"/>
                      <w:rPr>
                        <w:szCs w:val="21"/>
                      </w:rPr>
                    </w:pPr>
                    <w:r>
                      <w:rPr>
                        <w:szCs w:val="21"/>
                      </w:rPr>
                      <w:t>股东名称</w:t>
                    </w:r>
                  </w:p>
                  <w:p w14:paraId="5B04A517" w14:textId="77777777" w:rsidR="007F43A3" w:rsidRDefault="004F686E" w:rsidP="001979B0">
                    <w:pPr>
                      <w:jc w:val="center"/>
                      <w:rPr>
                        <w:szCs w:val="21"/>
                      </w:rPr>
                    </w:pPr>
                    <w:r>
                      <w:rPr>
                        <w:rFonts w:hint="eastAsia"/>
                        <w:szCs w:val="21"/>
                      </w:rPr>
                      <w:t>（全称）</w:t>
                    </w:r>
                  </w:p>
                </w:tc>
              </w:sdtContent>
            </w:sdt>
            <w:sdt>
              <w:sdtPr>
                <w:tag w:val="_PLD_ca2ffd3fc186426e98aac562ecc1ba54"/>
                <w:id w:val="1453292059"/>
                <w:lock w:val="sdtLocked"/>
              </w:sdtPr>
              <w:sdtEndPr/>
              <w:sdtContent>
                <w:tc>
                  <w:tcPr>
                    <w:tcW w:w="1275" w:type="dxa"/>
                    <w:vMerge w:val="restart"/>
                    <w:shd w:val="clear" w:color="auto" w:fill="auto"/>
                    <w:vAlign w:val="center"/>
                  </w:tcPr>
                  <w:p w14:paraId="5C3E4429" w14:textId="77777777" w:rsidR="007F43A3" w:rsidRDefault="004F686E" w:rsidP="001979B0">
                    <w:pPr>
                      <w:jc w:val="center"/>
                      <w:rPr>
                        <w:szCs w:val="21"/>
                      </w:rPr>
                    </w:pPr>
                    <w:r>
                      <w:rPr>
                        <w:szCs w:val="21"/>
                      </w:rPr>
                      <w:t>报告期内增减</w:t>
                    </w:r>
                  </w:p>
                </w:tc>
              </w:sdtContent>
            </w:sdt>
            <w:sdt>
              <w:sdtPr>
                <w:tag w:val="_PLD_084006d53bec42bea9418fc4576a1210"/>
                <w:id w:val="-1010677589"/>
                <w:lock w:val="sdtLocked"/>
              </w:sdtPr>
              <w:sdtEndPr/>
              <w:sdtContent>
                <w:tc>
                  <w:tcPr>
                    <w:tcW w:w="1418" w:type="dxa"/>
                    <w:vMerge w:val="restart"/>
                    <w:shd w:val="clear" w:color="auto" w:fill="auto"/>
                    <w:vAlign w:val="center"/>
                  </w:tcPr>
                  <w:p w14:paraId="5BC9CCCF" w14:textId="77777777" w:rsidR="007F43A3" w:rsidRDefault="004F686E" w:rsidP="001979B0">
                    <w:pPr>
                      <w:jc w:val="center"/>
                      <w:rPr>
                        <w:szCs w:val="21"/>
                      </w:rPr>
                    </w:pPr>
                    <w:r>
                      <w:rPr>
                        <w:szCs w:val="21"/>
                      </w:rPr>
                      <w:t>期末持股数量</w:t>
                    </w:r>
                  </w:p>
                </w:tc>
              </w:sdtContent>
            </w:sdt>
            <w:sdt>
              <w:sdtPr>
                <w:tag w:val="_PLD_f27008de77ee4b27b35e2ae22d35699c"/>
                <w:id w:val="395243357"/>
                <w:lock w:val="sdtLocked"/>
              </w:sdtPr>
              <w:sdtEndPr/>
              <w:sdtContent>
                <w:tc>
                  <w:tcPr>
                    <w:tcW w:w="850" w:type="dxa"/>
                    <w:vMerge w:val="restart"/>
                    <w:shd w:val="clear" w:color="auto" w:fill="auto"/>
                    <w:vAlign w:val="center"/>
                  </w:tcPr>
                  <w:p w14:paraId="67C2FAF6" w14:textId="77777777" w:rsidR="007F43A3" w:rsidRDefault="004F686E" w:rsidP="001979B0">
                    <w:pPr>
                      <w:jc w:val="center"/>
                      <w:rPr>
                        <w:szCs w:val="21"/>
                      </w:rPr>
                    </w:pPr>
                    <w:r>
                      <w:rPr>
                        <w:szCs w:val="21"/>
                      </w:rPr>
                      <w:t>比例(%)</w:t>
                    </w:r>
                  </w:p>
                </w:tc>
              </w:sdtContent>
            </w:sdt>
            <w:sdt>
              <w:sdtPr>
                <w:rPr>
                  <w:rFonts w:ascii="宋体" w:hAnsi="宋体"/>
                </w:rPr>
                <w:tag w:val="_PLD_34fcc5fa9a414555bef1b48aa74c8135"/>
                <w:id w:val="927000006"/>
                <w:lock w:val="sdtLocked"/>
              </w:sdtPr>
              <w:sdtEndPr/>
              <w:sdtContent>
                <w:tc>
                  <w:tcPr>
                    <w:tcW w:w="1418" w:type="dxa"/>
                    <w:vMerge w:val="restart"/>
                    <w:shd w:val="clear" w:color="auto" w:fill="auto"/>
                    <w:vAlign w:val="center"/>
                  </w:tcPr>
                  <w:p w14:paraId="3E22A06F" w14:textId="77777777" w:rsidR="007F43A3" w:rsidRDefault="004F686E" w:rsidP="001979B0">
                    <w:pPr>
                      <w:pStyle w:val="afe"/>
                      <w:rPr>
                        <w:rFonts w:ascii="宋体" w:hAnsi="宋体"/>
                        <w:bCs/>
                        <w:color w:val="00B050"/>
                      </w:rPr>
                    </w:pPr>
                    <w:r>
                      <w:rPr>
                        <w:rFonts w:ascii="宋体" w:hAnsi="宋体"/>
                        <w:bCs/>
                      </w:rPr>
                      <w:t>持有有限售条件股份数量</w:t>
                    </w:r>
                  </w:p>
                </w:tc>
              </w:sdtContent>
            </w:sdt>
            <w:sdt>
              <w:sdtPr>
                <w:tag w:val="_PLD_94fbee67e09740e59eb90272af77b58a"/>
                <w:id w:val="1212147542"/>
                <w:lock w:val="sdtLocked"/>
              </w:sdtPr>
              <w:sdtEndPr/>
              <w:sdtContent>
                <w:tc>
                  <w:tcPr>
                    <w:tcW w:w="1843" w:type="dxa"/>
                    <w:gridSpan w:val="3"/>
                    <w:shd w:val="clear" w:color="auto" w:fill="auto"/>
                    <w:vAlign w:val="center"/>
                  </w:tcPr>
                  <w:p w14:paraId="51719FD6" w14:textId="77777777" w:rsidR="007F43A3" w:rsidRDefault="004F686E" w:rsidP="001979B0">
                    <w:pPr>
                      <w:jc w:val="center"/>
                      <w:rPr>
                        <w:szCs w:val="21"/>
                      </w:rPr>
                    </w:pPr>
                    <w:r>
                      <w:rPr>
                        <w:szCs w:val="21"/>
                      </w:rPr>
                      <w:t>质押</w:t>
                    </w:r>
                    <w:r>
                      <w:rPr>
                        <w:rFonts w:hint="eastAsia"/>
                        <w:szCs w:val="21"/>
                      </w:rPr>
                      <w:t>、标记</w:t>
                    </w:r>
                    <w:r>
                      <w:rPr>
                        <w:szCs w:val="21"/>
                      </w:rPr>
                      <w:t>或冻结情况</w:t>
                    </w:r>
                  </w:p>
                </w:tc>
              </w:sdtContent>
            </w:sdt>
            <w:sdt>
              <w:sdtPr>
                <w:tag w:val="_PLD_2228ecf4db6a4362bff11fe1e2d3c903"/>
                <w:id w:val="811149129"/>
                <w:lock w:val="sdtLocked"/>
              </w:sdtPr>
              <w:sdtEndPr/>
              <w:sdtContent>
                <w:tc>
                  <w:tcPr>
                    <w:tcW w:w="1144" w:type="dxa"/>
                    <w:vMerge w:val="restart"/>
                    <w:shd w:val="clear" w:color="auto" w:fill="auto"/>
                    <w:vAlign w:val="center"/>
                  </w:tcPr>
                  <w:p w14:paraId="0F0DA299" w14:textId="77777777" w:rsidR="007F43A3" w:rsidRDefault="004F686E" w:rsidP="001979B0">
                    <w:pPr>
                      <w:jc w:val="center"/>
                      <w:rPr>
                        <w:szCs w:val="21"/>
                      </w:rPr>
                    </w:pPr>
                    <w:r>
                      <w:rPr>
                        <w:szCs w:val="21"/>
                      </w:rPr>
                      <w:t>股东性质</w:t>
                    </w:r>
                  </w:p>
                </w:tc>
              </w:sdtContent>
            </w:sdt>
          </w:tr>
          <w:tr w:rsidR="007F43A3" w14:paraId="0CA5BADE" w14:textId="77777777" w:rsidTr="002361F1">
            <w:trPr>
              <w:cantSplit/>
            </w:trPr>
            <w:tc>
              <w:tcPr>
                <w:tcW w:w="1101" w:type="dxa"/>
                <w:vMerge/>
                <w:tcBorders>
                  <w:bottom w:val="single" w:sz="4" w:space="0" w:color="auto"/>
                </w:tcBorders>
                <w:shd w:val="clear" w:color="auto" w:fill="auto"/>
                <w:vAlign w:val="center"/>
              </w:tcPr>
              <w:p w14:paraId="7F9F725A" w14:textId="77777777" w:rsidR="007F43A3" w:rsidRDefault="00B664AF" w:rsidP="001979B0">
                <w:pPr>
                  <w:jc w:val="center"/>
                  <w:rPr>
                    <w:szCs w:val="21"/>
                  </w:rPr>
                </w:pPr>
              </w:p>
            </w:tc>
            <w:tc>
              <w:tcPr>
                <w:tcW w:w="1275" w:type="dxa"/>
                <w:vMerge/>
                <w:tcBorders>
                  <w:bottom w:val="single" w:sz="4" w:space="0" w:color="auto"/>
                </w:tcBorders>
                <w:shd w:val="clear" w:color="auto" w:fill="auto"/>
                <w:vAlign w:val="center"/>
              </w:tcPr>
              <w:p w14:paraId="22F2EC12" w14:textId="77777777" w:rsidR="007F43A3" w:rsidRDefault="00B664AF" w:rsidP="001979B0">
                <w:pPr>
                  <w:jc w:val="center"/>
                  <w:rPr>
                    <w:szCs w:val="21"/>
                  </w:rPr>
                </w:pPr>
              </w:p>
            </w:tc>
            <w:tc>
              <w:tcPr>
                <w:tcW w:w="1418" w:type="dxa"/>
                <w:vMerge/>
                <w:tcBorders>
                  <w:bottom w:val="single" w:sz="4" w:space="0" w:color="auto"/>
                </w:tcBorders>
                <w:shd w:val="clear" w:color="auto" w:fill="auto"/>
                <w:vAlign w:val="center"/>
              </w:tcPr>
              <w:p w14:paraId="5C572E4D" w14:textId="77777777" w:rsidR="007F43A3" w:rsidRDefault="00B664AF" w:rsidP="001979B0">
                <w:pPr>
                  <w:jc w:val="center"/>
                  <w:rPr>
                    <w:szCs w:val="21"/>
                  </w:rPr>
                </w:pPr>
              </w:p>
            </w:tc>
            <w:tc>
              <w:tcPr>
                <w:tcW w:w="850" w:type="dxa"/>
                <w:vMerge/>
                <w:tcBorders>
                  <w:bottom w:val="single" w:sz="4" w:space="0" w:color="auto"/>
                </w:tcBorders>
                <w:shd w:val="clear" w:color="auto" w:fill="auto"/>
                <w:vAlign w:val="center"/>
              </w:tcPr>
              <w:p w14:paraId="17982FEB" w14:textId="77777777" w:rsidR="007F43A3" w:rsidRDefault="00B664AF" w:rsidP="001979B0">
                <w:pPr>
                  <w:jc w:val="center"/>
                  <w:rPr>
                    <w:szCs w:val="21"/>
                  </w:rPr>
                </w:pPr>
              </w:p>
            </w:tc>
            <w:tc>
              <w:tcPr>
                <w:tcW w:w="1418" w:type="dxa"/>
                <w:vMerge/>
                <w:tcBorders>
                  <w:bottom w:val="single" w:sz="4" w:space="0" w:color="auto"/>
                </w:tcBorders>
                <w:shd w:val="clear" w:color="auto" w:fill="auto"/>
                <w:vAlign w:val="center"/>
              </w:tcPr>
              <w:p w14:paraId="44730C15" w14:textId="77777777" w:rsidR="007F43A3" w:rsidRDefault="00B664AF" w:rsidP="001979B0">
                <w:pPr>
                  <w:jc w:val="center"/>
                  <w:rPr>
                    <w:szCs w:val="21"/>
                  </w:rPr>
                </w:pPr>
              </w:p>
            </w:tc>
            <w:sdt>
              <w:sdtPr>
                <w:tag w:val="_PLD_45bf36a531de47beb596ebacadac576a"/>
                <w:id w:val="1505631912"/>
                <w:lock w:val="sdtLocked"/>
              </w:sdtPr>
              <w:sdtEndPr/>
              <w:sdtContent>
                <w:tc>
                  <w:tcPr>
                    <w:tcW w:w="992" w:type="dxa"/>
                    <w:tcBorders>
                      <w:bottom w:val="single" w:sz="4" w:space="0" w:color="auto"/>
                    </w:tcBorders>
                    <w:shd w:val="clear" w:color="auto" w:fill="auto"/>
                    <w:vAlign w:val="center"/>
                  </w:tcPr>
                  <w:p w14:paraId="0CA366EF" w14:textId="77777777" w:rsidR="007F43A3" w:rsidRDefault="004F686E" w:rsidP="001979B0">
                    <w:pPr>
                      <w:jc w:val="center"/>
                      <w:rPr>
                        <w:szCs w:val="21"/>
                      </w:rPr>
                    </w:pPr>
                    <w:r>
                      <w:rPr>
                        <w:szCs w:val="21"/>
                      </w:rPr>
                      <w:t>股份</w:t>
                    </w:r>
                  </w:p>
                  <w:p w14:paraId="73B0A87A" w14:textId="77777777" w:rsidR="007F43A3" w:rsidRDefault="004F686E" w:rsidP="001979B0">
                    <w:pPr>
                      <w:jc w:val="center"/>
                      <w:rPr>
                        <w:szCs w:val="21"/>
                      </w:rPr>
                    </w:pPr>
                    <w:r>
                      <w:rPr>
                        <w:szCs w:val="21"/>
                      </w:rPr>
                      <w:t>状态</w:t>
                    </w:r>
                  </w:p>
                </w:tc>
              </w:sdtContent>
            </w:sdt>
            <w:sdt>
              <w:sdtPr>
                <w:tag w:val="_PLD_bea7397233604f859f8d14f2ae0a0417"/>
                <w:id w:val="1830477965"/>
                <w:lock w:val="sdtLocked"/>
              </w:sdtPr>
              <w:sdtEndPr/>
              <w:sdtContent>
                <w:tc>
                  <w:tcPr>
                    <w:tcW w:w="851" w:type="dxa"/>
                    <w:gridSpan w:val="2"/>
                    <w:tcBorders>
                      <w:bottom w:val="single" w:sz="4" w:space="0" w:color="auto"/>
                    </w:tcBorders>
                    <w:shd w:val="clear" w:color="auto" w:fill="auto"/>
                    <w:vAlign w:val="center"/>
                  </w:tcPr>
                  <w:p w14:paraId="5B3C3F5D" w14:textId="77777777" w:rsidR="007F43A3" w:rsidRDefault="004F686E" w:rsidP="001979B0">
                    <w:pPr>
                      <w:jc w:val="center"/>
                      <w:rPr>
                        <w:szCs w:val="21"/>
                      </w:rPr>
                    </w:pPr>
                    <w:r>
                      <w:rPr>
                        <w:szCs w:val="21"/>
                      </w:rPr>
                      <w:t>数量</w:t>
                    </w:r>
                  </w:p>
                </w:tc>
              </w:sdtContent>
            </w:sdt>
            <w:tc>
              <w:tcPr>
                <w:tcW w:w="1144" w:type="dxa"/>
                <w:vMerge/>
                <w:shd w:val="clear" w:color="auto" w:fill="auto"/>
                <w:vAlign w:val="center"/>
              </w:tcPr>
              <w:p w14:paraId="3157B41E" w14:textId="77777777" w:rsidR="007F43A3" w:rsidRDefault="00B664AF" w:rsidP="001979B0">
                <w:pPr>
                  <w:jc w:val="center"/>
                  <w:rPr>
                    <w:szCs w:val="21"/>
                  </w:rPr>
                </w:pPr>
              </w:p>
            </w:tc>
          </w:tr>
          <w:sdt>
            <w:sdtPr>
              <w:rPr>
                <w:rFonts w:asciiTheme="minorHAnsi" w:eastAsiaTheme="minorEastAsia" w:hAnsiTheme="minorHAnsi" w:cstheme="minorBidi"/>
                <w:kern w:val="2"/>
                <w:szCs w:val="21"/>
              </w:rPr>
              <w:alias w:val="前十名股东持股情况"/>
              <w:tag w:val="_GBC_5fc8eaeeffc7456eb1a09687db3d4206"/>
              <w:id w:val="-629409375"/>
              <w:lock w:val="sdtLocked"/>
            </w:sdtPr>
            <w:sdtEndPr>
              <w:rPr>
                <w:color w:val="FF9900"/>
              </w:rPr>
            </w:sdtEndPr>
            <w:sdtContent>
              <w:tr w:rsidR="007F43A3" w14:paraId="0183BD14" w14:textId="77777777" w:rsidTr="002361F1">
                <w:trPr>
                  <w:cantSplit/>
                </w:trPr>
                <w:tc>
                  <w:tcPr>
                    <w:tcW w:w="1101" w:type="dxa"/>
                    <w:shd w:val="clear" w:color="auto" w:fill="auto"/>
                    <w:vAlign w:val="center"/>
                  </w:tcPr>
                  <w:p w14:paraId="4CFE9391" w14:textId="77777777" w:rsidR="007F43A3" w:rsidRDefault="004F686E" w:rsidP="001979B0">
                    <w:pPr>
                      <w:rPr>
                        <w:szCs w:val="21"/>
                      </w:rPr>
                    </w:pPr>
                    <w:r>
                      <w:t>北京京城机电控股有限责任公司</w:t>
                    </w:r>
                  </w:p>
                </w:tc>
                <w:tc>
                  <w:tcPr>
                    <w:tcW w:w="1275" w:type="dxa"/>
                    <w:shd w:val="clear" w:color="auto" w:fill="auto"/>
                    <w:vAlign w:val="center"/>
                  </w:tcPr>
                  <w:p w14:paraId="5D6FEF00" w14:textId="77777777" w:rsidR="007F43A3" w:rsidRDefault="004F686E" w:rsidP="001979B0">
                    <w:pPr>
                      <w:jc w:val="right"/>
                      <w:rPr>
                        <w:szCs w:val="21"/>
                      </w:rPr>
                    </w:pPr>
                    <w:r>
                      <w:t>0</w:t>
                    </w:r>
                  </w:p>
                </w:tc>
                <w:tc>
                  <w:tcPr>
                    <w:tcW w:w="1418" w:type="dxa"/>
                    <w:shd w:val="clear" w:color="auto" w:fill="auto"/>
                    <w:vAlign w:val="center"/>
                  </w:tcPr>
                  <w:p w14:paraId="2A30BE39" w14:textId="77777777" w:rsidR="007F43A3" w:rsidRDefault="004F686E" w:rsidP="001979B0">
                    <w:pPr>
                      <w:jc w:val="right"/>
                      <w:rPr>
                        <w:szCs w:val="21"/>
                      </w:rPr>
                    </w:pPr>
                    <w:r>
                      <w:t>245,735,052</w:t>
                    </w:r>
                  </w:p>
                </w:tc>
                <w:tc>
                  <w:tcPr>
                    <w:tcW w:w="850" w:type="dxa"/>
                    <w:shd w:val="clear" w:color="auto" w:fill="auto"/>
                    <w:vAlign w:val="center"/>
                  </w:tcPr>
                  <w:p w14:paraId="2AFE67C6" w14:textId="77777777" w:rsidR="007F43A3" w:rsidRDefault="004F686E" w:rsidP="001979B0">
                    <w:pPr>
                      <w:jc w:val="right"/>
                      <w:rPr>
                        <w:szCs w:val="21"/>
                      </w:rPr>
                    </w:pPr>
                    <w:r>
                      <w:t>50.67%</w:t>
                    </w:r>
                  </w:p>
                </w:tc>
                <w:tc>
                  <w:tcPr>
                    <w:tcW w:w="1418" w:type="dxa"/>
                    <w:shd w:val="clear" w:color="auto" w:fill="auto"/>
                    <w:vAlign w:val="center"/>
                  </w:tcPr>
                  <w:p w14:paraId="7CDFF350" w14:textId="77777777" w:rsidR="007F43A3" w:rsidRDefault="004F686E" w:rsidP="001979B0">
                    <w:pPr>
                      <w:jc w:val="right"/>
                      <w:rPr>
                        <w:szCs w:val="21"/>
                      </w:rPr>
                    </w:pPr>
                    <w:r>
                      <w:rPr>
                        <w:szCs w:val="21"/>
                      </w:rPr>
                      <w:t>63,000,000</w:t>
                    </w:r>
                  </w:p>
                </w:tc>
                <w:sdt>
                  <w:sdtPr>
                    <w:rPr>
                      <w:szCs w:val="21"/>
                    </w:rPr>
                    <w:alias w:val="前十名股东持有股份状态"/>
                    <w:tag w:val="_GBC_d5194108b2a8481e94140819dbdc5afe"/>
                    <w:id w:val="-555781719"/>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992" w:type="dxa"/>
                        <w:shd w:val="clear" w:color="auto" w:fill="auto"/>
                        <w:vAlign w:val="center"/>
                      </w:tcPr>
                      <w:p w14:paraId="368642D8" w14:textId="77777777" w:rsidR="007F43A3" w:rsidRDefault="004F686E" w:rsidP="001979B0">
                        <w:pPr>
                          <w:jc w:val="center"/>
                          <w:rPr>
                            <w:color w:val="FF9900"/>
                            <w:szCs w:val="21"/>
                          </w:rPr>
                        </w:pPr>
                        <w:r>
                          <w:rPr>
                            <w:szCs w:val="21"/>
                          </w:rPr>
                          <w:t>无</w:t>
                        </w:r>
                      </w:p>
                    </w:tc>
                  </w:sdtContent>
                </w:sdt>
                <w:tc>
                  <w:tcPr>
                    <w:tcW w:w="851" w:type="dxa"/>
                    <w:gridSpan w:val="2"/>
                    <w:shd w:val="clear" w:color="auto" w:fill="auto"/>
                    <w:vAlign w:val="center"/>
                  </w:tcPr>
                  <w:p w14:paraId="57BF18D5" w14:textId="77777777" w:rsidR="007F43A3" w:rsidRDefault="004F686E" w:rsidP="001979B0">
                    <w:pPr>
                      <w:jc w:val="right"/>
                      <w:rPr>
                        <w:szCs w:val="21"/>
                      </w:rPr>
                    </w:pPr>
                    <w:r>
                      <w:rPr>
                        <w:rFonts w:hint="eastAsia"/>
                        <w:szCs w:val="21"/>
                      </w:rPr>
                      <w:t>0</w:t>
                    </w:r>
                  </w:p>
                </w:tc>
                <w:sdt>
                  <w:sdtPr>
                    <w:rPr>
                      <w:szCs w:val="21"/>
                    </w:rPr>
                    <w:alias w:val="前十名股东的股东性质"/>
                    <w:tag w:val="_GBC_71380bc899eb4b9781e95e37e7a1e221"/>
                    <w:id w:val="-139295058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44" w:type="dxa"/>
                        <w:shd w:val="clear" w:color="auto" w:fill="auto"/>
                        <w:vAlign w:val="center"/>
                      </w:tcPr>
                      <w:p w14:paraId="59287E57" w14:textId="77777777" w:rsidR="007F43A3" w:rsidRDefault="004F686E" w:rsidP="001979B0">
                        <w:pPr>
                          <w:rPr>
                            <w:color w:val="FF9900"/>
                            <w:szCs w:val="21"/>
                          </w:rPr>
                        </w:pPr>
                        <w:r>
                          <w:rPr>
                            <w:szCs w:val="21"/>
                          </w:rPr>
                          <w:t>国有法人</w:t>
                        </w:r>
                      </w:p>
                    </w:tc>
                  </w:sdtContent>
                </w:sdt>
              </w:tr>
            </w:sdtContent>
          </w:sdt>
          <w:sdt>
            <w:sdtPr>
              <w:rPr>
                <w:rFonts w:asciiTheme="minorHAnsi" w:eastAsiaTheme="minorEastAsia" w:hAnsiTheme="minorHAnsi" w:cstheme="minorBidi"/>
                <w:kern w:val="2"/>
                <w:szCs w:val="21"/>
              </w:rPr>
              <w:alias w:val="前十名股东持股情况"/>
              <w:tag w:val="_GBC_5fc8eaeeffc7456eb1a09687db3d4206"/>
              <w:id w:val="1943639625"/>
              <w:lock w:val="sdtLocked"/>
            </w:sdtPr>
            <w:sdtEndPr>
              <w:rPr>
                <w:color w:val="FF9900"/>
              </w:rPr>
            </w:sdtEndPr>
            <w:sdtContent>
              <w:tr w:rsidR="007F43A3" w14:paraId="19C3DD88" w14:textId="77777777" w:rsidTr="002361F1">
                <w:trPr>
                  <w:cantSplit/>
                </w:trPr>
                <w:tc>
                  <w:tcPr>
                    <w:tcW w:w="1101" w:type="dxa"/>
                    <w:shd w:val="clear" w:color="auto" w:fill="auto"/>
                    <w:vAlign w:val="center"/>
                  </w:tcPr>
                  <w:p w14:paraId="35F96A34" w14:textId="77777777" w:rsidR="007F43A3" w:rsidRDefault="004F686E" w:rsidP="001979B0">
                    <w:pPr>
                      <w:rPr>
                        <w:szCs w:val="21"/>
                      </w:rPr>
                    </w:pPr>
                    <w:r w:rsidRPr="007F43A3">
                      <w:t>HKSCC NOMINEES LIMITED</w:t>
                    </w:r>
                  </w:p>
                </w:tc>
                <w:tc>
                  <w:tcPr>
                    <w:tcW w:w="1275" w:type="dxa"/>
                    <w:shd w:val="clear" w:color="auto" w:fill="auto"/>
                    <w:vAlign w:val="center"/>
                  </w:tcPr>
                  <w:p w14:paraId="3C6C20BD" w14:textId="77777777" w:rsidR="007F43A3" w:rsidRDefault="004F686E" w:rsidP="001979B0">
                    <w:pPr>
                      <w:jc w:val="right"/>
                      <w:rPr>
                        <w:szCs w:val="21"/>
                      </w:rPr>
                    </w:pPr>
                    <w:r>
                      <w:t>-2,120</w:t>
                    </w:r>
                  </w:p>
                </w:tc>
                <w:tc>
                  <w:tcPr>
                    <w:tcW w:w="1418" w:type="dxa"/>
                    <w:shd w:val="clear" w:color="auto" w:fill="auto"/>
                    <w:vAlign w:val="center"/>
                  </w:tcPr>
                  <w:p w14:paraId="1B30BB6B" w14:textId="77777777" w:rsidR="007F43A3" w:rsidRDefault="004F686E" w:rsidP="001979B0">
                    <w:pPr>
                      <w:jc w:val="right"/>
                      <w:rPr>
                        <w:szCs w:val="21"/>
                      </w:rPr>
                    </w:pPr>
                    <w:r>
                      <w:t>99,313,027</w:t>
                    </w:r>
                  </w:p>
                </w:tc>
                <w:tc>
                  <w:tcPr>
                    <w:tcW w:w="850" w:type="dxa"/>
                    <w:shd w:val="clear" w:color="auto" w:fill="auto"/>
                    <w:vAlign w:val="center"/>
                  </w:tcPr>
                  <w:p w14:paraId="3792B9A9" w14:textId="77777777" w:rsidR="007F43A3" w:rsidRDefault="004F686E" w:rsidP="001979B0">
                    <w:pPr>
                      <w:jc w:val="right"/>
                      <w:rPr>
                        <w:szCs w:val="21"/>
                      </w:rPr>
                    </w:pPr>
                    <w:r>
                      <w:t>20.48%</w:t>
                    </w:r>
                  </w:p>
                </w:tc>
                <w:tc>
                  <w:tcPr>
                    <w:tcW w:w="1418" w:type="dxa"/>
                    <w:shd w:val="clear" w:color="auto" w:fill="auto"/>
                    <w:vAlign w:val="center"/>
                  </w:tcPr>
                  <w:p w14:paraId="12E94E4E" w14:textId="77777777" w:rsidR="007F43A3" w:rsidRDefault="004F686E" w:rsidP="001979B0">
                    <w:pPr>
                      <w:jc w:val="right"/>
                      <w:rPr>
                        <w:szCs w:val="21"/>
                      </w:rPr>
                    </w:pPr>
                    <w:r>
                      <w:rPr>
                        <w:rFonts w:hint="eastAsia"/>
                        <w:szCs w:val="21"/>
                      </w:rPr>
                      <w:t>0</w:t>
                    </w:r>
                  </w:p>
                </w:tc>
                <w:sdt>
                  <w:sdtPr>
                    <w:rPr>
                      <w:szCs w:val="21"/>
                    </w:rPr>
                    <w:alias w:val="前十名股东持有股份状态"/>
                    <w:tag w:val="_GBC_d5194108b2a8481e94140819dbdc5afe"/>
                    <w:id w:val="7648211"/>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992" w:type="dxa"/>
                        <w:shd w:val="clear" w:color="auto" w:fill="auto"/>
                        <w:vAlign w:val="center"/>
                      </w:tcPr>
                      <w:p w14:paraId="1B6DCBDF" w14:textId="77777777" w:rsidR="007F43A3" w:rsidRDefault="004F686E" w:rsidP="001979B0">
                        <w:pPr>
                          <w:jc w:val="center"/>
                          <w:rPr>
                            <w:color w:val="FF9900"/>
                            <w:szCs w:val="21"/>
                          </w:rPr>
                        </w:pPr>
                        <w:r>
                          <w:rPr>
                            <w:szCs w:val="21"/>
                          </w:rPr>
                          <w:t>未知</w:t>
                        </w:r>
                      </w:p>
                    </w:tc>
                  </w:sdtContent>
                </w:sdt>
                <w:tc>
                  <w:tcPr>
                    <w:tcW w:w="851" w:type="dxa"/>
                    <w:gridSpan w:val="2"/>
                    <w:shd w:val="clear" w:color="auto" w:fill="auto"/>
                  </w:tcPr>
                  <w:p w14:paraId="5E32F311" w14:textId="77777777" w:rsidR="007F43A3" w:rsidRDefault="004F686E" w:rsidP="001979B0">
                    <w:pPr>
                      <w:jc w:val="right"/>
                      <w:rPr>
                        <w:szCs w:val="21"/>
                      </w:rPr>
                    </w:pPr>
                    <w:r w:rsidRPr="002A108A">
                      <w:t>0</w:t>
                    </w:r>
                  </w:p>
                </w:tc>
                <w:sdt>
                  <w:sdtPr>
                    <w:rPr>
                      <w:szCs w:val="21"/>
                    </w:rPr>
                    <w:alias w:val="前十名股东的股东性质"/>
                    <w:tag w:val="_GBC_71380bc899eb4b9781e95e37e7a1e221"/>
                    <w:id w:val="9390125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44" w:type="dxa"/>
                        <w:shd w:val="clear" w:color="auto" w:fill="auto"/>
                        <w:vAlign w:val="center"/>
                      </w:tcPr>
                      <w:p w14:paraId="63A3B0D6" w14:textId="77777777" w:rsidR="007F43A3" w:rsidRDefault="004F686E" w:rsidP="001979B0">
                        <w:pPr>
                          <w:rPr>
                            <w:color w:val="FF9900"/>
                            <w:szCs w:val="21"/>
                          </w:rPr>
                        </w:pPr>
                        <w:r>
                          <w:rPr>
                            <w:szCs w:val="21"/>
                          </w:rPr>
                          <w:t>未知</w:t>
                        </w:r>
                      </w:p>
                    </w:tc>
                  </w:sdtContent>
                </w:sdt>
              </w:tr>
            </w:sdtContent>
          </w:sdt>
          <w:sdt>
            <w:sdtPr>
              <w:rPr>
                <w:rFonts w:asciiTheme="minorHAnsi" w:eastAsiaTheme="minorEastAsia" w:hAnsiTheme="minorHAnsi" w:cstheme="minorBidi"/>
                <w:kern w:val="2"/>
                <w:szCs w:val="21"/>
              </w:rPr>
              <w:alias w:val="前十名股东持股情况"/>
              <w:tag w:val="_GBC_5fc8eaeeffc7456eb1a09687db3d4206"/>
              <w:id w:val="1224420406"/>
              <w:lock w:val="sdtLocked"/>
            </w:sdtPr>
            <w:sdtEndPr>
              <w:rPr>
                <w:color w:val="FF9900"/>
              </w:rPr>
            </w:sdtEndPr>
            <w:sdtContent>
              <w:tr w:rsidR="007F43A3" w14:paraId="6BE132AE" w14:textId="77777777" w:rsidTr="002361F1">
                <w:trPr>
                  <w:cantSplit/>
                </w:trPr>
                <w:tc>
                  <w:tcPr>
                    <w:tcW w:w="1101" w:type="dxa"/>
                    <w:shd w:val="clear" w:color="auto" w:fill="auto"/>
                    <w:vAlign w:val="center"/>
                  </w:tcPr>
                  <w:p w14:paraId="0A167171" w14:textId="77777777" w:rsidR="007F43A3" w:rsidRDefault="004F686E" w:rsidP="001979B0">
                    <w:pPr>
                      <w:rPr>
                        <w:szCs w:val="21"/>
                      </w:rPr>
                    </w:pPr>
                    <w:r>
                      <w:t>李红杰</w:t>
                    </w:r>
                  </w:p>
                </w:tc>
                <w:tc>
                  <w:tcPr>
                    <w:tcW w:w="1275" w:type="dxa"/>
                    <w:shd w:val="clear" w:color="auto" w:fill="auto"/>
                    <w:vAlign w:val="center"/>
                  </w:tcPr>
                  <w:p w14:paraId="1A0AB706" w14:textId="77777777" w:rsidR="007F43A3" w:rsidRDefault="004F686E" w:rsidP="001979B0">
                    <w:pPr>
                      <w:jc w:val="right"/>
                      <w:rPr>
                        <w:szCs w:val="21"/>
                      </w:rPr>
                    </w:pPr>
                    <w:r>
                      <w:t>3,759,937</w:t>
                    </w:r>
                  </w:p>
                </w:tc>
                <w:tc>
                  <w:tcPr>
                    <w:tcW w:w="1418" w:type="dxa"/>
                    <w:shd w:val="clear" w:color="auto" w:fill="auto"/>
                    <w:vAlign w:val="center"/>
                  </w:tcPr>
                  <w:p w14:paraId="281C12C9" w14:textId="77777777" w:rsidR="007F43A3" w:rsidRDefault="004F686E" w:rsidP="001979B0">
                    <w:pPr>
                      <w:jc w:val="right"/>
                      <w:rPr>
                        <w:szCs w:val="21"/>
                      </w:rPr>
                    </w:pPr>
                    <w:r>
                      <w:t>4,900,037</w:t>
                    </w:r>
                  </w:p>
                </w:tc>
                <w:tc>
                  <w:tcPr>
                    <w:tcW w:w="850" w:type="dxa"/>
                    <w:shd w:val="clear" w:color="auto" w:fill="auto"/>
                    <w:vAlign w:val="center"/>
                  </w:tcPr>
                  <w:p w14:paraId="580965EF" w14:textId="77777777" w:rsidR="007F43A3" w:rsidRDefault="004F686E" w:rsidP="001979B0">
                    <w:pPr>
                      <w:jc w:val="right"/>
                      <w:rPr>
                        <w:szCs w:val="21"/>
                      </w:rPr>
                    </w:pPr>
                    <w:r>
                      <w:t>1.01%</w:t>
                    </w:r>
                  </w:p>
                </w:tc>
                <w:tc>
                  <w:tcPr>
                    <w:tcW w:w="1418" w:type="dxa"/>
                    <w:shd w:val="clear" w:color="auto" w:fill="auto"/>
                  </w:tcPr>
                  <w:p w14:paraId="7B987583" w14:textId="77777777" w:rsidR="007F43A3" w:rsidRDefault="004F686E" w:rsidP="001979B0">
                    <w:pPr>
                      <w:jc w:val="right"/>
                      <w:rPr>
                        <w:szCs w:val="21"/>
                      </w:rPr>
                    </w:pPr>
                    <w:r w:rsidRPr="001767C5">
                      <w:t>0</w:t>
                    </w:r>
                  </w:p>
                </w:tc>
                <w:sdt>
                  <w:sdtPr>
                    <w:rPr>
                      <w:szCs w:val="21"/>
                    </w:rPr>
                    <w:alias w:val="前十名股东持有股份状态"/>
                    <w:tag w:val="_GBC_d5194108b2a8481e94140819dbdc5afe"/>
                    <w:id w:val="-684046897"/>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992" w:type="dxa"/>
                        <w:shd w:val="clear" w:color="auto" w:fill="auto"/>
                        <w:vAlign w:val="center"/>
                      </w:tcPr>
                      <w:p w14:paraId="22E10DD0" w14:textId="77777777" w:rsidR="007F43A3" w:rsidRDefault="004F686E" w:rsidP="001979B0">
                        <w:pPr>
                          <w:jc w:val="center"/>
                          <w:rPr>
                            <w:szCs w:val="21"/>
                          </w:rPr>
                        </w:pPr>
                        <w:r>
                          <w:rPr>
                            <w:szCs w:val="21"/>
                          </w:rPr>
                          <w:t>未知</w:t>
                        </w:r>
                      </w:p>
                    </w:tc>
                  </w:sdtContent>
                </w:sdt>
                <w:tc>
                  <w:tcPr>
                    <w:tcW w:w="851" w:type="dxa"/>
                    <w:gridSpan w:val="2"/>
                    <w:shd w:val="clear" w:color="auto" w:fill="auto"/>
                  </w:tcPr>
                  <w:p w14:paraId="2EDBBBB5" w14:textId="77777777" w:rsidR="007F43A3" w:rsidRDefault="004F686E" w:rsidP="001979B0">
                    <w:pPr>
                      <w:jc w:val="right"/>
                      <w:rPr>
                        <w:szCs w:val="21"/>
                      </w:rPr>
                    </w:pPr>
                    <w:r w:rsidRPr="002A108A">
                      <w:t>0</w:t>
                    </w:r>
                  </w:p>
                </w:tc>
                <w:sdt>
                  <w:sdtPr>
                    <w:rPr>
                      <w:szCs w:val="21"/>
                    </w:rPr>
                    <w:alias w:val="前十名股东的股东性质"/>
                    <w:tag w:val="_GBC_71380bc899eb4b9781e95e37e7a1e221"/>
                    <w:id w:val="154617285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44" w:type="dxa"/>
                        <w:shd w:val="clear" w:color="auto" w:fill="auto"/>
                        <w:vAlign w:val="center"/>
                      </w:tcPr>
                      <w:p w14:paraId="3EBCCBBF" w14:textId="77777777" w:rsidR="007F43A3" w:rsidRDefault="004F686E" w:rsidP="001979B0">
                        <w:pPr>
                          <w:rPr>
                            <w:szCs w:val="21"/>
                          </w:rPr>
                        </w:pPr>
                        <w:r>
                          <w:rPr>
                            <w:szCs w:val="21"/>
                          </w:rPr>
                          <w:t>未知</w:t>
                        </w:r>
                      </w:p>
                    </w:tc>
                  </w:sdtContent>
                </w:sdt>
              </w:tr>
            </w:sdtContent>
          </w:sdt>
          <w:sdt>
            <w:sdtPr>
              <w:rPr>
                <w:rFonts w:asciiTheme="minorHAnsi" w:eastAsiaTheme="minorEastAsia" w:hAnsiTheme="minorHAnsi" w:cstheme="minorBidi"/>
                <w:kern w:val="2"/>
                <w:szCs w:val="21"/>
              </w:rPr>
              <w:alias w:val="前十名股东持股情况"/>
              <w:tag w:val="_GBC_5fc8eaeeffc7456eb1a09687db3d4206"/>
              <w:id w:val="-1509747265"/>
              <w:lock w:val="sdtLocked"/>
            </w:sdtPr>
            <w:sdtEndPr>
              <w:rPr>
                <w:color w:val="FF9900"/>
              </w:rPr>
            </w:sdtEndPr>
            <w:sdtContent>
              <w:tr w:rsidR="007F43A3" w14:paraId="32D65D0B" w14:textId="77777777" w:rsidTr="002361F1">
                <w:trPr>
                  <w:cantSplit/>
                </w:trPr>
                <w:tc>
                  <w:tcPr>
                    <w:tcW w:w="1101" w:type="dxa"/>
                    <w:shd w:val="clear" w:color="auto" w:fill="auto"/>
                    <w:vAlign w:val="center"/>
                  </w:tcPr>
                  <w:p w14:paraId="39622450" w14:textId="77777777" w:rsidR="007F43A3" w:rsidRDefault="004F686E" w:rsidP="001979B0">
                    <w:pPr>
                      <w:rPr>
                        <w:szCs w:val="21"/>
                      </w:rPr>
                    </w:pPr>
                    <w:r>
                      <w:t>蒋根青</w:t>
                    </w:r>
                  </w:p>
                </w:tc>
                <w:tc>
                  <w:tcPr>
                    <w:tcW w:w="1275" w:type="dxa"/>
                    <w:shd w:val="clear" w:color="auto" w:fill="auto"/>
                    <w:vAlign w:val="center"/>
                  </w:tcPr>
                  <w:p w14:paraId="0517E882" w14:textId="77777777" w:rsidR="007F43A3" w:rsidRDefault="004F686E" w:rsidP="001979B0">
                    <w:pPr>
                      <w:jc w:val="right"/>
                      <w:rPr>
                        <w:szCs w:val="21"/>
                      </w:rPr>
                    </w:pPr>
                    <w:r>
                      <w:t>3,787,700</w:t>
                    </w:r>
                  </w:p>
                </w:tc>
                <w:tc>
                  <w:tcPr>
                    <w:tcW w:w="1418" w:type="dxa"/>
                    <w:shd w:val="clear" w:color="auto" w:fill="auto"/>
                    <w:vAlign w:val="center"/>
                  </w:tcPr>
                  <w:p w14:paraId="013F75BB" w14:textId="77777777" w:rsidR="007F43A3" w:rsidRDefault="004F686E" w:rsidP="001979B0">
                    <w:pPr>
                      <w:jc w:val="right"/>
                      <w:rPr>
                        <w:szCs w:val="21"/>
                      </w:rPr>
                    </w:pPr>
                    <w:r>
                      <w:t>3,787,700</w:t>
                    </w:r>
                  </w:p>
                </w:tc>
                <w:tc>
                  <w:tcPr>
                    <w:tcW w:w="850" w:type="dxa"/>
                    <w:shd w:val="clear" w:color="auto" w:fill="auto"/>
                    <w:vAlign w:val="center"/>
                  </w:tcPr>
                  <w:p w14:paraId="7A944ABE" w14:textId="77777777" w:rsidR="007F43A3" w:rsidRDefault="004F686E" w:rsidP="001979B0">
                    <w:pPr>
                      <w:jc w:val="right"/>
                      <w:rPr>
                        <w:szCs w:val="21"/>
                      </w:rPr>
                    </w:pPr>
                    <w:r>
                      <w:t>0.78%</w:t>
                    </w:r>
                  </w:p>
                </w:tc>
                <w:tc>
                  <w:tcPr>
                    <w:tcW w:w="1418" w:type="dxa"/>
                    <w:shd w:val="clear" w:color="auto" w:fill="auto"/>
                  </w:tcPr>
                  <w:p w14:paraId="260443A0" w14:textId="77777777" w:rsidR="007F43A3" w:rsidRDefault="004F686E" w:rsidP="001979B0">
                    <w:pPr>
                      <w:jc w:val="right"/>
                      <w:rPr>
                        <w:szCs w:val="21"/>
                      </w:rPr>
                    </w:pPr>
                    <w:r w:rsidRPr="001767C5">
                      <w:t>0</w:t>
                    </w:r>
                  </w:p>
                </w:tc>
                <w:sdt>
                  <w:sdtPr>
                    <w:rPr>
                      <w:szCs w:val="21"/>
                    </w:rPr>
                    <w:alias w:val="前十名股东持有股份状态"/>
                    <w:tag w:val="_GBC_d5194108b2a8481e94140819dbdc5afe"/>
                    <w:id w:val="1693414461"/>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992" w:type="dxa"/>
                        <w:shd w:val="clear" w:color="auto" w:fill="auto"/>
                        <w:vAlign w:val="center"/>
                      </w:tcPr>
                      <w:p w14:paraId="0CA32606" w14:textId="77777777" w:rsidR="007F43A3" w:rsidRDefault="004F686E" w:rsidP="001979B0">
                        <w:pPr>
                          <w:jc w:val="center"/>
                          <w:rPr>
                            <w:szCs w:val="21"/>
                          </w:rPr>
                        </w:pPr>
                        <w:r>
                          <w:rPr>
                            <w:szCs w:val="21"/>
                          </w:rPr>
                          <w:t>未知</w:t>
                        </w:r>
                      </w:p>
                    </w:tc>
                  </w:sdtContent>
                </w:sdt>
                <w:tc>
                  <w:tcPr>
                    <w:tcW w:w="851" w:type="dxa"/>
                    <w:gridSpan w:val="2"/>
                    <w:shd w:val="clear" w:color="auto" w:fill="auto"/>
                  </w:tcPr>
                  <w:p w14:paraId="69F65FF0" w14:textId="77777777" w:rsidR="007F43A3" w:rsidRDefault="004F686E" w:rsidP="001979B0">
                    <w:pPr>
                      <w:jc w:val="right"/>
                      <w:rPr>
                        <w:szCs w:val="21"/>
                      </w:rPr>
                    </w:pPr>
                    <w:r w:rsidRPr="002A108A">
                      <w:t>0</w:t>
                    </w:r>
                  </w:p>
                </w:tc>
                <w:sdt>
                  <w:sdtPr>
                    <w:rPr>
                      <w:szCs w:val="21"/>
                    </w:rPr>
                    <w:alias w:val="前十名股东的股东性质"/>
                    <w:tag w:val="_GBC_71380bc899eb4b9781e95e37e7a1e221"/>
                    <w:id w:val="-148323156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44" w:type="dxa"/>
                        <w:shd w:val="clear" w:color="auto" w:fill="auto"/>
                        <w:vAlign w:val="center"/>
                      </w:tcPr>
                      <w:p w14:paraId="2BCB5706" w14:textId="77777777" w:rsidR="007F43A3" w:rsidRDefault="004F686E" w:rsidP="001979B0">
                        <w:pPr>
                          <w:rPr>
                            <w:szCs w:val="21"/>
                          </w:rPr>
                        </w:pPr>
                        <w:r>
                          <w:rPr>
                            <w:szCs w:val="21"/>
                          </w:rPr>
                          <w:t>未知</w:t>
                        </w:r>
                      </w:p>
                    </w:tc>
                  </w:sdtContent>
                </w:sdt>
              </w:tr>
            </w:sdtContent>
          </w:sdt>
          <w:sdt>
            <w:sdtPr>
              <w:rPr>
                <w:rFonts w:asciiTheme="minorHAnsi" w:eastAsiaTheme="minorEastAsia" w:hAnsiTheme="minorHAnsi" w:cstheme="minorBidi"/>
                <w:kern w:val="2"/>
                <w:szCs w:val="21"/>
              </w:rPr>
              <w:alias w:val="前十名股东持股情况"/>
              <w:tag w:val="_GBC_5fc8eaeeffc7456eb1a09687db3d4206"/>
              <w:id w:val="1167983289"/>
              <w:lock w:val="sdtLocked"/>
            </w:sdtPr>
            <w:sdtEndPr>
              <w:rPr>
                <w:color w:val="FF9900"/>
              </w:rPr>
            </w:sdtEndPr>
            <w:sdtContent>
              <w:tr w:rsidR="007F43A3" w14:paraId="5C459F28" w14:textId="77777777" w:rsidTr="002361F1">
                <w:trPr>
                  <w:cantSplit/>
                </w:trPr>
                <w:tc>
                  <w:tcPr>
                    <w:tcW w:w="1101" w:type="dxa"/>
                    <w:shd w:val="clear" w:color="auto" w:fill="auto"/>
                    <w:vAlign w:val="center"/>
                  </w:tcPr>
                  <w:p w14:paraId="64BC3CFF" w14:textId="77777777" w:rsidR="007F43A3" w:rsidRDefault="004F686E" w:rsidP="001979B0">
                    <w:pPr>
                      <w:rPr>
                        <w:szCs w:val="21"/>
                      </w:rPr>
                    </w:pPr>
                    <w:r>
                      <w:t>何勇</w:t>
                    </w:r>
                  </w:p>
                </w:tc>
                <w:tc>
                  <w:tcPr>
                    <w:tcW w:w="1275" w:type="dxa"/>
                    <w:shd w:val="clear" w:color="auto" w:fill="auto"/>
                    <w:vAlign w:val="center"/>
                  </w:tcPr>
                  <w:p w14:paraId="247CDFD9" w14:textId="77777777" w:rsidR="007F43A3" w:rsidRDefault="004F686E" w:rsidP="001979B0">
                    <w:pPr>
                      <w:jc w:val="right"/>
                      <w:rPr>
                        <w:szCs w:val="21"/>
                      </w:rPr>
                    </w:pPr>
                    <w:r>
                      <w:t>601,200</w:t>
                    </w:r>
                  </w:p>
                </w:tc>
                <w:tc>
                  <w:tcPr>
                    <w:tcW w:w="1418" w:type="dxa"/>
                    <w:shd w:val="clear" w:color="auto" w:fill="auto"/>
                    <w:vAlign w:val="center"/>
                  </w:tcPr>
                  <w:p w14:paraId="65A4602C" w14:textId="77777777" w:rsidR="007F43A3" w:rsidRDefault="004F686E" w:rsidP="001979B0">
                    <w:pPr>
                      <w:jc w:val="right"/>
                      <w:rPr>
                        <w:szCs w:val="21"/>
                      </w:rPr>
                    </w:pPr>
                    <w:r>
                      <w:t>2,147,520</w:t>
                    </w:r>
                  </w:p>
                </w:tc>
                <w:tc>
                  <w:tcPr>
                    <w:tcW w:w="850" w:type="dxa"/>
                    <w:shd w:val="clear" w:color="auto" w:fill="auto"/>
                    <w:vAlign w:val="center"/>
                  </w:tcPr>
                  <w:p w14:paraId="6E0A57BE" w14:textId="77777777" w:rsidR="007F43A3" w:rsidRDefault="004F686E" w:rsidP="001979B0">
                    <w:pPr>
                      <w:jc w:val="right"/>
                      <w:rPr>
                        <w:szCs w:val="21"/>
                      </w:rPr>
                    </w:pPr>
                    <w:r>
                      <w:t>0.44%</w:t>
                    </w:r>
                  </w:p>
                </w:tc>
                <w:tc>
                  <w:tcPr>
                    <w:tcW w:w="1418" w:type="dxa"/>
                    <w:shd w:val="clear" w:color="auto" w:fill="auto"/>
                  </w:tcPr>
                  <w:p w14:paraId="1DD4F31C" w14:textId="77777777" w:rsidR="007F43A3" w:rsidRDefault="004F686E" w:rsidP="001979B0">
                    <w:pPr>
                      <w:jc w:val="right"/>
                      <w:rPr>
                        <w:szCs w:val="21"/>
                      </w:rPr>
                    </w:pPr>
                    <w:r w:rsidRPr="001767C5">
                      <w:t>0</w:t>
                    </w:r>
                  </w:p>
                </w:tc>
                <w:sdt>
                  <w:sdtPr>
                    <w:rPr>
                      <w:szCs w:val="21"/>
                    </w:rPr>
                    <w:alias w:val="前十名股东持有股份状态"/>
                    <w:tag w:val="_GBC_d5194108b2a8481e94140819dbdc5afe"/>
                    <w:id w:val="-1929655495"/>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992" w:type="dxa"/>
                        <w:shd w:val="clear" w:color="auto" w:fill="auto"/>
                        <w:vAlign w:val="center"/>
                      </w:tcPr>
                      <w:p w14:paraId="0D7F3FFC" w14:textId="77777777" w:rsidR="007F43A3" w:rsidRDefault="004F686E" w:rsidP="001979B0">
                        <w:pPr>
                          <w:jc w:val="center"/>
                          <w:rPr>
                            <w:szCs w:val="21"/>
                          </w:rPr>
                        </w:pPr>
                        <w:r>
                          <w:rPr>
                            <w:szCs w:val="21"/>
                          </w:rPr>
                          <w:t>未知</w:t>
                        </w:r>
                      </w:p>
                    </w:tc>
                  </w:sdtContent>
                </w:sdt>
                <w:tc>
                  <w:tcPr>
                    <w:tcW w:w="851" w:type="dxa"/>
                    <w:gridSpan w:val="2"/>
                    <w:shd w:val="clear" w:color="auto" w:fill="auto"/>
                  </w:tcPr>
                  <w:p w14:paraId="65C64C9C" w14:textId="77777777" w:rsidR="007F43A3" w:rsidRDefault="004F686E" w:rsidP="001979B0">
                    <w:pPr>
                      <w:jc w:val="right"/>
                      <w:rPr>
                        <w:szCs w:val="21"/>
                      </w:rPr>
                    </w:pPr>
                    <w:r w:rsidRPr="002A108A">
                      <w:t>0</w:t>
                    </w:r>
                  </w:p>
                </w:tc>
                <w:sdt>
                  <w:sdtPr>
                    <w:rPr>
                      <w:szCs w:val="21"/>
                    </w:rPr>
                    <w:alias w:val="前十名股东的股东性质"/>
                    <w:tag w:val="_GBC_71380bc899eb4b9781e95e37e7a1e221"/>
                    <w:id w:val="-138639857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44" w:type="dxa"/>
                        <w:shd w:val="clear" w:color="auto" w:fill="auto"/>
                        <w:vAlign w:val="center"/>
                      </w:tcPr>
                      <w:p w14:paraId="0375E101" w14:textId="77777777" w:rsidR="007F43A3" w:rsidRDefault="004F686E" w:rsidP="001979B0">
                        <w:pPr>
                          <w:rPr>
                            <w:szCs w:val="21"/>
                          </w:rPr>
                        </w:pPr>
                        <w:r>
                          <w:rPr>
                            <w:szCs w:val="21"/>
                          </w:rPr>
                          <w:t>未知</w:t>
                        </w:r>
                      </w:p>
                    </w:tc>
                  </w:sdtContent>
                </w:sdt>
              </w:tr>
            </w:sdtContent>
          </w:sdt>
          <w:sdt>
            <w:sdtPr>
              <w:rPr>
                <w:rFonts w:asciiTheme="minorHAnsi" w:eastAsiaTheme="minorEastAsia" w:hAnsiTheme="minorHAnsi" w:cstheme="minorBidi"/>
                <w:kern w:val="2"/>
                <w:szCs w:val="21"/>
              </w:rPr>
              <w:alias w:val="前十名股东持股情况"/>
              <w:tag w:val="_GBC_5fc8eaeeffc7456eb1a09687db3d4206"/>
              <w:id w:val="530769093"/>
              <w:lock w:val="sdtLocked"/>
            </w:sdtPr>
            <w:sdtEndPr>
              <w:rPr>
                <w:color w:val="FF9900"/>
              </w:rPr>
            </w:sdtEndPr>
            <w:sdtContent>
              <w:tr w:rsidR="007F43A3" w14:paraId="15734C6E" w14:textId="77777777" w:rsidTr="002361F1">
                <w:trPr>
                  <w:cantSplit/>
                </w:trPr>
                <w:tc>
                  <w:tcPr>
                    <w:tcW w:w="1101" w:type="dxa"/>
                    <w:shd w:val="clear" w:color="auto" w:fill="auto"/>
                    <w:vAlign w:val="center"/>
                  </w:tcPr>
                  <w:p w14:paraId="75F7996B" w14:textId="77777777" w:rsidR="007F43A3" w:rsidRDefault="004F686E" w:rsidP="001979B0">
                    <w:pPr>
                      <w:rPr>
                        <w:szCs w:val="21"/>
                      </w:rPr>
                    </w:pPr>
                    <w:r>
                      <w:t>香港中央结算有限公司</w:t>
                    </w:r>
                  </w:p>
                </w:tc>
                <w:tc>
                  <w:tcPr>
                    <w:tcW w:w="1275" w:type="dxa"/>
                    <w:shd w:val="clear" w:color="auto" w:fill="auto"/>
                    <w:vAlign w:val="center"/>
                  </w:tcPr>
                  <w:p w14:paraId="36C5A08C" w14:textId="77777777" w:rsidR="007F43A3" w:rsidRDefault="004F686E" w:rsidP="001979B0">
                    <w:pPr>
                      <w:jc w:val="right"/>
                      <w:rPr>
                        <w:szCs w:val="21"/>
                      </w:rPr>
                    </w:pPr>
                    <w:r>
                      <w:t>1,163,742</w:t>
                    </w:r>
                  </w:p>
                </w:tc>
                <w:tc>
                  <w:tcPr>
                    <w:tcW w:w="1418" w:type="dxa"/>
                    <w:shd w:val="clear" w:color="auto" w:fill="auto"/>
                    <w:vAlign w:val="center"/>
                  </w:tcPr>
                  <w:p w14:paraId="56ACEC4E" w14:textId="77777777" w:rsidR="007F43A3" w:rsidRDefault="004F686E" w:rsidP="001979B0">
                    <w:pPr>
                      <w:jc w:val="right"/>
                      <w:rPr>
                        <w:szCs w:val="21"/>
                      </w:rPr>
                    </w:pPr>
                    <w:r>
                      <w:t>1,842,817</w:t>
                    </w:r>
                  </w:p>
                </w:tc>
                <w:tc>
                  <w:tcPr>
                    <w:tcW w:w="850" w:type="dxa"/>
                    <w:shd w:val="clear" w:color="auto" w:fill="auto"/>
                    <w:vAlign w:val="center"/>
                  </w:tcPr>
                  <w:p w14:paraId="42F2572F" w14:textId="77777777" w:rsidR="007F43A3" w:rsidRDefault="004F686E" w:rsidP="001979B0">
                    <w:pPr>
                      <w:jc w:val="right"/>
                      <w:rPr>
                        <w:szCs w:val="21"/>
                      </w:rPr>
                    </w:pPr>
                    <w:r>
                      <w:t>0.38%</w:t>
                    </w:r>
                  </w:p>
                </w:tc>
                <w:tc>
                  <w:tcPr>
                    <w:tcW w:w="1418" w:type="dxa"/>
                    <w:shd w:val="clear" w:color="auto" w:fill="auto"/>
                  </w:tcPr>
                  <w:p w14:paraId="660780A9" w14:textId="77777777" w:rsidR="007F43A3" w:rsidRDefault="004F686E" w:rsidP="001979B0">
                    <w:pPr>
                      <w:jc w:val="right"/>
                      <w:rPr>
                        <w:szCs w:val="21"/>
                      </w:rPr>
                    </w:pPr>
                    <w:r w:rsidRPr="001767C5">
                      <w:t>0</w:t>
                    </w:r>
                  </w:p>
                </w:tc>
                <w:sdt>
                  <w:sdtPr>
                    <w:rPr>
                      <w:szCs w:val="21"/>
                    </w:rPr>
                    <w:alias w:val="前十名股东持有股份状态"/>
                    <w:tag w:val="_GBC_d5194108b2a8481e94140819dbdc5afe"/>
                    <w:id w:val="-1085758952"/>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992" w:type="dxa"/>
                        <w:shd w:val="clear" w:color="auto" w:fill="auto"/>
                        <w:vAlign w:val="center"/>
                      </w:tcPr>
                      <w:p w14:paraId="48DFC463" w14:textId="77777777" w:rsidR="007F43A3" w:rsidRDefault="004F686E" w:rsidP="001979B0">
                        <w:pPr>
                          <w:jc w:val="center"/>
                          <w:rPr>
                            <w:szCs w:val="21"/>
                          </w:rPr>
                        </w:pPr>
                        <w:r>
                          <w:rPr>
                            <w:szCs w:val="21"/>
                          </w:rPr>
                          <w:t>未知</w:t>
                        </w:r>
                      </w:p>
                    </w:tc>
                  </w:sdtContent>
                </w:sdt>
                <w:tc>
                  <w:tcPr>
                    <w:tcW w:w="851" w:type="dxa"/>
                    <w:gridSpan w:val="2"/>
                    <w:shd w:val="clear" w:color="auto" w:fill="auto"/>
                  </w:tcPr>
                  <w:p w14:paraId="4B7DE082" w14:textId="77777777" w:rsidR="007F43A3" w:rsidRDefault="004F686E" w:rsidP="001979B0">
                    <w:pPr>
                      <w:jc w:val="right"/>
                      <w:rPr>
                        <w:szCs w:val="21"/>
                      </w:rPr>
                    </w:pPr>
                    <w:r w:rsidRPr="002A108A">
                      <w:t>0</w:t>
                    </w:r>
                  </w:p>
                </w:tc>
                <w:sdt>
                  <w:sdtPr>
                    <w:rPr>
                      <w:szCs w:val="21"/>
                    </w:rPr>
                    <w:alias w:val="前十名股东的股东性质"/>
                    <w:tag w:val="_GBC_71380bc899eb4b9781e95e37e7a1e221"/>
                    <w:id w:val="-102825213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44" w:type="dxa"/>
                        <w:shd w:val="clear" w:color="auto" w:fill="auto"/>
                        <w:vAlign w:val="center"/>
                      </w:tcPr>
                      <w:p w14:paraId="371AAD33" w14:textId="77777777" w:rsidR="007F43A3" w:rsidRDefault="004F686E" w:rsidP="001979B0">
                        <w:pPr>
                          <w:rPr>
                            <w:szCs w:val="21"/>
                          </w:rPr>
                        </w:pPr>
                        <w:r>
                          <w:rPr>
                            <w:szCs w:val="21"/>
                          </w:rPr>
                          <w:t>未知</w:t>
                        </w:r>
                      </w:p>
                    </w:tc>
                  </w:sdtContent>
                </w:sdt>
              </w:tr>
            </w:sdtContent>
          </w:sdt>
          <w:sdt>
            <w:sdtPr>
              <w:rPr>
                <w:rFonts w:asciiTheme="minorHAnsi" w:eastAsiaTheme="minorEastAsia" w:hAnsiTheme="minorHAnsi" w:cstheme="minorBidi"/>
                <w:kern w:val="2"/>
                <w:szCs w:val="21"/>
              </w:rPr>
              <w:alias w:val="前十名股东持股情况"/>
              <w:tag w:val="_GBC_5fc8eaeeffc7456eb1a09687db3d4206"/>
              <w:id w:val="1434255781"/>
              <w:lock w:val="sdtLocked"/>
            </w:sdtPr>
            <w:sdtEndPr>
              <w:rPr>
                <w:color w:val="FF9900"/>
              </w:rPr>
            </w:sdtEndPr>
            <w:sdtContent>
              <w:tr w:rsidR="007F43A3" w14:paraId="0087AF5A" w14:textId="77777777" w:rsidTr="002361F1">
                <w:trPr>
                  <w:cantSplit/>
                </w:trPr>
                <w:tc>
                  <w:tcPr>
                    <w:tcW w:w="1101" w:type="dxa"/>
                    <w:shd w:val="clear" w:color="auto" w:fill="auto"/>
                    <w:vAlign w:val="center"/>
                  </w:tcPr>
                  <w:p w14:paraId="0347D5B5" w14:textId="77777777" w:rsidR="007F43A3" w:rsidRDefault="004F686E" w:rsidP="001979B0">
                    <w:pPr>
                      <w:rPr>
                        <w:szCs w:val="21"/>
                      </w:rPr>
                    </w:pPr>
                    <w:r>
                      <w:t>徐子华</w:t>
                    </w:r>
                  </w:p>
                </w:tc>
                <w:tc>
                  <w:tcPr>
                    <w:tcW w:w="1275" w:type="dxa"/>
                    <w:shd w:val="clear" w:color="auto" w:fill="auto"/>
                    <w:vAlign w:val="center"/>
                  </w:tcPr>
                  <w:p w14:paraId="75DE27A4" w14:textId="77777777" w:rsidR="007F43A3" w:rsidRDefault="004F686E" w:rsidP="001979B0">
                    <w:pPr>
                      <w:jc w:val="right"/>
                      <w:rPr>
                        <w:szCs w:val="21"/>
                      </w:rPr>
                    </w:pPr>
                    <w:r>
                      <w:t>0</w:t>
                    </w:r>
                  </w:p>
                </w:tc>
                <w:tc>
                  <w:tcPr>
                    <w:tcW w:w="1418" w:type="dxa"/>
                    <w:shd w:val="clear" w:color="auto" w:fill="auto"/>
                    <w:vAlign w:val="center"/>
                  </w:tcPr>
                  <w:p w14:paraId="66A3A2D5" w14:textId="77777777" w:rsidR="007F43A3" w:rsidRDefault="004F686E" w:rsidP="001979B0">
                    <w:pPr>
                      <w:jc w:val="right"/>
                      <w:rPr>
                        <w:szCs w:val="21"/>
                      </w:rPr>
                    </w:pPr>
                    <w:r>
                      <w:t>1,708,700</w:t>
                    </w:r>
                  </w:p>
                </w:tc>
                <w:tc>
                  <w:tcPr>
                    <w:tcW w:w="850" w:type="dxa"/>
                    <w:shd w:val="clear" w:color="auto" w:fill="auto"/>
                    <w:vAlign w:val="center"/>
                  </w:tcPr>
                  <w:p w14:paraId="2EAAB7A5" w14:textId="77777777" w:rsidR="007F43A3" w:rsidRDefault="004F686E" w:rsidP="001979B0">
                    <w:pPr>
                      <w:jc w:val="right"/>
                      <w:rPr>
                        <w:szCs w:val="21"/>
                      </w:rPr>
                    </w:pPr>
                    <w:r>
                      <w:t>0.35%</w:t>
                    </w:r>
                  </w:p>
                </w:tc>
                <w:tc>
                  <w:tcPr>
                    <w:tcW w:w="1418" w:type="dxa"/>
                    <w:shd w:val="clear" w:color="auto" w:fill="auto"/>
                  </w:tcPr>
                  <w:p w14:paraId="66540EDA" w14:textId="77777777" w:rsidR="007F43A3" w:rsidRDefault="004F686E" w:rsidP="001979B0">
                    <w:pPr>
                      <w:jc w:val="right"/>
                      <w:rPr>
                        <w:szCs w:val="21"/>
                      </w:rPr>
                    </w:pPr>
                    <w:r w:rsidRPr="001767C5">
                      <w:t>0</w:t>
                    </w:r>
                  </w:p>
                </w:tc>
                <w:sdt>
                  <w:sdtPr>
                    <w:rPr>
                      <w:szCs w:val="21"/>
                    </w:rPr>
                    <w:alias w:val="前十名股东持有股份状态"/>
                    <w:tag w:val="_GBC_d5194108b2a8481e94140819dbdc5afe"/>
                    <w:id w:val="-788502683"/>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992" w:type="dxa"/>
                        <w:shd w:val="clear" w:color="auto" w:fill="auto"/>
                        <w:vAlign w:val="center"/>
                      </w:tcPr>
                      <w:p w14:paraId="41CAC033" w14:textId="77777777" w:rsidR="007F43A3" w:rsidRDefault="004F686E" w:rsidP="001979B0">
                        <w:pPr>
                          <w:jc w:val="center"/>
                          <w:rPr>
                            <w:szCs w:val="21"/>
                          </w:rPr>
                        </w:pPr>
                        <w:r>
                          <w:rPr>
                            <w:szCs w:val="21"/>
                          </w:rPr>
                          <w:t>未知</w:t>
                        </w:r>
                      </w:p>
                    </w:tc>
                  </w:sdtContent>
                </w:sdt>
                <w:tc>
                  <w:tcPr>
                    <w:tcW w:w="851" w:type="dxa"/>
                    <w:gridSpan w:val="2"/>
                    <w:shd w:val="clear" w:color="auto" w:fill="auto"/>
                  </w:tcPr>
                  <w:p w14:paraId="1A3C39CC" w14:textId="77777777" w:rsidR="007F43A3" w:rsidRDefault="004F686E" w:rsidP="001979B0">
                    <w:pPr>
                      <w:jc w:val="right"/>
                      <w:rPr>
                        <w:szCs w:val="21"/>
                      </w:rPr>
                    </w:pPr>
                    <w:r w:rsidRPr="002A108A">
                      <w:t>0</w:t>
                    </w:r>
                  </w:p>
                </w:tc>
                <w:sdt>
                  <w:sdtPr>
                    <w:rPr>
                      <w:szCs w:val="21"/>
                    </w:rPr>
                    <w:alias w:val="前十名股东的股东性质"/>
                    <w:tag w:val="_GBC_71380bc899eb4b9781e95e37e7a1e221"/>
                    <w:id w:val="-28126210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44" w:type="dxa"/>
                        <w:shd w:val="clear" w:color="auto" w:fill="auto"/>
                        <w:vAlign w:val="center"/>
                      </w:tcPr>
                      <w:p w14:paraId="138215B6" w14:textId="77777777" w:rsidR="007F43A3" w:rsidRDefault="004F686E" w:rsidP="001979B0">
                        <w:pPr>
                          <w:rPr>
                            <w:szCs w:val="21"/>
                          </w:rPr>
                        </w:pPr>
                        <w:r>
                          <w:rPr>
                            <w:szCs w:val="21"/>
                          </w:rPr>
                          <w:t>未知</w:t>
                        </w:r>
                      </w:p>
                    </w:tc>
                  </w:sdtContent>
                </w:sdt>
              </w:tr>
            </w:sdtContent>
          </w:sdt>
          <w:sdt>
            <w:sdtPr>
              <w:rPr>
                <w:rFonts w:asciiTheme="minorHAnsi" w:eastAsiaTheme="minorEastAsia" w:hAnsiTheme="minorHAnsi" w:cstheme="minorBidi"/>
                <w:kern w:val="2"/>
                <w:szCs w:val="21"/>
              </w:rPr>
              <w:alias w:val="前十名股东持股情况"/>
              <w:tag w:val="_GBC_5fc8eaeeffc7456eb1a09687db3d4206"/>
              <w:id w:val="481122698"/>
              <w:lock w:val="sdtLocked"/>
            </w:sdtPr>
            <w:sdtEndPr>
              <w:rPr>
                <w:color w:val="FF9900"/>
              </w:rPr>
            </w:sdtEndPr>
            <w:sdtContent>
              <w:tr w:rsidR="007F43A3" w14:paraId="025D2B48" w14:textId="77777777" w:rsidTr="002361F1">
                <w:trPr>
                  <w:cantSplit/>
                </w:trPr>
                <w:tc>
                  <w:tcPr>
                    <w:tcW w:w="1101" w:type="dxa"/>
                    <w:shd w:val="clear" w:color="auto" w:fill="auto"/>
                    <w:vAlign w:val="center"/>
                  </w:tcPr>
                  <w:p w14:paraId="705EC711" w14:textId="77777777" w:rsidR="007F43A3" w:rsidRDefault="004F686E" w:rsidP="001979B0">
                    <w:pPr>
                      <w:rPr>
                        <w:szCs w:val="21"/>
                      </w:rPr>
                    </w:pPr>
                    <w:r>
                      <w:t>徐瑞</w:t>
                    </w:r>
                  </w:p>
                </w:tc>
                <w:tc>
                  <w:tcPr>
                    <w:tcW w:w="1275" w:type="dxa"/>
                    <w:shd w:val="clear" w:color="auto" w:fill="auto"/>
                    <w:vAlign w:val="center"/>
                  </w:tcPr>
                  <w:p w14:paraId="7F07B9EE" w14:textId="77777777" w:rsidR="007F43A3" w:rsidRDefault="004F686E" w:rsidP="001979B0">
                    <w:pPr>
                      <w:jc w:val="right"/>
                      <w:rPr>
                        <w:szCs w:val="21"/>
                      </w:rPr>
                    </w:pPr>
                    <w:r>
                      <w:t>700</w:t>
                    </w:r>
                  </w:p>
                </w:tc>
                <w:tc>
                  <w:tcPr>
                    <w:tcW w:w="1418" w:type="dxa"/>
                    <w:shd w:val="clear" w:color="auto" w:fill="auto"/>
                    <w:vAlign w:val="center"/>
                  </w:tcPr>
                  <w:p w14:paraId="6674D446" w14:textId="77777777" w:rsidR="007F43A3" w:rsidRDefault="004F686E" w:rsidP="001979B0">
                    <w:pPr>
                      <w:jc w:val="right"/>
                      <w:rPr>
                        <w:szCs w:val="21"/>
                      </w:rPr>
                    </w:pPr>
                    <w:r>
                      <w:t>1,705,500</w:t>
                    </w:r>
                  </w:p>
                </w:tc>
                <w:tc>
                  <w:tcPr>
                    <w:tcW w:w="850" w:type="dxa"/>
                    <w:shd w:val="clear" w:color="auto" w:fill="auto"/>
                    <w:vAlign w:val="center"/>
                  </w:tcPr>
                  <w:p w14:paraId="2B00622A" w14:textId="77777777" w:rsidR="007F43A3" w:rsidRDefault="004F686E" w:rsidP="001979B0">
                    <w:pPr>
                      <w:jc w:val="right"/>
                      <w:rPr>
                        <w:szCs w:val="21"/>
                      </w:rPr>
                    </w:pPr>
                    <w:r>
                      <w:t>0.35%</w:t>
                    </w:r>
                  </w:p>
                </w:tc>
                <w:tc>
                  <w:tcPr>
                    <w:tcW w:w="1418" w:type="dxa"/>
                    <w:shd w:val="clear" w:color="auto" w:fill="auto"/>
                  </w:tcPr>
                  <w:p w14:paraId="48C2ABD7" w14:textId="77777777" w:rsidR="007F43A3" w:rsidRDefault="004F686E" w:rsidP="001979B0">
                    <w:pPr>
                      <w:jc w:val="right"/>
                      <w:rPr>
                        <w:szCs w:val="21"/>
                      </w:rPr>
                    </w:pPr>
                    <w:r w:rsidRPr="001767C5">
                      <w:t>0</w:t>
                    </w:r>
                  </w:p>
                </w:tc>
                <w:sdt>
                  <w:sdtPr>
                    <w:rPr>
                      <w:szCs w:val="21"/>
                    </w:rPr>
                    <w:alias w:val="前十名股东持有股份状态"/>
                    <w:tag w:val="_GBC_d5194108b2a8481e94140819dbdc5afe"/>
                    <w:id w:val="1879499030"/>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992" w:type="dxa"/>
                        <w:shd w:val="clear" w:color="auto" w:fill="auto"/>
                        <w:vAlign w:val="center"/>
                      </w:tcPr>
                      <w:p w14:paraId="6F4734FD" w14:textId="77777777" w:rsidR="007F43A3" w:rsidRDefault="004F686E" w:rsidP="001979B0">
                        <w:pPr>
                          <w:jc w:val="center"/>
                          <w:rPr>
                            <w:szCs w:val="21"/>
                          </w:rPr>
                        </w:pPr>
                        <w:r>
                          <w:rPr>
                            <w:szCs w:val="21"/>
                          </w:rPr>
                          <w:t>未知</w:t>
                        </w:r>
                      </w:p>
                    </w:tc>
                  </w:sdtContent>
                </w:sdt>
                <w:tc>
                  <w:tcPr>
                    <w:tcW w:w="851" w:type="dxa"/>
                    <w:gridSpan w:val="2"/>
                    <w:shd w:val="clear" w:color="auto" w:fill="auto"/>
                  </w:tcPr>
                  <w:p w14:paraId="19C8BE9B" w14:textId="77777777" w:rsidR="007F43A3" w:rsidRDefault="004F686E" w:rsidP="001979B0">
                    <w:pPr>
                      <w:jc w:val="right"/>
                      <w:rPr>
                        <w:szCs w:val="21"/>
                      </w:rPr>
                    </w:pPr>
                    <w:r w:rsidRPr="002A108A">
                      <w:t>0</w:t>
                    </w:r>
                  </w:p>
                </w:tc>
                <w:sdt>
                  <w:sdtPr>
                    <w:rPr>
                      <w:szCs w:val="21"/>
                    </w:rPr>
                    <w:alias w:val="前十名股东的股东性质"/>
                    <w:tag w:val="_GBC_71380bc899eb4b9781e95e37e7a1e221"/>
                    <w:id w:val="170313066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44" w:type="dxa"/>
                        <w:shd w:val="clear" w:color="auto" w:fill="auto"/>
                        <w:vAlign w:val="center"/>
                      </w:tcPr>
                      <w:p w14:paraId="4544FAFA" w14:textId="77777777" w:rsidR="007F43A3" w:rsidRDefault="004F686E" w:rsidP="001979B0">
                        <w:pPr>
                          <w:rPr>
                            <w:szCs w:val="21"/>
                          </w:rPr>
                        </w:pPr>
                        <w:r>
                          <w:rPr>
                            <w:szCs w:val="21"/>
                          </w:rPr>
                          <w:t>未知</w:t>
                        </w:r>
                      </w:p>
                    </w:tc>
                  </w:sdtContent>
                </w:sdt>
              </w:tr>
            </w:sdtContent>
          </w:sdt>
          <w:sdt>
            <w:sdtPr>
              <w:rPr>
                <w:rFonts w:asciiTheme="minorHAnsi" w:eastAsiaTheme="minorEastAsia" w:hAnsiTheme="minorHAnsi" w:cstheme="minorBidi"/>
                <w:kern w:val="2"/>
                <w:szCs w:val="21"/>
              </w:rPr>
              <w:alias w:val="前十名股东持股情况"/>
              <w:tag w:val="_GBC_5fc8eaeeffc7456eb1a09687db3d4206"/>
              <w:id w:val="1694101172"/>
              <w:lock w:val="sdtLocked"/>
            </w:sdtPr>
            <w:sdtEndPr>
              <w:rPr>
                <w:color w:val="FF9900"/>
              </w:rPr>
            </w:sdtEndPr>
            <w:sdtContent>
              <w:tr w:rsidR="007F43A3" w14:paraId="74D4A306" w14:textId="77777777" w:rsidTr="002361F1">
                <w:trPr>
                  <w:cantSplit/>
                </w:trPr>
                <w:tc>
                  <w:tcPr>
                    <w:tcW w:w="1101" w:type="dxa"/>
                    <w:shd w:val="clear" w:color="auto" w:fill="auto"/>
                    <w:vAlign w:val="center"/>
                  </w:tcPr>
                  <w:p w14:paraId="4B521032" w14:textId="77777777" w:rsidR="007F43A3" w:rsidRDefault="004F686E" w:rsidP="001979B0">
                    <w:pPr>
                      <w:rPr>
                        <w:szCs w:val="21"/>
                      </w:rPr>
                    </w:pPr>
                    <w:r>
                      <w:t>黄芝萍</w:t>
                    </w:r>
                  </w:p>
                </w:tc>
                <w:tc>
                  <w:tcPr>
                    <w:tcW w:w="1275" w:type="dxa"/>
                    <w:shd w:val="clear" w:color="auto" w:fill="auto"/>
                    <w:vAlign w:val="center"/>
                  </w:tcPr>
                  <w:p w14:paraId="264419FF" w14:textId="77777777" w:rsidR="007F43A3" w:rsidRDefault="004F686E" w:rsidP="001979B0">
                    <w:pPr>
                      <w:jc w:val="right"/>
                      <w:rPr>
                        <w:szCs w:val="21"/>
                      </w:rPr>
                    </w:pPr>
                    <w:r>
                      <w:t>-86,573</w:t>
                    </w:r>
                  </w:p>
                </w:tc>
                <w:tc>
                  <w:tcPr>
                    <w:tcW w:w="1418" w:type="dxa"/>
                    <w:shd w:val="clear" w:color="auto" w:fill="auto"/>
                    <w:vAlign w:val="center"/>
                  </w:tcPr>
                  <w:p w14:paraId="1DA60F39" w14:textId="77777777" w:rsidR="007F43A3" w:rsidRDefault="004F686E" w:rsidP="001979B0">
                    <w:pPr>
                      <w:jc w:val="right"/>
                      <w:rPr>
                        <w:szCs w:val="21"/>
                      </w:rPr>
                    </w:pPr>
                    <w:r>
                      <w:t>1,660,027</w:t>
                    </w:r>
                  </w:p>
                </w:tc>
                <w:tc>
                  <w:tcPr>
                    <w:tcW w:w="850" w:type="dxa"/>
                    <w:shd w:val="clear" w:color="auto" w:fill="auto"/>
                    <w:vAlign w:val="center"/>
                  </w:tcPr>
                  <w:p w14:paraId="06A2D168" w14:textId="77777777" w:rsidR="007F43A3" w:rsidRDefault="004F686E" w:rsidP="001979B0">
                    <w:pPr>
                      <w:jc w:val="right"/>
                      <w:rPr>
                        <w:szCs w:val="21"/>
                      </w:rPr>
                    </w:pPr>
                    <w:r>
                      <w:t>0.34%</w:t>
                    </w:r>
                  </w:p>
                </w:tc>
                <w:tc>
                  <w:tcPr>
                    <w:tcW w:w="1418" w:type="dxa"/>
                    <w:shd w:val="clear" w:color="auto" w:fill="auto"/>
                  </w:tcPr>
                  <w:p w14:paraId="2F483223" w14:textId="77777777" w:rsidR="007F43A3" w:rsidRDefault="004F686E" w:rsidP="001979B0">
                    <w:pPr>
                      <w:jc w:val="right"/>
                      <w:rPr>
                        <w:szCs w:val="21"/>
                      </w:rPr>
                    </w:pPr>
                    <w:r w:rsidRPr="001767C5">
                      <w:t>0</w:t>
                    </w:r>
                  </w:p>
                </w:tc>
                <w:sdt>
                  <w:sdtPr>
                    <w:rPr>
                      <w:szCs w:val="21"/>
                    </w:rPr>
                    <w:alias w:val="前十名股东持有股份状态"/>
                    <w:tag w:val="_GBC_d5194108b2a8481e94140819dbdc5afe"/>
                    <w:id w:val="1824784547"/>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992" w:type="dxa"/>
                        <w:shd w:val="clear" w:color="auto" w:fill="auto"/>
                        <w:vAlign w:val="center"/>
                      </w:tcPr>
                      <w:p w14:paraId="7FB83AC2" w14:textId="77777777" w:rsidR="007F43A3" w:rsidRDefault="004F686E" w:rsidP="001979B0">
                        <w:pPr>
                          <w:jc w:val="center"/>
                          <w:rPr>
                            <w:szCs w:val="21"/>
                          </w:rPr>
                        </w:pPr>
                        <w:r>
                          <w:rPr>
                            <w:szCs w:val="21"/>
                          </w:rPr>
                          <w:t>未知</w:t>
                        </w:r>
                      </w:p>
                    </w:tc>
                  </w:sdtContent>
                </w:sdt>
                <w:tc>
                  <w:tcPr>
                    <w:tcW w:w="851" w:type="dxa"/>
                    <w:gridSpan w:val="2"/>
                    <w:shd w:val="clear" w:color="auto" w:fill="auto"/>
                  </w:tcPr>
                  <w:p w14:paraId="59B320B5" w14:textId="77777777" w:rsidR="007F43A3" w:rsidRDefault="004F686E" w:rsidP="001979B0">
                    <w:pPr>
                      <w:jc w:val="right"/>
                      <w:rPr>
                        <w:szCs w:val="21"/>
                      </w:rPr>
                    </w:pPr>
                    <w:r w:rsidRPr="002A108A">
                      <w:t>0</w:t>
                    </w:r>
                  </w:p>
                </w:tc>
                <w:sdt>
                  <w:sdtPr>
                    <w:rPr>
                      <w:szCs w:val="21"/>
                    </w:rPr>
                    <w:alias w:val="前十名股东的股东性质"/>
                    <w:tag w:val="_GBC_71380bc899eb4b9781e95e37e7a1e221"/>
                    <w:id w:val="-122290469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44" w:type="dxa"/>
                        <w:shd w:val="clear" w:color="auto" w:fill="auto"/>
                        <w:vAlign w:val="center"/>
                      </w:tcPr>
                      <w:p w14:paraId="47FA9FE3" w14:textId="77777777" w:rsidR="007F43A3" w:rsidRDefault="004F686E" w:rsidP="001979B0">
                        <w:pPr>
                          <w:rPr>
                            <w:szCs w:val="21"/>
                          </w:rPr>
                        </w:pPr>
                        <w:r>
                          <w:rPr>
                            <w:szCs w:val="21"/>
                          </w:rPr>
                          <w:t>未知</w:t>
                        </w:r>
                      </w:p>
                    </w:tc>
                  </w:sdtContent>
                </w:sdt>
              </w:tr>
            </w:sdtContent>
          </w:sdt>
          <w:sdt>
            <w:sdtPr>
              <w:rPr>
                <w:rFonts w:asciiTheme="minorHAnsi" w:eastAsiaTheme="minorEastAsia" w:hAnsiTheme="minorHAnsi" w:cstheme="minorBidi"/>
                <w:kern w:val="2"/>
                <w:szCs w:val="21"/>
              </w:rPr>
              <w:alias w:val="前十名股东持股情况"/>
              <w:tag w:val="_GBC_5fc8eaeeffc7456eb1a09687db3d4206"/>
              <w:id w:val="-1483996443"/>
              <w:lock w:val="sdtLocked"/>
            </w:sdtPr>
            <w:sdtEndPr>
              <w:rPr>
                <w:color w:val="FF9900"/>
              </w:rPr>
            </w:sdtEndPr>
            <w:sdtContent>
              <w:tr w:rsidR="007F43A3" w14:paraId="4460739F" w14:textId="77777777" w:rsidTr="002361F1">
                <w:trPr>
                  <w:cantSplit/>
                </w:trPr>
                <w:tc>
                  <w:tcPr>
                    <w:tcW w:w="1101" w:type="dxa"/>
                    <w:shd w:val="clear" w:color="auto" w:fill="auto"/>
                    <w:vAlign w:val="center"/>
                  </w:tcPr>
                  <w:p w14:paraId="1C7F1C09" w14:textId="77777777" w:rsidR="007F43A3" w:rsidRDefault="004F686E" w:rsidP="001979B0">
                    <w:pPr>
                      <w:rPr>
                        <w:szCs w:val="21"/>
                      </w:rPr>
                    </w:pPr>
                    <w:r>
                      <w:t>王正月</w:t>
                    </w:r>
                  </w:p>
                </w:tc>
                <w:tc>
                  <w:tcPr>
                    <w:tcW w:w="1275" w:type="dxa"/>
                    <w:shd w:val="clear" w:color="auto" w:fill="auto"/>
                    <w:vAlign w:val="center"/>
                  </w:tcPr>
                  <w:p w14:paraId="53634CAD" w14:textId="77777777" w:rsidR="007F43A3" w:rsidRDefault="004F686E" w:rsidP="001979B0">
                    <w:pPr>
                      <w:jc w:val="right"/>
                      <w:rPr>
                        <w:szCs w:val="21"/>
                      </w:rPr>
                    </w:pPr>
                    <w:r>
                      <w:t>663,000</w:t>
                    </w:r>
                  </w:p>
                </w:tc>
                <w:tc>
                  <w:tcPr>
                    <w:tcW w:w="1418" w:type="dxa"/>
                    <w:shd w:val="clear" w:color="auto" w:fill="auto"/>
                    <w:vAlign w:val="center"/>
                  </w:tcPr>
                  <w:p w14:paraId="238166A9" w14:textId="77777777" w:rsidR="007F43A3" w:rsidRDefault="004F686E" w:rsidP="001979B0">
                    <w:pPr>
                      <w:jc w:val="right"/>
                      <w:rPr>
                        <w:szCs w:val="21"/>
                      </w:rPr>
                    </w:pPr>
                    <w:r>
                      <w:t>1,363,000</w:t>
                    </w:r>
                  </w:p>
                </w:tc>
                <w:tc>
                  <w:tcPr>
                    <w:tcW w:w="850" w:type="dxa"/>
                    <w:shd w:val="clear" w:color="auto" w:fill="auto"/>
                    <w:vAlign w:val="center"/>
                  </w:tcPr>
                  <w:p w14:paraId="364C24C2" w14:textId="77777777" w:rsidR="007F43A3" w:rsidRDefault="004F686E" w:rsidP="001979B0">
                    <w:pPr>
                      <w:jc w:val="right"/>
                      <w:rPr>
                        <w:szCs w:val="21"/>
                      </w:rPr>
                    </w:pPr>
                    <w:r>
                      <w:t>0.28%</w:t>
                    </w:r>
                  </w:p>
                </w:tc>
                <w:tc>
                  <w:tcPr>
                    <w:tcW w:w="1418" w:type="dxa"/>
                    <w:shd w:val="clear" w:color="auto" w:fill="auto"/>
                  </w:tcPr>
                  <w:p w14:paraId="222AE545" w14:textId="77777777" w:rsidR="007F43A3" w:rsidRDefault="004F686E" w:rsidP="001979B0">
                    <w:pPr>
                      <w:jc w:val="right"/>
                      <w:rPr>
                        <w:szCs w:val="21"/>
                      </w:rPr>
                    </w:pPr>
                    <w:r w:rsidRPr="001767C5">
                      <w:t>0</w:t>
                    </w:r>
                  </w:p>
                </w:tc>
                <w:sdt>
                  <w:sdtPr>
                    <w:rPr>
                      <w:szCs w:val="21"/>
                    </w:rPr>
                    <w:alias w:val="前十名股东持有股份状态"/>
                    <w:tag w:val="_GBC_d5194108b2a8481e94140819dbdc5afe"/>
                    <w:id w:val="-470131765"/>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992" w:type="dxa"/>
                        <w:shd w:val="clear" w:color="auto" w:fill="auto"/>
                        <w:vAlign w:val="center"/>
                      </w:tcPr>
                      <w:p w14:paraId="62AA43C8" w14:textId="77777777" w:rsidR="007F43A3" w:rsidRDefault="004F686E" w:rsidP="001979B0">
                        <w:pPr>
                          <w:jc w:val="center"/>
                          <w:rPr>
                            <w:szCs w:val="21"/>
                          </w:rPr>
                        </w:pPr>
                        <w:r>
                          <w:rPr>
                            <w:szCs w:val="21"/>
                          </w:rPr>
                          <w:t>未知</w:t>
                        </w:r>
                      </w:p>
                    </w:tc>
                  </w:sdtContent>
                </w:sdt>
                <w:tc>
                  <w:tcPr>
                    <w:tcW w:w="851" w:type="dxa"/>
                    <w:gridSpan w:val="2"/>
                    <w:shd w:val="clear" w:color="auto" w:fill="auto"/>
                  </w:tcPr>
                  <w:p w14:paraId="38F746F1" w14:textId="77777777" w:rsidR="007F43A3" w:rsidRDefault="004F686E" w:rsidP="001979B0">
                    <w:pPr>
                      <w:jc w:val="right"/>
                      <w:rPr>
                        <w:szCs w:val="21"/>
                      </w:rPr>
                    </w:pPr>
                    <w:r w:rsidRPr="002A108A">
                      <w:t>0</w:t>
                    </w:r>
                  </w:p>
                </w:tc>
                <w:sdt>
                  <w:sdtPr>
                    <w:rPr>
                      <w:szCs w:val="21"/>
                    </w:rPr>
                    <w:alias w:val="前十名股东的股东性质"/>
                    <w:tag w:val="_GBC_71380bc899eb4b9781e95e37e7a1e221"/>
                    <w:id w:val="-72174180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44" w:type="dxa"/>
                        <w:shd w:val="clear" w:color="auto" w:fill="auto"/>
                        <w:vAlign w:val="center"/>
                      </w:tcPr>
                      <w:p w14:paraId="01696BFD" w14:textId="77777777" w:rsidR="007F43A3" w:rsidRDefault="004F686E" w:rsidP="001979B0">
                        <w:pPr>
                          <w:rPr>
                            <w:szCs w:val="21"/>
                          </w:rPr>
                        </w:pPr>
                        <w:r>
                          <w:rPr>
                            <w:szCs w:val="21"/>
                          </w:rPr>
                          <w:t>未知</w:t>
                        </w:r>
                      </w:p>
                    </w:tc>
                  </w:sdtContent>
                </w:sdt>
              </w:tr>
            </w:sdtContent>
          </w:sdt>
          <w:tr w:rsidR="007F43A3" w14:paraId="1819F3DD" w14:textId="77777777" w:rsidTr="002361F1">
            <w:trPr>
              <w:cantSplit/>
            </w:trPr>
            <w:sdt>
              <w:sdtPr>
                <w:tag w:val="_PLD_6f36efd0621247ffb7b2462dd9753e27"/>
                <w:id w:val="1472098136"/>
                <w:lock w:val="sdtLocked"/>
              </w:sdtPr>
              <w:sdtEndPr/>
              <w:sdtContent>
                <w:tc>
                  <w:tcPr>
                    <w:tcW w:w="9049" w:type="dxa"/>
                    <w:gridSpan w:val="9"/>
                    <w:shd w:val="clear" w:color="auto" w:fill="auto"/>
                    <w:vAlign w:val="center"/>
                  </w:tcPr>
                  <w:p w14:paraId="434062C5" w14:textId="77777777" w:rsidR="007F43A3" w:rsidRDefault="004F686E" w:rsidP="001979B0">
                    <w:pPr>
                      <w:jc w:val="center"/>
                      <w:rPr>
                        <w:color w:val="FF9900"/>
                        <w:szCs w:val="21"/>
                      </w:rPr>
                    </w:pPr>
                    <w:r>
                      <w:rPr>
                        <w:szCs w:val="21"/>
                      </w:rPr>
                      <w:t>前十名无限售条件股东持股情况</w:t>
                    </w:r>
                  </w:p>
                </w:tc>
              </w:sdtContent>
            </w:sdt>
          </w:tr>
          <w:tr w:rsidR="007F43A3" w14:paraId="7763834C" w14:textId="77777777" w:rsidTr="002361F1">
            <w:trPr>
              <w:cantSplit/>
            </w:trPr>
            <w:sdt>
              <w:sdtPr>
                <w:tag w:val="_PLD_6c8c7d50ba2b44858757eeaaa20b5499"/>
                <w:id w:val="-381641446"/>
                <w:lock w:val="sdtLocked"/>
              </w:sdtPr>
              <w:sdtEndPr/>
              <w:sdtContent>
                <w:tc>
                  <w:tcPr>
                    <w:tcW w:w="2376" w:type="dxa"/>
                    <w:gridSpan w:val="2"/>
                    <w:vMerge w:val="restart"/>
                    <w:shd w:val="clear" w:color="auto" w:fill="auto"/>
                    <w:vAlign w:val="center"/>
                  </w:tcPr>
                  <w:p w14:paraId="36AD2606" w14:textId="77777777" w:rsidR="007F43A3" w:rsidRDefault="004F686E" w:rsidP="001979B0">
                    <w:pPr>
                      <w:jc w:val="center"/>
                      <w:rPr>
                        <w:color w:val="FF9900"/>
                        <w:szCs w:val="21"/>
                      </w:rPr>
                    </w:pPr>
                    <w:r>
                      <w:t>股东名称</w:t>
                    </w:r>
                  </w:p>
                </w:tc>
              </w:sdtContent>
            </w:sdt>
            <w:sdt>
              <w:sdtPr>
                <w:tag w:val="_PLD_e4987b1a07a6489c82ab5ef0aa3370ea"/>
                <w:id w:val="1257632698"/>
                <w:lock w:val="sdtLocked"/>
              </w:sdtPr>
              <w:sdtEndPr/>
              <w:sdtContent>
                <w:tc>
                  <w:tcPr>
                    <w:tcW w:w="3686" w:type="dxa"/>
                    <w:gridSpan w:val="3"/>
                    <w:vMerge w:val="restart"/>
                    <w:shd w:val="clear" w:color="auto" w:fill="auto"/>
                    <w:vAlign w:val="center"/>
                  </w:tcPr>
                  <w:p w14:paraId="2B988B9F" w14:textId="77777777" w:rsidR="007F43A3" w:rsidRDefault="004F686E" w:rsidP="001979B0">
                    <w:pPr>
                      <w:jc w:val="center"/>
                      <w:rPr>
                        <w:color w:val="FF9900"/>
                        <w:szCs w:val="21"/>
                      </w:rPr>
                    </w:pPr>
                    <w:r>
                      <w:t>持有无限售条件流通股的数量</w:t>
                    </w:r>
                  </w:p>
                </w:tc>
              </w:sdtContent>
            </w:sdt>
            <w:sdt>
              <w:sdtPr>
                <w:tag w:val="_PLD_26ce78cac14a427ca05aa80b21b65936"/>
                <w:id w:val="-1539274343"/>
                <w:lock w:val="sdtLocked"/>
              </w:sdtPr>
              <w:sdtEndPr/>
              <w:sdtContent>
                <w:tc>
                  <w:tcPr>
                    <w:tcW w:w="2987" w:type="dxa"/>
                    <w:gridSpan w:val="4"/>
                    <w:tcBorders>
                      <w:bottom w:val="single" w:sz="4" w:space="0" w:color="auto"/>
                    </w:tcBorders>
                    <w:shd w:val="clear" w:color="auto" w:fill="auto"/>
                    <w:vAlign w:val="center"/>
                  </w:tcPr>
                  <w:p w14:paraId="16312BA1" w14:textId="77777777" w:rsidR="007F43A3" w:rsidRDefault="004F686E" w:rsidP="001979B0">
                    <w:pPr>
                      <w:jc w:val="center"/>
                      <w:rPr>
                        <w:color w:val="FF9900"/>
                        <w:szCs w:val="21"/>
                      </w:rPr>
                    </w:pPr>
                    <w:r>
                      <w:rPr>
                        <w:szCs w:val="21"/>
                      </w:rPr>
                      <w:t>股份种类</w:t>
                    </w:r>
                    <w:r>
                      <w:rPr>
                        <w:rFonts w:hint="eastAsia"/>
                        <w:szCs w:val="21"/>
                      </w:rPr>
                      <w:t>及数量</w:t>
                    </w:r>
                  </w:p>
                </w:tc>
              </w:sdtContent>
            </w:sdt>
          </w:tr>
          <w:tr w:rsidR="007F43A3" w14:paraId="6ED1CEEE" w14:textId="77777777" w:rsidTr="002361F1">
            <w:trPr>
              <w:cantSplit/>
            </w:trPr>
            <w:tc>
              <w:tcPr>
                <w:tcW w:w="2376" w:type="dxa"/>
                <w:gridSpan w:val="2"/>
                <w:vMerge/>
                <w:shd w:val="clear" w:color="auto" w:fill="auto"/>
                <w:vAlign w:val="center"/>
              </w:tcPr>
              <w:p w14:paraId="3FB0E336" w14:textId="77777777" w:rsidR="007F43A3" w:rsidRDefault="00B664AF" w:rsidP="001979B0">
                <w:pPr>
                  <w:jc w:val="center"/>
                  <w:rPr>
                    <w:color w:val="FF9900"/>
                    <w:szCs w:val="21"/>
                  </w:rPr>
                </w:pPr>
              </w:p>
            </w:tc>
            <w:tc>
              <w:tcPr>
                <w:tcW w:w="3686" w:type="dxa"/>
                <w:gridSpan w:val="3"/>
                <w:vMerge/>
                <w:shd w:val="clear" w:color="auto" w:fill="auto"/>
                <w:vAlign w:val="center"/>
              </w:tcPr>
              <w:p w14:paraId="000957FA" w14:textId="77777777" w:rsidR="007F43A3" w:rsidRDefault="00B664AF" w:rsidP="001979B0">
                <w:pPr>
                  <w:jc w:val="center"/>
                  <w:rPr>
                    <w:color w:val="FF9900"/>
                    <w:szCs w:val="21"/>
                  </w:rPr>
                </w:pPr>
              </w:p>
            </w:tc>
            <w:sdt>
              <w:sdtPr>
                <w:tag w:val="_PLD_05580a00e3f942c0b2da618818a84669"/>
                <w:id w:val="109169252"/>
                <w:lock w:val="sdtLocked"/>
              </w:sdtPr>
              <w:sdtEndPr/>
              <w:sdtContent>
                <w:tc>
                  <w:tcPr>
                    <w:tcW w:w="1588" w:type="dxa"/>
                    <w:gridSpan w:val="2"/>
                    <w:shd w:val="clear" w:color="auto" w:fill="auto"/>
                    <w:vAlign w:val="center"/>
                  </w:tcPr>
                  <w:p w14:paraId="0180BEA2" w14:textId="77777777" w:rsidR="007F43A3" w:rsidRDefault="004F686E" w:rsidP="001979B0">
                    <w:pPr>
                      <w:jc w:val="center"/>
                      <w:rPr>
                        <w:color w:val="008000"/>
                        <w:szCs w:val="21"/>
                      </w:rPr>
                    </w:pPr>
                    <w:r>
                      <w:rPr>
                        <w:rFonts w:hint="eastAsia"/>
                        <w:szCs w:val="21"/>
                      </w:rPr>
                      <w:t>种类</w:t>
                    </w:r>
                  </w:p>
                </w:tc>
              </w:sdtContent>
            </w:sdt>
            <w:sdt>
              <w:sdtPr>
                <w:tag w:val="_PLD_7f8ec6251e234192b411b34b07ccd732"/>
                <w:id w:val="-1197547708"/>
                <w:lock w:val="sdtLocked"/>
              </w:sdtPr>
              <w:sdtEndPr/>
              <w:sdtContent>
                <w:tc>
                  <w:tcPr>
                    <w:tcW w:w="1399" w:type="dxa"/>
                    <w:gridSpan w:val="2"/>
                    <w:shd w:val="clear" w:color="auto" w:fill="auto"/>
                    <w:vAlign w:val="center"/>
                  </w:tcPr>
                  <w:p w14:paraId="431DF1CB" w14:textId="77777777" w:rsidR="007F43A3" w:rsidRDefault="004F686E" w:rsidP="001979B0">
                    <w:pPr>
                      <w:jc w:val="center"/>
                      <w:rPr>
                        <w:color w:val="008000"/>
                        <w:szCs w:val="21"/>
                      </w:rPr>
                    </w:pPr>
                    <w:r>
                      <w:rPr>
                        <w:rFonts w:hint="eastAsia"/>
                        <w:szCs w:val="21"/>
                      </w:rPr>
                      <w:t>数量</w:t>
                    </w:r>
                  </w:p>
                </w:tc>
              </w:sdtContent>
            </w:sdt>
          </w:tr>
          <w:sdt>
            <w:sdtPr>
              <w:rPr>
                <w:rFonts w:asciiTheme="minorHAnsi" w:eastAsiaTheme="minorEastAsia" w:hAnsiTheme="minorHAnsi" w:cstheme="minorBidi"/>
                <w:kern w:val="2"/>
                <w:szCs w:val="21"/>
              </w:rPr>
              <w:alias w:val="前十名无限售条件股东持股情况"/>
              <w:tag w:val="_GBC_d4835fea183942b8823bf8913d1f2f26"/>
              <w:id w:val="2145540224"/>
              <w:lock w:val="sdtLocked"/>
            </w:sdtPr>
            <w:sdtEndPr/>
            <w:sdtContent>
              <w:tr w:rsidR="007F43A3" w14:paraId="09B2AF64" w14:textId="77777777" w:rsidTr="002361F1">
                <w:trPr>
                  <w:cantSplit/>
                </w:trPr>
                <w:tc>
                  <w:tcPr>
                    <w:tcW w:w="2376" w:type="dxa"/>
                    <w:gridSpan w:val="2"/>
                    <w:shd w:val="clear" w:color="auto" w:fill="auto"/>
                    <w:vAlign w:val="center"/>
                  </w:tcPr>
                  <w:p w14:paraId="01FC68FD" w14:textId="77777777" w:rsidR="007F43A3" w:rsidRDefault="004F686E" w:rsidP="001979B0">
                    <w:pPr>
                      <w:rPr>
                        <w:szCs w:val="21"/>
                      </w:rPr>
                    </w:pPr>
                    <w:r>
                      <w:t>北京京城机电控股有限责任公司</w:t>
                    </w:r>
                  </w:p>
                </w:tc>
                <w:tc>
                  <w:tcPr>
                    <w:tcW w:w="3686" w:type="dxa"/>
                    <w:gridSpan w:val="3"/>
                    <w:shd w:val="clear" w:color="auto" w:fill="auto"/>
                    <w:vAlign w:val="center"/>
                  </w:tcPr>
                  <w:p w14:paraId="4B54745F" w14:textId="77777777" w:rsidR="007F43A3" w:rsidRDefault="004F686E" w:rsidP="001979B0">
                    <w:pPr>
                      <w:jc w:val="right"/>
                      <w:rPr>
                        <w:szCs w:val="21"/>
                      </w:rPr>
                    </w:pPr>
                    <w:r>
                      <w:t>182,735,052</w:t>
                    </w:r>
                  </w:p>
                </w:tc>
                <w:sdt>
                  <w:sdtPr>
                    <w:rPr>
                      <w:bCs/>
                      <w:szCs w:val="21"/>
                    </w:rPr>
                    <w:alias w:val="前十名无限售条件股东期末持有流通股的种类"/>
                    <w:tag w:val="_GBC_5d0d3dfc3b8545ce906ab8a21728fb94"/>
                    <w:id w:val="-1602403465"/>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588" w:type="dxa"/>
                        <w:gridSpan w:val="2"/>
                        <w:shd w:val="clear" w:color="auto" w:fill="auto"/>
                        <w:vAlign w:val="center"/>
                      </w:tcPr>
                      <w:p w14:paraId="02013EC7" w14:textId="77777777" w:rsidR="007F43A3" w:rsidRDefault="004F686E" w:rsidP="001979B0">
                        <w:pPr>
                          <w:jc w:val="center"/>
                          <w:rPr>
                            <w:bCs/>
                            <w:szCs w:val="21"/>
                          </w:rPr>
                        </w:pPr>
                        <w:r>
                          <w:rPr>
                            <w:bCs/>
                            <w:szCs w:val="21"/>
                          </w:rPr>
                          <w:t>人民币普通股</w:t>
                        </w:r>
                      </w:p>
                    </w:tc>
                  </w:sdtContent>
                </w:sdt>
                <w:tc>
                  <w:tcPr>
                    <w:tcW w:w="1399" w:type="dxa"/>
                    <w:gridSpan w:val="2"/>
                    <w:shd w:val="clear" w:color="auto" w:fill="auto"/>
                    <w:vAlign w:val="center"/>
                  </w:tcPr>
                  <w:p w14:paraId="04D20FBE" w14:textId="77777777" w:rsidR="007F43A3" w:rsidRDefault="004F686E" w:rsidP="001979B0">
                    <w:pPr>
                      <w:jc w:val="right"/>
                      <w:rPr>
                        <w:szCs w:val="21"/>
                      </w:rPr>
                    </w:pPr>
                    <w:r>
                      <w:t>182,735,052</w:t>
                    </w:r>
                  </w:p>
                </w:tc>
              </w:tr>
            </w:sdtContent>
          </w:sdt>
          <w:sdt>
            <w:sdtPr>
              <w:rPr>
                <w:rFonts w:asciiTheme="minorHAnsi" w:eastAsiaTheme="minorEastAsia" w:hAnsiTheme="minorHAnsi" w:cstheme="minorBidi"/>
                <w:kern w:val="2"/>
                <w:szCs w:val="21"/>
              </w:rPr>
              <w:alias w:val="前十名无限售条件股东持股情况"/>
              <w:tag w:val="_GBC_d4835fea183942b8823bf8913d1f2f26"/>
              <w:id w:val="1888143199"/>
              <w:lock w:val="sdtLocked"/>
            </w:sdtPr>
            <w:sdtEndPr/>
            <w:sdtContent>
              <w:tr w:rsidR="007F43A3" w14:paraId="0261FF59" w14:textId="77777777" w:rsidTr="002361F1">
                <w:trPr>
                  <w:cantSplit/>
                </w:trPr>
                <w:tc>
                  <w:tcPr>
                    <w:tcW w:w="2376" w:type="dxa"/>
                    <w:gridSpan w:val="2"/>
                    <w:shd w:val="clear" w:color="auto" w:fill="auto"/>
                    <w:vAlign w:val="center"/>
                  </w:tcPr>
                  <w:p w14:paraId="26FF3EC0" w14:textId="7BCA0272" w:rsidR="007F43A3" w:rsidRDefault="004F686E" w:rsidP="001979B0">
                    <w:pPr>
                      <w:rPr>
                        <w:szCs w:val="21"/>
                      </w:rPr>
                    </w:pPr>
                    <w:r w:rsidRPr="007F43A3">
                      <w:t>HKSCC NOMINEES LIMITED</w:t>
                    </w:r>
                  </w:p>
                </w:tc>
                <w:tc>
                  <w:tcPr>
                    <w:tcW w:w="3686" w:type="dxa"/>
                    <w:gridSpan w:val="3"/>
                    <w:shd w:val="clear" w:color="auto" w:fill="auto"/>
                    <w:vAlign w:val="center"/>
                  </w:tcPr>
                  <w:p w14:paraId="29171582" w14:textId="34E8776C" w:rsidR="007F43A3" w:rsidRDefault="004F686E" w:rsidP="001979B0">
                    <w:pPr>
                      <w:jc w:val="right"/>
                      <w:rPr>
                        <w:szCs w:val="21"/>
                      </w:rPr>
                    </w:pPr>
                    <w:r w:rsidRPr="007F43A3">
                      <w:t>99,313,027</w:t>
                    </w:r>
                  </w:p>
                </w:tc>
                <w:sdt>
                  <w:sdtPr>
                    <w:rPr>
                      <w:bCs/>
                      <w:szCs w:val="21"/>
                    </w:rPr>
                    <w:alias w:val="前十名无限售条件股东期末持有流通股的种类"/>
                    <w:tag w:val="_GBC_5d0d3dfc3b8545ce906ab8a21728fb94"/>
                    <w:id w:val="2083323243"/>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588" w:type="dxa"/>
                        <w:gridSpan w:val="2"/>
                        <w:shd w:val="clear" w:color="auto" w:fill="auto"/>
                        <w:vAlign w:val="center"/>
                      </w:tcPr>
                      <w:p w14:paraId="75A0F34A" w14:textId="27806DDC" w:rsidR="007F43A3" w:rsidRDefault="004F686E" w:rsidP="001979B0">
                        <w:pPr>
                          <w:jc w:val="center"/>
                          <w:rPr>
                            <w:bCs/>
                            <w:szCs w:val="21"/>
                          </w:rPr>
                        </w:pPr>
                        <w:r>
                          <w:rPr>
                            <w:bCs/>
                            <w:szCs w:val="21"/>
                          </w:rPr>
                          <w:t>境外上市外资股</w:t>
                        </w:r>
                      </w:p>
                    </w:tc>
                  </w:sdtContent>
                </w:sdt>
                <w:tc>
                  <w:tcPr>
                    <w:tcW w:w="1399" w:type="dxa"/>
                    <w:gridSpan w:val="2"/>
                    <w:shd w:val="clear" w:color="auto" w:fill="auto"/>
                    <w:vAlign w:val="center"/>
                  </w:tcPr>
                  <w:p w14:paraId="3AA260A2" w14:textId="2DF617DA" w:rsidR="007F43A3" w:rsidRDefault="004F686E" w:rsidP="001979B0">
                    <w:pPr>
                      <w:jc w:val="right"/>
                      <w:rPr>
                        <w:szCs w:val="21"/>
                      </w:rPr>
                    </w:pPr>
                    <w:r w:rsidRPr="007F43A3">
                      <w:t>99,313,027</w:t>
                    </w:r>
                  </w:p>
                </w:tc>
              </w:tr>
            </w:sdtContent>
          </w:sdt>
          <w:sdt>
            <w:sdtPr>
              <w:rPr>
                <w:rFonts w:asciiTheme="minorHAnsi" w:eastAsiaTheme="minorEastAsia" w:hAnsiTheme="minorHAnsi" w:cstheme="minorBidi"/>
                <w:kern w:val="2"/>
                <w:szCs w:val="21"/>
              </w:rPr>
              <w:alias w:val="前十名无限售条件股东持股情况"/>
              <w:tag w:val="_GBC_d4835fea183942b8823bf8913d1f2f26"/>
              <w:id w:val="-1540731352"/>
              <w:lock w:val="sdtLocked"/>
            </w:sdtPr>
            <w:sdtEndPr/>
            <w:sdtContent>
              <w:tr w:rsidR="007F43A3" w14:paraId="0D5CFBCD" w14:textId="77777777" w:rsidTr="002361F1">
                <w:trPr>
                  <w:cantSplit/>
                </w:trPr>
                <w:tc>
                  <w:tcPr>
                    <w:tcW w:w="2376" w:type="dxa"/>
                    <w:gridSpan w:val="2"/>
                    <w:shd w:val="clear" w:color="auto" w:fill="auto"/>
                    <w:vAlign w:val="center"/>
                  </w:tcPr>
                  <w:p w14:paraId="048D9A4E" w14:textId="77777777" w:rsidR="007F43A3" w:rsidRDefault="004F686E" w:rsidP="001979B0">
                    <w:pPr>
                      <w:rPr>
                        <w:szCs w:val="21"/>
                      </w:rPr>
                    </w:pPr>
                    <w:r>
                      <w:t>李红杰</w:t>
                    </w:r>
                  </w:p>
                </w:tc>
                <w:tc>
                  <w:tcPr>
                    <w:tcW w:w="3686" w:type="dxa"/>
                    <w:gridSpan w:val="3"/>
                    <w:shd w:val="clear" w:color="auto" w:fill="auto"/>
                    <w:vAlign w:val="center"/>
                  </w:tcPr>
                  <w:p w14:paraId="476552D1" w14:textId="77777777" w:rsidR="007F43A3" w:rsidRDefault="004F686E" w:rsidP="001979B0">
                    <w:pPr>
                      <w:jc w:val="right"/>
                      <w:rPr>
                        <w:szCs w:val="21"/>
                      </w:rPr>
                    </w:pPr>
                    <w:r>
                      <w:t>4,900,037</w:t>
                    </w:r>
                  </w:p>
                </w:tc>
                <w:sdt>
                  <w:sdtPr>
                    <w:rPr>
                      <w:bCs/>
                      <w:szCs w:val="21"/>
                    </w:rPr>
                    <w:alias w:val="前十名无限售条件股东期末持有流通股的种类"/>
                    <w:tag w:val="_GBC_5d0d3dfc3b8545ce906ab8a21728fb94"/>
                    <w:id w:val="-237862093"/>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588" w:type="dxa"/>
                        <w:gridSpan w:val="2"/>
                        <w:shd w:val="clear" w:color="auto" w:fill="auto"/>
                        <w:vAlign w:val="center"/>
                      </w:tcPr>
                      <w:p w14:paraId="1526FA67" w14:textId="77777777" w:rsidR="007F43A3" w:rsidRDefault="004F686E" w:rsidP="001979B0">
                        <w:pPr>
                          <w:jc w:val="center"/>
                          <w:rPr>
                            <w:bCs/>
                            <w:szCs w:val="21"/>
                          </w:rPr>
                        </w:pPr>
                        <w:r>
                          <w:rPr>
                            <w:bCs/>
                            <w:szCs w:val="21"/>
                          </w:rPr>
                          <w:t>人民币普通股</w:t>
                        </w:r>
                      </w:p>
                    </w:tc>
                  </w:sdtContent>
                </w:sdt>
                <w:tc>
                  <w:tcPr>
                    <w:tcW w:w="1399" w:type="dxa"/>
                    <w:gridSpan w:val="2"/>
                    <w:shd w:val="clear" w:color="auto" w:fill="auto"/>
                    <w:vAlign w:val="center"/>
                  </w:tcPr>
                  <w:p w14:paraId="13610DD9" w14:textId="77777777" w:rsidR="007F43A3" w:rsidRDefault="004F686E" w:rsidP="001979B0">
                    <w:pPr>
                      <w:jc w:val="right"/>
                      <w:rPr>
                        <w:szCs w:val="21"/>
                      </w:rPr>
                    </w:pPr>
                    <w:r>
                      <w:t>4,900,037</w:t>
                    </w:r>
                  </w:p>
                </w:tc>
              </w:tr>
            </w:sdtContent>
          </w:sdt>
          <w:sdt>
            <w:sdtPr>
              <w:rPr>
                <w:rFonts w:asciiTheme="minorHAnsi" w:eastAsiaTheme="minorEastAsia" w:hAnsiTheme="minorHAnsi" w:cstheme="minorBidi"/>
                <w:kern w:val="2"/>
                <w:szCs w:val="21"/>
              </w:rPr>
              <w:alias w:val="前十名无限售条件股东持股情况"/>
              <w:tag w:val="_GBC_d4835fea183942b8823bf8913d1f2f26"/>
              <w:id w:val="676919114"/>
              <w:lock w:val="sdtLocked"/>
            </w:sdtPr>
            <w:sdtEndPr/>
            <w:sdtContent>
              <w:tr w:rsidR="007F43A3" w14:paraId="283BF60B" w14:textId="77777777" w:rsidTr="002361F1">
                <w:trPr>
                  <w:cantSplit/>
                </w:trPr>
                <w:tc>
                  <w:tcPr>
                    <w:tcW w:w="2376" w:type="dxa"/>
                    <w:gridSpan w:val="2"/>
                    <w:shd w:val="clear" w:color="auto" w:fill="auto"/>
                    <w:vAlign w:val="center"/>
                  </w:tcPr>
                  <w:p w14:paraId="4334A344" w14:textId="77777777" w:rsidR="007F43A3" w:rsidRDefault="004F686E" w:rsidP="001979B0">
                    <w:pPr>
                      <w:rPr>
                        <w:szCs w:val="21"/>
                      </w:rPr>
                    </w:pPr>
                    <w:r>
                      <w:t>蒋根青</w:t>
                    </w:r>
                  </w:p>
                </w:tc>
                <w:tc>
                  <w:tcPr>
                    <w:tcW w:w="3686" w:type="dxa"/>
                    <w:gridSpan w:val="3"/>
                    <w:shd w:val="clear" w:color="auto" w:fill="auto"/>
                    <w:vAlign w:val="center"/>
                  </w:tcPr>
                  <w:p w14:paraId="55683F98" w14:textId="77777777" w:rsidR="007F43A3" w:rsidRDefault="004F686E" w:rsidP="001979B0">
                    <w:pPr>
                      <w:jc w:val="right"/>
                      <w:rPr>
                        <w:szCs w:val="21"/>
                      </w:rPr>
                    </w:pPr>
                    <w:r>
                      <w:t>3,787,700</w:t>
                    </w:r>
                  </w:p>
                </w:tc>
                <w:sdt>
                  <w:sdtPr>
                    <w:rPr>
                      <w:bCs/>
                      <w:szCs w:val="21"/>
                    </w:rPr>
                    <w:alias w:val="前十名无限售条件股东期末持有流通股的种类"/>
                    <w:tag w:val="_GBC_5d0d3dfc3b8545ce906ab8a21728fb94"/>
                    <w:id w:val="-1345548725"/>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588" w:type="dxa"/>
                        <w:gridSpan w:val="2"/>
                        <w:shd w:val="clear" w:color="auto" w:fill="auto"/>
                        <w:vAlign w:val="center"/>
                      </w:tcPr>
                      <w:p w14:paraId="1B5C8688" w14:textId="77777777" w:rsidR="007F43A3" w:rsidRDefault="004F686E" w:rsidP="001979B0">
                        <w:pPr>
                          <w:jc w:val="center"/>
                          <w:rPr>
                            <w:bCs/>
                            <w:szCs w:val="21"/>
                          </w:rPr>
                        </w:pPr>
                        <w:r>
                          <w:rPr>
                            <w:bCs/>
                            <w:szCs w:val="21"/>
                          </w:rPr>
                          <w:t>人民币普通股</w:t>
                        </w:r>
                      </w:p>
                    </w:tc>
                  </w:sdtContent>
                </w:sdt>
                <w:tc>
                  <w:tcPr>
                    <w:tcW w:w="1399" w:type="dxa"/>
                    <w:gridSpan w:val="2"/>
                    <w:shd w:val="clear" w:color="auto" w:fill="auto"/>
                    <w:vAlign w:val="center"/>
                  </w:tcPr>
                  <w:p w14:paraId="47A1E0DA" w14:textId="77777777" w:rsidR="007F43A3" w:rsidRDefault="004F686E" w:rsidP="001979B0">
                    <w:pPr>
                      <w:jc w:val="right"/>
                      <w:rPr>
                        <w:szCs w:val="21"/>
                      </w:rPr>
                    </w:pPr>
                    <w:r>
                      <w:t>3,787,700</w:t>
                    </w:r>
                  </w:p>
                </w:tc>
              </w:tr>
            </w:sdtContent>
          </w:sdt>
          <w:sdt>
            <w:sdtPr>
              <w:rPr>
                <w:rFonts w:asciiTheme="minorHAnsi" w:eastAsiaTheme="minorEastAsia" w:hAnsiTheme="minorHAnsi" w:cstheme="minorBidi"/>
                <w:kern w:val="2"/>
                <w:szCs w:val="21"/>
              </w:rPr>
              <w:alias w:val="前十名无限售条件股东持股情况"/>
              <w:tag w:val="_GBC_d4835fea183942b8823bf8913d1f2f26"/>
              <w:id w:val="-1160227240"/>
              <w:lock w:val="sdtLocked"/>
            </w:sdtPr>
            <w:sdtEndPr/>
            <w:sdtContent>
              <w:tr w:rsidR="007F43A3" w14:paraId="40CFCDF8" w14:textId="77777777" w:rsidTr="002361F1">
                <w:trPr>
                  <w:cantSplit/>
                </w:trPr>
                <w:tc>
                  <w:tcPr>
                    <w:tcW w:w="2376" w:type="dxa"/>
                    <w:gridSpan w:val="2"/>
                    <w:shd w:val="clear" w:color="auto" w:fill="auto"/>
                    <w:vAlign w:val="center"/>
                  </w:tcPr>
                  <w:p w14:paraId="1F5ADE96" w14:textId="77777777" w:rsidR="007F43A3" w:rsidRDefault="004F686E" w:rsidP="001979B0">
                    <w:pPr>
                      <w:rPr>
                        <w:szCs w:val="21"/>
                      </w:rPr>
                    </w:pPr>
                    <w:r>
                      <w:t>何勇</w:t>
                    </w:r>
                  </w:p>
                </w:tc>
                <w:tc>
                  <w:tcPr>
                    <w:tcW w:w="3686" w:type="dxa"/>
                    <w:gridSpan w:val="3"/>
                    <w:shd w:val="clear" w:color="auto" w:fill="auto"/>
                    <w:vAlign w:val="center"/>
                  </w:tcPr>
                  <w:p w14:paraId="7C19EB1E" w14:textId="77777777" w:rsidR="007F43A3" w:rsidRDefault="004F686E" w:rsidP="001979B0">
                    <w:pPr>
                      <w:jc w:val="right"/>
                      <w:rPr>
                        <w:szCs w:val="21"/>
                      </w:rPr>
                    </w:pPr>
                    <w:r>
                      <w:t>2,147,520</w:t>
                    </w:r>
                  </w:p>
                </w:tc>
                <w:sdt>
                  <w:sdtPr>
                    <w:rPr>
                      <w:bCs/>
                      <w:szCs w:val="21"/>
                    </w:rPr>
                    <w:alias w:val="前十名无限售条件股东期末持有流通股的种类"/>
                    <w:tag w:val="_GBC_5d0d3dfc3b8545ce906ab8a21728fb94"/>
                    <w:id w:val="1123807893"/>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588" w:type="dxa"/>
                        <w:gridSpan w:val="2"/>
                        <w:shd w:val="clear" w:color="auto" w:fill="auto"/>
                        <w:vAlign w:val="center"/>
                      </w:tcPr>
                      <w:p w14:paraId="095DDACF" w14:textId="77777777" w:rsidR="007F43A3" w:rsidRDefault="004F686E" w:rsidP="001979B0">
                        <w:pPr>
                          <w:jc w:val="center"/>
                          <w:rPr>
                            <w:bCs/>
                            <w:szCs w:val="21"/>
                          </w:rPr>
                        </w:pPr>
                        <w:r>
                          <w:rPr>
                            <w:bCs/>
                            <w:szCs w:val="21"/>
                          </w:rPr>
                          <w:t>人民币普通股</w:t>
                        </w:r>
                      </w:p>
                    </w:tc>
                  </w:sdtContent>
                </w:sdt>
                <w:tc>
                  <w:tcPr>
                    <w:tcW w:w="1399" w:type="dxa"/>
                    <w:gridSpan w:val="2"/>
                    <w:shd w:val="clear" w:color="auto" w:fill="auto"/>
                    <w:vAlign w:val="center"/>
                  </w:tcPr>
                  <w:p w14:paraId="709FE2E1" w14:textId="77777777" w:rsidR="007F43A3" w:rsidRDefault="004F686E" w:rsidP="001979B0">
                    <w:pPr>
                      <w:jc w:val="right"/>
                      <w:rPr>
                        <w:szCs w:val="21"/>
                      </w:rPr>
                    </w:pPr>
                    <w:r>
                      <w:t>2,147,520</w:t>
                    </w:r>
                  </w:p>
                </w:tc>
              </w:tr>
            </w:sdtContent>
          </w:sdt>
          <w:sdt>
            <w:sdtPr>
              <w:rPr>
                <w:rFonts w:asciiTheme="minorHAnsi" w:eastAsiaTheme="minorEastAsia" w:hAnsiTheme="minorHAnsi" w:cstheme="minorBidi"/>
                <w:kern w:val="2"/>
                <w:szCs w:val="21"/>
              </w:rPr>
              <w:alias w:val="前十名无限售条件股东持股情况"/>
              <w:tag w:val="_GBC_d4835fea183942b8823bf8913d1f2f26"/>
              <w:id w:val="-769618792"/>
              <w:lock w:val="sdtLocked"/>
            </w:sdtPr>
            <w:sdtEndPr/>
            <w:sdtContent>
              <w:tr w:rsidR="007F43A3" w14:paraId="4B5EF5BF" w14:textId="77777777" w:rsidTr="002361F1">
                <w:trPr>
                  <w:cantSplit/>
                </w:trPr>
                <w:tc>
                  <w:tcPr>
                    <w:tcW w:w="2376" w:type="dxa"/>
                    <w:gridSpan w:val="2"/>
                    <w:shd w:val="clear" w:color="auto" w:fill="auto"/>
                    <w:vAlign w:val="center"/>
                  </w:tcPr>
                  <w:p w14:paraId="7F1D8339" w14:textId="77777777" w:rsidR="007F43A3" w:rsidRDefault="004F686E" w:rsidP="001979B0">
                    <w:pPr>
                      <w:rPr>
                        <w:szCs w:val="21"/>
                      </w:rPr>
                    </w:pPr>
                    <w:r>
                      <w:t>香港中央结算有限公司</w:t>
                    </w:r>
                  </w:p>
                </w:tc>
                <w:tc>
                  <w:tcPr>
                    <w:tcW w:w="3686" w:type="dxa"/>
                    <w:gridSpan w:val="3"/>
                    <w:shd w:val="clear" w:color="auto" w:fill="auto"/>
                    <w:vAlign w:val="center"/>
                  </w:tcPr>
                  <w:p w14:paraId="2A4023A2" w14:textId="77777777" w:rsidR="007F43A3" w:rsidRDefault="004F686E" w:rsidP="001979B0">
                    <w:pPr>
                      <w:jc w:val="right"/>
                      <w:rPr>
                        <w:szCs w:val="21"/>
                      </w:rPr>
                    </w:pPr>
                    <w:r>
                      <w:t>1,842,817</w:t>
                    </w:r>
                  </w:p>
                </w:tc>
                <w:sdt>
                  <w:sdtPr>
                    <w:rPr>
                      <w:bCs/>
                      <w:szCs w:val="21"/>
                    </w:rPr>
                    <w:alias w:val="前十名无限售条件股东期末持有流通股的种类"/>
                    <w:tag w:val="_GBC_5d0d3dfc3b8545ce906ab8a21728fb94"/>
                    <w:id w:val="-1214032669"/>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588" w:type="dxa"/>
                        <w:gridSpan w:val="2"/>
                        <w:shd w:val="clear" w:color="auto" w:fill="auto"/>
                        <w:vAlign w:val="center"/>
                      </w:tcPr>
                      <w:p w14:paraId="79A3D67D" w14:textId="65A91A1A" w:rsidR="007F43A3" w:rsidRDefault="004F686E" w:rsidP="001979B0">
                        <w:pPr>
                          <w:jc w:val="center"/>
                          <w:rPr>
                            <w:bCs/>
                            <w:szCs w:val="21"/>
                          </w:rPr>
                        </w:pPr>
                        <w:r>
                          <w:rPr>
                            <w:bCs/>
                            <w:szCs w:val="21"/>
                          </w:rPr>
                          <w:t>人民币普通股</w:t>
                        </w:r>
                      </w:p>
                    </w:tc>
                  </w:sdtContent>
                </w:sdt>
                <w:tc>
                  <w:tcPr>
                    <w:tcW w:w="1399" w:type="dxa"/>
                    <w:gridSpan w:val="2"/>
                    <w:shd w:val="clear" w:color="auto" w:fill="auto"/>
                    <w:vAlign w:val="center"/>
                  </w:tcPr>
                  <w:p w14:paraId="1D68750B" w14:textId="77777777" w:rsidR="007F43A3" w:rsidRDefault="004F686E" w:rsidP="001979B0">
                    <w:pPr>
                      <w:jc w:val="right"/>
                      <w:rPr>
                        <w:szCs w:val="21"/>
                      </w:rPr>
                    </w:pPr>
                    <w:r>
                      <w:t>1,842,817</w:t>
                    </w:r>
                  </w:p>
                </w:tc>
              </w:tr>
            </w:sdtContent>
          </w:sdt>
          <w:sdt>
            <w:sdtPr>
              <w:rPr>
                <w:rFonts w:asciiTheme="minorHAnsi" w:eastAsiaTheme="minorEastAsia" w:hAnsiTheme="minorHAnsi" w:cstheme="minorBidi"/>
                <w:kern w:val="2"/>
                <w:szCs w:val="21"/>
              </w:rPr>
              <w:alias w:val="前十名无限售条件股东持股情况"/>
              <w:tag w:val="_GBC_d4835fea183942b8823bf8913d1f2f26"/>
              <w:id w:val="-1923104276"/>
              <w:lock w:val="sdtLocked"/>
            </w:sdtPr>
            <w:sdtEndPr/>
            <w:sdtContent>
              <w:tr w:rsidR="007F43A3" w14:paraId="754234F7" w14:textId="77777777" w:rsidTr="002361F1">
                <w:trPr>
                  <w:cantSplit/>
                </w:trPr>
                <w:tc>
                  <w:tcPr>
                    <w:tcW w:w="2376" w:type="dxa"/>
                    <w:gridSpan w:val="2"/>
                    <w:shd w:val="clear" w:color="auto" w:fill="auto"/>
                    <w:vAlign w:val="center"/>
                  </w:tcPr>
                  <w:p w14:paraId="1506768F" w14:textId="77777777" w:rsidR="007F43A3" w:rsidRDefault="004F686E" w:rsidP="001979B0">
                    <w:pPr>
                      <w:rPr>
                        <w:szCs w:val="21"/>
                      </w:rPr>
                    </w:pPr>
                    <w:r>
                      <w:t>徐子华</w:t>
                    </w:r>
                  </w:p>
                </w:tc>
                <w:tc>
                  <w:tcPr>
                    <w:tcW w:w="3686" w:type="dxa"/>
                    <w:gridSpan w:val="3"/>
                    <w:shd w:val="clear" w:color="auto" w:fill="auto"/>
                    <w:vAlign w:val="center"/>
                  </w:tcPr>
                  <w:p w14:paraId="33FEFB15" w14:textId="77777777" w:rsidR="007F43A3" w:rsidRDefault="004F686E" w:rsidP="001979B0">
                    <w:pPr>
                      <w:jc w:val="right"/>
                      <w:rPr>
                        <w:szCs w:val="21"/>
                      </w:rPr>
                    </w:pPr>
                    <w:r>
                      <w:t>1,708,700</w:t>
                    </w:r>
                  </w:p>
                </w:tc>
                <w:sdt>
                  <w:sdtPr>
                    <w:rPr>
                      <w:bCs/>
                      <w:szCs w:val="21"/>
                    </w:rPr>
                    <w:alias w:val="前十名无限售条件股东期末持有流通股的种类"/>
                    <w:tag w:val="_GBC_5d0d3dfc3b8545ce906ab8a21728fb94"/>
                    <w:id w:val="-6286970"/>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588" w:type="dxa"/>
                        <w:gridSpan w:val="2"/>
                        <w:shd w:val="clear" w:color="auto" w:fill="auto"/>
                        <w:vAlign w:val="center"/>
                      </w:tcPr>
                      <w:p w14:paraId="57F311C5" w14:textId="77777777" w:rsidR="007F43A3" w:rsidRDefault="004F686E" w:rsidP="001979B0">
                        <w:pPr>
                          <w:jc w:val="center"/>
                          <w:rPr>
                            <w:bCs/>
                            <w:szCs w:val="21"/>
                          </w:rPr>
                        </w:pPr>
                        <w:r>
                          <w:rPr>
                            <w:bCs/>
                            <w:szCs w:val="21"/>
                          </w:rPr>
                          <w:t>人民币普通股</w:t>
                        </w:r>
                      </w:p>
                    </w:tc>
                  </w:sdtContent>
                </w:sdt>
                <w:tc>
                  <w:tcPr>
                    <w:tcW w:w="1399" w:type="dxa"/>
                    <w:gridSpan w:val="2"/>
                    <w:shd w:val="clear" w:color="auto" w:fill="auto"/>
                    <w:vAlign w:val="center"/>
                  </w:tcPr>
                  <w:p w14:paraId="22FD94CD" w14:textId="77777777" w:rsidR="007F43A3" w:rsidRDefault="004F686E" w:rsidP="001979B0">
                    <w:pPr>
                      <w:jc w:val="right"/>
                      <w:rPr>
                        <w:szCs w:val="21"/>
                      </w:rPr>
                    </w:pPr>
                    <w:r>
                      <w:t>1,708,700</w:t>
                    </w:r>
                  </w:p>
                </w:tc>
              </w:tr>
            </w:sdtContent>
          </w:sdt>
          <w:sdt>
            <w:sdtPr>
              <w:rPr>
                <w:rFonts w:asciiTheme="minorHAnsi" w:eastAsiaTheme="minorEastAsia" w:hAnsiTheme="minorHAnsi" w:cstheme="minorBidi"/>
                <w:kern w:val="2"/>
                <w:szCs w:val="21"/>
              </w:rPr>
              <w:alias w:val="前十名无限售条件股东持股情况"/>
              <w:tag w:val="_GBC_d4835fea183942b8823bf8913d1f2f26"/>
              <w:id w:val="-594559357"/>
              <w:lock w:val="sdtLocked"/>
            </w:sdtPr>
            <w:sdtEndPr/>
            <w:sdtContent>
              <w:tr w:rsidR="007F43A3" w14:paraId="47129FE7" w14:textId="77777777" w:rsidTr="002361F1">
                <w:trPr>
                  <w:cantSplit/>
                </w:trPr>
                <w:tc>
                  <w:tcPr>
                    <w:tcW w:w="2376" w:type="dxa"/>
                    <w:gridSpan w:val="2"/>
                    <w:shd w:val="clear" w:color="auto" w:fill="auto"/>
                    <w:vAlign w:val="center"/>
                  </w:tcPr>
                  <w:p w14:paraId="07F6E64A" w14:textId="77777777" w:rsidR="007F43A3" w:rsidRDefault="004F686E" w:rsidP="001979B0">
                    <w:pPr>
                      <w:rPr>
                        <w:szCs w:val="21"/>
                      </w:rPr>
                    </w:pPr>
                    <w:r>
                      <w:t>徐瑞</w:t>
                    </w:r>
                  </w:p>
                </w:tc>
                <w:tc>
                  <w:tcPr>
                    <w:tcW w:w="3686" w:type="dxa"/>
                    <w:gridSpan w:val="3"/>
                    <w:shd w:val="clear" w:color="auto" w:fill="auto"/>
                    <w:vAlign w:val="center"/>
                  </w:tcPr>
                  <w:p w14:paraId="25ED506B" w14:textId="77777777" w:rsidR="007F43A3" w:rsidRDefault="004F686E" w:rsidP="001979B0">
                    <w:pPr>
                      <w:jc w:val="right"/>
                      <w:rPr>
                        <w:szCs w:val="21"/>
                      </w:rPr>
                    </w:pPr>
                    <w:r>
                      <w:t>1,705,500</w:t>
                    </w:r>
                  </w:p>
                </w:tc>
                <w:sdt>
                  <w:sdtPr>
                    <w:rPr>
                      <w:bCs/>
                      <w:szCs w:val="21"/>
                    </w:rPr>
                    <w:alias w:val="前十名无限售条件股东期末持有流通股的种类"/>
                    <w:tag w:val="_GBC_5d0d3dfc3b8545ce906ab8a21728fb94"/>
                    <w:id w:val="-590772310"/>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588" w:type="dxa"/>
                        <w:gridSpan w:val="2"/>
                        <w:shd w:val="clear" w:color="auto" w:fill="auto"/>
                        <w:vAlign w:val="center"/>
                      </w:tcPr>
                      <w:p w14:paraId="1C32E0CE" w14:textId="77777777" w:rsidR="007F43A3" w:rsidRDefault="004F686E" w:rsidP="001979B0">
                        <w:pPr>
                          <w:jc w:val="center"/>
                          <w:rPr>
                            <w:bCs/>
                            <w:szCs w:val="21"/>
                          </w:rPr>
                        </w:pPr>
                        <w:r>
                          <w:rPr>
                            <w:bCs/>
                            <w:szCs w:val="21"/>
                          </w:rPr>
                          <w:t>人民币普通股</w:t>
                        </w:r>
                      </w:p>
                    </w:tc>
                  </w:sdtContent>
                </w:sdt>
                <w:tc>
                  <w:tcPr>
                    <w:tcW w:w="1399" w:type="dxa"/>
                    <w:gridSpan w:val="2"/>
                    <w:shd w:val="clear" w:color="auto" w:fill="auto"/>
                    <w:vAlign w:val="center"/>
                  </w:tcPr>
                  <w:p w14:paraId="66E700B2" w14:textId="77777777" w:rsidR="007F43A3" w:rsidRDefault="004F686E" w:rsidP="001979B0">
                    <w:pPr>
                      <w:jc w:val="right"/>
                      <w:rPr>
                        <w:szCs w:val="21"/>
                      </w:rPr>
                    </w:pPr>
                    <w:r>
                      <w:t>1,705,500</w:t>
                    </w:r>
                  </w:p>
                </w:tc>
              </w:tr>
            </w:sdtContent>
          </w:sdt>
          <w:sdt>
            <w:sdtPr>
              <w:rPr>
                <w:rFonts w:asciiTheme="minorHAnsi" w:eastAsiaTheme="minorEastAsia" w:hAnsiTheme="minorHAnsi" w:cstheme="minorBidi"/>
                <w:kern w:val="2"/>
                <w:szCs w:val="21"/>
              </w:rPr>
              <w:alias w:val="前十名无限售条件股东持股情况"/>
              <w:tag w:val="_GBC_d4835fea183942b8823bf8913d1f2f26"/>
              <w:id w:val="2046103705"/>
              <w:lock w:val="sdtLocked"/>
            </w:sdtPr>
            <w:sdtEndPr/>
            <w:sdtContent>
              <w:tr w:rsidR="007F43A3" w14:paraId="5061CFDD" w14:textId="77777777" w:rsidTr="002361F1">
                <w:trPr>
                  <w:cantSplit/>
                </w:trPr>
                <w:tc>
                  <w:tcPr>
                    <w:tcW w:w="2376" w:type="dxa"/>
                    <w:gridSpan w:val="2"/>
                    <w:shd w:val="clear" w:color="auto" w:fill="auto"/>
                    <w:vAlign w:val="center"/>
                  </w:tcPr>
                  <w:p w14:paraId="308D48B2" w14:textId="77777777" w:rsidR="007F43A3" w:rsidRDefault="004F686E" w:rsidP="001979B0">
                    <w:pPr>
                      <w:rPr>
                        <w:szCs w:val="21"/>
                      </w:rPr>
                    </w:pPr>
                    <w:r>
                      <w:t>黄芝萍</w:t>
                    </w:r>
                  </w:p>
                </w:tc>
                <w:tc>
                  <w:tcPr>
                    <w:tcW w:w="3686" w:type="dxa"/>
                    <w:gridSpan w:val="3"/>
                    <w:shd w:val="clear" w:color="auto" w:fill="auto"/>
                    <w:vAlign w:val="center"/>
                  </w:tcPr>
                  <w:p w14:paraId="372A9E18" w14:textId="77777777" w:rsidR="007F43A3" w:rsidRDefault="004F686E" w:rsidP="001979B0">
                    <w:pPr>
                      <w:jc w:val="right"/>
                      <w:rPr>
                        <w:szCs w:val="21"/>
                      </w:rPr>
                    </w:pPr>
                    <w:r>
                      <w:t>1,660,027</w:t>
                    </w:r>
                  </w:p>
                </w:tc>
                <w:sdt>
                  <w:sdtPr>
                    <w:rPr>
                      <w:bCs/>
                      <w:szCs w:val="21"/>
                    </w:rPr>
                    <w:alias w:val="前十名无限售条件股东期末持有流通股的种类"/>
                    <w:tag w:val="_GBC_5d0d3dfc3b8545ce906ab8a21728fb94"/>
                    <w:id w:val="51057176"/>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588" w:type="dxa"/>
                        <w:gridSpan w:val="2"/>
                        <w:shd w:val="clear" w:color="auto" w:fill="auto"/>
                        <w:vAlign w:val="center"/>
                      </w:tcPr>
                      <w:p w14:paraId="78FFD8DB" w14:textId="77777777" w:rsidR="007F43A3" w:rsidRDefault="004F686E" w:rsidP="001979B0">
                        <w:pPr>
                          <w:jc w:val="center"/>
                          <w:rPr>
                            <w:bCs/>
                            <w:szCs w:val="21"/>
                          </w:rPr>
                        </w:pPr>
                        <w:r>
                          <w:rPr>
                            <w:bCs/>
                            <w:szCs w:val="21"/>
                          </w:rPr>
                          <w:t>人民币普通股</w:t>
                        </w:r>
                      </w:p>
                    </w:tc>
                  </w:sdtContent>
                </w:sdt>
                <w:tc>
                  <w:tcPr>
                    <w:tcW w:w="1399" w:type="dxa"/>
                    <w:gridSpan w:val="2"/>
                    <w:shd w:val="clear" w:color="auto" w:fill="auto"/>
                    <w:vAlign w:val="center"/>
                  </w:tcPr>
                  <w:p w14:paraId="0A2F371B" w14:textId="77777777" w:rsidR="007F43A3" w:rsidRDefault="004F686E" w:rsidP="001979B0">
                    <w:pPr>
                      <w:jc w:val="right"/>
                      <w:rPr>
                        <w:szCs w:val="21"/>
                      </w:rPr>
                    </w:pPr>
                    <w:r>
                      <w:t>1,660,027</w:t>
                    </w:r>
                  </w:p>
                </w:tc>
              </w:tr>
            </w:sdtContent>
          </w:sdt>
          <w:sdt>
            <w:sdtPr>
              <w:rPr>
                <w:rFonts w:asciiTheme="minorHAnsi" w:eastAsiaTheme="minorEastAsia" w:hAnsiTheme="minorHAnsi" w:cstheme="minorBidi"/>
                <w:kern w:val="2"/>
                <w:szCs w:val="21"/>
              </w:rPr>
              <w:alias w:val="前十名无限售条件股东持股情况"/>
              <w:tag w:val="_GBC_d4835fea183942b8823bf8913d1f2f26"/>
              <w:id w:val="1235289858"/>
              <w:lock w:val="sdtLocked"/>
            </w:sdtPr>
            <w:sdtEndPr/>
            <w:sdtContent>
              <w:tr w:rsidR="007F43A3" w14:paraId="264C4BB8" w14:textId="77777777" w:rsidTr="002361F1">
                <w:trPr>
                  <w:cantSplit/>
                </w:trPr>
                <w:tc>
                  <w:tcPr>
                    <w:tcW w:w="2376" w:type="dxa"/>
                    <w:gridSpan w:val="2"/>
                    <w:shd w:val="clear" w:color="auto" w:fill="auto"/>
                    <w:vAlign w:val="center"/>
                  </w:tcPr>
                  <w:p w14:paraId="53702EF2" w14:textId="77777777" w:rsidR="007F43A3" w:rsidRDefault="004F686E" w:rsidP="001979B0">
                    <w:pPr>
                      <w:rPr>
                        <w:szCs w:val="21"/>
                      </w:rPr>
                    </w:pPr>
                    <w:r>
                      <w:t>王正月</w:t>
                    </w:r>
                  </w:p>
                </w:tc>
                <w:tc>
                  <w:tcPr>
                    <w:tcW w:w="3686" w:type="dxa"/>
                    <w:gridSpan w:val="3"/>
                    <w:shd w:val="clear" w:color="auto" w:fill="auto"/>
                    <w:vAlign w:val="center"/>
                  </w:tcPr>
                  <w:p w14:paraId="11C5D5B4" w14:textId="77777777" w:rsidR="007F43A3" w:rsidRDefault="004F686E" w:rsidP="001979B0">
                    <w:pPr>
                      <w:jc w:val="right"/>
                      <w:rPr>
                        <w:szCs w:val="21"/>
                      </w:rPr>
                    </w:pPr>
                    <w:r>
                      <w:t>1,363,000</w:t>
                    </w:r>
                  </w:p>
                </w:tc>
                <w:sdt>
                  <w:sdtPr>
                    <w:rPr>
                      <w:bCs/>
                      <w:szCs w:val="21"/>
                    </w:rPr>
                    <w:alias w:val="前十名无限售条件股东期末持有流通股的种类"/>
                    <w:tag w:val="_GBC_5d0d3dfc3b8545ce906ab8a21728fb94"/>
                    <w:id w:val="-138726079"/>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588" w:type="dxa"/>
                        <w:gridSpan w:val="2"/>
                        <w:shd w:val="clear" w:color="auto" w:fill="auto"/>
                        <w:vAlign w:val="center"/>
                      </w:tcPr>
                      <w:p w14:paraId="6DA4216C" w14:textId="77777777" w:rsidR="007F43A3" w:rsidRDefault="004F686E" w:rsidP="001979B0">
                        <w:pPr>
                          <w:jc w:val="center"/>
                          <w:rPr>
                            <w:bCs/>
                            <w:szCs w:val="21"/>
                          </w:rPr>
                        </w:pPr>
                        <w:r>
                          <w:rPr>
                            <w:bCs/>
                            <w:szCs w:val="21"/>
                          </w:rPr>
                          <w:t>人民币普通股</w:t>
                        </w:r>
                      </w:p>
                    </w:tc>
                  </w:sdtContent>
                </w:sdt>
                <w:tc>
                  <w:tcPr>
                    <w:tcW w:w="1399" w:type="dxa"/>
                    <w:gridSpan w:val="2"/>
                    <w:shd w:val="clear" w:color="auto" w:fill="auto"/>
                    <w:vAlign w:val="center"/>
                  </w:tcPr>
                  <w:p w14:paraId="4CA30D91" w14:textId="77777777" w:rsidR="007F43A3" w:rsidRDefault="004F686E" w:rsidP="001979B0">
                    <w:pPr>
                      <w:jc w:val="right"/>
                      <w:rPr>
                        <w:szCs w:val="21"/>
                      </w:rPr>
                    </w:pPr>
                    <w:r>
                      <w:t>1,363,000</w:t>
                    </w:r>
                  </w:p>
                </w:tc>
              </w:tr>
            </w:sdtContent>
          </w:sdt>
          <w:tr w:rsidR="007F43A3" w14:paraId="76DE5A4F" w14:textId="77777777" w:rsidTr="002361F1">
            <w:trPr>
              <w:cantSplit/>
            </w:trPr>
            <w:tc>
              <w:tcPr>
                <w:tcW w:w="2376" w:type="dxa"/>
                <w:gridSpan w:val="2"/>
                <w:shd w:val="clear" w:color="auto" w:fill="auto"/>
                <w:vAlign w:val="center"/>
              </w:tcPr>
              <w:sdt>
                <w:sdtPr>
                  <w:rPr>
                    <w:rFonts w:hint="eastAsia"/>
                  </w:rPr>
                  <w:tag w:val="_PLD_4b46a710569e470996b1037551fc02bf"/>
                  <w:id w:val="742540008"/>
                  <w:lock w:val="sdtLocked"/>
                </w:sdtPr>
                <w:sdtEndPr/>
                <w:sdtContent>
                  <w:p w14:paraId="580195BA" w14:textId="77777777" w:rsidR="007F43A3" w:rsidRDefault="004F686E" w:rsidP="001979B0">
                    <w:pPr>
                      <w:rPr>
                        <w:szCs w:val="21"/>
                      </w:rPr>
                    </w:pPr>
                    <w:r w:rsidRPr="00470760">
                      <w:rPr>
                        <w:rFonts w:hint="eastAsia"/>
                      </w:rPr>
                      <w:t>前十名股东中回购专户情况说明</w:t>
                    </w:r>
                  </w:p>
                </w:sdtContent>
              </w:sdt>
            </w:tc>
            <w:tc>
              <w:tcPr>
                <w:tcW w:w="6673" w:type="dxa"/>
                <w:gridSpan w:val="7"/>
                <w:shd w:val="clear" w:color="auto" w:fill="auto"/>
                <w:vAlign w:val="center"/>
              </w:tcPr>
              <w:p w14:paraId="4FD9F023" w14:textId="77777777" w:rsidR="007F43A3" w:rsidRPr="00ED4817" w:rsidRDefault="004F686E" w:rsidP="001979B0">
                <w:pPr>
                  <w:rPr>
                    <w:szCs w:val="21"/>
                  </w:rPr>
                </w:pPr>
                <w:r w:rsidRPr="001464A4">
                  <w:rPr>
                    <w:rFonts w:hint="eastAsia"/>
                    <w:szCs w:val="21"/>
                  </w:rPr>
                  <w:t>不适用</w:t>
                </w:r>
              </w:p>
            </w:tc>
          </w:tr>
          <w:tr w:rsidR="007F43A3" w14:paraId="53E6B64D" w14:textId="77777777" w:rsidTr="002361F1">
            <w:trPr>
              <w:cantSplit/>
            </w:trPr>
            <w:tc>
              <w:tcPr>
                <w:tcW w:w="2376" w:type="dxa"/>
                <w:gridSpan w:val="2"/>
                <w:shd w:val="clear" w:color="auto" w:fill="auto"/>
                <w:vAlign w:val="center"/>
              </w:tcPr>
              <w:sdt>
                <w:sdtPr>
                  <w:rPr>
                    <w:szCs w:val="21"/>
                  </w:rPr>
                  <w:tag w:val="_PLD_bc2af940e93042a39994415f0e50380a"/>
                  <w:id w:val="259034631"/>
                  <w:lock w:val="sdtLocked"/>
                </w:sdtPr>
                <w:sdtEndPr/>
                <w:sdtContent>
                  <w:p w14:paraId="4B3B829B" w14:textId="77777777" w:rsidR="007F43A3" w:rsidRDefault="004F686E" w:rsidP="001979B0">
                    <w:r w:rsidRPr="00470760">
                      <w:rPr>
                        <w:szCs w:val="21"/>
                      </w:rPr>
                      <w:t>上述股东</w:t>
                    </w:r>
                    <w:r w:rsidRPr="00470760">
                      <w:rPr>
                        <w:rFonts w:hint="eastAsia"/>
                        <w:szCs w:val="21"/>
                      </w:rPr>
                      <w:t>委托表决权、受托表决权、放弃表决权</w:t>
                    </w:r>
                    <w:r w:rsidRPr="00470760">
                      <w:rPr>
                        <w:szCs w:val="21"/>
                      </w:rPr>
                      <w:t>的说明</w:t>
                    </w:r>
                  </w:p>
                </w:sdtContent>
              </w:sdt>
            </w:tc>
            <w:tc>
              <w:tcPr>
                <w:tcW w:w="6673" w:type="dxa"/>
                <w:gridSpan w:val="7"/>
                <w:shd w:val="clear" w:color="auto" w:fill="auto"/>
                <w:vAlign w:val="center"/>
              </w:tcPr>
              <w:p w14:paraId="450E6287" w14:textId="77777777" w:rsidR="007F43A3" w:rsidRDefault="004F686E" w:rsidP="001979B0">
                <w:pPr>
                  <w:rPr>
                    <w:szCs w:val="21"/>
                  </w:rPr>
                </w:pPr>
                <w:r w:rsidRPr="001464A4">
                  <w:rPr>
                    <w:rFonts w:hint="eastAsia"/>
                    <w:szCs w:val="21"/>
                  </w:rPr>
                  <w:t>不适用</w:t>
                </w:r>
              </w:p>
            </w:tc>
          </w:tr>
          <w:tr w:rsidR="007F43A3" w14:paraId="35183A17" w14:textId="77777777" w:rsidTr="002361F1">
            <w:trPr>
              <w:cantSplit/>
            </w:trPr>
            <w:sdt>
              <w:sdtPr>
                <w:tag w:val="_PLD_7013809d29cf4718a9bcc3305f3a2fcd"/>
                <w:id w:val="119504858"/>
                <w:lock w:val="sdtLocked"/>
              </w:sdtPr>
              <w:sdtEndPr/>
              <w:sdtContent>
                <w:tc>
                  <w:tcPr>
                    <w:tcW w:w="2376" w:type="dxa"/>
                    <w:gridSpan w:val="2"/>
                    <w:shd w:val="clear" w:color="auto" w:fill="auto"/>
                    <w:vAlign w:val="center"/>
                  </w:tcPr>
                  <w:p w14:paraId="54EC78F8" w14:textId="77777777" w:rsidR="007F43A3" w:rsidRDefault="004F686E" w:rsidP="001979B0">
                    <w:pPr>
                      <w:rPr>
                        <w:szCs w:val="21"/>
                      </w:rPr>
                    </w:pPr>
                    <w:r>
                      <w:rPr>
                        <w:szCs w:val="21"/>
                      </w:rPr>
                      <w:t>上述股东关联关系或一致行动的说明</w:t>
                    </w:r>
                  </w:p>
                </w:tc>
              </w:sdtContent>
            </w:sdt>
            <w:tc>
              <w:tcPr>
                <w:tcW w:w="6673" w:type="dxa"/>
                <w:gridSpan w:val="7"/>
                <w:shd w:val="clear" w:color="auto" w:fill="auto"/>
                <w:vAlign w:val="center"/>
              </w:tcPr>
              <w:p w14:paraId="0EE9A980" w14:textId="00D34FDF" w:rsidR="007F43A3" w:rsidRDefault="004F686E" w:rsidP="001979B0">
                <w:pPr>
                  <w:rPr>
                    <w:szCs w:val="21"/>
                  </w:rPr>
                </w:pPr>
                <w:r w:rsidRPr="00ED4817">
                  <w:rPr>
                    <w:rFonts w:hint="eastAsia"/>
                    <w:szCs w:val="21"/>
                  </w:rPr>
                  <w:t>本公司未知上述股东之间有无关联关系，也未知其是否属于《上市公司股东持股变动信息披露管理办法》规定的一致行动人</w:t>
                </w:r>
              </w:p>
            </w:tc>
          </w:tr>
          <w:tr w:rsidR="007F43A3" w14:paraId="57E20BAE" w14:textId="77777777" w:rsidTr="002361F1">
            <w:trPr>
              <w:cantSplit/>
            </w:trPr>
            <w:sdt>
              <w:sdtPr>
                <w:tag w:val="_PLD_03a6639ad7fb4ac1a2cd145fe333146e"/>
                <w:id w:val="835805402"/>
                <w:lock w:val="sdtLocked"/>
              </w:sdtPr>
              <w:sdtEndPr/>
              <w:sdtContent>
                <w:tc>
                  <w:tcPr>
                    <w:tcW w:w="2376" w:type="dxa"/>
                    <w:gridSpan w:val="2"/>
                    <w:shd w:val="clear" w:color="auto" w:fill="auto"/>
                    <w:vAlign w:val="center"/>
                  </w:tcPr>
                  <w:p w14:paraId="7D794CBC" w14:textId="77777777" w:rsidR="007F43A3" w:rsidRDefault="004F686E" w:rsidP="001979B0">
                    <w:pPr>
                      <w:rPr>
                        <w:szCs w:val="21"/>
                      </w:rPr>
                    </w:pPr>
                    <w:r>
                      <w:rPr>
                        <w:rFonts w:hint="eastAsia"/>
                        <w:szCs w:val="21"/>
                      </w:rPr>
                      <w:t>表决权恢复的优先股股东及持股数量的说明</w:t>
                    </w:r>
                  </w:p>
                </w:tc>
              </w:sdtContent>
            </w:sdt>
            <w:tc>
              <w:tcPr>
                <w:tcW w:w="6673" w:type="dxa"/>
                <w:gridSpan w:val="7"/>
                <w:shd w:val="clear" w:color="auto" w:fill="auto"/>
                <w:vAlign w:val="center"/>
              </w:tcPr>
              <w:p w14:paraId="3181B3F8" w14:textId="77777777" w:rsidR="007F43A3" w:rsidRDefault="004F686E" w:rsidP="001979B0">
                <w:pPr>
                  <w:rPr>
                    <w:szCs w:val="21"/>
                  </w:rPr>
                </w:pPr>
                <w:r>
                  <w:t>不适用</w:t>
                </w:r>
              </w:p>
            </w:tc>
          </w:tr>
        </w:tbl>
        <w:p w14:paraId="15E70335" w14:textId="516A1612" w:rsidR="007F43A3" w:rsidRDefault="00A63961">
          <w:r>
            <w:rPr>
              <w:rFonts w:hint="eastAsia"/>
            </w:rPr>
            <w:t>说明：</w:t>
          </w:r>
        </w:p>
        <w:p w14:paraId="0DC77E67" w14:textId="77777777" w:rsidR="00A63961" w:rsidRDefault="00A63961" w:rsidP="00A63961">
          <w:r>
            <w:rPr>
              <w:rFonts w:hint="eastAsia"/>
            </w:rPr>
            <w:t>（</w:t>
          </w:r>
          <w:r>
            <w:t>1）北京京城机电控股有限责任公司为本公司股东,未有质押或冻结情况。</w:t>
          </w:r>
        </w:p>
        <w:p w14:paraId="149B1348" w14:textId="325B2901" w:rsidR="00A63961" w:rsidRDefault="00A63961" w:rsidP="00A63961">
          <w:r>
            <w:rPr>
              <w:rFonts w:hint="eastAsia"/>
            </w:rPr>
            <w:t>（</w:t>
          </w:r>
          <w:r>
            <w:t>2）2020 年 7 月 9 日，公司非公开发行新增股份在中国证券登记结算有限责任公司上海分公司</w:t>
          </w:r>
          <w:r>
            <w:rPr>
              <w:rFonts w:hint="eastAsia"/>
            </w:rPr>
            <w:t>办理完毕股份登记手续。本次发行新增股份的性质为有限售条件的流通股，北京京城机电控股有限责任公司持有有限售条件股份数量</w:t>
          </w:r>
          <w:r>
            <w:t xml:space="preserve"> 6300 万股，限售期为 36 个月，将于限售期届满后的次一交</w:t>
          </w:r>
          <w:r>
            <w:rPr>
              <w:rFonts w:hint="eastAsia"/>
            </w:rPr>
            <w:t>易日起在上海证券交易所上市交易。详情请见公司日期为</w:t>
          </w:r>
          <w:r>
            <w:t xml:space="preserve"> 2020 年 7 月 11 日披露的《关于控股股</w:t>
          </w:r>
          <w:r>
            <w:rPr>
              <w:rFonts w:hint="eastAsia"/>
            </w:rPr>
            <w:t>东权益变动的提示性公告》（公告编号：临</w:t>
          </w:r>
          <w:r>
            <w:t xml:space="preserve"> 2020-038）。</w:t>
          </w:r>
        </w:p>
        <w:p w14:paraId="2383C15A" w14:textId="487D2D8E" w:rsidR="00A63961" w:rsidRDefault="00A63961" w:rsidP="00A63961">
          <w:r>
            <w:rPr>
              <w:rFonts w:hint="eastAsia"/>
            </w:rPr>
            <w:t>（</w:t>
          </w:r>
          <w:r>
            <w:t>3）HKSCC NOMINEES LIMITED 为香港中央结算（代理人）有限公司，所持股份是代理多个客户</w:t>
          </w:r>
          <w:r>
            <w:rPr>
              <w:rFonts w:hint="eastAsia"/>
            </w:rPr>
            <w:t>持股，本公司未接获香港中央结算（代理人）有限公司通知本公司任何单一</w:t>
          </w:r>
          <w:r>
            <w:t xml:space="preserve"> H 股股东持股数量有</w:t>
          </w:r>
          <w:r>
            <w:rPr>
              <w:rFonts w:hint="eastAsia"/>
            </w:rPr>
            <w:t>超过本公司总股本</w:t>
          </w:r>
          <w:r>
            <w:t>5%情况。</w:t>
          </w:r>
        </w:p>
        <w:p w14:paraId="757F3D3E" w14:textId="77777777" w:rsidR="00A63961" w:rsidRDefault="00A63961" w:rsidP="00A63961"/>
        <w:p w14:paraId="30A82D70" w14:textId="77777777" w:rsidR="007F1C2B" w:rsidRDefault="004F686E">
          <w:pPr>
            <w:rPr>
              <w:szCs w:val="21"/>
            </w:rPr>
          </w:pPr>
          <w:r>
            <w:rPr>
              <w:szCs w:val="21"/>
            </w:rPr>
            <w:t>前十名有限售条件股东持股数量及限售条件</w:t>
          </w:r>
        </w:p>
        <w:sdt>
          <w:sdtPr>
            <w:rPr>
              <w:bCs/>
              <w:szCs w:val="21"/>
            </w:rPr>
            <w:alias w:val="是否适用：前十名有限售条件股东持股数量及限售条件[双击切换]"/>
            <w:tag w:val="_GBC_681c25d581914cb19d4b007c00511b6a"/>
            <w:id w:val="-298849367"/>
            <w:lock w:val="sdtLocked"/>
            <w:placeholder>
              <w:docPart w:val="GBC22222222222222222222222222222"/>
            </w:placeholder>
          </w:sdtPr>
          <w:sdtEndPr/>
          <w:sdtContent>
            <w:p w14:paraId="3EE3E2A7" w14:textId="1F468AA2" w:rsidR="007F1C2B" w:rsidRDefault="004F686E">
              <w:pPr>
                <w:rPr>
                  <w:bCs/>
                  <w:szCs w:val="21"/>
                </w:rPr>
              </w:pPr>
              <w:r>
                <w:rPr>
                  <w:bCs/>
                  <w:szCs w:val="21"/>
                </w:rPr>
                <w:fldChar w:fldCharType="begin"/>
              </w:r>
              <w:r>
                <w:rPr>
                  <w:bCs/>
                  <w:szCs w:val="21"/>
                </w:rPr>
                <w:instrText xml:space="preserve"> MACROBUTTON  SnrToggleCheckbox √适用 </w:instrText>
              </w:r>
              <w:r>
                <w:rPr>
                  <w:bCs/>
                  <w:szCs w:val="21"/>
                </w:rPr>
                <w:fldChar w:fldCharType="end"/>
              </w:r>
              <w:r>
                <w:rPr>
                  <w:bCs/>
                  <w:szCs w:val="21"/>
                </w:rPr>
                <w:fldChar w:fldCharType="begin"/>
              </w:r>
              <w:r>
                <w:rPr>
                  <w:bCs/>
                  <w:szCs w:val="21"/>
                </w:rPr>
                <w:instrText xml:space="preserve"> MACROBUTTON  SnrToggleCheckbox □不适用 </w:instrText>
              </w:r>
              <w:r>
                <w:rPr>
                  <w:bCs/>
                  <w:szCs w:val="21"/>
                </w:rPr>
                <w:fldChar w:fldCharType="end"/>
              </w:r>
            </w:p>
          </w:sdtContent>
        </w:sdt>
        <w:p w14:paraId="7390A56B" w14:textId="77777777" w:rsidR="001464A4" w:rsidRDefault="004F686E">
          <w:pPr>
            <w:jc w:val="right"/>
            <w:rPr>
              <w:szCs w:val="21"/>
            </w:rPr>
          </w:pPr>
          <w:r>
            <w:rPr>
              <w:szCs w:val="21"/>
            </w:rPr>
            <w:t>单位</w:t>
          </w:r>
          <w:r>
            <w:rPr>
              <w:rFonts w:hint="eastAsia"/>
              <w:szCs w:val="21"/>
            </w:rPr>
            <w:t>：</w:t>
          </w:r>
          <w:sdt>
            <w:sdtPr>
              <w:rPr>
                <w:szCs w:val="21"/>
              </w:rPr>
              <w:alias w:val="单位：前十名有限售条件股东持股数量及限售条件"/>
              <w:tag w:val="_GBC_e1f4dc77c6fe470d84a40ebf654565a1"/>
              <w:id w:val="540249528"/>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szCs w:val="21"/>
                </w:rPr>
                <w:t>股</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913"/>
            <w:gridCol w:w="1798"/>
            <w:gridCol w:w="1242"/>
            <w:gridCol w:w="1112"/>
            <w:gridCol w:w="972"/>
          </w:tblGrid>
          <w:tr w:rsidR="001464A4" w14:paraId="437DC62D" w14:textId="77777777" w:rsidTr="00471D53">
            <w:trPr>
              <w:cantSplit/>
            </w:trPr>
            <w:sdt>
              <w:sdtPr>
                <w:tag w:val="_PLD_c92f9760fb844bdcbf137801edfe1487"/>
                <w:id w:val="466554629"/>
                <w:lock w:val="sdtLocked"/>
              </w:sdtPr>
              <w:sdtEndPr/>
              <w:sdtContent>
                <w:tc>
                  <w:tcPr>
                    <w:tcW w:w="445" w:type="pct"/>
                    <w:vMerge w:val="restart"/>
                    <w:shd w:val="clear" w:color="auto" w:fill="auto"/>
                    <w:vAlign w:val="center"/>
                  </w:tcPr>
                  <w:p w14:paraId="3DA04637" w14:textId="77777777" w:rsidR="001464A4" w:rsidRDefault="004F686E" w:rsidP="00471D53">
                    <w:pPr>
                      <w:jc w:val="center"/>
                      <w:rPr>
                        <w:szCs w:val="21"/>
                      </w:rPr>
                    </w:pPr>
                    <w:r>
                      <w:rPr>
                        <w:szCs w:val="21"/>
                      </w:rPr>
                      <w:t>序号</w:t>
                    </w:r>
                  </w:p>
                </w:tc>
              </w:sdtContent>
            </w:sdt>
            <w:sdt>
              <w:sdtPr>
                <w:tag w:val="_PLD_f0351f96214540d48d3086df8f215bd8"/>
                <w:id w:val="2048797548"/>
                <w:lock w:val="sdtLocked"/>
              </w:sdtPr>
              <w:sdtEndPr/>
              <w:sdtContent>
                <w:tc>
                  <w:tcPr>
                    <w:tcW w:w="1651" w:type="pct"/>
                    <w:vMerge w:val="restart"/>
                    <w:shd w:val="clear" w:color="auto" w:fill="auto"/>
                    <w:vAlign w:val="center"/>
                  </w:tcPr>
                  <w:p w14:paraId="48B27C14" w14:textId="77777777" w:rsidR="001464A4" w:rsidRDefault="004F686E" w:rsidP="00471D53">
                    <w:pPr>
                      <w:jc w:val="center"/>
                      <w:rPr>
                        <w:szCs w:val="21"/>
                      </w:rPr>
                    </w:pPr>
                    <w:r>
                      <w:rPr>
                        <w:szCs w:val="21"/>
                      </w:rPr>
                      <w:t>有限售条件股东名称</w:t>
                    </w:r>
                  </w:p>
                </w:tc>
              </w:sdtContent>
            </w:sdt>
            <w:sdt>
              <w:sdtPr>
                <w:tag w:val="_PLD_0c27248bc4a349a5829f031d37409979"/>
                <w:id w:val="574551416"/>
                <w:lock w:val="sdtLocked"/>
              </w:sdtPr>
              <w:sdtEndPr/>
              <w:sdtContent>
                <w:tc>
                  <w:tcPr>
                    <w:tcW w:w="1019" w:type="pct"/>
                    <w:vMerge w:val="restart"/>
                    <w:shd w:val="clear" w:color="auto" w:fill="auto"/>
                    <w:vAlign w:val="center"/>
                  </w:tcPr>
                  <w:p w14:paraId="024EEBC7" w14:textId="77777777" w:rsidR="001464A4" w:rsidRDefault="004F686E" w:rsidP="00471D53">
                    <w:pPr>
                      <w:jc w:val="center"/>
                      <w:rPr>
                        <w:szCs w:val="21"/>
                      </w:rPr>
                    </w:pPr>
                    <w:r>
                      <w:rPr>
                        <w:szCs w:val="21"/>
                      </w:rPr>
                      <w:t>持有的有限售条件股份数量</w:t>
                    </w:r>
                  </w:p>
                </w:tc>
              </w:sdtContent>
            </w:sdt>
            <w:sdt>
              <w:sdtPr>
                <w:tag w:val="_PLD_587ec775b6a04dd5a88413426813db47"/>
                <w:id w:val="1524829755"/>
                <w:lock w:val="sdtLocked"/>
              </w:sdtPr>
              <w:sdtEndPr/>
              <w:sdtContent>
                <w:tc>
                  <w:tcPr>
                    <w:tcW w:w="1334" w:type="pct"/>
                    <w:gridSpan w:val="2"/>
                    <w:shd w:val="clear" w:color="auto" w:fill="auto"/>
                    <w:vAlign w:val="center"/>
                  </w:tcPr>
                  <w:p w14:paraId="28B7E2F9" w14:textId="77777777" w:rsidR="001464A4" w:rsidRDefault="004F686E" w:rsidP="00471D53">
                    <w:pPr>
                      <w:jc w:val="center"/>
                      <w:rPr>
                        <w:szCs w:val="21"/>
                      </w:rPr>
                    </w:pPr>
                    <w:r>
                      <w:rPr>
                        <w:szCs w:val="21"/>
                      </w:rPr>
                      <w:t>有限售条件股份可上市交易情况</w:t>
                    </w:r>
                  </w:p>
                </w:tc>
              </w:sdtContent>
            </w:sdt>
            <w:sdt>
              <w:sdtPr>
                <w:tag w:val="_PLD_0d2174cf11f94614b4639460c051a27a"/>
                <w:id w:val="1043709087"/>
                <w:lock w:val="sdtLocked"/>
              </w:sdtPr>
              <w:sdtEndPr/>
              <w:sdtContent>
                <w:tc>
                  <w:tcPr>
                    <w:tcW w:w="551" w:type="pct"/>
                    <w:vMerge w:val="restart"/>
                    <w:shd w:val="clear" w:color="auto" w:fill="auto"/>
                    <w:vAlign w:val="center"/>
                  </w:tcPr>
                  <w:p w14:paraId="318B2E58" w14:textId="77777777" w:rsidR="001464A4" w:rsidRDefault="004F686E" w:rsidP="00471D53">
                    <w:pPr>
                      <w:jc w:val="center"/>
                      <w:rPr>
                        <w:szCs w:val="21"/>
                      </w:rPr>
                    </w:pPr>
                    <w:r w:rsidRPr="00331FD6">
                      <w:rPr>
                        <w:szCs w:val="21"/>
                      </w:rPr>
                      <w:t>限售条件</w:t>
                    </w:r>
                  </w:p>
                </w:tc>
              </w:sdtContent>
            </w:sdt>
          </w:tr>
          <w:tr w:rsidR="001464A4" w14:paraId="2F72850E" w14:textId="77777777" w:rsidTr="00471D53">
            <w:trPr>
              <w:cantSplit/>
            </w:trPr>
            <w:tc>
              <w:tcPr>
                <w:tcW w:w="445" w:type="pct"/>
                <w:vMerge/>
                <w:shd w:val="clear" w:color="auto" w:fill="auto"/>
                <w:vAlign w:val="center"/>
              </w:tcPr>
              <w:p w14:paraId="4B288EE1" w14:textId="77777777" w:rsidR="001464A4" w:rsidRDefault="00B664AF" w:rsidP="00471D53">
                <w:pPr>
                  <w:jc w:val="center"/>
                  <w:rPr>
                    <w:szCs w:val="21"/>
                  </w:rPr>
                </w:pPr>
              </w:p>
            </w:tc>
            <w:tc>
              <w:tcPr>
                <w:tcW w:w="1651" w:type="pct"/>
                <w:vMerge/>
                <w:shd w:val="clear" w:color="auto" w:fill="auto"/>
                <w:vAlign w:val="center"/>
              </w:tcPr>
              <w:p w14:paraId="6DFE221B" w14:textId="77777777" w:rsidR="001464A4" w:rsidRDefault="00B664AF" w:rsidP="00471D53">
                <w:pPr>
                  <w:jc w:val="center"/>
                  <w:rPr>
                    <w:szCs w:val="21"/>
                  </w:rPr>
                </w:pPr>
              </w:p>
            </w:tc>
            <w:tc>
              <w:tcPr>
                <w:tcW w:w="1019" w:type="pct"/>
                <w:vMerge/>
                <w:shd w:val="clear" w:color="auto" w:fill="auto"/>
                <w:vAlign w:val="center"/>
              </w:tcPr>
              <w:p w14:paraId="496F53E1" w14:textId="77777777" w:rsidR="001464A4" w:rsidRDefault="00B664AF" w:rsidP="00471D53">
                <w:pPr>
                  <w:jc w:val="center"/>
                  <w:rPr>
                    <w:szCs w:val="21"/>
                  </w:rPr>
                </w:pPr>
              </w:p>
            </w:tc>
            <w:sdt>
              <w:sdtPr>
                <w:tag w:val="_PLD_b302119e40884c6483e7fa11ca891aa5"/>
                <w:id w:val="-1764991543"/>
                <w:lock w:val="sdtLocked"/>
              </w:sdtPr>
              <w:sdtEndPr/>
              <w:sdtContent>
                <w:tc>
                  <w:tcPr>
                    <w:tcW w:w="704" w:type="pct"/>
                    <w:shd w:val="clear" w:color="auto" w:fill="auto"/>
                    <w:vAlign w:val="center"/>
                  </w:tcPr>
                  <w:p w14:paraId="4EF1B222" w14:textId="77777777" w:rsidR="001464A4" w:rsidRDefault="004F686E" w:rsidP="00471D53">
                    <w:pPr>
                      <w:jc w:val="center"/>
                      <w:rPr>
                        <w:szCs w:val="21"/>
                      </w:rPr>
                    </w:pPr>
                    <w:r>
                      <w:rPr>
                        <w:szCs w:val="21"/>
                      </w:rPr>
                      <w:t>可上市交易时间</w:t>
                    </w:r>
                  </w:p>
                </w:tc>
              </w:sdtContent>
            </w:sdt>
            <w:sdt>
              <w:sdtPr>
                <w:tag w:val="_PLD_91e34be7fab047108c36f6a6d8a5ce0d"/>
                <w:id w:val="952596767"/>
                <w:lock w:val="sdtLocked"/>
              </w:sdtPr>
              <w:sdtEndPr/>
              <w:sdtContent>
                <w:tc>
                  <w:tcPr>
                    <w:tcW w:w="630" w:type="pct"/>
                    <w:shd w:val="clear" w:color="auto" w:fill="auto"/>
                    <w:vAlign w:val="center"/>
                  </w:tcPr>
                  <w:p w14:paraId="294BA290" w14:textId="77777777" w:rsidR="001464A4" w:rsidRDefault="004F686E" w:rsidP="00471D53">
                    <w:pPr>
                      <w:jc w:val="center"/>
                      <w:rPr>
                        <w:szCs w:val="21"/>
                      </w:rPr>
                    </w:pPr>
                    <w:r>
                      <w:rPr>
                        <w:szCs w:val="21"/>
                      </w:rPr>
                      <w:t>新增可上市交易股份数量</w:t>
                    </w:r>
                  </w:p>
                </w:tc>
              </w:sdtContent>
            </w:sdt>
            <w:tc>
              <w:tcPr>
                <w:tcW w:w="551" w:type="pct"/>
                <w:vMerge/>
                <w:shd w:val="clear" w:color="auto" w:fill="auto"/>
                <w:vAlign w:val="center"/>
              </w:tcPr>
              <w:p w14:paraId="55A82A7B" w14:textId="77777777" w:rsidR="001464A4" w:rsidRDefault="00B664AF" w:rsidP="00471D53">
                <w:pPr>
                  <w:jc w:val="center"/>
                  <w:rPr>
                    <w:szCs w:val="21"/>
                  </w:rPr>
                </w:pPr>
              </w:p>
            </w:tc>
          </w:tr>
          <w:sdt>
            <w:sdtPr>
              <w:rPr>
                <w:rFonts w:ascii="宋体" w:eastAsiaTheme="minorEastAsia" w:hAnsi="宋体" w:cs="宋体"/>
                <w:kern w:val="0"/>
                <w:szCs w:val="22"/>
              </w:rPr>
              <w:alias w:val="前十名有限售条件股东持股数量及限售条件"/>
              <w:tag w:val="_GBC_62e0ab38d74544fd9d47241b6b823153"/>
              <w:id w:val="504945499"/>
              <w:lock w:val="sdtLocked"/>
            </w:sdtPr>
            <w:sdtEndPr>
              <w:rPr>
                <w:rFonts w:eastAsia="宋体"/>
                <w:szCs w:val="24"/>
              </w:rPr>
            </w:sdtEndPr>
            <w:sdtContent>
              <w:tr w:rsidR="001464A4" w14:paraId="689C9502" w14:textId="77777777" w:rsidTr="00471D53">
                <w:trPr>
                  <w:cantSplit/>
                  <w:trHeight w:val="345"/>
                </w:trPr>
                <w:tc>
                  <w:tcPr>
                    <w:tcW w:w="445" w:type="pct"/>
                    <w:shd w:val="clear" w:color="auto" w:fill="auto"/>
                    <w:vAlign w:val="center"/>
                  </w:tcPr>
                  <w:sdt>
                    <w:sdtPr>
                      <w:rPr>
                        <w:rFonts w:ascii="宋体" w:hAnsi="宋体" w:cs="宋体"/>
                        <w:kern w:val="0"/>
                        <w:szCs w:val="22"/>
                      </w:rPr>
                      <w:tag w:val="_GBC_f32d0bdb0c31457e83a46f73c1a5c98a"/>
                      <w:id w:val="-45532187"/>
                      <w:lock w:val="sdtLocked"/>
                    </w:sdtPr>
                    <w:sdtEndPr>
                      <w:rPr>
                        <w:rFonts w:cs="Times New Roman"/>
                        <w:kern w:val="2"/>
                        <w:szCs w:val="21"/>
                      </w:rPr>
                    </w:sdtEndPr>
                    <w:sdtContent>
                      <w:p w14:paraId="576731CB" w14:textId="77777777" w:rsidR="001464A4" w:rsidRDefault="004F686E" w:rsidP="00471D53">
                        <w:pPr>
                          <w:pStyle w:val="ab"/>
                          <w:rPr>
                            <w:rFonts w:ascii="宋体" w:hAnsi="宋体"/>
                          </w:rPr>
                        </w:pPr>
                        <w:r>
                          <w:rPr>
                            <w:rFonts w:ascii="宋体" w:hAnsi="宋体"/>
                          </w:rPr>
                          <w:t>1</w:t>
                        </w:r>
                      </w:p>
                    </w:sdtContent>
                  </w:sdt>
                </w:tc>
                <w:tc>
                  <w:tcPr>
                    <w:tcW w:w="1651" w:type="pct"/>
                    <w:shd w:val="clear" w:color="auto" w:fill="auto"/>
                    <w:vAlign w:val="center"/>
                  </w:tcPr>
                  <w:p w14:paraId="2CEE0C11" w14:textId="77777777" w:rsidR="001464A4" w:rsidRDefault="004F686E" w:rsidP="00471D53">
                    <w:pPr>
                      <w:rPr>
                        <w:szCs w:val="21"/>
                      </w:rPr>
                    </w:pPr>
                    <w:r w:rsidRPr="001464A4">
                      <w:rPr>
                        <w:rFonts w:hint="eastAsia"/>
                        <w:szCs w:val="21"/>
                      </w:rPr>
                      <w:t>北京京城机电控股有限责任公司</w:t>
                    </w:r>
                  </w:p>
                </w:tc>
                <w:tc>
                  <w:tcPr>
                    <w:tcW w:w="1019" w:type="pct"/>
                    <w:shd w:val="clear" w:color="auto" w:fill="auto"/>
                    <w:vAlign w:val="center"/>
                  </w:tcPr>
                  <w:p w14:paraId="4351C16A" w14:textId="77777777" w:rsidR="001464A4" w:rsidRDefault="004F686E" w:rsidP="00471D53">
                    <w:pPr>
                      <w:jc w:val="right"/>
                      <w:rPr>
                        <w:szCs w:val="21"/>
                      </w:rPr>
                    </w:pPr>
                    <w:r>
                      <w:rPr>
                        <w:szCs w:val="21"/>
                      </w:rPr>
                      <w:t>63,000,000</w:t>
                    </w:r>
                  </w:p>
                </w:tc>
                <w:tc>
                  <w:tcPr>
                    <w:tcW w:w="704" w:type="pct"/>
                    <w:shd w:val="clear" w:color="auto" w:fill="auto"/>
                    <w:vAlign w:val="center"/>
                  </w:tcPr>
                  <w:p w14:paraId="3275E629" w14:textId="20D62F14" w:rsidR="001464A4" w:rsidRDefault="004F686E" w:rsidP="00471D53">
                    <w:pPr>
                      <w:rPr>
                        <w:szCs w:val="21"/>
                      </w:rPr>
                    </w:pPr>
                    <w:r>
                      <w:rPr>
                        <w:rFonts w:hint="eastAsia"/>
                        <w:szCs w:val="21"/>
                      </w:rPr>
                      <w:t>2</w:t>
                    </w:r>
                    <w:r>
                      <w:rPr>
                        <w:szCs w:val="21"/>
                      </w:rPr>
                      <w:t>023</w:t>
                    </w:r>
                    <w:r>
                      <w:rPr>
                        <w:rFonts w:hint="eastAsia"/>
                        <w:szCs w:val="21"/>
                      </w:rPr>
                      <w:t>年7月1</w:t>
                    </w:r>
                    <w:r>
                      <w:rPr>
                        <w:szCs w:val="21"/>
                      </w:rPr>
                      <w:t>1</w:t>
                    </w:r>
                    <w:r>
                      <w:rPr>
                        <w:rFonts w:hint="eastAsia"/>
                        <w:szCs w:val="21"/>
                      </w:rPr>
                      <w:t>日</w:t>
                    </w:r>
                  </w:p>
                </w:tc>
                <w:tc>
                  <w:tcPr>
                    <w:tcW w:w="630" w:type="pct"/>
                    <w:shd w:val="clear" w:color="auto" w:fill="auto"/>
                    <w:vAlign w:val="center"/>
                  </w:tcPr>
                  <w:p w14:paraId="700B86E3" w14:textId="53D8C84A" w:rsidR="001464A4" w:rsidRDefault="004F686E" w:rsidP="00471D53">
                    <w:pPr>
                      <w:jc w:val="right"/>
                      <w:rPr>
                        <w:szCs w:val="21"/>
                      </w:rPr>
                    </w:pPr>
                    <w:r>
                      <w:rPr>
                        <w:rFonts w:hint="eastAsia"/>
                        <w:szCs w:val="21"/>
                      </w:rPr>
                      <w:t>0</w:t>
                    </w:r>
                  </w:p>
                </w:tc>
                <w:tc>
                  <w:tcPr>
                    <w:tcW w:w="551" w:type="pct"/>
                    <w:shd w:val="clear" w:color="auto" w:fill="auto"/>
                    <w:vAlign w:val="center"/>
                  </w:tcPr>
                  <w:p w14:paraId="0542A40F" w14:textId="5EAFC7D8" w:rsidR="001464A4" w:rsidRDefault="004F686E" w:rsidP="00471D53">
                    <w:pPr>
                      <w:rPr>
                        <w:szCs w:val="21"/>
                      </w:rPr>
                    </w:pPr>
                    <w:r w:rsidRPr="001902D9">
                      <w:rPr>
                        <w:rFonts w:hint="eastAsia"/>
                        <w:szCs w:val="21"/>
                      </w:rPr>
                      <w:t>非公开发行限售</w:t>
                    </w:r>
                  </w:p>
                </w:tc>
              </w:tr>
            </w:sdtContent>
          </w:sdt>
          <w:tr w:rsidR="001464A4" w:rsidRPr="001464A4" w14:paraId="6806EC59" w14:textId="77777777" w:rsidTr="00471D53">
            <w:trPr>
              <w:cantSplit/>
            </w:trPr>
            <w:sdt>
              <w:sdtPr>
                <w:tag w:val="_PLD_36d7b2d69f1746d18d12a19b0bd1d57e"/>
                <w:id w:val="-1694367346"/>
                <w:lock w:val="sdtLocked"/>
              </w:sdtPr>
              <w:sdtEndPr/>
              <w:sdtContent>
                <w:tc>
                  <w:tcPr>
                    <w:tcW w:w="2096" w:type="pct"/>
                    <w:gridSpan w:val="2"/>
                    <w:shd w:val="clear" w:color="auto" w:fill="auto"/>
                    <w:vAlign w:val="center"/>
                  </w:tcPr>
                  <w:p w14:paraId="5A0D6B74" w14:textId="77777777" w:rsidR="001464A4" w:rsidRDefault="004F686E" w:rsidP="00471D53">
                    <w:pPr>
                      <w:ind w:rightChars="46" w:right="97"/>
                      <w:rPr>
                        <w:szCs w:val="21"/>
                      </w:rPr>
                    </w:pPr>
                    <w:r>
                      <w:rPr>
                        <w:rFonts w:hint="eastAsia"/>
                        <w:szCs w:val="21"/>
                      </w:rPr>
                      <w:t>上述股东关联关系或一致行动的说明</w:t>
                    </w:r>
                  </w:p>
                </w:tc>
              </w:sdtContent>
            </w:sdt>
            <w:tc>
              <w:tcPr>
                <w:tcW w:w="2904" w:type="pct"/>
                <w:gridSpan w:val="4"/>
                <w:shd w:val="clear" w:color="auto" w:fill="auto"/>
                <w:vAlign w:val="center"/>
              </w:tcPr>
              <w:p w14:paraId="4FE03966" w14:textId="0362D007" w:rsidR="001464A4" w:rsidRPr="001464A4" w:rsidRDefault="004F686E" w:rsidP="001464A4">
                <w:r>
                  <w:rPr>
                    <w:rFonts w:hint="eastAsia"/>
                    <w:szCs w:val="21"/>
                  </w:rPr>
                  <w:t>不适用</w:t>
                </w:r>
              </w:p>
            </w:tc>
          </w:tr>
        </w:tbl>
        <w:p w14:paraId="477AE6A7" w14:textId="18650288" w:rsidR="007F1C2B" w:rsidRPr="001464A4" w:rsidRDefault="00B664AF" w:rsidP="001464A4"/>
      </w:sdtContent>
    </w:sdt>
    <w:p w14:paraId="0A08CF54" w14:textId="349CA305" w:rsidR="007F1C2B" w:rsidRDefault="00B664AF">
      <w:bookmarkStart w:id="67" w:name="_Toc342059487"/>
      <w:bookmarkStart w:id="68" w:name="_Toc342566000"/>
    </w:p>
    <w:sdt>
      <w:sdtPr>
        <w:rPr>
          <w:rFonts w:ascii="宋体" w:hAnsi="宋体" w:cs="宋体"/>
          <w:b w:val="0"/>
          <w:bCs w:val="0"/>
          <w:kern w:val="0"/>
          <w:szCs w:val="22"/>
        </w:rPr>
        <w:alias w:val="模块:战略投资者或一般法人因配售新股成为前10名股东"/>
        <w:tag w:val="_GBC_e978a717352b4bf6852a761b15c1e95b"/>
        <w:id w:val="-1845616805"/>
        <w:lock w:val="sdtLocked"/>
        <w:placeholder>
          <w:docPart w:val="GBC22222222222222222222222222222"/>
        </w:placeholder>
      </w:sdtPr>
      <w:sdtEndPr>
        <w:rPr>
          <w:szCs w:val="24"/>
        </w:rPr>
      </w:sdtEndPr>
      <w:sdtContent>
        <w:p w14:paraId="72BAF10D" w14:textId="65BFF96E" w:rsidR="007F1C2B" w:rsidRDefault="004F686E" w:rsidP="004F686E">
          <w:pPr>
            <w:pStyle w:val="3"/>
            <w:numPr>
              <w:ilvl w:val="1"/>
              <w:numId w:val="32"/>
            </w:numPr>
            <w:rPr>
              <w:rFonts w:ascii="宋体" w:hAnsi="宋体"/>
            </w:rPr>
          </w:pPr>
          <w:r>
            <w:rPr>
              <w:rFonts w:ascii="宋体" w:hAnsi="宋体"/>
            </w:rPr>
            <w:t>战略投资者或一般法人因配售新股成为前</w:t>
          </w:r>
          <w:r>
            <w:rPr>
              <w:rFonts w:ascii="宋体" w:hAnsi="宋体" w:hint="eastAsia"/>
            </w:rPr>
            <w:t>十</w:t>
          </w:r>
          <w:r>
            <w:rPr>
              <w:rFonts w:ascii="宋体" w:hAnsi="宋体"/>
            </w:rPr>
            <w:t>名股东</w:t>
          </w:r>
        </w:p>
        <w:sdt>
          <w:sdtPr>
            <w:alias w:val="是否适用：战略投资者或一般法人因配售新股成为前10名股东[双击切换]"/>
            <w:tag w:val="_GBC_fe7bdc72bd78490fb48d0f3eaca6248e"/>
            <w:id w:val="814456919"/>
            <w:lock w:val="sdtLocked"/>
            <w:placeholder>
              <w:docPart w:val="GBC22222222222222222222222222222"/>
            </w:placeholder>
          </w:sdtPr>
          <w:sdtEndPr/>
          <w:sdtContent>
            <w:p w14:paraId="08BE803A" w14:textId="64D118F1" w:rsidR="007F1C2B" w:rsidRDefault="004F686E" w:rsidP="001464A4">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0C21B384" w14:textId="1C814D3F" w:rsidR="007F1C2B" w:rsidRDefault="00B664AF"/>
    <w:p w14:paraId="289224B6" w14:textId="77777777" w:rsidR="007F1C2B" w:rsidRDefault="004F686E" w:rsidP="004F686E">
      <w:pPr>
        <w:pStyle w:val="2"/>
        <w:numPr>
          <w:ilvl w:val="0"/>
          <w:numId w:val="29"/>
        </w:numPr>
        <w:spacing w:line="360" w:lineRule="auto"/>
        <w:ind w:left="422" w:hanging="422"/>
        <w:rPr>
          <w:rFonts w:ascii="宋体" w:hAnsi="宋体"/>
        </w:rPr>
      </w:pPr>
      <w:bookmarkStart w:id="69" w:name="_Toc342566004"/>
      <w:bookmarkStart w:id="70" w:name="_Toc342057944"/>
      <w:r>
        <w:rPr>
          <w:rFonts w:ascii="宋体" w:hAnsi="宋体"/>
        </w:rPr>
        <w:t>董事、监事和高级管理人员情况</w:t>
      </w:r>
    </w:p>
    <w:sdt>
      <w:sdtPr>
        <w:rPr>
          <w:rFonts w:ascii="宋体" w:hAnsi="宋体" w:cs="宋体"/>
          <w:b w:val="0"/>
          <w:bCs w:val="0"/>
          <w:kern w:val="0"/>
          <w:szCs w:val="24"/>
        </w:rPr>
        <w:alias w:val="模块:现任及报告期内离任董事、监事和高级管理人员持股变动情况 "/>
        <w:tag w:val="_SEC_34f8808520ab47be851d00ee44fc510b"/>
        <w:id w:val="1993684288"/>
        <w:lock w:val="sdtLocked"/>
        <w:placeholder>
          <w:docPart w:val="GBC22222222222222222222222222222"/>
        </w:placeholder>
      </w:sdtPr>
      <w:sdtEndPr/>
      <w:sdtContent>
        <w:p w14:paraId="3079BEB5" w14:textId="77777777" w:rsidR="007F1C2B" w:rsidRDefault="004F686E" w:rsidP="004F686E">
          <w:pPr>
            <w:pStyle w:val="3"/>
            <w:numPr>
              <w:ilvl w:val="2"/>
              <w:numId w:val="33"/>
            </w:numPr>
            <w:rPr>
              <w:rFonts w:ascii="宋体" w:hAnsi="宋体"/>
            </w:rPr>
          </w:pPr>
          <w:r>
            <w:rPr>
              <w:rFonts w:ascii="宋体" w:hAnsi="宋体"/>
            </w:rPr>
            <w:t>现任及报告期内离任董事、监事和高级管理人员持股变动情况</w:t>
          </w:r>
        </w:p>
        <w:sdt>
          <w:sdtPr>
            <w:alias w:val="是否适用：董事、监事和高级管理人员持股变动[双击切换]"/>
            <w:tag w:val="_GBC_e4aa9f89c24b4cbb80c479762adcf568"/>
            <w:id w:val="800197984"/>
            <w:lock w:val="sdtLocked"/>
            <w:placeholder>
              <w:docPart w:val="GBC22222222222222222222222222222"/>
            </w:placeholder>
          </w:sdtPr>
          <w:sdtEndPr/>
          <w:sdtContent>
            <w:p w14:paraId="1A8F5AFD" w14:textId="43961AD6" w:rsidR="007F1C2B" w:rsidRDefault="004F686E" w:rsidP="001464A4">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7AE22076" w14:textId="77777777" w:rsidR="007F1C2B" w:rsidRDefault="00B664AF"/>
    <w:sdt>
      <w:sdtPr>
        <w:alias w:val="模块:其它情况说明"/>
        <w:tag w:val="_SEC_ddbdd27d049d452a9d63bfa087a3f3c5"/>
        <w:id w:val="580654159"/>
        <w:lock w:val="sdtLocked"/>
        <w:placeholder>
          <w:docPart w:val="GBC22222222222222222222222222222"/>
        </w:placeholder>
      </w:sdtPr>
      <w:sdtEndPr>
        <w:rPr>
          <w:rFonts w:hint="eastAsia"/>
        </w:rPr>
      </w:sdtEndPr>
      <w:sdtContent>
        <w:p w14:paraId="50043A63" w14:textId="77777777" w:rsidR="007F1C2B" w:rsidRDefault="004F686E">
          <w:r>
            <w:t>其它情况说明</w:t>
          </w:r>
        </w:p>
        <w:sdt>
          <w:sdtPr>
            <w:alias w:val="是否适用：董事、监事 和高级管理人员持股变动及报酬情况其他情况说明[双击切换]"/>
            <w:tag w:val="_GBC_6604d619d6f94a81b12f8155637bb211"/>
            <w:id w:val="910581533"/>
            <w:lock w:val="sdtLocked"/>
            <w:placeholder>
              <w:docPart w:val="GBC22222222222222222222222222222"/>
            </w:placeholder>
          </w:sdtPr>
          <w:sdtEndPr/>
          <w:sdtContent>
            <w:p w14:paraId="4C1DA20E" w14:textId="48B3E39A" w:rsidR="007F1C2B" w:rsidRDefault="004F686E" w:rsidP="001464A4">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Start w:id="71" w:name="_Hlk77689021" w:displacedByCustomXml="next"/>
      </w:sdtContent>
    </w:sdt>
    <w:bookmarkEnd w:id="71" w:displacedByCustomXml="prev"/>
    <w:p w14:paraId="27DEC8E1" w14:textId="77777777" w:rsidR="007F1C2B" w:rsidRDefault="00B664AF"/>
    <w:bookmarkEnd w:id="70" w:displacedByCustomXml="next"/>
    <w:bookmarkEnd w:id="69" w:displacedByCustomXml="next"/>
    <w:bookmarkStart w:id="72" w:name="_Toc342057945" w:displacedByCustomXml="next"/>
    <w:bookmarkStart w:id="73" w:name="_Toc342566005" w:displacedByCustomXml="next"/>
    <w:sdt>
      <w:sdtPr>
        <w:rPr>
          <w:rFonts w:ascii="宋体" w:hAnsi="宋体" w:cs="宋体" w:hint="eastAsia"/>
          <w:b w:val="0"/>
          <w:bCs w:val="0"/>
          <w:kern w:val="0"/>
          <w:szCs w:val="24"/>
        </w:rPr>
        <w:alias w:val="模块:董事、监事、高级管理人员报告期内被授予的股权激励情况"/>
        <w:tag w:val="_SEC_e31f847e559a4ff7aa07914d45526543"/>
        <w:id w:val="1281456932"/>
        <w:lock w:val="sdtLocked"/>
        <w:placeholder>
          <w:docPart w:val="GBC22222222222222222222222222222"/>
        </w:placeholder>
      </w:sdtPr>
      <w:sdtEndPr>
        <w:rPr>
          <w:rFonts w:hint="default"/>
          <w:color w:val="0000FF"/>
          <w:szCs w:val="21"/>
        </w:rPr>
      </w:sdtEndPr>
      <w:sdtContent>
        <w:p w14:paraId="28CD38C1" w14:textId="77777777" w:rsidR="007F1C2B" w:rsidRDefault="004F686E" w:rsidP="004F686E">
          <w:pPr>
            <w:pStyle w:val="3"/>
            <w:numPr>
              <w:ilvl w:val="2"/>
              <w:numId w:val="33"/>
            </w:numPr>
            <w:rPr>
              <w:rFonts w:ascii="宋体" w:hAnsi="宋体"/>
            </w:rPr>
          </w:pPr>
          <w:r>
            <w:rPr>
              <w:rFonts w:ascii="宋体" w:hAnsi="宋体" w:hint="eastAsia"/>
            </w:rPr>
            <w:t>董事、监事、高级管理人员报告期内被授予的股权激励情况</w:t>
          </w:r>
          <w:bookmarkEnd w:id="73"/>
          <w:bookmarkEnd w:id="72"/>
        </w:p>
        <w:p w14:paraId="6CD87361" w14:textId="3215A988" w:rsidR="007F1C2B" w:rsidRDefault="00B664AF" w:rsidP="003061D7">
          <w:pPr>
            <w:kinsoku w:val="0"/>
            <w:overflowPunct w:val="0"/>
            <w:autoSpaceDE w:val="0"/>
            <w:autoSpaceDN w:val="0"/>
            <w:adjustRightInd w:val="0"/>
            <w:snapToGrid w:val="0"/>
            <w:rPr>
              <w:color w:val="0000FF"/>
              <w:szCs w:val="21"/>
            </w:rPr>
          </w:pPr>
          <w:sdt>
            <w:sdtPr>
              <w:rPr>
                <w:rFonts w:hint="eastAsia"/>
                <w:szCs w:val="21"/>
              </w:rPr>
              <w:alias w:val="是否适用：董事、监事、高级管理人员报告期内被授予的股权激励情况[双击切换]"/>
              <w:tag w:val="_GBC_3c204ebee7cf4fc2a7c4a3ad63ffe1c4"/>
              <w:id w:val="1469711197"/>
              <w:lock w:val="sdtLocked"/>
              <w:placeholder>
                <w:docPart w:val="GBC22222222222222222222222222222"/>
              </w:placeholder>
            </w:sdtPr>
            <w:sdtEndPr/>
            <w:sdtContent>
              <w:r w:rsidR="004F686E">
                <w:rPr>
                  <w:szCs w:val="21"/>
                </w:rPr>
                <w:fldChar w:fldCharType="begin"/>
              </w:r>
              <w:r w:rsidR="004F686E">
                <w:rPr>
                  <w:szCs w:val="21"/>
                </w:rPr>
                <w:instrText xml:space="preserve"> MACROBUTTON  SnrToggleCheckbox □适用 </w:instrText>
              </w:r>
              <w:r w:rsidR="004F686E">
                <w:rPr>
                  <w:szCs w:val="21"/>
                </w:rPr>
                <w:fldChar w:fldCharType="end"/>
              </w:r>
              <w:r w:rsidR="004F686E">
                <w:rPr>
                  <w:szCs w:val="21"/>
                </w:rPr>
                <w:fldChar w:fldCharType="begin"/>
              </w:r>
              <w:r w:rsidR="004F686E">
                <w:rPr>
                  <w:szCs w:val="21"/>
                </w:rPr>
                <w:instrText xml:space="preserve"> MACROBUTTON  SnrToggleCheckbox √不适用 </w:instrText>
              </w:r>
              <w:r w:rsidR="004F686E">
                <w:rPr>
                  <w:szCs w:val="21"/>
                </w:rPr>
                <w:fldChar w:fldCharType="end"/>
              </w:r>
            </w:sdtContent>
          </w:sdt>
        </w:p>
      </w:sdtContent>
    </w:sdt>
    <w:p w14:paraId="4AE0A3EB" w14:textId="77777777" w:rsidR="007F1C2B" w:rsidRDefault="00B664AF"/>
    <w:sdt>
      <w:sdtPr>
        <w:rPr>
          <w:rFonts w:ascii="宋体" w:hAnsi="宋体" w:cs="宋体" w:hint="eastAsia"/>
          <w:b w:val="0"/>
          <w:bCs w:val="0"/>
          <w:kern w:val="0"/>
          <w:szCs w:val="24"/>
        </w:rPr>
        <w:alias w:val="模块:其他董事、监事、高级管理人员和员工情况"/>
        <w:tag w:val="_SEC_a1a4d90699494886b231030a7c17645b"/>
        <w:id w:val="1024369229"/>
        <w:lock w:val="sdtLocked"/>
        <w:placeholder>
          <w:docPart w:val="GBC22222222222222222222222222222"/>
        </w:placeholder>
      </w:sdtPr>
      <w:sdtEndPr>
        <w:rPr>
          <w:rFonts w:hint="default"/>
        </w:rPr>
      </w:sdtEndPr>
      <w:sdtContent>
        <w:p w14:paraId="754FEFEF" w14:textId="77777777" w:rsidR="007F1C2B" w:rsidRDefault="004F686E" w:rsidP="004F686E">
          <w:pPr>
            <w:pStyle w:val="3"/>
            <w:numPr>
              <w:ilvl w:val="2"/>
              <w:numId w:val="33"/>
            </w:numPr>
            <w:rPr>
              <w:rFonts w:ascii="宋体" w:hAnsi="宋体"/>
            </w:rPr>
          </w:pPr>
          <w:r>
            <w:rPr>
              <w:rFonts w:ascii="宋体" w:hAnsi="宋体" w:hint="eastAsia"/>
            </w:rPr>
            <w:t>其他说明</w:t>
          </w:r>
        </w:p>
        <w:sdt>
          <w:sdtPr>
            <w:alias w:val="是否适用：其他董事、监事、高级管理人员情况说明[双击切换]"/>
            <w:tag w:val="_GBC_8e7eb434c4c34c1b86cdb9f39b70c323"/>
            <w:id w:val="1564754378"/>
            <w:lock w:val="sdtLocked"/>
            <w:placeholder>
              <w:docPart w:val="GBC22222222222222222222222222222"/>
            </w:placeholder>
          </w:sdtPr>
          <w:sdtEndPr/>
          <w:sdtContent>
            <w:p w14:paraId="2A2AFC1F" w14:textId="46625B6E" w:rsidR="007F1C2B" w:rsidRDefault="004F686E" w:rsidP="003061D7">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277D2CE0" w14:textId="77777777" w:rsidR="007F1C2B" w:rsidRDefault="00B664AF"/>
    <w:bookmarkEnd w:id="67"/>
    <w:bookmarkEnd w:id="68"/>
    <w:p w14:paraId="03F080A2" w14:textId="77777777" w:rsidR="007F1C2B" w:rsidRDefault="004F686E" w:rsidP="004F686E">
      <w:pPr>
        <w:pStyle w:val="2"/>
        <w:numPr>
          <w:ilvl w:val="0"/>
          <w:numId w:val="29"/>
        </w:numPr>
        <w:spacing w:line="360" w:lineRule="auto"/>
        <w:ind w:left="422" w:hanging="422"/>
        <w:rPr>
          <w:rFonts w:ascii="宋体" w:hAnsi="宋体"/>
        </w:rPr>
      </w:pPr>
      <w:r>
        <w:rPr>
          <w:rFonts w:ascii="宋体" w:hAnsi="宋体" w:hint="eastAsia"/>
        </w:rPr>
        <w:t>控股股东或实际控制人变更情况</w:t>
      </w:r>
    </w:p>
    <w:sdt>
      <w:sdtPr>
        <w:alias w:val="模块:控股股东及实际控制人变更情况"/>
        <w:tag w:val="_GBC_2e7a202224f3494aa0093f3bd0f39d33"/>
        <w:id w:val="-361597364"/>
        <w:lock w:val="sdtLocked"/>
        <w:placeholder>
          <w:docPart w:val="GBC22222222222222222222222222222"/>
        </w:placeholder>
      </w:sdtPr>
      <w:sdtEndPr/>
      <w:sdtContent>
        <w:sdt>
          <w:sdtPr>
            <w:alias w:val="是否适用：控股股东及实际控制人变更情况[双击切换]"/>
            <w:tag w:val="_GBC_84ff369a3f714dbbbec5a13460906f4b"/>
            <w:id w:val="-1186974001"/>
            <w:lock w:val="sdtLocked"/>
            <w:placeholder>
              <w:docPart w:val="GBC22222222222222222222222222222"/>
            </w:placeholder>
          </w:sdtPr>
          <w:sdtEndPr/>
          <w:sdtContent>
            <w:p w14:paraId="3C838ABD" w14:textId="7729214C" w:rsidR="007F1C2B" w:rsidRDefault="004F686E" w:rsidP="003061D7">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3A1F50CA" w14:textId="0F9B61AD" w:rsidR="007F1C2B" w:rsidRDefault="00B664AF"/>
    <w:p w14:paraId="11208555" w14:textId="77777777" w:rsidR="007F1C2B" w:rsidRDefault="004F686E" w:rsidP="004F686E">
      <w:pPr>
        <w:pStyle w:val="10"/>
        <w:numPr>
          <w:ilvl w:val="0"/>
          <w:numId w:val="3"/>
        </w:numPr>
        <w:rPr>
          <w:rFonts w:ascii="黑体" w:hAnsi="黑体"/>
        </w:rPr>
      </w:pPr>
      <w:bookmarkStart w:id="74" w:name="_Toc392233017"/>
      <w:bookmarkStart w:id="75" w:name="_Toc76114279"/>
      <w:r>
        <w:rPr>
          <w:rFonts w:ascii="黑体" w:hAnsi="黑体" w:hint="eastAsia"/>
        </w:rPr>
        <w:t>优先股相关情况</w:t>
      </w:r>
      <w:bookmarkEnd w:id="74"/>
      <w:bookmarkEnd w:id="75"/>
    </w:p>
    <w:sdt>
      <w:sdtPr>
        <w:alias w:val="是否适用：优先股相关情况[双击切换]"/>
        <w:tag w:val="_GBC_2113adbee8464e1c828b3d6d35c60abf"/>
        <w:id w:val="927921022"/>
        <w:lock w:val="sdtLocked"/>
        <w:placeholder>
          <w:docPart w:val="GBC22222222222222222222222222222"/>
        </w:placeholder>
      </w:sdtPr>
      <w:sdtEndPr/>
      <w:sdtContent>
        <w:p w14:paraId="27A7D3B7" w14:textId="33897D72" w:rsidR="003061D7" w:rsidRDefault="004F686E" w:rsidP="003061D7">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85BE84A" w14:textId="70E85BA7" w:rsidR="007F1C2B" w:rsidRDefault="00B664AF"/>
    <w:p w14:paraId="28EB50C7" w14:textId="77777777" w:rsidR="007F1C2B" w:rsidRDefault="00B664AF"/>
    <w:p w14:paraId="2DA879A7" w14:textId="77777777" w:rsidR="007F1C2B" w:rsidRDefault="004F686E" w:rsidP="004F686E">
      <w:pPr>
        <w:pStyle w:val="10"/>
        <w:numPr>
          <w:ilvl w:val="0"/>
          <w:numId w:val="3"/>
        </w:numPr>
        <w:rPr>
          <w:rFonts w:ascii="黑体" w:hAnsi="黑体"/>
          <w:bCs w:val="0"/>
          <w:szCs w:val="28"/>
        </w:rPr>
      </w:pPr>
      <w:bookmarkStart w:id="76" w:name="_Toc437440717"/>
      <w:bookmarkStart w:id="77" w:name="_Toc438111012"/>
      <w:bookmarkStart w:id="78" w:name="_Toc76114280"/>
      <w:r>
        <w:rPr>
          <w:rFonts w:ascii="黑体" w:hAnsi="黑体" w:hint="eastAsia"/>
          <w:bCs w:val="0"/>
          <w:szCs w:val="28"/>
        </w:rPr>
        <w:t>债券相关情况</w:t>
      </w:r>
      <w:bookmarkEnd w:id="76"/>
      <w:bookmarkEnd w:id="77"/>
      <w:bookmarkEnd w:id="78"/>
    </w:p>
    <w:p w14:paraId="334FB763" w14:textId="27585724" w:rsidR="007F1C2B" w:rsidRDefault="004F686E" w:rsidP="004F686E">
      <w:pPr>
        <w:pStyle w:val="2"/>
        <w:numPr>
          <w:ilvl w:val="0"/>
          <w:numId w:val="34"/>
        </w:numPr>
        <w:ind w:firstLineChars="0"/>
        <w:rPr>
          <w:rFonts w:ascii="宋体" w:hAnsi="宋体"/>
        </w:rPr>
      </w:pPr>
      <w:r>
        <w:rPr>
          <w:rFonts w:ascii="宋体" w:hAnsi="宋体" w:hint="eastAsia"/>
        </w:rPr>
        <w:t>企业债券、公司债券和非金融企业债务融资工具</w:t>
      </w:r>
    </w:p>
    <w:bookmarkStart w:id="79" w:name="_Hlk73352152" w:displacedByCustomXml="next"/>
    <w:sdt>
      <w:sdtPr>
        <w:rPr>
          <w:szCs w:val="21"/>
        </w:rPr>
        <w:alias w:val="是否适用：债券相关情况[双击切换]"/>
        <w:tag w:val="_GBC_8e6b9cf2d8c24a6faf41199f98e408b3"/>
        <w:id w:val="-1567570389"/>
        <w:lock w:val="sdtLocked"/>
        <w:placeholder>
          <w:docPart w:val="GBC22222222222222222222222222222"/>
        </w:placeholder>
      </w:sdtPr>
      <w:sdtEndPr/>
      <w:sdtContent>
        <w:p w14:paraId="143B21E4" w14:textId="68C19E27" w:rsidR="001D596D" w:rsidRDefault="004F686E" w:rsidP="001D596D">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bookmarkEnd w:id="79" w:displacedByCustomXml="prev"/>
    <w:p w14:paraId="156D70B0" w14:textId="7FA12DEB" w:rsidR="007F1C2B" w:rsidRDefault="00B664AF"/>
    <w:p w14:paraId="2A7BD343" w14:textId="77777777" w:rsidR="007F1C2B" w:rsidRDefault="004F686E" w:rsidP="004F686E">
      <w:pPr>
        <w:pStyle w:val="2"/>
        <w:numPr>
          <w:ilvl w:val="0"/>
          <w:numId w:val="34"/>
        </w:numPr>
        <w:ind w:firstLineChars="0"/>
        <w:rPr>
          <w:rFonts w:ascii="宋体" w:hAnsi="宋体"/>
        </w:rPr>
      </w:pPr>
      <w:r>
        <w:rPr>
          <w:rFonts w:ascii="宋体" w:hAnsi="宋体" w:hint="eastAsia"/>
        </w:rPr>
        <w:t>可转换公司债券情况</w:t>
      </w:r>
    </w:p>
    <w:sdt>
      <w:sdtPr>
        <w:alias w:val="是否适用：可转换公司债券情况[双击切换]"/>
        <w:tag w:val="_GBC_6a49e99841294af3b87ba6216b1997d9"/>
        <w:id w:val="-1036036461"/>
        <w:lock w:val="sdtLocked"/>
        <w:placeholder>
          <w:docPart w:val="GBC22222222222222222222222222222"/>
        </w:placeholder>
      </w:sdtPr>
      <w:sdtEndPr/>
      <w:sdtContent>
        <w:p w14:paraId="6B648CFA" w14:textId="1CF23D5D" w:rsidR="001D596D" w:rsidRDefault="004F686E" w:rsidP="001D596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726C33B" w14:textId="7A35141F" w:rsidR="007F1C2B" w:rsidRDefault="00B664AF"/>
    <w:p w14:paraId="180A789D" w14:textId="5392AD05" w:rsidR="007F1C2B" w:rsidRDefault="00B664AF"/>
    <w:p w14:paraId="61CD0DED" w14:textId="77777777" w:rsidR="007F1C2B" w:rsidRDefault="00B664AF">
      <w:pPr>
        <w:sectPr w:rsidR="007F1C2B" w:rsidSect="004860B6">
          <w:pgSz w:w="11906" w:h="16838"/>
          <w:pgMar w:top="1525" w:right="1276" w:bottom="1440" w:left="1797" w:header="851" w:footer="992" w:gutter="0"/>
          <w:cols w:space="425"/>
          <w:docGrid w:linePitch="312"/>
        </w:sectPr>
      </w:pPr>
    </w:p>
    <w:p w14:paraId="7A4C6B76" w14:textId="77777777" w:rsidR="00471D53" w:rsidRDefault="004F686E" w:rsidP="004F686E">
      <w:pPr>
        <w:pStyle w:val="10"/>
        <w:numPr>
          <w:ilvl w:val="0"/>
          <w:numId w:val="3"/>
        </w:numPr>
        <w:rPr>
          <w:rFonts w:ascii="黑体" w:hAnsi="黑体"/>
          <w:bCs w:val="0"/>
          <w:szCs w:val="28"/>
        </w:rPr>
      </w:pPr>
      <w:bookmarkStart w:id="80" w:name="_Toc76114281"/>
      <w:r>
        <w:rPr>
          <w:rFonts w:ascii="黑体" w:hAnsi="黑体"/>
          <w:bCs w:val="0"/>
          <w:szCs w:val="28"/>
        </w:rPr>
        <w:lastRenderedPageBreak/>
        <w:t>财务报告</w:t>
      </w:r>
      <w:bookmarkEnd w:id="80"/>
    </w:p>
    <w:sdt>
      <w:sdtPr>
        <w:rPr>
          <w:rFonts w:ascii="宋体" w:hAnsi="宋体" w:cs="宋体" w:hint="eastAsia"/>
          <w:b w:val="0"/>
          <w:bCs w:val="0"/>
          <w:kern w:val="0"/>
          <w:szCs w:val="24"/>
        </w:rPr>
        <w:alias w:val="模块:审计报告"/>
        <w:tag w:val="_GBC_3c4b7d00409449a2b71d41277e7bd042"/>
        <w:id w:val="1108165586"/>
        <w:lock w:val="sdtLocked"/>
        <w:placeholder>
          <w:docPart w:val="GBC22222222222222222222222222222"/>
        </w:placeholder>
      </w:sdtPr>
      <w:sdtEndPr/>
      <w:sdtContent>
        <w:p w14:paraId="60C389F2" w14:textId="77777777" w:rsidR="00471D53" w:rsidRDefault="004F686E" w:rsidP="004F686E">
          <w:pPr>
            <w:pStyle w:val="afffff6"/>
            <w:numPr>
              <w:ilvl w:val="0"/>
              <w:numId w:val="35"/>
            </w:numPr>
            <w:ind w:left="420" w:hanging="420"/>
            <w:rPr>
              <w:rFonts w:ascii="宋体" w:hAnsi="宋体"/>
            </w:rPr>
          </w:pPr>
          <w:r>
            <w:rPr>
              <w:rFonts w:ascii="宋体" w:hAnsi="宋体" w:hint="eastAsia"/>
            </w:rPr>
            <w:t>审计报告</w:t>
          </w:r>
        </w:p>
        <w:sdt>
          <w:sdtPr>
            <w:alias w:val="是否适用：审计报告[双击切换]"/>
            <w:tag w:val="_GBC_33dac3baf6634fba91e3026ebaaad280"/>
            <w:id w:val="-1791586327"/>
            <w:lock w:val="sdtLocked"/>
            <w:placeholder>
              <w:docPart w:val="GBC22222222222222222222222222222"/>
            </w:placeholder>
          </w:sdtPr>
          <w:sdtEndPr/>
          <w:sdtContent>
            <w:p w14:paraId="48900153"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383F3F82" w14:textId="77777777" w:rsidR="00471D53" w:rsidRDefault="00B664AF"/>
    <w:p w14:paraId="6D743C1C" w14:textId="77777777" w:rsidR="00471D53" w:rsidRDefault="004F686E" w:rsidP="004F686E">
      <w:pPr>
        <w:pStyle w:val="afffff6"/>
        <w:numPr>
          <w:ilvl w:val="0"/>
          <w:numId w:val="35"/>
        </w:numPr>
        <w:ind w:left="422" w:hanging="422"/>
        <w:rPr>
          <w:rFonts w:ascii="宋体" w:hAnsi="宋体"/>
        </w:rPr>
      </w:pPr>
      <w:r>
        <w:rPr>
          <w:rFonts w:ascii="宋体" w:hAnsi="宋体" w:hint="eastAsia"/>
        </w:rPr>
        <w:t>财务报表</w:t>
      </w:r>
    </w:p>
    <w:bookmarkStart w:id="81" w:name="_Hlk10208794" w:displacedByCustomXml="next"/>
    <w:sdt>
      <w:sdtPr>
        <w:rPr>
          <w:rFonts w:ascii="宋体" w:hAnsi="宋体" w:cs="宋体"/>
          <w:b w:val="0"/>
          <w:bCs w:val="0"/>
          <w:kern w:val="0"/>
          <w:szCs w:val="24"/>
        </w:rPr>
        <w:alias w:val="选项模块:需要编制合并报表"/>
        <w:tag w:val="_GBC_f3d43b26b5d34a4c88db3cb7d81650cc"/>
        <w:id w:val="-5376441"/>
        <w:lock w:val="sdtLocked"/>
        <w:placeholder>
          <w:docPart w:val="GBC22222222222222222222222222222"/>
        </w:placeholder>
      </w:sdtPr>
      <w:sdtEndPr>
        <w:rPr>
          <w:szCs w:val="21"/>
        </w:rPr>
      </w:sdtEndPr>
      <w:sdtContent>
        <w:sdt>
          <w:sdtPr>
            <w:rPr>
              <w:rFonts w:ascii="宋体" w:hAnsi="宋体" w:cs="宋体" w:hint="eastAsia"/>
              <w:b w:val="0"/>
              <w:bCs w:val="0"/>
              <w:kern w:val="0"/>
              <w:szCs w:val="24"/>
            </w:rPr>
            <w:tag w:val="_GBC_b84409e42f904bdab44813a972d54149"/>
            <w:id w:val="-34970537"/>
            <w:lock w:val="sdtLocked"/>
          </w:sdtPr>
          <w:sdtEndPr>
            <w:rPr>
              <w:rFonts w:hint="default"/>
              <w:color w:val="008000"/>
              <w:szCs w:val="21"/>
              <w:u w:val="single"/>
            </w:rPr>
          </w:sdtEndPr>
          <w:sdtContent>
            <w:p w14:paraId="1F32EEDE" w14:textId="77777777" w:rsidR="00471D53" w:rsidRDefault="004F686E">
              <w:pPr>
                <w:pStyle w:val="afffff7"/>
                <w:jc w:val="center"/>
                <w:rPr>
                  <w:rFonts w:ascii="宋体" w:hAnsi="宋体"/>
                </w:rPr>
              </w:pPr>
              <w:r>
                <w:rPr>
                  <w:rFonts w:ascii="宋体" w:hAnsi="宋体" w:hint="eastAsia"/>
                </w:rPr>
                <w:t>合并资产负债表</w:t>
              </w:r>
            </w:p>
            <w:p w14:paraId="00027552" w14:textId="77777777" w:rsidR="00471D53" w:rsidRDefault="004F686E">
              <w:pPr>
                <w:snapToGrid w:val="0"/>
                <w:spacing w:line="240" w:lineRule="atLeast"/>
                <w:jc w:val="center"/>
                <w:rPr>
                  <w:b/>
                  <w:szCs w:val="21"/>
                </w:rPr>
              </w:pPr>
              <w:r>
                <w:rPr>
                  <w:szCs w:val="21"/>
                </w:rPr>
                <w:t>2021年6月30日</w:t>
              </w:r>
            </w:p>
            <w:p w14:paraId="795B86E1" w14:textId="0AE45599" w:rsidR="00471D53" w:rsidRDefault="004F686E">
              <w:pPr>
                <w:rPr>
                  <w:szCs w:val="21"/>
                </w:rPr>
              </w:pPr>
              <w:r>
                <w:rPr>
                  <w:szCs w:val="21"/>
                </w:rPr>
                <w:t>编制单位：</w:t>
              </w:r>
              <w:sdt>
                <w:sdtPr>
                  <w:rPr>
                    <w:szCs w:val="21"/>
                  </w:rPr>
                  <w:alias w:val="公司法定中文名称"/>
                  <w:tag w:val="_GBC_76dae7aa62d842859c05c05e750163c2"/>
                  <w:id w:val="439728204"/>
                  <w:lock w:val="sdtLocked"/>
                  <w:dataBinding w:prefixMappings="xmlns:clcid-cgi='clcid-cgi'" w:xpath="/*/clcid-cgi:GongSiFaDingZhongWenMingCheng[not(@periodRef)]" w:storeItemID="{89EBAB94-44A0-46A2-B712-30D997D04A6D}"/>
                  <w:text/>
                </w:sdtPr>
                <w:sdtEndPr/>
                <w:sdtContent>
                  <w:r>
                    <w:rPr>
                      <w:szCs w:val="21"/>
                    </w:rPr>
                    <w:t>北京京城机电股份有限公司</w:t>
                  </w:r>
                </w:sdtContent>
              </w:sdt>
            </w:p>
            <w:p w14:paraId="6F03A252" w14:textId="4D97B7FB" w:rsidR="00471D53" w:rsidRDefault="004F686E">
              <w:pPr>
                <w:jc w:val="right"/>
                <w:rPr>
                  <w:szCs w:val="21"/>
                </w:rPr>
              </w:pPr>
              <w:r>
                <w:rPr>
                  <w:szCs w:val="21"/>
                </w:rPr>
                <w:t>单位：</w:t>
              </w:r>
              <w:sdt>
                <w:sdtPr>
                  <w:rPr>
                    <w:szCs w:val="21"/>
                  </w:rPr>
                  <w:alias w:val="单位：合并资产负债表"/>
                  <w:tag w:val="_GBC_710dced47e5943589779e071c78c5512"/>
                  <w:id w:val="-1579826435"/>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元</w:t>
                  </w:r>
                </w:sdtContent>
              </w:sdt>
              <w:r>
                <w:rPr>
                  <w:szCs w:val="21"/>
                </w:rPr>
                <w:t>币种：</w:t>
              </w:r>
              <w:sdt>
                <w:sdtPr>
                  <w:rPr>
                    <w:szCs w:val="21"/>
                  </w:rPr>
                  <w:alias w:val="币种：合并资产负债表"/>
                  <w:tag w:val="_GBC_7e2679155b104d33ba04158c7414bcff"/>
                  <w:id w:val="-1198303577"/>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Style w:val="g4"/>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69"/>
                <w:gridCol w:w="1104"/>
                <w:gridCol w:w="2485"/>
                <w:gridCol w:w="2348"/>
              </w:tblGrid>
              <w:tr w:rsidR="00471D53" w14:paraId="162E11CB" w14:textId="77777777" w:rsidTr="00471D53">
                <w:sdt>
                  <w:sdtPr>
                    <w:tag w:val="_PLD_1d3f74748a444e6ea0d191e81e54edca"/>
                    <w:id w:val="-200527747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A0F5E9B" w14:textId="77777777" w:rsidR="00471D53" w:rsidRDefault="004F686E" w:rsidP="00471D53">
                        <w:pPr>
                          <w:jc w:val="center"/>
                          <w:rPr>
                            <w:b/>
                            <w:szCs w:val="21"/>
                          </w:rPr>
                        </w:pPr>
                        <w:r>
                          <w:rPr>
                            <w:b/>
                            <w:szCs w:val="21"/>
                          </w:rPr>
                          <w:t>项目</w:t>
                        </w:r>
                      </w:p>
                    </w:tc>
                  </w:sdtContent>
                </w:sdt>
                <w:sdt>
                  <w:sdtPr>
                    <w:tag w:val="_PLD_da216b439a53487e85f12225916c5563"/>
                    <w:id w:val="-269545197"/>
                    <w:lock w:val="sdtLocked"/>
                  </w:sdtPr>
                  <w:sdtEndPr/>
                  <w:sdtContent>
                    <w:tc>
                      <w:tcPr>
                        <w:tcW w:w="627" w:type="pct"/>
                        <w:tcBorders>
                          <w:top w:val="outset" w:sz="6" w:space="0" w:color="auto"/>
                          <w:left w:val="outset" w:sz="6" w:space="0" w:color="auto"/>
                          <w:bottom w:val="outset" w:sz="6" w:space="0" w:color="auto"/>
                          <w:right w:val="outset" w:sz="6" w:space="0" w:color="auto"/>
                        </w:tcBorders>
                        <w:vAlign w:val="center"/>
                      </w:tcPr>
                      <w:p w14:paraId="6450EDAD" w14:textId="77777777" w:rsidR="00471D53" w:rsidRDefault="004F686E" w:rsidP="00471D53">
                        <w:pPr>
                          <w:jc w:val="center"/>
                          <w:rPr>
                            <w:b/>
                            <w:szCs w:val="21"/>
                          </w:rPr>
                        </w:pPr>
                        <w:r>
                          <w:rPr>
                            <w:rFonts w:hint="eastAsia"/>
                            <w:b/>
                            <w:szCs w:val="21"/>
                          </w:rPr>
                          <w:t>附注</w:t>
                        </w:r>
                      </w:p>
                    </w:tc>
                  </w:sdtContent>
                </w:sdt>
                <w:sdt>
                  <w:sdtPr>
                    <w:tag w:val="_PLD_21df1d74f3114abf83688ef31bc4d9a7"/>
                    <w:id w:val="1058210984"/>
                    <w:lock w:val="sdtLocked"/>
                  </w:sdtPr>
                  <w:sdtEndPr/>
                  <w:sdtContent>
                    <w:tc>
                      <w:tcPr>
                        <w:tcW w:w="1411" w:type="pct"/>
                        <w:tcBorders>
                          <w:top w:val="outset" w:sz="6" w:space="0" w:color="auto"/>
                          <w:left w:val="outset" w:sz="6" w:space="0" w:color="auto"/>
                          <w:bottom w:val="outset" w:sz="6" w:space="0" w:color="auto"/>
                          <w:right w:val="outset" w:sz="6" w:space="0" w:color="auto"/>
                        </w:tcBorders>
                        <w:vAlign w:val="center"/>
                      </w:tcPr>
                      <w:p w14:paraId="78DDFFC8" w14:textId="77777777" w:rsidR="00471D53" w:rsidRDefault="004F686E" w:rsidP="00471D53">
                        <w:pPr>
                          <w:jc w:val="center"/>
                          <w:rPr>
                            <w:b/>
                            <w:szCs w:val="21"/>
                          </w:rPr>
                        </w:pPr>
                        <w:r>
                          <w:rPr>
                            <w:rFonts w:hint="eastAsia"/>
                            <w:b/>
                          </w:rPr>
                          <w:t>2021年6月30日</w:t>
                        </w:r>
                      </w:p>
                    </w:tc>
                  </w:sdtContent>
                </w:sdt>
                <w:sdt>
                  <w:sdtPr>
                    <w:tag w:val="_PLD_d92c936206d34a64b4b2139999e7311b"/>
                    <w:id w:val="-200321824"/>
                    <w:lock w:val="sdtLocked"/>
                  </w:sdtPr>
                  <w:sdtEndPr/>
                  <w:sdtContent>
                    <w:tc>
                      <w:tcPr>
                        <w:tcW w:w="1333" w:type="pct"/>
                        <w:tcBorders>
                          <w:top w:val="outset" w:sz="6" w:space="0" w:color="auto"/>
                          <w:left w:val="outset" w:sz="6" w:space="0" w:color="auto"/>
                          <w:bottom w:val="outset" w:sz="6" w:space="0" w:color="auto"/>
                          <w:right w:val="outset" w:sz="6" w:space="0" w:color="auto"/>
                        </w:tcBorders>
                        <w:vAlign w:val="center"/>
                      </w:tcPr>
                      <w:p w14:paraId="78D49BF6" w14:textId="77777777" w:rsidR="00471D53" w:rsidRDefault="004F686E" w:rsidP="00471D53">
                        <w:pPr>
                          <w:jc w:val="center"/>
                          <w:rPr>
                            <w:b/>
                            <w:szCs w:val="21"/>
                          </w:rPr>
                        </w:pPr>
                        <w:r>
                          <w:rPr>
                            <w:rFonts w:hint="eastAsia"/>
                            <w:b/>
                            <w:szCs w:val="21"/>
                          </w:rPr>
                          <w:t>2020年12月31日</w:t>
                        </w:r>
                      </w:p>
                    </w:tc>
                  </w:sdtContent>
                </w:sdt>
              </w:tr>
              <w:tr w:rsidR="00471D53" w14:paraId="3ADDE7C3" w14:textId="77777777" w:rsidTr="00471D53">
                <w:sdt>
                  <w:sdtPr>
                    <w:tag w:val="_PLD_c47a329e79ad491ca413bdaf35b1f19b"/>
                    <w:id w:val="194934472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06D5345" w14:textId="77777777" w:rsidR="00471D53" w:rsidRDefault="004F686E" w:rsidP="00471D53">
                        <w:pPr>
                          <w:rPr>
                            <w:szCs w:val="21"/>
                          </w:rPr>
                        </w:pPr>
                        <w:r>
                          <w:rPr>
                            <w:rFonts w:hint="eastAsia"/>
                            <w:b/>
                            <w:bCs/>
                            <w:szCs w:val="21"/>
                          </w:rPr>
                          <w:t>流动资产：</w:t>
                        </w:r>
                      </w:p>
                    </w:tc>
                  </w:sdtContent>
                </w:sdt>
                <w:tc>
                  <w:tcPr>
                    <w:tcW w:w="627" w:type="pct"/>
                    <w:tcBorders>
                      <w:top w:val="outset" w:sz="6" w:space="0" w:color="auto"/>
                      <w:left w:val="outset" w:sz="6" w:space="0" w:color="auto"/>
                      <w:bottom w:val="outset" w:sz="6" w:space="0" w:color="auto"/>
                      <w:right w:val="outset" w:sz="6" w:space="0" w:color="auto"/>
                    </w:tcBorders>
                  </w:tcPr>
                  <w:p w14:paraId="70DCBF62" w14:textId="77777777" w:rsidR="00471D53" w:rsidRDefault="00B664AF" w:rsidP="00471D53">
                    <w:pPr>
                      <w:rPr>
                        <w:b/>
                        <w:color w:val="FF00FF"/>
                        <w:szCs w:val="21"/>
                      </w:rPr>
                    </w:pPr>
                  </w:p>
                </w:tc>
                <w:tc>
                  <w:tcPr>
                    <w:tcW w:w="1411" w:type="pct"/>
                    <w:tcBorders>
                      <w:top w:val="outset" w:sz="6" w:space="0" w:color="auto"/>
                      <w:left w:val="outset" w:sz="6" w:space="0" w:color="auto"/>
                      <w:bottom w:val="outset" w:sz="6" w:space="0" w:color="auto"/>
                      <w:right w:val="outset" w:sz="6" w:space="0" w:color="auto"/>
                    </w:tcBorders>
                  </w:tcPr>
                  <w:p w14:paraId="5FA718DF" w14:textId="77777777" w:rsidR="00471D53" w:rsidRDefault="00B664AF" w:rsidP="00471D53">
                    <w:pPr>
                      <w:rPr>
                        <w:b/>
                        <w:color w:val="FF00FF"/>
                        <w:szCs w:val="21"/>
                      </w:rPr>
                    </w:pPr>
                  </w:p>
                </w:tc>
                <w:tc>
                  <w:tcPr>
                    <w:tcW w:w="1333" w:type="pct"/>
                    <w:tcBorders>
                      <w:top w:val="outset" w:sz="6" w:space="0" w:color="auto"/>
                      <w:left w:val="outset" w:sz="6" w:space="0" w:color="auto"/>
                      <w:bottom w:val="outset" w:sz="6" w:space="0" w:color="auto"/>
                      <w:right w:val="outset" w:sz="6" w:space="0" w:color="auto"/>
                    </w:tcBorders>
                  </w:tcPr>
                  <w:p w14:paraId="28721009" w14:textId="77777777" w:rsidR="00471D53" w:rsidRDefault="00B664AF" w:rsidP="00471D53">
                    <w:pPr>
                      <w:rPr>
                        <w:b/>
                        <w:color w:val="FF00FF"/>
                        <w:szCs w:val="21"/>
                      </w:rPr>
                    </w:pPr>
                  </w:p>
                </w:tc>
              </w:tr>
              <w:tr w:rsidR="00471D53" w14:paraId="35C285C5" w14:textId="77777777" w:rsidTr="00471D53">
                <w:sdt>
                  <w:sdtPr>
                    <w:tag w:val="_PLD_36a7056a6e314e22ba0fd39d033ba0ea"/>
                    <w:id w:val="-100250716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E10EA0C" w14:textId="77777777" w:rsidR="00471D53" w:rsidRDefault="004F686E" w:rsidP="00471D53">
                        <w:pPr>
                          <w:ind w:firstLineChars="100" w:firstLine="210"/>
                          <w:rPr>
                            <w:szCs w:val="21"/>
                          </w:rPr>
                        </w:pPr>
                        <w:r>
                          <w:rPr>
                            <w:rFonts w:hint="eastAsia"/>
                            <w:szCs w:val="21"/>
                          </w:rPr>
                          <w:t>货币资金</w:t>
                        </w:r>
                      </w:p>
                    </w:tc>
                  </w:sdtContent>
                </w:sdt>
                <w:tc>
                  <w:tcPr>
                    <w:tcW w:w="627" w:type="pct"/>
                    <w:tcBorders>
                      <w:top w:val="outset" w:sz="6" w:space="0" w:color="auto"/>
                      <w:left w:val="outset" w:sz="6" w:space="0" w:color="auto"/>
                      <w:bottom w:val="outset" w:sz="6" w:space="0" w:color="auto"/>
                      <w:right w:val="outset" w:sz="6" w:space="0" w:color="auto"/>
                    </w:tcBorders>
                  </w:tcPr>
                  <w:p w14:paraId="21020AE0" w14:textId="77777777" w:rsidR="00471D53" w:rsidRDefault="004F686E" w:rsidP="00471D53">
                    <w:pPr>
                      <w:rPr>
                        <w:szCs w:val="21"/>
                      </w:rPr>
                    </w:pPr>
                    <w:r>
                      <w:t>七、1</w:t>
                    </w:r>
                  </w:p>
                </w:tc>
                <w:tc>
                  <w:tcPr>
                    <w:tcW w:w="1411" w:type="pct"/>
                    <w:tcBorders>
                      <w:top w:val="outset" w:sz="6" w:space="0" w:color="auto"/>
                      <w:left w:val="outset" w:sz="6" w:space="0" w:color="auto"/>
                      <w:bottom w:val="outset" w:sz="6" w:space="0" w:color="auto"/>
                      <w:right w:val="outset" w:sz="6" w:space="0" w:color="auto"/>
                    </w:tcBorders>
                  </w:tcPr>
                  <w:p w14:paraId="66680113" w14:textId="77777777" w:rsidR="00471D53" w:rsidRDefault="004F686E" w:rsidP="00471D53">
                    <w:pPr>
                      <w:jc w:val="right"/>
                      <w:rPr>
                        <w:szCs w:val="21"/>
                      </w:rPr>
                    </w:pPr>
                    <w:r>
                      <w:t>109,896,372.32</w:t>
                    </w:r>
                  </w:p>
                </w:tc>
                <w:tc>
                  <w:tcPr>
                    <w:tcW w:w="1333" w:type="pct"/>
                    <w:tcBorders>
                      <w:top w:val="outset" w:sz="6" w:space="0" w:color="auto"/>
                      <w:left w:val="outset" w:sz="6" w:space="0" w:color="auto"/>
                      <w:bottom w:val="outset" w:sz="6" w:space="0" w:color="auto"/>
                      <w:right w:val="outset" w:sz="6" w:space="0" w:color="auto"/>
                    </w:tcBorders>
                  </w:tcPr>
                  <w:p w14:paraId="3EFE1D9A" w14:textId="77777777" w:rsidR="00471D53" w:rsidRDefault="004F686E" w:rsidP="00471D53">
                    <w:pPr>
                      <w:jc w:val="right"/>
                      <w:rPr>
                        <w:szCs w:val="21"/>
                      </w:rPr>
                    </w:pPr>
                    <w:r>
                      <w:t>279,067,536.83</w:t>
                    </w:r>
                  </w:p>
                </w:tc>
              </w:tr>
              <w:tr w:rsidR="00471D53" w14:paraId="73CF39C3" w14:textId="77777777" w:rsidTr="00471D53">
                <w:sdt>
                  <w:sdtPr>
                    <w:tag w:val="_PLD_eeecea89787644c581a60f0ab1e1e353"/>
                    <w:id w:val="47642186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292B4D5" w14:textId="77777777" w:rsidR="00471D53" w:rsidRDefault="004F686E" w:rsidP="00471D53">
                        <w:pPr>
                          <w:ind w:firstLineChars="100" w:firstLine="210"/>
                          <w:rPr>
                            <w:szCs w:val="21"/>
                          </w:rPr>
                        </w:pPr>
                        <w:r>
                          <w:rPr>
                            <w:rFonts w:hint="eastAsia"/>
                            <w:szCs w:val="21"/>
                          </w:rPr>
                          <w:t>结算备付金</w:t>
                        </w:r>
                      </w:p>
                    </w:tc>
                  </w:sdtContent>
                </w:sdt>
                <w:tc>
                  <w:tcPr>
                    <w:tcW w:w="627" w:type="pct"/>
                    <w:tcBorders>
                      <w:top w:val="outset" w:sz="6" w:space="0" w:color="auto"/>
                      <w:left w:val="outset" w:sz="6" w:space="0" w:color="auto"/>
                      <w:bottom w:val="outset" w:sz="6" w:space="0" w:color="auto"/>
                      <w:right w:val="outset" w:sz="6" w:space="0" w:color="auto"/>
                    </w:tcBorders>
                  </w:tcPr>
                  <w:p w14:paraId="052A809A"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4A9446AC"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35680D33" w14:textId="77777777" w:rsidR="00471D53" w:rsidRDefault="00B664AF" w:rsidP="00471D53">
                    <w:pPr>
                      <w:jc w:val="right"/>
                      <w:rPr>
                        <w:szCs w:val="21"/>
                      </w:rPr>
                    </w:pPr>
                  </w:p>
                </w:tc>
              </w:tr>
              <w:tr w:rsidR="00471D53" w14:paraId="5EF5889E" w14:textId="77777777" w:rsidTr="00471D53">
                <w:sdt>
                  <w:sdtPr>
                    <w:tag w:val="_PLD_879bf785eb864905ac5a35d3fcf6fc5e"/>
                    <w:id w:val="-47483559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FE7DEAE" w14:textId="77777777" w:rsidR="00471D53" w:rsidRDefault="004F686E" w:rsidP="00471D53">
                        <w:pPr>
                          <w:ind w:firstLineChars="100" w:firstLine="210"/>
                          <w:rPr>
                            <w:szCs w:val="21"/>
                          </w:rPr>
                        </w:pPr>
                        <w:r>
                          <w:rPr>
                            <w:rFonts w:hint="eastAsia"/>
                            <w:szCs w:val="21"/>
                          </w:rPr>
                          <w:t>拆出资金</w:t>
                        </w:r>
                      </w:p>
                    </w:tc>
                  </w:sdtContent>
                </w:sdt>
                <w:tc>
                  <w:tcPr>
                    <w:tcW w:w="627" w:type="pct"/>
                    <w:tcBorders>
                      <w:top w:val="outset" w:sz="6" w:space="0" w:color="auto"/>
                      <w:left w:val="outset" w:sz="6" w:space="0" w:color="auto"/>
                      <w:bottom w:val="outset" w:sz="6" w:space="0" w:color="auto"/>
                      <w:right w:val="outset" w:sz="6" w:space="0" w:color="auto"/>
                    </w:tcBorders>
                  </w:tcPr>
                  <w:p w14:paraId="2731F3E7"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4266A67B"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770D940C" w14:textId="77777777" w:rsidR="00471D53" w:rsidRDefault="00B664AF" w:rsidP="00471D53">
                    <w:pPr>
                      <w:jc w:val="right"/>
                      <w:rPr>
                        <w:szCs w:val="21"/>
                      </w:rPr>
                    </w:pPr>
                  </w:p>
                </w:tc>
              </w:tr>
              <w:tr w:rsidR="00471D53" w14:paraId="2C01DBB6" w14:textId="77777777" w:rsidTr="00471D53">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6d63ef987134b32b553402ba76eef23"/>
                      <w:id w:val="-616599965"/>
                      <w:lock w:val="sdtLocked"/>
                    </w:sdtPr>
                    <w:sdtEndPr/>
                    <w:sdtContent>
                      <w:p w14:paraId="0C8703C5" w14:textId="77777777" w:rsidR="00471D53" w:rsidRDefault="004F686E" w:rsidP="00471D53">
                        <w:pPr>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14:paraId="12AC675A"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7B05AD9A"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3E1E458" w14:textId="77777777" w:rsidR="00471D53" w:rsidRDefault="00B664AF" w:rsidP="00471D53">
                    <w:pPr>
                      <w:jc w:val="right"/>
                      <w:rPr>
                        <w:szCs w:val="21"/>
                      </w:rPr>
                    </w:pPr>
                  </w:p>
                </w:tc>
              </w:tr>
              <w:tr w:rsidR="00471D53" w14:paraId="6253568A" w14:textId="77777777" w:rsidTr="00471D53">
                <w:sdt>
                  <w:sdtPr>
                    <w:tag w:val="_PLD_a2a2e8b160574a929568047f67b21dba"/>
                    <w:id w:val="40149930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E56A37E" w14:textId="77777777" w:rsidR="00471D53" w:rsidRDefault="004F686E" w:rsidP="00471D53">
                        <w:pPr>
                          <w:ind w:firstLineChars="100" w:firstLine="210"/>
                          <w:rPr>
                            <w:szCs w:val="21"/>
                          </w:rPr>
                        </w:pPr>
                        <w:r>
                          <w:rPr>
                            <w:rFonts w:hint="eastAsia"/>
                            <w:szCs w:val="21"/>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14:paraId="1DE11F5D"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607D0042"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367FDD23" w14:textId="77777777" w:rsidR="00471D53" w:rsidRDefault="00B664AF" w:rsidP="00471D53">
                    <w:pPr>
                      <w:jc w:val="right"/>
                      <w:rPr>
                        <w:szCs w:val="21"/>
                      </w:rPr>
                    </w:pPr>
                  </w:p>
                </w:tc>
              </w:tr>
              <w:tr w:rsidR="00471D53" w14:paraId="10E4943B" w14:textId="77777777" w:rsidTr="00471D53">
                <w:sdt>
                  <w:sdtPr>
                    <w:tag w:val="_PLD_b4275fbbd6c24380aaa849df8e4a5394"/>
                    <w:id w:val="133935923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22BC945" w14:textId="77777777" w:rsidR="00471D53" w:rsidRDefault="004F686E" w:rsidP="00471D53">
                        <w:pPr>
                          <w:ind w:firstLineChars="100" w:firstLine="210"/>
                          <w:rPr>
                            <w:szCs w:val="21"/>
                          </w:rPr>
                        </w:pPr>
                        <w:r>
                          <w:rPr>
                            <w:rFonts w:hint="eastAsia"/>
                            <w:szCs w:val="21"/>
                          </w:rPr>
                          <w:t>应收票据</w:t>
                        </w:r>
                      </w:p>
                    </w:tc>
                  </w:sdtContent>
                </w:sdt>
                <w:tc>
                  <w:tcPr>
                    <w:tcW w:w="627" w:type="pct"/>
                    <w:tcBorders>
                      <w:top w:val="outset" w:sz="6" w:space="0" w:color="auto"/>
                      <w:left w:val="outset" w:sz="6" w:space="0" w:color="auto"/>
                      <w:bottom w:val="outset" w:sz="6" w:space="0" w:color="auto"/>
                      <w:right w:val="outset" w:sz="6" w:space="0" w:color="auto"/>
                    </w:tcBorders>
                  </w:tcPr>
                  <w:p w14:paraId="6D0B6A62"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69FD2237"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F16987C" w14:textId="77777777" w:rsidR="00471D53" w:rsidRDefault="00B664AF" w:rsidP="00471D53">
                    <w:pPr>
                      <w:jc w:val="right"/>
                      <w:rPr>
                        <w:szCs w:val="21"/>
                      </w:rPr>
                    </w:pPr>
                  </w:p>
                </w:tc>
              </w:tr>
              <w:tr w:rsidR="00471D53" w14:paraId="1672B92D" w14:textId="77777777" w:rsidTr="00471D53">
                <w:sdt>
                  <w:sdtPr>
                    <w:tag w:val="_PLD_916701d47616495dad873446e57f88f1"/>
                    <w:id w:val="-88733798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C176457" w14:textId="77777777" w:rsidR="00471D53" w:rsidRDefault="004F686E" w:rsidP="00471D53">
                        <w:pPr>
                          <w:ind w:firstLineChars="100" w:firstLine="210"/>
                          <w:rPr>
                            <w:szCs w:val="21"/>
                          </w:rPr>
                        </w:pPr>
                        <w:r>
                          <w:rPr>
                            <w:rFonts w:hint="eastAsia"/>
                            <w:szCs w:val="21"/>
                          </w:rPr>
                          <w:t>应收账款</w:t>
                        </w:r>
                      </w:p>
                    </w:tc>
                  </w:sdtContent>
                </w:sdt>
                <w:tc>
                  <w:tcPr>
                    <w:tcW w:w="627" w:type="pct"/>
                    <w:tcBorders>
                      <w:top w:val="outset" w:sz="6" w:space="0" w:color="auto"/>
                      <w:left w:val="outset" w:sz="6" w:space="0" w:color="auto"/>
                      <w:bottom w:val="outset" w:sz="6" w:space="0" w:color="auto"/>
                      <w:right w:val="outset" w:sz="6" w:space="0" w:color="auto"/>
                    </w:tcBorders>
                  </w:tcPr>
                  <w:p w14:paraId="0D946825" w14:textId="77777777" w:rsidR="00471D53" w:rsidRDefault="004F686E" w:rsidP="00471D53">
                    <w:pPr>
                      <w:rPr>
                        <w:szCs w:val="21"/>
                      </w:rPr>
                    </w:pPr>
                    <w:r>
                      <w:t>七、5</w:t>
                    </w:r>
                  </w:p>
                </w:tc>
                <w:tc>
                  <w:tcPr>
                    <w:tcW w:w="1411" w:type="pct"/>
                    <w:tcBorders>
                      <w:top w:val="outset" w:sz="6" w:space="0" w:color="auto"/>
                      <w:left w:val="outset" w:sz="6" w:space="0" w:color="auto"/>
                      <w:bottom w:val="outset" w:sz="6" w:space="0" w:color="auto"/>
                      <w:right w:val="outset" w:sz="6" w:space="0" w:color="auto"/>
                    </w:tcBorders>
                  </w:tcPr>
                  <w:p w14:paraId="116C1575" w14:textId="77777777" w:rsidR="00471D53" w:rsidRDefault="004F686E" w:rsidP="00471D53">
                    <w:pPr>
                      <w:jc w:val="right"/>
                      <w:rPr>
                        <w:szCs w:val="21"/>
                      </w:rPr>
                    </w:pPr>
                    <w:r>
                      <w:t>174,988,820.03</w:t>
                    </w:r>
                  </w:p>
                </w:tc>
                <w:tc>
                  <w:tcPr>
                    <w:tcW w:w="1333" w:type="pct"/>
                    <w:tcBorders>
                      <w:top w:val="outset" w:sz="6" w:space="0" w:color="auto"/>
                      <w:left w:val="outset" w:sz="6" w:space="0" w:color="auto"/>
                      <w:bottom w:val="outset" w:sz="6" w:space="0" w:color="auto"/>
                      <w:right w:val="outset" w:sz="6" w:space="0" w:color="auto"/>
                    </w:tcBorders>
                  </w:tcPr>
                  <w:p w14:paraId="7A7FDDF3" w14:textId="77777777" w:rsidR="00471D53" w:rsidRDefault="004F686E" w:rsidP="00471D53">
                    <w:pPr>
                      <w:jc w:val="right"/>
                      <w:rPr>
                        <w:szCs w:val="21"/>
                      </w:rPr>
                    </w:pPr>
                    <w:r>
                      <w:t>191,929,152.84</w:t>
                    </w:r>
                  </w:p>
                </w:tc>
              </w:tr>
              <w:tr w:rsidR="00471D53" w14:paraId="4AF7F1CE" w14:textId="77777777" w:rsidTr="00471D53">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1ffdf4cf3084797bec970e07c957549"/>
                      <w:id w:val="-2004357389"/>
                      <w:lock w:val="sdtLocked"/>
                    </w:sdtPr>
                    <w:sdtEndPr/>
                    <w:sdtContent>
                      <w:p w14:paraId="4A36BD9A" w14:textId="77777777" w:rsidR="00471D53" w:rsidRDefault="004F686E" w:rsidP="00471D53">
                        <w:pPr>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14:paraId="4A1B935D" w14:textId="77777777" w:rsidR="00471D53" w:rsidRDefault="004F686E" w:rsidP="00471D53">
                    <w:pPr>
                      <w:rPr>
                        <w:szCs w:val="21"/>
                      </w:rPr>
                    </w:pPr>
                    <w:r>
                      <w:t>七、6</w:t>
                    </w:r>
                  </w:p>
                </w:tc>
                <w:tc>
                  <w:tcPr>
                    <w:tcW w:w="1411" w:type="pct"/>
                    <w:tcBorders>
                      <w:top w:val="outset" w:sz="6" w:space="0" w:color="auto"/>
                      <w:left w:val="outset" w:sz="6" w:space="0" w:color="auto"/>
                      <w:bottom w:val="outset" w:sz="6" w:space="0" w:color="auto"/>
                      <w:right w:val="outset" w:sz="6" w:space="0" w:color="auto"/>
                    </w:tcBorders>
                  </w:tcPr>
                  <w:p w14:paraId="1EF12623" w14:textId="77777777" w:rsidR="00471D53" w:rsidRDefault="004F686E" w:rsidP="00471D53">
                    <w:pPr>
                      <w:jc w:val="right"/>
                      <w:rPr>
                        <w:szCs w:val="21"/>
                      </w:rPr>
                    </w:pPr>
                    <w:r>
                      <w:t>5,234,897.48</w:t>
                    </w:r>
                  </w:p>
                </w:tc>
                <w:tc>
                  <w:tcPr>
                    <w:tcW w:w="1333" w:type="pct"/>
                    <w:tcBorders>
                      <w:top w:val="outset" w:sz="6" w:space="0" w:color="auto"/>
                      <w:left w:val="outset" w:sz="6" w:space="0" w:color="auto"/>
                      <w:bottom w:val="outset" w:sz="6" w:space="0" w:color="auto"/>
                      <w:right w:val="outset" w:sz="6" w:space="0" w:color="auto"/>
                    </w:tcBorders>
                  </w:tcPr>
                  <w:p w14:paraId="2450CDE8" w14:textId="77777777" w:rsidR="00471D53" w:rsidRDefault="004F686E" w:rsidP="00471D53">
                    <w:pPr>
                      <w:jc w:val="right"/>
                      <w:rPr>
                        <w:szCs w:val="21"/>
                      </w:rPr>
                    </w:pPr>
                    <w:r>
                      <w:t>4,153,285.64</w:t>
                    </w:r>
                  </w:p>
                </w:tc>
              </w:tr>
              <w:tr w:rsidR="00471D53" w14:paraId="116E403F" w14:textId="77777777" w:rsidTr="00471D53">
                <w:sdt>
                  <w:sdtPr>
                    <w:tag w:val="_PLD_eff32a719f7a407f8e2bd0fc67579696"/>
                    <w:id w:val="152568085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5045257" w14:textId="77777777" w:rsidR="00471D53" w:rsidRDefault="004F686E" w:rsidP="00471D53">
                        <w:pPr>
                          <w:ind w:firstLineChars="100" w:firstLine="210"/>
                          <w:rPr>
                            <w:szCs w:val="21"/>
                          </w:rPr>
                        </w:pPr>
                        <w:r>
                          <w:rPr>
                            <w:rFonts w:hint="eastAsia"/>
                            <w:szCs w:val="21"/>
                          </w:rPr>
                          <w:t>预付款项</w:t>
                        </w:r>
                      </w:p>
                    </w:tc>
                  </w:sdtContent>
                </w:sdt>
                <w:tc>
                  <w:tcPr>
                    <w:tcW w:w="627" w:type="pct"/>
                    <w:tcBorders>
                      <w:top w:val="outset" w:sz="6" w:space="0" w:color="auto"/>
                      <w:left w:val="outset" w:sz="6" w:space="0" w:color="auto"/>
                      <w:bottom w:val="outset" w:sz="6" w:space="0" w:color="auto"/>
                      <w:right w:val="outset" w:sz="6" w:space="0" w:color="auto"/>
                    </w:tcBorders>
                  </w:tcPr>
                  <w:p w14:paraId="1CA9B240" w14:textId="77777777" w:rsidR="00471D53" w:rsidRDefault="004F686E" w:rsidP="00471D53">
                    <w:pPr>
                      <w:rPr>
                        <w:szCs w:val="21"/>
                      </w:rPr>
                    </w:pPr>
                    <w:r>
                      <w:t>七、7</w:t>
                    </w:r>
                  </w:p>
                </w:tc>
                <w:tc>
                  <w:tcPr>
                    <w:tcW w:w="1411" w:type="pct"/>
                    <w:tcBorders>
                      <w:top w:val="outset" w:sz="6" w:space="0" w:color="auto"/>
                      <w:left w:val="outset" w:sz="6" w:space="0" w:color="auto"/>
                      <w:bottom w:val="outset" w:sz="6" w:space="0" w:color="auto"/>
                      <w:right w:val="outset" w:sz="6" w:space="0" w:color="auto"/>
                    </w:tcBorders>
                  </w:tcPr>
                  <w:p w14:paraId="3527F94C" w14:textId="77777777" w:rsidR="00471D53" w:rsidRDefault="004F686E" w:rsidP="00471D53">
                    <w:pPr>
                      <w:jc w:val="right"/>
                      <w:rPr>
                        <w:szCs w:val="21"/>
                      </w:rPr>
                    </w:pPr>
                    <w:r>
                      <w:t>54,676,124.57</w:t>
                    </w:r>
                  </w:p>
                </w:tc>
                <w:tc>
                  <w:tcPr>
                    <w:tcW w:w="1333" w:type="pct"/>
                    <w:tcBorders>
                      <w:top w:val="outset" w:sz="6" w:space="0" w:color="auto"/>
                      <w:left w:val="outset" w:sz="6" w:space="0" w:color="auto"/>
                      <w:bottom w:val="outset" w:sz="6" w:space="0" w:color="auto"/>
                      <w:right w:val="outset" w:sz="6" w:space="0" w:color="auto"/>
                    </w:tcBorders>
                  </w:tcPr>
                  <w:p w14:paraId="5993AD5A" w14:textId="77777777" w:rsidR="00471D53" w:rsidRDefault="004F686E" w:rsidP="00471D53">
                    <w:pPr>
                      <w:jc w:val="right"/>
                      <w:rPr>
                        <w:szCs w:val="21"/>
                      </w:rPr>
                    </w:pPr>
                    <w:r>
                      <w:t>63,821,034.83</w:t>
                    </w:r>
                  </w:p>
                </w:tc>
              </w:tr>
              <w:tr w:rsidR="00471D53" w14:paraId="60CCFC7F" w14:textId="77777777" w:rsidTr="00471D53">
                <w:sdt>
                  <w:sdtPr>
                    <w:tag w:val="_PLD_a40cfdfb0ba6490cb057d30f2eced3ad"/>
                    <w:id w:val="31862363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DA36F9A" w14:textId="77777777" w:rsidR="00471D53" w:rsidRDefault="004F686E" w:rsidP="00471D53">
                        <w:pPr>
                          <w:ind w:firstLineChars="100" w:firstLine="210"/>
                          <w:rPr>
                            <w:szCs w:val="21"/>
                          </w:rPr>
                        </w:pPr>
                        <w:r>
                          <w:rPr>
                            <w:rFonts w:hint="eastAsia"/>
                            <w:szCs w:val="21"/>
                          </w:rPr>
                          <w:t>应收保费</w:t>
                        </w:r>
                      </w:p>
                    </w:tc>
                  </w:sdtContent>
                </w:sdt>
                <w:tc>
                  <w:tcPr>
                    <w:tcW w:w="627" w:type="pct"/>
                    <w:tcBorders>
                      <w:top w:val="outset" w:sz="6" w:space="0" w:color="auto"/>
                      <w:left w:val="outset" w:sz="6" w:space="0" w:color="auto"/>
                      <w:bottom w:val="outset" w:sz="6" w:space="0" w:color="auto"/>
                      <w:right w:val="outset" w:sz="6" w:space="0" w:color="auto"/>
                    </w:tcBorders>
                  </w:tcPr>
                  <w:p w14:paraId="0424D7D6"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1478DAFA"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7B755F11" w14:textId="77777777" w:rsidR="00471D53" w:rsidRDefault="00B664AF" w:rsidP="00471D53">
                    <w:pPr>
                      <w:jc w:val="right"/>
                      <w:rPr>
                        <w:szCs w:val="21"/>
                      </w:rPr>
                    </w:pPr>
                  </w:p>
                </w:tc>
              </w:tr>
              <w:tr w:rsidR="00471D53" w14:paraId="63A7E6E5" w14:textId="77777777" w:rsidTr="00471D53">
                <w:sdt>
                  <w:sdtPr>
                    <w:tag w:val="_PLD_78ae33502cc54f38ad943e4f0832ea8d"/>
                    <w:id w:val="-76568740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2FF6E94" w14:textId="77777777" w:rsidR="00471D53" w:rsidRDefault="004F686E" w:rsidP="00471D53">
                        <w:pPr>
                          <w:ind w:firstLineChars="100" w:firstLine="210"/>
                          <w:rPr>
                            <w:szCs w:val="21"/>
                          </w:rPr>
                        </w:pPr>
                        <w:r>
                          <w:rPr>
                            <w:rFonts w:hint="eastAsia"/>
                            <w:szCs w:val="21"/>
                          </w:rPr>
                          <w:t>应收分保账款</w:t>
                        </w:r>
                      </w:p>
                    </w:tc>
                  </w:sdtContent>
                </w:sdt>
                <w:tc>
                  <w:tcPr>
                    <w:tcW w:w="627" w:type="pct"/>
                    <w:tcBorders>
                      <w:top w:val="outset" w:sz="6" w:space="0" w:color="auto"/>
                      <w:left w:val="outset" w:sz="6" w:space="0" w:color="auto"/>
                      <w:bottom w:val="outset" w:sz="6" w:space="0" w:color="auto"/>
                      <w:right w:val="outset" w:sz="6" w:space="0" w:color="auto"/>
                    </w:tcBorders>
                  </w:tcPr>
                  <w:p w14:paraId="5A86331B"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696368C0"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5B674B4" w14:textId="77777777" w:rsidR="00471D53" w:rsidRDefault="00B664AF" w:rsidP="00471D53">
                    <w:pPr>
                      <w:jc w:val="right"/>
                      <w:rPr>
                        <w:szCs w:val="21"/>
                      </w:rPr>
                    </w:pPr>
                  </w:p>
                </w:tc>
              </w:tr>
              <w:tr w:rsidR="00471D53" w14:paraId="01296903" w14:textId="77777777" w:rsidTr="00471D53">
                <w:sdt>
                  <w:sdtPr>
                    <w:tag w:val="_PLD_c81dfd1c51694e04be879fd98e2f222f"/>
                    <w:id w:val="5135121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B51C04D" w14:textId="77777777" w:rsidR="00471D53" w:rsidRDefault="004F686E" w:rsidP="00471D53">
                        <w:pPr>
                          <w:ind w:firstLineChars="100" w:firstLine="210"/>
                          <w:rPr>
                            <w:szCs w:val="21"/>
                          </w:rPr>
                        </w:pPr>
                        <w:r>
                          <w:rPr>
                            <w:rFonts w:hint="eastAsia"/>
                            <w:szCs w:val="21"/>
                          </w:rPr>
                          <w:t>应收分保合同准备金</w:t>
                        </w:r>
                      </w:p>
                    </w:tc>
                  </w:sdtContent>
                </w:sdt>
                <w:tc>
                  <w:tcPr>
                    <w:tcW w:w="627" w:type="pct"/>
                    <w:tcBorders>
                      <w:top w:val="outset" w:sz="6" w:space="0" w:color="auto"/>
                      <w:left w:val="outset" w:sz="6" w:space="0" w:color="auto"/>
                      <w:bottom w:val="outset" w:sz="6" w:space="0" w:color="auto"/>
                      <w:right w:val="outset" w:sz="6" w:space="0" w:color="auto"/>
                    </w:tcBorders>
                  </w:tcPr>
                  <w:p w14:paraId="78D67C6C"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57703105"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06157B57" w14:textId="77777777" w:rsidR="00471D53" w:rsidRDefault="00B664AF" w:rsidP="00471D53">
                    <w:pPr>
                      <w:jc w:val="right"/>
                      <w:rPr>
                        <w:szCs w:val="21"/>
                      </w:rPr>
                    </w:pPr>
                  </w:p>
                </w:tc>
              </w:tr>
              <w:tr w:rsidR="00471D53" w14:paraId="57C51F86" w14:textId="77777777" w:rsidTr="00471D53">
                <w:sdt>
                  <w:sdtPr>
                    <w:tag w:val="_PLD_14b6c1004ee94e9c86f6872629ce8ec5"/>
                    <w:id w:val="28085267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CAE589B" w14:textId="77777777" w:rsidR="00471D53" w:rsidRDefault="004F686E" w:rsidP="00471D53">
                        <w:pPr>
                          <w:ind w:firstLineChars="100" w:firstLine="210"/>
                          <w:rPr>
                            <w:szCs w:val="21"/>
                          </w:rPr>
                        </w:pPr>
                        <w:r>
                          <w:rPr>
                            <w:rFonts w:hint="eastAsia"/>
                            <w:szCs w:val="21"/>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14:paraId="34B8BCE7" w14:textId="77777777" w:rsidR="00471D53" w:rsidRDefault="004F686E" w:rsidP="00471D53">
                    <w:pPr>
                      <w:rPr>
                        <w:szCs w:val="21"/>
                      </w:rPr>
                    </w:pPr>
                    <w:r>
                      <w:t>七、8</w:t>
                    </w:r>
                  </w:p>
                </w:tc>
                <w:tc>
                  <w:tcPr>
                    <w:tcW w:w="1411" w:type="pct"/>
                    <w:tcBorders>
                      <w:top w:val="outset" w:sz="6" w:space="0" w:color="auto"/>
                      <w:left w:val="outset" w:sz="6" w:space="0" w:color="auto"/>
                      <w:bottom w:val="outset" w:sz="6" w:space="0" w:color="auto"/>
                      <w:right w:val="outset" w:sz="6" w:space="0" w:color="auto"/>
                    </w:tcBorders>
                  </w:tcPr>
                  <w:p w14:paraId="2E33A76F" w14:textId="77777777" w:rsidR="00471D53" w:rsidRDefault="004F686E" w:rsidP="00471D53">
                    <w:pPr>
                      <w:jc w:val="right"/>
                      <w:rPr>
                        <w:szCs w:val="21"/>
                      </w:rPr>
                    </w:pPr>
                    <w:r>
                      <w:t>8,564,832.57</w:t>
                    </w:r>
                  </w:p>
                </w:tc>
                <w:tc>
                  <w:tcPr>
                    <w:tcW w:w="1333" w:type="pct"/>
                    <w:tcBorders>
                      <w:top w:val="outset" w:sz="6" w:space="0" w:color="auto"/>
                      <w:left w:val="outset" w:sz="6" w:space="0" w:color="auto"/>
                      <w:bottom w:val="outset" w:sz="6" w:space="0" w:color="auto"/>
                      <w:right w:val="outset" w:sz="6" w:space="0" w:color="auto"/>
                    </w:tcBorders>
                  </w:tcPr>
                  <w:p w14:paraId="0EAB2C09" w14:textId="77777777" w:rsidR="00471D53" w:rsidRDefault="004F686E" w:rsidP="00471D53">
                    <w:pPr>
                      <w:jc w:val="right"/>
                      <w:rPr>
                        <w:szCs w:val="21"/>
                      </w:rPr>
                    </w:pPr>
                    <w:r>
                      <w:t>8,706,093.49</w:t>
                    </w:r>
                  </w:p>
                </w:tc>
              </w:tr>
              <w:tr w:rsidR="00471D53" w14:paraId="73EA2EB2" w14:textId="77777777" w:rsidTr="00471D53">
                <w:sdt>
                  <w:sdtPr>
                    <w:tag w:val="_PLD_f7b8b5cf09f34b18bdaa893a720147a3"/>
                    <w:id w:val="-185748448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05731BE" w14:textId="77777777" w:rsidR="00471D53" w:rsidRDefault="004F686E" w:rsidP="00471D53">
                        <w:pPr>
                          <w:ind w:firstLineChars="100" w:firstLine="210"/>
                          <w:rPr>
                            <w:szCs w:val="21"/>
                          </w:rPr>
                        </w:pPr>
                        <w:r>
                          <w:rPr>
                            <w:rFonts w:hint="eastAsia"/>
                          </w:rPr>
                          <w:t>其中：</w:t>
                        </w:r>
                        <w:r>
                          <w:rPr>
                            <w:rFonts w:hint="eastAsia"/>
                            <w:szCs w:val="21"/>
                          </w:rPr>
                          <w:t>应收利息</w:t>
                        </w:r>
                      </w:p>
                    </w:tc>
                  </w:sdtContent>
                </w:sdt>
                <w:tc>
                  <w:tcPr>
                    <w:tcW w:w="627" w:type="pct"/>
                    <w:tcBorders>
                      <w:top w:val="outset" w:sz="6" w:space="0" w:color="auto"/>
                      <w:left w:val="outset" w:sz="6" w:space="0" w:color="auto"/>
                      <w:bottom w:val="outset" w:sz="6" w:space="0" w:color="auto"/>
                      <w:right w:val="outset" w:sz="6" w:space="0" w:color="auto"/>
                    </w:tcBorders>
                  </w:tcPr>
                  <w:p w14:paraId="4D150BCE"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3B72C563"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3D0B41DA" w14:textId="77777777" w:rsidR="00471D53" w:rsidRDefault="00B664AF" w:rsidP="00471D53">
                    <w:pPr>
                      <w:jc w:val="right"/>
                      <w:rPr>
                        <w:szCs w:val="21"/>
                      </w:rPr>
                    </w:pPr>
                  </w:p>
                </w:tc>
              </w:tr>
              <w:tr w:rsidR="00471D53" w14:paraId="6E86016C" w14:textId="77777777" w:rsidTr="00471D53">
                <w:sdt>
                  <w:sdtPr>
                    <w:tag w:val="_PLD_4d3fdbd13bd44399aedfc802cf2f5e84"/>
                    <w:id w:val="-100305293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A0E4F15" w14:textId="77777777" w:rsidR="00471D53" w:rsidRDefault="004F686E" w:rsidP="00471D53">
                        <w:pPr>
                          <w:ind w:firstLineChars="400" w:firstLine="840"/>
                          <w:rPr>
                            <w:szCs w:val="21"/>
                          </w:rPr>
                        </w:pPr>
                        <w:r>
                          <w:rPr>
                            <w:rFonts w:hint="eastAsia"/>
                            <w:szCs w:val="21"/>
                          </w:rPr>
                          <w:t>应收股利</w:t>
                        </w:r>
                      </w:p>
                    </w:tc>
                  </w:sdtContent>
                </w:sdt>
                <w:tc>
                  <w:tcPr>
                    <w:tcW w:w="627" w:type="pct"/>
                    <w:tcBorders>
                      <w:top w:val="outset" w:sz="6" w:space="0" w:color="auto"/>
                      <w:left w:val="outset" w:sz="6" w:space="0" w:color="auto"/>
                      <w:bottom w:val="outset" w:sz="6" w:space="0" w:color="auto"/>
                      <w:right w:val="outset" w:sz="6" w:space="0" w:color="auto"/>
                    </w:tcBorders>
                  </w:tcPr>
                  <w:p w14:paraId="62432E2A"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464EF89E"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5EA4ACCC" w14:textId="77777777" w:rsidR="00471D53" w:rsidRDefault="00B664AF" w:rsidP="00471D53">
                    <w:pPr>
                      <w:jc w:val="right"/>
                      <w:rPr>
                        <w:szCs w:val="21"/>
                      </w:rPr>
                    </w:pPr>
                  </w:p>
                </w:tc>
              </w:tr>
              <w:tr w:rsidR="00471D53" w14:paraId="639E6101" w14:textId="77777777" w:rsidTr="00471D53">
                <w:sdt>
                  <w:sdtPr>
                    <w:tag w:val="_PLD_150565b75bcd4f3c8e385b838e4135fa"/>
                    <w:id w:val="146885169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5F17AFB" w14:textId="77777777" w:rsidR="00471D53" w:rsidRDefault="004F686E" w:rsidP="00471D53">
                        <w:pPr>
                          <w:ind w:firstLineChars="100" w:firstLine="210"/>
                          <w:rPr>
                            <w:szCs w:val="21"/>
                          </w:rPr>
                        </w:pPr>
                        <w:r>
                          <w:rPr>
                            <w:rFonts w:hint="eastAsia"/>
                            <w:szCs w:val="21"/>
                          </w:rPr>
                          <w:t>买入返售金融资产</w:t>
                        </w:r>
                      </w:p>
                    </w:tc>
                  </w:sdtContent>
                </w:sdt>
                <w:tc>
                  <w:tcPr>
                    <w:tcW w:w="627" w:type="pct"/>
                    <w:tcBorders>
                      <w:top w:val="outset" w:sz="6" w:space="0" w:color="auto"/>
                      <w:left w:val="outset" w:sz="6" w:space="0" w:color="auto"/>
                      <w:bottom w:val="outset" w:sz="6" w:space="0" w:color="auto"/>
                      <w:right w:val="outset" w:sz="6" w:space="0" w:color="auto"/>
                    </w:tcBorders>
                  </w:tcPr>
                  <w:p w14:paraId="26044E54"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0E3DA191"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6D6C023A" w14:textId="77777777" w:rsidR="00471D53" w:rsidRDefault="00B664AF" w:rsidP="00471D53">
                    <w:pPr>
                      <w:jc w:val="right"/>
                      <w:rPr>
                        <w:szCs w:val="21"/>
                      </w:rPr>
                    </w:pPr>
                  </w:p>
                </w:tc>
              </w:tr>
              <w:tr w:rsidR="00471D53" w14:paraId="0CCF8A25" w14:textId="77777777" w:rsidTr="00471D53">
                <w:sdt>
                  <w:sdtPr>
                    <w:tag w:val="_PLD_0967af437eee4294b4f611b5abd91937"/>
                    <w:id w:val="-173746667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DFC5FF8" w14:textId="77777777" w:rsidR="00471D53" w:rsidRDefault="004F686E" w:rsidP="00471D53">
                        <w:pPr>
                          <w:ind w:firstLineChars="100" w:firstLine="210"/>
                          <w:rPr>
                            <w:szCs w:val="21"/>
                          </w:rPr>
                        </w:pPr>
                        <w:r>
                          <w:rPr>
                            <w:rFonts w:hint="eastAsia"/>
                            <w:szCs w:val="21"/>
                          </w:rPr>
                          <w:t>存货</w:t>
                        </w:r>
                      </w:p>
                    </w:tc>
                  </w:sdtContent>
                </w:sdt>
                <w:tc>
                  <w:tcPr>
                    <w:tcW w:w="627" w:type="pct"/>
                    <w:tcBorders>
                      <w:top w:val="outset" w:sz="6" w:space="0" w:color="auto"/>
                      <w:left w:val="outset" w:sz="6" w:space="0" w:color="auto"/>
                      <w:bottom w:val="outset" w:sz="6" w:space="0" w:color="auto"/>
                      <w:right w:val="outset" w:sz="6" w:space="0" w:color="auto"/>
                    </w:tcBorders>
                  </w:tcPr>
                  <w:p w14:paraId="48186BB3" w14:textId="77777777" w:rsidR="00471D53" w:rsidRDefault="004F686E" w:rsidP="00471D53">
                    <w:pPr>
                      <w:rPr>
                        <w:szCs w:val="21"/>
                      </w:rPr>
                    </w:pPr>
                    <w:r>
                      <w:t>七、9</w:t>
                    </w:r>
                  </w:p>
                </w:tc>
                <w:tc>
                  <w:tcPr>
                    <w:tcW w:w="1411" w:type="pct"/>
                    <w:tcBorders>
                      <w:top w:val="outset" w:sz="6" w:space="0" w:color="auto"/>
                      <w:left w:val="outset" w:sz="6" w:space="0" w:color="auto"/>
                      <w:bottom w:val="outset" w:sz="6" w:space="0" w:color="auto"/>
                      <w:right w:val="outset" w:sz="6" w:space="0" w:color="auto"/>
                    </w:tcBorders>
                  </w:tcPr>
                  <w:p w14:paraId="6BE88D5D" w14:textId="77777777" w:rsidR="00471D53" w:rsidRDefault="004F686E" w:rsidP="00471D53">
                    <w:pPr>
                      <w:jc w:val="right"/>
                      <w:rPr>
                        <w:szCs w:val="21"/>
                      </w:rPr>
                    </w:pPr>
                    <w:r>
                      <w:t>365,440,503.75</w:t>
                    </w:r>
                  </w:p>
                </w:tc>
                <w:tc>
                  <w:tcPr>
                    <w:tcW w:w="1333" w:type="pct"/>
                    <w:tcBorders>
                      <w:top w:val="outset" w:sz="6" w:space="0" w:color="auto"/>
                      <w:left w:val="outset" w:sz="6" w:space="0" w:color="auto"/>
                      <w:bottom w:val="outset" w:sz="6" w:space="0" w:color="auto"/>
                      <w:right w:val="outset" w:sz="6" w:space="0" w:color="auto"/>
                    </w:tcBorders>
                  </w:tcPr>
                  <w:p w14:paraId="538412BC" w14:textId="77777777" w:rsidR="00471D53" w:rsidRDefault="004F686E" w:rsidP="00471D53">
                    <w:pPr>
                      <w:jc w:val="right"/>
                      <w:rPr>
                        <w:szCs w:val="21"/>
                      </w:rPr>
                    </w:pPr>
                    <w:r>
                      <w:t>274,506,836.67</w:t>
                    </w:r>
                  </w:p>
                </w:tc>
              </w:tr>
              <w:tr w:rsidR="00471D53" w14:paraId="2C0BC36E" w14:textId="77777777" w:rsidTr="00471D53">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ecfb75d6b6f43eaab87b9fe006ab819"/>
                      <w:id w:val="135930190"/>
                      <w:lock w:val="sdtLocked"/>
                    </w:sdtPr>
                    <w:sdtEndPr/>
                    <w:sdtContent>
                      <w:p w14:paraId="10F36ABC" w14:textId="77777777" w:rsidR="00471D53" w:rsidRDefault="004F686E" w:rsidP="00471D53">
                        <w:pPr>
                          <w:ind w:firstLineChars="100" w:firstLine="21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tcPr>
                  <w:p w14:paraId="6463C2C0"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623330E4"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60E77F4E" w14:textId="77777777" w:rsidR="00471D53" w:rsidRDefault="00B664AF" w:rsidP="00471D53">
                    <w:pPr>
                      <w:jc w:val="right"/>
                      <w:rPr>
                        <w:szCs w:val="21"/>
                      </w:rPr>
                    </w:pPr>
                  </w:p>
                </w:tc>
              </w:tr>
              <w:tr w:rsidR="00471D53" w14:paraId="7208C320" w14:textId="77777777" w:rsidTr="00471D53">
                <w:sdt>
                  <w:sdtPr>
                    <w:tag w:val="_PLD_20a26361e8f8463bbf996022971e66c0"/>
                    <w:id w:val="-10858406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A55229C" w14:textId="77777777" w:rsidR="00471D53" w:rsidRDefault="004F686E" w:rsidP="00471D53">
                        <w:pPr>
                          <w:ind w:firstLineChars="100" w:firstLine="210"/>
                          <w:rPr>
                            <w:szCs w:val="21"/>
                          </w:rPr>
                        </w:pPr>
                        <w:r>
                          <w:rPr>
                            <w:rFonts w:hint="eastAsia"/>
                            <w:szCs w:val="21"/>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14:paraId="6D43A806"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5791F2E0"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151F6F97" w14:textId="77777777" w:rsidR="00471D53" w:rsidRDefault="00B664AF" w:rsidP="00471D53">
                    <w:pPr>
                      <w:jc w:val="right"/>
                      <w:rPr>
                        <w:szCs w:val="21"/>
                      </w:rPr>
                    </w:pPr>
                  </w:p>
                </w:tc>
              </w:tr>
              <w:tr w:rsidR="00471D53" w14:paraId="3B59780E" w14:textId="77777777" w:rsidTr="00471D53">
                <w:sdt>
                  <w:sdtPr>
                    <w:tag w:val="_PLD_85034baf09ae473db2e4694be7430d29"/>
                    <w:id w:val="59944614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532A992" w14:textId="77777777" w:rsidR="00471D53" w:rsidRDefault="004F686E" w:rsidP="00471D53">
                        <w:pPr>
                          <w:ind w:firstLineChars="100" w:firstLine="210"/>
                          <w:rPr>
                            <w:szCs w:val="21"/>
                          </w:rPr>
                        </w:pPr>
                        <w:r>
                          <w:rPr>
                            <w:rFonts w:hint="eastAsia"/>
                            <w:szCs w:val="21"/>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14:paraId="4B36A5E1"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0A869132"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677CD738" w14:textId="77777777" w:rsidR="00471D53" w:rsidRDefault="00B664AF" w:rsidP="00471D53">
                    <w:pPr>
                      <w:jc w:val="right"/>
                      <w:rPr>
                        <w:szCs w:val="21"/>
                      </w:rPr>
                    </w:pPr>
                  </w:p>
                </w:tc>
              </w:tr>
              <w:tr w:rsidR="00471D53" w14:paraId="3D252319" w14:textId="77777777" w:rsidTr="00471D53">
                <w:sdt>
                  <w:sdtPr>
                    <w:tag w:val="_PLD_59111301b0474503970c30d14c6c16c1"/>
                    <w:id w:val="146146551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25F7C76" w14:textId="77777777" w:rsidR="00471D53" w:rsidRDefault="004F686E" w:rsidP="00471D53">
                        <w:pPr>
                          <w:ind w:firstLineChars="100" w:firstLine="210"/>
                          <w:rPr>
                            <w:szCs w:val="21"/>
                          </w:rPr>
                        </w:pPr>
                        <w:r>
                          <w:rPr>
                            <w:rFonts w:hint="eastAsia"/>
                            <w:szCs w:val="21"/>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14:paraId="576582F7" w14:textId="77777777" w:rsidR="00471D53" w:rsidRDefault="004F686E" w:rsidP="00471D53">
                    <w:pPr>
                      <w:rPr>
                        <w:szCs w:val="21"/>
                      </w:rPr>
                    </w:pPr>
                    <w:r>
                      <w:t>七、13</w:t>
                    </w:r>
                  </w:p>
                </w:tc>
                <w:tc>
                  <w:tcPr>
                    <w:tcW w:w="1411" w:type="pct"/>
                    <w:tcBorders>
                      <w:top w:val="outset" w:sz="6" w:space="0" w:color="auto"/>
                      <w:left w:val="outset" w:sz="6" w:space="0" w:color="auto"/>
                      <w:bottom w:val="outset" w:sz="6" w:space="0" w:color="auto"/>
                      <w:right w:val="outset" w:sz="6" w:space="0" w:color="auto"/>
                    </w:tcBorders>
                  </w:tcPr>
                  <w:p w14:paraId="6C5E20DC" w14:textId="77777777" w:rsidR="00471D53" w:rsidRDefault="004F686E" w:rsidP="00471D53">
                    <w:pPr>
                      <w:jc w:val="right"/>
                      <w:rPr>
                        <w:szCs w:val="21"/>
                      </w:rPr>
                    </w:pPr>
                    <w:r>
                      <w:t>30,412,758.17</w:t>
                    </w:r>
                  </w:p>
                </w:tc>
                <w:tc>
                  <w:tcPr>
                    <w:tcW w:w="1333" w:type="pct"/>
                    <w:tcBorders>
                      <w:top w:val="outset" w:sz="6" w:space="0" w:color="auto"/>
                      <w:left w:val="outset" w:sz="6" w:space="0" w:color="auto"/>
                      <w:bottom w:val="outset" w:sz="6" w:space="0" w:color="auto"/>
                      <w:right w:val="outset" w:sz="6" w:space="0" w:color="auto"/>
                    </w:tcBorders>
                  </w:tcPr>
                  <w:p w14:paraId="721F7DAC" w14:textId="77777777" w:rsidR="00471D53" w:rsidRDefault="004F686E" w:rsidP="00471D53">
                    <w:pPr>
                      <w:jc w:val="right"/>
                      <w:rPr>
                        <w:szCs w:val="21"/>
                      </w:rPr>
                    </w:pPr>
                    <w:r>
                      <w:t>37,045,785.67</w:t>
                    </w:r>
                  </w:p>
                </w:tc>
              </w:tr>
              <w:tr w:rsidR="00471D53" w14:paraId="1BCBFC1F" w14:textId="77777777" w:rsidTr="00471D53">
                <w:sdt>
                  <w:sdtPr>
                    <w:tag w:val="_PLD_e89c5fc1115a4751868d93f96af78d12"/>
                    <w:id w:val="-210194232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4C05A69" w14:textId="77777777" w:rsidR="00471D53" w:rsidRDefault="004F686E" w:rsidP="00471D53">
                        <w:pPr>
                          <w:ind w:firstLineChars="200" w:firstLine="420"/>
                          <w:rPr>
                            <w:szCs w:val="21"/>
                          </w:rPr>
                        </w:pPr>
                        <w:r>
                          <w:rPr>
                            <w:rFonts w:hint="eastAsia"/>
                            <w:szCs w:val="21"/>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14:paraId="799F07AB"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64F629E6" w14:textId="77777777" w:rsidR="00471D53" w:rsidRDefault="004F686E" w:rsidP="00471D53">
                    <w:pPr>
                      <w:jc w:val="right"/>
                      <w:rPr>
                        <w:szCs w:val="21"/>
                      </w:rPr>
                    </w:pPr>
                    <w:r>
                      <w:t>749,214,308.89</w:t>
                    </w:r>
                  </w:p>
                </w:tc>
                <w:tc>
                  <w:tcPr>
                    <w:tcW w:w="1333" w:type="pct"/>
                    <w:tcBorders>
                      <w:top w:val="outset" w:sz="6" w:space="0" w:color="auto"/>
                      <w:left w:val="outset" w:sz="6" w:space="0" w:color="auto"/>
                      <w:bottom w:val="outset" w:sz="6" w:space="0" w:color="auto"/>
                      <w:right w:val="outset" w:sz="6" w:space="0" w:color="auto"/>
                    </w:tcBorders>
                  </w:tcPr>
                  <w:p w14:paraId="52B24348" w14:textId="77777777" w:rsidR="00471D53" w:rsidRDefault="004F686E" w:rsidP="00471D53">
                    <w:pPr>
                      <w:jc w:val="right"/>
                      <w:rPr>
                        <w:szCs w:val="21"/>
                      </w:rPr>
                    </w:pPr>
                    <w:r>
                      <w:t>859,229,725.97</w:t>
                    </w:r>
                  </w:p>
                </w:tc>
              </w:tr>
              <w:tr w:rsidR="00471D53" w14:paraId="53D7E772" w14:textId="77777777" w:rsidTr="00471D53">
                <w:sdt>
                  <w:sdtPr>
                    <w:tag w:val="_PLD_66ac6acc14e74939b5cc43190a3afd2b"/>
                    <w:id w:val="40311670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B93F85E" w14:textId="77777777" w:rsidR="00471D53" w:rsidRDefault="004F686E" w:rsidP="00471D53">
                        <w:pPr>
                          <w:rPr>
                            <w:szCs w:val="21"/>
                          </w:rPr>
                        </w:pPr>
                        <w:r>
                          <w:rPr>
                            <w:rFonts w:hint="eastAsia"/>
                            <w:b/>
                            <w:bCs/>
                            <w:szCs w:val="21"/>
                          </w:rPr>
                          <w:t>非流动资产：</w:t>
                        </w:r>
                      </w:p>
                    </w:tc>
                  </w:sdtContent>
                </w:sdt>
                <w:tc>
                  <w:tcPr>
                    <w:tcW w:w="627" w:type="pct"/>
                    <w:tcBorders>
                      <w:top w:val="outset" w:sz="6" w:space="0" w:color="auto"/>
                      <w:left w:val="outset" w:sz="6" w:space="0" w:color="auto"/>
                      <w:bottom w:val="outset" w:sz="6" w:space="0" w:color="auto"/>
                      <w:right w:val="outset" w:sz="6" w:space="0" w:color="auto"/>
                    </w:tcBorders>
                  </w:tcPr>
                  <w:p w14:paraId="0EA5707F"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7BD9628B" w14:textId="77777777" w:rsidR="00471D53" w:rsidRDefault="00B664AF" w:rsidP="00471D53">
                    <w:pPr>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14:paraId="5DA6675B" w14:textId="77777777" w:rsidR="00471D53" w:rsidRDefault="00B664AF" w:rsidP="00471D53">
                    <w:pPr>
                      <w:rPr>
                        <w:color w:val="008000"/>
                        <w:szCs w:val="21"/>
                      </w:rPr>
                    </w:pPr>
                  </w:p>
                </w:tc>
              </w:tr>
              <w:tr w:rsidR="00471D53" w14:paraId="56B72A08" w14:textId="77777777" w:rsidTr="00471D53">
                <w:sdt>
                  <w:sdtPr>
                    <w:tag w:val="_PLD_22aa48a975974ca794a64ae94835362c"/>
                    <w:id w:val="-196641842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CD6F501" w14:textId="77777777" w:rsidR="00471D53" w:rsidRDefault="004F686E" w:rsidP="00471D53">
                        <w:pPr>
                          <w:ind w:firstLineChars="100" w:firstLine="210"/>
                          <w:rPr>
                            <w:szCs w:val="21"/>
                          </w:rPr>
                        </w:pPr>
                        <w:r>
                          <w:rPr>
                            <w:rFonts w:hint="eastAsia"/>
                            <w:szCs w:val="21"/>
                          </w:rPr>
                          <w:t>发放贷款和垫款</w:t>
                        </w:r>
                      </w:p>
                    </w:tc>
                  </w:sdtContent>
                </w:sdt>
                <w:tc>
                  <w:tcPr>
                    <w:tcW w:w="627" w:type="pct"/>
                    <w:tcBorders>
                      <w:top w:val="outset" w:sz="6" w:space="0" w:color="auto"/>
                      <w:left w:val="outset" w:sz="6" w:space="0" w:color="auto"/>
                      <w:bottom w:val="outset" w:sz="6" w:space="0" w:color="auto"/>
                      <w:right w:val="outset" w:sz="6" w:space="0" w:color="auto"/>
                    </w:tcBorders>
                  </w:tcPr>
                  <w:p w14:paraId="49E11F68"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5C7EBB4F"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04E4C070" w14:textId="77777777" w:rsidR="00471D53" w:rsidRDefault="00B664AF" w:rsidP="00471D53">
                    <w:pPr>
                      <w:jc w:val="right"/>
                      <w:rPr>
                        <w:szCs w:val="21"/>
                      </w:rPr>
                    </w:pPr>
                  </w:p>
                </w:tc>
              </w:tr>
              <w:tr w:rsidR="00471D53" w14:paraId="5CB79B75" w14:textId="77777777" w:rsidTr="00471D53">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b4e85a6b3e74bac9cd4834b80365bf5"/>
                      <w:id w:val="-153526136"/>
                      <w:lock w:val="sdtLocked"/>
                    </w:sdtPr>
                    <w:sdtEndPr/>
                    <w:sdtContent>
                      <w:p w14:paraId="4BD4483A" w14:textId="77777777" w:rsidR="00471D53" w:rsidRDefault="004F686E" w:rsidP="00471D53">
                        <w:pPr>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14:paraId="6B55BBB0"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530E4087"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64CE62F7" w14:textId="77777777" w:rsidR="00471D53" w:rsidRDefault="00B664AF" w:rsidP="00471D53">
                    <w:pPr>
                      <w:jc w:val="right"/>
                      <w:rPr>
                        <w:szCs w:val="21"/>
                      </w:rPr>
                    </w:pPr>
                  </w:p>
                </w:tc>
              </w:tr>
              <w:tr w:rsidR="00471D53" w14:paraId="3389A87E" w14:textId="77777777" w:rsidTr="00471D53">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a42e80c658846cda83a637d16a3300f"/>
                      <w:id w:val="-1825506034"/>
                      <w:lock w:val="sdtLocked"/>
                    </w:sdtPr>
                    <w:sdtEndPr/>
                    <w:sdtContent>
                      <w:p w14:paraId="0AD3CFC4" w14:textId="77777777" w:rsidR="00471D53" w:rsidRDefault="004F686E" w:rsidP="00471D53">
                        <w:pPr>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14:paraId="756BA4B7"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3D9AEF3A"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7BD84987" w14:textId="77777777" w:rsidR="00471D53" w:rsidRDefault="00B664AF" w:rsidP="00471D53">
                    <w:pPr>
                      <w:jc w:val="right"/>
                      <w:rPr>
                        <w:szCs w:val="21"/>
                      </w:rPr>
                    </w:pPr>
                  </w:p>
                </w:tc>
              </w:tr>
              <w:tr w:rsidR="00471D53" w14:paraId="50D0CEB9" w14:textId="77777777" w:rsidTr="00471D53">
                <w:sdt>
                  <w:sdtPr>
                    <w:tag w:val="_PLD_235e8def5b4b4c7abc05596f3566e5ca"/>
                    <w:id w:val="205604205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311CBB4" w14:textId="77777777" w:rsidR="00471D53" w:rsidRDefault="004F686E" w:rsidP="00471D53">
                        <w:pPr>
                          <w:ind w:firstLineChars="100" w:firstLine="210"/>
                          <w:rPr>
                            <w:szCs w:val="21"/>
                          </w:rPr>
                        </w:pPr>
                        <w:r>
                          <w:rPr>
                            <w:rFonts w:hint="eastAsia"/>
                            <w:szCs w:val="21"/>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14:paraId="00F18B92"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4D8408BA"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5D4F933F" w14:textId="77777777" w:rsidR="00471D53" w:rsidRDefault="00B664AF" w:rsidP="00471D53">
                    <w:pPr>
                      <w:jc w:val="right"/>
                      <w:rPr>
                        <w:szCs w:val="21"/>
                      </w:rPr>
                    </w:pPr>
                  </w:p>
                </w:tc>
              </w:tr>
              <w:tr w:rsidR="00471D53" w14:paraId="019990E9" w14:textId="77777777" w:rsidTr="00471D53">
                <w:sdt>
                  <w:sdtPr>
                    <w:tag w:val="_PLD_a03693997f484cfcaa912b0e71d5709d"/>
                    <w:id w:val="64215723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5976C31" w14:textId="77777777" w:rsidR="00471D53" w:rsidRDefault="004F686E" w:rsidP="00471D53">
                        <w:pPr>
                          <w:ind w:firstLineChars="100" w:firstLine="210"/>
                          <w:rPr>
                            <w:szCs w:val="21"/>
                          </w:rPr>
                        </w:pPr>
                        <w:r>
                          <w:rPr>
                            <w:rFonts w:hint="eastAsia"/>
                            <w:szCs w:val="21"/>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14:paraId="1B9CD15A" w14:textId="77777777" w:rsidR="00471D53" w:rsidRDefault="004F686E" w:rsidP="00471D53">
                    <w:pPr>
                      <w:rPr>
                        <w:szCs w:val="21"/>
                      </w:rPr>
                    </w:pPr>
                    <w:r>
                      <w:t>七、17</w:t>
                    </w:r>
                  </w:p>
                </w:tc>
                <w:tc>
                  <w:tcPr>
                    <w:tcW w:w="1411" w:type="pct"/>
                    <w:tcBorders>
                      <w:top w:val="outset" w:sz="6" w:space="0" w:color="auto"/>
                      <w:left w:val="outset" w:sz="6" w:space="0" w:color="auto"/>
                      <w:bottom w:val="outset" w:sz="6" w:space="0" w:color="auto"/>
                      <w:right w:val="outset" w:sz="6" w:space="0" w:color="auto"/>
                    </w:tcBorders>
                  </w:tcPr>
                  <w:p w14:paraId="6A183AFE" w14:textId="77777777" w:rsidR="00471D53" w:rsidRDefault="004F686E" w:rsidP="00471D53">
                    <w:pPr>
                      <w:jc w:val="right"/>
                      <w:rPr>
                        <w:szCs w:val="21"/>
                      </w:rPr>
                    </w:pPr>
                    <w:r>
                      <w:t>62,724,659.74</w:t>
                    </w:r>
                  </w:p>
                </w:tc>
                <w:tc>
                  <w:tcPr>
                    <w:tcW w:w="1333" w:type="pct"/>
                    <w:tcBorders>
                      <w:top w:val="outset" w:sz="6" w:space="0" w:color="auto"/>
                      <w:left w:val="outset" w:sz="6" w:space="0" w:color="auto"/>
                      <w:bottom w:val="outset" w:sz="6" w:space="0" w:color="auto"/>
                      <w:right w:val="outset" w:sz="6" w:space="0" w:color="auto"/>
                    </w:tcBorders>
                  </w:tcPr>
                  <w:p w14:paraId="3E9BFF2F" w14:textId="77777777" w:rsidR="00471D53" w:rsidRDefault="004F686E" w:rsidP="00471D53">
                    <w:pPr>
                      <w:jc w:val="right"/>
                      <w:rPr>
                        <w:szCs w:val="21"/>
                      </w:rPr>
                    </w:pPr>
                    <w:r>
                      <w:t>59,521,106.68</w:t>
                    </w:r>
                  </w:p>
                </w:tc>
              </w:tr>
              <w:tr w:rsidR="00471D53" w14:paraId="7E34FE90" w14:textId="77777777" w:rsidTr="00471D53">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c57523e7f9d4490b8fc01da554e0edf"/>
                      <w:id w:val="-1322200254"/>
                      <w:lock w:val="sdtLocked"/>
                    </w:sdtPr>
                    <w:sdtEndPr/>
                    <w:sdtContent>
                      <w:p w14:paraId="7B58DE28" w14:textId="77777777" w:rsidR="00471D53" w:rsidRDefault="004F686E" w:rsidP="00471D53">
                        <w:pPr>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14:paraId="33BDEAF9"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17EC1A77"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57C0100F" w14:textId="77777777" w:rsidR="00471D53" w:rsidRDefault="00B664AF" w:rsidP="00471D53">
                    <w:pPr>
                      <w:jc w:val="right"/>
                      <w:rPr>
                        <w:szCs w:val="21"/>
                      </w:rPr>
                    </w:pPr>
                  </w:p>
                </w:tc>
              </w:tr>
              <w:tr w:rsidR="00471D53" w14:paraId="5D758273" w14:textId="77777777" w:rsidTr="00471D53">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89d47082a034512856b0d9af89eed72"/>
                      <w:id w:val="-97248010"/>
                      <w:lock w:val="sdtLocked"/>
                    </w:sdtPr>
                    <w:sdtEndPr/>
                    <w:sdtContent>
                      <w:p w14:paraId="5216E8D3" w14:textId="77777777" w:rsidR="00471D53" w:rsidRDefault="004F686E" w:rsidP="00471D53">
                        <w:pPr>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14:paraId="689F4AB0"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42012059"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042CB14" w14:textId="77777777" w:rsidR="00471D53" w:rsidRDefault="00B664AF" w:rsidP="00471D53">
                    <w:pPr>
                      <w:jc w:val="right"/>
                      <w:rPr>
                        <w:szCs w:val="21"/>
                      </w:rPr>
                    </w:pPr>
                  </w:p>
                </w:tc>
              </w:tr>
              <w:tr w:rsidR="00471D53" w14:paraId="5494DD16" w14:textId="77777777" w:rsidTr="00471D53">
                <w:sdt>
                  <w:sdtPr>
                    <w:tag w:val="_PLD_4684cd13f34942aabf4f5a55f1148c84"/>
                    <w:id w:val="151040120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01A5ADC" w14:textId="77777777" w:rsidR="00471D53" w:rsidRDefault="004F686E" w:rsidP="00471D53">
                        <w:pPr>
                          <w:ind w:firstLineChars="100" w:firstLine="210"/>
                          <w:rPr>
                            <w:szCs w:val="21"/>
                          </w:rPr>
                        </w:pPr>
                        <w:r>
                          <w:rPr>
                            <w:rFonts w:hint="eastAsia"/>
                            <w:szCs w:val="21"/>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14:paraId="5AD54678"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42FD4156"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08C04E9F" w14:textId="77777777" w:rsidR="00471D53" w:rsidRDefault="00B664AF" w:rsidP="00471D53">
                    <w:pPr>
                      <w:jc w:val="right"/>
                      <w:rPr>
                        <w:szCs w:val="21"/>
                      </w:rPr>
                    </w:pPr>
                  </w:p>
                </w:tc>
              </w:tr>
              <w:tr w:rsidR="00471D53" w14:paraId="6AFA77B6" w14:textId="77777777" w:rsidTr="00471D53">
                <w:sdt>
                  <w:sdtPr>
                    <w:tag w:val="_PLD_ea85d42312a14428bf960d1d9ac28904"/>
                    <w:id w:val="-129228326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DF27F17" w14:textId="77777777" w:rsidR="00471D53" w:rsidRDefault="004F686E" w:rsidP="00471D53">
                        <w:pPr>
                          <w:ind w:firstLineChars="100" w:firstLine="210"/>
                          <w:rPr>
                            <w:szCs w:val="21"/>
                          </w:rPr>
                        </w:pPr>
                        <w:r>
                          <w:rPr>
                            <w:rFonts w:hint="eastAsia"/>
                            <w:szCs w:val="21"/>
                          </w:rPr>
                          <w:t>固定资产</w:t>
                        </w:r>
                      </w:p>
                    </w:tc>
                  </w:sdtContent>
                </w:sdt>
                <w:tc>
                  <w:tcPr>
                    <w:tcW w:w="627" w:type="pct"/>
                    <w:tcBorders>
                      <w:top w:val="outset" w:sz="6" w:space="0" w:color="auto"/>
                      <w:left w:val="outset" w:sz="6" w:space="0" w:color="auto"/>
                      <w:bottom w:val="outset" w:sz="6" w:space="0" w:color="auto"/>
                      <w:right w:val="outset" w:sz="6" w:space="0" w:color="auto"/>
                    </w:tcBorders>
                  </w:tcPr>
                  <w:p w14:paraId="03C1A9A3" w14:textId="77777777" w:rsidR="00471D53" w:rsidRDefault="004F686E" w:rsidP="00471D53">
                    <w:pPr>
                      <w:rPr>
                        <w:szCs w:val="21"/>
                      </w:rPr>
                    </w:pPr>
                    <w:r>
                      <w:t>七、21</w:t>
                    </w:r>
                  </w:p>
                </w:tc>
                <w:tc>
                  <w:tcPr>
                    <w:tcW w:w="1411" w:type="pct"/>
                    <w:tcBorders>
                      <w:top w:val="outset" w:sz="6" w:space="0" w:color="auto"/>
                      <w:left w:val="outset" w:sz="6" w:space="0" w:color="auto"/>
                      <w:bottom w:val="outset" w:sz="6" w:space="0" w:color="auto"/>
                      <w:right w:val="outset" w:sz="6" w:space="0" w:color="auto"/>
                    </w:tcBorders>
                  </w:tcPr>
                  <w:p w14:paraId="379576B5" w14:textId="77777777" w:rsidR="00471D53" w:rsidRDefault="004F686E" w:rsidP="00471D53">
                    <w:pPr>
                      <w:jc w:val="right"/>
                      <w:rPr>
                        <w:szCs w:val="21"/>
                      </w:rPr>
                    </w:pPr>
                    <w:r>
                      <w:t>586,136,826.64</w:t>
                    </w:r>
                  </w:p>
                </w:tc>
                <w:tc>
                  <w:tcPr>
                    <w:tcW w:w="1333" w:type="pct"/>
                    <w:tcBorders>
                      <w:top w:val="outset" w:sz="6" w:space="0" w:color="auto"/>
                      <w:left w:val="outset" w:sz="6" w:space="0" w:color="auto"/>
                      <w:bottom w:val="outset" w:sz="6" w:space="0" w:color="auto"/>
                      <w:right w:val="outset" w:sz="6" w:space="0" w:color="auto"/>
                    </w:tcBorders>
                  </w:tcPr>
                  <w:p w14:paraId="7BF7C2D6" w14:textId="77777777" w:rsidR="00471D53" w:rsidRDefault="004F686E" w:rsidP="00471D53">
                    <w:pPr>
                      <w:jc w:val="right"/>
                      <w:rPr>
                        <w:szCs w:val="21"/>
                      </w:rPr>
                    </w:pPr>
                    <w:r>
                      <w:t>605,655,905.18</w:t>
                    </w:r>
                  </w:p>
                </w:tc>
              </w:tr>
              <w:tr w:rsidR="00471D53" w14:paraId="459FF815" w14:textId="77777777" w:rsidTr="00471D53">
                <w:sdt>
                  <w:sdtPr>
                    <w:tag w:val="_PLD_6572a20e6bfc4146a00336e842a92a6c"/>
                    <w:id w:val="-84855493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5CF7795" w14:textId="77777777" w:rsidR="00471D53" w:rsidRDefault="004F686E" w:rsidP="00471D53">
                        <w:pPr>
                          <w:ind w:firstLineChars="100" w:firstLine="210"/>
                          <w:rPr>
                            <w:szCs w:val="21"/>
                          </w:rPr>
                        </w:pPr>
                        <w:r>
                          <w:rPr>
                            <w:rFonts w:hint="eastAsia"/>
                            <w:szCs w:val="21"/>
                          </w:rPr>
                          <w:t>在建工程</w:t>
                        </w:r>
                      </w:p>
                    </w:tc>
                  </w:sdtContent>
                </w:sdt>
                <w:tc>
                  <w:tcPr>
                    <w:tcW w:w="627" w:type="pct"/>
                    <w:tcBorders>
                      <w:top w:val="outset" w:sz="6" w:space="0" w:color="auto"/>
                      <w:left w:val="outset" w:sz="6" w:space="0" w:color="auto"/>
                      <w:bottom w:val="outset" w:sz="6" w:space="0" w:color="auto"/>
                      <w:right w:val="outset" w:sz="6" w:space="0" w:color="auto"/>
                    </w:tcBorders>
                  </w:tcPr>
                  <w:p w14:paraId="605E81BB" w14:textId="77777777" w:rsidR="00471D53" w:rsidRDefault="004F686E" w:rsidP="00471D53">
                    <w:pPr>
                      <w:rPr>
                        <w:szCs w:val="21"/>
                      </w:rPr>
                    </w:pPr>
                    <w:r>
                      <w:t>七、22</w:t>
                    </w:r>
                  </w:p>
                </w:tc>
                <w:tc>
                  <w:tcPr>
                    <w:tcW w:w="1411" w:type="pct"/>
                    <w:tcBorders>
                      <w:top w:val="outset" w:sz="6" w:space="0" w:color="auto"/>
                      <w:left w:val="outset" w:sz="6" w:space="0" w:color="auto"/>
                      <w:bottom w:val="outset" w:sz="6" w:space="0" w:color="auto"/>
                      <w:right w:val="outset" w:sz="6" w:space="0" w:color="auto"/>
                    </w:tcBorders>
                  </w:tcPr>
                  <w:p w14:paraId="24A3D2E1" w14:textId="77777777" w:rsidR="00471D53" w:rsidRDefault="004F686E" w:rsidP="00471D53">
                    <w:pPr>
                      <w:jc w:val="right"/>
                      <w:rPr>
                        <w:szCs w:val="21"/>
                      </w:rPr>
                    </w:pPr>
                    <w:r>
                      <w:t>62,622,542.84</w:t>
                    </w:r>
                  </w:p>
                </w:tc>
                <w:tc>
                  <w:tcPr>
                    <w:tcW w:w="1333" w:type="pct"/>
                    <w:tcBorders>
                      <w:top w:val="outset" w:sz="6" w:space="0" w:color="auto"/>
                      <w:left w:val="outset" w:sz="6" w:space="0" w:color="auto"/>
                      <w:bottom w:val="outset" w:sz="6" w:space="0" w:color="auto"/>
                      <w:right w:val="outset" w:sz="6" w:space="0" w:color="auto"/>
                    </w:tcBorders>
                  </w:tcPr>
                  <w:p w14:paraId="3BDDC373" w14:textId="77777777" w:rsidR="00471D53" w:rsidRDefault="004F686E" w:rsidP="00471D53">
                    <w:pPr>
                      <w:jc w:val="right"/>
                      <w:rPr>
                        <w:szCs w:val="21"/>
                      </w:rPr>
                    </w:pPr>
                    <w:r>
                      <w:t>54,395,871.51</w:t>
                    </w:r>
                  </w:p>
                </w:tc>
              </w:tr>
              <w:tr w:rsidR="00471D53" w14:paraId="76AB7EFD" w14:textId="77777777" w:rsidTr="00471D53">
                <w:sdt>
                  <w:sdtPr>
                    <w:tag w:val="_PLD_681c8940563045f7a9114e64a64c0cbb"/>
                    <w:id w:val="73135449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4FD0749" w14:textId="77777777" w:rsidR="00471D53" w:rsidRDefault="004F686E" w:rsidP="00471D53">
                        <w:pPr>
                          <w:ind w:firstLineChars="100" w:firstLine="210"/>
                          <w:rPr>
                            <w:szCs w:val="21"/>
                          </w:rPr>
                        </w:pPr>
                        <w:r>
                          <w:rPr>
                            <w:rFonts w:hint="eastAsia"/>
                            <w:szCs w:val="21"/>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14:paraId="085DA1AF"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0B107465"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114DF48D" w14:textId="77777777" w:rsidR="00471D53" w:rsidRDefault="00B664AF" w:rsidP="00471D53">
                    <w:pPr>
                      <w:jc w:val="right"/>
                      <w:rPr>
                        <w:szCs w:val="21"/>
                      </w:rPr>
                    </w:pPr>
                  </w:p>
                </w:tc>
              </w:tr>
              <w:tr w:rsidR="00471D53" w14:paraId="36B19485" w14:textId="77777777" w:rsidTr="00471D53">
                <w:sdt>
                  <w:sdtPr>
                    <w:tag w:val="_PLD_86e2225c67a84720afd738287a9c2365"/>
                    <w:id w:val="-19508182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C33B1D6" w14:textId="77777777" w:rsidR="00471D53" w:rsidRDefault="004F686E" w:rsidP="00471D53">
                        <w:pPr>
                          <w:ind w:firstLineChars="100" w:firstLine="210"/>
                          <w:rPr>
                            <w:szCs w:val="21"/>
                          </w:rPr>
                        </w:pPr>
                        <w:r>
                          <w:rPr>
                            <w:rFonts w:hint="eastAsia"/>
                            <w:szCs w:val="21"/>
                          </w:rPr>
                          <w:t>油气资产</w:t>
                        </w:r>
                      </w:p>
                    </w:tc>
                  </w:sdtContent>
                </w:sdt>
                <w:tc>
                  <w:tcPr>
                    <w:tcW w:w="627" w:type="pct"/>
                    <w:tcBorders>
                      <w:top w:val="outset" w:sz="6" w:space="0" w:color="auto"/>
                      <w:left w:val="outset" w:sz="6" w:space="0" w:color="auto"/>
                      <w:bottom w:val="outset" w:sz="6" w:space="0" w:color="auto"/>
                      <w:right w:val="outset" w:sz="6" w:space="0" w:color="auto"/>
                    </w:tcBorders>
                  </w:tcPr>
                  <w:p w14:paraId="41155C9D"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6B8EBB44"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5DB2FD70" w14:textId="77777777" w:rsidR="00471D53" w:rsidRDefault="00B664AF" w:rsidP="00471D53">
                    <w:pPr>
                      <w:jc w:val="right"/>
                      <w:rPr>
                        <w:szCs w:val="21"/>
                      </w:rPr>
                    </w:pPr>
                  </w:p>
                </w:tc>
              </w:tr>
              <w:tr w:rsidR="00471D53" w14:paraId="20AEC14C" w14:textId="77777777" w:rsidTr="00471D53">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b039fa9358a43b398f3274466785fc8"/>
                      <w:id w:val="-848103213"/>
                      <w:lock w:val="sdtLocked"/>
                    </w:sdtPr>
                    <w:sdtEndPr/>
                    <w:sdtContent>
                      <w:p w14:paraId="559B7C32" w14:textId="77777777" w:rsidR="00471D53" w:rsidRDefault="004F686E" w:rsidP="00471D53">
                        <w:pPr>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14:paraId="2E2F7D32"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6EE2A1D5"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07674AD7" w14:textId="77777777" w:rsidR="00471D53" w:rsidRDefault="00B664AF" w:rsidP="00471D53">
                    <w:pPr>
                      <w:jc w:val="right"/>
                      <w:rPr>
                        <w:szCs w:val="21"/>
                      </w:rPr>
                    </w:pPr>
                  </w:p>
                </w:tc>
              </w:tr>
              <w:tr w:rsidR="00471D53" w14:paraId="11CE159D" w14:textId="77777777" w:rsidTr="00471D53">
                <w:sdt>
                  <w:sdtPr>
                    <w:tag w:val="_PLD_f9f0cc8ce8dc4387b1611032921da1ea"/>
                    <w:id w:val="77198014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B3A3402" w14:textId="77777777" w:rsidR="00471D53" w:rsidRDefault="004F686E" w:rsidP="00471D53">
                        <w:pPr>
                          <w:ind w:firstLineChars="100" w:firstLine="210"/>
                          <w:rPr>
                            <w:szCs w:val="21"/>
                          </w:rPr>
                        </w:pPr>
                        <w:r>
                          <w:rPr>
                            <w:rFonts w:hint="eastAsia"/>
                            <w:szCs w:val="21"/>
                          </w:rPr>
                          <w:t>无形资产</w:t>
                        </w:r>
                      </w:p>
                    </w:tc>
                  </w:sdtContent>
                </w:sdt>
                <w:tc>
                  <w:tcPr>
                    <w:tcW w:w="627" w:type="pct"/>
                    <w:tcBorders>
                      <w:top w:val="outset" w:sz="6" w:space="0" w:color="auto"/>
                      <w:left w:val="outset" w:sz="6" w:space="0" w:color="auto"/>
                      <w:bottom w:val="outset" w:sz="6" w:space="0" w:color="auto"/>
                      <w:right w:val="outset" w:sz="6" w:space="0" w:color="auto"/>
                    </w:tcBorders>
                  </w:tcPr>
                  <w:p w14:paraId="59D9FFB2" w14:textId="77777777" w:rsidR="00471D53" w:rsidRDefault="004F686E" w:rsidP="00471D53">
                    <w:pPr>
                      <w:rPr>
                        <w:szCs w:val="21"/>
                      </w:rPr>
                    </w:pPr>
                    <w:r>
                      <w:t>七、26</w:t>
                    </w:r>
                  </w:p>
                </w:tc>
                <w:tc>
                  <w:tcPr>
                    <w:tcW w:w="1411" w:type="pct"/>
                    <w:tcBorders>
                      <w:top w:val="outset" w:sz="6" w:space="0" w:color="auto"/>
                      <w:left w:val="outset" w:sz="6" w:space="0" w:color="auto"/>
                      <w:bottom w:val="outset" w:sz="6" w:space="0" w:color="auto"/>
                      <w:right w:val="outset" w:sz="6" w:space="0" w:color="auto"/>
                    </w:tcBorders>
                  </w:tcPr>
                  <w:p w14:paraId="1B33412F" w14:textId="77777777" w:rsidR="00471D53" w:rsidRDefault="004F686E" w:rsidP="00471D53">
                    <w:pPr>
                      <w:jc w:val="right"/>
                      <w:rPr>
                        <w:szCs w:val="21"/>
                      </w:rPr>
                    </w:pPr>
                    <w:r>
                      <w:t>119,501,564.36</w:t>
                    </w:r>
                  </w:p>
                </w:tc>
                <w:tc>
                  <w:tcPr>
                    <w:tcW w:w="1333" w:type="pct"/>
                    <w:tcBorders>
                      <w:top w:val="outset" w:sz="6" w:space="0" w:color="auto"/>
                      <w:left w:val="outset" w:sz="6" w:space="0" w:color="auto"/>
                      <w:bottom w:val="outset" w:sz="6" w:space="0" w:color="auto"/>
                      <w:right w:val="outset" w:sz="6" w:space="0" w:color="auto"/>
                    </w:tcBorders>
                  </w:tcPr>
                  <w:p w14:paraId="185862AC" w14:textId="77777777" w:rsidR="00471D53" w:rsidRDefault="004F686E" w:rsidP="00471D53">
                    <w:pPr>
                      <w:jc w:val="right"/>
                      <w:rPr>
                        <w:szCs w:val="21"/>
                      </w:rPr>
                    </w:pPr>
                    <w:r>
                      <w:t>121,126,149.83</w:t>
                    </w:r>
                  </w:p>
                </w:tc>
              </w:tr>
              <w:tr w:rsidR="00471D53" w14:paraId="2AA000C9" w14:textId="77777777" w:rsidTr="00471D53">
                <w:sdt>
                  <w:sdtPr>
                    <w:tag w:val="_PLD_9e19501f4749495c8e2c099358304536"/>
                    <w:id w:val="-75011471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A1FD332" w14:textId="77777777" w:rsidR="00471D53" w:rsidRDefault="004F686E" w:rsidP="00471D53">
                        <w:pPr>
                          <w:ind w:firstLineChars="100" w:firstLine="210"/>
                          <w:rPr>
                            <w:szCs w:val="21"/>
                          </w:rPr>
                        </w:pPr>
                        <w:r>
                          <w:rPr>
                            <w:rFonts w:hint="eastAsia"/>
                            <w:szCs w:val="21"/>
                          </w:rPr>
                          <w:t>开发支出</w:t>
                        </w:r>
                      </w:p>
                    </w:tc>
                  </w:sdtContent>
                </w:sdt>
                <w:tc>
                  <w:tcPr>
                    <w:tcW w:w="627" w:type="pct"/>
                    <w:tcBorders>
                      <w:top w:val="outset" w:sz="6" w:space="0" w:color="auto"/>
                      <w:left w:val="outset" w:sz="6" w:space="0" w:color="auto"/>
                      <w:bottom w:val="outset" w:sz="6" w:space="0" w:color="auto"/>
                      <w:right w:val="outset" w:sz="6" w:space="0" w:color="auto"/>
                    </w:tcBorders>
                  </w:tcPr>
                  <w:p w14:paraId="2F2D16A7"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6FCAD7C3"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53C43E89" w14:textId="77777777" w:rsidR="00471D53" w:rsidRDefault="00B664AF" w:rsidP="00471D53">
                    <w:pPr>
                      <w:jc w:val="right"/>
                      <w:rPr>
                        <w:szCs w:val="21"/>
                      </w:rPr>
                    </w:pPr>
                  </w:p>
                </w:tc>
              </w:tr>
              <w:tr w:rsidR="00471D53" w14:paraId="001A475F" w14:textId="77777777" w:rsidTr="00471D53">
                <w:sdt>
                  <w:sdtPr>
                    <w:tag w:val="_PLD_f8ed91a88675406ea5643bb20525ebab"/>
                    <w:id w:val="16035789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74AF1E4" w14:textId="77777777" w:rsidR="00471D53" w:rsidRDefault="004F686E" w:rsidP="00471D53">
                        <w:pPr>
                          <w:ind w:firstLineChars="100" w:firstLine="210"/>
                          <w:rPr>
                            <w:szCs w:val="21"/>
                          </w:rPr>
                        </w:pPr>
                        <w:r>
                          <w:rPr>
                            <w:rFonts w:hint="eastAsia"/>
                            <w:szCs w:val="21"/>
                          </w:rPr>
                          <w:t>商誉</w:t>
                        </w:r>
                      </w:p>
                    </w:tc>
                  </w:sdtContent>
                </w:sdt>
                <w:tc>
                  <w:tcPr>
                    <w:tcW w:w="627" w:type="pct"/>
                    <w:tcBorders>
                      <w:top w:val="outset" w:sz="6" w:space="0" w:color="auto"/>
                      <w:left w:val="outset" w:sz="6" w:space="0" w:color="auto"/>
                      <w:bottom w:val="outset" w:sz="6" w:space="0" w:color="auto"/>
                      <w:right w:val="outset" w:sz="6" w:space="0" w:color="auto"/>
                    </w:tcBorders>
                  </w:tcPr>
                  <w:p w14:paraId="57AAD50A"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4FBBC0FD"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70E79A60" w14:textId="77777777" w:rsidR="00471D53" w:rsidRDefault="00B664AF" w:rsidP="00471D53">
                    <w:pPr>
                      <w:jc w:val="right"/>
                      <w:rPr>
                        <w:szCs w:val="21"/>
                      </w:rPr>
                    </w:pPr>
                  </w:p>
                </w:tc>
              </w:tr>
              <w:tr w:rsidR="00471D53" w14:paraId="38B684F8" w14:textId="77777777" w:rsidTr="00471D53">
                <w:sdt>
                  <w:sdtPr>
                    <w:tag w:val="_PLD_c7616aaf37e541948f0c2ca1f9b68af9"/>
                    <w:id w:val="-72352721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B30A99C" w14:textId="77777777" w:rsidR="00471D53" w:rsidRDefault="004F686E" w:rsidP="00471D53">
                        <w:pPr>
                          <w:ind w:firstLineChars="100" w:firstLine="210"/>
                          <w:rPr>
                            <w:szCs w:val="21"/>
                          </w:rPr>
                        </w:pPr>
                        <w:r>
                          <w:rPr>
                            <w:rFonts w:hint="eastAsia"/>
                            <w:szCs w:val="21"/>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14:paraId="1FBC66A9" w14:textId="77777777" w:rsidR="00471D53" w:rsidRDefault="004F686E" w:rsidP="00471D53">
                    <w:pPr>
                      <w:rPr>
                        <w:szCs w:val="21"/>
                      </w:rPr>
                    </w:pPr>
                    <w:r>
                      <w:t>七、29</w:t>
                    </w:r>
                  </w:p>
                </w:tc>
                <w:tc>
                  <w:tcPr>
                    <w:tcW w:w="1411" w:type="pct"/>
                    <w:tcBorders>
                      <w:top w:val="outset" w:sz="6" w:space="0" w:color="auto"/>
                      <w:left w:val="outset" w:sz="6" w:space="0" w:color="auto"/>
                      <w:bottom w:val="outset" w:sz="6" w:space="0" w:color="auto"/>
                      <w:right w:val="outset" w:sz="6" w:space="0" w:color="auto"/>
                    </w:tcBorders>
                  </w:tcPr>
                  <w:p w14:paraId="19BB1E77" w14:textId="77777777" w:rsidR="00471D53" w:rsidRDefault="004F686E" w:rsidP="00471D53">
                    <w:pPr>
                      <w:jc w:val="right"/>
                      <w:rPr>
                        <w:szCs w:val="21"/>
                      </w:rPr>
                    </w:pPr>
                    <w:r>
                      <w:t>4,595,900.38</w:t>
                    </w:r>
                  </w:p>
                </w:tc>
                <w:tc>
                  <w:tcPr>
                    <w:tcW w:w="1333" w:type="pct"/>
                    <w:tcBorders>
                      <w:top w:val="outset" w:sz="6" w:space="0" w:color="auto"/>
                      <w:left w:val="outset" w:sz="6" w:space="0" w:color="auto"/>
                      <w:bottom w:val="outset" w:sz="6" w:space="0" w:color="auto"/>
                      <w:right w:val="outset" w:sz="6" w:space="0" w:color="auto"/>
                    </w:tcBorders>
                  </w:tcPr>
                  <w:p w14:paraId="3A8C7021" w14:textId="77777777" w:rsidR="00471D53" w:rsidRDefault="004F686E" w:rsidP="00471D53">
                    <w:pPr>
                      <w:jc w:val="right"/>
                      <w:rPr>
                        <w:szCs w:val="21"/>
                      </w:rPr>
                    </w:pPr>
                    <w:r>
                      <w:t>5,214,275.63</w:t>
                    </w:r>
                  </w:p>
                </w:tc>
              </w:tr>
              <w:tr w:rsidR="00471D53" w14:paraId="74972A6A" w14:textId="77777777" w:rsidTr="00471D53">
                <w:sdt>
                  <w:sdtPr>
                    <w:tag w:val="_PLD_831746b98bdc4418bed3ce5f97331371"/>
                    <w:id w:val="-170924414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D17F5E9" w14:textId="77777777" w:rsidR="00471D53" w:rsidRDefault="004F686E" w:rsidP="00471D53">
                        <w:pPr>
                          <w:ind w:firstLineChars="100" w:firstLine="210"/>
                          <w:rPr>
                            <w:szCs w:val="21"/>
                          </w:rPr>
                        </w:pPr>
                        <w:r>
                          <w:rPr>
                            <w:rFonts w:hint="eastAsia"/>
                            <w:szCs w:val="21"/>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14:paraId="464855CB" w14:textId="77777777" w:rsidR="00471D53" w:rsidRDefault="004F686E" w:rsidP="00471D53">
                    <w:pPr>
                      <w:rPr>
                        <w:szCs w:val="21"/>
                      </w:rPr>
                    </w:pPr>
                    <w:r>
                      <w:t>七、30</w:t>
                    </w:r>
                  </w:p>
                </w:tc>
                <w:tc>
                  <w:tcPr>
                    <w:tcW w:w="1411" w:type="pct"/>
                    <w:tcBorders>
                      <w:top w:val="outset" w:sz="6" w:space="0" w:color="auto"/>
                      <w:left w:val="outset" w:sz="6" w:space="0" w:color="auto"/>
                      <w:bottom w:val="outset" w:sz="6" w:space="0" w:color="auto"/>
                      <w:right w:val="outset" w:sz="6" w:space="0" w:color="auto"/>
                    </w:tcBorders>
                  </w:tcPr>
                  <w:p w14:paraId="60102ADB" w14:textId="77777777" w:rsidR="00471D53" w:rsidRDefault="004F686E" w:rsidP="00471D53">
                    <w:pPr>
                      <w:jc w:val="right"/>
                      <w:rPr>
                        <w:szCs w:val="21"/>
                      </w:rPr>
                    </w:pPr>
                    <w:r>
                      <w:t>54,991.30</w:t>
                    </w:r>
                  </w:p>
                </w:tc>
                <w:tc>
                  <w:tcPr>
                    <w:tcW w:w="1333" w:type="pct"/>
                    <w:tcBorders>
                      <w:top w:val="outset" w:sz="6" w:space="0" w:color="auto"/>
                      <w:left w:val="outset" w:sz="6" w:space="0" w:color="auto"/>
                      <w:bottom w:val="outset" w:sz="6" w:space="0" w:color="auto"/>
                      <w:right w:val="outset" w:sz="6" w:space="0" w:color="auto"/>
                    </w:tcBorders>
                  </w:tcPr>
                  <w:p w14:paraId="6748F2CA" w14:textId="77777777" w:rsidR="00471D53" w:rsidRDefault="004F686E" w:rsidP="00471D53">
                    <w:pPr>
                      <w:jc w:val="right"/>
                      <w:rPr>
                        <w:szCs w:val="21"/>
                      </w:rPr>
                    </w:pPr>
                    <w:r>
                      <w:t>287,827.59</w:t>
                    </w:r>
                  </w:p>
                </w:tc>
              </w:tr>
              <w:tr w:rsidR="00471D53" w14:paraId="703305EC" w14:textId="77777777" w:rsidTr="00471D53">
                <w:sdt>
                  <w:sdtPr>
                    <w:tag w:val="_PLD_b16d4dbbdf9e4712984ce3d90131c10b"/>
                    <w:id w:val="-146381340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6430816" w14:textId="77777777" w:rsidR="00471D53" w:rsidRDefault="004F686E" w:rsidP="00471D53">
                        <w:pPr>
                          <w:ind w:firstLineChars="100" w:firstLine="210"/>
                          <w:rPr>
                            <w:szCs w:val="21"/>
                          </w:rPr>
                        </w:pPr>
                        <w:r>
                          <w:rPr>
                            <w:rFonts w:hint="eastAsia"/>
                            <w:szCs w:val="21"/>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14:paraId="1693DF97"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41F57288"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00379A9C" w14:textId="77777777" w:rsidR="00471D53" w:rsidRDefault="00B664AF" w:rsidP="00471D53">
                    <w:pPr>
                      <w:jc w:val="right"/>
                      <w:rPr>
                        <w:szCs w:val="21"/>
                      </w:rPr>
                    </w:pPr>
                  </w:p>
                </w:tc>
              </w:tr>
              <w:tr w:rsidR="00471D53" w14:paraId="308FAA11" w14:textId="77777777" w:rsidTr="00471D53">
                <w:sdt>
                  <w:sdtPr>
                    <w:tag w:val="_PLD_244b63fab9214d849ab2fc2afd25f0a8"/>
                    <w:id w:val="-91424140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07711DD" w14:textId="77777777" w:rsidR="00471D53" w:rsidRDefault="004F686E" w:rsidP="00471D53">
                        <w:pPr>
                          <w:ind w:firstLineChars="200" w:firstLine="420"/>
                          <w:rPr>
                            <w:szCs w:val="21"/>
                          </w:rPr>
                        </w:pPr>
                        <w:r>
                          <w:rPr>
                            <w:rFonts w:hint="eastAsia"/>
                            <w:szCs w:val="21"/>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14:paraId="386BCC62"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1A8CA67E" w14:textId="77777777" w:rsidR="00471D53" w:rsidRDefault="004F686E" w:rsidP="00471D53">
                    <w:pPr>
                      <w:jc w:val="right"/>
                      <w:rPr>
                        <w:szCs w:val="21"/>
                      </w:rPr>
                    </w:pPr>
                    <w:r>
                      <w:t>835,636,485.26</w:t>
                    </w:r>
                  </w:p>
                </w:tc>
                <w:tc>
                  <w:tcPr>
                    <w:tcW w:w="1333" w:type="pct"/>
                    <w:tcBorders>
                      <w:top w:val="outset" w:sz="6" w:space="0" w:color="auto"/>
                      <w:left w:val="outset" w:sz="6" w:space="0" w:color="auto"/>
                      <w:bottom w:val="outset" w:sz="6" w:space="0" w:color="auto"/>
                      <w:right w:val="outset" w:sz="6" w:space="0" w:color="auto"/>
                    </w:tcBorders>
                  </w:tcPr>
                  <w:p w14:paraId="20DBEFEA" w14:textId="77777777" w:rsidR="00471D53" w:rsidRDefault="004F686E" w:rsidP="00471D53">
                    <w:pPr>
                      <w:jc w:val="right"/>
                      <w:rPr>
                        <w:szCs w:val="21"/>
                      </w:rPr>
                    </w:pPr>
                    <w:r>
                      <w:t>846,201,136.42</w:t>
                    </w:r>
                  </w:p>
                </w:tc>
              </w:tr>
              <w:tr w:rsidR="00471D53" w14:paraId="76A66381" w14:textId="77777777" w:rsidTr="00471D53">
                <w:sdt>
                  <w:sdtPr>
                    <w:tag w:val="_PLD_6e563319c2e4471398624f06f1db4a4e"/>
                    <w:id w:val="165378595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27C21A6" w14:textId="77777777" w:rsidR="00471D53" w:rsidRDefault="004F686E" w:rsidP="00471D53">
                        <w:pPr>
                          <w:ind w:firstLineChars="300" w:firstLine="630"/>
                          <w:rPr>
                            <w:szCs w:val="21"/>
                          </w:rPr>
                        </w:pPr>
                        <w:r>
                          <w:rPr>
                            <w:rFonts w:hint="eastAsia"/>
                            <w:szCs w:val="21"/>
                          </w:rPr>
                          <w:t>资产总计</w:t>
                        </w:r>
                      </w:p>
                    </w:tc>
                  </w:sdtContent>
                </w:sdt>
                <w:tc>
                  <w:tcPr>
                    <w:tcW w:w="627" w:type="pct"/>
                    <w:tcBorders>
                      <w:top w:val="outset" w:sz="6" w:space="0" w:color="auto"/>
                      <w:left w:val="outset" w:sz="6" w:space="0" w:color="auto"/>
                      <w:bottom w:val="outset" w:sz="6" w:space="0" w:color="auto"/>
                      <w:right w:val="outset" w:sz="6" w:space="0" w:color="auto"/>
                    </w:tcBorders>
                  </w:tcPr>
                  <w:p w14:paraId="44D28271"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5AE31399" w14:textId="77777777" w:rsidR="00471D53" w:rsidRDefault="004F686E" w:rsidP="00471D53">
                    <w:pPr>
                      <w:jc w:val="right"/>
                      <w:rPr>
                        <w:szCs w:val="21"/>
                      </w:rPr>
                    </w:pPr>
                    <w:r>
                      <w:t>1,584,850,794.15</w:t>
                    </w:r>
                  </w:p>
                </w:tc>
                <w:tc>
                  <w:tcPr>
                    <w:tcW w:w="1333" w:type="pct"/>
                    <w:tcBorders>
                      <w:top w:val="outset" w:sz="6" w:space="0" w:color="auto"/>
                      <w:left w:val="outset" w:sz="6" w:space="0" w:color="auto"/>
                      <w:bottom w:val="outset" w:sz="6" w:space="0" w:color="auto"/>
                      <w:right w:val="outset" w:sz="6" w:space="0" w:color="auto"/>
                    </w:tcBorders>
                  </w:tcPr>
                  <w:p w14:paraId="5473B9A9" w14:textId="77777777" w:rsidR="00471D53" w:rsidRDefault="004F686E" w:rsidP="00471D53">
                    <w:pPr>
                      <w:jc w:val="right"/>
                      <w:rPr>
                        <w:szCs w:val="21"/>
                      </w:rPr>
                    </w:pPr>
                    <w:r>
                      <w:t>1,705,430,862.39</w:t>
                    </w:r>
                  </w:p>
                </w:tc>
              </w:tr>
              <w:tr w:rsidR="00471D53" w14:paraId="6C577EED" w14:textId="77777777" w:rsidTr="00471D53">
                <w:sdt>
                  <w:sdtPr>
                    <w:tag w:val="_PLD_9375d0f637964c329fb26d2b4f648745"/>
                    <w:id w:val="-207178826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8444745" w14:textId="77777777" w:rsidR="00471D53" w:rsidRDefault="004F686E" w:rsidP="00471D53">
                        <w:pPr>
                          <w:rPr>
                            <w:szCs w:val="21"/>
                          </w:rPr>
                        </w:pPr>
                        <w:r>
                          <w:rPr>
                            <w:rFonts w:hint="eastAsia"/>
                            <w:b/>
                            <w:bCs/>
                            <w:szCs w:val="21"/>
                          </w:rPr>
                          <w:t>流动负债：</w:t>
                        </w:r>
                      </w:p>
                    </w:tc>
                  </w:sdtContent>
                </w:sdt>
                <w:tc>
                  <w:tcPr>
                    <w:tcW w:w="627" w:type="pct"/>
                    <w:tcBorders>
                      <w:top w:val="outset" w:sz="6" w:space="0" w:color="auto"/>
                      <w:left w:val="outset" w:sz="6" w:space="0" w:color="auto"/>
                      <w:bottom w:val="outset" w:sz="6" w:space="0" w:color="auto"/>
                      <w:right w:val="outset" w:sz="6" w:space="0" w:color="auto"/>
                    </w:tcBorders>
                  </w:tcPr>
                  <w:p w14:paraId="54255CD8"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3867B82A" w14:textId="77777777" w:rsidR="00471D53" w:rsidRDefault="00B664AF" w:rsidP="00471D53">
                    <w:pPr>
                      <w:rPr>
                        <w:color w:val="FF00FF"/>
                        <w:szCs w:val="21"/>
                      </w:rPr>
                    </w:pPr>
                  </w:p>
                </w:tc>
                <w:tc>
                  <w:tcPr>
                    <w:tcW w:w="1333" w:type="pct"/>
                    <w:tcBorders>
                      <w:top w:val="outset" w:sz="6" w:space="0" w:color="auto"/>
                      <w:left w:val="outset" w:sz="6" w:space="0" w:color="auto"/>
                      <w:bottom w:val="outset" w:sz="6" w:space="0" w:color="auto"/>
                      <w:right w:val="outset" w:sz="6" w:space="0" w:color="auto"/>
                    </w:tcBorders>
                  </w:tcPr>
                  <w:p w14:paraId="7E10FA19" w14:textId="77777777" w:rsidR="00471D53" w:rsidRDefault="00B664AF" w:rsidP="00471D53">
                    <w:pPr>
                      <w:rPr>
                        <w:color w:val="FF00FF"/>
                        <w:szCs w:val="21"/>
                      </w:rPr>
                    </w:pPr>
                  </w:p>
                </w:tc>
              </w:tr>
              <w:tr w:rsidR="00471D53" w14:paraId="07A4BBD2" w14:textId="77777777" w:rsidTr="00471D53">
                <w:sdt>
                  <w:sdtPr>
                    <w:tag w:val="_PLD_2fd37dc37d5e4c28b5b0dbe25be93232"/>
                    <w:id w:val="-505879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3AD2F06" w14:textId="77777777" w:rsidR="00471D53" w:rsidRDefault="004F686E" w:rsidP="00471D53">
                        <w:pPr>
                          <w:ind w:firstLineChars="100" w:firstLine="210"/>
                          <w:rPr>
                            <w:szCs w:val="21"/>
                          </w:rPr>
                        </w:pPr>
                        <w:r>
                          <w:rPr>
                            <w:rFonts w:hint="eastAsia"/>
                            <w:szCs w:val="21"/>
                          </w:rPr>
                          <w:t>短期借款</w:t>
                        </w:r>
                      </w:p>
                    </w:tc>
                  </w:sdtContent>
                </w:sdt>
                <w:tc>
                  <w:tcPr>
                    <w:tcW w:w="627" w:type="pct"/>
                    <w:tcBorders>
                      <w:top w:val="outset" w:sz="6" w:space="0" w:color="auto"/>
                      <w:left w:val="outset" w:sz="6" w:space="0" w:color="auto"/>
                      <w:bottom w:val="outset" w:sz="6" w:space="0" w:color="auto"/>
                      <w:right w:val="outset" w:sz="6" w:space="0" w:color="auto"/>
                    </w:tcBorders>
                  </w:tcPr>
                  <w:p w14:paraId="11DA1710" w14:textId="77777777" w:rsidR="00471D53" w:rsidRDefault="004F686E" w:rsidP="00471D53">
                    <w:pPr>
                      <w:rPr>
                        <w:szCs w:val="21"/>
                      </w:rPr>
                    </w:pPr>
                    <w:r>
                      <w:t>七、32</w:t>
                    </w:r>
                  </w:p>
                </w:tc>
                <w:tc>
                  <w:tcPr>
                    <w:tcW w:w="1411" w:type="pct"/>
                    <w:tcBorders>
                      <w:top w:val="outset" w:sz="6" w:space="0" w:color="auto"/>
                      <w:left w:val="outset" w:sz="6" w:space="0" w:color="auto"/>
                      <w:bottom w:val="outset" w:sz="6" w:space="0" w:color="auto"/>
                      <w:right w:val="outset" w:sz="6" w:space="0" w:color="auto"/>
                    </w:tcBorders>
                  </w:tcPr>
                  <w:p w14:paraId="76B37256" w14:textId="77777777" w:rsidR="00471D53" w:rsidRDefault="004F686E" w:rsidP="00471D53">
                    <w:pPr>
                      <w:jc w:val="right"/>
                      <w:rPr>
                        <w:szCs w:val="21"/>
                      </w:rPr>
                    </w:pPr>
                    <w:r>
                      <w:t>108,000,000.00</w:t>
                    </w:r>
                  </w:p>
                </w:tc>
                <w:tc>
                  <w:tcPr>
                    <w:tcW w:w="1333" w:type="pct"/>
                    <w:tcBorders>
                      <w:top w:val="outset" w:sz="6" w:space="0" w:color="auto"/>
                      <w:left w:val="outset" w:sz="6" w:space="0" w:color="auto"/>
                      <w:bottom w:val="outset" w:sz="6" w:space="0" w:color="auto"/>
                      <w:right w:val="outset" w:sz="6" w:space="0" w:color="auto"/>
                    </w:tcBorders>
                  </w:tcPr>
                  <w:p w14:paraId="5D364FEA" w14:textId="77777777" w:rsidR="00471D53" w:rsidRDefault="004F686E" w:rsidP="00471D53">
                    <w:pPr>
                      <w:jc w:val="right"/>
                      <w:rPr>
                        <w:szCs w:val="21"/>
                      </w:rPr>
                    </w:pPr>
                    <w:r>
                      <w:t>168,000,000.00</w:t>
                    </w:r>
                  </w:p>
                </w:tc>
              </w:tr>
              <w:tr w:rsidR="00471D53" w14:paraId="3D2B0831" w14:textId="77777777" w:rsidTr="00471D53">
                <w:sdt>
                  <w:sdtPr>
                    <w:tag w:val="_PLD_d4d41992aeff449e841a25d78244a217"/>
                    <w:id w:val="36634658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5C62BC6" w14:textId="77777777" w:rsidR="00471D53" w:rsidRDefault="004F686E" w:rsidP="00471D53">
                        <w:pPr>
                          <w:ind w:firstLineChars="100" w:firstLine="210"/>
                          <w:rPr>
                            <w:szCs w:val="21"/>
                          </w:rPr>
                        </w:pPr>
                        <w:r>
                          <w:rPr>
                            <w:rFonts w:hint="eastAsia"/>
                            <w:szCs w:val="21"/>
                          </w:rPr>
                          <w:t>向中央银行借款</w:t>
                        </w:r>
                      </w:p>
                    </w:tc>
                  </w:sdtContent>
                </w:sdt>
                <w:tc>
                  <w:tcPr>
                    <w:tcW w:w="627" w:type="pct"/>
                    <w:tcBorders>
                      <w:top w:val="outset" w:sz="6" w:space="0" w:color="auto"/>
                      <w:left w:val="outset" w:sz="6" w:space="0" w:color="auto"/>
                      <w:bottom w:val="outset" w:sz="6" w:space="0" w:color="auto"/>
                      <w:right w:val="outset" w:sz="6" w:space="0" w:color="auto"/>
                    </w:tcBorders>
                  </w:tcPr>
                  <w:p w14:paraId="742BFF74"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56F3FD79"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6950005E" w14:textId="77777777" w:rsidR="00471D53" w:rsidRDefault="00B664AF" w:rsidP="00471D53">
                    <w:pPr>
                      <w:jc w:val="right"/>
                      <w:rPr>
                        <w:szCs w:val="21"/>
                      </w:rPr>
                    </w:pPr>
                  </w:p>
                </w:tc>
              </w:tr>
              <w:tr w:rsidR="00471D53" w14:paraId="56CC1E52" w14:textId="77777777" w:rsidTr="00471D53">
                <w:sdt>
                  <w:sdtPr>
                    <w:tag w:val="_PLD_aa8e7d1680b146519de30874741a7d72"/>
                    <w:id w:val="-201806914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6E604D0" w14:textId="77777777" w:rsidR="00471D53" w:rsidRDefault="004F686E" w:rsidP="00471D53">
                        <w:pPr>
                          <w:ind w:firstLineChars="100" w:firstLine="210"/>
                          <w:rPr>
                            <w:szCs w:val="21"/>
                          </w:rPr>
                        </w:pPr>
                        <w:r>
                          <w:rPr>
                            <w:rFonts w:hint="eastAsia"/>
                            <w:szCs w:val="21"/>
                          </w:rPr>
                          <w:t>拆入资金</w:t>
                        </w:r>
                      </w:p>
                    </w:tc>
                  </w:sdtContent>
                </w:sdt>
                <w:tc>
                  <w:tcPr>
                    <w:tcW w:w="627" w:type="pct"/>
                    <w:tcBorders>
                      <w:top w:val="outset" w:sz="6" w:space="0" w:color="auto"/>
                      <w:left w:val="outset" w:sz="6" w:space="0" w:color="auto"/>
                      <w:bottom w:val="outset" w:sz="6" w:space="0" w:color="auto"/>
                      <w:right w:val="outset" w:sz="6" w:space="0" w:color="auto"/>
                    </w:tcBorders>
                  </w:tcPr>
                  <w:p w14:paraId="6A00C36F"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3A565902"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1DA179D8" w14:textId="77777777" w:rsidR="00471D53" w:rsidRDefault="00B664AF" w:rsidP="00471D53">
                    <w:pPr>
                      <w:jc w:val="right"/>
                      <w:rPr>
                        <w:szCs w:val="21"/>
                      </w:rPr>
                    </w:pPr>
                  </w:p>
                </w:tc>
              </w:tr>
              <w:tr w:rsidR="00471D53" w14:paraId="2ED954D7" w14:textId="77777777" w:rsidTr="00471D53">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695121b86514004a89ae09bf4805868"/>
                      <w:id w:val="29313964"/>
                      <w:lock w:val="sdtLocked"/>
                    </w:sdtPr>
                    <w:sdtEndPr/>
                    <w:sdtContent>
                      <w:p w14:paraId="6FB41B3C" w14:textId="77777777" w:rsidR="00471D53" w:rsidRDefault="004F686E" w:rsidP="00471D53">
                        <w:pPr>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14:paraId="2EFAB357"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62BEEF9D"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51FB4029" w14:textId="77777777" w:rsidR="00471D53" w:rsidRDefault="00B664AF" w:rsidP="00471D53">
                    <w:pPr>
                      <w:jc w:val="right"/>
                      <w:rPr>
                        <w:szCs w:val="21"/>
                      </w:rPr>
                    </w:pPr>
                  </w:p>
                </w:tc>
              </w:tr>
              <w:tr w:rsidR="00471D53" w14:paraId="352E9B25" w14:textId="77777777" w:rsidTr="00471D53">
                <w:sdt>
                  <w:sdtPr>
                    <w:tag w:val="_PLD_24e5d5bfa7f841d1bd60fddcb2e66c58"/>
                    <w:id w:val="136640975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2987DD1" w14:textId="77777777" w:rsidR="00471D53" w:rsidRDefault="004F686E" w:rsidP="00471D53">
                        <w:pPr>
                          <w:ind w:firstLineChars="100" w:firstLine="210"/>
                          <w:rPr>
                            <w:szCs w:val="21"/>
                          </w:rPr>
                        </w:pPr>
                        <w:r>
                          <w:rPr>
                            <w:rFonts w:hint="eastAsia"/>
                            <w:szCs w:val="21"/>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14:paraId="40C65809"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142C3274"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7E98562B" w14:textId="77777777" w:rsidR="00471D53" w:rsidRDefault="00B664AF" w:rsidP="00471D53">
                    <w:pPr>
                      <w:jc w:val="right"/>
                      <w:rPr>
                        <w:szCs w:val="21"/>
                      </w:rPr>
                    </w:pPr>
                  </w:p>
                </w:tc>
              </w:tr>
              <w:tr w:rsidR="00471D53" w14:paraId="6501585E" w14:textId="77777777" w:rsidTr="00471D53">
                <w:sdt>
                  <w:sdtPr>
                    <w:tag w:val="_PLD_a1ccdf0c4f4443b685142442e1c3f8f6"/>
                    <w:id w:val="205226733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802A718" w14:textId="77777777" w:rsidR="00471D53" w:rsidRDefault="004F686E" w:rsidP="00471D53">
                        <w:pPr>
                          <w:ind w:firstLineChars="100" w:firstLine="210"/>
                          <w:rPr>
                            <w:szCs w:val="21"/>
                          </w:rPr>
                        </w:pPr>
                        <w:r>
                          <w:rPr>
                            <w:rFonts w:hint="eastAsia"/>
                            <w:szCs w:val="21"/>
                          </w:rPr>
                          <w:t>应付票据</w:t>
                        </w:r>
                      </w:p>
                    </w:tc>
                  </w:sdtContent>
                </w:sdt>
                <w:tc>
                  <w:tcPr>
                    <w:tcW w:w="627" w:type="pct"/>
                    <w:tcBorders>
                      <w:top w:val="outset" w:sz="6" w:space="0" w:color="auto"/>
                      <w:left w:val="outset" w:sz="6" w:space="0" w:color="auto"/>
                      <w:bottom w:val="outset" w:sz="6" w:space="0" w:color="auto"/>
                      <w:right w:val="outset" w:sz="6" w:space="0" w:color="auto"/>
                    </w:tcBorders>
                  </w:tcPr>
                  <w:p w14:paraId="5DF3DD65" w14:textId="77777777" w:rsidR="00471D53" w:rsidRDefault="004F686E" w:rsidP="00471D53">
                    <w:pPr>
                      <w:rPr>
                        <w:szCs w:val="21"/>
                      </w:rPr>
                    </w:pPr>
                    <w:r>
                      <w:t>七、35</w:t>
                    </w:r>
                  </w:p>
                </w:tc>
                <w:tc>
                  <w:tcPr>
                    <w:tcW w:w="1411" w:type="pct"/>
                    <w:tcBorders>
                      <w:top w:val="outset" w:sz="6" w:space="0" w:color="auto"/>
                      <w:left w:val="outset" w:sz="6" w:space="0" w:color="auto"/>
                      <w:bottom w:val="outset" w:sz="6" w:space="0" w:color="auto"/>
                      <w:right w:val="outset" w:sz="6" w:space="0" w:color="auto"/>
                    </w:tcBorders>
                  </w:tcPr>
                  <w:p w14:paraId="6F814467" w14:textId="77777777" w:rsidR="00471D53" w:rsidRDefault="004F686E" w:rsidP="00471D53">
                    <w:pPr>
                      <w:jc w:val="right"/>
                      <w:rPr>
                        <w:szCs w:val="21"/>
                      </w:rPr>
                    </w:pPr>
                    <w:r>
                      <w:t>20,000,000.00</w:t>
                    </w:r>
                  </w:p>
                </w:tc>
                <w:tc>
                  <w:tcPr>
                    <w:tcW w:w="1333" w:type="pct"/>
                    <w:tcBorders>
                      <w:top w:val="outset" w:sz="6" w:space="0" w:color="auto"/>
                      <w:left w:val="outset" w:sz="6" w:space="0" w:color="auto"/>
                      <w:bottom w:val="outset" w:sz="6" w:space="0" w:color="auto"/>
                      <w:right w:val="outset" w:sz="6" w:space="0" w:color="auto"/>
                    </w:tcBorders>
                  </w:tcPr>
                  <w:p w14:paraId="4D2A2604" w14:textId="77777777" w:rsidR="00471D53" w:rsidRDefault="004F686E" w:rsidP="00471D53">
                    <w:pPr>
                      <w:jc w:val="right"/>
                      <w:rPr>
                        <w:szCs w:val="21"/>
                      </w:rPr>
                    </w:pPr>
                    <w:r>
                      <w:t>56,000,000.00</w:t>
                    </w:r>
                  </w:p>
                </w:tc>
              </w:tr>
              <w:tr w:rsidR="00471D53" w14:paraId="0779E173" w14:textId="77777777" w:rsidTr="00471D53">
                <w:sdt>
                  <w:sdtPr>
                    <w:tag w:val="_PLD_63f7bc90fdbe4fe9b76159c57157c382"/>
                    <w:id w:val="-162738398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FA80415" w14:textId="77777777" w:rsidR="00471D53" w:rsidRDefault="004F686E" w:rsidP="00471D53">
                        <w:pPr>
                          <w:ind w:firstLineChars="100" w:firstLine="210"/>
                          <w:rPr>
                            <w:szCs w:val="21"/>
                          </w:rPr>
                        </w:pPr>
                        <w:r>
                          <w:rPr>
                            <w:rFonts w:hint="eastAsia"/>
                            <w:szCs w:val="21"/>
                          </w:rPr>
                          <w:t>应付账款</w:t>
                        </w:r>
                      </w:p>
                    </w:tc>
                  </w:sdtContent>
                </w:sdt>
                <w:tc>
                  <w:tcPr>
                    <w:tcW w:w="627" w:type="pct"/>
                    <w:tcBorders>
                      <w:top w:val="outset" w:sz="6" w:space="0" w:color="auto"/>
                      <w:left w:val="outset" w:sz="6" w:space="0" w:color="auto"/>
                      <w:bottom w:val="outset" w:sz="6" w:space="0" w:color="auto"/>
                      <w:right w:val="outset" w:sz="6" w:space="0" w:color="auto"/>
                    </w:tcBorders>
                  </w:tcPr>
                  <w:p w14:paraId="6805C786" w14:textId="77777777" w:rsidR="00471D53" w:rsidRDefault="004F686E" w:rsidP="00471D53">
                    <w:pPr>
                      <w:rPr>
                        <w:szCs w:val="21"/>
                      </w:rPr>
                    </w:pPr>
                    <w:r>
                      <w:t>七、36</w:t>
                    </w:r>
                  </w:p>
                </w:tc>
                <w:tc>
                  <w:tcPr>
                    <w:tcW w:w="1411" w:type="pct"/>
                    <w:tcBorders>
                      <w:top w:val="outset" w:sz="6" w:space="0" w:color="auto"/>
                      <w:left w:val="outset" w:sz="6" w:space="0" w:color="auto"/>
                      <w:bottom w:val="outset" w:sz="6" w:space="0" w:color="auto"/>
                      <w:right w:val="outset" w:sz="6" w:space="0" w:color="auto"/>
                    </w:tcBorders>
                  </w:tcPr>
                  <w:p w14:paraId="40C44462" w14:textId="77777777" w:rsidR="00471D53" w:rsidRDefault="004F686E" w:rsidP="00471D53">
                    <w:pPr>
                      <w:jc w:val="right"/>
                      <w:rPr>
                        <w:szCs w:val="21"/>
                      </w:rPr>
                    </w:pPr>
                    <w:r>
                      <w:t>270,976,653.38</w:t>
                    </w:r>
                  </w:p>
                </w:tc>
                <w:tc>
                  <w:tcPr>
                    <w:tcW w:w="1333" w:type="pct"/>
                    <w:tcBorders>
                      <w:top w:val="outset" w:sz="6" w:space="0" w:color="auto"/>
                      <w:left w:val="outset" w:sz="6" w:space="0" w:color="auto"/>
                      <w:bottom w:val="outset" w:sz="6" w:space="0" w:color="auto"/>
                      <w:right w:val="outset" w:sz="6" w:space="0" w:color="auto"/>
                    </w:tcBorders>
                  </w:tcPr>
                  <w:p w14:paraId="4480423C" w14:textId="77777777" w:rsidR="00471D53" w:rsidRDefault="004F686E" w:rsidP="00471D53">
                    <w:pPr>
                      <w:jc w:val="right"/>
                      <w:rPr>
                        <w:szCs w:val="21"/>
                      </w:rPr>
                    </w:pPr>
                    <w:r>
                      <w:t>258,315,791.75</w:t>
                    </w:r>
                  </w:p>
                </w:tc>
              </w:tr>
              <w:tr w:rsidR="00471D53" w14:paraId="590B4A8E" w14:textId="77777777" w:rsidTr="00471D53">
                <w:sdt>
                  <w:sdtPr>
                    <w:tag w:val="_PLD_3652c9d68fee4d45b2cd80abc417bcfd"/>
                    <w:id w:val="32747775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9CAB099" w14:textId="77777777" w:rsidR="00471D53" w:rsidRDefault="004F686E" w:rsidP="00471D53">
                        <w:pPr>
                          <w:ind w:firstLineChars="100" w:firstLine="210"/>
                          <w:rPr>
                            <w:szCs w:val="21"/>
                          </w:rPr>
                        </w:pPr>
                        <w:r>
                          <w:rPr>
                            <w:rFonts w:hint="eastAsia"/>
                            <w:szCs w:val="21"/>
                          </w:rPr>
                          <w:t>预收款项</w:t>
                        </w:r>
                      </w:p>
                    </w:tc>
                  </w:sdtContent>
                </w:sdt>
                <w:tc>
                  <w:tcPr>
                    <w:tcW w:w="627" w:type="pct"/>
                    <w:tcBorders>
                      <w:top w:val="outset" w:sz="6" w:space="0" w:color="auto"/>
                      <w:left w:val="outset" w:sz="6" w:space="0" w:color="auto"/>
                      <w:bottom w:val="outset" w:sz="6" w:space="0" w:color="auto"/>
                      <w:right w:val="outset" w:sz="6" w:space="0" w:color="auto"/>
                    </w:tcBorders>
                  </w:tcPr>
                  <w:p w14:paraId="02928CA2"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4B29E22A"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0D651C2" w14:textId="77777777" w:rsidR="00471D53" w:rsidRDefault="00B664AF" w:rsidP="00471D53">
                    <w:pPr>
                      <w:jc w:val="right"/>
                      <w:rPr>
                        <w:szCs w:val="21"/>
                      </w:rPr>
                    </w:pPr>
                  </w:p>
                </w:tc>
              </w:tr>
              <w:tr w:rsidR="00471D53" w14:paraId="0A2ABE68" w14:textId="77777777" w:rsidTr="00471D53">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c16bfcfaac284e66b961859169968520"/>
                      <w:id w:val="2002618538"/>
                      <w:lock w:val="sdtLocked"/>
                    </w:sdtPr>
                    <w:sdtEndPr/>
                    <w:sdtContent>
                      <w:p w14:paraId="21380394" w14:textId="77777777" w:rsidR="00471D53" w:rsidRDefault="004F686E" w:rsidP="00471D53">
                        <w:pPr>
                          <w:ind w:firstLineChars="100" w:firstLine="21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tcPr>
                  <w:p w14:paraId="34621536" w14:textId="77777777" w:rsidR="00471D53" w:rsidRDefault="004F686E" w:rsidP="00471D53">
                    <w:pPr>
                      <w:rPr>
                        <w:szCs w:val="21"/>
                      </w:rPr>
                    </w:pPr>
                    <w:r>
                      <w:t>七、38</w:t>
                    </w:r>
                  </w:p>
                </w:tc>
                <w:tc>
                  <w:tcPr>
                    <w:tcW w:w="1411" w:type="pct"/>
                    <w:tcBorders>
                      <w:top w:val="outset" w:sz="6" w:space="0" w:color="auto"/>
                      <w:left w:val="outset" w:sz="6" w:space="0" w:color="auto"/>
                      <w:bottom w:val="outset" w:sz="6" w:space="0" w:color="auto"/>
                      <w:right w:val="outset" w:sz="6" w:space="0" w:color="auto"/>
                    </w:tcBorders>
                  </w:tcPr>
                  <w:p w14:paraId="31D4844C" w14:textId="77777777" w:rsidR="00471D53" w:rsidRDefault="004F686E" w:rsidP="00471D53">
                    <w:pPr>
                      <w:jc w:val="right"/>
                      <w:rPr>
                        <w:szCs w:val="21"/>
                      </w:rPr>
                    </w:pPr>
                    <w:r>
                      <w:t>85,965,855.60</w:t>
                    </w:r>
                  </w:p>
                </w:tc>
                <w:tc>
                  <w:tcPr>
                    <w:tcW w:w="1333" w:type="pct"/>
                    <w:tcBorders>
                      <w:top w:val="outset" w:sz="6" w:space="0" w:color="auto"/>
                      <w:left w:val="outset" w:sz="6" w:space="0" w:color="auto"/>
                      <w:bottom w:val="outset" w:sz="6" w:space="0" w:color="auto"/>
                      <w:right w:val="outset" w:sz="6" w:space="0" w:color="auto"/>
                    </w:tcBorders>
                  </w:tcPr>
                  <w:p w14:paraId="40E41C9E" w14:textId="77777777" w:rsidR="00471D53" w:rsidRDefault="004F686E" w:rsidP="00471D53">
                    <w:pPr>
                      <w:jc w:val="right"/>
                      <w:rPr>
                        <w:szCs w:val="21"/>
                      </w:rPr>
                    </w:pPr>
                    <w:r>
                      <w:t>60,853,270.89</w:t>
                    </w:r>
                  </w:p>
                </w:tc>
              </w:tr>
              <w:tr w:rsidR="00471D53" w14:paraId="73ACAA27" w14:textId="77777777" w:rsidTr="00471D53">
                <w:sdt>
                  <w:sdtPr>
                    <w:tag w:val="_PLD_be5eec398fb24e96b51c778e07be994c"/>
                    <w:id w:val="121862569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4D74990" w14:textId="77777777" w:rsidR="00471D53" w:rsidRDefault="004F686E" w:rsidP="00471D53">
                        <w:pPr>
                          <w:ind w:firstLineChars="100" w:firstLine="210"/>
                          <w:rPr>
                            <w:szCs w:val="21"/>
                          </w:rPr>
                        </w:pPr>
                        <w:r>
                          <w:rPr>
                            <w:rFonts w:hint="eastAsia"/>
                            <w:szCs w:val="21"/>
                          </w:rPr>
                          <w:t>卖出回购金融资产款</w:t>
                        </w:r>
                      </w:p>
                    </w:tc>
                  </w:sdtContent>
                </w:sdt>
                <w:tc>
                  <w:tcPr>
                    <w:tcW w:w="627" w:type="pct"/>
                    <w:tcBorders>
                      <w:top w:val="outset" w:sz="6" w:space="0" w:color="auto"/>
                      <w:left w:val="outset" w:sz="6" w:space="0" w:color="auto"/>
                      <w:bottom w:val="outset" w:sz="6" w:space="0" w:color="auto"/>
                      <w:right w:val="outset" w:sz="6" w:space="0" w:color="auto"/>
                    </w:tcBorders>
                  </w:tcPr>
                  <w:p w14:paraId="350B888E"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16828169"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7AB5A1C" w14:textId="77777777" w:rsidR="00471D53" w:rsidRDefault="00B664AF" w:rsidP="00471D53">
                    <w:pPr>
                      <w:jc w:val="right"/>
                      <w:rPr>
                        <w:szCs w:val="21"/>
                      </w:rPr>
                    </w:pPr>
                  </w:p>
                </w:tc>
              </w:tr>
              <w:tr w:rsidR="00471D53" w14:paraId="376AF2F0" w14:textId="77777777" w:rsidTr="00471D53">
                <w:sdt>
                  <w:sdtPr>
                    <w:tag w:val="_PLD_c96881e9f0ab40769bcc86283e6097ff"/>
                    <w:id w:val="206975214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2088D09" w14:textId="77777777" w:rsidR="00471D53" w:rsidRDefault="004F686E" w:rsidP="00471D53">
                        <w:pPr>
                          <w:ind w:firstLineChars="100" w:firstLine="210"/>
                          <w:rPr>
                            <w:szCs w:val="21"/>
                          </w:rPr>
                        </w:pPr>
                        <w:r>
                          <w:rPr>
                            <w:rFonts w:hint="eastAsia"/>
                            <w:szCs w:val="21"/>
                          </w:rPr>
                          <w:t>吸收存款及同业存放</w:t>
                        </w:r>
                      </w:p>
                    </w:tc>
                  </w:sdtContent>
                </w:sdt>
                <w:tc>
                  <w:tcPr>
                    <w:tcW w:w="627" w:type="pct"/>
                    <w:tcBorders>
                      <w:top w:val="outset" w:sz="6" w:space="0" w:color="auto"/>
                      <w:left w:val="outset" w:sz="6" w:space="0" w:color="auto"/>
                      <w:bottom w:val="outset" w:sz="6" w:space="0" w:color="auto"/>
                      <w:right w:val="outset" w:sz="6" w:space="0" w:color="auto"/>
                    </w:tcBorders>
                  </w:tcPr>
                  <w:p w14:paraId="2C761D41"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4A4D1FC7"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0BC8F4FB" w14:textId="77777777" w:rsidR="00471D53" w:rsidRDefault="00B664AF" w:rsidP="00471D53">
                    <w:pPr>
                      <w:jc w:val="right"/>
                      <w:rPr>
                        <w:szCs w:val="21"/>
                      </w:rPr>
                    </w:pPr>
                  </w:p>
                </w:tc>
              </w:tr>
              <w:tr w:rsidR="00471D53" w14:paraId="0E4DDD0B" w14:textId="77777777" w:rsidTr="00471D53">
                <w:sdt>
                  <w:sdtPr>
                    <w:tag w:val="_PLD_f52e1d03b4c642029c957ce402548b4d"/>
                    <w:id w:val="72079437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CF6AC0B" w14:textId="77777777" w:rsidR="00471D53" w:rsidRDefault="004F686E" w:rsidP="00471D53">
                        <w:pPr>
                          <w:ind w:firstLineChars="100" w:firstLine="210"/>
                          <w:rPr>
                            <w:szCs w:val="21"/>
                          </w:rPr>
                        </w:pPr>
                        <w:r>
                          <w:rPr>
                            <w:rFonts w:hint="eastAsia"/>
                            <w:szCs w:val="21"/>
                          </w:rPr>
                          <w:t>代理买卖证券款</w:t>
                        </w:r>
                      </w:p>
                    </w:tc>
                  </w:sdtContent>
                </w:sdt>
                <w:tc>
                  <w:tcPr>
                    <w:tcW w:w="627" w:type="pct"/>
                    <w:tcBorders>
                      <w:top w:val="outset" w:sz="6" w:space="0" w:color="auto"/>
                      <w:left w:val="outset" w:sz="6" w:space="0" w:color="auto"/>
                      <w:bottom w:val="outset" w:sz="6" w:space="0" w:color="auto"/>
                      <w:right w:val="outset" w:sz="6" w:space="0" w:color="auto"/>
                    </w:tcBorders>
                  </w:tcPr>
                  <w:p w14:paraId="1042B230"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69BA8E9C"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34FDF933" w14:textId="77777777" w:rsidR="00471D53" w:rsidRDefault="00B664AF" w:rsidP="00471D53">
                    <w:pPr>
                      <w:jc w:val="right"/>
                      <w:rPr>
                        <w:szCs w:val="21"/>
                      </w:rPr>
                    </w:pPr>
                  </w:p>
                </w:tc>
              </w:tr>
              <w:tr w:rsidR="00471D53" w14:paraId="712FDB08" w14:textId="77777777" w:rsidTr="00471D53">
                <w:sdt>
                  <w:sdtPr>
                    <w:tag w:val="_PLD_eac3eaf64a174f42beaddc0b3be0ef73"/>
                    <w:id w:val="-62654940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C25955C" w14:textId="77777777" w:rsidR="00471D53" w:rsidRDefault="004F686E" w:rsidP="00471D53">
                        <w:pPr>
                          <w:ind w:firstLineChars="100" w:firstLine="210"/>
                          <w:rPr>
                            <w:szCs w:val="21"/>
                          </w:rPr>
                        </w:pPr>
                        <w:r>
                          <w:rPr>
                            <w:rFonts w:hint="eastAsia"/>
                            <w:szCs w:val="21"/>
                          </w:rPr>
                          <w:t>代理承销证券款</w:t>
                        </w:r>
                      </w:p>
                    </w:tc>
                  </w:sdtContent>
                </w:sdt>
                <w:tc>
                  <w:tcPr>
                    <w:tcW w:w="627" w:type="pct"/>
                    <w:tcBorders>
                      <w:top w:val="outset" w:sz="6" w:space="0" w:color="auto"/>
                      <w:left w:val="outset" w:sz="6" w:space="0" w:color="auto"/>
                      <w:bottom w:val="outset" w:sz="6" w:space="0" w:color="auto"/>
                      <w:right w:val="outset" w:sz="6" w:space="0" w:color="auto"/>
                    </w:tcBorders>
                  </w:tcPr>
                  <w:p w14:paraId="5E681C7A"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5B1968E8"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78DA7E65" w14:textId="77777777" w:rsidR="00471D53" w:rsidRDefault="00B664AF" w:rsidP="00471D53">
                    <w:pPr>
                      <w:jc w:val="right"/>
                      <w:rPr>
                        <w:szCs w:val="21"/>
                      </w:rPr>
                    </w:pPr>
                  </w:p>
                </w:tc>
              </w:tr>
              <w:tr w:rsidR="00471D53" w14:paraId="0B78CB22" w14:textId="77777777" w:rsidTr="00471D53">
                <w:sdt>
                  <w:sdtPr>
                    <w:tag w:val="_PLD_b46164c72e3e41ec9fc7c62554dc88df"/>
                    <w:id w:val="-119182994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3F2A2F0" w14:textId="77777777" w:rsidR="00471D53" w:rsidRDefault="004F686E" w:rsidP="00471D53">
                        <w:pPr>
                          <w:ind w:firstLineChars="100" w:firstLine="210"/>
                          <w:rPr>
                            <w:szCs w:val="21"/>
                          </w:rPr>
                        </w:pPr>
                        <w:r>
                          <w:rPr>
                            <w:rFonts w:hint="eastAsia"/>
                            <w:szCs w:val="21"/>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14:paraId="00E8FBB1" w14:textId="77777777" w:rsidR="00471D53" w:rsidRDefault="004F686E" w:rsidP="00471D53">
                    <w:pPr>
                      <w:rPr>
                        <w:szCs w:val="21"/>
                      </w:rPr>
                    </w:pPr>
                    <w:r>
                      <w:t>七、39</w:t>
                    </w:r>
                  </w:p>
                </w:tc>
                <w:tc>
                  <w:tcPr>
                    <w:tcW w:w="1411" w:type="pct"/>
                    <w:tcBorders>
                      <w:top w:val="outset" w:sz="6" w:space="0" w:color="auto"/>
                      <w:left w:val="outset" w:sz="6" w:space="0" w:color="auto"/>
                      <w:bottom w:val="outset" w:sz="6" w:space="0" w:color="auto"/>
                      <w:right w:val="outset" w:sz="6" w:space="0" w:color="auto"/>
                    </w:tcBorders>
                  </w:tcPr>
                  <w:p w14:paraId="050C6243" w14:textId="77777777" w:rsidR="00471D53" w:rsidRDefault="004F686E" w:rsidP="00471D53">
                    <w:pPr>
                      <w:jc w:val="right"/>
                      <w:rPr>
                        <w:szCs w:val="21"/>
                      </w:rPr>
                    </w:pPr>
                    <w:r>
                      <w:t>17,239,837.40</w:t>
                    </w:r>
                  </w:p>
                </w:tc>
                <w:tc>
                  <w:tcPr>
                    <w:tcW w:w="1333" w:type="pct"/>
                    <w:tcBorders>
                      <w:top w:val="outset" w:sz="6" w:space="0" w:color="auto"/>
                      <w:left w:val="outset" w:sz="6" w:space="0" w:color="auto"/>
                      <w:bottom w:val="outset" w:sz="6" w:space="0" w:color="auto"/>
                      <w:right w:val="outset" w:sz="6" w:space="0" w:color="auto"/>
                    </w:tcBorders>
                  </w:tcPr>
                  <w:p w14:paraId="47225738" w14:textId="77777777" w:rsidR="00471D53" w:rsidRDefault="004F686E" w:rsidP="00471D53">
                    <w:pPr>
                      <w:jc w:val="right"/>
                      <w:rPr>
                        <w:szCs w:val="21"/>
                      </w:rPr>
                    </w:pPr>
                    <w:r>
                      <w:t>28,176,562.77</w:t>
                    </w:r>
                  </w:p>
                </w:tc>
              </w:tr>
              <w:tr w:rsidR="00471D53" w14:paraId="0429D96D" w14:textId="77777777" w:rsidTr="00471D53">
                <w:sdt>
                  <w:sdtPr>
                    <w:tag w:val="_PLD_da4e94adb66d4e528e4e8867ce4f2302"/>
                    <w:id w:val="-181278025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4158C07" w14:textId="77777777" w:rsidR="00471D53" w:rsidRDefault="004F686E" w:rsidP="00471D53">
                        <w:pPr>
                          <w:ind w:firstLineChars="100" w:firstLine="210"/>
                          <w:rPr>
                            <w:szCs w:val="21"/>
                          </w:rPr>
                        </w:pPr>
                        <w:r>
                          <w:rPr>
                            <w:rFonts w:hint="eastAsia"/>
                            <w:szCs w:val="21"/>
                          </w:rPr>
                          <w:t>应交税费</w:t>
                        </w:r>
                      </w:p>
                    </w:tc>
                  </w:sdtContent>
                </w:sdt>
                <w:tc>
                  <w:tcPr>
                    <w:tcW w:w="627" w:type="pct"/>
                    <w:tcBorders>
                      <w:top w:val="outset" w:sz="6" w:space="0" w:color="auto"/>
                      <w:left w:val="outset" w:sz="6" w:space="0" w:color="auto"/>
                      <w:bottom w:val="outset" w:sz="6" w:space="0" w:color="auto"/>
                      <w:right w:val="outset" w:sz="6" w:space="0" w:color="auto"/>
                    </w:tcBorders>
                  </w:tcPr>
                  <w:p w14:paraId="408F94FC" w14:textId="77777777" w:rsidR="00471D53" w:rsidRDefault="004F686E" w:rsidP="00471D53">
                    <w:pPr>
                      <w:rPr>
                        <w:szCs w:val="21"/>
                      </w:rPr>
                    </w:pPr>
                    <w:r>
                      <w:t>七、40</w:t>
                    </w:r>
                  </w:p>
                </w:tc>
                <w:tc>
                  <w:tcPr>
                    <w:tcW w:w="1411" w:type="pct"/>
                    <w:tcBorders>
                      <w:top w:val="outset" w:sz="6" w:space="0" w:color="auto"/>
                      <w:left w:val="outset" w:sz="6" w:space="0" w:color="auto"/>
                      <w:bottom w:val="outset" w:sz="6" w:space="0" w:color="auto"/>
                      <w:right w:val="outset" w:sz="6" w:space="0" w:color="auto"/>
                    </w:tcBorders>
                  </w:tcPr>
                  <w:p w14:paraId="5F5367AE" w14:textId="77777777" w:rsidR="00471D53" w:rsidRDefault="004F686E" w:rsidP="00471D53">
                    <w:pPr>
                      <w:jc w:val="right"/>
                      <w:rPr>
                        <w:szCs w:val="21"/>
                      </w:rPr>
                    </w:pPr>
                    <w:r>
                      <w:t>3,148,984.89</w:t>
                    </w:r>
                  </w:p>
                </w:tc>
                <w:tc>
                  <w:tcPr>
                    <w:tcW w:w="1333" w:type="pct"/>
                    <w:tcBorders>
                      <w:top w:val="outset" w:sz="6" w:space="0" w:color="auto"/>
                      <w:left w:val="outset" w:sz="6" w:space="0" w:color="auto"/>
                      <w:bottom w:val="outset" w:sz="6" w:space="0" w:color="auto"/>
                      <w:right w:val="outset" w:sz="6" w:space="0" w:color="auto"/>
                    </w:tcBorders>
                  </w:tcPr>
                  <w:p w14:paraId="1DBD59C7" w14:textId="77777777" w:rsidR="00471D53" w:rsidRDefault="004F686E" w:rsidP="00471D53">
                    <w:pPr>
                      <w:jc w:val="right"/>
                      <w:rPr>
                        <w:szCs w:val="21"/>
                      </w:rPr>
                    </w:pPr>
                    <w:r>
                      <w:t>6,720,070.38</w:t>
                    </w:r>
                  </w:p>
                </w:tc>
              </w:tr>
              <w:tr w:rsidR="00471D53" w14:paraId="328E2BD8" w14:textId="77777777" w:rsidTr="00471D53">
                <w:sdt>
                  <w:sdtPr>
                    <w:tag w:val="_PLD_f1bb75ef275f4cabafc790de2f817512"/>
                    <w:id w:val="209473717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486CB91" w14:textId="77777777" w:rsidR="00471D53" w:rsidRDefault="004F686E" w:rsidP="00471D53">
                        <w:pPr>
                          <w:ind w:firstLineChars="100" w:firstLine="210"/>
                          <w:rPr>
                            <w:szCs w:val="21"/>
                          </w:rPr>
                        </w:pPr>
                        <w:r>
                          <w:rPr>
                            <w:rFonts w:hint="eastAsia"/>
                            <w:szCs w:val="21"/>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14:paraId="195607E4" w14:textId="77777777" w:rsidR="00471D53" w:rsidRDefault="004F686E" w:rsidP="00471D53">
                    <w:pPr>
                      <w:rPr>
                        <w:szCs w:val="21"/>
                      </w:rPr>
                    </w:pPr>
                    <w:r>
                      <w:t>七、41</w:t>
                    </w:r>
                  </w:p>
                </w:tc>
                <w:tc>
                  <w:tcPr>
                    <w:tcW w:w="1411" w:type="pct"/>
                    <w:tcBorders>
                      <w:top w:val="outset" w:sz="6" w:space="0" w:color="auto"/>
                      <w:left w:val="outset" w:sz="6" w:space="0" w:color="auto"/>
                      <w:bottom w:val="outset" w:sz="6" w:space="0" w:color="auto"/>
                      <w:right w:val="outset" w:sz="6" w:space="0" w:color="auto"/>
                    </w:tcBorders>
                  </w:tcPr>
                  <w:p w14:paraId="14797525" w14:textId="77777777" w:rsidR="00471D53" w:rsidRDefault="004F686E" w:rsidP="00471D53">
                    <w:pPr>
                      <w:jc w:val="right"/>
                      <w:rPr>
                        <w:szCs w:val="21"/>
                      </w:rPr>
                    </w:pPr>
                    <w:r>
                      <w:t>22,040,189.30</w:t>
                    </w:r>
                  </w:p>
                </w:tc>
                <w:tc>
                  <w:tcPr>
                    <w:tcW w:w="1333" w:type="pct"/>
                    <w:tcBorders>
                      <w:top w:val="outset" w:sz="6" w:space="0" w:color="auto"/>
                      <w:left w:val="outset" w:sz="6" w:space="0" w:color="auto"/>
                      <w:bottom w:val="outset" w:sz="6" w:space="0" w:color="auto"/>
                      <w:right w:val="outset" w:sz="6" w:space="0" w:color="auto"/>
                    </w:tcBorders>
                  </w:tcPr>
                  <w:p w14:paraId="128FD294" w14:textId="77777777" w:rsidR="00471D53" w:rsidRDefault="004F686E" w:rsidP="00471D53">
                    <w:pPr>
                      <w:jc w:val="right"/>
                      <w:rPr>
                        <w:szCs w:val="21"/>
                      </w:rPr>
                    </w:pPr>
                    <w:r>
                      <w:t>45,176,375.13</w:t>
                    </w:r>
                  </w:p>
                </w:tc>
              </w:tr>
              <w:tr w:rsidR="00471D53" w14:paraId="446F42F4" w14:textId="77777777" w:rsidTr="00471D53">
                <w:sdt>
                  <w:sdtPr>
                    <w:tag w:val="_PLD_c2d9be160e384569b83c6b4fa8a1aa71"/>
                    <w:id w:val="-96188275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334BA2A" w14:textId="77777777" w:rsidR="00471D53" w:rsidRDefault="004F686E" w:rsidP="00471D53">
                        <w:pPr>
                          <w:ind w:firstLineChars="100" w:firstLine="210"/>
                          <w:rPr>
                            <w:szCs w:val="21"/>
                          </w:rPr>
                        </w:pPr>
                        <w:r>
                          <w:rPr>
                            <w:rFonts w:hint="eastAsia"/>
                          </w:rPr>
                          <w:t>其中：</w:t>
                        </w:r>
                        <w:r>
                          <w:rPr>
                            <w:rFonts w:hint="eastAsia"/>
                            <w:szCs w:val="21"/>
                          </w:rPr>
                          <w:t>应付利息</w:t>
                        </w:r>
                      </w:p>
                    </w:tc>
                  </w:sdtContent>
                </w:sdt>
                <w:tc>
                  <w:tcPr>
                    <w:tcW w:w="627" w:type="pct"/>
                    <w:tcBorders>
                      <w:top w:val="outset" w:sz="6" w:space="0" w:color="auto"/>
                      <w:left w:val="outset" w:sz="6" w:space="0" w:color="auto"/>
                      <w:bottom w:val="outset" w:sz="6" w:space="0" w:color="auto"/>
                      <w:right w:val="outset" w:sz="6" w:space="0" w:color="auto"/>
                    </w:tcBorders>
                  </w:tcPr>
                  <w:p w14:paraId="25924945"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78119CA7"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56B3A289" w14:textId="77777777" w:rsidR="00471D53" w:rsidRDefault="004F686E" w:rsidP="00471D53">
                    <w:pPr>
                      <w:jc w:val="right"/>
                      <w:rPr>
                        <w:szCs w:val="21"/>
                      </w:rPr>
                    </w:pPr>
                    <w:r>
                      <w:t>424,599.25</w:t>
                    </w:r>
                  </w:p>
                </w:tc>
              </w:tr>
              <w:tr w:rsidR="00471D53" w14:paraId="5A628F3D" w14:textId="77777777" w:rsidTr="00471D53">
                <w:sdt>
                  <w:sdtPr>
                    <w:tag w:val="_PLD_d687f45d03d4450780c80600a9c2e9d5"/>
                    <w:id w:val="-75003527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B6854AB" w14:textId="77777777" w:rsidR="00471D53" w:rsidRDefault="004F686E" w:rsidP="00471D53">
                        <w:pPr>
                          <w:ind w:firstLineChars="400" w:firstLine="840"/>
                          <w:rPr>
                            <w:szCs w:val="21"/>
                          </w:rPr>
                        </w:pPr>
                        <w:r>
                          <w:rPr>
                            <w:rFonts w:hint="eastAsia"/>
                            <w:szCs w:val="21"/>
                          </w:rPr>
                          <w:t>应付股利</w:t>
                        </w:r>
                      </w:p>
                    </w:tc>
                  </w:sdtContent>
                </w:sdt>
                <w:tc>
                  <w:tcPr>
                    <w:tcW w:w="627" w:type="pct"/>
                    <w:tcBorders>
                      <w:top w:val="outset" w:sz="6" w:space="0" w:color="auto"/>
                      <w:left w:val="outset" w:sz="6" w:space="0" w:color="auto"/>
                      <w:bottom w:val="outset" w:sz="6" w:space="0" w:color="auto"/>
                      <w:right w:val="outset" w:sz="6" w:space="0" w:color="auto"/>
                    </w:tcBorders>
                  </w:tcPr>
                  <w:p w14:paraId="2B350F2A"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2D939B05"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12AEE3B7" w14:textId="77777777" w:rsidR="00471D53" w:rsidRDefault="00B664AF" w:rsidP="00471D53">
                    <w:pPr>
                      <w:jc w:val="right"/>
                      <w:rPr>
                        <w:szCs w:val="21"/>
                      </w:rPr>
                    </w:pPr>
                  </w:p>
                </w:tc>
              </w:tr>
              <w:tr w:rsidR="00471D53" w14:paraId="34CD976D" w14:textId="77777777" w:rsidTr="00471D53">
                <w:sdt>
                  <w:sdtPr>
                    <w:tag w:val="_PLD_92ed0ec1441a49ed9ae726f88f149d23"/>
                    <w:id w:val="-26298880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21DF400" w14:textId="77777777" w:rsidR="00471D53" w:rsidRDefault="004F686E" w:rsidP="00471D53">
                        <w:pPr>
                          <w:ind w:firstLineChars="100" w:firstLine="210"/>
                          <w:rPr>
                            <w:szCs w:val="21"/>
                          </w:rPr>
                        </w:pPr>
                        <w:r>
                          <w:rPr>
                            <w:rFonts w:hint="eastAsia"/>
                            <w:szCs w:val="21"/>
                          </w:rPr>
                          <w:t>应付手续费及佣金</w:t>
                        </w:r>
                      </w:p>
                    </w:tc>
                  </w:sdtContent>
                </w:sdt>
                <w:tc>
                  <w:tcPr>
                    <w:tcW w:w="627" w:type="pct"/>
                    <w:tcBorders>
                      <w:top w:val="outset" w:sz="6" w:space="0" w:color="auto"/>
                      <w:left w:val="outset" w:sz="6" w:space="0" w:color="auto"/>
                      <w:bottom w:val="outset" w:sz="6" w:space="0" w:color="auto"/>
                      <w:right w:val="outset" w:sz="6" w:space="0" w:color="auto"/>
                    </w:tcBorders>
                  </w:tcPr>
                  <w:p w14:paraId="3BF778B6"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1FDEB676"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3E0A8643" w14:textId="77777777" w:rsidR="00471D53" w:rsidRDefault="00B664AF" w:rsidP="00471D53">
                    <w:pPr>
                      <w:jc w:val="right"/>
                      <w:rPr>
                        <w:szCs w:val="21"/>
                      </w:rPr>
                    </w:pPr>
                  </w:p>
                </w:tc>
              </w:tr>
              <w:tr w:rsidR="00471D53" w14:paraId="1DA7FDF7" w14:textId="77777777" w:rsidTr="00471D53">
                <w:sdt>
                  <w:sdtPr>
                    <w:tag w:val="_PLD_3cd74a6b00ca416da58e99206b2a6150"/>
                    <w:id w:val="195844188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E36F754" w14:textId="77777777" w:rsidR="00471D53" w:rsidRDefault="004F686E" w:rsidP="00471D53">
                        <w:pPr>
                          <w:ind w:firstLineChars="100" w:firstLine="210"/>
                          <w:rPr>
                            <w:szCs w:val="21"/>
                          </w:rPr>
                        </w:pPr>
                        <w:r>
                          <w:rPr>
                            <w:rFonts w:hint="eastAsia"/>
                            <w:szCs w:val="21"/>
                          </w:rPr>
                          <w:t>应付分保账款</w:t>
                        </w:r>
                      </w:p>
                    </w:tc>
                  </w:sdtContent>
                </w:sdt>
                <w:tc>
                  <w:tcPr>
                    <w:tcW w:w="627" w:type="pct"/>
                    <w:tcBorders>
                      <w:top w:val="outset" w:sz="6" w:space="0" w:color="auto"/>
                      <w:left w:val="outset" w:sz="6" w:space="0" w:color="auto"/>
                      <w:bottom w:val="outset" w:sz="6" w:space="0" w:color="auto"/>
                      <w:right w:val="outset" w:sz="6" w:space="0" w:color="auto"/>
                    </w:tcBorders>
                  </w:tcPr>
                  <w:p w14:paraId="6EB40C14"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0C405D0C"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1C3E50A1" w14:textId="77777777" w:rsidR="00471D53" w:rsidRDefault="00B664AF" w:rsidP="00471D53">
                    <w:pPr>
                      <w:jc w:val="right"/>
                      <w:rPr>
                        <w:szCs w:val="21"/>
                      </w:rPr>
                    </w:pPr>
                  </w:p>
                </w:tc>
              </w:tr>
              <w:tr w:rsidR="00471D53" w14:paraId="641AD9A6" w14:textId="77777777" w:rsidTr="00471D53">
                <w:sdt>
                  <w:sdtPr>
                    <w:tag w:val="_PLD_e2e76edca1004352bfa9fe9ea4f74480"/>
                    <w:id w:val="22349362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0C6BF87" w14:textId="77777777" w:rsidR="00471D53" w:rsidRDefault="004F686E" w:rsidP="00471D53">
                        <w:pPr>
                          <w:ind w:firstLineChars="100" w:firstLine="210"/>
                          <w:rPr>
                            <w:szCs w:val="21"/>
                          </w:rPr>
                        </w:pPr>
                        <w:r>
                          <w:rPr>
                            <w:rFonts w:hint="eastAsia"/>
                            <w:szCs w:val="21"/>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14:paraId="0181B979"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68B4F513"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012ADADC" w14:textId="77777777" w:rsidR="00471D53" w:rsidRDefault="00B664AF" w:rsidP="00471D53">
                    <w:pPr>
                      <w:jc w:val="right"/>
                      <w:rPr>
                        <w:szCs w:val="21"/>
                      </w:rPr>
                    </w:pPr>
                  </w:p>
                </w:tc>
              </w:tr>
              <w:tr w:rsidR="00471D53" w14:paraId="7F85074D" w14:textId="77777777" w:rsidTr="00471D53">
                <w:sdt>
                  <w:sdtPr>
                    <w:tag w:val="_PLD_3d84ac3419c14af1a70409a1e659bc33"/>
                    <w:id w:val="128669471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51CAA31" w14:textId="77777777" w:rsidR="00471D53" w:rsidRDefault="004F686E" w:rsidP="00471D53">
                        <w:pPr>
                          <w:ind w:firstLineChars="100" w:firstLine="210"/>
                          <w:rPr>
                            <w:szCs w:val="21"/>
                          </w:rPr>
                        </w:pPr>
                        <w:r>
                          <w:rPr>
                            <w:rFonts w:hint="eastAsia"/>
                            <w:szCs w:val="21"/>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14:paraId="35C251CB" w14:textId="77777777" w:rsidR="00471D53" w:rsidRDefault="004F686E" w:rsidP="00471D53">
                    <w:pPr>
                      <w:rPr>
                        <w:szCs w:val="21"/>
                      </w:rPr>
                    </w:pPr>
                    <w:r>
                      <w:t>七、43</w:t>
                    </w:r>
                  </w:p>
                </w:tc>
                <w:tc>
                  <w:tcPr>
                    <w:tcW w:w="1411" w:type="pct"/>
                    <w:tcBorders>
                      <w:top w:val="outset" w:sz="6" w:space="0" w:color="auto"/>
                      <w:left w:val="outset" w:sz="6" w:space="0" w:color="auto"/>
                      <w:bottom w:val="outset" w:sz="6" w:space="0" w:color="auto"/>
                      <w:right w:val="outset" w:sz="6" w:space="0" w:color="auto"/>
                    </w:tcBorders>
                  </w:tcPr>
                  <w:p w14:paraId="7AC8B222" w14:textId="77777777" w:rsidR="00471D53" w:rsidRPr="009840A0"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0066B6F2" w14:textId="77777777" w:rsidR="00471D53" w:rsidRDefault="004F686E" w:rsidP="00471D53">
                    <w:pPr>
                      <w:jc w:val="right"/>
                      <w:rPr>
                        <w:szCs w:val="21"/>
                      </w:rPr>
                    </w:pPr>
                    <w:r>
                      <w:t>15,540,454.46</w:t>
                    </w:r>
                  </w:p>
                </w:tc>
              </w:tr>
              <w:tr w:rsidR="00471D53" w14:paraId="44A3FB1A" w14:textId="77777777" w:rsidTr="00471D53">
                <w:sdt>
                  <w:sdtPr>
                    <w:tag w:val="_PLD_d98d6b8169c447a0bc0b1ae069d60a30"/>
                    <w:id w:val="52352502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D760751" w14:textId="77777777" w:rsidR="00471D53" w:rsidRDefault="004F686E" w:rsidP="00471D53">
                        <w:pPr>
                          <w:ind w:firstLineChars="100" w:firstLine="210"/>
                          <w:rPr>
                            <w:szCs w:val="21"/>
                          </w:rPr>
                        </w:pPr>
                        <w:r>
                          <w:rPr>
                            <w:rFonts w:hint="eastAsia"/>
                            <w:szCs w:val="21"/>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14:paraId="5CC742F9" w14:textId="77777777" w:rsidR="00471D53" w:rsidRDefault="004F686E" w:rsidP="00471D53">
                    <w:pPr>
                      <w:rPr>
                        <w:szCs w:val="21"/>
                      </w:rPr>
                    </w:pPr>
                    <w:r>
                      <w:t>七、44</w:t>
                    </w:r>
                  </w:p>
                </w:tc>
                <w:tc>
                  <w:tcPr>
                    <w:tcW w:w="1411" w:type="pct"/>
                    <w:tcBorders>
                      <w:top w:val="outset" w:sz="6" w:space="0" w:color="auto"/>
                      <w:left w:val="outset" w:sz="6" w:space="0" w:color="auto"/>
                      <w:bottom w:val="outset" w:sz="6" w:space="0" w:color="auto"/>
                      <w:right w:val="outset" w:sz="6" w:space="0" w:color="auto"/>
                    </w:tcBorders>
                  </w:tcPr>
                  <w:p w14:paraId="6361371A" w14:textId="77777777" w:rsidR="00471D53" w:rsidRDefault="004F686E" w:rsidP="00471D53">
                    <w:pPr>
                      <w:jc w:val="right"/>
                      <w:rPr>
                        <w:szCs w:val="21"/>
                      </w:rPr>
                    </w:pPr>
                    <w:r>
                      <w:t>4,157,447.04</w:t>
                    </w:r>
                  </w:p>
                </w:tc>
                <w:tc>
                  <w:tcPr>
                    <w:tcW w:w="1333" w:type="pct"/>
                    <w:tcBorders>
                      <w:top w:val="outset" w:sz="6" w:space="0" w:color="auto"/>
                      <w:left w:val="outset" w:sz="6" w:space="0" w:color="auto"/>
                      <w:bottom w:val="outset" w:sz="6" w:space="0" w:color="auto"/>
                      <w:right w:val="outset" w:sz="6" w:space="0" w:color="auto"/>
                    </w:tcBorders>
                  </w:tcPr>
                  <w:p w14:paraId="238BC8D3" w14:textId="77777777" w:rsidR="00471D53" w:rsidRDefault="004F686E" w:rsidP="00471D53">
                    <w:pPr>
                      <w:jc w:val="right"/>
                      <w:rPr>
                        <w:szCs w:val="21"/>
                      </w:rPr>
                    </w:pPr>
                    <w:r>
                      <w:t>8,472,856.14</w:t>
                    </w:r>
                  </w:p>
                </w:tc>
              </w:tr>
              <w:tr w:rsidR="00471D53" w14:paraId="3EDFA91D" w14:textId="77777777" w:rsidTr="00471D53">
                <w:sdt>
                  <w:sdtPr>
                    <w:tag w:val="_PLD_d6387f8c45ce4f8599c26d4b88544573"/>
                    <w:id w:val="27259763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1E4F3FA" w14:textId="77777777" w:rsidR="00471D53" w:rsidRDefault="004F686E" w:rsidP="00471D53">
                        <w:pPr>
                          <w:ind w:firstLineChars="200" w:firstLine="420"/>
                          <w:rPr>
                            <w:szCs w:val="21"/>
                          </w:rPr>
                        </w:pPr>
                        <w:r>
                          <w:rPr>
                            <w:rFonts w:hint="eastAsia"/>
                            <w:szCs w:val="21"/>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14:paraId="66A1BA6F"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657A2756" w14:textId="77777777" w:rsidR="00471D53" w:rsidRDefault="004F686E" w:rsidP="00471D53">
                    <w:pPr>
                      <w:jc w:val="right"/>
                      <w:rPr>
                        <w:szCs w:val="21"/>
                      </w:rPr>
                    </w:pPr>
                    <w:r>
                      <w:t>531,528,967.61</w:t>
                    </w:r>
                  </w:p>
                </w:tc>
                <w:tc>
                  <w:tcPr>
                    <w:tcW w:w="1333" w:type="pct"/>
                    <w:tcBorders>
                      <w:top w:val="outset" w:sz="6" w:space="0" w:color="auto"/>
                      <w:left w:val="outset" w:sz="6" w:space="0" w:color="auto"/>
                      <w:bottom w:val="outset" w:sz="6" w:space="0" w:color="auto"/>
                      <w:right w:val="outset" w:sz="6" w:space="0" w:color="auto"/>
                    </w:tcBorders>
                  </w:tcPr>
                  <w:p w14:paraId="1A44077B" w14:textId="77777777" w:rsidR="00471D53" w:rsidRDefault="004F686E" w:rsidP="00471D53">
                    <w:pPr>
                      <w:jc w:val="right"/>
                      <w:rPr>
                        <w:szCs w:val="21"/>
                      </w:rPr>
                    </w:pPr>
                    <w:r>
                      <w:t>647,255,381.52</w:t>
                    </w:r>
                  </w:p>
                </w:tc>
              </w:tr>
              <w:tr w:rsidR="00471D53" w14:paraId="58EA8EEC" w14:textId="77777777" w:rsidTr="00471D53">
                <w:sdt>
                  <w:sdtPr>
                    <w:tag w:val="_PLD_e92d79badc1945afbed8782cdacf599f"/>
                    <w:id w:val="-136096480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567968D" w14:textId="77777777" w:rsidR="00471D53" w:rsidRDefault="004F686E" w:rsidP="00471D53">
                        <w:pPr>
                          <w:rPr>
                            <w:szCs w:val="21"/>
                          </w:rPr>
                        </w:pPr>
                        <w:r>
                          <w:rPr>
                            <w:rFonts w:hint="eastAsia"/>
                            <w:b/>
                            <w:bCs/>
                            <w:szCs w:val="21"/>
                          </w:rPr>
                          <w:t>非流动负债：</w:t>
                        </w:r>
                      </w:p>
                    </w:tc>
                  </w:sdtContent>
                </w:sdt>
                <w:tc>
                  <w:tcPr>
                    <w:tcW w:w="627" w:type="pct"/>
                    <w:tcBorders>
                      <w:top w:val="outset" w:sz="6" w:space="0" w:color="auto"/>
                      <w:left w:val="outset" w:sz="6" w:space="0" w:color="auto"/>
                      <w:bottom w:val="outset" w:sz="6" w:space="0" w:color="auto"/>
                      <w:right w:val="outset" w:sz="6" w:space="0" w:color="auto"/>
                    </w:tcBorders>
                  </w:tcPr>
                  <w:p w14:paraId="1F4EBE3F"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2AE54304" w14:textId="77777777" w:rsidR="00471D53" w:rsidRDefault="00B664AF" w:rsidP="00471D53">
                    <w:pPr>
                      <w:ind w:right="210"/>
                      <w:jc w:val="right"/>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14:paraId="3848B8E9" w14:textId="77777777" w:rsidR="00471D53" w:rsidRDefault="00B664AF" w:rsidP="00471D53">
                    <w:pPr>
                      <w:jc w:val="right"/>
                      <w:rPr>
                        <w:color w:val="008000"/>
                        <w:szCs w:val="21"/>
                      </w:rPr>
                    </w:pPr>
                  </w:p>
                </w:tc>
              </w:tr>
              <w:tr w:rsidR="00471D53" w14:paraId="13640480" w14:textId="77777777" w:rsidTr="00471D53">
                <w:sdt>
                  <w:sdtPr>
                    <w:tag w:val="_PLD_4515eae7d3ee403aac2fdade1a6ff71a"/>
                    <w:id w:val="-81039554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979CA21" w14:textId="77777777" w:rsidR="00471D53" w:rsidRDefault="004F686E" w:rsidP="00471D53">
                        <w:pPr>
                          <w:ind w:firstLineChars="100" w:firstLine="210"/>
                          <w:rPr>
                            <w:szCs w:val="21"/>
                          </w:rPr>
                        </w:pPr>
                        <w:r>
                          <w:rPr>
                            <w:rFonts w:hint="eastAsia"/>
                            <w:szCs w:val="21"/>
                          </w:rPr>
                          <w:t>保险合同准备金</w:t>
                        </w:r>
                      </w:p>
                    </w:tc>
                  </w:sdtContent>
                </w:sdt>
                <w:tc>
                  <w:tcPr>
                    <w:tcW w:w="627" w:type="pct"/>
                    <w:tcBorders>
                      <w:top w:val="outset" w:sz="6" w:space="0" w:color="auto"/>
                      <w:left w:val="outset" w:sz="6" w:space="0" w:color="auto"/>
                      <w:bottom w:val="outset" w:sz="6" w:space="0" w:color="auto"/>
                      <w:right w:val="outset" w:sz="6" w:space="0" w:color="auto"/>
                    </w:tcBorders>
                  </w:tcPr>
                  <w:p w14:paraId="5A9BAE25"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217495BD"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10A13467" w14:textId="77777777" w:rsidR="00471D53" w:rsidRDefault="00B664AF" w:rsidP="00471D53">
                    <w:pPr>
                      <w:jc w:val="right"/>
                      <w:rPr>
                        <w:szCs w:val="21"/>
                      </w:rPr>
                    </w:pPr>
                  </w:p>
                </w:tc>
              </w:tr>
              <w:tr w:rsidR="00471D53" w14:paraId="1370A32C" w14:textId="77777777" w:rsidTr="00471D53">
                <w:sdt>
                  <w:sdtPr>
                    <w:tag w:val="_PLD_0b8d7682584443f4bae26e2ed50f8040"/>
                    <w:id w:val="-49602954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F0D5500" w14:textId="77777777" w:rsidR="00471D53" w:rsidRDefault="004F686E" w:rsidP="00471D53">
                        <w:pPr>
                          <w:ind w:firstLineChars="100" w:firstLine="210"/>
                          <w:rPr>
                            <w:szCs w:val="21"/>
                          </w:rPr>
                        </w:pPr>
                        <w:r>
                          <w:rPr>
                            <w:rFonts w:hint="eastAsia"/>
                            <w:szCs w:val="21"/>
                          </w:rPr>
                          <w:t>长期借款</w:t>
                        </w:r>
                      </w:p>
                    </w:tc>
                  </w:sdtContent>
                </w:sdt>
                <w:tc>
                  <w:tcPr>
                    <w:tcW w:w="627" w:type="pct"/>
                    <w:tcBorders>
                      <w:top w:val="outset" w:sz="6" w:space="0" w:color="auto"/>
                      <w:left w:val="outset" w:sz="6" w:space="0" w:color="auto"/>
                      <w:bottom w:val="outset" w:sz="6" w:space="0" w:color="auto"/>
                      <w:right w:val="outset" w:sz="6" w:space="0" w:color="auto"/>
                    </w:tcBorders>
                  </w:tcPr>
                  <w:p w14:paraId="26CC06B8" w14:textId="77777777" w:rsidR="00471D53" w:rsidRDefault="004F686E" w:rsidP="00471D53">
                    <w:pPr>
                      <w:rPr>
                        <w:szCs w:val="21"/>
                      </w:rPr>
                    </w:pPr>
                    <w:r>
                      <w:t>七、45</w:t>
                    </w:r>
                  </w:p>
                </w:tc>
                <w:tc>
                  <w:tcPr>
                    <w:tcW w:w="1411" w:type="pct"/>
                    <w:tcBorders>
                      <w:top w:val="outset" w:sz="6" w:space="0" w:color="auto"/>
                      <w:left w:val="outset" w:sz="6" w:space="0" w:color="auto"/>
                      <w:bottom w:val="outset" w:sz="6" w:space="0" w:color="auto"/>
                      <w:right w:val="outset" w:sz="6" w:space="0" w:color="auto"/>
                    </w:tcBorders>
                  </w:tcPr>
                  <w:p w14:paraId="7C2A8FE4"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07DF0FDF" w14:textId="77777777" w:rsidR="00471D53" w:rsidRDefault="004F686E" w:rsidP="00471D53">
                    <w:pPr>
                      <w:jc w:val="right"/>
                      <w:rPr>
                        <w:szCs w:val="21"/>
                      </w:rPr>
                    </w:pPr>
                    <w:r>
                      <w:t>1,154,907.30</w:t>
                    </w:r>
                  </w:p>
                </w:tc>
              </w:tr>
              <w:tr w:rsidR="00471D53" w14:paraId="134B8368" w14:textId="77777777" w:rsidTr="00471D53">
                <w:sdt>
                  <w:sdtPr>
                    <w:tag w:val="_PLD_21503c6281dc48d19440b9f16f150ec0"/>
                    <w:id w:val="6130739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3309B8F" w14:textId="77777777" w:rsidR="00471D53" w:rsidRDefault="004F686E" w:rsidP="00471D53">
                        <w:pPr>
                          <w:ind w:firstLineChars="100" w:firstLine="210"/>
                          <w:rPr>
                            <w:szCs w:val="21"/>
                          </w:rPr>
                        </w:pPr>
                        <w:r>
                          <w:rPr>
                            <w:rFonts w:hint="eastAsia"/>
                            <w:szCs w:val="21"/>
                          </w:rPr>
                          <w:t>应付债券</w:t>
                        </w:r>
                      </w:p>
                    </w:tc>
                  </w:sdtContent>
                </w:sdt>
                <w:tc>
                  <w:tcPr>
                    <w:tcW w:w="627" w:type="pct"/>
                    <w:tcBorders>
                      <w:top w:val="outset" w:sz="6" w:space="0" w:color="auto"/>
                      <w:left w:val="outset" w:sz="6" w:space="0" w:color="auto"/>
                      <w:bottom w:val="outset" w:sz="6" w:space="0" w:color="auto"/>
                      <w:right w:val="outset" w:sz="6" w:space="0" w:color="auto"/>
                    </w:tcBorders>
                  </w:tcPr>
                  <w:p w14:paraId="0C2AEBD6"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65A61FB8"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311BD1C7" w14:textId="77777777" w:rsidR="00471D53" w:rsidRDefault="00B664AF" w:rsidP="00471D53">
                    <w:pPr>
                      <w:jc w:val="right"/>
                      <w:rPr>
                        <w:szCs w:val="21"/>
                      </w:rPr>
                    </w:pPr>
                  </w:p>
                </w:tc>
              </w:tr>
              <w:tr w:rsidR="00471D53" w14:paraId="3EA35792" w14:textId="77777777" w:rsidTr="00471D53">
                <w:sdt>
                  <w:sdtPr>
                    <w:tag w:val="_PLD_cfeff2e31a4d4689842e8f9ce5e8b342"/>
                    <w:id w:val="-164094755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2FCE487" w14:textId="77777777" w:rsidR="00471D53" w:rsidRDefault="004F686E" w:rsidP="00471D53">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14:paraId="2EB50873"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7211E69C"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33C8EFC6" w14:textId="77777777" w:rsidR="00471D53" w:rsidRDefault="00B664AF" w:rsidP="00471D53">
                    <w:pPr>
                      <w:jc w:val="right"/>
                      <w:rPr>
                        <w:szCs w:val="21"/>
                      </w:rPr>
                    </w:pPr>
                  </w:p>
                </w:tc>
              </w:tr>
              <w:tr w:rsidR="00471D53" w14:paraId="244071CC" w14:textId="77777777" w:rsidTr="00471D53">
                <w:sdt>
                  <w:sdtPr>
                    <w:tag w:val="_PLD_36b6cba673904261afdd80fbfbf5d1b4"/>
                    <w:id w:val="-183767887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B63514F" w14:textId="77777777" w:rsidR="00471D53" w:rsidRDefault="004F686E" w:rsidP="00471D53">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14:paraId="057994A1"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2447A0E2"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6AF3C103" w14:textId="77777777" w:rsidR="00471D53" w:rsidRDefault="00B664AF" w:rsidP="00471D53">
                    <w:pPr>
                      <w:jc w:val="right"/>
                      <w:rPr>
                        <w:szCs w:val="21"/>
                      </w:rPr>
                    </w:pPr>
                  </w:p>
                </w:tc>
              </w:tr>
              <w:tr w:rsidR="00471D53" w14:paraId="12573CDC" w14:textId="77777777" w:rsidTr="00471D53">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5f24a143dea468283877b9adfce049b"/>
                      <w:id w:val="-649905608"/>
                      <w:lock w:val="sdtLocked"/>
                    </w:sdtPr>
                    <w:sdtEndPr/>
                    <w:sdtContent>
                      <w:p w14:paraId="575A738D" w14:textId="77777777" w:rsidR="00471D53" w:rsidRDefault="004F686E" w:rsidP="00471D53">
                        <w:pPr>
                          <w:ind w:firstLineChars="100" w:firstLine="210"/>
                        </w:pPr>
                        <w:r>
                          <w:rPr>
                            <w:rFonts w:hint="eastAsia"/>
                          </w:rPr>
                          <w:t>租赁负债</w:t>
                        </w:r>
                      </w:p>
                    </w:sdtContent>
                  </w:sdt>
                </w:tc>
                <w:tc>
                  <w:tcPr>
                    <w:tcW w:w="627" w:type="pct"/>
                    <w:tcBorders>
                      <w:top w:val="outset" w:sz="6" w:space="0" w:color="auto"/>
                      <w:left w:val="outset" w:sz="6" w:space="0" w:color="auto"/>
                      <w:bottom w:val="outset" w:sz="6" w:space="0" w:color="auto"/>
                      <w:right w:val="outset" w:sz="6" w:space="0" w:color="auto"/>
                    </w:tcBorders>
                  </w:tcPr>
                  <w:p w14:paraId="6041E1BF"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5A7E3F84"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385790B5" w14:textId="77777777" w:rsidR="00471D53" w:rsidRDefault="00B664AF" w:rsidP="00471D53">
                    <w:pPr>
                      <w:jc w:val="right"/>
                      <w:rPr>
                        <w:szCs w:val="21"/>
                      </w:rPr>
                    </w:pPr>
                  </w:p>
                </w:tc>
              </w:tr>
              <w:tr w:rsidR="00471D53" w14:paraId="04ACB3D7" w14:textId="77777777" w:rsidTr="00471D53">
                <w:sdt>
                  <w:sdtPr>
                    <w:tag w:val="_PLD_e7eb803a0fb248e2b8805e67dbe2336f"/>
                    <w:id w:val="-91940608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7C673E0" w14:textId="77777777" w:rsidR="00471D53" w:rsidRDefault="004F686E" w:rsidP="00471D53">
                        <w:pPr>
                          <w:ind w:firstLineChars="100" w:firstLine="210"/>
                          <w:rPr>
                            <w:szCs w:val="21"/>
                          </w:rPr>
                        </w:pPr>
                        <w:r>
                          <w:rPr>
                            <w:rFonts w:hint="eastAsia"/>
                            <w:szCs w:val="21"/>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14:paraId="10648711" w14:textId="77777777" w:rsidR="00471D53" w:rsidRDefault="004F686E" w:rsidP="00471D53">
                    <w:pPr>
                      <w:rPr>
                        <w:szCs w:val="21"/>
                      </w:rPr>
                    </w:pPr>
                    <w:r>
                      <w:t>七、48</w:t>
                    </w:r>
                  </w:p>
                </w:tc>
                <w:tc>
                  <w:tcPr>
                    <w:tcW w:w="1411" w:type="pct"/>
                    <w:tcBorders>
                      <w:top w:val="outset" w:sz="6" w:space="0" w:color="auto"/>
                      <w:left w:val="outset" w:sz="6" w:space="0" w:color="auto"/>
                      <w:bottom w:val="outset" w:sz="6" w:space="0" w:color="auto"/>
                      <w:right w:val="outset" w:sz="6" w:space="0" w:color="auto"/>
                    </w:tcBorders>
                  </w:tcPr>
                  <w:p w14:paraId="7B9E48B3" w14:textId="77777777" w:rsidR="00471D53" w:rsidRDefault="004F686E" w:rsidP="00471D53">
                    <w:pPr>
                      <w:jc w:val="right"/>
                      <w:rPr>
                        <w:szCs w:val="21"/>
                      </w:rPr>
                    </w:pPr>
                    <w:r>
                      <w:t>7,000,000.00</w:t>
                    </w:r>
                  </w:p>
                </w:tc>
                <w:tc>
                  <w:tcPr>
                    <w:tcW w:w="1333" w:type="pct"/>
                    <w:tcBorders>
                      <w:top w:val="outset" w:sz="6" w:space="0" w:color="auto"/>
                      <w:left w:val="outset" w:sz="6" w:space="0" w:color="auto"/>
                      <w:bottom w:val="outset" w:sz="6" w:space="0" w:color="auto"/>
                      <w:right w:val="outset" w:sz="6" w:space="0" w:color="auto"/>
                    </w:tcBorders>
                  </w:tcPr>
                  <w:p w14:paraId="0257FDB5" w14:textId="77777777" w:rsidR="00471D53" w:rsidRDefault="004F686E" w:rsidP="00471D53">
                    <w:pPr>
                      <w:jc w:val="right"/>
                      <w:rPr>
                        <w:szCs w:val="21"/>
                      </w:rPr>
                    </w:pPr>
                    <w:r>
                      <w:t>10,000,000.00</w:t>
                    </w:r>
                  </w:p>
                </w:tc>
              </w:tr>
              <w:tr w:rsidR="00471D53" w14:paraId="5830FDBF" w14:textId="77777777" w:rsidTr="00471D53">
                <w:sdt>
                  <w:sdtPr>
                    <w:tag w:val="_PLD_5eafba3923544dfc81be450ef6e000ee"/>
                    <w:id w:val="-8161216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07C0397" w14:textId="77777777" w:rsidR="00471D53" w:rsidRDefault="004F686E" w:rsidP="00471D53">
                        <w:pPr>
                          <w:ind w:firstLineChars="100" w:firstLine="210"/>
                          <w:rPr>
                            <w:szCs w:val="21"/>
                          </w:rPr>
                        </w:pPr>
                        <w:r>
                          <w:rPr>
                            <w:rFonts w:hint="eastAsia"/>
                            <w:szCs w:val="21"/>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14:paraId="68445986" w14:textId="77777777" w:rsidR="00471D53" w:rsidRDefault="004F686E" w:rsidP="00471D53">
                    <w:pPr>
                      <w:rPr>
                        <w:szCs w:val="21"/>
                      </w:rPr>
                    </w:pPr>
                    <w:r>
                      <w:t>七、49</w:t>
                    </w:r>
                  </w:p>
                </w:tc>
                <w:tc>
                  <w:tcPr>
                    <w:tcW w:w="1411" w:type="pct"/>
                    <w:tcBorders>
                      <w:top w:val="outset" w:sz="6" w:space="0" w:color="auto"/>
                      <w:left w:val="outset" w:sz="6" w:space="0" w:color="auto"/>
                      <w:bottom w:val="outset" w:sz="6" w:space="0" w:color="auto"/>
                      <w:right w:val="outset" w:sz="6" w:space="0" w:color="auto"/>
                    </w:tcBorders>
                  </w:tcPr>
                  <w:p w14:paraId="212B5667" w14:textId="77777777" w:rsidR="00471D53" w:rsidRDefault="004F686E" w:rsidP="00471D53">
                    <w:pPr>
                      <w:jc w:val="right"/>
                      <w:rPr>
                        <w:szCs w:val="21"/>
                      </w:rPr>
                    </w:pPr>
                    <w:r>
                      <w:t>28,991,298.85</w:t>
                    </w:r>
                  </w:p>
                </w:tc>
                <w:tc>
                  <w:tcPr>
                    <w:tcW w:w="1333" w:type="pct"/>
                    <w:tcBorders>
                      <w:top w:val="outset" w:sz="6" w:space="0" w:color="auto"/>
                      <w:left w:val="outset" w:sz="6" w:space="0" w:color="auto"/>
                      <w:bottom w:val="outset" w:sz="6" w:space="0" w:color="auto"/>
                      <w:right w:val="outset" w:sz="6" w:space="0" w:color="auto"/>
                    </w:tcBorders>
                  </w:tcPr>
                  <w:p w14:paraId="169E7667" w14:textId="77777777" w:rsidR="00471D53" w:rsidRDefault="004F686E" w:rsidP="00471D53">
                    <w:pPr>
                      <w:jc w:val="right"/>
                      <w:rPr>
                        <w:szCs w:val="21"/>
                      </w:rPr>
                    </w:pPr>
                    <w:r>
                      <w:t>28,206,118.61</w:t>
                    </w:r>
                  </w:p>
                </w:tc>
              </w:tr>
              <w:tr w:rsidR="00471D53" w14:paraId="04298C6D" w14:textId="77777777" w:rsidTr="00471D53">
                <w:sdt>
                  <w:sdtPr>
                    <w:tag w:val="_PLD_ed2d2511d3684ed0ac593049a3abc203"/>
                    <w:id w:val="162688722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A83684B" w14:textId="77777777" w:rsidR="00471D53" w:rsidRDefault="004F686E" w:rsidP="00471D53">
                        <w:pPr>
                          <w:ind w:firstLineChars="100" w:firstLine="210"/>
                          <w:rPr>
                            <w:szCs w:val="21"/>
                          </w:rPr>
                        </w:pPr>
                        <w:r>
                          <w:rPr>
                            <w:rFonts w:hint="eastAsia"/>
                            <w:szCs w:val="21"/>
                          </w:rPr>
                          <w:t>预计负债</w:t>
                        </w:r>
                      </w:p>
                    </w:tc>
                  </w:sdtContent>
                </w:sdt>
                <w:tc>
                  <w:tcPr>
                    <w:tcW w:w="627" w:type="pct"/>
                    <w:tcBorders>
                      <w:top w:val="outset" w:sz="6" w:space="0" w:color="auto"/>
                      <w:left w:val="outset" w:sz="6" w:space="0" w:color="auto"/>
                      <w:bottom w:val="outset" w:sz="6" w:space="0" w:color="auto"/>
                      <w:right w:val="outset" w:sz="6" w:space="0" w:color="auto"/>
                    </w:tcBorders>
                  </w:tcPr>
                  <w:p w14:paraId="486ED728" w14:textId="77777777" w:rsidR="00471D53" w:rsidRDefault="004F686E" w:rsidP="00471D53">
                    <w:pPr>
                      <w:rPr>
                        <w:szCs w:val="21"/>
                      </w:rPr>
                    </w:pPr>
                    <w:r>
                      <w:t>七、50</w:t>
                    </w:r>
                  </w:p>
                </w:tc>
                <w:tc>
                  <w:tcPr>
                    <w:tcW w:w="1411" w:type="pct"/>
                    <w:tcBorders>
                      <w:top w:val="outset" w:sz="6" w:space="0" w:color="auto"/>
                      <w:left w:val="outset" w:sz="6" w:space="0" w:color="auto"/>
                      <w:bottom w:val="outset" w:sz="6" w:space="0" w:color="auto"/>
                      <w:right w:val="outset" w:sz="6" w:space="0" w:color="auto"/>
                    </w:tcBorders>
                  </w:tcPr>
                  <w:p w14:paraId="5F40FAF0" w14:textId="77777777" w:rsidR="00471D53" w:rsidRDefault="004F686E" w:rsidP="00471D53">
                    <w:pPr>
                      <w:jc w:val="right"/>
                      <w:rPr>
                        <w:szCs w:val="21"/>
                      </w:rPr>
                    </w:pPr>
                    <w:r>
                      <w:t>11,197,893.84</w:t>
                    </w:r>
                  </w:p>
                </w:tc>
                <w:tc>
                  <w:tcPr>
                    <w:tcW w:w="1333" w:type="pct"/>
                    <w:tcBorders>
                      <w:top w:val="outset" w:sz="6" w:space="0" w:color="auto"/>
                      <w:left w:val="outset" w:sz="6" w:space="0" w:color="auto"/>
                      <w:bottom w:val="outset" w:sz="6" w:space="0" w:color="auto"/>
                      <w:right w:val="outset" w:sz="6" w:space="0" w:color="auto"/>
                    </w:tcBorders>
                  </w:tcPr>
                  <w:p w14:paraId="5AE7A81F" w14:textId="77777777" w:rsidR="00471D53" w:rsidRDefault="004F686E" w:rsidP="00471D53">
                    <w:pPr>
                      <w:jc w:val="right"/>
                      <w:rPr>
                        <w:szCs w:val="21"/>
                      </w:rPr>
                    </w:pPr>
                    <w:r>
                      <w:t>11,197,893.84</w:t>
                    </w:r>
                  </w:p>
                </w:tc>
              </w:tr>
              <w:tr w:rsidR="00471D53" w14:paraId="0A651DF4" w14:textId="77777777" w:rsidTr="00471D53">
                <w:sdt>
                  <w:sdtPr>
                    <w:tag w:val="_PLD_ee1b0ee29ae24aa09d29da2690e141a2"/>
                    <w:id w:val="-57250424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8FCD8EF" w14:textId="77777777" w:rsidR="00471D53" w:rsidRDefault="004F686E" w:rsidP="00471D53">
                        <w:pPr>
                          <w:ind w:firstLineChars="100" w:firstLine="210"/>
                          <w:rPr>
                            <w:szCs w:val="21"/>
                          </w:rPr>
                        </w:pPr>
                        <w:r>
                          <w:rPr>
                            <w:rFonts w:hint="eastAsia"/>
                            <w:szCs w:val="21"/>
                          </w:rPr>
                          <w:t>递延收益</w:t>
                        </w:r>
                      </w:p>
                    </w:tc>
                  </w:sdtContent>
                </w:sdt>
                <w:tc>
                  <w:tcPr>
                    <w:tcW w:w="627" w:type="pct"/>
                    <w:tcBorders>
                      <w:top w:val="outset" w:sz="6" w:space="0" w:color="auto"/>
                      <w:left w:val="outset" w:sz="6" w:space="0" w:color="auto"/>
                      <w:bottom w:val="outset" w:sz="6" w:space="0" w:color="auto"/>
                      <w:right w:val="outset" w:sz="6" w:space="0" w:color="auto"/>
                    </w:tcBorders>
                  </w:tcPr>
                  <w:p w14:paraId="7272CC1F" w14:textId="77777777" w:rsidR="00471D53" w:rsidRDefault="004F686E" w:rsidP="00471D53">
                    <w:pPr>
                      <w:rPr>
                        <w:szCs w:val="21"/>
                      </w:rPr>
                    </w:pPr>
                    <w:r>
                      <w:t>七、51</w:t>
                    </w:r>
                  </w:p>
                </w:tc>
                <w:tc>
                  <w:tcPr>
                    <w:tcW w:w="1411" w:type="pct"/>
                    <w:tcBorders>
                      <w:top w:val="outset" w:sz="6" w:space="0" w:color="auto"/>
                      <w:left w:val="outset" w:sz="6" w:space="0" w:color="auto"/>
                      <w:bottom w:val="outset" w:sz="6" w:space="0" w:color="auto"/>
                      <w:right w:val="outset" w:sz="6" w:space="0" w:color="auto"/>
                    </w:tcBorders>
                  </w:tcPr>
                  <w:p w14:paraId="390DAE6F" w14:textId="77777777" w:rsidR="00471D53" w:rsidRDefault="004F686E" w:rsidP="00471D53">
                    <w:pPr>
                      <w:jc w:val="right"/>
                      <w:rPr>
                        <w:szCs w:val="21"/>
                      </w:rPr>
                    </w:pPr>
                    <w:r>
                      <w:t>5,461,983.05</w:t>
                    </w:r>
                  </w:p>
                </w:tc>
                <w:tc>
                  <w:tcPr>
                    <w:tcW w:w="1333" w:type="pct"/>
                    <w:tcBorders>
                      <w:top w:val="outset" w:sz="6" w:space="0" w:color="auto"/>
                      <w:left w:val="outset" w:sz="6" w:space="0" w:color="auto"/>
                      <w:bottom w:val="outset" w:sz="6" w:space="0" w:color="auto"/>
                      <w:right w:val="outset" w:sz="6" w:space="0" w:color="auto"/>
                    </w:tcBorders>
                  </w:tcPr>
                  <w:p w14:paraId="5CE9A4D3" w14:textId="77777777" w:rsidR="00471D53" w:rsidRDefault="004F686E" w:rsidP="00471D53">
                    <w:pPr>
                      <w:jc w:val="right"/>
                      <w:rPr>
                        <w:szCs w:val="21"/>
                      </w:rPr>
                    </w:pPr>
                    <w:r>
                      <w:t>6,011,627.67</w:t>
                    </w:r>
                  </w:p>
                </w:tc>
              </w:tr>
              <w:tr w:rsidR="00471D53" w14:paraId="215C58B3" w14:textId="77777777" w:rsidTr="00471D53">
                <w:sdt>
                  <w:sdtPr>
                    <w:tag w:val="_PLD_f6e51ce85b734d1984a9495c17250c42"/>
                    <w:id w:val="-58716055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43AD14F" w14:textId="77777777" w:rsidR="00471D53" w:rsidRDefault="004F686E" w:rsidP="00471D53">
                        <w:pPr>
                          <w:ind w:firstLineChars="100" w:firstLine="210"/>
                          <w:rPr>
                            <w:szCs w:val="21"/>
                          </w:rPr>
                        </w:pPr>
                        <w:r>
                          <w:rPr>
                            <w:rFonts w:hint="eastAsia"/>
                            <w:szCs w:val="21"/>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14:paraId="6BFE388A"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12CBF2DB"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3530849D" w14:textId="77777777" w:rsidR="00471D53" w:rsidRDefault="00B664AF" w:rsidP="00471D53">
                    <w:pPr>
                      <w:jc w:val="right"/>
                      <w:rPr>
                        <w:szCs w:val="21"/>
                      </w:rPr>
                    </w:pPr>
                  </w:p>
                </w:tc>
              </w:tr>
              <w:tr w:rsidR="00471D53" w14:paraId="58D3B6DC" w14:textId="77777777" w:rsidTr="00471D53">
                <w:sdt>
                  <w:sdtPr>
                    <w:tag w:val="_PLD_4811ce5907e64a868d871af763ddc347"/>
                    <w:id w:val="171631094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EC38073" w14:textId="77777777" w:rsidR="00471D53" w:rsidRDefault="004F686E" w:rsidP="00471D53">
                        <w:pPr>
                          <w:ind w:firstLineChars="100" w:firstLine="210"/>
                          <w:rPr>
                            <w:szCs w:val="21"/>
                          </w:rPr>
                        </w:pPr>
                        <w:r>
                          <w:rPr>
                            <w:rFonts w:hint="eastAsia"/>
                            <w:szCs w:val="21"/>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14:paraId="60E6A164"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0ACA5C9D"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104F9A00" w14:textId="77777777" w:rsidR="00471D53" w:rsidRDefault="00B664AF" w:rsidP="00471D53">
                    <w:pPr>
                      <w:jc w:val="right"/>
                      <w:rPr>
                        <w:szCs w:val="21"/>
                      </w:rPr>
                    </w:pPr>
                  </w:p>
                </w:tc>
              </w:tr>
              <w:tr w:rsidR="00471D53" w14:paraId="40921C93" w14:textId="77777777" w:rsidTr="00471D53">
                <w:sdt>
                  <w:sdtPr>
                    <w:tag w:val="_PLD_9a037ee272c84e11aebdce23c3e2fab7"/>
                    <w:id w:val="-61065832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D1AECFD" w14:textId="77777777" w:rsidR="00471D53" w:rsidRDefault="004F686E" w:rsidP="00471D53">
                        <w:pPr>
                          <w:ind w:firstLineChars="200" w:firstLine="420"/>
                          <w:rPr>
                            <w:szCs w:val="21"/>
                          </w:rPr>
                        </w:pPr>
                        <w:r>
                          <w:rPr>
                            <w:rFonts w:hint="eastAsia"/>
                            <w:szCs w:val="21"/>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14:paraId="2AB5AAE8"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166A613F" w14:textId="77777777" w:rsidR="00471D53" w:rsidRDefault="004F686E" w:rsidP="00471D53">
                    <w:pPr>
                      <w:jc w:val="right"/>
                      <w:rPr>
                        <w:szCs w:val="21"/>
                      </w:rPr>
                    </w:pPr>
                    <w:r>
                      <w:t>52,651,175.74</w:t>
                    </w:r>
                  </w:p>
                </w:tc>
                <w:tc>
                  <w:tcPr>
                    <w:tcW w:w="1333" w:type="pct"/>
                    <w:tcBorders>
                      <w:top w:val="outset" w:sz="6" w:space="0" w:color="auto"/>
                      <w:left w:val="outset" w:sz="6" w:space="0" w:color="auto"/>
                      <w:bottom w:val="outset" w:sz="6" w:space="0" w:color="auto"/>
                      <w:right w:val="outset" w:sz="6" w:space="0" w:color="auto"/>
                    </w:tcBorders>
                  </w:tcPr>
                  <w:p w14:paraId="0A2174FF" w14:textId="77777777" w:rsidR="00471D53" w:rsidRDefault="004F686E" w:rsidP="00471D53">
                    <w:pPr>
                      <w:jc w:val="right"/>
                      <w:rPr>
                        <w:szCs w:val="21"/>
                      </w:rPr>
                    </w:pPr>
                    <w:r>
                      <w:t>56,570,547.42</w:t>
                    </w:r>
                  </w:p>
                </w:tc>
              </w:tr>
              <w:tr w:rsidR="00471D53" w14:paraId="0297A719" w14:textId="77777777" w:rsidTr="00471D53">
                <w:sdt>
                  <w:sdtPr>
                    <w:tag w:val="_PLD_233108162bf84d59baba5ef73da9dcd0"/>
                    <w:id w:val="214592643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05F073F" w14:textId="77777777" w:rsidR="00471D53" w:rsidRDefault="004F686E" w:rsidP="00471D53">
                        <w:pPr>
                          <w:ind w:firstLineChars="300" w:firstLine="630"/>
                          <w:rPr>
                            <w:szCs w:val="21"/>
                          </w:rPr>
                        </w:pPr>
                        <w:r>
                          <w:rPr>
                            <w:rFonts w:hint="eastAsia"/>
                            <w:szCs w:val="21"/>
                          </w:rPr>
                          <w:t>负债合计</w:t>
                        </w:r>
                      </w:p>
                    </w:tc>
                  </w:sdtContent>
                </w:sdt>
                <w:tc>
                  <w:tcPr>
                    <w:tcW w:w="627" w:type="pct"/>
                    <w:tcBorders>
                      <w:top w:val="outset" w:sz="6" w:space="0" w:color="auto"/>
                      <w:left w:val="outset" w:sz="6" w:space="0" w:color="auto"/>
                      <w:bottom w:val="outset" w:sz="6" w:space="0" w:color="auto"/>
                      <w:right w:val="outset" w:sz="6" w:space="0" w:color="auto"/>
                    </w:tcBorders>
                  </w:tcPr>
                  <w:p w14:paraId="24A1DD97"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70BEC2CB" w14:textId="77777777" w:rsidR="00471D53" w:rsidRDefault="004F686E" w:rsidP="00471D53">
                    <w:pPr>
                      <w:jc w:val="right"/>
                      <w:rPr>
                        <w:szCs w:val="21"/>
                      </w:rPr>
                    </w:pPr>
                    <w:r>
                      <w:t>584,180,143.35</w:t>
                    </w:r>
                  </w:p>
                </w:tc>
                <w:tc>
                  <w:tcPr>
                    <w:tcW w:w="1333" w:type="pct"/>
                    <w:tcBorders>
                      <w:top w:val="outset" w:sz="6" w:space="0" w:color="auto"/>
                      <w:left w:val="outset" w:sz="6" w:space="0" w:color="auto"/>
                      <w:bottom w:val="outset" w:sz="6" w:space="0" w:color="auto"/>
                      <w:right w:val="outset" w:sz="6" w:space="0" w:color="auto"/>
                    </w:tcBorders>
                  </w:tcPr>
                  <w:p w14:paraId="6143D6E3" w14:textId="77777777" w:rsidR="00471D53" w:rsidRDefault="004F686E" w:rsidP="00471D53">
                    <w:pPr>
                      <w:jc w:val="right"/>
                      <w:rPr>
                        <w:szCs w:val="21"/>
                      </w:rPr>
                    </w:pPr>
                    <w:r>
                      <w:t>703,825,928.94</w:t>
                    </w:r>
                  </w:p>
                </w:tc>
              </w:tr>
              <w:tr w:rsidR="00471D53" w14:paraId="2DA1ACF5" w14:textId="77777777" w:rsidTr="00471D53">
                <w:sdt>
                  <w:sdtPr>
                    <w:tag w:val="_PLD_4fe68479676b4c8c840de2211f0c67b8"/>
                    <w:id w:val="143077020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EF21B63" w14:textId="77777777" w:rsidR="00471D53" w:rsidRDefault="004F686E" w:rsidP="00471D53">
                        <w:pPr>
                          <w:rPr>
                            <w:szCs w:val="21"/>
                          </w:rPr>
                        </w:pPr>
                        <w:r>
                          <w:rPr>
                            <w:rFonts w:hint="eastAsia"/>
                            <w:b/>
                            <w:bCs/>
                            <w:szCs w:val="21"/>
                          </w:rPr>
                          <w:t>所有者权益（或股东权益）：</w:t>
                        </w:r>
                      </w:p>
                    </w:tc>
                  </w:sdtContent>
                </w:sdt>
                <w:tc>
                  <w:tcPr>
                    <w:tcW w:w="627" w:type="pct"/>
                    <w:tcBorders>
                      <w:top w:val="outset" w:sz="6" w:space="0" w:color="auto"/>
                      <w:left w:val="outset" w:sz="6" w:space="0" w:color="auto"/>
                      <w:bottom w:val="outset" w:sz="6" w:space="0" w:color="auto"/>
                      <w:right w:val="outset" w:sz="6" w:space="0" w:color="auto"/>
                    </w:tcBorders>
                  </w:tcPr>
                  <w:p w14:paraId="7CA9E9E2"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1D7E700D" w14:textId="77777777" w:rsidR="00471D53" w:rsidRDefault="00B664AF" w:rsidP="00471D53">
                    <w:pPr>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14:paraId="169D5A66" w14:textId="77777777" w:rsidR="00471D53" w:rsidRDefault="00B664AF" w:rsidP="00471D53">
                    <w:pPr>
                      <w:rPr>
                        <w:color w:val="008000"/>
                        <w:szCs w:val="21"/>
                      </w:rPr>
                    </w:pPr>
                  </w:p>
                </w:tc>
              </w:tr>
              <w:tr w:rsidR="00471D53" w14:paraId="3D531AF5" w14:textId="77777777" w:rsidTr="00471D53">
                <w:sdt>
                  <w:sdtPr>
                    <w:tag w:val="_PLD_b456a8ee715b430f8ed57755440db66b"/>
                    <w:id w:val="-200480777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E750BCC" w14:textId="77777777" w:rsidR="00471D53" w:rsidRDefault="004F686E" w:rsidP="00471D53">
                        <w:pPr>
                          <w:ind w:firstLineChars="100" w:firstLine="210"/>
                          <w:rPr>
                            <w:szCs w:val="21"/>
                          </w:rPr>
                        </w:pPr>
                        <w:r>
                          <w:rPr>
                            <w:rFonts w:hint="eastAsia"/>
                            <w:szCs w:val="21"/>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14:paraId="385AD8FB" w14:textId="77777777" w:rsidR="00471D53" w:rsidRDefault="004F686E" w:rsidP="00471D53">
                    <w:pPr>
                      <w:rPr>
                        <w:szCs w:val="21"/>
                      </w:rPr>
                    </w:pPr>
                    <w:r>
                      <w:t>七、53</w:t>
                    </w:r>
                  </w:p>
                </w:tc>
                <w:tc>
                  <w:tcPr>
                    <w:tcW w:w="1411" w:type="pct"/>
                    <w:tcBorders>
                      <w:top w:val="outset" w:sz="6" w:space="0" w:color="auto"/>
                      <w:left w:val="outset" w:sz="6" w:space="0" w:color="auto"/>
                      <w:bottom w:val="outset" w:sz="6" w:space="0" w:color="auto"/>
                      <w:right w:val="outset" w:sz="6" w:space="0" w:color="auto"/>
                    </w:tcBorders>
                  </w:tcPr>
                  <w:p w14:paraId="1042EC07" w14:textId="77777777" w:rsidR="00471D53" w:rsidRDefault="004F686E" w:rsidP="00471D53">
                    <w:pPr>
                      <w:jc w:val="right"/>
                      <w:rPr>
                        <w:szCs w:val="21"/>
                      </w:rPr>
                    </w:pPr>
                    <w:r>
                      <w:t>485,000,000.00</w:t>
                    </w:r>
                  </w:p>
                </w:tc>
                <w:tc>
                  <w:tcPr>
                    <w:tcW w:w="1333" w:type="pct"/>
                    <w:tcBorders>
                      <w:top w:val="outset" w:sz="6" w:space="0" w:color="auto"/>
                      <w:left w:val="outset" w:sz="6" w:space="0" w:color="auto"/>
                      <w:bottom w:val="outset" w:sz="6" w:space="0" w:color="auto"/>
                      <w:right w:val="outset" w:sz="6" w:space="0" w:color="auto"/>
                    </w:tcBorders>
                  </w:tcPr>
                  <w:p w14:paraId="72659006" w14:textId="77777777" w:rsidR="00471D53" w:rsidRDefault="004F686E" w:rsidP="00471D53">
                    <w:pPr>
                      <w:jc w:val="right"/>
                      <w:rPr>
                        <w:szCs w:val="21"/>
                      </w:rPr>
                    </w:pPr>
                    <w:r>
                      <w:t>485,000,000.00</w:t>
                    </w:r>
                  </w:p>
                </w:tc>
              </w:tr>
              <w:tr w:rsidR="00471D53" w14:paraId="1D3767BF" w14:textId="77777777" w:rsidTr="00471D53">
                <w:sdt>
                  <w:sdtPr>
                    <w:tag w:val="_PLD_f03411a9f0b84565a295b92424cbb955"/>
                    <w:id w:val="-144376116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83E0EAF" w14:textId="77777777" w:rsidR="00471D53" w:rsidRDefault="004F686E" w:rsidP="00471D53">
                        <w:pPr>
                          <w:ind w:firstLineChars="100" w:firstLine="210"/>
                          <w:rPr>
                            <w:szCs w:val="21"/>
                          </w:rPr>
                        </w:pPr>
                        <w:r>
                          <w:rPr>
                            <w:rFonts w:hint="eastAsia"/>
                            <w:szCs w:val="21"/>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14:paraId="62BD89DB"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1C5E7558"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6EC88230" w14:textId="77777777" w:rsidR="00471D53" w:rsidRDefault="00B664AF" w:rsidP="00471D53">
                    <w:pPr>
                      <w:jc w:val="right"/>
                      <w:rPr>
                        <w:szCs w:val="21"/>
                      </w:rPr>
                    </w:pPr>
                  </w:p>
                </w:tc>
              </w:tr>
              <w:tr w:rsidR="00471D53" w14:paraId="38DAECC0" w14:textId="77777777" w:rsidTr="00471D53">
                <w:sdt>
                  <w:sdtPr>
                    <w:tag w:val="_PLD_c9ec7a87a13f488c86dc6eef623b59eb"/>
                    <w:id w:val="-8792786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193CB0C" w14:textId="77777777" w:rsidR="00471D53" w:rsidRDefault="004F686E" w:rsidP="00471D53">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14:paraId="18087C59"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18971FDA"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78ADA68A" w14:textId="77777777" w:rsidR="00471D53" w:rsidRDefault="00B664AF" w:rsidP="00471D53">
                    <w:pPr>
                      <w:jc w:val="right"/>
                      <w:rPr>
                        <w:szCs w:val="21"/>
                      </w:rPr>
                    </w:pPr>
                  </w:p>
                </w:tc>
              </w:tr>
              <w:tr w:rsidR="00471D53" w14:paraId="0A69FAD1" w14:textId="77777777" w:rsidTr="00471D53">
                <w:sdt>
                  <w:sdtPr>
                    <w:tag w:val="_PLD_cb955a4562374c1795f3fa8ff4b3341b"/>
                    <w:id w:val="-121449763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1B95BE4" w14:textId="77777777" w:rsidR="00471D53" w:rsidRDefault="004F686E" w:rsidP="00471D53">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14:paraId="0D003E70"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5D681352"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7CBA1950" w14:textId="77777777" w:rsidR="00471D53" w:rsidRDefault="00B664AF" w:rsidP="00471D53">
                    <w:pPr>
                      <w:jc w:val="right"/>
                      <w:rPr>
                        <w:szCs w:val="21"/>
                      </w:rPr>
                    </w:pPr>
                  </w:p>
                </w:tc>
              </w:tr>
              <w:tr w:rsidR="00471D53" w14:paraId="17D87675" w14:textId="77777777" w:rsidTr="00471D53">
                <w:sdt>
                  <w:sdtPr>
                    <w:tag w:val="_PLD_e6837305adaf4d9aba334aa74c5bef79"/>
                    <w:id w:val="162165279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EC7D502" w14:textId="77777777" w:rsidR="00471D53" w:rsidRDefault="004F686E" w:rsidP="00471D53">
                        <w:pPr>
                          <w:ind w:firstLineChars="100" w:firstLine="210"/>
                          <w:rPr>
                            <w:szCs w:val="21"/>
                          </w:rPr>
                        </w:pPr>
                        <w:r>
                          <w:rPr>
                            <w:rFonts w:hint="eastAsia"/>
                            <w:szCs w:val="21"/>
                          </w:rPr>
                          <w:t>资本公积</w:t>
                        </w:r>
                      </w:p>
                    </w:tc>
                  </w:sdtContent>
                </w:sdt>
                <w:tc>
                  <w:tcPr>
                    <w:tcW w:w="627" w:type="pct"/>
                    <w:tcBorders>
                      <w:top w:val="outset" w:sz="6" w:space="0" w:color="auto"/>
                      <w:left w:val="outset" w:sz="6" w:space="0" w:color="auto"/>
                      <w:bottom w:val="outset" w:sz="6" w:space="0" w:color="auto"/>
                      <w:right w:val="outset" w:sz="6" w:space="0" w:color="auto"/>
                    </w:tcBorders>
                  </w:tcPr>
                  <w:p w14:paraId="04B7E234" w14:textId="77777777" w:rsidR="00471D53" w:rsidRDefault="004F686E" w:rsidP="00471D53">
                    <w:pPr>
                      <w:rPr>
                        <w:szCs w:val="21"/>
                      </w:rPr>
                    </w:pPr>
                    <w:r>
                      <w:t>七、55</w:t>
                    </w:r>
                  </w:p>
                </w:tc>
                <w:tc>
                  <w:tcPr>
                    <w:tcW w:w="1411" w:type="pct"/>
                    <w:tcBorders>
                      <w:top w:val="outset" w:sz="6" w:space="0" w:color="auto"/>
                      <w:left w:val="outset" w:sz="6" w:space="0" w:color="auto"/>
                      <w:bottom w:val="outset" w:sz="6" w:space="0" w:color="auto"/>
                      <w:right w:val="outset" w:sz="6" w:space="0" w:color="auto"/>
                    </w:tcBorders>
                  </w:tcPr>
                  <w:p w14:paraId="1D6D8EEE" w14:textId="77777777" w:rsidR="00471D53" w:rsidRDefault="004F686E" w:rsidP="00471D53">
                    <w:pPr>
                      <w:jc w:val="right"/>
                      <w:rPr>
                        <w:szCs w:val="21"/>
                      </w:rPr>
                    </w:pPr>
                    <w:r>
                      <w:t>833,183,835.84</w:t>
                    </w:r>
                  </w:p>
                </w:tc>
                <w:tc>
                  <w:tcPr>
                    <w:tcW w:w="1333" w:type="pct"/>
                    <w:tcBorders>
                      <w:top w:val="outset" w:sz="6" w:space="0" w:color="auto"/>
                      <w:left w:val="outset" w:sz="6" w:space="0" w:color="auto"/>
                      <w:bottom w:val="outset" w:sz="6" w:space="0" w:color="auto"/>
                      <w:right w:val="outset" w:sz="6" w:space="0" w:color="auto"/>
                    </w:tcBorders>
                  </w:tcPr>
                  <w:p w14:paraId="0F10F01E" w14:textId="77777777" w:rsidR="00471D53" w:rsidRDefault="004F686E" w:rsidP="00471D53">
                    <w:pPr>
                      <w:jc w:val="right"/>
                      <w:rPr>
                        <w:szCs w:val="21"/>
                      </w:rPr>
                    </w:pPr>
                    <w:r>
                      <w:t>833,183,835.84</w:t>
                    </w:r>
                  </w:p>
                </w:tc>
              </w:tr>
              <w:tr w:rsidR="00471D53" w14:paraId="3974E6AC" w14:textId="77777777" w:rsidTr="00471D53">
                <w:sdt>
                  <w:sdtPr>
                    <w:tag w:val="_PLD_a0bc7febf8c447638471a1616647725d"/>
                    <w:id w:val="202199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6452BE3" w14:textId="77777777" w:rsidR="00471D53" w:rsidRDefault="004F686E" w:rsidP="00471D53">
                        <w:pPr>
                          <w:ind w:firstLineChars="100" w:firstLine="210"/>
                          <w:rPr>
                            <w:szCs w:val="21"/>
                          </w:rPr>
                        </w:pPr>
                        <w:r>
                          <w:rPr>
                            <w:rFonts w:hint="eastAsia"/>
                            <w:szCs w:val="21"/>
                          </w:rPr>
                          <w:t>减：库存股</w:t>
                        </w:r>
                      </w:p>
                    </w:tc>
                  </w:sdtContent>
                </w:sdt>
                <w:tc>
                  <w:tcPr>
                    <w:tcW w:w="627" w:type="pct"/>
                    <w:tcBorders>
                      <w:top w:val="outset" w:sz="6" w:space="0" w:color="auto"/>
                      <w:left w:val="outset" w:sz="6" w:space="0" w:color="auto"/>
                      <w:bottom w:val="outset" w:sz="6" w:space="0" w:color="auto"/>
                      <w:right w:val="outset" w:sz="6" w:space="0" w:color="auto"/>
                    </w:tcBorders>
                  </w:tcPr>
                  <w:p w14:paraId="13F2B5F7"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613B92CE"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57BCD04" w14:textId="77777777" w:rsidR="00471D53" w:rsidRDefault="00B664AF" w:rsidP="00471D53">
                    <w:pPr>
                      <w:jc w:val="right"/>
                      <w:rPr>
                        <w:szCs w:val="21"/>
                      </w:rPr>
                    </w:pPr>
                  </w:p>
                </w:tc>
              </w:tr>
              <w:tr w:rsidR="00471D53" w14:paraId="505B0B53" w14:textId="77777777" w:rsidTr="00471D53">
                <w:sdt>
                  <w:sdtPr>
                    <w:tag w:val="_PLD_ed778b8c2aaa425cb45af63fe0d20a4d"/>
                    <w:id w:val="-125643481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4C2349E" w14:textId="77777777" w:rsidR="00471D53" w:rsidRDefault="004F686E" w:rsidP="00471D53">
                        <w:pPr>
                          <w:ind w:firstLineChars="100" w:firstLine="210"/>
                          <w:rPr>
                            <w:szCs w:val="21"/>
                          </w:rPr>
                        </w:pPr>
                        <w:r>
                          <w:rPr>
                            <w:rFonts w:hint="eastAsia"/>
                            <w:szCs w:val="21"/>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14:paraId="599C4C41" w14:textId="77777777" w:rsidR="00471D53" w:rsidRDefault="004F686E" w:rsidP="00471D53">
                    <w:pPr>
                      <w:rPr>
                        <w:szCs w:val="21"/>
                      </w:rPr>
                    </w:pPr>
                    <w:r>
                      <w:t>七、57</w:t>
                    </w:r>
                  </w:p>
                </w:tc>
                <w:tc>
                  <w:tcPr>
                    <w:tcW w:w="1411" w:type="pct"/>
                    <w:tcBorders>
                      <w:top w:val="outset" w:sz="6" w:space="0" w:color="auto"/>
                      <w:left w:val="outset" w:sz="6" w:space="0" w:color="auto"/>
                      <w:bottom w:val="outset" w:sz="6" w:space="0" w:color="auto"/>
                      <w:right w:val="outset" w:sz="6" w:space="0" w:color="auto"/>
                    </w:tcBorders>
                  </w:tcPr>
                  <w:p w14:paraId="5C263074" w14:textId="77777777" w:rsidR="00471D53" w:rsidRDefault="004F686E" w:rsidP="00471D53">
                    <w:pPr>
                      <w:jc w:val="right"/>
                      <w:rPr>
                        <w:szCs w:val="21"/>
                      </w:rPr>
                    </w:pPr>
                    <w:r>
                      <w:t>-611,447.28</w:t>
                    </w:r>
                  </w:p>
                </w:tc>
                <w:tc>
                  <w:tcPr>
                    <w:tcW w:w="1333" w:type="pct"/>
                    <w:tcBorders>
                      <w:top w:val="outset" w:sz="6" w:space="0" w:color="auto"/>
                      <w:left w:val="outset" w:sz="6" w:space="0" w:color="auto"/>
                      <w:bottom w:val="outset" w:sz="6" w:space="0" w:color="auto"/>
                      <w:right w:val="outset" w:sz="6" w:space="0" w:color="auto"/>
                    </w:tcBorders>
                  </w:tcPr>
                  <w:p w14:paraId="401DBFFC" w14:textId="77777777" w:rsidR="00471D53" w:rsidRDefault="004F686E" w:rsidP="00471D53">
                    <w:pPr>
                      <w:jc w:val="right"/>
                      <w:rPr>
                        <w:szCs w:val="21"/>
                      </w:rPr>
                    </w:pPr>
                    <w:r>
                      <w:t>-325,424.59</w:t>
                    </w:r>
                  </w:p>
                </w:tc>
              </w:tr>
              <w:tr w:rsidR="00471D53" w14:paraId="61F6614C" w14:textId="77777777" w:rsidTr="00471D53">
                <w:sdt>
                  <w:sdtPr>
                    <w:tag w:val="_PLD_88ef3a1b7ae6448183de3fe2b91f7cd5"/>
                    <w:id w:val="-41047348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FCE54C1" w14:textId="77777777" w:rsidR="00471D53" w:rsidRDefault="004F686E" w:rsidP="00471D53">
                        <w:pPr>
                          <w:ind w:firstLineChars="100" w:firstLine="210"/>
                          <w:rPr>
                            <w:szCs w:val="21"/>
                          </w:rPr>
                        </w:pPr>
                        <w:r>
                          <w:rPr>
                            <w:rFonts w:hint="eastAsia"/>
                            <w:szCs w:val="21"/>
                          </w:rPr>
                          <w:t>专项储备</w:t>
                        </w:r>
                      </w:p>
                    </w:tc>
                  </w:sdtContent>
                </w:sdt>
                <w:tc>
                  <w:tcPr>
                    <w:tcW w:w="627" w:type="pct"/>
                    <w:tcBorders>
                      <w:top w:val="outset" w:sz="6" w:space="0" w:color="auto"/>
                      <w:left w:val="outset" w:sz="6" w:space="0" w:color="auto"/>
                      <w:bottom w:val="outset" w:sz="6" w:space="0" w:color="auto"/>
                      <w:right w:val="outset" w:sz="6" w:space="0" w:color="auto"/>
                    </w:tcBorders>
                  </w:tcPr>
                  <w:p w14:paraId="25624866"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46802CFF"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3E4B1877" w14:textId="77777777" w:rsidR="00471D53" w:rsidRDefault="00B664AF" w:rsidP="00471D53">
                    <w:pPr>
                      <w:jc w:val="right"/>
                      <w:rPr>
                        <w:szCs w:val="21"/>
                      </w:rPr>
                    </w:pPr>
                  </w:p>
                </w:tc>
              </w:tr>
              <w:tr w:rsidR="00471D53" w14:paraId="443E2CCE" w14:textId="77777777" w:rsidTr="00471D53">
                <w:sdt>
                  <w:sdtPr>
                    <w:tag w:val="_PLD_9f1157091e4b41f7b980273a3e11b2e5"/>
                    <w:id w:val="-106008622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3FF992B" w14:textId="77777777" w:rsidR="00471D53" w:rsidRDefault="004F686E" w:rsidP="00471D53">
                        <w:pPr>
                          <w:ind w:firstLineChars="100" w:firstLine="210"/>
                          <w:rPr>
                            <w:szCs w:val="21"/>
                          </w:rPr>
                        </w:pPr>
                        <w:r>
                          <w:rPr>
                            <w:rFonts w:hint="eastAsia"/>
                            <w:szCs w:val="21"/>
                          </w:rPr>
                          <w:t>盈余公积</w:t>
                        </w:r>
                      </w:p>
                    </w:tc>
                  </w:sdtContent>
                </w:sdt>
                <w:tc>
                  <w:tcPr>
                    <w:tcW w:w="627" w:type="pct"/>
                    <w:tcBorders>
                      <w:top w:val="outset" w:sz="6" w:space="0" w:color="auto"/>
                      <w:left w:val="outset" w:sz="6" w:space="0" w:color="auto"/>
                      <w:bottom w:val="outset" w:sz="6" w:space="0" w:color="auto"/>
                      <w:right w:val="outset" w:sz="6" w:space="0" w:color="auto"/>
                    </w:tcBorders>
                  </w:tcPr>
                  <w:p w14:paraId="5AD5EAFB" w14:textId="77777777" w:rsidR="00471D53" w:rsidRDefault="004F686E" w:rsidP="00471D53">
                    <w:pPr>
                      <w:rPr>
                        <w:szCs w:val="21"/>
                      </w:rPr>
                    </w:pPr>
                    <w:r>
                      <w:t>七、59</w:t>
                    </w:r>
                  </w:p>
                </w:tc>
                <w:tc>
                  <w:tcPr>
                    <w:tcW w:w="1411" w:type="pct"/>
                    <w:tcBorders>
                      <w:top w:val="outset" w:sz="6" w:space="0" w:color="auto"/>
                      <w:left w:val="outset" w:sz="6" w:space="0" w:color="auto"/>
                      <w:bottom w:val="outset" w:sz="6" w:space="0" w:color="auto"/>
                      <w:right w:val="outset" w:sz="6" w:space="0" w:color="auto"/>
                    </w:tcBorders>
                  </w:tcPr>
                  <w:p w14:paraId="5BA478DF" w14:textId="77777777" w:rsidR="00471D53" w:rsidRDefault="004F686E" w:rsidP="00471D53">
                    <w:pPr>
                      <w:jc w:val="right"/>
                      <w:rPr>
                        <w:szCs w:val="21"/>
                      </w:rPr>
                    </w:pPr>
                    <w:r>
                      <w:t>45,665,647.68</w:t>
                    </w:r>
                  </w:p>
                </w:tc>
                <w:tc>
                  <w:tcPr>
                    <w:tcW w:w="1333" w:type="pct"/>
                    <w:tcBorders>
                      <w:top w:val="outset" w:sz="6" w:space="0" w:color="auto"/>
                      <w:left w:val="outset" w:sz="6" w:space="0" w:color="auto"/>
                      <w:bottom w:val="outset" w:sz="6" w:space="0" w:color="auto"/>
                      <w:right w:val="outset" w:sz="6" w:space="0" w:color="auto"/>
                    </w:tcBorders>
                  </w:tcPr>
                  <w:p w14:paraId="4FBDED1C" w14:textId="77777777" w:rsidR="00471D53" w:rsidRDefault="004F686E" w:rsidP="00471D53">
                    <w:pPr>
                      <w:jc w:val="right"/>
                      <w:rPr>
                        <w:szCs w:val="21"/>
                      </w:rPr>
                    </w:pPr>
                    <w:r>
                      <w:t>45,665,647.68</w:t>
                    </w:r>
                  </w:p>
                </w:tc>
              </w:tr>
              <w:tr w:rsidR="00471D53" w14:paraId="1B592367" w14:textId="77777777" w:rsidTr="00471D53">
                <w:sdt>
                  <w:sdtPr>
                    <w:tag w:val="_PLD_c223f5905b0e4651a5a022690a7a5a1c"/>
                    <w:id w:val="16258865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049A850" w14:textId="77777777" w:rsidR="00471D53" w:rsidRDefault="004F686E" w:rsidP="00471D53">
                        <w:pPr>
                          <w:ind w:firstLineChars="100" w:firstLine="210"/>
                          <w:rPr>
                            <w:szCs w:val="21"/>
                          </w:rPr>
                        </w:pPr>
                        <w:r>
                          <w:rPr>
                            <w:rFonts w:hint="eastAsia"/>
                            <w:szCs w:val="21"/>
                          </w:rPr>
                          <w:t>一般风险准备</w:t>
                        </w:r>
                      </w:p>
                    </w:tc>
                  </w:sdtContent>
                </w:sdt>
                <w:tc>
                  <w:tcPr>
                    <w:tcW w:w="627" w:type="pct"/>
                    <w:tcBorders>
                      <w:top w:val="outset" w:sz="6" w:space="0" w:color="auto"/>
                      <w:left w:val="outset" w:sz="6" w:space="0" w:color="auto"/>
                      <w:bottom w:val="outset" w:sz="6" w:space="0" w:color="auto"/>
                      <w:right w:val="outset" w:sz="6" w:space="0" w:color="auto"/>
                    </w:tcBorders>
                  </w:tcPr>
                  <w:p w14:paraId="732C3985" w14:textId="77777777" w:rsidR="00471D53" w:rsidRDefault="004F686E" w:rsidP="00471D53">
                    <w:pPr>
                      <w:rPr>
                        <w:szCs w:val="21"/>
                      </w:rPr>
                    </w:pPr>
                    <w:r>
                      <w:t xml:space="preserve">　</w:t>
                    </w:r>
                  </w:p>
                </w:tc>
                <w:tc>
                  <w:tcPr>
                    <w:tcW w:w="1411" w:type="pct"/>
                    <w:tcBorders>
                      <w:top w:val="outset" w:sz="6" w:space="0" w:color="auto"/>
                      <w:left w:val="outset" w:sz="6" w:space="0" w:color="auto"/>
                      <w:bottom w:val="outset" w:sz="6" w:space="0" w:color="auto"/>
                      <w:right w:val="outset" w:sz="6" w:space="0" w:color="auto"/>
                    </w:tcBorders>
                  </w:tcPr>
                  <w:p w14:paraId="02A79B0E"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72F425C0" w14:textId="77777777" w:rsidR="00471D53" w:rsidRDefault="00B664AF" w:rsidP="00471D53">
                    <w:pPr>
                      <w:jc w:val="right"/>
                      <w:rPr>
                        <w:szCs w:val="21"/>
                      </w:rPr>
                    </w:pPr>
                  </w:p>
                </w:tc>
              </w:tr>
              <w:tr w:rsidR="00471D53" w14:paraId="3C32DE11" w14:textId="77777777" w:rsidTr="00471D53">
                <w:sdt>
                  <w:sdtPr>
                    <w:tag w:val="_PLD_c329719465d9412cab74b5424ac30bd4"/>
                    <w:id w:val="162458186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5AFD925" w14:textId="77777777" w:rsidR="00471D53" w:rsidRDefault="004F686E" w:rsidP="00471D53">
                        <w:pPr>
                          <w:ind w:firstLineChars="100" w:firstLine="210"/>
                          <w:rPr>
                            <w:szCs w:val="21"/>
                          </w:rPr>
                        </w:pPr>
                        <w:r>
                          <w:rPr>
                            <w:rFonts w:hint="eastAsia"/>
                            <w:szCs w:val="21"/>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14:paraId="479B430C" w14:textId="77777777" w:rsidR="00471D53" w:rsidRDefault="004F686E" w:rsidP="00471D53">
                    <w:pPr>
                      <w:rPr>
                        <w:szCs w:val="21"/>
                      </w:rPr>
                    </w:pPr>
                    <w:r>
                      <w:t>七、60</w:t>
                    </w:r>
                  </w:p>
                </w:tc>
                <w:tc>
                  <w:tcPr>
                    <w:tcW w:w="1411" w:type="pct"/>
                    <w:tcBorders>
                      <w:top w:val="outset" w:sz="6" w:space="0" w:color="auto"/>
                      <w:left w:val="outset" w:sz="6" w:space="0" w:color="auto"/>
                      <w:bottom w:val="outset" w:sz="6" w:space="0" w:color="auto"/>
                      <w:right w:val="outset" w:sz="6" w:space="0" w:color="auto"/>
                    </w:tcBorders>
                  </w:tcPr>
                  <w:p w14:paraId="2A67EBF7" w14:textId="77777777" w:rsidR="00471D53" w:rsidRDefault="004F686E" w:rsidP="00471D53">
                    <w:pPr>
                      <w:jc w:val="right"/>
                      <w:rPr>
                        <w:szCs w:val="21"/>
                      </w:rPr>
                    </w:pPr>
                    <w:r>
                      <w:t>-665,364,733.80</w:t>
                    </w:r>
                  </w:p>
                </w:tc>
                <w:tc>
                  <w:tcPr>
                    <w:tcW w:w="1333" w:type="pct"/>
                    <w:tcBorders>
                      <w:top w:val="outset" w:sz="6" w:space="0" w:color="auto"/>
                      <w:left w:val="outset" w:sz="6" w:space="0" w:color="auto"/>
                      <w:bottom w:val="outset" w:sz="6" w:space="0" w:color="auto"/>
                      <w:right w:val="outset" w:sz="6" w:space="0" w:color="auto"/>
                    </w:tcBorders>
                  </w:tcPr>
                  <w:p w14:paraId="6FD43CF1" w14:textId="77777777" w:rsidR="00471D53" w:rsidRDefault="004F686E" w:rsidP="00471D53">
                    <w:pPr>
                      <w:jc w:val="right"/>
                      <w:rPr>
                        <w:szCs w:val="21"/>
                      </w:rPr>
                    </w:pPr>
                    <w:r>
                      <w:t>-664,051,428.89</w:t>
                    </w:r>
                  </w:p>
                </w:tc>
              </w:tr>
              <w:tr w:rsidR="00471D53" w14:paraId="074A2943" w14:textId="77777777" w:rsidTr="00471D53">
                <w:sdt>
                  <w:sdtPr>
                    <w:tag w:val="_PLD_09fcb4ca82f14307ab214d34a90b9ef2"/>
                    <w:id w:val="180681291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67DF70A" w14:textId="77777777" w:rsidR="00471D53" w:rsidRDefault="004F686E" w:rsidP="00471D53">
                        <w:pPr>
                          <w:ind w:firstLineChars="100" w:firstLine="210"/>
                          <w:rPr>
                            <w:szCs w:val="21"/>
                          </w:rPr>
                        </w:pPr>
                        <w:r>
                          <w:rPr>
                            <w:rFonts w:hint="eastAsia"/>
                          </w:rPr>
                          <w:t>归属于母公司所有者权益（或股东权益）合计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14:paraId="6BDADEE7"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46A62AA5" w14:textId="77777777" w:rsidR="00471D53" w:rsidRDefault="004F686E" w:rsidP="00471D53">
                    <w:pPr>
                      <w:jc w:val="right"/>
                      <w:rPr>
                        <w:szCs w:val="21"/>
                      </w:rPr>
                    </w:pPr>
                    <w:r>
                      <w:t>697,873,302.44</w:t>
                    </w:r>
                  </w:p>
                </w:tc>
                <w:tc>
                  <w:tcPr>
                    <w:tcW w:w="1333" w:type="pct"/>
                    <w:tcBorders>
                      <w:top w:val="outset" w:sz="6" w:space="0" w:color="auto"/>
                      <w:left w:val="outset" w:sz="6" w:space="0" w:color="auto"/>
                      <w:bottom w:val="outset" w:sz="6" w:space="0" w:color="auto"/>
                      <w:right w:val="outset" w:sz="6" w:space="0" w:color="auto"/>
                    </w:tcBorders>
                  </w:tcPr>
                  <w:p w14:paraId="6FBED6FA" w14:textId="77777777" w:rsidR="00471D53" w:rsidRDefault="004F686E" w:rsidP="00471D53">
                    <w:pPr>
                      <w:jc w:val="right"/>
                      <w:rPr>
                        <w:szCs w:val="21"/>
                      </w:rPr>
                    </w:pPr>
                    <w:r>
                      <w:t>699,472,630.04</w:t>
                    </w:r>
                  </w:p>
                </w:tc>
              </w:tr>
              <w:tr w:rsidR="00471D53" w14:paraId="3FEFD448" w14:textId="77777777" w:rsidTr="00471D53">
                <w:sdt>
                  <w:sdtPr>
                    <w:tag w:val="_PLD_ba9844f67b5f427c8b672b584512bc30"/>
                    <w:id w:val="-8283677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31DAD4E" w14:textId="77777777" w:rsidR="00471D53" w:rsidRDefault="004F686E" w:rsidP="00471D53">
                        <w:pPr>
                          <w:ind w:firstLineChars="100" w:firstLine="210"/>
                          <w:rPr>
                            <w:szCs w:val="21"/>
                          </w:rPr>
                        </w:pPr>
                        <w:r>
                          <w:rPr>
                            <w:rFonts w:hint="eastAsia"/>
                            <w:szCs w:val="21"/>
                          </w:rPr>
                          <w:t>少数股东权益</w:t>
                        </w:r>
                      </w:p>
                    </w:tc>
                  </w:sdtContent>
                </w:sdt>
                <w:tc>
                  <w:tcPr>
                    <w:tcW w:w="627" w:type="pct"/>
                    <w:tcBorders>
                      <w:top w:val="outset" w:sz="6" w:space="0" w:color="auto"/>
                      <w:left w:val="outset" w:sz="6" w:space="0" w:color="auto"/>
                      <w:bottom w:val="outset" w:sz="6" w:space="0" w:color="auto"/>
                      <w:right w:val="outset" w:sz="6" w:space="0" w:color="auto"/>
                    </w:tcBorders>
                  </w:tcPr>
                  <w:p w14:paraId="18F38E12"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529E19FC" w14:textId="77777777" w:rsidR="00471D53" w:rsidRDefault="004F686E" w:rsidP="00471D53">
                    <w:pPr>
                      <w:jc w:val="right"/>
                      <w:rPr>
                        <w:szCs w:val="21"/>
                      </w:rPr>
                    </w:pPr>
                    <w:r>
                      <w:t>302,797,348.36</w:t>
                    </w:r>
                  </w:p>
                </w:tc>
                <w:tc>
                  <w:tcPr>
                    <w:tcW w:w="1333" w:type="pct"/>
                    <w:tcBorders>
                      <w:top w:val="outset" w:sz="6" w:space="0" w:color="auto"/>
                      <w:left w:val="outset" w:sz="6" w:space="0" w:color="auto"/>
                      <w:bottom w:val="outset" w:sz="6" w:space="0" w:color="auto"/>
                      <w:right w:val="outset" w:sz="6" w:space="0" w:color="auto"/>
                    </w:tcBorders>
                  </w:tcPr>
                  <w:p w14:paraId="1657C366" w14:textId="77777777" w:rsidR="00471D53" w:rsidRDefault="004F686E" w:rsidP="00471D53">
                    <w:pPr>
                      <w:jc w:val="right"/>
                      <w:rPr>
                        <w:szCs w:val="21"/>
                      </w:rPr>
                    </w:pPr>
                    <w:r>
                      <w:t>302,132,303.41</w:t>
                    </w:r>
                  </w:p>
                </w:tc>
              </w:tr>
              <w:tr w:rsidR="00471D53" w14:paraId="1C21182A" w14:textId="77777777" w:rsidTr="00471D53">
                <w:sdt>
                  <w:sdtPr>
                    <w:tag w:val="_PLD_49d0693ecf324c179ed30b3065d9fd15"/>
                    <w:id w:val="-34162505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EAF98C8" w14:textId="77777777" w:rsidR="00471D53" w:rsidRDefault="004F686E" w:rsidP="00471D53">
                        <w:pPr>
                          <w:ind w:firstLineChars="200" w:firstLine="420"/>
                          <w:rPr>
                            <w:szCs w:val="21"/>
                          </w:rPr>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14:paraId="0887024B"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3E6FB0DE" w14:textId="77777777" w:rsidR="00471D53" w:rsidRDefault="004F686E" w:rsidP="00471D53">
                    <w:pPr>
                      <w:jc w:val="right"/>
                      <w:rPr>
                        <w:szCs w:val="21"/>
                      </w:rPr>
                    </w:pPr>
                    <w:r>
                      <w:t>1,000,670,650.80</w:t>
                    </w:r>
                  </w:p>
                </w:tc>
                <w:tc>
                  <w:tcPr>
                    <w:tcW w:w="1333" w:type="pct"/>
                    <w:tcBorders>
                      <w:top w:val="outset" w:sz="6" w:space="0" w:color="auto"/>
                      <w:left w:val="outset" w:sz="6" w:space="0" w:color="auto"/>
                      <w:bottom w:val="outset" w:sz="6" w:space="0" w:color="auto"/>
                      <w:right w:val="outset" w:sz="6" w:space="0" w:color="auto"/>
                    </w:tcBorders>
                  </w:tcPr>
                  <w:p w14:paraId="5DE10246" w14:textId="77777777" w:rsidR="00471D53" w:rsidRDefault="004F686E" w:rsidP="00471D53">
                    <w:pPr>
                      <w:jc w:val="right"/>
                      <w:rPr>
                        <w:szCs w:val="21"/>
                      </w:rPr>
                    </w:pPr>
                    <w:r>
                      <w:t>1,001,604,933.45</w:t>
                    </w:r>
                  </w:p>
                </w:tc>
              </w:tr>
              <w:tr w:rsidR="00471D53" w14:paraId="061D0812" w14:textId="77777777" w:rsidTr="00471D53">
                <w:sdt>
                  <w:sdtPr>
                    <w:tag w:val="_PLD_def9f9081ac845ec93bbb1e70817d650"/>
                    <w:id w:val="-157803952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CA8C9D7" w14:textId="77777777" w:rsidR="00471D53" w:rsidRDefault="004F686E" w:rsidP="00471D53">
                        <w:pPr>
                          <w:ind w:firstLineChars="300" w:firstLine="630"/>
                          <w:rPr>
                            <w:szCs w:val="21"/>
                          </w:rPr>
                        </w:pPr>
                        <w:r>
                          <w:rPr>
                            <w:rFonts w:hint="eastAsia"/>
                            <w:szCs w:val="21"/>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14:paraId="0A3390FB"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774DA946" w14:textId="77777777" w:rsidR="00471D53" w:rsidRDefault="004F686E" w:rsidP="00471D53">
                    <w:pPr>
                      <w:jc w:val="right"/>
                      <w:rPr>
                        <w:szCs w:val="21"/>
                      </w:rPr>
                    </w:pPr>
                    <w:r>
                      <w:t>1,584,850,794.15</w:t>
                    </w:r>
                  </w:p>
                </w:tc>
                <w:tc>
                  <w:tcPr>
                    <w:tcW w:w="1333" w:type="pct"/>
                    <w:tcBorders>
                      <w:top w:val="outset" w:sz="6" w:space="0" w:color="auto"/>
                      <w:left w:val="outset" w:sz="6" w:space="0" w:color="auto"/>
                      <w:bottom w:val="outset" w:sz="6" w:space="0" w:color="auto"/>
                      <w:right w:val="outset" w:sz="6" w:space="0" w:color="auto"/>
                    </w:tcBorders>
                  </w:tcPr>
                  <w:p w14:paraId="7963D631" w14:textId="77777777" w:rsidR="00471D53" w:rsidRDefault="004F686E" w:rsidP="00471D53">
                    <w:pPr>
                      <w:jc w:val="right"/>
                      <w:rPr>
                        <w:szCs w:val="21"/>
                      </w:rPr>
                    </w:pPr>
                    <w:r>
                      <w:t>1,705,430,862.39</w:t>
                    </w:r>
                  </w:p>
                </w:tc>
              </w:tr>
            </w:tbl>
            <w:p w14:paraId="22CB4E2B" w14:textId="77777777" w:rsidR="00471D53" w:rsidRDefault="00B664AF"/>
            <w:p w14:paraId="6C8280DD" w14:textId="6A8DA32E" w:rsidR="00471D53" w:rsidRDefault="004F686E">
              <w:pPr>
                <w:ind w:rightChars="-73" w:right="-153"/>
                <w:rPr>
                  <w:color w:val="008000"/>
                  <w:szCs w:val="21"/>
                  <w:u w:val="single"/>
                </w:rPr>
              </w:pPr>
              <w:r>
                <w:rPr>
                  <w:szCs w:val="21"/>
                </w:rPr>
                <w:t>公司负责人</w:t>
              </w:r>
              <w:r>
                <w:rPr>
                  <w:rFonts w:hint="eastAsia"/>
                  <w:szCs w:val="21"/>
                </w:rPr>
                <w:t>：</w:t>
              </w:r>
              <w:sdt>
                <w:sdtPr>
                  <w:rPr>
                    <w:rFonts w:hint="eastAsia"/>
                    <w:szCs w:val="21"/>
                  </w:rPr>
                  <w:alias w:val="公司负责人"/>
                  <w:tag w:val="_GBC_82350876809b4479afe9f3c55db147dd"/>
                  <w:id w:val="-128090875"/>
                  <w:lock w:val="sdtLocked"/>
                  <w:dataBinding w:prefixMappings="xmlns:clcid-mr='clcid-mr'" w:xpath="/*/clcid-mr:GongSiFuZeRenXingMing[not(@periodRef)]" w:storeItemID="{89EBAB94-44A0-46A2-B712-30D997D04A6D}"/>
                  <w:text/>
                </w:sdtPr>
                <w:sdtEndPr/>
                <w:sdtContent>
                  <w:r w:rsidR="00FC65A7">
                    <w:rPr>
                      <w:rFonts w:hint="eastAsia"/>
                      <w:szCs w:val="21"/>
                    </w:rPr>
                    <w:t>王军先生</w:t>
                  </w:r>
                </w:sdtContent>
              </w:sdt>
              <w:r w:rsidR="00A436AE">
                <w:rPr>
                  <w:szCs w:val="21"/>
                </w:rPr>
                <w:t xml:space="preserve"> </w:t>
              </w:r>
              <w:r>
                <w:rPr>
                  <w:szCs w:val="21"/>
                </w:rPr>
                <w:t>主管会计工作负责人</w:t>
              </w:r>
              <w:r>
                <w:rPr>
                  <w:rFonts w:hint="eastAsia"/>
                  <w:szCs w:val="21"/>
                </w:rPr>
                <w:t>：</w:t>
              </w:r>
              <w:sdt>
                <w:sdtPr>
                  <w:rPr>
                    <w:rFonts w:hint="eastAsia"/>
                    <w:szCs w:val="21"/>
                  </w:rPr>
                  <w:alias w:val="主管会计工作负责人姓名"/>
                  <w:tag w:val="_GBC_9caf2fff268b41a7b3fe74fc4a3d6533"/>
                  <w:id w:val="-1792965969"/>
                  <w:lock w:val="sdtLocked"/>
                  <w:dataBinding w:prefixMappings="xmlns:clcid-mr='clcid-mr'" w:xpath="/*/clcid-mr:ZhuGuanKuaiJiGongZuoFuZeRenXingMing[not(@periodRef)]" w:storeItemID="{89EBAB94-44A0-46A2-B712-30D997D04A6D}"/>
                  <w:text/>
                </w:sdtPr>
                <w:sdtEndPr/>
                <w:sdtContent>
                  <w:r w:rsidR="00FC65A7">
                    <w:rPr>
                      <w:rFonts w:hint="eastAsia"/>
                      <w:szCs w:val="21"/>
                    </w:rPr>
                    <w:t>姜驰女士</w:t>
                  </w:r>
                </w:sdtContent>
              </w:sdt>
              <w:r w:rsidR="00A436AE">
                <w:rPr>
                  <w:szCs w:val="21"/>
                </w:rPr>
                <w:t xml:space="preserve"> </w:t>
              </w:r>
              <w:r>
                <w:rPr>
                  <w:szCs w:val="21"/>
                </w:rPr>
                <w:t>会计机构负责人</w:t>
              </w:r>
              <w:r>
                <w:rPr>
                  <w:rFonts w:hint="eastAsia"/>
                  <w:szCs w:val="21"/>
                </w:rPr>
                <w:t>：</w:t>
              </w:r>
              <w:sdt>
                <w:sdtPr>
                  <w:rPr>
                    <w:rFonts w:hint="eastAsia"/>
                    <w:szCs w:val="21"/>
                  </w:rPr>
                  <w:alias w:val="会计机构负责人姓名"/>
                  <w:tag w:val="_GBC_8cacbe4a6fcc41699e67ce809516ec50"/>
                  <w:id w:val="-630019125"/>
                  <w:lock w:val="sdtLocked"/>
                  <w:dataBinding w:prefixMappings="xmlns:clcid-mr='clcid-mr'" w:xpath="/*/clcid-mr:KuaiJiJiGouFuZeRenXingMing[not(@periodRef)]" w:storeItemID="{89EBAB94-44A0-46A2-B712-30D997D04A6D}"/>
                  <w:text/>
                </w:sdtPr>
                <w:sdtEndPr/>
                <w:sdtContent>
                  <w:r>
                    <w:rPr>
                      <w:rFonts w:hint="eastAsia"/>
                      <w:szCs w:val="21"/>
                    </w:rPr>
                    <w:t>王艳东先生</w:t>
                  </w:r>
                </w:sdtContent>
              </w:sdt>
            </w:p>
            <w:p w14:paraId="6E3E4384" w14:textId="77777777" w:rsidR="00471D53" w:rsidRDefault="00B664AF">
              <w:pPr>
                <w:ind w:rightChars="-73" w:right="-153"/>
                <w:rPr>
                  <w:b/>
                  <w:bCs/>
                  <w:color w:val="008000"/>
                  <w:szCs w:val="21"/>
                  <w:u w:val="single"/>
                </w:rPr>
              </w:pPr>
            </w:p>
          </w:sdtContent>
        </w:sdt>
        <w:p w14:paraId="14F93E4F" w14:textId="7F59997D" w:rsidR="00471D53" w:rsidRDefault="00B664AF">
          <w:pPr>
            <w:snapToGrid w:val="0"/>
            <w:spacing w:line="240" w:lineRule="atLeast"/>
            <w:ind w:rightChars="-759" w:right="-1594"/>
            <w:rPr>
              <w:szCs w:val="21"/>
            </w:rPr>
          </w:pPr>
        </w:p>
        <w:p w14:paraId="2B625363" w14:textId="77777777" w:rsidR="00AA278E" w:rsidRDefault="00AA278E">
          <w:pPr>
            <w:snapToGrid w:val="0"/>
            <w:spacing w:line="240" w:lineRule="atLeast"/>
            <w:ind w:rightChars="-759" w:right="-1594"/>
            <w:rPr>
              <w:szCs w:val="21"/>
            </w:rPr>
          </w:pPr>
        </w:p>
        <w:sdt>
          <w:sdtPr>
            <w:rPr>
              <w:rFonts w:ascii="宋体" w:hAnsi="宋体" w:cs="宋体" w:hint="eastAsia"/>
              <w:b w:val="0"/>
              <w:bCs w:val="0"/>
              <w:kern w:val="0"/>
              <w:szCs w:val="24"/>
            </w:rPr>
            <w:tag w:val="_GBC_af8c8d1094d041008b00be724891aff3"/>
            <w:id w:val="-1865894030"/>
            <w:lock w:val="sdtLocked"/>
          </w:sdtPr>
          <w:sdtEndPr>
            <w:rPr>
              <w:szCs w:val="21"/>
            </w:rPr>
          </w:sdtEndPr>
          <w:sdtContent>
            <w:p w14:paraId="38D81605" w14:textId="77777777" w:rsidR="00471D53" w:rsidRDefault="004F686E">
              <w:pPr>
                <w:pStyle w:val="afffff7"/>
                <w:jc w:val="center"/>
                <w:rPr>
                  <w:rFonts w:ascii="宋体" w:hAnsi="宋体"/>
                </w:rPr>
              </w:pPr>
              <w:r>
                <w:rPr>
                  <w:rFonts w:ascii="宋体" w:hAnsi="宋体" w:hint="eastAsia"/>
                </w:rPr>
                <w:t>母公司</w:t>
              </w:r>
              <w:r>
                <w:rPr>
                  <w:rFonts w:ascii="宋体" w:hAnsi="宋体"/>
                </w:rPr>
                <w:t>资产负债表</w:t>
              </w:r>
            </w:p>
            <w:p w14:paraId="54D195EE" w14:textId="77777777" w:rsidR="00471D53" w:rsidRDefault="004F686E">
              <w:pPr>
                <w:jc w:val="center"/>
                <w:rPr>
                  <w:b/>
                  <w:bCs/>
                  <w:szCs w:val="21"/>
                </w:rPr>
              </w:pPr>
              <w:r>
                <w:rPr>
                  <w:szCs w:val="21"/>
                </w:rPr>
                <w:t>2021年6月30日</w:t>
              </w:r>
            </w:p>
            <w:p w14:paraId="0771BCAE" w14:textId="26F54C57" w:rsidR="00471D53" w:rsidRDefault="004F686E">
              <w:pPr>
                <w:rPr>
                  <w:szCs w:val="21"/>
                </w:rPr>
              </w:pPr>
              <w:r>
                <w:rPr>
                  <w:szCs w:val="21"/>
                </w:rPr>
                <w:t>编制单位：</w:t>
              </w:r>
              <w:sdt>
                <w:sdtPr>
                  <w:rPr>
                    <w:szCs w:val="21"/>
                  </w:rPr>
                  <w:alias w:val="公司法定中文名称"/>
                  <w:tag w:val="_GBC_824a3e7402834e78aa66a9ee77d287bc"/>
                  <w:id w:val="-921649324"/>
                  <w:lock w:val="sdtLocked"/>
                  <w:dataBinding w:prefixMappings="xmlns:clcid-cgi='clcid-cgi'" w:xpath="/*/clcid-cgi:GongSiFaDingZhongWenMingCheng[not(@periodRef)]" w:storeItemID="{89EBAB94-44A0-46A2-B712-30D997D04A6D}"/>
                  <w:text/>
                </w:sdtPr>
                <w:sdtEndPr/>
                <w:sdtContent>
                  <w:r>
                    <w:rPr>
                      <w:szCs w:val="21"/>
                    </w:rPr>
                    <w:t>北京京城机电股份有限公司</w:t>
                  </w:r>
                </w:sdtContent>
              </w:sdt>
            </w:p>
            <w:p w14:paraId="24025D5F" w14:textId="2D7C1AA4" w:rsidR="00471D53" w:rsidRDefault="004F686E">
              <w:pPr>
                <w:jc w:val="right"/>
                <w:rPr>
                  <w:szCs w:val="21"/>
                </w:rPr>
              </w:pPr>
              <w:r>
                <w:rPr>
                  <w:szCs w:val="21"/>
                </w:rPr>
                <w:t>单位：</w:t>
              </w:r>
              <w:sdt>
                <w:sdtPr>
                  <w:rPr>
                    <w:szCs w:val="21"/>
                  </w:rPr>
                  <w:alias w:val="单位：母公司资产负债表"/>
                  <w:tag w:val="_GBC_7be010b1a07f4048a3805d40208ccda4"/>
                  <w:id w:val="1756015127"/>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元</w:t>
                  </w:r>
                </w:sdtContent>
              </w:sdt>
              <w:r>
                <w:rPr>
                  <w:szCs w:val="21"/>
                </w:rPr>
                <w:t>币种：</w:t>
              </w:r>
              <w:sdt>
                <w:sdtPr>
                  <w:rPr>
                    <w:szCs w:val="21"/>
                  </w:rPr>
                  <w:alias w:val="币种：母公司资产负债表"/>
                  <w:tag w:val="_GBC_ecd35f8ce6f84d6f8ad30e1e244c15ff"/>
                  <w:id w:val="-1845933185"/>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Style w:val="g4"/>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69"/>
                <w:gridCol w:w="1104"/>
                <w:gridCol w:w="2485"/>
                <w:gridCol w:w="2348"/>
              </w:tblGrid>
              <w:tr w:rsidR="00471D53" w14:paraId="017BE340" w14:textId="77777777" w:rsidTr="00471D53">
                <w:sdt>
                  <w:sdtPr>
                    <w:tag w:val="_PLD_7b231a79acb54050b640bf23dd34ab8c"/>
                    <w:id w:val="-156309160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BF9C2C5" w14:textId="77777777" w:rsidR="00471D53" w:rsidRDefault="004F686E" w:rsidP="00471D53">
                        <w:pPr>
                          <w:jc w:val="center"/>
                          <w:rPr>
                            <w:b/>
                            <w:szCs w:val="21"/>
                          </w:rPr>
                        </w:pPr>
                        <w:r>
                          <w:rPr>
                            <w:b/>
                            <w:szCs w:val="21"/>
                          </w:rPr>
                          <w:t>项目</w:t>
                        </w:r>
                      </w:p>
                    </w:tc>
                  </w:sdtContent>
                </w:sdt>
                <w:sdt>
                  <w:sdtPr>
                    <w:tag w:val="_PLD_5e370aa08a144a709185abd9b2f11c20"/>
                    <w:id w:val="1132133042"/>
                    <w:lock w:val="sdtLocked"/>
                  </w:sdtPr>
                  <w:sdtEndPr/>
                  <w:sdtContent>
                    <w:tc>
                      <w:tcPr>
                        <w:tcW w:w="627" w:type="pct"/>
                        <w:tcBorders>
                          <w:top w:val="outset" w:sz="6" w:space="0" w:color="auto"/>
                          <w:left w:val="outset" w:sz="6" w:space="0" w:color="auto"/>
                          <w:bottom w:val="outset" w:sz="6" w:space="0" w:color="auto"/>
                          <w:right w:val="outset" w:sz="6" w:space="0" w:color="auto"/>
                        </w:tcBorders>
                        <w:vAlign w:val="center"/>
                      </w:tcPr>
                      <w:p w14:paraId="21B4033B" w14:textId="77777777" w:rsidR="00471D53" w:rsidRDefault="004F686E" w:rsidP="00471D53">
                        <w:pPr>
                          <w:jc w:val="center"/>
                          <w:rPr>
                            <w:b/>
                            <w:szCs w:val="21"/>
                          </w:rPr>
                        </w:pPr>
                        <w:r>
                          <w:rPr>
                            <w:rFonts w:hint="eastAsia"/>
                            <w:b/>
                            <w:szCs w:val="21"/>
                          </w:rPr>
                          <w:t>附注</w:t>
                        </w:r>
                      </w:p>
                    </w:tc>
                  </w:sdtContent>
                </w:sdt>
                <w:sdt>
                  <w:sdtPr>
                    <w:tag w:val="_PLD_0aa0a7a0cd4c45afa7cfb1bcfbba36c3"/>
                    <w:id w:val="-132952738"/>
                    <w:lock w:val="sdtLocked"/>
                  </w:sdtPr>
                  <w:sdtEndPr/>
                  <w:sdtContent>
                    <w:tc>
                      <w:tcPr>
                        <w:tcW w:w="1411" w:type="pct"/>
                        <w:tcBorders>
                          <w:top w:val="outset" w:sz="6" w:space="0" w:color="auto"/>
                          <w:left w:val="outset" w:sz="6" w:space="0" w:color="auto"/>
                          <w:bottom w:val="outset" w:sz="6" w:space="0" w:color="auto"/>
                          <w:right w:val="outset" w:sz="6" w:space="0" w:color="auto"/>
                        </w:tcBorders>
                        <w:vAlign w:val="center"/>
                      </w:tcPr>
                      <w:p w14:paraId="7D5D07DB" w14:textId="77777777" w:rsidR="00471D53" w:rsidRDefault="004F686E" w:rsidP="00471D53">
                        <w:pPr>
                          <w:jc w:val="center"/>
                          <w:rPr>
                            <w:b/>
                            <w:szCs w:val="21"/>
                          </w:rPr>
                        </w:pPr>
                        <w:r>
                          <w:rPr>
                            <w:rFonts w:hint="eastAsia"/>
                            <w:b/>
                          </w:rPr>
                          <w:t>2021年6月30日</w:t>
                        </w:r>
                      </w:p>
                    </w:tc>
                  </w:sdtContent>
                </w:sdt>
                <w:sdt>
                  <w:sdtPr>
                    <w:tag w:val="_PLD_e986dda0dbc74346a9296e5a4646b696"/>
                    <w:id w:val="1403178328"/>
                    <w:lock w:val="sdtLocked"/>
                  </w:sdtPr>
                  <w:sdtEndPr/>
                  <w:sdtContent>
                    <w:tc>
                      <w:tcPr>
                        <w:tcW w:w="1333" w:type="pct"/>
                        <w:tcBorders>
                          <w:top w:val="outset" w:sz="6" w:space="0" w:color="auto"/>
                          <w:left w:val="outset" w:sz="6" w:space="0" w:color="auto"/>
                          <w:bottom w:val="outset" w:sz="6" w:space="0" w:color="auto"/>
                          <w:right w:val="outset" w:sz="6" w:space="0" w:color="auto"/>
                        </w:tcBorders>
                        <w:vAlign w:val="center"/>
                      </w:tcPr>
                      <w:p w14:paraId="6F2C51E4" w14:textId="77777777" w:rsidR="00471D53" w:rsidRDefault="004F686E" w:rsidP="00471D53">
                        <w:pPr>
                          <w:jc w:val="center"/>
                          <w:rPr>
                            <w:b/>
                            <w:szCs w:val="21"/>
                          </w:rPr>
                        </w:pPr>
                        <w:r>
                          <w:rPr>
                            <w:rFonts w:hint="eastAsia"/>
                            <w:b/>
                            <w:szCs w:val="21"/>
                          </w:rPr>
                          <w:t>2020年12月31日</w:t>
                        </w:r>
                      </w:p>
                    </w:tc>
                  </w:sdtContent>
                </w:sdt>
              </w:tr>
              <w:tr w:rsidR="00471D53" w14:paraId="4900E8D9" w14:textId="77777777" w:rsidTr="00471D53">
                <w:sdt>
                  <w:sdtPr>
                    <w:tag w:val="_PLD_64ae72669eea4837a1a220d585585bdf"/>
                    <w:id w:val="57293564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8C9C6AD" w14:textId="77777777" w:rsidR="00471D53" w:rsidRDefault="004F686E" w:rsidP="00471D53">
                        <w:pPr>
                          <w:rPr>
                            <w:szCs w:val="21"/>
                          </w:rPr>
                        </w:pPr>
                        <w:r>
                          <w:rPr>
                            <w:rFonts w:hint="eastAsia"/>
                            <w:b/>
                            <w:bCs/>
                            <w:szCs w:val="21"/>
                          </w:rPr>
                          <w:t>流动资产：</w:t>
                        </w:r>
                      </w:p>
                    </w:tc>
                  </w:sdtContent>
                </w:sdt>
                <w:tc>
                  <w:tcPr>
                    <w:tcW w:w="627" w:type="pct"/>
                    <w:tcBorders>
                      <w:top w:val="outset" w:sz="6" w:space="0" w:color="auto"/>
                      <w:left w:val="outset" w:sz="6" w:space="0" w:color="auto"/>
                      <w:bottom w:val="outset" w:sz="6" w:space="0" w:color="auto"/>
                      <w:right w:val="outset" w:sz="6" w:space="0" w:color="auto"/>
                    </w:tcBorders>
                  </w:tcPr>
                  <w:p w14:paraId="612B3DCD" w14:textId="77777777" w:rsidR="00471D53" w:rsidRDefault="00B664AF" w:rsidP="00471D53">
                    <w:pPr>
                      <w:rPr>
                        <w:b/>
                        <w:color w:val="FF00FF"/>
                        <w:szCs w:val="21"/>
                      </w:rPr>
                    </w:pPr>
                  </w:p>
                </w:tc>
                <w:tc>
                  <w:tcPr>
                    <w:tcW w:w="1411" w:type="pct"/>
                    <w:tcBorders>
                      <w:top w:val="outset" w:sz="6" w:space="0" w:color="auto"/>
                      <w:left w:val="outset" w:sz="6" w:space="0" w:color="auto"/>
                      <w:bottom w:val="outset" w:sz="6" w:space="0" w:color="auto"/>
                      <w:right w:val="outset" w:sz="6" w:space="0" w:color="auto"/>
                    </w:tcBorders>
                  </w:tcPr>
                  <w:p w14:paraId="52EEC20E" w14:textId="77777777" w:rsidR="00471D53" w:rsidRDefault="00B664AF" w:rsidP="00471D53">
                    <w:pPr>
                      <w:rPr>
                        <w:b/>
                        <w:color w:val="FF00FF"/>
                        <w:szCs w:val="21"/>
                      </w:rPr>
                    </w:pPr>
                  </w:p>
                </w:tc>
                <w:tc>
                  <w:tcPr>
                    <w:tcW w:w="1333" w:type="pct"/>
                    <w:tcBorders>
                      <w:top w:val="outset" w:sz="6" w:space="0" w:color="auto"/>
                      <w:left w:val="outset" w:sz="6" w:space="0" w:color="auto"/>
                      <w:bottom w:val="outset" w:sz="6" w:space="0" w:color="auto"/>
                      <w:right w:val="outset" w:sz="6" w:space="0" w:color="auto"/>
                    </w:tcBorders>
                  </w:tcPr>
                  <w:p w14:paraId="2C977219" w14:textId="77777777" w:rsidR="00471D53" w:rsidRDefault="00B664AF" w:rsidP="00471D53">
                    <w:pPr>
                      <w:rPr>
                        <w:b/>
                        <w:color w:val="FF00FF"/>
                        <w:szCs w:val="21"/>
                      </w:rPr>
                    </w:pPr>
                  </w:p>
                </w:tc>
              </w:tr>
              <w:tr w:rsidR="00471D53" w14:paraId="5F9D2D86" w14:textId="77777777" w:rsidTr="00471D53">
                <w:sdt>
                  <w:sdtPr>
                    <w:tag w:val="_PLD_9b78743cdab64576b5cd6da9a3a930fa"/>
                    <w:id w:val="-5554779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2F19669" w14:textId="77777777" w:rsidR="00471D53" w:rsidRDefault="004F686E" w:rsidP="00471D53">
                        <w:pPr>
                          <w:ind w:firstLineChars="100" w:firstLine="210"/>
                          <w:rPr>
                            <w:szCs w:val="21"/>
                          </w:rPr>
                        </w:pPr>
                        <w:r>
                          <w:rPr>
                            <w:rFonts w:hint="eastAsia"/>
                            <w:szCs w:val="21"/>
                          </w:rPr>
                          <w:t>货币资金</w:t>
                        </w:r>
                      </w:p>
                    </w:tc>
                  </w:sdtContent>
                </w:sdt>
                <w:tc>
                  <w:tcPr>
                    <w:tcW w:w="627" w:type="pct"/>
                    <w:tcBorders>
                      <w:top w:val="outset" w:sz="6" w:space="0" w:color="auto"/>
                      <w:left w:val="outset" w:sz="6" w:space="0" w:color="auto"/>
                      <w:bottom w:val="outset" w:sz="6" w:space="0" w:color="auto"/>
                      <w:right w:val="outset" w:sz="6" w:space="0" w:color="auto"/>
                    </w:tcBorders>
                  </w:tcPr>
                  <w:p w14:paraId="132FE0F6"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2ED6060D" w14:textId="77777777" w:rsidR="00471D53" w:rsidRDefault="004F686E" w:rsidP="00471D53">
                    <w:pPr>
                      <w:jc w:val="right"/>
                      <w:rPr>
                        <w:szCs w:val="21"/>
                      </w:rPr>
                    </w:pPr>
                    <w:r>
                      <w:t>3,110,909.02</w:t>
                    </w:r>
                  </w:p>
                </w:tc>
                <w:tc>
                  <w:tcPr>
                    <w:tcW w:w="1333" w:type="pct"/>
                    <w:tcBorders>
                      <w:top w:val="outset" w:sz="6" w:space="0" w:color="auto"/>
                      <w:left w:val="outset" w:sz="6" w:space="0" w:color="auto"/>
                      <w:bottom w:val="outset" w:sz="6" w:space="0" w:color="auto"/>
                      <w:right w:val="outset" w:sz="6" w:space="0" w:color="auto"/>
                    </w:tcBorders>
                  </w:tcPr>
                  <w:p w14:paraId="63B2DB8A" w14:textId="77777777" w:rsidR="00471D53" w:rsidRDefault="004F686E" w:rsidP="00471D53">
                    <w:pPr>
                      <w:jc w:val="right"/>
                      <w:rPr>
                        <w:szCs w:val="21"/>
                      </w:rPr>
                    </w:pPr>
                    <w:r>
                      <w:t>3,275,360.33</w:t>
                    </w:r>
                  </w:p>
                </w:tc>
              </w:tr>
              <w:tr w:rsidR="00471D53" w14:paraId="4AD838AF" w14:textId="77777777" w:rsidTr="00471D53">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110b32630da4518a6cd2897b5ab904c"/>
                      <w:id w:val="50435547"/>
                      <w:lock w:val="sdtLocked"/>
                    </w:sdtPr>
                    <w:sdtEndPr/>
                    <w:sdtContent>
                      <w:p w14:paraId="2BE85934" w14:textId="77777777" w:rsidR="00471D53" w:rsidRDefault="004F686E" w:rsidP="00471D53">
                        <w:pPr>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14:paraId="628F790D"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3523C05D"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3797850E" w14:textId="77777777" w:rsidR="00471D53" w:rsidRDefault="00B664AF" w:rsidP="00471D53">
                    <w:pPr>
                      <w:jc w:val="right"/>
                      <w:rPr>
                        <w:szCs w:val="21"/>
                      </w:rPr>
                    </w:pPr>
                  </w:p>
                </w:tc>
              </w:tr>
              <w:tr w:rsidR="00471D53" w14:paraId="1FD39AAE" w14:textId="77777777" w:rsidTr="00471D53">
                <w:sdt>
                  <w:sdtPr>
                    <w:tag w:val="_PLD_1bfca77991c7445a99252c547d869547"/>
                    <w:id w:val="151217372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403802B" w14:textId="77777777" w:rsidR="00471D53" w:rsidRDefault="004F686E" w:rsidP="00471D53">
                        <w:pPr>
                          <w:ind w:firstLineChars="100" w:firstLine="210"/>
                          <w:rPr>
                            <w:szCs w:val="21"/>
                          </w:rPr>
                        </w:pPr>
                        <w:r>
                          <w:rPr>
                            <w:rFonts w:hint="eastAsia"/>
                            <w:szCs w:val="21"/>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14:paraId="0819ECFE"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65A56F43"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16AA56E0" w14:textId="77777777" w:rsidR="00471D53" w:rsidRDefault="00B664AF" w:rsidP="00471D53">
                    <w:pPr>
                      <w:jc w:val="right"/>
                      <w:rPr>
                        <w:szCs w:val="21"/>
                      </w:rPr>
                    </w:pPr>
                  </w:p>
                </w:tc>
              </w:tr>
              <w:tr w:rsidR="00471D53" w14:paraId="5023FCD6" w14:textId="77777777" w:rsidTr="00471D53">
                <w:sdt>
                  <w:sdtPr>
                    <w:tag w:val="_PLD_ff993f326eb24b209c608805e7d5452d"/>
                    <w:id w:val="84012583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3E1CDBF" w14:textId="77777777" w:rsidR="00471D53" w:rsidRDefault="004F686E" w:rsidP="00471D53">
                        <w:pPr>
                          <w:ind w:firstLineChars="100" w:firstLine="210"/>
                          <w:rPr>
                            <w:szCs w:val="21"/>
                          </w:rPr>
                        </w:pPr>
                        <w:r>
                          <w:rPr>
                            <w:rFonts w:hint="eastAsia"/>
                            <w:szCs w:val="21"/>
                          </w:rPr>
                          <w:t>应收票据</w:t>
                        </w:r>
                      </w:p>
                    </w:tc>
                  </w:sdtContent>
                </w:sdt>
                <w:tc>
                  <w:tcPr>
                    <w:tcW w:w="627" w:type="pct"/>
                    <w:tcBorders>
                      <w:top w:val="outset" w:sz="6" w:space="0" w:color="auto"/>
                      <w:left w:val="outset" w:sz="6" w:space="0" w:color="auto"/>
                      <w:bottom w:val="outset" w:sz="6" w:space="0" w:color="auto"/>
                      <w:right w:val="outset" w:sz="6" w:space="0" w:color="auto"/>
                    </w:tcBorders>
                  </w:tcPr>
                  <w:p w14:paraId="29B36004"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61774D12"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38D4A0A7" w14:textId="77777777" w:rsidR="00471D53" w:rsidRDefault="00B664AF" w:rsidP="00471D53">
                    <w:pPr>
                      <w:jc w:val="right"/>
                      <w:rPr>
                        <w:szCs w:val="21"/>
                      </w:rPr>
                    </w:pPr>
                  </w:p>
                </w:tc>
              </w:tr>
              <w:tr w:rsidR="00471D53" w14:paraId="3E0C3CD7" w14:textId="77777777" w:rsidTr="00471D53">
                <w:sdt>
                  <w:sdtPr>
                    <w:tag w:val="_PLD_e1b51c42e6ff4b2b89ce73b84b0ca8c1"/>
                    <w:id w:val="-142850274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FA7733D" w14:textId="77777777" w:rsidR="00471D53" w:rsidRDefault="004F686E" w:rsidP="00471D53">
                        <w:pPr>
                          <w:ind w:firstLineChars="100" w:firstLine="210"/>
                          <w:rPr>
                            <w:szCs w:val="21"/>
                          </w:rPr>
                        </w:pPr>
                        <w:r>
                          <w:rPr>
                            <w:rFonts w:hint="eastAsia"/>
                            <w:szCs w:val="21"/>
                          </w:rPr>
                          <w:t>应收账款</w:t>
                        </w:r>
                      </w:p>
                    </w:tc>
                  </w:sdtContent>
                </w:sdt>
                <w:tc>
                  <w:tcPr>
                    <w:tcW w:w="627" w:type="pct"/>
                    <w:tcBorders>
                      <w:top w:val="outset" w:sz="6" w:space="0" w:color="auto"/>
                      <w:left w:val="outset" w:sz="6" w:space="0" w:color="auto"/>
                      <w:bottom w:val="outset" w:sz="6" w:space="0" w:color="auto"/>
                      <w:right w:val="outset" w:sz="6" w:space="0" w:color="auto"/>
                    </w:tcBorders>
                  </w:tcPr>
                  <w:p w14:paraId="4663CDC0"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7DD916F0"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0C51ED60" w14:textId="77777777" w:rsidR="00471D53" w:rsidRDefault="00B664AF" w:rsidP="00471D53">
                    <w:pPr>
                      <w:jc w:val="right"/>
                      <w:rPr>
                        <w:szCs w:val="21"/>
                      </w:rPr>
                    </w:pPr>
                  </w:p>
                </w:tc>
              </w:tr>
              <w:tr w:rsidR="00471D53" w14:paraId="18334352" w14:textId="77777777" w:rsidTr="00471D53">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11cc65422d84c058777e9f23de9aaef"/>
                      <w:id w:val="-384024372"/>
                      <w:lock w:val="sdtLocked"/>
                    </w:sdtPr>
                    <w:sdtEndPr/>
                    <w:sdtContent>
                      <w:p w14:paraId="7686CA16" w14:textId="77777777" w:rsidR="00471D53" w:rsidRDefault="004F686E" w:rsidP="00471D53">
                        <w:pPr>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14:paraId="60AE7B76"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20C35861"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0122340B" w14:textId="77777777" w:rsidR="00471D53" w:rsidRDefault="00B664AF" w:rsidP="00471D53">
                    <w:pPr>
                      <w:jc w:val="right"/>
                      <w:rPr>
                        <w:szCs w:val="21"/>
                      </w:rPr>
                    </w:pPr>
                  </w:p>
                </w:tc>
              </w:tr>
              <w:tr w:rsidR="00471D53" w14:paraId="4942C4CD" w14:textId="77777777" w:rsidTr="00471D53">
                <w:sdt>
                  <w:sdtPr>
                    <w:tag w:val="_PLD_805b2d340ad24fae990479b422656525"/>
                    <w:id w:val="35147010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1AA528C" w14:textId="77777777" w:rsidR="00471D53" w:rsidRDefault="004F686E" w:rsidP="00471D53">
                        <w:pPr>
                          <w:ind w:firstLineChars="100" w:firstLine="210"/>
                          <w:rPr>
                            <w:szCs w:val="21"/>
                          </w:rPr>
                        </w:pPr>
                        <w:r>
                          <w:rPr>
                            <w:rFonts w:hint="eastAsia"/>
                            <w:szCs w:val="21"/>
                          </w:rPr>
                          <w:t>预付款项</w:t>
                        </w:r>
                      </w:p>
                    </w:tc>
                  </w:sdtContent>
                </w:sdt>
                <w:tc>
                  <w:tcPr>
                    <w:tcW w:w="627" w:type="pct"/>
                    <w:tcBorders>
                      <w:top w:val="outset" w:sz="6" w:space="0" w:color="auto"/>
                      <w:left w:val="outset" w:sz="6" w:space="0" w:color="auto"/>
                      <w:bottom w:val="outset" w:sz="6" w:space="0" w:color="auto"/>
                      <w:right w:val="outset" w:sz="6" w:space="0" w:color="auto"/>
                    </w:tcBorders>
                  </w:tcPr>
                  <w:p w14:paraId="67BF560E"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32554FDF"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0DE5F05C" w14:textId="77777777" w:rsidR="00471D53" w:rsidRDefault="004F686E" w:rsidP="00471D53">
                    <w:pPr>
                      <w:jc w:val="right"/>
                      <w:rPr>
                        <w:szCs w:val="21"/>
                      </w:rPr>
                    </w:pPr>
                    <w:r>
                      <w:t>274,650.00</w:t>
                    </w:r>
                  </w:p>
                </w:tc>
              </w:tr>
              <w:tr w:rsidR="00471D53" w14:paraId="449820F2" w14:textId="77777777" w:rsidTr="00471D53">
                <w:sdt>
                  <w:sdtPr>
                    <w:tag w:val="_PLD_cf9f116dabbb48b2a5a0f3ba0b4772cd"/>
                    <w:id w:val="20013795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184BBF9" w14:textId="77777777" w:rsidR="00471D53" w:rsidRDefault="004F686E" w:rsidP="00471D53">
                        <w:pPr>
                          <w:ind w:firstLineChars="100" w:firstLine="210"/>
                          <w:rPr>
                            <w:szCs w:val="21"/>
                          </w:rPr>
                        </w:pPr>
                        <w:r>
                          <w:rPr>
                            <w:rFonts w:hint="eastAsia"/>
                            <w:szCs w:val="21"/>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14:paraId="25805F42" w14:textId="77777777" w:rsidR="00471D53" w:rsidRDefault="004F686E" w:rsidP="00471D53">
                    <w:pPr>
                      <w:rPr>
                        <w:szCs w:val="21"/>
                      </w:rPr>
                    </w:pPr>
                    <w:r>
                      <w:rPr>
                        <w:rFonts w:hint="eastAsia"/>
                        <w:szCs w:val="21"/>
                      </w:rPr>
                      <w:t>十</w:t>
                    </w:r>
                    <w:r w:rsidRPr="001B7724">
                      <w:rPr>
                        <w:rFonts w:hint="eastAsia"/>
                        <w:szCs w:val="21"/>
                      </w:rPr>
                      <w:t>七、</w:t>
                    </w:r>
                    <w:r>
                      <w:rPr>
                        <w:rFonts w:hint="eastAsia"/>
                        <w:szCs w:val="21"/>
                      </w:rPr>
                      <w:t>2</w:t>
                    </w:r>
                  </w:p>
                </w:tc>
                <w:tc>
                  <w:tcPr>
                    <w:tcW w:w="1411" w:type="pct"/>
                    <w:tcBorders>
                      <w:top w:val="outset" w:sz="6" w:space="0" w:color="auto"/>
                      <w:left w:val="outset" w:sz="6" w:space="0" w:color="auto"/>
                      <w:bottom w:val="outset" w:sz="6" w:space="0" w:color="auto"/>
                      <w:right w:val="outset" w:sz="6" w:space="0" w:color="auto"/>
                    </w:tcBorders>
                  </w:tcPr>
                  <w:p w14:paraId="48D32CF6" w14:textId="77777777" w:rsidR="00471D53" w:rsidRDefault="004F686E" w:rsidP="00471D53">
                    <w:pPr>
                      <w:jc w:val="right"/>
                      <w:rPr>
                        <w:szCs w:val="21"/>
                      </w:rPr>
                    </w:pPr>
                    <w:r>
                      <w:t>375,353,312.81</w:t>
                    </w:r>
                  </w:p>
                </w:tc>
                <w:tc>
                  <w:tcPr>
                    <w:tcW w:w="1333" w:type="pct"/>
                    <w:tcBorders>
                      <w:top w:val="outset" w:sz="6" w:space="0" w:color="auto"/>
                      <w:left w:val="outset" w:sz="6" w:space="0" w:color="auto"/>
                      <w:bottom w:val="outset" w:sz="6" w:space="0" w:color="auto"/>
                      <w:right w:val="outset" w:sz="6" w:space="0" w:color="auto"/>
                    </w:tcBorders>
                  </w:tcPr>
                  <w:p w14:paraId="6870A5DE" w14:textId="77777777" w:rsidR="00471D53" w:rsidRDefault="004F686E" w:rsidP="00471D53">
                    <w:pPr>
                      <w:jc w:val="right"/>
                      <w:rPr>
                        <w:szCs w:val="21"/>
                      </w:rPr>
                    </w:pPr>
                    <w:r>
                      <w:t>381,353,312.81</w:t>
                    </w:r>
                  </w:p>
                </w:tc>
              </w:tr>
              <w:tr w:rsidR="00471D53" w14:paraId="7BF568BD" w14:textId="77777777" w:rsidTr="00471D53">
                <w:sdt>
                  <w:sdtPr>
                    <w:tag w:val="_PLD_b55f9182bb0f4ff099725b83128277f5"/>
                    <w:id w:val="-72683469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B34C1F4" w14:textId="77777777" w:rsidR="00471D53" w:rsidRDefault="004F686E" w:rsidP="00471D53">
                        <w:pPr>
                          <w:ind w:firstLineChars="100" w:firstLine="210"/>
                          <w:rPr>
                            <w:szCs w:val="21"/>
                          </w:rPr>
                        </w:pPr>
                        <w:r>
                          <w:rPr>
                            <w:rFonts w:hint="eastAsia"/>
                          </w:rPr>
                          <w:t>其中：</w:t>
                        </w:r>
                        <w:r>
                          <w:rPr>
                            <w:rFonts w:hint="eastAsia"/>
                            <w:szCs w:val="21"/>
                          </w:rPr>
                          <w:t>应收利息</w:t>
                        </w:r>
                      </w:p>
                    </w:tc>
                  </w:sdtContent>
                </w:sdt>
                <w:tc>
                  <w:tcPr>
                    <w:tcW w:w="627" w:type="pct"/>
                    <w:tcBorders>
                      <w:top w:val="outset" w:sz="6" w:space="0" w:color="auto"/>
                      <w:left w:val="outset" w:sz="6" w:space="0" w:color="auto"/>
                      <w:bottom w:val="outset" w:sz="6" w:space="0" w:color="auto"/>
                      <w:right w:val="outset" w:sz="6" w:space="0" w:color="auto"/>
                    </w:tcBorders>
                  </w:tcPr>
                  <w:p w14:paraId="3D3843BA"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328AFCEE" w14:textId="77777777" w:rsidR="00471D53" w:rsidRDefault="004F686E" w:rsidP="00471D53">
                    <w:pPr>
                      <w:jc w:val="right"/>
                      <w:rPr>
                        <w:szCs w:val="21"/>
                      </w:rPr>
                    </w:pPr>
                    <w:r>
                      <w:t>35,353,312.81</w:t>
                    </w:r>
                  </w:p>
                </w:tc>
                <w:tc>
                  <w:tcPr>
                    <w:tcW w:w="1333" w:type="pct"/>
                    <w:tcBorders>
                      <w:top w:val="outset" w:sz="6" w:space="0" w:color="auto"/>
                      <w:left w:val="outset" w:sz="6" w:space="0" w:color="auto"/>
                      <w:bottom w:val="outset" w:sz="6" w:space="0" w:color="auto"/>
                      <w:right w:val="outset" w:sz="6" w:space="0" w:color="auto"/>
                    </w:tcBorders>
                  </w:tcPr>
                  <w:p w14:paraId="1915FF72" w14:textId="77777777" w:rsidR="00471D53" w:rsidRDefault="004F686E" w:rsidP="00471D53">
                    <w:pPr>
                      <w:jc w:val="right"/>
                      <w:rPr>
                        <w:szCs w:val="21"/>
                      </w:rPr>
                    </w:pPr>
                    <w:r>
                      <w:t>35,353,312.81</w:t>
                    </w:r>
                  </w:p>
                </w:tc>
              </w:tr>
              <w:tr w:rsidR="00471D53" w14:paraId="66CB0456" w14:textId="77777777" w:rsidTr="00471D53">
                <w:sdt>
                  <w:sdtPr>
                    <w:tag w:val="_PLD_e9ef2df028eb46cbb98922f7b2e9c423"/>
                    <w:id w:val="77067367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0C020EF" w14:textId="77777777" w:rsidR="00471D53" w:rsidRDefault="004F686E" w:rsidP="00471D53">
                        <w:pPr>
                          <w:ind w:firstLineChars="400" w:firstLine="840"/>
                          <w:rPr>
                            <w:szCs w:val="21"/>
                          </w:rPr>
                        </w:pPr>
                        <w:r>
                          <w:rPr>
                            <w:rFonts w:hint="eastAsia"/>
                            <w:szCs w:val="21"/>
                          </w:rPr>
                          <w:t>应收股利</w:t>
                        </w:r>
                      </w:p>
                    </w:tc>
                  </w:sdtContent>
                </w:sdt>
                <w:tc>
                  <w:tcPr>
                    <w:tcW w:w="627" w:type="pct"/>
                    <w:tcBorders>
                      <w:top w:val="outset" w:sz="6" w:space="0" w:color="auto"/>
                      <w:left w:val="outset" w:sz="6" w:space="0" w:color="auto"/>
                      <w:bottom w:val="outset" w:sz="6" w:space="0" w:color="auto"/>
                      <w:right w:val="outset" w:sz="6" w:space="0" w:color="auto"/>
                    </w:tcBorders>
                  </w:tcPr>
                  <w:p w14:paraId="4A36CA57"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32FD4D03"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3A804B06" w14:textId="77777777" w:rsidR="00471D53" w:rsidRDefault="00B664AF" w:rsidP="00471D53">
                    <w:pPr>
                      <w:jc w:val="right"/>
                      <w:rPr>
                        <w:szCs w:val="21"/>
                      </w:rPr>
                    </w:pPr>
                  </w:p>
                </w:tc>
              </w:tr>
              <w:tr w:rsidR="00471D53" w14:paraId="0E22995C" w14:textId="77777777" w:rsidTr="00471D53">
                <w:sdt>
                  <w:sdtPr>
                    <w:tag w:val="_PLD_6cc0aeaf59b04efabb1f01b5c63b990f"/>
                    <w:id w:val="180950552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5724B4F" w14:textId="77777777" w:rsidR="00471D53" w:rsidRDefault="004F686E" w:rsidP="00471D53">
                        <w:pPr>
                          <w:ind w:firstLineChars="100" w:firstLine="210"/>
                          <w:rPr>
                            <w:szCs w:val="21"/>
                          </w:rPr>
                        </w:pPr>
                        <w:r>
                          <w:rPr>
                            <w:rFonts w:hint="eastAsia"/>
                            <w:szCs w:val="21"/>
                          </w:rPr>
                          <w:t>存货</w:t>
                        </w:r>
                      </w:p>
                    </w:tc>
                  </w:sdtContent>
                </w:sdt>
                <w:tc>
                  <w:tcPr>
                    <w:tcW w:w="627" w:type="pct"/>
                    <w:tcBorders>
                      <w:top w:val="outset" w:sz="6" w:space="0" w:color="auto"/>
                      <w:left w:val="outset" w:sz="6" w:space="0" w:color="auto"/>
                      <w:bottom w:val="outset" w:sz="6" w:space="0" w:color="auto"/>
                      <w:right w:val="outset" w:sz="6" w:space="0" w:color="auto"/>
                    </w:tcBorders>
                  </w:tcPr>
                  <w:p w14:paraId="6A653FFA"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495446FE"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1344AB3" w14:textId="77777777" w:rsidR="00471D53" w:rsidRDefault="00B664AF" w:rsidP="00471D53">
                    <w:pPr>
                      <w:jc w:val="right"/>
                      <w:rPr>
                        <w:szCs w:val="21"/>
                      </w:rPr>
                    </w:pPr>
                  </w:p>
                </w:tc>
              </w:tr>
              <w:tr w:rsidR="00471D53" w14:paraId="366EF8DA" w14:textId="77777777" w:rsidTr="00471D53">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e3d0e1008ca4d3b96e66b5c92068d38"/>
                      <w:id w:val="673000315"/>
                      <w:lock w:val="sdtLocked"/>
                    </w:sdtPr>
                    <w:sdtEndPr/>
                    <w:sdtContent>
                      <w:p w14:paraId="60621A37" w14:textId="77777777" w:rsidR="00471D53" w:rsidRDefault="004F686E" w:rsidP="00471D53">
                        <w:pPr>
                          <w:ind w:firstLineChars="100" w:firstLine="21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tcPr>
                  <w:p w14:paraId="4CBC0B99"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6515D76E"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11F6718D" w14:textId="77777777" w:rsidR="00471D53" w:rsidRDefault="00B664AF" w:rsidP="00471D53">
                    <w:pPr>
                      <w:jc w:val="right"/>
                      <w:rPr>
                        <w:szCs w:val="21"/>
                      </w:rPr>
                    </w:pPr>
                  </w:p>
                </w:tc>
              </w:tr>
              <w:tr w:rsidR="00471D53" w14:paraId="18AD616D" w14:textId="77777777" w:rsidTr="00471D53">
                <w:sdt>
                  <w:sdtPr>
                    <w:tag w:val="_PLD_a0e80251eb49414f8ed0e4f3efcb5263"/>
                    <w:id w:val="181729084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A4D99BC" w14:textId="77777777" w:rsidR="00471D53" w:rsidRDefault="004F686E" w:rsidP="00471D53">
                        <w:pPr>
                          <w:ind w:firstLineChars="100" w:firstLine="210"/>
                          <w:rPr>
                            <w:szCs w:val="21"/>
                          </w:rPr>
                        </w:pPr>
                        <w:r>
                          <w:rPr>
                            <w:rFonts w:hint="eastAsia"/>
                            <w:szCs w:val="21"/>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14:paraId="05AD8BEF"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6DDDFDC1"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785CBC36" w14:textId="77777777" w:rsidR="00471D53" w:rsidRDefault="00B664AF" w:rsidP="00471D53">
                    <w:pPr>
                      <w:jc w:val="right"/>
                      <w:rPr>
                        <w:szCs w:val="21"/>
                      </w:rPr>
                    </w:pPr>
                  </w:p>
                </w:tc>
              </w:tr>
              <w:tr w:rsidR="00471D53" w14:paraId="06164E40" w14:textId="77777777" w:rsidTr="00471D53">
                <w:sdt>
                  <w:sdtPr>
                    <w:tag w:val="_PLD_b0b228c115df478088a29f03f8d7ad59"/>
                    <w:id w:val="186440004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E7F452C" w14:textId="77777777" w:rsidR="00471D53" w:rsidRDefault="004F686E" w:rsidP="00471D53">
                        <w:pPr>
                          <w:ind w:firstLineChars="100" w:firstLine="210"/>
                          <w:rPr>
                            <w:szCs w:val="21"/>
                          </w:rPr>
                        </w:pPr>
                        <w:r>
                          <w:rPr>
                            <w:rFonts w:hint="eastAsia"/>
                            <w:szCs w:val="21"/>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14:paraId="4B7DAF8A"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2FC410C8"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0FC4A5B8" w14:textId="77777777" w:rsidR="00471D53" w:rsidRDefault="00B664AF" w:rsidP="00471D53">
                    <w:pPr>
                      <w:jc w:val="right"/>
                      <w:rPr>
                        <w:szCs w:val="21"/>
                      </w:rPr>
                    </w:pPr>
                  </w:p>
                </w:tc>
              </w:tr>
              <w:tr w:rsidR="00471D53" w14:paraId="3891B79A" w14:textId="77777777" w:rsidTr="00471D53">
                <w:sdt>
                  <w:sdtPr>
                    <w:tag w:val="_PLD_62c79909426d483f990fd7869da0a773"/>
                    <w:id w:val="-93012239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0C4AEE4" w14:textId="77777777" w:rsidR="00471D53" w:rsidRDefault="004F686E" w:rsidP="00471D53">
                        <w:pPr>
                          <w:ind w:firstLineChars="100" w:firstLine="210"/>
                          <w:rPr>
                            <w:szCs w:val="21"/>
                          </w:rPr>
                        </w:pPr>
                        <w:r>
                          <w:rPr>
                            <w:rFonts w:hint="eastAsia"/>
                            <w:szCs w:val="21"/>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14:paraId="383AE58E"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46855D4A" w14:textId="77777777" w:rsidR="00471D53" w:rsidRDefault="004F686E" w:rsidP="00471D53">
                    <w:pPr>
                      <w:jc w:val="right"/>
                      <w:rPr>
                        <w:szCs w:val="21"/>
                      </w:rPr>
                    </w:pPr>
                    <w:r>
                      <w:t>65,481.17</w:t>
                    </w:r>
                  </w:p>
                </w:tc>
                <w:tc>
                  <w:tcPr>
                    <w:tcW w:w="1333" w:type="pct"/>
                    <w:tcBorders>
                      <w:top w:val="outset" w:sz="6" w:space="0" w:color="auto"/>
                      <w:left w:val="outset" w:sz="6" w:space="0" w:color="auto"/>
                      <w:bottom w:val="outset" w:sz="6" w:space="0" w:color="auto"/>
                      <w:right w:val="outset" w:sz="6" w:space="0" w:color="auto"/>
                    </w:tcBorders>
                  </w:tcPr>
                  <w:p w14:paraId="0558BE85" w14:textId="77777777" w:rsidR="00471D53" w:rsidRDefault="00B664AF" w:rsidP="00471D53">
                    <w:pPr>
                      <w:jc w:val="right"/>
                      <w:rPr>
                        <w:szCs w:val="21"/>
                      </w:rPr>
                    </w:pPr>
                  </w:p>
                </w:tc>
              </w:tr>
              <w:tr w:rsidR="00471D53" w14:paraId="37161CD5" w14:textId="77777777" w:rsidTr="00471D53">
                <w:sdt>
                  <w:sdtPr>
                    <w:tag w:val="_PLD_b5f1546085cd4f41ba16ec6a8b42ac7f"/>
                    <w:id w:val="-210139619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93D6D21" w14:textId="77777777" w:rsidR="00471D53" w:rsidRDefault="004F686E" w:rsidP="00471D53">
                        <w:pPr>
                          <w:ind w:firstLineChars="200" w:firstLine="420"/>
                          <w:rPr>
                            <w:szCs w:val="21"/>
                          </w:rPr>
                        </w:pPr>
                        <w:r>
                          <w:rPr>
                            <w:rFonts w:hint="eastAsia"/>
                            <w:szCs w:val="21"/>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14:paraId="47327B49"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76B08532" w14:textId="77777777" w:rsidR="00471D53" w:rsidRDefault="004F686E" w:rsidP="00471D53">
                    <w:pPr>
                      <w:jc w:val="right"/>
                      <w:rPr>
                        <w:szCs w:val="21"/>
                      </w:rPr>
                    </w:pPr>
                    <w:r>
                      <w:t>378,529,703.00</w:t>
                    </w:r>
                  </w:p>
                </w:tc>
                <w:tc>
                  <w:tcPr>
                    <w:tcW w:w="1333" w:type="pct"/>
                    <w:tcBorders>
                      <w:top w:val="outset" w:sz="6" w:space="0" w:color="auto"/>
                      <w:left w:val="outset" w:sz="6" w:space="0" w:color="auto"/>
                      <w:bottom w:val="outset" w:sz="6" w:space="0" w:color="auto"/>
                      <w:right w:val="outset" w:sz="6" w:space="0" w:color="auto"/>
                    </w:tcBorders>
                  </w:tcPr>
                  <w:p w14:paraId="6CF2BBA8" w14:textId="77777777" w:rsidR="00471D53" w:rsidRDefault="004F686E" w:rsidP="00471D53">
                    <w:pPr>
                      <w:jc w:val="right"/>
                      <w:rPr>
                        <w:szCs w:val="21"/>
                      </w:rPr>
                    </w:pPr>
                    <w:r>
                      <w:t>384,903,323.14</w:t>
                    </w:r>
                  </w:p>
                </w:tc>
              </w:tr>
              <w:tr w:rsidR="00471D53" w14:paraId="3F0C09BD" w14:textId="77777777" w:rsidTr="00471D53">
                <w:sdt>
                  <w:sdtPr>
                    <w:tag w:val="_PLD_71f45ac7535d4ffeaa6273d6527bae0d"/>
                    <w:id w:val="211524535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65CFA82" w14:textId="77777777" w:rsidR="00471D53" w:rsidRDefault="004F686E" w:rsidP="00471D53">
                        <w:pPr>
                          <w:rPr>
                            <w:szCs w:val="21"/>
                          </w:rPr>
                        </w:pPr>
                        <w:r>
                          <w:rPr>
                            <w:rFonts w:hint="eastAsia"/>
                            <w:b/>
                            <w:bCs/>
                            <w:szCs w:val="21"/>
                          </w:rPr>
                          <w:t>非流动资产：</w:t>
                        </w:r>
                      </w:p>
                    </w:tc>
                  </w:sdtContent>
                </w:sdt>
                <w:tc>
                  <w:tcPr>
                    <w:tcW w:w="627" w:type="pct"/>
                    <w:tcBorders>
                      <w:top w:val="outset" w:sz="6" w:space="0" w:color="auto"/>
                      <w:left w:val="outset" w:sz="6" w:space="0" w:color="auto"/>
                      <w:bottom w:val="outset" w:sz="6" w:space="0" w:color="auto"/>
                      <w:right w:val="outset" w:sz="6" w:space="0" w:color="auto"/>
                    </w:tcBorders>
                  </w:tcPr>
                  <w:p w14:paraId="7C908AD5" w14:textId="77777777" w:rsidR="00471D53" w:rsidRDefault="00B664AF" w:rsidP="00471D53">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14:paraId="502B172C" w14:textId="77777777" w:rsidR="00471D53" w:rsidRDefault="00B664AF" w:rsidP="00471D53">
                    <w:pPr>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14:paraId="2024CE53" w14:textId="77777777" w:rsidR="00471D53" w:rsidRDefault="00B664AF" w:rsidP="00471D53">
                    <w:pPr>
                      <w:rPr>
                        <w:color w:val="008000"/>
                        <w:szCs w:val="21"/>
                      </w:rPr>
                    </w:pPr>
                  </w:p>
                </w:tc>
              </w:tr>
              <w:tr w:rsidR="00471D53" w14:paraId="382B64DD" w14:textId="77777777" w:rsidTr="00471D53">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c2fbd80d951495a9e6e271d71a458e3"/>
                      <w:id w:val="-49692040"/>
                      <w:lock w:val="sdtLocked"/>
                    </w:sdtPr>
                    <w:sdtEndPr/>
                    <w:sdtContent>
                      <w:p w14:paraId="4BDE6B5B" w14:textId="77777777" w:rsidR="00471D53" w:rsidRDefault="004F686E" w:rsidP="00471D53">
                        <w:pPr>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14:paraId="183FC27A"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61147C17"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69E959EA" w14:textId="77777777" w:rsidR="00471D53" w:rsidRDefault="00B664AF" w:rsidP="00471D53">
                    <w:pPr>
                      <w:jc w:val="right"/>
                      <w:rPr>
                        <w:szCs w:val="21"/>
                      </w:rPr>
                    </w:pPr>
                  </w:p>
                </w:tc>
              </w:tr>
              <w:tr w:rsidR="00471D53" w14:paraId="5A93C875" w14:textId="77777777" w:rsidTr="00471D53">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e13bbca7370496690a32404c8d408c7"/>
                      <w:id w:val="-431591678"/>
                      <w:lock w:val="sdtLocked"/>
                    </w:sdtPr>
                    <w:sdtEndPr/>
                    <w:sdtContent>
                      <w:p w14:paraId="73C9399D" w14:textId="77777777" w:rsidR="00471D53" w:rsidRDefault="004F686E" w:rsidP="00471D53">
                        <w:pPr>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14:paraId="6C563603"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4262F292"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6900B104" w14:textId="77777777" w:rsidR="00471D53" w:rsidRDefault="00B664AF" w:rsidP="00471D53">
                    <w:pPr>
                      <w:jc w:val="right"/>
                      <w:rPr>
                        <w:szCs w:val="21"/>
                      </w:rPr>
                    </w:pPr>
                  </w:p>
                </w:tc>
              </w:tr>
              <w:tr w:rsidR="00471D53" w14:paraId="7D672201" w14:textId="77777777" w:rsidTr="00471D53">
                <w:sdt>
                  <w:sdtPr>
                    <w:tag w:val="_PLD_6305d0ab634c4b40bd8df81ff23c8d0d"/>
                    <w:id w:val="3509136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27E20D2" w14:textId="77777777" w:rsidR="00471D53" w:rsidRDefault="004F686E" w:rsidP="00471D53">
                        <w:pPr>
                          <w:ind w:firstLineChars="100" w:firstLine="210"/>
                          <w:rPr>
                            <w:szCs w:val="21"/>
                          </w:rPr>
                        </w:pPr>
                        <w:r>
                          <w:rPr>
                            <w:rFonts w:hint="eastAsia"/>
                            <w:szCs w:val="21"/>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14:paraId="0EB3EBF8"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27703EF8"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182C7A93" w14:textId="77777777" w:rsidR="00471D53" w:rsidRDefault="00B664AF" w:rsidP="00471D53">
                    <w:pPr>
                      <w:jc w:val="right"/>
                      <w:rPr>
                        <w:szCs w:val="21"/>
                      </w:rPr>
                    </w:pPr>
                  </w:p>
                </w:tc>
              </w:tr>
              <w:tr w:rsidR="00471D53" w14:paraId="1FC2FE8D" w14:textId="77777777" w:rsidTr="00471D53">
                <w:sdt>
                  <w:sdtPr>
                    <w:tag w:val="_PLD_fa3d0d37a62a4d8890171550ab1664b1"/>
                    <w:id w:val="-109562941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89080F0" w14:textId="77777777" w:rsidR="00471D53" w:rsidRDefault="004F686E" w:rsidP="00471D53">
                        <w:pPr>
                          <w:ind w:firstLineChars="100" w:firstLine="210"/>
                          <w:rPr>
                            <w:szCs w:val="21"/>
                          </w:rPr>
                        </w:pPr>
                        <w:r>
                          <w:rPr>
                            <w:rFonts w:hint="eastAsia"/>
                            <w:szCs w:val="21"/>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14:paraId="69747751" w14:textId="77777777" w:rsidR="00471D53" w:rsidRDefault="004F686E" w:rsidP="00471D53">
                    <w:pPr>
                      <w:rPr>
                        <w:szCs w:val="21"/>
                      </w:rPr>
                    </w:pPr>
                    <w:r w:rsidRPr="001B7724">
                      <w:rPr>
                        <w:rFonts w:hint="eastAsia"/>
                        <w:szCs w:val="21"/>
                      </w:rPr>
                      <w:t>十七、</w:t>
                    </w:r>
                    <w:r>
                      <w:rPr>
                        <w:rFonts w:hint="eastAsia"/>
                        <w:szCs w:val="21"/>
                      </w:rPr>
                      <w:t>3</w:t>
                    </w:r>
                  </w:p>
                </w:tc>
                <w:tc>
                  <w:tcPr>
                    <w:tcW w:w="1411" w:type="pct"/>
                    <w:tcBorders>
                      <w:top w:val="outset" w:sz="6" w:space="0" w:color="auto"/>
                      <w:left w:val="outset" w:sz="6" w:space="0" w:color="auto"/>
                      <w:bottom w:val="outset" w:sz="6" w:space="0" w:color="auto"/>
                      <w:right w:val="outset" w:sz="6" w:space="0" w:color="auto"/>
                    </w:tcBorders>
                  </w:tcPr>
                  <w:p w14:paraId="34123AD0" w14:textId="77777777" w:rsidR="00471D53" w:rsidRDefault="004F686E" w:rsidP="00471D53">
                    <w:pPr>
                      <w:jc w:val="right"/>
                      <w:rPr>
                        <w:szCs w:val="21"/>
                      </w:rPr>
                    </w:pPr>
                    <w:r>
                      <w:t>902,148,125.05</w:t>
                    </w:r>
                  </w:p>
                </w:tc>
                <w:tc>
                  <w:tcPr>
                    <w:tcW w:w="1333" w:type="pct"/>
                    <w:tcBorders>
                      <w:top w:val="outset" w:sz="6" w:space="0" w:color="auto"/>
                      <w:left w:val="outset" w:sz="6" w:space="0" w:color="auto"/>
                      <w:bottom w:val="outset" w:sz="6" w:space="0" w:color="auto"/>
                      <w:right w:val="outset" w:sz="6" w:space="0" w:color="auto"/>
                    </w:tcBorders>
                  </w:tcPr>
                  <w:p w14:paraId="3A6715FB" w14:textId="77777777" w:rsidR="00471D53" w:rsidRDefault="004F686E" w:rsidP="00471D53">
                    <w:pPr>
                      <w:jc w:val="right"/>
                      <w:rPr>
                        <w:szCs w:val="21"/>
                      </w:rPr>
                    </w:pPr>
                    <w:r>
                      <w:t>902,148,125.05</w:t>
                    </w:r>
                  </w:p>
                </w:tc>
              </w:tr>
              <w:tr w:rsidR="00471D53" w14:paraId="18573539" w14:textId="77777777" w:rsidTr="00471D53">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ff348e432d64b2db9dfbd6062b82eb5"/>
                      <w:id w:val="-1721978595"/>
                      <w:lock w:val="sdtLocked"/>
                    </w:sdtPr>
                    <w:sdtEndPr/>
                    <w:sdtContent>
                      <w:p w14:paraId="16AC1BD3" w14:textId="77777777" w:rsidR="00471D53" w:rsidRDefault="004F686E" w:rsidP="00471D53">
                        <w:pPr>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14:paraId="32B598E4"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7BB733BF"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3E492D2F" w14:textId="77777777" w:rsidR="00471D53" w:rsidRDefault="00B664AF" w:rsidP="00471D53">
                    <w:pPr>
                      <w:jc w:val="right"/>
                      <w:rPr>
                        <w:szCs w:val="21"/>
                      </w:rPr>
                    </w:pPr>
                  </w:p>
                </w:tc>
              </w:tr>
              <w:tr w:rsidR="00471D53" w14:paraId="1F5F866A" w14:textId="77777777" w:rsidTr="00471D53">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3127ce1ff284582992a5980b440c217"/>
                      <w:id w:val="-27730604"/>
                      <w:lock w:val="sdtLocked"/>
                    </w:sdtPr>
                    <w:sdtEndPr/>
                    <w:sdtContent>
                      <w:p w14:paraId="64A19AAE" w14:textId="77777777" w:rsidR="00471D53" w:rsidRDefault="004F686E" w:rsidP="00471D53">
                        <w:pPr>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14:paraId="3AD569EF"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284DCD91"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BD4020D" w14:textId="77777777" w:rsidR="00471D53" w:rsidRDefault="00B664AF" w:rsidP="00471D53">
                    <w:pPr>
                      <w:jc w:val="right"/>
                      <w:rPr>
                        <w:szCs w:val="21"/>
                      </w:rPr>
                    </w:pPr>
                  </w:p>
                </w:tc>
              </w:tr>
              <w:tr w:rsidR="00471D53" w14:paraId="292D4D60" w14:textId="77777777" w:rsidTr="00471D53">
                <w:sdt>
                  <w:sdtPr>
                    <w:tag w:val="_PLD_d598b192b9aa4c77b3dbe14be0a567ae"/>
                    <w:id w:val="103276267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EB4543F" w14:textId="77777777" w:rsidR="00471D53" w:rsidRDefault="004F686E" w:rsidP="00471D53">
                        <w:pPr>
                          <w:ind w:firstLineChars="100" w:firstLine="210"/>
                          <w:rPr>
                            <w:szCs w:val="21"/>
                          </w:rPr>
                        </w:pPr>
                        <w:r>
                          <w:rPr>
                            <w:rFonts w:hint="eastAsia"/>
                            <w:szCs w:val="21"/>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14:paraId="39336B86"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04B0C282"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0C22AC01" w14:textId="77777777" w:rsidR="00471D53" w:rsidRDefault="00B664AF" w:rsidP="00471D53">
                    <w:pPr>
                      <w:jc w:val="right"/>
                      <w:rPr>
                        <w:szCs w:val="21"/>
                      </w:rPr>
                    </w:pPr>
                  </w:p>
                </w:tc>
              </w:tr>
              <w:tr w:rsidR="00471D53" w14:paraId="4D471083" w14:textId="77777777" w:rsidTr="00471D53">
                <w:sdt>
                  <w:sdtPr>
                    <w:tag w:val="_PLD_36c5e0c04606490d92af21e793463b46"/>
                    <w:id w:val="67877771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9FE1964" w14:textId="77777777" w:rsidR="00471D53" w:rsidRDefault="004F686E" w:rsidP="00471D53">
                        <w:pPr>
                          <w:ind w:firstLineChars="100" w:firstLine="210"/>
                          <w:rPr>
                            <w:szCs w:val="21"/>
                          </w:rPr>
                        </w:pPr>
                        <w:r>
                          <w:rPr>
                            <w:rFonts w:hint="eastAsia"/>
                            <w:szCs w:val="21"/>
                          </w:rPr>
                          <w:t>固定资产</w:t>
                        </w:r>
                      </w:p>
                    </w:tc>
                  </w:sdtContent>
                </w:sdt>
                <w:tc>
                  <w:tcPr>
                    <w:tcW w:w="627" w:type="pct"/>
                    <w:tcBorders>
                      <w:top w:val="outset" w:sz="6" w:space="0" w:color="auto"/>
                      <w:left w:val="outset" w:sz="6" w:space="0" w:color="auto"/>
                      <w:bottom w:val="outset" w:sz="6" w:space="0" w:color="auto"/>
                      <w:right w:val="outset" w:sz="6" w:space="0" w:color="auto"/>
                    </w:tcBorders>
                  </w:tcPr>
                  <w:p w14:paraId="5D41D387"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415CC8C5" w14:textId="77777777" w:rsidR="00471D53" w:rsidRDefault="004F686E" w:rsidP="00471D53">
                    <w:pPr>
                      <w:jc w:val="right"/>
                      <w:rPr>
                        <w:szCs w:val="21"/>
                      </w:rPr>
                    </w:pPr>
                    <w:r>
                      <w:t>31,650.82</w:t>
                    </w:r>
                  </w:p>
                </w:tc>
                <w:tc>
                  <w:tcPr>
                    <w:tcW w:w="1333" w:type="pct"/>
                    <w:tcBorders>
                      <w:top w:val="outset" w:sz="6" w:space="0" w:color="auto"/>
                      <w:left w:val="outset" w:sz="6" w:space="0" w:color="auto"/>
                      <w:bottom w:val="outset" w:sz="6" w:space="0" w:color="auto"/>
                      <w:right w:val="outset" w:sz="6" w:space="0" w:color="auto"/>
                    </w:tcBorders>
                  </w:tcPr>
                  <w:p w14:paraId="1F8F0888" w14:textId="77777777" w:rsidR="00471D53" w:rsidRDefault="004F686E" w:rsidP="00471D53">
                    <w:pPr>
                      <w:jc w:val="right"/>
                      <w:rPr>
                        <w:szCs w:val="21"/>
                      </w:rPr>
                    </w:pPr>
                    <w:r>
                      <w:t>37,427.20</w:t>
                    </w:r>
                  </w:p>
                </w:tc>
              </w:tr>
              <w:tr w:rsidR="00471D53" w14:paraId="0DD7A3CD" w14:textId="77777777" w:rsidTr="00471D53">
                <w:sdt>
                  <w:sdtPr>
                    <w:tag w:val="_PLD_81cd0ff44d5a4f0e8701c556dd24e59c"/>
                    <w:id w:val="-163756074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A5159E4" w14:textId="77777777" w:rsidR="00471D53" w:rsidRDefault="004F686E" w:rsidP="00471D53">
                        <w:pPr>
                          <w:ind w:firstLineChars="100" w:firstLine="210"/>
                          <w:rPr>
                            <w:szCs w:val="21"/>
                          </w:rPr>
                        </w:pPr>
                        <w:r>
                          <w:rPr>
                            <w:rFonts w:hint="eastAsia"/>
                            <w:szCs w:val="21"/>
                          </w:rPr>
                          <w:t>在建工程</w:t>
                        </w:r>
                      </w:p>
                    </w:tc>
                  </w:sdtContent>
                </w:sdt>
                <w:tc>
                  <w:tcPr>
                    <w:tcW w:w="627" w:type="pct"/>
                    <w:tcBorders>
                      <w:top w:val="outset" w:sz="6" w:space="0" w:color="auto"/>
                      <w:left w:val="outset" w:sz="6" w:space="0" w:color="auto"/>
                      <w:bottom w:val="outset" w:sz="6" w:space="0" w:color="auto"/>
                      <w:right w:val="outset" w:sz="6" w:space="0" w:color="auto"/>
                    </w:tcBorders>
                  </w:tcPr>
                  <w:p w14:paraId="4CE41BE2"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660E83B7"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55E002C8" w14:textId="77777777" w:rsidR="00471D53" w:rsidRDefault="00B664AF" w:rsidP="00471D53">
                    <w:pPr>
                      <w:jc w:val="right"/>
                      <w:rPr>
                        <w:szCs w:val="21"/>
                      </w:rPr>
                    </w:pPr>
                  </w:p>
                </w:tc>
              </w:tr>
              <w:tr w:rsidR="00471D53" w14:paraId="4787D7C8" w14:textId="77777777" w:rsidTr="00471D53">
                <w:sdt>
                  <w:sdtPr>
                    <w:tag w:val="_PLD_74c33ad5ce6d42528b0c43102a02972c"/>
                    <w:id w:val="-145646906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4B3AD97" w14:textId="77777777" w:rsidR="00471D53" w:rsidRDefault="004F686E" w:rsidP="00471D53">
                        <w:pPr>
                          <w:ind w:firstLineChars="100" w:firstLine="210"/>
                          <w:rPr>
                            <w:szCs w:val="21"/>
                          </w:rPr>
                        </w:pPr>
                        <w:r>
                          <w:rPr>
                            <w:rFonts w:hint="eastAsia"/>
                            <w:szCs w:val="21"/>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14:paraId="6B9ABF23"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2AA3927C"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603760C2" w14:textId="77777777" w:rsidR="00471D53" w:rsidRDefault="00B664AF" w:rsidP="00471D53">
                    <w:pPr>
                      <w:jc w:val="right"/>
                      <w:rPr>
                        <w:szCs w:val="21"/>
                      </w:rPr>
                    </w:pPr>
                  </w:p>
                </w:tc>
              </w:tr>
              <w:tr w:rsidR="00471D53" w14:paraId="1DFF484A" w14:textId="77777777" w:rsidTr="00471D53">
                <w:sdt>
                  <w:sdtPr>
                    <w:tag w:val="_PLD_edcc58c83399408895b0a6d09d9073f2"/>
                    <w:id w:val="110808670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16DDD50" w14:textId="77777777" w:rsidR="00471D53" w:rsidRDefault="004F686E" w:rsidP="00471D53">
                        <w:pPr>
                          <w:ind w:firstLineChars="100" w:firstLine="210"/>
                          <w:rPr>
                            <w:szCs w:val="21"/>
                          </w:rPr>
                        </w:pPr>
                        <w:r>
                          <w:rPr>
                            <w:rFonts w:hint="eastAsia"/>
                            <w:szCs w:val="21"/>
                          </w:rPr>
                          <w:t>油气资产</w:t>
                        </w:r>
                      </w:p>
                    </w:tc>
                  </w:sdtContent>
                </w:sdt>
                <w:tc>
                  <w:tcPr>
                    <w:tcW w:w="627" w:type="pct"/>
                    <w:tcBorders>
                      <w:top w:val="outset" w:sz="6" w:space="0" w:color="auto"/>
                      <w:left w:val="outset" w:sz="6" w:space="0" w:color="auto"/>
                      <w:bottom w:val="outset" w:sz="6" w:space="0" w:color="auto"/>
                      <w:right w:val="outset" w:sz="6" w:space="0" w:color="auto"/>
                    </w:tcBorders>
                  </w:tcPr>
                  <w:p w14:paraId="6A276B48"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054B94AF"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3F93A3CA" w14:textId="77777777" w:rsidR="00471D53" w:rsidRDefault="00B664AF" w:rsidP="00471D53">
                    <w:pPr>
                      <w:jc w:val="right"/>
                      <w:rPr>
                        <w:szCs w:val="21"/>
                      </w:rPr>
                    </w:pPr>
                  </w:p>
                </w:tc>
              </w:tr>
              <w:tr w:rsidR="00471D53" w14:paraId="4F9A3362" w14:textId="77777777" w:rsidTr="00471D53">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d2c3b675df54b0b89d82ab1b691d06c"/>
                      <w:id w:val="-1068561568"/>
                      <w:lock w:val="sdtLocked"/>
                    </w:sdtPr>
                    <w:sdtEndPr/>
                    <w:sdtContent>
                      <w:p w14:paraId="6584F26E" w14:textId="77777777" w:rsidR="00471D53" w:rsidRDefault="004F686E" w:rsidP="00471D53">
                        <w:pPr>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14:paraId="443E279A"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1F82072E"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5A5A2715" w14:textId="77777777" w:rsidR="00471D53" w:rsidRDefault="00B664AF" w:rsidP="00471D53">
                    <w:pPr>
                      <w:jc w:val="right"/>
                      <w:rPr>
                        <w:szCs w:val="21"/>
                      </w:rPr>
                    </w:pPr>
                  </w:p>
                </w:tc>
              </w:tr>
              <w:tr w:rsidR="00471D53" w14:paraId="3E8CCD31" w14:textId="77777777" w:rsidTr="00471D53">
                <w:sdt>
                  <w:sdtPr>
                    <w:tag w:val="_PLD_e97c32de07ca406c995520445e6dffbf"/>
                    <w:id w:val="-165629123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9B21FE0" w14:textId="77777777" w:rsidR="00471D53" w:rsidRDefault="004F686E" w:rsidP="00471D53">
                        <w:pPr>
                          <w:ind w:firstLineChars="100" w:firstLine="210"/>
                          <w:rPr>
                            <w:szCs w:val="21"/>
                          </w:rPr>
                        </w:pPr>
                        <w:r>
                          <w:rPr>
                            <w:rFonts w:hint="eastAsia"/>
                            <w:szCs w:val="21"/>
                          </w:rPr>
                          <w:t>无形资产</w:t>
                        </w:r>
                      </w:p>
                    </w:tc>
                  </w:sdtContent>
                </w:sdt>
                <w:tc>
                  <w:tcPr>
                    <w:tcW w:w="627" w:type="pct"/>
                    <w:tcBorders>
                      <w:top w:val="outset" w:sz="6" w:space="0" w:color="auto"/>
                      <w:left w:val="outset" w:sz="6" w:space="0" w:color="auto"/>
                      <w:bottom w:val="outset" w:sz="6" w:space="0" w:color="auto"/>
                      <w:right w:val="outset" w:sz="6" w:space="0" w:color="auto"/>
                    </w:tcBorders>
                  </w:tcPr>
                  <w:p w14:paraId="040B5FA8"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43615FE9"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09A94A1C" w14:textId="77777777" w:rsidR="00471D53" w:rsidRDefault="00B664AF" w:rsidP="00471D53">
                    <w:pPr>
                      <w:jc w:val="right"/>
                      <w:rPr>
                        <w:szCs w:val="21"/>
                      </w:rPr>
                    </w:pPr>
                  </w:p>
                </w:tc>
              </w:tr>
              <w:tr w:rsidR="00471D53" w14:paraId="0F3964D1" w14:textId="77777777" w:rsidTr="00471D53">
                <w:sdt>
                  <w:sdtPr>
                    <w:tag w:val="_PLD_f4ffd10790ec4e6bb2e54090fd20cdea"/>
                    <w:id w:val="94087590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AA8B368" w14:textId="77777777" w:rsidR="00471D53" w:rsidRDefault="004F686E" w:rsidP="00471D53">
                        <w:pPr>
                          <w:ind w:firstLineChars="100" w:firstLine="210"/>
                          <w:rPr>
                            <w:szCs w:val="21"/>
                          </w:rPr>
                        </w:pPr>
                        <w:r>
                          <w:rPr>
                            <w:rFonts w:hint="eastAsia"/>
                            <w:szCs w:val="21"/>
                          </w:rPr>
                          <w:t>开发支出</w:t>
                        </w:r>
                      </w:p>
                    </w:tc>
                  </w:sdtContent>
                </w:sdt>
                <w:tc>
                  <w:tcPr>
                    <w:tcW w:w="627" w:type="pct"/>
                    <w:tcBorders>
                      <w:top w:val="outset" w:sz="6" w:space="0" w:color="auto"/>
                      <w:left w:val="outset" w:sz="6" w:space="0" w:color="auto"/>
                      <w:bottom w:val="outset" w:sz="6" w:space="0" w:color="auto"/>
                      <w:right w:val="outset" w:sz="6" w:space="0" w:color="auto"/>
                    </w:tcBorders>
                  </w:tcPr>
                  <w:p w14:paraId="17D558AE"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6EB7C880"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1B93C6AC" w14:textId="77777777" w:rsidR="00471D53" w:rsidRDefault="00B664AF" w:rsidP="00471D53">
                    <w:pPr>
                      <w:jc w:val="right"/>
                      <w:rPr>
                        <w:szCs w:val="21"/>
                      </w:rPr>
                    </w:pPr>
                  </w:p>
                </w:tc>
              </w:tr>
              <w:tr w:rsidR="00471D53" w14:paraId="67C0E038" w14:textId="77777777" w:rsidTr="00471D53">
                <w:sdt>
                  <w:sdtPr>
                    <w:tag w:val="_PLD_8ab7a8967dca44f3b2bd0ec65150e937"/>
                    <w:id w:val="135900837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7DD5F79" w14:textId="77777777" w:rsidR="00471D53" w:rsidRDefault="004F686E" w:rsidP="00471D53">
                        <w:pPr>
                          <w:ind w:firstLineChars="100" w:firstLine="210"/>
                          <w:rPr>
                            <w:szCs w:val="21"/>
                          </w:rPr>
                        </w:pPr>
                        <w:r>
                          <w:rPr>
                            <w:rFonts w:hint="eastAsia"/>
                            <w:szCs w:val="21"/>
                          </w:rPr>
                          <w:t>商誉</w:t>
                        </w:r>
                      </w:p>
                    </w:tc>
                  </w:sdtContent>
                </w:sdt>
                <w:tc>
                  <w:tcPr>
                    <w:tcW w:w="627" w:type="pct"/>
                    <w:tcBorders>
                      <w:top w:val="outset" w:sz="6" w:space="0" w:color="auto"/>
                      <w:left w:val="outset" w:sz="6" w:space="0" w:color="auto"/>
                      <w:bottom w:val="outset" w:sz="6" w:space="0" w:color="auto"/>
                      <w:right w:val="outset" w:sz="6" w:space="0" w:color="auto"/>
                    </w:tcBorders>
                  </w:tcPr>
                  <w:p w14:paraId="1A62D330"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5C4CA16B"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02D95C91" w14:textId="77777777" w:rsidR="00471D53" w:rsidRDefault="00B664AF" w:rsidP="00471D53">
                    <w:pPr>
                      <w:jc w:val="right"/>
                      <w:rPr>
                        <w:szCs w:val="21"/>
                      </w:rPr>
                    </w:pPr>
                  </w:p>
                </w:tc>
              </w:tr>
              <w:tr w:rsidR="00471D53" w14:paraId="4BCCE606" w14:textId="77777777" w:rsidTr="00471D53">
                <w:sdt>
                  <w:sdtPr>
                    <w:tag w:val="_PLD_c056001bc1b3464fb0b5268a537d7ec4"/>
                    <w:id w:val="94449959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D66B15D" w14:textId="77777777" w:rsidR="00471D53" w:rsidRDefault="004F686E" w:rsidP="00471D53">
                        <w:pPr>
                          <w:ind w:firstLineChars="100" w:firstLine="210"/>
                          <w:rPr>
                            <w:szCs w:val="21"/>
                          </w:rPr>
                        </w:pPr>
                        <w:r>
                          <w:rPr>
                            <w:rFonts w:hint="eastAsia"/>
                            <w:szCs w:val="21"/>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14:paraId="44441ABB"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03C252AD"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50EA690D" w14:textId="77777777" w:rsidR="00471D53" w:rsidRDefault="00B664AF" w:rsidP="00471D53">
                    <w:pPr>
                      <w:jc w:val="right"/>
                      <w:rPr>
                        <w:szCs w:val="21"/>
                      </w:rPr>
                    </w:pPr>
                  </w:p>
                </w:tc>
              </w:tr>
              <w:tr w:rsidR="00471D53" w14:paraId="00DD6811" w14:textId="77777777" w:rsidTr="00471D53">
                <w:sdt>
                  <w:sdtPr>
                    <w:tag w:val="_PLD_8c08fa756eba4bf89ad37621da0216df"/>
                    <w:id w:val="-10974861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EA146E7" w14:textId="77777777" w:rsidR="00471D53" w:rsidRDefault="004F686E" w:rsidP="00471D53">
                        <w:pPr>
                          <w:ind w:firstLineChars="100" w:firstLine="210"/>
                          <w:rPr>
                            <w:szCs w:val="21"/>
                          </w:rPr>
                        </w:pPr>
                        <w:r>
                          <w:rPr>
                            <w:rFonts w:hint="eastAsia"/>
                            <w:szCs w:val="21"/>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14:paraId="7514E66F"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3DD917BA"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C700785" w14:textId="77777777" w:rsidR="00471D53" w:rsidRDefault="00B664AF" w:rsidP="00471D53">
                    <w:pPr>
                      <w:jc w:val="right"/>
                      <w:rPr>
                        <w:szCs w:val="21"/>
                      </w:rPr>
                    </w:pPr>
                  </w:p>
                </w:tc>
              </w:tr>
              <w:tr w:rsidR="00471D53" w14:paraId="78F784B0" w14:textId="77777777" w:rsidTr="00471D53">
                <w:sdt>
                  <w:sdtPr>
                    <w:tag w:val="_PLD_2c72539456a6441ab49e4634f35d3b45"/>
                    <w:id w:val="-158767378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8EDF31F" w14:textId="77777777" w:rsidR="00471D53" w:rsidRDefault="004F686E" w:rsidP="00471D53">
                        <w:pPr>
                          <w:ind w:firstLineChars="100" w:firstLine="210"/>
                          <w:rPr>
                            <w:szCs w:val="21"/>
                          </w:rPr>
                        </w:pPr>
                        <w:r>
                          <w:rPr>
                            <w:rFonts w:hint="eastAsia"/>
                            <w:szCs w:val="21"/>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14:paraId="557CCE84"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300B8535"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5020145" w14:textId="77777777" w:rsidR="00471D53" w:rsidRDefault="00B664AF" w:rsidP="00471D53">
                    <w:pPr>
                      <w:jc w:val="right"/>
                      <w:rPr>
                        <w:szCs w:val="21"/>
                      </w:rPr>
                    </w:pPr>
                  </w:p>
                </w:tc>
              </w:tr>
              <w:tr w:rsidR="00471D53" w14:paraId="33B701CF" w14:textId="77777777" w:rsidTr="00471D53">
                <w:sdt>
                  <w:sdtPr>
                    <w:tag w:val="_PLD_0584991385414bca8cca9a7a9f5fabfd"/>
                    <w:id w:val="2229502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AAA3EDC" w14:textId="77777777" w:rsidR="00471D53" w:rsidRDefault="004F686E" w:rsidP="00471D53">
                        <w:pPr>
                          <w:ind w:firstLineChars="200" w:firstLine="420"/>
                          <w:rPr>
                            <w:szCs w:val="21"/>
                          </w:rPr>
                        </w:pPr>
                        <w:r>
                          <w:rPr>
                            <w:rFonts w:hint="eastAsia"/>
                            <w:szCs w:val="21"/>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14:paraId="2C86709C"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3C9AEDE2" w14:textId="77777777" w:rsidR="00471D53" w:rsidRDefault="004F686E" w:rsidP="00471D53">
                    <w:pPr>
                      <w:jc w:val="right"/>
                      <w:rPr>
                        <w:szCs w:val="21"/>
                      </w:rPr>
                    </w:pPr>
                    <w:r>
                      <w:t>902,179,775.87</w:t>
                    </w:r>
                  </w:p>
                </w:tc>
                <w:tc>
                  <w:tcPr>
                    <w:tcW w:w="1333" w:type="pct"/>
                    <w:tcBorders>
                      <w:top w:val="outset" w:sz="6" w:space="0" w:color="auto"/>
                      <w:left w:val="outset" w:sz="6" w:space="0" w:color="auto"/>
                      <w:bottom w:val="outset" w:sz="6" w:space="0" w:color="auto"/>
                      <w:right w:val="outset" w:sz="6" w:space="0" w:color="auto"/>
                    </w:tcBorders>
                  </w:tcPr>
                  <w:p w14:paraId="1EA4CF72" w14:textId="77777777" w:rsidR="00471D53" w:rsidRDefault="004F686E" w:rsidP="00471D53">
                    <w:pPr>
                      <w:jc w:val="right"/>
                      <w:rPr>
                        <w:szCs w:val="21"/>
                      </w:rPr>
                    </w:pPr>
                    <w:r>
                      <w:t>902,185,552.25</w:t>
                    </w:r>
                  </w:p>
                </w:tc>
              </w:tr>
              <w:tr w:rsidR="00471D53" w14:paraId="32D0E03D" w14:textId="77777777" w:rsidTr="00471D53">
                <w:sdt>
                  <w:sdtPr>
                    <w:tag w:val="_PLD_064f3b6fe172472c8abf2e1bf1a2b68a"/>
                    <w:id w:val="71054456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ECD4149" w14:textId="77777777" w:rsidR="00471D53" w:rsidRDefault="004F686E" w:rsidP="00471D53">
                        <w:pPr>
                          <w:ind w:firstLineChars="300" w:firstLine="630"/>
                          <w:rPr>
                            <w:szCs w:val="21"/>
                          </w:rPr>
                        </w:pPr>
                        <w:r>
                          <w:rPr>
                            <w:rFonts w:hint="eastAsia"/>
                            <w:szCs w:val="21"/>
                          </w:rPr>
                          <w:t>资产总计</w:t>
                        </w:r>
                      </w:p>
                    </w:tc>
                  </w:sdtContent>
                </w:sdt>
                <w:tc>
                  <w:tcPr>
                    <w:tcW w:w="627" w:type="pct"/>
                    <w:tcBorders>
                      <w:top w:val="outset" w:sz="6" w:space="0" w:color="auto"/>
                      <w:left w:val="outset" w:sz="6" w:space="0" w:color="auto"/>
                      <w:bottom w:val="outset" w:sz="6" w:space="0" w:color="auto"/>
                      <w:right w:val="outset" w:sz="6" w:space="0" w:color="auto"/>
                    </w:tcBorders>
                  </w:tcPr>
                  <w:p w14:paraId="52332610"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0F481C91" w14:textId="77777777" w:rsidR="00471D53" w:rsidRDefault="004F686E" w:rsidP="00471D53">
                    <w:pPr>
                      <w:jc w:val="right"/>
                      <w:rPr>
                        <w:szCs w:val="21"/>
                      </w:rPr>
                    </w:pPr>
                    <w:r>
                      <w:t>1,280,709,478.87</w:t>
                    </w:r>
                  </w:p>
                </w:tc>
                <w:tc>
                  <w:tcPr>
                    <w:tcW w:w="1333" w:type="pct"/>
                    <w:tcBorders>
                      <w:top w:val="outset" w:sz="6" w:space="0" w:color="auto"/>
                      <w:left w:val="outset" w:sz="6" w:space="0" w:color="auto"/>
                      <w:bottom w:val="outset" w:sz="6" w:space="0" w:color="auto"/>
                      <w:right w:val="outset" w:sz="6" w:space="0" w:color="auto"/>
                    </w:tcBorders>
                  </w:tcPr>
                  <w:p w14:paraId="5C7C979A" w14:textId="77777777" w:rsidR="00471D53" w:rsidRDefault="004F686E" w:rsidP="00471D53">
                    <w:pPr>
                      <w:jc w:val="right"/>
                      <w:rPr>
                        <w:szCs w:val="21"/>
                      </w:rPr>
                    </w:pPr>
                    <w:r>
                      <w:t>1,287,088,875.39</w:t>
                    </w:r>
                  </w:p>
                </w:tc>
              </w:tr>
              <w:tr w:rsidR="00471D53" w14:paraId="51FD6A07" w14:textId="77777777" w:rsidTr="00471D53">
                <w:sdt>
                  <w:sdtPr>
                    <w:tag w:val="_PLD_380943e088034c15ad8af33927d58d1b"/>
                    <w:id w:val="124930673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2375037" w14:textId="77777777" w:rsidR="00471D53" w:rsidRDefault="004F686E" w:rsidP="00471D53">
                        <w:pPr>
                          <w:rPr>
                            <w:szCs w:val="21"/>
                          </w:rPr>
                        </w:pPr>
                        <w:r>
                          <w:rPr>
                            <w:rFonts w:hint="eastAsia"/>
                            <w:b/>
                            <w:bCs/>
                            <w:szCs w:val="21"/>
                          </w:rPr>
                          <w:t>流动负债：</w:t>
                        </w:r>
                      </w:p>
                    </w:tc>
                  </w:sdtContent>
                </w:sdt>
                <w:tc>
                  <w:tcPr>
                    <w:tcW w:w="627" w:type="pct"/>
                    <w:tcBorders>
                      <w:top w:val="outset" w:sz="6" w:space="0" w:color="auto"/>
                      <w:left w:val="outset" w:sz="6" w:space="0" w:color="auto"/>
                      <w:bottom w:val="outset" w:sz="6" w:space="0" w:color="auto"/>
                      <w:right w:val="outset" w:sz="6" w:space="0" w:color="auto"/>
                    </w:tcBorders>
                  </w:tcPr>
                  <w:p w14:paraId="0DD86C5F" w14:textId="77777777" w:rsidR="00471D53" w:rsidRDefault="00B664AF" w:rsidP="00471D53">
                    <w:pPr>
                      <w:rPr>
                        <w:color w:val="FF00FF"/>
                        <w:szCs w:val="21"/>
                      </w:rPr>
                    </w:pPr>
                  </w:p>
                </w:tc>
                <w:tc>
                  <w:tcPr>
                    <w:tcW w:w="1411" w:type="pct"/>
                    <w:tcBorders>
                      <w:top w:val="outset" w:sz="6" w:space="0" w:color="auto"/>
                      <w:left w:val="outset" w:sz="6" w:space="0" w:color="auto"/>
                      <w:bottom w:val="outset" w:sz="6" w:space="0" w:color="auto"/>
                      <w:right w:val="outset" w:sz="6" w:space="0" w:color="auto"/>
                    </w:tcBorders>
                  </w:tcPr>
                  <w:p w14:paraId="42C220AC" w14:textId="77777777" w:rsidR="00471D53" w:rsidRDefault="00B664AF" w:rsidP="00471D53">
                    <w:pPr>
                      <w:rPr>
                        <w:color w:val="FF00FF"/>
                        <w:szCs w:val="21"/>
                      </w:rPr>
                    </w:pPr>
                  </w:p>
                </w:tc>
                <w:tc>
                  <w:tcPr>
                    <w:tcW w:w="1333" w:type="pct"/>
                    <w:tcBorders>
                      <w:top w:val="outset" w:sz="6" w:space="0" w:color="auto"/>
                      <w:left w:val="outset" w:sz="6" w:space="0" w:color="auto"/>
                      <w:bottom w:val="outset" w:sz="6" w:space="0" w:color="auto"/>
                      <w:right w:val="outset" w:sz="6" w:space="0" w:color="auto"/>
                    </w:tcBorders>
                  </w:tcPr>
                  <w:p w14:paraId="2C6C4E1D" w14:textId="77777777" w:rsidR="00471D53" w:rsidRDefault="00B664AF" w:rsidP="00471D53">
                    <w:pPr>
                      <w:rPr>
                        <w:color w:val="FF00FF"/>
                        <w:szCs w:val="21"/>
                      </w:rPr>
                    </w:pPr>
                  </w:p>
                </w:tc>
              </w:tr>
              <w:tr w:rsidR="00471D53" w14:paraId="158999AD" w14:textId="77777777" w:rsidTr="00471D53">
                <w:sdt>
                  <w:sdtPr>
                    <w:tag w:val="_PLD_43de8e9c3fff4ed09c99de434527ef0d"/>
                    <w:id w:val="-188308215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1D970EE" w14:textId="77777777" w:rsidR="00471D53" w:rsidRDefault="004F686E" w:rsidP="00471D53">
                        <w:pPr>
                          <w:ind w:firstLineChars="100" w:firstLine="210"/>
                          <w:rPr>
                            <w:szCs w:val="21"/>
                          </w:rPr>
                        </w:pPr>
                        <w:r>
                          <w:rPr>
                            <w:rFonts w:hint="eastAsia"/>
                            <w:szCs w:val="21"/>
                          </w:rPr>
                          <w:t>短期借款</w:t>
                        </w:r>
                      </w:p>
                    </w:tc>
                  </w:sdtContent>
                </w:sdt>
                <w:tc>
                  <w:tcPr>
                    <w:tcW w:w="627" w:type="pct"/>
                    <w:tcBorders>
                      <w:top w:val="outset" w:sz="6" w:space="0" w:color="auto"/>
                      <w:left w:val="outset" w:sz="6" w:space="0" w:color="auto"/>
                      <w:bottom w:val="outset" w:sz="6" w:space="0" w:color="auto"/>
                      <w:right w:val="outset" w:sz="6" w:space="0" w:color="auto"/>
                    </w:tcBorders>
                  </w:tcPr>
                  <w:p w14:paraId="51BAA3A2"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00245513"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0CE05781" w14:textId="77777777" w:rsidR="00471D53" w:rsidRDefault="00B664AF" w:rsidP="00471D53">
                    <w:pPr>
                      <w:jc w:val="right"/>
                      <w:rPr>
                        <w:szCs w:val="21"/>
                      </w:rPr>
                    </w:pPr>
                  </w:p>
                </w:tc>
              </w:tr>
              <w:tr w:rsidR="00471D53" w14:paraId="7A0D6D09" w14:textId="77777777" w:rsidTr="00471D53">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c16a31b429943b78fc30663bc4be1b8"/>
                      <w:id w:val="-1820637896"/>
                      <w:lock w:val="sdtLocked"/>
                    </w:sdtPr>
                    <w:sdtEndPr/>
                    <w:sdtContent>
                      <w:p w14:paraId="5AD95156" w14:textId="77777777" w:rsidR="00471D53" w:rsidRDefault="004F686E" w:rsidP="00471D53">
                        <w:pPr>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14:paraId="345AFD34"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21B08497"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0BDB6063" w14:textId="77777777" w:rsidR="00471D53" w:rsidRDefault="00B664AF" w:rsidP="00471D53">
                    <w:pPr>
                      <w:jc w:val="right"/>
                      <w:rPr>
                        <w:szCs w:val="21"/>
                      </w:rPr>
                    </w:pPr>
                  </w:p>
                </w:tc>
              </w:tr>
              <w:tr w:rsidR="00471D53" w14:paraId="7C717C2A" w14:textId="77777777" w:rsidTr="00471D53">
                <w:sdt>
                  <w:sdtPr>
                    <w:tag w:val="_PLD_9ca7ab0d48474bdbb62e5ad7f94b7c27"/>
                    <w:id w:val="-90051797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01CDF83" w14:textId="77777777" w:rsidR="00471D53" w:rsidRDefault="004F686E" w:rsidP="00471D53">
                        <w:pPr>
                          <w:ind w:firstLineChars="100" w:firstLine="210"/>
                          <w:rPr>
                            <w:szCs w:val="21"/>
                          </w:rPr>
                        </w:pPr>
                        <w:r>
                          <w:rPr>
                            <w:rFonts w:hint="eastAsia"/>
                            <w:szCs w:val="21"/>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14:paraId="440BF051"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190F246D"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74F52AA2" w14:textId="77777777" w:rsidR="00471D53" w:rsidRDefault="00B664AF" w:rsidP="00471D53">
                    <w:pPr>
                      <w:jc w:val="right"/>
                      <w:rPr>
                        <w:szCs w:val="21"/>
                      </w:rPr>
                    </w:pPr>
                  </w:p>
                </w:tc>
              </w:tr>
              <w:tr w:rsidR="00471D53" w14:paraId="327E91D8" w14:textId="77777777" w:rsidTr="00471D53">
                <w:sdt>
                  <w:sdtPr>
                    <w:tag w:val="_PLD_ef54e09967474f6490bedae105a3d5af"/>
                    <w:id w:val="-153434372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8B54614" w14:textId="77777777" w:rsidR="00471D53" w:rsidRDefault="004F686E" w:rsidP="00471D53">
                        <w:pPr>
                          <w:ind w:firstLineChars="100" w:firstLine="210"/>
                          <w:rPr>
                            <w:szCs w:val="21"/>
                          </w:rPr>
                        </w:pPr>
                        <w:r>
                          <w:rPr>
                            <w:rFonts w:hint="eastAsia"/>
                            <w:szCs w:val="21"/>
                          </w:rPr>
                          <w:t>应付票据</w:t>
                        </w:r>
                      </w:p>
                    </w:tc>
                  </w:sdtContent>
                </w:sdt>
                <w:tc>
                  <w:tcPr>
                    <w:tcW w:w="627" w:type="pct"/>
                    <w:tcBorders>
                      <w:top w:val="outset" w:sz="6" w:space="0" w:color="auto"/>
                      <w:left w:val="outset" w:sz="6" w:space="0" w:color="auto"/>
                      <w:bottom w:val="outset" w:sz="6" w:space="0" w:color="auto"/>
                      <w:right w:val="outset" w:sz="6" w:space="0" w:color="auto"/>
                    </w:tcBorders>
                  </w:tcPr>
                  <w:p w14:paraId="5D6BDBC1"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0DDA52A2"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0BA0CA53" w14:textId="77777777" w:rsidR="00471D53" w:rsidRDefault="00B664AF" w:rsidP="00471D53">
                    <w:pPr>
                      <w:jc w:val="right"/>
                      <w:rPr>
                        <w:szCs w:val="21"/>
                      </w:rPr>
                    </w:pPr>
                  </w:p>
                </w:tc>
              </w:tr>
              <w:tr w:rsidR="00471D53" w14:paraId="5F9BA72C" w14:textId="77777777" w:rsidTr="00471D53">
                <w:sdt>
                  <w:sdtPr>
                    <w:tag w:val="_PLD_73f601396ff94f55ba0d9f4f04bea3f7"/>
                    <w:id w:val="-55400217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CADCE15" w14:textId="77777777" w:rsidR="00471D53" w:rsidRDefault="004F686E" w:rsidP="00471D53">
                        <w:pPr>
                          <w:ind w:firstLineChars="100" w:firstLine="210"/>
                          <w:rPr>
                            <w:szCs w:val="21"/>
                          </w:rPr>
                        </w:pPr>
                        <w:r>
                          <w:rPr>
                            <w:rFonts w:hint="eastAsia"/>
                            <w:szCs w:val="21"/>
                          </w:rPr>
                          <w:t>应付账款</w:t>
                        </w:r>
                      </w:p>
                    </w:tc>
                  </w:sdtContent>
                </w:sdt>
                <w:tc>
                  <w:tcPr>
                    <w:tcW w:w="627" w:type="pct"/>
                    <w:tcBorders>
                      <w:top w:val="outset" w:sz="6" w:space="0" w:color="auto"/>
                      <w:left w:val="outset" w:sz="6" w:space="0" w:color="auto"/>
                      <w:bottom w:val="outset" w:sz="6" w:space="0" w:color="auto"/>
                      <w:right w:val="outset" w:sz="6" w:space="0" w:color="auto"/>
                    </w:tcBorders>
                  </w:tcPr>
                  <w:p w14:paraId="166C4F5D"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542D60C0"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6BE587E7" w14:textId="77777777" w:rsidR="00471D53" w:rsidRDefault="00B664AF" w:rsidP="00471D53">
                    <w:pPr>
                      <w:jc w:val="right"/>
                      <w:rPr>
                        <w:szCs w:val="21"/>
                      </w:rPr>
                    </w:pPr>
                  </w:p>
                </w:tc>
              </w:tr>
              <w:tr w:rsidR="00471D53" w14:paraId="1CE2CE1B" w14:textId="77777777" w:rsidTr="00471D53">
                <w:sdt>
                  <w:sdtPr>
                    <w:tag w:val="_PLD_8d33cba97f8f47758fee51d65c9dfe52"/>
                    <w:id w:val="-152446668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1691F5E" w14:textId="77777777" w:rsidR="00471D53" w:rsidRDefault="004F686E" w:rsidP="00471D53">
                        <w:pPr>
                          <w:ind w:firstLineChars="100" w:firstLine="210"/>
                          <w:rPr>
                            <w:szCs w:val="21"/>
                          </w:rPr>
                        </w:pPr>
                        <w:r>
                          <w:rPr>
                            <w:rFonts w:hint="eastAsia"/>
                            <w:szCs w:val="21"/>
                          </w:rPr>
                          <w:t>预收款项</w:t>
                        </w:r>
                      </w:p>
                    </w:tc>
                  </w:sdtContent>
                </w:sdt>
                <w:tc>
                  <w:tcPr>
                    <w:tcW w:w="627" w:type="pct"/>
                    <w:tcBorders>
                      <w:top w:val="outset" w:sz="6" w:space="0" w:color="auto"/>
                      <w:left w:val="outset" w:sz="6" w:space="0" w:color="auto"/>
                      <w:bottom w:val="outset" w:sz="6" w:space="0" w:color="auto"/>
                      <w:right w:val="outset" w:sz="6" w:space="0" w:color="auto"/>
                    </w:tcBorders>
                  </w:tcPr>
                  <w:p w14:paraId="41CB4A9E"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2EFA5682"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54D57B2A" w14:textId="77777777" w:rsidR="00471D53" w:rsidRDefault="00B664AF" w:rsidP="00471D53">
                    <w:pPr>
                      <w:jc w:val="right"/>
                      <w:rPr>
                        <w:szCs w:val="21"/>
                      </w:rPr>
                    </w:pPr>
                  </w:p>
                </w:tc>
              </w:tr>
              <w:tr w:rsidR="00471D53" w14:paraId="5099409C" w14:textId="77777777" w:rsidTr="00471D53">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7a9889c00684dd48ad945fce53e8274"/>
                      <w:id w:val="1865931513"/>
                      <w:lock w:val="sdtLocked"/>
                    </w:sdtPr>
                    <w:sdtEndPr/>
                    <w:sdtContent>
                      <w:p w14:paraId="44099F1A" w14:textId="77777777" w:rsidR="00471D53" w:rsidRDefault="004F686E" w:rsidP="00471D53">
                        <w:pPr>
                          <w:ind w:firstLineChars="100" w:firstLine="21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tcPr>
                  <w:p w14:paraId="4E363896"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1125C3A3"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70CF0254" w14:textId="77777777" w:rsidR="00471D53" w:rsidRDefault="00B664AF" w:rsidP="00471D53">
                    <w:pPr>
                      <w:jc w:val="right"/>
                      <w:rPr>
                        <w:szCs w:val="21"/>
                      </w:rPr>
                    </w:pPr>
                  </w:p>
                </w:tc>
              </w:tr>
              <w:tr w:rsidR="00471D53" w14:paraId="4EB35677" w14:textId="77777777" w:rsidTr="00471D53">
                <w:sdt>
                  <w:sdtPr>
                    <w:tag w:val="_PLD_5179db1f484045d98b88860edc153236"/>
                    <w:id w:val="-35497050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2507053" w14:textId="77777777" w:rsidR="00471D53" w:rsidRDefault="004F686E" w:rsidP="00471D53">
                        <w:pPr>
                          <w:ind w:firstLineChars="100" w:firstLine="210"/>
                          <w:rPr>
                            <w:szCs w:val="21"/>
                          </w:rPr>
                        </w:pPr>
                        <w:r>
                          <w:rPr>
                            <w:rFonts w:hint="eastAsia"/>
                            <w:szCs w:val="21"/>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14:paraId="3EE45C96"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59C0B577" w14:textId="77777777" w:rsidR="00471D53" w:rsidRDefault="004F686E" w:rsidP="00471D53">
                    <w:pPr>
                      <w:jc w:val="right"/>
                      <w:rPr>
                        <w:szCs w:val="21"/>
                      </w:rPr>
                    </w:pPr>
                    <w:r>
                      <w:t>175,254.64</w:t>
                    </w:r>
                  </w:p>
                </w:tc>
                <w:tc>
                  <w:tcPr>
                    <w:tcW w:w="1333" w:type="pct"/>
                    <w:tcBorders>
                      <w:top w:val="outset" w:sz="6" w:space="0" w:color="auto"/>
                      <w:left w:val="outset" w:sz="6" w:space="0" w:color="auto"/>
                      <w:bottom w:val="outset" w:sz="6" w:space="0" w:color="auto"/>
                      <w:right w:val="outset" w:sz="6" w:space="0" w:color="auto"/>
                    </w:tcBorders>
                  </w:tcPr>
                  <w:p w14:paraId="50FE814D" w14:textId="77777777" w:rsidR="00471D53" w:rsidRDefault="004F686E" w:rsidP="00471D53">
                    <w:pPr>
                      <w:jc w:val="right"/>
                      <w:rPr>
                        <w:szCs w:val="21"/>
                      </w:rPr>
                    </w:pPr>
                    <w:r>
                      <w:t>2,441,818.16</w:t>
                    </w:r>
                  </w:p>
                </w:tc>
              </w:tr>
              <w:tr w:rsidR="00471D53" w14:paraId="1459C532" w14:textId="77777777" w:rsidTr="00471D53">
                <w:sdt>
                  <w:sdtPr>
                    <w:tag w:val="_PLD_f9c6f095658e40b2a72d3d8b778fd72b"/>
                    <w:id w:val="20238100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108F7DC" w14:textId="77777777" w:rsidR="00471D53" w:rsidRDefault="004F686E" w:rsidP="00471D53">
                        <w:pPr>
                          <w:ind w:firstLineChars="100" w:firstLine="210"/>
                          <w:rPr>
                            <w:szCs w:val="21"/>
                          </w:rPr>
                        </w:pPr>
                        <w:r>
                          <w:rPr>
                            <w:rFonts w:hint="eastAsia"/>
                            <w:szCs w:val="21"/>
                          </w:rPr>
                          <w:t>应交税费</w:t>
                        </w:r>
                      </w:p>
                    </w:tc>
                  </w:sdtContent>
                </w:sdt>
                <w:tc>
                  <w:tcPr>
                    <w:tcW w:w="627" w:type="pct"/>
                    <w:tcBorders>
                      <w:top w:val="outset" w:sz="6" w:space="0" w:color="auto"/>
                      <w:left w:val="outset" w:sz="6" w:space="0" w:color="auto"/>
                      <w:bottom w:val="outset" w:sz="6" w:space="0" w:color="auto"/>
                      <w:right w:val="outset" w:sz="6" w:space="0" w:color="auto"/>
                    </w:tcBorders>
                  </w:tcPr>
                  <w:p w14:paraId="7D530A26"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75B93D87" w14:textId="77777777" w:rsidR="00471D53" w:rsidRDefault="004F686E" w:rsidP="00471D53">
                    <w:pPr>
                      <w:jc w:val="right"/>
                      <w:rPr>
                        <w:szCs w:val="21"/>
                      </w:rPr>
                    </w:pPr>
                    <w:r>
                      <w:t>90,200.53</w:t>
                    </w:r>
                  </w:p>
                </w:tc>
                <w:tc>
                  <w:tcPr>
                    <w:tcW w:w="1333" w:type="pct"/>
                    <w:tcBorders>
                      <w:top w:val="outset" w:sz="6" w:space="0" w:color="auto"/>
                      <w:left w:val="outset" w:sz="6" w:space="0" w:color="auto"/>
                      <w:bottom w:val="outset" w:sz="6" w:space="0" w:color="auto"/>
                      <w:right w:val="outset" w:sz="6" w:space="0" w:color="auto"/>
                    </w:tcBorders>
                  </w:tcPr>
                  <w:p w14:paraId="5E7A4945" w14:textId="77777777" w:rsidR="00471D53" w:rsidRDefault="004F686E" w:rsidP="00471D53">
                    <w:pPr>
                      <w:jc w:val="right"/>
                      <w:rPr>
                        <w:szCs w:val="21"/>
                      </w:rPr>
                    </w:pPr>
                    <w:r>
                      <w:t>1,002,024.99</w:t>
                    </w:r>
                  </w:p>
                </w:tc>
              </w:tr>
              <w:tr w:rsidR="00471D53" w14:paraId="20EC7DC1" w14:textId="77777777" w:rsidTr="00471D53">
                <w:sdt>
                  <w:sdtPr>
                    <w:tag w:val="_PLD_c490ad2cbccd426084cbcc4f5ffff983"/>
                    <w:id w:val="146754650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2EEBC92" w14:textId="77777777" w:rsidR="00471D53" w:rsidRDefault="004F686E" w:rsidP="00471D53">
                        <w:pPr>
                          <w:ind w:firstLineChars="100" w:firstLine="210"/>
                          <w:rPr>
                            <w:szCs w:val="21"/>
                          </w:rPr>
                        </w:pPr>
                        <w:r>
                          <w:rPr>
                            <w:rFonts w:hint="eastAsia"/>
                            <w:szCs w:val="21"/>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14:paraId="0EEDC862"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532D0DB3" w14:textId="77777777" w:rsidR="00471D53" w:rsidRDefault="004F686E" w:rsidP="00471D53">
                    <w:pPr>
                      <w:jc w:val="right"/>
                      <w:rPr>
                        <w:szCs w:val="21"/>
                      </w:rPr>
                    </w:pPr>
                    <w:r>
                      <w:t>6,833,395.87</w:t>
                    </w:r>
                  </w:p>
                </w:tc>
                <w:tc>
                  <w:tcPr>
                    <w:tcW w:w="1333" w:type="pct"/>
                    <w:tcBorders>
                      <w:top w:val="outset" w:sz="6" w:space="0" w:color="auto"/>
                      <w:left w:val="outset" w:sz="6" w:space="0" w:color="auto"/>
                      <w:bottom w:val="outset" w:sz="6" w:space="0" w:color="auto"/>
                      <w:right w:val="outset" w:sz="6" w:space="0" w:color="auto"/>
                    </w:tcBorders>
                  </w:tcPr>
                  <w:p w14:paraId="02736B6A" w14:textId="77777777" w:rsidR="00471D53" w:rsidRDefault="004F686E" w:rsidP="00471D53">
                    <w:pPr>
                      <w:jc w:val="right"/>
                      <w:rPr>
                        <w:szCs w:val="21"/>
                      </w:rPr>
                    </w:pPr>
                    <w:r>
                      <w:t>4,754,685.52</w:t>
                    </w:r>
                  </w:p>
                </w:tc>
              </w:tr>
              <w:tr w:rsidR="00471D53" w14:paraId="6E82383F" w14:textId="77777777" w:rsidTr="00471D53">
                <w:sdt>
                  <w:sdtPr>
                    <w:tag w:val="_PLD_33305757c71a4e02885ac4b4bd4dd023"/>
                    <w:id w:val="209643997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BA10A17" w14:textId="77777777" w:rsidR="00471D53" w:rsidRDefault="004F686E" w:rsidP="00471D53">
                        <w:pPr>
                          <w:ind w:firstLineChars="100" w:firstLine="210"/>
                          <w:rPr>
                            <w:szCs w:val="21"/>
                          </w:rPr>
                        </w:pPr>
                        <w:r>
                          <w:rPr>
                            <w:rFonts w:hint="eastAsia"/>
                          </w:rPr>
                          <w:t>其中：</w:t>
                        </w:r>
                        <w:r>
                          <w:rPr>
                            <w:rFonts w:hint="eastAsia"/>
                            <w:szCs w:val="21"/>
                          </w:rPr>
                          <w:t>应付利息</w:t>
                        </w:r>
                      </w:p>
                    </w:tc>
                  </w:sdtContent>
                </w:sdt>
                <w:tc>
                  <w:tcPr>
                    <w:tcW w:w="627" w:type="pct"/>
                    <w:tcBorders>
                      <w:top w:val="outset" w:sz="6" w:space="0" w:color="auto"/>
                      <w:left w:val="outset" w:sz="6" w:space="0" w:color="auto"/>
                      <w:bottom w:val="outset" w:sz="6" w:space="0" w:color="auto"/>
                      <w:right w:val="outset" w:sz="6" w:space="0" w:color="auto"/>
                    </w:tcBorders>
                  </w:tcPr>
                  <w:p w14:paraId="27E49F0A"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08B614AF"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C442D14" w14:textId="77777777" w:rsidR="00471D53" w:rsidRDefault="00B664AF" w:rsidP="00471D53">
                    <w:pPr>
                      <w:jc w:val="right"/>
                      <w:rPr>
                        <w:szCs w:val="21"/>
                      </w:rPr>
                    </w:pPr>
                  </w:p>
                </w:tc>
              </w:tr>
              <w:tr w:rsidR="00471D53" w14:paraId="0A32A2B9" w14:textId="77777777" w:rsidTr="00471D53">
                <w:sdt>
                  <w:sdtPr>
                    <w:tag w:val="_PLD_af17ddcf0f4c41d7ad5d3631e95d7da2"/>
                    <w:id w:val="-28936230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4B4BCE1" w14:textId="77777777" w:rsidR="00471D53" w:rsidRDefault="004F686E" w:rsidP="00471D53">
                        <w:pPr>
                          <w:ind w:firstLineChars="400" w:firstLine="840"/>
                          <w:rPr>
                            <w:szCs w:val="21"/>
                          </w:rPr>
                        </w:pPr>
                        <w:r>
                          <w:rPr>
                            <w:rFonts w:hint="eastAsia"/>
                            <w:szCs w:val="21"/>
                          </w:rPr>
                          <w:t>应付股利</w:t>
                        </w:r>
                      </w:p>
                    </w:tc>
                  </w:sdtContent>
                </w:sdt>
                <w:tc>
                  <w:tcPr>
                    <w:tcW w:w="627" w:type="pct"/>
                    <w:tcBorders>
                      <w:top w:val="outset" w:sz="6" w:space="0" w:color="auto"/>
                      <w:left w:val="outset" w:sz="6" w:space="0" w:color="auto"/>
                      <w:bottom w:val="outset" w:sz="6" w:space="0" w:color="auto"/>
                      <w:right w:val="outset" w:sz="6" w:space="0" w:color="auto"/>
                    </w:tcBorders>
                  </w:tcPr>
                  <w:p w14:paraId="332D1026"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62D15A12"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14793D55" w14:textId="77777777" w:rsidR="00471D53" w:rsidRDefault="00B664AF" w:rsidP="00471D53">
                    <w:pPr>
                      <w:jc w:val="right"/>
                      <w:rPr>
                        <w:szCs w:val="21"/>
                      </w:rPr>
                    </w:pPr>
                  </w:p>
                </w:tc>
              </w:tr>
              <w:tr w:rsidR="00471D53" w14:paraId="34942621" w14:textId="77777777" w:rsidTr="00471D53">
                <w:sdt>
                  <w:sdtPr>
                    <w:tag w:val="_PLD_f77f7dcdf9d04cd9ae289b7b3f5b7b02"/>
                    <w:id w:val="-95818233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3995990" w14:textId="77777777" w:rsidR="00471D53" w:rsidRDefault="004F686E" w:rsidP="00471D53">
                        <w:pPr>
                          <w:ind w:firstLineChars="100" w:firstLine="210"/>
                          <w:rPr>
                            <w:szCs w:val="21"/>
                          </w:rPr>
                        </w:pPr>
                        <w:r>
                          <w:rPr>
                            <w:rFonts w:hint="eastAsia"/>
                            <w:szCs w:val="21"/>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14:paraId="6CC0481D"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279B6D8F"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10C6C584" w14:textId="77777777" w:rsidR="00471D53" w:rsidRDefault="00B664AF" w:rsidP="00471D53">
                    <w:pPr>
                      <w:jc w:val="right"/>
                      <w:rPr>
                        <w:szCs w:val="21"/>
                      </w:rPr>
                    </w:pPr>
                  </w:p>
                </w:tc>
              </w:tr>
              <w:tr w:rsidR="00471D53" w14:paraId="40EBD50E" w14:textId="77777777" w:rsidTr="00471D53">
                <w:sdt>
                  <w:sdtPr>
                    <w:tag w:val="_PLD_a29046fb2b7d4844a6a2146909afbe96"/>
                    <w:id w:val="-26778732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2879D46" w14:textId="77777777" w:rsidR="00471D53" w:rsidRDefault="004F686E" w:rsidP="00471D53">
                        <w:pPr>
                          <w:ind w:firstLineChars="100" w:firstLine="210"/>
                          <w:rPr>
                            <w:szCs w:val="21"/>
                          </w:rPr>
                        </w:pPr>
                        <w:r>
                          <w:rPr>
                            <w:rFonts w:hint="eastAsia"/>
                            <w:szCs w:val="21"/>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14:paraId="14734612"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2553E3C0"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1E5513F8" w14:textId="77777777" w:rsidR="00471D53" w:rsidRDefault="00B664AF" w:rsidP="00471D53">
                    <w:pPr>
                      <w:jc w:val="right"/>
                      <w:rPr>
                        <w:szCs w:val="21"/>
                      </w:rPr>
                    </w:pPr>
                  </w:p>
                </w:tc>
              </w:tr>
              <w:tr w:rsidR="00471D53" w14:paraId="09AF605C" w14:textId="77777777" w:rsidTr="00471D53">
                <w:sdt>
                  <w:sdtPr>
                    <w:tag w:val="_PLD_29a119c77a3042f187a5aba37b5deecc"/>
                    <w:id w:val="149075648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2594A43" w14:textId="77777777" w:rsidR="00471D53" w:rsidRDefault="004F686E" w:rsidP="00471D53">
                        <w:pPr>
                          <w:ind w:firstLineChars="100" w:firstLine="210"/>
                          <w:rPr>
                            <w:szCs w:val="21"/>
                          </w:rPr>
                        </w:pPr>
                        <w:r>
                          <w:rPr>
                            <w:rFonts w:hint="eastAsia"/>
                            <w:szCs w:val="21"/>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14:paraId="3A5F9D13"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0119A7AA" w14:textId="77777777" w:rsidR="00471D53" w:rsidRDefault="004F686E" w:rsidP="00471D53">
                    <w:pPr>
                      <w:jc w:val="right"/>
                      <w:rPr>
                        <w:szCs w:val="21"/>
                      </w:rPr>
                    </w:pPr>
                    <w:r>
                      <w:t>230,221.70</w:t>
                    </w:r>
                  </w:p>
                </w:tc>
                <w:tc>
                  <w:tcPr>
                    <w:tcW w:w="1333" w:type="pct"/>
                    <w:tcBorders>
                      <w:top w:val="outset" w:sz="6" w:space="0" w:color="auto"/>
                      <w:left w:val="outset" w:sz="6" w:space="0" w:color="auto"/>
                      <w:bottom w:val="outset" w:sz="6" w:space="0" w:color="auto"/>
                      <w:right w:val="outset" w:sz="6" w:space="0" w:color="auto"/>
                    </w:tcBorders>
                  </w:tcPr>
                  <w:p w14:paraId="5041DC5B" w14:textId="77777777" w:rsidR="00471D53" w:rsidRDefault="004F686E" w:rsidP="00471D53">
                    <w:pPr>
                      <w:jc w:val="right"/>
                      <w:rPr>
                        <w:szCs w:val="21"/>
                      </w:rPr>
                    </w:pPr>
                    <w:r>
                      <w:t>230,221.70</w:t>
                    </w:r>
                  </w:p>
                </w:tc>
              </w:tr>
              <w:tr w:rsidR="00471D53" w14:paraId="321E98AC" w14:textId="77777777" w:rsidTr="00471D53">
                <w:sdt>
                  <w:sdtPr>
                    <w:tag w:val="_PLD_fd497b996a3c46b99eb5112ec0f3d649"/>
                    <w:id w:val="128909576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8106B6F" w14:textId="77777777" w:rsidR="00471D53" w:rsidRDefault="004F686E" w:rsidP="00471D53">
                        <w:pPr>
                          <w:ind w:firstLineChars="200" w:firstLine="420"/>
                          <w:rPr>
                            <w:szCs w:val="21"/>
                          </w:rPr>
                        </w:pPr>
                        <w:r>
                          <w:rPr>
                            <w:rFonts w:hint="eastAsia"/>
                            <w:szCs w:val="21"/>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14:paraId="4079836E"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10B3E60F" w14:textId="77777777" w:rsidR="00471D53" w:rsidRDefault="004F686E" w:rsidP="00471D53">
                    <w:pPr>
                      <w:jc w:val="right"/>
                      <w:rPr>
                        <w:szCs w:val="21"/>
                      </w:rPr>
                    </w:pPr>
                    <w:r>
                      <w:t>7,329,072.74</w:t>
                    </w:r>
                  </w:p>
                </w:tc>
                <w:tc>
                  <w:tcPr>
                    <w:tcW w:w="1333" w:type="pct"/>
                    <w:tcBorders>
                      <w:top w:val="outset" w:sz="6" w:space="0" w:color="auto"/>
                      <w:left w:val="outset" w:sz="6" w:space="0" w:color="auto"/>
                      <w:bottom w:val="outset" w:sz="6" w:space="0" w:color="auto"/>
                      <w:right w:val="outset" w:sz="6" w:space="0" w:color="auto"/>
                    </w:tcBorders>
                  </w:tcPr>
                  <w:p w14:paraId="608D91C8" w14:textId="77777777" w:rsidR="00471D53" w:rsidRDefault="004F686E" w:rsidP="00471D53">
                    <w:pPr>
                      <w:jc w:val="right"/>
                      <w:rPr>
                        <w:szCs w:val="21"/>
                      </w:rPr>
                    </w:pPr>
                    <w:r>
                      <w:t>8,428,750.37</w:t>
                    </w:r>
                  </w:p>
                </w:tc>
              </w:tr>
              <w:tr w:rsidR="00471D53" w14:paraId="7E4E4248" w14:textId="77777777" w:rsidTr="00471D53">
                <w:sdt>
                  <w:sdtPr>
                    <w:tag w:val="_PLD_e62929b21cd4456494013c9cb0dc5b16"/>
                    <w:id w:val="-31596008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AD3D15B" w14:textId="77777777" w:rsidR="00471D53" w:rsidRDefault="004F686E" w:rsidP="00471D53">
                        <w:pPr>
                          <w:rPr>
                            <w:szCs w:val="21"/>
                          </w:rPr>
                        </w:pPr>
                        <w:r>
                          <w:rPr>
                            <w:rFonts w:hint="eastAsia"/>
                            <w:b/>
                            <w:bCs/>
                            <w:szCs w:val="21"/>
                          </w:rPr>
                          <w:t>非流动负债：</w:t>
                        </w:r>
                      </w:p>
                    </w:tc>
                  </w:sdtContent>
                </w:sdt>
                <w:tc>
                  <w:tcPr>
                    <w:tcW w:w="627" w:type="pct"/>
                    <w:tcBorders>
                      <w:top w:val="outset" w:sz="6" w:space="0" w:color="auto"/>
                      <w:left w:val="outset" w:sz="6" w:space="0" w:color="auto"/>
                      <w:bottom w:val="outset" w:sz="6" w:space="0" w:color="auto"/>
                      <w:right w:val="outset" w:sz="6" w:space="0" w:color="auto"/>
                    </w:tcBorders>
                  </w:tcPr>
                  <w:p w14:paraId="1B012A5E" w14:textId="77777777" w:rsidR="00471D53" w:rsidRDefault="00B664AF" w:rsidP="00471D53">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14:paraId="16C31226" w14:textId="77777777" w:rsidR="00471D53" w:rsidRDefault="00B664AF" w:rsidP="00471D53">
                    <w:pPr>
                      <w:ind w:right="210"/>
                      <w:jc w:val="right"/>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14:paraId="549BF68C" w14:textId="77777777" w:rsidR="00471D53" w:rsidRDefault="00B664AF" w:rsidP="00471D53">
                    <w:pPr>
                      <w:jc w:val="right"/>
                      <w:rPr>
                        <w:color w:val="008000"/>
                        <w:szCs w:val="21"/>
                      </w:rPr>
                    </w:pPr>
                  </w:p>
                </w:tc>
              </w:tr>
              <w:tr w:rsidR="00471D53" w14:paraId="6A0898FB" w14:textId="77777777" w:rsidTr="00471D53">
                <w:sdt>
                  <w:sdtPr>
                    <w:tag w:val="_PLD_dc705bf824d14c06a0f0ff2183f061bb"/>
                    <w:id w:val="61478725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B51B3CD" w14:textId="77777777" w:rsidR="00471D53" w:rsidRDefault="004F686E" w:rsidP="00471D53">
                        <w:pPr>
                          <w:ind w:firstLineChars="100" w:firstLine="210"/>
                          <w:rPr>
                            <w:szCs w:val="21"/>
                          </w:rPr>
                        </w:pPr>
                        <w:r>
                          <w:rPr>
                            <w:rFonts w:hint="eastAsia"/>
                            <w:szCs w:val="21"/>
                          </w:rPr>
                          <w:t>长期借款</w:t>
                        </w:r>
                      </w:p>
                    </w:tc>
                  </w:sdtContent>
                </w:sdt>
                <w:tc>
                  <w:tcPr>
                    <w:tcW w:w="627" w:type="pct"/>
                    <w:tcBorders>
                      <w:top w:val="outset" w:sz="6" w:space="0" w:color="auto"/>
                      <w:left w:val="outset" w:sz="6" w:space="0" w:color="auto"/>
                      <w:bottom w:val="outset" w:sz="6" w:space="0" w:color="auto"/>
                      <w:right w:val="outset" w:sz="6" w:space="0" w:color="auto"/>
                    </w:tcBorders>
                  </w:tcPr>
                  <w:p w14:paraId="6BAD885D"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7B5555A9"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13C43A98" w14:textId="77777777" w:rsidR="00471D53" w:rsidRDefault="00B664AF" w:rsidP="00471D53">
                    <w:pPr>
                      <w:jc w:val="right"/>
                      <w:rPr>
                        <w:szCs w:val="21"/>
                      </w:rPr>
                    </w:pPr>
                  </w:p>
                </w:tc>
              </w:tr>
              <w:tr w:rsidR="00471D53" w14:paraId="248BAF15" w14:textId="77777777" w:rsidTr="00471D53">
                <w:sdt>
                  <w:sdtPr>
                    <w:tag w:val="_PLD_338e61244aeb4a06b85c45422b5d2e25"/>
                    <w:id w:val="157469543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6E1C520" w14:textId="77777777" w:rsidR="00471D53" w:rsidRDefault="004F686E" w:rsidP="00471D53">
                        <w:pPr>
                          <w:ind w:firstLineChars="100" w:firstLine="210"/>
                          <w:rPr>
                            <w:szCs w:val="21"/>
                          </w:rPr>
                        </w:pPr>
                        <w:r>
                          <w:rPr>
                            <w:rFonts w:hint="eastAsia"/>
                            <w:szCs w:val="21"/>
                          </w:rPr>
                          <w:t>应付债券</w:t>
                        </w:r>
                      </w:p>
                    </w:tc>
                  </w:sdtContent>
                </w:sdt>
                <w:tc>
                  <w:tcPr>
                    <w:tcW w:w="627" w:type="pct"/>
                    <w:tcBorders>
                      <w:top w:val="outset" w:sz="6" w:space="0" w:color="auto"/>
                      <w:left w:val="outset" w:sz="6" w:space="0" w:color="auto"/>
                      <w:bottom w:val="outset" w:sz="6" w:space="0" w:color="auto"/>
                      <w:right w:val="outset" w:sz="6" w:space="0" w:color="auto"/>
                    </w:tcBorders>
                  </w:tcPr>
                  <w:p w14:paraId="0034C28A"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0317CA75"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2BE95F5" w14:textId="77777777" w:rsidR="00471D53" w:rsidRDefault="00B664AF" w:rsidP="00471D53">
                    <w:pPr>
                      <w:jc w:val="right"/>
                      <w:rPr>
                        <w:szCs w:val="21"/>
                      </w:rPr>
                    </w:pPr>
                  </w:p>
                </w:tc>
              </w:tr>
              <w:tr w:rsidR="00471D53" w14:paraId="07900B84" w14:textId="77777777" w:rsidTr="00471D53">
                <w:sdt>
                  <w:sdtPr>
                    <w:tag w:val="_PLD_314bd73553e7420a8c904cb2018c47e8"/>
                    <w:id w:val="-37192404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DC87DF1" w14:textId="77777777" w:rsidR="00471D53" w:rsidRDefault="004F686E" w:rsidP="00471D53">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14:paraId="6EC00062"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56DBA790"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3B811CF" w14:textId="77777777" w:rsidR="00471D53" w:rsidRDefault="00B664AF" w:rsidP="00471D53">
                    <w:pPr>
                      <w:jc w:val="right"/>
                      <w:rPr>
                        <w:szCs w:val="21"/>
                      </w:rPr>
                    </w:pPr>
                  </w:p>
                </w:tc>
              </w:tr>
              <w:tr w:rsidR="00471D53" w14:paraId="7E0A85C3" w14:textId="77777777" w:rsidTr="00471D53">
                <w:sdt>
                  <w:sdtPr>
                    <w:tag w:val="_PLD_5044e414e8a34f969372ff67406d75ff"/>
                    <w:id w:val="-5001084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C168E36" w14:textId="77777777" w:rsidR="00471D53" w:rsidRDefault="004F686E" w:rsidP="00471D53">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14:paraId="09A04548"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648E9DEA"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E4D1424" w14:textId="77777777" w:rsidR="00471D53" w:rsidRDefault="00B664AF" w:rsidP="00471D53">
                    <w:pPr>
                      <w:jc w:val="right"/>
                      <w:rPr>
                        <w:szCs w:val="21"/>
                      </w:rPr>
                    </w:pPr>
                  </w:p>
                </w:tc>
              </w:tr>
              <w:tr w:rsidR="00471D53" w14:paraId="0F34C5EA" w14:textId="77777777" w:rsidTr="00471D53">
                <w:sdt>
                  <w:sdtPr>
                    <w:tag w:val="_PLD_7b2441d86aba45d4ab5739ca0af69796"/>
                    <w:id w:val="69057444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4BA7E20" w14:textId="77777777" w:rsidR="00471D53" w:rsidRDefault="004F686E" w:rsidP="00471D53">
                        <w:pPr>
                          <w:ind w:firstLineChars="100" w:firstLine="210"/>
                        </w:pPr>
                        <w:r>
                          <w:rPr>
                            <w:rFonts w:hint="eastAsia"/>
                          </w:rPr>
                          <w:t>租赁负债</w:t>
                        </w:r>
                      </w:p>
                    </w:tc>
                  </w:sdtContent>
                </w:sdt>
                <w:tc>
                  <w:tcPr>
                    <w:tcW w:w="627" w:type="pct"/>
                    <w:tcBorders>
                      <w:top w:val="outset" w:sz="6" w:space="0" w:color="auto"/>
                      <w:left w:val="outset" w:sz="6" w:space="0" w:color="auto"/>
                      <w:bottom w:val="outset" w:sz="6" w:space="0" w:color="auto"/>
                      <w:right w:val="outset" w:sz="6" w:space="0" w:color="auto"/>
                    </w:tcBorders>
                  </w:tcPr>
                  <w:p w14:paraId="18589573"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196A150D"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15B65703" w14:textId="77777777" w:rsidR="00471D53" w:rsidRDefault="00B664AF" w:rsidP="00471D53">
                    <w:pPr>
                      <w:jc w:val="right"/>
                      <w:rPr>
                        <w:szCs w:val="21"/>
                      </w:rPr>
                    </w:pPr>
                  </w:p>
                </w:tc>
              </w:tr>
              <w:tr w:rsidR="00471D53" w14:paraId="5C408C4D" w14:textId="77777777" w:rsidTr="00471D53">
                <w:sdt>
                  <w:sdtPr>
                    <w:tag w:val="_PLD_d268871ae8f24f1d920dd95b56180bba"/>
                    <w:id w:val="-9656678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69961D8" w14:textId="77777777" w:rsidR="00471D53" w:rsidRDefault="004F686E" w:rsidP="00471D53">
                        <w:pPr>
                          <w:ind w:firstLineChars="100" w:firstLine="210"/>
                          <w:rPr>
                            <w:szCs w:val="21"/>
                          </w:rPr>
                        </w:pPr>
                        <w:r>
                          <w:rPr>
                            <w:rFonts w:hint="eastAsia"/>
                            <w:szCs w:val="21"/>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14:paraId="575B586C"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665C16A7"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75DDE253" w14:textId="77777777" w:rsidR="00471D53" w:rsidRDefault="00B664AF" w:rsidP="00471D53">
                    <w:pPr>
                      <w:jc w:val="right"/>
                      <w:rPr>
                        <w:szCs w:val="21"/>
                      </w:rPr>
                    </w:pPr>
                  </w:p>
                </w:tc>
              </w:tr>
              <w:tr w:rsidR="00471D53" w14:paraId="3119EC07" w14:textId="77777777" w:rsidTr="00471D53">
                <w:sdt>
                  <w:sdtPr>
                    <w:tag w:val="_PLD_200b2b0412114e3b932260eef9b4c6fe"/>
                    <w:id w:val="95560614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3535372" w14:textId="77777777" w:rsidR="00471D53" w:rsidRDefault="004F686E" w:rsidP="00471D53">
                        <w:pPr>
                          <w:ind w:firstLineChars="100" w:firstLine="210"/>
                          <w:rPr>
                            <w:szCs w:val="21"/>
                          </w:rPr>
                        </w:pPr>
                        <w:r>
                          <w:rPr>
                            <w:rFonts w:hint="eastAsia"/>
                            <w:szCs w:val="21"/>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14:paraId="19320FCA"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30948230"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C53420E" w14:textId="77777777" w:rsidR="00471D53" w:rsidRDefault="00B664AF" w:rsidP="00471D53">
                    <w:pPr>
                      <w:jc w:val="right"/>
                      <w:rPr>
                        <w:szCs w:val="21"/>
                      </w:rPr>
                    </w:pPr>
                  </w:p>
                </w:tc>
              </w:tr>
              <w:tr w:rsidR="00471D53" w14:paraId="47F1A4C5" w14:textId="77777777" w:rsidTr="00471D53">
                <w:sdt>
                  <w:sdtPr>
                    <w:tag w:val="_PLD_175206d9834f4332bb966826e2fc6cf7"/>
                    <w:id w:val="-96619035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A809352" w14:textId="77777777" w:rsidR="00471D53" w:rsidRDefault="004F686E" w:rsidP="00471D53">
                        <w:pPr>
                          <w:ind w:firstLineChars="100" w:firstLine="210"/>
                          <w:rPr>
                            <w:szCs w:val="21"/>
                          </w:rPr>
                        </w:pPr>
                        <w:r>
                          <w:rPr>
                            <w:rFonts w:hint="eastAsia"/>
                            <w:szCs w:val="21"/>
                          </w:rPr>
                          <w:t>预计负债</w:t>
                        </w:r>
                      </w:p>
                    </w:tc>
                  </w:sdtContent>
                </w:sdt>
                <w:tc>
                  <w:tcPr>
                    <w:tcW w:w="627" w:type="pct"/>
                    <w:tcBorders>
                      <w:top w:val="outset" w:sz="6" w:space="0" w:color="auto"/>
                      <w:left w:val="outset" w:sz="6" w:space="0" w:color="auto"/>
                      <w:bottom w:val="outset" w:sz="6" w:space="0" w:color="auto"/>
                      <w:right w:val="outset" w:sz="6" w:space="0" w:color="auto"/>
                    </w:tcBorders>
                  </w:tcPr>
                  <w:p w14:paraId="2167FEC3"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2DA5358A"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3603B98A" w14:textId="77777777" w:rsidR="00471D53" w:rsidRDefault="00B664AF" w:rsidP="00471D53">
                    <w:pPr>
                      <w:jc w:val="right"/>
                      <w:rPr>
                        <w:szCs w:val="21"/>
                      </w:rPr>
                    </w:pPr>
                  </w:p>
                </w:tc>
              </w:tr>
              <w:tr w:rsidR="00471D53" w14:paraId="413F531A" w14:textId="77777777" w:rsidTr="00471D53">
                <w:sdt>
                  <w:sdtPr>
                    <w:tag w:val="_PLD_eab00dbf5a03497493b7cecfc307a4f7"/>
                    <w:id w:val="-149918501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C4AF7E7" w14:textId="77777777" w:rsidR="00471D53" w:rsidRDefault="004F686E" w:rsidP="00471D53">
                        <w:pPr>
                          <w:ind w:firstLineChars="100" w:firstLine="210"/>
                          <w:rPr>
                            <w:szCs w:val="21"/>
                          </w:rPr>
                        </w:pPr>
                        <w:r>
                          <w:rPr>
                            <w:rFonts w:hint="eastAsia"/>
                            <w:szCs w:val="21"/>
                          </w:rPr>
                          <w:t>递延收益</w:t>
                        </w:r>
                      </w:p>
                    </w:tc>
                  </w:sdtContent>
                </w:sdt>
                <w:tc>
                  <w:tcPr>
                    <w:tcW w:w="627" w:type="pct"/>
                    <w:tcBorders>
                      <w:top w:val="outset" w:sz="6" w:space="0" w:color="auto"/>
                      <w:left w:val="outset" w:sz="6" w:space="0" w:color="auto"/>
                      <w:bottom w:val="outset" w:sz="6" w:space="0" w:color="auto"/>
                      <w:right w:val="outset" w:sz="6" w:space="0" w:color="auto"/>
                    </w:tcBorders>
                  </w:tcPr>
                  <w:p w14:paraId="366808CD"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50266FBF"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6D99D2F8" w14:textId="77777777" w:rsidR="00471D53" w:rsidRDefault="00B664AF" w:rsidP="00471D53">
                    <w:pPr>
                      <w:jc w:val="right"/>
                      <w:rPr>
                        <w:szCs w:val="21"/>
                      </w:rPr>
                    </w:pPr>
                  </w:p>
                </w:tc>
              </w:tr>
              <w:tr w:rsidR="00471D53" w14:paraId="36E7EEDB" w14:textId="77777777" w:rsidTr="00471D53">
                <w:sdt>
                  <w:sdtPr>
                    <w:tag w:val="_PLD_b27860a290d6473991cd09d203f00279"/>
                    <w:id w:val="161448804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563F293" w14:textId="77777777" w:rsidR="00471D53" w:rsidRDefault="004F686E" w:rsidP="00471D53">
                        <w:pPr>
                          <w:ind w:firstLineChars="100" w:firstLine="210"/>
                          <w:rPr>
                            <w:szCs w:val="21"/>
                          </w:rPr>
                        </w:pPr>
                        <w:r>
                          <w:rPr>
                            <w:rFonts w:hint="eastAsia"/>
                            <w:szCs w:val="21"/>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14:paraId="44182448"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6D34A7CF"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18169F3F" w14:textId="77777777" w:rsidR="00471D53" w:rsidRDefault="00B664AF" w:rsidP="00471D53">
                    <w:pPr>
                      <w:jc w:val="right"/>
                      <w:rPr>
                        <w:szCs w:val="21"/>
                      </w:rPr>
                    </w:pPr>
                  </w:p>
                </w:tc>
              </w:tr>
              <w:tr w:rsidR="00471D53" w14:paraId="579C3EB7" w14:textId="77777777" w:rsidTr="00471D53">
                <w:sdt>
                  <w:sdtPr>
                    <w:tag w:val="_PLD_4e68f69147854f91a45d2da03b70d4d5"/>
                    <w:id w:val="69681848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AC31F85" w14:textId="77777777" w:rsidR="00471D53" w:rsidRDefault="004F686E" w:rsidP="00471D53">
                        <w:pPr>
                          <w:ind w:firstLineChars="100" w:firstLine="210"/>
                          <w:rPr>
                            <w:szCs w:val="21"/>
                          </w:rPr>
                        </w:pPr>
                        <w:r>
                          <w:rPr>
                            <w:rFonts w:hint="eastAsia"/>
                            <w:szCs w:val="21"/>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14:paraId="2AB59D65"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1463FEA4"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5B2C8FFA" w14:textId="77777777" w:rsidR="00471D53" w:rsidRDefault="00B664AF" w:rsidP="00471D53">
                    <w:pPr>
                      <w:jc w:val="right"/>
                      <w:rPr>
                        <w:szCs w:val="21"/>
                      </w:rPr>
                    </w:pPr>
                  </w:p>
                </w:tc>
              </w:tr>
              <w:tr w:rsidR="00471D53" w14:paraId="3C61962E" w14:textId="77777777" w:rsidTr="00471D53">
                <w:sdt>
                  <w:sdtPr>
                    <w:tag w:val="_PLD_2c899ef8da434424b5289e4324851489"/>
                    <w:id w:val="199638019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01EC49B" w14:textId="77777777" w:rsidR="00471D53" w:rsidRDefault="004F686E" w:rsidP="00471D53">
                        <w:pPr>
                          <w:ind w:firstLineChars="200" w:firstLine="420"/>
                          <w:rPr>
                            <w:szCs w:val="21"/>
                          </w:rPr>
                        </w:pPr>
                        <w:r>
                          <w:rPr>
                            <w:rFonts w:hint="eastAsia"/>
                            <w:szCs w:val="21"/>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14:paraId="72490450"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763774B5"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8854980" w14:textId="77777777" w:rsidR="00471D53" w:rsidRDefault="00B664AF" w:rsidP="00471D53">
                    <w:pPr>
                      <w:jc w:val="right"/>
                      <w:rPr>
                        <w:szCs w:val="21"/>
                      </w:rPr>
                    </w:pPr>
                  </w:p>
                </w:tc>
              </w:tr>
              <w:tr w:rsidR="00471D53" w14:paraId="1C48538C" w14:textId="77777777" w:rsidTr="00471D53">
                <w:sdt>
                  <w:sdtPr>
                    <w:tag w:val="_PLD_e2102ad9792147f2bf11ec884c204033"/>
                    <w:id w:val="46493599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6CB4505" w14:textId="77777777" w:rsidR="00471D53" w:rsidRDefault="004F686E" w:rsidP="00471D53">
                        <w:pPr>
                          <w:ind w:firstLineChars="300" w:firstLine="630"/>
                          <w:rPr>
                            <w:szCs w:val="21"/>
                          </w:rPr>
                        </w:pPr>
                        <w:r>
                          <w:rPr>
                            <w:rFonts w:hint="eastAsia"/>
                            <w:szCs w:val="21"/>
                          </w:rPr>
                          <w:t>负债合计</w:t>
                        </w:r>
                      </w:p>
                    </w:tc>
                  </w:sdtContent>
                </w:sdt>
                <w:tc>
                  <w:tcPr>
                    <w:tcW w:w="627" w:type="pct"/>
                    <w:tcBorders>
                      <w:top w:val="outset" w:sz="6" w:space="0" w:color="auto"/>
                      <w:left w:val="outset" w:sz="6" w:space="0" w:color="auto"/>
                      <w:bottom w:val="outset" w:sz="6" w:space="0" w:color="auto"/>
                      <w:right w:val="outset" w:sz="6" w:space="0" w:color="auto"/>
                    </w:tcBorders>
                  </w:tcPr>
                  <w:p w14:paraId="3859F944"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6EBC8981" w14:textId="77777777" w:rsidR="00471D53" w:rsidRDefault="004F686E" w:rsidP="00471D53">
                    <w:pPr>
                      <w:jc w:val="right"/>
                      <w:rPr>
                        <w:szCs w:val="21"/>
                      </w:rPr>
                    </w:pPr>
                    <w:r>
                      <w:t>7,329,072.74</w:t>
                    </w:r>
                  </w:p>
                </w:tc>
                <w:tc>
                  <w:tcPr>
                    <w:tcW w:w="1333" w:type="pct"/>
                    <w:tcBorders>
                      <w:top w:val="outset" w:sz="6" w:space="0" w:color="auto"/>
                      <w:left w:val="outset" w:sz="6" w:space="0" w:color="auto"/>
                      <w:bottom w:val="outset" w:sz="6" w:space="0" w:color="auto"/>
                      <w:right w:val="outset" w:sz="6" w:space="0" w:color="auto"/>
                    </w:tcBorders>
                  </w:tcPr>
                  <w:p w14:paraId="51F417F8" w14:textId="77777777" w:rsidR="00471D53" w:rsidRDefault="004F686E" w:rsidP="00471D53">
                    <w:pPr>
                      <w:jc w:val="right"/>
                      <w:rPr>
                        <w:szCs w:val="21"/>
                      </w:rPr>
                    </w:pPr>
                    <w:r>
                      <w:t>8,428,750.37</w:t>
                    </w:r>
                  </w:p>
                </w:tc>
              </w:tr>
              <w:tr w:rsidR="00471D53" w14:paraId="1CA375BE" w14:textId="77777777" w:rsidTr="00471D53">
                <w:sdt>
                  <w:sdtPr>
                    <w:tag w:val="_PLD_b3c95ee428314f8b8091bd15dff2a83d"/>
                    <w:id w:val="9052074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DB9DC28" w14:textId="77777777" w:rsidR="00471D53" w:rsidRDefault="004F686E" w:rsidP="00471D53">
                        <w:pPr>
                          <w:rPr>
                            <w:szCs w:val="21"/>
                          </w:rPr>
                        </w:pPr>
                        <w:r>
                          <w:rPr>
                            <w:rFonts w:hint="eastAsia"/>
                            <w:b/>
                            <w:bCs/>
                            <w:szCs w:val="21"/>
                          </w:rPr>
                          <w:t>所有者权益（或股东权益）：</w:t>
                        </w:r>
                      </w:p>
                    </w:tc>
                  </w:sdtContent>
                </w:sdt>
                <w:tc>
                  <w:tcPr>
                    <w:tcW w:w="627" w:type="pct"/>
                    <w:tcBorders>
                      <w:top w:val="outset" w:sz="6" w:space="0" w:color="auto"/>
                      <w:left w:val="outset" w:sz="6" w:space="0" w:color="auto"/>
                      <w:bottom w:val="outset" w:sz="6" w:space="0" w:color="auto"/>
                      <w:right w:val="outset" w:sz="6" w:space="0" w:color="auto"/>
                    </w:tcBorders>
                  </w:tcPr>
                  <w:p w14:paraId="237C18BC" w14:textId="77777777" w:rsidR="00471D53" w:rsidRDefault="00B664AF" w:rsidP="00471D53">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14:paraId="6ACDA28F" w14:textId="77777777" w:rsidR="00471D53" w:rsidRDefault="00B664AF" w:rsidP="00471D53">
                    <w:pPr>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14:paraId="6DE245FA" w14:textId="77777777" w:rsidR="00471D53" w:rsidRDefault="00B664AF" w:rsidP="00471D53">
                    <w:pPr>
                      <w:rPr>
                        <w:color w:val="008000"/>
                        <w:szCs w:val="21"/>
                      </w:rPr>
                    </w:pPr>
                  </w:p>
                </w:tc>
              </w:tr>
              <w:tr w:rsidR="00471D53" w14:paraId="13781EF8" w14:textId="77777777" w:rsidTr="00471D53">
                <w:sdt>
                  <w:sdtPr>
                    <w:tag w:val="_PLD_4dc50e71aa7b412096aaa176abd95e28"/>
                    <w:id w:val="-135232687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5E8BF7B" w14:textId="77777777" w:rsidR="00471D53" w:rsidRDefault="004F686E" w:rsidP="00471D53">
                        <w:pPr>
                          <w:ind w:firstLineChars="100" w:firstLine="210"/>
                          <w:rPr>
                            <w:szCs w:val="21"/>
                          </w:rPr>
                        </w:pPr>
                        <w:r>
                          <w:rPr>
                            <w:rFonts w:hint="eastAsia"/>
                            <w:szCs w:val="21"/>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14:paraId="134FCFC4"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77E25CC1" w14:textId="77777777" w:rsidR="00471D53" w:rsidRDefault="004F686E" w:rsidP="00471D53">
                    <w:pPr>
                      <w:jc w:val="right"/>
                      <w:rPr>
                        <w:szCs w:val="21"/>
                      </w:rPr>
                    </w:pPr>
                    <w:r>
                      <w:t>485,000,000.00</w:t>
                    </w:r>
                  </w:p>
                </w:tc>
                <w:tc>
                  <w:tcPr>
                    <w:tcW w:w="1333" w:type="pct"/>
                    <w:tcBorders>
                      <w:top w:val="outset" w:sz="6" w:space="0" w:color="auto"/>
                      <w:left w:val="outset" w:sz="6" w:space="0" w:color="auto"/>
                      <w:bottom w:val="outset" w:sz="6" w:space="0" w:color="auto"/>
                      <w:right w:val="outset" w:sz="6" w:space="0" w:color="auto"/>
                    </w:tcBorders>
                  </w:tcPr>
                  <w:p w14:paraId="420D4E0D" w14:textId="77777777" w:rsidR="00471D53" w:rsidRDefault="004F686E" w:rsidP="00471D53">
                    <w:pPr>
                      <w:jc w:val="right"/>
                      <w:rPr>
                        <w:szCs w:val="21"/>
                      </w:rPr>
                    </w:pPr>
                    <w:r>
                      <w:t>485,000,000.00</w:t>
                    </w:r>
                  </w:p>
                </w:tc>
              </w:tr>
              <w:tr w:rsidR="00471D53" w14:paraId="3F093529" w14:textId="77777777" w:rsidTr="00471D53">
                <w:sdt>
                  <w:sdtPr>
                    <w:tag w:val="_PLD_f36127e51236487893688b464544872d"/>
                    <w:id w:val="-199671138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248C632" w14:textId="77777777" w:rsidR="00471D53" w:rsidRDefault="004F686E" w:rsidP="00471D53">
                        <w:pPr>
                          <w:ind w:firstLineChars="100" w:firstLine="210"/>
                          <w:rPr>
                            <w:szCs w:val="21"/>
                          </w:rPr>
                        </w:pPr>
                        <w:r>
                          <w:rPr>
                            <w:rFonts w:hint="eastAsia"/>
                            <w:szCs w:val="21"/>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14:paraId="37282B8D"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1B1BA11C"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0E005D55" w14:textId="77777777" w:rsidR="00471D53" w:rsidRDefault="00B664AF" w:rsidP="00471D53">
                    <w:pPr>
                      <w:jc w:val="right"/>
                      <w:rPr>
                        <w:szCs w:val="21"/>
                      </w:rPr>
                    </w:pPr>
                  </w:p>
                </w:tc>
              </w:tr>
              <w:tr w:rsidR="00471D53" w14:paraId="3377232E" w14:textId="77777777" w:rsidTr="00471D53">
                <w:sdt>
                  <w:sdtPr>
                    <w:tag w:val="_PLD_6ff9fed10f5e4421b4d017b86f339700"/>
                    <w:id w:val="-28373477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F4930F9" w14:textId="77777777" w:rsidR="00471D53" w:rsidRDefault="004F686E" w:rsidP="00471D53">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14:paraId="3AA0A254"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3F803F7E"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3610897C" w14:textId="77777777" w:rsidR="00471D53" w:rsidRDefault="00B664AF" w:rsidP="00471D53">
                    <w:pPr>
                      <w:jc w:val="right"/>
                      <w:rPr>
                        <w:szCs w:val="21"/>
                      </w:rPr>
                    </w:pPr>
                  </w:p>
                </w:tc>
              </w:tr>
              <w:tr w:rsidR="00471D53" w14:paraId="548DC506" w14:textId="77777777" w:rsidTr="00471D53">
                <w:sdt>
                  <w:sdtPr>
                    <w:tag w:val="_PLD_a53508683d034577843778ba9d06a615"/>
                    <w:id w:val="-182842933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C8D59F9" w14:textId="77777777" w:rsidR="00471D53" w:rsidRDefault="004F686E" w:rsidP="00471D53">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14:paraId="0A50247B"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3F943DCE"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3513D2E1" w14:textId="77777777" w:rsidR="00471D53" w:rsidRDefault="00B664AF" w:rsidP="00471D53">
                    <w:pPr>
                      <w:jc w:val="right"/>
                      <w:rPr>
                        <w:szCs w:val="21"/>
                      </w:rPr>
                    </w:pPr>
                  </w:p>
                </w:tc>
              </w:tr>
              <w:tr w:rsidR="00471D53" w14:paraId="0B588721" w14:textId="77777777" w:rsidTr="00471D53">
                <w:sdt>
                  <w:sdtPr>
                    <w:tag w:val="_PLD_08724ab7c9244a1186a8219085238e9f"/>
                    <w:id w:val="145444855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DCC555D" w14:textId="77777777" w:rsidR="00471D53" w:rsidRDefault="004F686E" w:rsidP="00471D53">
                        <w:pPr>
                          <w:ind w:firstLineChars="100" w:firstLine="210"/>
                          <w:rPr>
                            <w:szCs w:val="21"/>
                          </w:rPr>
                        </w:pPr>
                        <w:r>
                          <w:rPr>
                            <w:rFonts w:hint="eastAsia"/>
                            <w:szCs w:val="21"/>
                          </w:rPr>
                          <w:t>资本公积</w:t>
                        </w:r>
                      </w:p>
                    </w:tc>
                  </w:sdtContent>
                </w:sdt>
                <w:tc>
                  <w:tcPr>
                    <w:tcW w:w="627" w:type="pct"/>
                    <w:tcBorders>
                      <w:top w:val="outset" w:sz="6" w:space="0" w:color="auto"/>
                      <w:left w:val="outset" w:sz="6" w:space="0" w:color="auto"/>
                      <w:bottom w:val="outset" w:sz="6" w:space="0" w:color="auto"/>
                      <w:right w:val="outset" w:sz="6" w:space="0" w:color="auto"/>
                    </w:tcBorders>
                  </w:tcPr>
                  <w:p w14:paraId="0CDFE477"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044C5930" w14:textId="77777777" w:rsidR="00471D53" w:rsidRDefault="004F686E" w:rsidP="00471D53">
                    <w:pPr>
                      <w:jc w:val="right"/>
                      <w:rPr>
                        <w:szCs w:val="21"/>
                      </w:rPr>
                    </w:pPr>
                    <w:r>
                      <w:t>811,365,185.81</w:t>
                    </w:r>
                  </w:p>
                </w:tc>
                <w:tc>
                  <w:tcPr>
                    <w:tcW w:w="1333" w:type="pct"/>
                    <w:tcBorders>
                      <w:top w:val="outset" w:sz="6" w:space="0" w:color="auto"/>
                      <w:left w:val="outset" w:sz="6" w:space="0" w:color="auto"/>
                      <w:bottom w:val="outset" w:sz="6" w:space="0" w:color="auto"/>
                      <w:right w:val="outset" w:sz="6" w:space="0" w:color="auto"/>
                    </w:tcBorders>
                  </w:tcPr>
                  <w:p w14:paraId="00064382" w14:textId="77777777" w:rsidR="00471D53" w:rsidRDefault="004F686E" w:rsidP="00471D53">
                    <w:pPr>
                      <w:jc w:val="right"/>
                      <w:rPr>
                        <w:szCs w:val="21"/>
                      </w:rPr>
                    </w:pPr>
                    <w:r>
                      <w:t>811,365,185.81</w:t>
                    </w:r>
                  </w:p>
                </w:tc>
              </w:tr>
              <w:tr w:rsidR="00471D53" w14:paraId="62CA324E" w14:textId="77777777" w:rsidTr="00471D53">
                <w:sdt>
                  <w:sdtPr>
                    <w:tag w:val="_PLD_acf5eb5023ce48a38a6314aa3a59978b"/>
                    <w:id w:val="-202431704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E44B99B" w14:textId="77777777" w:rsidR="00471D53" w:rsidRDefault="004F686E" w:rsidP="00471D53">
                        <w:pPr>
                          <w:ind w:firstLineChars="100" w:firstLine="210"/>
                          <w:rPr>
                            <w:szCs w:val="21"/>
                          </w:rPr>
                        </w:pPr>
                        <w:r>
                          <w:rPr>
                            <w:rFonts w:hint="eastAsia"/>
                            <w:szCs w:val="21"/>
                          </w:rPr>
                          <w:t>减：库存股</w:t>
                        </w:r>
                      </w:p>
                    </w:tc>
                  </w:sdtContent>
                </w:sdt>
                <w:tc>
                  <w:tcPr>
                    <w:tcW w:w="627" w:type="pct"/>
                    <w:tcBorders>
                      <w:top w:val="outset" w:sz="6" w:space="0" w:color="auto"/>
                      <w:left w:val="outset" w:sz="6" w:space="0" w:color="auto"/>
                      <w:bottom w:val="outset" w:sz="6" w:space="0" w:color="auto"/>
                      <w:right w:val="outset" w:sz="6" w:space="0" w:color="auto"/>
                    </w:tcBorders>
                  </w:tcPr>
                  <w:p w14:paraId="71750944"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31F1625A"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1456D8DC" w14:textId="77777777" w:rsidR="00471D53" w:rsidRDefault="00B664AF" w:rsidP="00471D53">
                    <w:pPr>
                      <w:jc w:val="right"/>
                      <w:rPr>
                        <w:szCs w:val="21"/>
                      </w:rPr>
                    </w:pPr>
                  </w:p>
                </w:tc>
              </w:tr>
              <w:tr w:rsidR="00471D53" w14:paraId="2C2528B9" w14:textId="77777777" w:rsidTr="00471D53">
                <w:sdt>
                  <w:sdtPr>
                    <w:tag w:val="_PLD_b511319799ae49febdfc2f1e81f6d67c"/>
                    <w:id w:val="26605140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1F8D7FF" w14:textId="77777777" w:rsidR="00471D53" w:rsidRDefault="004F686E" w:rsidP="00471D53">
                        <w:pPr>
                          <w:ind w:firstLineChars="100" w:firstLine="210"/>
                          <w:rPr>
                            <w:szCs w:val="21"/>
                          </w:rPr>
                        </w:pPr>
                        <w:r>
                          <w:rPr>
                            <w:rFonts w:hint="eastAsia"/>
                            <w:szCs w:val="21"/>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14:paraId="7260C067"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04C21D1E"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5E3B861" w14:textId="77777777" w:rsidR="00471D53" w:rsidRDefault="00B664AF" w:rsidP="00471D53">
                    <w:pPr>
                      <w:jc w:val="right"/>
                      <w:rPr>
                        <w:szCs w:val="21"/>
                      </w:rPr>
                    </w:pPr>
                  </w:p>
                </w:tc>
              </w:tr>
              <w:tr w:rsidR="00471D53" w14:paraId="5E38B3E2" w14:textId="77777777" w:rsidTr="00471D53">
                <w:sdt>
                  <w:sdtPr>
                    <w:tag w:val="_PLD_485864b6f1a24685a2635ee51b952005"/>
                    <w:id w:val="93402196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897FFA0" w14:textId="77777777" w:rsidR="00471D53" w:rsidRDefault="004F686E" w:rsidP="00471D53">
                        <w:pPr>
                          <w:ind w:firstLineChars="100" w:firstLine="210"/>
                          <w:rPr>
                            <w:szCs w:val="21"/>
                          </w:rPr>
                        </w:pPr>
                        <w:r>
                          <w:rPr>
                            <w:rFonts w:hint="eastAsia"/>
                            <w:szCs w:val="21"/>
                          </w:rPr>
                          <w:t>专项储备</w:t>
                        </w:r>
                      </w:p>
                    </w:tc>
                  </w:sdtContent>
                </w:sdt>
                <w:tc>
                  <w:tcPr>
                    <w:tcW w:w="627" w:type="pct"/>
                    <w:tcBorders>
                      <w:top w:val="outset" w:sz="6" w:space="0" w:color="auto"/>
                      <w:left w:val="outset" w:sz="6" w:space="0" w:color="auto"/>
                      <w:bottom w:val="outset" w:sz="6" w:space="0" w:color="auto"/>
                      <w:right w:val="outset" w:sz="6" w:space="0" w:color="auto"/>
                    </w:tcBorders>
                  </w:tcPr>
                  <w:p w14:paraId="1A1078A0"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04F04E72" w14:textId="77777777" w:rsidR="00471D53" w:rsidRDefault="00B664AF" w:rsidP="00471D5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11FE275C" w14:textId="77777777" w:rsidR="00471D53" w:rsidRDefault="00B664AF" w:rsidP="00471D53">
                    <w:pPr>
                      <w:jc w:val="right"/>
                      <w:rPr>
                        <w:szCs w:val="21"/>
                      </w:rPr>
                    </w:pPr>
                  </w:p>
                </w:tc>
              </w:tr>
              <w:tr w:rsidR="00471D53" w14:paraId="4337C0C9" w14:textId="77777777" w:rsidTr="00471D53">
                <w:sdt>
                  <w:sdtPr>
                    <w:tag w:val="_PLD_81d459a1820947dd8bb91df8e71c615b"/>
                    <w:id w:val="206220897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059DF89" w14:textId="77777777" w:rsidR="00471D53" w:rsidRDefault="004F686E" w:rsidP="00471D53">
                        <w:pPr>
                          <w:ind w:firstLineChars="100" w:firstLine="210"/>
                          <w:rPr>
                            <w:szCs w:val="21"/>
                          </w:rPr>
                        </w:pPr>
                        <w:r>
                          <w:rPr>
                            <w:rFonts w:hint="eastAsia"/>
                            <w:szCs w:val="21"/>
                          </w:rPr>
                          <w:t>盈余公积</w:t>
                        </w:r>
                      </w:p>
                    </w:tc>
                  </w:sdtContent>
                </w:sdt>
                <w:tc>
                  <w:tcPr>
                    <w:tcW w:w="627" w:type="pct"/>
                    <w:tcBorders>
                      <w:top w:val="outset" w:sz="6" w:space="0" w:color="auto"/>
                      <w:left w:val="outset" w:sz="6" w:space="0" w:color="auto"/>
                      <w:bottom w:val="outset" w:sz="6" w:space="0" w:color="auto"/>
                      <w:right w:val="outset" w:sz="6" w:space="0" w:color="auto"/>
                    </w:tcBorders>
                  </w:tcPr>
                  <w:p w14:paraId="7C698682"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775A1DF6" w14:textId="77777777" w:rsidR="00471D53" w:rsidRDefault="004F686E" w:rsidP="00471D53">
                    <w:pPr>
                      <w:jc w:val="right"/>
                      <w:rPr>
                        <w:szCs w:val="21"/>
                      </w:rPr>
                    </w:pPr>
                    <w:r>
                      <w:t>38,071,282.24</w:t>
                    </w:r>
                  </w:p>
                </w:tc>
                <w:tc>
                  <w:tcPr>
                    <w:tcW w:w="1333" w:type="pct"/>
                    <w:tcBorders>
                      <w:top w:val="outset" w:sz="6" w:space="0" w:color="auto"/>
                      <w:left w:val="outset" w:sz="6" w:space="0" w:color="auto"/>
                      <w:bottom w:val="outset" w:sz="6" w:space="0" w:color="auto"/>
                      <w:right w:val="outset" w:sz="6" w:space="0" w:color="auto"/>
                    </w:tcBorders>
                  </w:tcPr>
                  <w:p w14:paraId="573C6692" w14:textId="77777777" w:rsidR="00471D53" w:rsidRDefault="004F686E" w:rsidP="00471D53">
                    <w:pPr>
                      <w:jc w:val="right"/>
                      <w:rPr>
                        <w:szCs w:val="21"/>
                      </w:rPr>
                    </w:pPr>
                    <w:r>
                      <w:t>38,071,282.24</w:t>
                    </w:r>
                  </w:p>
                </w:tc>
              </w:tr>
              <w:tr w:rsidR="00471D53" w14:paraId="51AA8D0F" w14:textId="77777777" w:rsidTr="00471D53">
                <w:sdt>
                  <w:sdtPr>
                    <w:tag w:val="_PLD_9bf3fa2bf87240889853d8e32c117a77"/>
                    <w:id w:val="-62461374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CEBBF60" w14:textId="77777777" w:rsidR="00471D53" w:rsidRDefault="004F686E" w:rsidP="00471D53">
                        <w:pPr>
                          <w:ind w:firstLineChars="100" w:firstLine="210"/>
                          <w:rPr>
                            <w:szCs w:val="21"/>
                          </w:rPr>
                        </w:pPr>
                        <w:r>
                          <w:rPr>
                            <w:rFonts w:hint="eastAsia"/>
                            <w:szCs w:val="21"/>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14:paraId="4B76F98A"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2E4FEF7C" w14:textId="77777777" w:rsidR="00471D53" w:rsidRDefault="004F686E" w:rsidP="00471D53">
                    <w:pPr>
                      <w:jc w:val="right"/>
                      <w:rPr>
                        <w:szCs w:val="21"/>
                      </w:rPr>
                    </w:pPr>
                    <w:r>
                      <w:t>-61,056,061.92</w:t>
                    </w:r>
                  </w:p>
                </w:tc>
                <w:tc>
                  <w:tcPr>
                    <w:tcW w:w="1333" w:type="pct"/>
                    <w:tcBorders>
                      <w:top w:val="outset" w:sz="6" w:space="0" w:color="auto"/>
                      <w:left w:val="outset" w:sz="6" w:space="0" w:color="auto"/>
                      <w:bottom w:val="outset" w:sz="6" w:space="0" w:color="auto"/>
                      <w:right w:val="outset" w:sz="6" w:space="0" w:color="auto"/>
                    </w:tcBorders>
                  </w:tcPr>
                  <w:p w14:paraId="4BA34568" w14:textId="77777777" w:rsidR="00471D53" w:rsidRDefault="004F686E" w:rsidP="00471D53">
                    <w:pPr>
                      <w:jc w:val="right"/>
                      <w:rPr>
                        <w:szCs w:val="21"/>
                      </w:rPr>
                    </w:pPr>
                    <w:r>
                      <w:t>-55,776,343.03</w:t>
                    </w:r>
                  </w:p>
                </w:tc>
              </w:tr>
              <w:tr w:rsidR="00471D53" w14:paraId="1D47ECC3" w14:textId="77777777" w:rsidTr="00471D53">
                <w:sdt>
                  <w:sdtPr>
                    <w:tag w:val="_PLD_a8e701b7d2f8447c8bb34870babce384"/>
                    <w:id w:val="-191291416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6F24FF8" w14:textId="77777777" w:rsidR="00471D53" w:rsidRDefault="004F686E" w:rsidP="00471D53">
                        <w:pPr>
                          <w:ind w:firstLineChars="200" w:firstLine="420"/>
                          <w:rPr>
                            <w:szCs w:val="21"/>
                          </w:rPr>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14:paraId="7DF2F0C2"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6C0B2EAC" w14:textId="77777777" w:rsidR="00471D53" w:rsidRDefault="004F686E" w:rsidP="00471D53">
                    <w:pPr>
                      <w:jc w:val="right"/>
                      <w:rPr>
                        <w:szCs w:val="21"/>
                      </w:rPr>
                    </w:pPr>
                    <w:r>
                      <w:t>1,273,380,406.13</w:t>
                    </w:r>
                  </w:p>
                </w:tc>
                <w:tc>
                  <w:tcPr>
                    <w:tcW w:w="1333" w:type="pct"/>
                    <w:tcBorders>
                      <w:top w:val="outset" w:sz="6" w:space="0" w:color="auto"/>
                      <w:left w:val="outset" w:sz="6" w:space="0" w:color="auto"/>
                      <w:bottom w:val="outset" w:sz="6" w:space="0" w:color="auto"/>
                      <w:right w:val="outset" w:sz="6" w:space="0" w:color="auto"/>
                    </w:tcBorders>
                  </w:tcPr>
                  <w:p w14:paraId="040A616B" w14:textId="77777777" w:rsidR="00471D53" w:rsidRDefault="004F686E" w:rsidP="00471D53">
                    <w:pPr>
                      <w:jc w:val="right"/>
                      <w:rPr>
                        <w:szCs w:val="21"/>
                      </w:rPr>
                    </w:pPr>
                    <w:r>
                      <w:t>1,278,660,125.02</w:t>
                    </w:r>
                  </w:p>
                </w:tc>
              </w:tr>
              <w:tr w:rsidR="00471D53" w14:paraId="28A174FF" w14:textId="77777777" w:rsidTr="00471D53">
                <w:sdt>
                  <w:sdtPr>
                    <w:tag w:val="_PLD_448d7a5f1f6c488cb5525aa8d0d88441"/>
                    <w:id w:val="-39674609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B52B2BA" w14:textId="77777777" w:rsidR="00471D53" w:rsidRDefault="004F686E" w:rsidP="00471D53">
                        <w:pPr>
                          <w:ind w:firstLineChars="300" w:firstLine="630"/>
                          <w:rPr>
                            <w:szCs w:val="21"/>
                          </w:rPr>
                        </w:pPr>
                        <w:r>
                          <w:rPr>
                            <w:rFonts w:hint="eastAsia"/>
                            <w:szCs w:val="21"/>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14:paraId="537F393D" w14:textId="77777777" w:rsidR="00471D53" w:rsidRDefault="00B664AF" w:rsidP="00471D53">
                    <w:pPr>
                      <w:rPr>
                        <w:szCs w:val="21"/>
                      </w:rPr>
                    </w:pPr>
                  </w:p>
                </w:tc>
                <w:tc>
                  <w:tcPr>
                    <w:tcW w:w="1411" w:type="pct"/>
                    <w:tcBorders>
                      <w:top w:val="outset" w:sz="6" w:space="0" w:color="auto"/>
                      <w:left w:val="outset" w:sz="6" w:space="0" w:color="auto"/>
                      <w:bottom w:val="outset" w:sz="6" w:space="0" w:color="auto"/>
                      <w:right w:val="outset" w:sz="6" w:space="0" w:color="auto"/>
                    </w:tcBorders>
                  </w:tcPr>
                  <w:p w14:paraId="52C3AA02" w14:textId="77777777" w:rsidR="00471D53" w:rsidRDefault="004F686E" w:rsidP="00471D53">
                    <w:pPr>
                      <w:jc w:val="right"/>
                      <w:rPr>
                        <w:szCs w:val="21"/>
                      </w:rPr>
                    </w:pPr>
                    <w:r>
                      <w:t>1,280,709,478.87</w:t>
                    </w:r>
                  </w:p>
                </w:tc>
                <w:tc>
                  <w:tcPr>
                    <w:tcW w:w="1333" w:type="pct"/>
                    <w:tcBorders>
                      <w:top w:val="outset" w:sz="6" w:space="0" w:color="auto"/>
                      <w:left w:val="outset" w:sz="6" w:space="0" w:color="auto"/>
                      <w:bottom w:val="outset" w:sz="6" w:space="0" w:color="auto"/>
                      <w:right w:val="outset" w:sz="6" w:space="0" w:color="auto"/>
                    </w:tcBorders>
                  </w:tcPr>
                  <w:p w14:paraId="375DE831" w14:textId="77777777" w:rsidR="00471D53" w:rsidRDefault="004F686E" w:rsidP="00471D53">
                    <w:pPr>
                      <w:jc w:val="right"/>
                      <w:rPr>
                        <w:szCs w:val="21"/>
                      </w:rPr>
                    </w:pPr>
                    <w:r>
                      <w:t>1,287,088,875.39</w:t>
                    </w:r>
                  </w:p>
                </w:tc>
              </w:tr>
            </w:tbl>
            <w:p w14:paraId="55122244" w14:textId="77777777" w:rsidR="00471D53" w:rsidRDefault="00B664AF"/>
            <w:p w14:paraId="33B97D6B" w14:textId="39D6D3D3" w:rsidR="00471D53" w:rsidRDefault="004F686E">
              <w:pPr>
                <w:ind w:rightChars="-73" w:right="-153"/>
                <w:rPr>
                  <w:szCs w:val="21"/>
                </w:rPr>
              </w:pPr>
              <w:r>
                <w:rPr>
                  <w:szCs w:val="21"/>
                </w:rPr>
                <w:t>公司负责人</w:t>
              </w:r>
              <w:r>
                <w:rPr>
                  <w:rFonts w:hint="eastAsia"/>
                  <w:szCs w:val="21"/>
                </w:rPr>
                <w:t>：</w:t>
              </w:r>
              <w:sdt>
                <w:sdtPr>
                  <w:rPr>
                    <w:rFonts w:hint="eastAsia"/>
                    <w:szCs w:val="21"/>
                  </w:rPr>
                  <w:alias w:val="公司负责人"/>
                  <w:tag w:val="_GBC_f43f422c96ec4e009c3976ce8e58b778"/>
                  <w:id w:val="-225608144"/>
                  <w:lock w:val="sdtLocked"/>
                  <w:dataBinding w:prefixMappings="xmlns:clcid-mr='clcid-mr'" w:xpath="/*/clcid-mr:GongSiFuZeRenXingMing[not(@periodRef)]" w:storeItemID="{89EBAB94-44A0-46A2-B712-30D997D04A6D}"/>
                  <w:text/>
                </w:sdtPr>
                <w:sdtEndPr/>
                <w:sdtContent>
                  <w:r w:rsidR="00FC65A7">
                    <w:rPr>
                      <w:rFonts w:hint="eastAsia"/>
                      <w:szCs w:val="21"/>
                    </w:rPr>
                    <w:t>王军先生</w:t>
                  </w:r>
                </w:sdtContent>
              </w:sdt>
              <w:r w:rsidR="00A436AE">
                <w:rPr>
                  <w:szCs w:val="21"/>
                </w:rPr>
                <w:t xml:space="preserve"> </w:t>
              </w:r>
              <w:r>
                <w:rPr>
                  <w:szCs w:val="21"/>
                </w:rPr>
                <w:t>主管会计工作负责人</w:t>
              </w:r>
              <w:r>
                <w:rPr>
                  <w:rFonts w:hint="eastAsia"/>
                  <w:szCs w:val="21"/>
                </w:rPr>
                <w:t>：</w:t>
              </w:r>
              <w:sdt>
                <w:sdtPr>
                  <w:rPr>
                    <w:rFonts w:hint="eastAsia"/>
                    <w:szCs w:val="21"/>
                  </w:rPr>
                  <w:alias w:val="主管会计工作负责人姓名"/>
                  <w:tag w:val="_GBC_3ac751c8378d4424bbdf4c74057683d9"/>
                  <w:id w:val="1290239177"/>
                  <w:lock w:val="sdtLocked"/>
                  <w:dataBinding w:prefixMappings="xmlns:clcid-mr='clcid-mr'" w:xpath="/*/clcid-mr:ZhuGuanKuaiJiGongZuoFuZeRenXingMing[not(@periodRef)]" w:storeItemID="{89EBAB94-44A0-46A2-B712-30D997D04A6D}"/>
                  <w:text/>
                </w:sdtPr>
                <w:sdtEndPr/>
                <w:sdtContent>
                  <w:r w:rsidR="00FC65A7">
                    <w:rPr>
                      <w:rFonts w:hint="eastAsia"/>
                      <w:szCs w:val="21"/>
                    </w:rPr>
                    <w:t>姜驰女士</w:t>
                  </w:r>
                </w:sdtContent>
              </w:sdt>
              <w:r w:rsidR="00A436AE">
                <w:rPr>
                  <w:szCs w:val="21"/>
                </w:rPr>
                <w:t xml:space="preserve"> </w:t>
              </w:r>
              <w:r>
                <w:rPr>
                  <w:szCs w:val="21"/>
                </w:rPr>
                <w:t>会计机构负责人</w:t>
              </w:r>
              <w:r>
                <w:rPr>
                  <w:rFonts w:hint="eastAsia"/>
                  <w:szCs w:val="21"/>
                </w:rPr>
                <w:t>：</w:t>
              </w:r>
              <w:sdt>
                <w:sdtPr>
                  <w:rPr>
                    <w:rFonts w:hint="eastAsia"/>
                    <w:szCs w:val="21"/>
                  </w:rPr>
                  <w:alias w:val="会计机构负责人姓名"/>
                  <w:tag w:val="_GBC_182ff185180a4ea4b9c93bbd4b01de2c"/>
                  <w:id w:val="2038076199"/>
                  <w:lock w:val="sdtLocked"/>
                  <w:dataBinding w:prefixMappings="xmlns:clcid-mr='clcid-mr'" w:xpath="/*/clcid-mr:KuaiJiJiGouFuZeRenXingMing[not(@periodRef)]" w:storeItemID="{89EBAB94-44A0-46A2-B712-30D997D04A6D}"/>
                  <w:text/>
                </w:sdtPr>
                <w:sdtEndPr/>
                <w:sdtContent>
                  <w:r>
                    <w:rPr>
                      <w:rFonts w:hint="eastAsia"/>
                      <w:szCs w:val="21"/>
                    </w:rPr>
                    <w:t>王艳东先生</w:t>
                  </w:r>
                </w:sdtContent>
              </w:sdt>
            </w:p>
          </w:sdtContent>
        </w:sdt>
        <w:p w14:paraId="2CB4C269" w14:textId="77777777" w:rsidR="00471D53" w:rsidRDefault="00B664AF">
          <w:pPr>
            <w:snapToGrid w:val="0"/>
            <w:rPr>
              <w:szCs w:val="21"/>
            </w:rPr>
          </w:pPr>
        </w:p>
        <w:p w14:paraId="21DA0F1A" w14:textId="77777777" w:rsidR="00AA278E" w:rsidRDefault="00AA278E">
          <w:pPr>
            <w:snapToGrid w:val="0"/>
            <w:rPr>
              <w:szCs w:val="21"/>
            </w:rPr>
          </w:pPr>
        </w:p>
        <w:p w14:paraId="2D92FDB4" w14:textId="7625C3EB" w:rsidR="00471D53" w:rsidRDefault="00B664AF">
          <w:pPr>
            <w:snapToGrid w:val="0"/>
            <w:rPr>
              <w:szCs w:val="21"/>
            </w:rPr>
          </w:pPr>
        </w:p>
      </w:sdtContent>
    </w:sdt>
    <w:bookmarkEnd w:id="81" w:displacedByCustomXml="prev"/>
    <w:p w14:paraId="7680FA1E" w14:textId="77777777" w:rsidR="00471D53" w:rsidRDefault="00B664AF" w:rsidP="00471D53">
      <w:pPr>
        <w:ind w:rightChars="-73" w:right="-153"/>
        <w:rPr>
          <w:b/>
          <w:bCs/>
          <w:color w:val="008000"/>
          <w:szCs w:val="21"/>
          <w:u w:val="single"/>
        </w:rPr>
      </w:pPr>
    </w:p>
    <w:p w14:paraId="4D085958" w14:textId="242C7B24" w:rsidR="00471D53" w:rsidRDefault="00B664AF">
      <w:pPr>
        <w:jc w:val="center"/>
        <w:rPr>
          <w:b/>
          <w:szCs w:val="21"/>
        </w:rPr>
      </w:pPr>
      <w:bookmarkStart w:id="82" w:name="_Hlk10210822"/>
    </w:p>
    <w:sdt>
      <w:sdtPr>
        <w:rPr>
          <w:rFonts w:hint="eastAsia"/>
          <w:b/>
          <w:bCs/>
        </w:rPr>
        <w:alias w:val="选项模块:需要编制合并报表"/>
        <w:tag w:val="_GBC_bf89afc47e17438594730edb3412d929"/>
        <w:id w:val="852845749"/>
        <w:lock w:val="sdtLocked"/>
        <w:placeholder>
          <w:docPart w:val="DefaultPlaceholder_-1854013440"/>
        </w:placeholder>
      </w:sdtPr>
      <w:sdtEndPr>
        <w:rPr>
          <w:rFonts w:cs="宋体-方正超大字符集"/>
          <w:b w:val="0"/>
          <w:bCs w:val="0"/>
          <w:szCs w:val="21"/>
        </w:rPr>
      </w:sdtEndPr>
      <w:sdtContent>
        <w:sdt>
          <w:sdtPr>
            <w:rPr>
              <w:rFonts w:hint="eastAsia"/>
              <w:b/>
              <w:bCs/>
            </w:rPr>
            <w:tag w:val="_GBC_cc363e9840a448cbaf363887668cbe2a"/>
            <w:id w:val="1357773482"/>
            <w:lock w:val="sdtLocked"/>
            <w:placeholder>
              <w:docPart w:val="FE86601F13554516A734E0C2ADE0CE82"/>
            </w:placeholder>
          </w:sdtPr>
          <w:sdtEndPr>
            <w:rPr>
              <w:b w:val="0"/>
              <w:bCs w:val="0"/>
              <w:szCs w:val="21"/>
            </w:rPr>
          </w:sdtEndPr>
          <w:sdtContent>
            <w:p w14:paraId="2067D0B3" w14:textId="77777777" w:rsidR="00BD516E" w:rsidRPr="00F7004D" w:rsidRDefault="00BD516E" w:rsidP="00BD516E">
              <w:pPr>
                <w:jc w:val="center"/>
              </w:pPr>
              <w:r w:rsidRPr="00F7004D">
                <w:rPr>
                  <w:rFonts w:hint="eastAsia"/>
                </w:rPr>
                <w:t>合并</w:t>
              </w:r>
              <w:r w:rsidRPr="00F7004D">
                <w:t>利润表</w:t>
              </w:r>
            </w:p>
            <w:p w14:paraId="49BE1BF9" w14:textId="77777777" w:rsidR="00BD516E" w:rsidRPr="00F7004D" w:rsidRDefault="00BD516E" w:rsidP="00BD516E">
              <w:pPr>
                <w:jc w:val="center"/>
                <w:rPr>
                  <w:b/>
                  <w:bCs/>
                  <w:szCs w:val="21"/>
                </w:rPr>
              </w:pPr>
              <w:r w:rsidRPr="00F7004D">
                <w:rPr>
                  <w:szCs w:val="21"/>
                </w:rPr>
                <w:t>2021年</w:t>
              </w:r>
              <w:r w:rsidRPr="00F7004D">
                <w:rPr>
                  <w:rFonts w:hint="eastAsia"/>
                  <w:szCs w:val="21"/>
                </w:rPr>
                <w:t>1—6</w:t>
              </w:r>
              <w:r w:rsidRPr="00F7004D">
                <w:rPr>
                  <w:szCs w:val="21"/>
                </w:rPr>
                <w:t>月</w:t>
              </w:r>
            </w:p>
            <w:p w14:paraId="1D43FB19" w14:textId="77777777" w:rsidR="00BD516E" w:rsidRPr="00F7004D" w:rsidRDefault="00BD516E" w:rsidP="00BD516E">
              <w:pPr>
                <w:jc w:val="right"/>
                <w:rPr>
                  <w:szCs w:val="21"/>
                </w:rPr>
              </w:pPr>
              <w:r w:rsidRPr="00F7004D">
                <w:rPr>
                  <w:szCs w:val="21"/>
                </w:rPr>
                <w:t>单位：</w:t>
              </w:r>
              <w:sdt>
                <w:sdtPr>
                  <w:rPr>
                    <w:szCs w:val="21"/>
                  </w:rPr>
                  <w:alias w:val="单位：合并利润表"/>
                  <w:tag w:val="_GBC_4fec24feb4834b768c484fe556046382"/>
                  <w:id w:val="1621113738"/>
                  <w:lock w:val="sdtLocked"/>
                  <w:placeholder>
                    <w:docPart w:val="FE86601F13554516A734E0C2ADE0CE8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F7004D">
                    <w:rPr>
                      <w:szCs w:val="21"/>
                    </w:rPr>
                    <w:t>元</w:t>
                  </w:r>
                </w:sdtContent>
              </w:sdt>
              <w:r w:rsidRPr="00F7004D">
                <w:rPr>
                  <w:szCs w:val="21"/>
                </w:rPr>
                <w:t>币种：</w:t>
              </w:r>
              <w:sdt>
                <w:sdtPr>
                  <w:rPr>
                    <w:szCs w:val="21"/>
                  </w:rPr>
                  <w:alias w:val="币种：合并利润表"/>
                  <w:tag w:val="_GBC_ae5c0d79e5694eb28ba1b8160e27a464"/>
                  <w:id w:val="1605299235"/>
                  <w:lock w:val="sdtLocked"/>
                  <w:placeholder>
                    <w:docPart w:val="FE86601F13554516A734E0C2ADE0CE8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F7004D">
                    <w:rPr>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19"/>
                <w:gridCol w:w="1479"/>
                <w:gridCol w:w="1959"/>
                <w:gridCol w:w="1966"/>
              </w:tblGrid>
              <w:tr w:rsidR="00BD516E" w:rsidRPr="00F7004D" w14:paraId="679BD61E" w14:textId="77777777" w:rsidTr="00875540">
                <w:trPr>
                  <w:cantSplit/>
                </w:trPr>
                <w:sdt>
                  <w:sdtPr>
                    <w:tag w:val="_PLD_ea01e0b0c9224fe59426c375515c2359"/>
                    <w:id w:val="147719256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5404A72D" w14:textId="77777777" w:rsidR="00BD516E" w:rsidRPr="00F7004D" w:rsidRDefault="00BD516E" w:rsidP="00875540">
                        <w:pPr>
                          <w:ind w:leftChars="-19" w:hangingChars="19" w:hanging="40"/>
                          <w:jc w:val="center"/>
                          <w:rPr>
                            <w:b/>
                            <w:szCs w:val="21"/>
                          </w:rPr>
                        </w:pPr>
                        <w:r w:rsidRPr="00F7004D">
                          <w:rPr>
                            <w:b/>
                            <w:szCs w:val="21"/>
                          </w:rPr>
                          <w:t>项目</w:t>
                        </w:r>
                      </w:p>
                    </w:tc>
                  </w:sdtContent>
                </w:sdt>
                <w:sdt>
                  <w:sdtPr>
                    <w:tag w:val="_PLD_e4f45f42e79e4a4aba892e3a7a7b123d"/>
                    <w:id w:val="-1260822895"/>
                    <w:lock w:val="sdtLocked"/>
                  </w:sdtPr>
                  <w:sdtEndPr/>
                  <w:sdtContent>
                    <w:tc>
                      <w:tcPr>
                        <w:tcW w:w="838" w:type="pct"/>
                        <w:tcBorders>
                          <w:top w:val="outset" w:sz="4" w:space="0" w:color="auto"/>
                          <w:left w:val="outset" w:sz="4" w:space="0" w:color="auto"/>
                          <w:bottom w:val="outset" w:sz="4" w:space="0" w:color="auto"/>
                          <w:right w:val="outset" w:sz="4" w:space="0" w:color="auto"/>
                        </w:tcBorders>
                        <w:vAlign w:val="center"/>
                      </w:tcPr>
                      <w:p w14:paraId="518E52EC" w14:textId="77777777" w:rsidR="00BD516E" w:rsidRPr="00F7004D" w:rsidRDefault="00BD516E" w:rsidP="00875540">
                        <w:pPr>
                          <w:jc w:val="center"/>
                          <w:rPr>
                            <w:b/>
                            <w:szCs w:val="21"/>
                          </w:rPr>
                        </w:pPr>
                        <w:r w:rsidRPr="00F7004D">
                          <w:rPr>
                            <w:rFonts w:hint="eastAsia"/>
                            <w:b/>
                            <w:szCs w:val="21"/>
                          </w:rPr>
                          <w:t>附注</w:t>
                        </w:r>
                      </w:p>
                    </w:tc>
                  </w:sdtContent>
                </w:sdt>
                <w:sdt>
                  <w:sdtPr>
                    <w:tag w:val="_PLD_41682cdf00e5450394986df99de953d1"/>
                    <w:id w:val="1065913073"/>
                    <w:lock w:val="sdtLocked"/>
                  </w:sdtPr>
                  <w:sdtEndPr/>
                  <w:sdtContent>
                    <w:tc>
                      <w:tcPr>
                        <w:tcW w:w="1110" w:type="pct"/>
                        <w:tcBorders>
                          <w:top w:val="outset" w:sz="4" w:space="0" w:color="auto"/>
                          <w:left w:val="outset" w:sz="4" w:space="0" w:color="auto"/>
                          <w:bottom w:val="outset" w:sz="4" w:space="0" w:color="auto"/>
                          <w:right w:val="outset" w:sz="4" w:space="0" w:color="auto"/>
                        </w:tcBorders>
                        <w:vAlign w:val="center"/>
                      </w:tcPr>
                      <w:p w14:paraId="5C0FFEF3" w14:textId="77777777" w:rsidR="00BD516E" w:rsidRPr="00F7004D" w:rsidRDefault="00BD516E" w:rsidP="00875540">
                        <w:pPr>
                          <w:jc w:val="center"/>
                          <w:rPr>
                            <w:b/>
                            <w:szCs w:val="21"/>
                          </w:rPr>
                        </w:pPr>
                        <w:r w:rsidRPr="00F7004D">
                          <w:rPr>
                            <w:rFonts w:hint="eastAsia"/>
                            <w:b/>
                            <w:szCs w:val="21"/>
                          </w:rPr>
                          <w:t>2021年半年度</w:t>
                        </w:r>
                      </w:p>
                    </w:tc>
                  </w:sdtContent>
                </w:sdt>
                <w:sdt>
                  <w:sdtPr>
                    <w:tag w:val="_PLD_f020215569a54a6db2bd3d5298280e01"/>
                    <w:id w:val="-1724433055"/>
                    <w:lock w:val="sdtLocked"/>
                  </w:sdtPr>
                  <w:sdtEndPr/>
                  <w:sdtContent>
                    <w:tc>
                      <w:tcPr>
                        <w:tcW w:w="1114" w:type="pct"/>
                        <w:tcBorders>
                          <w:top w:val="outset" w:sz="4" w:space="0" w:color="auto"/>
                          <w:left w:val="outset" w:sz="4" w:space="0" w:color="auto"/>
                          <w:bottom w:val="outset" w:sz="4" w:space="0" w:color="auto"/>
                          <w:right w:val="outset" w:sz="4" w:space="0" w:color="auto"/>
                        </w:tcBorders>
                        <w:vAlign w:val="center"/>
                      </w:tcPr>
                      <w:p w14:paraId="6CB49A99" w14:textId="77777777" w:rsidR="00BD516E" w:rsidRPr="00F7004D" w:rsidRDefault="00BD516E" w:rsidP="00875540">
                        <w:pPr>
                          <w:jc w:val="center"/>
                          <w:rPr>
                            <w:b/>
                            <w:szCs w:val="21"/>
                          </w:rPr>
                        </w:pPr>
                        <w:r w:rsidRPr="00F7004D">
                          <w:rPr>
                            <w:rFonts w:hint="eastAsia"/>
                            <w:b/>
                            <w:szCs w:val="21"/>
                          </w:rPr>
                          <w:t>2020年半年度</w:t>
                        </w:r>
                      </w:p>
                    </w:tc>
                  </w:sdtContent>
                </w:sdt>
              </w:tr>
              <w:tr w:rsidR="00BD516E" w:rsidRPr="00F7004D" w14:paraId="7659B5E4" w14:textId="77777777" w:rsidTr="00875540">
                <w:sdt>
                  <w:sdtPr>
                    <w:tag w:val="_PLD_2d877c352d5440b8bf7dcd1940d9f85b"/>
                    <w:id w:val="2876979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60722486" w14:textId="77777777" w:rsidR="00BD516E" w:rsidRPr="00F7004D" w:rsidRDefault="00BD516E" w:rsidP="00875540">
                        <w:pPr>
                          <w:rPr>
                            <w:color w:val="000000"/>
                            <w:szCs w:val="21"/>
                          </w:rPr>
                        </w:pPr>
                        <w:r w:rsidRPr="00F7004D">
                          <w:rPr>
                            <w:rFonts w:hint="eastAsia"/>
                            <w:szCs w:val="21"/>
                          </w:rPr>
                          <w:t>一、营业总收入</w:t>
                        </w:r>
                      </w:p>
                    </w:tc>
                  </w:sdtContent>
                </w:sdt>
                <w:tc>
                  <w:tcPr>
                    <w:tcW w:w="838" w:type="pct"/>
                    <w:tcBorders>
                      <w:top w:val="outset" w:sz="4" w:space="0" w:color="auto"/>
                      <w:left w:val="outset" w:sz="4" w:space="0" w:color="auto"/>
                      <w:bottom w:val="outset" w:sz="4" w:space="0" w:color="auto"/>
                      <w:right w:val="outset" w:sz="4" w:space="0" w:color="auto"/>
                    </w:tcBorders>
                  </w:tcPr>
                  <w:p w14:paraId="15F00A8A" w14:textId="77777777" w:rsidR="00BD516E" w:rsidRPr="00F7004D" w:rsidRDefault="00BD516E" w:rsidP="00875540">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34D10C27" w14:textId="77777777" w:rsidR="00BD516E" w:rsidRPr="00F7004D" w:rsidRDefault="00BD516E" w:rsidP="00875540">
                    <w:pPr>
                      <w:jc w:val="right"/>
                      <w:rPr>
                        <w:sz w:val="22"/>
                      </w:rPr>
                    </w:pPr>
                    <w:r w:rsidRPr="00F7004D">
                      <w:rPr>
                        <w:rFonts w:hint="eastAsia"/>
                        <w:sz w:val="22"/>
                      </w:rPr>
                      <w:t>526,554,520.75</w:t>
                    </w:r>
                  </w:p>
                </w:tc>
                <w:tc>
                  <w:tcPr>
                    <w:tcW w:w="1114" w:type="pct"/>
                    <w:tcBorders>
                      <w:top w:val="outset" w:sz="4" w:space="0" w:color="auto"/>
                      <w:left w:val="outset" w:sz="4" w:space="0" w:color="auto"/>
                      <w:bottom w:val="outset" w:sz="4" w:space="0" w:color="auto"/>
                      <w:right w:val="outset" w:sz="4" w:space="0" w:color="auto"/>
                    </w:tcBorders>
                    <w:vAlign w:val="center"/>
                  </w:tcPr>
                  <w:p w14:paraId="52CBFA9A" w14:textId="77777777" w:rsidR="00BD516E" w:rsidRPr="00F7004D" w:rsidRDefault="00BD516E" w:rsidP="00875540">
                    <w:pPr>
                      <w:jc w:val="right"/>
                      <w:rPr>
                        <w:sz w:val="22"/>
                      </w:rPr>
                    </w:pPr>
                    <w:r w:rsidRPr="00F7004D">
                      <w:rPr>
                        <w:rFonts w:hint="eastAsia"/>
                        <w:sz w:val="22"/>
                      </w:rPr>
                      <w:t>523,831,648.77</w:t>
                    </w:r>
                  </w:p>
                </w:tc>
              </w:tr>
              <w:tr w:rsidR="00BD516E" w:rsidRPr="00F7004D" w14:paraId="6CC63ED7" w14:textId="77777777" w:rsidTr="00875540">
                <w:sdt>
                  <w:sdtPr>
                    <w:tag w:val="_PLD_7f7b1fb368014debb0a48d797b8c9159"/>
                    <w:id w:val="-158143241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6AA3E4C3" w14:textId="77777777" w:rsidR="00BD516E" w:rsidRPr="00F7004D" w:rsidRDefault="00BD516E" w:rsidP="00875540">
                        <w:pPr>
                          <w:rPr>
                            <w:color w:val="000000"/>
                            <w:szCs w:val="21"/>
                          </w:rPr>
                        </w:pPr>
                        <w:r w:rsidRPr="00F7004D">
                          <w:rPr>
                            <w:rFonts w:hint="eastAsia"/>
                            <w:szCs w:val="21"/>
                          </w:rPr>
                          <w:t>其中：营业收入</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2C8BED46" w14:textId="77777777" w:rsidR="00BD516E" w:rsidRPr="00F7004D" w:rsidRDefault="00BD516E" w:rsidP="00875540">
                    <w:pPr>
                      <w:jc w:val="center"/>
                      <w:rPr>
                        <w:szCs w:val="21"/>
                      </w:rPr>
                    </w:pPr>
                    <w:r w:rsidRPr="00F7004D">
                      <w:rPr>
                        <w:rFonts w:hint="eastAsia"/>
                        <w:szCs w:val="21"/>
                      </w:rPr>
                      <w:t>七、</w:t>
                    </w:r>
                    <w:r w:rsidRPr="00F7004D">
                      <w:rPr>
                        <w:szCs w:val="21"/>
                      </w:rPr>
                      <w:t>6</w:t>
                    </w:r>
                    <w:r w:rsidRPr="00F7004D">
                      <w:rPr>
                        <w:rFonts w:hint="eastAsia"/>
                        <w:szCs w:val="21"/>
                      </w:rPr>
                      <w:t>1</w:t>
                    </w:r>
                  </w:p>
                </w:tc>
                <w:tc>
                  <w:tcPr>
                    <w:tcW w:w="1110" w:type="pct"/>
                    <w:tcBorders>
                      <w:top w:val="outset" w:sz="4" w:space="0" w:color="auto"/>
                      <w:left w:val="outset" w:sz="4" w:space="0" w:color="auto"/>
                      <w:bottom w:val="outset" w:sz="4" w:space="0" w:color="auto"/>
                      <w:right w:val="outset" w:sz="4" w:space="0" w:color="auto"/>
                    </w:tcBorders>
                    <w:vAlign w:val="center"/>
                  </w:tcPr>
                  <w:p w14:paraId="0F1A6781" w14:textId="77777777" w:rsidR="00BD516E" w:rsidRPr="00F7004D" w:rsidRDefault="00BD516E" w:rsidP="00875540">
                    <w:pPr>
                      <w:jc w:val="right"/>
                      <w:rPr>
                        <w:sz w:val="22"/>
                      </w:rPr>
                    </w:pPr>
                    <w:r w:rsidRPr="00F7004D">
                      <w:rPr>
                        <w:rFonts w:hint="eastAsia"/>
                        <w:sz w:val="22"/>
                      </w:rPr>
                      <w:t>526,554,520.75</w:t>
                    </w:r>
                  </w:p>
                </w:tc>
                <w:tc>
                  <w:tcPr>
                    <w:tcW w:w="1114" w:type="pct"/>
                    <w:tcBorders>
                      <w:top w:val="outset" w:sz="4" w:space="0" w:color="auto"/>
                      <w:left w:val="outset" w:sz="4" w:space="0" w:color="auto"/>
                      <w:bottom w:val="outset" w:sz="4" w:space="0" w:color="auto"/>
                      <w:right w:val="outset" w:sz="4" w:space="0" w:color="auto"/>
                    </w:tcBorders>
                    <w:vAlign w:val="center"/>
                  </w:tcPr>
                  <w:p w14:paraId="030187E0" w14:textId="77777777" w:rsidR="00BD516E" w:rsidRPr="00F7004D" w:rsidRDefault="00BD516E" w:rsidP="00875540">
                    <w:pPr>
                      <w:jc w:val="right"/>
                      <w:rPr>
                        <w:sz w:val="22"/>
                      </w:rPr>
                    </w:pPr>
                    <w:r w:rsidRPr="00F7004D">
                      <w:rPr>
                        <w:rFonts w:hint="eastAsia"/>
                        <w:sz w:val="22"/>
                      </w:rPr>
                      <w:t>523,831,648.77</w:t>
                    </w:r>
                  </w:p>
                </w:tc>
              </w:tr>
              <w:tr w:rsidR="00BD516E" w:rsidRPr="00F7004D" w14:paraId="159AD451" w14:textId="77777777" w:rsidTr="00875540">
                <w:sdt>
                  <w:sdtPr>
                    <w:tag w:val="_PLD_4bb4a9195510467caafeb8cff0762036"/>
                    <w:id w:val="-155476303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0C65AD3B" w14:textId="77777777" w:rsidR="00BD516E" w:rsidRPr="00F7004D" w:rsidRDefault="00BD516E" w:rsidP="00875540">
                        <w:pPr>
                          <w:ind w:firstLineChars="300" w:firstLine="630"/>
                          <w:rPr>
                            <w:color w:val="000000"/>
                            <w:szCs w:val="21"/>
                          </w:rPr>
                        </w:pPr>
                        <w:r w:rsidRPr="00F7004D">
                          <w:rPr>
                            <w:rFonts w:hint="eastAsia"/>
                            <w:szCs w:val="21"/>
                          </w:rPr>
                          <w:t>利息收入</w:t>
                        </w:r>
                      </w:p>
                    </w:tc>
                  </w:sdtContent>
                </w:sdt>
                <w:tc>
                  <w:tcPr>
                    <w:tcW w:w="838" w:type="pct"/>
                    <w:tcBorders>
                      <w:top w:val="outset" w:sz="4" w:space="0" w:color="auto"/>
                      <w:left w:val="outset" w:sz="4" w:space="0" w:color="auto"/>
                      <w:bottom w:val="outset" w:sz="4" w:space="0" w:color="auto"/>
                      <w:right w:val="outset" w:sz="4" w:space="0" w:color="auto"/>
                    </w:tcBorders>
                  </w:tcPr>
                  <w:p w14:paraId="33B362DD" w14:textId="77777777" w:rsidR="00BD516E" w:rsidRPr="00F7004D" w:rsidRDefault="00BD516E" w:rsidP="00875540">
                    <w:pPr>
                      <w:rPr>
                        <w:szCs w:val="21"/>
                      </w:rPr>
                    </w:pPr>
                  </w:p>
                </w:tc>
                <w:tc>
                  <w:tcPr>
                    <w:tcW w:w="1110" w:type="pct"/>
                    <w:tcBorders>
                      <w:top w:val="outset" w:sz="4" w:space="0" w:color="auto"/>
                      <w:left w:val="outset" w:sz="4" w:space="0" w:color="auto"/>
                      <w:bottom w:val="outset" w:sz="4" w:space="0" w:color="auto"/>
                      <w:right w:val="outset" w:sz="4" w:space="0" w:color="auto"/>
                    </w:tcBorders>
                  </w:tcPr>
                  <w:p w14:paraId="03E47522" w14:textId="77777777" w:rsidR="00BD516E" w:rsidRPr="00F7004D" w:rsidRDefault="00BD516E" w:rsidP="00875540">
                    <w:pPr>
                      <w:jc w:val="right"/>
                      <w:rPr>
                        <w:sz w:val="22"/>
                      </w:rPr>
                    </w:pPr>
                  </w:p>
                </w:tc>
                <w:tc>
                  <w:tcPr>
                    <w:tcW w:w="1114" w:type="pct"/>
                    <w:tcBorders>
                      <w:top w:val="outset" w:sz="4" w:space="0" w:color="auto"/>
                      <w:left w:val="outset" w:sz="4" w:space="0" w:color="auto"/>
                      <w:bottom w:val="outset" w:sz="4" w:space="0" w:color="auto"/>
                      <w:right w:val="outset" w:sz="4" w:space="0" w:color="auto"/>
                    </w:tcBorders>
                  </w:tcPr>
                  <w:p w14:paraId="6E6E3958" w14:textId="77777777" w:rsidR="00BD516E" w:rsidRPr="00F7004D" w:rsidRDefault="00BD516E" w:rsidP="00875540">
                    <w:pPr>
                      <w:jc w:val="right"/>
                      <w:rPr>
                        <w:sz w:val="22"/>
                      </w:rPr>
                    </w:pPr>
                  </w:p>
                </w:tc>
              </w:tr>
              <w:tr w:rsidR="00BD516E" w:rsidRPr="00F7004D" w14:paraId="55E4234F" w14:textId="77777777" w:rsidTr="00875540">
                <w:sdt>
                  <w:sdtPr>
                    <w:tag w:val="_PLD_30359468eba04ffa9f75eced8813c7f6"/>
                    <w:id w:val="-107952028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6FCFD7E7" w14:textId="77777777" w:rsidR="00BD516E" w:rsidRPr="00F7004D" w:rsidRDefault="00BD516E" w:rsidP="00875540">
                        <w:pPr>
                          <w:ind w:firstLineChars="300" w:firstLine="630"/>
                          <w:rPr>
                            <w:szCs w:val="21"/>
                          </w:rPr>
                        </w:pPr>
                        <w:r w:rsidRPr="00F7004D">
                          <w:rPr>
                            <w:rFonts w:hint="eastAsia"/>
                            <w:szCs w:val="21"/>
                          </w:rPr>
                          <w:t>已赚保费</w:t>
                        </w:r>
                      </w:p>
                    </w:tc>
                  </w:sdtContent>
                </w:sdt>
                <w:tc>
                  <w:tcPr>
                    <w:tcW w:w="838" w:type="pct"/>
                    <w:tcBorders>
                      <w:top w:val="outset" w:sz="4" w:space="0" w:color="auto"/>
                      <w:left w:val="outset" w:sz="4" w:space="0" w:color="auto"/>
                      <w:bottom w:val="outset" w:sz="4" w:space="0" w:color="auto"/>
                      <w:right w:val="outset" w:sz="4" w:space="0" w:color="auto"/>
                    </w:tcBorders>
                  </w:tcPr>
                  <w:p w14:paraId="139AA6C4" w14:textId="77777777" w:rsidR="00BD516E" w:rsidRPr="00F7004D" w:rsidRDefault="00BD516E" w:rsidP="00875540">
                    <w:pPr>
                      <w:rPr>
                        <w:szCs w:val="21"/>
                      </w:rPr>
                    </w:pPr>
                  </w:p>
                </w:tc>
                <w:tc>
                  <w:tcPr>
                    <w:tcW w:w="1110" w:type="pct"/>
                    <w:tcBorders>
                      <w:top w:val="outset" w:sz="4" w:space="0" w:color="auto"/>
                      <w:left w:val="outset" w:sz="4" w:space="0" w:color="auto"/>
                      <w:bottom w:val="outset" w:sz="4" w:space="0" w:color="auto"/>
                      <w:right w:val="outset" w:sz="4" w:space="0" w:color="auto"/>
                    </w:tcBorders>
                  </w:tcPr>
                  <w:p w14:paraId="2EFC6BC5" w14:textId="77777777" w:rsidR="00BD516E" w:rsidRPr="00F7004D" w:rsidRDefault="00BD516E" w:rsidP="00875540">
                    <w:pPr>
                      <w:jc w:val="right"/>
                      <w:rPr>
                        <w:sz w:val="22"/>
                      </w:rPr>
                    </w:pPr>
                  </w:p>
                </w:tc>
                <w:tc>
                  <w:tcPr>
                    <w:tcW w:w="1114" w:type="pct"/>
                    <w:tcBorders>
                      <w:top w:val="outset" w:sz="4" w:space="0" w:color="auto"/>
                      <w:left w:val="outset" w:sz="4" w:space="0" w:color="auto"/>
                      <w:bottom w:val="outset" w:sz="4" w:space="0" w:color="auto"/>
                      <w:right w:val="outset" w:sz="4" w:space="0" w:color="auto"/>
                    </w:tcBorders>
                  </w:tcPr>
                  <w:p w14:paraId="24BF31BF" w14:textId="77777777" w:rsidR="00BD516E" w:rsidRPr="00F7004D" w:rsidRDefault="00BD516E" w:rsidP="00875540">
                    <w:pPr>
                      <w:jc w:val="right"/>
                      <w:rPr>
                        <w:sz w:val="22"/>
                      </w:rPr>
                    </w:pPr>
                  </w:p>
                </w:tc>
              </w:tr>
              <w:tr w:rsidR="00BD516E" w:rsidRPr="00F7004D" w14:paraId="3089C660" w14:textId="77777777" w:rsidTr="00875540">
                <w:sdt>
                  <w:sdtPr>
                    <w:tag w:val="_PLD_b7b3fd7ce91b4e7e9b50735409fad4b2"/>
                    <w:id w:val="177151627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2C2B6D02" w14:textId="77777777" w:rsidR="00BD516E" w:rsidRPr="00F7004D" w:rsidRDefault="00BD516E" w:rsidP="00875540">
                        <w:pPr>
                          <w:ind w:firstLineChars="300" w:firstLine="630"/>
                          <w:rPr>
                            <w:szCs w:val="21"/>
                          </w:rPr>
                        </w:pPr>
                        <w:r w:rsidRPr="00F7004D">
                          <w:rPr>
                            <w:rFonts w:hint="eastAsia"/>
                            <w:szCs w:val="21"/>
                          </w:rPr>
                          <w:t>手续费及佣金收入</w:t>
                        </w:r>
                      </w:p>
                    </w:tc>
                  </w:sdtContent>
                </w:sdt>
                <w:tc>
                  <w:tcPr>
                    <w:tcW w:w="838" w:type="pct"/>
                    <w:tcBorders>
                      <w:top w:val="outset" w:sz="4" w:space="0" w:color="auto"/>
                      <w:left w:val="outset" w:sz="4" w:space="0" w:color="auto"/>
                      <w:bottom w:val="outset" w:sz="4" w:space="0" w:color="auto"/>
                      <w:right w:val="outset" w:sz="4" w:space="0" w:color="auto"/>
                    </w:tcBorders>
                  </w:tcPr>
                  <w:p w14:paraId="1901C15E" w14:textId="77777777" w:rsidR="00BD516E" w:rsidRPr="00F7004D" w:rsidRDefault="00BD516E" w:rsidP="00875540">
                    <w:pPr>
                      <w:rPr>
                        <w:szCs w:val="21"/>
                      </w:rPr>
                    </w:pPr>
                  </w:p>
                </w:tc>
                <w:tc>
                  <w:tcPr>
                    <w:tcW w:w="1110" w:type="pct"/>
                    <w:tcBorders>
                      <w:top w:val="outset" w:sz="4" w:space="0" w:color="auto"/>
                      <w:left w:val="outset" w:sz="4" w:space="0" w:color="auto"/>
                      <w:bottom w:val="outset" w:sz="4" w:space="0" w:color="auto"/>
                      <w:right w:val="outset" w:sz="4" w:space="0" w:color="auto"/>
                    </w:tcBorders>
                  </w:tcPr>
                  <w:p w14:paraId="7363EC3E" w14:textId="77777777" w:rsidR="00BD516E" w:rsidRPr="00F7004D" w:rsidRDefault="00BD516E" w:rsidP="00875540">
                    <w:pPr>
                      <w:jc w:val="right"/>
                      <w:rPr>
                        <w:sz w:val="22"/>
                      </w:rPr>
                    </w:pPr>
                  </w:p>
                </w:tc>
                <w:tc>
                  <w:tcPr>
                    <w:tcW w:w="1114" w:type="pct"/>
                    <w:tcBorders>
                      <w:top w:val="outset" w:sz="4" w:space="0" w:color="auto"/>
                      <w:left w:val="outset" w:sz="4" w:space="0" w:color="auto"/>
                      <w:bottom w:val="outset" w:sz="4" w:space="0" w:color="auto"/>
                      <w:right w:val="outset" w:sz="4" w:space="0" w:color="auto"/>
                    </w:tcBorders>
                  </w:tcPr>
                  <w:p w14:paraId="5B6AF019" w14:textId="77777777" w:rsidR="00BD516E" w:rsidRPr="00F7004D" w:rsidRDefault="00BD516E" w:rsidP="00875540">
                    <w:pPr>
                      <w:jc w:val="right"/>
                      <w:rPr>
                        <w:sz w:val="22"/>
                      </w:rPr>
                    </w:pPr>
                  </w:p>
                </w:tc>
              </w:tr>
              <w:tr w:rsidR="00BD516E" w:rsidRPr="00F7004D" w14:paraId="5B4B64AB" w14:textId="77777777" w:rsidTr="00875540">
                <w:sdt>
                  <w:sdtPr>
                    <w:tag w:val="_PLD_f666055067944f82816d6d4acfa0eb4c"/>
                    <w:id w:val="-197651999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308C1BCE" w14:textId="77777777" w:rsidR="00BD516E" w:rsidRPr="00F7004D" w:rsidRDefault="00BD516E" w:rsidP="00875540">
                        <w:pPr>
                          <w:rPr>
                            <w:color w:val="000000"/>
                            <w:szCs w:val="21"/>
                          </w:rPr>
                        </w:pPr>
                        <w:r w:rsidRPr="00F7004D">
                          <w:rPr>
                            <w:rFonts w:hint="eastAsia"/>
                            <w:szCs w:val="21"/>
                          </w:rPr>
                          <w:t>二、营业总成本</w:t>
                        </w:r>
                      </w:p>
                    </w:tc>
                  </w:sdtContent>
                </w:sdt>
                <w:tc>
                  <w:tcPr>
                    <w:tcW w:w="838" w:type="pct"/>
                    <w:tcBorders>
                      <w:top w:val="outset" w:sz="4" w:space="0" w:color="auto"/>
                      <w:left w:val="outset" w:sz="4" w:space="0" w:color="auto"/>
                      <w:bottom w:val="outset" w:sz="4" w:space="0" w:color="auto"/>
                      <w:right w:val="outset" w:sz="4" w:space="0" w:color="auto"/>
                    </w:tcBorders>
                  </w:tcPr>
                  <w:p w14:paraId="0A1379E4" w14:textId="77777777" w:rsidR="00BD516E" w:rsidRPr="00F7004D" w:rsidRDefault="00BD516E" w:rsidP="00875540">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2837E151" w14:textId="77777777" w:rsidR="00BD516E" w:rsidRPr="00F7004D" w:rsidRDefault="00BD516E" w:rsidP="00875540">
                    <w:pPr>
                      <w:jc w:val="right"/>
                      <w:rPr>
                        <w:sz w:val="22"/>
                      </w:rPr>
                    </w:pPr>
                    <w:r w:rsidRPr="00F7004D">
                      <w:rPr>
                        <w:rFonts w:hint="eastAsia"/>
                        <w:sz w:val="22"/>
                      </w:rPr>
                      <w:t>526,908,492.71</w:t>
                    </w:r>
                  </w:p>
                </w:tc>
                <w:tc>
                  <w:tcPr>
                    <w:tcW w:w="1114" w:type="pct"/>
                    <w:tcBorders>
                      <w:top w:val="outset" w:sz="4" w:space="0" w:color="auto"/>
                      <w:left w:val="outset" w:sz="4" w:space="0" w:color="auto"/>
                      <w:bottom w:val="outset" w:sz="4" w:space="0" w:color="auto"/>
                      <w:right w:val="outset" w:sz="4" w:space="0" w:color="auto"/>
                    </w:tcBorders>
                    <w:vAlign w:val="center"/>
                  </w:tcPr>
                  <w:p w14:paraId="02CBB0D4" w14:textId="77777777" w:rsidR="00BD516E" w:rsidRPr="00F7004D" w:rsidRDefault="00BD516E" w:rsidP="00875540">
                    <w:pPr>
                      <w:jc w:val="right"/>
                      <w:rPr>
                        <w:sz w:val="22"/>
                      </w:rPr>
                    </w:pPr>
                    <w:r w:rsidRPr="00F7004D">
                      <w:rPr>
                        <w:rFonts w:hint="eastAsia"/>
                        <w:sz w:val="22"/>
                      </w:rPr>
                      <w:t>539,672,653.66</w:t>
                    </w:r>
                  </w:p>
                </w:tc>
              </w:tr>
              <w:tr w:rsidR="00BD516E" w:rsidRPr="00F7004D" w14:paraId="3CF77D91" w14:textId="77777777" w:rsidTr="00875540">
                <w:sdt>
                  <w:sdtPr>
                    <w:tag w:val="_PLD_21171334ba69445a843af4e467f2f7b1"/>
                    <w:id w:val="29765143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7661E20A" w14:textId="77777777" w:rsidR="00BD516E" w:rsidRPr="00F7004D" w:rsidRDefault="00BD516E" w:rsidP="00875540">
                        <w:pPr>
                          <w:rPr>
                            <w:color w:val="000000"/>
                            <w:szCs w:val="21"/>
                          </w:rPr>
                        </w:pPr>
                        <w:r w:rsidRPr="00F7004D">
                          <w:rPr>
                            <w:rFonts w:hint="eastAsia"/>
                            <w:szCs w:val="21"/>
                          </w:rPr>
                          <w:t>其中：营业成本</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24299C62" w14:textId="77777777" w:rsidR="00BD516E" w:rsidRPr="00F7004D" w:rsidRDefault="00BD516E" w:rsidP="00875540">
                    <w:pPr>
                      <w:jc w:val="center"/>
                      <w:rPr>
                        <w:szCs w:val="21"/>
                      </w:rPr>
                    </w:pPr>
                    <w:r w:rsidRPr="00F7004D">
                      <w:rPr>
                        <w:rFonts w:hint="eastAsia"/>
                        <w:szCs w:val="21"/>
                      </w:rPr>
                      <w:t>七、</w:t>
                    </w:r>
                    <w:r w:rsidRPr="00F7004D">
                      <w:rPr>
                        <w:szCs w:val="21"/>
                      </w:rPr>
                      <w:t>61</w:t>
                    </w:r>
                  </w:p>
                </w:tc>
                <w:tc>
                  <w:tcPr>
                    <w:tcW w:w="1110" w:type="pct"/>
                    <w:tcBorders>
                      <w:top w:val="outset" w:sz="4" w:space="0" w:color="auto"/>
                      <w:left w:val="outset" w:sz="4" w:space="0" w:color="auto"/>
                      <w:bottom w:val="outset" w:sz="4" w:space="0" w:color="auto"/>
                      <w:right w:val="outset" w:sz="4" w:space="0" w:color="auto"/>
                    </w:tcBorders>
                    <w:vAlign w:val="center"/>
                  </w:tcPr>
                  <w:p w14:paraId="6B613417" w14:textId="77777777" w:rsidR="00BD516E" w:rsidRPr="00F7004D" w:rsidRDefault="00BD516E" w:rsidP="00875540">
                    <w:pPr>
                      <w:jc w:val="right"/>
                      <w:rPr>
                        <w:sz w:val="22"/>
                      </w:rPr>
                    </w:pPr>
                    <w:r w:rsidRPr="00F7004D">
                      <w:rPr>
                        <w:rFonts w:hint="eastAsia"/>
                        <w:sz w:val="22"/>
                      </w:rPr>
                      <w:t>453,219,285.37</w:t>
                    </w:r>
                  </w:p>
                </w:tc>
                <w:tc>
                  <w:tcPr>
                    <w:tcW w:w="1114" w:type="pct"/>
                    <w:tcBorders>
                      <w:top w:val="outset" w:sz="4" w:space="0" w:color="auto"/>
                      <w:left w:val="outset" w:sz="4" w:space="0" w:color="auto"/>
                      <w:bottom w:val="outset" w:sz="4" w:space="0" w:color="auto"/>
                      <w:right w:val="outset" w:sz="4" w:space="0" w:color="auto"/>
                    </w:tcBorders>
                    <w:vAlign w:val="center"/>
                  </w:tcPr>
                  <w:p w14:paraId="0B18440E" w14:textId="77777777" w:rsidR="00BD516E" w:rsidRPr="00F7004D" w:rsidRDefault="00BD516E" w:rsidP="00875540">
                    <w:pPr>
                      <w:jc w:val="right"/>
                      <w:rPr>
                        <w:sz w:val="22"/>
                      </w:rPr>
                    </w:pPr>
                    <w:r w:rsidRPr="00F7004D">
                      <w:rPr>
                        <w:rFonts w:hint="eastAsia"/>
                        <w:sz w:val="22"/>
                      </w:rPr>
                      <w:t>460,653,282.50</w:t>
                    </w:r>
                  </w:p>
                </w:tc>
              </w:tr>
              <w:tr w:rsidR="00BD516E" w:rsidRPr="00F7004D" w14:paraId="21168FD3" w14:textId="77777777" w:rsidTr="00875540">
                <w:sdt>
                  <w:sdtPr>
                    <w:tag w:val="_PLD_63933a3d083f4e46896b598fd5ce81e0"/>
                    <w:id w:val="188182477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7D98EB27" w14:textId="77777777" w:rsidR="00BD516E" w:rsidRPr="00F7004D" w:rsidRDefault="00BD516E" w:rsidP="00875540">
                        <w:pPr>
                          <w:ind w:firstLineChars="300" w:firstLine="630"/>
                          <w:rPr>
                            <w:szCs w:val="21"/>
                          </w:rPr>
                        </w:pPr>
                        <w:r w:rsidRPr="00F7004D">
                          <w:rPr>
                            <w:rFonts w:hint="eastAsia"/>
                            <w:szCs w:val="21"/>
                          </w:rPr>
                          <w:t>利息支出</w:t>
                        </w:r>
                      </w:p>
                    </w:tc>
                  </w:sdtContent>
                </w:sdt>
                <w:tc>
                  <w:tcPr>
                    <w:tcW w:w="838" w:type="pct"/>
                    <w:tcBorders>
                      <w:top w:val="outset" w:sz="4" w:space="0" w:color="auto"/>
                      <w:left w:val="outset" w:sz="4" w:space="0" w:color="auto"/>
                      <w:bottom w:val="outset" w:sz="4" w:space="0" w:color="auto"/>
                      <w:right w:val="outset" w:sz="4" w:space="0" w:color="auto"/>
                    </w:tcBorders>
                  </w:tcPr>
                  <w:p w14:paraId="6E82424F" w14:textId="77777777" w:rsidR="00BD516E" w:rsidRPr="00F7004D" w:rsidRDefault="00BD516E" w:rsidP="00875540">
                    <w:pPr>
                      <w:rPr>
                        <w:szCs w:val="21"/>
                      </w:rPr>
                    </w:pPr>
                  </w:p>
                </w:tc>
                <w:tc>
                  <w:tcPr>
                    <w:tcW w:w="1110" w:type="pct"/>
                    <w:tcBorders>
                      <w:top w:val="outset" w:sz="4" w:space="0" w:color="auto"/>
                      <w:left w:val="outset" w:sz="4" w:space="0" w:color="auto"/>
                      <w:bottom w:val="outset" w:sz="4" w:space="0" w:color="auto"/>
                      <w:right w:val="outset" w:sz="4" w:space="0" w:color="auto"/>
                    </w:tcBorders>
                  </w:tcPr>
                  <w:p w14:paraId="1636B661" w14:textId="77777777" w:rsidR="00BD516E" w:rsidRPr="00F7004D" w:rsidRDefault="00BD516E" w:rsidP="00875540">
                    <w:pPr>
                      <w:jc w:val="right"/>
                      <w:rPr>
                        <w:sz w:val="22"/>
                      </w:rPr>
                    </w:pPr>
                  </w:p>
                </w:tc>
                <w:tc>
                  <w:tcPr>
                    <w:tcW w:w="1114" w:type="pct"/>
                    <w:tcBorders>
                      <w:top w:val="outset" w:sz="4" w:space="0" w:color="auto"/>
                      <w:left w:val="outset" w:sz="4" w:space="0" w:color="auto"/>
                      <w:bottom w:val="outset" w:sz="4" w:space="0" w:color="auto"/>
                      <w:right w:val="outset" w:sz="4" w:space="0" w:color="auto"/>
                    </w:tcBorders>
                  </w:tcPr>
                  <w:p w14:paraId="4BFF6D72" w14:textId="77777777" w:rsidR="00BD516E" w:rsidRPr="00F7004D" w:rsidRDefault="00BD516E" w:rsidP="00875540">
                    <w:pPr>
                      <w:jc w:val="right"/>
                      <w:rPr>
                        <w:sz w:val="22"/>
                      </w:rPr>
                    </w:pPr>
                  </w:p>
                </w:tc>
              </w:tr>
              <w:tr w:rsidR="00BD516E" w:rsidRPr="00F7004D" w14:paraId="155B0E84" w14:textId="77777777" w:rsidTr="00875540">
                <w:sdt>
                  <w:sdtPr>
                    <w:tag w:val="_PLD_934fe982f64044ad97c0d08ecb41b364"/>
                    <w:id w:val="-37455080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79984A38" w14:textId="77777777" w:rsidR="00BD516E" w:rsidRPr="00F7004D" w:rsidRDefault="00BD516E" w:rsidP="00875540">
                        <w:pPr>
                          <w:ind w:firstLineChars="300" w:firstLine="630"/>
                          <w:rPr>
                            <w:szCs w:val="21"/>
                          </w:rPr>
                        </w:pPr>
                        <w:r w:rsidRPr="00F7004D">
                          <w:rPr>
                            <w:rFonts w:hint="eastAsia"/>
                            <w:szCs w:val="21"/>
                          </w:rPr>
                          <w:t>手续费及佣金支出</w:t>
                        </w:r>
                      </w:p>
                    </w:tc>
                  </w:sdtContent>
                </w:sdt>
                <w:tc>
                  <w:tcPr>
                    <w:tcW w:w="838" w:type="pct"/>
                    <w:tcBorders>
                      <w:top w:val="outset" w:sz="4" w:space="0" w:color="auto"/>
                      <w:left w:val="outset" w:sz="4" w:space="0" w:color="auto"/>
                      <w:bottom w:val="outset" w:sz="4" w:space="0" w:color="auto"/>
                      <w:right w:val="outset" w:sz="4" w:space="0" w:color="auto"/>
                    </w:tcBorders>
                  </w:tcPr>
                  <w:p w14:paraId="62644BDD" w14:textId="77777777" w:rsidR="00BD516E" w:rsidRPr="00F7004D" w:rsidRDefault="00BD516E" w:rsidP="00875540">
                    <w:pPr>
                      <w:rPr>
                        <w:szCs w:val="21"/>
                      </w:rPr>
                    </w:pPr>
                  </w:p>
                </w:tc>
                <w:tc>
                  <w:tcPr>
                    <w:tcW w:w="1110" w:type="pct"/>
                    <w:tcBorders>
                      <w:top w:val="outset" w:sz="4" w:space="0" w:color="auto"/>
                      <w:left w:val="outset" w:sz="4" w:space="0" w:color="auto"/>
                      <w:bottom w:val="outset" w:sz="4" w:space="0" w:color="auto"/>
                      <w:right w:val="outset" w:sz="4" w:space="0" w:color="auto"/>
                    </w:tcBorders>
                  </w:tcPr>
                  <w:p w14:paraId="3CBF5180" w14:textId="77777777" w:rsidR="00BD516E" w:rsidRPr="00F7004D" w:rsidRDefault="00BD516E" w:rsidP="00875540">
                    <w:pPr>
                      <w:jc w:val="right"/>
                      <w:rPr>
                        <w:sz w:val="22"/>
                      </w:rPr>
                    </w:pPr>
                  </w:p>
                </w:tc>
                <w:tc>
                  <w:tcPr>
                    <w:tcW w:w="1114" w:type="pct"/>
                    <w:tcBorders>
                      <w:top w:val="outset" w:sz="4" w:space="0" w:color="auto"/>
                      <w:left w:val="outset" w:sz="4" w:space="0" w:color="auto"/>
                      <w:bottom w:val="outset" w:sz="4" w:space="0" w:color="auto"/>
                      <w:right w:val="outset" w:sz="4" w:space="0" w:color="auto"/>
                    </w:tcBorders>
                  </w:tcPr>
                  <w:p w14:paraId="12A66AC7" w14:textId="77777777" w:rsidR="00BD516E" w:rsidRPr="00F7004D" w:rsidRDefault="00BD516E" w:rsidP="00875540">
                    <w:pPr>
                      <w:jc w:val="right"/>
                      <w:rPr>
                        <w:sz w:val="22"/>
                      </w:rPr>
                    </w:pPr>
                  </w:p>
                </w:tc>
              </w:tr>
              <w:tr w:rsidR="00BD516E" w:rsidRPr="00F7004D" w14:paraId="3D3057F7" w14:textId="77777777" w:rsidTr="00875540">
                <w:sdt>
                  <w:sdtPr>
                    <w:tag w:val="_PLD_eaafee5ba2dd4351ac6567c52b90028d"/>
                    <w:id w:val="172016550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61489699" w14:textId="77777777" w:rsidR="00BD516E" w:rsidRPr="00F7004D" w:rsidRDefault="00BD516E" w:rsidP="00875540">
                        <w:pPr>
                          <w:ind w:firstLineChars="300" w:firstLine="630"/>
                          <w:rPr>
                            <w:szCs w:val="21"/>
                          </w:rPr>
                        </w:pPr>
                        <w:r w:rsidRPr="00F7004D">
                          <w:rPr>
                            <w:rFonts w:hint="eastAsia"/>
                            <w:szCs w:val="21"/>
                          </w:rPr>
                          <w:t>退保金</w:t>
                        </w:r>
                      </w:p>
                    </w:tc>
                  </w:sdtContent>
                </w:sdt>
                <w:tc>
                  <w:tcPr>
                    <w:tcW w:w="838" w:type="pct"/>
                    <w:tcBorders>
                      <w:top w:val="outset" w:sz="4" w:space="0" w:color="auto"/>
                      <w:left w:val="outset" w:sz="4" w:space="0" w:color="auto"/>
                      <w:bottom w:val="outset" w:sz="4" w:space="0" w:color="auto"/>
                      <w:right w:val="outset" w:sz="4" w:space="0" w:color="auto"/>
                    </w:tcBorders>
                  </w:tcPr>
                  <w:p w14:paraId="38C651B6" w14:textId="77777777" w:rsidR="00BD516E" w:rsidRPr="00F7004D" w:rsidRDefault="00BD516E" w:rsidP="00875540">
                    <w:pPr>
                      <w:rPr>
                        <w:szCs w:val="21"/>
                      </w:rPr>
                    </w:pPr>
                  </w:p>
                </w:tc>
                <w:tc>
                  <w:tcPr>
                    <w:tcW w:w="1110" w:type="pct"/>
                    <w:tcBorders>
                      <w:top w:val="outset" w:sz="4" w:space="0" w:color="auto"/>
                      <w:left w:val="outset" w:sz="4" w:space="0" w:color="auto"/>
                      <w:bottom w:val="outset" w:sz="4" w:space="0" w:color="auto"/>
                      <w:right w:val="outset" w:sz="4" w:space="0" w:color="auto"/>
                    </w:tcBorders>
                  </w:tcPr>
                  <w:p w14:paraId="2B397CB3" w14:textId="77777777" w:rsidR="00BD516E" w:rsidRPr="00F7004D" w:rsidRDefault="00BD516E" w:rsidP="00875540">
                    <w:pPr>
                      <w:jc w:val="right"/>
                      <w:rPr>
                        <w:sz w:val="22"/>
                      </w:rPr>
                    </w:pPr>
                  </w:p>
                </w:tc>
                <w:tc>
                  <w:tcPr>
                    <w:tcW w:w="1114" w:type="pct"/>
                    <w:tcBorders>
                      <w:top w:val="outset" w:sz="4" w:space="0" w:color="auto"/>
                      <w:left w:val="outset" w:sz="4" w:space="0" w:color="auto"/>
                      <w:bottom w:val="outset" w:sz="4" w:space="0" w:color="auto"/>
                      <w:right w:val="outset" w:sz="4" w:space="0" w:color="auto"/>
                    </w:tcBorders>
                  </w:tcPr>
                  <w:p w14:paraId="5771A0BD" w14:textId="77777777" w:rsidR="00BD516E" w:rsidRPr="00F7004D" w:rsidRDefault="00BD516E" w:rsidP="00875540">
                    <w:pPr>
                      <w:jc w:val="right"/>
                      <w:rPr>
                        <w:sz w:val="22"/>
                      </w:rPr>
                    </w:pPr>
                  </w:p>
                </w:tc>
              </w:tr>
              <w:tr w:rsidR="00BD516E" w:rsidRPr="00F7004D" w14:paraId="42D0E07A" w14:textId="77777777" w:rsidTr="00875540">
                <w:sdt>
                  <w:sdtPr>
                    <w:tag w:val="_PLD_d2b12062f8d44ca990403c69bec23c10"/>
                    <w:id w:val="-207836030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02AB6864" w14:textId="77777777" w:rsidR="00BD516E" w:rsidRPr="00F7004D" w:rsidRDefault="00BD516E" w:rsidP="00875540">
                        <w:pPr>
                          <w:ind w:firstLineChars="300" w:firstLine="630"/>
                          <w:rPr>
                            <w:szCs w:val="21"/>
                          </w:rPr>
                        </w:pPr>
                        <w:r w:rsidRPr="00F7004D">
                          <w:rPr>
                            <w:rFonts w:hint="eastAsia"/>
                            <w:szCs w:val="21"/>
                          </w:rPr>
                          <w:t>赔付支出净额</w:t>
                        </w:r>
                      </w:p>
                    </w:tc>
                  </w:sdtContent>
                </w:sdt>
                <w:tc>
                  <w:tcPr>
                    <w:tcW w:w="838" w:type="pct"/>
                    <w:tcBorders>
                      <w:top w:val="outset" w:sz="4" w:space="0" w:color="auto"/>
                      <w:left w:val="outset" w:sz="4" w:space="0" w:color="auto"/>
                      <w:bottom w:val="outset" w:sz="4" w:space="0" w:color="auto"/>
                      <w:right w:val="outset" w:sz="4" w:space="0" w:color="auto"/>
                    </w:tcBorders>
                  </w:tcPr>
                  <w:p w14:paraId="04D066A6" w14:textId="77777777" w:rsidR="00BD516E" w:rsidRPr="00F7004D" w:rsidRDefault="00BD516E" w:rsidP="00875540">
                    <w:pPr>
                      <w:rPr>
                        <w:szCs w:val="21"/>
                      </w:rPr>
                    </w:pPr>
                  </w:p>
                </w:tc>
                <w:tc>
                  <w:tcPr>
                    <w:tcW w:w="1110" w:type="pct"/>
                    <w:tcBorders>
                      <w:top w:val="outset" w:sz="4" w:space="0" w:color="auto"/>
                      <w:left w:val="outset" w:sz="4" w:space="0" w:color="auto"/>
                      <w:bottom w:val="outset" w:sz="4" w:space="0" w:color="auto"/>
                      <w:right w:val="outset" w:sz="4" w:space="0" w:color="auto"/>
                    </w:tcBorders>
                  </w:tcPr>
                  <w:p w14:paraId="49FEA920" w14:textId="77777777" w:rsidR="00BD516E" w:rsidRPr="00F7004D" w:rsidRDefault="00BD516E" w:rsidP="00875540">
                    <w:pPr>
                      <w:jc w:val="right"/>
                      <w:rPr>
                        <w:sz w:val="22"/>
                      </w:rPr>
                    </w:pPr>
                  </w:p>
                </w:tc>
                <w:tc>
                  <w:tcPr>
                    <w:tcW w:w="1114" w:type="pct"/>
                    <w:tcBorders>
                      <w:top w:val="outset" w:sz="4" w:space="0" w:color="auto"/>
                      <w:left w:val="outset" w:sz="4" w:space="0" w:color="auto"/>
                      <w:bottom w:val="outset" w:sz="4" w:space="0" w:color="auto"/>
                      <w:right w:val="outset" w:sz="4" w:space="0" w:color="auto"/>
                    </w:tcBorders>
                  </w:tcPr>
                  <w:p w14:paraId="49AB11A6" w14:textId="77777777" w:rsidR="00BD516E" w:rsidRPr="00F7004D" w:rsidRDefault="00BD516E" w:rsidP="00875540">
                    <w:pPr>
                      <w:jc w:val="right"/>
                      <w:rPr>
                        <w:sz w:val="22"/>
                      </w:rPr>
                    </w:pPr>
                  </w:p>
                </w:tc>
              </w:tr>
              <w:tr w:rsidR="00BD516E" w:rsidRPr="00F7004D" w14:paraId="7719DBBB" w14:textId="77777777" w:rsidTr="00875540">
                <w:sdt>
                  <w:sdtPr>
                    <w:tag w:val="_PLD_875c876824d140a6b5076aa4e7f82db5"/>
                    <w:id w:val="-152778693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6240739F" w14:textId="77777777" w:rsidR="00BD516E" w:rsidRPr="00F7004D" w:rsidRDefault="00BD516E" w:rsidP="00875540">
                        <w:pPr>
                          <w:ind w:firstLineChars="300" w:firstLine="630"/>
                          <w:rPr>
                            <w:szCs w:val="21"/>
                          </w:rPr>
                        </w:pPr>
                        <w:r w:rsidRPr="00F7004D">
                          <w:rPr>
                            <w:rFonts w:hint="eastAsia"/>
                            <w:szCs w:val="21"/>
                          </w:rPr>
                          <w:t>提取保险责任准备金净额</w:t>
                        </w:r>
                      </w:p>
                    </w:tc>
                  </w:sdtContent>
                </w:sdt>
                <w:tc>
                  <w:tcPr>
                    <w:tcW w:w="838" w:type="pct"/>
                    <w:tcBorders>
                      <w:top w:val="outset" w:sz="4" w:space="0" w:color="auto"/>
                      <w:left w:val="outset" w:sz="4" w:space="0" w:color="auto"/>
                      <w:bottom w:val="outset" w:sz="4" w:space="0" w:color="auto"/>
                      <w:right w:val="outset" w:sz="4" w:space="0" w:color="auto"/>
                    </w:tcBorders>
                  </w:tcPr>
                  <w:p w14:paraId="5DA089A7" w14:textId="77777777" w:rsidR="00BD516E" w:rsidRPr="00F7004D" w:rsidRDefault="00BD516E" w:rsidP="00875540">
                    <w:pPr>
                      <w:rPr>
                        <w:szCs w:val="21"/>
                      </w:rPr>
                    </w:pPr>
                  </w:p>
                </w:tc>
                <w:tc>
                  <w:tcPr>
                    <w:tcW w:w="1110" w:type="pct"/>
                    <w:tcBorders>
                      <w:top w:val="outset" w:sz="4" w:space="0" w:color="auto"/>
                      <w:left w:val="outset" w:sz="4" w:space="0" w:color="auto"/>
                      <w:bottom w:val="outset" w:sz="4" w:space="0" w:color="auto"/>
                      <w:right w:val="outset" w:sz="4" w:space="0" w:color="auto"/>
                    </w:tcBorders>
                  </w:tcPr>
                  <w:p w14:paraId="72CDC546" w14:textId="77777777" w:rsidR="00BD516E" w:rsidRPr="00F7004D" w:rsidRDefault="00BD516E" w:rsidP="00875540">
                    <w:pPr>
                      <w:jc w:val="right"/>
                      <w:rPr>
                        <w:sz w:val="22"/>
                      </w:rPr>
                    </w:pPr>
                  </w:p>
                </w:tc>
                <w:tc>
                  <w:tcPr>
                    <w:tcW w:w="1114" w:type="pct"/>
                    <w:tcBorders>
                      <w:top w:val="outset" w:sz="4" w:space="0" w:color="auto"/>
                      <w:left w:val="outset" w:sz="4" w:space="0" w:color="auto"/>
                      <w:bottom w:val="outset" w:sz="4" w:space="0" w:color="auto"/>
                      <w:right w:val="outset" w:sz="4" w:space="0" w:color="auto"/>
                    </w:tcBorders>
                  </w:tcPr>
                  <w:p w14:paraId="5B160710" w14:textId="77777777" w:rsidR="00BD516E" w:rsidRPr="00F7004D" w:rsidRDefault="00BD516E" w:rsidP="00875540">
                    <w:pPr>
                      <w:jc w:val="right"/>
                      <w:rPr>
                        <w:sz w:val="22"/>
                      </w:rPr>
                    </w:pPr>
                  </w:p>
                </w:tc>
              </w:tr>
              <w:tr w:rsidR="00BD516E" w:rsidRPr="00F7004D" w14:paraId="373D6CAF" w14:textId="77777777" w:rsidTr="00875540">
                <w:sdt>
                  <w:sdtPr>
                    <w:tag w:val="_PLD_9d4d1ca3123b4cdc816e88724acaf725"/>
                    <w:id w:val="116228147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360F9CDB" w14:textId="77777777" w:rsidR="00BD516E" w:rsidRPr="00F7004D" w:rsidRDefault="00BD516E" w:rsidP="00875540">
                        <w:pPr>
                          <w:ind w:firstLineChars="300" w:firstLine="630"/>
                          <w:rPr>
                            <w:szCs w:val="21"/>
                          </w:rPr>
                        </w:pPr>
                        <w:r w:rsidRPr="00F7004D">
                          <w:rPr>
                            <w:rFonts w:hint="eastAsia"/>
                            <w:szCs w:val="21"/>
                          </w:rPr>
                          <w:t>保单红利支出</w:t>
                        </w:r>
                      </w:p>
                    </w:tc>
                  </w:sdtContent>
                </w:sdt>
                <w:tc>
                  <w:tcPr>
                    <w:tcW w:w="838" w:type="pct"/>
                    <w:tcBorders>
                      <w:top w:val="outset" w:sz="4" w:space="0" w:color="auto"/>
                      <w:left w:val="outset" w:sz="4" w:space="0" w:color="auto"/>
                      <w:bottom w:val="outset" w:sz="4" w:space="0" w:color="auto"/>
                      <w:right w:val="outset" w:sz="4" w:space="0" w:color="auto"/>
                    </w:tcBorders>
                  </w:tcPr>
                  <w:p w14:paraId="10014438" w14:textId="77777777" w:rsidR="00BD516E" w:rsidRPr="00F7004D" w:rsidRDefault="00BD516E" w:rsidP="00875540">
                    <w:pPr>
                      <w:rPr>
                        <w:szCs w:val="21"/>
                      </w:rPr>
                    </w:pPr>
                  </w:p>
                </w:tc>
                <w:tc>
                  <w:tcPr>
                    <w:tcW w:w="1110" w:type="pct"/>
                    <w:tcBorders>
                      <w:top w:val="outset" w:sz="4" w:space="0" w:color="auto"/>
                      <w:left w:val="outset" w:sz="4" w:space="0" w:color="auto"/>
                      <w:bottom w:val="outset" w:sz="4" w:space="0" w:color="auto"/>
                      <w:right w:val="outset" w:sz="4" w:space="0" w:color="auto"/>
                    </w:tcBorders>
                  </w:tcPr>
                  <w:p w14:paraId="1BA2D6D6" w14:textId="77777777" w:rsidR="00BD516E" w:rsidRPr="00F7004D" w:rsidRDefault="00BD516E" w:rsidP="00875540">
                    <w:pPr>
                      <w:jc w:val="right"/>
                      <w:rPr>
                        <w:sz w:val="22"/>
                      </w:rPr>
                    </w:pPr>
                  </w:p>
                </w:tc>
                <w:tc>
                  <w:tcPr>
                    <w:tcW w:w="1114" w:type="pct"/>
                    <w:tcBorders>
                      <w:top w:val="outset" w:sz="4" w:space="0" w:color="auto"/>
                      <w:left w:val="outset" w:sz="4" w:space="0" w:color="auto"/>
                      <w:bottom w:val="outset" w:sz="4" w:space="0" w:color="auto"/>
                      <w:right w:val="outset" w:sz="4" w:space="0" w:color="auto"/>
                    </w:tcBorders>
                  </w:tcPr>
                  <w:p w14:paraId="511895F3" w14:textId="77777777" w:rsidR="00BD516E" w:rsidRPr="00F7004D" w:rsidRDefault="00BD516E" w:rsidP="00875540">
                    <w:pPr>
                      <w:jc w:val="right"/>
                      <w:rPr>
                        <w:sz w:val="22"/>
                      </w:rPr>
                    </w:pPr>
                  </w:p>
                </w:tc>
              </w:tr>
              <w:tr w:rsidR="00BD516E" w:rsidRPr="00F7004D" w14:paraId="0030FF55" w14:textId="77777777" w:rsidTr="00875540">
                <w:sdt>
                  <w:sdtPr>
                    <w:tag w:val="_PLD_c70ac86a67b244f1a170db9b0705b55a"/>
                    <w:id w:val="102105681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4A7F5482" w14:textId="77777777" w:rsidR="00BD516E" w:rsidRPr="00F7004D" w:rsidRDefault="00BD516E" w:rsidP="00875540">
                        <w:pPr>
                          <w:ind w:firstLineChars="300" w:firstLine="630"/>
                          <w:rPr>
                            <w:szCs w:val="21"/>
                          </w:rPr>
                        </w:pPr>
                        <w:r w:rsidRPr="00F7004D">
                          <w:rPr>
                            <w:rFonts w:hint="eastAsia"/>
                            <w:szCs w:val="21"/>
                          </w:rPr>
                          <w:t>分保费用</w:t>
                        </w:r>
                      </w:p>
                    </w:tc>
                  </w:sdtContent>
                </w:sdt>
                <w:tc>
                  <w:tcPr>
                    <w:tcW w:w="838" w:type="pct"/>
                    <w:tcBorders>
                      <w:top w:val="outset" w:sz="4" w:space="0" w:color="auto"/>
                      <w:left w:val="outset" w:sz="4" w:space="0" w:color="auto"/>
                      <w:bottom w:val="outset" w:sz="4" w:space="0" w:color="auto"/>
                      <w:right w:val="outset" w:sz="4" w:space="0" w:color="auto"/>
                    </w:tcBorders>
                  </w:tcPr>
                  <w:p w14:paraId="11D9DE63" w14:textId="77777777" w:rsidR="00BD516E" w:rsidRPr="00F7004D" w:rsidRDefault="00BD516E" w:rsidP="00875540">
                    <w:pPr>
                      <w:rPr>
                        <w:szCs w:val="21"/>
                      </w:rPr>
                    </w:pPr>
                  </w:p>
                </w:tc>
                <w:tc>
                  <w:tcPr>
                    <w:tcW w:w="1110" w:type="pct"/>
                    <w:tcBorders>
                      <w:top w:val="outset" w:sz="4" w:space="0" w:color="auto"/>
                      <w:left w:val="outset" w:sz="4" w:space="0" w:color="auto"/>
                      <w:bottom w:val="outset" w:sz="4" w:space="0" w:color="auto"/>
                      <w:right w:val="outset" w:sz="4" w:space="0" w:color="auto"/>
                    </w:tcBorders>
                  </w:tcPr>
                  <w:p w14:paraId="6E3549AA" w14:textId="77777777" w:rsidR="00BD516E" w:rsidRPr="00F7004D" w:rsidRDefault="00BD516E" w:rsidP="00875540">
                    <w:pPr>
                      <w:jc w:val="right"/>
                      <w:rPr>
                        <w:sz w:val="22"/>
                      </w:rPr>
                    </w:pPr>
                  </w:p>
                </w:tc>
                <w:tc>
                  <w:tcPr>
                    <w:tcW w:w="1114" w:type="pct"/>
                    <w:tcBorders>
                      <w:top w:val="outset" w:sz="4" w:space="0" w:color="auto"/>
                      <w:left w:val="outset" w:sz="4" w:space="0" w:color="auto"/>
                      <w:bottom w:val="outset" w:sz="4" w:space="0" w:color="auto"/>
                      <w:right w:val="outset" w:sz="4" w:space="0" w:color="auto"/>
                    </w:tcBorders>
                  </w:tcPr>
                  <w:p w14:paraId="0D57E676" w14:textId="77777777" w:rsidR="00BD516E" w:rsidRPr="00F7004D" w:rsidRDefault="00BD516E" w:rsidP="00875540">
                    <w:pPr>
                      <w:jc w:val="right"/>
                      <w:rPr>
                        <w:sz w:val="22"/>
                      </w:rPr>
                    </w:pPr>
                  </w:p>
                </w:tc>
              </w:tr>
              <w:tr w:rsidR="00BD516E" w:rsidRPr="00F7004D" w14:paraId="61F530A8" w14:textId="77777777" w:rsidTr="00875540">
                <w:sdt>
                  <w:sdtPr>
                    <w:tag w:val="_PLD_06c17ba723b44617ab108e2265705c9e"/>
                    <w:id w:val="172302189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72C017C6" w14:textId="77777777" w:rsidR="00BD516E" w:rsidRPr="00F7004D" w:rsidRDefault="00BD516E" w:rsidP="00875540">
                        <w:pPr>
                          <w:ind w:firstLineChars="300" w:firstLine="630"/>
                          <w:rPr>
                            <w:szCs w:val="21"/>
                          </w:rPr>
                        </w:pPr>
                        <w:r w:rsidRPr="00F7004D">
                          <w:rPr>
                            <w:rFonts w:hint="eastAsia"/>
                            <w:szCs w:val="21"/>
                          </w:rPr>
                          <w:t>税金及附加</w:t>
                        </w:r>
                      </w:p>
                    </w:tc>
                  </w:sdtContent>
                </w:sdt>
                <w:tc>
                  <w:tcPr>
                    <w:tcW w:w="838" w:type="pct"/>
                    <w:tcBorders>
                      <w:top w:val="outset" w:sz="4" w:space="0" w:color="auto"/>
                      <w:left w:val="outset" w:sz="4" w:space="0" w:color="auto"/>
                      <w:bottom w:val="outset" w:sz="4" w:space="0" w:color="auto"/>
                      <w:right w:val="outset" w:sz="4" w:space="0" w:color="auto"/>
                    </w:tcBorders>
                  </w:tcPr>
                  <w:p w14:paraId="4E5CF41A" w14:textId="77777777" w:rsidR="00BD516E" w:rsidRPr="00F7004D" w:rsidRDefault="00BD516E" w:rsidP="00875540">
                    <w:pPr>
                      <w:rPr>
                        <w:szCs w:val="21"/>
                      </w:rPr>
                    </w:pPr>
                    <w:r w:rsidRPr="00F7004D">
                      <w:rPr>
                        <w:rFonts w:hint="eastAsia"/>
                        <w:szCs w:val="21"/>
                      </w:rPr>
                      <w:t>七、</w:t>
                    </w:r>
                    <w:r w:rsidRPr="00F7004D">
                      <w:rPr>
                        <w:szCs w:val="21"/>
                      </w:rPr>
                      <w:t>6</w:t>
                    </w:r>
                    <w:r w:rsidRPr="00F7004D">
                      <w:rPr>
                        <w:rFonts w:hint="eastAsia"/>
                        <w:szCs w:val="21"/>
                      </w:rPr>
                      <w:t>2</w:t>
                    </w:r>
                  </w:p>
                </w:tc>
                <w:tc>
                  <w:tcPr>
                    <w:tcW w:w="1110" w:type="pct"/>
                    <w:tcBorders>
                      <w:top w:val="outset" w:sz="4" w:space="0" w:color="auto"/>
                      <w:left w:val="outset" w:sz="4" w:space="0" w:color="auto"/>
                      <w:bottom w:val="outset" w:sz="4" w:space="0" w:color="auto"/>
                      <w:right w:val="outset" w:sz="4" w:space="0" w:color="auto"/>
                    </w:tcBorders>
                    <w:vAlign w:val="center"/>
                  </w:tcPr>
                  <w:p w14:paraId="5F0D6455" w14:textId="77777777" w:rsidR="00BD516E" w:rsidRPr="00F7004D" w:rsidRDefault="00BD516E" w:rsidP="00875540">
                    <w:pPr>
                      <w:jc w:val="right"/>
                      <w:rPr>
                        <w:sz w:val="22"/>
                      </w:rPr>
                    </w:pPr>
                    <w:r w:rsidRPr="00F7004D">
                      <w:rPr>
                        <w:rFonts w:hint="eastAsia"/>
                        <w:sz w:val="22"/>
                      </w:rPr>
                      <w:t>2,516,449.29</w:t>
                    </w:r>
                  </w:p>
                </w:tc>
                <w:tc>
                  <w:tcPr>
                    <w:tcW w:w="1114" w:type="pct"/>
                    <w:tcBorders>
                      <w:top w:val="outset" w:sz="4" w:space="0" w:color="auto"/>
                      <w:left w:val="outset" w:sz="4" w:space="0" w:color="auto"/>
                      <w:bottom w:val="outset" w:sz="4" w:space="0" w:color="auto"/>
                      <w:right w:val="outset" w:sz="4" w:space="0" w:color="auto"/>
                    </w:tcBorders>
                    <w:vAlign w:val="center"/>
                  </w:tcPr>
                  <w:p w14:paraId="1FCEF762" w14:textId="77777777" w:rsidR="00BD516E" w:rsidRPr="00F7004D" w:rsidRDefault="00BD516E" w:rsidP="00875540">
                    <w:pPr>
                      <w:jc w:val="right"/>
                      <w:rPr>
                        <w:sz w:val="22"/>
                      </w:rPr>
                    </w:pPr>
                    <w:r w:rsidRPr="00F7004D">
                      <w:rPr>
                        <w:rFonts w:hint="eastAsia"/>
                        <w:sz w:val="22"/>
                      </w:rPr>
                      <w:t>4,207,216.97</w:t>
                    </w:r>
                  </w:p>
                </w:tc>
              </w:tr>
              <w:tr w:rsidR="00BD516E" w:rsidRPr="00F7004D" w14:paraId="38084E52" w14:textId="77777777" w:rsidTr="00875540">
                <w:sdt>
                  <w:sdtPr>
                    <w:tag w:val="_PLD_a3b8d65ff4ec461aa0e45656973f9d4f"/>
                    <w:id w:val="104324707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165896DE" w14:textId="77777777" w:rsidR="00BD516E" w:rsidRPr="00F7004D" w:rsidRDefault="00BD516E" w:rsidP="00875540">
                        <w:pPr>
                          <w:ind w:firstLineChars="300" w:firstLine="630"/>
                          <w:rPr>
                            <w:szCs w:val="21"/>
                          </w:rPr>
                        </w:pPr>
                        <w:r w:rsidRPr="00F7004D">
                          <w:rPr>
                            <w:rFonts w:hint="eastAsia"/>
                            <w:szCs w:val="21"/>
                          </w:rPr>
                          <w:t>销售费用</w:t>
                        </w:r>
                      </w:p>
                    </w:tc>
                  </w:sdtContent>
                </w:sdt>
                <w:tc>
                  <w:tcPr>
                    <w:tcW w:w="838" w:type="pct"/>
                    <w:tcBorders>
                      <w:top w:val="outset" w:sz="4" w:space="0" w:color="auto"/>
                      <w:left w:val="outset" w:sz="4" w:space="0" w:color="auto"/>
                      <w:bottom w:val="outset" w:sz="4" w:space="0" w:color="auto"/>
                      <w:right w:val="outset" w:sz="4" w:space="0" w:color="auto"/>
                    </w:tcBorders>
                  </w:tcPr>
                  <w:p w14:paraId="5FA08376" w14:textId="77777777" w:rsidR="00BD516E" w:rsidRPr="00F7004D" w:rsidRDefault="00BD516E" w:rsidP="00875540">
                    <w:pPr>
                      <w:rPr>
                        <w:szCs w:val="21"/>
                      </w:rPr>
                    </w:pPr>
                    <w:r w:rsidRPr="00F7004D">
                      <w:rPr>
                        <w:rFonts w:hint="eastAsia"/>
                        <w:szCs w:val="21"/>
                      </w:rPr>
                      <w:t>七、</w:t>
                    </w:r>
                    <w:r w:rsidRPr="00F7004D">
                      <w:rPr>
                        <w:szCs w:val="21"/>
                      </w:rPr>
                      <w:t>6</w:t>
                    </w:r>
                    <w:r w:rsidRPr="00F7004D">
                      <w:rPr>
                        <w:rFonts w:hint="eastAsia"/>
                        <w:szCs w:val="21"/>
                      </w:rPr>
                      <w:t>3</w:t>
                    </w:r>
                  </w:p>
                </w:tc>
                <w:tc>
                  <w:tcPr>
                    <w:tcW w:w="1110" w:type="pct"/>
                    <w:tcBorders>
                      <w:top w:val="outset" w:sz="4" w:space="0" w:color="auto"/>
                      <w:left w:val="outset" w:sz="4" w:space="0" w:color="auto"/>
                      <w:bottom w:val="outset" w:sz="4" w:space="0" w:color="auto"/>
                      <w:right w:val="outset" w:sz="4" w:space="0" w:color="auto"/>
                    </w:tcBorders>
                    <w:vAlign w:val="center"/>
                  </w:tcPr>
                  <w:p w14:paraId="2BE02447" w14:textId="77777777" w:rsidR="00BD516E" w:rsidRPr="00F7004D" w:rsidRDefault="00BD516E" w:rsidP="00875540">
                    <w:pPr>
                      <w:jc w:val="right"/>
                      <w:rPr>
                        <w:sz w:val="22"/>
                      </w:rPr>
                    </w:pPr>
                    <w:r w:rsidRPr="00F7004D">
                      <w:rPr>
                        <w:rFonts w:hint="eastAsia"/>
                        <w:sz w:val="22"/>
                      </w:rPr>
                      <w:t>15,050,487.21</w:t>
                    </w:r>
                  </w:p>
                </w:tc>
                <w:tc>
                  <w:tcPr>
                    <w:tcW w:w="1114" w:type="pct"/>
                    <w:tcBorders>
                      <w:top w:val="outset" w:sz="4" w:space="0" w:color="auto"/>
                      <w:left w:val="outset" w:sz="4" w:space="0" w:color="auto"/>
                      <w:bottom w:val="outset" w:sz="4" w:space="0" w:color="auto"/>
                      <w:right w:val="outset" w:sz="4" w:space="0" w:color="auto"/>
                    </w:tcBorders>
                    <w:vAlign w:val="center"/>
                  </w:tcPr>
                  <w:p w14:paraId="50DC8C89" w14:textId="77777777" w:rsidR="00BD516E" w:rsidRPr="00F7004D" w:rsidRDefault="00BD516E" w:rsidP="00875540">
                    <w:pPr>
                      <w:jc w:val="right"/>
                      <w:rPr>
                        <w:sz w:val="22"/>
                      </w:rPr>
                    </w:pPr>
                    <w:r w:rsidRPr="00F7004D">
                      <w:rPr>
                        <w:rFonts w:hint="eastAsia"/>
                        <w:sz w:val="22"/>
                      </w:rPr>
                      <w:t>23,619,779.98</w:t>
                    </w:r>
                  </w:p>
                </w:tc>
              </w:tr>
              <w:tr w:rsidR="00BD516E" w:rsidRPr="00F7004D" w14:paraId="575AB66F" w14:textId="77777777" w:rsidTr="00875540">
                <w:sdt>
                  <w:sdtPr>
                    <w:tag w:val="_PLD_bed77e0a08324462af3ef7a5005bb139"/>
                    <w:id w:val="-175913360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31B15E81" w14:textId="77777777" w:rsidR="00BD516E" w:rsidRPr="00F7004D" w:rsidRDefault="00BD516E" w:rsidP="00875540">
                        <w:pPr>
                          <w:ind w:firstLineChars="300" w:firstLine="630"/>
                          <w:rPr>
                            <w:szCs w:val="21"/>
                          </w:rPr>
                        </w:pPr>
                        <w:r w:rsidRPr="00F7004D">
                          <w:rPr>
                            <w:rFonts w:hint="eastAsia"/>
                            <w:szCs w:val="21"/>
                          </w:rPr>
                          <w:t>管理费用</w:t>
                        </w:r>
                      </w:p>
                    </w:tc>
                  </w:sdtContent>
                </w:sdt>
                <w:tc>
                  <w:tcPr>
                    <w:tcW w:w="838" w:type="pct"/>
                    <w:tcBorders>
                      <w:top w:val="outset" w:sz="4" w:space="0" w:color="auto"/>
                      <w:left w:val="outset" w:sz="4" w:space="0" w:color="auto"/>
                      <w:bottom w:val="outset" w:sz="4" w:space="0" w:color="auto"/>
                      <w:right w:val="outset" w:sz="4" w:space="0" w:color="auto"/>
                    </w:tcBorders>
                  </w:tcPr>
                  <w:p w14:paraId="7C8355F9" w14:textId="77777777" w:rsidR="00BD516E" w:rsidRPr="00F7004D" w:rsidRDefault="00BD516E" w:rsidP="00875540">
                    <w:pPr>
                      <w:rPr>
                        <w:szCs w:val="21"/>
                      </w:rPr>
                    </w:pPr>
                    <w:r w:rsidRPr="00F7004D">
                      <w:rPr>
                        <w:rFonts w:hint="eastAsia"/>
                        <w:szCs w:val="21"/>
                      </w:rPr>
                      <w:t>七、</w:t>
                    </w:r>
                    <w:r w:rsidRPr="00F7004D">
                      <w:rPr>
                        <w:szCs w:val="21"/>
                      </w:rPr>
                      <w:t>6</w:t>
                    </w:r>
                    <w:r w:rsidRPr="00F7004D">
                      <w:rPr>
                        <w:rFonts w:hint="eastAsia"/>
                        <w:szCs w:val="21"/>
                      </w:rPr>
                      <w:t>4</w:t>
                    </w:r>
                  </w:p>
                </w:tc>
                <w:tc>
                  <w:tcPr>
                    <w:tcW w:w="1110" w:type="pct"/>
                    <w:tcBorders>
                      <w:top w:val="outset" w:sz="4" w:space="0" w:color="auto"/>
                      <w:left w:val="outset" w:sz="4" w:space="0" w:color="auto"/>
                      <w:bottom w:val="outset" w:sz="4" w:space="0" w:color="auto"/>
                      <w:right w:val="outset" w:sz="4" w:space="0" w:color="auto"/>
                    </w:tcBorders>
                    <w:vAlign w:val="center"/>
                  </w:tcPr>
                  <w:p w14:paraId="55862CDD" w14:textId="77777777" w:rsidR="00BD516E" w:rsidRPr="00F7004D" w:rsidRDefault="00BD516E" w:rsidP="00875540">
                    <w:pPr>
                      <w:jc w:val="right"/>
                      <w:rPr>
                        <w:sz w:val="22"/>
                      </w:rPr>
                    </w:pPr>
                    <w:r w:rsidRPr="00F7004D">
                      <w:rPr>
                        <w:rFonts w:hint="eastAsia"/>
                        <w:sz w:val="22"/>
                      </w:rPr>
                      <w:t>39,916,462.24</w:t>
                    </w:r>
                  </w:p>
                </w:tc>
                <w:tc>
                  <w:tcPr>
                    <w:tcW w:w="1114" w:type="pct"/>
                    <w:tcBorders>
                      <w:top w:val="outset" w:sz="4" w:space="0" w:color="auto"/>
                      <w:left w:val="outset" w:sz="4" w:space="0" w:color="auto"/>
                      <w:bottom w:val="outset" w:sz="4" w:space="0" w:color="auto"/>
                      <w:right w:val="outset" w:sz="4" w:space="0" w:color="auto"/>
                    </w:tcBorders>
                    <w:vAlign w:val="center"/>
                  </w:tcPr>
                  <w:p w14:paraId="1773FA6C" w14:textId="77777777" w:rsidR="00BD516E" w:rsidRPr="00F7004D" w:rsidRDefault="00BD516E" w:rsidP="00875540">
                    <w:pPr>
                      <w:jc w:val="right"/>
                      <w:rPr>
                        <w:sz w:val="22"/>
                      </w:rPr>
                    </w:pPr>
                    <w:r w:rsidRPr="00F7004D">
                      <w:rPr>
                        <w:rFonts w:hint="eastAsia"/>
                        <w:sz w:val="22"/>
                      </w:rPr>
                      <w:t>32,304,626.97</w:t>
                    </w:r>
                  </w:p>
                </w:tc>
              </w:tr>
              <w:tr w:rsidR="00BD516E" w:rsidRPr="00F7004D" w14:paraId="63EEEC58" w14:textId="77777777" w:rsidTr="00875540">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016c8567363a4b4facb5a9c7d99f206b"/>
                      <w:id w:val="514581745"/>
                      <w:lock w:val="sdtLocked"/>
                    </w:sdtPr>
                    <w:sdtEndPr/>
                    <w:sdtContent>
                      <w:p w14:paraId="4E1598D0" w14:textId="77777777" w:rsidR="00BD516E" w:rsidRPr="00F7004D" w:rsidRDefault="00BD516E" w:rsidP="00875540">
                        <w:pPr>
                          <w:ind w:firstLineChars="300" w:firstLine="630"/>
                        </w:pPr>
                        <w:r w:rsidRPr="00F7004D">
                          <w:rPr>
                            <w:rFonts w:hint="eastAsia"/>
                          </w:rPr>
                          <w:t>研发费用</w:t>
                        </w:r>
                      </w:p>
                    </w:sdtContent>
                  </w:sdt>
                </w:tc>
                <w:tc>
                  <w:tcPr>
                    <w:tcW w:w="838" w:type="pct"/>
                    <w:tcBorders>
                      <w:top w:val="outset" w:sz="4" w:space="0" w:color="auto"/>
                      <w:left w:val="outset" w:sz="4" w:space="0" w:color="auto"/>
                      <w:bottom w:val="outset" w:sz="4" w:space="0" w:color="auto"/>
                      <w:right w:val="outset" w:sz="4" w:space="0" w:color="auto"/>
                    </w:tcBorders>
                  </w:tcPr>
                  <w:p w14:paraId="2D945142" w14:textId="77777777" w:rsidR="00BD516E" w:rsidRPr="00F7004D" w:rsidRDefault="00BD516E" w:rsidP="00875540">
                    <w:pPr>
                      <w:rPr>
                        <w:szCs w:val="21"/>
                      </w:rPr>
                    </w:pPr>
                    <w:r w:rsidRPr="00F7004D">
                      <w:rPr>
                        <w:rFonts w:hint="eastAsia"/>
                        <w:szCs w:val="21"/>
                      </w:rPr>
                      <w:t>七、</w:t>
                    </w:r>
                    <w:r w:rsidRPr="00F7004D">
                      <w:rPr>
                        <w:szCs w:val="21"/>
                      </w:rPr>
                      <w:t>6</w:t>
                    </w:r>
                    <w:r w:rsidRPr="00F7004D">
                      <w:rPr>
                        <w:rFonts w:hint="eastAsia"/>
                        <w:szCs w:val="21"/>
                      </w:rPr>
                      <w:t>5</w:t>
                    </w:r>
                  </w:p>
                </w:tc>
                <w:tc>
                  <w:tcPr>
                    <w:tcW w:w="1110" w:type="pct"/>
                    <w:tcBorders>
                      <w:top w:val="outset" w:sz="4" w:space="0" w:color="auto"/>
                      <w:left w:val="outset" w:sz="4" w:space="0" w:color="auto"/>
                      <w:bottom w:val="outset" w:sz="4" w:space="0" w:color="auto"/>
                      <w:right w:val="outset" w:sz="4" w:space="0" w:color="auto"/>
                    </w:tcBorders>
                    <w:vAlign w:val="center"/>
                  </w:tcPr>
                  <w:p w14:paraId="2DFE27D2" w14:textId="77777777" w:rsidR="00BD516E" w:rsidRPr="00F7004D" w:rsidRDefault="00BD516E" w:rsidP="00875540">
                    <w:pPr>
                      <w:jc w:val="right"/>
                      <w:rPr>
                        <w:sz w:val="22"/>
                      </w:rPr>
                    </w:pPr>
                    <w:r w:rsidRPr="00F7004D">
                      <w:rPr>
                        <w:rFonts w:hint="eastAsia"/>
                        <w:sz w:val="22"/>
                      </w:rPr>
                      <w:t>10,015,871.43</w:t>
                    </w:r>
                  </w:p>
                </w:tc>
                <w:tc>
                  <w:tcPr>
                    <w:tcW w:w="1114" w:type="pct"/>
                    <w:tcBorders>
                      <w:top w:val="outset" w:sz="4" w:space="0" w:color="auto"/>
                      <w:left w:val="outset" w:sz="4" w:space="0" w:color="auto"/>
                      <w:bottom w:val="outset" w:sz="4" w:space="0" w:color="auto"/>
                      <w:right w:val="outset" w:sz="4" w:space="0" w:color="auto"/>
                    </w:tcBorders>
                    <w:vAlign w:val="center"/>
                  </w:tcPr>
                  <w:p w14:paraId="0A4A6AC6" w14:textId="77777777" w:rsidR="00BD516E" w:rsidRPr="00F7004D" w:rsidRDefault="00BD516E" w:rsidP="00875540">
                    <w:pPr>
                      <w:jc w:val="right"/>
                      <w:rPr>
                        <w:sz w:val="22"/>
                      </w:rPr>
                    </w:pPr>
                    <w:r w:rsidRPr="00F7004D">
                      <w:rPr>
                        <w:rFonts w:hint="eastAsia"/>
                        <w:sz w:val="22"/>
                      </w:rPr>
                      <w:t>9,163,732.02</w:t>
                    </w:r>
                  </w:p>
                </w:tc>
              </w:tr>
              <w:tr w:rsidR="00BD516E" w:rsidRPr="00F7004D" w14:paraId="360D2AB4" w14:textId="77777777" w:rsidTr="00875540">
                <w:sdt>
                  <w:sdtPr>
                    <w:tag w:val="_PLD_6faf3cf39dfa4fd1925e0d9be4566671"/>
                    <w:id w:val="173019143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5FEDD192" w14:textId="77777777" w:rsidR="00BD516E" w:rsidRPr="00F7004D" w:rsidRDefault="00BD516E" w:rsidP="00875540">
                        <w:pPr>
                          <w:ind w:firstLineChars="300" w:firstLine="630"/>
                          <w:rPr>
                            <w:szCs w:val="21"/>
                          </w:rPr>
                        </w:pPr>
                        <w:r w:rsidRPr="00F7004D">
                          <w:rPr>
                            <w:rFonts w:hint="eastAsia"/>
                            <w:szCs w:val="21"/>
                          </w:rPr>
                          <w:t>财务费用</w:t>
                        </w:r>
                      </w:p>
                    </w:tc>
                  </w:sdtContent>
                </w:sdt>
                <w:tc>
                  <w:tcPr>
                    <w:tcW w:w="838" w:type="pct"/>
                    <w:tcBorders>
                      <w:top w:val="outset" w:sz="4" w:space="0" w:color="auto"/>
                      <w:left w:val="outset" w:sz="4" w:space="0" w:color="auto"/>
                      <w:bottom w:val="outset" w:sz="4" w:space="0" w:color="auto"/>
                      <w:right w:val="outset" w:sz="4" w:space="0" w:color="auto"/>
                    </w:tcBorders>
                  </w:tcPr>
                  <w:p w14:paraId="418DB391" w14:textId="77777777" w:rsidR="00BD516E" w:rsidRPr="00F7004D" w:rsidRDefault="00BD516E" w:rsidP="00875540">
                    <w:pPr>
                      <w:rPr>
                        <w:szCs w:val="21"/>
                      </w:rPr>
                    </w:pPr>
                    <w:r w:rsidRPr="00F7004D">
                      <w:rPr>
                        <w:rFonts w:hint="eastAsia"/>
                        <w:szCs w:val="21"/>
                      </w:rPr>
                      <w:t>七、</w:t>
                    </w:r>
                    <w:r w:rsidRPr="00F7004D">
                      <w:rPr>
                        <w:szCs w:val="21"/>
                      </w:rPr>
                      <w:t>6</w:t>
                    </w:r>
                    <w:r w:rsidRPr="00F7004D">
                      <w:rPr>
                        <w:rFonts w:hint="eastAsia"/>
                        <w:szCs w:val="21"/>
                      </w:rPr>
                      <w:t>6</w:t>
                    </w:r>
                  </w:p>
                </w:tc>
                <w:tc>
                  <w:tcPr>
                    <w:tcW w:w="1110" w:type="pct"/>
                    <w:tcBorders>
                      <w:top w:val="outset" w:sz="4" w:space="0" w:color="auto"/>
                      <w:left w:val="outset" w:sz="4" w:space="0" w:color="auto"/>
                      <w:bottom w:val="outset" w:sz="4" w:space="0" w:color="auto"/>
                      <w:right w:val="outset" w:sz="4" w:space="0" w:color="auto"/>
                    </w:tcBorders>
                    <w:vAlign w:val="center"/>
                  </w:tcPr>
                  <w:p w14:paraId="742EA03C" w14:textId="77777777" w:rsidR="00BD516E" w:rsidRPr="00F7004D" w:rsidRDefault="00BD516E" w:rsidP="00875540">
                    <w:pPr>
                      <w:jc w:val="right"/>
                      <w:rPr>
                        <w:sz w:val="22"/>
                      </w:rPr>
                    </w:pPr>
                    <w:r w:rsidRPr="00F7004D">
                      <w:rPr>
                        <w:rFonts w:hint="eastAsia"/>
                        <w:sz w:val="22"/>
                      </w:rPr>
                      <w:t>6,189,937.17</w:t>
                    </w:r>
                  </w:p>
                </w:tc>
                <w:tc>
                  <w:tcPr>
                    <w:tcW w:w="1114" w:type="pct"/>
                    <w:tcBorders>
                      <w:top w:val="outset" w:sz="4" w:space="0" w:color="auto"/>
                      <w:left w:val="outset" w:sz="4" w:space="0" w:color="auto"/>
                      <w:bottom w:val="outset" w:sz="4" w:space="0" w:color="auto"/>
                      <w:right w:val="outset" w:sz="4" w:space="0" w:color="auto"/>
                    </w:tcBorders>
                    <w:vAlign w:val="center"/>
                  </w:tcPr>
                  <w:p w14:paraId="3BC6007A" w14:textId="77777777" w:rsidR="00BD516E" w:rsidRPr="00F7004D" w:rsidRDefault="00BD516E" w:rsidP="00875540">
                    <w:pPr>
                      <w:jc w:val="right"/>
                      <w:rPr>
                        <w:sz w:val="22"/>
                      </w:rPr>
                    </w:pPr>
                    <w:r w:rsidRPr="00F7004D">
                      <w:rPr>
                        <w:rFonts w:hint="eastAsia"/>
                        <w:sz w:val="22"/>
                      </w:rPr>
                      <w:t>9,724,015.22</w:t>
                    </w:r>
                  </w:p>
                </w:tc>
              </w:tr>
              <w:tr w:rsidR="00BD516E" w:rsidRPr="00F7004D" w14:paraId="6B027C4B" w14:textId="77777777" w:rsidTr="00875540">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8e9b72af75c437aafc0c975b29e2a55"/>
                      <w:id w:val="1528831757"/>
                      <w:lock w:val="sdtLocked"/>
                    </w:sdtPr>
                    <w:sdtEndPr/>
                    <w:sdtContent>
                      <w:p w14:paraId="322C01D3" w14:textId="77777777" w:rsidR="00BD516E" w:rsidRPr="00F7004D" w:rsidRDefault="00BD516E" w:rsidP="00875540">
                        <w:pPr>
                          <w:ind w:firstLineChars="300" w:firstLine="630"/>
                        </w:pPr>
                        <w:r w:rsidRPr="00F7004D">
                          <w:rPr>
                            <w:rFonts w:hint="eastAsia"/>
                          </w:rPr>
                          <w:t>其中：利息费用</w:t>
                        </w:r>
                      </w:p>
                    </w:sdtContent>
                  </w:sdt>
                </w:tc>
                <w:tc>
                  <w:tcPr>
                    <w:tcW w:w="838" w:type="pct"/>
                    <w:tcBorders>
                      <w:top w:val="outset" w:sz="4" w:space="0" w:color="auto"/>
                      <w:left w:val="outset" w:sz="4" w:space="0" w:color="auto"/>
                      <w:bottom w:val="outset" w:sz="4" w:space="0" w:color="auto"/>
                      <w:right w:val="outset" w:sz="4" w:space="0" w:color="auto"/>
                    </w:tcBorders>
                  </w:tcPr>
                  <w:p w14:paraId="5D4ECB99" w14:textId="77777777" w:rsidR="00BD516E" w:rsidRPr="00F7004D" w:rsidRDefault="00BD516E" w:rsidP="00875540">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32E5A584" w14:textId="77777777" w:rsidR="00BD516E" w:rsidRPr="00F7004D" w:rsidRDefault="00BD516E" w:rsidP="00875540">
                    <w:pPr>
                      <w:jc w:val="right"/>
                      <w:rPr>
                        <w:sz w:val="22"/>
                      </w:rPr>
                    </w:pPr>
                    <w:r w:rsidRPr="00F7004D">
                      <w:rPr>
                        <w:rFonts w:hint="eastAsia"/>
                        <w:sz w:val="22"/>
                      </w:rPr>
                      <w:t>4,698,538.37</w:t>
                    </w:r>
                  </w:p>
                </w:tc>
                <w:tc>
                  <w:tcPr>
                    <w:tcW w:w="1114" w:type="pct"/>
                    <w:tcBorders>
                      <w:top w:val="outset" w:sz="4" w:space="0" w:color="auto"/>
                      <w:left w:val="outset" w:sz="4" w:space="0" w:color="auto"/>
                      <w:bottom w:val="outset" w:sz="4" w:space="0" w:color="auto"/>
                      <w:right w:val="outset" w:sz="4" w:space="0" w:color="auto"/>
                    </w:tcBorders>
                    <w:vAlign w:val="center"/>
                  </w:tcPr>
                  <w:p w14:paraId="2F0B993D" w14:textId="77777777" w:rsidR="00BD516E" w:rsidRPr="00F7004D" w:rsidRDefault="00BD516E" w:rsidP="00875540">
                    <w:pPr>
                      <w:jc w:val="right"/>
                      <w:rPr>
                        <w:sz w:val="22"/>
                      </w:rPr>
                    </w:pPr>
                    <w:r w:rsidRPr="00F7004D">
                      <w:rPr>
                        <w:rFonts w:hint="eastAsia"/>
                        <w:sz w:val="22"/>
                      </w:rPr>
                      <w:t>9,519,858.78</w:t>
                    </w:r>
                  </w:p>
                </w:tc>
              </w:tr>
              <w:tr w:rsidR="00BD516E" w:rsidRPr="00F7004D" w14:paraId="0EF52B8F" w14:textId="77777777" w:rsidTr="00875540">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9295ba98b84473595f32450ae66410e"/>
                      <w:id w:val="1971703361"/>
                      <w:lock w:val="sdtLocked"/>
                    </w:sdtPr>
                    <w:sdtEndPr/>
                    <w:sdtContent>
                      <w:p w14:paraId="59673FDB" w14:textId="77777777" w:rsidR="00BD516E" w:rsidRPr="00F7004D" w:rsidRDefault="00BD516E" w:rsidP="00875540">
                        <w:pPr>
                          <w:ind w:firstLineChars="600" w:firstLine="1260"/>
                        </w:pPr>
                        <w:r w:rsidRPr="00F7004D">
                          <w:rPr>
                            <w:rFonts w:hint="eastAsia"/>
                          </w:rPr>
                          <w:t>利息收入</w:t>
                        </w:r>
                      </w:p>
                    </w:sdtContent>
                  </w:sdt>
                </w:tc>
                <w:tc>
                  <w:tcPr>
                    <w:tcW w:w="838" w:type="pct"/>
                    <w:tcBorders>
                      <w:top w:val="outset" w:sz="4" w:space="0" w:color="auto"/>
                      <w:left w:val="outset" w:sz="4" w:space="0" w:color="auto"/>
                      <w:bottom w:val="outset" w:sz="4" w:space="0" w:color="auto"/>
                      <w:right w:val="outset" w:sz="4" w:space="0" w:color="auto"/>
                    </w:tcBorders>
                  </w:tcPr>
                  <w:p w14:paraId="6909A313" w14:textId="77777777" w:rsidR="00BD516E" w:rsidRPr="00F7004D" w:rsidRDefault="00BD516E" w:rsidP="00875540">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31C20D09" w14:textId="77777777" w:rsidR="00BD516E" w:rsidRPr="00F7004D" w:rsidRDefault="00BD516E" w:rsidP="00875540">
                    <w:pPr>
                      <w:jc w:val="right"/>
                      <w:rPr>
                        <w:sz w:val="22"/>
                      </w:rPr>
                    </w:pPr>
                    <w:r w:rsidRPr="00F7004D">
                      <w:rPr>
                        <w:rFonts w:hint="eastAsia"/>
                        <w:sz w:val="22"/>
                      </w:rPr>
                      <w:t>880,727.71</w:t>
                    </w:r>
                  </w:p>
                </w:tc>
                <w:tc>
                  <w:tcPr>
                    <w:tcW w:w="1114" w:type="pct"/>
                    <w:tcBorders>
                      <w:top w:val="outset" w:sz="4" w:space="0" w:color="auto"/>
                      <w:left w:val="outset" w:sz="4" w:space="0" w:color="auto"/>
                      <w:bottom w:val="outset" w:sz="4" w:space="0" w:color="auto"/>
                      <w:right w:val="outset" w:sz="4" w:space="0" w:color="auto"/>
                    </w:tcBorders>
                    <w:vAlign w:val="center"/>
                  </w:tcPr>
                  <w:p w14:paraId="7C7AD2C8" w14:textId="77777777" w:rsidR="00BD516E" w:rsidRPr="00F7004D" w:rsidRDefault="00BD516E" w:rsidP="00875540">
                    <w:pPr>
                      <w:jc w:val="right"/>
                      <w:rPr>
                        <w:sz w:val="22"/>
                      </w:rPr>
                    </w:pPr>
                    <w:r w:rsidRPr="00F7004D">
                      <w:rPr>
                        <w:rFonts w:hint="eastAsia"/>
                        <w:sz w:val="22"/>
                      </w:rPr>
                      <w:t>672,612.09</w:t>
                    </w:r>
                  </w:p>
                </w:tc>
              </w:tr>
              <w:tr w:rsidR="00BD516E" w:rsidRPr="00F7004D" w14:paraId="095DF68F" w14:textId="77777777" w:rsidTr="00875540">
                <w:sdt>
                  <w:sdtPr>
                    <w:tag w:val="_PLD_c5148208867748028cb9d238ab2addb6"/>
                    <w:id w:val="-12693181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6E94CBD0" w14:textId="77777777" w:rsidR="00BD516E" w:rsidRPr="00F7004D" w:rsidRDefault="00BD516E" w:rsidP="00875540">
                        <w:pPr>
                          <w:ind w:firstLineChars="100" w:firstLine="210"/>
                          <w:rPr>
                            <w:szCs w:val="21"/>
                          </w:rPr>
                        </w:pPr>
                        <w:r w:rsidRPr="00F7004D">
                          <w:rPr>
                            <w:rFonts w:hint="eastAsia"/>
                          </w:rPr>
                          <w:t>加：</w:t>
                        </w:r>
                        <w:r w:rsidRPr="00F7004D">
                          <w:rPr>
                            <w:rFonts w:hint="eastAsia"/>
                            <w:szCs w:val="21"/>
                          </w:rPr>
                          <w:t>其他收益</w:t>
                        </w:r>
                      </w:p>
                    </w:tc>
                  </w:sdtContent>
                </w:sdt>
                <w:tc>
                  <w:tcPr>
                    <w:tcW w:w="838" w:type="pct"/>
                    <w:tcBorders>
                      <w:top w:val="outset" w:sz="4" w:space="0" w:color="auto"/>
                      <w:left w:val="outset" w:sz="4" w:space="0" w:color="auto"/>
                      <w:bottom w:val="outset" w:sz="4" w:space="0" w:color="auto"/>
                      <w:right w:val="outset" w:sz="4" w:space="0" w:color="auto"/>
                    </w:tcBorders>
                  </w:tcPr>
                  <w:p w14:paraId="5D5BD39C" w14:textId="77777777" w:rsidR="00BD516E" w:rsidRPr="00F7004D" w:rsidRDefault="00BD516E" w:rsidP="00875540">
                    <w:pPr>
                      <w:rPr>
                        <w:szCs w:val="21"/>
                      </w:rPr>
                    </w:pPr>
                    <w:r w:rsidRPr="00F7004D">
                      <w:rPr>
                        <w:rFonts w:hint="eastAsia"/>
                        <w:szCs w:val="21"/>
                      </w:rPr>
                      <w:t>七、</w:t>
                    </w:r>
                    <w:r w:rsidRPr="00F7004D">
                      <w:rPr>
                        <w:szCs w:val="21"/>
                      </w:rPr>
                      <w:t>6</w:t>
                    </w:r>
                    <w:r w:rsidRPr="00F7004D">
                      <w:rPr>
                        <w:rFonts w:hint="eastAsia"/>
                        <w:szCs w:val="21"/>
                      </w:rPr>
                      <w:t>7</w:t>
                    </w:r>
                  </w:p>
                </w:tc>
                <w:tc>
                  <w:tcPr>
                    <w:tcW w:w="1110" w:type="pct"/>
                    <w:tcBorders>
                      <w:top w:val="outset" w:sz="4" w:space="0" w:color="auto"/>
                      <w:left w:val="outset" w:sz="4" w:space="0" w:color="auto"/>
                      <w:bottom w:val="outset" w:sz="4" w:space="0" w:color="auto"/>
                      <w:right w:val="outset" w:sz="4" w:space="0" w:color="auto"/>
                    </w:tcBorders>
                    <w:vAlign w:val="center"/>
                  </w:tcPr>
                  <w:p w14:paraId="26D1FAFD" w14:textId="77777777" w:rsidR="00BD516E" w:rsidRPr="00F7004D" w:rsidRDefault="00BD516E" w:rsidP="00875540">
                    <w:pPr>
                      <w:jc w:val="right"/>
                      <w:rPr>
                        <w:sz w:val="22"/>
                      </w:rPr>
                    </w:pPr>
                    <w:r w:rsidRPr="00F7004D">
                      <w:rPr>
                        <w:rFonts w:hint="eastAsia"/>
                        <w:sz w:val="22"/>
                      </w:rPr>
                      <w:t>7,754,445.94</w:t>
                    </w:r>
                  </w:p>
                </w:tc>
                <w:tc>
                  <w:tcPr>
                    <w:tcW w:w="1114" w:type="pct"/>
                    <w:tcBorders>
                      <w:top w:val="outset" w:sz="4" w:space="0" w:color="auto"/>
                      <w:left w:val="outset" w:sz="4" w:space="0" w:color="auto"/>
                      <w:bottom w:val="outset" w:sz="4" w:space="0" w:color="auto"/>
                      <w:right w:val="outset" w:sz="4" w:space="0" w:color="auto"/>
                    </w:tcBorders>
                    <w:vAlign w:val="center"/>
                  </w:tcPr>
                  <w:p w14:paraId="6096844A" w14:textId="77777777" w:rsidR="00BD516E" w:rsidRPr="00F7004D" w:rsidRDefault="00BD516E" w:rsidP="00875540">
                    <w:pPr>
                      <w:jc w:val="right"/>
                      <w:rPr>
                        <w:sz w:val="22"/>
                      </w:rPr>
                    </w:pPr>
                    <w:r w:rsidRPr="00F7004D">
                      <w:rPr>
                        <w:rFonts w:hint="eastAsia"/>
                        <w:sz w:val="22"/>
                      </w:rPr>
                      <w:t>517,835.88</w:t>
                    </w:r>
                  </w:p>
                </w:tc>
              </w:tr>
              <w:tr w:rsidR="00BD516E" w:rsidRPr="00F7004D" w14:paraId="29572DE6" w14:textId="77777777" w:rsidTr="00875540">
                <w:sdt>
                  <w:sdtPr>
                    <w:tag w:val="_PLD_c58a027e2ee74b79b026fbba720ccf3a"/>
                    <w:id w:val="108796186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74C88019" w14:textId="77777777" w:rsidR="00BD516E" w:rsidRPr="00F7004D" w:rsidRDefault="00BD516E" w:rsidP="00875540">
                        <w:pPr>
                          <w:ind w:firstLineChars="300" w:firstLine="630"/>
                          <w:rPr>
                            <w:szCs w:val="21"/>
                          </w:rPr>
                        </w:pPr>
                        <w:r w:rsidRPr="00F7004D">
                          <w:rPr>
                            <w:rFonts w:hint="eastAsia"/>
                            <w:szCs w:val="21"/>
                          </w:rPr>
                          <w:t>投资收益（损失以“－”号填列）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14:paraId="4AE7291B" w14:textId="77777777" w:rsidR="00BD516E" w:rsidRPr="00F7004D" w:rsidRDefault="00BD516E" w:rsidP="00875540">
                    <w:pPr>
                      <w:rPr>
                        <w:szCs w:val="21"/>
                      </w:rPr>
                    </w:pPr>
                    <w:r w:rsidRPr="00F7004D">
                      <w:rPr>
                        <w:rFonts w:hint="eastAsia"/>
                        <w:szCs w:val="21"/>
                      </w:rPr>
                      <w:t>七、</w:t>
                    </w:r>
                    <w:r w:rsidRPr="00F7004D">
                      <w:rPr>
                        <w:szCs w:val="21"/>
                      </w:rPr>
                      <w:t>6</w:t>
                    </w:r>
                    <w:r w:rsidRPr="00F7004D">
                      <w:rPr>
                        <w:rFonts w:hint="eastAsia"/>
                        <w:szCs w:val="21"/>
                      </w:rPr>
                      <w:t>8</w:t>
                    </w:r>
                  </w:p>
                </w:tc>
                <w:tc>
                  <w:tcPr>
                    <w:tcW w:w="1110" w:type="pct"/>
                    <w:tcBorders>
                      <w:top w:val="outset" w:sz="4" w:space="0" w:color="auto"/>
                      <w:left w:val="outset" w:sz="4" w:space="0" w:color="auto"/>
                      <w:bottom w:val="outset" w:sz="4" w:space="0" w:color="auto"/>
                      <w:right w:val="outset" w:sz="4" w:space="0" w:color="auto"/>
                    </w:tcBorders>
                    <w:vAlign w:val="center"/>
                  </w:tcPr>
                  <w:p w14:paraId="2120CB8D" w14:textId="77777777" w:rsidR="00BD516E" w:rsidRPr="00F7004D" w:rsidRDefault="00BD516E" w:rsidP="00875540">
                    <w:pPr>
                      <w:jc w:val="right"/>
                      <w:rPr>
                        <w:sz w:val="22"/>
                      </w:rPr>
                    </w:pPr>
                    <w:r w:rsidRPr="00F7004D">
                      <w:rPr>
                        <w:rFonts w:hint="eastAsia"/>
                        <w:sz w:val="22"/>
                      </w:rPr>
                      <w:t>3,532,099.11</w:t>
                    </w:r>
                  </w:p>
                </w:tc>
                <w:tc>
                  <w:tcPr>
                    <w:tcW w:w="1114" w:type="pct"/>
                    <w:tcBorders>
                      <w:top w:val="outset" w:sz="4" w:space="0" w:color="auto"/>
                      <w:left w:val="outset" w:sz="4" w:space="0" w:color="auto"/>
                      <w:bottom w:val="outset" w:sz="4" w:space="0" w:color="auto"/>
                      <w:right w:val="outset" w:sz="4" w:space="0" w:color="auto"/>
                    </w:tcBorders>
                    <w:vAlign w:val="center"/>
                  </w:tcPr>
                  <w:p w14:paraId="022D926E" w14:textId="77777777" w:rsidR="00BD516E" w:rsidRPr="00F7004D" w:rsidRDefault="00BD516E" w:rsidP="00875540">
                    <w:pPr>
                      <w:jc w:val="right"/>
                      <w:rPr>
                        <w:sz w:val="22"/>
                      </w:rPr>
                    </w:pPr>
                    <w:r w:rsidRPr="00F7004D">
                      <w:rPr>
                        <w:rFonts w:hint="eastAsia"/>
                        <w:sz w:val="22"/>
                      </w:rPr>
                      <w:t>-6,049,911.14</w:t>
                    </w:r>
                  </w:p>
                </w:tc>
              </w:tr>
              <w:tr w:rsidR="00BD516E" w:rsidRPr="00F7004D" w14:paraId="126A505A" w14:textId="77777777" w:rsidTr="00875540">
                <w:sdt>
                  <w:sdtPr>
                    <w:tag w:val="_PLD_58f92dc598044243844972f7264dee3f"/>
                    <w:id w:val="192036114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1088A348" w14:textId="77777777" w:rsidR="00BD516E" w:rsidRPr="00F7004D" w:rsidRDefault="00BD516E" w:rsidP="00875540">
                        <w:pPr>
                          <w:ind w:firstLineChars="300" w:firstLine="630"/>
                          <w:rPr>
                            <w:szCs w:val="21"/>
                          </w:rPr>
                        </w:pPr>
                        <w:r w:rsidRPr="00F7004D">
                          <w:rPr>
                            <w:rFonts w:hint="eastAsia"/>
                            <w:szCs w:val="21"/>
                          </w:rPr>
                          <w:t>其中：对联营企业和合营企业的投资收益</w:t>
                        </w:r>
                      </w:p>
                    </w:tc>
                  </w:sdtContent>
                </w:sdt>
                <w:tc>
                  <w:tcPr>
                    <w:tcW w:w="838" w:type="pct"/>
                    <w:tcBorders>
                      <w:top w:val="outset" w:sz="4" w:space="0" w:color="auto"/>
                      <w:left w:val="outset" w:sz="4" w:space="0" w:color="auto"/>
                      <w:bottom w:val="outset" w:sz="4" w:space="0" w:color="auto"/>
                      <w:right w:val="outset" w:sz="4" w:space="0" w:color="auto"/>
                    </w:tcBorders>
                  </w:tcPr>
                  <w:p w14:paraId="64ECB9A6" w14:textId="77777777" w:rsidR="00BD516E" w:rsidRPr="00F7004D" w:rsidRDefault="00BD516E" w:rsidP="00875540">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689B13DB" w14:textId="77777777" w:rsidR="00BD516E" w:rsidRPr="00F7004D" w:rsidRDefault="00BD516E" w:rsidP="00875540">
                    <w:pPr>
                      <w:jc w:val="right"/>
                      <w:rPr>
                        <w:sz w:val="22"/>
                      </w:rPr>
                    </w:pPr>
                    <w:r w:rsidRPr="00F7004D">
                      <w:rPr>
                        <w:rFonts w:hint="eastAsia"/>
                        <w:sz w:val="22"/>
                      </w:rPr>
                      <w:t>3,532,099.11</w:t>
                    </w:r>
                  </w:p>
                </w:tc>
                <w:tc>
                  <w:tcPr>
                    <w:tcW w:w="1114" w:type="pct"/>
                    <w:tcBorders>
                      <w:top w:val="outset" w:sz="4" w:space="0" w:color="auto"/>
                      <w:left w:val="outset" w:sz="4" w:space="0" w:color="auto"/>
                      <w:bottom w:val="outset" w:sz="4" w:space="0" w:color="auto"/>
                      <w:right w:val="outset" w:sz="4" w:space="0" w:color="auto"/>
                    </w:tcBorders>
                    <w:vAlign w:val="center"/>
                  </w:tcPr>
                  <w:p w14:paraId="2055B0BF" w14:textId="77777777" w:rsidR="00BD516E" w:rsidRPr="00F7004D" w:rsidRDefault="00BD516E" w:rsidP="00875540">
                    <w:pPr>
                      <w:jc w:val="right"/>
                      <w:rPr>
                        <w:sz w:val="22"/>
                      </w:rPr>
                    </w:pPr>
                    <w:r w:rsidRPr="00F7004D">
                      <w:rPr>
                        <w:rFonts w:hint="eastAsia"/>
                        <w:sz w:val="22"/>
                      </w:rPr>
                      <w:t>-6,049,911.14</w:t>
                    </w:r>
                  </w:p>
                </w:tc>
              </w:tr>
              <w:tr w:rsidR="00BD516E" w:rsidRPr="00F7004D" w14:paraId="69F332C3" w14:textId="77777777" w:rsidTr="00875540">
                <w:sdt>
                  <w:sdtPr>
                    <w:tag w:val="_PLD_f783ee8c18aa4ec6b0fe746603c1afc2"/>
                    <w:id w:val="-958727826"/>
                    <w:lock w:val="sdtLocked"/>
                  </w:sdtPr>
                  <w:sdtEndPr/>
                  <w:sdtContent>
                    <w:tc>
                      <w:tcPr>
                        <w:tcW w:w="1938" w:type="pct"/>
                        <w:tcBorders>
                          <w:top w:val="outset" w:sz="4" w:space="0" w:color="auto"/>
                          <w:left w:val="outset" w:sz="4" w:space="0" w:color="auto"/>
                          <w:bottom w:val="outset" w:sz="4" w:space="0" w:color="auto"/>
                          <w:right w:val="outset" w:sz="4" w:space="0" w:color="auto"/>
                        </w:tcBorders>
                      </w:tcPr>
                      <w:p w14:paraId="139952AE" w14:textId="77777777" w:rsidR="00BD516E" w:rsidRPr="00F7004D" w:rsidRDefault="00BD516E" w:rsidP="00875540">
                        <w:pPr>
                          <w:ind w:firstLineChars="550" w:firstLine="1155"/>
                        </w:pPr>
                        <w:r w:rsidRPr="00F7004D">
                          <w:rPr>
                            <w:rFonts w:hint="eastAsia"/>
                          </w:rPr>
                          <w:t>以摊余成本计量的金融资产终止确认收益（损失以“</w:t>
                        </w:r>
                        <w:r w:rsidRPr="00F7004D">
                          <w:t>-”号填列）</w:t>
                        </w:r>
                      </w:p>
                    </w:tc>
                  </w:sdtContent>
                </w:sdt>
                <w:tc>
                  <w:tcPr>
                    <w:tcW w:w="838" w:type="pct"/>
                    <w:tcBorders>
                      <w:top w:val="outset" w:sz="4" w:space="0" w:color="auto"/>
                      <w:left w:val="outset" w:sz="4" w:space="0" w:color="auto"/>
                      <w:bottom w:val="outset" w:sz="4" w:space="0" w:color="auto"/>
                      <w:right w:val="outset" w:sz="4" w:space="0" w:color="auto"/>
                    </w:tcBorders>
                  </w:tcPr>
                  <w:p w14:paraId="7C05A9B6" w14:textId="77777777" w:rsidR="00BD516E" w:rsidRPr="00F7004D" w:rsidRDefault="00BD516E" w:rsidP="00875540">
                    <w:pPr>
                      <w:rPr>
                        <w:szCs w:val="21"/>
                      </w:rPr>
                    </w:pPr>
                  </w:p>
                </w:tc>
                <w:tc>
                  <w:tcPr>
                    <w:tcW w:w="1110" w:type="pct"/>
                    <w:tcBorders>
                      <w:top w:val="outset" w:sz="4" w:space="0" w:color="auto"/>
                      <w:left w:val="outset" w:sz="4" w:space="0" w:color="auto"/>
                      <w:bottom w:val="outset" w:sz="4" w:space="0" w:color="auto"/>
                      <w:right w:val="outset" w:sz="4" w:space="0" w:color="auto"/>
                    </w:tcBorders>
                  </w:tcPr>
                  <w:p w14:paraId="004C966B" w14:textId="77777777" w:rsidR="00BD516E" w:rsidRPr="00F7004D" w:rsidRDefault="00BD516E" w:rsidP="00875540">
                    <w:pPr>
                      <w:jc w:val="right"/>
                      <w:rPr>
                        <w:sz w:val="22"/>
                      </w:rPr>
                    </w:pPr>
                  </w:p>
                </w:tc>
                <w:tc>
                  <w:tcPr>
                    <w:tcW w:w="1114" w:type="pct"/>
                    <w:tcBorders>
                      <w:top w:val="outset" w:sz="4" w:space="0" w:color="auto"/>
                      <w:left w:val="outset" w:sz="4" w:space="0" w:color="auto"/>
                      <w:bottom w:val="outset" w:sz="4" w:space="0" w:color="auto"/>
                      <w:right w:val="outset" w:sz="4" w:space="0" w:color="auto"/>
                    </w:tcBorders>
                  </w:tcPr>
                  <w:p w14:paraId="15333E8C" w14:textId="77777777" w:rsidR="00BD516E" w:rsidRPr="00F7004D" w:rsidRDefault="00BD516E" w:rsidP="00875540">
                    <w:pPr>
                      <w:jc w:val="right"/>
                      <w:rPr>
                        <w:sz w:val="22"/>
                      </w:rPr>
                    </w:pPr>
                  </w:p>
                </w:tc>
              </w:tr>
              <w:tr w:rsidR="00BD516E" w:rsidRPr="00F7004D" w14:paraId="5DCF78A4" w14:textId="77777777" w:rsidTr="00875540">
                <w:sdt>
                  <w:sdtPr>
                    <w:tag w:val="_PLD_33855fc7ddf74a1b9f9c1dfc4ab34fc7"/>
                    <w:id w:val="163606083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31EF4A00" w14:textId="77777777" w:rsidR="00BD516E" w:rsidRPr="00F7004D" w:rsidRDefault="00BD516E" w:rsidP="00875540">
                        <w:pPr>
                          <w:ind w:firstLineChars="300" w:firstLine="630"/>
                          <w:rPr>
                            <w:szCs w:val="21"/>
                          </w:rPr>
                        </w:pPr>
                        <w:r w:rsidRPr="00F7004D">
                          <w:rPr>
                            <w:rFonts w:hint="eastAsia"/>
                            <w:szCs w:val="21"/>
                          </w:rPr>
                          <w:t>汇兑收益（损失以“－”号填列）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14:paraId="43F6A1EA" w14:textId="77777777" w:rsidR="00BD516E" w:rsidRPr="00F7004D" w:rsidRDefault="00BD516E" w:rsidP="00875540">
                    <w:pPr>
                      <w:rPr>
                        <w:szCs w:val="21"/>
                      </w:rPr>
                    </w:pPr>
                  </w:p>
                </w:tc>
                <w:tc>
                  <w:tcPr>
                    <w:tcW w:w="1110" w:type="pct"/>
                    <w:tcBorders>
                      <w:top w:val="outset" w:sz="4" w:space="0" w:color="auto"/>
                      <w:left w:val="outset" w:sz="4" w:space="0" w:color="auto"/>
                      <w:bottom w:val="outset" w:sz="4" w:space="0" w:color="auto"/>
                      <w:right w:val="outset" w:sz="4" w:space="0" w:color="auto"/>
                    </w:tcBorders>
                  </w:tcPr>
                  <w:p w14:paraId="67AE6586" w14:textId="77777777" w:rsidR="00BD516E" w:rsidRPr="00F7004D" w:rsidRDefault="00BD516E" w:rsidP="00875540">
                    <w:pPr>
                      <w:jc w:val="right"/>
                      <w:rPr>
                        <w:sz w:val="22"/>
                      </w:rPr>
                    </w:pPr>
                  </w:p>
                </w:tc>
                <w:tc>
                  <w:tcPr>
                    <w:tcW w:w="1114" w:type="pct"/>
                    <w:tcBorders>
                      <w:top w:val="outset" w:sz="4" w:space="0" w:color="auto"/>
                      <w:left w:val="outset" w:sz="4" w:space="0" w:color="auto"/>
                      <w:bottom w:val="outset" w:sz="4" w:space="0" w:color="auto"/>
                      <w:right w:val="outset" w:sz="4" w:space="0" w:color="auto"/>
                    </w:tcBorders>
                  </w:tcPr>
                  <w:p w14:paraId="2879A584" w14:textId="77777777" w:rsidR="00BD516E" w:rsidRPr="00F7004D" w:rsidRDefault="00BD516E" w:rsidP="00875540">
                    <w:pPr>
                      <w:jc w:val="right"/>
                      <w:rPr>
                        <w:sz w:val="22"/>
                      </w:rPr>
                    </w:pPr>
                  </w:p>
                </w:tc>
              </w:tr>
              <w:tr w:rsidR="00BD516E" w:rsidRPr="00F7004D" w14:paraId="43E4B897" w14:textId="77777777" w:rsidTr="00875540">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351bb9f9f034ce8b252cc8056810655"/>
                      <w:id w:val="-562099384"/>
                      <w:lock w:val="sdtLocked"/>
                    </w:sdtPr>
                    <w:sdtEndPr>
                      <w:rPr>
                        <w:rFonts w:hint="default"/>
                      </w:rPr>
                    </w:sdtEndPr>
                    <w:sdtContent>
                      <w:p w14:paraId="7B54148D" w14:textId="77777777" w:rsidR="00BD516E" w:rsidRPr="00F7004D" w:rsidRDefault="00BD516E" w:rsidP="00875540">
                        <w:pPr>
                          <w:ind w:firstLineChars="300" w:firstLine="630"/>
                        </w:pPr>
                        <w:r w:rsidRPr="00F7004D">
                          <w:rPr>
                            <w:rFonts w:hint="eastAsia"/>
                          </w:rPr>
                          <w:t>净敞口套期收益（损失以“</w:t>
                        </w:r>
                        <w:r w:rsidRPr="00F7004D">
                          <w:t>-”号填列）</w:t>
                        </w:r>
                      </w:p>
                    </w:sdtContent>
                  </w:sdt>
                </w:tc>
                <w:tc>
                  <w:tcPr>
                    <w:tcW w:w="838" w:type="pct"/>
                    <w:tcBorders>
                      <w:top w:val="outset" w:sz="4" w:space="0" w:color="auto"/>
                      <w:left w:val="outset" w:sz="4" w:space="0" w:color="auto"/>
                      <w:bottom w:val="outset" w:sz="4" w:space="0" w:color="auto"/>
                      <w:right w:val="outset" w:sz="4" w:space="0" w:color="auto"/>
                    </w:tcBorders>
                  </w:tcPr>
                  <w:p w14:paraId="63A5516B" w14:textId="77777777" w:rsidR="00BD516E" w:rsidRPr="00F7004D" w:rsidRDefault="00BD516E" w:rsidP="00875540">
                    <w:pPr>
                      <w:rPr>
                        <w:szCs w:val="21"/>
                      </w:rPr>
                    </w:pPr>
                  </w:p>
                </w:tc>
                <w:tc>
                  <w:tcPr>
                    <w:tcW w:w="1110" w:type="pct"/>
                    <w:tcBorders>
                      <w:top w:val="outset" w:sz="4" w:space="0" w:color="auto"/>
                      <w:left w:val="outset" w:sz="4" w:space="0" w:color="auto"/>
                      <w:bottom w:val="outset" w:sz="4" w:space="0" w:color="auto"/>
                      <w:right w:val="outset" w:sz="4" w:space="0" w:color="auto"/>
                    </w:tcBorders>
                  </w:tcPr>
                  <w:p w14:paraId="58315ACC" w14:textId="77777777" w:rsidR="00BD516E" w:rsidRPr="00F7004D" w:rsidRDefault="00BD516E" w:rsidP="00875540">
                    <w:pPr>
                      <w:jc w:val="right"/>
                      <w:rPr>
                        <w:sz w:val="22"/>
                      </w:rPr>
                    </w:pPr>
                  </w:p>
                </w:tc>
                <w:tc>
                  <w:tcPr>
                    <w:tcW w:w="1114" w:type="pct"/>
                    <w:tcBorders>
                      <w:top w:val="outset" w:sz="4" w:space="0" w:color="auto"/>
                      <w:left w:val="outset" w:sz="4" w:space="0" w:color="auto"/>
                      <w:bottom w:val="outset" w:sz="4" w:space="0" w:color="auto"/>
                      <w:right w:val="outset" w:sz="4" w:space="0" w:color="auto"/>
                    </w:tcBorders>
                  </w:tcPr>
                  <w:p w14:paraId="787537A5" w14:textId="77777777" w:rsidR="00BD516E" w:rsidRPr="00F7004D" w:rsidRDefault="00BD516E" w:rsidP="00875540">
                    <w:pPr>
                      <w:jc w:val="right"/>
                      <w:rPr>
                        <w:sz w:val="22"/>
                      </w:rPr>
                    </w:pPr>
                  </w:p>
                </w:tc>
              </w:tr>
              <w:tr w:rsidR="00BD516E" w:rsidRPr="00F7004D" w14:paraId="3A45B153" w14:textId="77777777" w:rsidTr="00875540">
                <w:sdt>
                  <w:sdtPr>
                    <w:tag w:val="_PLD_e6e5f627ac054b8b8f91f930cd45c7d6"/>
                    <w:id w:val="24692831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388A583D" w14:textId="77777777" w:rsidR="00BD516E" w:rsidRPr="00F7004D" w:rsidRDefault="00BD516E" w:rsidP="00875540">
                        <w:pPr>
                          <w:ind w:firstLineChars="300" w:firstLine="630"/>
                          <w:rPr>
                            <w:color w:val="000000"/>
                            <w:szCs w:val="21"/>
                          </w:rPr>
                        </w:pPr>
                        <w:r w:rsidRPr="00F7004D">
                          <w:rPr>
                            <w:rFonts w:hint="eastAsia"/>
                            <w:szCs w:val="21"/>
                          </w:rPr>
                          <w:t>公允价值变动收益（损失以“－”号填列）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14:paraId="2E67FEC4" w14:textId="77777777" w:rsidR="00BD516E" w:rsidRPr="00F7004D" w:rsidRDefault="00BD516E" w:rsidP="00875540">
                    <w:pPr>
                      <w:rPr>
                        <w:szCs w:val="21"/>
                      </w:rPr>
                    </w:pPr>
                  </w:p>
                </w:tc>
                <w:tc>
                  <w:tcPr>
                    <w:tcW w:w="1110" w:type="pct"/>
                    <w:tcBorders>
                      <w:top w:val="outset" w:sz="4" w:space="0" w:color="auto"/>
                      <w:left w:val="outset" w:sz="4" w:space="0" w:color="auto"/>
                      <w:bottom w:val="outset" w:sz="4" w:space="0" w:color="auto"/>
                      <w:right w:val="outset" w:sz="4" w:space="0" w:color="auto"/>
                    </w:tcBorders>
                  </w:tcPr>
                  <w:p w14:paraId="66A5808A" w14:textId="77777777" w:rsidR="00BD516E" w:rsidRPr="00F7004D" w:rsidRDefault="00BD516E" w:rsidP="00875540">
                    <w:pPr>
                      <w:jc w:val="right"/>
                      <w:rPr>
                        <w:sz w:val="22"/>
                      </w:rPr>
                    </w:pPr>
                  </w:p>
                </w:tc>
                <w:tc>
                  <w:tcPr>
                    <w:tcW w:w="1114" w:type="pct"/>
                    <w:tcBorders>
                      <w:top w:val="outset" w:sz="4" w:space="0" w:color="auto"/>
                      <w:left w:val="outset" w:sz="4" w:space="0" w:color="auto"/>
                      <w:bottom w:val="outset" w:sz="4" w:space="0" w:color="auto"/>
                      <w:right w:val="outset" w:sz="4" w:space="0" w:color="auto"/>
                    </w:tcBorders>
                  </w:tcPr>
                  <w:p w14:paraId="76411814" w14:textId="77777777" w:rsidR="00BD516E" w:rsidRPr="00F7004D" w:rsidRDefault="00BD516E" w:rsidP="00875540">
                    <w:pPr>
                      <w:jc w:val="right"/>
                      <w:rPr>
                        <w:sz w:val="22"/>
                      </w:rPr>
                    </w:pPr>
                  </w:p>
                </w:tc>
              </w:tr>
              <w:tr w:rsidR="00BD516E" w:rsidRPr="00F7004D" w14:paraId="04153804" w14:textId="77777777" w:rsidTr="00875540">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30e32ac0eb74cccbe4261a78579a5ff"/>
                      <w:id w:val="-652754740"/>
                      <w:lock w:val="sdtLocked"/>
                    </w:sdtPr>
                    <w:sdtEndPr/>
                    <w:sdtContent>
                      <w:p w14:paraId="1EB092F3" w14:textId="77777777" w:rsidR="00BD516E" w:rsidRPr="00F7004D" w:rsidRDefault="00BD516E" w:rsidP="00875540">
                        <w:pPr>
                          <w:ind w:firstLineChars="300" w:firstLine="630"/>
                        </w:pPr>
                        <w:r w:rsidRPr="00F7004D">
                          <w:rPr>
                            <w:rFonts w:hint="eastAsia"/>
                          </w:rPr>
                          <w:t>信用减值损失（损失以“</w:t>
                        </w:r>
                        <w:r w:rsidRPr="00F7004D">
                          <w:t>-”号填列）</w:t>
                        </w:r>
                      </w:p>
                    </w:sdtContent>
                  </w:sdt>
                </w:tc>
                <w:tc>
                  <w:tcPr>
                    <w:tcW w:w="838" w:type="pct"/>
                    <w:tcBorders>
                      <w:top w:val="outset" w:sz="4" w:space="0" w:color="auto"/>
                      <w:left w:val="outset" w:sz="4" w:space="0" w:color="auto"/>
                      <w:bottom w:val="outset" w:sz="4" w:space="0" w:color="auto"/>
                      <w:right w:val="outset" w:sz="4" w:space="0" w:color="auto"/>
                    </w:tcBorders>
                  </w:tcPr>
                  <w:p w14:paraId="770226ED" w14:textId="77777777" w:rsidR="00BD516E" w:rsidRPr="00F7004D" w:rsidRDefault="00BD516E" w:rsidP="00875540">
                    <w:pPr>
                      <w:rPr>
                        <w:szCs w:val="21"/>
                      </w:rPr>
                    </w:pPr>
                    <w:r w:rsidRPr="00F7004D">
                      <w:rPr>
                        <w:rFonts w:hint="eastAsia"/>
                        <w:szCs w:val="21"/>
                      </w:rPr>
                      <w:t>七、7</w:t>
                    </w:r>
                    <w:r w:rsidRPr="00F7004D">
                      <w:rPr>
                        <w:szCs w:val="21"/>
                      </w:rPr>
                      <w:t>1</w:t>
                    </w:r>
                  </w:p>
                </w:tc>
                <w:tc>
                  <w:tcPr>
                    <w:tcW w:w="1110" w:type="pct"/>
                    <w:tcBorders>
                      <w:top w:val="outset" w:sz="4" w:space="0" w:color="auto"/>
                      <w:left w:val="outset" w:sz="4" w:space="0" w:color="auto"/>
                      <w:bottom w:val="outset" w:sz="4" w:space="0" w:color="auto"/>
                      <w:right w:val="outset" w:sz="4" w:space="0" w:color="auto"/>
                    </w:tcBorders>
                    <w:vAlign w:val="center"/>
                  </w:tcPr>
                  <w:p w14:paraId="289C4A36" w14:textId="77777777" w:rsidR="00BD516E" w:rsidRPr="00F7004D" w:rsidRDefault="00BD516E" w:rsidP="00875540">
                    <w:pPr>
                      <w:jc w:val="right"/>
                      <w:rPr>
                        <w:sz w:val="22"/>
                      </w:rPr>
                    </w:pPr>
                    <w:r w:rsidRPr="00F7004D">
                      <w:rPr>
                        <w:rFonts w:hint="eastAsia"/>
                        <w:sz w:val="22"/>
                      </w:rPr>
                      <w:t>-3,016,842.78</w:t>
                    </w:r>
                  </w:p>
                </w:tc>
                <w:tc>
                  <w:tcPr>
                    <w:tcW w:w="1114" w:type="pct"/>
                    <w:tcBorders>
                      <w:top w:val="outset" w:sz="4" w:space="0" w:color="auto"/>
                      <w:left w:val="outset" w:sz="4" w:space="0" w:color="auto"/>
                      <w:bottom w:val="outset" w:sz="4" w:space="0" w:color="auto"/>
                      <w:right w:val="outset" w:sz="4" w:space="0" w:color="auto"/>
                    </w:tcBorders>
                    <w:vAlign w:val="center"/>
                  </w:tcPr>
                  <w:p w14:paraId="0ED7B3B1" w14:textId="77777777" w:rsidR="00BD516E" w:rsidRPr="00F7004D" w:rsidRDefault="00BD516E" w:rsidP="00875540">
                    <w:pPr>
                      <w:jc w:val="right"/>
                      <w:rPr>
                        <w:sz w:val="22"/>
                      </w:rPr>
                    </w:pPr>
                    <w:r w:rsidRPr="00F7004D">
                      <w:rPr>
                        <w:rFonts w:hint="eastAsia"/>
                        <w:sz w:val="22"/>
                      </w:rPr>
                      <w:t>-4,907,101.35</w:t>
                    </w:r>
                  </w:p>
                </w:tc>
              </w:tr>
              <w:tr w:rsidR="00BD516E" w:rsidRPr="00F7004D" w14:paraId="38207D2F" w14:textId="77777777" w:rsidTr="00875540">
                <w:sdt>
                  <w:sdtPr>
                    <w:tag w:val="_PLD_fe82d7189b7a42a6ae64dd80ca9bbe80"/>
                    <w:id w:val="-99287487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3D129319" w14:textId="77777777" w:rsidR="00BD516E" w:rsidRPr="00F7004D" w:rsidRDefault="00BD516E" w:rsidP="00875540">
                        <w:pPr>
                          <w:ind w:firstLineChars="300" w:firstLine="630"/>
                          <w:rPr>
                            <w:szCs w:val="21"/>
                          </w:rPr>
                        </w:pPr>
                        <w:r w:rsidRPr="00F7004D">
                          <w:rPr>
                            <w:rFonts w:hint="eastAsia"/>
                            <w:szCs w:val="21"/>
                          </w:rPr>
                          <w:t>资产减值损失</w:t>
                        </w:r>
                        <w:r w:rsidRPr="00F7004D">
                          <w:rPr>
                            <w:rFonts w:hint="eastAsia"/>
                          </w:rPr>
                          <w:t>（损失以“</w:t>
                        </w:r>
                        <w:r w:rsidRPr="00F7004D">
                          <w:t>-”号填列）</w:t>
                        </w:r>
                      </w:p>
                    </w:tc>
                  </w:sdtContent>
                </w:sdt>
                <w:tc>
                  <w:tcPr>
                    <w:tcW w:w="838" w:type="pct"/>
                    <w:tcBorders>
                      <w:top w:val="outset" w:sz="4" w:space="0" w:color="auto"/>
                      <w:left w:val="outset" w:sz="4" w:space="0" w:color="auto"/>
                      <w:bottom w:val="outset" w:sz="4" w:space="0" w:color="auto"/>
                      <w:right w:val="outset" w:sz="4" w:space="0" w:color="auto"/>
                    </w:tcBorders>
                  </w:tcPr>
                  <w:p w14:paraId="0CA1EEEA" w14:textId="77777777" w:rsidR="00BD516E" w:rsidRPr="00F7004D" w:rsidRDefault="00BD516E" w:rsidP="00875540">
                    <w:pPr>
                      <w:rPr>
                        <w:szCs w:val="21"/>
                      </w:rPr>
                    </w:pPr>
                    <w:r w:rsidRPr="00F7004D">
                      <w:rPr>
                        <w:rFonts w:hint="eastAsia"/>
                        <w:szCs w:val="21"/>
                      </w:rPr>
                      <w:t>七、72</w:t>
                    </w:r>
                  </w:p>
                </w:tc>
                <w:tc>
                  <w:tcPr>
                    <w:tcW w:w="1110" w:type="pct"/>
                    <w:tcBorders>
                      <w:top w:val="outset" w:sz="4" w:space="0" w:color="auto"/>
                      <w:left w:val="outset" w:sz="4" w:space="0" w:color="auto"/>
                      <w:bottom w:val="outset" w:sz="4" w:space="0" w:color="auto"/>
                      <w:right w:val="outset" w:sz="4" w:space="0" w:color="auto"/>
                    </w:tcBorders>
                    <w:vAlign w:val="center"/>
                  </w:tcPr>
                  <w:p w14:paraId="3B574FC4" w14:textId="77777777" w:rsidR="00BD516E" w:rsidRPr="00F7004D" w:rsidRDefault="00BD516E" w:rsidP="00875540">
                    <w:pPr>
                      <w:jc w:val="right"/>
                      <w:rPr>
                        <w:sz w:val="22"/>
                      </w:rPr>
                    </w:pPr>
                    <w:r w:rsidRPr="00F7004D">
                      <w:rPr>
                        <w:rFonts w:hint="eastAsia"/>
                        <w:sz w:val="22"/>
                      </w:rPr>
                      <w:t>-7,227,430.91</w:t>
                    </w:r>
                  </w:p>
                </w:tc>
                <w:tc>
                  <w:tcPr>
                    <w:tcW w:w="1114" w:type="pct"/>
                    <w:tcBorders>
                      <w:top w:val="outset" w:sz="4" w:space="0" w:color="auto"/>
                      <w:left w:val="outset" w:sz="4" w:space="0" w:color="auto"/>
                      <w:bottom w:val="outset" w:sz="4" w:space="0" w:color="auto"/>
                      <w:right w:val="outset" w:sz="4" w:space="0" w:color="auto"/>
                    </w:tcBorders>
                    <w:vAlign w:val="center"/>
                  </w:tcPr>
                  <w:p w14:paraId="1F9BD3FE" w14:textId="77777777" w:rsidR="00BD516E" w:rsidRPr="00F7004D" w:rsidRDefault="00BD516E" w:rsidP="00875540">
                    <w:pPr>
                      <w:jc w:val="right"/>
                      <w:rPr>
                        <w:sz w:val="22"/>
                      </w:rPr>
                    </w:pPr>
                    <w:r w:rsidRPr="00F7004D">
                      <w:rPr>
                        <w:rFonts w:hint="eastAsia"/>
                        <w:sz w:val="22"/>
                      </w:rPr>
                      <w:t>-10,848,486.68</w:t>
                    </w:r>
                  </w:p>
                </w:tc>
              </w:tr>
              <w:tr w:rsidR="00BD516E" w:rsidRPr="00F7004D" w14:paraId="028813BE" w14:textId="77777777" w:rsidTr="00875540">
                <w:sdt>
                  <w:sdtPr>
                    <w:rPr>
                      <w:rFonts w:hint="eastAsia"/>
                    </w:rPr>
                    <w:tag w:val="_PLD_60761ec4a82c4bc298a64deee215586d"/>
                    <w:id w:val="-205013983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516F399B" w14:textId="77777777" w:rsidR="00BD516E" w:rsidRPr="00F7004D" w:rsidRDefault="00BD516E" w:rsidP="00875540">
                        <w:pPr>
                          <w:ind w:firstLineChars="300" w:firstLine="630"/>
                        </w:pPr>
                        <w:r w:rsidRPr="00F7004D">
                          <w:rPr>
                            <w:rFonts w:hint="eastAsia"/>
                          </w:rPr>
                          <w:t>资产处置收益（损失以“－”号填列）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14:paraId="3301DEBA" w14:textId="77777777" w:rsidR="00BD516E" w:rsidRPr="00F7004D" w:rsidRDefault="00BD516E" w:rsidP="00875540">
                    <w:pPr>
                      <w:rPr>
                        <w:szCs w:val="21"/>
                      </w:rPr>
                    </w:pPr>
                    <w:r w:rsidRPr="00F7004D">
                      <w:rPr>
                        <w:rFonts w:hint="eastAsia"/>
                        <w:szCs w:val="21"/>
                      </w:rPr>
                      <w:t>七、73</w:t>
                    </w:r>
                  </w:p>
                </w:tc>
                <w:tc>
                  <w:tcPr>
                    <w:tcW w:w="1110" w:type="pct"/>
                    <w:tcBorders>
                      <w:top w:val="outset" w:sz="4" w:space="0" w:color="auto"/>
                      <w:left w:val="outset" w:sz="4" w:space="0" w:color="auto"/>
                      <w:bottom w:val="outset" w:sz="4" w:space="0" w:color="auto"/>
                      <w:right w:val="outset" w:sz="4" w:space="0" w:color="auto"/>
                    </w:tcBorders>
                    <w:vAlign w:val="center"/>
                  </w:tcPr>
                  <w:p w14:paraId="69CA633A" w14:textId="77777777" w:rsidR="00BD516E" w:rsidRPr="00F7004D" w:rsidRDefault="00BD516E" w:rsidP="00875540">
                    <w:pPr>
                      <w:jc w:val="right"/>
                      <w:rPr>
                        <w:sz w:val="22"/>
                      </w:rPr>
                    </w:pPr>
                    <w:r w:rsidRPr="00F7004D">
                      <w:rPr>
                        <w:rFonts w:hint="eastAsia"/>
                        <w:sz w:val="22"/>
                      </w:rPr>
                      <w:t>122,252.07</w:t>
                    </w:r>
                  </w:p>
                </w:tc>
                <w:tc>
                  <w:tcPr>
                    <w:tcW w:w="1114" w:type="pct"/>
                    <w:tcBorders>
                      <w:top w:val="outset" w:sz="4" w:space="0" w:color="auto"/>
                      <w:left w:val="outset" w:sz="4" w:space="0" w:color="auto"/>
                      <w:bottom w:val="outset" w:sz="4" w:space="0" w:color="auto"/>
                      <w:right w:val="outset" w:sz="4" w:space="0" w:color="auto"/>
                    </w:tcBorders>
                    <w:vAlign w:val="center"/>
                  </w:tcPr>
                  <w:p w14:paraId="144DAA39" w14:textId="77777777" w:rsidR="00BD516E" w:rsidRPr="00F7004D" w:rsidRDefault="00BD516E" w:rsidP="00875540">
                    <w:pPr>
                      <w:jc w:val="right"/>
                      <w:rPr>
                        <w:sz w:val="22"/>
                      </w:rPr>
                    </w:pPr>
                    <w:r w:rsidRPr="00F7004D">
                      <w:rPr>
                        <w:rFonts w:hint="eastAsia"/>
                        <w:sz w:val="22"/>
                      </w:rPr>
                      <w:t xml:space="preserve">　</w:t>
                    </w:r>
                  </w:p>
                </w:tc>
              </w:tr>
              <w:tr w:rsidR="00BD516E" w:rsidRPr="00F7004D" w14:paraId="330BD788" w14:textId="77777777" w:rsidTr="00875540">
                <w:sdt>
                  <w:sdtPr>
                    <w:tag w:val="_PLD_18d15c0eacb94678be3131e09c8d9904"/>
                    <w:id w:val="178045034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396A1AFE" w14:textId="77777777" w:rsidR="00BD516E" w:rsidRPr="00F7004D" w:rsidRDefault="00BD516E" w:rsidP="00875540">
                        <w:pPr>
                          <w:rPr>
                            <w:color w:val="000000"/>
                            <w:szCs w:val="21"/>
                          </w:rPr>
                        </w:pPr>
                        <w:r w:rsidRPr="00F7004D">
                          <w:rPr>
                            <w:rFonts w:hint="eastAsia"/>
                            <w:szCs w:val="21"/>
                          </w:rPr>
                          <w:t>三、营业利润（亏损以“－”号填列）</w:t>
                        </w:r>
                      </w:p>
                    </w:tc>
                  </w:sdtContent>
                </w:sdt>
                <w:tc>
                  <w:tcPr>
                    <w:tcW w:w="838" w:type="pct"/>
                    <w:tcBorders>
                      <w:top w:val="outset" w:sz="4" w:space="0" w:color="auto"/>
                      <w:left w:val="outset" w:sz="4" w:space="0" w:color="auto"/>
                      <w:bottom w:val="outset" w:sz="4" w:space="0" w:color="auto"/>
                      <w:right w:val="outset" w:sz="4" w:space="0" w:color="auto"/>
                    </w:tcBorders>
                  </w:tcPr>
                  <w:p w14:paraId="369A5A3E" w14:textId="77777777" w:rsidR="00BD516E" w:rsidRPr="00F7004D" w:rsidRDefault="00BD516E" w:rsidP="00875540">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5A84D071" w14:textId="77777777" w:rsidR="00BD516E" w:rsidRPr="00F7004D" w:rsidRDefault="00BD516E" w:rsidP="00875540">
                    <w:pPr>
                      <w:jc w:val="right"/>
                      <w:rPr>
                        <w:sz w:val="22"/>
                      </w:rPr>
                    </w:pPr>
                    <w:r w:rsidRPr="00F7004D">
                      <w:rPr>
                        <w:rFonts w:hint="eastAsia"/>
                        <w:sz w:val="22"/>
                      </w:rPr>
                      <w:t>810,551.47</w:t>
                    </w:r>
                  </w:p>
                </w:tc>
                <w:tc>
                  <w:tcPr>
                    <w:tcW w:w="1114" w:type="pct"/>
                    <w:tcBorders>
                      <w:top w:val="outset" w:sz="4" w:space="0" w:color="auto"/>
                      <w:left w:val="outset" w:sz="4" w:space="0" w:color="auto"/>
                      <w:bottom w:val="outset" w:sz="4" w:space="0" w:color="auto"/>
                      <w:right w:val="outset" w:sz="4" w:space="0" w:color="auto"/>
                    </w:tcBorders>
                    <w:vAlign w:val="center"/>
                  </w:tcPr>
                  <w:p w14:paraId="343D69AD" w14:textId="77777777" w:rsidR="00BD516E" w:rsidRPr="00F7004D" w:rsidRDefault="00BD516E" w:rsidP="00875540">
                    <w:pPr>
                      <w:jc w:val="right"/>
                      <w:rPr>
                        <w:sz w:val="22"/>
                      </w:rPr>
                    </w:pPr>
                    <w:r w:rsidRPr="00F7004D">
                      <w:rPr>
                        <w:rFonts w:hint="eastAsia"/>
                        <w:sz w:val="22"/>
                      </w:rPr>
                      <w:t>-37,128,668.18</w:t>
                    </w:r>
                  </w:p>
                </w:tc>
              </w:tr>
              <w:tr w:rsidR="00BD516E" w:rsidRPr="00F7004D" w14:paraId="2EA6191C" w14:textId="77777777" w:rsidTr="00875540">
                <w:sdt>
                  <w:sdtPr>
                    <w:tag w:val="_PLD_e328c8d559944bfd89e7332623e0aea3"/>
                    <w:id w:val="4803713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68585365" w14:textId="77777777" w:rsidR="00BD516E" w:rsidRPr="00F7004D" w:rsidRDefault="00BD516E" w:rsidP="00875540">
                        <w:pPr>
                          <w:ind w:firstLineChars="100" w:firstLine="210"/>
                          <w:rPr>
                            <w:szCs w:val="21"/>
                          </w:rPr>
                        </w:pPr>
                        <w:r w:rsidRPr="00F7004D">
                          <w:rPr>
                            <w:rFonts w:hint="eastAsia"/>
                            <w:szCs w:val="21"/>
                          </w:rPr>
                          <w:t>加：营业外收入</w:t>
                        </w:r>
                      </w:p>
                    </w:tc>
                  </w:sdtContent>
                </w:sdt>
                <w:tc>
                  <w:tcPr>
                    <w:tcW w:w="838" w:type="pct"/>
                    <w:tcBorders>
                      <w:top w:val="outset" w:sz="4" w:space="0" w:color="auto"/>
                      <w:left w:val="outset" w:sz="4" w:space="0" w:color="auto"/>
                      <w:bottom w:val="outset" w:sz="4" w:space="0" w:color="auto"/>
                      <w:right w:val="outset" w:sz="4" w:space="0" w:color="auto"/>
                    </w:tcBorders>
                  </w:tcPr>
                  <w:p w14:paraId="1F84457A" w14:textId="77777777" w:rsidR="00BD516E" w:rsidRPr="00F7004D" w:rsidRDefault="00BD516E" w:rsidP="00875540">
                    <w:pPr>
                      <w:rPr>
                        <w:szCs w:val="21"/>
                      </w:rPr>
                    </w:pPr>
                    <w:r w:rsidRPr="00F7004D">
                      <w:rPr>
                        <w:rFonts w:hint="eastAsia"/>
                        <w:szCs w:val="21"/>
                      </w:rPr>
                      <w:t>七、74</w:t>
                    </w:r>
                  </w:p>
                </w:tc>
                <w:tc>
                  <w:tcPr>
                    <w:tcW w:w="1110" w:type="pct"/>
                    <w:tcBorders>
                      <w:top w:val="outset" w:sz="4" w:space="0" w:color="auto"/>
                      <w:left w:val="outset" w:sz="4" w:space="0" w:color="auto"/>
                      <w:bottom w:val="outset" w:sz="4" w:space="0" w:color="auto"/>
                      <w:right w:val="outset" w:sz="4" w:space="0" w:color="auto"/>
                    </w:tcBorders>
                    <w:vAlign w:val="center"/>
                  </w:tcPr>
                  <w:p w14:paraId="306A0F7F" w14:textId="77777777" w:rsidR="00BD516E" w:rsidRPr="00F7004D" w:rsidRDefault="00BD516E" w:rsidP="00875540">
                    <w:pPr>
                      <w:jc w:val="right"/>
                      <w:rPr>
                        <w:sz w:val="22"/>
                      </w:rPr>
                    </w:pPr>
                    <w:r w:rsidRPr="00F7004D">
                      <w:rPr>
                        <w:rFonts w:hint="eastAsia"/>
                        <w:sz w:val="22"/>
                      </w:rPr>
                      <w:t>583,967.12</w:t>
                    </w:r>
                  </w:p>
                </w:tc>
                <w:tc>
                  <w:tcPr>
                    <w:tcW w:w="1114" w:type="pct"/>
                    <w:tcBorders>
                      <w:top w:val="outset" w:sz="4" w:space="0" w:color="auto"/>
                      <w:left w:val="outset" w:sz="4" w:space="0" w:color="auto"/>
                      <w:bottom w:val="outset" w:sz="4" w:space="0" w:color="auto"/>
                      <w:right w:val="outset" w:sz="4" w:space="0" w:color="auto"/>
                    </w:tcBorders>
                    <w:vAlign w:val="center"/>
                  </w:tcPr>
                  <w:p w14:paraId="6FE13B1F" w14:textId="77777777" w:rsidR="00BD516E" w:rsidRPr="00F7004D" w:rsidRDefault="00BD516E" w:rsidP="00875540">
                    <w:pPr>
                      <w:jc w:val="right"/>
                      <w:rPr>
                        <w:sz w:val="22"/>
                      </w:rPr>
                    </w:pPr>
                    <w:r w:rsidRPr="00F7004D">
                      <w:rPr>
                        <w:rFonts w:hint="eastAsia"/>
                        <w:sz w:val="22"/>
                      </w:rPr>
                      <w:t>1,262,541.69</w:t>
                    </w:r>
                  </w:p>
                </w:tc>
              </w:tr>
              <w:tr w:rsidR="00BD516E" w:rsidRPr="00F7004D" w14:paraId="336B56BE" w14:textId="77777777" w:rsidTr="00875540">
                <w:sdt>
                  <w:sdtPr>
                    <w:tag w:val="_PLD_862b6a23799a4cfdb3792bfc43248bcd"/>
                    <w:id w:val="-29599319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351E22F6" w14:textId="77777777" w:rsidR="00BD516E" w:rsidRPr="00F7004D" w:rsidRDefault="00BD516E" w:rsidP="00875540">
                        <w:pPr>
                          <w:ind w:firstLineChars="100" w:firstLine="210"/>
                          <w:rPr>
                            <w:szCs w:val="21"/>
                          </w:rPr>
                        </w:pPr>
                        <w:r w:rsidRPr="00F7004D">
                          <w:rPr>
                            <w:rFonts w:hint="eastAsia"/>
                            <w:szCs w:val="21"/>
                          </w:rPr>
                          <w:t>减：营业外支出</w:t>
                        </w:r>
                      </w:p>
                    </w:tc>
                  </w:sdtContent>
                </w:sdt>
                <w:tc>
                  <w:tcPr>
                    <w:tcW w:w="838" w:type="pct"/>
                    <w:tcBorders>
                      <w:top w:val="outset" w:sz="4" w:space="0" w:color="auto"/>
                      <w:left w:val="outset" w:sz="4" w:space="0" w:color="auto"/>
                      <w:bottom w:val="outset" w:sz="4" w:space="0" w:color="auto"/>
                      <w:right w:val="outset" w:sz="4" w:space="0" w:color="auto"/>
                    </w:tcBorders>
                  </w:tcPr>
                  <w:p w14:paraId="602FFE66" w14:textId="77777777" w:rsidR="00BD516E" w:rsidRPr="00F7004D" w:rsidRDefault="00BD516E" w:rsidP="00875540">
                    <w:pPr>
                      <w:rPr>
                        <w:szCs w:val="21"/>
                      </w:rPr>
                    </w:pPr>
                    <w:r w:rsidRPr="00F7004D">
                      <w:rPr>
                        <w:rFonts w:hint="eastAsia"/>
                        <w:szCs w:val="21"/>
                      </w:rPr>
                      <w:t>七、75</w:t>
                    </w:r>
                  </w:p>
                </w:tc>
                <w:tc>
                  <w:tcPr>
                    <w:tcW w:w="1110" w:type="pct"/>
                    <w:tcBorders>
                      <w:top w:val="outset" w:sz="4" w:space="0" w:color="auto"/>
                      <w:left w:val="outset" w:sz="4" w:space="0" w:color="auto"/>
                      <w:bottom w:val="outset" w:sz="4" w:space="0" w:color="auto"/>
                      <w:right w:val="outset" w:sz="4" w:space="0" w:color="auto"/>
                    </w:tcBorders>
                    <w:vAlign w:val="center"/>
                  </w:tcPr>
                  <w:p w14:paraId="2C3F7063" w14:textId="77777777" w:rsidR="00BD516E" w:rsidRPr="00F7004D" w:rsidRDefault="00BD516E" w:rsidP="00875540">
                    <w:pPr>
                      <w:jc w:val="right"/>
                      <w:rPr>
                        <w:sz w:val="22"/>
                      </w:rPr>
                    </w:pPr>
                    <w:r w:rsidRPr="00F7004D">
                      <w:rPr>
                        <w:rFonts w:hint="eastAsia"/>
                        <w:sz w:val="22"/>
                      </w:rPr>
                      <w:t>164,442.22</w:t>
                    </w:r>
                  </w:p>
                </w:tc>
                <w:tc>
                  <w:tcPr>
                    <w:tcW w:w="1114" w:type="pct"/>
                    <w:tcBorders>
                      <w:top w:val="outset" w:sz="4" w:space="0" w:color="auto"/>
                      <w:left w:val="outset" w:sz="4" w:space="0" w:color="auto"/>
                      <w:bottom w:val="outset" w:sz="4" w:space="0" w:color="auto"/>
                      <w:right w:val="outset" w:sz="4" w:space="0" w:color="auto"/>
                    </w:tcBorders>
                    <w:vAlign w:val="center"/>
                  </w:tcPr>
                  <w:p w14:paraId="18C75DEF" w14:textId="77777777" w:rsidR="00BD516E" w:rsidRPr="00F7004D" w:rsidRDefault="00BD516E" w:rsidP="00875540">
                    <w:pPr>
                      <w:jc w:val="right"/>
                      <w:rPr>
                        <w:sz w:val="22"/>
                      </w:rPr>
                    </w:pPr>
                    <w:r w:rsidRPr="00F7004D">
                      <w:rPr>
                        <w:rFonts w:hint="eastAsia"/>
                        <w:sz w:val="22"/>
                      </w:rPr>
                      <w:t>589,190.45</w:t>
                    </w:r>
                  </w:p>
                </w:tc>
              </w:tr>
              <w:tr w:rsidR="00BD516E" w:rsidRPr="00F7004D" w14:paraId="7E21FF7F" w14:textId="77777777" w:rsidTr="00875540">
                <w:sdt>
                  <w:sdtPr>
                    <w:tag w:val="_PLD_91e0599aa02a45b39a5b0dfc801cbadf"/>
                    <w:id w:val="202482641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37EB845A" w14:textId="77777777" w:rsidR="00BD516E" w:rsidRPr="00F7004D" w:rsidRDefault="00BD516E" w:rsidP="00875540">
                        <w:pPr>
                          <w:rPr>
                            <w:color w:val="000000"/>
                            <w:szCs w:val="21"/>
                          </w:rPr>
                        </w:pPr>
                        <w:r w:rsidRPr="00F7004D">
                          <w:rPr>
                            <w:rFonts w:hint="eastAsia"/>
                            <w:szCs w:val="21"/>
                          </w:rPr>
                          <w:t>四、利润总额（亏损总额以</w:t>
                        </w:r>
                        <w:r w:rsidRPr="00F7004D">
                          <w:rPr>
                            <w:szCs w:val="21"/>
                          </w:rPr>
                          <w:t>“</w:t>
                        </w:r>
                        <w:r w:rsidRPr="00F7004D">
                          <w:rPr>
                            <w:rFonts w:hint="eastAsia"/>
                            <w:szCs w:val="21"/>
                          </w:rPr>
                          <w:t>－</w:t>
                        </w:r>
                        <w:r w:rsidRPr="00F7004D">
                          <w:rPr>
                            <w:szCs w:val="21"/>
                          </w:rPr>
                          <w:t>”</w:t>
                        </w:r>
                        <w:r w:rsidRPr="00F7004D">
                          <w:rPr>
                            <w:rFonts w:hint="eastAsia"/>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14:paraId="6141358D" w14:textId="77777777" w:rsidR="00BD516E" w:rsidRPr="00F7004D" w:rsidRDefault="00BD516E" w:rsidP="00875540">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1DB05FA8" w14:textId="77777777" w:rsidR="00BD516E" w:rsidRPr="00F7004D" w:rsidRDefault="00BD516E" w:rsidP="00875540">
                    <w:pPr>
                      <w:jc w:val="right"/>
                      <w:rPr>
                        <w:sz w:val="22"/>
                      </w:rPr>
                    </w:pPr>
                    <w:r w:rsidRPr="00F7004D">
                      <w:rPr>
                        <w:rFonts w:hint="eastAsia"/>
                        <w:sz w:val="22"/>
                      </w:rPr>
                      <w:t>1,230,076.37</w:t>
                    </w:r>
                  </w:p>
                </w:tc>
                <w:tc>
                  <w:tcPr>
                    <w:tcW w:w="1114" w:type="pct"/>
                    <w:tcBorders>
                      <w:top w:val="outset" w:sz="4" w:space="0" w:color="auto"/>
                      <w:left w:val="outset" w:sz="4" w:space="0" w:color="auto"/>
                      <w:bottom w:val="outset" w:sz="4" w:space="0" w:color="auto"/>
                      <w:right w:val="outset" w:sz="4" w:space="0" w:color="auto"/>
                    </w:tcBorders>
                    <w:vAlign w:val="center"/>
                  </w:tcPr>
                  <w:p w14:paraId="1252660F" w14:textId="77777777" w:rsidR="00BD516E" w:rsidRPr="00F7004D" w:rsidRDefault="00BD516E" w:rsidP="00875540">
                    <w:pPr>
                      <w:jc w:val="right"/>
                      <w:rPr>
                        <w:sz w:val="22"/>
                      </w:rPr>
                    </w:pPr>
                    <w:r w:rsidRPr="00F7004D">
                      <w:rPr>
                        <w:rFonts w:hint="eastAsia"/>
                        <w:sz w:val="22"/>
                      </w:rPr>
                      <w:t>-36,455,316.94</w:t>
                    </w:r>
                  </w:p>
                </w:tc>
              </w:tr>
              <w:tr w:rsidR="00BD516E" w:rsidRPr="00F7004D" w14:paraId="7B969F6F" w14:textId="77777777" w:rsidTr="00875540">
                <w:sdt>
                  <w:sdtPr>
                    <w:tag w:val="_PLD_068015dc8ea145fca7f54b4569a31184"/>
                    <w:id w:val="-88795347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7953B839" w14:textId="77777777" w:rsidR="00BD516E" w:rsidRPr="00F7004D" w:rsidRDefault="00BD516E" w:rsidP="00875540">
                        <w:pPr>
                          <w:ind w:firstLineChars="100" w:firstLine="210"/>
                          <w:rPr>
                            <w:color w:val="000000"/>
                            <w:szCs w:val="21"/>
                          </w:rPr>
                        </w:pPr>
                        <w:r w:rsidRPr="00F7004D">
                          <w:rPr>
                            <w:rFonts w:hint="eastAsia"/>
                            <w:szCs w:val="21"/>
                          </w:rPr>
                          <w:t>减：所得税费用</w:t>
                        </w:r>
                      </w:p>
                    </w:tc>
                  </w:sdtContent>
                </w:sdt>
                <w:tc>
                  <w:tcPr>
                    <w:tcW w:w="838" w:type="pct"/>
                    <w:tcBorders>
                      <w:top w:val="outset" w:sz="4" w:space="0" w:color="auto"/>
                      <w:left w:val="outset" w:sz="4" w:space="0" w:color="auto"/>
                      <w:bottom w:val="outset" w:sz="4" w:space="0" w:color="auto"/>
                      <w:right w:val="outset" w:sz="4" w:space="0" w:color="auto"/>
                    </w:tcBorders>
                  </w:tcPr>
                  <w:p w14:paraId="1BCF641C" w14:textId="77777777" w:rsidR="00BD516E" w:rsidRPr="00F7004D" w:rsidRDefault="00BD516E" w:rsidP="00875540">
                    <w:pPr>
                      <w:rPr>
                        <w:szCs w:val="21"/>
                      </w:rPr>
                    </w:pPr>
                    <w:r w:rsidRPr="00F7004D">
                      <w:rPr>
                        <w:rFonts w:hint="eastAsia"/>
                        <w:szCs w:val="21"/>
                      </w:rPr>
                      <w:t>七、76</w:t>
                    </w:r>
                  </w:p>
                </w:tc>
                <w:tc>
                  <w:tcPr>
                    <w:tcW w:w="1110" w:type="pct"/>
                    <w:tcBorders>
                      <w:top w:val="outset" w:sz="4" w:space="0" w:color="auto"/>
                      <w:left w:val="outset" w:sz="4" w:space="0" w:color="auto"/>
                      <w:bottom w:val="outset" w:sz="4" w:space="0" w:color="auto"/>
                      <w:right w:val="outset" w:sz="4" w:space="0" w:color="auto"/>
                    </w:tcBorders>
                    <w:vAlign w:val="center"/>
                  </w:tcPr>
                  <w:p w14:paraId="7E405452" w14:textId="77777777" w:rsidR="00BD516E" w:rsidRPr="00F7004D" w:rsidRDefault="00BD516E" w:rsidP="00875540">
                    <w:pPr>
                      <w:jc w:val="right"/>
                      <w:rPr>
                        <w:sz w:val="22"/>
                      </w:rPr>
                    </w:pPr>
                    <w:r w:rsidRPr="00F7004D">
                      <w:rPr>
                        <w:rFonts w:hint="eastAsia"/>
                        <w:sz w:val="22"/>
                      </w:rPr>
                      <w:t>1,848,837.74</w:t>
                    </w:r>
                  </w:p>
                </w:tc>
                <w:tc>
                  <w:tcPr>
                    <w:tcW w:w="1114" w:type="pct"/>
                    <w:tcBorders>
                      <w:top w:val="outset" w:sz="4" w:space="0" w:color="auto"/>
                      <w:left w:val="outset" w:sz="4" w:space="0" w:color="auto"/>
                      <w:bottom w:val="outset" w:sz="4" w:space="0" w:color="auto"/>
                      <w:right w:val="outset" w:sz="4" w:space="0" w:color="auto"/>
                    </w:tcBorders>
                    <w:vAlign w:val="center"/>
                  </w:tcPr>
                  <w:p w14:paraId="04EFB8F1" w14:textId="77777777" w:rsidR="00BD516E" w:rsidRPr="00F7004D" w:rsidRDefault="00BD516E" w:rsidP="00875540">
                    <w:pPr>
                      <w:jc w:val="right"/>
                      <w:rPr>
                        <w:sz w:val="22"/>
                      </w:rPr>
                    </w:pPr>
                    <w:r w:rsidRPr="00F7004D">
                      <w:rPr>
                        <w:rFonts w:hint="eastAsia"/>
                        <w:sz w:val="22"/>
                      </w:rPr>
                      <w:t>990,695.35</w:t>
                    </w:r>
                  </w:p>
                </w:tc>
              </w:tr>
              <w:tr w:rsidR="00BD516E" w:rsidRPr="00F7004D" w14:paraId="6930C0F0" w14:textId="77777777" w:rsidTr="00875540">
                <w:sdt>
                  <w:sdtPr>
                    <w:tag w:val="_PLD_355129e4ca9b4d29bd85d210d08f622f"/>
                    <w:id w:val="126550058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5C6F53C4" w14:textId="77777777" w:rsidR="00BD516E" w:rsidRPr="00F7004D" w:rsidRDefault="00BD516E" w:rsidP="00875540">
                        <w:pPr>
                          <w:rPr>
                            <w:color w:val="000000"/>
                            <w:szCs w:val="21"/>
                          </w:rPr>
                        </w:pPr>
                        <w:r w:rsidRPr="00F7004D">
                          <w:rPr>
                            <w:rFonts w:hint="eastAsia"/>
                            <w:szCs w:val="21"/>
                          </w:rPr>
                          <w:t>五、净利润（净亏损以</w:t>
                        </w:r>
                        <w:r w:rsidRPr="00F7004D">
                          <w:rPr>
                            <w:szCs w:val="21"/>
                          </w:rPr>
                          <w:t>“</w:t>
                        </w:r>
                        <w:r w:rsidRPr="00F7004D">
                          <w:rPr>
                            <w:rFonts w:hint="eastAsia"/>
                            <w:szCs w:val="21"/>
                          </w:rPr>
                          <w:t>－</w:t>
                        </w:r>
                        <w:r w:rsidRPr="00F7004D">
                          <w:rPr>
                            <w:szCs w:val="21"/>
                          </w:rPr>
                          <w:t>”</w:t>
                        </w:r>
                        <w:r w:rsidRPr="00F7004D">
                          <w:rPr>
                            <w:rFonts w:hint="eastAsia"/>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14:paraId="35ED7C84" w14:textId="77777777" w:rsidR="00BD516E" w:rsidRPr="00F7004D" w:rsidRDefault="00BD516E" w:rsidP="00875540">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72CEA685" w14:textId="77777777" w:rsidR="00BD516E" w:rsidRPr="00F7004D" w:rsidRDefault="00BD516E" w:rsidP="00875540">
                    <w:pPr>
                      <w:jc w:val="right"/>
                      <w:rPr>
                        <w:sz w:val="22"/>
                      </w:rPr>
                    </w:pPr>
                    <w:r w:rsidRPr="00F7004D">
                      <w:rPr>
                        <w:rFonts w:hint="eastAsia"/>
                        <w:sz w:val="22"/>
                      </w:rPr>
                      <w:t>-618,761.37</w:t>
                    </w:r>
                  </w:p>
                </w:tc>
                <w:tc>
                  <w:tcPr>
                    <w:tcW w:w="1114" w:type="pct"/>
                    <w:tcBorders>
                      <w:top w:val="outset" w:sz="4" w:space="0" w:color="auto"/>
                      <w:left w:val="outset" w:sz="4" w:space="0" w:color="auto"/>
                      <w:bottom w:val="outset" w:sz="4" w:space="0" w:color="auto"/>
                      <w:right w:val="outset" w:sz="4" w:space="0" w:color="auto"/>
                    </w:tcBorders>
                    <w:vAlign w:val="center"/>
                  </w:tcPr>
                  <w:p w14:paraId="7CD742F6" w14:textId="77777777" w:rsidR="00BD516E" w:rsidRPr="00F7004D" w:rsidRDefault="00BD516E" w:rsidP="00875540">
                    <w:pPr>
                      <w:jc w:val="right"/>
                      <w:rPr>
                        <w:sz w:val="22"/>
                      </w:rPr>
                    </w:pPr>
                    <w:r w:rsidRPr="00F7004D">
                      <w:rPr>
                        <w:rFonts w:hint="eastAsia"/>
                        <w:sz w:val="22"/>
                      </w:rPr>
                      <w:t>-37,446,012.29</w:t>
                    </w:r>
                  </w:p>
                </w:tc>
              </w:tr>
              <w:tr w:rsidR="00BD516E" w:rsidRPr="00F7004D" w14:paraId="15348D66" w14:textId="77777777" w:rsidTr="00875540">
                <w:sdt>
                  <w:sdtPr>
                    <w:rPr>
                      <w:sz w:val="22"/>
                    </w:rPr>
                    <w:tag w:val="_PLD_c576a2f5fbec4ba2b1cc36d0a215ba5c"/>
                    <w:id w:val="-1581743787"/>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0E66B4D8" w14:textId="77777777" w:rsidR="00BD516E" w:rsidRPr="00F7004D" w:rsidRDefault="00BD516E" w:rsidP="00875540">
                        <w:pPr>
                          <w:rPr>
                            <w:sz w:val="22"/>
                          </w:rPr>
                        </w:pPr>
                        <w:r w:rsidRPr="00F7004D">
                          <w:rPr>
                            <w:rFonts w:hint="eastAsia"/>
                            <w:sz w:val="22"/>
                          </w:rPr>
                          <w:t>（一）</w:t>
                        </w:r>
                        <w:r w:rsidRPr="00F7004D">
                          <w:rPr>
                            <w:sz w:val="22"/>
                          </w:rPr>
                          <w:t>按经营持续性分类</w:t>
                        </w:r>
                      </w:p>
                    </w:tc>
                  </w:sdtContent>
                </w:sdt>
              </w:tr>
              <w:tr w:rsidR="00BD516E" w:rsidRPr="00F7004D" w14:paraId="270EABC3" w14:textId="77777777" w:rsidTr="00875540">
                <w:sdt>
                  <w:sdtPr>
                    <w:rPr>
                      <w:rFonts w:hint="eastAsia"/>
                    </w:rPr>
                    <w:tag w:val="_PLD_0cbbecfa36204e9cb4a8afb27df49afc"/>
                    <w:id w:val="-11429252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1C214E1C" w14:textId="77777777" w:rsidR="00BD516E" w:rsidRPr="00F7004D" w:rsidRDefault="00BD516E" w:rsidP="00875540">
                        <w:pPr>
                          <w:ind w:firstLineChars="200" w:firstLine="420"/>
                        </w:pPr>
                        <w:r w:rsidRPr="00F7004D">
                          <w:t>1.持续经营净利润（净亏损以“－”号填列）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14:paraId="44BE49A9" w14:textId="77777777" w:rsidR="00BD516E" w:rsidRPr="00F7004D" w:rsidRDefault="00BD516E" w:rsidP="00875540">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531CA8CB" w14:textId="77777777" w:rsidR="00BD516E" w:rsidRPr="00F7004D" w:rsidRDefault="00BD516E" w:rsidP="00875540">
                    <w:pPr>
                      <w:jc w:val="right"/>
                      <w:rPr>
                        <w:sz w:val="22"/>
                      </w:rPr>
                    </w:pPr>
                    <w:r w:rsidRPr="00F7004D">
                      <w:rPr>
                        <w:rFonts w:hint="eastAsia"/>
                        <w:sz w:val="22"/>
                      </w:rPr>
                      <w:t>-618,761.37</w:t>
                    </w:r>
                  </w:p>
                </w:tc>
                <w:tc>
                  <w:tcPr>
                    <w:tcW w:w="1114" w:type="pct"/>
                    <w:tcBorders>
                      <w:top w:val="outset" w:sz="4" w:space="0" w:color="auto"/>
                      <w:left w:val="outset" w:sz="4" w:space="0" w:color="auto"/>
                      <w:bottom w:val="outset" w:sz="4" w:space="0" w:color="auto"/>
                      <w:right w:val="outset" w:sz="4" w:space="0" w:color="auto"/>
                    </w:tcBorders>
                    <w:vAlign w:val="center"/>
                  </w:tcPr>
                  <w:p w14:paraId="0D8449C4" w14:textId="77777777" w:rsidR="00BD516E" w:rsidRPr="00F7004D" w:rsidRDefault="00BD516E" w:rsidP="00875540">
                    <w:pPr>
                      <w:jc w:val="right"/>
                      <w:rPr>
                        <w:sz w:val="22"/>
                      </w:rPr>
                    </w:pPr>
                    <w:r w:rsidRPr="00F7004D">
                      <w:rPr>
                        <w:rFonts w:hint="eastAsia"/>
                        <w:sz w:val="22"/>
                      </w:rPr>
                      <w:t>-37,446,012.29</w:t>
                    </w:r>
                  </w:p>
                </w:tc>
              </w:tr>
              <w:tr w:rsidR="00BD516E" w:rsidRPr="00F7004D" w14:paraId="3CDA9DE8" w14:textId="77777777" w:rsidTr="00875540">
                <w:sdt>
                  <w:sdtPr>
                    <w:rPr>
                      <w:rFonts w:hint="eastAsia"/>
                    </w:rPr>
                    <w:tag w:val="_PLD_52694b4d274c4f909bf793dd26abeda4"/>
                    <w:id w:val="-67217791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78E01D38" w14:textId="77777777" w:rsidR="00BD516E" w:rsidRPr="00F7004D" w:rsidRDefault="00BD516E" w:rsidP="00875540">
                        <w:pPr>
                          <w:ind w:firstLineChars="200" w:firstLine="420"/>
                        </w:pPr>
                        <w:r w:rsidRPr="00F7004D">
                          <w:t>2.终止经营净利润（净亏损以“－”号填列）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14:paraId="48CDF530" w14:textId="77777777" w:rsidR="00BD516E" w:rsidRPr="00F7004D" w:rsidRDefault="00BD516E" w:rsidP="00875540">
                    <w:pPr>
                      <w:rPr>
                        <w:szCs w:val="21"/>
                      </w:rPr>
                    </w:pPr>
                  </w:p>
                </w:tc>
                <w:tc>
                  <w:tcPr>
                    <w:tcW w:w="1110" w:type="pct"/>
                    <w:tcBorders>
                      <w:top w:val="outset" w:sz="4" w:space="0" w:color="auto"/>
                      <w:left w:val="outset" w:sz="4" w:space="0" w:color="auto"/>
                      <w:bottom w:val="outset" w:sz="4" w:space="0" w:color="auto"/>
                      <w:right w:val="outset" w:sz="4" w:space="0" w:color="auto"/>
                    </w:tcBorders>
                  </w:tcPr>
                  <w:p w14:paraId="2044186B" w14:textId="77777777" w:rsidR="00BD516E" w:rsidRPr="00F7004D" w:rsidRDefault="00BD516E" w:rsidP="00875540">
                    <w:pPr>
                      <w:jc w:val="right"/>
                      <w:rPr>
                        <w:sz w:val="22"/>
                      </w:rPr>
                    </w:pPr>
                  </w:p>
                </w:tc>
                <w:tc>
                  <w:tcPr>
                    <w:tcW w:w="1114" w:type="pct"/>
                    <w:tcBorders>
                      <w:top w:val="outset" w:sz="4" w:space="0" w:color="auto"/>
                      <w:left w:val="outset" w:sz="4" w:space="0" w:color="auto"/>
                      <w:bottom w:val="outset" w:sz="4" w:space="0" w:color="auto"/>
                      <w:right w:val="outset" w:sz="4" w:space="0" w:color="auto"/>
                    </w:tcBorders>
                  </w:tcPr>
                  <w:p w14:paraId="6F697C83" w14:textId="77777777" w:rsidR="00BD516E" w:rsidRPr="00F7004D" w:rsidRDefault="00BD516E" w:rsidP="00875540">
                    <w:pPr>
                      <w:jc w:val="right"/>
                      <w:rPr>
                        <w:sz w:val="22"/>
                      </w:rPr>
                    </w:pPr>
                  </w:p>
                </w:tc>
              </w:tr>
              <w:tr w:rsidR="00BD516E" w:rsidRPr="00F7004D" w14:paraId="5EFE0F4F" w14:textId="77777777" w:rsidTr="00875540">
                <w:sdt>
                  <w:sdtPr>
                    <w:rPr>
                      <w:sz w:val="22"/>
                    </w:rPr>
                    <w:tag w:val="_PLD_5da729560f54464cbcc9ce762078f9ba"/>
                    <w:id w:val="-1567020342"/>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29E8B1E9" w14:textId="77777777" w:rsidR="00BD516E" w:rsidRPr="00F7004D" w:rsidRDefault="00BD516E" w:rsidP="00875540">
                        <w:pPr>
                          <w:rPr>
                            <w:sz w:val="22"/>
                          </w:rPr>
                        </w:pPr>
                        <w:r w:rsidRPr="00F7004D">
                          <w:rPr>
                            <w:rFonts w:hint="eastAsia"/>
                            <w:sz w:val="22"/>
                          </w:rPr>
                          <w:t>（二）</w:t>
                        </w:r>
                        <w:r w:rsidRPr="00F7004D">
                          <w:rPr>
                            <w:sz w:val="22"/>
                          </w:rPr>
                          <w:t>按所有权归属分类</w:t>
                        </w:r>
                      </w:p>
                    </w:tc>
                  </w:sdtContent>
                </w:sdt>
              </w:tr>
              <w:tr w:rsidR="00BD516E" w:rsidRPr="00F7004D" w14:paraId="0E1E8064" w14:textId="77777777" w:rsidTr="00875540">
                <w:sdt>
                  <w:sdtPr>
                    <w:tag w:val="_PLD_d4f7c178814a4729a89415435ac2aac1"/>
                    <w:id w:val="-47869043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539E3778" w14:textId="77777777" w:rsidR="00BD516E" w:rsidRPr="00F7004D" w:rsidRDefault="00BD516E" w:rsidP="00875540">
                        <w:pPr>
                          <w:ind w:firstLineChars="200" w:firstLine="420"/>
                          <w:rPr>
                            <w:szCs w:val="21"/>
                          </w:rPr>
                        </w:pPr>
                        <w:r w:rsidRPr="00F7004D">
                          <w:t>1.</w:t>
                        </w:r>
                        <w:r w:rsidRPr="00F7004D">
                          <w:rPr>
                            <w:rFonts w:hint="eastAsia"/>
                            <w:szCs w:val="21"/>
                          </w:rPr>
                          <w:t>归属于母</w:t>
                        </w:r>
                        <w:r w:rsidRPr="00F7004D">
                          <w:rPr>
                            <w:rFonts w:hint="eastAsia"/>
                          </w:rPr>
                          <w:t>公司</w:t>
                        </w:r>
                        <w:r w:rsidRPr="00F7004D">
                          <w:rPr>
                            <w:rFonts w:hint="eastAsia"/>
                            <w:szCs w:val="21"/>
                          </w:rPr>
                          <w:t>股东的净利润（净亏损以“</w:t>
                        </w:r>
                        <w:r w:rsidRPr="00F7004D">
                          <w:rPr>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14:paraId="77C2D467" w14:textId="77777777" w:rsidR="00BD516E" w:rsidRPr="00F7004D" w:rsidRDefault="00BD516E" w:rsidP="00875540">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085B5D25" w14:textId="77777777" w:rsidR="00BD516E" w:rsidRPr="00F7004D" w:rsidRDefault="00BD516E" w:rsidP="00875540">
                    <w:pPr>
                      <w:jc w:val="right"/>
                      <w:rPr>
                        <w:sz w:val="22"/>
                      </w:rPr>
                    </w:pPr>
                    <w:r w:rsidRPr="00F7004D">
                      <w:rPr>
                        <w:rFonts w:hint="eastAsia"/>
                        <w:sz w:val="22"/>
                      </w:rPr>
                      <w:t>-1,313,304.91</w:t>
                    </w:r>
                  </w:p>
                </w:tc>
                <w:tc>
                  <w:tcPr>
                    <w:tcW w:w="1114" w:type="pct"/>
                    <w:tcBorders>
                      <w:top w:val="outset" w:sz="4" w:space="0" w:color="auto"/>
                      <w:left w:val="outset" w:sz="4" w:space="0" w:color="auto"/>
                      <w:bottom w:val="outset" w:sz="4" w:space="0" w:color="auto"/>
                      <w:right w:val="outset" w:sz="4" w:space="0" w:color="auto"/>
                    </w:tcBorders>
                    <w:vAlign w:val="center"/>
                  </w:tcPr>
                  <w:p w14:paraId="3411134F" w14:textId="77777777" w:rsidR="00BD516E" w:rsidRPr="00F7004D" w:rsidRDefault="00BD516E" w:rsidP="00875540">
                    <w:pPr>
                      <w:jc w:val="right"/>
                      <w:rPr>
                        <w:sz w:val="22"/>
                      </w:rPr>
                    </w:pPr>
                    <w:r w:rsidRPr="00F7004D">
                      <w:rPr>
                        <w:rFonts w:hint="eastAsia"/>
                        <w:sz w:val="22"/>
                      </w:rPr>
                      <w:t>-24,089,791.77</w:t>
                    </w:r>
                  </w:p>
                </w:tc>
              </w:tr>
              <w:tr w:rsidR="00BD516E" w:rsidRPr="00F7004D" w14:paraId="0D54D5AD" w14:textId="77777777" w:rsidTr="00875540">
                <w:sdt>
                  <w:sdtPr>
                    <w:tag w:val="_PLD_095b31d3979943dc85b47d9a42d89a91"/>
                    <w:id w:val="160575866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433022C4" w14:textId="77777777" w:rsidR="00BD516E" w:rsidRPr="00F7004D" w:rsidRDefault="00BD516E" w:rsidP="00875540">
                        <w:pPr>
                          <w:ind w:firstLineChars="200" w:firstLine="420"/>
                          <w:rPr>
                            <w:szCs w:val="21"/>
                          </w:rPr>
                        </w:pPr>
                        <w:r w:rsidRPr="00F7004D">
                          <w:t>2.</w:t>
                        </w:r>
                        <w:r w:rsidRPr="00F7004D">
                          <w:rPr>
                            <w:rFonts w:hint="eastAsia"/>
                            <w:szCs w:val="21"/>
                          </w:rPr>
                          <w:t>少数股东损益（净亏损以“</w:t>
                        </w:r>
                        <w:r w:rsidRPr="00F7004D">
                          <w:rPr>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14:paraId="28B29A03" w14:textId="77777777" w:rsidR="00BD516E" w:rsidRPr="00F7004D" w:rsidRDefault="00BD516E" w:rsidP="00875540">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66CB32A3" w14:textId="77777777" w:rsidR="00BD516E" w:rsidRPr="00F7004D" w:rsidRDefault="00BD516E" w:rsidP="00875540">
                    <w:pPr>
                      <w:jc w:val="right"/>
                      <w:rPr>
                        <w:sz w:val="22"/>
                      </w:rPr>
                    </w:pPr>
                    <w:r w:rsidRPr="00F7004D">
                      <w:rPr>
                        <w:rFonts w:hint="eastAsia"/>
                        <w:sz w:val="22"/>
                      </w:rPr>
                      <w:t>694,543.54</w:t>
                    </w:r>
                  </w:p>
                </w:tc>
                <w:tc>
                  <w:tcPr>
                    <w:tcW w:w="1114" w:type="pct"/>
                    <w:tcBorders>
                      <w:top w:val="outset" w:sz="4" w:space="0" w:color="auto"/>
                      <w:left w:val="outset" w:sz="4" w:space="0" w:color="auto"/>
                      <w:bottom w:val="outset" w:sz="4" w:space="0" w:color="auto"/>
                      <w:right w:val="outset" w:sz="4" w:space="0" w:color="auto"/>
                    </w:tcBorders>
                    <w:vAlign w:val="center"/>
                  </w:tcPr>
                  <w:p w14:paraId="1C629758" w14:textId="77777777" w:rsidR="00BD516E" w:rsidRPr="00F7004D" w:rsidRDefault="00BD516E" w:rsidP="00875540">
                    <w:pPr>
                      <w:jc w:val="right"/>
                      <w:rPr>
                        <w:sz w:val="22"/>
                      </w:rPr>
                    </w:pPr>
                    <w:r w:rsidRPr="00F7004D">
                      <w:rPr>
                        <w:rFonts w:hint="eastAsia"/>
                        <w:sz w:val="22"/>
                      </w:rPr>
                      <w:t>-13,356,220.52</w:t>
                    </w:r>
                  </w:p>
                </w:tc>
              </w:tr>
              <w:tr w:rsidR="00BD516E" w:rsidRPr="00F7004D" w14:paraId="7FFD0189" w14:textId="77777777" w:rsidTr="00875540">
                <w:sdt>
                  <w:sdtPr>
                    <w:tag w:val="_PLD_6a43e7f14d234c52a7ab5dff443252a7"/>
                    <w:id w:val="203346242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0A960500" w14:textId="77777777" w:rsidR="00BD516E" w:rsidRPr="00F7004D" w:rsidRDefault="00BD516E" w:rsidP="00875540">
                        <w:pPr>
                          <w:rPr>
                            <w:szCs w:val="21"/>
                          </w:rPr>
                        </w:pPr>
                        <w:r w:rsidRPr="00F7004D">
                          <w:rPr>
                            <w:rFonts w:hint="eastAsia"/>
                            <w:szCs w:val="21"/>
                          </w:rPr>
                          <w:t>六、其他综合收益的税后净额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14:paraId="384A787D" w14:textId="77777777" w:rsidR="00BD516E" w:rsidRPr="00F7004D" w:rsidRDefault="00BD516E" w:rsidP="00875540">
                    <w:pPr>
                      <w:rPr>
                        <w:szCs w:val="21"/>
                      </w:rPr>
                    </w:pPr>
                    <w:r w:rsidRPr="00F7004D">
                      <w:rPr>
                        <w:rFonts w:hint="eastAsia"/>
                        <w:szCs w:val="21"/>
                      </w:rPr>
                      <w:t>七、77</w:t>
                    </w:r>
                  </w:p>
                </w:tc>
                <w:tc>
                  <w:tcPr>
                    <w:tcW w:w="1110" w:type="pct"/>
                    <w:tcBorders>
                      <w:top w:val="outset" w:sz="4" w:space="0" w:color="auto"/>
                      <w:left w:val="outset" w:sz="4" w:space="0" w:color="auto"/>
                      <w:bottom w:val="outset" w:sz="4" w:space="0" w:color="auto"/>
                      <w:right w:val="outset" w:sz="4" w:space="0" w:color="auto"/>
                    </w:tcBorders>
                    <w:vAlign w:val="center"/>
                  </w:tcPr>
                  <w:p w14:paraId="1BFD22B0" w14:textId="77777777" w:rsidR="00BD516E" w:rsidRPr="00F7004D" w:rsidRDefault="00BD516E" w:rsidP="00875540">
                    <w:pPr>
                      <w:jc w:val="right"/>
                      <w:rPr>
                        <w:sz w:val="22"/>
                      </w:rPr>
                    </w:pPr>
                    <w:r w:rsidRPr="00F7004D">
                      <w:rPr>
                        <w:rFonts w:hint="eastAsia"/>
                        <w:sz w:val="22"/>
                      </w:rPr>
                      <w:t>-315,521.28</w:t>
                    </w:r>
                  </w:p>
                </w:tc>
                <w:tc>
                  <w:tcPr>
                    <w:tcW w:w="1114" w:type="pct"/>
                    <w:tcBorders>
                      <w:top w:val="outset" w:sz="4" w:space="0" w:color="auto"/>
                      <w:left w:val="outset" w:sz="4" w:space="0" w:color="auto"/>
                      <w:bottom w:val="outset" w:sz="4" w:space="0" w:color="auto"/>
                      <w:right w:val="outset" w:sz="4" w:space="0" w:color="auto"/>
                    </w:tcBorders>
                    <w:vAlign w:val="center"/>
                  </w:tcPr>
                  <w:p w14:paraId="59287428" w14:textId="77777777" w:rsidR="00BD516E" w:rsidRPr="00F7004D" w:rsidRDefault="00BD516E" w:rsidP="00875540">
                    <w:pPr>
                      <w:jc w:val="right"/>
                      <w:rPr>
                        <w:sz w:val="22"/>
                      </w:rPr>
                    </w:pPr>
                    <w:r w:rsidRPr="00F7004D">
                      <w:rPr>
                        <w:rFonts w:hint="eastAsia"/>
                        <w:sz w:val="22"/>
                      </w:rPr>
                      <w:t>343,846.44</w:t>
                    </w:r>
                  </w:p>
                </w:tc>
              </w:tr>
              <w:tr w:rsidR="00BD516E" w:rsidRPr="00F7004D" w14:paraId="525B7571" w14:textId="77777777" w:rsidTr="00875540">
                <w:sdt>
                  <w:sdtPr>
                    <w:tag w:val="_PLD_402e48f41e92468e9ccfc9f5b154d698"/>
                    <w:id w:val="60708996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2830F143" w14:textId="77777777" w:rsidR="00BD516E" w:rsidRPr="00F7004D" w:rsidRDefault="00BD516E" w:rsidP="00875540">
                        <w:pPr>
                          <w:ind w:firstLineChars="100" w:firstLine="210"/>
                          <w:rPr>
                            <w:szCs w:val="21"/>
                          </w:rPr>
                        </w:pPr>
                        <w:r w:rsidRPr="00F7004D">
                          <w:rPr>
                            <w:rFonts w:hint="eastAsia"/>
                            <w:szCs w:val="21"/>
                          </w:rPr>
                          <w:t>（一）归属母公司所有者的其他综合收益的税后净额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14:paraId="78A460FE" w14:textId="77777777" w:rsidR="00BD516E" w:rsidRPr="00F7004D" w:rsidRDefault="00BD516E" w:rsidP="00875540">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5529DF51" w14:textId="77777777" w:rsidR="00BD516E" w:rsidRPr="00F7004D" w:rsidRDefault="00BD516E" w:rsidP="00875540">
                    <w:pPr>
                      <w:jc w:val="right"/>
                      <w:rPr>
                        <w:sz w:val="22"/>
                      </w:rPr>
                    </w:pPr>
                    <w:r w:rsidRPr="00F7004D">
                      <w:rPr>
                        <w:rFonts w:hint="eastAsia"/>
                        <w:sz w:val="22"/>
                      </w:rPr>
                      <w:t>-286,022.69</w:t>
                    </w:r>
                  </w:p>
                </w:tc>
                <w:tc>
                  <w:tcPr>
                    <w:tcW w:w="1114" w:type="pct"/>
                    <w:tcBorders>
                      <w:top w:val="outset" w:sz="4" w:space="0" w:color="auto"/>
                      <w:left w:val="outset" w:sz="4" w:space="0" w:color="auto"/>
                      <w:bottom w:val="outset" w:sz="4" w:space="0" w:color="auto"/>
                      <w:right w:val="outset" w:sz="4" w:space="0" w:color="auto"/>
                    </w:tcBorders>
                    <w:vAlign w:val="center"/>
                  </w:tcPr>
                  <w:p w14:paraId="426907C2" w14:textId="77777777" w:rsidR="00BD516E" w:rsidRPr="00F7004D" w:rsidRDefault="00BD516E" w:rsidP="00875540">
                    <w:pPr>
                      <w:jc w:val="right"/>
                      <w:rPr>
                        <w:sz w:val="22"/>
                      </w:rPr>
                    </w:pPr>
                    <w:r w:rsidRPr="00F7004D">
                      <w:rPr>
                        <w:rFonts w:hint="eastAsia"/>
                        <w:sz w:val="22"/>
                      </w:rPr>
                      <w:t>319,559.11</w:t>
                    </w:r>
                  </w:p>
                </w:tc>
              </w:tr>
              <w:tr w:rsidR="00BD516E" w:rsidRPr="00F7004D" w14:paraId="5FBA5E55" w14:textId="77777777" w:rsidTr="00875540">
                <w:sdt>
                  <w:sdtPr>
                    <w:tag w:val="_PLD_b367f8195cde49b4861d967effb0f541"/>
                    <w:id w:val="101496765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19B55355" w14:textId="77777777" w:rsidR="00BD516E" w:rsidRPr="00F7004D" w:rsidRDefault="00BD516E" w:rsidP="00875540">
                        <w:pPr>
                          <w:ind w:firstLineChars="200" w:firstLine="420"/>
                          <w:rPr>
                            <w:szCs w:val="21"/>
                          </w:rPr>
                        </w:pPr>
                        <w:r w:rsidRPr="00F7004D">
                          <w:rPr>
                            <w:szCs w:val="21"/>
                          </w:rPr>
                          <w:t>1.</w:t>
                        </w:r>
                        <w:r w:rsidRPr="00F7004D">
                          <w:rPr>
                            <w:rFonts w:hint="eastAsia"/>
                            <w:szCs w:val="21"/>
                          </w:rPr>
                          <w:t>不能重分类进损益的其他综合收益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14:paraId="5C4AB134" w14:textId="77777777" w:rsidR="00BD516E" w:rsidRPr="00F7004D" w:rsidRDefault="00BD516E" w:rsidP="00875540">
                    <w:pPr>
                      <w:rPr>
                        <w:szCs w:val="21"/>
                      </w:rPr>
                    </w:pPr>
                  </w:p>
                </w:tc>
                <w:tc>
                  <w:tcPr>
                    <w:tcW w:w="1110" w:type="pct"/>
                    <w:tcBorders>
                      <w:top w:val="outset" w:sz="4" w:space="0" w:color="auto"/>
                      <w:left w:val="outset" w:sz="4" w:space="0" w:color="auto"/>
                      <w:bottom w:val="outset" w:sz="4" w:space="0" w:color="auto"/>
                      <w:right w:val="outset" w:sz="4" w:space="0" w:color="auto"/>
                    </w:tcBorders>
                  </w:tcPr>
                  <w:p w14:paraId="387D031D" w14:textId="77777777" w:rsidR="00BD516E" w:rsidRPr="00F7004D" w:rsidRDefault="00BD516E" w:rsidP="00875540">
                    <w:pPr>
                      <w:jc w:val="right"/>
                      <w:rPr>
                        <w:sz w:val="22"/>
                      </w:rPr>
                    </w:pPr>
                  </w:p>
                </w:tc>
                <w:tc>
                  <w:tcPr>
                    <w:tcW w:w="1114" w:type="pct"/>
                    <w:tcBorders>
                      <w:top w:val="outset" w:sz="4" w:space="0" w:color="auto"/>
                      <w:left w:val="outset" w:sz="4" w:space="0" w:color="auto"/>
                      <w:bottom w:val="outset" w:sz="4" w:space="0" w:color="auto"/>
                      <w:right w:val="outset" w:sz="4" w:space="0" w:color="auto"/>
                    </w:tcBorders>
                  </w:tcPr>
                  <w:p w14:paraId="2EED469A" w14:textId="77777777" w:rsidR="00BD516E" w:rsidRPr="00F7004D" w:rsidRDefault="00BD516E" w:rsidP="00875540">
                    <w:pPr>
                      <w:jc w:val="right"/>
                      <w:rPr>
                        <w:sz w:val="22"/>
                      </w:rPr>
                    </w:pPr>
                  </w:p>
                </w:tc>
              </w:tr>
              <w:tr w:rsidR="00BD516E" w:rsidRPr="00F7004D" w14:paraId="617D6CE7" w14:textId="77777777" w:rsidTr="00875540">
                <w:sdt>
                  <w:sdtPr>
                    <w:tag w:val="_PLD_c1d0eb5a70bd4147bff8f5ac51104882"/>
                    <w:id w:val="66783270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0BC1BB4C" w14:textId="77777777" w:rsidR="00BD516E" w:rsidRPr="00F7004D" w:rsidRDefault="00BD516E" w:rsidP="00875540">
                        <w:pPr>
                          <w:rPr>
                            <w:szCs w:val="21"/>
                          </w:rPr>
                        </w:pPr>
                        <w:r w:rsidRPr="00F7004D">
                          <w:rPr>
                            <w:rFonts w:hint="eastAsia"/>
                          </w:rPr>
                          <w:t>（1）</w:t>
                        </w:r>
                        <w:r w:rsidRPr="00F7004D">
                          <w:rPr>
                            <w:szCs w:val="21"/>
                          </w:rPr>
                          <w:t>重新计量设定受益计划变动额</w:t>
                        </w:r>
                      </w:p>
                    </w:tc>
                  </w:sdtContent>
                </w:sdt>
                <w:tc>
                  <w:tcPr>
                    <w:tcW w:w="838" w:type="pct"/>
                    <w:tcBorders>
                      <w:top w:val="outset" w:sz="4" w:space="0" w:color="auto"/>
                      <w:left w:val="outset" w:sz="4" w:space="0" w:color="auto"/>
                      <w:bottom w:val="outset" w:sz="4" w:space="0" w:color="auto"/>
                      <w:right w:val="outset" w:sz="4" w:space="0" w:color="auto"/>
                    </w:tcBorders>
                  </w:tcPr>
                  <w:p w14:paraId="223B12FA" w14:textId="77777777" w:rsidR="00BD516E" w:rsidRPr="00F7004D" w:rsidRDefault="00BD516E" w:rsidP="00875540">
                    <w:pPr>
                      <w:rPr>
                        <w:szCs w:val="21"/>
                      </w:rPr>
                    </w:pPr>
                  </w:p>
                </w:tc>
                <w:tc>
                  <w:tcPr>
                    <w:tcW w:w="1110" w:type="pct"/>
                    <w:tcBorders>
                      <w:top w:val="outset" w:sz="4" w:space="0" w:color="auto"/>
                      <w:left w:val="outset" w:sz="4" w:space="0" w:color="auto"/>
                      <w:bottom w:val="outset" w:sz="4" w:space="0" w:color="auto"/>
                      <w:right w:val="outset" w:sz="4" w:space="0" w:color="auto"/>
                    </w:tcBorders>
                  </w:tcPr>
                  <w:p w14:paraId="4F53B56B" w14:textId="77777777" w:rsidR="00BD516E" w:rsidRPr="00F7004D" w:rsidRDefault="00BD516E" w:rsidP="00875540">
                    <w:pPr>
                      <w:jc w:val="right"/>
                      <w:rPr>
                        <w:sz w:val="22"/>
                      </w:rPr>
                    </w:pPr>
                  </w:p>
                </w:tc>
                <w:tc>
                  <w:tcPr>
                    <w:tcW w:w="1114" w:type="pct"/>
                    <w:tcBorders>
                      <w:top w:val="outset" w:sz="4" w:space="0" w:color="auto"/>
                      <w:left w:val="outset" w:sz="4" w:space="0" w:color="auto"/>
                      <w:bottom w:val="outset" w:sz="4" w:space="0" w:color="auto"/>
                      <w:right w:val="outset" w:sz="4" w:space="0" w:color="auto"/>
                    </w:tcBorders>
                  </w:tcPr>
                  <w:p w14:paraId="5963B757" w14:textId="77777777" w:rsidR="00BD516E" w:rsidRPr="00F7004D" w:rsidRDefault="00BD516E" w:rsidP="00875540">
                    <w:pPr>
                      <w:jc w:val="right"/>
                      <w:rPr>
                        <w:sz w:val="22"/>
                      </w:rPr>
                    </w:pPr>
                  </w:p>
                </w:tc>
              </w:tr>
              <w:tr w:rsidR="00BD516E" w:rsidRPr="00F7004D" w14:paraId="685C8D7C" w14:textId="77777777" w:rsidTr="00875540">
                <w:sdt>
                  <w:sdtPr>
                    <w:tag w:val="_PLD_da98b29079a040128e53e7426fc30a60"/>
                    <w:id w:val="-112153075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23C7D421" w14:textId="77777777" w:rsidR="00BD516E" w:rsidRPr="00F7004D" w:rsidRDefault="00BD516E" w:rsidP="00875540">
                        <w:pPr>
                          <w:rPr>
                            <w:szCs w:val="21"/>
                          </w:rPr>
                        </w:pPr>
                        <w:r w:rsidRPr="00F7004D">
                          <w:rPr>
                            <w:rFonts w:hint="eastAsia"/>
                          </w:rPr>
                          <w:t>（</w:t>
                        </w:r>
                        <w:r w:rsidRPr="00F7004D">
                          <w:t>2</w:t>
                        </w:r>
                        <w:r w:rsidRPr="00F7004D">
                          <w:rPr>
                            <w:rFonts w:hint="eastAsia"/>
                          </w:rPr>
                          <w:t>）</w:t>
                        </w:r>
                        <w:r w:rsidRPr="00F7004D">
                          <w:t>权益法下不能转损益的其他综合收益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14:paraId="4421B348" w14:textId="77777777" w:rsidR="00BD516E" w:rsidRPr="00F7004D" w:rsidRDefault="00BD516E" w:rsidP="00875540">
                    <w:pPr>
                      <w:rPr>
                        <w:szCs w:val="21"/>
                      </w:rPr>
                    </w:pPr>
                  </w:p>
                </w:tc>
                <w:tc>
                  <w:tcPr>
                    <w:tcW w:w="1110" w:type="pct"/>
                    <w:tcBorders>
                      <w:top w:val="outset" w:sz="4" w:space="0" w:color="auto"/>
                      <w:left w:val="outset" w:sz="4" w:space="0" w:color="auto"/>
                      <w:bottom w:val="outset" w:sz="4" w:space="0" w:color="auto"/>
                      <w:right w:val="outset" w:sz="4" w:space="0" w:color="auto"/>
                    </w:tcBorders>
                  </w:tcPr>
                  <w:p w14:paraId="5BE79AF6" w14:textId="77777777" w:rsidR="00BD516E" w:rsidRPr="00F7004D" w:rsidRDefault="00BD516E" w:rsidP="00875540">
                    <w:pPr>
                      <w:jc w:val="right"/>
                      <w:rPr>
                        <w:sz w:val="22"/>
                      </w:rPr>
                    </w:pPr>
                  </w:p>
                </w:tc>
                <w:tc>
                  <w:tcPr>
                    <w:tcW w:w="1114" w:type="pct"/>
                    <w:tcBorders>
                      <w:top w:val="outset" w:sz="4" w:space="0" w:color="auto"/>
                      <w:left w:val="outset" w:sz="4" w:space="0" w:color="auto"/>
                      <w:bottom w:val="outset" w:sz="4" w:space="0" w:color="auto"/>
                      <w:right w:val="outset" w:sz="4" w:space="0" w:color="auto"/>
                    </w:tcBorders>
                  </w:tcPr>
                  <w:p w14:paraId="5F30A5FC" w14:textId="77777777" w:rsidR="00BD516E" w:rsidRPr="00F7004D" w:rsidRDefault="00BD516E" w:rsidP="00875540">
                    <w:pPr>
                      <w:jc w:val="right"/>
                      <w:rPr>
                        <w:sz w:val="22"/>
                      </w:rPr>
                    </w:pPr>
                  </w:p>
                </w:tc>
              </w:tr>
              <w:tr w:rsidR="00BD516E" w:rsidRPr="00F7004D" w14:paraId="791B57C7" w14:textId="77777777" w:rsidTr="00875540">
                <w:tc>
                  <w:tcPr>
                    <w:tcW w:w="1938" w:type="pct"/>
                    <w:tcBorders>
                      <w:top w:val="outset" w:sz="4" w:space="0" w:color="auto"/>
                      <w:left w:val="outset" w:sz="4" w:space="0" w:color="auto"/>
                      <w:bottom w:val="outset" w:sz="4" w:space="0" w:color="auto"/>
                      <w:right w:val="outset" w:sz="4" w:space="0" w:color="auto"/>
                    </w:tcBorders>
                    <w:vAlign w:val="center"/>
                  </w:tcPr>
                  <w:sdt>
                    <w:sdtPr>
                      <w:tag w:val="_PLD_9346e4819ec34beabe92d365c497e001"/>
                      <w:id w:val="405275953"/>
                      <w:lock w:val="sdtLocked"/>
                    </w:sdtPr>
                    <w:sdtEndPr/>
                    <w:sdtContent>
                      <w:p w14:paraId="41ACBF30" w14:textId="77777777" w:rsidR="00BD516E" w:rsidRPr="00F7004D" w:rsidRDefault="00BD516E" w:rsidP="00875540">
                        <w:r w:rsidRPr="00F7004D">
                          <w:rPr>
                            <w:rFonts w:hint="eastAsia"/>
                          </w:rPr>
                          <w:t>（3）</w:t>
                        </w:r>
                        <w:r w:rsidRPr="00F7004D">
                          <w:t>其他权益工具投资公允价值变动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14:paraId="1B2F78EB" w14:textId="77777777" w:rsidR="00BD516E" w:rsidRPr="00F7004D" w:rsidRDefault="00BD516E" w:rsidP="00875540">
                    <w:pPr>
                      <w:rPr>
                        <w:szCs w:val="21"/>
                      </w:rPr>
                    </w:pPr>
                  </w:p>
                </w:tc>
                <w:tc>
                  <w:tcPr>
                    <w:tcW w:w="1110" w:type="pct"/>
                    <w:tcBorders>
                      <w:top w:val="outset" w:sz="4" w:space="0" w:color="auto"/>
                      <w:left w:val="outset" w:sz="4" w:space="0" w:color="auto"/>
                      <w:bottom w:val="outset" w:sz="4" w:space="0" w:color="auto"/>
                      <w:right w:val="outset" w:sz="4" w:space="0" w:color="auto"/>
                    </w:tcBorders>
                  </w:tcPr>
                  <w:p w14:paraId="073E991B" w14:textId="77777777" w:rsidR="00BD516E" w:rsidRPr="00F7004D" w:rsidRDefault="00BD516E" w:rsidP="00875540">
                    <w:pPr>
                      <w:jc w:val="right"/>
                      <w:rPr>
                        <w:sz w:val="22"/>
                      </w:rPr>
                    </w:pPr>
                  </w:p>
                </w:tc>
                <w:tc>
                  <w:tcPr>
                    <w:tcW w:w="1114" w:type="pct"/>
                    <w:tcBorders>
                      <w:top w:val="outset" w:sz="4" w:space="0" w:color="auto"/>
                      <w:left w:val="outset" w:sz="4" w:space="0" w:color="auto"/>
                      <w:bottom w:val="outset" w:sz="4" w:space="0" w:color="auto"/>
                      <w:right w:val="outset" w:sz="4" w:space="0" w:color="auto"/>
                    </w:tcBorders>
                  </w:tcPr>
                  <w:p w14:paraId="07844A19" w14:textId="77777777" w:rsidR="00BD516E" w:rsidRPr="00F7004D" w:rsidRDefault="00BD516E" w:rsidP="00875540">
                    <w:pPr>
                      <w:jc w:val="right"/>
                      <w:rPr>
                        <w:sz w:val="22"/>
                      </w:rPr>
                    </w:pPr>
                  </w:p>
                </w:tc>
              </w:tr>
              <w:tr w:rsidR="00BD516E" w:rsidRPr="00F7004D" w14:paraId="026DDA13" w14:textId="77777777" w:rsidTr="00875540">
                <w:tc>
                  <w:tcPr>
                    <w:tcW w:w="1938" w:type="pct"/>
                    <w:tcBorders>
                      <w:top w:val="outset" w:sz="4" w:space="0" w:color="auto"/>
                      <w:left w:val="outset" w:sz="4" w:space="0" w:color="auto"/>
                      <w:bottom w:val="outset" w:sz="4" w:space="0" w:color="auto"/>
                      <w:right w:val="outset" w:sz="4" w:space="0" w:color="auto"/>
                    </w:tcBorders>
                    <w:vAlign w:val="center"/>
                  </w:tcPr>
                  <w:sdt>
                    <w:sdtPr>
                      <w:tag w:val="_PLD_70f86b80dfa1468c8c481e18f675ad6a"/>
                      <w:id w:val="1935554701"/>
                      <w:lock w:val="sdtLocked"/>
                    </w:sdtPr>
                    <w:sdtEndPr/>
                    <w:sdtContent>
                      <w:p w14:paraId="29035E10" w14:textId="77777777" w:rsidR="00BD516E" w:rsidRPr="00F7004D" w:rsidRDefault="00BD516E" w:rsidP="00875540">
                        <w:r w:rsidRPr="00F7004D">
                          <w:rPr>
                            <w:rFonts w:hint="eastAsia"/>
                          </w:rPr>
                          <w:t>（4）</w:t>
                        </w:r>
                        <w:r w:rsidRPr="00F7004D">
                          <w:t>企业自身信用风险公允价值变动</w:t>
                        </w:r>
                      </w:p>
                    </w:sdtContent>
                  </w:sdt>
                </w:tc>
                <w:tc>
                  <w:tcPr>
                    <w:tcW w:w="838" w:type="pct"/>
                    <w:tcBorders>
                      <w:top w:val="outset" w:sz="4" w:space="0" w:color="auto"/>
                      <w:left w:val="outset" w:sz="4" w:space="0" w:color="auto"/>
                      <w:bottom w:val="outset" w:sz="4" w:space="0" w:color="auto"/>
                      <w:right w:val="outset" w:sz="4" w:space="0" w:color="auto"/>
                    </w:tcBorders>
                  </w:tcPr>
                  <w:p w14:paraId="013C4D87" w14:textId="77777777" w:rsidR="00BD516E" w:rsidRPr="00F7004D" w:rsidRDefault="00BD516E" w:rsidP="00875540">
                    <w:pPr>
                      <w:rPr>
                        <w:szCs w:val="21"/>
                      </w:rPr>
                    </w:pPr>
                  </w:p>
                </w:tc>
                <w:tc>
                  <w:tcPr>
                    <w:tcW w:w="1110" w:type="pct"/>
                    <w:tcBorders>
                      <w:top w:val="outset" w:sz="4" w:space="0" w:color="auto"/>
                      <w:left w:val="outset" w:sz="4" w:space="0" w:color="auto"/>
                      <w:bottom w:val="outset" w:sz="4" w:space="0" w:color="auto"/>
                      <w:right w:val="outset" w:sz="4" w:space="0" w:color="auto"/>
                    </w:tcBorders>
                  </w:tcPr>
                  <w:p w14:paraId="0176F2FD" w14:textId="77777777" w:rsidR="00BD516E" w:rsidRPr="00F7004D" w:rsidRDefault="00BD516E" w:rsidP="00875540">
                    <w:pPr>
                      <w:jc w:val="right"/>
                      <w:rPr>
                        <w:sz w:val="22"/>
                      </w:rPr>
                    </w:pPr>
                  </w:p>
                </w:tc>
                <w:tc>
                  <w:tcPr>
                    <w:tcW w:w="1114" w:type="pct"/>
                    <w:tcBorders>
                      <w:top w:val="outset" w:sz="4" w:space="0" w:color="auto"/>
                      <w:left w:val="outset" w:sz="4" w:space="0" w:color="auto"/>
                      <w:bottom w:val="outset" w:sz="4" w:space="0" w:color="auto"/>
                      <w:right w:val="outset" w:sz="4" w:space="0" w:color="auto"/>
                    </w:tcBorders>
                  </w:tcPr>
                  <w:p w14:paraId="4B547734" w14:textId="77777777" w:rsidR="00BD516E" w:rsidRPr="00F7004D" w:rsidRDefault="00BD516E" w:rsidP="00875540">
                    <w:pPr>
                      <w:jc w:val="right"/>
                      <w:rPr>
                        <w:sz w:val="22"/>
                      </w:rPr>
                    </w:pPr>
                  </w:p>
                </w:tc>
              </w:tr>
              <w:tr w:rsidR="00BD516E" w:rsidRPr="00F7004D" w14:paraId="4E31CF86" w14:textId="77777777" w:rsidTr="00875540">
                <w:sdt>
                  <w:sdtPr>
                    <w:tag w:val="_PLD_1d4c3625b1a9453f98b920131a00b22a"/>
                    <w:id w:val="-115522494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4B53BD67" w14:textId="77777777" w:rsidR="00BD516E" w:rsidRPr="00F7004D" w:rsidRDefault="00BD516E" w:rsidP="00875540">
                        <w:pPr>
                          <w:ind w:firstLineChars="200" w:firstLine="420"/>
                          <w:rPr>
                            <w:szCs w:val="21"/>
                          </w:rPr>
                        </w:pPr>
                        <w:r w:rsidRPr="00F7004D">
                          <w:t>2</w:t>
                        </w:r>
                        <w:r w:rsidRPr="00F7004D">
                          <w:rPr>
                            <w:szCs w:val="21"/>
                          </w:rPr>
                          <w:t>.</w:t>
                        </w:r>
                        <w:r w:rsidRPr="00F7004D">
                          <w:rPr>
                            <w:rFonts w:hint="eastAsia"/>
                            <w:szCs w:val="21"/>
                          </w:rPr>
                          <w:t>将重分类进损益的其他综合收益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14:paraId="66960297" w14:textId="77777777" w:rsidR="00BD516E" w:rsidRPr="00F7004D" w:rsidRDefault="00BD516E" w:rsidP="00875540">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23EE5A76" w14:textId="77777777" w:rsidR="00BD516E" w:rsidRPr="00F7004D" w:rsidRDefault="00BD516E" w:rsidP="00875540">
                    <w:pPr>
                      <w:jc w:val="right"/>
                      <w:rPr>
                        <w:sz w:val="22"/>
                      </w:rPr>
                    </w:pPr>
                    <w:r w:rsidRPr="00F7004D">
                      <w:rPr>
                        <w:rFonts w:hint="eastAsia"/>
                        <w:sz w:val="22"/>
                      </w:rPr>
                      <w:t>-286,022.69</w:t>
                    </w:r>
                  </w:p>
                </w:tc>
                <w:tc>
                  <w:tcPr>
                    <w:tcW w:w="1114" w:type="pct"/>
                    <w:tcBorders>
                      <w:top w:val="outset" w:sz="4" w:space="0" w:color="auto"/>
                      <w:left w:val="outset" w:sz="4" w:space="0" w:color="auto"/>
                      <w:bottom w:val="outset" w:sz="4" w:space="0" w:color="auto"/>
                      <w:right w:val="outset" w:sz="4" w:space="0" w:color="auto"/>
                    </w:tcBorders>
                    <w:vAlign w:val="center"/>
                  </w:tcPr>
                  <w:p w14:paraId="0A112129" w14:textId="77777777" w:rsidR="00BD516E" w:rsidRPr="00F7004D" w:rsidRDefault="00BD516E" w:rsidP="00875540">
                    <w:pPr>
                      <w:jc w:val="right"/>
                      <w:rPr>
                        <w:sz w:val="22"/>
                      </w:rPr>
                    </w:pPr>
                    <w:r w:rsidRPr="00F7004D">
                      <w:rPr>
                        <w:rFonts w:hint="eastAsia"/>
                        <w:sz w:val="22"/>
                      </w:rPr>
                      <w:t>319,559.11</w:t>
                    </w:r>
                  </w:p>
                </w:tc>
              </w:tr>
              <w:tr w:rsidR="00BD516E" w:rsidRPr="00F7004D" w14:paraId="709F9EFD" w14:textId="77777777" w:rsidTr="00875540">
                <w:sdt>
                  <w:sdtPr>
                    <w:tag w:val="_PLD_e78255a0eaf548199db0c5a635c041ec"/>
                    <w:id w:val="39871410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67F33945" w14:textId="77777777" w:rsidR="00BD516E" w:rsidRPr="00F7004D" w:rsidRDefault="00BD516E" w:rsidP="00875540">
                        <w:pPr>
                          <w:rPr>
                            <w:szCs w:val="21"/>
                          </w:rPr>
                        </w:pPr>
                        <w:r w:rsidRPr="00F7004D">
                          <w:rPr>
                            <w:rFonts w:hint="eastAsia"/>
                          </w:rPr>
                          <w:t>（1）</w:t>
                        </w:r>
                        <w:r w:rsidRPr="00F7004D">
                          <w:t>权益法下可转损益的其他综合收益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14:paraId="78E8F3FD" w14:textId="77777777" w:rsidR="00BD516E" w:rsidRPr="00F7004D" w:rsidRDefault="00BD516E" w:rsidP="00875540">
                    <w:pPr>
                      <w:rPr>
                        <w:szCs w:val="21"/>
                      </w:rPr>
                    </w:pPr>
                  </w:p>
                </w:tc>
                <w:tc>
                  <w:tcPr>
                    <w:tcW w:w="1110" w:type="pct"/>
                    <w:tcBorders>
                      <w:top w:val="outset" w:sz="4" w:space="0" w:color="auto"/>
                      <w:left w:val="outset" w:sz="4" w:space="0" w:color="auto"/>
                      <w:bottom w:val="outset" w:sz="4" w:space="0" w:color="auto"/>
                      <w:right w:val="outset" w:sz="4" w:space="0" w:color="auto"/>
                    </w:tcBorders>
                  </w:tcPr>
                  <w:p w14:paraId="1BE52EA4" w14:textId="77777777" w:rsidR="00BD516E" w:rsidRPr="00F7004D" w:rsidRDefault="00BD516E" w:rsidP="00875540">
                    <w:pPr>
                      <w:jc w:val="right"/>
                      <w:rPr>
                        <w:sz w:val="22"/>
                      </w:rPr>
                    </w:pPr>
                    <w:r w:rsidRPr="00F7004D">
                      <w:rPr>
                        <w:rFonts w:hint="eastAsia"/>
                        <w:sz w:val="22"/>
                      </w:rPr>
                      <w:t>-1,117.81</w:t>
                    </w:r>
                  </w:p>
                </w:tc>
                <w:tc>
                  <w:tcPr>
                    <w:tcW w:w="1114" w:type="pct"/>
                    <w:tcBorders>
                      <w:top w:val="outset" w:sz="4" w:space="0" w:color="auto"/>
                      <w:left w:val="outset" w:sz="4" w:space="0" w:color="auto"/>
                      <w:bottom w:val="outset" w:sz="4" w:space="0" w:color="auto"/>
                      <w:right w:val="outset" w:sz="4" w:space="0" w:color="auto"/>
                    </w:tcBorders>
                  </w:tcPr>
                  <w:p w14:paraId="423B1BA0" w14:textId="77777777" w:rsidR="00BD516E" w:rsidRPr="00F7004D" w:rsidRDefault="00BD516E" w:rsidP="00875540">
                    <w:pPr>
                      <w:jc w:val="right"/>
                      <w:rPr>
                        <w:sz w:val="22"/>
                      </w:rPr>
                    </w:pPr>
                  </w:p>
                </w:tc>
              </w:tr>
              <w:tr w:rsidR="00BD516E" w:rsidRPr="00F7004D" w14:paraId="5DD5ADE8" w14:textId="77777777" w:rsidTr="00875540">
                <w:tc>
                  <w:tcPr>
                    <w:tcW w:w="1938" w:type="pct"/>
                    <w:tcBorders>
                      <w:top w:val="outset" w:sz="4" w:space="0" w:color="auto"/>
                      <w:left w:val="outset" w:sz="4" w:space="0" w:color="auto"/>
                      <w:bottom w:val="outset" w:sz="4" w:space="0" w:color="auto"/>
                      <w:right w:val="outset" w:sz="4" w:space="0" w:color="auto"/>
                    </w:tcBorders>
                    <w:vAlign w:val="center"/>
                  </w:tcPr>
                  <w:sdt>
                    <w:sdtPr>
                      <w:tag w:val="_PLD_a608a9b526b94d059af9488704db19ed"/>
                      <w:id w:val="492606706"/>
                      <w:lock w:val="sdtLocked"/>
                    </w:sdtPr>
                    <w:sdtEndPr/>
                    <w:sdtContent>
                      <w:p w14:paraId="36A35642" w14:textId="77777777" w:rsidR="00BD516E" w:rsidRPr="00F7004D" w:rsidRDefault="00BD516E" w:rsidP="00875540">
                        <w:r w:rsidRPr="00F7004D">
                          <w:rPr>
                            <w:rFonts w:hint="eastAsia"/>
                          </w:rPr>
                          <w:t>（</w:t>
                        </w:r>
                        <w:r w:rsidRPr="00F7004D">
                          <w:t>2</w:t>
                        </w:r>
                        <w:r w:rsidRPr="00F7004D">
                          <w:rPr>
                            <w:rFonts w:hint="eastAsia"/>
                          </w:rPr>
                          <w:t>）</w:t>
                        </w:r>
                        <w:r w:rsidRPr="00F7004D">
                          <w:t>其他债权投资公允价值变动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14:paraId="3330EFAE" w14:textId="77777777" w:rsidR="00BD516E" w:rsidRPr="00F7004D" w:rsidRDefault="00BD516E" w:rsidP="00875540">
                    <w:pPr>
                      <w:rPr>
                        <w:szCs w:val="21"/>
                      </w:rPr>
                    </w:pPr>
                  </w:p>
                </w:tc>
                <w:tc>
                  <w:tcPr>
                    <w:tcW w:w="1110" w:type="pct"/>
                    <w:tcBorders>
                      <w:top w:val="outset" w:sz="4" w:space="0" w:color="auto"/>
                      <w:left w:val="outset" w:sz="4" w:space="0" w:color="auto"/>
                      <w:bottom w:val="outset" w:sz="4" w:space="0" w:color="auto"/>
                      <w:right w:val="outset" w:sz="4" w:space="0" w:color="auto"/>
                    </w:tcBorders>
                  </w:tcPr>
                  <w:p w14:paraId="7767A78C" w14:textId="77777777" w:rsidR="00BD516E" w:rsidRPr="00F7004D" w:rsidRDefault="00BD516E" w:rsidP="00875540">
                    <w:pPr>
                      <w:jc w:val="right"/>
                      <w:rPr>
                        <w:sz w:val="22"/>
                      </w:rPr>
                    </w:pPr>
                  </w:p>
                </w:tc>
                <w:tc>
                  <w:tcPr>
                    <w:tcW w:w="1114" w:type="pct"/>
                    <w:tcBorders>
                      <w:top w:val="outset" w:sz="4" w:space="0" w:color="auto"/>
                      <w:left w:val="outset" w:sz="4" w:space="0" w:color="auto"/>
                      <w:bottom w:val="outset" w:sz="4" w:space="0" w:color="auto"/>
                      <w:right w:val="outset" w:sz="4" w:space="0" w:color="auto"/>
                    </w:tcBorders>
                  </w:tcPr>
                  <w:p w14:paraId="5E938EAF" w14:textId="77777777" w:rsidR="00BD516E" w:rsidRPr="00F7004D" w:rsidRDefault="00BD516E" w:rsidP="00875540">
                    <w:pPr>
                      <w:jc w:val="right"/>
                      <w:rPr>
                        <w:sz w:val="22"/>
                      </w:rPr>
                    </w:pPr>
                  </w:p>
                </w:tc>
              </w:tr>
              <w:tr w:rsidR="00BD516E" w:rsidRPr="00F7004D" w14:paraId="2C97529A" w14:textId="77777777" w:rsidTr="00875540">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a9ae8ab6d184d70b8bcabf893d29ffc"/>
                      <w:id w:val="1688485182"/>
                      <w:lock w:val="sdtLocked"/>
                    </w:sdtPr>
                    <w:sdtEndPr>
                      <w:rPr>
                        <w:rFonts w:hint="default"/>
                      </w:rPr>
                    </w:sdtEndPr>
                    <w:sdtContent>
                      <w:p w14:paraId="697D916B" w14:textId="77777777" w:rsidR="00BD516E" w:rsidRPr="00F7004D" w:rsidRDefault="00BD516E" w:rsidP="00875540">
                        <w:r w:rsidRPr="00F7004D">
                          <w:rPr>
                            <w:rFonts w:hint="eastAsia"/>
                          </w:rPr>
                          <w:t>（3）</w:t>
                        </w:r>
                        <w:r w:rsidRPr="00F7004D">
                          <w:t>金融资产重分类计入其他综合收益的金额</w:t>
                        </w:r>
                      </w:p>
                    </w:sdtContent>
                  </w:sdt>
                </w:tc>
                <w:tc>
                  <w:tcPr>
                    <w:tcW w:w="838" w:type="pct"/>
                    <w:tcBorders>
                      <w:top w:val="outset" w:sz="4" w:space="0" w:color="auto"/>
                      <w:left w:val="outset" w:sz="4" w:space="0" w:color="auto"/>
                      <w:bottom w:val="outset" w:sz="4" w:space="0" w:color="auto"/>
                      <w:right w:val="outset" w:sz="4" w:space="0" w:color="auto"/>
                    </w:tcBorders>
                  </w:tcPr>
                  <w:p w14:paraId="1140A48B" w14:textId="77777777" w:rsidR="00BD516E" w:rsidRPr="00F7004D" w:rsidRDefault="00BD516E" w:rsidP="00875540">
                    <w:pPr>
                      <w:rPr>
                        <w:szCs w:val="21"/>
                      </w:rPr>
                    </w:pPr>
                  </w:p>
                </w:tc>
                <w:tc>
                  <w:tcPr>
                    <w:tcW w:w="1110" w:type="pct"/>
                    <w:tcBorders>
                      <w:top w:val="outset" w:sz="4" w:space="0" w:color="auto"/>
                      <w:left w:val="outset" w:sz="4" w:space="0" w:color="auto"/>
                      <w:bottom w:val="outset" w:sz="4" w:space="0" w:color="auto"/>
                      <w:right w:val="outset" w:sz="4" w:space="0" w:color="auto"/>
                    </w:tcBorders>
                  </w:tcPr>
                  <w:p w14:paraId="77F526D5" w14:textId="77777777" w:rsidR="00BD516E" w:rsidRPr="00F7004D" w:rsidRDefault="00BD516E" w:rsidP="00875540">
                    <w:pPr>
                      <w:jc w:val="right"/>
                      <w:rPr>
                        <w:sz w:val="22"/>
                      </w:rPr>
                    </w:pPr>
                  </w:p>
                </w:tc>
                <w:tc>
                  <w:tcPr>
                    <w:tcW w:w="1114" w:type="pct"/>
                    <w:tcBorders>
                      <w:top w:val="outset" w:sz="4" w:space="0" w:color="auto"/>
                      <w:left w:val="outset" w:sz="4" w:space="0" w:color="auto"/>
                      <w:bottom w:val="outset" w:sz="4" w:space="0" w:color="auto"/>
                      <w:right w:val="outset" w:sz="4" w:space="0" w:color="auto"/>
                    </w:tcBorders>
                  </w:tcPr>
                  <w:p w14:paraId="12DFBE61" w14:textId="77777777" w:rsidR="00BD516E" w:rsidRPr="00F7004D" w:rsidRDefault="00BD516E" w:rsidP="00875540">
                    <w:pPr>
                      <w:jc w:val="right"/>
                      <w:rPr>
                        <w:sz w:val="22"/>
                      </w:rPr>
                    </w:pPr>
                  </w:p>
                </w:tc>
              </w:tr>
              <w:tr w:rsidR="00BD516E" w:rsidRPr="00F7004D" w14:paraId="7E748496" w14:textId="77777777" w:rsidTr="00875540">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5de4743667a48328a43f776b78669b0"/>
                      <w:id w:val="-1182669533"/>
                      <w:lock w:val="sdtLocked"/>
                    </w:sdtPr>
                    <w:sdtEndPr>
                      <w:rPr>
                        <w:rFonts w:hint="default"/>
                      </w:rPr>
                    </w:sdtEndPr>
                    <w:sdtContent>
                      <w:p w14:paraId="44489CBC" w14:textId="77777777" w:rsidR="00BD516E" w:rsidRPr="00F7004D" w:rsidRDefault="00BD516E" w:rsidP="00875540">
                        <w:r w:rsidRPr="00F7004D">
                          <w:rPr>
                            <w:rFonts w:hint="eastAsia"/>
                          </w:rPr>
                          <w:t>（4）</w:t>
                        </w:r>
                        <w:r w:rsidRPr="00F7004D">
                          <w:t>其他债权投资信用减值准备</w:t>
                        </w:r>
                      </w:p>
                    </w:sdtContent>
                  </w:sdt>
                </w:tc>
                <w:tc>
                  <w:tcPr>
                    <w:tcW w:w="838" w:type="pct"/>
                    <w:tcBorders>
                      <w:top w:val="outset" w:sz="4" w:space="0" w:color="auto"/>
                      <w:left w:val="outset" w:sz="4" w:space="0" w:color="auto"/>
                      <w:bottom w:val="outset" w:sz="4" w:space="0" w:color="auto"/>
                      <w:right w:val="outset" w:sz="4" w:space="0" w:color="auto"/>
                    </w:tcBorders>
                  </w:tcPr>
                  <w:p w14:paraId="30B1BA61" w14:textId="77777777" w:rsidR="00BD516E" w:rsidRPr="00F7004D" w:rsidRDefault="00BD516E" w:rsidP="00875540">
                    <w:pPr>
                      <w:rPr>
                        <w:szCs w:val="21"/>
                      </w:rPr>
                    </w:pPr>
                  </w:p>
                </w:tc>
                <w:tc>
                  <w:tcPr>
                    <w:tcW w:w="1110" w:type="pct"/>
                    <w:tcBorders>
                      <w:top w:val="outset" w:sz="4" w:space="0" w:color="auto"/>
                      <w:left w:val="outset" w:sz="4" w:space="0" w:color="auto"/>
                      <w:bottom w:val="outset" w:sz="4" w:space="0" w:color="auto"/>
                      <w:right w:val="outset" w:sz="4" w:space="0" w:color="auto"/>
                    </w:tcBorders>
                  </w:tcPr>
                  <w:p w14:paraId="2D47EC2A" w14:textId="77777777" w:rsidR="00BD516E" w:rsidRPr="00F7004D" w:rsidRDefault="00BD516E" w:rsidP="00875540">
                    <w:pPr>
                      <w:jc w:val="right"/>
                      <w:rPr>
                        <w:sz w:val="22"/>
                      </w:rPr>
                    </w:pPr>
                  </w:p>
                </w:tc>
                <w:tc>
                  <w:tcPr>
                    <w:tcW w:w="1114" w:type="pct"/>
                    <w:tcBorders>
                      <w:top w:val="outset" w:sz="4" w:space="0" w:color="auto"/>
                      <w:left w:val="outset" w:sz="4" w:space="0" w:color="auto"/>
                      <w:bottom w:val="outset" w:sz="4" w:space="0" w:color="auto"/>
                      <w:right w:val="outset" w:sz="4" w:space="0" w:color="auto"/>
                    </w:tcBorders>
                  </w:tcPr>
                  <w:p w14:paraId="3B3BC154" w14:textId="77777777" w:rsidR="00BD516E" w:rsidRPr="00F7004D" w:rsidRDefault="00BD516E" w:rsidP="00875540">
                    <w:pPr>
                      <w:jc w:val="right"/>
                      <w:rPr>
                        <w:sz w:val="22"/>
                      </w:rPr>
                    </w:pPr>
                  </w:p>
                </w:tc>
              </w:tr>
              <w:tr w:rsidR="00BD516E" w:rsidRPr="00F7004D" w14:paraId="227B6267" w14:textId="77777777" w:rsidTr="00875540">
                <w:tc>
                  <w:tcPr>
                    <w:tcW w:w="1938" w:type="pct"/>
                    <w:tcBorders>
                      <w:top w:val="outset" w:sz="4" w:space="0" w:color="auto"/>
                      <w:left w:val="outset" w:sz="4" w:space="0" w:color="auto"/>
                      <w:bottom w:val="outset" w:sz="4" w:space="0" w:color="auto"/>
                      <w:right w:val="outset" w:sz="4" w:space="0" w:color="auto"/>
                    </w:tcBorders>
                    <w:vAlign w:val="center"/>
                  </w:tcPr>
                  <w:sdt>
                    <w:sdtPr>
                      <w:tag w:val="_PLD_30eadfe5eb0b43159a484d6e9e241037"/>
                      <w:id w:val="-784345803"/>
                      <w:lock w:val="sdtLocked"/>
                    </w:sdtPr>
                    <w:sdtEndPr/>
                    <w:sdtContent>
                      <w:p w14:paraId="570F5CDC" w14:textId="77777777" w:rsidR="00BD516E" w:rsidRPr="00F7004D" w:rsidRDefault="00BD516E" w:rsidP="00875540">
                        <w:r w:rsidRPr="00F7004D">
                          <w:rPr>
                            <w:rFonts w:hint="eastAsia"/>
                          </w:rPr>
                          <w:t>（5）</w:t>
                        </w:r>
                        <w:r w:rsidRPr="00F7004D">
                          <w:t>现金流量套期储备</w:t>
                        </w:r>
                      </w:p>
                    </w:sdtContent>
                  </w:sdt>
                </w:tc>
                <w:tc>
                  <w:tcPr>
                    <w:tcW w:w="838" w:type="pct"/>
                    <w:tcBorders>
                      <w:top w:val="outset" w:sz="4" w:space="0" w:color="auto"/>
                      <w:left w:val="outset" w:sz="4" w:space="0" w:color="auto"/>
                      <w:bottom w:val="outset" w:sz="4" w:space="0" w:color="auto"/>
                      <w:right w:val="outset" w:sz="4" w:space="0" w:color="auto"/>
                    </w:tcBorders>
                  </w:tcPr>
                  <w:p w14:paraId="036A5332" w14:textId="77777777" w:rsidR="00BD516E" w:rsidRPr="00F7004D" w:rsidRDefault="00BD516E" w:rsidP="00875540">
                    <w:pPr>
                      <w:rPr>
                        <w:szCs w:val="21"/>
                      </w:rPr>
                    </w:pPr>
                  </w:p>
                </w:tc>
                <w:tc>
                  <w:tcPr>
                    <w:tcW w:w="1110" w:type="pct"/>
                    <w:tcBorders>
                      <w:top w:val="outset" w:sz="4" w:space="0" w:color="auto"/>
                      <w:left w:val="outset" w:sz="4" w:space="0" w:color="auto"/>
                      <w:bottom w:val="outset" w:sz="4" w:space="0" w:color="auto"/>
                      <w:right w:val="outset" w:sz="4" w:space="0" w:color="auto"/>
                    </w:tcBorders>
                  </w:tcPr>
                  <w:p w14:paraId="21064E87" w14:textId="77777777" w:rsidR="00BD516E" w:rsidRPr="00F7004D" w:rsidRDefault="00BD516E" w:rsidP="00875540">
                    <w:pPr>
                      <w:jc w:val="right"/>
                      <w:rPr>
                        <w:sz w:val="22"/>
                      </w:rPr>
                    </w:pPr>
                  </w:p>
                </w:tc>
                <w:tc>
                  <w:tcPr>
                    <w:tcW w:w="1114" w:type="pct"/>
                    <w:tcBorders>
                      <w:top w:val="outset" w:sz="4" w:space="0" w:color="auto"/>
                      <w:left w:val="outset" w:sz="4" w:space="0" w:color="auto"/>
                      <w:bottom w:val="outset" w:sz="4" w:space="0" w:color="auto"/>
                      <w:right w:val="outset" w:sz="4" w:space="0" w:color="auto"/>
                    </w:tcBorders>
                  </w:tcPr>
                  <w:p w14:paraId="09FF4EB6" w14:textId="77777777" w:rsidR="00BD516E" w:rsidRPr="00F7004D" w:rsidRDefault="00BD516E" w:rsidP="00875540">
                    <w:pPr>
                      <w:jc w:val="right"/>
                      <w:rPr>
                        <w:sz w:val="22"/>
                      </w:rPr>
                    </w:pPr>
                  </w:p>
                </w:tc>
              </w:tr>
              <w:tr w:rsidR="00BD516E" w:rsidRPr="00F7004D" w14:paraId="058EBE1D" w14:textId="77777777" w:rsidTr="00875540">
                <w:tc>
                  <w:tcPr>
                    <w:tcW w:w="1938" w:type="pct"/>
                    <w:tcBorders>
                      <w:top w:val="outset" w:sz="4" w:space="0" w:color="auto"/>
                      <w:left w:val="outset" w:sz="4" w:space="0" w:color="auto"/>
                      <w:bottom w:val="outset" w:sz="4" w:space="0" w:color="auto"/>
                      <w:right w:val="outset" w:sz="4" w:space="0" w:color="auto"/>
                    </w:tcBorders>
                    <w:vAlign w:val="center"/>
                  </w:tcPr>
                  <w:sdt>
                    <w:sdtPr>
                      <w:tag w:val="_PLD_a5d181921d264dc2857e201385fa2b90"/>
                      <w:id w:val="-1410989390"/>
                      <w:lock w:val="sdtLocked"/>
                    </w:sdtPr>
                    <w:sdtEndPr/>
                    <w:sdtContent>
                      <w:p w14:paraId="727ACB6D" w14:textId="77777777" w:rsidR="00BD516E" w:rsidRPr="00F7004D" w:rsidRDefault="00BD516E" w:rsidP="00875540">
                        <w:r w:rsidRPr="00F7004D">
                          <w:rPr>
                            <w:rFonts w:hint="eastAsia"/>
                          </w:rPr>
                          <w:t>（6）</w:t>
                        </w:r>
                        <w:r w:rsidRPr="00F7004D">
                          <w:t>外币财务报表折算差额</w:t>
                        </w:r>
                      </w:p>
                    </w:sdtContent>
                  </w:sdt>
                </w:tc>
                <w:tc>
                  <w:tcPr>
                    <w:tcW w:w="838" w:type="pct"/>
                    <w:tcBorders>
                      <w:top w:val="outset" w:sz="4" w:space="0" w:color="auto"/>
                      <w:left w:val="outset" w:sz="4" w:space="0" w:color="auto"/>
                      <w:bottom w:val="outset" w:sz="4" w:space="0" w:color="auto"/>
                      <w:right w:val="outset" w:sz="4" w:space="0" w:color="auto"/>
                    </w:tcBorders>
                  </w:tcPr>
                  <w:p w14:paraId="6BDB15C6" w14:textId="77777777" w:rsidR="00BD516E" w:rsidRPr="00F7004D" w:rsidRDefault="00BD516E" w:rsidP="00875540">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4EDF2C76" w14:textId="77777777" w:rsidR="00BD516E" w:rsidRPr="00F7004D" w:rsidRDefault="00BD516E" w:rsidP="00875540">
                    <w:pPr>
                      <w:jc w:val="right"/>
                      <w:rPr>
                        <w:sz w:val="22"/>
                      </w:rPr>
                    </w:pPr>
                    <w:r w:rsidRPr="00F7004D">
                      <w:rPr>
                        <w:rFonts w:hint="eastAsia"/>
                        <w:sz w:val="22"/>
                      </w:rPr>
                      <w:t>-284,904.88</w:t>
                    </w:r>
                  </w:p>
                </w:tc>
                <w:tc>
                  <w:tcPr>
                    <w:tcW w:w="1114" w:type="pct"/>
                    <w:tcBorders>
                      <w:top w:val="outset" w:sz="4" w:space="0" w:color="auto"/>
                      <w:left w:val="outset" w:sz="4" w:space="0" w:color="auto"/>
                      <w:bottom w:val="outset" w:sz="4" w:space="0" w:color="auto"/>
                      <w:right w:val="outset" w:sz="4" w:space="0" w:color="auto"/>
                    </w:tcBorders>
                    <w:vAlign w:val="center"/>
                  </w:tcPr>
                  <w:p w14:paraId="62B99B7C" w14:textId="77777777" w:rsidR="00BD516E" w:rsidRPr="00F7004D" w:rsidRDefault="00BD516E" w:rsidP="00875540">
                    <w:pPr>
                      <w:jc w:val="right"/>
                      <w:rPr>
                        <w:sz w:val="22"/>
                      </w:rPr>
                    </w:pPr>
                    <w:r w:rsidRPr="00F7004D">
                      <w:rPr>
                        <w:rFonts w:hint="eastAsia"/>
                        <w:sz w:val="22"/>
                      </w:rPr>
                      <w:t>319,559.11</w:t>
                    </w:r>
                  </w:p>
                </w:tc>
              </w:tr>
              <w:tr w:rsidR="00BD516E" w:rsidRPr="00F7004D" w14:paraId="62741CBF" w14:textId="77777777" w:rsidTr="00875540">
                <w:tc>
                  <w:tcPr>
                    <w:tcW w:w="1938" w:type="pct"/>
                    <w:tcBorders>
                      <w:top w:val="outset" w:sz="4" w:space="0" w:color="auto"/>
                      <w:left w:val="outset" w:sz="4" w:space="0" w:color="auto"/>
                      <w:bottom w:val="outset" w:sz="4" w:space="0" w:color="auto"/>
                      <w:right w:val="outset" w:sz="4" w:space="0" w:color="auto"/>
                    </w:tcBorders>
                    <w:vAlign w:val="center"/>
                  </w:tcPr>
                  <w:sdt>
                    <w:sdtPr>
                      <w:tag w:val="_PLD_efc9c8840682443ab9c10573fa124a4f"/>
                      <w:id w:val="-1527716532"/>
                      <w:lock w:val="sdtLocked"/>
                    </w:sdtPr>
                    <w:sdtEndPr/>
                    <w:sdtContent>
                      <w:p w14:paraId="50201EBF" w14:textId="77777777" w:rsidR="00BD516E" w:rsidRPr="00F7004D" w:rsidRDefault="00BD516E" w:rsidP="00875540">
                        <w:r w:rsidRPr="00F7004D">
                          <w:rPr>
                            <w:rFonts w:hint="eastAsia"/>
                          </w:rPr>
                          <w:t>（7）</w:t>
                        </w:r>
                        <w:r w:rsidRPr="00F7004D">
                          <w:t>其他</w:t>
                        </w:r>
                      </w:p>
                    </w:sdtContent>
                  </w:sdt>
                </w:tc>
                <w:tc>
                  <w:tcPr>
                    <w:tcW w:w="838" w:type="pct"/>
                    <w:tcBorders>
                      <w:top w:val="outset" w:sz="4" w:space="0" w:color="auto"/>
                      <w:left w:val="outset" w:sz="4" w:space="0" w:color="auto"/>
                      <w:bottom w:val="outset" w:sz="4" w:space="0" w:color="auto"/>
                      <w:right w:val="outset" w:sz="4" w:space="0" w:color="auto"/>
                    </w:tcBorders>
                  </w:tcPr>
                  <w:p w14:paraId="7B4878C6" w14:textId="77777777" w:rsidR="00BD516E" w:rsidRPr="00F7004D" w:rsidRDefault="00BD516E" w:rsidP="00875540">
                    <w:pPr>
                      <w:rPr>
                        <w:szCs w:val="21"/>
                      </w:rPr>
                    </w:pPr>
                  </w:p>
                </w:tc>
                <w:tc>
                  <w:tcPr>
                    <w:tcW w:w="1110" w:type="pct"/>
                    <w:tcBorders>
                      <w:top w:val="outset" w:sz="4" w:space="0" w:color="auto"/>
                      <w:left w:val="outset" w:sz="4" w:space="0" w:color="auto"/>
                      <w:bottom w:val="outset" w:sz="4" w:space="0" w:color="auto"/>
                      <w:right w:val="outset" w:sz="4" w:space="0" w:color="auto"/>
                    </w:tcBorders>
                  </w:tcPr>
                  <w:p w14:paraId="264E39A5" w14:textId="77777777" w:rsidR="00BD516E" w:rsidRPr="00F7004D" w:rsidRDefault="00BD516E" w:rsidP="00875540">
                    <w:pPr>
                      <w:jc w:val="right"/>
                      <w:rPr>
                        <w:sz w:val="22"/>
                      </w:rPr>
                    </w:pPr>
                  </w:p>
                </w:tc>
                <w:tc>
                  <w:tcPr>
                    <w:tcW w:w="1114" w:type="pct"/>
                    <w:tcBorders>
                      <w:top w:val="outset" w:sz="4" w:space="0" w:color="auto"/>
                      <w:left w:val="outset" w:sz="4" w:space="0" w:color="auto"/>
                      <w:bottom w:val="outset" w:sz="4" w:space="0" w:color="auto"/>
                      <w:right w:val="outset" w:sz="4" w:space="0" w:color="auto"/>
                    </w:tcBorders>
                  </w:tcPr>
                  <w:p w14:paraId="22063035" w14:textId="77777777" w:rsidR="00BD516E" w:rsidRPr="00F7004D" w:rsidRDefault="00BD516E" w:rsidP="00875540">
                    <w:pPr>
                      <w:jc w:val="right"/>
                      <w:rPr>
                        <w:sz w:val="22"/>
                      </w:rPr>
                    </w:pPr>
                  </w:p>
                </w:tc>
              </w:tr>
              <w:tr w:rsidR="00BD516E" w:rsidRPr="00F7004D" w14:paraId="16E4711E" w14:textId="77777777" w:rsidTr="00875540">
                <w:sdt>
                  <w:sdtPr>
                    <w:tag w:val="_PLD_4f19daa8ec184be19a8a0afe308c1896"/>
                    <w:id w:val="11857808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1B7FADC5" w14:textId="77777777" w:rsidR="00BD516E" w:rsidRPr="00F7004D" w:rsidRDefault="00BD516E" w:rsidP="00875540">
                        <w:pPr>
                          <w:ind w:firstLineChars="100" w:firstLine="210"/>
                          <w:rPr>
                            <w:szCs w:val="21"/>
                          </w:rPr>
                        </w:pPr>
                        <w:r w:rsidRPr="00F7004D">
                          <w:rPr>
                            <w:rFonts w:hint="eastAsia"/>
                            <w:szCs w:val="21"/>
                          </w:rPr>
                          <w:t>（二）归属于少数股东的其他综合收益的税后净额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14:paraId="0C3A2501" w14:textId="77777777" w:rsidR="00BD516E" w:rsidRPr="00F7004D" w:rsidRDefault="00BD516E" w:rsidP="00875540">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2DAA40F3" w14:textId="77777777" w:rsidR="00BD516E" w:rsidRPr="00F7004D" w:rsidRDefault="00BD516E" w:rsidP="00875540">
                    <w:pPr>
                      <w:jc w:val="right"/>
                      <w:rPr>
                        <w:sz w:val="22"/>
                      </w:rPr>
                    </w:pPr>
                    <w:r w:rsidRPr="00F7004D">
                      <w:rPr>
                        <w:rFonts w:hint="eastAsia"/>
                        <w:sz w:val="22"/>
                      </w:rPr>
                      <w:t>-29,498.59</w:t>
                    </w:r>
                  </w:p>
                </w:tc>
                <w:tc>
                  <w:tcPr>
                    <w:tcW w:w="1114" w:type="pct"/>
                    <w:tcBorders>
                      <w:top w:val="outset" w:sz="4" w:space="0" w:color="auto"/>
                      <w:left w:val="outset" w:sz="4" w:space="0" w:color="auto"/>
                      <w:bottom w:val="outset" w:sz="4" w:space="0" w:color="auto"/>
                      <w:right w:val="outset" w:sz="4" w:space="0" w:color="auto"/>
                    </w:tcBorders>
                    <w:vAlign w:val="center"/>
                  </w:tcPr>
                  <w:p w14:paraId="778A7CD8" w14:textId="77777777" w:rsidR="00BD516E" w:rsidRPr="00F7004D" w:rsidRDefault="00BD516E" w:rsidP="00875540">
                    <w:pPr>
                      <w:jc w:val="right"/>
                      <w:rPr>
                        <w:sz w:val="22"/>
                      </w:rPr>
                    </w:pPr>
                    <w:r w:rsidRPr="00F7004D">
                      <w:rPr>
                        <w:rFonts w:hint="eastAsia"/>
                        <w:sz w:val="22"/>
                      </w:rPr>
                      <w:t>24,287.33</w:t>
                    </w:r>
                  </w:p>
                </w:tc>
              </w:tr>
              <w:tr w:rsidR="00BD516E" w:rsidRPr="00F7004D" w14:paraId="530F376F" w14:textId="77777777" w:rsidTr="00875540">
                <w:sdt>
                  <w:sdtPr>
                    <w:tag w:val="_PLD_29e4ab6c011f4b23961b002b616b19d8"/>
                    <w:id w:val="-94778261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54D44F1C" w14:textId="77777777" w:rsidR="00BD516E" w:rsidRPr="00F7004D" w:rsidRDefault="00BD516E" w:rsidP="00875540">
                        <w:pPr>
                          <w:rPr>
                            <w:szCs w:val="21"/>
                          </w:rPr>
                        </w:pPr>
                        <w:r w:rsidRPr="00F7004D">
                          <w:rPr>
                            <w:rFonts w:hint="eastAsia"/>
                            <w:szCs w:val="21"/>
                          </w:rPr>
                          <w:t>七、综合收益总额</w:t>
                        </w:r>
                      </w:p>
                    </w:tc>
                  </w:sdtContent>
                </w:sdt>
                <w:tc>
                  <w:tcPr>
                    <w:tcW w:w="838" w:type="pct"/>
                    <w:tcBorders>
                      <w:top w:val="outset" w:sz="4" w:space="0" w:color="auto"/>
                      <w:left w:val="outset" w:sz="4" w:space="0" w:color="auto"/>
                      <w:bottom w:val="outset" w:sz="4" w:space="0" w:color="auto"/>
                      <w:right w:val="outset" w:sz="4" w:space="0" w:color="auto"/>
                    </w:tcBorders>
                  </w:tcPr>
                  <w:p w14:paraId="6FEBBC63" w14:textId="77777777" w:rsidR="00BD516E" w:rsidRPr="00F7004D" w:rsidRDefault="00BD516E" w:rsidP="00875540">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41A70C4A" w14:textId="77777777" w:rsidR="00BD516E" w:rsidRPr="00F7004D" w:rsidRDefault="00BD516E" w:rsidP="00875540">
                    <w:pPr>
                      <w:jc w:val="right"/>
                      <w:rPr>
                        <w:sz w:val="22"/>
                      </w:rPr>
                    </w:pPr>
                    <w:r w:rsidRPr="00F7004D">
                      <w:rPr>
                        <w:rFonts w:hint="eastAsia"/>
                        <w:sz w:val="22"/>
                      </w:rPr>
                      <w:t>-934,282.65</w:t>
                    </w:r>
                  </w:p>
                </w:tc>
                <w:tc>
                  <w:tcPr>
                    <w:tcW w:w="1114" w:type="pct"/>
                    <w:tcBorders>
                      <w:top w:val="outset" w:sz="4" w:space="0" w:color="auto"/>
                      <w:left w:val="outset" w:sz="4" w:space="0" w:color="auto"/>
                      <w:bottom w:val="outset" w:sz="4" w:space="0" w:color="auto"/>
                      <w:right w:val="outset" w:sz="4" w:space="0" w:color="auto"/>
                    </w:tcBorders>
                    <w:vAlign w:val="center"/>
                  </w:tcPr>
                  <w:p w14:paraId="408F4322" w14:textId="77777777" w:rsidR="00BD516E" w:rsidRPr="00F7004D" w:rsidRDefault="00BD516E" w:rsidP="00875540">
                    <w:pPr>
                      <w:jc w:val="right"/>
                      <w:rPr>
                        <w:sz w:val="22"/>
                      </w:rPr>
                    </w:pPr>
                    <w:r w:rsidRPr="00F7004D">
                      <w:rPr>
                        <w:rFonts w:hint="eastAsia"/>
                        <w:sz w:val="22"/>
                      </w:rPr>
                      <w:t>-37,102,165.85</w:t>
                    </w:r>
                  </w:p>
                </w:tc>
              </w:tr>
              <w:tr w:rsidR="00BD516E" w:rsidRPr="00F7004D" w14:paraId="25E4C2B1" w14:textId="77777777" w:rsidTr="00875540">
                <w:sdt>
                  <w:sdtPr>
                    <w:tag w:val="_PLD_c6a40d405b9d4a8a8406c1d4ba16ad58"/>
                    <w:id w:val="159451073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09CE6D20" w14:textId="77777777" w:rsidR="00BD516E" w:rsidRPr="00F7004D" w:rsidRDefault="00BD516E" w:rsidP="00875540">
                        <w:pPr>
                          <w:ind w:firstLineChars="100" w:firstLine="210"/>
                          <w:rPr>
                            <w:szCs w:val="21"/>
                          </w:rPr>
                        </w:pPr>
                        <w:r w:rsidRPr="00F7004D">
                          <w:rPr>
                            <w:szCs w:val="21"/>
                          </w:rPr>
                          <w:t>（一）</w:t>
                        </w:r>
                        <w:r w:rsidRPr="00F7004D">
                          <w:rPr>
                            <w:rFonts w:hint="eastAsia"/>
                            <w:szCs w:val="21"/>
                          </w:rPr>
                          <w:t>归属于母公司所有者的综合收益总额</w:t>
                        </w:r>
                      </w:p>
                    </w:tc>
                  </w:sdtContent>
                </w:sdt>
                <w:tc>
                  <w:tcPr>
                    <w:tcW w:w="838" w:type="pct"/>
                    <w:tcBorders>
                      <w:top w:val="outset" w:sz="4" w:space="0" w:color="auto"/>
                      <w:left w:val="outset" w:sz="4" w:space="0" w:color="auto"/>
                      <w:bottom w:val="outset" w:sz="4" w:space="0" w:color="auto"/>
                      <w:right w:val="outset" w:sz="4" w:space="0" w:color="auto"/>
                    </w:tcBorders>
                  </w:tcPr>
                  <w:p w14:paraId="4F3D2942" w14:textId="77777777" w:rsidR="00BD516E" w:rsidRPr="00F7004D" w:rsidRDefault="00BD516E" w:rsidP="00875540">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7864B180" w14:textId="77777777" w:rsidR="00BD516E" w:rsidRPr="00F7004D" w:rsidRDefault="00BD516E" w:rsidP="00875540">
                    <w:pPr>
                      <w:jc w:val="right"/>
                      <w:rPr>
                        <w:sz w:val="22"/>
                      </w:rPr>
                    </w:pPr>
                    <w:r w:rsidRPr="00F7004D">
                      <w:rPr>
                        <w:rFonts w:hint="eastAsia"/>
                        <w:sz w:val="22"/>
                      </w:rPr>
                      <w:t>-1,599,327.60</w:t>
                    </w:r>
                  </w:p>
                </w:tc>
                <w:tc>
                  <w:tcPr>
                    <w:tcW w:w="1114" w:type="pct"/>
                    <w:tcBorders>
                      <w:top w:val="outset" w:sz="4" w:space="0" w:color="auto"/>
                      <w:left w:val="outset" w:sz="4" w:space="0" w:color="auto"/>
                      <w:bottom w:val="outset" w:sz="4" w:space="0" w:color="auto"/>
                      <w:right w:val="outset" w:sz="4" w:space="0" w:color="auto"/>
                    </w:tcBorders>
                    <w:vAlign w:val="center"/>
                  </w:tcPr>
                  <w:p w14:paraId="49FA6440" w14:textId="77777777" w:rsidR="00BD516E" w:rsidRPr="00F7004D" w:rsidRDefault="00BD516E" w:rsidP="00875540">
                    <w:pPr>
                      <w:jc w:val="right"/>
                      <w:rPr>
                        <w:sz w:val="22"/>
                      </w:rPr>
                    </w:pPr>
                    <w:r w:rsidRPr="00F7004D">
                      <w:rPr>
                        <w:rFonts w:hint="eastAsia"/>
                        <w:sz w:val="22"/>
                      </w:rPr>
                      <w:t>-23,770,232.66</w:t>
                    </w:r>
                  </w:p>
                </w:tc>
              </w:tr>
              <w:tr w:rsidR="00BD516E" w:rsidRPr="00F7004D" w14:paraId="32BCF24B" w14:textId="77777777" w:rsidTr="00875540">
                <w:sdt>
                  <w:sdtPr>
                    <w:tag w:val="_PLD_a3f7a78de9cc4a0c8e2b3e050895da67"/>
                    <w:id w:val="165471032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540DD92A" w14:textId="77777777" w:rsidR="00BD516E" w:rsidRPr="00F7004D" w:rsidRDefault="00BD516E" w:rsidP="00875540">
                        <w:pPr>
                          <w:ind w:firstLineChars="100" w:firstLine="210"/>
                          <w:rPr>
                            <w:szCs w:val="21"/>
                          </w:rPr>
                        </w:pPr>
                        <w:r w:rsidRPr="00F7004D">
                          <w:rPr>
                            <w:szCs w:val="21"/>
                          </w:rPr>
                          <w:t>（二）</w:t>
                        </w:r>
                        <w:r w:rsidRPr="00F7004D">
                          <w:rPr>
                            <w:rFonts w:hint="eastAsia"/>
                            <w:szCs w:val="21"/>
                          </w:rPr>
                          <w:t>归属于少数股东的综合收益总额</w:t>
                        </w:r>
                      </w:p>
                    </w:tc>
                  </w:sdtContent>
                </w:sdt>
                <w:tc>
                  <w:tcPr>
                    <w:tcW w:w="838" w:type="pct"/>
                    <w:tcBorders>
                      <w:top w:val="outset" w:sz="4" w:space="0" w:color="auto"/>
                      <w:left w:val="outset" w:sz="4" w:space="0" w:color="auto"/>
                      <w:bottom w:val="outset" w:sz="4" w:space="0" w:color="auto"/>
                      <w:right w:val="outset" w:sz="4" w:space="0" w:color="auto"/>
                    </w:tcBorders>
                  </w:tcPr>
                  <w:p w14:paraId="32510A6F" w14:textId="77777777" w:rsidR="00BD516E" w:rsidRPr="00F7004D" w:rsidRDefault="00BD516E" w:rsidP="00875540">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6A0A068F" w14:textId="77777777" w:rsidR="00BD516E" w:rsidRPr="00F7004D" w:rsidRDefault="00BD516E" w:rsidP="00875540">
                    <w:pPr>
                      <w:jc w:val="right"/>
                      <w:rPr>
                        <w:sz w:val="22"/>
                      </w:rPr>
                    </w:pPr>
                    <w:r w:rsidRPr="00F7004D">
                      <w:rPr>
                        <w:rFonts w:hint="eastAsia"/>
                        <w:sz w:val="22"/>
                      </w:rPr>
                      <w:t>665,044.95</w:t>
                    </w:r>
                  </w:p>
                </w:tc>
                <w:tc>
                  <w:tcPr>
                    <w:tcW w:w="1114" w:type="pct"/>
                    <w:tcBorders>
                      <w:top w:val="outset" w:sz="4" w:space="0" w:color="auto"/>
                      <w:left w:val="outset" w:sz="4" w:space="0" w:color="auto"/>
                      <w:bottom w:val="outset" w:sz="4" w:space="0" w:color="auto"/>
                      <w:right w:val="outset" w:sz="4" w:space="0" w:color="auto"/>
                    </w:tcBorders>
                    <w:vAlign w:val="center"/>
                  </w:tcPr>
                  <w:p w14:paraId="1DAA8BAB" w14:textId="77777777" w:rsidR="00BD516E" w:rsidRPr="00F7004D" w:rsidRDefault="00BD516E" w:rsidP="00875540">
                    <w:pPr>
                      <w:jc w:val="right"/>
                      <w:rPr>
                        <w:sz w:val="22"/>
                      </w:rPr>
                    </w:pPr>
                    <w:r w:rsidRPr="00F7004D">
                      <w:rPr>
                        <w:rFonts w:hint="eastAsia"/>
                        <w:sz w:val="22"/>
                      </w:rPr>
                      <w:t>-13,331,933.19</w:t>
                    </w:r>
                  </w:p>
                </w:tc>
              </w:tr>
              <w:tr w:rsidR="00BD516E" w:rsidRPr="00F7004D" w14:paraId="1EC9D613" w14:textId="77777777" w:rsidTr="00875540">
                <w:sdt>
                  <w:sdtPr>
                    <w:tag w:val="_PLD_2faba48500f741229b3467bfe3ce2495"/>
                    <w:id w:val="3446476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15A7F28D" w14:textId="77777777" w:rsidR="00BD516E" w:rsidRPr="00F7004D" w:rsidRDefault="00BD516E" w:rsidP="00875540">
                        <w:pPr>
                          <w:rPr>
                            <w:color w:val="000000"/>
                            <w:szCs w:val="21"/>
                          </w:rPr>
                        </w:pPr>
                        <w:r w:rsidRPr="00F7004D">
                          <w:rPr>
                            <w:rFonts w:hint="eastAsia"/>
                            <w:szCs w:val="21"/>
                          </w:rPr>
                          <w:t>八、每股收益：</w:t>
                        </w:r>
                      </w:p>
                    </w:tc>
                  </w:sdtContent>
                </w:sdt>
                <w:tc>
                  <w:tcPr>
                    <w:tcW w:w="838" w:type="pct"/>
                    <w:tcBorders>
                      <w:top w:val="outset" w:sz="4" w:space="0" w:color="auto"/>
                      <w:left w:val="outset" w:sz="4" w:space="0" w:color="auto"/>
                      <w:bottom w:val="outset" w:sz="4" w:space="0" w:color="auto"/>
                      <w:right w:val="outset" w:sz="4" w:space="0" w:color="auto"/>
                    </w:tcBorders>
                  </w:tcPr>
                  <w:p w14:paraId="6710D3C0" w14:textId="77777777" w:rsidR="00BD516E" w:rsidRPr="00F7004D" w:rsidRDefault="00BD516E" w:rsidP="00875540">
                    <w:pPr>
                      <w:rPr>
                        <w:color w:val="008000"/>
                        <w:szCs w:val="21"/>
                      </w:rPr>
                    </w:pPr>
                  </w:p>
                </w:tc>
                <w:tc>
                  <w:tcPr>
                    <w:tcW w:w="1110" w:type="pct"/>
                    <w:tcBorders>
                      <w:top w:val="outset" w:sz="4" w:space="0" w:color="auto"/>
                      <w:left w:val="outset" w:sz="4" w:space="0" w:color="auto"/>
                      <w:bottom w:val="outset" w:sz="4" w:space="0" w:color="auto"/>
                      <w:right w:val="outset" w:sz="4" w:space="0" w:color="auto"/>
                    </w:tcBorders>
                  </w:tcPr>
                  <w:p w14:paraId="0B98665D" w14:textId="77777777" w:rsidR="00BD516E" w:rsidRPr="00F7004D" w:rsidRDefault="00BD516E" w:rsidP="00875540">
                    <w:pPr>
                      <w:jc w:val="right"/>
                      <w:rPr>
                        <w:color w:val="008000"/>
                        <w:sz w:val="22"/>
                      </w:rPr>
                    </w:pPr>
                  </w:p>
                </w:tc>
                <w:tc>
                  <w:tcPr>
                    <w:tcW w:w="1114" w:type="pct"/>
                    <w:tcBorders>
                      <w:top w:val="outset" w:sz="4" w:space="0" w:color="auto"/>
                      <w:left w:val="outset" w:sz="4" w:space="0" w:color="auto"/>
                      <w:bottom w:val="outset" w:sz="4" w:space="0" w:color="auto"/>
                      <w:right w:val="outset" w:sz="4" w:space="0" w:color="auto"/>
                    </w:tcBorders>
                  </w:tcPr>
                  <w:p w14:paraId="709BA9B1" w14:textId="77777777" w:rsidR="00BD516E" w:rsidRPr="00F7004D" w:rsidRDefault="00BD516E" w:rsidP="00875540">
                    <w:pPr>
                      <w:jc w:val="right"/>
                      <w:rPr>
                        <w:color w:val="008000"/>
                        <w:sz w:val="22"/>
                      </w:rPr>
                    </w:pPr>
                  </w:p>
                </w:tc>
              </w:tr>
              <w:tr w:rsidR="00BD516E" w:rsidRPr="00F7004D" w14:paraId="1E4DCF8F" w14:textId="77777777" w:rsidTr="00875540">
                <w:sdt>
                  <w:sdtPr>
                    <w:tag w:val="_PLD_16d9b9d4e8c34e3b874fbdaedc915880"/>
                    <w:id w:val="22371911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40266A99" w14:textId="77777777" w:rsidR="00BD516E" w:rsidRPr="00F7004D" w:rsidRDefault="00BD516E" w:rsidP="00875540">
                        <w:pPr>
                          <w:ind w:firstLineChars="100" w:firstLine="210"/>
                          <w:rPr>
                            <w:szCs w:val="21"/>
                          </w:rPr>
                        </w:pPr>
                        <w:r w:rsidRPr="00F7004D">
                          <w:rPr>
                            <w:szCs w:val="21"/>
                          </w:rPr>
                          <w:t>（一）基本每股收益</w:t>
                        </w:r>
                        <w:r w:rsidRPr="00F7004D">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14:paraId="1CD4454D" w14:textId="77777777" w:rsidR="00BD516E" w:rsidRPr="00F7004D" w:rsidRDefault="00BD516E" w:rsidP="00875540">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16736D06" w14:textId="77777777" w:rsidR="00BD516E" w:rsidRPr="00F7004D" w:rsidRDefault="00BD516E" w:rsidP="00875540">
                    <w:pPr>
                      <w:jc w:val="right"/>
                      <w:rPr>
                        <w:sz w:val="22"/>
                      </w:rPr>
                    </w:pPr>
                    <w:r w:rsidRPr="00F7004D">
                      <w:rPr>
                        <w:rFonts w:hint="eastAsia"/>
                        <w:sz w:val="22"/>
                      </w:rPr>
                      <w:t>-0.01</w:t>
                    </w:r>
                  </w:p>
                </w:tc>
                <w:tc>
                  <w:tcPr>
                    <w:tcW w:w="1114" w:type="pct"/>
                    <w:tcBorders>
                      <w:top w:val="outset" w:sz="4" w:space="0" w:color="auto"/>
                      <w:left w:val="outset" w:sz="4" w:space="0" w:color="auto"/>
                      <w:bottom w:val="outset" w:sz="4" w:space="0" w:color="auto"/>
                      <w:right w:val="outset" w:sz="4" w:space="0" w:color="auto"/>
                    </w:tcBorders>
                    <w:vAlign w:val="center"/>
                  </w:tcPr>
                  <w:p w14:paraId="652A2EAF" w14:textId="77777777" w:rsidR="00BD516E" w:rsidRPr="00F7004D" w:rsidRDefault="00BD516E" w:rsidP="00875540">
                    <w:pPr>
                      <w:jc w:val="right"/>
                      <w:rPr>
                        <w:sz w:val="22"/>
                      </w:rPr>
                    </w:pPr>
                    <w:r w:rsidRPr="00F7004D">
                      <w:rPr>
                        <w:rFonts w:hint="eastAsia"/>
                        <w:sz w:val="22"/>
                      </w:rPr>
                      <w:t>-0.06</w:t>
                    </w:r>
                  </w:p>
                </w:tc>
              </w:tr>
              <w:tr w:rsidR="00BD516E" w:rsidRPr="00F7004D" w14:paraId="0C16B278" w14:textId="77777777" w:rsidTr="00875540">
                <w:sdt>
                  <w:sdtPr>
                    <w:tag w:val="_PLD_ec4d9e148cba4e79bb3da0f8a0ddb92a"/>
                    <w:id w:val="52998922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2A206E94" w14:textId="77777777" w:rsidR="00BD516E" w:rsidRPr="00F7004D" w:rsidRDefault="00BD516E" w:rsidP="00875540">
                        <w:pPr>
                          <w:ind w:firstLineChars="100" w:firstLine="210"/>
                          <w:rPr>
                            <w:szCs w:val="21"/>
                          </w:rPr>
                        </w:pPr>
                        <w:r w:rsidRPr="00F7004D">
                          <w:rPr>
                            <w:szCs w:val="21"/>
                          </w:rPr>
                          <w:t>（二）稀释每股收益</w:t>
                        </w:r>
                        <w:r w:rsidRPr="00F7004D">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14:paraId="393EDE23" w14:textId="77777777" w:rsidR="00BD516E" w:rsidRPr="00F7004D" w:rsidRDefault="00BD516E" w:rsidP="00875540">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3BDCAB4C" w14:textId="77777777" w:rsidR="00BD516E" w:rsidRPr="00F7004D" w:rsidRDefault="00BD516E" w:rsidP="00875540">
                    <w:pPr>
                      <w:jc w:val="right"/>
                      <w:rPr>
                        <w:sz w:val="22"/>
                      </w:rPr>
                    </w:pPr>
                    <w:r w:rsidRPr="00F7004D">
                      <w:rPr>
                        <w:rFonts w:hint="eastAsia"/>
                        <w:sz w:val="22"/>
                      </w:rPr>
                      <w:t>-0.01</w:t>
                    </w:r>
                  </w:p>
                </w:tc>
                <w:tc>
                  <w:tcPr>
                    <w:tcW w:w="1114" w:type="pct"/>
                    <w:tcBorders>
                      <w:top w:val="outset" w:sz="4" w:space="0" w:color="auto"/>
                      <w:left w:val="outset" w:sz="4" w:space="0" w:color="auto"/>
                      <w:bottom w:val="outset" w:sz="4" w:space="0" w:color="auto"/>
                      <w:right w:val="outset" w:sz="4" w:space="0" w:color="auto"/>
                    </w:tcBorders>
                    <w:vAlign w:val="center"/>
                  </w:tcPr>
                  <w:p w14:paraId="1BA4607F" w14:textId="77777777" w:rsidR="00BD516E" w:rsidRPr="00F7004D" w:rsidRDefault="00BD516E" w:rsidP="00875540">
                    <w:pPr>
                      <w:jc w:val="right"/>
                      <w:rPr>
                        <w:sz w:val="22"/>
                      </w:rPr>
                    </w:pPr>
                    <w:r w:rsidRPr="00F7004D">
                      <w:rPr>
                        <w:rFonts w:hint="eastAsia"/>
                        <w:sz w:val="22"/>
                      </w:rPr>
                      <w:t>-0.06</w:t>
                    </w:r>
                  </w:p>
                </w:tc>
              </w:tr>
            </w:tbl>
            <w:p w14:paraId="5DC96043" w14:textId="77777777" w:rsidR="00BD516E" w:rsidRPr="00F7004D" w:rsidRDefault="00BD516E" w:rsidP="00BD516E"/>
            <w:p w14:paraId="117ECCCC" w14:textId="00C9E1A5" w:rsidR="00BD516E" w:rsidRDefault="00BD516E" w:rsidP="00BD516E">
              <w:pPr>
                <w:rPr>
                  <w:szCs w:val="21"/>
                </w:rPr>
              </w:pPr>
              <w:r w:rsidRPr="00F7004D">
                <w:rPr>
                  <w:szCs w:val="21"/>
                </w:rPr>
                <w:t>公司负责人</w:t>
              </w:r>
              <w:r w:rsidRPr="00F7004D">
                <w:rPr>
                  <w:rFonts w:hint="eastAsia"/>
                  <w:szCs w:val="21"/>
                </w:rPr>
                <w:t>：</w:t>
              </w:r>
              <w:sdt>
                <w:sdtPr>
                  <w:rPr>
                    <w:rFonts w:hint="eastAsia"/>
                    <w:szCs w:val="21"/>
                  </w:rPr>
                  <w:alias w:val="公司负责人"/>
                  <w:tag w:val="_GBC_84d2ead02dbe49699dff5184a9cd1bd3"/>
                  <w:id w:val="1814140156"/>
                  <w:lock w:val="sdtLocked"/>
                  <w:placeholder>
                    <w:docPart w:val="FE86601F13554516A734E0C2ADE0CE82"/>
                  </w:placeholder>
                  <w:dataBinding w:prefixMappings="xmlns:clcid-mr='clcid-mr'" w:xpath="/*/clcid-mr:GongSiFuZeRenXingMing[not(@periodRef)]" w:storeItemID="{89EBAB94-44A0-46A2-B712-30D997D04A6D}"/>
                  <w:text/>
                </w:sdtPr>
                <w:sdtEndPr/>
                <w:sdtContent>
                  <w:r w:rsidR="00FC65A7">
                    <w:rPr>
                      <w:rFonts w:hint="eastAsia"/>
                      <w:szCs w:val="21"/>
                    </w:rPr>
                    <w:t>王军先生</w:t>
                  </w:r>
                </w:sdtContent>
              </w:sdt>
              <w:r w:rsidR="00A436AE">
                <w:rPr>
                  <w:szCs w:val="21"/>
                </w:rPr>
                <w:t xml:space="preserve"> </w:t>
              </w:r>
              <w:r w:rsidRPr="00F7004D">
                <w:rPr>
                  <w:szCs w:val="21"/>
                </w:rPr>
                <w:t>主管会计工作负责人</w:t>
              </w:r>
              <w:r w:rsidRPr="00F7004D">
                <w:rPr>
                  <w:rFonts w:hint="eastAsia"/>
                  <w:szCs w:val="21"/>
                </w:rPr>
                <w:t>：</w:t>
              </w:r>
              <w:sdt>
                <w:sdtPr>
                  <w:rPr>
                    <w:rFonts w:hint="eastAsia"/>
                    <w:szCs w:val="21"/>
                  </w:rPr>
                  <w:alias w:val="主管会计工作负责人姓名"/>
                  <w:tag w:val="_GBC_e958f3d59232458da90c4799548d15ea"/>
                  <w:id w:val="-118072236"/>
                  <w:lock w:val="sdtLocked"/>
                  <w:placeholder>
                    <w:docPart w:val="FE86601F13554516A734E0C2ADE0CE82"/>
                  </w:placeholder>
                  <w:dataBinding w:prefixMappings="xmlns:clcid-mr='clcid-mr'" w:xpath="/*/clcid-mr:ZhuGuanKuaiJiGongZuoFuZeRenXingMing[not(@periodRef)]" w:storeItemID="{89EBAB94-44A0-46A2-B712-30D997D04A6D}"/>
                  <w:text/>
                </w:sdtPr>
                <w:sdtEndPr/>
                <w:sdtContent>
                  <w:r w:rsidR="00FC65A7">
                    <w:rPr>
                      <w:rFonts w:hint="eastAsia"/>
                      <w:szCs w:val="21"/>
                    </w:rPr>
                    <w:t>姜驰女士</w:t>
                  </w:r>
                </w:sdtContent>
              </w:sdt>
              <w:r w:rsidR="00A436AE">
                <w:rPr>
                  <w:szCs w:val="21"/>
                </w:rPr>
                <w:t xml:space="preserve"> </w:t>
              </w:r>
              <w:r w:rsidRPr="00F7004D">
                <w:rPr>
                  <w:szCs w:val="21"/>
                </w:rPr>
                <w:t>会计机构负责人</w:t>
              </w:r>
              <w:r w:rsidRPr="00F7004D">
                <w:rPr>
                  <w:rFonts w:hint="eastAsia"/>
                  <w:szCs w:val="21"/>
                </w:rPr>
                <w:t>：</w:t>
              </w:r>
              <w:sdt>
                <w:sdtPr>
                  <w:rPr>
                    <w:rFonts w:hint="eastAsia"/>
                    <w:szCs w:val="21"/>
                  </w:rPr>
                  <w:alias w:val="会计机构负责人姓名"/>
                  <w:tag w:val="_GBC_83eea96809554a8b86e8c53c6e3da040"/>
                  <w:id w:val="1441952827"/>
                  <w:lock w:val="sdtLocked"/>
                  <w:placeholder>
                    <w:docPart w:val="FE86601F13554516A734E0C2ADE0CE82"/>
                  </w:placeholder>
                  <w:dataBinding w:prefixMappings="xmlns:clcid-mr='clcid-mr'" w:xpath="/*/clcid-mr:KuaiJiJiGouFuZeRenXingMing[not(@periodRef)]" w:storeItemID="{89EBAB94-44A0-46A2-B712-30D997D04A6D}"/>
                  <w:text/>
                </w:sdtPr>
                <w:sdtEndPr/>
                <w:sdtContent>
                  <w:r w:rsidRPr="00F7004D">
                    <w:rPr>
                      <w:rFonts w:hint="eastAsia"/>
                      <w:szCs w:val="21"/>
                    </w:rPr>
                    <w:t>王艳东先生</w:t>
                  </w:r>
                </w:sdtContent>
              </w:sdt>
            </w:p>
          </w:sdtContent>
        </w:sdt>
        <w:p w14:paraId="545855F7" w14:textId="48837B83" w:rsidR="00BD516E" w:rsidRPr="00BD516E" w:rsidRDefault="00BD516E" w:rsidP="00BD516E">
          <w:pPr>
            <w:pStyle w:val="afffff7"/>
            <w:jc w:val="center"/>
          </w:pPr>
        </w:p>
        <w:p w14:paraId="33008492" w14:textId="55DC7441" w:rsidR="00471D53" w:rsidRDefault="00B664AF" w:rsidP="00471D53">
          <w:pPr>
            <w:snapToGrid w:val="0"/>
            <w:spacing w:line="240" w:lineRule="atLeast"/>
            <w:ind w:rightChars="-73" w:right="-153"/>
            <w:rPr>
              <w:rFonts w:cs="宋体-方正超大字符集"/>
              <w:szCs w:val="21"/>
            </w:rPr>
          </w:pPr>
        </w:p>
      </w:sdtContent>
    </w:sdt>
    <w:bookmarkEnd w:id="82"/>
    <w:p w14:paraId="7E88CA37" w14:textId="2532AD3B" w:rsidR="00471D53" w:rsidRDefault="00B664AF" w:rsidP="00471D53">
      <w:pPr>
        <w:snapToGrid w:val="0"/>
        <w:spacing w:line="240" w:lineRule="atLeast"/>
        <w:ind w:rightChars="-73" w:right="-153"/>
        <w:rPr>
          <w:b/>
          <w:bCs/>
          <w:color w:val="FF0000"/>
          <w:szCs w:val="21"/>
        </w:rPr>
      </w:pPr>
    </w:p>
    <w:p w14:paraId="696B56BB" w14:textId="77777777" w:rsidR="00471D53" w:rsidRDefault="00B664AF">
      <w:pPr>
        <w:rPr>
          <w:color w:val="FF0000"/>
          <w:szCs w:val="21"/>
        </w:rPr>
      </w:pPr>
    </w:p>
    <w:p w14:paraId="55EB3573" w14:textId="77777777" w:rsidR="00471D53" w:rsidRDefault="00B664AF">
      <w:pPr>
        <w:rPr>
          <w:color w:val="FF0000"/>
          <w:szCs w:val="21"/>
        </w:rPr>
      </w:pPr>
    </w:p>
    <w:bookmarkStart w:id="83" w:name="_Hlk10211590" w:displacedByCustomXml="next"/>
    <w:sdt>
      <w:sdtPr>
        <w:rPr>
          <w:rFonts w:ascii="宋体" w:hAnsi="宋体" w:cs="宋体" w:hint="eastAsia"/>
          <w:b w:val="0"/>
          <w:bCs w:val="0"/>
          <w:kern w:val="0"/>
          <w:szCs w:val="24"/>
        </w:rPr>
        <w:alias w:val="选项模块:需要编制合并报表"/>
        <w:tag w:val="_GBC_d6533048a32749eaa7738390457b7f24"/>
        <w:id w:val="96616042"/>
        <w:lock w:val="sdtLocked"/>
        <w:placeholder>
          <w:docPart w:val="GBC22222222222222222222222222222"/>
        </w:placeholder>
      </w:sdtPr>
      <w:sdtEndPr>
        <w:rPr>
          <w:szCs w:val="21"/>
        </w:rPr>
      </w:sdtEndPr>
      <w:sdtContent>
        <w:sdt>
          <w:sdtPr>
            <w:rPr>
              <w:rFonts w:ascii="宋体" w:hAnsi="宋体" w:cs="宋体" w:hint="eastAsia"/>
              <w:b w:val="0"/>
              <w:bCs w:val="0"/>
              <w:kern w:val="0"/>
              <w:szCs w:val="24"/>
            </w:rPr>
            <w:tag w:val="_GBC_17c43da24c7845d3aa093910aeaf2348"/>
            <w:id w:val="1131833451"/>
            <w:lock w:val="sdtLocked"/>
            <w:placeholder>
              <w:docPart w:val="GBC22222222222222222222222222222"/>
            </w:placeholder>
          </w:sdtPr>
          <w:sdtEndPr>
            <w:rPr>
              <w:szCs w:val="21"/>
            </w:rPr>
          </w:sdtEndPr>
          <w:sdtContent>
            <w:p w14:paraId="3B6E5DBC" w14:textId="77777777" w:rsidR="00471D53" w:rsidRDefault="004F686E">
              <w:pPr>
                <w:pStyle w:val="afffff7"/>
                <w:jc w:val="center"/>
                <w:rPr>
                  <w:rFonts w:ascii="宋体" w:hAnsi="宋体"/>
                </w:rPr>
              </w:pPr>
              <w:r>
                <w:rPr>
                  <w:rFonts w:ascii="宋体" w:hAnsi="宋体" w:hint="eastAsia"/>
                </w:rPr>
                <w:t>合并</w:t>
              </w:r>
              <w:r>
                <w:rPr>
                  <w:rFonts w:ascii="宋体" w:hAnsi="宋体"/>
                </w:rPr>
                <w:t>现金流量表</w:t>
              </w:r>
            </w:p>
            <w:p w14:paraId="140ED0CA" w14:textId="77777777" w:rsidR="00471D53" w:rsidRDefault="004F686E">
              <w:pPr>
                <w:jc w:val="center"/>
                <w:rPr>
                  <w:b/>
                  <w:bCs/>
                  <w:szCs w:val="21"/>
                </w:rPr>
              </w:pPr>
              <w:r>
                <w:rPr>
                  <w:szCs w:val="21"/>
                </w:rPr>
                <w:t>2021年</w:t>
              </w:r>
              <w:r>
                <w:rPr>
                  <w:rFonts w:hint="eastAsia"/>
                  <w:szCs w:val="21"/>
                </w:rPr>
                <w:t>1—6</w:t>
              </w:r>
              <w:r>
                <w:rPr>
                  <w:szCs w:val="21"/>
                </w:rPr>
                <w:t>月</w:t>
              </w:r>
            </w:p>
            <w:p w14:paraId="176C808B" w14:textId="7DF96E4B" w:rsidR="00471D53" w:rsidRDefault="004F686E">
              <w:pPr>
                <w:jc w:val="right"/>
                <w:rPr>
                  <w:szCs w:val="21"/>
                </w:rPr>
              </w:pPr>
              <w:r>
                <w:rPr>
                  <w:szCs w:val="21"/>
                </w:rPr>
                <w:t>单位</w:t>
              </w:r>
              <w:r>
                <w:rPr>
                  <w:rFonts w:hint="eastAsia"/>
                  <w:szCs w:val="21"/>
                </w:rPr>
                <w:t>：</w:t>
              </w:r>
              <w:sdt>
                <w:sdtPr>
                  <w:rPr>
                    <w:rFonts w:hint="eastAsia"/>
                    <w:szCs w:val="21"/>
                  </w:rPr>
                  <w:alias w:val="单位：合并现金流量表"/>
                  <w:tag w:val="_GBC_7049413ddb8f4e5eac9cb9fb4f802433"/>
                  <w:id w:val="21238725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币种</w:t>
              </w:r>
              <w:r>
                <w:rPr>
                  <w:rFonts w:hint="eastAsia"/>
                  <w:szCs w:val="21"/>
                </w:rPr>
                <w:t>：</w:t>
              </w:r>
              <w:sdt>
                <w:sdtPr>
                  <w:rPr>
                    <w:rFonts w:hint="eastAsia"/>
                    <w:szCs w:val="21"/>
                  </w:rPr>
                  <w:alias w:val="币种：合并现金流量表"/>
                  <w:tag w:val="_GBC_5ab1c6e244484b228b8cdc6ee3840fd6"/>
                  <w:id w:val="-20838283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64"/>
                <w:gridCol w:w="1528"/>
                <w:gridCol w:w="2119"/>
                <w:gridCol w:w="2112"/>
              </w:tblGrid>
              <w:tr w:rsidR="00471D53" w14:paraId="734362E7" w14:textId="77777777" w:rsidTr="00290CE2">
                <w:sdt>
                  <w:sdtPr>
                    <w:tag w:val="_PLD_2a3b6af3ab824e2db1022630f7a58e18"/>
                    <w:id w:val="1419600449"/>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3E8C15EF" w14:textId="77777777" w:rsidR="00471D53" w:rsidRDefault="004F686E">
                        <w:pPr>
                          <w:jc w:val="center"/>
                          <w:rPr>
                            <w:b/>
                            <w:bCs/>
                            <w:szCs w:val="21"/>
                          </w:rPr>
                        </w:pPr>
                        <w:r>
                          <w:rPr>
                            <w:b/>
                            <w:szCs w:val="21"/>
                          </w:rPr>
                          <w:t>项目</w:t>
                        </w:r>
                      </w:p>
                    </w:tc>
                  </w:sdtContent>
                </w:sdt>
                <w:sdt>
                  <w:sdtPr>
                    <w:tag w:val="_PLD_49df1a6f5a224085bdcd56671a898d47"/>
                    <w:id w:val="-1069803291"/>
                    <w:lock w:val="sdtLocked"/>
                  </w:sdtPr>
                  <w:sdtEndPr/>
                  <w:sdtContent>
                    <w:tc>
                      <w:tcPr>
                        <w:tcW w:w="866" w:type="pct"/>
                        <w:tcBorders>
                          <w:top w:val="outset" w:sz="4" w:space="0" w:color="auto"/>
                          <w:left w:val="outset" w:sz="4" w:space="0" w:color="auto"/>
                          <w:bottom w:val="outset" w:sz="4" w:space="0" w:color="auto"/>
                          <w:right w:val="outset" w:sz="4" w:space="0" w:color="auto"/>
                        </w:tcBorders>
                      </w:tcPr>
                      <w:p w14:paraId="6B9BAA97" w14:textId="77777777" w:rsidR="00471D53" w:rsidRDefault="004F686E">
                        <w:pPr>
                          <w:jc w:val="center"/>
                          <w:rPr>
                            <w:b/>
                            <w:szCs w:val="21"/>
                          </w:rPr>
                        </w:pPr>
                        <w:r>
                          <w:rPr>
                            <w:b/>
                            <w:szCs w:val="21"/>
                          </w:rPr>
                          <w:t>附注</w:t>
                        </w:r>
                      </w:p>
                    </w:tc>
                  </w:sdtContent>
                </w:sdt>
                <w:sdt>
                  <w:sdtPr>
                    <w:tag w:val="_PLD_aba5e14092764f689b78fdbe9892bc51"/>
                    <w:id w:val="1392541967"/>
                    <w:lock w:val="sdtLocked"/>
                  </w:sdtPr>
                  <w:sdtEndPr/>
                  <w:sdtContent>
                    <w:tc>
                      <w:tcPr>
                        <w:tcW w:w="1201" w:type="pct"/>
                        <w:tcBorders>
                          <w:top w:val="outset" w:sz="4" w:space="0" w:color="auto"/>
                          <w:left w:val="outset" w:sz="4" w:space="0" w:color="auto"/>
                          <w:bottom w:val="outset" w:sz="4" w:space="0" w:color="auto"/>
                          <w:right w:val="outset" w:sz="4" w:space="0" w:color="auto"/>
                        </w:tcBorders>
                      </w:tcPr>
                      <w:p w14:paraId="6F351EB5" w14:textId="77777777" w:rsidR="00471D53" w:rsidRDefault="004F686E">
                        <w:pPr>
                          <w:autoSpaceDE w:val="0"/>
                          <w:autoSpaceDN w:val="0"/>
                          <w:adjustRightInd w:val="0"/>
                          <w:jc w:val="center"/>
                          <w:rPr>
                            <w:b/>
                            <w:szCs w:val="21"/>
                          </w:rPr>
                        </w:pPr>
                        <w:r>
                          <w:rPr>
                            <w:rFonts w:hint="eastAsia"/>
                            <w:b/>
                            <w:szCs w:val="21"/>
                          </w:rPr>
                          <w:t>2021年半年度</w:t>
                        </w:r>
                      </w:p>
                    </w:tc>
                  </w:sdtContent>
                </w:sdt>
                <w:sdt>
                  <w:sdtPr>
                    <w:tag w:val="_PLD_8cac70c6f00c4266a9b8cff482cc71cc"/>
                    <w:id w:val="1842895876"/>
                    <w:lock w:val="sdtLocked"/>
                  </w:sdtPr>
                  <w:sdtEndPr/>
                  <w:sdtContent>
                    <w:tc>
                      <w:tcPr>
                        <w:tcW w:w="1197" w:type="pct"/>
                        <w:tcBorders>
                          <w:top w:val="outset" w:sz="4" w:space="0" w:color="auto"/>
                          <w:left w:val="outset" w:sz="4" w:space="0" w:color="auto"/>
                          <w:bottom w:val="outset" w:sz="4" w:space="0" w:color="auto"/>
                          <w:right w:val="outset" w:sz="4" w:space="0" w:color="auto"/>
                        </w:tcBorders>
                      </w:tcPr>
                      <w:p w14:paraId="450CFE3D" w14:textId="77777777" w:rsidR="00471D53" w:rsidRDefault="004F686E">
                        <w:pPr>
                          <w:autoSpaceDE w:val="0"/>
                          <w:autoSpaceDN w:val="0"/>
                          <w:adjustRightInd w:val="0"/>
                          <w:jc w:val="center"/>
                          <w:rPr>
                            <w:b/>
                            <w:szCs w:val="21"/>
                          </w:rPr>
                        </w:pPr>
                        <w:r>
                          <w:rPr>
                            <w:rFonts w:hint="eastAsia"/>
                            <w:b/>
                            <w:szCs w:val="21"/>
                          </w:rPr>
                          <w:t>2020年半年度</w:t>
                        </w:r>
                      </w:p>
                    </w:tc>
                  </w:sdtContent>
                </w:sdt>
              </w:tr>
              <w:tr w:rsidR="00471D53" w14:paraId="74FB466A" w14:textId="77777777" w:rsidTr="00290CE2">
                <w:sdt>
                  <w:sdtPr>
                    <w:tag w:val="_PLD_ffd119a1ffa641c1a00397806a78ee23"/>
                    <w:id w:val="1550571411"/>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7B36333F" w14:textId="77777777" w:rsidR="00471D53" w:rsidRDefault="004F686E">
                        <w:pPr>
                          <w:rPr>
                            <w:color w:val="000000"/>
                            <w:szCs w:val="21"/>
                          </w:rPr>
                        </w:pPr>
                        <w:r>
                          <w:rPr>
                            <w:rFonts w:hint="eastAsia"/>
                            <w:b/>
                            <w:bCs/>
                            <w:szCs w:val="21"/>
                          </w:rPr>
                          <w:t>一、经营活动产生的现金流量：</w:t>
                        </w:r>
                      </w:p>
                    </w:tc>
                  </w:sdtContent>
                </w:sdt>
                <w:tc>
                  <w:tcPr>
                    <w:tcW w:w="866" w:type="pct"/>
                    <w:tcBorders>
                      <w:top w:val="outset" w:sz="4" w:space="0" w:color="auto"/>
                      <w:left w:val="outset" w:sz="4" w:space="0" w:color="auto"/>
                      <w:bottom w:val="outset" w:sz="4" w:space="0" w:color="auto"/>
                      <w:right w:val="outset" w:sz="4" w:space="0" w:color="auto"/>
                    </w:tcBorders>
                  </w:tcPr>
                  <w:p w14:paraId="55D0E2AD" w14:textId="77777777" w:rsidR="00471D53" w:rsidRDefault="00B664AF">
                    <w:pPr>
                      <w:rPr>
                        <w:szCs w:val="21"/>
                      </w:rPr>
                    </w:pPr>
                  </w:p>
                </w:tc>
                <w:tc>
                  <w:tcPr>
                    <w:tcW w:w="1201" w:type="pct"/>
                    <w:tcBorders>
                      <w:top w:val="outset" w:sz="4" w:space="0" w:color="auto"/>
                      <w:left w:val="outset" w:sz="4" w:space="0" w:color="auto"/>
                      <w:bottom w:val="outset" w:sz="4" w:space="0" w:color="auto"/>
                      <w:right w:val="outset" w:sz="4" w:space="0" w:color="auto"/>
                    </w:tcBorders>
                  </w:tcPr>
                  <w:p w14:paraId="4994F451" w14:textId="77777777" w:rsidR="00471D53" w:rsidRDefault="00B664AF">
                    <w:pPr>
                      <w:rPr>
                        <w:szCs w:val="21"/>
                      </w:rPr>
                    </w:pPr>
                  </w:p>
                </w:tc>
                <w:tc>
                  <w:tcPr>
                    <w:tcW w:w="1197" w:type="pct"/>
                    <w:tcBorders>
                      <w:top w:val="outset" w:sz="4" w:space="0" w:color="auto"/>
                      <w:left w:val="outset" w:sz="4" w:space="0" w:color="auto"/>
                      <w:bottom w:val="outset" w:sz="4" w:space="0" w:color="auto"/>
                      <w:right w:val="outset" w:sz="4" w:space="0" w:color="auto"/>
                    </w:tcBorders>
                  </w:tcPr>
                  <w:p w14:paraId="726DAFB9" w14:textId="77777777" w:rsidR="00471D53" w:rsidRDefault="00B664AF">
                    <w:pPr>
                      <w:rPr>
                        <w:szCs w:val="21"/>
                      </w:rPr>
                    </w:pPr>
                  </w:p>
                </w:tc>
              </w:tr>
              <w:tr w:rsidR="00471D53" w14:paraId="5336D23B" w14:textId="77777777" w:rsidTr="00471D53">
                <w:sdt>
                  <w:sdtPr>
                    <w:tag w:val="_PLD_3737bef37bc541e2b41571186e0af02f"/>
                    <w:id w:val="-2056851838"/>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66C9343C" w14:textId="77777777" w:rsidR="00471D53" w:rsidRDefault="004F686E" w:rsidP="00471D53">
                        <w:pPr>
                          <w:ind w:firstLineChars="100" w:firstLine="210"/>
                          <w:rPr>
                            <w:color w:val="000000"/>
                            <w:szCs w:val="21"/>
                          </w:rPr>
                        </w:pPr>
                        <w:r>
                          <w:rPr>
                            <w:rFonts w:hint="eastAsia"/>
                            <w:szCs w:val="21"/>
                          </w:rPr>
                          <w:t>销售商品、提供劳务收到的现金</w:t>
                        </w:r>
                      </w:p>
                    </w:tc>
                  </w:sdtContent>
                </w:sdt>
                <w:tc>
                  <w:tcPr>
                    <w:tcW w:w="866" w:type="pct"/>
                    <w:tcBorders>
                      <w:top w:val="outset" w:sz="4" w:space="0" w:color="auto"/>
                      <w:left w:val="outset" w:sz="4" w:space="0" w:color="auto"/>
                      <w:bottom w:val="outset" w:sz="4" w:space="0" w:color="auto"/>
                      <w:right w:val="outset" w:sz="4" w:space="0" w:color="auto"/>
                    </w:tcBorders>
                  </w:tcPr>
                  <w:p w14:paraId="362B5BFF" w14:textId="77777777" w:rsidR="00471D53" w:rsidRDefault="00B664AF">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38750D45" w14:textId="7996C6F1" w:rsidR="00471D53" w:rsidRDefault="004F686E">
                    <w:pPr>
                      <w:jc w:val="right"/>
                      <w:rPr>
                        <w:sz w:val="22"/>
                        <w:szCs w:val="22"/>
                      </w:rPr>
                    </w:pPr>
                    <w:r>
                      <w:rPr>
                        <w:rFonts w:hint="eastAsia"/>
                        <w:sz w:val="22"/>
                        <w:szCs w:val="22"/>
                      </w:rPr>
                      <w:t>414,020,281.79</w:t>
                    </w:r>
                  </w:p>
                </w:tc>
                <w:tc>
                  <w:tcPr>
                    <w:tcW w:w="1197" w:type="pct"/>
                    <w:tcBorders>
                      <w:top w:val="outset" w:sz="4" w:space="0" w:color="auto"/>
                      <w:left w:val="outset" w:sz="4" w:space="0" w:color="auto"/>
                      <w:bottom w:val="outset" w:sz="4" w:space="0" w:color="auto"/>
                      <w:right w:val="outset" w:sz="4" w:space="0" w:color="auto"/>
                    </w:tcBorders>
                    <w:vAlign w:val="center"/>
                  </w:tcPr>
                  <w:p w14:paraId="7D8ADC6A" w14:textId="4E7B9080" w:rsidR="00471D53" w:rsidRDefault="004F686E">
                    <w:pPr>
                      <w:jc w:val="right"/>
                      <w:rPr>
                        <w:sz w:val="22"/>
                        <w:szCs w:val="22"/>
                      </w:rPr>
                    </w:pPr>
                    <w:r>
                      <w:rPr>
                        <w:rFonts w:hint="eastAsia"/>
                        <w:sz w:val="22"/>
                        <w:szCs w:val="22"/>
                      </w:rPr>
                      <w:t>462,159,937.68</w:t>
                    </w:r>
                  </w:p>
                </w:tc>
              </w:tr>
              <w:tr w:rsidR="00471D53" w14:paraId="63853AC4" w14:textId="77777777" w:rsidTr="00290CE2">
                <w:sdt>
                  <w:sdtPr>
                    <w:tag w:val="_PLD_0e165cb86e9e42a0b268845ab2bfbc62"/>
                    <w:id w:val="146238826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792C07DB" w14:textId="77777777" w:rsidR="00471D53" w:rsidRDefault="004F686E" w:rsidP="00471D53">
                        <w:pPr>
                          <w:ind w:firstLineChars="100" w:firstLine="210"/>
                          <w:rPr>
                            <w:szCs w:val="21"/>
                          </w:rPr>
                        </w:pPr>
                        <w:r>
                          <w:rPr>
                            <w:rFonts w:hint="eastAsia"/>
                            <w:szCs w:val="21"/>
                          </w:rPr>
                          <w:t>客户存款和同业存放款项净增加额</w:t>
                        </w:r>
                      </w:p>
                    </w:tc>
                  </w:sdtContent>
                </w:sdt>
                <w:tc>
                  <w:tcPr>
                    <w:tcW w:w="866" w:type="pct"/>
                    <w:tcBorders>
                      <w:top w:val="outset" w:sz="4" w:space="0" w:color="auto"/>
                      <w:left w:val="outset" w:sz="4" w:space="0" w:color="auto"/>
                      <w:bottom w:val="outset" w:sz="4" w:space="0" w:color="auto"/>
                      <w:right w:val="outset" w:sz="4" w:space="0" w:color="auto"/>
                    </w:tcBorders>
                  </w:tcPr>
                  <w:p w14:paraId="1D2435C7" w14:textId="77777777" w:rsidR="00471D53" w:rsidRDefault="00B664AF">
                    <w:pPr>
                      <w:rPr>
                        <w:szCs w:val="21"/>
                      </w:rPr>
                    </w:pPr>
                  </w:p>
                </w:tc>
                <w:tc>
                  <w:tcPr>
                    <w:tcW w:w="1201" w:type="pct"/>
                    <w:tcBorders>
                      <w:top w:val="outset" w:sz="4" w:space="0" w:color="auto"/>
                      <w:left w:val="outset" w:sz="4" w:space="0" w:color="auto"/>
                      <w:bottom w:val="outset" w:sz="4" w:space="0" w:color="auto"/>
                      <w:right w:val="outset" w:sz="4" w:space="0" w:color="auto"/>
                    </w:tcBorders>
                  </w:tcPr>
                  <w:p w14:paraId="112FC69F" w14:textId="77777777" w:rsidR="00471D53" w:rsidRDefault="00B664AF">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70E3857F" w14:textId="77777777" w:rsidR="00471D53" w:rsidRDefault="00B664AF">
                    <w:pPr>
                      <w:jc w:val="right"/>
                      <w:rPr>
                        <w:szCs w:val="21"/>
                      </w:rPr>
                    </w:pPr>
                  </w:p>
                </w:tc>
              </w:tr>
              <w:tr w:rsidR="00471D53" w14:paraId="1F0E61F2" w14:textId="77777777" w:rsidTr="00290CE2">
                <w:sdt>
                  <w:sdtPr>
                    <w:tag w:val="_PLD_53ac9ac9881c4fd7a23a964afe0f5ab9"/>
                    <w:id w:val="401336095"/>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092C651F" w14:textId="77777777" w:rsidR="00471D53" w:rsidRDefault="004F686E" w:rsidP="00471D53">
                        <w:pPr>
                          <w:ind w:firstLineChars="100" w:firstLine="210"/>
                          <w:rPr>
                            <w:szCs w:val="21"/>
                          </w:rPr>
                        </w:pPr>
                        <w:r>
                          <w:rPr>
                            <w:rFonts w:hint="eastAsia"/>
                            <w:szCs w:val="21"/>
                          </w:rPr>
                          <w:t>向中央银行借款净增加额</w:t>
                        </w:r>
                      </w:p>
                    </w:tc>
                  </w:sdtContent>
                </w:sdt>
                <w:tc>
                  <w:tcPr>
                    <w:tcW w:w="866" w:type="pct"/>
                    <w:tcBorders>
                      <w:top w:val="outset" w:sz="4" w:space="0" w:color="auto"/>
                      <w:left w:val="outset" w:sz="4" w:space="0" w:color="auto"/>
                      <w:bottom w:val="outset" w:sz="4" w:space="0" w:color="auto"/>
                      <w:right w:val="outset" w:sz="4" w:space="0" w:color="auto"/>
                    </w:tcBorders>
                  </w:tcPr>
                  <w:p w14:paraId="78795160" w14:textId="77777777" w:rsidR="00471D53" w:rsidRDefault="00B664AF">
                    <w:pPr>
                      <w:rPr>
                        <w:szCs w:val="21"/>
                      </w:rPr>
                    </w:pPr>
                  </w:p>
                </w:tc>
                <w:tc>
                  <w:tcPr>
                    <w:tcW w:w="1201" w:type="pct"/>
                    <w:tcBorders>
                      <w:top w:val="outset" w:sz="4" w:space="0" w:color="auto"/>
                      <w:left w:val="outset" w:sz="4" w:space="0" w:color="auto"/>
                      <w:bottom w:val="outset" w:sz="4" w:space="0" w:color="auto"/>
                      <w:right w:val="outset" w:sz="4" w:space="0" w:color="auto"/>
                    </w:tcBorders>
                  </w:tcPr>
                  <w:p w14:paraId="6133C416" w14:textId="77777777" w:rsidR="00471D53" w:rsidRDefault="00B664AF">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19F675B5" w14:textId="77777777" w:rsidR="00471D53" w:rsidRDefault="00B664AF">
                    <w:pPr>
                      <w:jc w:val="right"/>
                      <w:rPr>
                        <w:szCs w:val="21"/>
                      </w:rPr>
                    </w:pPr>
                  </w:p>
                </w:tc>
              </w:tr>
              <w:tr w:rsidR="00471D53" w14:paraId="0ACFE82D" w14:textId="77777777" w:rsidTr="00290CE2">
                <w:sdt>
                  <w:sdtPr>
                    <w:tag w:val="_PLD_4fa5cd7231084d5e8d16a86dececd3b2"/>
                    <w:id w:val="-267232905"/>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05D03571" w14:textId="77777777" w:rsidR="00471D53" w:rsidRDefault="004F686E" w:rsidP="00471D53">
                        <w:pPr>
                          <w:ind w:firstLineChars="100" w:firstLine="210"/>
                          <w:rPr>
                            <w:szCs w:val="21"/>
                          </w:rPr>
                        </w:pPr>
                        <w:r>
                          <w:rPr>
                            <w:rFonts w:hint="eastAsia"/>
                            <w:szCs w:val="21"/>
                          </w:rPr>
                          <w:t>向其他金融机构拆入资金净增加额</w:t>
                        </w:r>
                      </w:p>
                    </w:tc>
                  </w:sdtContent>
                </w:sdt>
                <w:tc>
                  <w:tcPr>
                    <w:tcW w:w="866" w:type="pct"/>
                    <w:tcBorders>
                      <w:top w:val="outset" w:sz="4" w:space="0" w:color="auto"/>
                      <w:left w:val="outset" w:sz="4" w:space="0" w:color="auto"/>
                      <w:bottom w:val="outset" w:sz="4" w:space="0" w:color="auto"/>
                      <w:right w:val="outset" w:sz="4" w:space="0" w:color="auto"/>
                    </w:tcBorders>
                  </w:tcPr>
                  <w:p w14:paraId="28C4C465" w14:textId="77777777" w:rsidR="00471D53" w:rsidRDefault="00B664AF">
                    <w:pPr>
                      <w:rPr>
                        <w:szCs w:val="21"/>
                      </w:rPr>
                    </w:pPr>
                  </w:p>
                </w:tc>
                <w:tc>
                  <w:tcPr>
                    <w:tcW w:w="1201" w:type="pct"/>
                    <w:tcBorders>
                      <w:top w:val="outset" w:sz="4" w:space="0" w:color="auto"/>
                      <w:left w:val="outset" w:sz="4" w:space="0" w:color="auto"/>
                      <w:bottom w:val="outset" w:sz="4" w:space="0" w:color="auto"/>
                      <w:right w:val="outset" w:sz="4" w:space="0" w:color="auto"/>
                    </w:tcBorders>
                  </w:tcPr>
                  <w:p w14:paraId="1FAF1782" w14:textId="77777777" w:rsidR="00471D53" w:rsidRDefault="00B664AF">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1B258E47" w14:textId="77777777" w:rsidR="00471D53" w:rsidRDefault="00B664AF">
                    <w:pPr>
                      <w:jc w:val="right"/>
                      <w:rPr>
                        <w:szCs w:val="21"/>
                      </w:rPr>
                    </w:pPr>
                  </w:p>
                </w:tc>
              </w:tr>
              <w:tr w:rsidR="00471D53" w14:paraId="268D004C" w14:textId="77777777" w:rsidTr="00290CE2">
                <w:sdt>
                  <w:sdtPr>
                    <w:tag w:val="_PLD_ca0d502c0b574483ab47d4c8173169f9"/>
                    <w:id w:val="200693918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650ACA88" w14:textId="77777777" w:rsidR="00471D53" w:rsidRDefault="004F686E" w:rsidP="00471D53">
                        <w:pPr>
                          <w:ind w:firstLineChars="100" w:firstLine="210"/>
                          <w:rPr>
                            <w:szCs w:val="21"/>
                          </w:rPr>
                        </w:pPr>
                        <w:r>
                          <w:rPr>
                            <w:rFonts w:hint="eastAsia"/>
                            <w:szCs w:val="21"/>
                          </w:rPr>
                          <w:t>收到原保险合同保费取得的现金</w:t>
                        </w:r>
                      </w:p>
                    </w:tc>
                  </w:sdtContent>
                </w:sdt>
                <w:tc>
                  <w:tcPr>
                    <w:tcW w:w="866" w:type="pct"/>
                    <w:tcBorders>
                      <w:top w:val="outset" w:sz="4" w:space="0" w:color="auto"/>
                      <w:left w:val="outset" w:sz="4" w:space="0" w:color="auto"/>
                      <w:bottom w:val="outset" w:sz="4" w:space="0" w:color="auto"/>
                      <w:right w:val="outset" w:sz="4" w:space="0" w:color="auto"/>
                    </w:tcBorders>
                  </w:tcPr>
                  <w:p w14:paraId="1CF291F1" w14:textId="77777777" w:rsidR="00471D53" w:rsidRDefault="00B664AF">
                    <w:pPr>
                      <w:rPr>
                        <w:szCs w:val="21"/>
                      </w:rPr>
                    </w:pPr>
                  </w:p>
                </w:tc>
                <w:tc>
                  <w:tcPr>
                    <w:tcW w:w="1201" w:type="pct"/>
                    <w:tcBorders>
                      <w:top w:val="outset" w:sz="4" w:space="0" w:color="auto"/>
                      <w:left w:val="outset" w:sz="4" w:space="0" w:color="auto"/>
                      <w:bottom w:val="outset" w:sz="4" w:space="0" w:color="auto"/>
                      <w:right w:val="outset" w:sz="4" w:space="0" w:color="auto"/>
                    </w:tcBorders>
                  </w:tcPr>
                  <w:p w14:paraId="20D5843F" w14:textId="77777777" w:rsidR="00471D53" w:rsidRDefault="00B664AF">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3A3F397B" w14:textId="77777777" w:rsidR="00471D53" w:rsidRDefault="00B664AF">
                    <w:pPr>
                      <w:jc w:val="right"/>
                      <w:rPr>
                        <w:szCs w:val="21"/>
                      </w:rPr>
                    </w:pPr>
                  </w:p>
                </w:tc>
              </w:tr>
              <w:tr w:rsidR="00471D53" w14:paraId="1801518E" w14:textId="77777777" w:rsidTr="00290CE2">
                <w:sdt>
                  <w:sdtPr>
                    <w:tag w:val="_PLD_27d3854b584b426e821112162a2315b7"/>
                    <w:id w:val="-79714595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0A512A92" w14:textId="77777777" w:rsidR="00471D53" w:rsidRDefault="004F686E" w:rsidP="00471D53">
                        <w:pPr>
                          <w:ind w:firstLineChars="100" w:firstLine="210"/>
                          <w:rPr>
                            <w:szCs w:val="21"/>
                          </w:rPr>
                        </w:pPr>
                        <w:r>
                          <w:rPr>
                            <w:rFonts w:hint="eastAsia"/>
                            <w:szCs w:val="21"/>
                          </w:rPr>
                          <w:t>收到再保业务现金净额</w:t>
                        </w:r>
                      </w:p>
                    </w:tc>
                  </w:sdtContent>
                </w:sdt>
                <w:tc>
                  <w:tcPr>
                    <w:tcW w:w="866" w:type="pct"/>
                    <w:tcBorders>
                      <w:top w:val="outset" w:sz="4" w:space="0" w:color="auto"/>
                      <w:left w:val="outset" w:sz="4" w:space="0" w:color="auto"/>
                      <w:bottom w:val="outset" w:sz="4" w:space="0" w:color="auto"/>
                      <w:right w:val="outset" w:sz="4" w:space="0" w:color="auto"/>
                    </w:tcBorders>
                  </w:tcPr>
                  <w:p w14:paraId="4C6F53C0" w14:textId="77777777" w:rsidR="00471D53" w:rsidRDefault="00B664AF">
                    <w:pPr>
                      <w:rPr>
                        <w:szCs w:val="21"/>
                      </w:rPr>
                    </w:pPr>
                  </w:p>
                </w:tc>
                <w:tc>
                  <w:tcPr>
                    <w:tcW w:w="1201" w:type="pct"/>
                    <w:tcBorders>
                      <w:top w:val="outset" w:sz="4" w:space="0" w:color="auto"/>
                      <w:left w:val="outset" w:sz="4" w:space="0" w:color="auto"/>
                      <w:bottom w:val="outset" w:sz="4" w:space="0" w:color="auto"/>
                      <w:right w:val="outset" w:sz="4" w:space="0" w:color="auto"/>
                    </w:tcBorders>
                  </w:tcPr>
                  <w:p w14:paraId="65ECBD98" w14:textId="77777777" w:rsidR="00471D53" w:rsidRDefault="00B664AF">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4632700C" w14:textId="77777777" w:rsidR="00471D53" w:rsidRDefault="00B664AF">
                    <w:pPr>
                      <w:jc w:val="right"/>
                      <w:rPr>
                        <w:szCs w:val="21"/>
                      </w:rPr>
                    </w:pPr>
                  </w:p>
                </w:tc>
              </w:tr>
              <w:tr w:rsidR="00471D53" w14:paraId="40A0853F" w14:textId="77777777" w:rsidTr="00290CE2">
                <w:sdt>
                  <w:sdtPr>
                    <w:tag w:val="_PLD_9042657b6c95463292e1d70a9dcb4339"/>
                    <w:id w:val="-1623913989"/>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05A27C39" w14:textId="77777777" w:rsidR="00471D53" w:rsidRDefault="004F686E" w:rsidP="00471D53">
                        <w:pPr>
                          <w:ind w:firstLineChars="100" w:firstLine="210"/>
                          <w:rPr>
                            <w:szCs w:val="21"/>
                          </w:rPr>
                        </w:pPr>
                        <w:r>
                          <w:rPr>
                            <w:rFonts w:hint="eastAsia"/>
                            <w:szCs w:val="21"/>
                          </w:rPr>
                          <w:t>保户储金及投资款净增加额</w:t>
                        </w:r>
                      </w:p>
                    </w:tc>
                  </w:sdtContent>
                </w:sdt>
                <w:tc>
                  <w:tcPr>
                    <w:tcW w:w="866" w:type="pct"/>
                    <w:tcBorders>
                      <w:top w:val="outset" w:sz="4" w:space="0" w:color="auto"/>
                      <w:left w:val="outset" w:sz="4" w:space="0" w:color="auto"/>
                      <w:bottom w:val="outset" w:sz="4" w:space="0" w:color="auto"/>
                      <w:right w:val="outset" w:sz="4" w:space="0" w:color="auto"/>
                    </w:tcBorders>
                  </w:tcPr>
                  <w:p w14:paraId="50060A75" w14:textId="77777777" w:rsidR="00471D53" w:rsidRDefault="00B664AF">
                    <w:pPr>
                      <w:rPr>
                        <w:szCs w:val="21"/>
                      </w:rPr>
                    </w:pPr>
                  </w:p>
                </w:tc>
                <w:tc>
                  <w:tcPr>
                    <w:tcW w:w="1201" w:type="pct"/>
                    <w:tcBorders>
                      <w:top w:val="outset" w:sz="4" w:space="0" w:color="auto"/>
                      <w:left w:val="outset" w:sz="4" w:space="0" w:color="auto"/>
                      <w:bottom w:val="outset" w:sz="4" w:space="0" w:color="auto"/>
                      <w:right w:val="outset" w:sz="4" w:space="0" w:color="auto"/>
                    </w:tcBorders>
                  </w:tcPr>
                  <w:p w14:paraId="12CC0219" w14:textId="77777777" w:rsidR="00471D53" w:rsidRDefault="00B664AF">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37793985" w14:textId="77777777" w:rsidR="00471D53" w:rsidRDefault="00B664AF">
                    <w:pPr>
                      <w:jc w:val="right"/>
                      <w:rPr>
                        <w:szCs w:val="21"/>
                      </w:rPr>
                    </w:pPr>
                  </w:p>
                </w:tc>
              </w:tr>
              <w:tr w:rsidR="00471D53" w14:paraId="5456BD62" w14:textId="77777777" w:rsidTr="00290CE2">
                <w:sdt>
                  <w:sdtPr>
                    <w:tag w:val="_PLD_f2b940928e9a441385d0fbc1e03e9847"/>
                    <w:id w:val="595601308"/>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6924AB3C" w14:textId="77777777" w:rsidR="00471D53" w:rsidRDefault="004F686E" w:rsidP="00471D53">
                        <w:pPr>
                          <w:ind w:firstLineChars="100" w:firstLine="210"/>
                          <w:rPr>
                            <w:szCs w:val="21"/>
                          </w:rPr>
                        </w:pPr>
                        <w:r>
                          <w:rPr>
                            <w:rFonts w:hint="eastAsia"/>
                            <w:szCs w:val="21"/>
                          </w:rPr>
                          <w:t>收取利息、手续费及佣金的现金</w:t>
                        </w:r>
                      </w:p>
                    </w:tc>
                  </w:sdtContent>
                </w:sdt>
                <w:tc>
                  <w:tcPr>
                    <w:tcW w:w="866" w:type="pct"/>
                    <w:tcBorders>
                      <w:top w:val="outset" w:sz="4" w:space="0" w:color="auto"/>
                      <w:left w:val="outset" w:sz="4" w:space="0" w:color="auto"/>
                      <w:bottom w:val="outset" w:sz="4" w:space="0" w:color="auto"/>
                      <w:right w:val="outset" w:sz="4" w:space="0" w:color="auto"/>
                    </w:tcBorders>
                  </w:tcPr>
                  <w:p w14:paraId="3A907035" w14:textId="77777777" w:rsidR="00471D53" w:rsidRDefault="00B664AF">
                    <w:pPr>
                      <w:rPr>
                        <w:szCs w:val="21"/>
                      </w:rPr>
                    </w:pPr>
                  </w:p>
                </w:tc>
                <w:tc>
                  <w:tcPr>
                    <w:tcW w:w="1201" w:type="pct"/>
                    <w:tcBorders>
                      <w:top w:val="outset" w:sz="4" w:space="0" w:color="auto"/>
                      <w:left w:val="outset" w:sz="4" w:space="0" w:color="auto"/>
                      <w:bottom w:val="outset" w:sz="4" w:space="0" w:color="auto"/>
                      <w:right w:val="outset" w:sz="4" w:space="0" w:color="auto"/>
                    </w:tcBorders>
                  </w:tcPr>
                  <w:p w14:paraId="522D6CEE" w14:textId="77777777" w:rsidR="00471D53" w:rsidRDefault="00B664AF">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33B8D1D6" w14:textId="77777777" w:rsidR="00471D53" w:rsidRDefault="00B664AF">
                    <w:pPr>
                      <w:jc w:val="right"/>
                      <w:rPr>
                        <w:szCs w:val="21"/>
                      </w:rPr>
                    </w:pPr>
                  </w:p>
                </w:tc>
              </w:tr>
              <w:tr w:rsidR="00471D53" w14:paraId="4A2BB98B" w14:textId="77777777" w:rsidTr="00290CE2">
                <w:sdt>
                  <w:sdtPr>
                    <w:tag w:val="_PLD_fb8a102c0adb420b81df819e96f35605"/>
                    <w:id w:val="-49517927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1EAC2CC0" w14:textId="77777777" w:rsidR="00471D53" w:rsidRDefault="004F686E" w:rsidP="00471D53">
                        <w:pPr>
                          <w:ind w:firstLineChars="100" w:firstLine="210"/>
                          <w:rPr>
                            <w:szCs w:val="21"/>
                          </w:rPr>
                        </w:pPr>
                        <w:r>
                          <w:rPr>
                            <w:rFonts w:hint="eastAsia"/>
                            <w:szCs w:val="21"/>
                          </w:rPr>
                          <w:t>拆入资金净增加额</w:t>
                        </w:r>
                      </w:p>
                    </w:tc>
                  </w:sdtContent>
                </w:sdt>
                <w:tc>
                  <w:tcPr>
                    <w:tcW w:w="866" w:type="pct"/>
                    <w:tcBorders>
                      <w:top w:val="outset" w:sz="4" w:space="0" w:color="auto"/>
                      <w:left w:val="outset" w:sz="4" w:space="0" w:color="auto"/>
                      <w:bottom w:val="outset" w:sz="4" w:space="0" w:color="auto"/>
                      <w:right w:val="outset" w:sz="4" w:space="0" w:color="auto"/>
                    </w:tcBorders>
                  </w:tcPr>
                  <w:p w14:paraId="5B6DB065" w14:textId="77777777" w:rsidR="00471D53" w:rsidRDefault="00B664AF">
                    <w:pPr>
                      <w:rPr>
                        <w:szCs w:val="21"/>
                      </w:rPr>
                    </w:pPr>
                  </w:p>
                </w:tc>
                <w:tc>
                  <w:tcPr>
                    <w:tcW w:w="1201" w:type="pct"/>
                    <w:tcBorders>
                      <w:top w:val="outset" w:sz="4" w:space="0" w:color="auto"/>
                      <w:left w:val="outset" w:sz="4" w:space="0" w:color="auto"/>
                      <w:bottom w:val="outset" w:sz="4" w:space="0" w:color="auto"/>
                      <w:right w:val="outset" w:sz="4" w:space="0" w:color="auto"/>
                    </w:tcBorders>
                  </w:tcPr>
                  <w:p w14:paraId="1A1503E9" w14:textId="77777777" w:rsidR="00471D53" w:rsidRDefault="00B664AF">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3343C6BB" w14:textId="77777777" w:rsidR="00471D53" w:rsidRDefault="00B664AF">
                    <w:pPr>
                      <w:jc w:val="right"/>
                      <w:rPr>
                        <w:szCs w:val="21"/>
                      </w:rPr>
                    </w:pPr>
                  </w:p>
                </w:tc>
              </w:tr>
              <w:tr w:rsidR="00471D53" w14:paraId="691E27A1" w14:textId="77777777" w:rsidTr="00290CE2">
                <w:sdt>
                  <w:sdtPr>
                    <w:tag w:val="_PLD_ed524170a3b440c494db2f51afa02dae"/>
                    <w:id w:val="-1432194592"/>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0A79D986" w14:textId="77777777" w:rsidR="00471D53" w:rsidRDefault="004F686E" w:rsidP="00471D53">
                        <w:pPr>
                          <w:ind w:firstLineChars="100" w:firstLine="210"/>
                          <w:rPr>
                            <w:szCs w:val="21"/>
                          </w:rPr>
                        </w:pPr>
                        <w:r>
                          <w:rPr>
                            <w:rFonts w:hint="eastAsia"/>
                            <w:szCs w:val="21"/>
                          </w:rPr>
                          <w:t>回购业务资金净增加额</w:t>
                        </w:r>
                      </w:p>
                    </w:tc>
                  </w:sdtContent>
                </w:sdt>
                <w:tc>
                  <w:tcPr>
                    <w:tcW w:w="866" w:type="pct"/>
                    <w:tcBorders>
                      <w:top w:val="outset" w:sz="4" w:space="0" w:color="auto"/>
                      <w:left w:val="outset" w:sz="4" w:space="0" w:color="auto"/>
                      <w:bottom w:val="outset" w:sz="4" w:space="0" w:color="auto"/>
                      <w:right w:val="outset" w:sz="4" w:space="0" w:color="auto"/>
                    </w:tcBorders>
                  </w:tcPr>
                  <w:p w14:paraId="7BFED1DD" w14:textId="77777777" w:rsidR="00471D53" w:rsidRDefault="00B664AF">
                    <w:pPr>
                      <w:rPr>
                        <w:szCs w:val="21"/>
                      </w:rPr>
                    </w:pPr>
                  </w:p>
                </w:tc>
                <w:tc>
                  <w:tcPr>
                    <w:tcW w:w="1201" w:type="pct"/>
                    <w:tcBorders>
                      <w:top w:val="outset" w:sz="4" w:space="0" w:color="auto"/>
                      <w:left w:val="outset" w:sz="4" w:space="0" w:color="auto"/>
                      <w:bottom w:val="outset" w:sz="4" w:space="0" w:color="auto"/>
                      <w:right w:val="outset" w:sz="4" w:space="0" w:color="auto"/>
                    </w:tcBorders>
                  </w:tcPr>
                  <w:p w14:paraId="79C60C4F" w14:textId="77777777" w:rsidR="00471D53" w:rsidRDefault="00B664AF">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3DD32ACF" w14:textId="77777777" w:rsidR="00471D53" w:rsidRDefault="00B664AF">
                    <w:pPr>
                      <w:jc w:val="right"/>
                      <w:rPr>
                        <w:szCs w:val="21"/>
                      </w:rPr>
                    </w:pPr>
                  </w:p>
                </w:tc>
              </w:tr>
              <w:tr w:rsidR="00471D53" w14:paraId="32042A34" w14:textId="77777777" w:rsidTr="00290CE2">
                <w:tc>
                  <w:tcPr>
                    <w:tcW w:w="1736" w:type="pct"/>
                    <w:tcBorders>
                      <w:top w:val="outset" w:sz="4" w:space="0" w:color="auto"/>
                      <w:left w:val="outset" w:sz="4" w:space="0" w:color="auto"/>
                      <w:bottom w:val="outset" w:sz="4" w:space="0" w:color="auto"/>
                      <w:right w:val="outset" w:sz="4" w:space="0" w:color="auto"/>
                    </w:tcBorders>
                  </w:tcPr>
                  <w:sdt>
                    <w:sdtPr>
                      <w:rPr>
                        <w:rFonts w:hint="eastAsia"/>
                      </w:rPr>
                      <w:tag w:val="_PLD_92047b241c2a4992afcdac105b616305"/>
                      <w:id w:val="98918169"/>
                      <w:lock w:val="sdtLocked"/>
                    </w:sdtPr>
                    <w:sdtEndPr/>
                    <w:sdtContent>
                      <w:p w14:paraId="44E342ED" w14:textId="77777777" w:rsidR="00471D53" w:rsidRDefault="004F686E" w:rsidP="00471D53">
                        <w:pPr>
                          <w:ind w:firstLineChars="100" w:firstLine="210"/>
                        </w:pPr>
                        <w:r>
                          <w:rPr>
                            <w:rFonts w:hint="eastAsia"/>
                          </w:rPr>
                          <w:t>代理买卖证券收到的现金净额</w:t>
                        </w:r>
                      </w:p>
                    </w:sdtContent>
                  </w:sdt>
                </w:tc>
                <w:tc>
                  <w:tcPr>
                    <w:tcW w:w="866" w:type="pct"/>
                    <w:tcBorders>
                      <w:top w:val="outset" w:sz="4" w:space="0" w:color="auto"/>
                      <w:left w:val="outset" w:sz="4" w:space="0" w:color="auto"/>
                      <w:bottom w:val="outset" w:sz="4" w:space="0" w:color="auto"/>
                      <w:right w:val="outset" w:sz="4" w:space="0" w:color="auto"/>
                    </w:tcBorders>
                  </w:tcPr>
                  <w:p w14:paraId="6EC25655" w14:textId="77777777" w:rsidR="00471D53" w:rsidRDefault="00B664AF">
                    <w:pPr>
                      <w:rPr>
                        <w:szCs w:val="21"/>
                      </w:rPr>
                    </w:pPr>
                  </w:p>
                </w:tc>
                <w:tc>
                  <w:tcPr>
                    <w:tcW w:w="1201" w:type="pct"/>
                    <w:tcBorders>
                      <w:top w:val="outset" w:sz="4" w:space="0" w:color="auto"/>
                      <w:left w:val="outset" w:sz="4" w:space="0" w:color="auto"/>
                      <w:bottom w:val="outset" w:sz="4" w:space="0" w:color="auto"/>
                      <w:right w:val="outset" w:sz="4" w:space="0" w:color="auto"/>
                    </w:tcBorders>
                  </w:tcPr>
                  <w:p w14:paraId="3076E308" w14:textId="77777777" w:rsidR="00471D53" w:rsidRDefault="00B664AF">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5BF06FF6" w14:textId="77777777" w:rsidR="00471D53" w:rsidRDefault="00B664AF">
                    <w:pPr>
                      <w:jc w:val="right"/>
                      <w:rPr>
                        <w:szCs w:val="21"/>
                      </w:rPr>
                    </w:pPr>
                  </w:p>
                </w:tc>
              </w:tr>
              <w:tr w:rsidR="00471D53" w14:paraId="7E13ACC9" w14:textId="77777777" w:rsidTr="00471D53">
                <w:sdt>
                  <w:sdtPr>
                    <w:tag w:val="_PLD_64653926f1d7432aafc100b141947533"/>
                    <w:id w:val="-172976569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64D3CDB4" w14:textId="77777777" w:rsidR="00471D53" w:rsidRDefault="004F686E" w:rsidP="00471D53">
                        <w:pPr>
                          <w:ind w:firstLineChars="100" w:firstLine="210"/>
                          <w:rPr>
                            <w:szCs w:val="21"/>
                          </w:rPr>
                        </w:pPr>
                        <w:r>
                          <w:rPr>
                            <w:rFonts w:hint="eastAsia"/>
                            <w:szCs w:val="21"/>
                          </w:rPr>
                          <w:t>收到的税费返还</w:t>
                        </w:r>
                      </w:p>
                    </w:tc>
                  </w:sdtContent>
                </w:sdt>
                <w:tc>
                  <w:tcPr>
                    <w:tcW w:w="866" w:type="pct"/>
                    <w:tcBorders>
                      <w:top w:val="outset" w:sz="4" w:space="0" w:color="auto"/>
                      <w:left w:val="outset" w:sz="4" w:space="0" w:color="auto"/>
                      <w:bottom w:val="outset" w:sz="4" w:space="0" w:color="auto"/>
                      <w:right w:val="outset" w:sz="4" w:space="0" w:color="auto"/>
                    </w:tcBorders>
                  </w:tcPr>
                  <w:p w14:paraId="7D233186" w14:textId="77777777" w:rsidR="00471D53" w:rsidRDefault="00B664AF">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4A2FED1F" w14:textId="0641717F" w:rsidR="00471D53" w:rsidRDefault="004F686E">
                    <w:pPr>
                      <w:jc w:val="right"/>
                      <w:rPr>
                        <w:sz w:val="22"/>
                        <w:szCs w:val="22"/>
                      </w:rPr>
                    </w:pPr>
                    <w:r>
                      <w:rPr>
                        <w:rFonts w:hint="eastAsia"/>
                        <w:sz w:val="22"/>
                        <w:szCs w:val="22"/>
                      </w:rPr>
                      <w:t>22,629,418.50</w:t>
                    </w:r>
                  </w:p>
                </w:tc>
                <w:tc>
                  <w:tcPr>
                    <w:tcW w:w="1197" w:type="pct"/>
                    <w:tcBorders>
                      <w:top w:val="outset" w:sz="4" w:space="0" w:color="auto"/>
                      <w:left w:val="outset" w:sz="4" w:space="0" w:color="auto"/>
                      <w:bottom w:val="outset" w:sz="4" w:space="0" w:color="auto"/>
                      <w:right w:val="outset" w:sz="4" w:space="0" w:color="auto"/>
                    </w:tcBorders>
                    <w:vAlign w:val="center"/>
                  </w:tcPr>
                  <w:p w14:paraId="2BA89973" w14:textId="2D8FED4B" w:rsidR="00471D53" w:rsidRDefault="004F686E">
                    <w:pPr>
                      <w:jc w:val="right"/>
                      <w:rPr>
                        <w:sz w:val="22"/>
                        <w:szCs w:val="22"/>
                      </w:rPr>
                    </w:pPr>
                    <w:r>
                      <w:rPr>
                        <w:rFonts w:hint="eastAsia"/>
                        <w:sz w:val="22"/>
                        <w:szCs w:val="22"/>
                      </w:rPr>
                      <w:t>23,450,237.87</w:t>
                    </w:r>
                  </w:p>
                </w:tc>
              </w:tr>
              <w:tr w:rsidR="00471D53" w14:paraId="2960C80C" w14:textId="77777777" w:rsidTr="00471D53">
                <w:sdt>
                  <w:sdtPr>
                    <w:tag w:val="_PLD_a5a847bd8381445cacfacf3bd061b567"/>
                    <w:id w:val="-61081838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53D89D52" w14:textId="77777777" w:rsidR="00471D53" w:rsidRDefault="004F686E" w:rsidP="00471D53">
                        <w:pPr>
                          <w:ind w:firstLineChars="100" w:firstLine="210"/>
                          <w:rPr>
                            <w:szCs w:val="21"/>
                          </w:rPr>
                        </w:pPr>
                        <w:r>
                          <w:rPr>
                            <w:rFonts w:hint="eastAsia"/>
                            <w:szCs w:val="21"/>
                          </w:rPr>
                          <w:t>收到其他与经营活动有关的现金</w:t>
                        </w:r>
                      </w:p>
                    </w:tc>
                  </w:sdtContent>
                </w:sdt>
                <w:tc>
                  <w:tcPr>
                    <w:tcW w:w="866" w:type="pct"/>
                    <w:tcBorders>
                      <w:top w:val="outset" w:sz="4" w:space="0" w:color="auto"/>
                      <w:left w:val="outset" w:sz="4" w:space="0" w:color="auto"/>
                      <w:bottom w:val="outset" w:sz="4" w:space="0" w:color="auto"/>
                      <w:right w:val="outset" w:sz="4" w:space="0" w:color="auto"/>
                    </w:tcBorders>
                  </w:tcPr>
                  <w:p w14:paraId="1946FB49" w14:textId="77777777" w:rsidR="00471D53" w:rsidRDefault="004F686E">
                    <w:pPr>
                      <w:rPr>
                        <w:szCs w:val="21"/>
                      </w:rPr>
                    </w:pPr>
                    <w:r>
                      <w:rPr>
                        <w:rFonts w:hint="eastAsia"/>
                        <w:szCs w:val="21"/>
                      </w:rPr>
                      <w:t>七</w:t>
                    </w:r>
                    <w:r w:rsidRPr="00FF2CB6">
                      <w:rPr>
                        <w:rFonts w:hint="eastAsia"/>
                        <w:szCs w:val="21"/>
                      </w:rPr>
                      <w:t>、</w:t>
                    </w:r>
                    <w:r>
                      <w:rPr>
                        <w:rFonts w:hint="eastAsia"/>
                        <w:szCs w:val="21"/>
                      </w:rPr>
                      <w:t>78</w:t>
                    </w:r>
                  </w:p>
                </w:tc>
                <w:tc>
                  <w:tcPr>
                    <w:tcW w:w="1201" w:type="pct"/>
                    <w:tcBorders>
                      <w:top w:val="outset" w:sz="4" w:space="0" w:color="auto"/>
                      <w:left w:val="outset" w:sz="4" w:space="0" w:color="auto"/>
                      <w:bottom w:val="outset" w:sz="4" w:space="0" w:color="auto"/>
                      <w:right w:val="outset" w:sz="4" w:space="0" w:color="auto"/>
                    </w:tcBorders>
                    <w:vAlign w:val="center"/>
                  </w:tcPr>
                  <w:p w14:paraId="5322D5C4" w14:textId="5BED5201" w:rsidR="00471D53" w:rsidRDefault="004F686E">
                    <w:pPr>
                      <w:jc w:val="right"/>
                      <w:rPr>
                        <w:sz w:val="22"/>
                        <w:szCs w:val="22"/>
                      </w:rPr>
                    </w:pPr>
                    <w:r>
                      <w:rPr>
                        <w:rFonts w:hint="eastAsia"/>
                        <w:sz w:val="22"/>
                        <w:szCs w:val="22"/>
                      </w:rPr>
                      <w:t>15,328,630.44</w:t>
                    </w:r>
                  </w:p>
                </w:tc>
                <w:tc>
                  <w:tcPr>
                    <w:tcW w:w="1197" w:type="pct"/>
                    <w:tcBorders>
                      <w:top w:val="outset" w:sz="4" w:space="0" w:color="auto"/>
                      <w:left w:val="outset" w:sz="4" w:space="0" w:color="auto"/>
                      <w:bottom w:val="outset" w:sz="4" w:space="0" w:color="auto"/>
                      <w:right w:val="outset" w:sz="4" w:space="0" w:color="auto"/>
                    </w:tcBorders>
                    <w:vAlign w:val="center"/>
                  </w:tcPr>
                  <w:p w14:paraId="7A6FAD85" w14:textId="3B82ECC5" w:rsidR="00471D53" w:rsidRDefault="004F686E">
                    <w:pPr>
                      <w:jc w:val="right"/>
                      <w:rPr>
                        <w:sz w:val="22"/>
                        <w:szCs w:val="22"/>
                      </w:rPr>
                    </w:pPr>
                    <w:r>
                      <w:rPr>
                        <w:rFonts w:hint="eastAsia"/>
                        <w:sz w:val="22"/>
                        <w:szCs w:val="22"/>
                      </w:rPr>
                      <w:t>21,374,152.62</w:t>
                    </w:r>
                  </w:p>
                </w:tc>
              </w:tr>
              <w:tr w:rsidR="00471D53" w14:paraId="2825C01D" w14:textId="77777777" w:rsidTr="00471D53">
                <w:sdt>
                  <w:sdtPr>
                    <w:tag w:val="_PLD_99ee67e244574f82a472dc4db883c019"/>
                    <w:id w:val="89941645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00E72A3D" w14:textId="77777777" w:rsidR="00471D53" w:rsidRDefault="004F686E" w:rsidP="00471D53">
                        <w:pPr>
                          <w:ind w:firstLineChars="200" w:firstLine="420"/>
                          <w:rPr>
                            <w:color w:val="000000"/>
                            <w:szCs w:val="21"/>
                          </w:rPr>
                        </w:pPr>
                        <w:r>
                          <w:rPr>
                            <w:rFonts w:hint="eastAsia"/>
                            <w:szCs w:val="21"/>
                          </w:rPr>
                          <w:t>经营活动现金流入小计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14:paraId="38BC44BC" w14:textId="77777777" w:rsidR="00471D53" w:rsidRDefault="00B664AF">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29A5A66E" w14:textId="52151E8B" w:rsidR="00471D53" w:rsidRDefault="004F686E">
                    <w:pPr>
                      <w:jc w:val="right"/>
                      <w:rPr>
                        <w:sz w:val="22"/>
                        <w:szCs w:val="22"/>
                      </w:rPr>
                    </w:pPr>
                    <w:r>
                      <w:rPr>
                        <w:rFonts w:hint="eastAsia"/>
                        <w:sz w:val="22"/>
                        <w:szCs w:val="22"/>
                      </w:rPr>
                      <w:t>451,978,330.73</w:t>
                    </w:r>
                  </w:p>
                </w:tc>
                <w:tc>
                  <w:tcPr>
                    <w:tcW w:w="1197" w:type="pct"/>
                    <w:tcBorders>
                      <w:top w:val="outset" w:sz="4" w:space="0" w:color="auto"/>
                      <w:left w:val="outset" w:sz="4" w:space="0" w:color="auto"/>
                      <w:bottom w:val="outset" w:sz="4" w:space="0" w:color="auto"/>
                      <w:right w:val="outset" w:sz="4" w:space="0" w:color="auto"/>
                    </w:tcBorders>
                    <w:vAlign w:val="center"/>
                  </w:tcPr>
                  <w:p w14:paraId="52EEA466" w14:textId="07087E03" w:rsidR="00471D53" w:rsidRDefault="004F686E">
                    <w:pPr>
                      <w:jc w:val="right"/>
                      <w:rPr>
                        <w:sz w:val="22"/>
                        <w:szCs w:val="22"/>
                      </w:rPr>
                    </w:pPr>
                    <w:r>
                      <w:rPr>
                        <w:rFonts w:hint="eastAsia"/>
                        <w:sz w:val="22"/>
                        <w:szCs w:val="22"/>
                      </w:rPr>
                      <w:t>506,984,328.17</w:t>
                    </w:r>
                  </w:p>
                </w:tc>
              </w:tr>
              <w:tr w:rsidR="00471D53" w14:paraId="7880EEBB" w14:textId="77777777" w:rsidTr="00471D53">
                <w:sdt>
                  <w:sdtPr>
                    <w:tag w:val="_PLD_7c898111c7fa4c2db82bbfa4cfade7b1"/>
                    <w:id w:val="313690458"/>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4B47D0F5" w14:textId="77777777" w:rsidR="00471D53" w:rsidRDefault="004F686E" w:rsidP="00471D53">
                        <w:pPr>
                          <w:ind w:firstLineChars="100" w:firstLine="210"/>
                          <w:rPr>
                            <w:szCs w:val="21"/>
                          </w:rPr>
                        </w:pPr>
                        <w:r>
                          <w:rPr>
                            <w:rFonts w:hint="eastAsia"/>
                            <w:szCs w:val="21"/>
                          </w:rPr>
                          <w:t>购买商品、接受劳务支付的现金</w:t>
                        </w:r>
                      </w:p>
                    </w:tc>
                  </w:sdtContent>
                </w:sdt>
                <w:tc>
                  <w:tcPr>
                    <w:tcW w:w="866" w:type="pct"/>
                    <w:tcBorders>
                      <w:top w:val="outset" w:sz="4" w:space="0" w:color="auto"/>
                      <w:left w:val="outset" w:sz="4" w:space="0" w:color="auto"/>
                      <w:bottom w:val="outset" w:sz="4" w:space="0" w:color="auto"/>
                      <w:right w:val="outset" w:sz="4" w:space="0" w:color="auto"/>
                    </w:tcBorders>
                  </w:tcPr>
                  <w:p w14:paraId="0A1C3D0C" w14:textId="77777777" w:rsidR="00471D53" w:rsidRDefault="00B664AF">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785E987F" w14:textId="7A410862" w:rsidR="00471D53" w:rsidRDefault="004F686E">
                    <w:pPr>
                      <w:jc w:val="right"/>
                      <w:rPr>
                        <w:sz w:val="22"/>
                        <w:szCs w:val="22"/>
                      </w:rPr>
                    </w:pPr>
                    <w:r>
                      <w:rPr>
                        <w:rFonts w:hint="eastAsia"/>
                        <w:sz w:val="22"/>
                        <w:szCs w:val="22"/>
                      </w:rPr>
                      <w:t>329,152,780.93</w:t>
                    </w:r>
                  </w:p>
                </w:tc>
                <w:tc>
                  <w:tcPr>
                    <w:tcW w:w="1197" w:type="pct"/>
                    <w:tcBorders>
                      <w:top w:val="outset" w:sz="4" w:space="0" w:color="auto"/>
                      <w:left w:val="outset" w:sz="4" w:space="0" w:color="auto"/>
                      <w:bottom w:val="outset" w:sz="4" w:space="0" w:color="auto"/>
                      <w:right w:val="outset" w:sz="4" w:space="0" w:color="auto"/>
                    </w:tcBorders>
                    <w:vAlign w:val="center"/>
                  </w:tcPr>
                  <w:p w14:paraId="600D479B" w14:textId="4394D045" w:rsidR="00471D53" w:rsidRDefault="004F686E">
                    <w:pPr>
                      <w:jc w:val="right"/>
                      <w:rPr>
                        <w:sz w:val="22"/>
                        <w:szCs w:val="22"/>
                      </w:rPr>
                    </w:pPr>
                    <w:r>
                      <w:rPr>
                        <w:rFonts w:hint="eastAsia"/>
                        <w:sz w:val="22"/>
                        <w:szCs w:val="22"/>
                      </w:rPr>
                      <w:t>313,541,812.65</w:t>
                    </w:r>
                  </w:p>
                </w:tc>
              </w:tr>
              <w:tr w:rsidR="00471D53" w14:paraId="3E80DBBF" w14:textId="77777777" w:rsidTr="00290CE2">
                <w:sdt>
                  <w:sdtPr>
                    <w:tag w:val="_PLD_f94c31d02a6a46e28ef866c8d8b1eb4f"/>
                    <w:id w:val="-178518412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05536B95" w14:textId="77777777" w:rsidR="00471D53" w:rsidRDefault="004F686E" w:rsidP="00471D53">
                        <w:pPr>
                          <w:ind w:firstLineChars="100" w:firstLine="210"/>
                          <w:rPr>
                            <w:szCs w:val="21"/>
                          </w:rPr>
                        </w:pPr>
                        <w:r>
                          <w:rPr>
                            <w:rFonts w:hint="eastAsia"/>
                            <w:szCs w:val="21"/>
                          </w:rPr>
                          <w:t>客户贷款及垫款净增加额</w:t>
                        </w:r>
                      </w:p>
                    </w:tc>
                  </w:sdtContent>
                </w:sdt>
                <w:tc>
                  <w:tcPr>
                    <w:tcW w:w="866" w:type="pct"/>
                    <w:tcBorders>
                      <w:top w:val="outset" w:sz="4" w:space="0" w:color="auto"/>
                      <w:left w:val="outset" w:sz="4" w:space="0" w:color="auto"/>
                      <w:bottom w:val="outset" w:sz="4" w:space="0" w:color="auto"/>
                      <w:right w:val="outset" w:sz="4" w:space="0" w:color="auto"/>
                    </w:tcBorders>
                  </w:tcPr>
                  <w:p w14:paraId="224E9768" w14:textId="77777777" w:rsidR="00471D53" w:rsidRDefault="00B664AF">
                    <w:pPr>
                      <w:rPr>
                        <w:szCs w:val="21"/>
                      </w:rPr>
                    </w:pPr>
                  </w:p>
                </w:tc>
                <w:tc>
                  <w:tcPr>
                    <w:tcW w:w="1201" w:type="pct"/>
                    <w:tcBorders>
                      <w:top w:val="outset" w:sz="4" w:space="0" w:color="auto"/>
                      <w:left w:val="outset" w:sz="4" w:space="0" w:color="auto"/>
                      <w:bottom w:val="outset" w:sz="4" w:space="0" w:color="auto"/>
                      <w:right w:val="outset" w:sz="4" w:space="0" w:color="auto"/>
                    </w:tcBorders>
                  </w:tcPr>
                  <w:p w14:paraId="3C132FDF" w14:textId="77777777" w:rsidR="00471D53" w:rsidRDefault="00B664AF">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4720559A" w14:textId="77777777" w:rsidR="00471D53" w:rsidRDefault="00B664AF">
                    <w:pPr>
                      <w:jc w:val="right"/>
                      <w:rPr>
                        <w:szCs w:val="21"/>
                      </w:rPr>
                    </w:pPr>
                  </w:p>
                </w:tc>
              </w:tr>
              <w:tr w:rsidR="00471D53" w14:paraId="16AAB555" w14:textId="77777777" w:rsidTr="00290CE2">
                <w:sdt>
                  <w:sdtPr>
                    <w:tag w:val="_PLD_c930b8bdc14d4d048d2b903bf85928a6"/>
                    <w:id w:val="24535589"/>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707B1051" w14:textId="77777777" w:rsidR="00471D53" w:rsidRDefault="004F686E" w:rsidP="00471D53">
                        <w:pPr>
                          <w:ind w:firstLineChars="100" w:firstLine="210"/>
                          <w:rPr>
                            <w:szCs w:val="21"/>
                          </w:rPr>
                        </w:pPr>
                        <w:r>
                          <w:rPr>
                            <w:rFonts w:hint="eastAsia"/>
                            <w:szCs w:val="21"/>
                          </w:rPr>
                          <w:t>存放中央银行和同业款项净增加额</w:t>
                        </w:r>
                      </w:p>
                    </w:tc>
                  </w:sdtContent>
                </w:sdt>
                <w:tc>
                  <w:tcPr>
                    <w:tcW w:w="866" w:type="pct"/>
                    <w:tcBorders>
                      <w:top w:val="outset" w:sz="4" w:space="0" w:color="auto"/>
                      <w:left w:val="outset" w:sz="4" w:space="0" w:color="auto"/>
                      <w:bottom w:val="outset" w:sz="4" w:space="0" w:color="auto"/>
                      <w:right w:val="outset" w:sz="4" w:space="0" w:color="auto"/>
                    </w:tcBorders>
                  </w:tcPr>
                  <w:p w14:paraId="0B074A60" w14:textId="77777777" w:rsidR="00471D53" w:rsidRDefault="00B664AF">
                    <w:pPr>
                      <w:rPr>
                        <w:szCs w:val="21"/>
                      </w:rPr>
                    </w:pPr>
                  </w:p>
                </w:tc>
                <w:tc>
                  <w:tcPr>
                    <w:tcW w:w="1201" w:type="pct"/>
                    <w:tcBorders>
                      <w:top w:val="outset" w:sz="4" w:space="0" w:color="auto"/>
                      <w:left w:val="outset" w:sz="4" w:space="0" w:color="auto"/>
                      <w:bottom w:val="outset" w:sz="4" w:space="0" w:color="auto"/>
                      <w:right w:val="outset" w:sz="4" w:space="0" w:color="auto"/>
                    </w:tcBorders>
                  </w:tcPr>
                  <w:p w14:paraId="31BD0BAF" w14:textId="77777777" w:rsidR="00471D53" w:rsidRDefault="00B664AF">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3C760500" w14:textId="77777777" w:rsidR="00471D53" w:rsidRDefault="00B664AF">
                    <w:pPr>
                      <w:jc w:val="right"/>
                      <w:rPr>
                        <w:szCs w:val="21"/>
                      </w:rPr>
                    </w:pPr>
                  </w:p>
                </w:tc>
              </w:tr>
              <w:tr w:rsidR="00471D53" w14:paraId="47BB1B5A" w14:textId="77777777" w:rsidTr="00290CE2">
                <w:sdt>
                  <w:sdtPr>
                    <w:tag w:val="_PLD_eb41952abbe741389032345de9aedbff"/>
                    <w:id w:val="212619841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2DFB39AC" w14:textId="77777777" w:rsidR="00471D53" w:rsidRDefault="004F686E" w:rsidP="00471D53">
                        <w:pPr>
                          <w:ind w:firstLineChars="100" w:firstLine="210"/>
                          <w:rPr>
                            <w:szCs w:val="21"/>
                          </w:rPr>
                        </w:pPr>
                        <w:r>
                          <w:rPr>
                            <w:rFonts w:hint="eastAsia"/>
                            <w:szCs w:val="21"/>
                          </w:rPr>
                          <w:t>支付原保险合同赔付款项的现金</w:t>
                        </w:r>
                      </w:p>
                    </w:tc>
                  </w:sdtContent>
                </w:sdt>
                <w:tc>
                  <w:tcPr>
                    <w:tcW w:w="866" w:type="pct"/>
                    <w:tcBorders>
                      <w:top w:val="outset" w:sz="4" w:space="0" w:color="auto"/>
                      <w:left w:val="outset" w:sz="4" w:space="0" w:color="auto"/>
                      <w:bottom w:val="outset" w:sz="4" w:space="0" w:color="auto"/>
                      <w:right w:val="outset" w:sz="4" w:space="0" w:color="auto"/>
                    </w:tcBorders>
                  </w:tcPr>
                  <w:p w14:paraId="5ABC10E2" w14:textId="77777777" w:rsidR="00471D53" w:rsidRDefault="00B664AF">
                    <w:pPr>
                      <w:rPr>
                        <w:szCs w:val="21"/>
                      </w:rPr>
                    </w:pPr>
                  </w:p>
                </w:tc>
                <w:tc>
                  <w:tcPr>
                    <w:tcW w:w="1201" w:type="pct"/>
                    <w:tcBorders>
                      <w:top w:val="outset" w:sz="4" w:space="0" w:color="auto"/>
                      <w:left w:val="outset" w:sz="4" w:space="0" w:color="auto"/>
                      <w:bottom w:val="outset" w:sz="4" w:space="0" w:color="auto"/>
                      <w:right w:val="outset" w:sz="4" w:space="0" w:color="auto"/>
                    </w:tcBorders>
                  </w:tcPr>
                  <w:p w14:paraId="7BE098F2" w14:textId="77777777" w:rsidR="00471D53" w:rsidRDefault="00B664AF">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72587CDD" w14:textId="77777777" w:rsidR="00471D53" w:rsidRDefault="00B664AF">
                    <w:pPr>
                      <w:jc w:val="right"/>
                      <w:rPr>
                        <w:szCs w:val="21"/>
                      </w:rPr>
                    </w:pPr>
                  </w:p>
                </w:tc>
              </w:tr>
              <w:tr w:rsidR="00471D53" w14:paraId="05E9DA8E" w14:textId="77777777" w:rsidTr="00290CE2">
                <w:tc>
                  <w:tcPr>
                    <w:tcW w:w="1736" w:type="pct"/>
                    <w:tcBorders>
                      <w:top w:val="outset" w:sz="4" w:space="0" w:color="auto"/>
                      <w:left w:val="outset" w:sz="4" w:space="0" w:color="auto"/>
                      <w:bottom w:val="outset" w:sz="4" w:space="0" w:color="auto"/>
                      <w:right w:val="outset" w:sz="4" w:space="0" w:color="auto"/>
                    </w:tcBorders>
                  </w:tcPr>
                  <w:sdt>
                    <w:sdtPr>
                      <w:rPr>
                        <w:rFonts w:hint="eastAsia"/>
                      </w:rPr>
                      <w:tag w:val="_PLD_22a8c5b88fa84ee5bb2a7df3c08dff78"/>
                      <w:id w:val="584810298"/>
                      <w:lock w:val="sdtLocked"/>
                    </w:sdtPr>
                    <w:sdtEndPr/>
                    <w:sdtContent>
                      <w:p w14:paraId="70152947" w14:textId="77777777" w:rsidR="00471D53" w:rsidRDefault="004F686E" w:rsidP="00471D53">
                        <w:pPr>
                          <w:ind w:firstLineChars="100" w:firstLine="210"/>
                        </w:pPr>
                        <w:r>
                          <w:rPr>
                            <w:rFonts w:hint="eastAsia"/>
                          </w:rPr>
                          <w:t>拆出资金净增加额</w:t>
                        </w:r>
                      </w:p>
                    </w:sdtContent>
                  </w:sdt>
                </w:tc>
                <w:tc>
                  <w:tcPr>
                    <w:tcW w:w="866" w:type="pct"/>
                    <w:tcBorders>
                      <w:top w:val="outset" w:sz="4" w:space="0" w:color="auto"/>
                      <w:left w:val="outset" w:sz="4" w:space="0" w:color="auto"/>
                      <w:bottom w:val="outset" w:sz="4" w:space="0" w:color="auto"/>
                      <w:right w:val="outset" w:sz="4" w:space="0" w:color="auto"/>
                    </w:tcBorders>
                  </w:tcPr>
                  <w:p w14:paraId="0CBCA97E" w14:textId="77777777" w:rsidR="00471D53" w:rsidRDefault="00B664AF">
                    <w:pPr>
                      <w:rPr>
                        <w:szCs w:val="21"/>
                      </w:rPr>
                    </w:pPr>
                  </w:p>
                </w:tc>
                <w:tc>
                  <w:tcPr>
                    <w:tcW w:w="1201" w:type="pct"/>
                    <w:tcBorders>
                      <w:top w:val="outset" w:sz="4" w:space="0" w:color="auto"/>
                      <w:left w:val="outset" w:sz="4" w:space="0" w:color="auto"/>
                      <w:bottom w:val="outset" w:sz="4" w:space="0" w:color="auto"/>
                      <w:right w:val="outset" w:sz="4" w:space="0" w:color="auto"/>
                    </w:tcBorders>
                  </w:tcPr>
                  <w:p w14:paraId="3CBF02DE" w14:textId="77777777" w:rsidR="00471D53" w:rsidRDefault="00B664AF">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06DDCC0E" w14:textId="77777777" w:rsidR="00471D53" w:rsidRDefault="00B664AF">
                    <w:pPr>
                      <w:jc w:val="right"/>
                      <w:rPr>
                        <w:szCs w:val="21"/>
                      </w:rPr>
                    </w:pPr>
                  </w:p>
                </w:tc>
              </w:tr>
              <w:tr w:rsidR="00471D53" w14:paraId="18FF5F8B" w14:textId="77777777" w:rsidTr="00290CE2">
                <w:sdt>
                  <w:sdtPr>
                    <w:tag w:val="_PLD_182352293eb948718bd2d2895af0d012"/>
                    <w:id w:val="109998932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7772262A" w14:textId="77777777" w:rsidR="00471D53" w:rsidRDefault="004F686E" w:rsidP="00471D53">
                        <w:pPr>
                          <w:ind w:firstLineChars="100" w:firstLine="210"/>
                          <w:rPr>
                            <w:szCs w:val="21"/>
                          </w:rPr>
                        </w:pPr>
                        <w:r>
                          <w:rPr>
                            <w:rFonts w:hint="eastAsia"/>
                            <w:szCs w:val="21"/>
                          </w:rPr>
                          <w:t>支付利息、手续费及佣金的现金</w:t>
                        </w:r>
                      </w:p>
                    </w:tc>
                  </w:sdtContent>
                </w:sdt>
                <w:tc>
                  <w:tcPr>
                    <w:tcW w:w="866" w:type="pct"/>
                    <w:tcBorders>
                      <w:top w:val="outset" w:sz="4" w:space="0" w:color="auto"/>
                      <w:left w:val="outset" w:sz="4" w:space="0" w:color="auto"/>
                      <w:bottom w:val="outset" w:sz="4" w:space="0" w:color="auto"/>
                      <w:right w:val="outset" w:sz="4" w:space="0" w:color="auto"/>
                    </w:tcBorders>
                  </w:tcPr>
                  <w:p w14:paraId="13658A14" w14:textId="77777777" w:rsidR="00471D53" w:rsidRDefault="00B664AF">
                    <w:pPr>
                      <w:rPr>
                        <w:szCs w:val="21"/>
                      </w:rPr>
                    </w:pPr>
                  </w:p>
                </w:tc>
                <w:tc>
                  <w:tcPr>
                    <w:tcW w:w="1201" w:type="pct"/>
                    <w:tcBorders>
                      <w:top w:val="outset" w:sz="4" w:space="0" w:color="auto"/>
                      <w:left w:val="outset" w:sz="4" w:space="0" w:color="auto"/>
                      <w:bottom w:val="outset" w:sz="4" w:space="0" w:color="auto"/>
                      <w:right w:val="outset" w:sz="4" w:space="0" w:color="auto"/>
                    </w:tcBorders>
                  </w:tcPr>
                  <w:p w14:paraId="396ED677" w14:textId="77777777" w:rsidR="00471D53" w:rsidRDefault="00B664AF">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6C266BB8" w14:textId="77777777" w:rsidR="00471D53" w:rsidRDefault="00B664AF">
                    <w:pPr>
                      <w:jc w:val="right"/>
                      <w:rPr>
                        <w:szCs w:val="21"/>
                      </w:rPr>
                    </w:pPr>
                  </w:p>
                </w:tc>
              </w:tr>
              <w:tr w:rsidR="00471D53" w14:paraId="4442B496" w14:textId="77777777" w:rsidTr="00290CE2">
                <w:sdt>
                  <w:sdtPr>
                    <w:tag w:val="_PLD_c4e139d97f004b09b9ef784db1d19d92"/>
                    <w:id w:val="76184255"/>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180107FA" w14:textId="77777777" w:rsidR="00471D53" w:rsidRDefault="004F686E" w:rsidP="00471D53">
                        <w:pPr>
                          <w:ind w:firstLineChars="100" w:firstLine="210"/>
                          <w:rPr>
                            <w:szCs w:val="21"/>
                          </w:rPr>
                        </w:pPr>
                        <w:r>
                          <w:rPr>
                            <w:rFonts w:hint="eastAsia"/>
                            <w:szCs w:val="21"/>
                          </w:rPr>
                          <w:t>支付保单红利的现金</w:t>
                        </w:r>
                      </w:p>
                    </w:tc>
                  </w:sdtContent>
                </w:sdt>
                <w:tc>
                  <w:tcPr>
                    <w:tcW w:w="866" w:type="pct"/>
                    <w:tcBorders>
                      <w:top w:val="outset" w:sz="4" w:space="0" w:color="auto"/>
                      <w:left w:val="outset" w:sz="4" w:space="0" w:color="auto"/>
                      <w:bottom w:val="outset" w:sz="4" w:space="0" w:color="auto"/>
                      <w:right w:val="outset" w:sz="4" w:space="0" w:color="auto"/>
                    </w:tcBorders>
                  </w:tcPr>
                  <w:p w14:paraId="5213726D" w14:textId="77777777" w:rsidR="00471D53" w:rsidRDefault="00B664AF">
                    <w:pPr>
                      <w:rPr>
                        <w:szCs w:val="21"/>
                      </w:rPr>
                    </w:pPr>
                  </w:p>
                </w:tc>
                <w:tc>
                  <w:tcPr>
                    <w:tcW w:w="1201" w:type="pct"/>
                    <w:tcBorders>
                      <w:top w:val="outset" w:sz="4" w:space="0" w:color="auto"/>
                      <w:left w:val="outset" w:sz="4" w:space="0" w:color="auto"/>
                      <w:bottom w:val="outset" w:sz="4" w:space="0" w:color="auto"/>
                      <w:right w:val="outset" w:sz="4" w:space="0" w:color="auto"/>
                    </w:tcBorders>
                  </w:tcPr>
                  <w:p w14:paraId="4F19AC18" w14:textId="77777777" w:rsidR="00471D53" w:rsidRDefault="00B664AF">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26EBEF29" w14:textId="77777777" w:rsidR="00471D53" w:rsidRDefault="00B664AF">
                    <w:pPr>
                      <w:jc w:val="right"/>
                      <w:rPr>
                        <w:szCs w:val="21"/>
                      </w:rPr>
                    </w:pPr>
                  </w:p>
                </w:tc>
              </w:tr>
              <w:tr w:rsidR="00471D53" w14:paraId="7D52A2BD" w14:textId="77777777" w:rsidTr="00471D53">
                <w:sdt>
                  <w:sdtPr>
                    <w:tag w:val="_PLD_1706e75cd4ec4004b26be27bc8d7bb92"/>
                    <w:id w:val="129648082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4E16BD47" w14:textId="77777777" w:rsidR="00471D53" w:rsidRDefault="004F686E" w:rsidP="00471D53">
                        <w:pPr>
                          <w:ind w:firstLineChars="100" w:firstLine="210"/>
                          <w:rPr>
                            <w:szCs w:val="21"/>
                          </w:rPr>
                        </w:pPr>
                        <w:r>
                          <w:rPr>
                            <w:rFonts w:hint="eastAsia"/>
                            <w:szCs w:val="21"/>
                          </w:rPr>
                          <w:t>支付给职工及为职工支付的现金</w:t>
                        </w:r>
                      </w:p>
                    </w:tc>
                  </w:sdtContent>
                </w:sdt>
                <w:tc>
                  <w:tcPr>
                    <w:tcW w:w="866" w:type="pct"/>
                    <w:tcBorders>
                      <w:top w:val="outset" w:sz="4" w:space="0" w:color="auto"/>
                      <w:left w:val="outset" w:sz="4" w:space="0" w:color="auto"/>
                      <w:bottom w:val="outset" w:sz="4" w:space="0" w:color="auto"/>
                      <w:right w:val="outset" w:sz="4" w:space="0" w:color="auto"/>
                    </w:tcBorders>
                  </w:tcPr>
                  <w:p w14:paraId="605CEAA4" w14:textId="77777777" w:rsidR="00471D53" w:rsidRDefault="00B664AF">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67A28572" w14:textId="569156A1" w:rsidR="00471D53" w:rsidRDefault="004F686E">
                    <w:pPr>
                      <w:jc w:val="right"/>
                      <w:rPr>
                        <w:sz w:val="22"/>
                        <w:szCs w:val="22"/>
                      </w:rPr>
                    </w:pPr>
                    <w:r>
                      <w:rPr>
                        <w:rFonts w:hint="eastAsia"/>
                        <w:sz w:val="22"/>
                        <w:szCs w:val="22"/>
                      </w:rPr>
                      <w:t>106,056,878.31</w:t>
                    </w:r>
                  </w:p>
                </w:tc>
                <w:tc>
                  <w:tcPr>
                    <w:tcW w:w="1197" w:type="pct"/>
                    <w:tcBorders>
                      <w:top w:val="outset" w:sz="4" w:space="0" w:color="auto"/>
                      <w:left w:val="outset" w:sz="4" w:space="0" w:color="auto"/>
                      <w:bottom w:val="outset" w:sz="4" w:space="0" w:color="auto"/>
                      <w:right w:val="outset" w:sz="4" w:space="0" w:color="auto"/>
                    </w:tcBorders>
                    <w:vAlign w:val="center"/>
                  </w:tcPr>
                  <w:p w14:paraId="60E64785" w14:textId="74359A26" w:rsidR="00471D53" w:rsidRDefault="004F686E">
                    <w:pPr>
                      <w:jc w:val="right"/>
                      <w:rPr>
                        <w:sz w:val="22"/>
                        <w:szCs w:val="22"/>
                      </w:rPr>
                    </w:pPr>
                    <w:r>
                      <w:rPr>
                        <w:rFonts w:hint="eastAsia"/>
                        <w:sz w:val="22"/>
                        <w:szCs w:val="22"/>
                      </w:rPr>
                      <w:t>90,090,031.47</w:t>
                    </w:r>
                  </w:p>
                </w:tc>
              </w:tr>
              <w:tr w:rsidR="00471D53" w14:paraId="26A89D82" w14:textId="77777777" w:rsidTr="00471D53">
                <w:sdt>
                  <w:sdtPr>
                    <w:tag w:val="_PLD_afa9119929c34433add5e6feaff13661"/>
                    <w:id w:val="-1305386759"/>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663A1C4D" w14:textId="77777777" w:rsidR="00471D53" w:rsidRDefault="004F686E" w:rsidP="00471D53">
                        <w:pPr>
                          <w:ind w:firstLineChars="100" w:firstLine="210"/>
                          <w:rPr>
                            <w:szCs w:val="21"/>
                          </w:rPr>
                        </w:pPr>
                        <w:r>
                          <w:rPr>
                            <w:rFonts w:hint="eastAsia"/>
                            <w:szCs w:val="21"/>
                          </w:rPr>
                          <w:t>支付的各项税费</w:t>
                        </w:r>
                      </w:p>
                    </w:tc>
                  </w:sdtContent>
                </w:sdt>
                <w:tc>
                  <w:tcPr>
                    <w:tcW w:w="866" w:type="pct"/>
                    <w:tcBorders>
                      <w:top w:val="outset" w:sz="4" w:space="0" w:color="auto"/>
                      <w:left w:val="outset" w:sz="4" w:space="0" w:color="auto"/>
                      <w:bottom w:val="outset" w:sz="4" w:space="0" w:color="auto"/>
                      <w:right w:val="outset" w:sz="4" w:space="0" w:color="auto"/>
                    </w:tcBorders>
                  </w:tcPr>
                  <w:p w14:paraId="222F5AE3" w14:textId="77777777" w:rsidR="00471D53" w:rsidRDefault="00B664AF">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0DBE8DFC" w14:textId="602450B2" w:rsidR="00471D53" w:rsidRDefault="004F686E">
                    <w:pPr>
                      <w:jc w:val="right"/>
                      <w:rPr>
                        <w:sz w:val="22"/>
                        <w:szCs w:val="22"/>
                      </w:rPr>
                    </w:pPr>
                    <w:r>
                      <w:rPr>
                        <w:rFonts w:hint="eastAsia"/>
                        <w:sz w:val="22"/>
                        <w:szCs w:val="22"/>
                      </w:rPr>
                      <w:t>18,686,721.50</w:t>
                    </w:r>
                  </w:p>
                </w:tc>
                <w:tc>
                  <w:tcPr>
                    <w:tcW w:w="1197" w:type="pct"/>
                    <w:tcBorders>
                      <w:top w:val="outset" w:sz="4" w:space="0" w:color="auto"/>
                      <w:left w:val="outset" w:sz="4" w:space="0" w:color="auto"/>
                      <w:bottom w:val="outset" w:sz="4" w:space="0" w:color="auto"/>
                      <w:right w:val="outset" w:sz="4" w:space="0" w:color="auto"/>
                    </w:tcBorders>
                    <w:vAlign w:val="center"/>
                  </w:tcPr>
                  <w:p w14:paraId="6259B604" w14:textId="4D706FB8" w:rsidR="00471D53" w:rsidRDefault="004F686E">
                    <w:pPr>
                      <w:jc w:val="right"/>
                      <w:rPr>
                        <w:sz w:val="22"/>
                        <w:szCs w:val="22"/>
                      </w:rPr>
                    </w:pPr>
                    <w:r>
                      <w:rPr>
                        <w:rFonts w:hint="eastAsia"/>
                        <w:sz w:val="22"/>
                        <w:szCs w:val="22"/>
                      </w:rPr>
                      <w:t>21,043,094.37</w:t>
                    </w:r>
                  </w:p>
                </w:tc>
              </w:tr>
              <w:tr w:rsidR="00471D53" w14:paraId="7E155805" w14:textId="77777777" w:rsidTr="00471D53">
                <w:sdt>
                  <w:sdtPr>
                    <w:tag w:val="_PLD_32d29e7e43cb4df78fb5562eda7075c6"/>
                    <w:id w:val="-1915155791"/>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2DAF46D7" w14:textId="77777777" w:rsidR="00471D53" w:rsidRDefault="004F686E" w:rsidP="00471D53">
                        <w:pPr>
                          <w:ind w:firstLineChars="100" w:firstLine="210"/>
                          <w:rPr>
                            <w:szCs w:val="21"/>
                          </w:rPr>
                        </w:pPr>
                        <w:r>
                          <w:rPr>
                            <w:rFonts w:hint="eastAsia"/>
                            <w:szCs w:val="21"/>
                          </w:rPr>
                          <w:t>支付其他与经营活动有关的现金</w:t>
                        </w:r>
                      </w:p>
                    </w:tc>
                  </w:sdtContent>
                </w:sdt>
                <w:tc>
                  <w:tcPr>
                    <w:tcW w:w="866" w:type="pct"/>
                    <w:tcBorders>
                      <w:top w:val="outset" w:sz="4" w:space="0" w:color="auto"/>
                      <w:left w:val="outset" w:sz="4" w:space="0" w:color="auto"/>
                      <w:bottom w:val="outset" w:sz="4" w:space="0" w:color="auto"/>
                      <w:right w:val="outset" w:sz="4" w:space="0" w:color="auto"/>
                    </w:tcBorders>
                  </w:tcPr>
                  <w:p w14:paraId="11B13B14" w14:textId="77777777" w:rsidR="00471D53" w:rsidRDefault="004F686E">
                    <w:pPr>
                      <w:rPr>
                        <w:szCs w:val="21"/>
                      </w:rPr>
                    </w:pPr>
                    <w:r w:rsidRPr="00FF2CB6">
                      <w:rPr>
                        <w:rFonts w:hint="eastAsia"/>
                        <w:szCs w:val="21"/>
                      </w:rPr>
                      <w:t>七、</w:t>
                    </w:r>
                    <w:r w:rsidRPr="00FF2CB6">
                      <w:rPr>
                        <w:szCs w:val="21"/>
                      </w:rPr>
                      <w:t>78</w:t>
                    </w:r>
                  </w:p>
                </w:tc>
                <w:tc>
                  <w:tcPr>
                    <w:tcW w:w="1201" w:type="pct"/>
                    <w:tcBorders>
                      <w:top w:val="outset" w:sz="4" w:space="0" w:color="auto"/>
                      <w:left w:val="outset" w:sz="4" w:space="0" w:color="auto"/>
                      <w:bottom w:val="outset" w:sz="4" w:space="0" w:color="auto"/>
                      <w:right w:val="outset" w:sz="4" w:space="0" w:color="auto"/>
                    </w:tcBorders>
                    <w:vAlign w:val="center"/>
                  </w:tcPr>
                  <w:p w14:paraId="57342530" w14:textId="4C8D1C64" w:rsidR="00471D53" w:rsidRDefault="004F686E">
                    <w:pPr>
                      <w:jc w:val="right"/>
                      <w:rPr>
                        <w:sz w:val="22"/>
                        <w:szCs w:val="22"/>
                      </w:rPr>
                    </w:pPr>
                    <w:r>
                      <w:rPr>
                        <w:rFonts w:hint="eastAsia"/>
                        <w:sz w:val="22"/>
                        <w:szCs w:val="22"/>
                      </w:rPr>
                      <w:t>40,130,148.12</w:t>
                    </w:r>
                  </w:p>
                </w:tc>
                <w:tc>
                  <w:tcPr>
                    <w:tcW w:w="1197" w:type="pct"/>
                    <w:tcBorders>
                      <w:top w:val="outset" w:sz="4" w:space="0" w:color="auto"/>
                      <w:left w:val="outset" w:sz="4" w:space="0" w:color="auto"/>
                      <w:bottom w:val="outset" w:sz="4" w:space="0" w:color="auto"/>
                      <w:right w:val="outset" w:sz="4" w:space="0" w:color="auto"/>
                    </w:tcBorders>
                    <w:vAlign w:val="center"/>
                  </w:tcPr>
                  <w:p w14:paraId="068381C0" w14:textId="4BFFE4DC" w:rsidR="00471D53" w:rsidRDefault="004F686E">
                    <w:pPr>
                      <w:jc w:val="right"/>
                      <w:rPr>
                        <w:sz w:val="22"/>
                        <w:szCs w:val="22"/>
                      </w:rPr>
                    </w:pPr>
                    <w:r>
                      <w:rPr>
                        <w:rFonts w:hint="eastAsia"/>
                        <w:sz w:val="22"/>
                        <w:szCs w:val="22"/>
                      </w:rPr>
                      <w:t>55,671,142.83</w:t>
                    </w:r>
                  </w:p>
                </w:tc>
              </w:tr>
              <w:tr w:rsidR="00471D53" w14:paraId="4890E221" w14:textId="77777777" w:rsidTr="00471D53">
                <w:sdt>
                  <w:sdtPr>
                    <w:tag w:val="_PLD_1898b9e3495c4369a548071a900462f2"/>
                    <w:id w:val="199622822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13DEBDA4" w14:textId="77777777" w:rsidR="00471D53" w:rsidRDefault="004F686E" w:rsidP="00471D53">
                        <w:pPr>
                          <w:ind w:firstLineChars="200" w:firstLine="420"/>
                          <w:rPr>
                            <w:color w:val="000000"/>
                            <w:szCs w:val="21"/>
                          </w:rPr>
                        </w:pPr>
                        <w:r>
                          <w:rPr>
                            <w:rFonts w:hint="eastAsia"/>
                            <w:szCs w:val="21"/>
                          </w:rPr>
                          <w:t>经营活动现金流出小计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14:paraId="75520EAF" w14:textId="77777777" w:rsidR="00471D53" w:rsidRDefault="00B664AF">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680A46DC" w14:textId="71D20615" w:rsidR="00471D53" w:rsidRDefault="004F686E">
                    <w:pPr>
                      <w:jc w:val="right"/>
                      <w:rPr>
                        <w:sz w:val="22"/>
                        <w:szCs w:val="22"/>
                      </w:rPr>
                    </w:pPr>
                    <w:r>
                      <w:rPr>
                        <w:rFonts w:hint="eastAsia"/>
                        <w:sz w:val="22"/>
                        <w:szCs w:val="22"/>
                      </w:rPr>
                      <w:t>494,026,528.86</w:t>
                    </w:r>
                  </w:p>
                </w:tc>
                <w:tc>
                  <w:tcPr>
                    <w:tcW w:w="1197" w:type="pct"/>
                    <w:tcBorders>
                      <w:top w:val="outset" w:sz="4" w:space="0" w:color="auto"/>
                      <w:left w:val="outset" w:sz="4" w:space="0" w:color="auto"/>
                      <w:bottom w:val="outset" w:sz="4" w:space="0" w:color="auto"/>
                      <w:right w:val="outset" w:sz="4" w:space="0" w:color="auto"/>
                    </w:tcBorders>
                    <w:vAlign w:val="center"/>
                  </w:tcPr>
                  <w:p w14:paraId="6D4D465A" w14:textId="5D80D9D5" w:rsidR="00471D53" w:rsidRDefault="004F686E">
                    <w:pPr>
                      <w:jc w:val="right"/>
                      <w:rPr>
                        <w:sz w:val="22"/>
                        <w:szCs w:val="22"/>
                      </w:rPr>
                    </w:pPr>
                    <w:r>
                      <w:rPr>
                        <w:rFonts w:hint="eastAsia"/>
                        <w:sz w:val="22"/>
                        <w:szCs w:val="22"/>
                      </w:rPr>
                      <w:t>480,346,081.32</w:t>
                    </w:r>
                  </w:p>
                </w:tc>
              </w:tr>
              <w:tr w:rsidR="00471D53" w14:paraId="04919352" w14:textId="77777777" w:rsidTr="00471D53">
                <w:sdt>
                  <w:sdtPr>
                    <w:tag w:val="_PLD_3668436c46fe4d03bca9e7585b314b78"/>
                    <w:id w:val="161822451"/>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793FFA81" w14:textId="77777777" w:rsidR="00471D53" w:rsidRDefault="004F686E" w:rsidP="00471D53">
                        <w:pPr>
                          <w:ind w:firstLineChars="300" w:firstLine="630"/>
                          <w:rPr>
                            <w:color w:val="000000"/>
                            <w:szCs w:val="21"/>
                          </w:rPr>
                        </w:pPr>
                        <w:r>
                          <w:rPr>
                            <w:rFonts w:hint="eastAsia"/>
                            <w:szCs w:val="21"/>
                          </w:rPr>
                          <w:t>经营活动产生的现金流量净额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14:paraId="0C029073" w14:textId="77777777" w:rsidR="00471D53" w:rsidRDefault="00B664AF">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596C4266" w14:textId="3331BB7D" w:rsidR="00471D53" w:rsidRDefault="004F686E">
                    <w:pPr>
                      <w:jc w:val="right"/>
                      <w:rPr>
                        <w:sz w:val="22"/>
                        <w:szCs w:val="22"/>
                      </w:rPr>
                    </w:pPr>
                    <w:r>
                      <w:rPr>
                        <w:rFonts w:hint="eastAsia"/>
                        <w:sz w:val="22"/>
                        <w:szCs w:val="22"/>
                      </w:rPr>
                      <w:t>-42,048,198.13</w:t>
                    </w:r>
                  </w:p>
                </w:tc>
                <w:tc>
                  <w:tcPr>
                    <w:tcW w:w="1197" w:type="pct"/>
                    <w:tcBorders>
                      <w:top w:val="outset" w:sz="4" w:space="0" w:color="auto"/>
                      <w:left w:val="outset" w:sz="4" w:space="0" w:color="auto"/>
                      <w:bottom w:val="outset" w:sz="4" w:space="0" w:color="auto"/>
                      <w:right w:val="outset" w:sz="4" w:space="0" w:color="auto"/>
                    </w:tcBorders>
                    <w:vAlign w:val="center"/>
                  </w:tcPr>
                  <w:p w14:paraId="293C2CDB" w14:textId="2465082E" w:rsidR="00471D53" w:rsidRDefault="004F686E">
                    <w:pPr>
                      <w:jc w:val="right"/>
                      <w:rPr>
                        <w:sz w:val="22"/>
                        <w:szCs w:val="22"/>
                      </w:rPr>
                    </w:pPr>
                    <w:r>
                      <w:rPr>
                        <w:rFonts w:hint="eastAsia"/>
                        <w:sz w:val="22"/>
                        <w:szCs w:val="22"/>
                      </w:rPr>
                      <w:t>26,638,246.85</w:t>
                    </w:r>
                  </w:p>
                </w:tc>
              </w:tr>
              <w:tr w:rsidR="00471D53" w14:paraId="21225B75" w14:textId="77777777" w:rsidTr="00290CE2">
                <w:sdt>
                  <w:sdtPr>
                    <w:tag w:val="_PLD_95b1c638e8714129b03173a0758b863f"/>
                    <w:id w:val="153677209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5FCD6862" w14:textId="77777777" w:rsidR="00471D53" w:rsidRDefault="004F686E">
                        <w:pPr>
                          <w:rPr>
                            <w:color w:val="000000"/>
                            <w:szCs w:val="21"/>
                          </w:rPr>
                        </w:pPr>
                        <w:r>
                          <w:rPr>
                            <w:rFonts w:hint="eastAsia"/>
                            <w:b/>
                            <w:bCs/>
                            <w:szCs w:val="21"/>
                          </w:rPr>
                          <w:t>二、投资活动产生的现金流量：</w:t>
                        </w:r>
                      </w:p>
                    </w:tc>
                  </w:sdtContent>
                </w:sdt>
                <w:tc>
                  <w:tcPr>
                    <w:tcW w:w="866" w:type="pct"/>
                    <w:tcBorders>
                      <w:top w:val="outset" w:sz="4" w:space="0" w:color="auto"/>
                      <w:left w:val="outset" w:sz="4" w:space="0" w:color="auto"/>
                      <w:bottom w:val="outset" w:sz="4" w:space="0" w:color="auto"/>
                      <w:right w:val="outset" w:sz="4" w:space="0" w:color="auto"/>
                    </w:tcBorders>
                  </w:tcPr>
                  <w:p w14:paraId="34F68C15" w14:textId="77777777" w:rsidR="00471D53" w:rsidRDefault="00B664AF">
                    <w:pPr>
                      <w:rPr>
                        <w:color w:val="008000"/>
                        <w:szCs w:val="21"/>
                      </w:rPr>
                    </w:pPr>
                  </w:p>
                </w:tc>
                <w:tc>
                  <w:tcPr>
                    <w:tcW w:w="1201" w:type="pct"/>
                    <w:tcBorders>
                      <w:top w:val="outset" w:sz="4" w:space="0" w:color="auto"/>
                      <w:left w:val="outset" w:sz="4" w:space="0" w:color="auto"/>
                      <w:bottom w:val="outset" w:sz="4" w:space="0" w:color="auto"/>
                      <w:right w:val="outset" w:sz="4" w:space="0" w:color="auto"/>
                    </w:tcBorders>
                  </w:tcPr>
                  <w:p w14:paraId="7168CB81" w14:textId="77777777" w:rsidR="00471D53" w:rsidRDefault="00B664AF">
                    <w:pPr>
                      <w:jc w:val="right"/>
                      <w:rPr>
                        <w:color w:val="008000"/>
                        <w:szCs w:val="21"/>
                      </w:rPr>
                    </w:pPr>
                  </w:p>
                </w:tc>
                <w:tc>
                  <w:tcPr>
                    <w:tcW w:w="1197" w:type="pct"/>
                    <w:tcBorders>
                      <w:top w:val="outset" w:sz="4" w:space="0" w:color="auto"/>
                      <w:left w:val="outset" w:sz="4" w:space="0" w:color="auto"/>
                      <w:bottom w:val="outset" w:sz="4" w:space="0" w:color="auto"/>
                      <w:right w:val="outset" w:sz="4" w:space="0" w:color="auto"/>
                    </w:tcBorders>
                  </w:tcPr>
                  <w:p w14:paraId="5C5417D0" w14:textId="77777777" w:rsidR="00471D53" w:rsidRDefault="00B664AF">
                    <w:pPr>
                      <w:jc w:val="right"/>
                      <w:rPr>
                        <w:color w:val="008000"/>
                        <w:szCs w:val="21"/>
                      </w:rPr>
                    </w:pPr>
                  </w:p>
                </w:tc>
              </w:tr>
              <w:tr w:rsidR="00471D53" w14:paraId="05F749EF" w14:textId="77777777" w:rsidTr="00471D53">
                <w:sdt>
                  <w:sdtPr>
                    <w:tag w:val="_PLD_95fbf0328fd24ef59c8541003255b0f4"/>
                    <w:id w:val="-2055081328"/>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3E1B69A0" w14:textId="77777777" w:rsidR="00471D53" w:rsidRDefault="004F686E" w:rsidP="00471D53">
                        <w:pPr>
                          <w:ind w:firstLineChars="100" w:firstLine="210"/>
                          <w:rPr>
                            <w:szCs w:val="21"/>
                          </w:rPr>
                        </w:pPr>
                        <w:r>
                          <w:rPr>
                            <w:rFonts w:hint="eastAsia"/>
                            <w:szCs w:val="21"/>
                          </w:rPr>
                          <w:t>收回投资收到的现金</w:t>
                        </w:r>
                      </w:p>
                    </w:tc>
                  </w:sdtContent>
                </w:sdt>
                <w:tc>
                  <w:tcPr>
                    <w:tcW w:w="866" w:type="pct"/>
                    <w:tcBorders>
                      <w:top w:val="outset" w:sz="4" w:space="0" w:color="auto"/>
                      <w:left w:val="outset" w:sz="4" w:space="0" w:color="auto"/>
                      <w:bottom w:val="outset" w:sz="4" w:space="0" w:color="auto"/>
                      <w:right w:val="outset" w:sz="4" w:space="0" w:color="auto"/>
                    </w:tcBorders>
                  </w:tcPr>
                  <w:p w14:paraId="3516ED6F" w14:textId="77777777" w:rsidR="00471D53" w:rsidRDefault="00B664AF">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4B9F9889" w14:textId="77777777" w:rsidR="00471D53" w:rsidRDefault="004F686E">
                    <w:pPr>
                      <w:jc w:val="right"/>
                      <w:rPr>
                        <w:sz w:val="22"/>
                        <w:szCs w:val="22"/>
                      </w:rPr>
                    </w:pPr>
                    <w:r>
                      <w:rPr>
                        <w:rFonts w:hint="eastAsia"/>
                        <w:sz w:val="22"/>
                        <w:szCs w:val="22"/>
                      </w:rPr>
                      <w:t xml:space="preserve">　</w:t>
                    </w:r>
                  </w:p>
                </w:tc>
                <w:tc>
                  <w:tcPr>
                    <w:tcW w:w="1197" w:type="pct"/>
                    <w:tcBorders>
                      <w:top w:val="outset" w:sz="4" w:space="0" w:color="auto"/>
                      <w:left w:val="outset" w:sz="4" w:space="0" w:color="auto"/>
                      <w:bottom w:val="outset" w:sz="4" w:space="0" w:color="auto"/>
                      <w:right w:val="outset" w:sz="4" w:space="0" w:color="auto"/>
                    </w:tcBorders>
                    <w:vAlign w:val="center"/>
                  </w:tcPr>
                  <w:p w14:paraId="44AB981C" w14:textId="7B14551B" w:rsidR="00471D53" w:rsidRDefault="004F686E">
                    <w:pPr>
                      <w:jc w:val="right"/>
                      <w:rPr>
                        <w:sz w:val="22"/>
                        <w:szCs w:val="22"/>
                      </w:rPr>
                    </w:pPr>
                    <w:r>
                      <w:rPr>
                        <w:rFonts w:hint="eastAsia"/>
                        <w:sz w:val="22"/>
                        <w:szCs w:val="22"/>
                      </w:rPr>
                      <w:t>27,634,150.00</w:t>
                    </w:r>
                  </w:p>
                </w:tc>
              </w:tr>
              <w:tr w:rsidR="00471D53" w14:paraId="4B8C0B94" w14:textId="77777777" w:rsidTr="00471D53">
                <w:sdt>
                  <w:sdtPr>
                    <w:tag w:val="_PLD_35e4982400d84c73b6fc0f506a5d5376"/>
                    <w:id w:val="-59354831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7ADC0E8B" w14:textId="77777777" w:rsidR="00471D53" w:rsidRDefault="004F686E" w:rsidP="00471D53">
                        <w:pPr>
                          <w:ind w:firstLineChars="100" w:firstLine="210"/>
                          <w:rPr>
                            <w:szCs w:val="21"/>
                          </w:rPr>
                        </w:pPr>
                        <w:r>
                          <w:rPr>
                            <w:rFonts w:hint="eastAsia"/>
                            <w:szCs w:val="21"/>
                          </w:rPr>
                          <w:t>取得投资收益收到的现金</w:t>
                        </w:r>
                      </w:p>
                    </w:tc>
                  </w:sdtContent>
                </w:sdt>
                <w:tc>
                  <w:tcPr>
                    <w:tcW w:w="866" w:type="pct"/>
                    <w:tcBorders>
                      <w:top w:val="outset" w:sz="4" w:space="0" w:color="auto"/>
                      <w:left w:val="outset" w:sz="4" w:space="0" w:color="auto"/>
                      <w:bottom w:val="outset" w:sz="4" w:space="0" w:color="auto"/>
                      <w:right w:val="outset" w:sz="4" w:space="0" w:color="auto"/>
                    </w:tcBorders>
                  </w:tcPr>
                  <w:p w14:paraId="5112804C" w14:textId="77777777" w:rsidR="00471D53" w:rsidRDefault="00B664AF">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4DD0C564" w14:textId="2DC91A8B" w:rsidR="00471D53" w:rsidRDefault="004F686E">
                    <w:pPr>
                      <w:jc w:val="right"/>
                      <w:rPr>
                        <w:sz w:val="22"/>
                        <w:szCs w:val="22"/>
                      </w:rPr>
                    </w:pPr>
                    <w:r>
                      <w:rPr>
                        <w:rFonts w:hint="eastAsia"/>
                        <w:sz w:val="22"/>
                        <w:szCs w:val="22"/>
                      </w:rPr>
                      <w:t>327,428.24</w:t>
                    </w:r>
                  </w:p>
                </w:tc>
                <w:tc>
                  <w:tcPr>
                    <w:tcW w:w="1197" w:type="pct"/>
                    <w:tcBorders>
                      <w:top w:val="outset" w:sz="4" w:space="0" w:color="auto"/>
                      <w:left w:val="outset" w:sz="4" w:space="0" w:color="auto"/>
                      <w:bottom w:val="outset" w:sz="4" w:space="0" w:color="auto"/>
                      <w:right w:val="outset" w:sz="4" w:space="0" w:color="auto"/>
                    </w:tcBorders>
                    <w:vAlign w:val="center"/>
                  </w:tcPr>
                  <w:p w14:paraId="5D3168BD" w14:textId="3D8F28A4" w:rsidR="00471D53" w:rsidRDefault="004F686E">
                    <w:pPr>
                      <w:jc w:val="right"/>
                      <w:rPr>
                        <w:sz w:val="22"/>
                        <w:szCs w:val="22"/>
                      </w:rPr>
                    </w:pPr>
                    <w:r>
                      <w:rPr>
                        <w:rFonts w:hint="eastAsia"/>
                        <w:sz w:val="22"/>
                        <w:szCs w:val="22"/>
                      </w:rPr>
                      <w:t>8,551,142.28</w:t>
                    </w:r>
                  </w:p>
                </w:tc>
              </w:tr>
              <w:tr w:rsidR="00471D53" w14:paraId="4BBAC839" w14:textId="77777777" w:rsidTr="00471D53">
                <w:sdt>
                  <w:sdtPr>
                    <w:tag w:val="_PLD_7070e73d5e4b4f3ab454e8266545ce2f"/>
                    <w:id w:val="56206638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56A4FC57" w14:textId="77777777" w:rsidR="00471D53" w:rsidRDefault="004F686E" w:rsidP="00471D53">
                        <w:pPr>
                          <w:ind w:firstLineChars="100" w:firstLine="210"/>
                          <w:rPr>
                            <w:szCs w:val="21"/>
                          </w:rPr>
                        </w:pPr>
                        <w:r>
                          <w:rPr>
                            <w:rFonts w:hint="eastAsia"/>
                            <w:szCs w:val="21"/>
                          </w:rPr>
                          <w:t>处置固定资产、无形资产和其他长期资产收回的现金净额</w:t>
                        </w:r>
                      </w:p>
                    </w:tc>
                  </w:sdtContent>
                </w:sdt>
                <w:tc>
                  <w:tcPr>
                    <w:tcW w:w="866" w:type="pct"/>
                    <w:tcBorders>
                      <w:top w:val="outset" w:sz="4" w:space="0" w:color="auto"/>
                      <w:left w:val="outset" w:sz="4" w:space="0" w:color="auto"/>
                      <w:bottom w:val="outset" w:sz="4" w:space="0" w:color="auto"/>
                      <w:right w:val="outset" w:sz="4" w:space="0" w:color="auto"/>
                    </w:tcBorders>
                  </w:tcPr>
                  <w:p w14:paraId="667988D9" w14:textId="77777777" w:rsidR="00471D53" w:rsidRDefault="00B664AF">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5F83CEB0" w14:textId="789D640B" w:rsidR="00471D53" w:rsidRDefault="004F686E">
                    <w:pPr>
                      <w:jc w:val="right"/>
                      <w:rPr>
                        <w:sz w:val="22"/>
                        <w:szCs w:val="22"/>
                      </w:rPr>
                    </w:pPr>
                    <w:r>
                      <w:rPr>
                        <w:rFonts w:hint="eastAsia"/>
                        <w:sz w:val="22"/>
                        <w:szCs w:val="22"/>
                      </w:rPr>
                      <w:t>476,169.08</w:t>
                    </w:r>
                  </w:p>
                </w:tc>
                <w:tc>
                  <w:tcPr>
                    <w:tcW w:w="1197" w:type="pct"/>
                    <w:tcBorders>
                      <w:top w:val="outset" w:sz="4" w:space="0" w:color="auto"/>
                      <w:left w:val="outset" w:sz="4" w:space="0" w:color="auto"/>
                      <w:bottom w:val="outset" w:sz="4" w:space="0" w:color="auto"/>
                      <w:right w:val="outset" w:sz="4" w:space="0" w:color="auto"/>
                    </w:tcBorders>
                    <w:vAlign w:val="center"/>
                  </w:tcPr>
                  <w:p w14:paraId="5E9D1851" w14:textId="1164C1A9" w:rsidR="00471D53" w:rsidRDefault="004F686E">
                    <w:pPr>
                      <w:jc w:val="right"/>
                      <w:rPr>
                        <w:sz w:val="22"/>
                        <w:szCs w:val="22"/>
                      </w:rPr>
                    </w:pPr>
                    <w:r>
                      <w:rPr>
                        <w:rFonts w:hint="eastAsia"/>
                        <w:sz w:val="22"/>
                        <w:szCs w:val="22"/>
                      </w:rPr>
                      <w:t>78,667.00</w:t>
                    </w:r>
                  </w:p>
                </w:tc>
              </w:tr>
              <w:tr w:rsidR="00471D53" w14:paraId="62AEED87" w14:textId="77777777" w:rsidTr="00290CE2">
                <w:sdt>
                  <w:sdtPr>
                    <w:tag w:val="_PLD_c759f863222a4b86a2bd00d28adee545"/>
                    <w:id w:val="81268002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57A002A8" w14:textId="77777777" w:rsidR="00471D53" w:rsidRDefault="004F686E" w:rsidP="00471D53">
                        <w:pPr>
                          <w:ind w:firstLineChars="100" w:firstLine="210"/>
                          <w:rPr>
                            <w:szCs w:val="21"/>
                          </w:rPr>
                        </w:pPr>
                        <w:r>
                          <w:rPr>
                            <w:rFonts w:hint="eastAsia"/>
                            <w:szCs w:val="21"/>
                          </w:rPr>
                          <w:t>处置子公司及其他营业单位收到的现金净额</w:t>
                        </w:r>
                      </w:p>
                    </w:tc>
                  </w:sdtContent>
                </w:sdt>
                <w:tc>
                  <w:tcPr>
                    <w:tcW w:w="866" w:type="pct"/>
                    <w:tcBorders>
                      <w:top w:val="outset" w:sz="4" w:space="0" w:color="auto"/>
                      <w:left w:val="outset" w:sz="4" w:space="0" w:color="auto"/>
                      <w:bottom w:val="outset" w:sz="4" w:space="0" w:color="auto"/>
                      <w:right w:val="outset" w:sz="4" w:space="0" w:color="auto"/>
                    </w:tcBorders>
                  </w:tcPr>
                  <w:p w14:paraId="4A257F92" w14:textId="77777777" w:rsidR="00471D53" w:rsidRDefault="00B664AF">
                    <w:pPr>
                      <w:rPr>
                        <w:szCs w:val="21"/>
                      </w:rPr>
                    </w:pPr>
                  </w:p>
                </w:tc>
                <w:tc>
                  <w:tcPr>
                    <w:tcW w:w="1201" w:type="pct"/>
                    <w:tcBorders>
                      <w:top w:val="outset" w:sz="4" w:space="0" w:color="auto"/>
                      <w:left w:val="outset" w:sz="4" w:space="0" w:color="auto"/>
                      <w:bottom w:val="outset" w:sz="4" w:space="0" w:color="auto"/>
                      <w:right w:val="outset" w:sz="4" w:space="0" w:color="auto"/>
                    </w:tcBorders>
                  </w:tcPr>
                  <w:p w14:paraId="1B9BD44A" w14:textId="77777777" w:rsidR="00471D53" w:rsidRDefault="00B664AF">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442BE2F7" w14:textId="77777777" w:rsidR="00471D53" w:rsidRDefault="00B664AF">
                    <w:pPr>
                      <w:jc w:val="right"/>
                      <w:rPr>
                        <w:szCs w:val="21"/>
                      </w:rPr>
                    </w:pPr>
                  </w:p>
                </w:tc>
              </w:tr>
              <w:tr w:rsidR="00471D53" w14:paraId="581CDE0E" w14:textId="77777777" w:rsidTr="00290CE2">
                <w:sdt>
                  <w:sdtPr>
                    <w:tag w:val="_PLD_952d04204f8a403a94876043b8095de0"/>
                    <w:id w:val="-3976732"/>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6BDB3F0A" w14:textId="77777777" w:rsidR="00471D53" w:rsidRDefault="004F686E" w:rsidP="00471D53">
                        <w:pPr>
                          <w:ind w:firstLineChars="100" w:firstLine="210"/>
                          <w:rPr>
                            <w:szCs w:val="21"/>
                          </w:rPr>
                        </w:pPr>
                        <w:r>
                          <w:rPr>
                            <w:rFonts w:hint="eastAsia"/>
                            <w:szCs w:val="21"/>
                          </w:rPr>
                          <w:t>收到其他与投资活动有关的现金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14:paraId="09DA4F52" w14:textId="77777777" w:rsidR="00471D53" w:rsidRDefault="00B664AF">
                    <w:pPr>
                      <w:rPr>
                        <w:szCs w:val="21"/>
                      </w:rPr>
                    </w:pPr>
                  </w:p>
                </w:tc>
                <w:tc>
                  <w:tcPr>
                    <w:tcW w:w="1201" w:type="pct"/>
                    <w:tcBorders>
                      <w:top w:val="outset" w:sz="4" w:space="0" w:color="auto"/>
                      <w:left w:val="outset" w:sz="4" w:space="0" w:color="auto"/>
                      <w:bottom w:val="outset" w:sz="4" w:space="0" w:color="auto"/>
                      <w:right w:val="outset" w:sz="4" w:space="0" w:color="auto"/>
                    </w:tcBorders>
                  </w:tcPr>
                  <w:p w14:paraId="1721C399" w14:textId="77777777" w:rsidR="00471D53" w:rsidRDefault="00B664AF">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05599103" w14:textId="77777777" w:rsidR="00471D53" w:rsidRDefault="00B664AF">
                    <w:pPr>
                      <w:jc w:val="right"/>
                      <w:rPr>
                        <w:szCs w:val="21"/>
                      </w:rPr>
                    </w:pPr>
                  </w:p>
                </w:tc>
              </w:tr>
              <w:tr w:rsidR="00471D53" w14:paraId="07A9D88A" w14:textId="77777777" w:rsidTr="00471D53">
                <w:sdt>
                  <w:sdtPr>
                    <w:tag w:val="_PLD_64f8da16e041496994b857c4c1889283"/>
                    <w:id w:val="-10782416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667FA13D" w14:textId="77777777" w:rsidR="00471D53" w:rsidRDefault="004F686E" w:rsidP="00471D53">
                        <w:pPr>
                          <w:ind w:firstLineChars="200" w:firstLine="420"/>
                          <w:rPr>
                            <w:color w:val="000000"/>
                            <w:szCs w:val="21"/>
                          </w:rPr>
                        </w:pPr>
                        <w:r>
                          <w:rPr>
                            <w:rFonts w:hint="eastAsia"/>
                            <w:szCs w:val="21"/>
                          </w:rPr>
                          <w:t>投资活动现金流入小计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14:paraId="1B9226BD" w14:textId="77777777" w:rsidR="00471D53" w:rsidRDefault="00B664AF">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50E4E525" w14:textId="3136017A" w:rsidR="00471D53" w:rsidRDefault="004F686E">
                    <w:pPr>
                      <w:jc w:val="right"/>
                      <w:rPr>
                        <w:sz w:val="22"/>
                        <w:szCs w:val="22"/>
                      </w:rPr>
                    </w:pPr>
                    <w:r>
                      <w:rPr>
                        <w:rFonts w:hint="eastAsia"/>
                        <w:sz w:val="22"/>
                        <w:szCs w:val="22"/>
                      </w:rPr>
                      <w:t>803,597.32</w:t>
                    </w:r>
                  </w:p>
                </w:tc>
                <w:tc>
                  <w:tcPr>
                    <w:tcW w:w="1197" w:type="pct"/>
                    <w:tcBorders>
                      <w:top w:val="outset" w:sz="4" w:space="0" w:color="auto"/>
                      <w:left w:val="outset" w:sz="4" w:space="0" w:color="auto"/>
                      <w:bottom w:val="outset" w:sz="4" w:space="0" w:color="auto"/>
                      <w:right w:val="outset" w:sz="4" w:space="0" w:color="auto"/>
                    </w:tcBorders>
                    <w:vAlign w:val="center"/>
                  </w:tcPr>
                  <w:p w14:paraId="78379707" w14:textId="26959DB7" w:rsidR="00471D53" w:rsidRDefault="004F686E">
                    <w:pPr>
                      <w:jc w:val="right"/>
                      <w:rPr>
                        <w:sz w:val="22"/>
                        <w:szCs w:val="22"/>
                      </w:rPr>
                    </w:pPr>
                    <w:r>
                      <w:rPr>
                        <w:rFonts w:hint="eastAsia"/>
                        <w:sz w:val="22"/>
                        <w:szCs w:val="22"/>
                      </w:rPr>
                      <w:t>36,263,959.28</w:t>
                    </w:r>
                  </w:p>
                </w:tc>
              </w:tr>
              <w:tr w:rsidR="00471D53" w14:paraId="5DC251E3" w14:textId="77777777" w:rsidTr="00471D53">
                <w:sdt>
                  <w:sdtPr>
                    <w:tag w:val="_PLD_8ec533e5ae47447ca845ccd778baf9d2"/>
                    <w:id w:val="1297255885"/>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19E4D650" w14:textId="77777777" w:rsidR="00471D53" w:rsidRDefault="004F686E" w:rsidP="00471D53">
                        <w:pPr>
                          <w:ind w:firstLineChars="100" w:firstLine="210"/>
                          <w:rPr>
                            <w:color w:val="000000"/>
                            <w:szCs w:val="21"/>
                          </w:rPr>
                        </w:pPr>
                        <w:r>
                          <w:rPr>
                            <w:rFonts w:hint="eastAsia"/>
                            <w:szCs w:val="21"/>
                          </w:rPr>
                          <w:t>购建固定资产、无形资产和其他长期资产支付的现金</w:t>
                        </w:r>
                      </w:p>
                    </w:tc>
                  </w:sdtContent>
                </w:sdt>
                <w:tc>
                  <w:tcPr>
                    <w:tcW w:w="866" w:type="pct"/>
                    <w:tcBorders>
                      <w:top w:val="outset" w:sz="4" w:space="0" w:color="auto"/>
                      <w:left w:val="outset" w:sz="4" w:space="0" w:color="auto"/>
                      <w:bottom w:val="outset" w:sz="4" w:space="0" w:color="auto"/>
                      <w:right w:val="outset" w:sz="4" w:space="0" w:color="auto"/>
                    </w:tcBorders>
                  </w:tcPr>
                  <w:p w14:paraId="3C1D92CD" w14:textId="77777777" w:rsidR="00471D53" w:rsidRDefault="00B664AF">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559596B1" w14:textId="1F857DBE" w:rsidR="00471D53" w:rsidRDefault="004F686E">
                    <w:pPr>
                      <w:jc w:val="right"/>
                      <w:rPr>
                        <w:sz w:val="22"/>
                        <w:szCs w:val="22"/>
                      </w:rPr>
                    </w:pPr>
                    <w:r>
                      <w:rPr>
                        <w:rFonts w:hint="eastAsia"/>
                        <w:sz w:val="22"/>
                        <w:szCs w:val="22"/>
                      </w:rPr>
                      <w:t>15,387,042.13</w:t>
                    </w:r>
                  </w:p>
                </w:tc>
                <w:tc>
                  <w:tcPr>
                    <w:tcW w:w="1197" w:type="pct"/>
                    <w:tcBorders>
                      <w:top w:val="outset" w:sz="4" w:space="0" w:color="auto"/>
                      <w:left w:val="outset" w:sz="4" w:space="0" w:color="auto"/>
                      <w:bottom w:val="outset" w:sz="4" w:space="0" w:color="auto"/>
                      <w:right w:val="outset" w:sz="4" w:space="0" w:color="auto"/>
                    </w:tcBorders>
                    <w:vAlign w:val="center"/>
                  </w:tcPr>
                  <w:p w14:paraId="66C2E46F" w14:textId="16BEAFBA" w:rsidR="00471D53" w:rsidRDefault="004F686E">
                    <w:pPr>
                      <w:jc w:val="right"/>
                      <w:rPr>
                        <w:sz w:val="22"/>
                        <w:szCs w:val="22"/>
                      </w:rPr>
                    </w:pPr>
                    <w:r>
                      <w:rPr>
                        <w:rFonts w:hint="eastAsia"/>
                        <w:sz w:val="22"/>
                        <w:szCs w:val="22"/>
                      </w:rPr>
                      <w:t>6,446,295.18</w:t>
                    </w:r>
                  </w:p>
                </w:tc>
              </w:tr>
              <w:tr w:rsidR="00471D53" w14:paraId="038A6E56" w14:textId="77777777" w:rsidTr="00471D53">
                <w:sdt>
                  <w:sdtPr>
                    <w:tag w:val="_PLD_6cfa06cfb65e431588ea9f9c8c72d193"/>
                    <w:id w:val="135823640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02CC49F6" w14:textId="77777777" w:rsidR="00471D53" w:rsidRDefault="004F686E" w:rsidP="00471D53">
                        <w:pPr>
                          <w:ind w:firstLineChars="100" w:firstLine="210"/>
                          <w:rPr>
                            <w:szCs w:val="21"/>
                          </w:rPr>
                        </w:pPr>
                        <w:r>
                          <w:rPr>
                            <w:rFonts w:hint="eastAsia"/>
                            <w:szCs w:val="21"/>
                          </w:rPr>
                          <w:t>投资支付的现金</w:t>
                        </w:r>
                      </w:p>
                    </w:tc>
                  </w:sdtContent>
                </w:sdt>
                <w:tc>
                  <w:tcPr>
                    <w:tcW w:w="866" w:type="pct"/>
                    <w:tcBorders>
                      <w:top w:val="outset" w:sz="4" w:space="0" w:color="auto"/>
                      <w:left w:val="outset" w:sz="4" w:space="0" w:color="auto"/>
                      <w:bottom w:val="outset" w:sz="4" w:space="0" w:color="auto"/>
                      <w:right w:val="outset" w:sz="4" w:space="0" w:color="auto"/>
                    </w:tcBorders>
                  </w:tcPr>
                  <w:p w14:paraId="7CEC1779" w14:textId="77777777" w:rsidR="00471D53" w:rsidRDefault="00B664AF">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084D7F09" w14:textId="77D05DED" w:rsidR="00471D53" w:rsidRDefault="004F686E">
                    <w:pPr>
                      <w:jc w:val="right"/>
                      <w:rPr>
                        <w:sz w:val="22"/>
                        <w:szCs w:val="22"/>
                      </w:rPr>
                    </w:pPr>
                    <w:r>
                      <w:rPr>
                        <w:rFonts w:hint="eastAsia"/>
                        <w:sz w:val="22"/>
                        <w:szCs w:val="22"/>
                      </w:rPr>
                      <w:t>18,540,454.46</w:t>
                    </w:r>
                  </w:p>
                </w:tc>
                <w:tc>
                  <w:tcPr>
                    <w:tcW w:w="1197" w:type="pct"/>
                    <w:tcBorders>
                      <w:top w:val="outset" w:sz="4" w:space="0" w:color="auto"/>
                      <w:left w:val="outset" w:sz="4" w:space="0" w:color="auto"/>
                      <w:bottom w:val="outset" w:sz="4" w:space="0" w:color="auto"/>
                      <w:right w:val="outset" w:sz="4" w:space="0" w:color="auto"/>
                    </w:tcBorders>
                    <w:vAlign w:val="center"/>
                  </w:tcPr>
                  <w:p w14:paraId="200F3C56" w14:textId="5C2FFD3E" w:rsidR="00471D53" w:rsidRDefault="004F686E">
                    <w:pPr>
                      <w:jc w:val="right"/>
                      <w:rPr>
                        <w:sz w:val="22"/>
                        <w:szCs w:val="22"/>
                      </w:rPr>
                    </w:pPr>
                    <w:r>
                      <w:rPr>
                        <w:rFonts w:hint="eastAsia"/>
                        <w:sz w:val="22"/>
                        <w:szCs w:val="22"/>
                      </w:rPr>
                      <w:t>11,781,356.24</w:t>
                    </w:r>
                  </w:p>
                </w:tc>
              </w:tr>
              <w:tr w:rsidR="00471D53" w14:paraId="22B139F4" w14:textId="77777777" w:rsidTr="00290CE2">
                <w:sdt>
                  <w:sdtPr>
                    <w:tag w:val="_PLD_40c2de7357364683ba4aa78c10d20704"/>
                    <w:id w:val="1698343578"/>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70B78A78" w14:textId="77777777" w:rsidR="00471D53" w:rsidRDefault="004F686E" w:rsidP="00471D53">
                        <w:pPr>
                          <w:ind w:firstLineChars="100" w:firstLine="210"/>
                          <w:rPr>
                            <w:szCs w:val="21"/>
                          </w:rPr>
                        </w:pPr>
                        <w:r>
                          <w:rPr>
                            <w:rFonts w:hint="eastAsia"/>
                            <w:szCs w:val="21"/>
                          </w:rPr>
                          <w:t>质押贷款净增加额</w:t>
                        </w:r>
                      </w:p>
                    </w:tc>
                  </w:sdtContent>
                </w:sdt>
                <w:tc>
                  <w:tcPr>
                    <w:tcW w:w="866" w:type="pct"/>
                    <w:tcBorders>
                      <w:top w:val="outset" w:sz="4" w:space="0" w:color="auto"/>
                      <w:left w:val="outset" w:sz="4" w:space="0" w:color="auto"/>
                      <w:bottom w:val="outset" w:sz="4" w:space="0" w:color="auto"/>
                      <w:right w:val="outset" w:sz="4" w:space="0" w:color="auto"/>
                    </w:tcBorders>
                  </w:tcPr>
                  <w:p w14:paraId="2869551D" w14:textId="77777777" w:rsidR="00471D53" w:rsidRDefault="00B664AF">
                    <w:pPr>
                      <w:rPr>
                        <w:szCs w:val="21"/>
                      </w:rPr>
                    </w:pPr>
                  </w:p>
                </w:tc>
                <w:tc>
                  <w:tcPr>
                    <w:tcW w:w="1201" w:type="pct"/>
                    <w:tcBorders>
                      <w:top w:val="outset" w:sz="4" w:space="0" w:color="auto"/>
                      <w:left w:val="outset" w:sz="4" w:space="0" w:color="auto"/>
                      <w:bottom w:val="outset" w:sz="4" w:space="0" w:color="auto"/>
                      <w:right w:val="outset" w:sz="4" w:space="0" w:color="auto"/>
                    </w:tcBorders>
                  </w:tcPr>
                  <w:p w14:paraId="6BF2FBD9" w14:textId="77777777" w:rsidR="00471D53" w:rsidRDefault="00B664AF">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63B49B28" w14:textId="77777777" w:rsidR="00471D53" w:rsidRDefault="00B664AF">
                    <w:pPr>
                      <w:jc w:val="right"/>
                      <w:rPr>
                        <w:szCs w:val="21"/>
                      </w:rPr>
                    </w:pPr>
                  </w:p>
                </w:tc>
              </w:tr>
              <w:tr w:rsidR="00471D53" w14:paraId="7B4E3E20" w14:textId="77777777" w:rsidTr="00290CE2">
                <w:sdt>
                  <w:sdtPr>
                    <w:tag w:val="_PLD_4d1b57b8ea74470da0c4e250ba5ee9ce"/>
                    <w:id w:val="712008159"/>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0409191D" w14:textId="77777777" w:rsidR="00471D53" w:rsidRDefault="004F686E" w:rsidP="00471D53">
                        <w:pPr>
                          <w:ind w:firstLineChars="100" w:firstLine="210"/>
                          <w:rPr>
                            <w:szCs w:val="21"/>
                          </w:rPr>
                        </w:pPr>
                        <w:r>
                          <w:rPr>
                            <w:rFonts w:hint="eastAsia"/>
                            <w:szCs w:val="21"/>
                          </w:rPr>
                          <w:t>取得子公司及其他营业单位支付的现金净额</w:t>
                        </w:r>
                      </w:p>
                    </w:tc>
                  </w:sdtContent>
                </w:sdt>
                <w:tc>
                  <w:tcPr>
                    <w:tcW w:w="866" w:type="pct"/>
                    <w:tcBorders>
                      <w:top w:val="outset" w:sz="4" w:space="0" w:color="auto"/>
                      <w:left w:val="outset" w:sz="4" w:space="0" w:color="auto"/>
                      <w:bottom w:val="outset" w:sz="4" w:space="0" w:color="auto"/>
                      <w:right w:val="outset" w:sz="4" w:space="0" w:color="auto"/>
                    </w:tcBorders>
                  </w:tcPr>
                  <w:p w14:paraId="28FD4FC5" w14:textId="77777777" w:rsidR="00471D53" w:rsidRDefault="00B664AF">
                    <w:pPr>
                      <w:rPr>
                        <w:szCs w:val="21"/>
                      </w:rPr>
                    </w:pPr>
                  </w:p>
                </w:tc>
                <w:tc>
                  <w:tcPr>
                    <w:tcW w:w="1201" w:type="pct"/>
                    <w:tcBorders>
                      <w:top w:val="outset" w:sz="4" w:space="0" w:color="auto"/>
                      <w:left w:val="outset" w:sz="4" w:space="0" w:color="auto"/>
                      <w:bottom w:val="outset" w:sz="4" w:space="0" w:color="auto"/>
                      <w:right w:val="outset" w:sz="4" w:space="0" w:color="auto"/>
                    </w:tcBorders>
                  </w:tcPr>
                  <w:p w14:paraId="18E9FCC1" w14:textId="77777777" w:rsidR="00471D53" w:rsidRDefault="00B664AF">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639236D4" w14:textId="77777777" w:rsidR="00471D53" w:rsidRDefault="00B664AF">
                    <w:pPr>
                      <w:jc w:val="right"/>
                      <w:rPr>
                        <w:szCs w:val="21"/>
                      </w:rPr>
                    </w:pPr>
                  </w:p>
                </w:tc>
              </w:tr>
              <w:tr w:rsidR="00471D53" w14:paraId="6485F744" w14:textId="77777777" w:rsidTr="00290CE2">
                <w:sdt>
                  <w:sdtPr>
                    <w:tag w:val="_PLD_f53ecab3f93149519a6b0b08b3adf953"/>
                    <w:id w:val="7101656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03B24D09" w14:textId="77777777" w:rsidR="00471D53" w:rsidRDefault="004F686E" w:rsidP="00471D53">
                        <w:pPr>
                          <w:ind w:firstLineChars="100" w:firstLine="210"/>
                          <w:rPr>
                            <w:szCs w:val="21"/>
                          </w:rPr>
                        </w:pPr>
                        <w:r>
                          <w:rPr>
                            <w:rFonts w:hint="eastAsia"/>
                            <w:szCs w:val="21"/>
                          </w:rPr>
                          <w:t>支付其他与投资活动有关的现金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14:paraId="3584D1A8" w14:textId="77777777" w:rsidR="00471D53" w:rsidRDefault="00B664AF">
                    <w:pPr>
                      <w:rPr>
                        <w:szCs w:val="21"/>
                      </w:rPr>
                    </w:pPr>
                  </w:p>
                </w:tc>
                <w:tc>
                  <w:tcPr>
                    <w:tcW w:w="1201" w:type="pct"/>
                    <w:tcBorders>
                      <w:top w:val="outset" w:sz="4" w:space="0" w:color="auto"/>
                      <w:left w:val="outset" w:sz="4" w:space="0" w:color="auto"/>
                      <w:bottom w:val="outset" w:sz="4" w:space="0" w:color="auto"/>
                      <w:right w:val="outset" w:sz="4" w:space="0" w:color="auto"/>
                    </w:tcBorders>
                  </w:tcPr>
                  <w:p w14:paraId="436BE15E" w14:textId="77777777" w:rsidR="00471D53" w:rsidRDefault="00B664AF">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1CB19AA2" w14:textId="77777777" w:rsidR="00471D53" w:rsidRDefault="00B664AF">
                    <w:pPr>
                      <w:jc w:val="right"/>
                      <w:rPr>
                        <w:szCs w:val="21"/>
                      </w:rPr>
                    </w:pPr>
                  </w:p>
                </w:tc>
              </w:tr>
              <w:tr w:rsidR="00471D53" w14:paraId="519B9985" w14:textId="77777777" w:rsidTr="00471D53">
                <w:sdt>
                  <w:sdtPr>
                    <w:tag w:val="_PLD_00f03153fc624284b3402147ccc07698"/>
                    <w:id w:val="1738516471"/>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026BD14F" w14:textId="77777777" w:rsidR="00471D53" w:rsidRDefault="004F686E" w:rsidP="00471D53">
                        <w:pPr>
                          <w:ind w:firstLineChars="200" w:firstLine="420"/>
                          <w:rPr>
                            <w:color w:val="000000"/>
                            <w:szCs w:val="21"/>
                          </w:rPr>
                        </w:pPr>
                        <w:r>
                          <w:rPr>
                            <w:rFonts w:hint="eastAsia"/>
                            <w:szCs w:val="21"/>
                          </w:rPr>
                          <w:t>投资活动现金流出小计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14:paraId="6FFAF63A" w14:textId="77777777" w:rsidR="00471D53" w:rsidRDefault="00B664AF">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09C4EF48" w14:textId="52C735F5" w:rsidR="00471D53" w:rsidRDefault="004F686E">
                    <w:pPr>
                      <w:jc w:val="right"/>
                      <w:rPr>
                        <w:sz w:val="22"/>
                        <w:szCs w:val="22"/>
                      </w:rPr>
                    </w:pPr>
                    <w:r>
                      <w:rPr>
                        <w:rFonts w:hint="eastAsia"/>
                        <w:sz w:val="22"/>
                        <w:szCs w:val="22"/>
                      </w:rPr>
                      <w:t>33,927,496.59</w:t>
                    </w:r>
                  </w:p>
                </w:tc>
                <w:tc>
                  <w:tcPr>
                    <w:tcW w:w="1197" w:type="pct"/>
                    <w:tcBorders>
                      <w:top w:val="outset" w:sz="4" w:space="0" w:color="auto"/>
                      <w:left w:val="outset" w:sz="4" w:space="0" w:color="auto"/>
                      <w:bottom w:val="outset" w:sz="4" w:space="0" w:color="auto"/>
                      <w:right w:val="outset" w:sz="4" w:space="0" w:color="auto"/>
                    </w:tcBorders>
                    <w:vAlign w:val="center"/>
                  </w:tcPr>
                  <w:p w14:paraId="631C5952" w14:textId="14377E3A" w:rsidR="00471D53" w:rsidRDefault="004F686E">
                    <w:pPr>
                      <w:jc w:val="right"/>
                      <w:rPr>
                        <w:sz w:val="22"/>
                        <w:szCs w:val="22"/>
                      </w:rPr>
                    </w:pPr>
                    <w:r>
                      <w:rPr>
                        <w:rFonts w:hint="eastAsia"/>
                        <w:sz w:val="22"/>
                        <w:szCs w:val="22"/>
                      </w:rPr>
                      <w:t>18,227,651.42</w:t>
                    </w:r>
                  </w:p>
                </w:tc>
              </w:tr>
              <w:tr w:rsidR="00471D53" w14:paraId="5A989B0F" w14:textId="77777777" w:rsidTr="00471D53">
                <w:sdt>
                  <w:sdtPr>
                    <w:tag w:val="_PLD_42db552946874e118fb4a5282ca23bcb"/>
                    <w:id w:val="57039672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595D7163" w14:textId="77777777" w:rsidR="00471D53" w:rsidRDefault="004F686E" w:rsidP="00471D53">
                        <w:pPr>
                          <w:ind w:firstLineChars="300" w:firstLine="630"/>
                          <w:rPr>
                            <w:color w:val="000000"/>
                            <w:szCs w:val="21"/>
                          </w:rPr>
                        </w:pPr>
                        <w:r>
                          <w:rPr>
                            <w:rFonts w:hint="eastAsia"/>
                            <w:szCs w:val="21"/>
                          </w:rPr>
                          <w:t>投资活动产生的现金流量净额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14:paraId="283BE434" w14:textId="77777777" w:rsidR="00471D53" w:rsidRDefault="00B664AF">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1CAE79DB" w14:textId="2FF22F7E" w:rsidR="00471D53" w:rsidRDefault="004F686E">
                    <w:pPr>
                      <w:jc w:val="right"/>
                      <w:rPr>
                        <w:sz w:val="22"/>
                        <w:szCs w:val="22"/>
                      </w:rPr>
                    </w:pPr>
                    <w:r>
                      <w:rPr>
                        <w:rFonts w:hint="eastAsia"/>
                        <w:sz w:val="22"/>
                        <w:szCs w:val="22"/>
                      </w:rPr>
                      <w:t>-33,123,899.27</w:t>
                    </w:r>
                  </w:p>
                </w:tc>
                <w:tc>
                  <w:tcPr>
                    <w:tcW w:w="1197" w:type="pct"/>
                    <w:tcBorders>
                      <w:top w:val="outset" w:sz="4" w:space="0" w:color="auto"/>
                      <w:left w:val="outset" w:sz="4" w:space="0" w:color="auto"/>
                      <w:bottom w:val="outset" w:sz="4" w:space="0" w:color="auto"/>
                      <w:right w:val="outset" w:sz="4" w:space="0" w:color="auto"/>
                    </w:tcBorders>
                    <w:vAlign w:val="center"/>
                  </w:tcPr>
                  <w:p w14:paraId="6C858DAA" w14:textId="7914C5FE" w:rsidR="00471D53" w:rsidRDefault="004F686E">
                    <w:pPr>
                      <w:jc w:val="right"/>
                      <w:rPr>
                        <w:sz w:val="22"/>
                        <w:szCs w:val="22"/>
                      </w:rPr>
                    </w:pPr>
                    <w:r>
                      <w:rPr>
                        <w:rFonts w:hint="eastAsia"/>
                        <w:sz w:val="22"/>
                        <w:szCs w:val="22"/>
                      </w:rPr>
                      <w:t>18,036,307.86</w:t>
                    </w:r>
                  </w:p>
                </w:tc>
              </w:tr>
              <w:tr w:rsidR="00471D53" w14:paraId="40284B1E" w14:textId="77777777" w:rsidTr="00290CE2">
                <w:sdt>
                  <w:sdtPr>
                    <w:tag w:val="_PLD_0ebd9a8b5d8e4227a6bc3b0738379ef1"/>
                    <w:id w:val="-29098236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2B81624C" w14:textId="77777777" w:rsidR="00471D53" w:rsidRDefault="004F686E">
                        <w:pPr>
                          <w:rPr>
                            <w:color w:val="000000"/>
                            <w:szCs w:val="21"/>
                          </w:rPr>
                        </w:pPr>
                        <w:r>
                          <w:rPr>
                            <w:rFonts w:hint="eastAsia"/>
                            <w:b/>
                            <w:bCs/>
                            <w:szCs w:val="21"/>
                          </w:rPr>
                          <w:t>三、筹资活动产生的现金流量：</w:t>
                        </w:r>
                      </w:p>
                    </w:tc>
                  </w:sdtContent>
                </w:sdt>
                <w:tc>
                  <w:tcPr>
                    <w:tcW w:w="866" w:type="pct"/>
                    <w:tcBorders>
                      <w:top w:val="outset" w:sz="4" w:space="0" w:color="auto"/>
                      <w:left w:val="outset" w:sz="4" w:space="0" w:color="auto"/>
                      <w:bottom w:val="outset" w:sz="4" w:space="0" w:color="auto"/>
                      <w:right w:val="outset" w:sz="4" w:space="0" w:color="auto"/>
                    </w:tcBorders>
                  </w:tcPr>
                  <w:p w14:paraId="2E5304D3" w14:textId="77777777" w:rsidR="00471D53" w:rsidRDefault="00B664AF">
                    <w:pPr>
                      <w:rPr>
                        <w:color w:val="008000"/>
                        <w:szCs w:val="21"/>
                      </w:rPr>
                    </w:pPr>
                  </w:p>
                </w:tc>
                <w:tc>
                  <w:tcPr>
                    <w:tcW w:w="1201" w:type="pct"/>
                    <w:tcBorders>
                      <w:top w:val="outset" w:sz="4" w:space="0" w:color="auto"/>
                      <w:left w:val="outset" w:sz="4" w:space="0" w:color="auto"/>
                      <w:bottom w:val="outset" w:sz="4" w:space="0" w:color="auto"/>
                      <w:right w:val="outset" w:sz="4" w:space="0" w:color="auto"/>
                    </w:tcBorders>
                  </w:tcPr>
                  <w:p w14:paraId="41ECEB98" w14:textId="77777777" w:rsidR="00471D53" w:rsidRDefault="00B664AF">
                    <w:pPr>
                      <w:jc w:val="right"/>
                      <w:rPr>
                        <w:color w:val="008000"/>
                        <w:szCs w:val="21"/>
                      </w:rPr>
                    </w:pPr>
                  </w:p>
                </w:tc>
                <w:tc>
                  <w:tcPr>
                    <w:tcW w:w="1197" w:type="pct"/>
                    <w:tcBorders>
                      <w:top w:val="outset" w:sz="4" w:space="0" w:color="auto"/>
                      <w:left w:val="outset" w:sz="4" w:space="0" w:color="auto"/>
                      <w:bottom w:val="outset" w:sz="4" w:space="0" w:color="auto"/>
                      <w:right w:val="outset" w:sz="4" w:space="0" w:color="auto"/>
                    </w:tcBorders>
                  </w:tcPr>
                  <w:p w14:paraId="3916F0FF" w14:textId="77777777" w:rsidR="00471D53" w:rsidRDefault="00B664AF">
                    <w:pPr>
                      <w:jc w:val="right"/>
                      <w:rPr>
                        <w:color w:val="008000"/>
                        <w:szCs w:val="21"/>
                      </w:rPr>
                    </w:pPr>
                  </w:p>
                </w:tc>
              </w:tr>
              <w:tr w:rsidR="00471D53" w14:paraId="72D5087E" w14:textId="77777777" w:rsidTr="00471D53">
                <w:sdt>
                  <w:sdtPr>
                    <w:tag w:val="_PLD_d87e16dcff524c8fab8d4804bc3560eb"/>
                    <w:id w:val="120335862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64D687A0" w14:textId="77777777" w:rsidR="00471D53" w:rsidRDefault="004F686E" w:rsidP="00471D53">
                        <w:pPr>
                          <w:ind w:firstLineChars="100" w:firstLine="210"/>
                          <w:rPr>
                            <w:color w:val="000000"/>
                            <w:szCs w:val="21"/>
                          </w:rPr>
                        </w:pPr>
                        <w:r>
                          <w:rPr>
                            <w:rFonts w:hint="eastAsia"/>
                            <w:szCs w:val="21"/>
                          </w:rPr>
                          <w:t>吸收投资收到的现金</w:t>
                        </w:r>
                      </w:p>
                    </w:tc>
                  </w:sdtContent>
                </w:sdt>
                <w:tc>
                  <w:tcPr>
                    <w:tcW w:w="866" w:type="pct"/>
                    <w:tcBorders>
                      <w:top w:val="outset" w:sz="4" w:space="0" w:color="auto"/>
                      <w:left w:val="outset" w:sz="4" w:space="0" w:color="auto"/>
                      <w:bottom w:val="outset" w:sz="4" w:space="0" w:color="auto"/>
                      <w:right w:val="outset" w:sz="4" w:space="0" w:color="auto"/>
                    </w:tcBorders>
                  </w:tcPr>
                  <w:p w14:paraId="1C997EB3" w14:textId="77777777" w:rsidR="00471D53" w:rsidRDefault="00B664AF">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479E5AAA" w14:textId="77777777" w:rsidR="00471D53" w:rsidRDefault="004F686E">
                    <w:pPr>
                      <w:jc w:val="right"/>
                      <w:rPr>
                        <w:sz w:val="22"/>
                        <w:szCs w:val="22"/>
                      </w:rPr>
                    </w:pPr>
                    <w:r>
                      <w:rPr>
                        <w:rFonts w:hint="eastAsia"/>
                        <w:sz w:val="22"/>
                        <w:szCs w:val="22"/>
                      </w:rPr>
                      <w:t xml:space="preserve">　</w:t>
                    </w:r>
                  </w:p>
                </w:tc>
                <w:tc>
                  <w:tcPr>
                    <w:tcW w:w="1197" w:type="pct"/>
                    <w:tcBorders>
                      <w:top w:val="outset" w:sz="4" w:space="0" w:color="auto"/>
                      <w:left w:val="outset" w:sz="4" w:space="0" w:color="auto"/>
                      <w:bottom w:val="outset" w:sz="4" w:space="0" w:color="auto"/>
                      <w:right w:val="outset" w:sz="4" w:space="0" w:color="auto"/>
                    </w:tcBorders>
                    <w:vAlign w:val="center"/>
                  </w:tcPr>
                  <w:p w14:paraId="21090A18" w14:textId="2CFC9D95" w:rsidR="00471D53" w:rsidRDefault="004F686E">
                    <w:pPr>
                      <w:jc w:val="right"/>
                      <w:rPr>
                        <w:sz w:val="22"/>
                        <w:szCs w:val="22"/>
                      </w:rPr>
                    </w:pPr>
                    <w:r>
                      <w:rPr>
                        <w:rFonts w:hint="eastAsia"/>
                        <w:sz w:val="22"/>
                        <w:szCs w:val="22"/>
                      </w:rPr>
                      <w:t>211,111,360.00</w:t>
                    </w:r>
                  </w:p>
                </w:tc>
              </w:tr>
              <w:tr w:rsidR="00471D53" w14:paraId="4F6E57CB" w14:textId="77777777" w:rsidTr="00290CE2">
                <w:sdt>
                  <w:sdtPr>
                    <w:tag w:val="_PLD_58fd8ee113014f9584611dc39886caf7"/>
                    <w:id w:val="-371854882"/>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71B3B871" w14:textId="77777777" w:rsidR="00471D53" w:rsidRDefault="004F686E" w:rsidP="00471D53">
                        <w:pPr>
                          <w:ind w:firstLineChars="100" w:firstLine="210"/>
                          <w:rPr>
                            <w:color w:val="000000"/>
                            <w:szCs w:val="21"/>
                          </w:rPr>
                        </w:pPr>
                        <w:r>
                          <w:rPr>
                            <w:rFonts w:hint="eastAsia"/>
                            <w:szCs w:val="21"/>
                          </w:rPr>
                          <w:t>其中：子公司吸收少数股东投资收到的现金</w:t>
                        </w:r>
                      </w:p>
                    </w:tc>
                  </w:sdtContent>
                </w:sdt>
                <w:tc>
                  <w:tcPr>
                    <w:tcW w:w="866" w:type="pct"/>
                    <w:tcBorders>
                      <w:top w:val="outset" w:sz="4" w:space="0" w:color="auto"/>
                      <w:left w:val="outset" w:sz="4" w:space="0" w:color="auto"/>
                      <w:bottom w:val="outset" w:sz="4" w:space="0" w:color="auto"/>
                      <w:right w:val="outset" w:sz="4" w:space="0" w:color="auto"/>
                    </w:tcBorders>
                  </w:tcPr>
                  <w:p w14:paraId="201177CD" w14:textId="77777777" w:rsidR="00471D53" w:rsidRDefault="00B664AF">
                    <w:pPr>
                      <w:rPr>
                        <w:szCs w:val="21"/>
                      </w:rPr>
                    </w:pPr>
                  </w:p>
                </w:tc>
                <w:tc>
                  <w:tcPr>
                    <w:tcW w:w="1201" w:type="pct"/>
                    <w:tcBorders>
                      <w:top w:val="outset" w:sz="4" w:space="0" w:color="auto"/>
                      <w:left w:val="outset" w:sz="4" w:space="0" w:color="auto"/>
                      <w:bottom w:val="outset" w:sz="4" w:space="0" w:color="auto"/>
                      <w:right w:val="outset" w:sz="4" w:space="0" w:color="auto"/>
                    </w:tcBorders>
                  </w:tcPr>
                  <w:p w14:paraId="592DA78C" w14:textId="77777777" w:rsidR="00471D53" w:rsidRDefault="00B664AF">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478188EA" w14:textId="77777777" w:rsidR="00471D53" w:rsidRDefault="00B664AF">
                    <w:pPr>
                      <w:jc w:val="right"/>
                      <w:rPr>
                        <w:szCs w:val="21"/>
                      </w:rPr>
                    </w:pPr>
                  </w:p>
                </w:tc>
              </w:tr>
              <w:tr w:rsidR="00471D53" w14:paraId="71188534" w14:textId="77777777" w:rsidTr="00471D53">
                <w:sdt>
                  <w:sdtPr>
                    <w:tag w:val="_PLD_10190b07f720484f9e0102359e7978d3"/>
                    <w:id w:val="852850662"/>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572AD7F8" w14:textId="77777777" w:rsidR="00471D53" w:rsidRDefault="004F686E" w:rsidP="00471D53">
                        <w:pPr>
                          <w:ind w:firstLineChars="100" w:firstLine="210"/>
                          <w:rPr>
                            <w:color w:val="000000"/>
                            <w:szCs w:val="21"/>
                          </w:rPr>
                        </w:pPr>
                        <w:r>
                          <w:rPr>
                            <w:rFonts w:hint="eastAsia"/>
                            <w:szCs w:val="21"/>
                          </w:rPr>
                          <w:t>取得借款收到的现金</w:t>
                        </w:r>
                      </w:p>
                    </w:tc>
                  </w:sdtContent>
                </w:sdt>
                <w:tc>
                  <w:tcPr>
                    <w:tcW w:w="866" w:type="pct"/>
                    <w:tcBorders>
                      <w:top w:val="outset" w:sz="4" w:space="0" w:color="auto"/>
                      <w:left w:val="outset" w:sz="4" w:space="0" w:color="auto"/>
                      <w:bottom w:val="outset" w:sz="4" w:space="0" w:color="auto"/>
                      <w:right w:val="outset" w:sz="4" w:space="0" w:color="auto"/>
                    </w:tcBorders>
                  </w:tcPr>
                  <w:p w14:paraId="31D2C736" w14:textId="77777777" w:rsidR="00471D53" w:rsidRDefault="00B664AF">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7E3143B9" w14:textId="77777777" w:rsidR="00471D53" w:rsidRDefault="004F686E">
                    <w:pPr>
                      <w:jc w:val="right"/>
                      <w:rPr>
                        <w:sz w:val="22"/>
                        <w:szCs w:val="22"/>
                      </w:rPr>
                    </w:pPr>
                    <w:r>
                      <w:rPr>
                        <w:rFonts w:hint="eastAsia"/>
                        <w:sz w:val="22"/>
                        <w:szCs w:val="22"/>
                      </w:rPr>
                      <w:t xml:space="preserve">　</w:t>
                    </w:r>
                  </w:p>
                </w:tc>
                <w:tc>
                  <w:tcPr>
                    <w:tcW w:w="1197" w:type="pct"/>
                    <w:tcBorders>
                      <w:top w:val="outset" w:sz="4" w:space="0" w:color="auto"/>
                      <w:left w:val="outset" w:sz="4" w:space="0" w:color="auto"/>
                      <w:bottom w:val="outset" w:sz="4" w:space="0" w:color="auto"/>
                      <w:right w:val="outset" w:sz="4" w:space="0" w:color="auto"/>
                    </w:tcBorders>
                    <w:vAlign w:val="center"/>
                  </w:tcPr>
                  <w:p w14:paraId="42FFF9A2" w14:textId="72361DCA" w:rsidR="00471D53" w:rsidRDefault="004F686E">
                    <w:pPr>
                      <w:jc w:val="right"/>
                      <w:rPr>
                        <w:sz w:val="22"/>
                        <w:szCs w:val="22"/>
                      </w:rPr>
                    </w:pPr>
                    <w:r>
                      <w:rPr>
                        <w:rFonts w:hint="eastAsia"/>
                        <w:sz w:val="22"/>
                        <w:szCs w:val="22"/>
                      </w:rPr>
                      <w:t>61,243,929.45</w:t>
                    </w:r>
                  </w:p>
                </w:tc>
              </w:tr>
              <w:tr w:rsidR="00471D53" w14:paraId="77F9FEA7" w14:textId="77777777" w:rsidTr="00471D53">
                <w:sdt>
                  <w:sdtPr>
                    <w:tag w:val="_PLD_a7831604962849fb93fa8d17ab106c5b"/>
                    <w:id w:val="7532862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54BB156C" w14:textId="77777777" w:rsidR="00471D53" w:rsidRDefault="004F686E" w:rsidP="00471D53">
                        <w:pPr>
                          <w:ind w:firstLineChars="100" w:firstLine="210"/>
                          <w:rPr>
                            <w:color w:val="000000"/>
                            <w:szCs w:val="21"/>
                          </w:rPr>
                        </w:pPr>
                        <w:r>
                          <w:rPr>
                            <w:rFonts w:hint="eastAsia"/>
                            <w:szCs w:val="21"/>
                          </w:rPr>
                          <w:t>收到其他与筹资活动有关的现金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14:paraId="2A9479CE" w14:textId="77777777" w:rsidR="00471D53" w:rsidRDefault="004F686E">
                    <w:pPr>
                      <w:rPr>
                        <w:szCs w:val="21"/>
                      </w:rPr>
                    </w:pPr>
                    <w:r w:rsidRPr="00FF2CB6">
                      <w:rPr>
                        <w:rFonts w:hint="eastAsia"/>
                        <w:szCs w:val="21"/>
                      </w:rPr>
                      <w:t>七、</w:t>
                    </w:r>
                    <w:r w:rsidRPr="00FF2CB6">
                      <w:rPr>
                        <w:szCs w:val="21"/>
                      </w:rPr>
                      <w:t>78</w:t>
                    </w:r>
                  </w:p>
                </w:tc>
                <w:tc>
                  <w:tcPr>
                    <w:tcW w:w="1201" w:type="pct"/>
                    <w:tcBorders>
                      <w:top w:val="outset" w:sz="4" w:space="0" w:color="auto"/>
                      <w:left w:val="outset" w:sz="4" w:space="0" w:color="auto"/>
                      <w:bottom w:val="outset" w:sz="4" w:space="0" w:color="auto"/>
                      <w:right w:val="outset" w:sz="4" w:space="0" w:color="auto"/>
                    </w:tcBorders>
                    <w:vAlign w:val="center"/>
                  </w:tcPr>
                  <w:p w14:paraId="1D11A6DC" w14:textId="77777777" w:rsidR="00471D53" w:rsidRDefault="004F686E">
                    <w:pPr>
                      <w:jc w:val="right"/>
                      <w:rPr>
                        <w:sz w:val="22"/>
                        <w:szCs w:val="22"/>
                      </w:rPr>
                    </w:pPr>
                    <w:r>
                      <w:rPr>
                        <w:rFonts w:hint="eastAsia"/>
                        <w:sz w:val="22"/>
                        <w:szCs w:val="22"/>
                      </w:rPr>
                      <w:t xml:space="preserve">　</w:t>
                    </w:r>
                  </w:p>
                </w:tc>
                <w:tc>
                  <w:tcPr>
                    <w:tcW w:w="1197" w:type="pct"/>
                    <w:tcBorders>
                      <w:top w:val="outset" w:sz="4" w:space="0" w:color="auto"/>
                      <w:left w:val="outset" w:sz="4" w:space="0" w:color="auto"/>
                      <w:bottom w:val="outset" w:sz="4" w:space="0" w:color="auto"/>
                      <w:right w:val="outset" w:sz="4" w:space="0" w:color="auto"/>
                    </w:tcBorders>
                    <w:vAlign w:val="center"/>
                  </w:tcPr>
                  <w:p w14:paraId="493B034A" w14:textId="2121C539" w:rsidR="00471D53" w:rsidRDefault="004F686E">
                    <w:pPr>
                      <w:jc w:val="right"/>
                      <w:rPr>
                        <w:sz w:val="22"/>
                        <w:szCs w:val="22"/>
                      </w:rPr>
                    </w:pPr>
                    <w:r>
                      <w:rPr>
                        <w:rFonts w:hint="eastAsia"/>
                        <w:sz w:val="22"/>
                        <w:szCs w:val="22"/>
                      </w:rPr>
                      <w:t>40,000,000.00</w:t>
                    </w:r>
                  </w:p>
                </w:tc>
              </w:tr>
              <w:tr w:rsidR="00471D53" w14:paraId="1398D7B0" w14:textId="77777777" w:rsidTr="00471D53">
                <w:sdt>
                  <w:sdtPr>
                    <w:tag w:val="_PLD_c926a46349eb4b56bdbb2f2f944e8881"/>
                    <w:id w:val="-141185229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4CAB4587" w14:textId="77777777" w:rsidR="00471D53" w:rsidRDefault="004F686E" w:rsidP="00471D53">
                        <w:pPr>
                          <w:ind w:firstLineChars="200" w:firstLine="420"/>
                          <w:rPr>
                            <w:color w:val="000000"/>
                            <w:szCs w:val="21"/>
                          </w:rPr>
                        </w:pPr>
                        <w:r>
                          <w:rPr>
                            <w:rFonts w:hint="eastAsia"/>
                            <w:szCs w:val="21"/>
                          </w:rPr>
                          <w:t>筹资活动现金流入小计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14:paraId="2470A9FA" w14:textId="77777777" w:rsidR="00471D53" w:rsidRDefault="00B664AF">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1135A7E0" w14:textId="2797D27B" w:rsidR="00471D53" w:rsidRDefault="004F686E">
                    <w:pPr>
                      <w:jc w:val="right"/>
                      <w:rPr>
                        <w:sz w:val="22"/>
                        <w:szCs w:val="22"/>
                      </w:rPr>
                    </w:pPr>
                    <w:r>
                      <w:rPr>
                        <w:rFonts w:hint="eastAsia"/>
                        <w:sz w:val="22"/>
                        <w:szCs w:val="22"/>
                      </w:rPr>
                      <w:t>0.00</w:t>
                    </w:r>
                  </w:p>
                </w:tc>
                <w:tc>
                  <w:tcPr>
                    <w:tcW w:w="1197" w:type="pct"/>
                    <w:tcBorders>
                      <w:top w:val="outset" w:sz="4" w:space="0" w:color="auto"/>
                      <w:left w:val="outset" w:sz="4" w:space="0" w:color="auto"/>
                      <w:bottom w:val="outset" w:sz="4" w:space="0" w:color="auto"/>
                      <w:right w:val="outset" w:sz="4" w:space="0" w:color="auto"/>
                    </w:tcBorders>
                    <w:vAlign w:val="center"/>
                  </w:tcPr>
                  <w:p w14:paraId="5275FDDD" w14:textId="06728A0F" w:rsidR="00471D53" w:rsidRDefault="004F686E">
                    <w:pPr>
                      <w:jc w:val="right"/>
                      <w:rPr>
                        <w:sz w:val="22"/>
                        <w:szCs w:val="22"/>
                      </w:rPr>
                    </w:pPr>
                    <w:r>
                      <w:rPr>
                        <w:rFonts w:hint="eastAsia"/>
                        <w:sz w:val="22"/>
                        <w:szCs w:val="22"/>
                      </w:rPr>
                      <w:t>312,355,289.45</w:t>
                    </w:r>
                  </w:p>
                </w:tc>
              </w:tr>
              <w:tr w:rsidR="00471D53" w14:paraId="613C68B8" w14:textId="77777777" w:rsidTr="00471D53">
                <w:sdt>
                  <w:sdtPr>
                    <w:tag w:val="_PLD_7137864a3db342b2affb93d91fc42d1a"/>
                    <w:id w:val="-185017606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69972A97" w14:textId="77777777" w:rsidR="00471D53" w:rsidRDefault="004F686E" w:rsidP="00471D53">
                        <w:pPr>
                          <w:ind w:firstLineChars="100" w:firstLine="210"/>
                          <w:rPr>
                            <w:color w:val="000000"/>
                            <w:szCs w:val="21"/>
                          </w:rPr>
                        </w:pPr>
                        <w:r>
                          <w:rPr>
                            <w:rFonts w:hint="eastAsia"/>
                            <w:szCs w:val="21"/>
                          </w:rPr>
                          <w:t>偿还债务支付的现金</w:t>
                        </w:r>
                      </w:p>
                    </w:tc>
                  </w:sdtContent>
                </w:sdt>
                <w:tc>
                  <w:tcPr>
                    <w:tcW w:w="866" w:type="pct"/>
                    <w:tcBorders>
                      <w:top w:val="outset" w:sz="4" w:space="0" w:color="auto"/>
                      <w:left w:val="outset" w:sz="4" w:space="0" w:color="auto"/>
                      <w:bottom w:val="outset" w:sz="4" w:space="0" w:color="auto"/>
                      <w:right w:val="outset" w:sz="4" w:space="0" w:color="auto"/>
                    </w:tcBorders>
                  </w:tcPr>
                  <w:p w14:paraId="138DF955" w14:textId="77777777" w:rsidR="00471D53" w:rsidRDefault="00B664AF">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48A2F16B" w14:textId="20F87AA2" w:rsidR="00471D53" w:rsidRDefault="004F686E">
                    <w:pPr>
                      <w:jc w:val="right"/>
                      <w:rPr>
                        <w:sz w:val="22"/>
                        <w:szCs w:val="22"/>
                      </w:rPr>
                    </w:pPr>
                    <w:r>
                      <w:rPr>
                        <w:rFonts w:hint="eastAsia"/>
                        <w:sz w:val="22"/>
                        <w:szCs w:val="22"/>
                      </w:rPr>
                      <w:t>60,000,000.00</w:t>
                    </w:r>
                  </w:p>
                </w:tc>
                <w:tc>
                  <w:tcPr>
                    <w:tcW w:w="1197" w:type="pct"/>
                    <w:tcBorders>
                      <w:top w:val="outset" w:sz="4" w:space="0" w:color="auto"/>
                      <w:left w:val="outset" w:sz="4" w:space="0" w:color="auto"/>
                      <w:bottom w:val="outset" w:sz="4" w:space="0" w:color="auto"/>
                      <w:right w:val="outset" w:sz="4" w:space="0" w:color="auto"/>
                    </w:tcBorders>
                    <w:vAlign w:val="center"/>
                  </w:tcPr>
                  <w:p w14:paraId="2E1470E9" w14:textId="778565E0" w:rsidR="00471D53" w:rsidRDefault="004F686E">
                    <w:pPr>
                      <w:jc w:val="right"/>
                      <w:rPr>
                        <w:sz w:val="22"/>
                        <w:szCs w:val="22"/>
                      </w:rPr>
                    </w:pPr>
                    <w:r>
                      <w:rPr>
                        <w:rFonts w:hint="eastAsia"/>
                        <w:sz w:val="22"/>
                        <w:szCs w:val="22"/>
                      </w:rPr>
                      <w:t>157,239,478.00</w:t>
                    </w:r>
                  </w:p>
                </w:tc>
              </w:tr>
              <w:tr w:rsidR="00471D53" w14:paraId="0D3AF2A7" w14:textId="77777777" w:rsidTr="00471D53">
                <w:sdt>
                  <w:sdtPr>
                    <w:tag w:val="_PLD_32a887dda27749eebf9088b00cfe1966"/>
                    <w:id w:val="-247656545"/>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658A3F05" w14:textId="77777777" w:rsidR="00471D53" w:rsidRDefault="004F686E" w:rsidP="00471D53">
                        <w:pPr>
                          <w:ind w:firstLineChars="100" w:firstLine="210"/>
                          <w:rPr>
                            <w:szCs w:val="21"/>
                          </w:rPr>
                        </w:pPr>
                        <w:r>
                          <w:rPr>
                            <w:rFonts w:hint="eastAsia"/>
                            <w:szCs w:val="21"/>
                          </w:rPr>
                          <w:t>分配股利、利润或偿付利息支付的现金</w:t>
                        </w:r>
                      </w:p>
                    </w:tc>
                  </w:sdtContent>
                </w:sdt>
                <w:tc>
                  <w:tcPr>
                    <w:tcW w:w="866" w:type="pct"/>
                    <w:tcBorders>
                      <w:top w:val="outset" w:sz="4" w:space="0" w:color="auto"/>
                      <w:left w:val="outset" w:sz="4" w:space="0" w:color="auto"/>
                      <w:bottom w:val="outset" w:sz="4" w:space="0" w:color="auto"/>
                      <w:right w:val="outset" w:sz="4" w:space="0" w:color="auto"/>
                    </w:tcBorders>
                  </w:tcPr>
                  <w:p w14:paraId="32693700" w14:textId="77777777" w:rsidR="00471D53" w:rsidRDefault="00B664AF">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096FD37E" w14:textId="78F984BA" w:rsidR="00471D53" w:rsidRDefault="004F686E">
                    <w:pPr>
                      <w:jc w:val="right"/>
                      <w:rPr>
                        <w:sz w:val="22"/>
                        <w:szCs w:val="22"/>
                      </w:rPr>
                    </w:pPr>
                    <w:r>
                      <w:rPr>
                        <w:rFonts w:hint="eastAsia"/>
                        <w:sz w:val="22"/>
                        <w:szCs w:val="22"/>
                      </w:rPr>
                      <w:t>3,914,516.67</w:t>
                    </w:r>
                  </w:p>
                </w:tc>
                <w:tc>
                  <w:tcPr>
                    <w:tcW w:w="1197" w:type="pct"/>
                    <w:tcBorders>
                      <w:top w:val="outset" w:sz="4" w:space="0" w:color="auto"/>
                      <w:left w:val="outset" w:sz="4" w:space="0" w:color="auto"/>
                      <w:bottom w:val="outset" w:sz="4" w:space="0" w:color="auto"/>
                      <w:right w:val="outset" w:sz="4" w:space="0" w:color="auto"/>
                    </w:tcBorders>
                    <w:vAlign w:val="center"/>
                  </w:tcPr>
                  <w:p w14:paraId="2211501B" w14:textId="1765CA2F" w:rsidR="00471D53" w:rsidRDefault="004F686E">
                    <w:pPr>
                      <w:jc w:val="right"/>
                      <w:rPr>
                        <w:sz w:val="22"/>
                        <w:szCs w:val="22"/>
                      </w:rPr>
                    </w:pPr>
                    <w:r>
                      <w:rPr>
                        <w:rFonts w:hint="eastAsia"/>
                        <w:sz w:val="22"/>
                        <w:szCs w:val="22"/>
                      </w:rPr>
                      <w:t>6,213,271.95</w:t>
                    </w:r>
                  </w:p>
                </w:tc>
              </w:tr>
              <w:tr w:rsidR="00471D53" w14:paraId="50218919" w14:textId="77777777" w:rsidTr="00290CE2">
                <w:sdt>
                  <w:sdtPr>
                    <w:tag w:val="_PLD_0b8d07de199a4a5dbc96c42e4c1ed665"/>
                    <w:id w:val="-1612662975"/>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297BB827" w14:textId="77777777" w:rsidR="00471D53" w:rsidRDefault="004F686E" w:rsidP="00471D53">
                        <w:pPr>
                          <w:ind w:firstLineChars="100" w:firstLine="210"/>
                          <w:rPr>
                            <w:szCs w:val="21"/>
                          </w:rPr>
                        </w:pPr>
                        <w:r>
                          <w:rPr>
                            <w:rFonts w:hint="eastAsia"/>
                            <w:szCs w:val="21"/>
                          </w:rPr>
                          <w:t>其中：子公司支付给少数股东的股利、利润</w:t>
                        </w:r>
                      </w:p>
                    </w:tc>
                  </w:sdtContent>
                </w:sdt>
                <w:tc>
                  <w:tcPr>
                    <w:tcW w:w="866" w:type="pct"/>
                    <w:tcBorders>
                      <w:top w:val="outset" w:sz="4" w:space="0" w:color="auto"/>
                      <w:left w:val="outset" w:sz="4" w:space="0" w:color="auto"/>
                      <w:bottom w:val="outset" w:sz="4" w:space="0" w:color="auto"/>
                      <w:right w:val="outset" w:sz="4" w:space="0" w:color="auto"/>
                    </w:tcBorders>
                  </w:tcPr>
                  <w:p w14:paraId="34EAFE76" w14:textId="77777777" w:rsidR="00471D53" w:rsidRDefault="00B664AF">
                    <w:pPr>
                      <w:rPr>
                        <w:szCs w:val="21"/>
                      </w:rPr>
                    </w:pPr>
                  </w:p>
                </w:tc>
                <w:tc>
                  <w:tcPr>
                    <w:tcW w:w="1201" w:type="pct"/>
                    <w:tcBorders>
                      <w:top w:val="outset" w:sz="4" w:space="0" w:color="auto"/>
                      <w:left w:val="outset" w:sz="4" w:space="0" w:color="auto"/>
                      <w:bottom w:val="outset" w:sz="4" w:space="0" w:color="auto"/>
                      <w:right w:val="outset" w:sz="4" w:space="0" w:color="auto"/>
                    </w:tcBorders>
                  </w:tcPr>
                  <w:p w14:paraId="3630D36D" w14:textId="77777777" w:rsidR="00471D53" w:rsidRDefault="00B664AF">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0A2BDF48" w14:textId="77777777" w:rsidR="00471D53" w:rsidRDefault="00B664AF">
                    <w:pPr>
                      <w:jc w:val="right"/>
                      <w:rPr>
                        <w:szCs w:val="21"/>
                      </w:rPr>
                    </w:pPr>
                  </w:p>
                </w:tc>
              </w:tr>
              <w:tr w:rsidR="00471D53" w14:paraId="284D0D02" w14:textId="77777777" w:rsidTr="00471D53">
                <w:sdt>
                  <w:sdtPr>
                    <w:tag w:val="_PLD_3fb96c1bc59a47a4b30f74aabd8d3bc1"/>
                    <w:id w:val="-139812295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319569E9" w14:textId="77777777" w:rsidR="00471D53" w:rsidRDefault="004F686E" w:rsidP="00471D53">
                        <w:pPr>
                          <w:ind w:firstLineChars="100" w:firstLine="210"/>
                          <w:rPr>
                            <w:szCs w:val="21"/>
                          </w:rPr>
                        </w:pPr>
                        <w:r>
                          <w:rPr>
                            <w:rFonts w:hint="eastAsia"/>
                            <w:szCs w:val="21"/>
                          </w:rPr>
                          <w:t>支付其他与筹资活动有关的现金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14:paraId="08AE91A8" w14:textId="77777777" w:rsidR="00471D53" w:rsidRDefault="004F686E">
                    <w:pPr>
                      <w:rPr>
                        <w:szCs w:val="21"/>
                      </w:rPr>
                    </w:pPr>
                    <w:r w:rsidRPr="00FF2CB6">
                      <w:rPr>
                        <w:rFonts w:hint="eastAsia"/>
                        <w:szCs w:val="21"/>
                      </w:rPr>
                      <w:t>七、</w:t>
                    </w:r>
                    <w:r w:rsidRPr="00FF2CB6">
                      <w:rPr>
                        <w:szCs w:val="21"/>
                      </w:rPr>
                      <w:t>78</w:t>
                    </w:r>
                  </w:p>
                </w:tc>
                <w:tc>
                  <w:tcPr>
                    <w:tcW w:w="1201" w:type="pct"/>
                    <w:tcBorders>
                      <w:top w:val="outset" w:sz="4" w:space="0" w:color="auto"/>
                      <w:left w:val="outset" w:sz="4" w:space="0" w:color="auto"/>
                      <w:bottom w:val="outset" w:sz="4" w:space="0" w:color="auto"/>
                      <w:right w:val="outset" w:sz="4" w:space="0" w:color="auto"/>
                    </w:tcBorders>
                    <w:vAlign w:val="center"/>
                  </w:tcPr>
                  <w:p w14:paraId="2C168B69" w14:textId="514B7E51" w:rsidR="00471D53" w:rsidRDefault="004F686E" w:rsidP="00471D53">
                    <w:pPr>
                      <w:jc w:val="right"/>
                      <w:rPr>
                        <w:sz w:val="22"/>
                        <w:szCs w:val="22"/>
                      </w:rPr>
                    </w:pPr>
                    <w:r>
                      <w:rPr>
                        <w:rFonts w:hint="eastAsia"/>
                        <w:sz w:val="22"/>
                        <w:szCs w:val="22"/>
                      </w:rPr>
                      <w:t xml:space="preserve">10,864,936.71　</w:t>
                    </w:r>
                  </w:p>
                </w:tc>
                <w:tc>
                  <w:tcPr>
                    <w:tcW w:w="1197" w:type="pct"/>
                    <w:tcBorders>
                      <w:top w:val="outset" w:sz="4" w:space="0" w:color="auto"/>
                      <w:left w:val="outset" w:sz="4" w:space="0" w:color="auto"/>
                      <w:bottom w:val="outset" w:sz="4" w:space="0" w:color="auto"/>
                      <w:right w:val="outset" w:sz="4" w:space="0" w:color="auto"/>
                    </w:tcBorders>
                    <w:vAlign w:val="center"/>
                  </w:tcPr>
                  <w:p w14:paraId="77EF0984" w14:textId="5839CEA7" w:rsidR="00471D53" w:rsidRDefault="004F686E">
                    <w:pPr>
                      <w:jc w:val="right"/>
                      <w:rPr>
                        <w:sz w:val="22"/>
                        <w:szCs w:val="22"/>
                      </w:rPr>
                    </w:pPr>
                    <w:r>
                      <w:rPr>
                        <w:rFonts w:hint="eastAsia"/>
                        <w:sz w:val="22"/>
                        <w:szCs w:val="22"/>
                      </w:rPr>
                      <w:t>11,266,908.56</w:t>
                    </w:r>
                  </w:p>
                </w:tc>
              </w:tr>
              <w:tr w:rsidR="00471D53" w14:paraId="2CD6B3A6" w14:textId="77777777" w:rsidTr="00471D53">
                <w:sdt>
                  <w:sdtPr>
                    <w:tag w:val="_PLD_b2e28ae5b48f44edbae325bc7a025b65"/>
                    <w:id w:val="1524744509"/>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2EF8C98A" w14:textId="77777777" w:rsidR="00471D53" w:rsidRDefault="004F686E" w:rsidP="00471D53">
                        <w:pPr>
                          <w:ind w:firstLineChars="200" w:firstLine="420"/>
                          <w:rPr>
                            <w:color w:val="000000"/>
                            <w:szCs w:val="21"/>
                          </w:rPr>
                        </w:pPr>
                        <w:r>
                          <w:rPr>
                            <w:rFonts w:hint="eastAsia"/>
                            <w:szCs w:val="21"/>
                          </w:rPr>
                          <w:t>筹资活动现金流出小计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14:paraId="7691C5D1" w14:textId="77777777" w:rsidR="00471D53" w:rsidRDefault="00B664AF">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515ED4BE" w14:textId="3CB9C5B8" w:rsidR="00471D53" w:rsidRDefault="004F686E">
                    <w:pPr>
                      <w:jc w:val="right"/>
                      <w:rPr>
                        <w:sz w:val="22"/>
                        <w:szCs w:val="22"/>
                      </w:rPr>
                    </w:pPr>
                    <w:r>
                      <w:rPr>
                        <w:rFonts w:hint="eastAsia"/>
                        <w:sz w:val="22"/>
                        <w:szCs w:val="22"/>
                      </w:rPr>
                      <w:t>74,779,453.38</w:t>
                    </w:r>
                  </w:p>
                </w:tc>
                <w:tc>
                  <w:tcPr>
                    <w:tcW w:w="1197" w:type="pct"/>
                    <w:tcBorders>
                      <w:top w:val="outset" w:sz="4" w:space="0" w:color="auto"/>
                      <w:left w:val="outset" w:sz="4" w:space="0" w:color="auto"/>
                      <w:bottom w:val="outset" w:sz="4" w:space="0" w:color="auto"/>
                      <w:right w:val="outset" w:sz="4" w:space="0" w:color="auto"/>
                    </w:tcBorders>
                    <w:vAlign w:val="center"/>
                  </w:tcPr>
                  <w:p w14:paraId="3E145391" w14:textId="3DE2F0A5" w:rsidR="00471D53" w:rsidRDefault="004F686E">
                    <w:pPr>
                      <w:jc w:val="right"/>
                      <w:rPr>
                        <w:sz w:val="22"/>
                        <w:szCs w:val="22"/>
                      </w:rPr>
                    </w:pPr>
                    <w:r>
                      <w:rPr>
                        <w:rFonts w:hint="eastAsia"/>
                        <w:sz w:val="22"/>
                        <w:szCs w:val="22"/>
                      </w:rPr>
                      <w:t>174,719,658.51</w:t>
                    </w:r>
                  </w:p>
                </w:tc>
              </w:tr>
              <w:tr w:rsidR="00471D53" w14:paraId="68003E2D" w14:textId="77777777" w:rsidTr="00471D53">
                <w:sdt>
                  <w:sdtPr>
                    <w:tag w:val="_PLD_dacfeaab1df34490bc35dfb823671d84"/>
                    <w:id w:val="-1325041828"/>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43B6B634" w14:textId="77777777" w:rsidR="00471D53" w:rsidRDefault="004F686E" w:rsidP="00471D53">
                        <w:pPr>
                          <w:ind w:firstLineChars="300" w:firstLine="630"/>
                          <w:rPr>
                            <w:color w:val="000000"/>
                            <w:szCs w:val="21"/>
                          </w:rPr>
                        </w:pPr>
                        <w:r>
                          <w:rPr>
                            <w:rFonts w:hint="eastAsia"/>
                            <w:szCs w:val="21"/>
                          </w:rPr>
                          <w:t>筹资活动产生的现金流量净额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14:paraId="7B9D2BB7" w14:textId="77777777" w:rsidR="00471D53" w:rsidRDefault="00B664AF">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57A30D08" w14:textId="4636CAC0" w:rsidR="00471D53" w:rsidRDefault="004F686E">
                    <w:pPr>
                      <w:jc w:val="right"/>
                      <w:rPr>
                        <w:sz w:val="22"/>
                        <w:szCs w:val="22"/>
                      </w:rPr>
                    </w:pPr>
                    <w:r>
                      <w:rPr>
                        <w:rFonts w:hint="eastAsia"/>
                        <w:sz w:val="22"/>
                        <w:szCs w:val="22"/>
                      </w:rPr>
                      <w:t>-74,779,453.38</w:t>
                    </w:r>
                  </w:p>
                </w:tc>
                <w:tc>
                  <w:tcPr>
                    <w:tcW w:w="1197" w:type="pct"/>
                    <w:tcBorders>
                      <w:top w:val="outset" w:sz="4" w:space="0" w:color="auto"/>
                      <w:left w:val="outset" w:sz="4" w:space="0" w:color="auto"/>
                      <w:bottom w:val="outset" w:sz="4" w:space="0" w:color="auto"/>
                      <w:right w:val="outset" w:sz="4" w:space="0" w:color="auto"/>
                    </w:tcBorders>
                    <w:vAlign w:val="center"/>
                  </w:tcPr>
                  <w:p w14:paraId="2537C7FF" w14:textId="3F0CF54D" w:rsidR="00471D53" w:rsidRDefault="004F686E">
                    <w:pPr>
                      <w:jc w:val="right"/>
                      <w:rPr>
                        <w:sz w:val="22"/>
                        <w:szCs w:val="22"/>
                      </w:rPr>
                    </w:pPr>
                    <w:r>
                      <w:rPr>
                        <w:rFonts w:hint="eastAsia"/>
                        <w:sz w:val="22"/>
                        <w:szCs w:val="22"/>
                      </w:rPr>
                      <w:t>137,635,630.94</w:t>
                    </w:r>
                  </w:p>
                </w:tc>
              </w:tr>
              <w:tr w:rsidR="00471D53" w14:paraId="30CF366C" w14:textId="77777777" w:rsidTr="00471D53">
                <w:sdt>
                  <w:sdtPr>
                    <w:tag w:val="_PLD_88d125642e41419d9843a71dc9472f51"/>
                    <w:id w:val="1335504522"/>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6C5E3B8E" w14:textId="77777777" w:rsidR="00471D53" w:rsidRDefault="004F686E">
                        <w:pPr>
                          <w:rPr>
                            <w:color w:val="000000"/>
                            <w:szCs w:val="21"/>
                          </w:rPr>
                        </w:pPr>
                        <w:r>
                          <w:rPr>
                            <w:rFonts w:hint="eastAsia"/>
                            <w:b/>
                            <w:bCs/>
                            <w:szCs w:val="21"/>
                          </w:rPr>
                          <w:t>四、汇率变动对现金及现金等价物的影响</w:t>
                        </w:r>
                      </w:p>
                    </w:tc>
                  </w:sdtContent>
                </w:sdt>
                <w:tc>
                  <w:tcPr>
                    <w:tcW w:w="866" w:type="pct"/>
                    <w:tcBorders>
                      <w:top w:val="outset" w:sz="4" w:space="0" w:color="auto"/>
                      <w:left w:val="outset" w:sz="4" w:space="0" w:color="auto"/>
                      <w:bottom w:val="outset" w:sz="4" w:space="0" w:color="auto"/>
                      <w:right w:val="outset" w:sz="4" w:space="0" w:color="auto"/>
                    </w:tcBorders>
                  </w:tcPr>
                  <w:p w14:paraId="2A09E1D7" w14:textId="77777777" w:rsidR="00471D53" w:rsidRDefault="00B664AF">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5829C02F" w14:textId="6F2B64BC" w:rsidR="00471D53" w:rsidRDefault="004F686E">
                    <w:pPr>
                      <w:jc w:val="right"/>
                      <w:rPr>
                        <w:sz w:val="22"/>
                        <w:szCs w:val="22"/>
                      </w:rPr>
                    </w:pPr>
                    <w:r>
                      <w:rPr>
                        <w:rFonts w:hint="eastAsia"/>
                        <w:sz w:val="22"/>
                        <w:szCs w:val="22"/>
                      </w:rPr>
                      <w:t>-1,648,341.52</w:t>
                    </w:r>
                  </w:p>
                </w:tc>
                <w:tc>
                  <w:tcPr>
                    <w:tcW w:w="1197" w:type="pct"/>
                    <w:tcBorders>
                      <w:top w:val="outset" w:sz="4" w:space="0" w:color="auto"/>
                      <w:left w:val="outset" w:sz="4" w:space="0" w:color="auto"/>
                      <w:bottom w:val="outset" w:sz="4" w:space="0" w:color="auto"/>
                      <w:right w:val="outset" w:sz="4" w:space="0" w:color="auto"/>
                    </w:tcBorders>
                    <w:vAlign w:val="center"/>
                  </w:tcPr>
                  <w:p w14:paraId="54BEA510" w14:textId="6EC4715C" w:rsidR="00471D53" w:rsidRDefault="004F686E">
                    <w:pPr>
                      <w:jc w:val="right"/>
                      <w:rPr>
                        <w:sz w:val="22"/>
                        <w:szCs w:val="22"/>
                      </w:rPr>
                    </w:pPr>
                    <w:r>
                      <w:rPr>
                        <w:rFonts w:hint="eastAsia"/>
                        <w:sz w:val="22"/>
                        <w:szCs w:val="22"/>
                      </w:rPr>
                      <w:t>320,793.73</w:t>
                    </w:r>
                  </w:p>
                </w:tc>
              </w:tr>
              <w:tr w:rsidR="00471D53" w14:paraId="7129B755" w14:textId="77777777" w:rsidTr="00471D53">
                <w:sdt>
                  <w:sdtPr>
                    <w:tag w:val="_PLD_fd66e1d9937544d090d0b7529065ff9b"/>
                    <w:id w:val="-1528249472"/>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18679E62" w14:textId="77777777" w:rsidR="00471D53" w:rsidRDefault="004F686E">
                        <w:pPr>
                          <w:rPr>
                            <w:color w:val="000000"/>
                            <w:szCs w:val="21"/>
                          </w:rPr>
                        </w:pPr>
                        <w:r>
                          <w:rPr>
                            <w:rFonts w:hint="eastAsia"/>
                            <w:b/>
                            <w:bCs/>
                            <w:szCs w:val="21"/>
                          </w:rPr>
                          <w:t>五、现金及现金等价物净增加额</w:t>
                        </w:r>
                      </w:p>
                    </w:tc>
                  </w:sdtContent>
                </w:sdt>
                <w:tc>
                  <w:tcPr>
                    <w:tcW w:w="866" w:type="pct"/>
                    <w:tcBorders>
                      <w:top w:val="outset" w:sz="4" w:space="0" w:color="auto"/>
                      <w:left w:val="outset" w:sz="4" w:space="0" w:color="auto"/>
                      <w:bottom w:val="outset" w:sz="4" w:space="0" w:color="auto"/>
                      <w:right w:val="outset" w:sz="4" w:space="0" w:color="auto"/>
                    </w:tcBorders>
                  </w:tcPr>
                  <w:p w14:paraId="64CEFF73" w14:textId="77777777" w:rsidR="00471D53" w:rsidRDefault="004F686E">
                    <w:pPr>
                      <w:rPr>
                        <w:szCs w:val="21"/>
                      </w:rPr>
                    </w:pPr>
                    <w:r w:rsidRPr="00FF2CB6">
                      <w:rPr>
                        <w:rFonts w:hint="eastAsia"/>
                        <w:szCs w:val="21"/>
                      </w:rPr>
                      <w:t>七、</w:t>
                    </w:r>
                    <w:r w:rsidRPr="00FF2CB6">
                      <w:rPr>
                        <w:szCs w:val="21"/>
                      </w:rPr>
                      <w:t>78</w:t>
                    </w:r>
                  </w:p>
                </w:tc>
                <w:tc>
                  <w:tcPr>
                    <w:tcW w:w="1201" w:type="pct"/>
                    <w:tcBorders>
                      <w:top w:val="outset" w:sz="4" w:space="0" w:color="auto"/>
                      <w:left w:val="outset" w:sz="4" w:space="0" w:color="auto"/>
                      <w:bottom w:val="outset" w:sz="4" w:space="0" w:color="auto"/>
                      <w:right w:val="outset" w:sz="4" w:space="0" w:color="auto"/>
                    </w:tcBorders>
                    <w:vAlign w:val="center"/>
                  </w:tcPr>
                  <w:p w14:paraId="742AC367" w14:textId="013DDA60" w:rsidR="00471D53" w:rsidRDefault="004F686E">
                    <w:pPr>
                      <w:jc w:val="right"/>
                      <w:rPr>
                        <w:sz w:val="22"/>
                        <w:szCs w:val="22"/>
                      </w:rPr>
                    </w:pPr>
                    <w:r>
                      <w:rPr>
                        <w:rFonts w:hint="eastAsia"/>
                        <w:sz w:val="22"/>
                        <w:szCs w:val="22"/>
                      </w:rPr>
                      <w:t>-151,599,892.30</w:t>
                    </w:r>
                  </w:p>
                </w:tc>
                <w:tc>
                  <w:tcPr>
                    <w:tcW w:w="1197" w:type="pct"/>
                    <w:tcBorders>
                      <w:top w:val="outset" w:sz="4" w:space="0" w:color="auto"/>
                      <w:left w:val="outset" w:sz="4" w:space="0" w:color="auto"/>
                      <w:bottom w:val="outset" w:sz="4" w:space="0" w:color="auto"/>
                      <w:right w:val="outset" w:sz="4" w:space="0" w:color="auto"/>
                    </w:tcBorders>
                    <w:vAlign w:val="center"/>
                  </w:tcPr>
                  <w:p w14:paraId="27974473" w14:textId="3CEF4368" w:rsidR="00471D53" w:rsidRDefault="004F686E">
                    <w:pPr>
                      <w:jc w:val="right"/>
                      <w:rPr>
                        <w:sz w:val="22"/>
                        <w:szCs w:val="22"/>
                      </w:rPr>
                    </w:pPr>
                    <w:r>
                      <w:rPr>
                        <w:rFonts w:hint="eastAsia"/>
                        <w:sz w:val="22"/>
                        <w:szCs w:val="22"/>
                      </w:rPr>
                      <w:t>182,630,979.38</w:t>
                    </w:r>
                  </w:p>
                </w:tc>
              </w:tr>
              <w:tr w:rsidR="00471D53" w14:paraId="3109CE6D" w14:textId="77777777" w:rsidTr="00471D53">
                <w:sdt>
                  <w:sdtPr>
                    <w:tag w:val="_PLD_c384e472db4a44618443173a520a565b"/>
                    <w:id w:val="207253602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686B23A0" w14:textId="77777777" w:rsidR="00471D53" w:rsidRDefault="004F686E" w:rsidP="00471D53">
                        <w:pPr>
                          <w:ind w:firstLineChars="100" w:firstLine="210"/>
                          <w:rPr>
                            <w:color w:val="000000"/>
                            <w:szCs w:val="21"/>
                          </w:rPr>
                        </w:pPr>
                        <w:r>
                          <w:rPr>
                            <w:rFonts w:hint="eastAsia"/>
                            <w:szCs w:val="21"/>
                          </w:rPr>
                          <w:t>加：期初现金及现金等价物余额</w:t>
                        </w:r>
                      </w:p>
                    </w:tc>
                  </w:sdtContent>
                </w:sdt>
                <w:tc>
                  <w:tcPr>
                    <w:tcW w:w="866" w:type="pct"/>
                    <w:tcBorders>
                      <w:top w:val="outset" w:sz="4" w:space="0" w:color="auto"/>
                      <w:left w:val="outset" w:sz="4" w:space="0" w:color="auto"/>
                      <w:bottom w:val="outset" w:sz="4" w:space="0" w:color="auto"/>
                      <w:right w:val="outset" w:sz="4" w:space="0" w:color="auto"/>
                    </w:tcBorders>
                  </w:tcPr>
                  <w:p w14:paraId="31900896" w14:textId="77777777" w:rsidR="00471D53" w:rsidRDefault="004F686E">
                    <w:pPr>
                      <w:rPr>
                        <w:szCs w:val="21"/>
                      </w:rPr>
                    </w:pPr>
                    <w:r w:rsidRPr="00FF2CB6">
                      <w:rPr>
                        <w:rFonts w:hint="eastAsia"/>
                        <w:szCs w:val="21"/>
                      </w:rPr>
                      <w:t>七、</w:t>
                    </w:r>
                    <w:r w:rsidRPr="00FF2CB6">
                      <w:rPr>
                        <w:szCs w:val="21"/>
                      </w:rPr>
                      <w:t>78</w:t>
                    </w:r>
                  </w:p>
                </w:tc>
                <w:tc>
                  <w:tcPr>
                    <w:tcW w:w="1201" w:type="pct"/>
                    <w:tcBorders>
                      <w:top w:val="outset" w:sz="4" w:space="0" w:color="auto"/>
                      <w:left w:val="outset" w:sz="4" w:space="0" w:color="auto"/>
                      <w:bottom w:val="outset" w:sz="4" w:space="0" w:color="auto"/>
                      <w:right w:val="outset" w:sz="4" w:space="0" w:color="auto"/>
                    </w:tcBorders>
                    <w:vAlign w:val="center"/>
                  </w:tcPr>
                  <w:p w14:paraId="7DA63F40" w14:textId="41F9BEE7" w:rsidR="00471D53" w:rsidRDefault="004F686E">
                    <w:pPr>
                      <w:jc w:val="right"/>
                      <w:rPr>
                        <w:sz w:val="22"/>
                        <w:szCs w:val="22"/>
                      </w:rPr>
                    </w:pPr>
                    <w:r>
                      <w:rPr>
                        <w:rFonts w:hint="eastAsia"/>
                        <w:sz w:val="22"/>
                        <w:szCs w:val="22"/>
                      </w:rPr>
                      <w:t>246,146,097.89</w:t>
                    </w:r>
                  </w:p>
                </w:tc>
                <w:tc>
                  <w:tcPr>
                    <w:tcW w:w="1197" w:type="pct"/>
                    <w:tcBorders>
                      <w:top w:val="outset" w:sz="4" w:space="0" w:color="auto"/>
                      <w:left w:val="outset" w:sz="4" w:space="0" w:color="auto"/>
                      <w:bottom w:val="outset" w:sz="4" w:space="0" w:color="auto"/>
                      <w:right w:val="outset" w:sz="4" w:space="0" w:color="auto"/>
                    </w:tcBorders>
                    <w:vAlign w:val="center"/>
                  </w:tcPr>
                  <w:p w14:paraId="6DD57581" w14:textId="251D8C38" w:rsidR="00471D53" w:rsidRDefault="004F686E">
                    <w:pPr>
                      <w:jc w:val="right"/>
                      <w:rPr>
                        <w:sz w:val="22"/>
                        <w:szCs w:val="22"/>
                      </w:rPr>
                    </w:pPr>
                    <w:r>
                      <w:rPr>
                        <w:rFonts w:hint="eastAsia"/>
                        <w:sz w:val="22"/>
                        <w:szCs w:val="22"/>
                      </w:rPr>
                      <w:t>78,887,242.25</w:t>
                    </w:r>
                  </w:p>
                </w:tc>
              </w:tr>
              <w:tr w:rsidR="00471D53" w14:paraId="3D23D5CC" w14:textId="77777777" w:rsidTr="00471D53">
                <w:sdt>
                  <w:sdtPr>
                    <w:tag w:val="_PLD_bb83b8f9db734a7cb83175f4e64ae363"/>
                    <w:id w:val="63136988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6040E91D" w14:textId="77777777" w:rsidR="00471D53" w:rsidRDefault="004F686E">
                        <w:pPr>
                          <w:rPr>
                            <w:color w:val="000000"/>
                            <w:szCs w:val="21"/>
                          </w:rPr>
                        </w:pPr>
                        <w:r>
                          <w:rPr>
                            <w:rFonts w:hint="eastAsia"/>
                            <w:b/>
                            <w:bCs/>
                            <w:szCs w:val="21"/>
                          </w:rPr>
                          <w:t>六、期末现金及现金等价物余额</w:t>
                        </w:r>
                      </w:p>
                    </w:tc>
                  </w:sdtContent>
                </w:sdt>
                <w:tc>
                  <w:tcPr>
                    <w:tcW w:w="866" w:type="pct"/>
                    <w:tcBorders>
                      <w:top w:val="outset" w:sz="4" w:space="0" w:color="auto"/>
                      <w:left w:val="outset" w:sz="4" w:space="0" w:color="auto"/>
                      <w:bottom w:val="outset" w:sz="4" w:space="0" w:color="auto"/>
                      <w:right w:val="outset" w:sz="4" w:space="0" w:color="auto"/>
                    </w:tcBorders>
                  </w:tcPr>
                  <w:p w14:paraId="60536A24" w14:textId="77777777" w:rsidR="00471D53" w:rsidRDefault="004F686E">
                    <w:pPr>
                      <w:rPr>
                        <w:szCs w:val="21"/>
                      </w:rPr>
                    </w:pPr>
                    <w:r w:rsidRPr="00FF2CB6">
                      <w:rPr>
                        <w:rFonts w:hint="eastAsia"/>
                        <w:szCs w:val="21"/>
                      </w:rPr>
                      <w:t>七、</w:t>
                    </w:r>
                    <w:r w:rsidRPr="00FF2CB6">
                      <w:rPr>
                        <w:szCs w:val="21"/>
                      </w:rPr>
                      <w:t>78</w:t>
                    </w:r>
                  </w:p>
                </w:tc>
                <w:tc>
                  <w:tcPr>
                    <w:tcW w:w="1201" w:type="pct"/>
                    <w:tcBorders>
                      <w:top w:val="outset" w:sz="4" w:space="0" w:color="auto"/>
                      <w:left w:val="outset" w:sz="4" w:space="0" w:color="auto"/>
                      <w:bottom w:val="outset" w:sz="4" w:space="0" w:color="auto"/>
                      <w:right w:val="outset" w:sz="4" w:space="0" w:color="auto"/>
                    </w:tcBorders>
                    <w:vAlign w:val="center"/>
                  </w:tcPr>
                  <w:p w14:paraId="7B1BCDA7" w14:textId="7999142F" w:rsidR="00471D53" w:rsidRDefault="004F686E">
                    <w:pPr>
                      <w:jc w:val="right"/>
                      <w:rPr>
                        <w:sz w:val="22"/>
                        <w:szCs w:val="22"/>
                      </w:rPr>
                    </w:pPr>
                    <w:r>
                      <w:rPr>
                        <w:rFonts w:hint="eastAsia"/>
                        <w:sz w:val="22"/>
                        <w:szCs w:val="22"/>
                      </w:rPr>
                      <w:t>94,546,205.59</w:t>
                    </w:r>
                  </w:p>
                </w:tc>
                <w:tc>
                  <w:tcPr>
                    <w:tcW w:w="1197" w:type="pct"/>
                    <w:tcBorders>
                      <w:top w:val="outset" w:sz="4" w:space="0" w:color="auto"/>
                      <w:left w:val="outset" w:sz="4" w:space="0" w:color="auto"/>
                      <w:bottom w:val="outset" w:sz="4" w:space="0" w:color="auto"/>
                      <w:right w:val="outset" w:sz="4" w:space="0" w:color="auto"/>
                    </w:tcBorders>
                    <w:vAlign w:val="center"/>
                  </w:tcPr>
                  <w:p w14:paraId="74AD730E" w14:textId="00A85919" w:rsidR="00471D53" w:rsidRDefault="004F686E">
                    <w:pPr>
                      <w:jc w:val="right"/>
                      <w:rPr>
                        <w:sz w:val="22"/>
                        <w:szCs w:val="22"/>
                      </w:rPr>
                    </w:pPr>
                    <w:r>
                      <w:rPr>
                        <w:rFonts w:hint="eastAsia"/>
                        <w:sz w:val="22"/>
                        <w:szCs w:val="22"/>
                      </w:rPr>
                      <w:t>261,518,221.63</w:t>
                    </w:r>
                  </w:p>
                </w:tc>
              </w:tr>
            </w:tbl>
            <w:p w14:paraId="22CDDABD" w14:textId="0DBEB0D7" w:rsidR="00471D53" w:rsidRDefault="004F686E" w:rsidP="00471D53">
              <w:pPr>
                <w:snapToGrid w:val="0"/>
                <w:spacing w:line="240" w:lineRule="atLeast"/>
                <w:ind w:rightChars="12" w:right="25"/>
                <w:rPr>
                  <w:b/>
                  <w:bCs/>
                  <w:color w:val="FF0000"/>
                  <w:szCs w:val="21"/>
                </w:rPr>
              </w:pPr>
              <w:r>
                <w:rPr>
                  <w:szCs w:val="21"/>
                </w:rPr>
                <w:t>公司负责人</w:t>
              </w:r>
              <w:r>
                <w:rPr>
                  <w:rFonts w:hint="eastAsia"/>
                  <w:szCs w:val="21"/>
                </w:rPr>
                <w:t>：</w:t>
              </w:r>
              <w:sdt>
                <w:sdtPr>
                  <w:rPr>
                    <w:rFonts w:hint="eastAsia"/>
                    <w:szCs w:val="21"/>
                  </w:rPr>
                  <w:alias w:val="公司负责人"/>
                  <w:tag w:val="_GBC_d1f7cb193ab444ff8482a06aad12f0db"/>
                  <w:id w:val="1035462231"/>
                  <w:lock w:val="sdtLocked"/>
                  <w:placeholder>
                    <w:docPart w:val="GBC22222222222222222222222222222"/>
                  </w:placeholder>
                  <w:dataBinding w:prefixMappings="xmlns:clcid-mr='clcid-mr'" w:xpath="/*/clcid-mr:GongSiFuZeRenXingMing[not(@periodRef)]" w:storeItemID="{89EBAB94-44A0-46A2-B712-30D997D04A6D}"/>
                  <w:text/>
                </w:sdtPr>
                <w:sdtEndPr/>
                <w:sdtContent>
                  <w:r w:rsidR="00FC65A7">
                    <w:rPr>
                      <w:rFonts w:hint="eastAsia"/>
                      <w:szCs w:val="21"/>
                    </w:rPr>
                    <w:t>王军先生</w:t>
                  </w:r>
                </w:sdtContent>
              </w:sdt>
              <w:r w:rsidR="00A436AE">
                <w:rPr>
                  <w:szCs w:val="21"/>
                </w:rPr>
                <w:t xml:space="preserve"> </w:t>
              </w:r>
              <w:r>
                <w:rPr>
                  <w:szCs w:val="21"/>
                </w:rPr>
                <w:t>主管会计工作负责人</w:t>
              </w:r>
              <w:r>
                <w:rPr>
                  <w:rFonts w:hint="eastAsia"/>
                  <w:szCs w:val="21"/>
                </w:rPr>
                <w:t>：</w:t>
              </w:r>
              <w:sdt>
                <w:sdtPr>
                  <w:rPr>
                    <w:rFonts w:hint="eastAsia"/>
                    <w:szCs w:val="21"/>
                  </w:rPr>
                  <w:alias w:val="主管会计工作负责人姓名"/>
                  <w:tag w:val="_GBC_45110b4746914613a7aad68cef7b1bed"/>
                  <w:id w:val="-238563259"/>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FC65A7">
                    <w:rPr>
                      <w:rFonts w:hint="eastAsia"/>
                      <w:szCs w:val="21"/>
                    </w:rPr>
                    <w:t>姜驰女士</w:t>
                  </w:r>
                </w:sdtContent>
              </w:sdt>
              <w:r w:rsidR="00A436AE">
                <w:rPr>
                  <w:szCs w:val="21"/>
                </w:rPr>
                <w:t xml:space="preserve"> </w:t>
              </w:r>
              <w:r>
                <w:rPr>
                  <w:szCs w:val="21"/>
                </w:rPr>
                <w:t>会计机构负责人</w:t>
              </w:r>
              <w:r>
                <w:rPr>
                  <w:rFonts w:hint="eastAsia"/>
                  <w:szCs w:val="21"/>
                </w:rPr>
                <w:t>：</w:t>
              </w:r>
              <w:sdt>
                <w:sdtPr>
                  <w:rPr>
                    <w:rFonts w:hint="eastAsia"/>
                    <w:szCs w:val="21"/>
                  </w:rPr>
                  <w:alias w:val="会计机构负责人姓名"/>
                  <w:tag w:val="_GBC_e7d70223996e482d9871cfff87704452"/>
                  <w:id w:val="1124735245"/>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szCs w:val="21"/>
                    </w:rPr>
                    <w:t>王艳东先生</w:t>
                  </w:r>
                </w:sdtContent>
              </w:sdt>
            </w:p>
          </w:sdtContent>
        </w:sdt>
        <w:p w14:paraId="4DE4CE73" w14:textId="45820E52" w:rsidR="00471D53" w:rsidRDefault="00B664AF">
          <w:pPr>
            <w:rPr>
              <w:szCs w:val="21"/>
            </w:rPr>
          </w:pPr>
        </w:p>
        <w:p w14:paraId="296C2A45" w14:textId="77777777" w:rsidR="00AA278E" w:rsidRDefault="00AA278E">
          <w:pPr>
            <w:rPr>
              <w:szCs w:val="21"/>
            </w:rPr>
          </w:pPr>
        </w:p>
        <w:p w14:paraId="5DD0F6C7" w14:textId="77777777" w:rsidR="00471D53" w:rsidRDefault="00B664AF">
          <w:pPr>
            <w:jc w:val="center"/>
            <w:rPr>
              <w:b/>
              <w:bCs/>
              <w:szCs w:val="21"/>
            </w:rPr>
          </w:pPr>
        </w:p>
        <w:sdt>
          <w:sdtPr>
            <w:rPr>
              <w:rFonts w:ascii="宋体" w:hAnsi="宋体" w:cs="宋体" w:hint="eastAsia"/>
              <w:b w:val="0"/>
              <w:bCs w:val="0"/>
              <w:kern w:val="0"/>
              <w:szCs w:val="24"/>
            </w:rPr>
            <w:tag w:val="_GBC_fa07832b39b14b348ba105d6cedbd7b8"/>
            <w:id w:val="2077003251"/>
            <w:lock w:val="sdtLocked"/>
            <w:placeholder>
              <w:docPart w:val="GBC22222222222222222222222222222"/>
            </w:placeholder>
          </w:sdtPr>
          <w:sdtEndPr>
            <w:rPr>
              <w:szCs w:val="21"/>
            </w:rPr>
          </w:sdtEndPr>
          <w:sdtContent>
            <w:p w14:paraId="34982ACD" w14:textId="77777777" w:rsidR="00471D53" w:rsidRDefault="004F686E">
              <w:pPr>
                <w:pStyle w:val="afffff7"/>
                <w:jc w:val="center"/>
                <w:rPr>
                  <w:rFonts w:ascii="宋体" w:hAnsi="宋体"/>
                </w:rPr>
              </w:pPr>
              <w:r>
                <w:rPr>
                  <w:rFonts w:ascii="宋体" w:hAnsi="宋体" w:hint="eastAsia"/>
                </w:rPr>
                <w:t>母公司</w:t>
              </w:r>
              <w:r>
                <w:rPr>
                  <w:rFonts w:ascii="宋体" w:hAnsi="宋体"/>
                </w:rPr>
                <w:t>现金流量表</w:t>
              </w:r>
            </w:p>
            <w:p w14:paraId="4CAED3A3" w14:textId="77777777" w:rsidR="00471D53" w:rsidRDefault="004F686E">
              <w:pPr>
                <w:jc w:val="center"/>
                <w:rPr>
                  <w:b/>
                  <w:bCs/>
                  <w:szCs w:val="21"/>
                </w:rPr>
              </w:pPr>
              <w:r>
                <w:rPr>
                  <w:szCs w:val="21"/>
                </w:rPr>
                <w:t>2021年</w:t>
              </w:r>
              <w:r>
                <w:rPr>
                  <w:rFonts w:hint="eastAsia"/>
                  <w:szCs w:val="21"/>
                </w:rPr>
                <w:t>1—6</w:t>
              </w:r>
              <w:r>
                <w:rPr>
                  <w:szCs w:val="21"/>
                </w:rPr>
                <w:t>月</w:t>
              </w:r>
            </w:p>
            <w:p w14:paraId="69F9F3E5" w14:textId="02A13AA0" w:rsidR="00471D53" w:rsidRDefault="004F686E">
              <w:pPr>
                <w:jc w:val="right"/>
                <w:rPr>
                  <w:szCs w:val="21"/>
                </w:rPr>
              </w:pPr>
              <w:r>
                <w:rPr>
                  <w:szCs w:val="21"/>
                </w:rPr>
                <w:t>单位：</w:t>
              </w:r>
              <w:sdt>
                <w:sdtPr>
                  <w:rPr>
                    <w:szCs w:val="21"/>
                  </w:rPr>
                  <w:alias w:val="单位：母公司现金流量表"/>
                  <w:tag w:val="_GBC_993ead81b27a41dfaccaacfaec8b7c78"/>
                  <w:id w:val="8342751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元</w:t>
                  </w:r>
                </w:sdtContent>
              </w:sdt>
              <w:r>
                <w:rPr>
                  <w:szCs w:val="21"/>
                </w:rPr>
                <w:t>币种：</w:t>
              </w:r>
              <w:sdt>
                <w:sdtPr>
                  <w:rPr>
                    <w:szCs w:val="21"/>
                  </w:rPr>
                  <w:alias w:val="币种：母公司现金流量表"/>
                  <w:tag w:val="_GBC_2dd4b706d0a244a4b4c21166025356cc"/>
                  <w:id w:val="12146168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91"/>
                <w:gridCol w:w="1756"/>
                <w:gridCol w:w="2043"/>
                <w:gridCol w:w="2033"/>
              </w:tblGrid>
              <w:tr w:rsidR="00471D53" w14:paraId="1D4F148E" w14:textId="77777777" w:rsidTr="00AA0DE7">
                <w:sdt>
                  <w:sdtPr>
                    <w:tag w:val="_PLD_20ae0904ed714106892a5beddfe5846a"/>
                    <w:id w:val="-472751534"/>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6F3C02AA" w14:textId="77777777" w:rsidR="00471D53" w:rsidRDefault="004F686E">
                        <w:pPr>
                          <w:jc w:val="center"/>
                          <w:rPr>
                            <w:b/>
                            <w:bCs/>
                            <w:szCs w:val="21"/>
                          </w:rPr>
                        </w:pPr>
                        <w:r>
                          <w:rPr>
                            <w:b/>
                            <w:bCs/>
                            <w:szCs w:val="21"/>
                          </w:rPr>
                          <w:t>项目</w:t>
                        </w:r>
                      </w:p>
                    </w:tc>
                  </w:sdtContent>
                </w:sdt>
                <w:sdt>
                  <w:sdtPr>
                    <w:tag w:val="_PLD_9cb87427e0de42d2b7e58a286ff58290"/>
                    <w:id w:val="1115403486"/>
                    <w:lock w:val="sdtLocked"/>
                  </w:sdtPr>
                  <w:sdtEndPr/>
                  <w:sdtContent>
                    <w:tc>
                      <w:tcPr>
                        <w:tcW w:w="995" w:type="pct"/>
                        <w:tcBorders>
                          <w:top w:val="outset" w:sz="4" w:space="0" w:color="auto"/>
                          <w:left w:val="outset" w:sz="4" w:space="0" w:color="auto"/>
                          <w:bottom w:val="outset" w:sz="4" w:space="0" w:color="auto"/>
                          <w:right w:val="outset" w:sz="4" w:space="0" w:color="auto"/>
                        </w:tcBorders>
                      </w:tcPr>
                      <w:p w14:paraId="56442F67" w14:textId="77777777" w:rsidR="00471D53" w:rsidRDefault="004F686E">
                        <w:pPr>
                          <w:autoSpaceDE w:val="0"/>
                          <w:autoSpaceDN w:val="0"/>
                          <w:adjustRightInd w:val="0"/>
                          <w:jc w:val="center"/>
                          <w:rPr>
                            <w:b/>
                            <w:szCs w:val="21"/>
                          </w:rPr>
                        </w:pPr>
                        <w:r>
                          <w:rPr>
                            <w:b/>
                            <w:szCs w:val="21"/>
                          </w:rPr>
                          <w:t>附注</w:t>
                        </w:r>
                      </w:p>
                    </w:tc>
                  </w:sdtContent>
                </w:sdt>
                <w:sdt>
                  <w:sdtPr>
                    <w:tag w:val="_PLD_514bbce28b6040e393e59c5ec50c3820"/>
                    <w:id w:val="352697499"/>
                    <w:lock w:val="sdtLocked"/>
                  </w:sdtPr>
                  <w:sdtEndPr/>
                  <w:sdtContent>
                    <w:tc>
                      <w:tcPr>
                        <w:tcW w:w="1158" w:type="pct"/>
                        <w:tcBorders>
                          <w:top w:val="outset" w:sz="4" w:space="0" w:color="auto"/>
                          <w:left w:val="outset" w:sz="4" w:space="0" w:color="auto"/>
                          <w:bottom w:val="outset" w:sz="4" w:space="0" w:color="auto"/>
                          <w:right w:val="outset" w:sz="4" w:space="0" w:color="auto"/>
                        </w:tcBorders>
                      </w:tcPr>
                      <w:p w14:paraId="2D8FD3B2" w14:textId="77777777" w:rsidR="00471D53" w:rsidRDefault="004F686E">
                        <w:pPr>
                          <w:autoSpaceDE w:val="0"/>
                          <w:autoSpaceDN w:val="0"/>
                          <w:adjustRightInd w:val="0"/>
                          <w:jc w:val="center"/>
                          <w:rPr>
                            <w:b/>
                            <w:szCs w:val="21"/>
                          </w:rPr>
                        </w:pPr>
                        <w:r>
                          <w:rPr>
                            <w:rFonts w:hint="eastAsia"/>
                            <w:b/>
                            <w:szCs w:val="21"/>
                          </w:rPr>
                          <w:t>2021年半年度</w:t>
                        </w:r>
                      </w:p>
                    </w:tc>
                  </w:sdtContent>
                </w:sdt>
                <w:sdt>
                  <w:sdtPr>
                    <w:tag w:val="_PLD_de39c3f730c74ecca3c9a890bc08a2c1"/>
                    <w:id w:val="-633799759"/>
                    <w:lock w:val="sdtLocked"/>
                  </w:sdtPr>
                  <w:sdtEndPr/>
                  <w:sdtContent>
                    <w:tc>
                      <w:tcPr>
                        <w:tcW w:w="1152" w:type="pct"/>
                        <w:tcBorders>
                          <w:top w:val="outset" w:sz="4" w:space="0" w:color="auto"/>
                          <w:left w:val="outset" w:sz="4" w:space="0" w:color="auto"/>
                          <w:bottom w:val="outset" w:sz="4" w:space="0" w:color="auto"/>
                          <w:right w:val="outset" w:sz="4" w:space="0" w:color="auto"/>
                        </w:tcBorders>
                      </w:tcPr>
                      <w:p w14:paraId="14D8D807" w14:textId="77777777" w:rsidR="00471D53" w:rsidRDefault="004F686E">
                        <w:pPr>
                          <w:autoSpaceDE w:val="0"/>
                          <w:autoSpaceDN w:val="0"/>
                          <w:adjustRightInd w:val="0"/>
                          <w:jc w:val="center"/>
                          <w:rPr>
                            <w:b/>
                            <w:szCs w:val="21"/>
                          </w:rPr>
                        </w:pPr>
                        <w:r>
                          <w:rPr>
                            <w:rFonts w:hint="eastAsia"/>
                            <w:b/>
                            <w:szCs w:val="21"/>
                          </w:rPr>
                          <w:t>2020年半年度</w:t>
                        </w:r>
                      </w:p>
                    </w:tc>
                  </w:sdtContent>
                </w:sdt>
              </w:tr>
              <w:tr w:rsidR="00471D53" w14:paraId="50A1B52D" w14:textId="77777777" w:rsidTr="00AA0DE7">
                <w:sdt>
                  <w:sdtPr>
                    <w:tag w:val="_PLD_575fd724a7cb4261a6c80660162ce2fb"/>
                    <w:id w:val="317160495"/>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7DD4456D" w14:textId="77777777" w:rsidR="00471D53" w:rsidRDefault="004F686E">
                        <w:pPr>
                          <w:rPr>
                            <w:color w:val="000000"/>
                            <w:szCs w:val="21"/>
                          </w:rPr>
                        </w:pPr>
                        <w:r>
                          <w:rPr>
                            <w:rFonts w:hint="eastAsia"/>
                            <w:b/>
                            <w:bCs/>
                            <w:szCs w:val="21"/>
                          </w:rPr>
                          <w:t>一、经营活动产生的现金流量：</w:t>
                        </w:r>
                      </w:p>
                    </w:tc>
                  </w:sdtContent>
                </w:sdt>
                <w:tc>
                  <w:tcPr>
                    <w:tcW w:w="995" w:type="pct"/>
                    <w:tcBorders>
                      <w:top w:val="outset" w:sz="4" w:space="0" w:color="auto"/>
                      <w:left w:val="outset" w:sz="4" w:space="0" w:color="auto"/>
                      <w:bottom w:val="outset" w:sz="4" w:space="0" w:color="auto"/>
                      <w:right w:val="outset" w:sz="4" w:space="0" w:color="auto"/>
                    </w:tcBorders>
                  </w:tcPr>
                  <w:p w14:paraId="6F207804" w14:textId="77777777" w:rsidR="00471D53" w:rsidRDefault="00B664AF">
                    <w:pPr>
                      <w:rPr>
                        <w:szCs w:val="21"/>
                      </w:rPr>
                    </w:pPr>
                  </w:p>
                </w:tc>
                <w:tc>
                  <w:tcPr>
                    <w:tcW w:w="1158" w:type="pct"/>
                    <w:tcBorders>
                      <w:top w:val="outset" w:sz="4" w:space="0" w:color="auto"/>
                      <w:left w:val="outset" w:sz="4" w:space="0" w:color="auto"/>
                      <w:bottom w:val="outset" w:sz="4" w:space="0" w:color="auto"/>
                      <w:right w:val="outset" w:sz="4" w:space="0" w:color="auto"/>
                    </w:tcBorders>
                  </w:tcPr>
                  <w:p w14:paraId="4BA92704" w14:textId="77777777" w:rsidR="00471D53" w:rsidRDefault="00B664AF">
                    <w:pPr>
                      <w:rPr>
                        <w:szCs w:val="21"/>
                      </w:rPr>
                    </w:pPr>
                  </w:p>
                </w:tc>
                <w:tc>
                  <w:tcPr>
                    <w:tcW w:w="1152" w:type="pct"/>
                    <w:tcBorders>
                      <w:top w:val="outset" w:sz="4" w:space="0" w:color="auto"/>
                      <w:left w:val="outset" w:sz="4" w:space="0" w:color="auto"/>
                      <w:bottom w:val="outset" w:sz="4" w:space="0" w:color="auto"/>
                      <w:right w:val="outset" w:sz="4" w:space="0" w:color="auto"/>
                    </w:tcBorders>
                  </w:tcPr>
                  <w:p w14:paraId="334A9E25" w14:textId="77777777" w:rsidR="00471D53" w:rsidRDefault="00B664AF">
                    <w:pPr>
                      <w:rPr>
                        <w:szCs w:val="21"/>
                      </w:rPr>
                    </w:pPr>
                  </w:p>
                </w:tc>
              </w:tr>
              <w:tr w:rsidR="00471D53" w14:paraId="11E0CE00" w14:textId="77777777" w:rsidTr="00471D53">
                <w:sdt>
                  <w:sdtPr>
                    <w:tag w:val="_PLD_82863635c2aa4636ad77b92e44fbd77d"/>
                    <w:id w:val="1683857928"/>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66B060FA" w14:textId="77777777" w:rsidR="00471D53" w:rsidRDefault="004F686E" w:rsidP="00471D53">
                        <w:pPr>
                          <w:ind w:firstLineChars="100" w:firstLine="210"/>
                          <w:rPr>
                            <w:color w:val="000000"/>
                            <w:szCs w:val="21"/>
                          </w:rPr>
                        </w:pPr>
                        <w:r>
                          <w:rPr>
                            <w:rFonts w:hint="eastAsia"/>
                            <w:szCs w:val="21"/>
                          </w:rPr>
                          <w:t>销售商品、提供劳务收到的现金</w:t>
                        </w:r>
                      </w:p>
                    </w:tc>
                  </w:sdtContent>
                </w:sdt>
                <w:tc>
                  <w:tcPr>
                    <w:tcW w:w="995" w:type="pct"/>
                    <w:tcBorders>
                      <w:top w:val="outset" w:sz="4" w:space="0" w:color="auto"/>
                      <w:left w:val="outset" w:sz="4" w:space="0" w:color="auto"/>
                      <w:bottom w:val="outset" w:sz="4" w:space="0" w:color="auto"/>
                      <w:right w:val="outset" w:sz="4" w:space="0" w:color="auto"/>
                    </w:tcBorders>
                  </w:tcPr>
                  <w:p w14:paraId="36DD0EA0" w14:textId="77777777" w:rsidR="00471D53" w:rsidRDefault="00B664AF">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14:paraId="5986ED42" w14:textId="5049C9AF" w:rsidR="00471D53" w:rsidRDefault="004F686E">
                    <w:pPr>
                      <w:jc w:val="right"/>
                      <w:rPr>
                        <w:sz w:val="22"/>
                        <w:szCs w:val="22"/>
                      </w:rPr>
                    </w:pPr>
                    <w:r>
                      <w:rPr>
                        <w:rFonts w:hint="eastAsia"/>
                        <w:sz w:val="22"/>
                        <w:szCs w:val="22"/>
                      </w:rPr>
                      <w:t>6,000,000.00</w:t>
                    </w:r>
                  </w:p>
                </w:tc>
                <w:tc>
                  <w:tcPr>
                    <w:tcW w:w="1152" w:type="pct"/>
                    <w:tcBorders>
                      <w:top w:val="outset" w:sz="4" w:space="0" w:color="auto"/>
                      <w:left w:val="outset" w:sz="4" w:space="0" w:color="auto"/>
                      <w:bottom w:val="outset" w:sz="4" w:space="0" w:color="auto"/>
                      <w:right w:val="outset" w:sz="4" w:space="0" w:color="auto"/>
                    </w:tcBorders>
                    <w:vAlign w:val="center"/>
                  </w:tcPr>
                  <w:p w14:paraId="2848F4B7" w14:textId="77777777" w:rsidR="00471D53" w:rsidRDefault="004F686E">
                    <w:pPr>
                      <w:jc w:val="right"/>
                      <w:rPr>
                        <w:color w:val="FFFFFF"/>
                        <w:sz w:val="22"/>
                        <w:szCs w:val="22"/>
                      </w:rPr>
                    </w:pPr>
                    <w:r>
                      <w:rPr>
                        <w:rFonts w:hint="eastAsia"/>
                        <w:color w:val="FFFFFF"/>
                        <w:sz w:val="22"/>
                        <w:szCs w:val="22"/>
                      </w:rPr>
                      <w:t xml:space="preserve">　</w:t>
                    </w:r>
                  </w:p>
                </w:tc>
              </w:tr>
              <w:tr w:rsidR="00471D53" w14:paraId="37E772B8" w14:textId="77777777" w:rsidTr="00471D53">
                <w:sdt>
                  <w:sdtPr>
                    <w:tag w:val="_PLD_6f6ba49a98924345bef562f06bfcb294"/>
                    <w:id w:val="1871637067"/>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784B8E58" w14:textId="77777777" w:rsidR="00471D53" w:rsidRDefault="004F686E" w:rsidP="00471D53">
                        <w:pPr>
                          <w:ind w:firstLineChars="100" w:firstLine="210"/>
                          <w:rPr>
                            <w:color w:val="000000"/>
                            <w:szCs w:val="21"/>
                          </w:rPr>
                        </w:pPr>
                        <w:r>
                          <w:rPr>
                            <w:rFonts w:hint="eastAsia"/>
                            <w:szCs w:val="21"/>
                          </w:rPr>
                          <w:t>收到的税费返还</w:t>
                        </w:r>
                      </w:p>
                    </w:tc>
                  </w:sdtContent>
                </w:sdt>
                <w:tc>
                  <w:tcPr>
                    <w:tcW w:w="995" w:type="pct"/>
                    <w:tcBorders>
                      <w:top w:val="outset" w:sz="4" w:space="0" w:color="auto"/>
                      <w:left w:val="outset" w:sz="4" w:space="0" w:color="auto"/>
                      <w:bottom w:val="outset" w:sz="4" w:space="0" w:color="auto"/>
                      <w:right w:val="outset" w:sz="4" w:space="0" w:color="auto"/>
                    </w:tcBorders>
                  </w:tcPr>
                  <w:p w14:paraId="10FF7809" w14:textId="77777777" w:rsidR="00471D53" w:rsidRDefault="00B664AF">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14:paraId="33ACBA2D" w14:textId="77777777" w:rsidR="00471D53" w:rsidRDefault="004F686E">
                    <w:pPr>
                      <w:jc w:val="right"/>
                      <w:rPr>
                        <w:color w:val="FFFFFF"/>
                        <w:sz w:val="22"/>
                        <w:szCs w:val="22"/>
                      </w:rPr>
                    </w:pPr>
                    <w:r>
                      <w:rPr>
                        <w:rFonts w:hint="eastAsia"/>
                        <w:color w:val="FFFFFF"/>
                        <w:sz w:val="22"/>
                        <w:szCs w:val="22"/>
                      </w:rPr>
                      <w:t xml:space="preserve">　</w:t>
                    </w:r>
                  </w:p>
                </w:tc>
                <w:tc>
                  <w:tcPr>
                    <w:tcW w:w="1152" w:type="pct"/>
                    <w:tcBorders>
                      <w:top w:val="outset" w:sz="4" w:space="0" w:color="auto"/>
                      <w:left w:val="outset" w:sz="4" w:space="0" w:color="auto"/>
                      <w:bottom w:val="outset" w:sz="4" w:space="0" w:color="auto"/>
                      <w:right w:val="outset" w:sz="4" w:space="0" w:color="auto"/>
                    </w:tcBorders>
                    <w:vAlign w:val="center"/>
                  </w:tcPr>
                  <w:p w14:paraId="046F2B94" w14:textId="6A3E655E" w:rsidR="00471D53" w:rsidRDefault="004F686E">
                    <w:pPr>
                      <w:jc w:val="right"/>
                      <w:rPr>
                        <w:sz w:val="22"/>
                        <w:szCs w:val="22"/>
                      </w:rPr>
                    </w:pPr>
                    <w:r>
                      <w:rPr>
                        <w:rFonts w:hint="eastAsia"/>
                        <w:sz w:val="22"/>
                        <w:szCs w:val="22"/>
                      </w:rPr>
                      <w:t>5,980.33</w:t>
                    </w:r>
                  </w:p>
                </w:tc>
              </w:tr>
              <w:tr w:rsidR="00471D53" w14:paraId="1CC3264B" w14:textId="77777777" w:rsidTr="00471D53">
                <w:sdt>
                  <w:sdtPr>
                    <w:tag w:val="_PLD_06639b4a021d45c5a9c028b0a988399d"/>
                    <w:id w:val="-1313867137"/>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4528C38A" w14:textId="77777777" w:rsidR="00471D53" w:rsidRDefault="004F686E" w:rsidP="00471D53">
                        <w:pPr>
                          <w:ind w:firstLineChars="100" w:firstLine="210"/>
                          <w:rPr>
                            <w:color w:val="000000"/>
                            <w:szCs w:val="21"/>
                          </w:rPr>
                        </w:pPr>
                        <w:r>
                          <w:rPr>
                            <w:rFonts w:hint="eastAsia"/>
                            <w:szCs w:val="21"/>
                          </w:rPr>
                          <w:t>收到其他与经营活动有关的现金</w:t>
                        </w:r>
                      </w:p>
                    </w:tc>
                  </w:sdtContent>
                </w:sdt>
                <w:tc>
                  <w:tcPr>
                    <w:tcW w:w="995" w:type="pct"/>
                    <w:tcBorders>
                      <w:top w:val="outset" w:sz="4" w:space="0" w:color="auto"/>
                      <w:left w:val="outset" w:sz="4" w:space="0" w:color="auto"/>
                      <w:bottom w:val="outset" w:sz="4" w:space="0" w:color="auto"/>
                      <w:right w:val="outset" w:sz="4" w:space="0" w:color="auto"/>
                    </w:tcBorders>
                  </w:tcPr>
                  <w:p w14:paraId="7C21E443" w14:textId="77777777" w:rsidR="00471D53" w:rsidRDefault="00B664AF">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14:paraId="3B3EE1B1" w14:textId="1FB1F2E5" w:rsidR="00471D53" w:rsidRDefault="004F686E">
                    <w:pPr>
                      <w:jc w:val="right"/>
                      <w:rPr>
                        <w:sz w:val="22"/>
                        <w:szCs w:val="22"/>
                      </w:rPr>
                    </w:pPr>
                    <w:r>
                      <w:rPr>
                        <w:rFonts w:hint="eastAsia"/>
                        <w:sz w:val="22"/>
                        <w:szCs w:val="22"/>
                      </w:rPr>
                      <w:t>452,896.12</w:t>
                    </w:r>
                  </w:p>
                </w:tc>
                <w:tc>
                  <w:tcPr>
                    <w:tcW w:w="1152" w:type="pct"/>
                    <w:tcBorders>
                      <w:top w:val="outset" w:sz="4" w:space="0" w:color="auto"/>
                      <w:left w:val="outset" w:sz="4" w:space="0" w:color="auto"/>
                      <w:bottom w:val="outset" w:sz="4" w:space="0" w:color="auto"/>
                      <w:right w:val="outset" w:sz="4" w:space="0" w:color="auto"/>
                    </w:tcBorders>
                    <w:vAlign w:val="center"/>
                  </w:tcPr>
                  <w:p w14:paraId="766506CF" w14:textId="5CB5E7A2" w:rsidR="00471D53" w:rsidRDefault="004F686E">
                    <w:pPr>
                      <w:jc w:val="right"/>
                      <w:rPr>
                        <w:sz w:val="22"/>
                        <w:szCs w:val="22"/>
                      </w:rPr>
                    </w:pPr>
                    <w:r>
                      <w:rPr>
                        <w:rFonts w:hint="eastAsia"/>
                        <w:sz w:val="22"/>
                        <w:szCs w:val="22"/>
                      </w:rPr>
                      <w:t>452,397.77</w:t>
                    </w:r>
                  </w:p>
                </w:tc>
              </w:tr>
              <w:tr w:rsidR="00471D53" w14:paraId="1409F4D3" w14:textId="77777777" w:rsidTr="00471D53">
                <w:sdt>
                  <w:sdtPr>
                    <w:tag w:val="_PLD_64de81055bc940a3b2e810f08ea30cd0"/>
                    <w:id w:val="1541398258"/>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05A0BEBA" w14:textId="77777777" w:rsidR="00471D53" w:rsidRDefault="004F686E" w:rsidP="00471D53">
                        <w:pPr>
                          <w:ind w:firstLineChars="200" w:firstLine="420"/>
                          <w:rPr>
                            <w:color w:val="000000"/>
                            <w:szCs w:val="21"/>
                          </w:rPr>
                        </w:pPr>
                        <w:r>
                          <w:rPr>
                            <w:rFonts w:hint="eastAsia"/>
                            <w:szCs w:val="21"/>
                          </w:rPr>
                          <w:t>经营活动现金流入小计</w:t>
                        </w:r>
                      </w:p>
                    </w:tc>
                  </w:sdtContent>
                </w:sdt>
                <w:tc>
                  <w:tcPr>
                    <w:tcW w:w="995" w:type="pct"/>
                    <w:tcBorders>
                      <w:top w:val="outset" w:sz="4" w:space="0" w:color="auto"/>
                      <w:left w:val="outset" w:sz="4" w:space="0" w:color="auto"/>
                      <w:bottom w:val="outset" w:sz="4" w:space="0" w:color="auto"/>
                      <w:right w:val="outset" w:sz="4" w:space="0" w:color="auto"/>
                    </w:tcBorders>
                  </w:tcPr>
                  <w:p w14:paraId="65CC7D37" w14:textId="77777777" w:rsidR="00471D53" w:rsidRDefault="00B664AF">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14:paraId="70EC89BC" w14:textId="468C74E4" w:rsidR="00471D53" w:rsidRDefault="004F686E">
                    <w:pPr>
                      <w:jc w:val="right"/>
                      <w:rPr>
                        <w:sz w:val="22"/>
                        <w:szCs w:val="22"/>
                      </w:rPr>
                    </w:pPr>
                    <w:r>
                      <w:rPr>
                        <w:rFonts w:hint="eastAsia"/>
                        <w:sz w:val="22"/>
                        <w:szCs w:val="22"/>
                      </w:rPr>
                      <w:t>6,452,896.12</w:t>
                    </w:r>
                  </w:p>
                </w:tc>
                <w:tc>
                  <w:tcPr>
                    <w:tcW w:w="1152" w:type="pct"/>
                    <w:tcBorders>
                      <w:top w:val="outset" w:sz="4" w:space="0" w:color="auto"/>
                      <w:left w:val="outset" w:sz="4" w:space="0" w:color="auto"/>
                      <w:bottom w:val="outset" w:sz="4" w:space="0" w:color="auto"/>
                      <w:right w:val="outset" w:sz="4" w:space="0" w:color="auto"/>
                    </w:tcBorders>
                    <w:vAlign w:val="center"/>
                  </w:tcPr>
                  <w:p w14:paraId="3D6CDA92" w14:textId="7E503749" w:rsidR="00471D53" w:rsidRDefault="004F686E">
                    <w:pPr>
                      <w:jc w:val="right"/>
                      <w:rPr>
                        <w:sz w:val="22"/>
                        <w:szCs w:val="22"/>
                      </w:rPr>
                    </w:pPr>
                    <w:r>
                      <w:rPr>
                        <w:rFonts w:hint="eastAsia"/>
                        <w:sz w:val="22"/>
                        <w:szCs w:val="22"/>
                      </w:rPr>
                      <w:t>458,378.10</w:t>
                    </w:r>
                  </w:p>
                </w:tc>
              </w:tr>
              <w:tr w:rsidR="00471D53" w14:paraId="1CD7A4B7" w14:textId="77777777" w:rsidTr="00471D53">
                <w:sdt>
                  <w:sdtPr>
                    <w:tag w:val="_PLD_9225a8e3c0d04e74be5259e8c6d2c503"/>
                    <w:id w:val="1598054546"/>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5D01F7B3" w14:textId="77777777" w:rsidR="00471D53" w:rsidRDefault="004F686E" w:rsidP="00471D53">
                        <w:pPr>
                          <w:ind w:firstLineChars="100" w:firstLine="210"/>
                          <w:rPr>
                            <w:szCs w:val="21"/>
                          </w:rPr>
                        </w:pPr>
                        <w:r>
                          <w:rPr>
                            <w:rFonts w:hint="eastAsia"/>
                            <w:szCs w:val="21"/>
                          </w:rPr>
                          <w:t>购买商品、接受劳务支付的现金</w:t>
                        </w:r>
                      </w:p>
                    </w:tc>
                  </w:sdtContent>
                </w:sdt>
                <w:tc>
                  <w:tcPr>
                    <w:tcW w:w="995" w:type="pct"/>
                    <w:tcBorders>
                      <w:top w:val="outset" w:sz="4" w:space="0" w:color="auto"/>
                      <w:left w:val="outset" w:sz="4" w:space="0" w:color="auto"/>
                      <w:bottom w:val="outset" w:sz="4" w:space="0" w:color="auto"/>
                      <w:right w:val="outset" w:sz="4" w:space="0" w:color="auto"/>
                    </w:tcBorders>
                  </w:tcPr>
                  <w:p w14:paraId="5DF66680" w14:textId="77777777" w:rsidR="00471D53" w:rsidRDefault="00B664AF">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14:paraId="50C73163" w14:textId="02FCC04D" w:rsidR="00471D53" w:rsidRDefault="004F686E">
                    <w:pPr>
                      <w:jc w:val="right"/>
                      <w:rPr>
                        <w:sz w:val="22"/>
                        <w:szCs w:val="22"/>
                      </w:rPr>
                    </w:pPr>
                    <w:r>
                      <w:rPr>
                        <w:rFonts w:hint="eastAsia"/>
                        <w:sz w:val="22"/>
                        <w:szCs w:val="22"/>
                      </w:rPr>
                      <w:t>54,400.00</w:t>
                    </w:r>
                  </w:p>
                </w:tc>
                <w:tc>
                  <w:tcPr>
                    <w:tcW w:w="1152" w:type="pct"/>
                    <w:tcBorders>
                      <w:top w:val="outset" w:sz="4" w:space="0" w:color="auto"/>
                      <w:left w:val="outset" w:sz="4" w:space="0" w:color="auto"/>
                      <w:bottom w:val="outset" w:sz="4" w:space="0" w:color="auto"/>
                      <w:right w:val="outset" w:sz="4" w:space="0" w:color="auto"/>
                    </w:tcBorders>
                    <w:vAlign w:val="center"/>
                  </w:tcPr>
                  <w:p w14:paraId="04BE8A98" w14:textId="77777777" w:rsidR="00471D53" w:rsidRDefault="004F686E">
                    <w:pPr>
                      <w:jc w:val="right"/>
                      <w:rPr>
                        <w:color w:val="FFFFFF"/>
                        <w:sz w:val="22"/>
                        <w:szCs w:val="22"/>
                      </w:rPr>
                    </w:pPr>
                    <w:r>
                      <w:rPr>
                        <w:rFonts w:hint="eastAsia"/>
                        <w:color w:val="FFFFFF"/>
                        <w:sz w:val="22"/>
                        <w:szCs w:val="22"/>
                      </w:rPr>
                      <w:t xml:space="preserve">　</w:t>
                    </w:r>
                  </w:p>
                </w:tc>
              </w:tr>
              <w:tr w:rsidR="00471D53" w14:paraId="7B883CC7" w14:textId="77777777" w:rsidTr="00471D53">
                <w:sdt>
                  <w:sdtPr>
                    <w:tag w:val="_PLD_3bc74c61fa7a4ba98c9b2ee5eb59820e"/>
                    <w:id w:val="710534409"/>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17D6BC80" w14:textId="77777777" w:rsidR="00471D53" w:rsidRDefault="004F686E" w:rsidP="00471D53">
                        <w:pPr>
                          <w:ind w:firstLineChars="100" w:firstLine="210"/>
                          <w:rPr>
                            <w:szCs w:val="21"/>
                          </w:rPr>
                        </w:pPr>
                        <w:r>
                          <w:rPr>
                            <w:rFonts w:hint="eastAsia"/>
                            <w:szCs w:val="21"/>
                          </w:rPr>
                          <w:t>支付给职工及为职工支付的现金</w:t>
                        </w:r>
                      </w:p>
                    </w:tc>
                  </w:sdtContent>
                </w:sdt>
                <w:tc>
                  <w:tcPr>
                    <w:tcW w:w="995" w:type="pct"/>
                    <w:tcBorders>
                      <w:top w:val="outset" w:sz="4" w:space="0" w:color="auto"/>
                      <w:left w:val="outset" w:sz="4" w:space="0" w:color="auto"/>
                      <w:bottom w:val="outset" w:sz="4" w:space="0" w:color="auto"/>
                      <w:right w:val="outset" w:sz="4" w:space="0" w:color="auto"/>
                    </w:tcBorders>
                  </w:tcPr>
                  <w:p w14:paraId="50E0DE80" w14:textId="77777777" w:rsidR="00471D53" w:rsidRDefault="00B664AF">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14:paraId="5DC4B4C8" w14:textId="001508F5" w:rsidR="00471D53" w:rsidRDefault="004F686E">
                    <w:pPr>
                      <w:jc w:val="right"/>
                      <w:rPr>
                        <w:sz w:val="22"/>
                        <w:szCs w:val="22"/>
                      </w:rPr>
                    </w:pPr>
                    <w:r>
                      <w:rPr>
                        <w:rFonts w:hint="eastAsia"/>
                        <w:sz w:val="22"/>
                        <w:szCs w:val="22"/>
                      </w:rPr>
                      <w:t>1,834,348.30</w:t>
                    </w:r>
                  </w:p>
                </w:tc>
                <w:tc>
                  <w:tcPr>
                    <w:tcW w:w="1152" w:type="pct"/>
                    <w:tcBorders>
                      <w:top w:val="outset" w:sz="4" w:space="0" w:color="auto"/>
                      <w:left w:val="outset" w:sz="4" w:space="0" w:color="auto"/>
                      <w:bottom w:val="outset" w:sz="4" w:space="0" w:color="auto"/>
                      <w:right w:val="outset" w:sz="4" w:space="0" w:color="auto"/>
                    </w:tcBorders>
                    <w:vAlign w:val="center"/>
                  </w:tcPr>
                  <w:p w14:paraId="5E584627" w14:textId="362789C7" w:rsidR="00471D53" w:rsidRDefault="004F686E">
                    <w:pPr>
                      <w:jc w:val="right"/>
                      <w:rPr>
                        <w:sz w:val="22"/>
                        <w:szCs w:val="22"/>
                      </w:rPr>
                    </w:pPr>
                    <w:r>
                      <w:rPr>
                        <w:rFonts w:hint="eastAsia"/>
                        <w:sz w:val="22"/>
                        <w:szCs w:val="22"/>
                      </w:rPr>
                      <w:t>1,155,536.95</w:t>
                    </w:r>
                  </w:p>
                </w:tc>
              </w:tr>
              <w:tr w:rsidR="00471D53" w14:paraId="794B53DA" w14:textId="77777777" w:rsidTr="00471D53">
                <w:sdt>
                  <w:sdtPr>
                    <w:tag w:val="_PLD_336b8ff4ff8840c58c0c9f99f358310c"/>
                    <w:id w:val="-175495324"/>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34908CBD" w14:textId="77777777" w:rsidR="00471D53" w:rsidRDefault="004F686E" w:rsidP="00471D53">
                        <w:pPr>
                          <w:ind w:firstLineChars="100" w:firstLine="210"/>
                          <w:rPr>
                            <w:szCs w:val="21"/>
                          </w:rPr>
                        </w:pPr>
                        <w:r>
                          <w:rPr>
                            <w:rFonts w:hint="eastAsia"/>
                            <w:szCs w:val="21"/>
                          </w:rPr>
                          <w:t>支付的各项税费</w:t>
                        </w:r>
                      </w:p>
                    </w:tc>
                  </w:sdtContent>
                </w:sdt>
                <w:tc>
                  <w:tcPr>
                    <w:tcW w:w="995" w:type="pct"/>
                    <w:tcBorders>
                      <w:top w:val="outset" w:sz="4" w:space="0" w:color="auto"/>
                      <w:left w:val="outset" w:sz="4" w:space="0" w:color="auto"/>
                      <w:bottom w:val="outset" w:sz="4" w:space="0" w:color="auto"/>
                      <w:right w:val="outset" w:sz="4" w:space="0" w:color="auto"/>
                    </w:tcBorders>
                  </w:tcPr>
                  <w:p w14:paraId="3E671FCF" w14:textId="77777777" w:rsidR="00471D53" w:rsidRDefault="00B664AF">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14:paraId="153C0B57" w14:textId="7D35A701" w:rsidR="00471D53" w:rsidRDefault="004F686E">
                    <w:pPr>
                      <w:jc w:val="right"/>
                      <w:rPr>
                        <w:sz w:val="22"/>
                        <w:szCs w:val="22"/>
                      </w:rPr>
                    </w:pPr>
                    <w:r>
                      <w:rPr>
                        <w:rFonts w:hint="eastAsia"/>
                        <w:sz w:val="22"/>
                        <w:szCs w:val="22"/>
                      </w:rPr>
                      <w:t>1,451,370.27</w:t>
                    </w:r>
                  </w:p>
                </w:tc>
                <w:tc>
                  <w:tcPr>
                    <w:tcW w:w="1152" w:type="pct"/>
                    <w:tcBorders>
                      <w:top w:val="outset" w:sz="4" w:space="0" w:color="auto"/>
                      <w:left w:val="outset" w:sz="4" w:space="0" w:color="auto"/>
                      <w:bottom w:val="outset" w:sz="4" w:space="0" w:color="auto"/>
                      <w:right w:val="outset" w:sz="4" w:space="0" w:color="auto"/>
                    </w:tcBorders>
                    <w:vAlign w:val="center"/>
                  </w:tcPr>
                  <w:p w14:paraId="3B8BB27E" w14:textId="52FBF0A0" w:rsidR="00471D53" w:rsidRDefault="004F686E">
                    <w:pPr>
                      <w:jc w:val="right"/>
                      <w:rPr>
                        <w:sz w:val="22"/>
                        <w:szCs w:val="22"/>
                      </w:rPr>
                    </w:pPr>
                    <w:r>
                      <w:rPr>
                        <w:rFonts w:hint="eastAsia"/>
                        <w:sz w:val="22"/>
                        <w:szCs w:val="22"/>
                      </w:rPr>
                      <w:t>853,986.87</w:t>
                    </w:r>
                  </w:p>
                </w:tc>
              </w:tr>
              <w:tr w:rsidR="00471D53" w14:paraId="4FDE396B" w14:textId="77777777" w:rsidTr="00471D53">
                <w:sdt>
                  <w:sdtPr>
                    <w:tag w:val="_PLD_6ca36b1e8aed4dcf8f2b3a0daeff07e6"/>
                    <w:id w:val="1874496761"/>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59DCC85B" w14:textId="77777777" w:rsidR="00471D53" w:rsidRDefault="004F686E" w:rsidP="00471D53">
                        <w:pPr>
                          <w:ind w:firstLineChars="100" w:firstLine="210"/>
                          <w:rPr>
                            <w:szCs w:val="21"/>
                          </w:rPr>
                        </w:pPr>
                        <w:r>
                          <w:rPr>
                            <w:rFonts w:hint="eastAsia"/>
                            <w:szCs w:val="21"/>
                          </w:rPr>
                          <w:t>支付其他与经营活动有关的现金</w:t>
                        </w:r>
                      </w:p>
                    </w:tc>
                  </w:sdtContent>
                </w:sdt>
                <w:tc>
                  <w:tcPr>
                    <w:tcW w:w="995" w:type="pct"/>
                    <w:tcBorders>
                      <w:top w:val="outset" w:sz="4" w:space="0" w:color="auto"/>
                      <w:left w:val="outset" w:sz="4" w:space="0" w:color="auto"/>
                      <w:bottom w:val="outset" w:sz="4" w:space="0" w:color="auto"/>
                      <w:right w:val="outset" w:sz="4" w:space="0" w:color="auto"/>
                    </w:tcBorders>
                  </w:tcPr>
                  <w:p w14:paraId="02437651" w14:textId="77777777" w:rsidR="00471D53" w:rsidRDefault="00B664AF">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14:paraId="711EB2BA" w14:textId="6BEA90D1" w:rsidR="00471D53" w:rsidRDefault="004F686E">
                    <w:pPr>
                      <w:jc w:val="right"/>
                      <w:rPr>
                        <w:sz w:val="22"/>
                        <w:szCs w:val="22"/>
                      </w:rPr>
                    </w:pPr>
                    <w:r>
                      <w:rPr>
                        <w:rFonts w:hint="eastAsia"/>
                        <w:sz w:val="22"/>
                        <w:szCs w:val="22"/>
                      </w:rPr>
                      <w:t>3,277,228.86</w:t>
                    </w:r>
                  </w:p>
                </w:tc>
                <w:tc>
                  <w:tcPr>
                    <w:tcW w:w="1152" w:type="pct"/>
                    <w:tcBorders>
                      <w:top w:val="outset" w:sz="4" w:space="0" w:color="auto"/>
                      <w:left w:val="outset" w:sz="4" w:space="0" w:color="auto"/>
                      <w:bottom w:val="outset" w:sz="4" w:space="0" w:color="auto"/>
                      <w:right w:val="outset" w:sz="4" w:space="0" w:color="auto"/>
                    </w:tcBorders>
                    <w:vAlign w:val="center"/>
                  </w:tcPr>
                  <w:p w14:paraId="41BB7758" w14:textId="0CD52238" w:rsidR="00471D53" w:rsidRDefault="004F686E">
                    <w:pPr>
                      <w:jc w:val="right"/>
                      <w:rPr>
                        <w:sz w:val="22"/>
                        <w:szCs w:val="22"/>
                      </w:rPr>
                    </w:pPr>
                    <w:r>
                      <w:rPr>
                        <w:rFonts w:hint="eastAsia"/>
                        <w:sz w:val="22"/>
                        <w:szCs w:val="22"/>
                      </w:rPr>
                      <w:t>1,535,562.73</w:t>
                    </w:r>
                  </w:p>
                </w:tc>
              </w:tr>
              <w:tr w:rsidR="00471D53" w14:paraId="7D50D349" w14:textId="77777777" w:rsidTr="00471D53">
                <w:sdt>
                  <w:sdtPr>
                    <w:tag w:val="_PLD_340429c1d7014fa58e9b7238e10cefc6"/>
                    <w:id w:val="-1978293000"/>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1B4D9E88" w14:textId="77777777" w:rsidR="00471D53" w:rsidRDefault="004F686E" w:rsidP="00471D53">
                        <w:pPr>
                          <w:ind w:firstLineChars="200" w:firstLine="420"/>
                          <w:rPr>
                            <w:color w:val="000000"/>
                            <w:szCs w:val="21"/>
                          </w:rPr>
                        </w:pPr>
                        <w:r>
                          <w:rPr>
                            <w:rFonts w:hint="eastAsia"/>
                            <w:szCs w:val="21"/>
                          </w:rPr>
                          <w:t>经营活动现金流出小计</w:t>
                        </w:r>
                      </w:p>
                    </w:tc>
                  </w:sdtContent>
                </w:sdt>
                <w:tc>
                  <w:tcPr>
                    <w:tcW w:w="995" w:type="pct"/>
                    <w:tcBorders>
                      <w:top w:val="outset" w:sz="4" w:space="0" w:color="auto"/>
                      <w:left w:val="outset" w:sz="4" w:space="0" w:color="auto"/>
                      <w:bottom w:val="outset" w:sz="4" w:space="0" w:color="auto"/>
                      <w:right w:val="outset" w:sz="4" w:space="0" w:color="auto"/>
                    </w:tcBorders>
                  </w:tcPr>
                  <w:p w14:paraId="3C59E49B" w14:textId="77777777" w:rsidR="00471D53" w:rsidRDefault="00B664AF">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14:paraId="5FA3F2DD" w14:textId="757A460F" w:rsidR="00471D53" w:rsidRDefault="004F686E">
                    <w:pPr>
                      <w:jc w:val="right"/>
                      <w:rPr>
                        <w:sz w:val="22"/>
                        <w:szCs w:val="22"/>
                      </w:rPr>
                    </w:pPr>
                    <w:r>
                      <w:rPr>
                        <w:rFonts w:hint="eastAsia"/>
                        <w:sz w:val="22"/>
                        <w:szCs w:val="22"/>
                      </w:rPr>
                      <w:t>6,617,347.43</w:t>
                    </w:r>
                  </w:p>
                </w:tc>
                <w:tc>
                  <w:tcPr>
                    <w:tcW w:w="1152" w:type="pct"/>
                    <w:tcBorders>
                      <w:top w:val="outset" w:sz="4" w:space="0" w:color="auto"/>
                      <w:left w:val="outset" w:sz="4" w:space="0" w:color="auto"/>
                      <w:bottom w:val="outset" w:sz="4" w:space="0" w:color="auto"/>
                      <w:right w:val="outset" w:sz="4" w:space="0" w:color="auto"/>
                    </w:tcBorders>
                    <w:vAlign w:val="center"/>
                  </w:tcPr>
                  <w:p w14:paraId="2FA8E473" w14:textId="61CC9675" w:rsidR="00471D53" w:rsidRDefault="004F686E">
                    <w:pPr>
                      <w:jc w:val="right"/>
                      <w:rPr>
                        <w:sz w:val="22"/>
                        <w:szCs w:val="22"/>
                      </w:rPr>
                    </w:pPr>
                    <w:r>
                      <w:rPr>
                        <w:rFonts w:hint="eastAsia"/>
                        <w:sz w:val="22"/>
                        <w:szCs w:val="22"/>
                      </w:rPr>
                      <w:t>3,545,086.55</w:t>
                    </w:r>
                  </w:p>
                </w:tc>
              </w:tr>
              <w:tr w:rsidR="00471D53" w14:paraId="5D046EC3" w14:textId="77777777" w:rsidTr="00471D53">
                <w:sdt>
                  <w:sdtPr>
                    <w:tag w:val="_PLD_61f55569c4e04d6a8c94438f8ecb1122"/>
                    <w:id w:val="664132903"/>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20C68A9D" w14:textId="77777777" w:rsidR="00471D53" w:rsidRDefault="004F686E" w:rsidP="00471D53">
                        <w:pPr>
                          <w:ind w:firstLineChars="100" w:firstLine="210"/>
                          <w:rPr>
                            <w:color w:val="000000"/>
                            <w:szCs w:val="21"/>
                          </w:rPr>
                        </w:pPr>
                        <w:r>
                          <w:rPr>
                            <w:rFonts w:hint="eastAsia"/>
                            <w:szCs w:val="21"/>
                          </w:rPr>
                          <w:t>经营活动产生的现金流量净额</w:t>
                        </w:r>
                      </w:p>
                    </w:tc>
                  </w:sdtContent>
                </w:sdt>
                <w:tc>
                  <w:tcPr>
                    <w:tcW w:w="995" w:type="pct"/>
                    <w:tcBorders>
                      <w:top w:val="outset" w:sz="4" w:space="0" w:color="auto"/>
                      <w:left w:val="outset" w:sz="4" w:space="0" w:color="auto"/>
                      <w:bottom w:val="outset" w:sz="4" w:space="0" w:color="auto"/>
                      <w:right w:val="outset" w:sz="4" w:space="0" w:color="auto"/>
                    </w:tcBorders>
                  </w:tcPr>
                  <w:p w14:paraId="18E6E6E2" w14:textId="77777777" w:rsidR="00471D53" w:rsidRDefault="00B664AF">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14:paraId="6D3421E6" w14:textId="203AE2BB" w:rsidR="00471D53" w:rsidRDefault="004F686E">
                    <w:pPr>
                      <w:jc w:val="right"/>
                      <w:rPr>
                        <w:sz w:val="22"/>
                        <w:szCs w:val="22"/>
                      </w:rPr>
                    </w:pPr>
                    <w:r>
                      <w:rPr>
                        <w:rFonts w:hint="eastAsia"/>
                        <w:sz w:val="22"/>
                        <w:szCs w:val="22"/>
                      </w:rPr>
                      <w:t>-164,451.31</w:t>
                    </w:r>
                  </w:p>
                </w:tc>
                <w:tc>
                  <w:tcPr>
                    <w:tcW w:w="1152" w:type="pct"/>
                    <w:tcBorders>
                      <w:top w:val="outset" w:sz="4" w:space="0" w:color="auto"/>
                      <w:left w:val="outset" w:sz="4" w:space="0" w:color="auto"/>
                      <w:bottom w:val="outset" w:sz="4" w:space="0" w:color="auto"/>
                      <w:right w:val="outset" w:sz="4" w:space="0" w:color="auto"/>
                    </w:tcBorders>
                    <w:vAlign w:val="center"/>
                  </w:tcPr>
                  <w:p w14:paraId="04055E6F" w14:textId="76D5095C" w:rsidR="00471D53" w:rsidRDefault="004F686E">
                    <w:pPr>
                      <w:jc w:val="right"/>
                      <w:rPr>
                        <w:sz w:val="22"/>
                        <w:szCs w:val="22"/>
                      </w:rPr>
                    </w:pPr>
                    <w:r>
                      <w:rPr>
                        <w:rFonts w:hint="eastAsia"/>
                        <w:sz w:val="22"/>
                        <w:szCs w:val="22"/>
                      </w:rPr>
                      <w:t>-3,086,708.45</w:t>
                    </w:r>
                  </w:p>
                </w:tc>
              </w:tr>
              <w:tr w:rsidR="00471D53" w14:paraId="145B0F9B" w14:textId="77777777" w:rsidTr="00AA0DE7">
                <w:sdt>
                  <w:sdtPr>
                    <w:tag w:val="_PLD_8f9190ce4227402ab02ac6431a00b46e"/>
                    <w:id w:val="2082712763"/>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0E1A0FA7" w14:textId="77777777" w:rsidR="00471D53" w:rsidRDefault="004F686E">
                        <w:pPr>
                          <w:rPr>
                            <w:color w:val="000000"/>
                            <w:szCs w:val="21"/>
                          </w:rPr>
                        </w:pPr>
                        <w:r>
                          <w:rPr>
                            <w:rFonts w:hint="eastAsia"/>
                            <w:b/>
                            <w:bCs/>
                            <w:szCs w:val="21"/>
                          </w:rPr>
                          <w:t>二、投资活动产生的现金流量：</w:t>
                        </w:r>
                      </w:p>
                    </w:tc>
                  </w:sdtContent>
                </w:sdt>
                <w:tc>
                  <w:tcPr>
                    <w:tcW w:w="995" w:type="pct"/>
                    <w:tcBorders>
                      <w:top w:val="outset" w:sz="4" w:space="0" w:color="auto"/>
                      <w:left w:val="outset" w:sz="4" w:space="0" w:color="auto"/>
                      <w:bottom w:val="outset" w:sz="4" w:space="0" w:color="auto"/>
                      <w:right w:val="outset" w:sz="4" w:space="0" w:color="auto"/>
                    </w:tcBorders>
                  </w:tcPr>
                  <w:p w14:paraId="759A79DA" w14:textId="77777777" w:rsidR="00471D53" w:rsidRDefault="00B664AF">
                    <w:pPr>
                      <w:rPr>
                        <w:color w:val="008000"/>
                        <w:szCs w:val="21"/>
                      </w:rPr>
                    </w:pPr>
                  </w:p>
                </w:tc>
                <w:tc>
                  <w:tcPr>
                    <w:tcW w:w="1158" w:type="pct"/>
                    <w:tcBorders>
                      <w:top w:val="outset" w:sz="4" w:space="0" w:color="auto"/>
                      <w:left w:val="outset" w:sz="4" w:space="0" w:color="auto"/>
                      <w:bottom w:val="outset" w:sz="4" w:space="0" w:color="auto"/>
                      <w:right w:val="outset" w:sz="4" w:space="0" w:color="auto"/>
                    </w:tcBorders>
                  </w:tcPr>
                  <w:p w14:paraId="4241A412" w14:textId="77777777" w:rsidR="00471D53" w:rsidRDefault="00B664AF">
                    <w:pPr>
                      <w:jc w:val="right"/>
                      <w:rPr>
                        <w:color w:val="008000"/>
                        <w:szCs w:val="21"/>
                      </w:rPr>
                    </w:pPr>
                  </w:p>
                </w:tc>
                <w:tc>
                  <w:tcPr>
                    <w:tcW w:w="1152" w:type="pct"/>
                    <w:tcBorders>
                      <w:top w:val="outset" w:sz="4" w:space="0" w:color="auto"/>
                      <w:left w:val="outset" w:sz="4" w:space="0" w:color="auto"/>
                      <w:bottom w:val="outset" w:sz="4" w:space="0" w:color="auto"/>
                      <w:right w:val="outset" w:sz="4" w:space="0" w:color="auto"/>
                    </w:tcBorders>
                  </w:tcPr>
                  <w:p w14:paraId="6B401463" w14:textId="77777777" w:rsidR="00471D53" w:rsidRDefault="00B664AF">
                    <w:pPr>
                      <w:jc w:val="right"/>
                      <w:rPr>
                        <w:color w:val="008000"/>
                        <w:szCs w:val="21"/>
                      </w:rPr>
                    </w:pPr>
                  </w:p>
                </w:tc>
              </w:tr>
              <w:tr w:rsidR="00471D53" w14:paraId="3983DA3C" w14:textId="77777777" w:rsidTr="00AA0DE7">
                <w:sdt>
                  <w:sdtPr>
                    <w:tag w:val="_PLD_beb5ade569574a3c87ebe15ef758047a"/>
                    <w:id w:val="-688215064"/>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047267AF" w14:textId="77777777" w:rsidR="00471D53" w:rsidRDefault="004F686E" w:rsidP="00471D53">
                        <w:pPr>
                          <w:ind w:firstLineChars="100" w:firstLine="210"/>
                          <w:rPr>
                            <w:szCs w:val="21"/>
                          </w:rPr>
                        </w:pPr>
                        <w:r>
                          <w:rPr>
                            <w:rFonts w:hint="eastAsia"/>
                            <w:szCs w:val="21"/>
                          </w:rPr>
                          <w:t>收回投资收到的现金</w:t>
                        </w:r>
                      </w:p>
                    </w:tc>
                  </w:sdtContent>
                </w:sdt>
                <w:tc>
                  <w:tcPr>
                    <w:tcW w:w="995" w:type="pct"/>
                    <w:tcBorders>
                      <w:top w:val="outset" w:sz="4" w:space="0" w:color="auto"/>
                      <w:left w:val="outset" w:sz="4" w:space="0" w:color="auto"/>
                      <w:bottom w:val="outset" w:sz="4" w:space="0" w:color="auto"/>
                      <w:right w:val="outset" w:sz="4" w:space="0" w:color="auto"/>
                    </w:tcBorders>
                  </w:tcPr>
                  <w:p w14:paraId="291DFA2F" w14:textId="77777777" w:rsidR="00471D53" w:rsidRDefault="00B664AF">
                    <w:pPr>
                      <w:rPr>
                        <w:szCs w:val="21"/>
                      </w:rPr>
                    </w:pPr>
                  </w:p>
                </w:tc>
                <w:tc>
                  <w:tcPr>
                    <w:tcW w:w="1158" w:type="pct"/>
                    <w:tcBorders>
                      <w:top w:val="outset" w:sz="4" w:space="0" w:color="auto"/>
                      <w:left w:val="outset" w:sz="4" w:space="0" w:color="auto"/>
                      <w:bottom w:val="outset" w:sz="4" w:space="0" w:color="auto"/>
                      <w:right w:val="outset" w:sz="4" w:space="0" w:color="auto"/>
                    </w:tcBorders>
                  </w:tcPr>
                  <w:p w14:paraId="7E1397BD" w14:textId="77777777" w:rsidR="00471D53" w:rsidRDefault="00B664AF">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14:paraId="50B1367B" w14:textId="77777777" w:rsidR="00471D53" w:rsidRDefault="00B664AF">
                    <w:pPr>
                      <w:jc w:val="right"/>
                      <w:rPr>
                        <w:szCs w:val="21"/>
                      </w:rPr>
                    </w:pPr>
                  </w:p>
                </w:tc>
              </w:tr>
              <w:tr w:rsidR="00471D53" w14:paraId="68DAA902" w14:textId="77777777" w:rsidTr="00AA0DE7">
                <w:sdt>
                  <w:sdtPr>
                    <w:tag w:val="_PLD_3a0ffc6a5d6f4279bf5f479f6d37fa63"/>
                    <w:id w:val="1354537918"/>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12580990" w14:textId="77777777" w:rsidR="00471D53" w:rsidRDefault="004F686E" w:rsidP="00471D53">
                        <w:pPr>
                          <w:ind w:firstLineChars="100" w:firstLine="210"/>
                          <w:rPr>
                            <w:szCs w:val="21"/>
                          </w:rPr>
                        </w:pPr>
                        <w:r>
                          <w:rPr>
                            <w:rFonts w:hint="eastAsia"/>
                            <w:szCs w:val="21"/>
                          </w:rPr>
                          <w:t>取得投资收益收到的现金</w:t>
                        </w:r>
                      </w:p>
                    </w:tc>
                  </w:sdtContent>
                </w:sdt>
                <w:tc>
                  <w:tcPr>
                    <w:tcW w:w="995" w:type="pct"/>
                    <w:tcBorders>
                      <w:top w:val="outset" w:sz="4" w:space="0" w:color="auto"/>
                      <w:left w:val="outset" w:sz="4" w:space="0" w:color="auto"/>
                      <w:bottom w:val="outset" w:sz="4" w:space="0" w:color="auto"/>
                      <w:right w:val="outset" w:sz="4" w:space="0" w:color="auto"/>
                    </w:tcBorders>
                  </w:tcPr>
                  <w:p w14:paraId="0B797396" w14:textId="77777777" w:rsidR="00471D53" w:rsidRDefault="00B664AF">
                    <w:pPr>
                      <w:rPr>
                        <w:szCs w:val="21"/>
                      </w:rPr>
                    </w:pPr>
                  </w:p>
                </w:tc>
                <w:tc>
                  <w:tcPr>
                    <w:tcW w:w="1158" w:type="pct"/>
                    <w:tcBorders>
                      <w:top w:val="outset" w:sz="4" w:space="0" w:color="auto"/>
                      <w:left w:val="outset" w:sz="4" w:space="0" w:color="auto"/>
                      <w:bottom w:val="outset" w:sz="4" w:space="0" w:color="auto"/>
                      <w:right w:val="outset" w:sz="4" w:space="0" w:color="auto"/>
                    </w:tcBorders>
                  </w:tcPr>
                  <w:p w14:paraId="4D53EA67" w14:textId="77777777" w:rsidR="00471D53" w:rsidRDefault="00B664AF">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14:paraId="27545201" w14:textId="77777777" w:rsidR="00471D53" w:rsidRDefault="00B664AF">
                    <w:pPr>
                      <w:jc w:val="right"/>
                      <w:rPr>
                        <w:szCs w:val="21"/>
                      </w:rPr>
                    </w:pPr>
                  </w:p>
                </w:tc>
              </w:tr>
              <w:tr w:rsidR="00471D53" w14:paraId="022892E4" w14:textId="77777777" w:rsidTr="00AA0DE7">
                <w:sdt>
                  <w:sdtPr>
                    <w:tag w:val="_PLD_ab86d628c73648de84f4c45b64cce1a7"/>
                    <w:id w:val="619808292"/>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279297DB" w14:textId="77777777" w:rsidR="00471D53" w:rsidRDefault="004F686E" w:rsidP="00471D53">
                        <w:pPr>
                          <w:ind w:firstLineChars="100" w:firstLine="210"/>
                          <w:rPr>
                            <w:szCs w:val="21"/>
                          </w:rPr>
                        </w:pPr>
                        <w:r>
                          <w:rPr>
                            <w:rFonts w:hint="eastAsia"/>
                            <w:szCs w:val="21"/>
                          </w:rPr>
                          <w:t>处置固定资产、无形资产和其他长期资产收回的现金净额</w:t>
                        </w:r>
                      </w:p>
                    </w:tc>
                  </w:sdtContent>
                </w:sdt>
                <w:tc>
                  <w:tcPr>
                    <w:tcW w:w="995" w:type="pct"/>
                    <w:tcBorders>
                      <w:top w:val="outset" w:sz="4" w:space="0" w:color="auto"/>
                      <w:left w:val="outset" w:sz="4" w:space="0" w:color="auto"/>
                      <w:bottom w:val="outset" w:sz="4" w:space="0" w:color="auto"/>
                      <w:right w:val="outset" w:sz="4" w:space="0" w:color="auto"/>
                    </w:tcBorders>
                  </w:tcPr>
                  <w:p w14:paraId="0A799EB1" w14:textId="77777777" w:rsidR="00471D53" w:rsidRDefault="00B664AF">
                    <w:pPr>
                      <w:rPr>
                        <w:szCs w:val="21"/>
                      </w:rPr>
                    </w:pPr>
                  </w:p>
                </w:tc>
                <w:tc>
                  <w:tcPr>
                    <w:tcW w:w="1158" w:type="pct"/>
                    <w:tcBorders>
                      <w:top w:val="outset" w:sz="4" w:space="0" w:color="auto"/>
                      <w:left w:val="outset" w:sz="4" w:space="0" w:color="auto"/>
                      <w:bottom w:val="outset" w:sz="4" w:space="0" w:color="auto"/>
                      <w:right w:val="outset" w:sz="4" w:space="0" w:color="auto"/>
                    </w:tcBorders>
                  </w:tcPr>
                  <w:p w14:paraId="76C98F97" w14:textId="77777777" w:rsidR="00471D53" w:rsidRDefault="00B664AF">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14:paraId="2D9682E7" w14:textId="77777777" w:rsidR="00471D53" w:rsidRDefault="00B664AF">
                    <w:pPr>
                      <w:jc w:val="right"/>
                      <w:rPr>
                        <w:szCs w:val="21"/>
                      </w:rPr>
                    </w:pPr>
                  </w:p>
                </w:tc>
              </w:tr>
              <w:tr w:rsidR="00471D53" w14:paraId="0B566E11" w14:textId="77777777" w:rsidTr="00AA0DE7">
                <w:sdt>
                  <w:sdtPr>
                    <w:tag w:val="_PLD_21334c9538694cfcadc2b7850ff168f3"/>
                    <w:id w:val="1960451323"/>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6997E66E" w14:textId="77777777" w:rsidR="00471D53" w:rsidRDefault="004F686E" w:rsidP="00471D53">
                        <w:pPr>
                          <w:ind w:firstLineChars="100" w:firstLine="210"/>
                          <w:rPr>
                            <w:szCs w:val="21"/>
                          </w:rPr>
                        </w:pPr>
                        <w:r>
                          <w:rPr>
                            <w:rFonts w:hint="eastAsia"/>
                            <w:szCs w:val="21"/>
                          </w:rPr>
                          <w:t>处置子公司及其他营业单位收到的现金净额</w:t>
                        </w:r>
                      </w:p>
                    </w:tc>
                  </w:sdtContent>
                </w:sdt>
                <w:tc>
                  <w:tcPr>
                    <w:tcW w:w="995" w:type="pct"/>
                    <w:tcBorders>
                      <w:top w:val="outset" w:sz="4" w:space="0" w:color="auto"/>
                      <w:left w:val="outset" w:sz="4" w:space="0" w:color="auto"/>
                      <w:bottom w:val="outset" w:sz="4" w:space="0" w:color="auto"/>
                      <w:right w:val="outset" w:sz="4" w:space="0" w:color="auto"/>
                    </w:tcBorders>
                  </w:tcPr>
                  <w:p w14:paraId="64EA5859" w14:textId="77777777" w:rsidR="00471D53" w:rsidRDefault="00B664AF">
                    <w:pPr>
                      <w:rPr>
                        <w:szCs w:val="21"/>
                      </w:rPr>
                    </w:pPr>
                  </w:p>
                </w:tc>
                <w:tc>
                  <w:tcPr>
                    <w:tcW w:w="1158" w:type="pct"/>
                    <w:tcBorders>
                      <w:top w:val="outset" w:sz="4" w:space="0" w:color="auto"/>
                      <w:left w:val="outset" w:sz="4" w:space="0" w:color="auto"/>
                      <w:bottom w:val="outset" w:sz="4" w:space="0" w:color="auto"/>
                      <w:right w:val="outset" w:sz="4" w:space="0" w:color="auto"/>
                    </w:tcBorders>
                  </w:tcPr>
                  <w:p w14:paraId="0D4C4CBD" w14:textId="77777777" w:rsidR="00471D53" w:rsidRDefault="00B664AF">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14:paraId="4328B28C" w14:textId="77777777" w:rsidR="00471D53" w:rsidRDefault="00B664AF">
                    <w:pPr>
                      <w:jc w:val="right"/>
                      <w:rPr>
                        <w:szCs w:val="21"/>
                      </w:rPr>
                    </w:pPr>
                  </w:p>
                </w:tc>
              </w:tr>
              <w:tr w:rsidR="00471D53" w14:paraId="6CA27A90" w14:textId="77777777" w:rsidTr="00471D53">
                <w:sdt>
                  <w:sdtPr>
                    <w:tag w:val="_PLD_1bbc06129d1649f69097b53902bcb183"/>
                    <w:id w:val="330728374"/>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0DC9476A" w14:textId="77777777" w:rsidR="00471D53" w:rsidRDefault="004F686E" w:rsidP="00471D53">
                        <w:pPr>
                          <w:ind w:firstLineChars="100" w:firstLine="210"/>
                          <w:rPr>
                            <w:szCs w:val="21"/>
                          </w:rPr>
                        </w:pPr>
                        <w:r>
                          <w:rPr>
                            <w:rFonts w:hint="eastAsia"/>
                            <w:szCs w:val="21"/>
                          </w:rPr>
                          <w:t>收到其他与投资活动有关的现金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14:paraId="67510011" w14:textId="77777777" w:rsidR="00471D53" w:rsidRDefault="00B664AF">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14:paraId="297C6F3C" w14:textId="77777777" w:rsidR="00471D53" w:rsidRDefault="004F686E">
                    <w:pPr>
                      <w:jc w:val="right"/>
                      <w:rPr>
                        <w:color w:val="FFFFFF"/>
                        <w:sz w:val="22"/>
                        <w:szCs w:val="22"/>
                      </w:rPr>
                    </w:pPr>
                    <w:r>
                      <w:rPr>
                        <w:rFonts w:hint="eastAsia"/>
                        <w:color w:val="FFFFFF"/>
                        <w:sz w:val="22"/>
                        <w:szCs w:val="22"/>
                      </w:rPr>
                      <w:t xml:space="preserve">　</w:t>
                    </w:r>
                  </w:p>
                </w:tc>
                <w:tc>
                  <w:tcPr>
                    <w:tcW w:w="1152" w:type="pct"/>
                    <w:tcBorders>
                      <w:top w:val="outset" w:sz="4" w:space="0" w:color="auto"/>
                      <w:left w:val="outset" w:sz="4" w:space="0" w:color="auto"/>
                      <w:bottom w:val="outset" w:sz="4" w:space="0" w:color="auto"/>
                      <w:right w:val="outset" w:sz="4" w:space="0" w:color="auto"/>
                    </w:tcBorders>
                    <w:vAlign w:val="center"/>
                  </w:tcPr>
                  <w:p w14:paraId="25C40938" w14:textId="1AB72CBB" w:rsidR="00471D53" w:rsidRDefault="004F686E">
                    <w:pPr>
                      <w:jc w:val="right"/>
                      <w:rPr>
                        <w:sz w:val="22"/>
                        <w:szCs w:val="22"/>
                      </w:rPr>
                    </w:pPr>
                    <w:r>
                      <w:rPr>
                        <w:rFonts w:hint="eastAsia"/>
                        <w:sz w:val="22"/>
                        <w:szCs w:val="22"/>
                      </w:rPr>
                      <w:t>2,000,000.00</w:t>
                    </w:r>
                  </w:p>
                </w:tc>
              </w:tr>
              <w:tr w:rsidR="00471D53" w14:paraId="189C0603" w14:textId="77777777" w:rsidTr="00471D53">
                <w:sdt>
                  <w:sdtPr>
                    <w:tag w:val="_PLD_7d740284844e4f809679ef6bb77b25bc"/>
                    <w:id w:val="988129066"/>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3044E29F" w14:textId="77777777" w:rsidR="00471D53" w:rsidRDefault="004F686E" w:rsidP="00471D53">
                        <w:pPr>
                          <w:ind w:firstLineChars="200" w:firstLine="420"/>
                          <w:rPr>
                            <w:color w:val="000000"/>
                            <w:szCs w:val="21"/>
                          </w:rPr>
                        </w:pPr>
                        <w:r>
                          <w:rPr>
                            <w:rFonts w:hint="eastAsia"/>
                            <w:szCs w:val="21"/>
                          </w:rPr>
                          <w:t>投资活动现金流入小计</w:t>
                        </w:r>
                      </w:p>
                    </w:tc>
                  </w:sdtContent>
                </w:sdt>
                <w:tc>
                  <w:tcPr>
                    <w:tcW w:w="995" w:type="pct"/>
                    <w:tcBorders>
                      <w:top w:val="outset" w:sz="4" w:space="0" w:color="auto"/>
                      <w:left w:val="outset" w:sz="4" w:space="0" w:color="auto"/>
                      <w:bottom w:val="outset" w:sz="4" w:space="0" w:color="auto"/>
                      <w:right w:val="outset" w:sz="4" w:space="0" w:color="auto"/>
                    </w:tcBorders>
                  </w:tcPr>
                  <w:p w14:paraId="0D2EFB87" w14:textId="77777777" w:rsidR="00471D53" w:rsidRDefault="00B664AF">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14:paraId="5E742D7A" w14:textId="218CA9DE" w:rsidR="00471D53" w:rsidRDefault="004F686E">
                    <w:pPr>
                      <w:jc w:val="right"/>
                      <w:rPr>
                        <w:color w:val="FFFFFF"/>
                        <w:sz w:val="22"/>
                        <w:szCs w:val="22"/>
                      </w:rPr>
                    </w:pPr>
                    <w:r>
                      <w:rPr>
                        <w:rFonts w:hint="eastAsia"/>
                        <w:color w:val="FFFFFF"/>
                        <w:sz w:val="22"/>
                        <w:szCs w:val="22"/>
                      </w:rPr>
                      <w:t>-</w:t>
                    </w:r>
                  </w:p>
                </w:tc>
                <w:tc>
                  <w:tcPr>
                    <w:tcW w:w="1152" w:type="pct"/>
                    <w:tcBorders>
                      <w:top w:val="outset" w:sz="4" w:space="0" w:color="auto"/>
                      <w:left w:val="outset" w:sz="4" w:space="0" w:color="auto"/>
                      <w:bottom w:val="outset" w:sz="4" w:space="0" w:color="auto"/>
                      <w:right w:val="outset" w:sz="4" w:space="0" w:color="auto"/>
                    </w:tcBorders>
                    <w:vAlign w:val="center"/>
                  </w:tcPr>
                  <w:p w14:paraId="2A018D72" w14:textId="74C4EEBB" w:rsidR="00471D53" w:rsidRDefault="004F686E">
                    <w:pPr>
                      <w:jc w:val="right"/>
                      <w:rPr>
                        <w:sz w:val="22"/>
                        <w:szCs w:val="22"/>
                      </w:rPr>
                    </w:pPr>
                    <w:r>
                      <w:rPr>
                        <w:rFonts w:hint="eastAsia"/>
                        <w:sz w:val="22"/>
                        <w:szCs w:val="22"/>
                      </w:rPr>
                      <w:t>2,000,000.00</w:t>
                    </w:r>
                  </w:p>
                </w:tc>
              </w:tr>
              <w:tr w:rsidR="00471D53" w14:paraId="19B2B7D4" w14:textId="77777777" w:rsidTr="00471D53">
                <w:sdt>
                  <w:sdtPr>
                    <w:tag w:val="_PLD_62fef635400a49fdab7a94e37c70f56f"/>
                    <w:id w:val="1173677009"/>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349F7263" w14:textId="77777777" w:rsidR="00471D53" w:rsidRDefault="004F686E" w:rsidP="00471D53">
                        <w:pPr>
                          <w:ind w:firstLineChars="100" w:firstLine="210"/>
                          <w:rPr>
                            <w:szCs w:val="21"/>
                          </w:rPr>
                        </w:pPr>
                        <w:r>
                          <w:rPr>
                            <w:rFonts w:hint="eastAsia"/>
                            <w:szCs w:val="21"/>
                          </w:rPr>
                          <w:t>购建固定资产、无形资产和其他长期资产支付的现金</w:t>
                        </w:r>
                      </w:p>
                    </w:tc>
                  </w:sdtContent>
                </w:sdt>
                <w:tc>
                  <w:tcPr>
                    <w:tcW w:w="995" w:type="pct"/>
                    <w:tcBorders>
                      <w:top w:val="outset" w:sz="4" w:space="0" w:color="auto"/>
                      <w:left w:val="outset" w:sz="4" w:space="0" w:color="auto"/>
                      <w:bottom w:val="outset" w:sz="4" w:space="0" w:color="auto"/>
                      <w:right w:val="outset" w:sz="4" w:space="0" w:color="auto"/>
                    </w:tcBorders>
                  </w:tcPr>
                  <w:p w14:paraId="7782DB21" w14:textId="77777777" w:rsidR="00471D53" w:rsidRDefault="00B664AF">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14:paraId="721D84EF" w14:textId="77777777" w:rsidR="00471D53" w:rsidRDefault="004F686E">
                    <w:pPr>
                      <w:jc w:val="right"/>
                      <w:rPr>
                        <w:color w:val="FFFFFF"/>
                        <w:sz w:val="22"/>
                        <w:szCs w:val="22"/>
                      </w:rPr>
                    </w:pPr>
                    <w:r>
                      <w:rPr>
                        <w:rFonts w:hint="eastAsia"/>
                        <w:color w:val="FFFFFF"/>
                        <w:sz w:val="22"/>
                        <w:szCs w:val="22"/>
                      </w:rPr>
                      <w:t xml:space="preserve">　</w:t>
                    </w:r>
                  </w:p>
                </w:tc>
                <w:tc>
                  <w:tcPr>
                    <w:tcW w:w="1152" w:type="pct"/>
                    <w:tcBorders>
                      <w:top w:val="outset" w:sz="4" w:space="0" w:color="auto"/>
                      <w:left w:val="outset" w:sz="4" w:space="0" w:color="auto"/>
                      <w:bottom w:val="outset" w:sz="4" w:space="0" w:color="auto"/>
                      <w:right w:val="outset" w:sz="4" w:space="0" w:color="auto"/>
                    </w:tcBorders>
                    <w:vAlign w:val="center"/>
                  </w:tcPr>
                  <w:p w14:paraId="7181C014" w14:textId="4BDE825A" w:rsidR="00471D53" w:rsidRDefault="004F686E">
                    <w:pPr>
                      <w:jc w:val="right"/>
                      <w:rPr>
                        <w:sz w:val="22"/>
                        <w:szCs w:val="22"/>
                      </w:rPr>
                    </w:pPr>
                    <w:r>
                      <w:rPr>
                        <w:rFonts w:hint="eastAsia"/>
                        <w:sz w:val="22"/>
                        <w:szCs w:val="22"/>
                      </w:rPr>
                      <w:t>13,098.00</w:t>
                    </w:r>
                  </w:p>
                </w:tc>
              </w:tr>
              <w:tr w:rsidR="00471D53" w14:paraId="2585C440" w14:textId="77777777" w:rsidTr="00AA0DE7">
                <w:sdt>
                  <w:sdtPr>
                    <w:tag w:val="_PLD_1ef5a0eb21854c7a9b13f6f3b7a8ebcc"/>
                    <w:id w:val="923998578"/>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7842FD87" w14:textId="77777777" w:rsidR="00471D53" w:rsidRDefault="004F686E" w:rsidP="00471D53">
                        <w:pPr>
                          <w:ind w:firstLineChars="100" w:firstLine="210"/>
                          <w:rPr>
                            <w:szCs w:val="21"/>
                          </w:rPr>
                        </w:pPr>
                        <w:r>
                          <w:rPr>
                            <w:rFonts w:hint="eastAsia"/>
                            <w:szCs w:val="21"/>
                          </w:rPr>
                          <w:t>投资支付的现金</w:t>
                        </w:r>
                      </w:p>
                    </w:tc>
                  </w:sdtContent>
                </w:sdt>
                <w:tc>
                  <w:tcPr>
                    <w:tcW w:w="995" w:type="pct"/>
                    <w:tcBorders>
                      <w:top w:val="outset" w:sz="4" w:space="0" w:color="auto"/>
                      <w:left w:val="outset" w:sz="4" w:space="0" w:color="auto"/>
                      <w:bottom w:val="outset" w:sz="4" w:space="0" w:color="auto"/>
                      <w:right w:val="outset" w:sz="4" w:space="0" w:color="auto"/>
                    </w:tcBorders>
                  </w:tcPr>
                  <w:p w14:paraId="5082683B" w14:textId="77777777" w:rsidR="00471D53" w:rsidRDefault="00B664AF">
                    <w:pPr>
                      <w:rPr>
                        <w:szCs w:val="21"/>
                      </w:rPr>
                    </w:pPr>
                  </w:p>
                </w:tc>
                <w:tc>
                  <w:tcPr>
                    <w:tcW w:w="1158" w:type="pct"/>
                    <w:tcBorders>
                      <w:top w:val="outset" w:sz="4" w:space="0" w:color="auto"/>
                      <w:left w:val="outset" w:sz="4" w:space="0" w:color="auto"/>
                      <w:bottom w:val="outset" w:sz="4" w:space="0" w:color="auto"/>
                      <w:right w:val="outset" w:sz="4" w:space="0" w:color="auto"/>
                    </w:tcBorders>
                  </w:tcPr>
                  <w:p w14:paraId="35E58603" w14:textId="77777777" w:rsidR="00471D53" w:rsidRDefault="00B664AF">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14:paraId="4152EE1E" w14:textId="77777777" w:rsidR="00471D53" w:rsidRDefault="00B664AF">
                    <w:pPr>
                      <w:jc w:val="right"/>
                      <w:rPr>
                        <w:szCs w:val="21"/>
                      </w:rPr>
                    </w:pPr>
                  </w:p>
                </w:tc>
              </w:tr>
              <w:tr w:rsidR="00471D53" w14:paraId="4FA3E4AD" w14:textId="77777777" w:rsidTr="00AA0DE7">
                <w:sdt>
                  <w:sdtPr>
                    <w:tag w:val="_PLD_7d0701b5e83d4159a4e201e3bfc27ba1"/>
                    <w:id w:val="-2063857286"/>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17C68C71" w14:textId="77777777" w:rsidR="00471D53" w:rsidRDefault="004F686E" w:rsidP="00471D53">
                        <w:pPr>
                          <w:ind w:firstLineChars="100" w:firstLine="210"/>
                          <w:rPr>
                            <w:szCs w:val="21"/>
                          </w:rPr>
                        </w:pPr>
                        <w:r>
                          <w:rPr>
                            <w:rFonts w:hint="eastAsia"/>
                            <w:szCs w:val="21"/>
                          </w:rPr>
                          <w:t>取得子公司及其他营业单位支付的现金净额</w:t>
                        </w:r>
                      </w:p>
                    </w:tc>
                  </w:sdtContent>
                </w:sdt>
                <w:tc>
                  <w:tcPr>
                    <w:tcW w:w="995" w:type="pct"/>
                    <w:tcBorders>
                      <w:top w:val="outset" w:sz="4" w:space="0" w:color="auto"/>
                      <w:left w:val="outset" w:sz="4" w:space="0" w:color="auto"/>
                      <w:bottom w:val="outset" w:sz="4" w:space="0" w:color="auto"/>
                      <w:right w:val="outset" w:sz="4" w:space="0" w:color="auto"/>
                    </w:tcBorders>
                  </w:tcPr>
                  <w:p w14:paraId="66EA5A56" w14:textId="77777777" w:rsidR="00471D53" w:rsidRDefault="00B664AF">
                    <w:pPr>
                      <w:rPr>
                        <w:szCs w:val="21"/>
                      </w:rPr>
                    </w:pPr>
                  </w:p>
                </w:tc>
                <w:tc>
                  <w:tcPr>
                    <w:tcW w:w="1158" w:type="pct"/>
                    <w:tcBorders>
                      <w:top w:val="outset" w:sz="4" w:space="0" w:color="auto"/>
                      <w:left w:val="outset" w:sz="4" w:space="0" w:color="auto"/>
                      <w:bottom w:val="outset" w:sz="4" w:space="0" w:color="auto"/>
                      <w:right w:val="outset" w:sz="4" w:space="0" w:color="auto"/>
                    </w:tcBorders>
                  </w:tcPr>
                  <w:p w14:paraId="47988F13" w14:textId="77777777" w:rsidR="00471D53" w:rsidRDefault="00B664AF">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14:paraId="42B5B314" w14:textId="77777777" w:rsidR="00471D53" w:rsidRDefault="00B664AF">
                    <w:pPr>
                      <w:jc w:val="right"/>
                      <w:rPr>
                        <w:szCs w:val="21"/>
                      </w:rPr>
                    </w:pPr>
                  </w:p>
                </w:tc>
              </w:tr>
              <w:tr w:rsidR="00471D53" w14:paraId="37C618EE" w14:textId="77777777" w:rsidTr="00AA0DE7">
                <w:sdt>
                  <w:sdtPr>
                    <w:tag w:val="_PLD_813ddb5a043d48ffa883eb8db9d86449"/>
                    <w:id w:val="-803075310"/>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5D889597" w14:textId="77777777" w:rsidR="00471D53" w:rsidRDefault="004F686E" w:rsidP="00471D53">
                        <w:pPr>
                          <w:ind w:firstLineChars="100" w:firstLine="210"/>
                          <w:rPr>
                            <w:szCs w:val="21"/>
                          </w:rPr>
                        </w:pPr>
                        <w:r>
                          <w:rPr>
                            <w:rFonts w:hint="eastAsia"/>
                            <w:szCs w:val="21"/>
                          </w:rPr>
                          <w:t>支付其他与投资活动有关的现金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14:paraId="417C7340" w14:textId="77777777" w:rsidR="00471D53" w:rsidRDefault="00B664AF">
                    <w:pPr>
                      <w:rPr>
                        <w:szCs w:val="21"/>
                      </w:rPr>
                    </w:pPr>
                  </w:p>
                </w:tc>
                <w:tc>
                  <w:tcPr>
                    <w:tcW w:w="1158" w:type="pct"/>
                    <w:tcBorders>
                      <w:top w:val="outset" w:sz="4" w:space="0" w:color="auto"/>
                      <w:left w:val="outset" w:sz="4" w:space="0" w:color="auto"/>
                      <w:bottom w:val="outset" w:sz="4" w:space="0" w:color="auto"/>
                      <w:right w:val="outset" w:sz="4" w:space="0" w:color="auto"/>
                    </w:tcBorders>
                  </w:tcPr>
                  <w:p w14:paraId="5E5E334B" w14:textId="77777777" w:rsidR="00471D53" w:rsidRDefault="00B664AF">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14:paraId="5EE2A44D" w14:textId="77777777" w:rsidR="00471D53" w:rsidRDefault="00B664AF">
                    <w:pPr>
                      <w:jc w:val="right"/>
                      <w:rPr>
                        <w:szCs w:val="21"/>
                      </w:rPr>
                    </w:pPr>
                  </w:p>
                </w:tc>
              </w:tr>
              <w:tr w:rsidR="00471D53" w14:paraId="55B7417B" w14:textId="77777777" w:rsidTr="00471D53">
                <w:sdt>
                  <w:sdtPr>
                    <w:tag w:val="_PLD_ebc63f66aafc42e49516dac116f4b4d5"/>
                    <w:id w:val="-35738393"/>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45B73F13" w14:textId="77777777" w:rsidR="00471D53" w:rsidRDefault="004F686E" w:rsidP="00471D53">
                        <w:pPr>
                          <w:ind w:firstLineChars="200" w:firstLine="420"/>
                          <w:rPr>
                            <w:color w:val="000000"/>
                            <w:szCs w:val="21"/>
                          </w:rPr>
                        </w:pPr>
                        <w:r>
                          <w:rPr>
                            <w:rFonts w:hint="eastAsia"/>
                            <w:szCs w:val="21"/>
                          </w:rPr>
                          <w:t>投资活动现金流出小计</w:t>
                        </w:r>
                      </w:p>
                    </w:tc>
                  </w:sdtContent>
                </w:sdt>
                <w:tc>
                  <w:tcPr>
                    <w:tcW w:w="995" w:type="pct"/>
                    <w:tcBorders>
                      <w:top w:val="outset" w:sz="4" w:space="0" w:color="auto"/>
                      <w:left w:val="outset" w:sz="4" w:space="0" w:color="auto"/>
                      <w:bottom w:val="outset" w:sz="4" w:space="0" w:color="auto"/>
                      <w:right w:val="outset" w:sz="4" w:space="0" w:color="auto"/>
                    </w:tcBorders>
                  </w:tcPr>
                  <w:p w14:paraId="235C289C" w14:textId="77777777" w:rsidR="00471D53" w:rsidRDefault="00B664AF">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14:paraId="218EA537" w14:textId="05A2E9E5" w:rsidR="00471D53" w:rsidRDefault="004F686E">
                    <w:pPr>
                      <w:jc w:val="right"/>
                      <w:rPr>
                        <w:color w:val="FFFFFF"/>
                        <w:sz w:val="22"/>
                        <w:szCs w:val="22"/>
                      </w:rPr>
                    </w:pPr>
                    <w:r>
                      <w:rPr>
                        <w:rFonts w:hint="eastAsia"/>
                        <w:color w:val="FFFFFF"/>
                        <w:sz w:val="22"/>
                        <w:szCs w:val="22"/>
                      </w:rPr>
                      <w:t>-</w:t>
                    </w:r>
                  </w:p>
                </w:tc>
                <w:tc>
                  <w:tcPr>
                    <w:tcW w:w="1152" w:type="pct"/>
                    <w:tcBorders>
                      <w:top w:val="outset" w:sz="4" w:space="0" w:color="auto"/>
                      <w:left w:val="outset" w:sz="4" w:space="0" w:color="auto"/>
                      <w:bottom w:val="outset" w:sz="4" w:space="0" w:color="auto"/>
                      <w:right w:val="outset" w:sz="4" w:space="0" w:color="auto"/>
                    </w:tcBorders>
                    <w:vAlign w:val="center"/>
                  </w:tcPr>
                  <w:p w14:paraId="7864FFD3" w14:textId="401A2F64" w:rsidR="00471D53" w:rsidRDefault="004F686E">
                    <w:pPr>
                      <w:jc w:val="right"/>
                      <w:rPr>
                        <w:sz w:val="22"/>
                        <w:szCs w:val="22"/>
                      </w:rPr>
                    </w:pPr>
                    <w:r>
                      <w:rPr>
                        <w:rFonts w:hint="eastAsia"/>
                        <w:sz w:val="22"/>
                        <w:szCs w:val="22"/>
                      </w:rPr>
                      <w:t>13,098.00</w:t>
                    </w:r>
                  </w:p>
                </w:tc>
              </w:tr>
              <w:tr w:rsidR="00471D53" w14:paraId="7BEAD7AB" w14:textId="77777777" w:rsidTr="00471D53">
                <w:sdt>
                  <w:sdtPr>
                    <w:tag w:val="_PLD_616b02a522724a558ecbae77fe729bdb"/>
                    <w:id w:val="-2134399032"/>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7257E106" w14:textId="77777777" w:rsidR="00471D53" w:rsidRDefault="004F686E" w:rsidP="00471D53">
                        <w:pPr>
                          <w:ind w:firstLineChars="300" w:firstLine="630"/>
                          <w:rPr>
                            <w:color w:val="000000"/>
                            <w:szCs w:val="21"/>
                          </w:rPr>
                        </w:pPr>
                        <w:r>
                          <w:rPr>
                            <w:rFonts w:hint="eastAsia"/>
                            <w:szCs w:val="21"/>
                          </w:rPr>
                          <w:t>投资活动产生的现金流量净额</w:t>
                        </w:r>
                      </w:p>
                    </w:tc>
                  </w:sdtContent>
                </w:sdt>
                <w:tc>
                  <w:tcPr>
                    <w:tcW w:w="995" w:type="pct"/>
                    <w:tcBorders>
                      <w:top w:val="outset" w:sz="4" w:space="0" w:color="auto"/>
                      <w:left w:val="outset" w:sz="4" w:space="0" w:color="auto"/>
                      <w:bottom w:val="outset" w:sz="4" w:space="0" w:color="auto"/>
                      <w:right w:val="outset" w:sz="4" w:space="0" w:color="auto"/>
                    </w:tcBorders>
                  </w:tcPr>
                  <w:p w14:paraId="6CCA5ACA" w14:textId="77777777" w:rsidR="00471D53" w:rsidRDefault="00B664AF">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14:paraId="2A09F4BD" w14:textId="5E071F43" w:rsidR="00471D53" w:rsidRDefault="004F686E">
                    <w:pPr>
                      <w:jc w:val="right"/>
                      <w:rPr>
                        <w:color w:val="FFFFFF"/>
                        <w:sz w:val="22"/>
                        <w:szCs w:val="22"/>
                      </w:rPr>
                    </w:pPr>
                    <w:r>
                      <w:rPr>
                        <w:rFonts w:hint="eastAsia"/>
                        <w:color w:val="FFFFFF"/>
                        <w:sz w:val="22"/>
                        <w:szCs w:val="22"/>
                      </w:rPr>
                      <w:t>-</w:t>
                    </w:r>
                  </w:p>
                </w:tc>
                <w:tc>
                  <w:tcPr>
                    <w:tcW w:w="1152" w:type="pct"/>
                    <w:tcBorders>
                      <w:top w:val="outset" w:sz="4" w:space="0" w:color="auto"/>
                      <w:left w:val="outset" w:sz="4" w:space="0" w:color="auto"/>
                      <w:bottom w:val="outset" w:sz="4" w:space="0" w:color="auto"/>
                      <w:right w:val="outset" w:sz="4" w:space="0" w:color="auto"/>
                    </w:tcBorders>
                    <w:vAlign w:val="center"/>
                  </w:tcPr>
                  <w:p w14:paraId="5AFECC27" w14:textId="4E16F9D4" w:rsidR="00471D53" w:rsidRDefault="004F686E">
                    <w:pPr>
                      <w:jc w:val="right"/>
                      <w:rPr>
                        <w:sz w:val="22"/>
                        <w:szCs w:val="22"/>
                      </w:rPr>
                    </w:pPr>
                    <w:r>
                      <w:rPr>
                        <w:rFonts w:hint="eastAsia"/>
                        <w:sz w:val="22"/>
                        <w:szCs w:val="22"/>
                      </w:rPr>
                      <w:t>1,986,902.00</w:t>
                    </w:r>
                  </w:p>
                </w:tc>
              </w:tr>
              <w:tr w:rsidR="00471D53" w14:paraId="6EB5CEDE" w14:textId="77777777" w:rsidTr="00AA0DE7">
                <w:sdt>
                  <w:sdtPr>
                    <w:tag w:val="_PLD_7d68e34216d04af0934267b3078d3c35"/>
                    <w:id w:val="285163845"/>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7B60C3B6" w14:textId="77777777" w:rsidR="00471D53" w:rsidRDefault="004F686E">
                        <w:pPr>
                          <w:rPr>
                            <w:color w:val="000000"/>
                            <w:szCs w:val="21"/>
                          </w:rPr>
                        </w:pPr>
                        <w:r>
                          <w:rPr>
                            <w:rFonts w:hint="eastAsia"/>
                            <w:b/>
                            <w:bCs/>
                            <w:szCs w:val="21"/>
                          </w:rPr>
                          <w:t>三、筹资活动产生的现金流量：</w:t>
                        </w:r>
                      </w:p>
                    </w:tc>
                  </w:sdtContent>
                </w:sdt>
                <w:tc>
                  <w:tcPr>
                    <w:tcW w:w="995" w:type="pct"/>
                    <w:tcBorders>
                      <w:top w:val="outset" w:sz="4" w:space="0" w:color="auto"/>
                      <w:left w:val="outset" w:sz="4" w:space="0" w:color="auto"/>
                      <w:bottom w:val="outset" w:sz="4" w:space="0" w:color="auto"/>
                      <w:right w:val="outset" w:sz="4" w:space="0" w:color="auto"/>
                    </w:tcBorders>
                  </w:tcPr>
                  <w:p w14:paraId="7A7F1CB0" w14:textId="77777777" w:rsidR="00471D53" w:rsidRDefault="00B664AF">
                    <w:pPr>
                      <w:rPr>
                        <w:color w:val="008000"/>
                        <w:szCs w:val="21"/>
                      </w:rPr>
                    </w:pPr>
                  </w:p>
                </w:tc>
                <w:tc>
                  <w:tcPr>
                    <w:tcW w:w="1158" w:type="pct"/>
                    <w:tcBorders>
                      <w:top w:val="outset" w:sz="4" w:space="0" w:color="auto"/>
                      <w:left w:val="outset" w:sz="4" w:space="0" w:color="auto"/>
                      <w:bottom w:val="outset" w:sz="4" w:space="0" w:color="auto"/>
                      <w:right w:val="outset" w:sz="4" w:space="0" w:color="auto"/>
                    </w:tcBorders>
                  </w:tcPr>
                  <w:p w14:paraId="797C95E1" w14:textId="77777777" w:rsidR="00471D53" w:rsidRDefault="00B664AF">
                    <w:pPr>
                      <w:jc w:val="right"/>
                      <w:rPr>
                        <w:color w:val="008000"/>
                        <w:szCs w:val="21"/>
                      </w:rPr>
                    </w:pPr>
                  </w:p>
                </w:tc>
                <w:tc>
                  <w:tcPr>
                    <w:tcW w:w="1152" w:type="pct"/>
                    <w:tcBorders>
                      <w:top w:val="outset" w:sz="4" w:space="0" w:color="auto"/>
                      <w:left w:val="outset" w:sz="4" w:space="0" w:color="auto"/>
                      <w:bottom w:val="outset" w:sz="4" w:space="0" w:color="auto"/>
                      <w:right w:val="outset" w:sz="4" w:space="0" w:color="auto"/>
                    </w:tcBorders>
                  </w:tcPr>
                  <w:p w14:paraId="3B8EC203" w14:textId="77777777" w:rsidR="00471D53" w:rsidRDefault="00B664AF">
                    <w:pPr>
                      <w:jc w:val="right"/>
                      <w:rPr>
                        <w:color w:val="008000"/>
                        <w:szCs w:val="21"/>
                      </w:rPr>
                    </w:pPr>
                  </w:p>
                </w:tc>
              </w:tr>
              <w:tr w:rsidR="00471D53" w14:paraId="1F00F4AC" w14:textId="77777777" w:rsidTr="00471D53">
                <w:sdt>
                  <w:sdtPr>
                    <w:tag w:val="_PLD_12516ea91b664cd98125761df9d8009e"/>
                    <w:id w:val="1172147872"/>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4FCE1C6C" w14:textId="77777777" w:rsidR="00471D53" w:rsidRDefault="004F686E" w:rsidP="00471D53">
                        <w:pPr>
                          <w:ind w:firstLineChars="100" w:firstLine="210"/>
                          <w:rPr>
                            <w:color w:val="000000"/>
                            <w:szCs w:val="21"/>
                          </w:rPr>
                        </w:pPr>
                        <w:r>
                          <w:rPr>
                            <w:rFonts w:hint="eastAsia"/>
                            <w:szCs w:val="21"/>
                          </w:rPr>
                          <w:t>吸收投资收到的现金</w:t>
                        </w:r>
                      </w:p>
                    </w:tc>
                  </w:sdtContent>
                </w:sdt>
                <w:tc>
                  <w:tcPr>
                    <w:tcW w:w="995" w:type="pct"/>
                    <w:tcBorders>
                      <w:top w:val="outset" w:sz="4" w:space="0" w:color="auto"/>
                      <w:left w:val="outset" w:sz="4" w:space="0" w:color="auto"/>
                      <w:bottom w:val="outset" w:sz="4" w:space="0" w:color="auto"/>
                      <w:right w:val="outset" w:sz="4" w:space="0" w:color="auto"/>
                    </w:tcBorders>
                  </w:tcPr>
                  <w:p w14:paraId="091EA61F" w14:textId="77777777" w:rsidR="00471D53" w:rsidRDefault="00B664AF">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14:paraId="77D79B7F" w14:textId="77777777" w:rsidR="00471D53" w:rsidRDefault="004F686E">
                    <w:pPr>
                      <w:jc w:val="center"/>
                      <w:rPr>
                        <w:color w:val="FFFFFF"/>
                        <w:sz w:val="22"/>
                        <w:szCs w:val="22"/>
                      </w:rPr>
                    </w:pPr>
                    <w:r>
                      <w:rPr>
                        <w:rFonts w:hint="eastAsia"/>
                        <w:color w:val="FFFFFF"/>
                        <w:sz w:val="22"/>
                        <w:szCs w:val="22"/>
                      </w:rPr>
                      <w:t xml:space="preserve">　</w:t>
                    </w:r>
                  </w:p>
                </w:tc>
                <w:tc>
                  <w:tcPr>
                    <w:tcW w:w="1152" w:type="pct"/>
                    <w:tcBorders>
                      <w:top w:val="outset" w:sz="4" w:space="0" w:color="auto"/>
                      <w:left w:val="outset" w:sz="4" w:space="0" w:color="auto"/>
                      <w:bottom w:val="outset" w:sz="4" w:space="0" w:color="auto"/>
                      <w:right w:val="outset" w:sz="4" w:space="0" w:color="auto"/>
                    </w:tcBorders>
                    <w:vAlign w:val="center"/>
                  </w:tcPr>
                  <w:p w14:paraId="257545BC" w14:textId="1F23388B" w:rsidR="00471D53" w:rsidRDefault="004F686E">
                    <w:pPr>
                      <w:rPr>
                        <w:sz w:val="22"/>
                        <w:szCs w:val="22"/>
                      </w:rPr>
                    </w:pPr>
                    <w:r>
                      <w:rPr>
                        <w:rFonts w:hint="eastAsia"/>
                        <w:sz w:val="22"/>
                        <w:szCs w:val="22"/>
                      </w:rPr>
                      <w:t>211,111,360.00</w:t>
                    </w:r>
                  </w:p>
                </w:tc>
              </w:tr>
              <w:tr w:rsidR="00471D53" w14:paraId="7C0455E5" w14:textId="77777777" w:rsidTr="00471D53">
                <w:sdt>
                  <w:sdtPr>
                    <w:tag w:val="_PLD_29a78e59f2b441018bc188661adf1a5e"/>
                    <w:id w:val="-606651061"/>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02B726E1" w14:textId="77777777" w:rsidR="00471D53" w:rsidRDefault="004F686E" w:rsidP="00471D53">
                        <w:pPr>
                          <w:ind w:firstLineChars="100" w:firstLine="210"/>
                          <w:rPr>
                            <w:color w:val="000000"/>
                            <w:szCs w:val="21"/>
                          </w:rPr>
                        </w:pPr>
                        <w:r>
                          <w:rPr>
                            <w:rFonts w:hint="eastAsia"/>
                            <w:szCs w:val="21"/>
                          </w:rPr>
                          <w:t>取得借款收到的现金</w:t>
                        </w:r>
                      </w:p>
                    </w:tc>
                  </w:sdtContent>
                </w:sdt>
                <w:tc>
                  <w:tcPr>
                    <w:tcW w:w="995" w:type="pct"/>
                    <w:tcBorders>
                      <w:top w:val="outset" w:sz="4" w:space="0" w:color="auto"/>
                      <w:left w:val="outset" w:sz="4" w:space="0" w:color="auto"/>
                      <w:bottom w:val="outset" w:sz="4" w:space="0" w:color="auto"/>
                      <w:right w:val="outset" w:sz="4" w:space="0" w:color="auto"/>
                    </w:tcBorders>
                  </w:tcPr>
                  <w:p w14:paraId="3564608A" w14:textId="77777777" w:rsidR="00471D53" w:rsidRDefault="00B664AF">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14:paraId="66D853BD" w14:textId="77777777" w:rsidR="00471D53" w:rsidRDefault="004F686E">
                    <w:pPr>
                      <w:jc w:val="center"/>
                      <w:rPr>
                        <w:color w:val="FFFFFF"/>
                        <w:sz w:val="22"/>
                        <w:szCs w:val="22"/>
                      </w:rPr>
                    </w:pPr>
                    <w:r>
                      <w:rPr>
                        <w:rFonts w:hint="eastAsia"/>
                        <w:color w:val="FFFFFF"/>
                        <w:sz w:val="22"/>
                        <w:szCs w:val="22"/>
                      </w:rPr>
                      <w:t xml:space="preserve">　</w:t>
                    </w:r>
                  </w:p>
                </w:tc>
                <w:tc>
                  <w:tcPr>
                    <w:tcW w:w="1152" w:type="pct"/>
                    <w:tcBorders>
                      <w:top w:val="outset" w:sz="4" w:space="0" w:color="auto"/>
                      <w:left w:val="outset" w:sz="4" w:space="0" w:color="auto"/>
                      <w:bottom w:val="outset" w:sz="4" w:space="0" w:color="auto"/>
                      <w:right w:val="outset" w:sz="4" w:space="0" w:color="auto"/>
                    </w:tcBorders>
                    <w:vAlign w:val="center"/>
                  </w:tcPr>
                  <w:p w14:paraId="1411700D" w14:textId="77777777" w:rsidR="00471D53" w:rsidRDefault="004F686E">
                    <w:pPr>
                      <w:rPr>
                        <w:color w:val="FFFFFF"/>
                        <w:sz w:val="22"/>
                        <w:szCs w:val="22"/>
                      </w:rPr>
                    </w:pPr>
                    <w:r>
                      <w:rPr>
                        <w:rFonts w:hint="eastAsia"/>
                        <w:color w:val="FFFFFF"/>
                        <w:sz w:val="22"/>
                        <w:szCs w:val="22"/>
                      </w:rPr>
                      <w:t xml:space="preserve">　</w:t>
                    </w:r>
                  </w:p>
                </w:tc>
              </w:tr>
              <w:tr w:rsidR="00471D53" w14:paraId="0C8B6F1E" w14:textId="77777777" w:rsidTr="00471D53">
                <w:sdt>
                  <w:sdtPr>
                    <w:tag w:val="_PLD_26d354b07ee94d2e97e821e5194c14a8"/>
                    <w:id w:val="-1407834140"/>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4D6034B7" w14:textId="77777777" w:rsidR="00471D53" w:rsidRDefault="004F686E" w:rsidP="00471D53">
                        <w:pPr>
                          <w:ind w:firstLineChars="100" w:firstLine="210"/>
                          <w:rPr>
                            <w:color w:val="000000"/>
                            <w:szCs w:val="21"/>
                          </w:rPr>
                        </w:pPr>
                        <w:r>
                          <w:rPr>
                            <w:rFonts w:hint="eastAsia"/>
                            <w:szCs w:val="21"/>
                          </w:rPr>
                          <w:t>收到其他与筹资活动有关的现金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14:paraId="0876A9CB" w14:textId="77777777" w:rsidR="00471D53" w:rsidRDefault="00B664AF">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14:paraId="4B5C8ABD" w14:textId="77777777" w:rsidR="00471D53" w:rsidRDefault="004F686E">
                    <w:pPr>
                      <w:jc w:val="center"/>
                      <w:rPr>
                        <w:color w:val="FFFFFF"/>
                        <w:sz w:val="22"/>
                        <w:szCs w:val="22"/>
                      </w:rPr>
                    </w:pPr>
                    <w:r>
                      <w:rPr>
                        <w:rFonts w:hint="eastAsia"/>
                        <w:color w:val="FFFFFF"/>
                        <w:sz w:val="22"/>
                        <w:szCs w:val="22"/>
                      </w:rPr>
                      <w:t xml:space="preserve">　</w:t>
                    </w:r>
                  </w:p>
                </w:tc>
                <w:tc>
                  <w:tcPr>
                    <w:tcW w:w="1152" w:type="pct"/>
                    <w:tcBorders>
                      <w:top w:val="outset" w:sz="4" w:space="0" w:color="auto"/>
                      <w:left w:val="outset" w:sz="4" w:space="0" w:color="auto"/>
                      <w:bottom w:val="outset" w:sz="4" w:space="0" w:color="auto"/>
                      <w:right w:val="outset" w:sz="4" w:space="0" w:color="auto"/>
                    </w:tcBorders>
                    <w:vAlign w:val="center"/>
                  </w:tcPr>
                  <w:p w14:paraId="38436521" w14:textId="77777777" w:rsidR="00471D53" w:rsidRDefault="004F686E">
                    <w:pPr>
                      <w:rPr>
                        <w:color w:val="FFFFFF"/>
                        <w:sz w:val="22"/>
                        <w:szCs w:val="22"/>
                      </w:rPr>
                    </w:pPr>
                    <w:r>
                      <w:rPr>
                        <w:rFonts w:hint="eastAsia"/>
                        <w:color w:val="FFFFFF"/>
                        <w:sz w:val="22"/>
                        <w:szCs w:val="22"/>
                      </w:rPr>
                      <w:t xml:space="preserve">　</w:t>
                    </w:r>
                  </w:p>
                </w:tc>
              </w:tr>
              <w:tr w:rsidR="00471D53" w14:paraId="22B239DF" w14:textId="77777777" w:rsidTr="00471D53">
                <w:sdt>
                  <w:sdtPr>
                    <w:tag w:val="_PLD_63d48c10d6aa4cf680f8a0d28834aa5a"/>
                    <w:id w:val="-1747726828"/>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5C329A5A" w14:textId="77777777" w:rsidR="00471D53" w:rsidRDefault="004F686E" w:rsidP="00471D53">
                        <w:pPr>
                          <w:ind w:firstLineChars="200" w:firstLine="420"/>
                          <w:rPr>
                            <w:color w:val="000000"/>
                            <w:szCs w:val="21"/>
                          </w:rPr>
                        </w:pPr>
                        <w:r>
                          <w:rPr>
                            <w:rFonts w:hint="eastAsia"/>
                            <w:szCs w:val="21"/>
                          </w:rPr>
                          <w:t>筹资活动现金流入小计</w:t>
                        </w:r>
                      </w:p>
                    </w:tc>
                  </w:sdtContent>
                </w:sdt>
                <w:tc>
                  <w:tcPr>
                    <w:tcW w:w="995" w:type="pct"/>
                    <w:tcBorders>
                      <w:top w:val="outset" w:sz="4" w:space="0" w:color="auto"/>
                      <w:left w:val="outset" w:sz="4" w:space="0" w:color="auto"/>
                      <w:bottom w:val="outset" w:sz="4" w:space="0" w:color="auto"/>
                      <w:right w:val="outset" w:sz="4" w:space="0" w:color="auto"/>
                    </w:tcBorders>
                  </w:tcPr>
                  <w:p w14:paraId="24F48F40" w14:textId="77777777" w:rsidR="00471D53" w:rsidRDefault="00B664AF">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14:paraId="55286164" w14:textId="4AA3053D" w:rsidR="00471D53" w:rsidRDefault="004F686E">
                    <w:pPr>
                      <w:jc w:val="right"/>
                      <w:rPr>
                        <w:color w:val="FFFFFF"/>
                        <w:sz w:val="22"/>
                        <w:szCs w:val="22"/>
                      </w:rPr>
                    </w:pPr>
                    <w:r>
                      <w:rPr>
                        <w:rFonts w:hint="eastAsia"/>
                        <w:color w:val="FFFFFF"/>
                        <w:sz w:val="22"/>
                        <w:szCs w:val="22"/>
                      </w:rPr>
                      <w:t>-</w:t>
                    </w:r>
                  </w:p>
                </w:tc>
                <w:tc>
                  <w:tcPr>
                    <w:tcW w:w="1152" w:type="pct"/>
                    <w:tcBorders>
                      <w:top w:val="outset" w:sz="4" w:space="0" w:color="auto"/>
                      <w:left w:val="outset" w:sz="4" w:space="0" w:color="auto"/>
                      <w:bottom w:val="outset" w:sz="4" w:space="0" w:color="auto"/>
                      <w:right w:val="outset" w:sz="4" w:space="0" w:color="auto"/>
                    </w:tcBorders>
                    <w:vAlign w:val="center"/>
                  </w:tcPr>
                  <w:p w14:paraId="092D1CB0" w14:textId="34986687" w:rsidR="00471D53" w:rsidRDefault="004F686E">
                    <w:pPr>
                      <w:jc w:val="right"/>
                      <w:rPr>
                        <w:sz w:val="22"/>
                        <w:szCs w:val="22"/>
                      </w:rPr>
                    </w:pPr>
                    <w:r>
                      <w:rPr>
                        <w:rFonts w:hint="eastAsia"/>
                        <w:sz w:val="22"/>
                        <w:szCs w:val="22"/>
                      </w:rPr>
                      <w:t>211,111,360.00</w:t>
                    </w:r>
                  </w:p>
                </w:tc>
              </w:tr>
              <w:tr w:rsidR="00471D53" w14:paraId="30991ADE" w14:textId="77777777" w:rsidTr="00AA0DE7">
                <w:sdt>
                  <w:sdtPr>
                    <w:tag w:val="_PLD_8162d7f78ec54a5485f64b75ffbfce7d"/>
                    <w:id w:val="1288323803"/>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2A62E0C0" w14:textId="77777777" w:rsidR="00471D53" w:rsidRDefault="004F686E" w:rsidP="00471D53">
                        <w:pPr>
                          <w:ind w:firstLineChars="100" w:firstLine="210"/>
                          <w:rPr>
                            <w:szCs w:val="21"/>
                          </w:rPr>
                        </w:pPr>
                        <w:r>
                          <w:rPr>
                            <w:rFonts w:hint="eastAsia"/>
                            <w:szCs w:val="21"/>
                          </w:rPr>
                          <w:t>偿还债务支付的现金</w:t>
                        </w:r>
                      </w:p>
                    </w:tc>
                  </w:sdtContent>
                </w:sdt>
                <w:tc>
                  <w:tcPr>
                    <w:tcW w:w="995" w:type="pct"/>
                    <w:tcBorders>
                      <w:top w:val="outset" w:sz="4" w:space="0" w:color="auto"/>
                      <w:left w:val="outset" w:sz="4" w:space="0" w:color="auto"/>
                      <w:bottom w:val="outset" w:sz="4" w:space="0" w:color="auto"/>
                      <w:right w:val="outset" w:sz="4" w:space="0" w:color="auto"/>
                    </w:tcBorders>
                  </w:tcPr>
                  <w:p w14:paraId="531F78EE" w14:textId="77777777" w:rsidR="00471D53" w:rsidRDefault="00B664AF">
                    <w:pPr>
                      <w:rPr>
                        <w:szCs w:val="21"/>
                      </w:rPr>
                    </w:pPr>
                  </w:p>
                </w:tc>
                <w:tc>
                  <w:tcPr>
                    <w:tcW w:w="1158" w:type="pct"/>
                    <w:tcBorders>
                      <w:top w:val="outset" w:sz="4" w:space="0" w:color="auto"/>
                      <w:left w:val="outset" w:sz="4" w:space="0" w:color="auto"/>
                      <w:bottom w:val="outset" w:sz="4" w:space="0" w:color="auto"/>
                      <w:right w:val="outset" w:sz="4" w:space="0" w:color="auto"/>
                    </w:tcBorders>
                  </w:tcPr>
                  <w:p w14:paraId="796F2B0F" w14:textId="77777777" w:rsidR="00471D53" w:rsidRDefault="00B664AF">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14:paraId="38D3CE2B" w14:textId="77777777" w:rsidR="00471D53" w:rsidRDefault="00B664AF">
                    <w:pPr>
                      <w:jc w:val="right"/>
                      <w:rPr>
                        <w:szCs w:val="21"/>
                      </w:rPr>
                    </w:pPr>
                  </w:p>
                </w:tc>
              </w:tr>
              <w:tr w:rsidR="00471D53" w14:paraId="6B27B957" w14:textId="77777777" w:rsidTr="00AA0DE7">
                <w:sdt>
                  <w:sdtPr>
                    <w:tag w:val="_PLD_0b61ad2acef9490ba6b84477b3518635"/>
                    <w:id w:val="224107196"/>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7CA888EB" w14:textId="77777777" w:rsidR="00471D53" w:rsidRDefault="004F686E" w:rsidP="00471D53">
                        <w:pPr>
                          <w:ind w:firstLineChars="100" w:firstLine="210"/>
                          <w:rPr>
                            <w:szCs w:val="21"/>
                          </w:rPr>
                        </w:pPr>
                        <w:r>
                          <w:rPr>
                            <w:rFonts w:hint="eastAsia"/>
                            <w:szCs w:val="21"/>
                          </w:rPr>
                          <w:t>分配股利、利润或偿付利息支付的现金</w:t>
                        </w:r>
                      </w:p>
                    </w:tc>
                  </w:sdtContent>
                </w:sdt>
                <w:tc>
                  <w:tcPr>
                    <w:tcW w:w="995" w:type="pct"/>
                    <w:tcBorders>
                      <w:top w:val="outset" w:sz="4" w:space="0" w:color="auto"/>
                      <w:left w:val="outset" w:sz="4" w:space="0" w:color="auto"/>
                      <w:bottom w:val="outset" w:sz="4" w:space="0" w:color="auto"/>
                      <w:right w:val="outset" w:sz="4" w:space="0" w:color="auto"/>
                    </w:tcBorders>
                  </w:tcPr>
                  <w:p w14:paraId="1FB89F55" w14:textId="77777777" w:rsidR="00471D53" w:rsidRDefault="00B664AF">
                    <w:pPr>
                      <w:rPr>
                        <w:szCs w:val="21"/>
                      </w:rPr>
                    </w:pPr>
                  </w:p>
                </w:tc>
                <w:tc>
                  <w:tcPr>
                    <w:tcW w:w="1158" w:type="pct"/>
                    <w:tcBorders>
                      <w:top w:val="outset" w:sz="4" w:space="0" w:color="auto"/>
                      <w:left w:val="outset" w:sz="4" w:space="0" w:color="auto"/>
                      <w:bottom w:val="outset" w:sz="4" w:space="0" w:color="auto"/>
                      <w:right w:val="outset" w:sz="4" w:space="0" w:color="auto"/>
                    </w:tcBorders>
                  </w:tcPr>
                  <w:p w14:paraId="08C53DA0" w14:textId="77777777" w:rsidR="00471D53" w:rsidRDefault="00B664AF">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14:paraId="11D9CA04" w14:textId="77777777" w:rsidR="00471D53" w:rsidRDefault="00B664AF">
                    <w:pPr>
                      <w:jc w:val="right"/>
                      <w:rPr>
                        <w:szCs w:val="21"/>
                      </w:rPr>
                    </w:pPr>
                  </w:p>
                </w:tc>
              </w:tr>
              <w:tr w:rsidR="00471D53" w14:paraId="08B6F785" w14:textId="77777777" w:rsidTr="00AA0DE7">
                <w:sdt>
                  <w:sdtPr>
                    <w:tag w:val="_PLD_871424c9704b4bd5aa50d3ae77d051a8"/>
                    <w:id w:val="1872877380"/>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6DFE4027" w14:textId="77777777" w:rsidR="00471D53" w:rsidRDefault="004F686E" w:rsidP="00471D53">
                        <w:pPr>
                          <w:ind w:firstLineChars="100" w:firstLine="210"/>
                          <w:rPr>
                            <w:color w:val="000000"/>
                            <w:szCs w:val="21"/>
                          </w:rPr>
                        </w:pPr>
                        <w:r>
                          <w:rPr>
                            <w:rFonts w:hint="eastAsia"/>
                            <w:szCs w:val="21"/>
                          </w:rPr>
                          <w:t>支付其他与筹资活动有关的现金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14:paraId="3F7A1B0E" w14:textId="77777777" w:rsidR="00471D53" w:rsidRDefault="00B664AF">
                    <w:pPr>
                      <w:rPr>
                        <w:szCs w:val="21"/>
                      </w:rPr>
                    </w:pPr>
                  </w:p>
                </w:tc>
                <w:tc>
                  <w:tcPr>
                    <w:tcW w:w="1158" w:type="pct"/>
                    <w:tcBorders>
                      <w:top w:val="outset" w:sz="4" w:space="0" w:color="auto"/>
                      <w:left w:val="outset" w:sz="4" w:space="0" w:color="auto"/>
                      <w:bottom w:val="outset" w:sz="4" w:space="0" w:color="auto"/>
                      <w:right w:val="outset" w:sz="4" w:space="0" w:color="auto"/>
                    </w:tcBorders>
                  </w:tcPr>
                  <w:p w14:paraId="4A6CBD6E" w14:textId="77777777" w:rsidR="00471D53" w:rsidRDefault="00B664AF">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14:paraId="48ABFA87" w14:textId="77777777" w:rsidR="00471D53" w:rsidRDefault="00B664AF">
                    <w:pPr>
                      <w:jc w:val="right"/>
                      <w:rPr>
                        <w:szCs w:val="21"/>
                      </w:rPr>
                    </w:pPr>
                  </w:p>
                </w:tc>
              </w:tr>
              <w:tr w:rsidR="00471D53" w14:paraId="4369A83E" w14:textId="77777777" w:rsidTr="00AA0DE7">
                <w:sdt>
                  <w:sdtPr>
                    <w:tag w:val="_PLD_9927c735ed5d4c919f65e1a111425aa6"/>
                    <w:id w:val="-1308081491"/>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6E426110" w14:textId="77777777" w:rsidR="00471D53" w:rsidRDefault="004F686E" w:rsidP="00471D53">
                        <w:pPr>
                          <w:ind w:firstLineChars="200" w:firstLine="420"/>
                          <w:rPr>
                            <w:color w:val="000000"/>
                            <w:szCs w:val="21"/>
                          </w:rPr>
                        </w:pPr>
                        <w:r>
                          <w:rPr>
                            <w:rFonts w:hint="eastAsia"/>
                            <w:szCs w:val="21"/>
                          </w:rPr>
                          <w:t>筹资活动现金流出小计</w:t>
                        </w:r>
                      </w:p>
                    </w:tc>
                  </w:sdtContent>
                </w:sdt>
                <w:tc>
                  <w:tcPr>
                    <w:tcW w:w="995" w:type="pct"/>
                    <w:tcBorders>
                      <w:top w:val="outset" w:sz="4" w:space="0" w:color="auto"/>
                      <w:left w:val="outset" w:sz="4" w:space="0" w:color="auto"/>
                      <w:bottom w:val="outset" w:sz="4" w:space="0" w:color="auto"/>
                      <w:right w:val="outset" w:sz="4" w:space="0" w:color="auto"/>
                    </w:tcBorders>
                  </w:tcPr>
                  <w:p w14:paraId="11495EFF" w14:textId="77777777" w:rsidR="00471D53" w:rsidRDefault="00B664AF">
                    <w:pPr>
                      <w:rPr>
                        <w:szCs w:val="21"/>
                      </w:rPr>
                    </w:pPr>
                  </w:p>
                </w:tc>
                <w:tc>
                  <w:tcPr>
                    <w:tcW w:w="1158" w:type="pct"/>
                    <w:tcBorders>
                      <w:top w:val="outset" w:sz="4" w:space="0" w:color="auto"/>
                      <w:left w:val="outset" w:sz="4" w:space="0" w:color="auto"/>
                      <w:bottom w:val="outset" w:sz="4" w:space="0" w:color="auto"/>
                      <w:right w:val="outset" w:sz="4" w:space="0" w:color="auto"/>
                    </w:tcBorders>
                  </w:tcPr>
                  <w:p w14:paraId="46CE1B5A" w14:textId="77777777" w:rsidR="00471D53" w:rsidRDefault="00B664AF">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14:paraId="6BFC26CE" w14:textId="77777777" w:rsidR="00471D53" w:rsidRDefault="00B664AF">
                    <w:pPr>
                      <w:jc w:val="right"/>
                      <w:rPr>
                        <w:szCs w:val="21"/>
                      </w:rPr>
                    </w:pPr>
                  </w:p>
                </w:tc>
              </w:tr>
              <w:tr w:rsidR="00471D53" w14:paraId="542AFA73" w14:textId="77777777" w:rsidTr="00471D53">
                <w:sdt>
                  <w:sdtPr>
                    <w:tag w:val="_PLD_19be081a78e64a56ac141df3af5fc043"/>
                    <w:id w:val="771130623"/>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476832A8" w14:textId="77777777" w:rsidR="00471D53" w:rsidRDefault="004F686E" w:rsidP="00471D53">
                        <w:pPr>
                          <w:ind w:firstLineChars="300" w:firstLine="630"/>
                          <w:rPr>
                            <w:color w:val="000000"/>
                            <w:szCs w:val="21"/>
                          </w:rPr>
                        </w:pPr>
                        <w:r>
                          <w:rPr>
                            <w:rFonts w:hint="eastAsia"/>
                            <w:szCs w:val="21"/>
                          </w:rPr>
                          <w:t>筹资活动产生的现金流量净额</w:t>
                        </w:r>
                      </w:p>
                    </w:tc>
                  </w:sdtContent>
                </w:sdt>
                <w:tc>
                  <w:tcPr>
                    <w:tcW w:w="995" w:type="pct"/>
                    <w:tcBorders>
                      <w:top w:val="outset" w:sz="4" w:space="0" w:color="auto"/>
                      <w:left w:val="outset" w:sz="4" w:space="0" w:color="auto"/>
                      <w:bottom w:val="outset" w:sz="4" w:space="0" w:color="auto"/>
                      <w:right w:val="outset" w:sz="4" w:space="0" w:color="auto"/>
                    </w:tcBorders>
                  </w:tcPr>
                  <w:p w14:paraId="1F901274" w14:textId="77777777" w:rsidR="00471D53" w:rsidRDefault="00B664AF">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14:paraId="75209C9E" w14:textId="1A878ADC" w:rsidR="00471D53" w:rsidRDefault="004F686E">
                    <w:pPr>
                      <w:jc w:val="right"/>
                      <w:rPr>
                        <w:color w:val="FFFFFF"/>
                        <w:sz w:val="22"/>
                        <w:szCs w:val="22"/>
                      </w:rPr>
                    </w:pPr>
                    <w:r>
                      <w:rPr>
                        <w:rFonts w:hint="eastAsia"/>
                        <w:color w:val="FFFFFF"/>
                        <w:sz w:val="22"/>
                        <w:szCs w:val="22"/>
                      </w:rPr>
                      <w:t>-</w:t>
                    </w:r>
                  </w:p>
                </w:tc>
                <w:tc>
                  <w:tcPr>
                    <w:tcW w:w="1152" w:type="pct"/>
                    <w:tcBorders>
                      <w:top w:val="outset" w:sz="4" w:space="0" w:color="auto"/>
                      <w:left w:val="outset" w:sz="4" w:space="0" w:color="auto"/>
                      <w:bottom w:val="outset" w:sz="4" w:space="0" w:color="auto"/>
                      <w:right w:val="outset" w:sz="4" w:space="0" w:color="auto"/>
                    </w:tcBorders>
                    <w:vAlign w:val="center"/>
                  </w:tcPr>
                  <w:p w14:paraId="7F25473D" w14:textId="07DF3E11" w:rsidR="00471D53" w:rsidRDefault="004F686E">
                    <w:pPr>
                      <w:jc w:val="right"/>
                      <w:rPr>
                        <w:sz w:val="22"/>
                        <w:szCs w:val="22"/>
                      </w:rPr>
                    </w:pPr>
                    <w:r>
                      <w:rPr>
                        <w:rFonts w:hint="eastAsia"/>
                        <w:sz w:val="22"/>
                        <w:szCs w:val="22"/>
                      </w:rPr>
                      <w:t>211,111,360.00</w:t>
                    </w:r>
                  </w:p>
                </w:tc>
              </w:tr>
              <w:tr w:rsidR="00471D53" w14:paraId="786AB41A" w14:textId="77777777" w:rsidTr="00AA0DE7">
                <w:sdt>
                  <w:sdtPr>
                    <w:tag w:val="_PLD_297da387d2e74132aff7cc22c8d8bb95"/>
                    <w:id w:val="-1923791198"/>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0FD70165" w14:textId="77777777" w:rsidR="00471D53" w:rsidRDefault="004F686E">
                        <w:pPr>
                          <w:rPr>
                            <w:color w:val="000000"/>
                            <w:szCs w:val="21"/>
                          </w:rPr>
                        </w:pPr>
                        <w:r>
                          <w:rPr>
                            <w:rFonts w:hint="eastAsia"/>
                            <w:b/>
                            <w:bCs/>
                            <w:szCs w:val="21"/>
                          </w:rPr>
                          <w:t>四、汇率变动对现金及现金等价物的影响</w:t>
                        </w:r>
                      </w:p>
                    </w:tc>
                  </w:sdtContent>
                </w:sdt>
                <w:tc>
                  <w:tcPr>
                    <w:tcW w:w="995" w:type="pct"/>
                    <w:tcBorders>
                      <w:top w:val="outset" w:sz="4" w:space="0" w:color="auto"/>
                      <w:left w:val="outset" w:sz="4" w:space="0" w:color="auto"/>
                      <w:bottom w:val="outset" w:sz="4" w:space="0" w:color="auto"/>
                      <w:right w:val="outset" w:sz="4" w:space="0" w:color="auto"/>
                    </w:tcBorders>
                  </w:tcPr>
                  <w:p w14:paraId="4818F770" w14:textId="77777777" w:rsidR="00471D53" w:rsidRDefault="00B664AF">
                    <w:pPr>
                      <w:rPr>
                        <w:szCs w:val="21"/>
                      </w:rPr>
                    </w:pPr>
                  </w:p>
                </w:tc>
                <w:tc>
                  <w:tcPr>
                    <w:tcW w:w="1158" w:type="pct"/>
                    <w:tcBorders>
                      <w:top w:val="outset" w:sz="4" w:space="0" w:color="auto"/>
                      <w:left w:val="outset" w:sz="4" w:space="0" w:color="auto"/>
                      <w:bottom w:val="outset" w:sz="4" w:space="0" w:color="auto"/>
                      <w:right w:val="outset" w:sz="4" w:space="0" w:color="auto"/>
                    </w:tcBorders>
                  </w:tcPr>
                  <w:p w14:paraId="00D95FA2" w14:textId="77777777" w:rsidR="00471D53" w:rsidRDefault="00B664AF">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14:paraId="2E366919" w14:textId="77777777" w:rsidR="00471D53" w:rsidRDefault="00B664AF">
                    <w:pPr>
                      <w:jc w:val="right"/>
                      <w:rPr>
                        <w:szCs w:val="21"/>
                      </w:rPr>
                    </w:pPr>
                  </w:p>
                </w:tc>
              </w:tr>
              <w:tr w:rsidR="00471D53" w14:paraId="3DD2B4FC" w14:textId="77777777" w:rsidTr="00471D53">
                <w:sdt>
                  <w:sdtPr>
                    <w:tag w:val="_PLD_088346aec88c4c41a0051140dc375359"/>
                    <w:id w:val="-151057247"/>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308C54DA" w14:textId="77777777" w:rsidR="00471D53" w:rsidRDefault="004F686E">
                        <w:pPr>
                          <w:rPr>
                            <w:color w:val="000000"/>
                            <w:szCs w:val="21"/>
                          </w:rPr>
                        </w:pPr>
                        <w:r>
                          <w:rPr>
                            <w:rFonts w:hint="eastAsia"/>
                            <w:b/>
                            <w:bCs/>
                            <w:szCs w:val="21"/>
                          </w:rPr>
                          <w:t>五、现金及现金等价物净增加额</w:t>
                        </w:r>
                      </w:p>
                    </w:tc>
                  </w:sdtContent>
                </w:sdt>
                <w:tc>
                  <w:tcPr>
                    <w:tcW w:w="995" w:type="pct"/>
                    <w:tcBorders>
                      <w:top w:val="outset" w:sz="4" w:space="0" w:color="auto"/>
                      <w:left w:val="outset" w:sz="4" w:space="0" w:color="auto"/>
                      <w:bottom w:val="outset" w:sz="4" w:space="0" w:color="auto"/>
                      <w:right w:val="outset" w:sz="4" w:space="0" w:color="auto"/>
                    </w:tcBorders>
                  </w:tcPr>
                  <w:p w14:paraId="30C0D0FE" w14:textId="77777777" w:rsidR="00471D53" w:rsidRDefault="00B664AF">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14:paraId="701E7730" w14:textId="03A7C792" w:rsidR="00471D53" w:rsidRDefault="004F686E">
                    <w:pPr>
                      <w:jc w:val="right"/>
                      <w:rPr>
                        <w:sz w:val="22"/>
                        <w:szCs w:val="22"/>
                      </w:rPr>
                    </w:pPr>
                    <w:r>
                      <w:rPr>
                        <w:rFonts w:hint="eastAsia"/>
                        <w:sz w:val="22"/>
                        <w:szCs w:val="22"/>
                      </w:rPr>
                      <w:t>-164,451.31</w:t>
                    </w:r>
                  </w:p>
                </w:tc>
                <w:tc>
                  <w:tcPr>
                    <w:tcW w:w="1152" w:type="pct"/>
                    <w:tcBorders>
                      <w:top w:val="outset" w:sz="4" w:space="0" w:color="auto"/>
                      <w:left w:val="outset" w:sz="4" w:space="0" w:color="auto"/>
                      <w:bottom w:val="outset" w:sz="4" w:space="0" w:color="auto"/>
                      <w:right w:val="outset" w:sz="4" w:space="0" w:color="auto"/>
                    </w:tcBorders>
                    <w:vAlign w:val="center"/>
                  </w:tcPr>
                  <w:p w14:paraId="5BCF6140" w14:textId="1EE6DE3B" w:rsidR="00471D53" w:rsidRDefault="004F686E">
                    <w:pPr>
                      <w:jc w:val="right"/>
                      <w:rPr>
                        <w:sz w:val="22"/>
                        <w:szCs w:val="22"/>
                      </w:rPr>
                    </w:pPr>
                    <w:r>
                      <w:rPr>
                        <w:rFonts w:hint="eastAsia"/>
                        <w:sz w:val="22"/>
                        <w:szCs w:val="22"/>
                      </w:rPr>
                      <w:t>210,011,553.55</w:t>
                    </w:r>
                  </w:p>
                </w:tc>
              </w:tr>
              <w:tr w:rsidR="00471D53" w14:paraId="2413B339" w14:textId="77777777" w:rsidTr="00471D53">
                <w:sdt>
                  <w:sdtPr>
                    <w:tag w:val="_PLD_782deef70bc446e795d750d3d14aefbe"/>
                    <w:id w:val="-804766070"/>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5775EE21" w14:textId="77777777" w:rsidR="00471D53" w:rsidRDefault="004F686E" w:rsidP="00471D53">
                        <w:pPr>
                          <w:ind w:firstLineChars="100" w:firstLine="210"/>
                          <w:rPr>
                            <w:color w:val="000000"/>
                            <w:szCs w:val="21"/>
                          </w:rPr>
                        </w:pPr>
                        <w:r>
                          <w:rPr>
                            <w:rFonts w:hint="eastAsia"/>
                            <w:szCs w:val="21"/>
                          </w:rPr>
                          <w:t>加：期初现金及现金等价物余额</w:t>
                        </w:r>
                      </w:p>
                    </w:tc>
                  </w:sdtContent>
                </w:sdt>
                <w:tc>
                  <w:tcPr>
                    <w:tcW w:w="995" w:type="pct"/>
                    <w:tcBorders>
                      <w:top w:val="outset" w:sz="4" w:space="0" w:color="auto"/>
                      <w:left w:val="outset" w:sz="4" w:space="0" w:color="auto"/>
                      <w:bottom w:val="outset" w:sz="4" w:space="0" w:color="auto"/>
                      <w:right w:val="outset" w:sz="4" w:space="0" w:color="auto"/>
                    </w:tcBorders>
                  </w:tcPr>
                  <w:p w14:paraId="358D166C" w14:textId="77777777" w:rsidR="00471D53" w:rsidRDefault="00B664AF">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14:paraId="00A20FB2" w14:textId="4DDB6015" w:rsidR="00471D53" w:rsidRDefault="004F686E">
                    <w:pPr>
                      <w:jc w:val="right"/>
                      <w:rPr>
                        <w:sz w:val="22"/>
                        <w:szCs w:val="22"/>
                      </w:rPr>
                    </w:pPr>
                    <w:r>
                      <w:rPr>
                        <w:rFonts w:hint="eastAsia"/>
                        <w:sz w:val="22"/>
                        <w:szCs w:val="22"/>
                      </w:rPr>
                      <w:t>3,275,360.33</w:t>
                    </w:r>
                  </w:p>
                </w:tc>
                <w:tc>
                  <w:tcPr>
                    <w:tcW w:w="1152" w:type="pct"/>
                    <w:tcBorders>
                      <w:top w:val="outset" w:sz="4" w:space="0" w:color="auto"/>
                      <w:left w:val="outset" w:sz="4" w:space="0" w:color="auto"/>
                      <w:bottom w:val="outset" w:sz="4" w:space="0" w:color="auto"/>
                      <w:right w:val="outset" w:sz="4" w:space="0" w:color="auto"/>
                    </w:tcBorders>
                    <w:vAlign w:val="center"/>
                  </w:tcPr>
                  <w:p w14:paraId="6440C6B3" w14:textId="4195EDE6" w:rsidR="00471D53" w:rsidRDefault="004F686E">
                    <w:pPr>
                      <w:jc w:val="right"/>
                      <w:rPr>
                        <w:sz w:val="22"/>
                        <w:szCs w:val="22"/>
                      </w:rPr>
                    </w:pPr>
                    <w:r>
                      <w:rPr>
                        <w:rFonts w:hint="eastAsia"/>
                        <w:sz w:val="22"/>
                        <w:szCs w:val="22"/>
                      </w:rPr>
                      <w:t>1,111,993.77</w:t>
                    </w:r>
                  </w:p>
                </w:tc>
              </w:tr>
              <w:tr w:rsidR="00471D53" w14:paraId="355E6F58" w14:textId="77777777" w:rsidTr="00471D53">
                <w:sdt>
                  <w:sdtPr>
                    <w:tag w:val="_PLD_ec70667dbbb64ee5a6d36588cda942f9"/>
                    <w:id w:val="1956526350"/>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22CF49C1" w14:textId="77777777" w:rsidR="00471D53" w:rsidRDefault="004F686E">
                        <w:pPr>
                          <w:rPr>
                            <w:color w:val="000000"/>
                            <w:szCs w:val="21"/>
                          </w:rPr>
                        </w:pPr>
                        <w:r>
                          <w:rPr>
                            <w:rFonts w:hint="eastAsia"/>
                            <w:b/>
                            <w:bCs/>
                            <w:szCs w:val="21"/>
                          </w:rPr>
                          <w:t>六、期末现金及现金等价物余额</w:t>
                        </w:r>
                      </w:p>
                    </w:tc>
                  </w:sdtContent>
                </w:sdt>
                <w:tc>
                  <w:tcPr>
                    <w:tcW w:w="995" w:type="pct"/>
                    <w:tcBorders>
                      <w:top w:val="outset" w:sz="4" w:space="0" w:color="auto"/>
                      <w:left w:val="outset" w:sz="4" w:space="0" w:color="auto"/>
                      <w:bottom w:val="outset" w:sz="4" w:space="0" w:color="auto"/>
                      <w:right w:val="outset" w:sz="4" w:space="0" w:color="auto"/>
                    </w:tcBorders>
                  </w:tcPr>
                  <w:p w14:paraId="753269E2" w14:textId="77777777" w:rsidR="00471D53" w:rsidRDefault="00B664AF">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14:paraId="2A150495" w14:textId="3643DC28" w:rsidR="00471D53" w:rsidRDefault="004F686E">
                    <w:pPr>
                      <w:jc w:val="right"/>
                      <w:rPr>
                        <w:sz w:val="22"/>
                        <w:szCs w:val="22"/>
                      </w:rPr>
                    </w:pPr>
                    <w:r>
                      <w:rPr>
                        <w:rFonts w:hint="eastAsia"/>
                        <w:sz w:val="22"/>
                        <w:szCs w:val="22"/>
                      </w:rPr>
                      <w:t>3,110,909.02</w:t>
                    </w:r>
                  </w:p>
                </w:tc>
                <w:tc>
                  <w:tcPr>
                    <w:tcW w:w="1152" w:type="pct"/>
                    <w:tcBorders>
                      <w:top w:val="outset" w:sz="4" w:space="0" w:color="auto"/>
                      <w:left w:val="outset" w:sz="4" w:space="0" w:color="auto"/>
                      <w:bottom w:val="outset" w:sz="4" w:space="0" w:color="auto"/>
                      <w:right w:val="outset" w:sz="4" w:space="0" w:color="auto"/>
                    </w:tcBorders>
                    <w:vAlign w:val="center"/>
                  </w:tcPr>
                  <w:p w14:paraId="035D825A" w14:textId="7E362687" w:rsidR="00471D53" w:rsidRDefault="004F686E">
                    <w:pPr>
                      <w:jc w:val="right"/>
                      <w:rPr>
                        <w:sz w:val="22"/>
                        <w:szCs w:val="22"/>
                      </w:rPr>
                    </w:pPr>
                    <w:r>
                      <w:rPr>
                        <w:rFonts w:hint="eastAsia"/>
                        <w:sz w:val="22"/>
                        <w:szCs w:val="22"/>
                      </w:rPr>
                      <w:t>211,123,547.32</w:t>
                    </w:r>
                  </w:p>
                </w:tc>
              </w:tr>
            </w:tbl>
            <w:p w14:paraId="287B92FA" w14:textId="77777777" w:rsidR="001279EE" w:rsidRDefault="00B664AF" w:rsidP="00471D53">
              <w:pPr>
                <w:snapToGrid w:val="0"/>
                <w:spacing w:line="240" w:lineRule="atLeast"/>
                <w:ind w:rightChars="-73" w:right="-153"/>
                <w:rPr>
                  <w:szCs w:val="21"/>
                </w:rPr>
              </w:pPr>
            </w:p>
            <w:p w14:paraId="02E242BD" w14:textId="086ECFC3" w:rsidR="00471D53" w:rsidRDefault="004F686E" w:rsidP="00471D53">
              <w:pPr>
                <w:snapToGrid w:val="0"/>
                <w:spacing w:line="240" w:lineRule="atLeast"/>
                <w:ind w:rightChars="-73" w:right="-153"/>
                <w:rPr>
                  <w:b/>
                  <w:bCs/>
                  <w:color w:val="FF0000"/>
                  <w:szCs w:val="21"/>
                </w:rPr>
              </w:pPr>
              <w:r>
                <w:rPr>
                  <w:szCs w:val="21"/>
                </w:rPr>
                <w:t>公司负责人</w:t>
              </w:r>
              <w:r>
                <w:rPr>
                  <w:rFonts w:hint="eastAsia"/>
                  <w:szCs w:val="21"/>
                </w:rPr>
                <w:t>：</w:t>
              </w:r>
              <w:sdt>
                <w:sdtPr>
                  <w:rPr>
                    <w:rFonts w:hint="eastAsia"/>
                    <w:szCs w:val="21"/>
                  </w:rPr>
                  <w:alias w:val="公司负责人"/>
                  <w:tag w:val="_GBC_b872f4b10a12453987b2d73dfe2a5ff9"/>
                  <w:id w:val="585506647"/>
                  <w:lock w:val="sdtLocked"/>
                  <w:placeholder>
                    <w:docPart w:val="GBC22222222222222222222222222222"/>
                  </w:placeholder>
                  <w:dataBinding w:prefixMappings="xmlns:clcid-mr='clcid-mr'" w:xpath="/*/clcid-mr:GongSiFuZeRenXingMing[not(@periodRef)]" w:storeItemID="{89EBAB94-44A0-46A2-B712-30D997D04A6D}"/>
                  <w:text/>
                </w:sdtPr>
                <w:sdtEndPr/>
                <w:sdtContent>
                  <w:r w:rsidR="00FC65A7">
                    <w:rPr>
                      <w:rFonts w:hint="eastAsia"/>
                      <w:szCs w:val="21"/>
                    </w:rPr>
                    <w:t>王军先生</w:t>
                  </w:r>
                </w:sdtContent>
              </w:sdt>
              <w:r w:rsidR="00A436AE">
                <w:rPr>
                  <w:szCs w:val="21"/>
                </w:rPr>
                <w:t xml:space="preserve"> </w:t>
              </w:r>
              <w:r>
                <w:rPr>
                  <w:szCs w:val="21"/>
                </w:rPr>
                <w:t>主管会计工作负责人</w:t>
              </w:r>
              <w:r>
                <w:rPr>
                  <w:rFonts w:hint="eastAsia"/>
                  <w:szCs w:val="21"/>
                </w:rPr>
                <w:t>：</w:t>
              </w:r>
              <w:sdt>
                <w:sdtPr>
                  <w:rPr>
                    <w:rFonts w:hint="eastAsia"/>
                    <w:szCs w:val="21"/>
                  </w:rPr>
                  <w:alias w:val="主管会计工作负责人姓名"/>
                  <w:tag w:val="_GBC_29443dd8858043c68f8217b05d1e3346"/>
                  <w:id w:val="-1854329006"/>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FC65A7">
                    <w:rPr>
                      <w:rFonts w:hint="eastAsia"/>
                      <w:szCs w:val="21"/>
                    </w:rPr>
                    <w:t>姜驰女士</w:t>
                  </w:r>
                </w:sdtContent>
              </w:sdt>
              <w:r w:rsidR="00A436AE">
                <w:rPr>
                  <w:szCs w:val="21"/>
                </w:rPr>
                <w:t xml:space="preserve"> </w:t>
              </w:r>
              <w:r>
                <w:rPr>
                  <w:szCs w:val="21"/>
                </w:rPr>
                <w:t>会计机构负责人</w:t>
              </w:r>
              <w:r>
                <w:rPr>
                  <w:rFonts w:hint="eastAsia"/>
                  <w:szCs w:val="21"/>
                </w:rPr>
                <w:t>：</w:t>
              </w:r>
              <w:sdt>
                <w:sdtPr>
                  <w:rPr>
                    <w:rFonts w:hint="eastAsia"/>
                    <w:szCs w:val="21"/>
                  </w:rPr>
                  <w:alias w:val="会计机构负责人姓名"/>
                  <w:tag w:val="_GBC_952065710c0f41709539d877935c1903"/>
                  <w:id w:val="-1468888162"/>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szCs w:val="21"/>
                    </w:rPr>
                    <w:t>王艳东先生</w:t>
                  </w:r>
                </w:sdtContent>
              </w:sdt>
            </w:p>
          </w:sdtContent>
        </w:sdt>
        <w:p w14:paraId="188C06AB" w14:textId="77777777" w:rsidR="00471D53" w:rsidRDefault="00B664AF">
          <w:pPr>
            <w:rPr>
              <w:b/>
              <w:bCs/>
              <w:color w:val="FF0000"/>
              <w:szCs w:val="21"/>
            </w:rPr>
          </w:pPr>
        </w:p>
      </w:sdtContent>
    </w:sdt>
    <w:bookmarkEnd w:id="83" w:displacedByCustomXml="prev"/>
    <w:p w14:paraId="2F6E6384" w14:textId="77777777" w:rsidR="00471D53" w:rsidRDefault="00B664AF">
      <w:pPr>
        <w:rPr>
          <w:szCs w:val="21"/>
        </w:rPr>
        <w:sectPr w:rsidR="00471D53" w:rsidSect="004860B6">
          <w:pgSz w:w="11906" w:h="16838"/>
          <w:pgMar w:top="1525" w:right="1276" w:bottom="1440" w:left="1797" w:header="851" w:footer="992" w:gutter="0"/>
          <w:cols w:space="425"/>
          <w:docGrid w:linePitch="312"/>
        </w:sectPr>
      </w:pPr>
    </w:p>
    <w:bookmarkStart w:id="84" w:name="_Hlk10211858" w:displacedByCustomXml="next"/>
    <w:sdt>
      <w:sdtPr>
        <w:rPr>
          <w:rFonts w:ascii="宋体" w:hAnsi="宋体" w:cs="宋体"/>
          <w:b w:val="0"/>
          <w:bCs w:val="0"/>
          <w:kern w:val="0"/>
          <w:szCs w:val="24"/>
        </w:rPr>
        <w:alias w:val="选项模块:需要编制合并报表"/>
        <w:tag w:val="_GBC_3b1dcbfa33024cc0a5c2f3d693817342"/>
        <w:id w:val="-1835909785"/>
        <w:lock w:val="sdtLocked"/>
        <w:placeholder>
          <w:docPart w:val="GBC22222222222222222222222222222"/>
        </w:placeholder>
      </w:sdtPr>
      <w:sdtEndPr>
        <w:rPr>
          <w:color w:val="FF0000"/>
        </w:rPr>
      </w:sdtEndPr>
      <w:sdtContent>
        <w:sdt>
          <w:sdtPr>
            <w:rPr>
              <w:rFonts w:ascii="宋体" w:hAnsi="宋体" w:cs="宋体"/>
              <w:b w:val="0"/>
              <w:bCs w:val="0"/>
              <w:kern w:val="0"/>
              <w:szCs w:val="24"/>
            </w:rPr>
            <w:tag w:val="_GBC_3eeab460b9b64d53b91f5e0ddcd3030f"/>
            <w:id w:val="-1160928015"/>
            <w:lock w:val="sdtLocked"/>
            <w:placeholder>
              <w:docPart w:val="GBC22222222222222222222222222222"/>
            </w:placeholder>
          </w:sdtPr>
          <w:sdtEndPr>
            <w:rPr>
              <w:rFonts w:hint="eastAsia"/>
              <w:szCs w:val="21"/>
            </w:rPr>
          </w:sdtEndPr>
          <w:sdtContent>
            <w:p w14:paraId="38EC85FC" w14:textId="77777777" w:rsidR="00471D53" w:rsidRDefault="004F686E">
              <w:pPr>
                <w:pStyle w:val="afffff7"/>
                <w:jc w:val="center"/>
                <w:rPr>
                  <w:rFonts w:ascii="宋体" w:hAnsi="宋体"/>
                </w:rPr>
              </w:pPr>
              <w:r>
                <w:rPr>
                  <w:rFonts w:ascii="宋体" w:hAnsi="宋体"/>
                </w:rPr>
                <w:t>合并</w:t>
              </w:r>
              <w:r>
                <w:rPr>
                  <w:rFonts w:ascii="宋体" w:hAnsi="宋体" w:hint="eastAsia"/>
                </w:rPr>
                <w:t>所有者权益变动表</w:t>
              </w:r>
            </w:p>
            <w:p w14:paraId="64DCF5E0" w14:textId="77777777" w:rsidR="00471D53" w:rsidRDefault="004F686E" w:rsidP="00471D53">
              <w:pPr>
                <w:tabs>
                  <w:tab w:val="left" w:pos="10080"/>
                </w:tabs>
                <w:snapToGrid w:val="0"/>
                <w:spacing w:line="240" w:lineRule="atLeast"/>
                <w:ind w:rightChars="12" w:right="25"/>
                <w:jc w:val="center"/>
                <w:rPr>
                  <w:szCs w:val="21"/>
                </w:rPr>
              </w:pPr>
              <w:r>
                <w:rPr>
                  <w:szCs w:val="21"/>
                </w:rPr>
                <w:t>2021年</w:t>
              </w:r>
              <w:r>
                <w:rPr>
                  <w:rFonts w:hint="eastAsia"/>
                  <w:szCs w:val="21"/>
                </w:rPr>
                <w:t>1—6月</w:t>
              </w:r>
            </w:p>
            <w:p w14:paraId="0BD190B5" w14:textId="6A17F53E" w:rsidR="00471D53" w:rsidRDefault="004F686E">
              <w:pPr>
                <w:tabs>
                  <w:tab w:val="left" w:pos="10080"/>
                </w:tabs>
                <w:snapToGrid w:val="0"/>
                <w:spacing w:line="240" w:lineRule="atLeast"/>
                <w:jc w:val="right"/>
                <w:rPr>
                  <w:szCs w:val="21"/>
                </w:rPr>
              </w:pPr>
              <w:r>
                <w:rPr>
                  <w:szCs w:val="21"/>
                </w:rPr>
                <w:t>单位：</w:t>
              </w:r>
              <w:sdt>
                <w:sdtPr>
                  <w:rPr>
                    <w:szCs w:val="21"/>
                  </w:rPr>
                  <w:alias w:val="单位：合并股东权益调节表"/>
                  <w:tag w:val="_GBC_57faea4e453e49ad93821b7dd6ce8bc4"/>
                  <w:id w:val="-128927038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元</w:t>
                  </w:r>
                </w:sdtContent>
              </w:sdt>
              <w:r>
                <w:rPr>
                  <w:szCs w:val="21"/>
                </w:rPr>
                <w:t>币种：</w:t>
              </w:r>
              <w:sdt>
                <w:sdtPr>
                  <w:rPr>
                    <w:szCs w:val="21"/>
                  </w:rPr>
                  <w:alias w:val="币种：合并股东权益调节表"/>
                  <w:tag w:val="_GBC_cef77704267643d794145c73763360e5"/>
                  <w:id w:val="17367444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1266"/>
                <w:gridCol w:w="396"/>
                <w:gridCol w:w="396"/>
                <w:gridCol w:w="396"/>
                <w:gridCol w:w="1266"/>
                <w:gridCol w:w="576"/>
                <w:gridCol w:w="966"/>
                <w:gridCol w:w="396"/>
                <w:gridCol w:w="1191"/>
                <w:gridCol w:w="396"/>
                <w:gridCol w:w="1266"/>
                <w:gridCol w:w="396"/>
                <w:gridCol w:w="1266"/>
                <w:gridCol w:w="1266"/>
                <w:gridCol w:w="1416"/>
              </w:tblGrid>
              <w:tr w:rsidR="00471D53" w14:paraId="67EC6CDB" w14:textId="77777777" w:rsidTr="00471D53">
                <w:trPr>
                  <w:cantSplit/>
                </w:trPr>
                <w:tc>
                  <w:tcPr>
                    <w:tcW w:w="385" w:type="pct"/>
                    <w:vMerge w:val="restart"/>
                    <w:vAlign w:val="center"/>
                  </w:tcPr>
                  <w:sdt>
                    <w:sdtPr>
                      <w:rPr>
                        <w:rFonts w:hint="eastAsia"/>
                        <w:sz w:val="18"/>
                        <w:szCs w:val="18"/>
                      </w:rPr>
                      <w:tag w:val="_PLD_5bd68ed5796041328d1a003c1362ceaf"/>
                      <w:id w:val="-923339556"/>
                      <w:lock w:val="sdtLocked"/>
                    </w:sdtPr>
                    <w:sdtEndPr/>
                    <w:sdtContent>
                      <w:p w14:paraId="5A589B92" w14:textId="77777777" w:rsidR="00471D53" w:rsidRDefault="004F686E">
                        <w:pPr>
                          <w:snapToGrid w:val="0"/>
                          <w:spacing w:line="240" w:lineRule="atLeast"/>
                          <w:jc w:val="center"/>
                          <w:rPr>
                            <w:sz w:val="18"/>
                            <w:szCs w:val="18"/>
                          </w:rPr>
                        </w:pPr>
                        <w:r>
                          <w:rPr>
                            <w:rFonts w:hint="eastAsia"/>
                            <w:sz w:val="18"/>
                            <w:szCs w:val="18"/>
                          </w:rPr>
                          <w:t>项目</w:t>
                        </w:r>
                      </w:p>
                    </w:sdtContent>
                  </w:sdt>
                </w:tc>
                <w:tc>
                  <w:tcPr>
                    <w:tcW w:w="4615" w:type="pct"/>
                    <w:gridSpan w:val="15"/>
                    <w:vAlign w:val="center"/>
                  </w:tcPr>
                  <w:p w14:paraId="0393EDCC" w14:textId="77777777" w:rsidR="00471D53" w:rsidRDefault="00B664AF" w:rsidP="00471D53">
                    <w:pPr>
                      <w:snapToGrid w:val="0"/>
                      <w:spacing w:line="240" w:lineRule="atLeast"/>
                      <w:ind w:rightChars="-759" w:right="-1594"/>
                      <w:jc w:val="center"/>
                    </w:pPr>
                    <w:sdt>
                      <w:sdtPr>
                        <w:tag w:val="_PLD_70c71cd0427542b1b96a0fa943173d3d"/>
                        <w:id w:val="353083169"/>
                        <w:lock w:val="sdtLocked"/>
                      </w:sdtPr>
                      <w:sdtEndPr/>
                      <w:sdtContent>
                        <w:r w:rsidR="004F686E">
                          <w:rPr>
                            <w:rFonts w:hint="eastAsia"/>
                            <w:sz w:val="18"/>
                            <w:szCs w:val="18"/>
                          </w:rPr>
                          <w:t>2021年半年度</w:t>
                        </w:r>
                      </w:sdtContent>
                    </w:sdt>
                  </w:p>
                </w:tc>
              </w:tr>
              <w:tr w:rsidR="00471D53" w14:paraId="29DC720F" w14:textId="77777777" w:rsidTr="00471D53">
                <w:trPr>
                  <w:cantSplit/>
                  <w:trHeight w:val="540"/>
                </w:trPr>
                <w:tc>
                  <w:tcPr>
                    <w:tcW w:w="385" w:type="pct"/>
                    <w:vMerge/>
                  </w:tcPr>
                  <w:p w14:paraId="7418F93A" w14:textId="77777777" w:rsidR="00471D53" w:rsidRDefault="00B664AF" w:rsidP="00471D53">
                    <w:pPr>
                      <w:snapToGrid w:val="0"/>
                      <w:spacing w:line="240" w:lineRule="atLeast"/>
                      <w:ind w:rightChars="-759" w:right="-1594"/>
                      <w:rPr>
                        <w:sz w:val="18"/>
                        <w:szCs w:val="18"/>
                      </w:rPr>
                    </w:pPr>
                  </w:p>
                </w:tc>
                <w:sdt>
                  <w:sdtPr>
                    <w:tag w:val="_PLD_e146ec74496c4c03a714dcef40faa972"/>
                    <w:id w:val="321165152"/>
                    <w:lock w:val="sdtLocked"/>
                  </w:sdtPr>
                  <w:sdtEndPr/>
                  <w:sdtContent>
                    <w:tc>
                      <w:tcPr>
                        <w:tcW w:w="3663" w:type="pct"/>
                        <w:gridSpan w:val="13"/>
                        <w:vAlign w:val="center"/>
                      </w:tcPr>
                      <w:p w14:paraId="7D1E26F2" w14:textId="77777777" w:rsidR="00471D53" w:rsidRDefault="004F686E">
                        <w:pPr>
                          <w:jc w:val="center"/>
                        </w:pPr>
                        <w:r>
                          <w:rPr>
                            <w:sz w:val="18"/>
                            <w:szCs w:val="18"/>
                          </w:rPr>
                          <w:t>归属于母公司所有者权益</w:t>
                        </w:r>
                      </w:p>
                    </w:tc>
                  </w:sdtContent>
                </w:sdt>
                <w:sdt>
                  <w:sdtPr>
                    <w:tag w:val="_PLD_b1ca85c50c1341e59b4b412e92d87f2f"/>
                    <w:id w:val="-1775086041"/>
                    <w:lock w:val="sdtLocked"/>
                  </w:sdtPr>
                  <w:sdtEndPr/>
                  <w:sdtContent>
                    <w:tc>
                      <w:tcPr>
                        <w:tcW w:w="449" w:type="pct"/>
                        <w:vMerge w:val="restart"/>
                        <w:vAlign w:val="center"/>
                      </w:tcPr>
                      <w:p w14:paraId="470E5CAA" w14:textId="77777777" w:rsidR="00471D53" w:rsidRDefault="004F686E">
                        <w:pPr>
                          <w:jc w:val="center"/>
                          <w:rPr>
                            <w:sz w:val="18"/>
                            <w:szCs w:val="18"/>
                          </w:rPr>
                        </w:pPr>
                        <w:r>
                          <w:rPr>
                            <w:sz w:val="18"/>
                            <w:szCs w:val="18"/>
                          </w:rPr>
                          <w:t>少数股东权益</w:t>
                        </w:r>
                      </w:p>
                    </w:tc>
                  </w:sdtContent>
                </w:sdt>
                <w:sdt>
                  <w:sdtPr>
                    <w:tag w:val="_PLD_0e252e0d00f04386b93d4e3064ba423d"/>
                    <w:id w:val="1692874574"/>
                    <w:lock w:val="sdtLocked"/>
                  </w:sdtPr>
                  <w:sdtEndPr/>
                  <w:sdtContent>
                    <w:tc>
                      <w:tcPr>
                        <w:tcW w:w="503" w:type="pct"/>
                        <w:vMerge w:val="restart"/>
                        <w:vAlign w:val="center"/>
                      </w:tcPr>
                      <w:p w14:paraId="67973DD7" w14:textId="77777777" w:rsidR="00471D53" w:rsidRDefault="004F686E">
                        <w:pPr>
                          <w:jc w:val="center"/>
                          <w:rPr>
                            <w:sz w:val="18"/>
                            <w:szCs w:val="18"/>
                          </w:rPr>
                        </w:pPr>
                        <w:r>
                          <w:rPr>
                            <w:sz w:val="18"/>
                            <w:szCs w:val="18"/>
                          </w:rPr>
                          <w:t>所有者权益合计</w:t>
                        </w:r>
                      </w:p>
                    </w:tc>
                  </w:sdtContent>
                </w:sdt>
              </w:tr>
              <w:tr w:rsidR="00471D53" w14:paraId="5C29CA30" w14:textId="77777777" w:rsidTr="00471D53">
                <w:trPr>
                  <w:cantSplit/>
                  <w:trHeight w:val="352"/>
                </w:trPr>
                <w:tc>
                  <w:tcPr>
                    <w:tcW w:w="385" w:type="pct"/>
                    <w:vMerge/>
                  </w:tcPr>
                  <w:p w14:paraId="09107667" w14:textId="77777777" w:rsidR="00471D53" w:rsidRDefault="00B664AF" w:rsidP="00471D53">
                    <w:pPr>
                      <w:snapToGrid w:val="0"/>
                      <w:spacing w:line="240" w:lineRule="atLeast"/>
                      <w:ind w:rightChars="-759" w:right="-1594"/>
                      <w:rPr>
                        <w:sz w:val="18"/>
                        <w:szCs w:val="18"/>
                      </w:rPr>
                    </w:pPr>
                  </w:p>
                </w:tc>
                <w:sdt>
                  <w:sdtPr>
                    <w:tag w:val="_PLD_1605afb5a60946a9ba86cca783d492d3"/>
                    <w:id w:val="-87076612"/>
                    <w:lock w:val="sdtLocked"/>
                  </w:sdtPr>
                  <w:sdtEndPr/>
                  <w:sdtContent>
                    <w:tc>
                      <w:tcPr>
                        <w:tcW w:w="449" w:type="pct"/>
                        <w:vMerge w:val="restart"/>
                        <w:vAlign w:val="center"/>
                      </w:tcPr>
                      <w:p w14:paraId="579B15CC" w14:textId="342847AE" w:rsidR="00471D53" w:rsidRDefault="004F686E">
                        <w:pPr>
                          <w:snapToGrid w:val="0"/>
                          <w:spacing w:line="240" w:lineRule="atLeast"/>
                          <w:jc w:val="center"/>
                          <w:rPr>
                            <w:sz w:val="18"/>
                            <w:szCs w:val="18"/>
                          </w:rPr>
                        </w:pPr>
                        <w:r>
                          <w:rPr>
                            <w:rFonts w:hint="eastAsia"/>
                            <w:sz w:val="18"/>
                            <w:szCs w:val="18"/>
                          </w:rPr>
                          <w:t>实收资本</w:t>
                        </w:r>
                        <w:r>
                          <w:rPr>
                            <w:sz w:val="18"/>
                            <w:szCs w:val="18"/>
                          </w:rPr>
                          <w:t>(或股本)</w:t>
                        </w:r>
                      </w:p>
                    </w:tc>
                  </w:sdtContent>
                </w:sdt>
                <w:sdt>
                  <w:sdtPr>
                    <w:tag w:val="_PLD_78f5e518a65d422c99d27d23e96afb9e"/>
                    <w:id w:val="542186367"/>
                    <w:lock w:val="sdtLocked"/>
                  </w:sdtPr>
                  <w:sdtEndPr/>
                  <w:sdtContent>
                    <w:tc>
                      <w:tcPr>
                        <w:tcW w:w="422" w:type="pct"/>
                        <w:gridSpan w:val="3"/>
                        <w:vAlign w:val="center"/>
                      </w:tcPr>
                      <w:p w14:paraId="35D190A5" w14:textId="77777777" w:rsidR="00471D53" w:rsidRDefault="004F686E">
                        <w:pPr>
                          <w:snapToGrid w:val="0"/>
                          <w:spacing w:line="240" w:lineRule="atLeast"/>
                          <w:jc w:val="center"/>
                          <w:rPr>
                            <w:sz w:val="18"/>
                            <w:szCs w:val="18"/>
                          </w:rPr>
                        </w:pPr>
                        <w:r>
                          <w:rPr>
                            <w:rFonts w:hint="eastAsia"/>
                            <w:sz w:val="18"/>
                            <w:szCs w:val="18"/>
                          </w:rPr>
                          <w:t>其他权益工具</w:t>
                        </w:r>
                      </w:p>
                    </w:tc>
                  </w:sdtContent>
                </w:sdt>
                <w:sdt>
                  <w:sdtPr>
                    <w:tag w:val="_PLD_f67d05ac9f6f4daaafdf90084911dcee"/>
                    <w:id w:val="702599226"/>
                    <w:lock w:val="sdtLocked"/>
                  </w:sdtPr>
                  <w:sdtEndPr/>
                  <w:sdtContent>
                    <w:tc>
                      <w:tcPr>
                        <w:tcW w:w="449" w:type="pct"/>
                        <w:vMerge w:val="restart"/>
                        <w:vAlign w:val="center"/>
                      </w:tcPr>
                      <w:p w14:paraId="414699B4" w14:textId="77777777" w:rsidR="00471D53" w:rsidRDefault="004F686E">
                        <w:pPr>
                          <w:snapToGrid w:val="0"/>
                          <w:spacing w:line="240" w:lineRule="atLeast"/>
                          <w:jc w:val="center"/>
                          <w:rPr>
                            <w:sz w:val="18"/>
                            <w:szCs w:val="18"/>
                          </w:rPr>
                        </w:pPr>
                        <w:r>
                          <w:rPr>
                            <w:rFonts w:hint="eastAsia"/>
                            <w:sz w:val="18"/>
                            <w:szCs w:val="18"/>
                          </w:rPr>
                          <w:t>资本公积</w:t>
                        </w:r>
                      </w:p>
                    </w:tc>
                  </w:sdtContent>
                </w:sdt>
                <w:sdt>
                  <w:sdtPr>
                    <w:tag w:val="_PLD_21df11f52b3443acacf7dd8421b5cc67"/>
                    <w:id w:val="-1751418440"/>
                    <w:lock w:val="sdtLocked"/>
                  </w:sdtPr>
                  <w:sdtEndPr/>
                  <w:sdtContent>
                    <w:tc>
                      <w:tcPr>
                        <w:tcW w:w="204" w:type="pct"/>
                        <w:vMerge w:val="restart"/>
                        <w:vAlign w:val="center"/>
                      </w:tcPr>
                      <w:p w14:paraId="44789522" w14:textId="77777777" w:rsidR="00471D53" w:rsidRDefault="004F686E">
                        <w:pPr>
                          <w:snapToGrid w:val="0"/>
                          <w:spacing w:line="240" w:lineRule="atLeast"/>
                          <w:jc w:val="center"/>
                          <w:rPr>
                            <w:sz w:val="18"/>
                            <w:szCs w:val="18"/>
                          </w:rPr>
                        </w:pPr>
                        <w:r>
                          <w:rPr>
                            <w:rFonts w:hint="eastAsia"/>
                            <w:sz w:val="18"/>
                            <w:szCs w:val="18"/>
                          </w:rPr>
                          <w:t>减：库存股</w:t>
                        </w:r>
                      </w:p>
                    </w:tc>
                  </w:sdtContent>
                </w:sdt>
                <w:sdt>
                  <w:sdtPr>
                    <w:tag w:val="_PLD_bdc12fd277ea4fbe9c90f9480d9ecddb"/>
                    <w:id w:val="-333994336"/>
                    <w:lock w:val="sdtLocked"/>
                  </w:sdtPr>
                  <w:sdtEndPr/>
                  <w:sdtContent>
                    <w:tc>
                      <w:tcPr>
                        <w:tcW w:w="369" w:type="pct"/>
                        <w:vMerge w:val="restart"/>
                        <w:vAlign w:val="center"/>
                      </w:tcPr>
                      <w:p w14:paraId="3EB6A4FB" w14:textId="77777777" w:rsidR="00471D53" w:rsidRDefault="004F686E">
                        <w:pPr>
                          <w:snapToGrid w:val="0"/>
                          <w:spacing w:line="240" w:lineRule="atLeast"/>
                          <w:jc w:val="center"/>
                          <w:rPr>
                            <w:sz w:val="18"/>
                            <w:szCs w:val="18"/>
                          </w:rPr>
                        </w:pPr>
                        <w:r>
                          <w:rPr>
                            <w:rFonts w:hint="eastAsia"/>
                            <w:sz w:val="18"/>
                            <w:szCs w:val="18"/>
                          </w:rPr>
                          <w:t>其他综合收益</w:t>
                        </w:r>
                      </w:p>
                    </w:tc>
                  </w:sdtContent>
                </w:sdt>
                <w:sdt>
                  <w:sdtPr>
                    <w:tag w:val="_PLD_b4aa95f4be904a02958b77b5542bb78d"/>
                    <w:id w:val="-1169472461"/>
                    <w:lock w:val="sdtLocked"/>
                  </w:sdtPr>
                  <w:sdtEndPr/>
                  <w:sdtContent>
                    <w:tc>
                      <w:tcPr>
                        <w:tcW w:w="141" w:type="pct"/>
                        <w:vMerge w:val="restart"/>
                        <w:vAlign w:val="center"/>
                      </w:tcPr>
                      <w:p w14:paraId="49DA55BF" w14:textId="77777777" w:rsidR="00471D53" w:rsidRDefault="004F686E">
                        <w:pPr>
                          <w:snapToGrid w:val="0"/>
                          <w:spacing w:line="240" w:lineRule="atLeast"/>
                          <w:jc w:val="center"/>
                          <w:rPr>
                            <w:sz w:val="18"/>
                            <w:szCs w:val="18"/>
                          </w:rPr>
                        </w:pPr>
                        <w:r>
                          <w:rPr>
                            <w:rFonts w:hint="eastAsia"/>
                            <w:sz w:val="18"/>
                            <w:szCs w:val="18"/>
                          </w:rPr>
                          <w:t>专项储备</w:t>
                        </w:r>
                      </w:p>
                    </w:tc>
                  </w:sdtContent>
                </w:sdt>
                <w:sdt>
                  <w:sdtPr>
                    <w:tag w:val="_PLD_1ee8f47ee38e4000af64e781a1a0e729"/>
                    <w:id w:val="-1407836142"/>
                    <w:lock w:val="sdtLocked"/>
                  </w:sdtPr>
                  <w:sdtEndPr/>
                  <w:sdtContent>
                    <w:tc>
                      <w:tcPr>
                        <w:tcW w:w="423" w:type="pct"/>
                        <w:vMerge w:val="restart"/>
                        <w:vAlign w:val="center"/>
                      </w:tcPr>
                      <w:p w14:paraId="3B713B0B" w14:textId="77777777" w:rsidR="00471D53" w:rsidRDefault="004F686E">
                        <w:pPr>
                          <w:snapToGrid w:val="0"/>
                          <w:spacing w:line="240" w:lineRule="atLeast"/>
                          <w:jc w:val="center"/>
                          <w:rPr>
                            <w:sz w:val="18"/>
                            <w:szCs w:val="18"/>
                          </w:rPr>
                        </w:pPr>
                        <w:r>
                          <w:rPr>
                            <w:rFonts w:hint="eastAsia"/>
                            <w:sz w:val="18"/>
                            <w:szCs w:val="18"/>
                          </w:rPr>
                          <w:t>盈余公积</w:t>
                        </w:r>
                      </w:p>
                    </w:tc>
                  </w:sdtContent>
                </w:sdt>
                <w:sdt>
                  <w:sdtPr>
                    <w:tag w:val="_PLD_b09258af0aa4494b8e88e711ca2dd7b8"/>
                    <w:id w:val="-1702388919"/>
                    <w:lock w:val="sdtLocked"/>
                  </w:sdtPr>
                  <w:sdtEndPr/>
                  <w:sdtContent>
                    <w:tc>
                      <w:tcPr>
                        <w:tcW w:w="141" w:type="pct"/>
                        <w:vMerge w:val="restart"/>
                        <w:vAlign w:val="center"/>
                      </w:tcPr>
                      <w:p w14:paraId="452142F9" w14:textId="77777777" w:rsidR="00471D53" w:rsidRDefault="004F686E">
                        <w:pPr>
                          <w:snapToGrid w:val="0"/>
                          <w:spacing w:line="240" w:lineRule="atLeast"/>
                          <w:jc w:val="center"/>
                          <w:rPr>
                            <w:sz w:val="18"/>
                            <w:szCs w:val="18"/>
                          </w:rPr>
                        </w:pPr>
                        <w:r>
                          <w:rPr>
                            <w:rFonts w:hint="eastAsia"/>
                            <w:sz w:val="18"/>
                            <w:szCs w:val="18"/>
                          </w:rPr>
                          <w:t>一般风险准备</w:t>
                        </w:r>
                      </w:p>
                    </w:tc>
                  </w:sdtContent>
                </w:sdt>
                <w:sdt>
                  <w:sdtPr>
                    <w:tag w:val="_PLD_f20054bead0a491aafe7bb5a5952f48f"/>
                    <w:id w:val="-1441681688"/>
                    <w:lock w:val="sdtLocked"/>
                  </w:sdtPr>
                  <w:sdtEndPr/>
                  <w:sdtContent>
                    <w:tc>
                      <w:tcPr>
                        <w:tcW w:w="476" w:type="pct"/>
                        <w:vMerge w:val="restart"/>
                        <w:vAlign w:val="center"/>
                      </w:tcPr>
                      <w:p w14:paraId="69D4CA4E" w14:textId="77777777" w:rsidR="00471D53" w:rsidRDefault="004F686E">
                        <w:pPr>
                          <w:snapToGrid w:val="0"/>
                          <w:spacing w:line="240" w:lineRule="atLeast"/>
                          <w:jc w:val="center"/>
                          <w:rPr>
                            <w:sz w:val="18"/>
                            <w:szCs w:val="18"/>
                          </w:rPr>
                        </w:pPr>
                        <w:r>
                          <w:rPr>
                            <w:rFonts w:hint="eastAsia"/>
                            <w:sz w:val="18"/>
                            <w:szCs w:val="18"/>
                          </w:rPr>
                          <w:t>未分配利润</w:t>
                        </w:r>
                      </w:p>
                    </w:tc>
                  </w:sdtContent>
                </w:sdt>
                <w:tc>
                  <w:tcPr>
                    <w:tcW w:w="141" w:type="pct"/>
                    <w:vMerge w:val="restart"/>
                    <w:vAlign w:val="center"/>
                  </w:tcPr>
                  <w:sdt>
                    <w:sdtPr>
                      <w:rPr>
                        <w:rFonts w:hint="eastAsia"/>
                        <w:sz w:val="18"/>
                        <w:szCs w:val="18"/>
                      </w:rPr>
                      <w:tag w:val="_PLD_ee763dfa69fd4fa3bec927cefa83eadc"/>
                      <w:id w:val="1837957397"/>
                      <w:lock w:val="sdtLocked"/>
                    </w:sdtPr>
                    <w:sdtEndPr/>
                    <w:sdtContent>
                      <w:p w14:paraId="6ABF9D38" w14:textId="77777777" w:rsidR="00471D53" w:rsidRDefault="004F686E">
                        <w:pPr>
                          <w:jc w:val="center"/>
                          <w:rPr>
                            <w:sz w:val="18"/>
                            <w:szCs w:val="18"/>
                          </w:rPr>
                        </w:pPr>
                        <w:r>
                          <w:rPr>
                            <w:rFonts w:hint="eastAsia"/>
                            <w:sz w:val="18"/>
                            <w:szCs w:val="18"/>
                          </w:rPr>
                          <w:t>其他</w:t>
                        </w:r>
                      </w:p>
                    </w:sdtContent>
                  </w:sdt>
                </w:tc>
                <w:tc>
                  <w:tcPr>
                    <w:tcW w:w="449" w:type="pct"/>
                    <w:vMerge w:val="restart"/>
                    <w:vAlign w:val="center"/>
                  </w:tcPr>
                  <w:sdt>
                    <w:sdtPr>
                      <w:rPr>
                        <w:rFonts w:hint="eastAsia"/>
                        <w:sz w:val="18"/>
                        <w:szCs w:val="18"/>
                      </w:rPr>
                      <w:tag w:val="_PLD_97c92cf2be1e4f36880a16a2c16704b4"/>
                      <w:id w:val="-1124159570"/>
                      <w:lock w:val="sdtLocked"/>
                    </w:sdtPr>
                    <w:sdtEndPr/>
                    <w:sdtContent>
                      <w:p w14:paraId="4F7DB408" w14:textId="77777777" w:rsidR="00471D53" w:rsidRDefault="004F686E">
                        <w:pPr>
                          <w:jc w:val="center"/>
                          <w:rPr>
                            <w:sz w:val="18"/>
                            <w:szCs w:val="18"/>
                          </w:rPr>
                        </w:pPr>
                        <w:r>
                          <w:rPr>
                            <w:rFonts w:hint="eastAsia"/>
                            <w:sz w:val="18"/>
                            <w:szCs w:val="18"/>
                          </w:rPr>
                          <w:t>小计</w:t>
                        </w:r>
                      </w:p>
                    </w:sdtContent>
                  </w:sdt>
                </w:tc>
                <w:tc>
                  <w:tcPr>
                    <w:tcW w:w="449" w:type="pct"/>
                    <w:vMerge/>
                  </w:tcPr>
                  <w:p w14:paraId="236F020C" w14:textId="77777777" w:rsidR="00471D53" w:rsidRDefault="00B664AF">
                    <w:pPr>
                      <w:jc w:val="center"/>
                      <w:rPr>
                        <w:sz w:val="18"/>
                        <w:szCs w:val="18"/>
                      </w:rPr>
                    </w:pPr>
                  </w:p>
                </w:tc>
                <w:tc>
                  <w:tcPr>
                    <w:tcW w:w="503" w:type="pct"/>
                    <w:vMerge/>
                  </w:tcPr>
                  <w:p w14:paraId="74AE4213" w14:textId="77777777" w:rsidR="00471D53" w:rsidRDefault="00B664AF">
                    <w:pPr>
                      <w:jc w:val="center"/>
                      <w:rPr>
                        <w:sz w:val="18"/>
                        <w:szCs w:val="18"/>
                      </w:rPr>
                    </w:pPr>
                  </w:p>
                </w:tc>
              </w:tr>
              <w:tr w:rsidR="00471D53" w14:paraId="0622231C" w14:textId="77777777" w:rsidTr="00471D53">
                <w:trPr>
                  <w:cantSplit/>
                  <w:trHeight w:val="345"/>
                </w:trPr>
                <w:tc>
                  <w:tcPr>
                    <w:tcW w:w="385" w:type="pct"/>
                    <w:vMerge/>
                  </w:tcPr>
                  <w:p w14:paraId="4A3E73DF" w14:textId="77777777" w:rsidR="00471D53" w:rsidRDefault="00B664AF" w:rsidP="00471D53">
                    <w:pPr>
                      <w:snapToGrid w:val="0"/>
                      <w:spacing w:line="240" w:lineRule="atLeast"/>
                      <w:ind w:rightChars="-759" w:right="-1594"/>
                      <w:rPr>
                        <w:sz w:val="18"/>
                        <w:szCs w:val="18"/>
                      </w:rPr>
                    </w:pPr>
                  </w:p>
                </w:tc>
                <w:tc>
                  <w:tcPr>
                    <w:tcW w:w="449" w:type="pct"/>
                    <w:vMerge/>
                  </w:tcPr>
                  <w:p w14:paraId="58F00315" w14:textId="77777777" w:rsidR="00471D53" w:rsidRDefault="00B664AF">
                    <w:pPr>
                      <w:snapToGrid w:val="0"/>
                      <w:spacing w:line="240" w:lineRule="atLeast"/>
                      <w:jc w:val="center"/>
                      <w:rPr>
                        <w:sz w:val="18"/>
                        <w:szCs w:val="18"/>
                      </w:rPr>
                    </w:pPr>
                  </w:p>
                </w:tc>
                <w:sdt>
                  <w:sdtPr>
                    <w:tag w:val="_PLD_7b6493af25ff4e3986120f711cb3be4e"/>
                    <w:id w:val="267742353"/>
                    <w:lock w:val="sdtLocked"/>
                  </w:sdtPr>
                  <w:sdtEndPr/>
                  <w:sdtContent>
                    <w:tc>
                      <w:tcPr>
                        <w:tcW w:w="141" w:type="pct"/>
                        <w:vAlign w:val="center"/>
                      </w:tcPr>
                      <w:p w14:paraId="0AB32B00" w14:textId="77777777" w:rsidR="00471D53" w:rsidRDefault="004F686E">
                        <w:pPr>
                          <w:snapToGrid w:val="0"/>
                          <w:spacing w:line="240" w:lineRule="atLeast"/>
                          <w:jc w:val="center"/>
                          <w:rPr>
                            <w:sz w:val="18"/>
                            <w:szCs w:val="18"/>
                          </w:rPr>
                        </w:pPr>
                        <w:r>
                          <w:rPr>
                            <w:rFonts w:hint="eastAsia"/>
                            <w:sz w:val="18"/>
                            <w:szCs w:val="18"/>
                          </w:rPr>
                          <w:t>优先股</w:t>
                        </w:r>
                      </w:p>
                    </w:tc>
                  </w:sdtContent>
                </w:sdt>
                <w:sdt>
                  <w:sdtPr>
                    <w:tag w:val="_PLD_446c35c8857c4ad0bb648db82e104141"/>
                    <w:id w:val="1414741569"/>
                    <w:lock w:val="sdtLocked"/>
                  </w:sdtPr>
                  <w:sdtEndPr/>
                  <w:sdtContent>
                    <w:tc>
                      <w:tcPr>
                        <w:tcW w:w="141" w:type="pct"/>
                        <w:vAlign w:val="center"/>
                      </w:tcPr>
                      <w:p w14:paraId="21D04381" w14:textId="77777777" w:rsidR="00471D53" w:rsidRDefault="004F686E">
                        <w:pPr>
                          <w:snapToGrid w:val="0"/>
                          <w:spacing w:line="240" w:lineRule="atLeast"/>
                          <w:jc w:val="center"/>
                          <w:rPr>
                            <w:sz w:val="18"/>
                            <w:szCs w:val="18"/>
                          </w:rPr>
                        </w:pPr>
                        <w:r>
                          <w:rPr>
                            <w:rFonts w:hint="eastAsia"/>
                            <w:sz w:val="18"/>
                            <w:szCs w:val="18"/>
                          </w:rPr>
                          <w:t>永续债</w:t>
                        </w:r>
                      </w:p>
                    </w:tc>
                  </w:sdtContent>
                </w:sdt>
                <w:sdt>
                  <w:sdtPr>
                    <w:tag w:val="_PLD_e8048d05ab294ec8a2a849ca1f70a7c9"/>
                    <w:id w:val="-1867213228"/>
                    <w:lock w:val="sdtLocked"/>
                  </w:sdtPr>
                  <w:sdtEndPr/>
                  <w:sdtContent>
                    <w:tc>
                      <w:tcPr>
                        <w:tcW w:w="141" w:type="pct"/>
                        <w:vAlign w:val="center"/>
                      </w:tcPr>
                      <w:p w14:paraId="421F6449" w14:textId="77777777" w:rsidR="00471D53" w:rsidRDefault="004F686E">
                        <w:pPr>
                          <w:snapToGrid w:val="0"/>
                          <w:spacing w:line="240" w:lineRule="atLeast"/>
                          <w:jc w:val="center"/>
                          <w:rPr>
                            <w:sz w:val="18"/>
                            <w:szCs w:val="18"/>
                          </w:rPr>
                        </w:pPr>
                        <w:r>
                          <w:rPr>
                            <w:rFonts w:hint="eastAsia"/>
                            <w:sz w:val="18"/>
                            <w:szCs w:val="18"/>
                          </w:rPr>
                          <w:t>其他</w:t>
                        </w:r>
                      </w:p>
                    </w:tc>
                  </w:sdtContent>
                </w:sdt>
                <w:tc>
                  <w:tcPr>
                    <w:tcW w:w="449" w:type="pct"/>
                    <w:vMerge/>
                  </w:tcPr>
                  <w:p w14:paraId="27506789" w14:textId="77777777" w:rsidR="00471D53" w:rsidRDefault="00B664AF">
                    <w:pPr>
                      <w:snapToGrid w:val="0"/>
                      <w:spacing w:line="240" w:lineRule="atLeast"/>
                      <w:jc w:val="center"/>
                      <w:rPr>
                        <w:sz w:val="18"/>
                        <w:szCs w:val="18"/>
                      </w:rPr>
                    </w:pPr>
                  </w:p>
                </w:tc>
                <w:tc>
                  <w:tcPr>
                    <w:tcW w:w="204" w:type="pct"/>
                    <w:vMerge/>
                  </w:tcPr>
                  <w:p w14:paraId="52A0ADBD" w14:textId="77777777" w:rsidR="00471D53" w:rsidRDefault="00B664AF">
                    <w:pPr>
                      <w:snapToGrid w:val="0"/>
                      <w:spacing w:line="240" w:lineRule="atLeast"/>
                      <w:jc w:val="center"/>
                      <w:rPr>
                        <w:sz w:val="18"/>
                        <w:szCs w:val="18"/>
                      </w:rPr>
                    </w:pPr>
                  </w:p>
                </w:tc>
                <w:tc>
                  <w:tcPr>
                    <w:tcW w:w="369" w:type="pct"/>
                    <w:vMerge/>
                  </w:tcPr>
                  <w:p w14:paraId="7936039F" w14:textId="77777777" w:rsidR="00471D53" w:rsidRDefault="00B664AF">
                    <w:pPr>
                      <w:snapToGrid w:val="0"/>
                      <w:spacing w:line="240" w:lineRule="atLeast"/>
                      <w:jc w:val="center"/>
                      <w:rPr>
                        <w:sz w:val="18"/>
                        <w:szCs w:val="18"/>
                      </w:rPr>
                    </w:pPr>
                  </w:p>
                </w:tc>
                <w:tc>
                  <w:tcPr>
                    <w:tcW w:w="141" w:type="pct"/>
                    <w:vMerge/>
                  </w:tcPr>
                  <w:p w14:paraId="2835F468" w14:textId="77777777" w:rsidR="00471D53" w:rsidRDefault="00B664AF">
                    <w:pPr>
                      <w:snapToGrid w:val="0"/>
                      <w:spacing w:line="240" w:lineRule="atLeast"/>
                      <w:jc w:val="center"/>
                      <w:rPr>
                        <w:sz w:val="18"/>
                        <w:szCs w:val="18"/>
                      </w:rPr>
                    </w:pPr>
                  </w:p>
                </w:tc>
                <w:tc>
                  <w:tcPr>
                    <w:tcW w:w="423" w:type="pct"/>
                    <w:vMerge/>
                  </w:tcPr>
                  <w:p w14:paraId="38EE072F" w14:textId="77777777" w:rsidR="00471D53" w:rsidRDefault="00B664AF">
                    <w:pPr>
                      <w:snapToGrid w:val="0"/>
                      <w:spacing w:line="240" w:lineRule="atLeast"/>
                      <w:jc w:val="center"/>
                      <w:rPr>
                        <w:sz w:val="18"/>
                        <w:szCs w:val="18"/>
                      </w:rPr>
                    </w:pPr>
                  </w:p>
                </w:tc>
                <w:tc>
                  <w:tcPr>
                    <w:tcW w:w="141" w:type="pct"/>
                    <w:vMerge/>
                  </w:tcPr>
                  <w:p w14:paraId="1E9661E7" w14:textId="77777777" w:rsidR="00471D53" w:rsidRDefault="00B664AF">
                    <w:pPr>
                      <w:snapToGrid w:val="0"/>
                      <w:spacing w:line="240" w:lineRule="atLeast"/>
                      <w:jc w:val="center"/>
                      <w:rPr>
                        <w:sz w:val="18"/>
                        <w:szCs w:val="18"/>
                      </w:rPr>
                    </w:pPr>
                  </w:p>
                </w:tc>
                <w:tc>
                  <w:tcPr>
                    <w:tcW w:w="476" w:type="pct"/>
                    <w:vMerge/>
                  </w:tcPr>
                  <w:p w14:paraId="0A36ADDE" w14:textId="77777777" w:rsidR="00471D53" w:rsidRDefault="00B664AF">
                    <w:pPr>
                      <w:snapToGrid w:val="0"/>
                      <w:spacing w:line="240" w:lineRule="atLeast"/>
                      <w:jc w:val="center"/>
                      <w:rPr>
                        <w:sz w:val="18"/>
                        <w:szCs w:val="18"/>
                      </w:rPr>
                    </w:pPr>
                  </w:p>
                </w:tc>
                <w:tc>
                  <w:tcPr>
                    <w:tcW w:w="141" w:type="pct"/>
                    <w:vMerge/>
                  </w:tcPr>
                  <w:p w14:paraId="6EB8D40B" w14:textId="77777777" w:rsidR="00471D53" w:rsidRDefault="00B664AF">
                    <w:pPr>
                      <w:jc w:val="center"/>
                      <w:rPr>
                        <w:sz w:val="18"/>
                        <w:szCs w:val="18"/>
                      </w:rPr>
                    </w:pPr>
                  </w:p>
                </w:tc>
                <w:tc>
                  <w:tcPr>
                    <w:tcW w:w="449" w:type="pct"/>
                    <w:vMerge/>
                  </w:tcPr>
                  <w:p w14:paraId="43ABA541" w14:textId="77777777" w:rsidR="00471D53" w:rsidRDefault="00B664AF">
                    <w:pPr>
                      <w:jc w:val="center"/>
                      <w:rPr>
                        <w:sz w:val="18"/>
                        <w:szCs w:val="18"/>
                      </w:rPr>
                    </w:pPr>
                  </w:p>
                </w:tc>
                <w:tc>
                  <w:tcPr>
                    <w:tcW w:w="449" w:type="pct"/>
                    <w:vMerge/>
                  </w:tcPr>
                  <w:p w14:paraId="2AEF80D0" w14:textId="77777777" w:rsidR="00471D53" w:rsidRDefault="00B664AF">
                    <w:pPr>
                      <w:jc w:val="center"/>
                      <w:rPr>
                        <w:sz w:val="18"/>
                        <w:szCs w:val="18"/>
                      </w:rPr>
                    </w:pPr>
                  </w:p>
                </w:tc>
                <w:tc>
                  <w:tcPr>
                    <w:tcW w:w="503" w:type="pct"/>
                    <w:vMerge/>
                    <w:tcBorders>
                      <w:bottom w:val="nil"/>
                    </w:tcBorders>
                  </w:tcPr>
                  <w:p w14:paraId="412D6901" w14:textId="77777777" w:rsidR="00471D53" w:rsidRDefault="00B664AF">
                    <w:pPr>
                      <w:jc w:val="center"/>
                      <w:rPr>
                        <w:sz w:val="18"/>
                        <w:szCs w:val="18"/>
                      </w:rPr>
                    </w:pPr>
                  </w:p>
                </w:tc>
              </w:tr>
              <w:tr w:rsidR="00471D53" w14:paraId="0D544D86" w14:textId="77777777" w:rsidTr="00471D53">
                <w:sdt>
                  <w:sdtPr>
                    <w:tag w:val="_PLD_1f22f69e67ea4292afb08dec65f863c7"/>
                    <w:id w:val="-2099715380"/>
                    <w:lock w:val="sdtLocked"/>
                  </w:sdtPr>
                  <w:sdtEndPr/>
                  <w:sdtContent>
                    <w:tc>
                      <w:tcPr>
                        <w:tcW w:w="385" w:type="pct"/>
                      </w:tcPr>
                      <w:p w14:paraId="66A9912E" w14:textId="77777777" w:rsidR="00471D53" w:rsidRDefault="004F686E">
                        <w:pPr>
                          <w:rPr>
                            <w:sz w:val="18"/>
                            <w:szCs w:val="18"/>
                          </w:rPr>
                        </w:pPr>
                        <w:r>
                          <w:rPr>
                            <w:sz w:val="18"/>
                            <w:szCs w:val="18"/>
                          </w:rPr>
                          <w:t>一、上年</w:t>
                        </w:r>
                        <w:r>
                          <w:rPr>
                            <w:rFonts w:hint="eastAsia"/>
                            <w:sz w:val="18"/>
                            <w:szCs w:val="18"/>
                          </w:rPr>
                          <w:t>期</w:t>
                        </w:r>
                        <w:r>
                          <w:rPr>
                            <w:sz w:val="18"/>
                            <w:szCs w:val="18"/>
                          </w:rPr>
                          <w:t>末余额</w:t>
                        </w:r>
                      </w:p>
                    </w:tc>
                  </w:sdtContent>
                </w:sdt>
                <w:tc>
                  <w:tcPr>
                    <w:tcW w:w="449" w:type="pct"/>
                  </w:tcPr>
                  <w:p w14:paraId="46150BD2" w14:textId="77777777" w:rsidR="00471D53" w:rsidRPr="007E215E" w:rsidRDefault="004F686E" w:rsidP="00471D53">
                    <w:pPr>
                      <w:jc w:val="right"/>
                      <w:rPr>
                        <w:sz w:val="15"/>
                        <w:szCs w:val="15"/>
                      </w:rPr>
                    </w:pPr>
                    <w:r w:rsidRPr="007E215E">
                      <w:rPr>
                        <w:rFonts w:hint="eastAsia"/>
                        <w:sz w:val="15"/>
                        <w:szCs w:val="15"/>
                      </w:rPr>
                      <w:t>485,000,000.00</w:t>
                    </w:r>
                  </w:p>
                </w:tc>
                <w:tc>
                  <w:tcPr>
                    <w:tcW w:w="141" w:type="pct"/>
                  </w:tcPr>
                  <w:p w14:paraId="307344C4" w14:textId="77777777" w:rsidR="00471D53" w:rsidRDefault="00B664AF">
                    <w:pPr>
                      <w:jc w:val="right"/>
                      <w:rPr>
                        <w:sz w:val="18"/>
                        <w:szCs w:val="18"/>
                      </w:rPr>
                    </w:pPr>
                  </w:p>
                </w:tc>
                <w:tc>
                  <w:tcPr>
                    <w:tcW w:w="141" w:type="pct"/>
                  </w:tcPr>
                  <w:p w14:paraId="5121E600" w14:textId="77777777" w:rsidR="00471D53" w:rsidRDefault="00B664AF">
                    <w:pPr>
                      <w:jc w:val="right"/>
                      <w:rPr>
                        <w:sz w:val="18"/>
                        <w:szCs w:val="18"/>
                      </w:rPr>
                    </w:pPr>
                  </w:p>
                </w:tc>
                <w:tc>
                  <w:tcPr>
                    <w:tcW w:w="141" w:type="pct"/>
                  </w:tcPr>
                  <w:p w14:paraId="1C815CD4" w14:textId="77777777" w:rsidR="00471D53" w:rsidRDefault="00B664AF">
                    <w:pPr>
                      <w:jc w:val="right"/>
                      <w:rPr>
                        <w:sz w:val="18"/>
                        <w:szCs w:val="18"/>
                      </w:rPr>
                    </w:pPr>
                  </w:p>
                </w:tc>
                <w:tc>
                  <w:tcPr>
                    <w:tcW w:w="449" w:type="pct"/>
                    <w:vAlign w:val="center"/>
                  </w:tcPr>
                  <w:p w14:paraId="29D2E7CA" w14:textId="0852B73B" w:rsidR="00471D53" w:rsidRPr="007E215E" w:rsidRDefault="004F686E">
                    <w:pPr>
                      <w:rPr>
                        <w:sz w:val="15"/>
                        <w:szCs w:val="15"/>
                      </w:rPr>
                    </w:pPr>
                    <w:r w:rsidRPr="007E215E">
                      <w:rPr>
                        <w:rFonts w:hint="eastAsia"/>
                        <w:sz w:val="15"/>
                        <w:szCs w:val="15"/>
                      </w:rPr>
                      <w:t>833,183,835.84</w:t>
                    </w:r>
                  </w:p>
                </w:tc>
                <w:tc>
                  <w:tcPr>
                    <w:tcW w:w="204" w:type="pct"/>
                    <w:vAlign w:val="center"/>
                  </w:tcPr>
                  <w:p w14:paraId="1B1301C2" w14:textId="77777777" w:rsidR="00471D53" w:rsidRDefault="004F686E">
                    <w:pPr>
                      <w:rPr>
                        <w:color w:val="FFFFFF"/>
                        <w:sz w:val="22"/>
                        <w:szCs w:val="22"/>
                      </w:rPr>
                    </w:pPr>
                    <w:r>
                      <w:rPr>
                        <w:rFonts w:hint="eastAsia"/>
                        <w:color w:val="FFFFFF"/>
                        <w:sz w:val="22"/>
                        <w:szCs w:val="22"/>
                      </w:rPr>
                      <w:t xml:space="preserve">　</w:t>
                    </w:r>
                  </w:p>
                </w:tc>
                <w:tc>
                  <w:tcPr>
                    <w:tcW w:w="369" w:type="pct"/>
                    <w:vAlign w:val="center"/>
                  </w:tcPr>
                  <w:p w14:paraId="43372CFE" w14:textId="684BFDD1" w:rsidR="00471D53" w:rsidRPr="007E215E" w:rsidRDefault="004F686E">
                    <w:pPr>
                      <w:rPr>
                        <w:sz w:val="15"/>
                        <w:szCs w:val="15"/>
                      </w:rPr>
                    </w:pPr>
                    <w:r w:rsidRPr="007E215E">
                      <w:rPr>
                        <w:rFonts w:hint="eastAsia"/>
                        <w:sz w:val="15"/>
                        <w:szCs w:val="15"/>
                      </w:rPr>
                      <w:t>-325,424.59</w:t>
                    </w:r>
                  </w:p>
                </w:tc>
                <w:tc>
                  <w:tcPr>
                    <w:tcW w:w="141" w:type="pct"/>
                  </w:tcPr>
                  <w:p w14:paraId="36C5EAFC" w14:textId="77777777" w:rsidR="00471D53" w:rsidRPr="007E215E" w:rsidRDefault="00B664AF">
                    <w:pPr>
                      <w:jc w:val="right"/>
                      <w:rPr>
                        <w:sz w:val="15"/>
                        <w:szCs w:val="15"/>
                      </w:rPr>
                    </w:pPr>
                  </w:p>
                </w:tc>
                <w:tc>
                  <w:tcPr>
                    <w:tcW w:w="423" w:type="pct"/>
                    <w:vAlign w:val="center"/>
                  </w:tcPr>
                  <w:p w14:paraId="61D48FCD" w14:textId="46551B49" w:rsidR="00471D53" w:rsidRPr="007E215E" w:rsidRDefault="004F686E">
                    <w:pPr>
                      <w:rPr>
                        <w:sz w:val="15"/>
                        <w:szCs w:val="15"/>
                      </w:rPr>
                    </w:pPr>
                    <w:r w:rsidRPr="007E215E">
                      <w:rPr>
                        <w:rFonts w:hint="eastAsia"/>
                        <w:sz w:val="15"/>
                        <w:szCs w:val="15"/>
                      </w:rPr>
                      <w:t>45,665,647.68</w:t>
                    </w:r>
                  </w:p>
                </w:tc>
                <w:tc>
                  <w:tcPr>
                    <w:tcW w:w="141" w:type="pct"/>
                    <w:vAlign w:val="center"/>
                  </w:tcPr>
                  <w:p w14:paraId="329D858A" w14:textId="77777777" w:rsidR="00471D53" w:rsidRPr="007E215E" w:rsidRDefault="004F686E">
                    <w:pPr>
                      <w:rPr>
                        <w:color w:val="FFFFFF"/>
                        <w:sz w:val="15"/>
                        <w:szCs w:val="15"/>
                      </w:rPr>
                    </w:pPr>
                    <w:r w:rsidRPr="007E215E">
                      <w:rPr>
                        <w:rFonts w:hint="eastAsia"/>
                        <w:color w:val="FFFFFF"/>
                        <w:sz w:val="15"/>
                        <w:szCs w:val="15"/>
                      </w:rPr>
                      <w:t xml:space="preserve">　</w:t>
                    </w:r>
                  </w:p>
                </w:tc>
                <w:tc>
                  <w:tcPr>
                    <w:tcW w:w="476" w:type="pct"/>
                    <w:vAlign w:val="center"/>
                  </w:tcPr>
                  <w:p w14:paraId="6018BF58" w14:textId="4A0489A0" w:rsidR="00471D53" w:rsidRPr="007E215E" w:rsidRDefault="004F686E">
                    <w:pPr>
                      <w:jc w:val="right"/>
                      <w:rPr>
                        <w:sz w:val="15"/>
                        <w:szCs w:val="15"/>
                      </w:rPr>
                    </w:pPr>
                    <w:r w:rsidRPr="007E215E">
                      <w:rPr>
                        <w:rFonts w:hint="eastAsia"/>
                        <w:sz w:val="15"/>
                        <w:szCs w:val="15"/>
                      </w:rPr>
                      <w:t>-664,051,428.89</w:t>
                    </w:r>
                  </w:p>
                </w:tc>
                <w:tc>
                  <w:tcPr>
                    <w:tcW w:w="141" w:type="pct"/>
                  </w:tcPr>
                  <w:p w14:paraId="3071865C" w14:textId="77777777" w:rsidR="00471D53" w:rsidRDefault="00B664AF">
                    <w:pPr>
                      <w:jc w:val="right"/>
                      <w:rPr>
                        <w:sz w:val="18"/>
                        <w:szCs w:val="18"/>
                      </w:rPr>
                    </w:pPr>
                  </w:p>
                </w:tc>
                <w:tc>
                  <w:tcPr>
                    <w:tcW w:w="449" w:type="pct"/>
                    <w:vAlign w:val="center"/>
                  </w:tcPr>
                  <w:p w14:paraId="0E3C46C6" w14:textId="2B208B41" w:rsidR="00471D53" w:rsidRPr="007E215E" w:rsidRDefault="004F686E">
                    <w:pPr>
                      <w:rPr>
                        <w:sz w:val="15"/>
                        <w:szCs w:val="15"/>
                      </w:rPr>
                    </w:pPr>
                    <w:r w:rsidRPr="007E215E">
                      <w:rPr>
                        <w:rFonts w:hint="eastAsia"/>
                        <w:sz w:val="15"/>
                        <w:szCs w:val="15"/>
                      </w:rPr>
                      <w:t>699,472,630.04</w:t>
                    </w:r>
                  </w:p>
                </w:tc>
                <w:tc>
                  <w:tcPr>
                    <w:tcW w:w="449" w:type="pct"/>
                    <w:vAlign w:val="center"/>
                  </w:tcPr>
                  <w:p w14:paraId="3973DB1E" w14:textId="1A8B0512" w:rsidR="00471D53" w:rsidRPr="007E215E" w:rsidRDefault="004F686E">
                    <w:pPr>
                      <w:rPr>
                        <w:sz w:val="15"/>
                        <w:szCs w:val="15"/>
                      </w:rPr>
                    </w:pPr>
                    <w:r w:rsidRPr="007E215E">
                      <w:rPr>
                        <w:rFonts w:hint="eastAsia"/>
                        <w:sz w:val="15"/>
                        <w:szCs w:val="15"/>
                      </w:rPr>
                      <w:t>302,132,303.41</w:t>
                    </w:r>
                  </w:p>
                </w:tc>
                <w:tc>
                  <w:tcPr>
                    <w:tcW w:w="503" w:type="pct"/>
                    <w:vAlign w:val="center"/>
                  </w:tcPr>
                  <w:p w14:paraId="2CA9E8CA" w14:textId="624E4FD0" w:rsidR="00471D53" w:rsidRPr="007E215E" w:rsidRDefault="004F686E">
                    <w:pPr>
                      <w:rPr>
                        <w:sz w:val="15"/>
                        <w:szCs w:val="15"/>
                      </w:rPr>
                    </w:pPr>
                    <w:r w:rsidRPr="007E215E">
                      <w:rPr>
                        <w:rFonts w:hint="eastAsia"/>
                        <w:sz w:val="15"/>
                        <w:szCs w:val="15"/>
                      </w:rPr>
                      <w:t>1,001,604,933.45</w:t>
                    </w:r>
                  </w:p>
                </w:tc>
              </w:tr>
              <w:tr w:rsidR="00471D53" w14:paraId="48504BD7" w14:textId="77777777" w:rsidTr="00471D53">
                <w:sdt>
                  <w:sdtPr>
                    <w:tag w:val="_PLD_8753148a28244d68bf92b2fbad32f9b8"/>
                    <w:id w:val="522904131"/>
                    <w:lock w:val="sdtLocked"/>
                  </w:sdtPr>
                  <w:sdtEndPr/>
                  <w:sdtContent>
                    <w:tc>
                      <w:tcPr>
                        <w:tcW w:w="385" w:type="pct"/>
                      </w:tcPr>
                      <w:p w14:paraId="762ED3BC" w14:textId="77777777" w:rsidR="00471D53" w:rsidRDefault="004F686E">
                        <w:pPr>
                          <w:rPr>
                            <w:sz w:val="18"/>
                            <w:szCs w:val="18"/>
                          </w:rPr>
                        </w:pPr>
                        <w:r>
                          <w:rPr>
                            <w:rFonts w:hint="eastAsia"/>
                            <w:sz w:val="18"/>
                            <w:szCs w:val="18"/>
                          </w:rPr>
                          <w:t>加：</w:t>
                        </w:r>
                        <w:r>
                          <w:rPr>
                            <w:sz w:val="18"/>
                            <w:szCs w:val="18"/>
                          </w:rPr>
                          <w:t>会计政策变更</w:t>
                        </w:r>
                      </w:p>
                    </w:tc>
                  </w:sdtContent>
                </w:sdt>
                <w:tc>
                  <w:tcPr>
                    <w:tcW w:w="449" w:type="pct"/>
                  </w:tcPr>
                  <w:p w14:paraId="71E9B37B" w14:textId="77777777" w:rsidR="00471D53" w:rsidRDefault="00B664AF">
                    <w:pPr>
                      <w:jc w:val="right"/>
                      <w:rPr>
                        <w:sz w:val="18"/>
                        <w:szCs w:val="18"/>
                      </w:rPr>
                    </w:pPr>
                  </w:p>
                </w:tc>
                <w:tc>
                  <w:tcPr>
                    <w:tcW w:w="141" w:type="pct"/>
                  </w:tcPr>
                  <w:p w14:paraId="2D976F85" w14:textId="77777777" w:rsidR="00471D53" w:rsidRDefault="00B664AF">
                    <w:pPr>
                      <w:jc w:val="right"/>
                      <w:rPr>
                        <w:sz w:val="18"/>
                        <w:szCs w:val="18"/>
                      </w:rPr>
                    </w:pPr>
                  </w:p>
                </w:tc>
                <w:tc>
                  <w:tcPr>
                    <w:tcW w:w="141" w:type="pct"/>
                  </w:tcPr>
                  <w:p w14:paraId="259E0248" w14:textId="77777777" w:rsidR="00471D53" w:rsidRDefault="00B664AF">
                    <w:pPr>
                      <w:jc w:val="right"/>
                      <w:rPr>
                        <w:sz w:val="18"/>
                        <w:szCs w:val="18"/>
                      </w:rPr>
                    </w:pPr>
                  </w:p>
                </w:tc>
                <w:tc>
                  <w:tcPr>
                    <w:tcW w:w="141" w:type="pct"/>
                  </w:tcPr>
                  <w:p w14:paraId="39CA4A24" w14:textId="77777777" w:rsidR="00471D53" w:rsidRDefault="00B664AF">
                    <w:pPr>
                      <w:jc w:val="right"/>
                      <w:rPr>
                        <w:sz w:val="18"/>
                        <w:szCs w:val="18"/>
                      </w:rPr>
                    </w:pPr>
                  </w:p>
                </w:tc>
                <w:tc>
                  <w:tcPr>
                    <w:tcW w:w="449" w:type="pct"/>
                  </w:tcPr>
                  <w:p w14:paraId="208B1395" w14:textId="77777777" w:rsidR="00471D53" w:rsidRDefault="00B664AF">
                    <w:pPr>
                      <w:jc w:val="right"/>
                      <w:rPr>
                        <w:sz w:val="18"/>
                        <w:szCs w:val="18"/>
                      </w:rPr>
                    </w:pPr>
                  </w:p>
                </w:tc>
                <w:tc>
                  <w:tcPr>
                    <w:tcW w:w="204" w:type="pct"/>
                  </w:tcPr>
                  <w:p w14:paraId="127B0011" w14:textId="77777777" w:rsidR="00471D53" w:rsidRDefault="00B664AF">
                    <w:pPr>
                      <w:jc w:val="right"/>
                      <w:rPr>
                        <w:sz w:val="18"/>
                        <w:szCs w:val="18"/>
                      </w:rPr>
                    </w:pPr>
                  </w:p>
                </w:tc>
                <w:tc>
                  <w:tcPr>
                    <w:tcW w:w="369" w:type="pct"/>
                  </w:tcPr>
                  <w:p w14:paraId="13BE43DA" w14:textId="77777777" w:rsidR="00471D53" w:rsidRDefault="00B664AF">
                    <w:pPr>
                      <w:jc w:val="right"/>
                      <w:rPr>
                        <w:sz w:val="18"/>
                        <w:szCs w:val="18"/>
                      </w:rPr>
                    </w:pPr>
                  </w:p>
                </w:tc>
                <w:tc>
                  <w:tcPr>
                    <w:tcW w:w="141" w:type="pct"/>
                  </w:tcPr>
                  <w:p w14:paraId="053DB41A" w14:textId="77777777" w:rsidR="00471D53" w:rsidRDefault="00B664AF">
                    <w:pPr>
                      <w:jc w:val="right"/>
                      <w:rPr>
                        <w:sz w:val="18"/>
                        <w:szCs w:val="18"/>
                      </w:rPr>
                    </w:pPr>
                  </w:p>
                </w:tc>
                <w:tc>
                  <w:tcPr>
                    <w:tcW w:w="423" w:type="pct"/>
                  </w:tcPr>
                  <w:p w14:paraId="2B32FBE0" w14:textId="77777777" w:rsidR="00471D53" w:rsidRDefault="00B664AF">
                    <w:pPr>
                      <w:jc w:val="right"/>
                      <w:rPr>
                        <w:sz w:val="18"/>
                        <w:szCs w:val="18"/>
                      </w:rPr>
                    </w:pPr>
                  </w:p>
                </w:tc>
                <w:tc>
                  <w:tcPr>
                    <w:tcW w:w="141" w:type="pct"/>
                  </w:tcPr>
                  <w:p w14:paraId="5DF57D37" w14:textId="77777777" w:rsidR="00471D53" w:rsidRDefault="00B664AF">
                    <w:pPr>
                      <w:jc w:val="right"/>
                      <w:rPr>
                        <w:sz w:val="18"/>
                        <w:szCs w:val="18"/>
                      </w:rPr>
                    </w:pPr>
                  </w:p>
                </w:tc>
                <w:tc>
                  <w:tcPr>
                    <w:tcW w:w="476" w:type="pct"/>
                  </w:tcPr>
                  <w:p w14:paraId="2DD193B4" w14:textId="77777777" w:rsidR="00471D53" w:rsidRDefault="00B664AF">
                    <w:pPr>
                      <w:jc w:val="right"/>
                      <w:rPr>
                        <w:sz w:val="18"/>
                        <w:szCs w:val="18"/>
                      </w:rPr>
                    </w:pPr>
                  </w:p>
                </w:tc>
                <w:tc>
                  <w:tcPr>
                    <w:tcW w:w="141" w:type="pct"/>
                  </w:tcPr>
                  <w:p w14:paraId="5C1C295F" w14:textId="77777777" w:rsidR="00471D53" w:rsidRDefault="00B664AF">
                    <w:pPr>
                      <w:jc w:val="right"/>
                      <w:rPr>
                        <w:sz w:val="18"/>
                        <w:szCs w:val="18"/>
                      </w:rPr>
                    </w:pPr>
                  </w:p>
                </w:tc>
                <w:tc>
                  <w:tcPr>
                    <w:tcW w:w="449" w:type="pct"/>
                  </w:tcPr>
                  <w:p w14:paraId="3F6BF834" w14:textId="77777777" w:rsidR="00471D53" w:rsidRDefault="00B664AF">
                    <w:pPr>
                      <w:jc w:val="right"/>
                      <w:rPr>
                        <w:sz w:val="18"/>
                        <w:szCs w:val="18"/>
                      </w:rPr>
                    </w:pPr>
                  </w:p>
                </w:tc>
                <w:tc>
                  <w:tcPr>
                    <w:tcW w:w="449" w:type="pct"/>
                  </w:tcPr>
                  <w:p w14:paraId="2C1DC2CD" w14:textId="77777777" w:rsidR="00471D53" w:rsidRDefault="00B664AF">
                    <w:pPr>
                      <w:jc w:val="right"/>
                      <w:rPr>
                        <w:sz w:val="18"/>
                        <w:szCs w:val="18"/>
                      </w:rPr>
                    </w:pPr>
                  </w:p>
                </w:tc>
                <w:tc>
                  <w:tcPr>
                    <w:tcW w:w="503" w:type="pct"/>
                  </w:tcPr>
                  <w:p w14:paraId="0CC6F922" w14:textId="77777777" w:rsidR="00471D53" w:rsidRDefault="00B664AF">
                    <w:pPr>
                      <w:jc w:val="right"/>
                      <w:rPr>
                        <w:sz w:val="18"/>
                        <w:szCs w:val="18"/>
                      </w:rPr>
                    </w:pPr>
                  </w:p>
                </w:tc>
              </w:tr>
              <w:tr w:rsidR="00471D53" w14:paraId="6E5BFBA1" w14:textId="77777777" w:rsidTr="00471D53">
                <w:sdt>
                  <w:sdtPr>
                    <w:tag w:val="_PLD_291ece6b974e4962be6cec3c398fd5be"/>
                    <w:id w:val="-2005667007"/>
                    <w:lock w:val="sdtLocked"/>
                  </w:sdtPr>
                  <w:sdtEndPr/>
                  <w:sdtContent>
                    <w:tc>
                      <w:tcPr>
                        <w:tcW w:w="385" w:type="pct"/>
                      </w:tcPr>
                      <w:p w14:paraId="4B7A63AD" w14:textId="77777777" w:rsidR="00471D53" w:rsidRDefault="004F686E" w:rsidP="00471D53">
                        <w:pPr>
                          <w:ind w:firstLineChars="200" w:firstLine="420"/>
                          <w:rPr>
                            <w:sz w:val="18"/>
                            <w:szCs w:val="18"/>
                          </w:rPr>
                        </w:pPr>
                        <w:r>
                          <w:rPr>
                            <w:sz w:val="18"/>
                            <w:szCs w:val="18"/>
                          </w:rPr>
                          <w:t>前期差错更正</w:t>
                        </w:r>
                      </w:p>
                    </w:tc>
                  </w:sdtContent>
                </w:sdt>
                <w:tc>
                  <w:tcPr>
                    <w:tcW w:w="449" w:type="pct"/>
                  </w:tcPr>
                  <w:p w14:paraId="26CA3305" w14:textId="77777777" w:rsidR="00471D53" w:rsidRDefault="00B664AF">
                    <w:pPr>
                      <w:jc w:val="right"/>
                      <w:rPr>
                        <w:sz w:val="18"/>
                        <w:szCs w:val="18"/>
                      </w:rPr>
                    </w:pPr>
                  </w:p>
                </w:tc>
                <w:tc>
                  <w:tcPr>
                    <w:tcW w:w="141" w:type="pct"/>
                  </w:tcPr>
                  <w:p w14:paraId="36141485" w14:textId="77777777" w:rsidR="00471D53" w:rsidRDefault="00B664AF">
                    <w:pPr>
                      <w:jc w:val="right"/>
                      <w:rPr>
                        <w:sz w:val="18"/>
                        <w:szCs w:val="18"/>
                      </w:rPr>
                    </w:pPr>
                  </w:p>
                </w:tc>
                <w:tc>
                  <w:tcPr>
                    <w:tcW w:w="141" w:type="pct"/>
                  </w:tcPr>
                  <w:p w14:paraId="3B63F3A8" w14:textId="77777777" w:rsidR="00471D53" w:rsidRDefault="00B664AF">
                    <w:pPr>
                      <w:jc w:val="right"/>
                      <w:rPr>
                        <w:sz w:val="18"/>
                        <w:szCs w:val="18"/>
                      </w:rPr>
                    </w:pPr>
                  </w:p>
                </w:tc>
                <w:tc>
                  <w:tcPr>
                    <w:tcW w:w="141" w:type="pct"/>
                  </w:tcPr>
                  <w:p w14:paraId="0487367F" w14:textId="77777777" w:rsidR="00471D53" w:rsidRDefault="00B664AF">
                    <w:pPr>
                      <w:jc w:val="right"/>
                      <w:rPr>
                        <w:sz w:val="18"/>
                        <w:szCs w:val="18"/>
                      </w:rPr>
                    </w:pPr>
                  </w:p>
                </w:tc>
                <w:tc>
                  <w:tcPr>
                    <w:tcW w:w="449" w:type="pct"/>
                  </w:tcPr>
                  <w:p w14:paraId="52425E08" w14:textId="77777777" w:rsidR="00471D53" w:rsidRDefault="00B664AF">
                    <w:pPr>
                      <w:jc w:val="right"/>
                      <w:rPr>
                        <w:sz w:val="18"/>
                        <w:szCs w:val="18"/>
                      </w:rPr>
                    </w:pPr>
                  </w:p>
                </w:tc>
                <w:tc>
                  <w:tcPr>
                    <w:tcW w:w="204" w:type="pct"/>
                  </w:tcPr>
                  <w:p w14:paraId="571E4613" w14:textId="77777777" w:rsidR="00471D53" w:rsidRDefault="00B664AF">
                    <w:pPr>
                      <w:jc w:val="right"/>
                      <w:rPr>
                        <w:sz w:val="18"/>
                        <w:szCs w:val="18"/>
                      </w:rPr>
                    </w:pPr>
                  </w:p>
                </w:tc>
                <w:tc>
                  <w:tcPr>
                    <w:tcW w:w="369" w:type="pct"/>
                  </w:tcPr>
                  <w:p w14:paraId="3F7339B1" w14:textId="77777777" w:rsidR="00471D53" w:rsidRDefault="00B664AF">
                    <w:pPr>
                      <w:jc w:val="right"/>
                      <w:rPr>
                        <w:sz w:val="18"/>
                        <w:szCs w:val="18"/>
                      </w:rPr>
                    </w:pPr>
                  </w:p>
                </w:tc>
                <w:tc>
                  <w:tcPr>
                    <w:tcW w:w="141" w:type="pct"/>
                  </w:tcPr>
                  <w:p w14:paraId="42791FA1" w14:textId="77777777" w:rsidR="00471D53" w:rsidRDefault="00B664AF">
                    <w:pPr>
                      <w:jc w:val="right"/>
                      <w:rPr>
                        <w:sz w:val="18"/>
                        <w:szCs w:val="18"/>
                      </w:rPr>
                    </w:pPr>
                  </w:p>
                </w:tc>
                <w:tc>
                  <w:tcPr>
                    <w:tcW w:w="423" w:type="pct"/>
                  </w:tcPr>
                  <w:p w14:paraId="3BBF45A5" w14:textId="77777777" w:rsidR="00471D53" w:rsidRDefault="00B664AF">
                    <w:pPr>
                      <w:jc w:val="right"/>
                      <w:rPr>
                        <w:sz w:val="18"/>
                        <w:szCs w:val="18"/>
                      </w:rPr>
                    </w:pPr>
                  </w:p>
                </w:tc>
                <w:tc>
                  <w:tcPr>
                    <w:tcW w:w="141" w:type="pct"/>
                  </w:tcPr>
                  <w:p w14:paraId="33DFA2D5" w14:textId="77777777" w:rsidR="00471D53" w:rsidRDefault="00B664AF">
                    <w:pPr>
                      <w:jc w:val="right"/>
                      <w:rPr>
                        <w:sz w:val="18"/>
                        <w:szCs w:val="18"/>
                      </w:rPr>
                    </w:pPr>
                  </w:p>
                </w:tc>
                <w:tc>
                  <w:tcPr>
                    <w:tcW w:w="476" w:type="pct"/>
                  </w:tcPr>
                  <w:p w14:paraId="2576A1B1" w14:textId="77777777" w:rsidR="00471D53" w:rsidRDefault="00B664AF">
                    <w:pPr>
                      <w:jc w:val="right"/>
                      <w:rPr>
                        <w:sz w:val="18"/>
                        <w:szCs w:val="18"/>
                      </w:rPr>
                    </w:pPr>
                  </w:p>
                </w:tc>
                <w:tc>
                  <w:tcPr>
                    <w:tcW w:w="141" w:type="pct"/>
                  </w:tcPr>
                  <w:p w14:paraId="5325D4BF" w14:textId="77777777" w:rsidR="00471D53" w:rsidRDefault="00B664AF">
                    <w:pPr>
                      <w:jc w:val="right"/>
                      <w:rPr>
                        <w:sz w:val="18"/>
                        <w:szCs w:val="18"/>
                      </w:rPr>
                    </w:pPr>
                  </w:p>
                </w:tc>
                <w:tc>
                  <w:tcPr>
                    <w:tcW w:w="449" w:type="pct"/>
                  </w:tcPr>
                  <w:p w14:paraId="6D5F8E3B" w14:textId="77777777" w:rsidR="00471D53" w:rsidRDefault="00B664AF">
                    <w:pPr>
                      <w:jc w:val="right"/>
                      <w:rPr>
                        <w:sz w:val="18"/>
                        <w:szCs w:val="18"/>
                      </w:rPr>
                    </w:pPr>
                  </w:p>
                </w:tc>
                <w:tc>
                  <w:tcPr>
                    <w:tcW w:w="449" w:type="pct"/>
                  </w:tcPr>
                  <w:p w14:paraId="05E06E64" w14:textId="77777777" w:rsidR="00471D53" w:rsidRDefault="00B664AF">
                    <w:pPr>
                      <w:jc w:val="right"/>
                      <w:rPr>
                        <w:sz w:val="18"/>
                        <w:szCs w:val="18"/>
                      </w:rPr>
                    </w:pPr>
                  </w:p>
                </w:tc>
                <w:tc>
                  <w:tcPr>
                    <w:tcW w:w="503" w:type="pct"/>
                  </w:tcPr>
                  <w:p w14:paraId="0DF796AC" w14:textId="77777777" w:rsidR="00471D53" w:rsidRDefault="00B664AF">
                    <w:pPr>
                      <w:jc w:val="right"/>
                      <w:rPr>
                        <w:sz w:val="18"/>
                        <w:szCs w:val="18"/>
                      </w:rPr>
                    </w:pPr>
                  </w:p>
                </w:tc>
              </w:tr>
              <w:tr w:rsidR="00471D53" w14:paraId="7F0795A7" w14:textId="77777777" w:rsidTr="00471D53">
                <w:sdt>
                  <w:sdtPr>
                    <w:tag w:val="_PLD_1a5424a99ed44019a3f8a704efe4903d"/>
                    <w:id w:val="1990582229"/>
                    <w:lock w:val="sdtLocked"/>
                  </w:sdtPr>
                  <w:sdtEndPr/>
                  <w:sdtContent>
                    <w:tc>
                      <w:tcPr>
                        <w:tcW w:w="385" w:type="pct"/>
                      </w:tcPr>
                      <w:p w14:paraId="59D143B3" w14:textId="77777777" w:rsidR="00471D53" w:rsidRDefault="004F686E" w:rsidP="00471D53">
                        <w:pPr>
                          <w:ind w:firstLineChars="200" w:firstLine="420"/>
                          <w:rPr>
                            <w:sz w:val="18"/>
                            <w:szCs w:val="18"/>
                          </w:rPr>
                        </w:pPr>
                        <w:r>
                          <w:rPr>
                            <w:rFonts w:hint="eastAsia"/>
                            <w:sz w:val="18"/>
                            <w:szCs w:val="18"/>
                          </w:rPr>
                          <w:t>同一控制下企业合并</w:t>
                        </w:r>
                      </w:p>
                    </w:tc>
                  </w:sdtContent>
                </w:sdt>
                <w:tc>
                  <w:tcPr>
                    <w:tcW w:w="449" w:type="pct"/>
                  </w:tcPr>
                  <w:p w14:paraId="76FD5B81" w14:textId="77777777" w:rsidR="00471D53" w:rsidRDefault="00B664AF">
                    <w:pPr>
                      <w:jc w:val="right"/>
                      <w:rPr>
                        <w:sz w:val="18"/>
                        <w:szCs w:val="18"/>
                      </w:rPr>
                    </w:pPr>
                  </w:p>
                </w:tc>
                <w:tc>
                  <w:tcPr>
                    <w:tcW w:w="141" w:type="pct"/>
                  </w:tcPr>
                  <w:p w14:paraId="70AC4A5D" w14:textId="77777777" w:rsidR="00471D53" w:rsidRDefault="00B664AF">
                    <w:pPr>
                      <w:jc w:val="right"/>
                      <w:rPr>
                        <w:sz w:val="18"/>
                        <w:szCs w:val="18"/>
                      </w:rPr>
                    </w:pPr>
                  </w:p>
                </w:tc>
                <w:tc>
                  <w:tcPr>
                    <w:tcW w:w="141" w:type="pct"/>
                  </w:tcPr>
                  <w:p w14:paraId="1CADBE35" w14:textId="77777777" w:rsidR="00471D53" w:rsidRDefault="00B664AF">
                    <w:pPr>
                      <w:jc w:val="right"/>
                      <w:rPr>
                        <w:sz w:val="18"/>
                        <w:szCs w:val="18"/>
                      </w:rPr>
                    </w:pPr>
                  </w:p>
                </w:tc>
                <w:tc>
                  <w:tcPr>
                    <w:tcW w:w="141" w:type="pct"/>
                  </w:tcPr>
                  <w:p w14:paraId="5066CACC" w14:textId="77777777" w:rsidR="00471D53" w:rsidRDefault="00B664AF">
                    <w:pPr>
                      <w:jc w:val="right"/>
                      <w:rPr>
                        <w:sz w:val="18"/>
                        <w:szCs w:val="18"/>
                      </w:rPr>
                    </w:pPr>
                  </w:p>
                </w:tc>
                <w:tc>
                  <w:tcPr>
                    <w:tcW w:w="449" w:type="pct"/>
                  </w:tcPr>
                  <w:p w14:paraId="127EE242" w14:textId="77777777" w:rsidR="00471D53" w:rsidRDefault="00B664AF">
                    <w:pPr>
                      <w:jc w:val="right"/>
                      <w:rPr>
                        <w:sz w:val="18"/>
                        <w:szCs w:val="18"/>
                      </w:rPr>
                    </w:pPr>
                  </w:p>
                </w:tc>
                <w:tc>
                  <w:tcPr>
                    <w:tcW w:w="204" w:type="pct"/>
                  </w:tcPr>
                  <w:p w14:paraId="28BAB1E7" w14:textId="77777777" w:rsidR="00471D53" w:rsidRDefault="00B664AF">
                    <w:pPr>
                      <w:jc w:val="right"/>
                      <w:rPr>
                        <w:sz w:val="18"/>
                        <w:szCs w:val="18"/>
                      </w:rPr>
                    </w:pPr>
                  </w:p>
                </w:tc>
                <w:tc>
                  <w:tcPr>
                    <w:tcW w:w="369" w:type="pct"/>
                  </w:tcPr>
                  <w:p w14:paraId="1D47C00A" w14:textId="77777777" w:rsidR="00471D53" w:rsidRDefault="00B664AF">
                    <w:pPr>
                      <w:jc w:val="right"/>
                      <w:rPr>
                        <w:sz w:val="18"/>
                        <w:szCs w:val="18"/>
                      </w:rPr>
                    </w:pPr>
                  </w:p>
                </w:tc>
                <w:tc>
                  <w:tcPr>
                    <w:tcW w:w="141" w:type="pct"/>
                  </w:tcPr>
                  <w:p w14:paraId="649F004B" w14:textId="77777777" w:rsidR="00471D53" w:rsidRDefault="00B664AF">
                    <w:pPr>
                      <w:jc w:val="right"/>
                      <w:rPr>
                        <w:sz w:val="18"/>
                        <w:szCs w:val="18"/>
                      </w:rPr>
                    </w:pPr>
                  </w:p>
                </w:tc>
                <w:tc>
                  <w:tcPr>
                    <w:tcW w:w="423" w:type="pct"/>
                  </w:tcPr>
                  <w:p w14:paraId="42DB3415" w14:textId="77777777" w:rsidR="00471D53" w:rsidRDefault="00B664AF">
                    <w:pPr>
                      <w:jc w:val="right"/>
                      <w:rPr>
                        <w:sz w:val="18"/>
                        <w:szCs w:val="18"/>
                      </w:rPr>
                    </w:pPr>
                  </w:p>
                </w:tc>
                <w:tc>
                  <w:tcPr>
                    <w:tcW w:w="141" w:type="pct"/>
                  </w:tcPr>
                  <w:p w14:paraId="6E69E69D" w14:textId="77777777" w:rsidR="00471D53" w:rsidRDefault="00B664AF">
                    <w:pPr>
                      <w:jc w:val="right"/>
                      <w:rPr>
                        <w:sz w:val="18"/>
                        <w:szCs w:val="18"/>
                      </w:rPr>
                    </w:pPr>
                  </w:p>
                </w:tc>
                <w:tc>
                  <w:tcPr>
                    <w:tcW w:w="476" w:type="pct"/>
                  </w:tcPr>
                  <w:p w14:paraId="6FC0FED5" w14:textId="77777777" w:rsidR="00471D53" w:rsidRDefault="00B664AF">
                    <w:pPr>
                      <w:jc w:val="right"/>
                      <w:rPr>
                        <w:sz w:val="18"/>
                        <w:szCs w:val="18"/>
                      </w:rPr>
                    </w:pPr>
                  </w:p>
                </w:tc>
                <w:tc>
                  <w:tcPr>
                    <w:tcW w:w="141" w:type="pct"/>
                  </w:tcPr>
                  <w:p w14:paraId="59FD1D80" w14:textId="77777777" w:rsidR="00471D53" w:rsidRDefault="00B664AF">
                    <w:pPr>
                      <w:jc w:val="right"/>
                      <w:rPr>
                        <w:sz w:val="18"/>
                        <w:szCs w:val="18"/>
                      </w:rPr>
                    </w:pPr>
                  </w:p>
                </w:tc>
                <w:tc>
                  <w:tcPr>
                    <w:tcW w:w="449" w:type="pct"/>
                  </w:tcPr>
                  <w:p w14:paraId="5E619589" w14:textId="77777777" w:rsidR="00471D53" w:rsidRDefault="00B664AF">
                    <w:pPr>
                      <w:jc w:val="right"/>
                      <w:rPr>
                        <w:sz w:val="18"/>
                        <w:szCs w:val="18"/>
                      </w:rPr>
                    </w:pPr>
                  </w:p>
                </w:tc>
                <w:tc>
                  <w:tcPr>
                    <w:tcW w:w="449" w:type="pct"/>
                  </w:tcPr>
                  <w:p w14:paraId="60B28109" w14:textId="77777777" w:rsidR="00471D53" w:rsidRDefault="00B664AF">
                    <w:pPr>
                      <w:jc w:val="right"/>
                      <w:rPr>
                        <w:sz w:val="18"/>
                        <w:szCs w:val="18"/>
                      </w:rPr>
                    </w:pPr>
                  </w:p>
                </w:tc>
                <w:tc>
                  <w:tcPr>
                    <w:tcW w:w="503" w:type="pct"/>
                  </w:tcPr>
                  <w:p w14:paraId="3B0D0F0F" w14:textId="77777777" w:rsidR="00471D53" w:rsidRDefault="00B664AF">
                    <w:pPr>
                      <w:jc w:val="right"/>
                      <w:rPr>
                        <w:sz w:val="18"/>
                        <w:szCs w:val="18"/>
                      </w:rPr>
                    </w:pPr>
                  </w:p>
                </w:tc>
              </w:tr>
              <w:tr w:rsidR="00471D53" w14:paraId="7D5980CC" w14:textId="77777777" w:rsidTr="00471D53">
                <w:sdt>
                  <w:sdtPr>
                    <w:tag w:val="_PLD_7953fd87201b462ab8c42a4716d6cb65"/>
                    <w:id w:val="1549330019"/>
                    <w:lock w:val="sdtLocked"/>
                  </w:sdtPr>
                  <w:sdtEndPr/>
                  <w:sdtContent>
                    <w:tc>
                      <w:tcPr>
                        <w:tcW w:w="385" w:type="pct"/>
                      </w:tcPr>
                      <w:p w14:paraId="61051463" w14:textId="77777777" w:rsidR="00471D53" w:rsidRDefault="004F686E" w:rsidP="00471D53">
                        <w:pPr>
                          <w:ind w:firstLineChars="200" w:firstLine="420"/>
                          <w:rPr>
                            <w:sz w:val="18"/>
                            <w:szCs w:val="18"/>
                          </w:rPr>
                        </w:pPr>
                        <w:r>
                          <w:rPr>
                            <w:rFonts w:hint="eastAsia"/>
                            <w:sz w:val="18"/>
                            <w:szCs w:val="18"/>
                          </w:rPr>
                          <w:t>其他</w:t>
                        </w:r>
                      </w:p>
                    </w:tc>
                  </w:sdtContent>
                </w:sdt>
                <w:tc>
                  <w:tcPr>
                    <w:tcW w:w="449" w:type="pct"/>
                  </w:tcPr>
                  <w:p w14:paraId="27FF3021" w14:textId="77777777" w:rsidR="00471D53" w:rsidRDefault="00B664AF">
                    <w:pPr>
                      <w:jc w:val="right"/>
                      <w:rPr>
                        <w:sz w:val="18"/>
                        <w:szCs w:val="18"/>
                      </w:rPr>
                    </w:pPr>
                  </w:p>
                </w:tc>
                <w:tc>
                  <w:tcPr>
                    <w:tcW w:w="141" w:type="pct"/>
                  </w:tcPr>
                  <w:p w14:paraId="03E62919" w14:textId="77777777" w:rsidR="00471D53" w:rsidRDefault="00B664AF">
                    <w:pPr>
                      <w:jc w:val="right"/>
                      <w:rPr>
                        <w:sz w:val="18"/>
                        <w:szCs w:val="18"/>
                      </w:rPr>
                    </w:pPr>
                  </w:p>
                </w:tc>
                <w:tc>
                  <w:tcPr>
                    <w:tcW w:w="141" w:type="pct"/>
                  </w:tcPr>
                  <w:p w14:paraId="2FC36605" w14:textId="77777777" w:rsidR="00471D53" w:rsidRDefault="00B664AF">
                    <w:pPr>
                      <w:jc w:val="right"/>
                      <w:rPr>
                        <w:sz w:val="18"/>
                        <w:szCs w:val="18"/>
                      </w:rPr>
                    </w:pPr>
                  </w:p>
                </w:tc>
                <w:tc>
                  <w:tcPr>
                    <w:tcW w:w="141" w:type="pct"/>
                  </w:tcPr>
                  <w:p w14:paraId="762DA1A8" w14:textId="77777777" w:rsidR="00471D53" w:rsidRDefault="00B664AF">
                    <w:pPr>
                      <w:jc w:val="right"/>
                      <w:rPr>
                        <w:sz w:val="18"/>
                        <w:szCs w:val="18"/>
                      </w:rPr>
                    </w:pPr>
                  </w:p>
                </w:tc>
                <w:tc>
                  <w:tcPr>
                    <w:tcW w:w="449" w:type="pct"/>
                  </w:tcPr>
                  <w:p w14:paraId="4F9FB40C" w14:textId="77777777" w:rsidR="00471D53" w:rsidRDefault="00B664AF">
                    <w:pPr>
                      <w:jc w:val="right"/>
                      <w:rPr>
                        <w:sz w:val="18"/>
                        <w:szCs w:val="18"/>
                      </w:rPr>
                    </w:pPr>
                  </w:p>
                </w:tc>
                <w:tc>
                  <w:tcPr>
                    <w:tcW w:w="204" w:type="pct"/>
                  </w:tcPr>
                  <w:p w14:paraId="3CCB20AD" w14:textId="77777777" w:rsidR="00471D53" w:rsidRDefault="00B664AF">
                    <w:pPr>
                      <w:jc w:val="right"/>
                      <w:rPr>
                        <w:sz w:val="18"/>
                        <w:szCs w:val="18"/>
                      </w:rPr>
                    </w:pPr>
                  </w:p>
                </w:tc>
                <w:tc>
                  <w:tcPr>
                    <w:tcW w:w="369" w:type="pct"/>
                  </w:tcPr>
                  <w:p w14:paraId="57B17166" w14:textId="77777777" w:rsidR="00471D53" w:rsidRDefault="00B664AF">
                    <w:pPr>
                      <w:jc w:val="right"/>
                      <w:rPr>
                        <w:sz w:val="18"/>
                        <w:szCs w:val="18"/>
                      </w:rPr>
                    </w:pPr>
                  </w:p>
                </w:tc>
                <w:tc>
                  <w:tcPr>
                    <w:tcW w:w="141" w:type="pct"/>
                  </w:tcPr>
                  <w:p w14:paraId="4D584D1E" w14:textId="77777777" w:rsidR="00471D53" w:rsidRDefault="00B664AF">
                    <w:pPr>
                      <w:jc w:val="right"/>
                      <w:rPr>
                        <w:sz w:val="18"/>
                        <w:szCs w:val="18"/>
                      </w:rPr>
                    </w:pPr>
                  </w:p>
                </w:tc>
                <w:tc>
                  <w:tcPr>
                    <w:tcW w:w="423" w:type="pct"/>
                  </w:tcPr>
                  <w:p w14:paraId="4F93436D" w14:textId="77777777" w:rsidR="00471D53" w:rsidRDefault="00B664AF">
                    <w:pPr>
                      <w:jc w:val="right"/>
                      <w:rPr>
                        <w:sz w:val="18"/>
                        <w:szCs w:val="18"/>
                      </w:rPr>
                    </w:pPr>
                  </w:p>
                </w:tc>
                <w:tc>
                  <w:tcPr>
                    <w:tcW w:w="141" w:type="pct"/>
                  </w:tcPr>
                  <w:p w14:paraId="5F8E8A08" w14:textId="77777777" w:rsidR="00471D53" w:rsidRDefault="00B664AF">
                    <w:pPr>
                      <w:jc w:val="right"/>
                      <w:rPr>
                        <w:sz w:val="18"/>
                        <w:szCs w:val="18"/>
                      </w:rPr>
                    </w:pPr>
                  </w:p>
                </w:tc>
                <w:tc>
                  <w:tcPr>
                    <w:tcW w:w="476" w:type="pct"/>
                  </w:tcPr>
                  <w:p w14:paraId="7A524226" w14:textId="77777777" w:rsidR="00471D53" w:rsidRDefault="00B664AF">
                    <w:pPr>
                      <w:jc w:val="right"/>
                      <w:rPr>
                        <w:sz w:val="18"/>
                        <w:szCs w:val="18"/>
                      </w:rPr>
                    </w:pPr>
                  </w:p>
                </w:tc>
                <w:tc>
                  <w:tcPr>
                    <w:tcW w:w="141" w:type="pct"/>
                  </w:tcPr>
                  <w:p w14:paraId="40C0A590" w14:textId="77777777" w:rsidR="00471D53" w:rsidRDefault="00B664AF">
                    <w:pPr>
                      <w:jc w:val="right"/>
                      <w:rPr>
                        <w:sz w:val="18"/>
                        <w:szCs w:val="18"/>
                      </w:rPr>
                    </w:pPr>
                  </w:p>
                </w:tc>
                <w:tc>
                  <w:tcPr>
                    <w:tcW w:w="449" w:type="pct"/>
                  </w:tcPr>
                  <w:p w14:paraId="399C6599" w14:textId="77777777" w:rsidR="00471D53" w:rsidRDefault="00B664AF">
                    <w:pPr>
                      <w:jc w:val="right"/>
                      <w:rPr>
                        <w:sz w:val="18"/>
                        <w:szCs w:val="18"/>
                      </w:rPr>
                    </w:pPr>
                  </w:p>
                </w:tc>
                <w:tc>
                  <w:tcPr>
                    <w:tcW w:w="449" w:type="pct"/>
                  </w:tcPr>
                  <w:p w14:paraId="3FF261B8" w14:textId="77777777" w:rsidR="00471D53" w:rsidRDefault="00B664AF">
                    <w:pPr>
                      <w:jc w:val="right"/>
                      <w:rPr>
                        <w:sz w:val="18"/>
                        <w:szCs w:val="18"/>
                      </w:rPr>
                    </w:pPr>
                  </w:p>
                </w:tc>
                <w:tc>
                  <w:tcPr>
                    <w:tcW w:w="503" w:type="pct"/>
                  </w:tcPr>
                  <w:p w14:paraId="509BA017" w14:textId="77777777" w:rsidR="00471D53" w:rsidRDefault="00B664AF">
                    <w:pPr>
                      <w:jc w:val="right"/>
                      <w:rPr>
                        <w:sz w:val="18"/>
                        <w:szCs w:val="18"/>
                      </w:rPr>
                    </w:pPr>
                  </w:p>
                </w:tc>
              </w:tr>
              <w:tr w:rsidR="00471D53" w14:paraId="3FBB6D3A" w14:textId="77777777" w:rsidTr="00471D53">
                <w:sdt>
                  <w:sdtPr>
                    <w:tag w:val="_PLD_16d601e73dc14990b60ca53acf1371ba"/>
                    <w:id w:val="-999878666"/>
                    <w:lock w:val="sdtLocked"/>
                  </w:sdtPr>
                  <w:sdtEndPr/>
                  <w:sdtContent>
                    <w:tc>
                      <w:tcPr>
                        <w:tcW w:w="385" w:type="pct"/>
                      </w:tcPr>
                      <w:p w14:paraId="6DAF0845" w14:textId="77777777" w:rsidR="00471D53" w:rsidRDefault="004F686E">
                        <w:pPr>
                          <w:rPr>
                            <w:sz w:val="18"/>
                            <w:szCs w:val="18"/>
                          </w:rPr>
                        </w:pPr>
                        <w:r>
                          <w:rPr>
                            <w:sz w:val="18"/>
                            <w:szCs w:val="18"/>
                          </w:rPr>
                          <w:t>二、本年</w:t>
                        </w:r>
                        <w:r>
                          <w:rPr>
                            <w:rFonts w:hint="eastAsia"/>
                            <w:sz w:val="18"/>
                            <w:szCs w:val="18"/>
                          </w:rPr>
                          <w:t>期</w:t>
                        </w:r>
                        <w:r>
                          <w:rPr>
                            <w:sz w:val="18"/>
                            <w:szCs w:val="18"/>
                          </w:rPr>
                          <w:t>初余额</w:t>
                        </w:r>
                      </w:p>
                    </w:tc>
                  </w:sdtContent>
                </w:sdt>
                <w:tc>
                  <w:tcPr>
                    <w:tcW w:w="449" w:type="pct"/>
                    <w:vAlign w:val="center"/>
                  </w:tcPr>
                  <w:p w14:paraId="4D2E65D4" w14:textId="78E29CD2" w:rsidR="00471D53" w:rsidRPr="00640F2D" w:rsidRDefault="004F686E">
                    <w:pPr>
                      <w:rPr>
                        <w:sz w:val="15"/>
                        <w:szCs w:val="15"/>
                      </w:rPr>
                    </w:pPr>
                    <w:r w:rsidRPr="00640F2D">
                      <w:rPr>
                        <w:rFonts w:hint="eastAsia"/>
                        <w:sz w:val="15"/>
                        <w:szCs w:val="15"/>
                      </w:rPr>
                      <w:t>485,000,000.00</w:t>
                    </w:r>
                  </w:p>
                </w:tc>
                <w:tc>
                  <w:tcPr>
                    <w:tcW w:w="141" w:type="pct"/>
                    <w:vAlign w:val="center"/>
                  </w:tcPr>
                  <w:p w14:paraId="08055088" w14:textId="77777777" w:rsidR="00471D53" w:rsidRPr="00640F2D" w:rsidRDefault="004F686E">
                    <w:pPr>
                      <w:rPr>
                        <w:color w:val="FFFFFF"/>
                        <w:sz w:val="15"/>
                        <w:szCs w:val="15"/>
                      </w:rPr>
                    </w:pPr>
                    <w:r w:rsidRPr="00640F2D">
                      <w:rPr>
                        <w:rFonts w:hint="eastAsia"/>
                        <w:color w:val="FFFFFF"/>
                        <w:sz w:val="15"/>
                        <w:szCs w:val="15"/>
                      </w:rPr>
                      <w:t xml:space="preserve">　</w:t>
                    </w:r>
                  </w:p>
                </w:tc>
                <w:tc>
                  <w:tcPr>
                    <w:tcW w:w="141" w:type="pct"/>
                    <w:vAlign w:val="center"/>
                  </w:tcPr>
                  <w:p w14:paraId="4EEF3511" w14:textId="77777777" w:rsidR="00471D53" w:rsidRPr="00640F2D" w:rsidRDefault="004F686E">
                    <w:pPr>
                      <w:rPr>
                        <w:color w:val="FFFFFF"/>
                        <w:sz w:val="15"/>
                        <w:szCs w:val="15"/>
                      </w:rPr>
                    </w:pPr>
                    <w:r w:rsidRPr="00640F2D">
                      <w:rPr>
                        <w:rFonts w:hint="eastAsia"/>
                        <w:color w:val="FFFFFF"/>
                        <w:sz w:val="15"/>
                        <w:szCs w:val="15"/>
                      </w:rPr>
                      <w:t xml:space="preserve">　</w:t>
                    </w:r>
                  </w:p>
                </w:tc>
                <w:tc>
                  <w:tcPr>
                    <w:tcW w:w="141" w:type="pct"/>
                    <w:vAlign w:val="center"/>
                  </w:tcPr>
                  <w:p w14:paraId="49D3A7D7" w14:textId="77777777" w:rsidR="00471D53" w:rsidRPr="00640F2D" w:rsidRDefault="004F686E">
                    <w:pPr>
                      <w:rPr>
                        <w:color w:val="FFFFFF"/>
                        <w:sz w:val="15"/>
                        <w:szCs w:val="15"/>
                      </w:rPr>
                    </w:pPr>
                    <w:r w:rsidRPr="00640F2D">
                      <w:rPr>
                        <w:rFonts w:hint="eastAsia"/>
                        <w:color w:val="FFFFFF"/>
                        <w:sz w:val="15"/>
                        <w:szCs w:val="15"/>
                      </w:rPr>
                      <w:t xml:space="preserve">　</w:t>
                    </w:r>
                  </w:p>
                </w:tc>
                <w:tc>
                  <w:tcPr>
                    <w:tcW w:w="449" w:type="pct"/>
                    <w:vAlign w:val="center"/>
                  </w:tcPr>
                  <w:p w14:paraId="57DAB4B4" w14:textId="2EC84C2D" w:rsidR="00471D53" w:rsidRPr="00640F2D" w:rsidRDefault="004F686E">
                    <w:pPr>
                      <w:rPr>
                        <w:sz w:val="15"/>
                        <w:szCs w:val="15"/>
                      </w:rPr>
                    </w:pPr>
                    <w:r w:rsidRPr="00640F2D">
                      <w:rPr>
                        <w:rFonts w:hint="eastAsia"/>
                        <w:sz w:val="15"/>
                        <w:szCs w:val="15"/>
                      </w:rPr>
                      <w:t>833,183,835.84</w:t>
                    </w:r>
                  </w:p>
                </w:tc>
                <w:tc>
                  <w:tcPr>
                    <w:tcW w:w="204" w:type="pct"/>
                    <w:vAlign w:val="center"/>
                  </w:tcPr>
                  <w:p w14:paraId="7C532FCF" w14:textId="77777777" w:rsidR="00471D53" w:rsidRPr="00640F2D" w:rsidRDefault="004F686E">
                    <w:pPr>
                      <w:rPr>
                        <w:color w:val="FFFFFF"/>
                        <w:sz w:val="15"/>
                        <w:szCs w:val="15"/>
                      </w:rPr>
                    </w:pPr>
                    <w:r w:rsidRPr="00640F2D">
                      <w:rPr>
                        <w:rFonts w:hint="eastAsia"/>
                        <w:color w:val="FFFFFF"/>
                        <w:sz w:val="15"/>
                        <w:szCs w:val="15"/>
                      </w:rPr>
                      <w:t xml:space="preserve">　</w:t>
                    </w:r>
                  </w:p>
                </w:tc>
                <w:tc>
                  <w:tcPr>
                    <w:tcW w:w="369" w:type="pct"/>
                    <w:vAlign w:val="center"/>
                  </w:tcPr>
                  <w:p w14:paraId="1E5E10E9" w14:textId="295884A7" w:rsidR="00471D53" w:rsidRPr="00640F2D" w:rsidRDefault="004F686E">
                    <w:pPr>
                      <w:rPr>
                        <w:sz w:val="15"/>
                        <w:szCs w:val="15"/>
                      </w:rPr>
                    </w:pPr>
                    <w:r w:rsidRPr="00640F2D">
                      <w:rPr>
                        <w:rFonts w:hint="eastAsia"/>
                        <w:sz w:val="15"/>
                        <w:szCs w:val="15"/>
                      </w:rPr>
                      <w:t>-325,424.59</w:t>
                    </w:r>
                  </w:p>
                </w:tc>
                <w:tc>
                  <w:tcPr>
                    <w:tcW w:w="141" w:type="pct"/>
                    <w:vAlign w:val="center"/>
                  </w:tcPr>
                  <w:p w14:paraId="19BB861A" w14:textId="77777777" w:rsidR="00471D53" w:rsidRPr="00640F2D" w:rsidRDefault="004F686E">
                    <w:pPr>
                      <w:rPr>
                        <w:color w:val="FFFFFF"/>
                        <w:sz w:val="15"/>
                        <w:szCs w:val="15"/>
                      </w:rPr>
                    </w:pPr>
                    <w:r w:rsidRPr="00640F2D">
                      <w:rPr>
                        <w:rFonts w:hint="eastAsia"/>
                        <w:color w:val="FFFFFF"/>
                        <w:sz w:val="15"/>
                        <w:szCs w:val="15"/>
                      </w:rPr>
                      <w:t xml:space="preserve">　</w:t>
                    </w:r>
                  </w:p>
                </w:tc>
                <w:tc>
                  <w:tcPr>
                    <w:tcW w:w="423" w:type="pct"/>
                    <w:vAlign w:val="center"/>
                  </w:tcPr>
                  <w:p w14:paraId="4A14438D" w14:textId="62C8B463" w:rsidR="00471D53" w:rsidRPr="00640F2D" w:rsidRDefault="004F686E">
                    <w:pPr>
                      <w:rPr>
                        <w:sz w:val="15"/>
                        <w:szCs w:val="15"/>
                      </w:rPr>
                    </w:pPr>
                    <w:r w:rsidRPr="00640F2D">
                      <w:rPr>
                        <w:rFonts w:hint="eastAsia"/>
                        <w:sz w:val="15"/>
                        <w:szCs w:val="15"/>
                      </w:rPr>
                      <w:t>45,665,647.68</w:t>
                    </w:r>
                  </w:p>
                </w:tc>
                <w:tc>
                  <w:tcPr>
                    <w:tcW w:w="141" w:type="pct"/>
                    <w:vAlign w:val="center"/>
                  </w:tcPr>
                  <w:p w14:paraId="0670433B" w14:textId="77777777" w:rsidR="00471D53" w:rsidRPr="00640F2D" w:rsidRDefault="004F686E">
                    <w:pPr>
                      <w:rPr>
                        <w:color w:val="FFFFFF"/>
                        <w:sz w:val="15"/>
                        <w:szCs w:val="15"/>
                      </w:rPr>
                    </w:pPr>
                    <w:r w:rsidRPr="00640F2D">
                      <w:rPr>
                        <w:rFonts w:hint="eastAsia"/>
                        <w:color w:val="FFFFFF"/>
                        <w:sz w:val="15"/>
                        <w:szCs w:val="15"/>
                      </w:rPr>
                      <w:t xml:space="preserve">　</w:t>
                    </w:r>
                  </w:p>
                </w:tc>
                <w:tc>
                  <w:tcPr>
                    <w:tcW w:w="476" w:type="pct"/>
                    <w:vAlign w:val="center"/>
                  </w:tcPr>
                  <w:p w14:paraId="1BCFDB18" w14:textId="48BD35E5" w:rsidR="00471D53" w:rsidRPr="00640F2D" w:rsidRDefault="004F686E">
                    <w:pPr>
                      <w:jc w:val="right"/>
                      <w:rPr>
                        <w:sz w:val="15"/>
                        <w:szCs w:val="15"/>
                      </w:rPr>
                    </w:pPr>
                    <w:r w:rsidRPr="00640F2D">
                      <w:rPr>
                        <w:rFonts w:hint="eastAsia"/>
                        <w:sz w:val="15"/>
                        <w:szCs w:val="15"/>
                      </w:rPr>
                      <w:t>-664,051,428.89</w:t>
                    </w:r>
                  </w:p>
                </w:tc>
                <w:tc>
                  <w:tcPr>
                    <w:tcW w:w="141" w:type="pct"/>
                    <w:vAlign w:val="center"/>
                  </w:tcPr>
                  <w:p w14:paraId="1014E517" w14:textId="77777777" w:rsidR="00471D53" w:rsidRPr="00640F2D" w:rsidRDefault="004F686E">
                    <w:pPr>
                      <w:rPr>
                        <w:color w:val="FFFFFF"/>
                        <w:sz w:val="15"/>
                        <w:szCs w:val="15"/>
                      </w:rPr>
                    </w:pPr>
                    <w:r w:rsidRPr="00640F2D">
                      <w:rPr>
                        <w:rFonts w:hint="eastAsia"/>
                        <w:color w:val="FFFFFF"/>
                        <w:sz w:val="15"/>
                        <w:szCs w:val="15"/>
                      </w:rPr>
                      <w:t xml:space="preserve">　</w:t>
                    </w:r>
                  </w:p>
                </w:tc>
                <w:tc>
                  <w:tcPr>
                    <w:tcW w:w="449" w:type="pct"/>
                    <w:vAlign w:val="center"/>
                  </w:tcPr>
                  <w:p w14:paraId="0CA54DC5" w14:textId="1DC97CAB" w:rsidR="00471D53" w:rsidRPr="00640F2D" w:rsidRDefault="004F686E">
                    <w:pPr>
                      <w:jc w:val="right"/>
                      <w:rPr>
                        <w:sz w:val="15"/>
                        <w:szCs w:val="15"/>
                      </w:rPr>
                    </w:pPr>
                    <w:r w:rsidRPr="00640F2D">
                      <w:rPr>
                        <w:rFonts w:hint="eastAsia"/>
                        <w:sz w:val="15"/>
                        <w:szCs w:val="15"/>
                      </w:rPr>
                      <w:t>699,472,630.04</w:t>
                    </w:r>
                  </w:p>
                </w:tc>
                <w:tc>
                  <w:tcPr>
                    <w:tcW w:w="449" w:type="pct"/>
                    <w:vAlign w:val="center"/>
                  </w:tcPr>
                  <w:p w14:paraId="3CA52AB3" w14:textId="55C063DE" w:rsidR="00471D53" w:rsidRPr="00640F2D" w:rsidRDefault="004F686E">
                    <w:pPr>
                      <w:jc w:val="right"/>
                      <w:rPr>
                        <w:sz w:val="15"/>
                        <w:szCs w:val="15"/>
                      </w:rPr>
                    </w:pPr>
                    <w:r w:rsidRPr="00640F2D">
                      <w:rPr>
                        <w:rFonts w:hint="eastAsia"/>
                        <w:sz w:val="15"/>
                        <w:szCs w:val="15"/>
                      </w:rPr>
                      <w:t>302,132,303.41</w:t>
                    </w:r>
                  </w:p>
                </w:tc>
                <w:tc>
                  <w:tcPr>
                    <w:tcW w:w="503" w:type="pct"/>
                    <w:vAlign w:val="center"/>
                  </w:tcPr>
                  <w:p w14:paraId="2763EE58" w14:textId="50C41AE2" w:rsidR="00471D53" w:rsidRPr="00640F2D" w:rsidRDefault="004F686E">
                    <w:pPr>
                      <w:jc w:val="right"/>
                      <w:rPr>
                        <w:sz w:val="15"/>
                        <w:szCs w:val="15"/>
                      </w:rPr>
                    </w:pPr>
                    <w:r w:rsidRPr="00640F2D">
                      <w:rPr>
                        <w:rFonts w:hint="eastAsia"/>
                        <w:sz w:val="15"/>
                        <w:szCs w:val="15"/>
                      </w:rPr>
                      <w:t>1,001,604,933.45</w:t>
                    </w:r>
                  </w:p>
                </w:tc>
              </w:tr>
              <w:tr w:rsidR="00471D53" w14:paraId="512175CF" w14:textId="77777777" w:rsidTr="00471D53">
                <w:sdt>
                  <w:sdtPr>
                    <w:tag w:val="_PLD_60156dcb8ac241a7929015e75c8eef16"/>
                    <w:id w:val="-1594705370"/>
                    <w:lock w:val="sdtLocked"/>
                  </w:sdtPr>
                  <w:sdtEndPr/>
                  <w:sdtContent>
                    <w:tc>
                      <w:tcPr>
                        <w:tcW w:w="385" w:type="pct"/>
                      </w:tcPr>
                      <w:p w14:paraId="145A19F2" w14:textId="77777777" w:rsidR="00471D53" w:rsidRDefault="004F686E">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449" w:type="pct"/>
                    <w:vAlign w:val="center"/>
                  </w:tcPr>
                  <w:p w14:paraId="76634C2E" w14:textId="4B44C675" w:rsidR="00471D53" w:rsidRPr="00640F2D" w:rsidRDefault="004F686E">
                    <w:pPr>
                      <w:rPr>
                        <w:color w:val="FFFFFF"/>
                        <w:sz w:val="15"/>
                        <w:szCs w:val="15"/>
                      </w:rPr>
                    </w:pPr>
                    <w:r w:rsidRPr="00640F2D">
                      <w:rPr>
                        <w:rFonts w:hint="eastAsia"/>
                        <w:color w:val="FFFFFF"/>
                        <w:sz w:val="15"/>
                        <w:szCs w:val="15"/>
                      </w:rPr>
                      <w:t>-</w:t>
                    </w:r>
                  </w:p>
                </w:tc>
                <w:tc>
                  <w:tcPr>
                    <w:tcW w:w="141" w:type="pct"/>
                    <w:vAlign w:val="center"/>
                  </w:tcPr>
                  <w:p w14:paraId="5A6E7AD8" w14:textId="77777777" w:rsidR="00471D53" w:rsidRPr="00640F2D" w:rsidRDefault="004F686E">
                    <w:pPr>
                      <w:rPr>
                        <w:color w:val="FFFFFF"/>
                        <w:sz w:val="15"/>
                        <w:szCs w:val="15"/>
                      </w:rPr>
                    </w:pPr>
                    <w:r w:rsidRPr="00640F2D">
                      <w:rPr>
                        <w:rFonts w:hint="eastAsia"/>
                        <w:color w:val="FFFFFF"/>
                        <w:sz w:val="15"/>
                        <w:szCs w:val="15"/>
                      </w:rPr>
                      <w:t xml:space="preserve">　</w:t>
                    </w:r>
                  </w:p>
                </w:tc>
                <w:tc>
                  <w:tcPr>
                    <w:tcW w:w="141" w:type="pct"/>
                    <w:vAlign w:val="center"/>
                  </w:tcPr>
                  <w:p w14:paraId="5B6B8D4E" w14:textId="77777777" w:rsidR="00471D53" w:rsidRPr="00640F2D" w:rsidRDefault="004F686E">
                    <w:pPr>
                      <w:rPr>
                        <w:color w:val="FFFFFF"/>
                        <w:sz w:val="15"/>
                        <w:szCs w:val="15"/>
                      </w:rPr>
                    </w:pPr>
                    <w:r w:rsidRPr="00640F2D">
                      <w:rPr>
                        <w:rFonts w:hint="eastAsia"/>
                        <w:color w:val="FFFFFF"/>
                        <w:sz w:val="15"/>
                        <w:szCs w:val="15"/>
                      </w:rPr>
                      <w:t xml:space="preserve">　</w:t>
                    </w:r>
                  </w:p>
                </w:tc>
                <w:tc>
                  <w:tcPr>
                    <w:tcW w:w="141" w:type="pct"/>
                    <w:vAlign w:val="center"/>
                  </w:tcPr>
                  <w:p w14:paraId="4818C533" w14:textId="77777777" w:rsidR="00471D53" w:rsidRPr="00640F2D" w:rsidRDefault="004F686E">
                    <w:pPr>
                      <w:rPr>
                        <w:color w:val="FFFFFF"/>
                        <w:sz w:val="15"/>
                        <w:szCs w:val="15"/>
                      </w:rPr>
                    </w:pPr>
                    <w:r w:rsidRPr="00640F2D">
                      <w:rPr>
                        <w:rFonts w:hint="eastAsia"/>
                        <w:color w:val="FFFFFF"/>
                        <w:sz w:val="15"/>
                        <w:szCs w:val="15"/>
                      </w:rPr>
                      <w:t xml:space="preserve">　</w:t>
                    </w:r>
                  </w:p>
                </w:tc>
                <w:tc>
                  <w:tcPr>
                    <w:tcW w:w="449" w:type="pct"/>
                    <w:vAlign w:val="center"/>
                  </w:tcPr>
                  <w:p w14:paraId="79520386" w14:textId="3E2A1322" w:rsidR="00471D53" w:rsidRPr="00640F2D" w:rsidRDefault="004F686E">
                    <w:pPr>
                      <w:rPr>
                        <w:color w:val="FFFFFF"/>
                        <w:sz w:val="15"/>
                        <w:szCs w:val="15"/>
                      </w:rPr>
                    </w:pPr>
                    <w:r w:rsidRPr="00640F2D">
                      <w:rPr>
                        <w:rFonts w:hint="eastAsia"/>
                        <w:color w:val="FFFFFF"/>
                        <w:sz w:val="15"/>
                        <w:szCs w:val="15"/>
                      </w:rPr>
                      <w:t>-</w:t>
                    </w:r>
                  </w:p>
                </w:tc>
                <w:tc>
                  <w:tcPr>
                    <w:tcW w:w="204" w:type="pct"/>
                    <w:vAlign w:val="center"/>
                  </w:tcPr>
                  <w:p w14:paraId="5A5E2F41" w14:textId="77777777" w:rsidR="00471D53" w:rsidRPr="00640F2D" w:rsidRDefault="004F686E">
                    <w:pPr>
                      <w:rPr>
                        <w:color w:val="FFFFFF"/>
                        <w:sz w:val="15"/>
                        <w:szCs w:val="15"/>
                      </w:rPr>
                    </w:pPr>
                    <w:r w:rsidRPr="00640F2D">
                      <w:rPr>
                        <w:rFonts w:hint="eastAsia"/>
                        <w:color w:val="FFFFFF"/>
                        <w:sz w:val="15"/>
                        <w:szCs w:val="15"/>
                      </w:rPr>
                      <w:t xml:space="preserve">　</w:t>
                    </w:r>
                  </w:p>
                </w:tc>
                <w:tc>
                  <w:tcPr>
                    <w:tcW w:w="369" w:type="pct"/>
                    <w:vAlign w:val="center"/>
                  </w:tcPr>
                  <w:p w14:paraId="6A47A8F4" w14:textId="6F2CC422" w:rsidR="00471D53" w:rsidRPr="00640F2D" w:rsidRDefault="004F686E">
                    <w:pPr>
                      <w:jc w:val="right"/>
                      <w:rPr>
                        <w:sz w:val="15"/>
                        <w:szCs w:val="15"/>
                      </w:rPr>
                    </w:pPr>
                    <w:r w:rsidRPr="00640F2D">
                      <w:rPr>
                        <w:rFonts w:hint="eastAsia"/>
                        <w:sz w:val="15"/>
                        <w:szCs w:val="15"/>
                      </w:rPr>
                      <w:t>-286,022.69</w:t>
                    </w:r>
                  </w:p>
                </w:tc>
                <w:tc>
                  <w:tcPr>
                    <w:tcW w:w="141" w:type="pct"/>
                    <w:vAlign w:val="center"/>
                  </w:tcPr>
                  <w:p w14:paraId="5A297866" w14:textId="77777777" w:rsidR="00471D53" w:rsidRPr="00640F2D" w:rsidRDefault="004F686E">
                    <w:pPr>
                      <w:rPr>
                        <w:color w:val="FFFFFF"/>
                        <w:sz w:val="15"/>
                        <w:szCs w:val="15"/>
                      </w:rPr>
                    </w:pPr>
                    <w:r w:rsidRPr="00640F2D">
                      <w:rPr>
                        <w:rFonts w:hint="eastAsia"/>
                        <w:color w:val="FFFFFF"/>
                        <w:sz w:val="15"/>
                        <w:szCs w:val="15"/>
                      </w:rPr>
                      <w:t xml:space="preserve">　</w:t>
                    </w:r>
                  </w:p>
                </w:tc>
                <w:tc>
                  <w:tcPr>
                    <w:tcW w:w="423" w:type="pct"/>
                    <w:vAlign w:val="center"/>
                  </w:tcPr>
                  <w:p w14:paraId="03FCC025" w14:textId="77777777" w:rsidR="00471D53" w:rsidRPr="00640F2D" w:rsidRDefault="004F686E">
                    <w:pPr>
                      <w:rPr>
                        <w:color w:val="FFFFFF"/>
                        <w:sz w:val="15"/>
                        <w:szCs w:val="15"/>
                      </w:rPr>
                    </w:pPr>
                    <w:r w:rsidRPr="00640F2D">
                      <w:rPr>
                        <w:rFonts w:hint="eastAsia"/>
                        <w:color w:val="FFFFFF"/>
                        <w:sz w:val="15"/>
                        <w:szCs w:val="15"/>
                      </w:rPr>
                      <w:t xml:space="preserve">　</w:t>
                    </w:r>
                  </w:p>
                </w:tc>
                <w:tc>
                  <w:tcPr>
                    <w:tcW w:w="141" w:type="pct"/>
                    <w:vAlign w:val="center"/>
                  </w:tcPr>
                  <w:p w14:paraId="1263EBD0" w14:textId="77777777" w:rsidR="00471D53" w:rsidRPr="00640F2D" w:rsidRDefault="004F686E">
                    <w:pPr>
                      <w:rPr>
                        <w:color w:val="FFFFFF"/>
                        <w:sz w:val="15"/>
                        <w:szCs w:val="15"/>
                      </w:rPr>
                    </w:pPr>
                    <w:r w:rsidRPr="00640F2D">
                      <w:rPr>
                        <w:rFonts w:hint="eastAsia"/>
                        <w:color w:val="FFFFFF"/>
                        <w:sz w:val="15"/>
                        <w:szCs w:val="15"/>
                      </w:rPr>
                      <w:t xml:space="preserve">　</w:t>
                    </w:r>
                  </w:p>
                </w:tc>
                <w:tc>
                  <w:tcPr>
                    <w:tcW w:w="476" w:type="pct"/>
                    <w:vAlign w:val="center"/>
                  </w:tcPr>
                  <w:p w14:paraId="1E5A5006" w14:textId="236D42D1" w:rsidR="00471D53" w:rsidRPr="00640F2D" w:rsidRDefault="004F686E">
                    <w:pPr>
                      <w:jc w:val="right"/>
                      <w:rPr>
                        <w:sz w:val="15"/>
                        <w:szCs w:val="15"/>
                      </w:rPr>
                    </w:pPr>
                    <w:r w:rsidRPr="00640F2D">
                      <w:rPr>
                        <w:rFonts w:hint="eastAsia"/>
                        <w:sz w:val="15"/>
                        <w:szCs w:val="15"/>
                      </w:rPr>
                      <w:t>-1,313,304.91</w:t>
                    </w:r>
                  </w:p>
                </w:tc>
                <w:tc>
                  <w:tcPr>
                    <w:tcW w:w="141" w:type="pct"/>
                    <w:vAlign w:val="center"/>
                  </w:tcPr>
                  <w:p w14:paraId="09BCB845" w14:textId="77777777" w:rsidR="00471D53" w:rsidRPr="00640F2D" w:rsidRDefault="004F686E">
                    <w:pPr>
                      <w:rPr>
                        <w:color w:val="FFFFFF"/>
                        <w:sz w:val="15"/>
                        <w:szCs w:val="15"/>
                      </w:rPr>
                    </w:pPr>
                    <w:r w:rsidRPr="00640F2D">
                      <w:rPr>
                        <w:rFonts w:hint="eastAsia"/>
                        <w:color w:val="FFFFFF"/>
                        <w:sz w:val="15"/>
                        <w:szCs w:val="15"/>
                      </w:rPr>
                      <w:t xml:space="preserve">　</w:t>
                    </w:r>
                  </w:p>
                </w:tc>
                <w:tc>
                  <w:tcPr>
                    <w:tcW w:w="449" w:type="pct"/>
                    <w:vAlign w:val="center"/>
                  </w:tcPr>
                  <w:p w14:paraId="27F5EA7D" w14:textId="31A90625" w:rsidR="00471D53" w:rsidRPr="00640F2D" w:rsidRDefault="004F686E">
                    <w:pPr>
                      <w:jc w:val="right"/>
                      <w:rPr>
                        <w:sz w:val="15"/>
                        <w:szCs w:val="15"/>
                      </w:rPr>
                    </w:pPr>
                    <w:r w:rsidRPr="00640F2D">
                      <w:rPr>
                        <w:rFonts w:hint="eastAsia"/>
                        <w:sz w:val="15"/>
                        <w:szCs w:val="15"/>
                      </w:rPr>
                      <w:t>-1,599,327.60</w:t>
                    </w:r>
                  </w:p>
                </w:tc>
                <w:tc>
                  <w:tcPr>
                    <w:tcW w:w="449" w:type="pct"/>
                    <w:vAlign w:val="center"/>
                  </w:tcPr>
                  <w:p w14:paraId="20317276" w14:textId="3C5D9873" w:rsidR="00471D53" w:rsidRPr="00640F2D" w:rsidRDefault="004F686E">
                    <w:pPr>
                      <w:jc w:val="right"/>
                      <w:rPr>
                        <w:sz w:val="15"/>
                        <w:szCs w:val="15"/>
                      </w:rPr>
                    </w:pPr>
                    <w:r w:rsidRPr="00640F2D">
                      <w:rPr>
                        <w:rFonts w:hint="eastAsia"/>
                        <w:sz w:val="15"/>
                        <w:szCs w:val="15"/>
                      </w:rPr>
                      <w:t>665,044.95</w:t>
                    </w:r>
                  </w:p>
                </w:tc>
                <w:tc>
                  <w:tcPr>
                    <w:tcW w:w="503" w:type="pct"/>
                    <w:vAlign w:val="center"/>
                  </w:tcPr>
                  <w:p w14:paraId="2400E36C" w14:textId="6DAE59E7" w:rsidR="00471D53" w:rsidRPr="00640F2D" w:rsidRDefault="004F686E">
                    <w:pPr>
                      <w:jc w:val="right"/>
                      <w:rPr>
                        <w:sz w:val="15"/>
                        <w:szCs w:val="15"/>
                      </w:rPr>
                    </w:pPr>
                    <w:r w:rsidRPr="00640F2D">
                      <w:rPr>
                        <w:rFonts w:hint="eastAsia"/>
                        <w:sz w:val="15"/>
                        <w:szCs w:val="15"/>
                      </w:rPr>
                      <w:t>-934,282.65</w:t>
                    </w:r>
                  </w:p>
                </w:tc>
              </w:tr>
              <w:tr w:rsidR="00471D53" w14:paraId="2B99623B" w14:textId="77777777" w:rsidTr="00471D53">
                <w:sdt>
                  <w:sdtPr>
                    <w:tag w:val="_PLD_b05dacde51ff43abaf7ec73bf9668d99"/>
                    <w:id w:val="-1455781893"/>
                    <w:lock w:val="sdtLocked"/>
                  </w:sdtPr>
                  <w:sdtEndPr/>
                  <w:sdtContent>
                    <w:tc>
                      <w:tcPr>
                        <w:tcW w:w="385" w:type="pct"/>
                      </w:tcPr>
                      <w:p w14:paraId="0BB15C4C" w14:textId="77777777" w:rsidR="00471D53" w:rsidRDefault="004F686E">
                        <w:pPr>
                          <w:rPr>
                            <w:sz w:val="18"/>
                            <w:szCs w:val="18"/>
                          </w:rPr>
                        </w:pPr>
                        <w:r>
                          <w:rPr>
                            <w:rFonts w:hint="eastAsia"/>
                            <w:sz w:val="18"/>
                            <w:szCs w:val="18"/>
                          </w:rPr>
                          <w:t>（一）综合收益总额</w:t>
                        </w:r>
                      </w:p>
                    </w:tc>
                  </w:sdtContent>
                </w:sdt>
                <w:tc>
                  <w:tcPr>
                    <w:tcW w:w="449" w:type="pct"/>
                    <w:vAlign w:val="center"/>
                  </w:tcPr>
                  <w:p w14:paraId="1F0241A9" w14:textId="77777777" w:rsidR="00471D53" w:rsidRPr="00640F2D" w:rsidRDefault="004F686E">
                    <w:pPr>
                      <w:jc w:val="right"/>
                      <w:rPr>
                        <w:color w:val="FFFFFF"/>
                        <w:sz w:val="15"/>
                        <w:szCs w:val="15"/>
                      </w:rPr>
                    </w:pPr>
                    <w:r w:rsidRPr="00640F2D">
                      <w:rPr>
                        <w:rFonts w:hint="eastAsia"/>
                        <w:color w:val="FFFFFF"/>
                        <w:sz w:val="15"/>
                        <w:szCs w:val="15"/>
                      </w:rPr>
                      <w:t xml:space="preserve">　</w:t>
                    </w:r>
                  </w:p>
                </w:tc>
                <w:tc>
                  <w:tcPr>
                    <w:tcW w:w="141" w:type="pct"/>
                    <w:vAlign w:val="center"/>
                  </w:tcPr>
                  <w:p w14:paraId="349DAC6A" w14:textId="77777777" w:rsidR="00471D53" w:rsidRPr="00640F2D" w:rsidRDefault="004F686E">
                    <w:pPr>
                      <w:jc w:val="right"/>
                      <w:rPr>
                        <w:color w:val="FFFFFF"/>
                        <w:sz w:val="15"/>
                        <w:szCs w:val="15"/>
                      </w:rPr>
                    </w:pPr>
                    <w:r w:rsidRPr="00640F2D">
                      <w:rPr>
                        <w:rFonts w:hint="eastAsia"/>
                        <w:color w:val="FFFFFF"/>
                        <w:sz w:val="15"/>
                        <w:szCs w:val="15"/>
                      </w:rPr>
                      <w:t xml:space="preserve">　</w:t>
                    </w:r>
                  </w:p>
                </w:tc>
                <w:tc>
                  <w:tcPr>
                    <w:tcW w:w="141" w:type="pct"/>
                    <w:vAlign w:val="center"/>
                  </w:tcPr>
                  <w:p w14:paraId="1FEC24F1" w14:textId="77777777" w:rsidR="00471D53" w:rsidRPr="00640F2D" w:rsidRDefault="004F686E">
                    <w:pPr>
                      <w:jc w:val="right"/>
                      <w:rPr>
                        <w:color w:val="FFFFFF"/>
                        <w:sz w:val="15"/>
                        <w:szCs w:val="15"/>
                      </w:rPr>
                    </w:pPr>
                    <w:r w:rsidRPr="00640F2D">
                      <w:rPr>
                        <w:rFonts w:hint="eastAsia"/>
                        <w:color w:val="FFFFFF"/>
                        <w:sz w:val="15"/>
                        <w:szCs w:val="15"/>
                      </w:rPr>
                      <w:t xml:space="preserve">　</w:t>
                    </w:r>
                  </w:p>
                </w:tc>
                <w:tc>
                  <w:tcPr>
                    <w:tcW w:w="141" w:type="pct"/>
                    <w:vAlign w:val="center"/>
                  </w:tcPr>
                  <w:p w14:paraId="41520180" w14:textId="77777777" w:rsidR="00471D53" w:rsidRPr="00640F2D" w:rsidRDefault="004F686E">
                    <w:pPr>
                      <w:jc w:val="right"/>
                      <w:rPr>
                        <w:color w:val="FFFFFF"/>
                        <w:sz w:val="15"/>
                        <w:szCs w:val="15"/>
                      </w:rPr>
                    </w:pPr>
                    <w:r w:rsidRPr="00640F2D">
                      <w:rPr>
                        <w:rFonts w:hint="eastAsia"/>
                        <w:color w:val="FFFFFF"/>
                        <w:sz w:val="15"/>
                        <w:szCs w:val="15"/>
                      </w:rPr>
                      <w:t xml:space="preserve">　</w:t>
                    </w:r>
                  </w:p>
                </w:tc>
                <w:tc>
                  <w:tcPr>
                    <w:tcW w:w="449" w:type="pct"/>
                    <w:vAlign w:val="center"/>
                  </w:tcPr>
                  <w:p w14:paraId="02105E13" w14:textId="77777777" w:rsidR="00471D53" w:rsidRPr="00640F2D" w:rsidRDefault="004F686E">
                    <w:pPr>
                      <w:jc w:val="right"/>
                      <w:rPr>
                        <w:color w:val="FFFFFF"/>
                        <w:sz w:val="15"/>
                        <w:szCs w:val="15"/>
                      </w:rPr>
                    </w:pPr>
                    <w:r w:rsidRPr="00640F2D">
                      <w:rPr>
                        <w:rFonts w:hint="eastAsia"/>
                        <w:color w:val="FFFFFF"/>
                        <w:sz w:val="15"/>
                        <w:szCs w:val="15"/>
                      </w:rPr>
                      <w:t xml:space="preserve">　</w:t>
                    </w:r>
                  </w:p>
                </w:tc>
                <w:tc>
                  <w:tcPr>
                    <w:tcW w:w="204" w:type="pct"/>
                    <w:vAlign w:val="center"/>
                  </w:tcPr>
                  <w:p w14:paraId="48F5B8D2" w14:textId="77777777" w:rsidR="00471D53" w:rsidRPr="00640F2D" w:rsidRDefault="004F686E">
                    <w:pPr>
                      <w:jc w:val="right"/>
                      <w:rPr>
                        <w:color w:val="FFFFFF"/>
                        <w:sz w:val="15"/>
                        <w:szCs w:val="15"/>
                      </w:rPr>
                    </w:pPr>
                    <w:r w:rsidRPr="00640F2D">
                      <w:rPr>
                        <w:rFonts w:hint="eastAsia"/>
                        <w:color w:val="FFFFFF"/>
                        <w:sz w:val="15"/>
                        <w:szCs w:val="15"/>
                      </w:rPr>
                      <w:t xml:space="preserve">　</w:t>
                    </w:r>
                  </w:p>
                </w:tc>
                <w:tc>
                  <w:tcPr>
                    <w:tcW w:w="369" w:type="pct"/>
                    <w:vAlign w:val="center"/>
                  </w:tcPr>
                  <w:p w14:paraId="15C039CB" w14:textId="54BBE2DC" w:rsidR="00471D53" w:rsidRPr="00640F2D" w:rsidRDefault="004F686E">
                    <w:pPr>
                      <w:jc w:val="right"/>
                      <w:rPr>
                        <w:sz w:val="15"/>
                        <w:szCs w:val="15"/>
                      </w:rPr>
                    </w:pPr>
                    <w:r w:rsidRPr="00640F2D">
                      <w:rPr>
                        <w:rFonts w:hint="eastAsia"/>
                        <w:sz w:val="15"/>
                        <w:szCs w:val="15"/>
                      </w:rPr>
                      <w:t>-286,022.69</w:t>
                    </w:r>
                  </w:p>
                </w:tc>
                <w:tc>
                  <w:tcPr>
                    <w:tcW w:w="141" w:type="pct"/>
                    <w:vAlign w:val="center"/>
                  </w:tcPr>
                  <w:p w14:paraId="0A75E1A3" w14:textId="77777777" w:rsidR="00471D53" w:rsidRPr="00640F2D" w:rsidRDefault="004F686E">
                    <w:pPr>
                      <w:jc w:val="right"/>
                      <w:rPr>
                        <w:color w:val="FFFFFF"/>
                        <w:sz w:val="15"/>
                        <w:szCs w:val="15"/>
                      </w:rPr>
                    </w:pPr>
                    <w:r w:rsidRPr="00640F2D">
                      <w:rPr>
                        <w:rFonts w:hint="eastAsia"/>
                        <w:color w:val="FFFFFF"/>
                        <w:sz w:val="15"/>
                        <w:szCs w:val="15"/>
                      </w:rPr>
                      <w:t xml:space="preserve">　</w:t>
                    </w:r>
                  </w:p>
                </w:tc>
                <w:tc>
                  <w:tcPr>
                    <w:tcW w:w="423" w:type="pct"/>
                    <w:vAlign w:val="center"/>
                  </w:tcPr>
                  <w:p w14:paraId="675DE93A" w14:textId="77777777" w:rsidR="00471D53" w:rsidRPr="00640F2D" w:rsidRDefault="004F686E">
                    <w:pPr>
                      <w:jc w:val="right"/>
                      <w:rPr>
                        <w:color w:val="FFFFFF"/>
                        <w:sz w:val="15"/>
                        <w:szCs w:val="15"/>
                      </w:rPr>
                    </w:pPr>
                    <w:r w:rsidRPr="00640F2D">
                      <w:rPr>
                        <w:rFonts w:hint="eastAsia"/>
                        <w:color w:val="FFFFFF"/>
                        <w:sz w:val="15"/>
                        <w:szCs w:val="15"/>
                      </w:rPr>
                      <w:t xml:space="preserve">　</w:t>
                    </w:r>
                  </w:p>
                </w:tc>
                <w:tc>
                  <w:tcPr>
                    <w:tcW w:w="141" w:type="pct"/>
                    <w:vAlign w:val="center"/>
                  </w:tcPr>
                  <w:p w14:paraId="18C94D0F" w14:textId="77777777" w:rsidR="00471D53" w:rsidRPr="00640F2D" w:rsidRDefault="004F686E">
                    <w:pPr>
                      <w:jc w:val="right"/>
                      <w:rPr>
                        <w:color w:val="FFFFFF"/>
                        <w:sz w:val="15"/>
                        <w:szCs w:val="15"/>
                      </w:rPr>
                    </w:pPr>
                    <w:r w:rsidRPr="00640F2D">
                      <w:rPr>
                        <w:rFonts w:hint="eastAsia"/>
                        <w:color w:val="FFFFFF"/>
                        <w:sz w:val="15"/>
                        <w:szCs w:val="15"/>
                      </w:rPr>
                      <w:t xml:space="preserve">　</w:t>
                    </w:r>
                  </w:p>
                </w:tc>
                <w:tc>
                  <w:tcPr>
                    <w:tcW w:w="476" w:type="pct"/>
                    <w:vAlign w:val="center"/>
                  </w:tcPr>
                  <w:p w14:paraId="7D9DFD01" w14:textId="46FAFA26" w:rsidR="00471D53" w:rsidRPr="00640F2D" w:rsidRDefault="004F686E">
                    <w:pPr>
                      <w:jc w:val="right"/>
                      <w:rPr>
                        <w:sz w:val="15"/>
                        <w:szCs w:val="15"/>
                      </w:rPr>
                    </w:pPr>
                    <w:r w:rsidRPr="00640F2D">
                      <w:rPr>
                        <w:rFonts w:hint="eastAsia"/>
                        <w:sz w:val="15"/>
                        <w:szCs w:val="15"/>
                      </w:rPr>
                      <w:t>-1,313,304.91</w:t>
                    </w:r>
                  </w:p>
                </w:tc>
                <w:tc>
                  <w:tcPr>
                    <w:tcW w:w="141" w:type="pct"/>
                    <w:vAlign w:val="center"/>
                  </w:tcPr>
                  <w:p w14:paraId="31001749" w14:textId="77777777" w:rsidR="00471D53" w:rsidRPr="00640F2D" w:rsidRDefault="004F686E">
                    <w:pPr>
                      <w:jc w:val="right"/>
                      <w:rPr>
                        <w:color w:val="FFFFFF"/>
                        <w:sz w:val="15"/>
                        <w:szCs w:val="15"/>
                      </w:rPr>
                    </w:pPr>
                    <w:r w:rsidRPr="00640F2D">
                      <w:rPr>
                        <w:rFonts w:hint="eastAsia"/>
                        <w:color w:val="FFFFFF"/>
                        <w:sz w:val="15"/>
                        <w:szCs w:val="15"/>
                      </w:rPr>
                      <w:t xml:space="preserve">　</w:t>
                    </w:r>
                  </w:p>
                </w:tc>
                <w:tc>
                  <w:tcPr>
                    <w:tcW w:w="449" w:type="pct"/>
                    <w:vAlign w:val="center"/>
                  </w:tcPr>
                  <w:p w14:paraId="6B8A122D" w14:textId="255B50AF" w:rsidR="00471D53" w:rsidRPr="00640F2D" w:rsidRDefault="004F686E">
                    <w:pPr>
                      <w:jc w:val="right"/>
                      <w:rPr>
                        <w:sz w:val="15"/>
                        <w:szCs w:val="15"/>
                      </w:rPr>
                    </w:pPr>
                    <w:r w:rsidRPr="00640F2D">
                      <w:rPr>
                        <w:rFonts w:hint="eastAsia"/>
                        <w:sz w:val="15"/>
                        <w:szCs w:val="15"/>
                      </w:rPr>
                      <w:t>-1,599,327.60</w:t>
                    </w:r>
                  </w:p>
                </w:tc>
                <w:tc>
                  <w:tcPr>
                    <w:tcW w:w="449" w:type="pct"/>
                    <w:vAlign w:val="center"/>
                  </w:tcPr>
                  <w:p w14:paraId="2AE82D34" w14:textId="3B330AFD" w:rsidR="00471D53" w:rsidRPr="00640F2D" w:rsidRDefault="004F686E">
                    <w:pPr>
                      <w:jc w:val="right"/>
                      <w:rPr>
                        <w:sz w:val="15"/>
                        <w:szCs w:val="15"/>
                      </w:rPr>
                    </w:pPr>
                    <w:r w:rsidRPr="00640F2D">
                      <w:rPr>
                        <w:rFonts w:hint="eastAsia"/>
                        <w:sz w:val="15"/>
                        <w:szCs w:val="15"/>
                      </w:rPr>
                      <w:t>665,044.95</w:t>
                    </w:r>
                  </w:p>
                </w:tc>
                <w:tc>
                  <w:tcPr>
                    <w:tcW w:w="503" w:type="pct"/>
                    <w:vAlign w:val="center"/>
                  </w:tcPr>
                  <w:p w14:paraId="281AEA40" w14:textId="30395557" w:rsidR="00471D53" w:rsidRPr="00640F2D" w:rsidRDefault="004F686E">
                    <w:pPr>
                      <w:jc w:val="right"/>
                      <w:rPr>
                        <w:sz w:val="15"/>
                        <w:szCs w:val="15"/>
                      </w:rPr>
                    </w:pPr>
                    <w:r w:rsidRPr="00640F2D">
                      <w:rPr>
                        <w:rFonts w:hint="eastAsia"/>
                        <w:sz w:val="15"/>
                        <w:szCs w:val="15"/>
                      </w:rPr>
                      <w:t>-934,282.65</w:t>
                    </w:r>
                  </w:p>
                </w:tc>
              </w:tr>
              <w:tr w:rsidR="00471D53" w14:paraId="1021200C" w14:textId="77777777" w:rsidTr="00471D53">
                <w:sdt>
                  <w:sdtPr>
                    <w:tag w:val="_PLD_f17921fb207340239c73a056e615d773"/>
                    <w:id w:val="-193930013"/>
                    <w:lock w:val="sdtLocked"/>
                  </w:sdtPr>
                  <w:sdtEndPr/>
                  <w:sdtContent>
                    <w:tc>
                      <w:tcPr>
                        <w:tcW w:w="385" w:type="pct"/>
                      </w:tcPr>
                      <w:p w14:paraId="365A4820" w14:textId="77777777" w:rsidR="00471D53" w:rsidRDefault="004F686E">
                        <w:pPr>
                          <w:rPr>
                            <w:sz w:val="18"/>
                            <w:szCs w:val="18"/>
                          </w:rPr>
                        </w:pPr>
                        <w:r>
                          <w:rPr>
                            <w:sz w:val="18"/>
                            <w:szCs w:val="18"/>
                          </w:rPr>
                          <w:t>（</w:t>
                        </w:r>
                        <w:r>
                          <w:rPr>
                            <w:rFonts w:hint="eastAsia"/>
                            <w:sz w:val="18"/>
                            <w:szCs w:val="18"/>
                          </w:rPr>
                          <w:t>二</w:t>
                        </w:r>
                        <w:r>
                          <w:rPr>
                            <w:sz w:val="18"/>
                            <w:szCs w:val="18"/>
                          </w:rPr>
                          <w:t>）所有者投入</w:t>
                        </w:r>
                        <w:r>
                          <w:rPr>
                            <w:sz w:val="18"/>
                            <w:szCs w:val="18"/>
                          </w:rPr>
                          <w:lastRenderedPageBreak/>
                          <w:t>和减少资本</w:t>
                        </w:r>
                      </w:p>
                    </w:tc>
                  </w:sdtContent>
                </w:sdt>
                <w:tc>
                  <w:tcPr>
                    <w:tcW w:w="449" w:type="pct"/>
                  </w:tcPr>
                  <w:p w14:paraId="38EC3B74" w14:textId="77777777" w:rsidR="00471D53" w:rsidRDefault="00B664AF">
                    <w:pPr>
                      <w:jc w:val="right"/>
                      <w:rPr>
                        <w:sz w:val="18"/>
                        <w:szCs w:val="18"/>
                      </w:rPr>
                    </w:pPr>
                  </w:p>
                </w:tc>
                <w:tc>
                  <w:tcPr>
                    <w:tcW w:w="141" w:type="pct"/>
                  </w:tcPr>
                  <w:p w14:paraId="59B19759" w14:textId="77777777" w:rsidR="00471D53" w:rsidRDefault="00B664AF">
                    <w:pPr>
                      <w:jc w:val="right"/>
                      <w:rPr>
                        <w:sz w:val="18"/>
                        <w:szCs w:val="18"/>
                      </w:rPr>
                    </w:pPr>
                  </w:p>
                </w:tc>
                <w:tc>
                  <w:tcPr>
                    <w:tcW w:w="141" w:type="pct"/>
                  </w:tcPr>
                  <w:p w14:paraId="0D0812BE" w14:textId="77777777" w:rsidR="00471D53" w:rsidRDefault="00B664AF">
                    <w:pPr>
                      <w:jc w:val="right"/>
                      <w:rPr>
                        <w:sz w:val="18"/>
                        <w:szCs w:val="18"/>
                      </w:rPr>
                    </w:pPr>
                  </w:p>
                </w:tc>
                <w:tc>
                  <w:tcPr>
                    <w:tcW w:w="141" w:type="pct"/>
                  </w:tcPr>
                  <w:p w14:paraId="09C3BB99" w14:textId="77777777" w:rsidR="00471D53" w:rsidRDefault="00B664AF">
                    <w:pPr>
                      <w:jc w:val="right"/>
                      <w:rPr>
                        <w:sz w:val="18"/>
                        <w:szCs w:val="18"/>
                      </w:rPr>
                    </w:pPr>
                  </w:p>
                </w:tc>
                <w:tc>
                  <w:tcPr>
                    <w:tcW w:w="449" w:type="pct"/>
                  </w:tcPr>
                  <w:p w14:paraId="35009561" w14:textId="77777777" w:rsidR="00471D53" w:rsidRDefault="00B664AF">
                    <w:pPr>
                      <w:jc w:val="right"/>
                      <w:rPr>
                        <w:sz w:val="18"/>
                        <w:szCs w:val="18"/>
                      </w:rPr>
                    </w:pPr>
                  </w:p>
                </w:tc>
                <w:tc>
                  <w:tcPr>
                    <w:tcW w:w="204" w:type="pct"/>
                  </w:tcPr>
                  <w:p w14:paraId="726F77F0" w14:textId="77777777" w:rsidR="00471D53" w:rsidRDefault="00B664AF">
                    <w:pPr>
                      <w:jc w:val="right"/>
                      <w:rPr>
                        <w:sz w:val="18"/>
                        <w:szCs w:val="18"/>
                      </w:rPr>
                    </w:pPr>
                  </w:p>
                </w:tc>
                <w:tc>
                  <w:tcPr>
                    <w:tcW w:w="369" w:type="pct"/>
                  </w:tcPr>
                  <w:p w14:paraId="395919E4" w14:textId="77777777" w:rsidR="00471D53" w:rsidRDefault="00B664AF">
                    <w:pPr>
                      <w:jc w:val="right"/>
                      <w:rPr>
                        <w:sz w:val="18"/>
                        <w:szCs w:val="18"/>
                      </w:rPr>
                    </w:pPr>
                  </w:p>
                </w:tc>
                <w:tc>
                  <w:tcPr>
                    <w:tcW w:w="141" w:type="pct"/>
                  </w:tcPr>
                  <w:p w14:paraId="2A43024B" w14:textId="77777777" w:rsidR="00471D53" w:rsidRDefault="00B664AF">
                    <w:pPr>
                      <w:jc w:val="right"/>
                      <w:rPr>
                        <w:sz w:val="18"/>
                        <w:szCs w:val="18"/>
                      </w:rPr>
                    </w:pPr>
                  </w:p>
                </w:tc>
                <w:tc>
                  <w:tcPr>
                    <w:tcW w:w="423" w:type="pct"/>
                  </w:tcPr>
                  <w:p w14:paraId="67BBAF24" w14:textId="77777777" w:rsidR="00471D53" w:rsidRDefault="00B664AF">
                    <w:pPr>
                      <w:jc w:val="right"/>
                      <w:rPr>
                        <w:sz w:val="18"/>
                        <w:szCs w:val="18"/>
                      </w:rPr>
                    </w:pPr>
                  </w:p>
                </w:tc>
                <w:tc>
                  <w:tcPr>
                    <w:tcW w:w="141" w:type="pct"/>
                  </w:tcPr>
                  <w:p w14:paraId="263AE540" w14:textId="77777777" w:rsidR="00471D53" w:rsidRDefault="00B664AF">
                    <w:pPr>
                      <w:jc w:val="right"/>
                      <w:rPr>
                        <w:sz w:val="18"/>
                        <w:szCs w:val="18"/>
                      </w:rPr>
                    </w:pPr>
                  </w:p>
                </w:tc>
                <w:tc>
                  <w:tcPr>
                    <w:tcW w:w="476" w:type="pct"/>
                  </w:tcPr>
                  <w:p w14:paraId="3C7994AD" w14:textId="77777777" w:rsidR="00471D53" w:rsidRDefault="00B664AF">
                    <w:pPr>
                      <w:jc w:val="right"/>
                      <w:rPr>
                        <w:sz w:val="18"/>
                        <w:szCs w:val="18"/>
                      </w:rPr>
                    </w:pPr>
                  </w:p>
                </w:tc>
                <w:tc>
                  <w:tcPr>
                    <w:tcW w:w="141" w:type="pct"/>
                  </w:tcPr>
                  <w:p w14:paraId="1F49952E" w14:textId="77777777" w:rsidR="00471D53" w:rsidRDefault="00B664AF">
                    <w:pPr>
                      <w:jc w:val="right"/>
                      <w:rPr>
                        <w:sz w:val="18"/>
                        <w:szCs w:val="18"/>
                      </w:rPr>
                    </w:pPr>
                  </w:p>
                </w:tc>
                <w:tc>
                  <w:tcPr>
                    <w:tcW w:w="449" w:type="pct"/>
                  </w:tcPr>
                  <w:p w14:paraId="64ECC180" w14:textId="77777777" w:rsidR="00471D53" w:rsidRDefault="00B664AF">
                    <w:pPr>
                      <w:jc w:val="right"/>
                      <w:rPr>
                        <w:sz w:val="18"/>
                        <w:szCs w:val="18"/>
                      </w:rPr>
                    </w:pPr>
                  </w:p>
                </w:tc>
                <w:tc>
                  <w:tcPr>
                    <w:tcW w:w="449" w:type="pct"/>
                  </w:tcPr>
                  <w:p w14:paraId="69C849C0" w14:textId="77777777" w:rsidR="00471D53" w:rsidRDefault="00B664AF">
                    <w:pPr>
                      <w:jc w:val="right"/>
                      <w:rPr>
                        <w:sz w:val="18"/>
                        <w:szCs w:val="18"/>
                      </w:rPr>
                    </w:pPr>
                  </w:p>
                </w:tc>
                <w:tc>
                  <w:tcPr>
                    <w:tcW w:w="503" w:type="pct"/>
                  </w:tcPr>
                  <w:p w14:paraId="43C24D6D" w14:textId="77777777" w:rsidR="00471D53" w:rsidRDefault="00B664AF">
                    <w:pPr>
                      <w:jc w:val="right"/>
                      <w:rPr>
                        <w:sz w:val="18"/>
                        <w:szCs w:val="18"/>
                      </w:rPr>
                    </w:pPr>
                  </w:p>
                </w:tc>
              </w:tr>
              <w:tr w:rsidR="00471D53" w14:paraId="15D9A993" w14:textId="77777777" w:rsidTr="00471D53">
                <w:sdt>
                  <w:sdtPr>
                    <w:tag w:val="_PLD_a4e5a1909d05445a88f8a664e237ae02"/>
                    <w:id w:val="1768344108"/>
                    <w:lock w:val="sdtLocked"/>
                  </w:sdtPr>
                  <w:sdtEndPr/>
                  <w:sdtContent>
                    <w:tc>
                      <w:tcPr>
                        <w:tcW w:w="385" w:type="pct"/>
                      </w:tcPr>
                      <w:p w14:paraId="61D730D8" w14:textId="77777777" w:rsidR="00471D53" w:rsidRDefault="004F686E">
                        <w:pPr>
                          <w:rPr>
                            <w:sz w:val="18"/>
                            <w:szCs w:val="18"/>
                          </w:rPr>
                        </w:pPr>
                        <w:r>
                          <w:rPr>
                            <w:rFonts w:hint="eastAsia"/>
                            <w:sz w:val="18"/>
                            <w:szCs w:val="18"/>
                          </w:rPr>
                          <w:t>1．所有者投入的普通股</w:t>
                        </w:r>
                      </w:p>
                    </w:tc>
                  </w:sdtContent>
                </w:sdt>
                <w:tc>
                  <w:tcPr>
                    <w:tcW w:w="449" w:type="pct"/>
                  </w:tcPr>
                  <w:p w14:paraId="024D28D0" w14:textId="77777777" w:rsidR="00471D53" w:rsidRDefault="00B664AF">
                    <w:pPr>
                      <w:jc w:val="right"/>
                      <w:rPr>
                        <w:sz w:val="18"/>
                        <w:szCs w:val="18"/>
                      </w:rPr>
                    </w:pPr>
                  </w:p>
                </w:tc>
                <w:tc>
                  <w:tcPr>
                    <w:tcW w:w="141" w:type="pct"/>
                  </w:tcPr>
                  <w:p w14:paraId="65235F2B" w14:textId="77777777" w:rsidR="00471D53" w:rsidRDefault="00B664AF">
                    <w:pPr>
                      <w:jc w:val="right"/>
                      <w:rPr>
                        <w:sz w:val="18"/>
                        <w:szCs w:val="18"/>
                      </w:rPr>
                    </w:pPr>
                  </w:p>
                </w:tc>
                <w:tc>
                  <w:tcPr>
                    <w:tcW w:w="141" w:type="pct"/>
                  </w:tcPr>
                  <w:p w14:paraId="1906E9E4" w14:textId="77777777" w:rsidR="00471D53" w:rsidRDefault="00B664AF">
                    <w:pPr>
                      <w:jc w:val="right"/>
                      <w:rPr>
                        <w:sz w:val="18"/>
                        <w:szCs w:val="18"/>
                      </w:rPr>
                    </w:pPr>
                  </w:p>
                </w:tc>
                <w:tc>
                  <w:tcPr>
                    <w:tcW w:w="141" w:type="pct"/>
                  </w:tcPr>
                  <w:p w14:paraId="39477E36" w14:textId="77777777" w:rsidR="00471D53" w:rsidRDefault="00B664AF">
                    <w:pPr>
                      <w:jc w:val="right"/>
                      <w:rPr>
                        <w:sz w:val="18"/>
                        <w:szCs w:val="18"/>
                      </w:rPr>
                    </w:pPr>
                  </w:p>
                </w:tc>
                <w:tc>
                  <w:tcPr>
                    <w:tcW w:w="449" w:type="pct"/>
                  </w:tcPr>
                  <w:p w14:paraId="06C1A1CE" w14:textId="77777777" w:rsidR="00471D53" w:rsidRDefault="00B664AF">
                    <w:pPr>
                      <w:jc w:val="right"/>
                      <w:rPr>
                        <w:sz w:val="18"/>
                        <w:szCs w:val="18"/>
                      </w:rPr>
                    </w:pPr>
                  </w:p>
                </w:tc>
                <w:tc>
                  <w:tcPr>
                    <w:tcW w:w="204" w:type="pct"/>
                  </w:tcPr>
                  <w:p w14:paraId="4D691A8D" w14:textId="77777777" w:rsidR="00471D53" w:rsidRDefault="00B664AF">
                    <w:pPr>
                      <w:jc w:val="right"/>
                      <w:rPr>
                        <w:sz w:val="18"/>
                        <w:szCs w:val="18"/>
                      </w:rPr>
                    </w:pPr>
                  </w:p>
                </w:tc>
                <w:tc>
                  <w:tcPr>
                    <w:tcW w:w="369" w:type="pct"/>
                  </w:tcPr>
                  <w:p w14:paraId="542C6E56" w14:textId="77777777" w:rsidR="00471D53" w:rsidRDefault="00B664AF">
                    <w:pPr>
                      <w:jc w:val="right"/>
                      <w:rPr>
                        <w:sz w:val="18"/>
                        <w:szCs w:val="18"/>
                      </w:rPr>
                    </w:pPr>
                  </w:p>
                </w:tc>
                <w:tc>
                  <w:tcPr>
                    <w:tcW w:w="141" w:type="pct"/>
                  </w:tcPr>
                  <w:p w14:paraId="4791AE49" w14:textId="77777777" w:rsidR="00471D53" w:rsidRDefault="00B664AF">
                    <w:pPr>
                      <w:jc w:val="right"/>
                      <w:rPr>
                        <w:sz w:val="18"/>
                        <w:szCs w:val="18"/>
                      </w:rPr>
                    </w:pPr>
                  </w:p>
                </w:tc>
                <w:tc>
                  <w:tcPr>
                    <w:tcW w:w="423" w:type="pct"/>
                  </w:tcPr>
                  <w:p w14:paraId="3AD80694" w14:textId="77777777" w:rsidR="00471D53" w:rsidRDefault="00B664AF">
                    <w:pPr>
                      <w:jc w:val="right"/>
                      <w:rPr>
                        <w:sz w:val="18"/>
                        <w:szCs w:val="18"/>
                      </w:rPr>
                    </w:pPr>
                  </w:p>
                </w:tc>
                <w:tc>
                  <w:tcPr>
                    <w:tcW w:w="141" w:type="pct"/>
                  </w:tcPr>
                  <w:p w14:paraId="0C81305D" w14:textId="77777777" w:rsidR="00471D53" w:rsidRDefault="00B664AF">
                    <w:pPr>
                      <w:jc w:val="right"/>
                      <w:rPr>
                        <w:sz w:val="18"/>
                        <w:szCs w:val="18"/>
                      </w:rPr>
                    </w:pPr>
                  </w:p>
                </w:tc>
                <w:tc>
                  <w:tcPr>
                    <w:tcW w:w="476" w:type="pct"/>
                  </w:tcPr>
                  <w:p w14:paraId="53291608" w14:textId="77777777" w:rsidR="00471D53" w:rsidRDefault="00B664AF">
                    <w:pPr>
                      <w:jc w:val="right"/>
                      <w:rPr>
                        <w:sz w:val="18"/>
                        <w:szCs w:val="18"/>
                      </w:rPr>
                    </w:pPr>
                  </w:p>
                </w:tc>
                <w:tc>
                  <w:tcPr>
                    <w:tcW w:w="141" w:type="pct"/>
                  </w:tcPr>
                  <w:p w14:paraId="6A3F1E39" w14:textId="77777777" w:rsidR="00471D53" w:rsidRDefault="00B664AF">
                    <w:pPr>
                      <w:jc w:val="right"/>
                      <w:rPr>
                        <w:sz w:val="18"/>
                        <w:szCs w:val="18"/>
                      </w:rPr>
                    </w:pPr>
                  </w:p>
                </w:tc>
                <w:tc>
                  <w:tcPr>
                    <w:tcW w:w="449" w:type="pct"/>
                  </w:tcPr>
                  <w:p w14:paraId="12777170" w14:textId="77777777" w:rsidR="00471D53" w:rsidRDefault="00B664AF">
                    <w:pPr>
                      <w:jc w:val="right"/>
                      <w:rPr>
                        <w:sz w:val="18"/>
                        <w:szCs w:val="18"/>
                      </w:rPr>
                    </w:pPr>
                  </w:p>
                </w:tc>
                <w:tc>
                  <w:tcPr>
                    <w:tcW w:w="449" w:type="pct"/>
                  </w:tcPr>
                  <w:p w14:paraId="0B478B6A" w14:textId="77777777" w:rsidR="00471D53" w:rsidRDefault="00B664AF">
                    <w:pPr>
                      <w:jc w:val="right"/>
                      <w:rPr>
                        <w:sz w:val="18"/>
                        <w:szCs w:val="18"/>
                      </w:rPr>
                    </w:pPr>
                  </w:p>
                </w:tc>
                <w:tc>
                  <w:tcPr>
                    <w:tcW w:w="503" w:type="pct"/>
                  </w:tcPr>
                  <w:p w14:paraId="52BC1E0D" w14:textId="77777777" w:rsidR="00471D53" w:rsidRDefault="00B664AF">
                    <w:pPr>
                      <w:jc w:val="right"/>
                      <w:rPr>
                        <w:sz w:val="18"/>
                        <w:szCs w:val="18"/>
                      </w:rPr>
                    </w:pPr>
                  </w:p>
                </w:tc>
              </w:tr>
              <w:tr w:rsidR="00471D53" w14:paraId="4B9B1AC1" w14:textId="77777777" w:rsidTr="00471D53">
                <w:sdt>
                  <w:sdtPr>
                    <w:tag w:val="_PLD_00983bc5e4cc404f92b2fab2c532ec5f"/>
                    <w:id w:val="1425915406"/>
                    <w:lock w:val="sdtLocked"/>
                  </w:sdtPr>
                  <w:sdtEndPr/>
                  <w:sdtContent>
                    <w:tc>
                      <w:tcPr>
                        <w:tcW w:w="385" w:type="pct"/>
                      </w:tcPr>
                      <w:p w14:paraId="5A4B1F81" w14:textId="77777777" w:rsidR="00471D53" w:rsidRDefault="004F686E">
                        <w:pPr>
                          <w:rPr>
                            <w:sz w:val="18"/>
                            <w:szCs w:val="18"/>
                          </w:rPr>
                        </w:pPr>
                        <w:r>
                          <w:rPr>
                            <w:rFonts w:hint="eastAsia"/>
                            <w:sz w:val="18"/>
                            <w:szCs w:val="18"/>
                          </w:rPr>
                          <w:t>2．其他权益工具持有者投入资本</w:t>
                        </w:r>
                      </w:p>
                    </w:tc>
                  </w:sdtContent>
                </w:sdt>
                <w:tc>
                  <w:tcPr>
                    <w:tcW w:w="449" w:type="pct"/>
                  </w:tcPr>
                  <w:p w14:paraId="0C8211FC" w14:textId="77777777" w:rsidR="00471D53" w:rsidRDefault="00B664AF">
                    <w:pPr>
                      <w:jc w:val="right"/>
                      <w:rPr>
                        <w:sz w:val="18"/>
                        <w:szCs w:val="18"/>
                      </w:rPr>
                    </w:pPr>
                  </w:p>
                </w:tc>
                <w:tc>
                  <w:tcPr>
                    <w:tcW w:w="141" w:type="pct"/>
                  </w:tcPr>
                  <w:p w14:paraId="74F8A78B" w14:textId="77777777" w:rsidR="00471D53" w:rsidRDefault="00B664AF">
                    <w:pPr>
                      <w:jc w:val="right"/>
                      <w:rPr>
                        <w:sz w:val="18"/>
                        <w:szCs w:val="18"/>
                      </w:rPr>
                    </w:pPr>
                  </w:p>
                </w:tc>
                <w:tc>
                  <w:tcPr>
                    <w:tcW w:w="141" w:type="pct"/>
                  </w:tcPr>
                  <w:p w14:paraId="024065C7" w14:textId="77777777" w:rsidR="00471D53" w:rsidRDefault="00B664AF">
                    <w:pPr>
                      <w:jc w:val="right"/>
                      <w:rPr>
                        <w:sz w:val="18"/>
                        <w:szCs w:val="18"/>
                      </w:rPr>
                    </w:pPr>
                  </w:p>
                </w:tc>
                <w:tc>
                  <w:tcPr>
                    <w:tcW w:w="141" w:type="pct"/>
                  </w:tcPr>
                  <w:p w14:paraId="7B8D3484" w14:textId="77777777" w:rsidR="00471D53" w:rsidRDefault="00B664AF">
                    <w:pPr>
                      <w:jc w:val="right"/>
                      <w:rPr>
                        <w:sz w:val="18"/>
                        <w:szCs w:val="18"/>
                      </w:rPr>
                    </w:pPr>
                  </w:p>
                </w:tc>
                <w:tc>
                  <w:tcPr>
                    <w:tcW w:w="449" w:type="pct"/>
                  </w:tcPr>
                  <w:p w14:paraId="7324B91E" w14:textId="77777777" w:rsidR="00471D53" w:rsidRDefault="00B664AF">
                    <w:pPr>
                      <w:jc w:val="right"/>
                      <w:rPr>
                        <w:sz w:val="18"/>
                        <w:szCs w:val="18"/>
                      </w:rPr>
                    </w:pPr>
                  </w:p>
                </w:tc>
                <w:tc>
                  <w:tcPr>
                    <w:tcW w:w="204" w:type="pct"/>
                  </w:tcPr>
                  <w:p w14:paraId="62DEACE8" w14:textId="77777777" w:rsidR="00471D53" w:rsidRDefault="00B664AF">
                    <w:pPr>
                      <w:jc w:val="right"/>
                      <w:rPr>
                        <w:sz w:val="18"/>
                        <w:szCs w:val="18"/>
                      </w:rPr>
                    </w:pPr>
                  </w:p>
                </w:tc>
                <w:tc>
                  <w:tcPr>
                    <w:tcW w:w="369" w:type="pct"/>
                  </w:tcPr>
                  <w:p w14:paraId="139C279C" w14:textId="77777777" w:rsidR="00471D53" w:rsidRDefault="00B664AF">
                    <w:pPr>
                      <w:jc w:val="right"/>
                      <w:rPr>
                        <w:sz w:val="18"/>
                        <w:szCs w:val="18"/>
                      </w:rPr>
                    </w:pPr>
                  </w:p>
                </w:tc>
                <w:tc>
                  <w:tcPr>
                    <w:tcW w:w="141" w:type="pct"/>
                  </w:tcPr>
                  <w:p w14:paraId="68A851A7" w14:textId="77777777" w:rsidR="00471D53" w:rsidRDefault="00B664AF">
                    <w:pPr>
                      <w:jc w:val="right"/>
                      <w:rPr>
                        <w:sz w:val="18"/>
                        <w:szCs w:val="18"/>
                      </w:rPr>
                    </w:pPr>
                  </w:p>
                </w:tc>
                <w:tc>
                  <w:tcPr>
                    <w:tcW w:w="423" w:type="pct"/>
                  </w:tcPr>
                  <w:p w14:paraId="1C516689" w14:textId="77777777" w:rsidR="00471D53" w:rsidRDefault="00B664AF">
                    <w:pPr>
                      <w:jc w:val="right"/>
                      <w:rPr>
                        <w:sz w:val="18"/>
                        <w:szCs w:val="18"/>
                      </w:rPr>
                    </w:pPr>
                  </w:p>
                </w:tc>
                <w:tc>
                  <w:tcPr>
                    <w:tcW w:w="141" w:type="pct"/>
                  </w:tcPr>
                  <w:p w14:paraId="79D75AB3" w14:textId="77777777" w:rsidR="00471D53" w:rsidRDefault="00B664AF">
                    <w:pPr>
                      <w:jc w:val="right"/>
                      <w:rPr>
                        <w:sz w:val="18"/>
                        <w:szCs w:val="18"/>
                      </w:rPr>
                    </w:pPr>
                  </w:p>
                </w:tc>
                <w:tc>
                  <w:tcPr>
                    <w:tcW w:w="476" w:type="pct"/>
                  </w:tcPr>
                  <w:p w14:paraId="55BF896D" w14:textId="77777777" w:rsidR="00471D53" w:rsidRDefault="00B664AF">
                    <w:pPr>
                      <w:jc w:val="right"/>
                      <w:rPr>
                        <w:sz w:val="18"/>
                        <w:szCs w:val="18"/>
                      </w:rPr>
                    </w:pPr>
                  </w:p>
                </w:tc>
                <w:tc>
                  <w:tcPr>
                    <w:tcW w:w="141" w:type="pct"/>
                  </w:tcPr>
                  <w:p w14:paraId="3007F2F0" w14:textId="77777777" w:rsidR="00471D53" w:rsidRDefault="00B664AF">
                    <w:pPr>
                      <w:jc w:val="right"/>
                      <w:rPr>
                        <w:sz w:val="18"/>
                        <w:szCs w:val="18"/>
                      </w:rPr>
                    </w:pPr>
                  </w:p>
                </w:tc>
                <w:tc>
                  <w:tcPr>
                    <w:tcW w:w="449" w:type="pct"/>
                  </w:tcPr>
                  <w:p w14:paraId="3BFFC0F2" w14:textId="77777777" w:rsidR="00471D53" w:rsidRDefault="00B664AF">
                    <w:pPr>
                      <w:jc w:val="right"/>
                      <w:rPr>
                        <w:sz w:val="18"/>
                        <w:szCs w:val="18"/>
                      </w:rPr>
                    </w:pPr>
                  </w:p>
                </w:tc>
                <w:tc>
                  <w:tcPr>
                    <w:tcW w:w="449" w:type="pct"/>
                  </w:tcPr>
                  <w:p w14:paraId="5D99E2FF" w14:textId="77777777" w:rsidR="00471D53" w:rsidRDefault="00B664AF">
                    <w:pPr>
                      <w:jc w:val="right"/>
                      <w:rPr>
                        <w:sz w:val="18"/>
                        <w:szCs w:val="18"/>
                      </w:rPr>
                    </w:pPr>
                  </w:p>
                </w:tc>
                <w:tc>
                  <w:tcPr>
                    <w:tcW w:w="503" w:type="pct"/>
                  </w:tcPr>
                  <w:p w14:paraId="73A63DBB" w14:textId="77777777" w:rsidR="00471D53" w:rsidRDefault="00B664AF">
                    <w:pPr>
                      <w:jc w:val="right"/>
                      <w:rPr>
                        <w:sz w:val="18"/>
                        <w:szCs w:val="18"/>
                      </w:rPr>
                    </w:pPr>
                  </w:p>
                </w:tc>
              </w:tr>
              <w:tr w:rsidR="00471D53" w14:paraId="428F633D" w14:textId="77777777" w:rsidTr="00471D53">
                <w:sdt>
                  <w:sdtPr>
                    <w:tag w:val="_PLD_b945685508384f75ad9507566dd406a5"/>
                    <w:id w:val="-2012219033"/>
                    <w:lock w:val="sdtLocked"/>
                  </w:sdtPr>
                  <w:sdtEndPr/>
                  <w:sdtContent>
                    <w:tc>
                      <w:tcPr>
                        <w:tcW w:w="385" w:type="pct"/>
                      </w:tcPr>
                      <w:p w14:paraId="185E46A4" w14:textId="77777777" w:rsidR="00471D53" w:rsidRDefault="004F686E">
                        <w:pPr>
                          <w:rPr>
                            <w:sz w:val="18"/>
                            <w:szCs w:val="18"/>
                          </w:rPr>
                        </w:pPr>
                        <w:r>
                          <w:rPr>
                            <w:rFonts w:hint="eastAsia"/>
                            <w:sz w:val="18"/>
                            <w:szCs w:val="18"/>
                          </w:rPr>
                          <w:t>3</w:t>
                        </w:r>
                        <w:r>
                          <w:rPr>
                            <w:sz w:val="18"/>
                            <w:szCs w:val="18"/>
                          </w:rPr>
                          <w:t>．股份支付计入所有者权益的金额</w:t>
                        </w:r>
                      </w:p>
                    </w:tc>
                  </w:sdtContent>
                </w:sdt>
                <w:tc>
                  <w:tcPr>
                    <w:tcW w:w="449" w:type="pct"/>
                  </w:tcPr>
                  <w:p w14:paraId="00445B30" w14:textId="77777777" w:rsidR="00471D53" w:rsidRDefault="00B664AF">
                    <w:pPr>
                      <w:jc w:val="right"/>
                      <w:rPr>
                        <w:sz w:val="18"/>
                        <w:szCs w:val="18"/>
                      </w:rPr>
                    </w:pPr>
                  </w:p>
                </w:tc>
                <w:tc>
                  <w:tcPr>
                    <w:tcW w:w="141" w:type="pct"/>
                  </w:tcPr>
                  <w:p w14:paraId="596AED2B" w14:textId="77777777" w:rsidR="00471D53" w:rsidRDefault="00B664AF">
                    <w:pPr>
                      <w:jc w:val="right"/>
                      <w:rPr>
                        <w:sz w:val="18"/>
                        <w:szCs w:val="18"/>
                      </w:rPr>
                    </w:pPr>
                  </w:p>
                </w:tc>
                <w:tc>
                  <w:tcPr>
                    <w:tcW w:w="141" w:type="pct"/>
                  </w:tcPr>
                  <w:p w14:paraId="76197551" w14:textId="77777777" w:rsidR="00471D53" w:rsidRDefault="00B664AF">
                    <w:pPr>
                      <w:jc w:val="right"/>
                      <w:rPr>
                        <w:sz w:val="18"/>
                        <w:szCs w:val="18"/>
                      </w:rPr>
                    </w:pPr>
                  </w:p>
                </w:tc>
                <w:tc>
                  <w:tcPr>
                    <w:tcW w:w="141" w:type="pct"/>
                  </w:tcPr>
                  <w:p w14:paraId="49B6A5D4" w14:textId="77777777" w:rsidR="00471D53" w:rsidRDefault="00B664AF">
                    <w:pPr>
                      <w:jc w:val="right"/>
                      <w:rPr>
                        <w:sz w:val="18"/>
                        <w:szCs w:val="18"/>
                      </w:rPr>
                    </w:pPr>
                  </w:p>
                </w:tc>
                <w:tc>
                  <w:tcPr>
                    <w:tcW w:w="449" w:type="pct"/>
                  </w:tcPr>
                  <w:p w14:paraId="7F04842A" w14:textId="77777777" w:rsidR="00471D53" w:rsidRDefault="00B664AF">
                    <w:pPr>
                      <w:jc w:val="right"/>
                      <w:rPr>
                        <w:sz w:val="18"/>
                        <w:szCs w:val="18"/>
                      </w:rPr>
                    </w:pPr>
                  </w:p>
                </w:tc>
                <w:tc>
                  <w:tcPr>
                    <w:tcW w:w="204" w:type="pct"/>
                  </w:tcPr>
                  <w:p w14:paraId="6B4F2A67" w14:textId="77777777" w:rsidR="00471D53" w:rsidRDefault="00B664AF">
                    <w:pPr>
                      <w:jc w:val="right"/>
                      <w:rPr>
                        <w:sz w:val="18"/>
                        <w:szCs w:val="18"/>
                      </w:rPr>
                    </w:pPr>
                  </w:p>
                </w:tc>
                <w:tc>
                  <w:tcPr>
                    <w:tcW w:w="369" w:type="pct"/>
                  </w:tcPr>
                  <w:p w14:paraId="571AA807" w14:textId="77777777" w:rsidR="00471D53" w:rsidRDefault="00B664AF">
                    <w:pPr>
                      <w:jc w:val="right"/>
                      <w:rPr>
                        <w:sz w:val="18"/>
                        <w:szCs w:val="18"/>
                      </w:rPr>
                    </w:pPr>
                  </w:p>
                </w:tc>
                <w:tc>
                  <w:tcPr>
                    <w:tcW w:w="141" w:type="pct"/>
                  </w:tcPr>
                  <w:p w14:paraId="34AD0310" w14:textId="77777777" w:rsidR="00471D53" w:rsidRDefault="00B664AF">
                    <w:pPr>
                      <w:jc w:val="right"/>
                      <w:rPr>
                        <w:sz w:val="18"/>
                        <w:szCs w:val="18"/>
                      </w:rPr>
                    </w:pPr>
                  </w:p>
                </w:tc>
                <w:tc>
                  <w:tcPr>
                    <w:tcW w:w="423" w:type="pct"/>
                  </w:tcPr>
                  <w:p w14:paraId="6C5B5394" w14:textId="77777777" w:rsidR="00471D53" w:rsidRDefault="00B664AF">
                    <w:pPr>
                      <w:jc w:val="right"/>
                      <w:rPr>
                        <w:sz w:val="18"/>
                        <w:szCs w:val="18"/>
                      </w:rPr>
                    </w:pPr>
                  </w:p>
                </w:tc>
                <w:tc>
                  <w:tcPr>
                    <w:tcW w:w="141" w:type="pct"/>
                  </w:tcPr>
                  <w:p w14:paraId="06A23BA5" w14:textId="77777777" w:rsidR="00471D53" w:rsidRDefault="00B664AF">
                    <w:pPr>
                      <w:jc w:val="right"/>
                      <w:rPr>
                        <w:sz w:val="18"/>
                        <w:szCs w:val="18"/>
                      </w:rPr>
                    </w:pPr>
                  </w:p>
                </w:tc>
                <w:tc>
                  <w:tcPr>
                    <w:tcW w:w="476" w:type="pct"/>
                  </w:tcPr>
                  <w:p w14:paraId="18D6EB8E" w14:textId="77777777" w:rsidR="00471D53" w:rsidRDefault="00B664AF">
                    <w:pPr>
                      <w:jc w:val="right"/>
                      <w:rPr>
                        <w:sz w:val="18"/>
                        <w:szCs w:val="18"/>
                      </w:rPr>
                    </w:pPr>
                  </w:p>
                </w:tc>
                <w:tc>
                  <w:tcPr>
                    <w:tcW w:w="141" w:type="pct"/>
                  </w:tcPr>
                  <w:p w14:paraId="08176C6C" w14:textId="77777777" w:rsidR="00471D53" w:rsidRDefault="00B664AF">
                    <w:pPr>
                      <w:jc w:val="right"/>
                      <w:rPr>
                        <w:sz w:val="18"/>
                        <w:szCs w:val="18"/>
                      </w:rPr>
                    </w:pPr>
                  </w:p>
                </w:tc>
                <w:tc>
                  <w:tcPr>
                    <w:tcW w:w="449" w:type="pct"/>
                  </w:tcPr>
                  <w:p w14:paraId="05A729CE" w14:textId="77777777" w:rsidR="00471D53" w:rsidRDefault="00B664AF">
                    <w:pPr>
                      <w:jc w:val="right"/>
                      <w:rPr>
                        <w:sz w:val="18"/>
                        <w:szCs w:val="18"/>
                      </w:rPr>
                    </w:pPr>
                  </w:p>
                </w:tc>
                <w:tc>
                  <w:tcPr>
                    <w:tcW w:w="449" w:type="pct"/>
                  </w:tcPr>
                  <w:p w14:paraId="78FB6AA5" w14:textId="77777777" w:rsidR="00471D53" w:rsidRDefault="00B664AF">
                    <w:pPr>
                      <w:jc w:val="right"/>
                      <w:rPr>
                        <w:sz w:val="18"/>
                        <w:szCs w:val="18"/>
                      </w:rPr>
                    </w:pPr>
                  </w:p>
                </w:tc>
                <w:tc>
                  <w:tcPr>
                    <w:tcW w:w="503" w:type="pct"/>
                  </w:tcPr>
                  <w:p w14:paraId="60373F97" w14:textId="77777777" w:rsidR="00471D53" w:rsidRDefault="00B664AF">
                    <w:pPr>
                      <w:jc w:val="right"/>
                      <w:rPr>
                        <w:sz w:val="18"/>
                        <w:szCs w:val="18"/>
                      </w:rPr>
                    </w:pPr>
                  </w:p>
                </w:tc>
              </w:tr>
              <w:tr w:rsidR="00471D53" w14:paraId="7B657CED" w14:textId="77777777" w:rsidTr="00471D53">
                <w:sdt>
                  <w:sdtPr>
                    <w:tag w:val="_PLD_86538f5d06744ca9be65b0b439b17643"/>
                    <w:id w:val="1465381724"/>
                    <w:lock w:val="sdtLocked"/>
                  </w:sdtPr>
                  <w:sdtEndPr/>
                  <w:sdtContent>
                    <w:tc>
                      <w:tcPr>
                        <w:tcW w:w="385" w:type="pct"/>
                      </w:tcPr>
                      <w:p w14:paraId="11DEFDC5" w14:textId="77777777" w:rsidR="00471D53" w:rsidRDefault="004F686E">
                        <w:pPr>
                          <w:rPr>
                            <w:sz w:val="18"/>
                            <w:szCs w:val="18"/>
                          </w:rPr>
                        </w:pPr>
                        <w:r>
                          <w:rPr>
                            <w:rFonts w:hint="eastAsia"/>
                            <w:sz w:val="18"/>
                            <w:szCs w:val="18"/>
                          </w:rPr>
                          <w:t>4</w:t>
                        </w:r>
                        <w:r>
                          <w:rPr>
                            <w:sz w:val="18"/>
                            <w:szCs w:val="18"/>
                          </w:rPr>
                          <w:t>．其他</w:t>
                        </w:r>
                      </w:p>
                    </w:tc>
                  </w:sdtContent>
                </w:sdt>
                <w:tc>
                  <w:tcPr>
                    <w:tcW w:w="449" w:type="pct"/>
                  </w:tcPr>
                  <w:p w14:paraId="4FD0AC53" w14:textId="77777777" w:rsidR="00471D53" w:rsidRDefault="00B664AF">
                    <w:pPr>
                      <w:jc w:val="right"/>
                      <w:rPr>
                        <w:sz w:val="18"/>
                        <w:szCs w:val="18"/>
                      </w:rPr>
                    </w:pPr>
                  </w:p>
                </w:tc>
                <w:tc>
                  <w:tcPr>
                    <w:tcW w:w="141" w:type="pct"/>
                  </w:tcPr>
                  <w:p w14:paraId="136FC1E0" w14:textId="77777777" w:rsidR="00471D53" w:rsidRDefault="00B664AF">
                    <w:pPr>
                      <w:jc w:val="right"/>
                      <w:rPr>
                        <w:sz w:val="18"/>
                        <w:szCs w:val="18"/>
                      </w:rPr>
                    </w:pPr>
                  </w:p>
                </w:tc>
                <w:tc>
                  <w:tcPr>
                    <w:tcW w:w="141" w:type="pct"/>
                  </w:tcPr>
                  <w:p w14:paraId="416D5A0F" w14:textId="77777777" w:rsidR="00471D53" w:rsidRDefault="00B664AF">
                    <w:pPr>
                      <w:jc w:val="right"/>
                      <w:rPr>
                        <w:sz w:val="18"/>
                        <w:szCs w:val="18"/>
                      </w:rPr>
                    </w:pPr>
                  </w:p>
                </w:tc>
                <w:tc>
                  <w:tcPr>
                    <w:tcW w:w="141" w:type="pct"/>
                  </w:tcPr>
                  <w:p w14:paraId="1B24C752" w14:textId="77777777" w:rsidR="00471D53" w:rsidRDefault="00B664AF">
                    <w:pPr>
                      <w:jc w:val="right"/>
                      <w:rPr>
                        <w:sz w:val="18"/>
                        <w:szCs w:val="18"/>
                      </w:rPr>
                    </w:pPr>
                  </w:p>
                </w:tc>
                <w:tc>
                  <w:tcPr>
                    <w:tcW w:w="449" w:type="pct"/>
                  </w:tcPr>
                  <w:p w14:paraId="6CFF4E68" w14:textId="77777777" w:rsidR="00471D53" w:rsidRDefault="00B664AF">
                    <w:pPr>
                      <w:jc w:val="right"/>
                      <w:rPr>
                        <w:sz w:val="18"/>
                        <w:szCs w:val="18"/>
                      </w:rPr>
                    </w:pPr>
                  </w:p>
                </w:tc>
                <w:tc>
                  <w:tcPr>
                    <w:tcW w:w="204" w:type="pct"/>
                  </w:tcPr>
                  <w:p w14:paraId="196FDFC6" w14:textId="77777777" w:rsidR="00471D53" w:rsidRDefault="00B664AF">
                    <w:pPr>
                      <w:jc w:val="right"/>
                      <w:rPr>
                        <w:sz w:val="18"/>
                        <w:szCs w:val="18"/>
                      </w:rPr>
                    </w:pPr>
                  </w:p>
                </w:tc>
                <w:tc>
                  <w:tcPr>
                    <w:tcW w:w="369" w:type="pct"/>
                  </w:tcPr>
                  <w:p w14:paraId="73E8694C" w14:textId="77777777" w:rsidR="00471D53" w:rsidRDefault="00B664AF">
                    <w:pPr>
                      <w:jc w:val="right"/>
                      <w:rPr>
                        <w:sz w:val="18"/>
                        <w:szCs w:val="18"/>
                      </w:rPr>
                    </w:pPr>
                  </w:p>
                </w:tc>
                <w:tc>
                  <w:tcPr>
                    <w:tcW w:w="141" w:type="pct"/>
                  </w:tcPr>
                  <w:p w14:paraId="361C758E" w14:textId="77777777" w:rsidR="00471D53" w:rsidRDefault="00B664AF">
                    <w:pPr>
                      <w:jc w:val="right"/>
                      <w:rPr>
                        <w:sz w:val="18"/>
                        <w:szCs w:val="18"/>
                      </w:rPr>
                    </w:pPr>
                  </w:p>
                </w:tc>
                <w:tc>
                  <w:tcPr>
                    <w:tcW w:w="423" w:type="pct"/>
                  </w:tcPr>
                  <w:p w14:paraId="7CD6A69E" w14:textId="77777777" w:rsidR="00471D53" w:rsidRDefault="00B664AF">
                    <w:pPr>
                      <w:jc w:val="right"/>
                      <w:rPr>
                        <w:sz w:val="18"/>
                        <w:szCs w:val="18"/>
                      </w:rPr>
                    </w:pPr>
                  </w:p>
                </w:tc>
                <w:tc>
                  <w:tcPr>
                    <w:tcW w:w="141" w:type="pct"/>
                  </w:tcPr>
                  <w:p w14:paraId="51C2FA07" w14:textId="77777777" w:rsidR="00471D53" w:rsidRDefault="00B664AF">
                    <w:pPr>
                      <w:jc w:val="right"/>
                      <w:rPr>
                        <w:sz w:val="18"/>
                        <w:szCs w:val="18"/>
                      </w:rPr>
                    </w:pPr>
                  </w:p>
                </w:tc>
                <w:tc>
                  <w:tcPr>
                    <w:tcW w:w="476" w:type="pct"/>
                  </w:tcPr>
                  <w:p w14:paraId="3FFEB77C" w14:textId="77777777" w:rsidR="00471D53" w:rsidRDefault="00B664AF">
                    <w:pPr>
                      <w:jc w:val="right"/>
                      <w:rPr>
                        <w:sz w:val="18"/>
                        <w:szCs w:val="18"/>
                      </w:rPr>
                    </w:pPr>
                  </w:p>
                </w:tc>
                <w:tc>
                  <w:tcPr>
                    <w:tcW w:w="141" w:type="pct"/>
                  </w:tcPr>
                  <w:p w14:paraId="29D1DAD4" w14:textId="77777777" w:rsidR="00471D53" w:rsidRDefault="00B664AF">
                    <w:pPr>
                      <w:jc w:val="right"/>
                      <w:rPr>
                        <w:sz w:val="18"/>
                        <w:szCs w:val="18"/>
                      </w:rPr>
                    </w:pPr>
                  </w:p>
                </w:tc>
                <w:tc>
                  <w:tcPr>
                    <w:tcW w:w="449" w:type="pct"/>
                  </w:tcPr>
                  <w:p w14:paraId="72C4B521" w14:textId="77777777" w:rsidR="00471D53" w:rsidRDefault="00B664AF">
                    <w:pPr>
                      <w:jc w:val="right"/>
                      <w:rPr>
                        <w:sz w:val="18"/>
                        <w:szCs w:val="18"/>
                      </w:rPr>
                    </w:pPr>
                  </w:p>
                </w:tc>
                <w:tc>
                  <w:tcPr>
                    <w:tcW w:w="449" w:type="pct"/>
                  </w:tcPr>
                  <w:p w14:paraId="7F65A314" w14:textId="77777777" w:rsidR="00471D53" w:rsidRDefault="00B664AF">
                    <w:pPr>
                      <w:jc w:val="right"/>
                      <w:rPr>
                        <w:sz w:val="18"/>
                        <w:szCs w:val="18"/>
                      </w:rPr>
                    </w:pPr>
                  </w:p>
                </w:tc>
                <w:tc>
                  <w:tcPr>
                    <w:tcW w:w="503" w:type="pct"/>
                  </w:tcPr>
                  <w:p w14:paraId="792E2C46" w14:textId="77777777" w:rsidR="00471D53" w:rsidRDefault="00B664AF">
                    <w:pPr>
                      <w:jc w:val="right"/>
                      <w:rPr>
                        <w:sz w:val="18"/>
                        <w:szCs w:val="18"/>
                      </w:rPr>
                    </w:pPr>
                  </w:p>
                </w:tc>
              </w:tr>
              <w:tr w:rsidR="00471D53" w14:paraId="0A216684" w14:textId="77777777" w:rsidTr="00471D53">
                <w:sdt>
                  <w:sdtPr>
                    <w:tag w:val="_PLD_8fb1d678e8ca4e3ba31e34bed05e6c58"/>
                    <w:id w:val="1903635697"/>
                    <w:lock w:val="sdtLocked"/>
                  </w:sdtPr>
                  <w:sdtEndPr/>
                  <w:sdtContent>
                    <w:tc>
                      <w:tcPr>
                        <w:tcW w:w="385" w:type="pct"/>
                      </w:tcPr>
                      <w:p w14:paraId="7F7687E8" w14:textId="77777777" w:rsidR="00471D53" w:rsidRDefault="004F686E">
                        <w:pPr>
                          <w:rPr>
                            <w:sz w:val="18"/>
                            <w:szCs w:val="18"/>
                          </w:rPr>
                        </w:pPr>
                        <w:r>
                          <w:rPr>
                            <w:sz w:val="18"/>
                            <w:szCs w:val="18"/>
                          </w:rPr>
                          <w:t>（</w:t>
                        </w:r>
                        <w:r>
                          <w:rPr>
                            <w:rFonts w:hint="eastAsia"/>
                            <w:sz w:val="18"/>
                            <w:szCs w:val="18"/>
                          </w:rPr>
                          <w:t>三</w:t>
                        </w:r>
                        <w:r>
                          <w:rPr>
                            <w:sz w:val="18"/>
                            <w:szCs w:val="18"/>
                          </w:rPr>
                          <w:t>）利润分配</w:t>
                        </w:r>
                      </w:p>
                    </w:tc>
                  </w:sdtContent>
                </w:sdt>
                <w:tc>
                  <w:tcPr>
                    <w:tcW w:w="449" w:type="pct"/>
                  </w:tcPr>
                  <w:p w14:paraId="7C976827" w14:textId="77777777" w:rsidR="00471D53" w:rsidRDefault="00B664AF">
                    <w:pPr>
                      <w:jc w:val="right"/>
                      <w:rPr>
                        <w:sz w:val="18"/>
                        <w:szCs w:val="18"/>
                      </w:rPr>
                    </w:pPr>
                  </w:p>
                </w:tc>
                <w:tc>
                  <w:tcPr>
                    <w:tcW w:w="141" w:type="pct"/>
                  </w:tcPr>
                  <w:p w14:paraId="5783A4CA" w14:textId="77777777" w:rsidR="00471D53" w:rsidRDefault="00B664AF">
                    <w:pPr>
                      <w:jc w:val="right"/>
                      <w:rPr>
                        <w:sz w:val="18"/>
                        <w:szCs w:val="18"/>
                      </w:rPr>
                    </w:pPr>
                  </w:p>
                </w:tc>
                <w:tc>
                  <w:tcPr>
                    <w:tcW w:w="141" w:type="pct"/>
                  </w:tcPr>
                  <w:p w14:paraId="7055C6B3" w14:textId="77777777" w:rsidR="00471D53" w:rsidRDefault="00B664AF">
                    <w:pPr>
                      <w:jc w:val="right"/>
                      <w:rPr>
                        <w:sz w:val="18"/>
                        <w:szCs w:val="18"/>
                      </w:rPr>
                    </w:pPr>
                  </w:p>
                </w:tc>
                <w:tc>
                  <w:tcPr>
                    <w:tcW w:w="141" w:type="pct"/>
                  </w:tcPr>
                  <w:p w14:paraId="25B4C1C2" w14:textId="77777777" w:rsidR="00471D53" w:rsidRDefault="00B664AF">
                    <w:pPr>
                      <w:jc w:val="right"/>
                      <w:rPr>
                        <w:sz w:val="18"/>
                        <w:szCs w:val="18"/>
                      </w:rPr>
                    </w:pPr>
                  </w:p>
                </w:tc>
                <w:tc>
                  <w:tcPr>
                    <w:tcW w:w="449" w:type="pct"/>
                  </w:tcPr>
                  <w:p w14:paraId="2279E55A" w14:textId="77777777" w:rsidR="00471D53" w:rsidRDefault="00B664AF">
                    <w:pPr>
                      <w:jc w:val="right"/>
                      <w:rPr>
                        <w:sz w:val="18"/>
                        <w:szCs w:val="18"/>
                      </w:rPr>
                    </w:pPr>
                  </w:p>
                </w:tc>
                <w:tc>
                  <w:tcPr>
                    <w:tcW w:w="204" w:type="pct"/>
                  </w:tcPr>
                  <w:p w14:paraId="3960782D" w14:textId="77777777" w:rsidR="00471D53" w:rsidRDefault="00B664AF">
                    <w:pPr>
                      <w:jc w:val="right"/>
                      <w:rPr>
                        <w:sz w:val="18"/>
                        <w:szCs w:val="18"/>
                      </w:rPr>
                    </w:pPr>
                  </w:p>
                </w:tc>
                <w:tc>
                  <w:tcPr>
                    <w:tcW w:w="369" w:type="pct"/>
                  </w:tcPr>
                  <w:p w14:paraId="44EF1EF4" w14:textId="77777777" w:rsidR="00471D53" w:rsidRDefault="00B664AF">
                    <w:pPr>
                      <w:jc w:val="right"/>
                      <w:rPr>
                        <w:sz w:val="18"/>
                        <w:szCs w:val="18"/>
                      </w:rPr>
                    </w:pPr>
                  </w:p>
                </w:tc>
                <w:tc>
                  <w:tcPr>
                    <w:tcW w:w="141" w:type="pct"/>
                  </w:tcPr>
                  <w:p w14:paraId="248350DB" w14:textId="77777777" w:rsidR="00471D53" w:rsidRDefault="00B664AF">
                    <w:pPr>
                      <w:jc w:val="right"/>
                      <w:rPr>
                        <w:sz w:val="18"/>
                        <w:szCs w:val="18"/>
                      </w:rPr>
                    </w:pPr>
                  </w:p>
                </w:tc>
                <w:tc>
                  <w:tcPr>
                    <w:tcW w:w="423" w:type="pct"/>
                  </w:tcPr>
                  <w:p w14:paraId="5CC1AFB5" w14:textId="77777777" w:rsidR="00471D53" w:rsidRDefault="00B664AF">
                    <w:pPr>
                      <w:jc w:val="right"/>
                      <w:rPr>
                        <w:sz w:val="18"/>
                        <w:szCs w:val="18"/>
                      </w:rPr>
                    </w:pPr>
                  </w:p>
                </w:tc>
                <w:tc>
                  <w:tcPr>
                    <w:tcW w:w="141" w:type="pct"/>
                  </w:tcPr>
                  <w:p w14:paraId="0D7E9DE8" w14:textId="77777777" w:rsidR="00471D53" w:rsidRDefault="00B664AF">
                    <w:pPr>
                      <w:jc w:val="right"/>
                      <w:rPr>
                        <w:sz w:val="18"/>
                        <w:szCs w:val="18"/>
                      </w:rPr>
                    </w:pPr>
                  </w:p>
                </w:tc>
                <w:tc>
                  <w:tcPr>
                    <w:tcW w:w="476" w:type="pct"/>
                  </w:tcPr>
                  <w:p w14:paraId="4D7C7704" w14:textId="77777777" w:rsidR="00471D53" w:rsidRDefault="00B664AF">
                    <w:pPr>
                      <w:jc w:val="right"/>
                      <w:rPr>
                        <w:sz w:val="18"/>
                        <w:szCs w:val="18"/>
                      </w:rPr>
                    </w:pPr>
                  </w:p>
                </w:tc>
                <w:tc>
                  <w:tcPr>
                    <w:tcW w:w="141" w:type="pct"/>
                  </w:tcPr>
                  <w:p w14:paraId="3AEEB4F6" w14:textId="77777777" w:rsidR="00471D53" w:rsidRDefault="00B664AF">
                    <w:pPr>
                      <w:jc w:val="right"/>
                      <w:rPr>
                        <w:sz w:val="18"/>
                        <w:szCs w:val="18"/>
                      </w:rPr>
                    </w:pPr>
                  </w:p>
                </w:tc>
                <w:tc>
                  <w:tcPr>
                    <w:tcW w:w="449" w:type="pct"/>
                  </w:tcPr>
                  <w:p w14:paraId="72A11968" w14:textId="77777777" w:rsidR="00471D53" w:rsidRDefault="00B664AF">
                    <w:pPr>
                      <w:jc w:val="right"/>
                      <w:rPr>
                        <w:sz w:val="18"/>
                        <w:szCs w:val="18"/>
                      </w:rPr>
                    </w:pPr>
                  </w:p>
                </w:tc>
                <w:tc>
                  <w:tcPr>
                    <w:tcW w:w="449" w:type="pct"/>
                  </w:tcPr>
                  <w:p w14:paraId="29589508" w14:textId="77777777" w:rsidR="00471D53" w:rsidRDefault="00B664AF">
                    <w:pPr>
                      <w:jc w:val="right"/>
                      <w:rPr>
                        <w:sz w:val="18"/>
                        <w:szCs w:val="18"/>
                      </w:rPr>
                    </w:pPr>
                  </w:p>
                </w:tc>
                <w:tc>
                  <w:tcPr>
                    <w:tcW w:w="503" w:type="pct"/>
                  </w:tcPr>
                  <w:p w14:paraId="465A1D43" w14:textId="77777777" w:rsidR="00471D53" w:rsidRDefault="00B664AF">
                    <w:pPr>
                      <w:jc w:val="right"/>
                      <w:rPr>
                        <w:sz w:val="18"/>
                        <w:szCs w:val="18"/>
                      </w:rPr>
                    </w:pPr>
                  </w:p>
                </w:tc>
              </w:tr>
              <w:tr w:rsidR="00471D53" w14:paraId="39988DF9" w14:textId="77777777" w:rsidTr="00471D53">
                <w:sdt>
                  <w:sdtPr>
                    <w:tag w:val="_PLD_5badbc22860d48e29f8d8d9a4a633d8c"/>
                    <w:id w:val="1775978327"/>
                    <w:lock w:val="sdtLocked"/>
                  </w:sdtPr>
                  <w:sdtEndPr/>
                  <w:sdtContent>
                    <w:tc>
                      <w:tcPr>
                        <w:tcW w:w="385" w:type="pct"/>
                      </w:tcPr>
                      <w:p w14:paraId="3E667AE5" w14:textId="77777777" w:rsidR="00471D53" w:rsidRDefault="004F686E">
                        <w:pPr>
                          <w:rPr>
                            <w:sz w:val="18"/>
                            <w:szCs w:val="18"/>
                          </w:rPr>
                        </w:pPr>
                        <w:r>
                          <w:rPr>
                            <w:sz w:val="18"/>
                            <w:szCs w:val="18"/>
                          </w:rPr>
                          <w:t>1．提取盈余公积</w:t>
                        </w:r>
                      </w:p>
                    </w:tc>
                  </w:sdtContent>
                </w:sdt>
                <w:tc>
                  <w:tcPr>
                    <w:tcW w:w="449" w:type="pct"/>
                  </w:tcPr>
                  <w:p w14:paraId="1761137D" w14:textId="77777777" w:rsidR="00471D53" w:rsidRDefault="00B664AF">
                    <w:pPr>
                      <w:jc w:val="right"/>
                      <w:rPr>
                        <w:sz w:val="18"/>
                        <w:szCs w:val="18"/>
                      </w:rPr>
                    </w:pPr>
                  </w:p>
                </w:tc>
                <w:tc>
                  <w:tcPr>
                    <w:tcW w:w="141" w:type="pct"/>
                  </w:tcPr>
                  <w:p w14:paraId="02356DCB" w14:textId="77777777" w:rsidR="00471D53" w:rsidRDefault="00B664AF">
                    <w:pPr>
                      <w:jc w:val="right"/>
                      <w:rPr>
                        <w:sz w:val="18"/>
                        <w:szCs w:val="18"/>
                      </w:rPr>
                    </w:pPr>
                  </w:p>
                </w:tc>
                <w:tc>
                  <w:tcPr>
                    <w:tcW w:w="141" w:type="pct"/>
                  </w:tcPr>
                  <w:p w14:paraId="56C1ADE1" w14:textId="77777777" w:rsidR="00471D53" w:rsidRDefault="00B664AF">
                    <w:pPr>
                      <w:jc w:val="right"/>
                      <w:rPr>
                        <w:sz w:val="18"/>
                        <w:szCs w:val="18"/>
                      </w:rPr>
                    </w:pPr>
                  </w:p>
                </w:tc>
                <w:tc>
                  <w:tcPr>
                    <w:tcW w:w="141" w:type="pct"/>
                  </w:tcPr>
                  <w:p w14:paraId="5F38863A" w14:textId="77777777" w:rsidR="00471D53" w:rsidRDefault="00B664AF">
                    <w:pPr>
                      <w:jc w:val="right"/>
                      <w:rPr>
                        <w:sz w:val="18"/>
                        <w:szCs w:val="18"/>
                      </w:rPr>
                    </w:pPr>
                  </w:p>
                </w:tc>
                <w:tc>
                  <w:tcPr>
                    <w:tcW w:w="449" w:type="pct"/>
                  </w:tcPr>
                  <w:p w14:paraId="168248B9" w14:textId="77777777" w:rsidR="00471D53" w:rsidRDefault="00B664AF">
                    <w:pPr>
                      <w:jc w:val="right"/>
                      <w:rPr>
                        <w:sz w:val="18"/>
                        <w:szCs w:val="18"/>
                      </w:rPr>
                    </w:pPr>
                  </w:p>
                </w:tc>
                <w:tc>
                  <w:tcPr>
                    <w:tcW w:w="204" w:type="pct"/>
                  </w:tcPr>
                  <w:p w14:paraId="1F2C9908" w14:textId="77777777" w:rsidR="00471D53" w:rsidRDefault="00B664AF">
                    <w:pPr>
                      <w:jc w:val="right"/>
                      <w:rPr>
                        <w:sz w:val="18"/>
                        <w:szCs w:val="18"/>
                      </w:rPr>
                    </w:pPr>
                  </w:p>
                </w:tc>
                <w:tc>
                  <w:tcPr>
                    <w:tcW w:w="369" w:type="pct"/>
                  </w:tcPr>
                  <w:p w14:paraId="0CF787C0" w14:textId="77777777" w:rsidR="00471D53" w:rsidRDefault="00B664AF">
                    <w:pPr>
                      <w:jc w:val="right"/>
                      <w:rPr>
                        <w:sz w:val="18"/>
                        <w:szCs w:val="18"/>
                      </w:rPr>
                    </w:pPr>
                  </w:p>
                </w:tc>
                <w:tc>
                  <w:tcPr>
                    <w:tcW w:w="141" w:type="pct"/>
                  </w:tcPr>
                  <w:p w14:paraId="0F1F7AF0" w14:textId="77777777" w:rsidR="00471D53" w:rsidRDefault="00B664AF">
                    <w:pPr>
                      <w:jc w:val="right"/>
                      <w:rPr>
                        <w:sz w:val="18"/>
                        <w:szCs w:val="18"/>
                      </w:rPr>
                    </w:pPr>
                  </w:p>
                </w:tc>
                <w:tc>
                  <w:tcPr>
                    <w:tcW w:w="423" w:type="pct"/>
                  </w:tcPr>
                  <w:p w14:paraId="45BC06C7" w14:textId="77777777" w:rsidR="00471D53" w:rsidRDefault="00B664AF">
                    <w:pPr>
                      <w:jc w:val="right"/>
                      <w:rPr>
                        <w:sz w:val="18"/>
                        <w:szCs w:val="18"/>
                      </w:rPr>
                    </w:pPr>
                  </w:p>
                </w:tc>
                <w:tc>
                  <w:tcPr>
                    <w:tcW w:w="141" w:type="pct"/>
                  </w:tcPr>
                  <w:p w14:paraId="595CE5F8" w14:textId="77777777" w:rsidR="00471D53" w:rsidRDefault="00B664AF">
                    <w:pPr>
                      <w:jc w:val="right"/>
                      <w:rPr>
                        <w:sz w:val="18"/>
                        <w:szCs w:val="18"/>
                      </w:rPr>
                    </w:pPr>
                  </w:p>
                </w:tc>
                <w:tc>
                  <w:tcPr>
                    <w:tcW w:w="476" w:type="pct"/>
                  </w:tcPr>
                  <w:p w14:paraId="5BEF4797" w14:textId="77777777" w:rsidR="00471D53" w:rsidRDefault="00B664AF">
                    <w:pPr>
                      <w:jc w:val="right"/>
                      <w:rPr>
                        <w:sz w:val="18"/>
                        <w:szCs w:val="18"/>
                      </w:rPr>
                    </w:pPr>
                  </w:p>
                </w:tc>
                <w:tc>
                  <w:tcPr>
                    <w:tcW w:w="141" w:type="pct"/>
                  </w:tcPr>
                  <w:p w14:paraId="059A464C" w14:textId="77777777" w:rsidR="00471D53" w:rsidRDefault="00B664AF">
                    <w:pPr>
                      <w:jc w:val="right"/>
                      <w:rPr>
                        <w:sz w:val="18"/>
                        <w:szCs w:val="18"/>
                      </w:rPr>
                    </w:pPr>
                  </w:p>
                </w:tc>
                <w:tc>
                  <w:tcPr>
                    <w:tcW w:w="449" w:type="pct"/>
                  </w:tcPr>
                  <w:p w14:paraId="0A878E4E" w14:textId="77777777" w:rsidR="00471D53" w:rsidRDefault="00B664AF">
                    <w:pPr>
                      <w:jc w:val="right"/>
                      <w:rPr>
                        <w:sz w:val="18"/>
                        <w:szCs w:val="18"/>
                      </w:rPr>
                    </w:pPr>
                  </w:p>
                </w:tc>
                <w:tc>
                  <w:tcPr>
                    <w:tcW w:w="449" w:type="pct"/>
                  </w:tcPr>
                  <w:p w14:paraId="0D6AFEC3" w14:textId="77777777" w:rsidR="00471D53" w:rsidRDefault="00B664AF">
                    <w:pPr>
                      <w:jc w:val="right"/>
                      <w:rPr>
                        <w:sz w:val="18"/>
                        <w:szCs w:val="18"/>
                      </w:rPr>
                    </w:pPr>
                  </w:p>
                </w:tc>
                <w:tc>
                  <w:tcPr>
                    <w:tcW w:w="503" w:type="pct"/>
                  </w:tcPr>
                  <w:p w14:paraId="5CBC29B3" w14:textId="77777777" w:rsidR="00471D53" w:rsidRDefault="00B664AF">
                    <w:pPr>
                      <w:jc w:val="right"/>
                      <w:rPr>
                        <w:sz w:val="18"/>
                        <w:szCs w:val="18"/>
                      </w:rPr>
                    </w:pPr>
                  </w:p>
                </w:tc>
              </w:tr>
              <w:tr w:rsidR="00471D53" w14:paraId="6A4F454A" w14:textId="77777777" w:rsidTr="00471D53">
                <w:sdt>
                  <w:sdtPr>
                    <w:tag w:val="_PLD_2c8b649d670044a9b5fda521dd40705d"/>
                    <w:id w:val="371965726"/>
                    <w:lock w:val="sdtLocked"/>
                  </w:sdtPr>
                  <w:sdtEndPr/>
                  <w:sdtContent>
                    <w:tc>
                      <w:tcPr>
                        <w:tcW w:w="385" w:type="pct"/>
                      </w:tcPr>
                      <w:p w14:paraId="2C8B4A0C" w14:textId="77777777" w:rsidR="00471D53" w:rsidRDefault="004F686E">
                        <w:pPr>
                          <w:rPr>
                            <w:sz w:val="18"/>
                            <w:szCs w:val="18"/>
                          </w:rPr>
                        </w:pPr>
                        <w:r>
                          <w:rPr>
                            <w:sz w:val="18"/>
                            <w:szCs w:val="18"/>
                          </w:rPr>
                          <w:t>2．提取一般风险准备</w:t>
                        </w:r>
                      </w:p>
                    </w:tc>
                  </w:sdtContent>
                </w:sdt>
                <w:tc>
                  <w:tcPr>
                    <w:tcW w:w="449" w:type="pct"/>
                  </w:tcPr>
                  <w:p w14:paraId="2AA7F7C1" w14:textId="77777777" w:rsidR="00471D53" w:rsidRDefault="00B664AF">
                    <w:pPr>
                      <w:jc w:val="right"/>
                      <w:rPr>
                        <w:sz w:val="18"/>
                        <w:szCs w:val="18"/>
                      </w:rPr>
                    </w:pPr>
                  </w:p>
                </w:tc>
                <w:tc>
                  <w:tcPr>
                    <w:tcW w:w="141" w:type="pct"/>
                  </w:tcPr>
                  <w:p w14:paraId="08D87066" w14:textId="77777777" w:rsidR="00471D53" w:rsidRDefault="00B664AF">
                    <w:pPr>
                      <w:jc w:val="right"/>
                      <w:rPr>
                        <w:sz w:val="18"/>
                        <w:szCs w:val="18"/>
                      </w:rPr>
                    </w:pPr>
                  </w:p>
                </w:tc>
                <w:tc>
                  <w:tcPr>
                    <w:tcW w:w="141" w:type="pct"/>
                  </w:tcPr>
                  <w:p w14:paraId="725C9EE4" w14:textId="77777777" w:rsidR="00471D53" w:rsidRDefault="00B664AF">
                    <w:pPr>
                      <w:jc w:val="right"/>
                      <w:rPr>
                        <w:sz w:val="18"/>
                        <w:szCs w:val="18"/>
                      </w:rPr>
                    </w:pPr>
                  </w:p>
                </w:tc>
                <w:tc>
                  <w:tcPr>
                    <w:tcW w:w="141" w:type="pct"/>
                  </w:tcPr>
                  <w:p w14:paraId="6648869D" w14:textId="77777777" w:rsidR="00471D53" w:rsidRDefault="00B664AF">
                    <w:pPr>
                      <w:jc w:val="right"/>
                      <w:rPr>
                        <w:sz w:val="18"/>
                        <w:szCs w:val="18"/>
                      </w:rPr>
                    </w:pPr>
                  </w:p>
                </w:tc>
                <w:tc>
                  <w:tcPr>
                    <w:tcW w:w="449" w:type="pct"/>
                  </w:tcPr>
                  <w:p w14:paraId="0761238F" w14:textId="77777777" w:rsidR="00471D53" w:rsidRDefault="00B664AF">
                    <w:pPr>
                      <w:jc w:val="right"/>
                      <w:rPr>
                        <w:sz w:val="18"/>
                        <w:szCs w:val="18"/>
                      </w:rPr>
                    </w:pPr>
                  </w:p>
                </w:tc>
                <w:tc>
                  <w:tcPr>
                    <w:tcW w:w="204" w:type="pct"/>
                  </w:tcPr>
                  <w:p w14:paraId="349DD55B" w14:textId="77777777" w:rsidR="00471D53" w:rsidRDefault="00B664AF">
                    <w:pPr>
                      <w:jc w:val="right"/>
                      <w:rPr>
                        <w:sz w:val="18"/>
                        <w:szCs w:val="18"/>
                      </w:rPr>
                    </w:pPr>
                  </w:p>
                </w:tc>
                <w:tc>
                  <w:tcPr>
                    <w:tcW w:w="369" w:type="pct"/>
                  </w:tcPr>
                  <w:p w14:paraId="260EC493" w14:textId="77777777" w:rsidR="00471D53" w:rsidRDefault="00B664AF">
                    <w:pPr>
                      <w:jc w:val="right"/>
                      <w:rPr>
                        <w:sz w:val="18"/>
                        <w:szCs w:val="18"/>
                      </w:rPr>
                    </w:pPr>
                  </w:p>
                </w:tc>
                <w:tc>
                  <w:tcPr>
                    <w:tcW w:w="141" w:type="pct"/>
                  </w:tcPr>
                  <w:p w14:paraId="1F97FDF1" w14:textId="77777777" w:rsidR="00471D53" w:rsidRDefault="00B664AF">
                    <w:pPr>
                      <w:jc w:val="right"/>
                      <w:rPr>
                        <w:sz w:val="18"/>
                        <w:szCs w:val="18"/>
                      </w:rPr>
                    </w:pPr>
                  </w:p>
                </w:tc>
                <w:tc>
                  <w:tcPr>
                    <w:tcW w:w="423" w:type="pct"/>
                  </w:tcPr>
                  <w:p w14:paraId="24F5C56B" w14:textId="77777777" w:rsidR="00471D53" w:rsidRDefault="00B664AF">
                    <w:pPr>
                      <w:jc w:val="right"/>
                      <w:rPr>
                        <w:sz w:val="18"/>
                        <w:szCs w:val="18"/>
                      </w:rPr>
                    </w:pPr>
                  </w:p>
                </w:tc>
                <w:tc>
                  <w:tcPr>
                    <w:tcW w:w="141" w:type="pct"/>
                  </w:tcPr>
                  <w:p w14:paraId="03A35C90" w14:textId="77777777" w:rsidR="00471D53" w:rsidRDefault="00B664AF">
                    <w:pPr>
                      <w:jc w:val="right"/>
                      <w:rPr>
                        <w:sz w:val="18"/>
                        <w:szCs w:val="18"/>
                      </w:rPr>
                    </w:pPr>
                  </w:p>
                </w:tc>
                <w:tc>
                  <w:tcPr>
                    <w:tcW w:w="476" w:type="pct"/>
                  </w:tcPr>
                  <w:p w14:paraId="2D22A6C1" w14:textId="77777777" w:rsidR="00471D53" w:rsidRDefault="00B664AF">
                    <w:pPr>
                      <w:jc w:val="right"/>
                      <w:rPr>
                        <w:sz w:val="18"/>
                        <w:szCs w:val="18"/>
                      </w:rPr>
                    </w:pPr>
                  </w:p>
                </w:tc>
                <w:tc>
                  <w:tcPr>
                    <w:tcW w:w="141" w:type="pct"/>
                  </w:tcPr>
                  <w:p w14:paraId="2563F48F" w14:textId="77777777" w:rsidR="00471D53" w:rsidRDefault="00B664AF">
                    <w:pPr>
                      <w:jc w:val="right"/>
                      <w:rPr>
                        <w:sz w:val="18"/>
                        <w:szCs w:val="18"/>
                      </w:rPr>
                    </w:pPr>
                  </w:p>
                </w:tc>
                <w:tc>
                  <w:tcPr>
                    <w:tcW w:w="449" w:type="pct"/>
                  </w:tcPr>
                  <w:p w14:paraId="06A9DF81" w14:textId="77777777" w:rsidR="00471D53" w:rsidRDefault="00B664AF">
                    <w:pPr>
                      <w:jc w:val="right"/>
                      <w:rPr>
                        <w:sz w:val="18"/>
                        <w:szCs w:val="18"/>
                      </w:rPr>
                    </w:pPr>
                  </w:p>
                </w:tc>
                <w:tc>
                  <w:tcPr>
                    <w:tcW w:w="449" w:type="pct"/>
                  </w:tcPr>
                  <w:p w14:paraId="3DF00B44" w14:textId="77777777" w:rsidR="00471D53" w:rsidRDefault="00B664AF">
                    <w:pPr>
                      <w:jc w:val="right"/>
                      <w:rPr>
                        <w:sz w:val="18"/>
                        <w:szCs w:val="18"/>
                      </w:rPr>
                    </w:pPr>
                  </w:p>
                </w:tc>
                <w:tc>
                  <w:tcPr>
                    <w:tcW w:w="503" w:type="pct"/>
                  </w:tcPr>
                  <w:p w14:paraId="3CECFA68" w14:textId="77777777" w:rsidR="00471D53" w:rsidRDefault="00B664AF">
                    <w:pPr>
                      <w:jc w:val="right"/>
                      <w:rPr>
                        <w:sz w:val="18"/>
                        <w:szCs w:val="18"/>
                      </w:rPr>
                    </w:pPr>
                  </w:p>
                </w:tc>
              </w:tr>
              <w:tr w:rsidR="00471D53" w14:paraId="6D410795" w14:textId="77777777" w:rsidTr="00471D53">
                <w:sdt>
                  <w:sdtPr>
                    <w:tag w:val="_PLD_254428ff3bee49c2acd11ef634901543"/>
                    <w:id w:val="893693950"/>
                    <w:lock w:val="sdtLocked"/>
                  </w:sdtPr>
                  <w:sdtEndPr/>
                  <w:sdtContent>
                    <w:tc>
                      <w:tcPr>
                        <w:tcW w:w="385" w:type="pct"/>
                      </w:tcPr>
                      <w:p w14:paraId="7E221C18" w14:textId="77777777" w:rsidR="00471D53" w:rsidRDefault="004F686E">
                        <w:pPr>
                          <w:rPr>
                            <w:sz w:val="18"/>
                            <w:szCs w:val="18"/>
                          </w:rPr>
                        </w:pPr>
                        <w:r>
                          <w:rPr>
                            <w:sz w:val="18"/>
                            <w:szCs w:val="18"/>
                          </w:rPr>
                          <w:t>3．对所有者（或股东）的分配</w:t>
                        </w:r>
                      </w:p>
                    </w:tc>
                  </w:sdtContent>
                </w:sdt>
                <w:tc>
                  <w:tcPr>
                    <w:tcW w:w="449" w:type="pct"/>
                  </w:tcPr>
                  <w:p w14:paraId="7E9ED366" w14:textId="77777777" w:rsidR="00471D53" w:rsidRDefault="00B664AF">
                    <w:pPr>
                      <w:jc w:val="right"/>
                      <w:rPr>
                        <w:sz w:val="18"/>
                        <w:szCs w:val="18"/>
                      </w:rPr>
                    </w:pPr>
                  </w:p>
                </w:tc>
                <w:tc>
                  <w:tcPr>
                    <w:tcW w:w="141" w:type="pct"/>
                  </w:tcPr>
                  <w:p w14:paraId="2E20FB46" w14:textId="77777777" w:rsidR="00471D53" w:rsidRDefault="00B664AF">
                    <w:pPr>
                      <w:jc w:val="right"/>
                      <w:rPr>
                        <w:sz w:val="18"/>
                        <w:szCs w:val="18"/>
                      </w:rPr>
                    </w:pPr>
                  </w:p>
                </w:tc>
                <w:tc>
                  <w:tcPr>
                    <w:tcW w:w="141" w:type="pct"/>
                  </w:tcPr>
                  <w:p w14:paraId="42547E2D" w14:textId="77777777" w:rsidR="00471D53" w:rsidRDefault="00B664AF">
                    <w:pPr>
                      <w:jc w:val="right"/>
                      <w:rPr>
                        <w:sz w:val="18"/>
                        <w:szCs w:val="18"/>
                      </w:rPr>
                    </w:pPr>
                  </w:p>
                </w:tc>
                <w:tc>
                  <w:tcPr>
                    <w:tcW w:w="141" w:type="pct"/>
                  </w:tcPr>
                  <w:p w14:paraId="3E7964B5" w14:textId="77777777" w:rsidR="00471D53" w:rsidRDefault="00B664AF">
                    <w:pPr>
                      <w:jc w:val="right"/>
                      <w:rPr>
                        <w:sz w:val="18"/>
                        <w:szCs w:val="18"/>
                      </w:rPr>
                    </w:pPr>
                  </w:p>
                </w:tc>
                <w:tc>
                  <w:tcPr>
                    <w:tcW w:w="449" w:type="pct"/>
                  </w:tcPr>
                  <w:p w14:paraId="52193DDB" w14:textId="77777777" w:rsidR="00471D53" w:rsidRDefault="00B664AF">
                    <w:pPr>
                      <w:jc w:val="right"/>
                      <w:rPr>
                        <w:sz w:val="18"/>
                        <w:szCs w:val="18"/>
                      </w:rPr>
                    </w:pPr>
                  </w:p>
                </w:tc>
                <w:tc>
                  <w:tcPr>
                    <w:tcW w:w="204" w:type="pct"/>
                  </w:tcPr>
                  <w:p w14:paraId="2D66ED0D" w14:textId="77777777" w:rsidR="00471D53" w:rsidRDefault="00B664AF">
                    <w:pPr>
                      <w:jc w:val="right"/>
                      <w:rPr>
                        <w:sz w:val="18"/>
                        <w:szCs w:val="18"/>
                      </w:rPr>
                    </w:pPr>
                  </w:p>
                </w:tc>
                <w:tc>
                  <w:tcPr>
                    <w:tcW w:w="369" w:type="pct"/>
                  </w:tcPr>
                  <w:p w14:paraId="60A0D42D" w14:textId="77777777" w:rsidR="00471D53" w:rsidRDefault="00B664AF">
                    <w:pPr>
                      <w:jc w:val="right"/>
                      <w:rPr>
                        <w:sz w:val="18"/>
                        <w:szCs w:val="18"/>
                      </w:rPr>
                    </w:pPr>
                  </w:p>
                </w:tc>
                <w:tc>
                  <w:tcPr>
                    <w:tcW w:w="141" w:type="pct"/>
                  </w:tcPr>
                  <w:p w14:paraId="14F8B4FE" w14:textId="77777777" w:rsidR="00471D53" w:rsidRDefault="00B664AF">
                    <w:pPr>
                      <w:jc w:val="right"/>
                      <w:rPr>
                        <w:sz w:val="18"/>
                        <w:szCs w:val="18"/>
                      </w:rPr>
                    </w:pPr>
                  </w:p>
                </w:tc>
                <w:tc>
                  <w:tcPr>
                    <w:tcW w:w="423" w:type="pct"/>
                  </w:tcPr>
                  <w:p w14:paraId="2444244E" w14:textId="77777777" w:rsidR="00471D53" w:rsidRDefault="00B664AF">
                    <w:pPr>
                      <w:jc w:val="right"/>
                      <w:rPr>
                        <w:sz w:val="18"/>
                        <w:szCs w:val="18"/>
                      </w:rPr>
                    </w:pPr>
                  </w:p>
                </w:tc>
                <w:tc>
                  <w:tcPr>
                    <w:tcW w:w="141" w:type="pct"/>
                  </w:tcPr>
                  <w:p w14:paraId="6531885E" w14:textId="77777777" w:rsidR="00471D53" w:rsidRDefault="00B664AF">
                    <w:pPr>
                      <w:jc w:val="right"/>
                      <w:rPr>
                        <w:sz w:val="18"/>
                        <w:szCs w:val="18"/>
                      </w:rPr>
                    </w:pPr>
                  </w:p>
                </w:tc>
                <w:tc>
                  <w:tcPr>
                    <w:tcW w:w="476" w:type="pct"/>
                  </w:tcPr>
                  <w:p w14:paraId="38497BA7" w14:textId="77777777" w:rsidR="00471D53" w:rsidRDefault="00B664AF">
                    <w:pPr>
                      <w:jc w:val="right"/>
                      <w:rPr>
                        <w:sz w:val="18"/>
                        <w:szCs w:val="18"/>
                      </w:rPr>
                    </w:pPr>
                  </w:p>
                </w:tc>
                <w:tc>
                  <w:tcPr>
                    <w:tcW w:w="141" w:type="pct"/>
                  </w:tcPr>
                  <w:p w14:paraId="76199905" w14:textId="77777777" w:rsidR="00471D53" w:rsidRDefault="00B664AF">
                    <w:pPr>
                      <w:jc w:val="right"/>
                      <w:rPr>
                        <w:sz w:val="18"/>
                        <w:szCs w:val="18"/>
                      </w:rPr>
                    </w:pPr>
                  </w:p>
                </w:tc>
                <w:tc>
                  <w:tcPr>
                    <w:tcW w:w="449" w:type="pct"/>
                  </w:tcPr>
                  <w:p w14:paraId="4F104F79" w14:textId="77777777" w:rsidR="00471D53" w:rsidRDefault="00B664AF">
                    <w:pPr>
                      <w:jc w:val="right"/>
                      <w:rPr>
                        <w:sz w:val="18"/>
                        <w:szCs w:val="18"/>
                      </w:rPr>
                    </w:pPr>
                  </w:p>
                </w:tc>
                <w:tc>
                  <w:tcPr>
                    <w:tcW w:w="449" w:type="pct"/>
                  </w:tcPr>
                  <w:p w14:paraId="3FC5BC22" w14:textId="77777777" w:rsidR="00471D53" w:rsidRDefault="00B664AF">
                    <w:pPr>
                      <w:jc w:val="right"/>
                      <w:rPr>
                        <w:sz w:val="18"/>
                        <w:szCs w:val="18"/>
                      </w:rPr>
                    </w:pPr>
                  </w:p>
                </w:tc>
                <w:tc>
                  <w:tcPr>
                    <w:tcW w:w="503" w:type="pct"/>
                  </w:tcPr>
                  <w:p w14:paraId="1FCF42C3" w14:textId="77777777" w:rsidR="00471D53" w:rsidRDefault="00B664AF">
                    <w:pPr>
                      <w:jc w:val="right"/>
                      <w:rPr>
                        <w:sz w:val="18"/>
                        <w:szCs w:val="18"/>
                      </w:rPr>
                    </w:pPr>
                  </w:p>
                </w:tc>
              </w:tr>
              <w:tr w:rsidR="00471D53" w14:paraId="626322AE" w14:textId="77777777" w:rsidTr="00471D53">
                <w:sdt>
                  <w:sdtPr>
                    <w:tag w:val="_PLD_b3d350728a6c49ccaa6dbb4adf16c691"/>
                    <w:id w:val="-36431412"/>
                    <w:lock w:val="sdtLocked"/>
                  </w:sdtPr>
                  <w:sdtEndPr/>
                  <w:sdtContent>
                    <w:tc>
                      <w:tcPr>
                        <w:tcW w:w="385" w:type="pct"/>
                      </w:tcPr>
                      <w:p w14:paraId="72CCC9AD" w14:textId="77777777" w:rsidR="00471D53" w:rsidRDefault="004F686E">
                        <w:pPr>
                          <w:rPr>
                            <w:sz w:val="18"/>
                            <w:szCs w:val="18"/>
                          </w:rPr>
                        </w:pPr>
                        <w:r>
                          <w:rPr>
                            <w:sz w:val="18"/>
                            <w:szCs w:val="18"/>
                          </w:rPr>
                          <w:t>4．其他</w:t>
                        </w:r>
                      </w:p>
                    </w:tc>
                  </w:sdtContent>
                </w:sdt>
                <w:tc>
                  <w:tcPr>
                    <w:tcW w:w="449" w:type="pct"/>
                  </w:tcPr>
                  <w:p w14:paraId="55202950" w14:textId="77777777" w:rsidR="00471D53" w:rsidRDefault="00B664AF">
                    <w:pPr>
                      <w:jc w:val="right"/>
                      <w:rPr>
                        <w:sz w:val="18"/>
                        <w:szCs w:val="18"/>
                      </w:rPr>
                    </w:pPr>
                  </w:p>
                </w:tc>
                <w:tc>
                  <w:tcPr>
                    <w:tcW w:w="141" w:type="pct"/>
                  </w:tcPr>
                  <w:p w14:paraId="4DDDBEC0" w14:textId="77777777" w:rsidR="00471D53" w:rsidRDefault="00B664AF">
                    <w:pPr>
                      <w:jc w:val="right"/>
                      <w:rPr>
                        <w:sz w:val="18"/>
                        <w:szCs w:val="18"/>
                      </w:rPr>
                    </w:pPr>
                  </w:p>
                </w:tc>
                <w:tc>
                  <w:tcPr>
                    <w:tcW w:w="141" w:type="pct"/>
                  </w:tcPr>
                  <w:p w14:paraId="4EEB99AD" w14:textId="77777777" w:rsidR="00471D53" w:rsidRDefault="00B664AF">
                    <w:pPr>
                      <w:jc w:val="right"/>
                      <w:rPr>
                        <w:sz w:val="18"/>
                        <w:szCs w:val="18"/>
                      </w:rPr>
                    </w:pPr>
                  </w:p>
                </w:tc>
                <w:tc>
                  <w:tcPr>
                    <w:tcW w:w="141" w:type="pct"/>
                  </w:tcPr>
                  <w:p w14:paraId="3F735817" w14:textId="77777777" w:rsidR="00471D53" w:rsidRDefault="00B664AF">
                    <w:pPr>
                      <w:jc w:val="right"/>
                      <w:rPr>
                        <w:sz w:val="18"/>
                        <w:szCs w:val="18"/>
                      </w:rPr>
                    </w:pPr>
                  </w:p>
                </w:tc>
                <w:tc>
                  <w:tcPr>
                    <w:tcW w:w="449" w:type="pct"/>
                  </w:tcPr>
                  <w:p w14:paraId="470746D1" w14:textId="77777777" w:rsidR="00471D53" w:rsidRDefault="00B664AF">
                    <w:pPr>
                      <w:jc w:val="right"/>
                      <w:rPr>
                        <w:sz w:val="18"/>
                        <w:szCs w:val="18"/>
                      </w:rPr>
                    </w:pPr>
                  </w:p>
                </w:tc>
                <w:tc>
                  <w:tcPr>
                    <w:tcW w:w="204" w:type="pct"/>
                  </w:tcPr>
                  <w:p w14:paraId="7D349F4E" w14:textId="77777777" w:rsidR="00471D53" w:rsidRDefault="00B664AF">
                    <w:pPr>
                      <w:jc w:val="right"/>
                      <w:rPr>
                        <w:sz w:val="18"/>
                        <w:szCs w:val="18"/>
                      </w:rPr>
                    </w:pPr>
                  </w:p>
                </w:tc>
                <w:tc>
                  <w:tcPr>
                    <w:tcW w:w="369" w:type="pct"/>
                  </w:tcPr>
                  <w:p w14:paraId="66D07C4E" w14:textId="77777777" w:rsidR="00471D53" w:rsidRDefault="00B664AF">
                    <w:pPr>
                      <w:jc w:val="right"/>
                      <w:rPr>
                        <w:sz w:val="18"/>
                        <w:szCs w:val="18"/>
                      </w:rPr>
                    </w:pPr>
                  </w:p>
                </w:tc>
                <w:tc>
                  <w:tcPr>
                    <w:tcW w:w="141" w:type="pct"/>
                  </w:tcPr>
                  <w:p w14:paraId="673D97AC" w14:textId="77777777" w:rsidR="00471D53" w:rsidRDefault="00B664AF">
                    <w:pPr>
                      <w:jc w:val="right"/>
                      <w:rPr>
                        <w:sz w:val="18"/>
                        <w:szCs w:val="18"/>
                      </w:rPr>
                    </w:pPr>
                  </w:p>
                </w:tc>
                <w:tc>
                  <w:tcPr>
                    <w:tcW w:w="423" w:type="pct"/>
                  </w:tcPr>
                  <w:p w14:paraId="40F08B6F" w14:textId="77777777" w:rsidR="00471D53" w:rsidRDefault="00B664AF">
                    <w:pPr>
                      <w:jc w:val="right"/>
                      <w:rPr>
                        <w:sz w:val="18"/>
                        <w:szCs w:val="18"/>
                      </w:rPr>
                    </w:pPr>
                  </w:p>
                </w:tc>
                <w:tc>
                  <w:tcPr>
                    <w:tcW w:w="141" w:type="pct"/>
                  </w:tcPr>
                  <w:p w14:paraId="6721F504" w14:textId="77777777" w:rsidR="00471D53" w:rsidRDefault="00B664AF">
                    <w:pPr>
                      <w:jc w:val="right"/>
                      <w:rPr>
                        <w:sz w:val="18"/>
                        <w:szCs w:val="18"/>
                      </w:rPr>
                    </w:pPr>
                  </w:p>
                </w:tc>
                <w:tc>
                  <w:tcPr>
                    <w:tcW w:w="476" w:type="pct"/>
                  </w:tcPr>
                  <w:p w14:paraId="1CC19689" w14:textId="77777777" w:rsidR="00471D53" w:rsidRDefault="00B664AF">
                    <w:pPr>
                      <w:jc w:val="right"/>
                      <w:rPr>
                        <w:sz w:val="18"/>
                        <w:szCs w:val="18"/>
                      </w:rPr>
                    </w:pPr>
                  </w:p>
                </w:tc>
                <w:tc>
                  <w:tcPr>
                    <w:tcW w:w="141" w:type="pct"/>
                  </w:tcPr>
                  <w:p w14:paraId="49B8D7D1" w14:textId="77777777" w:rsidR="00471D53" w:rsidRDefault="00B664AF">
                    <w:pPr>
                      <w:jc w:val="right"/>
                      <w:rPr>
                        <w:sz w:val="18"/>
                        <w:szCs w:val="18"/>
                      </w:rPr>
                    </w:pPr>
                  </w:p>
                </w:tc>
                <w:tc>
                  <w:tcPr>
                    <w:tcW w:w="449" w:type="pct"/>
                  </w:tcPr>
                  <w:p w14:paraId="533C42CB" w14:textId="77777777" w:rsidR="00471D53" w:rsidRDefault="00B664AF">
                    <w:pPr>
                      <w:jc w:val="right"/>
                      <w:rPr>
                        <w:sz w:val="18"/>
                        <w:szCs w:val="18"/>
                      </w:rPr>
                    </w:pPr>
                  </w:p>
                </w:tc>
                <w:tc>
                  <w:tcPr>
                    <w:tcW w:w="449" w:type="pct"/>
                  </w:tcPr>
                  <w:p w14:paraId="49DB45BB" w14:textId="77777777" w:rsidR="00471D53" w:rsidRDefault="00B664AF">
                    <w:pPr>
                      <w:jc w:val="right"/>
                      <w:rPr>
                        <w:sz w:val="18"/>
                        <w:szCs w:val="18"/>
                      </w:rPr>
                    </w:pPr>
                  </w:p>
                </w:tc>
                <w:tc>
                  <w:tcPr>
                    <w:tcW w:w="503" w:type="pct"/>
                  </w:tcPr>
                  <w:p w14:paraId="7C0EE48E" w14:textId="77777777" w:rsidR="00471D53" w:rsidRDefault="00B664AF">
                    <w:pPr>
                      <w:jc w:val="right"/>
                      <w:rPr>
                        <w:sz w:val="18"/>
                        <w:szCs w:val="18"/>
                      </w:rPr>
                    </w:pPr>
                  </w:p>
                </w:tc>
              </w:tr>
              <w:tr w:rsidR="00471D53" w14:paraId="17394ED3" w14:textId="77777777" w:rsidTr="00471D53">
                <w:sdt>
                  <w:sdtPr>
                    <w:tag w:val="_PLD_03ab84b7536c4ddcaaad4c99a2dd5fd3"/>
                    <w:id w:val="-215359541"/>
                    <w:lock w:val="sdtLocked"/>
                  </w:sdtPr>
                  <w:sdtEndPr/>
                  <w:sdtContent>
                    <w:tc>
                      <w:tcPr>
                        <w:tcW w:w="385" w:type="pct"/>
                      </w:tcPr>
                      <w:p w14:paraId="10365A3C" w14:textId="77777777" w:rsidR="00471D53" w:rsidRDefault="004F686E">
                        <w:pPr>
                          <w:rPr>
                            <w:sz w:val="18"/>
                            <w:szCs w:val="18"/>
                          </w:rPr>
                        </w:pPr>
                        <w:r>
                          <w:rPr>
                            <w:sz w:val="18"/>
                            <w:szCs w:val="18"/>
                          </w:rPr>
                          <w:t>（</w:t>
                        </w:r>
                        <w:r>
                          <w:rPr>
                            <w:rFonts w:hint="eastAsia"/>
                            <w:sz w:val="18"/>
                            <w:szCs w:val="18"/>
                          </w:rPr>
                          <w:t>四</w:t>
                        </w:r>
                        <w:r>
                          <w:rPr>
                            <w:sz w:val="18"/>
                            <w:szCs w:val="18"/>
                          </w:rPr>
                          <w:t>）所有者权益内部结转</w:t>
                        </w:r>
                      </w:p>
                    </w:tc>
                  </w:sdtContent>
                </w:sdt>
                <w:tc>
                  <w:tcPr>
                    <w:tcW w:w="449" w:type="pct"/>
                  </w:tcPr>
                  <w:p w14:paraId="06C5FAC4" w14:textId="77777777" w:rsidR="00471D53" w:rsidRDefault="00B664AF">
                    <w:pPr>
                      <w:jc w:val="right"/>
                      <w:rPr>
                        <w:sz w:val="18"/>
                        <w:szCs w:val="18"/>
                      </w:rPr>
                    </w:pPr>
                  </w:p>
                </w:tc>
                <w:tc>
                  <w:tcPr>
                    <w:tcW w:w="141" w:type="pct"/>
                  </w:tcPr>
                  <w:p w14:paraId="7431E9C5" w14:textId="77777777" w:rsidR="00471D53" w:rsidRDefault="00B664AF">
                    <w:pPr>
                      <w:jc w:val="right"/>
                      <w:rPr>
                        <w:sz w:val="18"/>
                        <w:szCs w:val="18"/>
                      </w:rPr>
                    </w:pPr>
                  </w:p>
                </w:tc>
                <w:tc>
                  <w:tcPr>
                    <w:tcW w:w="141" w:type="pct"/>
                  </w:tcPr>
                  <w:p w14:paraId="39E23017" w14:textId="77777777" w:rsidR="00471D53" w:rsidRDefault="00B664AF">
                    <w:pPr>
                      <w:jc w:val="right"/>
                      <w:rPr>
                        <w:sz w:val="18"/>
                        <w:szCs w:val="18"/>
                      </w:rPr>
                    </w:pPr>
                  </w:p>
                </w:tc>
                <w:tc>
                  <w:tcPr>
                    <w:tcW w:w="141" w:type="pct"/>
                  </w:tcPr>
                  <w:p w14:paraId="355BB035" w14:textId="77777777" w:rsidR="00471D53" w:rsidRDefault="00B664AF">
                    <w:pPr>
                      <w:jc w:val="right"/>
                      <w:rPr>
                        <w:sz w:val="18"/>
                        <w:szCs w:val="18"/>
                      </w:rPr>
                    </w:pPr>
                  </w:p>
                </w:tc>
                <w:tc>
                  <w:tcPr>
                    <w:tcW w:w="449" w:type="pct"/>
                  </w:tcPr>
                  <w:p w14:paraId="1983B088" w14:textId="77777777" w:rsidR="00471D53" w:rsidRDefault="00B664AF">
                    <w:pPr>
                      <w:jc w:val="right"/>
                      <w:rPr>
                        <w:sz w:val="18"/>
                        <w:szCs w:val="18"/>
                      </w:rPr>
                    </w:pPr>
                  </w:p>
                </w:tc>
                <w:tc>
                  <w:tcPr>
                    <w:tcW w:w="204" w:type="pct"/>
                  </w:tcPr>
                  <w:p w14:paraId="6C180BA0" w14:textId="77777777" w:rsidR="00471D53" w:rsidRDefault="00B664AF">
                    <w:pPr>
                      <w:jc w:val="right"/>
                      <w:rPr>
                        <w:sz w:val="18"/>
                        <w:szCs w:val="18"/>
                      </w:rPr>
                    </w:pPr>
                  </w:p>
                </w:tc>
                <w:tc>
                  <w:tcPr>
                    <w:tcW w:w="369" w:type="pct"/>
                  </w:tcPr>
                  <w:p w14:paraId="7182D822" w14:textId="77777777" w:rsidR="00471D53" w:rsidRDefault="00B664AF">
                    <w:pPr>
                      <w:jc w:val="right"/>
                      <w:rPr>
                        <w:sz w:val="18"/>
                        <w:szCs w:val="18"/>
                      </w:rPr>
                    </w:pPr>
                  </w:p>
                </w:tc>
                <w:tc>
                  <w:tcPr>
                    <w:tcW w:w="141" w:type="pct"/>
                  </w:tcPr>
                  <w:p w14:paraId="43AA767B" w14:textId="77777777" w:rsidR="00471D53" w:rsidRDefault="00B664AF">
                    <w:pPr>
                      <w:jc w:val="right"/>
                      <w:rPr>
                        <w:sz w:val="18"/>
                        <w:szCs w:val="18"/>
                      </w:rPr>
                    </w:pPr>
                  </w:p>
                </w:tc>
                <w:tc>
                  <w:tcPr>
                    <w:tcW w:w="423" w:type="pct"/>
                  </w:tcPr>
                  <w:p w14:paraId="7D901656" w14:textId="77777777" w:rsidR="00471D53" w:rsidRDefault="00B664AF">
                    <w:pPr>
                      <w:jc w:val="right"/>
                      <w:rPr>
                        <w:sz w:val="18"/>
                        <w:szCs w:val="18"/>
                      </w:rPr>
                    </w:pPr>
                  </w:p>
                </w:tc>
                <w:tc>
                  <w:tcPr>
                    <w:tcW w:w="141" w:type="pct"/>
                  </w:tcPr>
                  <w:p w14:paraId="1BB5D04A" w14:textId="77777777" w:rsidR="00471D53" w:rsidRDefault="00B664AF">
                    <w:pPr>
                      <w:jc w:val="right"/>
                      <w:rPr>
                        <w:sz w:val="18"/>
                        <w:szCs w:val="18"/>
                      </w:rPr>
                    </w:pPr>
                  </w:p>
                </w:tc>
                <w:tc>
                  <w:tcPr>
                    <w:tcW w:w="476" w:type="pct"/>
                  </w:tcPr>
                  <w:p w14:paraId="290461DA" w14:textId="77777777" w:rsidR="00471D53" w:rsidRDefault="00B664AF">
                    <w:pPr>
                      <w:jc w:val="right"/>
                      <w:rPr>
                        <w:sz w:val="18"/>
                        <w:szCs w:val="18"/>
                      </w:rPr>
                    </w:pPr>
                  </w:p>
                </w:tc>
                <w:tc>
                  <w:tcPr>
                    <w:tcW w:w="141" w:type="pct"/>
                  </w:tcPr>
                  <w:p w14:paraId="282AC02A" w14:textId="77777777" w:rsidR="00471D53" w:rsidRDefault="00B664AF">
                    <w:pPr>
                      <w:jc w:val="right"/>
                      <w:rPr>
                        <w:sz w:val="18"/>
                        <w:szCs w:val="18"/>
                      </w:rPr>
                    </w:pPr>
                  </w:p>
                </w:tc>
                <w:tc>
                  <w:tcPr>
                    <w:tcW w:w="449" w:type="pct"/>
                  </w:tcPr>
                  <w:p w14:paraId="0B1AC82E" w14:textId="77777777" w:rsidR="00471D53" w:rsidRDefault="00B664AF">
                    <w:pPr>
                      <w:jc w:val="right"/>
                      <w:rPr>
                        <w:sz w:val="18"/>
                        <w:szCs w:val="18"/>
                      </w:rPr>
                    </w:pPr>
                  </w:p>
                </w:tc>
                <w:tc>
                  <w:tcPr>
                    <w:tcW w:w="449" w:type="pct"/>
                  </w:tcPr>
                  <w:p w14:paraId="1D7E33AD" w14:textId="77777777" w:rsidR="00471D53" w:rsidRDefault="00B664AF">
                    <w:pPr>
                      <w:jc w:val="right"/>
                      <w:rPr>
                        <w:sz w:val="18"/>
                        <w:szCs w:val="18"/>
                      </w:rPr>
                    </w:pPr>
                  </w:p>
                </w:tc>
                <w:tc>
                  <w:tcPr>
                    <w:tcW w:w="503" w:type="pct"/>
                  </w:tcPr>
                  <w:p w14:paraId="0D9138B6" w14:textId="77777777" w:rsidR="00471D53" w:rsidRDefault="00B664AF">
                    <w:pPr>
                      <w:jc w:val="right"/>
                      <w:rPr>
                        <w:sz w:val="18"/>
                        <w:szCs w:val="18"/>
                      </w:rPr>
                    </w:pPr>
                  </w:p>
                </w:tc>
              </w:tr>
              <w:tr w:rsidR="00471D53" w14:paraId="728D8996" w14:textId="77777777" w:rsidTr="00471D53">
                <w:sdt>
                  <w:sdtPr>
                    <w:tag w:val="_PLD_88233f88b9ea4ceb82a1cc6cd7a5030d"/>
                    <w:id w:val="-835761210"/>
                    <w:lock w:val="sdtLocked"/>
                  </w:sdtPr>
                  <w:sdtEndPr/>
                  <w:sdtContent>
                    <w:tc>
                      <w:tcPr>
                        <w:tcW w:w="385" w:type="pct"/>
                      </w:tcPr>
                      <w:p w14:paraId="0C91AAAE" w14:textId="77777777" w:rsidR="00471D53" w:rsidRDefault="004F686E">
                        <w:pPr>
                          <w:rPr>
                            <w:sz w:val="18"/>
                            <w:szCs w:val="18"/>
                          </w:rPr>
                        </w:pPr>
                        <w:r>
                          <w:rPr>
                            <w:sz w:val="18"/>
                            <w:szCs w:val="18"/>
                          </w:rPr>
                          <w:t>1．资本公积转增资本（或股本）</w:t>
                        </w:r>
                      </w:p>
                    </w:tc>
                  </w:sdtContent>
                </w:sdt>
                <w:tc>
                  <w:tcPr>
                    <w:tcW w:w="449" w:type="pct"/>
                  </w:tcPr>
                  <w:p w14:paraId="6FB4F323" w14:textId="77777777" w:rsidR="00471D53" w:rsidRDefault="00B664AF">
                    <w:pPr>
                      <w:jc w:val="right"/>
                      <w:rPr>
                        <w:sz w:val="18"/>
                        <w:szCs w:val="18"/>
                      </w:rPr>
                    </w:pPr>
                  </w:p>
                </w:tc>
                <w:tc>
                  <w:tcPr>
                    <w:tcW w:w="141" w:type="pct"/>
                  </w:tcPr>
                  <w:p w14:paraId="0BE07357" w14:textId="77777777" w:rsidR="00471D53" w:rsidRDefault="00B664AF">
                    <w:pPr>
                      <w:jc w:val="right"/>
                      <w:rPr>
                        <w:sz w:val="18"/>
                        <w:szCs w:val="18"/>
                      </w:rPr>
                    </w:pPr>
                  </w:p>
                </w:tc>
                <w:tc>
                  <w:tcPr>
                    <w:tcW w:w="141" w:type="pct"/>
                  </w:tcPr>
                  <w:p w14:paraId="3CB57A31" w14:textId="77777777" w:rsidR="00471D53" w:rsidRDefault="00B664AF">
                    <w:pPr>
                      <w:jc w:val="right"/>
                      <w:rPr>
                        <w:sz w:val="18"/>
                        <w:szCs w:val="18"/>
                      </w:rPr>
                    </w:pPr>
                  </w:p>
                </w:tc>
                <w:tc>
                  <w:tcPr>
                    <w:tcW w:w="141" w:type="pct"/>
                  </w:tcPr>
                  <w:p w14:paraId="191D7C60" w14:textId="77777777" w:rsidR="00471D53" w:rsidRDefault="00B664AF">
                    <w:pPr>
                      <w:jc w:val="right"/>
                      <w:rPr>
                        <w:sz w:val="18"/>
                        <w:szCs w:val="18"/>
                      </w:rPr>
                    </w:pPr>
                  </w:p>
                </w:tc>
                <w:tc>
                  <w:tcPr>
                    <w:tcW w:w="449" w:type="pct"/>
                  </w:tcPr>
                  <w:p w14:paraId="1B3928CC" w14:textId="77777777" w:rsidR="00471D53" w:rsidRDefault="00B664AF">
                    <w:pPr>
                      <w:jc w:val="right"/>
                      <w:rPr>
                        <w:sz w:val="18"/>
                        <w:szCs w:val="18"/>
                      </w:rPr>
                    </w:pPr>
                  </w:p>
                </w:tc>
                <w:tc>
                  <w:tcPr>
                    <w:tcW w:w="204" w:type="pct"/>
                  </w:tcPr>
                  <w:p w14:paraId="7ADEDD3E" w14:textId="77777777" w:rsidR="00471D53" w:rsidRDefault="00B664AF">
                    <w:pPr>
                      <w:jc w:val="right"/>
                      <w:rPr>
                        <w:sz w:val="18"/>
                        <w:szCs w:val="18"/>
                      </w:rPr>
                    </w:pPr>
                  </w:p>
                </w:tc>
                <w:tc>
                  <w:tcPr>
                    <w:tcW w:w="369" w:type="pct"/>
                  </w:tcPr>
                  <w:p w14:paraId="52DA8A22" w14:textId="77777777" w:rsidR="00471D53" w:rsidRDefault="00B664AF">
                    <w:pPr>
                      <w:jc w:val="right"/>
                      <w:rPr>
                        <w:sz w:val="18"/>
                        <w:szCs w:val="18"/>
                      </w:rPr>
                    </w:pPr>
                  </w:p>
                </w:tc>
                <w:tc>
                  <w:tcPr>
                    <w:tcW w:w="141" w:type="pct"/>
                  </w:tcPr>
                  <w:p w14:paraId="24F228DF" w14:textId="77777777" w:rsidR="00471D53" w:rsidRDefault="00B664AF">
                    <w:pPr>
                      <w:jc w:val="right"/>
                      <w:rPr>
                        <w:sz w:val="18"/>
                        <w:szCs w:val="18"/>
                      </w:rPr>
                    </w:pPr>
                  </w:p>
                </w:tc>
                <w:tc>
                  <w:tcPr>
                    <w:tcW w:w="423" w:type="pct"/>
                  </w:tcPr>
                  <w:p w14:paraId="7916C9C7" w14:textId="77777777" w:rsidR="00471D53" w:rsidRDefault="00B664AF">
                    <w:pPr>
                      <w:jc w:val="right"/>
                      <w:rPr>
                        <w:sz w:val="18"/>
                        <w:szCs w:val="18"/>
                      </w:rPr>
                    </w:pPr>
                  </w:p>
                </w:tc>
                <w:tc>
                  <w:tcPr>
                    <w:tcW w:w="141" w:type="pct"/>
                  </w:tcPr>
                  <w:p w14:paraId="7A47BE2B" w14:textId="77777777" w:rsidR="00471D53" w:rsidRDefault="00B664AF">
                    <w:pPr>
                      <w:jc w:val="right"/>
                      <w:rPr>
                        <w:sz w:val="18"/>
                        <w:szCs w:val="18"/>
                      </w:rPr>
                    </w:pPr>
                  </w:p>
                </w:tc>
                <w:tc>
                  <w:tcPr>
                    <w:tcW w:w="476" w:type="pct"/>
                  </w:tcPr>
                  <w:p w14:paraId="2D576099" w14:textId="77777777" w:rsidR="00471D53" w:rsidRDefault="00B664AF">
                    <w:pPr>
                      <w:jc w:val="right"/>
                      <w:rPr>
                        <w:sz w:val="18"/>
                        <w:szCs w:val="18"/>
                      </w:rPr>
                    </w:pPr>
                  </w:p>
                </w:tc>
                <w:tc>
                  <w:tcPr>
                    <w:tcW w:w="141" w:type="pct"/>
                  </w:tcPr>
                  <w:p w14:paraId="0C21937E" w14:textId="77777777" w:rsidR="00471D53" w:rsidRDefault="00B664AF">
                    <w:pPr>
                      <w:jc w:val="right"/>
                      <w:rPr>
                        <w:sz w:val="18"/>
                        <w:szCs w:val="18"/>
                      </w:rPr>
                    </w:pPr>
                  </w:p>
                </w:tc>
                <w:tc>
                  <w:tcPr>
                    <w:tcW w:w="449" w:type="pct"/>
                  </w:tcPr>
                  <w:p w14:paraId="7F240E4E" w14:textId="77777777" w:rsidR="00471D53" w:rsidRDefault="00B664AF">
                    <w:pPr>
                      <w:jc w:val="right"/>
                      <w:rPr>
                        <w:sz w:val="18"/>
                        <w:szCs w:val="18"/>
                      </w:rPr>
                    </w:pPr>
                  </w:p>
                </w:tc>
                <w:tc>
                  <w:tcPr>
                    <w:tcW w:w="449" w:type="pct"/>
                  </w:tcPr>
                  <w:p w14:paraId="2545B5C2" w14:textId="77777777" w:rsidR="00471D53" w:rsidRDefault="00B664AF">
                    <w:pPr>
                      <w:jc w:val="right"/>
                      <w:rPr>
                        <w:sz w:val="18"/>
                        <w:szCs w:val="18"/>
                      </w:rPr>
                    </w:pPr>
                  </w:p>
                </w:tc>
                <w:tc>
                  <w:tcPr>
                    <w:tcW w:w="503" w:type="pct"/>
                  </w:tcPr>
                  <w:p w14:paraId="7E5A8AD8" w14:textId="77777777" w:rsidR="00471D53" w:rsidRDefault="00B664AF">
                    <w:pPr>
                      <w:jc w:val="right"/>
                      <w:rPr>
                        <w:sz w:val="18"/>
                        <w:szCs w:val="18"/>
                      </w:rPr>
                    </w:pPr>
                  </w:p>
                </w:tc>
              </w:tr>
              <w:tr w:rsidR="00471D53" w14:paraId="62121476" w14:textId="77777777" w:rsidTr="00471D53">
                <w:sdt>
                  <w:sdtPr>
                    <w:tag w:val="_PLD_4a9492c5a232434296cfdef5eeded778"/>
                    <w:id w:val="-561175000"/>
                    <w:lock w:val="sdtLocked"/>
                  </w:sdtPr>
                  <w:sdtEndPr/>
                  <w:sdtContent>
                    <w:tc>
                      <w:tcPr>
                        <w:tcW w:w="385" w:type="pct"/>
                      </w:tcPr>
                      <w:p w14:paraId="3AE428EB" w14:textId="77777777" w:rsidR="00471D53" w:rsidRDefault="004F686E">
                        <w:pPr>
                          <w:rPr>
                            <w:sz w:val="18"/>
                            <w:szCs w:val="18"/>
                          </w:rPr>
                        </w:pPr>
                        <w:r>
                          <w:rPr>
                            <w:sz w:val="18"/>
                            <w:szCs w:val="18"/>
                          </w:rPr>
                          <w:t>2．盈余公积转增</w:t>
                        </w:r>
                        <w:r>
                          <w:rPr>
                            <w:sz w:val="18"/>
                            <w:szCs w:val="18"/>
                          </w:rPr>
                          <w:lastRenderedPageBreak/>
                          <w:t>资本（或股本）</w:t>
                        </w:r>
                      </w:p>
                    </w:tc>
                  </w:sdtContent>
                </w:sdt>
                <w:tc>
                  <w:tcPr>
                    <w:tcW w:w="449" w:type="pct"/>
                  </w:tcPr>
                  <w:p w14:paraId="29C2B654" w14:textId="77777777" w:rsidR="00471D53" w:rsidRDefault="00B664AF">
                    <w:pPr>
                      <w:jc w:val="right"/>
                      <w:rPr>
                        <w:sz w:val="18"/>
                        <w:szCs w:val="18"/>
                      </w:rPr>
                    </w:pPr>
                  </w:p>
                </w:tc>
                <w:tc>
                  <w:tcPr>
                    <w:tcW w:w="141" w:type="pct"/>
                  </w:tcPr>
                  <w:p w14:paraId="2DD97D0C" w14:textId="77777777" w:rsidR="00471D53" w:rsidRDefault="00B664AF">
                    <w:pPr>
                      <w:jc w:val="right"/>
                      <w:rPr>
                        <w:sz w:val="18"/>
                        <w:szCs w:val="18"/>
                      </w:rPr>
                    </w:pPr>
                  </w:p>
                </w:tc>
                <w:tc>
                  <w:tcPr>
                    <w:tcW w:w="141" w:type="pct"/>
                  </w:tcPr>
                  <w:p w14:paraId="0B9F089C" w14:textId="77777777" w:rsidR="00471D53" w:rsidRDefault="00B664AF">
                    <w:pPr>
                      <w:jc w:val="right"/>
                      <w:rPr>
                        <w:sz w:val="18"/>
                        <w:szCs w:val="18"/>
                      </w:rPr>
                    </w:pPr>
                  </w:p>
                </w:tc>
                <w:tc>
                  <w:tcPr>
                    <w:tcW w:w="141" w:type="pct"/>
                  </w:tcPr>
                  <w:p w14:paraId="6F19F494" w14:textId="77777777" w:rsidR="00471D53" w:rsidRDefault="00B664AF">
                    <w:pPr>
                      <w:jc w:val="right"/>
                      <w:rPr>
                        <w:sz w:val="18"/>
                        <w:szCs w:val="18"/>
                      </w:rPr>
                    </w:pPr>
                  </w:p>
                </w:tc>
                <w:tc>
                  <w:tcPr>
                    <w:tcW w:w="449" w:type="pct"/>
                  </w:tcPr>
                  <w:p w14:paraId="51C8BC8A" w14:textId="77777777" w:rsidR="00471D53" w:rsidRDefault="00B664AF">
                    <w:pPr>
                      <w:jc w:val="right"/>
                      <w:rPr>
                        <w:sz w:val="18"/>
                        <w:szCs w:val="18"/>
                      </w:rPr>
                    </w:pPr>
                  </w:p>
                </w:tc>
                <w:tc>
                  <w:tcPr>
                    <w:tcW w:w="204" w:type="pct"/>
                  </w:tcPr>
                  <w:p w14:paraId="1CF5CDD5" w14:textId="77777777" w:rsidR="00471D53" w:rsidRDefault="00B664AF">
                    <w:pPr>
                      <w:jc w:val="right"/>
                      <w:rPr>
                        <w:sz w:val="18"/>
                        <w:szCs w:val="18"/>
                      </w:rPr>
                    </w:pPr>
                  </w:p>
                </w:tc>
                <w:tc>
                  <w:tcPr>
                    <w:tcW w:w="369" w:type="pct"/>
                  </w:tcPr>
                  <w:p w14:paraId="1CE613BC" w14:textId="77777777" w:rsidR="00471D53" w:rsidRDefault="00B664AF">
                    <w:pPr>
                      <w:jc w:val="right"/>
                      <w:rPr>
                        <w:sz w:val="18"/>
                        <w:szCs w:val="18"/>
                      </w:rPr>
                    </w:pPr>
                  </w:p>
                </w:tc>
                <w:tc>
                  <w:tcPr>
                    <w:tcW w:w="141" w:type="pct"/>
                  </w:tcPr>
                  <w:p w14:paraId="418FE558" w14:textId="77777777" w:rsidR="00471D53" w:rsidRDefault="00B664AF">
                    <w:pPr>
                      <w:jc w:val="right"/>
                      <w:rPr>
                        <w:sz w:val="18"/>
                        <w:szCs w:val="18"/>
                      </w:rPr>
                    </w:pPr>
                  </w:p>
                </w:tc>
                <w:tc>
                  <w:tcPr>
                    <w:tcW w:w="423" w:type="pct"/>
                  </w:tcPr>
                  <w:p w14:paraId="485E36D6" w14:textId="77777777" w:rsidR="00471D53" w:rsidRDefault="00B664AF">
                    <w:pPr>
                      <w:jc w:val="right"/>
                      <w:rPr>
                        <w:sz w:val="18"/>
                        <w:szCs w:val="18"/>
                      </w:rPr>
                    </w:pPr>
                  </w:p>
                </w:tc>
                <w:tc>
                  <w:tcPr>
                    <w:tcW w:w="141" w:type="pct"/>
                  </w:tcPr>
                  <w:p w14:paraId="616A8FB9" w14:textId="77777777" w:rsidR="00471D53" w:rsidRDefault="00B664AF">
                    <w:pPr>
                      <w:jc w:val="right"/>
                      <w:rPr>
                        <w:sz w:val="18"/>
                        <w:szCs w:val="18"/>
                      </w:rPr>
                    </w:pPr>
                  </w:p>
                </w:tc>
                <w:tc>
                  <w:tcPr>
                    <w:tcW w:w="476" w:type="pct"/>
                  </w:tcPr>
                  <w:p w14:paraId="5018A032" w14:textId="77777777" w:rsidR="00471D53" w:rsidRDefault="00B664AF">
                    <w:pPr>
                      <w:jc w:val="right"/>
                      <w:rPr>
                        <w:sz w:val="18"/>
                        <w:szCs w:val="18"/>
                      </w:rPr>
                    </w:pPr>
                  </w:p>
                </w:tc>
                <w:tc>
                  <w:tcPr>
                    <w:tcW w:w="141" w:type="pct"/>
                  </w:tcPr>
                  <w:p w14:paraId="5BC67EE5" w14:textId="77777777" w:rsidR="00471D53" w:rsidRDefault="00B664AF">
                    <w:pPr>
                      <w:jc w:val="right"/>
                      <w:rPr>
                        <w:sz w:val="18"/>
                        <w:szCs w:val="18"/>
                      </w:rPr>
                    </w:pPr>
                  </w:p>
                </w:tc>
                <w:tc>
                  <w:tcPr>
                    <w:tcW w:w="449" w:type="pct"/>
                  </w:tcPr>
                  <w:p w14:paraId="68FF0423" w14:textId="77777777" w:rsidR="00471D53" w:rsidRDefault="00B664AF">
                    <w:pPr>
                      <w:jc w:val="right"/>
                      <w:rPr>
                        <w:sz w:val="18"/>
                        <w:szCs w:val="18"/>
                      </w:rPr>
                    </w:pPr>
                  </w:p>
                </w:tc>
                <w:tc>
                  <w:tcPr>
                    <w:tcW w:w="449" w:type="pct"/>
                  </w:tcPr>
                  <w:p w14:paraId="1A4E909A" w14:textId="77777777" w:rsidR="00471D53" w:rsidRDefault="00B664AF">
                    <w:pPr>
                      <w:jc w:val="right"/>
                      <w:rPr>
                        <w:sz w:val="18"/>
                        <w:szCs w:val="18"/>
                      </w:rPr>
                    </w:pPr>
                  </w:p>
                </w:tc>
                <w:tc>
                  <w:tcPr>
                    <w:tcW w:w="503" w:type="pct"/>
                  </w:tcPr>
                  <w:p w14:paraId="530E2E46" w14:textId="77777777" w:rsidR="00471D53" w:rsidRDefault="00B664AF">
                    <w:pPr>
                      <w:jc w:val="right"/>
                      <w:rPr>
                        <w:sz w:val="18"/>
                        <w:szCs w:val="18"/>
                      </w:rPr>
                    </w:pPr>
                  </w:p>
                </w:tc>
              </w:tr>
              <w:tr w:rsidR="00471D53" w14:paraId="6706383F" w14:textId="77777777" w:rsidTr="00471D53">
                <w:sdt>
                  <w:sdtPr>
                    <w:tag w:val="_PLD_25911664beff496799fc3193be7c3182"/>
                    <w:id w:val="452529603"/>
                    <w:lock w:val="sdtLocked"/>
                  </w:sdtPr>
                  <w:sdtEndPr/>
                  <w:sdtContent>
                    <w:tc>
                      <w:tcPr>
                        <w:tcW w:w="385" w:type="pct"/>
                      </w:tcPr>
                      <w:p w14:paraId="6AA7D552" w14:textId="77777777" w:rsidR="00471D53" w:rsidRDefault="004F686E">
                        <w:pPr>
                          <w:rPr>
                            <w:sz w:val="18"/>
                            <w:szCs w:val="18"/>
                          </w:rPr>
                        </w:pPr>
                        <w:r>
                          <w:rPr>
                            <w:sz w:val="18"/>
                            <w:szCs w:val="18"/>
                          </w:rPr>
                          <w:t>3．盈余公积弥补亏损</w:t>
                        </w:r>
                      </w:p>
                    </w:tc>
                  </w:sdtContent>
                </w:sdt>
                <w:tc>
                  <w:tcPr>
                    <w:tcW w:w="449" w:type="pct"/>
                  </w:tcPr>
                  <w:p w14:paraId="33D8AA74" w14:textId="77777777" w:rsidR="00471D53" w:rsidRDefault="00B664AF">
                    <w:pPr>
                      <w:jc w:val="right"/>
                      <w:rPr>
                        <w:sz w:val="18"/>
                        <w:szCs w:val="18"/>
                      </w:rPr>
                    </w:pPr>
                  </w:p>
                </w:tc>
                <w:tc>
                  <w:tcPr>
                    <w:tcW w:w="141" w:type="pct"/>
                  </w:tcPr>
                  <w:p w14:paraId="1A1000E8" w14:textId="77777777" w:rsidR="00471D53" w:rsidRDefault="00B664AF">
                    <w:pPr>
                      <w:jc w:val="right"/>
                      <w:rPr>
                        <w:sz w:val="18"/>
                        <w:szCs w:val="18"/>
                      </w:rPr>
                    </w:pPr>
                  </w:p>
                </w:tc>
                <w:tc>
                  <w:tcPr>
                    <w:tcW w:w="141" w:type="pct"/>
                  </w:tcPr>
                  <w:p w14:paraId="72FF72CF" w14:textId="77777777" w:rsidR="00471D53" w:rsidRDefault="00B664AF">
                    <w:pPr>
                      <w:jc w:val="right"/>
                      <w:rPr>
                        <w:sz w:val="18"/>
                        <w:szCs w:val="18"/>
                      </w:rPr>
                    </w:pPr>
                  </w:p>
                </w:tc>
                <w:tc>
                  <w:tcPr>
                    <w:tcW w:w="141" w:type="pct"/>
                  </w:tcPr>
                  <w:p w14:paraId="4CE467AF" w14:textId="77777777" w:rsidR="00471D53" w:rsidRDefault="00B664AF">
                    <w:pPr>
                      <w:jc w:val="right"/>
                      <w:rPr>
                        <w:sz w:val="18"/>
                        <w:szCs w:val="18"/>
                      </w:rPr>
                    </w:pPr>
                  </w:p>
                </w:tc>
                <w:tc>
                  <w:tcPr>
                    <w:tcW w:w="449" w:type="pct"/>
                  </w:tcPr>
                  <w:p w14:paraId="716A8168" w14:textId="77777777" w:rsidR="00471D53" w:rsidRDefault="00B664AF">
                    <w:pPr>
                      <w:jc w:val="right"/>
                      <w:rPr>
                        <w:sz w:val="18"/>
                        <w:szCs w:val="18"/>
                      </w:rPr>
                    </w:pPr>
                  </w:p>
                </w:tc>
                <w:tc>
                  <w:tcPr>
                    <w:tcW w:w="204" w:type="pct"/>
                  </w:tcPr>
                  <w:p w14:paraId="1DF37502" w14:textId="77777777" w:rsidR="00471D53" w:rsidRDefault="00B664AF">
                    <w:pPr>
                      <w:jc w:val="right"/>
                      <w:rPr>
                        <w:sz w:val="18"/>
                        <w:szCs w:val="18"/>
                      </w:rPr>
                    </w:pPr>
                  </w:p>
                </w:tc>
                <w:tc>
                  <w:tcPr>
                    <w:tcW w:w="369" w:type="pct"/>
                  </w:tcPr>
                  <w:p w14:paraId="1FDC9BE1" w14:textId="77777777" w:rsidR="00471D53" w:rsidRDefault="00B664AF">
                    <w:pPr>
                      <w:jc w:val="right"/>
                      <w:rPr>
                        <w:sz w:val="18"/>
                        <w:szCs w:val="18"/>
                      </w:rPr>
                    </w:pPr>
                  </w:p>
                </w:tc>
                <w:tc>
                  <w:tcPr>
                    <w:tcW w:w="141" w:type="pct"/>
                  </w:tcPr>
                  <w:p w14:paraId="6D54CB85" w14:textId="77777777" w:rsidR="00471D53" w:rsidRDefault="00B664AF">
                    <w:pPr>
                      <w:jc w:val="right"/>
                      <w:rPr>
                        <w:sz w:val="18"/>
                        <w:szCs w:val="18"/>
                      </w:rPr>
                    </w:pPr>
                  </w:p>
                </w:tc>
                <w:tc>
                  <w:tcPr>
                    <w:tcW w:w="423" w:type="pct"/>
                  </w:tcPr>
                  <w:p w14:paraId="6910A3C7" w14:textId="77777777" w:rsidR="00471D53" w:rsidRDefault="00B664AF">
                    <w:pPr>
                      <w:jc w:val="right"/>
                      <w:rPr>
                        <w:sz w:val="18"/>
                        <w:szCs w:val="18"/>
                      </w:rPr>
                    </w:pPr>
                  </w:p>
                </w:tc>
                <w:tc>
                  <w:tcPr>
                    <w:tcW w:w="141" w:type="pct"/>
                  </w:tcPr>
                  <w:p w14:paraId="3E67E9E0" w14:textId="77777777" w:rsidR="00471D53" w:rsidRDefault="00B664AF">
                    <w:pPr>
                      <w:jc w:val="right"/>
                      <w:rPr>
                        <w:sz w:val="18"/>
                        <w:szCs w:val="18"/>
                      </w:rPr>
                    </w:pPr>
                  </w:p>
                </w:tc>
                <w:tc>
                  <w:tcPr>
                    <w:tcW w:w="476" w:type="pct"/>
                  </w:tcPr>
                  <w:p w14:paraId="33841563" w14:textId="77777777" w:rsidR="00471D53" w:rsidRDefault="00B664AF">
                    <w:pPr>
                      <w:jc w:val="right"/>
                      <w:rPr>
                        <w:sz w:val="18"/>
                        <w:szCs w:val="18"/>
                      </w:rPr>
                    </w:pPr>
                  </w:p>
                </w:tc>
                <w:tc>
                  <w:tcPr>
                    <w:tcW w:w="141" w:type="pct"/>
                  </w:tcPr>
                  <w:p w14:paraId="6D3536BA" w14:textId="77777777" w:rsidR="00471D53" w:rsidRDefault="00B664AF">
                    <w:pPr>
                      <w:jc w:val="right"/>
                      <w:rPr>
                        <w:sz w:val="18"/>
                        <w:szCs w:val="18"/>
                      </w:rPr>
                    </w:pPr>
                  </w:p>
                </w:tc>
                <w:tc>
                  <w:tcPr>
                    <w:tcW w:w="449" w:type="pct"/>
                  </w:tcPr>
                  <w:p w14:paraId="2D816D84" w14:textId="77777777" w:rsidR="00471D53" w:rsidRDefault="00B664AF">
                    <w:pPr>
                      <w:jc w:val="right"/>
                      <w:rPr>
                        <w:sz w:val="18"/>
                        <w:szCs w:val="18"/>
                      </w:rPr>
                    </w:pPr>
                  </w:p>
                </w:tc>
                <w:tc>
                  <w:tcPr>
                    <w:tcW w:w="449" w:type="pct"/>
                  </w:tcPr>
                  <w:p w14:paraId="595322D0" w14:textId="77777777" w:rsidR="00471D53" w:rsidRDefault="00B664AF">
                    <w:pPr>
                      <w:jc w:val="right"/>
                      <w:rPr>
                        <w:sz w:val="18"/>
                        <w:szCs w:val="18"/>
                      </w:rPr>
                    </w:pPr>
                  </w:p>
                </w:tc>
                <w:tc>
                  <w:tcPr>
                    <w:tcW w:w="503" w:type="pct"/>
                  </w:tcPr>
                  <w:p w14:paraId="656B78CD" w14:textId="77777777" w:rsidR="00471D53" w:rsidRDefault="00B664AF">
                    <w:pPr>
                      <w:jc w:val="right"/>
                      <w:rPr>
                        <w:sz w:val="18"/>
                        <w:szCs w:val="18"/>
                      </w:rPr>
                    </w:pPr>
                  </w:p>
                </w:tc>
              </w:tr>
              <w:tr w:rsidR="00471D53" w14:paraId="7EC1E4DC" w14:textId="77777777" w:rsidTr="00471D53">
                <w:tc>
                  <w:tcPr>
                    <w:tcW w:w="385" w:type="pct"/>
                  </w:tcPr>
                  <w:sdt>
                    <w:sdtPr>
                      <w:rPr>
                        <w:sz w:val="18"/>
                        <w:szCs w:val="18"/>
                      </w:rPr>
                      <w:tag w:val="_PLD_c2918ada9b53437193e4f9cfffa064e3"/>
                      <w:id w:val="1052971411"/>
                      <w:lock w:val="sdtLocked"/>
                    </w:sdtPr>
                    <w:sdtEndPr/>
                    <w:sdtContent>
                      <w:p w14:paraId="74A8B8AD" w14:textId="77777777" w:rsidR="00471D53" w:rsidRDefault="004F686E">
                        <w:r>
                          <w:rPr>
                            <w:sz w:val="18"/>
                            <w:szCs w:val="18"/>
                          </w:rPr>
                          <w:t>4．设定受益计划变动额结转留存收益</w:t>
                        </w:r>
                      </w:p>
                    </w:sdtContent>
                  </w:sdt>
                </w:tc>
                <w:tc>
                  <w:tcPr>
                    <w:tcW w:w="449" w:type="pct"/>
                  </w:tcPr>
                  <w:p w14:paraId="7A426483" w14:textId="77777777" w:rsidR="00471D53" w:rsidRDefault="00B664AF">
                    <w:pPr>
                      <w:jc w:val="right"/>
                      <w:rPr>
                        <w:sz w:val="18"/>
                        <w:szCs w:val="18"/>
                      </w:rPr>
                    </w:pPr>
                  </w:p>
                </w:tc>
                <w:tc>
                  <w:tcPr>
                    <w:tcW w:w="141" w:type="pct"/>
                  </w:tcPr>
                  <w:p w14:paraId="6016E78E" w14:textId="77777777" w:rsidR="00471D53" w:rsidRDefault="00B664AF">
                    <w:pPr>
                      <w:jc w:val="right"/>
                      <w:rPr>
                        <w:sz w:val="18"/>
                        <w:szCs w:val="18"/>
                      </w:rPr>
                    </w:pPr>
                  </w:p>
                </w:tc>
                <w:tc>
                  <w:tcPr>
                    <w:tcW w:w="141" w:type="pct"/>
                  </w:tcPr>
                  <w:p w14:paraId="69BE1710" w14:textId="77777777" w:rsidR="00471D53" w:rsidRDefault="00B664AF">
                    <w:pPr>
                      <w:jc w:val="right"/>
                      <w:rPr>
                        <w:sz w:val="18"/>
                        <w:szCs w:val="18"/>
                      </w:rPr>
                    </w:pPr>
                  </w:p>
                </w:tc>
                <w:tc>
                  <w:tcPr>
                    <w:tcW w:w="141" w:type="pct"/>
                  </w:tcPr>
                  <w:p w14:paraId="3C87B0E8" w14:textId="77777777" w:rsidR="00471D53" w:rsidRDefault="00B664AF">
                    <w:pPr>
                      <w:jc w:val="right"/>
                      <w:rPr>
                        <w:sz w:val="18"/>
                        <w:szCs w:val="18"/>
                      </w:rPr>
                    </w:pPr>
                  </w:p>
                </w:tc>
                <w:tc>
                  <w:tcPr>
                    <w:tcW w:w="449" w:type="pct"/>
                  </w:tcPr>
                  <w:p w14:paraId="3C9A83EE" w14:textId="77777777" w:rsidR="00471D53" w:rsidRDefault="00B664AF">
                    <w:pPr>
                      <w:jc w:val="right"/>
                      <w:rPr>
                        <w:sz w:val="18"/>
                        <w:szCs w:val="18"/>
                      </w:rPr>
                    </w:pPr>
                  </w:p>
                </w:tc>
                <w:tc>
                  <w:tcPr>
                    <w:tcW w:w="204" w:type="pct"/>
                  </w:tcPr>
                  <w:p w14:paraId="0EC41E86" w14:textId="77777777" w:rsidR="00471D53" w:rsidRDefault="00B664AF">
                    <w:pPr>
                      <w:jc w:val="right"/>
                      <w:rPr>
                        <w:sz w:val="18"/>
                        <w:szCs w:val="18"/>
                      </w:rPr>
                    </w:pPr>
                  </w:p>
                </w:tc>
                <w:tc>
                  <w:tcPr>
                    <w:tcW w:w="369" w:type="pct"/>
                  </w:tcPr>
                  <w:p w14:paraId="14D3C516" w14:textId="77777777" w:rsidR="00471D53" w:rsidRDefault="00B664AF">
                    <w:pPr>
                      <w:jc w:val="right"/>
                      <w:rPr>
                        <w:sz w:val="18"/>
                        <w:szCs w:val="18"/>
                      </w:rPr>
                    </w:pPr>
                  </w:p>
                </w:tc>
                <w:tc>
                  <w:tcPr>
                    <w:tcW w:w="141" w:type="pct"/>
                  </w:tcPr>
                  <w:p w14:paraId="1B3C9EA2" w14:textId="77777777" w:rsidR="00471D53" w:rsidRDefault="00B664AF">
                    <w:pPr>
                      <w:jc w:val="right"/>
                      <w:rPr>
                        <w:sz w:val="18"/>
                        <w:szCs w:val="18"/>
                      </w:rPr>
                    </w:pPr>
                  </w:p>
                </w:tc>
                <w:tc>
                  <w:tcPr>
                    <w:tcW w:w="423" w:type="pct"/>
                  </w:tcPr>
                  <w:p w14:paraId="7F9E64D2" w14:textId="77777777" w:rsidR="00471D53" w:rsidRDefault="00B664AF">
                    <w:pPr>
                      <w:jc w:val="right"/>
                      <w:rPr>
                        <w:sz w:val="18"/>
                        <w:szCs w:val="18"/>
                      </w:rPr>
                    </w:pPr>
                  </w:p>
                </w:tc>
                <w:tc>
                  <w:tcPr>
                    <w:tcW w:w="141" w:type="pct"/>
                  </w:tcPr>
                  <w:p w14:paraId="7A8EC06D" w14:textId="77777777" w:rsidR="00471D53" w:rsidRDefault="00B664AF">
                    <w:pPr>
                      <w:jc w:val="right"/>
                      <w:rPr>
                        <w:sz w:val="18"/>
                        <w:szCs w:val="18"/>
                      </w:rPr>
                    </w:pPr>
                  </w:p>
                </w:tc>
                <w:tc>
                  <w:tcPr>
                    <w:tcW w:w="476" w:type="pct"/>
                  </w:tcPr>
                  <w:p w14:paraId="5179046A" w14:textId="77777777" w:rsidR="00471D53" w:rsidRDefault="00B664AF">
                    <w:pPr>
                      <w:jc w:val="right"/>
                      <w:rPr>
                        <w:sz w:val="18"/>
                        <w:szCs w:val="18"/>
                      </w:rPr>
                    </w:pPr>
                  </w:p>
                </w:tc>
                <w:tc>
                  <w:tcPr>
                    <w:tcW w:w="141" w:type="pct"/>
                  </w:tcPr>
                  <w:p w14:paraId="2AAB493A" w14:textId="77777777" w:rsidR="00471D53" w:rsidRDefault="00B664AF">
                    <w:pPr>
                      <w:jc w:val="right"/>
                      <w:rPr>
                        <w:sz w:val="18"/>
                        <w:szCs w:val="18"/>
                      </w:rPr>
                    </w:pPr>
                  </w:p>
                </w:tc>
                <w:tc>
                  <w:tcPr>
                    <w:tcW w:w="449" w:type="pct"/>
                  </w:tcPr>
                  <w:p w14:paraId="0824ED12" w14:textId="77777777" w:rsidR="00471D53" w:rsidRDefault="00B664AF">
                    <w:pPr>
                      <w:jc w:val="right"/>
                      <w:rPr>
                        <w:sz w:val="18"/>
                        <w:szCs w:val="18"/>
                      </w:rPr>
                    </w:pPr>
                  </w:p>
                </w:tc>
                <w:tc>
                  <w:tcPr>
                    <w:tcW w:w="449" w:type="pct"/>
                  </w:tcPr>
                  <w:p w14:paraId="0BA78B75" w14:textId="77777777" w:rsidR="00471D53" w:rsidRDefault="00B664AF">
                    <w:pPr>
                      <w:jc w:val="right"/>
                      <w:rPr>
                        <w:sz w:val="18"/>
                        <w:szCs w:val="18"/>
                      </w:rPr>
                    </w:pPr>
                  </w:p>
                </w:tc>
                <w:tc>
                  <w:tcPr>
                    <w:tcW w:w="503" w:type="pct"/>
                  </w:tcPr>
                  <w:p w14:paraId="359DB8A8" w14:textId="77777777" w:rsidR="00471D53" w:rsidRDefault="00B664AF">
                    <w:pPr>
                      <w:jc w:val="right"/>
                      <w:rPr>
                        <w:sz w:val="18"/>
                        <w:szCs w:val="18"/>
                      </w:rPr>
                    </w:pPr>
                  </w:p>
                </w:tc>
              </w:tr>
              <w:tr w:rsidR="00471D53" w14:paraId="4BC75985" w14:textId="77777777" w:rsidTr="00471D53">
                <w:tc>
                  <w:tcPr>
                    <w:tcW w:w="385" w:type="pct"/>
                  </w:tcPr>
                  <w:sdt>
                    <w:sdtPr>
                      <w:rPr>
                        <w:sz w:val="18"/>
                        <w:szCs w:val="18"/>
                      </w:rPr>
                      <w:tag w:val="_PLD_ea153cdd99f74bf1b50bc1743d25f429"/>
                      <w:id w:val="1898088157"/>
                      <w:lock w:val="sdtLocked"/>
                    </w:sdtPr>
                    <w:sdtEndPr/>
                    <w:sdtContent>
                      <w:p w14:paraId="6F75D856" w14:textId="77777777" w:rsidR="00471D53" w:rsidRDefault="004F686E">
                        <w:pPr>
                          <w:rPr>
                            <w:sz w:val="18"/>
                            <w:szCs w:val="18"/>
                          </w:rPr>
                        </w:pPr>
                        <w:r>
                          <w:rPr>
                            <w:sz w:val="18"/>
                            <w:szCs w:val="18"/>
                          </w:rPr>
                          <w:t>5．其他综合收益结转留存收益</w:t>
                        </w:r>
                      </w:p>
                    </w:sdtContent>
                  </w:sdt>
                </w:tc>
                <w:tc>
                  <w:tcPr>
                    <w:tcW w:w="449" w:type="pct"/>
                  </w:tcPr>
                  <w:p w14:paraId="3F79FCEE" w14:textId="77777777" w:rsidR="00471D53" w:rsidRDefault="00B664AF">
                    <w:pPr>
                      <w:jc w:val="right"/>
                      <w:rPr>
                        <w:sz w:val="18"/>
                        <w:szCs w:val="18"/>
                      </w:rPr>
                    </w:pPr>
                  </w:p>
                </w:tc>
                <w:tc>
                  <w:tcPr>
                    <w:tcW w:w="141" w:type="pct"/>
                  </w:tcPr>
                  <w:p w14:paraId="45E9006A" w14:textId="77777777" w:rsidR="00471D53" w:rsidRDefault="00B664AF">
                    <w:pPr>
                      <w:jc w:val="right"/>
                      <w:rPr>
                        <w:sz w:val="18"/>
                        <w:szCs w:val="18"/>
                      </w:rPr>
                    </w:pPr>
                  </w:p>
                </w:tc>
                <w:tc>
                  <w:tcPr>
                    <w:tcW w:w="141" w:type="pct"/>
                  </w:tcPr>
                  <w:p w14:paraId="16C1C710" w14:textId="77777777" w:rsidR="00471D53" w:rsidRDefault="00B664AF">
                    <w:pPr>
                      <w:jc w:val="right"/>
                      <w:rPr>
                        <w:sz w:val="18"/>
                        <w:szCs w:val="18"/>
                      </w:rPr>
                    </w:pPr>
                  </w:p>
                </w:tc>
                <w:tc>
                  <w:tcPr>
                    <w:tcW w:w="141" w:type="pct"/>
                  </w:tcPr>
                  <w:p w14:paraId="22FE8183" w14:textId="77777777" w:rsidR="00471D53" w:rsidRDefault="00B664AF">
                    <w:pPr>
                      <w:jc w:val="right"/>
                      <w:rPr>
                        <w:sz w:val="18"/>
                        <w:szCs w:val="18"/>
                      </w:rPr>
                    </w:pPr>
                  </w:p>
                </w:tc>
                <w:tc>
                  <w:tcPr>
                    <w:tcW w:w="449" w:type="pct"/>
                  </w:tcPr>
                  <w:p w14:paraId="18BB4A1F" w14:textId="77777777" w:rsidR="00471D53" w:rsidRDefault="00B664AF">
                    <w:pPr>
                      <w:jc w:val="right"/>
                      <w:rPr>
                        <w:sz w:val="18"/>
                        <w:szCs w:val="18"/>
                      </w:rPr>
                    </w:pPr>
                  </w:p>
                </w:tc>
                <w:tc>
                  <w:tcPr>
                    <w:tcW w:w="204" w:type="pct"/>
                  </w:tcPr>
                  <w:p w14:paraId="64173E55" w14:textId="77777777" w:rsidR="00471D53" w:rsidRDefault="00B664AF">
                    <w:pPr>
                      <w:jc w:val="right"/>
                      <w:rPr>
                        <w:sz w:val="18"/>
                        <w:szCs w:val="18"/>
                      </w:rPr>
                    </w:pPr>
                  </w:p>
                </w:tc>
                <w:tc>
                  <w:tcPr>
                    <w:tcW w:w="369" w:type="pct"/>
                  </w:tcPr>
                  <w:p w14:paraId="6ABF301F" w14:textId="77777777" w:rsidR="00471D53" w:rsidRDefault="00B664AF">
                    <w:pPr>
                      <w:jc w:val="right"/>
                      <w:rPr>
                        <w:sz w:val="18"/>
                        <w:szCs w:val="18"/>
                      </w:rPr>
                    </w:pPr>
                  </w:p>
                </w:tc>
                <w:tc>
                  <w:tcPr>
                    <w:tcW w:w="141" w:type="pct"/>
                  </w:tcPr>
                  <w:p w14:paraId="43A60F05" w14:textId="77777777" w:rsidR="00471D53" w:rsidRDefault="00B664AF">
                    <w:pPr>
                      <w:jc w:val="right"/>
                      <w:rPr>
                        <w:sz w:val="18"/>
                        <w:szCs w:val="18"/>
                      </w:rPr>
                    </w:pPr>
                  </w:p>
                </w:tc>
                <w:tc>
                  <w:tcPr>
                    <w:tcW w:w="423" w:type="pct"/>
                  </w:tcPr>
                  <w:p w14:paraId="549B1306" w14:textId="77777777" w:rsidR="00471D53" w:rsidRDefault="00B664AF">
                    <w:pPr>
                      <w:jc w:val="right"/>
                      <w:rPr>
                        <w:sz w:val="18"/>
                        <w:szCs w:val="18"/>
                      </w:rPr>
                    </w:pPr>
                  </w:p>
                </w:tc>
                <w:tc>
                  <w:tcPr>
                    <w:tcW w:w="141" w:type="pct"/>
                  </w:tcPr>
                  <w:p w14:paraId="5C35AFB6" w14:textId="77777777" w:rsidR="00471D53" w:rsidRDefault="00B664AF">
                    <w:pPr>
                      <w:jc w:val="right"/>
                      <w:rPr>
                        <w:sz w:val="18"/>
                        <w:szCs w:val="18"/>
                      </w:rPr>
                    </w:pPr>
                  </w:p>
                </w:tc>
                <w:tc>
                  <w:tcPr>
                    <w:tcW w:w="476" w:type="pct"/>
                  </w:tcPr>
                  <w:p w14:paraId="12A2AD7D" w14:textId="77777777" w:rsidR="00471D53" w:rsidRDefault="00B664AF">
                    <w:pPr>
                      <w:jc w:val="right"/>
                      <w:rPr>
                        <w:sz w:val="18"/>
                        <w:szCs w:val="18"/>
                      </w:rPr>
                    </w:pPr>
                  </w:p>
                </w:tc>
                <w:tc>
                  <w:tcPr>
                    <w:tcW w:w="141" w:type="pct"/>
                  </w:tcPr>
                  <w:p w14:paraId="05E65C1F" w14:textId="77777777" w:rsidR="00471D53" w:rsidRDefault="00B664AF">
                    <w:pPr>
                      <w:jc w:val="right"/>
                      <w:rPr>
                        <w:sz w:val="18"/>
                        <w:szCs w:val="18"/>
                      </w:rPr>
                    </w:pPr>
                  </w:p>
                </w:tc>
                <w:tc>
                  <w:tcPr>
                    <w:tcW w:w="449" w:type="pct"/>
                  </w:tcPr>
                  <w:p w14:paraId="7168BE37" w14:textId="77777777" w:rsidR="00471D53" w:rsidRDefault="00B664AF">
                    <w:pPr>
                      <w:jc w:val="right"/>
                      <w:rPr>
                        <w:sz w:val="18"/>
                        <w:szCs w:val="18"/>
                      </w:rPr>
                    </w:pPr>
                  </w:p>
                </w:tc>
                <w:tc>
                  <w:tcPr>
                    <w:tcW w:w="449" w:type="pct"/>
                  </w:tcPr>
                  <w:p w14:paraId="5A564395" w14:textId="77777777" w:rsidR="00471D53" w:rsidRDefault="00B664AF">
                    <w:pPr>
                      <w:jc w:val="right"/>
                      <w:rPr>
                        <w:sz w:val="18"/>
                        <w:szCs w:val="18"/>
                      </w:rPr>
                    </w:pPr>
                  </w:p>
                </w:tc>
                <w:tc>
                  <w:tcPr>
                    <w:tcW w:w="503" w:type="pct"/>
                  </w:tcPr>
                  <w:p w14:paraId="3A6B91DB" w14:textId="77777777" w:rsidR="00471D53" w:rsidRDefault="00B664AF">
                    <w:pPr>
                      <w:jc w:val="right"/>
                      <w:rPr>
                        <w:sz w:val="18"/>
                        <w:szCs w:val="18"/>
                      </w:rPr>
                    </w:pPr>
                  </w:p>
                </w:tc>
              </w:tr>
              <w:tr w:rsidR="00471D53" w14:paraId="430B101A" w14:textId="77777777" w:rsidTr="00471D53">
                <w:tc>
                  <w:tcPr>
                    <w:tcW w:w="385" w:type="pct"/>
                  </w:tcPr>
                  <w:sdt>
                    <w:sdtPr>
                      <w:rPr>
                        <w:sz w:val="18"/>
                        <w:szCs w:val="18"/>
                      </w:rPr>
                      <w:tag w:val="_PLD_de42fced9d0547ecb946b8443ac4ea20"/>
                      <w:id w:val="850060811"/>
                      <w:lock w:val="sdtLocked"/>
                    </w:sdtPr>
                    <w:sdtEndPr/>
                    <w:sdtContent>
                      <w:p w14:paraId="39C230CA" w14:textId="77777777" w:rsidR="00471D53" w:rsidRDefault="004F686E">
                        <w:r>
                          <w:rPr>
                            <w:sz w:val="18"/>
                            <w:szCs w:val="18"/>
                          </w:rPr>
                          <w:t>6．其他</w:t>
                        </w:r>
                      </w:p>
                    </w:sdtContent>
                  </w:sdt>
                </w:tc>
                <w:tc>
                  <w:tcPr>
                    <w:tcW w:w="449" w:type="pct"/>
                  </w:tcPr>
                  <w:p w14:paraId="65D12281" w14:textId="77777777" w:rsidR="00471D53" w:rsidRDefault="00B664AF">
                    <w:pPr>
                      <w:jc w:val="right"/>
                      <w:rPr>
                        <w:sz w:val="18"/>
                        <w:szCs w:val="18"/>
                      </w:rPr>
                    </w:pPr>
                  </w:p>
                </w:tc>
                <w:tc>
                  <w:tcPr>
                    <w:tcW w:w="141" w:type="pct"/>
                  </w:tcPr>
                  <w:p w14:paraId="23259F08" w14:textId="77777777" w:rsidR="00471D53" w:rsidRDefault="00B664AF">
                    <w:pPr>
                      <w:jc w:val="right"/>
                      <w:rPr>
                        <w:sz w:val="18"/>
                        <w:szCs w:val="18"/>
                      </w:rPr>
                    </w:pPr>
                  </w:p>
                </w:tc>
                <w:tc>
                  <w:tcPr>
                    <w:tcW w:w="141" w:type="pct"/>
                  </w:tcPr>
                  <w:p w14:paraId="7552CC85" w14:textId="77777777" w:rsidR="00471D53" w:rsidRDefault="00B664AF">
                    <w:pPr>
                      <w:jc w:val="right"/>
                      <w:rPr>
                        <w:sz w:val="18"/>
                        <w:szCs w:val="18"/>
                      </w:rPr>
                    </w:pPr>
                  </w:p>
                </w:tc>
                <w:tc>
                  <w:tcPr>
                    <w:tcW w:w="141" w:type="pct"/>
                  </w:tcPr>
                  <w:p w14:paraId="047D09A0" w14:textId="77777777" w:rsidR="00471D53" w:rsidRDefault="00B664AF">
                    <w:pPr>
                      <w:jc w:val="right"/>
                      <w:rPr>
                        <w:sz w:val="18"/>
                        <w:szCs w:val="18"/>
                      </w:rPr>
                    </w:pPr>
                  </w:p>
                </w:tc>
                <w:tc>
                  <w:tcPr>
                    <w:tcW w:w="449" w:type="pct"/>
                  </w:tcPr>
                  <w:p w14:paraId="4BE6E39D" w14:textId="77777777" w:rsidR="00471D53" w:rsidRDefault="00B664AF">
                    <w:pPr>
                      <w:jc w:val="right"/>
                      <w:rPr>
                        <w:sz w:val="18"/>
                        <w:szCs w:val="18"/>
                      </w:rPr>
                    </w:pPr>
                  </w:p>
                </w:tc>
                <w:tc>
                  <w:tcPr>
                    <w:tcW w:w="204" w:type="pct"/>
                  </w:tcPr>
                  <w:p w14:paraId="73B6E97B" w14:textId="77777777" w:rsidR="00471D53" w:rsidRDefault="00B664AF">
                    <w:pPr>
                      <w:jc w:val="right"/>
                      <w:rPr>
                        <w:sz w:val="18"/>
                        <w:szCs w:val="18"/>
                      </w:rPr>
                    </w:pPr>
                  </w:p>
                </w:tc>
                <w:tc>
                  <w:tcPr>
                    <w:tcW w:w="369" w:type="pct"/>
                  </w:tcPr>
                  <w:p w14:paraId="4B27FFA8" w14:textId="77777777" w:rsidR="00471D53" w:rsidRDefault="00B664AF">
                    <w:pPr>
                      <w:jc w:val="right"/>
                      <w:rPr>
                        <w:sz w:val="18"/>
                        <w:szCs w:val="18"/>
                      </w:rPr>
                    </w:pPr>
                  </w:p>
                </w:tc>
                <w:tc>
                  <w:tcPr>
                    <w:tcW w:w="141" w:type="pct"/>
                  </w:tcPr>
                  <w:p w14:paraId="5887A021" w14:textId="77777777" w:rsidR="00471D53" w:rsidRDefault="00B664AF">
                    <w:pPr>
                      <w:jc w:val="right"/>
                      <w:rPr>
                        <w:sz w:val="18"/>
                        <w:szCs w:val="18"/>
                      </w:rPr>
                    </w:pPr>
                  </w:p>
                </w:tc>
                <w:tc>
                  <w:tcPr>
                    <w:tcW w:w="423" w:type="pct"/>
                  </w:tcPr>
                  <w:p w14:paraId="6616F27E" w14:textId="77777777" w:rsidR="00471D53" w:rsidRDefault="00B664AF">
                    <w:pPr>
                      <w:jc w:val="right"/>
                      <w:rPr>
                        <w:sz w:val="18"/>
                        <w:szCs w:val="18"/>
                      </w:rPr>
                    </w:pPr>
                  </w:p>
                </w:tc>
                <w:tc>
                  <w:tcPr>
                    <w:tcW w:w="141" w:type="pct"/>
                  </w:tcPr>
                  <w:p w14:paraId="1961CA2E" w14:textId="77777777" w:rsidR="00471D53" w:rsidRDefault="00B664AF">
                    <w:pPr>
                      <w:jc w:val="right"/>
                      <w:rPr>
                        <w:sz w:val="18"/>
                        <w:szCs w:val="18"/>
                      </w:rPr>
                    </w:pPr>
                  </w:p>
                </w:tc>
                <w:tc>
                  <w:tcPr>
                    <w:tcW w:w="476" w:type="pct"/>
                  </w:tcPr>
                  <w:p w14:paraId="57960A98" w14:textId="77777777" w:rsidR="00471D53" w:rsidRDefault="00B664AF">
                    <w:pPr>
                      <w:jc w:val="right"/>
                      <w:rPr>
                        <w:sz w:val="18"/>
                        <w:szCs w:val="18"/>
                      </w:rPr>
                    </w:pPr>
                  </w:p>
                </w:tc>
                <w:tc>
                  <w:tcPr>
                    <w:tcW w:w="141" w:type="pct"/>
                  </w:tcPr>
                  <w:p w14:paraId="322158CA" w14:textId="77777777" w:rsidR="00471D53" w:rsidRDefault="00B664AF">
                    <w:pPr>
                      <w:jc w:val="right"/>
                      <w:rPr>
                        <w:sz w:val="18"/>
                        <w:szCs w:val="18"/>
                      </w:rPr>
                    </w:pPr>
                  </w:p>
                </w:tc>
                <w:tc>
                  <w:tcPr>
                    <w:tcW w:w="449" w:type="pct"/>
                  </w:tcPr>
                  <w:p w14:paraId="4458029E" w14:textId="77777777" w:rsidR="00471D53" w:rsidRDefault="00B664AF">
                    <w:pPr>
                      <w:jc w:val="right"/>
                      <w:rPr>
                        <w:sz w:val="18"/>
                        <w:szCs w:val="18"/>
                      </w:rPr>
                    </w:pPr>
                  </w:p>
                </w:tc>
                <w:tc>
                  <w:tcPr>
                    <w:tcW w:w="449" w:type="pct"/>
                  </w:tcPr>
                  <w:p w14:paraId="7F693AF1" w14:textId="77777777" w:rsidR="00471D53" w:rsidRDefault="00B664AF">
                    <w:pPr>
                      <w:jc w:val="right"/>
                      <w:rPr>
                        <w:sz w:val="18"/>
                        <w:szCs w:val="18"/>
                      </w:rPr>
                    </w:pPr>
                  </w:p>
                </w:tc>
                <w:tc>
                  <w:tcPr>
                    <w:tcW w:w="503" w:type="pct"/>
                  </w:tcPr>
                  <w:p w14:paraId="03071DB3" w14:textId="77777777" w:rsidR="00471D53" w:rsidRDefault="00B664AF">
                    <w:pPr>
                      <w:jc w:val="right"/>
                      <w:rPr>
                        <w:sz w:val="18"/>
                        <w:szCs w:val="18"/>
                      </w:rPr>
                    </w:pPr>
                  </w:p>
                </w:tc>
              </w:tr>
              <w:tr w:rsidR="00471D53" w14:paraId="1C187A1B" w14:textId="77777777" w:rsidTr="00471D53">
                <w:sdt>
                  <w:sdtPr>
                    <w:tag w:val="_PLD_14d25c6e75074c52a0f884581cc84dba"/>
                    <w:id w:val="-1484384839"/>
                    <w:lock w:val="sdtLocked"/>
                  </w:sdtPr>
                  <w:sdtEndPr/>
                  <w:sdtContent>
                    <w:tc>
                      <w:tcPr>
                        <w:tcW w:w="385" w:type="pct"/>
                      </w:tcPr>
                      <w:p w14:paraId="1A759881" w14:textId="77777777" w:rsidR="00471D53" w:rsidRDefault="004F686E">
                        <w:pPr>
                          <w:rPr>
                            <w:sz w:val="18"/>
                            <w:szCs w:val="18"/>
                          </w:rPr>
                        </w:pPr>
                        <w:r>
                          <w:rPr>
                            <w:rFonts w:hint="eastAsia"/>
                            <w:sz w:val="18"/>
                            <w:szCs w:val="18"/>
                          </w:rPr>
                          <w:t>（五）专项储备</w:t>
                        </w:r>
                      </w:p>
                    </w:tc>
                  </w:sdtContent>
                </w:sdt>
                <w:tc>
                  <w:tcPr>
                    <w:tcW w:w="449" w:type="pct"/>
                  </w:tcPr>
                  <w:p w14:paraId="0BB09567" w14:textId="77777777" w:rsidR="00471D53" w:rsidRDefault="00B664AF">
                    <w:pPr>
                      <w:jc w:val="right"/>
                      <w:rPr>
                        <w:sz w:val="18"/>
                        <w:szCs w:val="18"/>
                      </w:rPr>
                    </w:pPr>
                  </w:p>
                </w:tc>
                <w:tc>
                  <w:tcPr>
                    <w:tcW w:w="141" w:type="pct"/>
                  </w:tcPr>
                  <w:p w14:paraId="106050EF" w14:textId="77777777" w:rsidR="00471D53" w:rsidRDefault="00B664AF">
                    <w:pPr>
                      <w:jc w:val="right"/>
                      <w:rPr>
                        <w:sz w:val="18"/>
                        <w:szCs w:val="18"/>
                      </w:rPr>
                    </w:pPr>
                  </w:p>
                </w:tc>
                <w:tc>
                  <w:tcPr>
                    <w:tcW w:w="141" w:type="pct"/>
                  </w:tcPr>
                  <w:p w14:paraId="5A0DA35C" w14:textId="77777777" w:rsidR="00471D53" w:rsidRDefault="00B664AF">
                    <w:pPr>
                      <w:jc w:val="right"/>
                      <w:rPr>
                        <w:sz w:val="18"/>
                        <w:szCs w:val="18"/>
                      </w:rPr>
                    </w:pPr>
                  </w:p>
                </w:tc>
                <w:tc>
                  <w:tcPr>
                    <w:tcW w:w="141" w:type="pct"/>
                  </w:tcPr>
                  <w:p w14:paraId="5840E5A6" w14:textId="77777777" w:rsidR="00471D53" w:rsidRDefault="00B664AF">
                    <w:pPr>
                      <w:jc w:val="right"/>
                      <w:rPr>
                        <w:sz w:val="18"/>
                        <w:szCs w:val="18"/>
                      </w:rPr>
                    </w:pPr>
                  </w:p>
                </w:tc>
                <w:tc>
                  <w:tcPr>
                    <w:tcW w:w="449" w:type="pct"/>
                  </w:tcPr>
                  <w:p w14:paraId="4CB6FA5B" w14:textId="77777777" w:rsidR="00471D53" w:rsidRDefault="00B664AF">
                    <w:pPr>
                      <w:jc w:val="right"/>
                      <w:rPr>
                        <w:sz w:val="18"/>
                        <w:szCs w:val="18"/>
                      </w:rPr>
                    </w:pPr>
                  </w:p>
                </w:tc>
                <w:tc>
                  <w:tcPr>
                    <w:tcW w:w="204" w:type="pct"/>
                  </w:tcPr>
                  <w:p w14:paraId="22AF41DD" w14:textId="77777777" w:rsidR="00471D53" w:rsidRDefault="00B664AF">
                    <w:pPr>
                      <w:jc w:val="right"/>
                      <w:rPr>
                        <w:sz w:val="18"/>
                        <w:szCs w:val="18"/>
                      </w:rPr>
                    </w:pPr>
                  </w:p>
                </w:tc>
                <w:tc>
                  <w:tcPr>
                    <w:tcW w:w="369" w:type="pct"/>
                  </w:tcPr>
                  <w:p w14:paraId="387E75BB" w14:textId="77777777" w:rsidR="00471D53" w:rsidRDefault="00B664AF">
                    <w:pPr>
                      <w:jc w:val="right"/>
                      <w:rPr>
                        <w:sz w:val="18"/>
                        <w:szCs w:val="18"/>
                      </w:rPr>
                    </w:pPr>
                  </w:p>
                </w:tc>
                <w:tc>
                  <w:tcPr>
                    <w:tcW w:w="141" w:type="pct"/>
                  </w:tcPr>
                  <w:p w14:paraId="6677547B" w14:textId="77777777" w:rsidR="00471D53" w:rsidRDefault="00B664AF">
                    <w:pPr>
                      <w:jc w:val="right"/>
                      <w:rPr>
                        <w:sz w:val="18"/>
                        <w:szCs w:val="18"/>
                      </w:rPr>
                    </w:pPr>
                  </w:p>
                </w:tc>
                <w:tc>
                  <w:tcPr>
                    <w:tcW w:w="423" w:type="pct"/>
                  </w:tcPr>
                  <w:p w14:paraId="0AF0F2D1" w14:textId="77777777" w:rsidR="00471D53" w:rsidRDefault="00B664AF">
                    <w:pPr>
                      <w:jc w:val="right"/>
                      <w:rPr>
                        <w:sz w:val="18"/>
                        <w:szCs w:val="18"/>
                      </w:rPr>
                    </w:pPr>
                  </w:p>
                </w:tc>
                <w:tc>
                  <w:tcPr>
                    <w:tcW w:w="141" w:type="pct"/>
                  </w:tcPr>
                  <w:p w14:paraId="589FE044" w14:textId="77777777" w:rsidR="00471D53" w:rsidRDefault="00B664AF">
                    <w:pPr>
                      <w:jc w:val="right"/>
                      <w:rPr>
                        <w:sz w:val="18"/>
                        <w:szCs w:val="18"/>
                      </w:rPr>
                    </w:pPr>
                  </w:p>
                </w:tc>
                <w:tc>
                  <w:tcPr>
                    <w:tcW w:w="476" w:type="pct"/>
                  </w:tcPr>
                  <w:p w14:paraId="086B6E38" w14:textId="77777777" w:rsidR="00471D53" w:rsidRDefault="00B664AF">
                    <w:pPr>
                      <w:jc w:val="right"/>
                      <w:rPr>
                        <w:sz w:val="18"/>
                        <w:szCs w:val="18"/>
                      </w:rPr>
                    </w:pPr>
                  </w:p>
                </w:tc>
                <w:tc>
                  <w:tcPr>
                    <w:tcW w:w="141" w:type="pct"/>
                  </w:tcPr>
                  <w:p w14:paraId="1C7001D5" w14:textId="77777777" w:rsidR="00471D53" w:rsidRDefault="00B664AF">
                    <w:pPr>
                      <w:jc w:val="right"/>
                      <w:rPr>
                        <w:sz w:val="18"/>
                        <w:szCs w:val="18"/>
                      </w:rPr>
                    </w:pPr>
                  </w:p>
                </w:tc>
                <w:tc>
                  <w:tcPr>
                    <w:tcW w:w="449" w:type="pct"/>
                  </w:tcPr>
                  <w:p w14:paraId="100317A8" w14:textId="77777777" w:rsidR="00471D53" w:rsidRDefault="00B664AF">
                    <w:pPr>
                      <w:jc w:val="right"/>
                      <w:rPr>
                        <w:sz w:val="18"/>
                        <w:szCs w:val="18"/>
                      </w:rPr>
                    </w:pPr>
                  </w:p>
                </w:tc>
                <w:tc>
                  <w:tcPr>
                    <w:tcW w:w="449" w:type="pct"/>
                  </w:tcPr>
                  <w:p w14:paraId="61AF4240" w14:textId="77777777" w:rsidR="00471D53" w:rsidRDefault="00B664AF">
                    <w:pPr>
                      <w:jc w:val="right"/>
                      <w:rPr>
                        <w:sz w:val="18"/>
                        <w:szCs w:val="18"/>
                      </w:rPr>
                    </w:pPr>
                  </w:p>
                </w:tc>
                <w:tc>
                  <w:tcPr>
                    <w:tcW w:w="503" w:type="pct"/>
                  </w:tcPr>
                  <w:p w14:paraId="1B8D7043" w14:textId="77777777" w:rsidR="00471D53" w:rsidRDefault="00B664AF">
                    <w:pPr>
                      <w:jc w:val="right"/>
                      <w:rPr>
                        <w:sz w:val="18"/>
                        <w:szCs w:val="18"/>
                      </w:rPr>
                    </w:pPr>
                  </w:p>
                </w:tc>
              </w:tr>
              <w:tr w:rsidR="00471D53" w14:paraId="5E4CDD7F" w14:textId="77777777" w:rsidTr="00471D53">
                <w:sdt>
                  <w:sdtPr>
                    <w:tag w:val="_PLD_672c666008dd4adfa2ab5933e9cd1671"/>
                    <w:id w:val="-1543820308"/>
                    <w:lock w:val="sdtLocked"/>
                  </w:sdtPr>
                  <w:sdtEndPr/>
                  <w:sdtContent>
                    <w:tc>
                      <w:tcPr>
                        <w:tcW w:w="385" w:type="pct"/>
                      </w:tcPr>
                      <w:p w14:paraId="72112763" w14:textId="77777777" w:rsidR="00471D53" w:rsidRDefault="004F686E">
                        <w:pPr>
                          <w:rPr>
                            <w:sz w:val="18"/>
                            <w:szCs w:val="18"/>
                          </w:rPr>
                        </w:pPr>
                        <w:r>
                          <w:rPr>
                            <w:rFonts w:hint="eastAsia"/>
                            <w:sz w:val="18"/>
                            <w:szCs w:val="18"/>
                          </w:rPr>
                          <w:t>1．本期提取</w:t>
                        </w:r>
                      </w:p>
                    </w:tc>
                  </w:sdtContent>
                </w:sdt>
                <w:tc>
                  <w:tcPr>
                    <w:tcW w:w="449" w:type="pct"/>
                  </w:tcPr>
                  <w:p w14:paraId="5E21E5B6" w14:textId="77777777" w:rsidR="00471D53" w:rsidRDefault="00B664AF">
                    <w:pPr>
                      <w:jc w:val="right"/>
                      <w:rPr>
                        <w:sz w:val="18"/>
                        <w:szCs w:val="18"/>
                      </w:rPr>
                    </w:pPr>
                  </w:p>
                </w:tc>
                <w:tc>
                  <w:tcPr>
                    <w:tcW w:w="141" w:type="pct"/>
                  </w:tcPr>
                  <w:p w14:paraId="5576620A" w14:textId="77777777" w:rsidR="00471D53" w:rsidRDefault="00B664AF">
                    <w:pPr>
                      <w:jc w:val="right"/>
                      <w:rPr>
                        <w:sz w:val="18"/>
                        <w:szCs w:val="18"/>
                      </w:rPr>
                    </w:pPr>
                  </w:p>
                </w:tc>
                <w:tc>
                  <w:tcPr>
                    <w:tcW w:w="141" w:type="pct"/>
                  </w:tcPr>
                  <w:p w14:paraId="399BFB31" w14:textId="77777777" w:rsidR="00471D53" w:rsidRDefault="00B664AF">
                    <w:pPr>
                      <w:jc w:val="right"/>
                      <w:rPr>
                        <w:sz w:val="18"/>
                        <w:szCs w:val="18"/>
                      </w:rPr>
                    </w:pPr>
                  </w:p>
                </w:tc>
                <w:tc>
                  <w:tcPr>
                    <w:tcW w:w="141" w:type="pct"/>
                  </w:tcPr>
                  <w:p w14:paraId="30004D4F" w14:textId="77777777" w:rsidR="00471D53" w:rsidRDefault="00B664AF">
                    <w:pPr>
                      <w:jc w:val="right"/>
                      <w:rPr>
                        <w:sz w:val="18"/>
                        <w:szCs w:val="18"/>
                      </w:rPr>
                    </w:pPr>
                  </w:p>
                </w:tc>
                <w:tc>
                  <w:tcPr>
                    <w:tcW w:w="449" w:type="pct"/>
                  </w:tcPr>
                  <w:p w14:paraId="16A2A69E" w14:textId="77777777" w:rsidR="00471D53" w:rsidRDefault="00B664AF">
                    <w:pPr>
                      <w:jc w:val="right"/>
                      <w:rPr>
                        <w:sz w:val="18"/>
                        <w:szCs w:val="18"/>
                      </w:rPr>
                    </w:pPr>
                  </w:p>
                </w:tc>
                <w:tc>
                  <w:tcPr>
                    <w:tcW w:w="204" w:type="pct"/>
                  </w:tcPr>
                  <w:p w14:paraId="78DEC9D8" w14:textId="77777777" w:rsidR="00471D53" w:rsidRDefault="00B664AF">
                    <w:pPr>
                      <w:jc w:val="right"/>
                      <w:rPr>
                        <w:sz w:val="18"/>
                        <w:szCs w:val="18"/>
                      </w:rPr>
                    </w:pPr>
                  </w:p>
                </w:tc>
                <w:tc>
                  <w:tcPr>
                    <w:tcW w:w="369" w:type="pct"/>
                  </w:tcPr>
                  <w:p w14:paraId="15F26A7E" w14:textId="77777777" w:rsidR="00471D53" w:rsidRDefault="00B664AF">
                    <w:pPr>
                      <w:jc w:val="right"/>
                      <w:rPr>
                        <w:sz w:val="18"/>
                        <w:szCs w:val="18"/>
                      </w:rPr>
                    </w:pPr>
                  </w:p>
                </w:tc>
                <w:tc>
                  <w:tcPr>
                    <w:tcW w:w="141" w:type="pct"/>
                  </w:tcPr>
                  <w:p w14:paraId="0FEC238A" w14:textId="77777777" w:rsidR="00471D53" w:rsidRDefault="00B664AF">
                    <w:pPr>
                      <w:jc w:val="right"/>
                      <w:rPr>
                        <w:sz w:val="18"/>
                        <w:szCs w:val="18"/>
                      </w:rPr>
                    </w:pPr>
                  </w:p>
                </w:tc>
                <w:tc>
                  <w:tcPr>
                    <w:tcW w:w="423" w:type="pct"/>
                  </w:tcPr>
                  <w:p w14:paraId="711C2EB6" w14:textId="77777777" w:rsidR="00471D53" w:rsidRDefault="00B664AF">
                    <w:pPr>
                      <w:jc w:val="right"/>
                      <w:rPr>
                        <w:sz w:val="18"/>
                        <w:szCs w:val="18"/>
                      </w:rPr>
                    </w:pPr>
                  </w:p>
                </w:tc>
                <w:tc>
                  <w:tcPr>
                    <w:tcW w:w="141" w:type="pct"/>
                  </w:tcPr>
                  <w:p w14:paraId="6138E431" w14:textId="77777777" w:rsidR="00471D53" w:rsidRDefault="00B664AF">
                    <w:pPr>
                      <w:jc w:val="right"/>
                      <w:rPr>
                        <w:sz w:val="18"/>
                        <w:szCs w:val="18"/>
                      </w:rPr>
                    </w:pPr>
                  </w:p>
                </w:tc>
                <w:tc>
                  <w:tcPr>
                    <w:tcW w:w="476" w:type="pct"/>
                  </w:tcPr>
                  <w:p w14:paraId="5E97112D" w14:textId="77777777" w:rsidR="00471D53" w:rsidRDefault="00B664AF">
                    <w:pPr>
                      <w:jc w:val="right"/>
                      <w:rPr>
                        <w:sz w:val="18"/>
                        <w:szCs w:val="18"/>
                      </w:rPr>
                    </w:pPr>
                  </w:p>
                </w:tc>
                <w:tc>
                  <w:tcPr>
                    <w:tcW w:w="141" w:type="pct"/>
                  </w:tcPr>
                  <w:p w14:paraId="647AE255" w14:textId="77777777" w:rsidR="00471D53" w:rsidRDefault="00B664AF">
                    <w:pPr>
                      <w:jc w:val="right"/>
                      <w:rPr>
                        <w:sz w:val="18"/>
                        <w:szCs w:val="18"/>
                      </w:rPr>
                    </w:pPr>
                  </w:p>
                </w:tc>
                <w:tc>
                  <w:tcPr>
                    <w:tcW w:w="449" w:type="pct"/>
                  </w:tcPr>
                  <w:p w14:paraId="5949C1CD" w14:textId="77777777" w:rsidR="00471D53" w:rsidRDefault="00B664AF">
                    <w:pPr>
                      <w:jc w:val="right"/>
                      <w:rPr>
                        <w:sz w:val="18"/>
                        <w:szCs w:val="18"/>
                      </w:rPr>
                    </w:pPr>
                  </w:p>
                </w:tc>
                <w:tc>
                  <w:tcPr>
                    <w:tcW w:w="449" w:type="pct"/>
                  </w:tcPr>
                  <w:p w14:paraId="7D9CB707" w14:textId="77777777" w:rsidR="00471D53" w:rsidRDefault="00B664AF">
                    <w:pPr>
                      <w:jc w:val="right"/>
                      <w:rPr>
                        <w:sz w:val="18"/>
                        <w:szCs w:val="18"/>
                      </w:rPr>
                    </w:pPr>
                  </w:p>
                </w:tc>
                <w:tc>
                  <w:tcPr>
                    <w:tcW w:w="503" w:type="pct"/>
                  </w:tcPr>
                  <w:p w14:paraId="0026746B" w14:textId="77777777" w:rsidR="00471D53" w:rsidRDefault="00B664AF">
                    <w:pPr>
                      <w:jc w:val="right"/>
                      <w:rPr>
                        <w:sz w:val="18"/>
                        <w:szCs w:val="18"/>
                      </w:rPr>
                    </w:pPr>
                  </w:p>
                </w:tc>
              </w:tr>
              <w:tr w:rsidR="00471D53" w14:paraId="7B9A2FC0" w14:textId="77777777" w:rsidTr="00471D53">
                <w:sdt>
                  <w:sdtPr>
                    <w:tag w:val="_PLD_810ec2533aac40f59079e8e8d20e52c3"/>
                    <w:id w:val="1399865638"/>
                    <w:lock w:val="sdtLocked"/>
                  </w:sdtPr>
                  <w:sdtEndPr/>
                  <w:sdtContent>
                    <w:tc>
                      <w:tcPr>
                        <w:tcW w:w="385" w:type="pct"/>
                      </w:tcPr>
                      <w:p w14:paraId="45DA4CEB" w14:textId="77777777" w:rsidR="00471D53" w:rsidRDefault="004F686E">
                        <w:pPr>
                          <w:rPr>
                            <w:sz w:val="18"/>
                            <w:szCs w:val="18"/>
                          </w:rPr>
                        </w:pPr>
                        <w:r>
                          <w:rPr>
                            <w:rFonts w:hint="eastAsia"/>
                            <w:sz w:val="18"/>
                            <w:szCs w:val="18"/>
                          </w:rPr>
                          <w:t>2．本期使用</w:t>
                        </w:r>
                      </w:p>
                    </w:tc>
                  </w:sdtContent>
                </w:sdt>
                <w:tc>
                  <w:tcPr>
                    <w:tcW w:w="449" w:type="pct"/>
                  </w:tcPr>
                  <w:p w14:paraId="53EAB958" w14:textId="77777777" w:rsidR="00471D53" w:rsidRDefault="00B664AF">
                    <w:pPr>
                      <w:jc w:val="right"/>
                      <w:rPr>
                        <w:sz w:val="18"/>
                        <w:szCs w:val="18"/>
                      </w:rPr>
                    </w:pPr>
                  </w:p>
                </w:tc>
                <w:tc>
                  <w:tcPr>
                    <w:tcW w:w="141" w:type="pct"/>
                  </w:tcPr>
                  <w:p w14:paraId="6ED53BE2" w14:textId="77777777" w:rsidR="00471D53" w:rsidRDefault="00B664AF">
                    <w:pPr>
                      <w:jc w:val="right"/>
                      <w:rPr>
                        <w:sz w:val="18"/>
                        <w:szCs w:val="18"/>
                      </w:rPr>
                    </w:pPr>
                  </w:p>
                </w:tc>
                <w:tc>
                  <w:tcPr>
                    <w:tcW w:w="141" w:type="pct"/>
                  </w:tcPr>
                  <w:p w14:paraId="056741EB" w14:textId="77777777" w:rsidR="00471D53" w:rsidRDefault="00B664AF">
                    <w:pPr>
                      <w:jc w:val="right"/>
                      <w:rPr>
                        <w:sz w:val="18"/>
                        <w:szCs w:val="18"/>
                      </w:rPr>
                    </w:pPr>
                  </w:p>
                </w:tc>
                <w:tc>
                  <w:tcPr>
                    <w:tcW w:w="141" w:type="pct"/>
                  </w:tcPr>
                  <w:p w14:paraId="65588EBD" w14:textId="77777777" w:rsidR="00471D53" w:rsidRDefault="00B664AF">
                    <w:pPr>
                      <w:jc w:val="right"/>
                      <w:rPr>
                        <w:sz w:val="18"/>
                        <w:szCs w:val="18"/>
                      </w:rPr>
                    </w:pPr>
                  </w:p>
                </w:tc>
                <w:tc>
                  <w:tcPr>
                    <w:tcW w:w="449" w:type="pct"/>
                  </w:tcPr>
                  <w:p w14:paraId="1168D59C" w14:textId="77777777" w:rsidR="00471D53" w:rsidRDefault="00B664AF">
                    <w:pPr>
                      <w:jc w:val="right"/>
                      <w:rPr>
                        <w:sz w:val="18"/>
                        <w:szCs w:val="18"/>
                      </w:rPr>
                    </w:pPr>
                  </w:p>
                </w:tc>
                <w:tc>
                  <w:tcPr>
                    <w:tcW w:w="204" w:type="pct"/>
                  </w:tcPr>
                  <w:p w14:paraId="7DD77931" w14:textId="77777777" w:rsidR="00471D53" w:rsidRDefault="00B664AF">
                    <w:pPr>
                      <w:jc w:val="right"/>
                      <w:rPr>
                        <w:sz w:val="18"/>
                        <w:szCs w:val="18"/>
                      </w:rPr>
                    </w:pPr>
                  </w:p>
                </w:tc>
                <w:tc>
                  <w:tcPr>
                    <w:tcW w:w="369" w:type="pct"/>
                  </w:tcPr>
                  <w:p w14:paraId="4E513D7E" w14:textId="77777777" w:rsidR="00471D53" w:rsidRDefault="00B664AF">
                    <w:pPr>
                      <w:jc w:val="right"/>
                      <w:rPr>
                        <w:sz w:val="18"/>
                        <w:szCs w:val="18"/>
                      </w:rPr>
                    </w:pPr>
                  </w:p>
                </w:tc>
                <w:tc>
                  <w:tcPr>
                    <w:tcW w:w="141" w:type="pct"/>
                  </w:tcPr>
                  <w:p w14:paraId="1DB0EBCF" w14:textId="77777777" w:rsidR="00471D53" w:rsidRDefault="00B664AF">
                    <w:pPr>
                      <w:jc w:val="right"/>
                      <w:rPr>
                        <w:sz w:val="18"/>
                        <w:szCs w:val="18"/>
                      </w:rPr>
                    </w:pPr>
                  </w:p>
                </w:tc>
                <w:tc>
                  <w:tcPr>
                    <w:tcW w:w="423" w:type="pct"/>
                  </w:tcPr>
                  <w:p w14:paraId="2753204B" w14:textId="77777777" w:rsidR="00471D53" w:rsidRDefault="00B664AF">
                    <w:pPr>
                      <w:jc w:val="right"/>
                      <w:rPr>
                        <w:sz w:val="18"/>
                        <w:szCs w:val="18"/>
                      </w:rPr>
                    </w:pPr>
                  </w:p>
                </w:tc>
                <w:tc>
                  <w:tcPr>
                    <w:tcW w:w="141" w:type="pct"/>
                  </w:tcPr>
                  <w:p w14:paraId="3B0AAAA6" w14:textId="77777777" w:rsidR="00471D53" w:rsidRDefault="00B664AF">
                    <w:pPr>
                      <w:jc w:val="right"/>
                      <w:rPr>
                        <w:sz w:val="18"/>
                        <w:szCs w:val="18"/>
                      </w:rPr>
                    </w:pPr>
                  </w:p>
                </w:tc>
                <w:tc>
                  <w:tcPr>
                    <w:tcW w:w="476" w:type="pct"/>
                  </w:tcPr>
                  <w:p w14:paraId="23416E22" w14:textId="77777777" w:rsidR="00471D53" w:rsidRDefault="00B664AF">
                    <w:pPr>
                      <w:jc w:val="right"/>
                      <w:rPr>
                        <w:sz w:val="18"/>
                        <w:szCs w:val="18"/>
                      </w:rPr>
                    </w:pPr>
                  </w:p>
                </w:tc>
                <w:tc>
                  <w:tcPr>
                    <w:tcW w:w="141" w:type="pct"/>
                  </w:tcPr>
                  <w:p w14:paraId="202AE14D" w14:textId="77777777" w:rsidR="00471D53" w:rsidRDefault="00B664AF">
                    <w:pPr>
                      <w:jc w:val="right"/>
                      <w:rPr>
                        <w:sz w:val="18"/>
                        <w:szCs w:val="18"/>
                      </w:rPr>
                    </w:pPr>
                  </w:p>
                </w:tc>
                <w:tc>
                  <w:tcPr>
                    <w:tcW w:w="449" w:type="pct"/>
                  </w:tcPr>
                  <w:p w14:paraId="2811FD5F" w14:textId="77777777" w:rsidR="00471D53" w:rsidRDefault="00B664AF">
                    <w:pPr>
                      <w:jc w:val="right"/>
                      <w:rPr>
                        <w:sz w:val="18"/>
                        <w:szCs w:val="18"/>
                      </w:rPr>
                    </w:pPr>
                  </w:p>
                </w:tc>
                <w:tc>
                  <w:tcPr>
                    <w:tcW w:w="449" w:type="pct"/>
                  </w:tcPr>
                  <w:p w14:paraId="5531FA68" w14:textId="77777777" w:rsidR="00471D53" w:rsidRDefault="00B664AF">
                    <w:pPr>
                      <w:jc w:val="right"/>
                      <w:rPr>
                        <w:sz w:val="18"/>
                        <w:szCs w:val="18"/>
                      </w:rPr>
                    </w:pPr>
                  </w:p>
                </w:tc>
                <w:tc>
                  <w:tcPr>
                    <w:tcW w:w="503" w:type="pct"/>
                  </w:tcPr>
                  <w:p w14:paraId="796039E6" w14:textId="77777777" w:rsidR="00471D53" w:rsidRDefault="00B664AF">
                    <w:pPr>
                      <w:jc w:val="right"/>
                      <w:rPr>
                        <w:sz w:val="18"/>
                        <w:szCs w:val="18"/>
                      </w:rPr>
                    </w:pPr>
                  </w:p>
                </w:tc>
              </w:tr>
              <w:tr w:rsidR="00471D53" w14:paraId="7B54BF31" w14:textId="77777777" w:rsidTr="00471D53">
                <w:sdt>
                  <w:sdtPr>
                    <w:tag w:val="_PLD_f4bc69f9c7d34151a4b7a0d89088f0ee"/>
                    <w:id w:val="-1686889819"/>
                    <w:lock w:val="sdtLocked"/>
                  </w:sdtPr>
                  <w:sdtEndPr/>
                  <w:sdtContent>
                    <w:tc>
                      <w:tcPr>
                        <w:tcW w:w="385" w:type="pct"/>
                      </w:tcPr>
                      <w:p w14:paraId="6526DB0C" w14:textId="77777777" w:rsidR="00471D53" w:rsidRDefault="004F686E">
                        <w:pPr>
                          <w:rPr>
                            <w:sz w:val="18"/>
                            <w:szCs w:val="18"/>
                          </w:rPr>
                        </w:pPr>
                        <w:r>
                          <w:rPr>
                            <w:rFonts w:hint="eastAsia"/>
                            <w:sz w:val="18"/>
                            <w:szCs w:val="18"/>
                          </w:rPr>
                          <w:t>（六）其他</w:t>
                        </w:r>
                      </w:p>
                    </w:tc>
                  </w:sdtContent>
                </w:sdt>
                <w:tc>
                  <w:tcPr>
                    <w:tcW w:w="449" w:type="pct"/>
                  </w:tcPr>
                  <w:p w14:paraId="352947EF" w14:textId="77777777" w:rsidR="00471D53" w:rsidRDefault="00B664AF">
                    <w:pPr>
                      <w:jc w:val="right"/>
                      <w:rPr>
                        <w:sz w:val="18"/>
                        <w:szCs w:val="18"/>
                      </w:rPr>
                    </w:pPr>
                  </w:p>
                </w:tc>
                <w:tc>
                  <w:tcPr>
                    <w:tcW w:w="141" w:type="pct"/>
                  </w:tcPr>
                  <w:p w14:paraId="0BB97870" w14:textId="77777777" w:rsidR="00471D53" w:rsidRDefault="00B664AF">
                    <w:pPr>
                      <w:jc w:val="right"/>
                      <w:rPr>
                        <w:sz w:val="18"/>
                        <w:szCs w:val="18"/>
                      </w:rPr>
                    </w:pPr>
                  </w:p>
                </w:tc>
                <w:tc>
                  <w:tcPr>
                    <w:tcW w:w="141" w:type="pct"/>
                  </w:tcPr>
                  <w:p w14:paraId="654E27A5" w14:textId="77777777" w:rsidR="00471D53" w:rsidRDefault="00B664AF">
                    <w:pPr>
                      <w:jc w:val="right"/>
                      <w:rPr>
                        <w:sz w:val="18"/>
                        <w:szCs w:val="18"/>
                      </w:rPr>
                    </w:pPr>
                  </w:p>
                </w:tc>
                <w:tc>
                  <w:tcPr>
                    <w:tcW w:w="141" w:type="pct"/>
                  </w:tcPr>
                  <w:p w14:paraId="0253BF4F" w14:textId="77777777" w:rsidR="00471D53" w:rsidRDefault="00B664AF">
                    <w:pPr>
                      <w:jc w:val="right"/>
                      <w:rPr>
                        <w:sz w:val="18"/>
                        <w:szCs w:val="18"/>
                      </w:rPr>
                    </w:pPr>
                  </w:p>
                </w:tc>
                <w:tc>
                  <w:tcPr>
                    <w:tcW w:w="449" w:type="pct"/>
                  </w:tcPr>
                  <w:p w14:paraId="61DEEF6C" w14:textId="77777777" w:rsidR="00471D53" w:rsidRDefault="00B664AF">
                    <w:pPr>
                      <w:jc w:val="right"/>
                      <w:rPr>
                        <w:sz w:val="18"/>
                        <w:szCs w:val="18"/>
                      </w:rPr>
                    </w:pPr>
                  </w:p>
                </w:tc>
                <w:tc>
                  <w:tcPr>
                    <w:tcW w:w="204" w:type="pct"/>
                  </w:tcPr>
                  <w:p w14:paraId="4093E524" w14:textId="77777777" w:rsidR="00471D53" w:rsidRDefault="00B664AF">
                    <w:pPr>
                      <w:jc w:val="right"/>
                      <w:rPr>
                        <w:sz w:val="18"/>
                        <w:szCs w:val="18"/>
                      </w:rPr>
                    </w:pPr>
                  </w:p>
                </w:tc>
                <w:tc>
                  <w:tcPr>
                    <w:tcW w:w="369" w:type="pct"/>
                  </w:tcPr>
                  <w:p w14:paraId="04CA7DEF" w14:textId="77777777" w:rsidR="00471D53" w:rsidRDefault="00B664AF">
                    <w:pPr>
                      <w:jc w:val="right"/>
                      <w:rPr>
                        <w:sz w:val="18"/>
                        <w:szCs w:val="18"/>
                      </w:rPr>
                    </w:pPr>
                  </w:p>
                </w:tc>
                <w:tc>
                  <w:tcPr>
                    <w:tcW w:w="141" w:type="pct"/>
                  </w:tcPr>
                  <w:p w14:paraId="674DE3DB" w14:textId="77777777" w:rsidR="00471D53" w:rsidRDefault="00B664AF">
                    <w:pPr>
                      <w:jc w:val="right"/>
                      <w:rPr>
                        <w:sz w:val="18"/>
                        <w:szCs w:val="18"/>
                      </w:rPr>
                    </w:pPr>
                  </w:p>
                </w:tc>
                <w:tc>
                  <w:tcPr>
                    <w:tcW w:w="423" w:type="pct"/>
                  </w:tcPr>
                  <w:p w14:paraId="322B44F1" w14:textId="77777777" w:rsidR="00471D53" w:rsidRDefault="00B664AF">
                    <w:pPr>
                      <w:jc w:val="right"/>
                      <w:rPr>
                        <w:sz w:val="18"/>
                        <w:szCs w:val="18"/>
                      </w:rPr>
                    </w:pPr>
                  </w:p>
                </w:tc>
                <w:tc>
                  <w:tcPr>
                    <w:tcW w:w="141" w:type="pct"/>
                  </w:tcPr>
                  <w:p w14:paraId="4100991C" w14:textId="77777777" w:rsidR="00471D53" w:rsidRDefault="00B664AF">
                    <w:pPr>
                      <w:jc w:val="right"/>
                      <w:rPr>
                        <w:sz w:val="18"/>
                        <w:szCs w:val="18"/>
                      </w:rPr>
                    </w:pPr>
                  </w:p>
                </w:tc>
                <w:tc>
                  <w:tcPr>
                    <w:tcW w:w="476" w:type="pct"/>
                  </w:tcPr>
                  <w:p w14:paraId="4EFE8C8E" w14:textId="77777777" w:rsidR="00471D53" w:rsidRDefault="00B664AF">
                    <w:pPr>
                      <w:jc w:val="right"/>
                      <w:rPr>
                        <w:sz w:val="18"/>
                        <w:szCs w:val="18"/>
                      </w:rPr>
                    </w:pPr>
                  </w:p>
                </w:tc>
                <w:tc>
                  <w:tcPr>
                    <w:tcW w:w="141" w:type="pct"/>
                  </w:tcPr>
                  <w:p w14:paraId="16630512" w14:textId="77777777" w:rsidR="00471D53" w:rsidRDefault="00B664AF">
                    <w:pPr>
                      <w:jc w:val="right"/>
                      <w:rPr>
                        <w:sz w:val="18"/>
                        <w:szCs w:val="18"/>
                      </w:rPr>
                    </w:pPr>
                  </w:p>
                </w:tc>
                <w:tc>
                  <w:tcPr>
                    <w:tcW w:w="449" w:type="pct"/>
                  </w:tcPr>
                  <w:p w14:paraId="6FC64313" w14:textId="77777777" w:rsidR="00471D53" w:rsidRDefault="00B664AF">
                    <w:pPr>
                      <w:jc w:val="right"/>
                      <w:rPr>
                        <w:sz w:val="18"/>
                        <w:szCs w:val="18"/>
                      </w:rPr>
                    </w:pPr>
                  </w:p>
                </w:tc>
                <w:tc>
                  <w:tcPr>
                    <w:tcW w:w="449" w:type="pct"/>
                  </w:tcPr>
                  <w:p w14:paraId="2408314E" w14:textId="77777777" w:rsidR="00471D53" w:rsidRDefault="00B664AF">
                    <w:pPr>
                      <w:jc w:val="right"/>
                      <w:rPr>
                        <w:sz w:val="18"/>
                        <w:szCs w:val="18"/>
                      </w:rPr>
                    </w:pPr>
                  </w:p>
                </w:tc>
                <w:tc>
                  <w:tcPr>
                    <w:tcW w:w="503" w:type="pct"/>
                  </w:tcPr>
                  <w:p w14:paraId="69584B7C" w14:textId="77777777" w:rsidR="00471D53" w:rsidRDefault="00B664AF">
                    <w:pPr>
                      <w:jc w:val="right"/>
                      <w:rPr>
                        <w:sz w:val="18"/>
                        <w:szCs w:val="18"/>
                      </w:rPr>
                    </w:pPr>
                  </w:p>
                </w:tc>
              </w:tr>
              <w:tr w:rsidR="00471D53" w14:paraId="3778E486" w14:textId="77777777" w:rsidTr="00471D53">
                <w:sdt>
                  <w:sdtPr>
                    <w:tag w:val="_PLD_033ca7ec3c1d4c1b905d0af57ca8a614"/>
                    <w:id w:val="2106999892"/>
                    <w:lock w:val="sdtLocked"/>
                  </w:sdtPr>
                  <w:sdtEndPr/>
                  <w:sdtContent>
                    <w:tc>
                      <w:tcPr>
                        <w:tcW w:w="385" w:type="pct"/>
                      </w:tcPr>
                      <w:p w14:paraId="7D37B142" w14:textId="77777777" w:rsidR="00471D53" w:rsidRDefault="004F686E">
                        <w:pPr>
                          <w:rPr>
                            <w:sz w:val="18"/>
                            <w:szCs w:val="18"/>
                          </w:rPr>
                        </w:pPr>
                        <w:r>
                          <w:rPr>
                            <w:sz w:val="18"/>
                            <w:szCs w:val="18"/>
                          </w:rPr>
                          <w:t>四、本期期末余额</w:t>
                        </w:r>
                      </w:p>
                    </w:tc>
                  </w:sdtContent>
                </w:sdt>
                <w:tc>
                  <w:tcPr>
                    <w:tcW w:w="449" w:type="pct"/>
                    <w:vAlign w:val="center"/>
                  </w:tcPr>
                  <w:p w14:paraId="41B83A06" w14:textId="67079A91" w:rsidR="00471D53" w:rsidRPr="00640F2D" w:rsidRDefault="004F686E">
                    <w:pPr>
                      <w:rPr>
                        <w:sz w:val="15"/>
                        <w:szCs w:val="15"/>
                      </w:rPr>
                    </w:pPr>
                    <w:r w:rsidRPr="00640F2D">
                      <w:rPr>
                        <w:rFonts w:hint="eastAsia"/>
                        <w:sz w:val="15"/>
                        <w:szCs w:val="15"/>
                      </w:rPr>
                      <w:t>485,000,000.00</w:t>
                    </w:r>
                  </w:p>
                </w:tc>
                <w:tc>
                  <w:tcPr>
                    <w:tcW w:w="141" w:type="pct"/>
                    <w:vAlign w:val="center"/>
                  </w:tcPr>
                  <w:p w14:paraId="5396BDA3" w14:textId="77777777" w:rsidR="00471D53" w:rsidRPr="00640F2D" w:rsidRDefault="004F686E">
                    <w:pPr>
                      <w:rPr>
                        <w:color w:val="FFFFFF"/>
                        <w:sz w:val="15"/>
                        <w:szCs w:val="15"/>
                      </w:rPr>
                    </w:pPr>
                    <w:r w:rsidRPr="00640F2D">
                      <w:rPr>
                        <w:rFonts w:hint="eastAsia"/>
                        <w:color w:val="FFFFFF"/>
                        <w:sz w:val="15"/>
                        <w:szCs w:val="15"/>
                      </w:rPr>
                      <w:t xml:space="preserve">　</w:t>
                    </w:r>
                  </w:p>
                </w:tc>
                <w:tc>
                  <w:tcPr>
                    <w:tcW w:w="141" w:type="pct"/>
                    <w:vAlign w:val="center"/>
                  </w:tcPr>
                  <w:p w14:paraId="58F5FEAA" w14:textId="77777777" w:rsidR="00471D53" w:rsidRPr="00640F2D" w:rsidRDefault="004F686E">
                    <w:pPr>
                      <w:rPr>
                        <w:color w:val="FFFFFF"/>
                        <w:sz w:val="15"/>
                        <w:szCs w:val="15"/>
                      </w:rPr>
                    </w:pPr>
                    <w:r w:rsidRPr="00640F2D">
                      <w:rPr>
                        <w:rFonts w:hint="eastAsia"/>
                        <w:color w:val="FFFFFF"/>
                        <w:sz w:val="15"/>
                        <w:szCs w:val="15"/>
                      </w:rPr>
                      <w:t xml:space="preserve">　</w:t>
                    </w:r>
                  </w:p>
                </w:tc>
                <w:tc>
                  <w:tcPr>
                    <w:tcW w:w="141" w:type="pct"/>
                    <w:vAlign w:val="center"/>
                  </w:tcPr>
                  <w:p w14:paraId="7037A189" w14:textId="77777777" w:rsidR="00471D53" w:rsidRPr="00640F2D" w:rsidRDefault="004F686E">
                    <w:pPr>
                      <w:rPr>
                        <w:color w:val="FFFFFF"/>
                        <w:sz w:val="15"/>
                        <w:szCs w:val="15"/>
                      </w:rPr>
                    </w:pPr>
                    <w:r w:rsidRPr="00640F2D">
                      <w:rPr>
                        <w:rFonts w:hint="eastAsia"/>
                        <w:color w:val="FFFFFF"/>
                        <w:sz w:val="15"/>
                        <w:szCs w:val="15"/>
                      </w:rPr>
                      <w:t xml:space="preserve">　</w:t>
                    </w:r>
                  </w:p>
                </w:tc>
                <w:tc>
                  <w:tcPr>
                    <w:tcW w:w="449" w:type="pct"/>
                    <w:vAlign w:val="center"/>
                  </w:tcPr>
                  <w:p w14:paraId="213D068C" w14:textId="038862A4" w:rsidR="00471D53" w:rsidRPr="00640F2D" w:rsidRDefault="004F686E">
                    <w:pPr>
                      <w:rPr>
                        <w:sz w:val="15"/>
                        <w:szCs w:val="15"/>
                      </w:rPr>
                    </w:pPr>
                    <w:r w:rsidRPr="00640F2D">
                      <w:rPr>
                        <w:rFonts w:hint="eastAsia"/>
                        <w:sz w:val="15"/>
                        <w:szCs w:val="15"/>
                      </w:rPr>
                      <w:t>833,183,835.84</w:t>
                    </w:r>
                  </w:p>
                </w:tc>
                <w:tc>
                  <w:tcPr>
                    <w:tcW w:w="204" w:type="pct"/>
                    <w:vAlign w:val="center"/>
                  </w:tcPr>
                  <w:p w14:paraId="3D30F36A" w14:textId="77777777" w:rsidR="00471D53" w:rsidRPr="00640F2D" w:rsidRDefault="004F686E">
                    <w:pPr>
                      <w:rPr>
                        <w:color w:val="FFFFFF"/>
                        <w:sz w:val="15"/>
                        <w:szCs w:val="15"/>
                      </w:rPr>
                    </w:pPr>
                    <w:r w:rsidRPr="00640F2D">
                      <w:rPr>
                        <w:rFonts w:hint="eastAsia"/>
                        <w:color w:val="FFFFFF"/>
                        <w:sz w:val="15"/>
                        <w:szCs w:val="15"/>
                      </w:rPr>
                      <w:t xml:space="preserve">　</w:t>
                    </w:r>
                  </w:p>
                </w:tc>
                <w:tc>
                  <w:tcPr>
                    <w:tcW w:w="369" w:type="pct"/>
                    <w:vAlign w:val="center"/>
                  </w:tcPr>
                  <w:p w14:paraId="19F6F916" w14:textId="223CEB3F" w:rsidR="00471D53" w:rsidRPr="00640F2D" w:rsidRDefault="004F686E">
                    <w:pPr>
                      <w:jc w:val="right"/>
                      <w:rPr>
                        <w:sz w:val="15"/>
                        <w:szCs w:val="15"/>
                      </w:rPr>
                    </w:pPr>
                    <w:r w:rsidRPr="00640F2D">
                      <w:rPr>
                        <w:rFonts w:hint="eastAsia"/>
                        <w:sz w:val="15"/>
                        <w:szCs w:val="15"/>
                      </w:rPr>
                      <w:t>-611,447.28</w:t>
                    </w:r>
                  </w:p>
                </w:tc>
                <w:tc>
                  <w:tcPr>
                    <w:tcW w:w="141" w:type="pct"/>
                    <w:vAlign w:val="center"/>
                  </w:tcPr>
                  <w:p w14:paraId="32BE70B9" w14:textId="77777777" w:rsidR="00471D53" w:rsidRPr="00640F2D" w:rsidRDefault="004F686E">
                    <w:pPr>
                      <w:rPr>
                        <w:color w:val="FFFFFF"/>
                        <w:sz w:val="15"/>
                        <w:szCs w:val="15"/>
                      </w:rPr>
                    </w:pPr>
                    <w:r w:rsidRPr="00640F2D">
                      <w:rPr>
                        <w:rFonts w:hint="eastAsia"/>
                        <w:color w:val="FFFFFF"/>
                        <w:sz w:val="15"/>
                        <w:szCs w:val="15"/>
                      </w:rPr>
                      <w:t xml:space="preserve">　</w:t>
                    </w:r>
                  </w:p>
                </w:tc>
                <w:tc>
                  <w:tcPr>
                    <w:tcW w:w="423" w:type="pct"/>
                    <w:vAlign w:val="center"/>
                  </w:tcPr>
                  <w:p w14:paraId="4EF737BB" w14:textId="6EA2D7FE" w:rsidR="00471D53" w:rsidRPr="00640F2D" w:rsidRDefault="004F686E">
                    <w:pPr>
                      <w:rPr>
                        <w:sz w:val="15"/>
                        <w:szCs w:val="15"/>
                      </w:rPr>
                    </w:pPr>
                    <w:r w:rsidRPr="00640F2D">
                      <w:rPr>
                        <w:rFonts w:hint="eastAsia"/>
                        <w:sz w:val="15"/>
                        <w:szCs w:val="15"/>
                      </w:rPr>
                      <w:t>45,665,647.68</w:t>
                    </w:r>
                  </w:p>
                </w:tc>
                <w:tc>
                  <w:tcPr>
                    <w:tcW w:w="141" w:type="pct"/>
                    <w:vAlign w:val="center"/>
                  </w:tcPr>
                  <w:p w14:paraId="7D21E88E" w14:textId="77777777" w:rsidR="00471D53" w:rsidRPr="00640F2D" w:rsidRDefault="004F686E">
                    <w:pPr>
                      <w:rPr>
                        <w:color w:val="FFFFFF"/>
                        <w:sz w:val="15"/>
                        <w:szCs w:val="15"/>
                      </w:rPr>
                    </w:pPr>
                    <w:r w:rsidRPr="00640F2D">
                      <w:rPr>
                        <w:rFonts w:hint="eastAsia"/>
                        <w:color w:val="FFFFFF"/>
                        <w:sz w:val="15"/>
                        <w:szCs w:val="15"/>
                      </w:rPr>
                      <w:t xml:space="preserve">　</w:t>
                    </w:r>
                  </w:p>
                </w:tc>
                <w:tc>
                  <w:tcPr>
                    <w:tcW w:w="476" w:type="pct"/>
                    <w:vAlign w:val="center"/>
                  </w:tcPr>
                  <w:p w14:paraId="18E397CF" w14:textId="78452C72" w:rsidR="00471D53" w:rsidRPr="00640F2D" w:rsidRDefault="004F686E">
                    <w:pPr>
                      <w:jc w:val="right"/>
                      <w:rPr>
                        <w:sz w:val="15"/>
                        <w:szCs w:val="15"/>
                      </w:rPr>
                    </w:pPr>
                    <w:r w:rsidRPr="00640F2D">
                      <w:rPr>
                        <w:rFonts w:hint="eastAsia"/>
                        <w:sz w:val="15"/>
                        <w:szCs w:val="15"/>
                      </w:rPr>
                      <w:t>-665,364,733.80</w:t>
                    </w:r>
                  </w:p>
                </w:tc>
                <w:tc>
                  <w:tcPr>
                    <w:tcW w:w="141" w:type="pct"/>
                    <w:vAlign w:val="center"/>
                  </w:tcPr>
                  <w:p w14:paraId="6E439C5D" w14:textId="77777777" w:rsidR="00471D53" w:rsidRPr="00640F2D" w:rsidRDefault="004F686E">
                    <w:pPr>
                      <w:rPr>
                        <w:color w:val="FFFFFF"/>
                        <w:sz w:val="15"/>
                        <w:szCs w:val="15"/>
                      </w:rPr>
                    </w:pPr>
                    <w:r w:rsidRPr="00640F2D">
                      <w:rPr>
                        <w:rFonts w:hint="eastAsia"/>
                        <w:color w:val="FFFFFF"/>
                        <w:sz w:val="15"/>
                        <w:szCs w:val="15"/>
                      </w:rPr>
                      <w:t xml:space="preserve">　</w:t>
                    </w:r>
                  </w:p>
                </w:tc>
                <w:tc>
                  <w:tcPr>
                    <w:tcW w:w="449" w:type="pct"/>
                    <w:vAlign w:val="center"/>
                  </w:tcPr>
                  <w:p w14:paraId="32D29685" w14:textId="40D62251" w:rsidR="00471D53" w:rsidRPr="00640F2D" w:rsidRDefault="004F686E">
                    <w:pPr>
                      <w:rPr>
                        <w:sz w:val="15"/>
                        <w:szCs w:val="15"/>
                      </w:rPr>
                    </w:pPr>
                    <w:r w:rsidRPr="00640F2D">
                      <w:rPr>
                        <w:rFonts w:hint="eastAsia"/>
                        <w:sz w:val="15"/>
                        <w:szCs w:val="15"/>
                      </w:rPr>
                      <w:t>697,873,302.44</w:t>
                    </w:r>
                  </w:p>
                </w:tc>
                <w:tc>
                  <w:tcPr>
                    <w:tcW w:w="449" w:type="pct"/>
                    <w:vAlign w:val="center"/>
                  </w:tcPr>
                  <w:p w14:paraId="53E5342C" w14:textId="05FC3CFE" w:rsidR="00471D53" w:rsidRPr="00640F2D" w:rsidRDefault="004F686E">
                    <w:pPr>
                      <w:jc w:val="right"/>
                      <w:rPr>
                        <w:sz w:val="15"/>
                        <w:szCs w:val="15"/>
                      </w:rPr>
                    </w:pPr>
                    <w:r w:rsidRPr="00640F2D">
                      <w:rPr>
                        <w:rFonts w:hint="eastAsia"/>
                        <w:sz w:val="15"/>
                        <w:szCs w:val="15"/>
                      </w:rPr>
                      <w:t>302,797,348.36</w:t>
                    </w:r>
                  </w:p>
                </w:tc>
                <w:tc>
                  <w:tcPr>
                    <w:tcW w:w="503" w:type="pct"/>
                    <w:vAlign w:val="center"/>
                  </w:tcPr>
                  <w:p w14:paraId="1B0F5D3E" w14:textId="32FAE069" w:rsidR="00471D53" w:rsidRPr="00640F2D" w:rsidRDefault="004F686E">
                    <w:pPr>
                      <w:rPr>
                        <w:sz w:val="15"/>
                        <w:szCs w:val="15"/>
                      </w:rPr>
                    </w:pPr>
                    <w:r w:rsidRPr="00640F2D">
                      <w:rPr>
                        <w:rFonts w:hint="eastAsia"/>
                        <w:sz w:val="15"/>
                        <w:szCs w:val="15"/>
                      </w:rPr>
                      <w:t>1,000,670,650.80</w:t>
                    </w:r>
                  </w:p>
                </w:tc>
              </w:tr>
            </w:tbl>
            <w:p w14:paraId="33E3A9B8" w14:textId="77777777" w:rsidR="00471D53" w:rsidRDefault="00B664AF" w:rsidP="00471D53">
              <w:pPr>
                <w:snapToGrid w:val="0"/>
                <w:spacing w:line="240" w:lineRule="atLeast"/>
                <w:ind w:rightChars="-759" w:right="-1594"/>
                <w:rPr>
                  <w:szCs w:val="21"/>
                </w:rPr>
              </w:pPr>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gridCol w:w="1266"/>
                <w:gridCol w:w="396"/>
                <w:gridCol w:w="396"/>
                <w:gridCol w:w="396"/>
                <w:gridCol w:w="1270"/>
                <w:gridCol w:w="576"/>
                <w:gridCol w:w="1116"/>
                <w:gridCol w:w="396"/>
                <w:gridCol w:w="1191"/>
                <w:gridCol w:w="396"/>
                <w:gridCol w:w="1295"/>
                <w:gridCol w:w="396"/>
                <w:gridCol w:w="1270"/>
                <w:gridCol w:w="1378"/>
                <w:gridCol w:w="1266"/>
              </w:tblGrid>
              <w:tr w:rsidR="00471D53" w14:paraId="66E197C4" w14:textId="77777777" w:rsidTr="00471D53">
                <w:trPr>
                  <w:cantSplit/>
                </w:trPr>
                <w:tc>
                  <w:tcPr>
                    <w:tcW w:w="319" w:type="pct"/>
                    <w:vMerge w:val="restart"/>
                    <w:vAlign w:val="center"/>
                  </w:tcPr>
                  <w:sdt>
                    <w:sdtPr>
                      <w:rPr>
                        <w:rFonts w:hint="eastAsia"/>
                        <w:sz w:val="18"/>
                        <w:szCs w:val="18"/>
                      </w:rPr>
                      <w:tag w:val="_PLD_20eb9c9dd1e14fb0a0790f87b63a489d"/>
                      <w:id w:val="-1454938741"/>
                      <w:lock w:val="sdtLocked"/>
                    </w:sdtPr>
                    <w:sdtEndPr/>
                    <w:sdtContent>
                      <w:p w14:paraId="3FF2C4CC" w14:textId="77777777" w:rsidR="00471D53" w:rsidRDefault="004F686E">
                        <w:pPr>
                          <w:snapToGrid w:val="0"/>
                          <w:spacing w:line="240" w:lineRule="atLeast"/>
                          <w:jc w:val="center"/>
                          <w:rPr>
                            <w:sz w:val="18"/>
                            <w:szCs w:val="18"/>
                          </w:rPr>
                        </w:pPr>
                        <w:r>
                          <w:rPr>
                            <w:rFonts w:hint="eastAsia"/>
                            <w:sz w:val="18"/>
                            <w:szCs w:val="18"/>
                          </w:rPr>
                          <w:t>项目</w:t>
                        </w:r>
                      </w:p>
                    </w:sdtContent>
                  </w:sdt>
                </w:tc>
                <w:tc>
                  <w:tcPr>
                    <w:tcW w:w="4681" w:type="pct"/>
                    <w:gridSpan w:val="15"/>
                  </w:tcPr>
                  <w:p w14:paraId="19B32925" w14:textId="5D7FD936" w:rsidR="00471D53" w:rsidRDefault="00B664AF">
                    <w:pPr>
                      <w:snapToGrid w:val="0"/>
                      <w:spacing w:line="240" w:lineRule="atLeast"/>
                      <w:jc w:val="center"/>
                    </w:pPr>
                    <w:sdt>
                      <w:sdtPr>
                        <w:rPr>
                          <w:rFonts w:hint="eastAsia"/>
                        </w:rPr>
                        <w:tag w:val="_PLD_95c0e6e5f75a49daa1b601f67b7dd704"/>
                        <w:id w:val="-599565130"/>
                        <w:lock w:val="sdtLocked"/>
                      </w:sdtPr>
                      <w:sdtEndPr/>
                      <w:sdtContent>
                        <w:r w:rsidR="004F686E">
                          <w:rPr>
                            <w:rFonts w:hint="eastAsia"/>
                            <w:sz w:val="18"/>
                            <w:szCs w:val="18"/>
                          </w:rPr>
                          <w:t>2020年半年度</w:t>
                        </w:r>
                      </w:sdtContent>
                    </w:sdt>
                  </w:p>
                </w:tc>
              </w:tr>
              <w:tr w:rsidR="00471D53" w14:paraId="283571AF" w14:textId="77777777" w:rsidTr="00471D53">
                <w:trPr>
                  <w:cantSplit/>
                  <w:trHeight w:val="471"/>
                </w:trPr>
                <w:tc>
                  <w:tcPr>
                    <w:tcW w:w="319" w:type="pct"/>
                    <w:vMerge/>
                  </w:tcPr>
                  <w:p w14:paraId="778832FC" w14:textId="77777777" w:rsidR="00471D53" w:rsidRDefault="00B664AF" w:rsidP="00471D53">
                    <w:pPr>
                      <w:snapToGrid w:val="0"/>
                      <w:spacing w:line="240" w:lineRule="atLeast"/>
                      <w:ind w:rightChars="-759" w:right="-1594"/>
                      <w:rPr>
                        <w:sz w:val="18"/>
                        <w:szCs w:val="18"/>
                      </w:rPr>
                    </w:pPr>
                  </w:p>
                </w:tc>
                <w:sdt>
                  <w:sdtPr>
                    <w:tag w:val="_PLD_3c5d65171933469ea16eac46afc03a54"/>
                    <w:id w:val="264659303"/>
                    <w:lock w:val="sdtLocked"/>
                  </w:sdtPr>
                  <w:sdtEndPr/>
                  <w:sdtContent>
                    <w:tc>
                      <w:tcPr>
                        <w:tcW w:w="3726" w:type="pct"/>
                        <w:gridSpan w:val="13"/>
                        <w:vAlign w:val="center"/>
                      </w:tcPr>
                      <w:p w14:paraId="3F18E642" w14:textId="77777777" w:rsidR="00471D53" w:rsidRDefault="004F686E">
                        <w:pPr>
                          <w:jc w:val="center"/>
                        </w:pPr>
                        <w:r>
                          <w:rPr>
                            <w:sz w:val="18"/>
                            <w:szCs w:val="18"/>
                          </w:rPr>
                          <w:t>归属于母公司所有者权益</w:t>
                        </w:r>
                      </w:p>
                    </w:tc>
                  </w:sdtContent>
                </w:sdt>
                <w:sdt>
                  <w:sdtPr>
                    <w:tag w:val="_PLD_ba7b1c99b1634f48939c500d6c46ce09"/>
                    <w:id w:val="303812617"/>
                    <w:lock w:val="sdtLocked"/>
                  </w:sdtPr>
                  <w:sdtEndPr/>
                  <w:sdtContent>
                    <w:tc>
                      <w:tcPr>
                        <w:tcW w:w="506" w:type="pct"/>
                        <w:vMerge w:val="restart"/>
                        <w:vAlign w:val="center"/>
                      </w:tcPr>
                      <w:p w14:paraId="251EF5F7" w14:textId="77777777" w:rsidR="00471D53" w:rsidRDefault="004F686E">
                        <w:pPr>
                          <w:jc w:val="center"/>
                          <w:rPr>
                            <w:sz w:val="18"/>
                            <w:szCs w:val="18"/>
                          </w:rPr>
                        </w:pPr>
                        <w:r>
                          <w:rPr>
                            <w:sz w:val="18"/>
                            <w:szCs w:val="18"/>
                          </w:rPr>
                          <w:t>少数股东权益</w:t>
                        </w:r>
                      </w:p>
                    </w:tc>
                  </w:sdtContent>
                </w:sdt>
                <w:sdt>
                  <w:sdtPr>
                    <w:tag w:val="_PLD_fb367567c5f141a5863649df07435b71"/>
                    <w:id w:val="1469239470"/>
                    <w:lock w:val="sdtLocked"/>
                  </w:sdtPr>
                  <w:sdtEndPr/>
                  <w:sdtContent>
                    <w:tc>
                      <w:tcPr>
                        <w:tcW w:w="449" w:type="pct"/>
                        <w:vMerge w:val="restart"/>
                        <w:vAlign w:val="center"/>
                      </w:tcPr>
                      <w:p w14:paraId="4F797375" w14:textId="77777777" w:rsidR="00471D53" w:rsidRDefault="004F686E">
                        <w:pPr>
                          <w:jc w:val="center"/>
                          <w:rPr>
                            <w:sz w:val="18"/>
                            <w:szCs w:val="18"/>
                          </w:rPr>
                        </w:pPr>
                        <w:r>
                          <w:rPr>
                            <w:sz w:val="18"/>
                            <w:szCs w:val="18"/>
                          </w:rPr>
                          <w:t>所有者权益合计</w:t>
                        </w:r>
                      </w:p>
                    </w:tc>
                  </w:sdtContent>
                </w:sdt>
              </w:tr>
              <w:tr w:rsidR="00471D53" w14:paraId="1F621AF9" w14:textId="77777777" w:rsidTr="00471D53">
                <w:trPr>
                  <w:cantSplit/>
                  <w:trHeight w:val="383"/>
                </w:trPr>
                <w:tc>
                  <w:tcPr>
                    <w:tcW w:w="319" w:type="pct"/>
                    <w:vMerge/>
                  </w:tcPr>
                  <w:p w14:paraId="255721EA" w14:textId="77777777" w:rsidR="00471D53" w:rsidRDefault="00B664AF" w:rsidP="00471D53">
                    <w:pPr>
                      <w:snapToGrid w:val="0"/>
                      <w:spacing w:line="240" w:lineRule="atLeast"/>
                      <w:ind w:rightChars="-759" w:right="-1594"/>
                      <w:rPr>
                        <w:sz w:val="18"/>
                        <w:szCs w:val="18"/>
                      </w:rPr>
                    </w:pPr>
                  </w:p>
                </w:tc>
                <w:sdt>
                  <w:sdtPr>
                    <w:tag w:val="_PLD_36b3a5c009c04b53b0bd25afc2596e7e"/>
                    <w:id w:val="-33126309"/>
                    <w:lock w:val="sdtLocked"/>
                  </w:sdtPr>
                  <w:sdtEndPr/>
                  <w:sdtContent>
                    <w:tc>
                      <w:tcPr>
                        <w:tcW w:w="449" w:type="pct"/>
                        <w:vMerge w:val="restart"/>
                        <w:vAlign w:val="center"/>
                      </w:tcPr>
                      <w:p w14:paraId="1ABCD199" w14:textId="77777777" w:rsidR="00471D53" w:rsidRDefault="004F686E">
                        <w:pPr>
                          <w:snapToGrid w:val="0"/>
                          <w:spacing w:line="240" w:lineRule="atLeast"/>
                          <w:jc w:val="center"/>
                          <w:rPr>
                            <w:sz w:val="18"/>
                            <w:szCs w:val="18"/>
                          </w:rPr>
                        </w:pPr>
                        <w:r>
                          <w:rPr>
                            <w:rFonts w:hint="eastAsia"/>
                            <w:sz w:val="18"/>
                            <w:szCs w:val="18"/>
                          </w:rPr>
                          <w:t>实收资本</w:t>
                        </w:r>
                        <w:r>
                          <w:rPr>
                            <w:sz w:val="18"/>
                            <w:szCs w:val="18"/>
                          </w:rPr>
                          <w:t>(或股本)</w:t>
                        </w:r>
                      </w:p>
                    </w:tc>
                  </w:sdtContent>
                </w:sdt>
                <w:sdt>
                  <w:sdtPr>
                    <w:tag w:val="_PLD_c0579a9940424a129a85d26955bb30bc"/>
                    <w:id w:val="1806734128"/>
                    <w:lock w:val="sdtLocked"/>
                  </w:sdtPr>
                  <w:sdtEndPr/>
                  <w:sdtContent>
                    <w:tc>
                      <w:tcPr>
                        <w:tcW w:w="422" w:type="pct"/>
                        <w:gridSpan w:val="3"/>
                        <w:vAlign w:val="center"/>
                      </w:tcPr>
                      <w:p w14:paraId="61513E9D" w14:textId="77777777" w:rsidR="00471D53" w:rsidRDefault="004F686E">
                        <w:pPr>
                          <w:snapToGrid w:val="0"/>
                          <w:spacing w:line="240" w:lineRule="atLeast"/>
                          <w:jc w:val="center"/>
                          <w:rPr>
                            <w:sz w:val="18"/>
                            <w:szCs w:val="18"/>
                          </w:rPr>
                        </w:pPr>
                        <w:r>
                          <w:rPr>
                            <w:rFonts w:hint="eastAsia"/>
                            <w:sz w:val="18"/>
                            <w:szCs w:val="18"/>
                          </w:rPr>
                          <w:t>其他权益工具</w:t>
                        </w:r>
                      </w:p>
                    </w:tc>
                  </w:sdtContent>
                </w:sdt>
                <w:sdt>
                  <w:sdtPr>
                    <w:tag w:val="_PLD_f728bf12d1d64c4fa04dfc828a7a0411"/>
                    <w:id w:val="-213125288"/>
                    <w:lock w:val="sdtLocked"/>
                  </w:sdtPr>
                  <w:sdtEndPr/>
                  <w:sdtContent>
                    <w:tc>
                      <w:tcPr>
                        <w:tcW w:w="467" w:type="pct"/>
                        <w:vMerge w:val="restart"/>
                        <w:vAlign w:val="center"/>
                      </w:tcPr>
                      <w:p w14:paraId="59500E90" w14:textId="77777777" w:rsidR="00471D53" w:rsidRDefault="004F686E">
                        <w:pPr>
                          <w:snapToGrid w:val="0"/>
                          <w:spacing w:line="240" w:lineRule="atLeast"/>
                          <w:jc w:val="center"/>
                          <w:rPr>
                            <w:sz w:val="18"/>
                            <w:szCs w:val="18"/>
                          </w:rPr>
                        </w:pPr>
                        <w:r>
                          <w:rPr>
                            <w:rFonts w:hint="eastAsia"/>
                            <w:sz w:val="18"/>
                            <w:szCs w:val="18"/>
                          </w:rPr>
                          <w:t>资本公积</w:t>
                        </w:r>
                      </w:p>
                    </w:tc>
                  </w:sdtContent>
                </w:sdt>
                <w:sdt>
                  <w:sdtPr>
                    <w:tag w:val="_PLD_8c191e0685ac4367b113504c484a11e9"/>
                    <w:id w:val="1257253168"/>
                    <w:lock w:val="sdtLocked"/>
                  </w:sdtPr>
                  <w:sdtEndPr/>
                  <w:sdtContent>
                    <w:tc>
                      <w:tcPr>
                        <w:tcW w:w="204" w:type="pct"/>
                        <w:vMerge w:val="restart"/>
                        <w:vAlign w:val="center"/>
                      </w:tcPr>
                      <w:p w14:paraId="76172895" w14:textId="77777777" w:rsidR="00471D53" w:rsidRDefault="004F686E">
                        <w:pPr>
                          <w:snapToGrid w:val="0"/>
                          <w:spacing w:line="240" w:lineRule="atLeast"/>
                          <w:jc w:val="center"/>
                          <w:rPr>
                            <w:sz w:val="18"/>
                            <w:szCs w:val="18"/>
                          </w:rPr>
                        </w:pPr>
                        <w:r>
                          <w:rPr>
                            <w:rFonts w:hint="eastAsia"/>
                            <w:sz w:val="18"/>
                            <w:szCs w:val="18"/>
                          </w:rPr>
                          <w:t>减：库存股</w:t>
                        </w:r>
                      </w:p>
                    </w:tc>
                  </w:sdtContent>
                </w:sdt>
                <w:sdt>
                  <w:sdtPr>
                    <w:tag w:val="_PLD_68ae3206209542ea8491f40d49bafeb7"/>
                    <w:id w:val="1826784955"/>
                    <w:lock w:val="sdtLocked"/>
                  </w:sdtPr>
                  <w:sdtEndPr/>
                  <w:sdtContent>
                    <w:tc>
                      <w:tcPr>
                        <w:tcW w:w="396" w:type="pct"/>
                        <w:vMerge w:val="restart"/>
                        <w:vAlign w:val="center"/>
                      </w:tcPr>
                      <w:p w14:paraId="20325CBA" w14:textId="77777777" w:rsidR="00471D53" w:rsidRDefault="004F686E">
                        <w:pPr>
                          <w:snapToGrid w:val="0"/>
                          <w:spacing w:line="240" w:lineRule="atLeast"/>
                          <w:jc w:val="center"/>
                          <w:rPr>
                            <w:sz w:val="18"/>
                            <w:szCs w:val="18"/>
                          </w:rPr>
                        </w:pPr>
                        <w:r>
                          <w:rPr>
                            <w:rFonts w:hint="eastAsia"/>
                            <w:sz w:val="18"/>
                            <w:szCs w:val="18"/>
                          </w:rPr>
                          <w:t>其他综合收益</w:t>
                        </w:r>
                      </w:p>
                    </w:tc>
                  </w:sdtContent>
                </w:sdt>
                <w:sdt>
                  <w:sdtPr>
                    <w:tag w:val="_PLD_6402f064d7a041d58973d8b8205096d0"/>
                    <w:id w:val="134302841"/>
                    <w:lock w:val="sdtLocked"/>
                  </w:sdtPr>
                  <w:sdtEndPr/>
                  <w:sdtContent>
                    <w:tc>
                      <w:tcPr>
                        <w:tcW w:w="141" w:type="pct"/>
                        <w:vMerge w:val="restart"/>
                        <w:vAlign w:val="center"/>
                      </w:tcPr>
                      <w:p w14:paraId="16B2DD9B" w14:textId="77777777" w:rsidR="00471D53" w:rsidRDefault="004F686E">
                        <w:pPr>
                          <w:snapToGrid w:val="0"/>
                          <w:spacing w:line="240" w:lineRule="atLeast"/>
                          <w:jc w:val="center"/>
                          <w:rPr>
                            <w:sz w:val="18"/>
                            <w:szCs w:val="18"/>
                          </w:rPr>
                        </w:pPr>
                        <w:r>
                          <w:rPr>
                            <w:rFonts w:hint="eastAsia"/>
                            <w:sz w:val="18"/>
                            <w:szCs w:val="18"/>
                          </w:rPr>
                          <w:t>专项储备</w:t>
                        </w:r>
                      </w:p>
                    </w:tc>
                  </w:sdtContent>
                </w:sdt>
                <w:sdt>
                  <w:sdtPr>
                    <w:tag w:val="_PLD_b1d22d8686164205bfa14ef647cebfcd"/>
                    <w:id w:val="301206115"/>
                    <w:lock w:val="sdtLocked"/>
                  </w:sdtPr>
                  <w:sdtEndPr/>
                  <w:sdtContent>
                    <w:tc>
                      <w:tcPr>
                        <w:tcW w:w="423" w:type="pct"/>
                        <w:vMerge w:val="restart"/>
                        <w:vAlign w:val="center"/>
                      </w:tcPr>
                      <w:p w14:paraId="1D9B4E21" w14:textId="77777777" w:rsidR="00471D53" w:rsidRDefault="004F686E">
                        <w:pPr>
                          <w:snapToGrid w:val="0"/>
                          <w:spacing w:line="240" w:lineRule="atLeast"/>
                          <w:jc w:val="center"/>
                          <w:rPr>
                            <w:sz w:val="18"/>
                            <w:szCs w:val="18"/>
                          </w:rPr>
                        </w:pPr>
                        <w:r>
                          <w:rPr>
                            <w:rFonts w:hint="eastAsia"/>
                            <w:sz w:val="18"/>
                            <w:szCs w:val="18"/>
                          </w:rPr>
                          <w:t>盈余公积</w:t>
                        </w:r>
                      </w:p>
                    </w:tc>
                  </w:sdtContent>
                </w:sdt>
                <w:sdt>
                  <w:sdtPr>
                    <w:tag w:val="_PLD_c5c57d0195b14864b413898a9c76e89d"/>
                    <w:id w:val="-1107728937"/>
                    <w:lock w:val="sdtLocked"/>
                  </w:sdtPr>
                  <w:sdtEndPr/>
                  <w:sdtContent>
                    <w:tc>
                      <w:tcPr>
                        <w:tcW w:w="141" w:type="pct"/>
                        <w:vMerge w:val="restart"/>
                        <w:vAlign w:val="center"/>
                      </w:tcPr>
                      <w:p w14:paraId="424B3D76" w14:textId="77777777" w:rsidR="00471D53" w:rsidRDefault="004F686E">
                        <w:pPr>
                          <w:snapToGrid w:val="0"/>
                          <w:spacing w:line="240" w:lineRule="atLeast"/>
                          <w:jc w:val="center"/>
                          <w:rPr>
                            <w:sz w:val="18"/>
                            <w:szCs w:val="18"/>
                          </w:rPr>
                        </w:pPr>
                        <w:r>
                          <w:rPr>
                            <w:rFonts w:hint="eastAsia"/>
                            <w:sz w:val="18"/>
                            <w:szCs w:val="18"/>
                          </w:rPr>
                          <w:t>一般风险准备</w:t>
                        </w:r>
                      </w:p>
                    </w:tc>
                  </w:sdtContent>
                </w:sdt>
                <w:sdt>
                  <w:sdtPr>
                    <w:tag w:val="_PLD_c9bffd2027d24ca1955db036ad79f5ea"/>
                    <w:id w:val="1347744524"/>
                    <w:lock w:val="sdtLocked"/>
                  </w:sdtPr>
                  <w:sdtEndPr/>
                  <w:sdtContent>
                    <w:tc>
                      <w:tcPr>
                        <w:tcW w:w="476" w:type="pct"/>
                        <w:vMerge w:val="restart"/>
                        <w:vAlign w:val="center"/>
                      </w:tcPr>
                      <w:p w14:paraId="784039A4" w14:textId="77777777" w:rsidR="00471D53" w:rsidRDefault="004F686E">
                        <w:pPr>
                          <w:snapToGrid w:val="0"/>
                          <w:spacing w:line="240" w:lineRule="atLeast"/>
                          <w:jc w:val="center"/>
                          <w:rPr>
                            <w:sz w:val="18"/>
                            <w:szCs w:val="18"/>
                          </w:rPr>
                        </w:pPr>
                        <w:r>
                          <w:rPr>
                            <w:rFonts w:hint="eastAsia"/>
                            <w:sz w:val="18"/>
                            <w:szCs w:val="18"/>
                          </w:rPr>
                          <w:t>未分配利润</w:t>
                        </w:r>
                      </w:p>
                    </w:tc>
                  </w:sdtContent>
                </w:sdt>
                <w:tc>
                  <w:tcPr>
                    <w:tcW w:w="141" w:type="pct"/>
                    <w:vMerge w:val="restart"/>
                    <w:vAlign w:val="center"/>
                  </w:tcPr>
                  <w:sdt>
                    <w:sdtPr>
                      <w:rPr>
                        <w:rFonts w:hint="eastAsia"/>
                        <w:sz w:val="18"/>
                        <w:szCs w:val="18"/>
                      </w:rPr>
                      <w:tag w:val="_PLD_de6da1e2128f48e49564e44af75ff7ab"/>
                      <w:id w:val="81804495"/>
                      <w:lock w:val="sdtLocked"/>
                    </w:sdtPr>
                    <w:sdtEndPr/>
                    <w:sdtContent>
                      <w:sdt>
                        <w:sdtPr>
                          <w:rPr>
                            <w:rFonts w:hint="eastAsia"/>
                            <w:sz w:val="18"/>
                            <w:szCs w:val="18"/>
                          </w:rPr>
                          <w:tag w:val="_PLD_ff5e808cf3794086a9aee4c489a9f6eb"/>
                          <w:id w:val="1924535406"/>
                          <w:lock w:val="sdtLocked"/>
                          <w:placeholder>
                            <w:docPart w:val="GBC11111111111111111111111111111"/>
                          </w:placeholder>
                        </w:sdtPr>
                        <w:sdtEndPr/>
                        <w:sdtContent>
                          <w:p w14:paraId="5E9493DF" w14:textId="77777777" w:rsidR="00471D53" w:rsidRDefault="004F686E">
                            <w:pPr>
                              <w:jc w:val="center"/>
                              <w:rPr>
                                <w:sz w:val="18"/>
                                <w:szCs w:val="18"/>
                              </w:rPr>
                            </w:pPr>
                            <w:r>
                              <w:rPr>
                                <w:rFonts w:hint="eastAsia"/>
                                <w:sz w:val="18"/>
                                <w:szCs w:val="18"/>
                              </w:rPr>
                              <w:t>其他</w:t>
                            </w:r>
                          </w:p>
                        </w:sdtContent>
                      </w:sdt>
                    </w:sdtContent>
                  </w:sdt>
                </w:tc>
                <w:tc>
                  <w:tcPr>
                    <w:tcW w:w="467" w:type="pct"/>
                    <w:vMerge w:val="restart"/>
                    <w:vAlign w:val="center"/>
                  </w:tcPr>
                  <w:sdt>
                    <w:sdtPr>
                      <w:rPr>
                        <w:rFonts w:hint="eastAsia"/>
                        <w:sz w:val="18"/>
                        <w:szCs w:val="18"/>
                      </w:rPr>
                      <w:tag w:val="_PLD_e6df9793a438430a8df9730b2cdd8a99"/>
                      <w:id w:val="406659476"/>
                      <w:lock w:val="sdtLocked"/>
                    </w:sdtPr>
                    <w:sdtEndPr/>
                    <w:sdtContent>
                      <w:p w14:paraId="71F44737" w14:textId="77777777" w:rsidR="00471D53" w:rsidRDefault="004F686E">
                        <w:pPr>
                          <w:jc w:val="center"/>
                          <w:rPr>
                            <w:sz w:val="18"/>
                            <w:szCs w:val="18"/>
                          </w:rPr>
                        </w:pPr>
                        <w:r>
                          <w:rPr>
                            <w:rFonts w:hint="eastAsia"/>
                            <w:sz w:val="18"/>
                            <w:szCs w:val="18"/>
                          </w:rPr>
                          <w:t>小计</w:t>
                        </w:r>
                      </w:p>
                    </w:sdtContent>
                  </w:sdt>
                </w:tc>
                <w:tc>
                  <w:tcPr>
                    <w:tcW w:w="506" w:type="pct"/>
                    <w:vMerge/>
                  </w:tcPr>
                  <w:p w14:paraId="1F46FAED" w14:textId="77777777" w:rsidR="00471D53" w:rsidRDefault="00B664AF">
                    <w:pPr>
                      <w:jc w:val="center"/>
                      <w:rPr>
                        <w:sz w:val="18"/>
                        <w:szCs w:val="18"/>
                      </w:rPr>
                    </w:pPr>
                  </w:p>
                </w:tc>
                <w:tc>
                  <w:tcPr>
                    <w:tcW w:w="449" w:type="pct"/>
                    <w:vMerge/>
                  </w:tcPr>
                  <w:p w14:paraId="01150B60" w14:textId="77777777" w:rsidR="00471D53" w:rsidRDefault="00B664AF">
                    <w:pPr>
                      <w:jc w:val="center"/>
                      <w:rPr>
                        <w:sz w:val="18"/>
                        <w:szCs w:val="18"/>
                      </w:rPr>
                    </w:pPr>
                  </w:p>
                </w:tc>
              </w:tr>
              <w:tr w:rsidR="00471D53" w14:paraId="289A5CF3" w14:textId="77777777" w:rsidTr="00471D53">
                <w:trPr>
                  <w:cantSplit/>
                  <w:trHeight w:val="303"/>
                </w:trPr>
                <w:tc>
                  <w:tcPr>
                    <w:tcW w:w="319" w:type="pct"/>
                    <w:vMerge/>
                  </w:tcPr>
                  <w:p w14:paraId="11B185AC" w14:textId="77777777" w:rsidR="00471D53" w:rsidRDefault="00B664AF" w:rsidP="00471D53">
                    <w:pPr>
                      <w:snapToGrid w:val="0"/>
                      <w:spacing w:line="240" w:lineRule="atLeast"/>
                      <w:ind w:rightChars="-759" w:right="-1594"/>
                      <w:rPr>
                        <w:sz w:val="18"/>
                        <w:szCs w:val="18"/>
                      </w:rPr>
                    </w:pPr>
                  </w:p>
                </w:tc>
                <w:tc>
                  <w:tcPr>
                    <w:tcW w:w="449" w:type="pct"/>
                    <w:vMerge/>
                  </w:tcPr>
                  <w:p w14:paraId="6261D3D6" w14:textId="77777777" w:rsidR="00471D53" w:rsidRDefault="00B664AF">
                    <w:pPr>
                      <w:snapToGrid w:val="0"/>
                      <w:spacing w:line="240" w:lineRule="atLeast"/>
                      <w:jc w:val="center"/>
                      <w:rPr>
                        <w:sz w:val="18"/>
                        <w:szCs w:val="18"/>
                      </w:rPr>
                    </w:pPr>
                  </w:p>
                </w:tc>
                <w:sdt>
                  <w:sdtPr>
                    <w:tag w:val="_PLD_052ae87eff474159aaedec0c5ce4bb50"/>
                    <w:id w:val="1979564914"/>
                    <w:lock w:val="sdtLocked"/>
                  </w:sdtPr>
                  <w:sdtEndPr/>
                  <w:sdtContent>
                    <w:tc>
                      <w:tcPr>
                        <w:tcW w:w="141" w:type="pct"/>
                        <w:vAlign w:val="center"/>
                      </w:tcPr>
                      <w:p w14:paraId="5E08B1B6" w14:textId="77777777" w:rsidR="00471D53" w:rsidRDefault="004F686E">
                        <w:pPr>
                          <w:jc w:val="center"/>
                          <w:rPr>
                            <w:sz w:val="18"/>
                            <w:szCs w:val="18"/>
                          </w:rPr>
                        </w:pPr>
                        <w:r>
                          <w:rPr>
                            <w:rFonts w:hint="eastAsia"/>
                            <w:sz w:val="18"/>
                            <w:szCs w:val="18"/>
                          </w:rPr>
                          <w:t>优先股</w:t>
                        </w:r>
                      </w:p>
                    </w:tc>
                  </w:sdtContent>
                </w:sdt>
                <w:sdt>
                  <w:sdtPr>
                    <w:tag w:val="_PLD_f40d311f528a48d8a47457e11ad5ccd5"/>
                    <w:id w:val="1685794027"/>
                    <w:lock w:val="sdtLocked"/>
                  </w:sdtPr>
                  <w:sdtEndPr/>
                  <w:sdtContent>
                    <w:tc>
                      <w:tcPr>
                        <w:tcW w:w="141" w:type="pct"/>
                        <w:vAlign w:val="center"/>
                      </w:tcPr>
                      <w:p w14:paraId="7D2AE1B4" w14:textId="77777777" w:rsidR="00471D53" w:rsidRDefault="004F686E">
                        <w:pPr>
                          <w:jc w:val="center"/>
                          <w:rPr>
                            <w:sz w:val="18"/>
                            <w:szCs w:val="18"/>
                          </w:rPr>
                        </w:pPr>
                        <w:r>
                          <w:rPr>
                            <w:rFonts w:hint="eastAsia"/>
                            <w:sz w:val="18"/>
                            <w:szCs w:val="18"/>
                          </w:rPr>
                          <w:t>永续债</w:t>
                        </w:r>
                      </w:p>
                    </w:tc>
                  </w:sdtContent>
                </w:sdt>
                <w:sdt>
                  <w:sdtPr>
                    <w:tag w:val="_PLD_90f98adf8eaf44078005d57f570c4291"/>
                    <w:id w:val="-1883627393"/>
                    <w:lock w:val="sdtLocked"/>
                  </w:sdtPr>
                  <w:sdtEndPr/>
                  <w:sdtContent>
                    <w:tc>
                      <w:tcPr>
                        <w:tcW w:w="141" w:type="pct"/>
                        <w:vAlign w:val="center"/>
                      </w:tcPr>
                      <w:p w14:paraId="1D8F4A60" w14:textId="77777777" w:rsidR="00471D53" w:rsidRDefault="004F686E">
                        <w:pPr>
                          <w:jc w:val="center"/>
                          <w:rPr>
                            <w:sz w:val="18"/>
                            <w:szCs w:val="18"/>
                          </w:rPr>
                        </w:pPr>
                        <w:r>
                          <w:rPr>
                            <w:rFonts w:hint="eastAsia"/>
                            <w:sz w:val="18"/>
                            <w:szCs w:val="18"/>
                          </w:rPr>
                          <w:t>其他</w:t>
                        </w:r>
                      </w:p>
                    </w:tc>
                  </w:sdtContent>
                </w:sdt>
                <w:tc>
                  <w:tcPr>
                    <w:tcW w:w="467" w:type="pct"/>
                    <w:vMerge/>
                  </w:tcPr>
                  <w:p w14:paraId="21D75970" w14:textId="77777777" w:rsidR="00471D53" w:rsidRDefault="00B664AF">
                    <w:pPr>
                      <w:snapToGrid w:val="0"/>
                      <w:spacing w:line="240" w:lineRule="atLeast"/>
                      <w:jc w:val="center"/>
                      <w:rPr>
                        <w:sz w:val="18"/>
                        <w:szCs w:val="18"/>
                      </w:rPr>
                    </w:pPr>
                  </w:p>
                </w:tc>
                <w:tc>
                  <w:tcPr>
                    <w:tcW w:w="204" w:type="pct"/>
                    <w:vMerge/>
                  </w:tcPr>
                  <w:p w14:paraId="5D8ECF83" w14:textId="77777777" w:rsidR="00471D53" w:rsidRDefault="00B664AF">
                    <w:pPr>
                      <w:snapToGrid w:val="0"/>
                      <w:spacing w:line="240" w:lineRule="atLeast"/>
                      <w:jc w:val="center"/>
                      <w:rPr>
                        <w:sz w:val="18"/>
                        <w:szCs w:val="18"/>
                      </w:rPr>
                    </w:pPr>
                  </w:p>
                </w:tc>
                <w:tc>
                  <w:tcPr>
                    <w:tcW w:w="396" w:type="pct"/>
                    <w:vMerge/>
                  </w:tcPr>
                  <w:p w14:paraId="4ABBCCC6" w14:textId="77777777" w:rsidR="00471D53" w:rsidRDefault="00B664AF">
                    <w:pPr>
                      <w:snapToGrid w:val="0"/>
                      <w:spacing w:line="240" w:lineRule="atLeast"/>
                      <w:jc w:val="center"/>
                      <w:rPr>
                        <w:sz w:val="18"/>
                        <w:szCs w:val="18"/>
                      </w:rPr>
                    </w:pPr>
                  </w:p>
                </w:tc>
                <w:tc>
                  <w:tcPr>
                    <w:tcW w:w="141" w:type="pct"/>
                    <w:vMerge/>
                  </w:tcPr>
                  <w:p w14:paraId="21ABAF42" w14:textId="77777777" w:rsidR="00471D53" w:rsidRDefault="00B664AF">
                    <w:pPr>
                      <w:snapToGrid w:val="0"/>
                      <w:spacing w:line="240" w:lineRule="atLeast"/>
                      <w:jc w:val="center"/>
                      <w:rPr>
                        <w:sz w:val="18"/>
                        <w:szCs w:val="18"/>
                      </w:rPr>
                    </w:pPr>
                  </w:p>
                </w:tc>
                <w:tc>
                  <w:tcPr>
                    <w:tcW w:w="423" w:type="pct"/>
                    <w:vMerge/>
                  </w:tcPr>
                  <w:p w14:paraId="526F3CF5" w14:textId="77777777" w:rsidR="00471D53" w:rsidRDefault="00B664AF">
                    <w:pPr>
                      <w:snapToGrid w:val="0"/>
                      <w:spacing w:line="240" w:lineRule="atLeast"/>
                      <w:jc w:val="center"/>
                      <w:rPr>
                        <w:sz w:val="18"/>
                        <w:szCs w:val="18"/>
                      </w:rPr>
                    </w:pPr>
                  </w:p>
                </w:tc>
                <w:tc>
                  <w:tcPr>
                    <w:tcW w:w="141" w:type="pct"/>
                    <w:vMerge/>
                  </w:tcPr>
                  <w:p w14:paraId="108275DF" w14:textId="77777777" w:rsidR="00471D53" w:rsidRDefault="00B664AF">
                    <w:pPr>
                      <w:snapToGrid w:val="0"/>
                      <w:spacing w:line="240" w:lineRule="atLeast"/>
                      <w:jc w:val="center"/>
                      <w:rPr>
                        <w:sz w:val="18"/>
                        <w:szCs w:val="18"/>
                      </w:rPr>
                    </w:pPr>
                  </w:p>
                </w:tc>
                <w:tc>
                  <w:tcPr>
                    <w:tcW w:w="476" w:type="pct"/>
                    <w:vMerge/>
                  </w:tcPr>
                  <w:p w14:paraId="77F0B0F1" w14:textId="77777777" w:rsidR="00471D53" w:rsidRDefault="00B664AF">
                    <w:pPr>
                      <w:snapToGrid w:val="0"/>
                      <w:spacing w:line="240" w:lineRule="atLeast"/>
                      <w:jc w:val="center"/>
                      <w:rPr>
                        <w:sz w:val="18"/>
                        <w:szCs w:val="18"/>
                      </w:rPr>
                    </w:pPr>
                  </w:p>
                </w:tc>
                <w:tc>
                  <w:tcPr>
                    <w:tcW w:w="141" w:type="pct"/>
                    <w:vMerge/>
                  </w:tcPr>
                  <w:p w14:paraId="67C111F2" w14:textId="77777777" w:rsidR="00471D53" w:rsidRDefault="00B664AF">
                    <w:pPr>
                      <w:jc w:val="center"/>
                      <w:rPr>
                        <w:sz w:val="18"/>
                        <w:szCs w:val="18"/>
                      </w:rPr>
                    </w:pPr>
                  </w:p>
                </w:tc>
                <w:tc>
                  <w:tcPr>
                    <w:tcW w:w="467" w:type="pct"/>
                    <w:vMerge/>
                  </w:tcPr>
                  <w:p w14:paraId="74DA6F9D" w14:textId="77777777" w:rsidR="00471D53" w:rsidRDefault="00B664AF">
                    <w:pPr>
                      <w:jc w:val="center"/>
                      <w:rPr>
                        <w:sz w:val="18"/>
                        <w:szCs w:val="18"/>
                      </w:rPr>
                    </w:pPr>
                  </w:p>
                </w:tc>
                <w:tc>
                  <w:tcPr>
                    <w:tcW w:w="506" w:type="pct"/>
                    <w:vMerge/>
                  </w:tcPr>
                  <w:p w14:paraId="7AF8E027" w14:textId="77777777" w:rsidR="00471D53" w:rsidRDefault="00B664AF">
                    <w:pPr>
                      <w:jc w:val="center"/>
                      <w:rPr>
                        <w:sz w:val="18"/>
                        <w:szCs w:val="18"/>
                      </w:rPr>
                    </w:pPr>
                  </w:p>
                </w:tc>
                <w:tc>
                  <w:tcPr>
                    <w:tcW w:w="449" w:type="pct"/>
                    <w:vMerge/>
                    <w:tcBorders>
                      <w:bottom w:val="nil"/>
                    </w:tcBorders>
                  </w:tcPr>
                  <w:p w14:paraId="38BC3DC4" w14:textId="77777777" w:rsidR="00471D53" w:rsidRDefault="00B664AF">
                    <w:pPr>
                      <w:jc w:val="center"/>
                      <w:rPr>
                        <w:sz w:val="18"/>
                        <w:szCs w:val="18"/>
                      </w:rPr>
                    </w:pPr>
                  </w:p>
                </w:tc>
              </w:tr>
              <w:tr w:rsidR="00471D53" w14:paraId="43E3955B" w14:textId="77777777" w:rsidTr="00471D53">
                <w:sdt>
                  <w:sdtPr>
                    <w:tag w:val="_PLD_7e9607e7cfb34d74bf0fce08e0866d34"/>
                    <w:id w:val="65384197"/>
                    <w:lock w:val="sdtLocked"/>
                  </w:sdtPr>
                  <w:sdtEndPr/>
                  <w:sdtContent>
                    <w:tc>
                      <w:tcPr>
                        <w:tcW w:w="319" w:type="pct"/>
                      </w:tcPr>
                      <w:p w14:paraId="44EC9A76" w14:textId="77777777" w:rsidR="00471D53" w:rsidRDefault="004F686E">
                        <w:pPr>
                          <w:rPr>
                            <w:sz w:val="18"/>
                            <w:szCs w:val="18"/>
                          </w:rPr>
                        </w:pPr>
                        <w:r>
                          <w:rPr>
                            <w:sz w:val="18"/>
                            <w:szCs w:val="18"/>
                          </w:rPr>
                          <w:t>一、上年</w:t>
                        </w:r>
                        <w:r>
                          <w:rPr>
                            <w:rFonts w:hint="eastAsia"/>
                            <w:sz w:val="18"/>
                            <w:szCs w:val="18"/>
                          </w:rPr>
                          <w:t>期</w:t>
                        </w:r>
                        <w:r>
                          <w:rPr>
                            <w:sz w:val="18"/>
                            <w:szCs w:val="18"/>
                          </w:rPr>
                          <w:t>末余额</w:t>
                        </w:r>
                      </w:p>
                    </w:tc>
                  </w:sdtContent>
                </w:sdt>
                <w:tc>
                  <w:tcPr>
                    <w:tcW w:w="449" w:type="pct"/>
                    <w:vAlign w:val="center"/>
                  </w:tcPr>
                  <w:p w14:paraId="6FF79195" w14:textId="0CBCC7E2" w:rsidR="00471D53" w:rsidRPr="00640F2D" w:rsidRDefault="004F686E">
                    <w:pPr>
                      <w:jc w:val="right"/>
                      <w:rPr>
                        <w:sz w:val="15"/>
                        <w:szCs w:val="15"/>
                      </w:rPr>
                    </w:pPr>
                    <w:r w:rsidRPr="00640F2D">
                      <w:rPr>
                        <w:rFonts w:hint="eastAsia"/>
                        <w:sz w:val="15"/>
                        <w:szCs w:val="15"/>
                      </w:rPr>
                      <w:t>422,000,000.00</w:t>
                    </w:r>
                  </w:p>
                </w:tc>
                <w:tc>
                  <w:tcPr>
                    <w:tcW w:w="141" w:type="pct"/>
                    <w:vAlign w:val="center"/>
                  </w:tcPr>
                  <w:p w14:paraId="0799078E" w14:textId="77777777" w:rsidR="00471D53" w:rsidRPr="00640F2D" w:rsidRDefault="004F686E">
                    <w:pPr>
                      <w:jc w:val="right"/>
                      <w:rPr>
                        <w:color w:val="FFFFFF"/>
                        <w:sz w:val="15"/>
                        <w:szCs w:val="15"/>
                      </w:rPr>
                    </w:pPr>
                    <w:r w:rsidRPr="00640F2D">
                      <w:rPr>
                        <w:rFonts w:hint="eastAsia"/>
                        <w:color w:val="FFFFFF"/>
                        <w:sz w:val="15"/>
                        <w:szCs w:val="15"/>
                      </w:rPr>
                      <w:t xml:space="preserve">　</w:t>
                    </w:r>
                  </w:p>
                </w:tc>
                <w:tc>
                  <w:tcPr>
                    <w:tcW w:w="141" w:type="pct"/>
                    <w:vAlign w:val="center"/>
                  </w:tcPr>
                  <w:p w14:paraId="14C380F8" w14:textId="77777777" w:rsidR="00471D53" w:rsidRPr="00640F2D" w:rsidRDefault="004F686E">
                    <w:pPr>
                      <w:jc w:val="right"/>
                      <w:rPr>
                        <w:color w:val="FFFFFF"/>
                        <w:sz w:val="15"/>
                        <w:szCs w:val="15"/>
                      </w:rPr>
                    </w:pPr>
                    <w:r w:rsidRPr="00640F2D">
                      <w:rPr>
                        <w:rFonts w:hint="eastAsia"/>
                        <w:color w:val="FFFFFF"/>
                        <w:sz w:val="15"/>
                        <w:szCs w:val="15"/>
                      </w:rPr>
                      <w:t xml:space="preserve">　</w:t>
                    </w:r>
                  </w:p>
                </w:tc>
                <w:tc>
                  <w:tcPr>
                    <w:tcW w:w="141" w:type="pct"/>
                    <w:vAlign w:val="center"/>
                  </w:tcPr>
                  <w:p w14:paraId="2B376E48" w14:textId="77777777" w:rsidR="00471D53" w:rsidRPr="00640F2D" w:rsidRDefault="004F686E">
                    <w:pPr>
                      <w:jc w:val="right"/>
                      <w:rPr>
                        <w:color w:val="FFFFFF"/>
                        <w:sz w:val="15"/>
                        <w:szCs w:val="15"/>
                      </w:rPr>
                    </w:pPr>
                    <w:r w:rsidRPr="00640F2D">
                      <w:rPr>
                        <w:rFonts w:hint="eastAsia"/>
                        <w:color w:val="FFFFFF"/>
                        <w:sz w:val="15"/>
                        <w:szCs w:val="15"/>
                      </w:rPr>
                      <w:t xml:space="preserve">　</w:t>
                    </w:r>
                  </w:p>
                </w:tc>
                <w:tc>
                  <w:tcPr>
                    <w:tcW w:w="467" w:type="pct"/>
                    <w:vAlign w:val="center"/>
                  </w:tcPr>
                  <w:p w14:paraId="088E7EE0" w14:textId="414CE5B8" w:rsidR="00471D53" w:rsidRPr="00640F2D" w:rsidRDefault="004F686E">
                    <w:pPr>
                      <w:jc w:val="right"/>
                      <w:rPr>
                        <w:sz w:val="15"/>
                        <w:szCs w:val="15"/>
                      </w:rPr>
                    </w:pPr>
                    <w:r w:rsidRPr="00640F2D">
                      <w:rPr>
                        <w:rFonts w:hint="eastAsia"/>
                        <w:sz w:val="15"/>
                        <w:szCs w:val="15"/>
                      </w:rPr>
                      <w:t>687,349,089.60</w:t>
                    </w:r>
                  </w:p>
                </w:tc>
                <w:tc>
                  <w:tcPr>
                    <w:tcW w:w="204" w:type="pct"/>
                    <w:vAlign w:val="center"/>
                  </w:tcPr>
                  <w:p w14:paraId="5DA60C1F" w14:textId="77777777" w:rsidR="00471D53" w:rsidRPr="00640F2D" w:rsidRDefault="004F686E">
                    <w:pPr>
                      <w:jc w:val="right"/>
                      <w:rPr>
                        <w:color w:val="FFFFFF"/>
                        <w:sz w:val="15"/>
                        <w:szCs w:val="15"/>
                      </w:rPr>
                    </w:pPr>
                    <w:r w:rsidRPr="00640F2D">
                      <w:rPr>
                        <w:rFonts w:hint="eastAsia"/>
                        <w:color w:val="FFFFFF"/>
                        <w:sz w:val="15"/>
                        <w:szCs w:val="15"/>
                      </w:rPr>
                      <w:t xml:space="preserve">　</w:t>
                    </w:r>
                  </w:p>
                </w:tc>
                <w:tc>
                  <w:tcPr>
                    <w:tcW w:w="396" w:type="pct"/>
                    <w:vAlign w:val="center"/>
                  </w:tcPr>
                  <w:p w14:paraId="462BFCAB" w14:textId="3E159BA9" w:rsidR="00471D53" w:rsidRPr="00640F2D" w:rsidRDefault="004F686E">
                    <w:pPr>
                      <w:jc w:val="right"/>
                      <w:rPr>
                        <w:sz w:val="15"/>
                        <w:szCs w:val="15"/>
                      </w:rPr>
                    </w:pPr>
                    <w:r w:rsidRPr="00640F2D">
                      <w:rPr>
                        <w:rFonts w:hint="eastAsia"/>
                        <w:sz w:val="15"/>
                        <w:szCs w:val="15"/>
                      </w:rPr>
                      <w:t>2,754,544.50</w:t>
                    </w:r>
                  </w:p>
                </w:tc>
                <w:tc>
                  <w:tcPr>
                    <w:tcW w:w="141" w:type="pct"/>
                    <w:vAlign w:val="center"/>
                  </w:tcPr>
                  <w:p w14:paraId="20890C2E" w14:textId="77777777" w:rsidR="00471D53" w:rsidRPr="00640F2D" w:rsidRDefault="004F686E">
                    <w:pPr>
                      <w:jc w:val="right"/>
                      <w:rPr>
                        <w:color w:val="FFFFFF"/>
                        <w:sz w:val="15"/>
                        <w:szCs w:val="15"/>
                      </w:rPr>
                    </w:pPr>
                    <w:r w:rsidRPr="00640F2D">
                      <w:rPr>
                        <w:rFonts w:hint="eastAsia"/>
                        <w:color w:val="FFFFFF"/>
                        <w:sz w:val="15"/>
                        <w:szCs w:val="15"/>
                      </w:rPr>
                      <w:t xml:space="preserve">　</w:t>
                    </w:r>
                  </w:p>
                </w:tc>
                <w:tc>
                  <w:tcPr>
                    <w:tcW w:w="423" w:type="pct"/>
                    <w:vAlign w:val="center"/>
                  </w:tcPr>
                  <w:p w14:paraId="44A5154E" w14:textId="5E0177BD" w:rsidR="00471D53" w:rsidRPr="00640F2D" w:rsidRDefault="004F686E">
                    <w:pPr>
                      <w:jc w:val="right"/>
                      <w:rPr>
                        <w:sz w:val="15"/>
                        <w:szCs w:val="15"/>
                      </w:rPr>
                    </w:pPr>
                    <w:r w:rsidRPr="00640F2D">
                      <w:rPr>
                        <w:rFonts w:hint="eastAsia"/>
                        <w:sz w:val="15"/>
                        <w:szCs w:val="15"/>
                      </w:rPr>
                      <w:t>45,665,647.68</w:t>
                    </w:r>
                  </w:p>
                </w:tc>
                <w:tc>
                  <w:tcPr>
                    <w:tcW w:w="141" w:type="pct"/>
                    <w:vAlign w:val="center"/>
                  </w:tcPr>
                  <w:p w14:paraId="0C2F2DF3" w14:textId="77777777" w:rsidR="00471D53" w:rsidRPr="00640F2D" w:rsidRDefault="004F686E">
                    <w:pPr>
                      <w:jc w:val="right"/>
                      <w:rPr>
                        <w:color w:val="FFFFFF"/>
                        <w:sz w:val="15"/>
                        <w:szCs w:val="15"/>
                      </w:rPr>
                    </w:pPr>
                    <w:r w:rsidRPr="00640F2D">
                      <w:rPr>
                        <w:rFonts w:hint="eastAsia"/>
                        <w:color w:val="FFFFFF"/>
                        <w:sz w:val="15"/>
                        <w:szCs w:val="15"/>
                      </w:rPr>
                      <w:t xml:space="preserve">　</w:t>
                    </w:r>
                  </w:p>
                </w:tc>
                <w:tc>
                  <w:tcPr>
                    <w:tcW w:w="476" w:type="pct"/>
                    <w:vAlign w:val="center"/>
                  </w:tcPr>
                  <w:p w14:paraId="09028A3D" w14:textId="795B633A" w:rsidR="00471D53" w:rsidRPr="00640F2D" w:rsidRDefault="004F686E">
                    <w:pPr>
                      <w:jc w:val="right"/>
                      <w:rPr>
                        <w:sz w:val="15"/>
                        <w:szCs w:val="15"/>
                      </w:rPr>
                    </w:pPr>
                    <w:r w:rsidRPr="00640F2D">
                      <w:rPr>
                        <w:rFonts w:hint="eastAsia"/>
                        <w:sz w:val="15"/>
                        <w:szCs w:val="15"/>
                      </w:rPr>
                      <w:t>-820,483,186.46</w:t>
                    </w:r>
                  </w:p>
                </w:tc>
                <w:tc>
                  <w:tcPr>
                    <w:tcW w:w="141" w:type="pct"/>
                    <w:vAlign w:val="center"/>
                  </w:tcPr>
                  <w:p w14:paraId="417DFA29" w14:textId="77777777" w:rsidR="00471D53" w:rsidRPr="00640F2D" w:rsidRDefault="004F686E">
                    <w:pPr>
                      <w:jc w:val="right"/>
                      <w:rPr>
                        <w:color w:val="FFFFFF"/>
                        <w:sz w:val="15"/>
                        <w:szCs w:val="15"/>
                      </w:rPr>
                    </w:pPr>
                    <w:r w:rsidRPr="00640F2D">
                      <w:rPr>
                        <w:rFonts w:hint="eastAsia"/>
                        <w:color w:val="FFFFFF"/>
                        <w:sz w:val="15"/>
                        <w:szCs w:val="15"/>
                      </w:rPr>
                      <w:t xml:space="preserve">　</w:t>
                    </w:r>
                  </w:p>
                </w:tc>
                <w:tc>
                  <w:tcPr>
                    <w:tcW w:w="467" w:type="pct"/>
                    <w:vAlign w:val="center"/>
                  </w:tcPr>
                  <w:p w14:paraId="18F2D2FC" w14:textId="41FA928B" w:rsidR="00471D53" w:rsidRPr="00640F2D" w:rsidRDefault="004F686E">
                    <w:pPr>
                      <w:jc w:val="right"/>
                      <w:rPr>
                        <w:sz w:val="15"/>
                        <w:szCs w:val="15"/>
                      </w:rPr>
                    </w:pPr>
                    <w:r w:rsidRPr="00640F2D">
                      <w:rPr>
                        <w:rFonts w:hint="eastAsia"/>
                        <w:sz w:val="15"/>
                        <w:szCs w:val="15"/>
                      </w:rPr>
                      <w:t>337,286,095.32</w:t>
                    </w:r>
                  </w:p>
                </w:tc>
                <w:tc>
                  <w:tcPr>
                    <w:tcW w:w="506" w:type="pct"/>
                    <w:vAlign w:val="center"/>
                  </w:tcPr>
                  <w:p w14:paraId="3694CA17" w14:textId="44D4BCAE" w:rsidR="00471D53" w:rsidRPr="00640F2D" w:rsidRDefault="004F686E">
                    <w:pPr>
                      <w:jc w:val="right"/>
                      <w:rPr>
                        <w:sz w:val="15"/>
                        <w:szCs w:val="15"/>
                      </w:rPr>
                    </w:pPr>
                    <w:r w:rsidRPr="00640F2D">
                      <w:rPr>
                        <w:rFonts w:hint="eastAsia"/>
                        <w:sz w:val="15"/>
                        <w:szCs w:val="15"/>
                      </w:rPr>
                      <w:t>363,339,156.20</w:t>
                    </w:r>
                  </w:p>
                </w:tc>
                <w:tc>
                  <w:tcPr>
                    <w:tcW w:w="449" w:type="pct"/>
                    <w:vAlign w:val="center"/>
                  </w:tcPr>
                  <w:p w14:paraId="0519A535" w14:textId="3057456A" w:rsidR="00471D53" w:rsidRPr="00640F2D" w:rsidRDefault="004F686E">
                    <w:pPr>
                      <w:jc w:val="right"/>
                      <w:rPr>
                        <w:sz w:val="15"/>
                        <w:szCs w:val="15"/>
                      </w:rPr>
                    </w:pPr>
                    <w:r w:rsidRPr="00640F2D">
                      <w:rPr>
                        <w:rFonts w:hint="eastAsia"/>
                        <w:sz w:val="15"/>
                        <w:szCs w:val="15"/>
                      </w:rPr>
                      <w:t>700,625,251.52</w:t>
                    </w:r>
                  </w:p>
                </w:tc>
              </w:tr>
              <w:tr w:rsidR="00471D53" w14:paraId="516139A9" w14:textId="77777777" w:rsidTr="00471D53">
                <w:sdt>
                  <w:sdtPr>
                    <w:tag w:val="_PLD_fd33bb0caf614a75b319dc40c7515dcc"/>
                    <w:id w:val="-1432657335"/>
                    <w:lock w:val="sdtLocked"/>
                  </w:sdtPr>
                  <w:sdtEndPr/>
                  <w:sdtContent>
                    <w:tc>
                      <w:tcPr>
                        <w:tcW w:w="319" w:type="pct"/>
                      </w:tcPr>
                      <w:p w14:paraId="0CE59941" w14:textId="77777777" w:rsidR="00471D53" w:rsidRDefault="004F686E">
                        <w:pPr>
                          <w:rPr>
                            <w:sz w:val="18"/>
                            <w:szCs w:val="18"/>
                          </w:rPr>
                        </w:pPr>
                        <w:r>
                          <w:rPr>
                            <w:rFonts w:hint="eastAsia"/>
                            <w:sz w:val="18"/>
                            <w:szCs w:val="18"/>
                          </w:rPr>
                          <w:t>加：</w:t>
                        </w:r>
                        <w:r>
                          <w:rPr>
                            <w:sz w:val="18"/>
                            <w:szCs w:val="18"/>
                          </w:rPr>
                          <w:t>会计政策变更</w:t>
                        </w:r>
                      </w:p>
                    </w:tc>
                  </w:sdtContent>
                </w:sdt>
                <w:tc>
                  <w:tcPr>
                    <w:tcW w:w="449" w:type="pct"/>
                  </w:tcPr>
                  <w:p w14:paraId="1A1B9486" w14:textId="77777777" w:rsidR="00471D53" w:rsidRDefault="00B664AF">
                    <w:pPr>
                      <w:jc w:val="right"/>
                      <w:rPr>
                        <w:sz w:val="18"/>
                        <w:szCs w:val="18"/>
                      </w:rPr>
                    </w:pPr>
                  </w:p>
                </w:tc>
                <w:tc>
                  <w:tcPr>
                    <w:tcW w:w="141" w:type="pct"/>
                  </w:tcPr>
                  <w:p w14:paraId="2F1D9898" w14:textId="77777777" w:rsidR="00471D53" w:rsidRDefault="00B664AF">
                    <w:pPr>
                      <w:jc w:val="right"/>
                      <w:rPr>
                        <w:sz w:val="18"/>
                        <w:szCs w:val="18"/>
                      </w:rPr>
                    </w:pPr>
                  </w:p>
                </w:tc>
                <w:tc>
                  <w:tcPr>
                    <w:tcW w:w="141" w:type="pct"/>
                  </w:tcPr>
                  <w:p w14:paraId="1D73D6BD" w14:textId="77777777" w:rsidR="00471D53" w:rsidRDefault="00B664AF">
                    <w:pPr>
                      <w:jc w:val="right"/>
                      <w:rPr>
                        <w:sz w:val="18"/>
                        <w:szCs w:val="18"/>
                      </w:rPr>
                    </w:pPr>
                  </w:p>
                </w:tc>
                <w:tc>
                  <w:tcPr>
                    <w:tcW w:w="141" w:type="pct"/>
                  </w:tcPr>
                  <w:p w14:paraId="0001CA22" w14:textId="77777777" w:rsidR="00471D53" w:rsidRDefault="00B664AF">
                    <w:pPr>
                      <w:jc w:val="right"/>
                      <w:rPr>
                        <w:sz w:val="18"/>
                        <w:szCs w:val="18"/>
                      </w:rPr>
                    </w:pPr>
                  </w:p>
                </w:tc>
                <w:tc>
                  <w:tcPr>
                    <w:tcW w:w="467" w:type="pct"/>
                  </w:tcPr>
                  <w:p w14:paraId="5FB43A0A" w14:textId="77777777" w:rsidR="00471D53" w:rsidRDefault="00B664AF">
                    <w:pPr>
                      <w:jc w:val="right"/>
                      <w:rPr>
                        <w:sz w:val="18"/>
                        <w:szCs w:val="18"/>
                      </w:rPr>
                    </w:pPr>
                  </w:p>
                </w:tc>
                <w:tc>
                  <w:tcPr>
                    <w:tcW w:w="204" w:type="pct"/>
                  </w:tcPr>
                  <w:p w14:paraId="20237A9C" w14:textId="77777777" w:rsidR="00471D53" w:rsidRDefault="00B664AF">
                    <w:pPr>
                      <w:jc w:val="right"/>
                      <w:rPr>
                        <w:sz w:val="18"/>
                        <w:szCs w:val="18"/>
                      </w:rPr>
                    </w:pPr>
                  </w:p>
                </w:tc>
                <w:tc>
                  <w:tcPr>
                    <w:tcW w:w="396" w:type="pct"/>
                  </w:tcPr>
                  <w:p w14:paraId="0C23865F" w14:textId="77777777" w:rsidR="00471D53" w:rsidRDefault="00B664AF">
                    <w:pPr>
                      <w:jc w:val="right"/>
                      <w:rPr>
                        <w:sz w:val="18"/>
                        <w:szCs w:val="18"/>
                      </w:rPr>
                    </w:pPr>
                  </w:p>
                </w:tc>
                <w:tc>
                  <w:tcPr>
                    <w:tcW w:w="141" w:type="pct"/>
                  </w:tcPr>
                  <w:p w14:paraId="49E699DE" w14:textId="77777777" w:rsidR="00471D53" w:rsidRDefault="00B664AF">
                    <w:pPr>
                      <w:jc w:val="right"/>
                      <w:rPr>
                        <w:sz w:val="18"/>
                        <w:szCs w:val="18"/>
                      </w:rPr>
                    </w:pPr>
                  </w:p>
                </w:tc>
                <w:tc>
                  <w:tcPr>
                    <w:tcW w:w="423" w:type="pct"/>
                  </w:tcPr>
                  <w:p w14:paraId="2EA9ABB2" w14:textId="77777777" w:rsidR="00471D53" w:rsidRDefault="00B664AF">
                    <w:pPr>
                      <w:jc w:val="right"/>
                      <w:rPr>
                        <w:sz w:val="18"/>
                        <w:szCs w:val="18"/>
                      </w:rPr>
                    </w:pPr>
                  </w:p>
                </w:tc>
                <w:tc>
                  <w:tcPr>
                    <w:tcW w:w="141" w:type="pct"/>
                  </w:tcPr>
                  <w:p w14:paraId="3E2CA188" w14:textId="77777777" w:rsidR="00471D53" w:rsidRDefault="00B664AF">
                    <w:pPr>
                      <w:jc w:val="right"/>
                      <w:rPr>
                        <w:sz w:val="18"/>
                        <w:szCs w:val="18"/>
                      </w:rPr>
                    </w:pPr>
                  </w:p>
                </w:tc>
                <w:tc>
                  <w:tcPr>
                    <w:tcW w:w="476" w:type="pct"/>
                  </w:tcPr>
                  <w:p w14:paraId="513DBE63" w14:textId="77777777" w:rsidR="00471D53" w:rsidRDefault="00B664AF">
                    <w:pPr>
                      <w:jc w:val="right"/>
                      <w:rPr>
                        <w:sz w:val="18"/>
                        <w:szCs w:val="18"/>
                      </w:rPr>
                    </w:pPr>
                  </w:p>
                </w:tc>
                <w:tc>
                  <w:tcPr>
                    <w:tcW w:w="141" w:type="pct"/>
                  </w:tcPr>
                  <w:p w14:paraId="48BDCFF4" w14:textId="77777777" w:rsidR="00471D53" w:rsidRDefault="00B664AF">
                    <w:pPr>
                      <w:jc w:val="right"/>
                      <w:rPr>
                        <w:sz w:val="18"/>
                        <w:szCs w:val="18"/>
                      </w:rPr>
                    </w:pPr>
                  </w:p>
                </w:tc>
                <w:tc>
                  <w:tcPr>
                    <w:tcW w:w="467" w:type="pct"/>
                  </w:tcPr>
                  <w:p w14:paraId="34DFA460" w14:textId="77777777" w:rsidR="00471D53" w:rsidRDefault="00B664AF">
                    <w:pPr>
                      <w:jc w:val="right"/>
                      <w:rPr>
                        <w:sz w:val="18"/>
                        <w:szCs w:val="18"/>
                      </w:rPr>
                    </w:pPr>
                  </w:p>
                </w:tc>
                <w:tc>
                  <w:tcPr>
                    <w:tcW w:w="506" w:type="pct"/>
                  </w:tcPr>
                  <w:p w14:paraId="02B1BD76" w14:textId="77777777" w:rsidR="00471D53" w:rsidRDefault="00B664AF">
                    <w:pPr>
                      <w:jc w:val="right"/>
                      <w:rPr>
                        <w:sz w:val="18"/>
                        <w:szCs w:val="18"/>
                      </w:rPr>
                    </w:pPr>
                  </w:p>
                </w:tc>
                <w:tc>
                  <w:tcPr>
                    <w:tcW w:w="449" w:type="pct"/>
                  </w:tcPr>
                  <w:p w14:paraId="77BE0F63" w14:textId="77777777" w:rsidR="00471D53" w:rsidRDefault="00B664AF">
                    <w:pPr>
                      <w:jc w:val="right"/>
                      <w:rPr>
                        <w:sz w:val="18"/>
                        <w:szCs w:val="18"/>
                      </w:rPr>
                    </w:pPr>
                  </w:p>
                </w:tc>
              </w:tr>
              <w:tr w:rsidR="00471D53" w14:paraId="77CED51E" w14:textId="77777777" w:rsidTr="00471D53">
                <w:sdt>
                  <w:sdtPr>
                    <w:tag w:val="_PLD_15b4364437fa4ad39040010f7c204056"/>
                    <w:id w:val="-569123003"/>
                    <w:lock w:val="sdtLocked"/>
                  </w:sdtPr>
                  <w:sdtEndPr/>
                  <w:sdtContent>
                    <w:tc>
                      <w:tcPr>
                        <w:tcW w:w="319" w:type="pct"/>
                      </w:tcPr>
                      <w:p w14:paraId="19EDDA25" w14:textId="77777777" w:rsidR="00471D53" w:rsidRDefault="004F686E" w:rsidP="00471D53">
                        <w:pPr>
                          <w:ind w:firstLineChars="200" w:firstLine="420"/>
                          <w:rPr>
                            <w:sz w:val="18"/>
                            <w:szCs w:val="18"/>
                          </w:rPr>
                        </w:pPr>
                        <w:r>
                          <w:rPr>
                            <w:sz w:val="18"/>
                            <w:szCs w:val="18"/>
                          </w:rPr>
                          <w:t>前期差错更正</w:t>
                        </w:r>
                      </w:p>
                    </w:tc>
                  </w:sdtContent>
                </w:sdt>
                <w:tc>
                  <w:tcPr>
                    <w:tcW w:w="449" w:type="pct"/>
                  </w:tcPr>
                  <w:p w14:paraId="13D3B0E0" w14:textId="77777777" w:rsidR="00471D53" w:rsidRDefault="00B664AF">
                    <w:pPr>
                      <w:jc w:val="right"/>
                      <w:rPr>
                        <w:sz w:val="18"/>
                        <w:szCs w:val="18"/>
                      </w:rPr>
                    </w:pPr>
                  </w:p>
                </w:tc>
                <w:tc>
                  <w:tcPr>
                    <w:tcW w:w="141" w:type="pct"/>
                  </w:tcPr>
                  <w:p w14:paraId="3B3549D5" w14:textId="77777777" w:rsidR="00471D53" w:rsidRDefault="00B664AF">
                    <w:pPr>
                      <w:jc w:val="right"/>
                      <w:rPr>
                        <w:sz w:val="18"/>
                        <w:szCs w:val="18"/>
                      </w:rPr>
                    </w:pPr>
                  </w:p>
                </w:tc>
                <w:tc>
                  <w:tcPr>
                    <w:tcW w:w="141" w:type="pct"/>
                  </w:tcPr>
                  <w:p w14:paraId="065E3CA9" w14:textId="77777777" w:rsidR="00471D53" w:rsidRDefault="00B664AF">
                    <w:pPr>
                      <w:jc w:val="right"/>
                      <w:rPr>
                        <w:sz w:val="18"/>
                        <w:szCs w:val="18"/>
                      </w:rPr>
                    </w:pPr>
                  </w:p>
                </w:tc>
                <w:tc>
                  <w:tcPr>
                    <w:tcW w:w="141" w:type="pct"/>
                  </w:tcPr>
                  <w:p w14:paraId="6849CF6C" w14:textId="77777777" w:rsidR="00471D53" w:rsidRDefault="00B664AF">
                    <w:pPr>
                      <w:jc w:val="right"/>
                      <w:rPr>
                        <w:sz w:val="18"/>
                        <w:szCs w:val="18"/>
                      </w:rPr>
                    </w:pPr>
                  </w:p>
                </w:tc>
                <w:tc>
                  <w:tcPr>
                    <w:tcW w:w="467" w:type="pct"/>
                  </w:tcPr>
                  <w:p w14:paraId="72A74CA1" w14:textId="77777777" w:rsidR="00471D53" w:rsidRDefault="00B664AF">
                    <w:pPr>
                      <w:jc w:val="right"/>
                      <w:rPr>
                        <w:sz w:val="18"/>
                        <w:szCs w:val="18"/>
                      </w:rPr>
                    </w:pPr>
                  </w:p>
                </w:tc>
                <w:tc>
                  <w:tcPr>
                    <w:tcW w:w="204" w:type="pct"/>
                  </w:tcPr>
                  <w:p w14:paraId="1733B9FF" w14:textId="77777777" w:rsidR="00471D53" w:rsidRDefault="00B664AF">
                    <w:pPr>
                      <w:jc w:val="right"/>
                      <w:rPr>
                        <w:sz w:val="18"/>
                        <w:szCs w:val="18"/>
                      </w:rPr>
                    </w:pPr>
                  </w:p>
                </w:tc>
                <w:tc>
                  <w:tcPr>
                    <w:tcW w:w="396" w:type="pct"/>
                  </w:tcPr>
                  <w:p w14:paraId="367328B4" w14:textId="77777777" w:rsidR="00471D53" w:rsidRDefault="00B664AF">
                    <w:pPr>
                      <w:jc w:val="right"/>
                      <w:rPr>
                        <w:sz w:val="18"/>
                        <w:szCs w:val="18"/>
                      </w:rPr>
                    </w:pPr>
                  </w:p>
                </w:tc>
                <w:tc>
                  <w:tcPr>
                    <w:tcW w:w="141" w:type="pct"/>
                  </w:tcPr>
                  <w:p w14:paraId="7AED5CA6" w14:textId="77777777" w:rsidR="00471D53" w:rsidRDefault="00B664AF">
                    <w:pPr>
                      <w:jc w:val="right"/>
                      <w:rPr>
                        <w:sz w:val="18"/>
                        <w:szCs w:val="18"/>
                      </w:rPr>
                    </w:pPr>
                  </w:p>
                </w:tc>
                <w:tc>
                  <w:tcPr>
                    <w:tcW w:w="423" w:type="pct"/>
                  </w:tcPr>
                  <w:p w14:paraId="7F0855A5" w14:textId="77777777" w:rsidR="00471D53" w:rsidRDefault="00B664AF">
                    <w:pPr>
                      <w:jc w:val="right"/>
                      <w:rPr>
                        <w:sz w:val="18"/>
                        <w:szCs w:val="18"/>
                      </w:rPr>
                    </w:pPr>
                  </w:p>
                </w:tc>
                <w:tc>
                  <w:tcPr>
                    <w:tcW w:w="141" w:type="pct"/>
                  </w:tcPr>
                  <w:p w14:paraId="7DCA9931" w14:textId="77777777" w:rsidR="00471D53" w:rsidRDefault="00B664AF">
                    <w:pPr>
                      <w:jc w:val="right"/>
                      <w:rPr>
                        <w:sz w:val="18"/>
                        <w:szCs w:val="18"/>
                      </w:rPr>
                    </w:pPr>
                  </w:p>
                </w:tc>
                <w:tc>
                  <w:tcPr>
                    <w:tcW w:w="476" w:type="pct"/>
                  </w:tcPr>
                  <w:p w14:paraId="6063EF8D" w14:textId="77777777" w:rsidR="00471D53" w:rsidRDefault="00B664AF">
                    <w:pPr>
                      <w:jc w:val="right"/>
                      <w:rPr>
                        <w:sz w:val="18"/>
                        <w:szCs w:val="18"/>
                      </w:rPr>
                    </w:pPr>
                  </w:p>
                </w:tc>
                <w:tc>
                  <w:tcPr>
                    <w:tcW w:w="141" w:type="pct"/>
                  </w:tcPr>
                  <w:p w14:paraId="74E9CCB6" w14:textId="77777777" w:rsidR="00471D53" w:rsidRDefault="00B664AF">
                    <w:pPr>
                      <w:jc w:val="right"/>
                      <w:rPr>
                        <w:sz w:val="18"/>
                        <w:szCs w:val="18"/>
                      </w:rPr>
                    </w:pPr>
                  </w:p>
                </w:tc>
                <w:tc>
                  <w:tcPr>
                    <w:tcW w:w="467" w:type="pct"/>
                  </w:tcPr>
                  <w:p w14:paraId="485F4FD0" w14:textId="77777777" w:rsidR="00471D53" w:rsidRDefault="00B664AF">
                    <w:pPr>
                      <w:jc w:val="right"/>
                      <w:rPr>
                        <w:sz w:val="18"/>
                        <w:szCs w:val="18"/>
                      </w:rPr>
                    </w:pPr>
                  </w:p>
                </w:tc>
                <w:tc>
                  <w:tcPr>
                    <w:tcW w:w="506" w:type="pct"/>
                  </w:tcPr>
                  <w:p w14:paraId="0B85B568" w14:textId="77777777" w:rsidR="00471D53" w:rsidRDefault="00B664AF">
                    <w:pPr>
                      <w:jc w:val="right"/>
                      <w:rPr>
                        <w:sz w:val="18"/>
                        <w:szCs w:val="18"/>
                      </w:rPr>
                    </w:pPr>
                  </w:p>
                </w:tc>
                <w:tc>
                  <w:tcPr>
                    <w:tcW w:w="449" w:type="pct"/>
                  </w:tcPr>
                  <w:p w14:paraId="238D1E44" w14:textId="77777777" w:rsidR="00471D53" w:rsidRDefault="00B664AF">
                    <w:pPr>
                      <w:jc w:val="right"/>
                      <w:rPr>
                        <w:sz w:val="18"/>
                        <w:szCs w:val="18"/>
                      </w:rPr>
                    </w:pPr>
                  </w:p>
                </w:tc>
              </w:tr>
              <w:tr w:rsidR="00471D53" w14:paraId="39D638DA" w14:textId="77777777" w:rsidTr="00471D53">
                <w:sdt>
                  <w:sdtPr>
                    <w:tag w:val="_PLD_800fb53c11a943e3b9b9bd49c8085679"/>
                    <w:id w:val="-866286346"/>
                    <w:lock w:val="sdtLocked"/>
                  </w:sdtPr>
                  <w:sdtEndPr/>
                  <w:sdtContent>
                    <w:tc>
                      <w:tcPr>
                        <w:tcW w:w="319" w:type="pct"/>
                      </w:tcPr>
                      <w:p w14:paraId="54D2C580" w14:textId="77777777" w:rsidR="00471D53" w:rsidRDefault="004F686E" w:rsidP="00471D53">
                        <w:pPr>
                          <w:ind w:firstLineChars="200" w:firstLine="420"/>
                          <w:rPr>
                            <w:sz w:val="18"/>
                            <w:szCs w:val="18"/>
                          </w:rPr>
                        </w:pPr>
                        <w:r>
                          <w:rPr>
                            <w:rFonts w:hint="eastAsia"/>
                            <w:sz w:val="18"/>
                            <w:szCs w:val="18"/>
                          </w:rPr>
                          <w:t>同一控制下企业合并</w:t>
                        </w:r>
                      </w:p>
                    </w:tc>
                  </w:sdtContent>
                </w:sdt>
                <w:tc>
                  <w:tcPr>
                    <w:tcW w:w="449" w:type="pct"/>
                  </w:tcPr>
                  <w:p w14:paraId="17FAB421" w14:textId="77777777" w:rsidR="00471D53" w:rsidRDefault="00B664AF">
                    <w:pPr>
                      <w:jc w:val="right"/>
                      <w:rPr>
                        <w:sz w:val="18"/>
                        <w:szCs w:val="18"/>
                      </w:rPr>
                    </w:pPr>
                  </w:p>
                </w:tc>
                <w:tc>
                  <w:tcPr>
                    <w:tcW w:w="141" w:type="pct"/>
                  </w:tcPr>
                  <w:p w14:paraId="07DD11EF" w14:textId="77777777" w:rsidR="00471D53" w:rsidRDefault="00B664AF">
                    <w:pPr>
                      <w:jc w:val="right"/>
                      <w:rPr>
                        <w:sz w:val="18"/>
                        <w:szCs w:val="18"/>
                      </w:rPr>
                    </w:pPr>
                  </w:p>
                </w:tc>
                <w:tc>
                  <w:tcPr>
                    <w:tcW w:w="141" w:type="pct"/>
                  </w:tcPr>
                  <w:p w14:paraId="4705BD4A" w14:textId="77777777" w:rsidR="00471D53" w:rsidRDefault="00B664AF">
                    <w:pPr>
                      <w:jc w:val="right"/>
                      <w:rPr>
                        <w:sz w:val="18"/>
                        <w:szCs w:val="18"/>
                      </w:rPr>
                    </w:pPr>
                  </w:p>
                </w:tc>
                <w:tc>
                  <w:tcPr>
                    <w:tcW w:w="141" w:type="pct"/>
                  </w:tcPr>
                  <w:p w14:paraId="423B93F4" w14:textId="77777777" w:rsidR="00471D53" w:rsidRDefault="00B664AF">
                    <w:pPr>
                      <w:jc w:val="right"/>
                      <w:rPr>
                        <w:sz w:val="18"/>
                        <w:szCs w:val="18"/>
                      </w:rPr>
                    </w:pPr>
                  </w:p>
                </w:tc>
                <w:tc>
                  <w:tcPr>
                    <w:tcW w:w="467" w:type="pct"/>
                  </w:tcPr>
                  <w:p w14:paraId="02A7C9D7" w14:textId="77777777" w:rsidR="00471D53" w:rsidRDefault="00B664AF">
                    <w:pPr>
                      <w:jc w:val="right"/>
                      <w:rPr>
                        <w:sz w:val="18"/>
                        <w:szCs w:val="18"/>
                      </w:rPr>
                    </w:pPr>
                  </w:p>
                </w:tc>
                <w:tc>
                  <w:tcPr>
                    <w:tcW w:w="204" w:type="pct"/>
                  </w:tcPr>
                  <w:p w14:paraId="79F6FA8B" w14:textId="77777777" w:rsidR="00471D53" w:rsidRDefault="00B664AF">
                    <w:pPr>
                      <w:jc w:val="right"/>
                      <w:rPr>
                        <w:sz w:val="18"/>
                        <w:szCs w:val="18"/>
                      </w:rPr>
                    </w:pPr>
                  </w:p>
                </w:tc>
                <w:tc>
                  <w:tcPr>
                    <w:tcW w:w="396" w:type="pct"/>
                  </w:tcPr>
                  <w:p w14:paraId="12F6A49B" w14:textId="77777777" w:rsidR="00471D53" w:rsidRDefault="00B664AF">
                    <w:pPr>
                      <w:jc w:val="right"/>
                      <w:rPr>
                        <w:sz w:val="18"/>
                        <w:szCs w:val="18"/>
                      </w:rPr>
                    </w:pPr>
                  </w:p>
                </w:tc>
                <w:tc>
                  <w:tcPr>
                    <w:tcW w:w="141" w:type="pct"/>
                  </w:tcPr>
                  <w:p w14:paraId="1B158D53" w14:textId="77777777" w:rsidR="00471D53" w:rsidRDefault="00B664AF">
                    <w:pPr>
                      <w:jc w:val="right"/>
                      <w:rPr>
                        <w:sz w:val="18"/>
                        <w:szCs w:val="18"/>
                      </w:rPr>
                    </w:pPr>
                  </w:p>
                </w:tc>
                <w:tc>
                  <w:tcPr>
                    <w:tcW w:w="423" w:type="pct"/>
                  </w:tcPr>
                  <w:p w14:paraId="24DB79C7" w14:textId="77777777" w:rsidR="00471D53" w:rsidRDefault="00B664AF">
                    <w:pPr>
                      <w:jc w:val="right"/>
                      <w:rPr>
                        <w:sz w:val="18"/>
                        <w:szCs w:val="18"/>
                      </w:rPr>
                    </w:pPr>
                  </w:p>
                </w:tc>
                <w:tc>
                  <w:tcPr>
                    <w:tcW w:w="141" w:type="pct"/>
                  </w:tcPr>
                  <w:p w14:paraId="12DB8BDB" w14:textId="77777777" w:rsidR="00471D53" w:rsidRDefault="00B664AF">
                    <w:pPr>
                      <w:jc w:val="right"/>
                      <w:rPr>
                        <w:sz w:val="18"/>
                        <w:szCs w:val="18"/>
                      </w:rPr>
                    </w:pPr>
                  </w:p>
                </w:tc>
                <w:tc>
                  <w:tcPr>
                    <w:tcW w:w="476" w:type="pct"/>
                  </w:tcPr>
                  <w:p w14:paraId="0B910BC1" w14:textId="77777777" w:rsidR="00471D53" w:rsidRDefault="00B664AF">
                    <w:pPr>
                      <w:jc w:val="right"/>
                      <w:rPr>
                        <w:sz w:val="18"/>
                        <w:szCs w:val="18"/>
                      </w:rPr>
                    </w:pPr>
                  </w:p>
                </w:tc>
                <w:tc>
                  <w:tcPr>
                    <w:tcW w:w="141" w:type="pct"/>
                  </w:tcPr>
                  <w:p w14:paraId="567CB19F" w14:textId="77777777" w:rsidR="00471D53" w:rsidRDefault="00B664AF">
                    <w:pPr>
                      <w:jc w:val="right"/>
                      <w:rPr>
                        <w:sz w:val="18"/>
                        <w:szCs w:val="18"/>
                      </w:rPr>
                    </w:pPr>
                  </w:p>
                </w:tc>
                <w:tc>
                  <w:tcPr>
                    <w:tcW w:w="467" w:type="pct"/>
                  </w:tcPr>
                  <w:p w14:paraId="08B6F7AF" w14:textId="77777777" w:rsidR="00471D53" w:rsidRDefault="00B664AF">
                    <w:pPr>
                      <w:jc w:val="right"/>
                      <w:rPr>
                        <w:sz w:val="18"/>
                        <w:szCs w:val="18"/>
                      </w:rPr>
                    </w:pPr>
                  </w:p>
                </w:tc>
                <w:tc>
                  <w:tcPr>
                    <w:tcW w:w="506" w:type="pct"/>
                  </w:tcPr>
                  <w:p w14:paraId="6E489CA9" w14:textId="77777777" w:rsidR="00471D53" w:rsidRDefault="00B664AF">
                    <w:pPr>
                      <w:jc w:val="right"/>
                      <w:rPr>
                        <w:sz w:val="18"/>
                        <w:szCs w:val="18"/>
                      </w:rPr>
                    </w:pPr>
                  </w:p>
                </w:tc>
                <w:tc>
                  <w:tcPr>
                    <w:tcW w:w="449" w:type="pct"/>
                  </w:tcPr>
                  <w:p w14:paraId="72AEE00D" w14:textId="77777777" w:rsidR="00471D53" w:rsidRDefault="00B664AF">
                    <w:pPr>
                      <w:jc w:val="right"/>
                      <w:rPr>
                        <w:sz w:val="18"/>
                        <w:szCs w:val="18"/>
                      </w:rPr>
                    </w:pPr>
                  </w:p>
                </w:tc>
              </w:tr>
              <w:tr w:rsidR="00471D53" w14:paraId="0B6F0EA7" w14:textId="77777777" w:rsidTr="00471D53">
                <w:sdt>
                  <w:sdtPr>
                    <w:tag w:val="_PLD_87118e97730e486dbbcc5e072b67665f"/>
                    <w:id w:val="846529653"/>
                    <w:lock w:val="sdtLocked"/>
                  </w:sdtPr>
                  <w:sdtEndPr/>
                  <w:sdtContent>
                    <w:tc>
                      <w:tcPr>
                        <w:tcW w:w="319" w:type="pct"/>
                      </w:tcPr>
                      <w:p w14:paraId="6A4FCCD9" w14:textId="77777777" w:rsidR="00471D53" w:rsidRDefault="004F686E" w:rsidP="00471D53">
                        <w:pPr>
                          <w:ind w:firstLineChars="200" w:firstLine="420"/>
                          <w:rPr>
                            <w:sz w:val="18"/>
                            <w:szCs w:val="18"/>
                          </w:rPr>
                        </w:pPr>
                        <w:r>
                          <w:rPr>
                            <w:rFonts w:hint="eastAsia"/>
                            <w:sz w:val="18"/>
                            <w:szCs w:val="18"/>
                          </w:rPr>
                          <w:t>其他</w:t>
                        </w:r>
                      </w:p>
                    </w:tc>
                  </w:sdtContent>
                </w:sdt>
                <w:tc>
                  <w:tcPr>
                    <w:tcW w:w="449" w:type="pct"/>
                  </w:tcPr>
                  <w:p w14:paraId="2072E8FB" w14:textId="77777777" w:rsidR="00471D53" w:rsidRDefault="00B664AF">
                    <w:pPr>
                      <w:jc w:val="right"/>
                      <w:rPr>
                        <w:sz w:val="18"/>
                        <w:szCs w:val="18"/>
                      </w:rPr>
                    </w:pPr>
                  </w:p>
                </w:tc>
                <w:tc>
                  <w:tcPr>
                    <w:tcW w:w="141" w:type="pct"/>
                  </w:tcPr>
                  <w:p w14:paraId="7360AA57" w14:textId="77777777" w:rsidR="00471D53" w:rsidRDefault="00B664AF">
                    <w:pPr>
                      <w:jc w:val="right"/>
                      <w:rPr>
                        <w:sz w:val="18"/>
                        <w:szCs w:val="18"/>
                      </w:rPr>
                    </w:pPr>
                  </w:p>
                </w:tc>
                <w:tc>
                  <w:tcPr>
                    <w:tcW w:w="141" w:type="pct"/>
                  </w:tcPr>
                  <w:p w14:paraId="5E73BE8B" w14:textId="77777777" w:rsidR="00471D53" w:rsidRDefault="00B664AF">
                    <w:pPr>
                      <w:jc w:val="right"/>
                      <w:rPr>
                        <w:sz w:val="18"/>
                        <w:szCs w:val="18"/>
                      </w:rPr>
                    </w:pPr>
                  </w:p>
                </w:tc>
                <w:tc>
                  <w:tcPr>
                    <w:tcW w:w="141" w:type="pct"/>
                  </w:tcPr>
                  <w:p w14:paraId="1961CCEA" w14:textId="77777777" w:rsidR="00471D53" w:rsidRDefault="00B664AF">
                    <w:pPr>
                      <w:jc w:val="right"/>
                      <w:rPr>
                        <w:sz w:val="18"/>
                        <w:szCs w:val="18"/>
                      </w:rPr>
                    </w:pPr>
                  </w:p>
                </w:tc>
                <w:tc>
                  <w:tcPr>
                    <w:tcW w:w="467" w:type="pct"/>
                  </w:tcPr>
                  <w:p w14:paraId="57FEEE7E" w14:textId="77777777" w:rsidR="00471D53" w:rsidRDefault="00B664AF">
                    <w:pPr>
                      <w:jc w:val="right"/>
                      <w:rPr>
                        <w:sz w:val="18"/>
                        <w:szCs w:val="18"/>
                      </w:rPr>
                    </w:pPr>
                  </w:p>
                </w:tc>
                <w:tc>
                  <w:tcPr>
                    <w:tcW w:w="204" w:type="pct"/>
                  </w:tcPr>
                  <w:p w14:paraId="6A104E88" w14:textId="77777777" w:rsidR="00471D53" w:rsidRDefault="00B664AF">
                    <w:pPr>
                      <w:jc w:val="right"/>
                      <w:rPr>
                        <w:sz w:val="18"/>
                        <w:szCs w:val="18"/>
                      </w:rPr>
                    </w:pPr>
                  </w:p>
                </w:tc>
                <w:tc>
                  <w:tcPr>
                    <w:tcW w:w="396" w:type="pct"/>
                  </w:tcPr>
                  <w:p w14:paraId="0EA1B3CA" w14:textId="77777777" w:rsidR="00471D53" w:rsidRDefault="00B664AF">
                    <w:pPr>
                      <w:jc w:val="right"/>
                      <w:rPr>
                        <w:sz w:val="18"/>
                        <w:szCs w:val="18"/>
                      </w:rPr>
                    </w:pPr>
                  </w:p>
                </w:tc>
                <w:tc>
                  <w:tcPr>
                    <w:tcW w:w="141" w:type="pct"/>
                  </w:tcPr>
                  <w:p w14:paraId="6C7B13F0" w14:textId="77777777" w:rsidR="00471D53" w:rsidRDefault="00B664AF">
                    <w:pPr>
                      <w:jc w:val="right"/>
                      <w:rPr>
                        <w:sz w:val="18"/>
                        <w:szCs w:val="18"/>
                      </w:rPr>
                    </w:pPr>
                  </w:p>
                </w:tc>
                <w:tc>
                  <w:tcPr>
                    <w:tcW w:w="423" w:type="pct"/>
                  </w:tcPr>
                  <w:p w14:paraId="48B8C9EF" w14:textId="77777777" w:rsidR="00471D53" w:rsidRDefault="00B664AF">
                    <w:pPr>
                      <w:jc w:val="right"/>
                      <w:rPr>
                        <w:sz w:val="18"/>
                        <w:szCs w:val="18"/>
                      </w:rPr>
                    </w:pPr>
                  </w:p>
                </w:tc>
                <w:tc>
                  <w:tcPr>
                    <w:tcW w:w="141" w:type="pct"/>
                  </w:tcPr>
                  <w:p w14:paraId="7427B774" w14:textId="77777777" w:rsidR="00471D53" w:rsidRDefault="00B664AF">
                    <w:pPr>
                      <w:jc w:val="right"/>
                      <w:rPr>
                        <w:sz w:val="18"/>
                        <w:szCs w:val="18"/>
                      </w:rPr>
                    </w:pPr>
                  </w:p>
                </w:tc>
                <w:tc>
                  <w:tcPr>
                    <w:tcW w:w="476" w:type="pct"/>
                  </w:tcPr>
                  <w:p w14:paraId="32B5D0FB" w14:textId="77777777" w:rsidR="00471D53" w:rsidRDefault="00B664AF">
                    <w:pPr>
                      <w:jc w:val="right"/>
                      <w:rPr>
                        <w:sz w:val="18"/>
                        <w:szCs w:val="18"/>
                      </w:rPr>
                    </w:pPr>
                  </w:p>
                </w:tc>
                <w:tc>
                  <w:tcPr>
                    <w:tcW w:w="141" w:type="pct"/>
                  </w:tcPr>
                  <w:p w14:paraId="041F0022" w14:textId="77777777" w:rsidR="00471D53" w:rsidRDefault="00B664AF">
                    <w:pPr>
                      <w:jc w:val="right"/>
                      <w:rPr>
                        <w:sz w:val="18"/>
                        <w:szCs w:val="18"/>
                      </w:rPr>
                    </w:pPr>
                  </w:p>
                </w:tc>
                <w:tc>
                  <w:tcPr>
                    <w:tcW w:w="467" w:type="pct"/>
                  </w:tcPr>
                  <w:p w14:paraId="3454CEC0" w14:textId="77777777" w:rsidR="00471D53" w:rsidRDefault="00B664AF">
                    <w:pPr>
                      <w:jc w:val="right"/>
                      <w:rPr>
                        <w:sz w:val="18"/>
                        <w:szCs w:val="18"/>
                      </w:rPr>
                    </w:pPr>
                  </w:p>
                </w:tc>
                <w:tc>
                  <w:tcPr>
                    <w:tcW w:w="506" w:type="pct"/>
                  </w:tcPr>
                  <w:p w14:paraId="348C70A5" w14:textId="77777777" w:rsidR="00471D53" w:rsidRDefault="00B664AF">
                    <w:pPr>
                      <w:jc w:val="right"/>
                      <w:rPr>
                        <w:sz w:val="18"/>
                        <w:szCs w:val="18"/>
                      </w:rPr>
                    </w:pPr>
                  </w:p>
                </w:tc>
                <w:tc>
                  <w:tcPr>
                    <w:tcW w:w="449" w:type="pct"/>
                  </w:tcPr>
                  <w:p w14:paraId="0ACA3C11" w14:textId="77777777" w:rsidR="00471D53" w:rsidRDefault="00B664AF">
                    <w:pPr>
                      <w:jc w:val="right"/>
                      <w:rPr>
                        <w:sz w:val="18"/>
                        <w:szCs w:val="18"/>
                      </w:rPr>
                    </w:pPr>
                  </w:p>
                </w:tc>
              </w:tr>
              <w:tr w:rsidR="00471D53" w14:paraId="1C4377F1" w14:textId="77777777" w:rsidTr="00471D53">
                <w:sdt>
                  <w:sdtPr>
                    <w:tag w:val="_PLD_b579c38070f04b86951daea3037af89c"/>
                    <w:id w:val="941876477"/>
                    <w:lock w:val="sdtLocked"/>
                  </w:sdtPr>
                  <w:sdtEndPr/>
                  <w:sdtContent>
                    <w:tc>
                      <w:tcPr>
                        <w:tcW w:w="319" w:type="pct"/>
                      </w:tcPr>
                      <w:p w14:paraId="3E91D22B" w14:textId="77777777" w:rsidR="00471D53" w:rsidRDefault="004F686E">
                        <w:pPr>
                          <w:rPr>
                            <w:sz w:val="18"/>
                            <w:szCs w:val="18"/>
                          </w:rPr>
                        </w:pPr>
                        <w:r>
                          <w:rPr>
                            <w:sz w:val="18"/>
                            <w:szCs w:val="18"/>
                          </w:rPr>
                          <w:t>二、本年</w:t>
                        </w:r>
                        <w:r>
                          <w:rPr>
                            <w:rFonts w:hint="eastAsia"/>
                            <w:sz w:val="18"/>
                            <w:szCs w:val="18"/>
                          </w:rPr>
                          <w:t>期</w:t>
                        </w:r>
                        <w:r>
                          <w:rPr>
                            <w:sz w:val="18"/>
                            <w:szCs w:val="18"/>
                          </w:rPr>
                          <w:t>初余额</w:t>
                        </w:r>
                      </w:p>
                    </w:tc>
                  </w:sdtContent>
                </w:sdt>
                <w:tc>
                  <w:tcPr>
                    <w:tcW w:w="449" w:type="pct"/>
                    <w:vAlign w:val="center"/>
                  </w:tcPr>
                  <w:p w14:paraId="1D2EA9CD" w14:textId="1F0EC40F" w:rsidR="00471D53" w:rsidRPr="00706347" w:rsidRDefault="004F686E">
                    <w:pPr>
                      <w:jc w:val="right"/>
                      <w:rPr>
                        <w:sz w:val="15"/>
                        <w:szCs w:val="15"/>
                      </w:rPr>
                    </w:pPr>
                    <w:r w:rsidRPr="00706347">
                      <w:rPr>
                        <w:rFonts w:hint="eastAsia"/>
                        <w:sz w:val="15"/>
                        <w:szCs w:val="15"/>
                      </w:rPr>
                      <w:t>422,000,000.00</w:t>
                    </w:r>
                  </w:p>
                </w:tc>
                <w:tc>
                  <w:tcPr>
                    <w:tcW w:w="141" w:type="pct"/>
                    <w:vAlign w:val="center"/>
                  </w:tcPr>
                  <w:p w14:paraId="2234D6DF"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141" w:type="pct"/>
                    <w:vAlign w:val="center"/>
                  </w:tcPr>
                  <w:p w14:paraId="6023E1BB"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141" w:type="pct"/>
                    <w:vAlign w:val="center"/>
                  </w:tcPr>
                  <w:p w14:paraId="5B97B007"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467" w:type="pct"/>
                    <w:vAlign w:val="center"/>
                  </w:tcPr>
                  <w:p w14:paraId="6548E85D" w14:textId="1484310B" w:rsidR="00471D53" w:rsidRPr="00706347" w:rsidRDefault="004F686E">
                    <w:pPr>
                      <w:jc w:val="right"/>
                      <w:rPr>
                        <w:sz w:val="15"/>
                        <w:szCs w:val="15"/>
                      </w:rPr>
                    </w:pPr>
                    <w:r w:rsidRPr="00706347">
                      <w:rPr>
                        <w:rFonts w:hint="eastAsia"/>
                        <w:sz w:val="15"/>
                        <w:szCs w:val="15"/>
                      </w:rPr>
                      <w:t>687,349,089.60</w:t>
                    </w:r>
                  </w:p>
                </w:tc>
                <w:tc>
                  <w:tcPr>
                    <w:tcW w:w="204" w:type="pct"/>
                    <w:vAlign w:val="center"/>
                  </w:tcPr>
                  <w:p w14:paraId="3907203C"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396" w:type="pct"/>
                    <w:vAlign w:val="center"/>
                  </w:tcPr>
                  <w:p w14:paraId="616C7F94" w14:textId="2E5A3250" w:rsidR="00471D53" w:rsidRPr="00706347" w:rsidRDefault="004F686E">
                    <w:pPr>
                      <w:jc w:val="right"/>
                      <w:rPr>
                        <w:sz w:val="15"/>
                        <w:szCs w:val="15"/>
                      </w:rPr>
                    </w:pPr>
                    <w:r w:rsidRPr="00706347">
                      <w:rPr>
                        <w:rFonts w:hint="eastAsia"/>
                        <w:sz w:val="15"/>
                        <w:szCs w:val="15"/>
                      </w:rPr>
                      <w:t>2,754,544.50</w:t>
                    </w:r>
                  </w:p>
                </w:tc>
                <w:tc>
                  <w:tcPr>
                    <w:tcW w:w="141" w:type="pct"/>
                    <w:vAlign w:val="center"/>
                  </w:tcPr>
                  <w:p w14:paraId="1A672C2E"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423" w:type="pct"/>
                    <w:vAlign w:val="center"/>
                  </w:tcPr>
                  <w:p w14:paraId="0316AB45" w14:textId="5548ED32" w:rsidR="00471D53" w:rsidRPr="00706347" w:rsidRDefault="004F686E">
                    <w:pPr>
                      <w:jc w:val="right"/>
                      <w:rPr>
                        <w:sz w:val="15"/>
                        <w:szCs w:val="15"/>
                      </w:rPr>
                    </w:pPr>
                    <w:r w:rsidRPr="00706347">
                      <w:rPr>
                        <w:rFonts w:hint="eastAsia"/>
                        <w:sz w:val="15"/>
                        <w:szCs w:val="15"/>
                      </w:rPr>
                      <w:t>45,665,647.68</w:t>
                    </w:r>
                  </w:p>
                </w:tc>
                <w:tc>
                  <w:tcPr>
                    <w:tcW w:w="141" w:type="pct"/>
                    <w:vAlign w:val="center"/>
                  </w:tcPr>
                  <w:p w14:paraId="17B51F48"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476" w:type="pct"/>
                    <w:vAlign w:val="center"/>
                  </w:tcPr>
                  <w:p w14:paraId="1A7DBCE4" w14:textId="69C0719A" w:rsidR="00471D53" w:rsidRPr="00706347" w:rsidRDefault="004F686E">
                    <w:pPr>
                      <w:jc w:val="right"/>
                      <w:rPr>
                        <w:sz w:val="15"/>
                        <w:szCs w:val="15"/>
                      </w:rPr>
                    </w:pPr>
                    <w:r w:rsidRPr="00706347">
                      <w:rPr>
                        <w:rFonts w:hint="eastAsia"/>
                        <w:sz w:val="15"/>
                        <w:szCs w:val="15"/>
                      </w:rPr>
                      <w:t>-820,483,186.46</w:t>
                    </w:r>
                  </w:p>
                </w:tc>
                <w:tc>
                  <w:tcPr>
                    <w:tcW w:w="141" w:type="pct"/>
                    <w:vAlign w:val="center"/>
                  </w:tcPr>
                  <w:p w14:paraId="64C435FE"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467" w:type="pct"/>
                    <w:vAlign w:val="center"/>
                  </w:tcPr>
                  <w:p w14:paraId="56582FD5" w14:textId="16D30401" w:rsidR="00471D53" w:rsidRPr="00706347" w:rsidRDefault="004F686E">
                    <w:pPr>
                      <w:jc w:val="right"/>
                      <w:rPr>
                        <w:sz w:val="15"/>
                        <w:szCs w:val="15"/>
                      </w:rPr>
                    </w:pPr>
                    <w:r w:rsidRPr="00706347">
                      <w:rPr>
                        <w:rFonts w:hint="eastAsia"/>
                        <w:sz w:val="15"/>
                        <w:szCs w:val="15"/>
                      </w:rPr>
                      <w:t>337,286,095.32</w:t>
                    </w:r>
                  </w:p>
                </w:tc>
                <w:tc>
                  <w:tcPr>
                    <w:tcW w:w="506" w:type="pct"/>
                    <w:vAlign w:val="center"/>
                  </w:tcPr>
                  <w:p w14:paraId="102FE110" w14:textId="384D52C9" w:rsidR="00471D53" w:rsidRPr="00706347" w:rsidRDefault="004F686E">
                    <w:pPr>
                      <w:jc w:val="right"/>
                      <w:rPr>
                        <w:sz w:val="15"/>
                        <w:szCs w:val="15"/>
                      </w:rPr>
                    </w:pPr>
                    <w:r w:rsidRPr="00706347">
                      <w:rPr>
                        <w:rFonts w:hint="eastAsia"/>
                        <w:sz w:val="15"/>
                        <w:szCs w:val="15"/>
                      </w:rPr>
                      <w:t>363,339,156.20</w:t>
                    </w:r>
                  </w:p>
                </w:tc>
                <w:tc>
                  <w:tcPr>
                    <w:tcW w:w="449" w:type="pct"/>
                    <w:vAlign w:val="center"/>
                  </w:tcPr>
                  <w:p w14:paraId="17D9DEC2" w14:textId="096DBA3F" w:rsidR="00471D53" w:rsidRPr="00706347" w:rsidRDefault="004F686E">
                    <w:pPr>
                      <w:jc w:val="right"/>
                      <w:rPr>
                        <w:sz w:val="15"/>
                        <w:szCs w:val="15"/>
                      </w:rPr>
                    </w:pPr>
                    <w:r w:rsidRPr="00706347">
                      <w:rPr>
                        <w:rFonts w:hint="eastAsia"/>
                        <w:sz w:val="15"/>
                        <w:szCs w:val="15"/>
                      </w:rPr>
                      <w:t>700,625,251.52</w:t>
                    </w:r>
                  </w:p>
                </w:tc>
              </w:tr>
              <w:tr w:rsidR="00471D53" w14:paraId="2DA17500" w14:textId="77777777" w:rsidTr="00471D53">
                <w:sdt>
                  <w:sdtPr>
                    <w:tag w:val="_PLD_186aec2424a047ee9af21797aa0ee0d8"/>
                    <w:id w:val="686186133"/>
                    <w:lock w:val="sdtLocked"/>
                  </w:sdtPr>
                  <w:sdtEndPr/>
                  <w:sdtContent>
                    <w:tc>
                      <w:tcPr>
                        <w:tcW w:w="319" w:type="pct"/>
                      </w:tcPr>
                      <w:p w14:paraId="635D2C9E" w14:textId="77777777" w:rsidR="00471D53" w:rsidRDefault="004F686E">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449" w:type="pct"/>
                    <w:vAlign w:val="center"/>
                  </w:tcPr>
                  <w:p w14:paraId="50D537F1" w14:textId="6A61662E" w:rsidR="00471D53" w:rsidRPr="00706347" w:rsidRDefault="004F686E">
                    <w:pPr>
                      <w:rPr>
                        <w:sz w:val="15"/>
                        <w:szCs w:val="15"/>
                      </w:rPr>
                    </w:pPr>
                    <w:r w:rsidRPr="00706347">
                      <w:rPr>
                        <w:rFonts w:hint="eastAsia"/>
                        <w:sz w:val="15"/>
                        <w:szCs w:val="15"/>
                      </w:rPr>
                      <w:t>63,000,000.00</w:t>
                    </w:r>
                  </w:p>
                </w:tc>
                <w:tc>
                  <w:tcPr>
                    <w:tcW w:w="141" w:type="pct"/>
                    <w:vAlign w:val="center"/>
                  </w:tcPr>
                  <w:p w14:paraId="1ECFE6EE"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141" w:type="pct"/>
                    <w:vAlign w:val="center"/>
                  </w:tcPr>
                  <w:p w14:paraId="28DAEBCA"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141" w:type="pct"/>
                    <w:vAlign w:val="center"/>
                  </w:tcPr>
                  <w:p w14:paraId="7194681E"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467" w:type="pct"/>
                    <w:vAlign w:val="center"/>
                  </w:tcPr>
                  <w:p w14:paraId="656B2887" w14:textId="6B9628DF" w:rsidR="00471D53" w:rsidRPr="00706347" w:rsidRDefault="004F686E">
                    <w:pPr>
                      <w:rPr>
                        <w:sz w:val="15"/>
                        <w:szCs w:val="15"/>
                      </w:rPr>
                    </w:pPr>
                    <w:r w:rsidRPr="00706347">
                      <w:rPr>
                        <w:rFonts w:hint="eastAsia"/>
                        <w:sz w:val="15"/>
                        <w:szCs w:val="15"/>
                      </w:rPr>
                      <w:t>145,651,490.68</w:t>
                    </w:r>
                  </w:p>
                </w:tc>
                <w:tc>
                  <w:tcPr>
                    <w:tcW w:w="204" w:type="pct"/>
                    <w:vAlign w:val="center"/>
                  </w:tcPr>
                  <w:p w14:paraId="5AFEB6F5"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396" w:type="pct"/>
                    <w:vAlign w:val="center"/>
                  </w:tcPr>
                  <w:p w14:paraId="78BDAEC4" w14:textId="7AAADC6F" w:rsidR="00471D53" w:rsidRPr="00706347" w:rsidRDefault="004F686E">
                    <w:pPr>
                      <w:jc w:val="right"/>
                      <w:rPr>
                        <w:sz w:val="15"/>
                        <w:szCs w:val="15"/>
                      </w:rPr>
                    </w:pPr>
                    <w:r w:rsidRPr="00706347">
                      <w:rPr>
                        <w:rFonts w:hint="eastAsia"/>
                        <w:sz w:val="15"/>
                        <w:szCs w:val="15"/>
                      </w:rPr>
                      <w:t>319,559.11</w:t>
                    </w:r>
                  </w:p>
                </w:tc>
                <w:tc>
                  <w:tcPr>
                    <w:tcW w:w="141" w:type="pct"/>
                    <w:vAlign w:val="center"/>
                  </w:tcPr>
                  <w:p w14:paraId="1FE68646"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423" w:type="pct"/>
                    <w:vAlign w:val="center"/>
                  </w:tcPr>
                  <w:p w14:paraId="69B9E2A6"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141" w:type="pct"/>
                    <w:vAlign w:val="center"/>
                  </w:tcPr>
                  <w:p w14:paraId="1B38F57D"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476" w:type="pct"/>
                    <w:vAlign w:val="center"/>
                  </w:tcPr>
                  <w:p w14:paraId="732E878F" w14:textId="07D77E0C" w:rsidR="00471D53" w:rsidRPr="00706347" w:rsidRDefault="004F686E">
                    <w:pPr>
                      <w:jc w:val="right"/>
                      <w:rPr>
                        <w:sz w:val="15"/>
                        <w:szCs w:val="15"/>
                      </w:rPr>
                    </w:pPr>
                    <w:r w:rsidRPr="00706347">
                      <w:rPr>
                        <w:rFonts w:hint="eastAsia"/>
                        <w:sz w:val="15"/>
                        <w:szCs w:val="15"/>
                      </w:rPr>
                      <w:t>-24,089,791.77</w:t>
                    </w:r>
                  </w:p>
                </w:tc>
                <w:tc>
                  <w:tcPr>
                    <w:tcW w:w="141" w:type="pct"/>
                    <w:vAlign w:val="center"/>
                  </w:tcPr>
                  <w:p w14:paraId="5B138045"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467" w:type="pct"/>
                    <w:vAlign w:val="center"/>
                  </w:tcPr>
                  <w:p w14:paraId="162CB2B5" w14:textId="710B3F3D" w:rsidR="00471D53" w:rsidRPr="00706347" w:rsidRDefault="004F686E">
                    <w:pPr>
                      <w:jc w:val="right"/>
                      <w:rPr>
                        <w:sz w:val="15"/>
                        <w:szCs w:val="15"/>
                      </w:rPr>
                    </w:pPr>
                    <w:r w:rsidRPr="00706347">
                      <w:rPr>
                        <w:rFonts w:hint="eastAsia"/>
                        <w:sz w:val="15"/>
                        <w:szCs w:val="15"/>
                      </w:rPr>
                      <w:t>184,881,258.02</w:t>
                    </w:r>
                  </w:p>
                </w:tc>
                <w:tc>
                  <w:tcPr>
                    <w:tcW w:w="506" w:type="pct"/>
                    <w:vAlign w:val="center"/>
                  </w:tcPr>
                  <w:p w14:paraId="4BD082D9" w14:textId="5785FFCB" w:rsidR="00471D53" w:rsidRPr="00706347" w:rsidRDefault="004F686E">
                    <w:pPr>
                      <w:jc w:val="right"/>
                      <w:rPr>
                        <w:sz w:val="15"/>
                        <w:szCs w:val="15"/>
                      </w:rPr>
                    </w:pPr>
                    <w:r w:rsidRPr="00706347">
                      <w:rPr>
                        <w:rFonts w:hint="eastAsia"/>
                        <w:sz w:val="15"/>
                        <w:szCs w:val="15"/>
                      </w:rPr>
                      <w:t>-36,490,134.29</w:t>
                    </w:r>
                  </w:p>
                </w:tc>
                <w:tc>
                  <w:tcPr>
                    <w:tcW w:w="449" w:type="pct"/>
                    <w:vAlign w:val="center"/>
                  </w:tcPr>
                  <w:p w14:paraId="1938A869" w14:textId="4AB2F9AB" w:rsidR="00471D53" w:rsidRPr="00706347" w:rsidRDefault="004F686E">
                    <w:pPr>
                      <w:jc w:val="right"/>
                      <w:rPr>
                        <w:sz w:val="15"/>
                        <w:szCs w:val="15"/>
                      </w:rPr>
                    </w:pPr>
                    <w:r w:rsidRPr="00706347">
                      <w:rPr>
                        <w:rFonts w:hint="eastAsia"/>
                        <w:sz w:val="15"/>
                        <w:szCs w:val="15"/>
                      </w:rPr>
                      <w:t>148,391,123.73</w:t>
                    </w:r>
                  </w:p>
                </w:tc>
              </w:tr>
              <w:tr w:rsidR="00471D53" w14:paraId="1D79AC99" w14:textId="77777777" w:rsidTr="00471D53">
                <w:sdt>
                  <w:sdtPr>
                    <w:tag w:val="_PLD_17bf1a1d144b41e18dbd63758cccc7b5"/>
                    <w:id w:val="-608279280"/>
                    <w:lock w:val="sdtLocked"/>
                  </w:sdtPr>
                  <w:sdtEndPr/>
                  <w:sdtContent>
                    <w:tc>
                      <w:tcPr>
                        <w:tcW w:w="319" w:type="pct"/>
                      </w:tcPr>
                      <w:p w14:paraId="261244F6" w14:textId="77777777" w:rsidR="00471D53" w:rsidRDefault="004F686E">
                        <w:pPr>
                          <w:rPr>
                            <w:sz w:val="18"/>
                            <w:szCs w:val="18"/>
                          </w:rPr>
                        </w:pPr>
                        <w:r>
                          <w:rPr>
                            <w:rFonts w:hint="eastAsia"/>
                            <w:sz w:val="18"/>
                            <w:szCs w:val="18"/>
                          </w:rPr>
                          <w:t>（一）综合收益总额</w:t>
                        </w:r>
                      </w:p>
                    </w:tc>
                  </w:sdtContent>
                </w:sdt>
                <w:tc>
                  <w:tcPr>
                    <w:tcW w:w="449" w:type="pct"/>
                    <w:vAlign w:val="center"/>
                  </w:tcPr>
                  <w:p w14:paraId="1BAA7E98"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141" w:type="pct"/>
                    <w:vAlign w:val="center"/>
                  </w:tcPr>
                  <w:p w14:paraId="76C7517A"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141" w:type="pct"/>
                    <w:vAlign w:val="center"/>
                  </w:tcPr>
                  <w:p w14:paraId="578DA15E"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141" w:type="pct"/>
                    <w:vAlign w:val="center"/>
                  </w:tcPr>
                  <w:p w14:paraId="6F746A4A"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467" w:type="pct"/>
                    <w:vAlign w:val="center"/>
                  </w:tcPr>
                  <w:p w14:paraId="601E7C3C"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204" w:type="pct"/>
                    <w:vAlign w:val="center"/>
                  </w:tcPr>
                  <w:p w14:paraId="0C91049C"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396" w:type="pct"/>
                    <w:vAlign w:val="center"/>
                  </w:tcPr>
                  <w:p w14:paraId="326A7CFC" w14:textId="4F20F6AD" w:rsidR="00471D53" w:rsidRPr="00706347" w:rsidRDefault="004F686E">
                    <w:pPr>
                      <w:jc w:val="right"/>
                      <w:rPr>
                        <w:sz w:val="15"/>
                        <w:szCs w:val="15"/>
                      </w:rPr>
                    </w:pPr>
                    <w:r w:rsidRPr="00706347">
                      <w:rPr>
                        <w:rFonts w:hint="eastAsia"/>
                        <w:sz w:val="15"/>
                        <w:szCs w:val="15"/>
                      </w:rPr>
                      <w:t>319,559.11</w:t>
                    </w:r>
                  </w:p>
                </w:tc>
                <w:tc>
                  <w:tcPr>
                    <w:tcW w:w="141" w:type="pct"/>
                    <w:vAlign w:val="center"/>
                  </w:tcPr>
                  <w:p w14:paraId="3A499EBF"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423" w:type="pct"/>
                    <w:vAlign w:val="center"/>
                  </w:tcPr>
                  <w:p w14:paraId="355BDF00"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141" w:type="pct"/>
                    <w:vAlign w:val="center"/>
                  </w:tcPr>
                  <w:p w14:paraId="2086E622"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476" w:type="pct"/>
                    <w:vAlign w:val="center"/>
                  </w:tcPr>
                  <w:p w14:paraId="723765BD" w14:textId="3EA437B8" w:rsidR="00471D53" w:rsidRPr="00706347" w:rsidRDefault="004F686E">
                    <w:pPr>
                      <w:jc w:val="right"/>
                      <w:rPr>
                        <w:sz w:val="15"/>
                        <w:szCs w:val="15"/>
                      </w:rPr>
                    </w:pPr>
                    <w:r w:rsidRPr="00706347">
                      <w:rPr>
                        <w:rFonts w:hint="eastAsia"/>
                        <w:sz w:val="15"/>
                        <w:szCs w:val="15"/>
                      </w:rPr>
                      <w:t>-24,089,791.77</w:t>
                    </w:r>
                  </w:p>
                </w:tc>
                <w:tc>
                  <w:tcPr>
                    <w:tcW w:w="141" w:type="pct"/>
                    <w:vAlign w:val="center"/>
                  </w:tcPr>
                  <w:p w14:paraId="5246F720"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467" w:type="pct"/>
                    <w:vAlign w:val="center"/>
                  </w:tcPr>
                  <w:p w14:paraId="07835D05" w14:textId="3CFA64C3" w:rsidR="00471D53" w:rsidRPr="00706347" w:rsidRDefault="004F686E">
                    <w:pPr>
                      <w:jc w:val="right"/>
                      <w:rPr>
                        <w:sz w:val="15"/>
                        <w:szCs w:val="15"/>
                      </w:rPr>
                    </w:pPr>
                    <w:r w:rsidRPr="00706347">
                      <w:rPr>
                        <w:rFonts w:hint="eastAsia"/>
                        <w:sz w:val="15"/>
                        <w:szCs w:val="15"/>
                      </w:rPr>
                      <w:t>-23,770,232.66</w:t>
                    </w:r>
                  </w:p>
                </w:tc>
                <w:tc>
                  <w:tcPr>
                    <w:tcW w:w="506" w:type="pct"/>
                    <w:vAlign w:val="center"/>
                  </w:tcPr>
                  <w:p w14:paraId="55944CDA" w14:textId="6CF85B4A" w:rsidR="00471D53" w:rsidRPr="00706347" w:rsidRDefault="004F686E">
                    <w:pPr>
                      <w:jc w:val="right"/>
                      <w:rPr>
                        <w:sz w:val="15"/>
                        <w:szCs w:val="15"/>
                      </w:rPr>
                    </w:pPr>
                    <w:r w:rsidRPr="00706347">
                      <w:rPr>
                        <w:rFonts w:hint="eastAsia"/>
                        <w:sz w:val="15"/>
                        <w:szCs w:val="15"/>
                      </w:rPr>
                      <w:t>-13,331,933.19</w:t>
                    </w:r>
                  </w:p>
                </w:tc>
                <w:tc>
                  <w:tcPr>
                    <w:tcW w:w="449" w:type="pct"/>
                    <w:vAlign w:val="center"/>
                  </w:tcPr>
                  <w:p w14:paraId="35551E57" w14:textId="0ED3068B" w:rsidR="00471D53" w:rsidRPr="00706347" w:rsidRDefault="004F686E">
                    <w:pPr>
                      <w:jc w:val="right"/>
                      <w:rPr>
                        <w:sz w:val="15"/>
                        <w:szCs w:val="15"/>
                      </w:rPr>
                    </w:pPr>
                    <w:r w:rsidRPr="00706347">
                      <w:rPr>
                        <w:rFonts w:hint="eastAsia"/>
                        <w:sz w:val="15"/>
                        <w:szCs w:val="15"/>
                      </w:rPr>
                      <w:t>-37,102,165.85</w:t>
                    </w:r>
                  </w:p>
                </w:tc>
              </w:tr>
              <w:tr w:rsidR="00471D53" w14:paraId="50CA4952" w14:textId="77777777" w:rsidTr="00471D53">
                <w:sdt>
                  <w:sdtPr>
                    <w:tag w:val="_PLD_d55056423dbf4ac187d64bd43c03aca3"/>
                    <w:id w:val="1845198880"/>
                    <w:lock w:val="sdtLocked"/>
                  </w:sdtPr>
                  <w:sdtEndPr/>
                  <w:sdtContent>
                    <w:tc>
                      <w:tcPr>
                        <w:tcW w:w="319" w:type="pct"/>
                      </w:tcPr>
                      <w:p w14:paraId="5FDF3DE0" w14:textId="77777777" w:rsidR="00471D53" w:rsidRDefault="004F686E">
                        <w:pPr>
                          <w:rPr>
                            <w:sz w:val="18"/>
                            <w:szCs w:val="18"/>
                          </w:rPr>
                        </w:pPr>
                        <w:r>
                          <w:rPr>
                            <w:sz w:val="18"/>
                            <w:szCs w:val="18"/>
                          </w:rPr>
                          <w:t>（</w:t>
                        </w:r>
                        <w:r>
                          <w:rPr>
                            <w:rFonts w:hint="eastAsia"/>
                            <w:sz w:val="18"/>
                            <w:szCs w:val="18"/>
                          </w:rPr>
                          <w:t>二</w:t>
                        </w:r>
                        <w:r>
                          <w:rPr>
                            <w:sz w:val="18"/>
                            <w:szCs w:val="18"/>
                          </w:rPr>
                          <w:t>）所有者投入和减少资本</w:t>
                        </w:r>
                      </w:p>
                    </w:tc>
                  </w:sdtContent>
                </w:sdt>
                <w:tc>
                  <w:tcPr>
                    <w:tcW w:w="449" w:type="pct"/>
                    <w:vAlign w:val="center"/>
                  </w:tcPr>
                  <w:p w14:paraId="502ABDB4" w14:textId="5B5F4DEB" w:rsidR="00471D53" w:rsidRPr="00706347" w:rsidRDefault="004F686E">
                    <w:pPr>
                      <w:rPr>
                        <w:sz w:val="15"/>
                        <w:szCs w:val="15"/>
                      </w:rPr>
                    </w:pPr>
                    <w:r w:rsidRPr="00706347">
                      <w:rPr>
                        <w:rFonts w:hint="eastAsia"/>
                        <w:sz w:val="15"/>
                        <w:szCs w:val="15"/>
                      </w:rPr>
                      <w:t>63,000,000.00</w:t>
                    </w:r>
                  </w:p>
                </w:tc>
                <w:tc>
                  <w:tcPr>
                    <w:tcW w:w="141" w:type="pct"/>
                    <w:vAlign w:val="center"/>
                  </w:tcPr>
                  <w:p w14:paraId="12BC8CB8"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141" w:type="pct"/>
                    <w:vAlign w:val="center"/>
                  </w:tcPr>
                  <w:p w14:paraId="666F18A7"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141" w:type="pct"/>
                    <w:vAlign w:val="center"/>
                  </w:tcPr>
                  <w:p w14:paraId="4F11A625"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467" w:type="pct"/>
                    <w:vAlign w:val="center"/>
                  </w:tcPr>
                  <w:p w14:paraId="731FAD5C" w14:textId="2CDFB2B8" w:rsidR="00471D53" w:rsidRPr="00706347" w:rsidRDefault="004F686E">
                    <w:pPr>
                      <w:rPr>
                        <w:sz w:val="15"/>
                        <w:szCs w:val="15"/>
                      </w:rPr>
                    </w:pPr>
                    <w:r w:rsidRPr="00706347">
                      <w:rPr>
                        <w:rFonts w:hint="eastAsia"/>
                        <w:sz w:val="15"/>
                        <w:szCs w:val="15"/>
                      </w:rPr>
                      <w:t>145,651,490.68</w:t>
                    </w:r>
                  </w:p>
                </w:tc>
                <w:tc>
                  <w:tcPr>
                    <w:tcW w:w="204" w:type="pct"/>
                    <w:vAlign w:val="center"/>
                  </w:tcPr>
                  <w:p w14:paraId="214A8D0C"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396" w:type="pct"/>
                    <w:vAlign w:val="center"/>
                  </w:tcPr>
                  <w:p w14:paraId="4411CB1E"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141" w:type="pct"/>
                    <w:vAlign w:val="center"/>
                  </w:tcPr>
                  <w:p w14:paraId="79AA1BDB"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423" w:type="pct"/>
                    <w:vAlign w:val="center"/>
                  </w:tcPr>
                  <w:p w14:paraId="0DFB9839"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141" w:type="pct"/>
                    <w:vAlign w:val="center"/>
                  </w:tcPr>
                  <w:p w14:paraId="080B7955"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476" w:type="pct"/>
                    <w:vAlign w:val="center"/>
                  </w:tcPr>
                  <w:p w14:paraId="3B3A7551"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141" w:type="pct"/>
                    <w:vAlign w:val="center"/>
                  </w:tcPr>
                  <w:p w14:paraId="4CB36A2F"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467" w:type="pct"/>
                    <w:vAlign w:val="center"/>
                  </w:tcPr>
                  <w:p w14:paraId="19FD6B09" w14:textId="1CD80680" w:rsidR="00471D53" w:rsidRPr="00706347" w:rsidRDefault="004F686E">
                    <w:pPr>
                      <w:jc w:val="right"/>
                      <w:rPr>
                        <w:sz w:val="15"/>
                        <w:szCs w:val="15"/>
                      </w:rPr>
                    </w:pPr>
                    <w:r w:rsidRPr="00706347">
                      <w:rPr>
                        <w:rFonts w:hint="eastAsia"/>
                        <w:sz w:val="15"/>
                        <w:szCs w:val="15"/>
                      </w:rPr>
                      <w:t>208,651,490.68</w:t>
                    </w:r>
                  </w:p>
                </w:tc>
                <w:tc>
                  <w:tcPr>
                    <w:tcW w:w="506" w:type="pct"/>
                    <w:vAlign w:val="center"/>
                  </w:tcPr>
                  <w:p w14:paraId="2A000992" w14:textId="267E252F" w:rsidR="00471D53" w:rsidRPr="00706347" w:rsidRDefault="004F686E">
                    <w:pPr>
                      <w:jc w:val="right"/>
                      <w:rPr>
                        <w:sz w:val="15"/>
                        <w:szCs w:val="15"/>
                      </w:rPr>
                    </w:pPr>
                    <w:r w:rsidRPr="00706347">
                      <w:rPr>
                        <w:rFonts w:hint="eastAsia"/>
                        <w:sz w:val="15"/>
                        <w:szCs w:val="15"/>
                      </w:rPr>
                      <w:t>-23,158,201.10</w:t>
                    </w:r>
                  </w:p>
                </w:tc>
                <w:tc>
                  <w:tcPr>
                    <w:tcW w:w="449" w:type="pct"/>
                    <w:vAlign w:val="center"/>
                  </w:tcPr>
                  <w:p w14:paraId="5E7BDC96" w14:textId="506536E4" w:rsidR="00471D53" w:rsidRPr="00706347" w:rsidRDefault="004F686E">
                    <w:pPr>
                      <w:jc w:val="right"/>
                      <w:rPr>
                        <w:sz w:val="15"/>
                        <w:szCs w:val="15"/>
                      </w:rPr>
                    </w:pPr>
                    <w:r w:rsidRPr="00706347">
                      <w:rPr>
                        <w:rFonts w:hint="eastAsia"/>
                        <w:sz w:val="15"/>
                        <w:szCs w:val="15"/>
                      </w:rPr>
                      <w:t>185,493,289.58</w:t>
                    </w:r>
                  </w:p>
                </w:tc>
              </w:tr>
              <w:tr w:rsidR="00471D53" w14:paraId="750685D8" w14:textId="77777777" w:rsidTr="00471D53">
                <w:sdt>
                  <w:sdtPr>
                    <w:tag w:val="_PLD_284541025868477ca26973c13dd9ff9e"/>
                    <w:id w:val="-1293051104"/>
                    <w:lock w:val="sdtLocked"/>
                  </w:sdtPr>
                  <w:sdtEndPr/>
                  <w:sdtContent>
                    <w:tc>
                      <w:tcPr>
                        <w:tcW w:w="319" w:type="pct"/>
                      </w:tcPr>
                      <w:p w14:paraId="7B6BBF07" w14:textId="77777777" w:rsidR="00471D53" w:rsidRDefault="004F686E">
                        <w:pPr>
                          <w:rPr>
                            <w:sz w:val="18"/>
                            <w:szCs w:val="18"/>
                          </w:rPr>
                        </w:pPr>
                        <w:r>
                          <w:rPr>
                            <w:rFonts w:hint="eastAsia"/>
                            <w:sz w:val="18"/>
                            <w:szCs w:val="18"/>
                          </w:rPr>
                          <w:t>1．所有者投入</w:t>
                        </w:r>
                        <w:r>
                          <w:rPr>
                            <w:rFonts w:hint="eastAsia"/>
                            <w:sz w:val="18"/>
                            <w:szCs w:val="18"/>
                          </w:rPr>
                          <w:lastRenderedPageBreak/>
                          <w:t>的普通股</w:t>
                        </w:r>
                      </w:p>
                    </w:tc>
                  </w:sdtContent>
                </w:sdt>
                <w:tc>
                  <w:tcPr>
                    <w:tcW w:w="449" w:type="pct"/>
                    <w:vAlign w:val="center"/>
                  </w:tcPr>
                  <w:p w14:paraId="3DDCDB51" w14:textId="55F7B938" w:rsidR="00471D53" w:rsidRPr="00706347" w:rsidRDefault="004F686E">
                    <w:pPr>
                      <w:jc w:val="right"/>
                      <w:rPr>
                        <w:sz w:val="15"/>
                        <w:szCs w:val="15"/>
                      </w:rPr>
                    </w:pPr>
                    <w:r w:rsidRPr="00706347">
                      <w:rPr>
                        <w:rFonts w:hint="eastAsia"/>
                        <w:sz w:val="15"/>
                        <w:szCs w:val="15"/>
                      </w:rPr>
                      <w:lastRenderedPageBreak/>
                      <w:t>63,000,000.00</w:t>
                    </w:r>
                  </w:p>
                </w:tc>
                <w:tc>
                  <w:tcPr>
                    <w:tcW w:w="141" w:type="pct"/>
                    <w:vAlign w:val="center"/>
                  </w:tcPr>
                  <w:p w14:paraId="5CD6964E"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141" w:type="pct"/>
                    <w:vAlign w:val="center"/>
                  </w:tcPr>
                  <w:p w14:paraId="2F510D0C"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141" w:type="pct"/>
                    <w:vAlign w:val="center"/>
                  </w:tcPr>
                  <w:p w14:paraId="536E4F9D"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467" w:type="pct"/>
                    <w:vAlign w:val="center"/>
                  </w:tcPr>
                  <w:p w14:paraId="49F11419" w14:textId="1B8984DE" w:rsidR="00471D53" w:rsidRPr="00706347" w:rsidRDefault="004F686E">
                    <w:pPr>
                      <w:jc w:val="right"/>
                      <w:rPr>
                        <w:sz w:val="15"/>
                        <w:szCs w:val="15"/>
                      </w:rPr>
                    </w:pPr>
                    <w:r w:rsidRPr="00706347">
                      <w:rPr>
                        <w:rFonts w:hint="eastAsia"/>
                        <w:sz w:val="15"/>
                        <w:szCs w:val="15"/>
                      </w:rPr>
                      <w:t>144,725,197.96</w:t>
                    </w:r>
                  </w:p>
                </w:tc>
                <w:tc>
                  <w:tcPr>
                    <w:tcW w:w="204" w:type="pct"/>
                    <w:vAlign w:val="center"/>
                  </w:tcPr>
                  <w:p w14:paraId="409CE9A9"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396" w:type="pct"/>
                    <w:vAlign w:val="center"/>
                  </w:tcPr>
                  <w:p w14:paraId="5EBCC56B"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141" w:type="pct"/>
                    <w:vAlign w:val="center"/>
                  </w:tcPr>
                  <w:p w14:paraId="0AEE8F96"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423" w:type="pct"/>
                    <w:vAlign w:val="center"/>
                  </w:tcPr>
                  <w:p w14:paraId="7D072EAD"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141" w:type="pct"/>
                    <w:vAlign w:val="center"/>
                  </w:tcPr>
                  <w:p w14:paraId="1796A41A"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476" w:type="pct"/>
                    <w:vAlign w:val="center"/>
                  </w:tcPr>
                  <w:p w14:paraId="092239AA"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141" w:type="pct"/>
                    <w:vAlign w:val="center"/>
                  </w:tcPr>
                  <w:p w14:paraId="010AD56D"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467" w:type="pct"/>
                    <w:vAlign w:val="center"/>
                  </w:tcPr>
                  <w:p w14:paraId="17AA5F96" w14:textId="05BB053B" w:rsidR="00471D53" w:rsidRPr="00706347" w:rsidRDefault="004F686E">
                    <w:pPr>
                      <w:jc w:val="right"/>
                      <w:rPr>
                        <w:sz w:val="15"/>
                        <w:szCs w:val="15"/>
                      </w:rPr>
                    </w:pPr>
                    <w:r w:rsidRPr="00706347">
                      <w:rPr>
                        <w:rFonts w:hint="eastAsia"/>
                        <w:sz w:val="15"/>
                        <w:szCs w:val="15"/>
                      </w:rPr>
                      <w:t>207,725,197.96</w:t>
                    </w:r>
                  </w:p>
                </w:tc>
                <w:tc>
                  <w:tcPr>
                    <w:tcW w:w="506" w:type="pct"/>
                    <w:vAlign w:val="center"/>
                  </w:tcPr>
                  <w:p w14:paraId="7E21BEAD" w14:textId="72C44DF8" w:rsidR="00471D53" w:rsidRPr="00706347" w:rsidRDefault="004F686E">
                    <w:pPr>
                      <w:jc w:val="right"/>
                      <w:rPr>
                        <w:sz w:val="15"/>
                        <w:szCs w:val="15"/>
                      </w:rPr>
                    </w:pPr>
                    <w:r w:rsidRPr="00706347">
                      <w:rPr>
                        <w:rFonts w:hint="eastAsia"/>
                        <w:sz w:val="15"/>
                        <w:szCs w:val="15"/>
                      </w:rPr>
                      <w:t>-22,231,908.38</w:t>
                    </w:r>
                  </w:p>
                </w:tc>
                <w:tc>
                  <w:tcPr>
                    <w:tcW w:w="449" w:type="pct"/>
                    <w:vAlign w:val="center"/>
                  </w:tcPr>
                  <w:p w14:paraId="6F9CFF99" w14:textId="6FF0235E" w:rsidR="00471D53" w:rsidRPr="00706347" w:rsidRDefault="004F686E">
                    <w:pPr>
                      <w:jc w:val="right"/>
                      <w:rPr>
                        <w:sz w:val="15"/>
                        <w:szCs w:val="15"/>
                      </w:rPr>
                    </w:pPr>
                    <w:r w:rsidRPr="00706347">
                      <w:rPr>
                        <w:rFonts w:hint="eastAsia"/>
                        <w:sz w:val="15"/>
                        <w:szCs w:val="15"/>
                      </w:rPr>
                      <w:t>185,493,289.58</w:t>
                    </w:r>
                  </w:p>
                </w:tc>
              </w:tr>
              <w:tr w:rsidR="00471D53" w14:paraId="0874986B" w14:textId="77777777" w:rsidTr="00471D53">
                <w:sdt>
                  <w:sdtPr>
                    <w:tag w:val="_PLD_13b4ec8d0fe34f9797d68eab8f95768d"/>
                    <w:id w:val="1897236329"/>
                    <w:lock w:val="sdtLocked"/>
                  </w:sdtPr>
                  <w:sdtEndPr/>
                  <w:sdtContent>
                    <w:tc>
                      <w:tcPr>
                        <w:tcW w:w="319" w:type="pct"/>
                      </w:tcPr>
                      <w:p w14:paraId="164993A7" w14:textId="77777777" w:rsidR="00471D53" w:rsidRDefault="004F686E">
                        <w:pPr>
                          <w:rPr>
                            <w:sz w:val="18"/>
                            <w:szCs w:val="18"/>
                          </w:rPr>
                        </w:pPr>
                        <w:r>
                          <w:rPr>
                            <w:rFonts w:hint="eastAsia"/>
                            <w:sz w:val="18"/>
                            <w:szCs w:val="18"/>
                          </w:rPr>
                          <w:t>2．其他权益工具持有者投入资本</w:t>
                        </w:r>
                      </w:p>
                    </w:tc>
                  </w:sdtContent>
                </w:sdt>
                <w:tc>
                  <w:tcPr>
                    <w:tcW w:w="449" w:type="pct"/>
                  </w:tcPr>
                  <w:p w14:paraId="4E694804" w14:textId="77777777" w:rsidR="00471D53" w:rsidRDefault="00B664AF">
                    <w:pPr>
                      <w:jc w:val="right"/>
                      <w:rPr>
                        <w:sz w:val="18"/>
                        <w:szCs w:val="18"/>
                      </w:rPr>
                    </w:pPr>
                  </w:p>
                </w:tc>
                <w:tc>
                  <w:tcPr>
                    <w:tcW w:w="141" w:type="pct"/>
                  </w:tcPr>
                  <w:p w14:paraId="37FC9A52" w14:textId="77777777" w:rsidR="00471D53" w:rsidRDefault="00B664AF">
                    <w:pPr>
                      <w:jc w:val="right"/>
                      <w:rPr>
                        <w:sz w:val="18"/>
                        <w:szCs w:val="18"/>
                      </w:rPr>
                    </w:pPr>
                  </w:p>
                </w:tc>
                <w:tc>
                  <w:tcPr>
                    <w:tcW w:w="141" w:type="pct"/>
                  </w:tcPr>
                  <w:p w14:paraId="70B8FF99" w14:textId="77777777" w:rsidR="00471D53" w:rsidRDefault="00B664AF">
                    <w:pPr>
                      <w:jc w:val="right"/>
                      <w:rPr>
                        <w:sz w:val="18"/>
                        <w:szCs w:val="18"/>
                      </w:rPr>
                    </w:pPr>
                  </w:p>
                </w:tc>
                <w:tc>
                  <w:tcPr>
                    <w:tcW w:w="141" w:type="pct"/>
                  </w:tcPr>
                  <w:p w14:paraId="04327930" w14:textId="77777777" w:rsidR="00471D53" w:rsidRDefault="00B664AF">
                    <w:pPr>
                      <w:jc w:val="right"/>
                      <w:rPr>
                        <w:sz w:val="18"/>
                        <w:szCs w:val="18"/>
                      </w:rPr>
                    </w:pPr>
                  </w:p>
                </w:tc>
                <w:tc>
                  <w:tcPr>
                    <w:tcW w:w="467" w:type="pct"/>
                  </w:tcPr>
                  <w:p w14:paraId="1F5FC96E" w14:textId="77777777" w:rsidR="00471D53" w:rsidRDefault="00B664AF">
                    <w:pPr>
                      <w:jc w:val="right"/>
                      <w:rPr>
                        <w:sz w:val="18"/>
                        <w:szCs w:val="18"/>
                      </w:rPr>
                    </w:pPr>
                  </w:p>
                </w:tc>
                <w:tc>
                  <w:tcPr>
                    <w:tcW w:w="204" w:type="pct"/>
                  </w:tcPr>
                  <w:p w14:paraId="38BF5422" w14:textId="77777777" w:rsidR="00471D53" w:rsidRDefault="00B664AF">
                    <w:pPr>
                      <w:jc w:val="right"/>
                      <w:rPr>
                        <w:sz w:val="18"/>
                        <w:szCs w:val="18"/>
                      </w:rPr>
                    </w:pPr>
                  </w:p>
                </w:tc>
                <w:tc>
                  <w:tcPr>
                    <w:tcW w:w="396" w:type="pct"/>
                  </w:tcPr>
                  <w:p w14:paraId="1F0B67A8" w14:textId="77777777" w:rsidR="00471D53" w:rsidRDefault="00B664AF">
                    <w:pPr>
                      <w:jc w:val="right"/>
                      <w:rPr>
                        <w:sz w:val="18"/>
                        <w:szCs w:val="18"/>
                      </w:rPr>
                    </w:pPr>
                  </w:p>
                </w:tc>
                <w:tc>
                  <w:tcPr>
                    <w:tcW w:w="141" w:type="pct"/>
                  </w:tcPr>
                  <w:p w14:paraId="13946091" w14:textId="77777777" w:rsidR="00471D53" w:rsidRDefault="00B664AF">
                    <w:pPr>
                      <w:jc w:val="right"/>
                      <w:rPr>
                        <w:sz w:val="18"/>
                        <w:szCs w:val="18"/>
                      </w:rPr>
                    </w:pPr>
                  </w:p>
                </w:tc>
                <w:tc>
                  <w:tcPr>
                    <w:tcW w:w="423" w:type="pct"/>
                  </w:tcPr>
                  <w:p w14:paraId="3E49478F" w14:textId="77777777" w:rsidR="00471D53" w:rsidRDefault="00B664AF">
                    <w:pPr>
                      <w:jc w:val="right"/>
                      <w:rPr>
                        <w:sz w:val="18"/>
                        <w:szCs w:val="18"/>
                      </w:rPr>
                    </w:pPr>
                  </w:p>
                </w:tc>
                <w:tc>
                  <w:tcPr>
                    <w:tcW w:w="141" w:type="pct"/>
                  </w:tcPr>
                  <w:p w14:paraId="1C4B0B39" w14:textId="77777777" w:rsidR="00471D53" w:rsidRDefault="00B664AF">
                    <w:pPr>
                      <w:jc w:val="right"/>
                      <w:rPr>
                        <w:sz w:val="18"/>
                        <w:szCs w:val="18"/>
                      </w:rPr>
                    </w:pPr>
                  </w:p>
                </w:tc>
                <w:tc>
                  <w:tcPr>
                    <w:tcW w:w="476" w:type="pct"/>
                  </w:tcPr>
                  <w:p w14:paraId="05FA4E1F" w14:textId="77777777" w:rsidR="00471D53" w:rsidRDefault="00B664AF">
                    <w:pPr>
                      <w:jc w:val="right"/>
                      <w:rPr>
                        <w:sz w:val="18"/>
                        <w:szCs w:val="18"/>
                      </w:rPr>
                    </w:pPr>
                  </w:p>
                </w:tc>
                <w:tc>
                  <w:tcPr>
                    <w:tcW w:w="141" w:type="pct"/>
                  </w:tcPr>
                  <w:p w14:paraId="6E93A884" w14:textId="77777777" w:rsidR="00471D53" w:rsidRDefault="00B664AF">
                    <w:pPr>
                      <w:jc w:val="right"/>
                      <w:rPr>
                        <w:sz w:val="18"/>
                        <w:szCs w:val="18"/>
                      </w:rPr>
                    </w:pPr>
                  </w:p>
                </w:tc>
                <w:tc>
                  <w:tcPr>
                    <w:tcW w:w="467" w:type="pct"/>
                  </w:tcPr>
                  <w:p w14:paraId="31B4C511" w14:textId="77777777" w:rsidR="00471D53" w:rsidRDefault="00B664AF">
                    <w:pPr>
                      <w:jc w:val="right"/>
                      <w:rPr>
                        <w:sz w:val="18"/>
                        <w:szCs w:val="18"/>
                      </w:rPr>
                    </w:pPr>
                  </w:p>
                </w:tc>
                <w:tc>
                  <w:tcPr>
                    <w:tcW w:w="506" w:type="pct"/>
                  </w:tcPr>
                  <w:p w14:paraId="7EF8F36A" w14:textId="77777777" w:rsidR="00471D53" w:rsidRDefault="00B664AF">
                    <w:pPr>
                      <w:jc w:val="right"/>
                      <w:rPr>
                        <w:sz w:val="18"/>
                        <w:szCs w:val="18"/>
                      </w:rPr>
                    </w:pPr>
                  </w:p>
                </w:tc>
                <w:tc>
                  <w:tcPr>
                    <w:tcW w:w="449" w:type="pct"/>
                  </w:tcPr>
                  <w:p w14:paraId="2F9F2C55" w14:textId="77777777" w:rsidR="00471D53" w:rsidRDefault="00B664AF">
                    <w:pPr>
                      <w:jc w:val="right"/>
                      <w:rPr>
                        <w:sz w:val="18"/>
                        <w:szCs w:val="18"/>
                      </w:rPr>
                    </w:pPr>
                  </w:p>
                </w:tc>
              </w:tr>
              <w:tr w:rsidR="00471D53" w14:paraId="301C1499" w14:textId="77777777" w:rsidTr="00471D53">
                <w:sdt>
                  <w:sdtPr>
                    <w:tag w:val="_PLD_f1f3be9263a748c28f276e78f447b133"/>
                    <w:id w:val="549884355"/>
                    <w:lock w:val="sdtLocked"/>
                  </w:sdtPr>
                  <w:sdtEndPr/>
                  <w:sdtContent>
                    <w:tc>
                      <w:tcPr>
                        <w:tcW w:w="319" w:type="pct"/>
                      </w:tcPr>
                      <w:p w14:paraId="7C07E4AF" w14:textId="77777777" w:rsidR="00471D53" w:rsidRDefault="004F686E">
                        <w:pPr>
                          <w:rPr>
                            <w:sz w:val="18"/>
                            <w:szCs w:val="18"/>
                          </w:rPr>
                        </w:pPr>
                        <w:r>
                          <w:rPr>
                            <w:rFonts w:hint="eastAsia"/>
                            <w:sz w:val="18"/>
                            <w:szCs w:val="18"/>
                          </w:rPr>
                          <w:t>3</w:t>
                        </w:r>
                        <w:r>
                          <w:rPr>
                            <w:sz w:val="18"/>
                            <w:szCs w:val="18"/>
                          </w:rPr>
                          <w:t>．股份支付计入所有者权益的金额</w:t>
                        </w:r>
                      </w:p>
                    </w:tc>
                  </w:sdtContent>
                </w:sdt>
                <w:tc>
                  <w:tcPr>
                    <w:tcW w:w="449" w:type="pct"/>
                  </w:tcPr>
                  <w:p w14:paraId="594AEED4" w14:textId="77777777" w:rsidR="00471D53" w:rsidRDefault="00B664AF">
                    <w:pPr>
                      <w:jc w:val="right"/>
                      <w:rPr>
                        <w:sz w:val="18"/>
                        <w:szCs w:val="18"/>
                      </w:rPr>
                    </w:pPr>
                  </w:p>
                </w:tc>
                <w:tc>
                  <w:tcPr>
                    <w:tcW w:w="141" w:type="pct"/>
                  </w:tcPr>
                  <w:p w14:paraId="2AB93021" w14:textId="77777777" w:rsidR="00471D53" w:rsidRDefault="00B664AF">
                    <w:pPr>
                      <w:jc w:val="right"/>
                      <w:rPr>
                        <w:sz w:val="18"/>
                        <w:szCs w:val="18"/>
                      </w:rPr>
                    </w:pPr>
                  </w:p>
                </w:tc>
                <w:tc>
                  <w:tcPr>
                    <w:tcW w:w="141" w:type="pct"/>
                  </w:tcPr>
                  <w:p w14:paraId="1D783829" w14:textId="77777777" w:rsidR="00471D53" w:rsidRDefault="00B664AF">
                    <w:pPr>
                      <w:jc w:val="right"/>
                      <w:rPr>
                        <w:sz w:val="18"/>
                        <w:szCs w:val="18"/>
                      </w:rPr>
                    </w:pPr>
                  </w:p>
                </w:tc>
                <w:tc>
                  <w:tcPr>
                    <w:tcW w:w="141" w:type="pct"/>
                  </w:tcPr>
                  <w:p w14:paraId="280F2C07" w14:textId="77777777" w:rsidR="00471D53" w:rsidRDefault="00B664AF">
                    <w:pPr>
                      <w:jc w:val="right"/>
                      <w:rPr>
                        <w:sz w:val="18"/>
                        <w:szCs w:val="18"/>
                      </w:rPr>
                    </w:pPr>
                  </w:p>
                </w:tc>
                <w:tc>
                  <w:tcPr>
                    <w:tcW w:w="467" w:type="pct"/>
                  </w:tcPr>
                  <w:p w14:paraId="6918C5AF" w14:textId="77777777" w:rsidR="00471D53" w:rsidRDefault="00B664AF">
                    <w:pPr>
                      <w:jc w:val="right"/>
                      <w:rPr>
                        <w:sz w:val="18"/>
                        <w:szCs w:val="18"/>
                      </w:rPr>
                    </w:pPr>
                  </w:p>
                </w:tc>
                <w:tc>
                  <w:tcPr>
                    <w:tcW w:w="204" w:type="pct"/>
                  </w:tcPr>
                  <w:p w14:paraId="7664ACCD" w14:textId="77777777" w:rsidR="00471D53" w:rsidRDefault="00B664AF">
                    <w:pPr>
                      <w:jc w:val="right"/>
                      <w:rPr>
                        <w:sz w:val="18"/>
                        <w:szCs w:val="18"/>
                      </w:rPr>
                    </w:pPr>
                  </w:p>
                </w:tc>
                <w:tc>
                  <w:tcPr>
                    <w:tcW w:w="396" w:type="pct"/>
                  </w:tcPr>
                  <w:p w14:paraId="0F4639B3" w14:textId="77777777" w:rsidR="00471D53" w:rsidRDefault="00B664AF">
                    <w:pPr>
                      <w:jc w:val="right"/>
                      <w:rPr>
                        <w:sz w:val="18"/>
                        <w:szCs w:val="18"/>
                      </w:rPr>
                    </w:pPr>
                  </w:p>
                </w:tc>
                <w:tc>
                  <w:tcPr>
                    <w:tcW w:w="141" w:type="pct"/>
                  </w:tcPr>
                  <w:p w14:paraId="14203A02" w14:textId="77777777" w:rsidR="00471D53" w:rsidRDefault="00B664AF">
                    <w:pPr>
                      <w:jc w:val="right"/>
                      <w:rPr>
                        <w:sz w:val="18"/>
                        <w:szCs w:val="18"/>
                      </w:rPr>
                    </w:pPr>
                  </w:p>
                </w:tc>
                <w:tc>
                  <w:tcPr>
                    <w:tcW w:w="423" w:type="pct"/>
                  </w:tcPr>
                  <w:p w14:paraId="335E181F" w14:textId="77777777" w:rsidR="00471D53" w:rsidRDefault="00B664AF">
                    <w:pPr>
                      <w:jc w:val="right"/>
                      <w:rPr>
                        <w:sz w:val="18"/>
                        <w:szCs w:val="18"/>
                      </w:rPr>
                    </w:pPr>
                  </w:p>
                </w:tc>
                <w:tc>
                  <w:tcPr>
                    <w:tcW w:w="141" w:type="pct"/>
                  </w:tcPr>
                  <w:p w14:paraId="3BD03C59" w14:textId="77777777" w:rsidR="00471D53" w:rsidRDefault="00B664AF">
                    <w:pPr>
                      <w:jc w:val="right"/>
                      <w:rPr>
                        <w:sz w:val="18"/>
                        <w:szCs w:val="18"/>
                      </w:rPr>
                    </w:pPr>
                  </w:p>
                </w:tc>
                <w:tc>
                  <w:tcPr>
                    <w:tcW w:w="476" w:type="pct"/>
                  </w:tcPr>
                  <w:p w14:paraId="3EA7E911" w14:textId="77777777" w:rsidR="00471D53" w:rsidRDefault="00B664AF">
                    <w:pPr>
                      <w:jc w:val="right"/>
                      <w:rPr>
                        <w:sz w:val="18"/>
                        <w:szCs w:val="18"/>
                      </w:rPr>
                    </w:pPr>
                  </w:p>
                </w:tc>
                <w:tc>
                  <w:tcPr>
                    <w:tcW w:w="141" w:type="pct"/>
                  </w:tcPr>
                  <w:p w14:paraId="4AA4F6A2" w14:textId="77777777" w:rsidR="00471D53" w:rsidRDefault="00B664AF">
                    <w:pPr>
                      <w:jc w:val="right"/>
                      <w:rPr>
                        <w:sz w:val="18"/>
                        <w:szCs w:val="18"/>
                      </w:rPr>
                    </w:pPr>
                  </w:p>
                </w:tc>
                <w:tc>
                  <w:tcPr>
                    <w:tcW w:w="467" w:type="pct"/>
                  </w:tcPr>
                  <w:p w14:paraId="35968D4D" w14:textId="77777777" w:rsidR="00471D53" w:rsidRDefault="00B664AF">
                    <w:pPr>
                      <w:jc w:val="right"/>
                      <w:rPr>
                        <w:sz w:val="18"/>
                        <w:szCs w:val="18"/>
                      </w:rPr>
                    </w:pPr>
                  </w:p>
                </w:tc>
                <w:tc>
                  <w:tcPr>
                    <w:tcW w:w="506" w:type="pct"/>
                  </w:tcPr>
                  <w:p w14:paraId="6BB7A4C0" w14:textId="77777777" w:rsidR="00471D53" w:rsidRDefault="00B664AF">
                    <w:pPr>
                      <w:jc w:val="right"/>
                      <w:rPr>
                        <w:sz w:val="18"/>
                        <w:szCs w:val="18"/>
                      </w:rPr>
                    </w:pPr>
                  </w:p>
                </w:tc>
                <w:tc>
                  <w:tcPr>
                    <w:tcW w:w="449" w:type="pct"/>
                  </w:tcPr>
                  <w:p w14:paraId="7F385B86" w14:textId="77777777" w:rsidR="00471D53" w:rsidRDefault="00B664AF">
                    <w:pPr>
                      <w:jc w:val="right"/>
                      <w:rPr>
                        <w:sz w:val="18"/>
                        <w:szCs w:val="18"/>
                      </w:rPr>
                    </w:pPr>
                  </w:p>
                </w:tc>
              </w:tr>
              <w:tr w:rsidR="00471D53" w14:paraId="67B83B46" w14:textId="77777777" w:rsidTr="00471D53">
                <w:sdt>
                  <w:sdtPr>
                    <w:tag w:val="_PLD_b361f3a237774bcd8ac416b2b21655eb"/>
                    <w:id w:val="848840914"/>
                    <w:lock w:val="sdtLocked"/>
                  </w:sdtPr>
                  <w:sdtEndPr/>
                  <w:sdtContent>
                    <w:tc>
                      <w:tcPr>
                        <w:tcW w:w="319" w:type="pct"/>
                      </w:tcPr>
                      <w:p w14:paraId="404F013B" w14:textId="77777777" w:rsidR="00471D53" w:rsidRDefault="004F686E">
                        <w:pPr>
                          <w:rPr>
                            <w:sz w:val="18"/>
                            <w:szCs w:val="18"/>
                          </w:rPr>
                        </w:pPr>
                        <w:r>
                          <w:rPr>
                            <w:rFonts w:hint="eastAsia"/>
                            <w:sz w:val="18"/>
                            <w:szCs w:val="18"/>
                          </w:rPr>
                          <w:t>4</w:t>
                        </w:r>
                        <w:r>
                          <w:rPr>
                            <w:sz w:val="18"/>
                            <w:szCs w:val="18"/>
                          </w:rPr>
                          <w:t>．其他</w:t>
                        </w:r>
                      </w:p>
                    </w:tc>
                  </w:sdtContent>
                </w:sdt>
                <w:tc>
                  <w:tcPr>
                    <w:tcW w:w="449" w:type="pct"/>
                    <w:vAlign w:val="center"/>
                  </w:tcPr>
                  <w:p w14:paraId="121E3923"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141" w:type="pct"/>
                    <w:vAlign w:val="center"/>
                  </w:tcPr>
                  <w:p w14:paraId="2C82ABB0"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141" w:type="pct"/>
                    <w:vAlign w:val="center"/>
                  </w:tcPr>
                  <w:p w14:paraId="2C014CB7"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141" w:type="pct"/>
                    <w:vAlign w:val="center"/>
                  </w:tcPr>
                  <w:p w14:paraId="48E8D0C9"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467" w:type="pct"/>
                    <w:vAlign w:val="center"/>
                  </w:tcPr>
                  <w:p w14:paraId="269E93BA" w14:textId="6A89CC26" w:rsidR="00471D53" w:rsidRPr="00706347" w:rsidRDefault="004F686E">
                    <w:pPr>
                      <w:jc w:val="right"/>
                      <w:rPr>
                        <w:sz w:val="15"/>
                        <w:szCs w:val="15"/>
                      </w:rPr>
                    </w:pPr>
                    <w:r w:rsidRPr="00706347">
                      <w:rPr>
                        <w:rFonts w:hint="eastAsia"/>
                        <w:sz w:val="15"/>
                        <w:szCs w:val="15"/>
                      </w:rPr>
                      <w:t>926,292.72</w:t>
                    </w:r>
                  </w:p>
                </w:tc>
                <w:tc>
                  <w:tcPr>
                    <w:tcW w:w="204" w:type="pct"/>
                    <w:vAlign w:val="center"/>
                  </w:tcPr>
                  <w:p w14:paraId="2C95FED8"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396" w:type="pct"/>
                    <w:vAlign w:val="center"/>
                  </w:tcPr>
                  <w:p w14:paraId="115E67C2"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141" w:type="pct"/>
                    <w:vAlign w:val="center"/>
                  </w:tcPr>
                  <w:p w14:paraId="6DBF354C"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423" w:type="pct"/>
                    <w:vAlign w:val="center"/>
                  </w:tcPr>
                  <w:p w14:paraId="5B6C8ACF"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141" w:type="pct"/>
                    <w:vAlign w:val="center"/>
                  </w:tcPr>
                  <w:p w14:paraId="6E161E1C"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476" w:type="pct"/>
                    <w:vAlign w:val="center"/>
                  </w:tcPr>
                  <w:p w14:paraId="618DFC20"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141" w:type="pct"/>
                    <w:vAlign w:val="center"/>
                  </w:tcPr>
                  <w:p w14:paraId="1F0E3D74" w14:textId="77777777" w:rsidR="00471D53" w:rsidRPr="00706347" w:rsidRDefault="004F686E">
                    <w:pPr>
                      <w:jc w:val="right"/>
                      <w:rPr>
                        <w:color w:val="FFFFFF"/>
                        <w:sz w:val="15"/>
                        <w:szCs w:val="15"/>
                      </w:rPr>
                    </w:pPr>
                    <w:r w:rsidRPr="00706347">
                      <w:rPr>
                        <w:rFonts w:hint="eastAsia"/>
                        <w:color w:val="FFFFFF"/>
                        <w:sz w:val="15"/>
                        <w:szCs w:val="15"/>
                      </w:rPr>
                      <w:t xml:space="preserve">　</w:t>
                    </w:r>
                  </w:p>
                </w:tc>
                <w:tc>
                  <w:tcPr>
                    <w:tcW w:w="467" w:type="pct"/>
                    <w:vAlign w:val="center"/>
                  </w:tcPr>
                  <w:p w14:paraId="00585F37" w14:textId="4369C983" w:rsidR="00471D53" w:rsidRPr="00706347" w:rsidRDefault="004F686E">
                    <w:pPr>
                      <w:jc w:val="right"/>
                      <w:rPr>
                        <w:sz w:val="15"/>
                        <w:szCs w:val="15"/>
                      </w:rPr>
                    </w:pPr>
                    <w:r w:rsidRPr="00706347">
                      <w:rPr>
                        <w:rFonts w:hint="eastAsia"/>
                        <w:sz w:val="15"/>
                        <w:szCs w:val="15"/>
                      </w:rPr>
                      <w:t>926,292.72</w:t>
                    </w:r>
                  </w:p>
                </w:tc>
                <w:tc>
                  <w:tcPr>
                    <w:tcW w:w="506" w:type="pct"/>
                    <w:vAlign w:val="center"/>
                  </w:tcPr>
                  <w:p w14:paraId="59496CD0" w14:textId="4C647C28" w:rsidR="00471D53" w:rsidRPr="00706347" w:rsidRDefault="004F686E">
                    <w:pPr>
                      <w:jc w:val="right"/>
                      <w:rPr>
                        <w:sz w:val="15"/>
                        <w:szCs w:val="15"/>
                      </w:rPr>
                    </w:pPr>
                    <w:r w:rsidRPr="00706347">
                      <w:rPr>
                        <w:rFonts w:hint="eastAsia"/>
                        <w:sz w:val="15"/>
                        <w:szCs w:val="15"/>
                      </w:rPr>
                      <w:t>-926,292.72</w:t>
                    </w:r>
                  </w:p>
                </w:tc>
                <w:tc>
                  <w:tcPr>
                    <w:tcW w:w="449" w:type="pct"/>
                    <w:vAlign w:val="center"/>
                  </w:tcPr>
                  <w:p w14:paraId="70E04B5E" w14:textId="45FBF501" w:rsidR="00471D53" w:rsidRPr="00706347" w:rsidRDefault="004F686E" w:rsidP="00471D53">
                    <w:pPr>
                      <w:jc w:val="right"/>
                      <w:rPr>
                        <w:color w:val="FFFFFF"/>
                        <w:sz w:val="15"/>
                        <w:szCs w:val="15"/>
                      </w:rPr>
                    </w:pPr>
                    <w:r w:rsidRPr="00706347">
                      <w:rPr>
                        <w:rFonts w:hint="eastAsia"/>
                        <w:color w:val="FFFFFF"/>
                        <w:sz w:val="15"/>
                        <w:szCs w:val="15"/>
                      </w:rPr>
                      <w:t>0</w:t>
                    </w:r>
                  </w:p>
                </w:tc>
              </w:tr>
              <w:tr w:rsidR="00471D53" w14:paraId="503BEBBF" w14:textId="77777777" w:rsidTr="00471D53">
                <w:sdt>
                  <w:sdtPr>
                    <w:tag w:val="_PLD_a7e75a2d1ed049d9bbdb0ef093ac9478"/>
                    <w:id w:val="55912795"/>
                    <w:lock w:val="sdtLocked"/>
                  </w:sdtPr>
                  <w:sdtEndPr/>
                  <w:sdtContent>
                    <w:tc>
                      <w:tcPr>
                        <w:tcW w:w="319" w:type="pct"/>
                      </w:tcPr>
                      <w:p w14:paraId="21C6DC73" w14:textId="77777777" w:rsidR="00471D53" w:rsidRDefault="004F686E">
                        <w:pPr>
                          <w:rPr>
                            <w:sz w:val="18"/>
                            <w:szCs w:val="18"/>
                          </w:rPr>
                        </w:pPr>
                        <w:r>
                          <w:rPr>
                            <w:sz w:val="18"/>
                            <w:szCs w:val="18"/>
                          </w:rPr>
                          <w:t>（</w:t>
                        </w:r>
                        <w:r>
                          <w:rPr>
                            <w:rFonts w:hint="eastAsia"/>
                            <w:sz w:val="18"/>
                            <w:szCs w:val="18"/>
                          </w:rPr>
                          <w:t>三</w:t>
                        </w:r>
                        <w:r>
                          <w:rPr>
                            <w:sz w:val="18"/>
                            <w:szCs w:val="18"/>
                          </w:rPr>
                          <w:t>）利润分配</w:t>
                        </w:r>
                      </w:p>
                    </w:tc>
                  </w:sdtContent>
                </w:sdt>
                <w:tc>
                  <w:tcPr>
                    <w:tcW w:w="449" w:type="pct"/>
                  </w:tcPr>
                  <w:p w14:paraId="4110BEF8" w14:textId="77777777" w:rsidR="00471D53" w:rsidRDefault="00B664AF">
                    <w:pPr>
                      <w:jc w:val="right"/>
                      <w:rPr>
                        <w:sz w:val="18"/>
                        <w:szCs w:val="18"/>
                      </w:rPr>
                    </w:pPr>
                  </w:p>
                </w:tc>
                <w:tc>
                  <w:tcPr>
                    <w:tcW w:w="141" w:type="pct"/>
                  </w:tcPr>
                  <w:p w14:paraId="3A7AF541" w14:textId="77777777" w:rsidR="00471D53" w:rsidRDefault="00B664AF">
                    <w:pPr>
                      <w:jc w:val="right"/>
                      <w:rPr>
                        <w:sz w:val="18"/>
                        <w:szCs w:val="18"/>
                      </w:rPr>
                    </w:pPr>
                  </w:p>
                </w:tc>
                <w:tc>
                  <w:tcPr>
                    <w:tcW w:w="141" w:type="pct"/>
                  </w:tcPr>
                  <w:p w14:paraId="1A1F8B31" w14:textId="77777777" w:rsidR="00471D53" w:rsidRDefault="00B664AF">
                    <w:pPr>
                      <w:jc w:val="right"/>
                      <w:rPr>
                        <w:sz w:val="18"/>
                        <w:szCs w:val="18"/>
                      </w:rPr>
                    </w:pPr>
                  </w:p>
                </w:tc>
                <w:tc>
                  <w:tcPr>
                    <w:tcW w:w="141" w:type="pct"/>
                  </w:tcPr>
                  <w:p w14:paraId="472BA2B4" w14:textId="77777777" w:rsidR="00471D53" w:rsidRDefault="00B664AF">
                    <w:pPr>
                      <w:jc w:val="right"/>
                      <w:rPr>
                        <w:sz w:val="18"/>
                        <w:szCs w:val="18"/>
                      </w:rPr>
                    </w:pPr>
                  </w:p>
                </w:tc>
                <w:tc>
                  <w:tcPr>
                    <w:tcW w:w="467" w:type="pct"/>
                  </w:tcPr>
                  <w:p w14:paraId="700DAD4D" w14:textId="77777777" w:rsidR="00471D53" w:rsidRDefault="00B664AF">
                    <w:pPr>
                      <w:jc w:val="right"/>
                      <w:rPr>
                        <w:sz w:val="18"/>
                        <w:szCs w:val="18"/>
                      </w:rPr>
                    </w:pPr>
                  </w:p>
                </w:tc>
                <w:tc>
                  <w:tcPr>
                    <w:tcW w:w="204" w:type="pct"/>
                  </w:tcPr>
                  <w:p w14:paraId="57BE61FA" w14:textId="77777777" w:rsidR="00471D53" w:rsidRDefault="00B664AF">
                    <w:pPr>
                      <w:jc w:val="right"/>
                      <w:rPr>
                        <w:sz w:val="18"/>
                        <w:szCs w:val="18"/>
                      </w:rPr>
                    </w:pPr>
                  </w:p>
                </w:tc>
                <w:tc>
                  <w:tcPr>
                    <w:tcW w:w="396" w:type="pct"/>
                  </w:tcPr>
                  <w:p w14:paraId="3DC1892A" w14:textId="77777777" w:rsidR="00471D53" w:rsidRDefault="00B664AF">
                    <w:pPr>
                      <w:jc w:val="right"/>
                      <w:rPr>
                        <w:sz w:val="18"/>
                        <w:szCs w:val="18"/>
                      </w:rPr>
                    </w:pPr>
                  </w:p>
                </w:tc>
                <w:tc>
                  <w:tcPr>
                    <w:tcW w:w="141" w:type="pct"/>
                  </w:tcPr>
                  <w:p w14:paraId="44B7E5D3" w14:textId="77777777" w:rsidR="00471D53" w:rsidRDefault="00B664AF">
                    <w:pPr>
                      <w:jc w:val="right"/>
                      <w:rPr>
                        <w:sz w:val="18"/>
                        <w:szCs w:val="18"/>
                      </w:rPr>
                    </w:pPr>
                  </w:p>
                </w:tc>
                <w:tc>
                  <w:tcPr>
                    <w:tcW w:w="423" w:type="pct"/>
                  </w:tcPr>
                  <w:p w14:paraId="5DF8BA20" w14:textId="77777777" w:rsidR="00471D53" w:rsidRDefault="00B664AF">
                    <w:pPr>
                      <w:jc w:val="right"/>
                      <w:rPr>
                        <w:sz w:val="18"/>
                        <w:szCs w:val="18"/>
                      </w:rPr>
                    </w:pPr>
                  </w:p>
                </w:tc>
                <w:tc>
                  <w:tcPr>
                    <w:tcW w:w="141" w:type="pct"/>
                  </w:tcPr>
                  <w:p w14:paraId="2A093BBD" w14:textId="77777777" w:rsidR="00471D53" w:rsidRDefault="00B664AF">
                    <w:pPr>
                      <w:jc w:val="right"/>
                      <w:rPr>
                        <w:sz w:val="18"/>
                        <w:szCs w:val="18"/>
                      </w:rPr>
                    </w:pPr>
                  </w:p>
                </w:tc>
                <w:tc>
                  <w:tcPr>
                    <w:tcW w:w="476" w:type="pct"/>
                  </w:tcPr>
                  <w:p w14:paraId="3F457A88" w14:textId="77777777" w:rsidR="00471D53" w:rsidRDefault="00B664AF">
                    <w:pPr>
                      <w:jc w:val="right"/>
                      <w:rPr>
                        <w:sz w:val="18"/>
                        <w:szCs w:val="18"/>
                      </w:rPr>
                    </w:pPr>
                  </w:p>
                </w:tc>
                <w:tc>
                  <w:tcPr>
                    <w:tcW w:w="141" w:type="pct"/>
                  </w:tcPr>
                  <w:p w14:paraId="677A8813" w14:textId="77777777" w:rsidR="00471D53" w:rsidRDefault="00B664AF">
                    <w:pPr>
                      <w:jc w:val="right"/>
                      <w:rPr>
                        <w:sz w:val="18"/>
                        <w:szCs w:val="18"/>
                      </w:rPr>
                    </w:pPr>
                  </w:p>
                </w:tc>
                <w:tc>
                  <w:tcPr>
                    <w:tcW w:w="467" w:type="pct"/>
                  </w:tcPr>
                  <w:p w14:paraId="62C3247B" w14:textId="77777777" w:rsidR="00471D53" w:rsidRDefault="00B664AF">
                    <w:pPr>
                      <w:jc w:val="right"/>
                      <w:rPr>
                        <w:sz w:val="18"/>
                        <w:szCs w:val="18"/>
                      </w:rPr>
                    </w:pPr>
                  </w:p>
                </w:tc>
                <w:tc>
                  <w:tcPr>
                    <w:tcW w:w="506" w:type="pct"/>
                  </w:tcPr>
                  <w:p w14:paraId="735B6BE1" w14:textId="77777777" w:rsidR="00471D53" w:rsidRDefault="00B664AF">
                    <w:pPr>
                      <w:jc w:val="right"/>
                      <w:rPr>
                        <w:sz w:val="18"/>
                        <w:szCs w:val="18"/>
                      </w:rPr>
                    </w:pPr>
                  </w:p>
                </w:tc>
                <w:tc>
                  <w:tcPr>
                    <w:tcW w:w="449" w:type="pct"/>
                  </w:tcPr>
                  <w:p w14:paraId="154697D8" w14:textId="77777777" w:rsidR="00471D53" w:rsidRDefault="00B664AF">
                    <w:pPr>
                      <w:jc w:val="right"/>
                      <w:rPr>
                        <w:sz w:val="18"/>
                        <w:szCs w:val="18"/>
                      </w:rPr>
                    </w:pPr>
                  </w:p>
                </w:tc>
              </w:tr>
              <w:tr w:rsidR="00471D53" w14:paraId="112523CC" w14:textId="77777777" w:rsidTr="00471D53">
                <w:sdt>
                  <w:sdtPr>
                    <w:tag w:val="_PLD_728c39864cdd4a7c93d6a2bae73ac47f"/>
                    <w:id w:val="-951404191"/>
                    <w:lock w:val="sdtLocked"/>
                  </w:sdtPr>
                  <w:sdtEndPr/>
                  <w:sdtContent>
                    <w:tc>
                      <w:tcPr>
                        <w:tcW w:w="319" w:type="pct"/>
                      </w:tcPr>
                      <w:p w14:paraId="25CFD3A8" w14:textId="77777777" w:rsidR="00471D53" w:rsidRDefault="004F686E">
                        <w:pPr>
                          <w:rPr>
                            <w:sz w:val="18"/>
                            <w:szCs w:val="18"/>
                          </w:rPr>
                        </w:pPr>
                        <w:r>
                          <w:rPr>
                            <w:sz w:val="18"/>
                            <w:szCs w:val="18"/>
                          </w:rPr>
                          <w:t>1．提取盈余公积</w:t>
                        </w:r>
                      </w:p>
                    </w:tc>
                  </w:sdtContent>
                </w:sdt>
                <w:tc>
                  <w:tcPr>
                    <w:tcW w:w="449" w:type="pct"/>
                  </w:tcPr>
                  <w:p w14:paraId="1AC8A85E" w14:textId="77777777" w:rsidR="00471D53" w:rsidRDefault="00B664AF">
                    <w:pPr>
                      <w:jc w:val="right"/>
                      <w:rPr>
                        <w:sz w:val="18"/>
                        <w:szCs w:val="18"/>
                      </w:rPr>
                    </w:pPr>
                  </w:p>
                </w:tc>
                <w:tc>
                  <w:tcPr>
                    <w:tcW w:w="141" w:type="pct"/>
                  </w:tcPr>
                  <w:p w14:paraId="1EEFDA8B" w14:textId="77777777" w:rsidR="00471D53" w:rsidRDefault="00B664AF">
                    <w:pPr>
                      <w:jc w:val="right"/>
                      <w:rPr>
                        <w:sz w:val="18"/>
                        <w:szCs w:val="18"/>
                      </w:rPr>
                    </w:pPr>
                  </w:p>
                </w:tc>
                <w:tc>
                  <w:tcPr>
                    <w:tcW w:w="141" w:type="pct"/>
                  </w:tcPr>
                  <w:p w14:paraId="729FC968" w14:textId="77777777" w:rsidR="00471D53" w:rsidRDefault="00B664AF">
                    <w:pPr>
                      <w:jc w:val="right"/>
                      <w:rPr>
                        <w:sz w:val="18"/>
                        <w:szCs w:val="18"/>
                      </w:rPr>
                    </w:pPr>
                  </w:p>
                </w:tc>
                <w:tc>
                  <w:tcPr>
                    <w:tcW w:w="141" w:type="pct"/>
                  </w:tcPr>
                  <w:p w14:paraId="76FE7C7C" w14:textId="77777777" w:rsidR="00471D53" w:rsidRDefault="00B664AF">
                    <w:pPr>
                      <w:jc w:val="right"/>
                      <w:rPr>
                        <w:sz w:val="18"/>
                        <w:szCs w:val="18"/>
                      </w:rPr>
                    </w:pPr>
                  </w:p>
                </w:tc>
                <w:tc>
                  <w:tcPr>
                    <w:tcW w:w="467" w:type="pct"/>
                  </w:tcPr>
                  <w:p w14:paraId="1BFA9BDB" w14:textId="77777777" w:rsidR="00471D53" w:rsidRDefault="00B664AF">
                    <w:pPr>
                      <w:jc w:val="right"/>
                      <w:rPr>
                        <w:sz w:val="18"/>
                        <w:szCs w:val="18"/>
                      </w:rPr>
                    </w:pPr>
                  </w:p>
                </w:tc>
                <w:tc>
                  <w:tcPr>
                    <w:tcW w:w="204" w:type="pct"/>
                  </w:tcPr>
                  <w:p w14:paraId="7839EF4E" w14:textId="77777777" w:rsidR="00471D53" w:rsidRDefault="00B664AF">
                    <w:pPr>
                      <w:jc w:val="right"/>
                      <w:rPr>
                        <w:sz w:val="18"/>
                        <w:szCs w:val="18"/>
                      </w:rPr>
                    </w:pPr>
                  </w:p>
                </w:tc>
                <w:tc>
                  <w:tcPr>
                    <w:tcW w:w="396" w:type="pct"/>
                  </w:tcPr>
                  <w:p w14:paraId="619E7FDD" w14:textId="77777777" w:rsidR="00471D53" w:rsidRDefault="00B664AF">
                    <w:pPr>
                      <w:jc w:val="right"/>
                      <w:rPr>
                        <w:sz w:val="18"/>
                        <w:szCs w:val="18"/>
                      </w:rPr>
                    </w:pPr>
                  </w:p>
                </w:tc>
                <w:tc>
                  <w:tcPr>
                    <w:tcW w:w="141" w:type="pct"/>
                  </w:tcPr>
                  <w:p w14:paraId="189C3D4B" w14:textId="77777777" w:rsidR="00471D53" w:rsidRDefault="00B664AF">
                    <w:pPr>
                      <w:jc w:val="right"/>
                      <w:rPr>
                        <w:sz w:val="18"/>
                        <w:szCs w:val="18"/>
                      </w:rPr>
                    </w:pPr>
                  </w:p>
                </w:tc>
                <w:tc>
                  <w:tcPr>
                    <w:tcW w:w="423" w:type="pct"/>
                  </w:tcPr>
                  <w:p w14:paraId="3CE83153" w14:textId="77777777" w:rsidR="00471D53" w:rsidRDefault="00B664AF">
                    <w:pPr>
                      <w:jc w:val="right"/>
                      <w:rPr>
                        <w:sz w:val="18"/>
                        <w:szCs w:val="18"/>
                      </w:rPr>
                    </w:pPr>
                  </w:p>
                </w:tc>
                <w:tc>
                  <w:tcPr>
                    <w:tcW w:w="141" w:type="pct"/>
                  </w:tcPr>
                  <w:p w14:paraId="32B91724" w14:textId="77777777" w:rsidR="00471D53" w:rsidRDefault="00B664AF">
                    <w:pPr>
                      <w:jc w:val="right"/>
                      <w:rPr>
                        <w:sz w:val="18"/>
                        <w:szCs w:val="18"/>
                      </w:rPr>
                    </w:pPr>
                  </w:p>
                </w:tc>
                <w:tc>
                  <w:tcPr>
                    <w:tcW w:w="476" w:type="pct"/>
                  </w:tcPr>
                  <w:p w14:paraId="01B99FB1" w14:textId="77777777" w:rsidR="00471D53" w:rsidRDefault="00B664AF">
                    <w:pPr>
                      <w:jc w:val="right"/>
                      <w:rPr>
                        <w:sz w:val="18"/>
                        <w:szCs w:val="18"/>
                      </w:rPr>
                    </w:pPr>
                  </w:p>
                </w:tc>
                <w:tc>
                  <w:tcPr>
                    <w:tcW w:w="141" w:type="pct"/>
                  </w:tcPr>
                  <w:p w14:paraId="492FF416" w14:textId="77777777" w:rsidR="00471D53" w:rsidRDefault="00B664AF">
                    <w:pPr>
                      <w:jc w:val="right"/>
                      <w:rPr>
                        <w:sz w:val="18"/>
                        <w:szCs w:val="18"/>
                      </w:rPr>
                    </w:pPr>
                  </w:p>
                </w:tc>
                <w:tc>
                  <w:tcPr>
                    <w:tcW w:w="467" w:type="pct"/>
                  </w:tcPr>
                  <w:p w14:paraId="4FB3BEF8" w14:textId="77777777" w:rsidR="00471D53" w:rsidRDefault="00B664AF">
                    <w:pPr>
                      <w:jc w:val="right"/>
                      <w:rPr>
                        <w:sz w:val="18"/>
                        <w:szCs w:val="18"/>
                      </w:rPr>
                    </w:pPr>
                  </w:p>
                </w:tc>
                <w:tc>
                  <w:tcPr>
                    <w:tcW w:w="506" w:type="pct"/>
                  </w:tcPr>
                  <w:p w14:paraId="3DB20BCE" w14:textId="77777777" w:rsidR="00471D53" w:rsidRDefault="00B664AF">
                    <w:pPr>
                      <w:jc w:val="right"/>
                      <w:rPr>
                        <w:sz w:val="18"/>
                        <w:szCs w:val="18"/>
                      </w:rPr>
                    </w:pPr>
                  </w:p>
                </w:tc>
                <w:tc>
                  <w:tcPr>
                    <w:tcW w:w="449" w:type="pct"/>
                  </w:tcPr>
                  <w:p w14:paraId="727BC443" w14:textId="77777777" w:rsidR="00471D53" w:rsidRDefault="00B664AF">
                    <w:pPr>
                      <w:jc w:val="right"/>
                      <w:rPr>
                        <w:sz w:val="18"/>
                        <w:szCs w:val="18"/>
                      </w:rPr>
                    </w:pPr>
                  </w:p>
                </w:tc>
              </w:tr>
              <w:tr w:rsidR="00471D53" w14:paraId="0CABA854" w14:textId="77777777" w:rsidTr="00471D53">
                <w:sdt>
                  <w:sdtPr>
                    <w:tag w:val="_PLD_6d8c8a0de80b4f6a97fdb16b82b3a6ac"/>
                    <w:id w:val="288324938"/>
                    <w:lock w:val="sdtLocked"/>
                  </w:sdtPr>
                  <w:sdtEndPr/>
                  <w:sdtContent>
                    <w:tc>
                      <w:tcPr>
                        <w:tcW w:w="319" w:type="pct"/>
                      </w:tcPr>
                      <w:p w14:paraId="58DAFA7C" w14:textId="77777777" w:rsidR="00471D53" w:rsidRDefault="004F686E">
                        <w:pPr>
                          <w:rPr>
                            <w:sz w:val="18"/>
                            <w:szCs w:val="18"/>
                          </w:rPr>
                        </w:pPr>
                        <w:r>
                          <w:rPr>
                            <w:sz w:val="18"/>
                            <w:szCs w:val="18"/>
                          </w:rPr>
                          <w:t>2．提取一般风险准备</w:t>
                        </w:r>
                      </w:p>
                    </w:tc>
                  </w:sdtContent>
                </w:sdt>
                <w:tc>
                  <w:tcPr>
                    <w:tcW w:w="449" w:type="pct"/>
                  </w:tcPr>
                  <w:p w14:paraId="031294DB" w14:textId="77777777" w:rsidR="00471D53" w:rsidRDefault="00B664AF">
                    <w:pPr>
                      <w:jc w:val="right"/>
                      <w:rPr>
                        <w:sz w:val="18"/>
                        <w:szCs w:val="18"/>
                      </w:rPr>
                    </w:pPr>
                  </w:p>
                </w:tc>
                <w:tc>
                  <w:tcPr>
                    <w:tcW w:w="141" w:type="pct"/>
                  </w:tcPr>
                  <w:p w14:paraId="7AE550D3" w14:textId="77777777" w:rsidR="00471D53" w:rsidRDefault="00B664AF">
                    <w:pPr>
                      <w:jc w:val="right"/>
                      <w:rPr>
                        <w:sz w:val="18"/>
                        <w:szCs w:val="18"/>
                      </w:rPr>
                    </w:pPr>
                  </w:p>
                </w:tc>
                <w:tc>
                  <w:tcPr>
                    <w:tcW w:w="141" w:type="pct"/>
                  </w:tcPr>
                  <w:p w14:paraId="4A5AA27E" w14:textId="77777777" w:rsidR="00471D53" w:rsidRDefault="00B664AF">
                    <w:pPr>
                      <w:jc w:val="right"/>
                      <w:rPr>
                        <w:sz w:val="18"/>
                        <w:szCs w:val="18"/>
                      </w:rPr>
                    </w:pPr>
                  </w:p>
                </w:tc>
                <w:tc>
                  <w:tcPr>
                    <w:tcW w:w="141" w:type="pct"/>
                  </w:tcPr>
                  <w:p w14:paraId="1218A5A6" w14:textId="77777777" w:rsidR="00471D53" w:rsidRDefault="00B664AF">
                    <w:pPr>
                      <w:jc w:val="right"/>
                      <w:rPr>
                        <w:sz w:val="18"/>
                        <w:szCs w:val="18"/>
                      </w:rPr>
                    </w:pPr>
                  </w:p>
                </w:tc>
                <w:tc>
                  <w:tcPr>
                    <w:tcW w:w="467" w:type="pct"/>
                  </w:tcPr>
                  <w:p w14:paraId="56979E08" w14:textId="77777777" w:rsidR="00471D53" w:rsidRDefault="00B664AF">
                    <w:pPr>
                      <w:jc w:val="right"/>
                      <w:rPr>
                        <w:sz w:val="18"/>
                        <w:szCs w:val="18"/>
                      </w:rPr>
                    </w:pPr>
                  </w:p>
                </w:tc>
                <w:tc>
                  <w:tcPr>
                    <w:tcW w:w="204" w:type="pct"/>
                  </w:tcPr>
                  <w:p w14:paraId="119672C0" w14:textId="77777777" w:rsidR="00471D53" w:rsidRDefault="00B664AF">
                    <w:pPr>
                      <w:jc w:val="right"/>
                      <w:rPr>
                        <w:sz w:val="18"/>
                        <w:szCs w:val="18"/>
                      </w:rPr>
                    </w:pPr>
                  </w:p>
                </w:tc>
                <w:tc>
                  <w:tcPr>
                    <w:tcW w:w="396" w:type="pct"/>
                  </w:tcPr>
                  <w:p w14:paraId="53BCDB0F" w14:textId="77777777" w:rsidR="00471D53" w:rsidRDefault="00B664AF">
                    <w:pPr>
                      <w:jc w:val="right"/>
                      <w:rPr>
                        <w:sz w:val="18"/>
                        <w:szCs w:val="18"/>
                      </w:rPr>
                    </w:pPr>
                  </w:p>
                </w:tc>
                <w:tc>
                  <w:tcPr>
                    <w:tcW w:w="141" w:type="pct"/>
                  </w:tcPr>
                  <w:p w14:paraId="0F2CA7D8" w14:textId="77777777" w:rsidR="00471D53" w:rsidRDefault="00B664AF">
                    <w:pPr>
                      <w:jc w:val="right"/>
                      <w:rPr>
                        <w:sz w:val="18"/>
                        <w:szCs w:val="18"/>
                      </w:rPr>
                    </w:pPr>
                  </w:p>
                </w:tc>
                <w:tc>
                  <w:tcPr>
                    <w:tcW w:w="423" w:type="pct"/>
                  </w:tcPr>
                  <w:p w14:paraId="3F2FB155" w14:textId="77777777" w:rsidR="00471D53" w:rsidRDefault="00B664AF">
                    <w:pPr>
                      <w:jc w:val="right"/>
                      <w:rPr>
                        <w:sz w:val="18"/>
                        <w:szCs w:val="18"/>
                      </w:rPr>
                    </w:pPr>
                  </w:p>
                </w:tc>
                <w:tc>
                  <w:tcPr>
                    <w:tcW w:w="141" w:type="pct"/>
                  </w:tcPr>
                  <w:p w14:paraId="23B2D5A2" w14:textId="77777777" w:rsidR="00471D53" w:rsidRDefault="00B664AF">
                    <w:pPr>
                      <w:jc w:val="right"/>
                      <w:rPr>
                        <w:sz w:val="18"/>
                        <w:szCs w:val="18"/>
                      </w:rPr>
                    </w:pPr>
                  </w:p>
                </w:tc>
                <w:tc>
                  <w:tcPr>
                    <w:tcW w:w="476" w:type="pct"/>
                  </w:tcPr>
                  <w:p w14:paraId="1EBA73D5" w14:textId="77777777" w:rsidR="00471D53" w:rsidRDefault="00B664AF">
                    <w:pPr>
                      <w:jc w:val="right"/>
                      <w:rPr>
                        <w:sz w:val="18"/>
                        <w:szCs w:val="18"/>
                      </w:rPr>
                    </w:pPr>
                  </w:p>
                </w:tc>
                <w:tc>
                  <w:tcPr>
                    <w:tcW w:w="141" w:type="pct"/>
                  </w:tcPr>
                  <w:p w14:paraId="71FA6CE5" w14:textId="77777777" w:rsidR="00471D53" w:rsidRDefault="00B664AF">
                    <w:pPr>
                      <w:jc w:val="right"/>
                      <w:rPr>
                        <w:sz w:val="18"/>
                        <w:szCs w:val="18"/>
                      </w:rPr>
                    </w:pPr>
                  </w:p>
                </w:tc>
                <w:tc>
                  <w:tcPr>
                    <w:tcW w:w="467" w:type="pct"/>
                  </w:tcPr>
                  <w:p w14:paraId="2F308813" w14:textId="77777777" w:rsidR="00471D53" w:rsidRDefault="00B664AF">
                    <w:pPr>
                      <w:jc w:val="right"/>
                      <w:rPr>
                        <w:sz w:val="18"/>
                        <w:szCs w:val="18"/>
                      </w:rPr>
                    </w:pPr>
                  </w:p>
                </w:tc>
                <w:tc>
                  <w:tcPr>
                    <w:tcW w:w="506" w:type="pct"/>
                  </w:tcPr>
                  <w:p w14:paraId="73E1168B" w14:textId="77777777" w:rsidR="00471D53" w:rsidRDefault="00B664AF">
                    <w:pPr>
                      <w:jc w:val="right"/>
                      <w:rPr>
                        <w:sz w:val="18"/>
                        <w:szCs w:val="18"/>
                      </w:rPr>
                    </w:pPr>
                  </w:p>
                </w:tc>
                <w:tc>
                  <w:tcPr>
                    <w:tcW w:w="449" w:type="pct"/>
                  </w:tcPr>
                  <w:p w14:paraId="1D2AC3F1" w14:textId="77777777" w:rsidR="00471D53" w:rsidRDefault="00B664AF">
                    <w:pPr>
                      <w:jc w:val="right"/>
                      <w:rPr>
                        <w:sz w:val="18"/>
                        <w:szCs w:val="18"/>
                      </w:rPr>
                    </w:pPr>
                  </w:p>
                </w:tc>
              </w:tr>
              <w:tr w:rsidR="00471D53" w14:paraId="0A7E9E29" w14:textId="77777777" w:rsidTr="00471D53">
                <w:sdt>
                  <w:sdtPr>
                    <w:tag w:val="_PLD_a5531db3e1d84f3897cb962fdc73ab3d"/>
                    <w:id w:val="-568425715"/>
                    <w:lock w:val="sdtLocked"/>
                  </w:sdtPr>
                  <w:sdtEndPr/>
                  <w:sdtContent>
                    <w:tc>
                      <w:tcPr>
                        <w:tcW w:w="319" w:type="pct"/>
                      </w:tcPr>
                      <w:p w14:paraId="306565B3" w14:textId="77777777" w:rsidR="00471D53" w:rsidRDefault="004F686E">
                        <w:pPr>
                          <w:rPr>
                            <w:sz w:val="18"/>
                            <w:szCs w:val="18"/>
                          </w:rPr>
                        </w:pPr>
                        <w:r>
                          <w:rPr>
                            <w:sz w:val="18"/>
                            <w:szCs w:val="18"/>
                          </w:rPr>
                          <w:t>3．对所有者（或股东）的分配</w:t>
                        </w:r>
                      </w:p>
                    </w:tc>
                  </w:sdtContent>
                </w:sdt>
                <w:tc>
                  <w:tcPr>
                    <w:tcW w:w="449" w:type="pct"/>
                  </w:tcPr>
                  <w:p w14:paraId="094F965E" w14:textId="77777777" w:rsidR="00471D53" w:rsidRDefault="00B664AF">
                    <w:pPr>
                      <w:jc w:val="right"/>
                      <w:rPr>
                        <w:sz w:val="18"/>
                        <w:szCs w:val="18"/>
                      </w:rPr>
                    </w:pPr>
                  </w:p>
                </w:tc>
                <w:tc>
                  <w:tcPr>
                    <w:tcW w:w="141" w:type="pct"/>
                  </w:tcPr>
                  <w:p w14:paraId="4D4851E4" w14:textId="77777777" w:rsidR="00471D53" w:rsidRDefault="00B664AF">
                    <w:pPr>
                      <w:jc w:val="right"/>
                      <w:rPr>
                        <w:sz w:val="18"/>
                        <w:szCs w:val="18"/>
                      </w:rPr>
                    </w:pPr>
                  </w:p>
                </w:tc>
                <w:tc>
                  <w:tcPr>
                    <w:tcW w:w="141" w:type="pct"/>
                  </w:tcPr>
                  <w:p w14:paraId="6A7A6514" w14:textId="77777777" w:rsidR="00471D53" w:rsidRDefault="00B664AF">
                    <w:pPr>
                      <w:jc w:val="right"/>
                      <w:rPr>
                        <w:sz w:val="18"/>
                        <w:szCs w:val="18"/>
                      </w:rPr>
                    </w:pPr>
                  </w:p>
                </w:tc>
                <w:tc>
                  <w:tcPr>
                    <w:tcW w:w="141" w:type="pct"/>
                  </w:tcPr>
                  <w:p w14:paraId="74849484" w14:textId="77777777" w:rsidR="00471D53" w:rsidRDefault="00B664AF">
                    <w:pPr>
                      <w:jc w:val="right"/>
                      <w:rPr>
                        <w:sz w:val="18"/>
                        <w:szCs w:val="18"/>
                      </w:rPr>
                    </w:pPr>
                  </w:p>
                </w:tc>
                <w:tc>
                  <w:tcPr>
                    <w:tcW w:w="467" w:type="pct"/>
                  </w:tcPr>
                  <w:p w14:paraId="1D428D82" w14:textId="77777777" w:rsidR="00471D53" w:rsidRDefault="00B664AF">
                    <w:pPr>
                      <w:jc w:val="right"/>
                      <w:rPr>
                        <w:sz w:val="18"/>
                        <w:szCs w:val="18"/>
                      </w:rPr>
                    </w:pPr>
                  </w:p>
                </w:tc>
                <w:tc>
                  <w:tcPr>
                    <w:tcW w:w="204" w:type="pct"/>
                  </w:tcPr>
                  <w:p w14:paraId="1D3B69F4" w14:textId="77777777" w:rsidR="00471D53" w:rsidRDefault="00B664AF">
                    <w:pPr>
                      <w:jc w:val="right"/>
                      <w:rPr>
                        <w:sz w:val="18"/>
                        <w:szCs w:val="18"/>
                      </w:rPr>
                    </w:pPr>
                  </w:p>
                </w:tc>
                <w:tc>
                  <w:tcPr>
                    <w:tcW w:w="396" w:type="pct"/>
                  </w:tcPr>
                  <w:p w14:paraId="0B5C7230" w14:textId="77777777" w:rsidR="00471D53" w:rsidRDefault="00B664AF">
                    <w:pPr>
                      <w:jc w:val="right"/>
                      <w:rPr>
                        <w:sz w:val="18"/>
                        <w:szCs w:val="18"/>
                      </w:rPr>
                    </w:pPr>
                  </w:p>
                </w:tc>
                <w:tc>
                  <w:tcPr>
                    <w:tcW w:w="141" w:type="pct"/>
                  </w:tcPr>
                  <w:p w14:paraId="749545EB" w14:textId="77777777" w:rsidR="00471D53" w:rsidRDefault="00B664AF">
                    <w:pPr>
                      <w:jc w:val="right"/>
                      <w:rPr>
                        <w:sz w:val="18"/>
                        <w:szCs w:val="18"/>
                      </w:rPr>
                    </w:pPr>
                  </w:p>
                </w:tc>
                <w:tc>
                  <w:tcPr>
                    <w:tcW w:w="423" w:type="pct"/>
                  </w:tcPr>
                  <w:p w14:paraId="1DA84834" w14:textId="77777777" w:rsidR="00471D53" w:rsidRDefault="00B664AF">
                    <w:pPr>
                      <w:jc w:val="right"/>
                      <w:rPr>
                        <w:sz w:val="18"/>
                        <w:szCs w:val="18"/>
                      </w:rPr>
                    </w:pPr>
                  </w:p>
                </w:tc>
                <w:tc>
                  <w:tcPr>
                    <w:tcW w:w="141" w:type="pct"/>
                  </w:tcPr>
                  <w:p w14:paraId="5BE6A1DF" w14:textId="77777777" w:rsidR="00471D53" w:rsidRDefault="00B664AF">
                    <w:pPr>
                      <w:jc w:val="right"/>
                      <w:rPr>
                        <w:sz w:val="18"/>
                        <w:szCs w:val="18"/>
                      </w:rPr>
                    </w:pPr>
                  </w:p>
                </w:tc>
                <w:tc>
                  <w:tcPr>
                    <w:tcW w:w="476" w:type="pct"/>
                  </w:tcPr>
                  <w:p w14:paraId="39DCBD95" w14:textId="77777777" w:rsidR="00471D53" w:rsidRDefault="00B664AF">
                    <w:pPr>
                      <w:jc w:val="right"/>
                      <w:rPr>
                        <w:sz w:val="18"/>
                        <w:szCs w:val="18"/>
                      </w:rPr>
                    </w:pPr>
                  </w:p>
                </w:tc>
                <w:tc>
                  <w:tcPr>
                    <w:tcW w:w="141" w:type="pct"/>
                  </w:tcPr>
                  <w:p w14:paraId="6461C13D" w14:textId="77777777" w:rsidR="00471D53" w:rsidRDefault="00B664AF">
                    <w:pPr>
                      <w:jc w:val="right"/>
                      <w:rPr>
                        <w:sz w:val="18"/>
                        <w:szCs w:val="18"/>
                      </w:rPr>
                    </w:pPr>
                  </w:p>
                </w:tc>
                <w:tc>
                  <w:tcPr>
                    <w:tcW w:w="467" w:type="pct"/>
                  </w:tcPr>
                  <w:p w14:paraId="153F1F46" w14:textId="77777777" w:rsidR="00471D53" w:rsidRDefault="00B664AF">
                    <w:pPr>
                      <w:jc w:val="right"/>
                      <w:rPr>
                        <w:sz w:val="18"/>
                        <w:szCs w:val="18"/>
                      </w:rPr>
                    </w:pPr>
                  </w:p>
                </w:tc>
                <w:tc>
                  <w:tcPr>
                    <w:tcW w:w="506" w:type="pct"/>
                  </w:tcPr>
                  <w:p w14:paraId="319F794D" w14:textId="77777777" w:rsidR="00471D53" w:rsidRDefault="00B664AF">
                    <w:pPr>
                      <w:jc w:val="right"/>
                      <w:rPr>
                        <w:sz w:val="18"/>
                        <w:szCs w:val="18"/>
                      </w:rPr>
                    </w:pPr>
                  </w:p>
                </w:tc>
                <w:tc>
                  <w:tcPr>
                    <w:tcW w:w="449" w:type="pct"/>
                  </w:tcPr>
                  <w:p w14:paraId="4DFD53A4" w14:textId="77777777" w:rsidR="00471D53" w:rsidRDefault="00B664AF">
                    <w:pPr>
                      <w:jc w:val="right"/>
                      <w:rPr>
                        <w:sz w:val="18"/>
                        <w:szCs w:val="18"/>
                      </w:rPr>
                    </w:pPr>
                  </w:p>
                </w:tc>
              </w:tr>
              <w:tr w:rsidR="00471D53" w14:paraId="60488B13" w14:textId="77777777" w:rsidTr="00471D53">
                <w:sdt>
                  <w:sdtPr>
                    <w:tag w:val="_PLD_f3206f8cddd54371b8a1b220dc836af8"/>
                    <w:id w:val="-241487502"/>
                    <w:lock w:val="sdtLocked"/>
                  </w:sdtPr>
                  <w:sdtEndPr/>
                  <w:sdtContent>
                    <w:tc>
                      <w:tcPr>
                        <w:tcW w:w="319" w:type="pct"/>
                      </w:tcPr>
                      <w:p w14:paraId="36864DBB" w14:textId="77777777" w:rsidR="00471D53" w:rsidRDefault="004F686E">
                        <w:pPr>
                          <w:rPr>
                            <w:sz w:val="18"/>
                            <w:szCs w:val="18"/>
                          </w:rPr>
                        </w:pPr>
                        <w:r>
                          <w:rPr>
                            <w:sz w:val="18"/>
                            <w:szCs w:val="18"/>
                          </w:rPr>
                          <w:t>4．其他</w:t>
                        </w:r>
                      </w:p>
                    </w:tc>
                  </w:sdtContent>
                </w:sdt>
                <w:tc>
                  <w:tcPr>
                    <w:tcW w:w="449" w:type="pct"/>
                  </w:tcPr>
                  <w:p w14:paraId="47EFE506" w14:textId="77777777" w:rsidR="00471D53" w:rsidRDefault="00B664AF">
                    <w:pPr>
                      <w:jc w:val="right"/>
                      <w:rPr>
                        <w:sz w:val="18"/>
                        <w:szCs w:val="18"/>
                      </w:rPr>
                    </w:pPr>
                  </w:p>
                </w:tc>
                <w:tc>
                  <w:tcPr>
                    <w:tcW w:w="141" w:type="pct"/>
                  </w:tcPr>
                  <w:p w14:paraId="5931E9F9" w14:textId="77777777" w:rsidR="00471D53" w:rsidRDefault="00B664AF">
                    <w:pPr>
                      <w:jc w:val="right"/>
                      <w:rPr>
                        <w:sz w:val="18"/>
                        <w:szCs w:val="18"/>
                      </w:rPr>
                    </w:pPr>
                  </w:p>
                </w:tc>
                <w:tc>
                  <w:tcPr>
                    <w:tcW w:w="141" w:type="pct"/>
                  </w:tcPr>
                  <w:p w14:paraId="6AE9EAA5" w14:textId="77777777" w:rsidR="00471D53" w:rsidRDefault="00B664AF">
                    <w:pPr>
                      <w:jc w:val="right"/>
                      <w:rPr>
                        <w:sz w:val="18"/>
                        <w:szCs w:val="18"/>
                      </w:rPr>
                    </w:pPr>
                  </w:p>
                </w:tc>
                <w:tc>
                  <w:tcPr>
                    <w:tcW w:w="141" w:type="pct"/>
                  </w:tcPr>
                  <w:p w14:paraId="2ADB9914" w14:textId="77777777" w:rsidR="00471D53" w:rsidRDefault="00B664AF">
                    <w:pPr>
                      <w:jc w:val="right"/>
                      <w:rPr>
                        <w:sz w:val="18"/>
                        <w:szCs w:val="18"/>
                      </w:rPr>
                    </w:pPr>
                  </w:p>
                </w:tc>
                <w:tc>
                  <w:tcPr>
                    <w:tcW w:w="467" w:type="pct"/>
                  </w:tcPr>
                  <w:p w14:paraId="458C65B6" w14:textId="77777777" w:rsidR="00471D53" w:rsidRDefault="00B664AF">
                    <w:pPr>
                      <w:jc w:val="right"/>
                      <w:rPr>
                        <w:sz w:val="18"/>
                        <w:szCs w:val="18"/>
                      </w:rPr>
                    </w:pPr>
                  </w:p>
                </w:tc>
                <w:tc>
                  <w:tcPr>
                    <w:tcW w:w="204" w:type="pct"/>
                  </w:tcPr>
                  <w:p w14:paraId="3626E1F7" w14:textId="77777777" w:rsidR="00471D53" w:rsidRDefault="00B664AF">
                    <w:pPr>
                      <w:jc w:val="right"/>
                      <w:rPr>
                        <w:sz w:val="18"/>
                        <w:szCs w:val="18"/>
                      </w:rPr>
                    </w:pPr>
                  </w:p>
                </w:tc>
                <w:tc>
                  <w:tcPr>
                    <w:tcW w:w="396" w:type="pct"/>
                  </w:tcPr>
                  <w:p w14:paraId="0CB79B52" w14:textId="77777777" w:rsidR="00471D53" w:rsidRDefault="00B664AF">
                    <w:pPr>
                      <w:jc w:val="right"/>
                      <w:rPr>
                        <w:sz w:val="18"/>
                        <w:szCs w:val="18"/>
                      </w:rPr>
                    </w:pPr>
                  </w:p>
                </w:tc>
                <w:tc>
                  <w:tcPr>
                    <w:tcW w:w="141" w:type="pct"/>
                  </w:tcPr>
                  <w:p w14:paraId="7ACE636A" w14:textId="77777777" w:rsidR="00471D53" w:rsidRDefault="00B664AF">
                    <w:pPr>
                      <w:jc w:val="right"/>
                      <w:rPr>
                        <w:sz w:val="18"/>
                        <w:szCs w:val="18"/>
                      </w:rPr>
                    </w:pPr>
                  </w:p>
                </w:tc>
                <w:tc>
                  <w:tcPr>
                    <w:tcW w:w="423" w:type="pct"/>
                  </w:tcPr>
                  <w:p w14:paraId="5AC8D669" w14:textId="77777777" w:rsidR="00471D53" w:rsidRDefault="00B664AF">
                    <w:pPr>
                      <w:jc w:val="right"/>
                      <w:rPr>
                        <w:sz w:val="18"/>
                        <w:szCs w:val="18"/>
                      </w:rPr>
                    </w:pPr>
                  </w:p>
                </w:tc>
                <w:tc>
                  <w:tcPr>
                    <w:tcW w:w="141" w:type="pct"/>
                  </w:tcPr>
                  <w:p w14:paraId="65D6728D" w14:textId="77777777" w:rsidR="00471D53" w:rsidRDefault="00B664AF">
                    <w:pPr>
                      <w:jc w:val="right"/>
                      <w:rPr>
                        <w:sz w:val="18"/>
                        <w:szCs w:val="18"/>
                      </w:rPr>
                    </w:pPr>
                  </w:p>
                </w:tc>
                <w:tc>
                  <w:tcPr>
                    <w:tcW w:w="476" w:type="pct"/>
                  </w:tcPr>
                  <w:p w14:paraId="6EF58774" w14:textId="77777777" w:rsidR="00471D53" w:rsidRDefault="00B664AF">
                    <w:pPr>
                      <w:jc w:val="right"/>
                      <w:rPr>
                        <w:sz w:val="18"/>
                        <w:szCs w:val="18"/>
                      </w:rPr>
                    </w:pPr>
                  </w:p>
                </w:tc>
                <w:tc>
                  <w:tcPr>
                    <w:tcW w:w="141" w:type="pct"/>
                  </w:tcPr>
                  <w:p w14:paraId="5C5A4D1F" w14:textId="77777777" w:rsidR="00471D53" w:rsidRDefault="00B664AF">
                    <w:pPr>
                      <w:jc w:val="right"/>
                      <w:rPr>
                        <w:sz w:val="18"/>
                        <w:szCs w:val="18"/>
                      </w:rPr>
                    </w:pPr>
                  </w:p>
                </w:tc>
                <w:tc>
                  <w:tcPr>
                    <w:tcW w:w="467" w:type="pct"/>
                  </w:tcPr>
                  <w:p w14:paraId="0F4D9254" w14:textId="77777777" w:rsidR="00471D53" w:rsidRDefault="00B664AF">
                    <w:pPr>
                      <w:jc w:val="right"/>
                      <w:rPr>
                        <w:sz w:val="18"/>
                        <w:szCs w:val="18"/>
                      </w:rPr>
                    </w:pPr>
                  </w:p>
                </w:tc>
                <w:tc>
                  <w:tcPr>
                    <w:tcW w:w="506" w:type="pct"/>
                  </w:tcPr>
                  <w:p w14:paraId="2DF361DB" w14:textId="77777777" w:rsidR="00471D53" w:rsidRDefault="00B664AF">
                    <w:pPr>
                      <w:jc w:val="right"/>
                      <w:rPr>
                        <w:sz w:val="18"/>
                        <w:szCs w:val="18"/>
                      </w:rPr>
                    </w:pPr>
                  </w:p>
                </w:tc>
                <w:tc>
                  <w:tcPr>
                    <w:tcW w:w="449" w:type="pct"/>
                  </w:tcPr>
                  <w:p w14:paraId="6CFDD104" w14:textId="77777777" w:rsidR="00471D53" w:rsidRDefault="00B664AF">
                    <w:pPr>
                      <w:jc w:val="right"/>
                      <w:rPr>
                        <w:sz w:val="18"/>
                        <w:szCs w:val="18"/>
                      </w:rPr>
                    </w:pPr>
                  </w:p>
                </w:tc>
              </w:tr>
              <w:tr w:rsidR="00471D53" w14:paraId="5D8817C9" w14:textId="77777777" w:rsidTr="00471D53">
                <w:sdt>
                  <w:sdtPr>
                    <w:tag w:val="_PLD_c0c9652bd3724ad8b729d3650a0840d4"/>
                    <w:id w:val="926315361"/>
                    <w:lock w:val="sdtLocked"/>
                  </w:sdtPr>
                  <w:sdtEndPr/>
                  <w:sdtContent>
                    <w:tc>
                      <w:tcPr>
                        <w:tcW w:w="319" w:type="pct"/>
                      </w:tcPr>
                      <w:p w14:paraId="5A0C4539" w14:textId="77777777" w:rsidR="00471D53" w:rsidRDefault="004F686E">
                        <w:pPr>
                          <w:rPr>
                            <w:sz w:val="18"/>
                            <w:szCs w:val="18"/>
                          </w:rPr>
                        </w:pPr>
                        <w:r>
                          <w:rPr>
                            <w:sz w:val="18"/>
                            <w:szCs w:val="18"/>
                          </w:rPr>
                          <w:t>（</w:t>
                        </w:r>
                        <w:r>
                          <w:rPr>
                            <w:rFonts w:hint="eastAsia"/>
                            <w:sz w:val="18"/>
                            <w:szCs w:val="18"/>
                          </w:rPr>
                          <w:t>四</w:t>
                        </w:r>
                        <w:r>
                          <w:rPr>
                            <w:sz w:val="18"/>
                            <w:szCs w:val="18"/>
                          </w:rPr>
                          <w:t>）所有者权益内部结转</w:t>
                        </w:r>
                      </w:p>
                    </w:tc>
                  </w:sdtContent>
                </w:sdt>
                <w:tc>
                  <w:tcPr>
                    <w:tcW w:w="449" w:type="pct"/>
                  </w:tcPr>
                  <w:p w14:paraId="60621907" w14:textId="77777777" w:rsidR="00471D53" w:rsidRDefault="00B664AF">
                    <w:pPr>
                      <w:jc w:val="right"/>
                      <w:rPr>
                        <w:sz w:val="18"/>
                        <w:szCs w:val="18"/>
                      </w:rPr>
                    </w:pPr>
                  </w:p>
                </w:tc>
                <w:tc>
                  <w:tcPr>
                    <w:tcW w:w="141" w:type="pct"/>
                  </w:tcPr>
                  <w:p w14:paraId="2E6718C1" w14:textId="77777777" w:rsidR="00471D53" w:rsidRDefault="00B664AF">
                    <w:pPr>
                      <w:jc w:val="right"/>
                      <w:rPr>
                        <w:sz w:val="18"/>
                        <w:szCs w:val="18"/>
                      </w:rPr>
                    </w:pPr>
                  </w:p>
                </w:tc>
                <w:tc>
                  <w:tcPr>
                    <w:tcW w:w="141" w:type="pct"/>
                  </w:tcPr>
                  <w:p w14:paraId="442D7D94" w14:textId="77777777" w:rsidR="00471D53" w:rsidRDefault="00B664AF">
                    <w:pPr>
                      <w:jc w:val="right"/>
                      <w:rPr>
                        <w:sz w:val="18"/>
                        <w:szCs w:val="18"/>
                      </w:rPr>
                    </w:pPr>
                  </w:p>
                </w:tc>
                <w:tc>
                  <w:tcPr>
                    <w:tcW w:w="141" w:type="pct"/>
                  </w:tcPr>
                  <w:p w14:paraId="20376BF6" w14:textId="77777777" w:rsidR="00471D53" w:rsidRDefault="00B664AF">
                    <w:pPr>
                      <w:jc w:val="right"/>
                      <w:rPr>
                        <w:sz w:val="18"/>
                        <w:szCs w:val="18"/>
                      </w:rPr>
                    </w:pPr>
                  </w:p>
                </w:tc>
                <w:tc>
                  <w:tcPr>
                    <w:tcW w:w="467" w:type="pct"/>
                  </w:tcPr>
                  <w:p w14:paraId="09358401" w14:textId="77777777" w:rsidR="00471D53" w:rsidRDefault="00B664AF">
                    <w:pPr>
                      <w:jc w:val="right"/>
                      <w:rPr>
                        <w:sz w:val="18"/>
                        <w:szCs w:val="18"/>
                      </w:rPr>
                    </w:pPr>
                  </w:p>
                </w:tc>
                <w:tc>
                  <w:tcPr>
                    <w:tcW w:w="204" w:type="pct"/>
                  </w:tcPr>
                  <w:p w14:paraId="6515C05A" w14:textId="77777777" w:rsidR="00471D53" w:rsidRDefault="00B664AF">
                    <w:pPr>
                      <w:jc w:val="right"/>
                      <w:rPr>
                        <w:sz w:val="18"/>
                        <w:szCs w:val="18"/>
                      </w:rPr>
                    </w:pPr>
                  </w:p>
                </w:tc>
                <w:tc>
                  <w:tcPr>
                    <w:tcW w:w="396" w:type="pct"/>
                  </w:tcPr>
                  <w:p w14:paraId="0E811A0F" w14:textId="77777777" w:rsidR="00471D53" w:rsidRDefault="00B664AF">
                    <w:pPr>
                      <w:jc w:val="right"/>
                      <w:rPr>
                        <w:sz w:val="18"/>
                        <w:szCs w:val="18"/>
                      </w:rPr>
                    </w:pPr>
                  </w:p>
                </w:tc>
                <w:tc>
                  <w:tcPr>
                    <w:tcW w:w="141" w:type="pct"/>
                  </w:tcPr>
                  <w:p w14:paraId="09D1715E" w14:textId="77777777" w:rsidR="00471D53" w:rsidRDefault="00B664AF">
                    <w:pPr>
                      <w:jc w:val="right"/>
                      <w:rPr>
                        <w:sz w:val="18"/>
                        <w:szCs w:val="18"/>
                      </w:rPr>
                    </w:pPr>
                  </w:p>
                </w:tc>
                <w:tc>
                  <w:tcPr>
                    <w:tcW w:w="423" w:type="pct"/>
                  </w:tcPr>
                  <w:p w14:paraId="42F6D44D" w14:textId="77777777" w:rsidR="00471D53" w:rsidRDefault="00B664AF">
                    <w:pPr>
                      <w:jc w:val="right"/>
                      <w:rPr>
                        <w:sz w:val="18"/>
                        <w:szCs w:val="18"/>
                      </w:rPr>
                    </w:pPr>
                  </w:p>
                </w:tc>
                <w:tc>
                  <w:tcPr>
                    <w:tcW w:w="141" w:type="pct"/>
                  </w:tcPr>
                  <w:p w14:paraId="123B6DCF" w14:textId="77777777" w:rsidR="00471D53" w:rsidRDefault="00B664AF">
                    <w:pPr>
                      <w:jc w:val="right"/>
                      <w:rPr>
                        <w:sz w:val="18"/>
                        <w:szCs w:val="18"/>
                      </w:rPr>
                    </w:pPr>
                  </w:p>
                </w:tc>
                <w:tc>
                  <w:tcPr>
                    <w:tcW w:w="476" w:type="pct"/>
                  </w:tcPr>
                  <w:p w14:paraId="0CF05DE4" w14:textId="77777777" w:rsidR="00471D53" w:rsidRDefault="00B664AF">
                    <w:pPr>
                      <w:jc w:val="right"/>
                      <w:rPr>
                        <w:sz w:val="18"/>
                        <w:szCs w:val="18"/>
                      </w:rPr>
                    </w:pPr>
                  </w:p>
                </w:tc>
                <w:tc>
                  <w:tcPr>
                    <w:tcW w:w="141" w:type="pct"/>
                  </w:tcPr>
                  <w:p w14:paraId="7C4EB670" w14:textId="77777777" w:rsidR="00471D53" w:rsidRDefault="00B664AF">
                    <w:pPr>
                      <w:jc w:val="right"/>
                      <w:rPr>
                        <w:sz w:val="18"/>
                        <w:szCs w:val="18"/>
                      </w:rPr>
                    </w:pPr>
                  </w:p>
                </w:tc>
                <w:tc>
                  <w:tcPr>
                    <w:tcW w:w="467" w:type="pct"/>
                  </w:tcPr>
                  <w:p w14:paraId="72B9D2E2" w14:textId="77777777" w:rsidR="00471D53" w:rsidRDefault="00B664AF">
                    <w:pPr>
                      <w:jc w:val="right"/>
                      <w:rPr>
                        <w:sz w:val="18"/>
                        <w:szCs w:val="18"/>
                      </w:rPr>
                    </w:pPr>
                  </w:p>
                </w:tc>
                <w:tc>
                  <w:tcPr>
                    <w:tcW w:w="506" w:type="pct"/>
                  </w:tcPr>
                  <w:p w14:paraId="5DDC0D07" w14:textId="77777777" w:rsidR="00471D53" w:rsidRDefault="00B664AF">
                    <w:pPr>
                      <w:jc w:val="right"/>
                      <w:rPr>
                        <w:sz w:val="18"/>
                        <w:szCs w:val="18"/>
                      </w:rPr>
                    </w:pPr>
                  </w:p>
                </w:tc>
                <w:tc>
                  <w:tcPr>
                    <w:tcW w:w="449" w:type="pct"/>
                  </w:tcPr>
                  <w:p w14:paraId="5DECB928" w14:textId="77777777" w:rsidR="00471D53" w:rsidRDefault="00B664AF">
                    <w:pPr>
                      <w:jc w:val="right"/>
                      <w:rPr>
                        <w:sz w:val="18"/>
                        <w:szCs w:val="18"/>
                      </w:rPr>
                    </w:pPr>
                  </w:p>
                </w:tc>
              </w:tr>
              <w:tr w:rsidR="00471D53" w14:paraId="79506373" w14:textId="77777777" w:rsidTr="00471D53">
                <w:sdt>
                  <w:sdtPr>
                    <w:tag w:val="_PLD_469a000ac571436189f1cb682bbe4ce7"/>
                    <w:id w:val="-1117525267"/>
                    <w:lock w:val="sdtLocked"/>
                  </w:sdtPr>
                  <w:sdtEndPr/>
                  <w:sdtContent>
                    <w:tc>
                      <w:tcPr>
                        <w:tcW w:w="319" w:type="pct"/>
                      </w:tcPr>
                      <w:p w14:paraId="49055535" w14:textId="77777777" w:rsidR="00471D53" w:rsidRDefault="004F686E">
                        <w:pPr>
                          <w:rPr>
                            <w:sz w:val="18"/>
                            <w:szCs w:val="18"/>
                          </w:rPr>
                        </w:pPr>
                        <w:r>
                          <w:rPr>
                            <w:sz w:val="18"/>
                            <w:szCs w:val="18"/>
                          </w:rPr>
                          <w:t>1．资本公积转增资本</w:t>
                        </w:r>
                        <w:r>
                          <w:rPr>
                            <w:sz w:val="18"/>
                            <w:szCs w:val="18"/>
                          </w:rPr>
                          <w:lastRenderedPageBreak/>
                          <w:t>（或股本）</w:t>
                        </w:r>
                      </w:p>
                    </w:tc>
                  </w:sdtContent>
                </w:sdt>
                <w:tc>
                  <w:tcPr>
                    <w:tcW w:w="449" w:type="pct"/>
                  </w:tcPr>
                  <w:p w14:paraId="167D62A0" w14:textId="77777777" w:rsidR="00471D53" w:rsidRDefault="00B664AF">
                    <w:pPr>
                      <w:jc w:val="right"/>
                      <w:rPr>
                        <w:sz w:val="18"/>
                        <w:szCs w:val="18"/>
                      </w:rPr>
                    </w:pPr>
                  </w:p>
                </w:tc>
                <w:tc>
                  <w:tcPr>
                    <w:tcW w:w="141" w:type="pct"/>
                  </w:tcPr>
                  <w:p w14:paraId="633D4DD1" w14:textId="77777777" w:rsidR="00471D53" w:rsidRDefault="00B664AF">
                    <w:pPr>
                      <w:jc w:val="right"/>
                      <w:rPr>
                        <w:sz w:val="18"/>
                        <w:szCs w:val="18"/>
                      </w:rPr>
                    </w:pPr>
                  </w:p>
                </w:tc>
                <w:tc>
                  <w:tcPr>
                    <w:tcW w:w="141" w:type="pct"/>
                  </w:tcPr>
                  <w:p w14:paraId="41DF45E2" w14:textId="77777777" w:rsidR="00471D53" w:rsidRDefault="00B664AF">
                    <w:pPr>
                      <w:jc w:val="right"/>
                      <w:rPr>
                        <w:sz w:val="18"/>
                        <w:szCs w:val="18"/>
                      </w:rPr>
                    </w:pPr>
                  </w:p>
                </w:tc>
                <w:tc>
                  <w:tcPr>
                    <w:tcW w:w="141" w:type="pct"/>
                  </w:tcPr>
                  <w:p w14:paraId="2D88CBB7" w14:textId="77777777" w:rsidR="00471D53" w:rsidRDefault="00B664AF">
                    <w:pPr>
                      <w:jc w:val="right"/>
                      <w:rPr>
                        <w:sz w:val="18"/>
                        <w:szCs w:val="18"/>
                      </w:rPr>
                    </w:pPr>
                  </w:p>
                </w:tc>
                <w:tc>
                  <w:tcPr>
                    <w:tcW w:w="467" w:type="pct"/>
                  </w:tcPr>
                  <w:p w14:paraId="73FBF26F" w14:textId="77777777" w:rsidR="00471D53" w:rsidRDefault="00B664AF">
                    <w:pPr>
                      <w:jc w:val="right"/>
                      <w:rPr>
                        <w:sz w:val="18"/>
                        <w:szCs w:val="18"/>
                      </w:rPr>
                    </w:pPr>
                  </w:p>
                </w:tc>
                <w:tc>
                  <w:tcPr>
                    <w:tcW w:w="204" w:type="pct"/>
                  </w:tcPr>
                  <w:p w14:paraId="23908D0E" w14:textId="77777777" w:rsidR="00471D53" w:rsidRDefault="00B664AF">
                    <w:pPr>
                      <w:jc w:val="right"/>
                      <w:rPr>
                        <w:sz w:val="18"/>
                        <w:szCs w:val="18"/>
                      </w:rPr>
                    </w:pPr>
                  </w:p>
                </w:tc>
                <w:tc>
                  <w:tcPr>
                    <w:tcW w:w="396" w:type="pct"/>
                  </w:tcPr>
                  <w:p w14:paraId="7B8007F5" w14:textId="77777777" w:rsidR="00471D53" w:rsidRDefault="00B664AF">
                    <w:pPr>
                      <w:jc w:val="right"/>
                      <w:rPr>
                        <w:sz w:val="18"/>
                        <w:szCs w:val="18"/>
                      </w:rPr>
                    </w:pPr>
                  </w:p>
                </w:tc>
                <w:tc>
                  <w:tcPr>
                    <w:tcW w:w="141" w:type="pct"/>
                  </w:tcPr>
                  <w:p w14:paraId="79BE32D8" w14:textId="77777777" w:rsidR="00471D53" w:rsidRDefault="00B664AF">
                    <w:pPr>
                      <w:jc w:val="right"/>
                      <w:rPr>
                        <w:sz w:val="18"/>
                        <w:szCs w:val="18"/>
                      </w:rPr>
                    </w:pPr>
                  </w:p>
                </w:tc>
                <w:tc>
                  <w:tcPr>
                    <w:tcW w:w="423" w:type="pct"/>
                  </w:tcPr>
                  <w:p w14:paraId="10B17797" w14:textId="77777777" w:rsidR="00471D53" w:rsidRDefault="00B664AF">
                    <w:pPr>
                      <w:jc w:val="right"/>
                      <w:rPr>
                        <w:sz w:val="18"/>
                        <w:szCs w:val="18"/>
                      </w:rPr>
                    </w:pPr>
                  </w:p>
                </w:tc>
                <w:tc>
                  <w:tcPr>
                    <w:tcW w:w="141" w:type="pct"/>
                  </w:tcPr>
                  <w:p w14:paraId="03459DB9" w14:textId="77777777" w:rsidR="00471D53" w:rsidRDefault="00B664AF">
                    <w:pPr>
                      <w:jc w:val="right"/>
                      <w:rPr>
                        <w:sz w:val="18"/>
                        <w:szCs w:val="18"/>
                      </w:rPr>
                    </w:pPr>
                  </w:p>
                </w:tc>
                <w:tc>
                  <w:tcPr>
                    <w:tcW w:w="476" w:type="pct"/>
                  </w:tcPr>
                  <w:p w14:paraId="20C068B9" w14:textId="77777777" w:rsidR="00471D53" w:rsidRDefault="00B664AF">
                    <w:pPr>
                      <w:jc w:val="right"/>
                      <w:rPr>
                        <w:sz w:val="18"/>
                        <w:szCs w:val="18"/>
                      </w:rPr>
                    </w:pPr>
                  </w:p>
                </w:tc>
                <w:tc>
                  <w:tcPr>
                    <w:tcW w:w="141" w:type="pct"/>
                  </w:tcPr>
                  <w:p w14:paraId="107E42A0" w14:textId="77777777" w:rsidR="00471D53" w:rsidRDefault="00B664AF">
                    <w:pPr>
                      <w:jc w:val="right"/>
                      <w:rPr>
                        <w:sz w:val="18"/>
                        <w:szCs w:val="18"/>
                      </w:rPr>
                    </w:pPr>
                  </w:p>
                </w:tc>
                <w:tc>
                  <w:tcPr>
                    <w:tcW w:w="467" w:type="pct"/>
                  </w:tcPr>
                  <w:p w14:paraId="56CEAE32" w14:textId="77777777" w:rsidR="00471D53" w:rsidRDefault="00B664AF">
                    <w:pPr>
                      <w:jc w:val="right"/>
                      <w:rPr>
                        <w:sz w:val="18"/>
                        <w:szCs w:val="18"/>
                      </w:rPr>
                    </w:pPr>
                  </w:p>
                </w:tc>
                <w:tc>
                  <w:tcPr>
                    <w:tcW w:w="506" w:type="pct"/>
                  </w:tcPr>
                  <w:p w14:paraId="51FD853C" w14:textId="77777777" w:rsidR="00471D53" w:rsidRDefault="00B664AF">
                    <w:pPr>
                      <w:jc w:val="right"/>
                      <w:rPr>
                        <w:sz w:val="18"/>
                        <w:szCs w:val="18"/>
                      </w:rPr>
                    </w:pPr>
                  </w:p>
                </w:tc>
                <w:tc>
                  <w:tcPr>
                    <w:tcW w:w="449" w:type="pct"/>
                  </w:tcPr>
                  <w:p w14:paraId="05ED3D2C" w14:textId="77777777" w:rsidR="00471D53" w:rsidRDefault="00B664AF">
                    <w:pPr>
                      <w:jc w:val="right"/>
                      <w:rPr>
                        <w:sz w:val="18"/>
                        <w:szCs w:val="18"/>
                      </w:rPr>
                    </w:pPr>
                  </w:p>
                </w:tc>
              </w:tr>
              <w:tr w:rsidR="00471D53" w14:paraId="3C3214C6" w14:textId="77777777" w:rsidTr="00471D53">
                <w:sdt>
                  <w:sdtPr>
                    <w:tag w:val="_PLD_8874e17dc09c419baab53299f7967f44"/>
                    <w:id w:val="-123003528"/>
                    <w:lock w:val="sdtLocked"/>
                  </w:sdtPr>
                  <w:sdtEndPr/>
                  <w:sdtContent>
                    <w:tc>
                      <w:tcPr>
                        <w:tcW w:w="319" w:type="pct"/>
                      </w:tcPr>
                      <w:p w14:paraId="1C0421E6" w14:textId="77777777" w:rsidR="00471D53" w:rsidRDefault="004F686E">
                        <w:pPr>
                          <w:rPr>
                            <w:sz w:val="18"/>
                            <w:szCs w:val="18"/>
                          </w:rPr>
                        </w:pPr>
                        <w:r>
                          <w:rPr>
                            <w:sz w:val="18"/>
                            <w:szCs w:val="18"/>
                          </w:rPr>
                          <w:t>2．盈余公积转增资本（或股本）</w:t>
                        </w:r>
                      </w:p>
                    </w:tc>
                  </w:sdtContent>
                </w:sdt>
                <w:tc>
                  <w:tcPr>
                    <w:tcW w:w="449" w:type="pct"/>
                  </w:tcPr>
                  <w:p w14:paraId="71464E29" w14:textId="77777777" w:rsidR="00471D53" w:rsidRDefault="00B664AF">
                    <w:pPr>
                      <w:jc w:val="right"/>
                      <w:rPr>
                        <w:sz w:val="18"/>
                        <w:szCs w:val="18"/>
                      </w:rPr>
                    </w:pPr>
                  </w:p>
                </w:tc>
                <w:tc>
                  <w:tcPr>
                    <w:tcW w:w="141" w:type="pct"/>
                  </w:tcPr>
                  <w:p w14:paraId="31316AB0" w14:textId="77777777" w:rsidR="00471D53" w:rsidRDefault="00B664AF">
                    <w:pPr>
                      <w:jc w:val="right"/>
                      <w:rPr>
                        <w:sz w:val="18"/>
                        <w:szCs w:val="18"/>
                      </w:rPr>
                    </w:pPr>
                  </w:p>
                </w:tc>
                <w:tc>
                  <w:tcPr>
                    <w:tcW w:w="141" w:type="pct"/>
                  </w:tcPr>
                  <w:p w14:paraId="4FD6BC13" w14:textId="77777777" w:rsidR="00471D53" w:rsidRDefault="00B664AF">
                    <w:pPr>
                      <w:jc w:val="right"/>
                      <w:rPr>
                        <w:sz w:val="18"/>
                        <w:szCs w:val="18"/>
                      </w:rPr>
                    </w:pPr>
                  </w:p>
                </w:tc>
                <w:tc>
                  <w:tcPr>
                    <w:tcW w:w="141" w:type="pct"/>
                  </w:tcPr>
                  <w:p w14:paraId="7BFA1272" w14:textId="77777777" w:rsidR="00471D53" w:rsidRDefault="00B664AF">
                    <w:pPr>
                      <w:jc w:val="right"/>
                      <w:rPr>
                        <w:sz w:val="18"/>
                        <w:szCs w:val="18"/>
                      </w:rPr>
                    </w:pPr>
                  </w:p>
                </w:tc>
                <w:tc>
                  <w:tcPr>
                    <w:tcW w:w="467" w:type="pct"/>
                  </w:tcPr>
                  <w:p w14:paraId="43A28EAF" w14:textId="77777777" w:rsidR="00471D53" w:rsidRDefault="00B664AF">
                    <w:pPr>
                      <w:jc w:val="right"/>
                      <w:rPr>
                        <w:sz w:val="18"/>
                        <w:szCs w:val="18"/>
                      </w:rPr>
                    </w:pPr>
                  </w:p>
                </w:tc>
                <w:tc>
                  <w:tcPr>
                    <w:tcW w:w="204" w:type="pct"/>
                  </w:tcPr>
                  <w:p w14:paraId="4E489F5F" w14:textId="77777777" w:rsidR="00471D53" w:rsidRDefault="00B664AF">
                    <w:pPr>
                      <w:jc w:val="right"/>
                      <w:rPr>
                        <w:sz w:val="18"/>
                        <w:szCs w:val="18"/>
                      </w:rPr>
                    </w:pPr>
                  </w:p>
                </w:tc>
                <w:tc>
                  <w:tcPr>
                    <w:tcW w:w="396" w:type="pct"/>
                  </w:tcPr>
                  <w:p w14:paraId="5316EA82" w14:textId="77777777" w:rsidR="00471D53" w:rsidRDefault="00B664AF">
                    <w:pPr>
                      <w:jc w:val="right"/>
                      <w:rPr>
                        <w:sz w:val="18"/>
                        <w:szCs w:val="18"/>
                      </w:rPr>
                    </w:pPr>
                  </w:p>
                </w:tc>
                <w:tc>
                  <w:tcPr>
                    <w:tcW w:w="141" w:type="pct"/>
                  </w:tcPr>
                  <w:p w14:paraId="312F65C1" w14:textId="77777777" w:rsidR="00471D53" w:rsidRDefault="00B664AF">
                    <w:pPr>
                      <w:jc w:val="right"/>
                      <w:rPr>
                        <w:sz w:val="18"/>
                        <w:szCs w:val="18"/>
                      </w:rPr>
                    </w:pPr>
                  </w:p>
                </w:tc>
                <w:tc>
                  <w:tcPr>
                    <w:tcW w:w="423" w:type="pct"/>
                  </w:tcPr>
                  <w:p w14:paraId="025F5F81" w14:textId="77777777" w:rsidR="00471D53" w:rsidRDefault="00B664AF">
                    <w:pPr>
                      <w:jc w:val="right"/>
                      <w:rPr>
                        <w:sz w:val="18"/>
                        <w:szCs w:val="18"/>
                      </w:rPr>
                    </w:pPr>
                  </w:p>
                </w:tc>
                <w:tc>
                  <w:tcPr>
                    <w:tcW w:w="141" w:type="pct"/>
                  </w:tcPr>
                  <w:p w14:paraId="1FDF88CB" w14:textId="77777777" w:rsidR="00471D53" w:rsidRDefault="00B664AF">
                    <w:pPr>
                      <w:jc w:val="right"/>
                      <w:rPr>
                        <w:sz w:val="18"/>
                        <w:szCs w:val="18"/>
                      </w:rPr>
                    </w:pPr>
                  </w:p>
                </w:tc>
                <w:tc>
                  <w:tcPr>
                    <w:tcW w:w="476" w:type="pct"/>
                  </w:tcPr>
                  <w:p w14:paraId="5D8F9EAD" w14:textId="77777777" w:rsidR="00471D53" w:rsidRDefault="00B664AF">
                    <w:pPr>
                      <w:jc w:val="right"/>
                      <w:rPr>
                        <w:sz w:val="18"/>
                        <w:szCs w:val="18"/>
                      </w:rPr>
                    </w:pPr>
                  </w:p>
                </w:tc>
                <w:tc>
                  <w:tcPr>
                    <w:tcW w:w="141" w:type="pct"/>
                  </w:tcPr>
                  <w:p w14:paraId="69C735E7" w14:textId="77777777" w:rsidR="00471D53" w:rsidRDefault="00B664AF">
                    <w:pPr>
                      <w:jc w:val="right"/>
                      <w:rPr>
                        <w:sz w:val="18"/>
                        <w:szCs w:val="18"/>
                      </w:rPr>
                    </w:pPr>
                  </w:p>
                </w:tc>
                <w:tc>
                  <w:tcPr>
                    <w:tcW w:w="467" w:type="pct"/>
                  </w:tcPr>
                  <w:p w14:paraId="1A6BBDB4" w14:textId="77777777" w:rsidR="00471D53" w:rsidRDefault="00B664AF">
                    <w:pPr>
                      <w:jc w:val="right"/>
                      <w:rPr>
                        <w:sz w:val="18"/>
                        <w:szCs w:val="18"/>
                      </w:rPr>
                    </w:pPr>
                  </w:p>
                </w:tc>
                <w:tc>
                  <w:tcPr>
                    <w:tcW w:w="506" w:type="pct"/>
                  </w:tcPr>
                  <w:p w14:paraId="3259739D" w14:textId="77777777" w:rsidR="00471D53" w:rsidRDefault="00B664AF">
                    <w:pPr>
                      <w:jc w:val="right"/>
                      <w:rPr>
                        <w:sz w:val="18"/>
                        <w:szCs w:val="18"/>
                      </w:rPr>
                    </w:pPr>
                  </w:p>
                </w:tc>
                <w:tc>
                  <w:tcPr>
                    <w:tcW w:w="449" w:type="pct"/>
                  </w:tcPr>
                  <w:p w14:paraId="2CB523FB" w14:textId="77777777" w:rsidR="00471D53" w:rsidRDefault="00B664AF">
                    <w:pPr>
                      <w:jc w:val="right"/>
                      <w:rPr>
                        <w:sz w:val="18"/>
                        <w:szCs w:val="18"/>
                      </w:rPr>
                    </w:pPr>
                  </w:p>
                </w:tc>
              </w:tr>
              <w:tr w:rsidR="00471D53" w14:paraId="68AA787C" w14:textId="77777777" w:rsidTr="00471D53">
                <w:sdt>
                  <w:sdtPr>
                    <w:tag w:val="_PLD_e3c6e2e078f649258bfa4dadb9266249"/>
                    <w:id w:val="-716665832"/>
                    <w:lock w:val="sdtLocked"/>
                  </w:sdtPr>
                  <w:sdtEndPr/>
                  <w:sdtContent>
                    <w:tc>
                      <w:tcPr>
                        <w:tcW w:w="319" w:type="pct"/>
                      </w:tcPr>
                      <w:p w14:paraId="6853B96F" w14:textId="77777777" w:rsidR="00471D53" w:rsidRDefault="004F686E">
                        <w:pPr>
                          <w:rPr>
                            <w:sz w:val="18"/>
                            <w:szCs w:val="18"/>
                          </w:rPr>
                        </w:pPr>
                        <w:r>
                          <w:rPr>
                            <w:sz w:val="18"/>
                            <w:szCs w:val="18"/>
                          </w:rPr>
                          <w:t>3．盈余公积弥补亏损</w:t>
                        </w:r>
                      </w:p>
                    </w:tc>
                  </w:sdtContent>
                </w:sdt>
                <w:tc>
                  <w:tcPr>
                    <w:tcW w:w="449" w:type="pct"/>
                  </w:tcPr>
                  <w:p w14:paraId="0FD4C853" w14:textId="77777777" w:rsidR="00471D53" w:rsidRDefault="00B664AF">
                    <w:pPr>
                      <w:jc w:val="right"/>
                      <w:rPr>
                        <w:sz w:val="18"/>
                        <w:szCs w:val="18"/>
                      </w:rPr>
                    </w:pPr>
                  </w:p>
                </w:tc>
                <w:tc>
                  <w:tcPr>
                    <w:tcW w:w="141" w:type="pct"/>
                  </w:tcPr>
                  <w:p w14:paraId="7115C4F5" w14:textId="77777777" w:rsidR="00471D53" w:rsidRDefault="00B664AF">
                    <w:pPr>
                      <w:jc w:val="right"/>
                      <w:rPr>
                        <w:sz w:val="18"/>
                        <w:szCs w:val="18"/>
                      </w:rPr>
                    </w:pPr>
                  </w:p>
                </w:tc>
                <w:tc>
                  <w:tcPr>
                    <w:tcW w:w="141" w:type="pct"/>
                  </w:tcPr>
                  <w:p w14:paraId="6B31DCAB" w14:textId="77777777" w:rsidR="00471D53" w:rsidRDefault="00B664AF">
                    <w:pPr>
                      <w:jc w:val="right"/>
                      <w:rPr>
                        <w:sz w:val="18"/>
                        <w:szCs w:val="18"/>
                      </w:rPr>
                    </w:pPr>
                  </w:p>
                </w:tc>
                <w:tc>
                  <w:tcPr>
                    <w:tcW w:w="141" w:type="pct"/>
                  </w:tcPr>
                  <w:p w14:paraId="72EB7B16" w14:textId="77777777" w:rsidR="00471D53" w:rsidRDefault="00B664AF">
                    <w:pPr>
                      <w:jc w:val="right"/>
                      <w:rPr>
                        <w:sz w:val="18"/>
                        <w:szCs w:val="18"/>
                      </w:rPr>
                    </w:pPr>
                  </w:p>
                </w:tc>
                <w:tc>
                  <w:tcPr>
                    <w:tcW w:w="467" w:type="pct"/>
                  </w:tcPr>
                  <w:p w14:paraId="4EDDFBA5" w14:textId="77777777" w:rsidR="00471D53" w:rsidRDefault="00B664AF">
                    <w:pPr>
                      <w:jc w:val="right"/>
                      <w:rPr>
                        <w:sz w:val="18"/>
                        <w:szCs w:val="18"/>
                      </w:rPr>
                    </w:pPr>
                  </w:p>
                </w:tc>
                <w:tc>
                  <w:tcPr>
                    <w:tcW w:w="204" w:type="pct"/>
                  </w:tcPr>
                  <w:p w14:paraId="350BBE23" w14:textId="77777777" w:rsidR="00471D53" w:rsidRDefault="00B664AF">
                    <w:pPr>
                      <w:jc w:val="right"/>
                      <w:rPr>
                        <w:sz w:val="18"/>
                        <w:szCs w:val="18"/>
                      </w:rPr>
                    </w:pPr>
                  </w:p>
                </w:tc>
                <w:tc>
                  <w:tcPr>
                    <w:tcW w:w="396" w:type="pct"/>
                  </w:tcPr>
                  <w:p w14:paraId="1E8A0C59" w14:textId="77777777" w:rsidR="00471D53" w:rsidRDefault="00B664AF">
                    <w:pPr>
                      <w:jc w:val="right"/>
                      <w:rPr>
                        <w:sz w:val="18"/>
                        <w:szCs w:val="18"/>
                      </w:rPr>
                    </w:pPr>
                  </w:p>
                </w:tc>
                <w:tc>
                  <w:tcPr>
                    <w:tcW w:w="141" w:type="pct"/>
                  </w:tcPr>
                  <w:p w14:paraId="31087EAF" w14:textId="77777777" w:rsidR="00471D53" w:rsidRDefault="00B664AF">
                    <w:pPr>
                      <w:jc w:val="right"/>
                      <w:rPr>
                        <w:sz w:val="18"/>
                        <w:szCs w:val="18"/>
                      </w:rPr>
                    </w:pPr>
                  </w:p>
                </w:tc>
                <w:tc>
                  <w:tcPr>
                    <w:tcW w:w="423" w:type="pct"/>
                  </w:tcPr>
                  <w:p w14:paraId="2DF0DCF0" w14:textId="77777777" w:rsidR="00471D53" w:rsidRDefault="00B664AF">
                    <w:pPr>
                      <w:jc w:val="right"/>
                      <w:rPr>
                        <w:sz w:val="18"/>
                        <w:szCs w:val="18"/>
                      </w:rPr>
                    </w:pPr>
                  </w:p>
                </w:tc>
                <w:tc>
                  <w:tcPr>
                    <w:tcW w:w="141" w:type="pct"/>
                  </w:tcPr>
                  <w:p w14:paraId="0C58A31B" w14:textId="77777777" w:rsidR="00471D53" w:rsidRDefault="00B664AF">
                    <w:pPr>
                      <w:jc w:val="right"/>
                      <w:rPr>
                        <w:sz w:val="18"/>
                        <w:szCs w:val="18"/>
                      </w:rPr>
                    </w:pPr>
                  </w:p>
                </w:tc>
                <w:tc>
                  <w:tcPr>
                    <w:tcW w:w="476" w:type="pct"/>
                  </w:tcPr>
                  <w:p w14:paraId="3F75F3F6" w14:textId="77777777" w:rsidR="00471D53" w:rsidRDefault="00B664AF">
                    <w:pPr>
                      <w:jc w:val="right"/>
                      <w:rPr>
                        <w:sz w:val="18"/>
                        <w:szCs w:val="18"/>
                      </w:rPr>
                    </w:pPr>
                  </w:p>
                </w:tc>
                <w:tc>
                  <w:tcPr>
                    <w:tcW w:w="141" w:type="pct"/>
                  </w:tcPr>
                  <w:p w14:paraId="2B1D0434" w14:textId="77777777" w:rsidR="00471D53" w:rsidRDefault="00B664AF">
                    <w:pPr>
                      <w:jc w:val="right"/>
                      <w:rPr>
                        <w:sz w:val="18"/>
                        <w:szCs w:val="18"/>
                      </w:rPr>
                    </w:pPr>
                  </w:p>
                </w:tc>
                <w:tc>
                  <w:tcPr>
                    <w:tcW w:w="467" w:type="pct"/>
                  </w:tcPr>
                  <w:p w14:paraId="1336FE95" w14:textId="77777777" w:rsidR="00471D53" w:rsidRDefault="00B664AF">
                    <w:pPr>
                      <w:jc w:val="right"/>
                      <w:rPr>
                        <w:sz w:val="18"/>
                        <w:szCs w:val="18"/>
                      </w:rPr>
                    </w:pPr>
                  </w:p>
                </w:tc>
                <w:tc>
                  <w:tcPr>
                    <w:tcW w:w="506" w:type="pct"/>
                  </w:tcPr>
                  <w:p w14:paraId="3FD15CBE" w14:textId="77777777" w:rsidR="00471D53" w:rsidRDefault="00B664AF">
                    <w:pPr>
                      <w:jc w:val="right"/>
                      <w:rPr>
                        <w:sz w:val="18"/>
                        <w:szCs w:val="18"/>
                      </w:rPr>
                    </w:pPr>
                  </w:p>
                </w:tc>
                <w:tc>
                  <w:tcPr>
                    <w:tcW w:w="449" w:type="pct"/>
                  </w:tcPr>
                  <w:p w14:paraId="5DDFAADB" w14:textId="77777777" w:rsidR="00471D53" w:rsidRDefault="00B664AF">
                    <w:pPr>
                      <w:jc w:val="right"/>
                      <w:rPr>
                        <w:sz w:val="18"/>
                        <w:szCs w:val="18"/>
                      </w:rPr>
                    </w:pPr>
                  </w:p>
                </w:tc>
              </w:tr>
              <w:tr w:rsidR="00471D53" w14:paraId="592C42B2" w14:textId="77777777" w:rsidTr="00471D53">
                <w:tc>
                  <w:tcPr>
                    <w:tcW w:w="319" w:type="pct"/>
                  </w:tcPr>
                  <w:sdt>
                    <w:sdtPr>
                      <w:rPr>
                        <w:sz w:val="18"/>
                        <w:szCs w:val="18"/>
                      </w:rPr>
                      <w:tag w:val="_PLD_7a03b853b8c74c2fb2e89f59e327b578"/>
                      <w:id w:val="-673342254"/>
                      <w:lock w:val="sdtLocked"/>
                    </w:sdtPr>
                    <w:sdtEndPr/>
                    <w:sdtContent>
                      <w:p w14:paraId="6EDD2095" w14:textId="77777777" w:rsidR="00471D53" w:rsidRDefault="004F686E">
                        <w:r>
                          <w:rPr>
                            <w:sz w:val="18"/>
                            <w:szCs w:val="18"/>
                          </w:rPr>
                          <w:t>4．设定受益计划变动额结转留存收益</w:t>
                        </w:r>
                      </w:p>
                    </w:sdtContent>
                  </w:sdt>
                </w:tc>
                <w:tc>
                  <w:tcPr>
                    <w:tcW w:w="449" w:type="pct"/>
                  </w:tcPr>
                  <w:p w14:paraId="6A3B0B73" w14:textId="77777777" w:rsidR="00471D53" w:rsidRDefault="00B664AF">
                    <w:pPr>
                      <w:jc w:val="right"/>
                      <w:rPr>
                        <w:sz w:val="18"/>
                        <w:szCs w:val="18"/>
                      </w:rPr>
                    </w:pPr>
                  </w:p>
                </w:tc>
                <w:tc>
                  <w:tcPr>
                    <w:tcW w:w="141" w:type="pct"/>
                  </w:tcPr>
                  <w:p w14:paraId="76333C7A" w14:textId="77777777" w:rsidR="00471D53" w:rsidRDefault="00B664AF">
                    <w:pPr>
                      <w:jc w:val="right"/>
                      <w:rPr>
                        <w:sz w:val="18"/>
                        <w:szCs w:val="18"/>
                      </w:rPr>
                    </w:pPr>
                  </w:p>
                </w:tc>
                <w:tc>
                  <w:tcPr>
                    <w:tcW w:w="141" w:type="pct"/>
                  </w:tcPr>
                  <w:p w14:paraId="26A3FE45" w14:textId="77777777" w:rsidR="00471D53" w:rsidRDefault="00B664AF">
                    <w:pPr>
                      <w:jc w:val="right"/>
                      <w:rPr>
                        <w:sz w:val="18"/>
                        <w:szCs w:val="18"/>
                      </w:rPr>
                    </w:pPr>
                  </w:p>
                </w:tc>
                <w:tc>
                  <w:tcPr>
                    <w:tcW w:w="141" w:type="pct"/>
                  </w:tcPr>
                  <w:p w14:paraId="7C5E70E8" w14:textId="77777777" w:rsidR="00471D53" w:rsidRDefault="00B664AF">
                    <w:pPr>
                      <w:jc w:val="right"/>
                      <w:rPr>
                        <w:sz w:val="18"/>
                        <w:szCs w:val="18"/>
                      </w:rPr>
                    </w:pPr>
                  </w:p>
                </w:tc>
                <w:tc>
                  <w:tcPr>
                    <w:tcW w:w="467" w:type="pct"/>
                  </w:tcPr>
                  <w:p w14:paraId="4E1E7E4C" w14:textId="77777777" w:rsidR="00471D53" w:rsidRDefault="00B664AF">
                    <w:pPr>
                      <w:jc w:val="right"/>
                      <w:rPr>
                        <w:sz w:val="18"/>
                        <w:szCs w:val="18"/>
                      </w:rPr>
                    </w:pPr>
                  </w:p>
                </w:tc>
                <w:tc>
                  <w:tcPr>
                    <w:tcW w:w="204" w:type="pct"/>
                  </w:tcPr>
                  <w:p w14:paraId="02E019EE" w14:textId="77777777" w:rsidR="00471D53" w:rsidRDefault="00B664AF">
                    <w:pPr>
                      <w:jc w:val="right"/>
                      <w:rPr>
                        <w:sz w:val="18"/>
                        <w:szCs w:val="18"/>
                      </w:rPr>
                    </w:pPr>
                  </w:p>
                </w:tc>
                <w:tc>
                  <w:tcPr>
                    <w:tcW w:w="396" w:type="pct"/>
                  </w:tcPr>
                  <w:p w14:paraId="6A4F7DA6" w14:textId="77777777" w:rsidR="00471D53" w:rsidRDefault="00B664AF">
                    <w:pPr>
                      <w:jc w:val="right"/>
                      <w:rPr>
                        <w:sz w:val="18"/>
                        <w:szCs w:val="18"/>
                      </w:rPr>
                    </w:pPr>
                  </w:p>
                </w:tc>
                <w:tc>
                  <w:tcPr>
                    <w:tcW w:w="141" w:type="pct"/>
                  </w:tcPr>
                  <w:p w14:paraId="0694405F" w14:textId="77777777" w:rsidR="00471D53" w:rsidRDefault="00B664AF">
                    <w:pPr>
                      <w:jc w:val="right"/>
                      <w:rPr>
                        <w:sz w:val="18"/>
                        <w:szCs w:val="18"/>
                      </w:rPr>
                    </w:pPr>
                  </w:p>
                </w:tc>
                <w:tc>
                  <w:tcPr>
                    <w:tcW w:w="423" w:type="pct"/>
                  </w:tcPr>
                  <w:p w14:paraId="007638AF" w14:textId="77777777" w:rsidR="00471D53" w:rsidRDefault="00B664AF">
                    <w:pPr>
                      <w:jc w:val="right"/>
                      <w:rPr>
                        <w:sz w:val="18"/>
                        <w:szCs w:val="18"/>
                      </w:rPr>
                    </w:pPr>
                  </w:p>
                </w:tc>
                <w:tc>
                  <w:tcPr>
                    <w:tcW w:w="141" w:type="pct"/>
                  </w:tcPr>
                  <w:p w14:paraId="52693F94" w14:textId="77777777" w:rsidR="00471D53" w:rsidRDefault="00B664AF">
                    <w:pPr>
                      <w:jc w:val="right"/>
                      <w:rPr>
                        <w:sz w:val="18"/>
                        <w:szCs w:val="18"/>
                      </w:rPr>
                    </w:pPr>
                  </w:p>
                </w:tc>
                <w:tc>
                  <w:tcPr>
                    <w:tcW w:w="476" w:type="pct"/>
                  </w:tcPr>
                  <w:p w14:paraId="2AB8FED7" w14:textId="77777777" w:rsidR="00471D53" w:rsidRDefault="00B664AF">
                    <w:pPr>
                      <w:jc w:val="right"/>
                      <w:rPr>
                        <w:sz w:val="18"/>
                        <w:szCs w:val="18"/>
                      </w:rPr>
                    </w:pPr>
                  </w:p>
                </w:tc>
                <w:tc>
                  <w:tcPr>
                    <w:tcW w:w="141" w:type="pct"/>
                  </w:tcPr>
                  <w:p w14:paraId="16153688" w14:textId="77777777" w:rsidR="00471D53" w:rsidRDefault="00B664AF">
                    <w:pPr>
                      <w:jc w:val="right"/>
                      <w:rPr>
                        <w:sz w:val="18"/>
                        <w:szCs w:val="18"/>
                      </w:rPr>
                    </w:pPr>
                  </w:p>
                </w:tc>
                <w:tc>
                  <w:tcPr>
                    <w:tcW w:w="467" w:type="pct"/>
                  </w:tcPr>
                  <w:p w14:paraId="46D9AA44" w14:textId="77777777" w:rsidR="00471D53" w:rsidRDefault="00B664AF">
                    <w:pPr>
                      <w:jc w:val="right"/>
                      <w:rPr>
                        <w:sz w:val="18"/>
                        <w:szCs w:val="18"/>
                      </w:rPr>
                    </w:pPr>
                  </w:p>
                </w:tc>
                <w:tc>
                  <w:tcPr>
                    <w:tcW w:w="506" w:type="pct"/>
                  </w:tcPr>
                  <w:p w14:paraId="2765C8A6" w14:textId="77777777" w:rsidR="00471D53" w:rsidRDefault="00B664AF">
                    <w:pPr>
                      <w:jc w:val="right"/>
                      <w:rPr>
                        <w:sz w:val="18"/>
                        <w:szCs w:val="18"/>
                      </w:rPr>
                    </w:pPr>
                  </w:p>
                </w:tc>
                <w:tc>
                  <w:tcPr>
                    <w:tcW w:w="449" w:type="pct"/>
                  </w:tcPr>
                  <w:p w14:paraId="06CF48E6" w14:textId="77777777" w:rsidR="00471D53" w:rsidRDefault="00B664AF">
                    <w:pPr>
                      <w:jc w:val="right"/>
                      <w:rPr>
                        <w:sz w:val="18"/>
                        <w:szCs w:val="18"/>
                      </w:rPr>
                    </w:pPr>
                  </w:p>
                </w:tc>
              </w:tr>
              <w:tr w:rsidR="00471D53" w14:paraId="4AF269A8" w14:textId="77777777" w:rsidTr="00471D53">
                <w:tc>
                  <w:tcPr>
                    <w:tcW w:w="319" w:type="pct"/>
                  </w:tcPr>
                  <w:sdt>
                    <w:sdtPr>
                      <w:rPr>
                        <w:sz w:val="18"/>
                        <w:szCs w:val="18"/>
                      </w:rPr>
                      <w:tag w:val="_PLD_1db95d2c039e4fb6b41eae5a5c0aeb0a"/>
                      <w:id w:val="-1987157643"/>
                      <w:lock w:val="sdtLocked"/>
                    </w:sdtPr>
                    <w:sdtEndPr/>
                    <w:sdtContent>
                      <w:p w14:paraId="120787C6" w14:textId="77777777" w:rsidR="00471D53" w:rsidRDefault="004F686E">
                        <w:pPr>
                          <w:rPr>
                            <w:sz w:val="18"/>
                            <w:szCs w:val="18"/>
                          </w:rPr>
                        </w:pPr>
                        <w:r>
                          <w:rPr>
                            <w:sz w:val="18"/>
                            <w:szCs w:val="18"/>
                          </w:rPr>
                          <w:t>5．其他综合收益结转留存收益</w:t>
                        </w:r>
                      </w:p>
                    </w:sdtContent>
                  </w:sdt>
                </w:tc>
                <w:tc>
                  <w:tcPr>
                    <w:tcW w:w="449" w:type="pct"/>
                  </w:tcPr>
                  <w:p w14:paraId="42F4E9CA" w14:textId="77777777" w:rsidR="00471D53" w:rsidRDefault="00B664AF">
                    <w:pPr>
                      <w:jc w:val="right"/>
                      <w:rPr>
                        <w:sz w:val="18"/>
                        <w:szCs w:val="18"/>
                      </w:rPr>
                    </w:pPr>
                  </w:p>
                </w:tc>
                <w:tc>
                  <w:tcPr>
                    <w:tcW w:w="141" w:type="pct"/>
                  </w:tcPr>
                  <w:p w14:paraId="48B9B9CE" w14:textId="77777777" w:rsidR="00471D53" w:rsidRDefault="00B664AF">
                    <w:pPr>
                      <w:jc w:val="right"/>
                      <w:rPr>
                        <w:sz w:val="18"/>
                        <w:szCs w:val="18"/>
                      </w:rPr>
                    </w:pPr>
                  </w:p>
                </w:tc>
                <w:tc>
                  <w:tcPr>
                    <w:tcW w:w="141" w:type="pct"/>
                  </w:tcPr>
                  <w:p w14:paraId="181A025C" w14:textId="77777777" w:rsidR="00471D53" w:rsidRDefault="00B664AF">
                    <w:pPr>
                      <w:jc w:val="right"/>
                      <w:rPr>
                        <w:sz w:val="18"/>
                        <w:szCs w:val="18"/>
                      </w:rPr>
                    </w:pPr>
                  </w:p>
                </w:tc>
                <w:tc>
                  <w:tcPr>
                    <w:tcW w:w="141" w:type="pct"/>
                  </w:tcPr>
                  <w:p w14:paraId="38D933D4" w14:textId="77777777" w:rsidR="00471D53" w:rsidRDefault="00B664AF">
                    <w:pPr>
                      <w:jc w:val="right"/>
                      <w:rPr>
                        <w:sz w:val="18"/>
                        <w:szCs w:val="18"/>
                      </w:rPr>
                    </w:pPr>
                  </w:p>
                </w:tc>
                <w:tc>
                  <w:tcPr>
                    <w:tcW w:w="467" w:type="pct"/>
                  </w:tcPr>
                  <w:p w14:paraId="7FA60C86" w14:textId="77777777" w:rsidR="00471D53" w:rsidRDefault="00B664AF">
                    <w:pPr>
                      <w:jc w:val="right"/>
                      <w:rPr>
                        <w:sz w:val="18"/>
                        <w:szCs w:val="18"/>
                      </w:rPr>
                    </w:pPr>
                  </w:p>
                </w:tc>
                <w:tc>
                  <w:tcPr>
                    <w:tcW w:w="204" w:type="pct"/>
                  </w:tcPr>
                  <w:p w14:paraId="203B7FF2" w14:textId="77777777" w:rsidR="00471D53" w:rsidRDefault="00B664AF">
                    <w:pPr>
                      <w:jc w:val="right"/>
                      <w:rPr>
                        <w:sz w:val="18"/>
                        <w:szCs w:val="18"/>
                      </w:rPr>
                    </w:pPr>
                  </w:p>
                </w:tc>
                <w:tc>
                  <w:tcPr>
                    <w:tcW w:w="396" w:type="pct"/>
                  </w:tcPr>
                  <w:p w14:paraId="25A825C8" w14:textId="77777777" w:rsidR="00471D53" w:rsidRDefault="00B664AF">
                    <w:pPr>
                      <w:jc w:val="right"/>
                      <w:rPr>
                        <w:sz w:val="18"/>
                        <w:szCs w:val="18"/>
                      </w:rPr>
                    </w:pPr>
                  </w:p>
                </w:tc>
                <w:tc>
                  <w:tcPr>
                    <w:tcW w:w="141" w:type="pct"/>
                  </w:tcPr>
                  <w:p w14:paraId="3EBE2C58" w14:textId="77777777" w:rsidR="00471D53" w:rsidRDefault="00B664AF">
                    <w:pPr>
                      <w:jc w:val="right"/>
                      <w:rPr>
                        <w:sz w:val="18"/>
                        <w:szCs w:val="18"/>
                      </w:rPr>
                    </w:pPr>
                  </w:p>
                </w:tc>
                <w:tc>
                  <w:tcPr>
                    <w:tcW w:w="423" w:type="pct"/>
                  </w:tcPr>
                  <w:p w14:paraId="20B7F8C6" w14:textId="77777777" w:rsidR="00471D53" w:rsidRDefault="00B664AF">
                    <w:pPr>
                      <w:jc w:val="right"/>
                      <w:rPr>
                        <w:sz w:val="18"/>
                        <w:szCs w:val="18"/>
                      </w:rPr>
                    </w:pPr>
                  </w:p>
                </w:tc>
                <w:tc>
                  <w:tcPr>
                    <w:tcW w:w="141" w:type="pct"/>
                  </w:tcPr>
                  <w:p w14:paraId="4CCF7E60" w14:textId="77777777" w:rsidR="00471D53" w:rsidRDefault="00B664AF">
                    <w:pPr>
                      <w:jc w:val="right"/>
                      <w:rPr>
                        <w:sz w:val="18"/>
                        <w:szCs w:val="18"/>
                      </w:rPr>
                    </w:pPr>
                  </w:p>
                </w:tc>
                <w:tc>
                  <w:tcPr>
                    <w:tcW w:w="476" w:type="pct"/>
                  </w:tcPr>
                  <w:p w14:paraId="4F2FF66D" w14:textId="77777777" w:rsidR="00471D53" w:rsidRDefault="00B664AF">
                    <w:pPr>
                      <w:jc w:val="right"/>
                      <w:rPr>
                        <w:sz w:val="18"/>
                        <w:szCs w:val="18"/>
                      </w:rPr>
                    </w:pPr>
                  </w:p>
                </w:tc>
                <w:tc>
                  <w:tcPr>
                    <w:tcW w:w="141" w:type="pct"/>
                  </w:tcPr>
                  <w:p w14:paraId="7E0D8D5C" w14:textId="77777777" w:rsidR="00471D53" w:rsidRDefault="00B664AF">
                    <w:pPr>
                      <w:jc w:val="right"/>
                      <w:rPr>
                        <w:sz w:val="18"/>
                        <w:szCs w:val="18"/>
                      </w:rPr>
                    </w:pPr>
                  </w:p>
                </w:tc>
                <w:tc>
                  <w:tcPr>
                    <w:tcW w:w="467" w:type="pct"/>
                  </w:tcPr>
                  <w:p w14:paraId="68F4F37D" w14:textId="77777777" w:rsidR="00471D53" w:rsidRDefault="00B664AF">
                    <w:pPr>
                      <w:jc w:val="right"/>
                      <w:rPr>
                        <w:sz w:val="18"/>
                        <w:szCs w:val="18"/>
                      </w:rPr>
                    </w:pPr>
                  </w:p>
                </w:tc>
                <w:tc>
                  <w:tcPr>
                    <w:tcW w:w="506" w:type="pct"/>
                  </w:tcPr>
                  <w:p w14:paraId="182DE000" w14:textId="77777777" w:rsidR="00471D53" w:rsidRDefault="00B664AF">
                    <w:pPr>
                      <w:jc w:val="right"/>
                      <w:rPr>
                        <w:sz w:val="18"/>
                        <w:szCs w:val="18"/>
                      </w:rPr>
                    </w:pPr>
                  </w:p>
                </w:tc>
                <w:tc>
                  <w:tcPr>
                    <w:tcW w:w="449" w:type="pct"/>
                  </w:tcPr>
                  <w:p w14:paraId="32F70E75" w14:textId="77777777" w:rsidR="00471D53" w:rsidRDefault="00B664AF">
                    <w:pPr>
                      <w:jc w:val="right"/>
                      <w:rPr>
                        <w:sz w:val="18"/>
                        <w:szCs w:val="18"/>
                      </w:rPr>
                    </w:pPr>
                  </w:p>
                </w:tc>
              </w:tr>
              <w:tr w:rsidR="00471D53" w14:paraId="505CACD3" w14:textId="77777777" w:rsidTr="00471D53">
                <w:tc>
                  <w:tcPr>
                    <w:tcW w:w="319" w:type="pct"/>
                  </w:tcPr>
                  <w:sdt>
                    <w:sdtPr>
                      <w:rPr>
                        <w:sz w:val="18"/>
                        <w:szCs w:val="18"/>
                      </w:rPr>
                      <w:tag w:val="_PLD_44b366cf670e4514b5f91bc8cef97e27"/>
                      <w:id w:val="681714446"/>
                      <w:lock w:val="sdtLocked"/>
                    </w:sdtPr>
                    <w:sdtEndPr/>
                    <w:sdtContent>
                      <w:p w14:paraId="50CC32FD" w14:textId="77777777" w:rsidR="00471D53" w:rsidRDefault="004F686E">
                        <w:r>
                          <w:rPr>
                            <w:sz w:val="18"/>
                            <w:szCs w:val="18"/>
                          </w:rPr>
                          <w:t>6．其他</w:t>
                        </w:r>
                      </w:p>
                    </w:sdtContent>
                  </w:sdt>
                </w:tc>
                <w:tc>
                  <w:tcPr>
                    <w:tcW w:w="449" w:type="pct"/>
                  </w:tcPr>
                  <w:p w14:paraId="428F1238" w14:textId="77777777" w:rsidR="00471D53" w:rsidRDefault="00B664AF">
                    <w:pPr>
                      <w:jc w:val="right"/>
                      <w:rPr>
                        <w:sz w:val="18"/>
                        <w:szCs w:val="18"/>
                      </w:rPr>
                    </w:pPr>
                  </w:p>
                </w:tc>
                <w:tc>
                  <w:tcPr>
                    <w:tcW w:w="141" w:type="pct"/>
                  </w:tcPr>
                  <w:p w14:paraId="05BAC4D1" w14:textId="77777777" w:rsidR="00471D53" w:rsidRDefault="00B664AF">
                    <w:pPr>
                      <w:jc w:val="right"/>
                      <w:rPr>
                        <w:sz w:val="18"/>
                        <w:szCs w:val="18"/>
                      </w:rPr>
                    </w:pPr>
                  </w:p>
                </w:tc>
                <w:tc>
                  <w:tcPr>
                    <w:tcW w:w="141" w:type="pct"/>
                  </w:tcPr>
                  <w:p w14:paraId="691D2A90" w14:textId="77777777" w:rsidR="00471D53" w:rsidRDefault="00B664AF">
                    <w:pPr>
                      <w:jc w:val="right"/>
                      <w:rPr>
                        <w:sz w:val="18"/>
                        <w:szCs w:val="18"/>
                      </w:rPr>
                    </w:pPr>
                  </w:p>
                </w:tc>
                <w:tc>
                  <w:tcPr>
                    <w:tcW w:w="141" w:type="pct"/>
                  </w:tcPr>
                  <w:p w14:paraId="1EF6CFB3" w14:textId="77777777" w:rsidR="00471D53" w:rsidRDefault="00B664AF">
                    <w:pPr>
                      <w:jc w:val="right"/>
                      <w:rPr>
                        <w:sz w:val="18"/>
                        <w:szCs w:val="18"/>
                      </w:rPr>
                    </w:pPr>
                  </w:p>
                </w:tc>
                <w:tc>
                  <w:tcPr>
                    <w:tcW w:w="467" w:type="pct"/>
                  </w:tcPr>
                  <w:p w14:paraId="7D8AC364" w14:textId="77777777" w:rsidR="00471D53" w:rsidRDefault="00B664AF">
                    <w:pPr>
                      <w:jc w:val="right"/>
                      <w:rPr>
                        <w:sz w:val="18"/>
                        <w:szCs w:val="18"/>
                      </w:rPr>
                    </w:pPr>
                  </w:p>
                </w:tc>
                <w:tc>
                  <w:tcPr>
                    <w:tcW w:w="204" w:type="pct"/>
                  </w:tcPr>
                  <w:p w14:paraId="4F76CA77" w14:textId="77777777" w:rsidR="00471D53" w:rsidRDefault="00B664AF">
                    <w:pPr>
                      <w:jc w:val="right"/>
                      <w:rPr>
                        <w:sz w:val="18"/>
                        <w:szCs w:val="18"/>
                      </w:rPr>
                    </w:pPr>
                  </w:p>
                </w:tc>
                <w:tc>
                  <w:tcPr>
                    <w:tcW w:w="396" w:type="pct"/>
                  </w:tcPr>
                  <w:p w14:paraId="1B4209E1" w14:textId="77777777" w:rsidR="00471D53" w:rsidRDefault="00B664AF">
                    <w:pPr>
                      <w:jc w:val="right"/>
                      <w:rPr>
                        <w:sz w:val="18"/>
                        <w:szCs w:val="18"/>
                      </w:rPr>
                    </w:pPr>
                  </w:p>
                </w:tc>
                <w:tc>
                  <w:tcPr>
                    <w:tcW w:w="141" w:type="pct"/>
                  </w:tcPr>
                  <w:p w14:paraId="4F81BDA0" w14:textId="77777777" w:rsidR="00471D53" w:rsidRDefault="00B664AF">
                    <w:pPr>
                      <w:jc w:val="right"/>
                      <w:rPr>
                        <w:sz w:val="18"/>
                        <w:szCs w:val="18"/>
                      </w:rPr>
                    </w:pPr>
                  </w:p>
                </w:tc>
                <w:tc>
                  <w:tcPr>
                    <w:tcW w:w="423" w:type="pct"/>
                  </w:tcPr>
                  <w:p w14:paraId="3F548881" w14:textId="77777777" w:rsidR="00471D53" w:rsidRDefault="00B664AF">
                    <w:pPr>
                      <w:jc w:val="right"/>
                      <w:rPr>
                        <w:sz w:val="18"/>
                        <w:szCs w:val="18"/>
                      </w:rPr>
                    </w:pPr>
                  </w:p>
                </w:tc>
                <w:tc>
                  <w:tcPr>
                    <w:tcW w:w="141" w:type="pct"/>
                  </w:tcPr>
                  <w:p w14:paraId="29058D7D" w14:textId="77777777" w:rsidR="00471D53" w:rsidRDefault="00B664AF">
                    <w:pPr>
                      <w:jc w:val="right"/>
                      <w:rPr>
                        <w:sz w:val="18"/>
                        <w:szCs w:val="18"/>
                      </w:rPr>
                    </w:pPr>
                  </w:p>
                </w:tc>
                <w:tc>
                  <w:tcPr>
                    <w:tcW w:w="476" w:type="pct"/>
                  </w:tcPr>
                  <w:p w14:paraId="5511B8F8" w14:textId="77777777" w:rsidR="00471D53" w:rsidRDefault="00B664AF">
                    <w:pPr>
                      <w:jc w:val="right"/>
                      <w:rPr>
                        <w:sz w:val="18"/>
                        <w:szCs w:val="18"/>
                      </w:rPr>
                    </w:pPr>
                  </w:p>
                </w:tc>
                <w:tc>
                  <w:tcPr>
                    <w:tcW w:w="141" w:type="pct"/>
                  </w:tcPr>
                  <w:p w14:paraId="23F1E3A7" w14:textId="77777777" w:rsidR="00471D53" w:rsidRDefault="00B664AF">
                    <w:pPr>
                      <w:jc w:val="right"/>
                      <w:rPr>
                        <w:sz w:val="18"/>
                        <w:szCs w:val="18"/>
                      </w:rPr>
                    </w:pPr>
                  </w:p>
                </w:tc>
                <w:tc>
                  <w:tcPr>
                    <w:tcW w:w="467" w:type="pct"/>
                  </w:tcPr>
                  <w:p w14:paraId="11B7442E" w14:textId="77777777" w:rsidR="00471D53" w:rsidRDefault="00B664AF">
                    <w:pPr>
                      <w:jc w:val="right"/>
                      <w:rPr>
                        <w:sz w:val="18"/>
                        <w:szCs w:val="18"/>
                      </w:rPr>
                    </w:pPr>
                  </w:p>
                </w:tc>
                <w:tc>
                  <w:tcPr>
                    <w:tcW w:w="506" w:type="pct"/>
                  </w:tcPr>
                  <w:p w14:paraId="3EBF4944" w14:textId="77777777" w:rsidR="00471D53" w:rsidRDefault="00B664AF">
                    <w:pPr>
                      <w:jc w:val="right"/>
                      <w:rPr>
                        <w:sz w:val="18"/>
                        <w:szCs w:val="18"/>
                      </w:rPr>
                    </w:pPr>
                  </w:p>
                </w:tc>
                <w:tc>
                  <w:tcPr>
                    <w:tcW w:w="449" w:type="pct"/>
                  </w:tcPr>
                  <w:p w14:paraId="4B6A8427" w14:textId="77777777" w:rsidR="00471D53" w:rsidRDefault="00B664AF">
                    <w:pPr>
                      <w:jc w:val="right"/>
                      <w:rPr>
                        <w:sz w:val="18"/>
                        <w:szCs w:val="18"/>
                      </w:rPr>
                    </w:pPr>
                  </w:p>
                </w:tc>
              </w:tr>
              <w:tr w:rsidR="00471D53" w14:paraId="20B27029" w14:textId="77777777" w:rsidTr="00471D53">
                <w:sdt>
                  <w:sdtPr>
                    <w:tag w:val="_PLD_4c2ffccd1b8247f8b48874b508665dc1"/>
                    <w:id w:val="633689181"/>
                    <w:lock w:val="sdtLocked"/>
                  </w:sdtPr>
                  <w:sdtEndPr/>
                  <w:sdtContent>
                    <w:tc>
                      <w:tcPr>
                        <w:tcW w:w="319" w:type="pct"/>
                      </w:tcPr>
                      <w:p w14:paraId="0E5F00A2" w14:textId="77777777" w:rsidR="00471D53" w:rsidRDefault="004F686E">
                        <w:pPr>
                          <w:rPr>
                            <w:sz w:val="18"/>
                            <w:szCs w:val="18"/>
                          </w:rPr>
                        </w:pPr>
                        <w:r>
                          <w:rPr>
                            <w:rFonts w:hint="eastAsia"/>
                            <w:sz w:val="18"/>
                            <w:szCs w:val="18"/>
                          </w:rPr>
                          <w:t>（五）专项储备</w:t>
                        </w:r>
                      </w:p>
                    </w:tc>
                  </w:sdtContent>
                </w:sdt>
                <w:tc>
                  <w:tcPr>
                    <w:tcW w:w="449" w:type="pct"/>
                  </w:tcPr>
                  <w:p w14:paraId="4F2F32FC" w14:textId="77777777" w:rsidR="00471D53" w:rsidRDefault="00B664AF">
                    <w:pPr>
                      <w:jc w:val="right"/>
                      <w:rPr>
                        <w:sz w:val="18"/>
                        <w:szCs w:val="18"/>
                      </w:rPr>
                    </w:pPr>
                  </w:p>
                </w:tc>
                <w:tc>
                  <w:tcPr>
                    <w:tcW w:w="141" w:type="pct"/>
                  </w:tcPr>
                  <w:p w14:paraId="60C3C536" w14:textId="77777777" w:rsidR="00471D53" w:rsidRDefault="00B664AF">
                    <w:pPr>
                      <w:jc w:val="right"/>
                      <w:rPr>
                        <w:sz w:val="18"/>
                        <w:szCs w:val="18"/>
                      </w:rPr>
                    </w:pPr>
                  </w:p>
                </w:tc>
                <w:tc>
                  <w:tcPr>
                    <w:tcW w:w="141" w:type="pct"/>
                  </w:tcPr>
                  <w:p w14:paraId="51719663" w14:textId="77777777" w:rsidR="00471D53" w:rsidRDefault="00B664AF">
                    <w:pPr>
                      <w:jc w:val="right"/>
                      <w:rPr>
                        <w:sz w:val="18"/>
                        <w:szCs w:val="18"/>
                      </w:rPr>
                    </w:pPr>
                  </w:p>
                </w:tc>
                <w:tc>
                  <w:tcPr>
                    <w:tcW w:w="141" w:type="pct"/>
                  </w:tcPr>
                  <w:p w14:paraId="0DA331C7" w14:textId="77777777" w:rsidR="00471D53" w:rsidRDefault="00B664AF">
                    <w:pPr>
                      <w:jc w:val="right"/>
                      <w:rPr>
                        <w:sz w:val="18"/>
                        <w:szCs w:val="18"/>
                      </w:rPr>
                    </w:pPr>
                  </w:p>
                </w:tc>
                <w:tc>
                  <w:tcPr>
                    <w:tcW w:w="467" w:type="pct"/>
                  </w:tcPr>
                  <w:p w14:paraId="48B962A7" w14:textId="77777777" w:rsidR="00471D53" w:rsidRDefault="00B664AF">
                    <w:pPr>
                      <w:jc w:val="right"/>
                      <w:rPr>
                        <w:sz w:val="18"/>
                        <w:szCs w:val="18"/>
                      </w:rPr>
                    </w:pPr>
                  </w:p>
                </w:tc>
                <w:tc>
                  <w:tcPr>
                    <w:tcW w:w="204" w:type="pct"/>
                  </w:tcPr>
                  <w:p w14:paraId="0B0A85D3" w14:textId="77777777" w:rsidR="00471D53" w:rsidRDefault="00B664AF">
                    <w:pPr>
                      <w:jc w:val="right"/>
                      <w:rPr>
                        <w:sz w:val="18"/>
                        <w:szCs w:val="18"/>
                      </w:rPr>
                    </w:pPr>
                  </w:p>
                </w:tc>
                <w:tc>
                  <w:tcPr>
                    <w:tcW w:w="396" w:type="pct"/>
                  </w:tcPr>
                  <w:p w14:paraId="2DBCAB5F" w14:textId="77777777" w:rsidR="00471D53" w:rsidRDefault="00B664AF">
                    <w:pPr>
                      <w:jc w:val="right"/>
                      <w:rPr>
                        <w:sz w:val="18"/>
                        <w:szCs w:val="18"/>
                      </w:rPr>
                    </w:pPr>
                  </w:p>
                </w:tc>
                <w:tc>
                  <w:tcPr>
                    <w:tcW w:w="141" w:type="pct"/>
                  </w:tcPr>
                  <w:p w14:paraId="3A072C6F" w14:textId="77777777" w:rsidR="00471D53" w:rsidRDefault="00B664AF">
                    <w:pPr>
                      <w:jc w:val="right"/>
                      <w:rPr>
                        <w:sz w:val="18"/>
                        <w:szCs w:val="18"/>
                      </w:rPr>
                    </w:pPr>
                  </w:p>
                </w:tc>
                <w:tc>
                  <w:tcPr>
                    <w:tcW w:w="423" w:type="pct"/>
                  </w:tcPr>
                  <w:p w14:paraId="40407EC2" w14:textId="77777777" w:rsidR="00471D53" w:rsidRDefault="00B664AF">
                    <w:pPr>
                      <w:jc w:val="right"/>
                      <w:rPr>
                        <w:sz w:val="18"/>
                        <w:szCs w:val="18"/>
                      </w:rPr>
                    </w:pPr>
                  </w:p>
                </w:tc>
                <w:tc>
                  <w:tcPr>
                    <w:tcW w:w="141" w:type="pct"/>
                  </w:tcPr>
                  <w:p w14:paraId="054BA98E" w14:textId="77777777" w:rsidR="00471D53" w:rsidRDefault="00B664AF">
                    <w:pPr>
                      <w:jc w:val="right"/>
                      <w:rPr>
                        <w:sz w:val="18"/>
                        <w:szCs w:val="18"/>
                      </w:rPr>
                    </w:pPr>
                  </w:p>
                </w:tc>
                <w:tc>
                  <w:tcPr>
                    <w:tcW w:w="476" w:type="pct"/>
                  </w:tcPr>
                  <w:p w14:paraId="42B44E3B" w14:textId="77777777" w:rsidR="00471D53" w:rsidRDefault="00B664AF">
                    <w:pPr>
                      <w:jc w:val="right"/>
                      <w:rPr>
                        <w:sz w:val="18"/>
                        <w:szCs w:val="18"/>
                      </w:rPr>
                    </w:pPr>
                  </w:p>
                </w:tc>
                <w:tc>
                  <w:tcPr>
                    <w:tcW w:w="141" w:type="pct"/>
                  </w:tcPr>
                  <w:p w14:paraId="1A29F644" w14:textId="77777777" w:rsidR="00471D53" w:rsidRDefault="00B664AF">
                    <w:pPr>
                      <w:jc w:val="right"/>
                      <w:rPr>
                        <w:sz w:val="18"/>
                        <w:szCs w:val="18"/>
                      </w:rPr>
                    </w:pPr>
                  </w:p>
                </w:tc>
                <w:tc>
                  <w:tcPr>
                    <w:tcW w:w="467" w:type="pct"/>
                  </w:tcPr>
                  <w:p w14:paraId="56D95775" w14:textId="77777777" w:rsidR="00471D53" w:rsidRDefault="00B664AF">
                    <w:pPr>
                      <w:jc w:val="right"/>
                      <w:rPr>
                        <w:sz w:val="18"/>
                        <w:szCs w:val="18"/>
                      </w:rPr>
                    </w:pPr>
                  </w:p>
                </w:tc>
                <w:tc>
                  <w:tcPr>
                    <w:tcW w:w="506" w:type="pct"/>
                  </w:tcPr>
                  <w:p w14:paraId="6AFD0BA7" w14:textId="77777777" w:rsidR="00471D53" w:rsidRDefault="00B664AF">
                    <w:pPr>
                      <w:jc w:val="right"/>
                      <w:rPr>
                        <w:sz w:val="18"/>
                        <w:szCs w:val="18"/>
                      </w:rPr>
                    </w:pPr>
                  </w:p>
                </w:tc>
                <w:tc>
                  <w:tcPr>
                    <w:tcW w:w="449" w:type="pct"/>
                  </w:tcPr>
                  <w:p w14:paraId="08B4F1F1" w14:textId="77777777" w:rsidR="00471D53" w:rsidRDefault="00B664AF">
                    <w:pPr>
                      <w:jc w:val="right"/>
                      <w:rPr>
                        <w:sz w:val="18"/>
                        <w:szCs w:val="18"/>
                      </w:rPr>
                    </w:pPr>
                  </w:p>
                </w:tc>
              </w:tr>
              <w:tr w:rsidR="00471D53" w14:paraId="57C8C498" w14:textId="77777777" w:rsidTr="00471D53">
                <w:sdt>
                  <w:sdtPr>
                    <w:tag w:val="_PLD_d7da1c1428f3471c9d74c89a582725d7"/>
                    <w:id w:val="-950774662"/>
                    <w:lock w:val="sdtLocked"/>
                  </w:sdtPr>
                  <w:sdtEndPr/>
                  <w:sdtContent>
                    <w:tc>
                      <w:tcPr>
                        <w:tcW w:w="319" w:type="pct"/>
                      </w:tcPr>
                      <w:p w14:paraId="7885A4EA" w14:textId="77777777" w:rsidR="00471D53" w:rsidRDefault="004F686E">
                        <w:pPr>
                          <w:rPr>
                            <w:sz w:val="18"/>
                            <w:szCs w:val="18"/>
                          </w:rPr>
                        </w:pPr>
                        <w:r>
                          <w:rPr>
                            <w:rFonts w:hint="eastAsia"/>
                            <w:sz w:val="18"/>
                            <w:szCs w:val="18"/>
                          </w:rPr>
                          <w:t>1．本期提取</w:t>
                        </w:r>
                      </w:p>
                    </w:tc>
                  </w:sdtContent>
                </w:sdt>
                <w:tc>
                  <w:tcPr>
                    <w:tcW w:w="449" w:type="pct"/>
                  </w:tcPr>
                  <w:p w14:paraId="46365A95" w14:textId="77777777" w:rsidR="00471D53" w:rsidRDefault="00B664AF">
                    <w:pPr>
                      <w:jc w:val="right"/>
                      <w:rPr>
                        <w:sz w:val="18"/>
                        <w:szCs w:val="18"/>
                      </w:rPr>
                    </w:pPr>
                  </w:p>
                </w:tc>
                <w:tc>
                  <w:tcPr>
                    <w:tcW w:w="141" w:type="pct"/>
                  </w:tcPr>
                  <w:p w14:paraId="2E3DCEBC" w14:textId="77777777" w:rsidR="00471D53" w:rsidRDefault="00B664AF">
                    <w:pPr>
                      <w:jc w:val="right"/>
                      <w:rPr>
                        <w:sz w:val="18"/>
                        <w:szCs w:val="18"/>
                      </w:rPr>
                    </w:pPr>
                  </w:p>
                </w:tc>
                <w:tc>
                  <w:tcPr>
                    <w:tcW w:w="141" w:type="pct"/>
                  </w:tcPr>
                  <w:p w14:paraId="1430DC83" w14:textId="77777777" w:rsidR="00471D53" w:rsidRDefault="00B664AF">
                    <w:pPr>
                      <w:jc w:val="right"/>
                      <w:rPr>
                        <w:sz w:val="18"/>
                        <w:szCs w:val="18"/>
                      </w:rPr>
                    </w:pPr>
                  </w:p>
                </w:tc>
                <w:tc>
                  <w:tcPr>
                    <w:tcW w:w="141" w:type="pct"/>
                  </w:tcPr>
                  <w:p w14:paraId="31885BBE" w14:textId="77777777" w:rsidR="00471D53" w:rsidRDefault="00B664AF">
                    <w:pPr>
                      <w:jc w:val="right"/>
                      <w:rPr>
                        <w:sz w:val="18"/>
                        <w:szCs w:val="18"/>
                      </w:rPr>
                    </w:pPr>
                  </w:p>
                </w:tc>
                <w:tc>
                  <w:tcPr>
                    <w:tcW w:w="467" w:type="pct"/>
                  </w:tcPr>
                  <w:p w14:paraId="57344CCE" w14:textId="77777777" w:rsidR="00471D53" w:rsidRDefault="00B664AF">
                    <w:pPr>
                      <w:jc w:val="right"/>
                      <w:rPr>
                        <w:sz w:val="18"/>
                        <w:szCs w:val="18"/>
                      </w:rPr>
                    </w:pPr>
                  </w:p>
                </w:tc>
                <w:tc>
                  <w:tcPr>
                    <w:tcW w:w="204" w:type="pct"/>
                  </w:tcPr>
                  <w:p w14:paraId="0C73714D" w14:textId="77777777" w:rsidR="00471D53" w:rsidRDefault="00B664AF">
                    <w:pPr>
                      <w:jc w:val="right"/>
                      <w:rPr>
                        <w:sz w:val="18"/>
                        <w:szCs w:val="18"/>
                      </w:rPr>
                    </w:pPr>
                  </w:p>
                </w:tc>
                <w:tc>
                  <w:tcPr>
                    <w:tcW w:w="396" w:type="pct"/>
                  </w:tcPr>
                  <w:p w14:paraId="43CE511E" w14:textId="77777777" w:rsidR="00471D53" w:rsidRDefault="00B664AF">
                    <w:pPr>
                      <w:jc w:val="right"/>
                      <w:rPr>
                        <w:sz w:val="18"/>
                        <w:szCs w:val="18"/>
                      </w:rPr>
                    </w:pPr>
                  </w:p>
                </w:tc>
                <w:tc>
                  <w:tcPr>
                    <w:tcW w:w="141" w:type="pct"/>
                  </w:tcPr>
                  <w:p w14:paraId="5D0AC3F0" w14:textId="77777777" w:rsidR="00471D53" w:rsidRDefault="00B664AF">
                    <w:pPr>
                      <w:jc w:val="right"/>
                      <w:rPr>
                        <w:sz w:val="18"/>
                        <w:szCs w:val="18"/>
                      </w:rPr>
                    </w:pPr>
                  </w:p>
                </w:tc>
                <w:tc>
                  <w:tcPr>
                    <w:tcW w:w="423" w:type="pct"/>
                  </w:tcPr>
                  <w:p w14:paraId="010BB871" w14:textId="77777777" w:rsidR="00471D53" w:rsidRDefault="00B664AF">
                    <w:pPr>
                      <w:jc w:val="right"/>
                      <w:rPr>
                        <w:sz w:val="18"/>
                        <w:szCs w:val="18"/>
                      </w:rPr>
                    </w:pPr>
                  </w:p>
                </w:tc>
                <w:tc>
                  <w:tcPr>
                    <w:tcW w:w="141" w:type="pct"/>
                  </w:tcPr>
                  <w:p w14:paraId="39AF69E5" w14:textId="77777777" w:rsidR="00471D53" w:rsidRDefault="00B664AF">
                    <w:pPr>
                      <w:jc w:val="right"/>
                      <w:rPr>
                        <w:sz w:val="18"/>
                        <w:szCs w:val="18"/>
                      </w:rPr>
                    </w:pPr>
                  </w:p>
                </w:tc>
                <w:tc>
                  <w:tcPr>
                    <w:tcW w:w="476" w:type="pct"/>
                  </w:tcPr>
                  <w:p w14:paraId="197E3B6E" w14:textId="77777777" w:rsidR="00471D53" w:rsidRDefault="00B664AF">
                    <w:pPr>
                      <w:jc w:val="right"/>
                      <w:rPr>
                        <w:sz w:val="18"/>
                        <w:szCs w:val="18"/>
                      </w:rPr>
                    </w:pPr>
                  </w:p>
                </w:tc>
                <w:tc>
                  <w:tcPr>
                    <w:tcW w:w="141" w:type="pct"/>
                  </w:tcPr>
                  <w:p w14:paraId="1ABAA39C" w14:textId="77777777" w:rsidR="00471D53" w:rsidRDefault="00B664AF">
                    <w:pPr>
                      <w:jc w:val="right"/>
                      <w:rPr>
                        <w:sz w:val="18"/>
                        <w:szCs w:val="18"/>
                      </w:rPr>
                    </w:pPr>
                  </w:p>
                </w:tc>
                <w:tc>
                  <w:tcPr>
                    <w:tcW w:w="467" w:type="pct"/>
                  </w:tcPr>
                  <w:p w14:paraId="05235771" w14:textId="77777777" w:rsidR="00471D53" w:rsidRDefault="00B664AF">
                    <w:pPr>
                      <w:jc w:val="right"/>
                      <w:rPr>
                        <w:sz w:val="18"/>
                        <w:szCs w:val="18"/>
                      </w:rPr>
                    </w:pPr>
                  </w:p>
                </w:tc>
                <w:tc>
                  <w:tcPr>
                    <w:tcW w:w="506" w:type="pct"/>
                  </w:tcPr>
                  <w:p w14:paraId="37DE2D45" w14:textId="77777777" w:rsidR="00471D53" w:rsidRDefault="00B664AF">
                    <w:pPr>
                      <w:jc w:val="right"/>
                      <w:rPr>
                        <w:sz w:val="18"/>
                        <w:szCs w:val="18"/>
                      </w:rPr>
                    </w:pPr>
                  </w:p>
                </w:tc>
                <w:tc>
                  <w:tcPr>
                    <w:tcW w:w="449" w:type="pct"/>
                  </w:tcPr>
                  <w:p w14:paraId="617B71C7" w14:textId="77777777" w:rsidR="00471D53" w:rsidRDefault="00B664AF">
                    <w:pPr>
                      <w:jc w:val="right"/>
                      <w:rPr>
                        <w:sz w:val="18"/>
                        <w:szCs w:val="18"/>
                      </w:rPr>
                    </w:pPr>
                  </w:p>
                </w:tc>
              </w:tr>
              <w:tr w:rsidR="00471D53" w14:paraId="6265147E" w14:textId="77777777" w:rsidTr="00471D53">
                <w:sdt>
                  <w:sdtPr>
                    <w:tag w:val="_PLD_f11a5c1cf32e432cb3dba158baca32fc"/>
                    <w:id w:val="787708776"/>
                    <w:lock w:val="sdtLocked"/>
                  </w:sdtPr>
                  <w:sdtEndPr/>
                  <w:sdtContent>
                    <w:tc>
                      <w:tcPr>
                        <w:tcW w:w="319" w:type="pct"/>
                      </w:tcPr>
                      <w:p w14:paraId="4C2AEB3C" w14:textId="77777777" w:rsidR="00471D53" w:rsidRDefault="004F686E">
                        <w:pPr>
                          <w:rPr>
                            <w:sz w:val="18"/>
                            <w:szCs w:val="18"/>
                          </w:rPr>
                        </w:pPr>
                        <w:r>
                          <w:rPr>
                            <w:rFonts w:hint="eastAsia"/>
                            <w:sz w:val="18"/>
                            <w:szCs w:val="18"/>
                          </w:rPr>
                          <w:t>2．本期使用</w:t>
                        </w:r>
                      </w:p>
                    </w:tc>
                  </w:sdtContent>
                </w:sdt>
                <w:tc>
                  <w:tcPr>
                    <w:tcW w:w="449" w:type="pct"/>
                  </w:tcPr>
                  <w:p w14:paraId="6910D8E9" w14:textId="77777777" w:rsidR="00471D53" w:rsidRDefault="00B664AF">
                    <w:pPr>
                      <w:jc w:val="right"/>
                      <w:rPr>
                        <w:sz w:val="18"/>
                        <w:szCs w:val="18"/>
                      </w:rPr>
                    </w:pPr>
                  </w:p>
                </w:tc>
                <w:tc>
                  <w:tcPr>
                    <w:tcW w:w="141" w:type="pct"/>
                  </w:tcPr>
                  <w:p w14:paraId="465E4E2B" w14:textId="77777777" w:rsidR="00471D53" w:rsidRDefault="00B664AF">
                    <w:pPr>
                      <w:jc w:val="right"/>
                      <w:rPr>
                        <w:sz w:val="18"/>
                        <w:szCs w:val="18"/>
                      </w:rPr>
                    </w:pPr>
                  </w:p>
                </w:tc>
                <w:tc>
                  <w:tcPr>
                    <w:tcW w:w="141" w:type="pct"/>
                  </w:tcPr>
                  <w:p w14:paraId="2AE99433" w14:textId="77777777" w:rsidR="00471D53" w:rsidRDefault="00B664AF">
                    <w:pPr>
                      <w:jc w:val="right"/>
                      <w:rPr>
                        <w:sz w:val="18"/>
                        <w:szCs w:val="18"/>
                      </w:rPr>
                    </w:pPr>
                  </w:p>
                </w:tc>
                <w:tc>
                  <w:tcPr>
                    <w:tcW w:w="141" w:type="pct"/>
                  </w:tcPr>
                  <w:p w14:paraId="5DE7346E" w14:textId="77777777" w:rsidR="00471D53" w:rsidRDefault="00B664AF">
                    <w:pPr>
                      <w:jc w:val="right"/>
                      <w:rPr>
                        <w:sz w:val="18"/>
                        <w:szCs w:val="18"/>
                      </w:rPr>
                    </w:pPr>
                  </w:p>
                </w:tc>
                <w:tc>
                  <w:tcPr>
                    <w:tcW w:w="467" w:type="pct"/>
                  </w:tcPr>
                  <w:p w14:paraId="09D339E1" w14:textId="77777777" w:rsidR="00471D53" w:rsidRDefault="00B664AF">
                    <w:pPr>
                      <w:jc w:val="right"/>
                      <w:rPr>
                        <w:sz w:val="18"/>
                        <w:szCs w:val="18"/>
                      </w:rPr>
                    </w:pPr>
                  </w:p>
                </w:tc>
                <w:tc>
                  <w:tcPr>
                    <w:tcW w:w="204" w:type="pct"/>
                  </w:tcPr>
                  <w:p w14:paraId="07601F05" w14:textId="77777777" w:rsidR="00471D53" w:rsidRDefault="00B664AF">
                    <w:pPr>
                      <w:jc w:val="right"/>
                      <w:rPr>
                        <w:sz w:val="18"/>
                        <w:szCs w:val="18"/>
                      </w:rPr>
                    </w:pPr>
                  </w:p>
                </w:tc>
                <w:tc>
                  <w:tcPr>
                    <w:tcW w:w="396" w:type="pct"/>
                  </w:tcPr>
                  <w:p w14:paraId="0D92B1BA" w14:textId="77777777" w:rsidR="00471D53" w:rsidRDefault="00B664AF">
                    <w:pPr>
                      <w:jc w:val="right"/>
                      <w:rPr>
                        <w:sz w:val="18"/>
                        <w:szCs w:val="18"/>
                      </w:rPr>
                    </w:pPr>
                  </w:p>
                </w:tc>
                <w:tc>
                  <w:tcPr>
                    <w:tcW w:w="141" w:type="pct"/>
                  </w:tcPr>
                  <w:p w14:paraId="4FB8D4CE" w14:textId="77777777" w:rsidR="00471D53" w:rsidRDefault="00B664AF">
                    <w:pPr>
                      <w:jc w:val="right"/>
                      <w:rPr>
                        <w:sz w:val="18"/>
                        <w:szCs w:val="18"/>
                      </w:rPr>
                    </w:pPr>
                  </w:p>
                </w:tc>
                <w:tc>
                  <w:tcPr>
                    <w:tcW w:w="423" w:type="pct"/>
                  </w:tcPr>
                  <w:p w14:paraId="00C8D16F" w14:textId="77777777" w:rsidR="00471D53" w:rsidRDefault="00B664AF">
                    <w:pPr>
                      <w:jc w:val="right"/>
                      <w:rPr>
                        <w:sz w:val="18"/>
                        <w:szCs w:val="18"/>
                      </w:rPr>
                    </w:pPr>
                  </w:p>
                </w:tc>
                <w:tc>
                  <w:tcPr>
                    <w:tcW w:w="141" w:type="pct"/>
                  </w:tcPr>
                  <w:p w14:paraId="331746B3" w14:textId="77777777" w:rsidR="00471D53" w:rsidRDefault="00B664AF">
                    <w:pPr>
                      <w:jc w:val="right"/>
                      <w:rPr>
                        <w:sz w:val="18"/>
                        <w:szCs w:val="18"/>
                      </w:rPr>
                    </w:pPr>
                  </w:p>
                </w:tc>
                <w:tc>
                  <w:tcPr>
                    <w:tcW w:w="476" w:type="pct"/>
                  </w:tcPr>
                  <w:p w14:paraId="1EFFFD6C" w14:textId="77777777" w:rsidR="00471D53" w:rsidRDefault="00B664AF">
                    <w:pPr>
                      <w:jc w:val="right"/>
                      <w:rPr>
                        <w:sz w:val="18"/>
                        <w:szCs w:val="18"/>
                      </w:rPr>
                    </w:pPr>
                  </w:p>
                </w:tc>
                <w:tc>
                  <w:tcPr>
                    <w:tcW w:w="141" w:type="pct"/>
                  </w:tcPr>
                  <w:p w14:paraId="5DA9E6A5" w14:textId="77777777" w:rsidR="00471D53" w:rsidRDefault="00B664AF">
                    <w:pPr>
                      <w:jc w:val="right"/>
                      <w:rPr>
                        <w:sz w:val="18"/>
                        <w:szCs w:val="18"/>
                      </w:rPr>
                    </w:pPr>
                  </w:p>
                </w:tc>
                <w:tc>
                  <w:tcPr>
                    <w:tcW w:w="467" w:type="pct"/>
                  </w:tcPr>
                  <w:p w14:paraId="5A02384C" w14:textId="77777777" w:rsidR="00471D53" w:rsidRDefault="00B664AF">
                    <w:pPr>
                      <w:jc w:val="right"/>
                      <w:rPr>
                        <w:sz w:val="18"/>
                        <w:szCs w:val="18"/>
                      </w:rPr>
                    </w:pPr>
                  </w:p>
                </w:tc>
                <w:tc>
                  <w:tcPr>
                    <w:tcW w:w="506" w:type="pct"/>
                  </w:tcPr>
                  <w:p w14:paraId="2236906E" w14:textId="77777777" w:rsidR="00471D53" w:rsidRDefault="00B664AF">
                    <w:pPr>
                      <w:jc w:val="right"/>
                      <w:rPr>
                        <w:sz w:val="18"/>
                        <w:szCs w:val="18"/>
                      </w:rPr>
                    </w:pPr>
                  </w:p>
                </w:tc>
                <w:tc>
                  <w:tcPr>
                    <w:tcW w:w="449" w:type="pct"/>
                  </w:tcPr>
                  <w:p w14:paraId="224F971E" w14:textId="77777777" w:rsidR="00471D53" w:rsidRDefault="00B664AF">
                    <w:pPr>
                      <w:jc w:val="right"/>
                      <w:rPr>
                        <w:sz w:val="18"/>
                        <w:szCs w:val="18"/>
                      </w:rPr>
                    </w:pPr>
                  </w:p>
                </w:tc>
              </w:tr>
              <w:tr w:rsidR="00471D53" w14:paraId="2ED380B7" w14:textId="77777777" w:rsidTr="00471D53">
                <w:sdt>
                  <w:sdtPr>
                    <w:tag w:val="_PLD_749e92980f334c9cae023bb1dba136fc"/>
                    <w:id w:val="-1628926895"/>
                    <w:lock w:val="sdtLocked"/>
                  </w:sdtPr>
                  <w:sdtEndPr/>
                  <w:sdtContent>
                    <w:tc>
                      <w:tcPr>
                        <w:tcW w:w="319" w:type="pct"/>
                      </w:tcPr>
                      <w:p w14:paraId="5AD00142" w14:textId="77777777" w:rsidR="00471D53" w:rsidRDefault="004F686E">
                        <w:pPr>
                          <w:rPr>
                            <w:sz w:val="18"/>
                            <w:szCs w:val="18"/>
                          </w:rPr>
                        </w:pPr>
                        <w:r>
                          <w:rPr>
                            <w:rFonts w:hint="eastAsia"/>
                            <w:sz w:val="18"/>
                            <w:szCs w:val="18"/>
                          </w:rPr>
                          <w:t>（六）其他</w:t>
                        </w:r>
                      </w:p>
                    </w:tc>
                  </w:sdtContent>
                </w:sdt>
                <w:tc>
                  <w:tcPr>
                    <w:tcW w:w="449" w:type="pct"/>
                  </w:tcPr>
                  <w:p w14:paraId="6EE5C633" w14:textId="77777777" w:rsidR="00471D53" w:rsidRDefault="00B664AF">
                    <w:pPr>
                      <w:jc w:val="right"/>
                      <w:rPr>
                        <w:sz w:val="18"/>
                        <w:szCs w:val="18"/>
                      </w:rPr>
                    </w:pPr>
                  </w:p>
                </w:tc>
                <w:tc>
                  <w:tcPr>
                    <w:tcW w:w="141" w:type="pct"/>
                  </w:tcPr>
                  <w:p w14:paraId="7FF18AEF" w14:textId="77777777" w:rsidR="00471D53" w:rsidRDefault="00B664AF">
                    <w:pPr>
                      <w:jc w:val="right"/>
                      <w:rPr>
                        <w:sz w:val="18"/>
                        <w:szCs w:val="18"/>
                      </w:rPr>
                    </w:pPr>
                  </w:p>
                </w:tc>
                <w:tc>
                  <w:tcPr>
                    <w:tcW w:w="141" w:type="pct"/>
                  </w:tcPr>
                  <w:p w14:paraId="706BEF21" w14:textId="77777777" w:rsidR="00471D53" w:rsidRDefault="00B664AF">
                    <w:pPr>
                      <w:jc w:val="right"/>
                      <w:rPr>
                        <w:sz w:val="18"/>
                        <w:szCs w:val="18"/>
                      </w:rPr>
                    </w:pPr>
                  </w:p>
                </w:tc>
                <w:tc>
                  <w:tcPr>
                    <w:tcW w:w="141" w:type="pct"/>
                  </w:tcPr>
                  <w:p w14:paraId="77C1AC03" w14:textId="77777777" w:rsidR="00471D53" w:rsidRDefault="00B664AF">
                    <w:pPr>
                      <w:jc w:val="right"/>
                      <w:rPr>
                        <w:sz w:val="18"/>
                        <w:szCs w:val="18"/>
                      </w:rPr>
                    </w:pPr>
                  </w:p>
                </w:tc>
                <w:tc>
                  <w:tcPr>
                    <w:tcW w:w="467" w:type="pct"/>
                  </w:tcPr>
                  <w:p w14:paraId="5BF0E600" w14:textId="77777777" w:rsidR="00471D53" w:rsidRDefault="00B664AF">
                    <w:pPr>
                      <w:jc w:val="right"/>
                      <w:rPr>
                        <w:sz w:val="18"/>
                        <w:szCs w:val="18"/>
                      </w:rPr>
                    </w:pPr>
                  </w:p>
                </w:tc>
                <w:tc>
                  <w:tcPr>
                    <w:tcW w:w="204" w:type="pct"/>
                  </w:tcPr>
                  <w:p w14:paraId="43B47208" w14:textId="77777777" w:rsidR="00471D53" w:rsidRDefault="00B664AF">
                    <w:pPr>
                      <w:jc w:val="right"/>
                      <w:rPr>
                        <w:sz w:val="18"/>
                        <w:szCs w:val="18"/>
                      </w:rPr>
                    </w:pPr>
                  </w:p>
                </w:tc>
                <w:tc>
                  <w:tcPr>
                    <w:tcW w:w="396" w:type="pct"/>
                  </w:tcPr>
                  <w:p w14:paraId="7C876330" w14:textId="77777777" w:rsidR="00471D53" w:rsidRDefault="00B664AF">
                    <w:pPr>
                      <w:jc w:val="right"/>
                      <w:rPr>
                        <w:sz w:val="18"/>
                        <w:szCs w:val="18"/>
                      </w:rPr>
                    </w:pPr>
                  </w:p>
                </w:tc>
                <w:tc>
                  <w:tcPr>
                    <w:tcW w:w="141" w:type="pct"/>
                  </w:tcPr>
                  <w:p w14:paraId="70F510CF" w14:textId="77777777" w:rsidR="00471D53" w:rsidRDefault="00B664AF">
                    <w:pPr>
                      <w:jc w:val="right"/>
                      <w:rPr>
                        <w:sz w:val="18"/>
                        <w:szCs w:val="18"/>
                      </w:rPr>
                    </w:pPr>
                  </w:p>
                </w:tc>
                <w:tc>
                  <w:tcPr>
                    <w:tcW w:w="423" w:type="pct"/>
                  </w:tcPr>
                  <w:p w14:paraId="0492D674" w14:textId="77777777" w:rsidR="00471D53" w:rsidRDefault="00B664AF">
                    <w:pPr>
                      <w:jc w:val="right"/>
                      <w:rPr>
                        <w:sz w:val="18"/>
                        <w:szCs w:val="18"/>
                      </w:rPr>
                    </w:pPr>
                  </w:p>
                </w:tc>
                <w:tc>
                  <w:tcPr>
                    <w:tcW w:w="141" w:type="pct"/>
                  </w:tcPr>
                  <w:p w14:paraId="1039E05B" w14:textId="77777777" w:rsidR="00471D53" w:rsidRDefault="00B664AF">
                    <w:pPr>
                      <w:jc w:val="right"/>
                      <w:rPr>
                        <w:sz w:val="18"/>
                        <w:szCs w:val="18"/>
                      </w:rPr>
                    </w:pPr>
                  </w:p>
                </w:tc>
                <w:tc>
                  <w:tcPr>
                    <w:tcW w:w="476" w:type="pct"/>
                  </w:tcPr>
                  <w:p w14:paraId="1760D016" w14:textId="77777777" w:rsidR="00471D53" w:rsidRDefault="00B664AF">
                    <w:pPr>
                      <w:jc w:val="right"/>
                      <w:rPr>
                        <w:sz w:val="18"/>
                        <w:szCs w:val="18"/>
                      </w:rPr>
                    </w:pPr>
                  </w:p>
                </w:tc>
                <w:tc>
                  <w:tcPr>
                    <w:tcW w:w="141" w:type="pct"/>
                  </w:tcPr>
                  <w:p w14:paraId="781BAB57" w14:textId="77777777" w:rsidR="00471D53" w:rsidRDefault="00B664AF">
                    <w:pPr>
                      <w:jc w:val="right"/>
                      <w:rPr>
                        <w:sz w:val="18"/>
                        <w:szCs w:val="18"/>
                      </w:rPr>
                    </w:pPr>
                  </w:p>
                </w:tc>
                <w:tc>
                  <w:tcPr>
                    <w:tcW w:w="467" w:type="pct"/>
                  </w:tcPr>
                  <w:p w14:paraId="58891028" w14:textId="77777777" w:rsidR="00471D53" w:rsidRDefault="00B664AF">
                    <w:pPr>
                      <w:jc w:val="right"/>
                      <w:rPr>
                        <w:sz w:val="18"/>
                        <w:szCs w:val="18"/>
                      </w:rPr>
                    </w:pPr>
                  </w:p>
                </w:tc>
                <w:tc>
                  <w:tcPr>
                    <w:tcW w:w="506" w:type="pct"/>
                  </w:tcPr>
                  <w:p w14:paraId="1D3DA992" w14:textId="77777777" w:rsidR="00471D53" w:rsidRDefault="00B664AF">
                    <w:pPr>
                      <w:jc w:val="right"/>
                      <w:rPr>
                        <w:sz w:val="18"/>
                        <w:szCs w:val="18"/>
                      </w:rPr>
                    </w:pPr>
                  </w:p>
                </w:tc>
                <w:tc>
                  <w:tcPr>
                    <w:tcW w:w="449" w:type="pct"/>
                  </w:tcPr>
                  <w:p w14:paraId="619F141D" w14:textId="77777777" w:rsidR="00471D53" w:rsidRDefault="00B664AF">
                    <w:pPr>
                      <w:jc w:val="right"/>
                      <w:rPr>
                        <w:sz w:val="18"/>
                        <w:szCs w:val="18"/>
                      </w:rPr>
                    </w:pPr>
                  </w:p>
                </w:tc>
              </w:tr>
              <w:tr w:rsidR="00471D53" w14:paraId="240CDF5B" w14:textId="77777777" w:rsidTr="00471D53">
                <w:sdt>
                  <w:sdtPr>
                    <w:tag w:val="_PLD_e9c8435b637745858c6ad855ad7bbea0"/>
                    <w:id w:val="1297256776"/>
                    <w:lock w:val="sdtLocked"/>
                  </w:sdtPr>
                  <w:sdtEndPr/>
                  <w:sdtContent>
                    <w:tc>
                      <w:tcPr>
                        <w:tcW w:w="319" w:type="pct"/>
                      </w:tcPr>
                      <w:p w14:paraId="02FDC0B4" w14:textId="77777777" w:rsidR="00471D53" w:rsidRDefault="004F686E">
                        <w:pPr>
                          <w:rPr>
                            <w:sz w:val="18"/>
                            <w:szCs w:val="18"/>
                          </w:rPr>
                        </w:pPr>
                        <w:r>
                          <w:rPr>
                            <w:sz w:val="18"/>
                            <w:szCs w:val="18"/>
                          </w:rPr>
                          <w:t>四、本期期末余额</w:t>
                        </w:r>
                      </w:p>
                    </w:tc>
                  </w:sdtContent>
                </w:sdt>
                <w:tc>
                  <w:tcPr>
                    <w:tcW w:w="449" w:type="pct"/>
                    <w:vAlign w:val="center"/>
                  </w:tcPr>
                  <w:p w14:paraId="7E4CC2FE" w14:textId="6DF30579" w:rsidR="00471D53" w:rsidRPr="00DC7C46" w:rsidRDefault="004F686E">
                    <w:pPr>
                      <w:jc w:val="right"/>
                      <w:rPr>
                        <w:sz w:val="15"/>
                        <w:szCs w:val="15"/>
                      </w:rPr>
                    </w:pPr>
                    <w:r w:rsidRPr="00DC7C46">
                      <w:rPr>
                        <w:rFonts w:hint="eastAsia"/>
                        <w:sz w:val="15"/>
                        <w:szCs w:val="15"/>
                      </w:rPr>
                      <w:t>485,000,000.00</w:t>
                    </w:r>
                  </w:p>
                </w:tc>
                <w:tc>
                  <w:tcPr>
                    <w:tcW w:w="141" w:type="pct"/>
                    <w:vAlign w:val="center"/>
                  </w:tcPr>
                  <w:p w14:paraId="61E19544" w14:textId="77777777" w:rsidR="00471D53" w:rsidRPr="00DC7C46" w:rsidRDefault="004F686E">
                    <w:pPr>
                      <w:jc w:val="right"/>
                      <w:rPr>
                        <w:color w:val="FFFFFF"/>
                        <w:sz w:val="15"/>
                        <w:szCs w:val="15"/>
                      </w:rPr>
                    </w:pPr>
                    <w:r w:rsidRPr="00DC7C46">
                      <w:rPr>
                        <w:rFonts w:hint="eastAsia"/>
                        <w:color w:val="FFFFFF"/>
                        <w:sz w:val="15"/>
                        <w:szCs w:val="15"/>
                      </w:rPr>
                      <w:t xml:space="preserve">　</w:t>
                    </w:r>
                  </w:p>
                </w:tc>
                <w:tc>
                  <w:tcPr>
                    <w:tcW w:w="141" w:type="pct"/>
                    <w:vAlign w:val="center"/>
                  </w:tcPr>
                  <w:p w14:paraId="26282972" w14:textId="77777777" w:rsidR="00471D53" w:rsidRPr="00DC7C46" w:rsidRDefault="004F686E">
                    <w:pPr>
                      <w:jc w:val="right"/>
                      <w:rPr>
                        <w:color w:val="FFFFFF"/>
                        <w:sz w:val="15"/>
                        <w:szCs w:val="15"/>
                      </w:rPr>
                    </w:pPr>
                    <w:r w:rsidRPr="00DC7C46">
                      <w:rPr>
                        <w:rFonts w:hint="eastAsia"/>
                        <w:color w:val="FFFFFF"/>
                        <w:sz w:val="15"/>
                        <w:szCs w:val="15"/>
                      </w:rPr>
                      <w:t xml:space="preserve">　</w:t>
                    </w:r>
                  </w:p>
                </w:tc>
                <w:tc>
                  <w:tcPr>
                    <w:tcW w:w="141" w:type="pct"/>
                    <w:vAlign w:val="center"/>
                  </w:tcPr>
                  <w:p w14:paraId="6DCAC8C9" w14:textId="77777777" w:rsidR="00471D53" w:rsidRPr="00DC7C46" w:rsidRDefault="004F686E">
                    <w:pPr>
                      <w:jc w:val="right"/>
                      <w:rPr>
                        <w:color w:val="FFFFFF"/>
                        <w:sz w:val="15"/>
                        <w:szCs w:val="15"/>
                      </w:rPr>
                    </w:pPr>
                    <w:r w:rsidRPr="00DC7C46">
                      <w:rPr>
                        <w:rFonts w:hint="eastAsia"/>
                        <w:color w:val="FFFFFF"/>
                        <w:sz w:val="15"/>
                        <w:szCs w:val="15"/>
                      </w:rPr>
                      <w:t xml:space="preserve">　</w:t>
                    </w:r>
                  </w:p>
                </w:tc>
                <w:tc>
                  <w:tcPr>
                    <w:tcW w:w="467" w:type="pct"/>
                    <w:vAlign w:val="center"/>
                  </w:tcPr>
                  <w:p w14:paraId="1785C713" w14:textId="1F25D231" w:rsidR="00471D53" w:rsidRPr="00DC7C46" w:rsidRDefault="004F686E">
                    <w:pPr>
                      <w:jc w:val="right"/>
                      <w:rPr>
                        <w:sz w:val="15"/>
                        <w:szCs w:val="15"/>
                      </w:rPr>
                    </w:pPr>
                    <w:r w:rsidRPr="00DC7C46">
                      <w:rPr>
                        <w:rFonts w:hint="eastAsia"/>
                        <w:sz w:val="15"/>
                        <w:szCs w:val="15"/>
                      </w:rPr>
                      <w:t>833,000,580.28</w:t>
                    </w:r>
                  </w:p>
                </w:tc>
                <w:tc>
                  <w:tcPr>
                    <w:tcW w:w="204" w:type="pct"/>
                    <w:vAlign w:val="center"/>
                  </w:tcPr>
                  <w:p w14:paraId="0232E7B7" w14:textId="77777777" w:rsidR="00471D53" w:rsidRPr="00DC7C46" w:rsidRDefault="004F686E">
                    <w:pPr>
                      <w:jc w:val="right"/>
                      <w:rPr>
                        <w:color w:val="FFFFFF"/>
                        <w:sz w:val="15"/>
                        <w:szCs w:val="15"/>
                      </w:rPr>
                    </w:pPr>
                    <w:r w:rsidRPr="00DC7C46">
                      <w:rPr>
                        <w:rFonts w:hint="eastAsia"/>
                        <w:color w:val="FFFFFF"/>
                        <w:sz w:val="15"/>
                        <w:szCs w:val="15"/>
                      </w:rPr>
                      <w:t xml:space="preserve">　</w:t>
                    </w:r>
                  </w:p>
                </w:tc>
                <w:tc>
                  <w:tcPr>
                    <w:tcW w:w="396" w:type="pct"/>
                    <w:vAlign w:val="center"/>
                  </w:tcPr>
                  <w:p w14:paraId="75F019B7" w14:textId="08FD768C" w:rsidR="00471D53" w:rsidRPr="00DC7C46" w:rsidRDefault="004F686E">
                    <w:pPr>
                      <w:jc w:val="right"/>
                      <w:rPr>
                        <w:sz w:val="15"/>
                        <w:szCs w:val="15"/>
                      </w:rPr>
                    </w:pPr>
                    <w:r w:rsidRPr="00DC7C46">
                      <w:rPr>
                        <w:rFonts w:hint="eastAsia"/>
                        <w:sz w:val="15"/>
                        <w:szCs w:val="15"/>
                      </w:rPr>
                      <w:t>3,074,103.61</w:t>
                    </w:r>
                  </w:p>
                </w:tc>
                <w:tc>
                  <w:tcPr>
                    <w:tcW w:w="141" w:type="pct"/>
                    <w:vAlign w:val="center"/>
                  </w:tcPr>
                  <w:p w14:paraId="17177134" w14:textId="77777777" w:rsidR="00471D53" w:rsidRPr="00DC7C46" w:rsidRDefault="004F686E">
                    <w:pPr>
                      <w:jc w:val="right"/>
                      <w:rPr>
                        <w:color w:val="FFFFFF"/>
                        <w:sz w:val="15"/>
                        <w:szCs w:val="15"/>
                      </w:rPr>
                    </w:pPr>
                    <w:r w:rsidRPr="00DC7C46">
                      <w:rPr>
                        <w:rFonts w:hint="eastAsia"/>
                        <w:color w:val="FFFFFF"/>
                        <w:sz w:val="15"/>
                        <w:szCs w:val="15"/>
                      </w:rPr>
                      <w:t xml:space="preserve">　</w:t>
                    </w:r>
                  </w:p>
                </w:tc>
                <w:tc>
                  <w:tcPr>
                    <w:tcW w:w="423" w:type="pct"/>
                    <w:vAlign w:val="center"/>
                  </w:tcPr>
                  <w:p w14:paraId="795E9BB3" w14:textId="7EB99D0A" w:rsidR="00471D53" w:rsidRPr="00DC7C46" w:rsidRDefault="004F686E">
                    <w:pPr>
                      <w:jc w:val="right"/>
                      <w:rPr>
                        <w:sz w:val="15"/>
                        <w:szCs w:val="15"/>
                      </w:rPr>
                    </w:pPr>
                    <w:r w:rsidRPr="00DC7C46">
                      <w:rPr>
                        <w:rFonts w:hint="eastAsia"/>
                        <w:sz w:val="15"/>
                        <w:szCs w:val="15"/>
                      </w:rPr>
                      <w:t>45,665,647.68</w:t>
                    </w:r>
                  </w:p>
                </w:tc>
                <w:tc>
                  <w:tcPr>
                    <w:tcW w:w="141" w:type="pct"/>
                    <w:vAlign w:val="center"/>
                  </w:tcPr>
                  <w:p w14:paraId="3D880AA1" w14:textId="77777777" w:rsidR="00471D53" w:rsidRPr="00DC7C46" w:rsidRDefault="004F686E">
                    <w:pPr>
                      <w:jc w:val="right"/>
                      <w:rPr>
                        <w:color w:val="FFFFFF"/>
                        <w:sz w:val="15"/>
                        <w:szCs w:val="15"/>
                      </w:rPr>
                    </w:pPr>
                    <w:r w:rsidRPr="00DC7C46">
                      <w:rPr>
                        <w:rFonts w:hint="eastAsia"/>
                        <w:color w:val="FFFFFF"/>
                        <w:sz w:val="15"/>
                        <w:szCs w:val="15"/>
                      </w:rPr>
                      <w:t xml:space="preserve">　</w:t>
                    </w:r>
                  </w:p>
                </w:tc>
                <w:tc>
                  <w:tcPr>
                    <w:tcW w:w="476" w:type="pct"/>
                    <w:vAlign w:val="center"/>
                  </w:tcPr>
                  <w:p w14:paraId="270C8BD8" w14:textId="31CA9413" w:rsidR="00471D53" w:rsidRPr="00DC7C46" w:rsidRDefault="004F686E">
                    <w:pPr>
                      <w:jc w:val="right"/>
                      <w:rPr>
                        <w:sz w:val="15"/>
                        <w:szCs w:val="15"/>
                      </w:rPr>
                    </w:pPr>
                    <w:r w:rsidRPr="00DC7C46">
                      <w:rPr>
                        <w:rFonts w:hint="eastAsia"/>
                        <w:sz w:val="15"/>
                        <w:szCs w:val="15"/>
                      </w:rPr>
                      <w:t>-844,572,978.23</w:t>
                    </w:r>
                  </w:p>
                </w:tc>
                <w:tc>
                  <w:tcPr>
                    <w:tcW w:w="141" w:type="pct"/>
                    <w:vAlign w:val="center"/>
                  </w:tcPr>
                  <w:p w14:paraId="275DB0A4" w14:textId="77777777" w:rsidR="00471D53" w:rsidRPr="00DC7C46" w:rsidRDefault="004F686E">
                    <w:pPr>
                      <w:jc w:val="right"/>
                      <w:rPr>
                        <w:color w:val="FFFFFF"/>
                        <w:sz w:val="15"/>
                        <w:szCs w:val="15"/>
                      </w:rPr>
                    </w:pPr>
                    <w:r w:rsidRPr="00DC7C46">
                      <w:rPr>
                        <w:rFonts w:hint="eastAsia"/>
                        <w:color w:val="FFFFFF"/>
                        <w:sz w:val="15"/>
                        <w:szCs w:val="15"/>
                      </w:rPr>
                      <w:t xml:space="preserve">　</w:t>
                    </w:r>
                  </w:p>
                </w:tc>
                <w:tc>
                  <w:tcPr>
                    <w:tcW w:w="467" w:type="pct"/>
                    <w:vAlign w:val="center"/>
                  </w:tcPr>
                  <w:p w14:paraId="504E4EE1" w14:textId="439F7817" w:rsidR="00471D53" w:rsidRPr="00DC7C46" w:rsidRDefault="004F686E">
                    <w:pPr>
                      <w:jc w:val="right"/>
                      <w:rPr>
                        <w:sz w:val="15"/>
                        <w:szCs w:val="15"/>
                      </w:rPr>
                    </w:pPr>
                    <w:r w:rsidRPr="00DC7C46">
                      <w:rPr>
                        <w:rFonts w:hint="eastAsia"/>
                        <w:sz w:val="15"/>
                        <w:szCs w:val="15"/>
                      </w:rPr>
                      <w:t>522,167,353.34</w:t>
                    </w:r>
                  </w:p>
                </w:tc>
                <w:tc>
                  <w:tcPr>
                    <w:tcW w:w="506" w:type="pct"/>
                    <w:vAlign w:val="center"/>
                  </w:tcPr>
                  <w:p w14:paraId="6734FCA1" w14:textId="57CEE65E" w:rsidR="00471D53" w:rsidRPr="00DC7C46" w:rsidRDefault="004F686E">
                    <w:pPr>
                      <w:jc w:val="right"/>
                      <w:rPr>
                        <w:sz w:val="15"/>
                        <w:szCs w:val="15"/>
                      </w:rPr>
                    </w:pPr>
                    <w:r w:rsidRPr="00DC7C46">
                      <w:rPr>
                        <w:rFonts w:hint="eastAsia"/>
                        <w:sz w:val="15"/>
                        <w:szCs w:val="15"/>
                      </w:rPr>
                      <w:t>326,849,021.91</w:t>
                    </w:r>
                  </w:p>
                </w:tc>
                <w:tc>
                  <w:tcPr>
                    <w:tcW w:w="449" w:type="pct"/>
                    <w:vAlign w:val="center"/>
                  </w:tcPr>
                  <w:p w14:paraId="76CCA618" w14:textId="37688016" w:rsidR="00471D53" w:rsidRPr="00DC7C46" w:rsidRDefault="004F686E">
                    <w:pPr>
                      <w:jc w:val="right"/>
                      <w:rPr>
                        <w:sz w:val="15"/>
                        <w:szCs w:val="15"/>
                      </w:rPr>
                    </w:pPr>
                    <w:r w:rsidRPr="00DC7C46">
                      <w:rPr>
                        <w:rFonts w:hint="eastAsia"/>
                        <w:sz w:val="15"/>
                        <w:szCs w:val="15"/>
                      </w:rPr>
                      <w:t>849,016,375.25</w:t>
                    </w:r>
                  </w:p>
                </w:tc>
              </w:tr>
            </w:tbl>
            <w:p w14:paraId="1CE16A9F" w14:textId="77777777" w:rsidR="00471D53" w:rsidRDefault="00B664AF"/>
            <w:p w14:paraId="0EC410F5" w14:textId="1007256C" w:rsidR="00471D53" w:rsidRDefault="004F686E">
              <w:pPr>
                <w:snapToGrid w:val="0"/>
                <w:spacing w:line="240" w:lineRule="atLeast"/>
                <w:rPr>
                  <w:b/>
                  <w:bCs/>
                  <w:color w:val="FF0000"/>
                  <w:szCs w:val="21"/>
                </w:rPr>
              </w:pPr>
              <w:r>
                <w:rPr>
                  <w:szCs w:val="21"/>
                </w:rPr>
                <w:t>公司负责人</w:t>
              </w:r>
              <w:r>
                <w:rPr>
                  <w:rFonts w:hint="eastAsia"/>
                  <w:szCs w:val="21"/>
                </w:rPr>
                <w:t>：</w:t>
              </w:r>
              <w:sdt>
                <w:sdtPr>
                  <w:rPr>
                    <w:rFonts w:hint="eastAsia"/>
                    <w:szCs w:val="21"/>
                  </w:rPr>
                  <w:alias w:val="公司负责人"/>
                  <w:tag w:val="_GBC_076a4a0998a840bab20f0ed83e5bab3d"/>
                  <w:id w:val="-686208795"/>
                  <w:lock w:val="sdtLocked"/>
                  <w:placeholder>
                    <w:docPart w:val="GBC22222222222222222222222222222"/>
                  </w:placeholder>
                  <w:dataBinding w:prefixMappings="xmlns:clcid-mr='clcid-mr'" w:xpath="/*/clcid-mr:GongSiFuZeRenXingMing[not(@periodRef)]" w:storeItemID="{89EBAB94-44A0-46A2-B712-30D997D04A6D}"/>
                  <w:text/>
                </w:sdtPr>
                <w:sdtEndPr/>
                <w:sdtContent>
                  <w:r w:rsidR="00FC65A7">
                    <w:rPr>
                      <w:rFonts w:hint="eastAsia"/>
                      <w:szCs w:val="21"/>
                    </w:rPr>
                    <w:t>王军先生</w:t>
                  </w:r>
                </w:sdtContent>
              </w:sdt>
              <w:r w:rsidR="00A436AE">
                <w:rPr>
                  <w:szCs w:val="21"/>
                </w:rPr>
                <w:t xml:space="preserve"> </w:t>
              </w:r>
              <w:r>
                <w:rPr>
                  <w:szCs w:val="21"/>
                </w:rPr>
                <w:t>主管会计工作负责人</w:t>
              </w:r>
              <w:r>
                <w:rPr>
                  <w:rFonts w:hint="eastAsia"/>
                  <w:szCs w:val="21"/>
                </w:rPr>
                <w:t>：</w:t>
              </w:r>
              <w:sdt>
                <w:sdtPr>
                  <w:rPr>
                    <w:rFonts w:hint="eastAsia"/>
                    <w:szCs w:val="21"/>
                  </w:rPr>
                  <w:alias w:val="主管会计工作负责人姓名"/>
                  <w:tag w:val="_GBC_5b21002df9e248fa81a6770579ce76cd"/>
                  <w:id w:val="-685825083"/>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FC65A7">
                    <w:rPr>
                      <w:rFonts w:hint="eastAsia"/>
                      <w:szCs w:val="21"/>
                    </w:rPr>
                    <w:t>姜驰女士</w:t>
                  </w:r>
                </w:sdtContent>
              </w:sdt>
              <w:r w:rsidR="00A436AE">
                <w:rPr>
                  <w:szCs w:val="21"/>
                </w:rPr>
                <w:t xml:space="preserve"> </w:t>
              </w:r>
              <w:r>
                <w:rPr>
                  <w:szCs w:val="21"/>
                </w:rPr>
                <w:t>会计机构负责人</w:t>
              </w:r>
              <w:r>
                <w:rPr>
                  <w:rFonts w:hint="eastAsia"/>
                  <w:szCs w:val="21"/>
                </w:rPr>
                <w:t>：</w:t>
              </w:r>
              <w:sdt>
                <w:sdtPr>
                  <w:rPr>
                    <w:rFonts w:hint="eastAsia"/>
                    <w:szCs w:val="21"/>
                  </w:rPr>
                  <w:alias w:val="会计机构负责人姓名"/>
                  <w:tag w:val="_GBC_6a446d6543174dc48c72d440eefb0b71"/>
                  <w:id w:val="-1769693603"/>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szCs w:val="21"/>
                    </w:rPr>
                    <w:t>王艳东先生</w:t>
                  </w:r>
                </w:sdtContent>
              </w:sdt>
            </w:p>
          </w:sdtContent>
        </w:sdt>
        <w:p w14:paraId="1F21546E" w14:textId="77777777" w:rsidR="00471D53" w:rsidRDefault="00B664AF">
          <w:pPr>
            <w:rPr>
              <w:szCs w:val="21"/>
            </w:rPr>
          </w:pPr>
        </w:p>
        <w:p w14:paraId="5CB0CB7D" w14:textId="77777777" w:rsidR="00471D53" w:rsidRDefault="00B664AF">
          <w:pPr>
            <w:rPr>
              <w:szCs w:val="21"/>
            </w:rPr>
          </w:pPr>
        </w:p>
        <w:sdt>
          <w:sdtPr>
            <w:rPr>
              <w:rFonts w:ascii="宋体" w:hAnsi="宋体" w:cs="宋体"/>
              <w:b w:val="0"/>
              <w:bCs w:val="0"/>
              <w:kern w:val="0"/>
              <w:szCs w:val="24"/>
            </w:rPr>
            <w:tag w:val="_GBC_24560eea01804b8b9d3678736eb60ca8"/>
            <w:id w:val="2074625728"/>
            <w:lock w:val="sdtLocked"/>
            <w:placeholder>
              <w:docPart w:val="GBC22222222222222222222222222222"/>
            </w:placeholder>
          </w:sdtPr>
          <w:sdtEndPr>
            <w:rPr>
              <w:rFonts w:hint="eastAsia"/>
              <w:szCs w:val="21"/>
            </w:rPr>
          </w:sdtEndPr>
          <w:sdtContent>
            <w:p w14:paraId="057B57DA" w14:textId="77777777" w:rsidR="00471D53" w:rsidRDefault="004F686E">
              <w:pPr>
                <w:pStyle w:val="afffff7"/>
                <w:jc w:val="center"/>
                <w:rPr>
                  <w:rFonts w:ascii="宋体" w:hAnsi="宋体"/>
                </w:rPr>
              </w:pPr>
              <w:r>
                <w:rPr>
                  <w:rFonts w:ascii="宋体" w:hAnsi="宋体"/>
                </w:rPr>
                <w:t>母公司</w:t>
              </w:r>
              <w:r>
                <w:rPr>
                  <w:rFonts w:ascii="宋体" w:hAnsi="宋体" w:hint="eastAsia"/>
                </w:rPr>
                <w:t>所有者权益变动表</w:t>
              </w:r>
            </w:p>
            <w:p w14:paraId="67E5E6B6" w14:textId="77777777" w:rsidR="00471D53" w:rsidRDefault="004F686E" w:rsidP="00471D53">
              <w:pPr>
                <w:tabs>
                  <w:tab w:val="left" w:pos="10080"/>
                </w:tabs>
                <w:snapToGrid w:val="0"/>
                <w:spacing w:line="240" w:lineRule="atLeast"/>
                <w:ind w:rightChars="12" w:right="25"/>
                <w:jc w:val="center"/>
                <w:rPr>
                  <w:b/>
                  <w:bCs/>
                  <w:szCs w:val="21"/>
                </w:rPr>
              </w:pPr>
              <w:r>
                <w:rPr>
                  <w:szCs w:val="21"/>
                </w:rPr>
                <w:t>2021年</w:t>
              </w:r>
              <w:r>
                <w:rPr>
                  <w:rFonts w:hint="eastAsia"/>
                  <w:szCs w:val="21"/>
                </w:rPr>
                <w:t>1—6</w:t>
              </w:r>
              <w:r>
                <w:rPr>
                  <w:szCs w:val="21"/>
                </w:rPr>
                <w:t>月</w:t>
              </w:r>
            </w:p>
            <w:p w14:paraId="79D0CDDF" w14:textId="170B8395" w:rsidR="00471D53" w:rsidRDefault="004F686E">
              <w:pPr>
                <w:snapToGrid w:val="0"/>
                <w:spacing w:line="240" w:lineRule="atLeast"/>
                <w:jc w:val="right"/>
                <w:rPr>
                  <w:szCs w:val="21"/>
                </w:rPr>
              </w:pPr>
              <w:r>
                <w:rPr>
                  <w:szCs w:val="21"/>
                </w:rPr>
                <w:t>单位：</w:t>
              </w:r>
              <w:sdt>
                <w:sdtPr>
                  <w:rPr>
                    <w:szCs w:val="21"/>
                  </w:rPr>
                  <w:alias w:val="单位：母公司股东权益调节表"/>
                  <w:tag w:val="_GBC_048773409e614c6bb753000b028316a5"/>
                  <w:id w:val="16159030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元</w:t>
                  </w:r>
                </w:sdtContent>
              </w:sdt>
              <w:r>
                <w:rPr>
                  <w:szCs w:val="21"/>
                </w:rPr>
                <w:t>币种：</w:t>
              </w:r>
              <w:sdt>
                <w:sdtPr>
                  <w:rPr>
                    <w:szCs w:val="21"/>
                  </w:rPr>
                  <w:alias w:val="币种：母公司股东权益调节表"/>
                  <w:tag w:val="_GBC_5214b7a188334da286fc3038d017d072"/>
                  <w:id w:val="3370995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Style w:val="g4"/>
                <w:tblW w:w="13960"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0"/>
                <w:gridCol w:w="1321"/>
                <w:gridCol w:w="807"/>
                <w:gridCol w:w="894"/>
                <w:gridCol w:w="708"/>
                <w:gridCol w:w="1276"/>
                <w:gridCol w:w="851"/>
                <w:gridCol w:w="850"/>
                <w:gridCol w:w="709"/>
                <w:gridCol w:w="1276"/>
                <w:gridCol w:w="1275"/>
                <w:gridCol w:w="1543"/>
              </w:tblGrid>
              <w:tr w:rsidR="00471D53" w14:paraId="27BBA7EB" w14:textId="77777777" w:rsidTr="001279EE">
                <w:trPr>
                  <w:trHeight w:val="20"/>
                </w:trPr>
                <w:sdt>
                  <w:sdtPr>
                    <w:tag w:val="_PLD_e16babcb874e4410be91226aac3d24db"/>
                    <w:id w:val="-1123997132"/>
                    <w:lock w:val="sdtLocked"/>
                  </w:sdtPr>
                  <w:sdtEndPr/>
                  <w:sdtContent>
                    <w:tc>
                      <w:tcPr>
                        <w:tcW w:w="2450" w:type="dxa"/>
                        <w:vMerge w:val="restart"/>
                        <w:vAlign w:val="center"/>
                      </w:tcPr>
                      <w:p w14:paraId="4EFE42F7" w14:textId="77777777" w:rsidR="00471D53" w:rsidRDefault="004F686E">
                        <w:pPr>
                          <w:adjustRightInd w:val="0"/>
                          <w:snapToGrid w:val="0"/>
                          <w:jc w:val="center"/>
                          <w:rPr>
                            <w:sz w:val="18"/>
                            <w:szCs w:val="18"/>
                          </w:rPr>
                        </w:pPr>
                        <w:r>
                          <w:rPr>
                            <w:rFonts w:hint="eastAsia"/>
                            <w:sz w:val="18"/>
                            <w:szCs w:val="18"/>
                          </w:rPr>
                          <w:t>项目</w:t>
                        </w:r>
                      </w:p>
                    </w:tc>
                  </w:sdtContent>
                </w:sdt>
                <w:tc>
                  <w:tcPr>
                    <w:tcW w:w="11510" w:type="dxa"/>
                    <w:gridSpan w:val="11"/>
                    <w:vAlign w:val="center"/>
                  </w:tcPr>
                  <w:p w14:paraId="4CD24962" w14:textId="2FC3B59C" w:rsidR="00471D53" w:rsidRDefault="00B664AF">
                    <w:pPr>
                      <w:adjustRightInd w:val="0"/>
                      <w:snapToGrid w:val="0"/>
                      <w:jc w:val="center"/>
                    </w:pPr>
                    <w:sdt>
                      <w:sdtPr>
                        <w:rPr>
                          <w:rFonts w:hint="eastAsia"/>
                        </w:rPr>
                        <w:tag w:val="_PLD_f6e21c3ce66d4e148eea3bf743a653b8"/>
                        <w:id w:val="1536851886"/>
                        <w:lock w:val="sdtLocked"/>
                      </w:sdtPr>
                      <w:sdtEndPr/>
                      <w:sdtContent>
                        <w:r w:rsidR="004F686E">
                          <w:rPr>
                            <w:rFonts w:hint="eastAsia"/>
                            <w:sz w:val="18"/>
                          </w:rPr>
                          <w:t>2021年半年度</w:t>
                        </w:r>
                      </w:sdtContent>
                    </w:sdt>
                  </w:p>
                </w:tc>
              </w:tr>
              <w:tr w:rsidR="00471D53" w14:paraId="3EE49FFA" w14:textId="77777777" w:rsidTr="001279EE">
                <w:trPr>
                  <w:trHeight w:val="315"/>
                </w:trPr>
                <w:tc>
                  <w:tcPr>
                    <w:tcW w:w="2450" w:type="dxa"/>
                    <w:vMerge/>
                  </w:tcPr>
                  <w:p w14:paraId="6525B444" w14:textId="77777777" w:rsidR="00471D53" w:rsidRDefault="00B664AF">
                    <w:pPr>
                      <w:adjustRightInd w:val="0"/>
                      <w:snapToGrid w:val="0"/>
                      <w:rPr>
                        <w:sz w:val="18"/>
                        <w:szCs w:val="18"/>
                      </w:rPr>
                    </w:pPr>
                  </w:p>
                </w:tc>
                <w:sdt>
                  <w:sdtPr>
                    <w:tag w:val="_PLD_0b6e9703ed65458cb162afd47e6cc9f5"/>
                    <w:id w:val="-1533715554"/>
                    <w:lock w:val="sdtLocked"/>
                  </w:sdtPr>
                  <w:sdtEndPr/>
                  <w:sdtContent>
                    <w:tc>
                      <w:tcPr>
                        <w:tcW w:w="1321" w:type="dxa"/>
                        <w:vMerge w:val="restart"/>
                        <w:tcBorders>
                          <w:right w:val="single" w:sz="4" w:space="0" w:color="auto"/>
                        </w:tcBorders>
                        <w:vAlign w:val="center"/>
                      </w:tcPr>
                      <w:p w14:paraId="728182FF" w14:textId="021AEA48" w:rsidR="00471D53" w:rsidRDefault="004F686E">
                        <w:pPr>
                          <w:adjustRightInd w:val="0"/>
                          <w:snapToGrid w:val="0"/>
                          <w:jc w:val="center"/>
                          <w:rPr>
                            <w:sz w:val="18"/>
                            <w:szCs w:val="18"/>
                          </w:rPr>
                        </w:pPr>
                        <w:r>
                          <w:rPr>
                            <w:rFonts w:hint="eastAsia"/>
                            <w:sz w:val="18"/>
                            <w:szCs w:val="18"/>
                          </w:rPr>
                          <w:t>实收资本</w:t>
                        </w:r>
                        <w:r>
                          <w:rPr>
                            <w:sz w:val="18"/>
                            <w:szCs w:val="18"/>
                          </w:rPr>
                          <w:t>(或股本)</w:t>
                        </w:r>
                      </w:p>
                    </w:tc>
                  </w:sdtContent>
                </w:sdt>
                <w:sdt>
                  <w:sdtPr>
                    <w:tag w:val="_PLD_385a3413585444238bb59d181b958311"/>
                    <w:id w:val="257032888"/>
                    <w:lock w:val="sdtLocked"/>
                  </w:sdtPr>
                  <w:sdtEndPr/>
                  <w:sdtContent>
                    <w:tc>
                      <w:tcPr>
                        <w:tcW w:w="2409" w:type="dxa"/>
                        <w:gridSpan w:val="3"/>
                        <w:tcBorders>
                          <w:left w:val="single" w:sz="4" w:space="0" w:color="auto"/>
                          <w:bottom w:val="single" w:sz="4" w:space="0" w:color="auto"/>
                        </w:tcBorders>
                        <w:vAlign w:val="center"/>
                      </w:tcPr>
                      <w:p w14:paraId="5606639D" w14:textId="77777777" w:rsidR="00471D53" w:rsidRDefault="004F686E">
                        <w:pPr>
                          <w:adjustRightInd w:val="0"/>
                          <w:snapToGrid w:val="0"/>
                          <w:jc w:val="center"/>
                          <w:rPr>
                            <w:sz w:val="18"/>
                            <w:szCs w:val="18"/>
                          </w:rPr>
                        </w:pPr>
                        <w:r>
                          <w:rPr>
                            <w:rFonts w:hint="eastAsia"/>
                            <w:sz w:val="18"/>
                            <w:szCs w:val="18"/>
                          </w:rPr>
                          <w:t>其他权益工具</w:t>
                        </w:r>
                      </w:p>
                    </w:tc>
                  </w:sdtContent>
                </w:sdt>
                <w:sdt>
                  <w:sdtPr>
                    <w:tag w:val="_PLD_670488de432c4150880353e82f6ebb21"/>
                    <w:id w:val="-1538115096"/>
                    <w:lock w:val="sdtLocked"/>
                  </w:sdtPr>
                  <w:sdtEndPr/>
                  <w:sdtContent>
                    <w:tc>
                      <w:tcPr>
                        <w:tcW w:w="1276" w:type="dxa"/>
                        <w:vMerge w:val="restart"/>
                        <w:vAlign w:val="center"/>
                      </w:tcPr>
                      <w:p w14:paraId="018CD590" w14:textId="77777777" w:rsidR="00471D53" w:rsidRDefault="004F686E">
                        <w:pPr>
                          <w:adjustRightInd w:val="0"/>
                          <w:snapToGrid w:val="0"/>
                          <w:jc w:val="center"/>
                          <w:rPr>
                            <w:sz w:val="18"/>
                            <w:szCs w:val="18"/>
                          </w:rPr>
                        </w:pPr>
                        <w:r>
                          <w:rPr>
                            <w:sz w:val="18"/>
                            <w:szCs w:val="18"/>
                          </w:rPr>
                          <w:t>资本公积</w:t>
                        </w:r>
                      </w:p>
                    </w:tc>
                  </w:sdtContent>
                </w:sdt>
                <w:sdt>
                  <w:sdtPr>
                    <w:tag w:val="_PLD_c1c25c4e521b4e8aba5ccfef16a558c5"/>
                    <w:id w:val="-798221956"/>
                    <w:lock w:val="sdtLocked"/>
                  </w:sdtPr>
                  <w:sdtEndPr/>
                  <w:sdtContent>
                    <w:tc>
                      <w:tcPr>
                        <w:tcW w:w="851" w:type="dxa"/>
                        <w:vMerge w:val="restart"/>
                        <w:vAlign w:val="center"/>
                      </w:tcPr>
                      <w:p w14:paraId="116F768F" w14:textId="77777777" w:rsidR="00471D53" w:rsidRDefault="004F686E">
                        <w:pPr>
                          <w:adjustRightInd w:val="0"/>
                          <w:snapToGrid w:val="0"/>
                          <w:jc w:val="center"/>
                          <w:rPr>
                            <w:sz w:val="18"/>
                            <w:szCs w:val="18"/>
                          </w:rPr>
                        </w:pPr>
                        <w:r>
                          <w:rPr>
                            <w:sz w:val="18"/>
                            <w:szCs w:val="18"/>
                          </w:rPr>
                          <w:t>减：库存股</w:t>
                        </w:r>
                      </w:p>
                    </w:tc>
                  </w:sdtContent>
                </w:sdt>
                <w:sdt>
                  <w:sdtPr>
                    <w:tag w:val="_PLD_4ef83c170ca54a08ac6fcebc6a487dcd"/>
                    <w:id w:val="-128327942"/>
                    <w:lock w:val="sdtLocked"/>
                  </w:sdtPr>
                  <w:sdtEndPr/>
                  <w:sdtContent>
                    <w:tc>
                      <w:tcPr>
                        <w:tcW w:w="850" w:type="dxa"/>
                        <w:vMerge w:val="restart"/>
                        <w:vAlign w:val="center"/>
                      </w:tcPr>
                      <w:p w14:paraId="51791C4F" w14:textId="77777777" w:rsidR="00471D53" w:rsidRDefault="004F686E">
                        <w:pPr>
                          <w:jc w:val="center"/>
                          <w:rPr>
                            <w:sz w:val="18"/>
                            <w:szCs w:val="18"/>
                          </w:rPr>
                        </w:pPr>
                        <w:r>
                          <w:rPr>
                            <w:rFonts w:hint="eastAsia"/>
                            <w:sz w:val="18"/>
                            <w:szCs w:val="18"/>
                          </w:rPr>
                          <w:t>其他综合收益</w:t>
                        </w:r>
                      </w:p>
                    </w:tc>
                  </w:sdtContent>
                </w:sdt>
                <w:sdt>
                  <w:sdtPr>
                    <w:tag w:val="_PLD_5a42f2a835d44138928915520fc5e902"/>
                    <w:id w:val="2067448605"/>
                    <w:lock w:val="sdtLocked"/>
                  </w:sdtPr>
                  <w:sdtEndPr/>
                  <w:sdtContent>
                    <w:tc>
                      <w:tcPr>
                        <w:tcW w:w="709" w:type="dxa"/>
                        <w:vMerge w:val="restart"/>
                        <w:vAlign w:val="center"/>
                      </w:tcPr>
                      <w:p w14:paraId="1A3BF320" w14:textId="77777777" w:rsidR="00471D53" w:rsidRDefault="004F686E">
                        <w:pPr>
                          <w:adjustRightInd w:val="0"/>
                          <w:snapToGrid w:val="0"/>
                          <w:jc w:val="center"/>
                          <w:rPr>
                            <w:sz w:val="18"/>
                            <w:szCs w:val="18"/>
                          </w:rPr>
                        </w:pPr>
                        <w:r>
                          <w:rPr>
                            <w:rFonts w:hint="eastAsia"/>
                            <w:sz w:val="18"/>
                            <w:szCs w:val="18"/>
                          </w:rPr>
                          <w:t>专项储备</w:t>
                        </w:r>
                      </w:p>
                    </w:tc>
                  </w:sdtContent>
                </w:sdt>
                <w:sdt>
                  <w:sdtPr>
                    <w:tag w:val="_PLD_dbef0e1514f54b8ab8b43e975d3451b6"/>
                    <w:id w:val="-1698695214"/>
                    <w:lock w:val="sdtLocked"/>
                  </w:sdtPr>
                  <w:sdtEndPr/>
                  <w:sdtContent>
                    <w:tc>
                      <w:tcPr>
                        <w:tcW w:w="1276" w:type="dxa"/>
                        <w:vMerge w:val="restart"/>
                        <w:vAlign w:val="center"/>
                      </w:tcPr>
                      <w:p w14:paraId="7FC42FB1" w14:textId="77777777" w:rsidR="00471D53" w:rsidRDefault="004F686E">
                        <w:pPr>
                          <w:adjustRightInd w:val="0"/>
                          <w:snapToGrid w:val="0"/>
                          <w:jc w:val="center"/>
                          <w:rPr>
                            <w:sz w:val="18"/>
                            <w:szCs w:val="18"/>
                          </w:rPr>
                        </w:pPr>
                        <w:r>
                          <w:rPr>
                            <w:sz w:val="18"/>
                            <w:szCs w:val="18"/>
                          </w:rPr>
                          <w:t>盈余公积</w:t>
                        </w:r>
                      </w:p>
                    </w:tc>
                  </w:sdtContent>
                </w:sdt>
                <w:sdt>
                  <w:sdtPr>
                    <w:tag w:val="_PLD_63b6c2969ec64e7abb1802f027c1069a"/>
                    <w:id w:val="-1452854034"/>
                    <w:lock w:val="sdtLocked"/>
                  </w:sdtPr>
                  <w:sdtEndPr/>
                  <w:sdtContent>
                    <w:tc>
                      <w:tcPr>
                        <w:tcW w:w="1275" w:type="dxa"/>
                        <w:vMerge w:val="restart"/>
                        <w:vAlign w:val="center"/>
                      </w:tcPr>
                      <w:p w14:paraId="0F1872E1" w14:textId="77777777" w:rsidR="00471D53" w:rsidRDefault="004F686E">
                        <w:pPr>
                          <w:adjustRightInd w:val="0"/>
                          <w:snapToGrid w:val="0"/>
                          <w:jc w:val="center"/>
                          <w:rPr>
                            <w:sz w:val="18"/>
                            <w:szCs w:val="18"/>
                          </w:rPr>
                        </w:pPr>
                        <w:r>
                          <w:rPr>
                            <w:sz w:val="18"/>
                            <w:szCs w:val="18"/>
                          </w:rPr>
                          <w:t>未分配利润</w:t>
                        </w:r>
                      </w:p>
                    </w:tc>
                  </w:sdtContent>
                </w:sdt>
                <w:sdt>
                  <w:sdtPr>
                    <w:tag w:val="_PLD_cdd38492b3a84e28b52c6700432babfd"/>
                    <w:id w:val="-236258166"/>
                    <w:lock w:val="sdtLocked"/>
                  </w:sdtPr>
                  <w:sdtEndPr/>
                  <w:sdtContent>
                    <w:tc>
                      <w:tcPr>
                        <w:tcW w:w="1543" w:type="dxa"/>
                        <w:vMerge w:val="restart"/>
                        <w:vAlign w:val="center"/>
                      </w:tcPr>
                      <w:p w14:paraId="1B2739F7" w14:textId="77777777" w:rsidR="00471D53" w:rsidRDefault="004F686E">
                        <w:pPr>
                          <w:adjustRightInd w:val="0"/>
                          <w:snapToGrid w:val="0"/>
                          <w:jc w:val="center"/>
                          <w:rPr>
                            <w:sz w:val="18"/>
                            <w:szCs w:val="18"/>
                          </w:rPr>
                        </w:pPr>
                        <w:r>
                          <w:rPr>
                            <w:sz w:val="18"/>
                            <w:szCs w:val="18"/>
                          </w:rPr>
                          <w:t>所有者权益合计</w:t>
                        </w:r>
                      </w:p>
                    </w:tc>
                  </w:sdtContent>
                </w:sdt>
              </w:tr>
              <w:tr w:rsidR="00471D53" w14:paraId="26B0E0E0" w14:textId="77777777" w:rsidTr="001279EE">
                <w:trPr>
                  <w:trHeight w:val="294"/>
                </w:trPr>
                <w:tc>
                  <w:tcPr>
                    <w:tcW w:w="2450" w:type="dxa"/>
                    <w:vMerge/>
                  </w:tcPr>
                  <w:p w14:paraId="63DA0246" w14:textId="77777777" w:rsidR="00471D53" w:rsidRDefault="00B664AF">
                    <w:pPr>
                      <w:adjustRightInd w:val="0"/>
                      <w:snapToGrid w:val="0"/>
                      <w:rPr>
                        <w:sz w:val="18"/>
                        <w:szCs w:val="18"/>
                      </w:rPr>
                    </w:pPr>
                  </w:p>
                </w:tc>
                <w:tc>
                  <w:tcPr>
                    <w:tcW w:w="1321" w:type="dxa"/>
                    <w:vMerge/>
                    <w:tcBorders>
                      <w:right w:val="single" w:sz="4" w:space="0" w:color="auto"/>
                    </w:tcBorders>
                    <w:vAlign w:val="center"/>
                  </w:tcPr>
                  <w:p w14:paraId="3D962A12" w14:textId="77777777" w:rsidR="00471D53" w:rsidRDefault="00B664AF">
                    <w:pPr>
                      <w:adjustRightInd w:val="0"/>
                      <w:snapToGrid w:val="0"/>
                      <w:jc w:val="center"/>
                      <w:rPr>
                        <w:sz w:val="18"/>
                        <w:szCs w:val="18"/>
                      </w:rPr>
                    </w:pPr>
                  </w:p>
                </w:tc>
                <w:sdt>
                  <w:sdtPr>
                    <w:tag w:val="_PLD_90c1cf3c29414463ba491093caed23a7"/>
                    <w:id w:val="-1220745298"/>
                    <w:lock w:val="sdtLocked"/>
                  </w:sdtPr>
                  <w:sdtEndPr/>
                  <w:sdtContent>
                    <w:tc>
                      <w:tcPr>
                        <w:tcW w:w="807" w:type="dxa"/>
                        <w:tcBorders>
                          <w:top w:val="single" w:sz="4" w:space="0" w:color="auto"/>
                          <w:left w:val="single" w:sz="4" w:space="0" w:color="auto"/>
                          <w:right w:val="single" w:sz="4" w:space="0" w:color="auto"/>
                        </w:tcBorders>
                        <w:vAlign w:val="center"/>
                      </w:tcPr>
                      <w:p w14:paraId="44D8CAEE" w14:textId="77777777" w:rsidR="00471D53" w:rsidRDefault="004F686E">
                        <w:pPr>
                          <w:adjustRightInd w:val="0"/>
                          <w:snapToGrid w:val="0"/>
                          <w:jc w:val="center"/>
                          <w:rPr>
                            <w:sz w:val="18"/>
                            <w:szCs w:val="18"/>
                          </w:rPr>
                        </w:pPr>
                        <w:r>
                          <w:rPr>
                            <w:rFonts w:hint="eastAsia"/>
                            <w:sz w:val="18"/>
                            <w:szCs w:val="18"/>
                          </w:rPr>
                          <w:t>优先股</w:t>
                        </w:r>
                      </w:p>
                    </w:tc>
                  </w:sdtContent>
                </w:sdt>
                <w:sdt>
                  <w:sdtPr>
                    <w:tag w:val="_PLD_7dac20c025664b94b7a2176be4c24d00"/>
                    <w:id w:val="1830562703"/>
                    <w:lock w:val="sdtLocked"/>
                  </w:sdtPr>
                  <w:sdtEndPr/>
                  <w:sdtContent>
                    <w:tc>
                      <w:tcPr>
                        <w:tcW w:w="894" w:type="dxa"/>
                        <w:tcBorders>
                          <w:top w:val="single" w:sz="4" w:space="0" w:color="auto"/>
                          <w:left w:val="single" w:sz="4" w:space="0" w:color="auto"/>
                          <w:right w:val="single" w:sz="4" w:space="0" w:color="auto"/>
                        </w:tcBorders>
                        <w:vAlign w:val="center"/>
                      </w:tcPr>
                      <w:p w14:paraId="1DE1A22B" w14:textId="77777777" w:rsidR="00471D53" w:rsidRDefault="004F686E">
                        <w:pPr>
                          <w:adjustRightInd w:val="0"/>
                          <w:snapToGrid w:val="0"/>
                          <w:jc w:val="center"/>
                          <w:rPr>
                            <w:sz w:val="18"/>
                            <w:szCs w:val="18"/>
                          </w:rPr>
                        </w:pPr>
                        <w:r>
                          <w:rPr>
                            <w:rFonts w:hint="eastAsia"/>
                            <w:sz w:val="18"/>
                            <w:szCs w:val="18"/>
                          </w:rPr>
                          <w:t>永续债</w:t>
                        </w:r>
                      </w:p>
                    </w:tc>
                  </w:sdtContent>
                </w:sdt>
                <w:sdt>
                  <w:sdtPr>
                    <w:tag w:val="_PLD_23829f284d5149ee92e64b94083b1ade"/>
                    <w:id w:val="1833648906"/>
                    <w:lock w:val="sdtLocked"/>
                  </w:sdtPr>
                  <w:sdtEndPr/>
                  <w:sdtContent>
                    <w:tc>
                      <w:tcPr>
                        <w:tcW w:w="708" w:type="dxa"/>
                        <w:tcBorders>
                          <w:top w:val="single" w:sz="4" w:space="0" w:color="auto"/>
                          <w:left w:val="single" w:sz="4" w:space="0" w:color="auto"/>
                        </w:tcBorders>
                        <w:vAlign w:val="center"/>
                      </w:tcPr>
                      <w:p w14:paraId="76CAF0FB" w14:textId="77777777" w:rsidR="00471D53" w:rsidRDefault="004F686E">
                        <w:pPr>
                          <w:adjustRightInd w:val="0"/>
                          <w:snapToGrid w:val="0"/>
                          <w:jc w:val="center"/>
                          <w:rPr>
                            <w:sz w:val="18"/>
                            <w:szCs w:val="18"/>
                          </w:rPr>
                        </w:pPr>
                        <w:r>
                          <w:rPr>
                            <w:rFonts w:hint="eastAsia"/>
                            <w:sz w:val="18"/>
                            <w:szCs w:val="18"/>
                          </w:rPr>
                          <w:t>其他</w:t>
                        </w:r>
                      </w:p>
                    </w:tc>
                  </w:sdtContent>
                </w:sdt>
                <w:tc>
                  <w:tcPr>
                    <w:tcW w:w="1276" w:type="dxa"/>
                    <w:vMerge/>
                  </w:tcPr>
                  <w:p w14:paraId="4B254A65" w14:textId="77777777" w:rsidR="00471D53" w:rsidRDefault="00B664AF">
                    <w:pPr>
                      <w:adjustRightInd w:val="0"/>
                      <w:snapToGrid w:val="0"/>
                      <w:jc w:val="center"/>
                      <w:rPr>
                        <w:sz w:val="18"/>
                        <w:szCs w:val="18"/>
                      </w:rPr>
                    </w:pPr>
                  </w:p>
                </w:tc>
                <w:tc>
                  <w:tcPr>
                    <w:tcW w:w="851" w:type="dxa"/>
                    <w:vMerge/>
                  </w:tcPr>
                  <w:p w14:paraId="70A3ECC4" w14:textId="77777777" w:rsidR="00471D53" w:rsidRDefault="00B664AF">
                    <w:pPr>
                      <w:adjustRightInd w:val="0"/>
                      <w:snapToGrid w:val="0"/>
                      <w:jc w:val="center"/>
                      <w:rPr>
                        <w:sz w:val="18"/>
                        <w:szCs w:val="18"/>
                      </w:rPr>
                    </w:pPr>
                  </w:p>
                </w:tc>
                <w:tc>
                  <w:tcPr>
                    <w:tcW w:w="850" w:type="dxa"/>
                    <w:vMerge/>
                  </w:tcPr>
                  <w:p w14:paraId="5BBF0081" w14:textId="77777777" w:rsidR="00471D53" w:rsidRDefault="00B664AF">
                    <w:pPr>
                      <w:jc w:val="center"/>
                      <w:rPr>
                        <w:sz w:val="18"/>
                        <w:szCs w:val="18"/>
                      </w:rPr>
                    </w:pPr>
                  </w:p>
                </w:tc>
                <w:tc>
                  <w:tcPr>
                    <w:tcW w:w="709" w:type="dxa"/>
                    <w:vMerge/>
                  </w:tcPr>
                  <w:p w14:paraId="498344E1" w14:textId="77777777" w:rsidR="00471D53" w:rsidRDefault="00B664AF">
                    <w:pPr>
                      <w:adjustRightInd w:val="0"/>
                      <w:snapToGrid w:val="0"/>
                      <w:jc w:val="center"/>
                      <w:rPr>
                        <w:sz w:val="18"/>
                        <w:szCs w:val="18"/>
                      </w:rPr>
                    </w:pPr>
                  </w:p>
                </w:tc>
                <w:tc>
                  <w:tcPr>
                    <w:tcW w:w="1276" w:type="dxa"/>
                    <w:vMerge/>
                  </w:tcPr>
                  <w:p w14:paraId="4BF65AC8" w14:textId="77777777" w:rsidR="00471D53" w:rsidRDefault="00B664AF">
                    <w:pPr>
                      <w:adjustRightInd w:val="0"/>
                      <w:snapToGrid w:val="0"/>
                      <w:jc w:val="center"/>
                      <w:rPr>
                        <w:sz w:val="18"/>
                        <w:szCs w:val="18"/>
                      </w:rPr>
                    </w:pPr>
                  </w:p>
                </w:tc>
                <w:tc>
                  <w:tcPr>
                    <w:tcW w:w="1275" w:type="dxa"/>
                    <w:vMerge/>
                  </w:tcPr>
                  <w:p w14:paraId="45058BD7" w14:textId="77777777" w:rsidR="00471D53" w:rsidRDefault="00B664AF">
                    <w:pPr>
                      <w:adjustRightInd w:val="0"/>
                      <w:snapToGrid w:val="0"/>
                      <w:jc w:val="center"/>
                      <w:rPr>
                        <w:sz w:val="18"/>
                        <w:szCs w:val="18"/>
                      </w:rPr>
                    </w:pPr>
                  </w:p>
                </w:tc>
                <w:tc>
                  <w:tcPr>
                    <w:tcW w:w="1543" w:type="dxa"/>
                    <w:vMerge/>
                  </w:tcPr>
                  <w:p w14:paraId="00D28124" w14:textId="77777777" w:rsidR="00471D53" w:rsidRDefault="00B664AF">
                    <w:pPr>
                      <w:adjustRightInd w:val="0"/>
                      <w:snapToGrid w:val="0"/>
                      <w:jc w:val="center"/>
                      <w:rPr>
                        <w:sz w:val="18"/>
                        <w:szCs w:val="18"/>
                      </w:rPr>
                    </w:pPr>
                  </w:p>
                </w:tc>
              </w:tr>
              <w:tr w:rsidR="00471D53" w14:paraId="55E625E2" w14:textId="77777777" w:rsidTr="001279EE">
                <w:trPr>
                  <w:trHeight w:val="20"/>
                </w:trPr>
                <w:sdt>
                  <w:sdtPr>
                    <w:tag w:val="_PLD_b5131b53bda244fcbd76916797d6b666"/>
                    <w:id w:val="922620167"/>
                    <w:lock w:val="sdtLocked"/>
                  </w:sdtPr>
                  <w:sdtEndPr/>
                  <w:sdtContent>
                    <w:tc>
                      <w:tcPr>
                        <w:tcW w:w="2450" w:type="dxa"/>
                      </w:tcPr>
                      <w:p w14:paraId="6AAFBDF3" w14:textId="77777777" w:rsidR="00471D53" w:rsidRDefault="004F686E">
                        <w:pPr>
                          <w:rPr>
                            <w:sz w:val="18"/>
                            <w:szCs w:val="18"/>
                          </w:rPr>
                        </w:pPr>
                        <w:r>
                          <w:rPr>
                            <w:sz w:val="18"/>
                            <w:szCs w:val="18"/>
                          </w:rPr>
                          <w:t>一、上年</w:t>
                        </w:r>
                        <w:r>
                          <w:rPr>
                            <w:rFonts w:hint="eastAsia"/>
                            <w:sz w:val="18"/>
                            <w:szCs w:val="18"/>
                          </w:rPr>
                          <w:t>期</w:t>
                        </w:r>
                        <w:r>
                          <w:rPr>
                            <w:sz w:val="18"/>
                            <w:szCs w:val="18"/>
                          </w:rPr>
                          <w:t>末余额</w:t>
                        </w:r>
                      </w:p>
                    </w:tc>
                  </w:sdtContent>
                </w:sdt>
                <w:tc>
                  <w:tcPr>
                    <w:tcW w:w="1321" w:type="dxa"/>
                    <w:tcBorders>
                      <w:right w:val="single" w:sz="4" w:space="0" w:color="auto"/>
                    </w:tcBorders>
                    <w:vAlign w:val="center"/>
                  </w:tcPr>
                  <w:p w14:paraId="2C2AA5F0" w14:textId="5D9A8001" w:rsidR="00471D53" w:rsidRPr="00345210" w:rsidRDefault="004F686E">
                    <w:pPr>
                      <w:jc w:val="right"/>
                      <w:rPr>
                        <w:sz w:val="15"/>
                        <w:szCs w:val="15"/>
                      </w:rPr>
                    </w:pPr>
                    <w:r w:rsidRPr="00345210">
                      <w:rPr>
                        <w:rFonts w:hint="eastAsia"/>
                        <w:sz w:val="15"/>
                        <w:szCs w:val="15"/>
                      </w:rPr>
                      <w:t>485,000,000.00</w:t>
                    </w:r>
                  </w:p>
                </w:tc>
                <w:tc>
                  <w:tcPr>
                    <w:tcW w:w="807" w:type="dxa"/>
                    <w:tcBorders>
                      <w:left w:val="single" w:sz="4" w:space="0" w:color="auto"/>
                      <w:right w:val="single" w:sz="4" w:space="0" w:color="auto"/>
                    </w:tcBorders>
                    <w:vAlign w:val="center"/>
                  </w:tcPr>
                  <w:p w14:paraId="7B2CBB5B" w14:textId="77777777" w:rsidR="00471D53" w:rsidRPr="00345210" w:rsidRDefault="004F686E">
                    <w:pPr>
                      <w:jc w:val="right"/>
                      <w:rPr>
                        <w:color w:val="FFFFFF"/>
                        <w:sz w:val="15"/>
                        <w:szCs w:val="15"/>
                      </w:rPr>
                    </w:pPr>
                    <w:r w:rsidRPr="00345210">
                      <w:rPr>
                        <w:rFonts w:hint="eastAsia"/>
                        <w:color w:val="FFFFFF"/>
                        <w:sz w:val="15"/>
                        <w:szCs w:val="15"/>
                      </w:rPr>
                      <w:t xml:space="preserve">　</w:t>
                    </w:r>
                  </w:p>
                </w:tc>
                <w:tc>
                  <w:tcPr>
                    <w:tcW w:w="894" w:type="dxa"/>
                    <w:tcBorders>
                      <w:left w:val="single" w:sz="4" w:space="0" w:color="auto"/>
                      <w:right w:val="single" w:sz="4" w:space="0" w:color="auto"/>
                    </w:tcBorders>
                    <w:vAlign w:val="center"/>
                  </w:tcPr>
                  <w:p w14:paraId="7E1C83B9" w14:textId="77777777" w:rsidR="00471D53" w:rsidRPr="00345210" w:rsidRDefault="004F686E">
                    <w:pPr>
                      <w:jc w:val="right"/>
                      <w:rPr>
                        <w:color w:val="FFFFFF"/>
                        <w:sz w:val="15"/>
                        <w:szCs w:val="15"/>
                      </w:rPr>
                    </w:pPr>
                    <w:r w:rsidRPr="00345210">
                      <w:rPr>
                        <w:rFonts w:hint="eastAsia"/>
                        <w:color w:val="FFFFFF"/>
                        <w:sz w:val="15"/>
                        <w:szCs w:val="15"/>
                      </w:rPr>
                      <w:t xml:space="preserve">　</w:t>
                    </w:r>
                  </w:p>
                </w:tc>
                <w:tc>
                  <w:tcPr>
                    <w:tcW w:w="708" w:type="dxa"/>
                    <w:tcBorders>
                      <w:left w:val="single" w:sz="4" w:space="0" w:color="auto"/>
                      <w:right w:val="single" w:sz="4" w:space="0" w:color="auto"/>
                    </w:tcBorders>
                    <w:vAlign w:val="center"/>
                  </w:tcPr>
                  <w:p w14:paraId="26F63F2D" w14:textId="77777777" w:rsidR="00471D53" w:rsidRPr="00345210" w:rsidRDefault="004F686E">
                    <w:pPr>
                      <w:jc w:val="right"/>
                      <w:rPr>
                        <w:color w:val="FFFFFF"/>
                        <w:sz w:val="15"/>
                        <w:szCs w:val="15"/>
                      </w:rPr>
                    </w:pPr>
                    <w:r w:rsidRPr="00345210">
                      <w:rPr>
                        <w:rFonts w:hint="eastAsia"/>
                        <w:color w:val="FFFFFF"/>
                        <w:sz w:val="15"/>
                        <w:szCs w:val="15"/>
                      </w:rPr>
                      <w:t xml:space="preserve">　</w:t>
                    </w:r>
                  </w:p>
                </w:tc>
                <w:tc>
                  <w:tcPr>
                    <w:tcW w:w="1276" w:type="dxa"/>
                    <w:tcBorders>
                      <w:left w:val="single" w:sz="4" w:space="0" w:color="auto"/>
                    </w:tcBorders>
                    <w:vAlign w:val="center"/>
                  </w:tcPr>
                  <w:p w14:paraId="4FE27BA3" w14:textId="0B2D9AE2" w:rsidR="00471D53" w:rsidRPr="00345210" w:rsidRDefault="004F686E">
                    <w:pPr>
                      <w:jc w:val="right"/>
                      <w:rPr>
                        <w:sz w:val="15"/>
                        <w:szCs w:val="15"/>
                      </w:rPr>
                    </w:pPr>
                    <w:r w:rsidRPr="00345210">
                      <w:rPr>
                        <w:rFonts w:hint="eastAsia"/>
                        <w:sz w:val="15"/>
                        <w:szCs w:val="15"/>
                      </w:rPr>
                      <w:t>811,365,185.81</w:t>
                    </w:r>
                  </w:p>
                </w:tc>
                <w:tc>
                  <w:tcPr>
                    <w:tcW w:w="851" w:type="dxa"/>
                    <w:vAlign w:val="center"/>
                  </w:tcPr>
                  <w:p w14:paraId="3EADF155" w14:textId="77777777" w:rsidR="00471D53" w:rsidRPr="00345210" w:rsidRDefault="004F686E">
                    <w:pPr>
                      <w:jc w:val="right"/>
                      <w:rPr>
                        <w:color w:val="FFFFFF"/>
                        <w:sz w:val="15"/>
                        <w:szCs w:val="15"/>
                      </w:rPr>
                    </w:pPr>
                    <w:r w:rsidRPr="00345210">
                      <w:rPr>
                        <w:rFonts w:hint="eastAsia"/>
                        <w:color w:val="FFFFFF"/>
                        <w:sz w:val="15"/>
                        <w:szCs w:val="15"/>
                      </w:rPr>
                      <w:t xml:space="preserve">　</w:t>
                    </w:r>
                  </w:p>
                </w:tc>
                <w:tc>
                  <w:tcPr>
                    <w:tcW w:w="850" w:type="dxa"/>
                    <w:vAlign w:val="center"/>
                  </w:tcPr>
                  <w:p w14:paraId="321030E8" w14:textId="77777777" w:rsidR="00471D53" w:rsidRPr="00345210" w:rsidRDefault="004F686E">
                    <w:pPr>
                      <w:jc w:val="right"/>
                      <w:rPr>
                        <w:color w:val="FFFFFF"/>
                        <w:sz w:val="15"/>
                        <w:szCs w:val="15"/>
                      </w:rPr>
                    </w:pPr>
                    <w:r w:rsidRPr="00345210">
                      <w:rPr>
                        <w:rFonts w:hint="eastAsia"/>
                        <w:color w:val="FFFFFF"/>
                        <w:sz w:val="15"/>
                        <w:szCs w:val="15"/>
                      </w:rPr>
                      <w:t xml:space="preserve">　</w:t>
                    </w:r>
                  </w:p>
                </w:tc>
                <w:tc>
                  <w:tcPr>
                    <w:tcW w:w="709" w:type="dxa"/>
                    <w:vAlign w:val="center"/>
                  </w:tcPr>
                  <w:p w14:paraId="323104C1" w14:textId="77777777" w:rsidR="00471D53" w:rsidRPr="00345210" w:rsidRDefault="004F686E">
                    <w:pPr>
                      <w:jc w:val="right"/>
                      <w:rPr>
                        <w:color w:val="FFFFFF"/>
                        <w:sz w:val="15"/>
                        <w:szCs w:val="15"/>
                      </w:rPr>
                    </w:pPr>
                    <w:r w:rsidRPr="00345210">
                      <w:rPr>
                        <w:rFonts w:hint="eastAsia"/>
                        <w:color w:val="FFFFFF"/>
                        <w:sz w:val="15"/>
                        <w:szCs w:val="15"/>
                      </w:rPr>
                      <w:t xml:space="preserve">　</w:t>
                    </w:r>
                  </w:p>
                </w:tc>
                <w:tc>
                  <w:tcPr>
                    <w:tcW w:w="1276" w:type="dxa"/>
                    <w:vAlign w:val="center"/>
                  </w:tcPr>
                  <w:p w14:paraId="1D903D1A" w14:textId="6F9B8586" w:rsidR="00471D53" w:rsidRPr="00345210" w:rsidRDefault="004F686E">
                    <w:pPr>
                      <w:jc w:val="right"/>
                      <w:rPr>
                        <w:sz w:val="15"/>
                        <w:szCs w:val="15"/>
                      </w:rPr>
                    </w:pPr>
                    <w:r w:rsidRPr="00345210">
                      <w:rPr>
                        <w:rFonts w:hint="eastAsia"/>
                        <w:sz w:val="15"/>
                        <w:szCs w:val="15"/>
                      </w:rPr>
                      <w:t>38,071,282.24</w:t>
                    </w:r>
                  </w:p>
                </w:tc>
                <w:tc>
                  <w:tcPr>
                    <w:tcW w:w="1275" w:type="dxa"/>
                    <w:vAlign w:val="center"/>
                  </w:tcPr>
                  <w:p w14:paraId="4184D1E2" w14:textId="3C5E5313" w:rsidR="00471D53" w:rsidRPr="00345210" w:rsidRDefault="004F686E">
                    <w:pPr>
                      <w:jc w:val="right"/>
                      <w:rPr>
                        <w:sz w:val="15"/>
                        <w:szCs w:val="15"/>
                      </w:rPr>
                    </w:pPr>
                    <w:r w:rsidRPr="00345210">
                      <w:rPr>
                        <w:rFonts w:hint="eastAsia"/>
                        <w:sz w:val="15"/>
                        <w:szCs w:val="15"/>
                      </w:rPr>
                      <w:t>-55,776,343.03</w:t>
                    </w:r>
                  </w:p>
                </w:tc>
                <w:tc>
                  <w:tcPr>
                    <w:tcW w:w="1543" w:type="dxa"/>
                    <w:vAlign w:val="center"/>
                  </w:tcPr>
                  <w:p w14:paraId="1F7490DD" w14:textId="09A5E13D" w:rsidR="00471D53" w:rsidRPr="00345210" w:rsidRDefault="004F686E">
                    <w:pPr>
                      <w:jc w:val="right"/>
                      <w:rPr>
                        <w:sz w:val="15"/>
                        <w:szCs w:val="15"/>
                      </w:rPr>
                    </w:pPr>
                    <w:r w:rsidRPr="00345210">
                      <w:rPr>
                        <w:rFonts w:hint="eastAsia"/>
                        <w:sz w:val="15"/>
                        <w:szCs w:val="15"/>
                      </w:rPr>
                      <w:t>1,278,660,125.02</w:t>
                    </w:r>
                  </w:p>
                </w:tc>
              </w:tr>
              <w:tr w:rsidR="00471D53" w14:paraId="0C42D4A1" w14:textId="77777777" w:rsidTr="001279EE">
                <w:trPr>
                  <w:trHeight w:val="20"/>
                </w:trPr>
                <w:sdt>
                  <w:sdtPr>
                    <w:tag w:val="_PLD_66de901175bd4e50a35a24f0fca7513d"/>
                    <w:id w:val="1969243331"/>
                    <w:lock w:val="sdtLocked"/>
                  </w:sdtPr>
                  <w:sdtEndPr/>
                  <w:sdtContent>
                    <w:tc>
                      <w:tcPr>
                        <w:tcW w:w="2450" w:type="dxa"/>
                      </w:tcPr>
                      <w:p w14:paraId="79482065" w14:textId="77777777" w:rsidR="00471D53" w:rsidRDefault="004F686E">
                        <w:pPr>
                          <w:rPr>
                            <w:sz w:val="18"/>
                            <w:szCs w:val="18"/>
                          </w:rPr>
                        </w:pPr>
                        <w:r>
                          <w:rPr>
                            <w:sz w:val="18"/>
                            <w:szCs w:val="18"/>
                          </w:rPr>
                          <w:t>加：会计政策变更</w:t>
                        </w:r>
                      </w:p>
                    </w:tc>
                  </w:sdtContent>
                </w:sdt>
                <w:tc>
                  <w:tcPr>
                    <w:tcW w:w="1321" w:type="dxa"/>
                    <w:tcBorders>
                      <w:right w:val="single" w:sz="4" w:space="0" w:color="auto"/>
                    </w:tcBorders>
                  </w:tcPr>
                  <w:p w14:paraId="27399932" w14:textId="77777777" w:rsidR="00471D53" w:rsidRDefault="00B664AF">
                    <w:pPr>
                      <w:jc w:val="right"/>
                      <w:rPr>
                        <w:sz w:val="18"/>
                        <w:szCs w:val="18"/>
                      </w:rPr>
                    </w:pPr>
                  </w:p>
                </w:tc>
                <w:tc>
                  <w:tcPr>
                    <w:tcW w:w="807" w:type="dxa"/>
                    <w:tcBorders>
                      <w:left w:val="single" w:sz="4" w:space="0" w:color="auto"/>
                      <w:right w:val="single" w:sz="4" w:space="0" w:color="auto"/>
                    </w:tcBorders>
                  </w:tcPr>
                  <w:p w14:paraId="67B6CA89" w14:textId="77777777" w:rsidR="00471D53" w:rsidRDefault="00B664AF">
                    <w:pPr>
                      <w:jc w:val="right"/>
                      <w:rPr>
                        <w:sz w:val="18"/>
                        <w:szCs w:val="18"/>
                      </w:rPr>
                    </w:pPr>
                  </w:p>
                </w:tc>
                <w:tc>
                  <w:tcPr>
                    <w:tcW w:w="894" w:type="dxa"/>
                    <w:tcBorders>
                      <w:left w:val="single" w:sz="4" w:space="0" w:color="auto"/>
                      <w:right w:val="single" w:sz="4" w:space="0" w:color="auto"/>
                    </w:tcBorders>
                  </w:tcPr>
                  <w:p w14:paraId="6A84CC86" w14:textId="77777777" w:rsidR="00471D53" w:rsidRDefault="00B664AF">
                    <w:pPr>
                      <w:jc w:val="right"/>
                      <w:rPr>
                        <w:sz w:val="18"/>
                        <w:szCs w:val="18"/>
                      </w:rPr>
                    </w:pPr>
                  </w:p>
                </w:tc>
                <w:tc>
                  <w:tcPr>
                    <w:tcW w:w="708" w:type="dxa"/>
                    <w:tcBorders>
                      <w:left w:val="single" w:sz="4" w:space="0" w:color="auto"/>
                      <w:right w:val="single" w:sz="4" w:space="0" w:color="auto"/>
                    </w:tcBorders>
                  </w:tcPr>
                  <w:p w14:paraId="03A719F5" w14:textId="77777777" w:rsidR="00471D53" w:rsidRDefault="00B664AF">
                    <w:pPr>
                      <w:jc w:val="right"/>
                      <w:rPr>
                        <w:sz w:val="18"/>
                        <w:szCs w:val="18"/>
                      </w:rPr>
                    </w:pPr>
                  </w:p>
                </w:tc>
                <w:tc>
                  <w:tcPr>
                    <w:tcW w:w="1276" w:type="dxa"/>
                    <w:tcBorders>
                      <w:left w:val="single" w:sz="4" w:space="0" w:color="auto"/>
                    </w:tcBorders>
                  </w:tcPr>
                  <w:p w14:paraId="3C9B8759" w14:textId="77777777" w:rsidR="00471D53" w:rsidRDefault="00B664AF">
                    <w:pPr>
                      <w:jc w:val="right"/>
                      <w:rPr>
                        <w:sz w:val="18"/>
                        <w:szCs w:val="18"/>
                      </w:rPr>
                    </w:pPr>
                  </w:p>
                </w:tc>
                <w:tc>
                  <w:tcPr>
                    <w:tcW w:w="851" w:type="dxa"/>
                  </w:tcPr>
                  <w:p w14:paraId="35A435C7" w14:textId="77777777" w:rsidR="00471D53" w:rsidRDefault="00B664AF">
                    <w:pPr>
                      <w:jc w:val="right"/>
                      <w:rPr>
                        <w:sz w:val="18"/>
                        <w:szCs w:val="18"/>
                      </w:rPr>
                    </w:pPr>
                  </w:p>
                </w:tc>
                <w:tc>
                  <w:tcPr>
                    <w:tcW w:w="850" w:type="dxa"/>
                  </w:tcPr>
                  <w:p w14:paraId="77AFE1F7" w14:textId="77777777" w:rsidR="00471D53" w:rsidRDefault="00B664AF">
                    <w:pPr>
                      <w:jc w:val="right"/>
                      <w:rPr>
                        <w:sz w:val="18"/>
                        <w:szCs w:val="18"/>
                      </w:rPr>
                    </w:pPr>
                  </w:p>
                </w:tc>
                <w:tc>
                  <w:tcPr>
                    <w:tcW w:w="709" w:type="dxa"/>
                  </w:tcPr>
                  <w:p w14:paraId="317CB64B" w14:textId="77777777" w:rsidR="00471D53" w:rsidRDefault="00B664AF">
                    <w:pPr>
                      <w:jc w:val="right"/>
                      <w:rPr>
                        <w:sz w:val="18"/>
                        <w:szCs w:val="18"/>
                      </w:rPr>
                    </w:pPr>
                  </w:p>
                </w:tc>
                <w:tc>
                  <w:tcPr>
                    <w:tcW w:w="1276" w:type="dxa"/>
                  </w:tcPr>
                  <w:p w14:paraId="186A34F0" w14:textId="77777777" w:rsidR="00471D53" w:rsidRDefault="00B664AF">
                    <w:pPr>
                      <w:jc w:val="right"/>
                      <w:rPr>
                        <w:sz w:val="18"/>
                        <w:szCs w:val="18"/>
                      </w:rPr>
                    </w:pPr>
                  </w:p>
                </w:tc>
                <w:tc>
                  <w:tcPr>
                    <w:tcW w:w="1275" w:type="dxa"/>
                  </w:tcPr>
                  <w:p w14:paraId="3D7D9EEC" w14:textId="77777777" w:rsidR="00471D53" w:rsidRDefault="00B664AF">
                    <w:pPr>
                      <w:jc w:val="right"/>
                      <w:rPr>
                        <w:sz w:val="18"/>
                        <w:szCs w:val="18"/>
                      </w:rPr>
                    </w:pPr>
                  </w:p>
                </w:tc>
                <w:tc>
                  <w:tcPr>
                    <w:tcW w:w="1543" w:type="dxa"/>
                  </w:tcPr>
                  <w:p w14:paraId="1746A55E" w14:textId="77777777" w:rsidR="00471D53" w:rsidRDefault="00B664AF">
                    <w:pPr>
                      <w:jc w:val="right"/>
                      <w:rPr>
                        <w:sz w:val="18"/>
                        <w:szCs w:val="18"/>
                      </w:rPr>
                    </w:pPr>
                  </w:p>
                </w:tc>
              </w:tr>
              <w:tr w:rsidR="00471D53" w14:paraId="05E0DE2C" w14:textId="77777777" w:rsidTr="001279EE">
                <w:trPr>
                  <w:trHeight w:val="20"/>
                </w:trPr>
                <w:sdt>
                  <w:sdtPr>
                    <w:tag w:val="_PLD_3bfc3b7951f4488f95a7180f02c989cf"/>
                    <w:id w:val="918064551"/>
                    <w:lock w:val="sdtLocked"/>
                  </w:sdtPr>
                  <w:sdtEndPr/>
                  <w:sdtContent>
                    <w:tc>
                      <w:tcPr>
                        <w:tcW w:w="2450" w:type="dxa"/>
                      </w:tcPr>
                      <w:p w14:paraId="7AE3D0EB" w14:textId="77777777" w:rsidR="00471D53" w:rsidRDefault="004F686E" w:rsidP="00471D53">
                        <w:pPr>
                          <w:ind w:firstLineChars="200" w:firstLine="420"/>
                          <w:rPr>
                            <w:sz w:val="18"/>
                            <w:szCs w:val="18"/>
                          </w:rPr>
                        </w:pPr>
                        <w:r>
                          <w:rPr>
                            <w:sz w:val="18"/>
                            <w:szCs w:val="18"/>
                          </w:rPr>
                          <w:t>前期差错更正</w:t>
                        </w:r>
                      </w:p>
                    </w:tc>
                  </w:sdtContent>
                </w:sdt>
                <w:tc>
                  <w:tcPr>
                    <w:tcW w:w="1321" w:type="dxa"/>
                    <w:tcBorders>
                      <w:right w:val="single" w:sz="4" w:space="0" w:color="auto"/>
                    </w:tcBorders>
                  </w:tcPr>
                  <w:p w14:paraId="1BE8F85E" w14:textId="77777777" w:rsidR="00471D53" w:rsidRDefault="00B664AF">
                    <w:pPr>
                      <w:jc w:val="right"/>
                      <w:rPr>
                        <w:sz w:val="18"/>
                        <w:szCs w:val="18"/>
                      </w:rPr>
                    </w:pPr>
                  </w:p>
                </w:tc>
                <w:tc>
                  <w:tcPr>
                    <w:tcW w:w="807" w:type="dxa"/>
                    <w:tcBorders>
                      <w:left w:val="single" w:sz="4" w:space="0" w:color="auto"/>
                      <w:right w:val="single" w:sz="4" w:space="0" w:color="auto"/>
                    </w:tcBorders>
                  </w:tcPr>
                  <w:p w14:paraId="538CEBD0" w14:textId="77777777" w:rsidR="00471D53" w:rsidRDefault="00B664AF">
                    <w:pPr>
                      <w:jc w:val="right"/>
                      <w:rPr>
                        <w:sz w:val="18"/>
                        <w:szCs w:val="18"/>
                      </w:rPr>
                    </w:pPr>
                  </w:p>
                </w:tc>
                <w:tc>
                  <w:tcPr>
                    <w:tcW w:w="894" w:type="dxa"/>
                    <w:tcBorders>
                      <w:left w:val="single" w:sz="4" w:space="0" w:color="auto"/>
                      <w:right w:val="single" w:sz="4" w:space="0" w:color="auto"/>
                    </w:tcBorders>
                  </w:tcPr>
                  <w:p w14:paraId="603F7735" w14:textId="77777777" w:rsidR="00471D53" w:rsidRDefault="00B664AF">
                    <w:pPr>
                      <w:jc w:val="right"/>
                      <w:rPr>
                        <w:sz w:val="18"/>
                        <w:szCs w:val="18"/>
                      </w:rPr>
                    </w:pPr>
                  </w:p>
                </w:tc>
                <w:tc>
                  <w:tcPr>
                    <w:tcW w:w="708" w:type="dxa"/>
                    <w:tcBorders>
                      <w:left w:val="single" w:sz="4" w:space="0" w:color="auto"/>
                      <w:right w:val="single" w:sz="4" w:space="0" w:color="auto"/>
                    </w:tcBorders>
                  </w:tcPr>
                  <w:p w14:paraId="7DCD14A0" w14:textId="77777777" w:rsidR="00471D53" w:rsidRDefault="00B664AF">
                    <w:pPr>
                      <w:jc w:val="right"/>
                      <w:rPr>
                        <w:sz w:val="18"/>
                        <w:szCs w:val="18"/>
                      </w:rPr>
                    </w:pPr>
                  </w:p>
                </w:tc>
                <w:tc>
                  <w:tcPr>
                    <w:tcW w:w="1276" w:type="dxa"/>
                    <w:tcBorders>
                      <w:left w:val="single" w:sz="4" w:space="0" w:color="auto"/>
                    </w:tcBorders>
                  </w:tcPr>
                  <w:p w14:paraId="3F9D3F4D" w14:textId="77777777" w:rsidR="00471D53" w:rsidRDefault="00B664AF">
                    <w:pPr>
                      <w:jc w:val="right"/>
                      <w:rPr>
                        <w:sz w:val="18"/>
                        <w:szCs w:val="18"/>
                      </w:rPr>
                    </w:pPr>
                  </w:p>
                </w:tc>
                <w:tc>
                  <w:tcPr>
                    <w:tcW w:w="851" w:type="dxa"/>
                  </w:tcPr>
                  <w:p w14:paraId="0E924C82" w14:textId="77777777" w:rsidR="00471D53" w:rsidRDefault="00B664AF">
                    <w:pPr>
                      <w:jc w:val="right"/>
                      <w:rPr>
                        <w:sz w:val="18"/>
                        <w:szCs w:val="18"/>
                      </w:rPr>
                    </w:pPr>
                  </w:p>
                </w:tc>
                <w:tc>
                  <w:tcPr>
                    <w:tcW w:w="850" w:type="dxa"/>
                  </w:tcPr>
                  <w:p w14:paraId="1D8DE168" w14:textId="77777777" w:rsidR="00471D53" w:rsidRDefault="00B664AF">
                    <w:pPr>
                      <w:jc w:val="right"/>
                      <w:rPr>
                        <w:sz w:val="18"/>
                        <w:szCs w:val="18"/>
                      </w:rPr>
                    </w:pPr>
                  </w:p>
                </w:tc>
                <w:tc>
                  <w:tcPr>
                    <w:tcW w:w="709" w:type="dxa"/>
                  </w:tcPr>
                  <w:p w14:paraId="670D25E0" w14:textId="77777777" w:rsidR="00471D53" w:rsidRDefault="00B664AF">
                    <w:pPr>
                      <w:jc w:val="right"/>
                      <w:rPr>
                        <w:sz w:val="18"/>
                        <w:szCs w:val="18"/>
                      </w:rPr>
                    </w:pPr>
                  </w:p>
                </w:tc>
                <w:tc>
                  <w:tcPr>
                    <w:tcW w:w="1276" w:type="dxa"/>
                  </w:tcPr>
                  <w:p w14:paraId="7E72ED12" w14:textId="77777777" w:rsidR="00471D53" w:rsidRDefault="00B664AF">
                    <w:pPr>
                      <w:jc w:val="right"/>
                      <w:rPr>
                        <w:sz w:val="18"/>
                        <w:szCs w:val="18"/>
                      </w:rPr>
                    </w:pPr>
                  </w:p>
                </w:tc>
                <w:tc>
                  <w:tcPr>
                    <w:tcW w:w="1275" w:type="dxa"/>
                  </w:tcPr>
                  <w:p w14:paraId="19FDBE8F" w14:textId="77777777" w:rsidR="00471D53" w:rsidRDefault="00B664AF">
                    <w:pPr>
                      <w:jc w:val="right"/>
                      <w:rPr>
                        <w:sz w:val="18"/>
                        <w:szCs w:val="18"/>
                      </w:rPr>
                    </w:pPr>
                  </w:p>
                </w:tc>
                <w:tc>
                  <w:tcPr>
                    <w:tcW w:w="1543" w:type="dxa"/>
                  </w:tcPr>
                  <w:p w14:paraId="36842088" w14:textId="77777777" w:rsidR="00471D53" w:rsidRDefault="00B664AF">
                    <w:pPr>
                      <w:jc w:val="right"/>
                      <w:rPr>
                        <w:sz w:val="18"/>
                        <w:szCs w:val="18"/>
                      </w:rPr>
                    </w:pPr>
                  </w:p>
                </w:tc>
              </w:tr>
              <w:tr w:rsidR="00471D53" w14:paraId="27FA586B" w14:textId="77777777" w:rsidTr="001279EE">
                <w:trPr>
                  <w:trHeight w:val="20"/>
                </w:trPr>
                <w:sdt>
                  <w:sdtPr>
                    <w:tag w:val="_PLD_dc9b9aaf7e384b1eae7dcabb517c2b1e"/>
                    <w:id w:val="-1340935151"/>
                    <w:lock w:val="sdtLocked"/>
                  </w:sdtPr>
                  <w:sdtEndPr/>
                  <w:sdtContent>
                    <w:tc>
                      <w:tcPr>
                        <w:tcW w:w="2450" w:type="dxa"/>
                      </w:tcPr>
                      <w:p w14:paraId="1EB7EC84" w14:textId="77777777" w:rsidR="00471D53" w:rsidRDefault="004F686E" w:rsidP="00471D53">
                        <w:pPr>
                          <w:ind w:firstLineChars="200" w:firstLine="420"/>
                          <w:rPr>
                            <w:sz w:val="18"/>
                            <w:szCs w:val="18"/>
                          </w:rPr>
                        </w:pPr>
                        <w:r>
                          <w:rPr>
                            <w:rFonts w:hint="eastAsia"/>
                            <w:sz w:val="18"/>
                            <w:szCs w:val="18"/>
                          </w:rPr>
                          <w:t>其他</w:t>
                        </w:r>
                      </w:p>
                    </w:tc>
                  </w:sdtContent>
                </w:sdt>
                <w:tc>
                  <w:tcPr>
                    <w:tcW w:w="1321" w:type="dxa"/>
                    <w:tcBorders>
                      <w:right w:val="single" w:sz="4" w:space="0" w:color="auto"/>
                    </w:tcBorders>
                  </w:tcPr>
                  <w:p w14:paraId="56FE7585" w14:textId="77777777" w:rsidR="00471D53" w:rsidRDefault="00B664AF">
                    <w:pPr>
                      <w:jc w:val="right"/>
                      <w:rPr>
                        <w:sz w:val="18"/>
                        <w:szCs w:val="18"/>
                      </w:rPr>
                    </w:pPr>
                  </w:p>
                </w:tc>
                <w:tc>
                  <w:tcPr>
                    <w:tcW w:w="807" w:type="dxa"/>
                    <w:tcBorders>
                      <w:left w:val="single" w:sz="4" w:space="0" w:color="auto"/>
                      <w:right w:val="single" w:sz="4" w:space="0" w:color="auto"/>
                    </w:tcBorders>
                  </w:tcPr>
                  <w:p w14:paraId="7AEF63AD" w14:textId="77777777" w:rsidR="00471D53" w:rsidRDefault="00B664AF">
                    <w:pPr>
                      <w:jc w:val="right"/>
                      <w:rPr>
                        <w:sz w:val="18"/>
                        <w:szCs w:val="18"/>
                      </w:rPr>
                    </w:pPr>
                  </w:p>
                </w:tc>
                <w:tc>
                  <w:tcPr>
                    <w:tcW w:w="894" w:type="dxa"/>
                    <w:tcBorders>
                      <w:left w:val="single" w:sz="4" w:space="0" w:color="auto"/>
                      <w:right w:val="single" w:sz="4" w:space="0" w:color="auto"/>
                    </w:tcBorders>
                  </w:tcPr>
                  <w:p w14:paraId="4CCFE76C" w14:textId="77777777" w:rsidR="00471D53" w:rsidRDefault="00B664AF">
                    <w:pPr>
                      <w:jc w:val="right"/>
                      <w:rPr>
                        <w:sz w:val="18"/>
                        <w:szCs w:val="18"/>
                      </w:rPr>
                    </w:pPr>
                  </w:p>
                </w:tc>
                <w:tc>
                  <w:tcPr>
                    <w:tcW w:w="708" w:type="dxa"/>
                    <w:tcBorders>
                      <w:left w:val="single" w:sz="4" w:space="0" w:color="auto"/>
                      <w:right w:val="single" w:sz="4" w:space="0" w:color="auto"/>
                    </w:tcBorders>
                  </w:tcPr>
                  <w:p w14:paraId="5EEDF293" w14:textId="77777777" w:rsidR="00471D53" w:rsidRDefault="00B664AF">
                    <w:pPr>
                      <w:jc w:val="right"/>
                      <w:rPr>
                        <w:sz w:val="18"/>
                        <w:szCs w:val="18"/>
                      </w:rPr>
                    </w:pPr>
                  </w:p>
                </w:tc>
                <w:tc>
                  <w:tcPr>
                    <w:tcW w:w="1276" w:type="dxa"/>
                    <w:tcBorders>
                      <w:left w:val="single" w:sz="4" w:space="0" w:color="auto"/>
                    </w:tcBorders>
                  </w:tcPr>
                  <w:p w14:paraId="697FD129" w14:textId="77777777" w:rsidR="00471D53" w:rsidRDefault="00B664AF">
                    <w:pPr>
                      <w:jc w:val="right"/>
                      <w:rPr>
                        <w:sz w:val="18"/>
                        <w:szCs w:val="18"/>
                      </w:rPr>
                    </w:pPr>
                  </w:p>
                </w:tc>
                <w:tc>
                  <w:tcPr>
                    <w:tcW w:w="851" w:type="dxa"/>
                  </w:tcPr>
                  <w:p w14:paraId="6787F0FA" w14:textId="77777777" w:rsidR="00471D53" w:rsidRDefault="00B664AF">
                    <w:pPr>
                      <w:jc w:val="right"/>
                      <w:rPr>
                        <w:sz w:val="18"/>
                        <w:szCs w:val="18"/>
                      </w:rPr>
                    </w:pPr>
                  </w:p>
                </w:tc>
                <w:tc>
                  <w:tcPr>
                    <w:tcW w:w="850" w:type="dxa"/>
                  </w:tcPr>
                  <w:p w14:paraId="653493EA" w14:textId="77777777" w:rsidR="00471D53" w:rsidRDefault="00B664AF">
                    <w:pPr>
                      <w:jc w:val="right"/>
                      <w:rPr>
                        <w:sz w:val="18"/>
                        <w:szCs w:val="18"/>
                      </w:rPr>
                    </w:pPr>
                  </w:p>
                </w:tc>
                <w:tc>
                  <w:tcPr>
                    <w:tcW w:w="709" w:type="dxa"/>
                  </w:tcPr>
                  <w:p w14:paraId="2D1B63D5" w14:textId="77777777" w:rsidR="00471D53" w:rsidRDefault="00B664AF">
                    <w:pPr>
                      <w:jc w:val="right"/>
                      <w:rPr>
                        <w:sz w:val="18"/>
                        <w:szCs w:val="18"/>
                      </w:rPr>
                    </w:pPr>
                  </w:p>
                </w:tc>
                <w:tc>
                  <w:tcPr>
                    <w:tcW w:w="1276" w:type="dxa"/>
                  </w:tcPr>
                  <w:p w14:paraId="0ED1A478" w14:textId="77777777" w:rsidR="00471D53" w:rsidRDefault="00B664AF">
                    <w:pPr>
                      <w:jc w:val="right"/>
                      <w:rPr>
                        <w:sz w:val="18"/>
                        <w:szCs w:val="18"/>
                      </w:rPr>
                    </w:pPr>
                  </w:p>
                </w:tc>
                <w:tc>
                  <w:tcPr>
                    <w:tcW w:w="1275" w:type="dxa"/>
                  </w:tcPr>
                  <w:p w14:paraId="1B9F4B04" w14:textId="77777777" w:rsidR="00471D53" w:rsidRDefault="00B664AF">
                    <w:pPr>
                      <w:jc w:val="right"/>
                      <w:rPr>
                        <w:sz w:val="18"/>
                        <w:szCs w:val="18"/>
                      </w:rPr>
                    </w:pPr>
                  </w:p>
                </w:tc>
                <w:tc>
                  <w:tcPr>
                    <w:tcW w:w="1543" w:type="dxa"/>
                  </w:tcPr>
                  <w:p w14:paraId="490D8D81" w14:textId="77777777" w:rsidR="00471D53" w:rsidRDefault="00B664AF">
                    <w:pPr>
                      <w:jc w:val="right"/>
                      <w:rPr>
                        <w:sz w:val="18"/>
                        <w:szCs w:val="18"/>
                      </w:rPr>
                    </w:pPr>
                  </w:p>
                </w:tc>
              </w:tr>
              <w:tr w:rsidR="00471D53" w14:paraId="1D3608CF" w14:textId="77777777" w:rsidTr="001279EE">
                <w:trPr>
                  <w:trHeight w:val="20"/>
                </w:trPr>
                <w:sdt>
                  <w:sdtPr>
                    <w:tag w:val="_PLD_345919472b384d0eb13471ef5f2f5e92"/>
                    <w:id w:val="-1445373846"/>
                    <w:lock w:val="sdtLocked"/>
                  </w:sdtPr>
                  <w:sdtEndPr/>
                  <w:sdtContent>
                    <w:tc>
                      <w:tcPr>
                        <w:tcW w:w="2450" w:type="dxa"/>
                      </w:tcPr>
                      <w:p w14:paraId="4A1ED072" w14:textId="77777777" w:rsidR="00471D53" w:rsidRDefault="004F686E">
                        <w:pPr>
                          <w:rPr>
                            <w:sz w:val="18"/>
                            <w:szCs w:val="18"/>
                          </w:rPr>
                        </w:pPr>
                        <w:r>
                          <w:rPr>
                            <w:sz w:val="18"/>
                            <w:szCs w:val="18"/>
                          </w:rPr>
                          <w:t>二、本年</w:t>
                        </w:r>
                        <w:r>
                          <w:rPr>
                            <w:rFonts w:hint="eastAsia"/>
                            <w:sz w:val="18"/>
                            <w:szCs w:val="18"/>
                          </w:rPr>
                          <w:t>期</w:t>
                        </w:r>
                        <w:r>
                          <w:rPr>
                            <w:sz w:val="18"/>
                            <w:szCs w:val="18"/>
                          </w:rPr>
                          <w:t>初余额</w:t>
                        </w:r>
                      </w:p>
                    </w:tc>
                  </w:sdtContent>
                </w:sdt>
                <w:tc>
                  <w:tcPr>
                    <w:tcW w:w="1321" w:type="dxa"/>
                    <w:tcBorders>
                      <w:right w:val="single" w:sz="4" w:space="0" w:color="auto"/>
                    </w:tcBorders>
                    <w:vAlign w:val="center"/>
                  </w:tcPr>
                  <w:p w14:paraId="6BD0C560" w14:textId="3BBE92C3" w:rsidR="00471D53" w:rsidRPr="00345210" w:rsidRDefault="004F686E">
                    <w:pPr>
                      <w:jc w:val="right"/>
                      <w:rPr>
                        <w:sz w:val="15"/>
                        <w:szCs w:val="15"/>
                      </w:rPr>
                    </w:pPr>
                    <w:r w:rsidRPr="00345210">
                      <w:rPr>
                        <w:rFonts w:hint="eastAsia"/>
                        <w:sz w:val="15"/>
                        <w:szCs w:val="15"/>
                      </w:rPr>
                      <w:t>485,000,000.00</w:t>
                    </w:r>
                  </w:p>
                </w:tc>
                <w:tc>
                  <w:tcPr>
                    <w:tcW w:w="807" w:type="dxa"/>
                    <w:tcBorders>
                      <w:left w:val="single" w:sz="4" w:space="0" w:color="auto"/>
                      <w:right w:val="single" w:sz="4" w:space="0" w:color="auto"/>
                    </w:tcBorders>
                    <w:vAlign w:val="center"/>
                  </w:tcPr>
                  <w:p w14:paraId="4330D5BB" w14:textId="77777777" w:rsidR="00471D53" w:rsidRPr="00345210" w:rsidRDefault="004F686E">
                    <w:pPr>
                      <w:jc w:val="right"/>
                      <w:rPr>
                        <w:color w:val="FFFFFF"/>
                        <w:sz w:val="15"/>
                        <w:szCs w:val="15"/>
                      </w:rPr>
                    </w:pPr>
                    <w:r w:rsidRPr="00345210">
                      <w:rPr>
                        <w:rFonts w:hint="eastAsia"/>
                        <w:color w:val="FFFFFF"/>
                        <w:sz w:val="15"/>
                        <w:szCs w:val="15"/>
                      </w:rPr>
                      <w:t xml:space="preserve">　</w:t>
                    </w:r>
                  </w:p>
                </w:tc>
                <w:tc>
                  <w:tcPr>
                    <w:tcW w:w="894" w:type="dxa"/>
                    <w:tcBorders>
                      <w:left w:val="single" w:sz="4" w:space="0" w:color="auto"/>
                      <w:right w:val="single" w:sz="4" w:space="0" w:color="auto"/>
                    </w:tcBorders>
                    <w:vAlign w:val="center"/>
                  </w:tcPr>
                  <w:p w14:paraId="43844977" w14:textId="77777777" w:rsidR="00471D53" w:rsidRPr="00345210" w:rsidRDefault="004F686E">
                    <w:pPr>
                      <w:jc w:val="right"/>
                      <w:rPr>
                        <w:color w:val="FFFFFF"/>
                        <w:sz w:val="15"/>
                        <w:szCs w:val="15"/>
                      </w:rPr>
                    </w:pPr>
                    <w:r w:rsidRPr="00345210">
                      <w:rPr>
                        <w:rFonts w:hint="eastAsia"/>
                        <w:color w:val="FFFFFF"/>
                        <w:sz w:val="15"/>
                        <w:szCs w:val="15"/>
                      </w:rPr>
                      <w:t xml:space="preserve">　</w:t>
                    </w:r>
                  </w:p>
                </w:tc>
                <w:tc>
                  <w:tcPr>
                    <w:tcW w:w="708" w:type="dxa"/>
                    <w:tcBorders>
                      <w:left w:val="single" w:sz="4" w:space="0" w:color="auto"/>
                      <w:right w:val="single" w:sz="4" w:space="0" w:color="auto"/>
                    </w:tcBorders>
                    <w:vAlign w:val="center"/>
                  </w:tcPr>
                  <w:p w14:paraId="45032E9A" w14:textId="77777777" w:rsidR="00471D53" w:rsidRPr="00345210" w:rsidRDefault="004F686E">
                    <w:pPr>
                      <w:jc w:val="right"/>
                      <w:rPr>
                        <w:color w:val="FFFFFF"/>
                        <w:sz w:val="15"/>
                        <w:szCs w:val="15"/>
                      </w:rPr>
                    </w:pPr>
                    <w:r w:rsidRPr="00345210">
                      <w:rPr>
                        <w:rFonts w:hint="eastAsia"/>
                        <w:color w:val="FFFFFF"/>
                        <w:sz w:val="15"/>
                        <w:szCs w:val="15"/>
                      </w:rPr>
                      <w:t xml:space="preserve">　</w:t>
                    </w:r>
                  </w:p>
                </w:tc>
                <w:tc>
                  <w:tcPr>
                    <w:tcW w:w="1276" w:type="dxa"/>
                    <w:tcBorders>
                      <w:left w:val="single" w:sz="4" w:space="0" w:color="auto"/>
                    </w:tcBorders>
                    <w:vAlign w:val="center"/>
                  </w:tcPr>
                  <w:p w14:paraId="261F91A7" w14:textId="1911261F" w:rsidR="00471D53" w:rsidRPr="00345210" w:rsidRDefault="004F686E">
                    <w:pPr>
                      <w:jc w:val="right"/>
                      <w:rPr>
                        <w:sz w:val="15"/>
                        <w:szCs w:val="15"/>
                      </w:rPr>
                    </w:pPr>
                    <w:r w:rsidRPr="00345210">
                      <w:rPr>
                        <w:rFonts w:hint="eastAsia"/>
                        <w:sz w:val="15"/>
                        <w:szCs w:val="15"/>
                      </w:rPr>
                      <w:t>811,365,185.81</w:t>
                    </w:r>
                  </w:p>
                </w:tc>
                <w:tc>
                  <w:tcPr>
                    <w:tcW w:w="851" w:type="dxa"/>
                    <w:vAlign w:val="center"/>
                  </w:tcPr>
                  <w:p w14:paraId="242386FE" w14:textId="77777777" w:rsidR="00471D53" w:rsidRPr="00345210" w:rsidRDefault="004F686E">
                    <w:pPr>
                      <w:jc w:val="right"/>
                      <w:rPr>
                        <w:color w:val="FFFFFF"/>
                        <w:sz w:val="15"/>
                        <w:szCs w:val="15"/>
                      </w:rPr>
                    </w:pPr>
                    <w:r w:rsidRPr="00345210">
                      <w:rPr>
                        <w:rFonts w:hint="eastAsia"/>
                        <w:color w:val="FFFFFF"/>
                        <w:sz w:val="15"/>
                        <w:szCs w:val="15"/>
                      </w:rPr>
                      <w:t xml:space="preserve">　</w:t>
                    </w:r>
                  </w:p>
                </w:tc>
                <w:tc>
                  <w:tcPr>
                    <w:tcW w:w="850" w:type="dxa"/>
                    <w:vAlign w:val="center"/>
                  </w:tcPr>
                  <w:p w14:paraId="01FE7127" w14:textId="77777777" w:rsidR="00471D53" w:rsidRPr="00345210" w:rsidRDefault="004F686E">
                    <w:pPr>
                      <w:jc w:val="right"/>
                      <w:rPr>
                        <w:color w:val="FFFFFF"/>
                        <w:sz w:val="15"/>
                        <w:szCs w:val="15"/>
                      </w:rPr>
                    </w:pPr>
                    <w:r w:rsidRPr="00345210">
                      <w:rPr>
                        <w:rFonts w:hint="eastAsia"/>
                        <w:color w:val="FFFFFF"/>
                        <w:sz w:val="15"/>
                        <w:szCs w:val="15"/>
                      </w:rPr>
                      <w:t xml:space="preserve">　</w:t>
                    </w:r>
                  </w:p>
                </w:tc>
                <w:tc>
                  <w:tcPr>
                    <w:tcW w:w="709" w:type="dxa"/>
                    <w:vAlign w:val="center"/>
                  </w:tcPr>
                  <w:p w14:paraId="1947A576" w14:textId="77777777" w:rsidR="00471D53" w:rsidRPr="00345210" w:rsidRDefault="004F686E">
                    <w:pPr>
                      <w:jc w:val="right"/>
                      <w:rPr>
                        <w:color w:val="FFFFFF"/>
                        <w:sz w:val="15"/>
                        <w:szCs w:val="15"/>
                      </w:rPr>
                    </w:pPr>
                    <w:r w:rsidRPr="00345210">
                      <w:rPr>
                        <w:rFonts w:hint="eastAsia"/>
                        <w:color w:val="FFFFFF"/>
                        <w:sz w:val="15"/>
                        <w:szCs w:val="15"/>
                      </w:rPr>
                      <w:t xml:space="preserve">　</w:t>
                    </w:r>
                  </w:p>
                </w:tc>
                <w:tc>
                  <w:tcPr>
                    <w:tcW w:w="1276" w:type="dxa"/>
                    <w:vAlign w:val="center"/>
                  </w:tcPr>
                  <w:p w14:paraId="6CA34D80" w14:textId="41F04097" w:rsidR="00471D53" w:rsidRPr="00345210" w:rsidRDefault="004F686E">
                    <w:pPr>
                      <w:jc w:val="right"/>
                      <w:rPr>
                        <w:sz w:val="15"/>
                        <w:szCs w:val="15"/>
                      </w:rPr>
                    </w:pPr>
                    <w:r w:rsidRPr="00345210">
                      <w:rPr>
                        <w:rFonts w:hint="eastAsia"/>
                        <w:sz w:val="15"/>
                        <w:szCs w:val="15"/>
                      </w:rPr>
                      <w:t>38,071,282.24</w:t>
                    </w:r>
                  </w:p>
                </w:tc>
                <w:tc>
                  <w:tcPr>
                    <w:tcW w:w="1275" w:type="dxa"/>
                    <w:vAlign w:val="center"/>
                  </w:tcPr>
                  <w:p w14:paraId="4FE109BB" w14:textId="38EAA5B7" w:rsidR="00471D53" w:rsidRPr="00345210" w:rsidRDefault="004F686E">
                    <w:pPr>
                      <w:jc w:val="right"/>
                      <w:rPr>
                        <w:sz w:val="15"/>
                        <w:szCs w:val="15"/>
                      </w:rPr>
                    </w:pPr>
                    <w:r w:rsidRPr="00345210">
                      <w:rPr>
                        <w:rFonts w:hint="eastAsia"/>
                        <w:sz w:val="15"/>
                        <w:szCs w:val="15"/>
                      </w:rPr>
                      <w:t>-55,776,343.03</w:t>
                    </w:r>
                  </w:p>
                </w:tc>
                <w:tc>
                  <w:tcPr>
                    <w:tcW w:w="1543" w:type="dxa"/>
                    <w:vAlign w:val="center"/>
                  </w:tcPr>
                  <w:p w14:paraId="073F29DF" w14:textId="1CE4348D" w:rsidR="00471D53" w:rsidRPr="00345210" w:rsidRDefault="004F686E">
                    <w:pPr>
                      <w:jc w:val="right"/>
                      <w:rPr>
                        <w:sz w:val="15"/>
                        <w:szCs w:val="15"/>
                      </w:rPr>
                    </w:pPr>
                    <w:r w:rsidRPr="00345210">
                      <w:rPr>
                        <w:rFonts w:hint="eastAsia"/>
                        <w:sz w:val="15"/>
                        <w:szCs w:val="15"/>
                      </w:rPr>
                      <w:t>1,278,660,125.02</w:t>
                    </w:r>
                  </w:p>
                </w:tc>
              </w:tr>
              <w:tr w:rsidR="00471D53" w14:paraId="4CF8C36A" w14:textId="77777777" w:rsidTr="001279EE">
                <w:trPr>
                  <w:trHeight w:val="20"/>
                </w:trPr>
                <w:sdt>
                  <w:sdtPr>
                    <w:tag w:val="_PLD_4eea4cc259884a6ab5f2fe018aec3d4e"/>
                    <w:id w:val="1030072795"/>
                    <w:lock w:val="sdtLocked"/>
                  </w:sdtPr>
                  <w:sdtEndPr/>
                  <w:sdtContent>
                    <w:tc>
                      <w:tcPr>
                        <w:tcW w:w="2450" w:type="dxa"/>
                      </w:tcPr>
                      <w:p w14:paraId="3CFCBAE6" w14:textId="77777777" w:rsidR="00471D53" w:rsidRDefault="004F686E">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321" w:type="dxa"/>
                    <w:tcBorders>
                      <w:right w:val="single" w:sz="4" w:space="0" w:color="auto"/>
                    </w:tcBorders>
                    <w:vAlign w:val="center"/>
                  </w:tcPr>
                  <w:p w14:paraId="71902DF2" w14:textId="79C0BB3E" w:rsidR="00471D53" w:rsidRPr="00345210" w:rsidRDefault="004F686E">
                    <w:pPr>
                      <w:jc w:val="right"/>
                      <w:rPr>
                        <w:color w:val="FFFFFF"/>
                        <w:sz w:val="15"/>
                        <w:szCs w:val="15"/>
                      </w:rPr>
                    </w:pPr>
                    <w:r w:rsidRPr="00345210">
                      <w:rPr>
                        <w:rFonts w:hint="eastAsia"/>
                        <w:color w:val="FFFFFF"/>
                        <w:sz w:val="15"/>
                        <w:szCs w:val="15"/>
                      </w:rPr>
                      <w:t>0.00</w:t>
                    </w:r>
                  </w:p>
                </w:tc>
                <w:tc>
                  <w:tcPr>
                    <w:tcW w:w="807" w:type="dxa"/>
                    <w:tcBorders>
                      <w:left w:val="single" w:sz="4" w:space="0" w:color="auto"/>
                      <w:right w:val="single" w:sz="4" w:space="0" w:color="auto"/>
                    </w:tcBorders>
                    <w:vAlign w:val="center"/>
                  </w:tcPr>
                  <w:p w14:paraId="433F8A16" w14:textId="77777777" w:rsidR="00471D53" w:rsidRPr="00345210" w:rsidRDefault="004F686E">
                    <w:pPr>
                      <w:jc w:val="right"/>
                      <w:rPr>
                        <w:color w:val="FFFFFF"/>
                        <w:sz w:val="15"/>
                        <w:szCs w:val="15"/>
                      </w:rPr>
                    </w:pPr>
                    <w:r w:rsidRPr="00345210">
                      <w:rPr>
                        <w:rFonts w:hint="eastAsia"/>
                        <w:color w:val="FFFFFF"/>
                        <w:sz w:val="15"/>
                        <w:szCs w:val="15"/>
                      </w:rPr>
                      <w:t xml:space="preserve">　</w:t>
                    </w:r>
                  </w:p>
                </w:tc>
                <w:tc>
                  <w:tcPr>
                    <w:tcW w:w="894" w:type="dxa"/>
                    <w:tcBorders>
                      <w:left w:val="single" w:sz="4" w:space="0" w:color="auto"/>
                      <w:right w:val="single" w:sz="4" w:space="0" w:color="auto"/>
                    </w:tcBorders>
                    <w:vAlign w:val="center"/>
                  </w:tcPr>
                  <w:p w14:paraId="77A13A7E" w14:textId="77777777" w:rsidR="00471D53" w:rsidRPr="00345210" w:rsidRDefault="004F686E">
                    <w:pPr>
                      <w:jc w:val="right"/>
                      <w:rPr>
                        <w:color w:val="FFFFFF"/>
                        <w:sz w:val="15"/>
                        <w:szCs w:val="15"/>
                      </w:rPr>
                    </w:pPr>
                    <w:r w:rsidRPr="00345210">
                      <w:rPr>
                        <w:rFonts w:hint="eastAsia"/>
                        <w:color w:val="FFFFFF"/>
                        <w:sz w:val="15"/>
                        <w:szCs w:val="15"/>
                      </w:rPr>
                      <w:t xml:space="preserve">　</w:t>
                    </w:r>
                  </w:p>
                </w:tc>
                <w:tc>
                  <w:tcPr>
                    <w:tcW w:w="708" w:type="dxa"/>
                    <w:tcBorders>
                      <w:left w:val="single" w:sz="4" w:space="0" w:color="auto"/>
                    </w:tcBorders>
                    <w:vAlign w:val="center"/>
                  </w:tcPr>
                  <w:p w14:paraId="7F4DDF11" w14:textId="77777777" w:rsidR="00471D53" w:rsidRPr="00345210" w:rsidRDefault="004F686E">
                    <w:pPr>
                      <w:jc w:val="right"/>
                      <w:rPr>
                        <w:color w:val="FFFFFF"/>
                        <w:sz w:val="15"/>
                        <w:szCs w:val="15"/>
                      </w:rPr>
                    </w:pPr>
                    <w:r w:rsidRPr="00345210">
                      <w:rPr>
                        <w:rFonts w:hint="eastAsia"/>
                        <w:color w:val="FFFFFF"/>
                        <w:sz w:val="15"/>
                        <w:szCs w:val="15"/>
                      </w:rPr>
                      <w:t xml:space="preserve">　</w:t>
                    </w:r>
                  </w:p>
                </w:tc>
                <w:tc>
                  <w:tcPr>
                    <w:tcW w:w="1276" w:type="dxa"/>
                    <w:vAlign w:val="center"/>
                  </w:tcPr>
                  <w:p w14:paraId="69739392" w14:textId="71DC384D" w:rsidR="00471D53" w:rsidRPr="00345210" w:rsidRDefault="004F686E">
                    <w:pPr>
                      <w:jc w:val="right"/>
                      <w:rPr>
                        <w:color w:val="FFFFFF"/>
                        <w:sz w:val="15"/>
                        <w:szCs w:val="15"/>
                      </w:rPr>
                    </w:pPr>
                    <w:r w:rsidRPr="00345210">
                      <w:rPr>
                        <w:rFonts w:hint="eastAsia"/>
                        <w:color w:val="FFFFFF"/>
                        <w:sz w:val="15"/>
                        <w:szCs w:val="15"/>
                      </w:rPr>
                      <w:t>0.00</w:t>
                    </w:r>
                  </w:p>
                </w:tc>
                <w:tc>
                  <w:tcPr>
                    <w:tcW w:w="851" w:type="dxa"/>
                    <w:vAlign w:val="center"/>
                  </w:tcPr>
                  <w:p w14:paraId="11F146BF" w14:textId="77777777" w:rsidR="00471D53" w:rsidRPr="00345210" w:rsidRDefault="004F686E">
                    <w:pPr>
                      <w:jc w:val="right"/>
                      <w:rPr>
                        <w:color w:val="FFFFFF"/>
                        <w:sz w:val="15"/>
                        <w:szCs w:val="15"/>
                      </w:rPr>
                    </w:pPr>
                    <w:r w:rsidRPr="00345210">
                      <w:rPr>
                        <w:rFonts w:hint="eastAsia"/>
                        <w:color w:val="FFFFFF"/>
                        <w:sz w:val="15"/>
                        <w:szCs w:val="15"/>
                      </w:rPr>
                      <w:t xml:space="preserve">　</w:t>
                    </w:r>
                  </w:p>
                </w:tc>
                <w:tc>
                  <w:tcPr>
                    <w:tcW w:w="850" w:type="dxa"/>
                    <w:vAlign w:val="center"/>
                  </w:tcPr>
                  <w:p w14:paraId="7033C6C7" w14:textId="77777777" w:rsidR="00471D53" w:rsidRPr="00345210" w:rsidRDefault="004F686E">
                    <w:pPr>
                      <w:jc w:val="right"/>
                      <w:rPr>
                        <w:color w:val="FFFFFF"/>
                        <w:sz w:val="15"/>
                        <w:szCs w:val="15"/>
                      </w:rPr>
                    </w:pPr>
                    <w:r w:rsidRPr="00345210">
                      <w:rPr>
                        <w:rFonts w:hint="eastAsia"/>
                        <w:color w:val="FFFFFF"/>
                        <w:sz w:val="15"/>
                        <w:szCs w:val="15"/>
                      </w:rPr>
                      <w:t xml:space="preserve">　</w:t>
                    </w:r>
                  </w:p>
                </w:tc>
                <w:tc>
                  <w:tcPr>
                    <w:tcW w:w="709" w:type="dxa"/>
                    <w:vAlign w:val="center"/>
                  </w:tcPr>
                  <w:p w14:paraId="0D5DC5BE" w14:textId="77777777" w:rsidR="00471D53" w:rsidRPr="00345210" w:rsidRDefault="004F686E">
                    <w:pPr>
                      <w:jc w:val="right"/>
                      <w:rPr>
                        <w:color w:val="FFFFFF"/>
                        <w:sz w:val="15"/>
                        <w:szCs w:val="15"/>
                      </w:rPr>
                    </w:pPr>
                    <w:r w:rsidRPr="00345210">
                      <w:rPr>
                        <w:rFonts w:hint="eastAsia"/>
                        <w:color w:val="FFFFFF"/>
                        <w:sz w:val="15"/>
                        <w:szCs w:val="15"/>
                      </w:rPr>
                      <w:t xml:space="preserve">　</w:t>
                    </w:r>
                  </w:p>
                </w:tc>
                <w:tc>
                  <w:tcPr>
                    <w:tcW w:w="1276" w:type="dxa"/>
                    <w:vAlign w:val="center"/>
                  </w:tcPr>
                  <w:p w14:paraId="6177D0D4" w14:textId="77777777" w:rsidR="00471D53" w:rsidRPr="00345210" w:rsidRDefault="004F686E">
                    <w:pPr>
                      <w:jc w:val="right"/>
                      <w:rPr>
                        <w:color w:val="FFFFFF"/>
                        <w:sz w:val="15"/>
                        <w:szCs w:val="15"/>
                      </w:rPr>
                    </w:pPr>
                    <w:r w:rsidRPr="00345210">
                      <w:rPr>
                        <w:rFonts w:hint="eastAsia"/>
                        <w:color w:val="FFFFFF"/>
                        <w:sz w:val="15"/>
                        <w:szCs w:val="15"/>
                      </w:rPr>
                      <w:t xml:space="preserve">　</w:t>
                    </w:r>
                  </w:p>
                </w:tc>
                <w:tc>
                  <w:tcPr>
                    <w:tcW w:w="1275" w:type="dxa"/>
                    <w:vAlign w:val="center"/>
                  </w:tcPr>
                  <w:p w14:paraId="4C9347CE" w14:textId="2868C8B3" w:rsidR="00471D53" w:rsidRPr="00345210" w:rsidRDefault="004F686E">
                    <w:pPr>
                      <w:jc w:val="right"/>
                      <w:rPr>
                        <w:sz w:val="15"/>
                        <w:szCs w:val="15"/>
                      </w:rPr>
                    </w:pPr>
                    <w:r w:rsidRPr="00345210">
                      <w:rPr>
                        <w:rFonts w:hint="eastAsia"/>
                        <w:sz w:val="15"/>
                        <w:szCs w:val="15"/>
                      </w:rPr>
                      <w:t>-5,279,718.89</w:t>
                    </w:r>
                  </w:p>
                </w:tc>
                <w:tc>
                  <w:tcPr>
                    <w:tcW w:w="1543" w:type="dxa"/>
                    <w:vAlign w:val="center"/>
                  </w:tcPr>
                  <w:p w14:paraId="49368E2A" w14:textId="56E85610" w:rsidR="00471D53" w:rsidRPr="00345210" w:rsidRDefault="004F686E">
                    <w:pPr>
                      <w:jc w:val="right"/>
                      <w:rPr>
                        <w:sz w:val="15"/>
                        <w:szCs w:val="15"/>
                      </w:rPr>
                    </w:pPr>
                    <w:r w:rsidRPr="00345210">
                      <w:rPr>
                        <w:rFonts w:hint="eastAsia"/>
                        <w:sz w:val="15"/>
                        <w:szCs w:val="15"/>
                      </w:rPr>
                      <w:t>-5,279,718.89</w:t>
                    </w:r>
                  </w:p>
                </w:tc>
              </w:tr>
              <w:tr w:rsidR="00471D53" w14:paraId="0BB0244B" w14:textId="77777777" w:rsidTr="001279EE">
                <w:trPr>
                  <w:trHeight w:val="20"/>
                </w:trPr>
                <w:sdt>
                  <w:sdtPr>
                    <w:tag w:val="_PLD_c2eb317db9474ea9b9513a40ba81d9f7"/>
                    <w:id w:val="-1740248621"/>
                    <w:lock w:val="sdtLocked"/>
                  </w:sdtPr>
                  <w:sdtEndPr/>
                  <w:sdtContent>
                    <w:tc>
                      <w:tcPr>
                        <w:tcW w:w="2450" w:type="dxa"/>
                      </w:tcPr>
                      <w:p w14:paraId="7E6D9165" w14:textId="77777777" w:rsidR="00471D53" w:rsidRDefault="004F686E">
                        <w:pPr>
                          <w:rPr>
                            <w:sz w:val="18"/>
                            <w:szCs w:val="18"/>
                          </w:rPr>
                        </w:pPr>
                        <w:r>
                          <w:rPr>
                            <w:rFonts w:hint="eastAsia"/>
                            <w:sz w:val="18"/>
                            <w:szCs w:val="18"/>
                          </w:rPr>
                          <w:t>（一）综合收益总额</w:t>
                        </w:r>
                      </w:p>
                    </w:tc>
                  </w:sdtContent>
                </w:sdt>
                <w:tc>
                  <w:tcPr>
                    <w:tcW w:w="1321" w:type="dxa"/>
                    <w:tcBorders>
                      <w:right w:val="single" w:sz="4" w:space="0" w:color="auto"/>
                    </w:tcBorders>
                    <w:vAlign w:val="center"/>
                  </w:tcPr>
                  <w:p w14:paraId="32097F11" w14:textId="77777777" w:rsidR="00471D53" w:rsidRPr="00345210" w:rsidRDefault="004F686E">
                    <w:pPr>
                      <w:jc w:val="right"/>
                      <w:rPr>
                        <w:color w:val="FFFFFF"/>
                        <w:sz w:val="15"/>
                        <w:szCs w:val="15"/>
                      </w:rPr>
                    </w:pPr>
                    <w:r w:rsidRPr="00345210">
                      <w:rPr>
                        <w:rFonts w:hint="eastAsia"/>
                        <w:color w:val="FFFFFF"/>
                        <w:sz w:val="15"/>
                        <w:szCs w:val="15"/>
                      </w:rPr>
                      <w:t xml:space="preserve">　</w:t>
                    </w:r>
                  </w:p>
                </w:tc>
                <w:tc>
                  <w:tcPr>
                    <w:tcW w:w="807" w:type="dxa"/>
                    <w:tcBorders>
                      <w:left w:val="single" w:sz="4" w:space="0" w:color="auto"/>
                      <w:right w:val="single" w:sz="4" w:space="0" w:color="auto"/>
                    </w:tcBorders>
                    <w:vAlign w:val="center"/>
                  </w:tcPr>
                  <w:p w14:paraId="315C89EA" w14:textId="77777777" w:rsidR="00471D53" w:rsidRPr="00345210" w:rsidRDefault="004F686E">
                    <w:pPr>
                      <w:jc w:val="right"/>
                      <w:rPr>
                        <w:color w:val="FFFFFF"/>
                        <w:sz w:val="15"/>
                        <w:szCs w:val="15"/>
                      </w:rPr>
                    </w:pPr>
                    <w:r w:rsidRPr="00345210">
                      <w:rPr>
                        <w:rFonts w:hint="eastAsia"/>
                        <w:color w:val="FFFFFF"/>
                        <w:sz w:val="15"/>
                        <w:szCs w:val="15"/>
                      </w:rPr>
                      <w:t xml:space="preserve">　</w:t>
                    </w:r>
                  </w:p>
                </w:tc>
                <w:tc>
                  <w:tcPr>
                    <w:tcW w:w="894" w:type="dxa"/>
                    <w:tcBorders>
                      <w:left w:val="single" w:sz="4" w:space="0" w:color="auto"/>
                      <w:right w:val="single" w:sz="4" w:space="0" w:color="auto"/>
                    </w:tcBorders>
                    <w:vAlign w:val="center"/>
                  </w:tcPr>
                  <w:p w14:paraId="4623AE93" w14:textId="77777777" w:rsidR="00471D53" w:rsidRPr="00345210" w:rsidRDefault="004F686E">
                    <w:pPr>
                      <w:jc w:val="right"/>
                      <w:rPr>
                        <w:color w:val="FFFFFF"/>
                        <w:sz w:val="15"/>
                        <w:szCs w:val="15"/>
                      </w:rPr>
                    </w:pPr>
                    <w:r w:rsidRPr="00345210">
                      <w:rPr>
                        <w:rFonts w:hint="eastAsia"/>
                        <w:color w:val="FFFFFF"/>
                        <w:sz w:val="15"/>
                        <w:szCs w:val="15"/>
                      </w:rPr>
                      <w:t xml:space="preserve">　</w:t>
                    </w:r>
                  </w:p>
                </w:tc>
                <w:tc>
                  <w:tcPr>
                    <w:tcW w:w="708" w:type="dxa"/>
                    <w:tcBorders>
                      <w:left w:val="single" w:sz="4" w:space="0" w:color="auto"/>
                    </w:tcBorders>
                    <w:vAlign w:val="center"/>
                  </w:tcPr>
                  <w:p w14:paraId="61ED0BB3" w14:textId="77777777" w:rsidR="00471D53" w:rsidRPr="00345210" w:rsidRDefault="004F686E">
                    <w:pPr>
                      <w:jc w:val="right"/>
                      <w:rPr>
                        <w:color w:val="FFFFFF"/>
                        <w:sz w:val="15"/>
                        <w:szCs w:val="15"/>
                      </w:rPr>
                    </w:pPr>
                    <w:r w:rsidRPr="00345210">
                      <w:rPr>
                        <w:rFonts w:hint="eastAsia"/>
                        <w:color w:val="FFFFFF"/>
                        <w:sz w:val="15"/>
                        <w:szCs w:val="15"/>
                      </w:rPr>
                      <w:t xml:space="preserve">　</w:t>
                    </w:r>
                  </w:p>
                </w:tc>
                <w:tc>
                  <w:tcPr>
                    <w:tcW w:w="1276" w:type="dxa"/>
                    <w:vAlign w:val="center"/>
                  </w:tcPr>
                  <w:p w14:paraId="5DE6CB1C" w14:textId="77777777" w:rsidR="00471D53" w:rsidRPr="00345210" w:rsidRDefault="004F686E">
                    <w:pPr>
                      <w:jc w:val="right"/>
                      <w:rPr>
                        <w:color w:val="FFFFFF"/>
                        <w:sz w:val="15"/>
                        <w:szCs w:val="15"/>
                      </w:rPr>
                    </w:pPr>
                    <w:r w:rsidRPr="00345210">
                      <w:rPr>
                        <w:rFonts w:hint="eastAsia"/>
                        <w:color w:val="FFFFFF"/>
                        <w:sz w:val="15"/>
                        <w:szCs w:val="15"/>
                      </w:rPr>
                      <w:t xml:space="preserve">　</w:t>
                    </w:r>
                  </w:p>
                </w:tc>
                <w:tc>
                  <w:tcPr>
                    <w:tcW w:w="851" w:type="dxa"/>
                    <w:vAlign w:val="center"/>
                  </w:tcPr>
                  <w:p w14:paraId="7A0ADF63" w14:textId="77777777" w:rsidR="00471D53" w:rsidRPr="00345210" w:rsidRDefault="004F686E">
                    <w:pPr>
                      <w:jc w:val="right"/>
                      <w:rPr>
                        <w:color w:val="FFFFFF"/>
                        <w:sz w:val="15"/>
                        <w:szCs w:val="15"/>
                      </w:rPr>
                    </w:pPr>
                    <w:r w:rsidRPr="00345210">
                      <w:rPr>
                        <w:rFonts w:hint="eastAsia"/>
                        <w:color w:val="FFFFFF"/>
                        <w:sz w:val="15"/>
                        <w:szCs w:val="15"/>
                      </w:rPr>
                      <w:t xml:space="preserve">　</w:t>
                    </w:r>
                  </w:p>
                </w:tc>
                <w:tc>
                  <w:tcPr>
                    <w:tcW w:w="850" w:type="dxa"/>
                    <w:vAlign w:val="center"/>
                  </w:tcPr>
                  <w:p w14:paraId="0E28E097" w14:textId="77777777" w:rsidR="00471D53" w:rsidRPr="00345210" w:rsidRDefault="004F686E">
                    <w:pPr>
                      <w:jc w:val="right"/>
                      <w:rPr>
                        <w:color w:val="FFFFFF"/>
                        <w:sz w:val="15"/>
                        <w:szCs w:val="15"/>
                      </w:rPr>
                    </w:pPr>
                    <w:r w:rsidRPr="00345210">
                      <w:rPr>
                        <w:rFonts w:hint="eastAsia"/>
                        <w:color w:val="FFFFFF"/>
                        <w:sz w:val="15"/>
                        <w:szCs w:val="15"/>
                      </w:rPr>
                      <w:t xml:space="preserve">　</w:t>
                    </w:r>
                  </w:p>
                </w:tc>
                <w:tc>
                  <w:tcPr>
                    <w:tcW w:w="709" w:type="dxa"/>
                    <w:vAlign w:val="center"/>
                  </w:tcPr>
                  <w:p w14:paraId="513CABA4" w14:textId="77777777" w:rsidR="00471D53" w:rsidRPr="00345210" w:rsidRDefault="004F686E">
                    <w:pPr>
                      <w:jc w:val="right"/>
                      <w:rPr>
                        <w:color w:val="FFFFFF"/>
                        <w:sz w:val="15"/>
                        <w:szCs w:val="15"/>
                      </w:rPr>
                    </w:pPr>
                    <w:r w:rsidRPr="00345210">
                      <w:rPr>
                        <w:rFonts w:hint="eastAsia"/>
                        <w:color w:val="FFFFFF"/>
                        <w:sz w:val="15"/>
                        <w:szCs w:val="15"/>
                      </w:rPr>
                      <w:t xml:space="preserve">　</w:t>
                    </w:r>
                  </w:p>
                </w:tc>
                <w:tc>
                  <w:tcPr>
                    <w:tcW w:w="1276" w:type="dxa"/>
                    <w:vAlign w:val="center"/>
                  </w:tcPr>
                  <w:p w14:paraId="1F91818E" w14:textId="77777777" w:rsidR="00471D53" w:rsidRPr="00345210" w:rsidRDefault="004F686E">
                    <w:pPr>
                      <w:jc w:val="right"/>
                      <w:rPr>
                        <w:color w:val="FFFFFF"/>
                        <w:sz w:val="15"/>
                        <w:szCs w:val="15"/>
                      </w:rPr>
                    </w:pPr>
                    <w:r w:rsidRPr="00345210">
                      <w:rPr>
                        <w:rFonts w:hint="eastAsia"/>
                        <w:color w:val="FFFFFF"/>
                        <w:sz w:val="15"/>
                        <w:szCs w:val="15"/>
                      </w:rPr>
                      <w:t xml:space="preserve">　</w:t>
                    </w:r>
                  </w:p>
                </w:tc>
                <w:tc>
                  <w:tcPr>
                    <w:tcW w:w="1275" w:type="dxa"/>
                    <w:vAlign w:val="center"/>
                  </w:tcPr>
                  <w:p w14:paraId="2C23E94C" w14:textId="2A3A9841" w:rsidR="00471D53" w:rsidRPr="00345210" w:rsidRDefault="004F686E">
                    <w:pPr>
                      <w:jc w:val="right"/>
                      <w:rPr>
                        <w:sz w:val="15"/>
                        <w:szCs w:val="15"/>
                      </w:rPr>
                    </w:pPr>
                    <w:r w:rsidRPr="00345210">
                      <w:rPr>
                        <w:rFonts w:hint="eastAsia"/>
                        <w:sz w:val="15"/>
                        <w:szCs w:val="15"/>
                      </w:rPr>
                      <w:t>-5,279,718.89</w:t>
                    </w:r>
                  </w:p>
                </w:tc>
                <w:tc>
                  <w:tcPr>
                    <w:tcW w:w="1543" w:type="dxa"/>
                    <w:vAlign w:val="center"/>
                  </w:tcPr>
                  <w:p w14:paraId="78B9D1BC" w14:textId="24EFB36E" w:rsidR="00471D53" w:rsidRPr="00345210" w:rsidRDefault="004F686E">
                    <w:pPr>
                      <w:jc w:val="right"/>
                      <w:rPr>
                        <w:sz w:val="15"/>
                        <w:szCs w:val="15"/>
                      </w:rPr>
                    </w:pPr>
                    <w:r w:rsidRPr="00345210">
                      <w:rPr>
                        <w:rFonts w:hint="eastAsia"/>
                        <w:sz w:val="15"/>
                        <w:szCs w:val="15"/>
                      </w:rPr>
                      <w:t>-5,279,718.89</w:t>
                    </w:r>
                  </w:p>
                </w:tc>
              </w:tr>
              <w:tr w:rsidR="00471D53" w14:paraId="32C1A8BA" w14:textId="77777777" w:rsidTr="001279EE">
                <w:trPr>
                  <w:trHeight w:val="20"/>
                </w:trPr>
                <w:sdt>
                  <w:sdtPr>
                    <w:tag w:val="_PLD_2c2c42255e12419d81111ac5d28c5859"/>
                    <w:id w:val="-1406145576"/>
                    <w:lock w:val="sdtLocked"/>
                  </w:sdtPr>
                  <w:sdtEndPr/>
                  <w:sdtContent>
                    <w:tc>
                      <w:tcPr>
                        <w:tcW w:w="2450" w:type="dxa"/>
                      </w:tcPr>
                      <w:p w14:paraId="7F6D029F" w14:textId="77777777" w:rsidR="00471D53" w:rsidRDefault="004F686E">
                        <w:pPr>
                          <w:rPr>
                            <w:sz w:val="18"/>
                            <w:szCs w:val="18"/>
                          </w:rPr>
                        </w:pPr>
                        <w:r>
                          <w:rPr>
                            <w:sz w:val="18"/>
                            <w:szCs w:val="18"/>
                          </w:rPr>
                          <w:t>（</w:t>
                        </w:r>
                        <w:r>
                          <w:rPr>
                            <w:rFonts w:hint="eastAsia"/>
                            <w:sz w:val="18"/>
                            <w:szCs w:val="18"/>
                          </w:rPr>
                          <w:t>二</w:t>
                        </w:r>
                        <w:r>
                          <w:rPr>
                            <w:sz w:val="18"/>
                            <w:szCs w:val="18"/>
                          </w:rPr>
                          <w:t>）所有者投入和减少资本</w:t>
                        </w:r>
                      </w:p>
                    </w:tc>
                  </w:sdtContent>
                </w:sdt>
                <w:tc>
                  <w:tcPr>
                    <w:tcW w:w="1321" w:type="dxa"/>
                    <w:tcBorders>
                      <w:right w:val="single" w:sz="4" w:space="0" w:color="auto"/>
                    </w:tcBorders>
                  </w:tcPr>
                  <w:p w14:paraId="3326D547" w14:textId="77777777" w:rsidR="00471D53" w:rsidRDefault="00B664AF">
                    <w:pPr>
                      <w:jc w:val="right"/>
                      <w:rPr>
                        <w:sz w:val="18"/>
                        <w:szCs w:val="18"/>
                      </w:rPr>
                    </w:pPr>
                  </w:p>
                </w:tc>
                <w:tc>
                  <w:tcPr>
                    <w:tcW w:w="807" w:type="dxa"/>
                    <w:tcBorders>
                      <w:left w:val="single" w:sz="4" w:space="0" w:color="auto"/>
                      <w:right w:val="single" w:sz="4" w:space="0" w:color="auto"/>
                    </w:tcBorders>
                  </w:tcPr>
                  <w:p w14:paraId="73D0DE54" w14:textId="77777777" w:rsidR="00471D53" w:rsidRDefault="00B664AF">
                    <w:pPr>
                      <w:jc w:val="right"/>
                      <w:rPr>
                        <w:sz w:val="18"/>
                        <w:szCs w:val="18"/>
                      </w:rPr>
                    </w:pPr>
                  </w:p>
                </w:tc>
                <w:tc>
                  <w:tcPr>
                    <w:tcW w:w="894" w:type="dxa"/>
                    <w:tcBorders>
                      <w:left w:val="single" w:sz="4" w:space="0" w:color="auto"/>
                      <w:right w:val="single" w:sz="4" w:space="0" w:color="auto"/>
                    </w:tcBorders>
                  </w:tcPr>
                  <w:p w14:paraId="2EEE3F0B" w14:textId="77777777" w:rsidR="00471D53" w:rsidRDefault="00B664AF">
                    <w:pPr>
                      <w:jc w:val="right"/>
                      <w:rPr>
                        <w:sz w:val="18"/>
                        <w:szCs w:val="18"/>
                      </w:rPr>
                    </w:pPr>
                  </w:p>
                </w:tc>
                <w:tc>
                  <w:tcPr>
                    <w:tcW w:w="708" w:type="dxa"/>
                    <w:tcBorders>
                      <w:left w:val="single" w:sz="4" w:space="0" w:color="auto"/>
                    </w:tcBorders>
                  </w:tcPr>
                  <w:p w14:paraId="04F54CA9" w14:textId="77777777" w:rsidR="00471D53" w:rsidRDefault="00B664AF">
                    <w:pPr>
                      <w:jc w:val="right"/>
                      <w:rPr>
                        <w:sz w:val="18"/>
                        <w:szCs w:val="18"/>
                      </w:rPr>
                    </w:pPr>
                  </w:p>
                </w:tc>
                <w:tc>
                  <w:tcPr>
                    <w:tcW w:w="1276" w:type="dxa"/>
                  </w:tcPr>
                  <w:p w14:paraId="518AA3B2" w14:textId="77777777" w:rsidR="00471D53" w:rsidRDefault="00B664AF">
                    <w:pPr>
                      <w:jc w:val="right"/>
                      <w:rPr>
                        <w:sz w:val="18"/>
                        <w:szCs w:val="18"/>
                      </w:rPr>
                    </w:pPr>
                  </w:p>
                </w:tc>
                <w:tc>
                  <w:tcPr>
                    <w:tcW w:w="851" w:type="dxa"/>
                  </w:tcPr>
                  <w:p w14:paraId="4EB6B543" w14:textId="77777777" w:rsidR="00471D53" w:rsidRDefault="00B664AF">
                    <w:pPr>
                      <w:jc w:val="right"/>
                      <w:rPr>
                        <w:sz w:val="18"/>
                        <w:szCs w:val="18"/>
                      </w:rPr>
                    </w:pPr>
                  </w:p>
                </w:tc>
                <w:tc>
                  <w:tcPr>
                    <w:tcW w:w="850" w:type="dxa"/>
                  </w:tcPr>
                  <w:p w14:paraId="52549DC3" w14:textId="77777777" w:rsidR="00471D53" w:rsidRDefault="00B664AF">
                    <w:pPr>
                      <w:jc w:val="right"/>
                      <w:rPr>
                        <w:sz w:val="18"/>
                        <w:szCs w:val="18"/>
                      </w:rPr>
                    </w:pPr>
                  </w:p>
                </w:tc>
                <w:tc>
                  <w:tcPr>
                    <w:tcW w:w="709" w:type="dxa"/>
                  </w:tcPr>
                  <w:p w14:paraId="13351430" w14:textId="77777777" w:rsidR="00471D53" w:rsidRDefault="00B664AF">
                    <w:pPr>
                      <w:jc w:val="right"/>
                      <w:rPr>
                        <w:sz w:val="18"/>
                        <w:szCs w:val="18"/>
                      </w:rPr>
                    </w:pPr>
                  </w:p>
                </w:tc>
                <w:tc>
                  <w:tcPr>
                    <w:tcW w:w="1276" w:type="dxa"/>
                  </w:tcPr>
                  <w:p w14:paraId="765440D0" w14:textId="77777777" w:rsidR="00471D53" w:rsidRDefault="00B664AF">
                    <w:pPr>
                      <w:jc w:val="right"/>
                      <w:rPr>
                        <w:sz w:val="18"/>
                        <w:szCs w:val="18"/>
                      </w:rPr>
                    </w:pPr>
                  </w:p>
                </w:tc>
                <w:tc>
                  <w:tcPr>
                    <w:tcW w:w="1275" w:type="dxa"/>
                  </w:tcPr>
                  <w:p w14:paraId="1947616D" w14:textId="77777777" w:rsidR="00471D53" w:rsidRDefault="00B664AF">
                    <w:pPr>
                      <w:jc w:val="right"/>
                      <w:rPr>
                        <w:sz w:val="18"/>
                        <w:szCs w:val="18"/>
                      </w:rPr>
                    </w:pPr>
                  </w:p>
                </w:tc>
                <w:tc>
                  <w:tcPr>
                    <w:tcW w:w="1543" w:type="dxa"/>
                  </w:tcPr>
                  <w:p w14:paraId="627161CC" w14:textId="77777777" w:rsidR="00471D53" w:rsidRDefault="00B664AF">
                    <w:pPr>
                      <w:jc w:val="right"/>
                      <w:rPr>
                        <w:sz w:val="18"/>
                        <w:szCs w:val="18"/>
                      </w:rPr>
                    </w:pPr>
                  </w:p>
                </w:tc>
              </w:tr>
              <w:tr w:rsidR="00471D53" w14:paraId="70C46044" w14:textId="77777777" w:rsidTr="001279EE">
                <w:trPr>
                  <w:trHeight w:val="20"/>
                </w:trPr>
                <w:sdt>
                  <w:sdtPr>
                    <w:tag w:val="_PLD_ced9c335ab0c4ec8b683bd42730e309b"/>
                    <w:id w:val="935484957"/>
                    <w:lock w:val="sdtLocked"/>
                  </w:sdtPr>
                  <w:sdtEndPr/>
                  <w:sdtContent>
                    <w:tc>
                      <w:tcPr>
                        <w:tcW w:w="2450" w:type="dxa"/>
                      </w:tcPr>
                      <w:p w14:paraId="4A72A456" w14:textId="77777777" w:rsidR="00471D53" w:rsidRDefault="004F686E">
                        <w:pPr>
                          <w:rPr>
                            <w:sz w:val="18"/>
                            <w:szCs w:val="18"/>
                          </w:rPr>
                        </w:pPr>
                        <w:r>
                          <w:rPr>
                            <w:rFonts w:hint="eastAsia"/>
                            <w:sz w:val="18"/>
                            <w:szCs w:val="18"/>
                          </w:rPr>
                          <w:t>1．所有者投入的普通股</w:t>
                        </w:r>
                      </w:p>
                    </w:tc>
                  </w:sdtContent>
                </w:sdt>
                <w:tc>
                  <w:tcPr>
                    <w:tcW w:w="1321" w:type="dxa"/>
                    <w:tcBorders>
                      <w:right w:val="single" w:sz="4" w:space="0" w:color="auto"/>
                    </w:tcBorders>
                  </w:tcPr>
                  <w:p w14:paraId="47667BFA" w14:textId="77777777" w:rsidR="00471D53" w:rsidRDefault="00B664AF">
                    <w:pPr>
                      <w:jc w:val="right"/>
                      <w:rPr>
                        <w:sz w:val="18"/>
                        <w:szCs w:val="18"/>
                      </w:rPr>
                    </w:pPr>
                  </w:p>
                </w:tc>
                <w:tc>
                  <w:tcPr>
                    <w:tcW w:w="807" w:type="dxa"/>
                    <w:tcBorders>
                      <w:left w:val="single" w:sz="4" w:space="0" w:color="auto"/>
                      <w:right w:val="single" w:sz="4" w:space="0" w:color="auto"/>
                    </w:tcBorders>
                  </w:tcPr>
                  <w:p w14:paraId="41AF0940" w14:textId="77777777" w:rsidR="00471D53" w:rsidRDefault="00B664AF">
                    <w:pPr>
                      <w:jc w:val="right"/>
                      <w:rPr>
                        <w:sz w:val="18"/>
                        <w:szCs w:val="18"/>
                      </w:rPr>
                    </w:pPr>
                  </w:p>
                </w:tc>
                <w:tc>
                  <w:tcPr>
                    <w:tcW w:w="894" w:type="dxa"/>
                    <w:tcBorders>
                      <w:left w:val="single" w:sz="4" w:space="0" w:color="auto"/>
                      <w:right w:val="single" w:sz="4" w:space="0" w:color="auto"/>
                    </w:tcBorders>
                  </w:tcPr>
                  <w:p w14:paraId="7302B783" w14:textId="77777777" w:rsidR="00471D53" w:rsidRDefault="00B664AF">
                    <w:pPr>
                      <w:jc w:val="right"/>
                      <w:rPr>
                        <w:sz w:val="18"/>
                        <w:szCs w:val="18"/>
                      </w:rPr>
                    </w:pPr>
                  </w:p>
                </w:tc>
                <w:tc>
                  <w:tcPr>
                    <w:tcW w:w="708" w:type="dxa"/>
                    <w:tcBorders>
                      <w:left w:val="single" w:sz="4" w:space="0" w:color="auto"/>
                    </w:tcBorders>
                  </w:tcPr>
                  <w:p w14:paraId="4A46FF92" w14:textId="77777777" w:rsidR="00471D53" w:rsidRDefault="00B664AF">
                    <w:pPr>
                      <w:jc w:val="right"/>
                      <w:rPr>
                        <w:sz w:val="18"/>
                        <w:szCs w:val="18"/>
                      </w:rPr>
                    </w:pPr>
                  </w:p>
                </w:tc>
                <w:tc>
                  <w:tcPr>
                    <w:tcW w:w="1276" w:type="dxa"/>
                  </w:tcPr>
                  <w:p w14:paraId="20C75BEF" w14:textId="77777777" w:rsidR="00471D53" w:rsidRDefault="00B664AF">
                    <w:pPr>
                      <w:jc w:val="right"/>
                      <w:rPr>
                        <w:sz w:val="18"/>
                        <w:szCs w:val="18"/>
                      </w:rPr>
                    </w:pPr>
                  </w:p>
                </w:tc>
                <w:tc>
                  <w:tcPr>
                    <w:tcW w:w="851" w:type="dxa"/>
                  </w:tcPr>
                  <w:p w14:paraId="1B1E95C6" w14:textId="77777777" w:rsidR="00471D53" w:rsidRDefault="00B664AF">
                    <w:pPr>
                      <w:jc w:val="right"/>
                      <w:rPr>
                        <w:sz w:val="18"/>
                        <w:szCs w:val="18"/>
                      </w:rPr>
                    </w:pPr>
                  </w:p>
                </w:tc>
                <w:tc>
                  <w:tcPr>
                    <w:tcW w:w="850" w:type="dxa"/>
                  </w:tcPr>
                  <w:p w14:paraId="7F649E60" w14:textId="77777777" w:rsidR="00471D53" w:rsidRDefault="00B664AF">
                    <w:pPr>
                      <w:jc w:val="right"/>
                      <w:rPr>
                        <w:sz w:val="18"/>
                        <w:szCs w:val="18"/>
                      </w:rPr>
                    </w:pPr>
                  </w:p>
                </w:tc>
                <w:tc>
                  <w:tcPr>
                    <w:tcW w:w="709" w:type="dxa"/>
                  </w:tcPr>
                  <w:p w14:paraId="521CB3B9" w14:textId="77777777" w:rsidR="00471D53" w:rsidRDefault="00B664AF">
                    <w:pPr>
                      <w:jc w:val="right"/>
                      <w:rPr>
                        <w:sz w:val="18"/>
                        <w:szCs w:val="18"/>
                      </w:rPr>
                    </w:pPr>
                  </w:p>
                </w:tc>
                <w:tc>
                  <w:tcPr>
                    <w:tcW w:w="1276" w:type="dxa"/>
                  </w:tcPr>
                  <w:p w14:paraId="32279AF2" w14:textId="77777777" w:rsidR="00471D53" w:rsidRDefault="00B664AF">
                    <w:pPr>
                      <w:jc w:val="right"/>
                      <w:rPr>
                        <w:sz w:val="18"/>
                        <w:szCs w:val="18"/>
                      </w:rPr>
                    </w:pPr>
                  </w:p>
                </w:tc>
                <w:tc>
                  <w:tcPr>
                    <w:tcW w:w="1275" w:type="dxa"/>
                  </w:tcPr>
                  <w:p w14:paraId="34700E7B" w14:textId="77777777" w:rsidR="00471D53" w:rsidRDefault="00B664AF">
                    <w:pPr>
                      <w:jc w:val="right"/>
                      <w:rPr>
                        <w:sz w:val="18"/>
                        <w:szCs w:val="18"/>
                      </w:rPr>
                    </w:pPr>
                  </w:p>
                </w:tc>
                <w:tc>
                  <w:tcPr>
                    <w:tcW w:w="1543" w:type="dxa"/>
                  </w:tcPr>
                  <w:p w14:paraId="49E852FC" w14:textId="77777777" w:rsidR="00471D53" w:rsidRDefault="00B664AF">
                    <w:pPr>
                      <w:jc w:val="right"/>
                      <w:rPr>
                        <w:sz w:val="18"/>
                        <w:szCs w:val="18"/>
                      </w:rPr>
                    </w:pPr>
                  </w:p>
                </w:tc>
              </w:tr>
              <w:tr w:rsidR="00471D53" w14:paraId="7B1A174A" w14:textId="77777777" w:rsidTr="001279EE">
                <w:trPr>
                  <w:trHeight w:val="20"/>
                </w:trPr>
                <w:sdt>
                  <w:sdtPr>
                    <w:tag w:val="_PLD_5db7714c048b45cb8fc2f783898126a2"/>
                    <w:id w:val="-422181125"/>
                    <w:lock w:val="sdtLocked"/>
                  </w:sdtPr>
                  <w:sdtEndPr/>
                  <w:sdtContent>
                    <w:tc>
                      <w:tcPr>
                        <w:tcW w:w="2450" w:type="dxa"/>
                      </w:tcPr>
                      <w:p w14:paraId="38ADFEEC" w14:textId="77777777" w:rsidR="00471D53" w:rsidRDefault="004F686E">
                        <w:pPr>
                          <w:rPr>
                            <w:sz w:val="18"/>
                            <w:szCs w:val="18"/>
                          </w:rPr>
                        </w:pPr>
                        <w:r>
                          <w:rPr>
                            <w:rFonts w:hint="eastAsia"/>
                            <w:sz w:val="18"/>
                            <w:szCs w:val="18"/>
                          </w:rPr>
                          <w:t>2．其他权益工具持有者投入资本</w:t>
                        </w:r>
                      </w:p>
                    </w:tc>
                  </w:sdtContent>
                </w:sdt>
                <w:tc>
                  <w:tcPr>
                    <w:tcW w:w="1321" w:type="dxa"/>
                    <w:tcBorders>
                      <w:right w:val="single" w:sz="4" w:space="0" w:color="auto"/>
                    </w:tcBorders>
                  </w:tcPr>
                  <w:p w14:paraId="14BC095C" w14:textId="77777777" w:rsidR="00471D53" w:rsidRDefault="00B664AF">
                    <w:pPr>
                      <w:jc w:val="right"/>
                      <w:rPr>
                        <w:sz w:val="18"/>
                        <w:szCs w:val="18"/>
                      </w:rPr>
                    </w:pPr>
                  </w:p>
                </w:tc>
                <w:tc>
                  <w:tcPr>
                    <w:tcW w:w="807" w:type="dxa"/>
                    <w:tcBorders>
                      <w:left w:val="single" w:sz="4" w:space="0" w:color="auto"/>
                      <w:right w:val="single" w:sz="4" w:space="0" w:color="auto"/>
                    </w:tcBorders>
                  </w:tcPr>
                  <w:p w14:paraId="0CBFDBC0" w14:textId="77777777" w:rsidR="00471D53" w:rsidRDefault="00B664AF">
                    <w:pPr>
                      <w:jc w:val="right"/>
                      <w:rPr>
                        <w:sz w:val="18"/>
                        <w:szCs w:val="18"/>
                      </w:rPr>
                    </w:pPr>
                  </w:p>
                </w:tc>
                <w:tc>
                  <w:tcPr>
                    <w:tcW w:w="894" w:type="dxa"/>
                    <w:tcBorders>
                      <w:left w:val="single" w:sz="4" w:space="0" w:color="auto"/>
                      <w:right w:val="single" w:sz="4" w:space="0" w:color="auto"/>
                    </w:tcBorders>
                  </w:tcPr>
                  <w:p w14:paraId="375E199C" w14:textId="77777777" w:rsidR="00471D53" w:rsidRDefault="00B664AF">
                    <w:pPr>
                      <w:jc w:val="right"/>
                      <w:rPr>
                        <w:sz w:val="18"/>
                        <w:szCs w:val="18"/>
                      </w:rPr>
                    </w:pPr>
                  </w:p>
                </w:tc>
                <w:tc>
                  <w:tcPr>
                    <w:tcW w:w="708" w:type="dxa"/>
                    <w:tcBorders>
                      <w:left w:val="single" w:sz="4" w:space="0" w:color="auto"/>
                    </w:tcBorders>
                  </w:tcPr>
                  <w:p w14:paraId="30094CBD" w14:textId="77777777" w:rsidR="00471D53" w:rsidRDefault="00B664AF">
                    <w:pPr>
                      <w:jc w:val="right"/>
                      <w:rPr>
                        <w:sz w:val="18"/>
                        <w:szCs w:val="18"/>
                      </w:rPr>
                    </w:pPr>
                  </w:p>
                </w:tc>
                <w:tc>
                  <w:tcPr>
                    <w:tcW w:w="1276" w:type="dxa"/>
                  </w:tcPr>
                  <w:p w14:paraId="6FD1CB0B" w14:textId="77777777" w:rsidR="00471D53" w:rsidRDefault="00B664AF">
                    <w:pPr>
                      <w:jc w:val="right"/>
                      <w:rPr>
                        <w:sz w:val="18"/>
                        <w:szCs w:val="18"/>
                      </w:rPr>
                    </w:pPr>
                  </w:p>
                </w:tc>
                <w:tc>
                  <w:tcPr>
                    <w:tcW w:w="851" w:type="dxa"/>
                  </w:tcPr>
                  <w:p w14:paraId="5E6763C6" w14:textId="77777777" w:rsidR="00471D53" w:rsidRDefault="00B664AF">
                    <w:pPr>
                      <w:jc w:val="right"/>
                      <w:rPr>
                        <w:sz w:val="18"/>
                        <w:szCs w:val="18"/>
                      </w:rPr>
                    </w:pPr>
                  </w:p>
                </w:tc>
                <w:tc>
                  <w:tcPr>
                    <w:tcW w:w="850" w:type="dxa"/>
                  </w:tcPr>
                  <w:p w14:paraId="3F6B89A8" w14:textId="77777777" w:rsidR="00471D53" w:rsidRDefault="00B664AF">
                    <w:pPr>
                      <w:jc w:val="right"/>
                      <w:rPr>
                        <w:sz w:val="18"/>
                        <w:szCs w:val="18"/>
                      </w:rPr>
                    </w:pPr>
                  </w:p>
                </w:tc>
                <w:tc>
                  <w:tcPr>
                    <w:tcW w:w="709" w:type="dxa"/>
                  </w:tcPr>
                  <w:p w14:paraId="1B8CCCFF" w14:textId="77777777" w:rsidR="00471D53" w:rsidRDefault="00B664AF">
                    <w:pPr>
                      <w:jc w:val="right"/>
                      <w:rPr>
                        <w:sz w:val="18"/>
                        <w:szCs w:val="18"/>
                      </w:rPr>
                    </w:pPr>
                  </w:p>
                </w:tc>
                <w:tc>
                  <w:tcPr>
                    <w:tcW w:w="1276" w:type="dxa"/>
                  </w:tcPr>
                  <w:p w14:paraId="03A119BF" w14:textId="77777777" w:rsidR="00471D53" w:rsidRDefault="00B664AF">
                    <w:pPr>
                      <w:jc w:val="right"/>
                      <w:rPr>
                        <w:sz w:val="18"/>
                        <w:szCs w:val="18"/>
                      </w:rPr>
                    </w:pPr>
                  </w:p>
                </w:tc>
                <w:tc>
                  <w:tcPr>
                    <w:tcW w:w="1275" w:type="dxa"/>
                  </w:tcPr>
                  <w:p w14:paraId="56657653" w14:textId="77777777" w:rsidR="00471D53" w:rsidRDefault="00B664AF">
                    <w:pPr>
                      <w:jc w:val="right"/>
                      <w:rPr>
                        <w:sz w:val="18"/>
                        <w:szCs w:val="18"/>
                      </w:rPr>
                    </w:pPr>
                  </w:p>
                </w:tc>
                <w:tc>
                  <w:tcPr>
                    <w:tcW w:w="1543" w:type="dxa"/>
                  </w:tcPr>
                  <w:p w14:paraId="0D792200" w14:textId="77777777" w:rsidR="00471D53" w:rsidRDefault="00B664AF">
                    <w:pPr>
                      <w:jc w:val="right"/>
                      <w:rPr>
                        <w:sz w:val="18"/>
                        <w:szCs w:val="18"/>
                      </w:rPr>
                    </w:pPr>
                  </w:p>
                </w:tc>
              </w:tr>
              <w:tr w:rsidR="00471D53" w14:paraId="00A321CC" w14:textId="77777777" w:rsidTr="001279EE">
                <w:trPr>
                  <w:trHeight w:val="20"/>
                </w:trPr>
                <w:sdt>
                  <w:sdtPr>
                    <w:tag w:val="_PLD_0c8627dcaed14beabce3c3a65384cf01"/>
                    <w:id w:val="342831687"/>
                    <w:lock w:val="sdtLocked"/>
                  </w:sdtPr>
                  <w:sdtEndPr/>
                  <w:sdtContent>
                    <w:tc>
                      <w:tcPr>
                        <w:tcW w:w="2450" w:type="dxa"/>
                      </w:tcPr>
                      <w:p w14:paraId="32FC620D" w14:textId="77777777" w:rsidR="00471D53" w:rsidRDefault="004F686E">
                        <w:pPr>
                          <w:rPr>
                            <w:sz w:val="18"/>
                            <w:szCs w:val="18"/>
                          </w:rPr>
                        </w:pPr>
                        <w:r>
                          <w:rPr>
                            <w:rFonts w:hint="eastAsia"/>
                            <w:sz w:val="18"/>
                            <w:szCs w:val="18"/>
                          </w:rPr>
                          <w:t>3</w:t>
                        </w:r>
                        <w:r>
                          <w:rPr>
                            <w:sz w:val="18"/>
                            <w:szCs w:val="18"/>
                          </w:rPr>
                          <w:t>．股份支付计入所有者权益的金额</w:t>
                        </w:r>
                      </w:p>
                    </w:tc>
                  </w:sdtContent>
                </w:sdt>
                <w:tc>
                  <w:tcPr>
                    <w:tcW w:w="1321" w:type="dxa"/>
                    <w:tcBorders>
                      <w:right w:val="single" w:sz="4" w:space="0" w:color="auto"/>
                    </w:tcBorders>
                  </w:tcPr>
                  <w:p w14:paraId="4ADA0487" w14:textId="77777777" w:rsidR="00471D53" w:rsidRDefault="00B664AF">
                    <w:pPr>
                      <w:jc w:val="right"/>
                      <w:rPr>
                        <w:sz w:val="18"/>
                        <w:szCs w:val="18"/>
                      </w:rPr>
                    </w:pPr>
                  </w:p>
                </w:tc>
                <w:tc>
                  <w:tcPr>
                    <w:tcW w:w="807" w:type="dxa"/>
                    <w:tcBorders>
                      <w:left w:val="single" w:sz="4" w:space="0" w:color="auto"/>
                      <w:right w:val="single" w:sz="4" w:space="0" w:color="auto"/>
                    </w:tcBorders>
                  </w:tcPr>
                  <w:p w14:paraId="28EC93E6" w14:textId="77777777" w:rsidR="00471D53" w:rsidRDefault="00B664AF">
                    <w:pPr>
                      <w:jc w:val="right"/>
                      <w:rPr>
                        <w:sz w:val="18"/>
                        <w:szCs w:val="18"/>
                      </w:rPr>
                    </w:pPr>
                  </w:p>
                </w:tc>
                <w:tc>
                  <w:tcPr>
                    <w:tcW w:w="894" w:type="dxa"/>
                    <w:tcBorders>
                      <w:left w:val="single" w:sz="4" w:space="0" w:color="auto"/>
                      <w:right w:val="single" w:sz="4" w:space="0" w:color="auto"/>
                    </w:tcBorders>
                  </w:tcPr>
                  <w:p w14:paraId="16F2A4C4" w14:textId="77777777" w:rsidR="00471D53" w:rsidRDefault="00B664AF">
                    <w:pPr>
                      <w:jc w:val="right"/>
                      <w:rPr>
                        <w:sz w:val="18"/>
                        <w:szCs w:val="18"/>
                      </w:rPr>
                    </w:pPr>
                  </w:p>
                </w:tc>
                <w:tc>
                  <w:tcPr>
                    <w:tcW w:w="708" w:type="dxa"/>
                    <w:tcBorders>
                      <w:left w:val="single" w:sz="4" w:space="0" w:color="auto"/>
                    </w:tcBorders>
                  </w:tcPr>
                  <w:p w14:paraId="75A7AE3E" w14:textId="77777777" w:rsidR="00471D53" w:rsidRDefault="00B664AF">
                    <w:pPr>
                      <w:jc w:val="right"/>
                      <w:rPr>
                        <w:sz w:val="18"/>
                        <w:szCs w:val="18"/>
                      </w:rPr>
                    </w:pPr>
                  </w:p>
                </w:tc>
                <w:tc>
                  <w:tcPr>
                    <w:tcW w:w="1276" w:type="dxa"/>
                  </w:tcPr>
                  <w:p w14:paraId="3CD485D2" w14:textId="77777777" w:rsidR="00471D53" w:rsidRDefault="00B664AF">
                    <w:pPr>
                      <w:jc w:val="right"/>
                      <w:rPr>
                        <w:sz w:val="18"/>
                        <w:szCs w:val="18"/>
                      </w:rPr>
                    </w:pPr>
                  </w:p>
                </w:tc>
                <w:tc>
                  <w:tcPr>
                    <w:tcW w:w="851" w:type="dxa"/>
                  </w:tcPr>
                  <w:p w14:paraId="401EA886" w14:textId="77777777" w:rsidR="00471D53" w:rsidRDefault="00B664AF">
                    <w:pPr>
                      <w:jc w:val="right"/>
                      <w:rPr>
                        <w:sz w:val="18"/>
                        <w:szCs w:val="18"/>
                      </w:rPr>
                    </w:pPr>
                  </w:p>
                </w:tc>
                <w:tc>
                  <w:tcPr>
                    <w:tcW w:w="850" w:type="dxa"/>
                  </w:tcPr>
                  <w:p w14:paraId="7333F159" w14:textId="77777777" w:rsidR="00471D53" w:rsidRDefault="00B664AF">
                    <w:pPr>
                      <w:jc w:val="right"/>
                      <w:rPr>
                        <w:sz w:val="18"/>
                        <w:szCs w:val="18"/>
                      </w:rPr>
                    </w:pPr>
                  </w:p>
                </w:tc>
                <w:tc>
                  <w:tcPr>
                    <w:tcW w:w="709" w:type="dxa"/>
                  </w:tcPr>
                  <w:p w14:paraId="2ABEC6EA" w14:textId="77777777" w:rsidR="00471D53" w:rsidRDefault="00B664AF">
                    <w:pPr>
                      <w:jc w:val="right"/>
                      <w:rPr>
                        <w:sz w:val="18"/>
                        <w:szCs w:val="18"/>
                      </w:rPr>
                    </w:pPr>
                  </w:p>
                </w:tc>
                <w:tc>
                  <w:tcPr>
                    <w:tcW w:w="1276" w:type="dxa"/>
                  </w:tcPr>
                  <w:p w14:paraId="73E1C1EA" w14:textId="77777777" w:rsidR="00471D53" w:rsidRDefault="00B664AF">
                    <w:pPr>
                      <w:jc w:val="right"/>
                      <w:rPr>
                        <w:sz w:val="18"/>
                        <w:szCs w:val="18"/>
                      </w:rPr>
                    </w:pPr>
                  </w:p>
                </w:tc>
                <w:tc>
                  <w:tcPr>
                    <w:tcW w:w="1275" w:type="dxa"/>
                  </w:tcPr>
                  <w:p w14:paraId="36D93614" w14:textId="77777777" w:rsidR="00471D53" w:rsidRDefault="00B664AF">
                    <w:pPr>
                      <w:jc w:val="right"/>
                      <w:rPr>
                        <w:sz w:val="18"/>
                        <w:szCs w:val="18"/>
                      </w:rPr>
                    </w:pPr>
                  </w:p>
                </w:tc>
                <w:tc>
                  <w:tcPr>
                    <w:tcW w:w="1543" w:type="dxa"/>
                  </w:tcPr>
                  <w:p w14:paraId="45FC71B6" w14:textId="77777777" w:rsidR="00471D53" w:rsidRDefault="00B664AF">
                    <w:pPr>
                      <w:jc w:val="right"/>
                      <w:rPr>
                        <w:sz w:val="18"/>
                        <w:szCs w:val="18"/>
                      </w:rPr>
                    </w:pPr>
                  </w:p>
                </w:tc>
              </w:tr>
              <w:tr w:rsidR="00471D53" w14:paraId="77FF6609" w14:textId="77777777" w:rsidTr="001279EE">
                <w:trPr>
                  <w:trHeight w:val="20"/>
                </w:trPr>
                <w:sdt>
                  <w:sdtPr>
                    <w:tag w:val="_PLD_4815225e85794febad32622528b72229"/>
                    <w:id w:val="653263423"/>
                    <w:lock w:val="sdtLocked"/>
                  </w:sdtPr>
                  <w:sdtEndPr/>
                  <w:sdtContent>
                    <w:tc>
                      <w:tcPr>
                        <w:tcW w:w="2450" w:type="dxa"/>
                      </w:tcPr>
                      <w:p w14:paraId="0D5437F3" w14:textId="77777777" w:rsidR="00471D53" w:rsidRDefault="004F686E">
                        <w:pPr>
                          <w:rPr>
                            <w:sz w:val="18"/>
                            <w:szCs w:val="18"/>
                          </w:rPr>
                        </w:pPr>
                        <w:r>
                          <w:rPr>
                            <w:rFonts w:hint="eastAsia"/>
                            <w:sz w:val="18"/>
                            <w:szCs w:val="18"/>
                          </w:rPr>
                          <w:t>4</w:t>
                        </w:r>
                        <w:r>
                          <w:rPr>
                            <w:sz w:val="18"/>
                            <w:szCs w:val="18"/>
                          </w:rPr>
                          <w:t>．其他</w:t>
                        </w:r>
                      </w:p>
                    </w:tc>
                  </w:sdtContent>
                </w:sdt>
                <w:tc>
                  <w:tcPr>
                    <w:tcW w:w="1321" w:type="dxa"/>
                    <w:tcBorders>
                      <w:right w:val="single" w:sz="4" w:space="0" w:color="auto"/>
                    </w:tcBorders>
                  </w:tcPr>
                  <w:p w14:paraId="03DE7800" w14:textId="77777777" w:rsidR="00471D53" w:rsidRDefault="00B664AF">
                    <w:pPr>
                      <w:jc w:val="right"/>
                      <w:rPr>
                        <w:sz w:val="18"/>
                        <w:szCs w:val="18"/>
                      </w:rPr>
                    </w:pPr>
                  </w:p>
                </w:tc>
                <w:tc>
                  <w:tcPr>
                    <w:tcW w:w="807" w:type="dxa"/>
                    <w:tcBorders>
                      <w:left w:val="single" w:sz="4" w:space="0" w:color="auto"/>
                      <w:right w:val="single" w:sz="4" w:space="0" w:color="auto"/>
                    </w:tcBorders>
                  </w:tcPr>
                  <w:p w14:paraId="08AE5CDD" w14:textId="77777777" w:rsidR="00471D53" w:rsidRDefault="00B664AF">
                    <w:pPr>
                      <w:jc w:val="right"/>
                      <w:rPr>
                        <w:sz w:val="18"/>
                        <w:szCs w:val="18"/>
                      </w:rPr>
                    </w:pPr>
                  </w:p>
                </w:tc>
                <w:tc>
                  <w:tcPr>
                    <w:tcW w:w="894" w:type="dxa"/>
                    <w:tcBorders>
                      <w:left w:val="single" w:sz="4" w:space="0" w:color="auto"/>
                      <w:right w:val="single" w:sz="4" w:space="0" w:color="auto"/>
                    </w:tcBorders>
                  </w:tcPr>
                  <w:p w14:paraId="242D3AFE" w14:textId="77777777" w:rsidR="00471D53" w:rsidRDefault="00B664AF">
                    <w:pPr>
                      <w:jc w:val="right"/>
                      <w:rPr>
                        <w:sz w:val="18"/>
                        <w:szCs w:val="18"/>
                      </w:rPr>
                    </w:pPr>
                  </w:p>
                </w:tc>
                <w:tc>
                  <w:tcPr>
                    <w:tcW w:w="708" w:type="dxa"/>
                    <w:tcBorders>
                      <w:left w:val="single" w:sz="4" w:space="0" w:color="auto"/>
                    </w:tcBorders>
                  </w:tcPr>
                  <w:p w14:paraId="763CD84B" w14:textId="77777777" w:rsidR="00471D53" w:rsidRDefault="00B664AF">
                    <w:pPr>
                      <w:jc w:val="right"/>
                      <w:rPr>
                        <w:sz w:val="18"/>
                        <w:szCs w:val="18"/>
                      </w:rPr>
                    </w:pPr>
                  </w:p>
                </w:tc>
                <w:tc>
                  <w:tcPr>
                    <w:tcW w:w="1276" w:type="dxa"/>
                  </w:tcPr>
                  <w:p w14:paraId="1742B407" w14:textId="77777777" w:rsidR="00471D53" w:rsidRDefault="00B664AF">
                    <w:pPr>
                      <w:jc w:val="right"/>
                      <w:rPr>
                        <w:sz w:val="18"/>
                        <w:szCs w:val="18"/>
                      </w:rPr>
                    </w:pPr>
                  </w:p>
                </w:tc>
                <w:tc>
                  <w:tcPr>
                    <w:tcW w:w="851" w:type="dxa"/>
                  </w:tcPr>
                  <w:p w14:paraId="750130E7" w14:textId="77777777" w:rsidR="00471D53" w:rsidRDefault="00B664AF">
                    <w:pPr>
                      <w:jc w:val="right"/>
                      <w:rPr>
                        <w:sz w:val="18"/>
                        <w:szCs w:val="18"/>
                      </w:rPr>
                    </w:pPr>
                  </w:p>
                </w:tc>
                <w:tc>
                  <w:tcPr>
                    <w:tcW w:w="850" w:type="dxa"/>
                  </w:tcPr>
                  <w:p w14:paraId="49BE0F3E" w14:textId="77777777" w:rsidR="00471D53" w:rsidRDefault="00B664AF">
                    <w:pPr>
                      <w:jc w:val="right"/>
                      <w:rPr>
                        <w:sz w:val="18"/>
                        <w:szCs w:val="18"/>
                      </w:rPr>
                    </w:pPr>
                  </w:p>
                </w:tc>
                <w:tc>
                  <w:tcPr>
                    <w:tcW w:w="709" w:type="dxa"/>
                  </w:tcPr>
                  <w:p w14:paraId="1B5BAB25" w14:textId="77777777" w:rsidR="00471D53" w:rsidRDefault="00B664AF">
                    <w:pPr>
                      <w:jc w:val="right"/>
                      <w:rPr>
                        <w:sz w:val="18"/>
                        <w:szCs w:val="18"/>
                      </w:rPr>
                    </w:pPr>
                  </w:p>
                </w:tc>
                <w:tc>
                  <w:tcPr>
                    <w:tcW w:w="1276" w:type="dxa"/>
                  </w:tcPr>
                  <w:p w14:paraId="26C17A51" w14:textId="77777777" w:rsidR="00471D53" w:rsidRDefault="00B664AF">
                    <w:pPr>
                      <w:jc w:val="right"/>
                      <w:rPr>
                        <w:sz w:val="18"/>
                        <w:szCs w:val="18"/>
                      </w:rPr>
                    </w:pPr>
                  </w:p>
                </w:tc>
                <w:tc>
                  <w:tcPr>
                    <w:tcW w:w="1275" w:type="dxa"/>
                  </w:tcPr>
                  <w:p w14:paraId="677E4107" w14:textId="77777777" w:rsidR="00471D53" w:rsidRDefault="00B664AF">
                    <w:pPr>
                      <w:jc w:val="right"/>
                      <w:rPr>
                        <w:sz w:val="18"/>
                        <w:szCs w:val="18"/>
                      </w:rPr>
                    </w:pPr>
                  </w:p>
                </w:tc>
                <w:tc>
                  <w:tcPr>
                    <w:tcW w:w="1543" w:type="dxa"/>
                  </w:tcPr>
                  <w:p w14:paraId="71918DF2" w14:textId="77777777" w:rsidR="00471D53" w:rsidRDefault="00B664AF">
                    <w:pPr>
                      <w:jc w:val="right"/>
                      <w:rPr>
                        <w:sz w:val="18"/>
                        <w:szCs w:val="18"/>
                      </w:rPr>
                    </w:pPr>
                  </w:p>
                </w:tc>
              </w:tr>
              <w:tr w:rsidR="00471D53" w14:paraId="2F559DCA" w14:textId="77777777" w:rsidTr="001279EE">
                <w:trPr>
                  <w:trHeight w:val="20"/>
                </w:trPr>
                <w:sdt>
                  <w:sdtPr>
                    <w:tag w:val="_PLD_1277678c10f343d5a55853e3552c21df"/>
                    <w:id w:val="1632892162"/>
                    <w:lock w:val="sdtLocked"/>
                  </w:sdtPr>
                  <w:sdtEndPr/>
                  <w:sdtContent>
                    <w:tc>
                      <w:tcPr>
                        <w:tcW w:w="2450" w:type="dxa"/>
                      </w:tcPr>
                      <w:p w14:paraId="1BFA617B" w14:textId="77777777" w:rsidR="00471D53" w:rsidRDefault="004F686E">
                        <w:pPr>
                          <w:rPr>
                            <w:sz w:val="18"/>
                            <w:szCs w:val="18"/>
                          </w:rPr>
                        </w:pPr>
                        <w:r>
                          <w:rPr>
                            <w:sz w:val="18"/>
                            <w:szCs w:val="18"/>
                          </w:rPr>
                          <w:t>（</w:t>
                        </w:r>
                        <w:r>
                          <w:rPr>
                            <w:rFonts w:hint="eastAsia"/>
                            <w:sz w:val="18"/>
                            <w:szCs w:val="18"/>
                          </w:rPr>
                          <w:t>三</w:t>
                        </w:r>
                        <w:r>
                          <w:rPr>
                            <w:sz w:val="18"/>
                            <w:szCs w:val="18"/>
                          </w:rPr>
                          <w:t>）利润分配</w:t>
                        </w:r>
                      </w:p>
                    </w:tc>
                  </w:sdtContent>
                </w:sdt>
                <w:tc>
                  <w:tcPr>
                    <w:tcW w:w="1321" w:type="dxa"/>
                    <w:tcBorders>
                      <w:right w:val="single" w:sz="4" w:space="0" w:color="auto"/>
                    </w:tcBorders>
                  </w:tcPr>
                  <w:p w14:paraId="5E1022C8" w14:textId="77777777" w:rsidR="00471D53" w:rsidRDefault="00B664AF">
                    <w:pPr>
                      <w:jc w:val="right"/>
                      <w:rPr>
                        <w:sz w:val="18"/>
                        <w:szCs w:val="18"/>
                      </w:rPr>
                    </w:pPr>
                  </w:p>
                </w:tc>
                <w:tc>
                  <w:tcPr>
                    <w:tcW w:w="807" w:type="dxa"/>
                    <w:tcBorders>
                      <w:left w:val="single" w:sz="4" w:space="0" w:color="auto"/>
                      <w:right w:val="single" w:sz="4" w:space="0" w:color="auto"/>
                    </w:tcBorders>
                  </w:tcPr>
                  <w:p w14:paraId="2C1339E9" w14:textId="77777777" w:rsidR="00471D53" w:rsidRDefault="00B664AF">
                    <w:pPr>
                      <w:jc w:val="right"/>
                      <w:rPr>
                        <w:sz w:val="18"/>
                        <w:szCs w:val="18"/>
                      </w:rPr>
                    </w:pPr>
                  </w:p>
                </w:tc>
                <w:tc>
                  <w:tcPr>
                    <w:tcW w:w="894" w:type="dxa"/>
                    <w:tcBorders>
                      <w:left w:val="single" w:sz="4" w:space="0" w:color="auto"/>
                      <w:right w:val="single" w:sz="4" w:space="0" w:color="auto"/>
                    </w:tcBorders>
                  </w:tcPr>
                  <w:p w14:paraId="78A15EA8" w14:textId="77777777" w:rsidR="00471D53" w:rsidRDefault="00B664AF">
                    <w:pPr>
                      <w:jc w:val="right"/>
                      <w:rPr>
                        <w:sz w:val="18"/>
                        <w:szCs w:val="18"/>
                      </w:rPr>
                    </w:pPr>
                  </w:p>
                </w:tc>
                <w:tc>
                  <w:tcPr>
                    <w:tcW w:w="708" w:type="dxa"/>
                    <w:tcBorders>
                      <w:left w:val="single" w:sz="4" w:space="0" w:color="auto"/>
                    </w:tcBorders>
                  </w:tcPr>
                  <w:p w14:paraId="61B94A04" w14:textId="77777777" w:rsidR="00471D53" w:rsidRDefault="00B664AF">
                    <w:pPr>
                      <w:jc w:val="right"/>
                      <w:rPr>
                        <w:sz w:val="18"/>
                        <w:szCs w:val="18"/>
                      </w:rPr>
                    </w:pPr>
                  </w:p>
                </w:tc>
                <w:tc>
                  <w:tcPr>
                    <w:tcW w:w="1276" w:type="dxa"/>
                  </w:tcPr>
                  <w:p w14:paraId="1C596661" w14:textId="77777777" w:rsidR="00471D53" w:rsidRDefault="00B664AF">
                    <w:pPr>
                      <w:jc w:val="right"/>
                      <w:rPr>
                        <w:sz w:val="18"/>
                        <w:szCs w:val="18"/>
                      </w:rPr>
                    </w:pPr>
                  </w:p>
                </w:tc>
                <w:tc>
                  <w:tcPr>
                    <w:tcW w:w="851" w:type="dxa"/>
                  </w:tcPr>
                  <w:p w14:paraId="2CB9526F" w14:textId="77777777" w:rsidR="00471D53" w:rsidRDefault="00B664AF">
                    <w:pPr>
                      <w:jc w:val="right"/>
                      <w:rPr>
                        <w:sz w:val="18"/>
                        <w:szCs w:val="18"/>
                      </w:rPr>
                    </w:pPr>
                  </w:p>
                </w:tc>
                <w:tc>
                  <w:tcPr>
                    <w:tcW w:w="850" w:type="dxa"/>
                  </w:tcPr>
                  <w:p w14:paraId="5C9C32D5" w14:textId="77777777" w:rsidR="00471D53" w:rsidRDefault="00B664AF">
                    <w:pPr>
                      <w:jc w:val="right"/>
                      <w:rPr>
                        <w:sz w:val="18"/>
                        <w:szCs w:val="18"/>
                      </w:rPr>
                    </w:pPr>
                  </w:p>
                </w:tc>
                <w:tc>
                  <w:tcPr>
                    <w:tcW w:w="709" w:type="dxa"/>
                  </w:tcPr>
                  <w:p w14:paraId="6F56EC4B" w14:textId="77777777" w:rsidR="00471D53" w:rsidRDefault="00B664AF">
                    <w:pPr>
                      <w:jc w:val="right"/>
                      <w:rPr>
                        <w:sz w:val="18"/>
                        <w:szCs w:val="18"/>
                      </w:rPr>
                    </w:pPr>
                  </w:p>
                </w:tc>
                <w:tc>
                  <w:tcPr>
                    <w:tcW w:w="1276" w:type="dxa"/>
                  </w:tcPr>
                  <w:p w14:paraId="74B3EE0E" w14:textId="77777777" w:rsidR="00471D53" w:rsidRDefault="00B664AF">
                    <w:pPr>
                      <w:jc w:val="right"/>
                      <w:rPr>
                        <w:sz w:val="18"/>
                        <w:szCs w:val="18"/>
                      </w:rPr>
                    </w:pPr>
                  </w:p>
                </w:tc>
                <w:tc>
                  <w:tcPr>
                    <w:tcW w:w="1275" w:type="dxa"/>
                  </w:tcPr>
                  <w:p w14:paraId="35C0962F" w14:textId="77777777" w:rsidR="00471D53" w:rsidRDefault="00B664AF">
                    <w:pPr>
                      <w:jc w:val="right"/>
                      <w:rPr>
                        <w:sz w:val="18"/>
                        <w:szCs w:val="18"/>
                      </w:rPr>
                    </w:pPr>
                  </w:p>
                </w:tc>
                <w:tc>
                  <w:tcPr>
                    <w:tcW w:w="1543" w:type="dxa"/>
                  </w:tcPr>
                  <w:p w14:paraId="384E4FBB" w14:textId="77777777" w:rsidR="00471D53" w:rsidRDefault="00B664AF">
                    <w:pPr>
                      <w:jc w:val="right"/>
                      <w:rPr>
                        <w:sz w:val="18"/>
                        <w:szCs w:val="18"/>
                      </w:rPr>
                    </w:pPr>
                  </w:p>
                </w:tc>
              </w:tr>
              <w:tr w:rsidR="00471D53" w14:paraId="54AA6F7E" w14:textId="77777777" w:rsidTr="001279EE">
                <w:trPr>
                  <w:trHeight w:val="20"/>
                </w:trPr>
                <w:sdt>
                  <w:sdtPr>
                    <w:tag w:val="_PLD_6be0f6b7609247d98f239c435a57bdf2"/>
                    <w:id w:val="-1123536294"/>
                    <w:lock w:val="sdtLocked"/>
                  </w:sdtPr>
                  <w:sdtEndPr/>
                  <w:sdtContent>
                    <w:tc>
                      <w:tcPr>
                        <w:tcW w:w="2450" w:type="dxa"/>
                      </w:tcPr>
                      <w:p w14:paraId="02931498" w14:textId="77777777" w:rsidR="00471D53" w:rsidRDefault="004F686E">
                        <w:pPr>
                          <w:rPr>
                            <w:sz w:val="18"/>
                            <w:szCs w:val="18"/>
                          </w:rPr>
                        </w:pPr>
                        <w:r>
                          <w:rPr>
                            <w:sz w:val="18"/>
                            <w:szCs w:val="18"/>
                          </w:rPr>
                          <w:t>1．提取盈余公积</w:t>
                        </w:r>
                      </w:p>
                    </w:tc>
                  </w:sdtContent>
                </w:sdt>
                <w:tc>
                  <w:tcPr>
                    <w:tcW w:w="1321" w:type="dxa"/>
                    <w:tcBorders>
                      <w:right w:val="single" w:sz="4" w:space="0" w:color="auto"/>
                    </w:tcBorders>
                  </w:tcPr>
                  <w:p w14:paraId="4D5A8E97" w14:textId="77777777" w:rsidR="00471D53" w:rsidRDefault="00B664AF">
                    <w:pPr>
                      <w:jc w:val="right"/>
                      <w:rPr>
                        <w:sz w:val="18"/>
                        <w:szCs w:val="18"/>
                      </w:rPr>
                    </w:pPr>
                  </w:p>
                </w:tc>
                <w:tc>
                  <w:tcPr>
                    <w:tcW w:w="807" w:type="dxa"/>
                    <w:tcBorders>
                      <w:left w:val="single" w:sz="4" w:space="0" w:color="auto"/>
                      <w:right w:val="single" w:sz="4" w:space="0" w:color="auto"/>
                    </w:tcBorders>
                  </w:tcPr>
                  <w:p w14:paraId="261D21DB" w14:textId="77777777" w:rsidR="00471D53" w:rsidRDefault="00B664AF">
                    <w:pPr>
                      <w:jc w:val="right"/>
                      <w:rPr>
                        <w:sz w:val="18"/>
                        <w:szCs w:val="18"/>
                      </w:rPr>
                    </w:pPr>
                  </w:p>
                </w:tc>
                <w:tc>
                  <w:tcPr>
                    <w:tcW w:w="894" w:type="dxa"/>
                    <w:tcBorders>
                      <w:left w:val="single" w:sz="4" w:space="0" w:color="auto"/>
                      <w:right w:val="single" w:sz="4" w:space="0" w:color="auto"/>
                    </w:tcBorders>
                  </w:tcPr>
                  <w:p w14:paraId="46A890B8" w14:textId="77777777" w:rsidR="00471D53" w:rsidRDefault="00B664AF">
                    <w:pPr>
                      <w:jc w:val="right"/>
                      <w:rPr>
                        <w:sz w:val="18"/>
                        <w:szCs w:val="18"/>
                      </w:rPr>
                    </w:pPr>
                  </w:p>
                </w:tc>
                <w:tc>
                  <w:tcPr>
                    <w:tcW w:w="708" w:type="dxa"/>
                    <w:tcBorders>
                      <w:left w:val="single" w:sz="4" w:space="0" w:color="auto"/>
                    </w:tcBorders>
                  </w:tcPr>
                  <w:p w14:paraId="4BC4CB98" w14:textId="77777777" w:rsidR="00471D53" w:rsidRDefault="00B664AF">
                    <w:pPr>
                      <w:jc w:val="right"/>
                      <w:rPr>
                        <w:sz w:val="18"/>
                        <w:szCs w:val="18"/>
                      </w:rPr>
                    </w:pPr>
                  </w:p>
                </w:tc>
                <w:tc>
                  <w:tcPr>
                    <w:tcW w:w="1276" w:type="dxa"/>
                  </w:tcPr>
                  <w:p w14:paraId="57C35D82" w14:textId="77777777" w:rsidR="00471D53" w:rsidRDefault="00B664AF">
                    <w:pPr>
                      <w:jc w:val="right"/>
                      <w:rPr>
                        <w:sz w:val="18"/>
                        <w:szCs w:val="18"/>
                      </w:rPr>
                    </w:pPr>
                  </w:p>
                </w:tc>
                <w:tc>
                  <w:tcPr>
                    <w:tcW w:w="851" w:type="dxa"/>
                  </w:tcPr>
                  <w:p w14:paraId="7CE73584" w14:textId="77777777" w:rsidR="00471D53" w:rsidRDefault="00B664AF">
                    <w:pPr>
                      <w:jc w:val="right"/>
                      <w:rPr>
                        <w:sz w:val="18"/>
                        <w:szCs w:val="18"/>
                      </w:rPr>
                    </w:pPr>
                  </w:p>
                </w:tc>
                <w:tc>
                  <w:tcPr>
                    <w:tcW w:w="850" w:type="dxa"/>
                  </w:tcPr>
                  <w:p w14:paraId="4CFCFB5E" w14:textId="77777777" w:rsidR="00471D53" w:rsidRDefault="00B664AF">
                    <w:pPr>
                      <w:jc w:val="right"/>
                      <w:rPr>
                        <w:sz w:val="18"/>
                        <w:szCs w:val="18"/>
                      </w:rPr>
                    </w:pPr>
                  </w:p>
                </w:tc>
                <w:tc>
                  <w:tcPr>
                    <w:tcW w:w="709" w:type="dxa"/>
                  </w:tcPr>
                  <w:p w14:paraId="20442D14" w14:textId="77777777" w:rsidR="00471D53" w:rsidRDefault="00B664AF">
                    <w:pPr>
                      <w:jc w:val="right"/>
                      <w:rPr>
                        <w:sz w:val="18"/>
                        <w:szCs w:val="18"/>
                      </w:rPr>
                    </w:pPr>
                  </w:p>
                </w:tc>
                <w:tc>
                  <w:tcPr>
                    <w:tcW w:w="1276" w:type="dxa"/>
                  </w:tcPr>
                  <w:p w14:paraId="72820944" w14:textId="77777777" w:rsidR="00471D53" w:rsidRDefault="00B664AF">
                    <w:pPr>
                      <w:jc w:val="right"/>
                      <w:rPr>
                        <w:sz w:val="18"/>
                        <w:szCs w:val="18"/>
                      </w:rPr>
                    </w:pPr>
                  </w:p>
                </w:tc>
                <w:tc>
                  <w:tcPr>
                    <w:tcW w:w="1275" w:type="dxa"/>
                  </w:tcPr>
                  <w:p w14:paraId="01AA6DF8" w14:textId="77777777" w:rsidR="00471D53" w:rsidRDefault="00B664AF">
                    <w:pPr>
                      <w:jc w:val="right"/>
                      <w:rPr>
                        <w:sz w:val="18"/>
                        <w:szCs w:val="18"/>
                      </w:rPr>
                    </w:pPr>
                  </w:p>
                </w:tc>
                <w:tc>
                  <w:tcPr>
                    <w:tcW w:w="1543" w:type="dxa"/>
                  </w:tcPr>
                  <w:p w14:paraId="024964BE" w14:textId="77777777" w:rsidR="00471D53" w:rsidRDefault="00B664AF">
                    <w:pPr>
                      <w:jc w:val="right"/>
                      <w:rPr>
                        <w:sz w:val="18"/>
                        <w:szCs w:val="18"/>
                      </w:rPr>
                    </w:pPr>
                  </w:p>
                </w:tc>
              </w:tr>
              <w:tr w:rsidR="00471D53" w14:paraId="2AFCE770" w14:textId="77777777" w:rsidTr="001279EE">
                <w:trPr>
                  <w:trHeight w:val="20"/>
                </w:trPr>
                <w:sdt>
                  <w:sdtPr>
                    <w:tag w:val="_PLD_b4a66855afc2407cbaf93baeafe0ad7f"/>
                    <w:id w:val="2101473"/>
                    <w:lock w:val="sdtLocked"/>
                  </w:sdtPr>
                  <w:sdtEndPr/>
                  <w:sdtContent>
                    <w:tc>
                      <w:tcPr>
                        <w:tcW w:w="2450" w:type="dxa"/>
                      </w:tcPr>
                      <w:p w14:paraId="29841487" w14:textId="77777777" w:rsidR="00471D53" w:rsidRDefault="004F686E">
                        <w:pPr>
                          <w:rPr>
                            <w:sz w:val="18"/>
                            <w:szCs w:val="18"/>
                          </w:rPr>
                        </w:pPr>
                        <w:r>
                          <w:rPr>
                            <w:rFonts w:hint="eastAsia"/>
                            <w:sz w:val="18"/>
                            <w:szCs w:val="18"/>
                          </w:rPr>
                          <w:t>2</w:t>
                        </w:r>
                        <w:r>
                          <w:rPr>
                            <w:sz w:val="18"/>
                            <w:szCs w:val="18"/>
                          </w:rPr>
                          <w:t>．对所有者（或股东）的分配</w:t>
                        </w:r>
                      </w:p>
                    </w:tc>
                  </w:sdtContent>
                </w:sdt>
                <w:tc>
                  <w:tcPr>
                    <w:tcW w:w="1321" w:type="dxa"/>
                    <w:tcBorders>
                      <w:right w:val="single" w:sz="4" w:space="0" w:color="auto"/>
                    </w:tcBorders>
                  </w:tcPr>
                  <w:p w14:paraId="403DF3D1" w14:textId="77777777" w:rsidR="00471D53" w:rsidRDefault="00B664AF">
                    <w:pPr>
                      <w:jc w:val="right"/>
                      <w:rPr>
                        <w:sz w:val="18"/>
                        <w:szCs w:val="18"/>
                      </w:rPr>
                    </w:pPr>
                  </w:p>
                </w:tc>
                <w:tc>
                  <w:tcPr>
                    <w:tcW w:w="807" w:type="dxa"/>
                    <w:tcBorders>
                      <w:left w:val="single" w:sz="4" w:space="0" w:color="auto"/>
                      <w:right w:val="single" w:sz="4" w:space="0" w:color="auto"/>
                    </w:tcBorders>
                  </w:tcPr>
                  <w:p w14:paraId="23BF8187" w14:textId="77777777" w:rsidR="00471D53" w:rsidRDefault="00B664AF">
                    <w:pPr>
                      <w:jc w:val="right"/>
                      <w:rPr>
                        <w:sz w:val="18"/>
                        <w:szCs w:val="18"/>
                      </w:rPr>
                    </w:pPr>
                  </w:p>
                </w:tc>
                <w:tc>
                  <w:tcPr>
                    <w:tcW w:w="894" w:type="dxa"/>
                    <w:tcBorders>
                      <w:left w:val="single" w:sz="4" w:space="0" w:color="auto"/>
                      <w:right w:val="single" w:sz="4" w:space="0" w:color="auto"/>
                    </w:tcBorders>
                  </w:tcPr>
                  <w:p w14:paraId="04D8E167" w14:textId="77777777" w:rsidR="00471D53" w:rsidRDefault="00B664AF">
                    <w:pPr>
                      <w:jc w:val="right"/>
                      <w:rPr>
                        <w:sz w:val="18"/>
                        <w:szCs w:val="18"/>
                      </w:rPr>
                    </w:pPr>
                  </w:p>
                </w:tc>
                <w:tc>
                  <w:tcPr>
                    <w:tcW w:w="708" w:type="dxa"/>
                    <w:tcBorders>
                      <w:left w:val="single" w:sz="4" w:space="0" w:color="auto"/>
                    </w:tcBorders>
                  </w:tcPr>
                  <w:p w14:paraId="0F4BD93A" w14:textId="77777777" w:rsidR="00471D53" w:rsidRDefault="00B664AF">
                    <w:pPr>
                      <w:jc w:val="right"/>
                      <w:rPr>
                        <w:sz w:val="18"/>
                        <w:szCs w:val="18"/>
                      </w:rPr>
                    </w:pPr>
                  </w:p>
                </w:tc>
                <w:tc>
                  <w:tcPr>
                    <w:tcW w:w="1276" w:type="dxa"/>
                  </w:tcPr>
                  <w:p w14:paraId="6BD9515F" w14:textId="77777777" w:rsidR="00471D53" w:rsidRDefault="00B664AF">
                    <w:pPr>
                      <w:jc w:val="right"/>
                      <w:rPr>
                        <w:sz w:val="18"/>
                        <w:szCs w:val="18"/>
                      </w:rPr>
                    </w:pPr>
                  </w:p>
                </w:tc>
                <w:tc>
                  <w:tcPr>
                    <w:tcW w:w="851" w:type="dxa"/>
                  </w:tcPr>
                  <w:p w14:paraId="0B139869" w14:textId="77777777" w:rsidR="00471D53" w:rsidRDefault="00B664AF">
                    <w:pPr>
                      <w:jc w:val="right"/>
                      <w:rPr>
                        <w:sz w:val="18"/>
                        <w:szCs w:val="18"/>
                      </w:rPr>
                    </w:pPr>
                  </w:p>
                </w:tc>
                <w:tc>
                  <w:tcPr>
                    <w:tcW w:w="850" w:type="dxa"/>
                  </w:tcPr>
                  <w:p w14:paraId="09CAA108" w14:textId="77777777" w:rsidR="00471D53" w:rsidRDefault="00B664AF">
                    <w:pPr>
                      <w:jc w:val="right"/>
                      <w:rPr>
                        <w:sz w:val="18"/>
                        <w:szCs w:val="18"/>
                      </w:rPr>
                    </w:pPr>
                  </w:p>
                </w:tc>
                <w:tc>
                  <w:tcPr>
                    <w:tcW w:w="709" w:type="dxa"/>
                  </w:tcPr>
                  <w:p w14:paraId="3D905BD1" w14:textId="77777777" w:rsidR="00471D53" w:rsidRDefault="00B664AF">
                    <w:pPr>
                      <w:jc w:val="right"/>
                      <w:rPr>
                        <w:sz w:val="18"/>
                        <w:szCs w:val="18"/>
                      </w:rPr>
                    </w:pPr>
                  </w:p>
                </w:tc>
                <w:tc>
                  <w:tcPr>
                    <w:tcW w:w="1276" w:type="dxa"/>
                  </w:tcPr>
                  <w:p w14:paraId="661F2555" w14:textId="77777777" w:rsidR="00471D53" w:rsidRDefault="00B664AF">
                    <w:pPr>
                      <w:jc w:val="right"/>
                      <w:rPr>
                        <w:sz w:val="18"/>
                        <w:szCs w:val="18"/>
                      </w:rPr>
                    </w:pPr>
                  </w:p>
                </w:tc>
                <w:tc>
                  <w:tcPr>
                    <w:tcW w:w="1275" w:type="dxa"/>
                  </w:tcPr>
                  <w:p w14:paraId="53E827DC" w14:textId="77777777" w:rsidR="00471D53" w:rsidRDefault="00B664AF">
                    <w:pPr>
                      <w:jc w:val="right"/>
                      <w:rPr>
                        <w:sz w:val="18"/>
                        <w:szCs w:val="18"/>
                      </w:rPr>
                    </w:pPr>
                  </w:p>
                </w:tc>
                <w:tc>
                  <w:tcPr>
                    <w:tcW w:w="1543" w:type="dxa"/>
                  </w:tcPr>
                  <w:p w14:paraId="0C4E180A" w14:textId="77777777" w:rsidR="00471D53" w:rsidRDefault="00B664AF">
                    <w:pPr>
                      <w:jc w:val="right"/>
                      <w:rPr>
                        <w:sz w:val="18"/>
                        <w:szCs w:val="18"/>
                      </w:rPr>
                    </w:pPr>
                  </w:p>
                </w:tc>
              </w:tr>
              <w:tr w:rsidR="00471D53" w14:paraId="332A6985" w14:textId="77777777" w:rsidTr="001279EE">
                <w:trPr>
                  <w:trHeight w:val="20"/>
                </w:trPr>
                <w:sdt>
                  <w:sdtPr>
                    <w:tag w:val="_PLD_f35184bd1aa14b32a781b0ed9b526ffe"/>
                    <w:id w:val="-535737715"/>
                    <w:lock w:val="sdtLocked"/>
                  </w:sdtPr>
                  <w:sdtEndPr/>
                  <w:sdtContent>
                    <w:tc>
                      <w:tcPr>
                        <w:tcW w:w="2450" w:type="dxa"/>
                      </w:tcPr>
                      <w:p w14:paraId="4347892E" w14:textId="77777777" w:rsidR="00471D53" w:rsidRDefault="004F686E">
                        <w:pPr>
                          <w:rPr>
                            <w:sz w:val="18"/>
                            <w:szCs w:val="18"/>
                          </w:rPr>
                        </w:pPr>
                        <w:r>
                          <w:rPr>
                            <w:rFonts w:hint="eastAsia"/>
                            <w:sz w:val="18"/>
                            <w:szCs w:val="18"/>
                          </w:rPr>
                          <w:t>3</w:t>
                        </w:r>
                        <w:r>
                          <w:rPr>
                            <w:sz w:val="18"/>
                            <w:szCs w:val="18"/>
                          </w:rPr>
                          <w:t>．其他</w:t>
                        </w:r>
                      </w:p>
                    </w:tc>
                  </w:sdtContent>
                </w:sdt>
                <w:tc>
                  <w:tcPr>
                    <w:tcW w:w="1321" w:type="dxa"/>
                    <w:tcBorders>
                      <w:right w:val="single" w:sz="4" w:space="0" w:color="auto"/>
                    </w:tcBorders>
                  </w:tcPr>
                  <w:p w14:paraId="481F4B7A" w14:textId="77777777" w:rsidR="00471D53" w:rsidRDefault="00B664AF">
                    <w:pPr>
                      <w:jc w:val="right"/>
                      <w:rPr>
                        <w:sz w:val="18"/>
                        <w:szCs w:val="18"/>
                      </w:rPr>
                    </w:pPr>
                  </w:p>
                </w:tc>
                <w:tc>
                  <w:tcPr>
                    <w:tcW w:w="807" w:type="dxa"/>
                    <w:tcBorders>
                      <w:left w:val="single" w:sz="4" w:space="0" w:color="auto"/>
                      <w:right w:val="single" w:sz="4" w:space="0" w:color="auto"/>
                    </w:tcBorders>
                  </w:tcPr>
                  <w:p w14:paraId="739F5F82" w14:textId="77777777" w:rsidR="00471D53" w:rsidRDefault="00B664AF">
                    <w:pPr>
                      <w:jc w:val="right"/>
                      <w:rPr>
                        <w:sz w:val="18"/>
                        <w:szCs w:val="18"/>
                      </w:rPr>
                    </w:pPr>
                  </w:p>
                </w:tc>
                <w:tc>
                  <w:tcPr>
                    <w:tcW w:w="894" w:type="dxa"/>
                    <w:tcBorders>
                      <w:left w:val="single" w:sz="4" w:space="0" w:color="auto"/>
                      <w:right w:val="single" w:sz="4" w:space="0" w:color="auto"/>
                    </w:tcBorders>
                  </w:tcPr>
                  <w:p w14:paraId="441FF669" w14:textId="77777777" w:rsidR="00471D53" w:rsidRDefault="00B664AF">
                    <w:pPr>
                      <w:jc w:val="right"/>
                      <w:rPr>
                        <w:sz w:val="18"/>
                        <w:szCs w:val="18"/>
                      </w:rPr>
                    </w:pPr>
                  </w:p>
                </w:tc>
                <w:tc>
                  <w:tcPr>
                    <w:tcW w:w="708" w:type="dxa"/>
                    <w:tcBorders>
                      <w:left w:val="single" w:sz="4" w:space="0" w:color="auto"/>
                    </w:tcBorders>
                  </w:tcPr>
                  <w:p w14:paraId="193D0179" w14:textId="77777777" w:rsidR="00471D53" w:rsidRDefault="00B664AF">
                    <w:pPr>
                      <w:jc w:val="right"/>
                      <w:rPr>
                        <w:sz w:val="18"/>
                        <w:szCs w:val="18"/>
                      </w:rPr>
                    </w:pPr>
                  </w:p>
                </w:tc>
                <w:tc>
                  <w:tcPr>
                    <w:tcW w:w="1276" w:type="dxa"/>
                  </w:tcPr>
                  <w:p w14:paraId="546E44F0" w14:textId="77777777" w:rsidR="00471D53" w:rsidRDefault="00B664AF">
                    <w:pPr>
                      <w:jc w:val="right"/>
                      <w:rPr>
                        <w:sz w:val="18"/>
                        <w:szCs w:val="18"/>
                      </w:rPr>
                    </w:pPr>
                  </w:p>
                </w:tc>
                <w:tc>
                  <w:tcPr>
                    <w:tcW w:w="851" w:type="dxa"/>
                  </w:tcPr>
                  <w:p w14:paraId="25579E0E" w14:textId="77777777" w:rsidR="00471D53" w:rsidRDefault="00B664AF">
                    <w:pPr>
                      <w:jc w:val="right"/>
                      <w:rPr>
                        <w:sz w:val="18"/>
                        <w:szCs w:val="18"/>
                      </w:rPr>
                    </w:pPr>
                  </w:p>
                </w:tc>
                <w:tc>
                  <w:tcPr>
                    <w:tcW w:w="850" w:type="dxa"/>
                  </w:tcPr>
                  <w:p w14:paraId="2D574405" w14:textId="77777777" w:rsidR="00471D53" w:rsidRDefault="00B664AF">
                    <w:pPr>
                      <w:jc w:val="right"/>
                      <w:rPr>
                        <w:sz w:val="18"/>
                        <w:szCs w:val="18"/>
                      </w:rPr>
                    </w:pPr>
                  </w:p>
                </w:tc>
                <w:tc>
                  <w:tcPr>
                    <w:tcW w:w="709" w:type="dxa"/>
                  </w:tcPr>
                  <w:p w14:paraId="07D951DB" w14:textId="77777777" w:rsidR="00471D53" w:rsidRDefault="00B664AF">
                    <w:pPr>
                      <w:jc w:val="right"/>
                      <w:rPr>
                        <w:sz w:val="18"/>
                        <w:szCs w:val="18"/>
                      </w:rPr>
                    </w:pPr>
                  </w:p>
                </w:tc>
                <w:tc>
                  <w:tcPr>
                    <w:tcW w:w="1276" w:type="dxa"/>
                  </w:tcPr>
                  <w:p w14:paraId="3725F076" w14:textId="77777777" w:rsidR="00471D53" w:rsidRDefault="00B664AF">
                    <w:pPr>
                      <w:jc w:val="right"/>
                      <w:rPr>
                        <w:sz w:val="18"/>
                        <w:szCs w:val="18"/>
                      </w:rPr>
                    </w:pPr>
                  </w:p>
                </w:tc>
                <w:tc>
                  <w:tcPr>
                    <w:tcW w:w="1275" w:type="dxa"/>
                  </w:tcPr>
                  <w:p w14:paraId="4586B7A8" w14:textId="77777777" w:rsidR="00471D53" w:rsidRDefault="00B664AF">
                    <w:pPr>
                      <w:jc w:val="right"/>
                      <w:rPr>
                        <w:sz w:val="18"/>
                        <w:szCs w:val="18"/>
                      </w:rPr>
                    </w:pPr>
                  </w:p>
                </w:tc>
                <w:tc>
                  <w:tcPr>
                    <w:tcW w:w="1543" w:type="dxa"/>
                  </w:tcPr>
                  <w:p w14:paraId="5C408B3C" w14:textId="77777777" w:rsidR="00471D53" w:rsidRDefault="00B664AF">
                    <w:pPr>
                      <w:jc w:val="right"/>
                      <w:rPr>
                        <w:sz w:val="18"/>
                        <w:szCs w:val="18"/>
                      </w:rPr>
                    </w:pPr>
                  </w:p>
                </w:tc>
              </w:tr>
              <w:tr w:rsidR="00471D53" w14:paraId="27684DC3" w14:textId="77777777" w:rsidTr="001279EE">
                <w:trPr>
                  <w:trHeight w:val="20"/>
                </w:trPr>
                <w:sdt>
                  <w:sdtPr>
                    <w:tag w:val="_PLD_377c539e51b74e8689b49d91a30d6a9f"/>
                    <w:id w:val="1669293410"/>
                    <w:lock w:val="sdtLocked"/>
                  </w:sdtPr>
                  <w:sdtEndPr/>
                  <w:sdtContent>
                    <w:tc>
                      <w:tcPr>
                        <w:tcW w:w="2450" w:type="dxa"/>
                      </w:tcPr>
                      <w:p w14:paraId="7D1EDC4B" w14:textId="77777777" w:rsidR="00471D53" w:rsidRDefault="004F686E">
                        <w:pPr>
                          <w:rPr>
                            <w:sz w:val="18"/>
                            <w:szCs w:val="18"/>
                          </w:rPr>
                        </w:pPr>
                        <w:r>
                          <w:rPr>
                            <w:sz w:val="18"/>
                            <w:szCs w:val="18"/>
                          </w:rPr>
                          <w:t>（</w:t>
                        </w:r>
                        <w:r>
                          <w:rPr>
                            <w:rFonts w:hint="eastAsia"/>
                            <w:sz w:val="18"/>
                            <w:szCs w:val="18"/>
                          </w:rPr>
                          <w:t>四</w:t>
                        </w:r>
                        <w:r>
                          <w:rPr>
                            <w:sz w:val="18"/>
                            <w:szCs w:val="18"/>
                          </w:rPr>
                          <w:t>）所有者权益内部结转</w:t>
                        </w:r>
                      </w:p>
                    </w:tc>
                  </w:sdtContent>
                </w:sdt>
                <w:tc>
                  <w:tcPr>
                    <w:tcW w:w="1321" w:type="dxa"/>
                    <w:tcBorders>
                      <w:right w:val="single" w:sz="4" w:space="0" w:color="auto"/>
                    </w:tcBorders>
                  </w:tcPr>
                  <w:p w14:paraId="62F77FA1" w14:textId="77777777" w:rsidR="00471D53" w:rsidRDefault="00B664AF">
                    <w:pPr>
                      <w:jc w:val="right"/>
                      <w:rPr>
                        <w:sz w:val="18"/>
                        <w:szCs w:val="18"/>
                      </w:rPr>
                    </w:pPr>
                  </w:p>
                </w:tc>
                <w:tc>
                  <w:tcPr>
                    <w:tcW w:w="807" w:type="dxa"/>
                    <w:tcBorders>
                      <w:left w:val="single" w:sz="4" w:space="0" w:color="auto"/>
                      <w:right w:val="single" w:sz="4" w:space="0" w:color="auto"/>
                    </w:tcBorders>
                  </w:tcPr>
                  <w:p w14:paraId="4BE82438" w14:textId="77777777" w:rsidR="00471D53" w:rsidRDefault="00B664AF">
                    <w:pPr>
                      <w:jc w:val="right"/>
                      <w:rPr>
                        <w:sz w:val="18"/>
                        <w:szCs w:val="18"/>
                      </w:rPr>
                    </w:pPr>
                  </w:p>
                </w:tc>
                <w:tc>
                  <w:tcPr>
                    <w:tcW w:w="894" w:type="dxa"/>
                    <w:tcBorders>
                      <w:left w:val="single" w:sz="4" w:space="0" w:color="auto"/>
                      <w:right w:val="single" w:sz="4" w:space="0" w:color="auto"/>
                    </w:tcBorders>
                  </w:tcPr>
                  <w:p w14:paraId="23C2654B" w14:textId="77777777" w:rsidR="00471D53" w:rsidRDefault="00B664AF">
                    <w:pPr>
                      <w:jc w:val="right"/>
                      <w:rPr>
                        <w:sz w:val="18"/>
                        <w:szCs w:val="18"/>
                      </w:rPr>
                    </w:pPr>
                  </w:p>
                </w:tc>
                <w:tc>
                  <w:tcPr>
                    <w:tcW w:w="708" w:type="dxa"/>
                    <w:tcBorders>
                      <w:left w:val="single" w:sz="4" w:space="0" w:color="auto"/>
                    </w:tcBorders>
                  </w:tcPr>
                  <w:p w14:paraId="73B4A5C4" w14:textId="77777777" w:rsidR="00471D53" w:rsidRDefault="00B664AF">
                    <w:pPr>
                      <w:jc w:val="right"/>
                      <w:rPr>
                        <w:sz w:val="18"/>
                        <w:szCs w:val="18"/>
                      </w:rPr>
                    </w:pPr>
                  </w:p>
                </w:tc>
                <w:tc>
                  <w:tcPr>
                    <w:tcW w:w="1276" w:type="dxa"/>
                  </w:tcPr>
                  <w:p w14:paraId="744840E4" w14:textId="77777777" w:rsidR="00471D53" w:rsidRDefault="00B664AF">
                    <w:pPr>
                      <w:jc w:val="right"/>
                      <w:rPr>
                        <w:sz w:val="18"/>
                        <w:szCs w:val="18"/>
                      </w:rPr>
                    </w:pPr>
                  </w:p>
                </w:tc>
                <w:tc>
                  <w:tcPr>
                    <w:tcW w:w="851" w:type="dxa"/>
                  </w:tcPr>
                  <w:p w14:paraId="12EE723A" w14:textId="77777777" w:rsidR="00471D53" w:rsidRDefault="00B664AF">
                    <w:pPr>
                      <w:jc w:val="right"/>
                      <w:rPr>
                        <w:sz w:val="18"/>
                        <w:szCs w:val="18"/>
                      </w:rPr>
                    </w:pPr>
                  </w:p>
                </w:tc>
                <w:tc>
                  <w:tcPr>
                    <w:tcW w:w="850" w:type="dxa"/>
                  </w:tcPr>
                  <w:p w14:paraId="60A0D73C" w14:textId="77777777" w:rsidR="00471D53" w:rsidRDefault="00B664AF">
                    <w:pPr>
                      <w:jc w:val="right"/>
                      <w:rPr>
                        <w:sz w:val="18"/>
                        <w:szCs w:val="18"/>
                      </w:rPr>
                    </w:pPr>
                  </w:p>
                </w:tc>
                <w:tc>
                  <w:tcPr>
                    <w:tcW w:w="709" w:type="dxa"/>
                  </w:tcPr>
                  <w:p w14:paraId="156E1388" w14:textId="77777777" w:rsidR="00471D53" w:rsidRDefault="00B664AF">
                    <w:pPr>
                      <w:jc w:val="right"/>
                      <w:rPr>
                        <w:sz w:val="18"/>
                        <w:szCs w:val="18"/>
                      </w:rPr>
                    </w:pPr>
                  </w:p>
                </w:tc>
                <w:tc>
                  <w:tcPr>
                    <w:tcW w:w="1276" w:type="dxa"/>
                  </w:tcPr>
                  <w:p w14:paraId="3AF0101D" w14:textId="77777777" w:rsidR="00471D53" w:rsidRDefault="00B664AF">
                    <w:pPr>
                      <w:jc w:val="right"/>
                      <w:rPr>
                        <w:sz w:val="18"/>
                        <w:szCs w:val="18"/>
                      </w:rPr>
                    </w:pPr>
                  </w:p>
                </w:tc>
                <w:tc>
                  <w:tcPr>
                    <w:tcW w:w="1275" w:type="dxa"/>
                  </w:tcPr>
                  <w:p w14:paraId="26A6FBDB" w14:textId="77777777" w:rsidR="00471D53" w:rsidRDefault="00B664AF">
                    <w:pPr>
                      <w:jc w:val="right"/>
                      <w:rPr>
                        <w:sz w:val="18"/>
                        <w:szCs w:val="18"/>
                      </w:rPr>
                    </w:pPr>
                  </w:p>
                </w:tc>
                <w:tc>
                  <w:tcPr>
                    <w:tcW w:w="1543" w:type="dxa"/>
                  </w:tcPr>
                  <w:p w14:paraId="6F18D9CC" w14:textId="77777777" w:rsidR="00471D53" w:rsidRDefault="00B664AF">
                    <w:pPr>
                      <w:jc w:val="right"/>
                      <w:rPr>
                        <w:sz w:val="18"/>
                        <w:szCs w:val="18"/>
                      </w:rPr>
                    </w:pPr>
                  </w:p>
                </w:tc>
              </w:tr>
              <w:tr w:rsidR="00471D53" w14:paraId="0DD8B8C5" w14:textId="77777777" w:rsidTr="001279EE">
                <w:trPr>
                  <w:trHeight w:val="20"/>
                </w:trPr>
                <w:sdt>
                  <w:sdtPr>
                    <w:tag w:val="_PLD_9d82304ad85542d89ad56bdebdedd7c5"/>
                    <w:id w:val="-1306935342"/>
                    <w:lock w:val="sdtLocked"/>
                  </w:sdtPr>
                  <w:sdtEndPr/>
                  <w:sdtContent>
                    <w:tc>
                      <w:tcPr>
                        <w:tcW w:w="2450" w:type="dxa"/>
                      </w:tcPr>
                      <w:p w14:paraId="677C05FB" w14:textId="77777777" w:rsidR="00471D53" w:rsidRDefault="004F686E">
                        <w:pPr>
                          <w:rPr>
                            <w:sz w:val="18"/>
                            <w:szCs w:val="18"/>
                          </w:rPr>
                        </w:pPr>
                        <w:r>
                          <w:rPr>
                            <w:sz w:val="18"/>
                            <w:szCs w:val="18"/>
                          </w:rPr>
                          <w:t>1．资本公积转增资本（或股本）</w:t>
                        </w:r>
                      </w:p>
                    </w:tc>
                  </w:sdtContent>
                </w:sdt>
                <w:tc>
                  <w:tcPr>
                    <w:tcW w:w="1321" w:type="dxa"/>
                    <w:tcBorders>
                      <w:right w:val="single" w:sz="4" w:space="0" w:color="auto"/>
                    </w:tcBorders>
                  </w:tcPr>
                  <w:p w14:paraId="127B9697" w14:textId="77777777" w:rsidR="00471D53" w:rsidRDefault="00B664AF">
                    <w:pPr>
                      <w:jc w:val="right"/>
                      <w:rPr>
                        <w:sz w:val="18"/>
                        <w:szCs w:val="18"/>
                      </w:rPr>
                    </w:pPr>
                  </w:p>
                </w:tc>
                <w:tc>
                  <w:tcPr>
                    <w:tcW w:w="807" w:type="dxa"/>
                    <w:tcBorders>
                      <w:left w:val="single" w:sz="4" w:space="0" w:color="auto"/>
                      <w:right w:val="single" w:sz="4" w:space="0" w:color="auto"/>
                    </w:tcBorders>
                  </w:tcPr>
                  <w:p w14:paraId="2A4CE9B6" w14:textId="77777777" w:rsidR="00471D53" w:rsidRDefault="00B664AF">
                    <w:pPr>
                      <w:jc w:val="right"/>
                      <w:rPr>
                        <w:sz w:val="18"/>
                        <w:szCs w:val="18"/>
                      </w:rPr>
                    </w:pPr>
                  </w:p>
                </w:tc>
                <w:tc>
                  <w:tcPr>
                    <w:tcW w:w="894" w:type="dxa"/>
                    <w:tcBorders>
                      <w:left w:val="single" w:sz="4" w:space="0" w:color="auto"/>
                      <w:right w:val="single" w:sz="4" w:space="0" w:color="auto"/>
                    </w:tcBorders>
                  </w:tcPr>
                  <w:p w14:paraId="63AEB033" w14:textId="77777777" w:rsidR="00471D53" w:rsidRDefault="00B664AF">
                    <w:pPr>
                      <w:jc w:val="right"/>
                      <w:rPr>
                        <w:sz w:val="18"/>
                        <w:szCs w:val="18"/>
                      </w:rPr>
                    </w:pPr>
                  </w:p>
                </w:tc>
                <w:tc>
                  <w:tcPr>
                    <w:tcW w:w="708" w:type="dxa"/>
                    <w:tcBorders>
                      <w:left w:val="single" w:sz="4" w:space="0" w:color="auto"/>
                    </w:tcBorders>
                  </w:tcPr>
                  <w:p w14:paraId="3FAA8080" w14:textId="77777777" w:rsidR="00471D53" w:rsidRDefault="00B664AF">
                    <w:pPr>
                      <w:jc w:val="right"/>
                      <w:rPr>
                        <w:sz w:val="18"/>
                        <w:szCs w:val="18"/>
                      </w:rPr>
                    </w:pPr>
                  </w:p>
                </w:tc>
                <w:tc>
                  <w:tcPr>
                    <w:tcW w:w="1276" w:type="dxa"/>
                  </w:tcPr>
                  <w:p w14:paraId="0B107E87" w14:textId="77777777" w:rsidR="00471D53" w:rsidRDefault="00B664AF">
                    <w:pPr>
                      <w:jc w:val="right"/>
                      <w:rPr>
                        <w:sz w:val="18"/>
                        <w:szCs w:val="18"/>
                      </w:rPr>
                    </w:pPr>
                  </w:p>
                </w:tc>
                <w:tc>
                  <w:tcPr>
                    <w:tcW w:w="851" w:type="dxa"/>
                  </w:tcPr>
                  <w:p w14:paraId="12D2B439" w14:textId="77777777" w:rsidR="00471D53" w:rsidRDefault="00B664AF">
                    <w:pPr>
                      <w:jc w:val="right"/>
                      <w:rPr>
                        <w:sz w:val="18"/>
                        <w:szCs w:val="18"/>
                      </w:rPr>
                    </w:pPr>
                  </w:p>
                </w:tc>
                <w:tc>
                  <w:tcPr>
                    <w:tcW w:w="850" w:type="dxa"/>
                  </w:tcPr>
                  <w:p w14:paraId="3858A482" w14:textId="77777777" w:rsidR="00471D53" w:rsidRDefault="00B664AF">
                    <w:pPr>
                      <w:jc w:val="right"/>
                      <w:rPr>
                        <w:sz w:val="18"/>
                        <w:szCs w:val="18"/>
                      </w:rPr>
                    </w:pPr>
                  </w:p>
                </w:tc>
                <w:tc>
                  <w:tcPr>
                    <w:tcW w:w="709" w:type="dxa"/>
                  </w:tcPr>
                  <w:p w14:paraId="3BABD2BD" w14:textId="77777777" w:rsidR="00471D53" w:rsidRDefault="00B664AF">
                    <w:pPr>
                      <w:jc w:val="right"/>
                      <w:rPr>
                        <w:sz w:val="18"/>
                        <w:szCs w:val="18"/>
                      </w:rPr>
                    </w:pPr>
                  </w:p>
                </w:tc>
                <w:tc>
                  <w:tcPr>
                    <w:tcW w:w="1276" w:type="dxa"/>
                  </w:tcPr>
                  <w:p w14:paraId="49C06963" w14:textId="77777777" w:rsidR="00471D53" w:rsidRDefault="00B664AF">
                    <w:pPr>
                      <w:jc w:val="right"/>
                      <w:rPr>
                        <w:sz w:val="18"/>
                        <w:szCs w:val="18"/>
                      </w:rPr>
                    </w:pPr>
                  </w:p>
                </w:tc>
                <w:tc>
                  <w:tcPr>
                    <w:tcW w:w="1275" w:type="dxa"/>
                  </w:tcPr>
                  <w:p w14:paraId="7597D4CD" w14:textId="77777777" w:rsidR="00471D53" w:rsidRDefault="00B664AF">
                    <w:pPr>
                      <w:jc w:val="right"/>
                      <w:rPr>
                        <w:sz w:val="18"/>
                        <w:szCs w:val="18"/>
                      </w:rPr>
                    </w:pPr>
                  </w:p>
                </w:tc>
                <w:tc>
                  <w:tcPr>
                    <w:tcW w:w="1543" w:type="dxa"/>
                  </w:tcPr>
                  <w:p w14:paraId="5CCBB482" w14:textId="77777777" w:rsidR="00471D53" w:rsidRDefault="00B664AF">
                    <w:pPr>
                      <w:jc w:val="right"/>
                      <w:rPr>
                        <w:sz w:val="18"/>
                        <w:szCs w:val="18"/>
                      </w:rPr>
                    </w:pPr>
                  </w:p>
                </w:tc>
              </w:tr>
              <w:tr w:rsidR="00471D53" w14:paraId="7F2A2069" w14:textId="77777777" w:rsidTr="001279EE">
                <w:trPr>
                  <w:trHeight w:val="20"/>
                </w:trPr>
                <w:sdt>
                  <w:sdtPr>
                    <w:tag w:val="_PLD_ba5c81951f1c4ff0a188b55532ed96a5"/>
                    <w:id w:val="1161968739"/>
                    <w:lock w:val="sdtLocked"/>
                  </w:sdtPr>
                  <w:sdtEndPr/>
                  <w:sdtContent>
                    <w:tc>
                      <w:tcPr>
                        <w:tcW w:w="2450" w:type="dxa"/>
                      </w:tcPr>
                      <w:p w14:paraId="4E35135D" w14:textId="77777777" w:rsidR="00471D53" w:rsidRDefault="004F686E">
                        <w:pPr>
                          <w:rPr>
                            <w:sz w:val="18"/>
                            <w:szCs w:val="18"/>
                          </w:rPr>
                        </w:pPr>
                        <w:r>
                          <w:rPr>
                            <w:sz w:val="18"/>
                            <w:szCs w:val="18"/>
                          </w:rPr>
                          <w:t>2．盈余公积转增资本（或股本）</w:t>
                        </w:r>
                      </w:p>
                    </w:tc>
                  </w:sdtContent>
                </w:sdt>
                <w:tc>
                  <w:tcPr>
                    <w:tcW w:w="1321" w:type="dxa"/>
                    <w:tcBorders>
                      <w:right w:val="single" w:sz="4" w:space="0" w:color="auto"/>
                    </w:tcBorders>
                  </w:tcPr>
                  <w:p w14:paraId="48D5DF1A" w14:textId="77777777" w:rsidR="00471D53" w:rsidRDefault="00B664AF">
                    <w:pPr>
                      <w:jc w:val="right"/>
                      <w:rPr>
                        <w:sz w:val="18"/>
                        <w:szCs w:val="18"/>
                      </w:rPr>
                    </w:pPr>
                  </w:p>
                </w:tc>
                <w:tc>
                  <w:tcPr>
                    <w:tcW w:w="807" w:type="dxa"/>
                    <w:tcBorders>
                      <w:left w:val="single" w:sz="4" w:space="0" w:color="auto"/>
                      <w:right w:val="single" w:sz="4" w:space="0" w:color="auto"/>
                    </w:tcBorders>
                  </w:tcPr>
                  <w:p w14:paraId="4FDCBA1E" w14:textId="77777777" w:rsidR="00471D53" w:rsidRDefault="00B664AF">
                    <w:pPr>
                      <w:jc w:val="right"/>
                      <w:rPr>
                        <w:sz w:val="18"/>
                        <w:szCs w:val="18"/>
                      </w:rPr>
                    </w:pPr>
                  </w:p>
                </w:tc>
                <w:tc>
                  <w:tcPr>
                    <w:tcW w:w="894" w:type="dxa"/>
                    <w:tcBorders>
                      <w:left w:val="single" w:sz="4" w:space="0" w:color="auto"/>
                      <w:right w:val="single" w:sz="4" w:space="0" w:color="auto"/>
                    </w:tcBorders>
                  </w:tcPr>
                  <w:p w14:paraId="61DCEA49" w14:textId="77777777" w:rsidR="00471D53" w:rsidRDefault="00B664AF">
                    <w:pPr>
                      <w:jc w:val="right"/>
                      <w:rPr>
                        <w:sz w:val="18"/>
                        <w:szCs w:val="18"/>
                      </w:rPr>
                    </w:pPr>
                  </w:p>
                </w:tc>
                <w:tc>
                  <w:tcPr>
                    <w:tcW w:w="708" w:type="dxa"/>
                    <w:tcBorders>
                      <w:left w:val="single" w:sz="4" w:space="0" w:color="auto"/>
                    </w:tcBorders>
                  </w:tcPr>
                  <w:p w14:paraId="7314E71B" w14:textId="77777777" w:rsidR="00471D53" w:rsidRDefault="00B664AF">
                    <w:pPr>
                      <w:jc w:val="right"/>
                      <w:rPr>
                        <w:sz w:val="18"/>
                        <w:szCs w:val="18"/>
                      </w:rPr>
                    </w:pPr>
                  </w:p>
                </w:tc>
                <w:tc>
                  <w:tcPr>
                    <w:tcW w:w="1276" w:type="dxa"/>
                  </w:tcPr>
                  <w:p w14:paraId="03F2E8EE" w14:textId="77777777" w:rsidR="00471D53" w:rsidRDefault="00B664AF">
                    <w:pPr>
                      <w:jc w:val="right"/>
                      <w:rPr>
                        <w:sz w:val="18"/>
                        <w:szCs w:val="18"/>
                      </w:rPr>
                    </w:pPr>
                  </w:p>
                </w:tc>
                <w:tc>
                  <w:tcPr>
                    <w:tcW w:w="851" w:type="dxa"/>
                  </w:tcPr>
                  <w:p w14:paraId="18DE9827" w14:textId="77777777" w:rsidR="00471D53" w:rsidRDefault="00B664AF">
                    <w:pPr>
                      <w:jc w:val="right"/>
                      <w:rPr>
                        <w:sz w:val="18"/>
                        <w:szCs w:val="18"/>
                      </w:rPr>
                    </w:pPr>
                  </w:p>
                </w:tc>
                <w:tc>
                  <w:tcPr>
                    <w:tcW w:w="850" w:type="dxa"/>
                  </w:tcPr>
                  <w:p w14:paraId="2E7FD1A8" w14:textId="77777777" w:rsidR="00471D53" w:rsidRDefault="00B664AF">
                    <w:pPr>
                      <w:jc w:val="right"/>
                      <w:rPr>
                        <w:sz w:val="18"/>
                        <w:szCs w:val="18"/>
                      </w:rPr>
                    </w:pPr>
                  </w:p>
                </w:tc>
                <w:tc>
                  <w:tcPr>
                    <w:tcW w:w="709" w:type="dxa"/>
                  </w:tcPr>
                  <w:p w14:paraId="789AEA6D" w14:textId="77777777" w:rsidR="00471D53" w:rsidRDefault="00B664AF">
                    <w:pPr>
                      <w:jc w:val="right"/>
                      <w:rPr>
                        <w:sz w:val="18"/>
                        <w:szCs w:val="18"/>
                      </w:rPr>
                    </w:pPr>
                  </w:p>
                </w:tc>
                <w:tc>
                  <w:tcPr>
                    <w:tcW w:w="1276" w:type="dxa"/>
                  </w:tcPr>
                  <w:p w14:paraId="6A2053FA" w14:textId="77777777" w:rsidR="00471D53" w:rsidRDefault="00B664AF">
                    <w:pPr>
                      <w:jc w:val="right"/>
                      <w:rPr>
                        <w:sz w:val="18"/>
                        <w:szCs w:val="18"/>
                      </w:rPr>
                    </w:pPr>
                  </w:p>
                </w:tc>
                <w:tc>
                  <w:tcPr>
                    <w:tcW w:w="1275" w:type="dxa"/>
                  </w:tcPr>
                  <w:p w14:paraId="75428BBD" w14:textId="77777777" w:rsidR="00471D53" w:rsidRDefault="00B664AF">
                    <w:pPr>
                      <w:jc w:val="right"/>
                      <w:rPr>
                        <w:sz w:val="18"/>
                        <w:szCs w:val="18"/>
                      </w:rPr>
                    </w:pPr>
                  </w:p>
                </w:tc>
                <w:tc>
                  <w:tcPr>
                    <w:tcW w:w="1543" w:type="dxa"/>
                  </w:tcPr>
                  <w:p w14:paraId="14F7BD69" w14:textId="77777777" w:rsidR="00471D53" w:rsidRDefault="00B664AF">
                    <w:pPr>
                      <w:jc w:val="right"/>
                      <w:rPr>
                        <w:sz w:val="18"/>
                        <w:szCs w:val="18"/>
                      </w:rPr>
                    </w:pPr>
                  </w:p>
                </w:tc>
              </w:tr>
              <w:tr w:rsidR="00471D53" w14:paraId="312DDEF6" w14:textId="77777777" w:rsidTr="001279EE">
                <w:trPr>
                  <w:trHeight w:val="20"/>
                </w:trPr>
                <w:sdt>
                  <w:sdtPr>
                    <w:tag w:val="_PLD_81b068c4cdf2482a9438450e52e9b3b4"/>
                    <w:id w:val="90205176"/>
                    <w:lock w:val="sdtLocked"/>
                  </w:sdtPr>
                  <w:sdtEndPr/>
                  <w:sdtContent>
                    <w:tc>
                      <w:tcPr>
                        <w:tcW w:w="2450" w:type="dxa"/>
                      </w:tcPr>
                      <w:p w14:paraId="0E2A4FFD" w14:textId="77777777" w:rsidR="00471D53" w:rsidRDefault="004F686E">
                        <w:pPr>
                          <w:rPr>
                            <w:sz w:val="18"/>
                            <w:szCs w:val="18"/>
                          </w:rPr>
                        </w:pPr>
                        <w:r>
                          <w:rPr>
                            <w:sz w:val="18"/>
                            <w:szCs w:val="18"/>
                          </w:rPr>
                          <w:t>3．盈余公积弥补亏损</w:t>
                        </w:r>
                      </w:p>
                    </w:tc>
                  </w:sdtContent>
                </w:sdt>
                <w:tc>
                  <w:tcPr>
                    <w:tcW w:w="1321" w:type="dxa"/>
                    <w:tcBorders>
                      <w:right w:val="single" w:sz="4" w:space="0" w:color="auto"/>
                    </w:tcBorders>
                  </w:tcPr>
                  <w:p w14:paraId="3ADEB3AA" w14:textId="77777777" w:rsidR="00471D53" w:rsidRDefault="00B664AF">
                    <w:pPr>
                      <w:jc w:val="right"/>
                      <w:rPr>
                        <w:sz w:val="18"/>
                        <w:szCs w:val="18"/>
                      </w:rPr>
                    </w:pPr>
                  </w:p>
                </w:tc>
                <w:tc>
                  <w:tcPr>
                    <w:tcW w:w="807" w:type="dxa"/>
                    <w:tcBorders>
                      <w:left w:val="single" w:sz="4" w:space="0" w:color="auto"/>
                      <w:right w:val="single" w:sz="4" w:space="0" w:color="auto"/>
                    </w:tcBorders>
                  </w:tcPr>
                  <w:p w14:paraId="0C9F52E2" w14:textId="77777777" w:rsidR="00471D53" w:rsidRDefault="00B664AF">
                    <w:pPr>
                      <w:jc w:val="right"/>
                      <w:rPr>
                        <w:sz w:val="18"/>
                        <w:szCs w:val="18"/>
                      </w:rPr>
                    </w:pPr>
                  </w:p>
                </w:tc>
                <w:tc>
                  <w:tcPr>
                    <w:tcW w:w="894" w:type="dxa"/>
                    <w:tcBorders>
                      <w:left w:val="single" w:sz="4" w:space="0" w:color="auto"/>
                      <w:right w:val="single" w:sz="4" w:space="0" w:color="auto"/>
                    </w:tcBorders>
                  </w:tcPr>
                  <w:p w14:paraId="573B5E93" w14:textId="77777777" w:rsidR="00471D53" w:rsidRDefault="00B664AF">
                    <w:pPr>
                      <w:jc w:val="right"/>
                      <w:rPr>
                        <w:sz w:val="18"/>
                        <w:szCs w:val="18"/>
                      </w:rPr>
                    </w:pPr>
                  </w:p>
                </w:tc>
                <w:tc>
                  <w:tcPr>
                    <w:tcW w:w="708" w:type="dxa"/>
                    <w:tcBorders>
                      <w:left w:val="single" w:sz="4" w:space="0" w:color="auto"/>
                    </w:tcBorders>
                  </w:tcPr>
                  <w:p w14:paraId="1BA80944" w14:textId="77777777" w:rsidR="00471D53" w:rsidRDefault="00B664AF">
                    <w:pPr>
                      <w:jc w:val="right"/>
                      <w:rPr>
                        <w:sz w:val="18"/>
                        <w:szCs w:val="18"/>
                      </w:rPr>
                    </w:pPr>
                  </w:p>
                </w:tc>
                <w:tc>
                  <w:tcPr>
                    <w:tcW w:w="1276" w:type="dxa"/>
                  </w:tcPr>
                  <w:p w14:paraId="187843B5" w14:textId="77777777" w:rsidR="00471D53" w:rsidRDefault="00B664AF">
                    <w:pPr>
                      <w:jc w:val="right"/>
                      <w:rPr>
                        <w:sz w:val="18"/>
                        <w:szCs w:val="18"/>
                      </w:rPr>
                    </w:pPr>
                  </w:p>
                </w:tc>
                <w:tc>
                  <w:tcPr>
                    <w:tcW w:w="851" w:type="dxa"/>
                  </w:tcPr>
                  <w:p w14:paraId="58CA2D9A" w14:textId="77777777" w:rsidR="00471D53" w:rsidRDefault="00B664AF">
                    <w:pPr>
                      <w:jc w:val="right"/>
                      <w:rPr>
                        <w:sz w:val="18"/>
                        <w:szCs w:val="18"/>
                      </w:rPr>
                    </w:pPr>
                  </w:p>
                </w:tc>
                <w:tc>
                  <w:tcPr>
                    <w:tcW w:w="850" w:type="dxa"/>
                  </w:tcPr>
                  <w:p w14:paraId="5F444549" w14:textId="77777777" w:rsidR="00471D53" w:rsidRDefault="00B664AF">
                    <w:pPr>
                      <w:jc w:val="right"/>
                      <w:rPr>
                        <w:sz w:val="18"/>
                        <w:szCs w:val="18"/>
                      </w:rPr>
                    </w:pPr>
                  </w:p>
                </w:tc>
                <w:tc>
                  <w:tcPr>
                    <w:tcW w:w="709" w:type="dxa"/>
                  </w:tcPr>
                  <w:p w14:paraId="5922E147" w14:textId="77777777" w:rsidR="00471D53" w:rsidRDefault="00B664AF">
                    <w:pPr>
                      <w:jc w:val="right"/>
                      <w:rPr>
                        <w:sz w:val="18"/>
                        <w:szCs w:val="18"/>
                      </w:rPr>
                    </w:pPr>
                  </w:p>
                </w:tc>
                <w:tc>
                  <w:tcPr>
                    <w:tcW w:w="1276" w:type="dxa"/>
                  </w:tcPr>
                  <w:p w14:paraId="2A293FE1" w14:textId="77777777" w:rsidR="00471D53" w:rsidRDefault="00B664AF">
                    <w:pPr>
                      <w:jc w:val="right"/>
                      <w:rPr>
                        <w:sz w:val="18"/>
                        <w:szCs w:val="18"/>
                      </w:rPr>
                    </w:pPr>
                  </w:p>
                </w:tc>
                <w:tc>
                  <w:tcPr>
                    <w:tcW w:w="1275" w:type="dxa"/>
                  </w:tcPr>
                  <w:p w14:paraId="0B846179" w14:textId="77777777" w:rsidR="00471D53" w:rsidRDefault="00B664AF">
                    <w:pPr>
                      <w:jc w:val="right"/>
                      <w:rPr>
                        <w:sz w:val="18"/>
                        <w:szCs w:val="18"/>
                      </w:rPr>
                    </w:pPr>
                  </w:p>
                </w:tc>
                <w:tc>
                  <w:tcPr>
                    <w:tcW w:w="1543" w:type="dxa"/>
                  </w:tcPr>
                  <w:p w14:paraId="709C246A" w14:textId="77777777" w:rsidR="00471D53" w:rsidRDefault="00B664AF">
                    <w:pPr>
                      <w:jc w:val="right"/>
                      <w:rPr>
                        <w:sz w:val="18"/>
                        <w:szCs w:val="18"/>
                      </w:rPr>
                    </w:pPr>
                  </w:p>
                </w:tc>
              </w:tr>
              <w:tr w:rsidR="00471D53" w14:paraId="688F810C" w14:textId="77777777" w:rsidTr="001279EE">
                <w:trPr>
                  <w:trHeight w:val="20"/>
                </w:trPr>
                <w:tc>
                  <w:tcPr>
                    <w:tcW w:w="2450" w:type="dxa"/>
                  </w:tcPr>
                  <w:sdt>
                    <w:sdtPr>
                      <w:rPr>
                        <w:sz w:val="18"/>
                        <w:szCs w:val="18"/>
                      </w:rPr>
                      <w:tag w:val="_PLD_0e7647effaeb42219d706b118465bdec"/>
                      <w:id w:val="1055041566"/>
                      <w:lock w:val="sdtLocked"/>
                    </w:sdtPr>
                    <w:sdtEndPr/>
                    <w:sdtContent>
                      <w:p w14:paraId="47CF3EEF" w14:textId="77777777" w:rsidR="00471D53" w:rsidRDefault="004F686E">
                        <w:r>
                          <w:rPr>
                            <w:sz w:val="18"/>
                            <w:szCs w:val="18"/>
                          </w:rPr>
                          <w:t>4．设定受益计划变动额结转留存收益</w:t>
                        </w:r>
                      </w:p>
                    </w:sdtContent>
                  </w:sdt>
                </w:tc>
                <w:tc>
                  <w:tcPr>
                    <w:tcW w:w="1321" w:type="dxa"/>
                    <w:tcBorders>
                      <w:right w:val="single" w:sz="4" w:space="0" w:color="auto"/>
                    </w:tcBorders>
                  </w:tcPr>
                  <w:p w14:paraId="584BE3CB" w14:textId="77777777" w:rsidR="00471D53" w:rsidRDefault="00B664AF">
                    <w:pPr>
                      <w:jc w:val="right"/>
                      <w:rPr>
                        <w:sz w:val="18"/>
                        <w:szCs w:val="18"/>
                      </w:rPr>
                    </w:pPr>
                  </w:p>
                </w:tc>
                <w:tc>
                  <w:tcPr>
                    <w:tcW w:w="807" w:type="dxa"/>
                    <w:tcBorders>
                      <w:left w:val="single" w:sz="4" w:space="0" w:color="auto"/>
                      <w:right w:val="single" w:sz="4" w:space="0" w:color="auto"/>
                    </w:tcBorders>
                  </w:tcPr>
                  <w:p w14:paraId="726EB8C3" w14:textId="77777777" w:rsidR="00471D53" w:rsidRDefault="00B664AF">
                    <w:pPr>
                      <w:jc w:val="right"/>
                      <w:rPr>
                        <w:sz w:val="18"/>
                        <w:szCs w:val="18"/>
                      </w:rPr>
                    </w:pPr>
                  </w:p>
                </w:tc>
                <w:tc>
                  <w:tcPr>
                    <w:tcW w:w="894" w:type="dxa"/>
                    <w:tcBorders>
                      <w:left w:val="single" w:sz="4" w:space="0" w:color="auto"/>
                      <w:right w:val="single" w:sz="4" w:space="0" w:color="auto"/>
                    </w:tcBorders>
                  </w:tcPr>
                  <w:p w14:paraId="1CB2FEC3" w14:textId="77777777" w:rsidR="00471D53" w:rsidRDefault="00B664AF">
                    <w:pPr>
                      <w:jc w:val="right"/>
                      <w:rPr>
                        <w:sz w:val="18"/>
                        <w:szCs w:val="18"/>
                      </w:rPr>
                    </w:pPr>
                  </w:p>
                </w:tc>
                <w:tc>
                  <w:tcPr>
                    <w:tcW w:w="708" w:type="dxa"/>
                    <w:tcBorders>
                      <w:left w:val="single" w:sz="4" w:space="0" w:color="auto"/>
                    </w:tcBorders>
                  </w:tcPr>
                  <w:p w14:paraId="19E4444D" w14:textId="77777777" w:rsidR="00471D53" w:rsidRDefault="00B664AF">
                    <w:pPr>
                      <w:jc w:val="right"/>
                      <w:rPr>
                        <w:sz w:val="18"/>
                        <w:szCs w:val="18"/>
                      </w:rPr>
                    </w:pPr>
                  </w:p>
                </w:tc>
                <w:tc>
                  <w:tcPr>
                    <w:tcW w:w="1276" w:type="dxa"/>
                  </w:tcPr>
                  <w:p w14:paraId="651D000F" w14:textId="77777777" w:rsidR="00471D53" w:rsidRDefault="00B664AF">
                    <w:pPr>
                      <w:jc w:val="right"/>
                      <w:rPr>
                        <w:sz w:val="18"/>
                        <w:szCs w:val="18"/>
                      </w:rPr>
                    </w:pPr>
                  </w:p>
                </w:tc>
                <w:tc>
                  <w:tcPr>
                    <w:tcW w:w="851" w:type="dxa"/>
                  </w:tcPr>
                  <w:p w14:paraId="2498213C" w14:textId="77777777" w:rsidR="00471D53" w:rsidRDefault="00B664AF">
                    <w:pPr>
                      <w:jc w:val="right"/>
                      <w:rPr>
                        <w:sz w:val="18"/>
                        <w:szCs w:val="18"/>
                      </w:rPr>
                    </w:pPr>
                  </w:p>
                </w:tc>
                <w:tc>
                  <w:tcPr>
                    <w:tcW w:w="850" w:type="dxa"/>
                  </w:tcPr>
                  <w:p w14:paraId="7B3FAFD8" w14:textId="77777777" w:rsidR="00471D53" w:rsidRDefault="00B664AF">
                    <w:pPr>
                      <w:jc w:val="right"/>
                      <w:rPr>
                        <w:sz w:val="18"/>
                        <w:szCs w:val="18"/>
                      </w:rPr>
                    </w:pPr>
                  </w:p>
                </w:tc>
                <w:tc>
                  <w:tcPr>
                    <w:tcW w:w="709" w:type="dxa"/>
                  </w:tcPr>
                  <w:p w14:paraId="5549E262" w14:textId="77777777" w:rsidR="00471D53" w:rsidRDefault="00B664AF">
                    <w:pPr>
                      <w:jc w:val="right"/>
                      <w:rPr>
                        <w:sz w:val="18"/>
                        <w:szCs w:val="18"/>
                      </w:rPr>
                    </w:pPr>
                  </w:p>
                </w:tc>
                <w:tc>
                  <w:tcPr>
                    <w:tcW w:w="1276" w:type="dxa"/>
                  </w:tcPr>
                  <w:p w14:paraId="0E7EBF9E" w14:textId="77777777" w:rsidR="00471D53" w:rsidRDefault="00B664AF">
                    <w:pPr>
                      <w:jc w:val="right"/>
                      <w:rPr>
                        <w:sz w:val="18"/>
                        <w:szCs w:val="18"/>
                      </w:rPr>
                    </w:pPr>
                  </w:p>
                </w:tc>
                <w:tc>
                  <w:tcPr>
                    <w:tcW w:w="1275" w:type="dxa"/>
                  </w:tcPr>
                  <w:p w14:paraId="2F89C719" w14:textId="77777777" w:rsidR="00471D53" w:rsidRDefault="00B664AF">
                    <w:pPr>
                      <w:jc w:val="right"/>
                      <w:rPr>
                        <w:sz w:val="18"/>
                        <w:szCs w:val="18"/>
                      </w:rPr>
                    </w:pPr>
                  </w:p>
                </w:tc>
                <w:tc>
                  <w:tcPr>
                    <w:tcW w:w="1543" w:type="dxa"/>
                  </w:tcPr>
                  <w:p w14:paraId="53A7D47C" w14:textId="77777777" w:rsidR="00471D53" w:rsidRDefault="00B664AF">
                    <w:pPr>
                      <w:jc w:val="right"/>
                      <w:rPr>
                        <w:sz w:val="18"/>
                        <w:szCs w:val="18"/>
                      </w:rPr>
                    </w:pPr>
                  </w:p>
                </w:tc>
              </w:tr>
              <w:tr w:rsidR="00471D53" w14:paraId="16B0699A" w14:textId="77777777" w:rsidTr="001279EE">
                <w:trPr>
                  <w:trHeight w:val="20"/>
                </w:trPr>
                <w:tc>
                  <w:tcPr>
                    <w:tcW w:w="2450" w:type="dxa"/>
                  </w:tcPr>
                  <w:sdt>
                    <w:sdtPr>
                      <w:rPr>
                        <w:sz w:val="18"/>
                        <w:szCs w:val="18"/>
                      </w:rPr>
                      <w:tag w:val="_PLD_1c8ba4a0bb224c1d891e628390545199"/>
                      <w:id w:val="-139883746"/>
                      <w:lock w:val="sdtLocked"/>
                    </w:sdtPr>
                    <w:sdtEndPr/>
                    <w:sdtContent>
                      <w:p w14:paraId="645687B1" w14:textId="77777777" w:rsidR="00471D53" w:rsidRDefault="004F686E">
                        <w:pPr>
                          <w:rPr>
                            <w:sz w:val="18"/>
                            <w:szCs w:val="18"/>
                          </w:rPr>
                        </w:pPr>
                        <w:r>
                          <w:rPr>
                            <w:sz w:val="18"/>
                            <w:szCs w:val="18"/>
                          </w:rPr>
                          <w:t>5．其他综合收益结转留存收益</w:t>
                        </w:r>
                      </w:p>
                    </w:sdtContent>
                  </w:sdt>
                </w:tc>
                <w:tc>
                  <w:tcPr>
                    <w:tcW w:w="1321" w:type="dxa"/>
                    <w:tcBorders>
                      <w:right w:val="single" w:sz="4" w:space="0" w:color="auto"/>
                    </w:tcBorders>
                  </w:tcPr>
                  <w:p w14:paraId="2F496FC3" w14:textId="77777777" w:rsidR="00471D53" w:rsidRDefault="00B664AF">
                    <w:pPr>
                      <w:jc w:val="right"/>
                      <w:rPr>
                        <w:sz w:val="18"/>
                        <w:szCs w:val="18"/>
                      </w:rPr>
                    </w:pPr>
                  </w:p>
                </w:tc>
                <w:tc>
                  <w:tcPr>
                    <w:tcW w:w="807" w:type="dxa"/>
                    <w:tcBorders>
                      <w:left w:val="single" w:sz="4" w:space="0" w:color="auto"/>
                      <w:right w:val="single" w:sz="4" w:space="0" w:color="auto"/>
                    </w:tcBorders>
                  </w:tcPr>
                  <w:p w14:paraId="2F516A7A" w14:textId="77777777" w:rsidR="00471D53" w:rsidRDefault="00B664AF">
                    <w:pPr>
                      <w:jc w:val="right"/>
                      <w:rPr>
                        <w:sz w:val="18"/>
                        <w:szCs w:val="18"/>
                      </w:rPr>
                    </w:pPr>
                  </w:p>
                </w:tc>
                <w:tc>
                  <w:tcPr>
                    <w:tcW w:w="894" w:type="dxa"/>
                    <w:tcBorders>
                      <w:left w:val="single" w:sz="4" w:space="0" w:color="auto"/>
                      <w:right w:val="single" w:sz="4" w:space="0" w:color="auto"/>
                    </w:tcBorders>
                  </w:tcPr>
                  <w:p w14:paraId="616E8D9B" w14:textId="77777777" w:rsidR="00471D53" w:rsidRDefault="00B664AF">
                    <w:pPr>
                      <w:jc w:val="right"/>
                      <w:rPr>
                        <w:sz w:val="18"/>
                        <w:szCs w:val="18"/>
                      </w:rPr>
                    </w:pPr>
                  </w:p>
                </w:tc>
                <w:tc>
                  <w:tcPr>
                    <w:tcW w:w="708" w:type="dxa"/>
                    <w:tcBorders>
                      <w:left w:val="single" w:sz="4" w:space="0" w:color="auto"/>
                    </w:tcBorders>
                  </w:tcPr>
                  <w:p w14:paraId="693B517E" w14:textId="77777777" w:rsidR="00471D53" w:rsidRDefault="00B664AF">
                    <w:pPr>
                      <w:jc w:val="right"/>
                      <w:rPr>
                        <w:sz w:val="18"/>
                        <w:szCs w:val="18"/>
                      </w:rPr>
                    </w:pPr>
                  </w:p>
                </w:tc>
                <w:tc>
                  <w:tcPr>
                    <w:tcW w:w="1276" w:type="dxa"/>
                  </w:tcPr>
                  <w:p w14:paraId="23B234FA" w14:textId="77777777" w:rsidR="00471D53" w:rsidRDefault="00B664AF">
                    <w:pPr>
                      <w:jc w:val="right"/>
                      <w:rPr>
                        <w:sz w:val="18"/>
                        <w:szCs w:val="18"/>
                      </w:rPr>
                    </w:pPr>
                  </w:p>
                </w:tc>
                <w:tc>
                  <w:tcPr>
                    <w:tcW w:w="851" w:type="dxa"/>
                  </w:tcPr>
                  <w:p w14:paraId="06A72B5F" w14:textId="77777777" w:rsidR="00471D53" w:rsidRDefault="00B664AF">
                    <w:pPr>
                      <w:jc w:val="right"/>
                      <w:rPr>
                        <w:sz w:val="18"/>
                        <w:szCs w:val="18"/>
                      </w:rPr>
                    </w:pPr>
                  </w:p>
                </w:tc>
                <w:tc>
                  <w:tcPr>
                    <w:tcW w:w="850" w:type="dxa"/>
                  </w:tcPr>
                  <w:p w14:paraId="5637991A" w14:textId="77777777" w:rsidR="00471D53" w:rsidRDefault="00B664AF">
                    <w:pPr>
                      <w:jc w:val="right"/>
                      <w:rPr>
                        <w:sz w:val="18"/>
                        <w:szCs w:val="18"/>
                      </w:rPr>
                    </w:pPr>
                  </w:p>
                </w:tc>
                <w:tc>
                  <w:tcPr>
                    <w:tcW w:w="709" w:type="dxa"/>
                  </w:tcPr>
                  <w:p w14:paraId="2DF96020" w14:textId="77777777" w:rsidR="00471D53" w:rsidRDefault="00B664AF">
                    <w:pPr>
                      <w:jc w:val="right"/>
                      <w:rPr>
                        <w:sz w:val="18"/>
                        <w:szCs w:val="18"/>
                      </w:rPr>
                    </w:pPr>
                  </w:p>
                </w:tc>
                <w:tc>
                  <w:tcPr>
                    <w:tcW w:w="1276" w:type="dxa"/>
                  </w:tcPr>
                  <w:p w14:paraId="52E971C2" w14:textId="77777777" w:rsidR="00471D53" w:rsidRDefault="00B664AF">
                    <w:pPr>
                      <w:jc w:val="right"/>
                      <w:rPr>
                        <w:sz w:val="18"/>
                        <w:szCs w:val="18"/>
                      </w:rPr>
                    </w:pPr>
                  </w:p>
                </w:tc>
                <w:tc>
                  <w:tcPr>
                    <w:tcW w:w="1275" w:type="dxa"/>
                  </w:tcPr>
                  <w:p w14:paraId="60BDF9EA" w14:textId="77777777" w:rsidR="00471D53" w:rsidRDefault="00B664AF">
                    <w:pPr>
                      <w:jc w:val="right"/>
                      <w:rPr>
                        <w:sz w:val="18"/>
                        <w:szCs w:val="18"/>
                      </w:rPr>
                    </w:pPr>
                  </w:p>
                </w:tc>
                <w:tc>
                  <w:tcPr>
                    <w:tcW w:w="1543" w:type="dxa"/>
                  </w:tcPr>
                  <w:p w14:paraId="7329690F" w14:textId="77777777" w:rsidR="00471D53" w:rsidRDefault="00B664AF">
                    <w:pPr>
                      <w:jc w:val="right"/>
                      <w:rPr>
                        <w:sz w:val="18"/>
                        <w:szCs w:val="18"/>
                      </w:rPr>
                    </w:pPr>
                  </w:p>
                </w:tc>
              </w:tr>
              <w:tr w:rsidR="00471D53" w14:paraId="1B397D64" w14:textId="77777777" w:rsidTr="001279EE">
                <w:trPr>
                  <w:trHeight w:val="20"/>
                </w:trPr>
                <w:tc>
                  <w:tcPr>
                    <w:tcW w:w="2450" w:type="dxa"/>
                  </w:tcPr>
                  <w:sdt>
                    <w:sdtPr>
                      <w:rPr>
                        <w:sz w:val="18"/>
                        <w:szCs w:val="18"/>
                      </w:rPr>
                      <w:tag w:val="_PLD_69d4adb536bf498a8a9d97dda9d31e75"/>
                      <w:id w:val="1694100954"/>
                      <w:lock w:val="sdtLocked"/>
                    </w:sdtPr>
                    <w:sdtEndPr/>
                    <w:sdtContent>
                      <w:p w14:paraId="08CFE3E2" w14:textId="77777777" w:rsidR="00471D53" w:rsidRDefault="004F686E">
                        <w:r>
                          <w:rPr>
                            <w:sz w:val="18"/>
                            <w:szCs w:val="18"/>
                          </w:rPr>
                          <w:t>6．其他</w:t>
                        </w:r>
                      </w:p>
                    </w:sdtContent>
                  </w:sdt>
                </w:tc>
                <w:tc>
                  <w:tcPr>
                    <w:tcW w:w="1321" w:type="dxa"/>
                    <w:tcBorders>
                      <w:right w:val="single" w:sz="4" w:space="0" w:color="auto"/>
                    </w:tcBorders>
                  </w:tcPr>
                  <w:p w14:paraId="67F98298" w14:textId="77777777" w:rsidR="00471D53" w:rsidRDefault="00B664AF">
                    <w:pPr>
                      <w:jc w:val="right"/>
                      <w:rPr>
                        <w:sz w:val="18"/>
                        <w:szCs w:val="18"/>
                      </w:rPr>
                    </w:pPr>
                  </w:p>
                </w:tc>
                <w:tc>
                  <w:tcPr>
                    <w:tcW w:w="807" w:type="dxa"/>
                    <w:tcBorders>
                      <w:left w:val="single" w:sz="4" w:space="0" w:color="auto"/>
                      <w:right w:val="single" w:sz="4" w:space="0" w:color="auto"/>
                    </w:tcBorders>
                  </w:tcPr>
                  <w:p w14:paraId="6A13DECD" w14:textId="77777777" w:rsidR="00471D53" w:rsidRDefault="00B664AF">
                    <w:pPr>
                      <w:jc w:val="right"/>
                      <w:rPr>
                        <w:sz w:val="18"/>
                        <w:szCs w:val="18"/>
                      </w:rPr>
                    </w:pPr>
                  </w:p>
                </w:tc>
                <w:tc>
                  <w:tcPr>
                    <w:tcW w:w="894" w:type="dxa"/>
                    <w:tcBorders>
                      <w:left w:val="single" w:sz="4" w:space="0" w:color="auto"/>
                      <w:right w:val="single" w:sz="4" w:space="0" w:color="auto"/>
                    </w:tcBorders>
                  </w:tcPr>
                  <w:p w14:paraId="175759A8" w14:textId="77777777" w:rsidR="00471D53" w:rsidRDefault="00B664AF">
                    <w:pPr>
                      <w:jc w:val="right"/>
                      <w:rPr>
                        <w:sz w:val="18"/>
                        <w:szCs w:val="18"/>
                      </w:rPr>
                    </w:pPr>
                  </w:p>
                </w:tc>
                <w:tc>
                  <w:tcPr>
                    <w:tcW w:w="708" w:type="dxa"/>
                    <w:tcBorders>
                      <w:left w:val="single" w:sz="4" w:space="0" w:color="auto"/>
                    </w:tcBorders>
                  </w:tcPr>
                  <w:p w14:paraId="0D174D30" w14:textId="77777777" w:rsidR="00471D53" w:rsidRDefault="00B664AF">
                    <w:pPr>
                      <w:jc w:val="right"/>
                      <w:rPr>
                        <w:sz w:val="18"/>
                        <w:szCs w:val="18"/>
                      </w:rPr>
                    </w:pPr>
                  </w:p>
                </w:tc>
                <w:tc>
                  <w:tcPr>
                    <w:tcW w:w="1276" w:type="dxa"/>
                  </w:tcPr>
                  <w:p w14:paraId="51F8E508" w14:textId="77777777" w:rsidR="00471D53" w:rsidRDefault="00B664AF">
                    <w:pPr>
                      <w:jc w:val="right"/>
                      <w:rPr>
                        <w:sz w:val="18"/>
                        <w:szCs w:val="18"/>
                      </w:rPr>
                    </w:pPr>
                  </w:p>
                </w:tc>
                <w:tc>
                  <w:tcPr>
                    <w:tcW w:w="851" w:type="dxa"/>
                  </w:tcPr>
                  <w:p w14:paraId="54773F65" w14:textId="77777777" w:rsidR="00471D53" w:rsidRDefault="00B664AF">
                    <w:pPr>
                      <w:jc w:val="right"/>
                      <w:rPr>
                        <w:sz w:val="18"/>
                        <w:szCs w:val="18"/>
                      </w:rPr>
                    </w:pPr>
                  </w:p>
                </w:tc>
                <w:tc>
                  <w:tcPr>
                    <w:tcW w:w="850" w:type="dxa"/>
                  </w:tcPr>
                  <w:p w14:paraId="7DC7D736" w14:textId="77777777" w:rsidR="00471D53" w:rsidRDefault="00B664AF">
                    <w:pPr>
                      <w:jc w:val="right"/>
                      <w:rPr>
                        <w:sz w:val="18"/>
                        <w:szCs w:val="18"/>
                      </w:rPr>
                    </w:pPr>
                  </w:p>
                </w:tc>
                <w:tc>
                  <w:tcPr>
                    <w:tcW w:w="709" w:type="dxa"/>
                  </w:tcPr>
                  <w:p w14:paraId="7698246E" w14:textId="77777777" w:rsidR="00471D53" w:rsidRDefault="00B664AF">
                    <w:pPr>
                      <w:jc w:val="right"/>
                      <w:rPr>
                        <w:sz w:val="18"/>
                        <w:szCs w:val="18"/>
                      </w:rPr>
                    </w:pPr>
                  </w:p>
                </w:tc>
                <w:tc>
                  <w:tcPr>
                    <w:tcW w:w="1276" w:type="dxa"/>
                  </w:tcPr>
                  <w:p w14:paraId="45BA8CDE" w14:textId="77777777" w:rsidR="00471D53" w:rsidRDefault="00B664AF">
                    <w:pPr>
                      <w:jc w:val="right"/>
                      <w:rPr>
                        <w:sz w:val="18"/>
                        <w:szCs w:val="18"/>
                      </w:rPr>
                    </w:pPr>
                  </w:p>
                </w:tc>
                <w:tc>
                  <w:tcPr>
                    <w:tcW w:w="1275" w:type="dxa"/>
                  </w:tcPr>
                  <w:p w14:paraId="20BAF2B2" w14:textId="77777777" w:rsidR="00471D53" w:rsidRDefault="00B664AF">
                    <w:pPr>
                      <w:jc w:val="right"/>
                      <w:rPr>
                        <w:sz w:val="18"/>
                        <w:szCs w:val="18"/>
                      </w:rPr>
                    </w:pPr>
                  </w:p>
                </w:tc>
                <w:tc>
                  <w:tcPr>
                    <w:tcW w:w="1543" w:type="dxa"/>
                  </w:tcPr>
                  <w:p w14:paraId="3EFD6C88" w14:textId="77777777" w:rsidR="00471D53" w:rsidRDefault="00B664AF">
                    <w:pPr>
                      <w:jc w:val="right"/>
                      <w:rPr>
                        <w:sz w:val="18"/>
                        <w:szCs w:val="18"/>
                      </w:rPr>
                    </w:pPr>
                  </w:p>
                </w:tc>
              </w:tr>
              <w:tr w:rsidR="00471D53" w14:paraId="09DE5394" w14:textId="77777777" w:rsidTr="001279EE">
                <w:trPr>
                  <w:trHeight w:val="20"/>
                </w:trPr>
                <w:sdt>
                  <w:sdtPr>
                    <w:tag w:val="_PLD_2ae06251c01740e284196240776af550"/>
                    <w:id w:val="904648898"/>
                    <w:lock w:val="sdtLocked"/>
                  </w:sdtPr>
                  <w:sdtEndPr/>
                  <w:sdtContent>
                    <w:tc>
                      <w:tcPr>
                        <w:tcW w:w="2450" w:type="dxa"/>
                        <w:vAlign w:val="center"/>
                      </w:tcPr>
                      <w:p w14:paraId="078C32F5" w14:textId="77777777" w:rsidR="00471D53" w:rsidRDefault="004F686E">
                        <w:pPr>
                          <w:rPr>
                            <w:sz w:val="18"/>
                            <w:szCs w:val="18"/>
                          </w:rPr>
                        </w:pPr>
                        <w:r>
                          <w:rPr>
                            <w:rFonts w:hint="eastAsia"/>
                            <w:sz w:val="18"/>
                            <w:szCs w:val="18"/>
                          </w:rPr>
                          <w:t>（五）专项储备</w:t>
                        </w:r>
                      </w:p>
                    </w:tc>
                  </w:sdtContent>
                </w:sdt>
                <w:tc>
                  <w:tcPr>
                    <w:tcW w:w="1321" w:type="dxa"/>
                    <w:tcBorders>
                      <w:right w:val="single" w:sz="4" w:space="0" w:color="auto"/>
                    </w:tcBorders>
                  </w:tcPr>
                  <w:p w14:paraId="081DFE65" w14:textId="77777777" w:rsidR="00471D53" w:rsidRDefault="00B664AF">
                    <w:pPr>
                      <w:jc w:val="right"/>
                      <w:rPr>
                        <w:sz w:val="18"/>
                        <w:szCs w:val="18"/>
                      </w:rPr>
                    </w:pPr>
                  </w:p>
                </w:tc>
                <w:tc>
                  <w:tcPr>
                    <w:tcW w:w="807" w:type="dxa"/>
                    <w:tcBorders>
                      <w:left w:val="single" w:sz="4" w:space="0" w:color="auto"/>
                      <w:right w:val="single" w:sz="4" w:space="0" w:color="auto"/>
                    </w:tcBorders>
                  </w:tcPr>
                  <w:p w14:paraId="01B50CA9" w14:textId="77777777" w:rsidR="00471D53" w:rsidRDefault="00B664AF">
                    <w:pPr>
                      <w:jc w:val="right"/>
                      <w:rPr>
                        <w:sz w:val="18"/>
                        <w:szCs w:val="18"/>
                      </w:rPr>
                    </w:pPr>
                  </w:p>
                </w:tc>
                <w:tc>
                  <w:tcPr>
                    <w:tcW w:w="894" w:type="dxa"/>
                    <w:tcBorders>
                      <w:left w:val="single" w:sz="4" w:space="0" w:color="auto"/>
                      <w:right w:val="single" w:sz="4" w:space="0" w:color="auto"/>
                    </w:tcBorders>
                  </w:tcPr>
                  <w:p w14:paraId="19B36A11" w14:textId="77777777" w:rsidR="00471D53" w:rsidRDefault="00B664AF">
                    <w:pPr>
                      <w:jc w:val="right"/>
                      <w:rPr>
                        <w:sz w:val="18"/>
                        <w:szCs w:val="18"/>
                      </w:rPr>
                    </w:pPr>
                  </w:p>
                </w:tc>
                <w:tc>
                  <w:tcPr>
                    <w:tcW w:w="708" w:type="dxa"/>
                    <w:tcBorders>
                      <w:left w:val="single" w:sz="4" w:space="0" w:color="auto"/>
                    </w:tcBorders>
                  </w:tcPr>
                  <w:p w14:paraId="12F8CA46" w14:textId="77777777" w:rsidR="00471D53" w:rsidRDefault="00B664AF">
                    <w:pPr>
                      <w:jc w:val="right"/>
                      <w:rPr>
                        <w:sz w:val="18"/>
                        <w:szCs w:val="18"/>
                      </w:rPr>
                    </w:pPr>
                  </w:p>
                </w:tc>
                <w:tc>
                  <w:tcPr>
                    <w:tcW w:w="1276" w:type="dxa"/>
                  </w:tcPr>
                  <w:p w14:paraId="6D749D78" w14:textId="77777777" w:rsidR="00471D53" w:rsidRDefault="00B664AF">
                    <w:pPr>
                      <w:jc w:val="right"/>
                      <w:rPr>
                        <w:sz w:val="18"/>
                        <w:szCs w:val="18"/>
                      </w:rPr>
                    </w:pPr>
                  </w:p>
                </w:tc>
                <w:tc>
                  <w:tcPr>
                    <w:tcW w:w="851" w:type="dxa"/>
                  </w:tcPr>
                  <w:p w14:paraId="2DC9EDB8" w14:textId="77777777" w:rsidR="00471D53" w:rsidRDefault="00B664AF">
                    <w:pPr>
                      <w:jc w:val="right"/>
                      <w:rPr>
                        <w:sz w:val="18"/>
                        <w:szCs w:val="18"/>
                      </w:rPr>
                    </w:pPr>
                  </w:p>
                </w:tc>
                <w:tc>
                  <w:tcPr>
                    <w:tcW w:w="850" w:type="dxa"/>
                  </w:tcPr>
                  <w:p w14:paraId="36B17FB0" w14:textId="77777777" w:rsidR="00471D53" w:rsidRDefault="00B664AF">
                    <w:pPr>
                      <w:jc w:val="right"/>
                      <w:rPr>
                        <w:sz w:val="18"/>
                        <w:szCs w:val="18"/>
                      </w:rPr>
                    </w:pPr>
                  </w:p>
                </w:tc>
                <w:tc>
                  <w:tcPr>
                    <w:tcW w:w="709" w:type="dxa"/>
                  </w:tcPr>
                  <w:p w14:paraId="527C6697" w14:textId="77777777" w:rsidR="00471D53" w:rsidRDefault="00B664AF">
                    <w:pPr>
                      <w:jc w:val="right"/>
                      <w:rPr>
                        <w:sz w:val="18"/>
                        <w:szCs w:val="18"/>
                      </w:rPr>
                    </w:pPr>
                  </w:p>
                </w:tc>
                <w:tc>
                  <w:tcPr>
                    <w:tcW w:w="1276" w:type="dxa"/>
                  </w:tcPr>
                  <w:p w14:paraId="09789F07" w14:textId="77777777" w:rsidR="00471D53" w:rsidRDefault="00B664AF">
                    <w:pPr>
                      <w:jc w:val="right"/>
                      <w:rPr>
                        <w:sz w:val="18"/>
                        <w:szCs w:val="18"/>
                      </w:rPr>
                    </w:pPr>
                  </w:p>
                </w:tc>
                <w:tc>
                  <w:tcPr>
                    <w:tcW w:w="1275" w:type="dxa"/>
                  </w:tcPr>
                  <w:p w14:paraId="73797FCB" w14:textId="77777777" w:rsidR="00471D53" w:rsidRDefault="00B664AF">
                    <w:pPr>
                      <w:jc w:val="right"/>
                      <w:rPr>
                        <w:sz w:val="18"/>
                        <w:szCs w:val="18"/>
                      </w:rPr>
                    </w:pPr>
                  </w:p>
                </w:tc>
                <w:tc>
                  <w:tcPr>
                    <w:tcW w:w="1543" w:type="dxa"/>
                  </w:tcPr>
                  <w:p w14:paraId="17288E0D" w14:textId="77777777" w:rsidR="00471D53" w:rsidRDefault="00B664AF">
                    <w:pPr>
                      <w:jc w:val="right"/>
                      <w:rPr>
                        <w:sz w:val="18"/>
                        <w:szCs w:val="18"/>
                      </w:rPr>
                    </w:pPr>
                  </w:p>
                </w:tc>
              </w:tr>
              <w:tr w:rsidR="00471D53" w14:paraId="5D2EBA53" w14:textId="77777777" w:rsidTr="001279EE">
                <w:trPr>
                  <w:trHeight w:val="20"/>
                </w:trPr>
                <w:sdt>
                  <w:sdtPr>
                    <w:tag w:val="_PLD_6c9c274129814a4ea45296335d45791b"/>
                    <w:id w:val="-447940671"/>
                    <w:lock w:val="sdtLocked"/>
                  </w:sdtPr>
                  <w:sdtEndPr/>
                  <w:sdtContent>
                    <w:tc>
                      <w:tcPr>
                        <w:tcW w:w="2450" w:type="dxa"/>
                        <w:vAlign w:val="center"/>
                      </w:tcPr>
                      <w:p w14:paraId="313919DA" w14:textId="77777777" w:rsidR="00471D53" w:rsidRDefault="004F686E">
                        <w:pPr>
                          <w:rPr>
                            <w:sz w:val="18"/>
                            <w:szCs w:val="18"/>
                          </w:rPr>
                        </w:pPr>
                        <w:r>
                          <w:rPr>
                            <w:rFonts w:hint="eastAsia"/>
                            <w:sz w:val="18"/>
                            <w:szCs w:val="18"/>
                          </w:rPr>
                          <w:t>1．本期提取</w:t>
                        </w:r>
                      </w:p>
                    </w:tc>
                  </w:sdtContent>
                </w:sdt>
                <w:tc>
                  <w:tcPr>
                    <w:tcW w:w="1321" w:type="dxa"/>
                    <w:tcBorders>
                      <w:right w:val="single" w:sz="4" w:space="0" w:color="auto"/>
                    </w:tcBorders>
                  </w:tcPr>
                  <w:p w14:paraId="14E27477" w14:textId="77777777" w:rsidR="00471D53" w:rsidRDefault="00B664AF">
                    <w:pPr>
                      <w:jc w:val="right"/>
                      <w:rPr>
                        <w:sz w:val="18"/>
                        <w:szCs w:val="18"/>
                      </w:rPr>
                    </w:pPr>
                  </w:p>
                </w:tc>
                <w:tc>
                  <w:tcPr>
                    <w:tcW w:w="807" w:type="dxa"/>
                    <w:tcBorders>
                      <w:left w:val="single" w:sz="4" w:space="0" w:color="auto"/>
                      <w:right w:val="single" w:sz="4" w:space="0" w:color="auto"/>
                    </w:tcBorders>
                  </w:tcPr>
                  <w:p w14:paraId="4E9AAF07" w14:textId="77777777" w:rsidR="00471D53" w:rsidRDefault="00B664AF">
                    <w:pPr>
                      <w:jc w:val="right"/>
                      <w:rPr>
                        <w:sz w:val="18"/>
                        <w:szCs w:val="18"/>
                      </w:rPr>
                    </w:pPr>
                  </w:p>
                </w:tc>
                <w:tc>
                  <w:tcPr>
                    <w:tcW w:w="894" w:type="dxa"/>
                    <w:tcBorders>
                      <w:left w:val="single" w:sz="4" w:space="0" w:color="auto"/>
                      <w:right w:val="single" w:sz="4" w:space="0" w:color="auto"/>
                    </w:tcBorders>
                  </w:tcPr>
                  <w:p w14:paraId="1F39896B" w14:textId="77777777" w:rsidR="00471D53" w:rsidRDefault="00B664AF">
                    <w:pPr>
                      <w:jc w:val="right"/>
                      <w:rPr>
                        <w:sz w:val="18"/>
                        <w:szCs w:val="18"/>
                      </w:rPr>
                    </w:pPr>
                  </w:p>
                </w:tc>
                <w:tc>
                  <w:tcPr>
                    <w:tcW w:w="708" w:type="dxa"/>
                    <w:tcBorders>
                      <w:left w:val="single" w:sz="4" w:space="0" w:color="auto"/>
                    </w:tcBorders>
                  </w:tcPr>
                  <w:p w14:paraId="7D599A98" w14:textId="77777777" w:rsidR="00471D53" w:rsidRDefault="00B664AF">
                    <w:pPr>
                      <w:jc w:val="right"/>
                      <w:rPr>
                        <w:sz w:val="18"/>
                        <w:szCs w:val="18"/>
                      </w:rPr>
                    </w:pPr>
                  </w:p>
                </w:tc>
                <w:tc>
                  <w:tcPr>
                    <w:tcW w:w="1276" w:type="dxa"/>
                  </w:tcPr>
                  <w:p w14:paraId="718CB96B" w14:textId="77777777" w:rsidR="00471D53" w:rsidRDefault="00B664AF">
                    <w:pPr>
                      <w:jc w:val="right"/>
                      <w:rPr>
                        <w:sz w:val="18"/>
                        <w:szCs w:val="18"/>
                      </w:rPr>
                    </w:pPr>
                  </w:p>
                </w:tc>
                <w:tc>
                  <w:tcPr>
                    <w:tcW w:w="851" w:type="dxa"/>
                  </w:tcPr>
                  <w:p w14:paraId="3EB235FB" w14:textId="77777777" w:rsidR="00471D53" w:rsidRDefault="00B664AF">
                    <w:pPr>
                      <w:jc w:val="right"/>
                      <w:rPr>
                        <w:sz w:val="18"/>
                        <w:szCs w:val="18"/>
                      </w:rPr>
                    </w:pPr>
                  </w:p>
                </w:tc>
                <w:tc>
                  <w:tcPr>
                    <w:tcW w:w="850" w:type="dxa"/>
                  </w:tcPr>
                  <w:p w14:paraId="55CDBE9E" w14:textId="77777777" w:rsidR="00471D53" w:rsidRDefault="00B664AF">
                    <w:pPr>
                      <w:jc w:val="right"/>
                      <w:rPr>
                        <w:sz w:val="18"/>
                        <w:szCs w:val="18"/>
                      </w:rPr>
                    </w:pPr>
                  </w:p>
                </w:tc>
                <w:tc>
                  <w:tcPr>
                    <w:tcW w:w="709" w:type="dxa"/>
                  </w:tcPr>
                  <w:p w14:paraId="51168478" w14:textId="77777777" w:rsidR="00471D53" w:rsidRDefault="00B664AF">
                    <w:pPr>
                      <w:jc w:val="right"/>
                      <w:rPr>
                        <w:sz w:val="18"/>
                        <w:szCs w:val="18"/>
                      </w:rPr>
                    </w:pPr>
                  </w:p>
                </w:tc>
                <w:tc>
                  <w:tcPr>
                    <w:tcW w:w="1276" w:type="dxa"/>
                  </w:tcPr>
                  <w:p w14:paraId="67E4DDF6" w14:textId="77777777" w:rsidR="00471D53" w:rsidRDefault="00B664AF">
                    <w:pPr>
                      <w:jc w:val="right"/>
                      <w:rPr>
                        <w:sz w:val="18"/>
                        <w:szCs w:val="18"/>
                      </w:rPr>
                    </w:pPr>
                  </w:p>
                </w:tc>
                <w:tc>
                  <w:tcPr>
                    <w:tcW w:w="1275" w:type="dxa"/>
                  </w:tcPr>
                  <w:p w14:paraId="5224158F" w14:textId="77777777" w:rsidR="00471D53" w:rsidRDefault="00B664AF">
                    <w:pPr>
                      <w:jc w:val="right"/>
                      <w:rPr>
                        <w:sz w:val="18"/>
                        <w:szCs w:val="18"/>
                      </w:rPr>
                    </w:pPr>
                  </w:p>
                </w:tc>
                <w:tc>
                  <w:tcPr>
                    <w:tcW w:w="1543" w:type="dxa"/>
                  </w:tcPr>
                  <w:p w14:paraId="4D5BFE11" w14:textId="77777777" w:rsidR="00471D53" w:rsidRDefault="00B664AF">
                    <w:pPr>
                      <w:jc w:val="right"/>
                      <w:rPr>
                        <w:sz w:val="18"/>
                        <w:szCs w:val="18"/>
                      </w:rPr>
                    </w:pPr>
                  </w:p>
                </w:tc>
              </w:tr>
              <w:tr w:rsidR="00471D53" w14:paraId="7E2452C1" w14:textId="77777777" w:rsidTr="001279EE">
                <w:trPr>
                  <w:trHeight w:val="20"/>
                </w:trPr>
                <w:sdt>
                  <w:sdtPr>
                    <w:tag w:val="_PLD_14398e4dd6ed4c74869a974323e2137e"/>
                    <w:id w:val="441663377"/>
                    <w:lock w:val="sdtLocked"/>
                  </w:sdtPr>
                  <w:sdtEndPr/>
                  <w:sdtContent>
                    <w:tc>
                      <w:tcPr>
                        <w:tcW w:w="2450" w:type="dxa"/>
                        <w:vAlign w:val="center"/>
                      </w:tcPr>
                      <w:p w14:paraId="64AEEE6C" w14:textId="77777777" w:rsidR="00471D53" w:rsidRDefault="004F686E">
                        <w:pPr>
                          <w:rPr>
                            <w:sz w:val="18"/>
                            <w:szCs w:val="18"/>
                          </w:rPr>
                        </w:pPr>
                        <w:r>
                          <w:rPr>
                            <w:rFonts w:hint="eastAsia"/>
                            <w:sz w:val="18"/>
                            <w:szCs w:val="18"/>
                          </w:rPr>
                          <w:t>2．本期使用</w:t>
                        </w:r>
                      </w:p>
                    </w:tc>
                  </w:sdtContent>
                </w:sdt>
                <w:tc>
                  <w:tcPr>
                    <w:tcW w:w="1321" w:type="dxa"/>
                    <w:tcBorders>
                      <w:right w:val="single" w:sz="4" w:space="0" w:color="auto"/>
                    </w:tcBorders>
                  </w:tcPr>
                  <w:p w14:paraId="4F250971" w14:textId="77777777" w:rsidR="00471D53" w:rsidRDefault="00B664AF">
                    <w:pPr>
                      <w:jc w:val="right"/>
                      <w:rPr>
                        <w:sz w:val="18"/>
                        <w:szCs w:val="18"/>
                      </w:rPr>
                    </w:pPr>
                  </w:p>
                </w:tc>
                <w:tc>
                  <w:tcPr>
                    <w:tcW w:w="807" w:type="dxa"/>
                    <w:tcBorders>
                      <w:left w:val="single" w:sz="4" w:space="0" w:color="auto"/>
                      <w:right w:val="single" w:sz="4" w:space="0" w:color="auto"/>
                    </w:tcBorders>
                  </w:tcPr>
                  <w:p w14:paraId="5AE80FD6" w14:textId="77777777" w:rsidR="00471D53" w:rsidRDefault="00B664AF">
                    <w:pPr>
                      <w:jc w:val="right"/>
                      <w:rPr>
                        <w:sz w:val="18"/>
                        <w:szCs w:val="18"/>
                      </w:rPr>
                    </w:pPr>
                  </w:p>
                </w:tc>
                <w:tc>
                  <w:tcPr>
                    <w:tcW w:w="894" w:type="dxa"/>
                    <w:tcBorders>
                      <w:left w:val="single" w:sz="4" w:space="0" w:color="auto"/>
                      <w:right w:val="single" w:sz="4" w:space="0" w:color="auto"/>
                    </w:tcBorders>
                  </w:tcPr>
                  <w:p w14:paraId="13B47224" w14:textId="77777777" w:rsidR="00471D53" w:rsidRDefault="00B664AF">
                    <w:pPr>
                      <w:jc w:val="right"/>
                      <w:rPr>
                        <w:sz w:val="18"/>
                        <w:szCs w:val="18"/>
                      </w:rPr>
                    </w:pPr>
                  </w:p>
                </w:tc>
                <w:tc>
                  <w:tcPr>
                    <w:tcW w:w="708" w:type="dxa"/>
                    <w:tcBorders>
                      <w:left w:val="single" w:sz="4" w:space="0" w:color="auto"/>
                    </w:tcBorders>
                  </w:tcPr>
                  <w:p w14:paraId="0C8B8A0D" w14:textId="77777777" w:rsidR="00471D53" w:rsidRDefault="00B664AF">
                    <w:pPr>
                      <w:jc w:val="right"/>
                      <w:rPr>
                        <w:sz w:val="18"/>
                        <w:szCs w:val="18"/>
                      </w:rPr>
                    </w:pPr>
                  </w:p>
                </w:tc>
                <w:tc>
                  <w:tcPr>
                    <w:tcW w:w="1276" w:type="dxa"/>
                  </w:tcPr>
                  <w:p w14:paraId="603BC653" w14:textId="77777777" w:rsidR="00471D53" w:rsidRDefault="00B664AF">
                    <w:pPr>
                      <w:jc w:val="right"/>
                      <w:rPr>
                        <w:sz w:val="18"/>
                        <w:szCs w:val="18"/>
                      </w:rPr>
                    </w:pPr>
                  </w:p>
                </w:tc>
                <w:tc>
                  <w:tcPr>
                    <w:tcW w:w="851" w:type="dxa"/>
                  </w:tcPr>
                  <w:p w14:paraId="7034416E" w14:textId="77777777" w:rsidR="00471D53" w:rsidRDefault="00B664AF">
                    <w:pPr>
                      <w:jc w:val="right"/>
                      <w:rPr>
                        <w:sz w:val="18"/>
                        <w:szCs w:val="18"/>
                      </w:rPr>
                    </w:pPr>
                  </w:p>
                </w:tc>
                <w:tc>
                  <w:tcPr>
                    <w:tcW w:w="850" w:type="dxa"/>
                  </w:tcPr>
                  <w:p w14:paraId="1FBF0CA7" w14:textId="77777777" w:rsidR="00471D53" w:rsidRDefault="00B664AF">
                    <w:pPr>
                      <w:jc w:val="right"/>
                      <w:rPr>
                        <w:sz w:val="18"/>
                        <w:szCs w:val="18"/>
                      </w:rPr>
                    </w:pPr>
                  </w:p>
                </w:tc>
                <w:tc>
                  <w:tcPr>
                    <w:tcW w:w="709" w:type="dxa"/>
                  </w:tcPr>
                  <w:p w14:paraId="7F552786" w14:textId="77777777" w:rsidR="00471D53" w:rsidRDefault="00B664AF">
                    <w:pPr>
                      <w:jc w:val="right"/>
                      <w:rPr>
                        <w:sz w:val="18"/>
                        <w:szCs w:val="18"/>
                      </w:rPr>
                    </w:pPr>
                  </w:p>
                </w:tc>
                <w:tc>
                  <w:tcPr>
                    <w:tcW w:w="1276" w:type="dxa"/>
                  </w:tcPr>
                  <w:p w14:paraId="00DA3D1D" w14:textId="77777777" w:rsidR="00471D53" w:rsidRDefault="00B664AF">
                    <w:pPr>
                      <w:jc w:val="right"/>
                      <w:rPr>
                        <w:sz w:val="18"/>
                        <w:szCs w:val="18"/>
                      </w:rPr>
                    </w:pPr>
                  </w:p>
                </w:tc>
                <w:tc>
                  <w:tcPr>
                    <w:tcW w:w="1275" w:type="dxa"/>
                  </w:tcPr>
                  <w:p w14:paraId="4F6737B5" w14:textId="77777777" w:rsidR="00471D53" w:rsidRDefault="00B664AF">
                    <w:pPr>
                      <w:jc w:val="right"/>
                      <w:rPr>
                        <w:sz w:val="18"/>
                        <w:szCs w:val="18"/>
                      </w:rPr>
                    </w:pPr>
                  </w:p>
                </w:tc>
                <w:tc>
                  <w:tcPr>
                    <w:tcW w:w="1543" w:type="dxa"/>
                  </w:tcPr>
                  <w:p w14:paraId="45D1011B" w14:textId="77777777" w:rsidR="00471D53" w:rsidRDefault="00B664AF">
                    <w:pPr>
                      <w:jc w:val="right"/>
                      <w:rPr>
                        <w:sz w:val="18"/>
                        <w:szCs w:val="18"/>
                      </w:rPr>
                    </w:pPr>
                  </w:p>
                </w:tc>
              </w:tr>
              <w:tr w:rsidR="00471D53" w14:paraId="73199AD8" w14:textId="77777777" w:rsidTr="001279EE">
                <w:trPr>
                  <w:trHeight w:val="20"/>
                </w:trPr>
                <w:sdt>
                  <w:sdtPr>
                    <w:tag w:val="_PLD_224fa1ebe84a4d40b88b89a97997e311"/>
                    <w:id w:val="-106826239"/>
                    <w:lock w:val="sdtLocked"/>
                  </w:sdtPr>
                  <w:sdtEndPr/>
                  <w:sdtContent>
                    <w:tc>
                      <w:tcPr>
                        <w:tcW w:w="2450" w:type="dxa"/>
                      </w:tcPr>
                      <w:p w14:paraId="5287B02C" w14:textId="77777777" w:rsidR="00471D53" w:rsidRDefault="004F686E">
                        <w:pPr>
                          <w:rPr>
                            <w:sz w:val="18"/>
                            <w:szCs w:val="18"/>
                          </w:rPr>
                        </w:pPr>
                        <w:r>
                          <w:rPr>
                            <w:rFonts w:hint="eastAsia"/>
                            <w:sz w:val="18"/>
                            <w:szCs w:val="18"/>
                          </w:rPr>
                          <w:t>（六）其他</w:t>
                        </w:r>
                      </w:p>
                    </w:tc>
                  </w:sdtContent>
                </w:sdt>
                <w:tc>
                  <w:tcPr>
                    <w:tcW w:w="1321" w:type="dxa"/>
                    <w:tcBorders>
                      <w:right w:val="single" w:sz="4" w:space="0" w:color="auto"/>
                    </w:tcBorders>
                  </w:tcPr>
                  <w:p w14:paraId="69DACC72" w14:textId="77777777" w:rsidR="00471D53" w:rsidRDefault="00B664AF">
                    <w:pPr>
                      <w:jc w:val="right"/>
                      <w:rPr>
                        <w:sz w:val="18"/>
                        <w:szCs w:val="18"/>
                      </w:rPr>
                    </w:pPr>
                  </w:p>
                </w:tc>
                <w:tc>
                  <w:tcPr>
                    <w:tcW w:w="807" w:type="dxa"/>
                    <w:tcBorders>
                      <w:left w:val="single" w:sz="4" w:space="0" w:color="auto"/>
                      <w:right w:val="single" w:sz="4" w:space="0" w:color="auto"/>
                    </w:tcBorders>
                  </w:tcPr>
                  <w:p w14:paraId="09E211C7" w14:textId="77777777" w:rsidR="00471D53" w:rsidRDefault="00B664AF">
                    <w:pPr>
                      <w:jc w:val="right"/>
                      <w:rPr>
                        <w:sz w:val="18"/>
                        <w:szCs w:val="18"/>
                      </w:rPr>
                    </w:pPr>
                  </w:p>
                </w:tc>
                <w:tc>
                  <w:tcPr>
                    <w:tcW w:w="894" w:type="dxa"/>
                    <w:tcBorders>
                      <w:left w:val="single" w:sz="4" w:space="0" w:color="auto"/>
                      <w:right w:val="single" w:sz="4" w:space="0" w:color="auto"/>
                    </w:tcBorders>
                  </w:tcPr>
                  <w:p w14:paraId="40D0A309" w14:textId="77777777" w:rsidR="00471D53" w:rsidRDefault="00B664AF">
                    <w:pPr>
                      <w:jc w:val="right"/>
                      <w:rPr>
                        <w:sz w:val="18"/>
                        <w:szCs w:val="18"/>
                      </w:rPr>
                    </w:pPr>
                  </w:p>
                </w:tc>
                <w:tc>
                  <w:tcPr>
                    <w:tcW w:w="708" w:type="dxa"/>
                    <w:tcBorders>
                      <w:left w:val="single" w:sz="4" w:space="0" w:color="auto"/>
                    </w:tcBorders>
                  </w:tcPr>
                  <w:p w14:paraId="1F0B5C66" w14:textId="77777777" w:rsidR="00471D53" w:rsidRDefault="00B664AF">
                    <w:pPr>
                      <w:jc w:val="right"/>
                      <w:rPr>
                        <w:sz w:val="18"/>
                        <w:szCs w:val="18"/>
                      </w:rPr>
                    </w:pPr>
                  </w:p>
                </w:tc>
                <w:tc>
                  <w:tcPr>
                    <w:tcW w:w="1276" w:type="dxa"/>
                  </w:tcPr>
                  <w:p w14:paraId="11E47D83" w14:textId="77777777" w:rsidR="00471D53" w:rsidRDefault="00B664AF">
                    <w:pPr>
                      <w:jc w:val="right"/>
                      <w:rPr>
                        <w:sz w:val="18"/>
                        <w:szCs w:val="18"/>
                      </w:rPr>
                    </w:pPr>
                  </w:p>
                </w:tc>
                <w:tc>
                  <w:tcPr>
                    <w:tcW w:w="851" w:type="dxa"/>
                  </w:tcPr>
                  <w:p w14:paraId="05AFD6DF" w14:textId="77777777" w:rsidR="00471D53" w:rsidRDefault="00B664AF">
                    <w:pPr>
                      <w:jc w:val="right"/>
                      <w:rPr>
                        <w:sz w:val="18"/>
                        <w:szCs w:val="18"/>
                      </w:rPr>
                    </w:pPr>
                  </w:p>
                </w:tc>
                <w:tc>
                  <w:tcPr>
                    <w:tcW w:w="850" w:type="dxa"/>
                  </w:tcPr>
                  <w:p w14:paraId="45D2D90A" w14:textId="77777777" w:rsidR="00471D53" w:rsidRDefault="00B664AF">
                    <w:pPr>
                      <w:jc w:val="right"/>
                      <w:rPr>
                        <w:sz w:val="18"/>
                        <w:szCs w:val="18"/>
                      </w:rPr>
                    </w:pPr>
                  </w:p>
                </w:tc>
                <w:tc>
                  <w:tcPr>
                    <w:tcW w:w="709" w:type="dxa"/>
                  </w:tcPr>
                  <w:p w14:paraId="44DD3F08" w14:textId="77777777" w:rsidR="00471D53" w:rsidRDefault="00B664AF">
                    <w:pPr>
                      <w:jc w:val="right"/>
                      <w:rPr>
                        <w:sz w:val="18"/>
                        <w:szCs w:val="18"/>
                      </w:rPr>
                    </w:pPr>
                  </w:p>
                </w:tc>
                <w:tc>
                  <w:tcPr>
                    <w:tcW w:w="1276" w:type="dxa"/>
                  </w:tcPr>
                  <w:p w14:paraId="76C7ED0B" w14:textId="77777777" w:rsidR="00471D53" w:rsidRDefault="00B664AF">
                    <w:pPr>
                      <w:jc w:val="right"/>
                      <w:rPr>
                        <w:sz w:val="18"/>
                        <w:szCs w:val="18"/>
                      </w:rPr>
                    </w:pPr>
                  </w:p>
                </w:tc>
                <w:tc>
                  <w:tcPr>
                    <w:tcW w:w="1275" w:type="dxa"/>
                  </w:tcPr>
                  <w:p w14:paraId="6EDDC8B6" w14:textId="77777777" w:rsidR="00471D53" w:rsidRDefault="00B664AF">
                    <w:pPr>
                      <w:jc w:val="right"/>
                      <w:rPr>
                        <w:sz w:val="18"/>
                        <w:szCs w:val="18"/>
                      </w:rPr>
                    </w:pPr>
                  </w:p>
                </w:tc>
                <w:tc>
                  <w:tcPr>
                    <w:tcW w:w="1543" w:type="dxa"/>
                  </w:tcPr>
                  <w:p w14:paraId="4D69E8ED" w14:textId="77777777" w:rsidR="00471D53" w:rsidRDefault="00B664AF">
                    <w:pPr>
                      <w:jc w:val="right"/>
                      <w:rPr>
                        <w:sz w:val="18"/>
                        <w:szCs w:val="18"/>
                      </w:rPr>
                    </w:pPr>
                  </w:p>
                </w:tc>
              </w:tr>
              <w:tr w:rsidR="00471D53" w14:paraId="77B125A2" w14:textId="77777777" w:rsidTr="001279EE">
                <w:trPr>
                  <w:trHeight w:val="20"/>
                </w:trPr>
                <w:sdt>
                  <w:sdtPr>
                    <w:tag w:val="_PLD_fe962ef732004aec94edafee7e0bef94"/>
                    <w:id w:val="-90091963"/>
                    <w:lock w:val="sdtLocked"/>
                  </w:sdtPr>
                  <w:sdtEndPr/>
                  <w:sdtContent>
                    <w:tc>
                      <w:tcPr>
                        <w:tcW w:w="2450" w:type="dxa"/>
                      </w:tcPr>
                      <w:p w14:paraId="38564D00" w14:textId="77777777" w:rsidR="00471D53" w:rsidRDefault="004F686E">
                        <w:pPr>
                          <w:rPr>
                            <w:sz w:val="18"/>
                            <w:szCs w:val="18"/>
                          </w:rPr>
                        </w:pPr>
                        <w:r>
                          <w:rPr>
                            <w:sz w:val="18"/>
                            <w:szCs w:val="18"/>
                          </w:rPr>
                          <w:t>四、本期期末余额</w:t>
                        </w:r>
                      </w:p>
                    </w:tc>
                  </w:sdtContent>
                </w:sdt>
                <w:tc>
                  <w:tcPr>
                    <w:tcW w:w="1321" w:type="dxa"/>
                    <w:tcBorders>
                      <w:right w:val="single" w:sz="4" w:space="0" w:color="auto"/>
                    </w:tcBorders>
                    <w:vAlign w:val="center"/>
                  </w:tcPr>
                  <w:p w14:paraId="2798A8CF" w14:textId="1AC3572F" w:rsidR="00471D53" w:rsidRPr="00345210" w:rsidRDefault="004F686E">
                    <w:pPr>
                      <w:jc w:val="right"/>
                      <w:rPr>
                        <w:sz w:val="15"/>
                        <w:szCs w:val="15"/>
                      </w:rPr>
                    </w:pPr>
                    <w:r w:rsidRPr="00345210">
                      <w:rPr>
                        <w:rFonts w:hint="eastAsia"/>
                        <w:sz w:val="15"/>
                        <w:szCs w:val="15"/>
                      </w:rPr>
                      <w:t>485,000,000.00</w:t>
                    </w:r>
                  </w:p>
                </w:tc>
                <w:tc>
                  <w:tcPr>
                    <w:tcW w:w="807" w:type="dxa"/>
                    <w:tcBorders>
                      <w:left w:val="single" w:sz="4" w:space="0" w:color="auto"/>
                      <w:right w:val="single" w:sz="4" w:space="0" w:color="auto"/>
                    </w:tcBorders>
                    <w:vAlign w:val="center"/>
                  </w:tcPr>
                  <w:p w14:paraId="2690C672" w14:textId="77777777" w:rsidR="00471D53" w:rsidRPr="00345210" w:rsidRDefault="004F686E">
                    <w:pPr>
                      <w:jc w:val="right"/>
                      <w:rPr>
                        <w:color w:val="FFFFFF"/>
                        <w:sz w:val="15"/>
                        <w:szCs w:val="15"/>
                      </w:rPr>
                    </w:pPr>
                    <w:r w:rsidRPr="00345210">
                      <w:rPr>
                        <w:rFonts w:hint="eastAsia"/>
                        <w:color w:val="FFFFFF"/>
                        <w:sz w:val="15"/>
                        <w:szCs w:val="15"/>
                      </w:rPr>
                      <w:t xml:space="preserve">　</w:t>
                    </w:r>
                  </w:p>
                </w:tc>
                <w:tc>
                  <w:tcPr>
                    <w:tcW w:w="894" w:type="dxa"/>
                    <w:tcBorders>
                      <w:left w:val="single" w:sz="4" w:space="0" w:color="auto"/>
                      <w:right w:val="single" w:sz="4" w:space="0" w:color="auto"/>
                    </w:tcBorders>
                    <w:vAlign w:val="center"/>
                  </w:tcPr>
                  <w:p w14:paraId="1B19D490" w14:textId="77777777" w:rsidR="00471D53" w:rsidRPr="00345210" w:rsidRDefault="004F686E">
                    <w:pPr>
                      <w:jc w:val="right"/>
                      <w:rPr>
                        <w:color w:val="FFFFFF"/>
                        <w:sz w:val="15"/>
                        <w:szCs w:val="15"/>
                      </w:rPr>
                    </w:pPr>
                    <w:r w:rsidRPr="00345210">
                      <w:rPr>
                        <w:rFonts w:hint="eastAsia"/>
                        <w:color w:val="FFFFFF"/>
                        <w:sz w:val="15"/>
                        <w:szCs w:val="15"/>
                      </w:rPr>
                      <w:t xml:space="preserve">　</w:t>
                    </w:r>
                  </w:p>
                </w:tc>
                <w:tc>
                  <w:tcPr>
                    <w:tcW w:w="708" w:type="dxa"/>
                    <w:tcBorders>
                      <w:left w:val="single" w:sz="4" w:space="0" w:color="auto"/>
                    </w:tcBorders>
                    <w:vAlign w:val="center"/>
                  </w:tcPr>
                  <w:p w14:paraId="48FC6749" w14:textId="77777777" w:rsidR="00471D53" w:rsidRPr="00345210" w:rsidRDefault="004F686E">
                    <w:pPr>
                      <w:jc w:val="right"/>
                      <w:rPr>
                        <w:color w:val="FFFFFF"/>
                        <w:sz w:val="15"/>
                        <w:szCs w:val="15"/>
                      </w:rPr>
                    </w:pPr>
                    <w:r w:rsidRPr="00345210">
                      <w:rPr>
                        <w:rFonts w:hint="eastAsia"/>
                        <w:color w:val="FFFFFF"/>
                        <w:sz w:val="15"/>
                        <w:szCs w:val="15"/>
                      </w:rPr>
                      <w:t xml:space="preserve">　</w:t>
                    </w:r>
                  </w:p>
                </w:tc>
                <w:tc>
                  <w:tcPr>
                    <w:tcW w:w="1276" w:type="dxa"/>
                    <w:vAlign w:val="center"/>
                  </w:tcPr>
                  <w:p w14:paraId="16134698" w14:textId="52F45FD8" w:rsidR="00471D53" w:rsidRPr="00345210" w:rsidRDefault="004F686E">
                    <w:pPr>
                      <w:jc w:val="right"/>
                      <w:rPr>
                        <w:sz w:val="15"/>
                        <w:szCs w:val="15"/>
                      </w:rPr>
                    </w:pPr>
                    <w:r w:rsidRPr="00345210">
                      <w:rPr>
                        <w:rFonts w:hint="eastAsia"/>
                        <w:sz w:val="15"/>
                        <w:szCs w:val="15"/>
                      </w:rPr>
                      <w:t>811,365,185.81</w:t>
                    </w:r>
                  </w:p>
                </w:tc>
                <w:tc>
                  <w:tcPr>
                    <w:tcW w:w="851" w:type="dxa"/>
                    <w:vAlign w:val="center"/>
                  </w:tcPr>
                  <w:p w14:paraId="7C87FE58" w14:textId="77777777" w:rsidR="00471D53" w:rsidRPr="00345210" w:rsidRDefault="004F686E">
                    <w:pPr>
                      <w:jc w:val="right"/>
                      <w:rPr>
                        <w:color w:val="FFFFFF"/>
                        <w:sz w:val="15"/>
                        <w:szCs w:val="15"/>
                      </w:rPr>
                    </w:pPr>
                    <w:r w:rsidRPr="00345210">
                      <w:rPr>
                        <w:rFonts w:hint="eastAsia"/>
                        <w:color w:val="FFFFFF"/>
                        <w:sz w:val="15"/>
                        <w:szCs w:val="15"/>
                      </w:rPr>
                      <w:t xml:space="preserve">　</w:t>
                    </w:r>
                  </w:p>
                </w:tc>
                <w:tc>
                  <w:tcPr>
                    <w:tcW w:w="850" w:type="dxa"/>
                    <w:vAlign w:val="center"/>
                  </w:tcPr>
                  <w:p w14:paraId="083580F7" w14:textId="77777777" w:rsidR="00471D53" w:rsidRPr="00345210" w:rsidRDefault="004F686E">
                    <w:pPr>
                      <w:jc w:val="right"/>
                      <w:rPr>
                        <w:color w:val="FFFFFF"/>
                        <w:sz w:val="15"/>
                        <w:szCs w:val="15"/>
                      </w:rPr>
                    </w:pPr>
                    <w:r w:rsidRPr="00345210">
                      <w:rPr>
                        <w:rFonts w:hint="eastAsia"/>
                        <w:color w:val="FFFFFF"/>
                        <w:sz w:val="15"/>
                        <w:szCs w:val="15"/>
                      </w:rPr>
                      <w:t xml:space="preserve">　</w:t>
                    </w:r>
                  </w:p>
                </w:tc>
                <w:tc>
                  <w:tcPr>
                    <w:tcW w:w="709" w:type="dxa"/>
                    <w:vAlign w:val="center"/>
                  </w:tcPr>
                  <w:p w14:paraId="07A1351D" w14:textId="77777777" w:rsidR="00471D53" w:rsidRPr="00345210" w:rsidRDefault="004F686E">
                    <w:pPr>
                      <w:jc w:val="right"/>
                      <w:rPr>
                        <w:color w:val="FFFFFF"/>
                        <w:sz w:val="15"/>
                        <w:szCs w:val="15"/>
                      </w:rPr>
                    </w:pPr>
                    <w:r w:rsidRPr="00345210">
                      <w:rPr>
                        <w:rFonts w:hint="eastAsia"/>
                        <w:color w:val="FFFFFF"/>
                        <w:sz w:val="15"/>
                        <w:szCs w:val="15"/>
                      </w:rPr>
                      <w:t xml:space="preserve">　</w:t>
                    </w:r>
                  </w:p>
                </w:tc>
                <w:tc>
                  <w:tcPr>
                    <w:tcW w:w="1276" w:type="dxa"/>
                    <w:vAlign w:val="center"/>
                  </w:tcPr>
                  <w:p w14:paraId="4E7F418C" w14:textId="040DBD09" w:rsidR="00471D53" w:rsidRPr="00345210" w:rsidRDefault="004F686E">
                    <w:pPr>
                      <w:jc w:val="right"/>
                      <w:rPr>
                        <w:sz w:val="15"/>
                        <w:szCs w:val="15"/>
                      </w:rPr>
                    </w:pPr>
                    <w:r w:rsidRPr="00345210">
                      <w:rPr>
                        <w:rFonts w:hint="eastAsia"/>
                        <w:sz w:val="15"/>
                        <w:szCs w:val="15"/>
                      </w:rPr>
                      <w:t>38,071,282.24</w:t>
                    </w:r>
                  </w:p>
                </w:tc>
                <w:tc>
                  <w:tcPr>
                    <w:tcW w:w="1275" w:type="dxa"/>
                    <w:vAlign w:val="center"/>
                  </w:tcPr>
                  <w:p w14:paraId="0302718D" w14:textId="1E19B466" w:rsidR="00471D53" w:rsidRPr="00345210" w:rsidRDefault="004F686E">
                    <w:pPr>
                      <w:jc w:val="right"/>
                      <w:rPr>
                        <w:sz w:val="15"/>
                        <w:szCs w:val="15"/>
                      </w:rPr>
                    </w:pPr>
                    <w:r w:rsidRPr="00345210">
                      <w:rPr>
                        <w:rFonts w:hint="eastAsia"/>
                        <w:sz w:val="15"/>
                        <w:szCs w:val="15"/>
                      </w:rPr>
                      <w:t>-61,056,061.92</w:t>
                    </w:r>
                  </w:p>
                </w:tc>
                <w:tc>
                  <w:tcPr>
                    <w:tcW w:w="1543" w:type="dxa"/>
                    <w:vAlign w:val="center"/>
                  </w:tcPr>
                  <w:p w14:paraId="0FCAF1F6" w14:textId="5B2A7463" w:rsidR="00471D53" w:rsidRPr="00345210" w:rsidRDefault="004F686E">
                    <w:pPr>
                      <w:jc w:val="right"/>
                      <w:rPr>
                        <w:sz w:val="15"/>
                        <w:szCs w:val="15"/>
                      </w:rPr>
                    </w:pPr>
                    <w:r w:rsidRPr="00345210">
                      <w:rPr>
                        <w:rFonts w:hint="eastAsia"/>
                        <w:sz w:val="15"/>
                        <w:szCs w:val="15"/>
                      </w:rPr>
                      <w:t>1,273,380,406.13</w:t>
                    </w:r>
                  </w:p>
                </w:tc>
              </w:tr>
            </w:tbl>
            <w:p w14:paraId="61FDC2B1" w14:textId="77777777" w:rsidR="00471D53" w:rsidRDefault="00B664AF"/>
            <w:p w14:paraId="5F22F078" w14:textId="77777777" w:rsidR="00471D53" w:rsidRDefault="00B664AF">
              <w:pPr>
                <w:rPr>
                  <w:szCs w:val="21"/>
                </w:rPr>
              </w:pPr>
            </w:p>
            <w:tbl>
              <w:tblPr>
                <w:tblStyle w:val="g4"/>
                <w:tblW w:w="1390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94"/>
                <w:gridCol w:w="1318"/>
                <w:gridCol w:w="850"/>
                <w:gridCol w:w="851"/>
                <w:gridCol w:w="708"/>
                <w:gridCol w:w="1276"/>
                <w:gridCol w:w="851"/>
                <w:gridCol w:w="850"/>
                <w:gridCol w:w="709"/>
                <w:gridCol w:w="1276"/>
                <w:gridCol w:w="1275"/>
                <w:gridCol w:w="1546"/>
              </w:tblGrid>
              <w:tr w:rsidR="00471D53" w14:paraId="1F5C7972" w14:textId="77777777" w:rsidTr="001279EE">
                <w:trPr>
                  <w:trHeight w:val="20"/>
                </w:trPr>
                <w:tc>
                  <w:tcPr>
                    <w:tcW w:w="2394" w:type="dxa"/>
                    <w:vMerge w:val="restart"/>
                    <w:vAlign w:val="center"/>
                  </w:tcPr>
                  <w:sdt>
                    <w:sdtPr>
                      <w:rPr>
                        <w:rFonts w:hint="eastAsia"/>
                        <w:sz w:val="18"/>
                        <w:szCs w:val="18"/>
                      </w:rPr>
                      <w:tag w:val="_PLD_312727f4b56147c2b646c0fb68a4b58b"/>
                      <w:id w:val="51740610"/>
                      <w:lock w:val="sdtLocked"/>
                    </w:sdtPr>
                    <w:sdtEndPr/>
                    <w:sdtContent>
                      <w:p w14:paraId="5A700236" w14:textId="77777777" w:rsidR="00471D53" w:rsidRDefault="004F686E">
                        <w:pPr>
                          <w:adjustRightInd w:val="0"/>
                          <w:snapToGrid w:val="0"/>
                          <w:jc w:val="center"/>
                          <w:rPr>
                            <w:sz w:val="18"/>
                            <w:szCs w:val="18"/>
                          </w:rPr>
                        </w:pPr>
                        <w:r>
                          <w:rPr>
                            <w:rFonts w:hint="eastAsia"/>
                            <w:sz w:val="18"/>
                            <w:szCs w:val="18"/>
                          </w:rPr>
                          <w:t>项目</w:t>
                        </w:r>
                      </w:p>
                    </w:sdtContent>
                  </w:sdt>
                </w:tc>
                <w:tc>
                  <w:tcPr>
                    <w:tcW w:w="11510" w:type="dxa"/>
                    <w:gridSpan w:val="11"/>
                  </w:tcPr>
                  <w:p w14:paraId="3F47960D" w14:textId="06BFD0D0" w:rsidR="00471D53" w:rsidRDefault="00B664AF">
                    <w:pPr>
                      <w:adjustRightInd w:val="0"/>
                      <w:snapToGrid w:val="0"/>
                      <w:jc w:val="center"/>
                      <w:rPr>
                        <w:sz w:val="18"/>
                      </w:rPr>
                    </w:pPr>
                    <w:sdt>
                      <w:sdtPr>
                        <w:rPr>
                          <w:rFonts w:hint="eastAsia"/>
                          <w:sz w:val="18"/>
                        </w:rPr>
                        <w:tag w:val="_PLD_35246b22171846ac8ef46c5dfa1d1663"/>
                        <w:id w:val="-2002415471"/>
                        <w:lock w:val="sdtLocked"/>
                      </w:sdtPr>
                      <w:sdtEndPr/>
                      <w:sdtContent>
                        <w:r w:rsidR="004F686E">
                          <w:rPr>
                            <w:rFonts w:hint="eastAsia"/>
                            <w:sz w:val="18"/>
                          </w:rPr>
                          <w:t>2020年半年度</w:t>
                        </w:r>
                      </w:sdtContent>
                    </w:sdt>
                  </w:p>
                </w:tc>
              </w:tr>
              <w:tr w:rsidR="00471D53" w14:paraId="280CB53F" w14:textId="77777777" w:rsidTr="001279EE">
                <w:trPr>
                  <w:trHeight w:val="315"/>
                </w:trPr>
                <w:tc>
                  <w:tcPr>
                    <w:tcW w:w="2394" w:type="dxa"/>
                    <w:vMerge/>
                  </w:tcPr>
                  <w:p w14:paraId="39ABD4D2" w14:textId="77777777" w:rsidR="00471D53" w:rsidRDefault="00B664AF">
                    <w:pPr>
                      <w:adjustRightInd w:val="0"/>
                      <w:snapToGrid w:val="0"/>
                      <w:rPr>
                        <w:sz w:val="18"/>
                        <w:szCs w:val="18"/>
                      </w:rPr>
                    </w:pPr>
                  </w:p>
                </w:tc>
                <w:sdt>
                  <w:sdtPr>
                    <w:tag w:val="_PLD_5da9900c5a9e46a085487ea972f44796"/>
                    <w:id w:val="1499383384"/>
                    <w:lock w:val="sdtLocked"/>
                  </w:sdtPr>
                  <w:sdtEndPr/>
                  <w:sdtContent>
                    <w:tc>
                      <w:tcPr>
                        <w:tcW w:w="1318" w:type="dxa"/>
                        <w:vMerge w:val="restart"/>
                        <w:tcBorders>
                          <w:right w:val="single" w:sz="4" w:space="0" w:color="auto"/>
                        </w:tcBorders>
                        <w:vAlign w:val="center"/>
                      </w:tcPr>
                      <w:p w14:paraId="10103DEE" w14:textId="07BA5CAF" w:rsidR="00471D53" w:rsidRDefault="004F686E">
                        <w:pPr>
                          <w:adjustRightInd w:val="0"/>
                          <w:snapToGrid w:val="0"/>
                          <w:jc w:val="center"/>
                          <w:rPr>
                            <w:sz w:val="18"/>
                            <w:szCs w:val="18"/>
                          </w:rPr>
                        </w:pPr>
                        <w:r>
                          <w:rPr>
                            <w:rFonts w:hint="eastAsia"/>
                            <w:sz w:val="18"/>
                            <w:szCs w:val="18"/>
                          </w:rPr>
                          <w:t>实收资本</w:t>
                        </w:r>
                        <w:r>
                          <w:rPr>
                            <w:sz w:val="18"/>
                            <w:szCs w:val="18"/>
                          </w:rPr>
                          <w:t>(或股本)</w:t>
                        </w:r>
                      </w:p>
                    </w:tc>
                  </w:sdtContent>
                </w:sdt>
                <w:sdt>
                  <w:sdtPr>
                    <w:tag w:val="_PLD_fc0bce3be00144ff950606755a048a76"/>
                    <w:id w:val="-1812168888"/>
                    <w:lock w:val="sdtLocked"/>
                  </w:sdtPr>
                  <w:sdtEndPr/>
                  <w:sdtContent>
                    <w:tc>
                      <w:tcPr>
                        <w:tcW w:w="2409" w:type="dxa"/>
                        <w:gridSpan w:val="3"/>
                        <w:tcBorders>
                          <w:left w:val="single" w:sz="4" w:space="0" w:color="auto"/>
                          <w:bottom w:val="single" w:sz="4" w:space="0" w:color="auto"/>
                        </w:tcBorders>
                        <w:vAlign w:val="center"/>
                      </w:tcPr>
                      <w:p w14:paraId="49B280C0" w14:textId="77777777" w:rsidR="00471D53" w:rsidRDefault="004F686E">
                        <w:pPr>
                          <w:adjustRightInd w:val="0"/>
                          <w:snapToGrid w:val="0"/>
                          <w:jc w:val="center"/>
                          <w:rPr>
                            <w:sz w:val="18"/>
                            <w:szCs w:val="18"/>
                          </w:rPr>
                        </w:pPr>
                        <w:r>
                          <w:rPr>
                            <w:rFonts w:hint="eastAsia"/>
                            <w:sz w:val="18"/>
                            <w:szCs w:val="18"/>
                          </w:rPr>
                          <w:t>其他权益工具</w:t>
                        </w:r>
                      </w:p>
                    </w:tc>
                  </w:sdtContent>
                </w:sdt>
                <w:sdt>
                  <w:sdtPr>
                    <w:tag w:val="_PLD_b31d07f97db344b1b180738b22a76467"/>
                    <w:id w:val="1146393376"/>
                    <w:lock w:val="sdtLocked"/>
                  </w:sdtPr>
                  <w:sdtEndPr/>
                  <w:sdtContent>
                    <w:tc>
                      <w:tcPr>
                        <w:tcW w:w="1276" w:type="dxa"/>
                        <w:vMerge w:val="restart"/>
                        <w:vAlign w:val="center"/>
                      </w:tcPr>
                      <w:p w14:paraId="435CCF94" w14:textId="77777777" w:rsidR="00471D53" w:rsidRDefault="004F686E">
                        <w:pPr>
                          <w:adjustRightInd w:val="0"/>
                          <w:snapToGrid w:val="0"/>
                          <w:jc w:val="center"/>
                          <w:rPr>
                            <w:sz w:val="18"/>
                            <w:szCs w:val="18"/>
                          </w:rPr>
                        </w:pPr>
                        <w:r>
                          <w:rPr>
                            <w:sz w:val="18"/>
                            <w:szCs w:val="18"/>
                          </w:rPr>
                          <w:t>资本公积</w:t>
                        </w:r>
                      </w:p>
                    </w:tc>
                  </w:sdtContent>
                </w:sdt>
                <w:sdt>
                  <w:sdtPr>
                    <w:tag w:val="_PLD_244676dcaf4245bd9119f474a4e885f9"/>
                    <w:id w:val="-1658517510"/>
                    <w:lock w:val="sdtLocked"/>
                  </w:sdtPr>
                  <w:sdtEndPr/>
                  <w:sdtContent>
                    <w:tc>
                      <w:tcPr>
                        <w:tcW w:w="851" w:type="dxa"/>
                        <w:vMerge w:val="restart"/>
                        <w:vAlign w:val="center"/>
                      </w:tcPr>
                      <w:p w14:paraId="2013FD3C" w14:textId="77777777" w:rsidR="00471D53" w:rsidRDefault="004F686E">
                        <w:pPr>
                          <w:adjustRightInd w:val="0"/>
                          <w:snapToGrid w:val="0"/>
                          <w:jc w:val="center"/>
                          <w:rPr>
                            <w:sz w:val="18"/>
                            <w:szCs w:val="18"/>
                          </w:rPr>
                        </w:pPr>
                        <w:r>
                          <w:rPr>
                            <w:sz w:val="18"/>
                            <w:szCs w:val="18"/>
                          </w:rPr>
                          <w:t>减：库存股</w:t>
                        </w:r>
                      </w:p>
                    </w:tc>
                  </w:sdtContent>
                </w:sdt>
                <w:sdt>
                  <w:sdtPr>
                    <w:tag w:val="_PLD_01eab1b775574165b2820a19e72d2ad0"/>
                    <w:id w:val="990137419"/>
                    <w:lock w:val="sdtLocked"/>
                  </w:sdtPr>
                  <w:sdtEndPr/>
                  <w:sdtContent>
                    <w:tc>
                      <w:tcPr>
                        <w:tcW w:w="850" w:type="dxa"/>
                        <w:vMerge w:val="restart"/>
                        <w:vAlign w:val="center"/>
                      </w:tcPr>
                      <w:p w14:paraId="2B253313" w14:textId="77777777" w:rsidR="00471D53" w:rsidRDefault="004F686E">
                        <w:pPr>
                          <w:jc w:val="center"/>
                          <w:rPr>
                            <w:sz w:val="18"/>
                            <w:szCs w:val="18"/>
                          </w:rPr>
                        </w:pPr>
                        <w:r>
                          <w:rPr>
                            <w:rFonts w:hint="eastAsia"/>
                            <w:sz w:val="18"/>
                            <w:szCs w:val="18"/>
                          </w:rPr>
                          <w:t>其他综合收益</w:t>
                        </w:r>
                      </w:p>
                    </w:tc>
                  </w:sdtContent>
                </w:sdt>
                <w:sdt>
                  <w:sdtPr>
                    <w:tag w:val="_PLD_13f17e2c8a7a404da876af1bac2ae6d1"/>
                    <w:id w:val="816926445"/>
                    <w:lock w:val="sdtLocked"/>
                  </w:sdtPr>
                  <w:sdtEndPr/>
                  <w:sdtContent>
                    <w:tc>
                      <w:tcPr>
                        <w:tcW w:w="709" w:type="dxa"/>
                        <w:vMerge w:val="restart"/>
                        <w:vAlign w:val="center"/>
                      </w:tcPr>
                      <w:p w14:paraId="20A5782E" w14:textId="77777777" w:rsidR="00471D53" w:rsidRDefault="004F686E">
                        <w:pPr>
                          <w:adjustRightInd w:val="0"/>
                          <w:snapToGrid w:val="0"/>
                          <w:jc w:val="center"/>
                          <w:rPr>
                            <w:sz w:val="18"/>
                            <w:szCs w:val="18"/>
                          </w:rPr>
                        </w:pPr>
                        <w:r>
                          <w:rPr>
                            <w:rFonts w:hint="eastAsia"/>
                            <w:sz w:val="18"/>
                            <w:szCs w:val="18"/>
                          </w:rPr>
                          <w:t>专项储备</w:t>
                        </w:r>
                      </w:p>
                    </w:tc>
                  </w:sdtContent>
                </w:sdt>
                <w:sdt>
                  <w:sdtPr>
                    <w:tag w:val="_PLD_9578f3812cf04a34965a5bdc9ee82115"/>
                    <w:id w:val="481896299"/>
                    <w:lock w:val="sdtLocked"/>
                  </w:sdtPr>
                  <w:sdtEndPr/>
                  <w:sdtContent>
                    <w:tc>
                      <w:tcPr>
                        <w:tcW w:w="1276" w:type="dxa"/>
                        <w:vMerge w:val="restart"/>
                        <w:vAlign w:val="center"/>
                      </w:tcPr>
                      <w:p w14:paraId="5F900927" w14:textId="77777777" w:rsidR="00471D53" w:rsidRDefault="004F686E">
                        <w:pPr>
                          <w:adjustRightInd w:val="0"/>
                          <w:snapToGrid w:val="0"/>
                          <w:jc w:val="center"/>
                          <w:rPr>
                            <w:sz w:val="18"/>
                            <w:szCs w:val="18"/>
                          </w:rPr>
                        </w:pPr>
                        <w:r>
                          <w:rPr>
                            <w:sz w:val="18"/>
                            <w:szCs w:val="18"/>
                          </w:rPr>
                          <w:t>盈余公积</w:t>
                        </w:r>
                      </w:p>
                    </w:tc>
                  </w:sdtContent>
                </w:sdt>
                <w:sdt>
                  <w:sdtPr>
                    <w:tag w:val="_PLD_5d835cd98ccc4304aec553a0b6a56628"/>
                    <w:id w:val="2028833404"/>
                    <w:lock w:val="sdtLocked"/>
                  </w:sdtPr>
                  <w:sdtEndPr/>
                  <w:sdtContent>
                    <w:tc>
                      <w:tcPr>
                        <w:tcW w:w="1275" w:type="dxa"/>
                        <w:vMerge w:val="restart"/>
                        <w:vAlign w:val="center"/>
                      </w:tcPr>
                      <w:p w14:paraId="3321934D" w14:textId="77777777" w:rsidR="00471D53" w:rsidRDefault="004F686E">
                        <w:pPr>
                          <w:adjustRightInd w:val="0"/>
                          <w:snapToGrid w:val="0"/>
                          <w:jc w:val="center"/>
                          <w:rPr>
                            <w:sz w:val="18"/>
                            <w:szCs w:val="18"/>
                          </w:rPr>
                        </w:pPr>
                        <w:r>
                          <w:rPr>
                            <w:sz w:val="18"/>
                            <w:szCs w:val="18"/>
                          </w:rPr>
                          <w:t>未分配利润</w:t>
                        </w:r>
                      </w:p>
                    </w:tc>
                  </w:sdtContent>
                </w:sdt>
                <w:sdt>
                  <w:sdtPr>
                    <w:tag w:val="_PLD_1cbb8af374a54430ad1f29ed83c69cd0"/>
                    <w:id w:val="541726100"/>
                    <w:lock w:val="sdtLocked"/>
                  </w:sdtPr>
                  <w:sdtEndPr/>
                  <w:sdtContent>
                    <w:tc>
                      <w:tcPr>
                        <w:tcW w:w="1546" w:type="dxa"/>
                        <w:vMerge w:val="restart"/>
                        <w:vAlign w:val="center"/>
                      </w:tcPr>
                      <w:p w14:paraId="5691F059" w14:textId="77777777" w:rsidR="00471D53" w:rsidRDefault="004F686E">
                        <w:pPr>
                          <w:adjustRightInd w:val="0"/>
                          <w:snapToGrid w:val="0"/>
                          <w:jc w:val="center"/>
                          <w:rPr>
                            <w:sz w:val="18"/>
                            <w:szCs w:val="18"/>
                          </w:rPr>
                        </w:pPr>
                        <w:r>
                          <w:rPr>
                            <w:sz w:val="18"/>
                            <w:szCs w:val="18"/>
                          </w:rPr>
                          <w:t>所有者权益合计</w:t>
                        </w:r>
                      </w:p>
                    </w:tc>
                  </w:sdtContent>
                </w:sdt>
              </w:tr>
              <w:tr w:rsidR="001279EE" w14:paraId="7057421D" w14:textId="77777777" w:rsidTr="001279EE">
                <w:trPr>
                  <w:trHeight w:val="294"/>
                </w:trPr>
                <w:tc>
                  <w:tcPr>
                    <w:tcW w:w="2394" w:type="dxa"/>
                    <w:vMerge/>
                  </w:tcPr>
                  <w:p w14:paraId="0A91F46D" w14:textId="77777777" w:rsidR="00471D53" w:rsidRDefault="00B664AF">
                    <w:pPr>
                      <w:adjustRightInd w:val="0"/>
                      <w:snapToGrid w:val="0"/>
                      <w:rPr>
                        <w:sz w:val="18"/>
                        <w:szCs w:val="18"/>
                      </w:rPr>
                    </w:pPr>
                  </w:p>
                </w:tc>
                <w:tc>
                  <w:tcPr>
                    <w:tcW w:w="1318" w:type="dxa"/>
                    <w:vMerge/>
                    <w:tcBorders>
                      <w:right w:val="single" w:sz="4" w:space="0" w:color="auto"/>
                    </w:tcBorders>
                  </w:tcPr>
                  <w:p w14:paraId="1C5AB877" w14:textId="77777777" w:rsidR="00471D53" w:rsidRDefault="00B664AF">
                    <w:pPr>
                      <w:adjustRightInd w:val="0"/>
                      <w:snapToGrid w:val="0"/>
                      <w:jc w:val="center"/>
                      <w:rPr>
                        <w:sz w:val="18"/>
                        <w:szCs w:val="18"/>
                      </w:rPr>
                    </w:pPr>
                  </w:p>
                </w:tc>
                <w:sdt>
                  <w:sdtPr>
                    <w:tag w:val="_PLD_dcc9ba0f815c4a99a7c4c9fe219d232e"/>
                    <w:id w:val="672915662"/>
                    <w:lock w:val="sdtLocked"/>
                  </w:sdtPr>
                  <w:sdtEndPr/>
                  <w:sdtContent>
                    <w:tc>
                      <w:tcPr>
                        <w:tcW w:w="850" w:type="dxa"/>
                        <w:tcBorders>
                          <w:top w:val="single" w:sz="4" w:space="0" w:color="auto"/>
                          <w:left w:val="single" w:sz="4" w:space="0" w:color="auto"/>
                          <w:right w:val="single" w:sz="4" w:space="0" w:color="auto"/>
                        </w:tcBorders>
                        <w:vAlign w:val="center"/>
                      </w:tcPr>
                      <w:p w14:paraId="5F636FEA" w14:textId="77777777" w:rsidR="00471D53" w:rsidRDefault="004F686E">
                        <w:pPr>
                          <w:adjustRightInd w:val="0"/>
                          <w:snapToGrid w:val="0"/>
                          <w:jc w:val="center"/>
                          <w:rPr>
                            <w:sz w:val="18"/>
                            <w:szCs w:val="18"/>
                          </w:rPr>
                        </w:pPr>
                        <w:r>
                          <w:rPr>
                            <w:rFonts w:hint="eastAsia"/>
                            <w:sz w:val="18"/>
                            <w:szCs w:val="18"/>
                          </w:rPr>
                          <w:t>优先股</w:t>
                        </w:r>
                      </w:p>
                    </w:tc>
                  </w:sdtContent>
                </w:sdt>
                <w:sdt>
                  <w:sdtPr>
                    <w:tag w:val="_PLD_42f56a6e995041a8b03e0979c7b2350c"/>
                    <w:id w:val="-1212112028"/>
                    <w:lock w:val="sdtLocked"/>
                  </w:sdtPr>
                  <w:sdtEndPr/>
                  <w:sdtContent>
                    <w:tc>
                      <w:tcPr>
                        <w:tcW w:w="851" w:type="dxa"/>
                        <w:tcBorders>
                          <w:top w:val="single" w:sz="4" w:space="0" w:color="auto"/>
                          <w:left w:val="single" w:sz="4" w:space="0" w:color="auto"/>
                          <w:right w:val="single" w:sz="4" w:space="0" w:color="auto"/>
                        </w:tcBorders>
                        <w:vAlign w:val="center"/>
                      </w:tcPr>
                      <w:p w14:paraId="255E204D" w14:textId="77777777" w:rsidR="00471D53" w:rsidRDefault="004F686E">
                        <w:pPr>
                          <w:adjustRightInd w:val="0"/>
                          <w:snapToGrid w:val="0"/>
                          <w:jc w:val="center"/>
                          <w:rPr>
                            <w:sz w:val="18"/>
                            <w:szCs w:val="18"/>
                          </w:rPr>
                        </w:pPr>
                        <w:r>
                          <w:rPr>
                            <w:rFonts w:hint="eastAsia"/>
                            <w:sz w:val="18"/>
                            <w:szCs w:val="18"/>
                          </w:rPr>
                          <w:t>永续债</w:t>
                        </w:r>
                      </w:p>
                    </w:tc>
                  </w:sdtContent>
                </w:sdt>
                <w:sdt>
                  <w:sdtPr>
                    <w:tag w:val="_PLD_30aa853463c54004a69a2235554ee8fd"/>
                    <w:id w:val="-1850949316"/>
                    <w:lock w:val="sdtLocked"/>
                  </w:sdtPr>
                  <w:sdtEndPr/>
                  <w:sdtContent>
                    <w:tc>
                      <w:tcPr>
                        <w:tcW w:w="708" w:type="dxa"/>
                        <w:tcBorders>
                          <w:top w:val="single" w:sz="4" w:space="0" w:color="auto"/>
                          <w:left w:val="single" w:sz="4" w:space="0" w:color="auto"/>
                        </w:tcBorders>
                        <w:vAlign w:val="center"/>
                      </w:tcPr>
                      <w:p w14:paraId="4E97E947" w14:textId="77777777" w:rsidR="00471D53" w:rsidRDefault="004F686E">
                        <w:pPr>
                          <w:adjustRightInd w:val="0"/>
                          <w:snapToGrid w:val="0"/>
                          <w:jc w:val="center"/>
                          <w:rPr>
                            <w:sz w:val="18"/>
                            <w:szCs w:val="18"/>
                          </w:rPr>
                        </w:pPr>
                        <w:r>
                          <w:rPr>
                            <w:rFonts w:hint="eastAsia"/>
                            <w:sz w:val="18"/>
                            <w:szCs w:val="18"/>
                          </w:rPr>
                          <w:t>其他</w:t>
                        </w:r>
                      </w:p>
                    </w:tc>
                  </w:sdtContent>
                </w:sdt>
                <w:tc>
                  <w:tcPr>
                    <w:tcW w:w="1276" w:type="dxa"/>
                    <w:vMerge/>
                  </w:tcPr>
                  <w:p w14:paraId="2EE22990" w14:textId="77777777" w:rsidR="00471D53" w:rsidRDefault="00B664AF">
                    <w:pPr>
                      <w:adjustRightInd w:val="0"/>
                      <w:snapToGrid w:val="0"/>
                      <w:jc w:val="center"/>
                      <w:rPr>
                        <w:sz w:val="18"/>
                        <w:szCs w:val="18"/>
                      </w:rPr>
                    </w:pPr>
                  </w:p>
                </w:tc>
                <w:tc>
                  <w:tcPr>
                    <w:tcW w:w="851" w:type="dxa"/>
                    <w:vMerge/>
                  </w:tcPr>
                  <w:p w14:paraId="35615853" w14:textId="77777777" w:rsidR="00471D53" w:rsidRDefault="00B664AF">
                    <w:pPr>
                      <w:adjustRightInd w:val="0"/>
                      <w:snapToGrid w:val="0"/>
                      <w:jc w:val="center"/>
                      <w:rPr>
                        <w:sz w:val="18"/>
                        <w:szCs w:val="18"/>
                      </w:rPr>
                    </w:pPr>
                  </w:p>
                </w:tc>
                <w:tc>
                  <w:tcPr>
                    <w:tcW w:w="850" w:type="dxa"/>
                    <w:vMerge/>
                  </w:tcPr>
                  <w:p w14:paraId="728627EA" w14:textId="77777777" w:rsidR="00471D53" w:rsidRDefault="00B664AF">
                    <w:pPr>
                      <w:jc w:val="center"/>
                      <w:rPr>
                        <w:sz w:val="18"/>
                        <w:szCs w:val="18"/>
                      </w:rPr>
                    </w:pPr>
                  </w:p>
                </w:tc>
                <w:tc>
                  <w:tcPr>
                    <w:tcW w:w="709" w:type="dxa"/>
                    <w:vMerge/>
                  </w:tcPr>
                  <w:p w14:paraId="1FB62BF4" w14:textId="77777777" w:rsidR="00471D53" w:rsidRDefault="00B664AF">
                    <w:pPr>
                      <w:adjustRightInd w:val="0"/>
                      <w:snapToGrid w:val="0"/>
                      <w:jc w:val="center"/>
                      <w:rPr>
                        <w:sz w:val="18"/>
                        <w:szCs w:val="18"/>
                      </w:rPr>
                    </w:pPr>
                  </w:p>
                </w:tc>
                <w:tc>
                  <w:tcPr>
                    <w:tcW w:w="1276" w:type="dxa"/>
                    <w:vMerge/>
                  </w:tcPr>
                  <w:p w14:paraId="2AC0F181" w14:textId="77777777" w:rsidR="00471D53" w:rsidRDefault="00B664AF">
                    <w:pPr>
                      <w:adjustRightInd w:val="0"/>
                      <w:snapToGrid w:val="0"/>
                      <w:jc w:val="center"/>
                      <w:rPr>
                        <w:sz w:val="18"/>
                        <w:szCs w:val="18"/>
                      </w:rPr>
                    </w:pPr>
                  </w:p>
                </w:tc>
                <w:tc>
                  <w:tcPr>
                    <w:tcW w:w="1275" w:type="dxa"/>
                    <w:vMerge/>
                  </w:tcPr>
                  <w:p w14:paraId="46FDAEBD" w14:textId="77777777" w:rsidR="00471D53" w:rsidRDefault="00B664AF">
                    <w:pPr>
                      <w:adjustRightInd w:val="0"/>
                      <w:snapToGrid w:val="0"/>
                      <w:jc w:val="center"/>
                      <w:rPr>
                        <w:sz w:val="18"/>
                        <w:szCs w:val="18"/>
                      </w:rPr>
                    </w:pPr>
                  </w:p>
                </w:tc>
                <w:tc>
                  <w:tcPr>
                    <w:tcW w:w="1546" w:type="dxa"/>
                    <w:vMerge/>
                  </w:tcPr>
                  <w:p w14:paraId="0D257070" w14:textId="77777777" w:rsidR="00471D53" w:rsidRDefault="00B664AF">
                    <w:pPr>
                      <w:adjustRightInd w:val="0"/>
                      <w:snapToGrid w:val="0"/>
                      <w:jc w:val="center"/>
                      <w:rPr>
                        <w:sz w:val="18"/>
                        <w:szCs w:val="18"/>
                      </w:rPr>
                    </w:pPr>
                  </w:p>
                </w:tc>
              </w:tr>
              <w:tr w:rsidR="001279EE" w14:paraId="0BD894FC" w14:textId="77777777" w:rsidTr="001279EE">
                <w:trPr>
                  <w:trHeight w:val="20"/>
                </w:trPr>
                <w:sdt>
                  <w:sdtPr>
                    <w:tag w:val="_PLD_b00b327c7ecc4ad1bfafd8f9c1a6ce86"/>
                    <w:id w:val="2134599872"/>
                    <w:lock w:val="sdtLocked"/>
                  </w:sdtPr>
                  <w:sdtEndPr/>
                  <w:sdtContent>
                    <w:tc>
                      <w:tcPr>
                        <w:tcW w:w="2394" w:type="dxa"/>
                      </w:tcPr>
                      <w:p w14:paraId="5E905309" w14:textId="77777777" w:rsidR="00471D53" w:rsidRDefault="004F686E">
                        <w:pPr>
                          <w:rPr>
                            <w:sz w:val="18"/>
                            <w:szCs w:val="18"/>
                          </w:rPr>
                        </w:pPr>
                        <w:r>
                          <w:rPr>
                            <w:sz w:val="18"/>
                            <w:szCs w:val="18"/>
                          </w:rPr>
                          <w:t>一、上年</w:t>
                        </w:r>
                        <w:r>
                          <w:rPr>
                            <w:rFonts w:hint="eastAsia"/>
                            <w:sz w:val="18"/>
                            <w:szCs w:val="18"/>
                          </w:rPr>
                          <w:t>期</w:t>
                        </w:r>
                        <w:r>
                          <w:rPr>
                            <w:sz w:val="18"/>
                            <w:szCs w:val="18"/>
                          </w:rPr>
                          <w:t>末余额</w:t>
                        </w:r>
                      </w:p>
                    </w:tc>
                  </w:sdtContent>
                </w:sdt>
                <w:tc>
                  <w:tcPr>
                    <w:tcW w:w="1318" w:type="dxa"/>
                    <w:tcBorders>
                      <w:right w:val="single" w:sz="4" w:space="0" w:color="auto"/>
                    </w:tcBorders>
                    <w:vAlign w:val="center"/>
                  </w:tcPr>
                  <w:p w14:paraId="78E12BFD" w14:textId="138263FE" w:rsidR="00471D53" w:rsidRPr="00345210" w:rsidRDefault="004F686E">
                    <w:pPr>
                      <w:jc w:val="right"/>
                      <w:rPr>
                        <w:sz w:val="15"/>
                        <w:szCs w:val="15"/>
                      </w:rPr>
                    </w:pPr>
                    <w:r w:rsidRPr="00345210">
                      <w:rPr>
                        <w:rFonts w:hint="eastAsia"/>
                        <w:sz w:val="15"/>
                        <w:szCs w:val="15"/>
                      </w:rPr>
                      <w:t>422,000,000.00</w:t>
                    </w:r>
                  </w:p>
                </w:tc>
                <w:tc>
                  <w:tcPr>
                    <w:tcW w:w="850" w:type="dxa"/>
                    <w:tcBorders>
                      <w:left w:val="single" w:sz="4" w:space="0" w:color="auto"/>
                      <w:right w:val="single" w:sz="4" w:space="0" w:color="auto"/>
                    </w:tcBorders>
                    <w:vAlign w:val="center"/>
                  </w:tcPr>
                  <w:p w14:paraId="716193AD" w14:textId="77777777" w:rsidR="00471D53" w:rsidRPr="00345210" w:rsidRDefault="004F686E">
                    <w:pPr>
                      <w:jc w:val="right"/>
                      <w:rPr>
                        <w:sz w:val="15"/>
                        <w:szCs w:val="15"/>
                      </w:rPr>
                    </w:pPr>
                    <w:r w:rsidRPr="00345210">
                      <w:rPr>
                        <w:rFonts w:hint="eastAsia"/>
                        <w:sz w:val="15"/>
                        <w:szCs w:val="15"/>
                      </w:rPr>
                      <w:t xml:space="preserve">　</w:t>
                    </w:r>
                  </w:p>
                </w:tc>
                <w:tc>
                  <w:tcPr>
                    <w:tcW w:w="851" w:type="dxa"/>
                    <w:tcBorders>
                      <w:left w:val="single" w:sz="4" w:space="0" w:color="auto"/>
                      <w:right w:val="single" w:sz="4" w:space="0" w:color="auto"/>
                    </w:tcBorders>
                    <w:vAlign w:val="center"/>
                  </w:tcPr>
                  <w:p w14:paraId="476B3CF9" w14:textId="77777777" w:rsidR="00471D53" w:rsidRPr="00345210" w:rsidRDefault="004F686E">
                    <w:pPr>
                      <w:jc w:val="right"/>
                      <w:rPr>
                        <w:sz w:val="15"/>
                        <w:szCs w:val="15"/>
                      </w:rPr>
                    </w:pPr>
                    <w:r w:rsidRPr="00345210">
                      <w:rPr>
                        <w:rFonts w:hint="eastAsia"/>
                        <w:sz w:val="15"/>
                        <w:szCs w:val="15"/>
                      </w:rPr>
                      <w:t xml:space="preserve">　</w:t>
                    </w:r>
                  </w:p>
                </w:tc>
                <w:tc>
                  <w:tcPr>
                    <w:tcW w:w="708" w:type="dxa"/>
                    <w:tcBorders>
                      <w:left w:val="single" w:sz="4" w:space="0" w:color="auto"/>
                      <w:right w:val="single" w:sz="4" w:space="0" w:color="auto"/>
                    </w:tcBorders>
                    <w:vAlign w:val="center"/>
                  </w:tcPr>
                  <w:p w14:paraId="780EF04C" w14:textId="77777777" w:rsidR="00471D53" w:rsidRPr="00345210" w:rsidRDefault="004F686E">
                    <w:pPr>
                      <w:jc w:val="right"/>
                      <w:rPr>
                        <w:sz w:val="15"/>
                        <w:szCs w:val="15"/>
                      </w:rPr>
                    </w:pPr>
                    <w:r w:rsidRPr="00345210">
                      <w:rPr>
                        <w:rFonts w:hint="eastAsia"/>
                        <w:sz w:val="15"/>
                        <w:szCs w:val="15"/>
                      </w:rPr>
                      <w:t xml:space="preserve">　</w:t>
                    </w:r>
                  </w:p>
                </w:tc>
                <w:tc>
                  <w:tcPr>
                    <w:tcW w:w="1276" w:type="dxa"/>
                    <w:tcBorders>
                      <w:left w:val="single" w:sz="4" w:space="0" w:color="auto"/>
                    </w:tcBorders>
                    <w:vAlign w:val="center"/>
                  </w:tcPr>
                  <w:p w14:paraId="70259DA0" w14:textId="0C42C684" w:rsidR="00471D53" w:rsidRPr="00345210" w:rsidRDefault="004F686E">
                    <w:pPr>
                      <w:jc w:val="right"/>
                      <w:rPr>
                        <w:sz w:val="15"/>
                        <w:szCs w:val="15"/>
                      </w:rPr>
                    </w:pPr>
                    <w:r w:rsidRPr="00345210">
                      <w:rPr>
                        <w:rFonts w:hint="eastAsia"/>
                        <w:sz w:val="15"/>
                        <w:szCs w:val="15"/>
                      </w:rPr>
                      <w:t>666,639,987.85</w:t>
                    </w:r>
                  </w:p>
                </w:tc>
                <w:tc>
                  <w:tcPr>
                    <w:tcW w:w="851" w:type="dxa"/>
                    <w:vAlign w:val="center"/>
                  </w:tcPr>
                  <w:p w14:paraId="6E1CF371" w14:textId="77777777" w:rsidR="00471D53" w:rsidRPr="00345210" w:rsidRDefault="004F686E">
                    <w:pPr>
                      <w:jc w:val="right"/>
                      <w:rPr>
                        <w:sz w:val="15"/>
                        <w:szCs w:val="15"/>
                      </w:rPr>
                    </w:pPr>
                    <w:r w:rsidRPr="00345210">
                      <w:rPr>
                        <w:rFonts w:hint="eastAsia"/>
                        <w:sz w:val="15"/>
                        <w:szCs w:val="15"/>
                      </w:rPr>
                      <w:t xml:space="preserve">　</w:t>
                    </w:r>
                  </w:p>
                </w:tc>
                <w:tc>
                  <w:tcPr>
                    <w:tcW w:w="850" w:type="dxa"/>
                    <w:vAlign w:val="center"/>
                  </w:tcPr>
                  <w:p w14:paraId="67B41AAD" w14:textId="77777777" w:rsidR="00471D53" w:rsidRPr="00345210" w:rsidRDefault="004F686E">
                    <w:pPr>
                      <w:jc w:val="right"/>
                      <w:rPr>
                        <w:sz w:val="15"/>
                        <w:szCs w:val="15"/>
                      </w:rPr>
                    </w:pPr>
                    <w:r w:rsidRPr="00345210">
                      <w:rPr>
                        <w:rFonts w:hint="eastAsia"/>
                        <w:sz w:val="15"/>
                        <w:szCs w:val="15"/>
                      </w:rPr>
                      <w:t xml:space="preserve">　</w:t>
                    </w:r>
                  </w:p>
                </w:tc>
                <w:tc>
                  <w:tcPr>
                    <w:tcW w:w="709" w:type="dxa"/>
                    <w:vAlign w:val="center"/>
                  </w:tcPr>
                  <w:p w14:paraId="03705CF5" w14:textId="77777777" w:rsidR="00471D53" w:rsidRPr="00345210" w:rsidRDefault="004F686E">
                    <w:pPr>
                      <w:jc w:val="right"/>
                      <w:rPr>
                        <w:sz w:val="15"/>
                        <w:szCs w:val="15"/>
                      </w:rPr>
                    </w:pPr>
                    <w:r w:rsidRPr="00345210">
                      <w:rPr>
                        <w:rFonts w:hint="eastAsia"/>
                        <w:sz w:val="15"/>
                        <w:szCs w:val="15"/>
                      </w:rPr>
                      <w:t xml:space="preserve">　</w:t>
                    </w:r>
                  </w:p>
                </w:tc>
                <w:tc>
                  <w:tcPr>
                    <w:tcW w:w="1276" w:type="dxa"/>
                    <w:vAlign w:val="center"/>
                  </w:tcPr>
                  <w:p w14:paraId="08AACB05" w14:textId="78C6751D" w:rsidR="00471D53" w:rsidRPr="00345210" w:rsidRDefault="004F686E">
                    <w:pPr>
                      <w:jc w:val="right"/>
                      <w:rPr>
                        <w:sz w:val="15"/>
                        <w:szCs w:val="15"/>
                      </w:rPr>
                    </w:pPr>
                    <w:r w:rsidRPr="00345210">
                      <w:rPr>
                        <w:rFonts w:hint="eastAsia"/>
                        <w:sz w:val="15"/>
                        <w:szCs w:val="15"/>
                      </w:rPr>
                      <w:t>38,071,282.24</w:t>
                    </w:r>
                  </w:p>
                </w:tc>
                <w:tc>
                  <w:tcPr>
                    <w:tcW w:w="1275" w:type="dxa"/>
                    <w:vAlign w:val="center"/>
                  </w:tcPr>
                  <w:p w14:paraId="1B3B3225" w14:textId="7087DE75" w:rsidR="00471D53" w:rsidRPr="00345210" w:rsidRDefault="004F686E">
                    <w:pPr>
                      <w:jc w:val="right"/>
                      <w:rPr>
                        <w:sz w:val="15"/>
                        <w:szCs w:val="15"/>
                      </w:rPr>
                    </w:pPr>
                    <w:r w:rsidRPr="00345210">
                      <w:rPr>
                        <w:rFonts w:hint="eastAsia"/>
                        <w:sz w:val="15"/>
                        <w:szCs w:val="15"/>
                      </w:rPr>
                      <w:t>-58,142,511.00</w:t>
                    </w:r>
                  </w:p>
                </w:tc>
                <w:tc>
                  <w:tcPr>
                    <w:tcW w:w="1546" w:type="dxa"/>
                    <w:vAlign w:val="center"/>
                  </w:tcPr>
                  <w:p w14:paraId="48FF792D" w14:textId="276E1156" w:rsidR="00471D53" w:rsidRPr="00345210" w:rsidRDefault="004F686E">
                    <w:pPr>
                      <w:jc w:val="right"/>
                      <w:rPr>
                        <w:sz w:val="15"/>
                        <w:szCs w:val="15"/>
                      </w:rPr>
                    </w:pPr>
                    <w:r w:rsidRPr="00345210">
                      <w:rPr>
                        <w:rFonts w:hint="eastAsia"/>
                        <w:sz w:val="15"/>
                        <w:szCs w:val="15"/>
                      </w:rPr>
                      <w:t>1,068,568,759.09</w:t>
                    </w:r>
                  </w:p>
                </w:tc>
              </w:tr>
              <w:tr w:rsidR="001279EE" w14:paraId="73CB2CCE" w14:textId="77777777" w:rsidTr="001279EE">
                <w:trPr>
                  <w:trHeight w:val="20"/>
                </w:trPr>
                <w:sdt>
                  <w:sdtPr>
                    <w:tag w:val="_PLD_87ad1d45ba9b40488fdf5165b8168def"/>
                    <w:id w:val="-741399588"/>
                    <w:lock w:val="sdtLocked"/>
                  </w:sdtPr>
                  <w:sdtEndPr/>
                  <w:sdtContent>
                    <w:tc>
                      <w:tcPr>
                        <w:tcW w:w="2394" w:type="dxa"/>
                      </w:tcPr>
                      <w:p w14:paraId="0ED82EAA" w14:textId="77777777" w:rsidR="00471D53" w:rsidRDefault="004F686E">
                        <w:pPr>
                          <w:rPr>
                            <w:sz w:val="18"/>
                            <w:szCs w:val="18"/>
                          </w:rPr>
                        </w:pPr>
                        <w:r>
                          <w:rPr>
                            <w:sz w:val="18"/>
                            <w:szCs w:val="18"/>
                          </w:rPr>
                          <w:t>加：会计政策变更</w:t>
                        </w:r>
                      </w:p>
                    </w:tc>
                  </w:sdtContent>
                </w:sdt>
                <w:tc>
                  <w:tcPr>
                    <w:tcW w:w="1318" w:type="dxa"/>
                    <w:tcBorders>
                      <w:right w:val="single" w:sz="4" w:space="0" w:color="auto"/>
                    </w:tcBorders>
                  </w:tcPr>
                  <w:p w14:paraId="5C456142" w14:textId="77777777" w:rsidR="00471D53" w:rsidRPr="00345210" w:rsidRDefault="00B664AF">
                    <w:pPr>
                      <w:jc w:val="right"/>
                      <w:rPr>
                        <w:sz w:val="15"/>
                        <w:szCs w:val="15"/>
                      </w:rPr>
                    </w:pPr>
                  </w:p>
                </w:tc>
                <w:tc>
                  <w:tcPr>
                    <w:tcW w:w="850" w:type="dxa"/>
                    <w:tcBorders>
                      <w:left w:val="single" w:sz="4" w:space="0" w:color="auto"/>
                      <w:right w:val="single" w:sz="4" w:space="0" w:color="auto"/>
                    </w:tcBorders>
                  </w:tcPr>
                  <w:p w14:paraId="6CB118B6" w14:textId="77777777" w:rsidR="00471D53" w:rsidRPr="00345210" w:rsidRDefault="00B664AF">
                    <w:pPr>
                      <w:jc w:val="right"/>
                      <w:rPr>
                        <w:sz w:val="15"/>
                        <w:szCs w:val="15"/>
                      </w:rPr>
                    </w:pPr>
                  </w:p>
                </w:tc>
                <w:tc>
                  <w:tcPr>
                    <w:tcW w:w="851" w:type="dxa"/>
                    <w:tcBorders>
                      <w:left w:val="single" w:sz="4" w:space="0" w:color="auto"/>
                      <w:right w:val="single" w:sz="4" w:space="0" w:color="auto"/>
                    </w:tcBorders>
                  </w:tcPr>
                  <w:p w14:paraId="610DE1FF" w14:textId="77777777" w:rsidR="00471D53" w:rsidRPr="00345210" w:rsidRDefault="00B664AF">
                    <w:pPr>
                      <w:jc w:val="right"/>
                      <w:rPr>
                        <w:sz w:val="15"/>
                        <w:szCs w:val="15"/>
                      </w:rPr>
                    </w:pPr>
                  </w:p>
                </w:tc>
                <w:tc>
                  <w:tcPr>
                    <w:tcW w:w="708" w:type="dxa"/>
                    <w:tcBorders>
                      <w:left w:val="single" w:sz="4" w:space="0" w:color="auto"/>
                      <w:right w:val="single" w:sz="4" w:space="0" w:color="auto"/>
                    </w:tcBorders>
                  </w:tcPr>
                  <w:p w14:paraId="6CA3D26B" w14:textId="77777777" w:rsidR="00471D53" w:rsidRPr="00345210" w:rsidRDefault="00B664AF">
                    <w:pPr>
                      <w:jc w:val="right"/>
                      <w:rPr>
                        <w:sz w:val="15"/>
                        <w:szCs w:val="15"/>
                      </w:rPr>
                    </w:pPr>
                  </w:p>
                </w:tc>
                <w:tc>
                  <w:tcPr>
                    <w:tcW w:w="1276" w:type="dxa"/>
                    <w:tcBorders>
                      <w:left w:val="single" w:sz="4" w:space="0" w:color="auto"/>
                    </w:tcBorders>
                  </w:tcPr>
                  <w:p w14:paraId="63CC4A74" w14:textId="77777777" w:rsidR="00471D53" w:rsidRPr="00345210" w:rsidRDefault="00B664AF">
                    <w:pPr>
                      <w:jc w:val="right"/>
                      <w:rPr>
                        <w:sz w:val="15"/>
                        <w:szCs w:val="15"/>
                      </w:rPr>
                    </w:pPr>
                  </w:p>
                </w:tc>
                <w:tc>
                  <w:tcPr>
                    <w:tcW w:w="851" w:type="dxa"/>
                  </w:tcPr>
                  <w:p w14:paraId="2F514073" w14:textId="77777777" w:rsidR="00471D53" w:rsidRPr="00345210" w:rsidRDefault="00B664AF">
                    <w:pPr>
                      <w:jc w:val="right"/>
                      <w:rPr>
                        <w:sz w:val="15"/>
                        <w:szCs w:val="15"/>
                      </w:rPr>
                    </w:pPr>
                  </w:p>
                </w:tc>
                <w:tc>
                  <w:tcPr>
                    <w:tcW w:w="850" w:type="dxa"/>
                  </w:tcPr>
                  <w:p w14:paraId="5B223C5D" w14:textId="77777777" w:rsidR="00471D53" w:rsidRPr="00345210" w:rsidRDefault="00B664AF">
                    <w:pPr>
                      <w:jc w:val="right"/>
                      <w:rPr>
                        <w:sz w:val="15"/>
                        <w:szCs w:val="15"/>
                      </w:rPr>
                    </w:pPr>
                  </w:p>
                </w:tc>
                <w:tc>
                  <w:tcPr>
                    <w:tcW w:w="709" w:type="dxa"/>
                  </w:tcPr>
                  <w:p w14:paraId="4B72ABA7" w14:textId="77777777" w:rsidR="00471D53" w:rsidRPr="00345210" w:rsidRDefault="00B664AF">
                    <w:pPr>
                      <w:jc w:val="right"/>
                      <w:rPr>
                        <w:sz w:val="15"/>
                        <w:szCs w:val="15"/>
                      </w:rPr>
                    </w:pPr>
                  </w:p>
                </w:tc>
                <w:tc>
                  <w:tcPr>
                    <w:tcW w:w="1276" w:type="dxa"/>
                  </w:tcPr>
                  <w:p w14:paraId="093006C7" w14:textId="77777777" w:rsidR="00471D53" w:rsidRPr="00345210" w:rsidRDefault="00B664AF">
                    <w:pPr>
                      <w:jc w:val="right"/>
                      <w:rPr>
                        <w:sz w:val="15"/>
                        <w:szCs w:val="15"/>
                      </w:rPr>
                    </w:pPr>
                  </w:p>
                </w:tc>
                <w:tc>
                  <w:tcPr>
                    <w:tcW w:w="1275" w:type="dxa"/>
                  </w:tcPr>
                  <w:p w14:paraId="1280C35B" w14:textId="77777777" w:rsidR="00471D53" w:rsidRPr="00345210" w:rsidRDefault="00B664AF">
                    <w:pPr>
                      <w:jc w:val="right"/>
                      <w:rPr>
                        <w:sz w:val="15"/>
                        <w:szCs w:val="15"/>
                      </w:rPr>
                    </w:pPr>
                  </w:p>
                </w:tc>
                <w:tc>
                  <w:tcPr>
                    <w:tcW w:w="1546" w:type="dxa"/>
                  </w:tcPr>
                  <w:p w14:paraId="70D34356" w14:textId="77777777" w:rsidR="00471D53" w:rsidRPr="00345210" w:rsidRDefault="00B664AF">
                    <w:pPr>
                      <w:jc w:val="right"/>
                      <w:rPr>
                        <w:sz w:val="15"/>
                        <w:szCs w:val="15"/>
                      </w:rPr>
                    </w:pPr>
                  </w:p>
                </w:tc>
              </w:tr>
              <w:tr w:rsidR="001279EE" w14:paraId="03D81006" w14:textId="77777777" w:rsidTr="001279EE">
                <w:trPr>
                  <w:trHeight w:val="20"/>
                </w:trPr>
                <w:sdt>
                  <w:sdtPr>
                    <w:tag w:val="_PLD_494f8b7216f946d9a09f6954da6ee226"/>
                    <w:id w:val="84971423"/>
                    <w:lock w:val="sdtLocked"/>
                  </w:sdtPr>
                  <w:sdtEndPr/>
                  <w:sdtContent>
                    <w:tc>
                      <w:tcPr>
                        <w:tcW w:w="2394" w:type="dxa"/>
                      </w:tcPr>
                      <w:p w14:paraId="5482D0B2" w14:textId="77777777" w:rsidR="00471D53" w:rsidRDefault="004F686E" w:rsidP="00471D53">
                        <w:pPr>
                          <w:ind w:firstLineChars="200" w:firstLine="420"/>
                          <w:rPr>
                            <w:sz w:val="18"/>
                            <w:szCs w:val="18"/>
                          </w:rPr>
                        </w:pPr>
                        <w:r>
                          <w:rPr>
                            <w:sz w:val="18"/>
                            <w:szCs w:val="18"/>
                          </w:rPr>
                          <w:t>前期差错更正</w:t>
                        </w:r>
                      </w:p>
                    </w:tc>
                  </w:sdtContent>
                </w:sdt>
                <w:tc>
                  <w:tcPr>
                    <w:tcW w:w="1318" w:type="dxa"/>
                    <w:tcBorders>
                      <w:right w:val="single" w:sz="4" w:space="0" w:color="auto"/>
                    </w:tcBorders>
                  </w:tcPr>
                  <w:p w14:paraId="603C80B4" w14:textId="77777777" w:rsidR="00471D53" w:rsidRPr="00345210" w:rsidRDefault="00B664AF">
                    <w:pPr>
                      <w:jc w:val="right"/>
                      <w:rPr>
                        <w:sz w:val="15"/>
                        <w:szCs w:val="15"/>
                      </w:rPr>
                    </w:pPr>
                  </w:p>
                </w:tc>
                <w:tc>
                  <w:tcPr>
                    <w:tcW w:w="850" w:type="dxa"/>
                    <w:tcBorders>
                      <w:left w:val="single" w:sz="4" w:space="0" w:color="auto"/>
                      <w:right w:val="single" w:sz="4" w:space="0" w:color="auto"/>
                    </w:tcBorders>
                  </w:tcPr>
                  <w:p w14:paraId="0C225F39" w14:textId="77777777" w:rsidR="00471D53" w:rsidRPr="00345210" w:rsidRDefault="00B664AF">
                    <w:pPr>
                      <w:jc w:val="right"/>
                      <w:rPr>
                        <w:sz w:val="15"/>
                        <w:szCs w:val="15"/>
                      </w:rPr>
                    </w:pPr>
                  </w:p>
                </w:tc>
                <w:tc>
                  <w:tcPr>
                    <w:tcW w:w="851" w:type="dxa"/>
                    <w:tcBorders>
                      <w:left w:val="single" w:sz="4" w:space="0" w:color="auto"/>
                      <w:right w:val="single" w:sz="4" w:space="0" w:color="auto"/>
                    </w:tcBorders>
                  </w:tcPr>
                  <w:p w14:paraId="1DABBB6A" w14:textId="77777777" w:rsidR="00471D53" w:rsidRPr="00345210" w:rsidRDefault="00B664AF">
                    <w:pPr>
                      <w:jc w:val="right"/>
                      <w:rPr>
                        <w:sz w:val="15"/>
                        <w:szCs w:val="15"/>
                      </w:rPr>
                    </w:pPr>
                  </w:p>
                </w:tc>
                <w:tc>
                  <w:tcPr>
                    <w:tcW w:w="708" w:type="dxa"/>
                    <w:tcBorders>
                      <w:left w:val="single" w:sz="4" w:space="0" w:color="auto"/>
                      <w:right w:val="single" w:sz="4" w:space="0" w:color="auto"/>
                    </w:tcBorders>
                  </w:tcPr>
                  <w:p w14:paraId="6041A3B4" w14:textId="77777777" w:rsidR="00471D53" w:rsidRPr="00345210" w:rsidRDefault="00B664AF">
                    <w:pPr>
                      <w:jc w:val="right"/>
                      <w:rPr>
                        <w:sz w:val="15"/>
                        <w:szCs w:val="15"/>
                      </w:rPr>
                    </w:pPr>
                  </w:p>
                </w:tc>
                <w:tc>
                  <w:tcPr>
                    <w:tcW w:w="1276" w:type="dxa"/>
                    <w:tcBorders>
                      <w:left w:val="single" w:sz="4" w:space="0" w:color="auto"/>
                    </w:tcBorders>
                  </w:tcPr>
                  <w:p w14:paraId="51321432" w14:textId="77777777" w:rsidR="00471D53" w:rsidRPr="00345210" w:rsidRDefault="00B664AF">
                    <w:pPr>
                      <w:jc w:val="right"/>
                      <w:rPr>
                        <w:sz w:val="15"/>
                        <w:szCs w:val="15"/>
                      </w:rPr>
                    </w:pPr>
                  </w:p>
                </w:tc>
                <w:tc>
                  <w:tcPr>
                    <w:tcW w:w="851" w:type="dxa"/>
                  </w:tcPr>
                  <w:p w14:paraId="093D99E9" w14:textId="77777777" w:rsidR="00471D53" w:rsidRPr="00345210" w:rsidRDefault="00B664AF">
                    <w:pPr>
                      <w:jc w:val="right"/>
                      <w:rPr>
                        <w:sz w:val="15"/>
                        <w:szCs w:val="15"/>
                      </w:rPr>
                    </w:pPr>
                  </w:p>
                </w:tc>
                <w:tc>
                  <w:tcPr>
                    <w:tcW w:w="850" w:type="dxa"/>
                  </w:tcPr>
                  <w:p w14:paraId="1B4627A9" w14:textId="77777777" w:rsidR="00471D53" w:rsidRPr="00345210" w:rsidRDefault="00B664AF">
                    <w:pPr>
                      <w:jc w:val="right"/>
                      <w:rPr>
                        <w:sz w:val="15"/>
                        <w:szCs w:val="15"/>
                      </w:rPr>
                    </w:pPr>
                  </w:p>
                </w:tc>
                <w:tc>
                  <w:tcPr>
                    <w:tcW w:w="709" w:type="dxa"/>
                  </w:tcPr>
                  <w:p w14:paraId="6D6C31B8" w14:textId="77777777" w:rsidR="00471D53" w:rsidRPr="00345210" w:rsidRDefault="00B664AF">
                    <w:pPr>
                      <w:jc w:val="right"/>
                      <w:rPr>
                        <w:sz w:val="15"/>
                        <w:szCs w:val="15"/>
                      </w:rPr>
                    </w:pPr>
                  </w:p>
                </w:tc>
                <w:tc>
                  <w:tcPr>
                    <w:tcW w:w="1276" w:type="dxa"/>
                  </w:tcPr>
                  <w:p w14:paraId="6ABC49F1" w14:textId="77777777" w:rsidR="00471D53" w:rsidRPr="00345210" w:rsidRDefault="00B664AF">
                    <w:pPr>
                      <w:jc w:val="right"/>
                      <w:rPr>
                        <w:sz w:val="15"/>
                        <w:szCs w:val="15"/>
                      </w:rPr>
                    </w:pPr>
                  </w:p>
                </w:tc>
                <w:tc>
                  <w:tcPr>
                    <w:tcW w:w="1275" w:type="dxa"/>
                  </w:tcPr>
                  <w:p w14:paraId="546D842E" w14:textId="77777777" w:rsidR="00471D53" w:rsidRPr="00345210" w:rsidRDefault="00B664AF">
                    <w:pPr>
                      <w:jc w:val="right"/>
                      <w:rPr>
                        <w:sz w:val="15"/>
                        <w:szCs w:val="15"/>
                      </w:rPr>
                    </w:pPr>
                  </w:p>
                </w:tc>
                <w:tc>
                  <w:tcPr>
                    <w:tcW w:w="1546" w:type="dxa"/>
                  </w:tcPr>
                  <w:p w14:paraId="0874CC8E" w14:textId="77777777" w:rsidR="00471D53" w:rsidRPr="00345210" w:rsidRDefault="00B664AF">
                    <w:pPr>
                      <w:jc w:val="right"/>
                      <w:rPr>
                        <w:sz w:val="15"/>
                        <w:szCs w:val="15"/>
                      </w:rPr>
                    </w:pPr>
                  </w:p>
                </w:tc>
              </w:tr>
              <w:tr w:rsidR="001279EE" w14:paraId="34D6C42B" w14:textId="77777777" w:rsidTr="001279EE">
                <w:trPr>
                  <w:trHeight w:val="20"/>
                </w:trPr>
                <w:sdt>
                  <w:sdtPr>
                    <w:tag w:val="_PLD_cdd9f72b38894c3eb70b005a61432c29"/>
                    <w:id w:val="462625514"/>
                    <w:lock w:val="sdtLocked"/>
                  </w:sdtPr>
                  <w:sdtEndPr/>
                  <w:sdtContent>
                    <w:tc>
                      <w:tcPr>
                        <w:tcW w:w="2394" w:type="dxa"/>
                      </w:tcPr>
                      <w:p w14:paraId="12EB5EA5" w14:textId="77777777" w:rsidR="00471D53" w:rsidRDefault="004F686E" w:rsidP="00471D53">
                        <w:pPr>
                          <w:ind w:firstLineChars="200" w:firstLine="420"/>
                          <w:rPr>
                            <w:sz w:val="18"/>
                            <w:szCs w:val="18"/>
                          </w:rPr>
                        </w:pPr>
                        <w:r>
                          <w:rPr>
                            <w:rFonts w:hint="eastAsia"/>
                            <w:sz w:val="18"/>
                            <w:szCs w:val="18"/>
                          </w:rPr>
                          <w:t>其他</w:t>
                        </w:r>
                      </w:p>
                    </w:tc>
                  </w:sdtContent>
                </w:sdt>
                <w:tc>
                  <w:tcPr>
                    <w:tcW w:w="1318" w:type="dxa"/>
                    <w:tcBorders>
                      <w:right w:val="single" w:sz="4" w:space="0" w:color="auto"/>
                    </w:tcBorders>
                  </w:tcPr>
                  <w:p w14:paraId="2FF77E13" w14:textId="77777777" w:rsidR="00471D53" w:rsidRPr="00345210" w:rsidRDefault="00B664AF">
                    <w:pPr>
                      <w:jc w:val="right"/>
                      <w:rPr>
                        <w:sz w:val="15"/>
                        <w:szCs w:val="15"/>
                      </w:rPr>
                    </w:pPr>
                  </w:p>
                </w:tc>
                <w:tc>
                  <w:tcPr>
                    <w:tcW w:w="850" w:type="dxa"/>
                    <w:tcBorders>
                      <w:left w:val="single" w:sz="4" w:space="0" w:color="auto"/>
                      <w:right w:val="single" w:sz="4" w:space="0" w:color="auto"/>
                    </w:tcBorders>
                  </w:tcPr>
                  <w:p w14:paraId="44AC7D9D" w14:textId="77777777" w:rsidR="00471D53" w:rsidRPr="00345210" w:rsidRDefault="00B664AF">
                    <w:pPr>
                      <w:jc w:val="right"/>
                      <w:rPr>
                        <w:sz w:val="15"/>
                        <w:szCs w:val="15"/>
                      </w:rPr>
                    </w:pPr>
                  </w:p>
                </w:tc>
                <w:tc>
                  <w:tcPr>
                    <w:tcW w:w="851" w:type="dxa"/>
                    <w:tcBorders>
                      <w:left w:val="single" w:sz="4" w:space="0" w:color="auto"/>
                      <w:right w:val="single" w:sz="4" w:space="0" w:color="auto"/>
                    </w:tcBorders>
                  </w:tcPr>
                  <w:p w14:paraId="285BBA4A" w14:textId="77777777" w:rsidR="00471D53" w:rsidRPr="00345210" w:rsidRDefault="00B664AF">
                    <w:pPr>
                      <w:jc w:val="right"/>
                      <w:rPr>
                        <w:sz w:val="15"/>
                        <w:szCs w:val="15"/>
                      </w:rPr>
                    </w:pPr>
                  </w:p>
                </w:tc>
                <w:tc>
                  <w:tcPr>
                    <w:tcW w:w="708" w:type="dxa"/>
                    <w:tcBorders>
                      <w:left w:val="single" w:sz="4" w:space="0" w:color="auto"/>
                      <w:right w:val="single" w:sz="4" w:space="0" w:color="auto"/>
                    </w:tcBorders>
                  </w:tcPr>
                  <w:p w14:paraId="620682F2" w14:textId="77777777" w:rsidR="00471D53" w:rsidRPr="00345210" w:rsidRDefault="00B664AF">
                    <w:pPr>
                      <w:jc w:val="right"/>
                      <w:rPr>
                        <w:sz w:val="15"/>
                        <w:szCs w:val="15"/>
                      </w:rPr>
                    </w:pPr>
                  </w:p>
                </w:tc>
                <w:tc>
                  <w:tcPr>
                    <w:tcW w:w="1276" w:type="dxa"/>
                    <w:tcBorders>
                      <w:left w:val="single" w:sz="4" w:space="0" w:color="auto"/>
                    </w:tcBorders>
                  </w:tcPr>
                  <w:p w14:paraId="2EDA647E" w14:textId="77777777" w:rsidR="00471D53" w:rsidRPr="00345210" w:rsidRDefault="00B664AF">
                    <w:pPr>
                      <w:jc w:val="right"/>
                      <w:rPr>
                        <w:sz w:val="15"/>
                        <w:szCs w:val="15"/>
                      </w:rPr>
                    </w:pPr>
                  </w:p>
                </w:tc>
                <w:tc>
                  <w:tcPr>
                    <w:tcW w:w="851" w:type="dxa"/>
                  </w:tcPr>
                  <w:p w14:paraId="0B4E02CE" w14:textId="77777777" w:rsidR="00471D53" w:rsidRPr="00345210" w:rsidRDefault="00B664AF">
                    <w:pPr>
                      <w:jc w:val="right"/>
                      <w:rPr>
                        <w:sz w:val="15"/>
                        <w:szCs w:val="15"/>
                      </w:rPr>
                    </w:pPr>
                  </w:p>
                </w:tc>
                <w:tc>
                  <w:tcPr>
                    <w:tcW w:w="850" w:type="dxa"/>
                  </w:tcPr>
                  <w:p w14:paraId="4ACE41D2" w14:textId="77777777" w:rsidR="00471D53" w:rsidRPr="00345210" w:rsidRDefault="00B664AF">
                    <w:pPr>
                      <w:jc w:val="right"/>
                      <w:rPr>
                        <w:sz w:val="15"/>
                        <w:szCs w:val="15"/>
                      </w:rPr>
                    </w:pPr>
                  </w:p>
                </w:tc>
                <w:tc>
                  <w:tcPr>
                    <w:tcW w:w="709" w:type="dxa"/>
                  </w:tcPr>
                  <w:p w14:paraId="65BFFCD7" w14:textId="77777777" w:rsidR="00471D53" w:rsidRPr="00345210" w:rsidRDefault="00B664AF">
                    <w:pPr>
                      <w:jc w:val="right"/>
                      <w:rPr>
                        <w:sz w:val="15"/>
                        <w:szCs w:val="15"/>
                      </w:rPr>
                    </w:pPr>
                  </w:p>
                </w:tc>
                <w:tc>
                  <w:tcPr>
                    <w:tcW w:w="1276" w:type="dxa"/>
                  </w:tcPr>
                  <w:p w14:paraId="11539EFF" w14:textId="77777777" w:rsidR="00471D53" w:rsidRPr="00345210" w:rsidRDefault="00B664AF">
                    <w:pPr>
                      <w:jc w:val="right"/>
                      <w:rPr>
                        <w:sz w:val="15"/>
                        <w:szCs w:val="15"/>
                      </w:rPr>
                    </w:pPr>
                  </w:p>
                </w:tc>
                <w:tc>
                  <w:tcPr>
                    <w:tcW w:w="1275" w:type="dxa"/>
                  </w:tcPr>
                  <w:p w14:paraId="50075CC6" w14:textId="77777777" w:rsidR="00471D53" w:rsidRPr="00345210" w:rsidRDefault="00B664AF">
                    <w:pPr>
                      <w:jc w:val="right"/>
                      <w:rPr>
                        <w:sz w:val="15"/>
                        <w:szCs w:val="15"/>
                      </w:rPr>
                    </w:pPr>
                  </w:p>
                </w:tc>
                <w:tc>
                  <w:tcPr>
                    <w:tcW w:w="1546" w:type="dxa"/>
                  </w:tcPr>
                  <w:p w14:paraId="457F045A" w14:textId="77777777" w:rsidR="00471D53" w:rsidRPr="00345210" w:rsidRDefault="00B664AF">
                    <w:pPr>
                      <w:jc w:val="right"/>
                      <w:rPr>
                        <w:sz w:val="15"/>
                        <w:szCs w:val="15"/>
                      </w:rPr>
                    </w:pPr>
                  </w:p>
                </w:tc>
              </w:tr>
              <w:tr w:rsidR="001279EE" w14:paraId="00FCE734" w14:textId="77777777" w:rsidTr="001279EE">
                <w:trPr>
                  <w:trHeight w:val="20"/>
                </w:trPr>
                <w:sdt>
                  <w:sdtPr>
                    <w:tag w:val="_PLD_8593e1735c664981bacefcb1a0cab245"/>
                    <w:id w:val="-1040118950"/>
                    <w:lock w:val="sdtLocked"/>
                  </w:sdtPr>
                  <w:sdtEndPr/>
                  <w:sdtContent>
                    <w:tc>
                      <w:tcPr>
                        <w:tcW w:w="2394" w:type="dxa"/>
                      </w:tcPr>
                      <w:p w14:paraId="2E30666F" w14:textId="77777777" w:rsidR="00471D53" w:rsidRDefault="004F686E">
                        <w:pPr>
                          <w:rPr>
                            <w:sz w:val="18"/>
                            <w:szCs w:val="18"/>
                          </w:rPr>
                        </w:pPr>
                        <w:r>
                          <w:rPr>
                            <w:sz w:val="18"/>
                            <w:szCs w:val="18"/>
                          </w:rPr>
                          <w:t>二、本年</w:t>
                        </w:r>
                        <w:r>
                          <w:rPr>
                            <w:rFonts w:hint="eastAsia"/>
                            <w:sz w:val="18"/>
                            <w:szCs w:val="18"/>
                          </w:rPr>
                          <w:t>期</w:t>
                        </w:r>
                        <w:r>
                          <w:rPr>
                            <w:sz w:val="18"/>
                            <w:szCs w:val="18"/>
                          </w:rPr>
                          <w:t>初余额</w:t>
                        </w:r>
                      </w:p>
                    </w:tc>
                  </w:sdtContent>
                </w:sdt>
                <w:tc>
                  <w:tcPr>
                    <w:tcW w:w="1318" w:type="dxa"/>
                    <w:tcBorders>
                      <w:right w:val="single" w:sz="4" w:space="0" w:color="auto"/>
                    </w:tcBorders>
                    <w:vAlign w:val="center"/>
                  </w:tcPr>
                  <w:p w14:paraId="6965452E" w14:textId="449BDA32" w:rsidR="00471D53" w:rsidRPr="00345210" w:rsidRDefault="004F686E">
                    <w:pPr>
                      <w:jc w:val="right"/>
                      <w:rPr>
                        <w:sz w:val="15"/>
                        <w:szCs w:val="15"/>
                      </w:rPr>
                    </w:pPr>
                    <w:r w:rsidRPr="00345210">
                      <w:rPr>
                        <w:rFonts w:hint="eastAsia"/>
                        <w:sz w:val="15"/>
                        <w:szCs w:val="15"/>
                      </w:rPr>
                      <w:t>422,000,000.00</w:t>
                    </w:r>
                  </w:p>
                </w:tc>
                <w:tc>
                  <w:tcPr>
                    <w:tcW w:w="850" w:type="dxa"/>
                    <w:tcBorders>
                      <w:left w:val="single" w:sz="4" w:space="0" w:color="auto"/>
                      <w:right w:val="single" w:sz="4" w:space="0" w:color="auto"/>
                    </w:tcBorders>
                    <w:vAlign w:val="center"/>
                  </w:tcPr>
                  <w:p w14:paraId="6D1BDAF0" w14:textId="77777777" w:rsidR="00471D53" w:rsidRPr="00345210" w:rsidRDefault="004F686E">
                    <w:pPr>
                      <w:jc w:val="right"/>
                      <w:rPr>
                        <w:sz w:val="15"/>
                        <w:szCs w:val="15"/>
                      </w:rPr>
                    </w:pPr>
                    <w:r w:rsidRPr="00345210">
                      <w:rPr>
                        <w:rFonts w:hint="eastAsia"/>
                        <w:sz w:val="15"/>
                        <w:szCs w:val="15"/>
                      </w:rPr>
                      <w:t xml:space="preserve">　</w:t>
                    </w:r>
                  </w:p>
                </w:tc>
                <w:tc>
                  <w:tcPr>
                    <w:tcW w:w="851" w:type="dxa"/>
                    <w:tcBorders>
                      <w:left w:val="single" w:sz="4" w:space="0" w:color="auto"/>
                      <w:right w:val="single" w:sz="4" w:space="0" w:color="auto"/>
                    </w:tcBorders>
                    <w:vAlign w:val="center"/>
                  </w:tcPr>
                  <w:p w14:paraId="60AB123C" w14:textId="77777777" w:rsidR="00471D53" w:rsidRPr="00345210" w:rsidRDefault="004F686E">
                    <w:pPr>
                      <w:jc w:val="right"/>
                      <w:rPr>
                        <w:sz w:val="15"/>
                        <w:szCs w:val="15"/>
                      </w:rPr>
                    </w:pPr>
                    <w:r w:rsidRPr="00345210">
                      <w:rPr>
                        <w:rFonts w:hint="eastAsia"/>
                        <w:sz w:val="15"/>
                        <w:szCs w:val="15"/>
                      </w:rPr>
                      <w:t xml:space="preserve">　</w:t>
                    </w:r>
                  </w:p>
                </w:tc>
                <w:tc>
                  <w:tcPr>
                    <w:tcW w:w="708" w:type="dxa"/>
                    <w:tcBorders>
                      <w:left w:val="single" w:sz="4" w:space="0" w:color="auto"/>
                      <w:right w:val="single" w:sz="4" w:space="0" w:color="auto"/>
                    </w:tcBorders>
                    <w:vAlign w:val="center"/>
                  </w:tcPr>
                  <w:p w14:paraId="1DE77B1D" w14:textId="77777777" w:rsidR="00471D53" w:rsidRPr="00345210" w:rsidRDefault="004F686E">
                    <w:pPr>
                      <w:jc w:val="right"/>
                      <w:rPr>
                        <w:sz w:val="15"/>
                        <w:szCs w:val="15"/>
                      </w:rPr>
                    </w:pPr>
                    <w:r w:rsidRPr="00345210">
                      <w:rPr>
                        <w:rFonts w:hint="eastAsia"/>
                        <w:sz w:val="15"/>
                        <w:szCs w:val="15"/>
                      </w:rPr>
                      <w:t xml:space="preserve">　</w:t>
                    </w:r>
                  </w:p>
                </w:tc>
                <w:tc>
                  <w:tcPr>
                    <w:tcW w:w="1276" w:type="dxa"/>
                    <w:tcBorders>
                      <w:left w:val="single" w:sz="4" w:space="0" w:color="auto"/>
                    </w:tcBorders>
                    <w:vAlign w:val="center"/>
                  </w:tcPr>
                  <w:p w14:paraId="546ACFEA" w14:textId="2A0E94B8" w:rsidR="00471D53" w:rsidRPr="00345210" w:rsidRDefault="004F686E">
                    <w:pPr>
                      <w:jc w:val="right"/>
                      <w:rPr>
                        <w:sz w:val="15"/>
                        <w:szCs w:val="15"/>
                      </w:rPr>
                    </w:pPr>
                    <w:r w:rsidRPr="00345210">
                      <w:rPr>
                        <w:rFonts w:hint="eastAsia"/>
                        <w:sz w:val="15"/>
                        <w:szCs w:val="15"/>
                      </w:rPr>
                      <w:t>666,639,987.85</w:t>
                    </w:r>
                  </w:p>
                </w:tc>
                <w:tc>
                  <w:tcPr>
                    <w:tcW w:w="851" w:type="dxa"/>
                    <w:vAlign w:val="center"/>
                  </w:tcPr>
                  <w:p w14:paraId="20B72FAF" w14:textId="77777777" w:rsidR="00471D53" w:rsidRPr="00345210" w:rsidRDefault="004F686E">
                    <w:pPr>
                      <w:jc w:val="right"/>
                      <w:rPr>
                        <w:sz w:val="15"/>
                        <w:szCs w:val="15"/>
                      </w:rPr>
                    </w:pPr>
                    <w:r w:rsidRPr="00345210">
                      <w:rPr>
                        <w:rFonts w:hint="eastAsia"/>
                        <w:sz w:val="15"/>
                        <w:szCs w:val="15"/>
                      </w:rPr>
                      <w:t xml:space="preserve">　</w:t>
                    </w:r>
                  </w:p>
                </w:tc>
                <w:tc>
                  <w:tcPr>
                    <w:tcW w:w="850" w:type="dxa"/>
                    <w:vAlign w:val="center"/>
                  </w:tcPr>
                  <w:p w14:paraId="2EAD00BA" w14:textId="77777777" w:rsidR="00471D53" w:rsidRPr="00345210" w:rsidRDefault="004F686E">
                    <w:pPr>
                      <w:jc w:val="right"/>
                      <w:rPr>
                        <w:sz w:val="15"/>
                        <w:szCs w:val="15"/>
                      </w:rPr>
                    </w:pPr>
                    <w:r w:rsidRPr="00345210">
                      <w:rPr>
                        <w:rFonts w:hint="eastAsia"/>
                        <w:sz w:val="15"/>
                        <w:szCs w:val="15"/>
                      </w:rPr>
                      <w:t xml:space="preserve">　</w:t>
                    </w:r>
                  </w:p>
                </w:tc>
                <w:tc>
                  <w:tcPr>
                    <w:tcW w:w="709" w:type="dxa"/>
                    <w:vAlign w:val="center"/>
                  </w:tcPr>
                  <w:p w14:paraId="3E01A33B" w14:textId="77777777" w:rsidR="00471D53" w:rsidRPr="00345210" w:rsidRDefault="004F686E">
                    <w:pPr>
                      <w:jc w:val="right"/>
                      <w:rPr>
                        <w:sz w:val="15"/>
                        <w:szCs w:val="15"/>
                      </w:rPr>
                    </w:pPr>
                    <w:r w:rsidRPr="00345210">
                      <w:rPr>
                        <w:rFonts w:hint="eastAsia"/>
                        <w:sz w:val="15"/>
                        <w:szCs w:val="15"/>
                      </w:rPr>
                      <w:t xml:space="preserve">　</w:t>
                    </w:r>
                  </w:p>
                </w:tc>
                <w:tc>
                  <w:tcPr>
                    <w:tcW w:w="1276" w:type="dxa"/>
                    <w:vAlign w:val="center"/>
                  </w:tcPr>
                  <w:p w14:paraId="5FDFE918" w14:textId="0C6C278C" w:rsidR="00471D53" w:rsidRPr="00345210" w:rsidRDefault="004F686E">
                    <w:pPr>
                      <w:jc w:val="right"/>
                      <w:rPr>
                        <w:sz w:val="15"/>
                        <w:szCs w:val="15"/>
                      </w:rPr>
                    </w:pPr>
                    <w:r w:rsidRPr="00345210">
                      <w:rPr>
                        <w:rFonts w:hint="eastAsia"/>
                        <w:sz w:val="15"/>
                        <w:szCs w:val="15"/>
                      </w:rPr>
                      <w:t>38,071,282.24</w:t>
                    </w:r>
                  </w:p>
                </w:tc>
                <w:tc>
                  <w:tcPr>
                    <w:tcW w:w="1275" w:type="dxa"/>
                    <w:vAlign w:val="center"/>
                  </w:tcPr>
                  <w:p w14:paraId="2BFE35AE" w14:textId="2C35CB06" w:rsidR="00471D53" w:rsidRPr="00345210" w:rsidRDefault="004F686E">
                    <w:pPr>
                      <w:jc w:val="right"/>
                      <w:rPr>
                        <w:sz w:val="15"/>
                        <w:szCs w:val="15"/>
                      </w:rPr>
                    </w:pPr>
                    <w:r w:rsidRPr="00345210">
                      <w:rPr>
                        <w:rFonts w:hint="eastAsia"/>
                        <w:sz w:val="15"/>
                        <w:szCs w:val="15"/>
                      </w:rPr>
                      <w:t>-58,142,511.00</w:t>
                    </w:r>
                  </w:p>
                </w:tc>
                <w:tc>
                  <w:tcPr>
                    <w:tcW w:w="1546" w:type="dxa"/>
                    <w:vAlign w:val="center"/>
                  </w:tcPr>
                  <w:p w14:paraId="525E26A2" w14:textId="26BA829E" w:rsidR="00471D53" w:rsidRPr="00345210" w:rsidRDefault="004F686E">
                    <w:pPr>
                      <w:jc w:val="right"/>
                      <w:rPr>
                        <w:sz w:val="15"/>
                        <w:szCs w:val="15"/>
                      </w:rPr>
                    </w:pPr>
                    <w:r w:rsidRPr="00345210">
                      <w:rPr>
                        <w:rFonts w:hint="eastAsia"/>
                        <w:sz w:val="15"/>
                        <w:szCs w:val="15"/>
                      </w:rPr>
                      <w:t>1,068,568,759.09</w:t>
                    </w:r>
                  </w:p>
                </w:tc>
              </w:tr>
              <w:tr w:rsidR="001279EE" w14:paraId="632E5474" w14:textId="77777777" w:rsidTr="001279EE">
                <w:trPr>
                  <w:trHeight w:val="20"/>
                </w:trPr>
                <w:sdt>
                  <w:sdtPr>
                    <w:tag w:val="_PLD_9ce2d31f4fd34371930cec7fd79a4318"/>
                    <w:id w:val="-826205288"/>
                    <w:lock w:val="sdtLocked"/>
                  </w:sdtPr>
                  <w:sdtEndPr/>
                  <w:sdtContent>
                    <w:tc>
                      <w:tcPr>
                        <w:tcW w:w="2394" w:type="dxa"/>
                      </w:tcPr>
                      <w:p w14:paraId="013E5AE9" w14:textId="77777777" w:rsidR="00471D53" w:rsidRDefault="004F686E">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318" w:type="dxa"/>
                    <w:tcBorders>
                      <w:right w:val="single" w:sz="4" w:space="0" w:color="auto"/>
                    </w:tcBorders>
                    <w:vAlign w:val="center"/>
                  </w:tcPr>
                  <w:p w14:paraId="6461687C" w14:textId="5C31AE47" w:rsidR="00471D53" w:rsidRPr="00345210" w:rsidRDefault="004F686E">
                    <w:pPr>
                      <w:jc w:val="right"/>
                      <w:rPr>
                        <w:sz w:val="15"/>
                        <w:szCs w:val="15"/>
                      </w:rPr>
                    </w:pPr>
                    <w:r w:rsidRPr="00345210">
                      <w:rPr>
                        <w:rFonts w:hint="eastAsia"/>
                        <w:sz w:val="15"/>
                        <w:szCs w:val="15"/>
                      </w:rPr>
                      <w:t>63,000,000.00</w:t>
                    </w:r>
                  </w:p>
                </w:tc>
                <w:tc>
                  <w:tcPr>
                    <w:tcW w:w="850" w:type="dxa"/>
                    <w:tcBorders>
                      <w:left w:val="single" w:sz="4" w:space="0" w:color="auto"/>
                      <w:right w:val="single" w:sz="4" w:space="0" w:color="auto"/>
                    </w:tcBorders>
                    <w:vAlign w:val="center"/>
                  </w:tcPr>
                  <w:p w14:paraId="07F23E15" w14:textId="77777777" w:rsidR="00471D53" w:rsidRPr="00345210" w:rsidRDefault="004F686E">
                    <w:pPr>
                      <w:jc w:val="right"/>
                      <w:rPr>
                        <w:sz w:val="15"/>
                        <w:szCs w:val="15"/>
                      </w:rPr>
                    </w:pPr>
                    <w:r w:rsidRPr="00345210">
                      <w:rPr>
                        <w:rFonts w:hint="eastAsia"/>
                        <w:sz w:val="15"/>
                        <w:szCs w:val="15"/>
                      </w:rPr>
                      <w:t xml:space="preserve">　</w:t>
                    </w:r>
                  </w:p>
                </w:tc>
                <w:tc>
                  <w:tcPr>
                    <w:tcW w:w="851" w:type="dxa"/>
                    <w:tcBorders>
                      <w:left w:val="single" w:sz="4" w:space="0" w:color="auto"/>
                      <w:right w:val="single" w:sz="4" w:space="0" w:color="auto"/>
                    </w:tcBorders>
                    <w:vAlign w:val="center"/>
                  </w:tcPr>
                  <w:p w14:paraId="734467B8" w14:textId="77777777" w:rsidR="00471D53" w:rsidRPr="00345210" w:rsidRDefault="004F686E">
                    <w:pPr>
                      <w:jc w:val="right"/>
                      <w:rPr>
                        <w:sz w:val="15"/>
                        <w:szCs w:val="15"/>
                      </w:rPr>
                    </w:pPr>
                    <w:r w:rsidRPr="00345210">
                      <w:rPr>
                        <w:rFonts w:hint="eastAsia"/>
                        <w:sz w:val="15"/>
                        <w:szCs w:val="15"/>
                      </w:rPr>
                      <w:t xml:space="preserve">　</w:t>
                    </w:r>
                  </w:p>
                </w:tc>
                <w:tc>
                  <w:tcPr>
                    <w:tcW w:w="708" w:type="dxa"/>
                    <w:tcBorders>
                      <w:left w:val="single" w:sz="4" w:space="0" w:color="auto"/>
                    </w:tcBorders>
                    <w:vAlign w:val="center"/>
                  </w:tcPr>
                  <w:p w14:paraId="224BF19C" w14:textId="77777777" w:rsidR="00471D53" w:rsidRPr="00345210" w:rsidRDefault="004F686E">
                    <w:pPr>
                      <w:jc w:val="right"/>
                      <w:rPr>
                        <w:sz w:val="15"/>
                        <w:szCs w:val="15"/>
                      </w:rPr>
                    </w:pPr>
                    <w:r w:rsidRPr="00345210">
                      <w:rPr>
                        <w:rFonts w:hint="eastAsia"/>
                        <w:sz w:val="15"/>
                        <w:szCs w:val="15"/>
                      </w:rPr>
                      <w:t xml:space="preserve">　</w:t>
                    </w:r>
                  </w:p>
                </w:tc>
                <w:tc>
                  <w:tcPr>
                    <w:tcW w:w="1276" w:type="dxa"/>
                    <w:vAlign w:val="center"/>
                  </w:tcPr>
                  <w:p w14:paraId="5680B993" w14:textId="78F7D38C" w:rsidR="00471D53" w:rsidRPr="00345210" w:rsidRDefault="004F686E">
                    <w:pPr>
                      <w:jc w:val="right"/>
                      <w:rPr>
                        <w:sz w:val="15"/>
                        <w:szCs w:val="15"/>
                      </w:rPr>
                    </w:pPr>
                    <w:r w:rsidRPr="00345210">
                      <w:rPr>
                        <w:rFonts w:hint="eastAsia"/>
                        <w:sz w:val="15"/>
                        <w:szCs w:val="15"/>
                      </w:rPr>
                      <w:t>144,725,197.96</w:t>
                    </w:r>
                  </w:p>
                </w:tc>
                <w:tc>
                  <w:tcPr>
                    <w:tcW w:w="851" w:type="dxa"/>
                    <w:vAlign w:val="center"/>
                  </w:tcPr>
                  <w:p w14:paraId="235C1652" w14:textId="77777777" w:rsidR="00471D53" w:rsidRPr="00345210" w:rsidRDefault="004F686E">
                    <w:pPr>
                      <w:jc w:val="right"/>
                      <w:rPr>
                        <w:sz w:val="15"/>
                        <w:szCs w:val="15"/>
                      </w:rPr>
                    </w:pPr>
                    <w:r w:rsidRPr="00345210">
                      <w:rPr>
                        <w:rFonts w:hint="eastAsia"/>
                        <w:sz w:val="15"/>
                        <w:szCs w:val="15"/>
                      </w:rPr>
                      <w:t xml:space="preserve">　</w:t>
                    </w:r>
                  </w:p>
                </w:tc>
                <w:tc>
                  <w:tcPr>
                    <w:tcW w:w="850" w:type="dxa"/>
                    <w:vAlign w:val="center"/>
                  </w:tcPr>
                  <w:p w14:paraId="1ED0FA11" w14:textId="77777777" w:rsidR="00471D53" w:rsidRPr="00345210" w:rsidRDefault="004F686E">
                    <w:pPr>
                      <w:jc w:val="right"/>
                      <w:rPr>
                        <w:sz w:val="15"/>
                        <w:szCs w:val="15"/>
                      </w:rPr>
                    </w:pPr>
                    <w:r w:rsidRPr="00345210">
                      <w:rPr>
                        <w:rFonts w:hint="eastAsia"/>
                        <w:sz w:val="15"/>
                        <w:szCs w:val="15"/>
                      </w:rPr>
                      <w:t xml:space="preserve">　</w:t>
                    </w:r>
                  </w:p>
                </w:tc>
                <w:tc>
                  <w:tcPr>
                    <w:tcW w:w="709" w:type="dxa"/>
                    <w:vAlign w:val="center"/>
                  </w:tcPr>
                  <w:p w14:paraId="52163372" w14:textId="77777777" w:rsidR="00471D53" w:rsidRPr="00345210" w:rsidRDefault="004F686E">
                    <w:pPr>
                      <w:jc w:val="right"/>
                      <w:rPr>
                        <w:sz w:val="15"/>
                        <w:szCs w:val="15"/>
                      </w:rPr>
                    </w:pPr>
                    <w:r w:rsidRPr="00345210">
                      <w:rPr>
                        <w:rFonts w:hint="eastAsia"/>
                        <w:sz w:val="15"/>
                        <w:szCs w:val="15"/>
                      </w:rPr>
                      <w:t xml:space="preserve">　</w:t>
                    </w:r>
                  </w:p>
                </w:tc>
                <w:tc>
                  <w:tcPr>
                    <w:tcW w:w="1276" w:type="dxa"/>
                    <w:vAlign w:val="center"/>
                  </w:tcPr>
                  <w:p w14:paraId="38C06B04" w14:textId="77777777" w:rsidR="00471D53" w:rsidRPr="00345210" w:rsidRDefault="004F686E">
                    <w:pPr>
                      <w:jc w:val="right"/>
                      <w:rPr>
                        <w:sz w:val="15"/>
                        <w:szCs w:val="15"/>
                      </w:rPr>
                    </w:pPr>
                    <w:r w:rsidRPr="00345210">
                      <w:rPr>
                        <w:rFonts w:hint="eastAsia"/>
                        <w:sz w:val="15"/>
                        <w:szCs w:val="15"/>
                      </w:rPr>
                      <w:t xml:space="preserve">　</w:t>
                    </w:r>
                  </w:p>
                </w:tc>
                <w:tc>
                  <w:tcPr>
                    <w:tcW w:w="1275" w:type="dxa"/>
                    <w:vAlign w:val="center"/>
                  </w:tcPr>
                  <w:p w14:paraId="48D640AF" w14:textId="567BA86E" w:rsidR="00471D53" w:rsidRPr="00345210" w:rsidRDefault="004F686E">
                    <w:pPr>
                      <w:jc w:val="right"/>
                      <w:rPr>
                        <w:sz w:val="15"/>
                        <w:szCs w:val="15"/>
                      </w:rPr>
                    </w:pPr>
                    <w:r w:rsidRPr="00345210">
                      <w:rPr>
                        <w:rFonts w:hint="eastAsia"/>
                        <w:sz w:val="15"/>
                        <w:szCs w:val="15"/>
                      </w:rPr>
                      <w:t>-2,998,361.89</w:t>
                    </w:r>
                  </w:p>
                </w:tc>
                <w:tc>
                  <w:tcPr>
                    <w:tcW w:w="1546" w:type="dxa"/>
                    <w:vAlign w:val="center"/>
                  </w:tcPr>
                  <w:p w14:paraId="5E7C574F" w14:textId="60F9667D" w:rsidR="00471D53" w:rsidRPr="00345210" w:rsidRDefault="004F686E">
                    <w:pPr>
                      <w:jc w:val="right"/>
                      <w:rPr>
                        <w:sz w:val="15"/>
                        <w:szCs w:val="15"/>
                      </w:rPr>
                    </w:pPr>
                    <w:r w:rsidRPr="00345210">
                      <w:rPr>
                        <w:rFonts w:hint="eastAsia"/>
                        <w:sz w:val="15"/>
                        <w:szCs w:val="15"/>
                      </w:rPr>
                      <w:t>204,726,836.07</w:t>
                    </w:r>
                  </w:p>
                </w:tc>
              </w:tr>
              <w:tr w:rsidR="001279EE" w14:paraId="4600737B" w14:textId="77777777" w:rsidTr="001279EE">
                <w:trPr>
                  <w:trHeight w:val="20"/>
                </w:trPr>
                <w:sdt>
                  <w:sdtPr>
                    <w:tag w:val="_PLD_8e61c9577cd8495fb0815773685b00bb"/>
                    <w:id w:val="-654222763"/>
                    <w:lock w:val="sdtLocked"/>
                  </w:sdtPr>
                  <w:sdtEndPr/>
                  <w:sdtContent>
                    <w:tc>
                      <w:tcPr>
                        <w:tcW w:w="2394" w:type="dxa"/>
                      </w:tcPr>
                      <w:p w14:paraId="036ACF6B" w14:textId="77777777" w:rsidR="00471D53" w:rsidRDefault="004F686E">
                        <w:pPr>
                          <w:rPr>
                            <w:sz w:val="18"/>
                            <w:szCs w:val="18"/>
                          </w:rPr>
                        </w:pPr>
                        <w:r>
                          <w:rPr>
                            <w:rFonts w:hint="eastAsia"/>
                            <w:sz w:val="18"/>
                            <w:szCs w:val="18"/>
                          </w:rPr>
                          <w:t>（一）综合收益总额</w:t>
                        </w:r>
                      </w:p>
                    </w:tc>
                  </w:sdtContent>
                </w:sdt>
                <w:tc>
                  <w:tcPr>
                    <w:tcW w:w="1318" w:type="dxa"/>
                    <w:tcBorders>
                      <w:right w:val="single" w:sz="4" w:space="0" w:color="auto"/>
                    </w:tcBorders>
                    <w:vAlign w:val="center"/>
                  </w:tcPr>
                  <w:p w14:paraId="74889D45" w14:textId="77777777" w:rsidR="00471D53" w:rsidRPr="00345210" w:rsidRDefault="004F686E">
                    <w:pPr>
                      <w:jc w:val="right"/>
                      <w:rPr>
                        <w:sz w:val="15"/>
                        <w:szCs w:val="15"/>
                      </w:rPr>
                    </w:pPr>
                    <w:r w:rsidRPr="00345210">
                      <w:rPr>
                        <w:rFonts w:hint="eastAsia"/>
                        <w:sz w:val="15"/>
                        <w:szCs w:val="15"/>
                      </w:rPr>
                      <w:t xml:space="preserve">　</w:t>
                    </w:r>
                  </w:p>
                </w:tc>
                <w:tc>
                  <w:tcPr>
                    <w:tcW w:w="850" w:type="dxa"/>
                    <w:tcBorders>
                      <w:left w:val="single" w:sz="4" w:space="0" w:color="auto"/>
                      <w:right w:val="single" w:sz="4" w:space="0" w:color="auto"/>
                    </w:tcBorders>
                    <w:vAlign w:val="center"/>
                  </w:tcPr>
                  <w:p w14:paraId="380655A1" w14:textId="77777777" w:rsidR="00471D53" w:rsidRPr="00345210" w:rsidRDefault="004F686E">
                    <w:pPr>
                      <w:jc w:val="right"/>
                      <w:rPr>
                        <w:sz w:val="15"/>
                        <w:szCs w:val="15"/>
                      </w:rPr>
                    </w:pPr>
                    <w:r w:rsidRPr="00345210">
                      <w:rPr>
                        <w:rFonts w:hint="eastAsia"/>
                        <w:sz w:val="15"/>
                        <w:szCs w:val="15"/>
                      </w:rPr>
                      <w:t xml:space="preserve">　</w:t>
                    </w:r>
                  </w:p>
                </w:tc>
                <w:tc>
                  <w:tcPr>
                    <w:tcW w:w="851" w:type="dxa"/>
                    <w:tcBorders>
                      <w:left w:val="single" w:sz="4" w:space="0" w:color="auto"/>
                      <w:right w:val="single" w:sz="4" w:space="0" w:color="auto"/>
                    </w:tcBorders>
                    <w:vAlign w:val="center"/>
                  </w:tcPr>
                  <w:p w14:paraId="660FDB2D" w14:textId="77777777" w:rsidR="00471D53" w:rsidRPr="00345210" w:rsidRDefault="004F686E">
                    <w:pPr>
                      <w:jc w:val="right"/>
                      <w:rPr>
                        <w:sz w:val="15"/>
                        <w:szCs w:val="15"/>
                      </w:rPr>
                    </w:pPr>
                    <w:r w:rsidRPr="00345210">
                      <w:rPr>
                        <w:rFonts w:hint="eastAsia"/>
                        <w:sz w:val="15"/>
                        <w:szCs w:val="15"/>
                      </w:rPr>
                      <w:t xml:space="preserve">　</w:t>
                    </w:r>
                  </w:p>
                </w:tc>
                <w:tc>
                  <w:tcPr>
                    <w:tcW w:w="708" w:type="dxa"/>
                    <w:tcBorders>
                      <w:left w:val="single" w:sz="4" w:space="0" w:color="auto"/>
                    </w:tcBorders>
                    <w:vAlign w:val="center"/>
                  </w:tcPr>
                  <w:p w14:paraId="09583773" w14:textId="77777777" w:rsidR="00471D53" w:rsidRPr="00345210" w:rsidRDefault="004F686E">
                    <w:pPr>
                      <w:jc w:val="right"/>
                      <w:rPr>
                        <w:sz w:val="15"/>
                        <w:szCs w:val="15"/>
                      </w:rPr>
                    </w:pPr>
                    <w:r w:rsidRPr="00345210">
                      <w:rPr>
                        <w:rFonts w:hint="eastAsia"/>
                        <w:sz w:val="15"/>
                        <w:szCs w:val="15"/>
                      </w:rPr>
                      <w:t xml:space="preserve">　</w:t>
                    </w:r>
                  </w:p>
                </w:tc>
                <w:tc>
                  <w:tcPr>
                    <w:tcW w:w="1276" w:type="dxa"/>
                    <w:vAlign w:val="center"/>
                  </w:tcPr>
                  <w:p w14:paraId="1853F20C" w14:textId="77777777" w:rsidR="00471D53" w:rsidRPr="00345210" w:rsidRDefault="004F686E">
                    <w:pPr>
                      <w:jc w:val="right"/>
                      <w:rPr>
                        <w:sz w:val="15"/>
                        <w:szCs w:val="15"/>
                      </w:rPr>
                    </w:pPr>
                    <w:r w:rsidRPr="00345210">
                      <w:rPr>
                        <w:rFonts w:hint="eastAsia"/>
                        <w:sz w:val="15"/>
                        <w:szCs w:val="15"/>
                      </w:rPr>
                      <w:t xml:space="preserve">　</w:t>
                    </w:r>
                  </w:p>
                </w:tc>
                <w:tc>
                  <w:tcPr>
                    <w:tcW w:w="851" w:type="dxa"/>
                    <w:vAlign w:val="center"/>
                  </w:tcPr>
                  <w:p w14:paraId="677983D5" w14:textId="77777777" w:rsidR="00471D53" w:rsidRPr="00345210" w:rsidRDefault="004F686E">
                    <w:pPr>
                      <w:jc w:val="right"/>
                      <w:rPr>
                        <w:sz w:val="15"/>
                        <w:szCs w:val="15"/>
                      </w:rPr>
                    </w:pPr>
                    <w:r w:rsidRPr="00345210">
                      <w:rPr>
                        <w:rFonts w:hint="eastAsia"/>
                        <w:sz w:val="15"/>
                        <w:szCs w:val="15"/>
                      </w:rPr>
                      <w:t xml:space="preserve">　</w:t>
                    </w:r>
                  </w:p>
                </w:tc>
                <w:tc>
                  <w:tcPr>
                    <w:tcW w:w="850" w:type="dxa"/>
                    <w:vAlign w:val="center"/>
                  </w:tcPr>
                  <w:p w14:paraId="3BC37B8A" w14:textId="77777777" w:rsidR="00471D53" w:rsidRPr="00345210" w:rsidRDefault="004F686E">
                    <w:pPr>
                      <w:jc w:val="right"/>
                      <w:rPr>
                        <w:sz w:val="15"/>
                        <w:szCs w:val="15"/>
                      </w:rPr>
                    </w:pPr>
                    <w:r w:rsidRPr="00345210">
                      <w:rPr>
                        <w:rFonts w:hint="eastAsia"/>
                        <w:sz w:val="15"/>
                        <w:szCs w:val="15"/>
                      </w:rPr>
                      <w:t xml:space="preserve">　</w:t>
                    </w:r>
                  </w:p>
                </w:tc>
                <w:tc>
                  <w:tcPr>
                    <w:tcW w:w="709" w:type="dxa"/>
                    <w:vAlign w:val="center"/>
                  </w:tcPr>
                  <w:p w14:paraId="55672BF5" w14:textId="77777777" w:rsidR="00471D53" w:rsidRPr="00345210" w:rsidRDefault="004F686E">
                    <w:pPr>
                      <w:jc w:val="right"/>
                      <w:rPr>
                        <w:sz w:val="15"/>
                        <w:szCs w:val="15"/>
                      </w:rPr>
                    </w:pPr>
                    <w:r w:rsidRPr="00345210">
                      <w:rPr>
                        <w:rFonts w:hint="eastAsia"/>
                        <w:sz w:val="15"/>
                        <w:szCs w:val="15"/>
                      </w:rPr>
                      <w:t xml:space="preserve">　</w:t>
                    </w:r>
                  </w:p>
                </w:tc>
                <w:tc>
                  <w:tcPr>
                    <w:tcW w:w="1276" w:type="dxa"/>
                    <w:vAlign w:val="center"/>
                  </w:tcPr>
                  <w:p w14:paraId="720E3323" w14:textId="77777777" w:rsidR="00471D53" w:rsidRPr="00345210" w:rsidRDefault="004F686E">
                    <w:pPr>
                      <w:jc w:val="right"/>
                      <w:rPr>
                        <w:sz w:val="15"/>
                        <w:szCs w:val="15"/>
                      </w:rPr>
                    </w:pPr>
                    <w:r w:rsidRPr="00345210">
                      <w:rPr>
                        <w:rFonts w:hint="eastAsia"/>
                        <w:sz w:val="15"/>
                        <w:szCs w:val="15"/>
                      </w:rPr>
                      <w:t xml:space="preserve">　</w:t>
                    </w:r>
                  </w:p>
                </w:tc>
                <w:tc>
                  <w:tcPr>
                    <w:tcW w:w="1275" w:type="dxa"/>
                    <w:vAlign w:val="center"/>
                  </w:tcPr>
                  <w:p w14:paraId="25CCBD74" w14:textId="5ADDC424" w:rsidR="00471D53" w:rsidRPr="00345210" w:rsidRDefault="004F686E">
                    <w:pPr>
                      <w:jc w:val="right"/>
                      <w:rPr>
                        <w:sz w:val="15"/>
                        <w:szCs w:val="15"/>
                      </w:rPr>
                    </w:pPr>
                    <w:r w:rsidRPr="00345210">
                      <w:rPr>
                        <w:rFonts w:hint="eastAsia"/>
                        <w:sz w:val="15"/>
                        <w:szCs w:val="15"/>
                      </w:rPr>
                      <w:t>-2,998,361.89</w:t>
                    </w:r>
                  </w:p>
                </w:tc>
                <w:tc>
                  <w:tcPr>
                    <w:tcW w:w="1546" w:type="dxa"/>
                    <w:vAlign w:val="center"/>
                  </w:tcPr>
                  <w:p w14:paraId="3A8CC8CF" w14:textId="08BA8727" w:rsidR="00471D53" w:rsidRPr="00345210" w:rsidRDefault="004F686E">
                    <w:pPr>
                      <w:jc w:val="right"/>
                      <w:rPr>
                        <w:sz w:val="15"/>
                        <w:szCs w:val="15"/>
                      </w:rPr>
                    </w:pPr>
                    <w:r w:rsidRPr="00345210">
                      <w:rPr>
                        <w:rFonts w:hint="eastAsia"/>
                        <w:sz w:val="15"/>
                        <w:szCs w:val="15"/>
                      </w:rPr>
                      <w:t>-2,998,361.89</w:t>
                    </w:r>
                  </w:p>
                </w:tc>
              </w:tr>
              <w:tr w:rsidR="001279EE" w14:paraId="78A63CEF" w14:textId="77777777" w:rsidTr="001279EE">
                <w:trPr>
                  <w:trHeight w:val="20"/>
                </w:trPr>
                <w:sdt>
                  <w:sdtPr>
                    <w:tag w:val="_PLD_e11fbdac72bf4f84a5635701204e5724"/>
                    <w:id w:val="-831906164"/>
                    <w:lock w:val="sdtLocked"/>
                  </w:sdtPr>
                  <w:sdtEndPr/>
                  <w:sdtContent>
                    <w:tc>
                      <w:tcPr>
                        <w:tcW w:w="2394" w:type="dxa"/>
                      </w:tcPr>
                      <w:p w14:paraId="1A5B1E10" w14:textId="77777777" w:rsidR="00471D53" w:rsidRDefault="004F686E">
                        <w:pPr>
                          <w:rPr>
                            <w:sz w:val="18"/>
                            <w:szCs w:val="18"/>
                          </w:rPr>
                        </w:pPr>
                        <w:r>
                          <w:rPr>
                            <w:sz w:val="18"/>
                            <w:szCs w:val="18"/>
                          </w:rPr>
                          <w:t>（</w:t>
                        </w:r>
                        <w:r>
                          <w:rPr>
                            <w:rFonts w:hint="eastAsia"/>
                            <w:sz w:val="18"/>
                            <w:szCs w:val="18"/>
                          </w:rPr>
                          <w:t>二</w:t>
                        </w:r>
                        <w:r>
                          <w:rPr>
                            <w:sz w:val="18"/>
                            <w:szCs w:val="18"/>
                          </w:rPr>
                          <w:t>）所有者投入和减少资本</w:t>
                        </w:r>
                      </w:p>
                    </w:tc>
                  </w:sdtContent>
                </w:sdt>
                <w:tc>
                  <w:tcPr>
                    <w:tcW w:w="1318" w:type="dxa"/>
                    <w:tcBorders>
                      <w:right w:val="single" w:sz="4" w:space="0" w:color="auto"/>
                    </w:tcBorders>
                    <w:vAlign w:val="center"/>
                  </w:tcPr>
                  <w:p w14:paraId="115C008F" w14:textId="76DF901F" w:rsidR="00471D53" w:rsidRPr="00345210" w:rsidRDefault="004F686E">
                    <w:pPr>
                      <w:jc w:val="right"/>
                      <w:rPr>
                        <w:sz w:val="15"/>
                        <w:szCs w:val="15"/>
                      </w:rPr>
                    </w:pPr>
                    <w:r w:rsidRPr="00345210">
                      <w:rPr>
                        <w:rFonts w:hint="eastAsia"/>
                        <w:sz w:val="15"/>
                        <w:szCs w:val="15"/>
                      </w:rPr>
                      <w:t>63,000,000.00</w:t>
                    </w:r>
                  </w:p>
                </w:tc>
                <w:tc>
                  <w:tcPr>
                    <w:tcW w:w="850" w:type="dxa"/>
                    <w:tcBorders>
                      <w:left w:val="single" w:sz="4" w:space="0" w:color="auto"/>
                      <w:right w:val="single" w:sz="4" w:space="0" w:color="auto"/>
                    </w:tcBorders>
                    <w:vAlign w:val="center"/>
                  </w:tcPr>
                  <w:p w14:paraId="118E1AAF" w14:textId="77777777" w:rsidR="00471D53" w:rsidRPr="00345210" w:rsidRDefault="004F686E">
                    <w:pPr>
                      <w:jc w:val="right"/>
                      <w:rPr>
                        <w:sz w:val="15"/>
                        <w:szCs w:val="15"/>
                      </w:rPr>
                    </w:pPr>
                    <w:r w:rsidRPr="00345210">
                      <w:rPr>
                        <w:rFonts w:hint="eastAsia"/>
                        <w:sz w:val="15"/>
                        <w:szCs w:val="15"/>
                      </w:rPr>
                      <w:t xml:space="preserve">　</w:t>
                    </w:r>
                  </w:p>
                </w:tc>
                <w:tc>
                  <w:tcPr>
                    <w:tcW w:w="851" w:type="dxa"/>
                    <w:tcBorders>
                      <w:left w:val="single" w:sz="4" w:space="0" w:color="auto"/>
                      <w:right w:val="single" w:sz="4" w:space="0" w:color="auto"/>
                    </w:tcBorders>
                    <w:vAlign w:val="center"/>
                  </w:tcPr>
                  <w:p w14:paraId="13A26FE9" w14:textId="77777777" w:rsidR="00471D53" w:rsidRPr="00345210" w:rsidRDefault="004F686E">
                    <w:pPr>
                      <w:jc w:val="right"/>
                      <w:rPr>
                        <w:sz w:val="15"/>
                        <w:szCs w:val="15"/>
                      </w:rPr>
                    </w:pPr>
                    <w:r w:rsidRPr="00345210">
                      <w:rPr>
                        <w:rFonts w:hint="eastAsia"/>
                        <w:sz w:val="15"/>
                        <w:szCs w:val="15"/>
                      </w:rPr>
                      <w:t xml:space="preserve">　</w:t>
                    </w:r>
                  </w:p>
                </w:tc>
                <w:tc>
                  <w:tcPr>
                    <w:tcW w:w="708" w:type="dxa"/>
                    <w:tcBorders>
                      <w:left w:val="single" w:sz="4" w:space="0" w:color="auto"/>
                    </w:tcBorders>
                    <w:vAlign w:val="center"/>
                  </w:tcPr>
                  <w:p w14:paraId="59AC0A4C" w14:textId="77777777" w:rsidR="00471D53" w:rsidRPr="00345210" w:rsidRDefault="004F686E">
                    <w:pPr>
                      <w:jc w:val="right"/>
                      <w:rPr>
                        <w:sz w:val="15"/>
                        <w:szCs w:val="15"/>
                      </w:rPr>
                    </w:pPr>
                    <w:r w:rsidRPr="00345210">
                      <w:rPr>
                        <w:rFonts w:hint="eastAsia"/>
                        <w:sz w:val="15"/>
                        <w:szCs w:val="15"/>
                      </w:rPr>
                      <w:t xml:space="preserve">　</w:t>
                    </w:r>
                  </w:p>
                </w:tc>
                <w:tc>
                  <w:tcPr>
                    <w:tcW w:w="1276" w:type="dxa"/>
                    <w:vAlign w:val="center"/>
                  </w:tcPr>
                  <w:p w14:paraId="3813D87B" w14:textId="79A8F4DD" w:rsidR="00471D53" w:rsidRPr="00345210" w:rsidRDefault="004F686E">
                    <w:pPr>
                      <w:jc w:val="right"/>
                      <w:rPr>
                        <w:sz w:val="15"/>
                        <w:szCs w:val="15"/>
                      </w:rPr>
                    </w:pPr>
                    <w:r w:rsidRPr="00345210">
                      <w:rPr>
                        <w:rFonts w:hint="eastAsia"/>
                        <w:sz w:val="15"/>
                        <w:szCs w:val="15"/>
                      </w:rPr>
                      <w:t>144,725,197.96</w:t>
                    </w:r>
                  </w:p>
                </w:tc>
                <w:tc>
                  <w:tcPr>
                    <w:tcW w:w="851" w:type="dxa"/>
                    <w:vAlign w:val="center"/>
                  </w:tcPr>
                  <w:p w14:paraId="6C64BC79" w14:textId="77777777" w:rsidR="00471D53" w:rsidRPr="00345210" w:rsidRDefault="004F686E">
                    <w:pPr>
                      <w:jc w:val="right"/>
                      <w:rPr>
                        <w:sz w:val="15"/>
                        <w:szCs w:val="15"/>
                      </w:rPr>
                    </w:pPr>
                    <w:r w:rsidRPr="00345210">
                      <w:rPr>
                        <w:rFonts w:hint="eastAsia"/>
                        <w:sz w:val="15"/>
                        <w:szCs w:val="15"/>
                      </w:rPr>
                      <w:t xml:space="preserve">　</w:t>
                    </w:r>
                  </w:p>
                </w:tc>
                <w:tc>
                  <w:tcPr>
                    <w:tcW w:w="850" w:type="dxa"/>
                    <w:vAlign w:val="center"/>
                  </w:tcPr>
                  <w:p w14:paraId="6F9F6D55" w14:textId="77777777" w:rsidR="00471D53" w:rsidRPr="00345210" w:rsidRDefault="004F686E">
                    <w:pPr>
                      <w:jc w:val="right"/>
                      <w:rPr>
                        <w:sz w:val="15"/>
                        <w:szCs w:val="15"/>
                      </w:rPr>
                    </w:pPr>
                    <w:r w:rsidRPr="00345210">
                      <w:rPr>
                        <w:rFonts w:hint="eastAsia"/>
                        <w:sz w:val="15"/>
                        <w:szCs w:val="15"/>
                      </w:rPr>
                      <w:t xml:space="preserve">　</w:t>
                    </w:r>
                  </w:p>
                </w:tc>
                <w:tc>
                  <w:tcPr>
                    <w:tcW w:w="709" w:type="dxa"/>
                    <w:vAlign w:val="center"/>
                  </w:tcPr>
                  <w:p w14:paraId="52324DFD" w14:textId="77777777" w:rsidR="00471D53" w:rsidRPr="00345210" w:rsidRDefault="004F686E">
                    <w:pPr>
                      <w:jc w:val="right"/>
                      <w:rPr>
                        <w:sz w:val="15"/>
                        <w:szCs w:val="15"/>
                      </w:rPr>
                    </w:pPr>
                    <w:r w:rsidRPr="00345210">
                      <w:rPr>
                        <w:rFonts w:hint="eastAsia"/>
                        <w:sz w:val="15"/>
                        <w:szCs w:val="15"/>
                      </w:rPr>
                      <w:t xml:space="preserve">　</w:t>
                    </w:r>
                  </w:p>
                </w:tc>
                <w:tc>
                  <w:tcPr>
                    <w:tcW w:w="1276" w:type="dxa"/>
                    <w:vAlign w:val="center"/>
                  </w:tcPr>
                  <w:p w14:paraId="6EE6C357" w14:textId="77777777" w:rsidR="00471D53" w:rsidRPr="00345210" w:rsidRDefault="004F686E">
                    <w:pPr>
                      <w:jc w:val="right"/>
                      <w:rPr>
                        <w:sz w:val="15"/>
                        <w:szCs w:val="15"/>
                      </w:rPr>
                    </w:pPr>
                    <w:r w:rsidRPr="00345210">
                      <w:rPr>
                        <w:rFonts w:hint="eastAsia"/>
                        <w:sz w:val="15"/>
                        <w:szCs w:val="15"/>
                      </w:rPr>
                      <w:t xml:space="preserve">　</w:t>
                    </w:r>
                  </w:p>
                </w:tc>
                <w:tc>
                  <w:tcPr>
                    <w:tcW w:w="1275" w:type="dxa"/>
                    <w:vAlign w:val="center"/>
                  </w:tcPr>
                  <w:p w14:paraId="25E0D80B" w14:textId="77777777" w:rsidR="00471D53" w:rsidRPr="00345210" w:rsidRDefault="004F686E">
                    <w:pPr>
                      <w:jc w:val="right"/>
                      <w:rPr>
                        <w:sz w:val="15"/>
                        <w:szCs w:val="15"/>
                      </w:rPr>
                    </w:pPr>
                    <w:r w:rsidRPr="00345210">
                      <w:rPr>
                        <w:rFonts w:hint="eastAsia"/>
                        <w:sz w:val="15"/>
                        <w:szCs w:val="15"/>
                      </w:rPr>
                      <w:t xml:space="preserve">　</w:t>
                    </w:r>
                  </w:p>
                </w:tc>
                <w:tc>
                  <w:tcPr>
                    <w:tcW w:w="1546" w:type="dxa"/>
                    <w:vAlign w:val="center"/>
                  </w:tcPr>
                  <w:p w14:paraId="3DCCE627" w14:textId="61C6A903" w:rsidR="00471D53" w:rsidRPr="00345210" w:rsidRDefault="004F686E">
                    <w:pPr>
                      <w:jc w:val="right"/>
                      <w:rPr>
                        <w:sz w:val="15"/>
                        <w:szCs w:val="15"/>
                      </w:rPr>
                    </w:pPr>
                    <w:r w:rsidRPr="00345210">
                      <w:rPr>
                        <w:rFonts w:hint="eastAsia"/>
                        <w:sz w:val="15"/>
                        <w:szCs w:val="15"/>
                      </w:rPr>
                      <w:t>207,725,197.96</w:t>
                    </w:r>
                  </w:p>
                </w:tc>
              </w:tr>
              <w:tr w:rsidR="001279EE" w14:paraId="60905E57" w14:textId="77777777" w:rsidTr="001279EE">
                <w:trPr>
                  <w:trHeight w:val="20"/>
                </w:trPr>
                <w:sdt>
                  <w:sdtPr>
                    <w:tag w:val="_PLD_7b195f652f0542a9b8fb6e62990feb42"/>
                    <w:id w:val="666284804"/>
                    <w:lock w:val="sdtLocked"/>
                  </w:sdtPr>
                  <w:sdtEndPr/>
                  <w:sdtContent>
                    <w:tc>
                      <w:tcPr>
                        <w:tcW w:w="2394" w:type="dxa"/>
                      </w:tcPr>
                      <w:p w14:paraId="1C7C83B4" w14:textId="77777777" w:rsidR="00471D53" w:rsidRDefault="004F686E">
                        <w:pPr>
                          <w:rPr>
                            <w:sz w:val="18"/>
                            <w:szCs w:val="18"/>
                          </w:rPr>
                        </w:pPr>
                        <w:r>
                          <w:rPr>
                            <w:rFonts w:hint="eastAsia"/>
                            <w:sz w:val="18"/>
                            <w:szCs w:val="18"/>
                          </w:rPr>
                          <w:t>1．所有者投入的普通股</w:t>
                        </w:r>
                      </w:p>
                    </w:tc>
                  </w:sdtContent>
                </w:sdt>
                <w:tc>
                  <w:tcPr>
                    <w:tcW w:w="1318" w:type="dxa"/>
                    <w:tcBorders>
                      <w:right w:val="single" w:sz="4" w:space="0" w:color="auto"/>
                    </w:tcBorders>
                    <w:vAlign w:val="center"/>
                  </w:tcPr>
                  <w:p w14:paraId="13934A18" w14:textId="1D4EB321" w:rsidR="00471D53" w:rsidRPr="00345210" w:rsidRDefault="004F686E">
                    <w:pPr>
                      <w:jc w:val="right"/>
                      <w:rPr>
                        <w:sz w:val="15"/>
                        <w:szCs w:val="15"/>
                      </w:rPr>
                    </w:pPr>
                    <w:r w:rsidRPr="00345210">
                      <w:rPr>
                        <w:rFonts w:hint="eastAsia"/>
                        <w:sz w:val="15"/>
                        <w:szCs w:val="15"/>
                      </w:rPr>
                      <w:t>63,000,000.00</w:t>
                    </w:r>
                  </w:p>
                </w:tc>
                <w:tc>
                  <w:tcPr>
                    <w:tcW w:w="850" w:type="dxa"/>
                    <w:tcBorders>
                      <w:left w:val="single" w:sz="4" w:space="0" w:color="auto"/>
                      <w:right w:val="single" w:sz="4" w:space="0" w:color="auto"/>
                    </w:tcBorders>
                    <w:vAlign w:val="center"/>
                  </w:tcPr>
                  <w:p w14:paraId="148E47E6" w14:textId="77777777" w:rsidR="00471D53" w:rsidRPr="00345210" w:rsidRDefault="004F686E">
                    <w:pPr>
                      <w:jc w:val="right"/>
                      <w:rPr>
                        <w:sz w:val="15"/>
                        <w:szCs w:val="15"/>
                      </w:rPr>
                    </w:pPr>
                    <w:r w:rsidRPr="00345210">
                      <w:rPr>
                        <w:rFonts w:hint="eastAsia"/>
                        <w:sz w:val="15"/>
                        <w:szCs w:val="15"/>
                      </w:rPr>
                      <w:t xml:space="preserve">　</w:t>
                    </w:r>
                  </w:p>
                </w:tc>
                <w:tc>
                  <w:tcPr>
                    <w:tcW w:w="851" w:type="dxa"/>
                    <w:tcBorders>
                      <w:left w:val="single" w:sz="4" w:space="0" w:color="auto"/>
                      <w:right w:val="single" w:sz="4" w:space="0" w:color="auto"/>
                    </w:tcBorders>
                    <w:vAlign w:val="center"/>
                  </w:tcPr>
                  <w:p w14:paraId="3168F97A" w14:textId="77777777" w:rsidR="00471D53" w:rsidRPr="00345210" w:rsidRDefault="004F686E">
                    <w:pPr>
                      <w:jc w:val="right"/>
                      <w:rPr>
                        <w:sz w:val="15"/>
                        <w:szCs w:val="15"/>
                      </w:rPr>
                    </w:pPr>
                    <w:r w:rsidRPr="00345210">
                      <w:rPr>
                        <w:rFonts w:hint="eastAsia"/>
                        <w:sz w:val="15"/>
                        <w:szCs w:val="15"/>
                      </w:rPr>
                      <w:t xml:space="preserve">　</w:t>
                    </w:r>
                  </w:p>
                </w:tc>
                <w:tc>
                  <w:tcPr>
                    <w:tcW w:w="708" w:type="dxa"/>
                    <w:tcBorders>
                      <w:left w:val="single" w:sz="4" w:space="0" w:color="auto"/>
                    </w:tcBorders>
                    <w:vAlign w:val="center"/>
                  </w:tcPr>
                  <w:p w14:paraId="23379CA2" w14:textId="77777777" w:rsidR="00471D53" w:rsidRPr="00345210" w:rsidRDefault="004F686E">
                    <w:pPr>
                      <w:jc w:val="right"/>
                      <w:rPr>
                        <w:sz w:val="15"/>
                        <w:szCs w:val="15"/>
                      </w:rPr>
                    </w:pPr>
                    <w:r w:rsidRPr="00345210">
                      <w:rPr>
                        <w:rFonts w:hint="eastAsia"/>
                        <w:sz w:val="15"/>
                        <w:szCs w:val="15"/>
                      </w:rPr>
                      <w:t xml:space="preserve">　</w:t>
                    </w:r>
                  </w:p>
                </w:tc>
                <w:tc>
                  <w:tcPr>
                    <w:tcW w:w="1276" w:type="dxa"/>
                    <w:vAlign w:val="center"/>
                  </w:tcPr>
                  <w:p w14:paraId="2780A821" w14:textId="6F3AC710" w:rsidR="00471D53" w:rsidRPr="00345210" w:rsidRDefault="004F686E">
                    <w:pPr>
                      <w:jc w:val="right"/>
                      <w:rPr>
                        <w:sz w:val="15"/>
                        <w:szCs w:val="15"/>
                      </w:rPr>
                    </w:pPr>
                    <w:r w:rsidRPr="00345210">
                      <w:rPr>
                        <w:rFonts w:hint="eastAsia"/>
                        <w:sz w:val="15"/>
                        <w:szCs w:val="15"/>
                      </w:rPr>
                      <w:t>144,725,197.96</w:t>
                    </w:r>
                  </w:p>
                </w:tc>
                <w:tc>
                  <w:tcPr>
                    <w:tcW w:w="851" w:type="dxa"/>
                    <w:vAlign w:val="center"/>
                  </w:tcPr>
                  <w:p w14:paraId="0DBEB316" w14:textId="77777777" w:rsidR="00471D53" w:rsidRPr="00345210" w:rsidRDefault="004F686E">
                    <w:pPr>
                      <w:jc w:val="right"/>
                      <w:rPr>
                        <w:sz w:val="15"/>
                        <w:szCs w:val="15"/>
                      </w:rPr>
                    </w:pPr>
                    <w:r w:rsidRPr="00345210">
                      <w:rPr>
                        <w:rFonts w:hint="eastAsia"/>
                        <w:sz w:val="15"/>
                        <w:szCs w:val="15"/>
                      </w:rPr>
                      <w:t xml:space="preserve">　</w:t>
                    </w:r>
                  </w:p>
                </w:tc>
                <w:tc>
                  <w:tcPr>
                    <w:tcW w:w="850" w:type="dxa"/>
                    <w:vAlign w:val="center"/>
                  </w:tcPr>
                  <w:p w14:paraId="67E91633" w14:textId="77777777" w:rsidR="00471D53" w:rsidRPr="00345210" w:rsidRDefault="004F686E">
                    <w:pPr>
                      <w:jc w:val="right"/>
                      <w:rPr>
                        <w:sz w:val="15"/>
                        <w:szCs w:val="15"/>
                      </w:rPr>
                    </w:pPr>
                    <w:r w:rsidRPr="00345210">
                      <w:rPr>
                        <w:rFonts w:hint="eastAsia"/>
                        <w:sz w:val="15"/>
                        <w:szCs w:val="15"/>
                      </w:rPr>
                      <w:t xml:space="preserve">　</w:t>
                    </w:r>
                  </w:p>
                </w:tc>
                <w:tc>
                  <w:tcPr>
                    <w:tcW w:w="709" w:type="dxa"/>
                    <w:vAlign w:val="center"/>
                  </w:tcPr>
                  <w:p w14:paraId="7405A01B" w14:textId="77777777" w:rsidR="00471D53" w:rsidRPr="00345210" w:rsidRDefault="004F686E">
                    <w:pPr>
                      <w:jc w:val="right"/>
                      <w:rPr>
                        <w:sz w:val="15"/>
                        <w:szCs w:val="15"/>
                      </w:rPr>
                    </w:pPr>
                    <w:r w:rsidRPr="00345210">
                      <w:rPr>
                        <w:rFonts w:hint="eastAsia"/>
                        <w:sz w:val="15"/>
                        <w:szCs w:val="15"/>
                      </w:rPr>
                      <w:t xml:space="preserve">　</w:t>
                    </w:r>
                  </w:p>
                </w:tc>
                <w:tc>
                  <w:tcPr>
                    <w:tcW w:w="1276" w:type="dxa"/>
                    <w:vAlign w:val="center"/>
                  </w:tcPr>
                  <w:p w14:paraId="16DC1622" w14:textId="77777777" w:rsidR="00471D53" w:rsidRPr="00345210" w:rsidRDefault="004F686E">
                    <w:pPr>
                      <w:jc w:val="right"/>
                      <w:rPr>
                        <w:sz w:val="15"/>
                        <w:szCs w:val="15"/>
                      </w:rPr>
                    </w:pPr>
                    <w:r w:rsidRPr="00345210">
                      <w:rPr>
                        <w:rFonts w:hint="eastAsia"/>
                        <w:sz w:val="15"/>
                        <w:szCs w:val="15"/>
                      </w:rPr>
                      <w:t xml:space="preserve">　</w:t>
                    </w:r>
                  </w:p>
                </w:tc>
                <w:tc>
                  <w:tcPr>
                    <w:tcW w:w="1275" w:type="dxa"/>
                    <w:vAlign w:val="center"/>
                  </w:tcPr>
                  <w:p w14:paraId="1449E69A" w14:textId="77777777" w:rsidR="00471D53" w:rsidRPr="00345210" w:rsidRDefault="004F686E">
                    <w:pPr>
                      <w:jc w:val="right"/>
                      <w:rPr>
                        <w:sz w:val="15"/>
                        <w:szCs w:val="15"/>
                      </w:rPr>
                    </w:pPr>
                    <w:r w:rsidRPr="00345210">
                      <w:rPr>
                        <w:rFonts w:hint="eastAsia"/>
                        <w:sz w:val="15"/>
                        <w:szCs w:val="15"/>
                      </w:rPr>
                      <w:t xml:space="preserve">　</w:t>
                    </w:r>
                  </w:p>
                </w:tc>
                <w:tc>
                  <w:tcPr>
                    <w:tcW w:w="1546" w:type="dxa"/>
                    <w:vAlign w:val="center"/>
                  </w:tcPr>
                  <w:p w14:paraId="72206A06" w14:textId="3CF394FE" w:rsidR="00471D53" w:rsidRPr="00345210" w:rsidRDefault="004F686E">
                    <w:pPr>
                      <w:jc w:val="right"/>
                      <w:rPr>
                        <w:sz w:val="15"/>
                        <w:szCs w:val="15"/>
                      </w:rPr>
                    </w:pPr>
                    <w:r w:rsidRPr="00345210">
                      <w:rPr>
                        <w:rFonts w:hint="eastAsia"/>
                        <w:sz w:val="15"/>
                        <w:szCs w:val="15"/>
                      </w:rPr>
                      <w:t>207,725,197.96</w:t>
                    </w:r>
                  </w:p>
                </w:tc>
              </w:tr>
              <w:tr w:rsidR="001279EE" w14:paraId="7ED274B4" w14:textId="77777777" w:rsidTr="001279EE">
                <w:trPr>
                  <w:trHeight w:val="20"/>
                </w:trPr>
                <w:sdt>
                  <w:sdtPr>
                    <w:tag w:val="_PLD_4873337789fc42b5ae8485de96f3dad3"/>
                    <w:id w:val="30000704"/>
                    <w:lock w:val="sdtLocked"/>
                  </w:sdtPr>
                  <w:sdtEndPr/>
                  <w:sdtContent>
                    <w:tc>
                      <w:tcPr>
                        <w:tcW w:w="2394" w:type="dxa"/>
                      </w:tcPr>
                      <w:p w14:paraId="1D801AAE" w14:textId="77777777" w:rsidR="00471D53" w:rsidRDefault="004F686E">
                        <w:pPr>
                          <w:rPr>
                            <w:sz w:val="18"/>
                            <w:szCs w:val="18"/>
                          </w:rPr>
                        </w:pPr>
                        <w:r>
                          <w:rPr>
                            <w:rFonts w:hint="eastAsia"/>
                            <w:sz w:val="18"/>
                            <w:szCs w:val="18"/>
                          </w:rPr>
                          <w:t>2．其他权益工具持有者投入资本</w:t>
                        </w:r>
                      </w:p>
                    </w:tc>
                  </w:sdtContent>
                </w:sdt>
                <w:tc>
                  <w:tcPr>
                    <w:tcW w:w="1318" w:type="dxa"/>
                    <w:tcBorders>
                      <w:right w:val="single" w:sz="4" w:space="0" w:color="auto"/>
                    </w:tcBorders>
                  </w:tcPr>
                  <w:p w14:paraId="08948977" w14:textId="77777777" w:rsidR="00471D53" w:rsidRPr="00345210" w:rsidRDefault="00B664AF">
                    <w:pPr>
                      <w:jc w:val="right"/>
                      <w:rPr>
                        <w:sz w:val="15"/>
                        <w:szCs w:val="15"/>
                      </w:rPr>
                    </w:pPr>
                  </w:p>
                </w:tc>
                <w:tc>
                  <w:tcPr>
                    <w:tcW w:w="850" w:type="dxa"/>
                    <w:tcBorders>
                      <w:left w:val="single" w:sz="4" w:space="0" w:color="auto"/>
                      <w:right w:val="single" w:sz="4" w:space="0" w:color="auto"/>
                    </w:tcBorders>
                  </w:tcPr>
                  <w:p w14:paraId="456A61A3" w14:textId="77777777" w:rsidR="00471D53" w:rsidRPr="00345210" w:rsidRDefault="00B664AF">
                    <w:pPr>
                      <w:jc w:val="right"/>
                      <w:rPr>
                        <w:sz w:val="15"/>
                        <w:szCs w:val="15"/>
                      </w:rPr>
                    </w:pPr>
                  </w:p>
                </w:tc>
                <w:tc>
                  <w:tcPr>
                    <w:tcW w:w="851" w:type="dxa"/>
                    <w:tcBorders>
                      <w:left w:val="single" w:sz="4" w:space="0" w:color="auto"/>
                      <w:right w:val="single" w:sz="4" w:space="0" w:color="auto"/>
                    </w:tcBorders>
                  </w:tcPr>
                  <w:p w14:paraId="1D308807" w14:textId="77777777" w:rsidR="00471D53" w:rsidRPr="00345210" w:rsidRDefault="00B664AF">
                    <w:pPr>
                      <w:jc w:val="right"/>
                      <w:rPr>
                        <w:sz w:val="15"/>
                        <w:szCs w:val="15"/>
                      </w:rPr>
                    </w:pPr>
                  </w:p>
                </w:tc>
                <w:tc>
                  <w:tcPr>
                    <w:tcW w:w="708" w:type="dxa"/>
                    <w:tcBorders>
                      <w:left w:val="single" w:sz="4" w:space="0" w:color="auto"/>
                    </w:tcBorders>
                  </w:tcPr>
                  <w:p w14:paraId="69DF37E7" w14:textId="77777777" w:rsidR="00471D53" w:rsidRPr="00345210" w:rsidRDefault="00B664AF">
                    <w:pPr>
                      <w:jc w:val="right"/>
                      <w:rPr>
                        <w:sz w:val="15"/>
                        <w:szCs w:val="15"/>
                      </w:rPr>
                    </w:pPr>
                  </w:p>
                </w:tc>
                <w:tc>
                  <w:tcPr>
                    <w:tcW w:w="1276" w:type="dxa"/>
                  </w:tcPr>
                  <w:p w14:paraId="33707E12" w14:textId="77777777" w:rsidR="00471D53" w:rsidRPr="00345210" w:rsidRDefault="00B664AF">
                    <w:pPr>
                      <w:jc w:val="right"/>
                      <w:rPr>
                        <w:sz w:val="15"/>
                        <w:szCs w:val="15"/>
                      </w:rPr>
                    </w:pPr>
                  </w:p>
                </w:tc>
                <w:tc>
                  <w:tcPr>
                    <w:tcW w:w="851" w:type="dxa"/>
                  </w:tcPr>
                  <w:p w14:paraId="7DA15A9E" w14:textId="77777777" w:rsidR="00471D53" w:rsidRPr="00345210" w:rsidRDefault="00B664AF">
                    <w:pPr>
                      <w:jc w:val="right"/>
                      <w:rPr>
                        <w:sz w:val="15"/>
                        <w:szCs w:val="15"/>
                      </w:rPr>
                    </w:pPr>
                  </w:p>
                </w:tc>
                <w:tc>
                  <w:tcPr>
                    <w:tcW w:w="850" w:type="dxa"/>
                  </w:tcPr>
                  <w:p w14:paraId="321E56AF" w14:textId="77777777" w:rsidR="00471D53" w:rsidRPr="00345210" w:rsidRDefault="00B664AF">
                    <w:pPr>
                      <w:jc w:val="right"/>
                      <w:rPr>
                        <w:sz w:val="15"/>
                        <w:szCs w:val="15"/>
                      </w:rPr>
                    </w:pPr>
                  </w:p>
                </w:tc>
                <w:tc>
                  <w:tcPr>
                    <w:tcW w:w="709" w:type="dxa"/>
                  </w:tcPr>
                  <w:p w14:paraId="50F05802" w14:textId="77777777" w:rsidR="00471D53" w:rsidRPr="00345210" w:rsidRDefault="00B664AF">
                    <w:pPr>
                      <w:jc w:val="right"/>
                      <w:rPr>
                        <w:sz w:val="15"/>
                        <w:szCs w:val="15"/>
                      </w:rPr>
                    </w:pPr>
                  </w:p>
                </w:tc>
                <w:tc>
                  <w:tcPr>
                    <w:tcW w:w="1276" w:type="dxa"/>
                  </w:tcPr>
                  <w:p w14:paraId="2F6D15CD" w14:textId="77777777" w:rsidR="00471D53" w:rsidRPr="00345210" w:rsidRDefault="00B664AF">
                    <w:pPr>
                      <w:jc w:val="right"/>
                      <w:rPr>
                        <w:sz w:val="15"/>
                        <w:szCs w:val="15"/>
                      </w:rPr>
                    </w:pPr>
                  </w:p>
                </w:tc>
                <w:tc>
                  <w:tcPr>
                    <w:tcW w:w="1275" w:type="dxa"/>
                  </w:tcPr>
                  <w:p w14:paraId="06EA217C" w14:textId="77777777" w:rsidR="00471D53" w:rsidRPr="00345210" w:rsidRDefault="00B664AF">
                    <w:pPr>
                      <w:jc w:val="right"/>
                      <w:rPr>
                        <w:sz w:val="15"/>
                        <w:szCs w:val="15"/>
                      </w:rPr>
                    </w:pPr>
                  </w:p>
                </w:tc>
                <w:tc>
                  <w:tcPr>
                    <w:tcW w:w="1546" w:type="dxa"/>
                  </w:tcPr>
                  <w:p w14:paraId="5F133483" w14:textId="77777777" w:rsidR="00471D53" w:rsidRPr="00345210" w:rsidRDefault="00B664AF">
                    <w:pPr>
                      <w:jc w:val="right"/>
                      <w:rPr>
                        <w:sz w:val="15"/>
                        <w:szCs w:val="15"/>
                      </w:rPr>
                    </w:pPr>
                  </w:p>
                </w:tc>
              </w:tr>
              <w:tr w:rsidR="001279EE" w14:paraId="6EC734A7" w14:textId="77777777" w:rsidTr="001279EE">
                <w:trPr>
                  <w:trHeight w:val="20"/>
                </w:trPr>
                <w:sdt>
                  <w:sdtPr>
                    <w:tag w:val="_PLD_83c73c5580c0412189f697f05780f9af"/>
                    <w:id w:val="-38514791"/>
                    <w:lock w:val="sdtLocked"/>
                  </w:sdtPr>
                  <w:sdtEndPr/>
                  <w:sdtContent>
                    <w:tc>
                      <w:tcPr>
                        <w:tcW w:w="2394" w:type="dxa"/>
                      </w:tcPr>
                      <w:p w14:paraId="6AD42BE7" w14:textId="77777777" w:rsidR="00471D53" w:rsidRDefault="004F686E">
                        <w:pPr>
                          <w:rPr>
                            <w:sz w:val="18"/>
                            <w:szCs w:val="18"/>
                          </w:rPr>
                        </w:pPr>
                        <w:r>
                          <w:rPr>
                            <w:rFonts w:hint="eastAsia"/>
                            <w:sz w:val="18"/>
                            <w:szCs w:val="18"/>
                          </w:rPr>
                          <w:t>3</w:t>
                        </w:r>
                        <w:r>
                          <w:rPr>
                            <w:sz w:val="18"/>
                            <w:szCs w:val="18"/>
                          </w:rPr>
                          <w:t>．股份支付计入所有者权益的金额</w:t>
                        </w:r>
                      </w:p>
                    </w:tc>
                  </w:sdtContent>
                </w:sdt>
                <w:tc>
                  <w:tcPr>
                    <w:tcW w:w="1318" w:type="dxa"/>
                    <w:tcBorders>
                      <w:right w:val="single" w:sz="4" w:space="0" w:color="auto"/>
                    </w:tcBorders>
                  </w:tcPr>
                  <w:p w14:paraId="7A3819F2" w14:textId="77777777" w:rsidR="00471D53" w:rsidRDefault="00B664AF">
                    <w:pPr>
                      <w:jc w:val="right"/>
                      <w:rPr>
                        <w:sz w:val="18"/>
                        <w:szCs w:val="18"/>
                      </w:rPr>
                    </w:pPr>
                  </w:p>
                </w:tc>
                <w:tc>
                  <w:tcPr>
                    <w:tcW w:w="850" w:type="dxa"/>
                    <w:tcBorders>
                      <w:left w:val="single" w:sz="4" w:space="0" w:color="auto"/>
                      <w:right w:val="single" w:sz="4" w:space="0" w:color="auto"/>
                    </w:tcBorders>
                  </w:tcPr>
                  <w:p w14:paraId="55485991" w14:textId="77777777" w:rsidR="00471D53" w:rsidRDefault="00B664AF">
                    <w:pPr>
                      <w:jc w:val="right"/>
                      <w:rPr>
                        <w:sz w:val="18"/>
                        <w:szCs w:val="18"/>
                      </w:rPr>
                    </w:pPr>
                  </w:p>
                </w:tc>
                <w:tc>
                  <w:tcPr>
                    <w:tcW w:w="851" w:type="dxa"/>
                    <w:tcBorders>
                      <w:left w:val="single" w:sz="4" w:space="0" w:color="auto"/>
                      <w:right w:val="single" w:sz="4" w:space="0" w:color="auto"/>
                    </w:tcBorders>
                  </w:tcPr>
                  <w:p w14:paraId="53A0E4DE" w14:textId="77777777" w:rsidR="00471D53" w:rsidRDefault="00B664AF">
                    <w:pPr>
                      <w:jc w:val="right"/>
                      <w:rPr>
                        <w:sz w:val="18"/>
                        <w:szCs w:val="18"/>
                      </w:rPr>
                    </w:pPr>
                  </w:p>
                </w:tc>
                <w:tc>
                  <w:tcPr>
                    <w:tcW w:w="708" w:type="dxa"/>
                    <w:tcBorders>
                      <w:left w:val="single" w:sz="4" w:space="0" w:color="auto"/>
                    </w:tcBorders>
                  </w:tcPr>
                  <w:p w14:paraId="5E7906A4" w14:textId="77777777" w:rsidR="00471D53" w:rsidRDefault="00B664AF">
                    <w:pPr>
                      <w:jc w:val="right"/>
                      <w:rPr>
                        <w:sz w:val="18"/>
                        <w:szCs w:val="18"/>
                      </w:rPr>
                    </w:pPr>
                  </w:p>
                </w:tc>
                <w:tc>
                  <w:tcPr>
                    <w:tcW w:w="1276" w:type="dxa"/>
                  </w:tcPr>
                  <w:p w14:paraId="6400B44B" w14:textId="77777777" w:rsidR="00471D53" w:rsidRDefault="00B664AF">
                    <w:pPr>
                      <w:jc w:val="right"/>
                      <w:rPr>
                        <w:sz w:val="18"/>
                        <w:szCs w:val="18"/>
                      </w:rPr>
                    </w:pPr>
                  </w:p>
                </w:tc>
                <w:tc>
                  <w:tcPr>
                    <w:tcW w:w="851" w:type="dxa"/>
                  </w:tcPr>
                  <w:p w14:paraId="0A117E9C" w14:textId="77777777" w:rsidR="00471D53" w:rsidRDefault="00B664AF">
                    <w:pPr>
                      <w:jc w:val="right"/>
                      <w:rPr>
                        <w:sz w:val="18"/>
                        <w:szCs w:val="18"/>
                      </w:rPr>
                    </w:pPr>
                  </w:p>
                </w:tc>
                <w:tc>
                  <w:tcPr>
                    <w:tcW w:w="850" w:type="dxa"/>
                  </w:tcPr>
                  <w:p w14:paraId="5C32E696" w14:textId="77777777" w:rsidR="00471D53" w:rsidRDefault="00B664AF">
                    <w:pPr>
                      <w:jc w:val="right"/>
                      <w:rPr>
                        <w:sz w:val="18"/>
                        <w:szCs w:val="18"/>
                      </w:rPr>
                    </w:pPr>
                  </w:p>
                </w:tc>
                <w:tc>
                  <w:tcPr>
                    <w:tcW w:w="709" w:type="dxa"/>
                  </w:tcPr>
                  <w:p w14:paraId="27C4E003" w14:textId="77777777" w:rsidR="00471D53" w:rsidRDefault="00B664AF">
                    <w:pPr>
                      <w:jc w:val="right"/>
                      <w:rPr>
                        <w:sz w:val="18"/>
                        <w:szCs w:val="18"/>
                      </w:rPr>
                    </w:pPr>
                  </w:p>
                </w:tc>
                <w:tc>
                  <w:tcPr>
                    <w:tcW w:w="1276" w:type="dxa"/>
                  </w:tcPr>
                  <w:p w14:paraId="46D28C8F" w14:textId="77777777" w:rsidR="00471D53" w:rsidRDefault="00B664AF">
                    <w:pPr>
                      <w:jc w:val="right"/>
                      <w:rPr>
                        <w:sz w:val="18"/>
                        <w:szCs w:val="18"/>
                      </w:rPr>
                    </w:pPr>
                  </w:p>
                </w:tc>
                <w:tc>
                  <w:tcPr>
                    <w:tcW w:w="1275" w:type="dxa"/>
                  </w:tcPr>
                  <w:p w14:paraId="16673001" w14:textId="77777777" w:rsidR="00471D53" w:rsidRDefault="00B664AF">
                    <w:pPr>
                      <w:jc w:val="right"/>
                      <w:rPr>
                        <w:sz w:val="18"/>
                        <w:szCs w:val="18"/>
                      </w:rPr>
                    </w:pPr>
                  </w:p>
                </w:tc>
                <w:tc>
                  <w:tcPr>
                    <w:tcW w:w="1546" w:type="dxa"/>
                  </w:tcPr>
                  <w:p w14:paraId="0FA958FA" w14:textId="77777777" w:rsidR="00471D53" w:rsidRDefault="00B664AF">
                    <w:pPr>
                      <w:jc w:val="right"/>
                      <w:rPr>
                        <w:sz w:val="18"/>
                        <w:szCs w:val="18"/>
                      </w:rPr>
                    </w:pPr>
                  </w:p>
                </w:tc>
              </w:tr>
              <w:tr w:rsidR="001279EE" w14:paraId="5A838A10" w14:textId="77777777" w:rsidTr="001279EE">
                <w:trPr>
                  <w:trHeight w:val="20"/>
                </w:trPr>
                <w:sdt>
                  <w:sdtPr>
                    <w:tag w:val="_PLD_b328cbc349734354ae3aacf675414174"/>
                    <w:id w:val="-320197199"/>
                    <w:lock w:val="sdtLocked"/>
                  </w:sdtPr>
                  <w:sdtEndPr/>
                  <w:sdtContent>
                    <w:tc>
                      <w:tcPr>
                        <w:tcW w:w="2394" w:type="dxa"/>
                      </w:tcPr>
                      <w:p w14:paraId="6B3BCF98" w14:textId="77777777" w:rsidR="00471D53" w:rsidRDefault="004F686E">
                        <w:pPr>
                          <w:rPr>
                            <w:sz w:val="18"/>
                            <w:szCs w:val="18"/>
                          </w:rPr>
                        </w:pPr>
                        <w:r>
                          <w:rPr>
                            <w:rFonts w:hint="eastAsia"/>
                            <w:sz w:val="18"/>
                            <w:szCs w:val="18"/>
                          </w:rPr>
                          <w:t>4</w:t>
                        </w:r>
                        <w:r>
                          <w:rPr>
                            <w:sz w:val="18"/>
                            <w:szCs w:val="18"/>
                          </w:rPr>
                          <w:t>．其他</w:t>
                        </w:r>
                      </w:p>
                    </w:tc>
                  </w:sdtContent>
                </w:sdt>
                <w:tc>
                  <w:tcPr>
                    <w:tcW w:w="1318" w:type="dxa"/>
                    <w:tcBorders>
                      <w:right w:val="single" w:sz="4" w:space="0" w:color="auto"/>
                    </w:tcBorders>
                  </w:tcPr>
                  <w:p w14:paraId="056B49FD" w14:textId="77777777" w:rsidR="00471D53" w:rsidRDefault="00B664AF">
                    <w:pPr>
                      <w:jc w:val="right"/>
                      <w:rPr>
                        <w:sz w:val="18"/>
                        <w:szCs w:val="18"/>
                      </w:rPr>
                    </w:pPr>
                  </w:p>
                </w:tc>
                <w:tc>
                  <w:tcPr>
                    <w:tcW w:w="850" w:type="dxa"/>
                    <w:tcBorders>
                      <w:left w:val="single" w:sz="4" w:space="0" w:color="auto"/>
                      <w:right w:val="single" w:sz="4" w:space="0" w:color="auto"/>
                    </w:tcBorders>
                  </w:tcPr>
                  <w:p w14:paraId="00022769" w14:textId="77777777" w:rsidR="00471D53" w:rsidRDefault="00B664AF">
                    <w:pPr>
                      <w:jc w:val="right"/>
                      <w:rPr>
                        <w:sz w:val="18"/>
                        <w:szCs w:val="18"/>
                      </w:rPr>
                    </w:pPr>
                  </w:p>
                </w:tc>
                <w:tc>
                  <w:tcPr>
                    <w:tcW w:w="851" w:type="dxa"/>
                    <w:tcBorders>
                      <w:left w:val="single" w:sz="4" w:space="0" w:color="auto"/>
                      <w:right w:val="single" w:sz="4" w:space="0" w:color="auto"/>
                    </w:tcBorders>
                  </w:tcPr>
                  <w:p w14:paraId="6DAE98F8" w14:textId="77777777" w:rsidR="00471D53" w:rsidRDefault="00B664AF">
                    <w:pPr>
                      <w:jc w:val="right"/>
                      <w:rPr>
                        <w:sz w:val="18"/>
                        <w:szCs w:val="18"/>
                      </w:rPr>
                    </w:pPr>
                  </w:p>
                </w:tc>
                <w:tc>
                  <w:tcPr>
                    <w:tcW w:w="708" w:type="dxa"/>
                    <w:tcBorders>
                      <w:left w:val="single" w:sz="4" w:space="0" w:color="auto"/>
                    </w:tcBorders>
                  </w:tcPr>
                  <w:p w14:paraId="5E2F5A47" w14:textId="77777777" w:rsidR="00471D53" w:rsidRDefault="00B664AF">
                    <w:pPr>
                      <w:jc w:val="right"/>
                      <w:rPr>
                        <w:sz w:val="18"/>
                        <w:szCs w:val="18"/>
                      </w:rPr>
                    </w:pPr>
                  </w:p>
                </w:tc>
                <w:tc>
                  <w:tcPr>
                    <w:tcW w:w="1276" w:type="dxa"/>
                  </w:tcPr>
                  <w:p w14:paraId="59A74B0E" w14:textId="77777777" w:rsidR="00471D53" w:rsidRDefault="00B664AF">
                    <w:pPr>
                      <w:jc w:val="right"/>
                      <w:rPr>
                        <w:sz w:val="18"/>
                        <w:szCs w:val="18"/>
                      </w:rPr>
                    </w:pPr>
                  </w:p>
                </w:tc>
                <w:tc>
                  <w:tcPr>
                    <w:tcW w:w="851" w:type="dxa"/>
                  </w:tcPr>
                  <w:p w14:paraId="01F73C32" w14:textId="77777777" w:rsidR="00471D53" w:rsidRDefault="00B664AF">
                    <w:pPr>
                      <w:jc w:val="right"/>
                      <w:rPr>
                        <w:sz w:val="18"/>
                        <w:szCs w:val="18"/>
                      </w:rPr>
                    </w:pPr>
                  </w:p>
                </w:tc>
                <w:tc>
                  <w:tcPr>
                    <w:tcW w:w="850" w:type="dxa"/>
                  </w:tcPr>
                  <w:p w14:paraId="04CCF10E" w14:textId="77777777" w:rsidR="00471D53" w:rsidRDefault="00B664AF">
                    <w:pPr>
                      <w:jc w:val="right"/>
                      <w:rPr>
                        <w:sz w:val="18"/>
                        <w:szCs w:val="18"/>
                      </w:rPr>
                    </w:pPr>
                  </w:p>
                </w:tc>
                <w:tc>
                  <w:tcPr>
                    <w:tcW w:w="709" w:type="dxa"/>
                  </w:tcPr>
                  <w:p w14:paraId="454863FB" w14:textId="77777777" w:rsidR="00471D53" w:rsidRDefault="00B664AF">
                    <w:pPr>
                      <w:jc w:val="right"/>
                      <w:rPr>
                        <w:sz w:val="18"/>
                        <w:szCs w:val="18"/>
                      </w:rPr>
                    </w:pPr>
                  </w:p>
                </w:tc>
                <w:tc>
                  <w:tcPr>
                    <w:tcW w:w="1276" w:type="dxa"/>
                  </w:tcPr>
                  <w:p w14:paraId="05306001" w14:textId="77777777" w:rsidR="00471D53" w:rsidRDefault="00B664AF">
                    <w:pPr>
                      <w:jc w:val="right"/>
                      <w:rPr>
                        <w:sz w:val="18"/>
                        <w:szCs w:val="18"/>
                      </w:rPr>
                    </w:pPr>
                  </w:p>
                </w:tc>
                <w:tc>
                  <w:tcPr>
                    <w:tcW w:w="1275" w:type="dxa"/>
                  </w:tcPr>
                  <w:p w14:paraId="2BDFCA06" w14:textId="77777777" w:rsidR="00471D53" w:rsidRDefault="00B664AF">
                    <w:pPr>
                      <w:jc w:val="right"/>
                      <w:rPr>
                        <w:sz w:val="18"/>
                        <w:szCs w:val="18"/>
                      </w:rPr>
                    </w:pPr>
                  </w:p>
                </w:tc>
                <w:tc>
                  <w:tcPr>
                    <w:tcW w:w="1546" w:type="dxa"/>
                  </w:tcPr>
                  <w:p w14:paraId="435622D8" w14:textId="77777777" w:rsidR="00471D53" w:rsidRDefault="00B664AF">
                    <w:pPr>
                      <w:jc w:val="right"/>
                      <w:rPr>
                        <w:sz w:val="18"/>
                        <w:szCs w:val="18"/>
                      </w:rPr>
                    </w:pPr>
                  </w:p>
                </w:tc>
              </w:tr>
              <w:tr w:rsidR="001279EE" w14:paraId="5976FDA3" w14:textId="77777777" w:rsidTr="001279EE">
                <w:trPr>
                  <w:trHeight w:val="20"/>
                </w:trPr>
                <w:sdt>
                  <w:sdtPr>
                    <w:tag w:val="_PLD_9773183e97be44a1a360188937e7fe10"/>
                    <w:id w:val="1112398811"/>
                    <w:lock w:val="sdtLocked"/>
                  </w:sdtPr>
                  <w:sdtEndPr/>
                  <w:sdtContent>
                    <w:tc>
                      <w:tcPr>
                        <w:tcW w:w="2394" w:type="dxa"/>
                      </w:tcPr>
                      <w:p w14:paraId="0354809A" w14:textId="77777777" w:rsidR="00471D53" w:rsidRDefault="004F686E">
                        <w:pPr>
                          <w:rPr>
                            <w:sz w:val="18"/>
                            <w:szCs w:val="18"/>
                          </w:rPr>
                        </w:pPr>
                        <w:r>
                          <w:rPr>
                            <w:sz w:val="18"/>
                            <w:szCs w:val="18"/>
                          </w:rPr>
                          <w:t>（</w:t>
                        </w:r>
                        <w:r>
                          <w:rPr>
                            <w:rFonts w:hint="eastAsia"/>
                            <w:sz w:val="18"/>
                            <w:szCs w:val="18"/>
                          </w:rPr>
                          <w:t>三</w:t>
                        </w:r>
                        <w:r>
                          <w:rPr>
                            <w:sz w:val="18"/>
                            <w:szCs w:val="18"/>
                          </w:rPr>
                          <w:t>）利润分配</w:t>
                        </w:r>
                      </w:p>
                    </w:tc>
                  </w:sdtContent>
                </w:sdt>
                <w:tc>
                  <w:tcPr>
                    <w:tcW w:w="1318" w:type="dxa"/>
                    <w:tcBorders>
                      <w:right w:val="single" w:sz="4" w:space="0" w:color="auto"/>
                    </w:tcBorders>
                  </w:tcPr>
                  <w:p w14:paraId="75E0169B" w14:textId="77777777" w:rsidR="00471D53" w:rsidRDefault="00B664AF">
                    <w:pPr>
                      <w:jc w:val="right"/>
                      <w:rPr>
                        <w:sz w:val="18"/>
                        <w:szCs w:val="18"/>
                      </w:rPr>
                    </w:pPr>
                  </w:p>
                </w:tc>
                <w:tc>
                  <w:tcPr>
                    <w:tcW w:w="850" w:type="dxa"/>
                    <w:tcBorders>
                      <w:left w:val="single" w:sz="4" w:space="0" w:color="auto"/>
                      <w:right w:val="single" w:sz="4" w:space="0" w:color="auto"/>
                    </w:tcBorders>
                  </w:tcPr>
                  <w:p w14:paraId="30D024BB" w14:textId="77777777" w:rsidR="00471D53" w:rsidRDefault="00B664AF">
                    <w:pPr>
                      <w:jc w:val="right"/>
                      <w:rPr>
                        <w:sz w:val="18"/>
                        <w:szCs w:val="18"/>
                      </w:rPr>
                    </w:pPr>
                  </w:p>
                </w:tc>
                <w:tc>
                  <w:tcPr>
                    <w:tcW w:w="851" w:type="dxa"/>
                    <w:tcBorders>
                      <w:left w:val="single" w:sz="4" w:space="0" w:color="auto"/>
                      <w:right w:val="single" w:sz="4" w:space="0" w:color="auto"/>
                    </w:tcBorders>
                  </w:tcPr>
                  <w:p w14:paraId="3C1DED7B" w14:textId="77777777" w:rsidR="00471D53" w:rsidRDefault="00B664AF">
                    <w:pPr>
                      <w:jc w:val="right"/>
                      <w:rPr>
                        <w:sz w:val="18"/>
                        <w:szCs w:val="18"/>
                      </w:rPr>
                    </w:pPr>
                  </w:p>
                </w:tc>
                <w:tc>
                  <w:tcPr>
                    <w:tcW w:w="708" w:type="dxa"/>
                    <w:tcBorders>
                      <w:left w:val="single" w:sz="4" w:space="0" w:color="auto"/>
                    </w:tcBorders>
                  </w:tcPr>
                  <w:p w14:paraId="632C4F77" w14:textId="77777777" w:rsidR="00471D53" w:rsidRDefault="00B664AF">
                    <w:pPr>
                      <w:jc w:val="right"/>
                      <w:rPr>
                        <w:sz w:val="18"/>
                        <w:szCs w:val="18"/>
                      </w:rPr>
                    </w:pPr>
                  </w:p>
                </w:tc>
                <w:tc>
                  <w:tcPr>
                    <w:tcW w:w="1276" w:type="dxa"/>
                  </w:tcPr>
                  <w:p w14:paraId="35F16285" w14:textId="77777777" w:rsidR="00471D53" w:rsidRDefault="00B664AF">
                    <w:pPr>
                      <w:jc w:val="right"/>
                      <w:rPr>
                        <w:sz w:val="18"/>
                        <w:szCs w:val="18"/>
                      </w:rPr>
                    </w:pPr>
                  </w:p>
                </w:tc>
                <w:tc>
                  <w:tcPr>
                    <w:tcW w:w="851" w:type="dxa"/>
                  </w:tcPr>
                  <w:p w14:paraId="085D5D70" w14:textId="77777777" w:rsidR="00471D53" w:rsidRDefault="00B664AF">
                    <w:pPr>
                      <w:jc w:val="right"/>
                      <w:rPr>
                        <w:sz w:val="18"/>
                        <w:szCs w:val="18"/>
                      </w:rPr>
                    </w:pPr>
                  </w:p>
                </w:tc>
                <w:tc>
                  <w:tcPr>
                    <w:tcW w:w="850" w:type="dxa"/>
                  </w:tcPr>
                  <w:p w14:paraId="00D6525B" w14:textId="77777777" w:rsidR="00471D53" w:rsidRDefault="00B664AF">
                    <w:pPr>
                      <w:jc w:val="right"/>
                      <w:rPr>
                        <w:sz w:val="18"/>
                        <w:szCs w:val="18"/>
                      </w:rPr>
                    </w:pPr>
                  </w:p>
                </w:tc>
                <w:tc>
                  <w:tcPr>
                    <w:tcW w:w="709" w:type="dxa"/>
                  </w:tcPr>
                  <w:p w14:paraId="3922172B" w14:textId="77777777" w:rsidR="00471D53" w:rsidRDefault="00B664AF">
                    <w:pPr>
                      <w:jc w:val="right"/>
                      <w:rPr>
                        <w:sz w:val="18"/>
                        <w:szCs w:val="18"/>
                      </w:rPr>
                    </w:pPr>
                  </w:p>
                </w:tc>
                <w:tc>
                  <w:tcPr>
                    <w:tcW w:w="1276" w:type="dxa"/>
                  </w:tcPr>
                  <w:p w14:paraId="6BDFA99B" w14:textId="77777777" w:rsidR="00471D53" w:rsidRDefault="00B664AF">
                    <w:pPr>
                      <w:jc w:val="right"/>
                      <w:rPr>
                        <w:sz w:val="18"/>
                        <w:szCs w:val="18"/>
                      </w:rPr>
                    </w:pPr>
                  </w:p>
                </w:tc>
                <w:tc>
                  <w:tcPr>
                    <w:tcW w:w="1275" w:type="dxa"/>
                  </w:tcPr>
                  <w:p w14:paraId="7E7A9491" w14:textId="77777777" w:rsidR="00471D53" w:rsidRDefault="00B664AF">
                    <w:pPr>
                      <w:jc w:val="right"/>
                      <w:rPr>
                        <w:sz w:val="18"/>
                        <w:szCs w:val="18"/>
                      </w:rPr>
                    </w:pPr>
                  </w:p>
                </w:tc>
                <w:tc>
                  <w:tcPr>
                    <w:tcW w:w="1546" w:type="dxa"/>
                  </w:tcPr>
                  <w:p w14:paraId="3FA28938" w14:textId="77777777" w:rsidR="00471D53" w:rsidRDefault="00B664AF">
                    <w:pPr>
                      <w:jc w:val="right"/>
                      <w:rPr>
                        <w:sz w:val="18"/>
                        <w:szCs w:val="18"/>
                      </w:rPr>
                    </w:pPr>
                  </w:p>
                </w:tc>
              </w:tr>
              <w:tr w:rsidR="001279EE" w14:paraId="3ED7F09F" w14:textId="77777777" w:rsidTr="001279EE">
                <w:trPr>
                  <w:trHeight w:val="20"/>
                </w:trPr>
                <w:sdt>
                  <w:sdtPr>
                    <w:tag w:val="_PLD_49d633deae854098a44173514bb3a7b3"/>
                    <w:id w:val="-1049304812"/>
                    <w:lock w:val="sdtLocked"/>
                  </w:sdtPr>
                  <w:sdtEndPr/>
                  <w:sdtContent>
                    <w:tc>
                      <w:tcPr>
                        <w:tcW w:w="2394" w:type="dxa"/>
                      </w:tcPr>
                      <w:p w14:paraId="44ED3D51" w14:textId="77777777" w:rsidR="00471D53" w:rsidRDefault="004F686E">
                        <w:pPr>
                          <w:rPr>
                            <w:sz w:val="18"/>
                            <w:szCs w:val="18"/>
                          </w:rPr>
                        </w:pPr>
                        <w:r>
                          <w:rPr>
                            <w:sz w:val="18"/>
                            <w:szCs w:val="18"/>
                          </w:rPr>
                          <w:t>1．提取盈余公积</w:t>
                        </w:r>
                      </w:p>
                    </w:tc>
                  </w:sdtContent>
                </w:sdt>
                <w:tc>
                  <w:tcPr>
                    <w:tcW w:w="1318" w:type="dxa"/>
                    <w:tcBorders>
                      <w:right w:val="single" w:sz="4" w:space="0" w:color="auto"/>
                    </w:tcBorders>
                  </w:tcPr>
                  <w:p w14:paraId="07A78FC4" w14:textId="77777777" w:rsidR="00471D53" w:rsidRDefault="00B664AF">
                    <w:pPr>
                      <w:jc w:val="right"/>
                      <w:rPr>
                        <w:sz w:val="18"/>
                        <w:szCs w:val="18"/>
                      </w:rPr>
                    </w:pPr>
                  </w:p>
                </w:tc>
                <w:tc>
                  <w:tcPr>
                    <w:tcW w:w="850" w:type="dxa"/>
                    <w:tcBorders>
                      <w:left w:val="single" w:sz="4" w:space="0" w:color="auto"/>
                      <w:right w:val="single" w:sz="4" w:space="0" w:color="auto"/>
                    </w:tcBorders>
                  </w:tcPr>
                  <w:p w14:paraId="42431484" w14:textId="77777777" w:rsidR="00471D53" w:rsidRDefault="00B664AF">
                    <w:pPr>
                      <w:jc w:val="right"/>
                      <w:rPr>
                        <w:sz w:val="18"/>
                        <w:szCs w:val="18"/>
                      </w:rPr>
                    </w:pPr>
                  </w:p>
                </w:tc>
                <w:tc>
                  <w:tcPr>
                    <w:tcW w:w="851" w:type="dxa"/>
                    <w:tcBorders>
                      <w:left w:val="single" w:sz="4" w:space="0" w:color="auto"/>
                      <w:right w:val="single" w:sz="4" w:space="0" w:color="auto"/>
                    </w:tcBorders>
                  </w:tcPr>
                  <w:p w14:paraId="2276DC47" w14:textId="77777777" w:rsidR="00471D53" w:rsidRDefault="00B664AF">
                    <w:pPr>
                      <w:jc w:val="right"/>
                      <w:rPr>
                        <w:sz w:val="18"/>
                        <w:szCs w:val="18"/>
                      </w:rPr>
                    </w:pPr>
                  </w:p>
                </w:tc>
                <w:tc>
                  <w:tcPr>
                    <w:tcW w:w="708" w:type="dxa"/>
                    <w:tcBorders>
                      <w:left w:val="single" w:sz="4" w:space="0" w:color="auto"/>
                    </w:tcBorders>
                  </w:tcPr>
                  <w:p w14:paraId="44ED5ED8" w14:textId="77777777" w:rsidR="00471D53" w:rsidRDefault="00B664AF">
                    <w:pPr>
                      <w:jc w:val="right"/>
                      <w:rPr>
                        <w:sz w:val="18"/>
                        <w:szCs w:val="18"/>
                      </w:rPr>
                    </w:pPr>
                  </w:p>
                </w:tc>
                <w:tc>
                  <w:tcPr>
                    <w:tcW w:w="1276" w:type="dxa"/>
                  </w:tcPr>
                  <w:p w14:paraId="615C5025" w14:textId="77777777" w:rsidR="00471D53" w:rsidRDefault="00B664AF">
                    <w:pPr>
                      <w:jc w:val="right"/>
                      <w:rPr>
                        <w:sz w:val="18"/>
                        <w:szCs w:val="18"/>
                      </w:rPr>
                    </w:pPr>
                  </w:p>
                </w:tc>
                <w:tc>
                  <w:tcPr>
                    <w:tcW w:w="851" w:type="dxa"/>
                  </w:tcPr>
                  <w:p w14:paraId="2D7B86D1" w14:textId="77777777" w:rsidR="00471D53" w:rsidRDefault="00B664AF">
                    <w:pPr>
                      <w:jc w:val="right"/>
                      <w:rPr>
                        <w:sz w:val="18"/>
                        <w:szCs w:val="18"/>
                      </w:rPr>
                    </w:pPr>
                  </w:p>
                </w:tc>
                <w:tc>
                  <w:tcPr>
                    <w:tcW w:w="850" w:type="dxa"/>
                  </w:tcPr>
                  <w:p w14:paraId="76EFBE90" w14:textId="77777777" w:rsidR="00471D53" w:rsidRDefault="00B664AF">
                    <w:pPr>
                      <w:jc w:val="right"/>
                      <w:rPr>
                        <w:sz w:val="18"/>
                        <w:szCs w:val="18"/>
                      </w:rPr>
                    </w:pPr>
                  </w:p>
                </w:tc>
                <w:tc>
                  <w:tcPr>
                    <w:tcW w:w="709" w:type="dxa"/>
                  </w:tcPr>
                  <w:p w14:paraId="666E94D1" w14:textId="77777777" w:rsidR="00471D53" w:rsidRDefault="00B664AF">
                    <w:pPr>
                      <w:jc w:val="right"/>
                      <w:rPr>
                        <w:sz w:val="18"/>
                        <w:szCs w:val="18"/>
                      </w:rPr>
                    </w:pPr>
                  </w:p>
                </w:tc>
                <w:tc>
                  <w:tcPr>
                    <w:tcW w:w="1276" w:type="dxa"/>
                  </w:tcPr>
                  <w:p w14:paraId="3B501587" w14:textId="77777777" w:rsidR="00471D53" w:rsidRDefault="00B664AF">
                    <w:pPr>
                      <w:jc w:val="right"/>
                      <w:rPr>
                        <w:sz w:val="18"/>
                        <w:szCs w:val="18"/>
                      </w:rPr>
                    </w:pPr>
                  </w:p>
                </w:tc>
                <w:tc>
                  <w:tcPr>
                    <w:tcW w:w="1275" w:type="dxa"/>
                  </w:tcPr>
                  <w:p w14:paraId="0A56C2B3" w14:textId="77777777" w:rsidR="00471D53" w:rsidRDefault="00B664AF">
                    <w:pPr>
                      <w:jc w:val="right"/>
                      <w:rPr>
                        <w:sz w:val="18"/>
                        <w:szCs w:val="18"/>
                      </w:rPr>
                    </w:pPr>
                  </w:p>
                </w:tc>
                <w:tc>
                  <w:tcPr>
                    <w:tcW w:w="1546" w:type="dxa"/>
                  </w:tcPr>
                  <w:p w14:paraId="3D77FAA9" w14:textId="77777777" w:rsidR="00471D53" w:rsidRDefault="00B664AF">
                    <w:pPr>
                      <w:jc w:val="right"/>
                      <w:rPr>
                        <w:sz w:val="18"/>
                        <w:szCs w:val="18"/>
                      </w:rPr>
                    </w:pPr>
                  </w:p>
                </w:tc>
              </w:tr>
              <w:tr w:rsidR="001279EE" w14:paraId="18D5C647" w14:textId="77777777" w:rsidTr="001279EE">
                <w:trPr>
                  <w:trHeight w:val="20"/>
                </w:trPr>
                <w:sdt>
                  <w:sdtPr>
                    <w:tag w:val="_PLD_97bd41fffab4497fb1be0b345aef17bd"/>
                    <w:id w:val="720721862"/>
                    <w:lock w:val="sdtLocked"/>
                  </w:sdtPr>
                  <w:sdtEndPr/>
                  <w:sdtContent>
                    <w:tc>
                      <w:tcPr>
                        <w:tcW w:w="2394" w:type="dxa"/>
                      </w:tcPr>
                      <w:p w14:paraId="7D36EBAF" w14:textId="77777777" w:rsidR="00471D53" w:rsidRDefault="004F686E">
                        <w:pPr>
                          <w:rPr>
                            <w:sz w:val="18"/>
                            <w:szCs w:val="18"/>
                          </w:rPr>
                        </w:pPr>
                        <w:r>
                          <w:rPr>
                            <w:rFonts w:hint="eastAsia"/>
                            <w:sz w:val="18"/>
                            <w:szCs w:val="18"/>
                          </w:rPr>
                          <w:t>2</w:t>
                        </w:r>
                        <w:r>
                          <w:rPr>
                            <w:sz w:val="18"/>
                            <w:szCs w:val="18"/>
                          </w:rPr>
                          <w:t>．对所有者（或股东）的分配</w:t>
                        </w:r>
                      </w:p>
                    </w:tc>
                  </w:sdtContent>
                </w:sdt>
                <w:tc>
                  <w:tcPr>
                    <w:tcW w:w="1318" w:type="dxa"/>
                    <w:tcBorders>
                      <w:right w:val="single" w:sz="4" w:space="0" w:color="auto"/>
                    </w:tcBorders>
                  </w:tcPr>
                  <w:p w14:paraId="6F5E8578" w14:textId="77777777" w:rsidR="00471D53" w:rsidRDefault="00B664AF">
                    <w:pPr>
                      <w:jc w:val="right"/>
                      <w:rPr>
                        <w:sz w:val="18"/>
                        <w:szCs w:val="18"/>
                      </w:rPr>
                    </w:pPr>
                  </w:p>
                </w:tc>
                <w:tc>
                  <w:tcPr>
                    <w:tcW w:w="850" w:type="dxa"/>
                    <w:tcBorders>
                      <w:left w:val="single" w:sz="4" w:space="0" w:color="auto"/>
                      <w:right w:val="single" w:sz="4" w:space="0" w:color="auto"/>
                    </w:tcBorders>
                  </w:tcPr>
                  <w:p w14:paraId="18332CBB" w14:textId="77777777" w:rsidR="00471D53" w:rsidRDefault="00B664AF">
                    <w:pPr>
                      <w:jc w:val="right"/>
                      <w:rPr>
                        <w:sz w:val="18"/>
                        <w:szCs w:val="18"/>
                      </w:rPr>
                    </w:pPr>
                  </w:p>
                </w:tc>
                <w:tc>
                  <w:tcPr>
                    <w:tcW w:w="851" w:type="dxa"/>
                    <w:tcBorders>
                      <w:left w:val="single" w:sz="4" w:space="0" w:color="auto"/>
                      <w:right w:val="single" w:sz="4" w:space="0" w:color="auto"/>
                    </w:tcBorders>
                  </w:tcPr>
                  <w:p w14:paraId="7E47B734" w14:textId="77777777" w:rsidR="00471D53" w:rsidRDefault="00B664AF">
                    <w:pPr>
                      <w:jc w:val="right"/>
                      <w:rPr>
                        <w:sz w:val="18"/>
                        <w:szCs w:val="18"/>
                      </w:rPr>
                    </w:pPr>
                  </w:p>
                </w:tc>
                <w:tc>
                  <w:tcPr>
                    <w:tcW w:w="708" w:type="dxa"/>
                    <w:tcBorders>
                      <w:left w:val="single" w:sz="4" w:space="0" w:color="auto"/>
                    </w:tcBorders>
                  </w:tcPr>
                  <w:p w14:paraId="204C4BB7" w14:textId="77777777" w:rsidR="00471D53" w:rsidRDefault="00B664AF">
                    <w:pPr>
                      <w:jc w:val="right"/>
                      <w:rPr>
                        <w:sz w:val="18"/>
                        <w:szCs w:val="18"/>
                      </w:rPr>
                    </w:pPr>
                  </w:p>
                </w:tc>
                <w:tc>
                  <w:tcPr>
                    <w:tcW w:w="1276" w:type="dxa"/>
                  </w:tcPr>
                  <w:p w14:paraId="2A016ED8" w14:textId="77777777" w:rsidR="00471D53" w:rsidRDefault="00B664AF">
                    <w:pPr>
                      <w:jc w:val="right"/>
                      <w:rPr>
                        <w:sz w:val="18"/>
                        <w:szCs w:val="18"/>
                      </w:rPr>
                    </w:pPr>
                  </w:p>
                </w:tc>
                <w:tc>
                  <w:tcPr>
                    <w:tcW w:w="851" w:type="dxa"/>
                  </w:tcPr>
                  <w:p w14:paraId="14061343" w14:textId="77777777" w:rsidR="00471D53" w:rsidRDefault="00B664AF">
                    <w:pPr>
                      <w:jc w:val="right"/>
                      <w:rPr>
                        <w:sz w:val="18"/>
                        <w:szCs w:val="18"/>
                      </w:rPr>
                    </w:pPr>
                  </w:p>
                </w:tc>
                <w:tc>
                  <w:tcPr>
                    <w:tcW w:w="850" w:type="dxa"/>
                  </w:tcPr>
                  <w:p w14:paraId="481DAD0F" w14:textId="77777777" w:rsidR="00471D53" w:rsidRDefault="00B664AF">
                    <w:pPr>
                      <w:jc w:val="right"/>
                      <w:rPr>
                        <w:sz w:val="18"/>
                        <w:szCs w:val="18"/>
                      </w:rPr>
                    </w:pPr>
                  </w:p>
                </w:tc>
                <w:tc>
                  <w:tcPr>
                    <w:tcW w:w="709" w:type="dxa"/>
                  </w:tcPr>
                  <w:p w14:paraId="3584E95F" w14:textId="77777777" w:rsidR="00471D53" w:rsidRDefault="00B664AF">
                    <w:pPr>
                      <w:jc w:val="right"/>
                      <w:rPr>
                        <w:sz w:val="18"/>
                        <w:szCs w:val="18"/>
                      </w:rPr>
                    </w:pPr>
                  </w:p>
                </w:tc>
                <w:tc>
                  <w:tcPr>
                    <w:tcW w:w="1276" w:type="dxa"/>
                  </w:tcPr>
                  <w:p w14:paraId="46F9C1F2" w14:textId="77777777" w:rsidR="00471D53" w:rsidRDefault="00B664AF">
                    <w:pPr>
                      <w:jc w:val="right"/>
                      <w:rPr>
                        <w:sz w:val="18"/>
                        <w:szCs w:val="18"/>
                      </w:rPr>
                    </w:pPr>
                  </w:p>
                </w:tc>
                <w:tc>
                  <w:tcPr>
                    <w:tcW w:w="1275" w:type="dxa"/>
                  </w:tcPr>
                  <w:p w14:paraId="769231FC" w14:textId="77777777" w:rsidR="00471D53" w:rsidRDefault="00B664AF">
                    <w:pPr>
                      <w:jc w:val="right"/>
                      <w:rPr>
                        <w:sz w:val="18"/>
                        <w:szCs w:val="18"/>
                      </w:rPr>
                    </w:pPr>
                  </w:p>
                </w:tc>
                <w:tc>
                  <w:tcPr>
                    <w:tcW w:w="1546" w:type="dxa"/>
                  </w:tcPr>
                  <w:p w14:paraId="61947EEA" w14:textId="77777777" w:rsidR="00471D53" w:rsidRDefault="00B664AF">
                    <w:pPr>
                      <w:jc w:val="right"/>
                      <w:rPr>
                        <w:sz w:val="18"/>
                        <w:szCs w:val="18"/>
                      </w:rPr>
                    </w:pPr>
                  </w:p>
                </w:tc>
              </w:tr>
              <w:tr w:rsidR="001279EE" w14:paraId="47DDC2FC" w14:textId="77777777" w:rsidTr="001279EE">
                <w:trPr>
                  <w:trHeight w:val="20"/>
                </w:trPr>
                <w:sdt>
                  <w:sdtPr>
                    <w:tag w:val="_PLD_a5c6789730e84b389ee95f39091419a8"/>
                    <w:id w:val="-1777784152"/>
                    <w:lock w:val="sdtLocked"/>
                  </w:sdtPr>
                  <w:sdtEndPr/>
                  <w:sdtContent>
                    <w:tc>
                      <w:tcPr>
                        <w:tcW w:w="2394" w:type="dxa"/>
                      </w:tcPr>
                      <w:p w14:paraId="5C246184" w14:textId="77777777" w:rsidR="00471D53" w:rsidRDefault="004F686E">
                        <w:pPr>
                          <w:rPr>
                            <w:sz w:val="18"/>
                            <w:szCs w:val="18"/>
                          </w:rPr>
                        </w:pPr>
                        <w:r>
                          <w:rPr>
                            <w:rFonts w:hint="eastAsia"/>
                            <w:sz w:val="18"/>
                            <w:szCs w:val="18"/>
                          </w:rPr>
                          <w:t>3</w:t>
                        </w:r>
                        <w:r>
                          <w:rPr>
                            <w:sz w:val="18"/>
                            <w:szCs w:val="18"/>
                          </w:rPr>
                          <w:t>．其他</w:t>
                        </w:r>
                      </w:p>
                    </w:tc>
                  </w:sdtContent>
                </w:sdt>
                <w:tc>
                  <w:tcPr>
                    <w:tcW w:w="1318" w:type="dxa"/>
                    <w:tcBorders>
                      <w:right w:val="single" w:sz="4" w:space="0" w:color="auto"/>
                    </w:tcBorders>
                  </w:tcPr>
                  <w:p w14:paraId="28419A8B" w14:textId="77777777" w:rsidR="00471D53" w:rsidRDefault="00B664AF">
                    <w:pPr>
                      <w:jc w:val="right"/>
                      <w:rPr>
                        <w:sz w:val="18"/>
                        <w:szCs w:val="18"/>
                      </w:rPr>
                    </w:pPr>
                  </w:p>
                </w:tc>
                <w:tc>
                  <w:tcPr>
                    <w:tcW w:w="850" w:type="dxa"/>
                    <w:tcBorders>
                      <w:left w:val="single" w:sz="4" w:space="0" w:color="auto"/>
                      <w:right w:val="single" w:sz="4" w:space="0" w:color="auto"/>
                    </w:tcBorders>
                  </w:tcPr>
                  <w:p w14:paraId="77D288E1" w14:textId="77777777" w:rsidR="00471D53" w:rsidRDefault="00B664AF">
                    <w:pPr>
                      <w:jc w:val="right"/>
                      <w:rPr>
                        <w:sz w:val="18"/>
                        <w:szCs w:val="18"/>
                      </w:rPr>
                    </w:pPr>
                  </w:p>
                </w:tc>
                <w:tc>
                  <w:tcPr>
                    <w:tcW w:w="851" w:type="dxa"/>
                    <w:tcBorders>
                      <w:left w:val="single" w:sz="4" w:space="0" w:color="auto"/>
                      <w:right w:val="single" w:sz="4" w:space="0" w:color="auto"/>
                    </w:tcBorders>
                  </w:tcPr>
                  <w:p w14:paraId="62DA1D64" w14:textId="77777777" w:rsidR="00471D53" w:rsidRDefault="00B664AF">
                    <w:pPr>
                      <w:jc w:val="right"/>
                      <w:rPr>
                        <w:sz w:val="18"/>
                        <w:szCs w:val="18"/>
                      </w:rPr>
                    </w:pPr>
                  </w:p>
                </w:tc>
                <w:tc>
                  <w:tcPr>
                    <w:tcW w:w="708" w:type="dxa"/>
                    <w:tcBorders>
                      <w:left w:val="single" w:sz="4" w:space="0" w:color="auto"/>
                    </w:tcBorders>
                  </w:tcPr>
                  <w:p w14:paraId="64A676B1" w14:textId="77777777" w:rsidR="00471D53" w:rsidRDefault="00B664AF">
                    <w:pPr>
                      <w:jc w:val="right"/>
                      <w:rPr>
                        <w:sz w:val="18"/>
                        <w:szCs w:val="18"/>
                      </w:rPr>
                    </w:pPr>
                  </w:p>
                </w:tc>
                <w:tc>
                  <w:tcPr>
                    <w:tcW w:w="1276" w:type="dxa"/>
                  </w:tcPr>
                  <w:p w14:paraId="61245DAF" w14:textId="77777777" w:rsidR="00471D53" w:rsidRDefault="00B664AF">
                    <w:pPr>
                      <w:jc w:val="right"/>
                      <w:rPr>
                        <w:sz w:val="18"/>
                        <w:szCs w:val="18"/>
                      </w:rPr>
                    </w:pPr>
                  </w:p>
                </w:tc>
                <w:tc>
                  <w:tcPr>
                    <w:tcW w:w="851" w:type="dxa"/>
                  </w:tcPr>
                  <w:p w14:paraId="4B2AE64E" w14:textId="77777777" w:rsidR="00471D53" w:rsidRDefault="00B664AF">
                    <w:pPr>
                      <w:jc w:val="right"/>
                      <w:rPr>
                        <w:sz w:val="18"/>
                        <w:szCs w:val="18"/>
                      </w:rPr>
                    </w:pPr>
                  </w:p>
                </w:tc>
                <w:tc>
                  <w:tcPr>
                    <w:tcW w:w="850" w:type="dxa"/>
                  </w:tcPr>
                  <w:p w14:paraId="47D20F1C" w14:textId="77777777" w:rsidR="00471D53" w:rsidRDefault="00B664AF">
                    <w:pPr>
                      <w:jc w:val="right"/>
                      <w:rPr>
                        <w:sz w:val="18"/>
                        <w:szCs w:val="18"/>
                      </w:rPr>
                    </w:pPr>
                  </w:p>
                </w:tc>
                <w:tc>
                  <w:tcPr>
                    <w:tcW w:w="709" w:type="dxa"/>
                  </w:tcPr>
                  <w:p w14:paraId="609A77AB" w14:textId="77777777" w:rsidR="00471D53" w:rsidRDefault="00B664AF">
                    <w:pPr>
                      <w:jc w:val="right"/>
                      <w:rPr>
                        <w:sz w:val="18"/>
                        <w:szCs w:val="18"/>
                      </w:rPr>
                    </w:pPr>
                  </w:p>
                </w:tc>
                <w:tc>
                  <w:tcPr>
                    <w:tcW w:w="1276" w:type="dxa"/>
                  </w:tcPr>
                  <w:p w14:paraId="20EDB470" w14:textId="77777777" w:rsidR="00471D53" w:rsidRDefault="00B664AF">
                    <w:pPr>
                      <w:jc w:val="right"/>
                      <w:rPr>
                        <w:sz w:val="18"/>
                        <w:szCs w:val="18"/>
                      </w:rPr>
                    </w:pPr>
                  </w:p>
                </w:tc>
                <w:tc>
                  <w:tcPr>
                    <w:tcW w:w="1275" w:type="dxa"/>
                  </w:tcPr>
                  <w:p w14:paraId="5A2FF3F1" w14:textId="77777777" w:rsidR="00471D53" w:rsidRDefault="00B664AF">
                    <w:pPr>
                      <w:jc w:val="right"/>
                      <w:rPr>
                        <w:sz w:val="18"/>
                        <w:szCs w:val="18"/>
                      </w:rPr>
                    </w:pPr>
                  </w:p>
                </w:tc>
                <w:tc>
                  <w:tcPr>
                    <w:tcW w:w="1546" w:type="dxa"/>
                  </w:tcPr>
                  <w:p w14:paraId="7CAE5AC9" w14:textId="77777777" w:rsidR="00471D53" w:rsidRDefault="00B664AF">
                    <w:pPr>
                      <w:jc w:val="right"/>
                      <w:rPr>
                        <w:sz w:val="18"/>
                        <w:szCs w:val="18"/>
                      </w:rPr>
                    </w:pPr>
                  </w:p>
                </w:tc>
              </w:tr>
              <w:tr w:rsidR="001279EE" w14:paraId="309F07D2" w14:textId="77777777" w:rsidTr="001279EE">
                <w:trPr>
                  <w:trHeight w:val="20"/>
                </w:trPr>
                <w:sdt>
                  <w:sdtPr>
                    <w:tag w:val="_PLD_9c529a92f12642ed93c3ac5d7c5ef52b"/>
                    <w:id w:val="-841005943"/>
                    <w:lock w:val="sdtLocked"/>
                  </w:sdtPr>
                  <w:sdtEndPr/>
                  <w:sdtContent>
                    <w:tc>
                      <w:tcPr>
                        <w:tcW w:w="2394" w:type="dxa"/>
                      </w:tcPr>
                      <w:p w14:paraId="218E2207" w14:textId="77777777" w:rsidR="00471D53" w:rsidRDefault="004F686E">
                        <w:pPr>
                          <w:rPr>
                            <w:sz w:val="18"/>
                            <w:szCs w:val="18"/>
                          </w:rPr>
                        </w:pPr>
                        <w:r>
                          <w:rPr>
                            <w:sz w:val="18"/>
                            <w:szCs w:val="18"/>
                          </w:rPr>
                          <w:t>（</w:t>
                        </w:r>
                        <w:r>
                          <w:rPr>
                            <w:rFonts w:hint="eastAsia"/>
                            <w:sz w:val="18"/>
                            <w:szCs w:val="18"/>
                          </w:rPr>
                          <w:t>四</w:t>
                        </w:r>
                        <w:r>
                          <w:rPr>
                            <w:sz w:val="18"/>
                            <w:szCs w:val="18"/>
                          </w:rPr>
                          <w:t>）所有者权益内部结转</w:t>
                        </w:r>
                      </w:p>
                    </w:tc>
                  </w:sdtContent>
                </w:sdt>
                <w:tc>
                  <w:tcPr>
                    <w:tcW w:w="1318" w:type="dxa"/>
                    <w:tcBorders>
                      <w:right w:val="single" w:sz="4" w:space="0" w:color="auto"/>
                    </w:tcBorders>
                  </w:tcPr>
                  <w:p w14:paraId="3F268554" w14:textId="77777777" w:rsidR="00471D53" w:rsidRDefault="00B664AF">
                    <w:pPr>
                      <w:jc w:val="right"/>
                      <w:rPr>
                        <w:sz w:val="18"/>
                        <w:szCs w:val="18"/>
                      </w:rPr>
                    </w:pPr>
                  </w:p>
                </w:tc>
                <w:tc>
                  <w:tcPr>
                    <w:tcW w:w="850" w:type="dxa"/>
                    <w:tcBorders>
                      <w:left w:val="single" w:sz="4" w:space="0" w:color="auto"/>
                      <w:right w:val="single" w:sz="4" w:space="0" w:color="auto"/>
                    </w:tcBorders>
                  </w:tcPr>
                  <w:p w14:paraId="43D5B1EB" w14:textId="77777777" w:rsidR="00471D53" w:rsidRDefault="00B664AF">
                    <w:pPr>
                      <w:jc w:val="right"/>
                      <w:rPr>
                        <w:sz w:val="18"/>
                        <w:szCs w:val="18"/>
                      </w:rPr>
                    </w:pPr>
                  </w:p>
                </w:tc>
                <w:tc>
                  <w:tcPr>
                    <w:tcW w:w="851" w:type="dxa"/>
                    <w:tcBorders>
                      <w:left w:val="single" w:sz="4" w:space="0" w:color="auto"/>
                      <w:right w:val="single" w:sz="4" w:space="0" w:color="auto"/>
                    </w:tcBorders>
                  </w:tcPr>
                  <w:p w14:paraId="78176C5E" w14:textId="77777777" w:rsidR="00471D53" w:rsidRDefault="00B664AF">
                    <w:pPr>
                      <w:jc w:val="right"/>
                      <w:rPr>
                        <w:sz w:val="18"/>
                        <w:szCs w:val="18"/>
                      </w:rPr>
                    </w:pPr>
                  </w:p>
                </w:tc>
                <w:tc>
                  <w:tcPr>
                    <w:tcW w:w="708" w:type="dxa"/>
                    <w:tcBorders>
                      <w:left w:val="single" w:sz="4" w:space="0" w:color="auto"/>
                    </w:tcBorders>
                  </w:tcPr>
                  <w:p w14:paraId="35A556D9" w14:textId="77777777" w:rsidR="00471D53" w:rsidRDefault="00B664AF">
                    <w:pPr>
                      <w:jc w:val="right"/>
                      <w:rPr>
                        <w:sz w:val="18"/>
                        <w:szCs w:val="18"/>
                      </w:rPr>
                    </w:pPr>
                  </w:p>
                </w:tc>
                <w:tc>
                  <w:tcPr>
                    <w:tcW w:w="1276" w:type="dxa"/>
                  </w:tcPr>
                  <w:p w14:paraId="230190AF" w14:textId="77777777" w:rsidR="00471D53" w:rsidRDefault="00B664AF">
                    <w:pPr>
                      <w:jc w:val="right"/>
                      <w:rPr>
                        <w:sz w:val="18"/>
                        <w:szCs w:val="18"/>
                      </w:rPr>
                    </w:pPr>
                  </w:p>
                </w:tc>
                <w:tc>
                  <w:tcPr>
                    <w:tcW w:w="851" w:type="dxa"/>
                  </w:tcPr>
                  <w:p w14:paraId="0E1858DA" w14:textId="77777777" w:rsidR="00471D53" w:rsidRDefault="00B664AF">
                    <w:pPr>
                      <w:jc w:val="right"/>
                      <w:rPr>
                        <w:sz w:val="18"/>
                        <w:szCs w:val="18"/>
                      </w:rPr>
                    </w:pPr>
                  </w:p>
                </w:tc>
                <w:tc>
                  <w:tcPr>
                    <w:tcW w:w="850" w:type="dxa"/>
                  </w:tcPr>
                  <w:p w14:paraId="57155D6A" w14:textId="77777777" w:rsidR="00471D53" w:rsidRDefault="00B664AF">
                    <w:pPr>
                      <w:jc w:val="right"/>
                      <w:rPr>
                        <w:sz w:val="18"/>
                        <w:szCs w:val="18"/>
                      </w:rPr>
                    </w:pPr>
                  </w:p>
                </w:tc>
                <w:tc>
                  <w:tcPr>
                    <w:tcW w:w="709" w:type="dxa"/>
                  </w:tcPr>
                  <w:p w14:paraId="69AD8A84" w14:textId="77777777" w:rsidR="00471D53" w:rsidRDefault="00B664AF">
                    <w:pPr>
                      <w:jc w:val="right"/>
                      <w:rPr>
                        <w:sz w:val="18"/>
                        <w:szCs w:val="18"/>
                      </w:rPr>
                    </w:pPr>
                  </w:p>
                </w:tc>
                <w:tc>
                  <w:tcPr>
                    <w:tcW w:w="1276" w:type="dxa"/>
                  </w:tcPr>
                  <w:p w14:paraId="41A7D015" w14:textId="77777777" w:rsidR="00471D53" w:rsidRDefault="00B664AF">
                    <w:pPr>
                      <w:jc w:val="right"/>
                      <w:rPr>
                        <w:sz w:val="18"/>
                        <w:szCs w:val="18"/>
                      </w:rPr>
                    </w:pPr>
                  </w:p>
                </w:tc>
                <w:tc>
                  <w:tcPr>
                    <w:tcW w:w="1275" w:type="dxa"/>
                  </w:tcPr>
                  <w:p w14:paraId="5DE67F35" w14:textId="77777777" w:rsidR="00471D53" w:rsidRDefault="00B664AF">
                    <w:pPr>
                      <w:jc w:val="right"/>
                      <w:rPr>
                        <w:sz w:val="18"/>
                        <w:szCs w:val="18"/>
                      </w:rPr>
                    </w:pPr>
                  </w:p>
                </w:tc>
                <w:tc>
                  <w:tcPr>
                    <w:tcW w:w="1546" w:type="dxa"/>
                  </w:tcPr>
                  <w:p w14:paraId="6EAAFC54" w14:textId="77777777" w:rsidR="00471D53" w:rsidRDefault="00B664AF">
                    <w:pPr>
                      <w:jc w:val="right"/>
                      <w:rPr>
                        <w:sz w:val="18"/>
                        <w:szCs w:val="18"/>
                      </w:rPr>
                    </w:pPr>
                  </w:p>
                </w:tc>
              </w:tr>
              <w:tr w:rsidR="001279EE" w14:paraId="76AE1DAF" w14:textId="77777777" w:rsidTr="001279EE">
                <w:trPr>
                  <w:trHeight w:val="20"/>
                </w:trPr>
                <w:sdt>
                  <w:sdtPr>
                    <w:tag w:val="_PLD_084a56709ef243f89e8f0aead886c10d"/>
                    <w:id w:val="-1958486749"/>
                    <w:lock w:val="sdtLocked"/>
                  </w:sdtPr>
                  <w:sdtEndPr/>
                  <w:sdtContent>
                    <w:tc>
                      <w:tcPr>
                        <w:tcW w:w="2394" w:type="dxa"/>
                      </w:tcPr>
                      <w:p w14:paraId="5FFBCCF1" w14:textId="77777777" w:rsidR="00471D53" w:rsidRDefault="004F686E">
                        <w:pPr>
                          <w:rPr>
                            <w:sz w:val="18"/>
                            <w:szCs w:val="18"/>
                          </w:rPr>
                        </w:pPr>
                        <w:r>
                          <w:rPr>
                            <w:sz w:val="18"/>
                            <w:szCs w:val="18"/>
                          </w:rPr>
                          <w:t>1．资本公积转增资本（或股本）</w:t>
                        </w:r>
                      </w:p>
                    </w:tc>
                  </w:sdtContent>
                </w:sdt>
                <w:tc>
                  <w:tcPr>
                    <w:tcW w:w="1318" w:type="dxa"/>
                    <w:tcBorders>
                      <w:right w:val="single" w:sz="4" w:space="0" w:color="auto"/>
                    </w:tcBorders>
                  </w:tcPr>
                  <w:p w14:paraId="00A9A974" w14:textId="77777777" w:rsidR="00471D53" w:rsidRDefault="00B664AF">
                    <w:pPr>
                      <w:jc w:val="right"/>
                      <w:rPr>
                        <w:sz w:val="18"/>
                        <w:szCs w:val="18"/>
                      </w:rPr>
                    </w:pPr>
                  </w:p>
                </w:tc>
                <w:tc>
                  <w:tcPr>
                    <w:tcW w:w="850" w:type="dxa"/>
                    <w:tcBorders>
                      <w:left w:val="single" w:sz="4" w:space="0" w:color="auto"/>
                      <w:right w:val="single" w:sz="4" w:space="0" w:color="auto"/>
                    </w:tcBorders>
                  </w:tcPr>
                  <w:p w14:paraId="07D665F1" w14:textId="77777777" w:rsidR="00471D53" w:rsidRDefault="00B664AF">
                    <w:pPr>
                      <w:jc w:val="right"/>
                      <w:rPr>
                        <w:sz w:val="18"/>
                        <w:szCs w:val="18"/>
                      </w:rPr>
                    </w:pPr>
                  </w:p>
                </w:tc>
                <w:tc>
                  <w:tcPr>
                    <w:tcW w:w="851" w:type="dxa"/>
                    <w:tcBorders>
                      <w:left w:val="single" w:sz="4" w:space="0" w:color="auto"/>
                      <w:right w:val="single" w:sz="4" w:space="0" w:color="auto"/>
                    </w:tcBorders>
                  </w:tcPr>
                  <w:p w14:paraId="471174C4" w14:textId="77777777" w:rsidR="00471D53" w:rsidRDefault="00B664AF">
                    <w:pPr>
                      <w:jc w:val="right"/>
                      <w:rPr>
                        <w:sz w:val="18"/>
                        <w:szCs w:val="18"/>
                      </w:rPr>
                    </w:pPr>
                  </w:p>
                </w:tc>
                <w:tc>
                  <w:tcPr>
                    <w:tcW w:w="708" w:type="dxa"/>
                    <w:tcBorders>
                      <w:left w:val="single" w:sz="4" w:space="0" w:color="auto"/>
                    </w:tcBorders>
                  </w:tcPr>
                  <w:p w14:paraId="03B95A9C" w14:textId="77777777" w:rsidR="00471D53" w:rsidRDefault="00B664AF">
                    <w:pPr>
                      <w:jc w:val="right"/>
                      <w:rPr>
                        <w:sz w:val="18"/>
                        <w:szCs w:val="18"/>
                      </w:rPr>
                    </w:pPr>
                  </w:p>
                </w:tc>
                <w:tc>
                  <w:tcPr>
                    <w:tcW w:w="1276" w:type="dxa"/>
                  </w:tcPr>
                  <w:p w14:paraId="78D5D4E8" w14:textId="77777777" w:rsidR="00471D53" w:rsidRDefault="00B664AF">
                    <w:pPr>
                      <w:jc w:val="right"/>
                      <w:rPr>
                        <w:sz w:val="18"/>
                        <w:szCs w:val="18"/>
                      </w:rPr>
                    </w:pPr>
                  </w:p>
                </w:tc>
                <w:tc>
                  <w:tcPr>
                    <w:tcW w:w="851" w:type="dxa"/>
                  </w:tcPr>
                  <w:p w14:paraId="3E55B800" w14:textId="77777777" w:rsidR="00471D53" w:rsidRDefault="00B664AF">
                    <w:pPr>
                      <w:jc w:val="right"/>
                      <w:rPr>
                        <w:sz w:val="18"/>
                        <w:szCs w:val="18"/>
                      </w:rPr>
                    </w:pPr>
                  </w:p>
                </w:tc>
                <w:tc>
                  <w:tcPr>
                    <w:tcW w:w="850" w:type="dxa"/>
                  </w:tcPr>
                  <w:p w14:paraId="7980AB3E" w14:textId="77777777" w:rsidR="00471D53" w:rsidRDefault="00B664AF">
                    <w:pPr>
                      <w:jc w:val="right"/>
                      <w:rPr>
                        <w:sz w:val="18"/>
                        <w:szCs w:val="18"/>
                      </w:rPr>
                    </w:pPr>
                  </w:p>
                </w:tc>
                <w:tc>
                  <w:tcPr>
                    <w:tcW w:w="709" w:type="dxa"/>
                  </w:tcPr>
                  <w:p w14:paraId="58366228" w14:textId="77777777" w:rsidR="00471D53" w:rsidRDefault="00B664AF">
                    <w:pPr>
                      <w:jc w:val="right"/>
                      <w:rPr>
                        <w:sz w:val="18"/>
                        <w:szCs w:val="18"/>
                      </w:rPr>
                    </w:pPr>
                  </w:p>
                </w:tc>
                <w:tc>
                  <w:tcPr>
                    <w:tcW w:w="1276" w:type="dxa"/>
                  </w:tcPr>
                  <w:p w14:paraId="39608374" w14:textId="77777777" w:rsidR="00471D53" w:rsidRDefault="00B664AF">
                    <w:pPr>
                      <w:jc w:val="right"/>
                      <w:rPr>
                        <w:sz w:val="18"/>
                        <w:szCs w:val="18"/>
                      </w:rPr>
                    </w:pPr>
                  </w:p>
                </w:tc>
                <w:tc>
                  <w:tcPr>
                    <w:tcW w:w="1275" w:type="dxa"/>
                  </w:tcPr>
                  <w:p w14:paraId="469FDAB2" w14:textId="77777777" w:rsidR="00471D53" w:rsidRDefault="00B664AF">
                    <w:pPr>
                      <w:jc w:val="right"/>
                      <w:rPr>
                        <w:sz w:val="18"/>
                        <w:szCs w:val="18"/>
                      </w:rPr>
                    </w:pPr>
                  </w:p>
                </w:tc>
                <w:tc>
                  <w:tcPr>
                    <w:tcW w:w="1546" w:type="dxa"/>
                  </w:tcPr>
                  <w:p w14:paraId="7D95CB88" w14:textId="77777777" w:rsidR="00471D53" w:rsidRDefault="00B664AF">
                    <w:pPr>
                      <w:jc w:val="right"/>
                      <w:rPr>
                        <w:sz w:val="18"/>
                        <w:szCs w:val="18"/>
                      </w:rPr>
                    </w:pPr>
                  </w:p>
                </w:tc>
              </w:tr>
              <w:tr w:rsidR="001279EE" w14:paraId="45CBA42A" w14:textId="77777777" w:rsidTr="001279EE">
                <w:trPr>
                  <w:trHeight w:val="20"/>
                </w:trPr>
                <w:sdt>
                  <w:sdtPr>
                    <w:tag w:val="_PLD_22df50d156334ad9a740cc6d62e17f0b"/>
                    <w:id w:val="-357423720"/>
                    <w:lock w:val="sdtLocked"/>
                  </w:sdtPr>
                  <w:sdtEndPr/>
                  <w:sdtContent>
                    <w:tc>
                      <w:tcPr>
                        <w:tcW w:w="2394" w:type="dxa"/>
                      </w:tcPr>
                      <w:p w14:paraId="10B5B764" w14:textId="77777777" w:rsidR="00471D53" w:rsidRDefault="004F686E">
                        <w:pPr>
                          <w:rPr>
                            <w:sz w:val="18"/>
                            <w:szCs w:val="18"/>
                          </w:rPr>
                        </w:pPr>
                        <w:r>
                          <w:rPr>
                            <w:sz w:val="18"/>
                            <w:szCs w:val="18"/>
                          </w:rPr>
                          <w:t>2．盈余公积转增资本（或股本）</w:t>
                        </w:r>
                      </w:p>
                    </w:tc>
                  </w:sdtContent>
                </w:sdt>
                <w:tc>
                  <w:tcPr>
                    <w:tcW w:w="1318" w:type="dxa"/>
                    <w:tcBorders>
                      <w:right w:val="single" w:sz="4" w:space="0" w:color="auto"/>
                    </w:tcBorders>
                  </w:tcPr>
                  <w:p w14:paraId="00E14C90" w14:textId="77777777" w:rsidR="00471D53" w:rsidRDefault="00B664AF">
                    <w:pPr>
                      <w:jc w:val="right"/>
                      <w:rPr>
                        <w:sz w:val="18"/>
                        <w:szCs w:val="18"/>
                      </w:rPr>
                    </w:pPr>
                  </w:p>
                </w:tc>
                <w:tc>
                  <w:tcPr>
                    <w:tcW w:w="850" w:type="dxa"/>
                    <w:tcBorders>
                      <w:left w:val="single" w:sz="4" w:space="0" w:color="auto"/>
                      <w:right w:val="single" w:sz="4" w:space="0" w:color="auto"/>
                    </w:tcBorders>
                  </w:tcPr>
                  <w:p w14:paraId="5E42D447" w14:textId="77777777" w:rsidR="00471D53" w:rsidRDefault="00B664AF">
                    <w:pPr>
                      <w:jc w:val="right"/>
                      <w:rPr>
                        <w:sz w:val="18"/>
                        <w:szCs w:val="18"/>
                      </w:rPr>
                    </w:pPr>
                  </w:p>
                </w:tc>
                <w:tc>
                  <w:tcPr>
                    <w:tcW w:w="851" w:type="dxa"/>
                    <w:tcBorders>
                      <w:left w:val="single" w:sz="4" w:space="0" w:color="auto"/>
                      <w:right w:val="single" w:sz="4" w:space="0" w:color="auto"/>
                    </w:tcBorders>
                  </w:tcPr>
                  <w:p w14:paraId="44D688D4" w14:textId="77777777" w:rsidR="00471D53" w:rsidRDefault="00B664AF">
                    <w:pPr>
                      <w:jc w:val="right"/>
                      <w:rPr>
                        <w:sz w:val="18"/>
                        <w:szCs w:val="18"/>
                      </w:rPr>
                    </w:pPr>
                  </w:p>
                </w:tc>
                <w:tc>
                  <w:tcPr>
                    <w:tcW w:w="708" w:type="dxa"/>
                    <w:tcBorders>
                      <w:left w:val="single" w:sz="4" w:space="0" w:color="auto"/>
                    </w:tcBorders>
                  </w:tcPr>
                  <w:p w14:paraId="754BF492" w14:textId="77777777" w:rsidR="00471D53" w:rsidRDefault="00B664AF">
                    <w:pPr>
                      <w:jc w:val="right"/>
                      <w:rPr>
                        <w:sz w:val="18"/>
                        <w:szCs w:val="18"/>
                      </w:rPr>
                    </w:pPr>
                  </w:p>
                </w:tc>
                <w:tc>
                  <w:tcPr>
                    <w:tcW w:w="1276" w:type="dxa"/>
                  </w:tcPr>
                  <w:p w14:paraId="7DF270C8" w14:textId="77777777" w:rsidR="00471D53" w:rsidRDefault="00B664AF">
                    <w:pPr>
                      <w:jc w:val="right"/>
                      <w:rPr>
                        <w:sz w:val="18"/>
                        <w:szCs w:val="18"/>
                      </w:rPr>
                    </w:pPr>
                  </w:p>
                </w:tc>
                <w:tc>
                  <w:tcPr>
                    <w:tcW w:w="851" w:type="dxa"/>
                  </w:tcPr>
                  <w:p w14:paraId="58DDB0A6" w14:textId="77777777" w:rsidR="00471D53" w:rsidRDefault="00B664AF">
                    <w:pPr>
                      <w:jc w:val="right"/>
                      <w:rPr>
                        <w:sz w:val="18"/>
                        <w:szCs w:val="18"/>
                      </w:rPr>
                    </w:pPr>
                  </w:p>
                </w:tc>
                <w:tc>
                  <w:tcPr>
                    <w:tcW w:w="850" w:type="dxa"/>
                  </w:tcPr>
                  <w:p w14:paraId="4BCEC438" w14:textId="77777777" w:rsidR="00471D53" w:rsidRDefault="00B664AF">
                    <w:pPr>
                      <w:jc w:val="right"/>
                      <w:rPr>
                        <w:sz w:val="18"/>
                        <w:szCs w:val="18"/>
                      </w:rPr>
                    </w:pPr>
                  </w:p>
                </w:tc>
                <w:tc>
                  <w:tcPr>
                    <w:tcW w:w="709" w:type="dxa"/>
                  </w:tcPr>
                  <w:p w14:paraId="564A721B" w14:textId="77777777" w:rsidR="00471D53" w:rsidRDefault="00B664AF">
                    <w:pPr>
                      <w:jc w:val="right"/>
                      <w:rPr>
                        <w:sz w:val="18"/>
                        <w:szCs w:val="18"/>
                      </w:rPr>
                    </w:pPr>
                  </w:p>
                </w:tc>
                <w:tc>
                  <w:tcPr>
                    <w:tcW w:w="1276" w:type="dxa"/>
                  </w:tcPr>
                  <w:p w14:paraId="010866E1" w14:textId="77777777" w:rsidR="00471D53" w:rsidRDefault="00B664AF">
                    <w:pPr>
                      <w:jc w:val="right"/>
                      <w:rPr>
                        <w:sz w:val="18"/>
                        <w:szCs w:val="18"/>
                      </w:rPr>
                    </w:pPr>
                  </w:p>
                </w:tc>
                <w:tc>
                  <w:tcPr>
                    <w:tcW w:w="1275" w:type="dxa"/>
                  </w:tcPr>
                  <w:p w14:paraId="3A5F7CE3" w14:textId="77777777" w:rsidR="00471D53" w:rsidRDefault="00B664AF">
                    <w:pPr>
                      <w:jc w:val="right"/>
                      <w:rPr>
                        <w:sz w:val="18"/>
                        <w:szCs w:val="18"/>
                      </w:rPr>
                    </w:pPr>
                  </w:p>
                </w:tc>
                <w:tc>
                  <w:tcPr>
                    <w:tcW w:w="1546" w:type="dxa"/>
                  </w:tcPr>
                  <w:p w14:paraId="7C46DE50" w14:textId="77777777" w:rsidR="00471D53" w:rsidRDefault="00B664AF">
                    <w:pPr>
                      <w:jc w:val="right"/>
                      <w:rPr>
                        <w:sz w:val="18"/>
                        <w:szCs w:val="18"/>
                      </w:rPr>
                    </w:pPr>
                  </w:p>
                </w:tc>
              </w:tr>
              <w:tr w:rsidR="001279EE" w14:paraId="098C5121" w14:textId="77777777" w:rsidTr="001279EE">
                <w:trPr>
                  <w:trHeight w:val="20"/>
                </w:trPr>
                <w:sdt>
                  <w:sdtPr>
                    <w:tag w:val="_PLD_4846580862224d1a9e17a9af1fe14d07"/>
                    <w:id w:val="-1736932098"/>
                    <w:lock w:val="sdtLocked"/>
                  </w:sdtPr>
                  <w:sdtEndPr/>
                  <w:sdtContent>
                    <w:tc>
                      <w:tcPr>
                        <w:tcW w:w="2394" w:type="dxa"/>
                      </w:tcPr>
                      <w:p w14:paraId="3065B7E6" w14:textId="77777777" w:rsidR="00471D53" w:rsidRDefault="004F686E">
                        <w:pPr>
                          <w:rPr>
                            <w:sz w:val="18"/>
                            <w:szCs w:val="18"/>
                          </w:rPr>
                        </w:pPr>
                        <w:r>
                          <w:rPr>
                            <w:sz w:val="18"/>
                            <w:szCs w:val="18"/>
                          </w:rPr>
                          <w:t>3．盈余公积弥补亏损</w:t>
                        </w:r>
                      </w:p>
                    </w:tc>
                  </w:sdtContent>
                </w:sdt>
                <w:tc>
                  <w:tcPr>
                    <w:tcW w:w="1318" w:type="dxa"/>
                    <w:tcBorders>
                      <w:right w:val="single" w:sz="4" w:space="0" w:color="auto"/>
                    </w:tcBorders>
                  </w:tcPr>
                  <w:p w14:paraId="479B5DD8" w14:textId="77777777" w:rsidR="00471D53" w:rsidRDefault="00B664AF">
                    <w:pPr>
                      <w:jc w:val="right"/>
                      <w:rPr>
                        <w:sz w:val="18"/>
                        <w:szCs w:val="18"/>
                      </w:rPr>
                    </w:pPr>
                  </w:p>
                </w:tc>
                <w:tc>
                  <w:tcPr>
                    <w:tcW w:w="850" w:type="dxa"/>
                    <w:tcBorders>
                      <w:left w:val="single" w:sz="4" w:space="0" w:color="auto"/>
                      <w:right w:val="single" w:sz="4" w:space="0" w:color="auto"/>
                    </w:tcBorders>
                  </w:tcPr>
                  <w:p w14:paraId="2E6C0535" w14:textId="77777777" w:rsidR="00471D53" w:rsidRDefault="00B664AF">
                    <w:pPr>
                      <w:jc w:val="right"/>
                      <w:rPr>
                        <w:sz w:val="18"/>
                        <w:szCs w:val="18"/>
                      </w:rPr>
                    </w:pPr>
                  </w:p>
                </w:tc>
                <w:tc>
                  <w:tcPr>
                    <w:tcW w:w="851" w:type="dxa"/>
                    <w:tcBorders>
                      <w:left w:val="single" w:sz="4" w:space="0" w:color="auto"/>
                      <w:right w:val="single" w:sz="4" w:space="0" w:color="auto"/>
                    </w:tcBorders>
                  </w:tcPr>
                  <w:p w14:paraId="01107EA6" w14:textId="77777777" w:rsidR="00471D53" w:rsidRDefault="00B664AF">
                    <w:pPr>
                      <w:jc w:val="right"/>
                      <w:rPr>
                        <w:sz w:val="18"/>
                        <w:szCs w:val="18"/>
                      </w:rPr>
                    </w:pPr>
                  </w:p>
                </w:tc>
                <w:tc>
                  <w:tcPr>
                    <w:tcW w:w="708" w:type="dxa"/>
                    <w:tcBorders>
                      <w:left w:val="single" w:sz="4" w:space="0" w:color="auto"/>
                    </w:tcBorders>
                  </w:tcPr>
                  <w:p w14:paraId="70D76937" w14:textId="77777777" w:rsidR="00471D53" w:rsidRDefault="00B664AF">
                    <w:pPr>
                      <w:jc w:val="right"/>
                      <w:rPr>
                        <w:sz w:val="18"/>
                        <w:szCs w:val="18"/>
                      </w:rPr>
                    </w:pPr>
                  </w:p>
                </w:tc>
                <w:tc>
                  <w:tcPr>
                    <w:tcW w:w="1276" w:type="dxa"/>
                  </w:tcPr>
                  <w:p w14:paraId="12EC44B1" w14:textId="77777777" w:rsidR="00471D53" w:rsidRDefault="00B664AF">
                    <w:pPr>
                      <w:jc w:val="right"/>
                      <w:rPr>
                        <w:sz w:val="18"/>
                        <w:szCs w:val="18"/>
                      </w:rPr>
                    </w:pPr>
                  </w:p>
                </w:tc>
                <w:tc>
                  <w:tcPr>
                    <w:tcW w:w="851" w:type="dxa"/>
                  </w:tcPr>
                  <w:p w14:paraId="0D13F3ED" w14:textId="77777777" w:rsidR="00471D53" w:rsidRDefault="00B664AF">
                    <w:pPr>
                      <w:jc w:val="right"/>
                      <w:rPr>
                        <w:sz w:val="18"/>
                        <w:szCs w:val="18"/>
                      </w:rPr>
                    </w:pPr>
                  </w:p>
                </w:tc>
                <w:tc>
                  <w:tcPr>
                    <w:tcW w:w="850" w:type="dxa"/>
                  </w:tcPr>
                  <w:p w14:paraId="5181725C" w14:textId="77777777" w:rsidR="00471D53" w:rsidRDefault="00B664AF">
                    <w:pPr>
                      <w:jc w:val="right"/>
                      <w:rPr>
                        <w:sz w:val="18"/>
                        <w:szCs w:val="18"/>
                      </w:rPr>
                    </w:pPr>
                  </w:p>
                </w:tc>
                <w:tc>
                  <w:tcPr>
                    <w:tcW w:w="709" w:type="dxa"/>
                  </w:tcPr>
                  <w:p w14:paraId="6E0D1427" w14:textId="77777777" w:rsidR="00471D53" w:rsidRDefault="00B664AF">
                    <w:pPr>
                      <w:jc w:val="right"/>
                      <w:rPr>
                        <w:sz w:val="18"/>
                        <w:szCs w:val="18"/>
                      </w:rPr>
                    </w:pPr>
                  </w:p>
                </w:tc>
                <w:tc>
                  <w:tcPr>
                    <w:tcW w:w="1276" w:type="dxa"/>
                  </w:tcPr>
                  <w:p w14:paraId="06CB091E" w14:textId="77777777" w:rsidR="00471D53" w:rsidRDefault="00B664AF">
                    <w:pPr>
                      <w:jc w:val="right"/>
                      <w:rPr>
                        <w:sz w:val="18"/>
                        <w:szCs w:val="18"/>
                      </w:rPr>
                    </w:pPr>
                  </w:p>
                </w:tc>
                <w:tc>
                  <w:tcPr>
                    <w:tcW w:w="1275" w:type="dxa"/>
                  </w:tcPr>
                  <w:p w14:paraId="36297B92" w14:textId="77777777" w:rsidR="00471D53" w:rsidRDefault="00B664AF">
                    <w:pPr>
                      <w:jc w:val="right"/>
                      <w:rPr>
                        <w:sz w:val="18"/>
                        <w:szCs w:val="18"/>
                      </w:rPr>
                    </w:pPr>
                  </w:p>
                </w:tc>
                <w:tc>
                  <w:tcPr>
                    <w:tcW w:w="1546" w:type="dxa"/>
                  </w:tcPr>
                  <w:p w14:paraId="7076684D" w14:textId="77777777" w:rsidR="00471D53" w:rsidRDefault="00B664AF">
                    <w:pPr>
                      <w:jc w:val="right"/>
                      <w:rPr>
                        <w:sz w:val="18"/>
                        <w:szCs w:val="18"/>
                      </w:rPr>
                    </w:pPr>
                  </w:p>
                </w:tc>
              </w:tr>
              <w:tr w:rsidR="001279EE" w14:paraId="6D19A4EB" w14:textId="77777777" w:rsidTr="001279EE">
                <w:trPr>
                  <w:trHeight w:val="20"/>
                </w:trPr>
                <w:tc>
                  <w:tcPr>
                    <w:tcW w:w="2394" w:type="dxa"/>
                  </w:tcPr>
                  <w:sdt>
                    <w:sdtPr>
                      <w:rPr>
                        <w:sz w:val="18"/>
                        <w:szCs w:val="18"/>
                      </w:rPr>
                      <w:tag w:val="_PLD_a2566358e2dc4d0b9e534ee13a2b1a26"/>
                      <w:id w:val="1949957249"/>
                      <w:lock w:val="sdtLocked"/>
                    </w:sdtPr>
                    <w:sdtEndPr/>
                    <w:sdtContent>
                      <w:p w14:paraId="67111BE7" w14:textId="77777777" w:rsidR="00471D53" w:rsidRDefault="004F686E">
                        <w:r>
                          <w:rPr>
                            <w:sz w:val="18"/>
                            <w:szCs w:val="18"/>
                          </w:rPr>
                          <w:t>4．设定受益计划变动额结转留存收益</w:t>
                        </w:r>
                      </w:p>
                    </w:sdtContent>
                  </w:sdt>
                </w:tc>
                <w:tc>
                  <w:tcPr>
                    <w:tcW w:w="1318" w:type="dxa"/>
                    <w:tcBorders>
                      <w:right w:val="single" w:sz="4" w:space="0" w:color="auto"/>
                    </w:tcBorders>
                  </w:tcPr>
                  <w:p w14:paraId="1B94097A" w14:textId="77777777" w:rsidR="00471D53" w:rsidRDefault="00B664AF">
                    <w:pPr>
                      <w:jc w:val="right"/>
                      <w:rPr>
                        <w:sz w:val="18"/>
                        <w:szCs w:val="18"/>
                      </w:rPr>
                    </w:pPr>
                  </w:p>
                </w:tc>
                <w:tc>
                  <w:tcPr>
                    <w:tcW w:w="850" w:type="dxa"/>
                    <w:tcBorders>
                      <w:left w:val="single" w:sz="4" w:space="0" w:color="auto"/>
                      <w:right w:val="single" w:sz="4" w:space="0" w:color="auto"/>
                    </w:tcBorders>
                  </w:tcPr>
                  <w:p w14:paraId="193C4359" w14:textId="77777777" w:rsidR="00471D53" w:rsidRDefault="00B664AF">
                    <w:pPr>
                      <w:jc w:val="right"/>
                      <w:rPr>
                        <w:sz w:val="18"/>
                        <w:szCs w:val="18"/>
                      </w:rPr>
                    </w:pPr>
                  </w:p>
                </w:tc>
                <w:tc>
                  <w:tcPr>
                    <w:tcW w:w="851" w:type="dxa"/>
                    <w:tcBorders>
                      <w:left w:val="single" w:sz="4" w:space="0" w:color="auto"/>
                      <w:right w:val="single" w:sz="4" w:space="0" w:color="auto"/>
                    </w:tcBorders>
                  </w:tcPr>
                  <w:p w14:paraId="37F05F63" w14:textId="77777777" w:rsidR="00471D53" w:rsidRDefault="00B664AF">
                    <w:pPr>
                      <w:jc w:val="right"/>
                      <w:rPr>
                        <w:sz w:val="18"/>
                        <w:szCs w:val="18"/>
                      </w:rPr>
                    </w:pPr>
                  </w:p>
                </w:tc>
                <w:tc>
                  <w:tcPr>
                    <w:tcW w:w="708" w:type="dxa"/>
                    <w:tcBorders>
                      <w:left w:val="single" w:sz="4" w:space="0" w:color="auto"/>
                    </w:tcBorders>
                  </w:tcPr>
                  <w:p w14:paraId="1B881955" w14:textId="77777777" w:rsidR="00471D53" w:rsidRDefault="00B664AF">
                    <w:pPr>
                      <w:jc w:val="right"/>
                      <w:rPr>
                        <w:sz w:val="18"/>
                        <w:szCs w:val="18"/>
                      </w:rPr>
                    </w:pPr>
                  </w:p>
                </w:tc>
                <w:tc>
                  <w:tcPr>
                    <w:tcW w:w="1276" w:type="dxa"/>
                  </w:tcPr>
                  <w:p w14:paraId="4F40867A" w14:textId="77777777" w:rsidR="00471D53" w:rsidRDefault="00B664AF">
                    <w:pPr>
                      <w:jc w:val="right"/>
                      <w:rPr>
                        <w:sz w:val="18"/>
                        <w:szCs w:val="18"/>
                      </w:rPr>
                    </w:pPr>
                  </w:p>
                </w:tc>
                <w:tc>
                  <w:tcPr>
                    <w:tcW w:w="851" w:type="dxa"/>
                  </w:tcPr>
                  <w:p w14:paraId="7973E3CA" w14:textId="77777777" w:rsidR="00471D53" w:rsidRDefault="00B664AF">
                    <w:pPr>
                      <w:jc w:val="right"/>
                      <w:rPr>
                        <w:sz w:val="18"/>
                        <w:szCs w:val="18"/>
                      </w:rPr>
                    </w:pPr>
                  </w:p>
                </w:tc>
                <w:tc>
                  <w:tcPr>
                    <w:tcW w:w="850" w:type="dxa"/>
                  </w:tcPr>
                  <w:p w14:paraId="6DF6A4AE" w14:textId="77777777" w:rsidR="00471D53" w:rsidRDefault="00B664AF">
                    <w:pPr>
                      <w:jc w:val="right"/>
                      <w:rPr>
                        <w:sz w:val="18"/>
                        <w:szCs w:val="18"/>
                      </w:rPr>
                    </w:pPr>
                  </w:p>
                </w:tc>
                <w:tc>
                  <w:tcPr>
                    <w:tcW w:w="709" w:type="dxa"/>
                  </w:tcPr>
                  <w:p w14:paraId="2A18A16C" w14:textId="77777777" w:rsidR="00471D53" w:rsidRDefault="00B664AF">
                    <w:pPr>
                      <w:jc w:val="right"/>
                      <w:rPr>
                        <w:sz w:val="18"/>
                        <w:szCs w:val="18"/>
                      </w:rPr>
                    </w:pPr>
                  </w:p>
                </w:tc>
                <w:tc>
                  <w:tcPr>
                    <w:tcW w:w="1276" w:type="dxa"/>
                  </w:tcPr>
                  <w:p w14:paraId="0DF5699B" w14:textId="77777777" w:rsidR="00471D53" w:rsidRDefault="00B664AF">
                    <w:pPr>
                      <w:jc w:val="right"/>
                      <w:rPr>
                        <w:sz w:val="18"/>
                        <w:szCs w:val="18"/>
                      </w:rPr>
                    </w:pPr>
                  </w:p>
                </w:tc>
                <w:tc>
                  <w:tcPr>
                    <w:tcW w:w="1275" w:type="dxa"/>
                  </w:tcPr>
                  <w:p w14:paraId="1AE109B8" w14:textId="77777777" w:rsidR="00471D53" w:rsidRDefault="00B664AF">
                    <w:pPr>
                      <w:jc w:val="right"/>
                      <w:rPr>
                        <w:sz w:val="18"/>
                        <w:szCs w:val="18"/>
                      </w:rPr>
                    </w:pPr>
                  </w:p>
                </w:tc>
                <w:tc>
                  <w:tcPr>
                    <w:tcW w:w="1546" w:type="dxa"/>
                  </w:tcPr>
                  <w:p w14:paraId="463EAA57" w14:textId="77777777" w:rsidR="00471D53" w:rsidRDefault="00B664AF">
                    <w:pPr>
                      <w:jc w:val="right"/>
                      <w:rPr>
                        <w:sz w:val="18"/>
                        <w:szCs w:val="18"/>
                      </w:rPr>
                    </w:pPr>
                  </w:p>
                </w:tc>
              </w:tr>
              <w:tr w:rsidR="001279EE" w14:paraId="4C62D834" w14:textId="77777777" w:rsidTr="001279EE">
                <w:trPr>
                  <w:trHeight w:val="20"/>
                </w:trPr>
                <w:tc>
                  <w:tcPr>
                    <w:tcW w:w="2394" w:type="dxa"/>
                  </w:tcPr>
                  <w:sdt>
                    <w:sdtPr>
                      <w:rPr>
                        <w:sz w:val="18"/>
                        <w:szCs w:val="18"/>
                      </w:rPr>
                      <w:tag w:val="_PLD_659907ea90ce4ac18323403c6e02efd1"/>
                      <w:id w:val="1283001900"/>
                      <w:lock w:val="sdtLocked"/>
                    </w:sdtPr>
                    <w:sdtEndPr/>
                    <w:sdtContent>
                      <w:p w14:paraId="0BD8B8FF" w14:textId="77777777" w:rsidR="00471D53" w:rsidRDefault="004F686E">
                        <w:pPr>
                          <w:rPr>
                            <w:sz w:val="18"/>
                            <w:szCs w:val="18"/>
                          </w:rPr>
                        </w:pPr>
                        <w:r>
                          <w:rPr>
                            <w:sz w:val="18"/>
                            <w:szCs w:val="18"/>
                          </w:rPr>
                          <w:t>5．其他综合收益结转留存收益</w:t>
                        </w:r>
                      </w:p>
                    </w:sdtContent>
                  </w:sdt>
                </w:tc>
                <w:tc>
                  <w:tcPr>
                    <w:tcW w:w="1318" w:type="dxa"/>
                    <w:tcBorders>
                      <w:right w:val="single" w:sz="4" w:space="0" w:color="auto"/>
                    </w:tcBorders>
                  </w:tcPr>
                  <w:p w14:paraId="5AF5C513" w14:textId="77777777" w:rsidR="00471D53" w:rsidRDefault="00B664AF">
                    <w:pPr>
                      <w:jc w:val="right"/>
                      <w:rPr>
                        <w:sz w:val="18"/>
                        <w:szCs w:val="18"/>
                      </w:rPr>
                    </w:pPr>
                  </w:p>
                </w:tc>
                <w:tc>
                  <w:tcPr>
                    <w:tcW w:w="850" w:type="dxa"/>
                    <w:tcBorders>
                      <w:left w:val="single" w:sz="4" w:space="0" w:color="auto"/>
                      <w:right w:val="single" w:sz="4" w:space="0" w:color="auto"/>
                    </w:tcBorders>
                  </w:tcPr>
                  <w:p w14:paraId="21965367" w14:textId="77777777" w:rsidR="00471D53" w:rsidRDefault="00B664AF">
                    <w:pPr>
                      <w:jc w:val="right"/>
                      <w:rPr>
                        <w:sz w:val="18"/>
                        <w:szCs w:val="18"/>
                      </w:rPr>
                    </w:pPr>
                  </w:p>
                </w:tc>
                <w:tc>
                  <w:tcPr>
                    <w:tcW w:w="851" w:type="dxa"/>
                    <w:tcBorders>
                      <w:left w:val="single" w:sz="4" w:space="0" w:color="auto"/>
                      <w:right w:val="single" w:sz="4" w:space="0" w:color="auto"/>
                    </w:tcBorders>
                  </w:tcPr>
                  <w:p w14:paraId="1F0A66AB" w14:textId="77777777" w:rsidR="00471D53" w:rsidRDefault="00B664AF">
                    <w:pPr>
                      <w:jc w:val="right"/>
                      <w:rPr>
                        <w:sz w:val="18"/>
                        <w:szCs w:val="18"/>
                      </w:rPr>
                    </w:pPr>
                  </w:p>
                </w:tc>
                <w:tc>
                  <w:tcPr>
                    <w:tcW w:w="708" w:type="dxa"/>
                    <w:tcBorders>
                      <w:left w:val="single" w:sz="4" w:space="0" w:color="auto"/>
                    </w:tcBorders>
                  </w:tcPr>
                  <w:p w14:paraId="6D117633" w14:textId="77777777" w:rsidR="00471D53" w:rsidRDefault="00B664AF">
                    <w:pPr>
                      <w:jc w:val="right"/>
                      <w:rPr>
                        <w:sz w:val="18"/>
                        <w:szCs w:val="18"/>
                      </w:rPr>
                    </w:pPr>
                  </w:p>
                </w:tc>
                <w:tc>
                  <w:tcPr>
                    <w:tcW w:w="1276" w:type="dxa"/>
                  </w:tcPr>
                  <w:p w14:paraId="51F078B0" w14:textId="77777777" w:rsidR="00471D53" w:rsidRDefault="00B664AF">
                    <w:pPr>
                      <w:jc w:val="right"/>
                      <w:rPr>
                        <w:sz w:val="18"/>
                        <w:szCs w:val="18"/>
                      </w:rPr>
                    </w:pPr>
                  </w:p>
                </w:tc>
                <w:tc>
                  <w:tcPr>
                    <w:tcW w:w="851" w:type="dxa"/>
                  </w:tcPr>
                  <w:p w14:paraId="1152E303" w14:textId="77777777" w:rsidR="00471D53" w:rsidRDefault="00B664AF">
                    <w:pPr>
                      <w:jc w:val="right"/>
                      <w:rPr>
                        <w:sz w:val="18"/>
                        <w:szCs w:val="18"/>
                      </w:rPr>
                    </w:pPr>
                  </w:p>
                </w:tc>
                <w:tc>
                  <w:tcPr>
                    <w:tcW w:w="850" w:type="dxa"/>
                  </w:tcPr>
                  <w:p w14:paraId="33DBB339" w14:textId="77777777" w:rsidR="00471D53" w:rsidRDefault="00B664AF">
                    <w:pPr>
                      <w:jc w:val="right"/>
                      <w:rPr>
                        <w:sz w:val="18"/>
                        <w:szCs w:val="18"/>
                      </w:rPr>
                    </w:pPr>
                  </w:p>
                </w:tc>
                <w:tc>
                  <w:tcPr>
                    <w:tcW w:w="709" w:type="dxa"/>
                  </w:tcPr>
                  <w:p w14:paraId="0E774FFA" w14:textId="77777777" w:rsidR="00471D53" w:rsidRDefault="00B664AF">
                    <w:pPr>
                      <w:jc w:val="right"/>
                      <w:rPr>
                        <w:sz w:val="18"/>
                        <w:szCs w:val="18"/>
                      </w:rPr>
                    </w:pPr>
                  </w:p>
                </w:tc>
                <w:tc>
                  <w:tcPr>
                    <w:tcW w:w="1276" w:type="dxa"/>
                  </w:tcPr>
                  <w:p w14:paraId="1243DB20" w14:textId="77777777" w:rsidR="00471D53" w:rsidRDefault="00B664AF">
                    <w:pPr>
                      <w:jc w:val="right"/>
                      <w:rPr>
                        <w:sz w:val="18"/>
                        <w:szCs w:val="18"/>
                      </w:rPr>
                    </w:pPr>
                  </w:p>
                </w:tc>
                <w:tc>
                  <w:tcPr>
                    <w:tcW w:w="1275" w:type="dxa"/>
                  </w:tcPr>
                  <w:p w14:paraId="503A2208" w14:textId="77777777" w:rsidR="00471D53" w:rsidRDefault="00B664AF">
                    <w:pPr>
                      <w:jc w:val="right"/>
                      <w:rPr>
                        <w:sz w:val="18"/>
                        <w:szCs w:val="18"/>
                      </w:rPr>
                    </w:pPr>
                  </w:p>
                </w:tc>
                <w:tc>
                  <w:tcPr>
                    <w:tcW w:w="1546" w:type="dxa"/>
                  </w:tcPr>
                  <w:p w14:paraId="61386AB7" w14:textId="77777777" w:rsidR="00471D53" w:rsidRDefault="00B664AF">
                    <w:pPr>
                      <w:jc w:val="right"/>
                      <w:rPr>
                        <w:sz w:val="18"/>
                        <w:szCs w:val="18"/>
                      </w:rPr>
                    </w:pPr>
                  </w:p>
                </w:tc>
              </w:tr>
              <w:tr w:rsidR="001279EE" w14:paraId="7331051A" w14:textId="77777777" w:rsidTr="001279EE">
                <w:trPr>
                  <w:trHeight w:val="20"/>
                </w:trPr>
                <w:tc>
                  <w:tcPr>
                    <w:tcW w:w="2394" w:type="dxa"/>
                  </w:tcPr>
                  <w:sdt>
                    <w:sdtPr>
                      <w:rPr>
                        <w:sz w:val="18"/>
                        <w:szCs w:val="18"/>
                      </w:rPr>
                      <w:tag w:val="_PLD_811577c623d04471a27af10d35119258"/>
                      <w:id w:val="-231776889"/>
                      <w:lock w:val="sdtLocked"/>
                    </w:sdtPr>
                    <w:sdtEndPr/>
                    <w:sdtContent>
                      <w:p w14:paraId="070D280C" w14:textId="77777777" w:rsidR="00471D53" w:rsidRDefault="004F686E">
                        <w:r>
                          <w:rPr>
                            <w:sz w:val="18"/>
                            <w:szCs w:val="18"/>
                          </w:rPr>
                          <w:t>6．其他</w:t>
                        </w:r>
                      </w:p>
                    </w:sdtContent>
                  </w:sdt>
                </w:tc>
                <w:tc>
                  <w:tcPr>
                    <w:tcW w:w="1318" w:type="dxa"/>
                    <w:tcBorders>
                      <w:right w:val="single" w:sz="4" w:space="0" w:color="auto"/>
                    </w:tcBorders>
                  </w:tcPr>
                  <w:p w14:paraId="1C0531DF" w14:textId="77777777" w:rsidR="00471D53" w:rsidRDefault="00B664AF">
                    <w:pPr>
                      <w:jc w:val="right"/>
                      <w:rPr>
                        <w:sz w:val="18"/>
                        <w:szCs w:val="18"/>
                      </w:rPr>
                    </w:pPr>
                  </w:p>
                </w:tc>
                <w:tc>
                  <w:tcPr>
                    <w:tcW w:w="850" w:type="dxa"/>
                    <w:tcBorders>
                      <w:left w:val="single" w:sz="4" w:space="0" w:color="auto"/>
                      <w:right w:val="single" w:sz="4" w:space="0" w:color="auto"/>
                    </w:tcBorders>
                  </w:tcPr>
                  <w:p w14:paraId="0E570916" w14:textId="77777777" w:rsidR="00471D53" w:rsidRDefault="00B664AF">
                    <w:pPr>
                      <w:jc w:val="right"/>
                      <w:rPr>
                        <w:sz w:val="18"/>
                        <w:szCs w:val="18"/>
                      </w:rPr>
                    </w:pPr>
                  </w:p>
                </w:tc>
                <w:tc>
                  <w:tcPr>
                    <w:tcW w:w="851" w:type="dxa"/>
                    <w:tcBorders>
                      <w:left w:val="single" w:sz="4" w:space="0" w:color="auto"/>
                      <w:right w:val="single" w:sz="4" w:space="0" w:color="auto"/>
                    </w:tcBorders>
                  </w:tcPr>
                  <w:p w14:paraId="3C045900" w14:textId="77777777" w:rsidR="00471D53" w:rsidRDefault="00B664AF">
                    <w:pPr>
                      <w:jc w:val="right"/>
                      <w:rPr>
                        <w:sz w:val="18"/>
                        <w:szCs w:val="18"/>
                      </w:rPr>
                    </w:pPr>
                  </w:p>
                </w:tc>
                <w:tc>
                  <w:tcPr>
                    <w:tcW w:w="708" w:type="dxa"/>
                    <w:tcBorders>
                      <w:left w:val="single" w:sz="4" w:space="0" w:color="auto"/>
                    </w:tcBorders>
                  </w:tcPr>
                  <w:p w14:paraId="0DD71DD5" w14:textId="77777777" w:rsidR="00471D53" w:rsidRDefault="00B664AF">
                    <w:pPr>
                      <w:jc w:val="right"/>
                      <w:rPr>
                        <w:sz w:val="18"/>
                        <w:szCs w:val="18"/>
                      </w:rPr>
                    </w:pPr>
                  </w:p>
                </w:tc>
                <w:tc>
                  <w:tcPr>
                    <w:tcW w:w="1276" w:type="dxa"/>
                  </w:tcPr>
                  <w:p w14:paraId="10A03D23" w14:textId="77777777" w:rsidR="00471D53" w:rsidRDefault="00B664AF">
                    <w:pPr>
                      <w:jc w:val="right"/>
                      <w:rPr>
                        <w:sz w:val="18"/>
                        <w:szCs w:val="18"/>
                      </w:rPr>
                    </w:pPr>
                  </w:p>
                </w:tc>
                <w:tc>
                  <w:tcPr>
                    <w:tcW w:w="851" w:type="dxa"/>
                  </w:tcPr>
                  <w:p w14:paraId="6E562980" w14:textId="77777777" w:rsidR="00471D53" w:rsidRDefault="00B664AF">
                    <w:pPr>
                      <w:jc w:val="right"/>
                      <w:rPr>
                        <w:sz w:val="18"/>
                        <w:szCs w:val="18"/>
                      </w:rPr>
                    </w:pPr>
                  </w:p>
                </w:tc>
                <w:tc>
                  <w:tcPr>
                    <w:tcW w:w="850" w:type="dxa"/>
                  </w:tcPr>
                  <w:p w14:paraId="7A82FFC5" w14:textId="77777777" w:rsidR="00471D53" w:rsidRDefault="00B664AF">
                    <w:pPr>
                      <w:jc w:val="right"/>
                      <w:rPr>
                        <w:sz w:val="18"/>
                        <w:szCs w:val="18"/>
                      </w:rPr>
                    </w:pPr>
                  </w:p>
                </w:tc>
                <w:tc>
                  <w:tcPr>
                    <w:tcW w:w="709" w:type="dxa"/>
                  </w:tcPr>
                  <w:p w14:paraId="0E9B148B" w14:textId="77777777" w:rsidR="00471D53" w:rsidRDefault="00B664AF">
                    <w:pPr>
                      <w:jc w:val="right"/>
                      <w:rPr>
                        <w:sz w:val="18"/>
                        <w:szCs w:val="18"/>
                      </w:rPr>
                    </w:pPr>
                  </w:p>
                </w:tc>
                <w:tc>
                  <w:tcPr>
                    <w:tcW w:w="1276" w:type="dxa"/>
                  </w:tcPr>
                  <w:p w14:paraId="6E6FC23B" w14:textId="77777777" w:rsidR="00471D53" w:rsidRDefault="00B664AF">
                    <w:pPr>
                      <w:jc w:val="right"/>
                      <w:rPr>
                        <w:sz w:val="18"/>
                        <w:szCs w:val="18"/>
                      </w:rPr>
                    </w:pPr>
                  </w:p>
                </w:tc>
                <w:tc>
                  <w:tcPr>
                    <w:tcW w:w="1275" w:type="dxa"/>
                  </w:tcPr>
                  <w:p w14:paraId="507B31F1" w14:textId="77777777" w:rsidR="00471D53" w:rsidRDefault="00B664AF">
                    <w:pPr>
                      <w:jc w:val="right"/>
                      <w:rPr>
                        <w:sz w:val="18"/>
                        <w:szCs w:val="18"/>
                      </w:rPr>
                    </w:pPr>
                  </w:p>
                </w:tc>
                <w:tc>
                  <w:tcPr>
                    <w:tcW w:w="1546" w:type="dxa"/>
                  </w:tcPr>
                  <w:p w14:paraId="2137C298" w14:textId="77777777" w:rsidR="00471D53" w:rsidRDefault="00B664AF">
                    <w:pPr>
                      <w:jc w:val="right"/>
                      <w:rPr>
                        <w:sz w:val="18"/>
                        <w:szCs w:val="18"/>
                      </w:rPr>
                    </w:pPr>
                  </w:p>
                </w:tc>
              </w:tr>
              <w:tr w:rsidR="001279EE" w14:paraId="5E193E67" w14:textId="77777777" w:rsidTr="001279EE">
                <w:trPr>
                  <w:trHeight w:val="20"/>
                </w:trPr>
                <w:sdt>
                  <w:sdtPr>
                    <w:tag w:val="_PLD_2a0b15de13474fe285b68b48e29b688f"/>
                    <w:id w:val="1679074949"/>
                    <w:lock w:val="sdtLocked"/>
                  </w:sdtPr>
                  <w:sdtEndPr/>
                  <w:sdtContent>
                    <w:tc>
                      <w:tcPr>
                        <w:tcW w:w="2394" w:type="dxa"/>
                        <w:vAlign w:val="center"/>
                      </w:tcPr>
                      <w:p w14:paraId="3A9DA604" w14:textId="77777777" w:rsidR="00471D53" w:rsidRDefault="004F686E">
                        <w:pPr>
                          <w:rPr>
                            <w:sz w:val="18"/>
                            <w:szCs w:val="18"/>
                          </w:rPr>
                        </w:pPr>
                        <w:r>
                          <w:rPr>
                            <w:rFonts w:hint="eastAsia"/>
                            <w:sz w:val="18"/>
                            <w:szCs w:val="18"/>
                          </w:rPr>
                          <w:t>（五）专项储备</w:t>
                        </w:r>
                      </w:p>
                    </w:tc>
                  </w:sdtContent>
                </w:sdt>
                <w:tc>
                  <w:tcPr>
                    <w:tcW w:w="1318" w:type="dxa"/>
                    <w:tcBorders>
                      <w:right w:val="single" w:sz="4" w:space="0" w:color="auto"/>
                    </w:tcBorders>
                  </w:tcPr>
                  <w:p w14:paraId="16DE59B9" w14:textId="77777777" w:rsidR="00471D53" w:rsidRDefault="00B664AF">
                    <w:pPr>
                      <w:jc w:val="right"/>
                      <w:rPr>
                        <w:sz w:val="18"/>
                        <w:szCs w:val="18"/>
                      </w:rPr>
                    </w:pPr>
                  </w:p>
                </w:tc>
                <w:tc>
                  <w:tcPr>
                    <w:tcW w:w="850" w:type="dxa"/>
                    <w:tcBorders>
                      <w:left w:val="single" w:sz="4" w:space="0" w:color="auto"/>
                      <w:right w:val="single" w:sz="4" w:space="0" w:color="auto"/>
                    </w:tcBorders>
                  </w:tcPr>
                  <w:p w14:paraId="6B24C281" w14:textId="77777777" w:rsidR="00471D53" w:rsidRDefault="00B664AF">
                    <w:pPr>
                      <w:jc w:val="right"/>
                      <w:rPr>
                        <w:sz w:val="18"/>
                        <w:szCs w:val="18"/>
                      </w:rPr>
                    </w:pPr>
                  </w:p>
                </w:tc>
                <w:tc>
                  <w:tcPr>
                    <w:tcW w:w="851" w:type="dxa"/>
                    <w:tcBorders>
                      <w:left w:val="single" w:sz="4" w:space="0" w:color="auto"/>
                      <w:right w:val="single" w:sz="4" w:space="0" w:color="auto"/>
                    </w:tcBorders>
                  </w:tcPr>
                  <w:p w14:paraId="7C46C6D2" w14:textId="77777777" w:rsidR="00471D53" w:rsidRDefault="00B664AF">
                    <w:pPr>
                      <w:jc w:val="right"/>
                      <w:rPr>
                        <w:sz w:val="18"/>
                        <w:szCs w:val="18"/>
                      </w:rPr>
                    </w:pPr>
                  </w:p>
                </w:tc>
                <w:tc>
                  <w:tcPr>
                    <w:tcW w:w="708" w:type="dxa"/>
                    <w:tcBorders>
                      <w:left w:val="single" w:sz="4" w:space="0" w:color="auto"/>
                    </w:tcBorders>
                  </w:tcPr>
                  <w:p w14:paraId="42465F26" w14:textId="77777777" w:rsidR="00471D53" w:rsidRDefault="00B664AF">
                    <w:pPr>
                      <w:jc w:val="right"/>
                      <w:rPr>
                        <w:sz w:val="18"/>
                        <w:szCs w:val="18"/>
                      </w:rPr>
                    </w:pPr>
                  </w:p>
                </w:tc>
                <w:tc>
                  <w:tcPr>
                    <w:tcW w:w="1276" w:type="dxa"/>
                  </w:tcPr>
                  <w:p w14:paraId="20BD0E32" w14:textId="77777777" w:rsidR="00471D53" w:rsidRDefault="00B664AF">
                    <w:pPr>
                      <w:jc w:val="right"/>
                      <w:rPr>
                        <w:sz w:val="18"/>
                        <w:szCs w:val="18"/>
                      </w:rPr>
                    </w:pPr>
                  </w:p>
                </w:tc>
                <w:tc>
                  <w:tcPr>
                    <w:tcW w:w="851" w:type="dxa"/>
                  </w:tcPr>
                  <w:p w14:paraId="0FD66264" w14:textId="77777777" w:rsidR="00471D53" w:rsidRDefault="00B664AF">
                    <w:pPr>
                      <w:jc w:val="right"/>
                      <w:rPr>
                        <w:sz w:val="18"/>
                        <w:szCs w:val="18"/>
                      </w:rPr>
                    </w:pPr>
                  </w:p>
                </w:tc>
                <w:tc>
                  <w:tcPr>
                    <w:tcW w:w="850" w:type="dxa"/>
                  </w:tcPr>
                  <w:p w14:paraId="2E896215" w14:textId="77777777" w:rsidR="00471D53" w:rsidRDefault="00B664AF">
                    <w:pPr>
                      <w:jc w:val="right"/>
                      <w:rPr>
                        <w:sz w:val="18"/>
                        <w:szCs w:val="18"/>
                      </w:rPr>
                    </w:pPr>
                  </w:p>
                </w:tc>
                <w:tc>
                  <w:tcPr>
                    <w:tcW w:w="709" w:type="dxa"/>
                  </w:tcPr>
                  <w:p w14:paraId="67848B9B" w14:textId="77777777" w:rsidR="00471D53" w:rsidRDefault="00B664AF">
                    <w:pPr>
                      <w:jc w:val="right"/>
                      <w:rPr>
                        <w:sz w:val="18"/>
                        <w:szCs w:val="18"/>
                      </w:rPr>
                    </w:pPr>
                  </w:p>
                </w:tc>
                <w:tc>
                  <w:tcPr>
                    <w:tcW w:w="1276" w:type="dxa"/>
                  </w:tcPr>
                  <w:p w14:paraId="62EC9A30" w14:textId="77777777" w:rsidR="00471D53" w:rsidRDefault="00B664AF">
                    <w:pPr>
                      <w:jc w:val="right"/>
                      <w:rPr>
                        <w:sz w:val="18"/>
                        <w:szCs w:val="18"/>
                      </w:rPr>
                    </w:pPr>
                  </w:p>
                </w:tc>
                <w:tc>
                  <w:tcPr>
                    <w:tcW w:w="1275" w:type="dxa"/>
                  </w:tcPr>
                  <w:p w14:paraId="29E41E52" w14:textId="77777777" w:rsidR="00471D53" w:rsidRDefault="00B664AF">
                    <w:pPr>
                      <w:jc w:val="right"/>
                      <w:rPr>
                        <w:sz w:val="18"/>
                        <w:szCs w:val="18"/>
                      </w:rPr>
                    </w:pPr>
                  </w:p>
                </w:tc>
                <w:tc>
                  <w:tcPr>
                    <w:tcW w:w="1546" w:type="dxa"/>
                  </w:tcPr>
                  <w:p w14:paraId="2F6C056F" w14:textId="77777777" w:rsidR="00471D53" w:rsidRDefault="00B664AF">
                    <w:pPr>
                      <w:jc w:val="right"/>
                      <w:rPr>
                        <w:sz w:val="18"/>
                        <w:szCs w:val="18"/>
                      </w:rPr>
                    </w:pPr>
                  </w:p>
                </w:tc>
              </w:tr>
              <w:tr w:rsidR="001279EE" w14:paraId="57E3261D" w14:textId="77777777" w:rsidTr="001279EE">
                <w:trPr>
                  <w:trHeight w:val="20"/>
                </w:trPr>
                <w:sdt>
                  <w:sdtPr>
                    <w:tag w:val="_PLD_8be2fdb078fc42cdaebf61e81ed6d67b"/>
                    <w:id w:val="-1825569747"/>
                    <w:lock w:val="sdtLocked"/>
                  </w:sdtPr>
                  <w:sdtEndPr/>
                  <w:sdtContent>
                    <w:tc>
                      <w:tcPr>
                        <w:tcW w:w="2394" w:type="dxa"/>
                        <w:vAlign w:val="center"/>
                      </w:tcPr>
                      <w:p w14:paraId="097BCF69" w14:textId="77777777" w:rsidR="00471D53" w:rsidRDefault="004F686E">
                        <w:pPr>
                          <w:rPr>
                            <w:sz w:val="18"/>
                            <w:szCs w:val="18"/>
                          </w:rPr>
                        </w:pPr>
                        <w:r>
                          <w:rPr>
                            <w:rFonts w:hint="eastAsia"/>
                            <w:sz w:val="18"/>
                            <w:szCs w:val="18"/>
                          </w:rPr>
                          <w:t>1．本期提取</w:t>
                        </w:r>
                      </w:p>
                    </w:tc>
                  </w:sdtContent>
                </w:sdt>
                <w:tc>
                  <w:tcPr>
                    <w:tcW w:w="1318" w:type="dxa"/>
                    <w:tcBorders>
                      <w:right w:val="single" w:sz="4" w:space="0" w:color="auto"/>
                    </w:tcBorders>
                  </w:tcPr>
                  <w:p w14:paraId="3106DC3E" w14:textId="77777777" w:rsidR="00471D53" w:rsidRDefault="00B664AF">
                    <w:pPr>
                      <w:jc w:val="right"/>
                      <w:rPr>
                        <w:sz w:val="18"/>
                        <w:szCs w:val="18"/>
                      </w:rPr>
                    </w:pPr>
                  </w:p>
                </w:tc>
                <w:tc>
                  <w:tcPr>
                    <w:tcW w:w="850" w:type="dxa"/>
                    <w:tcBorders>
                      <w:left w:val="single" w:sz="4" w:space="0" w:color="auto"/>
                      <w:right w:val="single" w:sz="4" w:space="0" w:color="auto"/>
                    </w:tcBorders>
                  </w:tcPr>
                  <w:p w14:paraId="6F3C1561" w14:textId="77777777" w:rsidR="00471D53" w:rsidRDefault="00B664AF">
                    <w:pPr>
                      <w:jc w:val="right"/>
                      <w:rPr>
                        <w:sz w:val="18"/>
                        <w:szCs w:val="18"/>
                      </w:rPr>
                    </w:pPr>
                  </w:p>
                </w:tc>
                <w:tc>
                  <w:tcPr>
                    <w:tcW w:w="851" w:type="dxa"/>
                    <w:tcBorders>
                      <w:left w:val="single" w:sz="4" w:space="0" w:color="auto"/>
                      <w:right w:val="single" w:sz="4" w:space="0" w:color="auto"/>
                    </w:tcBorders>
                  </w:tcPr>
                  <w:p w14:paraId="6F0D28CA" w14:textId="77777777" w:rsidR="00471D53" w:rsidRDefault="00B664AF">
                    <w:pPr>
                      <w:jc w:val="right"/>
                      <w:rPr>
                        <w:sz w:val="18"/>
                        <w:szCs w:val="18"/>
                      </w:rPr>
                    </w:pPr>
                  </w:p>
                </w:tc>
                <w:tc>
                  <w:tcPr>
                    <w:tcW w:w="708" w:type="dxa"/>
                    <w:tcBorders>
                      <w:left w:val="single" w:sz="4" w:space="0" w:color="auto"/>
                    </w:tcBorders>
                  </w:tcPr>
                  <w:p w14:paraId="66E2C5A4" w14:textId="77777777" w:rsidR="00471D53" w:rsidRDefault="00B664AF">
                    <w:pPr>
                      <w:jc w:val="right"/>
                      <w:rPr>
                        <w:sz w:val="18"/>
                        <w:szCs w:val="18"/>
                      </w:rPr>
                    </w:pPr>
                  </w:p>
                </w:tc>
                <w:tc>
                  <w:tcPr>
                    <w:tcW w:w="1276" w:type="dxa"/>
                  </w:tcPr>
                  <w:p w14:paraId="24C512F3" w14:textId="77777777" w:rsidR="00471D53" w:rsidRDefault="00B664AF">
                    <w:pPr>
                      <w:jc w:val="right"/>
                      <w:rPr>
                        <w:sz w:val="18"/>
                        <w:szCs w:val="18"/>
                      </w:rPr>
                    </w:pPr>
                  </w:p>
                </w:tc>
                <w:tc>
                  <w:tcPr>
                    <w:tcW w:w="851" w:type="dxa"/>
                  </w:tcPr>
                  <w:p w14:paraId="3774BD1C" w14:textId="77777777" w:rsidR="00471D53" w:rsidRDefault="00B664AF">
                    <w:pPr>
                      <w:jc w:val="right"/>
                      <w:rPr>
                        <w:sz w:val="18"/>
                        <w:szCs w:val="18"/>
                      </w:rPr>
                    </w:pPr>
                  </w:p>
                </w:tc>
                <w:tc>
                  <w:tcPr>
                    <w:tcW w:w="850" w:type="dxa"/>
                  </w:tcPr>
                  <w:p w14:paraId="1487A3EE" w14:textId="77777777" w:rsidR="00471D53" w:rsidRDefault="00B664AF">
                    <w:pPr>
                      <w:jc w:val="right"/>
                      <w:rPr>
                        <w:sz w:val="18"/>
                        <w:szCs w:val="18"/>
                      </w:rPr>
                    </w:pPr>
                  </w:p>
                </w:tc>
                <w:tc>
                  <w:tcPr>
                    <w:tcW w:w="709" w:type="dxa"/>
                  </w:tcPr>
                  <w:p w14:paraId="32A8A340" w14:textId="77777777" w:rsidR="00471D53" w:rsidRDefault="00B664AF">
                    <w:pPr>
                      <w:jc w:val="right"/>
                      <w:rPr>
                        <w:sz w:val="18"/>
                        <w:szCs w:val="18"/>
                      </w:rPr>
                    </w:pPr>
                  </w:p>
                </w:tc>
                <w:tc>
                  <w:tcPr>
                    <w:tcW w:w="1276" w:type="dxa"/>
                  </w:tcPr>
                  <w:p w14:paraId="0A8B9429" w14:textId="77777777" w:rsidR="00471D53" w:rsidRDefault="00B664AF">
                    <w:pPr>
                      <w:jc w:val="right"/>
                      <w:rPr>
                        <w:sz w:val="18"/>
                        <w:szCs w:val="18"/>
                      </w:rPr>
                    </w:pPr>
                  </w:p>
                </w:tc>
                <w:tc>
                  <w:tcPr>
                    <w:tcW w:w="1275" w:type="dxa"/>
                  </w:tcPr>
                  <w:p w14:paraId="27BFAE6E" w14:textId="77777777" w:rsidR="00471D53" w:rsidRDefault="00B664AF">
                    <w:pPr>
                      <w:jc w:val="right"/>
                      <w:rPr>
                        <w:sz w:val="18"/>
                        <w:szCs w:val="18"/>
                      </w:rPr>
                    </w:pPr>
                  </w:p>
                </w:tc>
                <w:tc>
                  <w:tcPr>
                    <w:tcW w:w="1546" w:type="dxa"/>
                  </w:tcPr>
                  <w:p w14:paraId="7F937B03" w14:textId="77777777" w:rsidR="00471D53" w:rsidRDefault="00B664AF">
                    <w:pPr>
                      <w:jc w:val="right"/>
                      <w:rPr>
                        <w:sz w:val="18"/>
                        <w:szCs w:val="18"/>
                      </w:rPr>
                    </w:pPr>
                  </w:p>
                </w:tc>
              </w:tr>
              <w:tr w:rsidR="001279EE" w14:paraId="7FCEB90B" w14:textId="77777777" w:rsidTr="001279EE">
                <w:trPr>
                  <w:trHeight w:val="20"/>
                </w:trPr>
                <w:sdt>
                  <w:sdtPr>
                    <w:tag w:val="_PLD_12344832238e442d9f64388fa2af60f1"/>
                    <w:id w:val="2034147070"/>
                    <w:lock w:val="sdtLocked"/>
                  </w:sdtPr>
                  <w:sdtEndPr/>
                  <w:sdtContent>
                    <w:tc>
                      <w:tcPr>
                        <w:tcW w:w="2394" w:type="dxa"/>
                        <w:vAlign w:val="center"/>
                      </w:tcPr>
                      <w:p w14:paraId="403A0279" w14:textId="77777777" w:rsidR="00471D53" w:rsidRDefault="004F686E">
                        <w:pPr>
                          <w:rPr>
                            <w:sz w:val="18"/>
                            <w:szCs w:val="18"/>
                          </w:rPr>
                        </w:pPr>
                        <w:r>
                          <w:rPr>
                            <w:rFonts w:hint="eastAsia"/>
                            <w:sz w:val="18"/>
                            <w:szCs w:val="18"/>
                          </w:rPr>
                          <w:t>2．本期使用</w:t>
                        </w:r>
                      </w:p>
                    </w:tc>
                  </w:sdtContent>
                </w:sdt>
                <w:tc>
                  <w:tcPr>
                    <w:tcW w:w="1318" w:type="dxa"/>
                    <w:tcBorders>
                      <w:right w:val="single" w:sz="4" w:space="0" w:color="auto"/>
                    </w:tcBorders>
                  </w:tcPr>
                  <w:p w14:paraId="13130328" w14:textId="77777777" w:rsidR="00471D53" w:rsidRDefault="00B664AF">
                    <w:pPr>
                      <w:jc w:val="right"/>
                      <w:rPr>
                        <w:sz w:val="18"/>
                        <w:szCs w:val="18"/>
                      </w:rPr>
                    </w:pPr>
                  </w:p>
                </w:tc>
                <w:tc>
                  <w:tcPr>
                    <w:tcW w:w="850" w:type="dxa"/>
                    <w:tcBorders>
                      <w:left w:val="single" w:sz="4" w:space="0" w:color="auto"/>
                      <w:right w:val="single" w:sz="4" w:space="0" w:color="auto"/>
                    </w:tcBorders>
                  </w:tcPr>
                  <w:p w14:paraId="5B6CCB67" w14:textId="77777777" w:rsidR="00471D53" w:rsidRDefault="00B664AF">
                    <w:pPr>
                      <w:jc w:val="right"/>
                      <w:rPr>
                        <w:sz w:val="18"/>
                        <w:szCs w:val="18"/>
                      </w:rPr>
                    </w:pPr>
                  </w:p>
                </w:tc>
                <w:tc>
                  <w:tcPr>
                    <w:tcW w:w="851" w:type="dxa"/>
                    <w:tcBorders>
                      <w:left w:val="single" w:sz="4" w:space="0" w:color="auto"/>
                      <w:right w:val="single" w:sz="4" w:space="0" w:color="auto"/>
                    </w:tcBorders>
                  </w:tcPr>
                  <w:p w14:paraId="77C41F42" w14:textId="77777777" w:rsidR="00471D53" w:rsidRDefault="00B664AF">
                    <w:pPr>
                      <w:jc w:val="right"/>
                      <w:rPr>
                        <w:sz w:val="18"/>
                        <w:szCs w:val="18"/>
                      </w:rPr>
                    </w:pPr>
                  </w:p>
                </w:tc>
                <w:tc>
                  <w:tcPr>
                    <w:tcW w:w="708" w:type="dxa"/>
                    <w:tcBorders>
                      <w:left w:val="single" w:sz="4" w:space="0" w:color="auto"/>
                    </w:tcBorders>
                  </w:tcPr>
                  <w:p w14:paraId="39F015F2" w14:textId="77777777" w:rsidR="00471D53" w:rsidRDefault="00B664AF">
                    <w:pPr>
                      <w:jc w:val="right"/>
                      <w:rPr>
                        <w:sz w:val="18"/>
                        <w:szCs w:val="18"/>
                      </w:rPr>
                    </w:pPr>
                  </w:p>
                </w:tc>
                <w:tc>
                  <w:tcPr>
                    <w:tcW w:w="1276" w:type="dxa"/>
                  </w:tcPr>
                  <w:p w14:paraId="4A86BF34" w14:textId="77777777" w:rsidR="00471D53" w:rsidRDefault="00B664AF">
                    <w:pPr>
                      <w:jc w:val="right"/>
                      <w:rPr>
                        <w:sz w:val="18"/>
                        <w:szCs w:val="18"/>
                      </w:rPr>
                    </w:pPr>
                  </w:p>
                </w:tc>
                <w:tc>
                  <w:tcPr>
                    <w:tcW w:w="851" w:type="dxa"/>
                  </w:tcPr>
                  <w:p w14:paraId="2E620303" w14:textId="77777777" w:rsidR="00471D53" w:rsidRDefault="00B664AF">
                    <w:pPr>
                      <w:jc w:val="right"/>
                      <w:rPr>
                        <w:sz w:val="18"/>
                        <w:szCs w:val="18"/>
                      </w:rPr>
                    </w:pPr>
                  </w:p>
                </w:tc>
                <w:tc>
                  <w:tcPr>
                    <w:tcW w:w="850" w:type="dxa"/>
                  </w:tcPr>
                  <w:p w14:paraId="011A4AC2" w14:textId="77777777" w:rsidR="00471D53" w:rsidRDefault="00B664AF">
                    <w:pPr>
                      <w:jc w:val="right"/>
                      <w:rPr>
                        <w:sz w:val="18"/>
                        <w:szCs w:val="18"/>
                      </w:rPr>
                    </w:pPr>
                  </w:p>
                </w:tc>
                <w:tc>
                  <w:tcPr>
                    <w:tcW w:w="709" w:type="dxa"/>
                  </w:tcPr>
                  <w:p w14:paraId="68B29E96" w14:textId="77777777" w:rsidR="00471D53" w:rsidRDefault="00B664AF">
                    <w:pPr>
                      <w:jc w:val="right"/>
                      <w:rPr>
                        <w:sz w:val="18"/>
                        <w:szCs w:val="18"/>
                      </w:rPr>
                    </w:pPr>
                  </w:p>
                </w:tc>
                <w:tc>
                  <w:tcPr>
                    <w:tcW w:w="1276" w:type="dxa"/>
                  </w:tcPr>
                  <w:p w14:paraId="277ABD7B" w14:textId="77777777" w:rsidR="00471D53" w:rsidRDefault="00B664AF">
                    <w:pPr>
                      <w:jc w:val="right"/>
                      <w:rPr>
                        <w:sz w:val="18"/>
                        <w:szCs w:val="18"/>
                      </w:rPr>
                    </w:pPr>
                  </w:p>
                </w:tc>
                <w:tc>
                  <w:tcPr>
                    <w:tcW w:w="1275" w:type="dxa"/>
                  </w:tcPr>
                  <w:p w14:paraId="2AC3E696" w14:textId="77777777" w:rsidR="00471D53" w:rsidRDefault="00B664AF">
                    <w:pPr>
                      <w:jc w:val="right"/>
                      <w:rPr>
                        <w:sz w:val="18"/>
                        <w:szCs w:val="18"/>
                      </w:rPr>
                    </w:pPr>
                  </w:p>
                </w:tc>
                <w:tc>
                  <w:tcPr>
                    <w:tcW w:w="1546" w:type="dxa"/>
                  </w:tcPr>
                  <w:p w14:paraId="3871C63C" w14:textId="77777777" w:rsidR="00471D53" w:rsidRDefault="00B664AF">
                    <w:pPr>
                      <w:jc w:val="right"/>
                      <w:rPr>
                        <w:sz w:val="18"/>
                        <w:szCs w:val="18"/>
                      </w:rPr>
                    </w:pPr>
                  </w:p>
                </w:tc>
              </w:tr>
              <w:tr w:rsidR="001279EE" w14:paraId="6CD2043D" w14:textId="77777777" w:rsidTr="001279EE">
                <w:trPr>
                  <w:trHeight w:val="20"/>
                </w:trPr>
                <w:sdt>
                  <w:sdtPr>
                    <w:tag w:val="_PLD_adc6cb0ad3a14129b7edac5f396c8fd5"/>
                    <w:id w:val="-881317650"/>
                    <w:lock w:val="sdtLocked"/>
                  </w:sdtPr>
                  <w:sdtEndPr/>
                  <w:sdtContent>
                    <w:tc>
                      <w:tcPr>
                        <w:tcW w:w="2394" w:type="dxa"/>
                      </w:tcPr>
                      <w:p w14:paraId="389DE59D" w14:textId="77777777" w:rsidR="00471D53" w:rsidRDefault="004F686E">
                        <w:pPr>
                          <w:rPr>
                            <w:sz w:val="18"/>
                            <w:szCs w:val="18"/>
                          </w:rPr>
                        </w:pPr>
                        <w:r>
                          <w:rPr>
                            <w:rFonts w:hint="eastAsia"/>
                            <w:sz w:val="18"/>
                            <w:szCs w:val="18"/>
                          </w:rPr>
                          <w:t>（六）其他</w:t>
                        </w:r>
                      </w:p>
                    </w:tc>
                  </w:sdtContent>
                </w:sdt>
                <w:tc>
                  <w:tcPr>
                    <w:tcW w:w="1318" w:type="dxa"/>
                    <w:tcBorders>
                      <w:right w:val="single" w:sz="4" w:space="0" w:color="auto"/>
                    </w:tcBorders>
                  </w:tcPr>
                  <w:p w14:paraId="7A87BB8F" w14:textId="77777777" w:rsidR="00471D53" w:rsidRDefault="00B664AF">
                    <w:pPr>
                      <w:jc w:val="right"/>
                      <w:rPr>
                        <w:sz w:val="18"/>
                        <w:szCs w:val="18"/>
                      </w:rPr>
                    </w:pPr>
                  </w:p>
                </w:tc>
                <w:tc>
                  <w:tcPr>
                    <w:tcW w:w="850" w:type="dxa"/>
                    <w:tcBorders>
                      <w:left w:val="single" w:sz="4" w:space="0" w:color="auto"/>
                      <w:right w:val="single" w:sz="4" w:space="0" w:color="auto"/>
                    </w:tcBorders>
                  </w:tcPr>
                  <w:p w14:paraId="44335908" w14:textId="77777777" w:rsidR="00471D53" w:rsidRDefault="00B664AF">
                    <w:pPr>
                      <w:jc w:val="right"/>
                      <w:rPr>
                        <w:sz w:val="18"/>
                        <w:szCs w:val="18"/>
                      </w:rPr>
                    </w:pPr>
                  </w:p>
                </w:tc>
                <w:tc>
                  <w:tcPr>
                    <w:tcW w:w="851" w:type="dxa"/>
                    <w:tcBorders>
                      <w:left w:val="single" w:sz="4" w:space="0" w:color="auto"/>
                      <w:right w:val="single" w:sz="4" w:space="0" w:color="auto"/>
                    </w:tcBorders>
                  </w:tcPr>
                  <w:p w14:paraId="00EB59F5" w14:textId="77777777" w:rsidR="00471D53" w:rsidRDefault="00B664AF">
                    <w:pPr>
                      <w:jc w:val="right"/>
                      <w:rPr>
                        <w:sz w:val="18"/>
                        <w:szCs w:val="18"/>
                      </w:rPr>
                    </w:pPr>
                  </w:p>
                </w:tc>
                <w:tc>
                  <w:tcPr>
                    <w:tcW w:w="708" w:type="dxa"/>
                    <w:tcBorders>
                      <w:left w:val="single" w:sz="4" w:space="0" w:color="auto"/>
                    </w:tcBorders>
                  </w:tcPr>
                  <w:p w14:paraId="5FE6BB82" w14:textId="77777777" w:rsidR="00471D53" w:rsidRDefault="00B664AF">
                    <w:pPr>
                      <w:jc w:val="right"/>
                      <w:rPr>
                        <w:sz w:val="18"/>
                        <w:szCs w:val="18"/>
                      </w:rPr>
                    </w:pPr>
                  </w:p>
                </w:tc>
                <w:tc>
                  <w:tcPr>
                    <w:tcW w:w="1276" w:type="dxa"/>
                  </w:tcPr>
                  <w:p w14:paraId="31B44A36" w14:textId="77777777" w:rsidR="00471D53" w:rsidRDefault="00B664AF">
                    <w:pPr>
                      <w:jc w:val="right"/>
                      <w:rPr>
                        <w:sz w:val="18"/>
                        <w:szCs w:val="18"/>
                      </w:rPr>
                    </w:pPr>
                  </w:p>
                </w:tc>
                <w:tc>
                  <w:tcPr>
                    <w:tcW w:w="851" w:type="dxa"/>
                  </w:tcPr>
                  <w:p w14:paraId="6C8FD2B4" w14:textId="77777777" w:rsidR="00471D53" w:rsidRDefault="00B664AF">
                    <w:pPr>
                      <w:jc w:val="right"/>
                      <w:rPr>
                        <w:sz w:val="18"/>
                        <w:szCs w:val="18"/>
                      </w:rPr>
                    </w:pPr>
                  </w:p>
                </w:tc>
                <w:tc>
                  <w:tcPr>
                    <w:tcW w:w="850" w:type="dxa"/>
                  </w:tcPr>
                  <w:p w14:paraId="64934278" w14:textId="77777777" w:rsidR="00471D53" w:rsidRDefault="00B664AF">
                    <w:pPr>
                      <w:jc w:val="right"/>
                      <w:rPr>
                        <w:sz w:val="18"/>
                        <w:szCs w:val="18"/>
                      </w:rPr>
                    </w:pPr>
                  </w:p>
                </w:tc>
                <w:tc>
                  <w:tcPr>
                    <w:tcW w:w="709" w:type="dxa"/>
                  </w:tcPr>
                  <w:p w14:paraId="0069D1D6" w14:textId="77777777" w:rsidR="00471D53" w:rsidRDefault="00B664AF">
                    <w:pPr>
                      <w:jc w:val="right"/>
                      <w:rPr>
                        <w:sz w:val="18"/>
                        <w:szCs w:val="18"/>
                      </w:rPr>
                    </w:pPr>
                  </w:p>
                </w:tc>
                <w:tc>
                  <w:tcPr>
                    <w:tcW w:w="1276" w:type="dxa"/>
                  </w:tcPr>
                  <w:p w14:paraId="76A3A2DB" w14:textId="77777777" w:rsidR="00471D53" w:rsidRDefault="00B664AF">
                    <w:pPr>
                      <w:jc w:val="right"/>
                      <w:rPr>
                        <w:sz w:val="18"/>
                        <w:szCs w:val="18"/>
                      </w:rPr>
                    </w:pPr>
                  </w:p>
                </w:tc>
                <w:tc>
                  <w:tcPr>
                    <w:tcW w:w="1275" w:type="dxa"/>
                  </w:tcPr>
                  <w:p w14:paraId="7EAB9A86" w14:textId="77777777" w:rsidR="00471D53" w:rsidRDefault="00B664AF">
                    <w:pPr>
                      <w:jc w:val="right"/>
                      <w:rPr>
                        <w:sz w:val="18"/>
                        <w:szCs w:val="18"/>
                      </w:rPr>
                    </w:pPr>
                  </w:p>
                </w:tc>
                <w:tc>
                  <w:tcPr>
                    <w:tcW w:w="1546" w:type="dxa"/>
                  </w:tcPr>
                  <w:p w14:paraId="185415B8" w14:textId="77777777" w:rsidR="00471D53" w:rsidRDefault="00B664AF">
                    <w:pPr>
                      <w:jc w:val="right"/>
                      <w:rPr>
                        <w:sz w:val="18"/>
                        <w:szCs w:val="18"/>
                      </w:rPr>
                    </w:pPr>
                  </w:p>
                </w:tc>
              </w:tr>
              <w:tr w:rsidR="001279EE" w14:paraId="69A283D6" w14:textId="77777777" w:rsidTr="001279EE">
                <w:trPr>
                  <w:trHeight w:val="20"/>
                </w:trPr>
                <w:sdt>
                  <w:sdtPr>
                    <w:tag w:val="_PLD_0009c8b4e5ca4d7083f8b2619f6a4584"/>
                    <w:id w:val="-1882393096"/>
                    <w:lock w:val="sdtLocked"/>
                  </w:sdtPr>
                  <w:sdtEndPr/>
                  <w:sdtContent>
                    <w:tc>
                      <w:tcPr>
                        <w:tcW w:w="2394" w:type="dxa"/>
                      </w:tcPr>
                      <w:p w14:paraId="4FF9948A" w14:textId="77777777" w:rsidR="00471D53" w:rsidRDefault="004F686E">
                        <w:pPr>
                          <w:rPr>
                            <w:sz w:val="18"/>
                            <w:szCs w:val="18"/>
                          </w:rPr>
                        </w:pPr>
                        <w:r>
                          <w:rPr>
                            <w:sz w:val="18"/>
                            <w:szCs w:val="18"/>
                          </w:rPr>
                          <w:t>四、本期期末余额</w:t>
                        </w:r>
                      </w:p>
                    </w:tc>
                  </w:sdtContent>
                </w:sdt>
                <w:tc>
                  <w:tcPr>
                    <w:tcW w:w="1318" w:type="dxa"/>
                    <w:tcBorders>
                      <w:right w:val="single" w:sz="4" w:space="0" w:color="auto"/>
                    </w:tcBorders>
                    <w:vAlign w:val="center"/>
                  </w:tcPr>
                  <w:p w14:paraId="2D88E314" w14:textId="67A7A891" w:rsidR="00471D53" w:rsidRPr="00345210" w:rsidRDefault="004F686E">
                    <w:pPr>
                      <w:jc w:val="right"/>
                      <w:rPr>
                        <w:sz w:val="15"/>
                        <w:szCs w:val="15"/>
                      </w:rPr>
                    </w:pPr>
                    <w:r w:rsidRPr="00345210">
                      <w:rPr>
                        <w:rFonts w:hint="eastAsia"/>
                        <w:sz w:val="15"/>
                        <w:szCs w:val="15"/>
                      </w:rPr>
                      <w:t>485,000,000.00</w:t>
                    </w:r>
                  </w:p>
                </w:tc>
                <w:tc>
                  <w:tcPr>
                    <w:tcW w:w="850" w:type="dxa"/>
                    <w:tcBorders>
                      <w:left w:val="single" w:sz="4" w:space="0" w:color="auto"/>
                      <w:right w:val="single" w:sz="4" w:space="0" w:color="auto"/>
                    </w:tcBorders>
                    <w:vAlign w:val="center"/>
                  </w:tcPr>
                  <w:p w14:paraId="777C35E0" w14:textId="77777777" w:rsidR="00471D53" w:rsidRPr="00345210" w:rsidRDefault="004F686E">
                    <w:pPr>
                      <w:jc w:val="right"/>
                      <w:rPr>
                        <w:sz w:val="15"/>
                        <w:szCs w:val="15"/>
                      </w:rPr>
                    </w:pPr>
                    <w:r w:rsidRPr="00345210">
                      <w:rPr>
                        <w:rFonts w:hint="eastAsia"/>
                        <w:sz w:val="15"/>
                        <w:szCs w:val="15"/>
                      </w:rPr>
                      <w:t xml:space="preserve">　</w:t>
                    </w:r>
                  </w:p>
                </w:tc>
                <w:tc>
                  <w:tcPr>
                    <w:tcW w:w="851" w:type="dxa"/>
                    <w:tcBorders>
                      <w:left w:val="single" w:sz="4" w:space="0" w:color="auto"/>
                      <w:right w:val="single" w:sz="4" w:space="0" w:color="auto"/>
                    </w:tcBorders>
                    <w:vAlign w:val="center"/>
                  </w:tcPr>
                  <w:p w14:paraId="732BDABE" w14:textId="77777777" w:rsidR="00471D53" w:rsidRPr="00345210" w:rsidRDefault="004F686E">
                    <w:pPr>
                      <w:jc w:val="right"/>
                      <w:rPr>
                        <w:sz w:val="15"/>
                        <w:szCs w:val="15"/>
                      </w:rPr>
                    </w:pPr>
                    <w:r w:rsidRPr="00345210">
                      <w:rPr>
                        <w:rFonts w:hint="eastAsia"/>
                        <w:sz w:val="15"/>
                        <w:szCs w:val="15"/>
                      </w:rPr>
                      <w:t xml:space="preserve">　</w:t>
                    </w:r>
                  </w:p>
                </w:tc>
                <w:tc>
                  <w:tcPr>
                    <w:tcW w:w="708" w:type="dxa"/>
                    <w:tcBorders>
                      <w:left w:val="single" w:sz="4" w:space="0" w:color="auto"/>
                    </w:tcBorders>
                    <w:vAlign w:val="center"/>
                  </w:tcPr>
                  <w:p w14:paraId="74739B57" w14:textId="77777777" w:rsidR="00471D53" w:rsidRPr="00345210" w:rsidRDefault="004F686E">
                    <w:pPr>
                      <w:jc w:val="right"/>
                      <w:rPr>
                        <w:sz w:val="15"/>
                        <w:szCs w:val="15"/>
                      </w:rPr>
                    </w:pPr>
                    <w:r w:rsidRPr="00345210">
                      <w:rPr>
                        <w:rFonts w:hint="eastAsia"/>
                        <w:sz w:val="15"/>
                        <w:szCs w:val="15"/>
                      </w:rPr>
                      <w:t xml:space="preserve">　</w:t>
                    </w:r>
                  </w:p>
                </w:tc>
                <w:tc>
                  <w:tcPr>
                    <w:tcW w:w="1276" w:type="dxa"/>
                    <w:vAlign w:val="center"/>
                  </w:tcPr>
                  <w:p w14:paraId="121B3D3D" w14:textId="25FAA9C7" w:rsidR="00471D53" w:rsidRPr="00345210" w:rsidRDefault="004F686E">
                    <w:pPr>
                      <w:jc w:val="right"/>
                      <w:rPr>
                        <w:sz w:val="15"/>
                        <w:szCs w:val="15"/>
                      </w:rPr>
                    </w:pPr>
                    <w:r w:rsidRPr="00345210">
                      <w:rPr>
                        <w:rFonts w:hint="eastAsia"/>
                        <w:sz w:val="15"/>
                        <w:szCs w:val="15"/>
                      </w:rPr>
                      <w:t>811,365,185.81</w:t>
                    </w:r>
                  </w:p>
                </w:tc>
                <w:tc>
                  <w:tcPr>
                    <w:tcW w:w="851" w:type="dxa"/>
                    <w:vAlign w:val="center"/>
                  </w:tcPr>
                  <w:p w14:paraId="3A08FE8A" w14:textId="77777777" w:rsidR="00471D53" w:rsidRPr="00345210" w:rsidRDefault="004F686E">
                    <w:pPr>
                      <w:jc w:val="right"/>
                      <w:rPr>
                        <w:sz w:val="15"/>
                        <w:szCs w:val="15"/>
                      </w:rPr>
                    </w:pPr>
                    <w:r w:rsidRPr="00345210">
                      <w:rPr>
                        <w:rFonts w:hint="eastAsia"/>
                        <w:sz w:val="15"/>
                        <w:szCs w:val="15"/>
                      </w:rPr>
                      <w:t xml:space="preserve">　</w:t>
                    </w:r>
                  </w:p>
                </w:tc>
                <w:tc>
                  <w:tcPr>
                    <w:tcW w:w="850" w:type="dxa"/>
                    <w:vAlign w:val="center"/>
                  </w:tcPr>
                  <w:p w14:paraId="0619C283" w14:textId="77777777" w:rsidR="00471D53" w:rsidRPr="00345210" w:rsidRDefault="004F686E">
                    <w:pPr>
                      <w:jc w:val="right"/>
                      <w:rPr>
                        <w:sz w:val="15"/>
                        <w:szCs w:val="15"/>
                      </w:rPr>
                    </w:pPr>
                    <w:r w:rsidRPr="00345210">
                      <w:rPr>
                        <w:rFonts w:hint="eastAsia"/>
                        <w:sz w:val="15"/>
                        <w:szCs w:val="15"/>
                      </w:rPr>
                      <w:t xml:space="preserve">　</w:t>
                    </w:r>
                  </w:p>
                </w:tc>
                <w:tc>
                  <w:tcPr>
                    <w:tcW w:w="709" w:type="dxa"/>
                    <w:vAlign w:val="center"/>
                  </w:tcPr>
                  <w:p w14:paraId="2547CEEB" w14:textId="77777777" w:rsidR="00471D53" w:rsidRPr="00345210" w:rsidRDefault="004F686E">
                    <w:pPr>
                      <w:jc w:val="right"/>
                      <w:rPr>
                        <w:sz w:val="15"/>
                        <w:szCs w:val="15"/>
                      </w:rPr>
                    </w:pPr>
                    <w:r w:rsidRPr="00345210">
                      <w:rPr>
                        <w:rFonts w:hint="eastAsia"/>
                        <w:sz w:val="15"/>
                        <w:szCs w:val="15"/>
                      </w:rPr>
                      <w:t xml:space="preserve">　</w:t>
                    </w:r>
                  </w:p>
                </w:tc>
                <w:tc>
                  <w:tcPr>
                    <w:tcW w:w="1276" w:type="dxa"/>
                    <w:vAlign w:val="center"/>
                  </w:tcPr>
                  <w:p w14:paraId="4ED9D11B" w14:textId="1C500EBD" w:rsidR="00471D53" w:rsidRPr="00345210" w:rsidRDefault="004F686E">
                    <w:pPr>
                      <w:jc w:val="right"/>
                      <w:rPr>
                        <w:sz w:val="15"/>
                        <w:szCs w:val="15"/>
                      </w:rPr>
                    </w:pPr>
                    <w:r w:rsidRPr="00345210">
                      <w:rPr>
                        <w:rFonts w:hint="eastAsia"/>
                        <w:sz w:val="15"/>
                        <w:szCs w:val="15"/>
                      </w:rPr>
                      <w:t>38,071,282.24</w:t>
                    </w:r>
                  </w:p>
                </w:tc>
                <w:tc>
                  <w:tcPr>
                    <w:tcW w:w="1275" w:type="dxa"/>
                    <w:vAlign w:val="center"/>
                  </w:tcPr>
                  <w:p w14:paraId="1537DA71" w14:textId="46521B29" w:rsidR="00471D53" w:rsidRPr="00345210" w:rsidRDefault="004F686E">
                    <w:pPr>
                      <w:jc w:val="right"/>
                      <w:rPr>
                        <w:sz w:val="15"/>
                        <w:szCs w:val="15"/>
                      </w:rPr>
                    </w:pPr>
                    <w:r w:rsidRPr="00345210">
                      <w:rPr>
                        <w:rFonts w:hint="eastAsia"/>
                        <w:sz w:val="15"/>
                        <w:szCs w:val="15"/>
                      </w:rPr>
                      <w:t>-61,140,872.89</w:t>
                    </w:r>
                  </w:p>
                </w:tc>
                <w:tc>
                  <w:tcPr>
                    <w:tcW w:w="1546" w:type="dxa"/>
                    <w:vAlign w:val="center"/>
                  </w:tcPr>
                  <w:p w14:paraId="1AC3EE87" w14:textId="56E8DE11" w:rsidR="00471D53" w:rsidRPr="00345210" w:rsidRDefault="004F686E">
                    <w:pPr>
                      <w:jc w:val="right"/>
                      <w:rPr>
                        <w:sz w:val="15"/>
                        <w:szCs w:val="15"/>
                      </w:rPr>
                    </w:pPr>
                    <w:r w:rsidRPr="00345210">
                      <w:rPr>
                        <w:rFonts w:hint="eastAsia"/>
                        <w:sz w:val="15"/>
                        <w:szCs w:val="15"/>
                      </w:rPr>
                      <w:t>1,273,295,595.16</w:t>
                    </w:r>
                  </w:p>
                </w:tc>
              </w:tr>
            </w:tbl>
            <w:p w14:paraId="1AA89DEF" w14:textId="77777777" w:rsidR="00471D53" w:rsidRDefault="00B664AF"/>
            <w:p w14:paraId="51BF9099" w14:textId="77777777" w:rsidR="00471D53" w:rsidRDefault="00B664AF"/>
            <w:p w14:paraId="3D1B0EF4" w14:textId="356CDB4C" w:rsidR="00471D53" w:rsidRDefault="004F686E">
              <w:pPr>
                <w:snapToGrid w:val="0"/>
                <w:spacing w:line="240" w:lineRule="atLeast"/>
                <w:rPr>
                  <w:b/>
                  <w:bCs/>
                  <w:color w:val="FF0000"/>
                  <w:szCs w:val="21"/>
                </w:rPr>
              </w:pPr>
              <w:r>
                <w:rPr>
                  <w:szCs w:val="21"/>
                </w:rPr>
                <w:t>公司负责人</w:t>
              </w:r>
              <w:r>
                <w:rPr>
                  <w:rFonts w:hint="eastAsia"/>
                  <w:szCs w:val="21"/>
                </w:rPr>
                <w:t>：</w:t>
              </w:r>
              <w:sdt>
                <w:sdtPr>
                  <w:rPr>
                    <w:rFonts w:hint="eastAsia"/>
                    <w:szCs w:val="21"/>
                  </w:rPr>
                  <w:alias w:val="公司负责人"/>
                  <w:tag w:val="_GBC_6042a2c12168484781348969a4da3e4c"/>
                  <w:id w:val="-1740706933"/>
                  <w:lock w:val="sdtLocked"/>
                  <w:placeholder>
                    <w:docPart w:val="GBC22222222222222222222222222222"/>
                  </w:placeholder>
                  <w:dataBinding w:prefixMappings="xmlns:clcid-mr='clcid-mr'" w:xpath="/*/clcid-mr:GongSiFuZeRenXingMing[not(@periodRef)]" w:storeItemID="{89EBAB94-44A0-46A2-B712-30D997D04A6D}"/>
                  <w:text/>
                </w:sdtPr>
                <w:sdtEndPr/>
                <w:sdtContent>
                  <w:r w:rsidR="00FC65A7">
                    <w:rPr>
                      <w:rFonts w:hint="eastAsia"/>
                      <w:szCs w:val="21"/>
                    </w:rPr>
                    <w:t>王军先生</w:t>
                  </w:r>
                </w:sdtContent>
              </w:sdt>
              <w:r w:rsidR="00A436AE">
                <w:rPr>
                  <w:szCs w:val="21"/>
                </w:rPr>
                <w:t xml:space="preserve"> </w:t>
              </w:r>
              <w:r>
                <w:rPr>
                  <w:szCs w:val="21"/>
                </w:rPr>
                <w:t>主管会计工作负责人</w:t>
              </w:r>
              <w:r>
                <w:rPr>
                  <w:rFonts w:hint="eastAsia"/>
                  <w:szCs w:val="21"/>
                </w:rPr>
                <w:t>：</w:t>
              </w:r>
              <w:sdt>
                <w:sdtPr>
                  <w:rPr>
                    <w:rFonts w:hint="eastAsia"/>
                    <w:szCs w:val="21"/>
                  </w:rPr>
                  <w:alias w:val="主管会计工作负责人姓名"/>
                  <w:tag w:val="_GBC_3008dab61aca43f0a6d82ef192943e79"/>
                  <w:id w:val="-1583754050"/>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FC65A7">
                    <w:rPr>
                      <w:rFonts w:hint="eastAsia"/>
                      <w:szCs w:val="21"/>
                    </w:rPr>
                    <w:t>姜驰女士</w:t>
                  </w:r>
                </w:sdtContent>
              </w:sdt>
              <w:r w:rsidR="00A436AE">
                <w:rPr>
                  <w:szCs w:val="21"/>
                </w:rPr>
                <w:t xml:space="preserve"> </w:t>
              </w:r>
              <w:r>
                <w:rPr>
                  <w:szCs w:val="21"/>
                </w:rPr>
                <w:t>会计机构负责人</w:t>
              </w:r>
              <w:r>
                <w:rPr>
                  <w:rFonts w:hint="eastAsia"/>
                  <w:szCs w:val="21"/>
                </w:rPr>
                <w:t>：</w:t>
              </w:r>
              <w:sdt>
                <w:sdtPr>
                  <w:rPr>
                    <w:rFonts w:hint="eastAsia"/>
                    <w:szCs w:val="21"/>
                  </w:rPr>
                  <w:alias w:val="会计机构负责人姓名"/>
                  <w:tag w:val="_GBC_e6c21b270080402ca8dbdc0cab514bde"/>
                  <w:id w:val="-475145415"/>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szCs w:val="21"/>
                    </w:rPr>
                    <w:t>王艳东先生</w:t>
                  </w:r>
                </w:sdtContent>
              </w:sdt>
            </w:p>
          </w:sdtContent>
        </w:sdt>
        <w:p w14:paraId="64DFA2B0" w14:textId="77777777" w:rsidR="00471D53" w:rsidRDefault="00B664AF">
          <w:pPr>
            <w:rPr>
              <w:color w:val="FF0000"/>
            </w:rPr>
          </w:pPr>
        </w:p>
      </w:sdtContent>
    </w:sdt>
    <w:bookmarkEnd w:id="84" w:displacedByCustomXml="prev"/>
    <w:p w14:paraId="1D2BE6B8" w14:textId="77777777" w:rsidR="00471D53" w:rsidRDefault="00B664AF">
      <w:pPr>
        <w:snapToGrid w:val="0"/>
        <w:spacing w:line="240" w:lineRule="atLeast"/>
        <w:rPr>
          <w:szCs w:val="21"/>
        </w:rPr>
        <w:sectPr w:rsidR="00471D53" w:rsidSect="005F7039">
          <w:pgSz w:w="16838" w:h="11906" w:orient="landscape"/>
          <w:pgMar w:top="1797" w:right="1525" w:bottom="1276" w:left="1440" w:header="851" w:footer="992" w:gutter="0"/>
          <w:cols w:space="425"/>
          <w:docGrid w:linePitch="312"/>
        </w:sectPr>
      </w:pPr>
    </w:p>
    <w:sdt>
      <w:sdtPr>
        <w:rPr>
          <w:rFonts w:ascii="宋体" w:hAnsi="宋体" w:cs="宋体"/>
          <w:b w:val="0"/>
          <w:bCs w:val="0"/>
          <w:kern w:val="0"/>
          <w:szCs w:val="24"/>
        </w:rPr>
        <w:alias w:val="模块:公司基本情况"/>
        <w:tag w:val="_GBC_c49d72d4b04e4ead97addb731e9b6458"/>
        <w:id w:val="-1787026956"/>
        <w:lock w:val="sdtLocked"/>
        <w:placeholder>
          <w:docPart w:val="GBC22222222222222222222222222222"/>
        </w:placeholder>
      </w:sdtPr>
      <w:sdtEndPr>
        <w:rPr>
          <w:rFonts w:cs="Times New Roman" w:hint="eastAsia"/>
          <w:kern w:val="2"/>
        </w:rPr>
      </w:sdtEndPr>
      <w:sdtContent>
        <w:p w14:paraId="383EE8B3" w14:textId="77777777" w:rsidR="00471D53" w:rsidRDefault="004F686E" w:rsidP="004F686E">
          <w:pPr>
            <w:pStyle w:val="afffff6"/>
            <w:numPr>
              <w:ilvl w:val="0"/>
              <w:numId w:val="35"/>
            </w:numPr>
            <w:ind w:left="420" w:hanging="420"/>
            <w:rPr>
              <w:rFonts w:ascii="宋体" w:hAnsi="宋体"/>
            </w:rPr>
          </w:pPr>
          <w:r>
            <w:rPr>
              <w:rFonts w:ascii="宋体" w:hAnsi="宋体"/>
            </w:rPr>
            <w:t>公司基本情况</w:t>
          </w:r>
        </w:p>
        <w:p w14:paraId="6071FC48" w14:textId="77777777" w:rsidR="00471D53" w:rsidRDefault="004F686E" w:rsidP="004F686E">
          <w:pPr>
            <w:pStyle w:val="afffff7"/>
            <w:numPr>
              <w:ilvl w:val="0"/>
              <w:numId w:val="38"/>
            </w:numPr>
            <w:rPr>
              <w:rFonts w:ascii="宋体" w:hAnsi="宋体"/>
            </w:rPr>
          </w:pPr>
          <w:r>
            <w:rPr>
              <w:rFonts w:ascii="宋体" w:hAnsi="宋体" w:hint="eastAsia"/>
            </w:rPr>
            <w:t>公司概况</w:t>
          </w:r>
        </w:p>
        <w:sdt>
          <w:sdtPr>
            <w:alias w:val="是否适用：公司概况[双击切换]"/>
            <w:tag w:val="_GBC_2e5fe5b3ed964f468989da49e4242039"/>
            <w:id w:val="-232316823"/>
            <w:lock w:val="sdtLocked"/>
            <w:placeholder>
              <w:docPart w:val="GBC22222222222222222222222222222"/>
            </w:placeholder>
          </w:sdtPr>
          <w:sdtEndPr/>
          <w:sdtContent>
            <w:p w14:paraId="0FE84D85"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szCs w:val="21"/>
            </w:rPr>
            <w:alias w:val="公司概况"/>
            <w:tag w:val="_GBC_dfec127af3a7441dade8cb0f67119e66"/>
            <w:id w:val="-1750956980"/>
            <w:lock w:val="sdtLocked"/>
            <w:placeholder>
              <w:docPart w:val="GBC22222222222222222222222222222"/>
            </w:placeholder>
          </w:sdtPr>
          <w:sdtEndPr/>
          <w:sdtContent>
            <w:p w14:paraId="21D5D379" w14:textId="3C918A2C" w:rsidR="00471D53" w:rsidRDefault="004F686E" w:rsidP="00471D53">
              <w:pPr>
                <w:spacing w:beforeLines="50" w:before="120" w:afterLines="50" w:after="120" w:line="360" w:lineRule="exact"/>
                <w:ind w:firstLineChars="200" w:firstLine="420"/>
                <w:jc w:val="both"/>
                <w:rPr>
                  <w:sz w:val="22"/>
                  <w:szCs w:val="22"/>
                </w:rPr>
              </w:pPr>
              <w:r>
                <w:rPr>
                  <w:rFonts w:hint="eastAsia"/>
                  <w:sz w:val="22"/>
                  <w:szCs w:val="22"/>
                </w:rPr>
                <w:t>北京京城机电股份有限公司（以下简称公司或本公司，在包含子公司时统称本集团）原名称为北人印刷机械股份有限公司，</w:t>
              </w:r>
              <w:r>
                <w:rPr>
                  <w:sz w:val="22"/>
                  <w:szCs w:val="22"/>
                </w:rPr>
                <w:t>是由北人集团公司独家发起设立的股份有限公司，于1993年7月13日登记注册成立，并于1993年7月16日经国家体改委体改生（1993年）118号文件批准，转为可在境内及香港公开发行股票并上市的社会募集股份有限公司。经国务院证券委员会等有关部门批准，</w:t>
              </w:r>
              <w:r>
                <w:rPr>
                  <w:rFonts w:hint="eastAsia"/>
                  <w:sz w:val="22"/>
                  <w:szCs w:val="22"/>
                </w:rPr>
                <w:t>本公司</w:t>
              </w:r>
              <w:r>
                <w:rPr>
                  <w:sz w:val="22"/>
                  <w:szCs w:val="22"/>
                </w:rPr>
                <w:t>于1993年和1994年分别在香港和上海发行H股和A股，并分别于1993年和1994年在香港联合交易所有限公司及上海证券交易所上市。</w:t>
              </w:r>
            </w:p>
            <w:p w14:paraId="231E8E45"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本公司经2001年5月16日及2002年6月11日股东大会决议批准，并经中国证券监督管理委员会证监发行字[2002]133号文件核准同意，</w:t>
              </w:r>
              <w:r>
                <w:rPr>
                  <w:sz w:val="22"/>
                  <w:szCs w:val="22"/>
                </w:rPr>
                <w:t>于2002年12月26日至2003年1月7日成功</w:t>
              </w:r>
              <w:r>
                <w:rPr>
                  <w:rFonts w:hint="eastAsia"/>
                  <w:sz w:val="22"/>
                  <w:szCs w:val="22"/>
                </w:rPr>
                <w:t>向社会公众股东</w:t>
              </w:r>
              <w:r>
                <w:rPr>
                  <w:sz w:val="22"/>
                  <w:szCs w:val="22"/>
                </w:rPr>
                <w:t>增发2</w:t>
              </w:r>
              <w:r>
                <w:rPr>
                  <w:rFonts w:hint="eastAsia"/>
                  <w:sz w:val="22"/>
                  <w:szCs w:val="22"/>
                </w:rPr>
                <w:t>,</w:t>
              </w:r>
              <w:r>
                <w:rPr>
                  <w:sz w:val="22"/>
                  <w:szCs w:val="22"/>
                </w:rPr>
                <w:t>200万股</w:t>
              </w:r>
              <w:r>
                <w:rPr>
                  <w:rFonts w:hint="eastAsia"/>
                  <w:sz w:val="22"/>
                  <w:szCs w:val="22"/>
                </w:rPr>
                <w:t>人民币普通股（A股），每股面值人民币1元</w:t>
              </w:r>
              <w:r>
                <w:rPr>
                  <w:sz w:val="22"/>
                  <w:szCs w:val="22"/>
                </w:rPr>
                <w:t>。</w:t>
              </w:r>
              <w:r>
                <w:rPr>
                  <w:rFonts w:hint="eastAsia"/>
                  <w:sz w:val="22"/>
                  <w:szCs w:val="22"/>
                </w:rPr>
                <w:t>增发后，本公司总股本42,200万股，其中国有法人股25,000万股，国内公众股7,200万股，境外公众股10,000万股，每股面值人民币1元。</w:t>
              </w:r>
            </w:p>
            <w:p w14:paraId="6644A137"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根据北京市人民政府国有资产监督管理委员会京国资权字[2006]25号“关于北人印刷机械股份有限公司股权分置改革有关问题的批复”，本公司唯一非流通股股东北人集团公司以每10股配3.8股的方式，将原国有法人股2,736万股支付给本公司流通A股股东，上述股权分置改革方案实施A股股权登记日为2006年3月29日。</w:t>
              </w:r>
            </w:p>
            <w:p w14:paraId="71E9A500" w14:textId="77777777" w:rsidR="00471D53" w:rsidRDefault="004F686E" w:rsidP="00471D53">
              <w:pPr>
                <w:spacing w:beforeLines="50" w:before="120" w:afterLines="50" w:after="120" w:line="360" w:lineRule="exact"/>
                <w:ind w:firstLineChars="200" w:firstLine="440"/>
                <w:jc w:val="both"/>
                <w:rPr>
                  <w:sz w:val="22"/>
                  <w:szCs w:val="22"/>
                </w:rPr>
              </w:pPr>
              <w:r>
                <w:rPr>
                  <w:sz w:val="22"/>
                  <w:szCs w:val="22"/>
                </w:rPr>
                <w:t>北人集团公司于2010年1月6日</w:t>
              </w:r>
              <w:r>
                <w:rPr>
                  <w:rFonts w:hint="eastAsia"/>
                  <w:sz w:val="22"/>
                  <w:szCs w:val="22"/>
                </w:rPr>
                <w:t>、</w:t>
              </w:r>
              <w:r>
                <w:rPr>
                  <w:sz w:val="22"/>
                  <w:szCs w:val="22"/>
                </w:rPr>
                <w:t>2010年1月7日通过上海证券交易所大宗交易系统出售本公司无限售条件流通股股份2</w:t>
              </w:r>
              <w:r>
                <w:rPr>
                  <w:rFonts w:hint="eastAsia"/>
                  <w:sz w:val="22"/>
                  <w:szCs w:val="22"/>
                </w:rPr>
                <w:t>,</w:t>
              </w:r>
              <w:r>
                <w:rPr>
                  <w:sz w:val="22"/>
                  <w:szCs w:val="22"/>
                </w:rPr>
                <w:t>100</w:t>
              </w:r>
              <w:r>
                <w:rPr>
                  <w:rFonts w:hint="eastAsia"/>
                  <w:sz w:val="22"/>
                  <w:szCs w:val="22"/>
                </w:rPr>
                <w:t>万</w:t>
              </w:r>
              <w:r>
                <w:rPr>
                  <w:sz w:val="22"/>
                  <w:szCs w:val="22"/>
                </w:rPr>
                <w:t>股</w:t>
              </w:r>
              <w:r>
                <w:rPr>
                  <w:rFonts w:hint="eastAsia"/>
                  <w:sz w:val="22"/>
                  <w:szCs w:val="22"/>
                </w:rPr>
                <w:t>，2010年12月2日公开出售</w:t>
              </w:r>
              <w:r>
                <w:rPr>
                  <w:sz w:val="22"/>
                  <w:szCs w:val="22"/>
                </w:rPr>
                <w:t>本公司无限售条件流通股股份</w:t>
              </w:r>
              <w:r>
                <w:rPr>
                  <w:rFonts w:hint="eastAsia"/>
                  <w:sz w:val="22"/>
                  <w:szCs w:val="22"/>
                </w:rPr>
                <w:t>2万</w:t>
              </w:r>
              <w:r>
                <w:rPr>
                  <w:sz w:val="22"/>
                  <w:szCs w:val="22"/>
                </w:rPr>
                <w:t>股</w:t>
              </w:r>
              <w:r>
                <w:rPr>
                  <w:rFonts w:hint="eastAsia"/>
                  <w:sz w:val="22"/>
                  <w:szCs w:val="22"/>
                </w:rPr>
                <w:t>，</w:t>
              </w:r>
              <w:r>
                <w:rPr>
                  <w:sz w:val="22"/>
                  <w:szCs w:val="22"/>
                </w:rPr>
                <w:t>占本公司总股本的4.98%。</w:t>
              </w:r>
              <w:r>
                <w:rPr>
                  <w:rFonts w:hint="eastAsia"/>
                  <w:sz w:val="22"/>
                  <w:szCs w:val="22"/>
                </w:rPr>
                <w:t>截止2011年12月31日北人集团公司持有国有法人股</w:t>
              </w:r>
              <w:r>
                <w:rPr>
                  <w:sz w:val="22"/>
                  <w:szCs w:val="22"/>
                </w:rPr>
                <w:t>20</w:t>
              </w:r>
              <w:r>
                <w:rPr>
                  <w:rFonts w:hint="eastAsia"/>
                  <w:sz w:val="22"/>
                  <w:szCs w:val="22"/>
                </w:rPr>
                <w:t>,</w:t>
              </w:r>
              <w:r>
                <w:rPr>
                  <w:sz w:val="22"/>
                  <w:szCs w:val="22"/>
                </w:rPr>
                <w:t>16</w:t>
              </w:r>
              <w:r>
                <w:rPr>
                  <w:rFonts w:hint="eastAsia"/>
                  <w:sz w:val="22"/>
                  <w:szCs w:val="22"/>
                </w:rPr>
                <w:t>2万股，占总股本的</w:t>
              </w:r>
              <w:r>
                <w:rPr>
                  <w:sz w:val="22"/>
                  <w:szCs w:val="22"/>
                </w:rPr>
                <w:t>47.78</w:t>
              </w:r>
              <w:r>
                <w:rPr>
                  <w:rFonts w:hint="eastAsia"/>
                  <w:sz w:val="22"/>
                  <w:szCs w:val="22"/>
                </w:rPr>
                <w:t>%，全部为无限售条件的流通股；无限售条件的国内公众股为12,038万股，占总股本的28.52%；无限售条件的境外公众股10,000万股，占总股本的23.70%。</w:t>
              </w:r>
            </w:p>
            <w:p w14:paraId="2B6BF207"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本公司控股股东北人集团公司与公司实际控制人北京京城机电控股有限责任公司（以下简称京城机电）于2012年6月16日签署了《北京京城机电控股有限责任公司与北人集团公司之国有股权无偿划转协议》，北人集团公司将所持本公司20,162万股A股股份无偿划转给京城机电，股份划转后本公司总股本不变，其中京城机电持有20,162万股，占总股本的47.78%，为本公司的控股股东。本次股权无偿划转已于2012年9月1日获国务院国有资产监督管理委员会批复。本公司于</w:t>
              </w:r>
              <w:r>
                <w:rPr>
                  <w:sz w:val="22"/>
                  <w:szCs w:val="22"/>
                </w:rPr>
                <w:t>2012</w:t>
              </w:r>
              <w:r>
                <w:rPr>
                  <w:rFonts w:hint="eastAsia"/>
                  <w:sz w:val="22"/>
                  <w:szCs w:val="22"/>
                </w:rPr>
                <w:t>年</w:t>
              </w:r>
              <w:r>
                <w:rPr>
                  <w:sz w:val="22"/>
                  <w:szCs w:val="22"/>
                </w:rPr>
                <w:t>12</w:t>
              </w:r>
              <w:r>
                <w:rPr>
                  <w:rFonts w:hint="eastAsia"/>
                  <w:sz w:val="22"/>
                  <w:szCs w:val="22"/>
                </w:rPr>
                <w:t>月</w:t>
              </w:r>
              <w:r>
                <w:rPr>
                  <w:sz w:val="22"/>
                  <w:szCs w:val="22"/>
                </w:rPr>
                <w:t>7</w:t>
              </w:r>
              <w:r>
                <w:rPr>
                  <w:rFonts w:hint="eastAsia"/>
                  <w:sz w:val="22"/>
                  <w:szCs w:val="22"/>
                </w:rPr>
                <w:t>日收到《中国证劵登记结算有限公司上海分公司过户登记确认书》，股份过户相关手续已办理完毕。</w:t>
              </w:r>
            </w:p>
            <w:p w14:paraId="6730C84A"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本公司于2012年11月与京城机电及北人集团公司签署《重大资产置换协议》及《重大资产置换协议之补充协议》，协议约定本公司以公司全部资产和负债与京城机电所拥有的气体储运装备业务相关资产进行置换，差额部分由京城机电以现金方式补足。拟置出资产为本公司全部资产和负债，拟置入资产为京城机电持有的北京天海工业有限公司88</w:t>
              </w:r>
              <w:r>
                <w:rPr>
                  <w:sz w:val="22"/>
                  <w:szCs w:val="22"/>
                </w:rPr>
                <w:t>.</w:t>
              </w:r>
              <w:r>
                <w:rPr>
                  <w:rFonts w:hint="eastAsia"/>
                  <w:sz w:val="22"/>
                  <w:szCs w:val="22"/>
                </w:rPr>
                <w:t>50</w:t>
              </w:r>
              <w:r>
                <w:rPr>
                  <w:sz w:val="22"/>
                  <w:szCs w:val="22"/>
                </w:rPr>
                <w:t>%</w:t>
              </w:r>
              <w:r>
                <w:rPr>
                  <w:rFonts w:hint="eastAsia"/>
                  <w:sz w:val="22"/>
                  <w:szCs w:val="22"/>
                </w:rPr>
                <w:t>股权、京城控股（香港）有限公司</w:t>
              </w:r>
              <w:r>
                <w:rPr>
                  <w:sz w:val="22"/>
                  <w:szCs w:val="22"/>
                </w:rPr>
                <w:t>100%</w:t>
              </w:r>
              <w:r>
                <w:rPr>
                  <w:rFonts w:hint="eastAsia"/>
                  <w:sz w:val="22"/>
                  <w:szCs w:val="22"/>
                </w:rPr>
                <w:t>股权以及剥离环保业务后的北京京城压缩机有限公司</w:t>
              </w:r>
              <w:r>
                <w:rPr>
                  <w:sz w:val="22"/>
                  <w:szCs w:val="22"/>
                </w:rPr>
                <w:t>100%</w:t>
              </w:r>
              <w:r>
                <w:rPr>
                  <w:rFonts w:hint="eastAsia"/>
                  <w:sz w:val="22"/>
                  <w:szCs w:val="22"/>
                </w:rPr>
                <w:t>股权。</w:t>
              </w:r>
            </w:p>
            <w:p w14:paraId="55809F3D"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lastRenderedPageBreak/>
                <w:t>2013年9月26日，本公司接到中国证券监督管理委员会出具的《关于核准北人印刷机械股份有限公司重大资产重组的批复》（证监许可[2013]1240号），核准本公司本次重大资产重组事项。</w:t>
              </w:r>
            </w:p>
            <w:p w14:paraId="4269D7A1"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本公司于2013年10月31日与京城机电及北人集团公司签署《重大资产置换交割协议》，京城机电将置入资产交割至本公司，本公司将置出资产及相关人员交割至北人集团公司。</w:t>
              </w:r>
            </w:p>
            <w:p w14:paraId="7182079D"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2013年12月23日，公司名称由北人印刷机械股份有限公司变更为北京京城机电股份有限公司。</w:t>
              </w:r>
            </w:p>
            <w:p w14:paraId="246B00DB"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京城机电</w:t>
              </w:r>
              <w:r>
                <w:rPr>
                  <w:sz w:val="22"/>
                  <w:szCs w:val="22"/>
                </w:rPr>
                <w:t>于201</w:t>
              </w:r>
              <w:r>
                <w:rPr>
                  <w:rFonts w:hint="eastAsia"/>
                  <w:sz w:val="22"/>
                  <w:szCs w:val="22"/>
                </w:rPr>
                <w:t>5</w:t>
              </w:r>
              <w:r>
                <w:rPr>
                  <w:sz w:val="22"/>
                  <w:szCs w:val="22"/>
                </w:rPr>
                <w:t>年</w:t>
              </w:r>
              <w:r>
                <w:rPr>
                  <w:rFonts w:hint="eastAsia"/>
                  <w:sz w:val="22"/>
                  <w:szCs w:val="22"/>
                </w:rPr>
                <w:t>5</w:t>
              </w:r>
              <w:r>
                <w:rPr>
                  <w:sz w:val="22"/>
                  <w:szCs w:val="22"/>
                </w:rPr>
                <w:t>月6日</w:t>
              </w:r>
              <w:r>
                <w:rPr>
                  <w:rFonts w:hint="eastAsia"/>
                  <w:sz w:val="22"/>
                  <w:szCs w:val="22"/>
                </w:rPr>
                <w:t>、5月13日和5月14日</w:t>
              </w:r>
              <w:r>
                <w:rPr>
                  <w:sz w:val="22"/>
                  <w:szCs w:val="22"/>
                </w:rPr>
                <w:t>通过上海证券交易所大宗交易系统</w:t>
              </w:r>
              <w:r>
                <w:rPr>
                  <w:rFonts w:hint="eastAsia"/>
                  <w:sz w:val="22"/>
                  <w:szCs w:val="22"/>
                </w:rPr>
                <w:t>减持所持有的</w:t>
              </w:r>
              <w:r>
                <w:rPr>
                  <w:sz w:val="22"/>
                  <w:szCs w:val="22"/>
                </w:rPr>
                <w:t>公司无限售流通</w:t>
              </w:r>
              <w:r>
                <w:rPr>
                  <w:rFonts w:hint="eastAsia"/>
                  <w:sz w:val="22"/>
                  <w:szCs w:val="22"/>
                </w:rPr>
                <w:t>A</w:t>
              </w:r>
              <w:r>
                <w:rPr>
                  <w:sz w:val="22"/>
                  <w:szCs w:val="22"/>
                </w:rPr>
                <w:t>股股</w:t>
              </w:r>
              <w:r>
                <w:rPr>
                  <w:rFonts w:hint="eastAsia"/>
                  <w:sz w:val="22"/>
                  <w:szCs w:val="22"/>
                </w:rPr>
                <w:t>票</w:t>
              </w:r>
              <w:r>
                <w:rPr>
                  <w:sz w:val="22"/>
                  <w:szCs w:val="22"/>
                </w:rPr>
                <w:t>2</w:t>
              </w:r>
              <w:r>
                <w:rPr>
                  <w:rFonts w:hint="eastAsia"/>
                  <w:sz w:val="22"/>
                  <w:szCs w:val="22"/>
                </w:rPr>
                <w:t>,</w:t>
              </w:r>
              <w:r>
                <w:rPr>
                  <w:sz w:val="22"/>
                  <w:szCs w:val="22"/>
                </w:rPr>
                <w:t>100</w:t>
              </w:r>
              <w:r>
                <w:rPr>
                  <w:rFonts w:hint="eastAsia"/>
                  <w:sz w:val="22"/>
                  <w:szCs w:val="22"/>
                </w:rPr>
                <w:t>万</w:t>
              </w:r>
              <w:r>
                <w:rPr>
                  <w:sz w:val="22"/>
                  <w:szCs w:val="22"/>
                </w:rPr>
                <w:t>股</w:t>
              </w:r>
              <w:r>
                <w:rPr>
                  <w:rFonts w:hint="eastAsia"/>
                  <w:sz w:val="22"/>
                  <w:szCs w:val="22"/>
                </w:rPr>
                <w:t>，</w:t>
              </w:r>
              <w:r>
                <w:rPr>
                  <w:sz w:val="22"/>
                  <w:szCs w:val="22"/>
                </w:rPr>
                <w:t>占公司总股本的4.98%。</w:t>
              </w:r>
              <w:r>
                <w:rPr>
                  <w:rFonts w:hint="eastAsia"/>
                  <w:sz w:val="22"/>
                  <w:szCs w:val="22"/>
                </w:rPr>
                <w:t>截止2015年12月31日京城机电持有公司无限售流通股A股股票18,0</w:t>
              </w:r>
              <w:r>
                <w:rPr>
                  <w:sz w:val="22"/>
                  <w:szCs w:val="22"/>
                </w:rPr>
                <w:t>6</w:t>
              </w:r>
              <w:r>
                <w:rPr>
                  <w:rFonts w:hint="eastAsia"/>
                  <w:sz w:val="22"/>
                  <w:szCs w:val="22"/>
                </w:rPr>
                <w:t>2万股，占公司总股本的</w:t>
              </w:r>
              <w:r>
                <w:rPr>
                  <w:sz w:val="22"/>
                  <w:szCs w:val="22"/>
                </w:rPr>
                <w:t>4</w:t>
              </w:r>
              <w:r>
                <w:rPr>
                  <w:rFonts w:hint="eastAsia"/>
                  <w:sz w:val="22"/>
                  <w:szCs w:val="22"/>
                </w:rPr>
                <w:t>2</w:t>
              </w:r>
              <w:r>
                <w:rPr>
                  <w:sz w:val="22"/>
                  <w:szCs w:val="22"/>
                </w:rPr>
                <w:t>.8</w:t>
              </w:r>
              <w:r>
                <w:rPr>
                  <w:rFonts w:hint="eastAsia"/>
                  <w:sz w:val="22"/>
                  <w:szCs w:val="22"/>
                </w:rPr>
                <w:t>0%。</w:t>
              </w:r>
            </w:p>
            <w:p w14:paraId="380C9DE9"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京城机电于</w:t>
              </w:r>
              <w:r>
                <w:rPr>
                  <w:sz w:val="22"/>
                  <w:szCs w:val="22"/>
                </w:rPr>
                <w:t>2016</w:t>
              </w:r>
              <w:r>
                <w:rPr>
                  <w:rFonts w:hint="eastAsia"/>
                  <w:sz w:val="22"/>
                  <w:szCs w:val="22"/>
                </w:rPr>
                <w:t>年</w:t>
              </w:r>
              <w:r>
                <w:rPr>
                  <w:sz w:val="22"/>
                  <w:szCs w:val="22"/>
                </w:rPr>
                <w:t>8</w:t>
              </w:r>
              <w:r>
                <w:rPr>
                  <w:rFonts w:hint="eastAsia"/>
                  <w:sz w:val="22"/>
                  <w:szCs w:val="22"/>
                </w:rPr>
                <w:t>月</w:t>
              </w:r>
              <w:r>
                <w:rPr>
                  <w:sz w:val="22"/>
                  <w:szCs w:val="22"/>
                </w:rPr>
                <w:t>3</w:t>
              </w:r>
              <w:r>
                <w:rPr>
                  <w:rFonts w:hint="eastAsia"/>
                  <w:sz w:val="22"/>
                  <w:szCs w:val="22"/>
                </w:rPr>
                <w:t>日通过上海证券交易所交易系统增持了本公司股份</w:t>
              </w:r>
              <w:r>
                <w:rPr>
                  <w:sz w:val="22"/>
                  <w:szCs w:val="22"/>
                </w:rPr>
                <w:t>2,115,052A</w:t>
              </w:r>
              <w:r>
                <w:rPr>
                  <w:rFonts w:hint="eastAsia"/>
                  <w:sz w:val="22"/>
                  <w:szCs w:val="22"/>
                </w:rPr>
                <w:t>股，占本公司总股本的</w:t>
              </w:r>
              <w:r>
                <w:rPr>
                  <w:sz w:val="22"/>
                  <w:szCs w:val="22"/>
                </w:rPr>
                <w:t>0.50%</w:t>
              </w:r>
              <w:r>
                <w:rPr>
                  <w:rFonts w:hint="eastAsia"/>
                  <w:sz w:val="22"/>
                  <w:szCs w:val="22"/>
                </w:rPr>
                <w:t>，本次增持后，京城机电持有本公司无限售流通股A股股票182,735,052股，占公司总股本的43.30%。</w:t>
              </w:r>
            </w:p>
            <w:p w14:paraId="5712D101"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京城机电于2020年6月</w:t>
              </w:r>
              <w:r>
                <w:rPr>
                  <w:sz w:val="22"/>
                  <w:szCs w:val="22"/>
                </w:rPr>
                <w:t>30</w:t>
              </w:r>
              <w:r>
                <w:rPr>
                  <w:rFonts w:hint="eastAsia"/>
                  <w:sz w:val="22"/>
                  <w:szCs w:val="22"/>
                </w:rPr>
                <w:t>日通过非公开发行认购本公司股份63</w:t>
              </w:r>
              <w:r>
                <w:rPr>
                  <w:sz w:val="22"/>
                  <w:szCs w:val="22"/>
                </w:rPr>
                <w:t>,</w:t>
              </w:r>
              <w:r>
                <w:rPr>
                  <w:rFonts w:hint="eastAsia"/>
                  <w:sz w:val="22"/>
                  <w:szCs w:val="22"/>
                </w:rPr>
                <w:t>000,000股，占本公司总股本的</w:t>
              </w:r>
              <w:r>
                <w:rPr>
                  <w:sz w:val="22"/>
                  <w:szCs w:val="22"/>
                </w:rPr>
                <w:t>12,99%</w:t>
              </w:r>
              <w:r>
                <w:rPr>
                  <w:rFonts w:hint="eastAsia"/>
                  <w:sz w:val="22"/>
                  <w:szCs w:val="22"/>
                </w:rPr>
                <w:t>，并于2020年7月9日完成股份登记手续，本次发行后，本公司总股本增至485</w:t>
              </w:r>
              <w:r>
                <w:rPr>
                  <w:sz w:val="22"/>
                  <w:szCs w:val="22"/>
                </w:rPr>
                <w:t>,</w:t>
              </w:r>
              <w:r>
                <w:rPr>
                  <w:rFonts w:hint="eastAsia"/>
                  <w:sz w:val="22"/>
                  <w:szCs w:val="22"/>
                </w:rPr>
                <w:t>000,000股，其中京城机电持有无限售流通股A股股票182,735,052股，限售股A股股票63</w:t>
              </w:r>
              <w:r>
                <w:rPr>
                  <w:sz w:val="22"/>
                  <w:szCs w:val="22"/>
                </w:rPr>
                <w:t>,</w:t>
              </w:r>
              <w:r>
                <w:rPr>
                  <w:rFonts w:hint="eastAsia"/>
                  <w:sz w:val="22"/>
                  <w:szCs w:val="22"/>
                </w:rPr>
                <w:t>000,000股，总计占本公司总股本的</w:t>
              </w:r>
              <w:r>
                <w:rPr>
                  <w:sz w:val="22"/>
                  <w:szCs w:val="22"/>
                </w:rPr>
                <w:t>50.67</w:t>
              </w:r>
              <w:r>
                <w:rPr>
                  <w:rFonts w:hint="eastAsia"/>
                  <w:sz w:val="22"/>
                  <w:szCs w:val="22"/>
                </w:rPr>
                <w:t>%。</w:t>
              </w:r>
            </w:p>
            <w:p w14:paraId="07E8F9A5"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本公司注册地址为北京市朝阳区东三环中路59号楼901室，法定代表人王军。经营地点为北京市通州区漷县镇漷县南三街2号。</w:t>
              </w:r>
            </w:p>
            <w:p w14:paraId="0FBDE019"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本公司经营范围：普通货运；开发、设计、销售、安装、调试、修理低温储运容器、压缩机（活塞式压缩机、隔膜式压缩机、核级膜压缩机）及配件、机械设备、电气设备；技术咨询；技术服务；经济贸易咨询；货物进出口；技术进出口；代理进出口。</w:t>
              </w:r>
            </w:p>
            <w:p w14:paraId="024AD88E"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本公司之控股股东及实际控制人均为京城控股。</w:t>
              </w:r>
            </w:p>
            <w:p w14:paraId="0C627F47" w14:textId="77777777" w:rsidR="00471D53" w:rsidRDefault="00B664AF">
              <w:pPr>
                <w:rPr>
                  <w:szCs w:val="21"/>
                </w:rPr>
              </w:pPr>
            </w:p>
          </w:sdtContent>
        </w:sdt>
        <w:p w14:paraId="31372840" w14:textId="77777777" w:rsidR="00471D53" w:rsidRDefault="00B664AF">
          <w:pPr>
            <w:rPr>
              <w:szCs w:val="21"/>
            </w:rPr>
          </w:pPr>
        </w:p>
        <w:p w14:paraId="2C0FEB27" w14:textId="77777777" w:rsidR="00471D53" w:rsidRDefault="004F686E" w:rsidP="004F686E">
          <w:pPr>
            <w:pStyle w:val="afffff7"/>
            <w:numPr>
              <w:ilvl w:val="0"/>
              <w:numId w:val="38"/>
            </w:numPr>
            <w:rPr>
              <w:rFonts w:ascii="宋体" w:hAnsi="宋体"/>
              <w:szCs w:val="21"/>
            </w:rPr>
          </w:pPr>
          <w:r>
            <w:rPr>
              <w:rFonts w:ascii="宋体" w:hAnsi="宋体" w:hint="eastAsia"/>
              <w:szCs w:val="21"/>
            </w:rPr>
            <w:t>合并财务</w:t>
          </w:r>
          <w:r>
            <w:rPr>
              <w:rFonts w:ascii="宋体" w:hAnsi="宋体" w:hint="eastAsia"/>
            </w:rPr>
            <w:t>报表</w:t>
          </w:r>
          <w:r>
            <w:rPr>
              <w:rFonts w:ascii="宋体" w:hAnsi="宋体" w:hint="eastAsia"/>
              <w:szCs w:val="21"/>
            </w:rPr>
            <w:t>范围</w:t>
          </w:r>
        </w:p>
        <w:sdt>
          <w:sdtPr>
            <w:alias w:val="是否适用：合并财务报表范围[双击切换]"/>
            <w:tag w:val="_GBC_ea2f3ec3b347465c8c563d4599124150"/>
            <w:id w:val="-1542202518"/>
            <w:lock w:val="sdtLocked"/>
            <w:placeholder>
              <w:docPart w:val="GBC22222222222222222222222222222"/>
            </w:placeholder>
          </w:sdtPr>
          <w:sdtEndPr/>
          <w:sdtContent>
            <w:p w14:paraId="79BD1114"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szCs w:val="21"/>
            </w:rPr>
            <w:alias w:val="本年度合并财务报表范围"/>
            <w:tag w:val="_GBC_696c121eead146fba6371fa5b371b2fc"/>
            <w:id w:val="-604809574"/>
            <w:lock w:val="sdtLocked"/>
            <w:placeholder>
              <w:docPart w:val="GBC22222222222222222222222222222"/>
            </w:placeholder>
          </w:sdtPr>
          <w:sdtEndPr/>
          <w:sdtContent>
            <w:p w14:paraId="0C1D50B7" w14:textId="77777777" w:rsidR="00471D53" w:rsidRDefault="004F686E" w:rsidP="00471D53">
              <w:pPr>
                <w:spacing w:beforeLines="50" w:before="120" w:afterLines="50" w:after="120" w:line="360" w:lineRule="exact"/>
                <w:ind w:firstLineChars="200" w:firstLine="420"/>
                <w:jc w:val="both"/>
                <w:rPr>
                  <w:sz w:val="22"/>
                  <w:szCs w:val="22"/>
                </w:rPr>
              </w:pPr>
              <w:r>
                <w:rPr>
                  <w:rFonts w:hint="eastAsia"/>
                  <w:sz w:val="22"/>
                  <w:szCs w:val="22"/>
                </w:rPr>
                <w:t>本公司合并财务报表范围包括京城控股（香港）有限公司和北京天海工业有限公司及其下属子公司天津天海高压容器有限责任公司、上海天海复合气瓶有限公司、北京天海低温设备有限公司、北京天海氢能装备有限公司、北京明晖天海气瓶储运装备销售有限公司、宽城天海压力容器有限公司和天海美洲公司。</w:t>
              </w:r>
            </w:p>
            <w:p w14:paraId="5BAE4097" w14:textId="77777777" w:rsidR="00471D53" w:rsidRDefault="00B664AF">
              <w:pPr>
                <w:rPr>
                  <w:szCs w:val="21"/>
                </w:rPr>
              </w:pPr>
            </w:p>
          </w:sdtContent>
        </w:sdt>
      </w:sdtContent>
    </w:sdt>
    <w:p w14:paraId="3F0A4C0D" w14:textId="77777777" w:rsidR="00471D53" w:rsidRDefault="00B664AF">
      <w:pPr>
        <w:rPr>
          <w:szCs w:val="21"/>
        </w:rPr>
      </w:pPr>
    </w:p>
    <w:p w14:paraId="09146977" w14:textId="77777777" w:rsidR="00471D53" w:rsidRDefault="004F686E" w:rsidP="004F686E">
      <w:pPr>
        <w:pStyle w:val="afffff6"/>
        <w:numPr>
          <w:ilvl w:val="0"/>
          <w:numId w:val="35"/>
        </w:numPr>
        <w:ind w:left="422" w:hanging="422"/>
        <w:rPr>
          <w:rFonts w:ascii="宋体" w:hAnsi="宋体"/>
        </w:rPr>
      </w:pPr>
      <w:r>
        <w:rPr>
          <w:rFonts w:ascii="宋体" w:hAnsi="宋体" w:hint="eastAsia"/>
        </w:rPr>
        <w:lastRenderedPageBreak/>
        <w:t>财务报表的编制基础</w:t>
      </w:r>
    </w:p>
    <w:sdt>
      <w:sdtPr>
        <w:rPr>
          <w:rFonts w:ascii="宋体" w:hAnsi="宋体" w:cs="宋体"/>
          <w:b w:val="0"/>
          <w:bCs w:val="0"/>
          <w:kern w:val="0"/>
          <w:szCs w:val="22"/>
        </w:rPr>
        <w:alias w:val="模块:财务报表的编制基础"/>
        <w:tag w:val="_GBC_6d12949d3695402592266a78137dcfb5"/>
        <w:id w:val="2042241463"/>
        <w:lock w:val="sdtLocked"/>
        <w:placeholder>
          <w:docPart w:val="GBC22222222222222222222222222222"/>
        </w:placeholder>
      </w:sdtPr>
      <w:sdtEndPr>
        <w:rPr>
          <w:rFonts w:cs="Times New Roman" w:hint="eastAsia"/>
          <w:kern w:val="2"/>
          <w:szCs w:val="21"/>
        </w:rPr>
      </w:sdtEndPr>
      <w:sdtContent>
        <w:p w14:paraId="6F1EAC6E" w14:textId="77777777" w:rsidR="00471D53" w:rsidRDefault="004F686E" w:rsidP="004F686E">
          <w:pPr>
            <w:pStyle w:val="afffff7"/>
            <w:numPr>
              <w:ilvl w:val="0"/>
              <w:numId w:val="39"/>
            </w:numPr>
            <w:rPr>
              <w:rFonts w:ascii="宋体" w:hAnsi="宋体"/>
            </w:rPr>
          </w:pPr>
          <w:r>
            <w:rPr>
              <w:rFonts w:ascii="宋体" w:hAnsi="宋体"/>
            </w:rPr>
            <w:t>编制基础</w:t>
          </w:r>
        </w:p>
        <w:sdt>
          <w:sdtPr>
            <w:rPr>
              <w:rFonts w:hint="eastAsia"/>
              <w:szCs w:val="21"/>
            </w:rPr>
            <w:alias w:val="财务报表的编制基础"/>
            <w:tag w:val="_GBC_1dc2375ed7ab49628f5badf2d5006405"/>
            <w:id w:val="-443995115"/>
            <w:lock w:val="sdtLocked"/>
            <w:placeholder>
              <w:docPart w:val="GBC22222222222222222222222222222"/>
            </w:placeholder>
          </w:sdtPr>
          <w:sdtEndPr/>
          <w:sdtContent>
            <w:p w14:paraId="06C9ECA1" w14:textId="77777777" w:rsidR="00471D53" w:rsidRDefault="004F686E" w:rsidP="00471D53">
              <w:pPr>
                <w:ind w:firstLineChars="150" w:firstLine="315"/>
                <w:rPr>
                  <w:szCs w:val="21"/>
                </w:rPr>
              </w:pPr>
              <w:r>
                <w:rPr>
                  <w:szCs w:val="21"/>
                </w:rPr>
                <w:t>本公司财务报表以持续经营为编制基础。</w:t>
              </w:r>
              <w:r>
                <w:rPr>
                  <w:rFonts w:hint="eastAsia"/>
                  <w:sz w:val="22"/>
                  <w:szCs w:val="22"/>
                </w:rPr>
                <w:t>根据实际发生的交易和事项，按照财政部颁布的《企业会计准则》及相关规定（以下合称“企业会计准则”），以及中国证券监督管理委员会《公开发行证券的公司信息披露编报规则第15号—财务报告的一般规定》（2014年修订）及相关规定、香港《公司条例》和香港联合交易所[《上市规则》/《</w:t>
              </w:r>
              <w:r>
                <w:rPr>
                  <w:sz w:val="22"/>
                  <w:szCs w:val="22"/>
                </w:rPr>
                <w:t>创业板</w:t>
              </w:r>
              <w:r>
                <w:rPr>
                  <w:rFonts w:hint="eastAsia"/>
                  <w:sz w:val="22"/>
                  <w:szCs w:val="22"/>
                </w:rPr>
                <w:t>上市规则》</w:t>
              </w:r>
              <w:r>
                <w:rPr>
                  <w:sz w:val="22"/>
                  <w:szCs w:val="22"/>
                </w:rPr>
                <w:t>]</w:t>
              </w:r>
              <w:r>
                <w:rPr>
                  <w:rFonts w:hint="eastAsia"/>
                  <w:sz w:val="22"/>
                  <w:szCs w:val="22"/>
                </w:rPr>
                <w:t>所要求之相关披露，并基于本附注“四、重要会计政策及会计估计”所述会计政策和会计估计编制。</w:t>
              </w:r>
            </w:p>
          </w:sdtContent>
        </w:sdt>
      </w:sdtContent>
    </w:sdt>
    <w:p w14:paraId="483E23AA" w14:textId="77777777" w:rsidR="00471D53" w:rsidRDefault="00B664AF">
      <w:pPr>
        <w:rPr>
          <w:szCs w:val="21"/>
        </w:rPr>
      </w:pPr>
    </w:p>
    <w:sdt>
      <w:sdtPr>
        <w:rPr>
          <w:rFonts w:ascii="宋体" w:hAnsi="宋体" w:cs="宋体" w:hint="eastAsia"/>
          <w:b w:val="0"/>
          <w:bCs w:val="0"/>
          <w:kern w:val="0"/>
          <w:szCs w:val="22"/>
        </w:rPr>
        <w:alias w:val="模块:持续经营"/>
        <w:tag w:val="_GBC_69ae6baeacb44e8fa17b0b984abbf6ab"/>
        <w:id w:val="568842368"/>
        <w:lock w:val="sdtLocked"/>
        <w:placeholder>
          <w:docPart w:val="GBC22222222222222222222222222222"/>
        </w:placeholder>
      </w:sdtPr>
      <w:sdtEndPr>
        <w:rPr>
          <w:rFonts w:cs="Times New Roman"/>
          <w:kern w:val="2"/>
          <w:szCs w:val="21"/>
        </w:rPr>
      </w:sdtEndPr>
      <w:sdtContent>
        <w:p w14:paraId="12EB0F8C" w14:textId="77777777" w:rsidR="00471D53" w:rsidRDefault="004F686E" w:rsidP="004F686E">
          <w:pPr>
            <w:pStyle w:val="afffff7"/>
            <w:numPr>
              <w:ilvl w:val="0"/>
              <w:numId w:val="39"/>
            </w:numPr>
            <w:rPr>
              <w:rFonts w:ascii="宋体" w:hAnsi="宋体"/>
            </w:rPr>
          </w:pPr>
          <w:r>
            <w:rPr>
              <w:rFonts w:ascii="宋体" w:hAnsi="宋体" w:hint="eastAsia"/>
            </w:rPr>
            <w:t>持续经营</w:t>
          </w:r>
        </w:p>
        <w:sdt>
          <w:sdtPr>
            <w:alias w:val="是否适用：持续经营[双击切换]"/>
            <w:tag w:val="_GBC_7a7bd82392314f508ef1adfe80947192"/>
            <w:id w:val="-1069497984"/>
            <w:lock w:val="sdtLocked"/>
            <w:placeholder>
              <w:docPart w:val="GBC22222222222222222222222222222"/>
            </w:placeholder>
          </w:sdtPr>
          <w:sdtEndPr/>
          <w:sdtContent>
            <w:p w14:paraId="5EC018B8"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szCs w:val="21"/>
            </w:rPr>
            <w:alias w:val="持续经营"/>
            <w:tag w:val="_GBC_dc876c24006b428987a041949eb554f3"/>
            <w:id w:val="-1553912640"/>
            <w:lock w:val="sdtLocked"/>
            <w:placeholder>
              <w:docPart w:val="GBC22222222222222222222222222222"/>
            </w:placeholder>
          </w:sdtPr>
          <w:sdtEndPr/>
          <w:sdtContent>
            <w:p w14:paraId="50930AF6" w14:textId="77777777" w:rsidR="00471D53" w:rsidRDefault="004F686E" w:rsidP="00471D53">
              <w:pPr>
                <w:ind w:firstLineChars="100" w:firstLine="210"/>
                <w:rPr>
                  <w:szCs w:val="21"/>
                </w:rPr>
              </w:pPr>
              <w:r w:rsidRPr="00AD4498">
                <w:rPr>
                  <w:rFonts w:hint="eastAsia"/>
                  <w:sz w:val="22"/>
                  <w:szCs w:val="22"/>
                </w:rPr>
                <w:t>本集团对自2021年6月</w:t>
              </w:r>
              <w:r w:rsidRPr="00AD4498">
                <w:rPr>
                  <w:sz w:val="22"/>
                  <w:szCs w:val="22"/>
                </w:rPr>
                <w:t>3</w:t>
              </w:r>
              <w:r w:rsidRPr="00AD4498">
                <w:rPr>
                  <w:rFonts w:hint="eastAsia"/>
                  <w:sz w:val="22"/>
                  <w:szCs w:val="22"/>
                </w:rPr>
                <w:t>0日起12个月的持续经营能力进行了评价，未发现对持续经营能力产生重大怀疑的事项和情况。因此，本财务报表系在持续经营假设的基础上编制。</w:t>
              </w:r>
            </w:p>
          </w:sdtContent>
        </w:sdt>
      </w:sdtContent>
    </w:sdt>
    <w:p w14:paraId="302B10C3" w14:textId="77777777" w:rsidR="00471D53" w:rsidRDefault="00B664AF">
      <w:pPr>
        <w:rPr>
          <w:szCs w:val="21"/>
        </w:rPr>
      </w:pPr>
    </w:p>
    <w:p w14:paraId="7F2ED0FE" w14:textId="77777777" w:rsidR="00471D53" w:rsidRDefault="004F686E" w:rsidP="004F686E">
      <w:pPr>
        <w:pStyle w:val="afffff6"/>
        <w:numPr>
          <w:ilvl w:val="0"/>
          <w:numId w:val="35"/>
        </w:numPr>
        <w:ind w:left="422" w:hanging="422"/>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alias w:val="模块:具体会计政策和会计估计提示"/>
        <w:tag w:val="_GBC_03d97fea34d045cb980749ccc6860a5a"/>
        <w:id w:val="258108682"/>
        <w:lock w:val="sdtLocked"/>
        <w:placeholder>
          <w:docPart w:val="GBC22222222222222222222222222222"/>
        </w:placeholder>
      </w:sdtPr>
      <w:sdtEndPr/>
      <w:sdtContent>
        <w:p w14:paraId="42149D67" w14:textId="77777777" w:rsidR="00471D53" w:rsidRDefault="004F686E">
          <w:r>
            <w:rPr>
              <w:rFonts w:hint="eastAsia"/>
            </w:rPr>
            <w:t>具体会计政策和会计估计提示：</w:t>
          </w:r>
        </w:p>
        <w:sdt>
          <w:sdtPr>
            <w:alias w:val="是否适用：具体会计政策和会计估计提示[双击切换]"/>
            <w:tag w:val="_GBC_77c62823e3884e1fbfb236cea1f9f425"/>
            <w:id w:val="81576936"/>
            <w:lock w:val="sdtLocked"/>
            <w:placeholder>
              <w:docPart w:val="GBC22222222222222222222222222222"/>
            </w:placeholder>
          </w:sdtPr>
          <w:sdtEndPr/>
          <w:sdtContent>
            <w:p w14:paraId="2BE75F72"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具体会计政策和会计估计提示"/>
            <w:tag w:val="_GBC_caddaeaf0d1a454ab0bede37f0db7782"/>
            <w:id w:val="243840215"/>
            <w:lock w:val="sdtLocked"/>
            <w:placeholder>
              <w:docPart w:val="GBC22222222222222222222222222222"/>
            </w:placeholder>
          </w:sdtPr>
          <w:sdtEndPr/>
          <w:sdtContent>
            <w:p w14:paraId="12D28A94" w14:textId="77777777" w:rsidR="00471D53" w:rsidRDefault="004F686E">
              <w:r>
                <w:rPr>
                  <w:rFonts w:hint="eastAsia"/>
                  <w:sz w:val="22"/>
                  <w:szCs w:val="22"/>
                </w:rPr>
                <w:t>具体会计政策和会计估计提示：本集团根据实际生产经营特点制定的具体会计政策和会计估计包括营业周期、应收款项坏账准备的确认和计量、发出存货计量、固定资产分类及折旧方法、无形资产摊销、研发费用资本化条件、收入确认和计量、长期资产减值和预计负债等。</w:t>
              </w:r>
            </w:p>
          </w:sdtContent>
        </w:sdt>
      </w:sdtContent>
    </w:sdt>
    <w:p w14:paraId="0EBD2C5A" w14:textId="77777777" w:rsidR="00471D53" w:rsidRDefault="00B664AF"/>
    <w:sdt>
      <w:sdtPr>
        <w:rPr>
          <w:rFonts w:ascii="宋体" w:hAnsi="宋体" w:cs="宋体"/>
          <w:b w:val="0"/>
          <w:bCs w:val="0"/>
          <w:kern w:val="0"/>
          <w:szCs w:val="22"/>
        </w:rPr>
        <w:alias w:val="模块:遵循企业会计准则的声明"/>
        <w:tag w:val="_GBC_a0afbb5b3a444bce84ee78a2a282cb28"/>
        <w:id w:val="1069078117"/>
        <w:lock w:val="sdtLocked"/>
        <w:placeholder>
          <w:docPart w:val="GBC22222222222222222222222222222"/>
        </w:placeholder>
      </w:sdtPr>
      <w:sdtEndPr>
        <w:rPr>
          <w:rFonts w:cs="Times New Roman" w:hint="eastAsia"/>
          <w:kern w:val="2"/>
          <w:szCs w:val="21"/>
        </w:rPr>
      </w:sdtEndPr>
      <w:sdtContent>
        <w:p w14:paraId="0A5B4294" w14:textId="77777777" w:rsidR="00471D53" w:rsidRDefault="004F686E" w:rsidP="004F686E">
          <w:pPr>
            <w:pStyle w:val="afffff7"/>
            <w:numPr>
              <w:ilvl w:val="0"/>
              <w:numId w:val="40"/>
            </w:numPr>
            <w:rPr>
              <w:rFonts w:ascii="宋体" w:hAnsi="宋体"/>
            </w:rPr>
          </w:pPr>
          <w:r>
            <w:rPr>
              <w:rFonts w:ascii="宋体" w:hAnsi="宋体"/>
            </w:rPr>
            <w:t>遵循企业会计准则的声明</w:t>
          </w:r>
        </w:p>
        <w:sdt>
          <w:sdtPr>
            <w:rPr>
              <w:rFonts w:hint="eastAsia"/>
              <w:szCs w:val="21"/>
            </w:rPr>
            <w:alias w:val="会计准则和会计制度"/>
            <w:tag w:val="_GBC_a350b889163a4ef3bb500c021e6a6b47"/>
            <w:id w:val="1641534670"/>
            <w:lock w:val="sdtLocked"/>
            <w:placeholder>
              <w:docPart w:val="GBC22222222222222222222222222222"/>
            </w:placeholder>
          </w:sdtPr>
          <w:sdtEndPr/>
          <w:sdtContent>
            <w:p w14:paraId="6A15DEFC" w14:textId="77777777" w:rsidR="00471D53" w:rsidRDefault="004F686E">
              <w:pPr>
                <w:rPr>
                  <w:szCs w:val="21"/>
                </w:rPr>
              </w:pPr>
              <w:r>
                <w:rPr>
                  <w:szCs w:val="21"/>
                </w:rPr>
                <w:t>本公司所编制的财务报表符合企业会计准则的要求，真实、完整地反映了公司的财务状况、经营成果、股东权益变动和现金流量等有关信息。</w:t>
              </w:r>
            </w:p>
          </w:sdtContent>
        </w:sdt>
      </w:sdtContent>
    </w:sdt>
    <w:p w14:paraId="06B686BB" w14:textId="77777777" w:rsidR="00471D53" w:rsidRDefault="00B664AF">
      <w:pPr>
        <w:rPr>
          <w:szCs w:val="21"/>
        </w:rPr>
      </w:pPr>
    </w:p>
    <w:sdt>
      <w:sdtPr>
        <w:rPr>
          <w:rFonts w:ascii="宋体" w:hAnsi="宋体" w:cs="宋体"/>
          <w:b w:val="0"/>
          <w:bCs w:val="0"/>
          <w:kern w:val="0"/>
          <w:szCs w:val="24"/>
        </w:rPr>
        <w:alias w:val="模块:会计期间"/>
        <w:tag w:val="_GBC_2d7f332501c8461ea731797db5588ee5"/>
        <w:id w:val="360644941"/>
        <w:lock w:val="sdtLocked"/>
        <w:placeholder>
          <w:docPart w:val="GBC22222222222222222222222222222"/>
        </w:placeholder>
      </w:sdtPr>
      <w:sdtEndPr>
        <w:rPr>
          <w:rFonts w:hint="eastAsia"/>
          <w:szCs w:val="21"/>
        </w:rPr>
      </w:sdtEndPr>
      <w:sdtContent>
        <w:p w14:paraId="235B5906" w14:textId="77777777" w:rsidR="00471D53" w:rsidRDefault="004F686E" w:rsidP="004F686E">
          <w:pPr>
            <w:pStyle w:val="afffff7"/>
            <w:numPr>
              <w:ilvl w:val="0"/>
              <w:numId w:val="40"/>
            </w:numPr>
            <w:rPr>
              <w:rFonts w:ascii="宋体" w:hAnsi="宋体"/>
            </w:rPr>
          </w:pPr>
          <w:r>
            <w:rPr>
              <w:rFonts w:ascii="宋体" w:hAnsi="宋体"/>
            </w:rPr>
            <w:t>会计期间</w:t>
          </w:r>
        </w:p>
        <w:sdt>
          <w:sdtPr>
            <w:rPr>
              <w:rFonts w:hint="eastAsia"/>
              <w:szCs w:val="21"/>
            </w:rPr>
            <w:alias w:val="会计年度"/>
            <w:tag w:val="_GBC_fc896fba50b143f8a06984831f5d5600"/>
            <w:id w:val="1434170951"/>
            <w:lock w:val="sdtLocked"/>
            <w:placeholder>
              <w:docPart w:val="GBC22222222222222222222222222222"/>
            </w:placeholder>
          </w:sdtPr>
          <w:sdtEndPr/>
          <w:sdtContent>
            <w:p w14:paraId="027311A7" w14:textId="77777777" w:rsidR="00471D53" w:rsidRDefault="004F686E">
              <w:pPr>
                <w:rPr>
                  <w:szCs w:val="21"/>
                </w:rPr>
              </w:pPr>
              <w:r>
                <w:rPr>
                  <w:szCs w:val="21"/>
                </w:rPr>
                <w:t>本公司会计年度自公历1月1日起至12月31日止。</w:t>
              </w:r>
            </w:p>
          </w:sdtContent>
        </w:sdt>
      </w:sdtContent>
    </w:sdt>
    <w:p w14:paraId="38335047" w14:textId="77777777" w:rsidR="00471D53" w:rsidRDefault="00B664AF">
      <w:pPr>
        <w:rPr>
          <w:szCs w:val="21"/>
        </w:rPr>
      </w:pPr>
    </w:p>
    <w:sdt>
      <w:sdtPr>
        <w:rPr>
          <w:rFonts w:ascii="宋体" w:hAnsi="宋体" w:cs="宋体" w:hint="eastAsia"/>
          <w:b w:val="0"/>
          <w:bCs w:val="0"/>
          <w:kern w:val="0"/>
          <w:szCs w:val="22"/>
        </w:rPr>
        <w:alias w:val="模块:营业周期"/>
        <w:tag w:val="_GBC_b045784ca7904d52a060134ffec0d88c"/>
        <w:id w:val="218404099"/>
        <w:lock w:val="sdtLocked"/>
        <w:placeholder>
          <w:docPart w:val="GBC22222222222222222222222222222"/>
        </w:placeholder>
      </w:sdtPr>
      <w:sdtEndPr>
        <w:rPr>
          <w:rFonts w:cs="Times New Roman"/>
          <w:kern w:val="2"/>
          <w:szCs w:val="21"/>
        </w:rPr>
      </w:sdtEndPr>
      <w:sdtContent>
        <w:p w14:paraId="239B8D09" w14:textId="77777777" w:rsidR="00471D53" w:rsidRDefault="004F686E" w:rsidP="004F686E">
          <w:pPr>
            <w:pStyle w:val="afffff7"/>
            <w:numPr>
              <w:ilvl w:val="0"/>
              <w:numId w:val="40"/>
            </w:numPr>
            <w:rPr>
              <w:rFonts w:ascii="宋体" w:hAnsi="宋体"/>
            </w:rPr>
          </w:pPr>
          <w:r>
            <w:rPr>
              <w:rFonts w:ascii="宋体" w:hAnsi="宋体" w:hint="eastAsia"/>
            </w:rPr>
            <w:t>营业周期</w:t>
          </w:r>
        </w:p>
        <w:sdt>
          <w:sdtPr>
            <w:alias w:val="是否适用：营业周期[双击切换]"/>
            <w:tag w:val="_GBC_1668f7f497234cf886206b57711c4c87"/>
            <w:id w:val="1035239900"/>
            <w:lock w:val="sdtLocked"/>
            <w:placeholder>
              <w:docPart w:val="GBC22222222222222222222222222222"/>
            </w:placeholder>
          </w:sdtPr>
          <w:sdtEndPr/>
          <w:sdtContent>
            <w:p w14:paraId="217E528F"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szCs w:val="21"/>
            </w:rPr>
            <w:alias w:val="营业周期"/>
            <w:tag w:val="_GBC_e145e43187d9463889884f48e9e0b234"/>
            <w:id w:val="1070238372"/>
            <w:lock w:val="sdtLocked"/>
            <w:placeholder>
              <w:docPart w:val="GBC22222222222222222222222222222"/>
            </w:placeholder>
          </w:sdtPr>
          <w:sdtEndPr/>
          <w:sdtContent>
            <w:p w14:paraId="48886301" w14:textId="77777777" w:rsidR="00471D53" w:rsidRDefault="004F686E">
              <w:pPr>
                <w:rPr>
                  <w:szCs w:val="21"/>
                </w:rPr>
              </w:pPr>
              <w:r>
                <w:rPr>
                  <w:rFonts w:hint="eastAsia"/>
                  <w:sz w:val="22"/>
                  <w:szCs w:val="22"/>
                </w:rPr>
                <w:t>本集团经营业务的营业周期较短，以</w:t>
              </w:r>
              <w:r>
                <w:rPr>
                  <w:sz w:val="22"/>
                  <w:szCs w:val="22"/>
                </w:rPr>
                <w:t>12</w:t>
              </w:r>
              <w:r>
                <w:rPr>
                  <w:rFonts w:hint="eastAsia"/>
                  <w:sz w:val="22"/>
                  <w:szCs w:val="22"/>
                </w:rPr>
                <w:t>个月作为资产和负债的流动性划分标准。</w:t>
              </w:r>
            </w:p>
          </w:sdtContent>
        </w:sdt>
      </w:sdtContent>
    </w:sdt>
    <w:p w14:paraId="2FC248FA" w14:textId="77777777" w:rsidR="00471D53" w:rsidRDefault="00B664AF">
      <w:pPr>
        <w:rPr>
          <w:szCs w:val="21"/>
        </w:rPr>
      </w:pPr>
    </w:p>
    <w:sdt>
      <w:sdtPr>
        <w:rPr>
          <w:rFonts w:ascii="宋体" w:hAnsi="宋体" w:cs="宋体"/>
          <w:b w:val="0"/>
          <w:bCs w:val="0"/>
          <w:kern w:val="0"/>
          <w:szCs w:val="22"/>
        </w:rPr>
        <w:alias w:val="模块:记账本位币"/>
        <w:tag w:val="_GBC_13b1061968754e20bebf2099281ed54f"/>
        <w:id w:val="-1045838146"/>
        <w:lock w:val="sdtLocked"/>
        <w:placeholder>
          <w:docPart w:val="GBC22222222222222222222222222222"/>
        </w:placeholder>
      </w:sdtPr>
      <w:sdtEndPr>
        <w:rPr>
          <w:rFonts w:cs="Times New Roman" w:hint="eastAsia"/>
          <w:kern w:val="2"/>
          <w:szCs w:val="21"/>
        </w:rPr>
      </w:sdtEndPr>
      <w:sdtContent>
        <w:p w14:paraId="4B76603B" w14:textId="77777777" w:rsidR="00471D53" w:rsidRDefault="004F686E" w:rsidP="004F686E">
          <w:pPr>
            <w:pStyle w:val="afffff7"/>
            <w:numPr>
              <w:ilvl w:val="0"/>
              <w:numId w:val="40"/>
            </w:numPr>
            <w:rPr>
              <w:rFonts w:ascii="宋体" w:hAnsi="宋体"/>
            </w:rPr>
          </w:pPr>
          <w:r>
            <w:rPr>
              <w:rFonts w:ascii="宋体" w:hAnsi="宋体"/>
            </w:rPr>
            <w:t>记账本位币</w:t>
          </w:r>
        </w:p>
        <w:sdt>
          <w:sdtPr>
            <w:rPr>
              <w:rFonts w:hint="eastAsia"/>
              <w:szCs w:val="21"/>
            </w:rPr>
            <w:alias w:val="记账本位币"/>
            <w:tag w:val="_GBC_3749a2357eba44e8b968cb41cda75ff1"/>
            <w:id w:val="76252263"/>
            <w:lock w:val="sdtLocked"/>
            <w:placeholder>
              <w:docPart w:val="GBC22222222222222222222222222222"/>
            </w:placeholder>
          </w:sdtPr>
          <w:sdtEndPr/>
          <w:sdtContent>
            <w:p w14:paraId="1756A73B" w14:textId="77777777" w:rsidR="00471D53" w:rsidRDefault="004F686E" w:rsidP="00471D53">
              <w:pPr>
                <w:spacing w:beforeLines="50" w:before="120" w:afterLines="50" w:after="120" w:line="360" w:lineRule="exact"/>
                <w:ind w:firstLineChars="200" w:firstLine="420"/>
                <w:jc w:val="both"/>
                <w:rPr>
                  <w:sz w:val="22"/>
                  <w:szCs w:val="22"/>
                </w:rPr>
              </w:pPr>
              <w:r>
                <w:rPr>
                  <w:rFonts w:hint="eastAsia"/>
                  <w:sz w:val="22"/>
                  <w:szCs w:val="22"/>
                </w:rPr>
                <w:t>本公司除下属公司天海美洲公司和京城控股（香港）有限公司以美元为记账本位币外，本公司及其他下属公司以人民币为记账本位币。</w:t>
              </w:r>
            </w:p>
            <w:p w14:paraId="725A3635" w14:textId="77777777" w:rsidR="00471D53" w:rsidRDefault="00B664AF">
              <w:pPr>
                <w:rPr>
                  <w:szCs w:val="21"/>
                </w:rPr>
              </w:pPr>
            </w:p>
          </w:sdtContent>
        </w:sdt>
        <w:p w14:paraId="745051B3" w14:textId="77777777" w:rsidR="00471D53" w:rsidRDefault="00B664AF">
          <w:pPr>
            <w:rPr>
              <w:szCs w:val="21"/>
            </w:rPr>
          </w:pPr>
        </w:p>
      </w:sdtContent>
    </w:sdt>
    <w:sdt>
      <w:sdtPr>
        <w:rPr>
          <w:rFonts w:ascii="宋体" w:hAnsi="宋体" w:cs="宋体"/>
          <w:b w:val="0"/>
          <w:bCs w:val="0"/>
          <w:kern w:val="0"/>
          <w:szCs w:val="22"/>
        </w:rPr>
        <w:alias w:val="模块:同一控制下和非同一控制下企业合并的会计处理方法"/>
        <w:tag w:val="_GBC_f44e1e76b2a3457ea36bc088adcbb4c3"/>
        <w:id w:val="875898826"/>
        <w:lock w:val="sdtLocked"/>
        <w:placeholder>
          <w:docPart w:val="GBC22222222222222222222222222222"/>
        </w:placeholder>
      </w:sdtPr>
      <w:sdtEndPr>
        <w:rPr>
          <w:rFonts w:cs="Times New Roman" w:hint="eastAsia"/>
          <w:kern w:val="2"/>
          <w:szCs w:val="21"/>
        </w:rPr>
      </w:sdtEndPr>
      <w:sdtContent>
        <w:p w14:paraId="4A142B3A" w14:textId="77777777" w:rsidR="00471D53" w:rsidRDefault="004F686E" w:rsidP="004F686E">
          <w:pPr>
            <w:pStyle w:val="afffff7"/>
            <w:numPr>
              <w:ilvl w:val="0"/>
              <w:numId w:val="40"/>
            </w:numPr>
            <w:rPr>
              <w:rFonts w:ascii="宋体" w:hAnsi="宋体"/>
            </w:rPr>
          </w:pPr>
          <w:r>
            <w:rPr>
              <w:rFonts w:ascii="宋体" w:hAnsi="宋体"/>
            </w:rPr>
            <w:t>同一控制下和非同一控制下企业合并的会计处理方法</w:t>
          </w:r>
        </w:p>
        <w:sdt>
          <w:sdtPr>
            <w:rPr>
              <w:rFonts w:hint="eastAsia"/>
              <w:szCs w:val="21"/>
            </w:rPr>
            <w:alias w:val="是否适用：同一控制下和非同一控制下企业合并的会计处理方法[双击切换]"/>
            <w:tag w:val="_GBC_15953b39483a4ce1a5c96869e4a0ae9c"/>
            <w:id w:val="-933741642"/>
            <w:lock w:val="sdtLocked"/>
            <w:placeholder>
              <w:docPart w:val="GBC22222222222222222222222222222"/>
            </w:placeholder>
          </w:sdtPr>
          <w:sdtEndPr/>
          <w:sdtContent>
            <w:p w14:paraId="02CB23EB" w14:textId="77777777" w:rsidR="00471D53" w:rsidRDefault="004F686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同一控制下和非同一控制下企业合并的会计处理方法"/>
            <w:tag w:val="_GBC_ef4b9a8d4ac34f45a0f61a23267bcbb8"/>
            <w:id w:val="301430839"/>
            <w:lock w:val="sdtLocked"/>
            <w:placeholder>
              <w:docPart w:val="GBC22222222222222222222222222222"/>
            </w:placeholder>
          </w:sdtPr>
          <w:sdtEndPr/>
          <w:sdtContent>
            <w:p w14:paraId="0C151BF0" w14:textId="77777777" w:rsidR="00471D53" w:rsidRDefault="004F686E" w:rsidP="00471D53">
              <w:pPr>
                <w:spacing w:beforeLines="50" w:before="120" w:afterLines="50" w:after="120" w:line="360" w:lineRule="exact"/>
                <w:ind w:firstLineChars="200" w:firstLine="420"/>
                <w:jc w:val="both"/>
                <w:rPr>
                  <w:sz w:val="22"/>
                  <w:szCs w:val="22"/>
                </w:rPr>
              </w:pPr>
              <w:r>
                <w:rPr>
                  <w:rFonts w:hint="eastAsia"/>
                  <w:sz w:val="22"/>
                  <w:szCs w:val="22"/>
                </w:rPr>
                <w:t>本集团作为合并方，在同一控制下企业合并中取得的资产和负债，在合并日按被合并方在最终控制方合并报表中的账面价值计量。取得的净资产账面价值与支付的合并对价账面价值的差额，调整资本公积；资本公积不足冲减的，调整留存收益。</w:t>
              </w:r>
            </w:p>
            <w:p w14:paraId="20DD6FB3"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lastRenderedPageBreak/>
                <w:t>在非同一控制下企业合并中取得的被购买方可辨认资产、负债及或有负债在收购日以公允价值计量。合并成本为本集团在购买日为取得对被购买方的控制权而支付的现金或非现金资产、发行或承担的负债、发行的权益性证券等的公允价值以及在企业合并中发生的各项直接相关费用之和（通过多次交易分步实现的企业合并，其合并成本为每一单项交易的成本之和）。合并成本大于合并中取得的被购买方可辨认净资产公允价值份额的差额，确认为商誉；合并成本小于合并中取得的被购买方可辨认净资产公允价值份额的，首先对合并中取得的各项可辨认资产、负债及或有负债的公允价值、以及合并对价的非现金资产或发行的权益性证券等的公允价值进行复核，经复核后，合并成本仍小于合并中取得的被购买方可辨认净资产公允价值份额的，将其差额计入合并当期营业外收入。</w:t>
              </w:r>
            </w:p>
            <w:p w14:paraId="6A12F1A1" w14:textId="77777777" w:rsidR="00471D53" w:rsidRDefault="00B664AF">
              <w:pPr>
                <w:rPr>
                  <w:szCs w:val="21"/>
                </w:rPr>
              </w:pPr>
            </w:p>
          </w:sdtContent>
        </w:sdt>
      </w:sdtContent>
    </w:sdt>
    <w:p w14:paraId="7E1E9F31" w14:textId="77777777" w:rsidR="00471D53" w:rsidRDefault="00B664AF">
      <w:pPr>
        <w:rPr>
          <w:szCs w:val="21"/>
        </w:rPr>
      </w:pPr>
    </w:p>
    <w:sdt>
      <w:sdtPr>
        <w:rPr>
          <w:rFonts w:ascii="宋体" w:hAnsi="宋体" w:cs="宋体"/>
          <w:b w:val="0"/>
          <w:bCs w:val="0"/>
          <w:kern w:val="0"/>
          <w:szCs w:val="24"/>
        </w:rPr>
        <w:alias w:val="模块:合并财务报表的编制方法"/>
        <w:tag w:val="_GBC_c23be25e527044f689b710dabd312b04"/>
        <w:id w:val="-575201732"/>
        <w:lock w:val="sdtLocked"/>
        <w:placeholder>
          <w:docPart w:val="GBC22222222222222222222222222222"/>
        </w:placeholder>
      </w:sdtPr>
      <w:sdtEndPr>
        <w:rPr>
          <w:rFonts w:hint="eastAsia"/>
          <w:szCs w:val="21"/>
        </w:rPr>
      </w:sdtEndPr>
      <w:sdtContent>
        <w:p w14:paraId="77CE17C7" w14:textId="77777777" w:rsidR="00471D53" w:rsidRDefault="004F686E" w:rsidP="004F686E">
          <w:pPr>
            <w:pStyle w:val="afffff7"/>
            <w:numPr>
              <w:ilvl w:val="0"/>
              <w:numId w:val="40"/>
            </w:numPr>
            <w:rPr>
              <w:rFonts w:ascii="宋体" w:hAnsi="宋体"/>
            </w:rPr>
          </w:pPr>
          <w:r>
            <w:rPr>
              <w:rFonts w:ascii="宋体" w:hAnsi="宋体"/>
            </w:rPr>
            <w:t>合并财务报表的编制方法</w:t>
          </w:r>
        </w:p>
        <w:sdt>
          <w:sdtPr>
            <w:rPr>
              <w:rFonts w:hint="eastAsia"/>
              <w:szCs w:val="21"/>
            </w:rPr>
            <w:alias w:val="是否适用：合并财务报表的编制方法[双击切换]"/>
            <w:tag w:val="_GBC_dad2e053cc8c4461a681b3e4926c48a6"/>
            <w:id w:val="-1004664199"/>
            <w:lock w:val="sdtLocked"/>
            <w:placeholder>
              <w:docPart w:val="GBC22222222222222222222222222222"/>
            </w:placeholder>
          </w:sdtPr>
          <w:sdtEndPr/>
          <w:sdtContent>
            <w:p w14:paraId="38732C99" w14:textId="77777777" w:rsidR="00471D53" w:rsidRDefault="004F686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企业合并及合并财务报表的说明"/>
            <w:tag w:val="_GBC_5201beca0c0944939b4a0d8d100d6fcf"/>
            <w:id w:val="-55093518"/>
            <w:lock w:val="sdtLocked"/>
            <w:placeholder>
              <w:docPart w:val="GBC22222222222222222222222222222"/>
            </w:placeholder>
          </w:sdtPr>
          <w:sdtEndPr/>
          <w:sdtContent>
            <w:p w14:paraId="2657FE8A" w14:textId="77777777" w:rsidR="00471D53" w:rsidRDefault="004F686E" w:rsidP="00471D53">
              <w:pPr>
                <w:spacing w:beforeLines="50" w:before="120" w:afterLines="50" w:after="120" w:line="360" w:lineRule="exact"/>
                <w:ind w:firstLineChars="200" w:firstLine="420"/>
                <w:jc w:val="both"/>
                <w:rPr>
                  <w:sz w:val="22"/>
                  <w:szCs w:val="22"/>
                </w:rPr>
              </w:pPr>
              <w:r>
                <w:rPr>
                  <w:rFonts w:hint="eastAsia"/>
                  <w:sz w:val="22"/>
                  <w:szCs w:val="22"/>
                </w:rPr>
                <w:t>本集团将所有控制的子公司及结构化主体纳入合并财务报表范围。</w:t>
              </w:r>
            </w:p>
            <w:p w14:paraId="18CCC43C"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在编制合并财务报表时，子公司与本公司采用的会计政策或会计期间不一致的，按照本公司的会计政策或会计期间对子公司财务报表进行必要的调整。</w:t>
              </w:r>
            </w:p>
            <w:p w14:paraId="0290EBF2"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合并范围内的所有重大内部交易、往来余额及未实现利润在合并报表编制时予以抵销。子公司的所有者权益中不属于母公司的份额以及当期净损益、其他综合收益及综合收益总额中属于少数股东权益的份额，分别在合并财务报表“少数股东权益、少数股东损益、归属于少数股东的其他综合收益及归属于少数股东的综合收益总额”项目列示。</w:t>
              </w:r>
            </w:p>
            <w:p w14:paraId="0CB85498"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对于同一控制下企业合并取得的子公司，其经营成果和现金流量自合并当期年初纳入合并财务报表。编制比较合并财务报表时，对上期财务报表的相关项目进行调整，视同合并后形成的报告主体自最终控制方开始控制时点起一直存在。</w:t>
              </w:r>
            </w:p>
            <w:p w14:paraId="16920F1C"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通过多次交易分步取得同一控制下被投资单位的股权，最终形成企业合并，编制合并报表时，视同在最终控制方开始控制时即以目前的状态存在进行调整，在编制比较报表时，以不早于本集团和被合并方同处于最终控制方的控制之下的时点为限，将被合并方的有关资产、负债并入本集团合并财务报表的比较报表中，并将合并而增加的净资产在比较报表中调整所有者权益项下的相关项目。为避免对被合并方净资产的价值进行重复计算，本集团在达到合并之前持有的长期股权投资，在取得原股权之日与本集团和被合并方处于同一方最终控制之日孰晚日起至合并日之间已确认有关损益、其他综合收益和其他净资产变动，应分别冲减比较报表期间的年初留存收益和当期损益。</w:t>
              </w:r>
            </w:p>
            <w:p w14:paraId="7C5A5F01"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对于非同一控制下企业合并取得子公司，经营成果和现金流量自本集团取得控制权之日起纳入合并财务报表。在编制合并财务报表时，以购买日确定的各项可辨认资产、负债及或有负债的公允价值为基础对子公司的财务报表进行调整。</w:t>
              </w:r>
            </w:p>
            <w:p w14:paraId="31FBA303"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通过多次交易分步取得非同一控制下被投资单位的股权，最终形成企业合并，编制合并报表时，对于购买日之前持有的被购买方的股权，按照该股权在购买日的公允价值进行重新</w:t>
              </w:r>
              <w:r>
                <w:rPr>
                  <w:rFonts w:hint="eastAsia"/>
                  <w:sz w:val="22"/>
                  <w:szCs w:val="22"/>
                </w:rPr>
                <w:lastRenderedPageBreak/>
                <w:t>计量，公允价值与其账面价值的差额计入当期投资收益；与其相关的购买日之前持有的被购买方的股权涉及权益法核算下的其他综合收益以及除净损益、其他综合收益和利润分配外的其他所有者权益变动，在购买日所属当期转为投资损益，由于被投资方重新计量设定受益计划净负债或净资产变动而产生的其他综合收益除外。</w:t>
              </w:r>
            </w:p>
            <w:p w14:paraId="1DA96CB4"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本集团在不丧失控制权的情况下部分处置对子公司的长期股权投资，在合并财务报表中，处置价款与处置长期股权投资相对应享有子公司自购买日或合并日开始持续计算的净资产份额之间的差额，调整资本溢价或股本溢价，资本公积不足冲减的，调整留存收益。</w:t>
              </w:r>
            </w:p>
            <w:p w14:paraId="07BBFB3A" w14:textId="0D828E9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本集团因处置部分股权投资等原因丧失了对被投资方的控制权的，在编制合并财务报表时，对于剩余股权，按照其在丧失控制权日的公允价值进行重新计量。处置股权取得的对价与剩余股权公允价值之和，减去按原持股比例计算应享有原有子公司自购买日或合并日开始持续计算的净资产的份额之间的差额，计入丧失控制权当期的投资损益，同时冲减商誉。与原有子公司股权投资相关的其他综合收益等，在丧失控制权时转为当期投资损益。</w:t>
              </w:r>
            </w:p>
            <w:p w14:paraId="51A19EA2"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本集团通过多次交易分步处置对子公司股权投资直至丧失控制权的，如果处置对子公司股权投资直至丧失控制权的各项交易属于一揽子交易的，应当将各项交易作为一项处置子公司并丧失控制权的交易进行会计处理；但是，在丧失控制权之前每一次处置价款与处置投资对应的享有该子公司净资产份额的差额，在合并财务报表中确认为其他综合收益，在丧失控制权时一并转入丧失控制权当期的投资损益。</w:t>
              </w:r>
            </w:p>
            <w:p w14:paraId="404FA064" w14:textId="77777777" w:rsidR="00471D53" w:rsidRDefault="00B664AF">
              <w:pPr>
                <w:rPr>
                  <w:szCs w:val="21"/>
                </w:rPr>
              </w:pPr>
            </w:p>
          </w:sdtContent>
        </w:sdt>
      </w:sdtContent>
    </w:sdt>
    <w:p w14:paraId="4C3747ED" w14:textId="77777777" w:rsidR="00471D53" w:rsidRDefault="00B664AF">
      <w:pPr>
        <w:rPr>
          <w:szCs w:val="21"/>
        </w:rPr>
      </w:pPr>
    </w:p>
    <w:sdt>
      <w:sdtPr>
        <w:rPr>
          <w:rFonts w:ascii="宋体" w:hAnsi="宋体" w:cs="宋体" w:hint="eastAsia"/>
          <w:b w:val="0"/>
          <w:bCs w:val="0"/>
          <w:kern w:val="0"/>
          <w:szCs w:val="21"/>
        </w:rPr>
        <w:alias w:val="模块:合营安排分类及共同经营会计处理方法"/>
        <w:tag w:val="_GBC_a6643877dd0341e39dee12c064dc6fdc"/>
        <w:id w:val="-1493020730"/>
        <w:lock w:val="sdtLocked"/>
        <w:placeholder>
          <w:docPart w:val="GBC22222222222222222222222222222"/>
        </w:placeholder>
      </w:sdtPr>
      <w:sdtEndPr>
        <w:rPr>
          <w:b/>
          <w:bCs/>
        </w:rPr>
      </w:sdtEndPr>
      <w:sdtContent>
        <w:p w14:paraId="7FCF343F" w14:textId="77777777" w:rsidR="00471D53" w:rsidRDefault="004F686E" w:rsidP="004F686E">
          <w:pPr>
            <w:pStyle w:val="afffff7"/>
            <w:numPr>
              <w:ilvl w:val="0"/>
              <w:numId w:val="40"/>
            </w:numPr>
            <w:rPr>
              <w:rFonts w:ascii="宋体" w:hAnsi="宋体"/>
              <w:szCs w:val="21"/>
            </w:rPr>
          </w:pPr>
          <w:r>
            <w:rPr>
              <w:rFonts w:ascii="宋体" w:hAnsi="宋体" w:hint="eastAsia"/>
              <w:szCs w:val="21"/>
            </w:rPr>
            <w:t>合营安排</w:t>
          </w:r>
          <w:r>
            <w:rPr>
              <w:rFonts w:ascii="宋体" w:hAnsi="宋体" w:hint="eastAsia"/>
            </w:rPr>
            <w:t>分类</w:t>
          </w:r>
          <w:r>
            <w:rPr>
              <w:rFonts w:ascii="宋体" w:hAnsi="宋体" w:hint="eastAsia"/>
              <w:szCs w:val="21"/>
            </w:rPr>
            <w:t>及共同经营会计处理方法</w:t>
          </w:r>
        </w:p>
        <w:sdt>
          <w:sdtPr>
            <w:rPr>
              <w:rFonts w:hint="eastAsia"/>
            </w:rPr>
            <w:alias w:val="是否适用：合营安排分类及共同经营会计处理方法[双击切换]"/>
            <w:tag w:val="_GBC_f94c8519453541fe9de852d3064d61d5"/>
            <w:id w:val="991835949"/>
            <w:lock w:val="sdtLocked"/>
            <w:placeholder>
              <w:docPart w:val="GBC22222222222222222222222222222"/>
            </w:placeholder>
          </w:sdtPr>
          <w:sdtEndPr/>
          <w:sdtContent>
            <w:p w14:paraId="4B145D55"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合营安排分类及共同经营会计处理方法"/>
            <w:tag w:val="_GBC_cf67ede4230c4056b34792c6a0db55e2"/>
            <w:id w:val="43343675"/>
            <w:lock w:val="sdtLocked"/>
            <w:placeholder>
              <w:docPart w:val="GBC22222222222222222222222222222"/>
            </w:placeholder>
          </w:sdtPr>
          <w:sdtEndPr/>
          <w:sdtContent>
            <w:p w14:paraId="3F12BD3F" w14:textId="77777777" w:rsidR="00471D53" w:rsidRDefault="004F686E" w:rsidP="00471D53">
              <w:pPr>
                <w:spacing w:beforeLines="50" w:before="120" w:afterLines="50" w:after="120" w:line="360" w:lineRule="exact"/>
                <w:ind w:firstLineChars="200" w:firstLine="420"/>
                <w:jc w:val="both"/>
                <w:rPr>
                  <w:sz w:val="22"/>
                  <w:szCs w:val="22"/>
                </w:rPr>
              </w:pPr>
              <w:r>
                <w:rPr>
                  <w:rFonts w:hint="eastAsia"/>
                  <w:sz w:val="22"/>
                  <w:szCs w:val="22"/>
                </w:rPr>
                <w:t>本集团的合营安排包括共同经营和合营企业。对于共同经营项目</w:t>
              </w:r>
              <w:r>
                <w:rPr>
                  <w:sz w:val="22"/>
                  <w:szCs w:val="22"/>
                </w:rPr>
                <w:t>,</w:t>
              </w:r>
              <w:r>
                <w:rPr>
                  <w:rFonts w:hint="eastAsia"/>
                  <w:sz w:val="22"/>
                  <w:szCs w:val="22"/>
                </w:rPr>
                <w:t>本集团作为共同经营中的合营方确认单独持有的资产和承担的负债，以及按份额确认持有的资产和承担的负债，根据相关约定单独或按份额确认相关的收入和费用。与共同经营发生购买、销售不构成业务的资产交易的，仅确认因该交易产生的损益中归属于共同经营其他参与方的部分。</w:t>
              </w:r>
            </w:p>
            <w:p w14:paraId="4CF2E244" w14:textId="77777777" w:rsidR="00471D53" w:rsidRDefault="00B664AF">
              <w:pPr>
                <w:rPr>
                  <w:b/>
                  <w:bCs/>
                  <w:szCs w:val="21"/>
                </w:rPr>
              </w:pPr>
            </w:p>
          </w:sdtContent>
        </w:sdt>
      </w:sdtContent>
    </w:sdt>
    <w:p w14:paraId="029D4B01" w14:textId="77777777" w:rsidR="00471D53" w:rsidRDefault="00B664AF">
      <w:pPr>
        <w:rPr>
          <w:szCs w:val="21"/>
        </w:rPr>
      </w:pPr>
    </w:p>
    <w:sdt>
      <w:sdtPr>
        <w:rPr>
          <w:rFonts w:ascii="宋体" w:hAnsi="宋体" w:cs="宋体"/>
          <w:b w:val="0"/>
          <w:bCs w:val="0"/>
          <w:kern w:val="0"/>
          <w:szCs w:val="24"/>
        </w:rPr>
        <w:alias w:val="模块:现金及现金等价物的确定标准"/>
        <w:tag w:val="_GBC_9f2dfe6521c4434b9ad3e7bb1a8a52b7"/>
        <w:id w:val="-289051346"/>
        <w:lock w:val="sdtLocked"/>
        <w:placeholder>
          <w:docPart w:val="GBC22222222222222222222222222222"/>
        </w:placeholder>
      </w:sdtPr>
      <w:sdtEndPr>
        <w:rPr>
          <w:rFonts w:hint="eastAsia"/>
          <w:szCs w:val="21"/>
        </w:rPr>
      </w:sdtEndPr>
      <w:sdtContent>
        <w:p w14:paraId="6753117E" w14:textId="77777777" w:rsidR="00471D53" w:rsidRDefault="004F686E" w:rsidP="004F686E">
          <w:pPr>
            <w:pStyle w:val="afffff7"/>
            <w:numPr>
              <w:ilvl w:val="0"/>
              <w:numId w:val="40"/>
            </w:numPr>
            <w:rPr>
              <w:rFonts w:ascii="宋体" w:hAnsi="宋体"/>
            </w:rPr>
          </w:pPr>
          <w:r>
            <w:rPr>
              <w:rFonts w:ascii="宋体" w:hAnsi="宋体"/>
            </w:rPr>
            <w:t>现金及现金等价物的确定标准</w:t>
          </w:r>
        </w:p>
        <w:sdt>
          <w:sdtPr>
            <w:rPr>
              <w:rFonts w:hint="eastAsia"/>
              <w:szCs w:val="21"/>
            </w:rPr>
            <w:alias w:val="现金及现金等价物的确定标准"/>
            <w:tag w:val="_GBC_54f6bc3e44e840bc85cb3872600823b5"/>
            <w:id w:val="-1062785977"/>
            <w:lock w:val="sdtLocked"/>
            <w:placeholder>
              <w:docPart w:val="GBC22222222222222222222222222222"/>
            </w:placeholder>
          </w:sdtPr>
          <w:sdtEndPr/>
          <w:sdtContent>
            <w:p w14:paraId="78D30E73" w14:textId="77777777" w:rsidR="00471D53" w:rsidRDefault="004F686E" w:rsidP="00471D53">
              <w:pPr>
                <w:spacing w:beforeLines="50" w:before="120" w:afterLines="50" w:after="120" w:line="360" w:lineRule="exact"/>
                <w:ind w:firstLineChars="200" w:firstLine="420"/>
                <w:jc w:val="both"/>
                <w:rPr>
                  <w:sz w:val="22"/>
                  <w:szCs w:val="22"/>
                </w:rPr>
              </w:pPr>
              <w:r>
                <w:rPr>
                  <w:rFonts w:hint="eastAsia"/>
                  <w:sz w:val="22"/>
                  <w:szCs w:val="22"/>
                </w:rPr>
                <w:t>本集团现金流量表之现金指库存现金以及可以随时用于支付的存款。现金流量表之现金等价物指持有期限不超过3个月、流动性强、易于转换为已知金额现金且价值变动风险很小的投资。</w:t>
              </w:r>
            </w:p>
            <w:p w14:paraId="53DE5666" w14:textId="77777777" w:rsidR="00471D53" w:rsidRDefault="00B664AF">
              <w:pPr>
                <w:rPr>
                  <w:szCs w:val="21"/>
                </w:rPr>
              </w:pPr>
            </w:p>
          </w:sdtContent>
        </w:sdt>
      </w:sdtContent>
    </w:sdt>
    <w:p w14:paraId="76CF4897" w14:textId="77777777" w:rsidR="00471D53" w:rsidRDefault="00B664AF">
      <w:pPr>
        <w:rPr>
          <w:szCs w:val="21"/>
        </w:rPr>
      </w:pPr>
    </w:p>
    <w:sdt>
      <w:sdtPr>
        <w:rPr>
          <w:rFonts w:ascii="宋体" w:hAnsi="宋体" w:cs="宋体"/>
          <w:b w:val="0"/>
          <w:bCs w:val="0"/>
          <w:kern w:val="0"/>
          <w:szCs w:val="22"/>
        </w:rPr>
        <w:alias w:val="模块:外币业务和外币报表折算"/>
        <w:tag w:val="_GBC_cff1e1487c3242a8a1be0ce9c2b7a554"/>
        <w:id w:val="-457578360"/>
        <w:lock w:val="sdtLocked"/>
        <w:placeholder>
          <w:docPart w:val="GBC22222222222222222222222222222"/>
        </w:placeholder>
      </w:sdtPr>
      <w:sdtEndPr>
        <w:rPr>
          <w:rFonts w:cs="Times New Roman" w:hint="eastAsia"/>
          <w:kern w:val="2"/>
          <w:szCs w:val="21"/>
        </w:rPr>
      </w:sdtEndPr>
      <w:sdtContent>
        <w:p w14:paraId="0920C8B0" w14:textId="77777777" w:rsidR="00471D53" w:rsidRDefault="004F686E" w:rsidP="004F686E">
          <w:pPr>
            <w:pStyle w:val="afffff7"/>
            <w:numPr>
              <w:ilvl w:val="0"/>
              <w:numId w:val="40"/>
            </w:numPr>
            <w:rPr>
              <w:rFonts w:ascii="宋体" w:hAnsi="宋体"/>
            </w:rPr>
          </w:pPr>
          <w:r>
            <w:rPr>
              <w:rFonts w:ascii="宋体" w:hAnsi="宋体"/>
            </w:rPr>
            <w:t>外币业务和外币报表折算</w:t>
          </w:r>
        </w:p>
        <w:sdt>
          <w:sdtPr>
            <w:rPr>
              <w:rFonts w:hint="eastAsia"/>
              <w:szCs w:val="21"/>
            </w:rPr>
            <w:alias w:val="是否适用：外币业务和外币报表折算[双击切换]"/>
            <w:tag w:val="_GBC_cd1fc5c05f5e49ed9ea2fffe41d0d113"/>
            <w:id w:val="-853423793"/>
            <w:lock w:val="sdtLocked"/>
            <w:placeholder>
              <w:docPart w:val="GBC22222222222222222222222222222"/>
            </w:placeholder>
          </w:sdtPr>
          <w:sdtEndPr/>
          <w:sdtContent>
            <w:p w14:paraId="49BFB6EB" w14:textId="77777777" w:rsidR="00471D53" w:rsidRDefault="004F686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ascii="宋体" w:hAnsi="宋体" w:cs="宋体" w:hint="eastAsia"/>
              <w:b w:val="0"/>
              <w:bCs w:val="0"/>
              <w:kern w:val="0"/>
              <w:szCs w:val="24"/>
            </w:rPr>
            <w:alias w:val="外币业务核算方法"/>
            <w:tag w:val="_GBC_1703fe5fc56b42a8972c0906a4ac6d6b"/>
            <w:id w:val="1418754441"/>
            <w:lock w:val="sdtLocked"/>
            <w:placeholder>
              <w:docPart w:val="GBC22222222222222222222222222222"/>
            </w:placeholder>
          </w:sdtPr>
          <w:sdtEndPr/>
          <w:sdtContent>
            <w:p w14:paraId="3BD1E881" w14:textId="77777777" w:rsidR="00471D53" w:rsidRDefault="004F686E" w:rsidP="004F686E">
              <w:pPr>
                <w:pStyle w:val="afffff6"/>
                <w:widowControl/>
                <w:numPr>
                  <w:ilvl w:val="0"/>
                  <w:numId w:val="36"/>
                </w:numPr>
                <w:tabs>
                  <w:tab w:val="left" w:pos="1134"/>
                </w:tabs>
                <w:spacing w:beforeLines="50" w:before="120" w:afterLines="50" w:after="120" w:line="360" w:lineRule="exact"/>
                <w:ind w:left="422" w:firstLineChars="0" w:hanging="422"/>
                <w:jc w:val="left"/>
                <w:rPr>
                  <w:rFonts w:ascii="宋体" w:hAnsi="宋体"/>
                  <w:b w:val="0"/>
                  <w:sz w:val="22"/>
                  <w:szCs w:val="22"/>
                </w:rPr>
              </w:pPr>
              <w:r>
                <w:rPr>
                  <w:rFonts w:ascii="宋体" w:hAnsi="宋体" w:hint="eastAsia"/>
                  <w:b w:val="0"/>
                  <w:sz w:val="22"/>
                  <w:szCs w:val="22"/>
                </w:rPr>
                <w:t>外币交易</w:t>
              </w:r>
            </w:p>
            <w:p w14:paraId="7ED17C18"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本集团外币交易按交易发生日的即期汇率将外币金额折算为人民币金额。于资产负债表日，外币货币性项目采用资产负债表日的即期汇率折算为人民币，所产生的折算差额除了为购建或生产符合资本化条件的资产而借入的外币专门借款产生的汇兑差额按资本化的原则处理外，直接计入当期损益。</w:t>
              </w:r>
            </w:p>
            <w:p w14:paraId="45929FC0" w14:textId="77777777" w:rsidR="00471D53" w:rsidRDefault="004F686E" w:rsidP="004F686E">
              <w:pPr>
                <w:pStyle w:val="afffff6"/>
                <w:widowControl/>
                <w:numPr>
                  <w:ilvl w:val="0"/>
                  <w:numId w:val="36"/>
                </w:numPr>
                <w:tabs>
                  <w:tab w:val="left" w:pos="1134"/>
                </w:tabs>
                <w:spacing w:beforeLines="50" w:before="120" w:afterLines="50" w:after="120" w:line="360" w:lineRule="exact"/>
                <w:ind w:left="440" w:firstLineChars="0" w:hanging="440"/>
                <w:jc w:val="left"/>
                <w:rPr>
                  <w:rFonts w:ascii="宋体" w:hAnsi="宋体"/>
                  <w:b w:val="0"/>
                  <w:sz w:val="22"/>
                  <w:szCs w:val="22"/>
                </w:rPr>
              </w:pPr>
              <w:r>
                <w:rPr>
                  <w:rFonts w:ascii="宋体" w:hAnsi="宋体" w:hint="eastAsia"/>
                  <w:b w:val="0"/>
                  <w:sz w:val="22"/>
                  <w:szCs w:val="22"/>
                </w:rPr>
                <w:t>外币财务报表的折算</w:t>
              </w:r>
            </w:p>
            <w:p w14:paraId="25076C7B" w14:textId="77777777" w:rsidR="00471D53" w:rsidRDefault="004F686E" w:rsidP="00471D53">
              <w:pPr>
                <w:spacing w:beforeLines="50" w:before="120" w:afterLines="50" w:after="120" w:line="360" w:lineRule="exact"/>
                <w:ind w:firstLineChars="200" w:firstLine="440"/>
                <w:jc w:val="both"/>
                <w:rPr>
                  <w:sz w:val="22"/>
                  <w:szCs w:val="22"/>
                </w:rPr>
              </w:pPr>
              <w:r>
                <w:rPr>
                  <w:sz w:val="22"/>
                  <w:szCs w:val="22"/>
                </w:rPr>
                <w:t>外币资产负债表中资产、负债类项目</w:t>
              </w:r>
              <w:r>
                <w:rPr>
                  <w:rFonts w:hint="eastAsia"/>
                  <w:sz w:val="22"/>
                  <w:szCs w:val="22"/>
                </w:rPr>
                <w:t>采用资产负债表日的即期汇率折算</w:t>
              </w:r>
              <w:r>
                <w:rPr>
                  <w:sz w:val="22"/>
                  <w:szCs w:val="22"/>
                </w:rPr>
                <w:t>；</w:t>
              </w:r>
              <w:r>
                <w:rPr>
                  <w:rFonts w:hint="eastAsia"/>
                  <w:sz w:val="22"/>
                  <w:szCs w:val="22"/>
                </w:rPr>
                <w:t>所有者</w:t>
              </w:r>
              <w:r>
                <w:rPr>
                  <w:sz w:val="22"/>
                  <w:szCs w:val="22"/>
                </w:rPr>
                <w:t>权益类项目除“未分配利润”外，均按业务发生时的</w:t>
              </w:r>
              <w:r>
                <w:rPr>
                  <w:rFonts w:hint="eastAsia"/>
                  <w:sz w:val="22"/>
                  <w:szCs w:val="22"/>
                </w:rPr>
                <w:t>即期</w:t>
              </w:r>
              <w:r>
                <w:rPr>
                  <w:sz w:val="22"/>
                  <w:szCs w:val="22"/>
                </w:rPr>
                <w:t>汇率折算；</w:t>
              </w:r>
              <w:r>
                <w:rPr>
                  <w:rFonts w:hint="eastAsia"/>
                  <w:sz w:val="22"/>
                  <w:szCs w:val="22"/>
                </w:rPr>
                <w:t>利润表中的收入与费用项目，采用交易发生日的即期汇率折算。上述折算产生的外币报表折算差额，在其他综合收益项目中列示。外币现金流量采用现金流量发生日的即期汇率折算。汇率变动对现金的影响额，在现金流量表中单独列示。</w:t>
              </w:r>
            </w:p>
            <w:p w14:paraId="28D97B75" w14:textId="77777777" w:rsidR="00471D53" w:rsidRDefault="00B664AF">
              <w:pPr>
                <w:rPr>
                  <w:szCs w:val="21"/>
                </w:rPr>
              </w:pPr>
            </w:p>
          </w:sdtContent>
        </w:sdt>
        <w:p w14:paraId="055599B0" w14:textId="77777777" w:rsidR="00471D53" w:rsidRDefault="00B664AF">
          <w:pPr>
            <w:rPr>
              <w:szCs w:val="21"/>
            </w:rPr>
          </w:pPr>
        </w:p>
      </w:sdtContent>
    </w:sdt>
    <w:sdt>
      <w:sdtPr>
        <w:rPr>
          <w:rFonts w:ascii="宋体" w:hAnsi="宋体" w:cs="宋体"/>
          <w:b w:val="0"/>
          <w:bCs w:val="0"/>
          <w:kern w:val="0"/>
          <w:szCs w:val="24"/>
        </w:rPr>
        <w:alias w:val="模块:金融工具"/>
        <w:tag w:val="_GBC_4b3a058b038b41689d379e6a2726a904"/>
        <w:id w:val="184330028"/>
        <w:lock w:val="sdtLocked"/>
        <w:placeholder>
          <w:docPart w:val="GBC22222222222222222222222222222"/>
        </w:placeholder>
      </w:sdtPr>
      <w:sdtEndPr>
        <w:rPr>
          <w:rFonts w:hint="eastAsia"/>
          <w:szCs w:val="21"/>
        </w:rPr>
      </w:sdtEndPr>
      <w:sdtContent>
        <w:p w14:paraId="598D06A4" w14:textId="77777777" w:rsidR="00471D53" w:rsidRDefault="004F686E" w:rsidP="004F686E">
          <w:pPr>
            <w:pStyle w:val="afffff7"/>
            <w:numPr>
              <w:ilvl w:val="0"/>
              <w:numId w:val="41"/>
            </w:numPr>
            <w:rPr>
              <w:rFonts w:ascii="宋体" w:hAnsi="宋体"/>
            </w:rPr>
          </w:pPr>
          <w:r>
            <w:rPr>
              <w:rFonts w:ascii="宋体" w:hAnsi="宋体"/>
            </w:rPr>
            <w:t>金融工具</w:t>
          </w:r>
        </w:p>
        <w:sdt>
          <w:sdtPr>
            <w:rPr>
              <w:rFonts w:hint="eastAsia"/>
              <w:szCs w:val="21"/>
            </w:rPr>
            <w:alias w:val="是否适用：金融工具_重要会计政策和估计[双击切换]"/>
            <w:tag w:val="_GBC_285bdf73a629411f9c5d05731712b876"/>
            <w:id w:val="676848167"/>
            <w:lock w:val="sdtLocked"/>
            <w:placeholder>
              <w:docPart w:val="GBC22222222222222222222222222222"/>
            </w:placeholder>
          </w:sdtPr>
          <w:sdtEndPr/>
          <w:sdtContent>
            <w:p w14:paraId="1244AAB5" w14:textId="77777777" w:rsidR="00471D53" w:rsidRDefault="004F686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ascii="宋体" w:hAnsi="宋体" w:cs="宋体" w:hint="eastAsia"/>
              <w:b w:val="0"/>
              <w:bCs w:val="0"/>
              <w:kern w:val="0"/>
              <w:szCs w:val="24"/>
            </w:rPr>
            <w:alias w:val="金融资产和金融负债的核算方法"/>
            <w:tag w:val="_GBC_b358067bbe2a49bf880c383a5db50d8a"/>
            <w:id w:val="1868567502"/>
            <w:lock w:val="sdtLocked"/>
            <w:placeholder>
              <w:docPart w:val="GBC22222222222222222222222222222"/>
            </w:placeholder>
          </w:sdtPr>
          <w:sdtEndPr/>
          <w:sdtContent>
            <w:p w14:paraId="08F0C622" w14:textId="77777777" w:rsidR="00471D53" w:rsidRDefault="004F686E" w:rsidP="004F686E">
              <w:pPr>
                <w:pStyle w:val="afffff6"/>
                <w:widowControl/>
                <w:numPr>
                  <w:ilvl w:val="0"/>
                  <w:numId w:val="36"/>
                </w:numPr>
                <w:spacing w:beforeLines="50" w:before="120" w:afterLines="50" w:after="120" w:line="360" w:lineRule="exact"/>
                <w:ind w:left="422" w:firstLineChars="0" w:hanging="422"/>
                <w:jc w:val="left"/>
                <w:rPr>
                  <w:rFonts w:ascii="宋体" w:hAnsi="宋体"/>
                  <w:b w:val="0"/>
                  <w:sz w:val="22"/>
                  <w:szCs w:val="22"/>
                </w:rPr>
              </w:pPr>
              <w:r>
                <w:rPr>
                  <w:rFonts w:ascii="宋体" w:hAnsi="宋体" w:hint="eastAsia"/>
                  <w:b w:val="0"/>
                  <w:sz w:val="22"/>
                  <w:szCs w:val="22"/>
                </w:rPr>
                <w:t>金融资产</w:t>
              </w:r>
            </w:p>
            <w:p w14:paraId="17EDBD34" w14:textId="77777777" w:rsidR="00471D53" w:rsidRDefault="004F686E" w:rsidP="004F686E">
              <w:pPr>
                <w:pStyle w:val="afffffffff8"/>
                <w:numPr>
                  <w:ilvl w:val="0"/>
                  <w:numId w:val="42"/>
                </w:numPr>
                <w:tabs>
                  <w:tab w:val="left" w:pos="993"/>
                  <w:tab w:val="left" w:pos="1160"/>
                  <w:tab w:val="left" w:pos="2355"/>
                </w:tabs>
                <w:spacing w:beforeLines="50" w:before="120" w:afterLines="50" w:after="120" w:line="360" w:lineRule="exact"/>
                <w:ind w:firstLineChars="0" w:hanging="1788"/>
                <w:rPr>
                  <w:bCs w:val="0"/>
                  <w:snapToGrid w:val="0"/>
                  <w:sz w:val="22"/>
                  <w:szCs w:val="22"/>
                </w:rPr>
              </w:pPr>
              <w:r>
                <w:rPr>
                  <w:rFonts w:hint="eastAsia"/>
                  <w:bCs w:val="0"/>
                  <w:snapToGrid w:val="0"/>
                  <w:sz w:val="22"/>
                  <w:szCs w:val="22"/>
                </w:rPr>
                <w:t>金融资产分类、确认依据和计量方法</w:t>
              </w:r>
            </w:p>
            <w:p w14:paraId="168025DF"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本集团根据管理金融资产的业务模式和金融资产的合同现金流特征，将金融资产分类为</w:t>
              </w:r>
              <w:r>
                <w:rPr>
                  <w:sz w:val="22"/>
                  <w:szCs w:val="22"/>
                </w:rPr>
                <w:t>以摊余成本计量的金融资产</w:t>
              </w:r>
              <w:r>
                <w:rPr>
                  <w:rFonts w:hint="eastAsia"/>
                  <w:sz w:val="22"/>
                  <w:szCs w:val="22"/>
                </w:rPr>
                <w:t>、以公允价值计量且其变动计入其他综合收益的金融资产、以公允价值计量且其变动计入当期损益的金融资产。</w:t>
              </w:r>
            </w:p>
            <w:p w14:paraId="4D399568"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本集团将同时符</w:t>
              </w:r>
              <w:r>
                <w:rPr>
                  <w:sz w:val="22"/>
                  <w:szCs w:val="22"/>
                </w:rPr>
                <w:t>合下列条件</w:t>
              </w:r>
              <w:r>
                <w:rPr>
                  <w:rFonts w:hint="eastAsia"/>
                  <w:sz w:val="22"/>
                  <w:szCs w:val="22"/>
                </w:rPr>
                <w:t>的金融资产分类为</w:t>
              </w:r>
              <w:r>
                <w:rPr>
                  <w:sz w:val="22"/>
                  <w:szCs w:val="22"/>
                </w:rPr>
                <w:t>以摊余成本计量的金融资产：①管理该金融资产的业务模式是以收取合同现金流量为目标。②该金融资产的合同条款规定，在特定日期产生的现金流量，仅为对本金和以未偿付本金金额为基础的利息的支付</w:t>
              </w:r>
              <w:r>
                <w:rPr>
                  <w:rFonts w:hint="eastAsia"/>
                  <w:sz w:val="22"/>
                  <w:szCs w:val="22"/>
                </w:rPr>
                <w:t>。此类金融资产</w:t>
              </w:r>
              <w:r>
                <w:rPr>
                  <w:sz w:val="22"/>
                  <w:szCs w:val="22"/>
                </w:rPr>
                <w:t>按照公允价值</w:t>
              </w:r>
              <w:r>
                <w:rPr>
                  <w:rFonts w:hint="eastAsia"/>
                  <w:sz w:val="22"/>
                  <w:szCs w:val="22"/>
                </w:rPr>
                <w:t>进行初始</w:t>
              </w:r>
              <w:r>
                <w:rPr>
                  <w:sz w:val="22"/>
                  <w:szCs w:val="22"/>
                </w:rPr>
                <w:t>计量</w:t>
              </w:r>
              <w:r>
                <w:rPr>
                  <w:rFonts w:hint="eastAsia"/>
                  <w:sz w:val="22"/>
                  <w:szCs w:val="22"/>
                </w:rPr>
                <w:t>，相关交易费用计入初始确认金额；以摊余成本进行后续计量。除被指定为被套期项目的，按照实际利率法摊销初始金额与到期金额之间的差额，其摊销、减值、汇兑损益以及</w:t>
              </w:r>
              <w:r>
                <w:rPr>
                  <w:sz w:val="22"/>
                  <w:szCs w:val="22"/>
                </w:rPr>
                <w:t>终止确认</w:t>
              </w:r>
              <w:r>
                <w:rPr>
                  <w:rFonts w:hint="eastAsia"/>
                  <w:sz w:val="22"/>
                  <w:szCs w:val="22"/>
                </w:rPr>
                <w:t>时</w:t>
              </w:r>
              <w:r>
                <w:rPr>
                  <w:sz w:val="22"/>
                  <w:szCs w:val="22"/>
                </w:rPr>
                <w:t>产生的利得或损失，计入当期损益</w:t>
              </w:r>
              <w:r>
                <w:rPr>
                  <w:rFonts w:hint="eastAsia"/>
                  <w:sz w:val="22"/>
                  <w:szCs w:val="22"/>
                </w:rPr>
                <w:t>。</w:t>
              </w:r>
            </w:p>
            <w:p w14:paraId="352595DE"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本集团将同时符</w:t>
              </w:r>
              <w:r>
                <w:rPr>
                  <w:sz w:val="22"/>
                  <w:szCs w:val="22"/>
                </w:rPr>
                <w:t>合下列条件</w:t>
              </w:r>
              <w:r>
                <w:rPr>
                  <w:rFonts w:hint="eastAsia"/>
                  <w:sz w:val="22"/>
                  <w:szCs w:val="22"/>
                </w:rPr>
                <w:t>的金融资产分类为</w:t>
              </w:r>
              <w:r>
                <w:rPr>
                  <w:sz w:val="22"/>
                  <w:szCs w:val="22"/>
                </w:rPr>
                <w:t>以公允价值计量且其变动计入其他综合收益的金融资产：①管理该金融资产的业务模式既以收取合同现金流量为目标又以出售该金融资产为目标。②该金融资产的合同条款规定，在特定日期产生的现金流量，仅为对本金和以未偿付本金金额为基础的利息的支付。</w:t>
              </w:r>
              <w:r>
                <w:rPr>
                  <w:rFonts w:hint="eastAsia"/>
                  <w:sz w:val="22"/>
                  <w:szCs w:val="22"/>
                </w:rPr>
                <w:t>此类金融资产</w:t>
              </w:r>
              <w:r>
                <w:rPr>
                  <w:sz w:val="22"/>
                  <w:szCs w:val="22"/>
                </w:rPr>
                <w:t>按照公允价值</w:t>
              </w:r>
              <w:r>
                <w:rPr>
                  <w:rFonts w:hint="eastAsia"/>
                  <w:sz w:val="22"/>
                  <w:szCs w:val="22"/>
                </w:rPr>
                <w:t>进行初始</w:t>
              </w:r>
              <w:r>
                <w:rPr>
                  <w:sz w:val="22"/>
                  <w:szCs w:val="22"/>
                </w:rPr>
                <w:t>计量</w:t>
              </w:r>
              <w:r>
                <w:rPr>
                  <w:rFonts w:hint="eastAsia"/>
                  <w:sz w:val="22"/>
                  <w:szCs w:val="22"/>
                </w:rPr>
                <w:t>，相关交易费用计入初始确认金额。除被指定为被套期项目的，此类金融资产，除信用减值损失或利得、汇兑损益和按照实际利率法计算的该金融资产利息之外，所产生的其他利得或损失，均计入其他综合收益；金融资产终止确认时，之前计入其他综合收益的累计利得或损失应当从其他综合收益中转出，计入当期损益。</w:t>
              </w:r>
            </w:p>
            <w:p w14:paraId="7DF32C61"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lastRenderedPageBreak/>
                <w:t>本集团按照实际利率法确认利息收入。利息收入根据金融资产账面余额乘以实际利率计算确定，但下列情况除外：</w:t>
              </w:r>
              <w:r>
                <w:rPr>
                  <w:sz w:val="22"/>
                  <w:szCs w:val="22"/>
                </w:rPr>
                <w:fldChar w:fldCharType="begin"/>
              </w:r>
              <w:r>
                <w:rPr>
                  <w:sz w:val="22"/>
                  <w:szCs w:val="22"/>
                </w:rPr>
                <w:instrText xml:space="preserve"> </w:instrText>
              </w:r>
              <w:r>
                <w:rPr>
                  <w:rFonts w:hint="eastAsia"/>
                  <w:sz w:val="22"/>
                  <w:szCs w:val="22"/>
                </w:rPr>
                <w:instrText>= 1 \* GB3</w:instrText>
              </w:r>
              <w:r>
                <w:rPr>
                  <w:sz w:val="22"/>
                  <w:szCs w:val="22"/>
                </w:rPr>
                <w:instrText xml:space="preserve"> </w:instrText>
              </w:r>
              <w:r>
                <w:rPr>
                  <w:sz w:val="22"/>
                  <w:szCs w:val="22"/>
                </w:rPr>
                <w:fldChar w:fldCharType="separate"/>
              </w:r>
              <w:r>
                <w:rPr>
                  <w:rFonts w:hint="eastAsia"/>
                  <w:sz w:val="22"/>
                  <w:szCs w:val="22"/>
                </w:rPr>
                <w:t>①</w:t>
              </w:r>
              <w:r>
                <w:rPr>
                  <w:sz w:val="22"/>
                  <w:szCs w:val="22"/>
                </w:rPr>
                <w:fldChar w:fldCharType="end"/>
              </w:r>
              <w:r>
                <w:rPr>
                  <w:rFonts w:hint="eastAsia"/>
                  <w:sz w:val="22"/>
                  <w:szCs w:val="22"/>
                </w:rPr>
                <w:t>对于购入或源生的已发生信用减值的金融资产，自初始确认起，按照该金融资产的摊余成本和经信用调整的实际利率计算确定其利息收入。</w:t>
              </w:r>
              <w:r>
                <w:rPr>
                  <w:sz w:val="22"/>
                  <w:szCs w:val="22"/>
                </w:rPr>
                <w:fldChar w:fldCharType="begin"/>
              </w:r>
              <w:r>
                <w:rPr>
                  <w:sz w:val="22"/>
                  <w:szCs w:val="22"/>
                </w:rPr>
                <w:instrText xml:space="preserve"> </w:instrText>
              </w:r>
              <w:r>
                <w:rPr>
                  <w:rFonts w:hint="eastAsia"/>
                  <w:sz w:val="22"/>
                  <w:szCs w:val="22"/>
                </w:rPr>
                <w:instrText>= 2 \* GB3</w:instrText>
              </w:r>
              <w:r>
                <w:rPr>
                  <w:sz w:val="22"/>
                  <w:szCs w:val="22"/>
                </w:rPr>
                <w:instrText xml:space="preserve"> </w:instrText>
              </w:r>
              <w:r>
                <w:rPr>
                  <w:sz w:val="22"/>
                  <w:szCs w:val="22"/>
                </w:rPr>
                <w:fldChar w:fldCharType="separate"/>
              </w:r>
              <w:r>
                <w:rPr>
                  <w:rFonts w:hint="eastAsia"/>
                  <w:sz w:val="22"/>
                  <w:szCs w:val="22"/>
                </w:rPr>
                <w:t>②</w:t>
              </w:r>
              <w:r>
                <w:rPr>
                  <w:sz w:val="22"/>
                  <w:szCs w:val="22"/>
                </w:rPr>
                <w:fldChar w:fldCharType="end"/>
              </w:r>
              <w:r>
                <w:rPr>
                  <w:rFonts w:hint="eastAsia"/>
                  <w:sz w:val="22"/>
                  <w:szCs w:val="22"/>
                </w:rPr>
                <w:t>对于购入或源生的未发生信用减值、但在后续期间成为已发生信用减值的金融资产，在后续期间，按照该金融资产的摊余成本和实际利率计算确定其利息收入。</w:t>
              </w:r>
            </w:p>
            <w:p w14:paraId="74FA710F"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本集团</w:t>
              </w:r>
              <w:r>
                <w:rPr>
                  <w:sz w:val="22"/>
                  <w:szCs w:val="22"/>
                </w:rPr>
                <w:t>将非交易性权益工具投资指定为以公允价值计量且其变动计入其他综合收益的金融资产</w:t>
              </w:r>
              <w:r>
                <w:rPr>
                  <w:rFonts w:hint="eastAsia"/>
                  <w:sz w:val="22"/>
                  <w:szCs w:val="22"/>
                </w:rPr>
                <w:t>。该指定一经作出，不得撤销。本集团指定的以公允价值计量且其变动计入其他综合收益的非交易性权益工具投资，</w:t>
              </w:r>
              <w:r>
                <w:rPr>
                  <w:sz w:val="22"/>
                  <w:szCs w:val="22"/>
                </w:rPr>
                <w:t>按照公允价值</w:t>
              </w:r>
              <w:r>
                <w:rPr>
                  <w:rFonts w:hint="eastAsia"/>
                  <w:sz w:val="22"/>
                  <w:szCs w:val="22"/>
                </w:rPr>
                <w:t>进行初始</w:t>
              </w:r>
              <w:r>
                <w:rPr>
                  <w:sz w:val="22"/>
                  <w:szCs w:val="22"/>
                </w:rPr>
                <w:t>计量</w:t>
              </w:r>
              <w:r>
                <w:rPr>
                  <w:rFonts w:hint="eastAsia"/>
                  <w:sz w:val="22"/>
                  <w:szCs w:val="22"/>
                </w:rPr>
                <w:t>，相关交易费用计入初始确认金额；除了获得股利（属于投资成本收回部分的除外）计入当期损益外，其他相关的利得和损失（包括汇兑损益）均计入其他综合收益，且后续不得转入当期损益。当其终止确认时，之前计入其他综合收益的累计利得或损失从其他综合收益中转出，计入留存收益。</w:t>
              </w:r>
            </w:p>
            <w:p w14:paraId="46D034F9"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除上述</w:t>
              </w:r>
              <w:r>
                <w:rPr>
                  <w:sz w:val="22"/>
                  <w:szCs w:val="22"/>
                </w:rPr>
                <w:t>分类为以摊余成本计量的金融资产和分类为以公允价值计量且其变动计入其他综合收益的金融资产之外的金融资产</w:t>
              </w:r>
              <w:r>
                <w:rPr>
                  <w:rFonts w:hint="eastAsia"/>
                  <w:sz w:val="22"/>
                  <w:szCs w:val="22"/>
                </w:rPr>
                <w:t>，本集团</w:t>
              </w:r>
              <w:r>
                <w:rPr>
                  <w:sz w:val="22"/>
                  <w:szCs w:val="22"/>
                </w:rPr>
                <w:t>将</w:t>
              </w:r>
              <w:r>
                <w:rPr>
                  <w:rFonts w:hint="eastAsia"/>
                  <w:sz w:val="22"/>
                  <w:szCs w:val="22"/>
                </w:rPr>
                <w:t>其分类为</w:t>
              </w:r>
              <w:r>
                <w:rPr>
                  <w:sz w:val="22"/>
                  <w:szCs w:val="22"/>
                </w:rPr>
                <w:t>以公允价值计量且其变动计入当期损益的金融资产</w:t>
              </w:r>
              <w:r>
                <w:rPr>
                  <w:rFonts w:hint="eastAsia"/>
                  <w:sz w:val="22"/>
                  <w:szCs w:val="22"/>
                </w:rPr>
                <w:t>。此类金融资产</w:t>
              </w:r>
              <w:r>
                <w:rPr>
                  <w:sz w:val="22"/>
                  <w:szCs w:val="22"/>
                </w:rPr>
                <w:t>按照公允价值</w:t>
              </w:r>
              <w:r>
                <w:rPr>
                  <w:rFonts w:hint="eastAsia"/>
                  <w:sz w:val="22"/>
                  <w:szCs w:val="22"/>
                </w:rPr>
                <w:t>进行初始</w:t>
              </w:r>
              <w:r>
                <w:rPr>
                  <w:sz w:val="22"/>
                  <w:szCs w:val="22"/>
                </w:rPr>
                <w:t>计量</w:t>
              </w:r>
              <w:r>
                <w:rPr>
                  <w:rFonts w:hint="eastAsia"/>
                  <w:sz w:val="22"/>
                  <w:szCs w:val="22"/>
                </w:rPr>
                <w:t>，相关交易费用直接计入当期损益。此类金融资产的利得或损失，计入当期损益。</w:t>
              </w:r>
            </w:p>
            <w:p w14:paraId="3C8D1D48"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本集团</w:t>
              </w:r>
              <w:r>
                <w:rPr>
                  <w:sz w:val="22"/>
                  <w:szCs w:val="22"/>
                </w:rPr>
                <w:t>在非同一控制下的企业合并中确认的或有对价构成金融资产的，该金融资产分类为以公允价值计量且其变动计入当期损益的金融资产</w:t>
              </w:r>
              <w:r>
                <w:rPr>
                  <w:rFonts w:hint="eastAsia"/>
                  <w:sz w:val="22"/>
                  <w:szCs w:val="22"/>
                </w:rPr>
                <w:t>。</w:t>
              </w:r>
            </w:p>
            <w:p w14:paraId="0CA9316B"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本集团在改变管理金融资产的业务模式时，对所有受影响的相关金融资产进行重分类。</w:t>
              </w:r>
            </w:p>
            <w:p w14:paraId="51D99CAD" w14:textId="77777777" w:rsidR="00471D53" w:rsidRDefault="004F686E" w:rsidP="004F686E">
              <w:pPr>
                <w:pStyle w:val="afffffffff8"/>
                <w:numPr>
                  <w:ilvl w:val="0"/>
                  <w:numId w:val="42"/>
                </w:numPr>
                <w:tabs>
                  <w:tab w:val="left" w:pos="993"/>
                  <w:tab w:val="left" w:pos="1160"/>
                  <w:tab w:val="left" w:pos="2355"/>
                </w:tabs>
                <w:spacing w:beforeLines="50" w:before="120" w:afterLines="50" w:after="120" w:line="360" w:lineRule="exact"/>
                <w:ind w:firstLineChars="0" w:hanging="1788"/>
                <w:rPr>
                  <w:bCs w:val="0"/>
                  <w:snapToGrid w:val="0"/>
                  <w:sz w:val="22"/>
                  <w:szCs w:val="22"/>
                </w:rPr>
              </w:pPr>
              <w:r>
                <w:rPr>
                  <w:rFonts w:hint="eastAsia"/>
                  <w:bCs w:val="0"/>
                  <w:snapToGrid w:val="0"/>
                  <w:sz w:val="22"/>
                  <w:szCs w:val="22"/>
                </w:rPr>
                <w:t>金融资产转移的确认依据和计量方法</w:t>
              </w:r>
            </w:p>
            <w:p w14:paraId="245C8BA4"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本集团将满足下列条件之一的金融资产予以终止确认：①收取该金融资产现金流量的合同权利终止；②金融资产发生转移，本集团转移了金融资产所有权上几乎所有风险和报酬；③金融资产发生转移，本集团既没有转移也没有保留金融资产所有权上几乎所有风险和报酬，且未保留对该金融资产控制的。</w:t>
              </w:r>
            </w:p>
            <w:p w14:paraId="0D65D08C"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金融资产整体转移满足终止确认条件的，将所转移金融资产的账面价值，与因转移而收到的对价及原直接计入其他综合收益的公允价值变动累计额中对应终止确认部分的金额（涉及转移的</w:t>
              </w:r>
              <w:r>
                <w:rPr>
                  <w:sz w:val="22"/>
                  <w:szCs w:val="22"/>
                </w:rPr>
                <w:t>金融资产的合同条款规定，在特定日期产生的现金流量，仅为对本金和以未偿付本金金额为基础的利息的支付</w:t>
              </w:r>
              <w:r>
                <w:rPr>
                  <w:rFonts w:hint="eastAsia"/>
                  <w:sz w:val="22"/>
                  <w:szCs w:val="22"/>
                </w:rPr>
                <w:t>）之和的差额计入当期损益。</w:t>
              </w:r>
            </w:p>
            <w:p w14:paraId="15FE46A8"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金融资产部分转移满足终止确认条件的，将所转移金融资产整体的账面价值，在终止确认部分和未终止确认部分之间，按照各自的相对公允价值进行分摊，并将因转移而收到的对价及应分摊至终止确认部分的原计入其他综合收益的公允价值变动累计额中对应终止确认部分的金额（涉及转移的</w:t>
              </w:r>
              <w:r>
                <w:rPr>
                  <w:sz w:val="22"/>
                  <w:szCs w:val="22"/>
                </w:rPr>
                <w:t>金融资产的合同条款规定，在特定日期产生的现金流量，仅为对本金和以未偿付本金金额为基础的利息的支付</w:t>
              </w:r>
              <w:r>
                <w:rPr>
                  <w:rFonts w:hint="eastAsia"/>
                  <w:sz w:val="22"/>
                  <w:szCs w:val="22"/>
                </w:rPr>
                <w:t>）之和，与分摊的前述金融资产整体账面价值的差额计入当期损益。</w:t>
              </w:r>
            </w:p>
            <w:p w14:paraId="56E94C8F" w14:textId="77777777" w:rsidR="00471D53" w:rsidRDefault="004F686E" w:rsidP="004F686E">
              <w:pPr>
                <w:pStyle w:val="afffff6"/>
                <w:widowControl/>
                <w:numPr>
                  <w:ilvl w:val="0"/>
                  <w:numId w:val="36"/>
                </w:numPr>
                <w:spacing w:beforeLines="50" w:before="120" w:afterLines="50" w:after="120" w:line="360" w:lineRule="exact"/>
                <w:ind w:left="440" w:firstLineChars="0" w:hanging="440"/>
                <w:jc w:val="left"/>
                <w:rPr>
                  <w:rFonts w:ascii="宋体" w:hAnsi="宋体"/>
                  <w:b w:val="0"/>
                  <w:sz w:val="22"/>
                  <w:szCs w:val="22"/>
                </w:rPr>
              </w:pPr>
              <w:r>
                <w:rPr>
                  <w:rFonts w:ascii="宋体" w:hAnsi="宋体"/>
                  <w:b w:val="0"/>
                  <w:sz w:val="22"/>
                  <w:szCs w:val="22"/>
                </w:rPr>
                <w:t>金融负债</w:t>
              </w:r>
            </w:p>
            <w:p w14:paraId="4F2AE643" w14:textId="77777777" w:rsidR="00471D53" w:rsidRDefault="004F686E" w:rsidP="004F686E">
              <w:pPr>
                <w:pStyle w:val="afffffffff8"/>
                <w:numPr>
                  <w:ilvl w:val="0"/>
                  <w:numId w:val="43"/>
                </w:numPr>
                <w:tabs>
                  <w:tab w:val="clear" w:pos="2355"/>
                  <w:tab w:val="left" w:pos="993"/>
                  <w:tab w:val="left" w:pos="1160"/>
                </w:tabs>
                <w:spacing w:beforeLines="50" w:before="120" w:afterLines="50" w:after="120" w:line="360" w:lineRule="exact"/>
                <w:ind w:firstLineChars="0" w:hanging="1788"/>
                <w:rPr>
                  <w:bCs w:val="0"/>
                  <w:snapToGrid w:val="0"/>
                  <w:sz w:val="22"/>
                  <w:szCs w:val="22"/>
                </w:rPr>
              </w:pPr>
              <w:r>
                <w:rPr>
                  <w:rFonts w:hint="eastAsia"/>
                  <w:bCs w:val="0"/>
                  <w:snapToGrid w:val="0"/>
                  <w:sz w:val="22"/>
                  <w:szCs w:val="22"/>
                </w:rPr>
                <w:t>金融负债分类、确认依据和计量方法</w:t>
              </w:r>
            </w:p>
            <w:p w14:paraId="3BD069CA"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lastRenderedPageBreak/>
                <w:t>本集团的金融负债于初始确认时分类为以公允价值计量且其变动计入当期损益的金融负债和其他金融负债。</w:t>
              </w:r>
            </w:p>
            <w:p w14:paraId="45772EDE"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以公允价值计量且其变动计入当期损益的金融负债，包括交易性金融负债和初始确认时指定为以公允价值计量且其变动计入当期损益的金融负债，按照公允价值进行后续计量，公允价值变动形成的利得或损失以及与该金融负债相关的股利和利息支出计入当期损益。</w:t>
              </w:r>
            </w:p>
            <w:p w14:paraId="084DD53E"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其他金融负债采用实际利率法，按照摊余成本进行后续计量。除下列各项外，本集团将金融负债分类为以摊余成本计量的金融负债：①以公允价值计量且其变动计入当期损益的金融负债，包括交易性金融负债（含属于金融负债的衍生工具）和指定为以公允价值计量且其变动计入当期损益的金融负债。②不符合终止确认条件的金融资产转移或继续涉入被转移金融资产所形成的金融负债。③不属于以上①或②情形的财务担保合同，以及不属于以上①情形的以低于市场利率贷款的贷款承诺。</w:t>
              </w:r>
            </w:p>
            <w:p w14:paraId="2CFA4FCA"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本集团将在非同一控制下的企业合并中作为购买方确认的或有对价形成金融负债的，按照以公允价值计量且其变动计入当期损益进行会计处理。</w:t>
              </w:r>
            </w:p>
            <w:p w14:paraId="19D3CEED" w14:textId="77777777" w:rsidR="00471D53" w:rsidRDefault="004F686E" w:rsidP="004F686E">
              <w:pPr>
                <w:pStyle w:val="afffffffff8"/>
                <w:numPr>
                  <w:ilvl w:val="0"/>
                  <w:numId w:val="43"/>
                </w:numPr>
                <w:tabs>
                  <w:tab w:val="left" w:pos="993"/>
                  <w:tab w:val="left" w:pos="1160"/>
                  <w:tab w:val="left" w:pos="2355"/>
                </w:tabs>
                <w:spacing w:beforeLines="50" w:before="120" w:afterLines="50" w:after="120" w:line="360" w:lineRule="exact"/>
                <w:ind w:firstLineChars="0" w:hanging="1788"/>
                <w:rPr>
                  <w:bCs w:val="0"/>
                  <w:snapToGrid w:val="0"/>
                  <w:sz w:val="22"/>
                  <w:szCs w:val="22"/>
                </w:rPr>
              </w:pPr>
              <w:r>
                <w:rPr>
                  <w:rFonts w:hint="eastAsia"/>
                  <w:bCs w:val="0"/>
                  <w:snapToGrid w:val="0"/>
                  <w:sz w:val="22"/>
                  <w:szCs w:val="22"/>
                </w:rPr>
                <w:t>金融负债终止确认条件</w:t>
              </w:r>
            </w:p>
            <w:p w14:paraId="6DB62C11"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当金融负债的现时义务全部或部分已经解除时，终止确认该金融负债或义务已解除的部分。公司与债权人之间签订协议，以承担新金融负债方式替换现存金融负债，且新金融负债与现存金融负债的合同条款实质上不同的，终止确认现存金融负债，并同时确认新金融负债。公司对现存金融负债全部或部分的合同条款作出实质性修改的，终止确认现存金融负债或其一部分，同时将修改条款后的金融负债确认为一项新金融负债。终止确认部分的账面价值与支付的对价之间的差额，计入当期损益。</w:t>
              </w:r>
            </w:p>
            <w:p w14:paraId="00C57D71" w14:textId="77777777" w:rsidR="00471D53" w:rsidRDefault="004F686E" w:rsidP="004F686E">
              <w:pPr>
                <w:pStyle w:val="afffff6"/>
                <w:widowControl/>
                <w:numPr>
                  <w:ilvl w:val="0"/>
                  <w:numId w:val="36"/>
                </w:numPr>
                <w:spacing w:beforeLines="50" w:before="120" w:afterLines="50" w:after="120" w:line="360" w:lineRule="exact"/>
                <w:ind w:left="440" w:firstLineChars="0" w:hanging="440"/>
                <w:jc w:val="left"/>
                <w:rPr>
                  <w:rFonts w:ascii="宋体" w:hAnsi="宋体"/>
                  <w:b w:val="0"/>
                  <w:sz w:val="22"/>
                  <w:szCs w:val="22"/>
                </w:rPr>
              </w:pPr>
              <w:r>
                <w:rPr>
                  <w:rFonts w:ascii="宋体" w:hAnsi="宋体" w:hint="eastAsia"/>
                  <w:b w:val="0"/>
                  <w:sz w:val="22"/>
                  <w:szCs w:val="22"/>
                </w:rPr>
                <w:t>金融资产和金融负债的公允价值的确定方法</w:t>
              </w:r>
            </w:p>
            <w:p w14:paraId="336A15DE"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本集团金融资产和金融负债以主要市场的价格计量金融资产和金融负债的公允价值，不存在主要市场的，以最有利市场的价格计量金融资产和金融负债的公允价值，并且采用当时适用并且有足够可利用数据和其他信息支持的估值技术。公允价值计量所使用的输入值分为三个层次，即第一层次输入值是计量日能够取得的相同资产或负债在活跃市场上未经调整的报价；第二层次输入值是除第一层次输入值外相关资产或负债直接或间接可观察的输入值；第三层次输入值是相关资产或负债的不可观察输入值。本集团优先使用第一层次输入值，最后再使用第三层次输入值。公允价值计量结果所属的层次，由对公允价值计量整体而言具有重大意义的输入值所属的最低层次决定。</w:t>
              </w:r>
            </w:p>
            <w:p w14:paraId="07D5B9DF"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本集团对权益工具的投资以公允价值计量。但在有限情况下，如果用以确定公允价值的近期信息不足，或者公允价值的可能估计金额分布范围很广，而成本代表了该范围内对公允价值的最佳估计的，该成本可代表其在该分布范围内对公允价值的恰当估计。</w:t>
              </w:r>
            </w:p>
            <w:p w14:paraId="2D486549" w14:textId="77777777" w:rsidR="00471D53" w:rsidRDefault="004F686E" w:rsidP="004F686E">
              <w:pPr>
                <w:pStyle w:val="afffff6"/>
                <w:widowControl/>
                <w:numPr>
                  <w:ilvl w:val="0"/>
                  <w:numId w:val="36"/>
                </w:numPr>
                <w:spacing w:beforeLines="50" w:before="120" w:afterLines="50" w:after="120" w:line="360" w:lineRule="exact"/>
                <w:ind w:left="440" w:firstLineChars="0" w:hanging="440"/>
                <w:jc w:val="left"/>
                <w:rPr>
                  <w:rFonts w:ascii="宋体" w:hAnsi="宋体"/>
                  <w:b w:val="0"/>
                  <w:sz w:val="22"/>
                  <w:szCs w:val="22"/>
                </w:rPr>
              </w:pPr>
              <w:r>
                <w:rPr>
                  <w:rFonts w:ascii="宋体" w:hAnsi="宋体" w:hint="eastAsia"/>
                  <w:b w:val="0"/>
                  <w:sz w:val="22"/>
                  <w:szCs w:val="22"/>
                </w:rPr>
                <w:t>金融资产和金融负债的抵销</w:t>
              </w:r>
            </w:p>
            <w:p w14:paraId="4D62655E"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本集团的金融资产和金融负债在资产负债表内分别列示，不相互抵销。但同时满足下列条件时，以相互抵销后的净额在资产负债表内列示：（1）本集团具有抵销已确认金额的法定</w:t>
              </w:r>
              <w:r>
                <w:rPr>
                  <w:rFonts w:hint="eastAsia"/>
                  <w:sz w:val="22"/>
                  <w:szCs w:val="22"/>
                </w:rPr>
                <w:lastRenderedPageBreak/>
                <w:t>权利，且该种法定权利是当前可执行的；（2）本集团计划以净额结算，或同时变现该金融资产和清偿该金融负债。</w:t>
              </w:r>
            </w:p>
            <w:p w14:paraId="52D7A00D" w14:textId="77777777" w:rsidR="00471D53" w:rsidRDefault="004F686E" w:rsidP="004F686E">
              <w:pPr>
                <w:pStyle w:val="afffff6"/>
                <w:widowControl/>
                <w:numPr>
                  <w:ilvl w:val="0"/>
                  <w:numId w:val="36"/>
                </w:numPr>
                <w:spacing w:beforeLines="50" w:before="120" w:afterLines="50" w:after="120" w:line="360" w:lineRule="exact"/>
                <w:ind w:left="440" w:firstLineChars="0" w:hanging="440"/>
                <w:jc w:val="left"/>
                <w:rPr>
                  <w:rFonts w:ascii="宋体" w:hAnsi="宋体"/>
                  <w:b w:val="0"/>
                  <w:sz w:val="22"/>
                  <w:szCs w:val="22"/>
                </w:rPr>
              </w:pPr>
              <w:r>
                <w:rPr>
                  <w:rFonts w:ascii="宋体" w:hAnsi="宋体" w:hint="eastAsia"/>
                  <w:b w:val="0"/>
                  <w:sz w:val="22"/>
                  <w:szCs w:val="22"/>
                </w:rPr>
                <w:t>金融负债与权益工具的区分及相关处理方法</w:t>
              </w:r>
            </w:p>
            <w:p w14:paraId="3523ED3D"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本集团按照以下原则区分金融负债与权益工具：（1）如果本集团不能无条件地避免以交付现金或其他金融资产来履行一项合同义务，则该合同义务符合金融负债的定义。有些金融工具虽然没有明确地包含交付现金或其他金融资产义务的条款和条件，但有可能通过其他条款和条件间接地形成合同义务。（2）如果一项金融工具须用或可用本集团自身权益工具进行结算，需要考虑用于结算该工具的本集团自身权益工具，是作为现金或其他金融资产的替代品，还是为了使该工具持有方享有在发行方扣除所有负债后的资产中的剩余权益。如果是前者，该工具是发行方的金融负债；如果是后者，该工具是发行方的权益工具。在某些情况下，一项金融工具合同规定本集团须用或可用自身权益工具结算该金融工具，其中合同权利或合同义务的金额等于可获取或需交付的自身权益工具的数量乘以其结算时的公允价值，则无论该合同权利或义务的金额是固定的，还是完全或部分地基于除本集团自身权益工具的市场价格以外的变量（例如利率、某种商品的价格或某项金融工具的价格）的变动而变动，该合同分类为金融负债。</w:t>
              </w:r>
            </w:p>
            <w:p w14:paraId="3E5100D2"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本集团在合并报表中对金融工具（或其组成部分）进行分类时，考虑了集团成员和金融工具持有方之间达成的所有条款和条件。如果集团作为一个整体由于该工具而承担了交付现金、其他金融资产或者以其他导致该工具成为金融负债的方式进行结算的义务，则该工具应当分类为金融负债。</w:t>
              </w:r>
            </w:p>
            <w:p w14:paraId="449952F4"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金融工具或其组成部分属于金融负债的，相关利息、股利（或股息）、利得或损失，以及赎回或再融资产生的利得或损失等，本集团计入当期损益。</w:t>
              </w:r>
            </w:p>
            <w:p w14:paraId="49102C3D"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金融工具或其组成部分属于权益工具的，其发行（含再融资）、回购、出售或注销时，本集团作为权益的变动处理，不确认权益工具的公允价值变动。</w:t>
              </w:r>
            </w:p>
            <w:p w14:paraId="0C7DF296" w14:textId="77777777" w:rsidR="00471D53" w:rsidRDefault="00B664AF">
              <w:pPr>
                <w:rPr>
                  <w:szCs w:val="21"/>
                </w:rPr>
              </w:pPr>
            </w:p>
          </w:sdtContent>
        </w:sdt>
      </w:sdtContent>
    </w:sdt>
    <w:p w14:paraId="5E088744" w14:textId="77777777" w:rsidR="00471D53" w:rsidRDefault="00B664AF">
      <w:pPr>
        <w:rPr>
          <w:szCs w:val="21"/>
        </w:rPr>
      </w:pPr>
    </w:p>
    <w:sdt>
      <w:sdtPr>
        <w:rPr>
          <w:rFonts w:ascii="宋体" w:hAnsi="宋体" w:cs="宋体" w:hint="eastAsia"/>
          <w:b w:val="0"/>
          <w:bCs w:val="0"/>
          <w:kern w:val="0"/>
          <w:szCs w:val="21"/>
        </w:rPr>
        <w:alias w:val="模块:应收票据应收票据的预期信用损失的确定方法及会计处理方法"/>
        <w:tag w:val="_SEC_fe6dfe1a730f4d3183b25ca057cb8f6a"/>
        <w:id w:val="-1336456291"/>
        <w:lock w:val="sdtLocked"/>
        <w:placeholder>
          <w:docPart w:val="GBC22222222222222222222222222222"/>
        </w:placeholder>
      </w:sdtPr>
      <w:sdtEndPr>
        <w:rPr>
          <w:rFonts w:hint="default"/>
        </w:rPr>
      </w:sdtEndPr>
      <w:sdtContent>
        <w:p w14:paraId="083A22F5" w14:textId="77777777" w:rsidR="00471D53" w:rsidRDefault="004F686E" w:rsidP="004F686E">
          <w:pPr>
            <w:pStyle w:val="afffff7"/>
            <w:numPr>
              <w:ilvl w:val="0"/>
              <w:numId w:val="44"/>
            </w:numPr>
            <w:rPr>
              <w:rFonts w:ascii="宋体" w:hAnsi="宋体"/>
              <w:szCs w:val="21"/>
            </w:rPr>
          </w:pPr>
          <w:r>
            <w:rPr>
              <w:rFonts w:ascii="宋体" w:hAnsi="宋体" w:hint="eastAsia"/>
              <w:szCs w:val="21"/>
            </w:rPr>
            <w:t>应收票据</w:t>
          </w:r>
        </w:p>
        <w:p w14:paraId="395BD005" w14:textId="77777777" w:rsidR="00471D53" w:rsidRDefault="004F686E">
          <w:pPr>
            <w:pStyle w:val="afffff8"/>
            <w:rPr>
              <w:rFonts w:ascii="宋体" w:hAnsi="宋体"/>
            </w:rPr>
          </w:pPr>
          <w:r>
            <w:rPr>
              <w:rFonts w:ascii="宋体" w:hAnsi="宋体" w:hint="eastAsia"/>
            </w:rPr>
            <w:t>应收票据的预期信用损失的确定方法及会计处理方法</w:t>
          </w:r>
        </w:p>
        <w:sdt>
          <w:sdtPr>
            <w:rPr>
              <w:szCs w:val="21"/>
            </w:rPr>
            <w:alias w:val="是否适用：应收票据的预期信用损失的确定方法及会计处理方法[双击切换]"/>
            <w:tag w:val="_GBC_ba8bc88e72f44e2da5528a3b21ae6dd5"/>
            <w:id w:val="-1347554641"/>
            <w:lock w:val="sdtLocked"/>
            <w:placeholder>
              <w:docPart w:val="GBC22222222222222222222222222222"/>
            </w:placeholder>
          </w:sdtPr>
          <w:sdtEndPr/>
          <w:sdtContent>
            <w:p w14:paraId="12482071" w14:textId="77777777" w:rsidR="00471D53" w:rsidRDefault="004F686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应收票据的预期信用损失的确定方法及会计处理方法"/>
            <w:tag w:val="_GBC_f420e4838a724012bb788c3daa8cb419"/>
            <w:id w:val="-1851784953"/>
            <w:lock w:val="sdtLocked"/>
            <w:placeholder>
              <w:docPart w:val="GBC22222222222222222222222222222"/>
            </w:placeholder>
          </w:sdtPr>
          <w:sdtEndPr/>
          <w:sdtContent>
            <w:p w14:paraId="31EEC318" w14:textId="77777777" w:rsidR="00471D53" w:rsidRDefault="004F686E" w:rsidP="00471D53">
              <w:pPr>
                <w:spacing w:beforeLines="50" w:before="120" w:afterLines="50" w:after="120" w:line="360" w:lineRule="exact"/>
                <w:ind w:firstLineChars="200" w:firstLine="420"/>
                <w:jc w:val="both"/>
                <w:rPr>
                  <w:sz w:val="22"/>
                  <w:szCs w:val="22"/>
                </w:rPr>
              </w:pPr>
              <w:r>
                <w:rPr>
                  <w:rFonts w:hint="eastAsia"/>
                  <w:sz w:val="22"/>
                  <w:szCs w:val="22"/>
                </w:rPr>
                <w:t>应收票据的预期信用损失的确定方法及会计处理方法：</w:t>
              </w:r>
            </w:p>
            <w:p w14:paraId="2FBF2E36"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本集团对于《企业会计准则第14号-收入》准则规范的交易形成且不含重大融资成分的应收票据，始终按照相当于整个存续期内预期信用损失的金额计量其损失准备。</w:t>
              </w:r>
            </w:p>
            <w:p w14:paraId="545C93D3"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信用风险自初始确认后是否显著增加的判断。本集团通过比较金融工具在初始确认时所确定的预计存续期内的违约概率和该工具在资产负债表日所确定的预计存续期内的违约概率，来判定金融工具信用风险是否显著增加。但是，如果本集团确定金融工具在资产负债表日只具有较低的信用风险的，可以假设该金融工具的信用风险自初始确认后并未显著增加。通常情况下，如果逾期超过</w:t>
              </w:r>
              <w:r>
                <w:rPr>
                  <w:sz w:val="22"/>
                  <w:szCs w:val="22"/>
                </w:rPr>
                <w:t>30</w:t>
              </w:r>
              <w:r>
                <w:rPr>
                  <w:rFonts w:hint="eastAsia"/>
                  <w:sz w:val="22"/>
                  <w:szCs w:val="22"/>
                </w:rPr>
                <w:t>日，则表明金融工具的信用风险已经显著增加。除非本集团在无须</w:t>
              </w:r>
              <w:r>
                <w:rPr>
                  <w:rFonts w:hint="eastAsia"/>
                  <w:sz w:val="22"/>
                  <w:szCs w:val="22"/>
                </w:rPr>
                <w:lastRenderedPageBreak/>
                <w:t>付出不必要的额外成本或努力的情况下即可获得合理且有依据的信息，证明即使逾期超过</w:t>
              </w:r>
              <w:r>
                <w:rPr>
                  <w:sz w:val="22"/>
                  <w:szCs w:val="22"/>
                </w:rPr>
                <w:t>30</w:t>
              </w:r>
              <w:r>
                <w:rPr>
                  <w:rFonts w:hint="eastAsia"/>
                  <w:sz w:val="22"/>
                  <w:szCs w:val="22"/>
                </w:rPr>
                <w:t>日，信用风险自初始确认后仍未显著增加。在确定信用风险自初始确认后是否显著增加时，本集团考虑无须付出不必要的额外成本或努力即可获得的合理且有依据的信息，包括前瞻性信息。</w:t>
              </w:r>
            </w:p>
            <w:p w14:paraId="7E9FE70E"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以组合为基础的评估。对于应收票据，本集团在单项工具层面无法以合理成本获得关于信用风险显著增加的充分证据，而在组合的基础上评估信用风险是否显著增加是可行，所以本集团按照金融工具类型、信用风险评级、初始确认日期、剩余合同期限为共同风险特征，对应收票据进行分组并以组合为基础考虑评估信用风险是否显著增加。</w:t>
              </w:r>
            </w:p>
            <w:p w14:paraId="57700962"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预期信用损失计量。预期信用损失，是指以发生违约的风险为权重的金融工具信用损失的加权平均值。信用损失，是指本集团按照原实际利率折现的、根据合同应收的所有合同现金流量与预期收取的所有现金流量之间的差额，即全部现金短缺的现值。</w:t>
              </w:r>
            </w:p>
            <w:p w14:paraId="0024D3D7"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本集团在资产负债表日计算应收票据预期信用损失，如果该预期信用损失大于当前应收票据减值准备的账面金额，本集团将其差额确认为应收票据减值损失，借记“信用减值损失”，贷记“坏账准备”。相反，本集团将差额确认为减值利得，做相反的会计记录。</w:t>
              </w:r>
            </w:p>
            <w:p w14:paraId="1FDF8D6A"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本集团实际发生信用损失，认定相关应收票据无法收回，经批准予以核销的，根据批准的核销金额，借记“坏账准备”，贷记“应收票据”。若核销金额大于已计提的损失准备，按期差额借记“信用减值损失”。</w:t>
              </w:r>
            </w:p>
            <w:p w14:paraId="5E40D8B9"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本集团根据以前年度的实际信用损失，并考虑本期的前瞻性信息，以单项工具和组合为基础计量预期信用损失的会计估计政策如下：</w:t>
              </w:r>
            </w:p>
            <w:tbl>
              <w:tblPr>
                <w:tblStyle w:val="g4"/>
                <w:tblW w:w="0" w:type="auto"/>
                <w:jc w:val="center"/>
                <w:tblBorders>
                  <w:top w:val="double" w:sz="4" w:space="0" w:color="auto"/>
                  <w:bottom w:val="double" w:sz="4" w:space="0" w:color="auto"/>
                  <w:insideH w:val="single" w:sz="4" w:space="0" w:color="auto"/>
                  <w:insideV w:val="single" w:sz="4" w:space="0" w:color="auto"/>
                </w:tblBorders>
                <w:tblLayout w:type="fixed"/>
                <w:tblLook w:val="0000" w:firstRow="0" w:lastRow="0" w:firstColumn="0" w:lastColumn="0" w:noHBand="0" w:noVBand="0"/>
              </w:tblPr>
              <w:tblGrid>
                <w:gridCol w:w="3022"/>
                <w:gridCol w:w="5431"/>
              </w:tblGrid>
              <w:tr w:rsidR="00471D53" w14:paraId="0B74C9B1" w14:textId="77777777" w:rsidTr="00471D53">
                <w:trPr>
                  <w:trHeight w:val="340"/>
                  <w:jc w:val="center"/>
                </w:trPr>
                <w:tc>
                  <w:tcPr>
                    <w:tcW w:w="8453" w:type="dxa"/>
                    <w:gridSpan w:val="2"/>
                    <w:vAlign w:val="center"/>
                  </w:tcPr>
                  <w:p w14:paraId="78C728CA" w14:textId="77777777" w:rsidR="00471D53" w:rsidRDefault="004F686E" w:rsidP="00471D53">
                    <w:pPr>
                      <w:spacing w:line="360" w:lineRule="exact"/>
                      <w:jc w:val="center"/>
                      <w:rPr>
                        <w:b/>
                        <w:sz w:val="22"/>
                        <w:szCs w:val="22"/>
                      </w:rPr>
                    </w:pPr>
                    <w:r>
                      <w:rPr>
                        <w:rFonts w:hint="eastAsia"/>
                        <w:b/>
                        <w:sz w:val="22"/>
                        <w:szCs w:val="22"/>
                      </w:rPr>
                      <w:t>单项工具层面</w:t>
                    </w:r>
                  </w:p>
                </w:tc>
              </w:tr>
              <w:tr w:rsidR="00471D53" w14:paraId="0D7A8EE1" w14:textId="77777777" w:rsidTr="00471D53">
                <w:trPr>
                  <w:trHeight w:val="340"/>
                  <w:jc w:val="center"/>
                </w:trPr>
                <w:tc>
                  <w:tcPr>
                    <w:tcW w:w="3022" w:type="dxa"/>
                    <w:vAlign w:val="center"/>
                  </w:tcPr>
                  <w:p w14:paraId="1A6A4BF7" w14:textId="77777777" w:rsidR="00471D53" w:rsidRDefault="004F686E" w:rsidP="00471D53">
                    <w:pPr>
                      <w:spacing w:line="360" w:lineRule="exact"/>
                      <w:jc w:val="center"/>
                      <w:rPr>
                        <w:b/>
                        <w:sz w:val="22"/>
                        <w:szCs w:val="22"/>
                      </w:rPr>
                    </w:pPr>
                    <w:r>
                      <w:rPr>
                        <w:rFonts w:hint="eastAsia"/>
                        <w:b/>
                        <w:sz w:val="22"/>
                        <w:szCs w:val="22"/>
                      </w:rPr>
                      <w:t>单项资产</w:t>
                    </w:r>
                  </w:p>
                </w:tc>
                <w:tc>
                  <w:tcPr>
                    <w:tcW w:w="5431" w:type="dxa"/>
                    <w:vAlign w:val="center"/>
                  </w:tcPr>
                  <w:p w14:paraId="7AF11333" w14:textId="77777777" w:rsidR="00471D53" w:rsidRDefault="004F686E" w:rsidP="00471D53">
                    <w:pPr>
                      <w:spacing w:line="360" w:lineRule="exact"/>
                      <w:jc w:val="center"/>
                      <w:rPr>
                        <w:b/>
                        <w:sz w:val="22"/>
                        <w:szCs w:val="22"/>
                      </w:rPr>
                    </w:pPr>
                    <w:r>
                      <w:rPr>
                        <w:rFonts w:hint="eastAsia"/>
                        <w:b/>
                        <w:sz w:val="22"/>
                        <w:szCs w:val="22"/>
                      </w:rPr>
                      <w:t>坏账准备计提情况</w:t>
                    </w:r>
                  </w:p>
                </w:tc>
              </w:tr>
              <w:tr w:rsidR="00471D53" w14:paraId="3EA8A0A9" w14:textId="77777777" w:rsidTr="00471D53">
                <w:trPr>
                  <w:trHeight w:val="340"/>
                  <w:jc w:val="center"/>
                </w:trPr>
                <w:tc>
                  <w:tcPr>
                    <w:tcW w:w="3022" w:type="dxa"/>
                    <w:vAlign w:val="center"/>
                  </w:tcPr>
                  <w:p w14:paraId="31C81140" w14:textId="77777777" w:rsidR="00471D53" w:rsidRDefault="004F686E" w:rsidP="00471D53">
                    <w:pPr>
                      <w:spacing w:line="360" w:lineRule="exact"/>
                      <w:jc w:val="both"/>
                      <w:rPr>
                        <w:sz w:val="22"/>
                        <w:szCs w:val="22"/>
                      </w:rPr>
                    </w:pPr>
                    <w:r>
                      <w:rPr>
                        <w:rFonts w:hint="eastAsia"/>
                        <w:sz w:val="22"/>
                        <w:szCs w:val="22"/>
                      </w:rPr>
                      <w:t>商业承兑票据</w:t>
                    </w:r>
                  </w:p>
                </w:tc>
                <w:tc>
                  <w:tcPr>
                    <w:tcW w:w="5431" w:type="dxa"/>
                    <w:vAlign w:val="center"/>
                  </w:tcPr>
                  <w:p w14:paraId="634A90FA" w14:textId="77777777" w:rsidR="00471D53" w:rsidRDefault="004F686E" w:rsidP="00471D53">
                    <w:pPr>
                      <w:spacing w:line="360" w:lineRule="exact"/>
                      <w:jc w:val="center"/>
                      <w:rPr>
                        <w:sz w:val="22"/>
                        <w:szCs w:val="22"/>
                      </w:rPr>
                    </w:pPr>
                    <w:r>
                      <w:rPr>
                        <w:rFonts w:hint="eastAsia"/>
                        <w:sz w:val="22"/>
                        <w:szCs w:val="22"/>
                      </w:rPr>
                      <w:t>组合为基础计量违约损失率</w:t>
                    </w:r>
                  </w:p>
                </w:tc>
              </w:tr>
              <w:tr w:rsidR="00471D53" w14:paraId="244766E7" w14:textId="77777777" w:rsidTr="00471D53">
                <w:trPr>
                  <w:trHeight w:val="340"/>
                  <w:jc w:val="center"/>
                </w:trPr>
                <w:tc>
                  <w:tcPr>
                    <w:tcW w:w="3022" w:type="dxa"/>
                    <w:vAlign w:val="center"/>
                  </w:tcPr>
                  <w:p w14:paraId="66284510" w14:textId="77777777" w:rsidR="00471D53" w:rsidRDefault="004F686E" w:rsidP="00471D53">
                    <w:pPr>
                      <w:spacing w:line="360" w:lineRule="exact"/>
                      <w:jc w:val="both"/>
                      <w:rPr>
                        <w:sz w:val="22"/>
                        <w:szCs w:val="22"/>
                      </w:rPr>
                    </w:pPr>
                    <w:r>
                      <w:rPr>
                        <w:rFonts w:hint="eastAsia"/>
                        <w:sz w:val="22"/>
                        <w:szCs w:val="22"/>
                      </w:rPr>
                      <w:t>银行承兑汇票（持有到期）</w:t>
                    </w:r>
                  </w:p>
                </w:tc>
                <w:tc>
                  <w:tcPr>
                    <w:tcW w:w="5431" w:type="dxa"/>
                    <w:vAlign w:val="center"/>
                  </w:tcPr>
                  <w:p w14:paraId="31EE7691" w14:textId="77777777" w:rsidR="00471D53" w:rsidRDefault="004F686E" w:rsidP="00471D53">
                    <w:pPr>
                      <w:spacing w:line="360" w:lineRule="exact"/>
                      <w:jc w:val="center"/>
                      <w:rPr>
                        <w:sz w:val="22"/>
                        <w:szCs w:val="22"/>
                      </w:rPr>
                    </w:pPr>
                    <w:r>
                      <w:rPr>
                        <w:rFonts w:hint="eastAsia"/>
                        <w:sz w:val="22"/>
                        <w:szCs w:val="22"/>
                      </w:rPr>
                      <w:t>未发生信用减值</w:t>
                    </w:r>
                  </w:p>
                </w:tc>
              </w:tr>
            </w:tbl>
            <w:p w14:paraId="624377AB" w14:textId="77777777" w:rsidR="00471D53" w:rsidRDefault="00B664AF">
              <w:pPr>
                <w:rPr>
                  <w:szCs w:val="21"/>
                </w:rPr>
              </w:pPr>
            </w:p>
          </w:sdtContent>
        </w:sdt>
      </w:sdtContent>
    </w:sdt>
    <w:p w14:paraId="6CDC1F45" w14:textId="77777777" w:rsidR="00471D53" w:rsidRDefault="00B664AF">
      <w:pPr>
        <w:rPr>
          <w:szCs w:val="21"/>
        </w:rPr>
      </w:pPr>
    </w:p>
    <w:sdt>
      <w:sdtPr>
        <w:rPr>
          <w:rFonts w:ascii="宋体" w:hAnsi="宋体" w:cs="宋体" w:hint="eastAsia"/>
          <w:b w:val="0"/>
          <w:bCs w:val="0"/>
          <w:kern w:val="0"/>
          <w:szCs w:val="21"/>
        </w:rPr>
        <w:alias w:val="模块:应收账款应收账款的预期信用损失的确定方法及会计处理方法"/>
        <w:tag w:val="_SEC_6a9a70c8b5914d5d85ea9b8f86eb6ec8"/>
        <w:id w:val="-470754295"/>
        <w:lock w:val="sdtLocked"/>
        <w:placeholder>
          <w:docPart w:val="GBC22222222222222222222222222222"/>
        </w:placeholder>
      </w:sdtPr>
      <w:sdtEndPr>
        <w:rPr>
          <w:rFonts w:hint="default"/>
        </w:rPr>
      </w:sdtEndPr>
      <w:sdtContent>
        <w:p w14:paraId="53A87B19" w14:textId="77777777" w:rsidR="00471D53" w:rsidRDefault="004F686E" w:rsidP="004F686E">
          <w:pPr>
            <w:pStyle w:val="afffff7"/>
            <w:numPr>
              <w:ilvl w:val="0"/>
              <w:numId w:val="44"/>
            </w:numPr>
            <w:rPr>
              <w:rFonts w:ascii="宋体" w:hAnsi="宋体"/>
              <w:szCs w:val="21"/>
            </w:rPr>
          </w:pPr>
          <w:r>
            <w:rPr>
              <w:rFonts w:ascii="宋体" w:hAnsi="宋体" w:hint="eastAsia"/>
              <w:szCs w:val="21"/>
            </w:rPr>
            <w:t>应收账款</w:t>
          </w:r>
        </w:p>
        <w:p w14:paraId="0187509E" w14:textId="77777777" w:rsidR="00471D53" w:rsidRDefault="004F686E">
          <w:pPr>
            <w:pStyle w:val="afffff8"/>
            <w:rPr>
              <w:rFonts w:ascii="宋体" w:hAnsi="宋体"/>
              <w:szCs w:val="21"/>
            </w:rPr>
          </w:pPr>
          <w:r>
            <w:rPr>
              <w:rFonts w:ascii="宋体" w:hAnsi="宋体" w:hint="eastAsia"/>
              <w:szCs w:val="21"/>
            </w:rPr>
            <w:t>应收账款的预期信用损失的确定方法及会计处理方法</w:t>
          </w:r>
        </w:p>
        <w:sdt>
          <w:sdtPr>
            <w:rPr>
              <w:szCs w:val="21"/>
            </w:rPr>
            <w:alias w:val="是否适用：应收账款的预期信用损失的确定方法及会计处理方法[双击切换]"/>
            <w:tag w:val="_GBC_85321f727b7446de9dc351948c740baa"/>
            <w:id w:val="138701803"/>
            <w:lock w:val="sdtLocked"/>
            <w:placeholder>
              <w:docPart w:val="GBC22222222222222222222222222222"/>
            </w:placeholder>
          </w:sdtPr>
          <w:sdtEndPr/>
          <w:sdtContent>
            <w:p w14:paraId="3F2C6B68" w14:textId="77777777" w:rsidR="00471D53" w:rsidRDefault="004F686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应收账款的预期信用损失的确定方法及会计处理方法"/>
            <w:tag w:val="_GBC_36dd56898f2645fc967bf4d53ee8ecdb"/>
            <w:id w:val="2055502017"/>
            <w:lock w:val="sdtLocked"/>
            <w:placeholder>
              <w:docPart w:val="GBC22222222222222222222222222222"/>
            </w:placeholder>
          </w:sdtPr>
          <w:sdtEndPr/>
          <w:sdtContent>
            <w:p w14:paraId="63CF5D62" w14:textId="77777777" w:rsidR="00471D53" w:rsidRDefault="004F686E" w:rsidP="00471D53">
              <w:pPr>
                <w:spacing w:beforeLines="50" w:before="120" w:afterLines="50" w:after="120" w:line="360" w:lineRule="exact"/>
                <w:ind w:firstLineChars="200" w:firstLine="420"/>
                <w:jc w:val="both"/>
                <w:rPr>
                  <w:sz w:val="22"/>
                  <w:szCs w:val="22"/>
                </w:rPr>
              </w:pPr>
              <w:r>
                <w:rPr>
                  <w:rFonts w:hint="eastAsia"/>
                  <w:sz w:val="22"/>
                  <w:szCs w:val="22"/>
                </w:rPr>
                <w:t>应收账款的预期信用损失的确定方法及会计处理方法：</w:t>
              </w:r>
            </w:p>
            <w:p w14:paraId="253E74E9"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本集团对于《企业会计准则第14号-收入》准则规范的交易形成且不含重大融资成分的应收账款，始终按照相当于整个存续期内预期信用损失的金额计量其损失准备。</w:t>
              </w:r>
            </w:p>
            <w:p w14:paraId="6817CF3B"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信用风险自初始确认后是否显著增加的判断。本集团通过比较金融工具在初始确认时所确定的预计存续期内的违约概率和该工具在资产负债表日所确定的预计存续期内的违约概率，来判定金融工具信用风险是否显著增加。但是，如果本集团确定金融工具在资产负债表日只具有较低的信用风险的，可以假设该金融工具的信用风险自初始确认后并未显著增加。通常情况下，如果逾期超过</w:t>
              </w:r>
              <w:r>
                <w:rPr>
                  <w:sz w:val="22"/>
                  <w:szCs w:val="22"/>
                </w:rPr>
                <w:t>30</w:t>
              </w:r>
              <w:r>
                <w:rPr>
                  <w:rFonts w:hint="eastAsia"/>
                  <w:sz w:val="22"/>
                  <w:szCs w:val="22"/>
                </w:rPr>
                <w:t>日，则表明金融工具的信用风险已经显著增加。除非本集团在无须</w:t>
              </w:r>
              <w:r>
                <w:rPr>
                  <w:rFonts w:hint="eastAsia"/>
                  <w:sz w:val="22"/>
                  <w:szCs w:val="22"/>
                </w:rPr>
                <w:lastRenderedPageBreak/>
                <w:t>付出不必要的额外成本或努力的情况下即可获得合理且有依据的信息，证明即使逾期超过</w:t>
              </w:r>
              <w:r>
                <w:rPr>
                  <w:sz w:val="22"/>
                  <w:szCs w:val="22"/>
                </w:rPr>
                <w:t>30</w:t>
              </w:r>
              <w:r>
                <w:rPr>
                  <w:rFonts w:hint="eastAsia"/>
                  <w:sz w:val="22"/>
                  <w:szCs w:val="22"/>
                </w:rPr>
                <w:t>日，信用风险自初始确认后仍未显著增加。在确定信用风险自初始确认后是否显著增加时，本集团考虑无须付出不必要的额外成本或努力即可获得的合理且有依据的信息，包括前瞻性信息。</w:t>
              </w:r>
            </w:p>
            <w:p w14:paraId="7475FA4C"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以组合为基础的评估。对于应收账款，本集团在单项工具层面无法以合理成本获得关于信用风险显著增加的充分证据，而在组合的基础上评估信用风险是否显著增加是可行，所以本集团按照金融工具类型、信用风险评级、初始确认日期、剩余合同期限为共同风险特征，对应收账款进行分组并以组合为基础考虑评估信用风险是否显著增加。</w:t>
              </w:r>
            </w:p>
            <w:p w14:paraId="6D103D14"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预期信用损失计量。预期信用损失，是指以发生违约的风险为权重的金融工具信用损失的加权平均值。信用损失，是指本集团按照原实际利率折现的、根据合同应收的所有合同现金流量与预期收取的所有现金流量之间的差额，即全部现金短缺的现值。</w:t>
              </w:r>
            </w:p>
            <w:p w14:paraId="230411B1"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本集团在资产负债表日计算应收账款预期信用损失，如果该预期信用损失大于当前应收账款减值准备的账面金额，本集团将其差额确认为应收账款减值损失，借记“信用减值损失”，贷记“坏账准备”。相反，本集团将差额确认为减值利得，做相反的会计记录。</w:t>
              </w:r>
            </w:p>
            <w:p w14:paraId="6E277CA7"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本集团实际发生信用损失，认定相关应收账款无法收回，经批准予以核销的，根据批准的核销金额，借记“坏账准备”，贷记“应收账款”。若核销金额大于已计提的损失准备，按期差额借记“信用减值损失”。</w:t>
              </w:r>
            </w:p>
            <w:p w14:paraId="7BE60C33" w14:textId="77777777" w:rsidR="00471D53" w:rsidRDefault="004F686E" w:rsidP="00471D53">
              <w:pPr>
                <w:adjustRightInd w:val="0"/>
                <w:spacing w:beforeLines="50" w:before="120" w:afterLines="50" w:after="120" w:line="360" w:lineRule="exact"/>
                <w:ind w:firstLineChars="200" w:firstLine="440"/>
                <w:jc w:val="both"/>
                <w:rPr>
                  <w:sz w:val="22"/>
                  <w:szCs w:val="22"/>
                </w:rPr>
              </w:pPr>
              <w:r>
                <w:rPr>
                  <w:rFonts w:hint="eastAsia"/>
                  <w:sz w:val="22"/>
                  <w:szCs w:val="22"/>
                </w:rPr>
                <w:t>本集团根据以前年度的实际信用损失，并考虑本期的前瞻性信息，以单项工具和组合为基础计量预期信用损失的会计估计政策如下：</w:t>
              </w:r>
            </w:p>
            <w:tbl>
              <w:tblPr>
                <w:tblStyle w:val="g4"/>
                <w:tblW w:w="0" w:type="auto"/>
                <w:jc w:val="center"/>
                <w:tblBorders>
                  <w:top w:val="double" w:sz="4" w:space="0" w:color="auto"/>
                  <w:bottom w:val="double" w:sz="4" w:space="0" w:color="auto"/>
                  <w:insideH w:val="single" w:sz="4" w:space="0" w:color="auto"/>
                  <w:insideV w:val="single" w:sz="4" w:space="0" w:color="auto"/>
                </w:tblBorders>
                <w:tblLayout w:type="fixed"/>
                <w:tblLook w:val="0000" w:firstRow="0" w:lastRow="0" w:firstColumn="0" w:lastColumn="0" w:noHBand="0" w:noVBand="0"/>
              </w:tblPr>
              <w:tblGrid>
                <w:gridCol w:w="3022"/>
                <w:gridCol w:w="5431"/>
              </w:tblGrid>
              <w:tr w:rsidR="00471D53" w14:paraId="1253F084" w14:textId="77777777" w:rsidTr="00471D53">
                <w:trPr>
                  <w:trHeight w:val="340"/>
                  <w:jc w:val="center"/>
                </w:trPr>
                <w:tc>
                  <w:tcPr>
                    <w:tcW w:w="8453" w:type="dxa"/>
                    <w:gridSpan w:val="2"/>
                    <w:vAlign w:val="center"/>
                  </w:tcPr>
                  <w:p w14:paraId="436EF258" w14:textId="77777777" w:rsidR="00471D53" w:rsidRDefault="004F686E" w:rsidP="00471D53">
                    <w:pPr>
                      <w:spacing w:line="360" w:lineRule="exact"/>
                      <w:jc w:val="center"/>
                      <w:rPr>
                        <w:b/>
                        <w:sz w:val="22"/>
                        <w:szCs w:val="22"/>
                      </w:rPr>
                    </w:pPr>
                    <w:r>
                      <w:rPr>
                        <w:rFonts w:hint="eastAsia"/>
                        <w:b/>
                        <w:sz w:val="22"/>
                        <w:szCs w:val="22"/>
                      </w:rPr>
                      <w:t>单项工具层面</w:t>
                    </w:r>
                  </w:p>
                </w:tc>
              </w:tr>
              <w:tr w:rsidR="00471D53" w14:paraId="5EC9EDB8" w14:textId="77777777" w:rsidTr="00471D53">
                <w:trPr>
                  <w:trHeight w:val="340"/>
                  <w:jc w:val="center"/>
                </w:trPr>
                <w:tc>
                  <w:tcPr>
                    <w:tcW w:w="3022" w:type="dxa"/>
                    <w:vAlign w:val="center"/>
                  </w:tcPr>
                  <w:p w14:paraId="393EA390" w14:textId="77777777" w:rsidR="00471D53" w:rsidRDefault="004F686E" w:rsidP="00471D53">
                    <w:pPr>
                      <w:spacing w:line="360" w:lineRule="exact"/>
                      <w:jc w:val="center"/>
                      <w:rPr>
                        <w:b/>
                        <w:sz w:val="22"/>
                        <w:szCs w:val="22"/>
                      </w:rPr>
                    </w:pPr>
                    <w:r>
                      <w:rPr>
                        <w:rFonts w:hint="eastAsia"/>
                        <w:b/>
                        <w:sz w:val="22"/>
                        <w:szCs w:val="22"/>
                      </w:rPr>
                      <w:t>单项资产</w:t>
                    </w:r>
                  </w:p>
                </w:tc>
                <w:tc>
                  <w:tcPr>
                    <w:tcW w:w="5431" w:type="dxa"/>
                    <w:vAlign w:val="center"/>
                  </w:tcPr>
                  <w:p w14:paraId="33159A37" w14:textId="77777777" w:rsidR="00471D53" w:rsidRDefault="004F686E" w:rsidP="00471D53">
                    <w:pPr>
                      <w:spacing w:line="360" w:lineRule="exact"/>
                      <w:jc w:val="center"/>
                      <w:rPr>
                        <w:b/>
                        <w:sz w:val="22"/>
                        <w:szCs w:val="22"/>
                      </w:rPr>
                    </w:pPr>
                    <w:r>
                      <w:rPr>
                        <w:rFonts w:hint="eastAsia"/>
                        <w:b/>
                        <w:sz w:val="22"/>
                        <w:szCs w:val="22"/>
                      </w:rPr>
                      <w:t>坏账准备计提情况</w:t>
                    </w:r>
                  </w:p>
                </w:tc>
              </w:tr>
              <w:tr w:rsidR="00471D53" w14:paraId="231800AB" w14:textId="77777777" w:rsidTr="00471D53">
                <w:trPr>
                  <w:trHeight w:val="340"/>
                  <w:jc w:val="center"/>
                </w:trPr>
                <w:tc>
                  <w:tcPr>
                    <w:tcW w:w="3022" w:type="dxa"/>
                    <w:vAlign w:val="center"/>
                  </w:tcPr>
                  <w:p w14:paraId="03B19F76" w14:textId="77777777" w:rsidR="00471D53" w:rsidRDefault="004F686E" w:rsidP="00471D53">
                    <w:pPr>
                      <w:spacing w:line="360" w:lineRule="exact"/>
                      <w:jc w:val="both"/>
                      <w:rPr>
                        <w:sz w:val="22"/>
                        <w:szCs w:val="22"/>
                      </w:rPr>
                    </w:pPr>
                    <w:r>
                      <w:rPr>
                        <w:rFonts w:hint="eastAsia"/>
                        <w:sz w:val="22"/>
                        <w:szCs w:val="22"/>
                      </w:rPr>
                      <w:t>合并范围内关联方</w:t>
                    </w:r>
                  </w:p>
                </w:tc>
                <w:tc>
                  <w:tcPr>
                    <w:tcW w:w="5431" w:type="dxa"/>
                    <w:vAlign w:val="center"/>
                  </w:tcPr>
                  <w:p w14:paraId="503F2FC2" w14:textId="77777777" w:rsidR="00471D53" w:rsidRDefault="004F686E" w:rsidP="00471D53">
                    <w:pPr>
                      <w:spacing w:line="360" w:lineRule="exact"/>
                      <w:jc w:val="center"/>
                      <w:rPr>
                        <w:sz w:val="22"/>
                        <w:szCs w:val="22"/>
                      </w:rPr>
                    </w:pPr>
                    <w:r>
                      <w:rPr>
                        <w:rFonts w:hint="eastAsia"/>
                        <w:sz w:val="22"/>
                        <w:szCs w:val="22"/>
                      </w:rPr>
                      <w:t>未发生信用减值</w:t>
                    </w:r>
                  </w:p>
                </w:tc>
              </w:tr>
              <w:tr w:rsidR="00471D53" w14:paraId="3C3D23E8" w14:textId="77777777" w:rsidTr="00471D53">
                <w:trPr>
                  <w:trHeight w:val="340"/>
                  <w:jc w:val="center"/>
                </w:trPr>
                <w:tc>
                  <w:tcPr>
                    <w:tcW w:w="3022" w:type="dxa"/>
                    <w:vAlign w:val="center"/>
                  </w:tcPr>
                  <w:p w14:paraId="6ADE55C4" w14:textId="77777777" w:rsidR="00471D53" w:rsidRDefault="004F686E" w:rsidP="00471D53">
                    <w:pPr>
                      <w:spacing w:line="360" w:lineRule="exact"/>
                      <w:jc w:val="both"/>
                      <w:rPr>
                        <w:sz w:val="22"/>
                        <w:szCs w:val="22"/>
                      </w:rPr>
                    </w:pPr>
                    <w:r>
                      <w:rPr>
                        <w:rFonts w:hint="eastAsia"/>
                        <w:sz w:val="22"/>
                        <w:szCs w:val="22"/>
                      </w:rPr>
                      <w:t>交易对象信用评级下降</w:t>
                    </w:r>
                  </w:p>
                </w:tc>
                <w:tc>
                  <w:tcPr>
                    <w:tcW w:w="5431" w:type="dxa"/>
                    <w:vAlign w:val="center"/>
                  </w:tcPr>
                  <w:p w14:paraId="6E8D4280" w14:textId="77777777" w:rsidR="00471D53" w:rsidRDefault="004F686E" w:rsidP="00471D53">
                    <w:pPr>
                      <w:spacing w:line="360" w:lineRule="exact"/>
                      <w:jc w:val="center"/>
                      <w:rPr>
                        <w:sz w:val="22"/>
                        <w:szCs w:val="22"/>
                      </w:rPr>
                    </w:pPr>
                    <w:r>
                      <w:rPr>
                        <w:rFonts w:hint="eastAsia"/>
                        <w:sz w:val="22"/>
                        <w:szCs w:val="22"/>
                      </w:rPr>
                      <w:t>信用风险显著增加</w:t>
                    </w:r>
                  </w:p>
                </w:tc>
              </w:tr>
              <w:tr w:rsidR="00471D53" w14:paraId="62BA0407" w14:textId="77777777" w:rsidTr="00471D53">
                <w:trPr>
                  <w:trHeight w:val="340"/>
                  <w:jc w:val="center"/>
                </w:trPr>
                <w:tc>
                  <w:tcPr>
                    <w:tcW w:w="3022" w:type="dxa"/>
                    <w:vAlign w:val="center"/>
                  </w:tcPr>
                  <w:p w14:paraId="10975B6B" w14:textId="77777777" w:rsidR="00471D53" w:rsidRDefault="004F686E" w:rsidP="00471D53">
                    <w:pPr>
                      <w:spacing w:line="360" w:lineRule="exact"/>
                      <w:jc w:val="both"/>
                      <w:rPr>
                        <w:sz w:val="22"/>
                        <w:szCs w:val="22"/>
                      </w:rPr>
                    </w:pPr>
                    <w:r>
                      <w:rPr>
                        <w:rFonts w:hint="eastAsia"/>
                        <w:sz w:val="22"/>
                        <w:szCs w:val="22"/>
                      </w:rPr>
                      <w:t>账龄组合</w:t>
                    </w:r>
                  </w:p>
                </w:tc>
                <w:tc>
                  <w:tcPr>
                    <w:tcW w:w="5431" w:type="dxa"/>
                    <w:vAlign w:val="center"/>
                  </w:tcPr>
                  <w:p w14:paraId="199ACD13" w14:textId="77777777" w:rsidR="00471D53" w:rsidRDefault="004F686E" w:rsidP="00471D53">
                    <w:pPr>
                      <w:spacing w:line="360" w:lineRule="exact"/>
                      <w:jc w:val="center"/>
                      <w:rPr>
                        <w:sz w:val="22"/>
                        <w:szCs w:val="22"/>
                      </w:rPr>
                    </w:pPr>
                    <w:r>
                      <w:rPr>
                        <w:rFonts w:hint="eastAsia"/>
                        <w:sz w:val="22"/>
                        <w:szCs w:val="22"/>
                      </w:rPr>
                      <w:t>组合为基础计量违约损失率</w:t>
                    </w:r>
                  </w:p>
                </w:tc>
              </w:tr>
            </w:tbl>
            <w:p w14:paraId="15396E3E" w14:textId="77777777" w:rsidR="00471D53" w:rsidRDefault="00B664AF">
              <w:pPr>
                <w:rPr>
                  <w:szCs w:val="21"/>
                </w:rPr>
              </w:pPr>
            </w:p>
          </w:sdtContent>
        </w:sdt>
      </w:sdtContent>
    </w:sdt>
    <w:p w14:paraId="644BDBF0" w14:textId="77777777" w:rsidR="00471D53" w:rsidRDefault="00B664AF">
      <w:pPr>
        <w:rPr>
          <w:szCs w:val="21"/>
        </w:rPr>
      </w:pPr>
    </w:p>
    <w:sdt>
      <w:sdtPr>
        <w:rPr>
          <w:rFonts w:ascii="宋体" w:hAnsi="宋体" w:cs="宋体" w:hint="eastAsia"/>
          <w:b w:val="0"/>
          <w:bCs w:val="0"/>
          <w:kern w:val="0"/>
          <w:szCs w:val="24"/>
        </w:rPr>
        <w:alias w:val="模块:应收款项融资"/>
        <w:tag w:val="_SEC_6779da9334294ce2a6d1ffc1b4a6e588"/>
        <w:id w:val="-527484966"/>
        <w:lock w:val="sdtLocked"/>
        <w:placeholder>
          <w:docPart w:val="GBC22222222222222222222222222222"/>
        </w:placeholder>
      </w:sdtPr>
      <w:sdtEndPr>
        <w:rPr>
          <w:rFonts w:hint="default"/>
        </w:rPr>
      </w:sdtEndPr>
      <w:sdtContent>
        <w:p w14:paraId="4D4164BF" w14:textId="77777777" w:rsidR="00471D53" w:rsidRDefault="004F686E" w:rsidP="004F686E">
          <w:pPr>
            <w:pStyle w:val="afffff7"/>
            <w:numPr>
              <w:ilvl w:val="0"/>
              <w:numId w:val="44"/>
            </w:numPr>
            <w:rPr>
              <w:rFonts w:ascii="宋体" w:hAnsi="宋体"/>
            </w:rPr>
          </w:pPr>
          <w:r>
            <w:rPr>
              <w:rFonts w:ascii="宋体" w:hAnsi="宋体" w:hint="eastAsia"/>
            </w:rPr>
            <w:t>应收款项融资</w:t>
          </w:r>
        </w:p>
        <w:bookmarkStart w:id="85" w:name="_Hlk11675626" w:displacedByCustomXml="next"/>
        <w:sdt>
          <w:sdtPr>
            <w:alias w:val="是否适用：应收款项融资_重要会计政策和估计[双击切换]"/>
            <w:tag w:val="_GBC_02210df6587d4e47b6149386c3665a46"/>
            <w:id w:val="337350884"/>
            <w:lock w:val="sdtLocked"/>
            <w:placeholder>
              <w:docPart w:val="GBC22222222222222222222222222222"/>
            </w:placeholder>
          </w:sdtPr>
          <w:sdtEndPr/>
          <w:sdtContent>
            <w:p w14:paraId="60C2D611"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应收款项融资的核算方法"/>
            <w:tag w:val="_GBC_3d9742ff6b694e4d9e006762ef5f07f0"/>
            <w:id w:val="-780343388"/>
            <w:lock w:val="sdtLocked"/>
            <w:placeholder>
              <w:docPart w:val="GBC22222222222222222222222222222"/>
            </w:placeholder>
          </w:sdtPr>
          <w:sdtEndPr/>
          <w:sdtContent>
            <w:p w14:paraId="4E4B85A9" w14:textId="77777777" w:rsidR="00471D53" w:rsidRDefault="004F686E" w:rsidP="00471D53">
              <w:pPr>
                <w:spacing w:beforeLines="50" w:before="120" w:afterLines="50" w:after="120" w:line="360" w:lineRule="exact"/>
                <w:ind w:firstLineChars="200" w:firstLine="420"/>
                <w:jc w:val="both"/>
                <w:rPr>
                  <w:sz w:val="22"/>
                  <w:szCs w:val="22"/>
                </w:rPr>
              </w:pPr>
              <w:r>
                <w:rPr>
                  <w:rFonts w:hint="eastAsia"/>
                  <w:sz w:val="22"/>
                  <w:szCs w:val="22"/>
                </w:rPr>
                <w:t>应收款项融资反映资产负债表日以公允价值计量且其变动计入其他综合收益的应收票据和应收账款等。本集团将既以收取合同现金流量为目的又以出售为目的，信用级别较高银行承兑的银行承兑汇票分类为应收款项融资。</w:t>
              </w:r>
            </w:p>
            <w:p w14:paraId="42537697"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会计处理方法参照上述10.金融资产和金融负债中划分为以公允价值计量且其变动计入其他综合收益的金融资产相关内容。</w:t>
              </w:r>
            </w:p>
            <w:p w14:paraId="16F962AA" w14:textId="77777777" w:rsidR="00471D53" w:rsidRDefault="00B664AF"/>
          </w:sdtContent>
        </w:sdt>
      </w:sdtContent>
    </w:sdt>
    <w:bookmarkEnd w:id="85"/>
    <w:p w14:paraId="33FF6022" w14:textId="77777777" w:rsidR="00471D53" w:rsidRDefault="00B664AF"/>
    <w:bookmarkStart w:id="86" w:name="_Hlk10465124" w:displacedByCustomXml="next"/>
    <w:sdt>
      <w:sdtPr>
        <w:rPr>
          <w:rFonts w:ascii="宋体" w:hAnsi="宋体" w:cs="宋体" w:hint="eastAsia"/>
          <w:b w:val="0"/>
          <w:bCs w:val="0"/>
          <w:kern w:val="0"/>
          <w:szCs w:val="24"/>
        </w:rPr>
        <w:alias w:val="模块:其他应收款"/>
        <w:tag w:val="_SEC_225822c587b74cc6b807038a0533c4e3"/>
        <w:id w:val="-1654517055"/>
        <w:lock w:val="sdtLocked"/>
        <w:placeholder>
          <w:docPart w:val="GBC22222222222222222222222222222"/>
        </w:placeholder>
      </w:sdtPr>
      <w:sdtEndPr/>
      <w:sdtContent>
        <w:p w14:paraId="6717C693" w14:textId="77777777" w:rsidR="00471D53" w:rsidRDefault="004F686E" w:rsidP="004F686E">
          <w:pPr>
            <w:pStyle w:val="afffff7"/>
            <w:numPr>
              <w:ilvl w:val="0"/>
              <w:numId w:val="44"/>
            </w:numPr>
            <w:rPr>
              <w:rFonts w:ascii="宋体" w:hAnsi="宋体"/>
            </w:rPr>
          </w:pPr>
          <w:r>
            <w:rPr>
              <w:rFonts w:ascii="宋体" w:hAnsi="宋体" w:hint="eastAsia"/>
            </w:rPr>
            <w:t>其他应收款</w:t>
          </w:r>
        </w:p>
        <w:p w14:paraId="1629E785" w14:textId="77777777" w:rsidR="00471D53" w:rsidRDefault="004F686E">
          <w:pPr>
            <w:pStyle w:val="afffff8"/>
            <w:rPr>
              <w:rFonts w:ascii="宋体" w:hAnsi="宋体"/>
            </w:rPr>
          </w:pPr>
          <w:r>
            <w:rPr>
              <w:rFonts w:ascii="宋体" w:hAnsi="宋体" w:hint="eastAsia"/>
            </w:rPr>
            <w:t>其他应收款</w:t>
          </w:r>
          <w:r>
            <w:rPr>
              <w:rFonts w:ascii="宋体" w:hAnsi="宋体"/>
            </w:rPr>
            <w:t>预期信用损失的确定方法</w:t>
          </w:r>
          <w:r>
            <w:rPr>
              <w:rFonts w:ascii="宋体" w:hAnsi="宋体" w:cs="Calibri"/>
              <w:szCs w:val="21"/>
            </w:rPr>
            <w:t>及会计处理方法</w:t>
          </w:r>
        </w:p>
        <w:sdt>
          <w:sdtPr>
            <w:rPr>
              <w:szCs w:val="21"/>
            </w:rPr>
            <w:alias w:val="是否适用：其他应收款预期信用损失的确定方法及会计处理方法[双击切换]"/>
            <w:tag w:val="_GBC_1ba082baa43e450992b52fcf687a8134"/>
            <w:id w:val="-90398732"/>
            <w:lock w:val="sdtLocked"/>
            <w:placeholder>
              <w:docPart w:val="GBC22222222222222222222222222222"/>
            </w:placeholder>
          </w:sdtPr>
          <w:sdtEndPr/>
          <w:sdtContent>
            <w:p w14:paraId="60A3A54B" w14:textId="77777777" w:rsidR="00471D53" w:rsidRDefault="004F686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其他应收款预期信用损失的确定方法及会计处理方法"/>
            <w:tag w:val="_GBC_7e531bd2a2f947b3a00ec81ad0969c5e"/>
            <w:id w:val="-1327974724"/>
            <w:lock w:val="sdtLocked"/>
            <w:placeholder>
              <w:docPart w:val="GBC22222222222222222222222222222"/>
            </w:placeholder>
          </w:sdtPr>
          <w:sdtEndPr/>
          <w:sdtContent>
            <w:p w14:paraId="452905DF" w14:textId="77777777" w:rsidR="00471D53" w:rsidRDefault="004F686E" w:rsidP="00471D53">
              <w:pPr>
                <w:spacing w:beforeLines="50" w:before="120" w:afterLines="50" w:after="120" w:line="360" w:lineRule="exact"/>
                <w:ind w:firstLineChars="200" w:firstLine="420"/>
                <w:jc w:val="both"/>
                <w:rPr>
                  <w:sz w:val="22"/>
                  <w:szCs w:val="22"/>
                </w:rPr>
              </w:pPr>
              <w:r>
                <w:rPr>
                  <w:rFonts w:hint="eastAsia"/>
                  <w:sz w:val="22"/>
                  <w:szCs w:val="22"/>
                </w:rPr>
                <w:t>其他应收款的预期信用损失的确定方法及会计处理方法:</w:t>
              </w:r>
            </w:p>
            <w:p w14:paraId="51D3128E"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本集团按照下列情形计量其他应收款损失准备：</w:t>
              </w:r>
              <w:r>
                <w:rPr>
                  <w:sz w:val="22"/>
                  <w:szCs w:val="22"/>
                </w:rPr>
                <w:fldChar w:fldCharType="begin"/>
              </w:r>
              <w:r>
                <w:rPr>
                  <w:sz w:val="22"/>
                  <w:szCs w:val="22"/>
                </w:rPr>
                <w:instrText xml:space="preserve"> </w:instrText>
              </w:r>
              <w:r>
                <w:rPr>
                  <w:rFonts w:hint="eastAsia"/>
                  <w:sz w:val="22"/>
                  <w:szCs w:val="22"/>
                </w:rPr>
                <w:instrText>= 1 \* GB3</w:instrText>
              </w:r>
              <w:r>
                <w:rPr>
                  <w:sz w:val="22"/>
                  <w:szCs w:val="22"/>
                </w:rPr>
                <w:instrText xml:space="preserve"> </w:instrText>
              </w:r>
              <w:r>
                <w:rPr>
                  <w:sz w:val="22"/>
                  <w:szCs w:val="22"/>
                </w:rPr>
                <w:fldChar w:fldCharType="separate"/>
              </w:r>
              <w:r>
                <w:rPr>
                  <w:rFonts w:hint="eastAsia"/>
                  <w:sz w:val="22"/>
                  <w:szCs w:val="22"/>
                </w:rPr>
                <w:t>①</w:t>
              </w:r>
              <w:r>
                <w:rPr>
                  <w:sz w:val="22"/>
                  <w:szCs w:val="22"/>
                </w:rPr>
                <w:fldChar w:fldCharType="end"/>
              </w:r>
              <w:r>
                <w:rPr>
                  <w:rFonts w:hint="eastAsia"/>
                  <w:sz w:val="22"/>
                  <w:szCs w:val="22"/>
                </w:rPr>
                <w:t>信用风险自初始确认后未显著增加的金融资产，本集团按照未来12个月的预期信用损失的金额计量损失准备；</w:t>
              </w:r>
              <w:r>
                <w:rPr>
                  <w:sz w:val="22"/>
                  <w:szCs w:val="22"/>
                </w:rPr>
                <w:t>②</w:t>
              </w:r>
              <w:r>
                <w:rPr>
                  <w:rFonts w:hint="eastAsia"/>
                  <w:sz w:val="22"/>
                  <w:szCs w:val="22"/>
                </w:rPr>
                <w:t>信用风险自初始确认后已显著增加的金融资产，本集团按照相当于该金融工具整个存续期内预期信用损失的金额计量损失准备；</w:t>
              </w:r>
              <w:r>
                <w:rPr>
                  <w:sz w:val="22"/>
                  <w:szCs w:val="22"/>
                </w:rPr>
                <w:fldChar w:fldCharType="begin"/>
              </w:r>
              <w:r>
                <w:rPr>
                  <w:sz w:val="22"/>
                  <w:szCs w:val="22"/>
                </w:rPr>
                <w:instrText xml:space="preserve"> </w:instrText>
              </w:r>
              <w:r>
                <w:rPr>
                  <w:rFonts w:hint="eastAsia"/>
                  <w:sz w:val="22"/>
                  <w:szCs w:val="22"/>
                </w:rPr>
                <w:instrText>= 3 \* GB3</w:instrText>
              </w:r>
              <w:r>
                <w:rPr>
                  <w:sz w:val="22"/>
                  <w:szCs w:val="22"/>
                </w:rPr>
                <w:instrText xml:space="preserve"> </w:instrText>
              </w:r>
              <w:r>
                <w:rPr>
                  <w:sz w:val="22"/>
                  <w:szCs w:val="22"/>
                </w:rPr>
                <w:fldChar w:fldCharType="separate"/>
              </w:r>
              <w:r>
                <w:rPr>
                  <w:rFonts w:hint="eastAsia"/>
                  <w:sz w:val="22"/>
                  <w:szCs w:val="22"/>
                </w:rPr>
                <w:t>③</w:t>
              </w:r>
              <w:r>
                <w:rPr>
                  <w:sz w:val="22"/>
                  <w:szCs w:val="22"/>
                </w:rPr>
                <w:fldChar w:fldCharType="end"/>
              </w:r>
              <w:r>
                <w:rPr>
                  <w:rFonts w:hint="eastAsia"/>
                  <w:sz w:val="22"/>
                  <w:szCs w:val="22"/>
                </w:rPr>
                <w:t>购买或源生已发生信用减值的金融资产，本集团按照相当于整个存续期内预期信用损失的金额计量损失准备。</w:t>
              </w:r>
            </w:p>
            <w:p w14:paraId="297BA38F"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以组合为基础的评估。对于其他应收款，本集团在单项工具层面无法以合理成本获得关于信用风险显著增加的充分证据，而在组合的基础上评估信用风险是否显著增加是可行，所以本集团按照金融工具类型、信用风险评级、初始确认日期、剩余合同期限为共同风险特征为共同风险特征，对其他应收款进行分组并以组合为基础考虑评估信用风险是否显著增加。</w:t>
              </w:r>
            </w:p>
            <w:tbl>
              <w:tblPr>
                <w:tblStyle w:val="g4"/>
                <w:tblW w:w="0" w:type="auto"/>
                <w:jc w:val="center"/>
                <w:tblBorders>
                  <w:top w:val="double" w:sz="4" w:space="0" w:color="auto"/>
                  <w:bottom w:val="double" w:sz="4" w:space="0" w:color="auto"/>
                  <w:insideH w:val="single" w:sz="4" w:space="0" w:color="auto"/>
                  <w:insideV w:val="single" w:sz="4" w:space="0" w:color="auto"/>
                </w:tblBorders>
                <w:tblLayout w:type="fixed"/>
                <w:tblLook w:val="0000" w:firstRow="0" w:lastRow="0" w:firstColumn="0" w:lastColumn="0" w:noHBand="0" w:noVBand="0"/>
              </w:tblPr>
              <w:tblGrid>
                <w:gridCol w:w="3230"/>
                <w:gridCol w:w="5633"/>
              </w:tblGrid>
              <w:tr w:rsidR="00471D53" w14:paraId="01EF2FF1" w14:textId="77777777" w:rsidTr="00471D53">
                <w:trPr>
                  <w:trHeight w:val="340"/>
                  <w:tblHeader/>
                  <w:jc w:val="center"/>
                </w:trPr>
                <w:tc>
                  <w:tcPr>
                    <w:tcW w:w="8863" w:type="dxa"/>
                    <w:gridSpan w:val="2"/>
                    <w:vAlign w:val="center"/>
                  </w:tcPr>
                  <w:p w14:paraId="073E73DA" w14:textId="77777777" w:rsidR="00471D53" w:rsidRDefault="004F686E" w:rsidP="00471D53">
                    <w:pPr>
                      <w:spacing w:line="360" w:lineRule="exact"/>
                      <w:jc w:val="center"/>
                      <w:rPr>
                        <w:b/>
                        <w:sz w:val="22"/>
                        <w:szCs w:val="22"/>
                      </w:rPr>
                    </w:pPr>
                    <w:r>
                      <w:rPr>
                        <w:rFonts w:hint="eastAsia"/>
                        <w:b/>
                        <w:sz w:val="22"/>
                        <w:szCs w:val="22"/>
                      </w:rPr>
                      <w:t>单项工具层面</w:t>
                    </w:r>
                  </w:p>
                </w:tc>
              </w:tr>
              <w:tr w:rsidR="00471D53" w14:paraId="15E25ABF" w14:textId="77777777" w:rsidTr="00471D53">
                <w:trPr>
                  <w:trHeight w:val="340"/>
                  <w:tblHeader/>
                  <w:jc w:val="center"/>
                </w:trPr>
                <w:tc>
                  <w:tcPr>
                    <w:tcW w:w="3230" w:type="dxa"/>
                    <w:vAlign w:val="center"/>
                  </w:tcPr>
                  <w:p w14:paraId="500ED770" w14:textId="77777777" w:rsidR="00471D53" w:rsidRDefault="004F686E" w:rsidP="00471D53">
                    <w:pPr>
                      <w:spacing w:line="360" w:lineRule="exact"/>
                      <w:jc w:val="center"/>
                      <w:rPr>
                        <w:b/>
                        <w:sz w:val="22"/>
                        <w:szCs w:val="22"/>
                      </w:rPr>
                    </w:pPr>
                    <w:r>
                      <w:rPr>
                        <w:rFonts w:hint="eastAsia"/>
                        <w:b/>
                        <w:sz w:val="22"/>
                        <w:szCs w:val="22"/>
                      </w:rPr>
                      <w:t>单项资产</w:t>
                    </w:r>
                  </w:p>
                </w:tc>
                <w:tc>
                  <w:tcPr>
                    <w:tcW w:w="5633" w:type="dxa"/>
                    <w:vAlign w:val="center"/>
                  </w:tcPr>
                  <w:p w14:paraId="646BC7F1" w14:textId="77777777" w:rsidR="00471D53" w:rsidRDefault="004F686E" w:rsidP="00471D53">
                    <w:pPr>
                      <w:spacing w:line="360" w:lineRule="exact"/>
                      <w:jc w:val="center"/>
                      <w:rPr>
                        <w:b/>
                        <w:sz w:val="22"/>
                        <w:szCs w:val="22"/>
                      </w:rPr>
                    </w:pPr>
                    <w:r>
                      <w:rPr>
                        <w:rFonts w:hint="eastAsia"/>
                        <w:b/>
                        <w:sz w:val="22"/>
                        <w:szCs w:val="22"/>
                      </w:rPr>
                      <w:t>坏账准备计提情况</w:t>
                    </w:r>
                  </w:p>
                </w:tc>
              </w:tr>
              <w:tr w:rsidR="00471D53" w14:paraId="1FC47974" w14:textId="77777777" w:rsidTr="00471D53">
                <w:trPr>
                  <w:trHeight w:val="340"/>
                  <w:jc w:val="center"/>
                </w:trPr>
                <w:tc>
                  <w:tcPr>
                    <w:tcW w:w="3230" w:type="dxa"/>
                    <w:vAlign w:val="center"/>
                  </w:tcPr>
                  <w:p w14:paraId="27BFFDF9" w14:textId="77777777" w:rsidR="00471D53" w:rsidRDefault="004F686E" w:rsidP="00471D53">
                    <w:pPr>
                      <w:spacing w:line="360" w:lineRule="exact"/>
                      <w:jc w:val="both"/>
                      <w:rPr>
                        <w:sz w:val="22"/>
                        <w:szCs w:val="22"/>
                      </w:rPr>
                    </w:pPr>
                    <w:r>
                      <w:rPr>
                        <w:rFonts w:hint="eastAsia"/>
                        <w:sz w:val="22"/>
                        <w:szCs w:val="22"/>
                      </w:rPr>
                      <w:t>应收股利、应收利息</w:t>
                    </w:r>
                  </w:p>
                </w:tc>
                <w:tc>
                  <w:tcPr>
                    <w:tcW w:w="5633" w:type="dxa"/>
                    <w:vAlign w:val="center"/>
                  </w:tcPr>
                  <w:p w14:paraId="0B7EEFDC" w14:textId="77777777" w:rsidR="00471D53" w:rsidRDefault="004F686E" w:rsidP="00471D53">
                    <w:pPr>
                      <w:spacing w:line="360" w:lineRule="exact"/>
                      <w:jc w:val="center"/>
                      <w:rPr>
                        <w:sz w:val="22"/>
                        <w:szCs w:val="22"/>
                      </w:rPr>
                    </w:pPr>
                    <w:r>
                      <w:rPr>
                        <w:rFonts w:hint="eastAsia"/>
                        <w:sz w:val="22"/>
                        <w:szCs w:val="22"/>
                      </w:rPr>
                      <w:t>未发生信用减值</w:t>
                    </w:r>
                  </w:p>
                </w:tc>
              </w:tr>
              <w:tr w:rsidR="00471D53" w14:paraId="1428B636" w14:textId="77777777" w:rsidTr="00471D53">
                <w:trPr>
                  <w:trHeight w:val="340"/>
                  <w:jc w:val="center"/>
                </w:trPr>
                <w:tc>
                  <w:tcPr>
                    <w:tcW w:w="3230" w:type="dxa"/>
                    <w:vAlign w:val="center"/>
                  </w:tcPr>
                  <w:p w14:paraId="4F742943" w14:textId="77777777" w:rsidR="00471D53" w:rsidRDefault="004F686E" w:rsidP="00471D53">
                    <w:pPr>
                      <w:spacing w:line="360" w:lineRule="exact"/>
                      <w:jc w:val="both"/>
                      <w:rPr>
                        <w:sz w:val="22"/>
                        <w:szCs w:val="22"/>
                      </w:rPr>
                    </w:pPr>
                    <w:r>
                      <w:rPr>
                        <w:rFonts w:hint="eastAsia"/>
                        <w:sz w:val="22"/>
                        <w:szCs w:val="22"/>
                      </w:rPr>
                      <w:t>合并范围内关联方</w:t>
                    </w:r>
                  </w:p>
                </w:tc>
                <w:tc>
                  <w:tcPr>
                    <w:tcW w:w="5633" w:type="dxa"/>
                    <w:vAlign w:val="center"/>
                  </w:tcPr>
                  <w:p w14:paraId="365FCC2D" w14:textId="77777777" w:rsidR="00471D53" w:rsidRDefault="004F686E" w:rsidP="00471D53">
                    <w:pPr>
                      <w:spacing w:line="360" w:lineRule="exact"/>
                      <w:jc w:val="center"/>
                      <w:rPr>
                        <w:sz w:val="22"/>
                        <w:szCs w:val="22"/>
                      </w:rPr>
                    </w:pPr>
                    <w:r>
                      <w:rPr>
                        <w:rFonts w:hint="eastAsia"/>
                        <w:sz w:val="22"/>
                        <w:szCs w:val="22"/>
                      </w:rPr>
                      <w:t>未发生信用减值</w:t>
                    </w:r>
                  </w:p>
                </w:tc>
              </w:tr>
              <w:tr w:rsidR="00471D53" w14:paraId="245AB604" w14:textId="77777777" w:rsidTr="00471D53">
                <w:trPr>
                  <w:trHeight w:val="340"/>
                  <w:jc w:val="center"/>
                </w:trPr>
                <w:tc>
                  <w:tcPr>
                    <w:tcW w:w="3230" w:type="dxa"/>
                    <w:vAlign w:val="center"/>
                  </w:tcPr>
                  <w:p w14:paraId="78E3039D" w14:textId="77777777" w:rsidR="00471D53" w:rsidRDefault="004F686E" w:rsidP="00471D53">
                    <w:pPr>
                      <w:spacing w:line="360" w:lineRule="exact"/>
                      <w:jc w:val="both"/>
                      <w:rPr>
                        <w:sz w:val="22"/>
                        <w:szCs w:val="22"/>
                      </w:rPr>
                    </w:pPr>
                    <w:r>
                      <w:rPr>
                        <w:rFonts w:hint="eastAsia"/>
                        <w:sz w:val="22"/>
                        <w:szCs w:val="22"/>
                      </w:rPr>
                      <w:t>交易对象信用评级下降</w:t>
                    </w:r>
                  </w:p>
                </w:tc>
                <w:tc>
                  <w:tcPr>
                    <w:tcW w:w="5633" w:type="dxa"/>
                    <w:vAlign w:val="center"/>
                  </w:tcPr>
                  <w:p w14:paraId="380EA19C" w14:textId="77777777" w:rsidR="00471D53" w:rsidRDefault="004F686E" w:rsidP="00471D53">
                    <w:pPr>
                      <w:spacing w:line="360" w:lineRule="exact"/>
                      <w:jc w:val="center"/>
                      <w:rPr>
                        <w:sz w:val="22"/>
                        <w:szCs w:val="22"/>
                      </w:rPr>
                    </w:pPr>
                    <w:r>
                      <w:rPr>
                        <w:rFonts w:hint="eastAsia"/>
                        <w:sz w:val="22"/>
                        <w:szCs w:val="22"/>
                      </w:rPr>
                      <w:t>信用风险显著增加</w:t>
                    </w:r>
                  </w:p>
                </w:tc>
              </w:tr>
              <w:tr w:rsidR="00471D53" w14:paraId="0E53E51B" w14:textId="77777777" w:rsidTr="00471D53">
                <w:trPr>
                  <w:trHeight w:val="403"/>
                  <w:jc w:val="center"/>
                </w:trPr>
                <w:tc>
                  <w:tcPr>
                    <w:tcW w:w="3230" w:type="dxa"/>
                    <w:vAlign w:val="center"/>
                  </w:tcPr>
                  <w:p w14:paraId="470570D9" w14:textId="77777777" w:rsidR="00471D53" w:rsidRDefault="004F686E" w:rsidP="00471D53">
                    <w:pPr>
                      <w:spacing w:line="360" w:lineRule="exact"/>
                      <w:jc w:val="both"/>
                      <w:rPr>
                        <w:sz w:val="22"/>
                        <w:szCs w:val="22"/>
                      </w:rPr>
                    </w:pPr>
                    <w:r>
                      <w:rPr>
                        <w:rFonts w:hint="eastAsia"/>
                        <w:sz w:val="22"/>
                        <w:szCs w:val="22"/>
                      </w:rPr>
                      <w:t>账龄组合</w:t>
                    </w:r>
                  </w:p>
                </w:tc>
                <w:tc>
                  <w:tcPr>
                    <w:tcW w:w="5633" w:type="dxa"/>
                    <w:vAlign w:val="center"/>
                  </w:tcPr>
                  <w:p w14:paraId="36C713EB" w14:textId="77777777" w:rsidR="00471D53" w:rsidRDefault="004F686E" w:rsidP="00471D53">
                    <w:pPr>
                      <w:spacing w:line="360" w:lineRule="exact"/>
                      <w:jc w:val="center"/>
                      <w:rPr>
                        <w:sz w:val="22"/>
                        <w:szCs w:val="22"/>
                      </w:rPr>
                    </w:pPr>
                    <w:r>
                      <w:rPr>
                        <w:rFonts w:hint="eastAsia"/>
                        <w:sz w:val="22"/>
                        <w:szCs w:val="22"/>
                      </w:rPr>
                      <w:t>组合为基础计量违约损失率</w:t>
                    </w:r>
                  </w:p>
                </w:tc>
              </w:tr>
            </w:tbl>
            <w:p w14:paraId="43890244" w14:textId="77777777" w:rsidR="00471D53" w:rsidRDefault="00B664AF">
              <w:pPr>
                <w:rPr>
                  <w:szCs w:val="21"/>
                </w:rPr>
              </w:pPr>
            </w:p>
          </w:sdtContent>
        </w:sdt>
        <w:p w14:paraId="334925C4" w14:textId="77777777" w:rsidR="00471D53" w:rsidRDefault="00B664AF"/>
      </w:sdtContent>
    </w:sdt>
    <w:bookmarkEnd w:id="86" w:displacedByCustomXml="prev"/>
    <w:sdt>
      <w:sdtPr>
        <w:rPr>
          <w:rFonts w:ascii="宋体" w:hAnsi="宋体" w:cstheme="minorBidi"/>
          <w:b w:val="0"/>
          <w:bCs w:val="0"/>
          <w:kern w:val="0"/>
          <w:szCs w:val="22"/>
        </w:rPr>
        <w:alias w:val="模块:存货"/>
        <w:tag w:val="_GBC_b0f90fdf6c7749dbb9bd3cde55d5c0c3"/>
        <w:id w:val="185799313"/>
        <w:lock w:val="sdtLocked"/>
        <w:placeholder>
          <w:docPart w:val="GBC22222222222222222222222222222"/>
        </w:placeholder>
      </w:sdtPr>
      <w:sdtEndPr>
        <w:rPr>
          <w:rFonts w:cs="Times New Roman"/>
          <w:szCs w:val="21"/>
        </w:rPr>
      </w:sdtEndPr>
      <w:sdtContent>
        <w:p w14:paraId="701B44A5" w14:textId="77777777" w:rsidR="00471D53" w:rsidRDefault="004F686E" w:rsidP="004F686E">
          <w:pPr>
            <w:pStyle w:val="afffff7"/>
            <w:numPr>
              <w:ilvl w:val="0"/>
              <w:numId w:val="44"/>
            </w:numPr>
            <w:rPr>
              <w:rFonts w:ascii="宋体" w:hAnsi="宋体"/>
            </w:rPr>
          </w:pPr>
          <w:r>
            <w:rPr>
              <w:rFonts w:ascii="宋体" w:hAnsi="宋体"/>
            </w:rPr>
            <w:t>存货</w:t>
          </w:r>
        </w:p>
        <w:sdt>
          <w:sdtPr>
            <w:alias w:val="是否适用：存货_重要会计政策和估计[双击切换]"/>
            <w:tag w:val="_GBC_5c493df9664440ecbc3f3fa5d917221a"/>
            <w:id w:val="-1265068402"/>
            <w:lock w:val="sdtLocked"/>
            <w:placeholder>
              <w:docPart w:val="GBC22222222222222222222222222222"/>
            </w:placeholder>
          </w:sdtPr>
          <w:sdtEndPr/>
          <w:sdtContent>
            <w:p w14:paraId="61255F4E"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szCs w:val="21"/>
            </w:rPr>
            <w:alias w:val="存货的核算方法"/>
            <w:tag w:val="_GBC_553fb8cba06d4979b05ae3dabe788fa6"/>
            <w:id w:val="938419325"/>
            <w:lock w:val="sdtLocked"/>
            <w:placeholder>
              <w:docPart w:val="GBC22222222222222222222222222222"/>
            </w:placeholder>
          </w:sdtPr>
          <w:sdtEndPr/>
          <w:sdtContent>
            <w:p w14:paraId="5FB4AC10" w14:textId="77777777" w:rsidR="00471D53" w:rsidRDefault="004F686E" w:rsidP="00471D53">
              <w:pPr>
                <w:spacing w:beforeLines="50" w:before="120" w:afterLines="50" w:after="120" w:line="360" w:lineRule="exact"/>
                <w:ind w:firstLineChars="200" w:firstLine="420"/>
                <w:jc w:val="both"/>
                <w:rPr>
                  <w:sz w:val="22"/>
                  <w:szCs w:val="22"/>
                </w:rPr>
              </w:pPr>
              <w:r>
                <w:rPr>
                  <w:rFonts w:hint="eastAsia"/>
                  <w:sz w:val="22"/>
                  <w:szCs w:val="22"/>
                </w:rPr>
                <w:t>本集团存货主要包括原材料、包装物、低值易耗品、在产品、库存商品、发出商品、合同履约成本等。</w:t>
              </w:r>
            </w:p>
            <w:p w14:paraId="3139DB0C"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存货实行永续盘存制，存货在取得时按实际成本计价。领用或发出存货，采用加权平均法计算确定；低值易耗品和包装物采用一次转销法进行摊销。</w:t>
              </w:r>
            </w:p>
            <w:p w14:paraId="13953128"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库存商品、在产品和用于出售的材料等直接用于出售的商品存货，其可变现净值按该存货的估计售价减去估计的销售费用和相关税费后的金额确定；用于生产而持有的材料存货，其可变现净值按所生产的产成品的估计售价减去至完工时估计将要发生的成本、估计的销售费用和相关税费后的金额确定。</w:t>
              </w:r>
            </w:p>
            <w:p w14:paraId="5D8B7E2E" w14:textId="77777777" w:rsidR="00471D53" w:rsidRDefault="00B664AF">
              <w:pPr>
                <w:rPr>
                  <w:rFonts w:cs="Times New Roman"/>
                  <w:szCs w:val="21"/>
                </w:rPr>
              </w:pPr>
            </w:p>
          </w:sdtContent>
        </w:sdt>
      </w:sdtContent>
    </w:sdt>
    <w:p w14:paraId="21BD21E3" w14:textId="77777777" w:rsidR="00471D53" w:rsidRDefault="00B664AF">
      <w:pPr>
        <w:rPr>
          <w:rFonts w:cs="Times New Roman"/>
          <w:szCs w:val="21"/>
        </w:rPr>
      </w:pPr>
    </w:p>
    <w:bookmarkStart w:id="87" w:name="_Hlk10465202" w:displacedByCustomXml="next"/>
    <w:sdt>
      <w:sdtPr>
        <w:rPr>
          <w:rFonts w:ascii="宋体" w:hAnsi="宋体" w:cs="宋体" w:hint="eastAsia"/>
          <w:b w:val="0"/>
          <w:bCs w:val="0"/>
          <w:kern w:val="0"/>
          <w:szCs w:val="21"/>
        </w:rPr>
        <w:alias w:val="模块:合同资产"/>
        <w:tag w:val="_SEC_c8278ca8e95a4a1fb97258ed9c2842ff"/>
        <w:id w:val="-97339571"/>
        <w:lock w:val="sdtLocked"/>
        <w:placeholder>
          <w:docPart w:val="GBC22222222222222222222222222222"/>
        </w:placeholder>
      </w:sdtPr>
      <w:sdtEndPr>
        <w:rPr>
          <w:rFonts w:hint="default"/>
        </w:rPr>
      </w:sdtEndPr>
      <w:sdtContent>
        <w:p w14:paraId="6FC9CDBD" w14:textId="77777777" w:rsidR="00471D53" w:rsidRDefault="004F686E" w:rsidP="004F686E">
          <w:pPr>
            <w:pStyle w:val="afffff7"/>
            <w:numPr>
              <w:ilvl w:val="0"/>
              <w:numId w:val="44"/>
            </w:numPr>
            <w:rPr>
              <w:rFonts w:ascii="宋体" w:hAnsi="宋体"/>
              <w:szCs w:val="21"/>
            </w:rPr>
          </w:pPr>
          <w:r>
            <w:rPr>
              <w:rFonts w:ascii="宋体" w:hAnsi="宋体" w:hint="eastAsia"/>
              <w:szCs w:val="21"/>
            </w:rPr>
            <w:t>合同资产</w:t>
          </w:r>
        </w:p>
        <w:p w14:paraId="2BE6C86B" w14:textId="77777777" w:rsidR="00471D53" w:rsidRDefault="004F686E" w:rsidP="004F686E">
          <w:pPr>
            <w:pStyle w:val="afffff8"/>
            <w:numPr>
              <w:ilvl w:val="0"/>
              <w:numId w:val="45"/>
            </w:numPr>
            <w:rPr>
              <w:rFonts w:ascii="宋体" w:hAnsi="宋体"/>
              <w:szCs w:val="21"/>
            </w:rPr>
          </w:pPr>
          <w:r>
            <w:rPr>
              <w:rFonts w:ascii="宋体" w:hAnsi="宋体" w:hint="eastAsia"/>
              <w:szCs w:val="21"/>
            </w:rPr>
            <w:t>合同资产的确认方法及标准</w:t>
          </w:r>
        </w:p>
        <w:sdt>
          <w:sdtPr>
            <w:rPr>
              <w:szCs w:val="21"/>
            </w:rPr>
            <w:alias w:val="是否适用：合同资产的确定方法、摊销方法和减值测试方法[双击切换]"/>
            <w:tag w:val="_GBC_9daae386f9a94543beb70aace93dc36d"/>
            <w:id w:val="-2104404128"/>
            <w:lock w:val="sdtLocked"/>
            <w:placeholder>
              <w:docPart w:val="GBC22222222222222222222222222222"/>
            </w:placeholder>
          </w:sdtPr>
          <w:sdtEndPr/>
          <w:sdtContent>
            <w:p w14:paraId="4FA374FB" w14:textId="77777777" w:rsidR="00471D53" w:rsidRDefault="004F686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合同资产的确定方法、摊销方法和减值测试方法"/>
            <w:tag w:val="_GBC_509139300ad14da0961ff5023dc7e8f7"/>
            <w:id w:val="1569995982"/>
            <w:lock w:val="sdtLocked"/>
            <w:placeholder>
              <w:docPart w:val="GBC22222222222222222222222222222"/>
            </w:placeholder>
          </w:sdtPr>
          <w:sdtEndPr/>
          <w:sdtContent>
            <w:p w14:paraId="484C465A" w14:textId="77777777" w:rsidR="00471D53" w:rsidRPr="00F46B50" w:rsidRDefault="004F686E" w:rsidP="00471D53">
              <w:pPr>
                <w:tabs>
                  <w:tab w:val="left" w:pos="0"/>
                  <w:tab w:val="left" w:pos="960"/>
                </w:tabs>
                <w:spacing w:beforeLines="50" w:before="120" w:afterLines="50" w:after="120" w:line="360" w:lineRule="exact"/>
                <w:ind w:firstLineChars="200" w:firstLine="420"/>
                <w:jc w:val="both"/>
                <w:rPr>
                  <w:sz w:val="22"/>
                  <w:szCs w:val="22"/>
                </w:rPr>
              </w:pPr>
              <w:r w:rsidRPr="00F46B50">
                <w:rPr>
                  <w:rFonts w:hint="eastAsia"/>
                  <w:sz w:val="22"/>
                  <w:szCs w:val="22"/>
                </w:rPr>
                <w:t>合同资产，是指本集团已向客户转让商品而有权收取对价的权利，且该权利取决于时间流逝之外的其他因素。如本集团向客户销售两项可明确区分的商品，因已交付其中一项商品而有权收取款项，但收取该款项还取决于交付另一项商品的，本集团将该收款权利作为合同资产。</w:t>
              </w:r>
            </w:p>
            <w:p w14:paraId="3133CE47" w14:textId="77777777" w:rsidR="00471D53" w:rsidRDefault="00B664AF">
              <w:pPr>
                <w:rPr>
                  <w:szCs w:val="21"/>
                </w:rPr>
              </w:pPr>
            </w:p>
          </w:sdtContent>
        </w:sdt>
        <w:p w14:paraId="5366D4A2" w14:textId="77777777" w:rsidR="00471D53" w:rsidRDefault="00B664AF">
          <w:pPr>
            <w:rPr>
              <w:rFonts w:cs="Times New Roman"/>
              <w:szCs w:val="21"/>
            </w:rPr>
          </w:pPr>
        </w:p>
      </w:sdtContent>
    </w:sdt>
    <w:bookmarkEnd w:id="87" w:displacedByCustomXml="prev"/>
    <w:bookmarkStart w:id="88" w:name="_Hlk10465245" w:displacedByCustomXml="next"/>
    <w:bookmarkStart w:id="89" w:name="_Hlk10465255" w:displacedByCustomXml="next"/>
    <w:sdt>
      <w:sdtPr>
        <w:rPr>
          <w:rFonts w:ascii="宋体" w:hAnsi="宋体" w:cs="宋体" w:hint="eastAsia"/>
          <w:b w:val="0"/>
          <w:bCs w:val="0"/>
          <w:kern w:val="0"/>
          <w:szCs w:val="21"/>
        </w:rPr>
        <w:alias w:val="模块:合同资产预期信用损失的确定方法及会计处理方法"/>
        <w:tag w:val="_SEC_c2bb2c97fdb4423db069686155694c4c"/>
        <w:id w:val="906036161"/>
        <w:lock w:val="sdtLocked"/>
        <w:placeholder>
          <w:docPart w:val="GBC22222222222222222222222222222"/>
        </w:placeholder>
      </w:sdtPr>
      <w:sdtEndPr>
        <w:rPr>
          <w:rFonts w:hint="default"/>
        </w:rPr>
      </w:sdtEndPr>
      <w:sdtContent>
        <w:p w14:paraId="2DD3F17D" w14:textId="77777777" w:rsidR="00471D53" w:rsidRDefault="004F686E" w:rsidP="004F686E">
          <w:pPr>
            <w:pStyle w:val="afffff8"/>
            <w:numPr>
              <w:ilvl w:val="0"/>
              <w:numId w:val="45"/>
            </w:numPr>
            <w:rPr>
              <w:rFonts w:ascii="宋体" w:hAnsi="宋体"/>
              <w:szCs w:val="21"/>
            </w:rPr>
          </w:pPr>
          <w:r>
            <w:rPr>
              <w:rFonts w:ascii="宋体" w:hAnsi="宋体" w:hint="eastAsia"/>
              <w:szCs w:val="21"/>
            </w:rPr>
            <w:t>合同资产预期信用损失的确定方法及会计处理方法</w:t>
          </w:r>
          <w:bookmarkEnd w:id="88"/>
        </w:p>
        <w:sdt>
          <w:sdtPr>
            <w:rPr>
              <w:szCs w:val="21"/>
            </w:rPr>
            <w:alias w:val="是否适用：合同资产预期信用损失的确定方法及会计处理方法[双击切换]"/>
            <w:tag w:val="_GBC_c1227cf6e2f0432a85c32b611a40fa7f"/>
            <w:id w:val="1785149416"/>
            <w:lock w:val="sdtLocked"/>
            <w:placeholder>
              <w:docPart w:val="GBC22222222222222222222222222222"/>
            </w:placeholder>
          </w:sdtPr>
          <w:sdtEndPr/>
          <w:sdtContent>
            <w:p w14:paraId="36E4040E" w14:textId="77777777" w:rsidR="00471D53" w:rsidRDefault="004F686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合同资产预期信用损失的确定方法及会计处理方法"/>
            <w:tag w:val="_GBC_ec035a84f2ae41b08fe408f3623243ab"/>
            <w:id w:val="33779940"/>
            <w:lock w:val="sdtLocked"/>
            <w:placeholder>
              <w:docPart w:val="GBC22222222222222222222222222222"/>
            </w:placeholder>
          </w:sdtPr>
          <w:sdtEndPr/>
          <w:sdtContent>
            <w:p w14:paraId="2D01A523" w14:textId="77777777" w:rsidR="00471D53" w:rsidRDefault="004F686E" w:rsidP="00471D53">
              <w:pPr>
                <w:widowControl w:val="0"/>
                <w:spacing w:beforeLines="50" w:before="120" w:afterLines="50" w:after="120" w:line="360" w:lineRule="exact"/>
                <w:ind w:firstLineChars="200" w:firstLine="420"/>
                <w:jc w:val="both"/>
                <w:rPr>
                  <w:sz w:val="22"/>
                  <w:szCs w:val="22"/>
                </w:rPr>
              </w:pPr>
              <w:r>
                <w:rPr>
                  <w:rFonts w:hint="eastAsia"/>
                  <w:sz w:val="22"/>
                  <w:szCs w:val="22"/>
                </w:rPr>
                <w:t>合同资产的预期信用损失的确定方法，参照上述12.应收账款相关内容。</w:t>
              </w:r>
            </w:p>
            <w:p w14:paraId="3328FB3E"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会计处理方法，本集团在资产负债表日计算合同资产预期信用损失，如果该预期信用损失大于当前合同资产减值准备的账面金额，本集团将其差额确认为减值损失，借记“资产减值损失”，贷记“合同资产减值准备”。相反，本集团将差额确认为减值利得，做相反的会计记录。</w:t>
              </w:r>
            </w:p>
            <w:p w14:paraId="463B56F5"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本集团实际发生信用损失，认定相关合同资产无法收回，经批准予以核销的，根据批准的核销金额，借记“合同资产减值准备”，贷记“合同资产”。若核销金额大于已计提的损失准备，按期差额借记“资产减值损失”。</w:t>
              </w:r>
            </w:p>
            <w:p w14:paraId="6D83E23F" w14:textId="77777777" w:rsidR="00471D53" w:rsidRDefault="00B664AF">
              <w:pPr>
                <w:rPr>
                  <w:szCs w:val="21"/>
                </w:rPr>
              </w:pPr>
            </w:p>
          </w:sdtContent>
        </w:sdt>
        <w:p w14:paraId="65990A47" w14:textId="77777777" w:rsidR="00471D53" w:rsidRDefault="00B664AF">
          <w:pPr>
            <w:rPr>
              <w:rFonts w:cs="Times New Roman"/>
              <w:szCs w:val="21"/>
            </w:rPr>
          </w:pPr>
        </w:p>
      </w:sdtContent>
    </w:sdt>
    <w:bookmarkEnd w:id="89" w:displacedByCustomXml="prev"/>
    <w:bookmarkStart w:id="90" w:name="_Hlk10465310" w:displacedByCustomXml="next"/>
    <w:sdt>
      <w:sdtPr>
        <w:rPr>
          <w:rFonts w:ascii="宋体" w:hAnsi="宋体" w:cs="宋体" w:hint="eastAsia"/>
          <w:b w:val="0"/>
          <w:bCs w:val="0"/>
          <w:kern w:val="0"/>
          <w:szCs w:val="21"/>
        </w:rPr>
        <w:alias w:val="模块:划分为持有待售资产"/>
        <w:tag w:val="_GBC_a1a86a762feb43c3bed478ce8a19ae7c"/>
        <w:id w:val="269208114"/>
        <w:lock w:val="sdtLocked"/>
        <w:placeholder>
          <w:docPart w:val="GBC22222222222222222222222222222"/>
        </w:placeholder>
      </w:sdtPr>
      <w:sdtEndPr/>
      <w:sdtContent>
        <w:p w14:paraId="1BE54AEB" w14:textId="77777777" w:rsidR="00471D53" w:rsidRPr="00861881" w:rsidRDefault="004F686E" w:rsidP="004F686E">
          <w:pPr>
            <w:pStyle w:val="afffff7"/>
            <w:numPr>
              <w:ilvl w:val="0"/>
              <w:numId w:val="44"/>
            </w:numPr>
            <w:rPr>
              <w:rFonts w:ascii="宋体" w:hAnsi="宋体"/>
              <w:szCs w:val="21"/>
            </w:rPr>
          </w:pPr>
          <w:r w:rsidRPr="00861881">
            <w:rPr>
              <w:rFonts w:ascii="宋体" w:hAnsi="宋体" w:hint="eastAsia"/>
            </w:rPr>
            <w:t>持有</w:t>
          </w:r>
          <w:r w:rsidRPr="00861881">
            <w:rPr>
              <w:rFonts w:ascii="宋体" w:hAnsi="宋体" w:hint="eastAsia"/>
              <w:szCs w:val="21"/>
            </w:rPr>
            <w:t>待售资产</w:t>
          </w:r>
        </w:p>
        <w:sdt>
          <w:sdtPr>
            <w:rPr>
              <w:rFonts w:hint="eastAsia"/>
              <w:szCs w:val="21"/>
            </w:rPr>
            <w:alias w:val="是否适用：划分为持有待售资产_重要会计政策和估计[双击切换]"/>
            <w:tag w:val="_GBC_7d21fae1fb15414bac10a5567ebb7aca"/>
            <w:id w:val="1266118712"/>
            <w:lock w:val="sdtLocked"/>
            <w:placeholder>
              <w:docPart w:val="GBC22222222222222222222222222222"/>
            </w:placeholder>
          </w:sdtPr>
          <w:sdtEndPr/>
          <w:sdtContent>
            <w:p w14:paraId="4677DA7C" w14:textId="77777777" w:rsidR="00471D53" w:rsidRDefault="004F686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划分为持有待售资产的确认标准"/>
            <w:tag w:val="_GBC_d8726eddbed2465794ccdff8edd6a7cc"/>
            <w:id w:val="1841732882"/>
            <w:lock w:val="sdtLocked"/>
            <w:placeholder>
              <w:docPart w:val="GBC22222222222222222222222222222"/>
            </w:placeholder>
          </w:sdtPr>
          <w:sdtEndPr/>
          <w:sdtContent>
            <w:p w14:paraId="29A9C8D2" w14:textId="77777777" w:rsidR="00471D53" w:rsidRDefault="004F686E">
              <w:pPr>
                <w:rPr>
                  <w:sz w:val="22"/>
                  <w:szCs w:val="22"/>
                </w:rPr>
              </w:pPr>
              <w:r>
                <w:rPr>
                  <w:rFonts w:hint="eastAsia"/>
                  <w:sz w:val="22"/>
                  <w:szCs w:val="22"/>
                </w:rPr>
                <w:t>（</w:t>
              </w:r>
              <w:r>
                <w:rPr>
                  <w:sz w:val="22"/>
                  <w:szCs w:val="22"/>
                </w:rPr>
                <w:t>1</w:t>
              </w:r>
              <w:r>
                <w:rPr>
                  <w:rFonts w:hint="eastAsia"/>
                  <w:sz w:val="22"/>
                  <w:szCs w:val="22"/>
                </w:rPr>
                <w:t>）本集团将同时符合下列条件的非流动资产或处置组划分为持有待售：</w:t>
              </w:r>
              <w:r>
                <w:rPr>
                  <w:sz w:val="22"/>
                  <w:szCs w:val="22"/>
                </w:rPr>
                <w:t>1</w:t>
              </w:r>
              <w:r>
                <w:rPr>
                  <w:rFonts w:hint="eastAsia"/>
                  <w:sz w:val="22"/>
                  <w:szCs w:val="22"/>
                </w:rPr>
                <w:t>）根据类似交易中出售此类资产或处置组的惯例，在当前状况下即可立即出售；</w:t>
              </w:r>
              <w:r>
                <w:rPr>
                  <w:sz w:val="22"/>
                  <w:szCs w:val="22"/>
                </w:rPr>
                <w:t>2</w:t>
              </w:r>
              <w:r>
                <w:rPr>
                  <w:rFonts w:hint="eastAsia"/>
                  <w:sz w:val="22"/>
                  <w:szCs w:val="22"/>
                </w:rPr>
                <w:t>）出售极可能发生，即已经就一项出售计划作出决议且获得确定的购买承诺，预计出售将在一年内完成。有关规定要求相关权力机构或者监管部门批准后方可出售的需要获得相关批准。本集团将非流动资产或处置组首次划分为持有待售类别前，按照相关会计准则规定计量非流动资产或处置组中各项资产和负债的账面价值。初始计量或在资产负债表日重新计量持有待售的非流动资产或处置组时，其账面价值高于公允价值减去出售费用后的净额的，将账面价值减记至公允价值减去出售费用后的净额，减记的金额确认为资产减值损失，计入当期损益，同时计提持有待售资产减值准备。</w:t>
              </w:r>
            </w:p>
            <w:p w14:paraId="7189D7E2" w14:textId="77777777" w:rsidR="00471D53" w:rsidRDefault="004F686E">
              <w:pPr>
                <w:rPr>
                  <w:sz w:val="22"/>
                  <w:szCs w:val="22"/>
                </w:rPr>
              </w:pPr>
              <w:r>
                <w:rPr>
                  <w:rFonts w:hint="eastAsia"/>
                  <w:sz w:val="22"/>
                  <w:szCs w:val="22"/>
                </w:rPr>
                <w:t>（</w:t>
              </w:r>
              <w:r>
                <w:rPr>
                  <w:sz w:val="22"/>
                  <w:szCs w:val="22"/>
                </w:rPr>
                <w:t>2</w:t>
              </w:r>
              <w:r>
                <w:rPr>
                  <w:rFonts w:hint="eastAsia"/>
                  <w:sz w:val="22"/>
                  <w:szCs w:val="22"/>
                </w:rPr>
                <w:t>）本集团专为转售而取得的非流动资产或处置组，在取得日满足</w:t>
              </w:r>
              <w:r>
                <w:rPr>
                  <w:sz w:val="22"/>
                  <w:szCs w:val="22"/>
                </w:rPr>
                <w:t>“</w:t>
              </w:r>
              <w:r>
                <w:rPr>
                  <w:rFonts w:hint="eastAsia"/>
                  <w:sz w:val="22"/>
                  <w:szCs w:val="22"/>
                </w:rPr>
                <w:t>预计出售将在一年内完成</w:t>
              </w:r>
              <w:r>
                <w:rPr>
                  <w:sz w:val="22"/>
                  <w:szCs w:val="22"/>
                </w:rPr>
                <w:t>”</w:t>
              </w:r>
              <w:r>
                <w:rPr>
                  <w:rFonts w:hint="eastAsia"/>
                  <w:sz w:val="22"/>
                  <w:szCs w:val="22"/>
                </w:rPr>
                <w:t>的规定条件，且短期（通常为</w:t>
              </w:r>
              <w:r>
                <w:rPr>
                  <w:sz w:val="22"/>
                  <w:szCs w:val="22"/>
                </w:rPr>
                <w:t>3</w:t>
              </w:r>
              <w:r>
                <w:rPr>
                  <w:rFonts w:hint="eastAsia"/>
                  <w:sz w:val="22"/>
                  <w:szCs w:val="22"/>
                </w:rPr>
                <w:t>个月）内很可能满足持有待售类别的其他划分条件的，在取得日将其划分为持有待售类别。在初始计量时，比较假定其不划分为持有待售类别情况下的初始计量金额和公允价值减去出售费用后的净额，以两者孰低计量。除企业合并中取得的非流动资产或处置组外，由非流动资产或处置组以公允价值减去出售费用后的净额作为初始计量金额而产生的差额，计入当期损益。</w:t>
              </w:r>
            </w:p>
            <w:p w14:paraId="502BF0C3" w14:textId="77777777" w:rsidR="00471D53" w:rsidRDefault="004F686E">
              <w:pPr>
                <w:rPr>
                  <w:sz w:val="22"/>
                  <w:szCs w:val="22"/>
                </w:rPr>
              </w:pPr>
              <w:r>
                <w:rPr>
                  <w:rFonts w:hint="eastAsia"/>
                  <w:sz w:val="22"/>
                  <w:szCs w:val="22"/>
                </w:rPr>
                <w:t>（</w:t>
              </w:r>
              <w:r>
                <w:rPr>
                  <w:sz w:val="22"/>
                  <w:szCs w:val="22"/>
                </w:rPr>
                <w:t>3</w:t>
              </w:r>
              <w:r>
                <w:rPr>
                  <w:rFonts w:hint="eastAsia"/>
                  <w:sz w:val="22"/>
                  <w:szCs w:val="22"/>
                </w:rPr>
                <w:t>）本集团因出售对子公司的投资等原因导致丧失对子公司控制权的，无论出售后本集团是否保留部分权益性投资，在拟出售的对子公司投资满足持有待售类别划分条件时，在母公司个别财务报表中将对子公司投资整体划分为持有待售类别，在合并财务报表中将子公司所有资产和负债划分为持有待售类别。</w:t>
              </w:r>
            </w:p>
            <w:p w14:paraId="40C045D3" w14:textId="77777777" w:rsidR="00471D53" w:rsidRDefault="004F686E">
              <w:pPr>
                <w:rPr>
                  <w:sz w:val="22"/>
                  <w:szCs w:val="22"/>
                </w:rPr>
              </w:pPr>
              <w:r>
                <w:rPr>
                  <w:rFonts w:hint="eastAsia"/>
                  <w:sz w:val="22"/>
                  <w:szCs w:val="22"/>
                </w:rPr>
                <w:t>（</w:t>
              </w:r>
              <w:r>
                <w:rPr>
                  <w:sz w:val="22"/>
                  <w:szCs w:val="22"/>
                </w:rPr>
                <w:t>4</w:t>
              </w:r>
              <w:r>
                <w:rPr>
                  <w:rFonts w:hint="eastAsia"/>
                  <w:sz w:val="22"/>
                  <w:szCs w:val="22"/>
                </w:rPr>
                <w:t>）后续资产负债表日持有待售的非流动资产公允价值减去出售费用后的净额增加的，以前减记的金额应当予以恢复，并在划分为持有待售类别后确认的资产减值损失金额内转回，转回金额计入当期损益。划分为持有待售类别前确认的资产减值损失不得转回。</w:t>
              </w:r>
            </w:p>
            <w:p w14:paraId="2B439974" w14:textId="77777777" w:rsidR="00471D53" w:rsidRDefault="004F686E">
              <w:pPr>
                <w:rPr>
                  <w:sz w:val="22"/>
                  <w:szCs w:val="22"/>
                </w:rPr>
              </w:pPr>
              <w:r>
                <w:rPr>
                  <w:rFonts w:hint="eastAsia"/>
                  <w:sz w:val="22"/>
                  <w:szCs w:val="22"/>
                </w:rPr>
                <w:lastRenderedPageBreak/>
                <w:t>（</w:t>
              </w:r>
              <w:r>
                <w:rPr>
                  <w:sz w:val="22"/>
                  <w:szCs w:val="22"/>
                </w:rPr>
                <w:t>5</w:t>
              </w:r>
              <w:r>
                <w:rPr>
                  <w:rFonts w:hint="eastAsia"/>
                  <w:sz w:val="22"/>
                  <w:szCs w:val="22"/>
                </w:rPr>
                <w:t>）对于持有待售的处置组确认的资产减值损失金额，先抵减处置组中商誉的账面价值，再根据各项非流动资产账面价值所占比重，按比例抵减其账面价值。</w:t>
              </w:r>
            </w:p>
            <w:p w14:paraId="5B62BCE6" w14:textId="77777777" w:rsidR="00471D53" w:rsidRDefault="004F686E">
              <w:pPr>
                <w:rPr>
                  <w:sz w:val="22"/>
                  <w:szCs w:val="22"/>
                </w:rPr>
              </w:pPr>
              <w:r>
                <w:rPr>
                  <w:rFonts w:hint="eastAsia"/>
                  <w:sz w:val="22"/>
                  <w:szCs w:val="22"/>
                </w:rPr>
                <w:t>后续资产负债表日持有待售的处置组公允价值减去出售费用后的净额增加的，以前减记的金额应当予以恢复，并在划分为持有待售类别后适用相关计量规定的非流动资产确认的资产减值损失金额内转回，转回金额计入当期损益。已抵减的商誉账面价值，以及非流动资产在划分为持有待售类别前确认的资产减值损失不得转回。</w:t>
              </w:r>
            </w:p>
            <w:p w14:paraId="75F5A183" w14:textId="77777777" w:rsidR="00471D53" w:rsidRDefault="004F686E">
              <w:pPr>
                <w:rPr>
                  <w:sz w:val="22"/>
                  <w:szCs w:val="22"/>
                </w:rPr>
              </w:pPr>
              <w:r>
                <w:rPr>
                  <w:rFonts w:hint="eastAsia"/>
                  <w:sz w:val="22"/>
                  <w:szCs w:val="22"/>
                </w:rPr>
                <w:t>持有待售的处置组确认的资产减值损失后续转回金额，根据处置组中除商誉外，各项非流动资产账面价值所占比重，按比例增加其账面价值。</w:t>
              </w:r>
            </w:p>
            <w:p w14:paraId="6B42163F" w14:textId="77777777" w:rsidR="00471D53" w:rsidRDefault="004F686E">
              <w:pPr>
                <w:rPr>
                  <w:sz w:val="22"/>
                  <w:szCs w:val="22"/>
                </w:rPr>
              </w:pPr>
              <w:r>
                <w:rPr>
                  <w:rFonts w:hint="eastAsia"/>
                  <w:sz w:val="22"/>
                  <w:szCs w:val="22"/>
                </w:rPr>
                <w:t>（</w:t>
              </w:r>
              <w:r>
                <w:rPr>
                  <w:sz w:val="22"/>
                  <w:szCs w:val="22"/>
                </w:rPr>
                <w:t>6</w:t>
              </w:r>
              <w:r>
                <w:rPr>
                  <w:rFonts w:hint="eastAsia"/>
                  <w:sz w:val="22"/>
                  <w:szCs w:val="22"/>
                </w:rPr>
                <w:t>）持有待售的非流动资产或处置组中的非流动资产不计提折旧或摊销，持有待售的处置组中负债的利息和其他费用继续予以确认。</w:t>
              </w:r>
            </w:p>
            <w:p w14:paraId="615C723C" w14:textId="77777777" w:rsidR="00471D53" w:rsidRDefault="004F686E">
              <w:pPr>
                <w:rPr>
                  <w:sz w:val="22"/>
                  <w:szCs w:val="22"/>
                </w:rPr>
              </w:pPr>
              <w:r>
                <w:rPr>
                  <w:rFonts w:hint="eastAsia"/>
                  <w:sz w:val="22"/>
                  <w:szCs w:val="22"/>
                </w:rPr>
                <w:t>（</w:t>
              </w:r>
              <w:r>
                <w:rPr>
                  <w:sz w:val="22"/>
                  <w:szCs w:val="22"/>
                </w:rPr>
                <w:t>7</w:t>
              </w:r>
              <w:r>
                <w:rPr>
                  <w:rFonts w:hint="eastAsia"/>
                  <w:sz w:val="22"/>
                  <w:szCs w:val="22"/>
                </w:rPr>
                <w:t>）持有待售的非流动资产或处置组因不再满足持有待售类别的划分条件，而不再继续划分为持有待售类别或非流动资产从持有待售的处置组中移除时，按照以下两者孰低计量：</w:t>
              </w:r>
              <w:r>
                <w:rPr>
                  <w:sz w:val="22"/>
                  <w:szCs w:val="22"/>
                </w:rPr>
                <w:t>1</w:t>
              </w:r>
              <w:r>
                <w:rPr>
                  <w:rFonts w:hint="eastAsia"/>
                  <w:sz w:val="22"/>
                  <w:szCs w:val="22"/>
                </w:rPr>
                <w:t>）划分为持有待售类别前的账面价值，按照假定不划分为持有待售类别情况下本应确认的折旧、摊销或减值等进行调整后的金额；</w:t>
              </w:r>
              <w:r>
                <w:rPr>
                  <w:sz w:val="22"/>
                  <w:szCs w:val="22"/>
                </w:rPr>
                <w:t>2</w:t>
              </w:r>
              <w:r>
                <w:rPr>
                  <w:rFonts w:hint="eastAsia"/>
                  <w:sz w:val="22"/>
                  <w:szCs w:val="22"/>
                </w:rPr>
                <w:t>）可收回金额。</w:t>
              </w:r>
            </w:p>
            <w:p w14:paraId="329751AC" w14:textId="77777777" w:rsidR="00471D53" w:rsidRDefault="00B664AF">
              <w:pPr>
                <w:rPr>
                  <w:sz w:val="22"/>
                  <w:szCs w:val="22"/>
                </w:rPr>
              </w:pPr>
            </w:p>
            <w:p w14:paraId="72250035" w14:textId="1BEDD0E2" w:rsidR="00471D53" w:rsidRDefault="004F686E" w:rsidP="00471D53">
              <w:pPr>
                <w:pStyle w:val="afffffffff9"/>
                <w:rPr>
                  <w:sz w:val="22"/>
                  <w:szCs w:val="22"/>
                </w:rPr>
              </w:pPr>
              <w:r>
                <w:rPr>
                  <w:rFonts w:hint="eastAsia"/>
                  <w:sz w:val="22"/>
                  <w:szCs w:val="22"/>
                </w:rPr>
                <w:t>终止确认持有待售的非流动资产或处置组时，将尚未确认的利得或损失计入当期损益。</w:t>
              </w:r>
            </w:p>
            <w:p w14:paraId="1085F176" w14:textId="77777777" w:rsidR="00471D53" w:rsidRDefault="004F686E" w:rsidP="00471D53">
              <w:pPr>
                <w:rPr>
                  <w:sz w:val="22"/>
                  <w:szCs w:val="22"/>
                </w:rPr>
              </w:pPr>
              <w:r>
                <w:rPr>
                  <w:rFonts w:hint="eastAsia"/>
                  <w:sz w:val="22"/>
                  <w:szCs w:val="22"/>
                </w:rPr>
                <w:t>本集团在资产负债表中将持有待售的非流动资产或持有待售的处置组中的资产列报于</w:t>
              </w:r>
              <w:r>
                <w:rPr>
                  <w:sz w:val="22"/>
                  <w:szCs w:val="22"/>
                </w:rPr>
                <w:t>“</w:t>
              </w:r>
              <w:r>
                <w:rPr>
                  <w:rFonts w:hint="eastAsia"/>
                  <w:sz w:val="22"/>
                  <w:szCs w:val="22"/>
                </w:rPr>
                <w:t>持有待售资产</w:t>
              </w:r>
              <w:r>
                <w:rPr>
                  <w:sz w:val="22"/>
                  <w:szCs w:val="22"/>
                </w:rPr>
                <w:t>”</w:t>
              </w:r>
              <w:r>
                <w:rPr>
                  <w:rFonts w:hint="eastAsia"/>
                  <w:sz w:val="22"/>
                  <w:szCs w:val="22"/>
                </w:rPr>
                <w:t>，将持有待售的处置组中的负债列报于</w:t>
              </w:r>
              <w:r>
                <w:rPr>
                  <w:sz w:val="22"/>
                  <w:szCs w:val="22"/>
                </w:rPr>
                <w:t>“</w:t>
              </w:r>
              <w:r>
                <w:rPr>
                  <w:rFonts w:hint="eastAsia"/>
                  <w:sz w:val="22"/>
                  <w:szCs w:val="22"/>
                </w:rPr>
                <w:t>持有待售负债</w:t>
              </w:r>
              <w:r>
                <w:rPr>
                  <w:sz w:val="22"/>
                  <w:szCs w:val="22"/>
                </w:rPr>
                <w:t>”</w:t>
              </w:r>
              <w:r>
                <w:rPr>
                  <w:rFonts w:hint="eastAsia"/>
                  <w:sz w:val="22"/>
                  <w:szCs w:val="22"/>
                </w:rPr>
                <w:t>。</w:t>
              </w:r>
            </w:p>
            <w:p w14:paraId="7D8CE73F" w14:textId="77777777" w:rsidR="00471D53" w:rsidRDefault="00B664AF">
              <w:pPr>
                <w:rPr>
                  <w:sz w:val="22"/>
                  <w:szCs w:val="22"/>
                </w:rPr>
              </w:pPr>
            </w:p>
            <w:p w14:paraId="2190629C" w14:textId="77777777" w:rsidR="00471D53" w:rsidRDefault="00B664AF">
              <w:pPr>
                <w:rPr>
                  <w:sz w:val="22"/>
                  <w:szCs w:val="22"/>
                </w:rPr>
              </w:pPr>
            </w:p>
            <w:p w14:paraId="3B23C4ED" w14:textId="77777777" w:rsidR="00471D53" w:rsidRDefault="00B664AF">
              <w:pPr>
                <w:rPr>
                  <w:szCs w:val="21"/>
                </w:rPr>
              </w:pPr>
            </w:p>
          </w:sdtContent>
        </w:sdt>
      </w:sdtContent>
    </w:sdt>
    <w:p w14:paraId="4E8B89BE" w14:textId="77777777" w:rsidR="00471D53" w:rsidRDefault="00B664AF">
      <w:pPr>
        <w:rPr>
          <w:szCs w:val="21"/>
        </w:rPr>
      </w:pPr>
    </w:p>
    <w:sdt>
      <w:sdtPr>
        <w:rPr>
          <w:rFonts w:ascii="宋体" w:hAnsi="宋体" w:cs="宋体" w:hint="eastAsia"/>
          <w:b w:val="0"/>
          <w:bCs w:val="0"/>
          <w:kern w:val="0"/>
          <w:szCs w:val="21"/>
        </w:rPr>
        <w:alias w:val="模块:债权投资"/>
        <w:tag w:val="_SEC_64972cc74e5349aa855fec98c6609582"/>
        <w:id w:val="-2121831967"/>
        <w:lock w:val="sdtLocked"/>
        <w:placeholder>
          <w:docPart w:val="GBC22222222222222222222222222222"/>
        </w:placeholder>
      </w:sdtPr>
      <w:sdtEndPr>
        <w:rPr>
          <w:rFonts w:hint="default"/>
        </w:rPr>
      </w:sdtEndPr>
      <w:sdtContent>
        <w:p w14:paraId="5A3018E9" w14:textId="77777777" w:rsidR="00471D53" w:rsidRDefault="004F686E" w:rsidP="004F686E">
          <w:pPr>
            <w:pStyle w:val="afffff7"/>
            <w:numPr>
              <w:ilvl w:val="0"/>
              <w:numId w:val="44"/>
            </w:numPr>
            <w:rPr>
              <w:rFonts w:ascii="宋体" w:hAnsi="宋体"/>
              <w:szCs w:val="21"/>
            </w:rPr>
          </w:pPr>
          <w:r>
            <w:rPr>
              <w:rFonts w:ascii="宋体" w:hAnsi="宋体" w:hint="eastAsia"/>
              <w:szCs w:val="21"/>
            </w:rPr>
            <w:t>债权投资</w:t>
          </w:r>
        </w:p>
        <w:p w14:paraId="02388927" w14:textId="77777777" w:rsidR="00471D53" w:rsidRDefault="004F686E">
          <w:pPr>
            <w:pStyle w:val="afffff8"/>
            <w:rPr>
              <w:rFonts w:ascii="宋体" w:hAnsi="宋体"/>
            </w:rPr>
          </w:pPr>
          <w:r>
            <w:rPr>
              <w:rFonts w:ascii="宋体" w:hAnsi="宋体" w:hint="eastAsia"/>
            </w:rPr>
            <w:t>债权投资预期信用损失的确定方法及会计处理方法</w:t>
          </w:r>
        </w:p>
        <w:sdt>
          <w:sdtPr>
            <w:rPr>
              <w:szCs w:val="21"/>
            </w:rPr>
            <w:alias w:val="是否适用：债权投资预期信用损失的确定方法及会计处理方法[双击切换]"/>
            <w:tag w:val="_GBC_acf0a46e8a8248e9a7f548194ba5ca2d"/>
            <w:id w:val="984972455"/>
            <w:lock w:val="sdtLocked"/>
            <w:placeholder>
              <w:docPart w:val="GBC22222222222222222222222222222"/>
            </w:placeholder>
          </w:sdtPr>
          <w:sdtEndPr/>
          <w:sdtContent>
            <w:p w14:paraId="4DF23CDD" w14:textId="77777777" w:rsidR="00471D53" w:rsidRDefault="004F686E" w:rsidP="00471D5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7BA87996" w14:textId="77777777" w:rsidR="00471D53" w:rsidRDefault="00B664AF">
          <w:pPr>
            <w:rPr>
              <w:rFonts w:cs="Times New Roman"/>
              <w:szCs w:val="21"/>
            </w:rPr>
          </w:pPr>
        </w:p>
      </w:sdtContent>
    </w:sdt>
    <w:bookmarkEnd w:id="90" w:displacedByCustomXml="prev"/>
    <w:bookmarkStart w:id="91" w:name="_Hlk10465347" w:displacedByCustomXml="next"/>
    <w:sdt>
      <w:sdtPr>
        <w:rPr>
          <w:rFonts w:ascii="宋体" w:hAnsi="宋体" w:cs="宋体" w:hint="eastAsia"/>
          <w:b w:val="0"/>
          <w:bCs w:val="0"/>
          <w:kern w:val="0"/>
          <w:szCs w:val="21"/>
        </w:rPr>
        <w:alias w:val="模块:其他债权投资"/>
        <w:tag w:val="_SEC_41586dd479b54f07aeed675230b384c8"/>
        <w:id w:val="-784734273"/>
        <w:lock w:val="sdtLocked"/>
        <w:placeholder>
          <w:docPart w:val="GBC22222222222222222222222222222"/>
        </w:placeholder>
      </w:sdtPr>
      <w:sdtEndPr>
        <w:rPr>
          <w:rFonts w:hint="default"/>
        </w:rPr>
      </w:sdtEndPr>
      <w:sdtContent>
        <w:p w14:paraId="113DD59C" w14:textId="77777777" w:rsidR="00471D53" w:rsidRDefault="004F686E" w:rsidP="004F686E">
          <w:pPr>
            <w:pStyle w:val="afffff7"/>
            <w:numPr>
              <w:ilvl w:val="0"/>
              <w:numId w:val="44"/>
            </w:numPr>
            <w:rPr>
              <w:rFonts w:ascii="宋体" w:hAnsi="宋体"/>
              <w:szCs w:val="21"/>
            </w:rPr>
          </w:pPr>
          <w:r>
            <w:rPr>
              <w:rFonts w:ascii="宋体" w:hAnsi="宋体" w:hint="eastAsia"/>
              <w:szCs w:val="21"/>
            </w:rPr>
            <w:t>其他债权投资</w:t>
          </w:r>
        </w:p>
        <w:p w14:paraId="0C387274" w14:textId="77777777" w:rsidR="00471D53" w:rsidRDefault="004F686E">
          <w:pPr>
            <w:pStyle w:val="afffff8"/>
            <w:rPr>
              <w:rFonts w:ascii="宋体" w:hAnsi="宋体"/>
            </w:rPr>
          </w:pPr>
          <w:r>
            <w:rPr>
              <w:rFonts w:ascii="宋体" w:hAnsi="宋体" w:hint="eastAsia"/>
            </w:rPr>
            <w:t>其他债权投资</w:t>
          </w:r>
          <w:r>
            <w:rPr>
              <w:rFonts w:ascii="宋体" w:hAnsi="宋体"/>
            </w:rPr>
            <w:t>预期信用损失的确定方法</w:t>
          </w:r>
          <w:r>
            <w:rPr>
              <w:rFonts w:ascii="宋体" w:hAnsi="宋体" w:cs="Calibri"/>
              <w:szCs w:val="21"/>
            </w:rPr>
            <w:t>及会计处理方法</w:t>
          </w:r>
        </w:p>
        <w:sdt>
          <w:sdtPr>
            <w:alias w:val="是否适用：其他债权投资预期信用损失的确定方法及会计处理方法[双击切换]"/>
            <w:tag w:val="_GBC_c8b7f631f3734e4e873d374c0e3e2936"/>
            <w:id w:val="808989733"/>
            <w:lock w:val="sdtLocked"/>
            <w:placeholder>
              <w:docPart w:val="GBC22222222222222222222222222222"/>
            </w:placeholder>
          </w:sdtPr>
          <w:sdtEndPr/>
          <w:sdtContent>
            <w:p w14:paraId="6C8B8921" w14:textId="77777777" w:rsidR="00471D53" w:rsidRDefault="004F686E" w:rsidP="00471D53">
              <w:pPr>
                <w:rPr>
                  <w:rFonts w:cs="Times New Roman"/>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AB2D34F" w14:textId="77777777" w:rsidR="00471D53" w:rsidRDefault="00B664AF">
          <w:pPr>
            <w:rPr>
              <w:rFonts w:cs="Times New Roman"/>
              <w:szCs w:val="21"/>
            </w:rPr>
          </w:pPr>
        </w:p>
      </w:sdtContent>
    </w:sdt>
    <w:bookmarkEnd w:id="91" w:displacedByCustomXml="prev"/>
    <w:bookmarkStart w:id="92" w:name="_Hlk10465393" w:displacedByCustomXml="next"/>
    <w:sdt>
      <w:sdtPr>
        <w:rPr>
          <w:rFonts w:ascii="宋体" w:hAnsi="宋体" w:cs="宋体" w:hint="eastAsia"/>
          <w:b w:val="0"/>
          <w:bCs w:val="0"/>
          <w:kern w:val="0"/>
          <w:szCs w:val="21"/>
        </w:rPr>
        <w:alias w:val="模块:长期应收款"/>
        <w:tag w:val="_SEC_ef0b5e87e2254c638e2a6672bcd1eac8"/>
        <w:id w:val="-749187183"/>
        <w:lock w:val="sdtLocked"/>
        <w:placeholder>
          <w:docPart w:val="GBC22222222222222222222222222222"/>
        </w:placeholder>
      </w:sdtPr>
      <w:sdtEndPr/>
      <w:sdtContent>
        <w:p w14:paraId="682509A8" w14:textId="77777777" w:rsidR="00471D53" w:rsidRDefault="004F686E" w:rsidP="004F686E">
          <w:pPr>
            <w:pStyle w:val="afffff7"/>
            <w:numPr>
              <w:ilvl w:val="0"/>
              <w:numId w:val="44"/>
            </w:numPr>
            <w:rPr>
              <w:rFonts w:ascii="宋体" w:hAnsi="宋体"/>
              <w:szCs w:val="21"/>
            </w:rPr>
          </w:pPr>
          <w:r>
            <w:rPr>
              <w:rFonts w:ascii="宋体" w:hAnsi="宋体" w:hint="eastAsia"/>
              <w:szCs w:val="21"/>
            </w:rPr>
            <w:t>长期应收款</w:t>
          </w:r>
        </w:p>
        <w:p w14:paraId="6FF07381" w14:textId="77777777" w:rsidR="00471D53" w:rsidRDefault="004F686E">
          <w:pPr>
            <w:pStyle w:val="afffff8"/>
            <w:rPr>
              <w:rFonts w:ascii="宋体" w:hAnsi="宋体"/>
            </w:rPr>
          </w:pPr>
          <w:r>
            <w:rPr>
              <w:rFonts w:ascii="宋体" w:hAnsi="宋体" w:hint="eastAsia"/>
            </w:rPr>
            <w:t>长期应收款</w:t>
          </w:r>
          <w:r>
            <w:rPr>
              <w:rFonts w:ascii="宋体" w:hAnsi="宋体"/>
            </w:rPr>
            <w:t>预期信用损失的确定方法</w:t>
          </w:r>
          <w:r>
            <w:rPr>
              <w:rFonts w:ascii="宋体" w:hAnsi="宋体" w:cs="Calibri"/>
              <w:szCs w:val="21"/>
            </w:rPr>
            <w:t>及会计处理方法</w:t>
          </w:r>
        </w:p>
        <w:sdt>
          <w:sdtPr>
            <w:alias w:val="是否适用：长期应收款预期信用损失的确定方法及会计处理方法[双击切换]"/>
            <w:tag w:val="_GBC_9cf76ec2aae6484cbb983cf468a375bc"/>
            <w:id w:val="-396668944"/>
            <w:lock w:val="sdtLocked"/>
            <w:placeholder>
              <w:docPart w:val="GBC22222222222222222222222222222"/>
            </w:placeholder>
          </w:sdtPr>
          <w:sdtEndPr/>
          <w:sdtContent>
            <w:p w14:paraId="768C1744"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长期应收款预期信用损失的确定方法及会计处理方法"/>
            <w:tag w:val="_GBC_9325ee65dfbd4ae48e56465d290e3a50"/>
            <w:id w:val="-137191916"/>
            <w:lock w:val="sdtLocked"/>
            <w:placeholder>
              <w:docPart w:val="GBC22222222222222222222222222222"/>
            </w:placeholder>
          </w:sdtPr>
          <w:sdtEndPr/>
          <w:sdtContent>
            <w:p w14:paraId="260F4CCB" w14:textId="77777777" w:rsidR="00471D53" w:rsidRDefault="004F686E" w:rsidP="00471D53">
              <w:pPr>
                <w:spacing w:beforeLines="50" w:before="120" w:afterLines="50" w:after="120" w:line="360" w:lineRule="exact"/>
                <w:ind w:firstLineChars="200" w:firstLine="420"/>
                <w:jc w:val="both"/>
                <w:rPr>
                  <w:sz w:val="22"/>
                  <w:szCs w:val="22"/>
                </w:rPr>
              </w:pPr>
              <w:r>
                <w:rPr>
                  <w:rFonts w:hint="eastAsia"/>
                  <w:sz w:val="22"/>
                  <w:szCs w:val="22"/>
                </w:rPr>
                <w:t>长期应收款的预期信用损失的确定方法及会计处理方法:</w:t>
              </w:r>
            </w:p>
            <w:p w14:paraId="3401D1ED"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本集团对于《企业会计准则第14号-收入》准则规范的交易形成且包含重大融资成分的长期应收款，始终按照相当于整个存续期内预期信用损失的金额计量其损失准备。</w:t>
              </w:r>
            </w:p>
            <w:p w14:paraId="44DF4431"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长期应收款的预期信用损失的确定方法，参照上述12.应收账款相关内容。</w:t>
              </w:r>
            </w:p>
            <w:p w14:paraId="4447F680" w14:textId="77777777" w:rsidR="00471D53" w:rsidRDefault="00B664AF"/>
          </w:sdtContent>
        </w:sdt>
        <w:p w14:paraId="333B556D" w14:textId="77777777" w:rsidR="00471D53" w:rsidRDefault="00B664AF">
          <w:pPr>
            <w:rPr>
              <w:rFonts w:cs="Times New Roman"/>
              <w:szCs w:val="21"/>
            </w:rPr>
          </w:pPr>
        </w:p>
      </w:sdtContent>
    </w:sdt>
    <w:bookmarkEnd w:id="92" w:displacedByCustomXml="prev"/>
    <w:sdt>
      <w:sdtPr>
        <w:rPr>
          <w:rFonts w:ascii="宋体" w:hAnsi="宋体" w:cstheme="minorBidi"/>
          <w:b w:val="0"/>
          <w:bCs w:val="0"/>
          <w:kern w:val="0"/>
          <w:szCs w:val="22"/>
        </w:rPr>
        <w:alias w:val="模块:长期股权投资"/>
        <w:tag w:val="_GBC_d82c12cf13554acd90dfb7880244798c"/>
        <w:id w:val="-1321886818"/>
        <w:lock w:val="sdtLocked"/>
        <w:placeholder>
          <w:docPart w:val="GBC22222222222222222222222222222"/>
        </w:placeholder>
      </w:sdtPr>
      <w:sdtEndPr>
        <w:rPr>
          <w:rFonts w:cs="Times New Roman"/>
          <w:szCs w:val="21"/>
        </w:rPr>
      </w:sdtEndPr>
      <w:sdtContent>
        <w:p w14:paraId="5B2501E7" w14:textId="77777777" w:rsidR="00471D53" w:rsidRDefault="004F686E" w:rsidP="004F686E">
          <w:pPr>
            <w:pStyle w:val="afffff7"/>
            <w:numPr>
              <w:ilvl w:val="0"/>
              <w:numId w:val="44"/>
            </w:numPr>
            <w:rPr>
              <w:rFonts w:ascii="宋体" w:hAnsi="宋体"/>
            </w:rPr>
          </w:pPr>
          <w:r>
            <w:rPr>
              <w:rFonts w:ascii="宋体" w:hAnsi="宋体"/>
            </w:rPr>
            <w:t>长期股权投资</w:t>
          </w:r>
        </w:p>
        <w:sdt>
          <w:sdtPr>
            <w:alias w:val="是否适用：长期股权投资_重要会计政策和估计[双击切换]"/>
            <w:tag w:val="_GBC_a2b657853ac547afaaad118dec96d0e1"/>
            <w:id w:val="-1083213491"/>
            <w:lock w:val="sdtLocked"/>
            <w:placeholder>
              <w:docPart w:val="GBC22222222222222222222222222222"/>
            </w:placeholder>
          </w:sdtPr>
          <w:sdtEndPr/>
          <w:sdtContent>
            <w:p w14:paraId="35C6EBC3"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szCs w:val="21"/>
            </w:rPr>
            <w:alias w:val="长期股权投资的核算方法"/>
            <w:tag w:val="_GBC_3e77074cd50946b1bccdff9bc1c9556f"/>
            <w:id w:val="-681115545"/>
            <w:lock w:val="sdtLocked"/>
            <w:placeholder>
              <w:docPart w:val="GBC22222222222222222222222222222"/>
            </w:placeholder>
          </w:sdtPr>
          <w:sdtEndPr/>
          <w:sdtContent>
            <w:p w14:paraId="21B121A4" w14:textId="77777777" w:rsidR="00471D53" w:rsidRDefault="004F686E" w:rsidP="00471D53">
              <w:pPr>
                <w:spacing w:beforeLines="50" w:before="120" w:afterLines="50" w:after="120" w:line="360" w:lineRule="exact"/>
                <w:ind w:firstLineChars="200" w:firstLine="420"/>
                <w:jc w:val="both"/>
                <w:rPr>
                  <w:sz w:val="22"/>
                  <w:szCs w:val="22"/>
                </w:rPr>
              </w:pPr>
              <w:r>
                <w:rPr>
                  <w:rFonts w:hint="eastAsia"/>
                  <w:sz w:val="22"/>
                  <w:szCs w:val="22"/>
                </w:rPr>
                <w:t>本集团长期股权投资主要是对子公司的投资、对联营企业的投资和对合营企业的投资。</w:t>
              </w:r>
            </w:p>
            <w:p w14:paraId="2364555D"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lastRenderedPageBreak/>
                <w:t>本集团对共同控制的判断依据是所有参与方或参与方组合集体控制该安排，并且该安排相关活动的政策必须经过这些集体控制该安排的参与方一致同意。</w:t>
              </w:r>
            </w:p>
            <w:p w14:paraId="5B2BA0E2"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本集团直接或通过子公司间接拥有被投资单位</w:t>
              </w:r>
              <w:r>
                <w:rPr>
                  <w:sz w:val="22"/>
                  <w:szCs w:val="22"/>
                </w:rPr>
                <w:t>20</w:t>
              </w:r>
              <w:r>
                <w:rPr>
                  <w:rFonts w:hint="eastAsia"/>
                  <w:sz w:val="22"/>
                  <w:szCs w:val="22"/>
                </w:rPr>
                <w:t>％（含）以上但低于</w:t>
              </w:r>
              <w:r>
                <w:rPr>
                  <w:sz w:val="22"/>
                  <w:szCs w:val="22"/>
                </w:rPr>
                <w:t>50</w:t>
              </w:r>
              <w:r>
                <w:rPr>
                  <w:rFonts w:hint="eastAsia"/>
                  <w:sz w:val="22"/>
                  <w:szCs w:val="22"/>
                </w:rPr>
                <w:t>％的表决权时，通常认为对被投资单位具有重大影响。持有被投资单位</w:t>
              </w:r>
              <w:r>
                <w:rPr>
                  <w:sz w:val="22"/>
                  <w:szCs w:val="22"/>
                </w:rPr>
                <w:t>20%</w:t>
              </w:r>
              <w:r>
                <w:rPr>
                  <w:rFonts w:hint="eastAsia"/>
                  <w:sz w:val="22"/>
                  <w:szCs w:val="22"/>
                </w:rPr>
                <w:t>以下表决权的，还需要综合考虑在被投资单位的董事会或类似权力机构中派有代表、或参与被投资单位财务和经营政策制定过程、或与被投资单位之间发生重要交易、或向被投资单位派出管理人员、或向被投资单位提供关键技术资料等事实和情况判断对被投资单位具有重大影响。</w:t>
              </w:r>
            </w:p>
            <w:p w14:paraId="33C7DE9C"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对被投资单位形成控制的，为本集团的子公司。通过同一控制下的企业合并取得的长期股权投资，在合并日按照取得被合并方在最终控制方合并报表中净资产的账面价值的份额作为长期股权投资的初始投资成本。被合并方在合并日的净资产账面价值为负数的，长期股权投资成本按零确定。</w:t>
              </w:r>
            </w:p>
            <w:p w14:paraId="15B3DEB7"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通过多次交易分步取得同一控制下被投资单位的股权，最终形成企业合并，属于一揽子交易的，本集团将各项交易作为一项取得控制权的交易进行会计处理。不属于一揽子交易的，在合并日，根据合并后享有被合并方净资产在最终控制方合并财务报表中的账面价值的份额作为长期股权投资的的初始投资成本。初始投资成本与达到合并前的长期股权投资账面价值加上合并日进一步取得股份新支付对价的账面价值之和的差额，调整资本公积，资本公积不足冲减的，冲减留存收益。</w:t>
              </w:r>
            </w:p>
            <w:p w14:paraId="3073D65E"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通过非同一控制下的企业合并取得的长期股权投资，以合并成本作为初始投资成本。</w:t>
              </w:r>
            </w:p>
            <w:p w14:paraId="66F39D5A"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通过多次交易分步取得非同一控制下被投资单位的股权，最终形成企业合并，属于一揽子交易的，本集团将各项交易作为一项取得控制权的交易进行会计处理。不属于一揽子交易的，按照原持有的股权投资账面价值加上新增投资成本之和，作为改按成本法核算的初始投资成本。购买日之前持有的股权采用权益法核算的，原权益法核算的相关其他综合收益暂不做调整，在处置该项投资时采用与被投资单位直接处置相关资产或负债相同的基础进行会计处理。购买日之前持有的股权在可供出售金融资产中采用公允价值核算的，原计入其他综合收益的累计公允价值变动在合并日转入当期投资损益。</w:t>
              </w:r>
            </w:p>
            <w:p w14:paraId="2AE8714B"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除上述通过企业合并取得的长期股权投资外，以支付现金取得的长期股权投资，按照实际支付的购买价款作为投资成本；以发行权益性证券取得的长期股权投资，按照发行权益性证券的公允价值作为投资成本；投资者投入的长期股权投资，按照投资合同或协议约定的价值作为投资成本；公司如有以债务重组、非货币性资产交换等方式取得的长期股权投资，应根据相关企业会计准则的规定并结合公司的实际情况披露确定投资成本的方法。</w:t>
              </w:r>
            </w:p>
            <w:p w14:paraId="324F1DCB"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本集团对子公司投资采用成本法核算，对合营企业及联营企业投资采用权益法核算。</w:t>
              </w:r>
            </w:p>
            <w:p w14:paraId="2036BC88"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后续计量采用成本法核算的长期股权投资，在追加投资时，按照追加投资支付的成本额公允价值及发生的相关交易费用增加长期股权投资成本的账面价值。被投资单位宣告分派的现金股利或利润，按照应享有的金额确认为当期投资收益。</w:t>
              </w:r>
            </w:p>
            <w:p w14:paraId="6EEB6154"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lastRenderedPageBreak/>
                <w:t>后续计量采用权益法核算的长期股权投资，随着被他投资单位所有者权益的变动相应调整增加或减少长期股权投资的账面价值。其中在确认应享有被投资单位净损益的份额时，以取得投资时被投资单位各项可辨认资产等的公允价值为基础，按照本集团的会计政策及会计期间，并抵销与联营企业及合营企业之间发生的内部交易损益按照持股比例计算归属于投资企业的部分，对被投资单位的净利润进行调整后确认。</w:t>
              </w:r>
            </w:p>
            <w:p w14:paraId="5701CEFF"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处置长期股权投资，其账面价值与实际取得价款的差额，计入当期投资收益。采用权益法核算的长期股权投资，因被投资单位除净损益以外所有者权益的其他变动而计入所有者权益的，处置该项投资时将原计入所有者权益的部分按相应比例转入当期投资损益。</w:t>
              </w:r>
            </w:p>
            <w:p w14:paraId="7B6EF3A9"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因处置部分股权投资等原因丧失了对被投资单位的共同控制或重大影响的，处置后的剩余股权改按可供出售金融资产核算，剩余股权在丧失共同控制或重大影响之日的公允价值与账面价值之间的差额计入当期损益。原股权投资因采用权益法核算而确认的其他综合收益，在终止采用权益法核算时采用与被投资单位直接处置相关资产或负债相同的基础进行会计处理。</w:t>
              </w:r>
            </w:p>
            <w:p w14:paraId="6A86913B"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因处置部分长期股权投资丧失了对被投资单位控制的，处置后的剩余股权能够对被投资单位实施共同控制或施加重大影响的，改按权益法核算，处置股权账面价值和处置对价的差额计入投资收益，并对该剩余股权视同自取得时即采用权益法核算进行调整；处置后的剩余股权不能对被投资单位实施共同控制或施加重大影响的，改按可供出售金融资产的有关规定进行会计处理，处置股权账面价值和处置对价的差额计入投资收益，剩余股权在丧失控制之日的公允价值与账面价值间的差额计入当期投资损益。</w:t>
              </w:r>
            </w:p>
            <w:p w14:paraId="477E6192"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本集团对于分步处置股权至丧失控股权的各项交易不属于一揽子交易的，对每一项交易分别进行会计处理。属于“一揽子交易”的，将各项交易作为一项处置子公司并丧失控制权的交易进行会计处理，但是，在丧失控制权之前每一次交易处置价款与所处置的股权对应的长期股权投资账面价值之间的差额，确认为其他综合收益，到丧失控制权时再一并转入丧失控制权的当期损益。</w:t>
              </w:r>
            </w:p>
            <w:p w14:paraId="5671EF69" w14:textId="77777777" w:rsidR="00471D53" w:rsidRDefault="00B664AF">
              <w:pPr>
                <w:rPr>
                  <w:szCs w:val="21"/>
                </w:rPr>
              </w:pPr>
            </w:p>
          </w:sdtContent>
        </w:sdt>
      </w:sdtContent>
    </w:sdt>
    <w:p w14:paraId="3DB23AF5" w14:textId="77777777" w:rsidR="00471D53" w:rsidRDefault="00B664AF">
      <w:pPr>
        <w:rPr>
          <w:szCs w:val="21"/>
        </w:rPr>
      </w:pPr>
    </w:p>
    <w:p w14:paraId="798C93EE" w14:textId="77777777" w:rsidR="00471D53" w:rsidRDefault="004F686E" w:rsidP="004F686E">
      <w:pPr>
        <w:pStyle w:val="afffff7"/>
        <w:numPr>
          <w:ilvl w:val="0"/>
          <w:numId w:val="44"/>
        </w:numPr>
        <w:rPr>
          <w:rFonts w:ascii="宋体" w:hAnsi="宋体"/>
        </w:rPr>
      </w:pPr>
      <w:r>
        <w:rPr>
          <w:rFonts w:ascii="宋体" w:hAnsi="宋体"/>
        </w:rPr>
        <w:t>投资性房地产</w:t>
      </w:r>
    </w:p>
    <w:sdt>
      <w:sdtPr>
        <w:rPr>
          <w:rFonts w:ascii="宋体" w:hAnsi="宋体" w:cs="宋体" w:hint="eastAsia"/>
          <w:b w:val="0"/>
          <w:bCs w:val="0"/>
          <w:kern w:val="0"/>
          <w:szCs w:val="24"/>
        </w:rPr>
        <w:alias w:val="选项模块:成本计量模式"/>
        <w:tag w:val="_GBC_20b1c487c1e348188269523d7d980194"/>
        <w:id w:val="1045099017"/>
        <w:lock w:val="sdtLocked"/>
        <w:placeholder>
          <w:docPart w:val="GBC22222222222222222222222222222"/>
        </w:placeholder>
      </w:sdtPr>
      <w:sdtEndPr>
        <w:rPr>
          <w:szCs w:val="21"/>
        </w:rPr>
      </w:sdtEndPr>
      <w:sdtContent>
        <w:p w14:paraId="211403E1" w14:textId="77777777" w:rsidR="00471D53" w:rsidRDefault="004F686E" w:rsidP="004F686E">
          <w:pPr>
            <w:pStyle w:val="afffff8"/>
            <w:numPr>
              <w:ilvl w:val="0"/>
              <w:numId w:val="46"/>
            </w:numPr>
            <w:rPr>
              <w:rFonts w:ascii="宋体" w:hAnsi="宋体"/>
            </w:rPr>
          </w:pPr>
          <w:r>
            <w:rPr>
              <w:rFonts w:ascii="宋体" w:hAnsi="宋体" w:cs="宋体" w:hint="eastAsia"/>
              <w:bCs w:val="0"/>
              <w:kern w:val="0"/>
              <w:szCs w:val="24"/>
            </w:rPr>
            <w:t>如果</w:t>
          </w:r>
          <w:r>
            <w:rPr>
              <w:rFonts w:ascii="宋体" w:hAnsi="宋体" w:hint="eastAsia"/>
            </w:rPr>
            <w:t>采用成本计量模式的</w:t>
          </w:r>
        </w:p>
        <w:p w14:paraId="17E5904E" w14:textId="77777777" w:rsidR="00471D53" w:rsidRDefault="004F686E">
          <w:pPr>
            <w:pStyle w:val="affe"/>
            <w:rPr>
              <w:rFonts w:ascii="宋体" w:hAnsi="宋体"/>
              <w:b w:val="0"/>
              <w:szCs w:val="21"/>
            </w:rPr>
          </w:pPr>
          <w:r>
            <w:rPr>
              <w:rFonts w:ascii="宋体" w:hAnsi="宋体" w:hint="eastAsia"/>
              <w:b w:val="0"/>
              <w:szCs w:val="21"/>
            </w:rPr>
            <w:t>折旧或摊销方法</w:t>
          </w:r>
        </w:p>
        <w:sdt>
          <w:sdtPr>
            <w:rPr>
              <w:szCs w:val="21"/>
            </w:rPr>
            <w:alias w:val="采用成本计量模式的折旧或摊销方法"/>
            <w:tag w:val="_GBC_5b2898357289426780691d99ea19aa67"/>
            <w:id w:val="1671830700"/>
            <w:lock w:val="sdtLocked"/>
            <w:placeholder>
              <w:docPart w:val="GBC22222222222222222222222222222"/>
            </w:placeholder>
          </w:sdtPr>
          <w:sdtEndPr/>
          <w:sdtContent>
            <w:p w14:paraId="5CDDB156" w14:textId="77777777" w:rsidR="00471D53" w:rsidRDefault="004F686E" w:rsidP="00471D53">
              <w:pPr>
                <w:spacing w:beforeLines="50" w:before="120" w:afterLines="50" w:after="120" w:line="360" w:lineRule="exact"/>
                <w:ind w:firstLineChars="200" w:firstLine="420"/>
                <w:jc w:val="both"/>
                <w:rPr>
                  <w:sz w:val="22"/>
                  <w:szCs w:val="22"/>
                </w:rPr>
              </w:pPr>
              <w:r>
                <w:rPr>
                  <w:rFonts w:hint="eastAsia"/>
                  <w:sz w:val="22"/>
                  <w:szCs w:val="22"/>
                </w:rPr>
                <w:t>本集团投资性房地产包括已出租的土地使用权、持有并准备增值后转让的土地使用权和已出租的房屋建筑物。本集团对投资性房地产采用成本模式进行后续计量。</w:t>
              </w:r>
            </w:p>
            <w:p w14:paraId="3FE92881" w14:textId="77777777" w:rsidR="00471D53" w:rsidRDefault="004F686E" w:rsidP="00471D53">
              <w:pPr>
                <w:tabs>
                  <w:tab w:val="left" w:pos="0"/>
                  <w:tab w:val="left" w:pos="960"/>
                </w:tabs>
                <w:spacing w:beforeLines="50" w:before="120" w:afterLines="50" w:after="120" w:line="360" w:lineRule="exact"/>
                <w:ind w:firstLineChars="200" w:firstLine="440"/>
                <w:jc w:val="both"/>
                <w:rPr>
                  <w:sz w:val="22"/>
                  <w:szCs w:val="22"/>
                </w:rPr>
              </w:pPr>
              <w:r>
                <w:rPr>
                  <w:rFonts w:hint="eastAsia"/>
                  <w:sz w:val="22"/>
                  <w:szCs w:val="22"/>
                </w:rPr>
                <w:t>本集团投资性房地产采用平均年限法计提折旧或摊销。各类投资性房地产的预计使用寿命、净残值率及年折旧</w:t>
              </w:r>
              <w:r>
                <w:rPr>
                  <w:sz w:val="22"/>
                  <w:szCs w:val="22"/>
                </w:rPr>
                <w:t>(</w:t>
              </w:r>
              <w:r>
                <w:rPr>
                  <w:rFonts w:hint="eastAsia"/>
                  <w:sz w:val="22"/>
                  <w:szCs w:val="22"/>
                </w:rPr>
                <w:t>摊销</w:t>
              </w:r>
              <w:r>
                <w:rPr>
                  <w:sz w:val="22"/>
                  <w:szCs w:val="22"/>
                </w:rPr>
                <w:t>)</w:t>
              </w:r>
              <w:r>
                <w:rPr>
                  <w:rFonts w:hint="eastAsia"/>
                  <w:sz w:val="22"/>
                  <w:szCs w:val="22"/>
                </w:rPr>
                <w:t>率如下：</w:t>
              </w:r>
            </w:p>
            <w:tbl>
              <w:tblPr>
                <w:tblStyle w:val="g4"/>
                <w:tblW w:w="0" w:type="auto"/>
                <w:jc w:val="center"/>
                <w:tblBorders>
                  <w:top w:val="double" w:sz="4" w:space="0" w:color="auto"/>
                  <w:bottom w:val="double" w:sz="4" w:space="0" w:color="auto"/>
                  <w:insideH w:val="single" w:sz="2" w:space="0" w:color="auto"/>
                  <w:insideV w:val="single" w:sz="2" w:space="0" w:color="auto"/>
                </w:tblBorders>
                <w:tblLayout w:type="fixed"/>
                <w:tblLook w:val="0000" w:firstRow="0" w:lastRow="0" w:firstColumn="0" w:lastColumn="0" w:noHBand="0" w:noVBand="0"/>
              </w:tblPr>
              <w:tblGrid>
                <w:gridCol w:w="2174"/>
                <w:gridCol w:w="2092"/>
                <w:gridCol w:w="2340"/>
                <w:gridCol w:w="2257"/>
              </w:tblGrid>
              <w:tr w:rsidR="00471D53" w14:paraId="1B3C3C5B" w14:textId="77777777" w:rsidTr="00471D53">
                <w:trPr>
                  <w:trHeight w:val="340"/>
                  <w:tblHeader/>
                  <w:jc w:val="center"/>
                </w:trPr>
                <w:tc>
                  <w:tcPr>
                    <w:tcW w:w="2174" w:type="dxa"/>
                  </w:tcPr>
                  <w:p w14:paraId="6EC3A4CB" w14:textId="77777777" w:rsidR="00471D53" w:rsidRDefault="004F686E" w:rsidP="00471D53">
                    <w:pPr>
                      <w:spacing w:line="360" w:lineRule="exact"/>
                      <w:rPr>
                        <w:b/>
                        <w:sz w:val="22"/>
                        <w:szCs w:val="22"/>
                      </w:rPr>
                    </w:pPr>
                    <w:r>
                      <w:rPr>
                        <w:rFonts w:hint="eastAsia"/>
                        <w:b/>
                        <w:sz w:val="22"/>
                        <w:szCs w:val="22"/>
                      </w:rPr>
                      <w:t>类别</w:t>
                    </w:r>
                  </w:p>
                </w:tc>
                <w:tc>
                  <w:tcPr>
                    <w:tcW w:w="2092" w:type="dxa"/>
                  </w:tcPr>
                  <w:p w14:paraId="6295E7F8" w14:textId="77777777" w:rsidR="00471D53" w:rsidRDefault="004F686E" w:rsidP="00471D53">
                    <w:pPr>
                      <w:spacing w:line="360" w:lineRule="exact"/>
                      <w:jc w:val="center"/>
                      <w:rPr>
                        <w:b/>
                        <w:sz w:val="22"/>
                        <w:szCs w:val="22"/>
                      </w:rPr>
                    </w:pPr>
                    <w:r>
                      <w:rPr>
                        <w:rFonts w:hint="eastAsia"/>
                        <w:b/>
                        <w:sz w:val="22"/>
                        <w:szCs w:val="22"/>
                      </w:rPr>
                      <w:t>折旧年限（年）</w:t>
                    </w:r>
                  </w:p>
                </w:tc>
                <w:tc>
                  <w:tcPr>
                    <w:tcW w:w="2340" w:type="dxa"/>
                  </w:tcPr>
                  <w:p w14:paraId="2BF10869" w14:textId="77777777" w:rsidR="00471D53" w:rsidRDefault="004F686E" w:rsidP="00471D53">
                    <w:pPr>
                      <w:spacing w:line="360" w:lineRule="exact"/>
                      <w:jc w:val="center"/>
                      <w:rPr>
                        <w:b/>
                        <w:sz w:val="22"/>
                        <w:szCs w:val="22"/>
                      </w:rPr>
                    </w:pPr>
                    <w:r>
                      <w:rPr>
                        <w:rFonts w:hint="eastAsia"/>
                        <w:b/>
                        <w:sz w:val="22"/>
                        <w:szCs w:val="22"/>
                      </w:rPr>
                      <w:t>预计残值率（</w:t>
                    </w:r>
                    <w:r>
                      <w:rPr>
                        <w:b/>
                        <w:sz w:val="22"/>
                        <w:szCs w:val="22"/>
                      </w:rPr>
                      <w:t>%</w:t>
                    </w:r>
                    <w:r>
                      <w:rPr>
                        <w:rFonts w:hint="eastAsia"/>
                        <w:b/>
                        <w:sz w:val="22"/>
                        <w:szCs w:val="22"/>
                      </w:rPr>
                      <w:t>）</w:t>
                    </w:r>
                  </w:p>
                </w:tc>
                <w:tc>
                  <w:tcPr>
                    <w:tcW w:w="2257" w:type="dxa"/>
                  </w:tcPr>
                  <w:p w14:paraId="58DC6C86" w14:textId="77777777" w:rsidR="00471D53" w:rsidRDefault="004F686E" w:rsidP="00471D53">
                    <w:pPr>
                      <w:spacing w:line="360" w:lineRule="exact"/>
                      <w:jc w:val="center"/>
                      <w:rPr>
                        <w:b/>
                        <w:sz w:val="22"/>
                        <w:szCs w:val="22"/>
                      </w:rPr>
                    </w:pPr>
                    <w:r>
                      <w:rPr>
                        <w:rFonts w:hint="eastAsia"/>
                        <w:b/>
                        <w:sz w:val="22"/>
                        <w:szCs w:val="22"/>
                      </w:rPr>
                      <w:t>年折旧率（</w:t>
                    </w:r>
                    <w:r>
                      <w:rPr>
                        <w:b/>
                        <w:sz w:val="22"/>
                        <w:szCs w:val="22"/>
                      </w:rPr>
                      <w:t>%</w:t>
                    </w:r>
                    <w:r>
                      <w:rPr>
                        <w:rFonts w:hint="eastAsia"/>
                        <w:b/>
                        <w:sz w:val="22"/>
                        <w:szCs w:val="22"/>
                      </w:rPr>
                      <w:t>）</w:t>
                    </w:r>
                  </w:p>
                </w:tc>
              </w:tr>
              <w:tr w:rsidR="00471D53" w14:paraId="2C0A7BA1" w14:textId="77777777" w:rsidTr="00471D53">
                <w:trPr>
                  <w:trHeight w:val="340"/>
                  <w:jc w:val="center"/>
                </w:trPr>
                <w:tc>
                  <w:tcPr>
                    <w:tcW w:w="2174" w:type="dxa"/>
                  </w:tcPr>
                  <w:p w14:paraId="70E42335" w14:textId="77777777" w:rsidR="00471D53" w:rsidRDefault="004F686E" w:rsidP="00471D53">
                    <w:pPr>
                      <w:spacing w:line="360" w:lineRule="exact"/>
                      <w:rPr>
                        <w:sz w:val="22"/>
                        <w:szCs w:val="22"/>
                      </w:rPr>
                    </w:pPr>
                    <w:r>
                      <w:rPr>
                        <w:rFonts w:hint="eastAsia"/>
                        <w:sz w:val="22"/>
                        <w:szCs w:val="22"/>
                      </w:rPr>
                      <w:t>土地使用权</w:t>
                    </w:r>
                  </w:p>
                </w:tc>
                <w:tc>
                  <w:tcPr>
                    <w:tcW w:w="2092" w:type="dxa"/>
                  </w:tcPr>
                  <w:p w14:paraId="7B279246" w14:textId="77777777" w:rsidR="00471D53" w:rsidRDefault="004F686E" w:rsidP="00471D53">
                    <w:pPr>
                      <w:spacing w:line="360" w:lineRule="exact"/>
                      <w:jc w:val="center"/>
                      <w:rPr>
                        <w:sz w:val="22"/>
                        <w:szCs w:val="22"/>
                      </w:rPr>
                    </w:pPr>
                    <w:r>
                      <w:rPr>
                        <w:rFonts w:hint="eastAsia"/>
                        <w:sz w:val="22"/>
                        <w:szCs w:val="22"/>
                      </w:rPr>
                      <w:t>50</w:t>
                    </w:r>
                  </w:p>
                </w:tc>
                <w:tc>
                  <w:tcPr>
                    <w:tcW w:w="2340" w:type="dxa"/>
                  </w:tcPr>
                  <w:p w14:paraId="38238888" w14:textId="77777777" w:rsidR="00471D53" w:rsidRDefault="004F686E" w:rsidP="00471D53">
                    <w:pPr>
                      <w:spacing w:line="360" w:lineRule="exact"/>
                      <w:jc w:val="center"/>
                      <w:rPr>
                        <w:sz w:val="22"/>
                        <w:szCs w:val="22"/>
                      </w:rPr>
                    </w:pPr>
                    <w:r>
                      <w:rPr>
                        <w:rFonts w:hint="eastAsia"/>
                        <w:sz w:val="22"/>
                        <w:szCs w:val="22"/>
                      </w:rPr>
                      <w:t>—</w:t>
                    </w:r>
                  </w:p>
                </w:tc>
                <w:tc>
                  <w:tcPr>
                    <w:tcW w:w="2257" w:type="dxa"/>
                  </w:tcPr>
                  <w:p w14:paraId="4639A20C" w14:textId="77777777" w:rsidR="00471D53" w:rsidRDefault="004F686E" w:rsidP="00471D53">
                    <w:pPr>
                      <w:spacing w:line="360" w:lineRule="exact"/>
                      <w:jc w:val="center"/>
                      <w:rPr>
                        <w:sz w:val="22"/>
                        <w:szCs w:val="22"/>
                      </w:rPr>
                    </w:pPr>
                    <w:r>
                      <w:rPr>
                        <w:rFonts w:hint="eastAsia"/>
                        <w:sz w:val="22"/>
                        <w:szCs w:val="22"/>
                      </w:rPr>
                      <w:t>2.000</w:t>
                    </w:r>
                  </w:p>
                </w:tc>
              </w:tr>
              <w:tr w:rsidR="00471D53" w14:paraId="2E8626EE" w14:textId="77777777" w:rsidTr="00471D53">
                <w:trPr>
                  <w:trHeight w:val="340"/>
                  <w:jc w:val="center"/>
                </w:trPr>
                <w:tc>
                  <w:tcPr>
                    <w:tcW w:w="2174" w:type="dxa"/>
                  </w:tcPr>
                  <w:p w14:paraId="29359E17" w14:textId="77777777" w:rsidR="00471D53" w:rsidRDefault="004F686E" w:rsidP="00471D53">
                    <w:pPr>
                      <w:spacing w:line="360" w:lineRule="exact"/>
                      <w:rPr>
                        <w:sz w:val="22"/>
                        <w:szCs w:val="22"/>
                      </w:rPr>
                    </w:pPr>
                    <w:r>
                      <w:rPr>
                        <w:rFonts w:hint="eastAsia"/>
                        <w:sz w:val="22"/>
                        <w:szCs w:val="22"/>
                      </w:rPr>
                      <w:t>房屋建筑物</w:t>
                    </w:r>
                  </w:p>
                </w:tc>
                <w:tc>
                  <w:tcPr>
                    <w:tcW w:w="2092" w:type="dxa"/>
                  </w:tcPr>
                  <w:p w14:paraId="08FEA097" w14:textId="77777777" w:rsidR="00471D53" w:rsidRDefault="004F686E" w:rsidP="00471D53">
                    <w:pPr>
                      <w:spacing w:line="360" w:lineRule="exact"/>
                      <w:jc w:val="center"/>
                      <w:rPr>
                        <w:sz w:val="22"/>
                        <w:szCs w:val="22"/>
                      </w:rPr>
                    </w:pPr>
                    <w:r>
                      <w:rPr>
                        <w:rFonts w:hint="eastAsia"/>
                        <w:sz w:val="22"/>
                        <w:szCs w:val="22"/>
                      </w:rPr>
                      <w:t>40</w:t>
                    </w:r>
                  </w:p>
                </w:tc>
                <w:tc>
                  <w:tcPr>
                    <w:tcW w:w="2340" w:type="dxa"/>
                  </w:tcPr>
                  <w:p w14:paraId="2B63783B" w14:textId="77777777" w:rsidR="00471D53" w:rsidRDefault="004F686E" w:rsidP="00471D53">
                    <w:pPr>
                      <w:spacing w:line="360" w:lineRule="exact"/>
                      <w:jc w:val="center"/>
                      <w:rPr>
                        <w:sz w:val="22"/>
                        <w:szCs w:val="22"/>
                      </w:rPr>
                    </w:pPr>
                    <w:r>
                      <w:rPr>
                        <w:rFonts w:hint="eastAsia"/>
                        <w:sz w:val="22"/>
                        <w:szCs w:val="22"/>
                      </w:rPr>
                      <w:t>5</w:t>
                    </w:r>
                  </w:p>
                </w:tc>
                <w:tc>
                  <w:tcPr>
                    <w:tcW w:w="2257" w:type="dxa"/>
                  </w:tcPr>
                  <w:p w14:paraId="22082BD4" w14:textId="77777777" w:rsidR="00471D53" w:rsidRDefault="004F686E" w:rsidP="00471D53">
                    <w:pPr>
                      <w:spacing w:line="360" w:lineRule="exact"/>
                      <w:jc w:val="center"/>
                      <w:rPr>
                        <w:sz w:val="22"/>
                        <w:szCs w:val="22"/>
                      </w:rPr>
                    </w:pPr>
                    <w:r>
                      <w:rPr>
                        <w:rFonts w:hint="eastAsia"/>
                        <w:sz w:val="22"/>
                        <w:szCs w:val="22"/>
                      </w:rPr>
                      <w:t>2.375</w:t>
                    </w:r>
                  </w:p>
                </w:tc>
              </w:tr>
            </w:tbl>
            <w:p w14:paraId="2ABFA855" w14:textId="6FA5AD2B" w:rsidR="00471D53" w:rsidRDefault="00B664AF">
              <w:pPr>
                <w:rPr>
                  <w:szCs w:val="21"/>
                </w:rPr>
              </w:pPr>
            </w:p>
          </w:sdtContent>
        </w:sdt>
      </w:sdtContent>
    </w:sdt>
    <w:p w14:paraId="15A99607" w14:textId="77777777" w:rsidR="00471D53" w:rsidRDefault="004F686E" w:rsidP="004F686E">
      <w:pPr>
        <w:pStyle w:val="afffff7"/>
        <w:numPr>
          <w:ilvl w:val="0"/>
          <w:numId w:val="44"/>
        </w:numPr>
        <w:rPr>
          <w:rFonts w:ascii="宋体" w:hAnsi="宋体"/>
        </w:rPr>
      </w:pPr>
      <w:r>
        <w:rPr>
          <w:rFonts w:ascii="宋体" w:hAnsi="宋体"/>
        </w:rPr>
        <w:t>固定资产</w:t>
      </w:r>
    </w:p>
    <w:sdt>
      <w:sdtPr>
        <w:rPr>
          <w:rFonts w:ascii="宋体" w:hAnsi="宋体" w:cs="宋体"/>
          <w:b w:val="0"/>
          <w:bCs w:val="0"/>
          <w:kern w:val="0"/>
          <w:szCs w:val="24"/>
        </w:rPr>
        <w:alias w:val="模块:固定资产确认条件"/>
        <w:tag w:val="_GBC_662771796da549e1b2a02fb7d497f077"/>
        <w:id w:val="788784044"/>
        <w:lock w:val="sdtLocked"/>
        <w:placeholder>
          <w:docPart w:val="GBC22222222222222222222222222222"/>
        </w:placeholder>
      </w:sdtPr>
      <w:sdtEndPr/>
      <w:sdtContent>
        <w:p w14:paraId="25ED5985" w14:textId="77777777" w:rsidR="00471D53" w:rsidRDefault="004F686E" w:rsidP="004F686E">
          <w:pPr>
            <w:pStyle w:val="afffff8"/>
            <w:numPr>
              <w:ilvl w:val="0"/>
              <w:numId w:val="47"/>
            </w:numPr>
            <w:rPr>
              <w:rFonts w:ascii="宋体" w:hAnsi="宋体"/>
            </w:rPr>
          </w:pPr>
          <w:r>
            <w:rPr>
              <w:rFonts w:ascii="宋体" w:hAnsi="宋体" w:hint="eastAsia"/>
            </w:rPr>
            <w:t>确认条件</w:t>
          </w:r>
        </w:p>
        <w:sdt>
          <w:sdtPr>
            <w:alias w:val="是否适用：固定资产确认条件[双击切换]"/>
            <w:tag w:val="_GBC_45cce032cd1f43bfad18a80dd94e9cc4"/>
            <w:id w:val="-1487310891"/>
            <w:lock w:val="sdtLocked"/>
            <w:placeholder>
              <w:docPart w:val="GBC22222222222222222222222222222"/>
            </w:placeholder>
          </w:sdtPr>
          <w:sdtEndPr/>
          <w:sdtContent>
            <w:p w14:paraId="1D900807"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bCs/>
              <w:szCs w:val="21"/>
            </w:rPr>
            <w:alias w:val="固定资产确认条件"/>
            <w:tag w:val="_GBC_3044d53470b143fa9477fa34b85d4ec5"/>
            <w:id w:val="-1553071194"/>
            <w:lock w:val="sdtLocked"/>
            <w:placeholder>
              <w:docPart w:val="GBC22222222222222222222222222222"/>
            </w:placeholder>
          </w:sdtPr>
          <w:sdtEndPr>
            <w:rPr>
              <w:b/>
            </w:rPr>
          </w:sdtEndPr>
          <w:sdtContent>
            <w:p w14:paraId="46ACB434" w14:textId="77777777" w:rsidR="00471D53" w:rsidRDefault="004F686E" w:rsidP="00471D53">
              <w:pPr>
                <w:spacing w:beforeLines="50" w:before="120" w:afterLines="50" w:after="120" w:line="360" w:lineRule="exact"/>
                <w:ind w:firstLineChars="200" w:firstLine="420"/>
                <w:jc w:val="both"/>
                <w:rPr>
                  <w:sz w:val="22"/>
                  <w:szCs w:val="22"/>
                </w:rPr>
              </w:pPr>
              <w:r>
                <w:rPr>
                  <w:rFonts w:hint="eastAsia"/>
                  <w:sz w:val="22"/>
                  <w:szCs w:val="22"/>
                </w:rPr>
                <w:t>本集团固定资产是指同时具有以下特征，即为生产商品、提供劳务、出租或经营管理而持有的，使用年限超过一年的有形资产。</w:t>
              </w:r>
            </w:p>
            <w:p w14:paraId="6A89F64C"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固定资产在与其有关的经济利益很可能流入本集团、且其成本能够可靠计量时予以确认。固定资产包括房屋及建筑物、机器设备、电气设备、运输设备、办公设备和其他。</w:t>
              </w:r>
            </w:p>
            <w:p w14:paraId="49BAAAE2" w14:textId="77777777" w:rsidR="00471D53" w:rsidRDefault="00B664AF">
              <w:pPr>
                <w:rPr>
                  <w:b/>
                  <w:bCs/>
                  <w:szCs w:val="21"/>
                </w:rPr>
              </w:pPr>
            </w:p>
          </w:sdtContent>
        </w:sdt>
      </w:sdtContent>
    </w:sdt>
    <w:p w14:paraId="46BFE8F0" w14:textId="77777777" w:rsidR="00471D53" w:rsidRDefault="00B664AF">
      <w:pPr>
        <w:rPr>
          <w:szCs w:val="21"/>
        </w:rPr>
      </w:pPr>
    </w:p>
    <w:sdt>
      <w:sdtPr>
        <w:rPr>
          <w:rFonts w:ascii="宋体" w:hAnsi="宋体" w:cstheme="minorBidi"/>
          <w:b w:val="0"/>
          <w:bCs w:val="0"/>
          <w:kern w:val="0"/>
          <w:szCs w:val="22"/>
        </w:rPr>
        <w:alias w:val="模块:固定资产折旧方法"/>
        <w:tag w:val="_GBC_7c749a57d4094b3386978c34c3487e2a"/>
        <w:id w:val="103313117"/>
        <w:lock w:val="sdtLocked"/>
        <w:placeholder>
          <w:docPart w:val="GBC22222222222222222222222222222"/>
        </w:placeholder>
      </w:sdtPr>
      <w:sdtEndPr>
        <w:rPr>
          <w:rFonts w:cs="宋体"/>
          <w:szCs w:val="24"/>
        </w:rPr>
      </w:sdtEndPr>
      <w:sdtContent>
        <w:p w14:paraId="4B581A13" w14:textId="77777777" w:rsidR="00471D53" w:rsidRDefault="004F686E" w:rsidP="004F686E">
          <w:pPr>
            <w:pStyle w:val="afffff8"/>
            <w:numPr>
              <w:ilvl w:val="0"/>
              <w:numId w:val="47"/>
            </w:numPr>
            <w:rPr>
              <w:rFonts w:ascii="宋体" w:hAnsi="宋体"/>
            </w:rPr>
          </w:pPr>
          <w:r>
            <w:rPr>
              <w:rFonts w:ascii="宋体" w:hAnsi="宋体"/>
            </w:rPr>
            <w:t>折旧方法</w:t>
          </w:r>
        </w:p>
        <w:sdt>
          <w:sdtPr>
            <w:alias w:val="是否适用：固定资产折旧方法[双击切换]"/>
            <w:tag w:val="_GBC_c221ef38ff6a4242aab725946697311c"/>
            <w:id w:val="-1509283296"/>
            <w:lock w:val="sdtLocked"/>
            <w:placeholder>
              <w:docPart w:val="GBC22222222222222222222222222222"/>
            </w:placeholder>
          </w:sdtPr>
          <w:sdtEndPr/>
          <w:sdtContent>
            <w:p w14:paraId="0DED3168"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785"/>
            <w:gridCol w:w="1788"/>
            <w:gridCol w:w="1788"/>
            <w:gridCol w:w="1788"/>
          </w:tblGrid>
          <w:tr w:rsidR="00471D53" w14:paraId="0CD161A0" w14:textId="77777777" w:rsidTr="00471D53">
            <w:sdt>
              <w:sdtPr>
                <w:tag w:val="_PLD_d39db65ac15c4d7583d7fe75cb893517"/>
                <w:id w:val="1486054337"/>
                <w:lock w:val="sdtLocked"/>
              </w:sdtPr>
              <w:sdtEndPr/>
              <w:sdtContent>
                <w:tc>
                  <w:tcPr>
                    <w:tcW w:w="949" w:type="pct"/>
                    <w:vAlign w:val="center"/>
                  </w:tcPr>
                  <w:p w14:paraId="3E7E5594" w14:textId="77777777" w:rsidR="00471D53" w:rsidRDefault="004F686E" w:rsidP="00471D53">
                    <w:pPr>
                      <w:jc w:val="center"/>
                      <w:rPr>
                        <w:szCs w:val="21"/>
                      </w:rPr>
                    </w:pPr>
                    <w:r>
                      <w:rPr>
                        <w:szCs w:val="21"/>
                      </w:rPr>
                      <w:t>类别</w:t>
                    </w:r>
                  </w:p>
                </w:tc>
              </w:sdtContent>
            </w:sdt>
            <w:sdt>
              <w:sdtPr>
                <w:tag w:val="_PLD_1b5147121b9948e5a115c7a4d6c95995"/>
                <w:id w:val="910810345"/>
                <w:lock w:val="sdtLocked"/>
              </w:sdtPr>
              <w:sdtEndPr/>
              <w:sdtContent>
                <w:tc>
                  <w:tcPr>
                    <w:tcW w:w="1012" w:type="pct"/>
                    <w:vAlign w:val="center"/>
                  </w:tcPr>
                  <w:p w14:paraId="753ED8E7" w14:textId="77777777" w:rsidR="00471D53" w:rsidRDefault="004F686E" w:rsidP="00471D53">
                    <w:pPr>
                      <w:jc w:val="center"/>
                      <w:rPr>
                        <w:szCs w:val="21"/>
                      </w:rPr>
                    </w:pPr>
                    <w:r>
                      <w:rPr>
                        <w:rFonts w:hint="eastAsia"/>
                        <w:szCs w:val="21"/>
                      </w:rPr>
                      <w:t>折旧方法</w:t>
                    </w:r>
                  </w:p>
                </w:tc>
              </w:sdtContent>
            </w:sdt>
            <w:sdt>
              <w:sdtPr>
                <w:tag w:val="_PLD_65441224aa3f4fd3be4ca0650b16b1aa"/>
                <w:id w:val="874036000"/>
                <w:lock w:val="sdtLocked"/>
              </w:sdtPr>
              <w:sdtEndPr/>
              <w:sdtContent>
                <w:tc>
                  <w:tcPr>
                    <w:tcW w:w="1013" w:type="pct"/>
                    <w:vAlign w:val="center"/>
                  </w:tcPr>
                  <w:p w14:paraId="420DC572" w14:textId="77777777" w:rsidR="00471D53" w:rsidRDefault="004F686E" w:rsidP="00471D53">
                    <w:pPr>
                      <w:jc w:val="center"/>
                      <w:rPr>
                        <w:szCs w:val="21"/>
                      </w:rPr>
                    </w:pPr>
                    <w:r>
                      <w:rPr>
                        <w:szCs w:val="21"/>
                      </w:rPr>
                      <w:t>折旧年限（年）</w:t>
                    </w:r>
                  </w:p>
                </w:tc>
              </w:sdtContent>
            </w:sdt>
            <w:sdt>
              <w:sdtPr>
                <w:tag w:val="_PLD_1c82a37539a842289bf80f2937f33bee"/>
                <w:id w:val="485370402"/>
                <w:lock w:val="sdtLocked"/>
              </w:sdtPr>
              <w:sdtEndPr/>
              <w:sdtContent>
                <w:tc>
                  <w:tcPr>
                    <w:tcW w:w="1013" w:type="pct"/>
                    <w:vAlign w:val="center"/>
                  </w:tcPr>
                  <w:p w14:paraId="4A17F4C1" w14:textId="77777777" w:rsidR="00471D53" w:rsidRDefault="004F686E" w:rsidP="00471D53">
                    <w:pPr>
                      <w:jc w:val="center"/>
                      <w:rPr>
                        <w:szCs w:val="21"/>
                      </w:rPr>
                    </w:pPr>
                    <w:r>
                      <w:rPr>
                        <w:szCs w:val="21"/>
                      </w:rPr>
                      <w:t>残值率</w:t>
                    </w:r>
                  </w:p>
                </w:tc>
              </w:sdtContent>
            </w:sdt>
            <w:sdt>
              <w:sdtPr>
                <w:tag w:val="_PLD_a67e8338c181496fa22b9944b63ec82c"/>
                <w:id w:val="-1368051292"/>
                <w:lock w:val="sdtLocked"/>
              </w:sdtPr>
              <w:sdtEndPr/>
              <w:sdtContent>
                <w:tc>
                  <w:tcPr>
                    <w:tcW w:w="1013" w:type="pct"/>
                    <w:vAlign w:val="center"/>
                  </w:tcPr>
                  <w:p w14:paraId="4E8A5BA0" w14:textId="77777777" w:rsidR="00471D53" w:rsidRDefault="004F686E" w:rsidP="00471D53">
                    <w:pPr>
                      <w:jc w:val="center"/>
                      <w:rPr>
                        <w:szCs w:val="21"/>
                      </w:rPr>
                    </w:pPr>
                    <w:r>
                      <w:rPr>
                        <w:szCs w:val="21"/>
                      </w:rPr>
                      <w:t>年折旧率</w:t>
                    </w:r>
                  </w:p>
                </w:tc>
              </w:sdtContent>
            </w:sdt>
          </w:tr>
          <w:sdt>
            <w:sdtPr>
              <w:rPr>
                <w:szCs w:val="21"/>
              </w:rPr>
              <w:alias w:val="其他固定资产计价、折旧、减值方法"/>
              <w:tag w:val="_GBC_f1ad6125c5d74d2a98f593d2ba574474"/>
              <w:id w:val="-1213734750"/>
            </w:sdtPr>
            <w:sdtEndPr/>
            <w:sdtContent>
              <w:tr w:rsidR="00471D53" w14:paraId="1950B1A8" w14:textId="77777777" w:rsidTr="00471D53">
                <w:tc>
                  <w:tcPr>
                    <w:tcW w:w="949" w:type="pct"/>
                  </w:tcPr>
                  <w:p w14:paraId="579AE67B" w14:textId="77777777" w:rsidR="00471D53" w:rsidRDefault="004F686E" w:rsidP="00471D53">
                    <w:pPr>
                      <w:rPr>
                        <w:szCs w:val="21"/>
                      </w:rPr>
                    </w:pPr>
                    <w:r>
                      <w:t>房屋建筑物</w:t>
                    </w:r>
                  </w:p>
                </w:tc>
                <w:tc>
                  <w:tcPr>
                    <w:tcW w:w="1012" w:type="pct"/>
                  </w:tcPr>
                  <w:p w14:paraId="6C88CEBA" w14:textId="77777777" w:rsidR="00471D53" w:rsidRDefault="004F686E" w:rsidP="00471D53">
                    <w:pPr>
                      <w:rPr>
                        <w:szCs w:val="21"/>
                      </w:rPr>
                    </w:pPr>
                    <w:r>
                      <w:rPr>
                        <w:rFonts w:hint="eastAsia"/>
                        <w:szCs w:val="21"/>
                      </w:rPr>
                      <w:t>平均年限法</w:t>
                    </w:r>
                  </w:p>
                </w:tc>
                <w:tc>
                  <w:tcPr>
                    <w:tcW w:w="1013" w:type="pct"/>
                    <w:vAlign w:val="center"/>
                  </w:tcPr>
                  <w:p w14:paraId="576FB1CD" w14:textId="77777777" w:rsidR="00471D53" w:rsidRDefault="004F686E">
                    <w:pPr>
                      <w:rPr>
                        <w:sz w:val="24"/>
                      </w:rPr>
                    </w:pPr>
                    <w:r>
                      <w:t>40</w:t>
                    </w:r>
                  </w:p>
                </w:tc>
                <w:tc>
                  <w:tcPr>
                    <w:tcW w:w="1013" w:type="pct"/>
                    <w:vAlign w:val="center"/>
                  </w:tcPr>
                  <w:p w14:paraId="7304E59A" w14:textId="77777777" w:rsidR="00471D53" w:rsidRDefault="004F686E">
                    <w:pPr>
                      <w:rPr>
                        <w:sz w:val="24"/>
                      </w:rPr>
                    </w:pPr>
                    <w:r>
                      <w:t>5</w:t>
                    </w:r>
                  </w:p>
                </w:tc>
                <w:tc>
                  <w:tcPr>
                    <w:tcW w:w="1013" w:type="pct"/>
                    <w:vAlign w:val="center"/>
                  </w:tcPr>
                  <w:p w14:paraId="1DE946E0" w14:textId="77777777" w:rsidR="00471D53" w:rsidRDefault="004F686E">
                    <w:pPr>
                      <w:rPr>
                        <w:sz w:val="24"/>
                      </w:rPr>
                    </w:pPr>
                    <w:r>
                      <w:t>2.375</w:t>
                    </w:r>
                  </w:p>
                </w:tc>
              </w:tr>
            </w:sdtContent>
          </w:sdt>
          <w:sdt>
            <w:sdtPr>
              <w:rPr>
                <w:szCs w:val="21"/>
              </w:rPr>
              <w:alias w:val="其他固定资产计价、折旧、减值方法"/>
              <w:tag w:val="_GBC_f1ad6125c5d74d2a98f593d2ba574474"/>
              <w:id w:val="384296061"/>
            </w:sdtPr>
            <w:sdtEndPr/>
            <w:sdtContent>
              <w:tr w:rsidR="00471D53" w14:paraId="7EB1B2A1" w14:textId="77777777" w:rsidTr="00471D53">
                <w:tc>
                  <w:tcPr>
                    <w:tcW w:w="949" w:type="pct"/>
                  </w:tcPr>
                  <w:p w14:paraId="4D64069D" w14:textId="77777777" w:rsidR="00471D53" w:rsidRDefault="004F686E" w:rsidP="00471D53">
                    <w:pPr>
                      <w:rPr>
                        <w:szCs w:val="21"/>
                      </w:rPr>
                    </w:pPr>
                    <w:r>
                      <w:t>机器设备</w:t>
                    </w:r>
                  </w:p>
                </w:tc>
                <w:tc>
                  <w:tcPr>
                    <w:tcW w:w="1012" w:type="pct"/>
                  </w:tcPr>
                  <w:p w14:paraId="115E92C6" w14:textId="77777777" w:rsidR="00471D53" w:rsidRDefault="004F686E" w:rsidP="00471D53">
                    <w:pPr>
                      <w:rPr>
                        <w:szCs w:val="21"/>
                      </w:rPr>
                    </w:pPr>
                    <w:r w:rsidRPr="00D1663E">
                      <w:rPr>
                        <w:rFonts w:hint="eastAsia"/>
                        <w:szCs w:val="21"/>
                      </w:rPr>
                      <w:t>平均年限法</w:t>
                    </w:r>
                  </w:p>
                </w:tc>
                <w:tc>
                  <w:tcPr>
                    <w:tcW w:w="1013" w:type="pct"/>
                    <w:vAlign w:val="center"/>
                  </w:tcPr>
                  <w:p w14:paraId="74317252" w14:textId="77777777" w:rsidR="00471D53" w:rsidRDefault="004F686E">
                    <w:pPr>
                      <w:rPr>
                        <w:sz w:val="24"/>
                      </w:rPr>
                    </w:pPr>
                    <w:r>
                      <w:t>10</w:t>
                    </w:r>
                  </w:p>
                </w:tc>
                <w:tc>
                  <w:tcPr>
                    <w:tcW w:w="1013" w:type="pct"/>
                    <w:vAlign w:val="center"/>
                  </w:tcPr>
                  <w:p w14:paraId="27FB9D11" w14:textId="77777777" w:rsidR="00471D53" w:rsidRDefault="004F686E">
                    <w:pPr>
                      <w:rPr>
                        <w:sz w:val="24"/>
                      </w:rPr>
                    </w:pPr>
                    <w:r>
                      <w:t>5-10</w:t>
                    </w:r>
                  </w:p>
                </w:tc>
                <w:tc>
                  <w:tcPr>
                    <w:tcW w:w="1013" w:type="pct"/>
                    <w:vAlign w:val="center"/>
                  </w:tcPr>
                  <w:p w14:paraId="7AC55097" w14:textId="77777777" w:rsidR="00471D53" w:rsidRDefault="004F686E">
                    <w:pPr>
                      <w:rPr>
                        <w:sz w:val="24"/>
                      </w:rPr>
                    </w:pPr>
                    <w:r>
                      <w:t>9-9.5</w:t>
                    </w:r>
                  </w:p>
                </w:tc>
              </w:tr>
            </w:sdtContent>
          </w:sdt>
          <w:sdt>
            <w:sdtPr>
              <w:rPr>
                <w:szCs w:val="21"/>
              </w:rPr>
              <w:alias w:val="其他固定资产计价、折旧、减值方法"/>
              <w:tag w:val="_GBC_f1ad6125c5d74d2a98f593d2ba574474"/>
              <w:id w:val="-335000868"/>
            </w:sdtPr>
            <w:sdtEndPr/>
            <w:sdtContent>
              <w:tr w:rsidR="00471D53" w14:paraId="5C9D7E6A" w14:textId="77777777" w:rsidTr="00471D53">
                <w:tc>
                  <w:tcPr>
                    <w:tcW w:w="949" w:type="pct"/>
                  </w:tcPr>
                  <w:p w14:paraId="0A9BDD07" w14:textId="77777777" w:rsidR="00471D53" w:rsidRDefault="004F686E" w:rsidP="00471D53">
                    <w:pPr>
                      <w:rPr>
                        <w:szCs w:val="21"/>
                      </w:rPr>
                    </w:pPr>
                    <w:r>
                      <w:t>电气设备</w:t>
                    </w:r>
                  </w:p>
                </w:tc>
                <w:tc>
                  <w:tcPr>
                    <w:tcW w:w="1012" w:type="pct"/>
                  </w:tcPr>
                  <w:p w14:paraId="187B10AA" w14:textId="77777777" w:rsidR="00471D53" w:rsidRDefault="004F686E" w:rsidP="00471D53">
                    <w:pPr>
                      <w:rPr>
                        <w:szCs w:val="21"/>
                      </w:rPr>
                    </w:pPr>
                    <w:r w:rsidRPr="00D1663E">
                      <w:rPr>
                        <w:rFonts w:hint="eastAsia"/>
                        <w:szCs w:val="21"/>
                      </w:rPr>
                      <w:t>平均年限法</w:t>
                    </w:r>
                  </w:p>
                </w:tc>
                <w:tc>
                  <w:tcPr>
                    <w:tcW w:w="1013" w:type="pct"/>
                    <w:vAlign w:val="center"/>
                  </w:tcPr>
                  <w:p w14:paraId="443B094C" w14:textId="77777777" w:rsidR="00471D53" w:rsidRDefault="004F686E">
                    <w:pPr>
                      <w:rPr>
                        <w:sz w:val="24"/>
                      </w:rPr>
                    </w:pPr>
                    <w:r>
                      <w:t>5-10</w:t>
                    </w:r>
                  </w:p>
                </w:tc>
                <w:tc>
                  <w:tcPr>
                    <w:tcW w:w="1013" w:type="pct"/>
                    <w:vAlign w:val="center"/>
                  </w:tcPr>
                  <w:p w14:paraId="27E083A6" w14:textId="77777777" w:rsidR="00471D53" w:rsidRDefault="004F686E">
                    <w:pPr>
                      <w:rPr>
                        <w:sz w:val="24"/>
                      </w:rPr>
                    </w:pPr>
                    <w:r>
                      <w:t>5-10</w:t>
                    </w:r>
                  </w:p>
                </w:tc>
                <w:tc>
                  <w:tcPr>
                    <w:tcW w:w="1013" w:type="pct"/>
                    <w:vAlign w:val="center"/>
                  </w:tcPr>
                  <w:p w14:paraId="6B274561" w14:textId="77777777" w:rsidR="00471D53" w:rsidRDefault="004F686E">
                    <w:pPr>
                      <w:rPr>
                        <w:sz w:val="24"/>
                      </w:rPr>
                    </w:pPr>
                    <w:r>
                      <w:t>9-19</w:t>
                    </w:r>
                  </w:p>
                </w:tc>
              </w:tr>
            </w:sdtContent>
          </w:sdt>
          <w:sdt>
            <w:sdtPr>
              <w:rPr>
                <w:szCs w:val="21"/>
              </w:rPr>
              <w:alias w:val="其他固定资产计价、折旧、减值方法"/>
              <w:tag w:val="_GBC_f1ad6125c5d74d2a98f593d2ba574474"/>
              <w:id w:val="741228457"/>
            </w:sdtPr>
            <w:sdtEndPr/>
            <w:sdtContent>
              <w:tr w:rsidR="00471D53" w14:paraId="41B1D26E" w14:textId="77777777" w:rsidTr="00471D53">
                <w:tc>
                  <w:tcPr>
                    <w:tcW w:w="949" w:type="pct"/>
                  </w:tcPr>
                  <w:p w14:paraId="79D5C5DC" w14:textId="77777777" w:rsidR="00471D53" w:rsidRDefault="004F686E" w:rsidP="00471D53">
                    <w:pPr>
                      <w:rPr>
                        <w:szCs w:val="21"/>
                      </w:rPr>
                    </w:pPr>
                    <w:r>
                      <w:t>运输设备</w:t>
                    </w:r>
                  </w:p>
                </w:tc>
                <w:tc>
                  <w:tcPr>
                    <w:tcW w:w="1012" w:type="pct"/>
                  </w:tcPr>
                  <w:p w14:paraId="19148827" w14:textId="77777777" w:rsidR="00471D53" w:rsidRDefault="004F686E" w:rsidP="00471D53">
                    <w:pPr>
                      <w:rPr>
                        <w:szCs w:val="21"/>
                      </w:rPr>
                    </w:pPr>
                    <w:r w:rsidRPr="00D1663E">
                      <w:rPr>
                        <w:rFonts w:hint="eastAsia"/>
                        <w:szCs w:val="21"/>
                      </w:rPr>
                      <w:t>平均年限法</w:t>
                    </w:r>
                  </w:p>
                </w:tc>
                <w:tc>
                  <w:tcPr>
                    <w:tcW w:w="1013" w:type="pct"/>
                    <w:vAlign w:val="center"/>
                  </w:tcPr>
                  <w:p w14:paraId="43B80421" w14:textId="77777777" w:rsidR="00471D53" w:rsidRDefault="004F686E">
                    <w:pPr>
                      <w:rPr>
                        <w:sz w:val="24"/>
                      </w:rPr>
                    </w:pPr>
                    <w:r>
                      <w:t>5</w:t>
                    </w:r>
                  </w:p>
                </w:tc>
                <w:tc>
                  <w:tcPr>
                    <w:tcW w:w="1013" w:type="pct"/>
                    <w:vAlign w:val="center"/>
                  </w:tcPr>
                  <w:p w14:paraId="0583362A" w14:textId="77777777" w:rsidR="00471D53" w:rsidRDefault="004F686E">
                    <w:pPr>
                      <w:rPr>
                        <w:sz w:val="24"/>
                      </w:rPr>
                    </w:pPr>
                    <w:r>
                      <w:t>5-10</w:t>
                    </w:r>
                  </w:p>
                </w:tc>
                <w:tc>
                  <w:tcPr>
                    <w:tcW w:w="1013" w:type="pct"/>
                    <w:vAlign w:val="center"/>
                  </w:tcPr>
                  <w:p w14:paraId="15C1AA60" w14:textId="77777777" w:rsidR="00471D53" w:rsidRDefault="004F686E">
                    <w:pPr>
                      <w:rPr>
                        <w:sz w:val="24"/>
                      </w:rPr>
                    </w:pPr>
                    <w:r>
                      <w:t>18-19</w:t>
                    </w:r>
                  </w:p>
                </w:tc>
              </w:tr>
            </w:sdtContent>
          </w:sdt>
          <w:sdt>
            <w:sdtPr>
              <w:rPr>
                <w:szCs w:val="21"/>
              </w:rPr>
              <w:alias w:val="其他固定资产计价、折旧、减值方法"/>
              <w:tag w:val="_GBC_f1ad6125c5d74d2a98f593d2ba574474"/>
              <w:id w:val="2086492505"/>
            </w:sdtPr>
            <w:sdtEndPr/>
            <w:sdtContent>
              <w:tr w:rsidR="00471D53" w14:paraId="545544E3" w14:textId="77777777" w:rsidTr="00471D53">
                <w:tc>
                  <w:tcPr>
                    <w:tcW w:w="949" w:type="pct"/>
                  </w:tcPr>
                  <w:p w14:paraId="154E0558" w14:textId="77777777" w:rsidR="00471D53" w:rsidRDefault="004F686E" w:rsidP="00471D53">
                    <w:pPr>
                      <w:rPr>
                        <w:szCs w:val="21"/>
                      </w:rPr>
                    </w:pPr>
                    <w:r>
                      <w:t>办公设备和其他</w:t>
                    </w:r>
                  </w:p>
                </w:tc>
                <w:tc>
                  <w:tcPr>
                    <w:tcW w:w="1012" w:type="pct"/>
                  </w:tcPr>
                  <w:p w14:paraId="6D2FB005" w14:textId="77777777" w:rsidR="00471D53" w:rsidRDefault="004F686E" w:rsidP="00471D53">
                    <w:pPr>
                      <w:rPr>
                        <w:szCs w:val="21"/>
                      </w:rPr>
                    </w:pPr>
                    <w:r w:rsidRPr="00D1663E">
                      <w:rPr>
                        <w:rFonts w:hint="eastAsia"/>
                        <w:szCs w:val="21"/>
                      </w:rPr>
                      <w:t>平均年限法</w:t>
                    </w:r>
                  </w:p>
                </w:tc>
                <w:tc>
                  <w:tcPr>
                    <w:tcW w:w="1013" w:type="pct"/>
                    <w:vAlign w:val="center"/>
                  </w:tcPr>
                  <w:p w14:paraId="5980B2B7" w14:textId="77777777" w:rsidR="00471D53" w:rsidRDefault="004F686E">
                    <w:pPr>
                      <w:rPr>
                        <w:sz w:val="24"/>
                      </w:rPr>
                    </w:pPr>
                    <w:r>
                      <w:t>5</w:t>
                    </w:r>
                  </w:p>
                </w:tc>
                <w:tc>
                  <w:tcPr>
                    <w:tcW w:w="1013" w:type="pct"/>
                    <w:vAlign w:val="center"/>
                  </w:tcPr>
                  <w:p w14:paraId="3954FCE8" w14:textId="77777777" w:rsidR="00471D53" w:rsidRDefault="004F686E">
                    <w:pPr>
                      <w:rPr>
                        <w:sz w:val="24"/>
                      </w:rPr>
                    </w:pPr>
                    <w:r>
                      <w:t>5-10</w:t>
                    </w:r>
                  </w:p>
                </w:tc>
                <w:tc>
                  <w:tcPr>
                    <w:tcW w:w="1013" w:type="pct"/>
                    <w:vAlign w:val="center"/>
                  </w:tcPr>
                  <w:p w14:paraId="0C7735BD" w14:textId="77777777" w:rsidR="00471D53" w:rsidRDefault="004F686E">
                    <w:pPr>
                      <w:rPr>
                        <w:sz w:val="24"/>
                      </w:rPr>
                    </w:pPr>
                    <w:r>
                      <w:t>18-19</w:t>
                    </w:r>
                  </w:p>
                </w:tc>
              </w:tr>
            </w:sdtContent>
          </w:sdt>
        </w:tbl>
        <w:p w14:paraId="7E529132" w14:textId="77777777" w:rsidR="00471D53" w:rsidRPr="00D1663E" w:rsidRDefault="00B664AF" w:rsidP="00471D53"/>
      </w:sdtContent>
    </w:sdt>
    <w:p w14:paraId="1EB6C5E7" w14:textId="77777777" w:rsidR="00471D53" w:rsidRDefault="00B664AF">
      <w:pPr>
        <w:rPr>
          <w:szCs w:val="21"/>
        </w:rPr>
      </w:pPr>
    </w:p>
    <w:sdt>
      <w:sdtPr>
        <w:rPr>
          <w:rFonts w:ascii="宋体" w:hAnsi="宋体" w:cs="宋体"/>
          <w:b w:val="0"/>
          <w:bCs w:val="0"/>
          <w:kern w:val="0"/>
          <w:szCs w:val="22"/>
        </w:rPr>
        <w:alias w:val="模块:固定资产计价和折旧方法及减值准备的计提方法"/>
        <w:tag w:val="_GBC_a1560089c32f441f92e145c3cdc25289"/>
        <w:id w:val="2000532786"/>
        <w:lock w:val="sdtLocked"/>
        <w:placeholder>
          <w:docPart w:val="GBC22222222222222222222222222222"/>
        </w:placeholder>
      </w:sdtPr>
      <w:sdtEndPr>
        <w:rPr>
          <w:rFonts w:cs="Times New Roman" w:hint="eastAsia"/>
          <w:kern w:val="2"/>
          <w:szCs w:val="24"/>
        </w:rPr>
      </w:sdtEndPr>
      <w:sdtContent>
        <w:p w14:paraId="64D2F679" w14:textId="77777777" w:rsidR="00471D53" w:rsidRDefault="004F686E" w:rsidP="004F686E">
          <w:pPr>
            <w:pStyle w:val="afffff8"/>
            <w:numPr>
              <w:ilvl w:val="0"/>
              <w:numId w:val="47"/>
            </w:numPr>
            <w:rPr>
              <w:rFonts w:ascii="宋体" w:hAnsi="宋体"/>
              <w:szCs w:val="21"/>
            </w:rPr>
          </w:pPr>
          <w:r>
            <w:rPr>
              <w:rFonts w:ascii="宋体" w:hAnsi="宋体" w:hint="eastAsia"/>
              <w:szCs w:val="21"/>
            </w:rPr>
            <w:t>融资租入固定资产的认定依据、计价和折旧方法</w:t>
          </w:r>
        </w:p>
        <w:sdt>
          <w:sdtPr>
            <w:alias w:val="是否适用：融资租入固定资产的认定依据、计价和折旧方法[双击切换]"/>
            <w:tag w:val="_GBC_16fcfe6546324a2bb6bf5a46c9363b25"/>
            <w:id w:val="1629903125"/>
            <w:lock w:val="sdtLocked"/>
            <w:placeholder>
              <w:docPart w:val="GBC22222222222222222222222222222"/>
            </w:placeholder>
          </w:sdtPr>
          <w:sdtEndPr/>
          <w:sdtContent>
            <w:p w14:paraId="0C466BB5"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szCs w:val="21"/>
            </w:rPr>
            <w:alias w:val="固定资产计价和折旧方法及减值准备的计提方法"/>
            <w:tag w:val="_GBC_42d68e0aaa744ab7aaa46e6c7964e66f"/>
            <w:id w:val="-568425518"/>
            <w:lock w:val="sdtLocked"/>
            <w:placeholder>
              <w:docPart w:val="GBC22222222222222222222222222222"/>
            </w:placeholder>
          </w:sdtPr>
          <w:sdtEndPr/>
          <w:sdtContent>
            <w:p w14:paraId="31173D0C" w14:textId="77777777" w:rsidR="00471D53" w:rsidRDefault="004F686E" w:rsidP="00471D53">
              <w:pPr>
                <w:spacing w:beforeLines="50" w:before="120" w:afterLines="50" w:after="120" w:line="360" w:lineRule="exact"/>
                <w:ind w:firstLineChars="200" w:firstLine="420"/>
                <w:jc w:val="both"/>
                <w:rPr>
                  <w:sz w:val="22"/>
                  <w:szCs w:val="22"/>
                </w:rPr>
              </w:pPr>
              <w:r>
                <w:rPr>
                  <w:rFonts w:hint="eastAsia"/>
                  <w:sz w:val="22"/>
                  <w:szCs w:val="22"/>
                </w:rPr>
                <w:t>融资租入固定资产以租赁资产的公允价值与最低租赁付款额的现值两者中的较低者作为租入资产的入账价值。租入资产的入账价值与最低租赁付款额之间的差额作为未确认融资费用。</w:t>
              </w:r>
            </w:p>
            <w:p w14:paraId="638DC36F" w14:textId="77777777" w:rsidR="00471D53" w:rsidRDefault="004F686E" w:rsidP="00471D53">
              <w:pPr>
                <w:ind w:firstLineChars="200" w:firstLine="440"/>
                <w:rPr>
                  <w:szCs w:val="21"/>
                </w:rPr>
              </w:pPr>
              <w:r>
                <w:rPr>
                  <w:rFonts w:hint="eastAsia"/>
                  <w:sz w:val="22"/>
                  <w:szCs w:val="22"/>
                </w:rPr>
                <w:t>融资租入的固定资产采用与自有固定资产相一致的折旧政策。能够合理确定租赁期届满时将取得租入资产所有权的，租入固定资产在其预计使用寿命内计提折旧；否则，租入固定资产在租赁期与该资产预计使用寿命两者中较短的期间内计提折旧。</w:t>
              </w:r>
            </w:p>
          </w:sdtContent>
        </w:sdt>
      </w:sdtContent>
    </w:sdt>
    <w:p w14:paraId="7F84C383" w14:textId="77777777" w:rsidR="00471D53" w:rsidRDefault="00B664AF">
      <w:pPr>
        <w:rPr>
          <w:szCs w:val="21"/>
        </w:rPr>
      </w:pPr>
    </w:p>
    <w:sdt>
      <w:sdtPr>
        <w:rPr>
          <w:rFonts w:ascii="宋体" w:hAnsi="宋体" w:cs="宋体"/>
          <w:b w:val="0"/>
          <w:bCs w:val="0"/>
          <w:kern w:val="0"/>
          <w:szCs w:val="24"/>
        </w:rPr>
        <w:alias w:val="模块:在建工程会计处理方法"/>
        <w:tag w:val="_GBC_3eb5f960df3e47f0a4bf3af0bc67ca96"/>
        <w:id w:val="405729959"/>
        <w:lock w:val="sdtLocked"/>
        <w:placeholder>
          <w:docPart w:val="GBC22222222222222222222222222222"/>
        </w:placeholder>
      </w:sdtPr>
      <w:sdtEndPr>
        <w:rPr>
          <w:rFonts w:hint="eastAsia"/>
          <w:szCs w:val="21"/>
        </w:rPr>
      </w:sdtEndPr>
      <w:sdtContent>
        <w:p w14:paraId="234D8336" w14:textId="77777777" w:rsidR="00471D53" w:rsidRDefault="004F686E" w:rsidP="004F686E">
          <w:pPr>
            <w:pStyle w:val="afffff7"/>
            <w:numPr>
              <w:ilvl w:val="0"/>
              <w:numId w:val="44"/>
            </w:numPr>
            <w:rPr>
              <w:rFonts w:ascii="宋体" w:hAnsi="宋体"/>
            </w:rPr>
          </w:pPr>
          <w:r>
            <w:rPr>
              <w:rFonts w:ascii="宋体" w:hAnsi="宋体"/>
            </w:rPr>
            <w:t>在建工程</w:t>
          </w:r>
        </w:p>
        <w:p w14:paraId="6FAF6397" w14:textId="77777777" w:rsidR="00471D53" w:rsidRDefault="00B664AF">
          <w:pPr>
            <w:rPr>
              <w:szCs w:val="21"/>
            </w:rPr>
          </w:pPr>
          <w:sdt>
            <w:sdtPr>
              <w:rPr>
                <w:rFonts w:hint="eastAsia"/>
                <w:szCs w:val="21"/>
              </w:rPr>
              <w:alias w:val="是否适用：在建工程_重要会计政策和估计[双击切换]"/>
              <w:tag w:val="_GBC_d9803b41f65e4a7fbebb412a259d9bf9"/>
              <w:id w:val="-1772384321"/>
              <w:lock w:val="sdtLocked"/>
              <w:placeholder>
                <w:docPart w:val="GBC22222222222222222222222222222"/>
              </w:placeholder>
            </w:sdtPr>
            <w:sdtEndPr/>
            <w:sdtContent>
              <w:r w:rsidR="004F686E">
                <w:rPr>
                  <w:szCs w:val="21"/>
                </w:rPr>
                <w:fldChar w:fldCharType="begin"/>
              </w:r>
              <w:r w:rsidR="004F686E">
                <w:rPr>
                  <w:szCs w:val="21"/>
                </w:rPr>
                <w:instrText xml:space="preserve"> MACROBUTTON  SnrToggleCheckbox √适用 </w:instrText>
              </w:r>
              <w:r w:rsidR="004F686E">
                <w:rPr>
                  <w:szCs w:val="21"/>
                </w:rPr>
                <w:fldChar w:fldCharType="end"/>
              </w:r>
              <w:r w:rsidR="004F686E">
                <w:rPr>
                  <w:szCs w:val="21"/>
                </w:rPr>
                <w:fldChar w:fldCharType="begin"/>
              </w:r>
              <w:r w:rsidR="004F686E">
                <w:rPr>
                  <w:szCs w:val="21"/>
                </w:rPr>
                <w:instrText xml:space="preserve"> MACROBUTTON  SnrToggleCheckbox □不适用 </w:instrText>
              </w:r>
              <w:r w:rsidR="004F686E">
                <w:rPr>
                  <w:szCs w:val="21"/>
                </w:rPr>
                <w:fldChar w:fldCharType="end"/>
              </w:r>
            </w:sdtContent>
          </w:sdt>
        </w:p>
        <w:sdt>
          <w:sdtPr>
            <w:rPr>
              <w:rFonts w:hint="eastAsia"/>
              <w:szCs w:val="21"/>
            </w:rPr>
            <w:alias w:val="在建工程核算方法"/>
            <w:tag w:val="_GBC_ed79f983df814c58add61776fe84c76e"/>
            <w:id w:val="-433522871"/>
            <w:lock w:val="sdtLocked"/>
            <w:placeholder>
              <w:docPart w:val="GBC22222222222222222222222222222"/>
            </w:placeholder>
          </w:sdtPr>
          <w:sdtEndPr/>
          <w:sdtContent>
            <w:p w14:paraId="4500E9DE" w14:textId="77777777" w:rsidR="00471D53" w:rsidRDefault="004F686E" w:rsidP="00471D53">
              <w:pPr>
                <w:spacing w:beforeLines="50" w:before="120" w:afterLines="50" w:after="120" w:line="360" w:lineRule="exact"/>
                <w:ind w:firstLineChars="200" w:firstLine="420"/>
                <w:jc w:val="both"/>
                <w:rPr>
                  <w:sz w:val="22"/>
                  <w:szCs w:val="22"/>
                </w:rPr>
              </w:pPr>
              <w:r>
                <w:rPr>
                  <w:rFonts w:hint="eastAsia"/>
                  <w:sz w:val="22"/>
                  <w:szCs w:val="22"/>
                </w:rPr>
                <w:t>在建工程在达到预定可使用状态之日起，根据工程预算、造价或工程实际成本等，按估计的价值结转固定资产，次月起开始计提折旧，待办理了竣工决算手续后再对固定资产原值差异进行调整。</w:t>
              </w:r>
            </w:p>
            <w:p w14:paraId="4F18B374" w14:textId="77777777" w:rsidR="00471D53" w:rsidRDefault="00B664AF">
              <w:pPr>
                <w:rPr>
                  <w:szCs w:val="21"/>
                </w:rPr>
              </w:pPr>
            </w:p>
          </w:sdtContent>
        </w:sdt>
        <w:p w14:paraId="749EA9A6" w14:textId="77777777" w:rsidR="00471D53" w:rsidRDefault="00B664AF">
          <w:pPr>
            <w:rPr>
              <w:szCs w:val="21"/>
            </w:rPr>
          </w:pPr>
        </w:p>
      </w:sdtContent>
    </w:sdt>
    <w:sdt>
      <w:sdtPr>
        <w:rPr>
          <w:rFonts w:ascii="宋体" w:hAnsi="宋体" w:cs="宋体"/>
          <w:b w:val="0"/>
          <w:bCs w:val="0"/>
          <w:kern w:val="0"/>
          <w:szCs w:val="22"/>
        </w:rPr>
        <w:alias w:val="模块:借款费用会计处理方法"/>
        <w:tag w:val="_GBC_e3e4d07ea08d4589a9293563ea655b42"/>
        <w:id w:val="-1067873359"/>
        <w:lock w:val="sdtLocked"/>
        <w:placeholder>
          <w:docPart w:val="GBC22222222222222222222222222222"/>
        </w:placeholder>
      </w:sdtPr>
      <w:sdtEndPr>
        <w:rPr>
          <w:rFonts w:cs="Times New Roman" w:hint="eastAsia"/>
          <w:kern w:val="2"/>
          <w:szCs w:val="21"/>
        </w:rPr>
      </w:sdtEndPr>
      <w:sdtContent>
        <w:p w14:paraId="34C7176A" w14:textId="77777777" w:rsidR="00471D53" w:rsidRDefault="004F686E" w:rsidP="004F686E">
          <w:pPr>
            <w:pStyle w:val="afffff7"/>
            <w:numPr>
              <w:ilvl w:val="0"/>
              <w:numId w:val="44"/>
            </w:numPr>
            <w:rPr>
              <w:rFonts w:ascii="宋体" w:hAnsi="宋体"/>
            </w:rPr>
          </w:pPr>
          <w:r>
            <w:rPr>
              <w:rFonts w:ascii="宋体" w:hAnsi="宋体"/>
            </w:rPr>
            <w:t>借款费用</w:t>
          </w:r>
        </w:p>
        <w:sdt>
          <w:sdtPr>
            <w:rPr>
              <w:rFonts w:hint="eastAsia"/>
              <w:szCs w:val="21"/>
            </w:rPr>
            <w:alias w:val="是否适用：借款费用_重要会计政策和估计[双击切换]"/>
            <w:tag w:val="_GBC_3f3db73e5cb247009b3840143b5e6627"/>
            <w:id w:val="1819912015"/>
            <w:lock w:val="sdtLocked"/>
            <w:placeholder>
              <w:docPart w:val="GBC22222222222222222222222222222"/>
            </w:placeholder>
          </w:sdtPr>
          <w:sdtEndPr/>
          <w:sdtContent>
            <w:p w14:paraId="54D9FEEB" w14:textId="77777777" w:rsidR="00471D53" w:rsidRDefault="004F686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借款费用的会计处理方法"/>
            <w:tag w:val="_GBC_2101c32d32c64f39a8b8fcd2b72dbb0a"/>
            <w:id w:val="-599719553"/>
            <w:lock w:val="sdtLocked"/>
            <w:placeholder>
              <w:docPart w:val="GBC22222222222222222222222222222"/>
            </w:placeholder>
          </w:sdtPr>
          <w:sdtEndPr/>
          <w:sdtContent>
            <w:p w14:paraId="17DA163D" w14:textId="77777777" w:rsidR="00471D53" w:rsidRDefault="004F686E" w:rsidP="00471D53">
              <w:pPr>
                <w:spacing w:beforeLines="50" w:before="120" w:afterLines="50" w:after="120" w:line="360" w:lineRule="exact"/>
                <w:ind w:firstLineChars="200" w:firstLine="420"/>
                <w:jc w:val="both"/>
                <w:rPr>
                  <w:sz w:val="22"/>
                  <w:szCs w:val="22"/>
                </w:rPr>
              </w:pPr>
              <w:r>
                <w:rPr>
                  <w:rFonts w:hint="eastAsia"/>
                  <w:sz w:val="22"/>
                  <w:szCs w:val="22"/>
                </w:rPr>
                <w:t>发生的可直接归属于需要经过一年以上的购建或者生产活动才能达到预定可使用或者可销售状态的固定资产、投资性房地产和存货等的借款费用，在资产支出已经发生、借款费用已经发生、为使资产达到预定可使用或可销售状态所必要的购建或生产活动已经开始时，开始资本化；当购建或生产符合资本化条件的资产达到预定可使用或可销售状态时，停止资本化，其后发生的借款费用计入当期损益。如果符合资本化条件的资产在购建或者生产过程中发生非正常中断、且中断时间连续超过</w:t>
              </w:r>
              <w:r>
                <w:rPr>
                  <w:sz w:val="22"/>
                  <w:szCs w:val="22"/>
                </w:rPr>
                <w:t>3</w:t>
              </w:r>
              <w:r>
                <w:rPr>
                  <w:rFonts w:hint="eastAsia"/>
                  <w:sz w:val="22"/>
                  <w:szCs w:val="22"/>
                </w:rPr>
                <w:t>个月，暂停借款费用的资本化，直至资产的购建或生产活动重新开始。</w:t>
              </w:r>
            </w:p>
            <w:p w14:paraId="2493EB11"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专门借款当期实际发生的利息费用，扣除尚未动用的借款资金存入银行取得的利息收入或进行暂时性投资取得的投资收益后的金额予以资本化；一般借款根据累计资产支出超过专门借款部分的资产支出加权平均数乘以所占用一般借款的资本化率，确定资本化金额。资本化率根据一般借款加权平均利率计算确定。</w:t>
              </w:r>
            </w:p>
            <w:p w14:paraId="59ADBAE6" w14:textId="77777777" w:rsidR="00471D53" w:rsidRDefault="00B664AF">
              <w:pPr>
                <w:rPr>
                  <w:szCs w:val="21"/>
                </w:rPr>
              </w:pPr>
            </w:p>
          </w:sdtContent>
        </w:sdt>
        <w:p w14:paraId="2D8AE975" w14:textId="77777777" w:rsidR="00471D53" w:rsidRDefault="00B664AF">
          <w:pPr>
            <w:rPr>
              <w:szCs w:val="21"/>
            </w:rPr>
          </w:pPr>
        </w:p>
      </w:sdtContent>
    </w:sdt>
    <w:sdt>
      <w:sdtPr>
        <w:rPr>
          <w:rFonts w:ascii="宋体" w:hAnsi="宋体" w:cs="宋体"/>
          <w:b w:val="0"/>
          <w:bCs w:val="0"/>
          <w:kern w:val="0"/>
          <w:szCs w:val="22"/>
        </w:rPr>
        <w:alias w:val="模块:生物资产会计处理方法"/>
        <w:tag w:val="_GBC_0b83f813710f436286429917c8c39567"/>
        <w:id w:val="-1685043861"/>
        <w:lock w:val="sdtLocked"/>
        <w:placeholder>
          <w:docPart w:val="GBC22222222222222222222222222222"/>
        </w:placeholder>
      </w:sdtPr>
      <w:sdtEndPr>
        <w:rPr>
          <w:rFonts w:cs="Times New Roman" w:hint="eastAsia"/>
          <w:kern w:val="2"/>
          <w:szCs w:val="21"/>
        </w:rPr>
      </w:sdtEndPr>
      <w:sdtContent>
        <w:p w14:paraId="35E03B15" w14:textId="77777777" w:rsidR="00471D53" w:rsidRDefault="004F686E" w:rsidP="004F686E">
          <w:pPr>
            <w:pStyle w:val="afffff7"/>
            <w:numPr>
              <w:ilvl w:val="0"/>
              <w:numId w:val="44"/>
            </w:numPr>
            <w:rPr>
              <w:rFonts w:ascii="宋体" w:hAnsi="宋体"/>
            </w:rPr>
          </w:pPr>
          <w:r>
            <w:rPr>
              <w:rFonts w:ascii="宋体" w:hAnsi="宋体"/>
            </w:rPr>
            <w:t>生物资产</w:t>
          </w:r>
        </w:p>
        <w:sdt>
          <w:sdtPr>
            <w:rPr>
              <w:rFonts w:hint="eastAsia"/>
              <w:szCs w:val="21"/>
            </w:rPr>
            <w:alias w:val="是否适用：生物资产_重要会计政策和估计[双击切换]"/>
            <w:tag w:val="_GBC_3c525bb9dd0340978b83e74317a40315"/>
            <w:id w:val="1591353916"/>
            <w:lock w:val="sdtLocked"/>
            <w:placeholder>
              <w:docPart w:val="GBC22222222222222222222222222222"/>
            </w:placeholder>
          </w:sdtPr>
          <w:sdtEndPr/>
          <w:sdtContent>
            <w:p w14:paraId="7647610E" w14:textId="77777777" w:rsidR="00471D53" w:rsidRDefault="004F686E" w:rsidP="00471D5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526EEF85" w14:textId="77777777" w:rsidR="00471D53" w:rsidRDefault="00B664AF">
          <w:pPr>
            <w:rPr>
              <w:szCs w:val="21"/>
            </w:rPr>
          </w:pPr>
        </w:p>
      </w:sdtContent>
    </w:sdt>
    <w:sdt>
      <w:sdtPr>
        <w:rPr>
          <w:rFonts w:ascii="宋体" w:hAnsi="宋体" w:cs="宋体"/>
          <w:b w:val="0"/>
          <w:bCs w:val="0"/>
          <w:kern w:val="0"/>
          <w:szCs w:val="22"/>
        </w:rPr>
        <w:alias w:val="模块:油气资产会计处理方法"/>
        <w:tag w:val="_GBC_ed738d1d51d04aad8efd3fb3e88bf021"/>
        <w:id w:val="625823140"/>
        <w:lock w:val="sdtLocked"/>
        <w:placeholder>
          <w:docPart w:val="GBC22222222222222222222222222222"/>
        </w:placeholder>
      </w:sdtPr>
      <w:sdtEndPr>
        <w:rPr>
          <w:rFonts w:cs="Times New Roman" w:hint="eastAsia"/>
          <w:kern w:val="2"/>
          <w:szCs w:val="21"/>
        </w:rPr>
      </w:sdtEndPr>
      <w:sdtContent>
        <w:p w14:paraId="3E04CDB0" w14:textId="77777777" w:rsidR="00471D53" w:rsidRDefault="004F686E" w:rsidP="004F686E">
          <w:pPr>
            <w:pStyle w:val="afffff7"/>
            <w:numPr>
              <w:ilvl w:val="0"/>
              <w:numId w:val="44"/>
            </w:numPr>
            <w:rPr>
              <w:rFonts w:ascii="宋体" w:hAnsi="宋体"/>
            </w:rPr>
          </w:pPr>
          <w:r>
            <w:rPr>
              <w:rFonts w:ascii="宋体" w:hAnsi="宋体"/>
            </w:rPr>
            <w:t>油气资产</w:t>
          </w:r>
        </w:p>
        <w:sdt>
          <w:sdtPr>
            <w:rPr>
              <w:rFonts w:hint="eastAsia"/>
              <w:szCs w:val="21"/>
            </w:rPr>
            <w:alias w:val="是否适用：油气资产_重要会计政策和估计[双击切换]"/>
            <w:tag w:val="_GBC_60d99a70431c4b868b6e953077cbfe88"/>
            <w:id w:val="1962300224"/>
            <w:lock w:val="sdtLocked"/>
            <w:placeholder>
              <w:docPart w:val="GBC22222222222222222222222222222"/>
            </w:placeholder>
          </w:sdtPr>
          <w:sdtEndPr/>
          <w:sdtContent>
            <w:p w14:paraId="59539EEB" w14:textId="77777777" w:rsidR="00471D53" w:rsidRDefault="004F686E" w:rsidP="00471D5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3C812BC1" w14:textId="77777777" w:rsidR="00471D53" w:rsidRDefault="00B664AF">
          <w:pPr>
            <w:rPr>
              <w:rFonts w:cs="Times New Roman"/>
              <w:kern w:val="2"/>
              <w:szCs w:val="21"/>
            </w:rPr>
          </w:pPr>
        </w:p>
      </w:sdtContent>
    </w:sdt>
    <w:sdt>
      <w:sdtPr>
        <w:rPr>
          <w:rFonts w:ascii="宋体" w:hAnsi="宋体" w:cs="宋体" w:hint="eastAsia"/>
          <w:b w:val="0"/>
          <w:bCs w:val="0"/>
          <w:kern w:val="0"/>
          <w:szCs w:val="21"/>
        </w:rPr>
        <w:alias w:val="模块:使用权资产"/>
        <w:tag w:val="_SEC_90a021f24056469493c41c33bb5760c5"/>
        <w:id w:val="-531025003"/>
        <w:lock w:val="sdtLocked"/>
        <w:placeholder>
          <w:docPart w:val="GBC22222222222222222222222222222"/>
        </w:placeholder>
      </w:sdtPr>
      <w:sdtEndPr>
        <w:rPr>
          <w:rFonts w:hint="default"/>
        </w:rPr>
      </w:sdtEndPr>
      <w:sdtContent>
        <w:p w14:paraId="732944BF" w14:textId="77777777" w:rsidR="00471D53" w:rsidRDefault="004F686E" w:rsidP="004F686E">
          <w:pPr>
            <w:pStyle w:val="afffff7"/>
            <w:numPr>
              <w:ilvl w:val="0"/>
              <w:numId w:val="44"/>
            </w:numPr>
            <w:rPr>
              <w:rFonts w:ascii="宋体" w:hAnsi="宋体"/>
              <w:szCs w:val="21"/>
            </w:rPr>
          </w:pPr>
          <w:r>
            <w:rPr>
              <w:rFonts w:ascii="宋体" w:hAnsi="宋体" w:hint="eastAsia"/>
              <w:szCs w:val="21"/>
            </w:rPr>
            <w:t>使用权资产</w:t>
          </w:r>
        </w:p>
        <w:bookmarkStart w:id="93" w:name="_Hlk11675892" w:displacedByCustomXml="next"/>
        <w:sdt>
          <w:sdtPr>
            <w:rPr>
              <w:szCs w:val="21"/>
            </w:rPr>
            <w:alias w:val="是否适用：使用权资产_重要会计政策和估计[双击切换]"/>
            <w:tag w:val="_GBC_bbd2545b6bca43cea34e43a28caeae1a"/>
            <w:id w:val="-550538312"/>
            <w:lock w:val="sdtLocked"/>
            <w:placeholder>
              <w:docPart w:val="GBC22222222222222222222222222222"/>
            </w:placeholder>
          </w:sdtPr>
          <w:sdtEndPr/>
          <w:sdtContent>
            <w:p w14:paraId="113F401C" w14:textId="77777777" w:rsidR="00471D53" w:rsidRDefault="004F686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使用权资产的核算方法"/>
            <w:tag w:val="_GBC_3bb46fd024784bf2b06e4f7d7b903751"/>
            <w:id w:val="-1076280421"/>
            <w:lock w:val="sdtLocked"/>
            <w:placeholder>
              <w:docPart w:val="GBC22222222222222222222222222222"/>
            </w:placeholder>
          </w:sdtPr>
          <w:sdtEndPr/>
          <w:sdtContent>
            <w:p w14:paraId="33F1CAB9" w14:textId="77777777" w:rsidR="00471D53" w:rsidRDefault="004F686E" w:rsidP="00471D53">
              <w:pPr>
                <w:spacing w:beforeLines="50" w:before="120" w:afterLines="50" w:after="120" w:line="360" w:lineRule="exact"/>
                <w:ind w:firstLineChars="200" w:firstLine="420"/>
                <w:jc w:val="both"/>
                <w:rPr>
                  <w:sz w:val="22"/>
                  <w:szCs w:val="22"/>
                </w:rPr>
              </w:pPr>
              <w:r>
                <w:rPr>
                  <w:rFonts w:hint="eastAsia"/>
                  <w:sz w:val="22"/>
                  <w:szCs w:val="22"/>
                </w:rPr>
                <w:t>使用权资产，是指本集团作为承租人可在租赁期内使用租赁资产的权利。</w:t>
              </w:r>
            </w:p>
            <w:p w14:paraId="5DFAE250"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（1）初始计量</w:t>
              </w:r>
            </w:p>
            <w:p w14:paraId="7CC8FF5C"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在租赁期开始日，本集团按照成本对使用权资产进行初始计量。该成本包括下列四项：①租赁负债的初始计量金额；②在租赁期开始日或之前支付的租赁付款额，存在租赁激励的，扣除已享受的租赁激励相关金额；③发生的初始直接费用，即为达成租赁所发生的增量成本；④为拆卸及移除租赁资产、复原租赁资产所在场地或将租赁资产恢复至租赁条款约定状态预计将发生的成本，属于为生产存货而发生的除外。</w:t>
              </w:r>
            </w:p>
            <w:p w14:paraId="45F966A1"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（2）后续计量</w:t>
              </w:r>
            </w:p>
            <w:p w14:paraId="0BE31239"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在租赁期开始日后，本集团采用成本模式对使用权资产进行后续计量，即以成本减累计折旧及累计减值损失计量使用权资产。</w:t>
              </w:r>
            </w:p>
            <w:p w14:paraId="213EBF1E" w14:textId="6D523C30"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本集团按照租赁准则有关规定重新计量租赁负债的，相应调整使用权资产的账面价值。</w:t>
              </w:r>
              <w:bookmarkStart w:id="94" w:name="_Toc517286383"/>
            </w:p>
            <w:p w14:paraId="7F36B464" w14:textId="06DBDD33"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（3）使用权资产的折旧</w:t>
              </w:r>
              <w:bookmarkEnd w:id="94"/>
              <w:r>
                <w:rPr>
                  <w:rFonts w:hint="eastAsia"/>
                  <w:sz w:val="22"/>
                  <w:szCs w:val="22"/>
                </w:rPr>
                <w:t>。</w:t>
              </w:r>
            </w:p>
            <w:p w14:paraId="70B36001"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自租赁期开始日起，本集团对使用权资产计提折旧。使用权资产通常自租赁期开始的当月计提折旧。计提的折旧金额根据使用权资产的用途，计入相关资产的成本或者当期损益。</w:t>
              </w:r>
            </w:p>
            <w:p w14:paraId="2C76F3FC"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lastRenderedPageBreak/>
                <w:t>本集团在确定使用权资产的折旧方法时，根据与使用权资产有关的经济利益的预期消耗方式做出决定，以直线法对使用权资产计提折旧。</w:t>
              </w:r>
            </w:p>
            <w:p w14:paraId="6A7ADA7E"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本集团在确定使用权资产的折旧年限时，遵循以下原则：能够合理确定租赁期届满时取得租赁资产所有权的，在租赁资产剩余使用寿命内计提折旧；无法合理确定租赁期届满时能够取得租赁资产所有权的，在租赁期与租赁资产剩余使用寿命两者孰短的期间内计提折旧。</w:t>
              </w:r>
            </w:p>
            <w:p w14:paraId="061D0CB6"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如果使用权资产发生减值，本集团按照扣除减值损失之后的使用权资产的账面价值，进行后续折旧。</w:t>
              </w:r>
            </w:p>
            <w:p w14:paraId="237D5C0A" w14:textId="77777777" w:rsidR="00471D53" w:rsidRDefault="00B664AF">
              <w:pPr>
                <w:rPr>
                  <w:szCs w:val="21"/>
                </w:rPr>
              </w:pPr>
            </w:p>
          </w:sdtContent>
        </w:sdt>
      </w:sdtContent>
    </w:sdt>
    <w:bookmarkEnd w:id="93"/>
    <w:p w14:paraId="5AEA4CAD" w14:textId="77777777" w:rsidR="00471D53" w:rsidRDefault="00B664AF">
      <w:pPr>
        <w:rPr>
          <w:szCs w:val="21"/>
        </w:rPr>
      </w:pPr>
    </w:p>
    <w:sdt>
      <w:sdtPr>
        <w:rPr>
          <w:rFonts w:ascii="宋体" w:hAnsi="宋体" w:cs="宋体"/>
          <w:b w:val="0"/>
          <w:bCs w:val="0"/>
          <w:kern w:val="0"/>
          <w:szCs w:val="22"/>
        </w:rPr>
        <w:alias w:val="模块:无形资产会计处理方法"/>
        <w:tag w:val="_GBC_0a8b293ff9e94173b2e385f4ef2a8c89"/>
        <w:id w:val="407739806"/>
        <w:lock w:val="sdtLocked"/>
        <w:placeholder>
          <w:docPart w:val="GBC22222222222222222222222222222"/>
        </w:placeholder>
      </w:sdtPr>
      <w:sdtEndPr>
        <w:rPr>
          <w:rFonts w:cs="Times New Roman" w:hint="eastAsia"/>
          <w:kern w:val="2"/>
          <w:szCs w:val="21"/>
        </w:rPr>
      </w:sdtEndPr>
      <w:sdtContent>
        <w:p w14:paraId="698C715F" w14:textId="77777777" w:rsidR="00471D53" w:rsidRDefault="004F686E" w:rsidP="004F686E">
          <w:pPr>
            <w:pStyle w:val="afffff7"/>
            <w:numPr>
              <w:ilvl w:val="0"/>
              <w:numId w:val="44"/>
            </w:numPr>
            <w:rPr>
              <w:rFonts w:ascii="宋体" w:hAnsi="宋体"/>
            </w:rPr>
          </w:pPr>
          <w:r>
            <w:rPr>
              <w:rFonts w:ascii="宋体" w:hAnsi="宋体"/>
            </w:rPr>
            <w:t>无形资产</w:t>
          </w:r>
        </w:p>
        <w:p w14:paraId="4BE640A6" w14:textId="77777777" w:rsidR="00471D53" w:rsidRDefault="004F686E" w:rsidP="004F686E">
          <w:pPr>
            <w:pStyle w:val="afffff8"/>
            <w:numPr>
              <w:ilvl w:val="3"/>
              <w:numId w:val="48"/>
            </w:numPr>
            <w:tabs>
              <w:tab w:val="left" w:pos="448"/>
            </w:tabs>
            <w:rPr>
              <w:rFonts w:ascii="宋体" w:hAnsi="宋体"/>
            </w:rPr>
          </w:pPr>
          <w:r>
            <w:rPr>
              <w:rFonts w:ascii="宋体" w:hAnsi="宋体" w:hint="eastAsia"/>
            </w:rPr>
            <w:t>计价方法、使用寿命、减值测试</w:t>
          </w:r>
        </w:p>
        <w:sdt>
          <w:sdtPr>
            <w:rPr>
              <w:rFonts w:hint="eastAsia"/>
              <w:szCs w:val="21"/>
            </w:rPr>
            <w:alias w:val="是否适用：无形资产计价方法、使用寿命、减值测试[双击切换]"/>
            <w:tag w:val="_GBC_a82698fb1ffd4e75b46a9c35938b4cf4"/>
            <w:id w:val="785006481"/>
            <w:lock w:val="sdtLocked"/>
            <w:placeholder>
              <w:docPart w:val="GBC22222222222222222222222222222"/>
            </w:placeholder>
          </w:sdtPr>
          <w:sdtEndPr/>
          <w:sdtContent>
            <w:p w14:paraId="5B4AF2CD" w14:textId="77777777" w:rsidR="00471D53" w:rsidRDefault="004F686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无形资产计价方法、使用寿命、减值测试"/>
            <w:tag w:val="_GBC_a9e64b18f452482eb6674ec605618dcc"/>
            <w:id w:val="-107735865"/>
            <w:lock w:val="sdtLocked"/>
            <w:placeholder>
              <w:docPart w:val="GBC22222222222222222222222222222"/>
            </w:placeholder>
          </w:sdtPr>
          <w:sdtEndPr/>
          <w:sdtContent>
            <w:p w14:paraId="57595273" w14:textId="77777777" w:rsidR="00471D53" w:rsidRDefault="004F686E" w:rsidP="00471D53">
              <w:pPr>
                <w:spacing w:beforeLines="50" w:before="120" w:afterLines="50" w:after="120" w:line="360" w:lineRule="exact"/>
                <w:ind w:firstLineChars="200" w:firstLine="420"/>
                <w:jc w:val="both"/>
                <w:rPr>
                  <w:sz w:val="22"/>
                  <w:szCs w:val="22"/>
                </w:rPr>
              </w:pPr>
              <w:r>
                <w:rPr>
                  <w:rFonts w:hint="eastAsia"/>
                  <w:sz w:val="22"/>
                  <w:szCs w:val="22"/>
                </w:rPr>
                <w:t>本集团无形资产包括土地使用权、专利技术、非专利技术等，按取得时的实际成本计量，其中，购入的无形资产，按实际支付的价款和相关的其他支出作为实际成本；投资者投入的无形资产，按投资合同或协议约定的价值确定实际成本，但合同或协议约定价值不公允的，按公允价值确定实际成本。</w:t>
              </w:r>
            </w:p>
            <w:p w14:paraId="18BCF7C0"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土地使用权从出让起始日起，按其出让年限平均摊销；专利技术、非专利技术等无形资产按预计使用年限、合同规定的受益年限和法律规定的有效年限三者中最短者分期平均摊销。摊销金额按其受益对象计入相关资产成本和当期损益。对使用寿命有限的无形资产的预计使用寿命及摊销方法于每年年度终了进行复核，如发生改变，则作为会计估计变更处理。</w:t>
              </w:r>
            </w:p>
            <w:p w14:paraId="24792F6F"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在每个会计期间，本集团对使用寿命不确定的无形资产的预计使用寿命进行复核。</w:t>
              </w:r>
            </w:p>
            <w:p w14:paraId="581D6F05" w14:textId="77777777" w:rsidR="00471D53" w:rsidRDefault="00B664AF">
              <w:pPr>
                <w:rPr>
                  <w:szCs w:val="21"/>
                </w:rPr>
              </w:pPr>
            </w:p>
          </w:sdtContent>
        </w:sdt>
        <w:p w14:paraId="17557070" w14:textId="77777777" w:rsidR="00471D53" w:rsidRDefault="00B664AF">
          <w:pPr>
            <w:rPr>
              <w:szCs w:val="21"/>
            </w:rPr>
          </w:pPr>
        </w:p>
        <w:p w14:paraId="43C72CB0" w14:textId="77777777" w:rsidR="00471D53" w:rsidRDefault="004F686E" w:rsidP="004F686E">
          <w:pPr>
            <w:pStyle w:val="afffff8"/>
            <w:numPr>
              <w:ilvl w:val="3"/>
              <w:numId w:val="48"/>
            </w:numPr>
            <w:tabs>
              <w:tab w:val="left" w:pos="448"/>
            </w:tabs>
            <w:rPr>
              <w:rFonts w:ascii="宋体" w:hAnsi="宋体"/>
            </w:rPr>
          </w:pPr>
          <w:r>
            <w:rPr>
              <w:rFonts w:ascii="宋体" w:hAnsi="宋体" w:hint="eastAsia"/>
            </w:rPr>
            <w:t>内部研究开发支出会计政策</w:t>
          </w:r>
        </w:p>
        <w:sdt>
          <w:sdtPr>
            <w:rPr>
              <w:rFonts w:hint="eastAsia"/>
              <w:szCs w:val="21"/>
            </w:rPr>
            <w:alias w:val="是否适用：无形资产内部研究开发支出会计政策[双击切换]"/>
            <w:tag w:val="_GBC_c3cef4c9f19749b8a53b7f49d3b7bac3"/>
            <w:id w:val="1650862164"/>
            <w:lock w:val="sdtLocked"/>
            <w:placeholder>
              <w:docPart w:val="GBC22222222222222222222222222222"/>
            </w:placeholder>
          </w:sdtPr>
          <w:sdtEndPr/>
          <w:sdtContent>
            <w:p w14:paraId="4B0A3806" w14:textId="77777777" w:rsidR="00471D53" w:rsidRDefault="004F686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无形资产内部研究、开发支出会计政策"/>
            <w:tag w:val="_GBC_af7b1338d88344dfb8cd34ed66bfe672"/>
            <w:id w:val="2070604953"/>
            <w:lock w:val="sdtLocked"/>
            <w:placeholder>
              <w:docPart w:val="GBC22222222222222222222222222222"/>
            </w:placeholder>
          </w:sdtPr>
          <w:sdtEndPr/>
          <w:sdtContent>
            <w:p w14:paraId="515A2692" w14:textId="77777777" w:rsidR="00471D53" w:rsidRDefault="004F686E" w:rsidP="00471D53">
              <w:pPr>
                <w:spacing w:beforeLines="50" w:before="120" w:afterLines="50" w:after="120" w:line="360" w:lineRule="exact"/>
                <w:ind w:firstLineChars="200" w:firstLine="420"/>
                <w:jc w:val="both"/>
                <w:rPr>
                  <w:sz w:val="22"/>
                  <w:szCs w:val="22"/>
                </w:rPr>
              </w:pPr>
              <w:r>
                <w:rPr>
                  <w:rFonts w:hint="eastAsia"/>
                  <w:sz w:val="22"/>
                  <w:szCs w:val="22"/>
                </w:rPr>
                <w:t>本集团的研究开发支出根据其性质以及研发活动最终形成无形资产是否具有较大不确定性，分为研究阶段支出和开发阶段支出。</w:t>
              </w:r>
            </w:p>
            <w:p w14:paraId="0A86843C"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研究阶段的支出，于发生时计入当期损益。</w:t>
              </w:r>
            </w:p>
            <w:p w14:paraId="658BB96D"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开发阶段的支出，同时满足下列条件的，确认为无形资产：</w:t>
              </w:r>
            </w:p>
            <w:p w14:paraId="3C557D50"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（1）完成该无形资产以使其能够使用或出售在技术上具有可行性；</w:t>
              </w:r>
            </w:p>
            <w:p w14:paraId="36B5436D"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（2）管理层具有完成该无形资产并使用或出售的意图；</w:t>
              </w:r>
            </w:p>
            <w:p w14:paraId="62E86C82"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（3）无形资产产生经济利益的方式，包括能够证明运用该无形资产生产的产品存在市场或无形资产自身存在市场，无形资产将在内部使用的，能够证明其有用性；</w:t>
              </w:r>
            </w:p>
            <w:p w14:paraId="0997B51C"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（4）有足够的技术、财务资源和其他资源支持，以完成该无形资产的开发，并有能力使用或出售该无形资产；</w:t>
              </w:r>
            </w:p>
            <w:p w14:paraId="1C0BACA5"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lastRenderedPageBreak/>
                <w:t>（5）归属于该无形资产开发阶段的支出能够可靠地计量。</w:t>
              </w:r>
            </w:p>
            <w:p w14:paraId="06EAF5A2"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不满足上述条件的开发阶段的支出，于发生时计入当期损益。前期已计入损益的开发支出在以后期间不再确认为资产。已资本化的开发阶段的支出在资产负债表上列示为开发支出，自该项目达到预定可使用状态之日起转为无形资产。</w:t>
              </w:r>
            </w:p>
            <w:p w14:paraId="7EDE0A76" w14:textId="77777777" w:rsidR="00471D53" w:rsidRDefault="00B664AF">
              <w:pPr>
                <w:rPr>
                  <w:szCs w:val="21"/>
                </w:rPr>
              </w:pPr>
            </w:p>
          </w:sdtContent>
        </w:sdt>
      </w:sdtContent>
    </w:sdt>
    <w:p w14:paraId="1D3DDCB1" w14:textId="77777777" w:rsidR="00471D53" w:rsidRDefault="00B664AF">
      <w:pPr>
        <w:rPr>
          <w:szCs w:val="21"/>
        </w:rPr>
      </w:pPr>
    </w:p>
    <w:bookmarkStart w:id="95" w:name="_Hlk44405424" w:displacedByCustomXml="next"/>
    <w:sdt>
      <w:sdtPr>
        <w:rPr>
          <w:rFonts w:ascii="宋体" w:hAnsi="宋体" w:cs="宋体" w:hint="eastAsia"/>
          <w:b w:val="0"/>
          <w:bCs w:val="0"/>
          <w:kern w:val="0"/>
          <w:szCs w:val="21"/>
        </w:rPr>
        <w:alias w:val="模块:长期资产减值"/>
        <w:tag w:val="_SEC_c11b0580b6b040ca9dbb882b383dfc03"/>
        <w:id w:val="-419486885"/>
        <w:lock w:val="sdtLocked"/>
        <w:placeholder>
          <w:docPart w:val="GBC22222222222222222222222222222"/>
        </w:placeholder>
      </w:sdtPr>
      <w:sdtEndPr/>
      <w:sdtContent>
        <w:p w14:paraId="6948264C" w14:textId="77777777" w:rsidR="00471D53" w:rsidRDefault="004F686E" w:rsidP="004F686E">
          <w:pPr>
            <w:pStyle w:val="afffff7"/>
            <w:numPr>
              <w:ilvl w:val="0"/>
              <w:numId w:val="44"/>
            </w:numPr>
            <w:rPr>
              <w:rFonts w:ascii="宋体" w:hAnsi="宋体"/>
              <w:szCs w:val="21"/>
            </w:rPr>
          </w:pPr>
          <w:r>
            <w:rPr>
              <w:rFonts w:ascii="宋体" w:hAnsi="宋体" w:hint="eastAsia"/>
              <w:szCs w:val="21"/>
            </w:rPr>
            <w:t>长期资产减值</w:t>
          </w:r>
        </w:p>
        <w:sdt>
          <w:sdtPr>
            <w:rPr>
              <w:rFonts w:hint="eastAsia"/>
              <w:szCs w:val="21"/>
            </w:rPr>
            <w:alias w:val="是否适用：长期资产减值_重要会计政策和估计[双击切换]"/>
            <w:tag w:val="_GBC_d0feb744f96144ffa5335cd194c6cdf9"/>
            <w:id w:val="291338816"/>
            <w:lock w:val="sdtLocked"/>
            <w:placeholder>
              <w:docPart w:val="GBC22222222222222222222222222222"/>
            </w:placeholder>
          </w:sdtPr>
          <w:sdtEndPr/>
          <w:sdtContent>
            <w:p w14:paraId="0FF23410" w14:textId="77777777" w:rsidR="00471D53" w:rsidRDefault="004F686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非金融长期资产减值测试方法及会计处理方法"/>
            <w:tag w:val="_GBC_e8cb396d7101453b9e9cd1bc11b8633e"/>
            <w:id w:val="839357485"/>
            <w:lock w:val="sdtLocked"/>
            <w:placeholder>
              <w:docPart w:val="GBC22222222222222222222222222222"/>
            </w:placeholder>
          </w:sdtPr>
          <w:sdtEndPr/>
          <w:sdtContent>
            <w:p w14:paraId="0E341AC0" w14:textId="77777777" w:rsidR="00471D53" w:rsidRDefault="004F686E" w:rsidP="00471D53">
              <w:pPr>
                <w:spacing w:beforeLines="50" w:before="120" w:afterLines="50" w:after="120" w:line="360" w:lineRule="exact"/>
                <w:ind w:firstLineChars="200" w:firstLine="420"/>
                <w:jc w:val="both"/>
                <w:rPr>
                  <w:sz w:val="22"/>
                  <w:szCs w:val="22"/>
                </w:rPr>
              </w:pPr>
              <w:r>
                <w:rPr>
                  <w:rFonts w:hint="eastAsia"/>
                  <w:sz w:val="22"/>
                  <w:szCs w:val="22"/>
                </w:rPr>
                <w:t>本集团于每一资产负债表日对固定资产、在建工程、使用权资产、使用寿命有限的无形资产、以成本模式计量的投资性房地产及对子公司、合营企业、联营企业的长期股权投资等，于资产负债表日存在减值迹象的，进行减值测试。减值测试结果表明资产的账面价值超过其可收回金额的，按其差额计提减值准备并计入减值损失。资产的可收回金额是指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指能够独立产生现金流入的最小资产组合。</w:t>
              </w:r>
            </w:p>
            <w:p w14:paraId="7FF2E694"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在财务报表中单独列示的商誉，无论是否存在减值迹象，至少每年进行减值测试。减值测试时，商誉的账面价值分摊至预期从企业合并的协同效应中受益的资产组或资产组组合。测试结果表明包含分摊的商誉的资产组或资产组组合的可收回金额低于其账面价值的，确认相应的减值损失。减值损失金额先抵减分摊至该资产组或资产组组合的商誉的账面价值，再根据资产组或资产组组合中除商誉以外的其他各项资产的账面价值所占比重，按比例抵减其他各项资产的账面价值。</w:t>
              </w:r>
            </w:p>
            <w:p w14:paraId="2484A9C3"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减值测试后，若该资产的账面价值超过其可收回金额，其差额确认为减值损失，上述资产的减值损失一经确认，在以后会计期间不予转回。</w:t>
              </w:r>
            </w:p>
            <w:p w14:paraId="10716A32" w14:textId="77777777" w:rsidR="00471D53" w:rsidRDefault="00B664AF">
              <w:pPr>
                <w:rPr>
                  <w:szCs w:val="21"/>
                </w:rPr>
              </w:pPr>
            </w:p>
          </w:sdtContent>
        </w:sdt>
      </w:sdtContent>
    </w:sdt>
    <w:bookmarkEnd w:id="95" w:displacedByCustomXml="prev"/>
    <w:p w14:paraId="08A87DEF" w14:textId="77777777" w:rsidR="00471D53" w:rsidRDefault="00B664AF">
      <w:pPr>
        <w:rPr>
          <w:szCs w:val="21"/>
        </w:rPr>
      </w:pPr>
    </w:p>
    <w:bookmarkStart w:id="96" w:name="_Hlk44405475" w:displacedByCustomXml="next"/>
    <w:sdt>
      <w:sdtPr>
        <w:rPr>
          <w:rFonts w:ascii="宋体" w:hAnsi="宋体" w:cs="宋体" w:hint="eastAsia"/>
          <w:b w:val="0"/>
          <w:bCs w:val="0"/>
          <w:kern w:val="0"/>
          <w:szCs w:val="21"/>
        </w:rPr>
        <w:alias w:val="模块:长期待摊费用"/>
        <w:tag w:val="_SEC_716e5dd4aef549d9b8815a4e1474e63d"/>
        <w:id w:val="-659620205"/>
        <w:lock w:val="sdtLocked"/>
        <w:placeholder>
          <w:docPart w:val="GBC22222222222222222222222222222"/>
        </w:placeholder>
      </w:sdtPr>
      <w:sdtEndPr/>
      <w:sdtContent>
        <w:p w14:paraId="42F3FC70" w14:textId="77777777" w:rsidR="00471D53" w:rsidRDefault="004F686E" w:rsidP="004F686E">
          <w:pPr>
            <w:pStyle w:val="afffff7"/>
            <w:numPr>
              <w:ilvl w:val="0"/>
              <w:numId w:val="44"/>
            </w:numPr>
            <w:rPr>
              <w:rFonts w:ascii="宋体" w:hAnsi="宋体"/>
            </w:rPr>
          </w:pPr>
          <w:r>
            <w:rPr>
              <w:rFonts w:ascii="宋体" w:hAnsi="宋体"/>
            </w:rPr>
            <w:t>长期待摊费用</w:t>
          </w:r>
        </w:p>
        <w:sdt>
          <w:sdtPr>
            <w:rPr>
              <w:rFonts w:hint="eastAsia"/>
              <w:szCs w:val="21"/>
            </w:rPr>
            <w:alias w:val="是否适用：长期待摊费用_重要会计政策和估计[双击切换]"/>
            <w:tag w:val="_GBC_75739ccc62204f0490525060b33e330f"/>
            <w:id w:val="-1433577417"/>
            <w:lock w:val="sdtLocked"/>
            <w:placeholder>
              <w:docPart w:val="GBC22222222222222222222222222222"/>
            </w:placeholder>
          </w:sdtPr>
          <w:sdtEndPr/>
          <w:sdtContent>
            <w:p w14:paraId="25281A86" w14:textId="77777777" w:rsidR="00471D53" w:rsidRDefault="004F686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开办费、长期待摊费用摊销方法"/>
            <w:tag w:val="_GBC_e4e695ce4aea4c878acb6f8ad7190139"/>
            <w:id w:val="-1791824811"/>
            <w:lock w:val="sdtLocked"/>
            <w:placeholder>
              <w:docPart w:val="GBC22222222222222222222222222222"/>
            </w:placeholder>
          </w:sdtPr>
          <w:sdtEndPr/>
          <w:sdtContent>
            <w:p w14:paraId="30FCF619" w14:textId="77777777" w:rsidR="00471D53" w:rsidRDefault="004F686E" w:rsidP="00471D53">
              <w:pPr>
                <w:ind w:firstLineChars="200" w:firstLine="420"/>
                <w:rPr>
                  <w:rFonts w:cs="Times New Roman"/>
                  <w:kern w:val="2"/>
                  <w:szCs w:val="21"/>
                </w:rPr>
              </w:pPr>
              <w:r>
                <w:rPr>
                  <w:rFonts w:hint="eastAsia"/>
                  <w:sz w:val="22"/>
                  <w:szCs w:val="22"/>
                </w:rPr>
                <w:t>本集团的长期待摊费用包括周转瓶和财产保险费用。该等费用在受益期内平均摊销，如果长期待摊费用项目不能使以后会计期间受益，则将尚未摊销的该项目的摊余价值全部转入当期损益。</w:t>
              </w:r>
            </w:p>
          </w:sdtContent>
        </w:sdt>
        <w:p w14:paraId="577E52A3" w14:textId="77777777" w:rsidR="00471D53" w:rsidRDefault="00B664AF">
          <w:pPr>
            <w:rPr>
              <w:szCs w:val="21"/>
            </w:rPr>
          </w:pPr>
        </w:p>
      </w:sdtContent>
    </w:sdt>
    <w:bookmarkEnd w:id="96" w:displacedByCustomXml="prev"/>
    <w:bookmarkStart w:id="97" w:name="_Hlk10465482" w:displacedByCustomXml="next"/>
    <w:sdt>
      <w:sdtPr>
        <w:rPr>
          <w:rFonts w:ascii="宋体" w:hAnsi="宋体" w:cs="宋体" w:hint="eastAsia"/>
          <w:b w:val="0"/>
          <w:bCs w:val="0"/>
          <w:kern w:val="0"/>
          <w:szCs w:val="21"/>
        </w:rPr>
        <w:alias w:val="模块:合同负债"/>
        <w:tag w:val="_SEC_2988762bdf3a48178e0180a615cb7705"/>
        <w:id w:val="-1334217588"/>
        <w:lock w:val="sdtLocked"/>
        <w:placeholder>
          <w:docPart w:val="GBC22222222222222222222222222222"/>
        </w:placeholder>
      </w:sdtPr>
      <w:sdtEndPr>
        <w:rPr>
          <w:szCs w:val="24"/>
        </w:rPr>
      </w:sdtEndPr>
      <w:sdtContent>
        <w:p w14:paraId="35A6D859" w14:textId="77777777" w:rsidR="00471D53" w:rsidRDefault="004F686E" w:rsidP="004F686E">
          <w:pPr>
            <w:pStyle w:val="afffff7"/>
            <w:numPr>
              <w:ilvl w:val="0"/>
              <w:numId w:val="44"/>
            </w:numPr>
            <w:rPr>
              <w:rFonts w:ascii="宋体" w:hAnsi="宋体"/>
              <w:szCs w:val="21"/>
            </w:rPr>
          </w:pPr>
          <w:r>
            <w:rPr>
              <w:rFonts w:ascii="宋体" w:hAnsi="宋体" w:hint="eastAsia"/>
              <w:szCs w:val="21"/>
            </w:rPr>
            <w:t>合同负债</w:t>
          </w:r>
        </w:p>
        <w:p w14:paraId="5CC69B95" w14:textId="77777777" w:rsidR="00471D53" w:rsidRDefault="004F686E">
          <w:pPr>
            <w:pStyle w:val="afffff8"/>
            <w:rPr>
              <w:rFonts w:ascii="宋体" w:hAnsi="宋体"/>
            </w:rPr>
          </w:pPr>
          <w:r>
            <w:rPr>
              <w:rFonts w:ascii="宋体" w:hAnsi="宋体" w:hint="eastAsia"/>
            </w:rPr>
            <w:t>合同负债的确认方法</w:t>
          </w:r>
        </w:p>
        <w:sdt>
          <w:sdtPr>
            <w:rPr>
              <w:szCs w:val="21"/>
            </w:rPr>
            <w:alias w:val="是否适用：合同负债的确定方法、摊销方法和减值测试方法[双击切换]"/>
            <w:tag w:val="_GBC_f210968f2ea04a338a3253827b172c25"/>
            <w:id w:val="-820957074"/>
            <w:lock w:val="sdtLocked"/>
            <w:placeholder>
              <w:docPart w:val="GBC22222222222222222222222222222"/>
            </w:placeholder>
          </w:sdtPr>
          <w:sdtEndPr/>
          <w:sdtContent>
            <w:p w14:paraId="4A4B8762" w14:textId="77777777" w:rsidR="00471D53" w:rsidRDefault="004F686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合同负债的确定方法、摊销方法和减值测试方法"/>
            <w:tag w:val="_GBC_adbfb902bae348178906cb42c1932267"/>
            <w:id w:val="836417686"/>
            <w:lock w:val="sdtLocked"/>
            <w:placeholder>
              <w:docPart w:val="GBC22222222222222222222222222222"/>
            </w:placeholder>
          </w:sdtPr>
          <w:sdtEndPr/>
          <w:sdtContent>
            <w:p w14:paraId="2E1FF8A1" w14:textId="77777777" w:rsidR="00471D53" w:rsidRDefault="004F686E" w:rsidP="00471D53">
              <w:pPr>
                <w:spacing w:beforeLines="50" w:before="120" w:afterLines="50" w:after="120" w:line="360" w:lineRule="exact"/>
                <w:ind w:firstLineChars="200" w:firstLine="420"/>
                <w:jc w:val="both"/>
                <w:rPr>
                  <w:sz w:val="22"/>
                  <w:szCs w:val="22"/>
                </w:rPr>
              </w:pPr>
              <w:r>
                <w:rPr>
                  <w:rFonts w:hint="eastAsia"/>
                  <w:sz w:val="22"/>
                  <w:szCs w:val="22"/>
                </w:rPr>
                <w:t>合同负债反映本集团已收或应收客户对价而应向客户转让商品的义务。本集团在向客户转让商品之前，客户已经支付了合同对价或本集团已经取得了无条件收取合同对价权利的，在客户实际支付款项与到期应支付款项孰早时点，按照已收或应收的金额确认合同负债。</w:t>
              </w:r>
            </w:p>
            <w:p w14:paraId="1B920D76" w14:textId="77777777" w:rsidR="00471D53" w:rsidRDefault="00B664AF">
              <w:pPr>
                <w:rPr>
                  <w:szCs w:val="21"/>
                </w:rPr>
              </w:pPr>
            </w:p>
          </w:sdtContent>
        </w:sdt>
        <w:p w14:paraId="3334DA10" w14:textId="77777777" w:rsidR="00471D53" w:rsidRDefault="00B664AF"/>
      </w:sdtContent>
    </w:sdt>
    <w:bookmarkEnd w:id="97" w:displacedByCustomXml="prev"/>
    <w:sdt>
      <w:sdtPr>
        <w:rPr>
          <w:rFonts w:ascii="宋体" w:hAnsi="宋体" w:cstheme="minorBidi" w:hint="eastAsia"/>
          <w:b w:val="0"/>
          <w:bCs w:val="0"/>
          <w:kern w:val="0"/>
          <w:szCs w:val="22"/>
        </w:rPr>
        <w:alias w:val="模块:职工薪酬"/>
        <w:tag w:val="_GBC_8ec8855eb4d5447ab785e4bd4b0b73aa"/>
        <w:id w:val="1078250112"/>
        <w:lock w:val="sdtLocked"/>
        <w:placeholder>
          <w:docPart w:val="GBC22222222222222222222222222222"/>
        </w:placeholder>
      </w:sdtPr>
      <w:sdtEndPr>
        <w:rPr>
          <w:rFonts w:cs="Times New Roman"/>
          <w:szCs w:val="21"/>
        </w:rPr>
      </w:sdtEndPr>
      <w:sdtContent>
        <w:p w14:paraId="415A4869" w14:textId="77777777" w:rsidR="00471D53" w:rsidRDefault="004F686E" w:rsidP="004F686E">
          <w:pPr>
            <w:pStyle w:val="afffff7"/>
            <w:numPr>
              <w:ilvl w:val="0"/>
              <w:numId w:val="44"/>
            </w:numPr>
            <w:rPr>
              <w:rFonts w:ascii="宋体" w:hAnsi="宋体"/>
            </w:rPr>
          </w:pPr>
          <w:r>
            <w:rPr>
              <w:rFonts w:ascii="宋体" w:hAnsi="宋体" w:hint="eastAsia"/>
            </w:rPr>
            <w:t>职工薪酬</w:t>
          </w:r>
        </w:p>
        <w:p w14:paraId="3F98B24C" w14:textId="77777777" w:rsidR="00471D53" w:rsidRDefault="004F686E" w:rsidP="004F686E">
          <w:pPr>
            <w:pStyle w:val="afffff8"/>
            <w:numPr>
              <w:ilvl w:val="0"/>
              <w:numId w:val="49"/>
            </w:numPr>
            <w:rPr>
              <w:rFonts w:ascii="宋体" w:hAnsi="宋体"/>
            </w:rPr>
          </w:pPr>
          <w:r>
            <w:rPr>
              <w:rFonts w:ascii="宋体" w:hAnsi="宋体" w:hint="eastAsia"/>
            </w:rPr>
            <w:t>短期薪酬的会计处理方法</w:t>
          </w:r>
        </w:p>
        <w:sdt>
          <w:sdtPr>
            <w:alias w:val="是否适用：短期薪酬的会计处理方法[双击切换]"/>
            <w:tag w:val="_GBC_eefed2a465e349b6a35598930bd9541d"/>
            <w:id w:val="1932471997"/>
            <w:lock w:val="sdtLocked"/>
            <w:placeholder>
              <w:docPart w:val="GBC22222222222222222222222222222"/>
            </w:placeholder>
          </w:sdtPr>
          <w:sdtEndPr/>
          <w:sdtContent>
            <w:p w14:paraId="5FFCD264"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szCs w:val="21"/>
            </w:rPr>
            <w:alias w:val="短期薪酬的会计处理方法"/>
            <w:tag w:val="_GBC_8fdf44b194ac45fb945d36b9896df796"/>
            <w:id w:val="1191341472"/>
            <w:lock w:val="sdtLocked"/>
            <w:placeholder>
              <w:docPart w:val="GBC22222222222222222222222222222"/>
            </w:placeholder>
          </w:sdtPr>
          <w:sdtEndPr/>
          <w:sdtContent>
            <w:p w14:paraId="53F48FDF" w14:textId="77777777" w:rsidR="00471D53" w:rsidRDefault="004F686E" w:rsidP="00471D53">
              <w:pPr>
                <w:spacing w:beforeLines="50" w:before="120" w:afterLines="50" w:after="120" w:line="360" w:lineRule="exact"/>
                <w:ind w:firstLineChars="200" w:firstLine="420"/>
                <w:jc w:val="both"/>
                <w:rPr>
                  <w:sz w:val="22"/>
                  <w:szCs w:val="22"/>
                </w:rPr>
              </w:pPr>
              <w:r>
                <w:rPr>
                  <w:rFonts w:hint="eastAsia"/>
                  <w:sz w:val="22"/>
                  <w:szCs w:val="22"/>
                </w:rPr>
                <w:t>短期薪酬主要包括职工工资、职工福利费、医疗保险费等，在职工提供服务的会计期间，将实际发生的短期薪酬确认为负债，并按照受益对象计入当期损益或相关资产成本。</w:t>
              </w:r>
            </w:p>
            <w:p w14:paraId="68402D5C" w14:textId="77777777" w:rsidR="00471D53" w:rsidRDefault="00B664AF">
              <w:pPr>
                <w:rPr>
                  <w:szCs w:val="21"/>
                </w:rPr>
              </w:pPr>
            </w:p>
          </w:sdtContent>
        </w:sdt>
        <w:p w14:paraId="7E02C678" w14:textId="77777777" w:rsidR="00471D53" w:rsidRDefault="00B664AF">
          <w:pPr>
            <w:rPr>
              <w:szCs w:val="21"/>
            </w:rPr>
          </w:pPr>
        </w:p>
        <w:p w14:paraId="4B84E17B" w14:textId="77777777" w:rsidR="00471D53" w:rsidRDefault="004F686E" w:rsidP="004F686E">
          <w:pPr>
            <w:pStyle w:val="afffff8"/>
            <w:numPr>
              <w:ilvl w:val="0"/>
              <w:numId w:val="49"/>
            </w:numPr>
            <w:rPr>
              <w:rFonts w:ascii="宋体" w:hAnsi="宋体"/>
            </w:rPr>
          </w:pPr>
          <w:r>
            <w:rPr>
              <w:rFonts w:ascii="宋体" w:hAnsi="宋体" w:hint="eastAsia"/>
            </w:rPr>
            <w:t>离职后福利的会计处理方法</w:t>
          </w:r>
        </w:p>
        <w:sdt>
          <w:sdtPr>
            <w:rPr>
              <w:rFonts w:hint="eastAsia"/>
              <w:szCs w:val="21"/>
            </w:rPr>
            <w:alias w:val="是否适用：离职后福利的会计处理方法[双击切换]"/>
            <w:tag w:val="_GBC_35bbae299fda438d9e595058bbecbcdc"/>
            <w:id w:val="-617138815"/>
            <w:lock w:val="sdtLocked"/>
            <w:placeholder>
              <w:docPart w:val="GBC22222222222222222222222222222"/>
            </w:placeholder>
          </w:sdtPr>
          <w:sdtEndPr/>
          <w:sdtContent>
            <w:p w14:paraId="43CAF723" w14:textId="77777777" w:rsidR="00471D53" w:rsidRDefault="004F686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离职后福利的会计处理方法"/>
            <w:tag w:val="_GBC_3b0bafa6ef784ba99c829e2f60cf828e"/>
            <w:id w:val="-552075125"/>
            <w:lock w:val="sdtLocked"/>
            <w:placeholder>
              <w:docPart w:val="GBC22222222222222222222222222222"/>
            </w:placeholder>
          </w:sdtPr>
          <w:sdtEndPr/>
          <w:sdtContent>
            <w:p w14:paraId="21AAE04A" w14:textId="77777777" w:rsidR="00471D53" w:rsidRDefault="004F686E" w:rsidP="00471D53">
              <w:pPr>
                <w:ind w:firstLineChars="200" w:firstLine="420"/>
                <w:rPr>
                  <w:sz w:val="22"/>
                  <w:szCs w:val="22"/>
                </w:rPr>
              </w:pPr>
              <w:r>
                <w:rPr>
                  <w:rFonts w:hint="eastAsia"/>
                  <w:sz w:val="22"/>
                  <w:szCs w:val="22"/>
                </w:rPr>
                <w:t>离职后福利主要包括基本养老保险费、失业保险费等，按照公司承担的风险和义务，分类为设定提存计划、设定受益计划。对于设定提存计划在根据在资产负债表日为换取职工在会计期间提供的服务而向单独主体缴存的提存金确认为负债，并按照受益对象计入当期损益或相关资产成本。</w:t>
              </w:r>
            </w:p>
            <w:p w14:paraId="336B3440"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对于设定受益计划，本集团根据预期累计福利单位法，</w:t>
              </w:r>
              <w:r>
                <w:rPr>
                  <w:sz w:val="22"/>
                  <w:szCs w:val="22"/>
                </w:rPr>
                <w:t>采用无偏且相互一致的精算假设对有关人口统计变量和财务变量等做出估计，计量设定受益计划所产生的义务，并确定相关义务的归属期间。按照折现率将设定受益计划所产生的义务予以折现，以确定设定受益计划义务的现值和当期服务成本</w:t>
              </w:r>
              <w:r>
                <w:rPr>
                  <w:rFonts w:hint="eastAsia"/>
                  <w:sz w:val="22"/>
                  <w:szCs w:val="22"/>
                </w:rPr>
                <w:t>。</w:t>
              </w:r>
            </w:p>
            <w:p w14:paraId="32C04C06" w14:textId="77777777" w:rsidR="00471D53" w:rsidRDefault="00B664AF" w:rsidP="00471D53">
              <w:pPr>
                <w:ind w:firstLineChars="200" w:firstLine="420"/>
                <w:rPr>
                  <w:szCs w:val="21"/>
                </w:rPr>
              </w:pPr>
            </w:p>
          </w:sdtContent>
        </w:sdt>
        <w:p w14:paraId="3D4BF484" w14:textId="77777777" w:rsidR="00471D53" w:rsidRDefault="00B664AF">
          <w:pPr>
            <w:rPr>
              <w:szCs w:val="21"/>
            </w:rPr>
          </w:pPr>
        </w:p>
        <w:p w14:paraId="25F03BE7" w14:textId="77777777" w:rsidR="00471D53" w:rsidRDefault="004F686E" w:rsidP="004F686E">
          <w:pPr>
            <w:pStyle w:val="afffff8"/>
            <w:numPr>
              <w:ilvl w:val="0"/>
              <w:numId w:val="49"/>
            </w:numPr>
            <w:rPr>
              <w:rFonts w:ascii="宋体" w:hAnsi="宋体"/>
            </w:rPr>
          </w:pPr>
          <w:r>
            <w:rPr>
              <w:rFonts w:ascii="宋体" w:hAnsi="宋体" w:hint="eastAsia"/>
            </w:rPr>
            <w:t>辞退福利的会计处理方法</w:t>
          </w:r>
        </w:p>
        <w:sdt>
          <w:sdtPr>
            <w:rPr>
              <w:rFonts w:hint="eastAsia"/>
              <w:szCs w:val="21"/>
            </w:rPr>
            <w:alias w:val="是否适用：辞退福利的会计处理方法[双击切换]"/>
            <w:tag w:val="_GBC_b6be1c30b6144d54b0e20b3cb9d3a691"/>
            <w:id w:val="772823950"/>
            <w:lock w:val="sdtLocked"/>
            <w:placeholder>
              <w:docPart w:val="GBC22222222222222222222222222222"/>
            </w:placeholder>
          </w:sdtPr>
          <w:sdtEndPr/>
          <w:sdtContent>
            <w:p w14:paraId="0C36DF7E" w14:textId="77777777" w:rsidR="00471D53" w:rsidRDefault="004F686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辞退福利的会计处理方法"/>
            <w:tag w:val="_GBC_a93705fb60b24bceb25c88a68ed87432"/>
            <w:id w:val="-1625383310"/>
            <w:lock w:val="sdtLocked"/>
            <w:placeholder>
              <w:docPart w:val="GBC22222222222222222222222222222"/>
            </w:placeholder>
          </w:sdtPr>
          <w:sdtEndPr/>
          <w:sdtContent>
            <w:p w14:paraId="0182E9BA" w14:textId="77777777" w:rsidR="00471D53" w:rsidRDefault="004F686E" w:rsidP="00471D53">
              <w:pPr>
                <w:spacing w:beforeLines="50" w:before="120" w:afterLines="50" w:after="120" w:line="360" w:lineRule="exact"/>
                <w:ind w:firstLineChars="200" w:firstLine="420"/>
                <w:jc w:val="both"/>
                <w:rPr>
                  <w:sz w:val="22"/>
                  <w:szCs w:val="22"/>
                </w:rPr>
              </w:pPr>
              <w:r>
                <w:rPr>
                  <w:rFonts w:hint="eastAsia"/>
                  <w:sz w:val="22"/>
                  <w:szCs w:val="22"/>
                </w:rPr>
                <w:t>辞退福利</w:t>
              </w:r>
              <w:r>
                <w:rPr>
                  <w:sz w:val="22"/>
                  <w:szCs w:val="22"/>
                </w:rPr>
                <w:t>是指本集团在职工劳动合同到期之前解除与职工的劳动关系，或者为鼓励职工自愿接受裁减而给予职工的补偿</w:t>
              </w:r>
              <w:r>
                <w:rPr>
                  <w:rFonts w:hint="eastAsia"/>
                  <w:sz w:val="22"/>
                  <w:szCs w:val="22"/>
                </w:rPr>
                <w:t>。对于职工虽然没有与本集团解除劳动合同，但未来不再为本集团提供服务，不能为本集团带来经济利益，本集团承诺提供实质上具有辞退福利性质的经济补偿的，如发生</w:t>
              </w:r>
              <w:r>
                <w:rPr>
                  <w:sz w:val="22"/>
                  <w:szCs w:val="22"/>
                </w:rPr>
                <w:t>“</w:t>
              </w:r>
              <w:r>
                <w:rPr>
                  <w:rFonts w:hint="eastAsia"/>
                  <w:sz w:val="22"/>
                  <w:szCs w:val="22"/>
                </w:rPr>
                <w:t>内退</w:t>
              </w:r>
              <w:r>
                <w:rPr>
                  <w:sz w:val="22"/>
                  <w:szCs w:val="22"/>
                </w:rPr>
                <w:t>”</w:t>
              </w:r>
              <w:r>
                <w:rPr>
                  <w:rFonts w:hint="eastAsia"/>
                  <w:sz w:val="22"/>
                  <w:szCs w:val="22"/>
                </w:rPr>
                <w:t>的情况，在其正式退休日期之前应当比照辞退福利处理，在其正式退休日期之后，按照离职后福利处理。本集团向职工提供辞退福利的，在本集团不能单方面撤回因解除劳动关系计划或裁减建议所提供的辞退福利时、本集团确认涉及支付辞退福利的重组相关的成本或费用时两者孰早日，确认辞退福利产生的职工薪酬负债，并计入当期损益。对于辞退福利预期在年度报告期间年末后十二个月内不能完全支付的辞退福利，实质性辞退工作在一年内实施完毕但补偿款项超过一年支付的辞退计划，本集团选择恰当的折现率，以折现后的金额计量应计人当期损益的辞退福利金额。</w:t>
              </w:r>
            </w:p>
            <w:p w14:paraId="164D264A" w14:textId="77777777" w:rsidR="00471D53" w:rsidRDefault="00B664AF">
              <w:pPr>
                <w:rPr>
                  <w:szCs w:val="21"/>
                </w:rPr>
              </w:pPr>
            </w:p>
          </w:sdtContent>
        </w:sdt>
        <w:p w14:paraId="4F6FAFED" w14:textId="77777777" w:rsidR="00471D53" w:rsidRDefault="00B664AF">
          <w:pPr>
            <w:rPr>
              <w:szCs w:val="21"/>
            </w:rPr>
          </w:pPr>
        </w:p>
        <w:p w14:paraId="0ABD004D" w14:textId="77777777" w:rsidR="00471D53" w:rsidRDefault="004F686E" w:rsidP="004F686E">
          <w:pPr>
            <w:pStyle w:val="afffff8"/>
            <w:numPr>
              <w:ilvl w:val="0"/>
              <w:numId w:val="49"/>
            </w:numPr>
            <w:rPr>
              <w:rFonts w:ascii="宋体" w:hAnsi="宋体"/>
            </w:rPr>
          </w:pPr>
          <w:r>
            <w:rPr>
              <w:rFonts w:ascii="宋体" w:hAnsi="宋体" w:hint="eastAsia"/>
            </w:rPr>
            <w:t>其他长期职工福利的会计处理方法</w:t>
          </w:r>
        </w:p>
        <w:sdt>
          <w:sdtPr>
            <w:rPr>
              <w:rFonts w:hint="eastAsia"/>
              <w:szCs w:val="21"/>
            </w:rPr>
            <w:alias w:val="是否适用：其他长期职工福利的会计处理方法[双击切换]"/>
            <w:tag w:val="_GBC_6650f3bc6a474b318e05b9d60314cb7f"/>
            <w:id w:val="-471981995"/>
            <w:lock w:val="sdtLocked"/>
            <w:placeholder>
              <w:docPart w:val="GBC22222222222222222222222222222"/>
            </w:placeholder>
          </w:sdtPr>
          <w:sdtEndPr/>
          <w:sdtContent>
            <w:p w14:paraId="0FC13E5A" w14:textId="77777777" w:rsidR="00471D53" w:rsidRDefault="004F686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其他长期职工福利的会计处理方法"/>
            <w:tag w:val="_GBC_0e549e9400284de7b64ddf6ecc255dea"/>
            <w:id w:val="-1314020410"/>
            <w:lock w:val="sdtLocked"/>
            <w:placeholder>
              <w:docPart w:val="GBC22222222222222222222222222222"/>
            </w:placeholder>
          </w:sdtPr>
          <w:sdtEndPr/>
          <w:sdtContent>
            <w:p w14:paraId="4E520947" w14:textId="77777777" w:rsidR="00471D53" w:rsidRDefault="004F686E" w:rsidP="00471D53">
              <w:pPr>
                <w:spacing w:beforeLines="50" w:before="120" w:afterLines="50" w:after="120" w:line="360" w:lineRule="exact"/>
                <w:ind w:firstLineChars="200" w:firstLine="420"/>
                <w:jc w:val="both"/>
                <w:rPr>
                  <w:sz w:val="22"/>
                  <w:szCs w:val="22"/>
                </w:rPr>
              </w:pPr>
              <w:r>
                <w:rPr>
                  <w:rFonts w:hint="eastAsia"/>
                  <w:sz w:val="22"/>
                  <w:szCs w:val="22"/>
                </w:rPr>
                <w:t>其他长期福利，</w:t>
              </w:r>
              <w:r>
                <w:rPr>
                  <w:sz w:val="22"/>
                  <w:szCs w:val="22"/>
                </w:rPr>
                <w:t>是指除短期薪酬、离职后福利、辞退福利之外所有的职工薪酬</w:t>
              </w:r>
              <w:r>
                <w:rPr>
                  <w:rFonts w:hint="eastAsia"/>
                  <w:sz w:val="22"/>
                  <w:szCs w:val="22"/>
                </w:rPr>
                <w:t>，包括长期带薪缺勤、长期残疾福利、长期利润分享计划等。本集团向职工提供的其他长期职工福利，符合设定提存计划条件的，按照设定提存计划的有关规定进行会计处理。本集团向职工提供</w:t>
              </w:r>
              <w:r>
                <w:rPr>
                  <w:rFonts w:hint="eastAsia"/>
                  <w:sz w:val="22"/>
                  <w:szCs w:val="22"/>
                </w:rPr>
                <w:lastRenderedPageBreak/>
                <w:t>的其他长期职工福利，符合设定受益计划条件的，本集团按照设定受益计划的有关规定，确认和计量其他长期职工福利净负债或净资产。在报告年末，本集团将其他长期职工福利产生的职工薪酬成本确认为下列组成部分：服务成本；其他长期职工福利净负债或净资产的利息净额；重新计量其他长期职工福利净负债或净资产所产生的变动。上述项目的总净额计人当期损益或相关资产成本。</w:t>
              </w:r>
            </w:p>
            <w:p w14:paraId="3C3AD703" w14:textId="77777777" w:rsidR="00471D53" w:rsidRDefault="00B664AF">
              <w:pPr>
                <w:rPr>
                  <w:rFonts w:cs="Times New Roman"/>
                  <w:szCs w:val="21"/>
                </w:rPr>
              </w:pPr>
            </w:p>
          </w:sdtContent>
        </w:sdt>
      </w:sdtContent>
    </w:sdt>
    <w:p w14:paraId="1F74339C" w14:textId="77777777" w:rsidR="00471D53" w:rsidRDefault="00B664AF">
      <w:pPr>
        <w:rPr>
          <w:szCs w:val="21"/>
        </w:rPr>
      </w:pPr>
    </w:p>
    <w:sdt>
      <w:sdtPr>
        <w:rPr>
          <w:rFonts w:ascii="宋体" w:hAnsi="宋体" w:cs="宋体" w:hint="eastAsia"/>
          <w:b w:val="0"/>
          <w:bCs w:val="0"/>
          <w:kern w:val="0"/>
          <w:szCs w:val="21"/>
        </w:rPr>
        <w:alias w:val="模块:租赁负债"/>
        <w:tag w:val="_SEC_d8e7208bcd04489eb6a8b588ac7c08d7"/>
        <w:id w:val="-1027254560"/>
        <w:lock w:val="sdtLocked"/>
        <w:placeholder>
          <w:docPart w:val="GBC22222222222222222222222222222"/>
        </w:placeholder>
      </w:sdtPr>
      <w:sdtEndPr>
        <w:rPr>
          <w:szCs w:val="24"/>
        </w:rPr>
      </w:sdtEndPr>
      <w:sdtContent>
        <w:p w14:paraId="47ECB3F3" w14:textId="77777777" w:rsidR="00471D53" w:rsidRDefault="004F686E" w:rsidP="004F686E">
          <w:pPr>
            <w:pStyle w:val="afffff7"/>
            <w:numPr>
              <w:ilvl w:val="0"/>
              <w:numId w:val="44"/>
            </w:numPr>
            <w:rPr>
              <w:rFonts w:ascii="宋体" w:hAnsi="宋体"/>
              <w:szCs w:val="21"/>
            </w:rPr>
          </w:pPr>
          <w:r>
            <w:rPr>
              <w:rFonts w:ascii="宋体" w:hAnsi="宋体" w:hint="eastAsia"/>
              <w:szCs w:val="21"/>
            </w:rPr>
            <w:t>租赁负债</w:t>
          </w:r>
        </w:p>
        <w:sdt>
          <w:sdtPr>
            <w:alias w:val="是否适用：租赁负债_重要会计政策和估计[双击切换]"/>
            <w:tag w:val="_GBC_34c8994db6c04aa0821b8100fc152679"/>
            <w:id w:val="-176117864"/>
            <w:lock w:val="sdtLocked"/>
            <w:placeholder>
              <w:docPart w:val="GBC22222222222222222222222222222"/>
            </w:placeholder>
          </w:sdtPr>
          <w:sdtEndPr/>
          <w:sdtContent>
            <w:p w14:paraId="5EC047AB"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租赁负债的核算方法"/>
            <w:tag w:val="_GBC_f93840fd38604e669d3682eeebba46a7"/>
            <w:id w:val="-855198133"/>
            <w:lock w:val="sdtLocked"/>
            <w:placeholder>
              <w:docPart w:val="GBC22222222222222222222222222222"/>
            </w:placeholder>
          </w:sdtPr>
          <w:sdtEndPr/>
          <w:sdtContent>
            <w:p w14:paraId="24A1B9DC" w14:textId="77777777" w:rsidR="00471D53" w:rsidRDefault="004F686E" w:rsidP="00471D53">
              <w:pPr>
                <w:spacing w:beforeLines="50" w:before="120" w:afterLines="50" w:after="120" w:line="360" w:lineRule="exact"/>
                <w:ind w:firstLineChars="200" w:firstLine="420"/>
                <w:jc w:val="both"/>
                <w:rPr>
                  <w:bCs/>
                  <w:sz w:val="22"/>
                  <w:szCs w:val="22"/>
                </w:rPr>
              </w:pPr>
              <w:r>
                <w:rPr>
                  <w:rFonts w:hint="eastAsia"/>
                  <w:bCs/>
                  <w:sz w:val="22"/>
                  <w:szCs w:val="22"/>
                </w:rPr>
                <w:t>（1）初始计量</w:t>
              </w:r>
            </w:p>
            <w:p w14:paraId="6B640137" w14:textId="77777777"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本集团按照租赁期开始日尚未支付的租赁付款额的现值对租赁负债进行初始计量。</w:t>
              </w:r>
            </w:p>
            <w:p w14:paraId="768F9915" w14:textId="77777777"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1）租赁付款额</w:t>
              </w:r>
            </w:p>
            <w:p w14:paraId="7DF0AF70" w14:textId="77777777"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租赁付款额，是指本集团向出租人支付的与在租赁期内使用租赁资产的权利相关的款项，包括：①固定付款额及实质固定付款额，存在租赁激励的，扣除租赁激励相关金额；②取决于指数或比率的可变租赁付款额，该款额在初始计量时根据租赁期开始日的指数或比率确定；③本集团合理确定将行使购买选择权时，购买选择权的行权价格；④租赁期反映出本集团将行使终止租赁选择权时，行使终止租赁选择权需支付的款项；⑤根据本集团提供的担保余值预计应支付的款项。</w:t>
              </w:r>
            </w:p>
            <w:p w14:paraId="158762C9" w14:textId="77777777"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2）折现率</w:t>
              </w:r>
            </w:p>
            <w:p w14:paraId="05E57FAE" w14:textId="77777777"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在计算租赁付款额的现值时，本集团采用租赁内含利率作为折现率，该利率是指使出租人的租赁收款额的现值与未担保余值的现值之和等于租赁资产公允价值与出租人的初始直接费用之和的利率。本集团因无法确定租赁内含利率的，采用增量借款利率作为折现率。该增量借款利率，是指本集团在类似经济环境下为获得与使用权资产价值接近的资产，在类似期间以类似抵押条件借入资金须支付的利率。该利率与下列事项相关：①本集团自身情况，即集团的偿债能力和信用状况；②“借款”的期限，即租赁期；③“借入”资金的金额，即租赁负债的金额；④“抵押条件”，即标的资产的性质和质量；⑤经济环境，包括承租人所处的司法管辖区、计价货币、合同签订时间等。本集团以银行贷款利率或本集团最近一期类似资产抵押贷款利率为基础，考虑上述因素进行调整而得出该增量借款利率。</w:t>
              </w:r>
            </w:p>
            <w:p w14:paraId="505FF4B3" w14:textId="670CBA14"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（2）后续计量</w:t>
              </w:r>
            </w:p>
            <w:p w14:paraId="0C3B639A" w14:textId="77777777"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在租赁期开始日后，本集团按以下原则对租赁负债进行后续计量：①确认租赁负债的利息时，增加租赁负债的账面金额；②支付租赁付款额时，减少租赁负债的账面金额；③因重估或租赁变更等原因导致租赁付款额发生变动时，重新计量租赁负债的账面价值。</w:t>
              </w:r>
            </w:p>
            <w:p w14:paraId="5D68C5FD" w14:textId="77777777"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按照固定的周期性利率计算租赁负债在租赁期内各期间的利息费用，并计入当期损益，但应当资本化的除外。周期性利率是指本集团对租赁负债进行初始计量时所采用的折现率，</w:t>
              </w:r>
              <w:r>
                <w:rPr>
                  <w:rFonts w:hint="eastAsia"/>
                  <w:bCs/>
                  <w:sz w:val="22"/>
                  <w:szCs w:val="22"/>
                </w:rPr>
                <w:lastRenderedPageBreak/>
                <w:t>或者因租赁付款额发生变动或因租赁变更而需按照修订后的折现率对租赁负债进行重新计量时，本集团所采用的修订后的折现率。</w:t>
              </w:r>
            </w:p>
            <w:p w14:paraId="178059D9" w14:textId="77777777"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（3）重新计量</w:t>
              </w:r>
            </w:p>
            <w:p w14:paraId="320392A1" w14:textId="77777777"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在租赁期开始日后，发生下列情形时，本集团按照变动后租赁付款额和修订后的折现率计算的现值重新计量租赁负债，并相应调整使用权资产的账面价值。使用权资产的账面价值已调减至零，但租赁负债仍需进一步调减的，本集团将剩余金额计入当期损益。①实质固定付款额发生变动；②保余值预计的应付金额发生变动；③用于确定租赁付款额的指数或比率发生变动；④购买选择权的评估结果发生变化；⑤续租选择权或终止租赁选择权的评估结果或实际行使情况发生变化。</w:t>
              </w:r>
            </w:p>
            <w:p w14:paraId="4E1CF830" w14:textId="77777777" w:rsidR="00471D53" w:rsidRDefault="00B664AF"/>
          </w:sdtContent>
        </w:sdt>
      </w:sdtContent>
    </w:sdt>
    <w:p w14:paraId="71C85000" w14:textId="77777777" w:rsidR="00471D53" w:rsidRDefault="00B664AF">
      <w:pPr>
        <w:rPr>
          <w:szCs w:val="21"/>
        </w:rPr>
      </w:pPr>
    </w:p>
    <w:sdt>
      <w:sdtPr>
        <w:rPr>
          <w:rFonts w:ascii="宋体" w:hAnsi="宋体" w:cs="宋体"/>
          <w:b w:val="0"/>
          <w:bCs w:val="0"/>
          <w:kern w:val="0"/>
          <w:szCs w:val="24"/>
        </w:rPr>
        <w:alias w:val="模块:预计负债会计处理方法"/>
        <w:tag w:val="_GBC_b5b71a4d3cc1425c80f55e751e7e18c2"/>
        <w:id w:val="434480178"/>
        <w:lock w:val="sdtLocked"/>
        <w:placeholder>
          <w:docPart w:val="GBC22222222222222222222222222222"/>
        </w:placeholder>
      </w:sdtPr>
      <w:sdtEndPr>
        <w:rPr>
          <w:rFonts w:hint="eastAsia"/>
          <w:szCs w:val="21"/>
        </w:rPr>
      </w:sdtEndPr>
      <w:sdtContent>
        <w:p w14:paraId="2CB1FB60" w14:textId="77777777" w:rsidR="00471D53" w:rsidRDefault="004F686E" w:rsidP="004F686E">
          <w:pPr>
            <w:pStyle w:val="afffff7"/>
            <w:numPr>
              <w:ilvl w:val="0"/>
              <w:numId w:val="44"/>
            </w:numPr>
            <w:rPr>
              <w:rFonts w:ascii="宋体" w:hAnsi="宋体"/>
            </w:rPr>
          </w:pPr>
          <w:r>
            <w:rPr>
              <w:rFonts w:ascii="宋体" w:hAnsi="宋体"/>
            </w:rPr>
            <w:t>预计负债</w:t>
          </w:r>
        </w:p>
        <w:sdt>
          <w:sdtPr>
            <w:rPr>
              <w:rFonts w:hint="eastAsia"/>
              <w:szCs w:val="21"/>
            </w:rPr>
            <w:alias w:val="是否适用：预计负债_重要会计政策和估计[双击切换]"/>
            <w:tag w:val="_GBC_60f7f598e5d5458986c0f06775dc38fd"/>
            <w:id w:val="696129163"/>
            <w:lock w:val="sdtLocked"/>
            <w:placeholder>
              <w:docPart w:val="GBC22222222222222222222222222222"/>
            </w:placeholder>
          </w:sdtPr>
          <w:sdtEndPr/>
          <w:sdtContent>
            <w:p w14:paraId="43055097" w14:textId="77777777" w:rsidR="00471D53" w:rsidRDefault="004F686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预计负债的核算方法"/>
            <w:tag w:val="_GBC_d6934772e41e485d9e00e349486f9d7e"/>
            <w:id w:val="397871190"/>
            <w:lock w:val="sdtLocked"/>
            <w:placeholder>
              <w:docPart w:val="GBC22222222222222222222222222222"/>
            </w:placeholder>
          </w:sdtPr>
          <w:sdtEndPr/>
          <w:sdtContent>
            <w:p w14:paraId="135AE4C7" w14:textId="77777777" w:rsidR="00471D53" w:rsidRDefault="004F686E" w:rsidP="00471D53">
              <w:pPr>
                <w:spacing w:beforeLines="50" w:before="120" w:afterLines="50" w:after="120" w:line="360" w:lineRule="exact"/>
                <w:ind w:firstLineChars="200" w:firstLine="420"/>
                <w:jc w:val="both"/>
                <w:rPr>
                  <w:bCs/>
                  <w:sz w:val="22"/>
                  <w:szCs w:val="22"/>
                </w:rPr>
              </w:pPr>
              <w:r>
                <w:rPr>
                  <w:rFonts w:hint="eastAsia"/>
                  <w:bCs/>
                  <w:sz w:val="22"/>
                  <w:szCs w:val="22"/>
                </w:rPr>
                <w:t>当与对外担保、商业承兑汇票贴现、未决诉讼或仲裁、产品质量保证等或有事项相关的业务同时符合以下条件时，本集团将其确认为负债：该义务是本集团承担的现时义务；该义务的履行很可能导致经济利益流出企业；该义务的金额能够可靠地计量。</w:t>
              </w:r>
            </w:p>
            <w:p w14:paraId="210754AD" w14:textId="77777777"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预计负债按照履行相关现时义务所需支出的最佳估计数进行初始计量，并综合考虑与或有事项有关的风险、不确定性和货币时间价值等因素。货币时间价值影响重大的，通过对相关未来现金流出进行折现后确定最佳估计数。每个资产负债表日对预计负债的账面价值进行复核，如有改变则对账面价值进行调整以反映当前最佳估计数。</w:t>
              </w:r>
            </w:p>
            <w:p w14:paraId="31483509" w14:textId="77777777" w:rsidR="00471D53" w:rsidRDefault="00B664AF">
              <w:pPr>
                <w:rPr>
                  <w:szCs w:val="21"/>
                </w:rPr>
              </w:pPr>
            </w:p>
          </w:sdtContent>
        </w:sdt>
      </w:sdtContent>
    </w:sdt>
    <w:p w14:paraId="4C50D1FB" w14:textId="77777777" w:rsidR="00471D53" w:rsidRDefault="00B664AF">
      <w:pPr>
        <w:rPr>
          <w:szCs w:val="21"/>
        </w:rPr>
      </w:pPr>
    </w:p>
    <w:sdt>
      <w:sdtPr>
        <w:rPr>
          <w:rFonts w:ascii="宋体" w:hAnsi="宋体" w:cstheme="minorBidi" w:hint="eastAsia"/>
          <w:b w:val="0"/>
          <w:bCs w:val="0"/>
          <w:kern w:val="0"/>
          <w:szCs w:val="22"/>
        </w:rPr>
        <w:alias w:val="模块:股份支付"/>
        <w:tag w:val="_GBC_5300d3ce4b5f4c1690fe13bde0a610e3"/>
        <w:id w:val="-1389405652"/>
        <w:lock w:val="sdtLocked"/>
        <w:placeholder>
          <w:docPart w:val="GBC22222222222222222222222222222"/>
        </w:placeholder>
      </w:sdtPr>
      <w:sdtEndPr>
        <w:rPr>
          <w:rFonts w:cs="Times New Roman"/>
          <w:szCs w:val="21"/>
        </w:rPr>
      </w:sdtEndPr>
      <w:sdtContent>
        <w:p w14:paraId="539466CB" w14:textId="77777777" w:rsidR="00471D53" w:rsidRDefault="004F686E" w:rsidP="004F686E">
          <w:pPr>
            <w:pStyle w:val="afffff7"/>
            <w:numPr>
              <w:ilvl w:val="0"/>
              <w:numId w:val="44"/>
            </w:numPr>
            <w:rPr>
              <w:rFonts w:ascii="宋体" w:hAnsi="宋体"/>
            </w:rPr>
          </w:pPr>
          <w:r>
            <w:rPr>
              <w:rFonts w:ascii="宋体" w:hAnsi="宋体" w:hint="eastAsia"/>
            </w:rPr>
            <w:t>股份支付</w:t>
          </w:r>
        </w:p>
        <w:sdt>
          <w:sdtPr>
            <w:rPr>
              <w:rFonts w:hint="eastAsia"/>
              <w:szCs w:val="21"/>
            </w:rPr>
            <w:alias w:val="是否适用：股份支付_重要会计政策和估计[双击切换]"/>
            <w:tag w:val="_GBC_cfe00a6b35f24950855f2412f34bcf7a"/>
            <w:id w:val="1849286710"/>
            <w:lock w:val="sdtLocked"/>
            <w:placeholder>
              <w:docPart w:val="GBC22222222222222222222222222222"/>
            </w:placeholder>
          </w:sdtPr>
          <w:sdtEndPr/>
          <w:sdtContent>
            <w:p w14:paraId="7F386710" w14:textId="77777777" w:rsidR="00471D53" w:rsidRDefault="004F686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股份支付的核算方法"/>
            <w:tag w:val="_GBC_99e197c555ed4cf8aa00bbd5da2fe98b"/>
            <w:id w:val="-501119264"/>
            <w:lock w:val="sdtLocked"/>
            <w:placeholder>
              <w:docPart w:val="GBC22222222222222222222222222222"/>
            </w:placeholder>
          </w:sdtPr>
          <w:sdtEndPr/>
          <w:sdtContent>
            <w:p w14:paraId="19BD41FE" w14:textId="77777777" w:rsidR="00471D53" w:rsidRDefault="004F686E" w:rsidP="00471D53">
              <w:pPr>
                <w:spacing w:beforeLines="50" w:before="120" w:afterLines="50" w:after="120" w:line="360" w:lineRule="exact"/>
                <w:ind w:firstLineChars="200" w:firstLine="420"/>
                <w:jc w:val="both"/>
                <w:rPr>
                  <w:bCs/>
                  <w:sz w:val="22"/>
                  <w:szCs w:val="22"/>
                </w:rPr>
              </w:pPr>
              <w:r>
                <w:rPr>
                  <w:rFonts w:hint="eastAsia"/>
                  <w:bCs/>
                  <w:sz w:val="22"/>
                  <w:szCs w:val="22"/>
                </w:rPr>
                <w:t>用以换取职工提供服务的以权益结算的股份支付，以授予职工权益工具在授予日的公允价值计量。该公允价值的金额在完成等待期内的服务或达到规定业绩条件才可行权的情况下，在等待期内以对可行权权益工具数量的最佳估计为基础，按直线法计算计入相关成本或费用，</w:t>
              </w:r>
              <w:r>
                <w:rPr>
                  <w:bCs/>
                  <w:sz w:val="22"/>
                  <w:szCs w:val="22"/>
                </w:rPr>
                <w:t>相应增加资本公积</w:t>
              </w:r>
              <w:r>
                <w:rPr>
                  <w:rFonts w:hint="eastAsia"/>
                  <w:bCs/>
                  <w:sz w:val="22"/>
                  <w:szCs w:val="22"/>
                </w:rPr>
                <w:t>。</w:t>
              </w:r>
            </w:p>
            <w:p w14:paraId="0C9975E2" w14:textId="77777777" w:rsidR="00471D53" w:rsidRDefault="004F686E" w:rsidP="00471D53">
              <w:pPr>
                <w:spacing w:beforeLines="50" w:before="120" w:afterLines="50" w:after="120" w:line="360" w:lineRule="exact"/>
                <w:ind w:firstLineChars="200" w:firstLine="440"/>
                <w:jc w:val="both"/>
                <w:rPr>
                  <w:bCs/>
                  <w:sz w:val="22"/>
                  <w:szCs w:val="22"/>
                </w:rPr>
              </w:pPr>
              <w:r>
                <w:rPr>
                  <w:bCs/>
                  <w:sz w:val="22"/>
                  <w:szCs w:val="22"/>
                </w:rPr>
                <w:t>以现金结算的股份支付，</w:t>
              </w:r>
              <w:r>
                <w:rPr>
                  <w:rFonts w:hint="eastAsia"/>
                  <w:bCs/>
                  <w:sz w:val="22"/>
                  <w:szCs w:val="22"/>
                </w:rPr>
                <w:t>按照本集团承担的以股份或其他权益工具为基础确定的负债的公允价值计量。如</w:t>
              </w:r>
              <w:r>
                <w:rPr>
                  <w:bCs/>
                  <w:sz w:val="22"/>
                  <w:szCs w:val="22"/>
                </w:rPr>
                <w:t>授予后立即可行权</w:t>
              </w:r>
              <w:r>
                <w:rPr>
                  <w:rFonts w:hint="eastAsia"/>
                  <w:bCs/>
                  <w:sz w:val="22"/>
                  <w:szCs w:val="22"/>
                </w:rPr>
                <w:t>，</w:t>
              </w:r>
              <w:r>
                <w:rPr>
                  <w:bCs/>
                  <w:sz w:val="22"/>
                  <w:szCs w:val="22"/>
                </w:rPr>
                <w:t>在授</w:t>
              </w:r>
              <w:r>
                <w:rPr>
                  <w:rFonts w:hint="eastAsia"/>
                  <w:bCs/>
                  <w:sz w:val="22"/>
                  <w:szCs w:val="22"/>
                </w:rPr>
                <w:t>予</w:t>
              </w:r>
              <w:r>
                <w:rPr>
                  <w:bCs/>
                  <w:sz w:val="22"/>
                  <w:szCs w:val="22"/>
                </w:rPr>
                <w:t>日以承担负债的公允价值计入相关成本或费用，相应增加负债</w:t>
              </w:r>
              <w:r>
                <w:rPr>
                  <w:rFonts w:hint="eastAsia"/>
                  <w:bCs/>
                  <w:sz w:val="22"/>
                  <w:szCs w:val="22"/>
                </w:rPr>
                <w:t>；如需</w:t>
              </w:r>
              <w:r>
                <w:rPr>
                  <w:bCs/>
                  <w:sz w:val="22"/>
                  <w:szCs w:val="22"/>
                </w:rPr>
                <w:t>完成等待期内的服务或达到规定业绩条件以后才可行权，在等待期的每个资产负债表日，以对可行权情况的最佳估计为</w:t>
              </w:r>
              <w:r>
                <w:rPr>
                  <w:rFonts w:hint="eastAsia"/>
                  <w:bCs/>
                  <w:sz w:val="22"/>
                  <w:szCs w:val="22"/>
                </w:rPr>
                <w:t>基</w:t>
              </w:r>
              <w:r>
                <w:rPr>
                  <w:bCs/>
                  <w:sz w:val="22"/>
                  <w:szCs w:val="22"/>
                </w:rPr>
                <w:t>础，按照</w:t>
              </w:r>
              <w:r>
                <w:rPr>
                  <w:rFonts w:hint="eastAsia"/>
                  <w:bCs/>
                  <w:sz w:val="22"/>
                  <w:szCs w:val="22"/>
                </w:rPr>
                <w:t>本集团</w:t>
              </w:r>
              <w:r>
                <w:rPr>
                  <w:bCs/>
                  <w:sz w:val="22"/>
                  <w:szCs w:val="22"/>
                </w:rPr>
                <w:t>承担负债的公允价值金额，将当期取得的服务计入成本或费用</w:t>
              </w:r>
              <w:r>
                <w:rPr>
                  <w:rFonts w:hint="eastAsia"/>
                  <w:bCs/>
                  <w:sz w:val="22"/>
                  <w:szCs w:val="22"/>
                </w:rPr>
                <w:t>，相应调整</w:t>
              </w:r>
              <w:r>
                <w:rPr>
                  <w:bCs/>
                  <w:sz w:val="22"/>
                  <w:szCs w:val="22"/>
                </w:rPr>
                <w:t>负债</w:t>
              </w:r>
              <w:r>
                <w:rPr>
                  <w:rFonts w:hint="eastAsia"/>
                  <w:bCs/>
                  <w:sz w:val="22"/>
                  <w:szCs w:val="22"/>
                </w:rPr>
                <w:t>。</w:t>
              </w:r>
            </w:p>
            <w:p w14:paraId="764C12F3" w14:textId="77777777" w:rsidR="00471D53" w:rsidRDefault="004F686E" w:rsidP="00471D53">
              <w:pPr>
                <w:spacing w:beforeLines="50" w:before="120" w:afterLines="50" w:after="120" w:line="360" w:lineRule="exact"/>
                <w:ind w:firstLineChars="200" w:firstLine="440"/>
                <w:jc w:val="both"/>
                <w:rPr>
                  <w:bCs/>
                  <w:sz w:val="22"/>
                  <w:szCs w:val="22"/>
                </w:rPr>
              </w:pPr>
              <w:r>
                <w:rPr>
                  <w:bCs/>
                  <w:sz w:val="22"/>
                  <w:szCs w:val="22"/>
                </w:rPr>
                <w:t>在相关负债结算前的每个资产负债表日以及结算日，对负债的公允价值重新计</w:t>
              </w:r>
              <w:r>
                <w:rPr>
                  <w:rFonts w:hint="eastAsia"/>
                  <w:bCs/>
                  <w:sz w:val="22"/>
                  <w:szCs w:val="22"/>
                </w:rPr>
                <w:t>量，</w:t>
              </w:r>
              <w:r>
                <w:rPr>
                  <w:bCs/>
                  <w:sz w:val="22"/>
                  <w:szCs w:val="22"/>
                </w:rPr>
                <w:t>其变动计入当期损益。</w:t>
              </w:r>
            </w:p>
            <w:p w14:paraId="5F7FE8CA" w14:textId="77777777" w:rsidR="00471D53" w:rsidRDefault="004F686E" w:rsidP="00471D53">
              <w:pPr>
                <w:rPr>
                  <w:szCs w:val="21"/>
                </w:rPr>
              </w:pPr>
              <w:r>
                <w:rPr>
                  <w:rFonts w:hint="eastAsia"/>
                  <w:bCs/>
                  <w:sz w:val="22"/>
                  <w:szCs w:val="22"/>
                </w:rPr>
                <w:lastRenderedPageBreak/>
                <w:t>本集团在等待期内取消所授予权益工具的（因未满足可行权条件而被取消的除外），作为加速行权处理，即视同剩余等待期内的股权支付计划已经全部满足可行权条件，在取消所授予权益工具的当期确认剩余等待期内的所有费用。</w:t>
              </w:r>
            </w:p>
          </w:sdtContent>
        </w:sdt>
      </w:sdtContent>
    </w:sdt>
    <w:p w14:paraId="0D45B0D8" w14:textId="77777777" w:rsidR="00471D53" w:rsidRDefault="00B664AF">
      <w:pPr>
        <w:rPr>
          <w:szCs w:val="21"/>
        </w:rPr>
      </w:pPr>
    </w:p>
    <w:sdt>
      <w:sdtPr>
        <w:rPr>
          <w:rFonts w:ascii="宋体" w:hAnsi="宋体" w:cstheme="minorBidi" w:hint="eastAsia"/>
          <w:b w:val="0"/>
          <w:bCs w:val="0"/>
          <w:kern w:val="0"/>
          <w:szCs w:val="22"/>
        </w:rPr>
        <w:alias w:val="模块:优先股、永续债"/>
        <w:tag w:val="_GBC_d3c9524999e647d78f354bb216cfb1aa"/>
        <w:id w:val="-1932572436"/>
        <w:lock w:val="sdtLocked"/>
        <w:placeholder>
          <w:docPart w:val="GBC22222222222222222222222222222"/>
        </w:placeholder>
      </w:sdtPr>
      <w:sdtEndPr>
        <w:rPr>
          <w:rFonts w:cs="Times New Roman"/>
          <w:szCs w:val="21"/>
        </w:rPr>
      </w:sdtEndPr>
      <w:sdtContent>
        <w:p w14:paraId="459E0312" w14:textId="77777777" w:rsidR="00471D53" w:rsidRDefault="004F686E" w:rsidP="004F686E">
          <w:pPr>
            <w:pStyle w:val="afffff7"/>
            <w:numPr>
              <w:ilvl w:val="0"/>
              <w:numId w:val="44"/>
            </w:numPr>
            <w:rPr>
              <w:rFonts w:ascii="宋体" w:hAnsi="宋体"/>
            </w:rPr>
          </w:pPr>
          <w:r>
            <w:rPr>
              <w:rFonts w:ascii="宋体" w:hAnsi="宋体" w:hint="eastAsia"/>
            </w:rPr>
            <w:t>优先股、永续债等其他金融工具</w:t>
          </w:r>
        </w:p>
        <w:sdt>
          <w:sdtPr>
            <w:rPr>
              <w:rFonts w:hint="eastAsia"/>
              <w:szCs w:val="21"/>
            </w:rPr>
            <w:alias w:val="是否适用：优先股、永续债等其他金融工具[双击切换]"/>
            <w:tag w:val="_GBC_34eb80e2168144958293aa1351780303"/>
            <w:id w:val="-1549298158"/>
            <w:lock w:val="sdtLocked"/>
            <w:placeholder>
              <w:docPart w:val="GBC22222222222222222222222222222"/>
            </w:placeholder>
          </w:sdtPr>
          <w:sdtEndPr/>
          <w:sdtContent>
            <w:p w14:paraId="59E890A5" w14:textId="77777777" w:rsidR="00471D53" w:rsidRDefault="004F686E" w:rsidP="00471D5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14:paraId="6AC71B31" w14:textId="77777777" w:rsidR="00471D53" w:rsidRDefault="00B664AF">
      <w:pPr>
        <w:rPr>
          <w:szCs w:val="21"/>
        </w:rPr>
      </w:pPr>
    </w:p>
    <w:bookmarkStart w:id="98" w:name="_Hlk10465559" w:displacedByCustomXml="next"/>
    <w:sdt>
      <w:sdtPr>
        <w:rPr>
          <w:rFonts w:ascii="宋体" w:hAnsi="宋体" w:cs="宋体"/>
          <w:b w:val="0"/>
          <w:bCs w:val="0"/>
          <w:kern w:val="0"/>
          <w:szCs w:val="22"/>
        </w:rPr>
        <w:alias w:val="模块:收入会计处理方法"/>
        <w:tag w:val="_GBC_19704df9fd714cad895419bf4903f70e"/>
        <w:id w:val="-1578438123"/>
        <w:lock w:val="sdtLocked"/>
        <w:placeholder>
          <w:docPart w:val="GBC22222222222222222222222222222"/>
        </w:placeholder>
      </w:sdtPr>
      <w:sdtEndPr>
        <w:rPr>
          <w:b/>
          <w:bCs/>
          <w:szCs w:val="21"/>
        </w:rPr>
      </w:sdtEndPr>
      <w:sdtContent>
        <w:p w14:paraId="736B261A" w14:textId="77777777" w:rsidR="00471D53" w:rsidRDefault="004F686E" w:rsidP="004F686E">
          <w:pPr>
            <w:pStyle w:val="afffff7"/>
            <w:numPr>
              <w:ilvl w:val="0"/>
              <w:numId w:val="44"/>
            </w:numPr>
            <w:rPr>
              <w:rFonts w:ascii="宋体" w:hAnsi="宋体"/>
            </w:rPr>
          </w:pPr>
          <w:r>
            <w:rPr>
              <w:rFonts w:ascii="宋体" w:hAnsi="宋体"/>
            </w:rPr>
            <w:t>收入</w:t>
          </w:r>
        </w:p>
        <w:p w14:paraId="70A1A4A9" w14:textId="77777777" w:rsidR="00471D53" w:rsidRDefault="004F686E" w:rsidP="004F686E">
          <w:pPr>
            <w:pStyle w:val="afffff8"/>
            <w:numPr>
              <w:ilvl w:val="3"/>
              <w:numId w:val="50"/>
            </w:numPr>
            <w:ind w:left="426" w:hanging="426"/>
            <w:rPr>
              <w:rFonts w:ascii="宋体" w:hAnsi="宋体"/>
              <w:szCs w:val="21"/>
            </w:rPr>
          </w:pPr>
          <w:r>
            <w:rPr>
              <w:rFonts w:ascii="宋体" w:hAnsi="宋体" w:hint="eastAsia"/>
              <w:szCs w:val="21"/>
            </w:rPr>
            <w:t>收入确认和计量所采用的会计政策</w:t>
          </w:r>
        </w:p>
        <w:sdt>
          <w:sdtPr>
            <w:rPr>
              <w:szCs w:val="21"/>
            </w:rPr>
            <w:alias w:val="是否适用：收入确认和计量所采用的会计政策[双击切换]"/>
            <w:tag w:val="_GBC_b6eb71cc057645f3b05fb68d8273c681"/>
            <w:id w:val="-955092225"/>
            <w:lock w:val="sdtLocked"/>
            <w:placeholder>
              <w:docPart w:val="GBC22222222222222222222222222222"/>
            </w:placeholder>
          </w:sdtPr>
          <w:sdtEndPr/>
          <w:sdtContent>
            <w:p w14:paraId="0436D2EC" w14:textId="77777777" w:rsidR="00471D53" w:rsidRDefault="004F686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收入确认和计量所采用的会计政策"/>
            <w:tag w:val="_GBC_c9c2b3029c08405387c460d2d7eacc7d"/>
            <w:id w:val="-104889509"/>
            <w:lock w:val="sdtLocked"/>
            <w:placeholder>
              <w:docPart w:val="GBC22222222222222222222222222222"/>
            </w:placeholder>
          </w:sdtPr>
          <w:sdtEndPr/>
          <w:sdtContent>
            <w:p w14:paraId="3F4A3B84" w14:textId="77777777" w:rsidR="00471D53" w:rsidRDefault="004F686E" w:rsidP="00471D53">
              <w:pPr>
                <w:spacing w:beforeLines="50" w:before="120" w:afterLines="50" w:after="120" w:line="360" w:lineRule="exact"/>
                <w:ind w:firstLineChars="200" w:firstLine="420"/>
                <w:jc w:val="both"/>
                <w:rPr>
                  <w:bCs/>
                  <w:sz w:val="22"/>
                  <w:szCs w:val="22"/>
                </w:rPr>
              </w:pPr>
              <w:r>
                <w:rPr>
                  <w:rFonts w:hint="eastAsia"/>
                  <w:bCs/>
                  <w:sz w:val="22"/>
                  <w:szCs w:val="22"/>
                </w:rPr>
                <w:t>本集团的营业收入主要包括钢制无缝瓶、低温瓶、低温储运装备销售收入、材料销售收入等。</w:t>
              </w:r>
            </w:p>
            <w:p w14:paraId="1DDA0FF8" w14:textId="77777777"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本集团根据日常经营活动中出售商品及提供服务的应收款的公允价值计量收入。收入以扣除折扣以及抵消与本集团公司间内部销售后来列示。当收入能被可靠计量或未来经济收益可能流入本集团或如下所述本集团的各项活动满足特定标准时，应当确认收入。</w:t>
              </w:r>
            </w:p>
            <w:p w14:paraId="51A36ED7" w14:textId="77777777"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本集团在履行了合同中的履约义务，即在客户取得相关商品或服务的控制权时，确认收入。</w:t>
              </w:r>
            </w:p>
            <w:p w14:paraId="05E00E78" w14:textId="77777777"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合同中包含两项或多项履约义务的，本集团在合同开始时，按照单项履约义务所承诺商品或服务的单独售价的相对比例，将交易价格分摊至各单项履约义务，按照分摊至各单项履约义务的交易价格计量收入。</w:t>
              </w:r>
            </w:p>
            <w:p w14:paraId="7F97B555" w14:textId="77777777"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交易价格是本集团因向客户转让商品或服务而预期有权收取的对价金额，不包括代第三方收取的款项。本集团确认的交易价格不超过在相关不确定性消除时累计已确认收入极可能不会发生重大转回的金额。预期将退还给客户的款项作为负债不计入交易价格。合同中存在重大融资成分的，本集团按照假定客户在取得商品或服务控制权时即以现金支付的应付金额确定交易价格。该交易价格与合同对价之间的差额，在合同期间内采用实际利率法摊销。合同开始日，本集团预计客户取得商品或服务控制权与客户支付价款间隔不超过一年的，不考虑合同中存在的重大融资成分。</w:t>
              </w:r>
            </w:p>
            <w:p w14:paraId="7A14705E" w14:textId="77777777"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满足下列条件之一时，本集团属于在某一时段内履行履约义务；否则，属于在某一时点履行履约义务：</w:t>
              </w:r>
            </w:p>
            <w:p w14:paraId="7D27B4F7" w14:textId="4FEA3300"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1.客户在本集团履约的同时即取得并消耗本集团履约所带来的经济利益。</w:t>
              </w:r>
            </w:p>
            <w:p w14:paraId="77565A71" w14:textId="66B3693B"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2.客户能够控制本集团履约过程中在建的商品。</w:t>
              </w:r>
            </w:p>
            <w:p w14:paraId="46D8A4D9" w14:textId="0BD8DB4C"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3.在本集团履约过程中所产出的商品具有不可替代用途，且本集团在整个合同期间内有权就累计至今已完成的履约部分收取款项。</w:t>
              </w:r>
            </w:p>
            <w:p w14:paraId="00390628" w14:textId="77777777"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对于在某一时段内履行的履约义务，本集团在该段时间内按照履约进度确认收入，并按照完工百分比法确定履约进度。履约进度不能合理确定时，本集团已经发生的成本预计能够得到补偿的，按照已经发生的成本金额确认收入，直到履约进度能够合理确定为止。</w:t>
              </w:r>
            </w:p>
            <w:p w14:paraId="26ADE089" w14:textId="77777777"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lastRenderedPageBreak/>
                <w:t>对于在某一时点履行的履约义务，本集团在客户取得相关商品或服务控制权时点确认收入。在判断客户是否已取得商品或服务控制权时，本集团考虑下列迹象：</w:t>
              </w:r>
            </w:p>
            <w:p w14:paraId="778B9D7E" w14:textId="1961A470"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1.本集团就该商品或服务享有现时收款权利。</w:t>
              </w:r>
            </w:p>
            <w:p w14:paraId="4225DC11" w14:textId="51EE2E82"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2.本集团已将该商品的法定所有权转移给客户。</w:t>
              </w:r>
            </w:p>
            <w:p w14:paraId="4178443A" w14:textId="397B188E"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3.本集团已将该商品的实物转移给客户。</w:t>
              </w:r>
            </w:p>
            <w:p w14:paraId="3DDE4CEC" w14:textId="4269C592"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4.本集团已将该商品所有权上的主要风险和报酬转移给客户。</w:t>
              </w:r>
            </w:p>
            <w:p w14:paraId="1439CA23" w14:textId="6ECD3E8A"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5.客户已接受该商品或服务等。</w:t>
              </w:r>
            </w:p>
            <w:p w14:paraId="080C505F" w14:textId="77777777"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本集团已向客户转让商品或服务而有权收取对价的权利作为合同资产列示，合同资产以预期信用损失为基础计提减值。本集团拥有的无条件向客户收取对价的权利作为应收款项列示。本集团已收货应收客户对价而应向客户转让商品或服务的义务作为合同负债列示。</w:t>
              </w:r>
            </w:p>
            <w:p w14:paraId="5B741411" w14:textId="77777777" w:rsidR="00471D53" w:rsidRDefault="00B664AF">
              <w:pPr>
                <w:rPr>
                  <w:szCs w:val="21"/>
                </w:rPr>
              </w:pPr>
            </w:p>
          </w:sdtContent>
        </w:sdt>
        <w:p w14:paraId="0CD9D9E3" w14:textId="77777777" w:rsidR="00471D53" w:rsidRDefault="00B664AF"/>
      </w:sdtContent>
    </w:sdt>
    <w:bookmarkEnd w:id="98" w:displacedByCustomXml="prev"/>
    <w:bookmarkStart w:id="99" w:name="_Hlk10465594" w:displacedByCustomXml="next"/>
    <w:sdt>
      <w:sdtPr>
        <w:rPr>
          <w:rFonts w:ascii="宋体" w:hAnsi="宋体" w:cs="宋体" w:hint="eastAsia"/>
          <w:b w:val="0"/>
          <w:bCs w:val="0"/>
          <w:kern w:val="0"/>
          <w:szCs w:val="21"/>
        </w:rPr>
        <w:alias w:val="模块:同类业务采用不同经营模式导致收入确认会计政策存在差异的情况"/>
        <w:tag w:val="_SEC_d90e7184f27046ff9caab68c045539c7"/>
        <w:id w:val="1596438719"/>
        <w:lock w:val="sdtLocked"/>
        <w:placeholder>
          <w:docPart w:val="GBC22222222222222222222222222222"/>
        </w:placeholder>
      </w:sdtPr>
      <w:sdtEndPr>
        <w:rPr>
          <w:rFonts w:hint="default"/>
        </w:rPr>
      </w:sdtEndPr>
      <w:sdtContent>
        <w:p w14:paraId="4E4EC159" w14:textId="77777777" w:rsidR="00471D53" w:rsidRDefault="004F686E" w:rsidP="004F686E">
          <w:pPr>
            <w:pStyle w:val="afffff8"/>
            <w:numPr>
              <w:ilvl w:val="3"/>
              <w:numId w:val="50"/>
            </w:numPr>
            <w:ind w:left="426" w:hanging="426"/>
            <w:rPr>
              <w:rFonts w:ascii="宋体" w:hAnsi="宋体"/>
              <w:szCs w:val="21"/>
            </w:rPr>
          </w:pPr>
          <w:r>
            <w:rPr>
              <w:rFonts w:ascii="宋体" w:hAnsi="宋体" w:hint="eastAsia"/>
              <w:szCs w:val="21"/>
            </w:rPr>
            <w:t>同类业务采用不同经营模式导致收入确认会计政策存在差异的情况</w:t>
          </w:r>
        </w:p>
        <w:sdt>
          <w:sdtPr>
            <w:rPr>
              <w:szCs w:val="21"/>
            </w:rPr>
            <w:alias w:val="是否适用：同类业务采用不同经营模式导致收入确认会计政策存在差异的情况[双击切换]"/>
            <w:tag w:val="_GBC_f4f4337356c44180a833322bec4248a8"/>
            <w:id w:val="1913127607"/>
            <w:lock w:val="sdtLocked"/>
            <w:placeholder>
              <w:docPart w:val="GBC22222222222222222222222222222"/>
            </w:placeholder>
          </w:sdtPr>
          <w:sdtEndPr/>
          <w:sdtContent>
            <w:p w14:paraId="3E5C478D" w14:textId="77777777" w:rsidR="00471D53" w:rsidRDefault="004F686E" w:rsidP="00471D5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5E2D9E66" w14:textId="77777777" w:rsidR="00471D53" w:rsidRDefault="00B664AF">
          <w:pPr>
            <w:rPr>
              <w:szCs w:val="21"/>
            </w:rPr>
          </w:pPr>
        </w:p>
      </w:sdtContent>
    </w:sdt>
    <w:bookmarkEnd w:id="99" w:displacedByCustomXml="prev"/>
    <w:bookmarkStart w:id="100" w:name="_Hlk10465679" w:displacedByCustomXml="next"/>
    <w:sdt>
      <w:sdtPr>
        <w:rPr>
          <w:rFonts w:ascii="宋体" w:hAnsi="宋体" w:cs="宋体" w:hint="eastAsia"/>
          <w:b w:val="0"/>
          <w:bCs w:val="0"/>
          <w:kern w:val="0"/>
          <w:szCs w:val="21"/>
        </w:rPr>
        <w:alias w:val="模块:合同成本"/>
        <w:tag w:val="_SEC_1a8f2a657b9d471d80373f3b25cb1dfe"/>
        <w:id w:val="-1559776457"/>
        <w:lock w:val="sdtLocked"/>
        <w:placeholder>
          <w:docPart w:val="GBC22222222222222222222222222222"/>
        </w:placeholder>
      </w:sdtPr>
      <w:sdtEndPr>
        <w:rPr>
          <w:rFonts w:hint="default"/>
        </w:rPr>
      </w:sdtEndPr>
      <w:sdtContent>
        <w:p w14:paraId="60EAA65D" w14:textId="77777777" w:rsidR="00471D53" w:rsidRDefault="004F686E" w:rsidP="004F686E">
          <w:pPr>
            <w:pStyle w:val="afffff7"/>
            <w:numPr>
              <w:ilvl w:val="0"/>
              <w:numId w:val="44"/>
            </w:numPr>
            <w:rPr>
              <w:rFonts w:ascii="宋体" w:hAnsi="宋体"/>
              <w:szCs w:val="21"/>
            </w:rPr>
          </w:pPr>
          <w:r>
            <w:rPr>
              <w:rFonts w:ascii="宋体" w:hAnsi="宋体" w:hint="eastAsia"/>
              <w:szCs w:val="21"/>
            </w:rPr>
            <w:t>合同成本</w:t>
          </w:r>
        </w:p>
        <w:sdt>
          <w:sdtPr>
            <w:alias w:val="是否适用：合同成本_重要会计政策和估计[双击切换]"/>
            <w:tag w:val="_GBC_d7752b20e4914f04bf87bad019929fe8"/>
            <w:id w:val="-466901529"/>
            <w:lock w:val="sdtLocked"/>
            <w:placeholder>
              <w:docPart w:val="GBC22222222222222222222222222222"/>
            </w:placeholder>
          </w:sdtPr>
          <w:sdtEndPr/>
          <w:sdtContent>
            <w:p w14:paraId="24FD1B86"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合同成本_重要会计政策和估计"/>
            <w:tag w:val="_GBC_6936a4a013d94bae8da35405dbef11fd"/>
            <w:id w:val="-311256908"/>
            <w:lock w:val="sdtLocked"/>
            <w:placeholder>
              <w:docPart w:val="GBC22222222222222222222222222222"/>
            </w:placeholder>
          </w:sdtPr>
          <w:sdtEndPr/>
          <w:sdtContent>
            <w:p w14:paraId="6DF3FC44" w14:textId="77777777" w:rsidR="00471D53" w:rsidRDefault="004F686E" w:rsidP="004F686E">
              <w:pPr>
                <w:numPr>
                  <w:ilvl w:val="0"/>
                  <w:numId w:val="51"/>
                </w:numPr>
                <w:spacing w:beforeLines="50" w:before="120" w:afterLines="50" w:after="120" w:line="360" w:lineRule="exact"/>
                <w:ind w:left="0" w:firstLineChars="200" w:firstLine="420"/>
                <w:jc w:val="both"/>
                <w:rPr>
                  <w:sz w:val="22"/>
                  <w:szCs w:val="22"/>
                </w:rPr>
              </w:pPr>
              <w:r>
                <w:rPr>
                  <w:rFonts w:hint="eastAsia"/>
                  <w:sz w:val="22"/>
                  <w:szCs w:val="22"/>
                </w:rPr>
                <w:t>与合同成本有关的资产金额的确定方法</w:t>
              </w:r>
            </w:p>
            <w:p w14:paraId="4421B783"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本集团与合同成本有关的资产包括合同履约成本和合同取得成本。</w:t>
              </w:r>
            </w:p>
            <w:p w14:paraId="5C89EB57"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合同履约成本，即本集团为履行合同发生的成本，不属于其他企业会计准则规范范围且同时满足下列条件的，作为合同履约成本确认为一项资产：该成本与一份当前或预期取得的合同直接相关，包括直接人工、直接材料、制造费用（或类似费用）、明确由客户承担的成本以及仅因该合同而发生的其他成本；该成本增加了本集团未来用于履行履约义务的资源；该成本预期能够收回。</w:t>
              </w:r>
            </w:p>
            <w:p w14:paraId="32163EC6"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合同取得成本，即本集团为取得合同发生的增量成本预期能够收回的，作为合同取得成本确认为一项资产；该资产摊销期限不超过一年的，在发生时计入当期损益。增量成本，是指本集团不取得合同就不会发生的成本（如销售佣金等）。本集团为取得合同发生的、除预期能够收回的增量成本之外的其他支出（如无论是否取得合同均会发生的差旅费等），在发生时计入当期损益，但是，明确由客户承担的除外。</w:t>
              </w:r>
            </w:p>
            <w:p w14:paraId="1A73076D" w14:textId="77777777" w:rsidR="00471D53" w:rsidRDefault="004F686E" w:rsidP="004F686E">
              <w:pPr>
                <w:numPr>
                  <w:ilvl w:val="0"/>
                  <w:numId w:val="51"/>
                </w:numPr>
                <w:spacing w:beforeLines="50" w:before="120" w:afterLines="50" w:after="120" w:line="360" w:lineRule="exact"/>
                <w:ind w:left="0" w:firstLineChars="200" w:firstLine="440"/>
                <w:jc w:val="both"/>
                <w:rPr>
                  <w:sz w:val="22"/>
                  <w:szCs w:val="22"/>
                </w:rPr>
              </w:pPr>
              <w:r>
                <w:rPr>
                  <w:rFonts w:hint="eastAsia"/>
                  <w:sz w:val="22"/>
                  <w:szCs w:val="22"/>
                </w:rPr>
                <w:t>与合同成本有关的资产的摊销</w:t>
              </w:r>
            </w:p>
            <w:p w14:paraId="49F09DBD"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本集团与合同成本有关的资产采用与该资产相关的商品收入确认相同的基础进行摊销，计入当期损益。</w:t>
              </w:r>
            </w:p>
            <w:p w14:paraId="2EE03DE4" w14:textId="77777777" w:rsidR="00471D53" w:rsidRDefault="004F686E" w:rsidP="004F686E">
              <w:pPr>
                <w:numPr>
                  <w:ilvl w:val="0"/>
                  <w:numId w:val="51"/>
                </w:numPr>
                <w:spacing w:beforeLines="50" w:before="120" w:afterLines="50" w:after="120" w:line="360" w:lineRule="exact"/>
                <w:ind w:left="0" w:firstLineChars="200" w:firstLine="440"/>
                <w:jc w:val="both"/>
                <w:rPr>
                  <w:sz w:val="22"/>
                  <w:szCs w:val="22"/>
                </w:rPr>
              </w:pPr>
              <w:r>
                <w:rPr>
                  <w:rFonts w:hint="eastAsia"/>
                  <w:sz w:val="22"/>
                  <w:szCs w:val="22"/>
                </w:rPr>
                <w:t>与合同成本有关的资产的减值</w:t>
              </w:r>
            </w:p>
            <w:p w14:paraId="6BB332AF"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lastRenderedPageBreak/>
                <w:t>本集团在确定与合同成本有关的资产的减值损失时，首先对按照其他相关企业会计准则确认的、与合同有关的其他资产确定减值损失；然后根据其账面价值高于本集团因转让与该资产相关的商品预期能够取得的剩余对价以及为转让该相关商品估计将要发生的成本这两项差额的，超出部分应当计提减值准备，并确认为资产减值损失。</w:t>
              </w:r>
            </w:p>
            <w:p w14:paraId="54AC6221"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以前期间减值的因素之后发生变化，使得前述差额高于该资产账面价值的，转回原已计提的资产减值准备，并计入当期损益，但转回后的资产账面价值不应超过假定不计提减值准备情况下该资产在转回日的账面价值。</w:t>
              </w:r>
            </w:p>
            <w:p w14:paraId="743D5DE2" w14:textId="77777777" w:rsidR="00471D53" w:rsidRDefault="00B664AF"/>
          </w:sdtContent>
        </w:sdt>
        <w:p w14:paraId="1310A353" w14:textId="77777777" w:rsidR="00471D53" w:rsidRDefault="00B664AF">
          <w:pPr>
            <w:rPr>
              <w:szCs w:val="21"/>
            </w:rPr>
          </w:pPr>
        </w:p>
      </w:sdtContent>
    </w:sdt>
    <w:bookmarkEnd w:id="100" w:displacedByCustomXml="prev"/>
    <w:bookmarkStart w:id="101" w:name="_Hlk10465775" w:displacedByCustomXml="next"/>
    <w:sdt>
      <w:sdtPr>
        <w:rPr>
          <w:rFonts w:ascii="宋体" w:hAnsi="宋体" w:cs="宋体"/>
          <w:b w:val="0"/>
          <w:bCs w:val="0"/>
          <w:kern w:val="0"/>
          <w:szCs w:val="24"/>
        </w:rPr>
        <w:alias w:val="模块:政府补助会计处理方法"/>
        <w:tag w:val="_GBC_b03bd816e50b42ae97b660897ca33234"/>
        <w:id w:val="-204565349"/>
        <w:lock w:val="sdtLocked"/>
        <w:placeholder>
          <w:docPart w:val="GBC22222222222222222222222222222"/>
        </w:placeholder>
      </w:sdtPr>
      <w:sdtEndPr>
        <w:rPr>
          <w:b/>
          <w:bCs/>
          <w:szCs w:val="21"/>
        </w:rPr>
      </w:sdtEndPr>
      <w:sdtContent>
        <w:p w14:paraId="4C66F9C8" w14:textId="77777777" w:rsidR="00471D53" w:rsidRDefault="004F686E" w:rsidP="004F686E">
          <w:pPr>
            <w:pStyle w:val="afffff7"/>
            <w:numPr>
              <w:ilvl w:val="0"/>
              <w:numId w:val="44"/>
            </w:numPr>
            <w:rPr>
              <w:rFonts w:ascii="宋体" w:hAnsi="宋体"/>
            </w:rPr>
          </w:pPr>
          <w:r>
            <w:rPr>
              <w:rFonts w:ascii="宋体" w:hAnsi="宋体"/>
            </w:rPr>
            <w:t>政府补助</w:t>
          </w:r>
        </w:p>
        <w:sdt>
          <w:sdtPr>
            <w:alias w:val="是否适用：政府补助_重要会计政策和估计[双击切换]"/>
            <w:tag w:val="_GBC_09d5ec3540ea4d9a8e10c93326c490a0"/>
            <w:id w:val="-1753188275"/>
            <w:lock w:val="sdtLocked"/>
            <w:placeholder>
              <w:docPart w:val="GBC22222222222222222222222222222"/>
            </w:placeholder>
          </w:sdtPr>
          <w:sdtEndPr/>
          <w:sdtContent>
            <w:p w14:paraId="25893FB0"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政府补助_重要会计政策和估计"/>
            <w:tag w:val="_GBC_f313a7b8b81b4ed0845a3af1ac57e5e8"/>
            <w:id w:val="1837266931"/>
            <w:lock w:val="sdtLocked"/>
            <w:placeholder>
              <w:docPart w:val="GBC22222222222222222222222222222"/>
            </w:placeholder>
          </w:sdtPr>
          <w:sdtEndPr/>
          <w:sdtContent>
            <w:p w14:paraId="5721CA6A" w14:textId="77777777" w:rsidR="00471D53" w:rsidRDefault="004F686E" w:rsidP="00471D53">
              <w:pPr>
                <w:spacing w:beforeLines="50" w:before="120" w:afterLines="50" w:after="120" w:line="360" w:lineRule="exact"/>
                <w:ind w:firstLineChars="200" w:firstLine="420"/>
                <w:jc w:val="both"/>
                <w:rPr>
                  <w:bCs/>
                  <w:sz w:val="22"/>
                  <w:szCs w:val="22"/>
                </w:rPr>
              </w:pPr>
              <w:r>
                <w:rPr>
                  <w:rFonts w:hint="eastAsia"/>
                  <w:bCs/>
                  <w:sz w:val="22"/>
                  <w:szCs w:val="22"/>
                </w:rPr>
                <w:t>本集团的政府补助包括与资产相关的政府补助和与收益相关的政府补助。其中，与资产相关的政府补助，是指本集团取得的、用于购建或以其他方式形成长期资产的政府补助；与收益相关的政府补助，是指除与资产相关的政府补助之外的政府补助。如果政府文件中未明确规定补助对象，本集团按照上述区分原则进行判断，难以区分的，整体归类为与收益相关的政府补助。</w:t>
              </w:r>
            </w:p>
            <w:p w14:paraId="465F2637" w14:textId="77777777"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政府补助为货币性资产的，按照实际收到的金额计量，对于按照固定的定额标准拨付的补助，或对年末有确凿证据表明能够符合财政扶持政策规定的相关条件且预计能够收到财政扶持资金时，按照应收的金额计量；政府补助为非货币性资产的，按照公允价值计量，公允价值不能可靠取得的，按照名义金额</w:t>
              </w:r>
              <w:r>
                <w:rPr>
                  <w:bCs/>
                  <w:sz w:val="22"/>
                  <w:szCs w:val="22"/>
                </w:rPr>
                <w:t>(</w:t>
              </w:r>
              <w:r>
                <w:rPr>
                  <w:rFonts w:hint="eastAsia"/>
                  <w:bCs/>
                  <w:sz w:val="22"/>
                  <w:szCs w:val="22"/>
                </w:rPr>
                <w:t>1元</w:t>
              </w:r>
              <w:r>
                <w:rPr>
                  <w:bCs/>
                  <w:sz w:val="22"/>
                  <w:szCs w:val="22"/>
                </w:rPr>
                <w:t>)</w:t>
              </w:r>
              <w:r>
                <w:rPr>
                  <w:rFonts w:hint="eastAsia"/>
                  <w:bCs/>
                  <w:sz w:val="22"/>
                  <w:szCs w:val="22"/>
                </w:rPr>
                <w:t>计量。</w:t>
              </w:r>
            </w:p>
            <w:p w14:paraId="4B49E06D" w14:textId="77777777"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与资产相关的政府补助确认为递延收益，在相关资产使用寿命内按照合理、系统的方法分期计入当期损益。</w:t>
              </w:r>
            </w:p>
            <w:p w14:paraId="6C338445" w14:textId="77777777"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相关资产在使用寿命结束前被出售、转让、报废或发生毁损的，将尚未分配的相关递延收益余额转入资产处置当期的损益。</w:t>
              </w:r>
            </w:p>
            <w:p w14:paraId="0F6640A2" w14:textId="77777777"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与收益相关的政府补助，用于补偿已发生的相关成本费用或损失的，计入当期损益或冲减相关成本；用于补偿以后期间的相关成本费用或损失的，确认为递延收益，并在确认相关成本费用或损失的期间计入当期损益。与日常活动相关的政府补助，按照经济业务实质，计入其他收益。与日常活动无关的政府补助，计入营业外收支。</w:t>
              </w:r>
            </w:p>
            <w:p w14:paraId="60CA3A2D" w14:textId="77777777"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已确认的政府补助需要返还时，存在相关递延收益余额的，冲减相关递延收益账面余额，超出部分计入当期损益；属于其他情况的，直接计入当期损益。</w:t>
              </w:r>
            </w:p>
            <w:p w14:paraId="4926BA72" w14:textId="77777777" w:rsidR="00471D53" w:rsidRDefault="00B664AF"/>
          </w:sdtContent>
        </w:sdt>
      </w:sdtContent>
    </w:sdt>
    <w:bookmarkEnd w:id="101" w:displacedByCustomXml="prev"/>
    <w:p w14:paraId="12FE4DED" w14:textId="77777777" w:rsidR="00471D53" w:rsidRDefault="00B664AF">
      <w:pPr>
        <w:rPr>
          <w:szCs w:val="21"/>
        </w:rPr>
      </w:pPr>
    </w:p>
    <w:sdt>
      <w:sdtPr>
        <w:rPr>
          <w:rFonts w:ascii="宋体" w:hAnsi="宋体" w:cs="宋体"/>
          <w:b w:val="0"/>
          <w:bCs w:val="0"/>
          <w:kern w:val="0"/>
          <w:szCs w:val="22"/>
        </w:rPr>
        <w:alias w:val="模块:递延所得税资产/递延所得税负债会计处理方法"/>
        <w:tag w:val="_GBC_01f1973e44f24cd99b90200f8205be13"/>
        <w:id w:val="-1777936723"/>
        <w:lock w:val="sdtLocked"/>
        <w:placeholder>
          <w:docPart w:val="GBC22222222222222222222222222222"/>
        </w:placeholder>
      </w:sdtPr>
      <w:sdtEndPr>
        <w:rPr>
          <w:rFonts w:cs="Times New Roman" w:hint="eastAsia"/>
          <w:kern w:val="2"/>
          <w:szCs w:val="21"/>
        </w:rPr>
      </w:sdtEndPr>
      <w:sdtContent>
        <w:p w14:paraId="410028DB" w14:textId="77777777" w:rsidR="00471D53" w:rsidRDefault="004F686E" w:rsidP="004F686E">
          <w:pPr>
            <w:pStyle w:val="afffff7"/>
            <w:numPr>
              <w:ilvl w:val="0"/>
              <w:numId w:val="44"/>
            </w:numPr>
            <w:rPr>
              <w:rFonts w:ascii="宋体" w:hAnsi="宋体"/>
            </w:rPr>
          </w:pPr>
          <w:r>
            <w:rPr>
              <w:rFonts w:ascii="宋体" w:hAnsi="宋体"/>
            </w:rPr>
            <w:t>递延所得税资产/递延所得税负债</w:t>
          </w:r>
        </w:p>
        <w:sdt>
          <w:sdtPr>
            <w:rPr>
              <w:rFonts w:hint="eastAsia"/>
              <w:szCs w:val="21"/>
            </w:rPr>
            <w:alias w:val="是否适用：所得税的会计处理方法[双击切换]"/>
            <w:tag w:val="_GBC_3e4bb828d17944599248216201e65683"/>
            <w:id w:val="1862243735"/>
            <w:lock w:val="sdtLocked"/>
            <w:placeholder>
              <w:docPart w:val="GBC22222222222222222222222222222"/>
            </w:placeholder>
          </w:sdtPr>
          <w:sdtEndPr/>
          <w:sdtContent>
            <w:p w14:paraId="3E2C3665" w14:textId="77777777" w:rsidR="00471D53" w:rsidRDefault="004F686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所得税的会计处理方法"/>
            <w:tag w:val="_GBC_545dd84ed2b9458fa5e2b87aa1e1cc1c"/>
            <w:id w:val="804670175"/>
            <w:lock w:val="sdtLocked"/>
            <w:placeholder>
              <w:docPart w:val="GBC22222222222222222222222222222"/>
            </w:placeholder>
          </w:sdtPr>
          <w:sdtEndPr/>
          <w:sdtContent>
            <w:p w14:paraId="3E3074B4" w14:textId="77777777" w:rsidR="00471D53" w:rsidRDefault="004F686E" w:rsidP="00471D53">
              <w:pPr>
                <w:spacing w:beforeLines="50" w:before="120" w:afterLines="50" w:after="120" w:line="360" w:lineRule="exact"/>
                <w:ind w:firstLineChars="200" w:firstLine="420"/>
                <w:jc w:val="both"/>
                <w:rPr>
                  <w:bCs/>
                  <w:sz w:val="22"/>
                  <w:szCs w:val="22"/>
                </w:rPr>
              </w:pPr>
              <w:r>
                <w:rPr>
                  <w:rFonts w:hint="eastAsia"/>
                  <w:bCs/>
                  <w:sz w:val="22"/>
                  <w:szCs w:val="22"/>
                </w:rPr>
                <w:t>本集团递延所得税资产和递延所得税负债根据资产和负债的计税基础与其账面价值的差额</w:t>
              </w:r>
              <w:r>
                <w:rPr>
                  <w:bCs/>
                  <w:sz w:val="22"/>
                  <w:szCs w:val="22"/>
                </w:rPr>
                <w:t>(</w:t>
              </w:r>
              <w:r>
                <w:rPr>
                  <w:rFonts w:hint="eastAsia"/>
                  <w:bCs/>
                  <w:sz w:val="22"/>
                  <w:szCs w:val="22"/>
                </w:rPr>
                <w:t>暂时性差异</w:t>
              </w:r>
              <w:r>
                <w:rPr>
                  <w:bCs/>
                  <w:sz w:val="22"/>
                  <w:szCs w:val="22"/>
                </w:rPr>
                <w:t>)</w:t>
              </w:r>
              <w:r>
                <w:rPr>
                  <w:rFonts w:hint="eastAsia"/>
                  <w:bCs/>
                  <w:sz w:val="22"/>
                  <w:szCs w:val="22"/>
                </w:rPr>
                <w:t>计算确认。对于按照税法规定能够于以后年度抵减应纳税所得额的可抵扣亏</w:t>
              </w:r>
              <w:r>
                <w:rPr>
                  <w:rFonts w:hint="eastAsia"/>
                  <w:bCs/>
                  <w:sz w:val="22"/>
                  <w:szCs w:val="22"/>
                </w:rPr>
                <w:lastRenderedPageBreak/>
                <w:t>损，确认相应的递延所得税资产。对于商誉的初始确认产生的暂时性差异，不确认相应的递延所得税负债。对于既不影响会计利润也不影响应纳税所得额</w:t>
              </w:r>
              <w:r>
                <w:rPr>
                  <w:bCs/>
                  <w:sz w:val="22"/>
                  <w:szCs w:val="22"/>
                </w:rPr>
                <w:t>(</w:t>
              </w:r>
              <w:r>
                <w:rPr>
                  <w:rFonts w:hint="eastAsia"/>
                  <w:bCs/>
                  <w:sz w:val="22"/>
                  <w:szCs w:val="22"/>
                </w:rPr>
                <w:t>或可抵扣亏损</w:t>
              </w:r>
              <w:r>
                <w:rPr>
                  <w:bCs/>
                  <w:sz w:val="22"/>
                  <w:szCs w:val="22"/>
                </w:rPr>
                <w:t>)</w:t>
              </w:r>
              <w:r>
                <w:rPr>
                  <w:rFonts w:hint="eastAsia"/>
                  <w:bCs/>
                  <w:sz w:val="22"/>
                  <w:szCs w:val="22"/>
                </w:rPr>
                <w:t>的非企业合并的交易中产生的资产或负债的初始确认形成的暂时性差异，不确认相应的递延所得税资产和递延所得税负债。于资产负债表日，递延所得税资产和递延所得税负债，按照预期收回该资产或清偿该负债期间的适用税率计量。</w:t>
              </w:r>
            </w:p>
            <w:p w14:paraId="63F9F5BB" w14:textId="77777777" w:rsidR="00471D53" w:rsidRDefault="004F686E" w:rsidP="00471D53">
              <w:pPr>
                <w:rPr>
                  <w:szCs w:val="21"/>
                </w:rPr>
              </w:pPr>
              <w:r>
                <w:rPr>
                  <w:rFonts w:hint="eastAsia"/>
                  <w:bCs/>
                  <w:sz w:val="22"/>
                  <w:szCs w:val="22"/>
                </w:rPr>
                <w:t>本集团以很可能取得用来抵扣可抵扣暂时性差异、可抵扣亏损和税款抵减的未来应纳税所得额为限，确认递延所得税资产。</w:t>
              </w:r>
            </w:p>
          </w:sdtContent>
        </w:sdt>
      </w:sdtContent>
    </w:sdt>
    <w:p w14:paraId="5A71F07F" w14:textId="77777777" w:rsidR="00471D53" w:rsidRDefault="00B664AF">
      <w:pPr>
        <w:rPr>
          <w:szCs w:val="21"/>
        </w:rPr>
      </w:pPr>
    </w:p>
    <w:sdt>
      <w:sdtPr>
        <w:rPr>
          <w:rFonts w:ascii="宋体" w:hAnsi="宋体" w:cs="宋体"/>
          <w:b w:val="0"/>
          <w:bCs w:val="0"/>
          <w:kern w:val="0"/>
          <w:szCs w:val="24"/>
        </w:rPr>
        <w:alias w:val="模块:经营租赁、融资租赁会计处理方法"/>
        <w:tag w:val="_GBC_f9ff4c1b9d1748b8854889b1fd9b076c"/>
        <w:id w:val="342054467"/>
        <w:lock w:val="sdtLocked"/>
        <w:placeholder>
          <w:docPart w:val="GBC22222222222222222222222222222"/>
        </w:placeholder>
      </w:sdtPr>
      <w:sdtEndPr>
        <w:rPr>
          <w:rFonts w:hint="eastAsia"/>
          <w:szCs w:val="21"/>
        </w:rPr>
      </w:sdtEndPr>
      <w:sdtContent>
        <w:p w14:paraId="602419EB" w14:textId="77777777" w:rsidR="00471D53" w:rsidRDefault="004F686E" w:rsidP="004F686E">
          <w:pPr>
            <w:pStyle w:val="afffff7"/>
            <w:numPr>
              <w:ilvl w:val="0"/>
              <w:numId w:val="44"/>
            </w:numPr>
            <w:rPr>
              <w:rFonts w:ascii="宋体" w:hAnsi="宋体"/>
            </w:rPr>
          </w:pPr>
          <w:r>
            <w:rPr>
              <w:rFonts w:ascii="宋体" w:hAnsi="宋体"/>
            </w:rPr>
            <w:t>租赁</w:t>
          </w:r>
        </w:p>
        <w:p w14:paraId="640327C8" w14:textId="77777777" w:rsidR="00471D53" w:rsidRDefault="004F686E" w:rsidP="004F686E">
          <w:pPr>
            <w:pStyle w:val="afffff8"/>
            <w:numPr>
              <w:ilvl w:val="3"/>
              <w:numId w:val="52"/>
            </w:numPr>
            <w:ind w:left="426" w:hanging="426"/>
            <w:rPr>
              <w:rFonts w:ascii="宋体" w:hAnsi="宋体"/>
            </w:rPr>
          </w:pPr>
          <w:r>
            <w:rPr>
              <w:rFonts w:ascii="宋体" w:hAnsi="宋体" w:hint="eastAsia"/>
            </w:rPr>
            <w:t>经营租赁的会计处理方法</w:t>
          </w:r>
        </w:p>
        <w:sdt>
          <w:sdtPr>
            <w:alias w:val="是否适用：经营租赁的会计处理方法[双击切换]"/>
            <w:tag w:val="_GBC_e2074b0f384d4bba80c32083627e5bdd"/>
            <w:id w:val="100228888"/>
            <w:lock w:val="sdtLocked"/>
            <w:placeholder>
              <w:docPart w:val="GBC22222222222222222222222222222"/>
            </w:placeholder>
          </w:sdtPr>
          <w:sdtEndPr/>
          <w:sdtContent>
            <w:p w14:paraId="681A1492" w14:textId="7AE5E060"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Ansi="宋体"/>
              <w:color w:val="auto"/>
              <w:sz w:val="21"/>
              <w:szCs w:val="21"/>
            </w:rPr>
            <w:alias w:val="经营租赁的会计处理方法"/>
            <w:tag w:val="_GBC_95879bb481f644fd959d3a5843c3b06a"/>
            <w:id w:val="1632516568"/>
            <w:lock w:val="sdtLocked"/>
            <w:placeholder>
              <w:docPart w:val="GBC22222222222222222222222222222"/>
            </w:placeholder>
          </w:sdtPr>
          <w:sdtEndPr/>
          <w:sdtContent>
            <w:p w14:paraId="0837E589" w14:textId="6EFDA5B9" w:rsidR="00471D53" w:rsidRDefault="004F686E" w:rsidP="00471D53">
              <w:pPr>
                <w:pStyle w:val="afffffffff9"/>
                <w:rPr>
                  <w:sz w:val="22"/>
                  <w:szCs w:val="22"/>
                </w:rPr>
              </w:pPr>
              <w:r>
                <w:rPr>
                  <w:rFonts w:hint="eastAsia"/>
                  <w:sz w:val="22"/>
                  <w:szCs w:val="22"/>
                </w:rPr>
                <w:t>租金的处理</w:t>
              </w:r>
            </w:p>
            <w:p w14:paraId="636D7A08" w14:textId="13CB998E" w:rsidR="00471D53" w:rsidRDefault="004F686E" w:rsidP="00471D53">
              <w:pPr>
                <w:pStyle w:val="afffffffff9"/>
                <w:rPr>
                  <w:sz w:val="22"/>
                  <w:szCs w:val="22"/>
                </w:rPr>
              </w:pPr>
              <w:r>
                <w:rPr>
                  <w:rFonts w:hint="eastAsia"/>
                  <w:sz w:val="22"/>
                  <w:szCs w:val="22"/>
                </w:rPr>
                <w:t>在租赁期内各个期间，本集团采用直线法将经营租赁的租赁收款额确认为租金收入。</w:t>
              </w:r>
            </w:p>
            <w:p w14:paraId="79EF66C2" w14:textId="04CE8D12" w:rsidR="00471D53" w:rsidRDefault="004F686E" w:rsidP="00471D53">
              <w:pPr>
                <w:pStyle w:val="afffffffff9"/>
                <w:rPr>
                  <w:sz w:val="22"/>
                  <w:szCs w:val="22"/>
                </w:rPr>
              </w:pPr>
              <w:r>
                <w:rPr>
                  <w:rFonts w:hint="eastAsia"/>
                  <w:sz w:val="22"/>
                  <w:szCs w:val="22"/>
                </w:rPr>
                <w:t>提供的激励措施</w:t>
              </w:r>
            </w:p>
            <w:p w14:paraId="70462938" w14:textId="03068CA9" w:rsidR="00471D53" w:rsidRDefault="004F686E" w:rsidP="00471D53">
              <w:pPr>
                <w:pStyle w:val="afffffffff9"/>
                <w:rPr>
                  <w:sz w:val="22"/>
                  <w:szCs w:val="22"/>
                </w:rPr>
              </w:pPr>
              <w:r>
                <w:rPr>
                  <w:rFonts w:hint="eastAsia"/>
                  <w:sz w:val="22"/>
                  <w:szCs w:val="22"/>
                </w:rPr>
                <w:t>提供免租期的，本集团将租金总额在不扣除免租期的整个租赁期内，按直线法进行分配，免租期内应当确认租金收入。本集团承担了承租人某些费用的，将该费用自租金收入总额中扣除，按扣除后的租金收入余额在租赁期内进行分配。</w:t>
              </w:r>
            </w:p>
            <w:p w14:paraId="4EA83637" w14:textId="2D4EEDD0" w:rsidR="00471D53" w:rsidRDefault="004F686E" w:rsidP="00471D53">
              <w:pPr>
                <w:pStyle w:val="afffffffff9"/>
                <w:rPr>
                  <w:sz w:val="22"/>
                  <w:szCs w:val="22"/>
                </w:rPr>
              </w:pPr>
              <w:r>
                <w:rPr>
                  <w:rFonts w:hint="eastAsia"/>
                  <w:sz w:val="22"/>
                  <w:szCs w:val="22"/>
                </w:rPr>
                <w:t>初始直接费用</w:t>
              </w:r>
            </w:p>
            <w:p w14:paraId="2634B2F9" w14:textId="480603CE" w:rsidR="00471D53" w:rsidRDefault="004F686E" w:rsidP="00471D53">
              <w:pPr>
                <w:pStyle w:val="afffffffff9"/>
                <w:rPr>
                  <w:sz w:val="22"/>
                  <w:szCs w:val="22"/>
                </w:rPr>
              </w:pPr>
              <w:r>
                <w:rPr>
                  <w:rFonts w:hint="eastAsia"/>
                  <w:sz w:val="22"/>
                  <w:szCs w:val="22"/>
                </w:rPr>
                <w:t>本集团发生的与经营租赁有关的初始直接费用应当资本化至租赁标的资产的成本，在租赁期内按照与租金收入相同的确认基础分期计入当期损益。</w:t>
              </w:r>
            </w:p>
            <w:p w14:paraId="4EC2CFE0" w14:textId="29CCCC01" w:rsidR="00471D53" w:rsidRDefault="004F686E" w:rsidP="00471D53">
              <w:pPr>
                <w:pStyle w:val="afffffffff9"/>
                <w:rPr>
                  <w:sz w:val="22"/>
                  <w:szCs w:val="22"/>
                </w:rPr>
              </w:pPr>
              <w:r>
                <w:rPr>
                  <w:rFonts w:hint="eastAsia"/>
                  <w:sz w:val="22"/>
                  <w:szCs w:val="22"/>
                </w:rPr>
                <w:t>折旧</w:t>
              </w:r>
            </w:p>
            <w:p w14:paraId="22ADA0EA" w14:textId="30BB17DC" w:rsidR="00471D53" w:rsidRDefault="004F686E" w:rsidP="00471D53">
              <w:pPr>
                <w:pStyle w:val="afffffffff9"/>
                <w:rPr>
                  <w:sz w:val="22"/>
                  <w:szCs w:val="22"/>
                </w:rPr>
              </w:pPr>
              <w:r>
                <w:rPr>
                  <w:rFonts w:hint="eastAsia"/>
                  <w:sz w:val="22"/>
                  <w:szCs w:val="22"/>
                </w:rPr>
                <w:t>对于经营租赁资产中的固定资产，本集团采用类似资产的折旧政策计提折旧；对于其他经营租赁资产，采用系统合理的方法进行摊销。</w:t>
              </w:r>
            </w:p>
            <w:p w14:paraId="7A02F0FE" w14:textId="148F1011" w:rsidR="00471D53" w:rsidRDefault="004F686E" w:rsidP="00471D53">
              <w:pPr>
                <w:pStyle w:val="afffffffff9"/>
                <w:rPr>
                  <w:sz w:val="22"/>
                  <w:szCs w:val="22"/>
                </w:rPr>
              </w:pPr>
              <w:r>
                <w:rPr>
                  <w:rFonts w:hint="eastAsia"/>
                  <w:sz w:val="22"/>
                  <w:szCs w:val="22"/>
                </w:rPr>
                <w:t>可变租赁付款额</w:t>
              </w:r>
            </w:p>
            <w:p w14:paraId="5DE4451F" w14:textId="4F68180B" w:rsidR="00471D53" w:rsidRDefault="004F686E" w:rsidP="00471D53">
              <w:pPr>
                <w:pStyle w:val="afffffffff9"/>
                <w:rPr>
                  <w:sz w:val="22"/>
                  <w:szCs w:val="22"/>
                </w:rPr>
              </w:pPr>
              <w:r>
                <w:rPr>
                  <w:rFonts w:hint="eastAsia"/>
                  <w:sz w:val="22"/>
                  <w:szCs w:val="22"/>
                </w:rPr>
                <w:t>本集团取得的与经营租赁有关的未计入租赁收款额的可变租赁付款额</w:t>
              </w:r>
              <w:r>
                <w:rPr>
                  <w:sz w:val="22"/>
                  <w:szCs w:val="22"/>
                </w:rPr>
                <w:t>,</w:t>
              </w:r>
              <w:r>
                <w:rPr>
                  <w:rFonts w:hint="eastAsia"/>
                  <w:sz w:val="22"/>
                  <w:szCs w:val="22"/>
                </w:rPr>
                <w:t>在实际发生时计入当期损益。</w:t>
              </w:r>
            </w:p>
            <w:p w14:paraId="193C920D" w14:textId="676F3CDA" w:rsidR="00471D53" w:rsidRDefault="004F686E" w:rsidP="00471D53">
              <w:pPr>
                <w:pStyle w:val="afffffffff9"/>
                <w:rPr>
                  <w:sz w:val="22"/>
                  <w:szCs w:val="22"/>
                </w:rPr>
              </w:pPr>
              <w:r>
                <w:rPr>
                  <w:rFonts w:hint="eastAsia"/>
                  <w:sz w:val="22"/>
                  <w:szCs w:val="22"/>
                </w:rPr>
                <w:t>经营租赁的变更</w:t>
              </w:r>
            </w:p>
            <w:p w14:paraId="43BBC3C1" w14:textId="77777777" w:rsidR="00471D53" w:rsidRDefault="004F686E" w:rsidP="00471D53">
              <w:pPr>
                <w:rPr>
                  <w:szCs w:val="21"/>
                </w:rPr>
              </w:pPr>
              <w:r>
                <w:rPr>
                  <w:rFonts w:hint="eastAsia"/>
                  <w:sz w:val="22"/>
                  <w:szCs w:val="22"/>
                </w:rPr>
                <w:t>经营租赁发生变更的，本集团自变更生效日开始，将其作为一项新的租赁进行会计处理，与变更前租赁有关的预收或应收租赁收款额视为新租赁的收款额。</w:t>
              </w:r>
            </w:p>
          </w:sdtContent>
        </w:sdt>
        <w:p w14:paraId="45564985" w14:textId="77777777" w:rsidR="00471D53" w:rsidRDefault="00B664AF">
          <w:pPr>
            <w:rPr>
              <w:szCs w:val="21"/>
            </w:rPr>
          </w:pPr>
        </w:p>
        <w:p w14:paraId="1A4F40B8" w14:textId="77777777" w:rsidR="00471D53" w:rsidRDefault="004F686E" w:rsidP="004F686E">
          <w:pPr>
            <w:pStyle w:val="afffff8"/>
            <w:numPr>
              <w:ilvl w:val="3"/>
              <w:numId w:val="52"/>
            </w:numPr>
            <w:ind w:left="426" w:hanging="426"/>
            <w:rPr>
              <w:rFonts w:ascii="宋体" w:hAnsi="宋体"/>
            </w:rPr>
          </w:pPr>
          <w:r>
            <w:rPr>
              <w:rFonts w:ascii="宋体" w:hAnsi="宋体" w:hint="eastAsia"/>
            </w:rPr>
            <w:t>融资租赁的会计处理方法</w:t>
          </w:r>
        </w:p>
        <w:sdt>
          <w:sdtPr>
            <w:rPr>
              <w:rFonts w:hint="eastAsia"/>
              <w:szCs w:val="21"/>
            </w:rPr>
            <w:alias w:val="是否适用：融资租赁的会计处理方法[双击切换]"/>
            <w:tag w:val="_GBC_e6743f781bfc4763acf7f9821c740304"/>
            <w:id w:val="1428621320"/>
            <w:lock w:val="sdtLocked"/>
            <w:placeholder>
              <w:docPart w:val="GBC22222222222222222222222222222"/>
            </w:placeholder>
          </w:sdtPr>
          <w:sdtEndPr/>
          <w:sdtContent>
            <w:p w14:paraId="6D729EAB" w14:textId="77777777" w:rsidR="00471D53" w:rsidRDefault="004F686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Ansi="宋体"/>
              <w:color w:val="auto"/>
              <w:sz w:val="21"/>
              <w:szCs w:val="21"/>
            </w:rPr>
            <w:alias w:val="融资租赁的会计处理方法"/>
            <w:tag w:val="_GBC_b569fbdb600447ad8fef8d88dedd81cc"/>
            <w:id w:val="1381981300"/>
            <w:lock w:val="sdtLocked"/>
            <w:placeholder>
              <w:docPart w:val="GBC22222222222222222222222222222"/>
            </w:placeholder>
          </w:sdtPr>
          <w:sdtEndPr/>
          <w:sdtContent>
            <w:p w14:paraId="2FD49CF9" w14:textId="317E75C0" w:rsidR="00471D53" w:rsidRDefault="004F686E" w:rsidP="00471D53">
              <w:pPr>
                <w:pStyle w:val="afffffffff9"/>
                <w:rPr>
                  <w:sz w:val="22"/>
                  <w:szCs w:val="22"/>
                </w:rPr>
              </w:pPr>
              <w:r>
                <w:rPr>
                  <w:rFonts w:hint="eastAsia"/>
                  <w:sz w:val="22"/>
                  <w:szCs w:val="22"/>
                </w:rPr>
                <w:t>初始计量</w:t>
              </w:r>
            </w:p>
            <w:p w14:paraId="0A96CA76" w14:textId="5B781892" w:rsidR="00471D53" w:rsidRDefault="004F686E" w:rsidP="00471D53">
              <w:pPr>
                <w:pStyle w:val="afffffffff9"/>
                <w:rPr>
                  <w:sz w:val="22"/>
                  <w:szCs w:val="22"/>
                </w:rPr>
              </w:pPr>
              <w:r>
                <w:rPr>
                  <w:rFonts w:hint="eastAsia"/>
                  <w:sz w:val="22"/>
                  <w:szCs w:val="22"/>
                </w:rPr>
                <w:t>在租赁期开始日，本集团对融资租赁确认应收融资租赁款，并终止确认融资租赁资产。本集团对应收融资租赁款进行初始计量时，以租赁投资净额作为应收融资租赁款的入账价值。</w:t>
              </w:r>
            </w:p>
            <w:p w14:paraId="55E1C7B7" w14:textId="2953805E" w:rsidR="00471D53" w:rsidRDefault="004F686E" w:rsidP="00471D53">
              <w:pPr>
                <w:pStyle w:val="afffffffff9"/>
                <w:rPr>
                  <w:sz w:val="22"/>
                  <w:szCs w:val="22"/>
                </w:rPr>
              </w:pPr>
              <w:r>
                <w:rPr>
                  <w:rFonts w:hint="eastAsia"/>
                  <w:sz w:val="22"/>
                  <w:szCs w:val="22"/>
                </w:rPr>
                <w:t>租赁投资净额为未担保余值和租赁期开始日尚未收到的租赁收款额按照租赁内含利率折现的现值之和。租赁收款额，是指出租人因让渡在租赁期内使用租赁资产的权利而应向承租人收取的款项，包括：①承租人需支付的固定付款额及实质固定付款额；存在租赁激励的，扣除租赁激励相关金额；②取决于指数或比率的可变租赁付款额，该款项在初始计量时根据租赁期开始日的指数或比率确定；③购买选择权的行权价格，前提是合理确定承租人将行使该选择权；④承租人行使终止租赁选择权需支付的款项，前提是租赁期反映出承租人将行使终止租赁选择权；⑤由承租人、与承租人有关的一方以及有经济能力履行担保义务的独立第三方向出租人提供的担保余值。</w:t>
              </w:r>
            </w:p>
            <w:p w14:paraId="51B78FD2" w14:textId="03705C23" w:rsidR="00471D53" w:rsidRDefault="004F686E" w:rsidP="00471D53">
              <w:pPr>
                <w:pStyle w:val="afffffffff9"/>
                <w:rPr>
                  <w:sz w:val="22"/>
                  <w:szCs w:val="22"/>
                </w:rPr>
              </w:pPr>
              <w:r>
                <w:rPr>
                  <w:rFonts w:hint="eastAsia"/>
                  <w:sz w:val="22"/>
                  <w:szCs w:val="22"/>
                </w:rPr>
                <w:t>后续计量</w:t>
              </w:r>
            </w:p>
            <w:p w14:paraId="0A154B0D" w14:textId="088B50DB" w:rsidR="00471D53" w:rsidRDefault="004F686E" w:rsidP="00471D53">
              <w:pPr>
                <w:pStyle w:val="afffffffff9"/>
                <w:rPr>
                  <w:sz w:val="22"/>
                  <w:szCs w:val="22"/>
                </w:rPr>
              </w:pPr>
              <w:r>
                <w:rPr>
                  <w:rFonts w:hint="eastAsia"/>
                  <w:sz w:val="22"/>
                  <w:szCs w:val="22"/>
                </w:rPr>
                <w:t>本集团按照固定的周期性利率计算并确认租赁期内各个期间的利息收入。该周期性利率，是指确定租赁投资净额采用内含折现率（转租情况下，若转租的租赁内含利率无法确定，采用</w:t>
              </w:r>
              <w:r>
                <w:rPr>
                  <w:rFonts w:hint="eastAsia"/>
                  <w:sz w:val="22"/>
                  <w:szCs w:val="22"/>
                </w:rPr>
                <w:lastRenderedPageBreak/>
                <w:t>原租赁的折现率（根据与转租有关的初始直接费用进行调整）），或者融资租赁的变更未作为一项单独租赁进行会计处理，且满足假如变更在租赁开始日生效，该租赁会被分类为融资租赁条件时按相关规定确定的修订后的折现率。</w:t>
              </w:r>
            </w:p>
            <w:p w14:paraId="6DECEA71" w14:textId="77777777" w:rsidR="00471D53" w:rsidRDefault="004F686E" w:rsidP="00471D53">
              <w:pPr>
                <w:rPr>
                  <w:sz w:val="22"/>
                  <w:szCs w:val="22"/>
                </w:rPr>
              </w:pPr>
              <w:r>
                <w:rPr>
                  <w:rFonts w:hint="eastAsia"/>
                  <w:sz w:val="22"/>
                  <w:szCs w:val="22"/>
                </w:rPr>
                <w:t>租赁变更的会计处理</w:t>
              </w:r>
            </w:p>
            <w:p w14:paraId="34EADE26" w14:textId="63A9A67E" w:rsidR="00471D53" w:rsidRDefault="004F686E" w:rsidP="00471D53">
              <w:pPr>
                <w:pStyle w:val="afffffffff9"/>
                <w:rPr>
                  <w:sz w:val="22"/>
                  <w:szCs w:val="22"/>
                </w:rPr>
              </w:pPr>
              <w:r>
                <w:rPr>
                  <w:rFonts w:hint="eastAsia"/>
                  <w:sz w:val="22"/>
                  <w:szCs w:val="22"/>
                </w:rPr>
                <w:t>融资租赁发生变更且同时符合下列条件的，本集团将该变更作为一项单独租赁进行会计处理：①该变更通过增加一项或多项租赁资产的使用权而扩大了租赁范围；②增加的对价与租赁范围扩大部分的单独价格按该合同情况调整后的金额相当。</w:t>
              </w:r>
            </w:p>
            <w:p w14:paraId="31591D44" w14:textId="77777777" w:rsidR="00471D53" w:rsidRDefault="004F686E" w:rsidP="00471D53">
              <w:pPr>
                <w:rPr>
                  <w:szCs w:val="21"/>
                </w:rPr>
              </w:pPr>
              <w:r>
                <w:rPr>
                  <w:rFonts w:hint="eastAsia"/>
                  <w:sz w:val="22"/>
                  <w:szCs w:val="22"/>
                </w:rPr>
                <w:t>如果融资租赁的变更未作为一项单独租赁进行会计处理，且满足假如变更在租赁开始日生效，该租赁会被分类为经营租赁条件的，本集团自租赁变更生效日开始将其作为一项新租赁进行会计处理，并以租赁变更生效日前的租赁投资净额作为租赁资产的账面价值。</w:t>
              </w:r>
            </w:p>
          </w:sdtContent>
        </w:sdt>
      </w:sdtContent>
    </w:sdt>
    <w:p w14:paraId="43E30035" w14:textId="77777777" w:rsidR="00471D53" w:rsidRDefault="00B664AF">
      <w:pPr>
        <w:rPr>
          <w:szCs w:val="21"/>
        </w:rPr>
      </w:pPr>
    </w:p>
    <w:bookmarkStart w:id="102" w:name="_Hlk41484250" w:displacedByCustomXml="next"/>
    <w:sdt>
      <w:sdtPr>
        <w:rPr>
          <w:rFonts w:ascii="宋体" w:hAnsi="宋体" w:cs="宋体" w:hint="eastAsia"/>
          <w:b w:val="0"/>
          <w:bCs w:val="0"/>
          <w:kern w:val="0"/>
          <w:szCs w:val="24"/>
        </w:rPr>
        <w:alias w:val="模块:新租赁准则下租赁的确定方法及会计处理方法"/>
        <w:tag w:val="_SEC_8bc58354e42542c7bbad4c16498c3080"/>
        <w:id w:val="-1217348901"/>
        <w:lock w:val="sdtLocked"/>
        <w:placeholder>
          <w:docPart w:val="GBC22222222222222222222222222222"/>
        </w:placeholder>
      </w:sdtPr>
      <w:sdtEndPr>
        <w:rPr>
          <w:szCs w:val="21"/>
        </w:rPr>
      </w:sdtEndPr>
      <w:sdtContent>
        <w:bookmarkStart w:id="103" w:name="_Hlk23952334" w:displacedByCustomXml="prev"/>
        <w:bookmarkEnd w:id="103" w:displacedByCustomXml="prev"/>
        <w:p w14:paraId="768BC758" w14:textId="77777777" w:rsidR="00471D53" w:rsidRDefault="004F686E" w:rsidP="004F686E">
          <w:pPr>
            <w:pStyle w:val="afffff8"/>
            <w:numPr>
              <w:ilvl w:val="3"/>
              <w:numId w:val="52"/>
            </w:numPr>
            <w:ind w:left="426" w:hanging="426"/>
            <w:rPr>
              <w:rFonts w:ascii="宋体" w:hAnsi="宋体"/>
            </w:rPr>
          </w:pPr>
          <w:r>
            <w:rPr>
              <w:rFonts w:ascii="宋体" w:hAnsi="宋体" w:hint="eastAsia"/>
            </w:rPr>
            <w:t>新租赁准则下租赁的确定方法及会计处理方法</w:t>
          </w:r>
        </w:p>
        <w:sdt>
          <w:sdtPr>
            <w:rPr>
              <w:szCs w:val="21"/>
            </w:rPr>
            <w:alias w:val="是否适用：新租赁准则下租赁的确定方法及会计处理方法[双击切换]"/>
            <w:tag w:val="_GBC_9214d33ec34c41b68ccb23415b029371"/>
            <w:id w:val="-1589075243"/>
            <w:lock w:val="sdtLocked"/>
            <w:placeholder>
              <w:docPart w:val="GBC22222222222222222222222222222"/>
            </w:placeholder>
          </w:sdtPr>
          <w:sdtEndPr/>
          <w:sdtContent>
            <w:p w14:paraId="6B6B6FDB" w14:textId="77777777" w:rsidR="00471D53" w:rsidRDefault="004F686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Ansi="宋体"/>
              <w:color w:val="auto"/>
              <w:sz w:val="21"/>
              <w:szCs w:val="21"/>
            </w:rPr>
            <w:alias w:val="新租赁准则下租赁的确定方法及会计处理方法的说明 "/>
            <w:tag w:val="_GBC_ccaa4235b3124a2f9a3b351187d42720"/>
            <w:id w:val="814218632"/>
            <w:lock w:val="sdtLocked"/>
            <w:placeholder>
              <w:docPart w:val="GBC22222222222222222222222222222"/>
            </w:placeholder>
          </w:sdtPr>
          <w:sdtEndPr/>
          <w:sdtContent>
            <w:p w14:paraId="0AC494B7" w14:textId="56A26A84" w:rsidR="00471D53" w:rsidRDefault="004F686E" w:rsidP="00471D53">
              <w:pPr>
                <w:pStyle w:val="afffffffff9"/>
                <w:rPr>
                  <w:sz w:val="22"/>
                  <w:szCs w:val="22"/>
                </w:rPr>
              </w:pPr>
              <w:r>
                <w:rPr>
                  <w:rFonts w:hint="eastAsia"/>
                  <w:sz w:val="22"/>
                  <w:szCs w:val="22"/>
                </w:rPr>
                <w:t>（</w:t>
              </w:r>
              <w:r>
                <w:rPr>
                  <w:sz w:val="22"/>
                  <w:szCs w:val="22"/>
                </w:rPr>
                <w:t>1</w:t>
              </w:r>
              <w:r>
                <w:rPr>
                  <w:rFonts w:hint="eastAsia"/>
                  <w:sz w:val="22"/>
                  <w:szCs w:val="22"/>
                </w:rPr>
                <w:t>）租赁的识别</w:t>
              </w:r>
            </w:p>
            <w:p w14:paraId="3289F2CB" w14:textId="2FDD3FF8" w:rsidR="00471D53" w:rsidRDefault="004F686E" w:rsidP="00471D53">
              <w:pPr>
                <w:pStyle w:val="afffffffff9"/>
                <w:rPr>
                  <w:sz w:val="22"/>
                  <w:szCs w:val="22"/>
                </w:rPr>
              </w:pPr>
              <w:r>
                <w:rPr>
                  <w:rFonts w:hint="eastAsia"/>
                  <w:sz w:val="22"/>
                  <w:szCs w:val="22"/>
                </w:rPr>
                <w:t>租赁，是指在一定期间内，出租人将资产的使用权让与承租人以获取对价的合同。在合同开始日，本集团评估合同是否为租赁或者包含租赁。如果合同一方让渡了在一定期间内控制一项或多项已识别资产使用的权利以换取对价，则该合同为租赁或者包含租赁。为确定合同是否让渡了在一定期间内控制已识别资产使用的权利，本集团评估合同中的客户是否有权获得在使用期间内因使用已识别资产所产生的几乎全部经济利益，并有权在该使用期间主导已识别资产的使用。</w:t>
              </w:r>
            </w:p>
            <w:p w14:paraId="71342611" w14:textId="55EBCF41" w:rsidR="00471D53" w:rsidRDefault="004F686E" w:rsidP="00471D53">
              <w:pPr>
                <w:pStyle w:val="afffffffff9"/>
                <w:rPr>
                  <w:sz w:val="22"/>
                  <w:szCs w:val="22"/>
                </w:rPr>
              </w:pPr>
              <w:r>
                <w:rPr>
                  <w:rFonts w:hint="eastAsia"/>
                  <w:sz w:val="22"/>
                  <w:szCs w:val="22"/>
                </w:rPr>
                <w:t>合同中同时包含多项单独租赁的，本集团将合同予以分拆，并分别各项单独租赁进行会计处理。合同中同时包含租赁和非租赁部分的，本集团将租赁和非租赁部分分拆后进行会计处理。</w:t>
              </w:r>
            </w:p>
            <w:p w14:paraId="78A54F96" w14:textId="527AD95D" w:rsidR="00471D53" w:rsidRDefault="004F686E" w:rsidP="00471D53">
              <w:pPr>
                <w:pStyle w:val="afffffffff9"/>
                <w:rPr>
                  <w:sz w:val="22"/>
                  <w:szCs w:val="22"/>
                </w:rPr>
              </w:pPr>
              <w:r>
                <w:rPr>
                  <w:rFonts w:hint="eastAsia"/>
                  <w:sz w:val="22"/>
                  <w:szCs w:val="22"/>
                </w:rPr>
                <w:t>（</w:t>
              </w:r>
              <w:r>
                <w:rPr>
                  <w:sz w:val="22"/>
                  <w:szCs w:val="22"/>
                </w:rPr>
                <w:t>2</w:t>
              </w:r>
              <w:r>
                <w:rPr>
                  <w:rFonts w:hint="eastAsia"/>
                  <w:sz w:val="22"/>
                  <w:szCs w:val="22"/>
                </w:rPr>
                <w:t>）本集团作为承租人</w:t>
              </w:r>
            </w:p>
            <w:p w14:paraId="78EB1F9B" w14:textId="4DF19C13" w:rsidR="00471D53" w:rsidRDefault="004F686E" w:rsidP="00471D53">
              <w:pPr>
                <w:rPr>
                  <w:sz w:val="22"/>
                  <w:szCs w:val="22"/>
                </w:rPr>
              </w:pPr>
              <w:r>
                <w:rPr>
                  <w:rFonts w:hint="eastAsia"/>
                  <w:sz w:val="22"/>
                  <w:szCs w:val="22"/>
                </w:rPr>
                <w:t>在租赁期开始日，本集团对租赁确认使用权资产和租赁负债。使用权资产按照成本进行初始计量，包括租赁负债的初始计量金额、在租赁期开始日或之前支付的租赁付款额</w:t>
              </w:r>
              <w:r>
                <w:rPr>
                  <w:sz w:val="22"/>
                  <w:szCs w:val="22"/>
                </w:rPr>
                <w:t>(</w:t>
              </w:r>
              <w:r>
                <w:rPr>
                  <w:rFonts w:hint="eastAsia"/>
                  <w:sz w:val="22"/>
                  <w:szCs w:val="22"/>
                </w:rPr>
                <w:t>扣除已享受的租赁激励相关金额</w:t>
              </w:r>
              <w:r>
                <w:rPr>
                  <w:sz w:val="22"/>
                  <w:szCs w:val="22"/>
                </w:rPr>
                <w:t>)</w:t>
              </w:r>
              <w:r>
                <w:rPr>
                  <w:rFonts w:hint="eastAsia"/>
                  <w:sz w:val="22"/>
                  <w:szCs w:val="22"/>
                </w:rPr>
                <w:t>，发生的初始直接费用以及为拆卸及移除租赁资产、复原租赁资产所在场地或将租赁资产恢复至租赁条款约定状态预计将发生的成本。</w:t>
              </w:r>
            </w:p>
            <w:p w14:paraId="6F286FB9" w14:textId="48FD7632" w:rsidR="00471D53" w:rsidRDefault="004F686E" w:rsidP="00471D53">
              <w:pPr>
                <w:pStyle w:val="afffffffff9"/>
                <w:rPr>
                  <w:sz w:val="22"/>
                  <w:szCs w:val="22"/>
                </w:rPr>
              </w:pPr>
              <w:r>
                <w:rPr>
                  <w:sz w:val="22"/>
                  <w:szCs w:val="22"/>
                </w:rPr>
                <w:t>1</w:t>
              </w:r>
              <w:r>
                <w:rPr>
                  <w:rFonts w:hint="eastAsia"/>
                  <w:sz w:val="22"/>
                  <w:szCs w:val="22"/>
                </w:rPr>
                <w:t>）在本集团作为承租人对租赁确认使用权资产和租赁负债。</w:t>
              </w:r>
            </w:p>
            <w:p w14:paraId="7D52F421" w14:textId="3EAC2837" w:rsidR="00471D53" w:rsidRDefault="004F686E" w:rsidP="00471D53">
              <w:pPr>
                <w:pStyle w:val="afffffffff9"/>
                <w:rPr>
                  <w:sz w:val="22"/>
                  <w:szCs w:val="22"/>
                </w:rPr>
              </w:pPr>
              <w:r>
                <w:rPr>
                  <w:sz w:val="22"/>
                  <w:szCs w:val="22"/>
                </w:rPr>
                <w:t>2</w:t>
              </w:r>
              <w:r>
                <w:rPr>
                  <w:rFonts w:hint="eastAsia"/>
                  <w:sz w:val="22"/>
                  <w:szCs w:val="22"/>
                </w:rPr>
                <w:t>）租赁变更</w:t>
              </w:r>
            </w:p>
            <w:p w14:paraId="726C93CA" w14:textId="77777777" w:rsidR="00471D53" w:rsidRDefault="004F686E" w:rsidP="00471D53">
              <w:pPr>
                <w:rPr>
                  <w:sz w:val="22"/>
                  <w:szCs w:val="22"/>
                </w:rPr>
              </w:pPr>
              <w:r>
                <w:rPr>
                  <w:rFonts w:hint="eastAsia"/>
                  <w:sz w:val="22"/>
                  <w:szCs w:val="22"/>
                </w:rPr>
                <w:t>租赁变更，是指原合同条款之外的租赁范围、租赁对价、租赁期限的变更，包括增加或终止一项或多项租赁资产的使用权，延长或缩短合同规定的租赁期等。租赁变更生效日，是指双方就租赁变更达成一致的日期。</w:t>
              </w:r>
            </w:p>
            <w:p w14:paraId="4A6EABB0" w14:textId="6D8FADD4" w:rsidR="00471D53" w:rsidRDefault="004F686E" w:rsidP="00471D53">
              <w:pPr>
                <w:pStyle w:val="afffffffff9"/>
                <w:rPr>
                  <w:sz w:val="22"/>
                  <w:szCs w:val="22"/>
                </w:rPr>
              </w:pPr>
              <w:r>
                <w:rPr>
                  <w:rFonts w:hint="eastAsia"/>
                  <w:sz w:val="22"/>
                  <w:szCs w:val="22"/>
                </w:rPr>
                <w:t>租赁发生变更且同时符合下列条件的，本集团将该租赁变更作为一项单独租赁进行会计处理：①该租赁变更通过增加一项或多项租赁资产的使用权而扩大了租赁范围；②增加的对价与租赁范围扩大部分的单独价格按该合同情况调整后的金额相当。</w:t>
              </w:r>
            </w:p>
            <w:p w14:paraId="12BD49CB" w14:textId="77777777" w:rsidR="00471D53" w:rsidRDefault="004F686E" w:rsidP="00471D53">
              <w:pPr>
                <w:rPr>
                  <w:sz w:val="22"/>
                  <w:szCs w:val="22"/>
                </w:rPr>
              </w:pPr>
              <w:r>
                <w:rPr>
                  <w:rFonts w:hint="eastAsia"/>
                  <w:sz w:val="22"/>
                  <w:szCs w:val="22"/>
                </w:rPr>
                <w:t>租赁变更未作为一项单独租赁进行会计处理的，在租赁变更生效日，本集团按照租赁准则有关规定对变更后合同的对价进行分摊，重新确定变更后的租赁期；并采用修订后的折现率对变更后的租赁付款额进行折现，以重新计量租赁负债。在计算变更后租赁付款额的现值时，本集团采用剩余租赁期间的租赁内含利率作为折现率；无法确定剩余租赁期间的租赁内含利率的，本集团采用租赁变更生效日的承租人增量借款利率作为折现率。就上述租赁负债调整的影响，本集团区分以下情形进行会计处理：①租赁变更导致租赁范围缩小或租赁期缩短的，承租人应当调减使用权资产的账面价值，并将部分终止或完全终止租赁的相关利得或损失计入当期损益。②其他租赁变更导致租赁负债重新计量的，承租人相应调整使用权资产的账面价值。</w:t>
              </w:r>
            </w:p>
            <w:p w14:paraId="02C4B5D6" w14:textId="3C0C94C7" w:rsidR="00471D53" w:rsidRDefault="004F686E" w:rsidP="00471D53">
              <w:pPr>
                <w:pStyle w:val="afffffffff9"/>
                <w:rPr>
                  <w:sz w:val="22"/>
                  <w:szCs w:val="22"/>
                </w:rPr>
              </w:pPr>
              <w:r>
                <w:rPr>
                  <w:sz w:val="22"/>
                  <w:szCs w:val="22"/>
                </w:rPr>
                <w:t>3</w:t>
              </w:r>
              <w:r>
                <w:rPr>
                  <w:rFonts w:hint="eastAsia"/>
                  <w:sz w:val="22"/>
                  <w:szCs w:val="22"/>
                </w:rPr>
                <w:t>）短期租赁和低价值资产租赁</w:t>
              </w:r>
            </w:p>
            <w:p w14:paraId="4F8071FD" w14:textId="49B46C63" w:rsidR="00471D53" w:rsidRDefault="004F686E" w:rsidP="00471D53">
              <w:pPr>
                <w:pStyle w:val="afffffffff9"/>
                <w:rPr>
                  <w:sz w:val="22"/>
                  <w:szCs w:val="22"/>
                </w:rPr>
              </w:pPr>
              <w:r>
                <w:rPr>
                  <w:rFonts w:hint="eastAsia"/>
                  <w:sz w:val="22"/>
                  <w:szCs w:val="22"/>
                </w:rPr>
                <w:t>对于租赁期不超过</w:t>
              </w:r>
              <w:r>
                <w:rPr>
                  <w:sz w:val="22"/>
                  <w:szCs w:val="22"/>
                </w:rPr>
                <w:t>12</w:t>
              </w:r>
              <w:r>
                <w:rPr>
                  <w:rFonts w:hint="eastAsia"/>
                  <w:sz w:val="22"/>
                  <w:szCs w:val="22"/>
                </w:rPr>
                <w:t>个月的短期租赁和单项租赁资产为全新资产时价值较低的低价值资产租赁，本集团选择不确认使用权资产和租赁负债。本集团将短期租赁和低价值资产租赁的租赁</w:t>
              </w:r>
              <w:r>
                <w:rPr>
                  <w:rFonts w:hint="eastAsia"/>
                  <w:sz w:val="22"/>
                  <w:szCs w:val="22"/>
                </w:rPr>
                <w:lastRenderedPageBreak/>
                <w:t>付款额，在租赁期内各个期间按照直线法或其他系统合理的方法计入相关资产成本或当期损益。</w:t>
              </w:r>
            </w:p>
            <w:p w14:paraId="0DA1C6F0" w14:textId="29AEE07E" w:rsidR="00471D53" w:rsidRDefault="004F686E" w:rsidP="00471D53">
              <w:pPr>
                <w:pStyle w:val="afffffffff9"/>
                <w:rPr>
                  <w:sz w:val="22"/>
                  <w:szCs w:val="22"/>
                </w:rPr>
              </w:pPr>
              <w:r>
                <w:rPr>
                  <w:rFonts w:hint="eastAsia"/>
                  <w:sz w:val="22"/>
                  <w:szCs w:val="22"/>
                </w:rPr>
                <w:t>（</w:t>
              </w:r>
              <w:r>
                <w:rPr>
                  <w:sz w:val="22"/>
                  <w:szCs w:val="22"/>
                </w:rPr>
                <w:t>3</w:t>
              </w:r>
              <w:r>
                <w:rPr>
                  <w:rFonts w:hint="eastAsia"/>
                  <w:sz w:val="22"/>
                  <w:szCs w:val="22"/>
                </w:rPr>
                <w:t>）本集团为出租人</w:t>
              </w:r>
            </w:p>
            <w:p w14:paraId="1259AF5F" w14:textId="77777777" w:rsidR="00471D53" w:rsidRDefault="004F686E" w:rsidP="00471D53">
              <w:pPr>
                <w:rPr>
                  <w:sz w:val="22"/>
                  <w:szCs w:val="22"/>
                </w:rPr>
              </w:pPr>
              <w:r>
                <w:rPr>
                  <w:rFonts w:hint="eastAsia"/>
                  <w:sz w:val="22"/>
                  <w:szCs w:val="22"/>
                </w:rPr>
                <w:t>在（</w:t>
              </w:r>
              <w:r>
                <w:rPr>
                  <w:sz w:val="22"/>
                  <w:szCs w:val="22"/>
                </w:rPr>
                <w:t>1</w:t>
              </w:r>
              <w:r>
                <w:rPr>
                  <w:rFonts w:hint="eastAsia"/>
                  <w:sz w:val="22"/>
                  <w:szCs w:val="22"/>
                </w:rPr>
                <w:t>）评估的该合同为租赁或包含租赁的基础上，本集团作为出租人，在租赁开始日，将租赁分为融资租赁和经营租赁。</w:t>
              </w:r>
            </w:p>
            <w:p w14:paraId="15A97C3F" w14:textId="34E70309" w:rsidR="00471D53" w:rsidRDefault="004F686E" w:rsidP="00471D53">
              <w:pPr>
                <w:pStyle w:val="afffffffff9"/>
                <w:rPr>
                  <w:sz w:val="22"/>
                  <w:szCs w:val="22"/>
                </w:rPr>
              </w:pPr>
              <w:r>
                <w:rPr>
                  <w:rFonts w:hint="eastAsia"/>
                  <w:sz w:val="22"/>
                  <w:szCs w:val="22"/>
                </w:rPr>
                <w:t>如果一项租赁实质上转移了与租赁资产所有权有关的几乎全部风险和报酬，出租人将该项租赁分类为融资租赁，除融资租赁以外的其他租赁分类为经营租赁。</w:t>
              </w:r>
            </w:p>
            <w:p w14:paraId="22104139" w14:textId="1D6C5221" w:rsidR="00471D53" w:rsidRDefault="004F686E" w:rsidP="00471D53">
              <w:pPr>
                <w:pStyle w:val="afffffffff9"/>
                <w:rPr>
                  <w:sz w:val="22"/>
                  <w:szCs w:val="22"/>
                </w:rPr>
              </w:pPr>
              <w:r>
                <w:rPr>
                  <w:rFonts w:hint="eastAsia"/>
                  <w:sz w:val="22"/>
                  <w:szCs w:val="22"/>
                </w:rPr>
                <w:t>一项租赁存在下列一种或多种情形的，本集团通常将其分类为融资租赁：①在租赁期届满时，租赁资产的所有权转移给承租人；②承租人有购买租赁资产的选择权，所订立的购买价款与预计行使选择权时租赁资产的公允价值相比足够低，因而在租赁开始日就可以合理确定承租人将行使该选择权；③资产的所有权虽然不转移，但租赁期占租赁资产使用寿命的大部分（不低于租赁资产使用寿命的</w:t>
              </w:r>
              <w:r>
                <w:rPr>
                  <w:sz w:val="22"/>
                  <w:szCs w:val="22"/>
                </w:rPr>
                <w:t>75%</w:t>
              </w:r>
              <w:r>
                <w:rPr>
                  <w:rFonts w:hint="eastAsia"/>
                  <w:sz w:val="22"/>
                  <w:szCs w:val="22"/>
                </w:rPr>
                <w:t>）；④在租赁开始日，租赁收款额的现值几乎相当于租赁资产的公允价值（不低于租赁资产公允价值的</w:t>
              </w:r>
              <w:r>
                <w:rPr>
                  <w:sz w:val="22"/>
                  <w:szCs w:val="22"/>
                </w:rPr>
                <w:t>90%</w:t>
              </w:r>
              <w:r>
                <w:rPr>
                  <w:rFonts w:hint="eastAsia"/>
                  <w:sz w:val="22"/>
                  <w:szCs w:val="22"/>
                </w:rPr>
                <w:t>。）；⑤租赁资产性质特殊，如果不作较大改造，只有承租人才能使用。一项租赁存在下列一项或多项迹象的，本集团也可能将其分类为融资租赁：①若承租人撤销租赁，撤销租赁对出租人造成的损失由承租人承担；②资产余值的公允价值波动所产生的利得或损失归属于承租人；③承租人有能力以远低于市场水平的租金继续租赁至下一期间。</w:t>
              </w:r>
            </w:p>
            <w:p w14:paraId="64A2F45B" w14:textId="77777777" w:rsidR="00471D53" w:rsidRDefault="00B664AF" w:rsidP="00471D53">
              <w:pPr>
                <w:rPr>
                  <w:sz w:val="22"/>
                  <w:szCs w:val="22"/>
                </w:rPr>
              </w:pPr>
            </w:p>
            <w:p w14:paraId="5A85404B" w14:textId="77777777" w:rsidR="00471D53" w:rsidRDefault="00B664AF" w:rsidP="00471D53">
              <w:pPr>
                <w:rPr>
                  <w:color w:val="333399"/>
                </w:rPr>
              </w:pPr>
            </w:p>
          </w:sdtContent>
        </w:sdt>
        <w:p w14:paraId="67F3D50D" w14:textId="77777777" w:rsidR="00471D53" w:rsidRDefault="00B664AF">
          <w:pPr>
            <w:rPr>
              <w:szCs w:val="21"/>
            </w:rPr>
          </w:pPr>
        </w:p>
      </w:sdtContent>
    </w:sdt>
    <w:bookmarkEnd w:id="102" w:displacedByCustomXml="prev"/>
    <w:p w14:paraId="00029F6E" w14:textId="77777777" w:rsidR="00471D53" w:rsidRDefault="00B664AF">
      <w:pPr>
        <w:rPr>
          <w:szCs w:val="21"/>
        </w:rPr>
      </w:pPr>
    </w:p>
    <w:sdt>
      <w:sdtPr>
        <w:rPr>
          <w:rFonts w:ascii="宋体" w:hAnsi="宋体" w:cstheme="minorBidi" w:hint="eastAsia"/>
          <w:b w:val="0"/>
          <w:bCs w:val="0"/>
          <w:kern w:val="0"/>
          <w:szCs w:val="22"/>
        </w:rPr>
        <w:alias w:val="模块:其他重要的会计政策和会计估计"/>
        <w:tag w:val="_GBC_208440ea3a0f4676970b3672c3cdf96f"/>
        <w:id w:val="745385619"/>
        <w:lock w:val="sdtLocked"/>
        <w:placeholder>
          <w:docPart w:val="GBC22222222222222222222222222222"/>
        </w:placeholder>
      </w:sdtPr>
      <w:sdtEndPr>
        <w:rPr>
          <w:rFonts w:cs="Times New Roman"/>
          <w:szCs w:val="21"/>
        </w:rPr>
      </w:sdtEndPr>
      <w:sdtContent>
        <w:p w14:paraId="7FAAE10D" w14:textId="77777777" w:rsidR="00471D53" w:rsidRDefault="004F686E" w:rsidP="004F686E">
          <w:pPr>
            <w:pStyle w:val="afffff7"/>
            <w:numPr>
              <w:ilvl w:val="0"/>
              <w:numId w:val="44"/>
            </w:numPr>
            <w:rPr>
              <w:rFonts w:ascii="宋体" w:hAnsi="宋体"/>
            </w:rPr>
          </w:pPr>
          <w:r>
            <w:rPr>
              <w:rFonts w:ascii="宋体" w:hAnsi="宋体" w:hint="eastAsia"/>
            </w:rPr>
            <w:t>其他重要的会计政策和会计估计</w:t>
          </w:r>
        </w:p>
        <w:sdt>
          <w:sdtPr>
            <w:alias w:val="是否适用：其他重要的会计政策和会计估计[双击切换]"/>
            <w:tag w:val="_GBC_b4281f4538de4623a036697d3903e1f8"/>
            <w:id w:val="-846409772"/>
            <w:lock w:val="sdtLocked"/>
            <w:placeholder>
              <w:docPart w:val="GBC22222222222222222222222222222"/>
            </w:placeholder>
          </w:sdtPr>
          <w:sdtEndPr/>
          <w:sdtContent>
            <w:p w14:paraId="5988A25D"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szCs w:val="21"/>
            </w:rPr>
            <w:alias w:val="其他主要会计政策会计估计和会计报表的编制方法"/>
            <w:tag w:val="_GBC_5cf318d9d3d148c4af010cce77bc955d"/>
            <w:id w:val="1659414927"/>
            <w:lock w:val="sdtLocked"/>
            <w:placeholder>
              <w:docPart w:val="GBC22222222222222222222222222222"/>
            </w:placeholder>
          </w:sdtPr>
          <w:sdtEndPr/>
          <w:sdtContent>
            <w:p w14:paraId="45D50E31" w14:textId="77777777" w:rsidR="00471D53" w:rsidRDefault="004F686E" w:rsidP="00471D53">
              <w:pPr>
                <w:spacing w:beforeLines="50" w:before="120" w:afterLines="50" w:after="120" w:line="360" w:lineRule="exact"/>
                <w:ind w:firstLineChars="200" w:firstLine="420"/>
                <w:jc w:val="both"/>
                <w:rPr>
                  <w:bCs/>
                  <w:sz w:val="22"/>
                  <w:szCs w:val="22"/>
                </w:rPr>
              </w:pPr>
              <w:r>
                <w:rPr>
                  <w:rFonts w:hint="eastAsia"/>
                  <w:bCs/>
                  <w:sz w:val="22"/>
                  <w:szCs w:val="22"/>
                </w:rPr>
                <w:t>编制财务报表时，本集团管理层需要运用估计和假设，这些估计和假设会对会计政策的应用及资产、负债、收入及费用的金额产生影响。实际情况可能与这些估计不同。本集团管理层对估计涉及的关键假设和不确定性因素的判断进行持续评估。会计估计变更的影响在变更当期和未来期间予以确认。</w:t>
              </w:r>
            </w:p>
            <w:p w14:paraId="198E4A31" w14:textId="77777777"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下列会计估计及关键假设存在导致未来期间的资产及负债账面值发生重大调整的重要风险。</w:t>
              </w:r>
            </w:p>
            <w:p w14:paraId="02C0EBDB" w14:textId="77777777"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（1）应收款项减值</w:t>
              </w:r>
            </w:p>
            <w:p w14:paraId="3E24F0EC" w14:textId="49D55595"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本集团根据《企业会计准则第22号—金融工具确认和计量》的规定应用简化处理的方式，对于《企业会计准则第14号——收入》所规定的、不含重大融资成分的应收款项（包括应收票据、应收账款和合同资产）以及包含重大融资成分的长期应收款，以预期信用损失为基础，始终按照整个存续期内预期信用损失的金额计量其损失准备。</w:t>
              </w:r>
            </w:p>
            <w:p w14:paraId="2A3B68B4" w14:textId="77777777"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本集团在应收款项初始确认时考虑坏账的可能性，通过比较在初始确认时所确定的预计存续期内的违约概率与该工具在每个资产负债表日所确定的预计存续期内的违约概率，来判定金融工具信用风险是否显著增加。在确定信用风险自初始确认后是否显著增加时，本集团考虑无须付出不必要的额外成本或努力即可获得的合理且有依据的信息，包括前瞻性信息。本集团考虑的信息包括宏观经济信息、信用政策等。如果比较所有使用的假设及估计发生变化，该变化将会影响估计改变期间的应收款项的损失准备。</w:t>
              </w:r>
            </w:p>
            <w:p w14:paraId="442C7923" w14:textId="77777777"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（2）存货减值准备</w:t>
              </w:r>
            </w:p>
            <w:p w14:paraId="793012F2" w14:textId="77777777"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lastRenderedPageBreak/>
                <w:t>本集团定期估计存货的可变现净值，并对存货成本高于可变现净值的差额确认存货跌价损失。本集团在估计存货的可变现净值时，以同类货物的预计售价减去完工时将要发生的成本、销售费用以及相关税费后的金额确定。当实际售价或成本费用与以前估计不同时，管理层将会对可变现净值进行相应的调整。因此根据现有经验进行估计的结果可能会与之后实际结果有所不同，可能导致对资产负债表中的存货账面价值的调整。因此存货跌价准备的金额可能会随上述原因而发生变化。对存货跌价准备的调整将影响估计变更当期的损益。</w:t>
              </w:r>
            </w:p>
            <w:p w14:paraId="4453C8F2" w14:textId="77777777"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（3）商誉减值准备的会计估计</w:t>
              </w:r>
            </w:p>
            <w:p w14:paraId="5D50CFA4" w14:textId="77777777"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本集团每年对商誉进行减值测试。包含商誉的资产组和资产组组合的可收回金额为其预计未来现金流量的现值，其计算需要采用会计估计。</w:t>
              </w:r>
            </w:p>
            <w:p w14:paraId="003ABDB8" w14:textId="77777777"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如果管理层对资产组和资产组组合未来现金流量计算中采用的毛利率进行修订，修订后的毛利率低于目前采用的毛利率，本集团需对商誉增加计提减值准备。</w:t>
              </w:r>
            </w:p>
            <w:p w14:paraId="688CE7F9" w14:textId="77777777"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如果管理层对应用于现金流量折现的税前折现率进行重新修订，修订后的税前折率高于目前采用的折现率，本集团需对商誉增加计提减值准备。</w:t>
              </w:r>
            </w:p>
            <w:p w14:paraId="00AC3B24" w14:textId="77777777"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如果实际毛利率或税前折现率高于或低于管理层的估计，本集团不能转回原已计提的商誉减值损失。</w:t>
              </w:r>
            </w:p>
            <w:p w14:paraId="6A65835B" w14:textId="77777777" w:rsidR="00471D53" w:rsidRDefault="00B664AF" w:rsidP="00471D53">
              <w:pPr>
                <w:spacing w:beforeLines="50" w:before="120" w:afterLines="50" w:after="120" w:line="360" w:lineRule="exact"/>
                <w:ind w:firstLineChars="200" w:firstLine="440"/>
                <w:jc w:val="both"/>
                <w:rPr>
                  <w:bCs/>
                  <w:sz w:val="22"/>
                  <w:szCs w:val="22"/>
                </w:rPr>
              </w:pPr>
            </w:p>
            <w:p w14:paraId="536D2B80" w14:textId="77777777"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（4）固定资产减值准备的会计估计</w:t>
              </w:r>
            </w:p>
            <w:p w14:paraId="1E2AB2F5" w14:textId="77777777"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本集团在资产负债表日对存在减值迹象的房屋建筑物、机器设备等固定资产进行减值测试。固定资产的可收回金额为其预计未来现金流量的现值和资产的公允价值减去处置费用后的净额中较高者，其计算需要采用会计估计。</w:t>
              </w:r>
            </w:p>
            <w:p w14:paraId="6720123B" w14:textId="77777777"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如果管理层对资产组和资产组组合未来现金流量计算中采用的毛利率进行修订，修订后的毛利率低于目前采用的毛利率，本集团需对固定资产增加计提减值准备。</w:t>
              </w:r>
            </w:p>
            <w:p w14:paraId="5468483C" w14:textId="77777777"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如果管理层对应用于现金流量折现的税前折现率进行重新修订，修订后的税前折现率高于目前采用的折现率，本集团需对固定资产增加计提减值准备。</w:t>
              </w:r>
            </w:p>
            <w:p w14:paraId="3FA807BA" w14:textId="77777777"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如果实际毛利率或税前折现率高于或低于管理层估计，本集团不能转回原已计提的固定资产减值准备。</w:t>
              </w:r>
            </w:p>
            <w:p w14:paraId="2C3D53EC" w14:textId="77777777"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（5）递延所得税资产确认的会计估计</w:t>
              </w:r>
            </w:p>
            <w:p w14:paraId="47C9470C" w14:textId="77777777"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递延所得税资产的估计需要对未来各个年度的应纳税所得额及适用的税率进行估计，递延所得税资产的实现取决于公司未来是否很可能获得足够的应纳税所得额。未来税率的变化和暂时性差异的转回时间也可能影响所得税费用（收益）以及递延所得税的余额。上述估计的变化可能导致对递延所得税的重要调整。</w:t>
              </w:r>
            </w:p>
            <w:p w14:paraId="0FB767B0" w14:textId="77777777"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（6）固定资产、无形资产的可使用年限</w:t>
              </w:r>
            </w:p>
            <w:p w14:paraId="0A1173A1" w14:textId="77777777"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lastRenderedPageBreak/>
                <w:t>本集团至少于每年年度终了，对固定资产和无形资产的预计使用寿命进行复核。预计使用寿命是管理层基于同类资产历史经验、参考同行业普遍所应用的估计并结合预期技术更新而决定的。当以往的估计发生重大变化时，则相应调整未来期间的折旧费用和摊销费用。</w:t>
              </w:r>
            </w:p>
            <w:p w14:paraId="5A8D8CCD" w14:textId="77777777"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（7）产品质量保证的会计估计</w:t>
              </w:r>
            </w:p>
            <w:p w14:paraId="035F7FD9" w14:textId="77777777" w:rsidR="00471D53" w:rsidRDefault="004F686E" w:rsidP="00471D53">
              <w:pPr>
                <w:spacing w:beforeLines="50" w:before="120" w:afterLines="50" w:after="120" w:line="360" w:lineRule="exact"/>
                <w:ind w:firstLineChars="200" w:firstLine="440"/>
                <w:jc w:val="both"/>
                <w:rPr>
                  <w:bCs/>
                  <w:sz w:val="22"/>
                  <w:szCs w:val="22"/>
                </w:rPr>
              </w:pPr>
              <w:r>
                <w:rPr>
                  <w:rFonts w:hint="eastAsia"/>
                  <w:bCs/>
                  <w:sz w:val="22"/>
                  <w:szCs w:val="22"/>
                </w:rPr>
                <w:t>本集团在资产负债表日对有质保期的产品质量保证责任进行预计。预计计提比例是管理层基于销售合同中对质量保证责任的承担年限和历史经验而决定的。当以往的估计发生重大变化时，则相应调整未来期间的售后服务费用。</w:t>
              </w:r>
            </w:p>
            <w:p w14:paraId="01B8667A" w14:textId="77777777" w:rsidR="00471D53" w:rsidRDefault="00B664AF">
              <w:pPr>
                <w:rPr>
                  <w:szCs w:val="21"/>
                </w:rPr>
              </w:pPr>
            </w:p>
          </w:sdtContent>
        </w:sdt>
      </w:sdtContent>
    </w:sdt>
    <w:p w14:paraId="58BE6EA2" w14:textId="77777777" w:rsidR="00471D53" w:rsidRDefault="00B664AF">
      <w:pPr>
        <w:rPr>
          <w:szCs w:val="21"/>
        </w:rPr>
      </w:pPr>
    </w:p>
    <w:p w14:paraId="1CA7283A" w14:textId="77777777" w:rsidR="00471D53" w:rsidRDefault="004F686E" w:rsidP="004F686E">
      <w:pPr>
        <w:pStyle w:val="afffff7"/>
        <w:numPr>
          <w:ilvl w:val="0"/>
          <w:numId w:val="44"/>
        </w:numPr>
        <w:rPr>
          <w:rFonts w:ascii="宋体" w:hAnsi="宋体"/>
        </w:rPr>
      </w:pPr>
      <w:r>
        <w:rPr>
          <w:rFonts w:ascii="宋体" w:hAnsi="宋体" w:hint="eastAsia"/>
        </w:rPr>
        <w:t>重要</w:t>
      </w:r>
      <w:r>
        <w:rPr>
          <w:rFonts w:ascii="宋体" w:hAnsi="宋体"/>
        </w:rPr>
        <w:t>会计政策</w:t>
      </w:r>
      <w:r>
        <w:rPr>
          <w:rFonts w:ascii="宋体" w:hAnsi="宋体" w:hint="eastAsia"/>
        </w:rPr>
        <w:t>和</w:t>
      </w:r>
      <w:r>
        <w:rPr>
          <w:rFonts w:ascii="宋体" w:hAnsi="宋体"/>
        </w:rPr>
        <w:t>会计估计的变更</w:t>
      </w:r>
    </w:p>
    <w:p w14:paraId="53BEF7B6" w14:textId="77777777" w:rsidR="00471D53" w:rsidRDefault="004F686E" w:rsidP="004F686E">
      <w:pPr>
        <w:pStyle w:val="afffff8"/>
        <w:numPr>
          <w:ilvl w:val="3"/>
          <w:numId w:val="53"/>
        </w:numPr>
        <w:ind w:left="426" w:hanging="426"/>
        <w:rPr>
          <w:rFonts w:ascii="宋体" w:hAnsi="宋体"/>
        </w:rPr>
      </w:pPr>
      <w:r>
        <w:rPr>
          <w:rFonts w:ascii="宋体" w:hAnsi="宋体" w:hint="eastAsia"/>
        </w:rPr>
        <w:t>重要</w:t>
      </w:r>
      <w:r>
        <w:rPr>
          <w:rFonts w:ascii="宋体" w:hAnsi="宋体"/>
        </w:rPr>
        <w:t>会计政策变更</w:t>
      </w:r>
    </w:p>
    <w:sdt>
      <w:sdtPr>
        <w:rPr>
          <w:szCs w:val="21"/>
        </w:rPr>
        <w:alias w:val="是否适用：重要会计政策变更[双击切换]"/>
        <w:tag w:val="_GBC_f1ebc580f60c4d30a80747190ffbec4f"/>
        <w:id w:val="-1640801419"/>
        <w:lock w:val="sdtLocked"/>
        <w:placeholder>
          <w:docPart w:val="GBC22222222222222222222222222222"/>
        </w:placeholder>
      </w:sdtPr>
      <w:sdtEndPr/>
      <w:sdtContent>
        <w:p w14:paraId="6031D543" w14:textId="77777777" w:rsidR="00471D53" w:rsidRDefault="004F686E" w:rsidP="00471D5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237D1B0D" w14:textId="77777777" w:rsidR="00471D53" w:rsidRDefault="00B664AF">
      <w:pPr>
        <w:rPr>
          <w:szCs w:val="21"/>
        </w:rPr>
      </w:pPr>
    </w:p>
    <w:p w14:paraId="1183938C" w14:textId="77777777" w:rsidR="00471D53" w:rsidRDefault="00B664AF">
      <w:pPr>
        <w:rPr>
          <w:szCs w:val="21"/>
        </w:rPr>
      </w:pPr>
    </w:p>
    <w:p w14:paraId="7FC022D2" w14:textId="77777777" w:rsidR="00471D53" w:rsidRDefault="004F686E" w:rsidP="004F686E">
      <w:pPr>
        <w:pStyle w:val="afffff8"/>
        <w:numPr>
          <w:ilvl w:val="3"/>
          <w:numId w:val="53"/>
        </w:numPr>
        <w:ind w:left="426" w:hanging="426"/>
        <w:rPr>
          <w:rFonts w:ascii="宋体" w:hAnsi="宋体"/>
        </w:rPr>
      </w:pPr>
      <w:r>
        <w:rPr>
          <w:rFonts w:ascii="宋体" w:hAnsi="宋体" w:hint="eastAsia"/>
        </w:rPr>
        <w:t>重要</w:t>
      </w:r>
      <w:r>
        <w:rPr>
          <w:rFonts w:ascii="宋体" w:hAnsi="宋体"/>
        </w:rPr>
        <w:t>会计估计变更</w:t>
      </w:r>
    </w:p>
    <w:sdt>
      <w:sdtPr>
        <w:alias w:val="是否适用：重要会计估计变更[双击切换]"/>
        <w:tag w:val="_GBC_902f08bd36774074945386d2d1f9b67d"/>
        <w:id w:val="-433677386"/>
        <w:lock w:val="sdtLocked"/>
        <w:placeholder>
          <w:docPart w:val="GBC22222222222222222222222222222"/>
        </w:placeholder>
      </w:sdtPr>
      <w:sdtEndPr/>
      <w:sdtContent>
        <w:p w14:paraId="0904BEA4" w14:textId="77777777" w:rsidR="00471D53" w:rsidRDefault="004F686E" w:rsidP="00471D53">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01F961D" w14:textId="77777777" w:rsidR="00471D53" w:rsidRDefault="00B664AF">
      <w:pPr>
        <w:rPr>
          <w:szCs w:val="21"/>
        </w:rPr>
      </w:pPr>
    </w:p>
    <w:p w14:paraId="76CE892F" w14:textId="77777777" w:rsidR="00471D53" w:rsidRDefault="00B664AF">
      <w:pPr>
        <w:rPr>
          <w:szCs w:val="21"/>
        </w:rPr>
      </w:pPr>
    </w:p>
    <w:bookmarkStart w:id="104" w:name="_Hlk10465969" w:displacedByCustomXml="next"/>
    <w:sdt>
      <w:sdtPr>
        <w:rPr>
          <w:rFonts w:ascii="宋体" w:hAnsi="宋体" w:cs="宋体" w:hint="eastAsia"/>
          <w:b w:val="0"/>
          <w:bCs w:val="0"/>
          <w:kern w:val="0"/>
          <w:szCs w:val="21"/>
        </w:rPr>
        <w:alias w:val="选项模块:首次执行新金融工具准则、新收入准则、新租赁准则调整首次执行当..."/>
        <w:tag w:val="_SEC_e1c98e5fd61d48c4bc25ea1a7cf45164"/>
        <w:id w:val="1022742414"/>
        <w:lock w:val="sdtLocked"/>
        <w:placeholder>
          <w:docPart w:val="GBC22222222222222222222222222222"/>
        </w:placeholder>
      </w:sdtPr>
      <w:sdtEndPr>
        <w:rPr>
          <w:rFonts w:hint="default"/>
        </w:rPr>
      </w:sdtEndPr>
      <w:sdtContent>
        <w:p w14:paraId="6C71C82F" w14:textId="77777777" w:rsidR="00471D53" w:rsidRDefault="004F686E" w:rsidP="004F686E">
          <w:pPr>
            <w:pStyle w:val="afffff8"/>
            <w:numPr>
              <w:ilvl w:val="3"/>
              <w:numId w:val="53"/>
            </w:numPr>
            <w:ind w:left="426" w:hanging="426"/>
            <w:rPr>
              <w:rFonts w:ascii="宋体" w:hAnsi="宋体"/>
              <w:szCs w:val="21"/>
            </w:rPr>
          </w:pPr>
          <w:r>
            <w:rPr>
              <w:rFonts w:ascii="宋体" w:hAnsi="宋体" w:hint="eastAsia"/>
              <w:szCs w:val="21"/>
            </w:rPr>
            <w:t>2021年</w:t>
          </w:r>
          <w:r>
            <w:rPr>
              <w:rFonts w:ascii="宋体" w:hAnsi="宋体" w:hint="eastAsia"/>
            </w:rPr>
            <w:t>起首次执行新租赁准则调整首次执行当年年初财务报表相关情</w:t>
          </w:r>
          <w:r>
            <w:rPr>
              <w:rFonts w:ascii="宋体" w:hAnsi="宋体"/>
            </w:rPr>
            <w:t>况</w:t>
          </w:r>
        </w:p>
        <w:sdt>
          <w:sdtPr>
            <w:rPr>
              <w:rFonts w:hint="eastAsia"/>
            </w:rPr>
            <w:alias w:val="是否适用：首次执行新金融工具准则或新收入准则调整首次执行当年年初财务报表相关项目情况[双击切换]"/>
            <w:tag w:val="_GBC_5ea888705f7c4c0f98e8769d2197c0de"/>
            <w:id w:val="-19170183"/>
            <w:lock w:val="sdtLocked"/>
            <w:placeholder>
              <w:docPart w:val="GBC22222222222222222222222222222"/>
            </w:placeholder>
          </w:sdtPr>
          <w:sdtEndPr/>
          <w:sdtContent>
            <w:p w14:paraId="64199381"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tag w:val="_SEC_42ac31f2b4fa4fd6a9f6f2a4dec4d231"/>
            <w:id w:val="2121107906"/>
            <w:lock w:val="sdtLocked"/>
            <w:placeholder>
              <w:docPart w:val="GBC22222222222222222222222222222"/>
            </w:placeholder>
          </w:sdtPr>
          <w:sdtEndPr>
            <w:rPr>
              <w:szCs w:val="21"/>
            </w:rPr>
          </w:sdtEndPr>
          <w:sdtContent>
            <w:p w14:paraId="6E23C7E7" w14:textId="77777777" w:rsidR="00471D53" w:rsidRDefault="00B664AF" w:rsidP="00471D53"/>
            <w:p w14:paraId="6DB8D869" w14:textId="77777777" w:rsidR="00471D53" w:rsidRDefault="00B664AF">
              <w:pPr>
                <w:rPr>
                  <w:szCs w:val="21"/>
                </w:rPr>
              </w:pPr>
            </w:p>
          </w:sdtContent>
        </w:sdt>
      </w:sdtContent>
    </w:sdt>
    <w:bookmarkEnd w:id="104" w:displacedByCustomXml="prev"/>
    <w:bookmarkStart w:id="105" w:name="_Hlk10466171" w:displacedByCustomXml="next"/>
    <w:sdt>
      <w:sdtPr>
        <w:rPr>
          <w:rFonts w:ascii="宋体" w:hAnsi="宋体" w:cs="宋体" w:hint="eastAsia"/>
          <w:b w:val="0"/>
          <w:bCs w:val="0"/>
          <w:kern w:val="0"/>
          <w:szCs w:val="21"/>
        </w:rPr>
        <w:alias w:val="模块:首次执行新金融工具准则、新租赁准则追溯调整前期比较数据的说明"/>
        <w:tag w:val="_SEC_a98b82c2763d4798bed73cd0b4fbc809"/>
        <w:id w:val="-175200442"/>
        <w:lock w:val="sdtLocked"/>
        <w:placeholder>
          <w:docPart w:val="GBC22222222222222222222222222222"/>
        </w:placeholder>
      </w:sdtPr>
      <w:sdtEndPr>
        <w:rPr>
          <w:rFonts w:hint="default"/>
        </w:rPr>
      </w:sdtEndPr>
      <w:sdtContent>
        <w:p w14:paraId="010E5284" w14:textId="77777777" w:rsidR="00471D53" w:rsidRDefault="004F686E" w:rsidP="004F686E">
          <w:pPr>
            <w:pStyle w:val="afffff8"/>
            <w:numPr>
              <w:ilvl w:val="3"/>
              <w:numId w:val="53"/>
            </w:numPr>
            <w:ind w:left="426" w:hanging="426"/>
            <w:rPr>
              <w:rFonts w:ascii="宋体" w:hAnsi="宋体"/>
              <w:szCs w:val="21"/>
            </w:rPr>
          </w:pPr>
          <w:r>
            <w:rPr>
              <w:rFonts w:ascii="宋体" w:hAnsi="宋体" w:hint="eastAsia"/>
              <w:szCs w:val="21"/>
            </w:rPr>
            <w:t>2021年</w:t>
          </w:r>
          <w:r>
            <w:rPr>
              <w:rFonts w:ascii="宋体" w:hAnsi="宋体" w:hint="eastAsia"/>
            </w:rPr>
            <w:t>起首次执行新租赁准则追溯调整前期比较数据的说</w:t>
          </w:r>
          <w:r>
            <w:rPr>
              <w:rFonts w:ascii="宋体" w:hAnsi="宋体"/>
            </w:rPr>
            <w:t>明</w:t>
          </w:r>
        </w:p>
        <w:sdt>
          <w:sdtPr>
            <w:rPr>
              <w:szCs w:val="21"/>
            </w:rPr>
            <w:alias w:val="是否适用：首次执行新会计准则调整前期比较数据的说明[双击切换]"/>
            <w:tag w:val="_GBC_ceaa7ba89e47473da347779a7dc5e772"/>
            <w:id w:val="-610893123"/>
            <w:lock w:val="sdtLocked"/>
            <w:placeholder>
              <w:docPart w:val="GBC22222222222222222222222222222"/>
            </w:placeholder>
          </w:sdtPr>
          <w:sdtEndPr/>
          <w:sdtContent>
            <w:p w14:paraId="1D8044FB" w14:textId="77777777" w:rsidR="00471D53" w:rsidRDefault="004F686E" w:rsidP="00471D5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6F85E1B7" w14:textId="77777777" w:rsidR="00471D53" w:rsidRDefault="00B664AF">
          <w:pPr>
            <w:rPr>
              <w:szCs w:val="21"/>
            </w:rPr>
          </w:pPr>
        </w:p>
      </w:sdtContent>
    </w:sdt>
    <w:bookmarkEnd w:id="105" w:displacedByCustomXml="prev"/>
    <w:p w14:paraId="5886DA3F" w14:textId="77777777" w:rsidR="00471D53" w:rsidRDefault="00B664AF">
      <w:pPr>
        <w:rPr>
          <w:szCs w:val="21"/>
        </w:rPr>
      </w:pPr>
    </w:p>
    <w:sdt>
      <w:sdtPr>
        <w:rPr>
          <w:rFonts w:ascii="宋体" w:hAnsi="宋体" w:cstheme="minorBidi" w:hint="eastAsia"/>
          <w:b w:val="0"/>
          <w:bCs w:val="0"/>
          <w:kern w:val="0"/>
          <w:szCs w:val="22"/>
        </w:rPr>
        <w:alias w:val="模块:其他"/>
        <w:tag w:val="_GBC_f9189f2c315949f484bded540173f7a8"/>
        <w:id w:val="-691139276"/>
        <w:lock w:val="sdtLocked"/>
        <w:placeholder>
          <w:docPart w:val="GBC22222222222222222222222222222"/>
        </w:placeholder>
      </w:sdtPr>
      <w:sdtEndPr>
        <w:rPr>
          <w:rFonts w:cs="Times New Roman"/>
          <w:szCs w:val="21"/>
        </w:rPr>
      </w:sdtEndPr>
      <w:sdtContent>
        <w:p w14:paraId="486F977A" w14:textId="77777777" w:rsidR="00471D53" w:rsidRDefault="004F686E" w:rsidP="004F686E">
          <w:pPr>
            <w:pStyle w:val="afffff7"/>
            <w:numPr>
              <w:ilvl w:val="0"/>
              <w:numId w:val="44"/>
            </w:numPr>
            <w:rPr>
              <w:rFonts w:ascii="宋体" w:hAnsi="宋体"/>
            </w:rPr>
          </w:pPr>
          <w:r>
            <w:rPr>
              <w:rFonts w:ascii="宋体" w:hAnsi="宋体" w:hint="eastAsia"/>
            </w:rPr>
            <w:t>其他</w:t>
          </w:r>
        </w:p>
        <w:sdt>
          <w:sdtPr>
            <w:rPr>
              <w:rFonts w:hint="eastAsia"/>
              <w:szCs w:val="21"/>
            </w:rPr>
            <w:alias w:val="是否适用：公司主要会计政策、会计估计和前期差错的其他说明[双击切换]"/>
            <w:tag w:val="_GBC_6deb29735f384e0d9a2b017d4265a493"/>
            <w:id w:val="-1883621982"/>
            <w:lock w:val="sdtLocked"/>
            <w:placeholder>
              <w:docPart w:val="GBC22222222222222222222222222222"/>
            </w:placeholder>
          </w:sdtPr>
          <w:sdtEndPr/>
          <w:sdtContent>
            <w:p w14:paraId="7C12EF12" w14:textId="77777777" w:rsidR="00471D53" w:rsidRDefault="004F686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公司主要会计政策、会计估计和前期差错的其他说明"/>
            <w:tag w:val="_GBC_c92422e9f0294891888f1127365f4bbf"/>
            <w:id w:val="-453094293"/>
            <w:lock w:val="sdtLocked"/>
            <w:placeholder>
              <w:docPart w:val="GBC22222222222222222222222222222"/>
            </w:placeholder>
          </w:sdtPr>
          <w:sdtEndPr/>
          <w:sdtContent>
            <w:p w14:paraId="411A0F19" w14:textId="77777777" w:rsidR="00471D53" w:rsidRDefault="004F686E">
              <w:pPr>
                <w:rPr>
                  <w:szCs w:val="21"/>
                </w:rPr>
              </w:pPr>
              <w:r>
                <w:rPr>
                  <w:rFonts w:hint="eastAsia"/>
                  <w:sz w:val="22"/>
                  <w:szCs w:val="22"/>
                </w:rPr>
                <w:t>终止经营，是指本集团满足下列条件之一的、能够单独区分的组成部分，且该组成部分已经处置或划分为持有待售类别：（</w:t>
              </w:r>
              <w:r>
                <w:rPr>
                  <w:sz w:val="22"/>
                  <w:szCs w:val="22"/>
                </w:rPr>
                <w:t>1</w:t>
              </w:r>
              <w:r>
                <w:rPr>
                  <w:rFonts w:hint="eastAsia"/>
                  <w:sz w:val="22"/>
                  <w:szCs w:val="22"/>
                </w:rPr>
                <w:t>）该组成部分代表一项独立的主要业务或一个单独的主要经营地区；（</w:t>
              </w:r>
              <w:r>
                <w:rPr>
                  <w:sz w:val="22"/>
                  <w:szCs w:val="22"/>
                </w:rPr>
                <w:t>2</w:t>
              </w:r>
              <w:r>
                <w:rPr>
                  <w:rFonts w:hint="eastAsia"/>
                  <w:sz w:val="22"/>
                  <w:szCs w:val="22"/>
                </w:rPr>
                <w:t>）该组成部分是拟对一项独立的主要业务或一个单独的主要经营地区进行处置的一项相关联计划的一部分；（</w:t>
              </w:r>
              <w:r>
                <w:rPr>
                  <w:sz w:val="22"/>
                  <w:szCs w:val="22"/>
                </w:rPr>
                <w:t>3</w:t>
              </w:r>
              <w:r>
                <w:rPr>
                  <w:rFonts w:hint="eastAsia"/>
                  <w:sz w:val="22"/>
                  <w:szCs w:val="22"/>
                </w:rPr>
                <w:t>）该组成部分是专为转售而取得的子公司。</w:t>
              </w:r>
            </w:p>
          </w:sdtContent>
        </w:sdt>
        <w:p w14:paraId="05435D0C" w14:textId="77777777" w:rsidR="00471D53" w:rsidRDefault="00B664AF">
          <w:pPr>
            <w:rPr>
              <w:szCs w:val="21"/>
            </w:rPr>
          </w:pPr>
        </w:p>
      </w:sdtContent>
    </w:sdt>
    <w:p w14:paraId="5CADE71D" w14:textId="77777777" w:rsidR="00471D53" w:rsidRDefault="004F686E" w:rsidP="004F686E">
      <w:pPr>
        <w:pStyle w:val="afffff6"/>
        <w:numPr>
          <w:ilvl w:val="0"/>
          <w:numId w:val="35"/>
        </w:numPr>
        <w:ind w:left="422" w:hanging="422"/>
        <w:rPr>
          <w:rFonts w:ascii="宋体" w:hAnsi="宋体"/>
        </w:rPr>
      </w:pPr>
      <w:r>
        <w:rPr>
          <w:rFonts w:ascii="宋体" w:hAnsi="宋体" w:hint="eastAsia"/>
        </w:rPr>
        <w:t>税项</w:t>
      </w:r>
    </w:p>
    <w:sdt>
      <w:sdtPr>
        <w:rPr>
          <w:rFonts w:ascii="宋体" w:hAnsi="宋体" w:cs="宋体"/>
          <w:b w:val="0"/>
          <w:bCs w:val="0"/>
          <w:kern w:val="0"/>
          <w:szCs w:val="22"/>
        </w:rPr>
        <w:alias w:val="模块:主要税种及税率"/>
        <w:tag w:val="_GBC_21c965fa52af49a9865023fb4e05671a"/>
        <w:id w:val="2115163753"/>
        <w:lock w:val="sdtLocked"/>
        <w:placeholder>
          <w:docPart w:val="GBC22222222222222222222222222222"/>
        </w:placeholder>
      </w:sdtPr>
      <w:sdtEndPr>
        <w:rPr>
          <w:rFonts w:cs="Times New Roman"/>
          <w:kern w:val="2"/>
          <w:szCs w:val="21"/>
        </w:rPr>
      </w:sdtEndPr>
      <w:sdtContent>
        <w:p w14:paraId="16883761" w14:textId="77777777" w:rsidR="00471D53" w:rsidRDefault="004F686E" w:rsidP="004F686E">
          <w:pPr>
            <w:pStyle w:val="afffff7"/>
            <w:numPr>
              <w:ilvl w:val="0"/>
              <w:numId w:val="54"/>
            </w:numPr>
            <w:tabs>
              <w:tab w:val="left" w:pos="546"/>
            </w:tabs>
            <w:rPr>
              <w:rFonts w:ascii="宋体" w:hAnsi="宋体"/>
            </w:rPr>
          </w:pPr>
          <w:r>
            <w:rPr>
              <w:rFonts w:ascii="宋体" w:hAnsi="宋体"/>
            </w:rPr>
            <w:t>主要税种及税率</w:t>
          </w:r>
        </w:p>
        <w:p w14:paraId="02C130AD" w14:textId="77777777" w:rsidR="00471D53" w:rsidRDefault="004F686E">
          <w:r>
            <w:rPr>
              <w:rFonts w:hint="eastAsia"/>
            </w:rPr>
            <w:t>主要税种及税率情况</w:t>
          </w:r>
        </w:p>
        <w:sdt>
          <w:sdtPr>
            <w:alias w:val="是否适用：主要税种及税率情况 [双击切换]"/>
            <w:tag w:val="_GBC_fd47fa4fd9aa499c8903795268a25582"/>
            <w:id w:val="-707329991"/>
            <w:lock w:val="sdtLocked"/>
            <w:placeholder>
              <w:docPart w:val="GBC22222222222222222222222222222"/>
            </w:placeholder>
          </w:sdtPr>
          <w:sdtEndPr/>
          <w:sdtContent>
            <w:p w14:paraId="4875054F" w14:textId="53D855E2"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3067"/>
            <w:gridCol w:w="3044"/>
          </w:tblGrid>
          <w:tr w:rsidR="00471D53" w14:paraId="63F2241F" w14:textId="77777777" w:rsidTr="00471D53">
            <w:sdt>
              <w:sdtPr>
                <w:rPr>
                  <w:szCs w:val="21"/>
                </w:rPr>
                <w:tag w:val="_PLD_e7d49d0412b143bf84fec865b918065a"/>
                <w:id w:val="-802850865"/>
                <w:lock w:val="sdtLocked"/>
              </w:sdtPr>
              <w:sdtEndPr>
                <w:rPr>
                  <w:szCs w:val="24"/>
                </w:rPr>
              </w:sdtEndPr>
              <w:sdtContent>
                <w:tc>
                  <w:tcPr>
                    <w:tcW w:w="1537" w:type="pct"/>
                    <w:vAlign w:val="center"/>
                  </w:tcPr>
                  <w:p w14:paraId="2C40CFB7" w14:textId="77777777" w:rsidR="00471D53" w:rsidRDefault="004F686E" w:rsidP="00471D53">
                    <w:pPr>
                      <w:jc w:val="center"/>
                      <w:rPr>
                        <w:szCs w:val="21"/>
                      </w:rPr>
                    </w:pPr>
                    <w:r>
                      <w:rPr>
                        <w:szCs w:val="21"/>
                      </w:rPr>
                      <w:t>税种</w:t>
                    </w:r>
                  </w:p>
                </w:tc>
              </w:sdtContent>
            </w:sdt>
            <w:sdt>
              <w:sdtPr>
                <w:tag w:val="_PLD_e42202809983483baa812ed26e1b27a2"/>
                <w:id w:val="-1508052187"/>
                <w:lock w:val="sdtLocked"/>
              </w:sdtPr>
              <w:sdtEndPr/>
              <w:sdtContent>
                <w:tc>
                  <w:tcPr>
                    <w:tcW w:w="1738" w:type="pct"/>
                    <w:vAlign w:val="center"/>
                  </w:tcPr>
                  <w:p w14:paraId="419BFFEE" w14:textId="77777777" w:rsidR="00471D53" w:rsidRDefault="004F686E" w:rsidP="00471D53">
                    <w:pPr>
                      <w:jc w:val="center"/>
                      <w:rPr>
                        <w:szCs w:val="21"/>
                      </w:rPr>
                    </w:pPr>
                    <w:r>
                      <w:rPr>
                        <w:szCs w:val="21"/>
                      </w:rPr>
                      <w:t>计税依据</w:t>
                    </w:r>
                  </w:p>
                </w:tc>
              </w:sdtContent>
            </w:sdt>
            <w:sdt>
              <w:sdtPr>
                <w:tag w:val="_PLD_0cebc7a4c62844c6b35146cd64cd4277"/>
                <w:id w:val="1128137658"/>
                <w:lock w:val="sdtLocked"/>
              </w:sdtPr>
              <w:sdtEndPr/>
              <w:sdtContent>
                <w:tc>
                  <w:tcPr>
                    <w:tcW w:w="1725" w:type="pct"/>
                    <w:vAlign w:val="center"/>
                  </w:tcPr>
                  <w:p w14:paraId="58A5F49A" w14:textId="77777777" w:rsidR="00471D53" w:rsidRDefault="004F686E" w:rsidP="00471D53">
                    <w:pPr>
                      <w:jc w:val="center"/>
                      <w:rPr>
                        <w:szCs w:val="21"/>
                      </w:rPr>
                    </w:pPr>
                    <w:r>
                      <w:rPr>
                        <w:szCs w:val="21"/>
                      </w:rPr>
                      <w:t>税率</w:t>
                    </w:r>
                  </w:p>
                </w:tc>
              </w:sdtContent>
            </w:sdt>
          </w:tr>
          <w:tr w:rsidR="00471D53" w14:paraId="39C112CD" w14:textId="77777777" w:rsidTr="00471D53">
            <w:sdt>
              <w:sdtPr>
                <w:tag w:val="_PLD_9ace953dc7aa4938aeb14fdc5cefe531"/>
                <w:id w:val="1206753498"/>
                <w:lock w:val="sdtLocked"/>
              </w:sdtPr>
              <w:sdtEndPr/>
              <w:sdtContent>
                <w:tc>
                  <w:tcPr>
                    <w:tcW w:w="1537" w:type="pct"/>
                  </w:tcPr>
                  <w:p w14:paraId="5B60A289" w14:textId="77777777" w:rsidR="00471D53" w:rsidRDefault="004F686E" w:rsidP="00471D53">
                    <w:pPr>
                      <w:rPr>
                        <w:szCs w:val="21"/>
                      </w:rPr>
                    </w:pPr>
                    <w:r>
                      <w:rPr>
                        <w:szCs w:val="21"/>
                      </w:rPr>
                      <w:t>增值税</w:t>
                    </w:r>
                  </w:p>
                </w:tc>
              </w:sdtContent>
            </w:sdt>
            <w:tc>
              <w:tcPr>
                <w:tcW w:w="1738" w:type="pct"/>
                <w:vAlign w:val="center"/>
              </w:tcPr>
              <w:p w14:paraId="2FD2F4E1" w14:textId="77777777" w:rsidR="00471D53" w:rsidRDefault="004F686E" w:rsidP="00471D53">
                <w:pPr>
                  <w:rPr>
                    <w:sz w:val="24"/>
                  </w:rPr>
                </w:pPr>
                <w:r>
                  <w:t>应纳税增值额</w:t>
                </w:r>
              </w:p>
            </w:tc>
            <w:tc>
              <w:tcPr>
                <w:tcW w:w="1725" w:type="pct"/>
                <w:vAlign w:val="center"/>
              </w:tcPr>
              <w:p w14:paraId="4B092AF0" w14:textId="77777777" w:rsidR="00471D53" w:rsidRDefault="004F686E" w:rsidP="00471D53">
                <w:pPr>
                  <w:rPr>
                    <w:sz w:val="24"/>
                  </w:rPr>
                </w:pPr>
                <w:r>
                  <w:t>13%、6%、5%、0%</w:t>
                </w:r>
              </w:p>
            </w:tc>
          </w:tr>
          <w:tr w:rsidR="00471D53" w14:paraId="3488538B" w14:textId="77777777" w:rsidTr="00471D53">
            <w:sdt>
              <w:sdtPr>
                <w:tag w:val="_PLD_81e2cde513d146408625859d885eb577"/>
                <w:id w:val="1275293944"/>
                <w:lock w:val="sdtLocked"/>
              </w:sdtPr>
              <w:sdtEndPr/>
              <w:sdtContent>
                <w:tc>
                  <w:tcPr>
                    <w:tcW w:w="1537" w:type="pct"/>
                  </w:tcPr>
                  <w:p w14:paraId="3EFB259A" w14:textId="77777777" w:rsidR="00471D53" w:rsidRDefault="004F686E" w:rsidP="00471D53">
                    <w:pPr>
                      <w:rPr>
                        <w:szCs w:val="21"/>
                      </w:rPr>
                    </w:pPr>
                    <w:r>
                      <w:rPr>
                        <w:szCs w:val="21"/>
                      </w:rPr>
                      <w:t>消费税</w:t>
                    </w:r>
                  </w:p>
                </w:tc>
              </w:sdtContent>
            </w:sdt>
            <w:tc>
              <w:tcPr>
                <w:tcW w:w="1738" w:type="pct"/>
              </w:tcPr>
              <w:p w14:paraId="6E1A224E" w14:textId="77777777" w:rsidR="00471D53" w:rsidRDefault="00B664AF" w:rsidP="00471D53">
                <w:pPr>
                  <w:rPr>
                    <w:szCs w:val="21"/>
                  </w:rPr>
                </w:pPr>
              </w:p>
            </w:tc>
            <w:tc>
              <w:tcPr>
                <w:tcW w:w="1725" w:type="pct"/>
              </w:tcPr>
              <w:p w14:paraId="7BA2EDC3" w14:textId="77777777" w:rsidR="00471D53" w:rsidRDefault="00B664AF" w:rsidP="00471D53">
                <w:pPr>
                  <w:rPr>
                    <w:szCs w:val="21"/>
                  </w:rPr>
                </w:pPr>
              </w:p>
            </w:tc>
          </w:tr>
          <w:tr w:rsidR="00471D53" w14:paraId="6020E1B8" w14:textId="77777777" w:rsidTr="00471D53">
            <w:sdt>
              <w:sdtPr>
                <w:tag w:val="_PLD_6653c9a6095c4d3eaf346beeb35838a0"/>
                <w:id w:val="695746877"/>
                <w:lock w:val="sdtLocked"/>
              </w:sdtPr>
              <w:sdtEndPr/>
              <w:sdtContent>
                <w:tc>
                  <w:tcPr>
                    <w:tcW w:w="1537" w:type="pct"/>
                  </w:tcPr>
                  <w:p w14:paraId="6CF9BF27" w14:textId="77777777" w:rsidR="00471D53" w:rsidRDefault="004F686E" w:rsidP="00471D53">
                    <w:pPr>
                      <w:rPr>
                        <w:szCs w:val="21"/>
                      </w:rPr>
                    </w:pPr>
                    <w:r>
                      <w:rPr>
                        <w:szCs w:val="21"/>
                      </w:rPr>
                      <w:t>营业税</w:t>
                    </w:r>
                  </w:p>
                </w:tc>
              </w:sdtContent>
            </w:sdt>
            <w:tc>
              <w:tcPr>
                <w:tcW w:w="1738" w:type="pct"/>
              </w:tcPr>
              <w:p w14:paraId="33649A01" w14:textId="77777777" w:rsidR="00471D53" w:rsidRDefault="00B664AF" w:rsidP="00471D53">
                <w:pPr>
                  <w:rPr>
                    <w:szCs w:val="21"/>
                  </w:rPr>
                </w:pPr>
              </w:p>
            </w:tc>
            <w:tc>
              <w:tcPr>
                <w:tcW w:w="1725" w:type="pct"/>
              </w:tcPr>
              <w:p w14:paraId="3574E278" w14:textId="77777777" w:rsidR="00471D53" w:rsidRDefault="00B664AF" w:rsidP="00471D53">
                <w:pPr>
                  <w:rPr>
                    <w:szCs w:val="21"/>
                  </w:rPr>
                </w:pPr>
              </w:p>
            </w:tc>
          </w:tr>
          <w:tr w:rsidR="00471D53" w14:paraId="2E6A3DD2" w14:textId="77777777" w:rsidTr="00471D53">
            <w:sdt>
              <w:sdtPr>
                <w:tag w:val="_PLD_a00c27a54584444dbd90124436528903"/>
                <w:id w:val="253710774"/>
                <w:lock w:val="sdtLocked"/>
              </w:sdtPr>
              <w:sdtEndPr/>
              <w:sdtContent>
                <w:tc>
                  <w:tcPr>
                    <w:tcW w:w="1537" w:type="pct"/>
                  </w:tcPr>
                  <w:p w14:paraId="68803EA9" w14:textId="77777777" w:rsidR="00471D53" w:rsidRDefault="004F686E" w:rsidP="00471D53">
                    <w:pPr>
                      <w:rPr>
                        <w:szCs w:val="21"/>
                      </w:rPr>
                    </w:pPr>
                    <w:r>
                      <w:rPr>
                        <w:szCs w:val="21"/>
                      </w:rPr>
                      <w:t>城市维护建设税</w:t>
                    </w:r>
                  </w:p>
                </w:tc>
              </w:sdtContent>
            </w:sdt>
            <w:tc>
              <w:tcPr>
                <w:tcW w:w="1738" w:type="pct"/>
                <w:vAlign w:val="center"/>
              </w:tcPr>
              <w:p w14:paraId="2BF37CCB" w14:textId="77777777" w:rsidR="00471D53" w:rsidRDefault="004F686E" w:rsidP="00471D53">
                <w:pPr>
                  <w:rPr>
                    <w:sz w:val="24"/>
                  </w:rPr>
                </w:pPr>
                <w:r>
                  <w:t>应纳增值税额</w:t>
                </w:r>
              </w:p>
            </w:tc>
            <w:tc>
              <w:tcPr>
                <w:tcW w:w="1725" w:type="pct"/>
                <w:vAlign w:val="center"/>
              </w:tcPr>
              <w:p w14:paraId="37074EE3" w14:textId="77777777" w:rsidR="00471D53" w:rsidRDefault="004F686E" w:rsidP="00471D53">
                <w:pPr>
                  <w:rPr>
                    <w:sz w:val="24"/>
                  </w:rPr>
                </w:pPr>
                <w:r>
                  <w:t>5%、7%</w:t>
                </w:r>
              </w:p>
            </w:tc>
          </w:tr>
          <w:tr w:rsidR="00471D53" w14:paraId="50C9415E" w14:textId="77777777" w:rsidTr="00471D53">
            <w:sdt>
              <w:sdtPr>
                <w:tag w:val="_PLD_674fdae0a13a4ed2a46d30b411850225"/>
                <w:id w:val="65541403"/>
                <w:lock w:val="sdtLocked"/>
              </w:sdtPr>
              <w:sdtEndPr/>
              <w:sdtContent>
                <w:tc>
                  <w:tcPr>
                    <w:tcW w:w="1537" w:type="pct"/>
                  </w:tcPr>
                  <w:p w14:paraId="3CD27595" w14:textId="77777777" w:rsidR="00471D53" w:rsidRDefault="004F686E" w:rsidP="00471D53">
                    <w:pPr>
                      <w:rPr>
                        <w:szCs w:val="21"/>
                      </w:rPr>
                    </w:pPr>
                    <w:r>
                      <w:rPr>
                        <w:szCs w:val="21"/>
                      </w:rPr>
                      <w:t>企业所得税</w:t>
                    </w:r>
                  </w:p>
                </w:tc>
              </w:sdtContent>
            </w:sdt>
            <w:tc>
              <w:tcPr>
                <w:tcW w:w="1738" w:type="pct"/>
                <w:vAlign w:val="center"/>
              </w:tcPr>
              <w:p w14:paraId="0A9F3C52" w14:textId="77777777" w:rsidR="00471D53" w:rsidRDefault="004F686E" w:rsidP="00471D53">
                <w:pPr>
                  <w:rPr>
                    <w:sz w:val="24"/>
                  </w:rPr>
                </w:pPr>
                <w:r>
                  <w:t>应纳税所得额</w:t>
                </w:r>
              </w:p>
            </w:tc>
            <w:tc>
              <w:tcPr>
                <w:tcW w:w="1725" w:type="pct"/>
                <w:vAlign w:val="center"/>
              </w:tcPr>
              <w:p w14:paraId="19D9BA35" w14:textId="77777777" w:rsidR="00471D53" w:rsidRDefault="004F686E" w:rsidP="00471D53">
                <w:pPr>
                  <w:rPr>
                    <w:sz w:val="24"/>
                  </w:rPr>
                </w:pPr>
                <w:r>
                  <w:t>25%、15%</w:t>
                </w:r>
              </w:p>
            </w:tc>
          </w:tr>
          <w:sdt>
            <w:sdtPr>
              <w:rPr>
                <w:szCs w:val="21"/>
              </w:rPr>
              <w:alias w:val="其他主要税种及税率"/>
              <w:tag w:val="_GBC_b4f10406bc8741879c7bff390b72f9b9"/>
              <w:id w:val="-128793709"/>
              <w:lock w:val="sdtLocked"/>
            </w:sdtPr>
            <w:sdtEndPr/>
            <w:sdtContent>
              <w:tr w:rsidR="00471D53" w14:paraId="73B6B0E9" w14:textId="77777777" w:rsidTr="00471D53">
                <w:tc>
                  <w:tcPr>
                    <w:tcW w:w="1537" w:type="pct"/>
                  </w:tcPr>
                  <w:p w14:paraId="53DDA33E" w14:textId="77777777" w:rsidR="00471D53" w:rsidRDefault="004F686E" w:rsidP="00471D53">
                    <w:pPr>
                      <w:rPr>
                        <w:szCs w:val="21"/>
                      </w:rPr>
                    </w:pPr>
                    <w:r>
                      <w:t>教育费附加</w:t>
                    </w:r>
                  </w:p>
                </w:tc>
                <w:tc>
                  <w:tcPr>
                    <w:tcW w:w="1738" w:type="pct"/>
                  </w:tcPr>
                  <w:p w14:paraId="78CC512B" w14:textId="77777777" w:rsidR="00471D53" w:rsidRDefault="004F686E" w:rsidP="00471D53">
                    <w:pPr>
                      <w:rPr>
                        <w:szCs w:val="21"/>
                      </w:rPr>
                    </w:pPr>
                    <w:r>
                      <w:t>应纳增值税额</w:t>
                    </w:r>
                  </w:p>
                </w:tc>
                <w:tc>
                  <w:tcPr>
                    <w:tcW w:w="1725" w:type="pct"/>
                  </w:tcPr>
                  <w:p w14:paraId="5152E20B" w14:textId="77777777" w:rsidR="00471D53" w:rsidRDefault="004F686E" w:rsidP="00471D53">
                    <w:pPr>
                      <w:rPr>
                        <w:szCs w:val="21"/>
                      </w:rPr>
                    </w:pPr>
                    <w:r>
                      <w:t>3%</w:t>
                    </w:r>
                  </w:p>
                </w:tc>
              </w:tr>
            </w:sdtContent>
          </w:sdt>
          <w:sdt>
            <w:sdtPr>
              <w:rPr>
                <w:szCs w:val="21"/>
              </w:rPr>
              <w:alias w:val="其他主要税种及税率"/>
              <w:tag w:val="_GBC_b4f10406bc8741879c7bff390b72f9b9"/>
              <w:id w:val="1154648529"/>
              <w:lock w:val="sdtLocked"/>
            </w:sdtPr>
            <w:sdtEndPr/>
            <w:sdtContent>
              <w:tr w:rsidR="00471D53" w14:paraId="6C0CCC74" w14:textId="77777777" w:rsidTr="00471D53">
                <w:tc>
                  <w:tcPr>
                    <w:tcW w:w="1537" w:type="pct"/>
                  </w:tcPr>
                  <w:p w14:paraId="0C25AAFA" w14:textId="77777777" w:rsidR="00471D53" w:rsidRDefault="004F686E" w:rsidP="00471D53">
                    <w:pPr>
                      <w:rPr>
                        <w:szCs w:val="21"/>
                      </w:rPr>
                    </w:pPr>
                    <w:r>
                      <w:t>地方教育费附加</w:t>
                    </w:r>
                  </w:p>
                </w:tc>
                <w:tc>
                  <w:tcPr>
                    <w:tcW w:w="1738" w:type="pct"/>
                  </w:tcPr>
                  <w:p w14:paraId="1C1CF1D8" w14:textId="77777777" w:rsidR="00471D53" w:rsidRDefault="004F686E" w:rsidP="00471D53">
                    <w:pPr>
                      <w:rPr>
                        <w:szCs w:val="21"/>
                      </w:rPr>
                    </w:pPr>
                    <w:r>
                      <w:t>应纳增值税额</w:t>
                    </w:r>
                  </w:p>
                </w:tc>
                <w:tc>
                  <w:tcPr>
                    <w:tcW w:w="1725" w:type="pct"/>
                  </w:tcPr>
                  <w:p w14:paraId="1D76A7B7" w14:textId="77777777" w:rsidR="00471D53" w:rsidRDefault="004F686E" w:rsidP="00471D53">
                    <w:pPr>
                      <w:rPr>
                        <w:szCs w:val="21"/>
                      </w:rPr>
                    </w:pPr>
                    <w:r>
                      <w:t>2%</w:t>
                    </w:r>
                  </w:p>
                </w:tc>
              </w:tr>
            </w:sdtContent>
          </w:sdt>
          <w:sdt>
            <w:sdtPr>
              <w:rPr>
                <w:szCs w:val="21"/>
              </w:rPr>
              <w:alias w:val="其他主要税种及税率"/>
              <w:tag w:val="_GBC_b4f10406bc8741879c7bff390b72f9b9"/>
              <w:id w:val="2010401879"/>
              <w:lock w:val="sdtLocked"/>
            </w:sdtPr>
            <w:sdtEndPr/>
            <w:sdtContent>
              <w:tr w:rsidR="00471D53" w14:paraId="52B34FA6" w14:textId="77777777" w:rsidTr="00471D53">
                <w:tc>
                  <w:tcPr>
                    <w:tcW w:w="1537" w:type="pct"/>
                  </w:tcPr>
                  <w:p w14:paraId="76E79E2E" w14:textId="77777777" w:rsidR="00471D53" w:rsidRDefault="004F686E" w:rsidP="00471D53">
                    <w:pPr>
                      <w:rPr>
                        <w:szCs w:val="21"/>
                      </w:rPr>
                    </w:pPr>
                    <w:r>
                      <w:t>房产税</w:t>
                    </w:r>
                  </w:p>
                </w:tc>
                <w:tc>
                  <w:tcPr>
                    <w:tcW w:w="1738" w:type="pct"/>
                  </w:tcPr>
                  <w:p w14:paraId="2EAC3B08" w14:textId="77777777" w:rsidR="00471D53" w:rsidRDefault="004F686E" w:rsidP="00471D53">
                    <w:pPr>
                      <w:rPr>
                        <w:szCs w:val="21"/>
                      </w:rPr>
                    </w:pPr>
                    <w:r>
                      <w:t>房产原值的70%-80%和房产租赁收入</w:t>
                    </w:r>
                  </w:p>
                </w:tc>
                <w:tc>
                  <w:tcPr>
                    <w:tcW w:w="1725" w:type="pct"/>
                  </w:tcPr>
                  <w:p w14:paraId="2061602D" w14:textId="77777777" w:rsidR="00471D53" w:rsidRDefault="004F686E" w:rsidP="00471D53">
                    <w:pPr>
                      <w:rPr>
                        <w:szCs w:val="21"/>
                      </w:rPr>
                    </w:pPr>
                    <w:r>
                      <w:t>1.2%和12%</w:t>
                    </w:r>
                  </w:p>
                </w:tc>
              </w:tr>
            </w:sdtContent>
          </w:sdt>
          <w:sdt>
            <w:sdtPr>
              <w:rPr>
                <w:szCs w:val="21"/>
              </w:rPr>
              <w:alias w:val="其他主要税种及税率"/>
              <w:tag w:val="_GBC_b4f10406bc8741879c7bff390b72f9b9"/>
              <w:id w:val="-290212320"/>
              <w:lock w:val="sdtLocked"/>
            </w:sdtPr>
            <w:sdtEndPr/>
            <w:sdtContent>
              <w:tr w:rsidR="00471D53" w14:paraId="2716BCFD" w14:textId="77777777" w:rsidTr="00471D53">
                <w:tc>
                  <w:tcPr>
                    <w:tcW w:w="1537" w:type="pct"/>
                  </w:tcPr>
                  <w:p w14:paraId="00DE96D8" w14:textId="77777777" w:rsidR="00471D53" w:rsidRDefault="004F686E" w:rsidP="00471D53">
                    <w:pPr>
                      <w:rPr>
                        <w:szCs w:val="21"/>
                      </w:rPr>
                    </w:pPr>
                    <w:r>
                      <w:t>香港利得税</w:t>
                    </w:r>
                  </w:p>
                </w:tc>
                <w:tc>
                  <w:tcPr>
                    <w:tcW w:w="1738" w:type="pct"/>
                  </w:tcPr>
                  <w:p w14:paraId="764D9B41" w14:textId="77777777" w:rsidR="00471D53" w:rsidRDefault="004F686E" w:rsidP="00471D53">
                    <w:pPr>
                      <w:rPr>
                        <w:szCs w:val="21"/>
                      </w:rPr>
                    </w:pPr>
                    <w:r>
                      <w:t>应纳税所得额</w:t>
                    </w:r>
                  </w:p>
                </w:tc>
                <w:tc>
                  <w:tcPr>
                    <w:tcW w:w="1725" w:type="pct"/>
                  </w:tcPr>
                  <w:p w14:paraId="1A4A1510" w14:textId="77777777" w:rsidR="00471D53" w:rsidRDefault="004F686E" w:rsidP="00471D53">
                    <w:pPr>
                      <w:rPr>
                        <w:szCs w:val="21"/>
                      </w:rPr>
                    </w:pPr>
                    <w:r>
                      <w:t>16.50%</w:t>
                    </w:r>
                  </w:p>
                </w:tc>
              </w:tr>
            </w:sdtContent>
          </w:sdt>
          <w:sdt>
            <w:sdtPr>
              <w:rPr>
                <w:szCs w:val="21"/>
              </w:rPr>
              <w:alias w:val="其他主要税种及税率"/>
              <w:tag w:val="_GBC_b4f10406bc8741879c7bff390b72f9b9"/>
              <w:id w:val="1473184504"/>
              <w:lock w:val="sdtLocked"/>
            </w:sdtPr>
            <w:sdtEndPr/>
            <w:sdtContent>
              <w:tr w:rsidR="00471D53" w14:paraId="03C45F30" w14:textId="77777777" w:rsidTr="00471D53">
                <w:tc>
                  <w:tcPr>
                    <w:tcW w:w="1537" w:type="pct"/>
                  </w:tcPr>
                  <w:p w14:paraId="54E1F658" w14:textId="77777777" w:rsidR="00471D53" w:rsidRDefault="004F686E" w:rsidP="00471D53">
                    <w:pPr>
                      <w:rPr>
                        <w:szCs w:val="21"/>
                      </w:rPr>
                    </w:pPr>
                    <w:r>
                      <w:t>美国企业所得税</w:t>
                    </w:r>
                  </w:p>
                </w:tc>
                <w:tc>
                  <w:tcPr>
                    <w:tcW w:w="1738" w:type="pct"/>
                  </w:tcPr>
                  <w:p w14:paraId="7BB47464" w14:textId="77777777" w:rsidR="00471D53" w:rsidRDefault="004F686E" w:rsidP="00471D53">
                    <w:pPr>
                      <w:rPr>
                        <w:szCs w:val="21"/>
                      </w:rPr>
                    </w:pPr>
                    <w:r>
                      <w:t>应纳税所得额</w:t>
                    </w:r>
                  </w:p>
                </w:tc>
                <w:tc>
                  <w:tcPr>
                    <w:tcW w:w="1725" w:type="pct"/>
                  </w:tcPr>
                  <w:p w14:paraId="54E22C25" w14:textId="77777777" w:rsidR="00471D53" w:rsidRDefault="004F686E" w:rsidP="00471D53">
                    <w:pPr>
                      <w:rPr>
                        <w:szCs w:val="21"/>
                      </w:rPr>
                    </w:pPr>
                    <w:r>
                      <w:t>21%</w:t>
                    </w:r>
                  </w:p>
                </w:tc>
              </w:tr>
            </w:sdtContent>
          </w:sdt>
        </w:tbl>
        <w:p w14:paraId="07029C55" w14:textId="77777777" w:rsidR="00471D53" w:rsidRDefault="00B664AF"/>
        <w:p w14:paraId="0A342427" w14:textId="77777777" w:rsidR="00471D53" w:rsidRDefault="004F686E">
          <w:pPr>
            <w:rPr>
              <w:szCs w:val="21"/>
            </w:rPr>
          </w:pPr>
          <w:r>
            <w:rPr>
              <w:rFonts w:hint="eastAsia"/>
              <w:szCs w:val="21"/>
            </w:rPr>
            <w:t>存在不同企业所得税税率纳税主体的，披露情况说明</w:t>
          </w:r>
        </w:p>
        <w:sdt>
          <w:sdtPr>
            <w:rPr>
              <w:szCs w:val="21"/>
            </w:rPr>
            <w:alias w:val="是否适用：存在不同企业所得税税率纳税主体的，披露情况说明[双击切换]"/>
            <w:tag w:val="_GBC_848dc0d1182048ccb5485f3b0d7d1d70"/>
            <w:id w:val="504714909"/>
            <w:lock w:val="sdtLocked"/>
            <w:placeholder>
              <w:docPart w:val="GBC22222222222222222222222222222"/>
            </w:placeholder>
          </w:sdtPr>
          <w:sdtEndPr/>
          <w:sdtContent>
            <w:p w14:paraId="0D5B9349" w14:textId="77777777" w:rsidR="00471D53" w:rsidRDefault="004F686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tbl>
          <w:tblPr>
            <w:tblStyle w:val="g4"/>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487"/>
            <w:gridCol w:w="4336"/>
          </w:tblGrid>
          <w:tr w:rsidR="00471D53" w14:paraId="1D47F44A" w14:textId="77777777" w:rsidTr="00471D53">
            <w:bookmarkStart w:id="106" w:name="_Hlk78889394" w:displacedByCustomXml="next"/>
            <w:sdt>
              <w:sdtPr>
                <w:tag w:val="_PLD_440a50b0d3fa4b22b061006e717665d8"/>
                <w:id w:val="189269430"/>
                <w:lock w:val="sdtLocked"/>
              </w:sdtPr>
              <w:sdtEndPr/>
              <w:sdtContent>
                <w:tc>
                  <w:tcPr>
                    <w:tcW w:w="2543" w:type="pct"/>
                    <w:shd w:val="clear" w:color="auto" w:fill="auto"/>
                    <w:vAlign w:val="center"/>
                  </w:tcPr>
                  <w:p w14:paraId="5E7F905D" w14:textId="77777777" w:rsidR="00471D53" w:rsidRDefault="004F686E" w:rsidP="00471D53">
                    <w:pPr>
                      <w:jc w:val="center"/>
                      <w:rPr>
                        <w:szCs w:val="21"/>
                      </w:rPr>
                    </w:pPr>
                    <w:r>
                      <w:rPr>
                        <w:rFonts w:hint="eastAsia"/>
                        <w:szCs w:val="21"/>
                      </w:rPr>
                      <w:t>纳税主体名称</w:t>
                    </w:r>
                  </w:p>
                </w:tc>
              </w:sdtContent>
            </w:sdt>
            <w:sdt>
              <w:sdtPr>
                <w:tag w:val="_PLD_5c2541995bc04204a53104c1e5a4c9da"/>
                <w:id w:val="1953048874"/>
                <w:lock w:val="sdtLocked"/>
              </w:sdtPr>
              <w:sdtEndPr/>
              <w:sdtContent>
                <w:tc>
                  <w:tcPr>
                    <w:tcW w:w="2457" w:type="pct"/>
                    <w:shd w:val="clear" w:color="auto" w:fill="auto"/>
                    <w:vAlign w:val="center"/>
                  </w:tcPr>
                  <w:p w14:paraId="03D4D5E1" w14:textId="77777777" w:rsidR="00471D53" w:rsidRDefault="004F686E" w:rsidP="00471D53">
                    <w:pPr>
                      <w:jc w:val="center"/>
                      <w:rPr>
                        <w:szCs w:val="21"/>
                      </w:rPr>
                    </w:pPr>
                    <w:r>
                      <w:rPr>
                        <w:rFonts w:hint="eastAsia"/>
                        <w:szCs w:val="21"/>
                      </w:rPr>
                      <w:t>所得税税率（%）</w:t>
                    </w:r>
                  </w:p>
                </w:tc>
              </w:sdtContent>
            </w:sdt>
          </w:tr>
          <w:sdt>
            <w:sdtPr>
              <w:rPr>
                <w:szCs w:val="21"/>
              </w:rPr>
              <w:alias w:val="不同纳税主体所得税税率说明明细"/>
              <w:tag w:val="_GBC_e71b3f1578da465088bdd975b9618640"/>
              <w:id w:val="2096055196"/>
              <w:lock w:val="sdtLocked"/>
            </w:sdtPr>
            <w:sdtEndPr/>
            <w:sdtContent>
              <w:tr w:rsidR="00471D53" w14:paraId="5B42CA34" w14:textId="77777777" w:rsidTr="00471D53">
                <w:tc>
                  <w:tcPr>
                    <w:tcW w:w="2543" w:type="pct"/>
                    <w:shd w:val="clear" w:color="auto" w:fill="auto"/>
                    <w:vAlign w:val="center"/>
                  </w:tcPr>
                  <w:p w14:paraId="6C73789F" w14:textId="77777777" w:rsidR="00471D53" w:rsidRDefault="004F686E" w:rsidP="00471D53">
                    <w:pPr>
                      <w:rPr>
                        <w:szCs w:val="21"/>
                      </w:rPr>
                    </w:pPr>
                    <w:r>
                      <w:t>本公司</w:t>
                    </w:r>
                  </w:p>
                </w:tc>
                <w:tc>
                  <w:tcPr>
                    <w:tcW w:w="2457" w:type="pct"/>
                    <w:shd w:val="clear" w:color="auto" w:fill="auto"/>
                  </w:tcPr>
                  <w:p w14:paraId="24E75F61" w14:textId="77777777" w:rsidR="00471D53" w:rsidRDefault="004F686E" w:rsidP="00471D53">
                    <w:pPr>
                      <w:jc w:val="right"/>
                      <w:rPr>
                        <w:szCs w:val="21"/>
                      </w:rPr>
                    </w:pPr>
                    <w:r>
                      <w:t>25%</w:t>
                    </w:r>
                  </w:p>
                </w:tc>
              </w:tr>
            </w:sdtContent>
          </w:sdt>
          <w:sdt>
            <w:sdtPr>
              <w:rPr>
                <w:szCs w:val="21"/>
              </w:rPr>
              <w:alias w:val="不同纳税主体所得税税率说明明细"/>
              <w:tag w:val="_GBC_e71b3f1578da465088bdd975b9618640"/>
              <w:id w:val="21449417"/>
              <w:lock w:val="sdtLocked"/>
            </w:sdtPr>
            <w:sdtEndPr/>
            <w:sdtContent>
              <w:tr w:rsidR="00471D53" w14:paraId="3C406C53" w14:textId="77777777" w:rsidTr="00471D53">
                <w:tc>
                  <w:tcPr>
                    <w:tcW w:w="2543" w:type="pct"/>
                    <w:shd w:val="clear" w:color="auto" w:fill="auto"/>
                    <w:vAlign w:val="center"/>
                  </w:tcPr>
                  <w:p w14:paraId="29D2CE90" w14:textId="77777777" w:rsidR="00471D53" w:rsidRDefault="004F686E" w:rsidP="00471D53">
                    <w:pPr>
                      <w:rPr>
                        <w:szCs w:val="21"/>
                      </w:rPr>
                    </w:pPr>
                    <w:r>
                      <w:t>北京天海工业有限公司</w:t>
                    </w:r>
                  </w:p>
                </w:tc>
                <w:tc>
                  <w:tcPr>
                    <w:tcW w:w="2457" w:type="pct"/>
                    <w:shd w:val="clear" w:color="auto" w:fill="auto"/>
                  </w:tcPr>
                  <w:p w14:paraId="174B3BC3" w14:textId="77777777" w:rsidR="00471D53" w:rsidRDefault="004F686E" w:rsidP="00471D53">
                    <w:pPr>
                      <w:jc w:val="right"/>
                      <w:rPr>
                        <w:szCs w:val="21"/>
                      </w:rPr>
                    </w:pPr>
                    <w:r>
                      <w:t>15%</w:t>
                    </w:r>
                  </w:p>
                </w:tc>
              </w:tr>
            </w:sdtContent>
          </w:sdt>
          <w:sdt>
            <w:sdtPr>
              <w:rPr>
                <w:szCs w:val="21"/>
              </w:rPr>
              <w:alias w:val="不同纳税主体所得税税率说明明细"/>
              <w:tag w:val="_GBC_e71b3f1578da465088bdd975b9618640"/>
              <w:id w:val="1527287478"/>
              <w:lock w:val="sdtLocked"/>
            </w:sdtPr>
            <w:sdtEndPr/>
            <w:sdtContent>
              <w:tr w:rsidR="00471D53" w14:paraId="3CBB4EC1" w14:textId="77777777" w:rsidTr="00471D53">
                <w:tc>
                  <w:tcPr>
                    <w:tcW w:w="2543" w:type="pct"/>
                    <w:shd w:val="clear" w:color="auto" w:fill="auto"/>
                    <w:vAlign w:val="center"/>
                  </w:tcPr>
                  <w:p w14:paraId="47346A36" w14:textId="77777777" w:rsidR="00471D53" w:rsidRDefault="004F686E" w:rsidP="00471D53">
                    <w:pPr>
                      <w:rPr>
                        <w:szCs w:val="21"/>
                      </w:rPr>
                    </w:pPr>
                    <w:r>
                      <w:t>天津天海高压容器有限责任公司</w:t>
                    </w:r>
                  </w:p>
                </w:tc>
                <w:tc>
                  <w:tcPr>
                    <w:tcW w:w="2457" w:type="pct"/>
                    <w:shd w:val="clear" w:color="auto" w:fill="auto"/>
                  </w:tcPr>
                  <w:p w14:paraId="40DB6B97" w14:textId="77777777" w:rsidR="00471D53" w:rsidRDefault="004F686E" w:rsidP="00471D53">
                    <w:pPr>
                      <w:jc w:val="right"/>
                      <w:rPr>
                        <w:szCs w:val="21"/>
                      </w:rPr>
                    </w:pPr>
                    <w:r>
                      <w:t>25%</w:t>
                    </w:r>
                  </w:p>
                </w:tc>
              </w:tr>
            </w:sdtContent>
          </w:sdt>
          <w:sdt>
            <w:sdtPr>
              <w:rPr>
                <w:szCs w:val="21"/>
              </w:rPr>
              <w:alias w:val="不同纳税主体所得税税率说明明细"/>
              <w:tag w:val="_GBC_e71b3f1578da465088bdd975b9618640"/>
              <w:id w:val="1090276681"/>
              <w:lock w:val="sdtLocked"/>
            </w:sdtPr>
            <w:sdtEndPr/>
            <w:sdtContent>
              <w:tr w:rsidR="00471D53" w14:paraId="799CF857" w14:textId="77777777" w:rsidTr="00471D53">
                <w:tc>
                  <w:tcPr>
                    <w:tcW w:w="2543" w:type="pct"/>
                    <w:shd w:val="clear" w:color="auto" w:fill="auto"/>
                    <w:vAlign w:val="center"/>
                  </w:tcPr>
                  <w:p w14:paraId="48194E8C" w14:textId="77777777" w:rsidR="00471D53" w:rsidRDefault="004F686E" w:rsidP="00471D53">
                    <w:pPr>
                      <w:rPr>
                        <w:szCs w:val="21"/>
                      </w:rPr>
                    </w:pPr>
                    <w:r>
                      <w:t>上海天海复合气瓶有限公司</w:t>
                    </w:r>
                  </w:p>
                </w:tc>
                <w:tc>
                  <w:tcPr>
                    <w:tcW w:w="2457" w:type="pct"/>
                    <w:shd w:val="clear" w:color="auto" w:fill="auto"/>
                  </w:tcPr>
                  <w:p w14:paraId="0DE73305" w14:textId="77777777" w:rsidR="00471D53" w:rsidRDefault="004F686E" w:rsidP="00471D53">
                    <w:pPr>
                      <w:jc w:val="right"/>
                      <w:rPr>
                        <w:szCs w:val="21"/>
                      </w:rPr>
                    </w:pPr>
                    <w:r>
                      <w:t>25%</w:t>
                    </w:r>
                  </w:p>
                </w:tc>
              </w:tr>
            </w:sdtContent>
          </w:sdt>
          <w:sdt>
            <w:sdtPr>
              <w:rPr>
                <w:szCs w:val="21"/>
              </w:rPr>
              <w:alias w:val="不同纳税主体所得税税率说明明细"/>
              <w:tag w:val="_GBC_e71b3f1578da465088bdd975b9618640"/>
              <w:id w:val="756862057"/>
              <w:lock w:val="sdtLocked"/>
            </w:sdtPr>
            <w:sdtEndPr/>
            <w:sdtContent>
              <w:tr w:rsidR="00471D53" w14:paraId="0B15F4E0" w14:textId="77777777" w:rsidTr="00471D53">
                <w:tc>
                  <w:tcPr>
                    <w:tcW w:w="2543" w:type="pct"/>
                    <w:shd w:val="clear" w:color="auto" w:fill="auto"/>
                    <w:vAlign w:val="center"/>
                  </w:tcPr>
                  <w:p w14:paraId="53D991CB" w14:textId="77777777" w:rsidR="00471D53" w:rsidRDefault="004F686E" w:rsidP="00471D53">
                    <w:pPr>
                      <w:rPr>
                        <w:szCs w:val="21"/>
                      </w:rPr>
                    </w:pPr>
                    <w:r>
                      <w:t>北京天海低温设备有限公司</w:t>
                    </w:r>
                  </w:p>
                </w:tc>
                <w:tc>
                  <w:tcPr>
                    <w:tcW w:w="2457" w:type="pct"/>
                    <w:shd w:val="clear" w:color="auto" w:fill="auto"/>
                  </w:tcPr>
                  <w:p w14:paraId="5CBAF355" w14:textId="77777777" w:rsidR="00471D53" w:rsidRDefault="004F686E" w:rsidP="00471D53">
                    <w:pPr>
                      <w:jc w:val="right"/>
                      <w:rPr>
                        <w:szCs w:val="21"/>
                      </w:rPr>
                    </w:pPr>
                    <w:r>
                      <w:t>25%</w:t>
                    </w:r>
                  </w:p>
                </w:tc>
              </w:tr>
            </w:sdtContent>
          </w:sdt>
          <w:sdt>
            <w:sdtPr>
              <w:rPr>
                <w:szCs w:val="21"/>
              </w:rPr>
              <w:alias w:val="不同纳税主体所得税税率说明明细"/>
              <w:tag w:val="_GBC_e71b3f1578da465088bdd975b9618640"/>
              <w:id w:val="1116028297"/>
              <w:lock w:val="sdtLocked"/>
            </w:sdtPr>
            <w:sdtEndPr/>
            <w:sdtContent>
              <w:tr w:rsidR="00471D53" w14:paraId="7DEC1A6F" w14:textId="77777777" w:rsidTr="00471D53">
                <w:tc>
                  <w:tcPr>
                    <w:tcW w:w="2543" w:type="pct"/>
                    <w:shd w:val="clear" w:color="auto" w:fill="auto"/>
                    <w:vAlign w:val="center"/>
                  </w:tcPr>
                  <w:p w14:paraId="7C971ED8" w14:textId="77777777" w:rsidR="00471D53" w:rsidRDefault="004F686E" w:rsidP="00471D53">
                    <w:pPr>
                      <w:rPr>
                        <w:szCs w:val="21"/>
                      </w:rPr>
                    </w:pPr>
                    <w:r>
                      <w:t>北京天海氢能装备有限公司</w:t>
                    </w:r>
                  </w:p>
                </w:tc>
                <w:tc>
                  <w:tcPr>
                    <w:tcW w:w="2457" w:type="pct"/>
                    <w:shd w:val="clear" w:color="auto" w:fill="auto"/>
                  </w:tcPr>
                  <w:p w14:paraId="4C874EF0" w14:textId="77777777" w:rsidR="00471D53" w:rsidRDefault="004F686E" w:rsidP="00471D53">
                    <w:pPr>
                      <w:jc w:val="right"/>
                      <w:rPr>
                        <w:szCs w:val="21"/>
                      </w:rPr>
                    </w:pPr>
                    <w:r>
                      <w:t>25%</w:t>
                    </w:r>
                  </w:p>
                </w:tc>
              </w:tr>
            </w:sdtContent>
          </w:sdt>
          <w:sdt>
            <w:sdtPr>
              <w:rPr>
                <w:szCs w:val="21"/>
              </w:rPr>
              <w:alias w:val="不同纳税主体所得税税率说明明细"/>
              <w:tag w:val="_GBC_e71b3f1578da465088bdd975b9618640"/>
              <w:id w:val="-63567574"/>
              <w:lock w:val="sdtLocked"/>
            </w:sdtPr>
            <w:sdtEndPr/>
            <w:sdtContent>
              <w:tr w:rsidR="00471D53" w14:paraId="2EE9B25A" w14:textId="77777777" w:rsidTr="00471D53">
                <w:tc>
                  <w:tcPr>
                    <w:tcW w:w="2543" w:type="pct"/>
                    <w:shd w:val="clear" w:color="auto" w:fill="auto"/>
                    <w:vAlign w:val="center"/>
                  </w:tcPr>
                  <w:p w14:paraId="1EFD946A" w14:textId="77777777" w:rsidR="00471D53" w:rsidRDefault="004F686E" w:rsidP="00471D53">
                    <w:pPr>
                      <w:rPr>
                        <w:szCs w:val="21"/>
                      </w:rPr>
                    </w:pPr>
                    <w:r>
                      <w:t>北京明晖天海气体储运装备销售有限公司</w:t>
                    </w:r>
                  </w:p>
                </w:tc>
                <w:tc>
                  <w:tcPr>
                    <w:tcW w:w="2457" w:type="pct"/>
                    <w:shd w:val="clear" w:color="auto" w:fill="auto"/>
                  </w:tcPr>
                  <w:p w14:paraId="01337A5B" w14:textId="77777777" w:rsidR="00471D53" w:rsidRDefault="004F686E" w:rsidP="00471D53">
                    <w:pPr>
                      <w:jc w:val="right"/>
                      <w:rPr>
                        <w:szCs w:val="21"/>
                      </w:rPr>
                    </w:pPr>
                    <w:r>
                      <w:t>25%</w:t>
                    </w:r>
                  </w:p>
                </w:tc>
              </w:tr>
            </w:sdtContent>
          </w:sdt>
          <w:sdt>
            <w:sdtPr>
              <w:rPr>
                <w:szCs w:val="21"/>
              </w:rPr>
              <w:alias w:val="不同纳税主体所得税税率说明明细"/>
              <w:tag w:val="_GBC_e71b3f1578da465088bdd975b9618640"/>
              <w:id w:val="-659001503"/>
              <w:lock w:val="sdtLocked"/>
            </w:sdtPr>
            <w:sdtEndPr/>
            <w:sdtContent>
              <w:tr w:rsidR="00471D53" w14:paraId="4902B6C2" w14:textId="77777777" w:rsidTr="00471D53">
                <w:tc>
                  <w:tcPr>
                    <w:tcW w:w="2543" w:type="pct"/>
                    <w:shd w:val="clear" w:color="auto" w:fill="auto"/>
                    <w:vAlign w:val="center"/>
                  </w:tcPr>
                  <w:p w14:paraId="5319D4F3" w14:textId="77777777" w:rsidR="00471D53" w:rsidRDefault="004F686E" w:rsidP="00471D53">
                    <w:pPr>
                      <w:rPr>
                        <w:szCs w:val="21"/>
                      </w:rPr>
                    </w:pPr>
                    <w:r>
                      <w:t>宽城天海压力容器有限公司</w:t>
                    </w:r>
                  </w:p>
                </w:tc>
                <w:tc>
                  <w:tcPr>
                    <w:tcW w:w="2457" w:type="pct"/>
                    <w:shd w:val="clear" w:color="auto" w:fill="auto"/>
                  </w:tcPr>
                  <w:p w14:paraId="210B492B" w14:textId="77777777" w:rsidR="00471D53" w:rsidRDefault="004F686E" w:rsidP="00471D53">
                    <w:pPr>
                      <w:jc w:val="right"/>
                      <w:rPr>
                        <w:szCs w:val="21"/>
                      </w:rPr>
                    </w:pPr>
                    <w:r>
                      <w:t>25%</w:t>
                    </w:r>
                  </w:p>
                </w:tc>
              </w:tr>
            </w:sdtContent>
          </w:sdt>
          <w:sdt>
            <w:sdtPr>
              <w:rPr>
                <w:szCs w:val="21"/>
              </w:rPr>
              <w:alias w:val="不同纳税主体所得税税率说明明细"/>
              <w:tag w:val="_GBC_e71b3f1578da465088bdd975b9618640"/>
              <w:id w:val="924616299"/>
              <w:lock w:val="sdtLocked"/>
            </w:sdtPr>
            <w:sdtEndPr/>
            <w:sdtContent>
              <w:tr w:rsidR="00471D53" w14:paraId="2B3DF557" w14:textId="77777777" w:rsidTr="00471D53">
                <w:tc>
                  <w:tcPr>
                    <w:tcW w:w="2543" w:type="pct"/>
                    <w:shd w:val="clear" w:color="auto" w:fill="auto"/>
                    <w:vAlign w:val="center"/>
                  </w:tcPr>
                  <w:p w14:paraId="641A085B" w14:textId="7958B90E" w:rsidR="00471D53" w:rsidRDefault="004F686E" w:rsidP="00471D53">
                    <w:pPr>
                      <w:rPr>
                        <w:szCs w:val="21"/>
                      </w:rPr>
                    </w:pPr>
                    <w:r>
                      <w:t>BTICAMERICACORPORATION（天海美洲公司）</w:t>
                    </w:r>
                  </w:p>
                </w:tc>
                <w:tc>
                  <w:tcPr>
                    <w:tcW w:w="2457" w:type="pct"/>
                    <w:shd w:val="clear" w:color="auto" w:fill="auto"/>
                  </w:tcPr>
                  <w:p w14:paraId="55BF6978" w14:textId="77777777" w:rsidR="00471D53" w:rsidRDefault="004F686E" w:rsidP="00471D53">
                    <w:pPr>
                      <w:jc w:val="right"/>
                      <w:rPr>
                        <w:szCs w:val="21"/>
                      </w:rPr>
                    </w:pPr>
                    <w:r>
                      <w:t>21%</w:t>
                    </w:r>
                  </w:p>
                </w:tc>
              </w:tr>
            </w:sdtContent>
          </w:sdt>
          <w:sdt>
            <w:sdtPr>
              <w:rPr>
                <w:szCs w:val="21"/>
              </w:rPr>
              <w:alias w:val="不同纳税主体所得税税率说明明细"/>
              <w:tag w:val="_GBC_e71b3f1578da465088bdd975b9618640"/>
              <w:id w:val="228199370"/>
              <w:lock w:val="sdtLocked"/>
            </w:sdtPr>
            <w:sdtEndPr/>
            <w:sdtContent>
              <w:tr w:rsidR="00471D53" w14:paraId="1861046E" w14:textId="77777777" w:rsidTr="00471D53">
                <w:tc>
                  <w:tcPr>
                    <w:tcW w:w="2543" w:type="pct"/>
                    <w:shd w:val="clear" w:color="auto" w:fill="auto"/>
                    <w:vAlign w:val="center"/>
                  </w:tcPr>
                  <w:p w14:paraId="574189FB" w14:textId="77777777" w:rsidR="00471D53" w:rsidRDefault="004F686E" w:rsidP="00471D53">
                    <w:pPr>
                      <w:rPr>
                        <w:szCs w:val="21"/>
                      </w:rPr>
                    </w:pPr>
                    <w:r>
                      <w:t>京城控股（香港）有限公司</w:t>
                    </w:r>
                  </w:p>
                </w:tc>
                <w:tc>
                  <w:tcPr>
                    <w:tcW w:w="2457" w:type="pct"/>
                    <w:shd w:val="clear" w:color="auto" w:fill="auto"/>
                  </w:tcPr>
                  <w:p w14:paraId="08574E3C" w14:textId="77777777" w:rsidR="00471D53" w:rsidRDefault="004F686E" w:rsidP="00471D53">
                    <w:pPr>
                      <w:jc w:val="right"/>
                      <w:rPr>
                        <w:szCs w:val="21"/>
                      </w:rPr>
                    </w:pPr>
                    <w:r>
                      <w:t>16.50%</w:t>
                    </w:r>
                  </w:p>
                </w:tc>
              </w:tr>
            </w:sdtContent>
          </w:sdt>
          <w:bookmarkEnd w:id="106"/>
        </w:tbl>
        <w:p w14:paraId="671F2843" w14:textId="77777777" w:rsidR="00471D53" w:rsidRDefault="00B664AF"/>
        <w:p w14:paraId="315870D3" w14:textId="77777777" w:rsidR="00471D53" w:rsidRDefault="00B664AF">
          <w:pPr>
            <w:rPr>
              <w:szCs w:val="21"/>
            </w:rPr>
          </w:pPr>
        </w:p>
      </w:sdtContent>
    </w:sdt>
    <w:sdt>
      <w:sdtPr>
        <w:rPr>
          <w:rFonts w:ascii="宋体" w:hAnsi="宋体" w:cs="宋体"/>
          <w:b w:val="0"/>
          <w:bCs w:val="0"/>
          <w:kern w:val="0"/>
          <w:sz w:val="24"/>
          <w:szCs w:val="22"/>
        </w:rPr>
        <w:alias w:val="模块:税收优惠及批文"/>
        <w:tag w:val="_GBC_8efa381cc976417f9135f0c744d05452"/>
        <w:id w:val="-1804609505"/>
        <w:lock w:val="sdtLocked"/>
        <w:placeholder>
          <w:docPart w:val="GBC22222222222222222222222222222"/>
        </w:placeholder>
      </w:sdtPr>
      <w:sdtEndPr>
        <w:rPr>
          <w:rFonts w:cs="Times New Roman" w:hint="eastAsia"/>
          <w:kern w:val="2"/>
          <w:sz w:val="21"/>
          <w:szCs w:val="21"/>
        </w:rPr>
      </w:sdtEndPr>
      <w:sdtContent>
        <w:p w14:paraId="7FD0B511" w14:textId="77777777" w:rsidR="00471D53" w:rsidRDefault="004F686E" w:rsidP="004F686E">
          <w:pPr>
            <w:pStyle w:val="afffff7"/>
            <w:numPr>
              <w:ilvl w:val="0"/>
              <w:numId w:val="54"/>
            </w:numPr>
            <w:tabs>
              <w:tab w:val="left" w:pos="546"/>
            </w:tabs>
            <w:rPr>
              <w:rFonts w:ascii="宋体" w:hAnsi="宋体"/>
            </w:rPr>
          </w:pPr>
          <w:r>
            <w:rPr>
              <w:rFonts w:ascii="宋体" w:hAnsi="宋体"/>
            </w:rPr>
            <w:t>税收优惠</w:t>
          </w:r>
        </w:p>
        <w:sdt>
          <w:sdtPr>
            <w:rPr>
              <w:rFonts w:hint="eastAsia"/>
              <w:szCs w:val="21"/>
            </w:rPr>
            <w:alias w:val="是否适用：税收优惠[双击切换]"/>
            <w:tag w:val="_GBC_f8eb23e7a2e74e448e4eb46519d87bd6"/>
            <w:id w:val="-712108575"/>
            <w:lock w:val="sdtLocked"/>
            <w:placeholder>
              <w:docPart w:val="GBC22222222222222222222222222222"/>
            </w:placeholder>
          </w:sdtPr>
          <w:sdtEndPr/>
          <w:sdtContent>
            <w:p w14:paraId="04BF4B22" w14:textId="77777777" w:rsidR="00471D53" w:rsidRDefault="004F686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bCs w:val="0"/>
              <w:szCs w:val="21"/>
            </w:rPr>
            <w:alias w:val="优惠税赋及批文"/>
            <w:tag w:val="_GBC_3bbdacdaa3ba421fb8a81b9bda047bb4"/>
            <w:id w:val="-1729917723"/>
            <w:lock w:val="sdtLocked"/>
            <w:placeholder>
              <w:docPart w:val="GBC22222222222222222222222222222"/>
            </w:placeholder>
          </w:sdtPr>
          <w:sdtEndPr/>
          <w:sdtContent>
            <w:p w14:paraId="40A58A4D" w14:textId="77777777" w:rsidR="00471D53" w:rsidRDefault="004F686E" w:rsidP="00471D53">
              <w:pPr>
                <w:pStyle w:val="afffffffff8"/>
                <w:spacing w:beforeLines="50" w:before="120" w:afterLines="50" w:after="120" w:line="360" w:lineRule="exact"/>
                <w:ind w:left="1" w:firstLineChars="200" w:firstLine="420"/>
                <w:rPr>
                  <w:sz w:val="22"/>
                  <w:szCs w:val="22"/>
                </w:rPr>
              </w:pPr>
              <w:r>
                <w:rPr>
                  <w:rFonts w:hint="eastAsia"/>
                  <w:sz w:val="22"/>
                  <w:szCs w:val="22"/>
                </w:rPr>
                <w:t>本公司之子公司北京天海工业有限公司</w:t>
              </w:r>
              <w:bookmarkStart w:id="107" w:name="_Hlk36027151"/>
              <w:r>
                <w:rPr>
                  <w:sz w:val="22"/>
                  <w:szCs w:val="22"/>
                </w:rPr>
                <w:t>2019年12月2日</w:t>
              </w:r>
              <w:bookmarkEnd w:id="107"/>
              <w:r>
                <w:rPr>
                  <w:rFonts w:hint="eastAsia"/>
                  <w:sz w:val="22"/>
                  <w:szCs w:val="22"/>
                </w:rPr>
                <w:t>取得由北京市科学技术委员会、北京市财政局、北京市国家税务局、北京市地方税务局联合颁发的证书号为</w:t>
              </w:r>
              <w:r>
                <w:rPr>
                  <w:sz w:val="22"/>
                  <w:szCs w:val="22"/>
                </w:rPr>
                <w:t>GR201911006923</w:t>
              </w:r>
              <w:r>
                <w:rPr>
                  <w:rFonts w:hint="eastAsia"/>
                  <w:sz w:val="22"/>
                  <w:szCs w:val="22"/>
                </w:rPr>
                <w:t>的高新技术企业证书</w:t>
              </w:r>
              <w:r>
                <w:rPr>
                  <w:sz w:val="22"/>
                  <w:szCs w:val="22"/>
                </w:rPr>
                <w:t>，</w:t>
              </w:r>
              <w:r>
                <w:rPr>
                  <w:rFonts w:hint="eastAsia"/>
                  <w:sz w:val="22"/>
                  <w:szCs w:val="22"/>
                </w:rPr>
                <w:t>证书有效期为三年</w:t>
              </w:r>
              <w:r>
                <w:rPr>
                  <w:sz w:val="22"/>
                  <w:szCs w:val="22"/>
                </w:rPr>
                <w:t>。</w:t>
              </w:r>
              <w:r>
                <w:rPr>
                  <w:rFonts w:hint="eastAsia"/>
                  <w:sz w:val="22"/>
                  <w:szCs w:val="22"/>
                </w:rPr>
                <w:t>2020年度按15%的企业所得税优惠税率计提企业所得税。</w:t>
              </w:r>
            </w:p>
            <w:p w14:paraId="29B79506" w14:textId="08FA8A83" w:rsidR="00471D53" w:rsidRDefault="004F686E" w:rsidP="00471D53">
              <w:pPr>
                <w:pStyle w:val="afffffffff8"/>
                <w:spacing w:beforeLines="50" w:before="120" w:afterLines="50" w:after="120" w:line="360" w:lineRule="exact"/>
                <w:ind w:firstLineChars="200" w:firstLine="440"/>
                <w:rPr>
                  <w:sz w:val="22"/>
                  <w:szCs w:val="22"/>
                </w:rPr>
              </w:pPr>
              <w:bookmarkStart w:id="108" w:name="_Hlk36026772"/>
              <w:bookmarkStart w:id="109" w:name="_Hlk36027110"/>
              <w:r>
                <w:rPr>
                  <w:rFonts w:hint="eastAsia"/>
                  <w:sz w:val="22"/>
                  <w:szCs w:val="22"/>
                </w:rPr>
                <w:t>根据《财政部</w:t>
              </w:r>
              <w:r>
                <w:rPr>
                  <w:sz w:val="22"/>
                  <w:szCs w:val="22"/>
                </w:rPr>
                <w:t>国家税务总局关于延长高新技术企业和科技型中小企业亏损结转年限的通知》财税[2018]76号，自2018年1月1日起，当年具备高新技术企业或科技型中小企业资格（以下统称资格）的企业，其具备资格年度之前5个年度发生的尚未弥补完的亏损，准予结转以后年度弥补，最长结转年限由5年延长至10年</w:t>
              </w:r>
              <w:bookmarkEnd w:id="108"/>
              <w:r>
                <w:rPr>
                  <w:sz w:val="22"/>
                  <w:szCs w:val="22"/>
                </w:rPr>
                <w:t>。</w:t>
              </w:r>
            </w:p>
            <w:p w14:paraId="02DCE25F" w14:textId="77777777" w:rsidR="00471D53" w:rsidRDefault="00B664AF">
              <w:pPr>
                <w:rPr>
                  <w:szCs w:val="21"/>
                </w:rPr>
              </w:pPr>
            </w:p>
            <w:bookmarkEnd w:id="109" w:displacedByCustomXml="next"/>
          </w:sdtContent>
        </w:sdt>
        <w:p w14:paraId="62C64359" w14:textId="77777777" w:rsidR="00471D53" w:rsidRDefault="00B664AF">
          <w:pPr>
            <w:rPr>
              <w:szCs w:val="21"/>
            </w:rPr>
          </w:pPr>
        </w:p>
      </w:sdtContent>
    </w:sdt>
    <w:sdt>
      <w:sdtPr>
        <w:rPr>
          <w:rFonts w:ascii="宋体" w:hAnsi="宋体" w:cs="宋体"/>
          <w:b w:val="0"/>
          <w:bCs w:val="0"/>
          <w:kern w:val="0"/>
          <w:sz w:val="24"/>
          <w:szCs w:val="22"/>
        </w:rPr>
        <w:alias w:val="模块:其他说明"/>
        <w:tag w:val="_GBC_9fdef48633e142f68e18dc5da08c2deb"/>
        <w:id w:val="-1289343110"/>
        <w:lock w:val="sdtLocked"/>
        <w:placeholder>
          <w:docPart w:val="GBC22222222222222222222222222222"/>
        </w:placeholder>
      </w:sdtPr>
      <w:sdtEndPr>
        <w:rPr>
          <w:rFonts w:cs="Times New Roman" w:hint="eastAsia"/>
          <w:kern w:val="2"/>
          <w:sz w:val="21"/>
          <w:szCs w:val="21"/>
        </w:rPr>
      </w:sdtEndPr>
      <w:sdtContent>
        <w:p w14:paraId="69CBC2D6" w14:textId="77777777" w:rsidR="00471D53" w:rsidRDefault="004F686E" w:rsidP="004F686E">
          <w:pPr>
            <w:pStyle w:val="afffff7"/>
            <w:numPr>
              <w:ilvl w:val="0"/>
              <w:numId w:val="54"/>
            </w:numPr>
            <w:tabs>
              <w:tab w:val="left" w:pos="546"/>
            </w:tabs>
            <w:rPr>
              <w:rFonts w:ascii="宋体" w:hAnsi="宋体"/>
            </w:rPr>
          </w:pPr>
          <w:r>
            <w:rPr>
              <w:rFonts w:ascii="宋体" w:hAnsi="宋体"/>
            </w:rPr>
            <w:t>其他</w:t>
          </w:r>
        </w:p>
        <w:sdt>
          <w:sdtPr>
            <w:rPr>
              <w:rFonts w:hint="eastAsia"/>
              <w:szCs w:val="21"/>
            </w:rPr>
            <w:alias w:val="是否适用：税项说明[双击切换]"/>
            <w:tag w:val="_GBC_566ef0a7141a4b2ca002ad8d0663c462"/>
            <w:id w:val="-1918930773"/>
            <w:lock w:val="sdtLocked"/>
            <w:placeholder>
              <w:docPart w:val="GBC22222222222222222222222222222"/>
            </w:placeholder>
          </w:sdtPr>
          <w:sdtEndPr/>
          <w:sdtContent>
            <w:p w14:paraId="48FE7C95" w14:textId="77777777" w:rsidR="00471D53" w:rsidRDefault="004F686E" w:rsidP="00471D5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14:paraId="7661A838" w14:textId="77777777" w:rsidR="00471D53" w:rsidRDefault="00B664AF"/>
    <w:p w14:paraId="1B7F734B" w14:textId="77777777" w:rsidR="00471D53" w:rsidRDefault="004F686E" w:rsidP="004F686E">
      <w:pPr>
        <w:pStyle w:val="afffff6"/>
        <w:numPr>
          <w:ilvl w:val="0"/>
          <w:numId w:val="35"/>
        </w:numPr>
        <w:ind w:left="422" w:hanging="422"/>
        <w:rPr>
          <w:rFonts w:ascii="宋体" w:hAnsi="宋体"/>
        </w:rPr>
      </w:pPr>
      <w:r>
        <w:rPr>
          <w:rFonts w:ascii="宋体" w:hAnsi="宋体" w:hint="eastAsia"/>
        </w:rPr>
        <w:t>合并财务报表项目注释</w:t>
      </w:r>
    </w:p>
    <w:sdt>
      <w:sdtPr>
        <w:rPr>
          <w:rFonts w:ascii="宋体" w:hAnsi="宋体" w:cs="宋体" w:hint="eastAsia"/>
          <w:b w:val="0"/>
          <w:bCs w:val="0"/>
          <w:kern w:val="0"/>
          <w:szCs w:val="21"/>
        </w:rPr>
        <w:alias w:val="模块:货币资金"/>
        <w:tag w:val="_GBC_e001074b3db146e59ba240ad8dd14b68"/>
        <w:id w:val="-1145279095"/>
        <w:lock w:val="sdtLocked"/>
        <w:placeholder>
          <w:docPart w:val="GBC22222222222222222222222222222"/>
        </w:placeholder>
      </w:sdtPr>
      <w:sdtEndPr/>
      <w:sdtContent>
        <w:p w14:paraId="0376BCF9" w14:textId="77777777" w:rsidR="00471D53" w:rsidRDefault="004F686E" w:rsidP="004F686E">
          <w:pPr>
            <w:pStyle w:val="afffff7"/>
            <w:numPr>
              <w:ilvl w:val="0"/>
              <w:numId w:val="55"/>
            </w:numPr>
            <w:rPr>
              <w:rFonts w:ascii="宋体" w:hAnsi="宋体"/>
            </w:rPr>
          </w:pPr>
          <w:r>
            <w:rPr>
              <w:rFonts w:ascii="宋体" w:hAnsi="宋体" w:hint="eastAsia"/>
            </w:rPr>
            <w:t>货币资金</w:t>
          </w:r>
        </w:p>
        <w:sdt>
          <w:sdtPr>
            <w:rPr>
              <w:rFonts w:hint="eastAsia"/>
              <w:szCs w:val="21"/>
            </w:rPr>
            <w:alias w:val="是否适用：货币资金[双击切换]"/>
            <w:tag w:val="_GBC_919482f2d209490ca80fb081aed88b28"/>
            <w:id w:val="-1598712346"/>
            <w:lock w:val="sdtLocked"/>
            <w:placeholder>
              <w:docPart w:val="GBC22222222222222222222222222222"/>
            </w:placeholder>
          </w:sdtPr>
          <w:sdtEndPr/>
          <w:sdtContent>
            <w:p w14:paraId="7D3C3CD3" w14:textId="77777777" w:rsidR="00471D53" w:rsidRDefault="004F686E">
              <w:pPr>
                <w:snapToGrid w:val="0"/>
                <w:spacing w:line="240" w:lineRule="atLeast"/>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33C97F6F" w14:textId="6CA894B5" w:rsidR="00471D53" w:rsidRDefault="004F686E">
          <w:pPr>
            <w:snapToGrid w:val="0"/>
            <w:spacing w:line="240" w:lineRule="atLeast"/>
            <w:jc w:val="right"/>
            <w:rPr>
              <w:szCs w:val="21"/>
            </w:rPr>
          </w:pPr>
          <w:r>
            <w:rPr>
              <w:rFonts w:hint="eastAsia"/>
              <w:szCs w:val="21"/>
            </w:rPr>
            <w:t>单位：</w:t>
          </w:r>
          <w:sdt>
            <w:sdtPr>
              <w:rPr>
                <w:rFonts w:hint="eastAsia"/>
                <w:szCs w:val="21"/>
              </w:rPr>
              <w:alias w:val="单位：财务附注：货币资金"/>
              <w:tag w:val="_GBC_837f4fb04cac4b8aa6bed7dc457a1486"/>
              <w:id w:val="-4637941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货币资金"/>
              <w:tag w:val="_GBC_6a1d907ad1af44b1a90a92ac03d51b34"/>
              <w:id w:val="-878502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16"/>
            <w:gridCol w:w="3291"/>
            <w:gridCol w:w="3316"/>
          </w:tblGrid>
          <w:tr w:rsidR="00471D53" w14:paraId="72101947" w14:textId="77777777" w:rsidTr="00474A51">
            <w:trPr>
              <w:cantSplit/>
            </w:trPr>
            <w:sdt>
              <w:sdtPr>
                <w:tag w:val="_PLD_970744f8614f4547819947c8fa3cacc3"/>
                <w:id w:val="929245648"/>
                <w:lock w:val="sdtLocked"/>
              </w:sdtPr>
              <w:sdtEndPr/>
              <w:sdtContent>
                <w:tc>
                  <w:tcPr>
                    <w:tcW w:w="1256" w:type="pct"/>
                    <w:shd w:val="clear" w:color="auto" w:fill="auto"/>
                    <w:vAlign w:val="center"/>
                  </w:tcPr>
                  <w:p w14:paraId="060DA273" w14:textId="77777777" w:rsidR="00471D53" w:rsidRDefault="004F686E">
                    <w:pPr>
                      <w:autoSpaceDE w:val="0"/>
                      <w:autoSpaceDN w:val="0"/>
                      <w:adjustRightInd w:val="0"/>
                      <w:snapToGrid w:val="0"/>
                      <w:spacing w:line="240" w:lineRule="atLeast"/>
                      <w:jc w:val="center"/>
                      <w:rPr>
                        <w:szCs w:val="21"/>
                      </w:rPr>
                    </w:pPr>
                    <w:r>
                      <w:rPr>
                        <w:rFonts w:hint="eastAsia"/>
                        <w:szCs w:val="21"/>
                      </w:rPr>
                      <w:t>项目</w:t>
                    </w:r>
                  </w:p>
                </w:tc>
              </w:sdtContent>
            </w:sdt>
            <w:sdt>
              <w:sdtPr>
                <w:tag w:val="_PLD_e10eddc0fb0b4cf087ec6eb5089b437a"/>
                <w:id w:val="1755014968"/>
                <w:lock w:val="sdtLocked"/>
              </w:sdtPr>
              <w:sdtEndPr/>
              <w:sdtContent>
                <w:tc>
                  <w:tcPr>
                    <w:tcW w:w="1865" w:type="pct"/>
                    <w:shd w:val="clear" w:color="auto" w:fill="auto"/>
                    <w:vAlign w:val="center"/>
                  </w:tcPr>
                  <w:p w14:paraId="33FC68B7" w14:textId="77777777" w:rsidR="00471D53" w:rsidRDefault="004F686E">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0e23cd11eeb14296ba53098fcca37e68"/>
                <w:id w:val="378678345"/>
                <w:lock w:val="sdtLocked"/>
              </w:sdtPr>
              <w:sdtEndPr/>
              <w:sdtContent>
                <w:tc>
                  <w:tcPr>
                    <w:tcW w:w="1879" w:type="pct"/>
                    <w:shd w:val="clear" w:color="auto" w:fill="auto"/>
                    <w:vAlign w:val="center"/>
                  </w:tcPr>
                  <w:p w14:paraId="43340E59" w14:textId="77777777" w:rsidR="00471D53" w:rsidRDefault="004F686E">
                    <w:pPr>
                      <w:autoSpaceDE w:val="0"/>
                      <w:autoSpaceDN w:val="0"/>
                      <w:adjustRightInd w:val="0"/>
                      <w:snapToGrid w:val="0"/>
                      <w:spacing w:line="240" w:lineRule="atLeast"/>
                      <w:jc w:val="center"/>
                      <w:rPr>
                        <w:szCs w:val="21"/>
                      </w:rPr>
                    </w:pPr>
                    <w:r>
                      <w:rPr>
                        <w:rFonts w:hint="eastAsia"/>
                        <w:szCs w:val="21"/>
                      </w:rPr>
                      <w:t>期初余额</w:t>
                    </w:r>
                  </w:p>
                </w:tc>
              </w:sdtContent>
            </w:sdt>
          </w:tr>
          <w:tr w:rsidR="00471D53" w14:paraId="63F6AAD8" w14:textId="77777777" w:rsidTr="00471D53">
            <w:trPr>
              <w:cantSplit/>
            </w:trPr>
            <w:sdt>
              <w:sdtPr>
                <w:tag w:val="_PLD_e371e767a9e24245856168b9f4428678"/>
                <w:id w:val="851832415"/>
                <w:lock w:val="sdtLocked"/>
              </w:sdtPr>
              <w:sdtEndPr/>
              <w:sdtContent>
                <w:tc>
                  <w:tcPr>
                    <w:tcW w:w="1256" w:type="pct"/>
                    <w:shd w:val="clear" w:color="auto" w:fill="auto"/>
                  </w:tcPr>
                  <w:p w14:paraId="6EA6A703" w14:textId="77777777" w:rsidR="00471D53" w:rsidRDefault="004F686E">
                    <w:pPr>
                      <w:autoSpaceDE w:val="0"/>
                      <w:autoSpaceDN w:val="0"/>
                      <w:adjustRightInd w:val="0"/>
                      <w:snapToGrid w:val="0"/>
                      <w:spacing w:line="240" w:lineRule="atLeast"/>
                      <w:rPr>
                        <w:szCs w:val="21"/>
                      </w:rPr>
                    </w:pPr>
                    <w:r>
                      <w:rPr>
                        <w:rFonts w:hint="eastAsia"/>
                        <w:szCs w:val="21"/>
                      </w:rPr>
                      <w:t>库存现金</w:t>
                    </w:r>
                  </w:p>
                </w:tc>
              </w:sdtContent>
            </w:sdt>
            <w:tc>
              <w:tcPr>
                <w:tcW w:w="1865" w:type="pct"/>
                <w:shd w:val="clear" w:color="auto" w:fill="auto"/>
                <w:vAlign w:val="center"/>
              </w:tcPr>
              <w:p w14:paraId="04E129AF" w14:textId="1AA691BA" w:rsidR="00471D53" w:rsidRDefault="004F686E" w:rsidP="00471D53">
                <w:pPr>
                  <w:jc w:val="right"/>
                  <w:rPr>
                    <w:sz w:val="22"/>
                    <w:szCs w:val="22"/>
                  </w:rPr>
                </w:pPr>
                <w:r>
                  <w:rPr>
                    <w:rFonts w:hint="eastAsia"/>
                    <w:sz w:val="22"/>
                    <w:szCs w:val="22"/>
                  </w:rPr>
                  <w:t>159,034.95</w:t>
                </w:r>
              </w:p>
            </w:tc>
            <w:tc>
              <w:tcPr>
                <w:tcW w:w="1879" w:type="pct"/>
                <w:shd w:val="clear" w:color="auto" w:fill="auto"/>
                <w:vAlign w:val="center"/>
              </w:tcPr>
              <w:p w14:paraId="4D08C191" w14:textId="77777777" w:rsidR="00471D53" w:rsidRDefault="004F686E" w:rsidP="00471D53">
                <w:pPr>
                  <w:jc w:val="right"/>
                  <w:rPr>
                    <w:sz w:val="22"/>
                    <w:szCs w:val="22"/>
                  </w:rPr>
                </w:pPr>
                <w:r>
                  <w:rPr>
                    <w:rFonts w:cs="Calibri" w:hint="eastAsia"/>
                    <w:sz w:val="22"/>
                    <w:szCs w:val="22"/>
                  </w:rPr>
                  <w:t>125,049.92</w:t>
                </w:r>
              </w:p>
            </w:tc>
          </w:tr>
          <w:tr w:rsidR="00471D53" w14:paraId="7E82D063" w14:textId="77777777" w:rsidTr="00471D53">
            <w:trPr>
              <w:cantSplit/>
            </w:trPr>
            <w:sdt>
              <w:sdtPr>
                <w:tag w:val="_PLD_96be3b99d11b4eb5ac959cf1c015f1ae"/>
                <w:id w:val="295954382"/>
                <w:lock w:val="sdtLocked"/>
              </w:sdtPr>
              <w:sdtEndPr/>
              <w:sdtContent>
                <w:tc>
                  <w:tcPr>
                    <w:tcW w:w="1256" w:type="pct"/>
                    <w:shd w:val="clear" w:color="auto" w:fill="auto"/>
                  </w:tcPr>
                  <w:p w14:paraId="09051223" w14:textId="77777777" w:rsidR="00471D53" w:rsidRDefault="004F686E">
                    <w:pPr>
                      <w:autoSpaceDE w:val="0"/>
                      <w:autoSpaceDN w:val="0"/>
                      <w:adjustRightInd w:val="0"/>
                      <w:snapToGrid w:val="0"/>
                      <w:spacing w:line="240" w:lineRule="atLeast"/>
                      <w:rPr>
                        <w:szCs w:val="21"/>
                      </w:rPr>
                    </w:pPr>
                    <w:r>
                      <w:rPr>
                        <w:rFonts w:hint="eastAsia"/>
                        <w:szCs w:val="21"/>
                      </w:rPr>
                      <w:t>银行存款</w:t>
                    </w:r>
                  </w:p>
                </w:tc>
              </w:sdtContent>
            </w:sdt>
            <w:tc>
              <w:tcPr>
                <w:tcW w:w="1865" w:type="pct"/>
                <w:shd w:val="clear" w:color="auto" w:fill="auto"/>
                <w:vAlign w:val="center"/>
              </w:tcPr>
              <w:p w14:paraId="02BC77A0" w14:textId="6C9EDD07" w:rsidR="00471D53" w:rsidRDefault="004F686E" w:rsidP="00471D53">
                <w:pPr>
                  <w:jc w:val="right"/>
                  <w:rPr>
                    <w:sz w:val="22"/>
                    <w:szCs w:val="22"/>
                  </w:rPr>
                </w:pPr>
                <w:r>
                  <w:rPr>
                    <w:rFonts w:hint="eastAsia"/>
                    <w:sz w:val="22"/>
                    <w:szCs w:val="22"/>
                  </w:rPr>
                  <w:t>94,387,170.64</w:t>
                </w:r>
              </w:p>
            </w:tc>
            <w:tc>
              <w:tcPr>
                <w:tcW w:w="1879" w:type="pct"/>
                <w:shd w:val="clear" w:color="auto" w:fill="auto"/>
                <w:vAlign w:val="center"/>
              </w:tcPr>
              <w:p w14:paraId="1345F98A" w14:textId="77777777" w:rsidR="00471D53" w:rsidRDefault="004F686E" w:rsidP="00471D53">
                <w:pPr>
                  <w:jc w:val="right"/>
                  <w:rPr>
                    <w:sz w:val="22"/>
                    <w:szCs w:val="22"/>
                  </w:rPr>
                </w:pPr>
                <w:r>
                  <w:rPr>
                    <w:rFonts w:cs="Calibri"/>
                    <w:sz w:val="22"/>
                    <w:szCs w:val="22"/>
                  </w:rPr>
                  <w:t>246,021,047.97</w:t>
                </w:r>
              </w:p>
            </w:tc>
          </w:tr>
          <w:tr w:rsidR="00471D53" w14:paraId="1F7AABF5" w14:textId="77777777" w:rsidTr="00471D53">
            <w:trPr>
              <w:cantSplit/>
            </w:trPr>
            <w:sdt>
              <w:sdtPr>
                <w:tag w:val="_PLD_58c172627e3243edb66fdbc1799a2f1e"/>
                <w:id w:val="1135911913"/>
                <w:lock w:val="sdtLocked"/>
              </w:sdtPr>
              <w:sdtEndPr/>
              <w:sdtContent>
                <w:tc>
                  <w:tcPr>
                    <w:tcW w:w="1256" w:type="pct"/>
                    <w:shd w:val="clear" w:color="auto" w:fill="auto"/>
                  </w:tcPr>
                  <w:p w14:paraId="7B817214" w14:textId="77777777" w:rsidR="00471D53" w:rsidRDefault="004F686E">
                    <w:pPr>
                      <w:autoSpaceDE w:val="0"/>
                      <w:autoSpaceDN w:val="0"/>
                      <w:adjustRightInd w:val="0"/>
                      <w:snapToGrid w:val="0"/>
                      <w:spacing w:line="240" w:lineRule="atLeast"/>
                      <w:rPr>
                        <w:szCs w:val="21"/>
                      </w:rPr>
                    </w:pPr>
                    <w:r>
                      <w:rPr>
                        <w:rFonts w:hint="eastAsia"/>
                        <w:szCs w:val="21"/>
                      </w:rPr>
                      <w:t>其他货币资金</w:t>
                    </w:r>
                  </w:p>
                </w:tc>
              </w:sdtContent>
            </w:sdt>
            <w:tc>
              <w:tcPr>
                <w:tcW w:w="1865" w:type="pct"/>
                <w:shd w:val="clear" w:color="auto" w:fill="auto"/>
                <w:vAlign w:val="center"/>
              </w:tcPr>
              <w:p w14:paraId="79EC5654" w14:textId="4979AF7E" w:rsidR="00471D53" w:rsidRDefault="004F686E" w:rsidP="00471D53">
                <w:pPr>
                  <w:jc w:val="right"/>
                  <w:rPr>
                    <w:sz w:val="22"/>
                    <w:szCs w:val="22"/>
                  </w:rPr>
                </w:pPr>
                <w:r>
                  <w:rPr>
                    <w:rFonts w:hint="eastAsia"/>
                    <w:sz w:val="22"/>
                    <w:szCs w:val="22"/>
                  </w:rPr>
                  <w:t>15,350,166.73</w:t>
                </w:r>
              </w:p>
            </w:tc>
            <w:tc>
              <w:tcPr>
                <w:tcW w:w="1879" w:type="pct"/>
                <w:shd w:val="clear" w:color="auto" w:fill="auto"/>
                <w:vAlign w:val="center"/>
              </w:tcPr>
              <w:p w14:paraId="7AB8D2C4" w14:textId="77777777" w:rsidR="00471D53" w:rsidRDefault="004F686E" w:rsidP="00471D53">
                <w:pPr>
                  <w:jc w:val="right"/>
                  <w:rPr>
                    <w:sz w:val="22"/>
                    <w:szCs w:val="22"/>
                  </w:rPr>
                </w:pPr>
                <w:r>
                  <w:rPr>
                    <w:rFonts w:hint="eastAsia"/>
                    <w:sz w:val="22"/>
                    <w:szCs w:val="22"/>
                    <w:lang w:bidi="ar"/>
                  </w:rPr>
                  <w:t>32,921,438.94</w:t>
                </w:r>
              </w:p>
            </w:tc>
          </w:tr>
          <w:tr w:rsidR="00471D53" w14:paraId="6CA1DB8F" w14:textId="77777777" w:rsidTr="00471D53">
            <w:trPr>
              <w:cantSplit/>
            </w:trPr>
            <w:sdt>
              <w:sdtPr>
                <w:tag w:val="_PLD_bfbd7d5ef1f8459e96b267d6ca7d50e2"/>
                <w:id w:val="-1801833201"/>
                <w:lock w:val="sdtLocked"/>
              </w:sdtPr>
              <w:sdtEndPr/>
              <w:sdtContent>
                <w:tc>
                  <w:tcPr>
                    <w:tcW w:w="1256" w:type="pct"/>
                    <w:shd w:val="clear" w:color="auto" w:fill="auto"/>
                    <w:vAlign w:val="center"/>
                  </w:tcPr>
                  <w:p w14:paraId="40238822" w14:textId="77777777" w:rsidR="00471D53" w:rsidRDefault="004F686E">
                    <w:pPr>
                      <w:autoSpaceDE w:val="0"/>
                      <w:autoSpaceDN w:val="0"/>
                      <w:adjustRightInd w:val="0"/>
                      <w:snapToGrid w:val="0"/>
                      <w:spacing w:line="240" w:lineRule="atLeast"/>
                      <w:rPr>
                        <w:szCs w:val="21"/>
                      </w:rPr>
                    </w:pPr>
                    <w:r>
                      <w:rPr>
                        <w:rFonts w:hint="eastAsia"/>
                        <w:szCs w:val="21"/>
                      </w:rPr>
                      <w:t>合计</w:t>
                    </w:r>
                  </w:p>
                </w:tc>
              </w:sdtContent>
            </w:sdt>
            <w:tc>
              <w:tcPr>
                <w:tcW w:w="1865" w:type="pct"/>
                <w:shd w:val="clear" w:color="auto" w:fill="auto"/>
                <w:vAlign w:val="center"/>
              </w:tcPr>
              <w:p w14:paraId="334A5F5B" w14:textId="44A33DC4" w:rsidR="00471D53" w:rsidRPr="00437063" w:rsidRDefault="004F686E" w:rsidP="00471D53">
                <w:pPr>
                  <w:jc w:val="right"/>
                  <w:rPr>
                    <w:sz w:val="22"/>
                    <w:szCs w:val="22"/>
                  </w:rPr>
                </w:pPr>
                <w:r w:rsidRPr="00437063">
                  <w:rPr>
                    <w:rFonts w:hint="eastAsia"/>
                    <w:sz w:val="22"/>
                    <w:szCs w:val="22"/>
                  </w:rPr>
                  <w:t>109,896,372.32</w:t>
                </w:r>
              </w:p>
            </w:tc>
            <w:tc>
              <w:tcPr>
                <w:tcW w:w="1879" w:type="pct"/>
                <w:shd w:val="clear" w:color="auto" w:fill="auto"/>
                <w:vAlign w:val="center"/>
              </w:tcPr>
              <w:p w14:paraId="4738E479" w14:textId="77777777" w:rsidR="00471D53" w:rsidRPr="00437063" w:rsidRDefault="004F686E" w:rsidP="00471D53">
                <w:pPr>
                  <w:jc w:val="right"/>
                  <w:rPr>
                    <w:sz w:val="22"/>
                    <w:szCs w:val="22"/>
                  </w:rPr>
                </w:pPr>
                <w:r w:rsidRPr="00437063">
                  <w:rPr>
                    <w:rFonts w:cs="Calibri" w:hint="eastAsia"/>
                    <w:bCs/>
                    <w:sz w:val="22"/>
                    <w:szCs w:val="22"/>
                  </w:rPr>
                  <w:t>279,067,536.83</w:t>
                </w:r>
              </w:p>
            </w:tc>
          </w:tr>
          <w:tr w:rsidR="00471D53" w14:paraId="47CCC2C9" w14:textId="77777777" w:rsidTr="00471D53">
            <w:trPr>
              <w:cantSplit/>
            </w:trPr>
            <w:sdt>
              <w:sdtPr>
                <w:tag w:val="_PLD_87df45e9697a4beb97831117be4c567a"/>
                <w:id w:val="-949465451"/>
                <w:lock w:val="sdtLocked"/>
              </w:sdtPr>
              <w:sdtEndPr/>
              <w:sdtContent>
                <w:tc>
                  <w:tcPr>
                    <w:tcW w:w="1256" w:type="pct"/>
                    <w:shd w:val="clear" w:color="auto" w:fill="auto"/>
                  </w:tcPr>
                  <w:p w14:paraId="1870E27B" w14:textId="77777777" w:rsidR="00471D53" w:rsidRDefault="004F686E" w:rsidP="00471D53">
                    <w:pPr>
                      <w:autoSpaceDE w:val="0"/>
                      <w:autoSpaceDN w:val="0"/>
                      <w:adjustRightInd w:val="0"/>
                      <w:snapToGrid w:val="0"/>
                      <w:spacing w:line="240" w:lineRule="atLeast"/>
                      <w:ind w:firstLineChars="100" w:firstLine="210"/>
                      <w:jc w:val="center"/>
                      <w:rPr>
                        <w:szCs w:val="21"/>
                      </w:rPr>
                    </w:pPr>
                    <w:r>
                      <w:rPr>
                        <w:rFonts w:hint="eastAsia"/>
                        <w:szCs w:val="21"/>
                      </w:rPr>
                      <w:t>其中：存放在境外的款项总额</w:t>
                    </w:r>
                  </w:p>
                </w:tc>
              </w:sdtContent>
            </w:sdt>
            <w:tc>
              <w:tcPr>
                <w:tcW w:w="1865" w:type="pct"/>
                <w:shd w:val="clear" w:color="auto" w:fill="auto"/>
                <w:vAlign w:val="center"/>
              </w:tcPr>
              <w:p w14:paraId="69748711" w14:textId="2893773B" w:rsidR="00471D53" w:rsidRDefault="004F686E" w:rsidP="00471D53">
                <w:pPr>
                  <w:jc w:val="right"/>
                  <w:rPr>
                    <w:bCs/>
                    <w:sz w:val="22"/>
                    <w:szCs w:val="22"/>
                  </w:rPr>
                </w:pPr>
                <w:r>
                  <w:rPr>
                    <w:rFonts w:hint="eastAsia"/>
                    <w:bCs/>
                    <w:sz w:val="22"/>
                    <w:szCs w:val="22"/>
                  </w:rPr>
                  <w:t>7,951,264.34</w:t>
                </w:r>
              </w:p>
            </w:tc>
            <w:tc>
              <w:tcPr>
                <w:tcW w:w="1879" w:type="pct"/>
                <w:shd w:val="clear" w:color="auto" w:fill="auto"/>
                <w:vAlign w:val="center"/>
              </w:tcPr>
              <w:p w14:paraId="366E7D61" w14:textId="77777777" w:rsidR="00471D53" w:rsidRDefault="004F686E" w:rsidP="00471D53">
                <w:pPr>
                  <w:jc w:val="right"/>
                  <w:rPr>
                    <w:bCs/>
                    <w:sz w:val="22"/>
                    <w:szCs w:val="22"/>
                  </w:rPr>
                </w:pPr>
                <w:r>
                  <w:rPr>
                    <w:rFonts w:cs="Calibri" w:hint="eastAsia"/>
                    <w:sz w:val="22"/>
                    <w:szCs w:val="22"/>
                  </w:rPr>
                  <w:t>26,191,043.47</w:t>
                </w:r>
              </w:p>
            </w:tc>
          </w:tr>
        </w:tbl>
        <w:p w14:paraId="15597CFA" w14:textId="77777777" w:rsidR="00471D53" w:rsidRDefault="004F686E">
          <w:pPr>
            <w:rPr>
              <w:szCs w:val="21"/>
            </w:rPr>
          </w:pPr>
          <w:r>
            <w:rPr>
              <w:rFonts w:hint="eastAsia"/>
              <w:szCs w:val="21"/>
            </w:rPr>
            <w:t>其他说明：</w:t>
          </w:r>
        </w:p>
        <w:p w14:paraId="251C4223" w14:textId="77777777" w:rsidR="00471D53" w:rsidRDefault="00B664AF">
          <w:pPr>
            <w:rPr>
              <w:szCs w:val="21"/>
            </w:rPr>
          </w:pPr>
          <w:sdt>
            <w:sdtPr>
              <w:rPr>
                <w:szCs w:val="21"/>
              </w:rPr>
              <w:alias w:val="货币资金的说明"/>
              <w:tag w:val="_GBC_672a863055084dfabbc1ba40f04a68b4"/>
              <w:id w:val="-18239799"/>
              <w:lock w:val="sdtLocked"/>
              <w:placeholder>
                <w:docPart w:val="GBC22222222222222222222222222222"/>
              </w:placeholder>
            </w:sdtPr>
            <w:sdtEndPr/>
            <w:sdtContent>
              <w:r w:rsidR="004F686E">
                <w:rPr>
                  <w:rFonts w:hint="eastAsia"/>
                  <w:szCs w:val="21"/>
                </w:rPr>
                <w:t>无</w:t>
              </w:r>
            </w:sdtContent>
          </w:sdt>
        </w:p>
      </w:sdtContent>
    </w:sdt>
    <w:p w14:paraId="531F54A8" w14:textId="77777777" w:rsidR="00471D53" w:rsidRDefault="00B664AF" w:rsidP="00471D53">
      <w:pPr>
        <w:snapToGrid w:val="0"/>
        <w:spacing w:line="240" w:lineRule="atLeast"/>
        <w:ind w:left="1470" w:rightChars="12" w:right="25" w:hangingChars="700" w:hanging="1470"/>
        <w:rPr>
          <w:szCs w:val="21"/>
        </w:rPr>
      </w:pPr>
    </w:p>
    <w:bookmarkStart w:id="110" w:name="_Hlk10466498" w:displacedByCustomXml="next"/>
    <w:sdt>
      <w:sdtPr>
        <w:rPr>
          <w:rFonts w:ascii="宋体" w:hAnsi="宋体" w:cs="宋体" w:hint="eastAsia"/>
          <w:b w:val="0"/>
          <w:bCs w:val="0"/>
          <w:kern w:val="0"/>
          <w:szCs w:val="21"/>
        </w:rPr>
        <w:alias w:val="模块:交易性金融资产"/>
        <w:tag w:val="_SEC_01904024df9944b092034293cedff1b0"/>
        <w:id w:val="1706371255"/>
        <w:lock w:val="sdtLocked"/>
        <w:placeholder>
          <w:docPart w:val="GBC22222222222222222222222222222"/>
        </w:placeholder>
      </w:sdtPr>
      <w:sdtEndPr>
        <w:rPr>
          <w:szCs w:val="24"/>
        </w:rPr>
      </w:sdtEndPr>
      <w:sdtContent>
        <w:p w14:paraId="73FF8E04" w14:textId="77777777" w:rsidR="00471D53" w:rsidRDefault="004F686E" w:rsidP="004F686E">
          <w:pPr>
            <w:pStyle w:val="afffff7"/>
            <w:numPr>
              <w:ilvl w:val="0"/>
              <w:numId w:val="55"/>
            </w:numPr>
            <w:rPr>
              <w:rFonts w:ascii="宋体" w:hAnsi="宋体"/>
              <w:szCs w:val="21"/>
            </w:rPr>
          </w:pPr>
          <w:r>
            <w:rPr>
              <w:rFonts w:ascii="宋体" w:hAnsi="宋体" w:hint="eastAsia"/>
              <w:szCs w:val="21"/>
            </w:rPr>
            <w:t>交易性金融资产</w:t>
          </w:r>
        </w:p>
        <w:sdt>
          <w:sdtPr>
            <w:alias w:val="是否适用：交易性金融资产[双击切换]"/>
            <w:tag w:val="_GBC_11d582474c724741b6bb067e7b29fffd"/>
            <w:id w:val="1745837687"/>
            <w:lock w:val="sdtLocked"/>
            <w:placeholder>
              <w:docPart w:val="GBC22222222222222222222222222222"/>
            </w:placeholder>
          </w:sdtPr>
          <w:sdtEndPr/>
          <w:sdtContent>
            <w:p w14:paraId="2DF81941"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E97BD40" w14:textId="77777777" w:rsidR="00471D53" w:rsidRDefault="00B664AF">
          <w:pPr>
            <w:rPr>
              <w:szCs w:val="21"/>
            </w:rPr>
          </w:pPr>
        </w:p>
      </w:sdtContent>
    </w:sdt>
    <w:bookmarkEnd w:id="110" w:displacedByCustomXml="prev"/>
    <w:p w14:paraId="30D3C178" w14:textId="77777777" w:rsidR="00471D53" w:rsidRDefault="00B664AF" w:rsidP="00471D53">
      <w:pPr>
        <w:snapToGrid w:val="0"/>
        <w:spacing w:line="240" w:lineRule="atLeast"/>
        <w:ind w:rightChars="12" w:right="25"/>
        <w:rPr>
          <w:szCs w:val="21"/>
        </w:rPr>
      </w:pPr>
    </w:p>
    <w:sdt>
      <w:sdtPr>
        <w:rPr>
          <w:rFonts w:ascii="宋体" w:hAnsi="宋体" w:cs="宋体" w:hint="eastAsia"/>
          <w:b w:val="0"/>
          <w:bCs w:val="0"/>
          <w:kern w:val="0"/>
          <w:szCs w:val="21"/>
        </w:rPr>
        <w:alias w:val="模块:衍生金融资产"/>
        <w:tag w:val="_GBC_bc314407a9a14c2f8b2b5368638e0a51"/>
        <w:id w:val="-1394036505"/>
        <w:lock w:val="sdtLocked"/>
        <w:placeholder>
          <w:docPart w:val="GBC22222222222222222222222222222"/>
        </w:placeholder>
      </w:sdtPr>
      <w:sdtEndPr/>
      <w:sdtContent>
        <w:p w14:paraId="46B1F62E" w14:textId="77777777" w:rsidR="00471D53" w:rsidRDefault="004F686E" w:rsidP="004F686E">
          <w:pPr>
            <w:pStyle w:val="afffff7"/>
            <w:numPr>
              <w:ilvl w:val="0"/>
              <w:numId w:val="55"/>
            </w:numPr>
            <w:rPr>
              <w:rFonts w:ascii="宋体" w:hAnsi="宋体"/>
              <w:szCs w:val="21"/>
            </w:rPr>
          </w:pPr>
          <w:r>
            <w:rPr>
              <w:rFonts w:ascii="宋体" w:hAnsi="宋体" w:hint="eastAsia"/>
              <w:szCs w:val="21"/>
            </w:rPr>
            <w:t>衍生金融资产</w:t>
          </w:r>
        </w:p>
        <w:sdt>
          <w:sdtPr>
            <w:alias w:val="是否适用：衍生金融资产[双击切换]"/>
            <w:tag w:val="_GBC_7f1559f8ac9a442b81c5479563d9e8bb"/>
            <w:id w:val="1394703882"/>
            <w:lock w:val="sdtLocked"/>
            <w:placeholder>
              <w:docPart w:val="GBC22222222222222222222222222222"/>
            </w:placeholder>
          </w:sdtPr>
          <w:sdtEndPr/>
          <w:sdtContent>
            <w:p w14:paraId="343E1788"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8EFF4C5" w14:textId="77777777" w:rsidR="00471D53" w:rsidRDefault="00B664AF" w:rsidP="00471D53">
          <w:pPr>
            <w:snapToGrid w:val="0"/>
            <w:spacing w:line="240" w:lineRule="atLeast"/>
            <w:ind w:left="1470" w:rightChars="12" w:right="25" w:hangingChars="700" w:hanging="1470"/>
            <w:rPr>
              <w:szCs w:val="21"/>
            </w:rPr>
          </w:pPr>
        </w:p>
      </w:sdtContent>
    </w:sdt>
    <w:p w14:paraId="37E917AB" w14:textId="77777777" w:rsidR="00471D53" w:rsidRDefault="00B664AF" w:rsidP="00471D53">
      <w:pPr>
        <w:snapToGrid w:val="0"/>
        <w:spacing w:line="240" w:lineRule="atLeast"/>
        <w:ind w:rightChars="12" w:right="25"/>
        <w:rPr>
          <w:szCs w:val="21"/>
        </w:rPr>
      </w:pPr>
    </w:p>
    <w:p w14:paraId="043DC621" w14:textId="77777777" w:rsidR="00471D53" w:rsidRDefault="004F686E" w:rsidP="004F686E">
      <w:pPr>
        <w:pStyle w:val="afffff7"/>
        <w:numPr>
          <w:ilvl w:val="0"/>
          <w:numId w:val="55"/>
        </w:numPr>
        <w:rPr>
          <w:rFonts w:ascii="宋体" w:hAnsi="宋体"/>
        </w:rPr>
      </w:pPr>
      <w:r>
        <w:rPr>
          <w:rFonts w:ascii="宋体" w:hAnsi="宋体" w:hint="eastAsia"/>
        </w:rPr>
        <w:t>应收票据</w:t>
      </w:r>
    </w:p>
    <w:sdt>
      <w:sdtPr>
        <w:rPr>
          <w:rFonts w:ascii="宋体" w:hAnsi="宋体" w:cs="宋体" w:hint="eastAsia"/>
          <w:b w:val="0"/>
          <w:bCs w:val="0"/>
          <w:kern w:val="0"/>
          <w:szCs w:val="22"/>
        </w:rPr>
        <w:alias w:val="模块:应收票据分类"/>
        <w:tag w:val="_GBC_c1ce1fc5bd0f42bca82cd02f3a6b623f"/>
        <w:id w:val="425544713"/>
        <w:lock w:val="sdtLocked"/>
        <w:placeholder>
          <w:docPart w:val="GBC22222222222222222222222222222"/>
        </w:placeholder>
      </w:sdtPr>
      <w:sdtEndPr>
        <w:rPr>
          <w:rFonts w:hint="default"/>
          <w:szCs w:val="24"/>
        </w:rPr>
      </w:sdtEndPr>
      <w:sdtContent>
        <w:p w14:paraId="50E68CA5" w14:textId="77777777" w:rsidR="00471D53" w:rsidRDefault="004F686E" w:rsidP="004F686E">
          <w:pPr>
            <w:pStyle w:val="afffff8"/>
            <w:numPr>
              <w:ilvl w:val="3"/>
              <w:numId w:val="59"/>
            </w:numPr>
            <w:rPr>
              <w:rFonts w:ascii="宋体" w:hAnsi="宋体"/>
            </w:rPr>
          </w:pPr>
          <w:r>
            <w:rPr>
              <w:rFonts w:ascii="宋体" w:hAnsi="宋体" w:hint="eastAsia"/>
            </w:rPr>
            <w:t>应收票据分类列示</w:t>
          </w:r>
        </w:p>
        <w:sdt>
          <w:sdtPr>
            <w:alias w:val="是否适用：应收票据分类列示[双击切换]"/>
            <w:tag w:val="_GBC_3c32a2809ab3476a93b88a8155fb0be8"/>
            <w:id w:val="-193004670"/>
            <w:lock w:val="sdtLocked"/>
            <w:placeholder>
              <w:docPart w:val="GBC22222222222222222222222222222"/>
            </w:placeholder>
          </w:sdtPr>
          <w:sdtEndPr/>
          <w:sdtContent>
            <w:p w14:paraId="37AE79AC" w14:textId="77777777" w:rsidR="00471D53" w:rsidRDefault="004F686E" w:rsidP="00471D53">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1A9ADC47" w14:textId="77777777" w:rsidR="00471D53" w:rsidRDefault="00B664AF">
      <w:pPr>
        <w:snapToGrid w:val="0"/>
        <w:spacing w:line="240" w:lineRule="atLeast"/>
        <w:rPr>
          <w:szCs w:val="21"/>
        </w:rPr>
      </w:pPr>
    </w:p>
    <w:sdt>
      <w:sdtPr>
        <w:rPr>
          <w:rFonts w:ascii="宋体" w:hAnsi="宋体" w:cs="宋体" w:hint="eastAsia"/>
          <w:b w:val="0"/>
          <w:bCs w:val="0"/>
          <w:kern w:val="0"/>
          <w:szCs w:val="22"/>
        </w:rPr>
        <w:alias w:val="模块:期末公司已质押的应收票据情况"/>
        <w:tag w:val="_GBC_8fdb3f7098324d0d8b9f6e395abf9009"/>
        <w:id w:val="2099672044"/>
        <w:lock w:val="sdtLocked"/>
        <w:placeholder>
          <w:docPart w:val="GBC22222222222222222222222222222"/>
        </w:placeholder>
      </w:sdtPr>
      <w:sdtEndPr>
        <w:rPr>
          <w:rFonts w:cs="Times New Roman"/>
          <w:kern w:val="2"/>
          <w:szCs w:val="24"/>
        </w:rPr>
      </w:sdtEndPr>
      <w:sdtContent>
        <w:p w14:paraId="42015361" w14:textId="77777777" w:rsidR="00471D53" w:rsidRDefault="004F686E" w:rsidP="004F686E">
          <w:pPr>
            <w:pStyle w:val="afffff8"/>
            <w:numPr>
              <w:ilvl w:val="3"/>
              <w:numId w:val="59"/>
            </w:numPr>
            <w:rPr>
              <w:rFonts w:ascii="宋体" w:hAnsi="宋体"/>
            </w:rPr>
          </w:pPr>
          <w:r>
            <w:rPr>
              <w:rFonts w:ascii="宋体" w:hAnsi="宋体"/>
            </w:rPr>
            <w:t>期末公司已</w:t>
          </w:r>
          <w:r>
            <w:rPr>
              <w:rFonts w:ascii="宋体" w:hAnsi="宋体" w:hint="eastAsia"/>
            </w:rPr>
            <w:t>质押</w:t>
          </w:r>
          <w:r>
            <w:rPr>
              <w:rFonts w:ascii="宋体" w:hAnsi="宋体"/>
            </w:rPr>
            <w:t>的应收票据</w:t>
          </w:r>
        </w:p>
        <w:sdt>
          <w:sdtPr>
            <w:alias w:val="是否适用：期末公司已质押的应收票据[双击切换]"/>
            <w:tag w:val="_GBC_3440ef2908e64e51a440106bfa389257"/>
            <w:id w:val="1498073571"/>
            <w:lock w:val="sdtLocked"/>
            <w:placeholder>
              <w:docPart w:val="GBC22222222222222222222222222222"/>
            </w:placeholder>
          </w:sdtPr>
          <w:sdtEndPr/>
          <w:sdtContent>
            <w:p w14:paraId="47E883EF" w14:textId="77777777" w:rsidR="00471D53" w:rsidRDefault="004F686E" w:rsidP="00471D53">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val="0"/>
          <w:kern w:val="0"/>
          <w:szCs w:val="22"/>
        </w:rPr>
        <w:alias w:val="模块:因出票人无力履约而将票据转为应收账款的票据，以及期末已背书未到期票据"/>
        <w:tag w:val="_GBC_d0a9833415574c7baa9ef176fea05ecf"/>
        <w:id w:val="1813213445"/>
        <w:lock w:val="sdtLocked"/>
        <w:placeholder>
          <w:docPart w:val="GBC22222222222222222222222222222"/>
        </w:placeholder>
      </w:sdtPr>
      <w:sdtEndPr>
        <w:rPr>
          <w:rFonts w:cs="Times New Roman"/>
          <w:kern w:val="2"/>
          <w:szCs w:val="24"/>
        </w:rPr>
      </w:sdtEndPr>
      <w:sdtContent>
        <w:p w14:paraId="71E10B30" w14:textId="77777777" w:rsidR="00471D53" w:rsidRDefault="004F686E" w:rsidP="004F686E">
          <w:pPr>
            <w:pStyle w:val="afffff8"/>
            <w:numPr>
              <w:ilvl w:val="3"/>
              <w:numId w:val="59"/>
            </w:numPr>
            <w:jc w:val="left"/>
            <w:rPr>
              <w:rFonts w:ascii="宋体" w:hAnsi="宋体"/>
            </w:rPr>
          </w:pPr>
          <w:r>
            <w:rPr>
              <w:rFonts w:ascii="宋体" w:hAnsi="宋体" w:hint="eastAsia"/>
            </w:rPr>
            <w:t>期末公司已背书或贴现且在资产负债表日尚未到期的应收票据</w:t>
          </w:r>
        </w:p>
        <w:sdt>
          <w:sdtPr>
            <w:alias w:val="是否适用：期末公司已背书或贴现且在资产负债表日尚未到期的应收票据[双击切换]"/>
            <w:tag w:val="_GBC_d04f4c30d18f498d986ce6c934ec761c"/>
            <w:id w:val="-2073268795"/>
            <w:lock w:val="sdtLocked"/>
            <w:placeholder>
              <w:docPart w:val="GBC22222222222222222222222222222"/>
            </w:placeholder>
          </w:sdtPr>
          <w:sdtEndPr/>
          <w:sdtContent>
            <w:p w14:paraId="61773788" w14:textId="77777777" w:rsidR="00471D53" w:rsidRDefault="004F686E" w:rsidP="00471D53">
              <w:pPr>
                <w:rPr>
                  <w:rFonts w:cs="Times New Roman"/>
                  <w:kern w:val="2"/>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期末公司因出票人无力履约而将其转为应收账款的票据"/>
        <w:tag w:val="_GBC_83d7650885dc43898bcaaa7b53608492"/>
        <w:id w:val="1949422241"/>
        <w:lock w:val="sdtLocked"/>
        <w:placeholder>
          <w:docPart w:val="GBC22222222222222222222222222222"/>
        </w:placeholder>
      </w:sdtPr>
      <w:sdtEndPr/>
      <w:sdtContent>
        <w:p w14:paraId="5F482F77" w14:textId="77777777" w:rsidR="00471D53" w:rsidRDefault="004F686E" w:rsidP="004F686E">
          <w:pPr>
            <w:pStyle w:val="afffff8"/>
            <w:numPr>
              <w:ilvl w:val="3"/>
              <w:numId w:val="59"/>
            </w:numPr>
            <w:jc w:val="left"/>
            <w:rPr>
              <w:rFonts w:ascii="宋体" w:hAnsi="宋体"/>
            </w:rPr>
          </w:pPr>
          <w:r>
            <w:rPr>
              <w:rFonts w:ascii="宋体" w:hAnsi="宋体" w:hint="eastAsia"/>
            </w:rPr>
            <w:t>期末公司因出票人未履约而将其转应收账款的票据</w:t>
          </w:r>
        </w:p>
        <w:sdt>
          <w:sdtPr>
            <w:alias w:val="是否适用：期末公司因出票人未履约而将其转应收账款的票据[双击切换]"/>
            <w:tag w:val="_GBC_11366a7f124045f8a578f129009f9b83"/>
            <w:id w:val="757792348"/>
            <w:lock w:val="sdtLocked"/>
            <w:placeholder>
              <w:docPart w:val="GBC22222222222222222222222222222"/>
            </w:placeholder>
          </w:sdtPr>
          <w:sdtEndPr/>
          <w:sdtContent>
            <w:p w14:paraId="6F51C344"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7DCAA693" w14:textId="77777777" w:rsidR="00471D53" w:rsidRDefault="004F686E" w:rsidP="004F686E">
      <w:pPr>
        <w:pStyle w:val="afffff8"/>
        <w:numPr>
          <w:ilvl w:val="3"/>
          <w:numId w:val="59"/>
        </w:numPr>
        <w:jc w:val="left"/>
        <w:rPr>
          <w:rFonts w:ascii="宋体" w:hAnsi="宋体"/>
        </w:rPr>
      </w:pPr>
      <w:bookmarkStart w:id="111" w:name="_Hlk10466572"/>
      <w:r>
        <w:rPr>
          <w:rFonts w:ascii="宋体" w:hAnsi="宋体" w:hint="eastAsia"/>
        </w:rPr>
        <w:t>按坏账计提方法分类披露</w:t>
      </w:r>
    </w:p>
    <w:sdt>
      <w:sdtPr>
        <w:alias w:val="是否适用：应收票据按坏账计提方法分类披露[双击切换]"/>
        <w:tag w:val="_GBC_064ae6cf552d47d6abf4ad2b5c55d254"/>
        <w:id w:val="-933205726"/>
        <w:lock w:val="sdtLocked"/>
        <w:placeholder>
          <w:docPart w:val="GBC22222222222222222222222222222"/>
        </w:placeholder>
      </w:sdtPr>
      <w:sdtEndPr/>
      <w:sdtContent>
        <w:p w14:paraId="62654D36"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111" w:displacedByCustomXml="prev"/>
    <w:p w14:paraId="3CAD52CF" w14:textId="77777777" w:rsidR="00471D53" w:rsidRDefault="00B664AF">
      <w:pPr>
        <w:ind w:right="210"/>
      </w:pPr>
    </w:p>
    <w:bookmarkStart w:id="112" w:name="_Hlk10466806" w:displacedByCustomXml="next"/>
    <w:sdt>
      <w:sdtPr>
        <w:rPr>
          <w:rFonts w:ascii="宋体" w:hAnsi="宋体" w:cs="宋体" w:hint="eastAsia"/>
          <w:b w:val="0"/>
          <w:bCs w:val="0"/>
          <w:kern w:val="0"/>
          <w:szCs w:val="24"/>
        </w:rPr>
        <w:alias w:val="模块:坏账准备的情况"/>
        <w:tag w:val="_SEC_2937dc20348046e2a68416bd27ff1b82"/>
        <w:id w:val="1718934455"/>
        <w:lock w:val="sdtLocked"/>
        <w:placeholder>
          <w:docPart w:val="GBC22222222222222222222222222222"/>
        </w:placeholder>
      </w:sdtPr>
      <w:sdtEndPr>
        <w:rPr>
          <w:rFonts w:hint="default"/>
        </w:rPr>
      </w:sdtEndPr>
      <w:sdtContent>
        <w:p w14:paraId="604EA61D" w14:textId="77777777" w:rsidR="00471D53" w:rsidRDefault="004F686E" w:rsidP="004F686E">
          <w:pPr>
            <w:pStyle w:val="afffff8"/>
            <w:numPr>
              <w:ilvl w:val="3"/>
              <w:numId w:val="59"/>
            </w:numPr>
            <w:jc w:val="left"/>
            <w:rPr>
              <w:rFonts w:ascii="宋体" w:hAnsi="宋体"/>
            </w:rPr>
          </w:pPr>
          <w:r>
            <w:rPr>
              <w:rFonts w:ascii="宋体" w:hAnsi="宋体" w:hint="eastAsia"/>
            </w:rPr>
            <w:t>坏账准备的情况</w:t>
          </w:r>
        </w:p>
        <w:sdt>
          <w:sdtPr>
            <w:alias w:val="是否适用：应收票据坏账准备情况[双击切换]"/>
            <w:tag w:val="_GBC_065ad100e7534037877c628171a7ddc1"/>
            <w:id w:val="-1452703707"/>
            <w:lock w:val="sdtLocked"/>
            <w:placeholder>
              <w:docPart w:val="GBC22222222222222222222222222222"/>
            </w:placeholder>
          </w:sdtPr>
          <w:sdtEndPr/>
          <w:sdtContent>
            <w:p w14:paraId="44479B59" w14:textId="77777777" w:rsidR="00471D53" w:rsidRDefault="004F686E" w:rsidP="00471D53">
              <w:pPr>
                <w:rPr>
                  <w:rFonts w:cstheme="minorBidi"/>
                  <w:b/>
                  <w:bCs/>
                  <w:szCs w:val="22"/>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A4E8678" w14:textId="77777777" w:rsidR="00471D53" w:rsidRDefault="00B664AF">
          <w:pPr>
            <w:rPr>
              <w:rFonts w:cstheme="minorBidi"/>
              <w:b/>
              <w:bCs/>
              <w:szCs w:val="22"/>
            </w:rPr>
          </w:pPr>
        </w:p>
        <w:p w14:paraId="318999EA" w14:textId="77777777" w:rsidR="00471D53" w:rsidRDefault="00B664AF">
          <w:pPr>
            <w:ind w:right="210"/>
          </w:pPr>
        </w:p>
      </w:sdtContent>
    </w:sdt>
    <w:bookmarkEnd w:id="112" w:displacedByCustomXml="prev"/>
    <w:bookmarkStart w:id="113" w:name="_Hlk10466841" w:displacedByCustomXml="next"/>
    <w:bookmarkStart w:id="114" w:name="_Hlk10466853" w:displacedByCustomXml="next"/>
    <w:sdt>
      <w:sdtPr>
        <w:rPr>
          <w:rFonts w:ascii="宋体" w:hAnsi="宋体" w:cs="宋体" w:hint="eastAsia"/>
          <w:b w:val="0"/>
          <w:bCs w:val="0"/>
          <w:kern w:val="0"/>
          <w:szCs w:val="24"/>
        </w:rPr>
        <w:alias w:val="模块:本期实际核销的应收票据情况"/>
        <w:tag w:val="_SEC_d1d07f77bea54442a58602a5a3e94f42"/>
        <w:id w:val="-690527730"/>
        <w:lock w:val="sdtLocked"/>
        <w:placeholder>
          <w:docPart w:val="GBC22222222222222222222222222222"/>
        </w:placeholder>
      </w:sdtPr>
      <w:sdtEndPr>
        <w:rPr>
          <w:rFonts w:hint="default"/>
        </w:rPr>
      </w:sdtEndPr>
      <w:sdtContent>
        <w:p w14:paraId="10BCEB7E" w14:textId="77777777" w:rsidR="00471D53" w:rsidRDefault="004F686E" w:rsidP="004F686E">
          <w:pPr>
            <w:pStyle w:val="afffff8"/>
            <w:numPr>
              <w:ilvl w:val="3"/>
              <w:numId w:val="59"/>
            </w:numPr>
            <w:jc w:val="left"/>
            <w:rPr>
              <w:rFonts w:ascii="宋体" w:hAnsi="宋体"/>
            </w:rPr>
          </w:pPr>
          <w:r>
            <w:rPr>
              <w:rFonts w:ascii="宋体" w:hAnsi="宋体" w:hint="eastAsia"/>
            </w:rPr>
            <w:t>本期实际核销的应收票据情况</w:t>
          </w:r>
          <w:bookmarkEnd w:id="113"/>
        </w:p>
        <w:sdt>
          <w:sdtPr>
            <w:alias w:val="是否适用：实际核销的应收票据[双击切换]"/>
            <w:tag w:val="_GBC_d0dcbb36ec68469bb29eac25b4a7af19"/>
            <w:id w:val="1565604315"/>
            <w:lock w:val="sdtLocked"/>
            <w:placeholder>
              <w:docPart w:val="GBC22222222222222222222222222222"/>
            </w:placeholder>
          </w:sdtPr>
          <w:sdtEndPr/>
          <w:sdtContent>
            <w:p w14:paraId="3AA2F839" w14:textId="77777777" w:rsidR="00471D53" w:rsidRDefault="004F686E" w:rsidP="00471D53">
              <w:pPr>
                <w:rPr>
                  <w:rFonts w:cstheme="minorBidi"/>
                  <w:bCs/>
                  <w:szCs w:val="22"/>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9BA9B99" w14:textId="77777777" w:rsidR="00471D53" w:rsidRDefault="00B664AF">
          <w:pPr>
            <w:rPr>
              <w:rFonts w:cstheme="minorBidi"/>
              <w:bCs/>
              <w:szCs w:val="22"/>
            </w:rPr>
          </w:pPr>
        </w:p>
        <w:p w14:paraId="16F00D95" w14:textId="77777777" w:rsidR="00471D53" w:rsidRDefault="00B664AF">
          <w:pPr>
            <w:ind w:right="210"/>
          </w:pPr>
        </w:p>
      </w:sdtContent>
    </w:sdt>
    <w:bookmarkEnd w:id="114" w:displacedByCustomXml="prev"/>
    <w:sdt>
      <w:sdtPr>
        <w:rPr>
          <w:rFonts w:cstheme="minorBidi" w:hint="eastAsia"/>
          <w:b/>
          <w:bCs/>
          <w:szCs w:val="22"/>
        </w:rPr>
        <w:alias w:val="模块:应收票据其他说明"/>
        <w:tag w:val="_GBC_c7095bafbab543a9bb9dcc587154df29"/>
        <w:id w:val="-1090002117"/>
        <w:lock w:val="sdtLocked"/>
        <w:placeholder>
          <w:docPart w:val="GBC22222222222222222222222222222"/>
        </w:placeholder>
      </w:sdtPr>
      <w:sdtEndPr>
        <w:rPr>
          <w:rFonts w:cs="Times New Roman" w:hint="default"/>
          <w:b w:val="0"/>
          <w:bCs w:val="0"/>
          <w:szCs w:val="24"/>
        </w:rPr>
      </w:sdtEndPr>
      <w:sdtContent>
        <w:p w14:paraId="603913C8" w14:textId="77777777" w:rsidR="00471D53" w:rsidRDefault="004F686E">
          <w:r>
            <w:rPr>
              <w:rFonts w:hint="eastAsia"/>
            </w:rPr>
            <w:t>其他说明：</w:t>
          </w:r>
        </w:p>
        <w:sdt>
          <w:sdtPr>
            <w:alias w:val="是否适用：应收票据的说明[双击切换]"/>
            <w:tag w:val="_GBC_704e24e70b65463883e10335ce93a1ac"/>
            <w:id w:val="-104430963"/>
            <w:lock w:val="sdtLocked"/>
            <w:placeholder>
              <w:docPart w:val="GBC22222222222222222222222222222"/>
            </w:placeholder>
          </w:sdtPr>
          <w:sdtEndPr/>
          <w:sdtContent>
            <w:p w14:paraId="08B8CB55" w14:textId="77777777" w:rsidR="00471D53" w:rsidRDefault="004F686E" w:rsidP="00471D53">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3B02E70E" w14:textId="77777777" w:rsidR="00471D53" w:rsidRDefault="00B664AF">
      <w:pPr>
        <w:rPr>
          <w:szCs w:val="21"/>
        </w:rPr>
      </w:pPr>
    </w:p>
    <w:p w14:paraId="7966CE30" w14:textId="77777777" w:rsidR="00471D53" w:rsidRDefault="004F686E" w:rsidP="004F686E">
      <w:pPr>
        <w:pStyle w:val="afffff7"/>
        <w:numPr>
          <w:ilvl w:val="0"/>
          <w:numId w:val="55"/>
        </w:numPr>
        <w:rPr>
          <w:rFonts w:ascii="宋体" w:hAnsi="宋体"/>
        </w:rPr>
      </w:pPr>
      <w:r>
        <w:rPr>
          <w:rFonts w:ascii="宋体" w:hAnsi="宋体" w:hint="eastAsia"/>
        </w:rPr>
        <w:t>应收账款</w:t>
      </w:r>
    </w:p>
    <w:bookmarkStart w:id="115" w:name="_Hlk10467031" w:displacedByCustomXml="next"/>
    <w:sdt>
      <w:sdtPr>
        <w:rPr>
          <w:rFonts w:ascii="宋体" w:hAnsi="宋体" w:cs="宋体" w:hint="eastAsia"/>
          <w:b w:val="0"/>
          <w:bCs w:val="0"/>
          <w:kern w:val="0"/>
          <w:szCs w:val="24"/>
        </w:rPr>
        <w:alias w:val="模块:按账龄披露"/>
        <w:tag w:val="_SEC_18739d0c0efc4fe7a575a32263e5b38b"/>
        <w:id w:val="209080298"/>
        <w:lock w:val="sdtLocked"/>
        <w:placeholder>
          <w:docPart w:val="GBC22222222222222222222222222222"/>
        </w:placeholder>
      </w:sdtPr>
      <w:sdtEndPr>
        <w:rPr>
          <w:rFonts w:hint="default"/>
        </w:rPr>
      </w:sdtEndPr>
      <w:sdtContent>
        <w:p w14:paraId="7800F9ED" w14:textId="77777777" w:rsidR="00471D53" w:rsidRDefault="004F686E" w:rsidP="004F686E">
          <w:pPr>
            <w:pStyle w:val="afffff8"/>
            <w:numPr>
              <w:ilvl w:val="3"/>
              <w:numId w:val="60"/>
            </w:numPr>
            <w:tabs>
              <w:tab w:val="left" w:pos="574"/>
            </w:tabs>
            <w:rPr>
              <w:rFonts w:ascii="宋体" w:hAnsi="宋体"/>
            </w:rPr>
          </w:pPr>
          <w:r>
            <w:rPr>
              <w:rFonts w:ascii="宋体" w:hAnsi="宋体" w:hint="eastAsia"/>
            </w:rPr>
            <w:t>按账龄披露</w:t>
          </w:r>
        </w:p>
        <w:sdt>
          <w:sdtPr>
            <w:rPr>
              <w:rFonts w:hint="eastAsia"/>
              <w:szCs w:val="21"/>
            </w:rPr>
            <w:alias w:val="是否适用：组合中，按账龄分析法计提坏账准备的应收账款[双击切换]"/>
            <w:tag w:val="_GBC_adacd9d7302a46dbb6fb745ac9a87bfe"/>
            <w:id w:val="-1228601682"/>
            <w:lock w:val="sdtLocked"/>
            <w:placeholder>
              <w:docPart w:val="GBC22222222222222222222222222222"/>
            </w:placeholder>
          </w:sdtPr>
          <w:sdtEndPr/>
          <w:sdtContent>
            <w:p w14:paraId="5880E7EA" w14:textId="77777777" w:rsidR="00471D53" w:rsidRDefault="004F686E">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5B0AFCF4" w14:textId="04E4DBC8" w:rsidR="00471D53" w:rsidRDefault="004F686E">
          <w:pPr>
            <w:jc w:val="right"/>
            <w:rPr>
              <w:szCs w:val="21"/>
            </w:rPr>
          </w:pPr>
          <w:r>
            <w:rPr>
              <w:rFonts w:hint="eastAsia"/>
              <w:szCs w:val="21"/>
            </w:rPr>
            <w:t>单位：</w:t>
          </w:r>
          <w:sdt>
            <w:sdtPr>
              <w:rPr>
                <w:rFonts w:hint="eastAsia"/>
                <w:szCs w:val="21"/>
              </w:rPr>
              <w:alias w:val="单位：财务附注：单项金额不重大但按信用风险特征组合后该组合的风险较大的应收账款"/>
              <w:tag w:val="_GBC_a1aaa8cef4304dbdb3226b0c37d7eaa2"/>
              <w:id w:val="-203494370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单项金额不重大但按信用风险特征组合后该组合的风险较大的应收账款"/>
              <w:tag w:val="_GBC_23501c118c5d42ce875910cc5f1c5fe3"/>
              <w:id w:val="9789606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4295"/>
            <w:gridCol w:w="4528"/>
          </w:tblGrid>
          <w:tr w:rsidR="00471D53" w14:paraId="6A74B6F0" w14:textId="77777777" w:rsidTr="00471D53">
            <w:trPr>
              <w:cantSplit/>
            </w:trPr>
            <w:bookmarkStart w:id="116" w:name="_Hlk78889174" w:displacedByCustomXml="next"/>
            <w:sdt>
              <w:sdtPr>
                <w:tag w:val="_PLD_cc8a2439cf1a40049647e9f82183f02a"/>
                <w:id w:val="1258332314"/>
                <w:lock w:val="sdtLocked"/>
              </w:sdtPr>
              <w:sdtEndPr/>
              <w:sdtContent>
                <w:tc>
                  <w:tcPr>
                    <w:tcW w:w="2434" w:type="pct"/>
                    <w:tcBorders>
                      <w:top w:val="single" w:sz="4" w:space="0" w:color="auto"/>
                      <w:left w:val="single" w:sz="4" w:space="0" w:color="auto"/>
                      <w:bottom w:val="single" w:sz="4" w:space="0" w:color="auto"/>
                      <w:right w:val="single" w:sz="4" w:space="0" w:color="auto"/>
                    </w:tcBorders>
                    <w:vAlign w:val="center"/>
                  </w:tcPr>
                  <w:p w14:paraId="1F2AB16C" w14:textId="77777777" w:rsidR="00471D53" w:rsidRDefault="004F686E" w:rsidP="00471D53">
                    <w:pPr>
                      <w:jc w:val="center"/>
                      <w:rPr>
                        <w:szCs w:val="21"/>
                      </w:rPr>
                    </w:pPr>
                    <w:r>
                      <w:rPr>
                        <w:rFonts w:hint="eastAsia"/>
                        <w:szCs w:val="21"/>
                      </w:rPr>
                      <w:t>账龄</w:t>
                    </w:r>
                  </w:p>
                </w:tc>
              </w:sdtContent>
            </w:sdt>
            <w:sdt>
              <w:sdtPr>
                <w:tag w:val="_PLD_39df8c40c3b34bb795f3dd83e556c1cb"/>
                <w:id w:val="-1917547403"/>
                <w:lock w:val="sdtLocked"/>
              </w:sdtPr>
              <w:sdtEndPr/>
              <w:sdtContent>
                <w:tc>
                  <w:tcPr>
                    <w:tcW w:w="2566" w:type="pct"/>
                    <w:tcBorders>
                      <w:top w:val="single" w:sz="4" w:space="0" w:color="auto"/>
                      <w:left w:val="single" w:sz="4" w:space="0" w:color="auto"/>
                      <w:bottom w:val="single" w:sz="4" w:space="0" w:color="auto"/>
                      <w:right w:val="single" w:sz="4" w:space="0" w:color="auto"/>
                    </w:tcBorders>
                    <w:vAlign w:val="center"/>
                  </w:tcPr>
                  <w:p w14:paraId="5E3E189E" w14:textId="77777777" w:rsidR="00471D53" w:rsidRDefault="004F686E" w:rsidP="00471D53">
                    <w:pPr>
                      <w:jc w:val="center"/>
                      <w:rPr>
                        <w:szCs w:val="21"/>
                      </w:rPr>
                    </w:pPr>
                    <w:r>
                      <w:rPr>
                        <w:rFonts w:hint="eastAsia"/>
                        <w:szCs w:val="21"/>
                      </w:rPr>
                      <w:t>期末账面余额</w:t>
                    </w:r>
                  </w:p>
                </w:tc>
              </w:sdtContent>
            </w:sdt>
          </w:tr>
          <w:tr w:rsidR="00471D53" w14:paraId="174D0A9D" w14:textId="77777777" w:rsidTr="00471D53">
            <w:trPr>
              <w:cantSplit/>
            </w:trPr>
            <w:sdt>
              <w:sdtPr>
                <w:tag w:val="_PLD_217c8960e1b142368dda5c59f7dd6b68"/>
                <w:id w:val="-812706486"/>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14:paraId="1A9B16E4" w14:textId="77777777" w:rsidR="00471D53" w:rsidRDefault="004F686E" w:rsidP="00471D53">
                    <w:pPr>
                      <w:rPr>
                        <w:color w:val="FF0000"/>
                        <w:szCs w:val="21"/>
                      </w:rPr>
                    </w:pPr>
                    <w:r>
                      <w:rPr>
                        <w:rFonts w:hint="eastAsia"/>
                        <w:szCs w:val="21"/>
                      </w:rPr>
                      <w:t>1年以内</w:t>
                    </w:r>
                  </w:p>
                </w:tc>
              </w:sdtContent>
            </w:sdt>
          </w:tr>
          <w:tr w:rsidR="00471D53" w14:paraId="777C58AF" w14:textId="77777777" w:rsidTr="00471D53">
            <w:trPr>
              <w:cantSplit/>
            </w:trPr>
            <w:sdt>
              <w:sdtPr>
                <w:tag w:val="_PLD_e1f60905870b4ec086c3a5755a91109d"/>
                <w:id w:val="-115833667"/>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14:paraId="019CD4B9" w14:textId="77777777" w:rsidR="00471D53" w:rsidRDefault="004F686E" w:rsidP="00471D53">
                    <w:pPr>
                      <w:rPr>
                        <w:szCs w:val="21"/>
                      </w:rPr>
                    </w:pPr>
                    <w:r>
                      <w:rPr>
                        <w:rFonts w:hint="eastAsia"/>
                        <w:szCs w:val="21"/>
                      </w:rPr>
                      <w:t>其中：1年以内分项</w:t>
                    </w:r>
                  </w:p>
                </w:tc>
              </w:sdtContent>
            </w:sdt>
          </w:tr>
          <w:tr w:rsidR="00471D53" w14:paraId="48834254" w14:textId="77777777" w:rsidTr="00471D53">
            <w:trPr>
              <w:cantSplit/>
            </w:trPr>
            <w:sdt>
              <w:sdtPr>
                <w:tag w:val="_PLD_c7d182c9cd3f494a90cf99c5a58ab86e"/>
                <w:id w:val="-1510445032"/>
                <w:lock w:val="sdtLocked"/>
              </w:sdtPr>
              <w:sdtEndPr/>
              <w:sdtContent>
                <w:tc>
                  <w:tcPr>
                    <w:tcW w:w="2434" w:type="pct"/>
                    <w:tcBorders>
                      <w:top w:val="single" w:sz="4" w:space="0" w:color="auto"/>
                      <w:left w:val="single" w:sz="4" w:space="0" w:color="auto"/>
                      <w:bottom w:val="single" w:sz="4" w:space="0" w:color="auto"/>
                      <w:right w:val="single" w:sz="4" w:space="0" w:color="auto"/>
                    </w:tcBorders>
                  </w:tcPr>
                  <w:p w14:paraId="504BD065" w14:textId="77777777" w:rsidR="00471D53" w:rsidRDefault="004F686E" w:rsidP="00471D53">
                    <w:pPr>
                      <w:rPr>
                        <w:szCs w:val="21"/>
                      </w:rPr>
                    </w:pPr>
                    <w:r>
                      <w:rPr>
                        <w:rFonts w:hint="eastAsia"/>
                        <w:szCs w:val="21"/>
                      </w:rPr>
                      <w:t>1年以内小计</w:t>
                    </w:r>
                  </w:p>
                </w:tc>
              </w:sdtContent>
            </w:sdt>
            <w:tc>
              <w:tcPr>
                <w:tcW w:w="2566" w:type="pct"/>
                <w:tcBorders>
                  <w:top w:val="single" w:sz="4" w:space="0" w:color="auto"/>
                  <w:left w:val="single" w:sz="4" w:space="0" w:color="auto"/>
                  <w:bottom w:val="single" w:sz="4" w:space="0" w:color="auto"/>
                  <w:right w:val="single" w:sz="4" w:space="0" w:color="auto"/>
                </w:tcBorders>
                <w:vAlign w:val="center"/>
              </w:tcPr>
              <w:p w14:paraId="413C7C8F" w14:textId="77777777" w:rsidR="00471D53" w:rsidRDefault="004F686E" w:rsidP="00471D53">
                <w:pPr>
                  <w:jc w:val="right"/>
                  <w:rPr>
                    <w:rFonts w:cs="Calibri"/>
                    <w:sz w:val="22"/>
                  </w:rPr>
                </w:pPr>
                <w:r>
                  <w:t>159,676,049.29</w:t>
                </w:r>
              </w:p>
            </w:tc>
          </w:tr>
          <w:tr w:rsidR="00471D53" w14:paraId="48B1F9D0" w14:textId="77777777" w:rsidTr="00471D53">
            <w:trPr>
              <w:cantSplit/>
            </w:trPr>
            <w:sdt>
              <w:sdtPr>
                <w:tag w:val="_PLD_ddd035f081424c508ec3702ea96caece"/>
                <w:id w:val="-1323653746"/>
                <w:lock w:val="sdtLocked"/>
              </w:sdtPr>
              <w:sdtEndPr/>
              <w:sdtContent>
                <w:tc>
                  <w:tcPr>
                    <w:tcW w:w="2434" w:type="pct"/>
                    <w:tcBorders>
                      <w:top w:val="single" w:sz="4" w:space="0" w:color="auto"/>
                      <w:left w:val="single" w:sz="4" w:space="0" w:color="auto"/>
                      <w:bottom w:val="single" w:sz="4" w:space="0" w:color="auto"/>
                      <w:right w:val="single" w:sz="4" w:space="0" w:color="auto"/>
                    </w:tcBorders>
                  </w:tcPr>
                  <w:p w14:paraId="6E947C2F" w14:textId="77777777" w:rsidR="00471D53" w:rsidRDefault="004F686E" w:rsidP="00471D53">
                    <w:pPr>
                      <w:rPr>
                        <w:szCs w:val="21"/>
                      </w:rPr>
                    </w:pPr>
                    <w:r>
                      <w:rPr>
                        <w:rFonts w:hint="eastAsia"/>
                        <w:szCs w:val="21"/>
                      </w:rPr>
                      <w:t>1至2年</w:t>
                    </w:r>
                  </w:p>
                </w:tc>
              </w:sdtContent>
            </w:sdt>
            <w:tc>
              <w:tcPr>
                <w:tcW w:w="2566" w:type="pct"/>
                <w:tcBorders>
                  <w:top w:val="single" w:sz="4" w:space="0" w:color="auto"/>
                  <w:left w:val="single" w:sz="4" w:space="0" w:color="auto"/>
                  <w:bottom w:val="single" w:sz="4" w:space="0" w:color="auto"/>
                  <w:right w:val="single" w:sz="4" w:space="0" w:color="auto"/>
                </w:tcBorders>
                <w:vAlign w:val="center"/>
              </w:tcPr>
              <w:p w14:paraId="701DF7A2" w14:textId="77777777" w:rsidR="00471D53" w:rsidRDefault="004F686E" w:rsidP="00471D53">
                <w:pPr>
                  <w:jc w:val="right"/>
                  <w:rPr>
                    <w:rFonts w:cs="Calibri"/>
                    <w:sz w:val="22"/>
                  </w:rPr>
                </w:pPr>
                <w:r>
                  <w:t>17,430,452.09</w:t>
                </w:r>
              </w:p>
            </w:tc>
          </w:tr>
          <w:tr w:rsidR="00471D53" w14:paraId="41DE3BA0" w14:textId="77777777" w:rsidTr="00471D53">
            <w:trPr>
              <w:cantSplit/>
            </w:trPr>
            <w:sdt>
              <w:sdtPr>
                <w:tag w:val="_PLD_173769cdf4af409b9ed3b84a39f352b3"/>
                <w:id w:val="-1814178163"/>
                <w:lock w:val="sdtLocked"/>
              </w:sdtPr>
              <w:sdtEndPr/>
              <w:sdtContent>
                <w:tc>
                  <w:tcPr>
                    <w:tcW w:w="2434" w:type="pct"/>
                    <w:tcBorders>
                      <w:top w:val="single" w:sz="4" w:space="0" w:color="auto"/>
                      <w:left w:val="single" w:sz="4" w:space="0" w:color="auto"/>
                      <w:bottom w:val="single" w:sz="4" w:space="0" w:color="auto"/>
                      <w:right w:val="single" w:sz="4" w:space="0" w:color="auto"/>
                    </w:tcBorders>
                  </w:tcPr>
                  <w:p w14:paraId="6EC9730E" w14:textId="77777777" w:rsidR="00471D53" w:rsidRDefault="004F686E" w:rsidP="00471D53">
                    <w:pPr>
                      <w:rPr>
                        <w:szCs w:val="21"/>
                      </w:rPr>
                    </w:pPr>
                    <w:r>
                      <w:rPr>
                        <w:rFonts w:hint="eastAsia"/>
                        <w:szCs w:val="21"/>
                      </w:rPr>
                      <w:t>2至3年</w:t>
                    </w:r>
                  </w:p>
                </w:tc>
              </w:sdtContent>
            </w:sdt>
            <w:tc>
              <w:tcPr>
                <w:tcW w:w="2566" w:type="pct"/>
                <w:tcBorders>
                  <w:top w:val="single" w:sz="4" w:space="0" w:color="auto"/>
                  <w:left w:val="single" w:sz="4" w:space="0" w:color="auto"/>
                  <w:bottom w:val="single" w:sz="4" w:space="0" w:color="auto"/>
                  <w:right w:val="single" w:sz="4" w:space="0" w:color="auto"/>
                </w:tcBorders>
                <w:vAlign w:val="center"/>
              </w:tcPr>
              <w:p w14:paraId="5B6B63BD" w14:textId="77777777" w:rsidR="00471D53" w:rsidRDefault="004F686E" w:rsidP="00471D53">
                <w:pPr>
                  <w:jc w:val="right"/>
                  <w:rPr>
                    <w:rFonts w:cs="Calibri"/>
                    <w:sz w:val="22"/>
                  </w:rPr>
                </w:pPr>
                <w:r>
                  <w:t>5,567,827.12</w:t>
                </w:r>
              </w:p>
            </w:tc>
          </w:tr>
          <w:tr w:rsidR="00471D53" w14:paraId="2BB4FA61" w14:textId="77777777" w:rsidTr="00471D53">
            <w:trPr>
              <w:cantSplit/>
            </w:trPr>
            <w:sdt>
              <w:sdtPr>
                <w:tag w:val="_PLD_7ddcfca835a84663bade28a69e162ec0"/>
                <w:id w:val="1455749152"/>
                <w:lock w:val="sdtLocked"/>
              </w:sdtPr>
              <w:sdtEndPr/>
              <w:sdtContent>
                <w:tc>
                  <w:tcPr>
                    <w:tcW w:w="2434" w:type="pct"/>
                    <w:tcBorders>
                      <w:top w:val="single" w:sz="4" w:space="0" w:color="auto"/>
                      <w:left w:val="single" w:sz="4" w:space="0" w:color="auto"/>
                      <w:bottom w:val="single" w:sz="4" w:space="0" w:color="auto"/>
                      <w:right w:val="single" w:sz="4" w:space="0" w:color="auto"/>
                    </w:tcBorders>
                  </w:tcPr>
                  <w:p w14:paraId="05A24D88" w14:textId="77777777" w:rsidR="00471D53" w:rsidRDefault="004F686E" w:rsidP="00471D53">
                    <w:pPr>
                      <w:rPr>
                        <w:szCs w:val="21"/>
                      </w:rPr>
                    </w:pPr>
                    <w:r>
                      <w:rPr>
                        <w:rFonts w:hint="eastAsia"/>
                        <w:szCs w:val="21"/>
                      </w:rPr>
                      <w:t>3年以上</w:t>
                    </w:r>
                  </w:p>
                </w:tc>
              </w:sdtContent>
            </w:sdt>
            <w:tc>
              <w:tcPr>
                <w:tcW w:w="2566" w:type="pct"/>
                <w:tcBorders>
                  <w:top w:val="single" w:sz="4" w:space="0" w:color="auto"/>
                  <w:left w:val="single" w:sz="4" w:space="0" w:color="auto"/>
                  <w:bottom w:val="single" w:sz="4" w:space="0" w:color="auto"/>
                  <w:right w:val="single" w:sz="4" w:space="0" w:color="auto"/>
                </w:tcBorders>
                <w:vAlign w:val="center"/>
              </w:tcPr>
              <w:p w14:paraId="4D46AF04" w14:textId="77777777" w:rsidR="00471D53" w:rsidRDefault="00B664AF" w:rsidP="00471D53">
                <w:pPr>
                  <w:jc w:val="right"/>
                  <w:rPr>
                    <w:rFonts w:cs="Calibri"/>
                    <w:sz w:val="22"/>
                  </w:rPr>
                </w:pPr>
              </w:p>
            </w:tc>
          </w:tr>
          <w:tr w:rsidR="00471D53" w14:paraId="1F0B2E30" w14:textId="77777777" w:rsidTr="00471D53">
            <w:trPr>
              <w:cantSplit/>
            </w:trPr>
            <w:sdt>
              <w:sdtPr>
                <w:tag w:val="_PLD_fd1f00d60b69467bbd45960ac76b73ab"/>
                <w:id w:val="1377739699"/>
                <w:lock w:val="sdtLocked"/>
              </w:sdtPr>
              <w:sdtEndPr/>
              <w:sdtContent>
                <w:tc>
                  <w:tcPr>
                    <w:tcW w:w="2434" w:type="pct"/>
                    <w:tcBorders>
                      <w:top w:val="single" w:sz="4" w:space="0" w:color="auto"/>
                      <w:left w:val="single" w:sz="4" w:space="0" w:color="auto"/>
                      <w:bottom w:val="single" w:sz="4" w:space="0" w:color="auto"/>
                      <w:right w:val="single" w:sz="4" w:space="0" w:color="auto"/>
                    </w:tcBorders>
                  </w:tcPr>
                  <w:p w14:paraId="58F6317B" w14:textId="77777777" w:rsidR="00471D53" w:rsidRDefault="004F686E" w:rsidP="00471D53">
                    <w:pPr>
                      <w:rPr>
                        <w:szCs w:val="21"/>
                      </w:rPr>
                    </w:pPr>
                    <w:r>
                      <w:rPr>
                        <w:rFonts w:hint="eastAsia"/>
                        <w:szCs w:val="21"/>
                      </w:rPr>
                      <w:t>3至4年</w:t>
                    </w:r>
                  </w:p>
                </w:tc>
              </w:sdtContent>
            </w:sdt>
            <w:tc>
              <w:tcPr>
                <w:tcW w:w="2566" w:type="pct"/>
                <w:tcBorders>
                  <w:top w:val="single" w:sz="4" w:space="0" w:color="auto"/>
                  <w:left w:val="single" w:sz="4" w:space="0" w:color="auto"/>
                  <w:bottom w:val="single" w:sz="4" w:space="0" w:color="auto"/>
                  <w:right w:val="single" w:sz="4" w:space="0" w:color="auto"/>
                </w:tcBorders>
                <w:vAlign w:val="center"/>
              </w:tcPr>
              <w:p w14:paraId="7DA0DB54" w14:textId="77777777" w:rsidR="00471D53" w:rsidRDefault="004F686E" w:rsidP="00471D53">
                <w:pPr>
                  <w:jc w:val="right"/>
                  <w:rPr>
                    <w:rFonts w:cs="Calibri"/>
                    <w:sz w:val="22"/>
                  </w:rPr>
                </w:pPr>
                <w:r>
                  <w:t>1,469,088.15</w:t>
                </w:r>
              </w:p>
            </w:tc>
          </w:tr>
          <w:tr w:rsidR="00471D53" w14:paraId="1A9488C7" w14:textId="77777777" w:rsidTr="00471D53">
            <w:trPr>
              <w:cantSplit/>
            </w:trPr>
            <w:sdt>
              <w:sdtPr>
                <w:tag w:val="_PLD_8db7bbb254fd40b486e26e8b3e40a316"/>
                <w:id w:val="1626892135"/>
                <w:lock w:val="sdtLocked"/>
              </w:sdtPr>
              <w:sdtEndPr/>
              <w:sdtContent>
                <w:tc>
                  <w:tcPr>
                    <w:tcW w:w="2434" w:type="pct"/>
                    <w:tcBorders>
                      <w:top w:val="single" w:sz="4" w:space="0" w:color="auto"/>
                      <w:left w:val="single" w:sz="4" w:space="0" w:color="auto"/>
                      <w:bottom w:val="single" w:sz="4" w:space="0" w:color="auto"/>
                      <w:right w:val="single" w:sz="4" w:space="0" w:color="auto"/>
                    </w:tcBorders>
                  </w:tcPr>
                  <w:p w14:paraId="0AF7A6E8" w14:textId="77777777" w:rsidR="00471D53" w:rsidRDefault="004F686E" w:rsidP="00471D53">
                    <w:pPr>
                      <w:rPr>
                        <w:szCs w:val="21"/>
                      </w:rPr>
                    </w:pPr>
                    <w:r>
                      <w:rPr>
                        <w:rFonts w:hint="eastAsia"/>
                        <w:szCs w:val="21"/>
                      </w:rPr>
                      <w:t>4至5年</w:t>
                    </w:r>
                  </w:p>
                </w:tc>
              </w:sdtContent>
            </w:sdt>
            <w:tc>
              <w:tcPr>
                <w:tcW w:w="2566" w:type="pct"/>
                <w:tcBorders>
                  <w:top w:val="single" w:sz="4" w:space="0" w:color="auto"/>
                  <w:left w:val="single" w:sz="4" w:space="0" w:color="auto"/>
                  <w:bottom w:val="single" w:sz="4" w:space="0" w:color="auto"/>
                  <w:right w:val="single" w:sz="4" w:space="0" w:color="auto"/>
                </w:tcBorders>
                <w:vAlign w:val="center"/>
              </w:tcPr>
              <w:p w14:paraId="349A329D" w14:textId="77777777" w:rsidR="00471D53" w:rsidRDefault="004F686E" w:rsidP="00471D53">
                <w:pPr>
                  <w:jc w:val="right"/>
                  <w:rPr>
                    <w:rFonts w:cs="Calibri"/>
                    <w:sz w:val="22"/>
                  </w:rPr>
                </w:pPr>
                <w:r>
                  <w:t>5,209,900.19</w:t>
                </w:r>
              </w:p>
            </w:tc>
          </w:tr>
          <w:tr w:rsidR="00471D53" w14:paraId="67EDB500" w14:textId="77777777" w:rsidTr="00471D53">
            <w:trPr>
              <w:cantSplit/>
            </w:trPr>
            <w:sdt>
              <w:sdtPr>
                <w:tag w:val="_PLD_e4213ce4e1fb477baea80cfbb361b8a7"/>
                <w:id w:val="1093899076"/>
                <w:lock w:val="sdtLocked"/>
              </w:sdtPr>
              <w:sdtEndPr/>
              <w:sdtContent>
                <w:tc>
                  <w:tcPr>
                    <w:tcW w:w="2434" w:type="pct"/>
                    <w:tcBorders>
                      <w:top w:val="single" w:sz="4" w:space="0" w:color="auto"/>
                      <w:left w:val="single" w:sz="4" w:space="0" w:color="auto"/>
                      <w:bottom w:val="single" w:sz="4" w:space="0" w:color="auto"/>
                      <w:right w:val="single" w:sz="4" w:space="0" w:color="auto"/>
                    </w:tcBorders>
                  </w:tcPr>
                  <w:p w14:paraId="4F5008AB" w14:textId="77777777" w:rsidR="00471D53" w:rsidRDefault="004F686E" w:rsidP="00471D53">
                    <w:pPr>
                      <w:rPr>
                        <w:szCs w:val="21"/>
                      </w:rPr>
                    </w:pPr>
                    <w:r>
                      <w:rPr>
                        <w:rFonts w:hint="eastAsia"/>
                        <w:szCs w:val="21"/>
                      </w:rPr>
                      <w:t>5年以上</w:t>
                    </w:r>
                  </w:p>
                </w:tc>
              </w:sdtContent>
            </w:sdt>
            <w:tc>
              <w:tcPr>
                <w:tcW w:w="2566" w:type="pct"/>
                <w:tcBorders>
                  <w:top w:val="single" w:sz="4" w:space="0" w:color="auto"/>
                  <w:left w:val="single" w:sz="4" w:space="0" w:color="auto"/>
                  <w:bottom w:val="single" w:sz="4" w:space="0" w:color="auto"/>
                  <w:right w:val="single" w:sz="4" w:space="0" w:color="auto"/>
                </w:tcBorders>
                <w:vAlign w:val="center"/>
              </w:tcPr>
              <w:p w14:paraId="29E2413E" w14:textId="77777777" w:rsidR="00471D53" w:rsidRDefault="004F686E" w:rsidP="00471D53">
                <w:pPr>
                  <w:jc w:val="right"/>
                  <w:rPr>
                    <w:rFonts w:cs="Calibri"/>
                    <w:sz w:val="22"/>
                  </w:rPr>
                </w:pPr>
                <w:r>
                  <w:t>49,308,224.30</w:t>
                </w:r>
              </w:p>
            </w:tc>
          </w:tr>
          <w:tr w:rsidR="00471D53" w14:paraId="32B7ACAC" w14:textId="77777777" w:rsidTr="00471D53">
            <w:trPr>
              <w:cantSplit/>
            </w:trPr>
            <w:sdt>
              <w:sdtPr>
                <w:tag w:val="_PLD_a92bd573499a45f88eb09857cbe19e80"/>
                <w:id w:val="45113476"/>
                <w:lock w:val="sdtLocked"/>
              </w:sdtPr>
              <w:sdtEndPr/>
              <w:sdtContent>
                <w:tc>
                  <w:tcPr>
                    <w:tcW w:w="2434" w:type="pct"/>
                    <w:tcBorders>
                      <w:top w:val="single" w:sz="4" w:space="0" w:color="auto"/>
                      <w:left w:val="single" w:sz="4" w:space="0" w:color="auto"/>
                      <w:bottom w:val="single" w:sz="4" w:space="0" w:color="auto"/>
                      <w:right w:val="single" w:sz="4" w:space="0" w:color="auto"/>
                    </w:tcBorders>
                    <w:vAlign w:val="center"/>
                  </w:tcPr>
                  <w:p w14:paraId="7E6B1FBF" w14:textId="77777777" w:rsidR="00471D53" w:rsidRDefault="004F686E" w:rsidP="00471D53">
                    <w:pPr>
                      <w:jc w:val="center"/>
                      <w:rPr>
                        <w:szCs w:val="21"/>
                      </w:rPr>
                    </w:pPr>
                    <w:r>
                      <w:rPr>
                        <w:rFonts w:hint="eastAsia"/>
                        <w:szCs w:val="21"/>
                      </w:rPr>
                      <w:t>合计</w:t>
                    </w:r>
                  </w:p>
                </w:tc>
              </w:sdtContent>
            </w:sdt>
            <w:tc>
              <w:tcPr>
                <w:tcW w:w="2566" w:type="pct"/>
                <w:tcBorders>
                  <w:top w:val="single" w:sz="4" w:space="0" w:color="auto"/>
                  <w:left w:val="single" w:sz="4" w:space="0" w:color="auto"/>
                  <w:bottom w:val="single" w:sz="4" w:space="0" w:color="auto"/>
                  <w:right w:val="single" w:sz="4" w:space="0" w:color="auto"/>
                </w:tcBorders>
              </w:tcPr>
              <w:p w14:paraId="2AB3119E" w14:textId="77777777" w:rsidR="00471D53" w:rsidRPr="0068000B" w:rsidRDefault="004F686E" w:rsidP="00471D53">
                <w:pPr>
                  <w:jc w:val="right"/>
                  <w:rPr>
                    <w:szCs w:val="21"/>
                  </w:rPr>
                </w:pPr>
                <w:r w:rsidRPr="0068000B">
                  <w:rPr>
                    <w:rFonts w:cs="Calibri" w:hint="eastAsia"/>
                    <w:sz w:val="22"/>
                  </w:rPr>
                  <w:t>238,661,541.14</w:t>
                </w:r>
              </w:p>
            </w:tc>
          </w:tr>
          <w:bookmarkEnd w:id="116"/>
        </w:tbl>
        <w:p w14:paraId="4B6806E5" w14:textId="77777777" w:rsidR="00471D53" w:rsidRDefault="00B664AF"/>
        <w:p w14:paraId="70DD52CF" w14:textId="77777777" w:rsidR="00471D53" w:rsidRDefault="00B664AF"/>
      </w:sdtContent>
    </w:sdt>
    <w:bookmarkEnd w:id="115" w:displacedByCustomXml="prev"/>
    <w:p w14:paraId="27EB17E0" w14:textId="77777777" w:rsidR="00471D53" w:rsidRDefault="004F686E" w:rsidP="004F686E">
      <w:pPr>
        <w:pStyle w:val="afffff8"/>
        <w:numPr>
          <w:ilvl w:val="3"/>
          <w:numId w:val="60"/>
        </w:numPr>
        <w:tabs>
          <w:tab w:val="left" w:pos="574"/>
        </w:tabs>
        <w:rPr>
          <w:rFonts w:ascii="宋体" w:hAnsi="宋体"/>
        </w:rPr>
      </w:pPr>
      <w:bookmarkStart w:id="117" w:name="_Hlk10467162"/>
      <w:r>
        <w:rPr>
          <w:rFonts w:ascii="宋体" w:hAnsi="宋体" w:cstheme="minorBidi" w:hint="eastAsia"/>
          <w:bCs w:val="0"/>
          <w:kern w:val="0"/>
          <w:szCs w:val="22"/>
        </w:rPr>
        <w:t>按坏账计提方法分类披露</w:t>
      </w:r>
    </w:p>
    <w:sdt>
      <w:sdtPr>
        <w:alias w:val="是否适用：应收账款分类披露[双击切换]"/>
        <w:tag w:val="_GBC_fc55e6778e08412caa3e7b9e7a1a0f85"/>
        <w:id w:val="267279271"/>
        <w:lock w:val="sdtContentLocked"/>
        <w:placeholder>
          <w:docPart w:val="GBC22222222222222222222222222222"/>
        </w:placeholder>
      </w:sdtPr>
      <w:sdtEndPr/>
      <w:sdtContent>
        <w:p w14:paraId="00FFAC5E"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hAnsi="宋体" w:cs="宋体" w:hint="eastAsia"/>
          <w:kern w:val="0"/>
          <w:szCs w:val="21"/>
        </w:rPr>
        <w:alias w:val="模块:(2). 按坏账计提方法分类披露"/>
        <w:tag w:val="_SEC_0398db7d3d0941d99bcd41800ef0e448"/>
        <w:id w:val="780691188"/>
        <w:lock w:val="sdtLocked"/>
        <w:placeholder>
          <w:docPart w:val="GBC22222222222222222222222222222"/>
        </w:placeholder>
      </w:sdtPr>
      <w:sdtEndPr>
        <w:rPr>
          <w:szCs w:val="24"/>
        </w:rPr>
      </w:sdtEndPr>
      <w:sdtContent>
        <w:p w14:paraId="2F840843" w14:textId="200DB4DE" w:rsidR="00471D53" w:rsidRDefault="004F686E">
          <w:pPr>
            <w:pStyle w:val="affffff7"/>
            <w:autoSpaceDE w:val="0"/>
            <w:autoSpaceDN w:val="0"/>
            <w:adjustRightInd w:val="0"/>
            <w:ind w:left="425" w:right="10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应收账款按种类披露"/>
              <w:tag w:val="_GBC_13874a7a2d5642bc9d06df2e53ad133f"/>
              <w:id w:val="18033457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币种：</w:t>
          </w:r>
          <w:sdt>
            <w:sdtPr>
              <w:rPr>
                <w:rFonts w:ascii="宋体" w:hAnsi="宋体" w:hint="eastAsia"/>
                <w:szCs w:val="21"/>
              </w:rPr>
              <w:alias w:val="币种：财务附注：应收账款按种类披露"/>
              <w:tag w:val="_GBC_a7c9ba83409d4f5ebb3a7b0903842485"/>
              <w:id w:val="-209632077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4"/>
            <w:tblW w:w="5620" w:type="pct"/>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230"/>
            <w:gridCol w:w="1233"/>
            <w:gridCol w:w="437"/>
            <w:gridCol w:w="1077"/>
            <w:gridCol w:w="512"/>
            <w:gridCol w:w="1112"/>
            <w:gridCol w:w="1112"/>
            <w:gridCol w:w="512"/>
            <w:gridCol w:w="1068"/>
            <w:gridCol w:w="512"/>
            <w:gridCol w:w="1112"/>
          </w:tblGrid>
          <w:tr w:rsidR="00471D53" w14:paraId="0D395B42" w14:textId="77777777" w:rsidTr="00471D53">
            <w:trPr>
              <w:cantSplit/>
              <w:trHeight w:val="259"/>
            </w:trPr>
            <w:sdt>
              <w:sdtPr>
                <w:tag w:val="_PLD_a2143754c0e847e9a8bbb40d4548066c"/>
                <w:id w:val="1111472839"/>
                <w:lock w:val="sdtLocked"/>
              </w:sdtPr>
              <w:sdtEndPr/>
              <w:sdtContent>
                <w:tc>
                  <w:tcPr>
                    <w:tcW w:w="631" w:type="pct"/>
                    <w:vMerge w:val="restart"/>
                    <w:tcBorders>
                      <w:top w:val="single" w:sz="4" w:space="0" w:color="auto"/>
                      <w:left w:val="single" w:sz="4" w:space="0" w:color="auto"/>
                      <w:right w:val="single" w:sz="4" w:space="0" w:color="auto"/>
                    </w:tcBorders>
                    <w:vAlign w:val="center"/>
                  </w:tcPr>
                  <w:p w14:paraId="16DCCE40" w14:textId="77777777" w:rsidR="00471D53" w:rsidRDefault="004F686E" w:rsidP="00471D53">
                    <w:pPr>
                      <w:jc w:val="center"/>
                      <w:rPr>
                        <w:szCs w:val="21"/>
                      </w:rPr>
                    </w:pPr>
                    <w:r>
                      <w:rPr>
                        <w:rFonts w:hint="eastAsia"/>
                        <w:szCs w:val="21"/>
                      </w:rPr>
                      <w:t>类别</w:t>
                    </w:r>
                  </w:p>
                </w:tc>
              </w:sdtContent>
            </w:sdt>
            <w:sdt>
              <w:sdtPr>
                <w:tag w:val="_PLD_25d42b68a0be4b6c9079bb6f0b9688f1"/>
                <w:id w:val="-623073989"/>
                <w:lock w:val="sdtLocked"/>
              </w:sdtPr>
              <w:sdtEndPr/>
              <w:sdtContent>
                <w:tc>
                  <w:tcPr>
                    <w:tcW w:w="2218" w:type="pct"/>
                    <w:gridSpan w:val="5"/>
                    <w:tcBorders>
                      <w:top w:val="single" w:sz="4" w:space="0" w:color="auto"/>
                      <w:left w:val="single" w:sz="4" w:space="0" w:color="auto"/>
                      <w:right w:val="single" w:sz="4" w:space="0" w:color="auto"/>
                    </w:tcBorders>
                    <w:vAlign w:val="center"/>
                  </w:tcPr>
                  <w:p w14:paraId="48EB45D5" w14:textId="77777777" w:rsidR="00471D53" w:rsidRDefault="004F686E" w:rsidP="00471D53">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7ebf4817a5864c42bb0897c8ddd0cd9c"/>
                <w:id w:val="465398055"/>
                <w:lock w:val="sdtLocked"/>
              </w:sdtPr>
              <w:sdtEndPr/>
              <w:sdtContent>
                <w:tc>
                  <w:tcPr>
                    <w:tcW w:w="2151" w:type="pct"/>
                    <w:gridSpan w:val="5"/>
                    <w:tcBorders>
                      <w:top w:val="single" w:sz="4" w:space="0" w:color="auto"/>
                      <w:left w:val="single" w:sz="4" w:space="0" w:color="auto"/>
                      <w:right w:val="single" w:sz="4" w:space="0" w:color="auto"/>
                    </w:tcBorders>
                    <w:vAlign w:val="center"/>
                  </w:tcPr>
                  <w:p w14:paraId="7482EF4E" w14:textId="77777777" w:rsidR="00471D53" w:rsidRDefault="004F686E" w:rsidP="00471D53">
                    <w:pPr>
                      <w:autoSpaceDE w:val="0"/>
                      <w:autoSpaceDN w:val="0"/>
                      <w:adjustRightInd w:val="0"/>
                      <w:snapToGrid w:val="0"/>
                      <w:spacing w:line="240" w:lineRule="atLeast"/>
                      <w:jc w:val="center"/>
                      <w:rPr>
                        <w:szCs w:val="21"/>
                      </w:rPr>
                    </w:pPr>
                    <w:r>
                      <w:rPr>
                        <w:rFonts w:hint="eastAsia"/>
                        <w:szCs w:val="21"/>
                      </w:rPr>
                      <w:t>期初余额</w:t>
                    </w:r>
                  </w:p>
                </w:tc>
              </w:sdtContent>
            </w:sdt>
          </w:tr>
          <w:tr w:rsidR="00471D53" w14:paraId="6A267743" w14:textId="77777777" w:rsidTr="00471D53">
            <w:trPr>
              <w:cantSplit/>
              <w:trHeight w:val="227"/>
            </w:trPr>
            <w:tc>
              <w:tcPr>
                <w:tcW w:w="631" w:type="pct"/>
                <w:vMerge/>
                <w:tcBorders>
                  <w:left w:val="single" w:sz="4" w:space="0" w:color="auto"/>
                  <w:right w:val="single" w:sz="4" w:space="0" w:color="auto"/>
                </w:tcBorders>
                <w:vAlign w:val="center"/>
              </w:tcPr>
              <w:p w14:paraId="6C6EB5E3" w14:textId="77777777" w:rsidR="00471D53" w:rsidRDefault="00B664AF" w:rsidP="00471D53">
                <w:pPr>
                  <w:rPr>
                    <w:szCs w:val="21"/>
                  </w:rPr>
                </w:pPr>
              </w:p>
            </w:tc>
            <w:sdt>
              <w:sdtPr>
                <w:tag w:val="_PLD_fd64cffe158d4ef48a5ff569de778464"/>
                <w:id w:val="1440869643"/>
                <w:lock w:val="sdtLocked"/>
              </w:sdtPr>
              <w:sdtEndPr/>
              <w:sdtContent>
                <w:tc>
                  <w:tcPr>
                    <w:tcW w:w="852" w:type="pct"/>
                    <w:gridSpan w:val="2"/>
                    <w:tcBorders>
                      <w:top w:val="single" w:sz="4" w:space="0" w:color="auto"/>
                      <w:left w:val="single" w:sz="4" w:space="0" w:color="auto"/>
                      <w:bottom w:val="single" w:sz="4" w:space="0" w:color="auto"/>
                      <w:right w:val="single" w:sz="4" w:space="0" w:color="auto"/>
                    </w:tcBorders>
                    <w:vAlign w:val="center"/>
                  </w:tcPr>
                  <w:p w14:paraId="6E44A72B" w14:textId="77777777" w:rsidR="00471D53" w:rsidRDefault="004F686E" w:rsidP="00471D53">
                    <w:pPr>
                      <w:jc w:val="center"/>
                      <w:rPr>
                        <w:szCs w:val="21"/>
                      </w:rPr>
                    </w:pPr>
                    <w:r>
                      <w:rPr>
                        <w:rFonts w:hint="eastAsia"/>
                        <w:szCs w:val="21"/>
                      </w:rPr>
                      <w:t>账面余额</w:t>
                    </w:r>
                  </w:p>
                </w:tc>
              </w:sdtContent>
            </w:sdt>
            <w:sdt>
              <w:sdtPr>
                <w:tag w:val="_PLD_f0f4adcb95c44cfa884ef7d853d6b134"/>
                <w:id w:val="491762525"/>
                <w:lock w:val="sdtLocked"/>
              </w:sdtPr>
              <w:sdtEndPr/>
              <w:sdtContent>
                <w:tc>
                  <w:tcPr>
                    <w:tcW w:w="810" w:type="pct"/>
                    <w:gridSpan w:val="2"/>
                    <w:tcBorders>
                      <w:top w:val="single" w:sz="4" w:space="0" w:color="auto"/>
                      <w:left w:val="single" w:sz="4" w:space="0" w:color="auto"/>
                      <w:bottom w:val="single" w:sz="4" w:space="0" w:color="auto"/>
                      <w:right w:val="single" w:sz="4" w:space="0" w:color="auto"/>
                    </w:tcBorders>
                    <w:vAlign w:val="center"/>
                  </w:tcPr>
                  <w:p w14:paraId="69930D48" w14:textId="77777777" w:rsidR="00471D53" w:rsidRDefault="004F686E" w:rsidP="00471D53">
                    <w:pPr>
                      <w:jc w:val="center"/>
                      <w:rPr>
                        <w:szCs w:val="21"/>
                      </w:rPr>
                    </w:pPr>
                    <w:r>
                      <w:rPr>
                        <w:rFonts w:hint="eastAsia"/>
                        <w:szCs w:val="21"/>
                      </w:rPr>
                      <w:t>坏账准备</w:t>
                    </w:r>
                  </w:p>
                </w:tc>
              </w:sdtContent>
            </w:sdt>
            <w:sdt>
              <w:sdtPr>
                <w:tag w:val="_PLD_4c122527ed0743b8905d9f19514f4328"/>
                <w:id w:val="1718632141"/>
                <w:lock w:val="sdtLocked"/>
              </w:sdtPr>
              <w:sdtEndPr/>
              <w:sdtContent>
                <w:tc>
                  <w:tcPr>
                    <w:tcW w:w="556" w:type="pct"/>
                    <w:vMerge w:val="restart"/>
                    <w:tcBorders>
                      <w:top w:val="single" w:sz="4" w:space="0" w:color="auto"/>
                      <w:left w:val="single" w:sz="4" w:space="0" w:color="auto"/>
                      <w:right w:val="single" w:sz="4" w:space="0" w:color="auto"/>
                    </w:tcBorders>
                    <w:vAlign w:val="center"/>
                  </w:tcPr>
                  <w:p w14:paraId="1F9F9E74" w14:textId="77777777" w:rsidR="00471D53" w:rsidRDefault="004F686E" w:rsidP="00471D53">
                    <w:pPr>
                      <w:jc w:val="center"/>
                      <w:rPr>
                        <w:szCs w:val="21"/>
                      </w:rPr>
                    </w:pPr>
                    <w:r>
                      <w:rPr>
                        <w:rFonts w:hint="eastAsia"/>
                        <w:szCs w:val="21"/>
                      </w:rPr>
                      <w:t>账面</w:t>
                    </w:r>
                  </w:p>
                  <w:p w14:paraId="498E80A3" w14:textId="77777777" w:rsidR="00471D53" w:rsidRDefault="004F686E" w:rsidP="00471D53">
                    <w:pPr>
                      <w:jc w:val="center"/>
                      <w:rPr>
                        <w:szCs w:val="21"/>
                      </w:rPr>
                    </w:pPr>
                    <w:r>
                      <w:rPr>
                        <w:rFonts w:hint="eastAsia"/>
                        <w:szCs w:val="21"/>
                      </w:rPr>
                      <w:t>价值</w:t>
                    </w:r>
                  </w:p>
                </w:tc>
              </w:sdtContent>
            </w:sdt>
            <w:sdt>
              <w:sdtPr>
                <w:tag w:val="_PLD_fa758d9eb4ae426faef8e328262241b4"/>
                <w:id w:val="-1607725429"/>
                <w:lock w:val="sdtLocked"/>
              </w:sdtPr>
              <w:sdtEndPr/>
              <w:sdtContent>
                <w:tc>
                  <w:tcPr>
                    <w:tcW w:w="785" w:type="pct"/>
                    <w:gridSpan w:val="2"/>
                    <w:tcBorders>
                      <w:top w:val="single" w:sz="4" w:space="0" w:color="auto"/>
                      <w:left w:val="single" w:sz="4" w:space="0" w:color="auto"/>
                      <w:right w:val="single" w:sz="4" w:space="0" w:color="auto"/>
                    </w:tcBorders>
                    <w:vAlign w:val="center"/>
                  </w:tcPr>
                  <w:p w14:paraId="3EBC1346" w14:textId="77777777" w:rsidR="00471D53" w:rsidRDefault="004F686E" w:rsidP="00471D53">
                    <w:pPr>
                      <w:jc w:val="center"/>
                      <w:rPr>
                        <w:szCs w:val="21"/>
                      </w:rPr>
                    </w:pPr>
                    <w:r>
                      <w:rPr>
                        <w:rFonts w:hint="eastAsia"/>
                        <w:szCs w:val="21"/>
                      </w:rPr>
                      <w:t>账面余额</w:t>
                    </w:r>
                  </w:p>
                </w:tc>
              </w:sdtContent>
            </w:sdt>
            <w:sdt>
              <w:sdtPr>
                <w:tag w:val="_PLD_58080bac137d4831ab65bc2f8ca82429"/>
                <w:id w:val="985597035"/>
                <w:lock w:val="sdtLocked"/>
              </w:sdtPr>
              <w:sdtEndPr/>
              <w:sdtContent>
                <w:tc>
                  <w:tcPr>
                    <w:tcW w:w="810" w:type="pct"/>
                    <w:gridSpan w:val="2"/>
                    <w:tcBorders>
                      <w:top w:val="single" w:sz="4" w:space="0" w:color="auto"/>
                      <w:left w:val="single" w:sz="4" w:space="0" w:color="auto"/>
                      <w:right w:val="single" w:sz="4" w:space="0" w:color="auto"/>
                    </w:tcBorders>
                    <w:vAlign w:val="center"/>
                  </w:tcPr>
                  <w:p w14:paraId="64F82EEA" w14:textId="77777777" w:rsidR="00471D53" w:rsidRDefault="004F686E" w:rsidP="00471D53">
                    <w:pPr>
                      <w:jc w:val="center"/>
                      <w:rPr>
                        <w:szCs w:val="21"/>
                      </w:rPr>
                    </w:pPr>
                    <w:r>
                      <w:rPr>
                        <w:rFonts w:hint="eastAsia"/>
                        <w:szCs w:val="21"/>
                      </w:rPr>
                      <w:t>坏账准备</w:t>
                    </w:r>
                  </w:p>
                </w:tc>
              </w:sdtContent>
            </w:sdt>
            <w:sdt>
              <w:sdtPr>
                <w:tag w:val="_PLD_c015e43e7b384b6ab9bf259155579fa4"/>
                <w:id w:val="-1059701555"/>
                <w:lock w:val="sdtLocked"/>
              </w:sdtPr>
              <w:sdtEndPr/>
              <w:sdtContent>
                <w:tc>
                  <w:tcPr>
                    <w:tcW w:w="556" w:type="pct"/>
                    <w:vMerge w:val="restart"/>
                    <w:tcBorders>
                      <w:top w:val="single" w:sz="4" w:space="0" w:color="auto"/>
                      <w:left w:val="single" w:sz="4" w:space="0" w:color="auto"/>
                      <w:right w:val="single" w:sz="4" w:space="0" w:color="auto"/>
                    </w:tcBorders>
                    <w:vAlign w:val="center"/>
                  </w:tcPr>
                  <w:p w14:paraId="114D4796" w14:textId="77777777" w:rsidR="00471D53" w:rsidRDefault="004F686E" w:rsidP="00471D53">
                    <w:pPr>
                      <w:jc w:val="center"/>
                      <w:rPr>
                        <w:szCs w:val="21"/>
                      </w:rPr>
                    </w:pPr>
                    <w:r>
                      <w:rPr>
                        <w:rFonts w:hint="eastAsia"/>
                        <w:szCs w:val="21"/>
                      </w:rPr>
                      <w:t>账面</w:t>
                    </w:r>
                  </w:p>
                  <w:p w14:paraId="5CC0045B" w14:textId="77777777" w:rsidR="00471D53" w:rsidRDefault="004F686E" w:rsidP="00471D53">
                    <w:pPr>
                      <w:jc w:val="center"/>
                      <w:rPr>
                        <w:szCs w:val="21"/>
                      </w:rPr>
                    </w:pPr>
                    <w:r>
                      <w:rPr>
                        <w:rFonts w:hint="eastAsia"/>
                        <w:szCs w:val="21"/>
                      </w:rPr>
                      <w:t>价值</w:t>
                    </w:r>
                  </w:p>
                </w:tc>
              </w:sdtContent>
            </w:sdt>
          </w:tr>
          <w:tr w:rsidR="00471D53" w14:paraId="5FE97A2C" w14:textId="77777777" w:rsidTr="00471D53">
            <w:trPr>
              <w:cantSplit/>
              <w:trHeight w:val="375"/>
            </w:trPr>
            <w:tc>
              <w:tcPr>
                <w:tcW w:w="631" w:type="pct"/>
                <w:vMerge/>
                <w:tcBorders>
                  <w:left w:val="single" w:sz="4" w:space="0" w:color="auto"/>
                  <w:bottom w:val="single" w:sz="4" w:space="0" w:color="auto"/>
                  <w:right w:val="single" w:sz="4" w:space="0" w:color="auto"/>
                </w:tcBorders>
                <w:vAlign w:val="center"/>
              </w:tcPr>
              <w:p w14:paraId="60BA3941" w14:textId="77777777" w:rsidR="00471D53" w:rsidRDefault="00B664AF" w:rsidP="00471D53">
                <w:pPr>
                  <w:rPr>
                    <w:szCs w:val="21"/>
                  </w:rPr>
                </w:pPr>
              </w:p>
            </w:tc>
            <w:sdt>
              <w:sdtPr>
                <w:tag w:val="_PLD_2a622138bde346ccae812608989b472d"/>
                <w:id w:val="-498267155"/>
                <w:lock w:val="sdtLocked"/>
              </w:sdtPr>
              <w:sdtEndPr/>
              <w:sdtContent>
                <w:tc>
                  <w:tcPr>
                    <w:tcW w:w="633" w:type="pct"/>
                    <w:tcBorders>
                      <w:left w:val="single" w:sz="4" w:space="0" w:color="auto"/>
                      <w:bottom w:val="single" w:sz="4" w:space="0" w:color="auto"/>
                      <w:right w:val="single" w:sz="4" w:space="0" w:color="auto"/>
                    </w:tcBorders>
                    <w:vAlign w:val="center"/>
                  </w:tcPr>
                  <w:p w14:paraId="63334C60" w14:textId="77777777" w:rsidR="00471D53" w:rsidRDefault="004F686E" w:rsidP="00471D53">
                    <w:pPr>
                      <w:jc w:val="center"/>
                      <w:rPr>
                        <w:szCs w:val="21"/>
                      </w:rPr>
                    </w:pPr>
                    <w:r>
                      <w:rPr>
                        <w:rFonts w:hint="eastAsia"/>
                        <w:szCs w:val="21"/>
                      </w:rPr>
                      <w:t>金额</w:t>
                    </w:r>
                  </w:p>
                </w:tc>
              </w:sdtContent>
            </w:sdt>
            <w:sdt>
              <w:sdtPr>
                <w:tag w:val="_PLD_abd0e3a320c240aeb85b1414af26aa00"/>
                <w:id w:val="-1116749809"/>
                <w:lock w:val="sdtLocked"/>
              </w:sdtPr>
              <w:sdtEndPr/>
              <w:sdtContent>
                <w:tc>
                  <w:tcPr>
                    <w:tcW w:w="219" w:type="pct"/>
                    <w:tcBorders>
                      <w:left w:val="single" w:sz="4" w:space="0" w:color="auto"/>
                      <w:bottom w:val="single" w:sz="4" w:space="0" w:color="auto"/>
                      <w:right w:val="single" w:sz="4" w:space="0" w:color="auto"/>
                    </w:tcBorders>
                    <w:vAlign w:val="center"/>
                  </w:tcPr>
                  <w:p w14:paraId="4A3809AA" w14:textId="77777777" w:rsidR="00471D53" w:rsidRDefault="004F686E" w:rsidP="00471D53">
                    <w:pPr>
                      <w:jc w:val="center"/>
                      <w:rPr>
                        <w:szCs w:val="21"/>
                      </w:rPr>
                    </w:pPr>
                    <w:r>
                      <w:rPr>
                        <w:rFonts w:hint="eastAsia"/>
                        <w:szCs w:val="21"/>
                      </w:rPr>
                      <w:t>比例</w:t>
                    </w:r>
                    <w:r>
                      <w:rPr>
                        <w:szCs w:val="21"/>
                      </w:rPr>
                      <w:t>(%)</w:t>
                    </w:r>
                  </w:p>
                </w:tc>
              </w:sdtContent>
            </w:sdt>
            <w:sdt>
              <w:sdtPr>
                <w:tag w:val="_PLD_d60468b4e5934fb9af3ebf3b3ca06a6b"/>
                <w:id w:val="1817922279"/>
                <w:lock w:val="sdtLocked"/>
              </w:sdtPr>
              <w:sdtEndPr/>
              <w:sdtContent>
                <w:tc>
                  <w:tcPr>
                    <w:tcW w:w="554" w:type="pct"/>
                    <w:tcBorders>
                      <w:left w:val="single" w:sz="4" w:space="0" w:color="auto"/>
                      <w:bottom w:val="single" w:sz="4" w:space="0" w:color="auto"/>
                      <w:right w:val="single" w:sz="4" w:space="0" w:color="auto"/>
                    </w:tcBorders>
                    <w:vAlign w:val="center"/>
                  </w:tcPr>
                  <w:p w14:paraId="25696950" w14:textId="77777777" w:rsidR="00471D53" w:rsidRDefault="004F686E" w:rsidP="00471D53">
                    <w:pPr>
                      <w:jc w:val="center"/>
                      <w:rPr>
                        <w:szCs w:val="21"/>
                      </w:rPr>
                    </w:pPr>
                    <w:r>
                      <w:rPr>
                        <w:rFonts w:hint="eastAsia"/>
                        <w:szCs w:val="21"/>
                      </w:rPr>
                      <w:t>金额</w:t>
                    </w:r>
                  </w:p>
                </w:tc>
              </w:sdtContent>
            </w:sdt>
            <w:sdt>
              <w:sdtPr>
                <w:tag w:val="_PLD_743ca215156149608b4d9149bc142cc3"/>
                <w:id w:val="-859272122"/>
                <w:lock w:val="sdtLocked"/>
              </w:sdtPr>
              <w:sdtEndPr/>
              <w:sdtContent>
                <w:tc>
                  <w:tcPr>
                    <w:tcW w:w="256" w:type="pct"/>
                    <w:tcBorders>
                      <w:left w:val="single" w:sz="4" w:space="0" w:color="auto"/>
                      <w:bottom w:val="single" w:sz="4" w:space="0" w:color="auto"/>
                      <w:right w:val="single" w:sz="4" w:space="0" w:color="auto"/>
                    </w:tcBorders>
                    <w:vAlign w:val="center"/>
                  </w:tcPr>
                  <w:p w14:paraId="2F88780C" w14:textId="77777777" w:rsidR="00471D53" w:rsidRDefault="004F686E" w:rsidP="00471D53">
                    <w:pPr>
                      <w:jc w:val="center"/>
                      <w:rPr>
                        <w:szCs w:val="21"/>
                      </w:rPr>
                    </w:pPr>
                    <w:r>
                      <w:rPr>
                        <w:rFonts w:hint="eastAsia"/>
                        <w:szCs w:val="21"/>
                      </w:rPr>
                      <w:t>计提比例</w:t>
                    </w:r>
                    <w:r>
                      <w:rPr>
                        <w:szCs w:val="21"/>
                      </w:rPr>
                      <w:t>(%)</w:t>
                    </w:r>
                  </w:p>
                </w:tc>
              </w:sdtContent>
            </w:sdt>
            <w:tc>
              <w:tcPr>
                <w:tcW w:w="556" w:type="pct"/>
                <w:vMerge/>
                <w:tcBorders>
                  <w:left w:val="single" w:sz="4" w:space="0" w:color="auto"/>
                  <w:bottom w:val="single" w:sz="4" w:space="0" w:color="auto"/>
                  <w:right w:val="single" w:sz="4" w:space="0" w:color="auto"/>
                </w:tcBorders>
                <w:vAlign w:val="center"/>
              </w:tcPr>
              <w:p w14:paraId="34A86F3C" w14:textId="77777777" w:rsidR="00471D53" w:rsidRDefault="00B664AF" w:rsidP="00471D53">
                <w:pPr>
                  <w:jc w:val="center"/>
                  <w:rPr>
                    <w:szCs w:val="21"/>
                  </w:rPr>
                </w:pPr>
              </w:p>
            </w:tc>
            <w:sdt>
              <w:sdtPr>
                <w:tag w:val="_PLD_88061469e7574f3d93ff9dc8f7c03e2d"/>
                <w:id w:val="-1305542850"/>
                <w:lock w:val="sdtLocked"/>
              </w:sdtPr>
              <w:sdtEndPr/>
              <w:sdtContent>
                <w:tc>
                  <w:tcPr>
                    <w:tcW w:w="567" w:type="pct"/>
                    <w:tcBorders>
                      <w:left w:val="single" w:sz="4" w:space="0" w:color="auto"/>
                      <w:bottom w:val="single" w:sz="4" w:space="0" w:color="auto"/>
                      <w:right w:val="single" w:sz="4" w:space="0" w:color="auto"/>
                    </w:tcBorders>
                    <w:vAlign w:val="center"/>
                  </w:tcPr>
                  <w:p w14:paraId="3CC0191A" w14:textId="77777777" w:rsidR="00471D53" w:rsidRDefault="004F686E" w:rsidP="00471D53">
                    <w:pPr>
                      <w:jc w:val="center"/>
                      <w:rPr>
                        <w:szCs w:val="21"/>
                      </w:rPr>
                    </w:pPr>
                    <w:r>
                      <w:rPr>
                        <w:rFonts w:hint="eastAsia"/>
                        <w:szCs w:val="21"/>
                      </w:rPr>
                      <w:t>金额</w:t>
                    </w:r>
                  </w:p>
                </w:tc>
              </w:sdtContent>
            </w:sdt>
            <w:sdt>
              <w:sdtPr>
                <w:tag w:val="_PLD_c2b4bd19b5284f3481bdd6a3becafce0"/>
                <w:id w:val="1574856432"/>
                <w:lock w:val="sdtLocked"/>
              </w:sdtPr>
              <w:sdtEndPr/>
              <w:sdtContent>
                <w:tc>
                  <w:tcPr>
                    <w:tcW w:w="219" w:type="pct"/>
                    <w:tcBorders>
                      <w:left w:val="single" w:sz="4" w:space="0" w:color="auto"/>
                      <w:bottom w:val="single" w:sz="4" w:space="0" w:color="auto"/>
                      <w:right w:val="single" w:sz="4" w:space="0" w:color="auto"/>
                    </w:tcBorders>
                    <w:vAlign w:val="center"/>
                  </w:tcPr>
                  <w:p w14:paraId="6BD51956" w14:textId="77777777" w:rsidR="00471D53" w:rsidRDefault="004F686E" w:rsidP="00471D53">
                    <w:pPr>
                      <w:jc w:val="center"/>
                      <w:rPr>
                        <w:szCs w:val="21"/>
                      </w:rPr>
                    </w:pPr>
                    <w:r>
                      <w:rPr>
                        <w:rFonts w:hint="eastAsia"/>
                        <w:szCs w:val="21"/>
                      </w:rPr>
                      <w:t>比例</w:t>
                    </w:r>
                    <w:r>
                      <w:rPr>
                        <w:szCs w:val="21"/>
                      </w:rPr>
                      <w:t>(%)</w:t>
                    </w:r>
                  </w:p>
                </w:tc>
              </w:sdtContent>
            </w:sdt>
            <w:sdt>
              <w:sdtPr>
                <w:tag w:val="_PLD_c6874c65e4ac43019002d5903e4b46d6"/>
                <w:id w:val="1672370423"/>
                <w:lock w:val="sdtLocked"/>
              </w:sdtPr>
              <w:sdtEndPr/>
              <w:sdtContent>
                <w:tc>
                  <w:tcPr>
                    <w:tcW w:w="554" w:type="pct"/>
                    <w:tcBorders>
                      <w:left w:val="single" w:sz="4" w:space="0" w:color="auto"/>
                      <w:bottom w:val="single" w:sz="4" w:space="0" w:color="auto"/>
                      <w:right w:val="single" w:sz="4" w:space="0" w:color="auto"/>
                    </w:tcBorders>
                    <w:vAlign w:val="center"/>
                  </w:tcPr>
                  <w:p w14:paraId="46F5DDE4" w14:textId="77777777" w:rsidR="00471D53" w:rsidRDefault="004F686E" w:rsidP="00471D53">
                    <w:pPr>
                      <w:jc w:val="center"/>
                      <w:rPr>
                        <w:szCs w:val="21"/>
                      </w:rPr>
                    </w:pPr>
                    <w:r>
                      <w:rPr>
                        <w:rFonts w:hint="eastAsia"/>
                        <w:szCs w:val="21"/>
                      </w:rPr>
                      <w:t>金额</w:t>
                    </w:r>
                  </w:p>
                </w:tc>
              </w:sdtContent>
            </w:sdt>
            <w:sdt>
              <w:sdtPr>
                <w:tag w:val="_PLD_0596fb5f4bb147b48d9ab2f32535e71f"/>
                <w:id w:val="1206070027"/>
                <w:lock w:val="sdtLocked"/>
              </w:sdtPr>
              <w:sdtEndPr/>
              <w:sdtContent>
                <w:tc>
                  <w:tcPr>
                    <w:tcW w:w="256" w:type="pct"/>
                    <w:tcBorders>
                      <w:left w:val="single" w:sz="4" w:space="0" w:color="auto"/>
                      <w:bottom w:val="single" w:sz="4" w:space="0" w:color="auto"/>
                      <w:right w:val="single" w:sz="4" w:space="0" w:color="auto"/>
                    </w:tcBorders>
                    <w:vAlign w:val="center"/>
                  </w:tcPr>
                  <w:p w14:paraId="4B3CDE63" w14:textId="77777777" w:rsidR="00471D53" w:rsidRDefault="004F686E" w:rsidP="00471D53">
                    <w:pPr>
                      <w:jc w:val="center"/>
                      <w:rPr>
                        <w:szCs w:val="21"/>
                      </w:rPr>
                    </w:pPr>
                    <w:r>
                      <w:rPr>
                        <w:rFonts w:hint="eastAsia"/>
                        <w:szCs w:val="21"/>
                      </w:rPr>
                      <w:t>计提比例</w:t>
                    </w:r>
                    <w:r>
                      <w:rPr>
                        <w:szCs w:val="21"/>
                      </w:rPr>
                      <w:t>(%)</w:t>
                    </w:r>
                  </w:p>
                </w:tc>
              </w:sdtContent>
            </w:sdt>
            <w:tc>
              <w:tcPr>
                <w:tcW w:w="556" w:type="pct"/>
                <w:vMerge/>
                <w:tcBorders>
                  <w:left w:val="single" w:sz="4" w:space="0" w:color="auto"/>
                  <w:bottom w:val="single" w:sz="4" w:space="0" w:color="auto"/>
                  <w:right w:val="single" w:sz="4" w:space="0" w:color="auto"/>
                </w:tcBorders>
              </w:tcPr>
              <w:p w14:paraId="491258E7" w14:textId="77777777" w:rsidR="00471D53" w:rsidRDefault="00B664AF" w:rsidP="00471D53">
                <w:pPr>
                  <w:jc w:val="center"/>
                  <w:rPr>
                    <w:szCs w:val="21"/>
                  </w:rPr>
                </w:pPr>
              </w:p>
            </w:tc>
          </w:tr>
          <w:tr w:rsidR="00471D53" w14:paraId="57F37492" w14:textId="77777777" w:rsidTr="00471D53">
            <w:trPr>
              <w:cantSplit/>
            </w:trPr>
            <w:sdt>
              <w:sdtPr>
                <w:tag w:val="_PLD_6413454a316c4103ae8bebbae0f082c2"/>
                <w:id w:val="-2023770581"/>
                <w:lock w:val="sdtLocked"/>
              </w:sdtPr>
              <w:sdtEndPr/>
              <w:sdtContent>
                <w:tc>
                  <w:tcPr>
                    <w:tcW w:w="631" w:type="pct"/>
                    <w:tcBorders>
                      <w:top w:val="single" w:sz="4" w:space="0" w:color="auto"/>
                      <w:left w:val="single" w:sz="4" w:space="0" w:color="auto"/>
                      <w:bottom w:val="single" w:sz="4" w:space="0" w:color="auto"/>
                      <w:right w:val="single" w:sz="4" w:space="0" w:color="auto"/>
                    </w:tcBorders>
                  </w:tcPr>
                  <w:p w14:paraId="1B00C52D" w14:textId="77777777" w:rsidR="00471D53" w:rsidRDefault="004F686E" w:rsidP="00471D53">
                    <w:pPr>
                      <w:rPr>
                        <w:szCs w:val="21"/>
                      </w:rPr>
                    </w:pPr>
                    <w:r>
                      <w:rPr>
                        <w:rFonts w:hint="eastAsia"/>
                        <w:szCs w:val="21"/>
                      </w:rPr>
                      <w:t>按单项计提坏账准备</w:t>
                    </w:r>
                  </w:p>
                </w:tc>
              </w:sdtContent>
            </w:sdt>
            <w:tc>
              <w:tcPr>
                <w:tcW w:w="633" w:type="pct"/>
                <w:tcBorders>
                  <w:top w:val="single" w:sz="4" w:space="0" w:color="auto"/>
                  <w:left w:val="single" w:sz="4" w:space="0" w:color="auto"/>
                  <w:bottom w:val="single" w:sz="4" w:space="0" w:color="auto"/>
                  <w:right w:val="single" w:sz="4" w:space="0" w:color="auto"/>
                </w:tcBorders>
                <w:vAlign w:val="center"/>
              </w:tcPr>
              <w:p w14:paraId="7C748A5E" w14:textId="65F55E5C" w:rsidR="00471D53" w:rsidRPr="00D523B2" w:rsidRDefault="004F686E" w:rsidP="00471D53">
                <w:pPr>
                  <w:jc w:val="right"/>
                  <w:rPr>
                    <w:sz w:val="15"/>
                    <w:szCs w:val="15"/>
                  </w:rPr>
                </w:pPr>
                <w:r w:rsidRPr="00D523B2">
                  <w:rPr>
                    <w:rFonts w:hint="eastAsia"/>
                    <w:sz w:val="15"/>
                    <w:szCs w:val="15"/>
                  </w:rPr>
                  <w:t>37,407,843.56</w:t>
                </w:r>
              </w:p>
            </w:tc>
            <w:tc>
              <w:tcPr>
                <w:tcW w:w="219" w:type="pct"/>
                <w:tcBorders>
                  <w:top w:val="single" w:sz="4" w:space="0" w:color="auto"/>
                  <w:left w:val="single" w:sz="4" w:space="0" w:color="auto"/>
                  <w:bottom w:val="single" w:sz="4" w:space="0" w:color="auto"/>
                  <w:right w:val="single" w:sz="4" w:space="0" w:color="auto"/>
                </w:tcBorders>
                <w:vAlign w:val="center"/>
              </w:tcPr>
              <w:p w14:paraId="1DED379B" w14:textId="3FE00B8B" w:rsidR="00471D53" w:rsidRPr="00D523B2" w:rsidRDefault="004F686E" w:rsidP="00471D53">
                <w:pPr>
                  <w:jc w:val="right"/>
                  <w:rPr>
                    <w:sz w:val="15"/>
                    <w:szCs w:val="15"/>
                  </w:rPr>
                </w:pPr>
                <w:r w:rsidRPr="00D523B2">
                  <w:rPr>
                    <w:rFonts w:hint="eastAsia"/>
                    <w:sz w:val="15"/>
                    <w:szCs w:val="15"/>
                  </w:rPr>
                  <w:t>15.67</w:t>
                </w:r>
              </w:p>
            </w:tc>
            <w:tc>
              <w:tcPr>
                <w:tcW w:w="554" w:type="pct"/>
                <w:tcBorders>
                  <w:top w:val="single" w:sz="4" w:space="0" w:color="auto"/>
                  <w:left w:val="single" w:sz="4" w:space="0" w:color="auto"/>
                  <w:bottom w:val="single" w:sz="4" w:space="0" w:color="auto"/>
                  <w:right w:val="single" w:sz="4" w:space="0" w:color="auto"/>
                </w:tcBorders>
                <w:vAlign w:val="center"/>
              </w:tcPr>
              <w:p w14:paraId="307AE7BD" w14:textId="101F3AA7" w:rsidR="00471D53" w:rsidRPr="00D523B2" w:rsidRDefault="004F686E" w:rsidP="00471D53">
                <w:pPr>
                  <w:jc w:val="right"/>
                  <w:rPr>
                    <w:sz w:val="15"/>
                    <w:szCs w:val="15"/>
                  </w:rPr>
                </w:pPr>
                <w:r w:rsidRPr="00D523B2">
                  <w:rPr>
                    <w:rFonts w:hint="eastAsia"/>
                    <w:sz w:val="15"/>
                    <w:szCs w:val="15"/>
                  </w:rPr>
                  <w:t>37,407,843.56</w:t>
                </w:r>
              </w:p>
            </w:tc>
            <w:tc>
              <w:tcPr>
                <w:tcW w:w="256" w:type="pct"/>
                <w:tcBorders>
                  <w:top w:val="single" w:sz="4" w:space="0" w:color="auto"/>
                  <w:left w:val="single" w:sz="4" w:space="0" w:color="auto"/>
                  <w:bottom w:val="single" w:sz="4" w:space="0" w:color="auto"/>
                  <w:right w:val="single" w:sz="4" w:space="0" w:color="auto"/>
                </w:tcBorders>
                <w:vAlign w:val="center"/>
              </w:tcPr>
              <w:p w14:paraId="7618FA80" w14:textId="1079B96E" w:rsidR="00471D53" w:rsidRPr="00D523B2" w:rsidRDefault="004F686E" w:rsidP="00471D53">
                <w:pPr>
                  <w:jc w:val="right"/>
                  <w:rPr>
                    <w:sz w:val="15"/>
                    <w:szCs w:val="15"/>
                  </w:rPr>
                </w:pPr>
                <w:r w:rsidRPr="00D523B2">
                  <w:rPr>
                    <w:rFonts w:hint="eastAsia"/>
                    <w:sz w:val="15"/>
                    <w:szCs w:val="15"/>
                  </w:rPr>
                  <w:t>100.00</w:t>
                </w:r>
              </w:p>
            </w:tc>
            <w:tc>
              <w:tcPr>
                <w:tcW w:w="556" w:type="pct"/>
                <w:tcBorders>
                  <w:top w:val="single" w:sz="4" w:space="0" w:color="auto"/>
                  <w:left w:val="single" w:sz="4" w:space="0" w:color="auto"/>
                  <w:bottom w:val="single" w:sz="4" w:space="0" w:color="auto"/>
                  <w:right w:val="single" w:sz="4" w:space="0" w:color="auto"/>
                </w:tcBorders>
              </w:tcPr>
              <w:p w14:paraId="374EED39" w14:textId="77777777" w:rsidR="00471D53" w:rsidRPr="00D523B2" w:rsidRDefault="00B664AF" w:rsidP="00471D53">
                <w:pPr>
                  <w:jc w:val="right"/>
                  <w:rPr>
                    <w:sz w:val="15"/>
                    <w:szCs w:val="15"/>
                  </w:rPr>
                </w:pPr>
              </w:p>
            </w:tc>
            <w:tc>
              <w:tcPr>
                <w:tcW w:w="567" w:type="pct"/>
                <w:tcBorders>
                  <w:top w:val="single" w:sz="4" w:space="0" w:color="auto"/>
                  <w:left w:val="single" w:sz="4" w:space="0" w:color="auto"/>
                  <w:bottom w:val="single" w:sz="4" w:space="0" w:color="auto"/>
                  <w:right w:val="single" w:sz="4" w:space="0" w:color="auto"/>
                </w:tcBorders>
                <w:vAlign w:val="center"/>
              </w:tcPr>
              <w:p w14:paraId="69EF6CC3" w14:textId="77777777" w:rsidR="00471D53" w:rsidRPr="00D523B2" w:rsidRDefault="004F686E" w:rsidP="00471D53">
                <w:pPr>
                  <w:jc w:val="right"/>
                  <w:rPr>
                    <w:sz w:val="15"/>
                    <w:szCs w:val="15"/>
                  </w:rPr>
                </w:pPr>
                <w:r w:rsidRPr="00D523B2">
                  <w:rPr>
                    <w:rFonts w:cs="Calibri"/>
                    <w:sz w:val="15"/>
                    <w:szCs w:val="15"/>
                  </w:rPr>
                  <w:t>37</w:t>
                </w:r>
                <w:r w:rsidRPr="00D523B2">
                  <w:rPr>
                    <w:rFonts w:cs="Calibri" w:hint="eastAsia"/>
                    <w:sz w:val="15"/>
                    <w:szCs w:val="15"/>
                  </w:rPr>
                  <w:t>,</w:t>
                </w:r>
                <w:r w:rsidRPr="00D523B2">
                  <w:rPr>
                    <w:rFonts w:cs="Calibri"/>
                    <w:sz w:val="15"/>
                    <w:szCs w:val="15"/>
                  </w:rPr>
                  <w:t>900</w:t>
                </w:r>
                <w:r w:rsidRPr="00D523B2">
                  <w:rPr>
                    <w:rFonts w:cs="Calibri" w:hint="eastAsia"/>
                    <w:sz w:val="15"/>
                    <w:szCs w:val="15"/>
                  </w:rPr>
                  <w:t>,</w:t>
                </w:r>
                <w:r w:rsidRPr="00D523B2">
                  <w:rPr>
                    <w:rFonts w:cs="Calibri"/>
                    <w:sz w:val="15"/>
                    <w:szCs w:val="15"/>
                  </w:rPr>
                  <w:t>348.56</w:t>
                </w:r>
              </w:p>
            </w:tc>
            <w:tc>
              <w:tcPr>
                <w:tcW w:w="219" w:type="pct"/>
                <w:tcBorders>
                  <w:top w:val="single" w:sz="4" w:space="0" w:color="auto"/>
                  <w:left w:val="single" w:sz="4" w:space="0" w:color="auto"/>
                  <w:bottom w:val="single" w:sz="4" w:space="0" w:color="auto"/>
                  <w:right w:val="single" w:sz="4" w:space="0" w:color="auto"/>
                </w:tcBorders>
                <w:vAlign w:val="center"/>
              </w:tcPr>
              <w:p w14:paraId="212C5281" w14:textId="77777777" w:rsidR="00471D53" w:rsidRPr="00D523B2" w:rsidRDefault="004F686E" w:rsidP="00471D53">
                <w:pPr>
                  <w:jc w:val="right"/>
                  <w:rPr>
                    <w:sz w:val="15"/>
                    <w:szCs w:val="15"/>
                  </w:rPr>
                </w:pPr>
                <w:r w:rsidRPr="00D523B2">
                  <w:rPr>
                    <w:rFonts w:cs="Calibri"/>
                    <w:sz w:val="15"/>
                    <w:szCs w:val="15"/>
                  </w:rPr>
                  <w:t>14.93</w:t>
                </w:r>
              </w:p>
            </w:tc>
            <w:tc>
              <w:tcPr>
                <w:tcW w:w="554" w:type="pct"/>
                <w:tcBorders>
                  <w:top w:val="single" w:sz="4" w:space="0" w:color="auto"/>
                  <w:left w:val="single" w:sz="4" w:space="0" w:color="auto"/>
                  <w:bottom w:val="single" w:sz="4" w:space="0" w:color="auto"/>
                  <w:right w:val="single" w:sz="4" w:space="0" w:color="auto"/>
                </w:tcBorders>
                <w:vAlign w:val="center"/>
              </w:tcPr>
              <w:p w14:paraId="3C65D44A" w14:textId="77777777" w:rsidR="00471D53" w:rsidRPr="00D523B2" w:rsidRDefault="004F686E" w:rsidP="00471D53">
                <w:pPr>
                  <w:jc w:val="right"/>
                  <w:rPr>
                    <w:sz w:val="15"/>
                    <w:szCs w:val="15"/>
                  </w:rPr>
                </w:pPr>
                <w:r w:rsidRPr="00D523B2">
                  <w:rPr>
                    <w:rFonts w:cs="Calibri"/>
                    <w:sz w:val="15"/>
                    <w:szCs w:val="15"/>
                  </w:rPr>
                  <w:t>37,900,348.56</w:t>
                </w:r>
              </w:p>
            </w:tc>
            <w:tc>
              <w:tcPr>
                <w:tcW w:w="256" w:type="pct"/>
                <w:tcBorders>
                  <w:top w:val="single" w:sz="4" w:space="0" w:color="auto"/>
                  <w:left w:val="single" w:sz="4" w:space="0" w:color="auto"/>
                  <w:bottom w:val="single" w:sz="4" w:space="0" w:color="auto"/>
                  <w:right w:val="single" w:sz="4" w:space="0" w:color="auto"/>
                </w:tcBorders>
                <w:vAlign w:val="center"/>
              </w:tcPr>
              <w:p w14:paraId="298DE1EB" w14:textId="77777777" w:rsidR="00471D53" w:rsidRPr="00D523B2" w:rsidRDefault="004F686E" w:rsidP="00471D53">
                <w:pPr>
                  <w:jc w:val="right"/>
                  <w:rPr>
                    <w:sz w:val="15"/>
                    <w:szCs w:val="15"/>
                  </w:rPr>
                </w:pPr>
                <w:r w:rsidRPr="00D523B2">
                  <w:rPr>
                    <w:rFonts w:cs="Calibri" w:hint="eastAsia"/>
                    <w:sz w:val="15"/>
                    <w:szCs w:val="15"/>
                  </w:rPr>
                  <w:t>100.00</w:t>
                </w:r>
              </w:p>
            </w:tc>
            <w:tc>
              <w:tcPr>
                <w:tcW w:w="556" w:type="pct"/>
                <w:tcBorders>
                  <w:top w:val="single" w:sz="4" w:space="0" w:color="auto"/>
                  <w:left w:val="single" w:sz="4" w:space="0" w:color="auto"/>
                  <w:bottom w:val="single" w:sz="4" w:space="0" w:color="auto"/>
                  <w:right w:val="single" w:sz="4" w:space="0" w:color="auto"/>
                </w:tcBorders>
              </w:tcPr>
              <w:p w14:paraId="4320AF57" w14:textId="77777777" w:rsidR="00471D53" w:rsidRPr="00D523B2" w:rsidRDefault="00B664AF" w:rsidP="00471D53">
                <w:pPr>
                  <w:jc w:val="right"/>
                  <w:rPr>
                    <w:sz w:val="15"/>
                    <w:szCs w:val="15"/>
                  </w:rPr>
                </w:pPr>
              </w:p>
            </w:tc>
          </w:tr>
          <w:tr w:rsidR="00471D53" w14:paraId="744AD79E" w14:textId="77777777" w:rsidTr="00471D53">
            <w:trPr>
              <w:cantSplit/>
            </w:trPr>
            <w:sdt>
              <w:sdtPr>
                <w:rPr>
                  <w:sz w:val="15"/>
                  <w:szCs w:val="15"/>
                </w:rPr>
                <w:tag w:val="_PLD_a3793487a0154f9a85b0e94e01b6ddbe"/>
                <w:id w:val="-428196358"/>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14:paraId="31CBE852" w14:textId="77777777" w:rsidR="00471D53" w:rsidRPr="00D523B2" w:rsidRDefault="004F686E" w:rsidP="00471D53">
                    <w:pPr>
                      <w:rPr>
                        <w:sz w:val="15"/>
                        <w:szCs w:val="15"/>
                      </w:rPr>
                    </w:pPr>
                    <w:r w:rsidRPr="00D523B2">
                      <w:rPr>
                        <w:rFonts w:hint="eastAsia"/>
                        <w:sz w:val="15"/>
                        <w:szCs w:val="15"/>
                      </w:rPr>
                      <w:t>其中：</w:t>
                    </w:r>
                  </w:p>
                </w:tc>
              </w:sdtContent>
            </w:sdt>
          </w:tr>
          <w:sdt>
            <w:sdtPr>
              <w:rPr>
                <w:szCs w:val="21"/>
              </w:rPr>
              <w:alias w:val="按单项计提坏账准备的应收账款明细"/>
              <w:tag w:val="_TUP_3a763938896845f284a4dc7df88bd4af"/>
              <w:id w:val="-908543108"/>
              <w:lock w:val="sdtLocked"/>
            </w:sdtPr>
            <w:sdtEndPr>
              <w:rPr>
                <w:sz w:val="15"/>
                <w:szCs w:val="15"/>
              </w:rPr>
            </w:sdtEndPr>
            <w:sdtContent>
              <w:tr w:rsidR="00471D53" w14:paraId="6201FDAA" w14:textId="77777777" w:rsidTr="00471D53">
                <w:trPr>
                  <w:cantSplit/>
                </w:trPr>
                <w:sdt>
                  <w:sdtPr>
                    <w:rPr>
                      <w:szCs w:val="21"/>
                    </w:rPr>
                    <w:alias w:val="按单项计提坏账准备的应收账款明细-类别"/>
                    <w:tag w:val="_GBC_3399611ce4724e1193aaefa4ea4bde46"/>
                    <w:id w:val="-528715978"/>
                    <w:lock w:val="sdtLocked"/>
                    <w:showingPlcHdr/>
                  </w:sdtPr>
                  <w:sdtEndPr/>
                  <w:sdtContent>
                    <w:tc>
                      <w:tcPr>
                        <w:tcW w:w="631" w:type="pct"/>
                        <w:tcBorders>
                          <w:top w:val="single" w:sz="4" w:space="0" w:color="auto"/>
                          <w:left w:val="single" w:sz="4" w:space="0" w:color="auto"/>
                          <w:bottom w:val="single" w:sz="4" w:space="0" w:color="auto"/>
                          <w:right w:val="single" w:sz="4" w:space="0" w:color="auto"/>
                        </w:tcBorders>
                      </w:tcPr>
                      <w:p w14:paraId="763EABC0" w14:textId="77777777" w:rsidR="00471D53" w:rsidRDefault="004F686E" w:rsidP="00471D53">
                        <w:pPr>
                          <w:rPr>
                            <w:color w:val="808080"/>
                            <w:szCs w:val="21"/>
                          </w:rPr>
                        </w:pPr>
                        <w:r>
                          <w:rPr>
                            <w:rFonts w:hint="eastAsia"/>
                          </w:rPr>
                          <w:t xml:space="preserve">　</w:t>
                        </w:r>
                      </w:p>
                    </w:tc>
                  </w:sdtContent>
                </w:sdt>
                <w:tc>
                  <w:tcPr>
                    <w:tcW w:w="633" w:type="pct"/>
                    <w:tcBorders>
                      <w:top w:val="single" w:sz="4" w:space="0" w:color="auto"/>
                      <w:left w:val="single" w:sz="4" w:space="0" w:color="auto"/>
                      <w:bottom w:val="single" w:sz="4" w:space="0" w:color="auto"/>
                      <w:right w:val="single" w:sz="4" w:space="0" w:color="auto"/>
                    </w:tcBorders>
                  </w:tcPr>
                  <w:p w14:paraId="27D88C32" w14:textId="77777777" w:rsidR="00471D53" w:rsidRPr="00D523B2" w:rsidRDefault="00B664AF" w:rsidP="00471D53">
                    <w:pPr>
                      <w:jc w:val="right"/>
                      <w:rPr>
                        <w:sz w:val="15"/>
                        <w:szCs w:val="15"/>
                      </w:rPr>
                    </w:pPr>
                  </w:p>
                </w:tc>
                <w:tc>
                  <w:tcPr>
                    <w:tcW w:w="219" w:type="pct"/>
                    <w:tcBorders>
                      <w:top w:val="single" w:sz="4" w:space="0" w:color="auto"/>
                      <w:left w:val="single" w:sz="4" w:space="0" w:color="auto"/>
                      <w:bottom w:val="single" w:sz="4" w:space="0" w:color="auto"/>
                      <w:right w:val="single" w:sz="4" w:space="0" w:color="auto"/>
                    </w:tcBorders>
                  </w:tcPr>
                  <w:p w14:paraId="39872FA8" w14:textId="77777777" w:rsidR="00471D53" w:rsidRPr="00D523B2" w:rsidRDefault="00B664AF" w:rsidP="00471D53">
                    <w:pPr>
                      <w:jc w:val="right"/>
                      <w:rPr>
                        <w:sz w:val="15"/>
                        <w:szCs w:val="15"/>
                      </w:rPr>
                    </w:pPr>
                  </w:p>
                </w:tc>
                <w:tc>
                  <w:tcPr>
                    <w:tcW w:w="554" w:type="pct"/>
                    <w:tcBorders>
                      <w:top w:val="single" w:sz="4" w:space="0" w:color="auto"/>
                      <w:left w:val="single" w:sz="4" w:space="0" w:color="auto"/>
                      <w:bottom w:val="single" w:sz="4" w:space="0" w:color="auto"/>
                      <w:right w:val="single" w:sz="4" w:space="0" w:color="auto"/>
                    </w:tcBorders>
                  </w:tcPr>
                  <w:p w14:paraId="123C238A" w14:textId="77777777" w:rsidR="00471D53" w:rsidRPr="00D523B2" w:rsidRDefault="00B664AF" w:rsidP="00471D53">
                    <w:pPr>
                      <w:jc w:val="right"/>
                      <w:rPr>
                        <w:sz w:val="15"/>
                        <w:szCs w:val="15"/>
                      </w:rPr>
                    </w:pPr>
                  </w:p>
                </w:tc>
                <w:tc>
                  <w:tcPr>
                    <w:tcW w:w="256" w:type="pct"/>
                    <w:tcBorders>
                      <w:top w:val="single" w:sz="4" w:space="0" w:color="auto"/>
                      <w:left w:val="single" w:sz="4" w:space="0" w:color="auto"/>
                      <w:bottom w:val="single" w:sz="4" w:space="0" w:color="auto"/>
                      <w:right w:val="single" w:sz="4" w:space="0" w:color="auto"/>
                    </w:tcBorders>
                  </w:tcPr>
                  <w:p w14:paraId="282C2101" w14:textId="77777777" w:rsidR="00471D53" w:rsidRPr="00D523B2" w:rsidRDefault="00B664AF" w:rsidP="00471D53">
                    <w:pPr>
                      <w:jc w:val="right"/>
                      <w:rPr>
                        <w:sz w:val="15"/>
                        <w:szCs w:val="15"/>
                      </w:rPr>
                    </w:pPr>
                  </w:p>
                </w:tc>
                <w:tc>
                  <w:tcPr>
                    <w:tcW w:w="556" w:type="pct"/>
                    <w:tcBorders>
                      <w:top w:val="single" w:sz="4" w:space="0" w:color="auto"/>
                      <w:left w:val="single" w:sz="4" w:space="0" w:color="auto"/>
                      <w:bottom w:val="single" w:sz="4" w:space="0" w:color="auto"/>
                      <w:right w:val="single" w:sz="4" w:space="0" w:color="auto"/>
                    </w:tcBorders>
                  </w:tcPr>
                  <w:p w14:paraId="3FFADBDC" w14:textId="77777777" w:rsidR="00471D53" w:rsidRPr="00D523B2" w:rsidRDefault="00B664AF" w:rsidP="00471D53">
                    <w:pPr>
                      <w:jc w:val="right"/>
                      <w:rPr>
                        <w:sz w:val="15"/>
                        <w:szCs w:val="15"/>
                      </w:rPr>
                    </w:pPr>
                  </w:p>
                </w:tc>
                <w:tc>
                  <w:tcPr>
                    <w:tcW w:w="567" w:type="pct"/>
                    <w:tcBorders>
                      <w:top w:val="single" w:sz="4" w:space="0" w:color="auto"/>
                      <w:left w:val="single" w:sz="4" w:space="0" w:color="auto"/>
                      <w:bottom w:val="single" w:sz="4" w:space="0" w:color="auto"/>
                      <w:right w:val="single" w:sz="4" w:space="0" w:color="auto"/>
                    </w:tcBorders>
                  </w:tcPr>
                  <w:p w14:paraId="15D15F1E" w14:textId="77777777" w:rsidR="00471D53" w:rsidRPr="00D523B2" w:rsidRDefault="00B664AF" w:rsidP="00471D53">
                    <w:pPr>
                      <w:jc w:val="right"/>
                      <w:rPr>
                        <w:sz w:val="15"/>
                        <w:szCs w:val="15"/>
                      </w:rPr>
                    </w:pPr>
                  </w:p>
                </w:tc>
                <w:tc>
                  <w:tcPr>
                    <w:tcW w:w="219" w:type="pct"/>
                    <w:tcBorders>
                      <w:top w:val="single" w:sz="4" w:space="0" w:color="auto"/>
                      <w:left w:val="single" w:sz="4" w:space="0" w:color="auto"/>
                      <w:bottom w:val="single" w:sz="4" w:space="0" w:color="auto"/>
                      <w:right w:val="single" w:sz="4" w:space="0" w:color="auto"/>
                    </w:tcBorders>
                  </w:tcPr>
                  <w:p w14:paraId="1C3AAD5C" w14:textId="77777777" w:rsidR="00471D53" w:rsidRPr="00D523B2" w:rsidRDefault="00B664AF" w:rsidP="00471D53">
                    <w:pPr>
                      <w:jc w:val="right"/>
                      <w:rPr>
                        <w:sz w:val="15"/>
                        <w:szCs w:val="15"/>
                      </w:rPr>
                    </w:pPr>
                  </w:p>
                </w:tc>
                <w:tc>
                  <w:tcPr>
                    <w:tcW w:w="554" w:type="pct"/>
                    <w:tcBorders>
                      <w:top w:val="single" w:sz="4" w:space="0" w:color="auto"/>
                      <w:left w:val="single" w:sz="4" w:space="0" w:color="auto"/>
                      <w:bottom w:val="single" w:sz="4" w:space="0" w:color="auto"/>
                      <w:right w:val="single" w:sz="4" w:space="0" w:color="auto"/>
                    </w:tcBorders>
                  </w:tcPr>
                  <w:p w14:paraId="12196363" w14:textId="77777777" w:rsidR="00471D53" w:rsidRPr="00D523B2" w:rsidRDefault="00B664AF" w:rsidP="00471D53">
                    <w:pPr>
                      <w:jc w:val="right"/>
                      <w:rPr>
                        <w:sz w:val="15"/>
                        <w:szCs w:val="15"/>
                      </w:rPr>
                    </w:pPr>
                  </w:p>
                </w:tc>
                <w:tc>
                  <w:tcPr>
                    <w:tcW w:w="256" w:type="pct"/>
                    <w:tcBorders>
                      <w:top w:val="single" w:sz="4" w:space="0" w:color="auto"/>
                      <w:left w:val="single" w:sz="4" w:space="0" w:color="auto"/>
                      <w:bottom w:val="single" w:sz="4" w:space="0" w:color="auto"/>
                      <w:right w:val="single" w:sz="4" w:space="0" w:color="auto"/>
                    </w:tcBorders>
                  </w:tcPr>
                  <w:p w14:paraId="730692F2" w14:textId="77777777" w:rsidR="00471D53" w:rsidRPr="00D523B2" w:rsidRDefault="00B664AF" w:rsidP="00471D53">
                    <w:pPr>
                      <w:jc w:val="right"/>
                      <w:rPr>
                        <w:sz w:val="15"/>
                        <w:szCs w:val="15"/>
                      </w:rPr>
                    </w:pPr>
                  </w:p>
                </w:tc>
                <w:tc>
                  <w:tcPr>
                    <w:tcW w:w="556" w:type="pct"/>
                    <w:tcBorders>
                      <w:top w:val="single" w:sz="4" w:space="0" w:color="auto"/>
                      <w:left w:val="single" w:sz="4" w:space="0" w:color="auto"/>
                      <w:bottom w:val="single" w:sz="4" w:space="0" w:color="auto"/>
                      <w:right w:val="single" w:sz="4" w:space="0" w:color="auto"/>
                    </w:tcBorders>
                  </w:tcPr>
                  <w:p w14:paraId="5E4040C7" w14:textId="77777777" w:rsidR="00471D53" w:rsidRPr="00D523B2" w:rsidRDefault="00B664AF" w:rsidP="00471D53">
                    <w:pPr>
                      <w:jc w:val="right"/>
                      <w:rPr>
                        <w:sz w:val="15"/>
                        <w:szCs w:val="15"/>
                      </w:rPr>
                    </w:pPr>
                  </w:p>
                </w:tc>
              </w:tr>
            </w:sdtContent>
          </w:sdt>
          <w:sdt>
            <w:sdtPr>
              <w:rPr>
                <w:szCs w:val="21"/>
              </w:rPr>
              <w:alias w:val="按单项计提坏账准备的应收账款明细"/>
              <w:tag w:val="_TUP_3a763938896845f284a4dc7df88bd4af"/>
              <w:id w:val="-1006976235"/>
              <w:lock w:val="sdtLocked"/>
            </w:sdtPr>
            <w:sdtEndPr>
              <w:rPr>
                <w:sz w:val="15"/>
                <w:szCs w:val="15"/>
              </w:rPr>
            </w:sdtEndPr>
            <w:sdtContent>
              <w:tr w:rsidR="00471D53" w14:paraId="68C8D08D" w14:textId="77777777" w:rsidTr="00471D53">
                <w:trPr>
                  <w:cantSplit/>
                </w:trPr>
                <w:sdt>
                  <w:sdtPr>
                    <w:rPr>
                      <w:szCs w:val="21"/>
                    </w:rPr>
                    <w:alias w:val="按单项计提坏账准备的应收账款明细-类别"/>
                    <w:tag w:val="_GBC_3399611ce4724e1193aaefa4ea4bde46"/>
                    <w:id w:val="-257368772"/>
                    <w:lock w:val="sdtLocked"/>
                    <w:showingPlcHdr/>
                  </w:sdtPr>
                  <w:sdtEndPr/>
                  <w:sdtContent>
                    <w:tc>
                      <w:tcPr>
                        <w:tcW w:w="631" w:type="pct"/>
                        <w:tcBorders>
                          <w:top w:val="single" w:sz="4" w:space="0" w:color="auto"/>
                          <w:left w:val="single" w:sz="4" w:space="0" w:color="auto"/>
                          <w:bottom w:val="single" w:sz="4" w:space="0" w:color="auto"/>
                          <w:right w:val="single" w:sz="4" w:space="0" w:color="auto"/>
                        </w:tcBorders>
                      </w:tcPr>
                      <w:p w14:paraId="7C78B7B6" w14:textId="77777777" w:rsidR="00471D53" w:rsidRDefault="004F686E" w:rsidP="00471D53">
                        <w:pPr>
                          <w:rPr>
                            <w:color w:val="808080"/>
                            <w:szCs w:val="21"/>
                          </w:rPr>
                        </w:pPr>
                        <w:r>
                          <w:rPr>
                            <w:rFonts w:hint="eastAsia"/>
                          </w:rPr>
                          <w:t xml:space="preserve">　</w:t>
                        </w:r>
                      </w:p>
                    </w:tc>
                  </w:sdtContent>
                </w:sdt>
                <w:tc>
                  <w:tcPr>
                    <w:tcW w:w="633" w:type="pct"/>
                    <w:tcBorders>
                      <w:top w:val="single" w:sz="4" w:space="0" w:color="auto"/>
                      <w:left w:val="single" w:sz="4" w:space="0" w:color="auto"/>
                      <w:bottom w:val="single" w:sz="4" w:space="0" w:color="auto"/>
                      <w:right w:val="single" w:sz="4" w:space="0" w:color="auto"/>
                    </w:tcBorders>
                  </w:tcPr>
                  <w:p w14:paraId="7C9B64B8" w14:textId="77777777" w:rsidR="00471D53" w:rsidRPr="00D523B2" w:rsidRDefault="00B664AF" w:rsidP="00471D53">
                    <w:pPr>
                      <w:jc w:val="right"/>
                      <w:rPr>
                        <w:sz w:val="15"/>
                        <w:szCs w:val="15"/>
                      </w:rPr>
                    </w:pPr>
                  </w:p>
                </w:tc>
                <w:tc>
                  <w:tcPr>
                    <w:tcW w:w="219" w:type="pct"/>
                    <w:tcBorders>
                      <w:top w:val="single" w:sz="4" w:space="0" w:color="auto"/>
                      <w:left w:val="single" w:sz="4" w:space="0" w:color="auto"/>
                      <w:bottom w:val="single" w:sz="4" w:space="0" w:color="auto"/>
                      <w:right w:val="single" w:sz="4" w:space="0" w:color="auto"/>
                    </w:tcBorders>
                  </w:tcPr>
                  <w:p w14:paraId="7073DD01" w14:textId="77777777" w:rsidR="00471D53" w:rsidRPr="00D523B2" w:rsidRDefault="00B664AF" w:rsidP="00471D53">
                    <w:pPr>
                      <w:jc w:val="right"/>
                      <w:rPr>
                        <w:sz w:val="15"/>
                        <w:szCs w:val="15"/>
                      </w:rPr>
                    </w:pPr>
                  </w:p>
                </w:tc>
                <w:tc>
                  <w:tcPr>
                    <w:tcW w:w="554" w:type="pct"/>
                    <w:tcBorders>
                      <w:top w:val="single" w:sz="4" w:space="0" w:color="auto"/>
                      <w:left w:val="single" w:sz="4" w:space="0" w:color="auto"/>
                      <w:bottom w:val="single" w:sz="4" w:space="0" w:color="auto"/>
                      <w:right w:val="single" w:sz="4" w:space="0" w:color="auto"/>
                    </w:tcBorders>
                  </w:tcPr>
                  <w:p w14:paraId="27F25A70" w14:textId="77777777" w:rsidR="00471D53" w:rsidRPr="00D523B2" w:rsidRDefault="00B664AF" w:rsidP="00471D53">
                    <w:pPr>
                      <w:jc w:val="right"/>
                      <w:rPr>
                        <w:sz w:val="15"/>
                        <w:szCs w:val="15"/>
                      </w:rPr>
                    </w:pPr>
                  </w:p>
                </w:tc>
                <w:tc>
                  <w:tcPr>
                    <w:tcW w:w="256" w:type="pct"/>
                    <w:tcBorders>
                      <w:top w:val="single" w:sz="4" w:space="0" w:color="auto"/>
                      <w:left w:val="single" w:sz="4" w:space="0" w:color="auto"/>
                      <w:bottom w:val="single" w:sz="4" w:space="0" w:color="auto"/>
                      <w:right w:val="single" w:sz="4" w:space="0" w:color="auto"/>
                    </w:tcBorders>
                  </w:tcPr>
                  <w:p w14:paraId="178443E5" w14:textId="77777777" w:rsidR="00471D53" w:rsidRPr="00D523B2" w:rsidRDefault="00B664AF" w:rsidP="00471D53">
                    <w:pPr>
                      <w:jc w:val="right"/>
                      <w:rPr>
                        <w:sz w:val="15"/>
                        <w:szCs w:val="15"/>
                      </w:rPr>
                    </w:pPr>
                  </w:p>
                </w:tc>
                <w:tc>
                  <w:tcPr>
                    <w:tcW w:w="556" w:type="pct"/>
                    <w:tcBorders>
                      <w:top w:val="single" w:sz="4" w:space="0" w:color="auto"/>
                      <w:left w:val="single" w:sz="4" w:space="0" w:color="auto"/>
                      <w:bottom w:val="single" w:sz="4" w:space="0" w:color="auto"/>
                      <w:right w:val="single" w:sz="4" w:space="0" w:color="auto"/>
                    </w:tcBorders>
                  </w:tcPr>
                  <w:p w14:paraId="482D6D6D" w14:textId="77777777" w:rsidR="00471D53" w:rsidRPr="00D523B2" w:rsidRDefault="00B664AF" w:rsidP="00471D53">
                    <w:pPr>
                      <w:jc w:val="right"/>
                      <w:rPr>
                        <w:sz w:val="15"/>
                        <w:szCs w:val="15"/>
                      </w:rPr>
                    </w:pPr>
                  </w:p>
                </w:tc>
                <w:tc>
                  <w:tcPr>
                    <w:tcW w:w="567" w:type="pct"/>
                    <w:tcBorders>
                      <w:top w:val="single" w:sz="4" w:space="0" w:color="auto"/>
                      <w:left w:val="single" w:sz="4" w:space="0" w:color="auto"/>
                      <w:bottom w:val="single" w:sz="4" w:space="0" w:color="auto"/>
                      <w:right w:val="single" w:sz="4" w:space="0" w:color="auto"/>
                    </w:tcBorders>
                  </w:tcPr>
                  <w:p w14:paraId="11CBC225" w14:textId="77777777" w:rsidR="00471D53" w:rsidRPr="00D523B2" w:rsidRDefault="00B664AF" w:rsidP="00471D53">
                    <w:pPr>
                      <w:jc w:val="right"/>
                      <w:rPr>
                        <w:sz w:val="15"/>
                        <w:szCs w:val="15"/>
                      </w:rPr>
                    </w:pPr>
                  </w:p>
                </w:tc>
                <w:tc>
                  <w:tcPr>
                    <w:tcW w:w="219" w:type="pct"/>
                    <w:tcBorders>
                      <w:top w:val="single" w:sz="4" w:space="0" w:color="auto"/>
                      <w:left w:val="single" w:sz="4" w:space="0" w:color="auto"/>
                      <w:bottom w:val="single" w:sz="4" w:space="0" w:color="auto"/>
                      <w:right w:val="single" w:sz="4" w:space="0" w:color="auto"/>
                    </w:tcBorders>
                  </w:tcPr>
                  <w:p w14:paraId="50E3CD39" w14:textId="77777777" w:rsidR="00471D53" w:rsidRPr="00D523B2" w:rsidRDefault="00B664AF" w:rsidP="00471D53">
                    <w:pPr>
                      <w:jc w:val="right"/>
                      <w:rPr>
                        <w:sz w:val="15"/>
                        <w:szCs w:val="15"/>
                      </w:rPr>
                    </w:pPr>
                  </w:p>
                </w:tc>
                <w:tc>
                  <w:tcPr>
                    <w:tcW w:w="554" w:type="pct"/>
                    <w:tcBorders>
                      <w:top w:val="single" w:sz="4" w:space="0" w:color="auto"/>
                      <w:left w:val="single" w:sz="4" w:space="0" w:color="auto"/>
                      <w:bottom w:val="single" w:sz="4" w:space="0" w:color="auto"/>
                      <w:right w:val="single" w:sz="4" w:space="0" w:color="auto"/>
                    </w:tcBorders>
                  </w:tcPr>
                  <w:p w14:paraId="4E44DDFF" w14:textId="77777777" w:rsidR="00471D53" w:rsidRPr="00D523B2" w:rsidRDefault="00B664AF" w:rsidP="00471D53">
                    <w:pPr>
                      <w:jc w:val="right"/>
                      <w:rPr>
                        <w:sz w:val="15"/>
                        <w:szCs w:val="15"/>
                      </w:rPr>
                    </w:pPr>
                  </w:p>
                </w:tc>
                <w:tc>
                  <w:tcPr>
                    <w:tcW w:w="256" w:type="pct"/>
                    <w:tcBorders>
                      <w:top w:val="single" w:sz="4" w:space="0" w:color="auto"/>
                      <w:left w:val="single" w:sz="4" w:space="0" w:color="auto"/>
                      <w:bottom w:val="single" w:sz="4" w:space="0" w:color="auto"/>
                      <w:right w:val="single" w:sz="4" w:space="0" w:color="auto"/>
                    </w:tcBorders>
                  </w:tcPr>
                  <w:p w14:paraId="430554C1" w14:textId="77777777" w:rsidR="00471D53" w:rsidRPr="00D523B2" w:rsidRDefault="00B664AF" w:rsidP="00471D53">
                    <w:pPr>
                      <w:jc w:val="right"/>
                      <w:rPr>
                        <w:sz w:val="15"/>
                        <w:szCs w:val="15"/>
                      </w:rPr>
                    </w:pPr>
                  </w:p>
                </w:tc>
                <w:tc>
                  <w:tcPr>
                    <w:tcW w:w="556" w:type="pct"/>
                    <w:tcBorders>
                      <w:top w:val="single" w:sz="4" w:space="0" w:color="auto"/>
                      <w:left w:val="single" w:sz="4" w:space="0" w:color="auto"/>
                      <w:bottom w:val="single" w:sz="4" w:space="0" w:color="auto"/>
                      <w:right w:val="single" w:sz="4" w:space="0" w:color="auto"/>
                    </w:tcBorders>
                  </w:tcPr>
                  <w:p w14:paraId="3E915724" w14:textId="77777777" w:rsidR="00471D53" w:rsidRPr="00D523B2" w:rsidRDefault="00B664AF" w:rsidP="00471D53">
                    <w:pPr>
                      <w:jc w:val="right"/>
                      <w:rPr>
                        <w:sz w:val="15"/>
                        <w:szCs w:val="15"/>
                      </w:rPr>
                    </w:pPr>
                  </w:p>
                </w:tc>
              </w:tr>
            </w:sdtContent>
          </w:sdt>
          <w:tr w:rsidR="00471D53" w14:paraId="1CE5829A" w14:textId="77777777" w:rsidTr="00471D53">
            <w:trPr>
              <w:cantSplit/>
            </w:trPr>
            <w:sdt>
              <w:sdtPr>
                <w:tag w:val="_PLD_f288fc933fe84e6088cca1ff51abf9b8"/>
                <w:id w:val="1606607331"/>
                <w:lock w:val="sdtLocked"/>
              </w:sdtPr>
              <w:sdtEndPr/>
              <w:sdtContent>
                <w:tc>
                  <w:tcPr>
                    <w:tcW w:w="631" w:type="pct"/>
                    <w:tcBorders>
                      <w:top w:val="single" w:sz="4" w:space="0" w:color="auto"/>
                      <w:left w:val="single" w:sz="4" w:space="0" w:color="auto"/>
                      <w:bottom w:val="single" w:sz="4" w:space="0" w:color="auto"/>
                      <w:right w:val="single" w:sz="4" w:space="0" w:color="auto"/>
                    </w:tcBorders>
                  </w:tcPr>
                  <w:p w14:paraId="50C6EBD8" w14:textId="77777777" w:rsidR="00471D53" w:rsidRDefault="004F686E" w:rsidP="00471D53">
                    <w:pPr>
                      <w:rPr>
                        <w:szCs w:val="21"/>
                      </w:rPr>
                    </w:pPr>
                    <w:r>
                      <w:rPr>
                        <w:rFonts w:hint="eastAsia"/>
                        <w:szCs w:val="21"/>
                      </w:rPr>
                      <w:t>按组合计提坏账准备</w:t>
                    </w:r>
                  </w:p>
                </w:tc>
              </w:sdtContent>
            </w:sdt>
            <w:tc>
              <w:tcPr>
                <w:tcW w:w="633" w:type="pct"/>
                <w:tcBorders>
                  <w:top w:val="single" w:sz="4" w:space="0" w:color="auto"/>
                  <w:left w:val="single" w:sz="4" w:space="0" w:color="auto"/>
                  <w:bottom w:val="single" w:sz="4" w:space="0" w:color="auto"/>
                  <w:right w:val="single" w:sz="4" w:space="0" w:color="auto"/>
                </w:tcBorders>
                <w:vAlign w:val="center"/>
              </w:tcPr>
              <w:p w14:paraId="7A746CF6" w14:textId="21B2E201" w:rsidR="00471D53" w:rsidRPr="00D523B2" w:rsidRDefault="004F686E" w:rsidP="00471D53">
                <w:pPr>
                  <w:jc w:val="right"/>
                  <w:rPr>
                    <w:sz w:val="15"/>
                    <w:szCs w:val="15"/>
                  </w:rPr>
                </w:pPr>
                <w:r w:rsidRPr="00D523B2">
                  <w:rPr>
                    <w:rFonts w:hint="eastAsia"/>
                    <w:sz w:val="15"/>
                    <w:szCs w:val="15"/>
                  </w:rPr>
                  <w:t>201,253,697.58</w:t>
                </w:r>
              </w:p>
            </w:tc>
            <w:tc>
              <w:tcPr>
                <w:tcW w:w="219" w:type="pct"/>
                <w:tcBorders>
                  <w:top w:val="single" w:sz="4" w:space="0" w:color="auto"/>
                  <w:left w:val="single" w:sz="4" w:space="0" w:color="auto"/>
                  <w:bottom w:val="single" w:sz="4" w:space="0" w:color="auto"/>
                  <w:right w:val="single" w:sz="4" w:space="0" w:color="auto"/>
                </w:tcBorders>
                <w:vAlign w:val="center"/>
              </w:tcPr>
              <w:p w14:paraId="5F85032A" w14:textId="7C2D2755" w:rsidR="00471D53" w:rsidRPr="00D523B2" w:rsidRDefault="004F686E" w:rsidP="00471D53">
                <w:pPr>
                  <w:jc w:val="right"/>
                  <w:rPr>
                    <w:sz w:val="15"/>
                    <w:szCs w:val="15"/>
                  </w:rPr>
                </w:pPr>
                <w:r w:rsidRPr="00D523B2">
                  <w:rPr>
                    <w:rFonts w:hint="eastAsia"/>
                    <w:sz w:val="15"/>
                    <w:szCs w:val="15"/>
                  </w:rPr>
                  <w:t>84.33</w:t>
                </w:r>
              </w:p>
            </w:tc>
            <w:tc>
              <w:tcPr>
                <w:tcW w:w="554" w:type="pct"/>
                <w:tcBorders>
                  <w:top w:val="single" w:sz="4" w:space="0" w:color="auto"/>
                  <w:left w:val="single" w:sz="4" w:space="0" w:color="auto"/>
                  <w:bottom w:val="single" w:sz="4" w:space="0" w:color="auto"/>
                  <w:right w:val="single" w:sz="4" w:space="0" w:color="auto"/>
                </w:tcBorders>
                <w:vAlign w:val="center"/>
              </w:tcPr>
              <w:p w14:paraId="0CD74E62" w14:textId="77777777" w:rsidR="00471D53" w:rsidRPr="00D523B2" w:rsidRDefault="004F686E" w:rsidP="00471D53">
                <w:pPr>
                  <w:jc w:val="right"/>
                  <w:rPr>
                    <w:sz w:val="15"/>
                    <w:szCs w:val="15"/>
                  </w:rPr>
                </w:pPr>
                <w:r w:rsidRPr="00D523B2">
                  <w:rPr>
                    <w:sz w:val="15"/>
                    <w:szCs w:val="15"/>
                  </w:rPr>
                  <w:t>26,264,877.55</w:t>
                </w:r>
              </w:p>
            </w:tc>
            <w:tc>
              <w:tcPr>
                <w:tcW w:w="256" w:type="pct"/>
                <w:tcBorders>
                  <w:top w:val="single" w:sz="4" w:space="0" w:color="auto"/>
                  <w:left w:val="single" w:sz="4" w:space="0" w:color="auto"/>
                  <w:bottom w:val="single" w:sz="4" w:space="0" w:color="auto"/>
                  <w:right w:val="single" w:sz="4" w:space="0" w:color="auto"/>
                </w:tcBorders>
                <w:vAlign w:val="center"/>
              </w:tcPr>
              <w:p w14:paraId="3AE6BD33" w14:textId="77777777" w:rsidR="00471D53" w:rsidRPr="00D523B2" w:rsidRDefault="004F686E" w:rsidP="00471D53">
                <w:pPr>
                  <w:jc w:val="center"/>
                  <w:rPr>
                    <w:sz w:val="15"/>
                    <w:szCs w:val="15"/>
                    <w:lang w:eastAsia="en-US"/>
                  </w:rPr>
                </w:pPr>
                <w:r w:rsidRPr="00D523B2">
                  <w:rPr>
                    <w:rFonts w:cs="Calibri" w:hint="eastAsia"/>
                    <w:sz w:val="15"/>
                    <w:szCs w:val="15"/>
                  </w:rPr>
                  <w:t>—</w:t>
                </w:r>
              </w:p>
            </w:tc>
            <w:tc>
              <w:tcPr>
                <w:tcW w:w="556" w:type="pct"/>
                <w:tcBorders>
                  <w:top w:val="single" w:sz="4" w:space="0" w:color="auto"/>
                  <w:left w:val="single" w:sz="4" w:space="0" w:color="auto"/>
                  <w:bottom w:val="single" w:sz="4" w:space="0" w:color="auto"/>
                  <w:right w:val="single" w:sz="4" w:space="0" w:color="auto"/>
                </w:tcBorders>
                <w:vAlign w:val="center"/>
              </w:tcPr>
              <w:p w14:paraId="40F51ED3" w14:textId="77777777" w:rsidR="00471D53" w:rsidRPr="00D523B2" w:rsidRDefault="004F686E" w:rsidP="00471D53">
                <w:pPr>
                  <w:jc w:val="center"/>
                  <w:rPr>
                    <w:sz w:val="15"/>
                    <w:szCs w:val="15"/>
                  </w:rPr>
                </w:pPr>
                <w:r w:rsidRPr="00D523B2">
                  <w:rPr>
                    <w:sz w:val="15"/>
                    <w:szCs w:val="15"/>
                  </w:rPr>
                  <w:t>174,988,820.03</w:t>
                </w:r>
              </w:p>
            </w:tc>
            <w:tc>
              <w:tcPr>
                <w:tcW w:w="567" w:type="pct"/>
                <w:tcBorders>
                  <w:top w:val="single" w:sz="4" w:space="0" w:color="auto"/>
                  <w:left w:val="single" w:sz="4" w:space="0" w:color="auto"/>
                  <w:bottom w:val="single" w:sz="4" w:space="0" w:color="auto"/>
                  <w:right w:val="single" w:sz="4" w:space="0" w:color="auto"/>
                </w:tcBorders>
                <w:vAlign w:val="center"/>
              </w:tcPr>
              <w:p w14:paraId="16AC6191" w14:textId="77777777" w:rsidR="00471D53" w:rsidRPr="00D523B2" w:rsidRDefault="004F686E" w:rsidP="00471D53">
                <w:pPr>
                  <w:jc w:val="center"/>
                  <w:rPr>
                    <w:sz w:val="15"/>
                    <w:szCs w:val="15"/>
                  </w:rPr>
                </w:pPr>
                <w:r w:rsidRPr="00D523B2">
                  <w:rPr>
                    <w:rFonts w:cs="Calibri"/>
                    <w:sz w:val="15"/>
                    <w:szCs w:val="15"/>
                  </w:rPr>
                  <w:t>215,994,418.48</w:t>
                </w:r>
              </w:p>
            </w:tc>
            <w:tc>
              <w:tcPr>
                <w:tcW w:w="219" w:type="pct"/>
                <w:tcBorders>
                  <w:top w:val="single" w:sz="4" w:space="0" w:color="auto"/>
                  <w:left w:val="single" w:sz="4" w:space="0" w:color="auto"/>
                  <w:bottom w:val="single" w:sz="4" w:space="0" w:color="auto"/>
                  <w:right w:val="single" w:sz="4" w:space="0" w:color="auto"/>
                </w:tcBorders>
                <w:vAlign w:val="center"/>
              </w:tcPr>
              <w:p w14:paraId="6E27B424" w14:textId="77777777" w:rsidR="00471D53" w:rsidRPr="00D523B2" w:rsidRDefault="004F686E" w:rsidP="00471D53">
                <w:pPr>
                  <w:jc w:val="center"/>
                  <w:rPr>
                    <w:sz w:val="15"/>
                    <w:szCs w:val="15"/>
                  </w:rPr>
                </w:pPr>
                <w:r w:rsidRPr="00D523B2">
                  <w:rPr>
                    <w:rFonts w:cs="Calibri"/>
                    <w:sz w:val="15"/>
                    <w:szCs w:val="15"/>
                  </w:rPr>
                  <w:t>85.07</w:t>
                </w:r>
              </w:p>
            </w:tc>
            <w:tc>
              <w:tcPr>
                <w:tcW w:w="554" w:type="pct"/>
                <w:tcBorders>
                  <w:top w:val="single" w:sz="4" w:space="0" w:color="auto"/>
                  <w:left w:val="single" w:sz="4" w:space="0" w:color="auto"/>
                  <w:bottom w:val="single" w:sz="4" w:space="0" w:color="auto"/>
                  <w:right w:val="single" w:sz="4" w:space="0" w:color="auto"/>
                </w:tcBorders>
                <w:vAlign w:val="center"/>
              </w:tcPr>
              <w:p w14:paraId="0436B953" w14:textId="77777777" w:rsidR="00471D53" w:rsidRPr="00D523B2" w:rsidRDefault="004F686E" w:rsidP="00471D53">
                <w:pPr>
                  <w:jc w:val="center"/>
                  <w:rPr>
                    <w:sz w:val="15"/>
                    <w:szCs w:val="15"/>
                  </w:rPr>
                </w:pPr>
                <w:r w:rsidRPr="00D523B2">
                  <w:rPr>
                    <w:rFonts w:cs="Calibri" w:hint="eastAsia"/>
                    <w:sz w:val="15"/>
                    <w:szCs w:val="15"/>
                  </w:rPr>
                  <w:t>24,065,265.64</w:t>
                </w:r>
              </w:p>
            </w:tc>
            <w:tc>
              <w:tcPr>
                <w:tcW w:w="256" w:type="pct"/>
                <w:tcBorders>
                  <w:top w:val="single" w:sz="4" w:space="0" w:color="auto"/>
                  <w:left w:val="single" w:sz="4" w:space="0" w:color="auto"/>
                  <w:bottom w:val="single" w:sz="4" w:space="0" w:color="auto"/>
                  <w:right w:val="single" w:sz="4" w:space="0" w:color="auto"/>
                </w:tcBorders>
                <w:vAlign w:val="center"/>
              </w:tcPr>
              <w:p w14:paraId="42705C86" w14:textId="77777777" w:rsidR="00471D53" w:rsidRPr="00D523B2" w:rsidRDefault="004F686E" w:rsidP="00471D53">
                <w:pPr>
                  <w:jc w:val="center"/>
                  <w:rPr>
                    <w:sz w:val="15"/>
                    <w:szCs w:val="15"/>
                    <w:lang w:eastAsia="en-US"/>
                  </w:rPr>
                </w:pPr>
                <w:r w:rsidRPr="00D523B2">
                  <w:rPr>
                    <w:rFonts w:cs="Calibri" w:hint="eastAsia"/>
                    <w:sz w:val="15"/>
                    <w:szCs w:val="15"/>
                  </w:rPr>
                  <w:t>—</w:t>
                </w:r>
              </w:p>
            </w:tc>
            <w:tc>
              <w:tcPr>
                <w:tcW w:w="556" w:type="pct"/>
                <w:tcBorders>
                  <w:top w:val="single" w:sz="4" w:space="0" w:color="auto"/>
                  <w:left w:val="single" w:sz="4" w:space="0" w:color="auto"/>
                  <w:bottom w:val="single" w:sz="4" w:space="0" w:color="auto"/>
                  <w:right w:val="single" w:sz="4" w:space="0" w:color="auto"/>
                </w:tcBorders>
                <w:vAlign w:val="center"/>
              </w:tcPr>
              <w:p w14:paraId="6B9A636F" w14:textId="77777777" w:rsidR="00471D53" w:rsidRPr="00D523B2" w:rsidRDefault="004F686E" w:rsidP="00471D53">
                <w:pPr>
                  <w:jc w:val="center"/>
                  <w:rPr>
                    <w:sz w:val="15"/>
                    <w:szCs w:val="15"/>
                  </w:rPr>
                </w:pPr>
                <w:r w:rsidRPr="00D523B2">
                  <w:rPr>
                    <w:rFonts w:cs="Calibri"/>
                    <w:sz w:val="15"/>
                    <w:szCs w:val="15"/>
                  </w:rPr>
                  <w:t>191,929,152.84</w:t>
                </w:r>
              </w:p>
            </w:tc>
          </w:tr>
          <w:tr w:rsidR="00471D53" w14:paraId="4BF6D834" w14:textId="77777777" w:rsidTr="00471D53">
            <w:trPr>
              <w:cantSplit/>
            </w:trPr>
            <w:sdt>
              <w:sdtPr>
                <w:rPr>
                  <w:sz w:val="15"/>
                  <w:szCs w:val="15"/>
                </w:rPr>
                <w:tag w:val="_PLD_55a01fc28b044e40bd4e4399252665c0"/>
                <w:id w:val="453146395"/>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14:paraId="2BD0095D" w14:textId="77777777" w:rsidR="00471D53" w:rsidRPr="00D523B2" w:rsidRDefault="004F686E" w:rsidP="00471D53">
                    <w:pPr>
                      <w:rPr>
                        <w:sz w:val="15"/>
                        <w:szCs w:val="15"/>
                      </w:rPr>
                    </w:pPr>
                    <w:r w:rsidRPr="00D523B2">
                      <w:rPr>
                        <w:rFonts w:hint="eastAsia"/>
                        <w:sz w:val="15"/>
                        <w:szCs w:val="15"/>
                      </w:rPr>
                      <w:t>其中：</w:t>
                    </w:r>
                  </w:p>
                </w:tc>
              </w:sdtContent>
            </w:sdt>
          </w:tr>
          <w:sdt>
            <w:sdtPr>
              <w:rPr>
                <w:szCs w:val="21"/>
              </w:rPr>
              <w:alias w:val="按组合计提坏账准备的应收账款明细"/>
              <w:tag w:val="_TUP_01960bfe94fc450d9a465ddf3f2cfd76"/>
              <w:id w:val="-422419319"/>
              <w:lock w:val="sdtLocked"/>
            </w:sdtPr>
            <w:sdtEndPr>
              <w:rPr>
                <w:sz w:val="15"/>
                <w:szCs w:val="15"/>
              </w:rPr>
            </w:sdtEndPr>
            <w:sdtContent>
              <w:tr w:rsidR="00471D53" w14:paraId="37441C91" w14:textId="77777777" w:rsidTr="00471D53">
                <w:trPr>
                  <w:cantSplit/>
                </w:trPr>
                <w:sdt>
                  <w:sdtPr>
                    <w:rPr>
                      <w:szCs w:val="21"/>
                    </w:rPr>
                    <w:alias w:val="按组合计提坏账准备的应收账款明细-组合名称"/>
                    <w:tag w:val="_GBC_c5f1817705f34c9782f585b3ed10e2db"/>
                    <w:id w:val="-1334994975"/>
                    <w:lock w:val="sdtLocked"/>
                  </w:sdtPr>
                  <w:sdtEndPr/>
                  <w:sdtContent>
                    <w:tc>
                      <w:tcPr>
                        <w:tcW w:w="631" w:type="pct"/>
                        <w:tcBorders>
                          <w:top w:val="single" w:sz="4" w:space="0" w:color="auto"/>
                          <w:left w:val="single" w:sz="4" w:space="0" w:color="auto"/>
                          <w:bottom w:val="single" w:sz="4" w:space="0" w:color="auto"/>
                          <w:right w:val="single" w:sz="4" w:space="0" w:color="auto"/>
                        </w:tcBorders>
                      </w:tcPr>
                      <w:p w14:paraId="57D118FB" w14:textId="77777777" w:rsidR="00471D53" w:rsidRDefault="004F686E" w:rsidP="00471D53">
                        <w:pPr>
                          <w:rPr>
                            <w:color w:val="808080"/>
                            <w:szCs w:val="21"/>
                          </w:rPr>
                        </w:pPr>
                        <w:r w:rsidRPr="0068000B">
                          <w:rPr>
                            <w:rFonts w:hint="eastAsia"/>
                            <w:szCs w:val="21"/>
                          </w:rPr>
                          <w:t>其中：账龄组合</w:t>
                        </w:r>
                      </w:p>
                    </w:tc>
                  </w:sdtContent>
                </w:sdt>
                <w:tc>
                  <w:tcPr>
                    <w:tcW w:w="633" w:type="pct"/>
                    <w:tcBorders>
                      <w:top w:val="single" w:sz="4" w:space="0" w:color="auto"/>
                      <w:left w:val="single" w:sz="4" w:space="0" w:color="auto"/>
                      <w:bottom w:val="single" w:sz="4" w:space="0" w:color="auto"/>
                      <w:right w:val="single" w:sz="4" w:space="0" w:color="auto"/>
                    </w:tcBorders>
                    <w:vAlign w:val="center"/>
                  </w:tcPr>
                  <w:p w14:paraId="38EE391D" w14:textId="348DD5C1" w:rsidR="00471D53" w:rsidRPr="00D523B2" w:rsidRDefault="004F686E" w:rsidP="00471D53">
                    <w:pPr>
                      <w:jc w:val="right"/>
                      <w:rPr>
                        <w:sz w:val="15"/>
                        <w:szCs w:val="15"/>
                      </w:rPr>
                    </w:pPr>
                    <w:r w:rsidRPr="00D523B2">
                      <w:rPr>
                        <w:rFonts w:hint="eastAsia"/>
                        <w:sz w:val="15"/>
                        <w:szCs w:val="15"/>
                      </w:rPr>
                      <w:t>201,253,697.58</w:t>
                    </w:r>
                  </w:p>
                </w:tc>
                <w:tc>
                  <w:tcPr>
                    <w:tcW w:w="219" w:type="pct"/>
                    <w:tcBorders>
                      <w:top w:val="single" w:sz="4" w:space="0" w:color="auto"/>
                      <w:left w:val="single" w:sz="4" w:space="0" w:color="auto"/>
                      <w:bottom w:val="single" w:sz="4" w:space="0" w:color="auto"/>
                      <w:right w:val="single" w:sz="4" w:space="0" w:color="auto"/>
                    </w:tcBorders>
                    <w:vAlign w:val="center"/>
                  </w:tcPr>
                  <w:p w14:paraId="2611EFEB" w14:textId="404E0BFA" w:rsidR="00471D53" w:rsidRPr="00D523B2" w:rsidRDefault="004F686E" w:rsidP="00471D53">
                    <w:pPr>
                      <w:jc w:val="right"/>
                      <w:rPr>
                        <w:sz w:val="15"/>
                        <w:szCs w:val="15"/>
                      </w:rPr>
                    </w:pPr>
                    <w:r w:rsidRPr="00D523B2">
                      <w:rPr>
                        <w:rFonts w:hint="eastAsia"/>
                        <w:sz w:val="15"/>
                        <w:szCs w:val="15"/>
                      </w:rPr>
                      <w:t>84.33</w:t>
                    </w:r>
                  </w:p>
                </w:tc>
                <w:tc>
                  <w:tcPr>
                    <w:tcW w:w="554" w:type="pct"/>
                    <w:tcBorders>
                      <w:top w:val="single" w:sz="4" w:space="0" w:color="auto"/>
                      <w:left w:val="single" w:sz="4" w:space="0" w:color="auto"/>
                      <w:bottom w:val="single" w:sz="4" w:space="0" w:color="auto"/>
                      <w:right w:val="single" w:sz="4" w:space="0" w:color="auto"/>
                    </w:tcBorders>
                    <w:vAlign w:val="center"/>
                  </w:tcPr>
                  <w:p w14:paraId="192DD0CE" w14:textId="77777777" w:rsidR="00471D53" w:rsidRPr="00D523B2" w:rsidRDefault="004F686E" w:rsidP="00471D53">
                    <w:pPr>
                      <w:jc w:val="right"/>
                      <w:rPr>
                        <w:sz w:val="15"/>
                        <w:szCs w:val="15"/>
                      </w:rPr>
                    </w:pPr>
                    <w:r w:rsidRPr="00D523B2">
                      <w:rPr>
                        <w:sz w:val="15"/>
                        <w:szCs w:val="15"/>
                      </w:rPr>
                      <w:t>26,264,877.55</w:t>
                    </w:r>
                  </w:p>
                </w:tc>
                <w:tc>
                  <w:tcPr>
                    <w:tcW w:w="256" w:type="pct"/>
                    <w:tcBorders>
                      <w:top w:val="single" w:sz="4" w:space="0" w:color="auto"/>
                      <w:left w:val="single" w:sz="4" w:space="0" w:color="auto"/>
                      <w:bottom w:val="single" w:sz="4" w:space="0" w:color="auto"/>
                      <w:right w:val="single" w:sz="4" w:space="0" w:color="auto"/>
                    </w:tcBorders>
                    <w:vAlign w:val="center"/>
                  </w:tcPr>
                  <w:p w14:paraId="0DB03ECA" w14:textId="77777777" w:rsidR="00471D53" w:rsidRPr="00D523B2" w:rsidRDefault="004F686E" w:rsidP="00471D53">
                    <w:pPr>
                      <w:jc w:val="right"/>
                      <w:rPr>
                        <w:sz w:val="15"/>
                        <w:szCs w:val="15"/>
                        <w:lang w:eastAsia="en-US"/>
                      </w:rPr>
                    </w:pPr>
                    <w:r w:rsidRPr="00D523B2">
                      <w:rPr>
                        <w:sz w:val="15"/>
                        <w:szCs w:val="15"/>
                        <w:lang w:eastAsia="en-US"/>
                      </w:rPr>
                      <w:t>13.05</w:t>
                    </w:r>
                  </w:p>
                </w:tc>
                <w:tc>
                  <w:tcPr>
                    <w:tcW w:w="556" w:type="pct"/>
                    <w:tcBorders>
                      <w:top w:val="single" w:sz="4" w:space="0" w:color="auto"/>
                      <w:left w:val="single" w:sz="4" w:space="0" w:color="auto"/>
                      <w:bottom w:val="single" w:sz="4" w:space="0" w:color="auto"/>
                      <w:right w:val="single" w:sz="4" w:space="0" w:color="auto"/>
                    </w:tcBorders>
                    <w:vAlign w:val="center"/>
                  </w:tcPr>
                  <w:p w14:paraId="3D657797" w14:textId="77777777" w:rsidR="00471D53" w:rsidRPr="00D523B2" w:rsidRDefault="004F686E" w:rsidP="00471D53">
                    <w:pPr>
                      <w:jc w:val="center"/>
                      <w:rPr>
                        <w:sz w:val="15"/>
                        <w:szCs w:val="15"/>
                      </w:rPr>
                    </w:pPr>
                    <w:r w:rsidRPr="00D523B2">
                      <w:rPr>
                        <w:sz w:val="15"/>
                        <w:szCs w:val="15"/>
                      </w:rPr>
                      <w:t>174,988,820.03</w:t>
                    </w:r>
                  </w:p>
                </w:tc>
                <w:tc>
                  <w:tcPr>
                    <w:tcW w:w="567" w:type="pct"/>
                    <w:tcBorders>
                      <w:top w:val="single" w:sz="4" w:space="0" w:color="auto"/>
                      <w:left w:val="single" w:sz="4" w:space="0" w:color="auto"/>
                      <w:bottom w:val="single" w:sz="4" w:space="0" w:color="auto"/>
                      <w:right w:val="single" w:sz="4" w:space="0" w:color="auto"/>
                    </w:tcBorders>
                    <w:vAlign w:val="center"/>
                  </w:tcPr>
                  <w:p w14:paraId="78A9BC23" w14:textId="77777777" w:rsidR="00471D53" w:rsidRPr="00D523B2" w:rsidRDefault="004F686E" w:rsidP="00471D53">
                    <w:pPr>
                      <w:jc w:val="center"/>
                      <w:rPr>
                        <w:sz w:val="15"/>
                        <w:szCs w:val="15"/>
                      </w:rPr>
                    </w:pPr>
                    <w:r w:rsidRPr="00D523B2">
                      <w:rPr>
                        <w:sz w:val="15"/>
                        <w:szCs w:val="15"/>
                      </w:rPr>
                      <w:t>215,994,418.48</w:t>
                    </w:r>
                  </w:p>
                </w:tc>
                <w:tc>
                  <w:tcPr>
                    <w:tcW w:w="219" w:type="pct"/>
                    <w:tcBorders>
                      <w:top w:val="single" w:sz="4" w:space="0" w:color="auto"/>
                      <w:left w:val="single" w:sz="4" w:space="0" w:color="auto"/>
                      <w:bottom w:val="single" w:sz="4" w:space="0" w:color="auto"/>
                      <w:right w:val="single" w:sz="4" w:space="0" w:color="auto"/>
                    </w:tcBorders>
                    <w:vAlign w:val="center"/>
                  </w:tcPr>
                  <w:p w14:paraId="22A37437" w14:textId="77777777" w:rsidR="00471D53" w:rsidRPr="00D523B2" w:rsidRDefault="004F686E" w:rsidP="00471D53">
                    <w:pPr>
                      <w:jc w:val="center"/>
                      <w:rPr>
                        <w:sz w:val="15"/>
                        <w:szCs w:val="15"/>
                      </w:rPr>
                    </w:pPr>
                    <w:r w:rsidRPr="00D523B2">
                      <w:rPr>
                        <w:sz w:val="15"/>
                        <w:szCs w:val="15"/>
                      </w:rPr>
                      <w:t>85.07</w:t>
                    </w:r>
                  </w:p>
                </w:tc>
                <w:tc>
                  <w:tcPr>
                    <w:tcW w:w="554" w:type="pct"/>
                    <w:tcBorders>
                      <w:top w:val="single" w:sz="4" w:space="0" w:color="auto"/>
                      <w:left w:val="single" w:sz="4" w:space="0" w:color="auto"/>
                      <w:bottom w:val="single" w:sz="4" w:space="0" w:color="auto"/>
                      <w:right w:val="single" w:sz="4" w:space="0" w:color="auto"/>
                    </w:tcBorders>
                    <w:vAlign w:val="center"/>
                  </w:tcPr>
                  <w:p w14:paraId="73AE323A" w14:textId="77777777" w:rsidR="00471D53" w:rsidRPr="00D523B2" w:rsidRDefault="004F686E" w:rsidP="00471D53">
                    <w:pPr>
                      <w:jc w:val="center"/>
                      <w:rPr>
                        <w:sz w:val="15"/>
                        <w:szCs w:val="15"/>
                      </w:rPr>
                    </w:pPr>
                    <w:r w:rsidRPr="00D523B2">
                      <w:rPr>
                        <w:sz w:val="15"/>
                        <w:szCs w:val="15"/>
                      </w:rPr>
                      <w:t>24,065,265.64</w:t>
                    </w:r>
                  </w:p>
                </w:tc>
                <w:tc>
                  <w:tcPr>
                    <w:tcW w:w="256" w:type="pct"/>
                    <w:tcBorders>
                      <w:top w:val="single" w:sz="4" w:space="0" w:color="auto"/>
                      <w:left w:val="single" w:sz="4" w:space="0" w:color="auto"/>
                      <w:bottom w:val="single" w:sz="4" w:space="0" w:color="auto"/>
                      <w:right w:val="single" w:sz="4" w:space="0" w:color="auto"/>
                    </w:tcBorders>
                    <w:vAlign w:val="center"/>
                  </w:tcPr>
                  <w:p w14:paraId="7CC9C983" w14:textId="77777777" w:rsidR="00471D53" w:rsidRPr="00D523B2" w:rsidRDefault="004F686E" w:rsidP="00471D53">
                    <w:pPr>
                      <w:jc w:val="center"/>
                      <w:rPr>
                        <w:sz w:val="15"/>
                        <w:szCs w:val="15"/>
                      </w:rPr>
                    </w:pPr>
                    <w:r w:rsidRPr="005E1DB4">
                      <w:rPr>
                        <w:sz w:val="15"/>
                        <w:szCs w:val="15"/>
                      </w:rPr>
                      <w:t>11.14</w:t>
                    </w:r>
                  </w:p>
                </w:tc>
                <w:tc>
                  <w:tcPr>
                    <w:tcW w:w="556" w:type="pct"/>
                    <w:tcBorders>
                      <w:top w:val="single" w:sz="4" w:space="0" w:color="auto"/>
                      <w:left w:val="single" w:sz="4" w:space="0" w:color="auto"/>
                      <w:bottom w:val="single" w:sz="4" w:space="0" w:color="auto"/>
                      <w:right w:val="single" w:sz="4" w:space="0" w:color="auto"/>
                    </w:tcBorders>
                    <w:vAlign w:val="center"/>
                  </w:tcPr>
                  <w:p w14:paraId="64449CE6" w14:textId="77777777" w:rsidR="00471D53" w:rsidRPr="00D523B2" w:rsidRDefault="004F686E" w:rsidP="00471D53">
                    <w:pPr>
                      <w:jc w:val="center"/>
                      <w:rPr>
                        <w:sz w:val="15"/>
                        <w:szCs w:val="15"/>
                      </w:rPr>
                    </w:pPr>
                    <w:r w:rsidRPr="00D523B2">
                      <w:rPr>
                        <w:sz w:val="15"/>
                        <w:szCs w:val="15"/>
                      </w:rPr>
                      <w:t>191,929,152.84</w:t>
                    </w:r>
                  </w:p>
                </w:tc>
              </w:tr>
            </w:sdtContent>
          </w:sdt>
          <w:sdt>
            <w:sdtPr>
              <w:rPr>
                <w:szCs w:val="21"/>
              </w:rPr>
              <w:alias w:val="按组合计提坏账准备的应收账款明细"/>
              <w:tag w:val="_TUP_01960bfe94fc450d9a465ddf3f2cfd76"/>
              <w:id w:val="-523555111"/>
              <w:lock w:val="sdtLocked"/>
            </w:sdtPr>
            <w:sdtEndPr>
              <w:rPr>
                <w:sz w:val="15"/>
                <w:szCs w:val="15"/>
              </w:rPr>
            </w:sdtEndPr>
            <w:sdtContent>
              <w:tr w:rsidR="00471D53" w14:paraId="46E48081" w14:textId="77777777" w:rsidTr="00471D53">
                <w:trPr>
                  <w:cantSplit/>
                </w:trPr>
                <w:sdt>
                  <w:sdtPr>
                    <w:rPr>
                      <w:szCs w:val="21"/>
                    </w:rPr>
                    <w:alias w:val="按组合计提坏账准备的应收账款明细-组合名称"/>
                    <w:tag w:val="_GBC_c5f1817705f34c9782f585b3ed10e2db"/>
                    <w:id w:val="1043415322"/>
                    <w:lock w:val="sdtLocked"/>
                    <w:showingPlcHdr/>
                  </w:sdtPr>
                  <w:sdtEndPr/>
                  <w:sdtContent>
                    <w:tc>
                      <w:tcPr>
                        <w:tcW w:w="631" w:type="pct"/>
                        <w:tcBorders>
                          <w:top w:val="single" w:sz="4" w:space="0" w:color="auto"/>
                          <w:left w:val="single" w:sz="4" w:space="0" w:color="auto"/>
                          <w:bottom w:val="single" w:sz="4" w:space="0" w:color="auto"/>
                          <w:right w:val="single" w:sz="4" w:space="0" w:color="auto"/>
                        </w:tcBorders>
                      </w:tcPr>
                      <w:p w14:paraId="7AB96AEC" w14:textId="77777777" w:rsidR="00471D53" w:rsidRDefault="004F686E" w:rsidP="00471D53">
                        <w:pPr>
                          <w:rPr>
                            <w:color w:val="808080"/>
                            <w:szCs w:val="21"/>
                          </w:rPr>
                        </w:pPr>
                        <w:r>
                          <w:rPr>
                            <w:rFonts w:hint="eastAsia"/>
                          </w:rPr>
                          <w:t xml:space="preserve">　</w:t>
                        </w:r>
                      </w:p>
                    </w:tc>
                  </w:sdtContent>
                </w:sdt>
                <w:tc>
                  <w:tcPr>
                    <w:tcW w:w="633" w:type="pct"/>
                    <w:tcBorders>
                      <w:top w:val="single" w:sz="4" w:space="0" w:color="auto"/>
                      <w:left w:val="single" w:sz="4" w:space="0" w:color="auto"/>
                      <w:bottom w:val="single" w:sz="4" w:space="0" w:color="auto"/>
                      <w:right w:val="single" w:sz="4" w:space="0" w:color="auto"/>
                    </w:tcBorders>
                  </w:tcPr>
                  <w:p w14:paraId="728CF73B" w14:textId="77777777" w:rsidR="00471D53" w:rsidRPr="00D523B2" w:rsidRDefault="00B664AF" w:rsidP="00471D53">
                    <w:pPr>
                      <w:jc w:val="right"/>
                      <w:rPr>
                        <w:sz w:val="15"/>
                        <w:szCs w:val="15"/>
                      </w:rPr>
                    </w:pPr>
                  </w:p>
                </w:tc>
                <w:tc>
                  <w:tcPr>
                    <w:tcW w:w="219" w:type="pct"/>
                    <w:tcBorders>
                      <w:top w:val="single" w:sz="4" w:space="0" w:color="auto"/>
                      <w:left w:val="single" w:sz="4" w:space="0" w:color="auto"/>
                      <w:bottom w:val="single" w:sz="4" w:space="0" w:color="auto"/>
                      <w:right w:val="single" w:sz="4" w:space="0" w:color="auto"/>
                    </w:tcBorders>
                  </w:tcPr>
                  <w:p w14:paraId="24F58BBF" w14:textId="77777777" w:rsidR="00471D53" w:rsidRPr="00D523B2" w:rsidRDefault="00B664AF" w:rsidP="00471D53">
                    <w:pPr>
                      <w:jc w:val="right"/>
                      <w:rPr>
                        <w:sz w:val="15"/>
                        <w:szCs w:val="15"/>
                      </w:rPr>
                    </w:pPr>
                  </w:p>
                </w:tc>
                <w:tc>
                  <w:tcPr>
                    <w:tcW w:w="554" w:type="pct"/>
                    <w:tcBorders>
                      <w:top w:val="single" w:sz="4" w:space="0" w:color="auto"/>
                      <w:left w:val="single" w:sz="4" w:space="0" w:color="auto"/>
                      <w:bottom w:val="single" w:sz="4" w:space="0" w:color="auto"/>
                      <w:right w:val="single" w:sz="4" w:space="0" w:color="auto"/>
                    </w:tcBorders>
                  </w:tcPr>
                  <w:p w14:paraId="7AFED4DB" w14:textId="77777777" w:rsidR="00471D53" w:rsidRPr="00D523B2" w:rsidRDefault="00B664AF" w:rsidP="00471D53">
                    <w:pPr>
                      <w:jc w:val="right"/>
                      <w:rPr>
                        <w:sz w:val="15"/>
                        <w:szCs w:val="15"/>
                      </w:rPr>
                    </w:pPr>
                  </w:p>
                </w:tc>
                <w:tc>
                  <w:tcPr>
                    <w:tcW w:w="256" w:type="pct"/>
                    <w:tcBorders>
                      <w:top w:val="single" w:sz="4" w:space="0" w:color="auto"/>
                      <w:left w:val="single" w:sz="4" w:space="0" w:color="auto"/>
                      <w:bottom w:val="single" w:sz="4" w:space="0" w:color="auto"/>
                      <w:right w:val="single" w:sz="4" w:space="0" w:color="auto"/>
                    </w:tcBorders>
                  </w:tcPr>
                  <w:p w14:paraId="1D38D7C9" w14:textId="77777777" w:rsidR="00471D53" w:rsidRPr="00D523B2" w:rsidRDefault="00B664AF" w:rsidP="00471D53">
                    <w:pPr>
                      <w:jc w:val="right"/>
                      <w:rPr>
                        <w:sz w:val="15"/>
                        <w:szCs w:val="15"/>
                      </w:rPr>
                    </w:pPr>
                  </w:p>
                </w:tc>
                <w:tc>
                  <w:tcPr>
                    <w:tcW w:w="556" w:type="pct"/>
                    <w:tcBorders>
                      <w:top w:val="single" w:sz="4" w:space="0" w:color="auto"/>
                      <w:left w:val="single" w:sz="4" w:space="0" w:color="auto"/>
                      <w:bottom w:val="single" w:sz="4" w:space="0" w:color="auto"/>
                      <w:right w:val="single" w:sz="4" w:space="0" w:color="auto"/>
                    </w:tcBorders>
                  </w:tcPr>
                  <w:p w14:paraId="28BB082C" w14:textId="77777777" w:rsidR="00471D53" w:rsidRPr="00D523B2" w:rsidRDefault="00B664AF" w:rsidP="00471D53">
                    <w:pPr>
                      <w:jc w:val="right"/>
                      <w:rPr>
                        <w:sz w:val="15"/>
                        <w:szCs w:val="15"/>
                      </w:rPr>
                    </w:pPr>
                  </w:p>
                </w:tc>
                <w:tc>
                  <w:tcPr>
                    <w:tcW w:w="567" w:type="pct"/>
                    <w:tcBorders>
                      <w:top w:val="single" w:sz="4" w:space="0" w:color="auto"/>
                      <w:left w:val="single" w:sz="4" w:space="0" w:color="auto"/>
                      <w:bottom w:val="single" w:sz="4" w:space="0" w:color="auto"/>
                      <w:right w:val="single" w:sz="4" w:space="0" w:color="auto"/>
                    </w:tcBorders>
                  </w:tcPr>
                  <w:p w14:paraId="2A3544C5" w14:textId="77777777" w:rsidR="00471D53" w:rsidRPr="00D523B2" w:rsidRDefault="00B664AF" w:rsidP="00471D53">
                    <w:pPr>
                      <w:jc w:val="right"/>
                      <w:rPr>
                        <w:sz w:val="15"/>
                        <w:szCs w:val="15"/>
                      </w:rPr>
                    </w:pPr>
                  </w:p>
                </w:tc>
                <w:tc>
                  <w:tcPr>
                    <w:tcW w:w="219" w:type="pct"/>
                    <w:tcBorders>
                      <w:top w:val="single" w:sz="4" w:space="0" w:color="auto"/>
                      <w:left w:val="single" w:sz="4" w:space="0" w:color="auto"/>
                      <w:bottom w:val="single" w:sz="4" w:space="0" w:color="auto"/>
                      <w:right w:val="single" w:sz="4" w:space="0" w:color="auto"/>
                    </w:tcBorders>
                  </w:tcPr>
                  <w:p w14:paraId="589C09AA" w14:textId="77777777" w:rsidR="00471D53" w:rsidRPr="00D523B2" w:rsidRDefault="00B664AF" w:rsidP="00471D53">
                    <w:pPr>
                      <w:jc w:val="right"/>
                      <w:rPr>
                        <w:sz w:val="15"/>
                        <w:szCs w:val="15"/>
                      </w:rPr>
                    </w:pPr>
                  </w:p>
                </w:tc>
                <w:tc>
                  <w:tcPr>
                    <w:tcW w:w="554" w:type="pct"/>
                    <w:tcBorders>
                      <w:top w:val="single" w:sz="4" w:space="0" w:color="auto"/>
                      <w:left w:val="single" w:sz="4" w:space="0" w:color="auto"/>
                      <w:bottom w:val="single" w:sz="4" w:space="0" w:color="auto"/>
                      <w:right w:val="single" w:sz="4" w:space="0" w:color="auto"/>
                    </w:tcBorders>
                  </w:tcPr>
                  <w:p w14:paraId="752B9F43" w14:textId="77777777" w:rsidR="00471D53" w:rsidRPr="00D523B2" w:rsidRDefault="00B664AF" w:rsidP="00471D53">
                    <w:pPr>
                      <w:jc w:val="right"/>
                      <w:rPr>
                        <w:sz w:val="15"/>
                        <w:szCs w:val="15"/>
                      </w:rPr>
                    </w:pPr>
                  </w:p>
                </w:tc>
                <w:tc>
                  <w:tcPr>
                    <w:tcW w:w="256" w:type="pct"/>
                    <w:tcBorders>
                      <w:top w:val="single" w:sz="4" w:space="0" w:color="auto"/>
                      <w:left w:val="single" w:sz="4" w:space="0" w:color="auto"/>
                      <w:bottom w:val="single" w:sz="4" w:space="0" w:color="auto"/>
                      <w:right w:val="single" w:sz="4" w:space="0" w:color="auto"/>
                    </w:tcBorders>
                  </w:tcPr>
                  <w:p w14:paraId="2589CBBF" w14:textId="77777777" w:rsidR="00471D53" w:rsidRPr="00D523B2" w:rsidRDefault="00B664AF" w:rsidP="00471D53">
                    <w:pPr>
                      <w:jc w:val="right"/>
                      <w:rPr>
                        <w:sz w:val="15"/>
                        <w:szCs w:val="15"/>
                      </w:rPr>
                    </w:pPr>
                  </w:p>
                </w:tc>
                <w:tc>
                  <w:tcPr>
                    <w:tcW w:w="556" w:type="pct"/>
                    <w:tcBorders>
                      <w:top w:val="single" w:sz="4" w:space="0" w:color="auto"/>
                      <w:left w:val="single" w:sz="4" w:space="0" w:color="auto"/>
                      <w:bottom w:val="single" w:sz="4" w:space="0" w:color="auto"/>
                      <w:right w:val="single" w:sz="4" w:space="0" w:color="auto"/>
                    </w:tcBorders>
                  </w:tcPr>
                  <w:p w14:paraId="325A2259" w14:textId="77777777" w:rsidR="00471D53" w:rsidRPr="00D523B2" w:rsidRDefault="00B664AF" w:rsidP="00471D53">
                    <w:pPr>
                      <w:jc w:val="right"/>
                      <w:rPr>
                        <w:sz w:val="15"/>
                        <w:szCs w:val="15"/>
                      </w:rPr>
                    </w:pPr>
                  </w:p>
                </w:tc>
              </w:tr>
            </w:sdtContent>
          </w:sdt>
          <w:tr w:rsidR="00471D53" w:rsidRPr="00D523B2" w14:paraId="04DAEBF8" w14:textId="77777777" w:rsidTr="00471D53">
            <w:trPr>
              <w:cantSplit/>
            </w:trPr>
            <w:sdt>
              <w:sdtPr>
                <w:tag w:val="_PLD_435141e2dc244009953ee87401ee0c5d"/>
                <w:id w:val="-1903827041"/>
                <w:lock w:val="sdtLocked"/>
              </w:sdtPr>
              <w:sdtEndPr/>
              <w:sdtContent>
                <w:tc>
                  <w:tcPr>
                    <w:tcW w:w="631" w:type="pct"/>
                    <w:tcBorders>
                      <w:top w:val="single" w:sz="4" w:space="0" w:color="auto"/>
                      <w:left w:val="single" w:sz="4" w:space="0" w:color="auto"/>
                      <w:bottom w:val="single" w:sz="4" w:space="0" w:color="auto"/>
                      <w:right w:val="single" w:sz="4" w:space="0" w:color="auto"/>
                    </w:tcBorders>
                    <w:vAlign w:val="center"/>
                  </w:tcPr>
                  <w:p w14:paraId="693B0DAF" w14:textId="77777777" w:rsidR="00471D53" w:rsidRDefault="004F686E" w:rsidP="00471D53">
                    <w:pPr>
                      <w:autoSpaceDE w:val="0"/>
                      <w:autoSpaceDN w:val="0"/>
                      <w:adjustRightInd w:val="0"/>
                      <w:jc w:val="center"/>
                      <w:rPr>
                        <w:szCs w:val="21"/>
                      </w:rPr>
                    </w:pPr>
                    <w:r>
                      <w:rPr>
                        <w:rFonts w:hint="eastAsia"/>
                        <w:szCs w:val="21"/>
                      </w:rPr>
                      <w:t>合计</w:t>
                    </w:r>
                  </w:p>
                </w:tc>
              </w:sdtContent>
            </w:sdt>
            <w:tc>
              <w:tcPr>
                <w:tcW w:w="633" w:type="pct"/>
                <w:tcBorders>
                  <w:top w:val="single" w:sz="4" w:space="0" w:color="auto"/>
                  <w:left w:val="single" w:sz="4" w:space="0" w:color="auto"/>
                  <w:bottom w:val="single" w:sz="4" w:space="0" w:color="auto"/>
                  <w:right w:val="single" w:sz="4" w:space="0" w:color="auto"/>
                </w:tcBorders>
                <w:vAlign w:val="center"/>
              </w:tcPr>
              <w:p w14:paraId="1914E8CA" w14:textId="46FA5DD0" w:rsidR="00471D53" w:rsidRPr="00D523B2" w:rsidRDefault="004F686E" w:rsidP="00471D53">
                <w:pPr>
                  <w:jc w:val="right"/>
                  <w:rPr>
                    <w:sz w:val="15"/>
                    <w:szCs w:val="15"/>
                  </w:rPr>
                </w:pPr>
                <w:r w:rsidRPr="00D523B2">
                  <w:rPr>
                    <w:rFonts w:hint="eastAsia"/>
                    <w:sz w:val="15"/>
                    <w:szCs w:val="15"/>
                  </w:rPr>
                  <w:t>238,661,541.14</w:t>
                </w:r>
              </w:p>
            </w:tc>
            <w:tc>
              <w:tcPr>
                <w:tcW w:w="219" w:type="pct"/>
                <w:tcBorders>
                  <w:top w:val="single" w:sz="4" w:space="0" w:color="auto"/>
                  <w:left w:val="single" w:sz="4" w:space="0" w:color="auto"/>
                  <w:bottom w:val="single" w:sz="4" w:space="0" w:color="auto"/>
                  <w:right w:val="single" w:sz="4" w:space="0" w:color="auto"/>
                </w:tcBorders>
                <w:vAlign w:val="center"/>
              </w:tcPr>
              <w:p w14:paraId="52333B2A" w14:textId="77777777" w:rsidR="00471D53" w:rsidRPr="00D523B2" w:rsidRDefault="004F686E" w:rsidP="00471D53">
                <w:pPr>
                  <w:jc w:val="center"/>
                  <w:rPr>
                    <w:sz w:val="15"/>
                    <w:szCs w:val="15"/>
                  </w:rPr>
                </w:pPr>
                <w:r w:rsidRPr="00D523B2">
                  <w:rPr>
                    <w:rFonts w:hint="eastAsia"/>
                    <w:sz w:val="15"/>
                    <w:szCs w:val="15"/>
                  </w:rPr>
                  <w:t>-</w:t>
                </w:r>
              </w:p>
            </w:tc>
            <w:tc>
              <w:tcPr>
                <w:tcW w:w="554" w:type="pct"/>
                <w:tcBorders>
                  <w:top w:val="single" w:sz="4" w:space="0" w:color="auto"/>
                  <w:left w:val="single" w:sz="4" w:space="0" w:color="auto"/>
                  <w:bottom w:val="single" w:sz="4" w:space="0" w:color="auto"/>
                  <w:right w:val="single" w:sz="4" w:space="0" w:color="auto"/>
                </w:tcBorders>
                <w:vAlign w:val="center"/>
              </w:tcPr>
              <w:p w14:paraId="1271936D" w14:textId="77777777" w:rsidR="00471D53" w:rsidRPr="00D523B2" w:rsidRDefault="004F686E" w:rsidP="00471D53">
                <w:pPr>
                  <w:jc w:val="right"/>
                  <w:rPr>
                    <w:sz w:val="15"/>
                    <w:szCs w:val="15"/>
                  </w:rPr>
                </w:pPr>
                <w:r w:rsidRPr="00D523B2">
                  <w:rPr>
                    <w:sz w:val="15"/>
                    <w:szCs w:val="15"/>
                  </w:rPr>
                  <w:t>63,672,721.11</w:t>
                </w:r>
              </w:p>
            </w:tc>
            <w:tc>
              <w:tcPr>
                <w:tcW w:w="256" w:type="pct"/>
                <w:tcBorders>
                  <w:top w:val="single" w:sz="4" w:space="0" w:color="auto"/>
                  <w:left w:val="single" w:sz="4" w:space="0" w:color="auto"/>
                  <w:bottom w:val="single" w:sz="4" w:space="0" w:color="auto"/>
                  <w:right w:val="single" w:sz="4" w:space="0" w:color="auto"/>
                </w:tcBorders>
                <w:vAlign w:val="center"/>
              </w:tcPr>
              <w:p w14:paraId="2A3175EB" w14:textId="77777777" w:rsidR="00471D53" w:rsidRPr="00D523B2" w:rsidRDefault="004F686E" w:rsidP="00471D53">
                <w:pPr>
                  <w:jc w:val="center"/>
                  <w:rPr>
                    <w:bCs/>
                    <w:sz w:val="15"/>
                    <w:szCs w:val="15"/>
                  </w:rPr>
                </w:pPr>
                <w:r w:rsidRPr="00D523B2">
                  <w:rPr>
                    <w:rFonts w:cs="Calibri" w:hint="eastAsia"/>
                    <w:bCs/>
                    <w:sz w:val="15"/>
                    <w:szCs w:val="15"/>
                  </w:rPr>
                  <w:t>—</w:t>
                </w:r>
              </w:p>
            </w:tc>
            <w:tc>
              <w:tcPr>
                <w:tcW w:w="556" w:type="pct"/>
                <w:tcBorders>
                  <w:top w:val="single" w:sz="4" w:space="0" w:color="auto"/>
                  <w:left w:val="single" w:sz="4" w:space="0" w:color="auto"/>
                  <w:bottom w:val="single" w:sz="4" w:space="0" w:color="auto"/>
                  <w:right w:val="single" w:sz="4" w:space="0" w:color="auto"/>
                </w:tcBorders>
              </w:tcPr>
              <w:p w14:paraId="4685907D" w14:textId="77777777" w:rsidR="00471D53" w:rsidRPr="00D523B2" w:rsidRDefault="004F686E" w:rsidP="00471D53">
                <w:pPr>
                  <w:jc w:val="right"/>
                  <w:rPr>
                    <w:sz w:val="15"/>
                    <w:szCs w:val="15"/>
                  </w:rPr>
                </w:pPr>
                <w:r w:rsidRPr="00D523B2">
                  <w:rPr>
                    <w:sz w:val="15"/>
                    <w:szCs w:val="15"/>
                  </w:rPr>
                  <w:t>174,988,820.03</w:t>
                </w:r>
              </w:p>
            </w:tc>
            <w:tc>
              <w:tcPr>
                <w:tcW w:w="567" w:type="pct"/>
                <w:tcBorders>
                  <w:top w:val="single" w:sz="4" w:space="0" w:color="auto"/>
                  <w:left w:val="single" w:sz="4" w:space="0" w:color="auto"/>
                  <w:bottom w:val="single" w:sz="4" w:space="0" w:color="auto"/>
                  <w:right w:val="single" w:sz="4" w:space="0" w:color="auto"/>
                </w:tcBorders>
                <w:vAlign w:val="center"/>
              </w:tcPr>
              <w:p w14:paraId="0D04D644" w14:textId="77777777" w:rsidR="00471D53" w:rsidRPr="00D523B2" w:rsidRDefault="004F686E" w:rsidP="00471D53">
                <w:pPr>
                  <w:jc w:val="right"/>
                  <w:rPr>
                    <w:sz w:val="15"/>
                    <w:szCs w:val="15"/>
                  </w:rPr>
                </w:pPr>
                <w:r w:rsidRPr="00D523B2">
                  <w:rPr>
                    <w:rFonts w:cs="Calibri"/>
                    <w:bCs/>
                    <w:sz w:val="15"/>
                    <w:szCs w:val="15"/>
                  </w:rPr>
                  <w:t>253,894,767.04</w:t>
                </w:r>
              </w:p>
            </w:tc>
            <w:tc>
              <w:tcPr>
                <w:tcW w:w="219" w:type="pct"/>
                <w:tcBorders>
                  <w:top w:val="single" w:sz="4" w:space="0" w:color="auto"/>
                  <w:left w:val="single" w:sz="4" w:space="0" w:color="auto"/>
                  <w:bottom w:val="single" w:sz="4" w:space="0" w:color="auto"/>
                  <w:right w:val="single" w:sz="4" w:space="0" w:color="auto"/>
                </w:tcBorders>
                <w:vAlign w:val="center"/>
              </w:tcPr>
              <w:p w14:paraId="0D9CB3CA" w14:textId="77777777" w:rsidR="00471D53" w:rsidRPr="00D523B2" w:rsidRDefault="004F686E" w:rsidP="00471D53">
                <w:pPr>
                  <w:jc w:val="right"/>
                  <w:rPr>
                    <w:sz w:val="15"/>
                    <w:szCs w:val="15"/>
                  </w:rPr>
                </w:pPr>
                <w:r w:rsidRPr="00D523B2">
                  <w:rPr>
                    <w:rFonts w:cs="Calibri" w:hint="eastAsia"/>
                    <w:bCs/>
                    <w:sz w:val="15"/>
                    <w:szCs w:val="15"/>
                  </w:rPr>
                  <w:t>100.00</w:t>
                </w:r>
              </w:p>
            </w:tc>
            <w:tc>
              <w:tcPr>
                <w:tcW w:w="554" w:type="pct"/>
                <w:tcBorders>
                  <w:top w:val="single" w:sz="4" w:space="0" w:color="auto"/>
                  <w:left w:val="single" w:sz="4" w:space="0" w:color="auto"/>
                  <w:bottom w:val="single" w:sz="4" w:space="0" w:color="auto"/>
                  <w:right w:val="single" w:sz="4" w:space="0" w:color="auto"/>
                </w:tcBorders>
                <w:vAlign w:val="center"/>
              </w:tcPr>
              <w:p w14:paraId="4FAA11FE" w14:textId="77777777" w:rsidR="00471D53" w:rsidRPr="00D523B2" w:rsidRDefault="004F686E" w:rsidP="00471D53">
                <w:pPr>
                  <w:jc w:val="right"/>
                  <w:rPr>
                    <w:sz w:val="15"/>
                    <w:szCs w:val="15"/>
                  </w:rPr>
                </w:pPr>
                <w:r w:rsidRPr="00D523B2">
                  <w:rPr>
                    <w:rFonts w:cs="Calibri"/>
                    <w:bCs/>
                    <w:sz w:val="15"/>
                    <w:szCs w:val="15"/>
                  </w:rPr>
                  <w:t>61,965,614.20</w:t>
                </w:r>
              </w:p>
            </w:tc>
            <w:tc>
              <w:tcPr>
                <w:tcW w:w="256" w:type="pct"/>
                <w:tcBorders>
                  <w:top w:val="single" w:sz="4" w:space="0" w:color="auto"/>
                  <w:left w:val="single" w:sz="4" w:space="0" w:color="auto"/>
                  <w:bottom w:val="single" w:sz="4" w:space="0" w:color="auto"/>
                  <w:right w:val="single" w:sz="4" w:space="0" w:color="auto"/>
                </w:tcBorders>
                <w:vAlign w:val="center"/>
              </w:tcPr>
              <w:p w14:paraId="4A810D4C" w14:textId="77777777" w:rsidR="00471D53" w:rsidRPr="00D523B2" w:rsidRDefault="004F686E" w:rsidP="00471D53">
                <w:pPr>
                  <w:jc w:val="center"/>
                  <w:rPr>
                    <w:bCs/>
                    <w:sz w:val="15"/>
                    <w:szCs w:val="15"/>
                  </w:rPr>
                </w:pPr>
                <w:r w:rsidRPr="00D523B2">
                  <w:rPr>
                    <w:rFonts w:cs="Calibri" w:hint="eastAsia"/>
                    <w:bCs/>
                    <w:sz w:val="15"/>
                    <w:szCs w:val="15"/>
                  </w:rPr>
                  <w:t>—</w:t>
                </w:r>
              </w:p>
            </w:tc>
            <w:tc>
              <w:tcPr>
                <w:tcW w:w="556" w:type="pct"/>
                <w:tcBorders>
                  <w:top w:val="single" w:sz="4" w:space="0" w:color="auto"/>
                  <w:left w:val="single" w:sz="4" w:space="0" w:color="auto"/>
                  <w:bottom w:val="single" w:sz="4" w:space="0" w:color="auto"/>
                  <w:right w:val="single" w:sz="4" w:space="0" w:color="auto"/>
                </w:tcBorders>
                <w:vAlign w:val="center"/>
              </w:tcPr>
              <w:p w14:paraId="53E7F626" w14:textId="77777777" w:rsidR="00471D53" w:rsidRPr="00D523B2" w:rsidRDefault="004F686E" w:rsidP="00471D53">
                <w:pPr>
                  <w:jc w:val="right"/>
                  <w:rPr>
                    <w:sz w:val="15"/>
                    <w:szCs w:val="15"/>
                  </w:rPr>
                </w:pPr>
                <w:r w:rsidRPr="00D523B2">
                  <w:rPr>
                    <w:rFonts w:cs="Calibri"/>
                    <w:bCs/>
                    <w:sz w:val="15"/>
                    <w:szCs w:val="15"/>
                  </w:rPr>
                  <w:t>191,929,152.84</w:t>
                </w:r>
              </w:p>
            </w:tc>
          </w:tr>
        </w:tbl>
        <w:p w14:paraId="5D9B4C9A" w14:textId="77777777" w:rsidR="00471D53" w:rsidRPr="00D523B2" w:rsidRDefault="00B664AF" w:rsidP="00471D53"/>
      </w:sdtContent>
    </w:sdt>
    <w:bookmarkEnd w:id="117"/>
    <w:p w14:paraId="77A885D7" w14:textId="77777777" w:rsidR="00471D53" w:rsidRDefault="00B664AF">
      <w:pPr>
        <w:autoSpaceDE w:val="0"/>
        <w:autoSpaceDN w:val="0"/>
        <w:adjustRightInd w:val="0"/>
        <w:ind w:right="105"/>
        <w:rPr>
          <w:szCs w:val="21"/>
        </w:rPr>
      </w:pPr>
    </w:p>
    <w:bookmarkStart w:id="118" w:name="_Hlk10467187" w:displacedByCustomXml="next"/>
    <w:bookmarkStart w:id="119" w:name="_Hlk10467200" w:displacedByCustomXml="next"/>
    <w:sdt>
      <w:sdtPr>
        <w:rPr>
          <w:rFonts w:hint="eastAsia"/>
          <w:szCs w:val="21"/>
        </w:rPr>
        <w:alias w:val="模块:按单项计提坏账准备："/>
        <w:tag w:val="_SEC_498beef22f03474fa398c526ee8a934d"/>
        <w:id w:val="-328682279"/>
        <w:lock w:val="sdtLocked"/>
        <w:placeholder>
          <w:docPart w:val="GBC22222222222222222222222222222"/>
        </w:placeholder>
      </w:sdtPr>
      <w:sdtEndPr>
        <w:rPr>
          <w:rFonts w:hint="default"/>
          <w:szCs w:val="24"/>
        </w:rPr>
      </w:sdtEndPr>
      <w:sdtContent>
        <w:bookmarkEnd w:id="118" w:displacedByCustomXml="prev"/>
        <w:p w14:paraId="172388DC" w14:textId="77777777" w:rsidR="00471D53" w:rsidRDefault="004F686E">
          <w:pPr>
            <w:rPr>
              <w:szCs w:val="21"/>
            </w:rPr>
          </w:pPr>
          <w:r>
            <w:rPr>
              <w:rFonts w:hint="eastAsia"/>
              <w:szCs w:val="21"/>
            </w:rPr>
            <w:t>按单项计提坏账准备：</w:t>
          </w:r>
        </w:p>
        <w:sdt>
          <w:sdtPr>
            <w:rPr>
              <w:rFonts w:hint="eastAsia"/>
            </w:rPr>
            <w:alias w:val="是否适用：按单项计提坏账准备的应收账款详细情况[双击切换]"/>
            <w:tag w:val="_GBC_e07c01cfb2fe4b05a2bb603b7f914946"/>
            <w:id w:val="-267160764"/>
            <w:lock w:val="sdtLocked"/>
          </w:sdtPr>
          <w:sdtEndPr/>
          <w:sdtContent>
            <w:p w14:paraId="49462E39"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57D752E" w14:textId="00CCD072" w:rsidR="00471D53" w:rsidRDefault="004F686E">
          <w:pPr>
            <w:autoSpaceDE w:val="0"/>
            <w:autoSpaceDN w:val="0"/>
            <w:adjustRightInd w:val="0"/>
            <w:ind w:left="5880" w:right="105"/>
            <w:jc w:val="right"/>
            <w:rPr>
              <w:szCs w:val="21"/>
            </w:rPr>
          </w:pPr>
          <w:r>
            <w:rPr>
              <w:rFonts w:hint="eastAsia"/>
              <w:szCs w:val="21"/>
            </w:rPr>
            <w:t>单位：</w:t>
          </w:r>
          <w:sdt>
            <w:sdtPr>
              <w:rPr>
                <w:rFonts w:hint="eastAsia"/>
                <w:szCs w:val="21"/>
              </w:rPr>
              <w:alias w:val="单位：按单项计提坏账准备的应收账款详细情况"/>
              <w:tag w:val="_GBC_5737c621553040588c35a299b21bda52"/>
              <w:id w:val="1305969104"/>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按单项计提坏账准备的应收账款详细情况"/>
              <w:tag w:val="_GBC_b6cb9fb35a4a4033912355f7cb997afb"/>
              <w:id w:val="1785689929"/>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48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3"/>
            <w:gridCol w:w="1629"/>
            <w:gridCol w:w="1581"/>
            <w:gridCol w:w="1372"/>
            <w:gridCol w:w="2200"/>
          </w:tblGrid>
          <w:tr w:rsidR="00471D53" w14:paraId="52B861D3" w14:textId="77777777" w:rsidTr="00471D53">
            <w:sdt>
              <w:sdtPr>
                <w:tag w:val="_PLD_886503527dee421ca2c31b493a41ab31"/>
                <w:id w:val="2055965354"/>
                <w:lock w:val="sdtLocked"/>
              </w:sdtPr>
              <w:sdtEndPr/>
              <w:sdtContent>
                <w:tc>
                  <w:tcPr>
                    <w:tcW w:w="1500" w:type="pct"/>
                    <w:vMerge w:val="restart"/>
                    <w:vAlign w:val="center"/>
                  </w:tcPr>
                  <w:p w14:paraId="4DDD4311" w14:textId="77777777" w:rsidR="00471D53" w:rsidRDefault="004F686E" w:rsidP="00471D53">
                    <w:pPr>
                      <w:jc w:val="center"/>
                      <w:rPr>
                        <w:szCs w:val="21"/>
                      </w:rPr>
                    </w:pPr>
                    <w:r>
                      <w:rPr>
                        <w:rFonts w:hint="eastAsia"/>
                        <w:szCs w:val="21"/>
                      </w:rPr>
                      <w:t>名称</w:t>
                    </w:r>
                  </w:p>
                </w:tc>
              </w:sdtContent>
            </w:sdt>
            <w:sdt>
              <w:sdtPr>
                <w:tag w:val="_PLD_e08f6e696f224538a07af6226cb97b93"/>
                <w:id w:val="64461530"/>
                <w:lock w:val="sdtLocked"/>
              </w:sdtPr>
              <w:sdtEndPr/>
              <w:sdtContent>
                <w:tc>
                  <w:tcPr>
                    <w:tcW w:w="3500" w:type="pct"/>
                    <w:gridSpan w:val="4"/>
                    <w:vAlign w:val="center"/>
                  </w:tcPr>
                  <w:p w14:paraId="4AC8B5D3" w14:textId="77777777" w:rsidR="00471D53" w:rsidRDefault="004F686E" w:rsidP="00471D53">
                    <w:pPr>
                      <w:jc w:val="center"/>
                      <w:rPr>
                        <w:szCs w:val="21"/>
                      </w:rPr>
                    </w:pPr>
                    <w:r>
                      <w:rPr>
                        <w:rFonts w:hint="eastAsia"/>
                        <w:szCs w:val="21"/>
                      </w:rPr>
                      <w:t>期末余额</w:t>
                    </w:r>
                  </w:p>
                </w:tc>
              </w:sdtContent>
            </w:sdt>
          </w:tr>
          <w:tr w:rsidR="00471D53" w14:paraId="5E6794B4" w14:textId="77777777" w:rsidTr="00471D53">
            <w:tc>
              <w:tcPr>
                <w:tcW w:w="1500" w:type="pct"/>
                <w:vMerge/>
              </w:tcPr>
              <w:p w14:paraId="068DB6D8" w14:textId="77777777" w:rsidR="00471D53" w:rsidRDefault="00B664AF" w:rsidP="00471D53">
                <w:pPr>
                  <w:jc w:val="center"/>
                  <w:rPr>
                    <w:szCs w:val="21"/>
                  </w:rPr>
                </w:pPr>
              </w:p>
            </w:tc>
            <w:sdt>
              <w:sdtPr>
                <w:tag w:val="_PLD_464a1be46d05424da4883a8442e8eecd"/>
                <w:id w:val="-336932511"/>
                <w:lock w:val="sdtLocked"/>
              </w:sdtPr>
              <w:sdtEndPr/>
              <w:sdtContent>
                <w:tc>
                  <w:tcPr>
                    <w:tcW w:w="847" w:type="pct"/>
                    <w:vAlign w:val="center"/>
                  </w:tcPr>
                  <w:p w14:paraId="05AC321F" w14:textId="77777777" w:rsidR="00471D53" w:rsidRDefault="004F686E" w:rsidP="00471D53">
                    <w:pPr>
                      <w:jc w:val="center"/>
                      <w:rPr>
                        <w:szCs w:val="21"/>
                      </w:rPr>
                    </w:pPr>
                    <w:r>
                      <w:rPr>
                        <w:rFonts w:hint="eastAsia"/>
                        <w:szCs w:val="21"/>
                      </w:rPr>
                      <w:t>账面余额</w:t>
                    </w:r>
                  </w:p>
                </w:tc>
              </w:sdtContent>
            </w:sdt>
            <w:sdt>
              <w:sdtPr>
                <w:tag w:val="_PLD_3d0d70541d9a48beb1c29f819592f107"/>
                <w:id w:val="-608046063"/>
                <w:lock w:val="sdtLocked"/>
              </w:sdtPr>
              <w:sdtEndPr/>
              <w:sdtContent>
                <w:tc>
                  <w:tcPr>
                    <w:tcW w:w="797" w:type="pct"/>
                    <w:vAlign w:val="center"/>
                  </w:tcPr>
                  <w:p w14:paraId="341A5135" w14:textId="77777777" w:rsidR="00471D53" w:rsidRDefault="004F686E" w:rsidP="00471D53">
                    <w:pPr>
                      <w:jc w:val="center"/>
                      <w:rPr>
                        <w:szCs w:val="21"/>
                      </w:rPr>
                    </w:pPr>
                    <w:r>
                      <w:rPr>
                        <w:rFonts w:hint="eastAsia"/>
                        <w:szCs w:val="21"/>
                      </w:rPr>
                      <w:t>坏账准备</w:t>
                    </w:r>
                  </w:p>
                </w:tc>
              </w:sdtContent>
            </w:sdt>
            <w:sdt>
              <w:sdtPr>
                <w:tag w:val="_PLD_76393245336e41aa891aec8c50271105"/>
                <w:id w:val="-1557918267"/>
                <w:lock w:val="sdtLocked"/>
              </w:sdtPr>
              <w:sdtEndPr/>
              <w:sdtContent>
                <w:tc>
                  <w:tcPr>
                    <w:tcW w:w="714" w:type="pct"/>
                    <w:vAlign w:val="center"/>
                  </w:tcPr>
                  <w:p w14:paraId="52AC1B6F" w14:textId="77777777" w:rsidR="00471D53" w:rsidRDefault="004F686E" w:rsidP="00471D53">
                    <w:pPr>
                      <w:jc w:val="center"/>
                      <w:rPr>
                        <w:szCs w:val="21"/>
                      </w:rPr>
                    </w:pPr>
                    <w:r>
                      <w:rPr>
                        <w:szCs w:val="21"/>
                      </w:rPr>
                      <w:t>计提比例</w:t>
                    </w:r>
                    <w:r>
                      <w:rPr>
                        <w:rFonts w:hint="eastAsia"/>
                        <w:szCs w:val="21"/>
                      </w:rPr>
                      <w:t>（%）</w:t>
                    </w:r>
                  </w:p>
                </w:tc>
              </w:sdtContent>
            </w:sdt>
            <w:sdt>
              <w:sdtPr>
                <w:tag w:val="_PLD_950e8014be3245d1a45783884c32208d"/>
                <w:id w:val="-1814865635"/>
                <w:lock w:val="sdtLocked"/>
              </w:sdtPr>
              <w:sdtEndPr/>
              <w:sdtContent>
                <w:tc>
                  <w:tcPr>
                    <w:tcW w:w="1142" w:type="pct"/>
                    <w:vAlign w:val="center"/>
                  </w:tcPr>
                  <w:p w14:paraId="29C1E7D5" w14:textId="77777777" w:rsidR="00471D53" w:rsidRDefault="004F686E" w:rsidP="00471D53">
                    <w:pPr>
                      <w:jc w:val="center"/>
                      <w:rPr>
                        <w:szCs w:val="21"/>
                      </w:rPr>
                    </w:pPr>
                    <w:r>
                      <w:rPr>
                        <w:rFonts w:hint="eastAsia"/>
                        <w:szCs w:val="21"/>
                      </w:rPr>
                      <w:t>计提理由</w:t>
                    </w:r>
                  </w:p>
                </w:tc>
              </w:sdtContent>
            </w:sdt>
          </w:tr>
          <w:sdt>
            <w:sdtPr>
              <w:rPr>
                <w:szCs w:val="21"/>
              </w:rPr>
              <w:alias w:val="按单项计提坏账准备的应收账款详细名称明细"/>
              <w:tag w:val="_TUP_669c106056fb4de3b5f357a932630dad"/>
              <w:id w:val="-79305305"/>
              <w:lock w:val="sdtLocked"/>
            </w:sdtPr>
            <w:sdtEndPr/>
            <w:sdtContent>
              <w:tr w:rsidR="00471D53" w14:paraId="1EE169F5" w14:textId="77777777" w:rsidTr="00471D53">
                <w:tc>
                  <w:tcPr>
                    <w:tcW w:w="1500" w:type="pct"/>
                  </w:tcPr>
                  <w:p w14:paraId="46C0AA30" w14:textId="77777777" w:rsidR="00471D53" w:rsidRDefault="004F686E" w:rsidP="00471D53">
                    <w:pPr>
                      <w:rPr>
                        <w:szCs w:val="21"/>
                      </w:rPr>
                    </w:pPr>
                    <w:r>
                      <w:t>天津铭诚气体销售有限公司</w:t>
                    </w:r>
                  </w:p>
                </w:tc>
                <w:tc>
                  <w:tcPr>
                    <w:tcW w:w="847" w:type="pct"/>
                  </w:tcPr>
                  <w:p w14:paraId="684DC362" w14:textId="77777777" w:rsidR="00471D53" w:rsidRDefault="004F686E" w:rsidP="00471D53">
                    <w:pPr>
                      <w:jc w:val="right"/>
                      <w:rPr>
                        <w:szCs w:val="21"/>
                      </w:rPr>
                    </w:pPr>
                    <w:r>
                      <w:t>5,075,527.29</w:t>
                    </w:r>
                  </w:p>
                </w:tc>
                <w:tc>
                  <w:tcPr>
                    <w:tcW w:w="797" w:type="pct"/>
                  </w:tcPr>
                  <w:p w14:paraId="0A4D7F8A" w14:textId="77777777" w:rsidR="00471D53" w:rsidRDefault="004F686E" w:rsidP="00471D53">
                    <w:pPr>
                      <w:jc w:val="right"/>
                      <w:rPr>
                        <w:szCs w:val="21"/>
                      </w:rPr>
                    </w:pPr>
                    <w:r>
                      <w:t>5,075,527.29</w:t>
                    </w:r>
                  </w:p>
                </w:tc>
                <w:tc>
                  <w:tcPr>
                    <w:tcW w:w="714" w:type="pct"/>
                  </w:tcPr>
                  <w:p w14:paraId="5A228B0D" w14:textId="77777777" w:rsidR="00471D53" w:rsidRDefault="004F686E" w:rsidP="00471D53">
                    <w:pPr>
                      <w:jc w:val="right"/>
                      <w:rPr>
                        <w:szCs w:val="21"/>
                      </w:rPr>
                    </w:pPr>
                    <w:r>
                      <w:t>100.00</w:t>
                    </w:r>
                  </w:p>
                </w:tc>
                <w:tc>
                  <w:tcPr>
                    <w:tcW w:w="1142" w:type="pct"/>
                  </w:tcPr>
                  <w:p w14:paraId="7A3D5B38" w14:textId="77777777" w:rsidR="00471D53" w:rsidRDefault="004F686E" w:rsidP="00471D53">
                    <w:pPr>
                      <w:rPr>
                        <w:szCs w:val="21"/>
                      </w:rPr>
                    </w:pPr>
                    <w:r w:rsidRPr="00676D61">
                      <w:rPr>
                        <w:rFonts w:hint="eastAsia"/>
                        <w:szCs w:val="21"/>
                      </w:rPr>
                      <w:t>交易对象信用评级下降，信用风险显著增加</w:t>
                    </w:r>
                  </w:p>
                </w:tc>
              </w:tr>
            </w:sdtContent>
          </w:sdt>
          <w:sdt>
            <w:sdtPr>
              <w:rPr>
                <w:szCs w:val="21"/>
              </w:rPr>
              <w:alias w:val="按单项计提坏账准备的应收账款详细名称明细"/>
              <w:tag w:val="_TUP_669c106056fb4de3b5f357a932630dad"/>
              <w:id w:val="-1270776450"/>
              <w:lock w:val="sdtLocked"/>
            </w:sdtPr>
            <w:sdtEndPr/>
            <w:sdtContent>
              <w:tr w:rsidR="00471D53" w14:paraId="4FA11603" w14:textId="77777777" w:rsidTr="00471D53">
                <w:tc>
                  <w:tcPr>
                    <w:tcW w:w="1500" w:type="pct"/>
                  </w:tcPr>
                  <w:p w14:paraId="275C2D46" w14:textId="77777777" w:rsidR="00471D53" w:rsidRDefault="004F686E" w:rsidP="00471D53">
                    <w:pPr>
                      <w:rPr>
                        <w:szCs w:val="21"/>
                      </w:rPr>
                    </w:pPr>
                    <w:r>
                      <w:t>大运汽车股份有限公司</w:t>
                    </w:r>
                  </w:p>
                </w:tc>
                <w:tc>
                  <w:tcPr>
                    <w:tcW w:w="847" w:type="pct"/>
                  </w:tcPr>
                  <w:p w14:paraId="164198F8" w14:textId="77777777" w:rsidR="00471D53" w:rsidRDefault="004F686E" w:rsidP="00471D53">
                    <w:pPr>
                      <w:jc w:val="right"/>
                      <w:rPr>
                        <w:szCs w:val="21"/>
                      </w:rPr>
                    </w:pPr>
                    <w:r>
                      <w:t>4,452,641.17</w:t>
                    </w:r>
                  </w:p>
                </w:tc>
                <w:tc>
                  <w:tcPr>
                    <w:tcW w:w="797" w:type="pct"/>
                  </w:tcPr>
                  <w:p w14:paraId="6D9620F5" w14:textId="77777777" w:rsidR="00471D53" w:rsidRDefault="004F686E" w:rsidP="00471D53">
                    <w:pPr>
                      <w:jc w:val="right"/>
                      <w:rPr>
                        <w:szCs w:val="21"/>
                      </w:rPr>
                    </w:pPr>
                    <w:r>
                      <w:t>4,452,641.17</w:t>
                    </w:r>
                  </w:p>
                </w:tc>
                <w:tc>
                  <w:tcPr>
                    <w:tcW w:w="714" w:type="pct"/>
                  </w:tcPr>
                  <w:p w14:paraId="337B400E" w14:textId="77777777" w:rsidR="00471D53" w:rsidRDefault="004F686E" w:rsidP="00471D53">
                    <w:pPr>
                      <w:jc w:val="right"/>
                      <w:rPr>
                        <w:szCs w:val="21"/>
                      </w:rPr>
                    </w:pPr>
                    <w:r>
                      <w:t>100.00</w:t>
                    </w:r>
                  </w:p>
                </w:tc>
                <w:tc>
                  <w:tcPr>
                    <w:tcW w:w="1142" w:type="pct"/>
                  </w:tcPr>
                  <w:p w14:paraId="1A55260A" w14:textId="77777777" w:rsidR="00471D53" w:rsidRDefault="004F686E" w:rsidP="00471D53">
                    <w:pPr>
                      <w:rPr>
                        <w:szCs w:val="21"/>
                      </w:rPr>
                    </w:pPr>
                    <w:r w:rsidRPr="005651B5">
                      <w:rPr>
                        <w:rFonts w:hint="eastAsia"/>
                        <w:szCs w:val="21"/>
                      </w:rPr>
                      <w:t>交易对象信用评级下降，信用风险显著增加</w:t>
                    </w:r>
                  </w:p>
                </w:tc>
              </w:tr>
            </w:sdtContent>
          </w:sdt>
          <w:sdt>
            <w:sdtPr>
              <w:rPr>
                <w:szCs w:val="21"/>
              </w:rPr>
              <w:alias w:val="按单项计提坏账准备的应收账款详细名称明细"/>
              <w:tag w:val="_TUP_669c106056fb4de3b5f357a932630dad"/>
              <w:id w:val="-1703468370"/>
              <w:lock w:val="sdtLocked"/>
            </w:sdtPr>
            <w:sdtEndPr/>
            <w:sdtContent>
              <w:tr w:rsidR="00471D53" w14:paraId="241592ED" w14:textId="77777777" w:rsidTr="00471D53">
                <w:tc>
                  <w:tcPr>
                    <w:tcW w:w="1500" w:type="pct"/>
                  </w:tcPr>
                  <w:p w14:paraId="7F6F89B7" w14:textId="77777777" w:rsidR="00471D53" w:rsidRDefault="004F686E" w:rsidP="00471D53">
                    <w:pPr>
                      <w:rPr>
                        <w:szCs w:val="21"/>
                      </w:rPr>
                    </w:pPr>
                    <w:r>
                      <w:t>四川恒瑞丰国际贸易有限公司</w:t>
                    </w:r>
                  </w:p>
                </w:tc>
                <w:tc>
                  <w:tcPr>
                    <w:tcW w:w="847" w:type="pct"/>
                  </w:tcPr>
                  <w:p w14:paraId="75033281" w14:textId="77777777" w:rsidR="00471D53" w:rsidRDefault="004F686E" w:rsidP="00471D53">
                    <w:pPr>
                      <w:jc w:val="right"/>
                      <w:rPr>
                        <w:szCs w:val="21"/>
                      </w:rPr>
                    </w:pPr>
                    <w:r>
                      <w:t>4,238,181.00</w:t>
                    </w:r>
                  </w:p>
                </w:tc>
                <w:tc>
                  <w:tcPr>
                    <w:tcW w:w="797" w:type="pct"/>
                  </w:tcPr>
                  <w:p w14:paraId="16B576FA" w14:textId="77777777" w:rsidR="00471D53" w:rsidRDefault="004F686E" w:rsidP="00471D53">
                    <w:pPr>
                      <w:jc w:val="right"/>
                      <w:rPr>
                        <w:szCs w:val="21"/>
                      </w:rPr>
                    </w:pPr>
                    <w:r>
                      <w:t>4,238,181.00</w:t>
                    </w:r>
                  </w:p>
                </w:tc>
                <w:tc>
                  <w:tcPr>
                    <w:tcW w:w="714" w:type="pct"/>
                  </w:tcPr>
                  <w:p w14:paraId="4AA20EE4" w14:textId="77777777" w:rsidR="00471D53" w:rsidRDefault="004F686E" w:rsidP="00471D53">
                    <w:pPr>
                      <w:jc w:val="right"/>
                      <w:rPr>
                        <w:szCs w:val="21"/>
                      </w:rPr>
                    </w:pPr>
                    <w:r>
                      <w:t>100.00</w:t>
                    </w:r>
                  </w:p>
                </w:tc>
                <w:tc>
                  <w:tcPr>
                    <w:tcW w:w="1142" w:type="pct"/>
                  </w:tcPr>
                  <w:p w14:paraId="462211E7" w14:textId="77777777" w:rsidR="00471D53" w:rsidRDefault="004F686E" w:rsidP="00471D53">
                    <w:pPr>
                      <w:rPr>
                        <w:szCs w:val="21"/>
                      </w:rPr>
                    </w:pPr>
                    <w:r w:rsidRPr="005651B5">
                      <w:rPr>
                        <w:rFonts w:hint="eastAsia"/>
                        <w:szCs w:val="21"/>
                      </w:rPr>
                      <w:t>交易对象信用评级下降，信用风险显著增加</w:t>
                    </w:r>
                  </w:p>
                </w:tc>
              </w:tr>
            </w:sdtContent>
          </w:sdt>
          <w:sdt>
            <w:sdtPr>
              <w:rPr>
                <w:szCs w:val="21"/>
              </w:rPr>
              <w:alias w:val="按单项计提坏账准备的应收账款详细名称明细"/>
              <w:tag w:val="_TUP_669c106056fb4de3b5f357a932630dad"/>
              <w:id w:val="-1040131472"/>
              <w:lock w:val="sdtLocked"/>
            </w:sdtPr>
            <w:sdtEndPr/>
            <w:sdtContent>
              <w:tr w:rsidR="00471D53" w14:paraId="01BF6E8E" w14:textId="77777777" w:rsidTr="00471D53">
                <w:tc>
                  <w:tcPr>
                    <w:tcW w:w="1500" w:type="pct"/>
                  </w:tcPr>
                  <w:p w14:paraId="46447321" w14:textId="77777777" w:rsidR="00471D53" w:rsidRDefault="004F686E" w:rsidP="00471D53">
                    <w:pPr>
                      <w:rPr>
                        <w:szCs w:val="21"/>
                      </w:rPr>
                    </w:pPr>
                    <w:r>
                      <w:t>上海琦高工贸有限公司</w:t>
                    </w:r>
                  </w:p>
                </w:tc>
                <w:tc>
                  <w:tcPr>
                    <w:tcW w:w="847" w:type="pct"/>
                  </w:tcPr>
                  <w:p w14:paraId="4B01A542" w14:textId="77777777" w:rsidR="00471D53" w:rsidRDefault="004F686E" w:rsidP="00471D53">
                    <w:pPr>
                      <w:jc w:val="right"/>
                      <w:rPr>
                        <w:szCs w:val="21"/>
                      </w:rPr>
                    </w:pPr>
                    <w:r>
                      <w:t>4,098,933.78</w:t>
                    </w:r>
                  </w:p>
                </w:tc>
                <w:tc>
                  <w:tcPr>
                    <w:tcW w:w="797" w:type="pct"/>
                  </w:tcPr>
                  <w:p w14:paraId="192DC0E0" w14:textId="77777777" w:rsidR="00471D53" w:rsidRDefault="004F686E" w:rsidP="00471D53">
                    <w:pPr>
                      <w:jc w:val="right"/>
                      <w:rPr>
                        <w:szCs w:val="21"/>
                      </w:rPr>
                    </w:pPr>
                    <w:r>
                      <w:t>4,098,933.78</w:t>
                    </w:r>
                  </w:p>
                </w:tc>
                <w:tc>
                  <w:tcPr>
                    <w:tcW w:w="714" w:type="pct"/>
                  </w:tcPr>
                  <w:p w14:paraId="0B4D1A6F" w14:textId="77777777" w:rsidR="00471D53" w:rsidRDefault="004F686E" w:rsidP="00471D53">
                    <w:pPr>
                      <w:jc w:val="right"/>
                      <w:rPr>
                        <w:szCs w:val="21"/>
                      </w:rPr>
                    </w:pPr>
                    <w:r>
                      <w:t>100.00</w:t>
                    </w:r>
                  </w:p>
                </w:tc>
                <w:tc>
                  <w:tcPr>
                    <w:tcW w:w="1142" w:type="pct"/>
                  </w:tcPr>
                  <w:p w14:paraId="27FBCBA0" w14:textId="77777777" w:rsidR="00471D53" w:rsidRDefault="004F686E" w:rsidP="00471D53">
                    <w:pPr>
                      <w:rPr>
                        <w:szCs w:val="21"/>
                      </w:rPr>
                    </w:pPr>
                    <w:r w:rsidRPr="005651B5">
                      <w:rPr>
                        <w:rFonts w:hint="eastAsia"/>
                        <w:szCs w:val="21"/>
                      </w:rPr>
                      <w:t>交易对象信用评级下降，信用风险显著增加</w:t>
                    </w:r>
                  </w:p>
                </w:tc>
              </w:tr>
            </w:sdtContent>
          </w:sdt>
          <w:sdt>
            <w:sdtPr>
              <w:rPr>
                <w:szCs w:val="21"/>
              </w:rPr>
              <w:alias w:val="按单项计提坏账准备的应收账款详细名称明细"/>
              <w:tag w:val="_TUP_669c106056fb4de3b5f357a932630dad"/>
              <w:id w:val="1881512284"/>
              <w:lock w:val="sdtLocked"/>
            </w:sdtPr>
            <w:sdtEndPr/>
            <w:sdtContent>
              <w:tr w:rsidR="00471D53" w14:paraId="3EAB945F" w14:textId="77777777" w:rsidTr="00471D53">
                <w:tc>
                  <w:tcPr>
                    <w:tcW w:w="1500" w:type="pct"/>
                  </w:tcPr>
                  <w:p w14:paraId="7C70E6E1" w14:textId="77777777" w:rsidR="00471D53" w:rsidRDefault="004F686E" w:rsidP="00471D53">
                    <w:pPr>
                      <w:rPr>
                        <w:szCs w:val="21"/>
                      </w:rPr>
                    </w:pPr>
                    <w:r>
                      <w:t>临汾市金百丰新能源科技有限公司</w:t>
                    </w:r>
                  </w:p>
                </w:tc>
                <w:tc>
                  <w:tcPr>
                    <w:tcW w:w="847" w:type="pct"/>
                  </w:tcPr>
                  <w:p w14:paraId="12564651" w14:textId="77777777" w:rsidR="00471D53" w:rsidRDefault="004F686E" w:rsidP="00471D53">
                    <w:pPr>
                      <w:jc w:val="right"/>
                      <w:rPr>
                        <w:szCs w:val="21"/>
                      </w:rPr>
                    </w:pPr>
                    <w:r>
                      <w:t>3,003,220.00</w:t>
                    </w:r>
                  </w:p>
                </w:tc>
                <w:tc>
                  <w:tcPr>
                    <w:tcW w:w="797" w:type="pct"/>
                  </w:tcPr>
                  <w:p w14:paraId="12D45F94" w14:textId="77777777" w:rsidR="00471D53" w:rsidRDefault="004F686E" w:rsidP="00471D53">
                    <w:pPr>
                      <w:jc w:val="right"/>
                      <w:rPr>
                        <w:szCs w:val="21"/>
                      </w:rPr>
                    </w:pPr>
                    <w:r>
                      <w:t>3,003,220.00</w:t>
                    </w:r>
                  </w:p>
                </w:tc>
                <w:tc>
                  <w:tcPr>
                    <w:tcW w:w="714" w:type="pct"/>
                  </w:tcPr>
                  <w:p w14:paraId="7863758C" w14:textId="77777777" w:rsidR="00471D53" w:rsidRDefault="004F686E" w:rsidP="00471D53">
                    <w:pPr>
                      <w:jc w:val="right"/>
                      <w:rPr>
                        <w:szCs w:val="21"/>
                      </w:rPr>
                    </w:pPr>
                    <w:r>
                      <w:t>100.00</w:t>
                    </w:r>
                  </w:p>
                </w:tc>
                <w:tc>
                  <w:tcPr>
                    <w:tcW w:w="1142" w:type="pct"/>
                  </w:tcPr>
                  <w:p w14:paraId="1AA17253" w14:textId="77777777" w:rsidR="00471D53" w:rsidRDefault="004F686E" w:rsidP="00471D53">
                    <w:pPr>
                      <w:rPr>
                        <w:szCs w:val="21"/>
                      </w:rPr>
                    </w:pPr>
                    <w:r w:rsidRPr="005651B5">
                      <w:rPr>
                        <w:rFonts w:hint="eastAsia"/>
                        <w:szCs w:val="21"/>
                      </w:rPr>
                      <w:t>交易对象信用评级下降，信用风险显著增加</w:t>
                    </w:r>
                  </w:p>
                </w:tc>
              </w:tr>
            </w:sdtContent>
          </w:sdt>
          <w:sdt>
            <w:sdtPr>
              <w:rPr>
                <w:szCs w:val="21"/>
              </w:rPr>
              <w:alias w:val="按单项计提坏账准备的应收账款详细名称明细"/>
              <w:tag w:val="_TUP_669c106056fb4de3b5f357a932630dad"/>
              <w:id w:val="-1309245352"/>
              <w:lock w:val="sdtLocked"/>
            </w:sdtPr>
            <w:sdtEndPr/>
            <w:sdtContent>
              <w:tr w:rsidR="00471D53" w14:paraId="6413585A" w14:textId="77777777" w:rsidTr="00471D53">
                <w:tc>
                  <w:tcPr>
                    <w:tcW w:w="1500" w:type="pct"/>
                  </w:tcPr>
                  <w:p w14:paraId="06B3F9FF" w14:textId="77777777" w:rsidR="00471D53" w:rsidRDefault="004F686E" w:rsidP="00471D53">
                    <w:pPr>
                      <w:rPr>
                        <w:szCs w:val="21"/>
                      </w:rPr>
                    </w:pPr>
                    <w:r>
                      <w:t>吕梁市东森燃气能源有限公司</w:t>
                    </w:r>
                  </w:p>
                </w:tc>
                <w:tc>
                  <w:tcPr>
                    <w:tcW w:w="847" w:type="pct"/>
                  </w:tcPr>
                  <w:p w14:paraId="418A6D59" w14:textId="77777777" w:rsidR="00471D53" w:rsidRDefault="004F686E" w:rsidP="00471D53">
                    <w:pPr>
                      <w:jc w:val="right"/>
                      <w:rPr>
                        <w:szCs w:val="21"/>
                      </w:rPr>
                    </w:pPr>
                    <w:r>
                      <w:t>2,440,000.00</w:t>
                    </w:r>
                  </w:p>
                </w:tc>
                <w:tc>
                  <w:tcPr>
                    <w:tcW w:w="797" w:type="pct"/>
                  </w:tcPr>
                  <w:p w14:paraId="7691D4A2" w14:textId="77777777" w:rsidR="00471D53" w:rsidRDefault="004F686E" w:rsidP="00471D53">
                    <w:pPr>
                      <w:jc w:val="right"/>
                      <w:rPr>
                        <w:szCs w:val="21"/>
                      </w:rPr>
                    </w:pPr>
                    <w:r>
                      <w:t>2,440,000.00</w:t>
                    </w:r>
                  </w:p>
                </w:tc>
                <w:tc>
                  <w:tcPr>
                    <w:tcW w:w="714" w:type="pct"/>
                  </w:tcPr>
                  <w:p w14:paraId="53973ADE" w14:textId="77777777" w:rsidR="00471D53" w:rsidRDefault="004F686E" w:rsidP="00471D53">
                    <w:pPr>
                      <w:jc w:val="right"/>
                      <w:rPr>
                        <w:szCs w:val="21"/>
                      </w:rPr>
                    </w:pPr>
                    <w:r>
                      <w:t>100.00</w:t>
                    </w:r>
                  </w:p>
                </w:tc>
                <w:tc>
                  <w:tcPr>
                    <w:tcW w:w="1142" w:type="pct"/>
                  </w:tcPr>
                  <w:p w14:paraId="6BBA45C4" w14:textId="77777777" w:rsidR="00471D53" w:rsidRDefault="004F686E" w:rsidP="00471D53">
                    <w:pPr>
                      <w:rPr>
                        <w:szCs w:val="21"/>
                      </w:rPr>
                    </w:pPr>
                    <w:r w:rsidRPr="005651B5">
                      <w:rPr>
                        <w:rFonts w:hint="eastAsia"/>
                        <w:szCs w:val="21"/>
                      </w:rPr>
                      <w:t>交易对象信用评级下降，信用风险显著增加</w:t>
                    </w:r>
                  </w:p>
                </w:tc>
              </w:tr>
            </w:sdtContent>
          </w:sdt>
          <w:sdt>
            <w:sdtPr>
              <w:rPr>
                <w:szCs w:val="21"/>
              </w:rPr>
              <w:alias w:val="按单项计提坏账准备的应收账款详细名称明细"/>
              <w:tag w:val="_TUP_669c106056fb4de3b5f357a932630dad"/>
              <w:id w:val="170467992"/>
              <w:lock w:val="sdtLocked"/>
            </w:sdtPr>
            <w:sdtEndPr/>
            <w:sdtContent>
              <w:tr w:rsidR="00471D53" w14:paraId="7AE76A92" w14:textId="77777777" w:rsidTr="00471D53">
                <w:tc>
                  <w:tcPr>
                    <w:tcW w:w="1500" w:type="pct"/>
                  </w:tcPr>
                  <w:p w14:paraId="39F3F053" w14:textId="77777777" w:rsidR="00471D53" w:rsidRDefault="004F686E" w:rsidP="00471D53">
                    <w:pPr>
                      <w:rPr>
                        <w:szCs w:val="21"/>
                      </w:rPr>
                    </w:pPr>
                    <w:r>
                      <w:t>包头市瑞明化工科技有限公司</w:t>
                    </w:r>
                  </w:p>
                </w:tc>
                <w:tc>
                  <w:tcPr>
                    <w:tcW w:w="847" w:type="pct"/>
                  </w:tcPr>
                  <w:p w14:paraId="5E577E8F" w14:textId="77777777" w:rsidR="00471D53" w:rsidRDefault="004F686E" w:rsidP="00471D53">
                    <w:pPr>
                      <w:jc w:val="right"/>
                      <w:rPr>
                        <w:szCs w:val="21"/>
                      </w:rPr>
                    </w:pPr>
                    <w:r>
                      <w:t>2,395,213.90</w:t>
                    </w:r>
                  </w:p>
                </w:tc>
                <w:tc>
                  <w:tcPr>
                    <w:tcW w:w="797" w:type="pct"/>
                  </w:tcPr>
                  <w:p w14:paraId="5D9F2F0E" w14:textId="77777777" w:rsidR="00471D53" w:rsidRDefault="004F686E" w:rsidP="00471D53">
                    <w:pPr>
                      <w:jc w:val="right"/>
                      <w:rPr>
                        <w:szCs w:val="21"/>
                      </w:rPr>
                    </w:pPr>
                    <w:r>
                      <w:t>2,395,213.90</w:t>
                    </w:r>
                  </w:p>
                </w:tc>
                <w:tc>
                  <w:tcPr>
                    <w:tcW w:w="714" w:type="pct"/>
                  </w:tcPr>
                  <w:p w14:paraId="3EDD16A2" w14:textId="77777777" w:rsidR="00471D53" w:rsidRDefault="004F686E" w:rsidP="00471D53">
                    <w:pPr>
                      <w:jc w:val="right"/>
                      <w:rPr>
                        <w:szCs w:val="21"/>
                      </w:rPr>
                    </w:pPr>
                    <w:r>
                      <w:t>100.00</w:t>
                    </w:r>
                  </w:p>
                </w:tc>
                <w:tc>
                  <w:tcPr>
                    <w:tcW w:w="1142" w:type="pct"/>
                  </w:tcPr>
                  <w:p w14:paraId="42BA29EE" w14:textId="77777777" w:rsidR="00471D53" w:rsidRDefault="004F686E" w:rsidP="00471D53">
                    <w:pPr>
                      <w:rPr>
                        <w:szCs w:val="21"/>
                      </w:rPr>
                    </w:pPr>
                    <w:r w:rsidRPr="005651B5">
                      <w:rPr>
                        <w:rFonts w:hint="eastAsia"/>
                        <w:szCs w:val="21"/>
                      </w:rPr>
                      <w:t>交易对象信用评级下降，信用风险显著增加</w:t>
                    </w:r>
                  </w:p>
                </w:tc>
              </w:tr>
            </w:sdtContent>
          </w:sdt>
          <w:sdt>
            <w:sdtPr>
              <w:rPr>
                <w:szCs w:val="21"/>
              </w:rPr>
              <w:alias w:val="按单项计提坏账准备的应收账款详细名称明细"/>
              <w:tag w:val="_TUP_669c106056fb4de3b5f357a932630dad"/>
              <w:id w:val="1988439364"/>
              <w:lock w:val="sdtLocked"/>
            </w:sdtPr>
            <w:sdtEndPr/>
            <w:sdtContent>
              <w:tr w:rsidR="00471D53" w14:paraId="0271F8B9" w14:textId="77777777" w:rsidTr="00471D53">
                <w:tc>
                  <w:tcPr>
                    <w:tcW w:w="1500" w:type="pct"/>
                  </w:tcPr>
                  <w:p w14:paraId="2581A56C" w14:textId="77777777" w:rsidR="00471D53" w:rsidRDefault="004F686E" w:rsidP="00471D53">
                    <w:pPr>
                      <w:rPr>
                        <w:szCs w:val="21"/>
                      </w:rPr>
                    </w:pPr>
                    <w:r>
                      <w:t>包头华峰建筑安装工程有限责任公司建安分公司</w:t>
                    </w:r>
                  </w:p>
                </w:tc>
                <w:tc>
                  <w:tcPr>
                    <w:tcW w:w="847" w:type="pct"/>
                  </w:tcPr>
                  <w:p w14:paraId="79B3F8B9" w14:textId="77777777" w:rsidR="00471D53" w:rsidRDefault="004F686E" w:rsidP="00471D53">
                    <w:pPr>
                      <w:jc w:val="right"/>
                      <w:rPr>
                        <w:szCs w:val="21"/>
                      </w:rPr>
                    </w:pPr>
                    <w:r>
                      <w:t>1,929,000.00</w:t>
                    </w:r>
                  </w:p>
                </w:tc>
                <w:tc>
                  <w:tcPr>
                    <w:tcW w:w="797" w:type="pct"/>
                  </w:tcPr>
                  <w:p w14:paraId="0859BEE8" w14:textId="77777777" w:rsidR="00471D53" w:rsidRDefault="004F686E" w:rsidP="00471D53">
                    <w:pPr>
                      <w:jc w:val="right"/>
                      <w:rPr>
                        <w:szCs w:val="21"/>
                      </w:rPr>
                    </w:pPr>
                    <w:r>
                      <w:t>1,929,000.00</w:t>
                    </w:r>
                  </w:p>
                </w:tc>
                <w:tc>
                  <w:tcPr>
                    <w:tcW w:w="714" w:type="pct"/>
                  </w:tcPr>
                  <w:p w14:paraId="75FD7AC2" w14:textId="77777777" w:rsidR="00471D53" w:rsidRDefault="004F686E" w:rsidP="00471D53">
                    <w:pPr>
                      <w:jc w:val="right"/>
                      <w:rPr>
                        <w:szCs w:val="21"/>
                      </w:rPr>
                    </w:pPr>
                    <w:r>
                      <w:t>100.00</w:t>
                    </w:r>
                  </w:p>
                </w:tc>
                <w:tc>
                  <w:tcPr>
                    <w:tcW w:w="1142" w:type="pct"/>
                  </w:tcPr>
                  <w:p w14:paraId="185B5253" w14:textId="77777777" w:rsidR="00471D53" w:rsidRDefault="004F686E" w:rsidP="00471D53">
                    <w:pPr>
                      <w:rPr>
                        <w:szCs w:val="21"/>
                      </w:rPr>
                    </w:pPr>
                    <w:r w:rsidRPr="005651B5">
                      <w:rPr>
                        <w:rFonts w:hint="eastAsia"/>
                        <w:szCs w:val="21"/>
                      </w:rPr>
                      <w:t>交易对象信用评级下降，信用风险显著增加</w:t>
                    </w:r>
                  </w:p>
                </w:tc>
              </w:tr>
            </w:sdtContent>
          </w:sdt>
          <w:sdt>
            <w:sdtPr>
              <w:rPr>
                <w:szCs w:val="21"/>
              </w:rPr>
              <w:alias w:val="按单项计提坏账准备的应收账款详细名称明细"/>
              <w:tag w:val="_TUP_669c106056fb4de3b5f357a932630dad"/>
              <w:id w:val="-418483102"/>
              <w:lock w:val="sdtLocked"/>
            </w:sdtPr>
            <w:sdtEndPr/>
            <w:sdtContent>
              <w:tr w:rsidR="00471D53" w14:paraId="0AC78EEE" w14:textId="77777777" w:rsidTr="00471D53">
                <w:tc>
                  <w:tcPr>
                    <w:tcW w:w="1500" w:type="pct"/>
                  </w:tcPr>
                  <w:p w14:paraId="33DE1CC2" w14:textId="77777777" w:rsidR="00471D53" w:rsidRDefault="004F686E" w:rsidP="00471D53">
                    <w:pPr>
                      <w:rPr>
                        <w:szCs w:val="21"/>
                      </w:rPr>
                    </w:pPr>
                    <w:r>
                      <w:t>兴县金百丰燃气科技有限公司</w:t>
                    </w:r>
                  </w:p>
                </w:tc>
                <w:tc>
                  <w:tcPr>
                    <w:tcW w:w="847" w:type="pct"/>
                  </w:tcPr>
                  <w:p w14:paraId="6B02110C" w14:textId="77777777" w:rsidR="00471D53" w:rsidRDefault="004F686E" w:rsidP="00471D53">
                    <w:pPr>
                      <w:jc w:val="right"/>
                      <w:rPr>
                        <w:szCs w:val="21"/>
                      </w:rPr>
                    </w:pPr>
                    <w:r>
                      <w:t>1,770,000.00</w:t>
                    </w:r>
                  </w:p>
                </w:tc>
                <w:tc>
                  <w:tcPr>
                    <w:tcW w:w="797" w:type="pct"/>
                  </w:tcPr>
                  <w:p w14:paraId="4954D9A4" w14:textId="77777777" w:rsidR="00471D53" w:rsidRDefault="004F686E" w:rsidP="00471D53">
                    <w:pPr>
                      <w:jc w:val="right"/>
                      <w:rPr>
                        <w:szCs w:val="21"/>
                      </w:rPr>
                    </w:pPr>
                    <w:r>
                      <w:t>1,770,000.00</w:t>
                    </w:r>
                  </w:p>
                </w:tc>
                <w:tc>
                  <w:tcPr>
                    <w:tcW w:w="714" w:type="pct"/>
                  </w:tcPr>
                  <w:p w14:paraId="572E5227" w14:textId="77777777" w:rsidR="00471D53" w:rsidRDefault="004F686E" w:rsidP="00471D53">
                    <w:pPr>
                      <w:jc w:val="right"/>
                      <w:rPr>
                        <w:szCs w:val="21"/>
                      </w:rPr>
                    </w:pPr>
                    <w:r>
                      <w:t>100.00</w:t>
                    </w:r>
                  </w:p>
                </w:tc>
                <w:tc>
                  <w:tcPr>
                    <w:tcW w:w="1142" w:type="pct"/>
                  </w:tcPr>
                  <w:p w14:paraId="27127963" w14:textId="77777777" w:rsidR="00471D53" w:rsidRDefault="004F686E" w:rsidP="00471D53">
                    <w:pPr>
                      <w:rPr>
                        <w:szCs w:val="21"/>
                      </w:rPr>
                    </w:pPr>
                    <w:r w:rsidRPr="005651B5">
                      <w:rPr>
                        <w:rFonts w:hint="eastAsia"/>
                        <w:szCs w:val="21"/>
                      </w:rPr>
                      <w:t>交易对象信用评级下降，信用风险显著增加</w:t>
                    </w:r>
                  </w:p>
                </w:tc>
              </w:tr>
            </w:sdtContent>
          </w:sdt>
          <w:sdt>
            <w:sdtPr>
              <w:rPr>
                <w:szCs w:val="21"/>
              </w:rPr>
              <w:alias w:val="按单项计提坏账准备的应收账款详细名称明细"/>
              <w:tag w:val="_TUP_669c106056fb4de3b5f357a932630dad"/>
              <w:id w:val="520977073"/>
              <w:lock w:val="sdtLocked"/>
            </w:sdtPr>
            <w:sdtEndPr/>
            <w:sdtContent>
              <w:tr w:rsidR="00471D53" w14:paraId="1FC19550" w14:textId="77777777" w:rsidTr="00471D53">
                <w:tc>
                  <w:tcPr>
                    <w:tcW w:w="1500" w:type="pct"/>
                  </w:tcPr>
                  <w:p w14:paraId="3F92E86B" w14:textId="77777777" w:rsidR="00471D53" w:rsidRDefault="004F686E" w:rsidP="00471D53">
                    <w:pPr>
                      <w:rPr>
                        <w:szCs w:val="21"/>
                      </w:rPr>
                    </w:pPr>
                    <w:r>
                      <w:t>徐州市中信机电设备有限公司</w:t>
                    </w:r>
                  </w:p>
                </w:tc>
                <w:tc>
                  <w:tcPr>
                    <w:tcW w:w="847" w:type="pct"/>
                  </w:tcPr>
                  <w:p w14:paraId="01EB1523" w14:textId="77777777" w:rsidR="00471D53" w:rsidRDefault="004F686E" w:rsidP="00471D53">
                    <w:pPr>
                      <w:jc w:val="right"/>
                      <w:rPr>
                        <w:szCs w:val="21"/>
                      </w:rPr>
                    </w:pPr>
                    <w:r>
                      <w:t>1,658,177.77</w:t>
                    </w:r>
                  </w:p>
                </w:tc>
                <w:tc>
                  <w:tcPr>
                    <w:tcW w:w="797" w:type="pct"/>
                  </w:tcPr>
                  <w:p w14:paraId="32967F09" w14:textId="77777777" w:rsidR="00471D53" w:rsidRDefault="004F686E" w:rsidP="00471D53">
                    <w:pPr>
                      <w:jc w:val="right"/>
                      <w:rPr>
                        <w:szCs w:val="21"/>
                      </w:rPr>
                    </w:pPr>
                    <w:r>
                      <w:t>1,658,177.77</w:t>
                    </w:r>
                  </w:p>
                </w:tc>
                <w:tc>
                  <w:tcPr>
                    <w:tcW w:w="714" w:type="pct"/>
                  </w:tcPr>
                  <w:p w14:paraId="52945343" w14:textId="77777777" w:rsidR="00471D53" w:rsidRDefault="004F686E" w:rsidP="00471D53">
                    <w:pPr>
                      <w:jc w:val="right"/>
                      <w:rPr>
                        <w:szCs w:val="21"/>
                      </w:rPr>
                    </w:pPr>
                    <w:r>
                      <w:t>100.00</w:t>
                    </w:r>
                  </w:p>
                </w:tc>
                <w:tc>
                  <w:tcPr>
                    <w:tcW w:w="1142" w:type="pct"/>
                  </w:tcPr>
                  <w:p w14:paraId="1F4B1DC3" w14:textId="77777777" w:rsidR="00471D53" w:rsidRDefault="004F686E" w:rsidP="00471D53">
                    <w:pPr>
                      <w:rPr>
                        <w:szCs w:val="21"/>
                      </w:rPr>
                    </w:pPr>
                    <w:r w:rsidRPr="005651B5">
                      <w:rPr>
                        <w:rFonts w:hint="eastAsia"/>
                        <w:szCs w:val="21"/>
                      </w:rPr>
                      <w:t>交易对象信用评级下降，信用风险显著增加</w:t>
                    </w:r>
                  </w:p>
                </w:tc>
              </w:tr>
            </w:sdtContent>
          </w:sdt>
          <w:sdt>
            <w:sdtPr>
              <w:rPr>
                <w:szCs w:val="21"/>
              </w:rPr>
              <w:alias w:val="按单项计提坏账准备的应收账款详细名称明细"/>
              <w:tag w:val="_TUP_669c106056fb4de3b5f357a932630dad"/>
              <w:id w:val="880291242"/>
              <w:lock w:val="sdtLocked"/>
            </w:sdtPr>
            <w:sdtEndPr/>
            <w:sdtContent>
              <w:tr w:rsidR="00471D53" w14:paraId="5CCE300A" w14:textId="77777777" w:rsidTr="00471D53">
                <w:tc>
                  <w:tcPr>
                    <w:tcW w:w="1500" w:type="pct"/>
                  </w:tcPr>
                  <w:p w14:paraId="16A894C4" w14:textId="77777777" w:rsidR="00471D53" w:rsidRDefault="004F686E" w:rsidP="00471D53">
                    <w:pPr>
                      <w:rPr>
                        <w:szCs w:val="21"/>
                      </w:rPr>
                    </w:pPr>
                    <w:r>
                      <w:t>徐州新天海机电设备有限公司</w:t>
                    </w:r>
                  </w:p>
                </w:tc>
                <w:tc>
                  <w:tcPr>
                    <w:tcW w:w="847" w:type="pct"/>
                  </w:tcPr>
                  <w:p w14:paraId="5C5FE763" w14:textId="77777777" w:rsidR="00471D53" w:rsidRDefault="004F686E" w:rsidP="00471D53">
                    <w:pPr>
                      <w:jc w:val="right"/>
                      <w:rPr>
                        <w:szCs w:val="21"/>
                      </w:rPr>
                    </w:pPr>
                    <w:r>
                      <w:t>1,444,415.49</w:t>
                    </w:r>
                  </w:p>
                </w:tc>
                <w:tc>
                  <w:tcPr>
                    <w:tcW w:w="797" w:type="pct"/>
                  </w:tcPr>
                  <w:p w14:paraId="663CA60B" w14:textId="77777777" w:rsidR="00471D53" w:rsidRDefault="004F686E" w:rsidP="00471D53">
                    <w:pPr>
                      <w:jc w:val="right"/>
                      <w:rPr>
                        <w:szCs w:val="21"/>
                      </w:rPr>
                    </w:pPr>
                    <w:r>
                      <w:t>1,444,415.49</w:t>
                    </w:r>
                  </w:p>
                </w:tc>
                <w:tc>
                  <w:tcPr>
                    <w:tcW w:w="714" w:type="pct"/>
                  </w:tcPr>
                  <w:p w14:paraId="3FBACF1C" w14:textId="77777777" w:rsidR="00471D53" w:rsidRDefault="004F686E" w:rsidP="00471D53">
                    <w:pPr>
                      <w:jc w:val="right"/>
                      <w:rPr>
                        <w:szCs w:val="21"/>
                      </w:rPr>
                    </w:pPr>
                    <w:r>
                      <w:t>100.00</w:t>
                    </w:r>
                  </w:p>
                </w:tc>
                <w:tc>
                  <w:tcPr>
                    <w:tcW w:w="1142" w:type="pct"/>
                  </w:tcPr>
                  <w:p w14:paraId="7CA83A36" w14:textId="77777777" w:rsidR="00471D53" w:rsidRDefault="004F686E" w:rsidP="00471D53">
                    <w:pPr>
                      <w:rPr>
                        <w:szCs w:val="21"/>
                      </w:rPr>
                    </w:pPr>
                    <w:r w:rsidRPr="005651B5">
                      <w:rPr>
                        <w:rFonts w:hint="eastAsia"/>
                        <w:szCs w:val="21"/>
                      </w:rPr>
                      <w:t>交易对象信用评级下降，信用风险显著增加</w:t>
                    </w:r>
                  </w:p>
                </w:tc>
              </w:tr>
            </w:sdtContent>
          </w:sdt>
          <w:sdt>
            <w:sdtPr>
              <w:rPr>
                <w:szCs w:val="21"/>
              </w:rPr>
              <w:alias w:val="按单项计提坏账准备的应收账款详细名称明细"/>
              <w:tag w:val="_TUP_669c106056fb4de3b5f357a932630dad"/>
              <w:id w:val="678245436"/>
              <w:lock w:val="sdtLocked"/>
            </w:sdtPr>
            <w:sdtEndPr/>
            <w:sdtContent>
              <w:tr w:rsidR="00471D53" w14:paraId="4DF5C9F2" w14:textId="77777777" w:rsidTr="00471D53">
                <w:tc>
                  <w:tcPr>
                    <w:tcW w:w="1500" w:type="pct"/>
                  </w:tcPr>
                  <w:p w14:paraId="7540F176" w14:textId="77777777" w:rsidR="00471D53" w:rsidRDefault="004F686E" w:rsidP="00471D53">
                    <w:pPr>
                      <w:rPr>
                        <w:szCs w:val="21"/>
                      </w:rPr>
                    </w:pPr>
                    <w:r>
                      <w:t>新疆中正琛邦气体有限公司</w:t>
                    </w:r>
                  </w:p>
                </w:tc>
                <w:tc>
                  <w:tcPr>
                    <w:tcW w:w="847" w:type="pct"/>
                  </w:tcPr>
                  <w:p w14:paraId="577C24FE" w14:textId="77777777" w:rsidR="00471D53" w:rsidRDefault="004F686E" w:rsidP="00471D53">
                    <w:pPr>
                      <w:jc w:val="right"/>
                      <w:rPr>
                        <w:szCs w:val="21"/>
                      </w:rPr>
                    </w:pPr>
                    <w:r>
                      <w:t>961,666.50</w:t>
                    </w:r>
                  </w:p>
                </w:tc>
                <w:tc>
                  <w:tcPr>
                    <w:tcW w:w="797" w:type="pct"/>
                  </w:tcPr>
                  <w:p w14:paraId="50A3F81E" w14:textId="77777777" w:rsidR="00471D53" w:rsidRDefault="004F686E" w:rsidP="00471D53">
                    <w:pPr>
                      <w:jc w:val="right"/>
                      <w:rPr>
                        <w:szCs w:val="21"/>
                      </w:rPr>
                    </w:pPr>
                    <w:r>
                      <w:t>961,666.50</w:t>
                    </w:r>
                  </w:p>
                </w:tc>
                <w:tc>
                  <w:tcPr>
                    <w:tcW w:w="714" w:type="pct"/>
                  </w:tcPr>
                  <w:p w14:paraId="3D727A8E" w14:textId="77777777" w:rsidR="00471D53" w:rsidRDefault="004F686E" w:rsidP="00471D53">
                    <w:pPr>
                      <w:jc w:val="right"/>
                      <w:rPr>
                        <w:szCs w:val="21"/>
                      </w:rPr>
                    </w:pPr>
                    <w:r>
                      <w:t>100.00</w:t>
                    </w:r>
                  </w:p>
                </w:tc>
                <w:tc>
                  <w:tcPr>
                    <w:tcW w:w="1142" w:type="pct"/>
                  </w:tcPr>
                  <w:p w14:paraId="6BD46363" w14:textId="77777777" w:rsidR="00471D53" w:rsidRDefault="004F686E" w:rsidP="00471D53">
                    <w:pPr>
                      <w:rPr>
                        <w:szCs w:val="21"/>
                      </w:rPr>
                    </w:pPr>
                    <w:r w:rsidRPr="005651B5">
                      <w:rPr>
                        <w:rFonts w:hint="eastAsia"/>
                        <w:szCs w:val="21"/>
                      </w:rPr>
                      <w:t>交易对象信用评级下降，信用风险显著增加</w:t>
                    </w:r>
                  </w:p>
                </w:tc>
              </w:tr>
            </w:sdtContent>
          </w:sdt>
          <w:sdt>
            <w:sdtPr>
              <w:rPr>
                <w:szCs w:val="21"/>
              </w:rPr>
              <w:alias w:val="按单项计提坏账准备的应收账款详细名称明细"/>
              <w:tag w:val="_TUP_669c106056fb4de3b5f357a932630dad"/>
              <w:id w:val="1040480725"/>
              <w:lock w:val="sdtLocked"/>
            </w:sdtPr>
            <w:sdtEndPr/>
            <w:sdtContent>
              <w:tr w:rsidR="00471D53" w14:paraId="4C157B29" w14:textId="77777777" w:rsidTr="00471D53">
                <w:tc>
                  <w:tcPr>
                    <w:tcW w:w="1500" w:type="pct"/>
                  </w:tcPr>
                  <w:p w14:paraId="74E35CB8" w14:textId="77777777" w:rsidR="00471D53" w:rsidRDefault="004F686E" w:rsidP="00471D53">
                    <w:pPr>
                      <w:rPr>
                        <w:szCs w:val="21"/>
                      </w:rPr>
                    </w:pPr>
                    <w:r>
                      <w:t>张家口下花园金鸿燃气有限公司</w:t>
                    </w:r>
                  </w:p>
                </w:tc>
                <w:tc>
                  <w:tcPr>
                    <w:tcW w:w="847" w:type="pct"/>
                  </w:tcPr>
                  <w:p w14:paraId="5168EEF0" w14:textId="77777777" w:rsidR="00471D53" w:rsidRDefault="004F686E" w:rsidP="00471D53">
                    <w:pPr>
                      <w:jc w:val="right"/>
                      <w:rPr>
                        <w:szCs w:val="21"/>
                      </w:rPr>
                    </w:pPr>
                    <w:r>
                      <w:t>814,000.00</w:t>
                    </w:r>
                  </w:p>
                </w:tc>
                <w:tc>
                  <w:tcPr>
                    <w:tcW w:w="797" w:type="pct"/>
                  </w:tcPr>
                  <w:p w14:paraId="41A33CD6" w14:textId="77777777" w:rsidR="00471D53" w:rsidRDefault="004F686E" w:rsidP="00471D53">
                    <w:pPr>
                      <w:jc w:val="right"/>
                      <w:rPr>
                        <w:szCs w:val="21"/>
                      </w:rPr>
                    </w:pPr>
                    <w:r>
                      <w:t>814,000.00</w:t>
                    </w:r>
                  </w:p>
                </w:tc>
                <w:tc>
                  <w:tcPr>
                    <w:tcW w:w="714" w:type="pct"/>
                  </w:tcPr>
                  <w:p w14:paraId="2E61BACE" w14:textId="77777777" w:rsidR="00471D53" w:rsidRDefault="004F686E" w:rsidP="00471D53">
                    <w:pPr>
                      <w:jc w:val="right"/>
                      <w:rPr>
                        <w:szCs w:val="21"/>
                      </w:rPr>
                    </w:pPr>
                    <w:r>
                      <w:t>100.00</w:t>
                    </w:r>
                  </w:p>
                </w:tc>
                <w:tc>
                  <w:tcPr>
                    <w:tcW w:w="1142" w:type="pct"/>
                  </w:tcPr>
                  <w:p w14:paraId="76483B3D" w14:textId="77777777" w:rsidR="00471D53" w:rsidRDefault="004F686E" w:rsidP="00471D53">
                    <w:pPr>
                      <w:rPr>
                        <w:szCs w:val="21"/>
                      </w:rPr>
                    </w:pPr>
                    <w:r w:rsidRPr="005651B5">
                      <w:rPr>
                        <w:rFonts w:hint="eastAsia"/>
                        <w:szCs w:val="21"/>
                      </w:rPr>
                      <w:t>交易对象信用评级下降，信用风险显著增加</w:t>
                    </w:r>
                  </w:p>
                </w:tc>
              </w:tr>
            </w:sdtContent>
          </w:sdt>
          <w:sdt>
            <w:sdtPr>
              <w:rPr>
                <w:szCs w:val="21"/>
              </w:rPr>
              <w:alias w:val="按单项计提坏账准备的应收账款详细名称明细"/>
              <w:tag w:val="_TUP_669c106056fb4de3b5f357a932630dad"/>
              <w:id w:val="912192201"/>
              <w:lock w:val="sdtLocked"/>
            </w:sdtPr>
            <w:sdtEndPr/>
            <w:sdtContent>
              <w:tr w:rsidR="00471D53" w14:paraId="4DDE7F07" w14:textId="77777777" w:rsidTr="00471D53">
                <w:tc>
                  <w:tcPr>
                    <w:tcW w:w="1500" w:type="pct"/>
                  </w:tcPr>
                  <w:p w14:paraId="56179312" w14:textId="77777777" w:rsidR="00471D53" w:rsidRDefault="004F686E" w:rsidP="00471D53">
                    <w:pPr>
                      <w:rPr>
                        <w:szCs w:val="21"/>
                      </w:rPr>
                    </w:pPr>
                    <w:r>
                      <w:t>贵阳盛青贸易有限公司</w:t>
                    </w:r>
                  </w:p>
                </w:tc>
                <w:tc>
                  <w:tcPr>
                    <w:tcW w:w="847" w:type="pct"/>
                  </w:tcPr>
                  <w:p w14:paraId="61720C2D" w14:textId="77777777" w:rsidR="00471D53" w:rsidRDefault="004F686E" w:rsidP="00471D53">
                    <w:pPr>
                      <w:jc w:val="right"/>
                      <w:rPr>
                        <w:szCs w:val="21"/>
                      </w:rPr>
                    </w:pPr>
                    <w:r>
                      <w:t>613,598.66</w:t>
                    </w:r>
                  </w:p>
                </w:tc>
                <w:tc>
                  <w:tcPr>
                    <w:tcW w:w="797" w:type="pct"/>
                  </w:tcPr>
                  <w:p w14:paraId="6F4A171A" w14:textId="77777777" w:rsidR="00471D53" w:rsidRDefault="004F686E" w:rsidP="00471D53">
                    <w:pPr>
                      <w:jc w:val="right"/>
                      <w:rPr>
                        <w:szCs w:val="21"/>
                      </w:rPr>
                    </w:pPr>
                    <w:r>
                      <w:t>613,598.66</w:t>
                    </w:r>
                  </w:p>
                </w:tc>
                <w:tc>
                  <w:tcPr>
                    <w:tcW w:w="714" w:type="pct"/>
                  </w:tcPr>
                  <w:p w14:paraId="08652AD9" w14:textId="77777777" w:rsidR="00471D53" w:rsidRDefault="004F686E" w:rsidP="00471D53">
                    <w:pPr>
                      <w:jc w:val="right"/>
                      <w:rPr>
                        <w:szCs w:val="21"/>
                      </w:rPr>
                    </w:pPr>
                    <w:r>
                      <w:t>100.00</w:t>
                    </w:r>
                  </w:p>
                </w:tc>
                <w:tc>
                  <w:tcPr>
                    <w:tcW w:w="1142" w:type="pct"/>
                  </w:tcPr>
                  <w:p w14:paraId="2C29779D" w14:textId="77777777" w:rsidR="00471D53" w:rsidRDefault="004F686E" w:rsidP="00471D53">
                    <w:pPr>
                      <w:rPr>
                        <w:szCs w:val="21"/>
                      </w:rPr>
                    </w:pPr>
                    <w:r w:rsidRPr="005651B5">
                      <w:rPr>
                        <w:rFonts w:hint="eastAsia"/>
                        <w:szCs w:val="21"/>
                      </w:rPr>
                      <w:t>交易对象信用评级下降，信用风险显著增加</w:t>
                    </w:r>
                  </w:p>
                </w:tc>
              </w:tr>
            </w:sdtContent>
          </w:sdt>
          <w:sdt>
            <w:sdtPr>
              <w:rPr>
                <w:szCs w:val="21"/>
              </w:rPr>
              <w:alias w:val="按单项计提坏账准备的应收账款详细名称明细"/>
              <w:tag w:val="_TUP_669c106056fb4de3b5f357a932630dad"/>
              <w:id w:val="2051329166"/>
              <w:lock w:val="sdtLocked"/>
            </w:sdtPr>
            <w:sdtEndPr/>
            <w:sdtContent>
              <w:tr w:rsidR="00471D53" w14:paraId="67BA3422" w14:textId="77777777" w:rsidTr="00471D53">
                <w:tc>
                  <w:tcPr>
                    <w:tcW w:w="1500" w:type="pct"/>
                  </w:tcPr>
                  <w:p w14:paraId="4928A8E9" w14:textId="77777777" w:rsidR="00471D53" w:rsidRDefault="004F686E" w:rsidP="00471D53">
                    <w:pPr>
                      <w:rPr>
                        <w:szCs w:val="21"/>
                      </w:rPr>
                    </w:pPr>
                    <w:r>
                      <w:t>兰州荣美工贸有限公司</w:t>
                    </w:r>
                  </w:p>
                </w:tc>
                <w:tc>
                  <w:tcPr>
                    <w:tcW w:w="847" w:type="pct"/>
                  </w:tcPr>
                  <w:p w14:paraId="37E4CB83" w14:textId="77777777" w:rsidR="00471D53" w:rsidRDefault="004F686E" w:rsidP="00471D53">
                    <w:pPr>
                      <w:jc w:val="right"/>
                      <w:rPr>
                        <w:szCs w:val="21"/>
                      </w:rPr>
                    </w:pPr>
                    <w:r>
                      <w:t>469,941.00</w:t>
                    </w:r>
                  </w:p>
                </w:tc>
                <w:tc>
                  <w:tcPr>
                    <w:tcW w:w="797" w:type="pct"/>
                  </w:tcPr>
                  <w:p w14:paraId="5F602466" w14:textId="77777777" w:rsidR="00471D53" w:rsidRDefault="004F686E" w:rsidP="00471D53">
                    <w:pPr>
                      <w:jc w:val="right"/>
                      <w:rPr>
                        <w:szCs w:val="21"/>
                      </w:rPr>
                    </w:pPr>
                    <w:r>
                      <w:t>469,941.00</w:t>
                    </w:r>
                  </w:p>
                </w:tc>
                <w:tc>
                  <w:tcPr>
                    <w:tcW w:w="714" w:type="pct"/>
                  </w:tcPr>
                  <w:p w14:paraId="066145A9" w14:textId="77777777" w:rsidR="00471D53" w:rsidRDefault="004F686E" w:rsidP="00471D53">
                    <w:pPr>
                      <w:jc w:val="right"/>
                      <w:rPr>
                        <w:szCs w:val="21"/>
                      </w:rPr>
                    </w:pPr>
                    <w:r>
                      <w:t>100.00</w:t>
                    </w:r>
                  </w:p>
                </w:tc>
                <w:tc>
                  <w:tcPr>
                    <w:tcW w:w="1142" w:type="pct"/>
                  </w:tcPr>
                  <w:p w14:paraId="5CBA0762" w14:textId="77777777" w:rsidR="00471D53" w:rsidRDefault="004F686E" w:rsidP="00471D53">
                    <w:pPr>
                      <w:rPr>
                        <w:szCs w:val="21"/>
                      </w:rPr>
                    </w:pPr>
                    <w:r w:rsidRPr="005651B5">
                      <w:rPr>
                        <w:rFonts w:hint="eastAsia"/>
                        <w:szCs w:val="21"/>
                      </w:rPr>
                      <w:t>交易对象信用评级下降，信用风险显著增加</w:t>
                    </w:r>
                  </w:p>
                </w:tc>
              </w:tr>
            </w:sdtContent>
          </w:sdt>
          <w:sdt>
            <w:sdtPr>
              <w:rPr>
                <w:szCs w:val="21"/>
              </w:rPr>
              <w:alias w:val="按单项计提坏账准备的应收账款详细名称明细"/>
              <w:tag w:val="_TUP_669c106056fb4de3b5f357a932630dad"/>
              <w:id w:val="-723828080"/>
              <w:lock w:val="sdtLocked"/>
            </w:sdtPr>
            <w:sdtEndPr/>
            <w:sdtContent>
              <w:tr w:rsidR="00471D53" w14:paraId="256015DD" w14:textId="77777777" w:rsidTr="00471D53">
                <w:tc>
                  <w:tcPr>
                    <w:tcW w:w="1500" w:type="pct"/>
                  </w:tcPr>
                  <w:p w14:paraId="55036F94" w14:textId="77777777" w:rsidR="00471D53" w:rsidRDefault="004F686E" w:rsidP="00471D53">
                    <w:pPr>
                      <w:rPr>
                        <w:szCs w:val="21"/>
                      </w:rPr>
                    </w:pPr>
                    <w:r>
                      <w:t>张家口金鸿液化天然气有限公司</w:t>
                    </w:r>
                  </w:p>
                </w:tc>
                <w:tc>
                  <w:tcPr>
                    <w:tcW w:w="847" w:type="pct"/>
                  </w:tcPr>
                  <w:p w14:paraId="7FDC5309" w14:textId="77777777" w:rsidR="00471D53" w:rsidRDefault="004F686E" w:rsidP="00471D53">
                    <w:pPr>
                      <w:jc w:val="right"/>
                      <w:rPr>
                        <w:szCs w:val="21"/>
                      </w:rPr>
                    </w:pPr>
                    <w:r>
                      <w:t>440,000.00</w:t>
                    </w:r>
                  </w:p>
                </w:tc>
                <w:tc>
                  <w:tcPr>
                    <w:tcW w:w="797" w:type="pct"/>
                  </w:tcPr>
                  <w:p w14:paraId="426A6B0B" w14:textId="77777777" w:rsidR="00471D53" w:rsidRDefault="004F686E" w:rsidP="00471D53">
                    <w:pPr>
                      <w:jc w:val="right"/>
                      <w:rPr>
                        <w:szCs w:val="21"/>
                      </w:rPr>
                    </w:pPr>
                    <w:r>
                      <w:t>440,000.00</w:t>
                    </w:r>
                  </w:p>
                </w:tc>
                <w:tc>
                  <w:tcPr>
                    <w:tcW w:w="714" w:type="pct"/>
                  </w:tcPr>
                  <w:p w14:paraId="079958B2" w14:textId="77777777" w:rsidR="00471D53" w:rsidRDefault="004F686E" w:rsidP="00471D53">
                    <w:pPr>
                      <w:jc w:val="right"/>
                      <w:rPr>
                        <w:szCs w:val="21"/>
                      </w:rPr>
                    </w:pPr>
                    <w:r>
                      <w:t>100.00</w:t>
                    </w:r>
                  </w:p>
                </w:tc>
                <w:tc>
                  <w:tcPr>
                    <w:tcW w:w="1142" w:type="pct"/>
                  </w:tcPr>
                  <w:p w14:paraId="20EC5405" w14:textId="77777777" w:rsidR="00471D53" w:rsidRDefault="004F686E" w:rsidP="00471D53">
                    <w:pPr>
                      <w:rPr>
                        <w:szCs w:val="21"/>
                      </w:rPr>
                    </w:pPr>
                    <w:r w:rsidRPr="005651B5">
                      <w:rPr>
                        <w:rFonts w:hint="eastAsia"/>
                        <w:szCs w:val="21"/>
                      </w:rPr>
                      <w:t>交易对象信用评级下降，信用风险显著增加</w:t>
                    </w:r>
                  </w:p>
                </w:tc>
              </w:tr>
            </w:sdtContent>
          </w:sdt>
          <w:sdt>
            <w:sdtPr>
              <w:rPr>
                <w:szCs w:val="21"/>
              </w:rPr>
              <w:alias w:val="按单项计提坏账准备的应收账款详细名称明细"/>
              <w:tag w:val="_TUP_669c106056fb4de3b5f357a932630dad"/>
              <w:id w:val="-449781525"/>
              <w:lock w:val="sdtLocked"/>
            </w:sdtPr>
            <w:sdtEndPr/>
            <w:sdtContent>
              <w:tr w:rsidR="00471D53" w14:paraId="12941304" w14:textId="77777777" w:rsidTr="00471D53">
                <w:tc>
                  <w:tcPr>
                    <w:tcW w:w="1500" w:type="pct"/>
                  </w:tcPr>
                  <w:p w14:paraId="22B07ADF" w14:textId="77777777" w:rsidR="00471D53" w:rsidRDefault="004F686E" w:rsidP="00471D53">
                    <w:pPr>
                      <w:rPr>
                        <w:szCs w:val="21"/>
                      </w:rPr>
                    </w:pPr>
                    <w:r>
                      <w:t>新疆金冠汽车用品有限责任公司</w:t>
                    </w:r>
                  </w:p>
                </w:tc>
                <w:tc>
                  <w:tcPr>
                    <w:tcW w:w="847" w:type="pct"/>
                  </w:tcPr>
                  <w:p w14:paraId="67667E59" w14:textId="77777777" w:rsidR="00471D53" w:rsidRDefault="004F686E" w:rsidP="00471D53">
                    <w:pPr>
                      <w:jc w:val="right"/>
                      <w:rPr>
                        <w:szCs w:val="21"/>
                      </w:rPr>
                    </w:pPr>
                    <w:r>
                      <w:t>393,620.00</w:t>
                    </w:r>
                  </w:p>
                </w:tc>
                <w:tc>
                  <w:tcPr>
                    <w:tcW w:w="797" w:type="pct"/>
                  </w:tcPr>
                  <w:p w14:paraId="620A0528" w14:textId="77777777" w:rsidR="00471D53" w:rsidRDefault="004F686E" w:rsidP="00471D53">
                    <w:pPr>
                      <w:jc w:val="right"/>
                      <w:rPr>
                        <w:szCs w:val="21"/>
                      </w:rPr>
                    </w:pPr>
                    <w:r>
                      <w:t>393,620.00</w:t>
                    </w:r>
                  </w:p>
                </w:tc>
                <w:tc>
                  <w:tcPr>
                    <w:tcW w:w="714" w:type="pct"/>
                  </w:tcPr>
                  <w:p w14:paraId="3574ADCB" w14:textId="77777777" w:rsidR="00471D53" w:rsidRDefault="004F686E" w:rsidP="00471D53">
                    <w:pPr>
                      <w:jc w:val="right"/>
                      <w:rPr>
                        <w:szCs w:val="21"/>
                      </w:rPr>
                    </w:pPr>
                    <w:r>
                      <w:t>100.00</w:t>
                    </w:r>
                  </w:p>
                </w:tc>
                <w:tc>
                  <w:tcPr>
                    <w:tcW w:w="1142" w:type="pct"/>
                  </w:tcPr>
                  <w:p w14:paraId="583C0B8D" w14:textId="77777777" w:rsidR="00471D53" w:rsidRDefault="004F686E" w:rsidP="00471D53">
                    <w:pPr>
                      <w:rPr>
                        <w:szCs w:val="21"/>
                      </w:rPr>
                    </w:pPr>
                    <w:r w:rsidRPr="005651B5">
                      <w:rPr>
                        <w:rFonts w:hint="eastAsia"/>
                        <w:szCs w:val="21"/>
                      </w:rPr>
                      <w:t>交易对象信用评级下降，信用风险显著增加</w:t>
                    </w:r>
                  </w:p>
                </w:tc>
              </w:tr>
            </w:sdtContent>
          </w:sdt>
          <w:sdt>
            <w:sdtPr>
              <w:rPr>
                <w:szCs w:val="21"/>
              </w:rPr>
              <w:alias w:val="按单项计提坏账准备的应收账款详细名称明细"/>
              <w:tag w:val="_TUP_669c106056fb4de3b5f357a932630dad"/>
              <w:id w:val="-127863009"/>
              <w:lock w:val="sdtLocked"/>
            </w:sdtPr>
            <w:sdtEndPr/>
            <w:sdtContent>
              <w:tr w:rsidR="00471D53" w14:paraId="126C9ABD" w14:textId="77777777" w:rsidTr="00471D53">
                <w:tc>
                  <w:tcPr>
                    <w:tcW w:w="1500" w:type="pct"/>
                  </w:tcPr>
                  <w:p w14:paraId="73E1F16E" w14:textId="77777777" w:rsidR="00471D53" w:rsidRDefault="004F686E" w:rsidP="00471D53">
                    <w:pPr>
                      <w:rPr>
                        <w:szCs w:val="21"/>
                      </w:rPr>
                    </w:pPr>
                    <w:r>
                      <w:t>涿鹿县金鸿燃气有限公司</w:t>
                    </w:r>
                  </w:p>
                </w:tc>
                <w:tc>
                  <w:tcPr>
                    <w:tcW w:w="847" w:type="pct"/>
                  </w:tcPr>
                  <w:p w14:paraId="3DF80BB6" w14:textId="77777777" w:rsidR="00471D53" w:rsidRDefault="004F686E" w:rsidP="00471D53">
                    <w:pPr>
                      <w:jc w:val="right"/>
                      <w:rPr>
                        <w:szCs w:val="21"/>
                      </w:rPr>
                    </w:pPr>
                    <w:r>
                      <w:t>312,000.00</w:t>
                    </w:r>
                  </w:p>
                </w:tc>
                <w:tc>
                  <w:tcPr>
                    <w:tcW w:w="797" w:type="pct"/>
                  </w:tcPr>
                  <w:p w14:paraId="6FE61D9B" w14:textId="77777777" w:rsidR="00471D53" w:rsidRDefault="004F686E" w:rsidP="00471D53">
                    <w:pPr>
                      <w:jc w:val="right"/>
                      <w:rPr>
                        <w:szCs w:val="21"/>
                      </w:rPr>
                    </w:pPr>
                    <w:r>
                      <w:t>312,000.00</w:t>
                    </w:r>
                  </w:p>
                </w:tc>
                <w:tc>
                  <w:tcPr>
                    <w:tcW w:w="714" w:type="pct"/>
                  </w:tcPr>
                  <w:p w14:paraId="6A0AB100" w14:textId="77777777" w:rsidR="00471D53" w:rsidRDefault="004F686E" w:rsidP="00471D53">
                    <w:pPr>
                      <w:jc w:val="right"/>
                      <w:rPr>
                        <w:szCs w:val="21"/>
                      </w:rPr>
                    </w:pPr>
                    <w:r>
                      <w:t>100.00</w:t>
                    </w:r>
                  </w:p>
                </w:tc>
                <w:tc>
                  <w:tcPr>
                    <w:tcW w:w="1142" w:type="pct"/>
                  </w:tcPr>
                  <w:p w14:paraId="37354A35" w14:textId="77777777" w:rsidR="00471D53" w:rsidRDefault="004F686E" w:rsidP="00471D53">
                    <w:pPr>
                      <w:rPr>
                        <w:szCs w:val="21"/>
                      </w:rPr>
                    </w:pPr>
                    <w:r w:rsidRPr="005651B5">
                      <w:rPr>
                        <w:rFonts w:hint="eastAsia"/>
                        <w:szCs w:val="21"/>
                      </w:rPr>
                      <w:t>交易对象信用评级下降，信用风险显著增加</w:t>
                    </w:r>
                  </w:p>
                </w:tc>
              </w:tr>
            </w:sdtContent>
          </w:sdt>
          <w:sdt>
            <w:sdtPr>
              <w:rPr>
                <w:szCs w:val="21"/>
              </w:rPr>
              <w:alias w:val="按单项计提坏账准备的应收账款详细名称明细"/>
              <w:tag w:val="_TUP_669c106056fb4de3b5f357a932630dad"/>
              <w:id w:val="-508522004"/>
              <w:lock w:val="sdtLocked"/>
            </w:sdtPr>
            <w:sdtEndPr/>
            <w:sdtContent>
              <w:tr w:rsidR="00471D53" w14:paraId="69265DF0" w14:textId="77777777" w:rsidTr="00471D53">
                <w:tc>
                  <w:tcPr>
                    <w:tcW w:w="1500" w:type="pct"/>
                  </w:tcPr>
                  <w:p w14:paraId="3C469B64" w14:textId="77777777" w:rsidR="00471D53" w:rsidRDefault="004F686E" w:rsidP="00471D53">
                    <w:pPr>
                      <w:rPr>
                        <w:szCs w:val="21"/>
                      </w:rPr>
                    </w:pPr>
                    <w:r>
                      <w:t>包头市鑫能科技有限责任公司</w:t>
                    </w:r>
                  </w:p>
                </w:tc>
                <w:tc>
                  <w:tcPr>
                    <w:tcW w:w="847" w:type="pct"/>
                  </w:tcPr>
                  <w:p w14:paraId="7BC429E2" w14:textId="77777777" w:rsidR="00471D53" w:rsidRDefault="004F686E" w:rsidP="00471D53">
                    <w:pPr>
                      <w:jc w:val="right"/>
                      <w:rPr>
                        <w:szCs w:val="21"/>
                      </w:rPr>
                    </w:pPr>
                    <w:r>
                      <w:t>253,425.00</w:t>
                    </w:r>
                  </w:p>
                </w:tc>
                <w:tc>
                  <w:tcPr>
                    <w:tcW w:w="797" w:type="pct"/>
                  </w:tcPr>
                  <w:p w14:paraId="2F87CC26" w14:textId="77777777" w:rsidR="00471D53" w:rsidRDefault="004F686E" w:rsidP="00471D53">
                    <w:pPr>
                      <w:jc w:val="right"/>
                      <w:rPr>
                        <w:szCs w:val="21"/>
                      </w:rPr>
                    </w:pPr>
                    <w:r>
                      <w:t>253,425.00</w:t>
                    </w:r>
                  </w:p>
                </w:tc>
                <w:tc>
                  <w:tcPr>
                    <w:tcW w:w="714" w:type="pct"/>
                  </w:tcPr>
                  <w:p w14:paraId="07AF89D3" w14:textId="77777777" w:rsidR="00471D53" w:rsidRDefault="004F686E" w:rsidP="00471D53">
                    <w:pPr>
                      <w:jc w:val="right"/>
                      <w:rPr>
                        <w:szCs w:val="21"/>
                      </w:rPr>
                    </w:pPr>
                    <w:r>
                      <w:t>100.00</w:t>
                    </w:r>
                  </w:p>
                </w:tc>
                <w:tc>
                  <w:tcPr>
                    <w:tcW w:w="1142" w:type="pct"/>
                  </w:tcPr>
                  <w:p w14:paraId="74472A15" w14:textId="77777777" w:rsidR="00471D53" w:rsidRDefault="004F686E" w:rsidP="00471D53">
                    <w:pPr>
                      <w:rPr>
                        <w:szCs w:val="21"/>
                      </w:rPr>
                    </w:pPr>
                    <w:r w:rsidRPr="005651B5">
                      <w:rPr>
                        <w:rFonts w:hint="eastAsia"/>
                        <w:szCs w:val="21"/>
                      </w:rPr>
                      <w:t>交易对象信用评级下降，信用风险显著增加</w:t>
                    </w:r>
                  </w:p>
                </w:tc>
              </w:tr>
            </w:sdtContent>
          </w:sdt>
          <w:sdt>
            <w:sdtPr>
              <w:rPr>
                <w:szCs w:val="21"/>
              </w:rPr>
              <w:alias w:val="按单项计提坏账准备的应收账款详细名称明细"/>
              <w:tag w:val="_TUP_669c106056fb4de3b5f357a932630dad"/>
              <w:id w:val="2072001154"/>
              <w:lock w:val="sdtLocked"/>
            </w:sdtPr>
            <w:sdtEndPr/>
            <w:sdtContent>
              <w:tr w:rsidR="00471D53" w14:paraId="26D07ECE" w14:textId="77777777" w:rsidTr="00471D53">
                <w:tc>
                  <w:tcPr>
                    <w:tcW w:w="1500" w:type="pct"/>
                  </w:tcPr>
                  <w:p w14:paraId="3087BA09" w14:textId="77777777" w:rsidR="00471D53" w:rsidRDefault="004F686E" w:rsidP="00471D53">
                    <w:pPr>
                      <w:rPr>
                        <w:szCs w:val="21"/>
                      </w:rPr>
                    </w:pPr>
                    <w:r>
                      <w:t>上海申龙客车有限公司</w:t>
                    </w:r>
                  </w:p>
                </w:tc>
                <w:tc>
                  <w:tcPr>
                    <w:tcW w:w="847" w:type="pct"/>
                  </w:tcPr>
                  <w:p w14:paraId="61F8C9D4" w14:textId="77777777" w:rsidR="00471D53" w:rsidRDefault="004F686E" w:rsidP="00471D53">
                    <w:pPr>
                      <w:jc w:val="right"/>
                      <w:rPr>
                        <w:szCs w:val="21"/>
                      </w:rPr>
                    </w:pPr>
                    <w:r>
                      <w:t>250,000.00</w:t>
                    </w:r>
                  </w:p>
                </w:tc>
                <w:tc>
                  <w:tcPr>
                    <w:tcW w:w="797" w:type="pct"/>
                  </w:tcPr>
                  <w:p w14:paraId="2063ACB3" w14:textId="77777777" w:rsidR="00471D53" w:rsidRDefault="004F686E" w:rsidP="00471D53">
                    <w:pPr>
                      <w:jc w:val="right"/>
                      <w:rPr>
                        <w:szCs w:val="21"/>
                      </w:rPr>
                    </w:pPr>
                    <w:r>
                      <w:t>250,000.00</w:t>
                    </w:r>
                  </w:p>
                </w:tc>
                <w:tc>
                  <w:tcPr>
                    <w:tcW w:w="714" w:type="pct"/>
                  </w:tcPr>
                  <w:p w14:paraId="2AE50AF9" w14:textId="77777777" w:rsidR="00471D53" w:rsidRDefault="004F686E" w:rsidP="00471D53">
                    <w:pPr>
                      <w:jc w:val="right"/>
                      <w:rPr>
                        <w:szCs w:val="21"/>
                      </w:rPr>
                    </w:pPr>
                    <w:r>
                      <w:t>100.00</w:t>
                    </w:r>
                  </w:p>
                </w:tc>
                <w:tc>
                  <w:tcPr>
                    <w:tcW w:w="1142" w:type="pct"/>
                  </w:tcPr>
                  <w:p w14:paraId="2FE2B1EC" w14:textId="77777777" w:rsidR="00471D53" w:rsidRDefault="004F686E" w:rsidP="00471D53">
                    <w:pPr>
                      <w:rPr>
                        <w:szCs w:val="21"/>
                      </w:rPr>
                    </w:pPr>
                    <w:r w:rsidRPr="005651B5">
                      <w:rPr>
                        <w:rFonts w:hint="eastAsia"/>
                        <w:szCs w:val="21"/>
                      </w:rPr>
                      <w:t>交易对象信用评级下降，信用风险显著增加</w:t>
                    </w:r>
                  </w:p>
                </w:tc>
              </w:tr>
            </w:sdtContent>
          </w:sdt>
          <w:sdt>
            <w:sdtPr>
              <w:rPr>
                <w:szCs w:val="21"/>
              </w:rPr>
              <w:alias w:val="按单项计提坏账准备的应收账款详细名称明细"/>
              <w:tag w:val="_TUP_669c106056fb4de3b5f357a932630dad"/>
              <w:id w:val="-388804222"/>
              <w:lock w:val="sdtLocked"/>
            </w:sdtPr>
            <w:sdtEndPr/>
            <w:sdtContent>
              <w:tr w:rsidR="00471D53" w14:paraId="57340E71" w14:textId="77777777" w:rsidTr="00471D53">
                <w:tc>
                  <w:tcPr>
                    <w:tcW w:w="1500" w:type="pct"/>
                  </w:tcPr>
                  <w:p w14:paraId="2B078ADC" w14:textId="77777777" w:rsidR="00471D53" w:rsidRDefault="004F686E" w:rsidP="00471D53">
                    <w:pPr>
                      <w:rPr>
                        <w:szCs w:val="21"/>
                      </w:rPr>
                    </w:pPr>
                    <w:r>
                      <w:t>中化华油建设集团有限公司</w:t>
                    </w:r>
                  </w:p>
                </w:tc>
                <w:tc>
                  <w:tcPr>
                    <w:tcW w:w="847" w:type="pct"/>
                  </w:tcPr>
                  <w:p w14:paraId="5B66E84C" w14:textId="77777777" w:rsidR="00471D53" w:rsidRDefault="004F686E" w:rsidP="00471D53">
                    <w:pPr>
                      <w:jc w:val="right"/>
                      <w:rPr>
                        <w:szCs w:val="21"/>
                      </w:rPr>
                    </w:pPr>
                    <w:r>
                      <w:t>144,282.00</w:t>
                    </w:r>
                  </w:p>
                </w:tc>
                <w:tc>
                  <w:tcPr>
                    <w:tcW w:w="797" w:type="pct"/>
                  </w:tcPr>
                  <w:p w14:paraId="15EA854D" w14:textId="77777777" w:rsidR="00471D53" w:rsidRDefault="004F686E" w:rsidP="00471D53">
                    <w:pPr>
                      <w:jc w:val="right"/>
                      <w:rPr>
                        <w:szCs w:val="21"/>
                      </w:rPr>
                    </w:pPr>
                    <w:r>
                      <w:t>144,282.00</w:t>
                    </w:r>
                  </w:p>
                </w:tc>
                <w:tc>
                  <w:tcPr>
                    <w:tcW w:w="714" w:type="pct"/>
                  </w:tcPr>
                  <w:p w14:paraId="61089EB5" w14:textId="77777777" w:rsidR="00471D53" w:rsidRDefault="004F686E" w:rsidP="00471D53">
                    <w:pPr>
                      <w:jc w:val="right"/>
                      <w:rPr>
                        <w:szCs w:val="21"/>
                      </w:rPr>
                    </w:pPr>
                    <w:r>
                      <w:t>100.00</w:t>
                    </w:r>
                  </w:p>
                </w:tc>
                <w:tc>
                  <w:tcPr>
                    <w:tcW w:w="1142" w:type="pct"/>
                  </w:tcPr>
                  <w:p w14:paraId="22BD6763" w14:textId="77777777" w:rsidR="00471D53" w:rsidRDefault="004F686E" w:rsidP="00471D53">
                    <w:pPr>
                      <w:rPr>
                        <w:szCs w:val="21"/>
                      </w:rPr>
                    </w:pPr>
                    <w:r w:rsidRPr="005651B5">
                      <w:rPr>
                        <w:rFonts w:hint="eastAsia"/>
                        <w:szCs w:val="21"/>
                      </w:rPr>
                      <w:t>交易对象信用评级下降，信用风险显著增加</w:t>
                    </w:r>
                  </w:p>
                </w:tc>
              </w:tr>
            </w:sdtContent>
          </w:sdt>
          <w:sdt>
            <w:sdtPr>
              <w:rPr>
                <w:szCs w:val="21"/>
              </w:rPr>
              <w:alias w:val="按单项计提坏账准备的应收账款详细名称明细"/>
              <w:tag w:val="_TUP_669c106056fb4de3b5f357a932630dad"/>
              <w:id w:val="1167293030"/>
              <w:lock w:val="sdtLocked"/>
            </w:sdtPr>
            <w:sdtEndPr/>
            <w:sdtContent>
              <w:tr w:rsidR="00471D53" w14:paraId="3F0D999F" w14:textId="77777777" w:rsidTr="00471D53">
                <w:tc>
                  <w:tcPr>
                    <w:tcW w:w="1500" w:type="pct"/>
                  </w:tcPr>
                  <w:p w14:paraId="5EBD002B" w14:textId="77777777" w:rsidR="00471D53" w:rsidRDefault="004F686E" w:rsidP="00471D53">
                    <w:pPr>
                      <w:rPr>
                        <w:szCs w:val="21"/>
                      </w:rPr>
                    </w:pPr>
                    <w:r>
                      <w:t>宝塔盛华商贸集团有限公司</w:t>
                    </w:r>
                  </w:p>
                </w:tc>
                <w:tc>
                  <w:tcPr>
                    <w:tcW w:w="847" w:type="pct"/>
                  </w:tcPr>
                  <w:p w14:paraId="13BC5A00" w14:textId="77777777" w:rsidR="00471D53" w:rsidRDefault="004F686E" w:rsidP="00471D53">
                    <w:pPr>
                      <w:jc w:val="right"/>
                      <w:rPr>
                        <w:szCs w:val="21"/>
                      </w:rPr>
                    </w:pPr>
                    <w:r>
                      <w:t>100,000.00</w:t>
                    </w:r>
                  </w:p>
                </w:tc>
                <w:tc>
                  <w:tcPr>
                    <w:tcW w:w="797" w:type="pct"/>
                  </w:tcPr>
                  <w:p w14:paraId="3BD56673" w14:textId="77777777" w:rsidR="00471D53" w:rsidRDefault="004F686E" w:rsidP="00471D53">
                    <w:pPr>
                      <w:jc w:val="right"/>
                      <w:rPr>
                        <w:szCs w:val="21"/>
                      </w:rPr>
                    </w:pPr>
                    <w:r>
                      <w:t>100,000.00</w:t>
                    </w:r>
                  </w:p>
                </w:tc>
                <w:tc>
                  <w:tcPr>
                    <w:tcW w:w="714" w:type="pct"/>
                  </w:tcPr>
                  <w:p w14:paraId="04C82951" w14:textId="77777777" w:rsidR="00471D53" w:rsidRDefault="004F686E" w:rsidP="00471D53">
                    <w:pPr>
                      <w:jc w:val="right"/>
                      <w:rPr>
                        <w:szCs w:val="21"/>
                      </w:rPr>
                    </w:pPr>
                    <w:r>
                      <w:t>100.00</w:t>
                    </w:r>
                  </w:p>
                </w:tc>
                <w:tc>
                  <w:tcPr>
                    <w:tcW w:w="1142" w:type="pct"/>
                  </w:tcPr>
                  <w:p w14:paraId="0DE5AC3F" w14:textId="77777777" w:rsidR="00471D53" w:rsidRDefault="004F686E" w:rsidP="00471D53">
                    <w:pPr>
                      <w:rPr>
                        <w:szCs w:val="21"/>
                      </w:rPr>
                    </w:pPr>
                    <w:r w:rsidRPr="005651B5">
                      <w:rPr>
                        <w:rFonts w:hint="eastAsia"/>
                        <w:szCs w:val="21"/>
                      </w:rPr>
                      <w:t>交易对象信用评级下降，信用风险显著增加</w:t>
                    </w:r>
                  </w:p>
                </w:tc>
              </w:tr>
            </w:sdtContent>
          </w:sdt>
          <w:sdt>
            <w:sdtPr>
              <w:rPr>
                <w:szCs w:val="21"/>
              </w:rPr>
              <w:alias w:val="按单项计提坏账准备的应收账款详细名称明细"/>
              <w:tag w:val="_TUP_669c106056fb4de3b5f357a932630dad"/>
              <w:id w:val="-29190348"/>
              <w:lock w:val="sdtLocked"/>
            </w:sdtPr>
            <w:sdtEndPr/>
            <w:sdtContent>
              <w:tr w:rsidR="00471D53" w14:paraId="07974D1D" w14:textId="77777777" w:rsidTr="00471D53">
                <w:tc>
                  <w:tcPr>
                    <w:tcW w:w="1500" w:type="pct"/>
                  </w:tcPr>
                  <w:p w14:paraId="168CD32C" w14:textId="77777777" w:rsidR="00471D53" w:rsidRDefault="004F686E" w:rsidP="00471D53">
                    <w:pPr>
                      <w:rPr>
                        <w:szCs w:val="21"/>
                      </w:rPr>
                    </w:pPr>
                    <w:r>
                      <w:t>宁夏宝塔能源化工有限公司</w:t>
                    </w:r>
                  </w:p>
                </w:tc>
                <w:tc>
                  <w:tcPr>
                    <w:tcW w:w="847" w:type="pct"/>
                  </w:tcPr>
                  <w:p w14:paraId="338DEE6A" w14:textId="77777777" w:rsidR="00471D53" w:rsidRDefault="004F686E" w:rsidP="00471D53">
                    <w:pPr>
                      <w:jc w:val="right"/>
                      <w:rPr>
                        <w:szCs w:val="21"/>
                      </w:rPr>
                    </w:pPr>
                    <w:r>
                      <w:t>100,000.00</w:t>
                    </w:r>
                  </w:p>
                </w:tc>
                <w:tc>
                  <w:tcPr>
                    <w:tcW w:w="797" w:type="pct"/>
                  </w:tcPr>
                  <w:p w14:paraId="67003185" w14:textId="77777777" w:rsidR="00471D53" w:rsidRDefault="004F686E" w:rsidP="00471D53">
                    <w:pPr>
                      <w:jc w:val="right"/>
                      <w:rPr>
                        <w:szCs w:val="21"/>
                      </w:rPr>
                    </w:pPr>
                    <w:r>
                      <w:t>100,000.00</w:t>
                    </w:r>
                  </w:p>
                </w:tc>
                <w:tc>
                  <w:tcPr>
                    <w:tcW w:w="714" w:type="pct"/>
                  </w:tcPr>
                  <w:p w14:paraId="0D78B36E" w14:textId="77777777" w:rsidR="00471D53" w:rsidRDefault="004F686E" w:rsidP="00471D53">
                    <w:pPr>
                      <w:jc w:val="right"/>
                      <w:rPr>
                        <w:szCs w:val="21"/>
                      </w:rPr>
                    </w:pPr>
                    <w:r>
                      <w:t>100.00</w:t>
                    </w:r>
                  </w:p>
                </w:tc>
                <w:tc>
                  <w:tcPr>
                    <w:tcW w:w="1142" w:type="pct"/>
                  </w:tcPr>
                  <w:p w14:paraId="6A883CF4" w14:textId="77777777" w:rsidR="00471D53" w:rsidRDefault="004F686E" w:rsidP="00471D53">
                    <w:pPr>
                      <w:rPr>
                        <w:szCs w:val="21"/>
                      </w:rPr>
                    </w:pPr>
                    <w:r w:rsidRPr="005651B5">
                      <w:rPr>
                        <w:rFonts w:hint="eastAsia"/>
                        <w:szCs w:val="21"/>
                      </w:rPr>
                      <w:t>交易对象信用评级下降，信用风险显著增加</w:t>
                    </w:r>
                  </w:p>
                </w:tc>
              </w:tr>
            </w:sdtContent>
          </w:sdt>
          <w:sdt>
            <w:sdtPr>
              <w:rPr>
                <w:szCs w:val="21"/>
              </w:rPr>
              <w:alias w:val="按单项计提坏账准备的应收账款详细名称明细"/>
              <w:tag w:val="_TUP_669c106056fb4de3b5f357a932630dad"/>
              <w:id w:val="-22564951"/>
              <w:lock w:val="sdtLocked"/>
            </w:sdtPr>
            <w:sdtEndPr/>
            <w:sdtContent>
              <w:tr w:rsidR="00471D53" w14:paraId="5D75E6B9" w14:textId="77777777" w:rsidTr="00471D53">
                <w:tc>
                  <w:tcPr>
                    <w:tcW w:w="1500" w:type="pct"/>
                  </w:tcPr>
                  <w:p w14:paraId="2E19013D" w14:textId="77777777" w:rsidR="00471D53" w:rsidRDefault="004F686E" w:rsidP="00471D53">
                    <w:pPr>
                      <w:rPr>
                        <w:szCs w:val="21"/>
                      </w:rPr>
                    </w:pPr>
                    <w:r>
                      <w:t>赤城县金鸿燃气有限公司</w:t>
                    </w:r>
                  </w:p>
                </w:tc>
                <w:tc>
                  <w:tcPr>
                    <w:tcW w:w="847" w:type="pct"/>
                  </w:tcPr>
                  <w:p w14:paraId="1051578E" w14:textId="77777777" w:rsidR="00471D53" w:rsidRDefault="004F686E" w:rsidP="00471D53">
                    <w:pPr>
                      <w:jc w:val="right"/>
                      <w:rPr>
                        <w:szCs w:val="21"/>
                      </w:rPr>
                    </w:pPr>
                    <w:r>
                      <w:t>50,000.00</w:t>
                    </w:r>
                  </w:p>
                </w:tc>
                <w:tc>
                  <w:tcPr>
                    <w:tcW w:w="797" w:type="pct"/>
                  </w:tcPr>
                  <w:p w14:paraId="1B98A6A0" w14:textId="77777777" w:rsidR="00471D53" w:rsidRDefault="004F686E" w:rsidP="00471D53">
                    <w:pPr>
                      <w:jc w:val="right"/>
                      <w:rPr>
                        <w:szCs w:val="21"/>
                      </w:rPr>
                    </w:pPr>
                    <w:r>
                      <w:t>50,000.00</w:t>
                    </w:r>
                  </w:p>
                </w:tc>
                <w:tc>
                  <w:tcPr>
                    <w:tcW w:w="714" w:type="pct"/>
                  </w:tcPr>
                  <w:p w14:paraId="4A3CF8E7" w14:textId="77777777" w:rsidR="00471D53" w:rsidRDefault="004F686E" w:rsidP="00471D53">
                    <w:pPr>
                      <w:jc w:val="right"/>
                      <w:rPr>
                        <w:szCs w:val="21"/>
                      </w:rPr>
                    </w:pPr>
                    <w:r>
                      <w:t>100.00</w:t>
                    </w:r>
                  </w:p>
                </w:tc>
                <w:tc>
                  <w:tcPr>
                    <w:tcW w:w="1142" w:type="pct"/>
                  </w:tcPr>
                  <w:p w14:paraId="20259946" w14:textId="77777777" w:rsidR="00471D53" w:rsidRDefault="004F686E" w:rsidP="00471D53">
                    <w:pPr>
                      <w:rPr>
                        <w:szCs w:val="21"/>
                      </w:rPr>
                    </w:pPr>
                    <w:r w:rsidRPr="005651B5">
                      <w:rPr>
                        <w:rFonts w:hint="eastAsia"/>
                        <w:szCs w:val="21"/>
                      </w:rPr>
                      <w:t>交易对象信用评级下降，信用风险显著增加</w:t>
                    </w:r>
                  </w:p>
                </w:tc>
              </w:tr>
            </w:sdtContent>
          </w:sdt>
          <w:tr w:rsidR="00471D53" w14:paraId="6866F7AE" w14:textId="77777777" w:rsidTr="00471D53">
            <w:sdt>
              <w:sdtPr>
                <w:tag w:val="_PLD_9ee856e0edf24e449ccd22d8f0f07348"/>
                <w:id w:val="1410963787"/>
                <w:lock w:val="sdtLocked"/>
              </w:sdtPr>
              <w:sdtEndPr/>
              <w:sdtContent>
                <w:tc>
                  <w:tcPr>
                    <w:tcW w:w="1500" w:type="pct"/>
                    <w:vAlign w:val="center"/>
                  </w:tcPr>
                  <w:p w14:paraId="4EE091F1" w14:textId="77777777" w:rsidR="00471D53" w:rsidRDefault="004F686E" w:rsidP="00471D53">
                    <w:pPr>
                      <w:jc w:val="center"/>
                      <w:rPr>
                        <w:szCs w:val="21"/>
                      </w:rPr>
                    </w:pPr>
                    <w:r>
                      <w:rPr>
                        <w:rFonts w:hint="eastAsia"/>
                        <w:szCs w:val="21"/>
                      </w:rPr>
                      <w:t>合计</w:t>
                    </w:r>
                  </w:p>
                </w:tc>
              </w:sdtContent>
            </w:sdt>
            <w:tc>
              <w:tcPr>
                <w:tcW w:w="847" w:type="pct"/>
              </w:tcPr>
              <w:p w14:paraId="44289F8E" w14:textId="77777777" w:rsidR="00471D53" w:rsidRDefault="004F686E" w:rsidP="00471D53">
                <w:pPr>
                  <w:jc w:val="right"/>
                  <w:rPr>
                    <w:szCs w:val="21"/>
                  </w:rPr>
                </w:pPr>
                <w:r>
                  <w:t>37,407,843.56</w:t>
                </w:r>
              </w:p>
            </w:tc>
            <w:tc>
              <w:tcPr>
                <w:tcW w:w="797" w:type="pct"/>
              </w:tcPr>
              <w:p w14:paraId="657DDDC1" w14:textId="77777777" w:rsidR="00471D53" w:rsidRDefault="004F686E" w:rsidP="00471D53">
                <w:pPr>
                  <w:jc w:val="right"/>
                  <w:rPr>
                    <w:szCs w:val="21"/>
                  </w:rPr>
                </w:pPr>
                <w:r>
                  <w:t>37,407,843.56</w:t>
                </w:r>
              </w:p>
            </w:tc>
            <w:tc>
              <w:tcPr>
                <w:tcW w:w="714" w:type="pct"/>
              </w:tcPr>
              <w:p w14:paraId="28B126C8" w14:textId="77777777" w:rsidR="00471D53" w:rsidRDefault="004F686E" w:rsidP="00471D53">
                <w:pPr>
                  <w:jc w:val="right"/>
                  <w:rPr>
                    <w:szCs w:val="21"/>
                  </w:rPr>
                </w:pPr>
                <w:r w:rsidRPr="00030AFA">
                  <w:rPr>
                    <w:szCs w:val="21"/>
                  </w:rPr>
                  <w:t>100.00</w:t>
                </w:r>
              </w:p>
            </w:tc>
            <w:tc>
              <w:tcPr>
                <w:tcW w:w="1142" w:type="pct"/>
                <w:vAlign w:val="center"/>
              </w:tcPr>
              <w:p w14:paraId="2F298F30" w14:textId="77777777" w:rsidR="00471D53" w:rsidRDefault="004F686E" w:rsidP="00471D53">
                <w:pPr>
                  <w:jc w:val="center"/>
                  <w:rPr>
                    <w:szCs w:val="21"/>
                  </w:rPr>
                </w:pPr>
                <w:r>
                  <w:rPr>
                    <w:rFonts w:hint="eastAsia"/>
                    <w:szCs w:val="21"/>
                  </w:rPr>
                  <w:t>/</w:t>
                </w:r>
              </w:p>
            </w:tc>
          </w:tr>
        </w:tbl>
        <w:p w14:paraId="5138C6D8" w14:textId="77777777" w:rsidR="00471D53" w:rsidRDefault="00B664AF"/>
        <w:p w14:paraId="0A31373F" w14:textId="77777777" w:rsidR="00471D53" w:rsidRDefault="004F686E">
          <w:pPr>
            <w:rPr>
              <w:szCs w:val="21"/>
            </w:rPr>
          </w:pPr>
          <w:r>
            <w:rPr>
              <w:rFonts w:hint="eastAsia"/>
              <w:szCs w:val="21"/>
            </w:rPr>
            <w:t>按单项计提坏账准备的说明：</w:t>
          </w:r>
        </w:p>
        <w:sdt>
          <w:sdtPr>
            <w:rPr>
              <w:szCs w:val="21"/>
            </w:rPr>
            <w:alias w:val="是否适用：按单项计提坏账准备的应收账款说明[双击切换]"/>
            <w:tag w:val="_GBC_5058bdcf98524a1ba98e4618d094237d"/>
            <w:id w:val="760264588"/>
            <w:lock w:val="sdtLocked"/>
          </w:sdtPr>
          <w:sdtEndPr/>
          <w:sdtContent>
            <w:p w14:paraId="1D211925" w14:textId="77777777" w:rsidR="00471D53" w:rsidRDefault="004F686E" w:rsidP="00471D5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6C3C7F96" w14:textId="77777777" w:rsidR="00471D53" w:rsidRDefault="00B664AF"/>
        <w:p w14:paraId="67F780FF" w14:textId="77777777" w:rsidR="00471D53" w:rsidRDefault="00B664AF"/>
      </w:sdtContent>
    </w:sdt>
    <w:bookmarkEnd w:id="119" w:displacedByCustomXml="prev"/>
    <w:p w14:paraId="33C0626B" w14:textId="77777777" w:rsidR="00471D53" w:rsidRDefault="004F686E">
      <w:bookmarkStart w:id="120" w:name="_Hlk10467225"/>
      <w:r>
        <w:rPr>
          <w:rFonts w:hint="eastAsia"/>
        </w:rPr>
        <w:t>按组合计提坏账准备：</w:t>
      </w:r>
    </w:p>
    <w:sdt>
      <w:sdtPr>
        <w:rPr>
          <w:rFonts w:hint="eastAsia"/>
        </w:rPr>
        <w:alias w:val="是否适用：按组合计提坏账准备的应收账款详细情况[双击切换]"/>
        <w:tag w:val="_GBC_47a07baa9a4f4c5ea6de193ae7b87e74"/>
        <w:id w:val="990061310"/>
        <w:lock w:val="sdtContentLocked"/>
        <w:placeholder>
          <w:docPart w:val="GBC22222222222222222222222222222"/>
        </w:placeholder>
      </w:sdtPr>
      <w:sdtEndPr/>
      <w:sdtContent>
        <w:p w14:paraId="768C74C4"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Start w:id="121" w:name="_Hlk533607573" w:displacedByCustomXml="next"/>
    <w:sdt>
      <w:sdtPr>
        <w:rPr>
          <w:rFonts w:hint="eastAsia"/>
          <w:szCs w:val="21"/>
        </w:rPr>
        <w:alias w:val="模块:组合计提项目"/>
        <w:tag w:val="_SEC_f085826b570e4937b558307522853cff"/>
        <w:id w:val="1498157062"/>
        <w:lock w:val="sdtLocked"/>
        <w:placeholder>
          <w:docPart w:val="GBC22222222222222222222222222222"/>
        </w:placeholder>
      </w:sdtPr>
      <w:sdtEndPr>
        <w:rPr>
          <w:rFonts w:hint="default"/>
        </w:rPr>
      </w:sdtEndPr>
      <w:sdtContent>
        <w:p w14:paraId="5CC2A5A9" w14:textId="77777777" w:rsidR="00471D53" w:rsidRDefault="004F686E">
          <w:pPr>
            <w:rPr>
              <w:szCs w:val="21"/>
            </w:rPr>
          </w:pPr>
          <w:r>
            <w:rPr>
              <w:rFonts w:hint="eastAsia"/>
              <w:szCs w:val="21"/>
            </w:rPr>
            <w:t>组合计提项目：</w:t>
          </w:r>
          <w:sdt>
            <w:sdtPr>
              <w:rPr>
                <w:rFonts w:hint="eastAsia"/>
                <w:szCs w:val="21"/>
              </w:rPr>
              <w:alias w:val="按组合计提坏账准备的应收账款明细-组合名称"/>
              <w:tag w:val="_GBC_fec033684b6e412cabcd0e0ea1c6cb96"/>
              <w:id w:val="-1420632961"/>
              <w:lock w:val="sdtLocked"/>
              <w:placeholder>
                <w:docPart w:val="GBC22222222222222222222222222222"/>
              </w:placeholder>
              <w:comboBox>
                <w:listItem w:displayText="其中：账龄组合" w:value="其中：账龄组合"/>
              </w:comboBox>
            </w:sdtPr>
            <w:sdtEndPr/>
            <w:sdtContent>
              <w:r>
                <w:rPr>
                  <w:rFonts w:hint="eastAsia"/>
                  <w:szCs w:val="21"/>
                </w:rPr>
                <w:t>其中：账龄组合</w:t>
              </w:r>
            </w:sdtContent>
          </w:sdt>
        </w:p>
        <w:p w14:paraId="40D585A6" w14:textId="2F752D84" w:rsidR="00471D53" w:rsidRDefault="004F686E">
          <w:pPr>
            <w:autoSpaceDE w:val="0"/>
            <w:autoSpaceDN w:val="0"/>
            <w:adjustRightInd w:val="0"/>
            <w:ind w:left="5880" w:right="105"/>
            <w:jc w:val="right"/>
            <w:rPr>
              <w:szCs w:val="21"/>
            </w:rPr>
          </w:pPr>
          <w:r>
            <w:rPr>
              <w:rFonts w:hint="eastAsia"/>
              <w:szCs w:val="21"/>
            </w:rPr>
            <w:t>单位：</w:t>
          </w:r>
          <w:sdt>
            <w:sdtPr>
              <w:rPr>
                <w:rFonts w:hint="eastAsia"/>
                <w:szCs w:val="21"/>
              </w:rPr>
              <w:alias w:val="单位：按组合计提坏账准备的应收账款详细情况"/>
              <w:tag w:val="_GBC_ccac8c131a6748e699800a5f25e5efcf"/>
              <w:id w:val="18123683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按组合计提坏账准备的应收账款详细情况"/>
              <w:tag w:val="_GBC_f0296899749441bf8c33f5882df60a71"/>
              <w:id w:val="-197589561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2252"/>
            <w:gridCol w:w="2292"/>
            <w:gridCol w:w="2236"/>
          </w:tblGrid>
          <w:tr w:rsidR="00471D53" w14:paraId="003F697D" w14:textId="77777777" w:rsidTr="00510B81">
            <w:sdt>
              <w:sdtPr>
                <w:tag w:val="_PLD_331ca2a43a5247699c45fd6309aee7fd"/>
                <w:id w:val="786394443"/>
                <w:lock w:val="sdtLocked"/>
              </w:sdtPr>
              <w:sdtEndPr/>
              <w:sdtContent>
                <w:tc>
                  <w:tcPr>
                    <w:tcW w:w="1158" w:type="pct"/>
                    <w:vMerge w:val="restart"/>
                    <w:vAlign w:val="center"/>
                  </w:tcPr>
                  <w:p w14:paraId="0E0CD007" w14:textId="77777777" w:rsidR="00471D53" w:rsidRDefault="004F686E">
                    <w:pPr>
                      <w:jc w:val="center"/>
                      <w:rPr>
                        <w:szCs w:val="21"/>
                      </w:rPr>
                    </w:pPr>
                    <w:r>
                      <w:rPr>
                        <w:rFonts w:hint="eastAsia"/>
                        <w:szCs w:val="21"/>
                      </w:rPr>
                      <w:t>名称</w:t>
                    </w:r>
                  </w:p>
                </w:tc>
              </w:sdtContent>
            </w:sdt>
            <w:sdt>
              <w:sdtPr>
                <w:tag w:val="_PLD_271f4f470bff48e385b1a5d9080fde35"/>
                <w:id w:val="620893931"/>
                <w:lock w:val="sdtLocked"/>
              </w:sdtPr>
              <w:sdtEndPr/>
              <w:sdtContent>
                <w:tc>
                  <w:tcPr>
                    <w:tcW w:w="3842" w:type="pct"/>
                    <w:gridSpan w:val="3"/>
                    <w:vAlign w:val="center"/>
                  </w:tcPr>
                  <w:p w14:paraId="613B5096" w14:textId="77777777" w:rsidR="00471D53" w:rsidRDefault="004F686E">
                    <w:pPr>
                      <w:jc w:val="center"/>
                      <w:rPr>
                        <w:szCs w:val="21"/>
                      </w:rPr>
                    </w:pPr>
                    <w:r>
                      <w:rPr>
                        <w:rFonts w:hint="eastAsia"/>
                        <w:szCs w:val="21"/>
                      </w:rPr>
                      <w:t>期末余额</w:t>
                    </w:r>
                  </w:p>
                </w:tc>
              </w:sdtContent>
            </w:sdt>
          </w:tr>
          <w:tr w:rsidR="00471D53" w14:paraId="5565410B" w14:textId="77777777" w:rsidTr="00510B81">
            <w:tc>
              <w:tcPr>
                <w:tcW w:w="1158" w:type="pct"/>
                <w:vMerge/>
              </w:tcPr>
              <w:p w14:paraId="1BBE86B3" w14:textId="77777777" w:rsidR="00471D53" w:rsidRDefault="00B664AF">
                <w:pPr>
                  <w:jc w:val="center"/>
                  <w:rPr>
                    <w:szCs w:val="21"/>
                  </w:rPr>
                </w:pPr>
              </w:p>
            </w:tc>
            <w:sdt>
              <w:sdtPr>
                <w:tag w:val="_PLD_e1c956de9b3b4544a5d0584eaaf6aea2"/>
                <w:id w:val="-2048751475"/>
                <w:lock w:val="sdtLocked"/>
              </w:sdtPr>
              <w:sdtEndPr/>
              <w:sdtContent>
                <w:tc>
                  <w:tcPr>
                    <w:tcW w:w="1276" w:type="pct"/>
                    <w:vAlign w:val="center"/>
                  </w:tcPr>
                  <w:p w14:paraId="774253E5" w14:textId="77777777" w:rsidR="00471D53" w:rsidRDefault="004F686E">
                    <w:pPr>
                      <w:jc w:val="center"/>
                      <w:rPr>
                        <w:szCs w:val="21"/>
                      </w:rPr>
                    </w:pPr>
                    <w:r>
                      <w:rPr>
                        <w:rFonts w:hint="eastAsia"/>
                        <w:szCs w:val="21"/>
                      </w:rPr>
                      <w:t>应收账款</w:t>
                    </w:r>
                  </w:p>
                </w:tc>
              </w:sdtContent>
            </w:sdt>
            <w:sdt>
              <w:sdtPr>
                <w:tag w:val="_PLD_0098acb8b7f640f29f65a14017e23f02"/>
                <w:id w:val="-485937131"/>
                <w:lock w:val="sdtLocked"/>
              </w:sdtPr>
              <w:sdtEndPr/>
              <w:sdtContent>
                <w:tc>
                  <w:tcPr>
                    <w:tcW w:w="1299" w:type="pct"/>
                    <w:vAlign w:val="center"/>
                  </w:tcPr>
                  <w:p w14:paraId="508999F5" w14:textId="77777777" w:rsidR="00471D53" w:rsidRDefault="004F686E">
                    <w:pPr>
                      <w:jc w:val="center"/>
                      <w:rPr>
                        <w:szCs w:val="21"/>
                      </w:rPr>
                    </w:pPr>
                    <w:r>
                      <w:rPr>
                        <w:rFonts w:hint="eastAsia"/>
                        <w:szCs w:val="21"/>
                      </w:rPr>
                      <w:t>坏账准备</w:t>
                    </w:r>
                  </w:p>
                </w:tc>
              </w:sdtContent>
            </w:sdt>
            <w:sdt>
              <w:sdtPr>
                <w:tag w:val="_PLD_290bbc3bde3c43c487996752ceb95160"/>
                <w:id w:val="-523088962"/>
                <w:lock w:val="sdtLocked"/>
              </w:sdtPr>
              <w:sdtEndPr/>
              <w:sdtContent>
                <w:tc>
                  <w:tcPr>
                    <w:tcW w:w="1267" w:type="pct"/>
                    <w:vAlign w:val="center"/>
                  </w:tcPr>
                  <w:p w14:paraId="75417EF7" w14:textId="77777777" w:rsidR="00471D53" w:rsidRDefault="004F686E">
                    <w:pPr>
                      <w:jc w:val="center"/>
                      <w:rPr>
                        <w:szCs w:val="21"/>
                      </w:rPr>
                    </w:pPr>
                    <w:r>
                      <w:rPr>
                        <w:szCs w:val="21"/>
                      </w:rPr>
                      <w:t>计提比例</w:t>
                    </w:r>
                    <w:r>
                      <w:rPr>
                        <w:rFonts w:hint="eastAsia"/>
                        <w:szCs w:val="21"/>
                      </w:rPr>
                      <w:t>（%）</w:t>
                    </w:r>
                  </w:p>
                </w:tc>
              </w:sdtContent>
            </w:sdt>
          </w:tr>
          <w:tr w:rsidR="00471D53" w14:paraId="7D5DFB23" w14:textId="77777777" w:rsidTr="00471D53">
            <w:tc>
              <w:tcPr>
                <w:tcW w:w="1158" w:type="pct"/>
                <w:vAlign w:val="center"/>
              </w:tcPr>
              <w:p w14:paraId="287D1545" w14:textId="77777777" w:rsidR="00471D53" w:rsidRDefault="004F686E" w:rsidP="00471D53">
                <w:pPr>
                  <w:jc w:val="both"/>
                  <w:rPr>
                    <w:sz w:val="22"/>
                    <w:szCs w:val="22"/>
                  </w:rPr>
                </w:pPr>
                <w:r>
                  <w:rPr>
                    <w:rFonts w:hint="eastAsia"/>
                    <w:sz w:val="22"/>
                    <w:szCs w:val="22"/>
                  </w:rPr>
                  <w:t>1年以内</w:t>
                </w:r>
              </w:p>
            </w:tc>
            <w:tc>
              <w:tcPr>
                <w:tcW w:w="1276" w:type="pct"/>
                <w:vAlign w:val="center"/>
              </w:tcPr>
              <w:p w14:paraId="61A5BC79" w14:textId="77777777" w:rsidR="00471D53" w:rsidRDefault="004F686E" w:rsidP="00471D53">
                <w:pPr>
                  <w:jc w:val="right"/>
                  <w:rPr>
                    <w:iCs/>
                    <w:sz w:val="22"/>
                    <w:szCs w:val="22"/>
                  </w:rPr>
                </w:pPr>
                <w:r w:rsidRPr="00F13069">
                  <w:rPr>
                    <w:iCs/>
                    <w:sz w:val="22"/>
                    <w:szCs w:val="22"/>
                  </w:rPr>
                  <w:t>159,092,454.29</w:t>
                </w:r>
              </w:p>
            </w:tc>
            <w:tc>
              <w:tcPr>
                <w:tcW w:w="1299" w:type="pct"/>
                <w:vAlign w:val="center"/>
              </w:tcPr>
              <w:p w14:paraId="2E3C67F1" w14:textId="77777777" w:rsidR="00471D53" w:rsidRDefault="004F686E" w:rsidP="00471D53">
                <w:pPr>
                  <w:jc w:val="right"/>
                  <w:rPr>
                    <w:iCs/>
                    <w:sz w:val="22"/>
                    <w:szCs w:val="22"/>
                  </w:rPr>
                </w:pPr>
                <w:r w:rsidRPr="00F13069">
                  <w:rPr>
                    <w:iCs/>
                    <w:sz w:val="22"/>
                    <w:szCs w:val="22"/>
                  </w:rPr>
                  <w:t>2,561,388.45</w:t>
                </w:r>
              </w:p>
            </w:tc>
            <w:tc>
              <w:tcPr>
                <w:tcW w:w="1267" w:type="pct"/>
                <w:vAlign w:val="center"/>
              </w:tcPr>
              <w:p w14:paraId="5E6C574D" w14:textId="77777777" w:rsidR="00471D53" w:rsidRDefault="004F686E" w:rsidP="00471D53">
                <w:pPr>
                  <w:jc w:val="right"/>
                  <w:rPr>
                    <w:sz w:val="22"/>
                    <w:szCs w:val="22"/>
                  </w:rPr>
                </w:pPr>
                <w:r>
                  <w:rPr>
                    <w:rFonts w:hint="eastAsia"/>
                    <w:sz w:val="22"/>
                    <w:szCs w:val="22"/>
                  </w:rPr>
                  <w:t>1.61</w:t>
                </w:r>
              </w:p>
            </w:tc>
          </w:tr>
          <w:tr w:rsidR="00471D53" w14:paraId="1D9B1D5B" w14:textId="77777777" w:rsidTr="00471D53">
            <w:tc>
              <w:tcPr>
                <w:tcW w:w="1158" w:type="pct"/>
                <w:vAlign w:val="center"/>
              </w:tcPr>
              <w:p w14:paraId="19786993" w14:textId="77777777" w:rsidR="00471D53" w:rsidRDefault="004F686E" w:rsidP="00471D53">
                <w:pPr>
                  <w:jc w:val="both"/>
                  <w:rPr>
                    <w:sz w:val="22"/>
                    <w:szCs w:val="22"/>
                  </w:rPr>
                </w:pPr>
                <w:r>
                  <w:rPr>
                    <w:rFonts w:hint="eastAsia"/>
                    <w:sz w:val="22"/>
                    <w:szCs w:val="22"/>
                  </w:rPr>
                  <w:t>1年至2年</w:t>
                </w:r>
              </w:p>
            </w:tc>
            <w:tc>
              <w:tcPr>
                <w:tcW w:w="1276" w:type="pct"/>
                <w:vAlign w:val="center"/>
              </w:tcPr>
              <w:p w14:paraId="3B76E99F" w14:textId="77777777" w:rsidR="00471D53" w:rsidRDefault="004F686E" w:rsidP="00471D53">
                <w:pPr>
                  <w:jc w:val="right"/>
                  <w:rPr>
                    <w:iCs/>
                    <w:sz w:val="22"/>
                    <w:szCs w:val="22"/>
                  </w:rPr>
                </w:pPr>
                <w:r w:rsidRPr="00F13069">
                  <w:rPr>
                    <w:iCs/>
                    <w:sz w:val="22"/>
                    <w:szCs w:val="22"/>
                  </w:rPr>
                  <w:t>17,430,452.09</w:t>
                </w:r>
              </w:p>
            </w:tc>
            <w:tc>
              <w:tcPr>
                <w:tcW w:w="1299" w:type="pct"/>
                <w:vAlign w:val="center"/>
              </w:tcPr>
              <w:p w14:paraId="5BED3B99" w14:textId="77777777" w:rsidR="00471D53" w:rsidRDefault="004F686E" w:rsidP="00471D53">
                <w:pPr>
                  <w:jc w:val="right"/>
                  <w:rPr>
                    <w:iCs/>
                    <w:sz w:val="22"/>
                    <w:szCs w:val="22"/>
                  </w:rPr>
                </w:pPr>
                <w:r w:rsidRPr="00F13069">
                  <w:rPr>
                    <w:iCs/>
                    <w:sz w:val="22"/>
                    <w:szCs w:val="22"/>
                  </w:rPr>
                  <w:t>3,121,793.97</w:t>
                </w:r>
              </w:p>
            </w:tc>
            <w:tc>
              <w:tcPr>
                <w:tcW w:w="1267" w:type="pct"/>
                <w:vAlign w:val="center"/>
              </w:tcPr>
              <w:p w14:paraId="37143752" w14:textId="77777777" w:rsidR="00471D53" w:rsidRDefault="004F686E" w:rsidP="00471D53">
                <w:pPr>
                  <w:jc w:val="right"/>
                  <w:rPr>
                    <w:sz w:val="22"/>
                    <w:szCs w:val="22"/>
                  </w:rPr>
                </w:pPr>
                <w:r>
                  <w:rPr>
                    <w:rFonts w:hint="eastAsia"/>
                    <w:sz w:val="22"/>
                    <w:szCs w:val="22"/>
                  </w:rPr>
                  <w:t>17.91</w:t>
                </w:r>
              </w:p>
            </w:tc>
          </w:tr>
          <w:tr w:rsidR="00471D53" w14:paraId="14191AA6" w14:textId="77777777" w:rsidTr="00471D53">
            <w:tc>
              <w:tcPr>
                <w:tcW w:w="1158" w:type="pct"/>
                <w:vAlign w:val="center"/>
              </w:tcPr>
              <w:p w14:paraId="62C1FA5B" w14:textId="77777777" w:rsidR="00471D53" w:rsidRDefault="004F686E" w:rsidP="00471D53">
                <w:pPr>
                  <w:jc w:val="both"/>
                  <w:rPr>
                    <w:sz w:val="22"/>
                    <w:szCs w:val="22"/>
                  </w:rPr>
                </w:pPr>
                <w:r>
                  <w:rPr>
                    <w:rFonts w:hint="eastAsia"/>
                    <w:sz w:val="22"/>
                    <w:szCs w:val="22"/>
                  </w:rPr>
                  <w:t>2年至3年</w:t>
                </w:r>
              </w:p>
            </w:tc>
            <w:tc>
              <w:tcPr>
                <w:tcW w:w="1276" w:type="pct"/>
                <w:vAlign w:val="center"/>
              </w:tcPr>
              <w:p w14:paraId="46AE6E25" w14:textId="77777777" w:rsidR="00471D53" w:rsidRDefault="004F686E" w:rsidP="00471D53">
                <w:pPr>
                  <w:jc w:val="right"/>
                  <w:rPr>
                    <w:iCs/>
                    <w:sz w:val="22"/>
                    <w:szCs w:val="22"/>
                  </w:rPr>
                </w:pPr>
                <w:r w:rsidRPr="00F13069">
                  <w:rPr>
                    <w:iCs/>
                    <w:sz w:val="22"/>
                    <w:szCs w:val="22"/>
                  </w:rPr>
                  <w:t>5,223,545.12</w:t>
                </w:r>
              </w:p>
            </w:tc>
            <w:tc>
              <w:tcPr>
                <w:tcW w:w="1299" w:type="pct"/>
                <w:vAlign w:val="center"/>
              </w:tcPr>
              <w:p w14:paraId="2CC4494D" w14:textId="77777777" w:rsidR="00471D53" w:rsidRDefault="004F686E" w:rsidP="00471D53">
                <w:pPr>
                  <w:jc w:val="right"/>
                  <w:rPr>
                    <w:iCs/>
                    <w:sz w:val="22"/>
                    <w:szCs w:val="22"/>
                  </w:rPr>
                </w:pPr>
                <w:r w:rsidRPr="00F13069">
                  <w:rPr>
                    <w:iCs/>
                    <w:sz w:val="22"/>
                    <w:szCs w:val="22"/>
                  </w:rPr>
                  <w:t>1,584,301.24</w:t>
                </w:r>
              </w:p>
            </w:tc>
            <w:tc>
              <w:tcPr>
                <w:tcW w:w="1267" w:type="pct"/>
                <w:vAlign w:val="center"/>
              </w:tcPr>
              <w:p w14:paraId="013CC9DF" w14:textId="77777777" w:rsidR="00471D53" w:rsidRDefault="004F686E" w:rsidP="00471D53">
                <w:pPr>
                  <w:jc w:val="right"/>
                  <w:rPr>
                    <w:sz w:val="22"/>
                    <w:szCs w:val="22"/>
                  </w:rPr>
                </w:pPr>
                <w:r>
                  <w:rPr>
                    <w:rFonts w:hint="eastAsia"/>
                    <w:sz w:val="22"/>
                    <w:szCs w:val="22"/>
                  </w:rPr>
                  <w:t>30.33</w:t>
                </w:r>
              </w:p>
            </w:tc>
          </w:tr>
          <w:tr w:rsidR="00471D53" w14:paraId="25C56C1C" w14:textId="77777777" w:rsidTr="00471D53">
            <w:tc>
              <w:tcPr>
                <w:tcW w:w="1158" w:type="pct"/>
                <w:vAlign w:val="center"/>
              </w:tcPr>
              <w:p w14:paraId="22201359" w14:textId="77777777" w:rsidR="00471D53" w:rsidRDefault="004F686E" w:rsidP="00471D53">
                <w:pPr>
                  <w:jc w:val="both"/>
                  <w:rPr>
                    <w:sz w:val="22"/>
                    <w:szCs w:val="22"/>
                  </w:rPr>
                </w:pPr>
                <w:r>
                  <w:rPr>
                    <w:rFonts w:hint="eastAsia"/>
                    <w:sz w:val="22"/>
                    <w:szCs w:val="22"/>
                  </w:rPr>
                  <w:t>3年至4年</w:t>
                </w:r>
              </w:p>
            </w:tc>
            <w:tc>
              <w:tcPr>
                <w:tcW w:w="1276" w:type="pct"/>
                <w:vAlign w:val="center"/>
              </w:tcPr>
              <w:p w14:paraId="4392EF6C" w14:textId="77777777" w:rsidR="00471D53" w:rsidRDefault="004F686E" w:rsidP="00471D53">
                <w:pPr>
                  <w:jc w:val="right"/>
                  <w:rPr>
                    <w:iCs/>
                    <w:sz w:val="22"/>
                    <w:szCs w:val="22"/>
                  </w:rPr>
                </w:pPr>
                <w:r w:rsidRPr="00F13069">
                  <w:rPr>
                    <w:iCs/>
                    <w:sz w:val="22"/>
                    <w:szCs w:val="22"/>
                  </w:rPr>
                  <w:t>224,338.15</w:t>
                </w:r>
              </w:p>
            </w:tc>
            <w:tc>
              <w:tcPr>
                <w:tcW w:w="1299" w:type="pct"/>
                <w:vAlign w:val="center"/>
              </w:tcPr>
              <w:p w14:paraId="76F7D943" w14:textId="77777777" w:rsidR="00471D53" w:rsidRDefault="004F686E" w:rsidP="00471D53">
                <w:pPr>
                  <w:jc w:val="right"/>
                  <w:rPr>
                    <w:iCs/>
                    <w:sz w:val="22"/>
                    <w:szCs w:val="22"/>
                  </w:rPr>
                </w:pPr>
                <w:r w:rsidRPr="00F13069">
                  <w:rPr>
                    <w:iCs/>
                    <w:sz w:val="22"/>
                    <w:szCs w:val="22"/>
                  </w:rPr>
                  <w:t>132,516.55</w:t>
                </w:r>
              </w:p>
            </w:tc>
            <w:tc>
              <w:tcPr>
                <w:tcW w:w="1267" w:type="pct"/>
                <w:vAlign w:val="center"/>
              </w:tcPr>
              <w:p w14:paraId="1D56CB64" w14:textId="77777777" w:rsidR="00471D53" w:rsidRDefault="004F686E" w:rsidP="00471D53">
                <w:pPr>
                  <w:jc w:val="right"/>
                  <w:rPr>
                    <w:sz w:val="22"/>
                    <w:szCs w:val="22"/>
                  </w:rPr>
                </w:pPr>
                <w:r>
                  <w:rPr>
                    <w:rFonts w:hint="eastAsia"/>
                    <w:sz w:val="22"/>
                    <w:szCs w:val="22"/>
                  </w:rPr>
                  <w:t>59.07</w:t>
                </w:r>
              </w:p>
            </w:tc>
          </w:tr>
          <w:tr w:rsidR="00471D53" w14:paraId="42256915" w14:textId="77777777" w:rsidTr="00471D53">
            <w:tc>
              <w:tcPr>
                <w:tcW w:w="1158" w:type="pct"/>
                <w:vAlign w:val="center"/>
              </w:tcPr>
              <w:p w14:paraId="21D12B2A" w14:textId="77777777" w:rsidR="00471D53" w:rsidRDefault="004F686E" w:rsidP="00471D53">
                <w:pPr>
                  <w:jc w:val="both"/>
                  <w:rPr>
                    <w:sz w:val="22"/>
                    <w:szCs w:val="22"/>
                  </w:rPr>
                </w:pPr>
                <w:r>
                  <w:rPr>
                    <w:rFonts w:hint="eastAsia"/>
                    <w:sz w:val="22"/>
                    <w:szCs w:val="22"/>
                  </w:rPr>
                  <w:t>4年至5年</w:t>
                </w:r>
              </w:p>
            </w:tc>
            <w:tc>
              <w:tcPr>
                <w:tcW w:w="1276" w:type="pct"/>
                <w:vAlign w:val="center"/>
              </w:tcPr>
              <w:p w14:paraId="7071BE8D" w14:textId="77777777" w:rsidR="00471D53" w:rsidRDefault="004F686E" w:rsidP="00471D53">
                <w:pPr>
                  <w:jc w:val="right"/>
                  <w:rPr>
                    <w:iCs/>
                    <w:sz w:val="22"/>
                    <w:szCs w:val="22"/>
                  </w:rPr>
                </w:pPr>
                <w:r w:rsidRPr="00F13069">
                  <w:rPr>
                    <w:iCs/>
                    <w:sz w:val="22"/>
                    <w:szCs w:val="22"/>
                  </w:rPr>
                  <w:t>2,453,231.19</w:t>
                </w:r>
              </w:p>
            </w:tc>
            <w:tc>
              <w:tcPr>
                <w:tcW w:w="1299" w:type="pct"/>
                <w:vAlign w:val="center"/>
              </w:tcPr>
              <w:p w14:paraId="56A80E53" w14:textId="77777777" w:rsidR="00471D53" w:rsidRDefault="004F686E" w:rsidP="00471D53">
                <w:pPr>
                  <w:jc w:val="right"/>
                  <w:rPr>
                    <w:iCs/>
                    <w:sz w:val="22"/>
                    <w:szCs w:val="22"/>
                  </w:rPr>
                </w:pPr>
                <w:r w:rsidRPr="00F13069">
                  <w:rPr>
                    <w:iCs/>
                    <w:sz w:val="22"/>
                    <w:szCs w:val="22"/>
                  </w:rPr>
                  <w:t>2,035,200.60</w:t>
                </w:r>
              </w:p>
            </w:tc>
            <w:tc>
              <w:tcPr>
                <w:tcW w:w="1267" w:type="pct"/>
                <w:vAlign w:val="center"/>
              </w:tcPr>
              <w:p w14:paraId="083A5D99" w14:textId="77777777" w:rsidR="00471D53" w:rsidRDefault="004F686E" w:rsidP="00471D53">
                <w:pPr>
                  <w:jc w:val="right"/>
                  <w:rPr>
                    <w:sz w:val="22"/>
                    <w:szCs w:val="22"/>
                  </w:rPr>
                </w:pPr>
                <w:r>
                  <w:rPr>
                    <w:rFonts w:hint="eastAsia"/>
                    <w:sz w:val="22"/>
                    <w:szCs w:val="22"/>
                  </w:rPr>
                  <w:t>82.96</w:t>
                </w:r>
              </w:p>
            </w:tc>
          </w:tr>
          <w:tr w:rsidR="00471D53" w14:paraId="4BE2C31B" w14:textId="77777777" w:rsidTr="00471D53">
            <w:tc>
              <w:tcPr>
                <w:tcW w:w="1158" w:type="pct"/>
                <w:vAlign w:val="center"/>
              </w:tcPr>
              <w:p w14:paraId="303D34CE" w14:textId="77777777" w:rsidR="00471D53" w:rsidRDefault="004F686E" w:rsidP="00471D53">
                <w:pPr>
                  <w:jc w:val="both"/>
                  <w:rPr>
                    <w:sz w:val="22"/>
                    <w:szCs w:val="22"/>
                  </w:rPr>
                </w:pPr>
                <w:r>
                  <w:rPr>
                    <w:rFonts w:hint="eastAsia"/>
                    <w:sz w:val="22"/>
                    <w:szCs w:val="22"/>
                  </w:rPr>
                  <w:t>5年以上</w:t>
                </w:r>
              </w:p>
            </w:tc>
            <w:tc>
              <w:tcPr>
                <w:tcW w:w="1276" w:type="pct"/>
                <w:vAlign w:val="center"/>
              </w:tcPr>
              <w:p w14:paraId="371F8513" w14:textId="3D5FF446" w:rsidR="00471D53" w:rsidRDefault="004F686E" w:rsidP="00471D53">
                <w:pPr>
                  <w:jc w:val="right"/>
                  <w:rPr>
                    <w:iCs/>
                    <w:sz w:val="22"/>
                    <w:szCs w:val="22"/>
                  </w:rPr>
                </w:pPr>
                <w:r>
                  <w:rPr>
                    <w:rFonts w:hint="eastAsia"/>
                    <w:iCs/>
                    <w:sz w:val="22"/>
                    <w:szCs w:val="22"/>
                  </w:rPr>
                  <w:t>16,829,676.74</w:t>
                </w:r>
              </w:p>
            </w:tc>
            <w:tc>
              <w:tcPr>
                <w:tcW w:w="1299" w:type="pct"/>
                <w:vAlign w:val="center"/>
              </w:tcPr>
              <w:p w14:paraId="4F40F342" w14:textId="252AFAAC" w:rsidR="00471D53" w:rsidRDefault="004F686E" w:rsidP="00471D53">
                <w:pPr>
                  <w:jc w:val="right"/>
                  <w:rPr>
                    <w:iCs/>
                    <w:sz w:val="22"/>
                    <w:szCs w:val="22"/>
                  </w:rPr>
                </w:pPr>
                <w:r>
                  <w:rPr>
                    <w:rFonts w:hint="eastAsia"/>
                    <w:iCs/>
                    <w:sz w:val="22"/>
                    <w:szCs w:val="22"/>
                  </w:rPr>
                  <w:t>16,829,676.74</w:t>
                </w:r>
              </w:p>
            </w:tc>
            <w:tc>
              <w:tcPr>
                <w:tcW w:w="1267" w:type="pct"/>
                <w:vAlign w:val="center"/>
              </w:tcPr>
              <w:p w14:paraId="09C0FE27" w14:textId="77777777" w:rsidR="00471D53" w:rsidRDefault="004F686E" w:rsidP="00471D53">
                <w:pPr>
                  <w:jc w:val="right"/>
                  <w:rPr>
                    <w:sz w:val="22"/>
                    <w:szCs w:val="22"/>
                  </w:rPr>
                </w:pPr>
                <w:r>
                  <w:rPr>
                    <w:rFonts w:hint="eastAsia"/>
                    <w:sz w:val="22"/>
                    <w:szCs w:val="22"/>
                  </w:rPr>
                  <w:t>100.00</w:t>
                </w:r>
              </w:p>
            </w:tc>
          </w:tr>
          <w:tr w:rsidR="00471D53" w14:paraId="7674E043" w14:textId="77777777" w:rsidTr="00471D53">
            <w:sdt>
              <w:sdtPr>
                <w:tag w:val="_PLD_9a3bf225ae544565ad2cb49381fcaca1"/>
                <w:id w:val="-96097832"/>
                <w:lock w:val="sdtLocked"/>
              </w:sdtPr>
              <w:sdtEndPr/>
              <w:sdtContent>
                <w:tc>
                  <w:tcPr>
                    <w:tcW w:w="1158" w:type="pct"/>
                    <w:vAlign w:val="center"/>
                  </w:tcPr>
                  <w:p w14:paraId="5563D1B4" w14:textId="77777777" w:rsidR="00471D53" w:rsidRDefault="004F686E">
                    <w:pPr>
                      <w:jc w:val="center"/>
                      <w:rPr>
                        <w:szCs w:val="21"/>
                      </w:rPr>
                    </w:pPr>
                    <w:r>
                      <w:rPr>
                        <w:rFonts w:hint="eastAsia"/>
                        <w:szCs w:val="21"/>
                      </w:rPr>
                      <w:t>合计</w:t>
                    </w:r>
                  </w:p>
                </w:tc>
              </w:sdtContent>
            </w:sdt>
            <w:tc>
              <w:tcPr>
                <w:tcW w:w="1276" w:type="pct"/>
                <w:vAlign w:val="center"/>
              </w:tcPr>
              <w:p w14:paraId="5017A3F8" w14:textId="1F5D77ED" w:rsidR="00471D53" w:rsidRPr="00A676A6" w:rsidRDefault="004F686E" w:rsidP="00471D53">
                <w:pPr>
                  <w:jc w:val="right"/>
                  <w:rPr>
                    <w:iCs/>
                    <w:sz w:val="22"/>
                    <w:szCs w:val="22"/>
                  </w:rPr>
                </w:pPr>
                <w:r w:rsidRPr="00A676A6">
                  <w:rPr>
                    <w:rFonts w:hint="eastAsia"/>
                    <w:iCs/>
                    <w:sz w:val="22"/>
                    <w:szCs w:val="22"/>
                  </w:rPr>
                  <w:t>201,253,697.58</w:t>
                </w:r>
              </w:p>
            </w:tc>
            <w:tc>
              <w:tcPr>
                <w:tcW w:w="1299" w:type="pct"/>
                <w:vAlign w:val="center"/>
              </w:tcPr>
              <w:p w14:paraId="35FA42A7" w14:textId="77777777" w:rsidR="00471D53" w:rsidRPr="00A676A6" w:rsidRDefault="004F686E" w:rsidP="00471D53">
                <w:pPr>
                  <w:jc w:val="right"/>
                  <w:rPr>
                    <w:iCs/>
                    <w:sz w:val="22"/>
                    <w:szCs w:val="22"/>
                  </w:rPr>
                </w:pPr>
                <w:r w:rsidRPr="00A676A6">
                  <w:rPr>
                    <w:iCs/>
                    <w:sz w:val="22"/>
                    <w:szCs w:val="22"/>
                  </w:rPr>
                  <w:t>26,264,877.55</w:t>
                </w:r>
              </w:p>
            </w:tc>
            <w:tc>
              <w:tcPr>
                <w:tcW w:w="1267" w:type="pct"/>
              </w:tcPr>
              <w:p w14:paraId="5CDBC72D" w14:textId="77777777" w:rsidR="00471D53" w:rsidRDefault="00B664AF">
                <w:pPr>
                  <w:jc w:val="right"/>
                  <w:rPr>
                    <w:szCs w:val="21"/>
                  </w:rPr>
                </w:pPr>
              </w:p>
            </w:tc>
          </w:tr>
        </w:tbl>
        <w:p w14:paraId="7CCC5F26" w14:textId="77777777" w:rsidR="00471D53" w:rsidRDefault="004F686E">
          <w:pPr>
            <w:rPr>
              <w:szCs w:val="21"/>
            </w:rPr>
          </w:pPr>
          <w:r>
            <w:rPr>
              <w:rFonts w:hint="eastAsia"/>
              <w:szCs w:val="21"/>
            </w:rPr>
            <w:t>按组合计提坏账的确认标准及说明：</w:t>
          </w:r>
        </w:p>
        <w:sdt>
          <w:sdtPr>
            <w:rPr>
              <w:szCs w:val="21"/>
            </w:rPr>
            <w:alias w:val="是否适用：按组合计提坏账准备的应收账款确认标准[双击切换]"/>
            <w:tag w:val="_GBC_8361cfeb973b4073b7fdbd49a393b38c"/>
            <w:id w:val="372585023"/>
            <w:lock w:val="sdtLocked"/>
            <w:placeholder>
              <w:docPart w:val="GBC22222222222222222222222222222"/>
            </w:placeholder>
          </w:sdtPr>
          <w:sdtEndPr/>
          <w:sdtContent>
            <w:p w14:paraId="476B3BE6" w14:textId="77777777" w:rsidR="00471D53" w:rsidRDefault="004F686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按组合计提坏账准备的应收账款确认标准"/>
            <w:tag w:val="_GBC_0fdd528f57da417a993d3f091b676d12"/>
            <w:id w:val="-547994508"/>
            <w:lock w:val="sdtLocked"/>
            <w:placeholder>
              <w:docPart w:val="GBC22222222222222222222222222222"/>
            </w:placeholder>
          </w:sdtPr>
          <w:sdtEndPr/>
          <w:sdtContent>
            <w:p w14:paraId="63081155" w14:textId="77777777" w:rsidR="00471D53" w:rsidRDefault="004F686E">
              <w:pPr>
                <w:rPr>
                  <w:szCs w:val="21"/>
                </w:rPr>
              </w:pPr>
              <w:r>
                <w:rPr>
                  <w:rFonts w:hint="eastAsia"/>
                  <w:szCs w:val="21"/>
                </w:rPr>
                <w:t>见五、12</w:t>
              </w:r>
            </w:p>
          </w:sdtContent>
        </w:sdt>
      </w:sdtContent>
    </w:sdt>
    <w:bookmarkEnd w:id="120"/>
    <w:bookmarkEnd w:id="121"/>
    <w:p w14:paraId="162192E5" w14:textId="77777777" w:rsidR="00471D53" w:rsidRDefault="00B664AF"/>
    <w:bookmarkStart w:id="122" w:name="_Hlk10467269" w:displacedByCustomXml="next"/>
    <w:bookmarkStart w:id="123" w:name="_Hlk10467279" w:displacedByCustomXml="next"/>
    <w:sdt>
      <w:sdtPr>
        <w:rPr>
          <w:rFonts w:hint="eastAsia"/>
        </w:rPr>
        <w:alias w:val="模块:如按预期信用损失一般模型计提坏账准备，请参照其他应收款披露："/>
        <w:tag w:val="_SEC_a585c426a16c4a73a2145ded2280b59a"/>
        <w:id w:val="1946815736"/>
        <w:lock w:val="sdtLocked"/>
        <w:placeholder>
          <w:docPart w:val="GBC22222222222222222222222222222"/>
        </w:placeholder>
      </w:sdtPr>
      <w:sdtEndPr>
        <w:rPr>
          <w:rFonts w:hint="default"/>
        </w:rPr>
      </w:sdtEndPr>
      <w:sdtContent>
        <w:p w14:paraId="210D285F" w14:textId="77777777" w:rsidR="00471D53" w:rsidRDefault="004F686E">
          <w:r>
            <w:rPr>
              <w:rFonts w:hint="eastAsia"/>
            </w:rPr>
            <w:t>如按预期信用损失一般模型计提坏账准备，请参照其他应收款披露：</w:t>
          </w:r>
          <w:bookmarkEnd w:id="122"/>
        </w:p>
        <w:sdt>
          <w:sdtPr>
            <w:alias w:val="是否适用：应收账款按一般预计信用损失模型计提坏账[双击切换]"/>
            <w:tag w:val="_GBC_dbecd76100814214abd6f7c10d1dd2fa"/>
            <w:id w:val="-40834688"/>
            <w:lock w:val="sdtLocked"/>
            <w:placeholder>
              <w:docPart w:val="GBC22222222222222222222222222222"/>
            </w:placeholder>
          </w:sdtPr>
          <w:sdtEndPr/>
          <w:sdtContent>
            <w:p w14:paraId="10D27B70"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应收账款按一般预计信用损失模型计提坏账"/>
            <w:tag w:val="_GBC_b29500dee0fc4e1890259fb94942b6f3"/>
            <w:id w:val="1119407484"/>
            <w:lock w:val="sdtLocked"/>
            <w:placeholder>
              <w:docPart w:val="GBC22222222222222222222222222222"/>
            </w:placeholder>
          </w:sdtPr>
          <w:sdtEndPr/>
          <w:sdtContent>
            <w:p w14:paraId="7144A4F1" w14:textId="77777777" w:rsidR="00471D53" w:rsidRDefault="00B664AF"/>
            <w:tbl>
              <w:tblPr>
                <w:tblStyle w:val="g4"/>
                <w:tblW w:w="5000" w:type="pct"/>
                <w:jc w:val="center"/>
                <w:tblBorders>
                  <w:top w:val="double" w:sz="4" w:space="0" w:color="auto"/>
                  <w:bottom w:val="double" w:sz="4" w:space="0" w:color="auto"/>
                  <w:insideH w:val="single" w:sz="2" w:space="0" w:color="auto"/>
                  <w:insideV w:val="single" w:sz="2" w:space="0" w:color="auto"/>
                </w:tblBorders>
                <w:tblLook w:val="0000" w:firstRow="0" w:lastRow="0" w:firstColumn="0" w:lastColumn="0" w:noHBand="0" w:noVBand="0"/>
              </w:tblPr>
              <w:tblGrid>
                <w:gridCol w:w="2380"/>
                <w:gridCol w:w="1556"/>
                <w:gridCol w:w="1664"/>
                <w:gridCol w:w="1652"/>
                <w:gridCol w:w="1581"/>
              </w:tblGrid>
              <w:tr w:rsidR="00471D53" w:rsidRPr="00D637E5" w14:paraId="53E1A02D" w14:textId="77777777" w:rsidTr="00471D53">
                <w:trPr>
                  <w:trHeight w:val="340"/>
                  <w:tblHeader/>
                  <w:jc w:val="center"/>
                </w:trPr>
                <w:tc>
                  <w:tcPr>
                    <w:tcW w:w="1347" w:type="pct"/>
                    <w:vMerge w:val="restart"/>
                    <w:tcMar>
                      <w:left w:w="28" w:type="dxa"/>
                      <w:right w:w="28" w:type="dxa"/>
                    </w:tcMar>
                    <w:vAlign w:val="center"/>
                  </w:tcPr>
                  <w:p w14:paraId="7178A217" w14:textId="77777777" w:rsidR="00471D53" w:rsidRPr="00D637E5" w:rsidRDefault="004F686E" w:rsidP="00471D53">
                    <w:pPr>
                      <w:jc w:val="both"/>
                      <w:rPr>
                        <w:b/>
                        <w:sz w:val="20"/>
                        <w:szCs w:val="20"/>
                      </w:rPr>
                    </w:pPr>
                    <w:r w:rsidRPr="00D637E5">
                      <w:rPr>
                        <w:rFonts w:hint="eastAsia"/>
                        <w:b/>
                        <w:sz w:val="20"/>
                        <w:szCs w:val="20"/>
                      </w:rPr>
                      <w:t>坏账准备</w:t>
                    </w:r>
                  </w:p>
                </w:tc>
                <w:tc>
                  <w:tcPr>
                    <w:tcW w:w="881" w:type="pct"/>
                    <w:tcMar>
                      <w:left w:w="28" w:type="dxa"/>
                      <w:right w:w="28" w:type="dxa"/>
                    </w:tcMar>
                    <w:vAlign w:val="center"/>
                  </w:tcPr>
                  <w:p w14:paraId="3BEF45F7" w14:textId="77777777" w:rsidR="00471D53" w:rsidRPr="00D637E5" w:rsidRDefault="004F686E" w:rsidP="00471D53">
                    <w:pPr>
                      <w:jc w:val="center"/>
                      <w:rPr>
                        <w:b/>
                        <w:sz w:val="20"/>
                        <w:szCs w:val="20"/>
                      </w:rPr>
                    </w:pPr>
                    <w:r w:rsidRPr="00D637E5">
                      <w:rPr>
                        <w:rFonts w:hint="eastAsia"/>
                        <w:b/>
                        <w:sz w:val="20"/>
                        <w:szCs w:val="20"/>
                      </w:rPr>
                      <w:t>第一阶段</w:t>
                    </w:r>
                  </w:p>
                </w:tc>
                <w:tc>
                  <w:tcPr>
                    <w:tcW w:w="942" w:type="pct"/>
                    <w:tcMar>
                      <w:left w:w="28" w:type="dxa"/>
                      <w:right w:w="28" w:type="dxa"/>
                    </w:tcMar>
                    <w:vAlign w:val="center"/>
                  </w:tcPr>
                  <w:p w14:paraId="655BE713" w14:textId="77777777" w:rsidR="00471D53" w:rsidRPr="00D637E5" w:rsidRDefault="004F686E" w:rsidP="00471D53">
                    <w:pPr>
                      <w:jc w:val="center"/>
                      <w:rPr>
                        <w:b/>
                        <w:sz w:val="20"/>
                        <w:szCs w:val="20"/>
                      </w:rPr>
                    </w:pPr>
                    <w:r w:rsidRPr="00D637E5">
                      <w:rPr>
                        <w:rFonts w:hint="eastAsia"/>
                        <w:b/>
                        <w:sz w:val="20"/>
                        <w:szCs w:val="20"/>
                      </w:rPr>
                      <w:t>第二阶段</w:t>
                    </w:r>
                  </w:p>
                </w:tc>
                <w:tc>
                  <w:tcPr>
                    <w:tcW w:w="935" w:type="pct"/>
                    <w:tcMar>
                      <w:left w:w="28" w:type="dxa"/>
                      <w:right w:w="28" w:type="dxa"/>
                    </w:tcMar>
                    <w:vAlign w:val="center"/>
                  </w:tcPr>
                  <w:p w14:paraId="11BCB5A6" w14:textId="77777777" w:rsidR="00471D53" w:rsidRPr="00D637E5" w:rsidRDefault="004F686E" w:rsidP="00471D53">
                    <w:pPr>
                      <w:jc w:val="center"/>
                      <w:rPr>
                        <w:b/>
                        <w:sz w:val="20"/>
                        <w:szCs w:val="20"/>
                      </w:rPr>
                    </w:pPr>
                    <w:r w:rsidRPr="00D637E5">
                      <w:rPr>
                        <w:rFonts w:hint="eastAsia"/>
                        <w:b/>
                        <w:sz w:val="20"/>
                        <w:szCs w:val="20"/>
                      </w:rPr>
                      <w:t>第三阶段</w:t>
                    </w:r>
                  </w:p>
                </w:tc>
                <w:tc>
                  <w:tcPr>
                    <w:tcW w:w="895" w:type="pct"/>
                    <w:vMerge w:val="restart"/>
                    <w:tcMar>
                      <w:left w:w="28" w:type="dxa"/>
                      <w:right w:w="28" w:type="dxa"/>
                    </w:tcMar>
                    <w:vAlign w:val="center"/>
                  </w:tcPr>
                  <w:p w14:paraId="0F914A72" w14:textId="77777777" w:rsidR="00471D53" w:rsidRPr="00D637E5" w:rsidRDefault="004F686E" w:rsidP="00471D53">
                    <w:pPr>
                      <w:jc w:val="center"/>
                      <w:rPr>
                        <w:b/>
                        <w:sz w:val="20"/>
                        <w:szCs w:val="20"/>
                      </w:rPr>
                    </w:pPr>
                    <w:r w:rsidRPr="00D637E5">
                      <w:rPr>
                        <w:rFonts w:hint="eastAsia"/>
                        <w:b/>
                        <w:sz w:val="20"/>
                        <w:szCs w:val="20"/>
                      </w:rPr>
                      <w:t>合计</w:t>
                    </w:r>
                  </w:p>
                </w:tc>
              </w:tr>
              <w:tr w:rsidR="00471D53" w:rsidRPr="00D637E5" w14:paraId="6F92A26C" w14:textId="77777777" w:rsidTr="00471D53">
                <w:trPr>
                  <w:trHeight w:val="340"/>
                  <w:tblHeader/>
                  <w:jc w:val="center"/>
                </w:trPr>
                <w:tc>
                  <w:tcPr>
                    <w:tcW w:w="1347" w:type="pct"/>
                    <w:vMerge/>
                    <w:tcMar>
                      <w:left w:w="28" w:type="dxa"/>
                      <w:right w:w="28" w:type="dxa"/>
                    </w:tcMar>
                    <w:vAlign w:val="center"/>
                  </w:tcPr>
                  <w:p w14:paraId="11CAB0FF" w14:textId="77777777" w:rsidR="00471D53" w:rsidRPr="00D637E5" w:rsidRDefault="00B664AF" w:rsidP="00471D53">
                    <w:pPr>
                      <w:jc w:val="both"/>
                      <w:rPr>
                        <w:b/>
                        <w:sz w:val="20"/>
                        <w:szCs w:val="20"/>
                      </w:rPr>
                    </w:pPr>
                  </w:p>
                </w:tc>
                <w:tc>
                  <w:tcPr>
                    <w:tcW w:w="881" w:type="pct"/>
                    <w:tcMar>
                      <w:left w:w="28" w:type="dxa"/>
                      <w:right w:w="28" w:type="dxa"/>
                    </w:tcMar>
                    <w:vAlign w:val="center"/>
                  </w:tcPr>
                  <w:p w14:paraId="27F4E787" w14:textId="77777777" w:rsidR="00471D53" w:rsidRPr="00D637E5" w:rsidRDefault="004F686E" w:rsidP="00471D53">
                    <w:pPr>
                      <w:jc w:val="center"/>
                      <w:rPr>
                        <w:b/>
                        <w:sz w:val="20"/>
                        <w:szCs w:val="20"/>
                      </w:rPr>
                    </w:pPr>
                    <w:r w:rsidRPr="00D637E5">
                      <w:rPr>
                        <w:rFonts w:hint="eastAsia"/>
                        <w:b/>
                        <w:sz w:val="20"/>
                        <w:szCs w:val="20"/>
                      </w:rPr>
                      <w:t>未来12个月预期信用损失</w:t>
                    </w:r>
                  </w:p>
                </w:tc>
                <w:tc>
                  <w:tcPr>
                    <w:tcW w:w="942" w:type="pct"/>
                    <w:tcMar>
                      <w:left w:w="28" w:type="dxa"/>
                      <w:right w:w="28" w:type="dxa"/>
                    </w:tcMar>
                    <w:vAlign w:val="center"/>
                  </w:tcPr>
                  <w:p w14:paraId="7962E50E" w14:textId="77777777" w:rsidR="00471D53" w:rsidRPr="00D637E5" w:rsidRDefault="004F686E" w:rsidP="00471D53">
                    <w:pPr>
                      <w:jc w:val="center"/>
                      <w:rPr>
                        <w:b/>
                        <w:sz w:val="20"/>
                        <w:szCs w:val="20"/>
                      </w:rPr>
                    </w:pPr>
                    <w:r w:rsidRPr="00D637E5">
                      <w:rPr>
                        <w:rFonts w:hint="eastAsia"/>
                        <w:b/>
                        <w:sz w:val="20"/>
                        <w:szCs w:val="20"/>
                      </w:rPr>
                      <w:t>整个存续期预期信用损失(未发生信用减值)</w:t>
                    </w:r>
                  </w:p>
                </w:tc>
                <w:tc>
                  <w:tcPr>
                    <w:tcW w:w="935" w:type="pct"/>
                    <w:tcMar>
                      <w:left w:w="28" w:type="dxa"/>
                      <w:right w:w="28" w:type="dxa"/>
                    </w:tcMar>
                    <w:vAlign w:val="center"/>
                  </w:tcPr>
                  <w:p w14:paraId="61FA4112" w14:textId="77777777" w:rsidR="00471D53" w:rsidRPr="00D637E5" w:rsidRDefault="004F686E" w:rsidP="00471D53">
                    <w:pPr>
                      <w:jc w:val="center"/>
                      <w:rPr>
                        <w:b/>
                        <w:sz w:val="20"/>
                        <w:szCs w:val="20"/>
                      </w:rPr>
                    </w:pPr>
                    <w:r w:rsidRPr="00D637E5">
                      <w:rPr>
                        <w:rFonts w:hint="eastAsia"/>
                        <w:b/>
                        <w:sz w:val="20"/>
                        <w:szCs w:val="20"/>
                      </w:rPr>
                      <w:t>整个存续期预期信用损失(已发生信用减值)</w:t>
                    </w:r>
                  </w:p>
                </w:tc>
                <w:tc>
                  <w:tcPr>
                    <w:tcW w:w="895" w:type="pct"/>
                    <w:vMerge/>
                    <w:tcMar>
                      <w:left w:w="28" w:type="dxa"/>
                      <w:right w:w="28" w:type="dxa"/>
                    </w:tcMar>
                    <w:vAlign w:val="center"/>
                  </w:tcPr>
                  <w:p w14:paraId="589F3A76" w14:textId="77777777" w:rsidR="00471D53" w:rsidRPr="00D637E5" w:rsidRDefault="00B664AF" w:rsidP="00471D53">
                    <w:pPr>
                      <w:jc w:val="center"/>
                      <w:rPr>
                        <w:b/>
                        <w:sz w:val="20"/>
                        <w:szCs w:val="20"/>
                      </w:rPr>
                    </w:pPr>
                  </w:p>
                </w:tc>
              </w:tr>
              <w:tr w:rsidR="00471D53" w:rsidRPr="00D637E5" w14:paraId="5892277C" w14:textId="77777777" w:rsidTr="00471D53">
                <w:trPr>
                  <w:trHeight w:val="340"/>
                  <w:jc w:val="center"/>
                </w:trPr>
                <w:tc>
                  <w:tcPr>
                    <w:tcW w:w="1347" w:type="pct"/>
                    <w:tcMar>
                      <w:left w:w="28" w:type="dxa"/>
                      <w:right w:w="28" w:type="dxa"/>
                    </w:tcMar>
                    <w:vAlign w:val="center"/>
                  </w:tcPr>
                  <w:p w14:paraId="676DF61A" w14:textId="77777777" w:rsidR="00471D53" w:rsidRPr="00D637E5" w:rsidRDefault="004F686E" w:rsidP="00471D53">
                    <w:pPr>
                      <w:jc w:val="both"/>
                      <w:rPr>
                        <w:sz w:val="20"/>
                        <w:szCs w:val="20"/>
                      </w:rPr>
                    </w:pPr>
                    <w:r w:rsidRPr="00D637E5">
                      <w:rPr>
                        <w:rFonts w:hint="eastAsia"/>
                        <w:sz w:val="20"/>
                        <w:szCs w:val="20"/>
                      </w:rPr>
                      <w:t>2021年1月1日余额</w:t>
                    </w:r>
                  </w:p>
                </w:tc>
                <w:tc>
                  <w:tcPr>
                    <w:tcW w:w="881" w:type="pct"/>
                    <w:tcMar>
                      <w:left w:w="28" w:type="dxa"/>
                      <w:right w:w="28" w:type="dxa"/>
                    </w:tcMar>
                    <w:vAlign w:val="center"/>
                  </w:tcPr>
                  <w:p w14:paraId="008740CE" w14:textId="77777777" w:rsidR="00471D53" w:rsidRPr="00D637E5" w:rsidRDefault="004F686E" w:rsidP="00471D53">
                    <w:pPr>
                      <w:jc w:val="right"/>
                      <w:rPr>
                        <w:bCs/>
                        <w:sz w:val="20"/>
                        <w:szCs w:val="20"/>
                      </w:rPr>
                    </w:pPr>
                    <w:r w:rsidRPr="00D637E5">
                      <w:rPr>
                        <w:rFonts w:hint="eastAsia"/>
                        <w:bCs/>
                        <w:sz w:val="20"/>
                        <w:szCs w:val="20"/>
                      </w:rPr>
                      <w:t>0.00</w:t>
                    </w:r>
                  </w:p>
                </w:tc>
                <w:tc>
                  <w:tcPr>
                    <w:tcW w:w="942" w:type="pct"/>
                    <w:tcMar>
                      <w:left w:w="28" w:type="dxa"/>
                      <w:right w:w="28" w:type="dxa"/>
                    </w:tcMar>
                    <w:vAlign w:val="center"/>
                  </w:tcPr>
                  <w:p w14:paraId="5FCDCDE4" w14:textId="77777777" w:rsidR="00471D53" w:rsidRPr="00D637E5" w:rsidRDefault="004F686E" w:rsidP="00471D53">
                    <w:pPr>
                      <w:jc w:val="right"/>
                      <w:rPr>
                        <w:sz w:val="20"/>
                        <w:szCs w:val="20"/>
                      </w:rPr>
                    </w:pPr>
                    <w:r w:rsidRPr="00D637E5">
                      <w:rPr>
                        <w:rFonts w:cs="Calibri"/>
                        <w:sz w:val="20"/>
                        <w:szCs w:val="20"/>
                      </w:rPr>
                      <w:t>24,065,265.64</w:t>
                    </w:r>
                  </w:p>
                </w:tc>
                <w:tc>
                  <w:tcPr>
                    <w:tcW w:w="935" w:type="pct"/>
                    <w:tcMar>
                      <w:left w:w="28" w:type="dxa"/>
                      <w:right w:w="28" w:type="dxa"/>
                    </w:tcMar>
                    <w:vAlign w:val="center"/>
                  </w:tcPr>
                  <w:p w14:paraId="7560805D" w14:textId="77777777" w:rsidR="00471D53" w:rsidRPr="00D637E5" w:rsidRDefault="004F686E" w:rsidP="00471D53">
                    <w:pPr>
                      <w:jc w:val="right"/>
                      <w:rPr>
                        <w:sz w:val="20"/>
                        <w:szCs w:val="20"/>
                      </w:rPr>
                    </w:pPr>
                    <w:r w:rsidRPr="00D637E5">
                      <w:rPr>
                        <w:rFonts w:cs="Calibri"/>
                        <w:sz w:val="20"/>
                        <w:szCs w:val="20"/>
                      </w:rPr>
                      <w:t>37,900,348.56</w:t>
                    </w:r>
                  </w:p>
                </w:tc>
                <w:tc>
                  <w:tcPr>
                    <w:tcW w:w="895" w:type="pct"/>
                    <w:tcMar>
                      <w:left w:w="28" w:type="dxa"/>
                      <w:right w:w="28" w:type="dxa"/>
                    </w:tcMar>
                    <w:vAlign w:val="center"/>
                  </w:tcPr>
                  <w:p w14:paraId="1229619B" w14:textId="77777777" w:rsidR="00471D53" w:rsidRPr="00D637E5" w:rsidRDefault="004F686E" w:rsidP="00471D53">
                    <w:pPr>
                      <w:jc w:val="right"/>
                      <w:rPr>
                        <w:bCs/>
                        <w:sz w:val="20"/>
                        <w:szCs w:val="20"/>
                      </w:rPr>
                    </w:pPr>
                    <w:r w:rsidRPr="00D637E5">
                      <w:rPr>
                        <w:rFonts w:cs="Calibri"/>
                        <w:sz w:val="20"/>
                        <w:szCs w:val="20"/>
                      </w:rPr>
                      <w:t>61,965,614.20</w:t>
                    </w:r>
                  </w:p>
                </w:tc>
              </w:tr>
              <w:tr w:rsidR="00471D53" w:rsidRPr="00D637E5" w14:paraId="5704CF48" w14:textId="77777777" w:rsidTr="00471D53">
                <w:trPr>
                  <w:trHeight w:val="340"/>
                  <w:jc w:val="center"/>
                </w:trPr>
                <w:tc>
                  <w:tcPr>
                    <w:tcW w:w="1347" w:type="pct"/>
                    <w:tcMar>
                      <w:left w:w="28" w:type="dxa"/>
                      <w:right w:w="28" w:type="dxa"/>
                    </w:tcMar>
                    <w:vAlign w:val="center"/>
                  </w:tcPr>
                  <w:p w14:paraId="7A01B861" w14:textId="77777777" w:rsidR="00471D53" w:rsidRPr="00D637E5" w:rsidRDefault="004F686E" w:rsidP="00471D53">
                    <w:pPr>
                      <w:jc w:val="both"/>
                      <w:rPr>
                        <w:sz w:val="20"/>
                        <w:szCs w:val="20"/>
                      </w:rPr>
                    </w:pPr>
                    <w:r w:rsidRPr="00D637E5">
                      <w:rPr>
                        <w:rFonts w:hint="eastAsia"/>
                        <w:sz w:val="20"/>
                        <w:szCs w:val="20"/>
                      </w:rPr>
                      <w:t>20</w:t>
                    </w:r>
                    <w:r w:rsidRPr="00D637E5">
                      <w:rPr>
                        <w:sz w:val="20"/>
                        <w:szCs w:val="20"/>
                      </w:rPr>
                      <w:t>2</w:t>
                    </w:r>
                    <w:r w:rsidRPr="00D637E5">
                      <w:rPr>
                        <w:rFonts w:hint="eastAsia"/>
                        <w:sz w:val="20"/>
                        <w:szCs w:val="20"/>
                      </w:rPr>
                      <w:t>1年1月1日应收账款账面余额</w:t>
                    </w:r>
                    <w:r w:rsidRPr="00D637E5">
                      <w:rPr>
                        <w:sz w:val="20"/>
                        <w:szCs w:val="20"/>
                      </w:rPr>
                      <w:t>在本</w:t>
                    </w:r>
                    <w:r w:rsidRPr="00D637E5">
                      <w:rPr>
                        <w:rFonts w:hint="eastAsia"/>
                        <w:sz w:val="20"/>
                        <w:szCs w:val="20"/>
                      </w:rPr>
                      <w:t>期</w:t>
                    </w:r>
                  </w:p>
                </w:tc>
                <w:tc>
                  <w:tcPr>
                    <w:tcW w:w="881" w:type="pct"/>
                    <w:tcMar>
                      <w:left w:w="28" w:type="dxa"/>
                      <w:right w:w="28" w:type="dxa"/>
                    </w:tcMar>
                    <w:vAlign w:val="center"/>
                  </w:tcPr>
                  <w:p w14:paraId="2F0B5681" w14:textId="77777777" w:rsidR="00471D53" w:rsidRPr="00D637E5" w:rsidRDefault="004F686E" w:rsidP="00471D53">
                    <w:pPr>
                      <w:jc w:val="center"/>
                      <w:rPr>
                        <w:bCs/>
                        <w:sz w:val="20"/>
                        <w:szCs w:val="20"/>
                      </w:rPr>
                    </w:pPr>
                    <w:r w:rsidRPr="00D637E5">
                      <w:rPr>
                        <w:rFonts w:hint="eastAsia"/>
                        <w:bCs/>
                        <w:sz w:val="20"/>
                        <w:szCs w:val="20"/>
                      </w:rPr>
                      <w:t>—</w:t>
                    </w:r>
                  </w:p>
                </w:tc>
                <w:tc>
                  <w:tcPr>
                    <w:tcW w:w="942" w:type="pct"/>
                    <w:tcMar>
                      <w:left w:w="28" w:type="dxa"/>
                      <w:right w:w="28" w:type="dxa"/>
                    </w:tcMar>
                    <w:vAlign w:val="center"/>
                  </w:tcPr>
                  <w:p w14:paraId="610250AD" w14:textId="77777777" w:rsidR="00471D53" w:rsidRPr="00D637E5" w:rsidRDefault="004F686E" w:rsidP="00471D53">
                    <w:pPr>
                      <w:jc w:val="center"/>
                      <w:rPr>
                        <w:rFonts w:cs="Calibri"/>
                        <w:sz w:val="20"/>
                        <w:szCs w:val="20"/>
                      </w:rPr>
                    </w:pPr>
                    <w:r w:rsidRPr="00D637E5">
                      <w:rPr>
                        <w:rFonts w:cs="Calibri" w:hint="eastAsia"/>
                        <w:sz w:val="20"/>
                        <w:szCs w:val="20"/>
                      </w:rPr>
                      <w:t>—</w:t>
                    </w:r>
                  </w:p>
                </w:tc>
                <w:tc>
                  <w:tcPr>
                    <w:tcW w:w="935" w:type="pct"/>
                    <w:tcMar>
                      <w:left w:w="28" w:type="dxa"/>
                      <w:right w:w="28" w:type="dxa"/>
                    </w:tcMar>
                    <w:vAlign w:val="center"/>
                  </w:tcPr>
                  <w:p w14:paraId="30DDF76E" w14:textId="77777777" w:rsidR="00471D53" w:rsidRPr="00D637E5" w:rsidRDefault="004F686E" w:rsidP="00471D53">
                    <w:pPr>
                      <w:jc w:val="center"/>
                      <w:rPr>
                        <w:bCs/>
                        <w:sz w:val="20"/>
                        <w:szCs w:val="20"/>
                      </w:rPr>
                    </w:pPr>
                    <w:r w:rsidRPr="00D637E5">
                      <w:rPr>
                        <w:rFonts w:cs="Calibri" w:hint="eastAsia"/>
                        <w:bCs/>
                        <w:sz w:val="20"/>
                        <w:szCs w:val="20"/>
                      </w:rPr>
                      <w:t>—</w:t>
                    </w:r>
                  </w:p>
                </w:tc>
                <w:tc>
                  <w:tcPr>
                    <w:tcW w:w="895" w:type="pct"/>
                    <w:tcMar>
                      <w:left w:w="28" w:type="dxa"/>
                      <w:right w:w="28" w:type="dxa"/>
                    </w:tcMar>
                    <w:vAlign w:val="center"/>
                  </w:tcPr>
                  <w:p w14:paraId="4E6A1718" w14:textId="4D911758" w:rsidR="00471D53" w:rsidRPr="00D637E5" w:rsidRDefault="004F686E" w:rsidP="00471D53">
                    <w:pPr>
                      <w:jc w:val="center"/>
                      <w:rPr>
                        <w:bCs/>
                        <w:sz w:val="20"/>
                        <w:szCs w:val="20"/>
                      </w:rPr>
                    </w:pPr>
                    <w:r w:rsidRPr="00D637E5">
                      <w:rPr>
                        <w:rFonts w:cs="Calibri" w:hint="eastAsia"/>
                        <w:bCs/>
                        <w:sz w:val="20"/>
                        <w:szCs w:val="20"/>
                      </w:rPr>
                      <w:t>—</w:t>
                    </w:r>
                  </w:p>
                </w:tc>
              </w:tr>
              <w:tr w:rsidR="00471D53" w:rsidRPr="00D637E5" w14:paraId="60778EC3" w14:textId="77777777" w:rsidTr="00471D53">
                <w:trPr>
                  <w:trHeight w:val="340"/>
                  <w:jc w:val="center"/>
                </w:trPr>
                <w:tc>
                  <w:tcPr>
                    <w:tcW w:w="1347" w:type="pct"/>
                    <w:tcMar>
                      <w:left w:w="28" w:type="dxa"/>
                      <w:right w:w="28" w:type="dxa"/>
                    </w:tcMar>
                    <w:vAlign w:val="center"/>
                  </w:tcPr>
                  <w:p w14:paraId="6E90D5A5" w14:textId="77777777" w:rsidR="00471D53" w:rsidRPr="00D637E5" w:rsidRDefault="004F686E" w:rsidP="00471D53">
                    <w:pPr>
                      <w:jc w:val="both"/>
                      <w:rPr>
                        <w:sz w:val="20"/>
                        <w:szCs w:val="20"/>
                      </w:rPr>
                    </w:pPr>
                    <w:r w:rsidRPr="00D637E5">
                      <w:rPr>
                        <w:sz w:val="20"/>
                        <w:szCs w:val="20"/>
                      </w:rPr>
                      <w:t>--转入第二阶段</w:t>
                    </w:r>
                  </w:p>
                </w:tc>
                <w:tc>
                  <w:tcPr>
                    <w:tcW w:w="881" w:type="pct"/>
                    <w:tcMar>
                      <w:left w:w="28" w:type="dxa"/>
                      <w:right w:w="28" w:type="dxa"/>
                    </w:tcMar>
                    <w:vAlign w:val="center"/>
                  </w:tcPr>
                  <w:p w14:paraId="456108A3" w14:textId="77777777" w:rsidR="00471D53" w:rsidRPr="00D637E5" w:rsidRDefault="004F686E" w:rsidP="00471D53">
                    <w:pPr>
                      <w:jc w:val="right"/>
                      <w:rPr>
                        <w:bCs/>
                        <w:sz w:val="20"/>
                        <w:szCs w:val="20"/>
                      </w:rPr>
                    </w:pPr>
                    <w:r w:rsidRPr="00D637E5">
                      <w:rPr>
                        <w:rFonts w:hint="eastAsia"/>
                        <w:bCs/>
                        <w:sz w:val="20"/>
                        <w:szCs w:val="20"/>
                      </w:rPr>
                      <w:t>0.00</w:t>
                    </w:r>
                  </w:p>
                </w:tc>
                <w:tc>
                  <w:tcPr>
                    <w:tcW w:w="942" w:type="pct"/>
                    <w:tcMar>
                      <w:left w:w="28" w:type="dxa"/>
                      <w:right w:w="28" w:type="dxa"/>
                    </w:tcMar>
                    <w:vAlign w:val="center"/>
                  </w:tcPr>
                  <w:p w14:paraId="36952C0F" w14:textId="77777777" w:rsidR="00471D53" w:rsidRPr="00D637E5" w:rsidRDefault="004F686E" w:rsidP="00471D53">
                    <w:pPr>
                      <w:jc w:val="right"/>
                      <w:rPr>
                        <w:rFonts w:cs="Calibri"/>
                        <w:sz w:val="20"/>
                        <w:szCs w:val="20"/>
                      </w:rPr>
                    </w:pPr>
                    <w:r w:rsidRPr="00D637E5">
                      <w:rPr>
                        <w:rFonts w:hint="eastAsia"/>
                        <w:bCs/>
                        <w:sz w:val="20"/>
                        <w:szCs w:val="20"/>
                      </w:rPr>
                      <w:t>0.00</w:t>
                    </w:r>
                  </w:p>
                </w:tc>
                <w:tc>
                  <w:tcPr>
                    <w:tcW w:w="935" w:type="pct"/>
                    <w:tcMar>
                      <w:left w:w="28" w:type="dxa"/>
                      <w:right w:w="28" w:type="dxa"/>
                    </w:tcMar>
                    <w:vAlign w:val="center"/>
                  </w:tcPr>
                  <w:p w14:paraId="13C802EF" w14:textId="77777777" w:rsidR="00471D53" w:rsidRPr="00D637E5" w:rsidRDefault="004F686E" w:rsidP="00471D53">
                    <w:pPr>
                      <w:jc w:val="right"/>
                      <w:rPr>
                        <w:bCs/>
                        <w:sz w:val="20"/>
                        <w:szCs w:val="20"/>
                      </w:rPr>
                    </w:pPr>
                    <w:r w:rsidRPr="00D637E5">
                      <w:rPr>
                        <w:rFonts w:hint="eastAsia"/>
                        <w:bCs/>
                        <w:sz w:val="20"/>
                        <w:szCs w:val="20"/>
                      </w:rPr>
                      <w:t>0.00</w:t>
                    </w:r>
                  </w:p>
                </w:tc>
                <w:tc>
                  <w:tcPr>
                    <w:tcW w:w="895" w:type="pct"/>
                    <w:tcMar>
                      <w:left w:w="28" w:type="dxa"/>
                      <w:right w:w="28" w:type="dxa"/>
                    </w:tcMar>
                    <w:vAlign w:val="center"/>
                  </w:tcPr>
                  <w:p w14:paraId="7B25493C" w14:textId="77777777" w:rsidR="00471D53" w:rsidRPr="00D637E5" w:rsidRDefault="004F686E" w:rsidP="00471D53">
                    <w:pPr>
                      <w:jc w:val="right"/>
                      <w:rPr>
                        <w:bCs/>
                        <w:sz w:val="20"/>
                        <w:szCs w:val="20"/>
                      </w:rPr>
                    </w:pPr>
                    <w:r w:rsidRPr="00D637E5">
                      <w:rPr>
                        <w:rFonts w:hint="eastAsia"/>
                        <w:bCs/>
                        <w:sz w:val="20"/>
                        <w:szCs w:val="20"/>
                      </w:rPr>
                      <w:t>0.00</w:t>
                    </w:r>
                  </w:p>
                </w:tc>
              </w:tr>
              <w:tr w:rsidR="00471D53" w:rsidRPr="00D637E5" w14:paraId="3CA8AB7F" w14:textId="77777777" w:rsidTr="00471D53">
                <w:trPr>
                  <w:trHeight w:val="340"/>
                  <w:jc w:val="center"/>
                </w:trPr>
                <w:tc>
                  <w:tcPr>
                    <w:tcW w:w="1347" w:type="pct"/>
                    <w:tcMar>
                      <w:left w:w="28" w:type="dxa"/>
                      <w:right w:w="28" w:type="dxa"/>
                    </w:tcMar>
                    <w:vAlign w:val="center"/>
                  </w:tcPr>
                  <w:p w14:paraId="65ACB45E" w14:textId="77777777" w:rsidR="00471D53" w:rsidRPr="00D637E5" w:rsidRDefault="004F686E" w:rsidP="00471D53">
                    <w:pPr>
                      <w:jc w:val="both"/>
                      <w:rPr>
                        <w:sz w:val="20"/>
                        <w:szCs w:val="20"/>
                      </w:rPr>
                    </w:pPr>
                    <w:r w:rsidRPr="00D637E5">
                      <w:rPr>
                        <w:sz w:val="20"/>
                        <w:szCs w:val="20"/>
                      </w:rPr>
                      <w:lastRenderedPageBreak/>
                      <w:t>--转入第</w:t>
                    </w:r>
                    <w:r w:rsidRPr="00D637E5">
                      <w:rPr>
                        <w:rFonts w:hint="eastAsia"/>
                        <w:sz w:val="20"/>
                        <w:szCs w:val="20"/>
                      </w:rPr>
                      <w:t>三</w:t>
                    </w:r>
                    <w:r w:rsidRPr="00D637E5">
                      <w:rPr>
                        <w:sz w:val="20"/>
                        <w:szCs w:val="20"/>
                      </w:rPr>
                      <w:t>阶段</w:t>
                    </w:r>
                  </w:p>
                </w:tc>
                <w:tc>
                  <w:tcPr>
                    <w:tcW w:w="881" w:type="pct"/>
                    <w:tcMar>
                      <w:left w:w="28" w:type="dxa"/>
                      <w:right w:w="28" w:type="dxa"/>
                    </w:tcMar>
                    <w:vAlign w:val="center"/>
                  </w:tcPr>
                  <w:p w14:paraId="2D9058B6" w14:textId="77777777" w:rsidR="00471D53" w:rsidRPr="00D637E5" w:rsidRDefault="004F686E" w:rsidP="00471D53">
                    <w:pPr>
                      <w:jc w:val="right"/>
                      <w:rPr>
                        <w:bCs/>
                        <w:sz w:val="20"/>
                        <w:szCs w:val="20"/>
                      </w:rPr>
                    </w:pPr>
                    <w:r w:rsidRPr="00D637E5">
                      <w:rPr>
                        <w:rFonts w:hint="eastAsia"/>
                        <w:bCs/>
                        <w:sz w:val="20"/>
                        <w:szCs w:val="20"/>
                      </w:rPr>
                      <w:t>0.00</w:t>
                    </w:r>
                  </w:p>
                </w:tc>
                <w:tc>
                  <w:tcPr>
                    <w:tcW w:w="942" w:type="pct"/>
                    <w:tcMar>
                      <w:left w:w="28" w:type="dxa"/>
                      <w:right w:w="28" w:type="dxa"/>
                    </w:tcMar>
                    <w:vAlign w:val="center"/>
                  </w:tcPr>
                  <w:p w14:paraId="15A7FA70" w14:textId="77777777" w:rsidR="00471D53" w:rsidRPr="00D637E5" w:rsidRDefault="004F686E" w:rsidP="00471D53">
                    <w:pPr>
                      <w:jc w:val="right"/>
                      <w:rPr>
                        <w:rFonts w:cs="Calibri"/>
                        <w:sz w:val="20"/>
                        <w:szCs w:val="20"/>
                      </w:rPr>
                    </w:pPr>
                    <w:r w:rsidRPr="00D637E5">
                      <w:rPr>
                        <w:rFonts w:hint="eastAsia"/>
                        <w:bCs/>
                        <w:sz w:val="20"/>
                        <w:szCs w:val="20"/>
                      </w:rPr>
                      <w:t>0.00</w:t>
                    </w:r>
                  </w:p>
                </w:tc>
                <w:tc>
                  <w:tcPr>
                    <w:tcW w:w="935" w:type="pct"/>
                    <w:tcMar>
                      <w:left w:w="28" w:type="dxa"/>
                      <w:right w:w="28" w:type="dxa"/>
                    </w:tcMar>
                    <w:vAlign w:val="center"/>
                  </w:tcPr>
                  <w:p w14:paraId="683F56A1" w14:textId="77777777" w:rsidR="00471D53" w:rsidRPr="00D637E5" w:rsidRDefault="004F686E" w:rsidP="00471D53">
                    <w:pPr>
                      <w:jc w:val="right"/>
                      <w:rPr>
                        <w:bCs/>
                        <w:sz w:val="20"/>
                        <w:szCs w:val="20"/>
                      </w:rPr>
                    </w:pPr>
                    <w:r w:rsidRPr="00D637E5">
                      <w:rPr>
                        <w:rFonts w:hint="eastAsia"/>
                        <w:bCs/>
                        <w:sz w:val="20"/>
                        <w:szCs w:val="20"/>
                      </w:rPr>
                      <w:t>0.00</w:t>
                    </w:r>
                  </w:p>
                </w:tc>
                <w:tc>
                  <w:tcPr>
                    <w:tcW w:w="895" w:type="pct"/>
                    <w:tcMar>
                      <w:left w:w="28" w:type="dxa"/>
                      <w:right w:w="28" w:type="dxa"/>
                    </w:tcMar>
                    <w:vAlign w:val="center"/>
                  </w:tcPr>
                  <w:p w14:paraId="60EB4450" w14:textId="77777777" w:rsidR="00471D53" w:rsidRPr="00D637E5" w:rsidRDefault="004F686E" w:rsidP="00471D53">
                    <w:pPr>
                      <w:jc w:val="right"/>
                      <w:rPr>
                        <w:bCs/>
                        <w:sz w:val="20"/>
                        <w:szCs w:val="20"/>
                      </w:rPr>
                    </w:pPr>
                    <w:r w:rsidRPr="00D637E5">
                      <w:rPr>
                        <w:rFonts w:hint="eastAsia"/>
                        <w:bCs/>
                        <w:sz w:val="20"/>
                        <w:szCs w:val="20"/>
                      </w:rPr>
                      <w:t>0.00</w:t>
                    </w:r>
                  </w:p>
                </w:tc>
              </w:tr>
              <w:tr w:rsidR="00471D53" w:rsidRPr="00D637E5" w14:paraId="59B035E2" w14:textId="77777777" w:rsidTr="00471D53">
                <w:trPr>
                  <w:trHeight w:val="340"/>
                  <w:jc w:val="center"/>
                </w:trPr>
                <w:tc>
                  <w:tcPr>
                    <w:tcW w:w="1347" w:type="pct"/>
                    <w:tcMar>
                      <w:left w:w="28" w:type="dxa"/>
                      <w:right w:w="28" w:type="dxa"/>
                    </w:tcMar>
                    <w:vAlign w:val="center"/>
                  </w:tcPr>
                  <w:p w14:paraId="2DC7F956" w14:textId="77777777" w:rsidR="00471D53" w:rsidRPr="00D637E5" w:rsidRDefault="004F686E" w:rsidP="00471D53">
                    <w:pPr>
                      <w:jc w:val="both"/>
                      <w:rPr>
                        <w:sz w:val="20"/>
                        <w:szCs w:val="20"/>
                      </w:rPr>
                    </w:pPr>
                    <w:r w:rsidRPr="00D637E5">
                      <w:rPr>
                        <w:sz w:val="20"/>
                        <w:szCs w:val="20"/>
                      </w:rPr>
                      <w:t>--转回第二阶段</w:t>
                    </w:r>
                  </w:p>
                </w:tc>
                <w:tc>
                  <w:tcPr>
                    <w:tcW w:w="881" w:type="pct"/>
                    <w:tcMar>
                      <w:left w:w="28" w:type="dxa"/>
                      <w:right w:w="28" w:type="dxa"/>
                    </w:tcMar>
                    <w:vAlign w:val="center"/>
                  </w:tcPr>
                  <w:p w14:paraId="6BB515AE" w14:textId="77777777" w:rsidR="00471D53" w:rsidRPr="00D637E5" w:rsidRDefault="004F686E" w:rsidP="00471D53">
                    <w:pPr>
                      <w:jc w:val="right"/>
                      <w:rPr>
                        <w:bCs/>
                        <w:sz w:val="20"/>
                        <w:szCs w:val="20"/>
                      </w:rPr>
                    </w:pPr>
                    <w:r w:rsidRPr="00D637E5">
                      <w:rPr>
                        <w:rFonts w:hint="eastAsia"/>
                        <w:bCs/>
                        <w:sz w:val="20"/>
                        <w:szCs w:val="20"/>
                      </w:rPr>
                      <w:t>0.00</w:t>
                    </w:r>
                  </w:p>
                </w:tc>
                <w:tc>
                  <w:tcPr>
                    <w:tcW w:w="942" w:type="pct"/>
                    <w:tcMar>
                      <w:left w:w="28" w:type="dxa"/>
                      <w:right w:w="28" w:type="dxa"/>
                    </w:tcMar>
                    <w:vAlign w:val="center"/>
                  </w:tcPr>
                  <w:p w14:paraId="1D0DB251" w14:textId="77777777" w:rsidR="00471D53" w:rsidRPr="00D637E5" w:rsidRDefault="004F686E" w:rsidP="00471D53">
                    <w:pPr>
                      <w:jc w:val="right"/>
                      <w:rPr>
                        <w:rFonts w:cs="Calibri"/>
                        <w:sz w:val="20"/>
                        <w:szCs w:val="20"/>
                      </w:rPr>
                    </w:pPr>
                    <w:r w:rsidRPr="00D637E5">
                      <w:rPr>
                        <w:rFonts w:hint="eastAsia"/>
                        <w:bCs/>
                        <w:sz w:val="20"/>
                        <w:szCs w:val="20"/>
                      </w:rPr>
                      <w:t>0.00</w:t>
                    </w:r>
                  </w:p>
                </w:tc>
                <w:tc>
                  <w:tcPr>
                    <w:tcW w:w="935" w:type="pct"/>
                    <w:tcMar>
                      <w:left w:w="28" w:type="dxa"/>
                      <w:right w:w="28" w:type="dxa"/>
                    </w:tcMar>
                    <w:vAlign w:val="center"/>
                  </w:tcPr>
                  <w:p w14:paraId="317E9BE0" w14:textId="77777777" w:rsidR="00471D53" w:rsidRPr="00D637E5" w:rsidRDefault="004F686E" w:rsidP="00471D53">
                    <w:pPr>
                      <w:jc w:val="right"/>
                      <w:rPr>
                        <w:bCs/>
                        <w:sz w:val="20"/>
                        <w:szCs w:val="20"/>
                      </w:rPr>
                    </w:pPr>
                    <w:r w:rsidRPr="00D637E5">
                      <w:rPr>
                        <w:rFonts w:hint="eastAsia"/>
                        <w:bCs/>
                        <w:sz w:val="20"/>
                        <w:szCs w:val="20"/>
                      </w:rPr>
                      <w:t>0.00</w:t>
                    </w:r>
                  </w:p>
                </w:tc>
                <w:tc>
                  <w:tcPr>
                    <w:tcW w:w="895" w:type="pct"/>
                    <w:tcMar>
                      <w:left w:w="28" w:type="dxa"/>
                      <w:right w:w="28" w:type="dxa"/>
                    </w:tcMar>
                    <w:vAlign w:val="center"/>
                  </w:tcPr>
                  <w:p w14:paraId="612EC108" w14:textId="77777777" w:rsidR="00471D53" w:rsidRPr="00D637E5" w:rsidRDefault="004F686E" w:rsidP="00471D53">
                    <w:pPr>
                      <w:jc w:val="right"/>
                      <w:rPr>
                        <w:bCs/>
                        <w:sz w:val="20"/>
                        <w:szCs w:val="20"/>
                      </w:rPr>
                    </w:pPr>
                    <w:r w:rsidRPr="00D637E5">
                      <w:rPr>
                        <w:rFonts w:hint="eastAsia"/>
                        <w:bCs/>
                        <w:sz w:val="20"/>
                        <w:szCs w:val="20"/>
                      </w:rPr>
                      <w:t>0.00</w:t>
                    </w:r>
                  </w:p>
                </w:tc>
              </w:tr>
              <w:tr w:rsidR="00471D53" w:rsidRPr="00D637E5" w14:paraId="33DBB8DA" w14:textId="77777777" w:rsidTr="00471D53">
                <w:trPr>
                  <w:trHeight w:val="340"/>
                  <w:jc w:val="center"/>
                </w:trPr>
                <w:tc>
                  <w:tcPr>
                    <w:tcW w:w="1347" w:type="pct"/>
                    <w:tcMar>
                      <w:left w:w="28" w:type="dxa"/>
                      <w:right w:w="28" w:type="dxa"/>
                    </w:tcMar>
                    <w:vAlign w:val="center"/>
                  </w:tcPr>
                  <w:p w14:paraId="5810011B" w14:textId="77777777" w:rsidR="00471D53" w:rsidRPr="00D637E5" w:rsidRDefault="004F686E" w:rsidP="00471D53">
                    <w:pPr>
                      <w:jc w:val="both"/>
                      <w:rPr>
                        <w:sz w:val="20"/>
                        <w:szCs w:val="20"/>
                      </w:rPr>
                    </w:pPr>
                    <w:r w:rsidRPr="00D637E5">
                      <w:rPr>
                        <w:sz w:val="20"/>
                        <w:szCs w:val="20"/>
                      </w:rPr>
                      <w:t>--转回第</w:t>
                    </w:r>
                    <w:r w:rsidRPr="00D637E5">
                      <w:rPr>
                        <w:rFonts w:hint="eastAsia"/>
                        <w:sz w:val="20"/>
                        <w:szCs w:val="20"/>
                      </w:rPr>
                      <w:t>一</w:t>
                    </w:r>
                    <w:r w:rsidRPr="00D637E5">
                      <w:rPr>
                        <w:sz w:val="20"/>
                        <w:szCs w:val="20"/>
                      </w:rPr>
                      <w:t>阶段</w:t>
                    </w:r>
                  </w:p>
                </w:tc>
                <w:tc>
                  <w:tcPr>
                    <w:tcW w:w="881" w:type="pct"/>
                    <w:tcMar>
                      <w:left w:w="28" w:type="dxa"/>
                      <w:right w:w="28" w:type="dxa"/>
                    </w:tcMar>
                    <w:vAlign w:val="center"/>
                  </w:tcPr>
                  <w:p w14:paraId="7907591F" w14:textId="77777777" w:rsidR="00471D53" w:rsidRPr="00D637E5" w:rsidRDefault="004F686E" w:rsidP="00471D53">
                    <w:pPr>
                      <w:jc w:val="right"/>
                      <w:rPr>
                        <w:bCs/>
                        <w:sz w:val="20"/>
                        <w:szCs w:val="20"/>
                      </w:rPr>
                    </w:pPr>
                    <w:r w:rsidRPr="00D637E5">
                      <w:rPr>
                        <w:rFonts w:hint="eastAsia"/>
                        <w:bCs/>
                        <w:sz w:val="20"/>
                        <w:szCs w:val="20"/>
                      </w:rPr>
                      <w:t>0.00</w:t>
                    </w:r>
                  </w:p>
                </w:tc>
                <w:tc>
                  <w:tcPr>
                    <w:tcW w:w="942" w:type="pct"/>
                    <w:tcMar>
                      <w:left w:w="28" w:type="dxa"/>
                      <w:right w:w="28" w:type="dxa"/>
                    </w:tcMar>
                    <w:vAlign w:val="center"/>
                  </w:tcPr>
                  <w:p w14:paraId="29F3052E" w14:textId="77777777" w:rsidR="00471D53" w:rsidRPr="00D637E5" w:rsidRDefault="004F686E" w:rsidP="00471D53">
                    <w:pPr>
                      <w:jc w:val="right"/>
                      <w:rPr>
                        <w:sz w:val="20"/>
                        <w:szCs w:val="20"/>
                      </w:rPr>
                    </w:pPr>
                    <w:r w:rsidRPr="00D637E5">
                      <w:rPr>
                        <w:rFonts w:hint="eastAsia"/>
                        <w:bCs/>
                        <w:sz w:val="20"/>
                        <w:szCs w:val="20"/>
                      </w:rPr>
                      <w:t>0.00</w:t>
                    </w:r>
                  </w:p>
                </w:tc>
                <w:tc>
                  <w:tcPr>
                    <w:tcW w:w="935" w:type="pct"/>
                    <w:tcMar>
                      <w:left w:w="28" w:type="dxa"/>
                      <w:right w:w="28" w:type="dxa"/>
                    </w:tcMar>
                    <w:vAlign w:val="center"/>
                  </w:tcPr>
                  <w:p w14:paraId="6B1A868E" w14:textId="77777777" w:rsidR="00471D53" w:rsidRPr="00D637E5" w:rsidRDefault="004F686E" w:rsidP="00471D53">
                    <w:pPr>
                      <w:jc w:val="right"/>
                      <w:rPr>
                        <w:bCs/>
                        <w:sz w:val="20"/>
                        <w:szCs w:val="20"/>
                      </w:rPr>
                    </w:pPr>
                    <w:r w:rsidRPr="00D637E5">
                      <w:rPr>
                        <w:rFonts w:hint="eastAsia"/>
                        <w:bCs/>
                        <w:sz w:val="20"/>
                        <w:szCs w:val="20"/>
                      </w:rPr>
                      <w:t>0.00</w:t>
                    </w:r>
                  </w:p>
                </w:tc>
                <w:tc>
                  <w:tcPr>
                    <w:tcW w:w="895" w:type="pct"/>
                    <w:tcMar>
                      <w:left w:w="28" w:type="dxa"/>
                      <w:right w:w="28" w:type="dxa"/>
                    </w:tcMar>
                    <w:vAlign w:val="center"/>
                  </w:tcPr>
                  <w:p w14:paraId="73A8F569" w14:textId="77777777" w:rsidR="00471D53" w:rsidRPr="00D637E5" w:rsidRDefault="004F686E" w:rsidP="00471D53">
                    <w:pPr>
                      <w:jc w:val="right"/>
                      <w:rPr>
                        <w:bCs/>
                        <w:sz w:val="20"/>
                        <w:szCs w:val="20"/>
                      </w:rPr>
                    </w:pPr>
                    <w:r w:rsidRPr="00D637E5">
                      <w:rPr>
                        <w:rFonts w:hint="eastAsia"/>
                        <w:bCs/>
                        <w:sz w:val="20"/>
                        <w:szCs w:val="20"/>
                      </w:rPr>
                      <w:t>0.00</w:t>
                    </w:r>
                  </w:p>
                </w:tc>
              </w:tr>
              <w:tr w:rsidR="00471D53" w:rsidRPr="00D637E5" w14:paraId="6F2D7977" w14:textId="77777777" w:rsidTr="00471D53">
                <w:trPr>
                  <w:trHeight w:val="340"/>
                  <w:jc w:val="center"/>
                </w:trPr>
                <w:tc>
                  <w:tcPr>
                    <w:tcW w:w="1347" w:type="pct"/>
                    <w:tcMar>
                      <w:left w:w="28" w:type="dxa"/>
                      <w:right w:w="28" w:type="dxa"/>
                    </w:tcMar>
                    <w:vAlign w:val="center"/>
                  </w:tcPr>
                  <w:p w14:paraId="0F4F58D7" w14:textId="77777777" w:rsidR="00471D53" w:rsidRPr="00D637E5" w:rsidRDefault="004F686E" w:rsidP="00471D53">
                    <w:pPr>
                      <w:jc w:val="both"/>
                      <w:rPr>
                        <w:sz w:val="20"/>
                        <w:szCs w:val="20"/>
                      </w:rPr>
                    </w:pPr>
                    <w:r w:rsidRPr="00D637E5">
                      <w:rPr>
                        <w:sz w:val="20"/>
                        <w:szCs w:val="20"/>
                      </w:rPr>
                      <w:t>本</w:t>
                    </w:r>
                    <w:r w:rsidRPr="00D637E5">
                      <w:rPr>
                        <w:rFonts w:hint="eastAsia"/>
                        <w:sz w:val="20"/>
                        <w:szCs w:val="20"/>
                      </w:rPr>
                      <w:t>期</w:t>
                    </w:r>
                    <w:r w:rsidRPr="00D637E5">
                      <w:rPr>
                        <w:sz w:val="20"/>
                        <w:szCs w:val="20"/>
                      </w:rPr>
                      <w:t>计提</w:t>
                    </w:r>
                  </w:p>
                </w:tc>
                <w:tc>
                  <w:tcPr>
                    <w:tcW w:w="881" w:type="pct"/>
                    <w:tcMar>
                      <w:left w:w="28" w:type="dxa"/>
                      <w:right w:w="28" w:type="dxa"/>
                    </w:tcMar>
                    <w:vAlign w:val="center"/>
                  </w:tcPr>
                  <w:p w14:paraId="720FFB2E" w14:textId="77777777" w:rsidR="00471D53" w:rsidRPr="00D637E5" w:rsidRDefault="004F686E" w:rsidP="00471D53">
                    <w:pPr>
                      <w:jc w:val="right"/>
                      <w:rPr>
                        <w:bCs/>
                        <w:sz w:val="20"/>
                        <w:szCs w:val="20"/>
                      </w:rPr>
                    </w:pPr>
                    <w:r w:rsidRPr="00D637E5">
                      <w:rPr>
                        <w:rFonts w:hint="eastAsia"/>
                        <w:bCs/>
                        <w:sz w:val="20"/>
                        <w:szCs w:val="20"/>
                      </w:rPr>
                      <w:t>0.00</w:t>
                    </w:r>
                  </w:p>
                </w:tc>
                <w:tc>
                  <w:tcPr>
                    <w:tcW w:w="942" w:type="pct"/>
                    <w:tcMar>
                      <w:left w:w="28" w:type="dxa"/>
                      <w:right w:w="28" w:type="dxa"/>
                    </w:tcMar>
                    <w:vAlign w:val="center"/>
                  </w:tcPr>
                  <w:p w14:paraId="6A241410" w14:textId="77777777" w:rsidR="00471D53" w:rsidRPr="00D637E5" w:rsidRDefault="004F686E" w:rsidP="00471D53">
                    <w:pPr>
                      <w:jc w:val="right"/>
                      <w:rPr>
                        <w:rFonts w:cs="Calibri"/>
                        <w:sz w:val="20"/>
                        <w:szCs w:val="20"/>
                      </w:rPr>
                    </w:pPr>
                    <w:r w:rsidRPr="00F13069">
                      <w:rPr>
                        <w:rFonts w:cs="Calibri"/>
                        <w:sz w:val="20"/>
                        <w:szCs w:val="20"/>
                      </w:rPr>
                      <w:t>3,161,050.12</w:t>
                    </w:r>
                  </w:p>
                </w:tc>
                <w:tc>
                  <w:tcPr>
                    <w:tcW w:w="935" w:type="pct"/>
                    <w:tcMar>
                      <w:left w:w="28" w:type="dxa"/>
                      <w:right w:w="28" w:type="dxa"/>
                    </w:tcMar>
                    <w:vAlign w:val="center"/>
                  </w:tcPr>
                  <w:p w14:paraId="05228980" w14:textId="523959B8" w:rsidR="00471D53" w:rsidRPr="00D637E5" w:rsidRDefault="004F686E" w:rsidP="00471D53">
                    <w:pPr>
                      <w:jc w:val="right"/>
                      <w:rPr>
                        <w:rFonts w:cs="Calibri"/>
                        <w:sz w:val="20"/>
                        <w:szCs w:val="20"/>
                      </w:rPr>
                    </w:pPr>
                    <w:r w:rsidRPr="00D637E5">
                      <w:rPr>
                        <w:rFonts w:cs="Calibri" w:hint="eastAsia"/>
                        <w:sz w:val="20"/>
                        <w:szCs w:val="20"/>
                      </w:rPr>
                      <w:t>583,595.00</w:t>
                    </w:r>
                  </w:p>
                </w:tc>
                <w:tc>
                  <w:tcPr>
                    <w:tcW w:w="895" w:type="pct"/>
                    <w:tcMar>
                      <w:left w:w="28" w:type="dxa"/>
                      <w:right w:w="28" w:type="dxa"/>
                    </w:tcMar>
                    <w:vAlign w:val="center"/>
                  </w:tcPr>
                  <w:p w14:paraId="1901A541" w14:textId="77777777" w:rsidR="00471D53" w:rsidRPr="00D637E5" w:rsidRDefault="004F686E" w:rsidP="00471D53">
                    <w:pPr>
                      <w:jc w:val="right"/>
                      <w:rPr>
                        <w:bCs/>
                        <w:sz w:val="20"/>
                        <w:szCs w:val="20"/>
                      </w:rPr>
                    </w:pPr>
                    <w:r w:rsidRPr="00F13069">
                      <w:rPr>
                        <w:bCs/>
                        <w:sz w:val="20"/>
                        <w:szCs w:val="20"/>
                      </w:rPr>
                      <w:t>3,744,645.12</w:t>
                    </w:r>
                  </w:p>
                </w:tc>
              </w:tr>
              <w:tr w:rsidR="00471D53" w:rsidRPr="00D637E5" w14:paraId="3F732B6C" w14:textId="77777777" w:rsidTr="00471D53">
                <w:trPr>
                  <w:trHeight w:val="340"/>
                  <w:jc w:val="center"/>
                </w:trPr>
                <w:tc>
                  <w:tcPr>
                    <w:tcW w:w="1347" w:type="pct"/>
                    <w:tcMar>
                      <w:left w:w="28" w:type="dxa"/>
                      <w:right w:w="28" w:type="dxa"/>
                    </w:tcMar>
                    <w:vAlign w:val="center"/>
                  </w:tcPr>
                  <w:p w14:paraId="3E99B5AE" w14:textId="77777777" w:rsidR="00471D53" w:rsidRPr="00D637E5" w:rsidRDefault="004F686E" w:rsidP="00471D53">
                    <w:pPr>
                      <w:jc w:val="both"/>
                      <w:rPr>
                        <w:sz w:val="20"/>
                        <w:szCs w:val="20"/>
                      </w:rPr>
                    </w:pPr>
                    <w:r w:rsidRPr="00D637E5">
                      <w:rPr>
                        <w:sz w:val="20"/>
                        <w:szCs w:val="20"/>
                      </w:rPr>
                      <w:t>本</w:t>
                    </w:r>
                    <w:r w:rsidRPr="00D637E5">
                      <w:rPr>
                        <w:rFonts w:hint="eastAsia"/>
                        <w:sz w:val="20"/>
                        <w:szCs w:val="20"/>
                      </w:rPr>
                      <w:t>期</w:t>
                    </w:r>
                    <w:r w:rsidRPr="00D637E5">
                      <w:rPr>
                        <w:sz w:val="20"/>
                        <w:szCs w:val="20"/>
                      </w:rPr>
                      <w:t>转回</w:t>
                    </w:r>
                  </w:p>
                </w:tc>
                <w:tc>
                  <w:tcPr>
                    <w:tcW w:w="881" w:type="pct"/>
                    <w:tcMar>
                      <w:left w:w="28" w:type="dxa"/>
                      <w:right w:w="28" w:type="dxa"/>
                    </w:tcMar>
                    <w:vAlign w:val="center"/>
                  </w:tcPr>
                  <w:p w14:paraId="29DB99F9" w14:textId="77777777" w:rsidR="00471D53" w:rsidRPr="00D637E5" w:rsidRDefault="004F686E" w:rsidP="00471D53">
                    <w:pPr>
                      <w:jc w:val="right"/>
                      <w:rPr>
                        <w:bCs/>
                        <w:sz w:val="20"/>
                        <w:szCs w:val="20"/>
                      </w:rPr>
                    </w:pPr>
                    <w:r w:rsidRPr="00D637E5">
                      <w:rPr>
                        <w:rFonts w:hint="eastAsia"/>
                        <w:bCs/>
                        <w:sz w:val="20"/>
                        <w:szCs w:val="20"/>
                      </w:rPr>
                      <w:t>0.00</w:t>
                    </w:r>
                  </w:p>
                </w:tc>
                <w:tc>
                  <w:tcPr>
                    <w:tcW w:w="942" w:type="pct"/>
                    <w:tcMar>
                      <w:left w:w="28" w:type="dxa"/>
                      <w:right w:w="28" w:type="dxa"/>
                    </w:tcMar>
                    <w:vAlign w:val="center"/>
                  </w:tcPr>
                  <w:p w14:paraId="68AE9D0D" w14:textId="77777777" w:rsidR="00471D53" w:rsidRPr="00D637E5" w:rsidRDefault="004F686E" w:rsidP="00471D53">
                    <w:pPr>
                      <w:jc w:val="right"/>
                      <w:rPr>
                        <w:sz w:val="20"/>
                        <w:szCs w:val="20"/>
                      </w:rPr>
                    </w:pPr>
                    <w:r w:rsidRPr="00D637E5">
                      <w:rPr>
                        <w:rFonts w:hint="eastAsia"/>
                        <w:sz w:val="20"/>
                        <w:szCs w:val="20"/>
                      </w:rPr>
                      <w:t>0.00</w:t>
                    </w:r>
                  </w:p>
                </w:tc>
                <w:tc>
                  <w:tcPr>
                    <w:tcW w:w="935" w:type="pct"/>
                    <w:tcMar>
                      <w:left w:w="28" w:type="dxa"/>
                      <w:right w:w="28" w:type="dxa"/>
                    </w:tcMar>
                    <w:vAlign w:val="center"/>
                  </w:tcPr>
                  <w:p w14:paraId="0DCBF363" w14:textId="7D33BE02" w:rsidR="00471D53" w:rsidRPr="00D637E5" w:rsidRDefault="004F686E" w:rsidP="00471D53">
                    <w:pPr>
                      <w:jc w:val="right"/>
                      <w:rPr>
                        <w:rFonts w:cs="Calibri"/>
                        <w:sz w:val="20"/>
                        <w:szCs w:val="20"/>
                        <w:highlight w:val="green"/>
                      </w:rPr>
                    </w:pPr>
                    <w:r w:rsidRPr="00D637E5">
                      <w:rPr>
                        <w:rFonts w:cs="Calibri" w:hint="eastAsia"/>
                        <w:sz w:val="20"/>
                        <w:szCs w:val="20"/>
                      </w:rPr>
                      <w:t>819,000.00</w:t>
                    </w:r>
                  </w:p>
                </w:tc>
                <w:tc>
                  <w:tcPr>
                    <w:tcW w:w="895" w:type="pct"/>
                    <w:tcMar>
                      <w:left w:w="28" w:type="dxa"/>
                      <w:right w:w="28" w:type="dxa"/>
                    </w:tcMar>
                    <w:vAlign w:val="center"/>
                  </w:tcPr>
                  <w:p w14:paraId="6444D383" w14:textId="450D4E95" w:rsidR="00471D53" w:rsidRPr="00D637E5" w:rsidRDefault="004F686E" w:rsidP="00471D53">
                    <w:pPr>
                      <w:jc w:val="right"/>
                      <w:rPr>
                        <w:rFonts w:cs="Calibri"/>
                        <w:sz w:val="20"/>
                        <w:szCs w:val="20"/>
                        <w:highlight w:val="green"/>
                      </w:rPr>
                    </w:pPr>
                    <w:r w:rsidRPr="00D637E5">
                      <w:rPr>
                        <w:rFonts w:cs="Calibri" w:hint="eastAsia"/>
                        <w:sz w:val="20"/>
                        <w:szCs w:val="20"/>
                      </w:rPr>
                      <w:t>819,000.00</w:t>
                    </w:r>
                  </w:p>
                </w:tc>
              </w:tr>
              <w:tr w:rsidR="00471D53" w:rsidRPr="00D637E5" w14:paraId="26EAD786" w14:textId="77777777" w:rsidTr="00471D53">
                <w:trPr>
                  <w:trHeight w:val="340"/>
                  <w:jc w:val="center"/>
                </w:trPr>
                <w:tc>
                  <w:tcPr>
                    <w:tcW w:w="1347" w:type="pct"/>
                    <w:tcMar>
                      <w:left w:w="28" w:type="dxa"/>
                      <w:right w:w="28" w:type="dxa"/>
                    </w:tcMar>
                    <w:vAlign w:val="center"/>
                  </w:tcPr>
                  <w:p w14:paraId="4055981D" w14:textId="77777777" w:rsidR="00471D53" w:rsidRPr="00D637E5" w:rsidRDefault="004F686E" w:rsidP="00471D53">
                    <w:pPr>
                      <w:jc w:val="both"/>
                      <w:rPr>
                        <w:sz w:val="20"/>
                        <w:szCs w:val="20"/>
                      </w:rPr>
                    </w:pPr>
                    <w:r w:rsidRPr="00D637E5">
                      <w:rPr>
                        <w:sz w:val="20"/>
                        <w:szCs w:val="20"/>
                      </w:rPr>
                      <w:t>本</w:t>
                    </w:r>
                    <w:r w:rsidRPr="00D637E5">
                      <w:rPr>
                        <w:rFonts w:hint="eastAsia"/>
                        <w:sz w:val="20"/>
                        <w:szCs w:val="20"/>
                      </w:rPr>
                      <w:t>期</w:t>
                    </w:r>
                    <w:r w:rsidRPr="00D637E5">
                      <w:rPr>
                        <w:sz w:val="20"/>
                        <w:szCs w:val="20"/>
                      </w:rPr>
                      <w:t>转销</w:t>
                    </w:r>
                  </w:p>
                </w:tc>
                <w:tc>
                  <w:tcPr>
                    <w:tcW w:w="881" w:type="pct"/>
                    <w:tcMar>
                      <w:left w:w="28" w:type="dxa"/>
                      <w:right w:w="28" w:type="dxa"/>
                    </w:tcMar>
                    <w:vAlign w:val="center"/>
                  </w:tcPr>
                  <w:p w14:paraId="2EB96E1F" w14:textId="77777777" w:rsidR="00471D53" w:rsidRPr="00D637E5" w:rsidRDefault="004F686E" w:rsidP="00471D53">
                    <w:pPr>
                      <w:jc w:val="right"/>
                      <w:rPr>
                        <w:bCs/>
                        <w:sz w:val="20"/>
                        <w:szCs w:val="20"/>
                      </w:rPr>
                    </w:pPr>
                    <w:r w:rsidRPr="00D637E5">
                      <w:rPr>
                        <w:rFonts w:hint="eastAsia"/>
                        <w:bCs/>
                        <w:sz w:val="20"/>
                        <w:szCs w:val="20"/>
                      </w:rPr>
                      <w:t>0.00</w:t>
                    </w:r>
                  </w:p>
                </w:tc>
                <w:tc>
                  <w:tcPr>
                    <w:tcW w:w="942" w:type="pct"/>
                    <w:tcMar>
                      <w:left w:w="28" w:type="dxa"/>
                      <w:right w:w="28" w:type="dxa"/>
                    </w:tcMar>
                    <w:vAlign w:val="center"/>
                  </w:tcPr>
                  <w:p w14:paraId="1AC27015" w14:textId="77777777" w:rsidR="00471D53" w:rsidRPr="00D637E5" w:rsidRDefault="004F686E" w:rsidP="00471D53">
                    <w:pPr>
                      <w:jc w:val="right"/>
                      <w:rPr>
                        <w:sz w:val="20"/>
                        <w:szCs w:val="20"/>
                      </w:rPr>
                    </w:pPr>
                    <w:r w:rsidRPr="00D637E5">
                      <w:rPr>
                        <w:rFonts w:hint="eastAsia"/>
                        <w:bCs/>
                        <w:sz w:val="20"/>
                        <w:szCs w:val="20"/>
                      </w:rPr>
                      <w:t>0.00</w:t>
                    </w:r>
                  </w:p>
                </w:tc>
                <w:tc>
                  <w:tcPr>
                    <w:tcW w:w="935" w:type="pct"/>
                    <w:tcMar>
                      <w:left w:w="28" w:type="dxa"/>
                      <w:right w:w="28" w:type="dxa"/>
                    </w:tcMar>
                    <w:vAlign w:val="center"/>
                  </w:tcPr>
                  <w:p w14:paraId="3052A0C9" w14:textId="77777777" w:rsidR="00471D53" w:rsidRPr="00D637E5" w:rsidRDefault="004F686E" w:rsidP="00471D53">
                    <w:pPr>
                      <w:jc w:val="right"/>
                      <w:rPr>
                        <w:rFonts w:cs="Calibri"/>
                        <w:sz w:val="20"/>
                        <w:szCs w:val="20"/>
                      </w:rPr>
                    </w:pPr>
                    <w:r w:rsidRPr="00D637E5">
                      <w:rPr>
                        <w:rFonts w:cs="Calibri" w:hint="eastAsia"/>
                        <w:sz w:val="20"/>
                        <w:szCs w:val="20"/>
                      </w:rPr>
                      <w:t>0.00</w:t>
                    </w:r>
                  </w:p>
                </w:tc>
                <w:tc>
                  <w:tcPr>
                    <w:tcW w:w="895" w:type="pct"/>
                    <w:tcMar>
                      <w:left w:w="28" w:type="dxa"/>
                      <w:right w:w="28" w:type="dxa"/>
                    </w:tcMar>
                    <w:vAlign w:val="center"/>
                  </w:tcPr>
                  <w:p w14:paraId="6CEEF99C" w14:textId="77777777" w:rsidR="00471D53" w:rsidRPr="00D637E5" w:rsidRDefault="004F686E" w:rsidP="00471D53">
                    <w:pPr>
                      <w:jc w:val="right"/>
                      <w:rPr>
                        <w:rFonts w:cs="Calibri"/>
                        <w:sz w:val="20"/>
                        <w:szCs w:val="20"/>
                      </w:rPr>
                    </w:pPr>
                    <w:r w:rsidRPr="00D637E5">
                      <w:rPr>
                        <w:rFonts w:cs="Calibri" w:hint="eastAsia"/>
                        <w:sz w:val="20"/>
                        <w:szCs w:val="20"/>
                      </w:rPr>
                      <w:t>0.00</w:t>
                    </w:r>
                  </w:p>
                </w:tc>
              </w:tr>
              <w:tr w:rsidR="00471D53" w:rsidRPr="00D637E5" w14:paraId="4016B16D" w14:textId="77777777" w:rsidTr="00471D53">
                <w:trPr>
                  <w:trHeight w:val="340"/>
                  <w:jc w:val="center"/>
                </w:trPr>
                <w:tc>
                  <w:tcPr>
                    <w:tcW w:w="1347" w:type="pct"/>
                    <w:tcMar>
                      <w:left w:w="28" w:type="dxa"/>
                      <w:right w:w="28" w:type="dxa"/>
                    </w:tcMar>
                    <w:vAlign w:val="center"/>
                  </w:tcPr>
                  <w:p w14:paraId="1A5B0147" w14:textId="77777777" w:rsidR="00471D53" w:rsidRPr="00D637E5" w:rsidRDefault="004F686E" w:rsidP="00471D53">
                    <w:pPr>
                      <w:jc w:val="both"/>
                      <w:rPr>
                        <w:sz w:val="20"/>
                        <w:szCs w:val="20"/>
                      </w:rPr>
                    </w:pPr>
                    <w:r w:rsidRPr="00D637E5">
                      <w:rPr>
                        <w:sz w:val="20"/>
                        <w:szCs w:val="20"/>
                      </w:rPr>
                      <w:t>本</w:t>
                    </w:r>
                    <w:r w:rsidRPr="00D637E5">
                      <w:rPr>
                        <w:rFonts w:hint="eastAsia"/>
                        <w:sz w:val="20"/>
                        <w:szCs w:val="20"/>
                      </w:rPr>
                      <w:t>期</w:t>
                    </w:r>
                    <w:r w:rsidRPr="00D637E5">
                      <w:rPr>
                        <w:sz w:val="20"/>
                        <w:szCs w:val="20"/>
                      </w:rPr>
                      <w:t>核销</w:t>
                    </w:r>
                  </w:p>
                </w:tc>
                <w:tc>
                  <w:tcPr>
                    <w:tcW w:w="881" w:type="pct"/>
                    <w:tcMar>
                      <w:left w:w="28" w:type="dxa"/>
                      <w:right w:w="28" w:type="dxa"/>
                    </w:tcMar>
                    <w:vAlign w:val="center"/>
                  </w:tcPr>
                  <w:p w14:paraId="304CD337" w14:textId="77777777" w:rsidR="00471D53" w:rsidRPr="00D637E5" w:rsidRDefault="004F686E" w:rsidP="00471D53">
                    <w:pPr>
                      <w:jc w:val="right"/>
                      <w:rPr>
                        <w:bCs/>
                        <w:sz w:val="20"/>
                        <w:szCs w:val="20"/>
                      </w:rPr>
                    </w:pPr>
                    <w:r w:rsidRPr="00D637E5">
                      <w:rPr>
                        <w:rFonts w:hint="eastAsia"/>
                        <w:bCs/>
                        <w:sz w:val="20"/>
                        <w:szCs w:val="20"/>
                      </w:rPr>
                      <w:t>0.00</w:t>
                    </w:r>
                  </w:p>
                </w:tc>
                <w:tc>
                  <w:tcPr>
                    <w:tcW w:w="942" w:type="pct"/>
                    <w:tcMar>
                      <w:left w:w="28" w:type="dxa"/>
                      <w:right w:w="28" w:type="dxa"/>
                    </w:tcMar>
                    <w:vAlign w:val="center"/>
                  </w:tcPr>
                  <w:p w14:paraId="0E4FB754" w14:textId="77777777" w:rsidR="00471D53" w:rsidRPr="00D637E5" w:rsidRDefault="004F686E" w:rsidP="00471D53">
                    <w:pPr>
                      <w:jc w:val="right"/>
                      <w:rPr>
                        <w:rFonts w:cs="Calibri"/>
                        <w:sz w:val="20"/>
                        <w:szCs w:val="20"/>
                      </w:rPr>
                    </w:pPr>
                    <w:r w:rsidRPr="00D637E5">
                      <w:rPr>
                        <w:rFonts w:cs="Calibri" w:hint="eastAsia"/>
                        <w:sz w:val="20"/>
                        <w:szCs w:val="20"/>
                      </w:rPr>
                      <w:t>960,100.00</w:t>
                    </w:r>
                  </w:p>
                </w:tc>
                <w:tc>
                  <w:tcPr>
                    <w:tcW w:w="935" w:type="pct"/>
                    <w:tcMar>
                      <w:left w:w="28" w:type="dxa"/>
                      <w:right w:w="28" w:type="dxa"/>
                    </w:tcMar>
                    <w:vAlign w:val="center"/>
                  </w:tcPr>
                  <w:p w14:paraId="2338DCE5" w14:textId="77777777" w:rsidR="00471D53" w:rsidRPr="00D637E5" w:rsidRDefault="004F686E" w:rsidP="00471D53">
                    <w:pPr>
                      <w:jc w:val="right"/>
                      <w:rPr>
                        <w:rFonts w:cs="Calibri"/>
                        <w:sz w:val="20"/>
                        <w:szCs w:val="20"/>
                        <w:highlight w:val="green"/>
                      </w:rPr>
                    </w:pPr>
                    <w:r w:rsidRPr="00D637E5">
                      <w:rPr>
                        <w:rFonts w:hint="eastAsia"/>
                        <w:sz w:val="20"/>
                        <w:szCs w:val="20"/>
                      </w:rPr>
                      <w:t>257,100.00</w:t>
                    </w:r>
                  </w:p>
                </w:tc>
                <w:tc>
                  <w:tcPr>
                    <w:tcW w:w="895" w:type="pct"/>
                    <w:tcMar>
                      <w:left w:w="28" w:type="dxa"/>
                      <w:right w:w="28" w:type="dxa"/>
                    </w:tcMar>
                    <w:vAlign w:val="center"/>
                  </w:tcPr>
                  <w:p w14:paraId="577F0CB0" w14:textId="2A8C8DB6" w:rsidR="00471D53" w:rsidRPr="00D637E5" w:rsidRDefault="004F686E" w:rsidP="00471D53">
                    <w:pPr>
                      <w:jc w:val="right"/>
                      <w:rPr>
                        <w:rFonts w:cs="Calibri"/>
                        <w:sz w:val="20"/>
                        <w:szCs w:val="20"/>
                        <w:highlight w:val="green"/>
                      </w:rPr>
                    </w:pPr>
                    <w:r w:rsidRPr="00D637E5">
                      <w:rPr>
                        <w:rFonts w:cs="Calibri" w:hint="eastAsia"/>
                        <w:sz w:val="20"/>
                        <w:szCs w:val="20"/>
                      </w:rPr>
                      <w:t>1,217,200.00</w:t>
                    </w:r>
                  </w:p>
                </w:tc>
              </w:tr>
              <w:tr w:rsidR="00471D53" w:rsidRPr="00D637E5" w14:paraId="150551AD" w14:textId="77777777" w:rsidTr="00471D53">
                <w:trPr>
                  <w:trHeight w:val="340"/>
                  <w:jc w:val="center"/>
                </w:trPr>
                <w:tc>
                  <w:tcPr>
                    <w:tcW w:w="1347" w:type="pct"/>
                    <w:tcMar>
                      <w:left w:w="28" w:type="dxa"/>
                      <w:right w:w="28" w:type="dxa"/>
                    </w:tcMar>
                    <w:vAlign w:val="center"/>
                  </w:tcPr>
                  <w:p w14:paraId="41A1753E" w14:textId="77777777" w:rsidR="00471D53" w:rsidRPr="00D637E5" w:rsidRDefault="004F686E" w:rsidP="00471D53">
                    <w:pPr>
                      <w:jc w:val="both"/>
                      <w:rPr>
                        <w:sz w:val="20"/>
                        <w:szCs w:val="20"/>
                      </w:rPr>
                    </w:pPr>
                    <w:r w:rsidRPr="00D637E5">
                      <w:rPr>
                        <w:sz w:val="20"/>
                        <w:szCs w:val="20"/>
                      </w:rPr>
                      <w:t>其他变动</w:t>
                    </w:r>
                  </w:p>
                </w:tc>
                <w:tc>
                  <w:tcPr>
                    <w:tcW w:w="881" w:type="pct"/>
                    <w:tcMar>
                      <w:left w:w="28" w:type="dxa"/>
                      <w:right w:w="28" w:type="dxa"/>
                    </w:tcMar>
                    <w:vAlign w:val="center"/>
                  </w:tcPr>
                  <w:p w14:paraId="6A1BB2C6" w14:textId="77777777" w:rsidR="00471D53" w:rsidRPr="00D637E5" w:rsidRDefault="004F686E" w:rsidP="00471D53">
                    <w:pPr>
                      <w:jc w:val="right"/>
                      <w:rPr>
                        <w:bCs/>
                        <w:sz w:val="20"/>
                        <w:szCs w:val="20"/>
                      </w:rPr>
                    </w:pPr>
                    <w:r w:rsidRPr="00D637E5">
                      <w:rPr>
                        <w:rFonts w:hint="eastAsia"/>
                        <w:bCs/>
                        <w:sz w:val="20"/>
                        <w:szCs w:val="20"/>
                      </w:rPr>
                      <w:t>0.00</w:t>
                    </w:r>
                  </w:p>
                </w:tc>
                <w:tc>
                  <w:tcPr>
                    <w:tcW w:w="942" w:type="pct"/>
                    <w:tcMar>
                      <w:left w:w="28" w:type="dxa"/>
                      <w:right w:w="28" w:type="dxa"/>
                    </w:tcMar>
                    <w:vAlign w:val="center"/>
                  </w:tcPr>
                  <w:p w14:paraId="43A63B4F" w14:textId="77777777" w:rsidR="00471D53" w:rsidRPr="00D637E5" w:rsidRDefault="004F686E" w:rsidP="00471D53">
                    <w:pPr>
                      <w:jc w:val="right"/>
                      <w:rPr>
                        <w:rFonts w:cs="Calibri"/>
                        <w:sz w:val="20"/>
                        <w:szCs w:val="20"/>
                      </w:rPr>
                    </w:pPr>
                    <w:r w:rsidRPr="00D637E5">
                      <w:rPr>
                        <w:sz w:val="20"/>
                        <w:szCs w:val="20"/>
                      </w:rPr>
                      <w:t>-1,338.21</w:t>
                    </w:r>
                  </w:p>
                </w:tc>
                <w:tc>
                  <w:tcPr>
                    <w:tcW w:w="935" w:type="pct"/>
                    <w:tcMar>
                      <w:left w:w="28" w:type="dxa"/>
                      <w:right w:w="28" w:type="dxa"/>
                    </w:tcMar>
                    <w:vAlign w:val="center"/>
                  </w:tcPr>
                  <w:p w14:paraId="5B3E1652" w14:textId="77777777" w:rsidR="00471D53" w:rsidRPr="00D637E5" w:rsidRDefault="004F686E" w:rsidP="00471D53">
                    <w:pPr>
                      <w:jc w:val="right"/>
                      <w:rPr>
                        <w:rFonts w:cs="Calibri"/>
                        <w:sz w:val="20"/>
                        <w:szCs w:val="20"/>
                      </w:rPr>
                    </w:pPr>
                    <w:r w:rsidRPr="00D637E5">
                      <w:rPr>
                        <w:rFonts w:hint="eastAsia"/>
                        <w:bCs/>
                        <w:sz w:val="20"/>
                        <w:szCs w:val="20"/>
                      </w:rPr>
                      <w:t>0.00</w:t>
                    </w:r>
                  </w:p>
                </w:tc>
                <w:tc>
                  <w:tcPr>
                    <w:tcW w:w="895" w:type="pct"/>
                    <w:tcMar>
                      <w:left w:w="28" w:type="dxa"/>
                      <w:right w:w="28" w:type="dxa"/>
                    </w:tcMar>
                    <w:vAlign w:val="center"/>
                  </w:tcPr>
                  <w:p w14:paraId="77EB32B5" w14:textId="77777777" w:rsidR="00471D53" w:rsidRPr="00D637E5" w:rsidRDefault="004F686E" w:rsidP="00471D53">
                    <w:pPr>
                      <w:jc w:val="right"/>
                      <w:rPr>
                        <w:bCs/>
                        <w:sz w:val="20"/>
                        <w:szCs w:val="20"/>
                      </w:rPr>
                    </w:pPr>
                    <w:r w:rsidRPr="00D637E5">
                      <w:rPr>
                        <w:sz w:val="20"/>
                        <w:szCs w:val="20"/>
                      </w:rPr>
                      <w:t>-1,338.21</w:t>
                    </w:r>
                  </w:p>
                </w:tc>
              </w:tr>
              <w:tr w:rsidR="00471D53" w:rsidRPr="00D637E5" w14:paraId="43DD3DE5" w14:textId="77777777" w:rsidTr="00471D53">
                <w:trPr>
                  <w:trHeight w:val="340"/>
                  <w:jc w:val="center"/>
                </w:trPr>
                <w:tc>
                  <w:tcPr>
                    <w:tcW w:w="1347" w:type="pct"/>
                    <w:tcMar>
                      <w:left w:w="28" w:type="dxa"/>
                      <w:right w:w="28" w:type="dxa"/>
                    </w:tcMar>
                    <w:vAlign w:val="center"/>
                  </w:tcPr>
                  <w:p w14:paraId="081B2082" w14:textId="77777777" w:rsidR="00471D53" w:rsidRPr="00D637E5" w:rsidRDefault="004F686E" w:rsidP="00471D53">
                    <w:pPr>
                      <w:jc w:val="both"/>
                      <w:rPr>
                        <w:sz w:val="20"/>
                        <w:szCs w:val="20"/>
                      </w:rPr>
                    </w:pPr>
                    <w:r w:rsidRPr="00D637E5">
                      <w:rPr>
                        <w:rFonts w:hint="eastAsia"/>
                        <w:sz w:val="20"/>
                        <w:szCs w:val="20"/>
                      </w:rPr>
                      <w:t>2021年6月30日余额</w:t>
                    </w:r>
                  </w:p>
                </w:tc>
                <w:tc>
                  <w:tcPr>
                    <w:tcW w:w="881" w:type="pct"/>
                    <w:tcMar>
                      <w:left w:w="28" w:type="dxa"/>
                      <w:right w:w="28" w:type="dxa"/>
                    </w:tcMar>
                    <w:vAlign w:val="center"/>
                  </w:tcPr>
                  <w:p w14:paraId="13BAD9B8" w14:textId="77777777" w:rsidR="00471D53" w:rsidRPr="00D637E5" w:rsidRDefault="004F686E" w:rsidP="00471D53">
                    <w:pPr>
                      <w:jc w:val="right"/>
                      <w:rPr>
                        <w:bCs/>
                        <w:sz w:val="20"/>
                        <w:szCs w:val="20"/>
                      </w:rPr>
                    </w:pPr>
                    <w:r w:rsidRPr="00D637E5">
                      <w:rPr>
                        <w:rFonts w:hint="eastAsia"/>
                        <w:bCs/>
                        <w:sz w:val="20"/>
                        <w:szCs w:val="20"/>
                      </w:rPr>
                      <w:t>0.00</w:t>
                    </w:r>
                  </w:p>
                </w:tc>
                <w:tc>
                  <w:tcPr>
                    <w:tcW w:w="942" w:type="pct"/>
                    <w:tcMar>
                      <w:left w:w="28" w:type="dxa"/>
                      <w:right w:w="28" w:type="dxa"/>
                    </w:tcMar>
                    <w:vAlign w:val="center"/>
                  </w:tcPr>
                  <w:p w14:paraId="023F2E0E" w14:textId="77777777" w:rsidR="00471D53" w:rsidRPr="00D637E5" w:rsidRDefault="004F686E" w:rsidP="00471D53">
                    <w:pPr>
                      <w:jc w:val="right"/>
                      <w:rPr>
                        <w:sz w:val="20"/>
                        <w:szCs w:val="20"/>
                      </w:rPr>
                    </w:pPr>
                    <w:r w:rsidRPr="00F13069">
                      <w:rPr>
                        <w:sz w:val="20"/>
                        <w:szCs w:val="20"/>
                      </w:rPr>
                      <w:t>26,264,877.55</w:t>
                    </w:r>
                  </w:p>
                </w:tc>
                <w:tc>
                  <w:tcPr>
                    <w:tcW w:w="935" w:type="pct"/>
                    <w:tcMar>
                      <w:left w:w="28" w:type="dxa"/>
                      <w:right w:w="28" w:type="dxa"/>
                    </w:tcMar>
                    <w:vAlign w:val="center"/>
                  </w:tcPr>
                  <w:p w14:paraId="4CD68A21" w14:textId="7ED51201" w:rsidR="00471D53" w:rsidRPr="00D637E5" w:rsidRDefault="004F686E" w:rsidP="00471D53">
                    <w:pPr>
                      <w:jc w:val="right"/>
                      <w:rPr>
                        <w:sz w:val="20"/>
                        <w:szCs w:val="20"/>
                      </w:rPr>
                    </w:pPr>
                    <w:r w:rsidRPr="00D637E5">
                      <w:rPr>
                        <w:rFonts w:hint="eastAsia"/>
                        <w:sz w:val="20"/>
                        <w:szCs w:val="20"/>
                      </w:rPr>
                      <w:t>37,407,843.56</w:t>
                    </w:r>
                  </w:p>
                </w:tc>
                <w:tc>
                  <w:tcPr>
                    <w:tcW w:w="895" w:type="pct"/>
                    <w:tcMar>
                      <w:left w:w="28" w:type="dxa"/>
                      <w:right w:w="28" w:type="dxa"/>
                    </w:tcMar>
                    <w:vAlign w:val="center"/>
                  </w:tcPr>
                  <w:p w14:paraId="5D7DF2EC" w14:textId="77777777" w:rsidR="00471D53" w:rsidRPr="00D637E5" w:rsidRDefault="004F686E" w:rsidP="00471D53">
                    <w:pPr>
                      <w:jc w:val="right"/>
                      <w:rPr>
                        <w:bCs/>
                        <w:sz w:val="20"/>
                        <w:szCs w:val="20"/>
                      </w:rPr>
                    </w:pPr>
                    <w:r w:rsidRPr="00F13069">
                      <w:rPr>
                        <w:bCs/>
                        <w:sz w:val="20"/>
                        <w:szCs w:val="20"/>
                      </w:rPr>
                      <w:t>63,672,721.11</w:t>
                    </w:r>
                  </w:p>
                </w:tc>
              </w:tr>
            </w:tbl>
            <w:p w14:paraId="199C6531" w14:textId="77777777" w:rsidR="00471D53" w:rsidRDefault="00B664AF"/>
          </w:sdtContent>
        </w:sdt>
        <w:p w14:paraId="0DBCDE31" w14:textId="77777777" w:rsidR="00471D53" w:rsidRDefault="00B664AF"/>
      </w:sdtContent>
    </w:sdt>
    <w:bookmarkEnd w:id="123" w:displacedByCustomXml="prev"/>
    <w:bookmarkStart w:id="124" w:name="_Hlk10467433" w:displacedByCustomXml="next"/>
    <w:sdt>
      <w:sdtPr>
        <w:rPr>
          <w:rFonts w:ascii="宋体" w:hAnsi="宋体" w:cs="宋体" w:hint="eastAsia"/>
          <w:b w:val="0"/>
          <w:bCs w:val="0"/>
          <w:kern w:val="0"/>
          <w:szCs w:val="21"/>
        </w:rPr>
        <w:alias w:val="模块:坏账准备的情况"/>
        <w:tag w:val="_SEC_585de72ff9a04d78b96f9dd88a2090f9"/>
        <w:id w:val="-2126296549"/>
        <w:lock w:val="sdtLocked"/>
        <w:placeholder>
          <w:docPart w:val="GBC22222222222222222222222222222"/>
        </w:placeholder>
      </w:sdtPr>
      <w:sdtEndPr>
        <w:rPr>
          <w:rFonts w:hint="default"/>
          <w:szCs w:val="24"/>
        </w:rPr>
      </w:sdtEndPr>
      <w:sdtContent>
        <w:p w14:paraId="5215A066" w14:textId="77777777" w:rsidR="00471D53" w:rsidRDefault="004F686E" w:rsidP="004F686E">
          <w:pPr>
            <w:pStyle w:val="afffff8"/>
            <w:numPr>
              <w:ilvl w:val="3"/>
              <w:numId w:val="60"/>
            </w:numPr>
            <w:tabs>
              <w:tab w:val="left" w:pos="574"/>
            </w:tabs>
            <w:rPr>
              <w:rFonts w:ascii="宋体" w:hAnsi="宋体"/>
              <w:szCs w:val="21"/>
            </w:rPr>
          </w:pPr>
          <w:r>
            <w:rPr>
              <w:rFonts w:ascii="宋体" w:hAnsi="宋体" w:hint="eastAsia"/>
              <w:szCs w:val="21"/>
            </w:rPr>
            <w:t>坏账准备的情况</w:t>
          </w:r>
        </w:p>
        <w:sdt>
          <w:sdtPr>
            <w:alias w:val="是否适用：应收账款坏账准备[双击切换]"/>
            <w:tag w:val="_GBC_fb482eb90dbc45c4a6420c45e8a46012"/>
            <w:id w:val="-836379856"/>
            <w:lock w:val="sdtLocked"/>
            <w:placeholder>
              <w:docPart w:val="GBC22222222222222222222222222222"/>
            </w:placeholder>
          </w:sdtPr>
          <w:sdtEndPr/>
          <w:sdtContent>
            <w:p w14:paraId="22B73974"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F33F886" w14:textId="670CC237" w:rsidR="00471D53" w:rsidRDefault="004F686E">
          <w:pPr>
            <w:pStyle w:val="affffff7"/>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应收账款坏账准备"/>
              <w:tag w:val="_GBC_f681542ff42f497c9ed44328f301413f"/>
              <w:id w:val="4744211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币种：</w:t>
          </w:r>
          <w:sdt>
            <w:sdtPr>
              <w:rPr>
                <w:rFonts w:ascii="宋体" w:hAnsi="宋体" w:hint="eastAsia"/>
                <w:szCs w:val="21"/>
              </w:rPr>
              <w:alias w:val="币种：应收账款坏账准备"/>
              <w:tag w:val="_GBC_79f82daaad1749fbb117cea0941b8667"/>
              <w:id w:val="-18826233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4"/>
            <w:tblW w:w="5251" w:type="pct"/>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770"/>
            <w:gridCol w:w="1591"/>
            <w:gridCol w:w="1486"/>
            <w:gridCol w:w="1276"/>
            <w:gridCol w:w="1486"/>
            <w:gridCol w:w="1066"/>
            <w:gridCol w:w="1591"/>
          </w:tblGrid>
          <w:tr w:rsidR="00471D53" w14:paraId="5AB97C07" w14:textId="77777777" w:rsidTr="00471D53">
            <w:sdt>
              <w:sdtPr>
                <w:tag w:val="_PLD_82b0419f5c784cbe8b363ff715cfd4eb"/>
                <w:id w:val="1255411276"/>
                <w:lock w:val="sdtLocked"/>
              </w:sdtPr>
              <w:sdtEndPr/>
              <w:sdtContent>
                <w:tc>
                  <w:tcPr>
                    <w:tcW w:w="661" w:type="pct"/>
                    <w:vMerge w:val="restart"/>
                    <w:shd w:val="clear" w:color="auto" w:fill="FFFFFF"/>
                    <w:vAlign w:val="center"/>
                  </w:tcPr>
                  <w:p w14:paraId="732EF2EE" w14:textId="77777777" w:rsidR="00471D53" w:rsidRDefault="004F686E">
                    <w:pPr>
                      <w:widowControl w:val="0"/>
                      <w:jc w:val="center"/>
                    </w:pPr>
                    <w:r>
                      <w:t>类别</w:t>
                    </w:r>
                  </w:p>
                </w:tc>
              </w:sdtContent>
            </w:sdt>
            <w:sdt>
              <w:sdtPr>
                <w:tag w:val="_PLD_6cba2c33cb334541980e3e13a6ee357d"/>
                <w:id w:val="-1160835499"/>
                <w:lock w:val="sdtLocked"/>
              </w:sdtPr>
              <w:sdtEndPr/>
              <w:sdtContent>
                <w:tc>
                  <w:tcPr>
                    <w:tcW w:w="802" w:type="pct"/>
                    <w:vMerge w:val="restart"/>
                    <w:shd w:val="clear" w:color="auto" w:fill="FFFFFF"/>
                    <w:vAlign w:val="center"/>
                  </w:tcPr>
                  <w:p w14:paraId="4A6D11C0" w14:textId="77777777" w:rsidR="00471D53" w:rsidRDefault="004F686E">
                    <w:pPr>
                      <w:widowControl w:val="0"/>
                      <w:jc w:val="center"/>
                    </w:pPr>
                    <w:r>
                      <w:t>期初余额</w:t>
                    </w:r>
                  </w:p>
                </w:tc>
              </w:sdtContent>
            </w:sdt>
            <w:sdt>
              <w:sdtPr>
                <w:tag w:val="_PLD_ec3d2e2cde2a4ba29c966861f9ca39c7"/>
                <w:id w:val="309828658"/>
                <w:lock w:val="sdtLocked"/>
              </w:sdtPr>
              <w:sdtEndPr/>
              <w:sdtContent>
                <w:tc>
                  <w:tcPr>
                    <w:tcW w:w="2735" w:type="pct"/>
                    <w:gridSpan w:val="4"/>
                    <w:shd w:val="clear" w:color="auto" w:fill="FFFFFF"/>
                    <w:vAlign w:val="center"/>
                  </w:tcPr>
                  <w:p w14:paraId="1F093BDC" w14:textId="77777777" w:rsidR="00471D53" w:rsidRDefault="004F686E">
                    <w:pPr>
                      <w:widowControl w:val="0"/>
                      <w:jc w:val="center"/>
                    </w:pPr>
                    <w:r>
                      <w:rPr>
                        <w:rFonts w:hint="eastAsia"/>
                      </w:rPr>
                      <w:t>本期变动</w:t>
                    </w:r>
                    <w:r>
                      <w:t>金额</w:t>
                    </w:r>
                  </w:p>
                </w:tc>
              </w:sdtContent>
            </w:sdt>
            <w:sdt>
              <w:sdtPr>
                <w:tag w:val="_PLD_9c167d6d72f94e22aecc39ba0e735a78"/>
                <w:id w:val="-1907450804"/>
                <w:lock w:val="sdtLocked"/>
              </w:sdtPr>
              <w:sdtEndPr/>
              <w:sdtContent>
                <w:tc>
                  <w:tcPr>
                    <w:tcW w:w="802" w:type="pct"/>
                    <w:vMerge w:val="restart"/>
                    <w:shd w:val="clear" w:color="auto" w:fill="FFFFFF"/>
                    <w:vAlign w:val="center"/>
                  </w:tcPr>
                  <w:p w14:paraId="21204F0A" w14:textId="77777777" w:rsidR="00471D53" w:rsidRDefault="004F686E">
                    <w:pPr>
                      <w:widowControl w:val="0"/>
                      <w:jc w:val="center"/>
                    </w:pPr>
                    <w:r>
                      <w:t>期末余额</w:t>
                    </w:r>
                  </w:p>
                </w:tc>
              </w:sdtContent>
            </w:sdt>
          </w:tr>
          <w:tr w:rsidR="00471D53" w14:paraId="02A21D0C" w14:textId="77777777" w:rsidTr="00471D53">
            <w:tc>
              <w:tcPr>
                <w:tcW w:w="661" w:type="pct"/>
                <w:vMerge/>
                <w:shd w:val="clear" w:color="auto" w:fill="FFFFFF"/>
              </w:tcPr>
              <w:p w14:paraId="18D80D49" w14:textId="77777777" w:rsidR="00471D53" w:rsidRDefault="00B664AF">
                <w:pPr>
                  <w:widowControl w:val="0"/>
                  <w:jc w:val="center"/>
                </w:pPr>
              </w:p>
            </w:tc>
            <w:tc>
              <w:tcPr>
                <w:tcW w:w="802" w:type="pct"/>
                <w:vMerge/>
                <w:shd w:val="clear" w:color="auto" w:fill="FFFFFF"/>
              </w:tcPr>
              <w:p w14:paraId="33825CD9" w14:textId="77777777" w:rsidR="00471D53" w:rsidRDefault="00B664AF">
                <w:pPr>
                  <w:widowControl w:val="0"/>
                  <w:jc w:val="center"/>
                </w:pPr>
              </w:p>
            </w:tc>
            <w:sdt>
              <w:sdtPr>
                <w:tag w:val="_PLD_6cba23a5661e46c88bed469159b39a72"/>
                <w:id w:val="1627499979"/>
                <w:lock w:val="sdtLocked"/>
              </w:sdtPr>
              <w:sdtEndPr/>
              <w:sdtContent>
                <w:tc>
                  <w:tcPr>
                    <w:tcW w:w="749" w:type="pct"/>
                    <w:shd w:val="clear" w:color="auto" w:fill="FFFFFF"/>
                    <w:vAlign w:val="center"/>
                  </w:tcPr>
                  <w:p w14:paraId="2B30B492" w14:textId="77777777" w:rsidR="00471D53" w:rsidRDefault="004F686E">
                    <w:pPr>
                      <w:widowControl w:val="0"/>
                      <w:jc w:val="center"/>
                    </w:pPr>
                    <w:r>
                      <w:t>计提</w:t>
                    </w:r>
                  </w:p>
                </w:tc>
              </w:sdtContent>
            </w:sdt>
            <w:sdt>
              <w:sdtPr>
                <w:tag w:val="_PLD_eaa82901608843c6947a0e537e8e0700"/>
                <w:id w:val="-1730762753"/>
                <w:lock w:val="sdtLocked"/>
              </w:sdtPr>
              <w:sdtEndPr/>
              <w:sdtContent>
                <w:tc>
                  <w:tcPr>
                    <w:tcW w:w="644" w:type="pct"/>
                    <w:shd w:val="clear" w:color="auto" w:fill="FFFFFF"/>
                    <w:vAlign w:val="center"/>
                  </w:tcPr>
                  <w:p w14:paraId="1B4B2525" w14:textId="77777777" w:rsidR="00471D53" w:rsidRDefault="004F686E">
                    <w:pPr>
                      <w:widowControl w:val="0"/>
                      <w:jc w:val="center"/>
                    </w:pPr>
                    <w:r>
                      <w:rPr>
                        <w:rFonts w:hint="eastAsia"/>
                      </w:rPr>
                      <w:t>收回或转回</w:t>
                    </w:r>
                  </w:p>
                </w:tc>
              </w:sdtContent>
            </w:sdt>
            <w:tc>
              <w:tcPr>
                <w:tcW w:w="750" w:type="pct"/>
                <w:shd w:val="clear" w:color="auto" w:fill="FFFFFF"/>
                <w:vAlign w:val="center"/>
              </w:tcPr>
              <w:sdt>
                <w:sdtPr>
                  <w:rPr>
                    <w:rFonts w:hint="eastAsia"/>
                  </w:rPr>
                  <w:tag w:val="_PLD_4232da6e7f4d498bb5fd03aa253dd7d4"/>
                  <w:id w:val="1333417556"/>
                  <w:lock w:val="sdtLocked"/>
                </w:sdtPr>
                <w:sdtEndPr/>
                <w:sdtContent>
                  <w:p w14:paraId="0EB5257B" w14:textId="77777777" w:rsidR="00471D53" w:rsidRDefault="004F686E">
                    <w:pPr>
                      <w:widowControl w:val="0"/>
                      <w:jc w:val="center"/>
                    </w:pPr>
                    <w:r>
                      <w:rPr>
                        <w:rFonts w:hint="eastAsia"/>
                      </w:rPr>
                      <w:t>转销或核销</w:t>
                    </w:r>
                  </w:p>
                </w:sdtContent>
              </w:sdt>
            </w:tc>
            <w:tc>
              <w:tcPr>
                <w:tcW w:w="592" w:type="pct"/>
                <w:shd w:val="clear" w:color="auto" w:fill="FFFFFF"/>
                <w:vAlign w:val="center"/>
              </w:tcPr>
              <w:sdt>
                <w:sdtPr>
                  <w:rPr>
                    <w:rFonts w:hint="eastAsia"/>
                  </w:rPr>
                  <w:tag w:val="_PLD_6a40df7ca60f4ded8af3453519948166"/>
                  <w:id w:val="395716097"/>
                  <w:lock w:val="sdtLocked"/>
                </w:sdtPr>
                <w:sdtEndPr/>
                <w:sdtContent>
                  <w:p w14:paraId="6D62CA69" w14:textId="77777777" w:rsidR="00471D53" w:rsidRDefault="004F686E">
                    <w:pPr>
                      <w:widowControl w:val="0"/>
                      <w:jc w:val="center"/>
                    </w:pPr>
                    <w:r>
                      <w:rPr>
                        <w:rFonts w:hint="eastAsia"/>
                      </w:rPr>
                      <w:t>其他变动</w:t>
                    </w:r>
                  </w:p>
                </w:sdtContent>
              </w:sdt>
            </w:tc>
            <w:tc>
              <w:tcPr>
                <w:tcW w:w="802" w:type="pct"/>
                <w:vMerge/>
                <w:shd w:val="clear" w:color="auto" w:fill="FFFFFF"/>
              </w:tcPr>
              <w:p w14:paraId="21B39D31" w14:textId="77777777" w:rsidR="00471D53" w:rsidRDefault="00B664AF">
                <w:pPr>
                  <w:widowControl w:val="0"/>
                  <w:jc w:val="right"/>
                </w:pPr>
              </w:p>
            </w:tc>
          </w:tr>
          <w:sdt>
            <w:sdtPr>
              <w:alias w:val="应收账款坏账准备明细"/>
              <w:tag w:val="_TUP_04277916d7e64096951ac7654a59b39a"/>
              <w:id w:val="862410611"/>
              <w:lock w:val="sdtLocked"/>
            </w:sdtPr>
            <w:sdtEndPr/>
            <w:sdtContent>
              <w:tr w:rsidR="00471D53" w14:paraId="71DE8FA5" w14:textId="77777777" w:rsidTr="00471D53">
                <w:tc>
                  <w:tcPr>
                    <w:tcW w:w="661" w:type="pct"/>
                    <w:shd w:val="clear" w:color="auto" w:fill="auto"/>
                  </w:tcPr>
                  <w:p w14:paraId="20410A56" w14:textId="77777777" w:rsidR="00471D53" w:rsidRDefault="004F686E">
                    <w:pPr>
                      <w:widowControl w:val="0"/>
                    </w:pPr>
                    <w:r w:rsidRPr="000A2988">
                      <w:rPr>
                        <w:rFonts w:hint="eastAsia"/>
                      </w:rPr>
                      <w:t>应收账款坏账准备</w:t>
                    </w:r>
                  </w:p>
                </w:tc>
                <w:tc>
                  <w:tcPr>
                    <w:tcW w:w="802" w:type="pct"/>
                    <w:shd w:val="clear" w:color="auto" w:fill="auto"/>
                    <w:vAlign w:val="center"/>
                  </w:tcPr>
                  <w:p w14:paraId="7A3648D4" w14:textId="77777777" w:rsidR="00471D53" w:rsidRPr="00FB6D17" w:rsidRDefault="004F686E" w:rsidP="00471D53">
                    <w:pPr>
                      <w:jc w:val="center"/>
                      <w:rPr>
                        <w:sz w:val="20"/>
                        <w:szCs w:val="20"/>
                      </w:rPr>
                    </w:pPr>
                    <w:r w:rsidRPr="00FB6D17">
                      <w:rPr>
                        <w:rFonts w:cs="Calibri"/>
                        <w:sz w:val="20"/>
                        <w:szCs w:val="20"/>
                      </w:rPr>
                      <w:t>61,965,614.20</w:t>
                    </w:r>
                  </w:p>
                </w:tc>
                <w:tc>
                  <w:tcPr>
                    <w:tcW w:w="749" w:type="pct"/>
                    <w:shd w:val="clear" w:color="auto" w:fill="auto"/>
                    <w:vAlign w:val="center"/>
                  </w:tcPr>
                  <w:p w14:paraId="0F94D7B7" w14:textId="77777777" w:rsidR="00471D53" w:rsidRDefault="004F686E" w:rsidP="00471D53">
                    <w:pPr>
                      <w:jc w:val="center"/>
                      <w:rPr>
                        <w:sz w:val="20"/>
                        <w:szCs w:val="20"/>
                      </w:rPr>
                    </w:pPr>
                    <w:r w:rsidRPr="00F13069">
                      <w:rPr>
                        <w:sz w:val="20"/>
                        <w:szCs w:val="20"/>
                      </w:rPr>
                      <w:t>3,744,645.12</w:t>
                    </w:r>
                  </w:p>
                </w:tc>
                <w:tc>
                  <w:tcPr>
                    <w:tcW w:w="644" w:type="pct"/>
                    <w:shd w:val="clear" w:color="auto" w:fill="auto"/>
                    <w:vAlign w:val="center"/>
                  </w:tcPr>
                  <w:p w14:paraId="5C245421" w14:textId="77777777" w:rsidR="00471D53" w:rsidRDefault="004F686E" w:rsidP="00471D53">
                    <w:pPr>
                      <w:jc w:val="center"/>
                      <w:rPr>
                        <w:sz w:val="20"/>
                        <w:szCs w:val="20"/>
                      </w:rPr>
                    </w:pPr>
                    <w:r>
                      <w:rPr>
                        <w:rFonts w:hint="eastAsia"/>
                        <w:sz w:val="20"/>
                        <w:szCs w:val="20"/>
                      </w:rPr>
                      <w:t>819,000.00</w:t>
                    </w:r>
                  </w:p>
                </w:tc>
                <w:tc>
                  <w:tcPr>
                    <w:tcW w:w="750" w:type="pct"/>
                    <w:vAlign w:val="center"/>
                  </w:tcPr>
                  <w:p w14:paraId="78BC6F38" w14:textId="77777777" w:rsidR="00471D53" w:rsidRDefault="004F686E" w:rsidP="00471D53">
                    <w:pPr>
                      <w:jc w:val="center"/>
                      <w:rPr>
                        <w:sz w:val="20"/>
                        <w:szCs w:val="20"/>
                      </w:rPr>
                    </w:pPr>
                    <w:r>
                      <w:rPr>
                        <w:rFonts w:hint="eastAsia"/>
                        <w:sz w:val="20"/>
                        <w:szCs w:val="20"/>
                      </w:rPr>
                      <w:t>1,217,200.00</w:t>
                    </w:r>
                  </w:p>
                </w:tc>
                <w:tc>
                  <w:tcPr>
                    <w:tcW w:w="592" w:type="pct"/>
                    <w:vAlign w:val="center"/>
                  </w:tcPr>
                  <w:p w14:paraId="7003B37F" w14:textId="77777777" w:rsidR="00471D53" w:rsidRDefault="004F686E" w:rsidP="00471D53">
                    <w:pPr>
                      <w:widowControl w:val="0"/>
                      <w:jc w:val="center"/>
                    </w:pPr>
                    <w:r w:rsidRPr="007D6F43">
                      <w:rPr>
                        <w:sz w:val="20"/>
                        <w:szCs w:val="20"/>
                      </w:rPr>
                      <w:t>-1,338.21</w:t>
                    </w:r>
                  </w:p>
                </w:tc>
                <w:tc>
                  <w:tcPr>
                    <w:tcW w:w="802" w:type="pct"/>
                    <w:shd w:val="clear" w:color="auto" w:fill="auto"/>
                    <w:vAlign w:val="center"/>
                  </w:tcPr>
                  <w:p w14:paraId="590A0E97" w14:textId="77777777" w:rsidR="00471D53" w:rsidRDefault="004F686E" w:rsidP="00471D53">
                    <w:pPr>
                      <w:widowControl w:val="0"/>
                      <w:jc w:val="center"/>
                    </w:pPr>
                    <w:r w:rsidRPr="00F13069">
                      <w:rPr>
                        <w:sz w:val="20"/>
                        <w:szCs w:val="20"/>
                      </w:rPr>
                      <w:t>63,672,721.11</w:t>
                    </w:r>
                  </w:p>
                </w:tc>
              </w:tr>
            </w:sdtContent>
          </w:sdt>
          <w:tr w:rsidR="00471D53" w14:paraId="0D66F499" w14:textId="77777777" w:rsidTr="00471D53">
            <w:sdt>
              <w:sdtPr>
                <w:tag w:val="_PLD_8c958a5c94c1486e8139bef49c636c6d"/>
                <w:id w:val="999239015"/>
                <w:lock w:val="sdtLocked"/>
              </w:sdtPr>
              <w:sdtEndPr/>
              <w:sdtContent>
                <w:tc>
                  <w:tcPr>
                    <w:tcW w:w="661" w:type="pct"/>
                    <w:shd w:val="clear" w:color="auto" w:fill="auto"/>
                  </w:tcPr>
                  <w:p w14:paraId="5D1ABC3D" w14:textId="77777777" w:rsidR="00471D53" w:rsidRDefault="004F686E">
                    <w:pPr>
                      <w:widowControl w:val="0"/>
                      <w:jc w:val="center"/>
                    </w:pPr>
                    <w:r>
                      <w:rPr>
                        <w:rFonts w:hint="eastAsia"/>
                      </w:rPr>
                      <w:t>合计</w:t>
                    </w:r>
                  </w:p>
                </w:tc>
              </w:sdtContent>
            </w:sdt>
            <w:tc>
              <w:tcPr>
                <w:tcW w:w="802" w:type="pct"/>
                <w:shd w:val="clear" w:color="auto" w:fill="auto"/>
                <w:vAlign w:val="center"/>
              </w:tcPr>
              <w:p w14:paraId="162EADCB" w14:textId="77777777" w:rsidR="00471D53" w:rsidRDefault="004F686E">
                <w:pPr>
                  <w:rPr>
                    <w:sz w:val="24"/>
                  </w:rPr>
                </w:pPr>
                <w:r>
                  <w:t>61,965,614.20</w:t>
                </w:r>
              </w:p>
            </w:tc>
            <w:tc>
              <w:tcPr>
                <w:tcW w:w="749" w:type="pct"/>
                <w:shd w:val="clear" w:color="auto" w:fill="auto"/>
                <w:vAlign w:val="center"/>
              </w:tcPr>
              <w:p w14:paraId="17CE038A" w14:textId="77777777" w:rsidR="00471D53" w:rsidRDefault="004F686E">
                <w:pPr>
                  <w:rPr>
                    <w:sz w:val="24"/>
                  </w:rPr>
                </w:pPr>
                <w:r>
                  <w:t>3,744,645.12</w:t>
                </w:r>
              </w:p>
            </w:tc>
            <w:tc>
              <w:tcPr>
                <w:tcW w:w="644" w:type="pct"/>
                <w:shd w:val="clear" w:color="auto" w:fill="auto"/>
                <w:vAlign w:val="center"/>
              </w:tcPr>
              <w:p w14:paraId="556A80DA" w14:textId="77777777" w:rsidR="00471D53" w:rsidRDefault="004F686E">
                <w:pPr>
                  <w:rPr>
                    <w:sz w:val="24"/>
                  </w:rPr>
                </w:pPr>
                <w:r>
                  <w:t>819,000.00</w:t>
                </w:r>
              </w:p>
            </w:tc>
            <w:tc>
              <w:tcPr>
                <w:tcW w:w="750" w:type="pct"/>
                <w:vAlign w:val="center"/>
              </w:tcPr>
              <w:p w14:paraId="71DDFC1D" w14:textId="77777777" w:rsidR="00471D53" w:rsidRDefault="004F686E">
                <w:pPr>
                  <w:rPr>
                    <w:sz w:val="24"/>
                  </w:rPr>
                </w:pPr>
                <w:r>
                  <w:t>1,217,200.00</w:t>
                </w:r>
              </w:p>
            </w:tc>
            <w:tc>
              <w:tcPr>
                <w:tcW w:w="592" w:type="pct"/>
                <w:vAlign w:val="center"/>
              </w:tcPr>
              <w:p w14:paraId="6C1DEB54" w14:textId="77777777" w:rsidR="00471D53" w:rsidRDefault="004F686E">
                <w:pPr>
                  <w:rPr>
                    <w:sz w:val="24"/>
                  </w:rPr>
                </w:pPr>
                <w:r>
                  <w:t>-1,338.21</w:t>
                </w:r>
              </w:p>
            </w:tc>
            <w:tc>
              <w:tcPr>
                <w:tcW w:w="802" w:type="pct"/>
                <w:shd w:val="clear" w:color="auto" w:fill="auto"/>
                <w:vAlign w:val="center"/>
              </w:tcPr>
              <w:p w14:paraId="52D9ED07" w14:textId="77777777" w:rsidR="00471D53" w:rsidRDefault="004F686E">
                <w:pPr>
                  <w:rPr>
                    <w:sz w:val="24"/>
                  </w:rPr>
                </w:pPr>
                <w:r>
                  <w:t>63,672,721.11</w:t>
                </w:r>
              </w:p>
            </w:tc>
          </w:tr>
        </w:tbl>
        <w:p w14:paraId="41C236E6" w14:textId="77777777" w:rsidR="00471D53" w:rsidRPr="000A2988" w:rsidRDefault="004F686E" w:rsidP="00471D53">
          <w:pPr>
            <w:tabs>
              <w:tab w:val="left" w:pos="700"/>
              <w:tab w:val="left" w:pos="900"/>
              <w:tab w:val="left" w:pos="1000"/>
              <w:tab w:val="left" w:pos="1100"/>
            </w:tabs>
            <w:spacing w:beforeLines="50" w:before="120" w:afterLines="50" w:after="120" w:line="360" w:lineRule="exact"/>
            <w:ind w:firstLineChars="200" w:firstLine="440"/>
            <w:jc w:val="both"/>
            <w:rPr>
              <w:bCs/>
              <w:sz w:val="22"/>
              <w:szCs w:val="22"/>
            </w:rPr>
          </w:pPr>
          <w:r w:rsidRPr="00FB6D17">
            <w:rPr>
              <w:rFonts w:hint="eastAsia"/>
              <w:bCs/>
              <w:sz w:val="22"/>
              <w:szCs w:val="22"/>
            </w:rPr>
            <w:t>注：其他影响为汇率变动影响</w:t>
          </w:r>
        </w:p>
        <w:p w14:paraId="52C0DA90" w14:textId="77777777" w:rsidR="00471D53" w:rsidRDefault="00B664AF"/>
        <w:p w14:paraId="4B8DAB51" w14:textId="77777777" w:rsidR="00471D53" w:rsidRDefault="004F686E">
          <w:r>
            <w:rPr>
              <w:rFonts w:hint="eastAsia"/>
            </w:rPr>
            <w:t>其中本期坏账准备收回或转回金额重要的：</w:t>
          </w:r>
        </w:p>
        <w:sdt>
          <w:sdtPr>
            <w:alias w:val="是否适用：其中本期坏账准备收回或转回金额重要的[双击切换]"/>
            <w:tag w:val="_GBC_362288b01950422da8198293b517eeb5"/>
            <w:id w:val="551821851"/>
            <w:lock w:val="sdtLocked"/>
            <w:placeholder>
              <w:docPart w:val="GBC22222222222222222222222222222"/>
            </w:placeholder>
          </w:sdtPr>
          <w:sdtEndPr/>
          <w:sdtContent>
            <w:p w14:paraId="14F21693"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6611984" w14:textId="2AE498C2" w:rsidR="00471D53" w:rsidRDefault="004F686E">
          <w:pPr>
            <w:jc w:val="right"/>
            <w:rPr>
              <w:szCs w:val="21"/>
              <w:highlight w:val="yellow"/>
            </w:rPr>
          </w:pPr>
          <w:r>
            <w:rPr>
              <w:rFonts w:hint="eastAsia"/>
              <w:szCs w:val="21"/>
            </w:rPr>
            <w:t>单位：</w:t>
          </w:r>
          <w:sdt>
            <w:sdtPr>
              <w:rPr>
                <w:rFonts w:hint="eastAsia"/>
                <w:szCs w:val="21"/>
              </w:rPr>
              <w:alias w:val="单位：本期转回或收回情况"/>
              <w:tag w:val="_GBC_4d23afad43c848bb8ee4bdc4fec2fc3e"/>
              <w:id w:val="-12285995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本期转回或收回情况"/>
              <w:tag w:val="_GBC_c887815c0863405bb462c78e55cde498"/>
              <w:id w:val="-9876188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5"/>
            <w:gridCol w:w="3344"/>
            <w:gridCol w:w="3344"/>
          </w:tblGrid>
          <w:tr w:rsidR="00471D53" w14:paraId="7690BF55" w14:textId="77777777" w:rsidTr="00471D53">
            <w:sdt>
              <w:sdtPr>
                <w:tag w:val="_PLD_7bfcdf8072c04f429d0d31fd9a60a2e5"/>
                <w:id w:val="-285816795"/>
                <w:lock w:val="sdtLocked"/>
              </w:sdtPr>
              <w:sdtEndPr/>
              <w:sdtContent>
                <w:tc>
                  <w:tcPr>
                    <w:tcW w:w="1210" w:type="pct"/>
                    <w:vAlign w:val="center"/>
                  </w:tcPr>
                  <w:p w14:paraId="3637B28E" w14:textId="77777777" w:rsidR="00471D53" w:rsidRDefault="004F686E" w:rsidP="00471D53">
                    <w:pPr>
                      <w:jc w:val="center"/>
                      <w:rPr>
                        <w:szCs w:val="21"/>
                      </w:rPr>
                    </w:pPr>
                    <w:r>
                      <w:rPr>
                        <w:rFonts w:hint="eastAsia"/>
                        <w:szCs w:val="21"/>
                      </w:rPr>
                      <w:t>单位名称</w:t>
                    </w:r>
                  </w:p>
                </w:tc>
              </w:sdtContent>
            </w:sdt>
            <w:sdt>
              <w:sdtPr>
                <w:tag w:val="_PLD_f35ded3e52fb418e9557ecdba652839c"/>
                <w:id w:val="-1876461834"/>
                <w:lock w:val="sdtLocked"/>
              </w:sdtPr>
              <w:sdtEndPr/>
              <w:sdtContent>
                <w:tc>
                  <w:tcPr>
                    <w:tcW w:w="1895" w:type="pct"/>
                    <w:vAlign w:val="center"/>
                  </w:tcPr>
                  <w:p w14:paraId="0A4E9112" w14:textId="77777777" w:rsidR="00471D53" w:rsidRDefault="004F686E" w:rsidP="00471D53">
                    <w:pPr>
                      <w:jc w:val="center"/>
                      <w:rPr>
                        <w:szCs w:val="21"/>
                      </w:rPr>
                    </w:pPr>
                    <w:r>
                      <w:rPr>
                        <w:rFonts w:hint="eastAsia"/>
                        <w:szCs w:val="21"/>
                      </w:rPr>
                      <w:t>收回或转回金额</w:t>
                    </w:r>
                  </w:p>
                </w:tc>
              </w:sdtContent>
            </w:sdt>
            <w:sdt>
              <w:sdtPr>
                <w:tag w:val="_PLD_67b082679a6749a4b1fd9823a48ba9ea"/>
                <w:id w:val="642401413"/>
                <w:lock w:val="sdtLocked"/>
              </w:sdtPr>
              <w:sdtEndPr/>
              <w:sdtContent>
                <w:tc>
                  <w:tcPr>
                    <w:tcW w:w="1895" w:type="pct"/>
                    <w:vAlign w:val="center"/>
                  </w:tcPr>
                  <w:p w14:paraId="3C096F04" w14:textId="77777777" w:rsidR="00471D53" w:rsidRDefault="004F686E" w:rsidP="00471D53">
                    <w:pPr>
                      <w:jc w:val="center"/>
                      <w:rPr>
                        <w:szCs w:val="21"/>
                      </w:rPr>
                    </w:pPr>
                    <w:r>
                      <w:rPr>
                        <w:rFonts w:hint="eastAsia"/>
                        <w:szCs w:val="21"/>
                      </w:rPr>
                      <w:t>收回方式</w:t>
                    </w:r>
                  </w:p>
                </w:tc>
              </w:sdtContent>
            </w:sdt>
          </w:tr>
          <w:sdt>
            <w:sdtPr>
              <w:rPr>
                <w:szCs w:val="21"/>
              </w:rPr>
              <w:alias w:val="转回或收回的应收账款明细"/>
              <w:tag w:val="_GBC_2bbf8fe5b0d1431aa52ef3231558456c"/>
              <w:id w:val="-53850695"/>
              <w:lock w:val="sdtLocked"/>
            </w:sdtPr>
            <w:sdtEndPr/>
            <w:sdtContent>
              <w:tr w:rsidR="00471D53" w14:paraId="560461B2" w14:textId="77777777" w:rsidTr="00471D53">
                <w:tc>
                  <w:tcPr>
                    <w:tcW w:w="1210" w:type="pct"/>
                  </w:tcPr>
                  <w:p w14:paraId="2A090FC0" w14:textId="77777777" w:rsidR="00471D53" w:rsidRDefault="004F686E" w:rsidP="00471D53">
                    <w:pPr>
                      <w:rPr>
                        <w:szCs w:val="21"/>
                      </w:rPr>
                    </w:pPr>
                    <w:r>
                      <w:t>包头市鑫能科技有限责任公司</w:t>
                    </w:r>
                  </w:p>
                </w:tc>
                <w:tc>
                  <w:tcPr>
                    <w:tcW w:w="1895" w:type="pct"/>
                  </w:tcPr>
                  <w:p w14:paraId="38ADF392" w14:textId="77777777" w:rsidR="00471D53" w:rsidRDefault="004F686E" w:rsidP="00471D53">
                    <w:pPr>
                      <w:jc w:val="right"/>
                      <w:rPr>
                        <w:szCs w:val="21"/>
                      </w:rPr>
                    </w:pPr>
                    <w:r>
                      <w:t>50,000.00</w:t>
                    </w:r>
                  </w:p>
                </w:tc>
                <w:tc>
                  <w:tcPr>
                    <w:tcW w:w="1895" w:type="pct"/>
                  </w:tcPr>
                  <w:p w14:paraId="0465F212" w14:textId="77777777" w:rsidR="00471D53" w:rsidRDefault="004F686E" w:rsidP="00471D53">
                    <w:pPr>
                      <w:jc w:val="center"/>
                      <w:rPr>
                        <w:szCs w:val="21"/>
                      </w:rPr>
                    </w:pPr>
                    <w:r>
                      <w:t>汇款</w:t>
                    </w:r>
                  </w:p>
                </w:tc>
              </w:tr>
            </w:sdtContent>
          </w:sdt>
          <w:sdt>
            <w:sdtPr>
              <w:rPr>
                <w:szCs w:val="21"/>
              </w:rPr>
              <w:alias w:val="转回或收回的应收账款明细"/>
              <w:tag w:val="_GBC_2bbf8fe5b0d1431aa52ef3231558456c"/>
              <w:id w:val="-189523856"/>
              <w:lock w:val="sdtLocked"/>
            </w:sdtPr>
            <w:sdtEndPr/>
            <w:sdtContent>
              <w:tr w:rsidR="00471D53" w14:paraId="22D2F041" w14:textId="77777777" w:rsidTr="00471D53">
                <w:tc>
                  <w:tcPr>
                    <w:tcW w:w="1210" w:type="pct"/>
                  </w:tcPr>
                  <w:p w14:paraId="106BDB89" w14:textId="77777777" w:rsidR="00471D53" w:rsidRDefault="004F686E" w:rsidP="00471D53">
                    <w:pPr>
                      <w:rPr>
                        <w:szCs w:val="21"/>
                      </w:rPr>
                    </w:pPr>
                    <w:r>
                      <w:t>临汾市金百丰新能源科技有限公司</w:t>
                    </w:r>
                  </w:p>
                </w:tc>
                <w:tc>
                  <w:tcPr>
                    <w:tcW w:w="1895" w:type="pct"/>
                  </w:tcPr>
                  <w:p w14:paraId="14D1D497" w14:textId="77777777" w:rsidR="00471D53" w:rsidRDefault="004F686E" w:rsidP="00471D53">
                    <w:pPr>
                      <w:jc w:val="right"/>
                      <w:rPr>
                        <w:szCs w:val="21"/>
                      </w:rPr>
                    </w:pPr>
                    <w:r>
                      <w:t>200,000.00</w:t>
                    </w:r>
                  </w:p>
                </w:tc>
                <w:tc>
                  <w:tcPr>
                    <w:tcW w:w="1895" w:type="pct"/>
                  </w:tcPr>
                  <w:p w14:paraId="50D552B6" w14:textId="77777777" w:rsidR="00471D53" w:rsidRDefault="004F686E" w:rsidP="00471D53">
                    <w:pPr>
                      <w:jc w:val="center"/>
                      <w:rPr>
                        <w:szCs w:val="21"/>
                      </w:rPr>
                    </w:pPr>
                    <w:r>
                      <w:t>票据</w:t>
                    </w:r>
                  </w:p>
                </w:tc>
              </w:tr>
            </w:sdtContent>
          </w:sdt>
          <w:sdt>
            <w:sdtPr>
              <w:rPr>
                <w:szCs w:val="21"/>
              </w:rPr>
              <w:alias w:val="转回或收回的应收账款明细"/>
              <w:tag w:val="_GBC_2bbf8fe5b0d1431aa52ef3231558456c"/>
              <w:id w:val="-880391165"/>
              <w:lock w:val="sdtLocked"/>
            </w:sdtPr>
            <w:sdtEndPr/>
            <w:sdtContent>
              <w:tr w:rsidR="00471D53" w14:paraId="1B9AFE26" w14:textId="77777777" w:rsidTr="00471D53">
                <w:tc>
                  <w:tcPr>
                    <w:tcW w:w="1210" w:type="pct"/>
                  </w:tcPr>
                  <w:p w14:paraId="310C866B" w14:textId="77777777" w:rsidR="00471D53" w:rsidRDefault="004F686E" w:rsidP="00471D53">
                    <w:pPr>
                      <w:rPr>
                        <w:szCs w:val="21"/>
                      </w:rPr>
                    </w:pPr>
                    <w:r>
                      <w:t>吕梁市东森燃气能源有限公司</w:t>
                    </w:r>
                  </w:p>
                </w:tc>
                <w:tc>
                  <w:tcPr>
                    <w:tcW w:w="1895" w:type="pct"/>
                  </w:tcPr>
                  <w:p w14:paraId="488D8DB6" w14:textId="77777777" w:rsidR="00471D53" w:rsidRDefault="004F686E" w:rsidP="00471D53">
                    <w:pPr>
                      <w:jc w:val="right"/>
                      <w:rPr>
                        <w:szCs w:val="21"/>
                      </w:rPr>
                    </w:pPr>
                    <w:r>
                      <w:t>280,000.00</w:t>
                    </w:r>
                  </w:p>
                </w:tc>
                <w:tc>
                  <w:tcPr>
                    <w:tcW w:w="1895" w:type="pct"/>
                  </w:tcPr>
                  <w:p w14:paraId="79826CF5" w14:textId="77777777" w:rsidR="00471D53" w:rsidRDefault="004F686E" w:rsidP="00471D53">
                    <w:pPr>
                      <w:jc w:val="center"/>
                      <w:rPr>
                        <w:szCs w:val="21"/>
                      </w:rPr>
                    </w:pPr>
                    <w:r>
                      <w:t>票据</w:t>
                    </w:r>
                  </w:p>
                </w:tc>
              </w:tr>
            </w:sdtContent>
          </w:sdt>
          <w:sdt>
            <w:sdtPr>
              <w:rPr>
                <w:szCs w:val="21"/>
              </w:rPr>
              <w:alias w:val="转回或收回的应收账款明细"/>
              <w:tag w:val="_GBC_2bbf8fe5b0d1431aa52ef3231558456c"/>
              <w:id w:val="1587350686"/>
              <w:lock w:val="sdtLocked"/>
            </w:sdtPr>
            <w:sdtEndPr/>
            <w:sdtContent>
              <w:tr w:rsidR="00471D53" w14:paraId="5454B1E1" w14:textId="77777777" w:rsidTr="00471D53">
                <w:tc>
                  <w:tcPr>
                    <w:tcW w:w="1210" w:type="pct"/>
                  </w:tcPr>
                  <w:p w14:paraId="2EB08B22" w14:textId="77777777" w:rsidR="00471D53" w:rsidRDefault="004F686E" w:rsidP="00471D53">
                    <w:pPr>
                      <w:rPr>
                        <w:szCs w:val="21"/>
                      </w:rPr>
                    </w:pPr>
                    <w:r>
                      <w:t>河津市鑫超越燃气有限公司</w:t>
                    </w:r>
                  </w:p>
                </w:tc>
                <w:tc>
                  <w:tcPr>
                    <w:tcW w:w="1895" w:type="pct"/>
                  </w:tcPr>
                  <w:p w14:paraId="45D6540B" w14:textId="77777777" w:rsidR="00471D53" w:rsidRDefault="004F686E" w:rsidP="00471D53">
                    <w:pPr>
                      <w:jc w:val="right"/>
                      <w:rPr>
                        <w:szCs w:val="21"/>
                      </w:rPr>
                    </w:pPr>
                    <w:r>
                      <w:t>289,000.00</w:t>
                    </w:r>
                  </w:p>
                </w:tc>
                <w:tc>
                  <w:tcPr>
                    <w:tcW w:w="1895" w:type="pct"/>
                  </w:tcPr>
                  <w:p w14:paraId="4A6308C8" w14:textId="77777777" w:rsidR="00471D53" w:rsidRDefault="004F686E" w:rsidP="00471D53">
                    <w:pPr>
                      <w:jc w:val="center"/>
                      <w:rPr>
                        <w:szCs w:val="21"/>
                      </w:rPr>
                    </w:pPr>
                    <w:r>
                      <w:t>汇款和票据</w:t>
                    </w:r>
                  </w:p>
                </w:tc>
              </w:tr>
            </w:sdtContent>
          </w:sdt>
          <w:tr w:rsidR="00471D53" w14:paraId="3A1AFB8C" w14:textId="77777777" w:rsidTr="00471D53">
            <w:sdt>
              <w:sdtPr>
                <w:tag w:val="_PLD_286d3322cc1a4aa2be2069abcfe83749"/>
                <w:id w:val="1118174421"/>
                <w:lock w:val="sdtLocked"/>
              </w:sdtPr>
              <w:sdtEndPr/>
              <w:sdtContent>
                <w:tc>
                  <w:tcPr>
                    <w:tcW w:w="1210" w:type="pct"/>
                    <w:vAlign w:val="center"/>
                  </w:tcPr>
                  <w:p w14:paraId="5CED10C3" w14:textId="77777777" w:rsidR="00471D53" w:rsidRDefault="004F686E" w:rsidP="00471D53">
                    <w:pPr>
                      <w:jc w:val="center"/>
                      <w:rPr>
                        <w:szCs w:val="21"/>
                      </w:rPr>
                    </w:pPr>
                    <w:r>
                      <w:rPr>
                        <w:szCs w:val="21"/>
                      </w:rPr>
                      <w:t>合计</w:t>
                    </w:r>
                  </w:p>
                </w:tc>
              </w:sdtContent>
            </w:sdt>
            <w:tc>
              <w:tcPr>
                <w:tcW w:w="1895" w:type="pct"/>
              </w:tcPr>
              <w:p w14:paraId="0D491CE4" w14:textId="77777777" w:rsidR="00471D53" w:rsidRPr="000A2988" w:rsidRDefault="004F686E" w:rsidP="00471D53">
                <w:pPr>
                  <w:jc w:val="right"/>
                  <w:rPr>
                    <w:szCs w:val="21"/>
                  </w:rPr>
                </w:pPr>
                <w:r w:rsidRPr="000A2988">
                  <w:rPr>
                    <w:bCs/>
                    <w:sz w:val="22"/>
                    <w:szCs w:val="22"/>
                  </w:rPr>
                  <w:t>819,000.00</w:t>
                </w:r>
              </w:p>
            </w:tc>
            <w:tc>
              <w:tcPr>
                <w:tcW w:w="1895" w:type="pct"/>
              </w:tcPr>
              <w:p w14:paraId="48E5FCAB" w14:textId="77777777" w:rsidR="00471D53" w:rsidRPr="000A2988" w:rsidRDefault="004F686E" w:rsidP="00471D53">
                <w:pPr>
                  <w:jc w:val="center"/>
                  <w:rPr>
                    <w:szCs w:val="21"/>
                  </w:rPr>
                </w:pPr>
                <w:r w:rsidRPr="000A2988">
                  <w:rPr>
                    <w:rFonts w:hint="eastAsia"/>
                    <w:szCs w:val="21"/>
                  </w:rPr>
                  <w:t>/</w:t>
                </w:r>
              </w:p>
            </w:tc>
          </w:tr>
        </w:tbl>
        <w:p w14:paraId="3830F204" w14:textId="77777777" w:rsidR="00471D53" w:rsidRDefault="00B664AF"/>
        <w:p w14:paraId="48C15A38" w14:textId="77777777" w:rsidR="00471D53" w:rsidRDefault="004F686E">
          <w:r>
            <w:rPr>
              <w:rFonts w:hint="eastAsia"/>
            </w:rPr>
            <w:t>其他说明：</w:t>
          </w:r>
        </w:p>
        <w:sdt>
          <w:sdtPr>
            <w:alias w:val="应收账款坏账准备转回或收回金额重要的说明"/>
            <w:tag w:val="_GBC_9e14f841e9254fc49491dc362a5209ff"/>
            <w:id w:val="-126936751"/>
            <w:lock w:val="sdtLocked"/>
            <w:placeholder>
              <w:docPart w:val="GBC22222222222222222222222222222"/>
            </w:placeholder>
          </w:sdtPr>
          <w:sdtEndPr/>
          <w:sdtContent>
            <w:p w14:paraId="3CAEFD39" w14:textId="77777777" w:rsidR="00471D53" w:rsidRDefault="004F686E" w:rsidP="00471D53">
              <w:pPr>
                <w:ind w:rightChars="-759" w:right="-1594"/>
              </w:pPr>
              <w:r>
                <w:rPr>
                  <w:rFonts w:hint="eastAsia"/>
                </w:rPr>
                <w:t>无</w:t>
              </w:r>
            </w:p>
          </w:sdtContent>
        </w:sdt>
      </w:sdtContent>
    </w:sdt>
    <w:bookmarkEnd w:id="124" w:displacedByCustomXml="prev"/>
    <w:p w14:paraId="68264E3C" w14:textId="77777777" w:rsidR="00471D53" w:rsidRDefault="00B664AF"/>
    <w:sdt>
      <w:sdtPr>
        <w:rPr>
          <w:rFonts w:ascii="宋体" w:hAnsi="宋体" w:cs="宋体" w:hint="eastAsia"/>
          <w:b w:val="0"/>
          <w:bCs w:val="0"/>
          <w:kern w:val="0"/>
          <w:szCs w:val="24"/>
        </w:rPr>
        <w:alias w:val="模块:本报告期实际核销的应收账款情况"/>
        <w:tag w:val="_GBC_af8ceb97930d4d7391d4823a068c824b"/>
        <w:id w:val="1175157259"/>
        <w:lock w:val="sdtLocked"/>
        <w:placeholder>
          <w:docPart w:val="GBC22222222222222222222222222222"/>
        </w:placeholder>
      </w:sdtPr>
      <w:sdtEndPr>
        <w:rPr>
          <w:rFonts w:hint="default"/>
        </w:rPr>
      </w:sdtEndPr>
      <w:sdtContent>
        <w:p w14:paraId="209447B7" w14:textId="77777777" w:rsidR="00471D53" w:rsidRDefault="004F686E" w:rsidP="004F686E">
          <w:pPr>
            <w:pStyle w:val="afffff8"/>
            <w:numPr>
              <w:ilvl w:val="3"/>
              <w:numId w:val="60"/>
            </w:numPr>
            <w:tabs>
              <w:tab w:val="left" w:pos="574"/>
            </w:tabs>
            <w:rPr>
              <w:rFonts w:ascii="宋体" w:hAnsi="宋体"/>
            </w:rPr>
          </w:pPr>
          <w:r>
            <w:rPr>
              <w:rFonts w:ascii="宋体" w:hAnsi="宋体"/>
            </w:rPr>
            <w:t>本期实际核销的应收</w:t>
          </w:r>
          <w:r>
            <w:rPr>
              <w:rFonts w:ascii="宋体" w:hAnsi="宋体" w:hint="eastAsia"/>
            </w:rPr>
            <w:t>账款</w:t>
          </w:r>
          <w:r>
            <w:rPr>
              <w:rFonts w:ascii="宋体" w:hAnsi="宋体"/>
            </w:rPr>
            <w:t>情况</w:t>
          </w:r>
        </w:p>
        <w:sdt>
          <w:sdtPr>
            <w:alias w:val="是否适用：本期实际核销的应收账款情况[双击切换]"/>
            <w:tag w:val="_GBC_240341a3455747bb87ecabf420d94ec5"/>
            <w:id w:val="1144847034"/>
            <w:lock w:val="sdtLocked"/>
            <w:placeholder>
              <w:docPart w:val="GBC22222222222222222222222222222"/>
            </w:placeholder>
          </w:sdtPr>
          <w:sdtEndPr/>
          <w:sdtContent>
            <w:p w14:paraId="738FEAE1"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831CA21" w14:textId="74752E67" w:rsidR="00471D53" w:rsidRDefault="004F686E">
          <w:pPr>
            <w:jc w:val="right"/>
            <w:rPr>
              <w:szCs w:val="21"/>
            </w:rPr>
          </w:pPr>
          <w:r>
            <w:rPr>
              <w:rFonts w:hint="eastAsia"/>
              <w:szCs w:val="21"/>
            </w:rPr>
            <w:t>单位：</w:t>
          </w:r>
          <w:sdt>
            <w:sdtPr>
              <w:rPr>
                <w:rFonts w:hint="eastAsia"/>
                <w:szCs w:val="21"/>
              </w:rPr>
              <w:alias w:val="单位：财务附注：本报告期实际核销的应收款项情况"/>
              <w:tag w:val="_GBC_97f637feeea84b2a8c01321339a44c9e"/>
              <w:id w:val="72919840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本报告期实际核销的应收款项情况"/>
              <w:tag w:val="_GBC_1e69e5173e614c0f8dd12c7f988c2a4e"/>
              <w:id w:val="-212738046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6"/>
            <w:gridCol w:w="4657"/>
          </w:tblGrid>
          <w:tr w:rsidR="00471D53" w14:paraId="6FD0DECF" w14:textId="77777777" w:rsidTr="00354A12">
            <w:sdt>
              <w:sdtPr>
                <w:tag w:val="_PLD_a3731fe405bb4134af7ad46e8ca83d7e"/>
                <w:id w:val="1350136883"/>
                <w:lock w:val="sdtLocked"/>
              </w:sdtPr>
              <w:sdtEndPr/>
              <w:sdtContent>
                <w:tc>
                  <w:tcPr>
                    <w:tcW w:w="2361" w:type="pct"/>
                    <w:vAlign w:val="center"/>
                  </w:tcPr>
                  <w:p w14:paraId="15B83524" w14:textId="77777777" w:rsidR="00471D53" w:rsidRDefault="004F686E">
                    <w:pPr>
                      <w:jc w:val="center"/>
                      <w:rPr>
                        <w:szCs w:val="21"/>
                      </w:rPr>
                    </w:pPr>
                    <w:r>
                      <w:rPr>
                        <w:rFonts w:hint="eastAsia"/>
                        <w:szCs w:val="21"/>
                      </w:rPr>
                      <w:t>项目</w:t>
                    </w:r>
                  </w:p>
                </w:tc>
              </w:sdtContent>
            </w:sdt>
            <w:sdt>
              <w:sdtPr>
                <w:tag w:val="_PLD_1256a8b0b19c4d908f33771c40d2df26"/>
                <w:id w:val="858477535"/>
                <w:lock w:val="sdtLocked"/>
              </w:sdtPr>
              <w:sdtEndPr/>
              <w:sdtContent>
                <w:tc>
                  <w:tcPr>
                    <w:tcW w:w="2639" w:type="pct"/>
                  </w:tcPr>
                  <w:p w14:paraId="7813DF87" w14:textId="77777777" w:rsidR="00471D53" w:rsidRDefault="004F686E">
                    <w:pPr>
                      <w:jc w:val="center"/>
                      <w:rPr>
                        <w:szCs w:val="21"/>
                      </w:rPr>
                    </w:pPr>
                    <w:r>
                      <w:rPr>
                        <w:rFonts w:hint="eastAsia"/>
                        <w:szCs w:val="21"/>
                      </w:rPr>
                      <w:t>核销金额</w:t>
                    </w:r>
                  </w:p>
                </w:tc>
              </w:sdtContent>
            </w:sdt>
          </w:tr>
          <w:tr w:rsidR="00471D53" w14:paraId="3C1C6BEE" w14:textId="77777777" w:rsidTr="00FF1FCB">
            <w:sdt>
              <w:sdtPr>
                <w:tag w:val="_PLD_a4bcad986cfa4d799cf132234e1a09a1"/>
                <w:id w:val="-508208601"/>
                <w:lock w:val="sdtLocked"/>
              </w:sdtPr>
              <w:sdtEndPr/>
              <w:sdtContent>
                <w:tc>
                  <w:tcPr>
                    <w:tcW w:w="2361" w:type="pct"/>
                  </w:tcPr>
                  <w:p w14:paraId="3B009C91" w14:textId="77777777" w:rsidR="00471D53" w:rsidRDefault="004F686E">
                    <w:pPr>
                      <w:rPr>
                        <w:szCs w:val="21"/>
                      </w:rPr>
                    </w:pPr>
                    <w:r>
                      <w:rPr>
                        <w:rFonts w:hint="eastAsia"/>
                        <w:szCs w:val="21"/>
                      </w:rPr>
                      <w:t>实际核销的应收账款</w:t>
                    </w:r>
                  </w:p>
                </w:tc>
              </w:sdtContent>
            </w:sdt>
            <w:tc>
              <w:tcPr>
                <w:tcW w:w="2639" w:type="pct"/>
              </w:tcPr>
              <w:p w14:paraId="7E3E6E5A" w14:textId="77777777" w:rsidR="00471D53" w:rsidRDefault="004F686E">
                <w:pPr>
                  <w:jc w:val="right"/>
                  <w:rPr>
                    <w:szCs w:val="21"/>
                  </w:rPr>
                </w:pPr>
                <w:r>
                  <w:rPr>
                    <w:rFonts w:hint="eastAsia"/>
                    <w:sz w:val="22"/>
                    <w:szCs w:val="22"/>
                  </w:rPr>
                  <w:t>1,217,200.00</w:t>
                </w:r>
              </w:p>
            </w:tc>
          </w:tr>
        </w:tbl>
        <w:p w14:paraId="29655F68" w14:textId="77777777" w:rsidR="00471D53" w:rsidRDefault="00B664AF">
          <w:pPr>
            <w:rPr>
              <w:szCs w:val="21"/>
            </w:rPr>
          </w:pPr>
        </w:p>
        <w:p w14:paraId="3109D95F" w14:textId="77777777" w:rsidR="00471D53" w:rsidRDefault="004F686E">
          <w:pPr>
            <w:rPr>
              <w:szCs w:val="21"/>
            </w:rPr>
          </w:pPr>
          <w:r>
            <w:rPr>
              <w:rFonts w:hint="eastAsia"/>
              <w:szCs w:val="21"/>
            </w:rPr>
            <w:t>其中重要的应收账款核销情况</w:t>
          </w:r>
        </w:p>
        <w:sdt>
          <w:sdtPr>
            <w:rPr>
              <w:szCs w:val="21"/>
            </w:rPr>
            <w:alias w:val="是否适用：其中重要的应收账款核销情况[双击切换]"/>
            <w:tag w:val="_GBC_8a44f02ff52343a08b5e1e48c8b2cb3d"/>
            <w:id w:val="-717365655"/>
            <w:lock w:val="sdtLocked"/>
            <w:placeholder>
              <w:docPart w:val="GBC22222222222222222222222222222"/>
            </w:placeholder>
          </w:sdtPr>
          <w:sdtEndPr/>
          <w:sdtContent>
            <w:p w14:paraId="61E4DB04" w14:textId="77777777" w:rsidR="00471D53" w:rsidRDefault="004F686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7BB5D827" w14:textId="6F8E71AA" w:rsidR="00471D53" w:rsidRDefault="004F686E">
          <w:pPr>
            <w:jc w:val="right"/>
            <w:rPr>
              <w:szCs w:val="21"/>
            </w:rPr>
          </w:pPr>
          <w:r>
            <w:rPr>
              <w:rFonts w:hint="eastAsia"/>
              <w:szCs w:val="21"/>
            </w:rPr>
            <w:t>单位：</w:t>
          </w:r>
          <w:sdt>
            <w:sdtPr>
              <w:rPr>
                <w:rFonts w:hint="eastAsia"/>
                <w:szCs w:val="21"/>
              </w:rPr>
              <w:alias w:val="单位：财务附注：本报告期重要的应收账款核销情况"/>
              <w:tag w:val="_GBC_c7a04c444409452ca1a8e2a1e7d7b82c"/>
              <w:id w:val="-10962421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本报告期重要的应收账款核销情况"/>
              <w:tag w:val="_GBC_d5901c5422f147e18c5adac751eda8b8"/>
              <w:id w:val="-204412468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340"/>
            <w:gridCol w:w="1343"/>
            <w:gridCol w:w="1382"/>
            <w:gridCol w:w="1344"/>
            <w:gridCol w:w="1936"/>
            <w:gridCol w:w="1478"/>
          </w:tblGrid>
          <w:tr w:rsidR="00471D53" w14:paraId="4C1CDD40" w14:textId="77777777" w:rsidTr="00471D53">
            <w:trPr>
              <w:cantSplit/>
            </w:trPr>
            <w:sdt>
              <w:sdtPr>
                <w:tag w:val="_PLD_fc25e599bc7e48638256aa28f0a466c6"/>
                <w:id w:val="537705870"/>
                <w:lock w:val="sdtLocked"/>
              </w:sdtPr>
              <w:sdtEndPr/>
              <w:sdtContent>
                <w:tc>
                  <w:tcPr>
                    <w:tcW w:w="761" w:type="pct"/>
                    <w:vAlign w:val="center"/>
                  </w:tcPr>
                  <w:p w14:paraId="2211584E" w14:textId="77777777" w:rsidR="00471D53" w:rsidRDefault="004F686E" w:rsidP="00471D53">
                    <w:pPr>
                      <w:ind w:right="73"/>
                      <w:jc w:val="center"/>
                      <w:rPr>
                        <w:szCs w:val="21"/>
                      </w:rPr>
                    </w:pPr>
                    <w:r>
                      <w:rPr>
                        <w:rFonts w:hint="eastAsia"/>
                        <w:szCs w:val="21"/>
                      </w:rPr>
                      <w:t>单位名称</w:t>
                    </w:r>
                  </w:p>
                </w:tc>
              </w:sdtContent>
            </w:sdt>
            <w:sdt>
              <w:sdtPr>
                <w:tag w:val="_PLD_2fd65197ed6446e9a099b93e765d1057"/>
                <w:id w:val="1496295283"/>
                <w:lock w:val="sdtLocked"/>
              </w:sdtPr>
              <w:sdtEndPr/>
              <w:sdtContent>
                <w:tc>
                  <w:tcPr>
                    <w:tcW w:w="762" w:type="pct"/>
                    <w:vAlign w:val="center"/>
                  </w:tcPr>
                  <w:p w14:paraId="3B4DE659" w14:textId="77777777" w:rsidR="00471D53" w:rsidRDefault="004F686E" w:rsidP="00471D53">
                    <w:pPr>
                      <w:ind w:right="73"/>
                      <w:jc w:val="center"/>
                      <w:rPr>
                        <w:szCs w:val="21"/>
                      </w:rPr>
                    </w:pPr>
                    <w:r>
                      <w:rPr>
                        <w:rFonts w:hint="eastAsia"/>
                        <w:szCs w:val="21"/>
                      </w:rPr>
                      <w:t>应收账款性质</w:t>
                    </w:r>
                  </w:p>
                </w:tc>
              </w:sdtContent>
            </w:sdt>
            <w:sdt>
              <w:sdtPr>
                <w:tag w:val="_PLD_7222fb7cad6d4fcaa3919f6127705623"/>
                <w:id w:val="971721583"/>
                <w:lock w:val="sdtLocked"/>
              </w:sdtPr>
              <w:sdtEndPr/>
              <w:sdtContent>
                <w:tc>
                  <w:tcPr>
                    <w:tcW w:w="777" w:type="pct"/>
                    <w:vAlign w:val="center"/>
                  </w:tcPr>
                  <w:p w14:paraId="3452F429" w14:textId="77777777" w:rsidR="00471D53" w:rsidRDefault="004F686E" w:rsidP="00471D53">
                    <w:pPr>
                      <w:ind w:right="73"/>
                      <w:jc w:val="center"/>
                      <w:rPr>
                        <w:szCs w:val="21"/>
                      </w:rPr>
                    </w:pPr>
                    <w:r>
                      <w:rPr>
                        <w:rFonts w:hint="eastAsia"/>
                        <w:szCs w:val="21"/>
                      </w:rPr>
                      <w:t>核销金额</w:t>
                    </w:r>
                  </w:p>
                </w:tc>
              </w:sdtContent>
            </w:sdt>
            <w:sdt>
              <w:sdtPr>
                <w:tag w:val="_PLD_0483ef9b4d184d2e9c5f03e99e5cdd83"/>
                <w:id w:val="1090427952"/>
                <w:lock w:val="sdtLocked"/>
              </w:sdtPr>
              <w:sdtEndPr/>
              <w:sdtContent>
                <w:tc>
                  <w:tcPr>
                    <w:tcW w:w="763" w:type="pct"/>
                    <w:vAlign w:val="center"/>
                  </w:tcPr>
                  <w:p w14:paraId="4E833F40" w14:textId="77777777" w:rsidR="00471D53" w:rsidRDefault="004F686E" w:rsidP="00471D53">
                    <w:pPr>
                      <w:jc w:val="center"/>
                      <w:rPr>
                        <w:szCs w:val="21"/>
                      </w:rPr>
                    </w:pPr>
                    <w:r>
                      <w:rPr>
                        <w:rFonts w:hint="eastAsia"/>
                        <w:szCs w:val="21"/>
                      </w:rPr>
                      <w:t>核销原因</w:t>
                    </w:r>
                  </w:p>
                </w:tc>
              </w:sdtContent>
            </w:sdt>
            <w:sdt>
              <w:sdtPr>
                <w:tag w:val="_PLD_553be060ba9742d3a69af5978afb1f53"/>
                <w:id w:val="1086036023"/>
                <w:lock w:val="sdtLocked"/>
              </w:sdtPr>
              <w:sdtEndPr/>
              <w:sdtContent>
                <w:tc>
                  <w:tcPr>
                    <w:tcW w:w="1098" w:type="pct"/>
                    <w:vAlign w:val="center"/>
                  </w:tcPr>
                  <w:p w14:paraId="110693AE" w14:textId="77777777" w:rsidR="00471D53" w:rsidRDefault="004F686E" w:rsidP="00471D53">
                    <w:pPr>
                      <w:tabs>
                        <w:tab w:val="left" w:pos="225"/>
                        <w:tab w:val="center" w:pos="938"/>
                      </w:tabs>
                      <w:jc w:val="center"/>
                      <w:rPr>
                        <w:szCs w:val="21"/>
                      </w:rPr>
                    </w:pPr>
                    <w:r>
                      <w:rPr>
                        <w:rFonts w:hint="eastAsia"/>
                        <w:szCs w:val="21"/>
                      </w:rPr>
                      <w:t>履行的核销程序</w:t>
                    </w:r>
                  </w:p>
                </w:tc>
              </w:sdtContent>
            </w:sdt>
            <w:sdt>
              <w:sdtPr>
                <w:tag w:val="_PLD_e17ae73cd0b848f0992d559fd3b68e8a"/>
                <w:id w:val="-978058409"/>
                <w:lock w:val="sdtLocked"/>
              </w:sdtPr>
              <w:sdtEndPr/>
              <w:sdtContent>
                <w:tc>
                  <w:tcPr>
                    <w:tcW w:w="839" w:type="pct"/>
                    <w:vAlign w:val="center"/>
                  </w:tcPr>
                  <w:p w14:paraId="17A9CBB3" w14:textId="77777777" w:rsidR="00471D53" w:rsidRDefault="004F686E" w:rsidP="00471D53">
                    <w:pPr>
                      <w:tabs>
                        <w:tab w:val="left" w:pos="225"/>
                        <w:tab w:val="center" w:pos="938"/>
                      </w:tabs>
                      <w:jc w:val="center"/>
                      <w:rPr>
                        <w:szCs w:val="21"/>
                      </w:rPr>
                    </w:pPr>
                    <w:r>
                      <w:rPr>
                        <w:rFonts w:hint="eastAsia"/>
                        <w:szCs w:val="21"/>
                      </w:rPr>
                      <w:t>款项是否由关联交易产生</w:t>
                    </w:r>
                  </w:p>
                </w:tc>
              </w:sdtContent>
            </w:sdt>
          </w:tr>
          <w:sdt>
            <w:sdtPr>
              <w:rPr>
                <w:rFonts w:hint="eastAsia"/>
                <w:szCs w:val="21"/>
              </w:rPr>
              <w:alias w:val="重要的应收账款核销明细"/>
              <w:tag w:val="_GBC_e862522f5fdf4642a156b78a67c471e1"/>
              <w:id w:val="-1059091432"/>
              <w:lock w:val="sdtLocked"/>
            </w:sdtPr>
            <w:sdtEndPr>
              <w:rPr>
                <w:rFonts w:hint="default"/>
              </w:rPr>
            </w:sdtEndPr>
            <w:sdtContent>
              <w:tr w:rsidR="00471D53" w14:paraId="59633E7E" w14:textId="77777777" w:rsidTr="00471D53">
                <w:trPr>
                  <w:cantSplit/>
                </w:trPr>
                <w:tc>
                  <w:tcPr>
                    <w:tcW w:w="761" w:type="pct"/>
                  </w:tcPr>
                  <w:p w14:paraId="0A60AC28" w14:textId="77777777" w:rsidR="00471D53" w:rsidRDefault="004F686E" w:rsidP="00471D53">
                    <w:pPr>
                      <w:ind w:right="73"/>
                      <w:rPr>
                        <w:szCs w:val="21"/>
                      </w:rPr>
                    </w:pPr>
                    <w:r>
                      <w:t>东台中新实业有限公司</w:t>
                    </w:r>
                  </w:p>
                </w:tc>
                <w:tc>
                  <w:tcPr>
                    <w:tcW w:w="762" w:type="pct"/>
                  </w:tcPr>
                  <w:p w14:paraId="39B92E15" w14:textId="77777777" w:rsidR="00471D53" w:rsidRDefault="004F686E" w:rsidP="00471D53">
                    <w:pPr>
                      <w:ind w:right="73"/>
                      <w:rPr>
                        <w:szCs w:val="21"/>
                      </w:rPr>
                    </w:pPr>
                    <w:r>
                      <w:t>销售产品货款</w:t>
                    </w:r>
                  </w:p>
                </w:tc>
                <w:tc>
                  <w:tcPr>
                    <w:tcW w:w="777" w:type="pct"/>
                  </w:tcPr>
                  <w:p w14:paraId="1029B446" w14:textId="77777777" w:rsidR="00471D53" w:rsidRDefault="004F686E" w:rsidP="00471D53">
                    <w:pPr>
                      <w:ind w:right="73"/>
                      <w:jc w:val="right"/>
                      <w:rPr>
                        <w:szCs w:val="21"/>
                      </w:rPr>
                    </w:pPr>
                    <w:r>
                      <w:t>564,800.00</w:t>
                    </w:r>
                  </w:p>
                </w:tc>
                <w:tc>
                  <w:tcPr>
                    <w:tcW w:w="763" w:type="pct"/>
                  </w:tcPr>
                  <w:p w14:paraId="2AF59056" w14:textId="77777777" w:rsidR="00471D53" w:rsidRDefault="004F686E" w:rsidP="00471D53">
                    <w:pPr>
                      <w:rPr>
                        <w:szCs w:val="21"/>
                      </w:rPr>
                    </w:pPr>
                    <w:r>
                      <w:t>无法收回</w:t>
                    </w:r>
                  </w:p>
                </w:tc>
                <w:tc>
                  <w:tcPr>
                    <w:tcW w:w="1098" w:type="pct"/>
                  </w:tcPr>
                  <w:p w14:paraId="29AF01D8" w14:textId="77777777" w:rsidR="00471D53" w:rsidRDefault="004F686E" w:rsidP="00471D53">
                    <w:pPr>
                      <w:rPr>
                        <w:szCs w:val="21"/>
                      </w:rPr>
                    </w:pPr>
                    <w:r>
                      <w:t>子公司董事会审议</w:t>
                    </w:r>
                  </w:p>
                </w:tc>
                <w:sdt>
                  <w:sdtPr>
                    <w:rPr>
                      <w:szCs w:val="21"/>
                    </w:rPr>
                    <w:alias w:val="重要的应收账款核销明细-款项是否因关联交易产生"/>
                    <w:tag w:val="_GBC_47d46492c7d54e659c891fc15d95a36e"/>
                    <w:id w:val="1882592644"/>
                    <w:lock w:val="sdtLocked"/>
                    <w:comboBox>
                      <w:listItem w:displayText="是" w:value="true"/>
                      <w:listItem w:displayText="否" w:value="false"/>
                    </w:comboBox>
                  </w:sdtPr>
                  <w:sdtEndPr/>
                  <w:sdtContent>
                    <w:tc>
                      <w:tcPr>
                        <w:tcW w:w="839" w:type="pct"/>
                      </w:tcPr>
                      <w:p w14:paraId="39E683B3" w14:textId="77777777" w:rsidR="00471D53" w:rsidRDefault="004F686E" w:rsidP="00471D53">
                        <w:pPr>
                          <w:rPr>
                            <w:szCs w:val="21"/>
                          </w:rPr>
                        </w:pPr>
                        <w:r>
                          <w:rPr>
                            <w:szCs w:val="21"/>
                          </w:rPr>
                          <w:t>否</w:t>
                        </w:r>
                      </w:p>
                    </w:tc>
                  </w:sdtContent>
                </w:sdt>
              </w:tr>
            </w:sdtContent>
          </w:sdt>
          <w:sdt>
            <w:sdtPr>
              <w:rPr>
                <w:rFonts w:hint="eastAsia"/>
                <w:szCs w:val="21"/>
              </w:rPr>
              <w:alias w:val="重要的应收账款核销明细"/>
              <w:tag w:val="_GBC_e862522f5fdf4642a156b78a67c471e1"/>
              <w:id w:val="-16854644"/>
              <w:lock w:val="sdtLocked"/>
            </w:sdtPr>
            <w:sdtEndPr>
              <w:rPr>
                <w:rFonts w:hint="default"/>
              </w:rPr>
            </w:sdtEndPr>
            <w:sdtContent>
              <w:tr w:rsidR="00471D53" w14:paraId="78E73B53" w14:textId="77777777" w:rsidTr="00471D53">
                <w:trPr>
                  <w:cantSplit/>
                </w:trPr>
                <w:tc>
                  <w:tcPr>
                    <w:tcW w:w="761" w:type="pct"/>
                  </w:tcPr>
                  <w:p w14:paraId="36A668AA" w14:textId="77777777" w:rsidR="00471D53" w:rsidRDefault="004F686E" w:rsidP="00471D53">
                    <w:pPr>
                      <w:ind w:right="73"/>
                      <w:rPr>
                        <w:szCs w:val="21"/>
                      </w:rPr>
                    </w:pPr>
                    <w:r>
                      <w:t>云南力帆骏马车辆有限公司</w:t>
                    </w:r>
                  </w:p>
                </w:tc>
                <w:tc>
                  <w:tcPr>
                    <w:tcW w:w="762" w:type="pct"/>
                  </w:tcPr>
                  <w:p w14:paraId="290A10F5" w14:textId="77777777" w:rsidR="00471D53" w:rsidRDefault="004F686E" w:rsidP="00471D53">
                    <w:pPr>
                      <w:ind w:right="73"/>
                      <w:rPr>
                        <w:szCs w:val="21"/>
                      </w:rPr>
                    </w:pPr>
                    <w:r>
                      <w:t>销售产品货款</w:t>
                    </w:r>
                  </w:p>
                </w:tc>
                <w:tc>
                  <w:tcPr>
                    <w:tcW w:w="777" w:type="pct"/>
                  </w:tcPr>
                  <w:p w14:paraId="0239609F" w14:textId="77777777" w:rsidR="00471D53" w:rsidRDefault="004F686E" w:rsidP="00471D53">
                    <w:pPr>
                      <w:ind w:right="73"/>
                      <w:jc w:val="right"/>
                      <w:rPr>
                        <w:szCs w:val="21"/>
                      </w:rPr>
                    </w:pPr>
                    <w:r>
                      <w:t>257,100.00</w:t>
                    </w:r>
                  </w:p>
                </w:tc>
                <w:tc>
                  <w:tcPr>
                    <w:tcW w:w="763" w:type="pct"/>
                  </w:tcPr>
                  <w:p w14:paraId="6E3C7087" w14:textId="77777777" w:rsidR="00471D53" w:rsidRDefault="004F686E" w:rsidP="00471D53">
                    <w:pPr>
                      <w:rPr>
                        <w:szCs w:val="21"/>
                      </w:rPr>
                    </w:pPr>
                    <w:r>
                      <w:t>无法收回</w:t>
                    </w:r>
                  </w:p>
                </w:tc>
                <w:tc>
                  <w:tcPr>
                    <w:tcW w:w="1098" w:type="pct"/>
                  </w:tcPr>
                  <w:p w14:paraId="1FB5D0CD" w14:textId="77777777" w:rsidR="00471D53" w:rsidRDefault="004F686E" w:rsidP="00471D53">
                    <w:pPr>
                      <w:rPr>
                        <w:szCs w:val="21"/>
                      </w:rPr>
                    </w:pPr>
                    <w:r>
                      <w:t>子公司董事会审议</w:t>
                    </w:r>
                  </w:p>
                </w:tc>
                <w:sdt>
                  <w:sdtPr>
                    <w:rPr>
                      <w:szCs w:val="21"/>
                    </w:rPr>
                    <w:alias w:val="重要的应收账款核销明细-款项是否因关联交易产生"/>
                    <w:tag w:val="_GBC_47d46492c7d54e659c891fc15d95a36e"/>
                    <w:id w:val="-881780443"/>
                    <w:lock w:val="sdtLocked"/>
                    <w:comboBox>
                      <w:listItem w:displayText="是" w:value="true"/>
                      <w:listItem w:displayText="否" w:value="false"/>
                    </w:comboBox>
                  </w:sdtPr>
                  <w:sdtEndPr/>
                  <w:sdtContent>
                    <w:tc>
                      <w:tcPr>
                        <w:tcW w:w="839" w:type="pct"/>
                      </w:tcPr>
                      <w:p w14:paraId="1D18064A" w14:textId="77777777" w:rsidR="00471D53" w:rsidRDefault="004F686E" w:rsidP="00471D53">
                        <w:pPr>
                          <w:rPr>
                            <w:szCs w:val="21"/>
                          </w:rPr>
                        </w:pPr>
                        <w:r>
                          <w:rPr>
                            <w:szCs w:val="21"/>
                          </w:rPr>
                          <w:t>否</w:t>
                        </w:r>
                      </w:p>
                    </w:tc>
                  </w:sdtContent>
                </w:sdt>
              </w:tr>
            </w:sdtContent>
          </w:sdt>
          <w:sdt>
            <w:sdtPr>
              <w:rPr>
                <w:rFonts w:hint="eastAsia"/>
                <w:szCs w:val="21"/>
              </w:rPr>
              <w:alias w:val="重要的应收账款核销明细"/>
              <w:tag w:val="_GBC_e862522f5fdf4642a156b78a67c471e1"/>
              <w:id w:val="77874442"/>
              <w:lock w:val="sdtLocked"/>
            </w:sdtPr>
            <w:sdtEndPr>
              <w:rPr>
                <w:rFonts w:hint="default"/>
              </w:rPr>
            </w:sdtEndPr>
            <w:sdtContent>
              <w:tr w:rsidR="00471D53" w14:paraId="7D42787B" w14:textId="77777777" w:rsidTr="00471D53">
                <w:trPr>
                  <w:cantSplit/>
                </w:trPr>
                <w:tc>
                  <w:tcPr>
                    <w:tcW w:w="761" w:type="pct"/>
                  </w:tcPr>
                  <w:p w14:paraId="62518829" w14:textId="77777777" w:rsidR="00471D53" w:rsidRDefault="004F686E" w:rsidP="00471D53">
                    <w:pPr>
                      <w:ind w:right="73"/>
                      <w:rPr>
                        <w:szCs w:val="21"/>
                      </w:rPr>
                    </w:pPr>
                    <w:r>
                      <w:t>上海申芜消防器材配套有限公司</w:t>
                    </w:r>
                  </w:p>
                </w:tc>
                <w:tc>
                  <w:tcPr>
                    <w:tcW w:w="762" w:type="pct"/>
                  </w:tcPr>
                  <w:p w14:paraId="6CE1769E" w14:textId="77777777" w:rsidR="00471D53" w:rsidRDefault="004F686E" w:rsidP="00471D53">
                    <w:pPr>
                      <w:ind w:right="73"/>
                      <w:rPr>
                        <w:szCs w:val="21"/>
                      </w:rPr>
                    </w:pPr>
                    <w:r>
                      <w:t>销售产品货款</w:t>
                    </w:r>
                  </w:p>
                </w:tc>
                <w:tc>
                  <w:tcPr>
                    <w:tcW w:w="777" w:type="pct"/>
                  </w:tcPr>
                  <w:p w14:paraId="2090708E" w14:textId="77777777" w:rsidR="00471D53" w:rsidRDefault="004F686E" w:rsidP="00471D53">
                    <w:pPr>
                      <w:ind w:right="73"/>
                      <w:jc w:val="right"/>
                      <w:rPr>
                        <w:szCs w:val="21"/>
                      </w:rPr>
                    </w:pPr>
                    <w:r>
                      <w:t>96,100.00</w:t>
                    </w:r>
                  </w:p>
                </w:tc>
                <w:tc>
                  <w:tcPr>
                    <w:tcW w:w="763" w:type="pct"/>
                  </w:tcPr>
                  <w:p w14:paraId="603AB374" w14:textId="77777777" w:rsidR="00471D53" w:rsidRDefault="004F686E" w:rsidP="00471D53">
                    <w:pPr>
                      <w:rPr>
                        <w:szCs w:val="21"/>
                      </w:rPr>
                    </w:pPr>
                    <w:r>
                      <w:t>无法收回</w:t>
                    </w:r>
                  </w:p>
                </w:tc>
                <w:tc>
                  <w:tcPr>
                    <w:tcW w:w="1098" w:type="pct"/>
                  </w:tcPr>
                  <w:p w14:paraId="47034800" w14:textId="77777777" w:rsidR="00471D53" w:rsidRDefault="004F686E" w:rsidP="00471D53">
                    <w:pPr>
                      <w:rPr>
                        <w:szCs w:val="21"/>
                      </w:rPr>
                    </w:pPr>
                    <w:r>
                      <w:t>子公司董事会审议</w:t>
                    </w:r>
                  </w:p>
                </w:tc>
                <w:sdt>
                  <w:sdtPr>
                    <w:rPr>
                      <w:szCs w:val="21"/>
                    </w:rPr>
                    <w:alias w:val="重要的应收账款核销明细-款项是否因关联交易产生"/>
                    <w:tag w:val="_GBC_47d46492c7d54e659c891fc15d95a36e"/>
                    <w:id w:val="1102532746"/>
                    <w:lock w:val="sdtLocked"/>
                    <w:comboBox>
                      <w:listItem w:displayText="是" w:value="true"/>
                      <w:listItem w:displayText="否" w:value="false"/>
                    </w:comboBox>
                  </w:sdtPr>
                  <w:sdtEndPr/>
                  <w:sdtContent>
                    <w:tc>
                      <w:tcPr>
                        <w:tcW w:w="839" w:type="pct"/>
                      </w:tcPr>
                      <w:p w14:paraId="63EE0030" w14:textId="77777777" w:rsidR="00471D53" w:rsidRDefault="004F686E" w:rsidP="00471D53">
                        <w:pPr>
                          <w:rPr>
                            <w:szCs w:val="21"/>
                          </w:rPr>
                        </w:pPr>
                        <w:r>
                          <w:rPr>
                            <w:szCs w:val="21"/>
                          </w:rPr>
                          <w:t>否</w:t>
                        </w:r>
                      </w:p>
                    </w:tc>
                  </w:sdtContent>
                </w:sdt>
              </w:tr>
            </w:sdtContent>
          </w:sdt>
          <w:sdt>
            <w:sdtPr>
              <w:rPr>
                <w:rFonts w:hint="eastAsia"/>
                <w:szCs w:val="21"/>
              </w:rPr>
              <w:alias w:val="重要的应收账款核销明细"/>
              <w:tag w:val="_GBC_e862522f5fdf4642a156b78a67c471e1"/>
              <w:id w:val="-144356620"/>
              <w:lock w:val="sdtLocked"/>
            </w:sdtPr>
            <w:sdtEndPr>
              <w:rPr>
                <w:rFonts w:hint="default"/>
              </w:rPr>
            </w:sdtEndPr>
            <w:sdtContent>
              <w:tr w:rsidR="00471D53" w14:paraId="2D1E5CD8" w14:textId="77777777" w:rsidTr="00471D53">
                <w:trPr>
                  <w:cantSplit/>
                </w:trPr>
                <w:tc>
                  <w:tcPr>
                    <w:tcW w:w="761" w:type="pct"/>
                  </w:tcPr>
                  <w:p w14:paraId="060E5332" w14:textId="77777777" w:rsidR="00471D53" w:rsidRDefault="004F686E" w:rsidP="00471D53">
                    <w:pPr>
                      <w:ind w:right="73"/>
                      <w:rPr>
                        <w:szCs w:val="21"/>
                      </w:rPr>
                    </w:pPr>
                    <w:r>
                      <w:t>无锡市消宝安全技术有限公司</w:t>
                    </w:r>
                  </w:p>
                </w:tc>
                <w:tc>
                  <w:tcPr>
                    <w:tcW w:w="762" w:type="pct"/>
                  </w:tcPr>
                  <w:p w14:paraId="6E9A4DC6" w14:textId="77777777" w:rsidR="00471D53" w:rsidRDefault="004F686E" w:rsidP="00471D53">
                    <w:pPr>
                      <w:ind w:right="73"/>
                      <w:rPr>
                        <w:szCs w:val="21"/>
                      </w:rPr>
                    </w:pPr>
                    <w:r>
                      <w:t>销售产品货款</w:t>
                    </w:r>
                  </w:p>
                </w:tc>
                <w:tc>
                  <w:tcPr>
                    <w:tcW w:w="777" w:type="pct"/>
                  </w:tcPr>
                  <w:p w14:paraId="30A69001" w14:textId="77777777" w:rsidR="00471D53" w:rsidRDefault="004F686E" w:rsidP="00471D53">
                    <w:pPr>
                      <w:ind w:right="73"/>
                      <w:jc w:val="right"/>
                      <w:rPr>
                        <w:szCs w:val="21"/>
                      </w:rPr>
                    </w:pPr>
                    <w:r>
                      <w:t>81,000.00</w:t>
                    </w:r>
                  </w:p>
                </w:tc>
                <w:tc>
                  <w:tcPr>
                    <w:tcW w:w="763" w:type="pct"/>
                  </w:tcPr>
                  <w:p w14:paraId="00EF3F93" w14:textId="77777777" w:rsidR="00471D53" w:rsidRDefault="004F686E" w:rsidP="00471D53">
                    <w:pPr>
                      <w:rPr>
                        <w:szCs w:val="21"/>
                      </w:rPr>
                    </w:pPr>
                    <w:r>
                      <w:t>无法收回</w:t>
                    </w:r>
                  </w:p>
                </w:tc>
                <w:tc>
                  <w:tcPr>
                    <w:tcW w:w="1098" w:type="pct"/>
                  </w:tcPr>
                  <w:p w14:paraId="75668945" w14:textId="77777777" w:rsidR="00471D53" w:rsidRDefault="004F686E" w:rsidP="00471D53">
                    <w:pPr>
                      <w:rPr>
                        <w:szCs w:val="21"/>
                      </w:rPr>
                    </w:pPr>
                    <w:r>
                      <w:t>子公司董事会审议</w:t>
                    </w:r>
                  </w:p>
                </w:tc>
                <w:sdt>
                  <w:sdtPr>
                    <w:rPr>
                      <w:szCs w:val="21"/>
                    </w:rPr>
                    <w:alias w:val="重要的应收账款核销明细-款项是否因关联交易产生"/>
                    <w:tag w:val="_GBC_47d46492c7d54e659c891fc15d95a36e"/>
                    <w:id w:val="-179357647"/>
                    <w:lock w:val="sdtLocked"/>
                    <w:comboBox>
                      <w:listItem w:displayText="是" w:value="true"/>
                      <w:listItem w:displayText="否" w:value="false"/>
                    </w:comboBox>
                  </w:sdtPr>
                  <w:sdtEndPr/>
                  <w:sdtContent>
                    <w:tc>
                      <w:tcPr>
                        <w:tcW w:w="839" w:type="pct"/>
                      </w:tcPr>
                      <w:p w14:paraId="79AD15F9" w14:textId="77777777" w:rsidR="00471D53" w:rsidRDefault="004F686E" w:rsidP="00471D53">
                        <w:pPr>
                          <w:rPr>
                            <w:szCs w:val="21"/>
                          </w:rPr>
                        </w:pPr>
                        <w:r>
                          <w:rPr>
                            <w:szCs w:val="21"/>
                          </w:rPr>
                          <w:t>否</w:t>
                        </w:r>
                      </w:p>
                    </w:tc>
                  </w:sdtContent>
                </w:sdt>
              </w:tr>
            </w:sdtContent>
          </w:sdt>
          <w:sdt>
            <w:sdtPr>
              <w:rPr>
                <w:rFonts w:hint="eastAsia"/>
                <w:szCs w:val="21"/>
              </w:rPr>
              <w:alias w:val="重要的应收账款核销明细"/>
              <w:tag w:val="_GBC_e862522f5fdf4642a156b78a67c471e1"/>
              <w:id w:val="-1603103363"/>
              <w:lock w:val="sdtLocked"/>
            </w:sdtPr>
            <w:sdtEndPr>
              <w:rPr>
                <w:rFonts w:hint="default"/>
              </w:rPr>
            </w:sdtEndPr>
            <w:sdtContent>
              <w:tr w:rsidR="00471D53" w14:paraId="18B52129" w14:textId="77777777" w:rsidTr="00471D53">
                <w:trPr>
                  <w:cantSplit/>
                </w:trPr>
                <w:tc>
                  <w:tcPr>
                    <w:tcW w:w="761" w:type="pct"/>
                  </w:tcPr>
                  <w:p w14:paraId="0F1792E3" w14:textId="77777777" w:rsidR="00471D53" w:rsidRDefault="004F686E" w:rsidP="00471D53">
                    <w:pPr>
                      <w:ind w:right="73"/>
                      <w:rPr>
                        <w:szCs w:val="21"/>
                      </w:rPr>
                    </w:pPr>
                    <w:r>
                      <w:t>泰州市通华消防气垫厂</w:t>
                    </w:r>
                  </w:p>
                </w:tc>
                <w:tc>
                  <w:tcPr>
                    <w:tcW w:w="762" w:type="pct"/>
                  </w:tcPr>
                  <w:p w14:paraId="166AD9CF" w14:textId="77777777" w:rsidR="00471D53" w:rsidRDefault="004F686E" w:rsidP="00471D53">
                    <w:pPr>
                      <w:ind w:right="73"/>
                      <w:rPr>
                        <w:szCs w:val="21"/>
                      </w:rPr>
                    </w:pPr>
                    <w:r>
                      <w:t>销售产品货款</w:t>
                    </w:r>
                  </w:p>
                </w:tc>
                <w:tc>
                  <w:tcPr>
                    <w:tcW w:w="777" w:type="pct"/>
                  </w:tcPr>
                  <w:p w14:paraId="1C329309" w14:textId="77777777" w:rsidR="00471D53" w:rsidRDefault="004F686E" w:rsidP="00471D53">
                    <w:pPr>
                      <w:ind w:right="73"/>
                      <w:jc w:val="right"/>
                      <w:rPr>
                        <w:szCs w:val="21"/>
                      </w:rPr>
                    </w:pPr>
                    <w:r>
                      <w:t>69,900.00</w:t>
                    </w:r>
                  </w:p>
                </w:tc>
                <w:tc>
                  <w:tcPr>
                    <w:tcW w:w="763" w:type="pct"/>
                  </w:tcPr>
                  <w:p w14:paraId="5B3F7E45" w14:textId="77777777" w:rsidR="00471D53" w:rsidRDefault="004F686E" w:rsidP="00471D53">
                    <w:pPr>
                      <w:rPr>
                        <w:szCs w:val="21"/>
                      </w:rPr>
                    </w:pPr>
                    <w:r>
                      <w:t>无法收回</w:t>
                    </w:r>
                  </w:p>
                </w:tc>
                <w:tc>
                  <w:tcPr>
                    <w:tcW w:w="1098" w:type="pct"/>
                  </w:tcPr>
                  <w:p w14:paraId="2DDC15E4" w14:textId="77777777" w:rsidR="00471D53" w:rsidRDefault="004F686E" w:rsidP="00471D53">
                    <w:pPr>
                      <w:rPr>
                        <w:szCs w:val="21"/>
                      </w:rPr>
                    </w:pPr>
                    <w:r>
                      <w:t>子公司董事会审议</w:t>
                    </w:r>
                  </w:p>
                </w:tc>
                <w:sdt>
                  <w:sdtPr>
                    <w:rPr>
                      <w:szCs w:val="21"/>
                    </w:rPr>
                    <w:alias w:val="重要的应收账款核销明细-款项是否因关联交易产生"/>
                    <w:tag w:val="_GBC_47d46492c7d54e659c891fc15d95a36e"/>
                    <w:id w:val="-667940801"/>
                    <w:lock w:val="sdtLocked"/>
                    <w:comboBox>
                      <w:listItem w:displayText="是" w:value="true"/>
                      <w:listItem w:displayText="否" w:value="false"/>
                    </w:comboBox>
                  </w:sdtPr>
                  <w:sdtEndPr/>
                  <w:sdtContent>
                    <w:tc>
                      <w:tcPr>
                        <w:tcW w:w="839" w:type="pct"/>
                      </w:tcPr>
                      <w:p w14:paraId="6F408E83" w14:textId="77777777" w:rsidR="00471D53" w:rsidRDefault="004F686E" w:rsidP="00471D53">
                        <w:pPr>
                          <w:rPr>
                            <w:szCs w:val="21"/>
                          </w:rPr>
                        </w:pPr>
                        <w:r>
                          <w:rPr>
                            <w:szCs w:val="21"/>
                          </w:rPr>
                          <w:t>否</w:t>
                        </w:r>
                      </w:p>
                    </w:tc>
                  </w:sdtContent>
                </w:sdt>
              </w:tr>
            </w:sdtContent>
          </w:sdt>
          <w:tr w:rsidR="00471D53" w14:paraId="4846FBFA" w14:textId="77777777" w:rsidTr="00471D53">
            <w:trPr>
              <w:cantSplit/>
            </w:trPr>
            <w:sdt>
              <w:sdtPr>
                <w:tag w:val="_PLD_6d9eb18bf471449fa909d9d314987347"/>
                <w:id w:val="866729259"/>
                <w:lock w:val="sdtLocked"/>
              </w:sdtPr>
              <w:sdtEndPr/>
              <w:sdtContent>
                <w:tc>
                  <w:tcPr>
                    <w:tcW w:w="761" w:type="pct"/>
                    <w:vAlign w:val="center"/>
                  </w:tcPr>
                  <w:p w14:paraId="5C2A0DBC" w14:textId="77777777" w:rsidR="00471D53" w:rsidRDefault="004F686E" w:rsidP="00471D53">
                    <w:pPr>
                      <w:ind w:right="73"/>
                      <w:jc w:val="center"/>
                      <w:rPr>
                        <w:szCs w:val="21"/>
                      </w:rPr>
                    </w:pPr>
                    <w:r>
                      <w:rPr>
                        <w:rFonts w:hint="eastAsia"/>
                        <w:szCs w:val="21"/>
                      </w:rPr>
                      <w:t>合计</w:t>
                    </w:r>
                  </w:p>
                </w:tc>
              </w:sdtContent>
            </w:sdt>
            <w:tc>
              <w:tcPr>
                <w:tcW w:w="762" w:type="pct"/>
              </w:tcPr>
              <w:p w14:paraId="4C46A97D" w14:textId="77777777" w:rsidR="00471D53" w:rsidRDefault="004F686E" w:rsidP="00471D53">
                <w:pPr>
                  <w:ind w:right="73" w:firstLine="840"/>
                  <w:rPr>
                    <w:szCs w:val="21"/>
                  </w:rPr>
                </w:pPr>
                <w:r>
                  <w:rPr>
                    <w:szCs w:val="21"/>
                  </w:rPr>
                  <w:t>/</w:t>
                </w:r>
              </w:p>
            </w:tc>
            <w:tc>
              <w:tcPr>
                <w:tcW w:w="777" w:type="pct"/>
              </w:tcPr>
              <w:p w14:paraId="4DE104D0" w14:textId="77777777" w:rsidR="00471D53" w:rsidRPr="00AC4C6A" w:rsidRDefault="004F686E" w:rsidP="00471D53">
                <w:pPr>
                  <w:jc w:val="right"/>
                  <w:rPr>
                    <w:color w:val="000000"/>
                    <w:sz w:val="22"/>
                    <w:szCs w:val="22"/>
                  </w:rPr>
                </w:pPr>
                <w:r>
                  <w:rPr>
                    <w:rFonts w:hint="eastAsia"/>
                    <w:color w:val="000000"/>
                    <w:sz w:val="22"/>
                    <w:szCs w:val="22"/>
                  </w:rPr>
                  <w:t>1,068,900.00</w:t>
                </w:r>
              </w:p>
            </w:tc>
            <w:tc>
              <w:tcPr>
                <w:tcW w:w="763" w:type="pct"/>
              </w:tcPr>
              <w:p w14:paraId="4C8288B0" w14:textId="77777777" w:rsidR="00471D53" w:rsidRDefault="004F686E" w:rsidP="00471D53">
                <w:pPr>
                  <w:jc w:val="center"/>
                  <w:rPr>
                    <w:szCs w:val="21"/>
                  </w:rPr>
                </w:pPr>
                <w:r>
                  <w:rPr>
                    <w:szCs w:val="21"/>
                  </w:rPr>
                  <w:t>/</w:t>
                </w:r>
              </w:p>
            </w:tc>
            <w:tc>
              <w:tcPr>
                <w:tcW w:w="1098" w:type="pct"/>
              </w:tcPr>
              <w:p w14:paraId="46C29BB5" w14:textId="77777777" w:rsidR="00471D53" w:rsidRDefault="004F686E" w:rsidP="00471D53">
                <w:pPr>
                  <w:jc w:val="center"/>
                  <w:rPr>
                    <w:szCs w:val="21"/>
                  </w:rPr>
                </w:pPr>
                <w:r>
                  <w:rPr>
                    <w:rFonts w:hint="eastAsia"/>
                    <w:szCs w:val="21"/>
                  </w:rPr>
                  <w:t>/</w:t>
                </w:r>
              </w:p>
            </w:tc>
            <w:tc>
              <w:tcPr>
                <w:tcW w:w="839" w:type="pct"/>
              </w:tcPr>
              <w:p w14:paraId="32DC4B71" w14:textId="77777777" w:rsidR="00471D53" w:rsidRDefault="004F686E" w:rsidP="00471D53">
                <w:pPr>
                  <w:jc w:val="center"/>
                  <w:rPr>
                    <w:szCs w:val="21"/>
                  </w:rPr>
                </w:pPr>
                <w:r>
                  <w:rPr>
                    <w:szCs w:val="21"/>
                  </w:rPr>
                  <w:t>/</w:t>
                </w:r>
              </w:p>
            </w:tc>
          </w:tr>
        </w:tbl>
        <w:p w14:paraId="663D7C10" w14:textId="77777777" w:rsidR="00471D53" w:rsidRDefault="00B664AF"/>
        <w:p w14:paraId="5FCD4E46" w14:textId="77777777" w:rsidR="00471D53" w:rsidRDefault="004F686E">
          <w:pPr>
            <w:snapToGrid w:val="0"/>
            <w:spacing w:line="240" w:lineRule="atLeast"/>
            <w:rPr>
              <w:szCs w:val="21"/>
            </w:rPr>
          </w:pPr>
          <w:r>
            <w:rPr>
              <w:rFonts w:hint="eastAsia"/>
              <w:szCs w:val="21"/>
            </w:rPr>
            <w:t>应收账款核销说明：</w:t>
          </w:r>
        </w:p>
        <w:sdt>
          <w:sdtPr>
            <w:rPr>
              <w:szCs w:val="21"/>
            </w:rPr>
            <w:alias w:val="是否适用：应收账款核销说明[双击切换]"/>
            <w:tag w:val="_GBC_69824b683b7348d5abc31b2f2e813757"/>
            <w:id w:val="-201402752"/>
            <w:lock w:val="sdtLocked"/>
            <w:placeholder>
              <w:docPart w:val="GBC22222222222222222222222222222"/>
            </w:placeholder>
          </w:sdtPr>
          <w:sdtEndPr/>
          <w:sdtContent>
            <w:p w14:paraId="6240B2D0" w14:textId="77777777" w:rsidR="00471D53" w:rsidRDefault="004F686E" w:rsidP="00471D53">
              <w:pPr>
                <w:snapToGrid w:val="0"/>
                <w:spacing w:line="240" w:lineRule="atLeast"/>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14:paraId="09F060F7" w14:textId="77777777" w:rsidR="00471D53" w:rsidRDefault="00B664AF"/>
    <w:sdt>
      <w:sdtPr>
        <w:rPr>
          <w:rFonts w:ascii="宋体" w:hAnsi="宋体" w:cs="宋体" w:hint="eastAsia"/>
          <w:b w:val="0"/>
          <w:bCs w:val="0"/>
          <w:kern w:val="0"/>
          <w:szCs w:val="24"/>
        </w:rPr>
        <w:alias w:val="模块:按欠款方归集的期末余额前五名的应收账款情况："/>
        <w:tag w:val="_GBC_e8adf46f2d204834ad681ac980eff4f7"/>
        <w:id w:val="299897383"/>
        <w:lock w:val="sdtLocked"/>
        <w:placeholder>
          <w:docPart w:val="GBC22222222222222222222222222222"/>
        </w:placeholder>
      </w:sdtPr>
      <w:sdtEndPr/>
      <w:sdtContent>
        <w:p w14:paraId="65C48F69" w14:textId="77777777" w:rsidR="00471D53" w:rsidRDefault="004F686E" w:rsidP="004F686E">
          <w:pPr>
            <w:pStyle w:val="afffff8"/>
            <w:numPr>
              <w:ilvl w:val="3"/>
              <w:numId w:val="60"/>
            </w:numPr>
            <w:tabs>
              <w:tab w:val="left" w:pos="574"/>
            </w:tabs>
            <w:rPr>
              <w:rFonts w:ascii="宋体" w:hAnsi="宋体"/>
            </w:rPr>
          </w:pPr>
          <w:r>
            <w:rPr>
              <w:rFonts w:ascii="宋体" w:hAnsi="宋体" w:hint="eastAsia"/>
            </w:rPr>
            <w:t>按欠款方归集的期末余额前五名的应收账款情况</w:t>
          </w:r>
        </w:p>
        <w:sdt>
          <w:sdtPr>
            <w:rPr>
              <w:rFonts w:hint="eastAsia"/>
              <w:szCs w:val="21"/>
            </w:rPr>
            <w:alias w:val="是否适用：按欠款方归集的期末余额前五名的应收账款情况[双击切换]"/>
            <w:tag w:val="_GBC_26f285dee1444697be56ea61bc5c0578"/>
            <w:id w:val="1490129100"/>
            <w:lock w:val="sdtLocked"/>
            <w:placeholder>
              <w:docPart w:val="GBC22222222222222222222222222222"/>
            </w:placeholder>
          </w:sdtPr>
          <w:sdtEndPr/>
          <w:sdtContent>
            <w:p w14:paraId="40BEAB60" w14:textId="77777777" w:rsidR="00471D53" w:rsidRDefault="004F686E">
              <w:pPr>
                <w:snapToGrid w:val="0"/>
                <w:spacing w:line="240" w:lineRule="atLeast"/>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按欠款方归集的期末余额前五名的应收账款情况的说明"/>
            <w:tag w:val="_GBC_064b41eb9e58440dace7a84b96b840f2"/>
            <w:id w:val="1201901724"/>
            <w:lock w:val="sdtLocked"/>
            <w:placeholder>
              <w:docPart w:val="GBC22222222222222222222222222222"/>
            </w:placeholder>
          </w:sdtPr>
          <w:sdtEndPr/>
          <w:sdtContent>
            <w:p w14:paraId="16729598" w14:textId="77777777" w:rsidR="00471D53" w:rsidRDefault="00B664AF">
              <w:pPr>
                <w:snapToGrid w:val="0"/>
                <w:spacing w:line="240" w:lineRule="atLeast"/>
                <w:rPr>
                  <w:szCs w:val="21"/>
                </w:rPr>
              </w:pPr>
            </w:p>
            <w:tbl>
              <w:tblPr>
                <w:tblStyle w:val="g4"/>
                <w:tblW w:w="5000" w:type="pct"/>
                <w:jc w:val="center"/>
                <w:tblBorders>
                  <w:top w:val="double" w:sz="4" w:space="0" w:color="auto"/>
                  <w:bottom w:val="double" w:sz="4" w:space="0" w:color="auto"/>
                  <w:insideH w:val="single" w:sz="2" w:space="0" w:color="auto"/>
                  <w:insideV w:val="single" w:sz="2" w:space="0" w:color="auto"/>
                </w:tblBorders>
                <w:tblLook w:val="0000" w:firstRow="0" w:lastRow="0" w:firstColumn="0" w:lastColumn="0" w:noHBand="0" w:noVBand="0"/>
              </w:tblPr>
              <w:tblGrid>
                <w:gridCol w:w="2892"/>
                <w:gridCol w:w="1527"/>
                <w:gridCol w:w="1479"/>
                <w:gridCol w:w="1509"/>
                <w:gridCol w:w="1426"/>
              </w:tblGrid>
              <w:tr w:rsidR="00471D53" w14:paraId="77C7ADE7" w14:textId="77777777" w:rsidTr="00471D53">
                <w:trPr>
                  <w:trHeight w:val="340"/>
                  <w:tblHeader/>
                  <w:jc w:val="center"/>
                </w:trPr>
                <w:tc>
                  <w:tcPr>
                    <w:tcW w:w="1639" w:type="pct"/>
                    <w:vAlign w:val="center"/>
                  </w:tcPr>
                  <w:p w14:paraId="44E1AECD" w14:textId="77777777" w:rsidR="00471D53" w:rsidRDefault="004F686E" w:rsidP="00471D53">
                    <w:pPr>
                      <w:jc w:val="both"/>
                      <w:rPr>
                        <w:b/>
                        <w:sz w:val="20"/>
                        <w:szCs w:val="20"/>
                      </w:rPr>
                    </w:pPr>
                    <w:r>
                      <w:rPr>
                        <w:rFonts w:hint="eastAsia"/>
                        <w:b/>
                        <w:sz w:val="20"/>
                        <w:szCs w:val="20"/>
                      </w:rPr>
                      <w:t>单位名称</w:t>
                    </w:r>
                  </w:p>
                </w:tc>
                <w:tc>
                  <w:tcPr>
                    <w:tcW w:w="861" w:type="pct"/>
                    <w:vAlign w:val="center"/>
                  </w:tcPr>
                  <w:p w14:paraId="20FBCC5C" w14:textId="77777777" w:rsidR="00471D53" w:rsidRDefault="004F686E" w:rsidP="00471D53">
                    <w:pPr>
                      <w:jc w:val="center"/>
                      <w:rPr>
                        <w:b/>
                        <w:sz w:val="20"/>
                        <w:szCs w:val="20"/>
                      </w:rPr>
                    </w:pPr>
                    <w:r>
                      <w:rPr>
                        <w:rFonts w:hint="eastAsia"/>
                        <w:b/>
                        <w:sz w:val="20"/>
                        <w:szCs w:val="20"/>
                      </w:rPr>
                      <w:t>期末余额</w:t>
                    </w:r>
                  </w:p>
                </w:tc>
                <w:tc>
                  <w:tcPr>
                    <w:tcW w:w="839" w:type="pct"/>
                    <w:vAlign w:val="center"/>
                  </w:tcPr>
                  <w:p w14:paraId="76DBAFBF" w14:textId="77777777" w:rsidR="00471D53" w:rsidRDefault="004F686E" w:rsidP="00471D53">
                    <w:pPr>
                      <w:jc w:val="center"/>
                      <w:rPr>
                        <w:b/>
                        <w:sz w:val="20"/>
                        <w:szCs w:val="20"/>
                      </w:rPr>
                    </w:pPr>
                    <w:r>
                      <w:rPr>
                        <w:rFonts w:hint="eastAsia"/>
                        <w:b/>
                        <w:sz w:val="20"/>
                        <w:szCs w:val="20"/>
                      </w:rPr>
                      <w:t>账龄</w:t>
                    </w:r>
                  </w:p>
                </w:tc>
                <w:tc>
                  <w:tcPr>
                    <w:tcW w:w="856" w:type="pct"/>
                    <w:vAlign w:val="center"/>
                  </w:tcPr>
                  <w:p w14:paraId="64F239C8" w14:textId="77777777" w:rsidR="00471D53" w:rsidRDefault="004F686E" w:rsidP="00471D53">
                    <w:pPr>
                      <w:jc w:val="center"/>
                      <w:rPr>
                        <w:b/>
                        <w:sz w:val="20"/>
                        <w:szCs w:val="20"/>
                      </w:rPr>
                    </w:pPr>
                    <w:r>
                      <w:rPr>
                        <w:b/>
                        <w:sz w:val="20"/>
                        <w:szCs w:val="20"/>
                      </w:rPr>
                      <w:t>占应收账款</w:t>
                    </w:r>
                    <w:r>
                      <w:rPr>
                        <w:rFonts w:hint="eastAsia"/>
                        <w:b/>
                        <w:sz w:val="20"/>
                        <w:szCs w:val="20"/>
                      </w:rPr>
                      <w:t>期末余额合计数</w:t>
                    </w:r>
                    <w:r>
                      <w:rPr>
                        <w:b/>
                        <w:sz w:val="20"/>
                        <w:szCs w:val="20"/>
                      </w:rPr>
                      <w:t>的比例(%)</w:t>
                    </w:r>
                  </w:p>
                </w:tc>
                <w:tc>
                  <w:tcPr>
                    <w:tcW w:w="804" w:type="pct"/>
                    <w:vAlign w:val="center"/>
                  </w:tcPr>
                  <w:p w14:paraId="3B9F9030" w14:textId="77777777" w:rsidR="00471D53" w:rsidRDefault="004F686E" w:rsidP="00471D53">
                    <w:pPr>
                      <w:jc w:val="center"/>
                      <w:rPr>
                        <w:b/>
                        <w:sz w:val="20"/>
                        <w:szCs w:val="20"/>
                      </w:rPr>
                    </w:pPr>
                    <w:r>
                      <w:rPr>
                        <w:rFonts w:hint="eastAsia"/>
                        <w:b/>
                        <w:sz w:val="20"/>
                        <w:szCs w:val="20"/>
                      </w:rPr>
                      <w:t>坏账准备</w:t>
                    </w:r>
                  </w:p>
                  <w:p w14:paraId="736B55CE" w14:textId="77777777" w:rsidR="00471D53" w:rsidRDefault="004F686E" w:rsidP="00471D53">
                    <w:pPr>
                      <w:jc w:val="center"/>
                      <w:rPr>
                        <w:b/>
                        <w:sz w:val="20"/>
                        <w:szCs w:val="20"/>
                      </w:rPr>
                    </w:pPr>
                    <w:r>
                      <w:rPr>
                        <w:rFonts w:hint="eastAsia"/>
                        <w:b/>
                        <w:sz w:val="20"/>
                        <w:szCs w:val="20"/>
                      </w:rPr>
                      <w:t>期末余额</w:t>
                    </w:r>
                  </w:p>
                </w:tc>
              </w:tr>
              <w:tr w:rsidR="00471D53" w14:paraId="5CF85E44" w14:textId="77777777" w:rsidTr="00471D53">
                <w:trPr>
                  <w:trHeight w:val="340"/>
                  <w:jc w:val="center"/>
                </w:trPr>
                <w:tc>
                  <w:tcPr>
                    <w:tcW w:w="1639" w:type="pct"/>
                    <w:vAlign w:val="center"/>
                  </w:tcPr>
                  <w:p w14:paraId="426770AD" w14:textId="41C4C0CD" w:rsidR="00471D53" w:rsidRDefault="004F686E" w:rsidP="00471D53">
                    <w:pPr>
                      <w:jc w:val="both"/>
                      <w:rPr>
                        <w:sz w:val="20"/>
                      </w:rPr>
                    </w:pPr>
                    <w:r w:rsidRPr="001849F1">
                      <w:rPr>
                        <w:sz w:val="20"/>
                      </w:rPr>
                      <w:t>WESTPORTPOWERInc.-Italy</w:t>
                    </w:r>
                  </w:p>
                </w:tc>
                <w:tc>
                  <w:tcPr>
                    <w:tcW w:w="861" w:type="pct"/>
                    <w:vAlign w:val="center"/>
                  </w:tcPr>
                  <w:p w14:paraId="155A7D22" w14:textId="77777777" w:rsidR="00471D53" w:rsidRDefault="004F686E" w:rsidP="00471D53">
                    <w:pPr>
                      <w:jc w:val="right"/>
                      <w:rPr>
                        <w:rFonts w:cs="Calibri"/>
                        <w:sz w:val="20"/>
                        <w:szCs w:val="20"/>
                      </w:rPr>
                    </w:pPr>
                    <w:r w:rsidRPr="001849F1">
                      <w:rPr>
                        <w:rFonts w:cs="Calibri"/>
                        <w:sz w:val="20"/>
                        <w:szCs w:val="20"/>
                      </w:rPr>
                      <w:t>21,166,957.55</w:t>
                    </w:r>
                  </w:p>
                </w:tc>
                <w:tc>
                  <w:tcPr>
                    <w:tcW w:w="839" w:type="pct"/>
                    <w:vAlign w:val="center"/>
                  </w:tcPr>
                  <w:p w14:paraId="4B7F447D" w14:textId="77777777" w:rsidR="00471D53" w:rsidRDefault="004F686E" w:rsidP="00471D53">
                    <w:pPr>
                      <w:jc w:val="center"/>
                      <w:rPr>
                        <w:sz w:val="20"/>
                        <w:szCs w:val="20"/>
                      </w:rPr>
                    </w:pPr>
                    <w:r>
                      <w:rPr>
                        <w:rFonts w:hint="eastAsia"/>
                        <w:sz w:val="20"/>
                        <w:szCs w:val="20"/>
                      </w:rPr>
                      <w:t>一</w:t>
                    </w:r>
                    <w:r w:rsidRPr="001849F1">
                      <w:rPr>
                        <w:sz w:val="20"/>
                        <w:szCs w:val="20"/>
                      </w:rPr>
                      <w:t>年以内</w:t>
                    </w:r>
                  </w:p>
                </w:tc>
                <w:tc>
                  <w:tcPr>
                    <w:tcW w:w="856" w:type="pct"/>
                    <w:vAlign w:val="center"/>
                  </w:tcPr>
                  <w:p w14:paraId="6C733FA8" w14:textId="77777777" w:rsidR="00471D53" w:rsidRDefault="004F686E" w:rsidP="00471D53">
                    <w:pPr>
                      <w:jc w:val="right"/>
                      <w:textAlignment w:val="center"/>
                      <w:rPr>
                        <w:sz w:val="20"/>
                        <w:szCs w:val="20"/>
                      </w:rPr>
                    </w:pPr>
                    <w:r w:rsidRPr="002D3F09">
                      <w:rPr>
                        <w:sz w:val="20"/>
                        <w:szCs w:val="20"/>
                      </w:rPr>
                      <w:t>8.87</w:t>
                    </w:r>
                  </w:p>
                </w:tc>
                <w:tc>
                  <w:tcPr>
                    <w:tcW w:w="804" w:type="pct"/>
                    <w:vAlign w:val="center"/>
                  </w:tcPr>
                  <w:p w14:paraId="1C5DFE7A" w14:textId="77777777" w:rsidR="00471D53" w:rsidRDefault="004F686E" w:rsidP="00471D53">
                    <w:pPr>
                      <w:jc w:val="right"/>
                      <w:rPr>
                        <w:rFonts w:cs="Calibri"/>
                        <w:sz w:val="20"/>
                        <w:szCs w:val="20"/>
                        <w:lang w:bidi="ar"/>
                      </w:rPr>
                    </w:pPr>
                    <w:r w:rsidRPr="001849F1">
                      <w:rPr>
                        <w:rFonts w:cs="Calibri"/>
                        <w:sz w:val="20"/>
                        <w:szCs w:val="20"/>
                        <w:lang w:bidi="ar"/>
                      </w:rPr>
                      <w:t>340,788.02</w:t>
                    </w:r>
                  </w:p>
                </w:tc>
              </w:tr>
              <w:tr w:rsidR="00471D53" w14:paraId="67507002" w14:textId="77777777" w:rsidTr="00471D53">
                <w:trPr>
                  <w:trHeight w:val="340"/>
                  <w:jc w:val="center"/>
                </w:trPr>
                <w:tc>
                  <w:tcPr>
                    <w:tcW w:w="1639" w:type="pct"/>
                    <w:vAlign w:val="center"/>
                  </w:tcPr>
                  <w:p w14:paraId="3F454FA3" w14:textId="77777777" w:rsidR="00471D53" w:rsidRDefault="004F686E" w:rsidP="00471D53">
                    <w:pPr>
                      <w:jc w:val="both"/>
                      <w:rPr>
                        <w:sz w:val="20"/>
                      </w:rPr>
                    </w:pPr>
                    <w:r w:rsidRPr="001849F1">
                      <w:rPr>
                        <w:rFonts w:hint="eastAsia"/>
                        <w:sz w:val="20"/>
                      </w:rPr>
                      <w:t>湖北巨西汽车科技有限公司</w:t>
                    </w:r>
                  </w:p>
                </w:tc>
                <w:tc>
                  <w:tcPr>
                    <w:tcW w:w="861" w:type="pct"/>
                    <w:vAlign w:val="center"/>
                  </w:tcPr>
                  <w:p w14:paraId="610D007F" w14:textId="77777777" w:rsidR="00471D53" w:rsidRDefault="004F686E" w:rsidP="00471D53">
                    <w:pPr>
                      <w:jc w:val="right"/>
                      <w:rPr>
                        <w:rFonts w:cs="Calibri"/>
                        <w:sz w:val="20"/>
                        <w:szCs w:val="20"/>
                      </w:rPr>
                    </w:pPr>
                    <w:r w:rsidRPr="001849F1">
                      <w:rPr>
                        <w:rFonts w:cs="Calibri"/>
                        <w:sz w:val="20"/>
                        <w:szCs w:val="20"/>
                      </w:rPr>
                      <w:t>17,325,395.77</w:t>
                    </w:r>
                  </w:p>
                </w:tc>
                <w:tc>
                  <w:tcPr>
                    <w:tcW w:w="839" w:type="pct"/>
                    <w:vAlign w:val="center"/>
                  </w:tcPr>
                  <w:p w14:paraId="4AD8F1A3" w14:textId="77777777" w:rsidR="00471D53" w:rsidRDefault="004F686E" w:rsidP="00471D53">
                    <w:pPr>
                      <w:jc w:val="center"/>
                      <w:rPr>
                        <w:sz w:val="20"/>
                        <w:szCs w:val="20"/>
                      </w:rPr>
                    </w:pPr>
                    <w:r w:rsidRPr="00D637E5">
                      <w:rPr>
                        <w:rFonts w:hint="eastAsia"/>
                        <w:sz w:val="20"/>
                        <w:szCs w:val="20"/>
                      </w:rPr>
                      <w:t>两年以内</w:t>
                    </w:r>
                  </w:p>
                </w:tc>
                <w:tc>
                  <w:tcPr>
                    <w:tcW w:w="856" w:type="pct"/>
                    <w:vAlign w:val="center"/>
                  </w:tcPr>
                  <w:p w14:paraId="7FBACA76" w14:textId="77777777" w:rsidR="00471D53" w:rsidRDefault="004F686E" w:rsidP="00471D53">
                    <w:pPr>
                      <w:jc w:val="right"/>
                      <w:textAlignment w:val="center"/>
                      <w:rPr>
                        <w:sz w:val="20"/>
                        <w:szCs w:val="20"/>
                      </w:rPr>
                    </w:pPr>
                    <w:r w:rsidRPr="002D3F09">
                      <w:rPr>
                        <w:sz w:val="20"/>
                        <w:szCs w:val="20"/>
                      </w:rPr>
                      <w:t>7.26</w:t>
                    </w:r>
                  </w:p>
                </w:tc>
                <w:tc>
                  <w:tcPr>
                    <w:tcW w:w="804" w:type="pct"/>
                    <w:vAlign w:val="center"/>
                  </w:tcPr>
                  <w:p w14:paraId="3BF5FF50" w14:textId="77777777" w:rsidR="00471D53" w:rsidRDefault="004F686E" w:rsidP="00471D53">
                    <w:pPr>
                      <w:jc w:val="right"/>
                      <w:rPr>
                        <w:rFonts w:cs="Calibri"/>
                        <w:sz w:val="20"/>
                        <w:szCs w:val="20"/>
                        <w:lang w:bidi="ar"/>
                      </w:rPr>
                    </w:pPr>
                    <w:r w:rsidRPr="00F13069">
                      <w:rPr>
                        <w:rFonts w:cs="Calibri"/>
                        <w:sz w:val="20"/>
                        <w:szCs w:val="20"/>
                        <w:lang w:bidi="ar"/>
                      </w:rPr>
                      <w:t>1,052,859.09</w:t>
                    </w:r>
                  </w:p>
                </w:tc>
              </w:tr>
              <w:tr w:rsidR="00471D53" w14:paraId="180A8B6B" w14:textId="77777777" w:rsidTr="00471D53">
                <w:trPr>
                  <w:trHeight w:val="340"/>
                  <w:jc w:val="center"/>
                </w:trPr>
                <w:tc>
                  <w:tcPr>
                    <w:tcW w:w="1639" w:type="pct"/>
                    <w:vAlign w:val="center"/>
                  </w:tcPr>
                  <w:p w14:paraId="13E5F5AA" w14:textId="77777777" w:rsidR="00471D53" w:rsidRDefault="004F686E" w:rsidP="00471D53">
                    <w:pPr>
                      <w:jc w:val="both"/>
                      <w:rPr>
                        <w:sz w:val="20"/>
                      </w:rPr>
                    </w:pPr>
                    <w:r w:rsidRPr="001849F1">
                      <w:rPr>
                        <w:rFonts w:hint="eastAsia"/>
                        <w:sz w:val="20"/>
                      </w:rPr>
                      <w:t>上海舜华新能源系统有限公司</w:t>
                    </w:r>
                  </w:p>
                </w:tc>
                <w:tc>
                  <w:tcPr>
                    <w:tcW w:w="861" w:type="pct"/>
                    <w:vAlign w:val="center"/>
                  </w:tcPr>
                  <w:p w14:paraId="780E34AD" w14:textId="77777777" w:rsidR="00471D53" w:rsidRDefault="004F686E" w:rsidP="00471D53">
                    <w:pPr>
                      <w:jc w:val="right"/>
                      <w:rPr>
                        <w:rFonts w:cs="Calibri"/>
                        <w:sz w:val="20"/>
                        <w:szCs w:val="20"/>
                      </w:rPr>
                    </w:pPr>
                    <w:r w:rsidRPr="001849F1">
                      <w:rPr>
                        <w:rFonts w:cs="Calibri"/>
                        <w:sz w:val="20"/>
                        <w:szCs w:val="20"/>
                      </w:rPr>
                      <w:t>12,653,253.68</w:t>
                    </w:r>
                  </w:p>
                </w:tc>
                <w:tc>
                  <w:tcPr>
                    <w:tcW w:w="839" w:type="pct"/>
                    <w:vAlign w:val="center"/>
                  </w:tcPr>
                  <w:p w14:paraId="5407BA59" w14:textId="77777777" w:rsidR="00471D53" w:rsidRDefault="004F686E" w:rsidP="00471D53">
                    <w:pPr>
                      <w:jc w:val="center"/>
                      <w:rPr>
                        <w:sz w:val="20"/>
                        <w:szCs w:val="20"/>
                      </w:rPr>
                    </w:pPr>
                    <w:r>
                      <w:rPr>
                        <w:rFonts w:hint="eastAsia"/>
                        <w:sz w:val="20"/>
                        <w:szCs w:val="20"/>
                      </w:rPr>
                      <w:t>一</w:t>
                    </w:r>
                    <w:r w:rsidRPr="001849F1">
                      <w:rPr>
                        <w:sz w:val="20"/>
                        <w:szCs w:val="20"/>
                      </w:rPr>
                      <w:t>年以内</w:t>
                    </w:r>
                  </w:p>
                </w:tc>
                <w:tc>
                  <w:tcPr>
                    <w:tcW w:w="856" w:type="pct"/>
                    <w:vAlign w:val="center"/>
                  </w:tcPr>
                  <w:p w14:paraId="4784B895" w14:textId="77777777" w:rsidR="00471D53" w:rsidRDefault="004F686E" w:rsidP="00471D53">
                    <w:pPr>
                      <w:jc w:val="right"/>
                      <w:textAlignment w:val="center"/>
                      <w:rPr>
                        <w:sz w:val="20"/>
                        <w:szCs w:val="20"/>
                      </w:rPr>
                    </w:pPr>
                    <w:r w:rsidRPr="002D3F09">
                      <w:rPr>
                        <w:sz w:val="20"/>
                        <w:szCs w:val="20"/>
                      </w:rPr>
                      <w:t>5.30</w:t>
                    </w:r>
                  </w:p>
                </w:tc>
                <w:tc>
                  <w:tcPr>
                    <w:tcW w:w="804" w:type="pct"/>
                    <w:vAlign w:val="center"/>
                  </w:tcPr>
                  <w:p w14:paraId="49A9F436" w14:textId="77777777" w:rsidR="00471D53" w:rsidRDefault="004F686E" w:rsidP="00471D53">
                    <w:pPr>
                      <w:jc w:val="right"/>
                      <w:rPr>
                        <w:rFonts w:cs="Calibri"/>
                        <w:sz w:val="20"/>
                        <w:szCs w:val="20"/>
                        <w:lang w:bidi="ar"/>
                      </w:rPr>
                    </w:pPr>
                    <w:r w:rsidRPr="001849F1">
                      <w:rPr>
                        <w:rFonts w:cs="Calibri"/>
                        <w:sz w:val="20"/>
                        <w:szCs w:val="20"/>
                        <w:lang w:bidi="ar"/>
                      </w:rPr>
                      <w:t>203,717.38</w:t>
                    </w:r>
                  </w:p>
                </w:tc>
              </w:tr>
              <w:tr w:rsidR="00471D53" w14:paraId="13371BFA" w14:textId="77777777" w:rsidTr="00471D53">
                <w:trPr>
                  <w:trHeight w:val="340"/>
                  <w:jc w:val="center"/>
                </w:trPr>
                <w:tc>
                  <w:tcPr>
                    <w:tcW w:w="1639" w:type="pct"/>
                    <w:vAlign w:val="center"/>
                  </w:tcPr>
                  <w:p w14:paraId="67934C81" w14:textId="77777777" w:rsidR="00471D53" w:rsidRDefault="004F686E" w:rsidP="00471D53">
                    <w:pPr>
                      <w:jc w:val="both"/>
                      <w:rPr>
                        <w:sz w:val="20"/>
                      </w:rPr>
                    </w:pPr>
                    <w:r w:rsidRPr="001849F1">
                      <w:rPr>
                        <w:rFonts w:hint="eastAsia"/>
                        <w:sz w:val="20"/>
                      </w:rPr>
                      <w:t>山西京诚机电设备有限公司</w:t>
                    </w:r>
                  </w:p>
                </w:tc>
                <w:tc>
                  <w:tcPr>
                    <w:tcW w:w="861" w:type="pct"/>
                    <w:vAlign w:val="center"/>
                  </w:tcPr>
                  <w:p w14:paraId="18EAD964" w14:textId="77777777" w:rsidR="00471D53" w:rsidRDefault="004F686E" w:rsidP="00471D53">
                    <w:pPr>
                      <w:jc w:val="right"/>
                      <w:rPr>
                        <w:rFonts w:cs="Calibri"/>
                        <w:sz w:val="20"/>
                        <w:szCs w:val="20"/>
                      </w:rPr>
                    </w:pPr>
                    <w:r w:rsidRPr="001849F1">
                      <w:rPr>
                        <w:rFonts w:cs="Calibri"/>
                        <w:sz w:val="20"/>
                        <w:szCs w:val="20"/>
                      </w:rPr>
                      <w:t>5,766,482.73</w:t>
                    </w:r>
                  </w:p>
                </w:tc>
                <w:tc>
                  <w:tcPr>
                    <w:tcW w:w="839" w:type="pct"/>
                    <w:vAlign w:val="center"/>
                  </w:tcPr>
                  <w:p w14:paraId="04A293B8" w14:textId="77777777" w:rsidR="00471D53" w:rsidRDefault="004F686E" w:rsidP="00471D53">
                    <w:pPr>
                      <w:jc w:val="center"/>
                      <w:rPr>
                        <w:sz w:val="20"/>
                        <w:szCs w:val="20"/>
                      </w:rPr>
                    </w:pPr>
                    <w:r>
                      <w:rPr>
                        <w:rFonts w:hint="eastAsia"/>
                        <w:sz w:val="20"/>
                        <w:szCs w:val="20"/>
                      </w:rPr>
                      <w:t>五</w:t>
                    </w:r>
                    <w:r w:rsidRPr="001849F1">
                      <w:rPr>
                        <w:sz w:val="20"/>
                        <w:szCs w:val="20"/>
                      </w:rPr>
                      <w:t>年以上</w:t>
                    </w:r>
                  </w:p>
                </w:tc>
                <w:tc>
                  <w:tcPr>
                    <w:tcW w:w="856" w:type="pct"/>
                    <w:vAlign w:val="center"/>
                  </w:tcPr>
                  <w:p w14:paraId="6C09AAC5" w14:textId="77777777" w:rsidR="00471D53" w:rsidRDefault="004F686E" w:rsidP="00471D53">
                    <w:pPr>
                      <w:jc w:val="right"/>
                      <w:textAlignment w:val="center"/>
                      <w:rPr>
                        <w:sz w:val="20"/>
                        <w:szCs w:val="20"/>
                      </w:rPr>
                    </w:pPr>
                    <w:r w:rsidRPr="002D3F09">
                      <w:rPr>
                        <w:sz w:val="20"/>
                        <w:szCs w:val="20"/>
                      </w:rPr>
                      <w:t>2.42</w:t>
                    </w:r>
                  </w:p>
                </w:tc>
                <w:tc>
                  <w:tcPr>
                    <w:tcW w:w="804" w:type="pct"/>
                    <w:vAlign w:val="center"/>
                  </w:tcPr>
                  <w:p w14:paraId="49E938DC" w14:textId="77777777" w:rsidR="00471D53" w:rsidRDefault="004F686E" w:rsidP="00471D53">
                    <w:pPr>
                      <w:jc w:val="right"/>
                      <w:rPr>
                        <w:rFonts w:cs="Calibri"/>
                        <w:sz w:val="20"/>
                        <w:szCs w:val="20"/>
                        <w:lang w:bidi="ar"/>
                      </w:rPr>
                    </w:pPr>
                    <w:r w:rsidRPr="001849F1">
                      <w:rPr>
                        <w:rFonts w:cs="Calibri"/>
                        <w:sz w:val="20"/>
                        <w:szCs w:val="20"/>
                        <w:lang w:bidi="ar"/>
                      </w:rPr>
                      <w:t>5,766,482.73</w:t>
                    </w:r>
                  </w:p>
                </w:tc>
              </w:tr>
              <w:tr w:rsidR="00471D53" w14:paraId="7D8C4FBC" w14:textId="77777777" w:rsidTr="00471D53">
                <w:trPr>
                  <w:trHeight w:val="340"/>
                  <w:jc w:val="center"/>
                </w:trPr>
                <w:tc>
                  <w:tcPr>
                    <w:tcW w:w="1639" w:type="pct"/>
                    <w:vAlign w:val="center"/>
                  </w:tcPr>
                  <w:p w14:paraId="4439074F" w14:textId="77777777" w:rsidR="00471D53" w:rsidRDefault="004F686E" w:rsidP="00471D53">
                    <w:pPr>
                      <w:jc w:val="both"/>
                      <w:rPr>
                        <w:sz w:val="20"/>
                      </w:rPr>
                    </w:pPr>
                    <w:r w:rsidRPr="001849F1">
                      <w:rPr>
                        <w:rFonts w:hint="eastAsia"/>
                        <w:sz w:val="20"/>
                      </w:rPr>
                      <w:t>广州舜华氢能科技有限公司</w:t>
                    </w:r>
                  </w:p>
                </w:tc>
                <w:tc>
                  <w:tcPr>
                    <w:tcW w:w="861" w:type="pct"/>
                    <w:vAlign w:val="center"/>
                  </w:tcPr>
                  <w:p w14:paraId="5ADA3219" w14:textId="77777777" w:rsidR="00471D53" w:rsidRDefault="004F686E" w:rsidP="00471D53">
                    <w:pPr>
                      <w:jc w:val="right"/>
                      <w:rPr>
                        <w:rFonts w:cs="Calibri"/>
                        <w:sz w:val="20"/>
                        <w:szCs w:val="20"/>
                      </w:rPr>
                    </w:pPr>
                    <w:r w:rsidRPr="001849F1">
                      <w:rPr>
                        <w:rFonts w:cs="Calibri"/>
                        <w:sz w:val="20"/>
                        <w:szCs w:val="20"/>
                      </w:rPr>
                      <w:t>5,640,697.00</w:t>
                    </w:r>
                  </w:p>
                </w:tc>
                <w:tc>
                  <w:tcPr>
                    <w:tcW w:w="839" w:type="pct"/>
                    <w:vAlign w:val="center"/>
                  </w:tcPr>
                  <w:p w14:paraId="7FC0BF19" w14:textId="77777777" w:rsidR="00471D53" w:rsidRDefault="004F686E" w:rsidP="00471D53">
                    <w:pPr>
                      <w:jc w:val="center"/>
                      <w:rPr>
                        <w:sz w:val="20"/>
                        <w:szCs w:val="20"/>
                      </w:rPr>
                    </w:pPr>
                    <w:r>
                      <w:rPr>
                        <w:rFonts w:hint="eastAsia"/>
                        <w:sz w:val="20"/>
                        <w:szCs w:val="20"/>
                      </w:rPr>
                      <w:t>一</w:t>
                    </w:r>
                    <w:r w:rsidRPr="001849F1">
                      <w:rPr>
                        <w:sz w:val="20"/>
                        <w:szCs w:val="20"/>
                      </w:rPr>
                      <w:t>年以内</w:t>
                    </w:r>
                  </w:p>
                </w:tc>
                <w:tc>
                  <w:tcPr>
                    <w:tcW w:w="856" w:type="pct"/>
                    <w:vAlign w:val="center"/>
                  </w:tcPr>
                  <w:p w14:paraId="20701001" w14:textId="77777777" w:rsidR="00471D53" w:rsidRDefault="004F686E" w:rsidP="00471D53">
                    <w:pPr>
                      <w:jc w:val="right"/>
                      <w:textAlignment w:val="center"/>
                      <w:rPr>
                        <w:sz w:val="20"/>
                        <w:szCs w:val="20"/>
                      </w:rPr>
                    </w:pPr>
                    <w:r w:rsidRPr="002D3F09">
                      <w:rPr>
                        <w:sz w:val="20"/>
                        <w:szCs w:val="20"/>
                      </w:rPr>
                      <w:t>2.36</w:t>
                    </w:r>
                  </w:p>
                </w:tc>
                <w:tc>
                  <w:tcPr>
                    <w:tcW w:w="804" w:type="pct"/>
                    <w:vAlign w:val="center"/>
                  </w:tcPr>
                  <w:p w14:paraId="0622BBD3" w14:textId="77777777" w:rsidR="00471D53" w:rsidRDefault="004F686E" w:rsidP="00471D53">
                    <w:pPr>
                      <w:jc w:val="right"/>
                      <w:rPr>
                        <w:rFonts w:cs="Calibri"/>
                        <w:sz w:val="20"/>
                        <w:szCs w:val="20"/>
                        <w:lang w:bidi="ar"/>
                      </w:rPr>
                    </w:pPr>
                    <w:r w:rsidRPr="001849F1">
                      <w:rPr>
                        <w:rFonts w:cs="Calibri"/>
                        <w:sz w:val="20"/>
                        <w:szCs w:val="20"/>
                        <w:lang w:bidi="ar"/>
                      </w:rPr>
                      <w:t>90,815.22</w:t>
                    </w:r>
                  </w:p>
                </w:tc>
              </w:tr>
              <w:tr w:rsidR="00471D53" w14:paraId="4D0469F5" w14:textId="77777777" w:rsidTr="00471D53">
                <w:trPr>
                  <w:trHeight w:val="340"/>
                  <w:jc w:val="center"/>
                </w:trPr>
                <w:tc>
                  <w:tcPr>
                    <w:tcW w:w="1639" w:type="pct"/>
                    <w:vAlign w:val="center"/>
                  </w:tcPr>
                  <w:p w14:paraId="0ADBE772" w14:textId="77777777" w:rsidR="00471D53" w:rsidRDefault="004F686E" w:rsidP="00471D53">
                    <w:pPr>
                      <w:jc w:val="both"/>
                      <w:rPr>
                        <w:b/>
                        <w:sz w:val="20"/>
                        <w:szCs w:val="20"/>
                      </w:rPr>
                    </w:pPr>
                    <w:r>
                      <w:rPr>
                        <w:rFonts w:hint="eastAsia"/>
                        <w:b/>
                        <w:sz w:val="20"/>
                        <w:szCs w:val="20"/>
                      </w:rPr>
                      <w:t>合计</w:t>
                    </w:r>
                  </w:p>
                </w:tc>
                <w:tc>
                  <w:tcPr>
                    <w:tcW w:w="861" w:type="pct"/>
                    <w:vAlign w:val="center"/>
                  </w:tcPr>
                  <w:p w14:paraId="314AB58A" w14:textId="77777777" w:rsidR="00471D53" w:rsidRDefault="004F686E" w:rsidP="00471D53">
                    <w:pPr>
                      <w:jc w:val="right"/>
                      <w:rPr>
                        <w:b/>
                        <w:bCs/>
                        <w:sz w:val="20"/>
                        <w:szCs w:val="20"/>
                      </w:rPr>
                    </w:pPr>
                    <w:r w:rsidRPr="001849F1">
                      <w:rPr>
                        <w:b/>
                        <w:bCs/>
                        <w:sz w:val="20"/>
                        <w:szCs w:val="20"/>
                      </w:rPr>
                      <w:t>62,552,786.73</w:t>
                    </w:r>
                  </w:p>
                </w:tc>
                <w:tc>
                  <w:tcPr>
                    <w:tcW w:w="839" w:type="pct"/>
                    <w:vAlign w:val="center"/>
                  </w:tcPr>
                  <w:p w14:paraId="1A2340A8" w14:textId="77777777" w:rsidR="00471D53" w:rsidRDefault="004F686E" w:rsidP="00471D53">
                    <w:pPr>
                      <w:jc w:val="center"/>
                      <w:rPr>
                        <w:b/>
                        <w:sz w:val="20"/>
                        <w:szCs w:val="20"/>
                      </w:rPr>
                    </w:pPr>
                    <w:r>
                      <w:rPr>
                        <w:rFonts w:hint="eastAsia"/>
                        <w:b/>
                        <w:sz w:val="20"/>
                        <w:szCs w:val="20"/>
                      </w:rPr>
                      <w:t>—</w:t>
                    </w:r>
                  </w:p>
                </w:tc>
                <w:tc>
                  <w:tcPr>
                    <w:tcW w:w="856" w:type="pct"/>
                    <w:vAlign w:val="center"/>
                  </w:tcPr>
                  <w:p w14:paraId="5574387C" w14:textId="77777777" w:rsidR="00471D53" w:rsidRDefault="004F686E" w:rsidP="00471D53">
                    <w:pPr>
                      <w:jc w:val="right"/>
                      <w:textAlignment w:val="center"/>
                      <w:rPr>
                        <w:b/>
                        <w:sz w:val="20"/>
                        <w:szCs w:val="20"/>
                      </w:rPr>
                    </w:pPr>
                    <w:r w:rsidRPr="002D3F09">
                      <w:rPr>
                        <w:b/>
                        <w:sz w:val="20"/>
                        <w:szCs w:val="20"/>
                      </w:rPr>
                      <w:t>26.21</w:t>
                    </w:r>
                  </w:p>
                </w:tc>
                <w:tc>
                  <w:tcPr>
                    <w:tcW w:w="804" w:type="pct"/>
                    <w:vAlign w:val="center"/>
                  </w:tcPr>
                  <w:p w14:paraId="66A7C383" w14:textId="77777777" w:rsidR="00471D53" w:rsidRDefault="004F686E" w:rsidP="00471D53">
                    <w:pPr>
                      <w:jc w:val="right"/>
                      <w:textAlignment w:val="center"/>
                      <w:rPr>
                        <w:b/>
                        <w:bCs/>
                        <w:sz w:val="20"/>
                        <w:szCs w:val="20"/>
                      </w:rPr>
                    </w:pPr>
                    <w:r w:rsidRPr="00F13069">
                      <w:rPr>
                        <w:b/>
                        <w:bCs/>
                        <w:sz w:val="20"/>
                        <w:szCs w:val="20"/>
                      </w:rPr>
                      <w:t>7,454,662.44</w:t>
                    </w:r>
                  </w:p>
                </w:tc>
              </w:tr>
            </w:tbl>
            <w:p w14:paraId="3D61AF06" w14:textId="77777777" w:rsidR="00471D53" w:rsidRDefault="00B664AF">
              <w:pPr>
                <w:snapToGrid w:val="0"/>
                <w:spacing w:line="240" w:lineRule="atLeast"/>
                <w:rPr>
                  <w:szCs w:val="21"/>
                </w:rPr>
              </w:pPr>
            </w:p>
          </w:sdtContent>
        </w:sdt>
      </w:sdtContent>
    </w:sdt>
    <w:p w14:paraId="26D2257D" w14:textId="77777777" w:rsidR="00471D53" w:rsidRDefault="00B664AF" w:rsidP="00471D53">
      <w:pPr>
        <w:snapToGrid w:val="0"/>
        <w:spacing w:line="240" w:lineRule="atLeast"/>
        <w:ind w:leftChars="-50" w:left="-105"/>
        <w:rPr>
          <w:szCs w:val="21"/>
        </w:rPr>
      </w:pPr>
    </w:p>
    <w:sdt>
      <w:sdtPr>
        <w:rPr>
          <w:rFonts w:ascii="宋体" w:hAnsi="宋体" w:cs="宋体" w:hint="eastAsia"/>
          <w:b w:val="0"/>
          <w:bCs w:val="0"/>
          <w:kern w:val="0"/>
          <w:szCs w:val="24"/>
        </w:rPr>
        <w:alias w:val="模块:因金融资产转移而终止确认的应收账款"/>
        <w:tag w:val="_GBC_79d1ccfd87f84b4ab10a992730026aa0"/>
        <w:id w:val="1933088448"/>
        <w:lock w:val="sdtLocked"/>
        <w:placeholder>
          <w:docPart w:val="GBC22222222222222222222222222222"/>
        </w:placeholder>
      </w:sdtPr>
      <w:sdtEndPr/>
      <w:sdtContent>
        <w:p w14:paraId="66F4FC48" w14:textId="77777777" w:rsidR="00471D53" w:rsidRDefault="004F686E" w:rsidP="004F686E">
          <w:pPr>
            <w:pStyle w:val="afffff8"/>
            <w:numPr>
              <w:ilvl w:val="3"/>
              <w:numId w:val="60"/>
            </w:numPr>
            <w:tabs>
              <w:tab w:val="left" w:pos="574"/>
            </w:tabs>
            <w:rPr>
              <w:rFonts w:ascii="宋体" w:hAnsi="宋体"/>
              <w:kern w:val="0"/>
            </w:rPr>
          </w:pPr>
          <w:r>
            <w:rPr>
              <w:rFonts w:ascii="宋体" w:hAnsi="宋体" w:hint="eastAsia"/>
              <w:kern w:val="0"/>
            </w:rPr>
            <w:t>因</w:t>
          </w:r>
          <w:r>
            <w:rPr>
              <w:rFonts w:ascii="宋体" w:hAnsi="宋体" w:hint="eastAsia"/>
            </w:rPr>
            <w:t>金融资产</w:t>
          </w:r>
          <w:r>
            <w:rPr>
              <w:rFonts w:ascii="宋体" w:hAnsi="宋体" w:hint="eastAsia"/>
              <w:kern w:val="0"/>
            </w:rPr>
            <w:t>转移而终止确认的应收账款</w:t>
          </w:r>
        </w:p>
        <w:sdt>
          <w:sdtPr>
            <w:rPr>
              <w:rFonts w:hint="eastAsia"/>
              <w:szCs w:val="21"/>
            </w:rPr>
            <w:alias w:val="是否适用：因金融资产转移而终止确认的应收账款[双击切换]"/>
            <w:tag w:val="_GBC_49c226ad97e8410fb7b074c9336b510a"/>
            <w:id w:val="-1413233145"/>
            <w:lock w:val="sdtLocked"/>
            <w:placeholder>
              <w:docPart w:val="GBC22222222222222222222222222222"/>
            </w:placeholder>
          </w:sdtPr>
          <w:sdtEndPr/>
          <w:sdtContent>
            <w:p w14:paraId="5F7F481F" w14:textId="77777777" w:rsidR="00471D53" w:rsidRDefault="004F686E" w:rsidP="00471D53">
              <w:pPr>
                <w:snapToGrid w:val="0"/>
                <w:spacing w:line="240" w:lineRule="atLeast"/>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3A5244DF" w14:textId="77777777" w:rsidR="00471D53" w:rsidRDefault="00B664AF">
          <w:pPr>
            <w:snapToGrid w:val="0"/>
            <w:spacing w:line="240" w:lineRule="atLeast"/>
          </w:pPr>
        </w:p>
      </w:sdtContent>
    </w:sdt>
    <w:sdt>
      <w:sdtPr>
        <w:rPr>
          <w:rFonts w:ascii="宋体" w:hAnsi="宋体" w:cs="宋体" w:hint="eastAsia"/>
          <w:b w:val="0"/>
          <w:bCs w:val="0"/>
          <w:kern w:val="0"/>
          <w:szCs w:val="24"/>
        </w:rPr>
        <w:alias w:val="模块:转移应收账款且继续涉入的，分项列示继续涉入形成的资产、负债的金额"/>
        <w:tag w:val="_GBC_d3d5d3b413a24c269f804c6a3e3f1c06"/>
        <w:id w:val="-1887861644"/>
        <w:lock w:val="sdtLocked"/>
        <w:placeholder>
          <w:docPart w:val="GBC22222222222222222222222222222"/>
        </w:placeholder>
      </w:sdtPr>
      <w:sdtEndPr/>
      <w:sdtContent>
        <w:p w14:paraId="49D299E2" w14:textId="77777777" w:rsidR="00471D53" w:rsidRDefault="004F686E" w:rsidP="004F686E">
          <w:pPr>
            <w:pStyle w:val="afffff8"/>
            <w:numPr>
              <w:ilvl w:val="3"/>
              <w:numId w:val="60"/>
            </w:numPr>
            <w:tabs>
              <w:tab w:val="left" w:pos="574"/>
            </w:tabs>
            <w:rPr>
              <w:rFonts w:ascii="宋体" w:hAnsi="宋体"/>
            </w:rPr>
          </w:pPr>
          <w:r>
            <w:rPr>
              <w:rFonts w:ascii="宋体" w:hAnsi="宋体" w:hint="eastAsia"/>
              <w:kern w:val="0"/>
              <w:szCs w:val="21"/>
            </w:rPr>
            <w:t>转移应收账款且</w:t>
          </w:r>
          <w:r>
            <w:rPr>
              <w:rFonts w:ascii="宋体" w:hAnsi="宋体" w:hint="eastAsia"/>
            </w:rPr>
            <w:t>继续</w:t>
          </w:r>
          <w:r>
            <w:rPr>
              <w:rFonts w:ascii="宋体" w:hAnsi="宋体" w:hint="eastAsia"/>
              <w:kern w:val="0"/>
              <w:szCs w:val="21"/>
            </w:rPr>
            <w:t>涉入形成的资产、负债金额</w:t>
          </w:r>
        </w:p>
        <w:sdt>
          <w:sdtPr>
            <w:rPr>
              <w:rFonts w:hint="eastAsia"/>
            </w:rPr>
            <w:alias w:val="是否适用：转移应收账款且继续涉入形成的资产、负债金额[双击切换]"/>
            <w:tag w:val="_GBC_8916c4a80e024e80ab488fe678c14970"/>
            <w:id w:val="-1646189614"/>
            <w:lock w:val="sdtLocked"/>
            <w:placeholder>
              <w:docPart w:val="GBC22222222222222222222222222222"/>
            </w:placeholder>
          </w:sdtPr>
          <w:sdtEndPr/>
          <w:sdtContent>
            <w:p w14:paraId="2F665B11" w14:textId="77777777" w:rsidR="00471D53" w:rsidRDefault="004F686E" w:rsidP="00471D53">
              <w:pPr>
                <w:snapToGrid w:val="0"/>
                <w:spacing w:line="240" w:lineRule="atLeast"/>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285C044D" w14:textId="77777777" w:rsidR="00471D53" w:rsidRDefault="00B664AF" w:rsidP="00471D53">
      <w:pPr>
        <w:snapToGrid w:val="0"/>
        <w:spacing w:line="240" w:lineRule="atLeast"/>
        <w:ind w:leftChars="-50" w:left="-105"/>
      </w:pPr>
    </w:p>
    <w:sdt>
      <w:sdtPr>
        <w:rPr>
          <w:rFonts w:hint="eastAsia"/>
          <w:b/>
          <w:bCs/>
        </w:rPr>
        <w:alias w:val="模块:应收账款其他说明"/>
        <w:tag w:val="_GBC_2f38c172c62a46cfa73776efdf952fad"/>
        <w:id w:val="-874856694"/>
        <w:lock w:val="sdtLocked"/>
        <w:placeholder>
          <w:docPart w:val="GBC22222222222222222222222222222"/>
        </w:placeholder>
      </w:sdtPr>
      <w:sdtEndPr>
        <w:rPr>
          <w:rFonts w:hint="default"/>
          <w:b w:val="0"/>
          <w:bCs w:val="0"/>
        </w:rPr>
      </w:sdtEndPr>
      <w:sdtContent>
        <w:p w14:paraId="6D1DB771" w14:textId="77777777" w:rsidR="00471D53" w:rsidRDefault="004F686E">
          <w:pPr>
            <w:snapToGrid w:val="0"/>
            <w:spacing w:line="240" w:lineRule="atLeast"/>
          </w:pPr>
          <w:r>
            <w:rPr>
              <w:rFonts w:hint="eastAsia"/>
            </w:rPr>
            <w:t>其他</w:t>
          </w:r>
          <w:r>
            <w:t>说明：</w:t>
          </w:r>
        </w:p>
        <w:sdt>
          <w:sdtPr>
            <w:rPr>
              <w:rFonts w:hint="eastAsia"/>
            </w:rPr>
            <w:alias w:val="是否适用：应收账款其他说明[双击切换]"/>
            <w:tag w:val="_GBC_c06434ba43c5400a80d620a65b730fd9"/>
            <w:id w:val="-1462100329"/>
            <w:lock w:val="sdtLocked"/>
            <w:placeholder>
              <w:docPart w:val="GBC22222222222222222222222222222"/>
            </w:placeholder>
          </w:sdtPr>
          <w:sdtEndPr/>
          <w:sdtContent>
            <w:p w14:paraId="2813501B" w14:textId="77777777" w:rsidR="00471D53" w:rsidRDefault="004F686E" w:rsidP="00471D53">
              <w:pPr>
                <w:snapToGrid w:val="0"/>
                <w:spacing w:line="240" w:lineRule="atLeast"/>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4C638792" w14:textId="77777777" w:rsidR="00471D53" w:rsidRDefault="00B664AF">
      <w:pPr>
        <w:rPr>
          <w:szCs w:val="21"/>
        </w:rPr>
      </w:pPr>
    </w:p>
    <w:sdt>
      <w:sdtPr>
        <w:rPr>
          <w:rFonts w:ascii="宋体" w:hAnsi="宋体" w:cs="宋体" w:hint="eastAsia"/>
          <w:b w:val="0"/>
          <w:bCs w:val="0"/>
          <w:kern w:val="0"/>
          <w:szCs w:val="21"/>
        </w:rPr>
        <w:alias w:val="模块:应收款项融资"/>
        <w:tag w:val="_SEC_99a20d0771254b5596c992bd0fe179a3"/>
        <w:id w:val="2061284999"/>
        <w:lock w:val="sdtLocked"/>
        <w:placeholder>
          <w:docPart w:val="GBC22222222222222222222222222222"/>
        </w:placeholder>
      </w:sdtPr>
      <w:sdtEndPr/>
      <w:sdtContent>
        <w:p w14:paraId="2154C881" w14:textId="77777777" w:rsidR="00471D53" w:rsidRDefault="004F686E" w:rsidP="004F686E">
          <w:pPr>
            <w:pStyle w:val="afffff7"/>
            <w:numPr>
              <w:ilvl w:val="0"/>
              <w:numId w:val="55"/>
            </w:numPr>
            <w:rPr>
              <w:rFonts w:ascii="宋体" w:hAnsi="宋体"/>
              <w:szCs w:val="21"/>
            </w:rPr>
          </w:pPr>
          <w:r>
            <w:rPr>
              <w:rFonts w:ascii="宋体" w:hAnsi="宋体" w:hint="eastAsia"/>
              <w:szCs w:val="21"/>
            </w:rPr>
            <w:t>应收款项融资</w:t>
          </w:r>
        </w:p>
        <w:sdt>
          <w:sdtPr>
            <w:rPr>
              <w:szCs w:val="21"/>
            </w:rPr>
            <w:alias w:val="是否适用：应收款项融资[双击切换]"/>
            <w:tag w:val="_GBC_b66c8e5d6d6f4ccf9bd0ebfd1f5495e4"/>
            <w:id w:val="976422160"/>
            <w:lock w:val="sdtLocked"/>
            <w:placeholder>
              <w:docPart w:val="GBC22222222222222222222222222222"/>
            </w:placeholder>
          </w:sdtPr>
          <w:sdtEndPr/>
          <w:sdtContent>
            <w:p w14:paraId="4C9CB5E2" w14:textId="77777777" w:rsidR="00471D53" w:rsidRDefault="004F686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1EC4D44E" w14:textId="75A2D810" w:rsidR="00471D53" w:rsidRDefault="004F686E">
          <w:pPr>
            <w:ind w:left="420" w:right="-98"/>
            <w:jc w:val="right"/>
          </w:pPr>
          <w:r>
            <w:rPr>
              <w:rFonts w:hint="eastAsia"/>
            </w:rPr>
            <w:t>单位：</w:t>
          </w:r>
          <w:sdt>
            <w:sdtPr>
              <w:rPr>
                <w:rFonts w:hint="eastAsia"/>
              </w:rPr>
              <w:alias w:val="单位：应收款项融资"/>
              <w:tag w:val="_GBC_5bc18c9963914ad7b56c2f244f484146"/>
              <w:id w:val="200400063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币种：</w:t>
          </w:r>
          <w:sdt>
            <w:sdtPr>
              <w:rPr>
                <w:rFonts w:hint="eastAsia"/>
              </w:rPr>
              <w:alias w:val="币种：应收款项融资"/>
              <w:tag w:val="_GBC_c66a156107084de19a91dcaaa76213c1"/>
              <w:id w:val="649184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164"/>
            <w:gridCol w:w="2825"/>
            <w:gridCol w:w="2834"/>
          </w:tblGrid>
          <w:tr w:rsidR="00471D53" w14:paraId="7973092B" w14:textId="77777777" w:rsidTr="00471D53">
            <w:bookmarkStart w:id="125" w:name="_Hlk13057555" w:displacedByCustomXml="next"/>
            <w:bookmarkStart w:id="126" w:name="_Hlk12969247" w:displacedByCustomXml="next"/>
            <w:sdt>
              <w:sdtPr>
                <w:tag w:val="_PLD_82a62891b4b649e48fb460890f28ac36"/>
                <w:id w:val="539088667"/>
                <w:lock w:val="sdtLocked"/>
              </w:sdtPr>
              <w:sdtEndPr/>
              <w:sdtContent>
                <w:tc>
                  <w:tcPr>
                    <w:tcW w:w="1793" w:type="pct"/>
                    <w:shd w:val="clear" w:color="auto" w:fill="auto"/>
                    <w:vAlign w:val="center"/>
                  </w:tcPr>
                  <w:p w14:paraId="3583A8A4" w14:textId="77777777" w:rsidR="00471D53" w:rsidRDefault="004F686E" w:rsidP="00471D53">
                    <w:pPr>
                      <w:jc w:val="center"/>
                      <w:rPr>
                        <w:szCs w:val="21"/>
                      </w:rPr>
                    </w:pPr>
                    <w:r>
                      <w:rPr>
                        <w:rFonts w:hint="eastAsia"/>
                        <w:szCs w:val="21"/>
                      </w:rPr>
                      <w:t>项目</w:t>
                    </w:r>
                  </w:p>
                </w:tc>
              </w:sdtContent>
            </w:sdt>
            <w:sdt>
              <w:sdtPr>
                <w:tag w:val="_PLD_0b8617b6950f47bfae07e4496fdde27e"/>
                <w:id w:val="-1604174372"/>
                <w:lock w:val="sdtLocked"/>
              </w:sdtPr>
              <w:sdtEndPr/>
              <w:sdtContent>
                <w:tc>
                  <w:tcPr>
                    <w:tcW w:w="1601" w:type="pct"/>
                    <w:tcBorders>
                      <w:bottom w:val="single" w:sz="6" w:space="0" w:color="auto"/>
                    </w:tcBorders>
                    <w:shd w:val="clear" w:color="auto" w:fill="auto"/>
                    <w:vAlign w:val="center"/>
                  </w:tcPr>
                  <w:p w14:paraId="3D14738F" w14:textId="77777777" w:rsidR="00471D53" w:rsidRDefault="004F686E" w:rsidP="00471D53">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8c85f1c835d84ebaa8ca21e687181951"/>
                <w:id w:val="1996290397"/>
                <w:lock w:val="sdtLocked"/>
              </w:sdtPr>
              <w:sdtEndPr/>
              <w:sdtContent>
                <w:tc>
                  <w:tcPr>
                    <w:tcW w:w="1606" w:type="pct"/>
                    <w:shd w:val="clear" w:color="auto" w:fill="auto"/>
                    <w:vAlign w:val="center"/>
                  </w:tcPr>
                  <w:p w14:paraId="7235BFCB" w14:textId="77777777" w:rsidR="00471D53" w:rsidRDefault="004F686E" w:rsidP="00471D53">
                    <w:pPr>
                      <w:autoSpaceDE w:val="0"/>
                      <w:autoSpaceDN w:val="0"/>
                      <w:adjustRightInd w:val="0"/>
                      <w:snapToGrid w:val="0"/>
                      <w:spacing w:line="240" w:lineRule="atLeast"/>
                      <w:jc w:val="center"/>
                      <w:rPr>
                        <w:szCs w:val="21"/>
                      </w:rPr>
                    </w:pPr>
                    <w:r>
                      <w:rPr>
                        <w:rFonts w:hint="eastAsia"/>
                        <w:szCs w:val="21"/>
                      </w:rPr>
                      <w:t>期初余额</w:t>
                    </w:r>
                  </w:p>
                </w:tc>
              </w:sdtContent>
            </w:sdt>
          </w:tr>
          <w:sdt>
            <w:sdtPr>
              <w:rPr>
                <w:szCs w:val="21"/>
              </w:rPr>
              <w:alias w:val="应收款项融资明细"/>
              <w:tag w:val="_TUP_a9787d82372c4ec599a760ae032aaf1f"/>
              <w:id w:val="-496116483"/>
              <w:lock w:val="sdtLocked"/>
            </w:sdtPr>
            <w:sdtEndPr/>
            <w:sdtContent>
              <w:tr w:rsidR="00471D53" w14:paraId="1307ACC7" w14:textId="77777777" w:rsidTr="00471D53">
                <w:tc>
                  <w:tcPr>
                    <w:tcW w:w="1793" w:type="pct"/>
                    <w:shd w:val="clear" w:color="auto" w:fill="auto"/>
                  </w:tcPr>
                  <w:p w14:paraId="4D33B5C6" w14:textId="77777777" w:rsidR="00471D53" w:rsidRDefault="004F686E" w:rsidP="00471D53">
                    <w:pPr>
                      <w:autoSpaceDE w:val="0"/>
                      <w:autoSpaceDN w:val="0"/>
                      <w:adjustRightInd w:val="0"/>
                      <w:rPr>
                        <w:szCs w:val="21"/>
                      </w:rPr>
                    </w:pPr>
                    <w:r>
                      <w:t>应收票据</w:t>
                    </w:r>
                  </w:p>
                </w:tc>
                <w:tc>
                  <w:tcPr>
                    <w:tcW w:w="1601" w:type="pct"/>
                    <w:tcBorders>
                      <w:top w:val="single" w:sz="6" w:space="0" w:color="auto"/>
                      <w:bottom w:val="single" w:sz="6" w:space="0" w:color="auto"/>
                    </w:tcBorders>
                    <w:shd w:val="clear" w:color="auto" w:fill="auto"/>
                  </w:tcPr>
                  <w:p w14:paraId="53D15035" w14:textId="77777777" w:rsidR="00471D53" w:rsidRDefault="004F686E" w:rsidP="00471D53">
                    <w:pPr>
                      <w:jc w:val="right"/>
                      <w:rPr>
                        <w:szCs w:val="21"/>
                      </w:rPr>
                    </w:pPr>
                    <w:r>
                      <w:t>5,234,897.48</w:t>
                    </w:r>
                  </w:p>
                </w:tc>
                <w:tc>
                  <w:tcPr>
                    <w:tcW w:w="1606" w:type="pct"/>
                    <w:shd w:val="clear" w:color="auto" w:fill="auto"/>
                  </w:tcPr>
                  <w:p w14:paraId="1FFEF4F2" w14:textId="77777777" w:rsidR="00471D53" w:rsidRDefault="004F686E" w:rsidP="00471D53">
                    <w:pPr>
                      <w:jc w:val="right"/>
                      <w:rPr>
                        <w:szCs w:val="21"/>
                      </w:rPr>
                    </w:pPr>
                    <w:r>
                      <w:t>4,153,285.64</w:t>
                    </w:r>
                  </w:p>
                </w:tc>
              </w:tr>
            </w:sdtContent>
          </w:sdt>
          <w:tr w:rsidR="00471D53" w14:paraId="06E41F6A" w14:textId="77777777" w:rsidTr="00471D53">
            <w:sdt>
              <w:sdtPr>
                <w:tag w:val="_PLD_5299295b2978439ba42b441350bea704"/>
                <w:id w:val="1237595532"/>
                <w:lock w:val="sdtLocked"/>
              </w:sdtPr>
              <w:sdtEndPr/>
              <w:sdtContent>
                <w:tc>
                  <w:tcPr>
                    <w:tcW w:w="1793" w:type="pct"/>
                    <w:shd w:val="clear" w:color="auto" w:fill="auto"/>
                    <w:vAlign w:val="center"/>
                  </w:tcPr>
                  <w:p w14:paraId="674E1398" w14:textId="77777777" w:rsidR="00471D53" w:rsidRDefault="004F686E" w:rsidP="00471D53">
                    <w:pPr>
                      <w:jc w:val="center"/>
                      <w:rPr>
                        <w:szCs w:val="21"/>
                      </w:rPr>
                    </w:pPr>
                    <w:r>
                      <w:rPr>
                        <w:rFonts w:hint="eastAsia"/>
                        <w:szCs w:val="21"/>
                      </w:rPr>
                      <w:t>合计</w:t>
                    </w:r>
                  </w:p>
                </w:tc>
              </w:sdtContent>
            </w:sdt>
            <w:tc>
              <w:tcPr>
                <w:tcW w:w="1601" w:type="pct"/>
                <w:tcBorders>
                  <w:top w:val="single" w:sz="6" w:space="0" w:color="auto"/>
                  <w:bottom w:val="single" w:sz="4" w:space="0" w:color="auto"/>
                </w:tcBorders>
                <w:shd w:val="clear" w:color="auto" w:fill="auto"/>
                <w:vAlign w:val="center"/>
              </w:tcPr>
              <w:p w14:paraId="2B9498D9" w14:textId="77777777" w:rsidR="00471D53" w:rsidRDefault="004F686E" w:rsidP="00471D53">
                <w:pPr>
                  <w:jc w:val="right"/>
                  <w:rPr>
                    <w:sz w:val="24"/>
                  </w:rPr>
                </w:pPr>
                <w:r>
                  <w:t>5,234,897.48</w:t>
                </w:r>
              </w:p>
            </w:tc>
            <w:tc>
              <w:tcPr>
                <w:tcW w:w="1606" w:type="pct"/>
                <w:shd w:val="clear" w:color="auto" w:fill="auto"/>
                <w:vAlign w:val="center"/>
              </w:tcPr>
              <w:p w14:paraId="7EB87EC4" w14:textId="77777777" w:rsidR="00471D53" w:rsidRDefault="004F686E" w:rsidP="00471D53">
                <w:pPr>
                  <w:jc w:val="right"/>
                  <w:rPr>
                    <w:sz w:val="24"/>
                  </w:rPr>
                </w:pPr>
                <w:r>
                  <w:t>4,153,285.64</w:t>
                </w:r>
              </w:p>
            </w:tc>
          </w:tr>
        </w:tbl>
        <w:p w14:paraId="7895E2DF" w14:textId="77777777" w:rsidR="00471D53" w:rsidRDefault="00B664AF"/>
        <w:p w14:paraId="292D7C26" w14:textId="77777777" w:rsidR="00471D53" w:rsidRDefault="004F686E">
          <w:pPr>
            <w:rPr>
              <w:szCs w:val="21"/>
            </w:rPr>
          </w:pPr>
          <w:r>
            <w:rPr>
              <w:rFonts w:hint="eastAsia"/>
            </w:rPr>
            <w:t>应收款项融资本期增减变动及公允价值变动情况</w:t>
          </w:r>
          <w:r>
            <w:rPr>
              <w:szCs w:val="21"/>
            </w:rPr>
            <w:t>：</w:t>
          </w:r>
        </w:p>
        <w:sdt>
          <w:sdtPr>
            <w:rPr>
              <w:rFonts w:hint="eastAsia"/>
            </w:rPr>
            <w:alias w:val="是否适用：应收款项融资本期增减变动及公允价值变动情况[双击切换]"/>
            <w:tag w:val="_GBC_33fc9f304d4f4155ac67028bc1814e26"/>
            <w:id w:val="-1906366092"/>
            <w:lock w:val="sdtLocked"/>
            <w:placeholder>
              <w:docPart w:val="GBC22222222222222222222222222222"/>
            </w:placeholder>
          </w:sdtPr>
          <w:sdtEndPr/>
          <w:sdtContent>
            <w:p w14:paraId="51009073"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125"/>
        <w:p w14:paraId="5E0A065B" w14:textId="77777777" w:rsidR="00471D53" w:rsidRDefault="00B664AF"/>
        <w:p w14:paraId="41A2BBFB" w14:textId="77777777" w:rsidR="00471D53" w:rsidRDefault="004F686E">
          <w:r>
            <w:rPr>
              <w:rFonts w:hint="eastAsia"/>
            </w:rPr>
            <w:t>如按预期信用损失一般模型计提坏账准备，请参照其他应收款披露</w:t>
          </w:r>
          <w:r>
            <w:rPr>
              <w:szCs w:val="21"/>
            </w:rPr>
            <w:t>：</w:t>
          </w:r>
        </w:p>
        <w:sdt>
          <w:sdtPr>
            <w:alias w:val="是否适用：应收款项融资预期信用损失的确定方法及会计处理方法[双击切换]"/>
            <w:tag w:val="_GBC_5a80268d2f0f436786b31f6c461deb07"/>
            <w:id w:val="-1656837639"/>
            <w:lock w:val="sdtLocked"/>
            <w:placeholder>
              <w:docPart w:val="GBC22222222222222222222222222222"/>
            </w:placeholder>
          </w:sdtPr>
          <w:sdtEndPr/>
          <w:sdtContent>
            <w:p w14:paraId="1B126DBE"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126"/>
        <w:p w14:paraId="6FE42E9A" w14:textId="77777777" w:rsidR="00471D53" w:rsidRDefault="00B664AF"/>
        <w:p w14:paraId="1FDCAA9B" w14:textId="77777777" w:rsidR="00471D53" w:rsidRDefault="004F686E">
          <w:r>
            <w:rPr>
              <w:rFonts w:hint="eastAsia"/>
            </w:rPr>
            <w:t>其他</w:t>
          </w:r>
          <w:r>
            <w:t>说明</w:t>
          </w:r>
          <w:r>
            <w:rPr>
              <w:rFonts w:hint="eastAsia"/>
            </w:rPr>
            <w:t>：</w:t>
          </w:r>
        </w:p>
        <w:bookmarkStart w:id="127" w:name="_Hlk13057390" w:displacedByCustomXml="next"/>
        <w:sdt>
          <w:sdtPr>
            <w:rPr>
              <w:rFonts w:hint="eastAsia"/>
            </w:rPr>
            <w:alias w:val="是否适用：应收款项融资其他说明[双击切换]"/>
            <w:tag w:val="_GBC_79059c75c4ff4f698741d135a33f5c70"/>
            <w:id w:val="407958671"/>
            <w:lock w:val="sdtLocked"/>
            <w:placeholder>
              <w:docPart w:val="GBC22222222222222222222222222222"/>
            </w:placeholder>
          </w:sdtPr>
          <w:sdtEndPr/>
          <w:sdtContent>
            <w:p w14:paraId="6F89BC12" w14:textId="77777777" w:rsidR="00471D53" w:rsidRDefault="004F686E" w:rsidP="00471D53">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127" w:displacedByCustomXml="next"/>
      </w:sdtContent>
    </w:sdt>
    <w:p w14:paraId="28A4CB27" w14:textId="77777777" w:rsidR="00471D53" w:rsidRDefault="00B664AF">
      <w:pPr>
        <w:rPr>
          <w:szCs w:val="21"/>
        </w:rPr>
      </w:pPr>
    </w:p>
    <w:p w14:paraId="55125668" w14:textId="77777777" w:rsidR="00471D53" w:rsidRDefault="004F686E" w:rsidP="004F686E">
      <w:pPr>
        <w:pStyle w:val="afffff7"/>
        <w:numPr>
          <w:ilvl w:val="0"/>
          <w:numId w:val="55"/>
        </w:numPr>
        <w:rPr>
          <w:rFonts w:ascii="宋体" w:hAnsi="宋体"/>
        </w:rPr>
      </w:pPr>
      <w:r>
        <w:rPr>
          <w:rFonts w:ascii="宋体" w:hAnsi="宋体" w:hint="eastAsia"/>
        </w:rPr>
        <w:t>预付款项</w:t>
      </w:r>
    </w:p>
    <w:sdt>
      <w:sdtPr>
        <w:rPr>
          <w:rFonts w:ascii="宋体" w:hAnsi="宋体" w:cs="宋体" w:hint="eastAsia"/>
          <w:b w:val="0"/>
          <w:bCs w:val="0"/>
          <w:kern w:val="0"/>
          <w:szCs w:val="22"/>
        </w:rPr>
        <w:alias w:val="模块:预付款项按账龄列示"/>
        <w:tag w:val="_GBC_4c02994d3bd04bacba6592630552e576"/>
        <w:id w:val="-1807774772"/>
        <w:lock w:val="sdtLocked"/>
        <w:placeholder>
          <w:docPart w:val="GBC22222222222222222222222222222"/>
        </w:placeholder>
      </w:sdtPr>
      <w:sdtEndPr>
        <w:rPr>
          <w:rFonts w:hint="default"/>
          <w:szCs w:val="24"/>
        </w:rPr>
      </w:sdtEndPr>
      <w:sdtContent>
        <w:p w14:paraId="3B89B94F" w14:textId="77777777" w:rsidR="00471D53" w:rsidRDefault="004F686E" w:rsidP="004F686E">
          <w:pPr>
            <w:pStyle w:val="afffff8"/>
            <w:numPr>
              <w:ilvl w:val="0"/>
              <w:numId w:val="61"/>
            </w:numPr>
            <w:tabs>
              <w:tab w:val="left" w:pos="616"/>
            </w:tabs>
            <w:rPr>
              <w:rFonts w:ascii="宋体" w:hAnsi="宋体"/>
            </w:rPr>
          </w:pPr>
          <w:r>
            <w:rPr>
              <w:rFonts w:ascii="宋体" w:hAnsi="宋体" w:hint="eastAsia"/>
            </w:rPr>
            <w:t>预付款项按账龄列示</w:t>
          </w:r>
        </w:p>
        <w:sdt>
          <w:sdtPr>
            <w:alias w:val="是否适用：预付款项按账龄列示[双击切换]"/>
            <w:tag w:val="_GBC_af3b3e24767e48f7a70a5cfa609407a2"/>
            <w:id w:val="-926504578"/>
            <w:lock w:val="sdtLocked"/>
            <w:placeholder>
              <w:docPart w:val="GBC22222222222222222222222222222"/>
            </w:placeholder>
          </w:sdtPr>
          <w:sdtEndPr/>
          <w:sdtContent>
            <w:p w14:paraId="2D96EA43"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5F94413" w14:textId="515D7D18" w:rsidR="00471D53" w:rsidRDefault="004F686E">
          <w:pPr>
            <w:jc w:val="right"/>
            <w:rPr>
              <w:b/>
              <w:szCs w:val="21"/>
            </w:rPr>
          </w:pPr>
          <w:r>
            <w:rPr>
              <w:rFonts w:hint="eastAsia"/>
              <w:szCs w:val="21"/>
            </w:rPr>
            <w:t>单位：</w:t>
          </w:r>
          <w:sdt>
            <w:sdtPr>
              <w:rPr>
                <w:rFonts w:hint="eastAsia"/>
                <w:szCs w:val="21"/>
              </w:rPr>
              <w:alias w:val="单位：财务附注：预付账款账龄"/>
              <w:tag w:val="_GBC_9eb28bbf7d374cdf965c7e133b610fb3"/>
              <w:id w:val="-12659202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预付账款账龄"/>
              <w:tag w:val="_GBC_d491347f74764df5af3312ad7a0a92e5"/>
              <w:id w:val="19924417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349"/>
            <w:gridCol w:w="1876"/>
            <w:gridCol w:w="1862"/>
            <w:gridCol w:w="1860"/>
            <w:gridCol w:w="1876"/>
          </w:tblGrid>
          <w:tr w:rsidR="00471D53" w14:paraId="08372C64" w14:textId="77777777" w:rsidTr="00605CF2">
            <w:trPr>
              <w:cantSplit/>
              <w:trHeight w:val="237"/>
            </w:trPr>
            <w:sdt>
              <w:sdtPr>
                <w:tag w:val="_PLD_159a64f22a4a4b1ab31846b4d6034c4c"/>
                <w:id w:val="-1104493264"/>
                <w:lock w:val="sdtLocked"/>
              </w:sdtPr>
              <w:sdtEndPr/>
              <w:sdtContent>
                <w:tc>
                  <w:tcPr>
                    <w:tcW w:w="764" w:type="pct"/>
                    <w:vMerge w:val="restart"/>
                    <w:vAlign w:val="center"/>
                  </w:tcPr>
                  <w:p w14:paraId="6D741D79" w14:textId="77777777" w:rsidR="00471D53" w:rsidRDefault="004F686E">
                    <w:pPr>
                      <w:jc w:val="center"/>
                      <w:rPr>
                        <w:szCs w:val="21"/>
                      </w:rPr>
                    </w:pPr>
                    <w:r>
                      <w:rPr>
                        <w:rFonts w:hint="eastAsia"/>
                        <w:szCs w:val="21"/>
                      </w:rPr>
                      <w:t>账龄</w:t>
                    </w:r>
                  </w:p>
                </w:tc>
              </w:sdtContent>
            </w:sdt>
            <w:sdt>
              <w:sdtPr>
                <w:tag w:val="_PLD_6ca82cba92a649d08c6ceb86dd951ef3"/>
                <w:id w:val="582957557"/>
                <w:lock w:val="sdtLocked"/>
              </w:sdtPr>
              <w:sdtEndPr/>
              <w:sdtContent>
                <w:tc>
                  <w:tcPr>
                    <w:tcW w:w="2118" w:type="pct"/>
                    <w:gridSpan w:val="2"/>
                    <w:vAlign w:val="center"/>
                  </w:tcPr>
                  <w:p w14:paraId="4D89295C" w14:textId="77777777" w:rsidR="00471D53" w:rsidRDefault="004F686E">
                    <w:pPr>
                      <w:jc w:val="center"/>
                      <w:rPr>
                        <w:szCs w:val="21"/>
                      </w:rPr>
                    </w:pPr>
                    <w:r>
                      <w:rPr>
                        <w:rFonts w:hint="eastAsia"/>
                        <w:szCs w:val="21"/>
                      </w:rPr>
                      <w:t>期末余额</w:t>
                    </w:r>
                  </w:p>
                </w:tc>
              </w:sdtContent>
            </w:sdt>
            <w:sdt>
              <w:sdtPr>
                <w:tag w:val="_PLD_365dab2f8fd246d79543ed0d2e6dcab7"/>
                <w:id w:val="-1172873212"/>
                <w:lock w:val="sdtLocked"/>
              </w:sdtPr>
              <w:sdtEndPr/>
              <w:sdtContent>
                <w:tc>
                  <w:tcPr>
                    <w:tcW w:w="2117" w:type="pct"/>
                    <w:gridSpan w:val="2"/>
                    <w:vAlign w:val="center"/>
                  </w:tcPr>
                  <w:p w14:paraId="4978A36A" w14:textId="77777777" w:rsidR="00471D53" w:rsidRDefault="004F686E">
                    <w:pPr>
                      <w:jc w:val="center"/>
                      <w:rPr>
                        <w:szCs w:val="21"/>
                      </w:rPr>
                    </w:pPr>
                    <w:r>
                      <w:rPr>
                        <w:rFonts w:hint="eastAsia"/>
                        <w:szCs w:val="21"/>
                      </w:rPr>
                      <w:t>期初余额</w:t>
                    </w:r>
                  </w:p>
                </w:tc>
              </w:sdtContent>
            </w:sdt>
          </w:tr>
          <w:tr w:rsidR="00471D53" w14:paraId="228A4237" w14:textId="77777777" w:rsidTr="00605CF2">
            <w:trPr>
              <w:cantSplit/>
            </w:trPr>
            <w:tc>
              <w:tcPr>
                <w:tcW w:w="764" w:type="pct"/>
                <w:vMerge/>
              </w:tcPr>
              <w:p w14:paraId="47AEB758" w14:textId="77777777" w:rsidR="00471D53" w:rsidRDefault="00B664AF">
                <w:pPr>
                  <w:rPr>
                    <w:szCs w:val="21"/>
                  </w:rPr>
                </w:pPr>
              </w:p>
            </w:tc>
            <w:sdt>
              <w:sdtPr>
                <w:tag w:val="_PLD_a9d7b721cfa446e9ae31149380da5970"/>
                <w:id w:val="-915475183"/>
                <w:lock w:val="sdtLocked"/>
              </w:sdtPr>
              <w:sdtEndPr/>
              <w:sdtContent>
                <w:tc>
                  <w:tcPr>
                    <w:tcW w:w="1063" w:type="pct"/>
                    <w:vAlign w:val="center"/>
                  </w:tcPr>
                  <w:p w14:paraId="14BC7B98" w14:textId="77777777" w:rsidR="00471D53" w:rsidRDefault="004F686E">
                    <w:pPr>
                      <w:jc w:val="center"/>
                      <w:rPr>
                        <w:szCs w:val="21"/>
                      </w:rPr>
                    </w:pPr>
                    <w:r>
                      <w:rPr>
                        <w:rFonts w:hint="eastAsia"/>
                        <w:szCs w:val="21"/>
                      </w:rPr>
                      <w:t>金额</w:t>
                    </w:r>
                  </w:p>
                </w:tc>
              </w:sdtContent>
            </w:sdt>
            <w:sdt>
              <w:sdtPr>
                <w:tag w:val="_PLD_2d8b8f523dcd4c95815b7c8fd528129d"/>
                <w:id w:val="70858722"/>
                <w:lock w:val="sdtLocked"/>
              </w:sdtPr>
              <w:sdtEndPr/>
              <w:sdtContent>
                <w:tc>
                  <w:tcPr>
                    <w:tcW w:w="1055" w:type="pct"/>
                    <w:vAlign w:val="center"/>
                  </w:tcPr>
                  <w:p w14:paraId="1A9002B5" w14:textId="77777777" w:rsidR="00471D53" w:rsidRDefault="004F686E">
                    <w:pPr>
                      <w:jc w:val="center"/>
                      <w:rPr>
                        <w:szCs w:val="21"/>
                      </w:rPr>
                    </w:pPr>
                    <w:r>
                      <w:rPr>
                        <w:rFonts w:hint="eastAsia"/>
                        <w:szCs w:val="21"/>
                      </w:rPr>
                      <w:t>比例</w:t>
                    </w:r>
                    <w:r>
                      <w:rPr>
                        <w:szCs w:val="21"/>
                      </w:rPr>
                      <w:t>(%)</w:t>
                    </w:r>
                  </w:p>
                </w:tc>
              </w:sdtContent>
            </w:sdt>
            <w:sdt>
              <w:sdtPr>
                <w:tag w:val="_PLD_f01816a56b3f4ec1a7d603d3ac318eb1"/>
                <w:id w:val="537785184"/>
                <w:lock w:val="sdtLocked"/>
              </w:sdtPr>
              <w:sdtEndPr/>
              <w:sdtContent>
                <w:tc>
                  <w:tcPr>
                    <w:tcW w:w="1054" w:type="pct"/>
                    <w:vAlign w:val="center"/>
                  </w:tcPr>
                  <w:p w14:paraId="1CFD475B" w14:textId="77777777" w:rsidR="00471D53" w:rsidRDefault="004F686E">
                    <w:pPr>
                      <w:jc w:val="center"/>
                      <w:rPr>
                        <w:szCs w:val="21"/>
                      </w:rPr>
                    </w:pPr>
                    <w:r>
                      <w:rPr>
                        <w:rFonts w:hint="eastAsia"/>
                        <w:szCs w:val="21"/>
                      </w:rPr>
                      <w:t>金额</w:t>
                    </w:r>
                  </w:p>
                </w:tc>
              </w:sdtContent>
            </w:sdt>
            <w:sdt>
              <w:sdtPr>
                <w:tag w:val="_PLD_55adcab5f9be4d24b3d0faaf5403e89a"/>
                <w:id w:val="442974451"/>
                <w:lock w:val="sdtLocked"/>
              </w:sdtPr>
              <w:sdtEndPr/>
              <w:sdtContent>
                <w:tc>
                  <w:tcPr>
                    <w:tcW w:w="1063" w:type="pct"/>
                    <w:vAlign w:val="center"/>
                  </w:tcPr>
                  <w:p w14:paraId="31F61A2F" w14:textId="77777777" w:rsidR="00471D53" w:rsidRDefault="004F686E">
                    <w:pPr>
                      <w:jc w:val="center"/>
                      <w:rPr>
                        <w:szCs w:val="21"/>
                      </w:rPr>
                    </w:pPr>
                    <w:r>
                      <w:rPr>
                        <w:rFonts w:hint="eastAsia"/>
                        <w:szCs w:val="21"/>
                      </w:rPr>
                      <w:t>比例</w:t>
                    </w:r>
                    <w:r>
                      <w:rPr>
                        <w:szCs w:val="21"/>
                      </w:rPr>
                      <w:t>(%)</w:t>
                    </w:r>
                  </w:p>
                </w:tc>
              </w:sdtContent>
            </w:sdt>
          </w:tr>
          <w:tr w:rsidR="00605CF2" w14:paraId="1A282371" w14:textId="77777777" w:rsidTr="00605CF2">
            <w:trPr>
              <w:cantSplit/>
            </w:trPr>
            <w:sdt>
              <w:sdtPr>
                <w:tag w:val="_PLD_26543d5743964e32ae30d0d46bd6131c"/>
                <w:id w:val="-111982293"/>
                <w:lock w:val="sdtLocked"/>
              </w:sdtPr>
              <w:sdtEndPr/>
              <w:sdtContent>
                <w:tc>
                  <w:tcPr>
                    <w:tcW w:w="764" w:type="pct"/>
                  </w:tcPr>
                  <w:p w14:paraId="2D1AF86C" w14:textId="77777777" w:rsidR="00605CF2" w:rsidRDefault="004F686E" w:rsidP="00605CF2">
                    <w:pPr>
                      <w:rPr>
                        <w:szCs w:val="21"/>
                      </w:rPr>
                    </w:pPr>
                    <w:r>
                      <w:rPr>
                        <w:rFonts w:hint="eastAsia"/>
                        <w:szCs w:val="21"/>
                      </w:rPr>
                      <w:t>1年以内</w:t>
                    </w:r>
                  </w:p>
                </w:tc>
              </w:sdtContent>
            </w:sdt>
            <w:tc>
              <w:tcPr>
                <w:tcW w:w="1063" w:type="pct"/>
                <w:vAlign w:val="center"/>
              </w:tcPr>
              <w:p w14:paraId="07A8701E" w14:textId="7D7FAB46" w:rsidR="00605CF2" w:rsidRDefault="004F686E" w:rsidP="00605CF2">
                <w:pPr>
                  <w:jc w:val="right"/>
                  <w:rPr>
                    <w:sz w:val="22"/>
                    <w:szCs w:val="22"/>
                  </w:rPr>
                </w:pPr>
                <w:r>
                  <w:t>48,342,903.92</w:t>
                </w:r>
              </w:p>
            </w:tc>
            <w:tc>
              <w:tcPr>
                <w:tcW w:w="1055" w:type="pct"/>
                <w:vAlign w:val="center"/>
              </w:tcPr>
              <w:p w14:paraId="63E1E6CB" w14:textId="4D3695ED" w:rsidR="00605CF2" w:rsidRDefault="004F686E" w:rsidP="00605CF2">
                <w:pPr>
                  <w:jc w:val="right"/>
                  <w:rPr>
                    <w:sz w:val="22"/>
                    <w:szCs w:val="22"/>
                  </w:rPr>
                </w:pPr>
                <w:r>
                  <w:t>88.42</w:t>
                </w:r>
              </w:p>
            </w:tc>
            <w:tc>
              <w:tcPr>
                <w:tcW w:w="1054" w:type="pct"/>
                <w:vAlign w:val="center"/>
              </w:tcPr>
              <w:p w14:paraId="6C5FE6EA" w14:textId="77777777" w:rsidR="00605CF2" w:rsidRDefault="004F686E" w:rsidP="00605CF2">
                <w:pPr>
                  <w:jc w:val="right"/>
                  <w:rPr>
                    <w:sz w:val="22"/>
                    <w:szCs w:val="22"/>
                  </w:rPr>
                </w:pPr>
                <w:r>
                  <w:rPr>
                    <w:rFonts w:cs="Calibri" w:hint="eastAsia"/>
                    <w:sz w:val="22"/>
                    <w:szCs w:val="22"/>
                  </w:rPr>
                  <w:t>59,311,543.73</w:t>
                </w:r>
              </w:p>
            </w:tc>
            <w:tc>
              <w:tcPr>
                <w:tcW w:w="1063" w:type="pct"/>
                <w:vAlign w:val="center"/>
              </w:tcPr>
              <w:p w14:paraId="362A91CD" w14:textId="0A94F4AA" w:rsidR="00605CF2" w:rsidRDefault="004F686E" w:rsidP="00605CF2">
                <w:pPr>
                  <w:jc w:val="right"/>
                  <w:rPr>
                    <w:sz w:val="22"/>
                    <w:szCs w:val="22"/>
                  </w:rPr>
                </w:pPr>
                <w:r>
                  <w:rPr>
                    <w:rFonts w:cs="Calibri" w:hint="eastAsia"/>
                    <w:sz w:val="22"/>
                    <w:szCs w:val="22"/>
                  </w:rPr>
                  <w:t>92.93</w:t>
                </w:r>
              </w:p>
            </w:tc>
          </w:tr>
          <w:tr w:rsidR="00605CF2" w14:paraId="25E47926" w14:textId="77777777" w:rsidTr="00605CF2">
            <w:trPr>
              <w:cantSplit/>
            </w:trPr>
            <w:sdt>
              <w:sdtPr>
                <w:tag w:val="_PLD_fa162d7579db4acd997484df51e51de6"/>
                <w:id w:val="1525059971"/>
                <w:lock w:val="sdtLocked"/>
              </w:sdtPr>
              <w:sdtEndPr/>
              <w:sdtContent>
                <w:tc>
                  <w:tcPr>
                    <w:tcW w:w="764" w:type="pct"/>
                  </w:tcPr>
                  <w:p w14:paraId="10E461D9" w14:textId="77777777" w:rsidR="00605CF2" w:rsidRDefault="004F686E" w:rsidP="00605CF2">
                    <w:pPr>
                      <w:rPr>
                        <w:szCs w:val="21"/>
                      </w:rPr>
                    </w:pPr>
                    <w:r>
                      <w:rPr>
                        <w:rFonts w:hint="eastAsia"/>
                        <w:szCs w:val="21"/>
                      </w:rPr>
                      <w:t>1至2年</w:t>
                    </w:r>
                  </w:p>
                </w:tc>
              </w:sdtContent>
            </w:sdt>
            <w:tc>
              <w:tcPr>
                <w:tcW w:w="1063" w:type="pct"/>
                <w:vAlign w:val="center"/>
              </w:tcPr>
              <w:p w14:paraId="1CF039BF" w14:textId="43AB497C" w:rsidR="00605CF2" w:rsidRDefault="004F686E" w:rsidP="00605CF2">
                <w:pPr>
                  <w:jc w:val="right"/>
                  <w:rPr>
                    <w:sz w:val="22"/>
                    <w:szCs w:val="22"/>
                  </w:rPr>
                </w:pPr>
                <w:r>
                  <w:t>5,315,768.43</w:t>
                </w:r>
              </w:p>
            </w:tc>
            <w:tc>
              <w:tcPr>
                <w:tcW w:w="1055" w:type="pct"/>
                <w:vAlign w:val="center"/>
              </w:tcPr>
              <w:p w14:paraId="46E418F2" w14:textId="2CFBC0E3" w:rsidR="00605CF2" w:rsidRDefault="004F686E" w:rsidP="00605CF2">
                <w:pPr>
                  <w:jc w:val="right"/>
                  <w:rPr>
                    <w:sz w:val="22"/>
                    <w:szCs w:val="22"/>
                  </w:rPr>
                </w:pPr>
                <w:r>
                  <w:t>9.72</w:t>
                </w:r>
              </w:p>
            </w:tc>
            <w:tc>
              <w:tcPr>
                <w:tcW w:w="1054" w:type="pct"/>
                <w:vAlign w:val="center"/>
              </w:tcPr>
              <w:p w14:paraId="379DDD79" w14:textId="77777777" w:rsidR="00605CF2" w:rsidRDefault="004F686E" w:rsidP="00605CF2">
                <w:pPr>
                  <w:jc w:val="right"/>
                  <w:rPr>
                    <w:sz w:val="22"/>
                    <w:szCs w:val="22"/>
                  </w:rPr>
                </w:pPr>
                <w:r>
                  <w:rPr>
                    <w:rFonts w:cs="Calibri" w:hint="eastAsia"/>
                    <w:sz w:val="22"/>
                    <w:szCs w:val="22"/>
                  </w:rPr>
                  <w:t>3,478,932.97</w:t>
                </w:r>
              </w:p>
            </w:tc>
            <w:tc>
              <w:tcPr>
                <w:tcW w:w="1063" w:type="pct"/>
                <w:vAlign w:val="center"/>
              </w:tcPr>
              <w:p w14:paraId="3E463177" w14:textId="0F7AC34D" w:rsidR="00605CF2" w:rsidRDefault="004F686E" w:rsidP="00605CF2">
                <w:pPr>
                  <w:jc w:val="right"/>
                  <w:rPr>
                    <w:sz w:val="22"/>
                    <w:szCs w:val="22"/>
                  </w:rPr>
                </w:pPr>
                <w:r>
                  <w:rPr>
                    <w:rFonts w:cs="Calibri" w:hint="eastAsia"/>
                    <w:sz w:val="22"/>
                    <w:szCs w:val="22"/>
                  </w:rPr>
                  <w:t>5.45</w:t>
                </w:r>
              </w:p>
            </w:tc>
          </w:tr>
          <w:tr w:rsidR="00471D53" w14:paraId="2586F9A2" w14:textId="77777777" w:rsidTr="00605CF2">
            <w:trPr>
              <w:cantSplit/>
            </w:trPr>
            <w:sdt>
              <w:sdtPr>
                <w:tag w:val="_PLD_43897a3965694d6691fcba6be58bfd88"/>
                <w:id w:val="-1108651806"/>
                <w:lock w:val="sdtLocked"/>
              </w:sdtPr>
              <w:sdtEndPr/>
              <w:sdtContent>
                <w:tc>
                  <w:tcPr>
                    <w:tcW w:w="764" w:type="pct"/>
                  </w:tcPr>
                  <w:p w14:paraId="49087541" w14:textId="77777777" w:rsidR="00471D53" w:rsidRDefault="004F686E">
                    <w:pPr>
                      <w:rPr>
                        <w:szCs w:val="21"/>
                      </w:rPr>
                    </w:pPr>
                    <w:r>
                      <w:rPr>
                        <w:rFonts w:hint="eastAsia"/>
                        <w:szCs w:val="21"/>
                      </w:rPr>
                      <w:t>2至3年</w:t>
                    </w:r>
                  </w:p>
                </w:tc>
              </w:sdtContent>
            </w:sdt>
            <w:tc>
              <w:tcPr>
                <w:tcW w:w="1063" w:type="pct"/>
                <w:vAlign w:val="center"/>
              </w:tcPr>
              <w:p w14:paraId="36880801" w14:textId="52573152" w:rsidR="00471D53" w:rsidRDefault="004F686E" w:rsidP="00471D53">
                <w:pPr>
                  <w:jc w:val="right"/>
                  <w:rPr>
                    <w:sz w:val="22"/>
                    <w:szCs w:val="22"/>
                  </w:rPr>
                </w:pPr>
                <w:r>
                  <w:rPr>
                    <w:rFonts w:hint="eastAsia"/>
                    <w:sz w:val="22"/>
                    <w:szCs w:val="22"/>
                  </w:rPr>
                  <w:t>432,005.98</w:t>
                </w:r>
              </w:p>
            </w:tc>
            <w:tc>
              <w:tcPr>
                <w:tcW w:w="1055" w:type="pct"/>
                <w:vAlign w:val="center"/>
              </w:tcPr>
              <w:p w14:paraId="1BA7D852" w14:textId="426EA9EB" w:rsidR="00471D53" w:rsidRDefault="004F686E" w:rsidP="00471D53">
                <w:pPr>
                  <w:jc w:val="right"/>
                  <w:rPr>
                    <w:sz w:val="22"/>
                    <w:szCs w:val="22"/>
                  </w:rPr>
                </w:pPr>
                <w:r>
                  <w:rPr>
                    <w:rFonts w:hint="eastAsia"/>
                    <w:sz w:val="22"/>
                    <w:szCs w:val="22"/>
                  </w:rPr>
                  <w:t>0.79</w:t>
                </w:r>
              </w:p>
            </w:tc>
            <w:tc>
              <w:tcPr>
                <w:tcW w:w="1054" w:type="pct"/>
                <w:vAlign w:val="center"/>
              </w:tcPr>
              <w:p w14:paraId="11227FFC" w14:textId="77777777" w:rsidR="00471D53" w:rsidRDefault="004F686E" w:rsidP="00471D53">
                <w:pPr>
                  <w:jc w:val="right"/>
                  <w:rPr>
                    <w:sz w:val="22"/>
                    <w:szCs w:val="22"/>
                  </w:rPr>
                </w:pPr>
                <w:r>
                  <w:rPr>
                    <w:rFonts w:cs="Calibri" w:hint="eastAsia"/>
                    <w:sz w:val="22"/>
                    <w:szCs w:val="22"/>
                  </w:rPr>
                  <w:t>777,108.53</w:t>
                </w:r>
              </w:p>
            </w:tc>
            <w:tc>
              <w:tcPr>
                <w:tcW w:w="1063" w:type="pct"/>
                <w:vAlign w:val="center"/>
              </w:tcPr>
              <w:p w14:paraId="739490E1" w14:textId="2A7986FF" w:rsidR="00471D53" w:rsidRDefault="004F686E" w:rsidP="00471D53">
                <w:pPr>
                  <w:jc w:val="right"/>
                  <w:rPr>
                    <w:sz w:val="22"/>
                    <w:szCs w:val="22"/>
                  </w:rPr>
                </w:pPr>
                <w:r>
                  <w:rPr>
                    <w:rFonts w:cs="Calibri" w:hint="eastAsia"/>
                    <w:sz w:val="22"/>
                    <w:szCs w:val="22"/>
                  </w:rPr>
                  <w:t>1.22</w:t>
                </w:r>
              </w:p>
            </w:tc>
          </w:tr>
          <w:tr w:rsidR="00471D53" w14:paraId="3B23A79B" w14:textId="77777777" w:rsidTr="00605CF2">
            <w:trPr>
              <w:cantSplit/>
            </w:trPr>
            <w:sdt>
              <w:sdtPr>
                <w:tag w:val="_PLD_bb596048f7e846139c705c6214cec5e4"/>
                <w:id w:val="1100674120"/>
                <w:lock w:val="sdtLocked"/>
              </w:sdtPr>
              <w:sdtEndPr/>
              <w:sdtContent>
                <w:tc>
                  <w:tcPr>
                    <w:tcW w:w="764" w:type="pct"/>
                  </w:tcPr>
                  <w:p w14:paraId="462372EC" w14:textId="77777777" w:rsidR="00471D53" w:rsidRDefault="004F686E">
                    <w:pPr>
                      <w:rPr>
                        <w:szCs w:val="21"/>
                      </w:rPr>
                    </w:pPr>
                    <w:r>
                      <w:rPr>
                        <w:rFonts w:hint="eastAsia"/>
                        <w:szCs w:val="21"/>
                      </w:rPr>
                      <w:t>3年以上</w:t>
                    </w:r>
                  </w:p>
                </w:tc>
              </w:sdtContent>
            </w:sdt>
            <w:tc>
              <w:tcPr>
                <w:tcW w:w="1063" w:type="pct"/>
                <w:vAlign w:val="center"/>
              </w:tcPr>
              <w:p w14:paraId="346311F9" w14:textId="195EE2C9" w:rsidR="00471D53" w:rsidRDefault="004F686E" w:rsidP="00471D53">
                <w:pPr>
                  <w:jc w:val="right"/>
                  <w:rPr>
                    <w:sz w:val="22"/>
                    <w:szCs w:val="22"/>
                  </w:rPr>
                </w:pPr>
                <w:r>
                  <w:rPr>
                    <w:rFonts w:hint="eastAsia"/>
                    <w:sz w:val="22"/>
                    <w:szCs w:val="22"/>
                  </w:rPr>
                  <w:t>585,446.24</w:t>
                </w:r>
              </w:p>
            </w:tc>
            <w:tc>
              <w:tcPr>
                <w:tcW w:w="1055" w:type="pct"/>
                <w:vAlign w:val="center"/>
              </w:tcPr>
              <w:p w14:paraId="57B55FFD" w14:textId="6A89FD70" w:rsidR="00471D53" w:rsidRDefault="004F686E" w:rsidP="00471D53">
                <w:pPr>
                  <w:jc w:val="right"/>
                  <w:rPr>
                    <w:sz w:val="22"/>
                    <w:szCs w:val="22"/>
                  </w:rPr>
                </w:pPr>
                <w:r>
                  <w:rPr>
                    <w:rFonts w:hint="eastAsia"/>
                    <w:sz w:val="22"/>
                    <w:szCs w:val="22"/>
                  </w:rPr>
                  <w:t>1.07</w:t>
                </w:r>
              </w:p>
            </w:tc>
            <w:tc>
              <w:tcPr>
                <w:tcW w:w="1054" w:type="pct"/>
                <w:vAlign w:val="center"/>
              </w:tcPr>
              <w:p w14:paraId="64304147" w14:textId="77777777" w:rsidR="00471D53" w:rsidRDefault="004F686E" w:rsidP="00471D53">
                <w:pPr>
                  <w:jc w:val="right"/>
                  <w:rPr>
                    <w:sz w:val="22"/>
                    <w:szCs w:val="22"/>
                  </w:rPr>
                </w:pPr>
                <w:r>
                  <w:rPr>
                    <w:rFonts w:cs="Calibri" w:hint="eastAsia"/>
                    <w:sz w:val="22"/>
                    <w:szCs w:val="22"/>
                  </w:rPr>
                  <w:t>253,449.60</w:t>
                </w:r>
              </w:p>
            </w:tc>
            <w:tc>
              <w:tcPr>
                <w:tcW w:w="1063" w:type="pct"/>
                <w:vAlign w:val="center"/>
              </w:tcPr>
              <w:p w14:paraId="2A452EDD" w14:textId="4ACC980A" w:rsidR="00471D53" w:rsidRDefault="004F686E" w:rsidP="00471D53">
                <w:pPr>
                  <w:jc w:val="right"/>
                  <w:rPr>
                    <w:sz w:val="22"/>
                    <w:szCs w:val="22"/>
                  </w:rPr>
                </w:pPr>
                <w:r>
                  <w:rPr>
                    <w:rFonts w:cs="Calibri" w:hint="eastAsia"/>
                    <w:sz w:val="22"/>
                    <w:szCs w:val="22"/>
                  </w:rPr>
                  <w:t>0.40</w:t>
                </w:r>
              </w:p>
            </w:tc>
          </w:tr>
          <w:tr w:rsidR="00471D53" w14:paraId="5BF42E23" w14:textId="77777777" w:rsidTr="00605CF2">
            <w:trPr>
              <w:cantSplit/>
            </w:trPr>
            <w:sdt>
              <w:sdtPr>
                <w:tag w:val="_PLD_773a38e1adc44faa97354ca876a6da1b"/>
                <w:id w:val="-709340338"/>
                <w:lock w:val="sdtLocked"/>
              </w:sdtPr>
              <w:sdtEndPr/>
              <w:sdtContent>
                <w:tc>
                  <w:tcPr>
                    <w:tcW w:w="764" w:type="pct"/>
                  </w:tcPr>
                  <w:p w14:paraId="61E1BE8C" w14:textId="77777777" w:rsidR="00471D53" w:rsidRDefault="004F686E">
                    <w:pPr>
                      <w:jc w:val="center"/>
                      <w:rPr>
                        <w:szCs w:val="21"/>
                      </w:rPr>
                    </w:pPr>
                    <w:r>
                      <w:rPr>
                        <w:rFonts w:hint="eastAsia"/>
                        <w:szCs w:val="21"/>
                      </w:rPr>
                      <w:t>合计</w:t>
                    </w:r>
                  </w:p>
                </w:tc>
              </w:sdtContent>
            </w:sdt>
            <w:tc>
              <w:tcPr>
                <w:tcW w:w="1063" w:type="pct"/>
                <w:vAlign w:val="center"/>
              </w:tcPr>
              <w:p w14:paraId="56DB25B8" w14:textId="4018D89C" w:rsidR="00471D53" w:rsidRPr="007E52A0" w:rsidRDefault="004F686E" w:rsidP="00471D53">
                <w:pPr>
                  <w:jc w:val="right"/>
                  <w:rPr>
                    <w:sz w:val="22"/>
                    <w:szCs w:val="22"/>
                  </w:rPr>
                </w:pPr>
                <w:r w:rsidRPr="007E52A0">
                  <w:rPr>
                    <w:rFonts w:hint="eastAsia"/>
                    <w:sz w:val="22"/>
                    <w:szCs w:val="22"/>
                  </w:rPr>
                  <w:t>54,676,124.57</w:t>
                </w:r>
              </w:p>
            </w:tc>
            <w:tc>
              <w:tcPr>
                <w:tcW w:w="1055" w:type="pct"/>
                <w:vAlign w:val="center"/>
              </w:tcPr>
              <w:p w14:paraId="3042EBC5" w14:textId="2CC20789" w:rsidR="00471D53" w:rsidRPr="007E52A0" w:rsidRDefault="004F686E" w:rsidP="00471D53">
                <w:pPr>
                  <w:jc w:val="right"/>
                  <w:rPr>
                    <w:sz w:val="22"/>
                    <w:szCs w:val="22"/>
                  </w:rPr>
                </w:pPr>
                <w:r w:rsidRPr="007E52A0">
                  <w:rPr>
                    <w:rFonts w:hint="eastAsia"/>
                    <w:sz w:val="22"/>
                    <w:szCs w:val="22"/>
                  </w:rPr>
                  <w:t>100.00</w:t>
                </w:r>
              </w:p>
            </w:tc>
            <w:tc>
              <w:tcPr>
                <w:tcW w:w="1054" w:type="pct"/>
                <w:vAlign w:val="center"/>
              </w:tcPr>
              <w:p w14:paraId="125BBBF0" w14:textId="77777777" w:rsidR="00471D53" w:rsidRPr="007E52A0" w:rsidRDefault="004F686E" w:rsidP="00471D53">
                <w:pPr>
                  <w:jc w:val="right"/>
                  <w:rPr>
                    <w:sz w:val="22"/>
                    <w:szCs w:val="22"/>
                  </w:rPr>
                </w:pPr>
                <w:r w:rsidRPr="007E52A0">
                  <w:rPr>
                    <w:rFonts w:cs="Calibri" w:hint="eastAsia"/>
                    <w:bCs/>
                    <w:sz w:val="22"/>
                    <w:szCs w:val="22"/>
                  </w:rPr>
                  <w:t>63,821,034.83</w:t>
                </w:r>
              </w:p>
            </w:tc>
            <w:tc>
              <w:tcPr>
                <w:tcW w:w="1063" w:type="pct"/>
                <w:vAlign w:val="center"/>
              </w:tcPr>
              <w:p w14:paraId="644591B8" w14:textId="2AA7EA5D" w:rsidR="00471D53" w:rsidRPr="007E52A0" w:rsidRDefault="004F686E" w:rsidP="00471D53">
                <w:pPr>
                  <w:jc w:val="right"/>
                  <w:rPr>
                    <w:sz w:val="22"/>
                    <w:szCs w:val="22"/>
                  </w:rPr>
                </w:pPr>
                <w:r w:rsidRPr="007E52A0">
                  <w:rPr>
                    <w:rFonts w:cs="Calibri" w:hint="eastAsia"/>
                    <w:bCs/>
                    <w:sz w:val="22"/>
                    <w:szCs w:val="22"/>
                  </w:rPr>
                  <w:t>100.00</w:t>
                </w:r>
              </w:p>
            </w:tc>
          </w:tr>
        </w:tbl>
        <w:p w14:paraId="419ADCF1" w14:textId="77777777" w:rsidR="00471D53" w:rsidRDefault="004F686E">
          <w:pPr>
            <w:rPr>
              <w:szCs w:val="21"/>
            </w:rPr>
          </w:pPr>
          <w:r>
            <w:rPr>
              <w:rFonts w:hint="eastAsia"/>
              <w:szCs w:val="21"/>
            </w:rPr>
            <w:t>账龄超过1年且金额重要的预付款项未及时结算原因</w:t>
          </w:r>
          <w:r>
            <w:rPr>
              <w:szCs w:val="21"/>
            </w:rPr>
            <w:t>的说明：</w:t>
          </w:r>
        </w:p>
        <w:sdt>
          <w:sdtPr>
            <w:rPr>
              <w:szCs w:val="21"/>
            </w:rPr>
            <w:alias w:val="账龄超过1年且金额重要的预付款项未及时结算原因的说明"/>
            <w:tag w:val="_GBC_174a9654172e49e09cdbf18d854fdd51"/>
            <w:id w:val="748543725"/>
            <w:lock w:val="sdtLocked"/>
            <w:placeholder>
              <w:docPart w:val="GBC22222222222222222222222222222"/>
            </w:placeholder>
          </w:sdtPr>
          <w:sdtEndPr/>
          <w:sdtContent>
            <w:p w14:paraId="6D1AD66D" w14:textId="77777777" w:rsidR="00471D53" w:rsidRDefault="004F686E" w:rsidP="00471D53">
              <w:pPr>
                <w:tabs>
                  <w:tab w:val="left" w:pos="900"/>
                  <w:tab w:val="left" w:pos="1000"/>
                  <w:tab w:val="left" w:pos="1100"/>
                </w:tabs>
                <w:spacing w:beforeLines="50" w:before="120" w:afterLines="50" w:after="120" w:line="360" w:lineRule="exact"/>
                <w:ind w:firstLineChars="200" w:firstLine="420"/>
                <w:jc w:val="both"/>
                <w:outlineLvl w:val="2"/>
                <w:rPr>
                  <w:sz w:val="22"/>
                  <w:szCs w:val="22"/>
                </w:rPr>
              </w:pPr>
              <w:r>
                <w:rPr>
                  <w:rFonts w:hint="eastAsia"/>
                  <w:sz w:val="22"/>
                  <w:szCs w:val="22"/>
                </w:rPr>
                <w:t>账龄超过一年的预付款项未结算的原因主要为尚未完成采购。</w:t>
              </w:r>
            </w:p>
            <w:p w14:paraId="39A0FB60" w14:textId="77777777" w:rsidR="00471D53" w:rsidRDefault="00B664AF">
              <w:pPr>
                <w:snapToGrid w:val="0"/>
                <w:spacing w:line="240" w:lineRule="atLeast"/>
                <w:rPr>
                  <w:szCs w:val="21"/>
                </w:rPr>
              </w:pPr>
            </w:p>
          </w:sdtContent>
        </w:sdt>
      </w:sdtContent>
    </w:sdt>
    <w:p w14:paraId="58C379CF" w14:textId="77777777" w:rsidR="00471D53" w:rsidRDefault="00B664AF">
      <w:pPr>
        <w:rPr>
          <w:szCs w:val="21"/>
        </w:rPr>
      </w:pPr>
    </w:p>
    <w:sdt>
      <w:sdtPr>
        <w:rPr>
          <w:rFonts w:ascii="宋体" w:hAnsi="宋体" w:cs="宋体" w:hint="eastAsia"/>
          <w:b w:val="0"/>
          <w:bCs w:val="0"/>
          <w:kern w:val="0"/>
          <w:szCs w:val="24"/>
        </w:rPr>
        <w:alias w:val="模块:预付款项金额前五名单位情况"/>
        <w:tag w:val="_GBC_2c5fba8651a04a6d88c0c9fc33310c57"/>
        <w:id w:val="-1032269617"/>
        <w:lock w:val="sdtLocked"/>
        <w:placeholder>
          <w:docPart w:val="GBC22222222222222222222222222222"/>
        </w:placeholder>
      </w:sdtPr>
      <w:sdtEndPr/>
      <w:sdtContent>
        <w:p w14:paraId="5E24D78F" w14:textId="77777777" w:rsidR="00471D53" w:rsidRDefault="004F686E" w:rsidP="004F686E">
          <w:pPr>
            <w:pStyle w:val="afffff8"/>
            <w:numPr>
              <w:ilvl w:val="0"/>
              <w:numId w:val="61"/>
            </w:numPr>
            <w:tabs>
              <w:tab w:val="left" w:pos="616"/>
            </w:tabs>
            <w:snapToGrid w:val="0"/>
            <w:spacing w:line="240" w:lineRule="atLeast"/>
            <w:jc w:val="left"/>
            <w:rPr>
              <w:rFonts w:ascii="宋体" w:hAnsi="宋体"/>
              <w:szCs w:val="21"/>
            </w:rPr>
          </w:pPr>
          <w:r>
            <w:rPr>
              <w:rFonts w:ascii="宋体" w:hAnsi="宋体" w:hint="eastAsia"/>
            </w:rPr>
            <w:t>按预付对象归集的期末余额前五名的预付款情况</w:t>
          </w:r>
        </w:p>
        <w:sdt>
          <w:sdtPr>
            <w:rPr>
              <w:rFonts w:hint="eastAsia"/>
              <w:szCs w:val="21"/>
            </w:rPr>
            <w:alias w:val="是否适用：按预付对象归集的期末余额前五名的预付款情况[双击切换]"/>
            <w:tag w:val="_GBC_a1864f04af6d49bdb434d74a7f29f8c3"/>
            <w:id w:val="1895241815"/>
            <w:lock w:val="sdtLocked"/>
            <w:placeholder>
              <w:docPart w:val="GBC22222222222222222222222222222"/>
            </w:placeholder>
          </w:sdtPr>
          <w:sdtEndPr/>
          <w:sdtContent>
            <w:p w14:paraId="466E6F3A" w14:textId="77777777" w:rsidR="00471D53" w:rsidRDefault="004F686E">
              <w:pPr>
                <w:snapToGrid w:val="0"/>
                <w:spacing w:line="240" w:lineRule="atLeast"/>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按预付对象归集的期末余额前五名的预付款情况的说明"/>
            <w:tag w:val="_GBC_e2f1aa285f174786838e4fcd54656fec"/>
            <w:id w:val="323858935"/>
            <w:lock w:val="sdtLocked"/>
            <w:placeholder>
              <w:docPart w:val="GBC22222222222222222222222222222"/>
            </w:placeholder>
          </w:sdtPr>
          <w:sdtEndPr/>
          <w:sdtContent>
            <w:p w14:paraId="7B7CFB34" w14:textId="77777777" w:rsidR="00471D53" w:rsidRDefault="00B664AF">
              <w:pPr>
                <w:snapToGrid w:val="0"/>
                <w:spacing w:line="240" w:lineRule="atLeast"/>
                <w:rPr>
                  <w:szCs w:val="21"/>
                </w:rPr>
              </w:pPr>
            </w:p>
            <w:tbl>
              <w:tblPr>
                <w:tblStyle w:val="g4"/>
                <w:tblW w:w="5000" w:type="pct"/>
                <w:jc w:val="center"/>
                <w:tblBorders>
                  <w:top w:val="double" w:sz="4" w:space="0" w:color="auto"/>
                  <w:bottom w:val="double" w:sz="4" w:space="0" w:color="auto"/>
                  <w:insideH w:val="single" w:sz="2" w:space="0" w:color="auto"/>
                  <w:insideV w:val="single" w:sz="2" w:space="0" w:color="auto"/>
                </w:tblBorders>
                <w:tblLook w:val="0000" w:firstRow="0" w:lastRow="0" w:firstColumn="0" w:lastColumn="0" w:noHBand="0" w:noVBand="0"/>
              </w:tblPr>
              <w:tblGrid>
                <w:gridCol w:w="3073"/>
                <w:gridCol w:w="1696"/>
                <w:gridCol w:w="1979"/>
                <w:gridCol w:w="2085"/>
              </w:tblGrid>
              <w:tr w:rsidR="00471D53" w:rsidRPr="008464E3" w14:paraId="7A94A81A" w14:textId="77777777" w:rsidTr="00471D53">
                <w:trPr>
                  <w:cantSplit/>
                  <w:trHeight w:val="340"/>
                  <w:tblHeader/>
                  <w:jc w:val="center"/>
                </w:trPr>
                <w:tc>
                  <w:tcPr>
                    <w:tcW w:w="1740" w:type="pct"/>
                    <w:vAlign w:val="center"/>
                  </w:tcPr>
                  <w:p w14:paraId="04BDE2DE" w14:textId="77777777" w:rsidR="00471D53" w:rsidRPr="008464E3" w:rsidRDefault="004F686E" w:rsidP="00471D53">
                    <w:pPr>
                      <w:jc w:val="both"/>
                      <w:rPr>
                        <w:b/>
                        <w:spacing w:val="-4"/>
                        <w:sz w:val="22"/>
                        <w:szCs w:val="22"/>
                      </w:rPr>
                    </w:pPr>
                    <w:r w:rsidRPr="008464E3">
                      <w:rPr>
                        <w:rFonts w:hint="eastAsia"/>
                        <w:b/>
                        <w:spacing w:val="-4"/>
                        <w:sz w:val="22"/>
                        <w:szCs w:val="22"/>
                      </w:rPr>
                      <w:t>单位名称</w:t>
                    </w:r>
                  </w:p>
                </w:tc>
                <w:tc>
                  <w:tcPr>
                    <w:tcW w:w="960" w:type="pct"/>
                    <w:vAlign w:val="center"/>
                  </w:tcPr>
                  <w:p w14:paraId="03B5248F" w14:textId="77777777" w:rsidR="00471D53" w:rsidRPr="008464E3" w:rsidRDefault="004F686E" w:rsidP="00471D53">
                    <w:pPr>
                      <w:jc w:val="center"/>
                      <w:rPr>
                        <w:b/>
                        <w:spacing w:val="-4"/>
                        <w:sz w:val="22"/>
                        <w:szCs w:val="22"/>
                      </w:rPr>
                    </w:pPr>
                    <w:r w:rsidRPr="008464E3">
                      <w:rPr>
                        <w:rFonts w:hint="eastAsia"/>
                        <w:b/>
                        <w:spacing w:val="-4"/>
                        <w:sz w:val="22"/>
                        <w:szCs w:val="22"/>
                      </w:rPr>
                      <w:t>期末余额</w:t>
                    </w:r>
                  </w:p>
                </w:tc>
                <w:tc>
                  <w:tcPr>
                    <w:tcW w:w="1120" w:type="pct"/>
                    <w:vAlign w:val="center"/>
                  </w:tcPr>
                  <w:p w14:paraId="5748477B" w14:textId="77777777" w:rsidR="00471D53" w:rsidRPr="008464E3" w:rsidRDefault="004F686E" w:rsidP="00471D53">
                    <w:pPr>
                      <w:jc w:val="center"/>
                      <w:rPr>
                        <w:b/>
                        <w:spacing w:val="-4"/>
                        <w:sz w:val="22"/>
                        <w:szCs w:val="22"/>
                      </w:rPr>
                    </w:pPr>
                    <w:r w:rsidRPr="008464E3">
                      <w:rPr>
                        <w:rFonts w:hint="eastAsia"/>
                        <w:b/>
                        <w:spacing w:val="-4"/>
                        <w:sz w:val="22"/>
                        <w:szCs w:val="22"/>
                      </w:rPr>
                      <w:t>账龄</w:t>
                    </w:r>
                  </w:p>
                </w:tc>
                <w:tc>
                  <w:tcPr>
                    <w:tcW w:w="1180" w:type="pct"/>
                    <w:vAlign w:val="center"/>
                  </w:tcPr>
                  <w:p w14:paraId="0AEB291B" w14:textId="77777777" w:rsidR="00471D53" w:rsidRPr="008464E3" w:rsidRDefault="004F686E" w:rsidP="00471D53">
                    <w:pPr>
                      <w:jc w:val="center"/>
                      <w:rPr>
                        <w:b/>
                        <w:spacing w:val="-4"/>
                        <w:sz w:val="22"/>
                        <w:szCs w:val="22"/>
                      </w:rPr>
                    </w:pPr>
                    <w:r w:rsidRPr="008464E3">
                      <w:rPr>
                        <w:rFonts w:hint="eastAsia"/>
                        <w:b/>
                        <w:spacing w:val="-4"/>
                        <w:sz w:val="22"/>
                        <w:szCs w:val="22"/>
                      </w:rPr>
                      <w:t>占预付款项期末余额合计数的比例</w:t>
                    </w:r>
                    <w:r w:rsidRPr="008464E3">
                      <w:rPr>
                        <w:b/>
                        <w:spacing w:val="-4"/>
                        <w:sz w:val="22"/>
                        <w:szCs w:val="22"/>
                      </w:rPr>
                      <w:t>(%)</w:t>
                    </w:r>
                  </w:p>
                </w:tc>
              </w:tr>
              <w:tr w:rsidR="00471D53" w:rsidRPr="008464E3" w14:paraId="23E74D05" w14:textId="77777777" w:rsidTr="00471D53">
                <w:trPr>
                  <w:cantSplit/>
                  <w:trHeight w:val="340"/>
                  <w:jc w:val="center"/>
                </w:trPr>
                <w:tc>
                  <w:tcPr>
                    <w:tcW w:w="1740" w:type="pct"/>
                    <w:vAlign w:val="center"/>
                  </w:tcPr>
                  <w:p w14:paraId="3401EF99" w14:textId="77777777" w:rsidR="00471D53" w:rsidRPr="008464E3" w:rsidRDefault="004F686E" w:rsidP="00471D53">
                    <w:pPr>
                      <w:jc w:val="both"/>
                      <w:rPr>
                        <w:spacing w:val="-4"/>
                        <w:sz w:val="22"/>
                        <w:szCs w:val="22"/>
                      </w:rPr>
                    </w:pPr>
                    <w:r w:rsidRPr="008464E3">
                      <w:rPr>
                        <w:rFonts w:hint="eastAsia"/>
                        <w:spacing w:val="-4"/>
                        <w:sz w:val="22"/>
                        <w:szCs w:val="22"/>
                      </w:rPr>
                      <w:t>天津钢管钢铁贸易有限公司</w:t>
                    </w:r>
                  </w:p>
                </w:tc>
                <w:tc>
                  <w:tcPr>
                    <w:tcW w:w="960" w:type="pct"/>
                    <w:vAlign w:val="center"/>
                  </w:tcPr>
                  <w:p w14:paraId="495187B0" w14:textId="77777777" w:rsidR="00471D53" w:rsidRPr="008464E3" w:rsidRDefault="004F686E" w:rsidP="00471D53">
                    <w:pPr>
                      <w:jc w:val="right"/>
                      <w:rPr>
                        <w:rFonts w:cs="Calibri"/>
                        <w:spacing w:val="-4"/>
                        <w:sz w:val="22"/>
                        <w:szCs w:val="22"/>
                      </w:rPr>
                    </w:pPr>
                    <w:r w:rsidRPr="008464E3">
                      <w:rPr>
                        <w:rFonts w:cs="Calibri"/>
                        <w:spacing w:val="-4"/>
                        <w:sz w:val="22"/>
                        <w:szCs w:val="22"/>
                      </w:rPr>
                      <w:t>5,959,054.34</w:t>
                    </w:r>
                  </w:p>
                </w:tc>
                <w:tc>
                  <w:tcPr>
                    <w:tcW w:w="1120" w:type="pct"/>
                    <w:vAlign w:val="center"/>
                  </w:tcPr>
                  <w:p w14:paraId="57CF533D" w14:textId="77777777" w:rsidR="00471D53" w:rsidRPr="008464E3" w:rsidRDefault="004F686E" w:rsidP="00471D53">
                    <w:pPr>
                      <w:jc w:val="center"/>
                      <w:rPr>
                        <w:spacing w:val="-4"/>
                        <w:sz w:val="22"/>
                        <w:szCs w:val="22"/>
                      </w:rPr>
                    </w:pPr>
                    <w:r>
                      <w:rPr>
                        <w:rFonts w:hint="eastAsia"/>
                        <w:spacing w:val="-4"/>
                        <w:sz w:val="22"/>
                        <w:szCs w:val="22"/>
                      </w:rPr>
                      <w:t>一</w:t>
                    </w:r>
                    <w:r w:rsidRPr="008464E3">
                      <w:rPr>
                        <w:spacing w:val="-4"/>
                        <w:sz w:val="22"/>
                        <w:szCs w:val="22"/>
                      </w:rPr>
                      <w:t>年以内</w:t>
                    </w:r>
                  </w:p>
                </w:tc>
                <w:tc>
                  <w:tcPr>
                    <w:tcW w:w="1180" w:type="pct"/>
                    <w:vAlign w:val="center"/>
                  </w:tcPr>
                  <w:p w14:paraId="47B91F01" w14:textId="77777777" w:rsidR="00471D53" w:rsidRPr="008464E3" w:rsidRDefault="004F686E" w:rsidP="00471D53">
                    <w:pPr>
                      <w:jc w:val="right"/>
                      <w:textAlignment w:val="center"/>
                      <w:rPr>
                        <w:spacing w:val="-4"/>
                        <w:sz w:val="22"/>
                        <w:szCs w:val="22"/>
                      </w:rPr>
                    </w:pPr>
                    <w:r w:rsidRPr="008464E3">
                      <w:rPr>
                        <w:spacing w:val="-4"/>
                        <w:sz w:val="22"/>
                        <w:szCs w:val="22"/>
                      </w:rPr>
                      <w:t>10.90</w:t>
                    </w:r>
                  </w:p>
                </w:tc>
              </w:tr>
              <w:tr w:rsidR="00471D53" w:rsidRPr="008464E3" w14:paraId="5D7B98E3" w14:textId="77777777" w:rsidTr="00471D53">
                <w:trPr>
                  <w:cantSplit/>
                  <w:trHeight w:val="340"/>
                  <w:jc w:val="center"/>
                </w:trPr>
                <w:tc>
                  <w:tcPr>
                    <w:tcW w:w="1740" w:type="pct"/>
                    <w:vAlign w:val="center"/>
                  </w:tcPr>
                  <w:p w14:paraId="7B82829E" w14:textId="77777777" w:rsidR="00471D53" w:rsidRPr="008464E3" w:rsidRDefault="004F686E" w:rsidP="00471D53">
                    <w:pPr>
                      <w:jc w:val="both"/>
                      <w:rPr>
                        <w:spacing w:val="-4"/>
                        <w:sz w:val="22"/>
                        <w:szCs w:val="22"/>
                      </w:rPr>
                    </w:pPr>
                    <w:r w:rsidRPr="008464E3">
                      <w:rPr>
                        <w:rFonts w:hint="eastAsia"/>
                        <w:spacing w:val="-4"/>
                        <w:sz w:val="22"/>
                        <w:szCs w:val="22"/>
                      </w:rPr>
                      <w:t>中复神鹰碳纤维西宁有限公司</w:t>
                    </w:r>
                  </w:p>
                </w:tc>
                <w:tc>
                  <w:tcPr>
                    <w:tcW w:w="960" w:type="pct"/>
                    <w:vAlign w:val="center"/>
                  </w:tcPr>
                  <w:p w14:paraId="58D9E461" w14:textId="77777777" w:rsidR="00471D53" w:rsidRPr="008464E3" w:rsidRDefault="004F686E" w:rsidP="00471D53">
                    <w:pPr>
                      <w:jc w:val="right"/>
                      <w:rPr>
                        <w:rFonts w:cs="Calibri"/>
                        <w:spacing w:val="-4"/>
                        <w:sz w:val="22"/>
                        <w:szCs w:val="22"/>
                      </w:rPr>
                    </w:pPr>
                    <w:r w:rsidRPr="008464E3">
                      <w:rPr>
                        <w:rFonts w:cs="Calibri"/>
                        <w:spacing w:val="-4"/>
                        <w:sz w:val="22"/>
                        <w:szCs w:val="22"/>
                      </w:rPr>
                      <w:t>3,803,040.00</w:t>
                    </w:r>
                  </w:p>
                </w:tc>
                <w:tc>
                  <w:tcPr>
                    <w:tcW w:w="1120" w:type="pct"/>
                    <w:vAlign w:val="center"/>
                  </w:tcPr>
                  <w:p w14:paraId="3A1B362E" w14:textId="77777777" w:rsidR="00471D53" w:rsidRPr="008464E3" w:rsidRDefault="004F686E" w:rsidP="00471D53">
                    <w:pPr>
                      <w:jc w:val="center"/>
                      <w:rPr>
                        <w:spacing w:val="-4"/>
                        <w:sz w:val="22"/>
                        <w:szCs w:val="22"/>
                      </w:rPr>
                    </w:pPr>
                    <w:r>
                      <w:rPr>
                        <w:rFonts w:hint="eastAsia"/>
                        <w:spacing w:val="-4"/>
                        <w:sz w:val="22"/>
                        <w:szCs w:val="22"/>
                      </w:rPr>
                      <w:t>一</w:t>
                    </w:r>
                    <w:r w:rsidRPr="008464E3">
                      <w:rPr>
                        <w:spacing w:val="-4"/>
                        <w:sz w:val="22"/>
                        <w:szCs w:val="22"/>
                      </w:rPr>
                      <w:t>年以内</w:t>
                    </w:r>
                  </w:p>
                </w:tc>
                <w:tc>
                  <w:tcPr>
                    <w:tcW w:w="1180" w:type="pct"/>
                    <w:vAlign w:val="center"/>
                  </w:tcPr>
                  <w:p w14:paraId="40FA4D7D" w14:textId="77777777" w:rsidR="00471D53" w:rsidRPr="008464E3" w:rsidRDefault="004F686E" w:rsidP="00471D53">
                    <w:pPr>
                      <w:jc w:val="right"/>
                      <w:textAlignment w:val="center"/>
                      <w:rPr>
                        <w:spacing w:val="-4"/>
                        <w:sz w:val="22"/>
                        <w:szCs w:val="22"/>
                      </w:rPr>
                    </w:pPr>
                    <w:r w:rsidRPr="008464E3">
                      <w:rPr>
                        <w:spacing w:val="-4"/>
                        <w:sz w:val="22"/>
                        <w:szCs w:val="22"/>
                      </w:rPr>
                      <w:t>6.96</w:t>
                    </w:r>
                  </w:p>
                </w:tc>
              </w:tr>
              <w:tr w:rsidR="00471D53" w:rsidRPr="008464E3" w14:paraId="3D6ECE6F" w14:textId="77777777" w:rsidTr="00471D53">
                <w:trPr>
                  <w:cantSplit/>
                  <w:trHeight w:val="340"/>
                  <w:jc w:val="center"/>
                </w:trPr>
                <w:tc>
                  <w:tcPr>
                    <w:tcW w:w="1740" w:type="pct"/>
                    <w:vAlign w:val="center"/>
                  </w:tcPr>
                  <w:p w14:paraId="69A52C8E" w14:textId="77777777" w:rsidR="00471D53" w:rsidRPr="008464E3" w:rsidRDefault="004F686E" w:rsidP="00471D53">
                    <w:pPr>
                      <w:jc w:val="both"/>
                      <w:rPr>
                        <w:spacing w:val="-4"/>
                        <w:sz w:val="22"/>
                        <w:szCs w:val="22"/>
                      </w:rPr>
                    </w:pPr>
                    <w:r w:rsidRPr="008464E3">
                      <w:rPr>
                        <w:rFonts w:hint="eastAsia"/>
                        <w:spacing w:val="-4"/>
                        <w:sz w:val="22"/>
                        <w:szCs w:val="22"/>
                      </w:rPr>
                      <w:t>本溪瑞鑫赢钢铁贸易有限公司</w:t>
                    </w:r>
                  </w:p>
                </w:tc>
                <w:tc>
                  <w:tcPr>
                    <w:tcW w:w="960" w:type="pct"/>
                    <w:vAlign w:val="center"/>
                  </w:tcPr>
                  <w:p w14:paraId="00AB399A" w14:textId="77777777" w:rsidR="00471D53" w:rsidRPr="008464E3" w:rsidRDefault="004F686E" w:rsidP="00471D53">
                    <w:pPr>
                      <w:jc w:val="right"/>
                      <w:rPr>
                        <w:rFonts w:cs="Calibri"/>
                        <w:spacing w:val="-4"/>
                        <w:sz w:val="22"/>
                        <w:szCs w:val="22"/>
                      </w:rPr>
                    </w:pPr>
                    <w:r w:rsidRPr="008464E3">
                      <w:rPr>
                        <w:rFonts w:cs="Calibri"/>
                        <w:spacing w:val="-4"/>
                        <w:sz w:val="22"/>
                        <w:szCs w:val="22"/>
                      </w:rPr>
                      <w:t>2,125,630.16</w:t>
                    </w:r>
                  </w:p>
                </w:tc>
                <w:tc>
                  <w:tcPr>
                    <w:tcW w:w="1120" w:type="pct"/>
                    <w:vAlign w:val="center"/>
                  </w:tcPr>
                  <w:p w14:paraId="43CD7FA5" w14:textId="77777777" w:rsidR="00471D53" w:rsidRPr="008464E3" w:rsidRDefault="004F686E" w:rsidP="00471D53">
                    <w:pPr>
                      <w:jc w:val="center"/>
                      <w:rPr>
                        <w:spacing w:val="-4"/>
                        <w:sz w:val="22"/>
                        <w:szCs w:val="22"/>
                      </w:rPr>
                    </w:pPr>
                    <w:r>
                      <w:rPr>
                        <w:rFonts w:hint="eastAsia"/>
                        <w:spacing w:val="-4"/>
                        <w:sz w:val="22"/>
                        <w:szCs w:val="22"/>
                      </w:rPr>
                      <w:t>一</w:t>
                    </w:r>
                    <w:r w:rsidRPr="008464E3">
                      <w:rPr>
                        <w:spacing w:val="-4"/>
                        <w:sz w:val="22"/>
                        <w:szCs w:val="22"/>
                      </w:rPr>
                      <w:t>年以内</w:t>
                    </w:r>
                  </w:p>
                </w:tc>
                <w:tc>
                  <w:tcPr>
                    <w:tcW w:w="1180" w:type="pct"/>
                    <w:vAlign w:val="center"/>
                  </w:tcPr>
                  <w:p w14:paraId="3DA6A759" w14:textId="77777777" w:rsidR="00471D53" w:rsidRPr="008464E3" w:rsidRDefault="004F686E" w:rsidP="00471D53">
                    <w:pPr>
                      <w:jc w:val="right"/>
                      <w:textAlignment w:val="center"/>
                      <w:rPr>
                        <w:spacing w:val="-4"/>
                        <w:sz w:val="22"/>
                        <w:szCs w:val="22"/>
                      </w:rPr>
                    </w:pPr>
                    <w:r w:rsidRPr="008464E3">
                      <w:rPr>
                        <w:spacing w:val="-4"/>
                        <w:sz w:val="22"/>
                        <w:szCs w:val="22"/>
                      </w:rPr>
                      <w:t>3.89</w:t>
                    </w:r>
                  </w:p>
                </w:tc>
              </w:tr>
              <w:tr w:rsidR="00471D53" w:rsidRPr="008464E3" w14:paraId="35F0BEA5" w14:textId="77777777" w:rsidTr="00471D53">
                <w:trPr>
                  <w:cantSplit/>
                  <w:trHeight w:val="340"/>
                  <w:jc w:val="center"/>
                </w:trPr>
                <w:tc>
                  <w:tcPr>
                    <w:tcW w:w="1740" w:type="pct"/>
                    <w:vAlign w:val="center"/>
                  </w:tcPr>
                  <w:p w14:paraId="5EF24EA4" w14:textId="77777777" w:rsidR="00471D53" w:rsidRPr="008464E3" w:rsidRDefault="004F686E" w:rsidP="00471D53">
                    <w:pPr>
                      <w:jc w:val="both"/>
                      <w:rPr>
                        <w:spacing w:val="-4"/>
                        <w:sz w:val="22"/>
                        <w:szCs w:val="22"/>
                      </w:rPr>
                    </w:pPr>
                    <w:r w:rsidRPr="008464E3">
                      <w:rPr>
                        <w:rFonts w:hint="eastAsia"/>
                        <w:spacing w:val="-4"/>
                        <w:sz w:val="22"/>
                        <w:szCs w:val="22"/>
                      </w:rPr>
                      <w:lastRenderedPageBreak/>
                      <w:t>山东泉胜物资有限公司</w:t>
                    </w:r>
                  </w:p>
                </w:tc>
                <w:tc>
                  <w:tcPr>
                    <w:tcW w:w="960" w:type="pct"/>
                    <w:vAlign w:val="center"/>
                  </w:tcPr>
                  <w:p w14:paraId="10BFCD03" w14:textId="77777777" w:rsidR="00471D53" w:rsidRPr="008464E3" w:rsidRDefault="004F686E" w:rsidP="00471D53">
                    <w:pPr>
                      <w:jc w:val="right"/>
                      <w:rPr>
                        <w:rFonts w:cs="Calibri"/>
                        <w:spacing w:val="-4"/>
                        <w:sz w:val="22"/>
                        <w:szCs w:val="22"/>
                      </w:rPr>
                    </w:pPr>
                    <w:r w:rsidRPr="008464E3">
                      <w:rPr>
                        <w:rFonts w:cs="Calibri"/>
                        <w:spacing w:val="-4"/>
                        <w:sz w:val="22"/>
                        <w:szCs w:val="22"/>
                      </w:rPr>
                      <w:t>2,026,629.13</w:t>
                    </w:r>
                  </w:p>
                </w:tc>
                <w:tc>
                  <w:tcPr>
                    <w:tcW w:w="1120" w:type="pct"/>
                    <w:vAlign w:val="center"/>
                  </w:tcPr>
                  <w:p w14:paraId="2928A0FE" w14:textId="07C6A543" w:rsidR="00471D53" w:rsidRPr="008464E3" w:rsidRDefault="004F686E" w:rsidP="00471D53">
                    <w:pPr>
                      <w:jc w:val="center"/>
                      <w:rPr>
                        <w:spacing w:val="-4"/>
                        <w:sz w:val="22"/>
                        <w:szCs w:val="22"/>
                      </w:rPr>
                    </w:pPr>
                    <w:r>
                      <w:rPr>
                        <w:rFonts w:hint="eastAsia"/>
                        <w:spacing w:val="-4"/>
                        <w:sz w:val="22"/>
                        <w:szCs w:val="22"/>
                      </w:rPr>
                      <w:t>一年以内</w:t>
                    </w:r>
                  </w:p>
                </w:tc>
                <w:tc>
                  <w:tcPr>
                    <w:tcW w:w="1180" w:type="pct"/>
                    <w:vAlign w:val="center"/>
                  </w:tcPr>
                  <w:p w14:paraId="16B4ECE5" w14:textId="77777777" w:rsidR="00471D53" w:rsidRPr="008464E3" w:rsidRDefault="004F686E" w:rsidP="00471D53">
                    <w:pPr>
                      <w:jc w:val="right"/>
                      <w:textAlignment w:val="center"/>
                      <w:rPr>
                        <w:spacing w:val="-4"/>
                        <w:sz w:val="22"/>
                        <w:szCs w:val="22"/>
                      </w:rPr>
                    </w:pPr>
                    <w:r w:rsidRPr="008464E3">
                      <w:rPr>
                        <w:spacing w:val="-4"/>
                        <w:sz w:val="22"/>
                        <w:szCs w:val="22"/>
                      </w:rPr>
                      <w:t>3.71</w:t>
                    </w:r>
                  </w:p>
                </w:tc>
              </w:tr>
              <w:tr w:rsidR="00471D53" w:rsidRPr="008464E3" w14:paraId="33B9ACC6" w14:textId="77777777" w:rsidTr="00471D53">
                <w:trPr>
                  <w:cantSplit/>
                  <w:trHeight w:val="340"/>
                  <w:jc w:val="center"/>
                </w:trPr>
                <w:tc>
                  <w:tcPr>
                    <w:tcW w:w="1740" w:type="pct"/>
                    <w:vAlign w:val="center"/>
                  </w:tcPr>
                  <w:p w14:paraId="6FCE9548" w14:textId="77777777" w:rsidR="00471D53" w:rsidRPr="008464E3" w:rsidRDefault="004F686E" w:rsidP="00471D53">
                    <w:pPr>
                      <w:jc w:val="both"/>
                      <w:rPr>
                        <w:spacing w:val="-4"/>
                        <w:sz w:val="22"/>
                        <w:szCs w:val="22"/>
                      </w:rPr>
                    </w:pPr>
                    <w:r w:rsidRPr="008464E3">
                      <w:rPr>
                        <w:rFonts w:hint="eastAsia"/>
                        <w:spacing w:val="-4"/>
                        <w:sz w:val="22"/>
                        <w:szCs w:val="22"/>
                      </w:rPr>
                      <w:t>天津润德中天钢管有限公司</w:t>
                    </w:r>
                  </w:p>
                </w:tc>
                <w:tc>
                  <w:tcPr>
                    <w:tcW w:w="960" w:type="pct"/>
                    <w:vAlign w:val="center"/>
                  </w:tcPr>
                  <w:p w14:paraId="6341E716" w14:textId="77777777" w:rsidR="00471D53" w:rsidRPr="008464E3" w:rsidRDefault="004F686E" w:rsidP="00471D53">
                    <w:pPr>
                      <w:jc w:val="right"/>
                      <w:rPr>
                        <w:rFonts w:cs="Calibri"/>
                        <w:spacing w:val="-4"/>
                        <w:sz w:val="22"/>
                        <w:szCs w:val="22"/>
                      </w:rPr>
                    </w:pPr>
                    <w:r w:rsidRPr="008464E3">
                      <w:rPr>
                        <w:rFonts w:cs="Calibri"/>
                        <w:spacing w:val="-4"/>
                        <w:sz w:val="22"/>
                        <w:szCs w:val="22"/>
                      </w:rPr>
                      <w:t>1,903,446.96</w:t>
                    </w:r>
                  </w:p>
                </w:tc>
                <w:tc>
                  <w:tcPr>
                    <w:tcW w:w="1120" w:type="pct"/>
                    <w:vAlign w:val="center"/>
                  </w:tcPr>
                  <w:p w14:paraId="724B219D" w14:textId="77777777" w:rsidR="00471D53" w:rsidRPr="008464E3" w:rsidRDefault="004F686E" w:rsidP="00471D53">
                    <w:pPr>
                      <w:jc w:val="center"/>
                      <w:rPr>
                        <w:spacing w:val="-4"/>
                        <w:sz w:val="22"/>
                        <w:szCs w:val="22"/>
                      </w:rPr>
                    </w:pPr>
                    <w:r>
                      <w:rPr>
                        <w:rFonts w:hint="eastAsia"/>
                        <w:spacing w:val="-4"/>
                        <w:sz w:val="22"/>
                        <w:szCs w:val="22"/>
                      </w:rPr>
                      <w:t>一</w:t>
                    </w:r>
                    <w:r w:rsidRPr="008464E3">
                      <w:rPr>
                        <w:spacing w:val="-4"/>
                        <w:sz w:val="22"/>
                        <w:szCs w:val="22"/>
                      </w:rPr>
                      <w:t>年以内</w:t>
                    </w:r>
                  </w:p>
                </w:tc>
                <w:tc>
                  <w:tcPr>
                    <w:tcW w:w="1180" w:type="pct"/>
                    <w:vAlign w:val="center"/>
                  </w:tcPr>
                  <w:p w14:paraId="47557015" w14:textId="77777777" w:rsidR="00471D53" w:rsidRPr="008464E3" w:rsidRDefault="004F686E" w:rsidP="00471D53">
                    <w:pPr>
                      <w:jc w:val="right"/>
                      <w:textAlignment w:val="center"/>
                      <w:rPr>
                        <w:spacing w:val="-4"/>
                        <w:sz w:val="22"/>
                        <w:szCs w:val="22"/>
                      </w:rPr>
                    </w:pPr>
                    <w:r w:rsidRPr="008464E3">
                      <w:rPr>
                        <w:spacing w:val="-4"/>
                        <w:sz w:val="22"/>
                        <w:szCs w:val="22"/>
                      </w:rPr>
                      <w:t>3.48</w:t>
                    </w:r>
                  </w:p>
                </w:tc>
              </w:tr>
              <w:tr w:rsidR="00471D53" w:rsidRPr="008464E3" w14:paraId="1894885C" w14:textId="77777777" w:rsidTr="00471D53">
                <w:trPr>
                  <w:cantSplit/>
                  <w:trHeight w:val="340"/>
                  <w:jc w:val="center"/>
                </w:trPr>
                <w:tc>
                  <w:tcPr>
                    <w:tcW w:w="1740" w:type="pct"/>
                    <w:vAlign w:val="center"/>
                  </w:tcPr>
                  <w:p w14:paraId="7525E4EB" w14:textId="77777777" w:rsidR="00471D53" w:rsidRPr="008464E3" w:rsidRDefault="004F686E" w:rsidP="00471D53">
                    <w:pPr>
                      <w:jc w:val="both"/>
                      <w:rPr>
                        <w:b/>
                        <w:spacing w:val="-4"/>
                        <w:sz w:val="22"/>
                        <w:szCs w:val="22"/>
                      </w:rPr>
                    </w:pPr>
                    <w:r w:rsidRPr="008464E3">
                      <w:rPr>
                        <w:rFonts w:hint="eastAsia"/>
                        <w:b/>
                        <w:spacing w:val="-4"/>
                        <w:sz w:val="22"/>
                        <w:szCs w:val="22"/>
                      </w:rPr>
                      <w:t>合计</w:t>
                    </w:r>
                  </w:p>
                </w:tc>
                <w:tc>
                  <w:tcPr>
                    <w:tcW w:w="960" w:type="pct"/>
                    <w:vAlign w:val="center"/>
                  </w:tcPr>
                  <w:p w14:paraId="49CC0607" w14:textId="77777777" w:rsidR="00471D53" w:rsidRPr="008464E3" w:rsidRDefault="004F686E" w:rsidP="00471D53">
                    <w:pPr>
                      <w:jc w:val="right"/>
                      <w:textAlignment w:val="center"/>
                      <w:rPr>
                        <w:b/>
                        <w:spacing w:val="-4"/>
                        <w:sz w:val="22"/>
                        <w:szCs w:val="22"/>
                      </w:rPr>
                    </w:pPr>
                    <w:r w:rsidRPr="008464E3">
                      <w:rPr>
                        <w:b/>
                        <w:spacing w:val="-4"/>
                        <w:sz w:val="22"/>
                        <w:szCs w:val="22"/>
                      </w:rPr>
                      <w:t>15,817,800.59</w:t>
                    </w:r>
                  </w:p>
                </w:tc>
                <w:tc>
                  <w:tcPr>
                    <w:tcW w:w="1120" w:type="pct"/>
                    <w:vAlign w:val="center"/>
                  </w:tcPr>
                  <w:p w14:paraId="331021B8" w14:textId="77777777" w:rsidR="00471D53" w:rsidRPr="008464E3" w:rsidRDefault="004F686E" w:rsidP="00471D53">
                    <w:pPr>
                      <w:jc w:val="center"/>
                      <w:rPr>
                        <w:b/>
                        <w:spacing w:val="-4"/>
                        <w:sz w:val="22"/>
                        <w:szCs w:val="22"/>
                      </w:rPr>
                    </w:pPr>
                    <w:r w:rsidRPr="008464E3">
                      <w:rPr>
                        <w:rFonts w:hint="eastAsia"/>
                        <w:b/>
                        <w:spacing w:val="-4"/>
                        <w:sz w:val="22"/>
                        <w:szCs w:val="22"/>
                      </w:rPr>
                      <w:t>—</w:t>
                    </w:r>
                  </w:p>
                </w:tc>
                <w:tc>
                  <w:tcPr>
                    <w:tcW w:w="1180" w:type="pct"/>
                    <w:vAlign w:val="center"/>
                  </w:tcPr>
                  <w:p w14:paraId="0CEA6E42" w14:textId="77777777" w:rsidR="00471D53" w:rsidRPr="008464E3" w:rsidRDefault="004F686E" w:rsidP="00471D53">
                    <w:pPr>
                      <w:jc w:val="right"/>
                      <w:textAlignment w:val="center"/>
                      <w:rPr>
                        <w:b/>
                        <w:bCs/>
                        <w:spacing w:val="-4"/>
                        <w:sz w:val="22"/>
                        <w:szCs w:val="22"/>
                      </w:rPr>
                    </w:pPr>
                    <w:r w:rsidRPr="008464E3">
                      <w:rPr>
                        <w:b/>
                        <w:bCs/>
                        <w:spacing w:val="-4"/>
                        <w:sz w:val="22"/>
                        <w:szCs w:val="22"/>
                      </w:rPr>
                      <w:t>28.94</w:t>
                    </w:r>
                  </w:p>
                </w:tc>
              </w:tr>
            </w:tbl>
            <w:p w14:paraId="153FF59C" w14:textId="77777777" w:rsidR="00471D53" w:rsidRDefault="00B664AF">
              <w:pPr>
                <w:snapToGrid w:val="0"/>
                <w:spacing w:line="240" w:lineRule="atLeast"/>
                <w:rPr>
                  <w:szCs w:val="21"/>
                </w:rPr>
              </w:pPr>
            </w:p>
          </w:sdtContent>
        </w:sdt>
        <w:p w14:paraId="7C4C414E" w14:textId="77777777" w:rsidR="00471D53" w:rsidRDefault="00B664AF">
          <w:pPr>
            <w:snapToGrid w:val="0"/>
            <w:spacing w:line="240" w:lineRule="atLeast"/>
            <w:rPr>
              <w:szCs w:val="21"/>
            </w:rPr>
          </w:pPr>
        </w:p>
      </w:sdtContent>
    </w:sdt>
    <w:sdt>
      <w:sdtPr>
        <w:rPr>
          <w:rFonts w:hint="eastAsia"/>
          <w:b/>
          <w:bCs/>
        </w:rPr>
        <w:alias w:val="模块:预付款项的说明"/>
        <w:tag w:val="_GBC_ee9bedfa5e5340c9b02fb474f1a1fc26"/>
        <w:id w:val="-608586658"/>
        <w:lock w:val="sdtLocked"/>
        <w:placeholder>
          <w:docPart w:val="GBC22222222222222222222222222222"/>
        </w:placeholder>
      </w:sdtPr>
      <w:sdtEndPr>
        <w:rPr>
          <w:rFonts w:hint="default"/>
          <w:b w:val="0"/>
          <w:bCs w:val="0"/>
        </w:rPr>
      </w:sdtEndPr>
      <w:sdtContent>
        <w:p w14:paraId="13A264E5" w14:textId="77777777" w:rsidR="00471D53" w:rsidRDefault="004F686E">
          <w:r>
            <w:rPr>
              <w:rFonts w:hint="eastAsia"/>
            </w:rPr>
            <w:t>其他说明</w:t>
          </w:r>
        </w:p>
        <w:sdt>
          <w:sdtPr>
            <w:alias w:val="是否适用：预付帐款的说明[双击切换]"/>
            <w:tag w:val="_GBC_c712ee6483d44c77b1f563e552689c6d"/>
            <w:id w:val="103941268"/>
            <w:lock w:val="sdtLocked"/>
            <w:placeholder>
              <w:docPart w:val="GBC22222222222222222222222222222"/>
            </w:placeholder>
          </w:sdtPr>
          <w:sdtEndPr/>
          <w:sdtContent>
            <w:p w14:paraId="580563E8" w14:textId="77777777" w:rsidR="00471D53" w:rsidRDefault="004F686E" w:rsidP="00471D53">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1A5CE553" w14:textId="77777777" w:rsidR="00471D53" w:rsidRDefault="00B664AF">
      <w:pPr>
        <w:rPr>
          <w:szCs w:val="21"/>
        </w:rPr>
      </w:pPr>
    </w:p>
    <w:p w14:paraId="78D66303" w14:textId="77777777" w:rsidR="00471D53" w:rsidRDefault="004F686E" w:rsidP="004F686E">
      <w:pPr>
        <w:pStyle w:val="afffff7"/>
        <w:numPr>
          <w:ilvl w:val="0"/>
          <w:numId w:val="55"/>
        </w:numPr>
        <w:rPr>
          <w:rFonts w:ascii="宋体" w:hAnsi="宋体"/>
        </w:rPr>
      </w:pPr>
      <w:r>
        <w:rPr>
          <w:rFonts w:ascii="宋体" w:hAnsi="宋体" w:hint="eastAsia"/>
        </w:rPr>
        <w:t>其他应收款</w:t>
      </w:r>
    </w:p>
    <w:bookmarkStart w:id="128" w:name="_Hlk10467611" w:displacedByCustomXml="next"/>
    <w:sdt>
      <w:sdtPr>
        <w:rPr>
          <w:rFonts w:ascii="宋体" w:hAnsi="宋体" w:cs="宋体" w:hint="eastAsia"/>
          <w:b w:val="0"/>
          <w:bCs w:val="0"/>
          <w:kern w:val="0"/>
          <w:szCs w:val="24"/>
        </w:rPr>
        <w:alias w:val="模块:分类列示"/>
        <w:tag w:val="_SEC_440b8bdb86984dd89d750fdd7845fe71"/>
        <w:id w:val="-1070188483"/>
        <w:lock w:val="sdtLocked"/>
        <w:placeholder>
          <w:docPart w:val="GBC22222222222222222222222222222"/>
        </w:placeholder>
      </w:sdtPr>
      <w:sdtEndPr>
        <w:rPr>
          <w:rFonts w:hint="default"/>
        </w:rPr>
      </w:sdtEndPr>
      <w:sdtContent>
        <w:p w14:paraId="53A15D54" w14:textId="77777777" w:rsidR="00471D53" w:rsidRDefault="004F686E">
          <w:pPr>
            <w:pStyle w:val="afffff8"/>
            <w:rPr>
              <w:rFonts w:ascii="宋体" w:hAnsi="宋体"/>
            </w:rPr>
          </w:pPr>
          <w:r>
            <w:rPr>
              <w:rFonts w:ascii="宋体" w:hAnsi="宋体" w:hint="eastAsia"/>
            </w:rPr>
            <w:t>项目列示</w:t>
          </w:r>
        </w:p>
        <w:sdt>
          <w:sdtPr>
            <w:alias w:val="是否适用：其他应收款分类列示[双击切换]"/>
            <w:tag w:val="_GBC_23e3e9ad53624abaaa00fc7f7c24842a"/>
            <w:id w:val="-587696970"/>
            <w:lock w:val="sdtLocked"/>
            <w:placeholder>
              <w:docPart w:val="GBC22222222222222222222222222222"/>
            </w:placeholder>
          </w:sdtPr>
          <w:sdtEndPr/>
          <w:sdtContent>
            <w:p w14:paraId="70864770"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BAD183D" w14:textId="307D16EB" w:rsidR="00471D53" w:rsidRDefault="004F686E">
          <w:pPr>
            <w:jc w:val="right"/>
            <w:rPr>
              <w:szCs w:val="21"/>
            </w:rPr>
          </w:pPr>
          <w:r>
            <w:rPr>
              <w:rFonts w:hint="eastAsia"/>
              <w:szCs w:val="21"/>
            </w:rPr>
            <w:t>单位：</w:t>
          </w:r>
          <w:sdt>
            <w:sdtPr>
              <w:rPr>
                <w:rFonts w:hint="eastAsia"/>
                <w:szCs w:val="21"/>
              </w:rPr>
              <w:alias w:val="单位：其他应收款分类列示"/>
              <w:tag w:val="_GBC_b73f89c776a341249ed520fe726b4db9"/>
              <w:id w:val="-11510487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其他应收款分类列示"/>
              <w:tag w:val="_GBC_a23554f2403346ea97b8fb1ef551ebe4"/>
              <w:id w:val="7732114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15"/>
            <w:gridCol w:w="2862"/>
            <w:gridCol w:w="2846"/>
          </w:tblGrid>
          <w:tr w:rsidR="00471D53" w14:paraId="1C7B8B0C" w14:textId="77777777" w:rsidTr="004E7A0E">
            <w:trPr>
              <w:cantSplit/>
            </w:trPr>
            <w:sdt>
              <w:sdtPr>
                <w:tag w:val="_PLD_3b049b9a7f344665a70a23c402afbda5"/>
                <w:id w:val="1342503275"/>
                <w:lock w:val="sdtLocked"/>
              </w:sdtPr>
              <w:sdtEndPr/>
              <w:sdtContent>
                <w:tc>
                  <w:tcPr>
                    <w:tcW w:w="1765" w:type="pct"/>
                    <w:vAlign w:val="center"/>
                  </w:tcPr>
                  <w:p w14:paraId="42DEE11B" w14:textId="77777777" w:rsidR="00471D53" w:rsidRDefault="004F686E">
                    <w:pPr>
                      <w:jc w:val="center"/>
                      <w:rPr>
                        <w:szCs w:val="21"/>
                      </w:rPr>
                    </w:pPr>
                    <w:r>
                      <w:rPr>
                        <w:rFonts w:hint="eastAsia"/>
                        <w:szCs w:val="21"/>
                      </w:rPr>
                      <w:t>项目</w:t>
                    </w:r>
                  </w:p>
                </w:tc>
              </w:sdtContent>
            </w:sdt>
            <w:sdt>
              <w:sdtPr>
                <w:tag w:val="_PLD_550a4ba0fb444ea69297bd36780a7618"/>
                <w:id w:val="-379556292"/>
                <w:lock w:val="sdtLocked"/>
              </w:sdtPr>
              <w:sdtEndPr/>
              <w:sdtContent>
                <w:tc>
                  <w:tcPr>
                    <w:tcW w:w="1622" w:type="pct"/>
                    <w:vAlign w:val="center"/>
                  </w:tcPr>
                  <w:p w14:paraId="6820898B" w14:textId="77777777" w:rsidR="00471D53" w:rsidRDefault="004F686E">
                    <w:pPr>
                      <w:jc w:val="center"/>
                      <w:rPr>
                        <w:szCs w:val="21"/>
                      </w:rPr>
                    </w:pPr>
                    <w:r>
                      <w:rPr>
                        <w:rFonts w:hint="eastAsia"/>
                        <w:szCs w:val="21"/>
                      </w:rPr>
                      <w:t>期末余额</w:t>
                    </w:r>
                  </w:p>
                </w:tc>
              </w:sdtContent>
            </w:sdt>
            <w:sdt>
              <w:sdtPr>
                <w:tag w:val="_PLD_d58c3f70487c440b99a9f440a2d57d1e"/>
                <w:id w:val="1007481708"/>
                <w:lock w:val="sdtLocked"/>
              </w:sdtPr>
              <w:sdtEndPr/>
              <w:sdtContent>
                <w:tc>
                  <w:tcPr>
                    <w:tcW w:w="1613" w:type="pct"/>
                    <w:vAlign w:val="center"/>
                  </w:tcPr>
                  <w:p w14:paraId="73A9D6F5" w14:textId="77777777" w:rsidR="00471D53" w:rsidRDefault="004F686E">
                    <w:pPr>
                      <w:jc w:val="center"/>
                      <w:rPr>
                        <w:szCs w:val="21"/>
                      </w:rPr>
                    </w:pPr>
                    <w:r>
                      <w:rPr>
                        <w:rFonts w:hint="eastAsia"/>
                        <w:szCs w:val="21"/>
                      </w:rPr>
                      <w:t>期初余额</w:t>
                    </w:r>
                  </w:p>
                </w:tc>
              </w:sdtContent>
            </w:sdt>
          </w:tr>
          <w:tr w:rsidR="00471D53" w14:paraId="09BE6500" w14:textId="77777777" w:rsidTr="004E7A0E">
            <w:trPr>
              <w:cantSplit/>
            </w:trPr>
            <w:sdt>
              <w:sdtPr>
                <w:tag w:val="_PLD_6a77c21d56bf4de7bfea2b3078ae9e86"/>
                <w:id w:val="610323776"/>
                <w:lock w:val="sdtLocked"/>
              </w:sdtPr>
              <w:sdtEndPr/>
              <w:sdtContent>
                <w:tc>
                  <w:tcPr>
                    <w:tcW w:w="1765" w:type="pct"/>
                  </w:tcPr>
                  <w:p w14:paraId="4A9219F5" w14:textId="77777777" w:rsidR="00471D53" w:rsidRDefault="004F686E">
                    <w:pPr>
                      <w:ind w:right="5"/>
                      <w:rPr>
                        <w:szCs w:val="21"/>
                      </w:rPr>
                    </w:pPr>
                    <w:r>
                      <w:rPr>
                        <w:rFonts w:hint="eastAsia"/>
                        <w:szCs w:val="21"/>
                      </w:rPr>
                      <w:t>应收利息</w:t>
                    </w:r>
                  </w:p>
                </w:tc>
              </w:sdtContent>
            </w:sdt>
            <w:tc>
              <w:tcPr>
                <w:tcW w:w="1622" w:type="pct"/>
              </w:tcPr>
              <w:p w14:paraId="1669CF2F" w14:textId="77777777" w:rsidR="00471D53" w:rsidRDefault="00B664AF">
                <w:pPr>
                  <w:ind w:right="5"/>
                  <w:jc w:val="right"/>
                  <w:rPr>
                    <w:szCs w:val="21"/>
                  </w:rPr>
                </w:pPr>
              </w:p>
            </w:tc>
            <w:tc>
              <w:tcPr>
                <w:tcW w:w="1613" w:type="pct"/>
              </w:tcPr>
              <w:p w14:paraId="743E0122" w14:textId="77777777" w:rsidR="00471D53" w:rsidRDefault="00B664AF">
                <w:pPr>
                  <w:ind w:right="5"/>
                  <w:jc w:val="right"/>
                  <w:rPr>
                    <w:szCs w:val="21"/>
                  </w:rPr>
                </w:pPr>
              </w:p>
            </w:tc>
          </w:tr>
          <w:tr w:rsidR="00471D53" w14:paraId="699886CA" w14:textId="77777777" w:rsidTr="004E7A0E">
            <w:trPr>
              <w:cantSplit/>
            </w:trPr>
            <w:sdt>
              <w:sdtPr>
                <w:tag w:val="_PLD_d5542663fde44485b06eb5b2144b7f62"/>
                <w:id w:val="2133357638"/>
                <w:lock w:val="sdtLocked"/>
              </w:sdtPr>
              <w:sdtEndPr/>
              <w:sdtContent>
                <w:tc>
                  <w:tcPr>
                    <w:tcW w:w="1765" w:type="pct"/>
                  </w:tcPr>
                  <w:p w14:paraId="683556FD" w14:textId="77777777" w:rsidR="00471D53" w:rsidRDefault="004F686E">
                    <w:pPr>
                      <w:ind w:right="5"/>
                      <w:rPr>
                        <w:szCs w:val="21"/>
                      </w:rPr>
                    </w:pPr>
                    <w:r>
                      <w:rPr>
                        <w:rFonts w:hint="eastAsia"/>
                        <w:szCs w:val="21"/>
                      </w:rPr>
                      <w:t>应收股利</w:t>
                    </w:r>
                  </w:p>
                </w:tc>
              </w:sdtContent>
            </w:sdt>
            <w:tc>
              <w:tcPr>
                <w:tcW w:w="1622" w:type="pct"/>
              </w:tcPr>
              <w:p w14:paraId="4C9D1D7C" w14:textId="77777777" w:rsidR="00471D53" w:rsidRDefault="00B664AF">
                <w:pPr>
                  <w:ind w:right="5"/>
                  <w:jc w:val="right"/>
                  <w:rPr>
                    <w:szCs w:val="21"/>
                  </w:rPr>
                </w:pPr>
              </w:p>
            </w:tc>
            <w:tc>
              <w:tcPr>
                <w:tcW w:w="1613" w:type="pct"/>
              </w:tcPr>
              <w:p w14:paraId="4280FDE1" w14:textId="77777777" w:rsidR="00471D53" w:rsidRDefault="00B664AF">
                <w:pPr>
                  <w:ind w:right="5"/>
                  <w:jc w:val="right"/>
                  <w:rPr>
                    <w:szCs w:val="21"/>
                  </w:rPr>
                </w:pPr>
              </w:p>
            </w:tc>
          </w:tr>
          <w:tr w:rsidR="00471D53" w14:paraId="5C6999E0" w14:textId="77777777" w:rsidTr="00471D53">
            <w:trPr>
              <w:cantSplit/>
            </w:trPr>
            <w:sdt>
              <w:sdtPr>
                <w:tag w:val="_PLD_fadacacf8b7d4e10a081b5eae54fea6b"/>
                <w:id w:val="-26882572"/>
                <w:lock w:val="sdtLocked"/>
              </w:sdtPr>
              <w:sdtEndPr/>
              <w:sdtContent>
                <w:tc>
                  <w:tcPr>
                    <w:tcW w:w="1765" w:type="pct"/>
                  </w:tcPr>
                  <w:p w14:paraId="1B77DC5C" w14:textId="77777777" w:rsidR="00471D53" w:rsidRDefault="004F686E">
                    <w:pPr>
                      <w:ind w:right="5"/>
                      <w:rPr>
                        <w:szCs w:val="21"/>
                      </w:rPr>
                    </w:pPr>
                    <w:r>
                      <w:rPr>
                        <w:rFonts w:hint="eastAsia"/>
                        <w:szCs w:val="21"/>
                      </w:rPr>
                      <w:t>其他应收款</w:t>
                    </w:r>
                  </w:p>
                </w:tc>
              </w:sdtContent>
            </w:sdt>
            <w:tc>
              <w:tcPr>
                <w:tcW w:w="1622" w:type="pct"/>
                <w:vAlign w:val="center"/>
              </w:tcPr>
              <w:p w14:paraId="640B0EAC" w14:textId="49E4F356" w:rsidR="00471D53" w:rsidRDefault="004F686E" w:rsidP="00471D53">
                <w:pPr>
                  <w:jc w:val="right"/>
                  <w:rPr>
                    <w:sz w:val="22"/>
                    <w:szCs w:val="22"/>
                  </w:rPr>
                </w:pPr>
                <w:r>
                  <w:rPr>
                    <w:rFonts w:hint="eastAsia"/>
                    <w:sz w:val="22"/>
                    <w:szCs w:val="22"/>
                  </w:rPr>
                  <w:t>8,564,832.57</w:t>
                </w:r>
              </w:p>
            </w:tc>
            <w:tc>
              <w:tcPr>
                <w:tcW w:w="1613" w:type="pct"/>
                <w:vAlign w:val="center"/>
              </w:tcPr>
              <w:p w14:paraId="173EB9C6" w14:textId="77777777" w:rsidR="00471D53" w:rsidRDefault="004F686E" w:rsidP="00471D53">
                <w:pPr>
                  <w:jc w:val="right"/>
                  <w:rPr>
                    <w:sz w:val="22"/>
                    <w:szCs w:val="22"/>
                  </w:rPr>
                </w:pPr>
                <w:r>
                  <w:rPr>
                    <w:rFonts w:cs="Calibri" w:hint="eastAsia"/>
                    <w:sz w:val="22"/>
                    <w:szCs w:val="22"/>
                  </w:rPr>
                  <w:t>8,706,093.49</w:t>
                </w:r>
              </w:p>
            </w:tc>
          </w:tr>
          <w:tr w:rsidR="00471D53" w14:paraId="0DA9D1C1" w14:textId="77777777" w:rsidTr="00471D53">
            <w:trPr>
              <w:cantSplit/>
            </w:trPr>
            <w:sdt>
              <w:sdtPr>
                <w:tag w:val="_PLD_7fcd8f78599a4d76a92c6bed7b01aa27"/>
                <w:id w:val="1826615419"/>
                <w:lock w:val="sdtLocked"/>
              </w:sdtPr>
              <w:sdtEndPr/>
              <w:sdtContent>
                <w:tc>
                  <w:tcPr>
                    <w:tcW w:w="1765" w:type="pct"/>
                  </w:tcPr>
                  <w:p w14:paraId="5A410203" w14:textId="77777777" w:rsidR="00471D53" w:rsidRDefault="004F686E">
                    <w:pPr>
                      <w:autoSpaceDE w:val="0"/>
                      <w:autoSpaceDN w:val="0"/>
                      <w:adjustRightInd w:val="0"/>
                      <w:jc w:val="center"/>
                      <w:rPr>
                        <w:szCs w:val="21"/>
                      </w:rPr>
                    </w:pPr>
                    <w:r>
                      <w:rPr>
                        <w:rFonts w:hint="eastAsia"/>
                        <w:szCs w:val="21"/>
                      </w:rPr>
                      <w:t>合计</w:t>
                    </w:r>
                  </w:p>
                </w:tc>
              </w:sdtContent>
            </w:sdt>
            <w:tc>
              <w:tcPr>
                <w:tcW w:w="1622" w:type="pct"/>
                <w:vAlign w:val="center"/>
              </w:tcPr>
              <w:p w14:paraId="7219B98A" w14:textId="6F580C65" w:rsidR="00471D53" w:rsidRPr="003F0A59" w:rsidRDefault="004F686E" w:rsidP="00471D53">
                <w:pPr>
                  <w:jc w:val="right"/>
                  <w:rPr>
                    <w:rFonts w:cs="Calibri"/>
                    <w:bCs/>
                    <w:sz w:val="22"/>
                    <w:szCs w:val="22"/>
                  </w:rPr>
                </w:pPr>
                <w:r w:rsidRPr="003F0A59">
                  <w:rPr>
                    <w:rFonts w:cs="Calibri" w:hint="eastAsia"/>
                    <w:bCs/>
                    <w:sz w:val="22"/>
                    <w:szCs w:val="22"/>
                  </w:rPr>
                  <w:t>8,564,832.57</w:t>
                </w:r>
              </w:p>
            </w:tc>
            <w:tc>
              <w:tcPr>
                <w:tcW w:w="1613" w:type="pct"/>
                <w:vAlign w:val="center"/>
              </w:tcPr>
              <w:p w14:paraId="5FEFCD74" w14:textId="77777777" w:rsidR="00471D53" w:rsidRPr="003F0A59" w:rsidRDefault="004F686E" w:rsidP="00471D53">
                <w:pPr>
                  <w:jc w:val="right"/>
                  <w:rPr>
                    <w:rFonts w:cs="Calibri"/>
                    <w:bCs/>
                    <w:sz w:val="22"/>
                    <w:szCs w:val="22"/>
                  </w:rPr>
                </w:pPr>
                <w:r w:rsidRPr="003F0A59">
                  <w:rPr>
                    <w:rFonts w:cs="Calibri" w:hint="eastAsia"/>
                    <w:sz w:val="22"/>
                    <w:szCs w:val="22"/>
                  </w:rPr>
                  <w:t>8,706,093.49</w:t>
                </w:r>
              </w:p>
            </w:tc>
          </w:tr>
        </w:tbl>
        <w:p w14:paraId="46E0A132" w14:textId="77777777" w:rsidR="00471D53" w:rsidRDefault="004F686E">
          <w:pPr>
            <w:rPr>
              <w:szCs w:val="21"/>
            </w:rPr>
          </w:pPr>
          <w:bookmarkStart w:id="129" w:name="_Hlk532906097"/>
          <w:r>
            <w:rPr>
              <w:rFonts w:hint="eastAsia"/>
              <w:szCs w:val="21"/>
            </w:rPr>
            <w:t>其他说明：</w:t>
          </w:r>
          <w:bookmarkEnd w:id="129"/>
        </w:p>
        <w:sdt>
          <w:sdtPr>
            <w:rPr>
              <w:szCs w:val="21"/>
            </w:rPr>
            <w:alias w:val="是否适用：其他应收款分类列示其他说明[双击切换]"/>
            <w:tag w:val="_GBC_73a4089b33094d13b0ea7c9bf8cfb58f"/>
            <w:id w:val="517284039"/>
            <w:lock w:val="sdtLocked"/>
            <w:placeholder>
              <w:docPart w:val="GBC22222222222222222222222222222"/>
            </w:placeholder>
          </w:sdtPr>
          <w:sdtEndPr/>
          <w:sdtContent>
            <w:p w14:paraId="3294CAF7" w14:textId="77777777" w:rsidR="00471D53" w:rsidRDefault="004F686E" w:rsidP="00471D5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7B5F3172" w14:textId="77777777" w:rsidR="00471D53" w:rsidRDefault="00B664AF"/>
      </w:sdtContent>
    </w:sdt>
    <w:bookmarkEnd w:id="128" w:displacedByCustomXml="prev"/>
    <w:sdt>
      <w:sdtPr>
        <w:rPr>
          <w:rFonts w:ascii="宋体" w:hAnsi="宋体" w:cs="宋体" w:hint="eastAsia"/>
          <w:b w:val="0"/>
          <w:bCs w:val="0"/>
          <w:kern w:val="0"/>
          <w:szCs w:val="22"/>
        </w:rPr>
        <w:alias w:val="模块:应收利息"/>
        <w:tag w:val="_GBC_6620e2366b444b3fb9e784e1bb6a87fd"/>
        <w:id w:val="-2109106966"/>
        <w:lock w:val="sdtLocked"/>
        <w:placeholder>
          <w:docPart w:val="GBC22222222222222222222222222222"/>
        </w:placeholder>
      </w:sdtPr>
      <w:sdtEndPr>
        <w:rPr>
          <w:rFonts w:cs="Times New Roman"/>
          <w:kern w:val="2"/>
          <w:szCs w:val="24"/>
        </w:rPr>
      </w:sdtEndPr>
      <w:sdtContent>
        <w:p w14:paraId="1217F085" w14:textId="77777777" w:rsidR="00471D53" w:rsidRDefault="004F686E">
          <w:pPr>
            <w:pStyle w:val="afffff8"/>
            <w:tabs>
              <w:tab w:val="left" w:pos="546"/>
            </w:tabs>
            <w:rPr>
              <w:rFonts w:ascii="宋体" w:hAnsi="宋体"/>
            </w:rPr>
          </w:pPr>
          <w:r>
            <w:rPr>
              <w:rFonts w:ascii="宋体" w:hAnsi="宋体" w:cs="宋体" w:hint="eastAsia"/>
              <w:bCs w:val="0"/>
              <w:kern w:val="0"/>
              <w:szCs w:val="22"/>
            </w:rPr>
            <w:t>应收利息</w:t>
          </w:r>
        </w:p>
        <w:p w14:paraId="3B72DBAF" w14:textId="77777777" w:rsidR="00471D53" w:rsidRDefault="004F686E" w:rsidP="004F686E">
          <w:pPr>
            <w:pStyle w:val="afffff8"/>
            <w:numPr>
              <w:ilvl w:val="3"/>
              <w:numId w:val="62"/>
            </w:numPr>
            <w:tabs>
              <w:tab w:val="left" w:pos="546"/>
            </w:tabs>
            <w:rPr>
              <w:rFonts w:ascii="宋体" w:hAnsi="宋体"/>
            </w:rPr>
          </w:pPr>
          <w:r>
            <w:rPr>
              <w:rFonts w:ascii="宋体" w:hAnsi="宋体" w:hint="eastAsia"/>
            </w:rPr>
            <w:t>应收利息分类</w:t>
          </w:r>
        </w:p>
        <w:sdt>
          <w:sdtPr>
            <w:alias w:val="是否适用：应收利息分类[双击切换]"/>
            <w:tag w:val="_GBC_86f9e9a81d7d4e07ae6873a88ddf6cc7"/>
            <w:id w:val="-873538205"/>
            <w:lock w:val="sdtLocked"/>
            <w:placeholder>
              <w:docPart w:val="GBC22222222222222222222222222222"/>
            </w:placeholder>
          </w:sdtPr>
          <w:sdtEndPr/>
          <w:sdtContent>
            <w:p w14:paraId="40629959" w14:textId="77777777" w:rsidR="00471D53" w:rsidRDefault="004F686E" w:rsidP="00471D53">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逾期利息"/>
        <w:tag w:val="_GBC_bcfcff19f55a43f988e9223dca0728dc"/>
        <w:id w:val="403967739"/>
        <w:lock w:val="sdtLocked"/>
        <w:placeholder>
          <w:docPart w:val="GBC22222222222222222222222222222"/>
        </w:placeholder>
      </w:sdtPr>
      <w:sdtEndPr/>
      <w:sdtContent>
        <w:p w14:paraId="7DA8899B" w14:textId="77777777" w:rsidR="00471D53" w:rsidRDefault="004F686E" w:rsidP="004F686E">
          <w:pPr>
            <w:pStyle w:val="afffff8"/>
            <w:numPr>
              <w:ilvl w:val="3"/>
              <w:numId w:val="62"/>
            </w:numPr>
            <w:tabs>
              <w:tab w:val="left" w:pos="546"/>
            </w:tabs>
            <w:rPr>
              <w:rFonts w:ascii="宋体" w:hAnsi="宋体"/>
            </w:rPr>
          </w:pPr>
          <w:r>
            <w:rPr>
              <w:rFonts w:ascii="宋体" w:hAnsi="宋体" w:hint="eastAsia"/>
            </w:rPr>
            <w:t>重要逾期利息</w:t>
          </w:r>
        </w:p>
        <w:sdt>
          <w:sdtPr>
            <w:alias w:val="是否适用：重要逾期利息[双击切换]"/>
            <w:tag w:val="_GBC_4554f307ef2241a583829b74df8ef0c3"/>
            <w:id w:val="1152486559"/>
            <w:lock w:val="sdtLocked"/>
            <w:placeholder>
              <w:docPart w:val="GBC22222222222222222222222222222"/>
            </w:placeholder>
          </w:sdtPr>
          <w:sdtEndPr/>
          <w:sdtContent>
            <w:p w14:paraId="45B3F1A6"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Start w:id="130" w:name="_Hlk10468247" w:displacedByCustomXml="next"/>
    <w:sdt>
      <w:sdtPr>
        <w:rPr>
          <w:rFonts w:ascii="宋体" w:hAnsi="宋体" w:cs="宋体" w:hint="eastAsia"/>
          <w:b w:val="0"/>
          <w:bCs w:val="0"/>
          <w:kern w:val="0"/>
          <w:szCs w:val="21"/>
        </w:rPr>
        <w:alias w:val="模块:坏账准备计提情况"/>
        <w:tag w:val="_SEC_61c56552057346dd98026d659f25d3ef"/>
        <w:id w:val="-560320182"/>
        <w:lock w:val="sdtLocked"/>
        <w:placeholder>
          <w:docPart w:val="GBC22222222222222222222222222222"/>
        </w:placeholder>
      </w:sdtPr>
      <w:sdtEndPr/>
      <w:sdtContent>
        <w:p w14:paraId="3E0BEA33" w14:textId="77777777" w:rsidR="00471D53" w:rsidRDefault="004F686E" w:rsidP="004F686E">
          <w:pPr>
            <w:pStyle w:val="afffff8"/>
            <w:numPr>
              <w:ilvl w:val="3"/>
              <w:numId w:val="62"/>
            </w:numPr>
            <w:tabs>
              <w:tab w:val="left" w:pos="546"/>
            </w:tabs>
            <w:rPr>
              <w:rFonts w:ascii="宋体" w:hAnsi="宋体"/>
              <w:szCs w:val="21"/>
            </w:rPr>
          </w:pPr>
          <w:r>
            <w:rPr>
              <w:rFonts w:ascii="宋体" w:hAnsi="宋体" w:hint="eastAsia"/>
              <w:szCs w:val="21"/>
            </w:rPr>
            <w:t>坏账准备计提情况</w:t>
          </w:r>
        </w:p>
        <w:sdt>
          <w:sdtPr>
            <w:rPr>
              <w:szCs w:val="21"/>
            </w:rPr>
            <w:alias w:val="是否适用：应收利息坏账准备调节表[双击切换]"/>
            <w:tag w:val="_GBC_2081adab30854417bcfae25caae8c9f9"/>
            <w:id w:val="129677883"/>
            <w:lock w:val="sdtLocked"/>
            <w:placeholder>
              <w:docPart w:val="GBC22222222222222222222222222222"/>
            </w:placeholder>
          </w:sdtPr>
          <w:sdtEndPr/>
          <w:sdtContent>
            <w:p w14:paraId="6A247F2A" w14:textId="77777777" w:rsidR="00471D53" w:rsidRDefault="004F686E" w:rsidP="00471D5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6DE22A30" w14:textId="77777777" w:rsidR="00471D53" w:rsidRDefault="00B664AF" w:rsidP="00471D53">
          <w:pPr>
            <w:autoSpaceDE w:val="0"/>
            <w:autoSpaceDN w:val="0"/>
            <w:adjustRightInd w:val="0"/>
            <w:ind w:rightChars="50" w:right="105"/>
            <w:rPr>
              <w:szCs w:val="21"/>
            </w:rPr>
          </w:pPr>
        </w:p>
        <w:p w14:paraId="1879778A" w14:textId="77777777" w:rsidR="00471D53" w:rsidRDefault="00B664AF">
          <w:pPr>
            <w:rPr>
              <w:szCs w:val="21"/>
            </w:rPr>
          </w:pPr>
        </w:p>
      </w:sdtContent>
    </w:sdt>
    <w:bookmarkEnd w:id="130" w:displacedByCustomXml="prev"/>
    <w:sdt>
      <w:sdtPr>
        <w:rPr>
          <w:rFonts w:hint="eastAsia"/>
          <w:b/>
          <w:bCs/>
        </w:rPr>
        <w:alias w:val="模块:应收利息的说明"/>
        <w:tag w:val="_GBC_0dc3bcd06a754f79952657ba82acdc9f"/>
        <w:id w:val="-1836531814"/>
        <w:lock w:val="sdtLocked"/>
        <w:placeholder>
          <w:docPart w:val="GBC22222222222222222222222222222"/>
        </w:placeholder>
      </w:sdtPr>
      <w:sdtEndPr>
        <w:rPr>
          <w:rFonts w:hint="default"/>
          <w:b w:val="0"/>
          <w:bCs w:val="0"/>
          <w:szCs w:val="21"/>
        </w:rPr>
      </w:sdtEndPr>
      <w:sdtContent>
        <w:p w14:paraId="4CD7523D" w14:textId="77777777" w:rsidR="00471D53" w:rsidRDefault="004F686E">
          <w:r>
            <w:rPr>
              <w:rFonts w:hint="eastAsia"/>
            </w:rPr>
            <w:t>其他说明：</w:t>
          </w:r>
        </w:p>
        <w:sdt>
          <w:sdtPr>
            <w:alias w:val="是否适用：应收利息的说明[双击切换]"/>
            <w:tag w:val="_GBC_9fcbab94f58048baace4761ca17ae925"/>
            <w:id w:val="980359212"/>
            <w:lock w:val="sdtLocked"/>
            <w:placeholder>
              <w:docPart w:val="GBC22222222222222222222222222222"/>
            </w:placeholder>
          </w:sdtPr>
          <w:sdtEndPr/>
          <w:sdtContent>
            <w:p w14:paraId="7B7AC2FA" w14:textId="77777777" w:rsidR="00471D53" w:rsidRDefault="004F686E" w:rsidP="00471D53">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596FEA7A" w14:textId="77777777" w:rsidR="00471D53" w:rsidRDefault="00B664AF">
      <w:pPr>
        <w:rPr>
          <w:szCs w:val="21"/>
        </w:rPr>
      </w:pPr>
    </w:p>
    <w:p w14:paraId="35831D44" w14:textId="77777777" w:rsidR="00471D53" w:rsidRDefault="004F686E">
      <w:pPr>
        <w:pStyle w:val="afffff8"/>
        <w:rPr>
          <w:rFonts w:ascii="宋体" w:hAnsi="宋体"/>
        </w:rPr>
      </w:pPr>
      <w:r>
        <w:rPr>
          <w:rFonts w:ascii="宋体" w:hAnsi="宋体" w:hint="eastAsia"/>
        </w:rPr>
        <w:t>应收股利</w:t>
      </w:r>
    </w:p>
    <w:sdt>
      <w:sdtPr>
        <w:rPr>
          <w:rFonts w:ascii="宋体" w:hAnsi="宋体" w:cstheme="minorBidi" w:hint="eastAsia"/>
          <w:b w:val="0"/>
          <w:bCs w:val="0"/>
          <w:kern w:val="0"/>
          <w:szCs w:val="22"/>
        </w:rPr>
        <w:alias w:val="模块:应收股利"/>
        <w:tag w:val="_GBC_94a22362634d47499fd45a0a5577c49b"/>
        <w:id w:val="-233636630"/>
        <w:lock w:val="sdtLocked"/>
        <w:placeholder>
          <w:docPart w:val="GBC22222222222222222222222222222"/>
        </w:placeholder>
      </w:sdtPr>
      <w:sdtEndPr>
        <w:rPr>
          <w:rFonts w:cs="Times New Roman"/>
          <w:szCs w:val="24"/>
        </w:rPr>
      </w:sdtEndPr>
      <w:sdtContent>
        <w:p w14:paraId="02069678" w14:textId="77777777" w:rsidR="00471D53" w:rsidRDefault="004F686E" w:rsidP="004F686E">
          <w:pPr>
            <w:pStyle w:val="afffff8"/>
            <w:numPr>
              <w:ilvl w:val="3"/>
              <w:numId w:val="63"/>
            </w:numPr>
            <w:tabs>
              <w:tab w:val="left" w:pos="560"/>
            </w:tabs>
            <w:rPr>
              <w:rFonts w:ascii="宋体" w:hAnsi="宋体"/>
            </w:rPr>
          </w:pPr>
          <w:r>
            <w:rPr>
              <w:rFonts w:ascii="宋体" w:hAnsi="宋体" w:hint="eastAsia"/>
            </w:rPr>
            <w:t>应收股利</w:t>
          </w:r>
        </w:p>
        <w:sdt>
          <w:sdtPr>
            <w:alias w:val="是否适用：应收股利[双击切换]"/>
            <w:tag w:val="_GBC_002b8ba295db406eb34a179aa27a4801"/>
            <w:id w:val="-522551863"/>
            <w:lock w:val="sdtLocked"/>
            <w:placeholder>
              <w:docPart w:val="GBC22222222222222222222222222222"/>
            </w:placeholder>
          </w:sdtPr>
          <w:sdtEndPr/>
          <w:sdtContent>
            <w:p w14:paraId="51C72820" w14:textId="77777777" w:rsidR="00471D53" w:rsidRDefault="004F686E" w:rsidP="00471D53">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theme="minorBidi" w:hint="eastAsia"/>
          <w:b w:val="0"/>
          <w:bCs w:val="0"/>
          <w:kern w:val="0"/>
          <w:szCs w:val="22"/>
        </w:rPr>
        <w:alias w:val="模块:应收股利"/>
        <w:tag w:val="_GBC_aafe0f2583ac4a35a029d834ee52b5de"/>
        <w:id w:val="-1340933392"/>
        <w:lock w:val="sdtLocked"/>
        <w:placeholder>
          <w:docPart w:val="GBC22222222222222222222222222222"/>
        </w:placeholder>
      </w:sdtPr>
      <w:sdtEndPr>
        <w:rPr>
          <w:rFonts w:cs="Times New Roman"/>
          <w:szCs w:val="24"/>
        </w:rPr>
      </w:sdtEndPr>
      <w:sdtContent>
        <w:p w14:paraId="563CD518" w14:textId="77777777" w:rsidR="00471D53" w:rsidRDefault="004F686E" w:rsidP="004F686E">
          <w:pPr>
            <w:pStyle w:val="afffff8"/>
            <w:numPr>
              <w:ilvl w:val="3"/>
              <w:numId w:val="63"/>
            </w:numPr>
            <w:tabs>
              <w:tab w:val="left" w:pos="560"/>
            </w:tabs>
            <w:rPr>
              <w:rFonts w:ascii="宋体" w:hAnsi="宋体"/>
            </w:rPr>
          </w:pPr>
          <w:r>
            <w:rPr>
              <w:rFonts w:ascii="宋体" w:hAnsi="宋体" w:hint="eastAsia"/>
            </w:rPr>
            <w:t>重要的账龄超过1年的应收股利</w:t>
          </w:r>
        </w:p>
        <w:p w14:paraId="76C7CB2A" w14:textId="77777777" w:rsidR="00471D53" w:rsidRDefault="00B664AF" w:rsidP="00471D53">
          <w:pPr>
            <w:rPr>
              <w:rFonts w:cs="Times New Roman"/>
            </w:rPr>
          </w:pPr>
          <w:sdt>
            <w:sdtPr>
              <w:rPr>
                <w:rFonts w:hint="eastAsia"/>
                <w:szCs w:val="21"/>
              </w:rPr>
              <w:alias w:val="是否适用：重要的账龄超过1年的应收股利[双击切换]"/>
              <w:tag w:val="_GBC_9aa7ef4a3c0c40638901a5b7f6224231"/>
              <w:id w:val="91284129"/>
              <w:lock w:val="sdtLocked"/>
              <w:placeholder>
                <w:docPart w:val="GBC22222222222222222222222222222"/>
              </w:placeholder>
            </w:sdtPr>
            <w:sdtEndPr/>
            <w:sdtContent>
              <w:r w:rsidR="004F686E">
                <w:rPr>
                  <w:szCs w:val="21"/>
                </w:rPr>
                <w:fldChar w:fldCharType="begin"/>
              </w:r>
              <w:r w:rsidR="004F686E">
                <w:rPr>
                  <w:szCs w:val="21"/>
                </w:rPr>
                <w:instrText xml:space="preserve"> MACROBUTTON  SnrToggleCheckbox □适用 </w:instrText>
              </w:r>
              <w:r w:rsidR="004F686E">
                <w:rPr>
                  <w:szCs w:val="21"/>
                </w:rPr>
                <w:fldChar w:fldCharType="end"/>
              </w:r>
              <w:r w:rsidR="004F686E">
                <w:rPr>
                  <w:szCs w:val="21"/>
                </w:rPr>
                <w:fldChar w:fldCharType="begin"/>
              </w:r>
              <w:r w:rsidR="004F686E">
                <w:rPr>
                  <w:szCs w:val="21"/>
                </w:rPr>
                <w:instrText xml:space="preserve"> MACROBUTTON  SnrToggleCheckbox √不适用 </w:instrText>
              </w:r>
              <w:r w:rsidR="004F686E">
                <w:rPr>
                  <w:szCs w:val="21"/>
                </w:rPr>
                <w:fldChar w:fldCharType="end"/>
              </w:r>
            </w:sdtContent>
          </w:sdt>
        </w:p>
      </w:sdtContent>
    </w:sdt>
    <w:bookmarkStart w:id="131" w:name="_Hlk10468610" w:displacedByCustomXml="next"/>
    <w:sdt>
      <w:sdtPr>
        <w:rPr>
          <w:rFonts w:ascii="宋体" w:hAnsi="宋体" w:cs="宋体" w:hint="eastAsia"/>
          <w:b w:val="0"/>
          <w:bCs w:val="0"/>
          <w:kern w:val="0"/>
          <w:szCs w:val="24"/>
        </w:rPr>
        <w:alias w:val="模块:坏账准备计提情况"/>
        <w:tag w:val="_SEC_cce3905839dc4d6ea19cf81ee0af7e4b"/>
        <w:id w:val="-1935430415"/>
        <w:lock w:val="sdtLocked"/>
        <w:placeholder>
          <w:docPart w:val="GBC22222222222222222222222222222"/>
        </w:placeholder>
      </w:sdtPr>
      <w:sdtEndPr>
        <w:rPr>
          <w:rFonts w:hint="default"/>
        </w:rPr>
      </w:sdtEndPr>
      <w:sdtContent>
        <w:p w14:paraId="07C52F47" w14:textId="77777777" w:rsidR="00471D53" w:rsidRDefault="004F686E" w:rsidP="004F686E">
          <w:pPr>
            <w:pStyle w:val="afffff8"/>
            <w:numPr>
              <w:ilvl w:val="3"/>
              <w:numId w:val="63"/>
            </w:numPr>
            <w:tabs>
              <w:tab w:val="left" w:pos="560"/>
            </w:tabs>
            <w:rPr>
              <w:rFonts w:ascii="宋体" w:hAnsi="宋体"/>
            </w:rPr>
          </w:pPr>
          <w:r>
            <w:rPr>
              <w:rFonts w:ascii="宋体" w:hAnsi="宋体" w:hint="eastAsia"/>
            </w:rPr>
            <w:t>坏账准备计提情况</w:t>
          </w:r>
        </w:p>
        <w:sdt>
          <w:sdtPr>
            <w:alias w:val="是否适用：应收股利坏账准备调节表[双击切换]"/>
            <w:tag w:val="_GBC_5a51eb2bfb0643eb8b9c73cdd0dbec60"/>
            <w:id w:val="1251392705"/>
            <w:lock w:val="sdtLocked"/>
            <w:placeholder>
              <w:docPart w:val="GBC22222222222222222222222222222"/>
            </w:placeholder>
          </w:sdtPr>
          <w:sdtEndPr/>
          <w:sdtContent>
            <w:p w14:paraId="32B37EA6" w14:textId="77777777" w:rsidR="00471D53" w:rsidRDefault="004F686E" w:rsidP="00471D53">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2A86E19" w14:textId="77777777" w:rsidR="00471D53" w:rsidRDefault="00B664AF" w:rsidP="00471D53">
          <w:pPr>
            <w:autoSpaceDE w:val="0"/>
            <w:autoSpaceDN w:val="0"/>
            <w:adjustRightInd w:val="0"/>
            <w:ind w:rightChars="50" w:right="105"/>
            <w:rPr>
              <w:szCs w:val="21"/>
            </w:rPr>
          </w:pPr>
        </w:p>
        <w:p w14:paraId="2294A866" w14:textId="77777777" w:rsidR="00471D53" w:rsidRDefault="00B664AF">
          <w:pPr>
            <w:rPr>
              <w:rFonts w:cs="Times New Roman"/>
            </w:rPr>
          </w:pPr>
        </w:p>
      </w:sdtContent>
    </w:sdt>
    <w:bookmarkEnd w:id="131" w:displacedByCustomXml="prev"/>
    <w:sdt>
      <w:sdtPr>
        <w:rPr>
          <w:rFonts w:hint="eastAsia"/>
          <w:szCs w:val="21"/>
        </w:rPr>
        <w:alias w:val="模块:应收股利的说明"/>
        <w:tag w:val="_GBC_3543035ac1594f0aaa966ebb907a6f0d"/>
        <w:id w:val="2021200479"/>
        <w:lock w:val="sdtLocked"/>
        <w:placeholder>
          <w:docPart w:val="GBC22222222222222222222222222222"/>
        </w:placeholder>
      </w:sdtPr>
      <w:sdtEndPr>
        <w:rPr>
          <w:rFonts w:hint="default"/>
        </w:rPr>
      </w:sdtEndPr>
      <w:sdtContent>
        <w:p w14:paraId="509AEB26" w14:textId="77777777" w:rsidR="00471D53" w:rsidRDefault="004F686E">
          <w:pPr>
            <w:rPr>
              <w:szCs w:val="21"/>
            </w:rPr>
          </w:pPr>
          <w:r>
            <w:rPr>
              <w:rFonts w:hint="eastAsia"/>
              <w:szCs w:val="21"/>
            </w:rPr>
            <w:t>其他说明：</w:t>
          </w:r>
        </w:p>
        <w:sdt>
          <w:sdtPr>
            <w:rPr>
              <w:szCs w:val="21"/>
            </w:rPr>
            <w:alias w:val="是否适用：应收股利的说明[双击切换]"/>
            <w:tag w:val="_GBC_108dd924d7ca4fa78961046db5cd354e"/>
            <w:id w:val="71477816"/>
            <w:lock w:val="sdtLocked"/>
            <w:placeholder>
              <w:docPart w:val="GBC22222222222222222222222222222"/>
            </w:placeholder>
          </w:sdtPr>
          <w:sdtEndPr/>
          <w:sdtContent>
            <w:p w14:paraId="623BFAD4" w14:textId="77777777" w:rsidR="00471D53" w:rsidRDefault="004F686E" w:rsidP="00471D5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14:paraId="4693CFA0" w14:textId="77777777" w:rsidR="00471D53" w:rsidRDefault="00B664AF" w:rsidP="00471D53">
      <w:pPr>
        <w:snapToGrid w:val="0"/>
        <w:spacing w:line="240" w:lineRule="atLeast"/>
        <w:ind w:rightChars="12" w:right="25"/>
        <w:rPr>
          <w:color w:val="FF0000"/>
          <w:szCs w:val="21"/>
        </w:rPr>
      </w:pPr>
    </w:p>
    <w:p w14:paraId="2F910398" w14:textId="77777777" w:rsidR="00471D53" w:rsidRDefault="004F686E">
      <w:pPr>
        <w:pStyle w:val="afffff8"/>
        <w:rPr>
          <w:rFonts w:ascii="宋体" w:hAnsi="宋体"/>
        </w:rPr>
      </w:pPr>
      <w:r>
        <w:rPr>
          <w:rFonts w:ascii="宋体" w:hAnsi="宋体" w:hint="eastAsia"/>
        </w:rPr>
        <w:t>其他应收款</w:t>
      </w:r>
    </w:p>
    <w:bookmarkStart w:id="132" w:name="_Hlk10469252" w:displacedByCustomXml="next"/>
    <w:sdt>
      <w:sdtPr>
        <w:rPr>
          <w:rFonts w:ascii="宋体" w:hAnsi="宋体" w:cs="宋体" w:hint="eastAsia"/>
          <w:b w:val="0"/>
          <w:bCs w:val="0"/>
          <w:kern w:val="0"/>
          <w:szCs w:val="21"/>
        </w:rPr>
        <w:alias w:val="模块:组合中，按账龄分析法计提坏账准备的其他应收账款："/>
        <w:tag w:val="_GBC_84907f0c47bb4c62b91a81382adfc126"/>
        <w:id w:val="-1565785309"/>
        <w:lock w:val="sdtLocked"/>
        <w:placeholder>
          <w:docPart w:val="GBC22222222222222222222222222222"/>
        </w:placeholder>
      </w:sdtPr>
      <w:sdtEndPr>
        <w:rPr>
          <w:rFonts w:hint="default"/>
        </w:rPr>
      </w:sdtEndPr>
      <w:sdtContent>
        <w:p w14:paraId="6943A938" w14:textId="77777777" w:rsidR="00471D53" w:rsidRDefault="004F686E" w:rsidP="004F686E">
          <w:pPr>
            <w:pStyle w:val="afffff8"/>
            <w:numPr>
              <w:ilvl w:val="3"/>
              <w:numId w:val="63"/>
            </w:numPr>
            <w:tabs>
              <w:tab w:val="left" w:pos="560"/>
            </w:tabs>
            <w:rPr>
              <w:rFonts w:ascii="宋体" w:hAnsi="宋体"/>
              <w:szCs w:val="21"/>
            </w:rPr>
          </w:pPr>
          <w:r>
            <w:rPr>
              <w:rFonts w:ascii="宋体" w:hAnsi="宋体" w:hint="eastAsia"/>
              <w:szCs w:val="21"/>
            </w:rPr>
            <w:t>按账龄披露</w:t>
          </w:r>
        </w:p>
        <w:sdt>
          <w:sdtPr>
            <w:rPr>
              <w:rFonts w:hint="eastAsia"/>
              <w:szCs w:val="21"/>
            </w:rPr>
            <w:alias w:val="是否适用：组合中，按账龄分析法计提坏账准备的其他应收账款[双击切换]"/>
            <w:tag w:val="_GBC_14503383cb9a4c528e4dc8ae4e2b1c29"/>
            <w:id w:val="4564685"/>
            <w:lock w:val="sdtLocked"/>
            <w:placeholder>
              <w:docPart w:val="GBC22222222222222222222222222222"/>
            </w:placeholder>
          </w:sdtPr>
          <w:sdtEndPr/>
          <w:sdtContent>
            <w:p w14:paraId="63BFC2BA" w14:textId="77777777" w:rsidR="00471D53" w:rsidRDefault="004F686E">
              <w:pPr>
                <w:rPr>
                  <w:szCs w:val="21"/>
                </w:rPr>
              </w:pPr>
              <w:r>
                <w:rPr>
                  <w:szCs w:val="21"/>
                </w:rPr>
                <w:fldChar w:fldCharType="begin"/>
              </w:r>
              <w:r>
                <w:rPr>
                  <w:szCs w:val="21"/>
                </w:rPr>
                <w:instrText>MACROBUTTON  SnrToggleCheckbox √适用</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20A508E3" w14:textId="1F8E37EF" w:rsidR="00471D53" w:rsidRDefault="004F686E">
          <w:pPr>
            <w:jc w:val="right"/>
            <w:rPr>
              <w:szCs w:val="21"/>
            </w:rPr>
          </w:pPr>
          <w:r>
            <w:rPr>
              <w:rFonts w:hint="eastAsia"/>
              <w:szCs w:val="21"/>
            </w:rPr>
            <w:t>单位：</w:t>
          </w:r>
          <w:sdt>
            <w:sdtPr>
              <w:rPr>
                <w:rFonts w:hint="eastAsia"/>
                <w:szCs w:val="21"/>
              </w:rPr>
              <w:alias w:val="单位：财务附注：单项金额不重大但按信用风险特征组合后该组合的风险较大的其他应收账款"/>
              <w:tag w:val="_GBC_6764c0879eca4748ae4bb8a2ce276e17"/>
              <w:id w:val="20078586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单项金额不重大但按信用风险特征组合后该组合的风险较大的其他应收账款"/>
              <w:tag w:val="_GBC_58c31c61f2a5441db0ca086544f32ce2"/>
              <w:id w:val="-6529807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496"/>
            <w:gridCol w:w="4327"/>
          </w:tblGrid>
          <w:tr w:rsidR="00471D53" w14:paraId="16661E71" w14:textId="77777777" w:rsidTr="00510B81">
            <w:trPr>
              <w:cantSplit/>
            </w:trPr>
            <w:sdt>
              <w:sdtPr>
                <w:tag w:val="_PLD_6b0994a4e2bf4d64b8bfa8195d1acb6c"/>
                <w:id w:val="-1411618324"/>
                <w:lock w:val="sdtLocked"/>
              </w:sdtPr>
              <w:sdtEndPr/>
              <w:sdtContent>
                <w:tc>
                  <w:tcPr>
                    <w:tcW w:w="2548" w:type="pct"/>
                    <w:tcBorders>
                      <w:top w:val="single" w:sz="4" w:space="0" w:color="auto"/>
                      <w:left w:val="single" w:sz="4" w:space="0" w:color="auto"/>
                      <w:bottom w:val="single" w:sz="4" w:space="0" w:color="auto"/>
                      <w:right w:val="single" w:sz="4" w:space="0" w:color="auto"/>
                    </w:tcBorders>
                    <w:vAlign w:val="center"/>
                  </w:tcPr>
                  <w:p w14:paraId="46A35FC2" w14:textId="77777777" w:rsidR="00471D53" w:rsidRDefault="004F686E">
                    <w:pPr>
                      <w:jc w:val="center"/>
                      <w:rPr>
                        <w:szCs w:val="21"/>
                      </w:rPr>
                    </w:pPr>
                    <w:r>
                      <w:rPr>
                        <w:rFonts w:hint="eastAsia"/>
                        <w:szCs w:val="21"/>
                      </w:rPr>
                      <w:t>账龄</w:t>
                    </w:r>
                  </w:p>
                </w:tc>
              </w:sdtContent>
            </w:sdt>
            <w:sdt>
              <w:sdtPr>
                <w:tag w:val="_PLD_432b76b66b924b46b150a8c34f250ad2"/>
                <w:id w:val="-724913785"/>
                <w:lock w:val="sdtLocked"/>
              </w:sdtPr>
              <w:sdtEndPr/>
              <w:sdtContent>
                <w:tc>
                  <w:tcPr>
                    <w:tcW w:w="2452" w:type="pct"/>
                    <w:tcBorders>
                      <w:top w:val="single" w:sz="4" w:space="0" w:color="auto"/>
                      <w:left w:val="single" w:sz="4" w:space="0" w:color="auto"/>
                      <w:bottom w:val="single" w:sz="4" w:space="0" w:color="auto"/>
                      <w:right w:val="single" w:sz="4" w:space="0" w:color="auto"/>
                    </w:tcBorders>
                    <w:vAlign w:val="center"/>
                  </w:tcPr>
                  <w:p w14:paraId="5A8B339E" w14:textId="77777777" w:rsidR="00471D53" w:rsidRDefault="004F686E">
                    <w:pPr>
                      <w:jc w:val="center"/>
                      <w:rPr>
                        <w:szCs w:val="21"/>
                      </w:rPr>
                    </w:pPr>
                    <w:r>
                      <w:rPr>
                        <w:rFonts w:hint="eastAsia"/>
                        <w:szCs w:val="21"/>
                      </w:rPr>
                      <w:t>期末账面余额</w:t>
                    </w:r>
                  </w:p>
                </w:tc>
              </w:sdtContent>
            </w:sdt>
          </w:tr>
          <w:tr w:rsidR="00471D53" w14:paraId="7DC2B695" w14:textId="77777777" w:rsidTr="007421B8">
            <w:trPr>
              <w:cantSplit/>
            </w:trPr>
            <w:sdt>
              <w:sdtPr>
                <w:tag w:val="_PLD_1041b49a86da40c3a051ceae58ba8016"/>
                <w:id w:val="-299314067"/>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14:paraId="66AA976F" w14:textId="77777777" w:rsidR="00471D53" w:rsidRDefault="004F686E">
                    <w:pPr>
                      <w:rPr>
                        <w:color w:val="FF0000"/>
                        <w:szCs w:val="21"/>
                      </w:rPr>
                    </w:pPr>
                    <w:r>
                      <w:rPr>
                        <w:rFonts w:hint="eastAsia"/>
                        <w:szCs w:val="21"/>
                      </w:rPr>
                      <w:t>1年以内</w:t>
                    </w:r>
                  </w:p>
                </w:tc>
              </w:sdtContent>
            </w:sdt>
          </w:tr>
          <w:tr w:rsidR="00471D53" w14:paraId="7E4B491B" w14:textId="77777777" w:rsidTr="00510B81">
            <w:trPr>
              <w:cantSplit/>
            </w:trPr>
            <w:sdt>
              <w:sdtPr>
                <w:tag w:val="_PLD_a0ff2716a91b42a6ae2b722f67cab8d3"/>
                <w:id w:val="-1152440922"/>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14:paraId="31E38058" w14:textId="77777777" w:rsidR="00471D53" w:rsidRDefault="004F686E">
                    <w:pPr>
                      <w:rPr>
                        <w:szCs w:val="21"/>
                      </w:rPr>
                    </w:pPr>
                    <w:r>
                      <w:rPr>
                        <w:rFonts w:hint="eastAsia"/>
                        <w:szCs w:val="21"/>
                      </w:rPr>
                      <w:t>其中：1年以内分项</w:t>
                    </w:r>
                  </w:p>
                </w:tc>
              </w:sdtContent>
            </w:sdt>
          </w:tr>
          <w:sdt>
            <w:sdtPr>
              <w:rPr>
                <w:rFonts w:hint="eastAsia"/>
                <w:szCs w:val="21"/>
              </w:rPr>
              <w:alias w:val="一年以内其他应收款金额明细"/>
              <w:tag w:val="_TUP_b427c25173e24fbfaaaef5667baae3a1"/>
              <w:id w:val="-1810080060"/>
              <w:lock w:val="sdtLocked"/>
              <w:placeholder>
                <w:docPart w:val="GBC11111111111111111111111111111"/>
              </w:placeholder>
            </w:sdtPr>
            <w:sdtEndPr/>
            <w:sdtContent>
              <w:tr w:rsidR="00471D53" w14:paraId="67EE0F68" w14:textId="77777777" w:rsidTr="00510B81">
                <w:trPr>
                  <w:cantSplit/>
                </w:trPr>
                <w:tc>
                  <w:tcPr>
                    <w:tcW w:w="2548" w:type="pct"/>
                    <w:tcBorders>
                      <w:top w:val="single" w:sz="4" w:space="0" w:color="auto"/>
                      <w:left w:val="single" w:sz="4" w:space="0" w:color="auto"/>
                      <w:bottom w:val="single" w:sz="4" w:space="0" w:color="auto"/>
                      <w:right w:val="single" w:sz="4" w:space="0" w:color="auto"/>
                    </w:tcBorders>
                  </w:tcPr>
                  <w:p w14:paraId="29408B51" w14:textId="77777777" w:rsidR="00471D53" w:rsidRDefault="00B664AF">
                    <w:pPr>
                      <w:rPr>
                        <w:szCs w:val="21"/>
                      </w:rPr>
                    </w:pPr>
                  </w:p>
                </w:tc>
                <w:tc>
                  <w:tcPr>
                    <w:tcW w:w="2452" w:type="pct"/>
                    <w:tcBorders>
                      <w:top w:val="single" w:sz="4" w:space="0" w:color="auto"/>
                      <w:left w:val="single" w:sz="4" w:space="0" w:color="auto"/>
                      <w:bottom w:val="single" w:sz="4" w:space="0" w:color="auto"/>
                      <w:right w:val="single" w:sz="4" w:space="0" w:color="auto"/>
                    </w:tcBorders>
                  </w:tcPr>
                  <w:p w14:paraId="2C2D7BAB" w14:textId="77777777" w:rsidR="00471D53" w:rsidRDefault="00B664AF">
                    <w:pPr>
                      <w:jc w:val="right"/>
                      <w:rPr>
                        <w:szCs w:val="21"/>
                      </w:rPr>
                    </w:pPr>
                  </w:p>
                </w:tc>
              </w:tr>
            </w:sdtContent>
          </w:sdt>
          <w:sdt>
            <w:sdtPr>
              <w:rPr>
                <w:rFonts w:hint="eastAsia"/>
                <w:szCs w:val="21"/>
              </w:rPr>
              <w:alias w:val="一年以内其他应收款金额明细"/>
              <w:tag w:val="_TUP_b427c25173e24fbfaaaef5667baae3a1"/>
              <w:id w:val="-819653165"/>
              <w:lock w:val="sdtLocked"/>
              <w:placeholder>
                <w:docPart w:val="GBC11111111111111111111111111111"/>
              </w:placeholder>
            </w:sdtPr>
            <w:sdtEndPr/>
            <w:sdtContent>
              <w:tr w:rsidR="00471D53" w14:paraId="57E969A6" w14:textId="77777777" w:rsidTr="00510B81">
                <w:trPr>
                  <w:cantSplit/>
                </w:trPr>
                <w:tc>
                  <w:tcPr>
                    <w:tcW w:w="2548" w:type="pct"/>
                    <w:tcBorders>
                      <w:top w:val="single" w:sz="4" w:space="0" w:color="auto"/>
                      <w:left w:val="single" w:sz="4" w:space="0" w:color="auto"/>
                      <w:bottom w:val="single" w:sz="4" w:space="0" w:color="auto"/>
                      <w:right w:val="single" w:sz="4" w:space="0" w:color="auto"/>
                    </w:tcBorders>
                  </w:tcPr>
                  <w:p w14:paraId="53EF6343" w14:textId="77777777" w:rsidR="00471D53" w:rsidRDefault="00B664AF">
                    <w:pPr>
                      <w:rPr>
                        <w:szCs w:val="21"/>
                      </w:rPr>
                    </w:pPr>
                  </w:p>
                </w:tc>
                <w:tc>
                  <w:tcPr>
                    <w:tcW w:w="2452" w:type="pct"/>
                    <w:tcBorders>
                      <w:top w:val="single" w:sz="4" w:space="0" w:color="auto"/>
                      <w:left w:val="single" w:sz="4" w:space="0" w:color="auto"/>
                      <w:bottom w:val="single" w:sz="4" w:space="0" w:color="auto"/>
                      <w:right w:val="single" w:sz="4" w:space="0" w:color="auto"/>
                    </w:tcBorders>
                  </w:tcPr>
                  <w:p w14:paraId="21BFD8B5" w14:textId="77777777" w:rsidR="00471D53" w:rsidRDefault="00B664AF">
                    <w:pPr>
                      <w:jc w:val="right"/>
                      <w:rPr>
                        <w:szCs w:val="21"/>
                      </w:rPr>
                    </w:pPr>
                  </w:p>
                </w:tc>
              </w:tr>
            </w:sdtContent>
          </w:sdt>
          <w:tr w:rsidR="00471D53" w14:paraId="29A6CD08" w14:textId="77777777" w:rsidTr="00471D53">
            <w:trPr>
              <w:cantSplit/>
            </w:trPr>
            <w:sdt>
              <w:sdtPr>
                <w:tag w:val="_PLD_117c27ae49f24df483b32b6cd9c22857"/>
                <w:id w:val="-2063163527"/>
                <w:lock w:val="sdtLocked"/>
              </w:sdtPr>
              <w:sdtEndPr/>
              <w:sdtContent>
                <w:tc>
                  <w:tcPr>
                    <w:tcW w:w="2548" w:type="pct"/>
                    <w:tcBorders>
                      <w:top w:val="single" w:sz="4" w:space="0" w:color="auto"/>
                      <w:left w:val="single" w:sz="4" w:space="0" w:color="auto"/>
                      <w:bottom w:val="single" w:sz="4" w:space="0" w:color="auto"/>
                      <w:right w:val="single" w:sz="4" w:space="0" w:color="auto"/>
                    </w:tcBorders>
                  </w:tcPr>
                  <w:p w14:paraId="5129FE13" w14:textId="77777777" w:rsidR="00471D53" w:rsidRDefault="004F686E">
                    <w:pPr>
                      <w:rPr>
                        <w:szCs w:val="21"/>
                      </w:rPr>
                    </w:pPr>
                    <w:r>
                      <w:rPr>
                        <w:rFonts w:hint="eastAsia"/>
                        <w:szCs w:val="21"/>
                      </w:rPr>
                      <w:t>1年以内小计</w:t>
                    </w:r>
                  </w:p>
                </w:tc>
              </w:sdtContent>
            </w:sdt>
            <w:tc>
              <w:tcPr>
                <w:tcW w:w="2452" w:type="pct"/>
                <w:tcBorders>
                  <w:top w:val="single" w:sz="4" w:space="0" w:color="auto"/>
                  <w:left w:val="single" w:sz="4" w:space="0" w:color="auto"/>
                  <w:bottom w:val="single" w:sz="4" w:space="0" w:color="auto"/>
                  <w:right w:val="single" w:sz="4" w:space="0" w:color="auto"/>
                </w:tcBorders>
                <w:vAlign w:val="center"/>
              </w:tcPr>
              <w:p w14:paraId="1B4B0FB8" w14:textId="77777777" w:rsidR="00471D53" w:rsidRDefault="004F686E" w:rsidP="00471D53">
                <w:pPr>
                  <w:jc w:val="right"/>
                  <w:outlineLvl w:val="0"/>
                  <w:rPr>
                    <w:sz w:val="22"/>
                    <w:szCs w:val="22"/>
                  </w:rPr>
                </w:pPr>
                <w:r w:rsidRPr="00121EF6">
                  <w:rPr>
                    <w:sz w:val="22"/>
                    <w:szCs w:val="22"/>
                  </w:rPr>
                  <w:t>4,069,084.66</w:t>
                </w:r>
              </w:p>
            </w:tc>
          </w:tr>
          <w:tr w:rsidR="00471D53" w14:paraId="66C12A7C" w14:textId="77777777" w:rsidTr="00471D53">
            <w:trPr>
              <w:cantSplit/>
            </w:trPr>
            <w:sdt>
              <w:sdtPr>
                <w:tag w:val="_PLD_eec5fc3899b34bb8ac2c023bb178201d"/>
                <w:id w:val="1452666359"/>
                <w:lock w:val="sdtLocked"/>
              </w:sdtPr>
              <w:sdtEndPr/>
              <w:sdtContent>
                <w:tc>
                  <w:tcPr>
                    <w:tcW w:w="2548" w:type="pct"/>
                    <w:tcBorders>
                      <w:top w:val="single" w:sz="4" w:space="0" w:color="auto"/>
                      <w:left w:val="single" w:sz="4" w:space="0" w:color="auto"/>
                      <w:bottom w:val="single" w:sz="4" w:space="0" w:color="auto"/>
                      <w:right w:val="single" w:sz="4" w:space="0" w:color="auto"/>
                    </w:tcBorders>
                  </w:tcPr>
                  <w:p w14:paraId="7F146573" w14:textId="77777777" w:rsidR="00471D53" w:rsidRDefault="004F686E">
                    <w:pPr>
                      <w:rPr>
                        <w:szCs w:val="21"/>
                      </w:rPr>
                    </w:pPr>
                    <w:r>
                      <w:rPr>
                        <w:rFonts w:hint="eastAsia"/>
                        <w:szCs w:val="21"/>
                      </w:rPr>
                      <w:t>1至2年</w:t>
                    </w:r>
                  </w:p>
                </w:tc>
              </w:sdtContent>
            </w:sdt>
            <w:tc>
              <w:tcPr>
                <w:tcW w:w="2452" w:type="pct"/>
                <w:tcBorders>
                  <w:top w:val="single" w:sz="4" w:space="0" w:color="auto"/>
                  <w:left w:val="single" w:sz="4" w:space="0" w:color="auto"/>
                  <w:bottom w:val="single" w:sz="4" w:space="0" w:color="auto"/>
                  <w:right w:val="single" w:sz="4" w:space="0" w:color="auto"/>
                </w:tcBorders>
                <w:vAlign w:val="center"/>
              </w:tcPr>
              <w:p w14:paraId="7D05E8CE" w14:textId="77777777" w:rsidR="00471D53" w:rsidRDefault="004F686E" w:rsidP="00471D53">
                <w:pPr>
                  <w:jc w:val="right"/>
                  <w:outlineLvl w:val="0"/>
                  <w:rPr>
                    <w:sz w:val="22"/>
                    <w:szCs w:val="22"/>
                  </w:rPr>
                </w:pPr>
                <w:r w:rsidRPr="00121EF6">
                  <w:rPr>
                    <w:sz w:val="22"/>
                    <w:szCs w:val="22"/>
                  </w:rPr>
                  <w:t>3,558,848.59</w:t>
                </w:r>
              </w:p>
            </w:tc>
          </w:tr>
          <w:tr w:rsidR="00471D53" w14:paraId="72A54E53" w14:textId="77777777" w:rsidTr="00471D53">
            <w:trPr>
              <w:cantSplit/>
            </w:trPr>
            <w:sdt>
              <w:sdtPr>
                <w:tag w:val="_PLD_4147aa219b3044cb87cadcbf20a7f278"/>
                <w:id w:val="-1739623379"/>
                <w:lock w:val="sdtLocked"/>
              </w:sdtPr>
              <w:sdtEndPr/>
              <w:sdtContent>
                <w:tc>
                  <w:tcPr>
                    <w:tcW w:w="2548" w:type="pct"/>
                    <w:tcBorders>
                      <w:top w:val="single" w:sz="4" w:space="0" w:color="auto"/>
                      <w:left w:val="single" w:sz="4" w:space="0" w:color="auto"/>
                      <w:bottom w:val="single" w:sz="4" w:space="0" w:color="auto"/>
                      <w:right w:val="single" w:sz="4" w:space="0" w:color="auto"/>
                    </w:tcBorders>
                  </w:tcPr>
                  <w:p w14:paraId="1B87B66F" w14:textId="77777777" w:rsidR="00471D53" w:rsidRDefault="004F686E">
                    <w:pPr>
                      <w:rPr>
                        <w:szCs w:val="21"/>
                      </w:rPr>
                    </w:pPr>
                    <w:r>
                      <w:rPr>
                        <w:rFonts w:hint="eastAsia"/>
                        <w:szCs w:val="21"/>
                      </w:rPr>
                      <w:t>2至3年</w:t>
                    </w:r>
                  </w:p>
                </w:tc>
              </w:sdtContent>
            </w:sdt>
            <w:tc>
              <w:tcPr>
                <w:tcW w:w="2452" w:type="pct"/>
                <w:tcBorders>
                  <w:top w:val="single" w:sz="4" w:space="0" w:color="auto"/>
                  <w:left w:val="single" w:sz="4" w:space="0" w:color="auto"/>
                  <w:bottom w:val="single" w:sz="4" w:space="0" w:color="auto"/>
                  <w:right w:val="single" w:sz="4" w:space="0" w:color="auto"/>
                </w:tcBorders>
                <w:vAlign w:val="center"/>
              </w:tcPr>
              <w:p w14:paraId="452D370A" w14:textId="77777777" w:rsidR="00471D53" w:rsidRDefault="004F686E" w:rsidP="00471D53">
                <w:pPr>
                  <w:jc w:val="right"/>
                  <w:outlineLvl w:val="0"/>
                  <w:rPr>
                    <w:sz w:val="22"/>
                    <w:szCs w:val="22"/>
                  </w:rPr>
                </w:pPr>
                <w:r w:rsidRPr="00121EF6">
                  <w:rPr>
                    <w:sz w:val="22"/>
                    <w:szCs w:val="22"/>
                  </w:rPr>
                  <w:t>950,255.98</w:t>
                </w:r>
              </w:p>
            </w:tc>
          </w:tr>
          <w:tr w:rsidR="00471D53" w14:paraId="5CF65683" w14:textId="77777777" w:rsidTr="00510B81">
            <w:trPr>
              <w:cantSplit/>
            </w:trPr>
            <w:sdt>
              <w:sdtPr>
                <w:tag w:val="_PLD_fb935d76867c48c7bf55f3d52575dd91"/>
                <w:id w:val="1080872408"/>
                <w:lock w:val="sdtLocked"/>
              </w:sdtPr>
              <w:sdtEndPr/>
              <w:sdtContent>
                <w:tc>
                  <w:tcPr>
                    <w:tcW w:w="2548" w:type="pct"/>
                    <w:tcBorders>
                      <w:top w:val="single" w:sz="4" w:space="0" w:color="auto"/>
                      <w:left w:val="single" w:sz="4" w:space="0" w:color="auto"/>
                      <w:bottom w:val="single" w:sz="4" w:space="0" w:color="auto"/>
                      <w:right w:val="single" w:sz="4" w:space="0" w:color="auto"/>
                    </w:tcBorders>
                  </w:tcPr>
                  <w:p w14:paraId="4ABAC23C" w14:textId="77777777" w:rsidR="00471D53" w:rsidRDefault="004F686E">
                    <w:pPr>
                      <w:rPr>
                        <w:szCs w:val="21"/>
                      </w:rPr>
                    </w:pPr>
                    <w:r>
                      <w:rPr>
                        <w:rFonts w:hint="eastAsia"/>
                        <w:szCs w:val="21"/>
                      </w:rPr>
                      <w:t>3年以上</w:t>
                    </w:r>
                  </w:p>
                </w:tc>
              </w:sdtContent>
            </w:sdt>
            <w:tc>
              <w:tcPr>
                <w:tcW w:w="2452" w:type="pct"/>
                <w:tcBorders>
                  <w:top w:val="single" w:sz="4" w:space="0" w:color="auto"/>
                  <w:left w:val="single" w:sz="4" w:space="0" w:color="auto"/>
                  <w:bottom w:val="single" w:sz="4" w:space="0" w:color="auto"/>
                  <w:right w:val="single" w:sz="4" w:space="0" w:color="auto"/>
                </w:tcBorders>
              </w:tcPr>
              <w:p w14:paraId="4265F860" w14:textId="77777777" w:rsidR="00471D53" w:rsidRDefault="00B664AF">
                <w:pPr>
                  <w:jc w:val="right"/>
                  <w:rPr>
                    <w:szCs w:val="21"/>
                  </w:rPr>
                </w:pPr>
              </w:p>
            </w:tc>
          </w:tr>
          <w:tr w:rsidR="00471D53" w14:paraId="16DD7612" w14:textId="77777777" w:rsidTr="00471D53">
            <w:trPr>
              <w:cantSplit/>
            </w:trPr>
            <w:sdt>
              <w:sdtPr>
                <w:tag w:val="_PLD_66cf044e27544e89bd84871740a65504"/>
                <w:id w:val="899017725"/>
                <w:lock w:val="sdtLocked"/>
              </w:sdtPr>
              <w:sdtEndPr/>
              <w:sdtContent>
                <w:tc>
                  <w:tcPr>
                    <w:tcW w:w="2548" w:type="pct"/>
                    <w:tcBorders>
                      <w:top w:val="single" w:sz="4" w:space="0" w:color="auto"/>
                      <w:left w:val="single" w:sz="4" w:space="0" w:color="auto"/>
                      <w:bottom w:val="single" w:sz="4" w:space="0" w:color="auto"/>
                      <w:right w:val="single" w:sz="4" w:space="0" w:color="auto"/>
                    </w:tcBorders>
                  </w:tcPr>
                  <w:p w14:paraId="7161BF0C" w14:textId="77777777" w:rsidR="00471D53" w:rsidRDefault="004F686E">
                    <w:pPr>
                      <w:rPr>
                        <w:szCs w:val="21"/>
                      </w:rPr>
                    </w:pPr>
                    <w:r>
                      <w:rPr>
                        <w:rFonts w:hint="eastAsia"/>
                        <w:szCs w:val="21"/>
                      </w:rPr>
                      <w:t>3至4年</w:t>
                    </w:r>
                  </w:p>
                </w:tc>
              </w:sdtContent>
            </w:sdt>
            <w:tc>
              <w:tcPr>
                <w:tcW w:w="2452" w:type="pct"/>
                <w:tcBorders>
                  <w:top w:val="single" w:sz="4" w:space="0" w:color="auto"/>
                  <w:left w:val="single" w:sz="4" w:space="0" w:color="auto"/>
                  <w:bottom w:val="single" w:sz="4" w:space="0" w:color="auto"/>
                  <w:right w:val="single" w:sz="4" w:space="0" w:color="auto"/>
                </w:tcBorders>
                <w:vAlign w:val="center"/>
              </w:tcPr>
              <w:p w14:paraId="5AFC29D3" w14:textId="77777777" w:rsidR="00471D53" w:rsidRDefault="004F686E" w:rsidP="00471D53">
                <w:pPr>
                  <w:jc w:val="right"/>
                  <w:outlineLvl w:val="0"/>
                  <w:rPr>
                    <w:sz w:val="22"/>
                    <w:szCs w:val="22"/>
                  </w:rPr>
                </w:pPr>
                <w:r w:rsidRPr="00121EF6">
                  <w:rPr>
                    <w:sz w:val="22"/>
                    <w:szCs w:val="22"/>
                  </w:rPr>
                  <w:t>142,730.00</w:t>
                </w:r>
              </w:p>
            </w:tc>
          </w:tr>
          <w:tr w:rsidR="00471D53" w14:paraId="659DC3F7" w14:textId="77777777" w:rsidTr="00471D53">
            <w:trPr>
              <w:cantSplit/>
            </w:trPr>
            <w:sdt>
              <w:sdtPr>
                <w:tag w:val="_PLD_9c7f07cb7cf1435b8f2137c3fdbbf981"/>
                <w:id w:val="-1113967423"/>
                <w:lock w:val="sdtLocked"/>
              </w:sdtPr>
              <w:sdtEndPr/>
              <w:sdtContent>
                <w:tc>
                  <w:tcPr>
                    <w:tcW w:w="2548" w:type="pct"/>
                    <w:tcBorders>
                      <w:top w:val="single" w:sz="4" w:space="0" w:color="auto"/>
                      <w:left w:val="single" w:sz="4" w:space="0" w:color="auto"/>
                      <w:bottom w:val="single" w:sz="4" w:space="0" w:color="auto"/>
                      <w:right w:val="single" w:sz="4" w:space="0" w:color="auto"/>
                    </w:tcBorders>
                  </w:tcPr>
                  <w:p w14:paraId="49075207" w14:textId="77777777" w:rsidR="00471D53" w:rsidRDefault="004F686E">
                    <w:pPr>
                      <w:rPr>
                        <w:szCs w:val="21"/>
                      </w:rPr>
                    </w:pPr>
                    <w:r>
                      <w:rPr>
                        <w:rFonts w:hint="eastAsia"/>
                        <w:szCs w:val="21"/>
                      </w:rPr>
                      <w:t>4至5年</w:t>
                    </w:r>
                  </w:p>
                </w:tc>
              </w:sdtContent>
            </w:sdt>
            <w:tc>
              <w:tcPr>
                <w:tcW w:w="2452" w:type="pct"/>
                <w:tcBorders>
                  <w:top w:val="single" w:sz="4" w:space="0" w:color="auto"/>
                  <w:left w:val="single" w:sz="4" w:space="0" w:color="auto"/>
                  <w:bottom w:val="single" w:sz="4" w:space="0" w:color="auto"/>
                  <w:right w:val="single" w:sz="4" w:space="0" w:color="auto"/>
                </w:tcBorders>
                <w:vAlign w:val="center"/>
              </w:tcPr>
              <w:p w14:paraId="187F4599" w14:textId="77777777" w:rsidR="00471D53" w:rsidRDefault="004F686E" w:rsidP="00471D53">
                <w:pPr>
                  <w:jc w:val="right"/>
                  <w:outlineLvl w:val="0"/>
                  <w:rPr>
                    <w:sz w:val="22"/>
                    <w:szCs w:val="22"/>
                  </w:rPr>
                </w:pPr>
                <w:r w:rsidRPr="00121EF6">
                  <w:rPr>
                    <w:sz w:val="22"/>
                    <w:szCs w:val="22"/>
                  </w:rPr>
                  <w:t>85,500.00</w:t>
                </w:r>
              </w:p>
            </w:tc>
          </w:tr>
          <w:tr w:rsidR="00471D53" w14:paraId="2BC74788" w14:textId="77777777" w:rsidTr="00471D53">
            <w:trPr>
              <w:cantSplit/>
            </w:trPr>
            <w:sdt>
              <w:sdtPr>
                <w:tag w:val="_PLD_aec7ac0213fc4614a98de6a3c736e280"/>
                <w:id w:val="359482041"/>
                <w:lock w:val="sdtLocked"/>
              </w:sdtPr>
              <w:sdtEndPr/>
              <w:sdtContent>
                <w:tc>
                  <w:tcPr>
                    <w:tcW w:w="2548" w:type="pct"/>
                    <w:tcBorders>
                      <w:top w:val="single" w:sz="4" w:space="0" w:color="auto"/>
                      <w:left w:val="single" w:sz="4" w:space="0" w:color="auto"/>
                      <w:bottom w:val="single" w:sz="4" w:space="0" w:color="auto"/>
                      <w:right w:val="single" w:sz="4" w:space="0" w:color="auto"/>
                    </w:tcBorders>
                  </w:tcPr>
                  <w:p w14:paraId="7073BC36" w14:textId="77777777" w:rsidR="00471D53" w:rsidRDefault="004F686E">
                    <w:pPr>
                      <w:rPr>
                        <w:szCs w:val="21"/>
                      </w:rPr>
                    </w:pPr>
                    <w:r>
                      <w:rPr>
                        <w:rFonts w:hint="eastAsia"/>
                        <w:szCs w:val="21"/>
                      </w:rPr>
                      <w:t>5年以上</w:t>
                    </w:r>
                  </w:p>
                </w:tc>
              </w:sdtContent>
            </w:sdt>
            <w:tc>
              <w:tcPr>
                <w:tcW w:w="2452" w:type="pct"/>
                <w:tcBorders>
                  <w:top w:val="single" w:sz="4" w:space="0" w:color="auto"/>
                  <w:left w:val="single" w:sz="4" w:space="0" w:color="auto"/>
                  <w:bottom w:val="single" w:sz="4" w:space="0" w:color="auto"/>
                  <w:right w:val="single" w:sz="4" w:space="0" w:color="auto"/>
                </w:tcBorders>
                <w:vAlign w:val="center"/>
              </w:tcPr>
              <w:p w14:paraId="6A3FC722" w14:textId="77777777" w:rsidR="00471D53" w:rsidRDefault="004F686E" w:rsidP="00471D53">
                <w:pPr>
                  <w:jc w:val="right"/>
                  <w:outlineLvl w:val="0"/>
                  <w:rPr>
                    <w:sz w:val="22"/>
                    <w:szCs w:val="22"/>
                  </w:rPr>
                </w:pPr>
                <w:r w:rsidRPr="00121EF6">
                  <w:rPr>
                    <w:sz w:val="22"/>
                    <w:szCs w:val="22"/>
                  </w:rPr>
                  <w:t>1,491,681.23</w:t>
                </w:r>
              </w:p>
            </w:tc>
          </w:tr>
          <w:sdt>
            <w:sdtPr>
              <w:alias w:val="按账龄分析法计提坏账准备的其他应收款明细"/>
              <w:tag w:val="_TUP_34db76909f7244b09a55d5c12098c281"/>
              <w:id w:val="-85304044"/>
              <w:lock w:val="sdtLocked"/>
            </w:sdtPr>
            <w:sdtEndPr>
              <w:rPr>
                <w:szCs w:val="21"/>
              </w:rPr>
            </w:sdtEndPr>
            <w:sdtContent>
              <w:tr w:rsidR="00471D53" w14:paraId="5B65F18A" w14:textId="77777777" w:rsidTr="00510B81">
                <w:trPr>
                  <w:cantSplit/>
                </w:trPr>
                <w:tc>
                  <w:tcPr>
                    <w:tcW w:w="2548" w:type="pct"/>
                    <w:tcBorders>
                      <w:top w:val="single" w:sz="4" w:space="0" w:color="auto"/>
                      <w:left w:val="single" w:sz="4" w:space="0" w:color="auto"/>
                      <w:bottom w:val="single" w:sz="4" w:space="0" w:color="auto"/>
                      <w:right w:val="single" w:sz="4" w:space="0" w:color="auto"/>
                    </w:tcBorders>
                  </w:tcPr>
                  <w:p w14:paraId="171000A1" w14:textId="77777777" w:rsidR="00471D53" w:rsidRDefault="00B664AF"/>
                </w:tc>
                <w:tc>
                  <w:tcPr>
                    <w:tcW w:w="2452" w:type="pct"/>
                    <w:tcBorders>
                      <w:top w:val="single" w:sz="4" w:space="0" w:color="auto"/>
                      <w:left w:val="single" w:sz="4" w:space="0" w:color="auto"/>
                      <w:bottom w:val="single" w:sz="4" w:space="0" w:color="auto"/>
                      <w:right w:val="single" w:sz="4" w:space="0" w:color="auto"/>
                    </w:tcBorders>
                  </w:tcPr>
                  <w:p w14:paraId="5BF4DA42" w14:textId="77777777" w:rsidR="00471D53" w:rsidRDefault="00B664AF">
                    <w:pPr>
                      <w:jc w:val="right"/>
                      <w:rPr>
                        <w:szCs w:val="21"/>
                      </w:rPr>
                    </w:pPr>
                  </w:p>
                </w:tc>
              </w:tr>
            </w:sdtContent>
          </w:sdt>
          <w:sdt>
            <w:sdtPr>
              <w:alias w:val="按账龄分析法计提坏账准备的其他应收款明细"/>
              <w:tag w:val="_TUP_34db76909f7244b09a55d5c12098c281"/>
              <w:id w:val="524060507"/>
              <w:lock w:val="sdtLocked"/>
            </w:sdtPr>
            <w:sdtEndPr>
              <w:rPr>
                <w:szCs w:val="21"/>
              </w:rPr>
            </w:sdtEndPr>
            <w:sdtContent>
              <w:tr w:rsidR="00471D53" w14:paraId="69167857" w14:textId="77777777" w:rsidTr="00510B81">
                <w:trPr>
                  <w:cantSplit/>
                </w:trPr>
                <w:tc>
                  <w:tcPr>
                    <w:tcW w:w="2548" w:type="pct"/>
                    <w:tcBorders>
                      <w:top w:val="single" w:sz="4" w:space="0" w:color="auto"/>
                      <w:left w:val="single" w:sz="4" w:space="0" w:color="auto"/>
                      <w:bottom w:val="single" w:sz="4" w:space="0" w:color="auto"/>
                      <w:right w:val="single" w:sz="4" w:space="0" w:color="auto"/>
                    </w:tcBorders>
                  </w:tcPr>
                  <w:p w14:paraId="03A4675A" w14:textId="77777777" w:rsidR="00471D53" w:rsidRDefault="00B664AF"/>
                </w:tc>
                <w:tc>
                  <w:tcPr>
                    <w:tcW w:w="2452" w:type="pct"/>
                    <w:tcBorders>
                      <w:top w:val="single" w:sz="4" w:space="0" w:color="auto"/>
                      <w:left w:val="single" w:sz="4" w:space="0" w:color="auto"/>
                      <w:bottom w:val="single" w:sz="4" w:space="0" w:color="auto"/>
                      <w:right w:val="single" w:sz="4" w:space="0" w:color="auto"/>
                    </w:tcBorders>
                  </w:tcPr>
                  <w:p w14:paraId="551D88D0" w14:textId="77777777" w:rsidR="00471D53" w:rsidRDefault="00B664AF">
                    <w:pPr>
                      <w:jc w:val="right"/>
                      <w:rPr>
                        <w:szCs w:val="21"/>
                      </w:rPr>
                    </w:pPr>
                  </w:p>
                </w:tc>
              </w:tr>
            </w:sdtContent>
          </w:sdt>
          <w:tr w:rsidR="00471D53" w14:paraId="6C932F1B" w14:textId="77777777" w:rsidTr="00510B81">
            <w:trPr>
              <w:cantSplit/>
            </w:trPr>
            <w:sdt>
              <w:sdtPr>
                <w:tag w:val="_PLD_f4ca1e5588694bda99031e0a5f40083e"/>
                <w:id w:val="151254487"/>
                <w:lock w:val="sdtLocked"/>
              </w:sdtPr>
              <w:sdtEndPr/>
              <w:sdtContent>
                <w:tc>
                  <w:tcPr>
                    <w:tcW w:w="2548" w:type="pct"/>
                    <w:tcBorders>
                      <w:top w:val="single" w:sz="4" w:space="0" w:color="auto"/>
                      <w:left w:val="single" w:sz="4" w:space="0" w:color="auto"/>
                      <w:bottom w:val="single" w:sz="4" w:space="0" w:color="auto"/>
                      <w:right w:val="single" w:sz="4" w:space="0" w:color="auto"/>
                    </w:tcBorders>
                    <w:vAlign w:val="center"/>
                  </w:tcPr>
                  <w:p w14:paraId="4A809437" w14:textId="77777777" w:rsidR="00471D53" w:rsidRDefault="004F686E">
                    <w:pPr>
                      <w:jc w:val="center"/>
                      <w:rPr>
                        <w:szCs w:val="21"/>
                      </w:rPr>
                    </w:pPr>
                    <w:r>
                      <w:rPr>
                        <w:rFonts w:hint="eastAsia"/>
                        <w:szCs w:val="21"/>
                      </w:rPr>
                      <w:t>合计</w:t>
                    </w:r>
                  </w:p>
                </w:tc>
              </w:sdtContent>
            </w:sdt>
            <w:tc>
              <w:tcPr>
                <w:tcW w:w="2452" w:type="pct"/>
                <w:tcBorders>
                  <w:top w:val="single" w:sz="4" w:space="0" w:color="auto"/>
                  <w:left w:val="single" w:sz="4" w:space="0" w:color="auto"/>
                  <w:bottom w:val="single" w:sz="4" w:space="0" w:color="auto"/>
                  <w:right w:val="single" w:sz="4" w:space="0" w:color="auto"/>
                </w:tcBorders>
              </w:tcPr>
              <w:p w14:paraId="20CCD1A3" w14:textId="77777777" w:rsidR="00471D53" w:rsidRPr="003F0A59" w:rsidRDefault="004F686E">
                <w:pPr>
                  <w:jc w:val="right"/>
                  <w:rPr>
                    <w:szCs w:val="21"/>
                  </w:rPr>
                </w:pPr>
                <w:r w:rsidRPr="003F0A59">
                  <w:rPr>
                    <w:bCs/>
                    <w:sz w:val="22"/>
                    <w:szCs w:val="22"/>
                  </w:rPr>
                  <w:t>10,298,100.46</w:t>
                </w:r>
              </w:p>
            </w:tc>
          </w:tr>
        </w:tbl>
        <w:p w14:paraId="6583174B" w14:textId="77777777" w:rsidR="00471D53" w:rsidRDefault="00B664AF">
          <w:pPr>
            <w:rPr>
              <w:szCs w:val="21"/>
            </w:rPr>
          </w:pPr>
        </w:p>
      </w:sdtContent>
    </w:sdt>
    <w:bookmarkEnd w:id="132" w:displacedByCustomXml="prev"/>
    <w:sdt>
      <w:sdtPr>
        <w:rPr>
          <w:rFonts w:ascii="宋体" w:hAnsi="宋体" w:cs="宋体" w:hint="eastAsia"/>
          <w:b w:val="0"/>
          <w:bCs w:val="0"/>
          <w:kern w:val="0"/>
          <w:szCs w:val="24"/>
        </w:rPr>
        <w:alias w:val="模块:其他应收款按款项性质分类情况"/>
        <w:tag w:val="_GBC_84d520d656b8446b87c909f5ff2b545d"/>
        <w:id w:val="446131473"/>
        <w:lock w:val="sdtLocked"/>
        <w:placeholder>
          <w:docPart w:val="GBC22222222222222222222222222222"/>
        </w:placeholder>
      </w:sdtPr>
      <w:sdtEndPr>
        <w:rPr>
          <w:rFonts w:ascii="Cambria" w:hAnsi="Cambria" w:cs="Times New Roman" w:hint="default"/>
          <w:b/>
          <w:bCs/>
          <w:kern w:val="2"/>
          <w:szCs w:val="28"/>
        </w:rPr>
      </w:sdtEndPr>
      <w:sdtContent>
        <w:p w14:paraId="21BBE9ED" w14:textId="77777777" w:rsidR="00471D53" w:rsidRDefault="004F686E" w:rsidP="004F686E">
          <w:pPr>
            <w:pStyle w:val="afffff8"/>
            <w:numPr>
              <w:ilvl w:val="3"/>
              <w:numId w:val="63"/>
            </w:numPr>
            <w:tabs>
              <w:tab w:val="left" w:pos="560"/>
            </w:tabs>
            <w:rPr>
              <w:rFonts w:ascii="宋体" w:hAnsi="宋体"/>
            </w:rPr>
          </w:pPr>
          <w:r>
            <w:rPr>
              <w:rFonts w:ascii="宋体" w:hAnsi="宋体" w:hint="eastAsia"/>
            </w:rPr>
            <w:t>按款项性质分类情况</w:t>
          </w:r>
        </w:p>
        <w:sdt>
          <w:sdtPr>
            <w:alias w:val="是否适用：其他应收款按款项性质分类情况[双击切换]"/>
            <w:tag w:val="_GBC_43f55a27297f4f93b1b4f668134ac6be"/>
            <w:id w:val="-1798837033"/>
            <w:lock w:val="sdtLocked"/>
          </w:sdtPr>
          <w:sdtEndPr/>
          <w:sdtContent>
            <w:p w14:paraId="4109EDE2"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3FB52AC" w14:textId="471385C5" w:rsidR="00471D53" w:rsidRDefault="004F686E">
          <w:pPr>
            <w:jc w:val="right"/>
          </w:pPr>
          <w:r>
            <w:rPr>
              <w:rFonts w:hint="eastAsia"/>
            </w:rPr>
            <w:t>单位：</w:t>
          </w:r>
          <w:sdt>
            <w:sdtPr>
              <w:rPr>
                <w:rFonts w:hint="eastAsia"/>
              </w:rPr>
              <w:alias w:val="单位：财务附注：其他应收款按款项性质分类情况"/>
              <w:tag w:val="_GBC_9a3af1171f5640cd83ea2c41e0145167"/>
              <w:id w:val="1726642738"/>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其他应收款按款项性质分类情况"/>
              <w:tag w:val="_GBC_0d096e7260294092a6e9a8405d01bc70"/>
              <w:id w:val="983277567"/>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0"/>
            <w:gridCol w:w="2906"/>
            <w:gridCol w:w="2917"/>
          </w:tblGrid>
          <w:tr w:rsidR="00471D53" w14:paraId="5D5879B6" w14:textId="77777777" w:rsidTr="00471D53">
            <w:sdt>
              <w:sdtPr>
                <w:tag w:val="_PLD_1e66a0098cd34ad6a335156852121360"/>
                <w:id w:val="1465929957"/>
                <w:lock w:val="sdtLocked"/>
              </w:sdtPr>
              <w:sdtEndPr/>
              <w:sdtContent>
                <w:tc>
                  <w:tcPr>
                    <w:tcW w:w="1700" w:type="pct"/>
                    <w:shd w:val="clear" w:color="auto" w:fill="auto"/>
                    <w:vAlign w:val="center"/>
                  </w:tcPr>
                  <w:p w14:paraId="577B2D0D" w14:textId="77777777" w:rsidR="00471D53" w:rsidRDefault="004F686E" w:rsidP="00471D53">
                    <w:pPr>
                      <w:jc w:val="center"/>
                    </w:pPr>
                    <w:r>
                      <w:rPr>
                        <w:rFonts w:hint="eastAsia"/>
                      </w:rPr>
                      <w:t>款项性质</w:t>
                    </w:r>
                  </w:p>
                </w:tc>
              </w:sdtContent>
            </w:sdt>
            <w:sdt>
              <w:sdtPr>
                <w:tag w:val="_PLD_51fee06f6d3944a9bbc7bac249ed63b6"/>
                <w:id w:val="-1434815738"/>
                <w:lock w:val="sdtLocked"/>
              </w:sdtPr>
              <w:sdtEndPr/>
              <w:sdtContent>
                <w:tc>
                  <w:tcPr>
                    <w:tcW w:w="1647" w:type="pct"/>
                    <w:shd w:val="clear" w:color="auto" w:fill="auto"/>
                    <w:vAlign w:val="center"/>
                  </w:tcPr>
                  <w:p w14:paraId="4EB5F0FE" w14:textId="77777777" w:rsidR="00471D53" w:rsidRDefault="004F686E" w:rsidP="00471D53">
                    <w:pPr>
                      <w:jc w:val="center"/>
                    </w:pPr>
                    <w:r>
                      <w:rPr>
                        <w:rFonts w:hint="eastAsia"/>
                      </w:rPr>
                      <w:t>期末账面余额</w:t>
                    </w:r>
                  </w:p>
                </w:tc>
              </w:sdtContent>
            </w:sdt>
            <w:sdt>
              <w:sdtPr>
                <w:tag w:val="_PLD_0297dadecff24ff8926a98d0267a917b"/>
                <w:id w:val="378053620"/>
                <w:lock w:val="sdtLocked"/>
              </w:sdtPr>
              <w:sdtEndPr/>
              <w:sdtContent>
                <w:tc>
                  <w:tcPr>
                    <w:tcW w:w="1653" w:type="pct"/>
                    <w:shd w:val="clear" w:color="auto" w:fill="auto"/>
                    <w:vAlign w:val="center"/>
                  </w:tcPr>
                  <w:p w14:paraId="523BB7D4" w14:textId="77777777" w:rsidR="00471D53" w:rsidRDefault="004F686E" w:rsidP="00471D53">
                    <w:pPr>
                      <w:jc w:val="center"/>
                    </w:pPr>
                    <w:r>
                      <w:rPr>
                        <w:rFonts w:hint="eastAsia"/>
                      </w:rPr>
                      <w:t>期初账面余额</w:t>
                    </w:r>
                  </w:p>
                </w:tc>
              </w:sdtContent>
            </w:sdt>
          </w:tr>
          <w:sdt>
            <w:sdtPr>
              <w:rPr>
                <w:rFonts w:hint="eastAsia"/>
              </w:rPr>
              <w:alias w:val="其他应收款按款项性质分类情况明细"/>
              <w:tag w:val="_GBC_936b797bf5094f7da8db3da3acd1de8c"/>
              <w:id w:val="455915218"/>
              <w:lock w:val="sdtLocked"/>
            </w:sdtPr>
            <w:sdtEndPr/>
            <w:sdtContent>
              <w:tr w:rsidR="00471D53" w14:paraId="024B34E8" w14:textId="77777777" w:rsidTr="00471D53">
                <w:tc>
                  <w:tcPr>
                    <w:tcW w:w="1700" w:type="pct"/>
                    <w:shd w:val="clear" w:color="auto" w:fill="auto"/>
                  </w:tcPr>
                  <w:p w14:paraId="2642181B" w14:textId="77777777" w:rsidR="00471D53" w:rsidRDefault="004F686E" w:rsidP="00471D53">
                    <w:r>
                      <w:t>备用金</w:t>
                    </w:r>
                  </w:p>
                </w:tc>
                <w:tc>
                  <w:tcPr>
                    <w:tcW w:w="1647" w:type="pct"/>
                    <w:shd w:val="clear" w:color="auto" w:fill="auto"/>
                  </w:tcPr>
                  <w:p w14:paraId="50A3873E" w14:textId="77777777" w:rsidR="00471D53" w:rsidRDefault="004F686E" w:rsidP="00471D53">
                    <w:pPr>
                      <w:jc w:val="right"/>
                    </w:pPr>
                    <w:r>
                      <w:t>2,502,804.29</w:t>
                    </w:r>
                  </w:p>
                </w:tc>
                <w:tc>
                  <w:tcPr>
                    <w:tcW w:w="1653" w:type="pct"/>
                    <w:shd w:val="clear" w:color="auto" w:fill="auto"/>
                  </w:tcPr>
                  <w:p w14:paraId="2C8841A5" w14:textId="77777777" w:rsidR="00471D53" w:rsidRDefault="004F686E" w:rsidP="00471D53">
                    <w:pPr>
                      <w:jc w:val="right"/>
                    </w:pPr>
                    <w:r>
                      <w:t>2,007,727.51</w:t>
                    </w:r>
                  </w:p>
                </w:tc>
              </w:tr>
            </w:sdtContent>
          </w:sdt>
          <w:sdt>
            <w:sdtPr>
              <w:rPr>
                <w:rFonts w:hint="eastAsia"/>
              </w:rPr>
              <w:alias w:val="其他应收款按款项性质分类情况明细"/>
              <w:tag w:val="_GBC_936b797bf5094f7da8db3da3acd1de8c"/>
              <w:id w:val="-113451849"/>
              <w:lock w:val="sdtLocked"/>
            </w:sdtPr>
            <w:sdtEndPr/>
            <w:sdtContent>
              <w:tr w:rsidR="00471D53" w14:paraId="1AAEC286" w14:textId="77777777" w:rsidTr="00471D53">
                <w:tc>
                  <w:tcPr>
                    <w:tcW w:w="1700" w:type="pct"/>
                    <w:shd w:val="clear" w:color="auto" w:fill="auto"/>
                  </w:tcPr>
                  <w:p w14:paraId="69FEC1A9" w14:textId="77777777" w:rsidR="00471D53" w:rsidRDefault="004F686E" w:rsidP="00471D53">
                    <w:r>
                      <w:t>押金、保证金等</w:t>
                    </w:r>
                  </w:p>
                </w:tc>
                <w:tc>
                  <w:tcPr>
                    <w:tcW w:w="1647" w:type="pct"/>
                    <w:shd w:val="clear" w:color="auto" w:fill="auto"/>
                  </w:tcPr>
                  <w:p w14:paraId="6D585791" w14:textId="77777777" w:rsidR="00471D53" w:rsidRDefault="004F686E" w:rsidP="00471D53">
                    <w:pPr>
                      <w:jc w:val="right"/>
                    </w:pPr>
                    <w:r>
                      <w:t>2,354,962.80</w:t>
                    </w:r>
                  </w:p>
                </w:tc>
                <w:tc>
                  <w:tcPr>
                    <w:tcW w:w="1653" w:type="pct"/>
                    <w:shd w:val="clear" w:color="auto" w:fill="auto"/>
                  </w:tcPr>
                  <w:p w14:paraId="71245A72" w14:textId="77777777" w:rsidR="00471D53" w:rsidRDefault="004F686E" w:rsidP="00471D53">
                    <w:pPr>
                      <w:jc w:val="right"/>
                    </w:pPr>
                    <w:r>
                      <w:t>3,004,687.62</w:t>
                    </w:r>
                  </w:p>
                </w:tc>
              </w:tr>
            </w:sdtContent>
          </w:sdt>
          <w:sdt>
            <w:sdtPr>
              <w:rPr>
                <w:rFonts w:hint="eastAsia"/>
              </w:rPr>
              <w:alias w:val="其他应收款按款项性质分类情况明细"/>
              <w:tag w:val="_GBC_936b797bf5094f7da8db3da3acd1de8c"/>
              <w:id w:val="-797142495"/>
              <w:lock w:val="sdtLocked"/>
            </w:sdtPr>
            <w:sdtEndPr/>
            <w:sdtContent>
              <w:tr w:rsidR="00471D53" w14:paraId="7D0E1F13" w14:textId="77777777" w:rsidTr="00471D53">
                <w:tc>
                  <w:tcPr>
                    <w:tcW w:w="1700" w:type="pct"/>
                    <w:shd w:val="clear" w:color="auto" w:fill="auto"/>
                  </w:tcPr>
                  <w:p w14:paraId="64C5ADC9" w14:textId="77777777" w:rsidR="00471D53" w:rsidRDefault="004F686E" w:rsidP="00471D53">
                    <w:r>
                      <w:t>5年以上预付账款</w:t>
                    </w:r>
                  </w:p>
                </w:tc>
                <w:tc>
                  <w:tcPr>
                    <w:tcW w:w="1647" w:type="pct"/>
                    <w:shd w:val="clear" w:color="auto" w:fill="auto"/>
                  </w:tcPr>
                  <w:p w14:paraId="0EA8F3CE" w14:textId="77777777" w:rsidR="00471D53" w:rsidRDefault="004F686E" w:rsidP="00471D53">
                    <w:pPr>
                      <w:jc w:val="right"/>
                    </w:pPr>
                    <w:r>
                      <w:t>1,464,431.27</w:t>
                    </w:r>
                  </w:p>
                </w:tc>
                <w:tc>
                  <w:tcPr>
                    <w:tcW w:w="1653" w:type="pct"/>
                    <w:shd w:val="clear" w:color="auto" w:fill="auto"/>
                  </w:tcPr>
                  <w:p w14:paraId="029DDC03" w14:textId="77777777" w:rsidR="00471D53" w:rsidRDefault="004F686E" w:rsidP="00471D53">
                    <w:pPr>
                      <w:jc w:val="right"/>
                    </w:pPr>
                    <w:r>
                      <w:t>1,430,965.15</w:t>
                    </w:r>
                  </w:p>
                </w:tc>
              </w:tr>
            </w:sdtContent>
          </w:sdt>
          <w:sdt>
            <w:sdtPr>
              <w:rPr>
                <w:rFonts w:hint="eastAsia"/>
              </w:rPr>
              <w:alias w:val="其他应收款按款项性质分类情况明细"/>
              <w:tag w:val="_GBC_936b797bf5094f7da8db3da3acd1de8c"/>
              <w:id w:val="1474715962"/>
              <w:lock w:val="sdtLocked"/>
            </w:sdtPr>
            <w:sdtEndPr/>
            <w:sdtContent>
              <w:tr w:rsidR="00471D53" w14:paraId="4009487B" w14:textId="77777777" w:rsidTr="00471D53">
                <w:tc>
                  <w:tcPr>
                    <w:tcW w:w="1700" w:type="pct"/>
                    <w:shd w:val="clear" w:color="auto" w:fill="auto"/>
                  </w:tcPr>
                  <w:p w14:paraId="09B2AA98" w14:textId="77777777" w:rsidR="00471D53" w:rsidRDefault="004F686E" w:rsidP="00471D53">
                    <w:r>
                      <w:t>往来款</w:t>
                    </w:r>
                  </w:p>
                </w:tc>
                <w:tc>
                  <w:tcPr>
                    <w:tcW w:w="1647" w:type="pct"/>
                    <w:shd w:val="clear" w:color="auto" w:fill="auto"/>
                  </w:tcPr>
                  <w:p w14:paraId="26474922" w14:textId="77777777" w:rsidR="00471D53" w:rsidRDefault="004F686E" w:rsidP="00471D53">
                    <w:pPr>
                      <w:jc w:val="right"/>
                    </w:pPr>
                    <w:r>
                      <w:t>3,975,902.10</w:t>
                    </w:r>
                  </w:p>
                </w:tc>
                <w:tc>
                  <w:tcPr>
                    <w:tcW w:w="1653" w:type="pct"/>
                    <w:shd w:val="clear" w:color="auto" w:fill="auto"/>
                  </w:tcPr>
                  <w:p w14:paraId="17CD74DF" w14:textId="77777777" w:rsidR="00471D53" w:rsidRDefault="004F686E" w:rsidP="00471D53">
                    <w:pPr>
                      <w:jc w:val="right"/>
                    </w:pPr>
                    <w:r>
                      <w:t>3,904,783.44</w:t>
                    </w:r>
                  </w:p>
                </w:tc>
              </w:tr>
            </w:sdtContent>
          </w:sdt>
          <w:tr w:rsidR="00471D53" w14:paraId="0E2B4EB1" w14:textId="77777777" w:rsidTr="00471D53">
            <w:sdt>
              <w:sdtPr>
                <w:tag w:val="_PLD_99d40156f33b4b6398b236a0f6461a23"/>
                <w:id w:val="1225718958"/>
                <w:lock w:val="sdtLocked"/>
              </w:sdtPr>
              <w:sdtEndPr/>
              <w:sdtContent>
                <w:tc>
                  <w:tcPr>
                    <w:tcW w:w="1700" w:type="pct"/>
                    <w:shd w:val="clear" w:color="auto" w:fill="auto"/>
                  </w:tcPr>
                  <w:p w14:paraId="032D4044" w14:textId="77777777" w:rsidR="00471D53" w:rsidRDefault="004F686E" w:rsidP="00471D53">
                    <w:pPr>
                      <w:jc w:val="center"/>
                    </w:pPr>
                    <w:r>
                      <w:t>合计</w:t>
                    </w:r>
                  </w:p>
                </w:tc>
              </w:sdtContent>
            </w:sdt>
            <w:tc>
              <w:tcPr>
                <w:tcW w:w="1647" w:type="pct"/>
                <w:shd w:val="clear" w:color="auto" w:fill="auto"/>
              </w:tcPr>
              <w:p w14:paraId="102D39E4" w14:textId="77777777" w:rsidR="00471D53" w:rsidRDefault="004F686E" w:rsidP="00471D53">
                <w:pPr>
                  <w:jc w:val="right"/>
                </w:pPr>
                <w:r>
                  <w:t>10,298,100.46</w:t>
                </w:r>
              </w:p>
            </w:tc>
            <w:tc>
              <w:tcPr>
                <w:tcW w:w="1653" w:type="pct"/>
                <w:shd w:val="clear" w:color="auto" w:fill="auto"/>
              </w:tcPr>
              <w:p w14:paraId="321296AE" w14:textId="77777777" w:rsidR="00471D53" w:rsidRDefault="004F686E" w:rsidP="00471D53">
                <w:pPr>
                  <w:jc w:val="right"/>
                </w:pPr>
                <w:r>
                  <w:t>10,348,163.72</w:t>
                </w:r>
              </w:p>
            </w:tc>
          </w:tr>
        </w:tbl>
        <w:p w14:paraId="2E76A459" w14:textId="77777777" w:rsidR="00471D53" w:rsidRDefault="00B664AF"/>
        <w:p w14:paraId="188BA378" w14:textId="77777777" w:rsidR="00471D53" w:rsidRDefault="00B664AF" w:rsidP="00471D53">
          <w:pPr>
            <w:pStyle w:val="afffff8"/>
            <w:tabs>
              <w:tab w:val="left" w:pos="560"/>
            </w:tabs>
          </w:pPr>
        </w:p>
      </w:sdtContent>
    </w:sdt>
    <w:bookmarkStart w:id="133" w:name="_Hlk10469799" w:displacedByCustomXml="next"/>
    <w:sdt>
      <w:sdtPr>
        <w:rPr>
          <w:rFonts w:ascii="宋体" w:hAnsi="宋体" w:cs="宋体" w:hint="eastAsia"/>
          <w:b w:val="0"/>
          <w:bCs w:val="0"/>
          <w:kern w:val="0"/>
          <w:szCs w:val="24"/>
        </w:rPr>
        <w:alias w:val="模块:坏账准备计提情况"/>
        <w:tag w:val="_SEC_5ff83398df8949c88f89340b5b0e52f6"/>
        <w:id w:val="769899466"/>
        <w:lock w:val="sdtLocked"/>
        <w:placeholder>
          <w:docPart w:val="GBC22222222222222222222222222222"/>
        </w:placeholder>
      </w:sdtPr>
      <w:sdtEndPr>
        <w:rPr>
          <w:rFonts w:hint="default"/>
        </w:rPr>
      </w:sdtEndPr>
      <w:sdtContent>
        <w:p w14:paraId="62CFAFFD" w14:textId="77777777" w:rsidR="00471D53" w:rsidRDefault="004F686E" w:rsidP="004F686E">
          <w:pPr>
            <w:pStyle w:val="afffff8"/>
            <w:numPr>
              <w:ilvl w:val="3"/>
              <w:numId w:val="63"/>
            </w:numPr>
            <w:tabs>
              <w:tab w:val="left" w:pos="560"/>
            </w:tabs>
            <w:rPr>
              <w:rFonts w:ascii="宋体" w:hAnsi="宋体"/>
            </w:rPr>
          </w:pPr>
          <w:r>
            <w:rPr>
              <w:rFonts w:ascii="宋体" w:hAnsi="宋体" w:hint="eastAsia"/>
            </w:rPr>
            <w:t>坏账准备计提情况</w:t>
          </w:r>
        </w:p>
        <w:sdt>
          <w:sdtPr>
            <w:rPr>
              <w:szCs w:val="21"/>
            </w:rPr>
            <w:alias w:val="是否适用：其他应收款坏账准备调节表[双击切换]"/>
            <w:tag w:val="_GBC_29d0c5a1588a4f6589b1f8148c9ef180"/>
            <w:id w:val="2061815265"/>
            <w:lock w:val="sdtLocked"/>
            <w:placeholder>
              <w:docPart w:val="GBC22222222222222222222222222222"/>
            </w:placeholder>
          </w:sdtPr>
          <w:sdtEndPr/>
          <w:sdtContent>
            <w:p w14:paraId="549F6223" w14:textId="77777777" w:rsidR="00471D53" w:rsidRDefault="004F686E">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6E9F8C2B" w14:textId="2EB20556" w:rsidR="00471D53" w:rsidRDefault="004F686E" w:rsidP="00471D53">
          <w:pPr>
            <w:autoSpaceDE w:val="0"/>
            <w:autoSpaceDN w:val="0"/>
            <w:adjustRightInd w:val="0"/>
            <w:ind w:rightChars="50" w:right="105"/>
            <w:jc w:val="right"/>
            <w:rPr>
              <w:szCs w:val="21"/>
            </w:rPr>
          </w:pPr>
          <w:r>
            <w:rPr>
              <w:rFonts w:hint="eastAsia"/>
              <w:szCs w:val="21"/>
            </w:rPr>
            <w:t>单位：</w:t>
          </w:r>
          <w:sdt>
            <w:sdtPr>
              <w:rPr>
                <w:rFonts w:hint="eastAsia"/>
                <w:szCs w:val="21"/>
              </w:rPr>
              <w:alias w:val="单位：其他应收款坏账准备调节表"/>
              <w:tag w:val="_GBC_c65b82e3cfaf4fde8d75eac8c9a6e9f9"/>
              <w:id w:val="-14221000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其他应收款坏账准备调节表"/>
              <w:tag w:val="_GBC_08cd78a434cc441cbfff10030c5a8719"/>
              <w:id w:val="9323291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6"/>
            <w:gridCol w:w="1521"/>
            <w:gridCol w:w="1936"/>
            <w:gridCol w:w="1936"/>
            <w:gridCol w:w="1664"/>
          </w:tblGrid>
          <w:tr w:rsidR="00471D53" w14:paraId="79CF3AAD" w14:textId="77777777" w:rsidTr="00510B81">
            <w:sdt>
              <w:sdtPr>
                <w:rPr>
                  <w:rFonts w:ascii="宋体" w:eastAsia="宋体" w:hAnsi="宋体"/>
                </w:rPr>
                <w:tag w:val="_PLD_0df16deeb9614db49d9aa88a31229d9a"/>
                <w:id w:val="1001395806"/>
                <w:lock w:val="sdtLocked"/>
              </w:sdtPr>
              <w:sdtEndPr/>
              <w:sdtContent>
                <w:tc>
                  <w:tcPr>
                    <w:tcW w:w="1001" w:type="pct"/>
                    <w:vMerge w:val="restart"/>
                    <w:vAlign w:val="center"/>
                  </w:tcPr>
                  <w:p w14:paraId="5BC4C5BC" w14:textId="77777777" w:rsidR="00471D53" w:rsidRDefault="004F686E">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rPr>
                  <w:rFonts w:ascii="宋体" w:eastAsia="宋体" w:hAnsi="宋体"/>
                </w:rPr>
                <w:tag w:val="_PLD_f47baed0f5d14c0486b4530b2aa1cb4c"/>
                <w:id w:val="1804428498"/>
                <w:lock w:val="sdtLocked"/>
              </w:sdtPr>
              <w:sdtEndPr/>
              <w:sdtContent>
                <w:tc>
                  <w:tcPr>
                    <w:tcW w:w="862" w:type="pct"/>
                    <w:vAlign w:val="center"/>
                  </w:tcPr>
                  <w:p w14:paraId="3C46A90A" w14:textId="77777777" w:rsidR="00471D53" w:rsidRDefault="004F686E">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rPr>
                  <w:rFonts w:ascii="宋体" w:eastAsia="宋体" w:hAnsi="宋体"/>
                </w:rPr>
                <w:tag w:val="_PLD_a29dd4725bec4eb78b246b92252a24df"/>
                <w:id w:val="859788429"/>
                <w:lock w:val="sdtLocked"/>
              </w:sdtPr>
              <w:sdtEndPr/>
              <w:sdtContent>
                <w:tc>
                  <w:tcPr>
                    <w:tcW w:w="1097" w:type="pct"/>
                    <w:vAlign w:val="center"/>
                  </w:tcPr>
                  <w:p w14:paraId="39EFFF56" w14:textId="77777777" w:rsidR="00471D53" w:rsidRDefault="004F686E">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rPr>
                  <w:rFonts w:ascii="宋体" w:eastAsia="宋体" w:hAnsi="宋体"/>
                </w:rPr>
                <w:tag w:val="_PLD_c495a5d3c56f4cb9a0bd5cc9cc9b5410"/>
                <w:id w:val="168139704"/>
                <w:lock w:val="sdtLocked"/>
              </w:sdtPr>
              <w:sdtEndPr/>
              <w:sdtContent>
                <w:tc>
                  <w:tcPr>
                    <w:tcW w:w="1097" w:type="pct"/>
                    <w:vAlign w:val="center"/>
                  </w:tcPr>
                  <w:p w14:paraId="1E0AEA8B" w14:textId="77777777" w:rsidR="00471D53" w:rsidRDefault="004F686E">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rPr>
                  <w:rFonts w:ascii="宋体" w:eastAsia="宋体" w:hAnsi="宋体"/>
                </w:rPr>
                <w:tag w:val="_PLD_0dc8bab0b7424c1295b83fcc97ca7554"/>
                <w:id w:val="888695697"/>
                <w:lock w:val="sdtLocked"/>
              </w:sdtPr>
              <w:sdtEndPr/>
              <w:sdtContent>
                <w:tc>
                  <w:tcPr>
                    <w:tcW w:w="943" w:type="pct"/>
                    <w:vMerge w:val="restart"/>
                    <w:vAlign w:val="center"/>
                  </w:tcPr>
                  <w:p w14:paraId="700DEE31" w14:textId="77777777" w:rsidR="00471D53" w:rsidRDefault="004F686E">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471D53" w14:paraId="62002F15" w14:textId="77777777" w:rsidTr="00510B81">
            <w:tc>
              <w:tcPr>
                <w:tcW w:w="1001" w:type="pct"/>
                <w:vMerge/>
                <w:vAlign w:val="center"/>
              </w:tcPr>
              <w:p w14:paraId="1E0AE86D" w14:textId="77777777" w:rsidR="00471D53" w:rsidRDefault="00B664AF">
                <w:pPr>
                  <w:jc w:val="center"/>
                  <w:rPr>
                    <w:color w:val="008000"/>
                    <w:szCs w:val="21"/>
                  </w:rPr>
                </w:pPr>
              </w:p>
            </w:tc>
            <w:sdt>
              <w:sdtPr>
                <w:rPr>
                  <w:rFonts w:ascii="宋体" w:eastAsia="宋体" w:hAnsi="宋体"/>
                </w:rPr>
                <w:tag w:val="_PLD_08f8b6a1fd974f0d8ae0c04f27849740"/>
                <w:id w:val="-127408289"/>
                <w:lock w:val="sdtLocked"/>
              </w:sdtPr>
              <w:sdtEndPr/>
              <w:sdtContent>
                <w:tc>
                  <w:tcPr>
                    <w:tcW w:w="862" w:type="pct"/>
                    <w:vAlign w:val="center"/>
                  </w:tcPr>
                  <w:p w14:paraId="23834E87" w14:textId="77777777" w:rsidR="00471D53" w:rsidRDefault="004F686E">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rPr>
                  <w:rFonts w:ascii="宋体" w:eastAsia="宋体" w:hAnsi="宋体"/>
                </w:rPr>
                <w:tag w:val="_PLD_c85cfe8f6d6a4ab0af13d30e76cd7800"/>
                <w:id w:val="-1925482687"/>
                <w:lock w:val="sdtLocked"/>
              </w:sdtPr>
              <w:sdtEndPr/>
              <w:sdtContent>
                <w:tc>
                  <w:tcPr>
                    <w:tcW w:w="1097" w:type="pct"/>
                    <w:vAlign w:val="center"/>
                  </w:tcPr>
                  <w:p w14:paraId="659B0226" w14:textId="77777777" w:rsidR="00471D53" w:rsidRDefault="004F686E">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rPr>
                  <w:rFonts w:ascii="宋体" w:eastAsia="宋体" w:hAnsi="宋体"/>
                </w:rPr>
                <w:tag w:val="_PLD_2df6c7466f224906aa04a411975e6f79"/>
                <w:id w:val="1202987106"/>
                <w:lock w:val="sdtLocked"/>
              </w:sdtPr>
              <w:sdtEndPr/>
              <w:sdtContent>
                <w:tc>
                  <w:tcPr>
                    <w:tcW w:w="1097" w:type="pct"/>
                    <w:vAlign w:val="center"/>
                  </w:tcPr>
                  <w:p w14:paraId="42EF2E0D" w14:textId="77777777" w:rsidR="00471D53" w:rsidRDefault="004F686E">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3" w:type="pct"/>
                <w:vMerge/>
              </w:tcPr>
              <w:p w14:paraId="3A54CB18" w14:textId="77777777" w:rsidR="00471D53" w:rsidRDefault="00B664AF">
                <w:pPr>
                  <w:jc w:val="center"/>
                  <w:rPr>
                    <w:color w:val="008000"/>
                    <w:szCs w:val="21"/>
                  </w:rPr>
                </w:pPr>
              </w:p>
            </w:tc>
          </w:tr>
          <w:tr w:rsidR="00471D53" w14:paraId="2858CF66" w14:textId="77777777" w:rsidTr="00471D53">
            <w:sdt>
              <w:sdtPr>
                <w:rPr>
                  <w:rFonts w:ascii="宋体" w:eastAsia="宋体" w:hAnsi="宋体"/>
                </w:rPr>
                <w:tag w:val="_PLD_2d320061b2c04b43aa4ffcb4160cc3e9"/>
                <w:id w:val="-1357495430"/>
                <w:lock w:val="sdtLocked"/>
              </w:sdtPr>
              <w:sdtEndPr/>
              <w:sdtContent>
                <w:tc>
                  <w:tcPr>
                    <w:tcW w:w="1001" w:type="pct"/>
                    <w:vAlign w:val="center"/>
                  </w:tcPr>
                  <w:p w14:paraId="3C1B30E4" w14:textId="77777777" w:rsidR="00471D53" w:rsidRDefault="004F686E">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2021年</w:t>
                    </w:r>
                    <w:r>
                      <w:rPr>
                        <w:rFonts w:ascii="宋体" w:eastAsia="宋体" w:hAnsi="宋体" w:cs="宋体" w:hint="eastAsia"/>
                        <w:sz w:val="21"/>
                        <w:szCs w:val="21"/>
                        <w:lang w:eastAsia="zh-CN"/>
                      </w:rPr>
                      <w:t>1月1日余额</w:t>
                    </w:r>
                  </w:p>
                </w:tc>
              </w:sdtContent>
            </w:sdt>
            <w:tc>
              <w:tcPr>
                <w:tcW w:w="862" w:type="pct"/>
              </w:tcPr>
              <w:p w14:paraId="3D118A58" w14:textId="77777777" w:rsidR="00471D53" w:rsidRDefault="00B664AF">
                <w:pPr>
                  <w:jc w:val="right"/>
                  <w:rPr>
                    <w:szCs w:val="21"/>
                  </w:rPr>
                </w:pPr>
              </w:p>
            </w:tc>
            <w:tc>
              <w:tcPr>
                <w:tcW w:w="1097" w:type="pct"/>
                <w:vAlign w:val="center"/>
              </w:tcPr>
              <w:p w14:paraId="64F51A59" w14:textId="77777777" w:rsidR="00471D53" w:rsidRDefault="004F686E" w:rsidP="00471D53">
                <w:pPr>
                  <w:jc w:val="right"/>
                  <w:rPr>
                    <w:sz w:val="20"/>
                    <w:szCs w:val="20"/>
                  </w:rPr>
                </w:pPr>
                <w:r>
                  <w:rPr>
                    <w:rFonts w:cs="Calibri" w:hint="eastAsia"/>
                    <w:sz w:val="20"/>
                    <w:szCs w:val="20"/>
                  </w:rPr>
                  <w:t>1,642,070.23</w:t>
                </w:r>
              </w:p>
            </w:tc>
            <w:tc>
              <w:tcPr>
                <w:tcW w:w="1097" w:type="pct"/>
                <w:vAlign w:val="center"/>
              </w:tcPr>
              <w:p w14:paraId="2A00B401" w14:textId="77777777" w:rsidR="00471D53" w:rsidRDefault="00B664AF" w:rsidP="00471D53">
                <w:pPr>
                  <w:jc w:val="right"/>
                  <w:rPr>
                    <w:sz w:val="20"/>
                    <w:szCs w:val="20"/>
                  </w:rPr>
                </w:pPr>
              </w:p>
            </w:tc>
            <w:tc>
              <w:tcPr>
                <w:tcW w:w="943" w:type="pct"/>
                <w:vAlign w:val="center"/>
              </w:tcPr>
              <w:p w14:paraId="780664E0" w14:textId="77777777" w:rsidR="00471D53" w:rsidRDefault="004F686E" w:rsidP="00471D53">
                <w:pPr>
                  <w:jc w:val="right"/>
                  <w:rPr>
                    <w:sz w:val="20"/>
                    <w:szCs w:val="20"/>
                  </w:rPr>
                </w:pPr>
                <w:r>
                  <w:rPr>
                    <w:rFonts w:cs="Calibri" w:hint="eastAsia"/>
                    <w:sz w:val="20"/>
                    <w:szCs w:val="20"/>
                  </w:rPr>
                  <w:t>1,642,070.23</w:t>
                </w:r>
              </w:p>
            </w:tc>
          </w:tr>
          <w:tr w:rsidR="00471D53" w14:paraId="3C8E8515" w14:textId="77777777" w:rsidTr="00510B81">
            <w:sdt>
              <w:sdtPr>
                <w:rPr>
                  <w:rFonts w:ascii="宋体" w:eastAsia="宋体" w:hAnsi="宋体"/>
                </w:rPr>
                <w:tag w:val="_PLD_87947ae743a54051a279d9db76e17d3e"/>
                <w:id w:val="54435619"/>
                <w:lock w:val="sdtLocked"/>
              </w:sdtPr>
              <w:sdtEndPr/>
              <w:sdtContent>
                <w:tc>
                  <w:tcPr>
                    <w:tcW w:w="1001" w:type="pct"/>
                    <w:vAlign w:val="center"/>
                  </w:tcPr>
                  <w:p w14:paraId="721956CA" w14:textId="77777777" w:rsidR="00471D53" w:rsidRDefault="004F686E">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2021年1月1日余额在本期</w:t>
                    </w:r>
                  </w:p>
                </w:tc>
              </w:sdtContent>
            </w:sdt>
            <w:tc>
              <w:tcPr>
                <w:tcW w:w="862" w:type="pct"/>
              </w:tcPr>
              <w:p w14:paraId="0B1F5340" w14:textId="77777777" w:rsidR="00471D53" w:rsidRDefault="00B664AF">
                <w:pPr>
                  <w:jc w:val="right"/>
                  <w:rPr>
                    <w:szCs w:val="21"/>
                  </w:rPr>
                </w:pPr>
              </w:p>
            </w:tc>
            <w:tc>
              <w:tcPr>
                <w:tcW w:w="1097" w:type="pct"/>
              </w:tcPr>
              <w:p w14:paraId="4BC97DDD" w14:textId="77777777" w:rsidR="00471D53" w:rsidRDefault="00B664AF">
                <w:pPr>
                  <w:jc w:val="right"/>
                  <w:rPr>
                    <w:szCs w:val="21"/>
                  </w:rPr>
                </w:pPr>
              </w:p>
            </w:tc>
            <w:tc>
              <w:tcPr>
                <w:tcW w:w="1097" w:type="pct"/>
              </w:tcPr>
              <w:p w14:paraId="0BEE694B" w14:textId="77777777" w:rsidR="00471D53" w:rsidRDefault="00B664AF">
                <w:pPr>
                  <w:jc w:val="right"/>
                  <w:rPr>
                    <w:szCs w:val="21"/>
                  </w:rPr>
                </w:pPr>
              </w:p>
            </w:tc>
            <w:tc>
              <w:tcPr>
                <w:tcW w:w="943" w:type="pct"/>
              </w:tcPr>
              <w:p w14:paraId="544A2C33" w14:textId="77777777" w:rsidR="00471D53" w:rsidRDefault="00B664AF">
                <w:pPr>
                  <w:jc w:val="right"/>
                  <w:rPr>
                    <w:szCs w:val="21"/>
                  </w:rPr>
                </w:pPr>
              </w:p>
            </w:tc>
          </w:tr>
          <w:tr w:rsidR="00471D53" w14:paraId="4A100709" w14:textId="77777777" w:rsidTr="00510B81">
            <w:sdt>
              <w:sdtPr>
                <w:rPr>
                  <w:rFonts w:ascii="宋体" w:eastAsia="宋体" w:hAnsi="宋体"/>
                </w:rPr>
                <w:tag w:val="_PLD_038143b9e2e34542b73dcfc1430d95cc"/>
                <w:id w:val="1395087374"/>
                <w:lock w:val="sdtLocked"/>
              </w:sdtPr>
              <w:sdtEndPr/>
              <w:sdtContent>
                <w:tc>
                  <w:tcPr>
                    <w:tcW w:w="1001" w:type="pct"/>
                    <w:vAlign w:val="center"/>
                  </w:tcPr>
                  <w:p w14:paraId="42944754" w14:textId="77777777" w:rsidR="00471D53" w:rsidRDefault="004F686E">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62" w:type="pct"/>
              </w:tcPr>
              <w:p w14:paraId="627A5534" w14:textId="77777777" w:rsidR="00471D53" w:rsidRDefault="00B664AF">
                <w:pPr>
                  <w:jc w:val="right"/>
                  <w:rPr>
                    <w:szCs w:val="21"/>
                  </w:rPr>
                </w:pPr>
              </w:p>
            </w:tc>
            <w:tc>
              <w:tcPr>
                <w:tcW w:w="1097" w:type="pct"/>
              </w:tcPr>
              <w:p w14:paraId="0A23A5CD" w14:textId="77777777" w:rsidR="00471D53" w:rsidRDefault="00B664AF">
                <w:pPr>
                  <w:jc w:val="right"/>
                  <w:rPr>
                    <w:szCs w:val="21"/>
                  </w:rPr>
                </w:pPr>
              </w:p>
            </w:tc>
            <w:tc>
              <w:tcPr>
                <w:tcW w:w="1097" w:type="pct"/>
              </w:tcPr>
              <w:p w14:paraId="149C7142" w14:textId="77777777" w:rsidR="00471D53" w:rsidRDefault="00B664AF">
                <w:pPr>
                  <w:jc w:val="right"/>
                  <w:rPr>
                    <w:szCs w:val="21"/>
                  </w:rPr>
                </w:pPr>
              </w:p>
            </w:tc>
            <w:tc>
              <w:tcPr>
                <w:tcW w:w="943" w:type="pct"/>
              </w:tcPr>
              <w:p w14:paraId="50B1A4E7" w14:textId="77777777" w:rsidR="00471D53" w:rsidRDefault="00B664AF">
                <w:pPr>
                  <w:jc w:val="right"/>
                  <w:rPr>
                    <w:szCs w:val="21"/>
                  </w:rPr>
                </w:pPr>
              </w:p>
            </w:tc>
          </w:tr>
          <w:tr w:rsidR="00471D53" w14:paraId="0FE9B610" w14:textId="77777777" w:rsidTr="00510B81">
            <w:sdt>
              <w:sdtPr>
                <w:rPr>
                  <w:rFonts w:ascii="宋体" w:eastAsia="宋体" w:hAnsi="宋体"/>
                </w:rPr>
                <w:tag w:val="_PLD_a76d00fce3fe4d29be0ddd475d30b2c0"/>
                <w:id w:val="1506480075"/>
                <w:lock w:val="sdtLocked"/>
              </w:sdtPr>
              <w:sdtEndPr/>
              <w:sdtContent>
                <w:tc>
                  <w:tcPr>
                    <w:tcW w:w="1001" w:type="pct"/>
                    <w:vAlign w:val="center"/>
                  </w:tcPr>
                  <w:p w14:paraId="63EACB4B" w14:textId="77777777" w:rsidR="00471D53" w:rsidRDefault="004F686E">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62" w:type="pct"/>
              </w:tcPr>
              <w:p w14:paraId="73D3F5D5" w14:textId="77777777" w:rsidR="00471D53" w:rsidRDefault="00B664AF">
                <w:pPr>
                  <w:jc w:val="right"/>
                  <w:rPr>
                    <w:szCs w:val="21"/>
                  </w:rPr>
                </w:pPr>
              </w:p>
            </w:tc>
            <w:tc>
              <w:tcPr>
                <w:tcW w:w="1097" w:type="pct"/>
              </w:tcPr>
              <w:p w14:paraId="258AD881" w14:textId="77777777" w:rsidR="00471D53" w:rsidRDefault="00B664AF">
                <w:pPr>
                  <w:jc w:val="right"/>
                  <w:rPr>
                    <w:szCs w:val="21"/>
                  </w:rPr>
                </w:pPr>
              </w:p>
            </w:tc>
            <w:tc>
              <w:tcPr>
                <w:tcW w:w="1097" w:type="pct"/>
              </w:tcPr>
              <w:p w14:paraId="5AA08489" w14:textId="77777777" w:rsidR="00471D53" w:rsidRDefault="00B664AF">
                <w:pPr>
                  <w:jc w:val="right"/>
                  <w:rPr>
                    <w:szCs w:val="21"/>
                  </w:rPr>
                </w:pPr>
              </w:p>
            </w:tc>
            <w:tc>
              <w:tcPr>
                <w:tcW w:w="943" w:type="pct"/>
              </w:tcPr>
              <w:p w14:paraId="5B095409" w14:textId="77777777" w:rsidR="00471D53" w:rsidRDefault="00B664AF">
                <w:pPr>
                  <w:jc w:val="right"/>
                  <w:rPr>
                    <w:szCs w:val="21"/>
                  </w:rPr>
                </w:pPr>
              </w:p>
            </w:tc>
          </w:tr>
          <w:tr w:rsidR="00471D53" w14:paraId="4EB22A1D" w14:textId="77777777" w:rsidTr="00510B81">
            <w:sdt>
              <w:sdtPr>
                <w:rPr>
                  <w:rFonts w:ascii="宋体" w:eastAsia="宋体" w:hAnsi="宋体"/>
                </w:rPr>
                <w:tag w:val="_PLD_7f587129b9194265b30ab5ac06c73ae1"/>
                <w:id w:val="792334471"/>
                <w:lock w:val="sdtLocked"/>
              </w:sdtPr>
              <w:sdtEndPr/>
              <w:sdtContent>
                <w:tc>
                  <w:tcPr>
                    <w:tcW w:w="1001" w:type="pct"/>
                    <w:vAlign w:val="center"/>
                  </w:tcPr>
                  <w:p w14:paraId="13FA40A8" w14:textId="77777777" w:rsidR="00471D53" w:rsidRDefault="004F686E">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62" w:type="pct"/>
              </w:tcPr>
              <w:p w14:paraId="5B834964" w14:textId="77777777" w:rsidR="00471D53" w:rsidRDefault="00B664AF">
                <w:pPr>
                  <w:jc w:val="right"/>
                  <w:rPr>
                    <w:szCs w:val="21"/>
                  </w:rPr>
                </w:pPr>
              </w:p>
            </w:tc>
            <w:tc>
              <w:tcPr>
                <w:tcW w:w="1097" w:type="pct"/>
              </w:tcPr>
              <w:p w14:paraId="56A3783D" w14:textId="77777777" w:rsidR="00471D53" w:rsidRDefault="00B664AF">
                <w:pPr>
                  <w:jc w:val="right"/>
                  <w:rPr>
                    <w:szCs w:val="21"/>
                  </w:rPr>
                </w:pPr>
              </w:p>
            </w:tc>
            <w:tc>
              <w:tcPr>
                <w:tcW w:w="1097" w:type="pct"/>
              </w:tcPr>
              <w:p w14:paraId="5848A01D" w14:textId="77777777" w:rsidR="00471D53" w:rsidRDefault="00B664AF">
                <w:pPr>
                  <w:jc w:val="right"/>
                  <w:rPr>
                    <w:szCs w:val="21"/>
                  </w:rPr>
                </w:pPr>
              </w:p>
            </w:tc>
            <w:tc>
              <w:tcPr>
                <w:tcW w:w="943" w:type="pct"/>
              </w:tcPr>
              <w:p w14:paraId="75335E36" w14:textId="77777777" w:rsidR="00471D53" w:rsidRDefault="00B664AF">
                <w:pPr>
                  <w:jc w:val="right"/>
                  <w:rPr>
                    <w:szCs w:val="21"/>
                  </w:rPr>
                </w:pPr>
              </w:p>
            </w:tc>
          </w:tr>
          <w:tr w:rsidR="00471D53" w14:paraId="34DEC0AB" w14:textId="77777777" w:rsidTr="00510B81">
            <w:sdt>
              <w:sdtPr>
                <w:rPr>
                  <w:rFonts w:ascii="宋体" w:eastAsia="宋体" w:hAnsi="宋体"/>
                </w:rPr>
                <w:tag w:val="_PLD_7b7c467e47354ee5a30772a2b1c39114"/>
                <w:id w:val="1462072351"/>
                <w:lock w:val="sdtLocked"/>
              </w:sdtPr>
              <w:sdtEndPr/>
              <w:sdtContent>
                <w:tc>
                  <w:tcPr>
                    <w:tcW w:w="1001" w:type="pct"/>
                    <w:vAlign w:val="center"/>
                  </w:tcPr>
                  <w:p w14:paraId="240674FA" w14:textId="77777777" w:rsidR="00471D53" w:rsidRDefault="004F686E">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62" w:type="pct"/>
              </w:tcPr>
              <w:p w14:paraId="1ABB031A" w14:textId="77777777" w:rsidR="00471D53" w:rsidRDefault="00B664AF">
                <w:pPr>
                  <w:jc w:val="right"/>
                  <w:rPr>
                    <w:szCs w:val="21"/>
                  </w:rPr>
                </w:pPr>
              </w:p>
            </w:tc>
            <w:tc>
              <w:tcPr>
                <w:tcW w:w="1097" w:type="pct"/>
              </w:tcPr>
              <w:p w14:paraId="1372AC07" w14:textId="77777777" w:rsidR="00471D53" w:rsidRDefault="00B664AF">
                <w:pPr>
                  <w:jc w:val="right"/>
                  <w:rPr>
                    <w:szCs w:val="21"/>
                  </w:rPr>
                </w:pPr>
              </w:p>
            </w:tc>
            <w:tc>
              <w:tcPr>
                <w:tcW w:w="1097" w:type="pct"/>
              </w:tcPr>
              <w:p w14:paraId="313E4922" w14:textId="77777777" w:rsidR="00471D53" w:rsidRDefault="00B664AF">
                <w:pPr>
                  <w:jc w:val="right"/>
                  <w:rPr>
                    <w:szCs w:val="21"/>
                  </w:rPr>
                </w:pPr>
              </w:p>
            </w:tc>
            <w:tc>
              <w:tcPr>
                <w:tcW w:w="943" w:type="pct"/>
              </w:tcPr>
              <w:p w14:paraId="3D8866DB" w14:textId="77777777" w:rsidR="00471D53" w:rsidRDefault="00B664AF">
                <w:pPr>
                  <w:jc w:val="right"/>
                  <w:rPr>
                    <w:szCs w:val="21"/>
                  </w:rPr>
                </w:pPr>
              </w:p>
            </w:tc>
          </w:tr>
          <w:tr w:rsidR="00471D53" w14:paraId="24347FF7" w14:textId="77777777" w:rsidTr="00471D53">
            <w:sdt>
              <w:sdtPr>
                <w:rPr>
                  <w:rFonts w:ascii="宋体" w:eastAsia="宋体" w:hAnsi="宋体"/>
                </w:rPr>
                <w:tag w:val="_PLD_539b03f459c4452c8b986b7b696cbc3f"/>
                <w:id w:val="542332166"/>
                <w:lock w:val="sdtLocked"/>
              </w:sdtPr>
              <w:sdtEndPr/>
              <w:sdtContent>
                <w:tc>
                  <w:tcPr>
                    <w:tcW w:w="1001" w:type="pct"/>
                    <w:vAlign w:val="center"/>
                  </w:tcPr>
                  <w:p w14:paraId="6092232E" w14:textId="77777777" w:rsidR="00471D53" w:rsidRDefault="004F686E">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62" w:type="pct"/>
                <w:vAlign w:val="center"/>
              </w:tcPr>
              <w:p w14:paraId="59734FC3" w14:textId="77777777" w:rsidR="00471D53" w:rsidRDefault="00B664AF" w:rsidP="00471D53">
                <w:pPr>
                  <w:jc w:val="right"/>
                  <w:rPr>
                    <w:sz w:val="20"/>
                    <w:szCs w:val="20"/>
                  </w:rPr>
                </w:pPr>
              </w:p>
            </w:tc>
            <w:tc>
              <w:tcPr>
                <w:tcW w:w="1097" w:type="pct"/>
                <w:vAlign w:val="center"/>
              </w:tcPr>
              <w:p w14:paraId="37C7DA5C" w14:textId="7E839379" w:rsidR="00471D53" w:rsidRDefault="004F686E" w:rsidP="00471D53">
                <w:pPr>
                  <w:jc w:val="right"/>
                  <w:rPr>
                    <w:sz w:val="20"/>
                    <w:szCs w:val="20"/>
                  </w:rPr>
                </w:pPr>
                <w:r>
                  <w:rPr>
                    <w:rFonts w:hint="eastAsia"/>
                    <w:sz w:val="20"/>
                    <w:szCs w:val="20"/>
                  </w:rPr>
                  <w:t>91,197.66</w:t>
                </w:r>
              </w:p>
            </w:tc>
            <w:tc>
              <w:tcPr>
                <w:tcW w:w="1097" w:type="pct"/>
                <w:vAlign w:val="center"/>
              </w:tcPr>
              <w:p w14:paraId="0910D231" w14:textId="77777777" w:rsidR="00471D53" w:rsidRDefault="00B664AF" w:rsidP="00471D53">
                <w:pPr>
                  <w:jc w:val="right"/>
                  <w:rPr>
                    <w:sz w:val="20"/>
                    <w:szCs w:val="20"/>
                  </w:rPr>
                </w:pPr>
              </w:p>
            </w:tc>
            <w:tc>
              <w:tcPr>
                <w:tcW w:w="943" w:type="pct"/>
                <w:vAlign w:val="center"/>
              </w:tcPr>
              <w:p w14:paraId="655C6250" w14:textId="77777777" w:rsidR="00471D53" w:rsidRDefault="004F686E" w:rsidP="00471D53">
                <w:pPr>
                  <w:jc w:val="right"/>
                  <w:rPr>
                    <w:sz w:val="20"/>
                    <w:szCs w:val="20"/>
                  </w:rPr>
                </w:pPr>
                <w:r>
                  <w:rPr>
                    <w:rFonts w:hint="eastAsia"/>
                    <w:sz w:val="20"/>
                    <w:szCs w:val="20"/>
                  </w:rPr>
                  <w:t>91,197.66</w:t>
                </w:r>
              </w:p>
            </w:tc>
          </w:tr>
          <w:tr w:rsidR="00471D53" w14:paraId="4C881B11" w14:textId="77777777" w:rsidTr="00510B81">
            <w:tc>
              <w:tcPr>
                <w:tcW w:w="1001" w:type="pct"/>
                <w:vAlign w:val="center"/>
              </w:tcPr>
              <w:sdt>
                <w:sdtPr>
                  <w:rPr>
                    <w:rFonts w:ascii="宋体" w:eastAsia="宋体" w:hAnsi="宋体" w:hint="eastAsia"/>
                    <w:sz w:val="21"/>
                    <w:szCs w:val="21"/>
                    <w:lang w:eastAsia="zh-CN"/>
                  </w:rPr>
                  <w:tag w:val="_PLD_ddcd4306bc5c4cc89da3fd6a733c0801"/>
                  <w:id w:val="348760477"/>
                  <w:lock w:val="sdtLocked"/>
                </w:sdtPr>
                <w:sdtEndPr/>
                <w:sdtContent>
                  <w:p w14:paraId="0D1DE599" w14:textId="77777777" w:rsidR="00471D53" w:rsidRDefault="004F686E">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本期转回</w:t>
                    </w:r>
                  </w:p>
                </w:sdtContent>
              </w:sdt>
            </w:tc>
            <w:tc>
              <w:tcPr>
                <w:tcW w:w="862" w:type="pct"/>
              </w:tcPr>
              <w:p w14:paraId="353A8575" w14:textId="77777777" w:rsidR="00471D53" w:rsidRDefault="00B664AF">
                <w:pPr>
                  <w:jc w:val="right"/>
                  <w:rPr>
                    <w:szCs w:val="21"/>
                  </w:rPr>
                </w:pPr>
              </w:p>
            </w:tc>
            <w:tc>
              <w:tcPr>
                <w:tcW w:w="1097" w:type="pct"/>
              </w:tcPr>
              <w:p w14:paraId="211EA70F" w14:textId="77777777" w:rsidR="00471D53" w:rsidRDefault="00B664AF">
                <w:pPr>
                  <w:jc w:val="right"/>
                  <w:rPr>
                    <w:szCs w:val="21"/>
                  </w:rPr>
                </w:pPr>
              </w:p>
            </w:tc>
            <w:tc>
              <w:tcPr>
                <w:tcW w:w="1097" w:type="pct"/>
              </w:tcPr>
              <w:p w14:paraId="2FFB9DDA" w14:textId="77777777" w:rsidR="00471D53" w:rsidRDefault="00B664AF">
                <w:pPr>
                  <w:jc w:val="right"/>
                  <w:rPr>
                    <w:szCs w:val="21"/>
                  </w:rPr>
                </w:pPr>
              </w:p>
            </w:tc>
            <w:tc>
              <w:tcPr>
                <w:tcW w:w="943" w:type="pct"/>
              </w:tcPr>
              <w:p w14:paraId="62E37EE6" w14:textId="77777777" w:rsidR="00471D53" w:rsidRDefault="00B664AF">
                <w:pPr>
                  <w:jc w:val="right"/>
                  <w:rPr>
                    <w:szCs w:val="21"/>
                  </w:rPr>
                </w:pPr>
              </w:p>
            </w:tc>
          </w:tr>
          <w:tr w:rsidR="00471D53" w14:paraId="70E48667" w14:textId="77777777" w:rsidTr="00510B81">
            <w:sdt>
              <w:sdtPr>
                <w:rPr>
                  <w:rFonts w:ascii="宋体" w:eastAsia="宋体" w:hAnsi="宋体"/>
                </w:rPr>
                <w:tag w:val="_PLD_1c4657ced479496a86e3dc375f285889"/>
                <w:id w:val="1003858452"/>
                <w:lock w:val="sdtLocked"/>
              </w:sdtPr>
              <w:sdtEndPr/>
              <w:sdtContent>
                <w:tc>
                  <w:tcPr>
                    <w:tcW w:w="1001" w:type="pct"/>
                    <w:vAlign w:val="center"/>
                  </w:tcPr>
                  <w:p w14:paraId="1C832907" w14:textId="77777777" w:rsidR="00471D53" w:rsidRDefault="004F686E">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62" w:type="pct"/>
              </w:tcPr>
              <w:p w14:paraId="38C24450" w14:textId="77777777" w:rsidR="00471D53" w:rsidRDefault="00B664AF">
                <w:pPr>
                  <w:jc w:val="right"/>
                  <w:rPr>
                    <w:szCs w:val="21"/>
                  </w:rPr>
                </w:pPr>
              </w:p>
            </w:tc>
            <w:tc>
              <w:tcPr>
                <w:tcW w:w="1097" w:type="pct"/>
              </w:tcPr>
              <w:p w14:paraId="0FC377CC" w14:textId="77777777" w:rsidR="00471D53" w:rsidRDefault="00B664AF">
                <w:pPr>
                  <w:jc w:val="right"/>
                  <w:rPr>
                    <w:szCs w:val="21"/>
                  </w:rPr>
                </w:pPr>
              </w:p>
            </w:tc>
            <w:tc>
              <w:tcPr>
                <w:tcW w:w="1097" w:type="pct"/>
              </w:tcPr>
              <w:p w14:paraId="58D79291" w14:textId="77777777" w:rsidR="00471D53" w:rsidRDefault="00B664AF">
                <w:pPr>
                  <w:jc w:val="right"/>
                  <w:rPr>
                    <w:szCs w:val="21"/>
                  </w:rPr>
                </w:pPr>
              </w:p>
            </w:tc>
            <w:tc>
              <w:tcPr>
                <w:tcW w:w="943" w:type="pct"/>
              </w:tcPr>
              <w:p w14:paraId="611EAD20" w14:textId="77777777" w:rsidR="00471D53" w:rsidRDefault="00B664AF">
                <w:pPr>
                  <w:jc w:val="right"/>
                  <w:rPr>
                    <w:szCs w:val="21"/>
                  </w:rPr>
                </w:pPr>
              </w:p>
            </w:tc>
          </w:tr>
          <w:tr w:rsidR="00471D53" w14:paraId="27E4CADC" w14:textId="77777777" w:rsidTr="00510B81">
            <w:tc>
              <w:tcPr>
                <w:tcW w:w="1001" w:type="pct"/>
                <w:vAlign w:val="center"/>
              </w:tcPr>
              <w:sdt>
                <w:sdtPr>
                  <w:rPr>
                    <w:rFonts w:ascii="宋体" w:eastAsia="宋体" w:hAnsi="宋体" w:hint="eastAsia"/>
                    <w:sz w:val="21"/>
                    <w:szCs w:val="21"/>
                    <w:lang w:eastAsia="zh-CN"/>
                  </w:rPr>
                  <w:tag w:val="_PLD_8a1f66e013df42ccbcaccfe3645b25ea"/>
                  <w:id w:val="805589493"/>
                  <w:lock w:val="sdtLocked"/>
                </w:sdtPr>
                <w:sdtEndPr/>
                <w:sdtContent>
                  <w:p w14:paraId="0A051F33" w14:textId="77777777" w:rsidR="00471D53" w:rsidRDefault="004F686E">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本期核销</w:t>
                    </w:r>
                  </w:p>
                </w:sdtContent>
              </w:sdt>
            </w:tc>
            <w:tc>
              <w:tcPr>
                <w:tcW w:w="862" w:type="pct"/>
              </w:tcPr>
              <w:p w14:paraId="2ABA9BF7" w14:textId="77777777" w:rsidR="00471D53" w:rsidRDefault="00B664AF">
                <w:pPr>
                  <w:jc w:val="right"/>
                  <w:rPr>
                    <w:szCs w:val="21"/>
                  </w:rPr>
                </w:pPr>
              </w:p>
            </w:tc>
            <w:tc>
              <w:tcPr>
                <w:tcW w:w="1097" w:type="pct"/>
              </w:tcPr>
              <w:p w14:paraId="53FE2CB8" w14:textId="77777777" w:rsidR="00471D53" w:rsidRDefault="00B664AF">
                <w:pPr>
                  <w:jc w:val="right"/>
                  <w:rPr>
                    <w:szCs w:val="21"/>
                  </w:rPr>
                </w:pPr>
              </w:p>
            </w:tc>
            <w:tc>
              <w:tcPr>
                <w:tcW w:w="1097" w:type="pct"/>
              </w:tcPr>
              <w:p w14:paraId="59066E73" w14:textId="77777777" w:rsidR="00471D53" w:rsidRDefault="00B664AF">
                <w:pPr>
                  <w:jc w:val="right"/>
                  <w:rPr>
                    <w:szCs w:val="21"/>
                  </w:rPr>
                </w:pPr>
              </w:p>
            </w:tc>
            <w:tc>
              <w:tcPr>
                <w:tcW w:w="943" w:type="pct"/>
              </w:tcPr>
              <w:p w14:paraId="66C82949" w14:textId="77777777" w:rsidR="00471D53" w:rsidRDefault="00B664AF">
                <w:pPr>
                  <w:jc w:val="right"/>
                  <w:rPr>
                    <w:szCs w:val="21"/>
                  </w:rPr>
                </w:pPr>
              </w:p>
            </w:tc>
          </w:tr>
          <w:tr w:rsidR="00471D53" w14:paraId="6F4286FA" w14:textId="77777777" w:rsidTr="00510B81">
            <w:sdt>
              <w:sdtPr>
                <w:rPr>
                  <w:rFonts w:ascii="宋体" w:eastAsia="宋体" w:hAnsi="宋体"/>
                </w:rPr>
                <w:tag w:val="_PLD_80203c10cb0c468dbd7a48669ddd0f63"/>
                <w:id w:val="1842345930"/>
                <w:lock w:val="sdtLocked"/>
              </w:sdtPr>
              <w:sdtEndPr/>
              <w:sdtContent>
                <w:tc>
                  <w:tcPr>
                    <w:tcW w:w="1001" w:type="pct"/>
                    <w:vAlign w:val="center"/>
                  </w:tcPr>
                  <w:p w14:paraId="0F471EA2" w14:textId="77777777" w:rsidR="00471D53" w:rsidRDefault="004F686E">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62" w:type="pct"/>
              </w:tcPr>
              <w:p w14:paraId="6EAA3D3A" w14:textId="77777777" w:rsidR="00471D53" w:rsidRDefault="00B664AF">
                <w:pPr>
                  <w:jc w:val="right"/>
                  <w:rPr>
                    <w:szCs w:val="21"/>
                  </w:rPr>
                </w:pPr>
              </w:p>
            </w:tc>
            <w:tc>
              <w:tcPr>
                <w:tcW w:w="1097" w:type="pct"/>
              </w:tcPr>
              <w:p w14:paraId="13FBC7D8" w14:textId="77777777" w:rsidR="00471D53" w:rsidRDefault="00B664AF">
                <w:pPr>
                  <w:jc w:val="right"/>
                  <w:rPr>
                    <w:szCs w:val="21"/>
                  </w:rPr>
                </w:pPr>
              </w:p>
            </w:tc>
            <w:tc>
              <w:tcPr>
                <w:tcW w:w="1097" w:type="pct"/>
              </w:tcPr>
              <w:p w14:paraId="3D2E60FE" w14:textId="77777777" w:rsidR="00471D53" w:rsidRDefault="00B664AF">
                <w:pPr>
                  <w:jc w:val="right"/>
                  <w:rPr>
                    <w:szCs w:val="21"/>
                  </w:rPr>
                </w:pPr>
              </w:p>
            </w:tc>
            <w:tc>
              <w:tcPr>
                <w:tcW w:w="943" w:type="pct"/>
              </w:tcPr>
              <w:p w14:paraId="374BBA9A" w14:textId="77777777" w:rsidR="00471D53" w:rsidRDefault="00B664AF">
                <w:pPr>
                  <w:jc w:val="right"/>
                  <w:rPr>
                    <w:szCs w:val="21"/>
                  </w:rPr>
                </w:pPr>
              </w:p>
            </w:tc>
          </w:tr>
          <w:tr w:rsidR="00471D53" w14:paraId="62DBB6F0" w14:textId="77777777" w:rsidTr="00471D53">
            <w:sdt>
              <w:sdtPr>
                <w:rPr>
                  <w:rFonts w:ascii="宋体" w:eastAsia="宋体" w:hAnsi="宋体"/>
                </w:rPr>
                <w:tag w:val="_PLD_bb669c94f1734a70be90735195c143c3"/>
                <w:id w:val="2013713728"/>
                <w:lock w:val="sdtLocked"/>
              </w:sdtPr>
              <w:sdtEndPr/>
              <w:sdtContent>
                <w:tc>
                  <w:tcPr>
                    <w:tcW w:w="1001" w:type="pct"/>
                    <w:vAlign w:val="center"/>
                  </w:tcPr>
                  <w:p w14:paraId="66410746" w14:textId="77777777" w:rsidR="00471D53" w:rsidRDefault="004F686E">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2021年6月30日</w:t>
                    </w:r>
                    <w:r>
                      <w:rPr>
                        <w:rFonts w:ascii="宋体" w:eastAsia="宋体" w:hAnsi="宋体" w:cs="宋体" w:hint="eastAsia"/>
                        <w:sz w:val="21"/>
                        <w:szCs w:val="21"/>
                        <w:lang w:eastAsia="zh-CN"/>
                      </w:rPr>
                      <w:t>余额</w:t>
                    </w:r>
                  </w:p>
                </w:tc>
              </w:sdtContent>
            </w:sdt>
            <w:tc>
              <w:tcPr>
                <w:tcW w:w="862" w:type="pct"/>
                <w:vAlign w:val="center"/>
              </w:tcPr>
              <w:p w14:paraId="45861800" w14:textId="77777777" w:rsidR="00471D53" w:rsidRDefault="00B664AF" w:rsidP="00471D53">
                <w:pPr>
                  <w:jc w:val="right"/>
                  <w:rPr>
                    <w:sz w:val="20"/>
                    <w:szCs w:val="20"/>
                  </w:rPr>
                </w:pPr>
              </w:p>
            </w:tc>
            <w:tc>
              <w:tcPr>
                <w:tcW w:w="1097" w:type="pct"/>
                <w:vAlign w:val="center"/>
              </w:tcPr>
              <w:p w14:paraId="44539596" w14:textId="18BD83FE" w:rsidR="00471D53" w:rsidRDefault="004F686E" w:rsidP="00471D53">
                <w:pPr>
                  <w:jc w:val="right"/>
                  <w:rPr>
                    <w:sz w:val="20"/>
                    <w:szCs w:val="20"/>
                  </w:rPr>
                </w:pPr>
                <w:r>
                  <w:rPr>
                    <w:rFonts w:hint="eastAsia"/>
                    <w:sz w:val="20"/>
                    <w:szCs w:val="20"/>
                  </w:rPr>
                  <w:t>1,733,267.89</w:t>
                </w:r>
              </w:p>
            </w:tc>
            <w:tc>
              <w:tcPr>
                <w:tcW w:w="1097" w:type="pct"/>
                <w:vAlign w:val="center"/>
              </w:tcPr>
              <w:p w14:paraId="559E704F" w14:textId="77777777" w:rsidR="00471D53" w:rsidRDefault="00B664AF" w:rsidP="00471D53">
                <w:pPr>
                  <w:jc w:val="right"/>
                  <w:rPr>
                    <w:sz w:val="20"/>
                    <w:szCs w:val="20"/>
                  </w:rPr>
                </w:pPr>
              </w:p>
            </w:tc>
            <w:tc>
              <w:tcPr>
                <w:tcW w:w="943" w:type="pct"/>
                <w:vAlign w:val="center"/>
              </w:tcPr>
              <w:p w14:paraId="3A477837" w14:textId="397D64A4" w:rsidR="00471D53" w:rsidRDefault="004F686E" w:rsidP="00471D53">
                <w:pPr>
                  <w:jc w:val="right"/>
                  <w:rPr>
                    <w:sz w:val="20"/>
                    <w:szCs w:val="20"/>
                  </w:rPr>
                </w:pPr>
                <w:r>
                  <w:rPr>
                    <w:rFonts w:hint="eastAsia"/>
                    <w:sz w:val="20"/>
                    <w:szCs w:val="20"/>
                  </w:rPr>
                  <w:t>1,733,267.89</w:t>
                </w:r>
              </w:p>
            </w:tc>
          </w:tr>
        </w:tbl>
        <w:p w14:paraId="2205F0AD" w14:textId="77777777" w:rsidR="00471D53" w:rsidRDefault="00B664AF"/>
        <w:p w14:paraId="58EEEE5E" w14:textId="77777777" w:rsidR="00471D53" w:rsidRDefault="004F686E">
          <w:pPr>
            <w:pStyle w:val="affffffff0"/>
            <w:rPr>
              <w:rFonts w:ascii="宋体" w:hAnsi="宋体"/>
            </w:rPr>
          </w:pPr>
          <w:r>
            <w:rPr>
              <w:rFonts w:ascii="宋体" w:hAnsi="宋体" w:hint="eastAsia"/>
            </w:rPr>
            <w:t>对本期发生损失准备变动的其他应收款账面余额显著变动的情况说明：</w:t>
          </w:r>
        </w:p>
        <w:sdt>
          <w:sdtPr>
            <w:alias w:val="是否适用：其他应收款本期发生损失准备变动且账面余额显著变动的情况说明[双击切换]"/>
            <w:tag w:val="_GBC_32e9d68fc5194869baa30fe15720ff13"/>
            <w:id w:val="1738821980"/>
            <w:lock w:val="sdtLocked"/>
            <w:placeholder>
              <w:docPart w:val="GBC22222222222222222222222222222"/>
            </w:placeholder>
          </w:sdtPr>
          <w:sdtEndPr/>
          <w:sdtContent>
            <w:p w14:paraId="613B7DF6"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EEF226E" w14:textId="77777777" w:rsidR="00471D53" w:rsidRDefault="00B664AF"/>
        <w:p w14:paraId="27089354" w14:textId="77777777" w:rsidR="00471D53" w:rsidRDefault="004F686E">
          <w:r>
            <w:rPr>
              <w:rFonts w:hint="eastAsia"/>
            </w:rPr>
            <w:t>本期坏账准备计提金额以及评估金融工具的信用风险是否显著增加的采用依据：</w:t>
          </w:r>
        </w:p>
        <w:sdt>
          <w:sdtPr>
            <w:alias w:val="是否适用：其他应收款本期坏账准备计提金额以及评估金融工具的信用风险显著增加的采用依据[双击切换]"/>
            <w:tag w:val="_GBC_dde26fcf385445edb7b0e96dab2a2b3e"/>
            <w:id w:val="-1677495018"/>
            <w:lock w:val="sdtLocked"/>
            <w:placeholder>
              <w:docPart w:val="GBC22222222222222222222222222222"/>
            </w:placeholder>
          </w:sdtPr>
          <w:sdtEndPr/>
          <w:sdtContent>
            <w:p w14:paraId="0F08CE4B"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E879FD8" w14:textId="77777777" w:rsidR="00471D53" w:rsidRDefault="00B664AF"/>
      </w:sdtContent>
    </w:sdt>
    <w:bookmarkEnd w:id="133" w:displacedByCustomXml="prev"/>
    <w:bookmarkStart w:id="134" w:name="_Hlk10469877" w:displacedByCustomXml="next"/>
    <w:sdt>
      <w:sdtPr>
        <w:rPr>
          <w:rFonts w:ascii="宋体" w:hAnsi="宋体" w:cs="宋体" w:hint="eastAsia"/>
          <w:b w:val="0"/>
          <w:bCs w:val="0"/>
          <w:kern w:val="0"/>
          <w:szCs w:val="24"/>
        </w:rPr>
        <w:alias w:val="模块:坏账准备的情况"/>
        <w:tag w:val="_SEC_93dacca8700c43aaba11477ef4689aa6"/>
        <w:id w:val="1864162844"/>
        <w:lock w:val="sdtLocked"/>
        <w:placeholder>
          <w:docPart w:val="GBC22222222222222222222222222222"/>
        </w:placeholder>
      </w:sdtPr>
      <w:sdtEndPr/>
      <w:sdtContent>
        <w:p w14:paraId="7A68977B" w14:textId="77777777" w:rsidR="00471D53" w:rsidRDefault="004F686E" w:rsidP="004F686E">
          <w:pPr>
            <w:pStyle w:val="afffff8"/>
            <w:numPr>
              <w:ilvl w:val="3"/>
              <w:numId w:val="63"/>
            </w:numPr>
            <w:tabs>
              <w:tab w:val="left" w:pos="560"/>
            </w:tabs>
            <w:rPr>
              <w:rFonts w:ascii="宋体" w:hAnsi="宋体"/>
            </w:rPr>
          </w:pPr>
          <w:r>
            <w:rPr>
              <w:rFonts w:ascii="宋体" w:hAnsi="宋体" w:hint="eastAsia"/>
            </w:rPr>
            <w:t>坏账准备的情况</w:t>
          </w:r>
        </w:p>
        <w:sdt>
          <w:sdtPr>
            <w:alias w:val="是否适用：其他应收款坏账准备[双击切换]"/>
            <w:tag w:val="_GBC_b3f4f88802a54b1da539ba2563000c5c"/>
            <w:id w:val="-1937429657"/>
            <w:lock w:val="sdtLocked"/>
            <w:placeholder>
              <w:docPart w:val="GBC22222222222222222222222222222"/>
            </w:placeholder>
          </w:sdtPr>
          <w:sdtEndPr/>
          <w:sdtContent>
            <w:p w14:paraId="1988411F"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4553118" w14:textId="144F0902" w:rsidR="00471D53" w:rsidRDefault="004F686E">
          <w:pPr>
            <w:pStyle w:val="affffff7"/>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其他应收款坏账准备"/>
              <w:tag w:val="_GBC_1cb0ccc9627340bb9775e68ec1d11af7"/>
              <w:id w:val="17574757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币种：</w:t>
          </w:r>
          <w:sdt>
            <w:sdtPr>
              <w:rPr>
                <w:rFonts w:ascii="宋体" w:hAnsi="宋体" w:hint="eastAsia"/>
                <w:szCs w:val="21"/>
              </w:rPr>
              <w:alias w:val="币种：其他应收款坏账准备"/>
              <w:tag w:val="_GBC_14d59c8ccaef434da24604201125f1f0"/>
              <w:id w:val="8692722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414"/>
            <w:gridCol w:w="1426"/>
            <w:gridCol w:w="1215"/>
            <w:gridCol w:w="1113"/>
            <w:gridCol w:w="1116"/>
            <w:gridCol w:w="1113"/>
            <w:gridCol w:w="1426"/>
          </w:tblGrid>
          <w:tr w:rsidR="00471D53" w14:paraId="7DC2CEAA" w14:textId="77777777" w:rsidTr="00471D53">
            <w:sdt>
              <w:sdtPr>
                <w:tag w:val="_PLD_31bfbbc8809c484e8788c004875b73f7"/>
                <w:id w:val="707077439"/>
                <w:lock w:val="sdtLocked"/>
              </w:sdtPr>
              <w:sdtEndPr/>
              <w:sdtContent>
                <w:tc>
                  <w:tcPr>
                    <w:tcW w:w="810" w:type="pct"/>
                    <w:vMerge w:val="restart"/>
                    <w:shd w:val="clear" w:color="auto" w:fill="FFFFFF"/>
                    <w:vAlign w:val="center"/>
                  </w:tcPr>
                  <w:p w14:paraId="1BAE17C4" w14:textId="77777777" w:rsidR="00471D53" w:rsidRDefault="004F686E">
                    <w:pPr>
                      <w:widowControl w:val="0"/>
                      <w:jc w:val="center"/>
                    </w:pPr>
                    <w:r>
                      <w:t>类别</w:t>
                    </w:r>
                  </w:p>
                </w:tc>
              </w:sdtContent>
            </w:sdt>
            <w:sdt>
              <w:sdtPr>
                <w:tag w:val="_PLD_8a84de1ffd5c434f9fdf644972838511"/>
                <w:id w:val="941497359"/>
                <w:lock w:val="sdtLocked"/>
              </w:sdtPr>
              <w:sdtEndPr/>
              <w:sdtContent>
                <w:tc>
                  <w:tcPr>
                    <w:tcW w:w="787" w:type="pct"/>
                    <w:vMerge w:val="restart"/>
                    <w:shd w:val="clear" w:color="auto" w:fill="FFFFFF"/>
                    <w:vAlign w:val="center"/>
                  </w:tcPr>
                  <w:p w14:paraId="69972C25" w14:textId="77777777" w:rsidR="00471D53" w:rsidRDefault="004F686E">
                    <w:pPr>
                      <w:widowControl w:val="0"/>
                      <w:jc w:val="center"/>
                    </w:pPr>
                    <w:r>
                      <w:t>期初余额</w:t>
                    </w:r>
                  </w:p>
                </w:tc>
              </w:sdtContent>
            </w:sdt>
            <w:sdt>
              <w:sdtPr>
                <w:tag w:val="_PLD_98e8a6b913f14f6ca45be028ca7fe9b3"/>
                <w:id w:val="-949556926"/>
                <w:lock w:val="sdtLocked"/>
              </w:sdtPr>
              <w:sdtEndPr/>
              <w:sdtContent>
                <w:tc>
                  <w:tcPr>
                    <w:tcW w:w="2616" w:type="pct"/>
                    <w:gridSpan w:val="4"/>
                    <w:shd w:val="clear" w:color="auto" w:fill="FFFFFF"/>
                    <w:vAlign w:val="center"/>
                  </w:tcPr>
                  <w:p w14:paraId="363C09EC" w14:textId="77777777" w:rsidR="00471D53" w:rsidRDefault="004F686E">
                    <w:pPr>
                      <w:widowControl w:val="0"/>
                      <w:jc w:val="center"/>
                    </w:pPr>
                    <w:r>
                      <w:rPr>
                        <w:rFonts w:hint="eastAsia"/>
                      </w:rPr>
                      <w:t>本期变动</w:t>
                    </w:r>
                    <w:r>
                      <w:t>金额</w:t>
                    </w:r>
                  </w:p>
                </w:tc>
              </w:sdtContent>
            </w:sdt>
            <w:sdt>
              <w:sdtPr>
                <w:tag w:val="_PLD_79cbcdb53d6946aa8890a6614ae8fa7c"/>
                <w:id w:val="138544212"/>
                <w:lock w:val="sdtLocked"/>
              </w:sdtPr>
              <w:sdtEndPr/>
              <w:sdtContent>
                <w:tc>
                  <w:tcPr>
                    <w:tcW w:w="787" w:type="pct"/>
                    <w:vMerge w:val="restart"/>
                    <w:shd w:val="clear" w:color="auto" w:fill="FFFFFF"/>
                    <w:vAlign w:val="center"/>
                  </w:tcPr>
                  <w:p w14:paraId="6F046B75" w14:textId="77777777" w:rsidR="00471D53" w:rsidRDefault="004F686E">
                    <w:pPr>
                      <w:widowControl w:val="0"/>
                      <w:jc w:val="center"/>
                    </w:pPr>
                    <w:r>
                      <w:t>期末余额</w:t>
                    </w:r>
                  </w:p>
                </w:tc>
              </w:sdtContent>
            </w:sdt>
          </w:tr>
          <w:tr w:rsidR="00471D53" w14:paraId="5E460A08" w14:textId="77777777" w:rsidTr="00471D53">
            <w:tc>
              <w:tcPr>
                <w:tcW w:w="810" w:type="pct"/>
                <w:vMerge/>
                <w:shd w:val="clear" w:color="auto" w:fill="FFFFFF"/>
              </w:tcPr>
              <w:p w14:paraId="357F3E21" w14:textId="77777777" w:rsidR="00471D53" w:rsidRDefault="00B664AF">
                <w:pPr>
                  <w:widowControl w:val="0"/>
                  <w:jc w:val="center"/>
                </w:pPr>
              </w:p>
            </w:tc>
            <w:tc>
              <w:tcPr>
                <w:tcW w:w="787" w:type="pct"/>
                <w:vMerge/>
                <w:shd w:val="clear" w:color="auto" w:fill="FFFFFF"/>
              </w:tcPr>
              <w:p w14:paraId="6D7F40E4" w14:textId="77777777" w:rsidR="00471D53" w:rsidRDefault="00B664AF">
                <w:pPr>
                  <w:widowControl w:val="0"/>
                  <w:jc w:val="center"/>
                </w:pPr>
              </w:p>
            </w:tc>
            <w:sdt>
              <w:sdtPr>
                <w:tag w:val="_PLD_e690235010e24ffc8796adbde1bb559c"/>
                <w:id w:val="1134452144"/>
                <w:lock w:val="sdtLocked"/>
              </w:sdtPr>
              <w:sdtEndPr/>
              <w:sdtContent>
                <w:tc>
                  <w:tcPr>
                    <w:tcW w:w="697" w:type="pct"/>
                    <w:shd w:val="clear" w:color="auto" w:fill="FFFFFF"/>
                    <w:vAlign w:val="center"/>
                  </w:tcPr>
                  <w:p w14:paraId="45E960EA" w14:textId="77777777" w:rsidR="00471D53" w:rsidRDefault="004F686E">
                    <w:pPr>
                      <w:widowControl w:val="0"/>
                      <w:jc w:val="center"/>
                    </w:pPr>
                    <w:r>
                      <w:t>计提</w:t>
                    </w:r>
                  </w:p>
                </w:tc>
              </w:sdtContent>
            </w:sdt>
            <w:sdt>
              <w:sdtPr>
                <w:tag w:val="_PLD_d059ae406aed4a3a8f46c2d712ef508e"/>
                <w:id w:val="-1845704920"/>
                <w:lock w:val="sdtLocked"/>
              </w:sdtPr>
              <w:sdtEndPr/>
              <w:sdtContent>
                <w:tc>
                  <w:tcPr>
                    <w:tcW w:w="639" w:type="pct"/>
                    <w:shd w:val="clear" w:color="auto" w:fill="FFFFFF"/>
                    <w:vAlign w:val="center"/>
                  </w:tcPr>
                  <w:p w14:paraId="69B44761" w14:textId="77777777" w:rsidR="00471D53" w:rsidRDefault="004F686E">
                    <w:pPr>
                      <w:widowControl w:val="0"/>
                      <w:jc w:val="center"/>
                    </w:pPr>
                    <w:r>
                      <w:rPr>
                        <w:rFonts w:hint="eastAsia"/>
                      </w:rPr>
                      <w:t>收回或转回</w:t>
                    </w:r>
                  </w:p>
                </w:tc>
              </w:sdtContent>
            </w:sdt>
            <w:sdt>
              <w:sdtPr>
                <w:tag w:val="_PLD_da780fd6da3646febcd85bf9dbd8b64e"/>
                <w:id w:val="-1296360086"/>
                <w:lock w:val="sdtLocked"/>
              </w:sdtPr>
              <w:sdtEndPr/>
              <w:sdtContent>
                <w:tc>
                  <w:tcPr>
                    <w:tcW w:w="641" w:type="pct"/>
                    <w:shd w:val="clear" w:color="auto" w:fill="FFFFFF"/>
                    <w:vAlign w:val="center"/>
                  </w:tcPr>
                  <w:p w14:paraId="39CBA72D" w14:textId="77777777" w:rsidR="00471D53" w:rsidRDefault="004F686E">
                    <w:pPr>
                      <w:widowControl w:val="0"/>
                      <w:jc w:val="center"/>
                    </w:pPr>
                    <w:r>
                      <w:rPr>
                        <w:rFonts w:hint="eastAsia"/>
                      </w:rPr>
                      <w:t>转销或核销</w:t>
                    </w:r>
                  </w:p>
                </w:tc>
              </w:sdtContent>
            </w:sdt>
            <w:tc>
              <w:tcPr>
                <w:tcW w:w="639" w:type="pct"/>
                <w:shd w:val="clear" w:color="auto" w:fill="FFFFFF"/>
                <w:vAlign w:val="center"/>
              </w:tcPr>
              <w:sdt>
                <w:sdtPr>
                  <w:rPr>
                    <w:rFonts w:hint="eastAsia"/>
                  </w:rPr>
                  <w:tag w:val="_PLD_d6a9b9888c1a49429189a2a72159c309"/>
                  <w:id w:val="-1268685727"/>
                  <w:lock w:val="sdtLocked"/>
                </w:sdtPr>
                <w:sdtEndPr/>
                <w:sdtContent>
                  <w:p w14:paraId="27138367" w14:textId="77777777" w:rsidR="00471D53" w:rsidRDefault="004F686E">
                    <w:pPr>
                      <w:widowControl w:val="0"/>
                      <w:jc w:val="right"/>
                    </w:pPr>
                    <w:r>
                      <w:rPr>
                        <w:rFonts w:hint="eastAsia"/>
                      </w:rPr>
                      <w:t>其他变动</w:t>
                    </w:r>
                  </w:p>
                </w:sdtContent>
              </w:sdt>
            </w:tc>
            <w:tc>
              <w:tcPr>
                <w:tcW w:w="787" w:type="pct"/>
                <w:vMerge/>
                <w:shd w:val="clear" w:color="auto" w:fill="FFFFFF"/>
              </w:tcPr>
              <w:p w14:paraId="5E82E2DC" w14:textId="77777777" w:rsidR="00471D53" w:rsidRDefault="00B664AF">
                <w:pPr>
                  <w:widowControl w:val="0"/>
                  <w:jc w:val="right"/>
                </w:pPr>
              </w:p>
            </w:tc>
          </w:tr>
          <w:sdt>
            <w:sdtPr>
              <w:alias w:val="其他应收款坏账准备明细"/>
              <w:tag w:val="_TUP_7a0cb2b2adeb4af281afaba9c5959134"/>
              <w:id w:val="898558317"/>
              <w:lock w:val="sdtLocked"/>
            </w:sdtPr>
            <w:sdtEndPr/>
            <w:sdtContent>
              <w:tr w:rsidR="00471D53" w14:paraId="3886A97F" w14:textId="77777777" w:rsidTr="00471D53">
                <w:tc>
                  <w:tcPr>
                    <w:tcW w:w="810" w:type="pct"/>
                    <w:shd w:val="clear" w:color="auto" w:fill="auto"/>
                  </w:tcPr>
                  <w:p w14:paraId="3FFBB544" w14:textId="77777777" w:rsidR="00471D53" w:rsidRDefault="004F686E" w:rsidP="00471D53">
                    <w:pPr>
                      <w:rPr>
                        <w:spacing w:val="-6"/>
                        <w:sz w:val="20"/>
                        <w:szCs w:val="20"/>
                      </w:rPr>
                    </w:pPr>
                    <w:r>
                      <w:rPr>
                        <w:rFonts w:hint="eastAsia"/>
                        <w:spacing w:val="-6"/>
                        <w:sz w:val="20"/>
                        <w:szCs w:val="20"/>
                      </w:rPr>
                      <w:t>其他应收款</w:t>
                    </w:r>
                  </w:p>
                  <w:p w14:paraId="3665BBCF" w14:textId="77777777" w:rsidR="00471D53" w:rsidRDefault="004F686E" w:rsidP="00471D53">
                    <w:pPr>
                      <w:widowControl w:val="0"/>
                    </w:pPr>
                    <w:r>
                      <w:rPr>
                        <w:rFonts w:hint="eastAsia"/>
                        <w:spacing w:val="-6"/>
                        <w:sz w:val="20"/>
                        <w:szCs w:val="20"/>
                      </w:rPr>
                      <w:t>坏账准备</w:t>
                    </w:r>
                  </w:p>
                </w:tc>
                <w:tc>
                  <w:tcPr>
                    <w:tcW w:w="787" w:type="pct"/>
                    <w:shd w:val="clear" w:color="auto" w:fill="auto"/>
                    <w:vAlign w:val="center"/>
                  </w:tcPr>
                  <w:p w14:paraId="77E2C053" w14:textId="77777777" w:rsidR="00471D53" w:rsidRDefault="004F686E" w:rsidP="00471D53">
                    <w:pPr>
                      <w:jc w:val="center"/>
                      <w:rPr>
                        <w:sz w:val="20"/>
                        <w:szCs w:val="20"/>
                      </w:rPr>
                    </w:pPr>
                    <w:r>
                      <w:rPr>
                        <w:rFonts w:cs="Calibri" w:hint="eastAsia"/>
                        <w:sz w:val="20"/>
                        <w:szCs w:val="20"/>
                      </w:rPr>
                      <w:t>1,642,070.23</w:t>
                    </w:r>
                  </w:p>
                </w:tc>
                <w:tc>
                  <w:tcPr>
                    <w:tcW w:w="697" w:type="pct"/>
                    <w:shd w:val="clear" w:color="auto" w:fill="auto"/>
                    <w:vAlign w:val="center"/>
                  </w:tcPr>
                  <w:p w14:paraId="50F91EF8" w14:textId="77777777" w:rsidR="00471D53" w:rsidRDefault="004F686E" w:rsidP="00471D53">
                    <w:pPr>
                      <w:jc w:val="center"/>
                      <w:rPr>
                        <w:sz w:val="20"/>
                        <w:szCs w:val="20"/>
                      </w:rPr>
                    </w:pPr>
                    <w:r>
                      <w:rPr>
                        <w:rFonts w:hint="eastAsia"/>
                        <w:sz w:val="20"/>
                        <w:szCs w:val="20"/>
                      </w:rPr>
                      <w:t>91,197.66</w:t>
                    </w:r>
                  </w:p>
                </w:tc>
                <w:tc>
                  <w:tcPr>
                    <w:tcW w:w="639" w:type="pct"/>
                    <w:shd w:val="clear" w:color="auto" w:fill="auto"/>
                    <w:vAlign w:val="center"/>
                  </w:tcPr>
                  <w:p w14:paraId="002602D0" w14:textId="77777777" w:rsidR="00471D53" w:rsidRDefault="00B664AF" w:rsidP="00471D53">
                    <w:pPr>
                      <w:widowControl w:val="0"/>
                      <w:jc w:val="center"/>
                    </w:pPr>
                  </w:p>
                </w:tc>
                <w:tc>
                  <w:tcPr>
                    <w:tcW w:w="641" w:type="pct"/>
                    <w:vAlign w:val="center"/>
                  </w:tcPr>
                  <w:p w14:paraId="4D469C8F" w14:textId="77777777" w:rsidR="00471D53" w:rsidRDefault="00B664AF" w:rsidP="00471D53">
                    <w:pPr>
                      <w:widowControl w:val="0"/>
                      <w:jc w:val="center"/>
                    </w:pPr>
                  </w:p>
                </w:tc>
                <w:tc>
                  <w:tcPr>
                    <w:tcW w:w="639" w:type="pct"/>
                    <w:vAlign w:val="center"/>
                  </w:tcPr>
                  <w:p w14:paraId="28F1003B" w14:textId="77777777" w:rsidR="00471D53" w:rsidRDefault="00B664AF" w:rsidP="00471D53">
                    <w:pPr>
                      <w:widowControl w:val="0"/>
                      <w:jc w:val="center"/>
                    </w:pPr>
                  </w:p>
                </w:tc>
                <w:tc>
                  <w:tcPr>
                    <w:tcW w:w="787" w:type="pct"/>
                    <w:shd w:val="clear" w:color="auto" w:fill="auto"/>
                    <w:vAlign w:val="center"/>
                  </w:tcPr>
                  <w:p w14:paraId="40A296F9" w14:textId="77777777" w:rsidR="00471D53" w:rsidRDefault="004F686E" w:rsidP="00471D53">
                    <w:pPr>
                      <w:widowControl w:val="0"/>
                      <w:jc w:val="center"/>
                    </w:pPr>
                    <w:r>
                      <w:rPr>
                        <w:rFonts w:hint="eastAsia"/>
                        <w:sz w:val="20"/>
                        <w:szCs w:val="20"/>
                      </w:rPr>
                      <w:t>1,733,267.89</w:t>
                    </w:r>
                  </w:p>
                </w:tc>
              </w:tr>
            </w:sdtContent>
          </w:sdt>
          <w:sdt>
            <w:sdtPr>
              <w:alias w:val="其他应收款坏账准备明细"/>
              <w:tag w:val="_TUP_7a0cb2b2adeb4af281afaba9c5959134"/>
              <w:id w:val="1981797799"/>
              <w:lock w:val="sdtLocked"/>
            </w:sdtPr>
            <w:sdtEndPr/>
            <w:sdtContent>
              <w:tr w:rsidR="00471D53" w14:paraId="11F4061C" w14:textId="77777777" w:rsidTr="00471D53">
                <w:tc>
                  <w:tcPr>
                    <w:tcW w:w="810" w:type="pct"/>
                    <w:shd w:val="clear" w:color="auto" w:fill="auto"/>
                  </w:tcPr>
                  <w:p w14:paraId="1FB2E855" w14:textId="77777777" w:rsidR="00471D53" w:rsidRDefault="00B664AF">
                    <w:pPr>
                      <w:widowControl w:val="0"/>
                    </w:pPr>
                  </w:p>
                </w:tc>
                <w:tc>
                  <w:tcPr>
                    <w:tcW w:w="787" w:type="pct"/>
                    <w:shd w:val="clear" w:color="auto" w:fill="auto"/>
                  </w:tcPr>
                  <w:p w14:paraId="2D87BEA6" w14:textId="77777777" w:rsidR="00471D53" w:rsidRDefault="00B664AF">
                    <w:pPr>
                      <w:widowControl w:val="0"/>
                      <w:jc w:val="right"/>
                    </w:pPr>
                  </w:p>
                </w:tc>
                <w:tc>
                  <w:tcPr>
                    <w:tcW w:w="697" w:type="pct"/>
                    <w:shd w:val="clear" w:color="auto" w:fill="auto"/>
                  </w:tcPr>
                  <w:p w14:paraId="4BA9C1DE" w14:textId="77777777" w:rsidR="00471D53" w:rsidRDefault="00B664AF">
                    <w:pPr>
                      <w:widowControl w:val="0"/>
                      <w:jc w:val="right"/>
                    </w:pPr>
                  </w:p>
                </w:tc>
                <w:tc>
                  <w:tcPr>
                    <w:tcW w:w="639" w:type="pct"/>
                    <w:shd w:val="clear" w:color="auto" w:fill="auto"/>
                  </w:tcPr>
                  <w:p w14:paraId="4A7F3A23" w14:textId="77777777" w:rsidR="00471D53" w:rsidRDefault="00B664AF">
                    <w:pPr>
                      <w:widowControl w:val="0"/>
                      <w:jc w:val="right"/>
                    </w:pPr>
                  </w:p>
                </w:tc>
                <w:tc>
                  <w:tcPr>
                    <w:tcW w:w="641" w:type="pct"/>
                  </w:tcPr>
                  <w:p w14:paraId="0DE63E6A" w14:textId="77777777" w:rsidR="00471D53" w:rsidRDefault="00B664AF">
                    <w:pPr>
                      <w:widowControl w:val="0"/>
                      <w:jc w:val="right"/>
                    </w:pPr>
                  </w:p>
                </w:tc>
                <w:tc>
                  <w:tcPr>
                    <w:tcW w:w="639" w:type="pct"/>
                  </w:tcPr>
                  <w:p w14:paraId="54F518FC" w14:textId="77777777" w:rsidR="00471D53" w:rsidRDefault="00B664AF">
                    <w:pPr>
                      <w:widowControl w:val="0"/>
                      <w:jc w:val="right"/>
                    </w:pPr>
                  </w:p>
                </w:tc>
                <w:tc>
                  <w:tcPr>
                    <w:tcW w:w="787" w:type="pct"/>
                    <w:shd w:val="clear" w:color="auto" w:fill="auto"/>
                  </w:tcPr>
                  <w:p w14:paraId="59CC6964" w14:textId="77777777" w:rsidR="00471D53" w:rsidRDefault="00B664AF">
                    <w:pPr>
                      <w:widowControl w:val="0"/>
                      <w:jc w:val="right"/>
                    </w:pPr>
                  </w:p>
                </w:tc>
              </w:tr>
            </w:sdtContent>
          </w:sdt>
          <w:tr w:rsidR="00471D53" w14:paraId="079523D9" w14:textId="77777777" w:rsidTr="00471D53">
            <w:sdt>
              <w:sdtPr>
                <w:tag w:val="_PLD_338c13f365964c67a7e58b3e079f4171"/>
                <w:id w:val="-641044032"/>
                <w:lock w:val="sdtLocked"/>
              </w:sdtPr>
              <w:sdtEndPr/>
              <w:sdtContent>
                <w:tc>
                  <w:tcPr>
                    <w:tcW w:w="810" w:type="pct"/>
                    <w:shd w:val="clear" w:color="auto" w:fill="auto"/>
                  </w:tcPr>
                  <w:p w14:paraId="3621790B" w14:textId="77777777" w:rsidR="00471D53" w:rsidRDefault="004F686E">
                    <w:pPr>
                      <w:widowControl w:val="0"/>
                      <w:jc w:val="center"/>
                    </w:pPr>
                    <w:r>
                      <w:rPr>
                        <w:rFonts w:hint="eastAsia"/>
                      </w:rPr>
                      <w:t>合计</w:t>
                    </w:r>
                  </w:p>
                </w:tc>
              </w:sdtContent>
            </w:sdt>
            <w:tc>
              <w:tcPr>
                <w:tcW w:w="787" w:type="pct"/>
                <w:shd w:val="clear" w:color="auto" w:fill="auto"/>
                <w:vAlign w:val="center"/>
              </w:tcPr>
              <w:p w14:paraId="1BE615FF" w14:textId="77777777" w:rsidR="00471D53" w:rsidRDefault="004F686E" w:rsidP="00471D53">
                <w:pPr>
                  <w:jc w:val="center"/>
                  <w:rPr>
                    <w:sz w:val="20"/>
                    <w:szCs w:val="20"/>
                  </w:rPr>
                </w:pPr>
                <w:r>
                  <w:rPr>
                    <w:rFonts w:cs="Calibri" w:hint="eastAsia"/>
                    <w:sz w:val="20"/>
                    <w:szCs w:val="20"/>
                  </w:rPr>
                  <w:t>1,642,070.23</w:t>
                </w:r>
              </w:p>
            </w:tc>
            <w:tc>
              <w:tcPr>
                <w:tcW w:w="697" w:type="pct"/>
                <w:shd w:val="clear" w:color="auto" w:fill="auto"/>
                <w:vAlign w:val="center"/>
              </w:tcPr>
              <w:p w14:paraId="64E6ABB4" w14:textId="77777777" w:rsidR="00471D53" w:rsidRDefault="004F686E" w:rsidP="00471D53">
                <w:pPr>
                  <w:jc w:val="center"/>
                  <w:rPr>
                    <w:sz w:val="20"/>
                    <w:szCs w:val="20"/>
                  </w:rPr>
                </w:pPr>
                <w:r>
                  <w:rPr>
                    <w:rFonts w:hint="eastAsia"/>
                    <w:sz w:val="20"/>
                    <w:szCs w:val="20"/>
                  </w:rPr>
                  <w:t>91,197.66</w:t>
                </w:r>
              </w:p>
            </w:tc>
            <w:tc>
              <w:tcPr>
                <w:tcW w:w="639" w:type="pct"/>
                <w:shd w:val="clear" w:color="auto" w:fill="auto"/>
                <w:vAlign w:val="center"/>
              </w:tcPr>
              <w:p w14:paraId="005610F4" w14:textId="77777777" w:rsidR="00471D53" w:rsidRDefault="00B664AF" w:rsidP="00471D53">
                <w:pPr>
                  <w:widowControl w:val="0"/>
                  <w:jc w:val="center"/>
                </w:pPr>
              </w:p>
            </w:tc>
            <w:tc>
              <w:tcPr>
                <w:tcW w:w="641" w:type="pct"/>
                <w:vAlign w:val="center"/>
              </w:tcPr>
              <w:p w14:paraId="00D51E16" w14:textId="77777777" w:rsidR="00471D53" w:rsidRDefault="00B664AF" w:rsidP="00471D53">
                <w:pPr>
                  <w:widowControl w:val="0"/>
                  <w:jc w:val="center"/>
                </w:pPr>
              </w:p>
            </w:tc>
            <w:tc>
              <w:tcPr>
                <w:tcW w:w="639" w:type="pct"/>
                <w:vAlign w:val="center"/>
              </w:tcPr>
              <w:p w14:paraId="0AEFE360" w14:textId="77777777" w:rsidR="00471D53" w:rsidRDefault="00B664AF" w:rsidP="00471D53">
                <w:pPr>
                  <w:widowControl w:val="0"/>
                  <w:jc w:val="center"/>
                </w:pPr>
              </w:p>
            </w:tc>
            <w:tc>
              <w:tcPr>
                <w:tcW w:w="787" w:type="pct"/>
                <w:shd w:val="clear" w:color="auto" w:fill="auto"/>
                <w:vAlign w:val="center"/>
              </w:tcPr>
              <w:p w14:paraId="2FF29043" w14:textId="77777777" w:rsidR="00471D53" w:rsidRDefault="004F686E" w:rsidP="00471D53">
                <w:pPr>
                  <w:widowControl w:val="0"/>
                  <w:jc w:val="center"/>
                </w:pPr>
                <w:r>
                  <w:rPr>
                    <w:rFonts w:hint="eastAsia"/>
                    <w:sz w:val="20"/>
                    <w:szCs w:val="20"/>
                  </w:rPr>
                  <w:t>1,733,267.89</w:t>
                </w:r>
              </w:p>
            </w:tc>
          </w:tr>
        </w:tbl>
        <w:p w14:paraId="7F8CF692" w14:textId="77777777" w:rsidR="00471D53" w:rsidRDefault="004F686E">
          <w:r>
            <w:rPr>
              <w:rFonts w:hint="eastAsia"/>
            </w:rPr>
            <w:t>其中本期坏账准备转回或收回金额重要的：</w:t>
          </w:r>
        </w:p>
        <w:sdt>
          <w:sdtPr>
            <w:alias w:val="是否适用：其中本期其他应收账款坏账准备收回或转回金额重要的[双击切换]"/>
            <w:tag w:val="_GBC_766264a4e81b4ae6885d7f965ebbcd08"/>
            <w:id w:val="832104873"/>
            <w:lock w:val="sdtLocked"/>
            <w:placeholder>
              <w:docPart w:val="GBC22222222222222222222222222222"/>
            </w:placeholder>
          </w:sdtPr>
          <w:sdtEndPr/>
          <w:sdtContent>
            <w:p w14:paraId="5DDC4ED3" w14:textId="77777777" w:rsidR="00471D53" w:rsidRDefault="004F686E" w:rsidP="00471D5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34" w:displacedByCustomXml="prev"/>
    <w:sdt>
      <w:sdtPr>
        <w:rPr>
          <w:rFonts w:ascii="宋体" w:hAnsi="宋体" w:cs="宋体" w:hint="eastAsia"/>
          <w:b w:val="0"/>
          <w:bCs w:val="0"/>
          <w:kern w:val="0"/>
          <w:szCs w:val="24"/>
        </w:rPr>
        <w:alias w:val="模块:本报告期实际核销的其他应收款情况"/>
        <w:tag w:val="_GBC_ca12851378c64f09a5335b8a527df46f"/>
        <w:id w:val="721487646"/>
        <w:lock w:val="sdtLocked"/>
        <w:placeholder>
          <w:docPart w:val="GBC22222222222222222222222222222"/>
        </w:placeholder>
      </w:sdtPr>
      <w:sdtEndPr/>
      <w:sdtContent>
        <w:p w14:paraId="148F3D51" w14:textId="77777777" w:rsidR="00471D53" w:rsidRDefault="004F686E" w:rsidP="004F686E">
          <w:pPr>
            <w:pStyle w:val="afffff8"/>
            <w:numPr>
              <w:ilvl w:val="3"/>
              <w:numId w:val="63"/>
            </w:numPr>
            <w:tabs>
              <w:tab w:val="left" w:pos="560"/>
            </w:tabs>
            <w:rPr>
              <w:rFonts w:ascii="宋体" w:hAnsi="宋体"/>
            </w:rPr>
          </w:pPr>
          <w:r>
            <w:rPr>
              <w:rFonts w:ascii="宋体" w:hAnsi="宋体" w:hint="eastAsia"/>
            </w:rPr>
            <w:t>本期实际核销的其他应收款情况</w:t>
          </w:r>
        </w:p>
        <w:sdt>
          <w:sdtPr>
            <w:alias w:val="是否适用：本期实际核销的其他应收款情况[双击切换]"/>
            <w:tag w:val="_GBC_99c0ad513e2447ba8b2267c169be5583"/>
            <w:id w:val="1185787436"/>
            <w:lock w:val="sdtLocked"/>
            <w:placeholder>
              <w:docPart w:val="GBC22222222222222222222222222222"/>
            </w:placeholder>
          </w:sdtPr>
          <w:sdtEndPr/>
          <w:sdtContent>
            <w:p w14:paraId="562FF855" w14:textId="77777777" w:rsidR="00471D53" w:rsidRDefault="004F686E" w:rsidP="00471D53">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7530EA1" w14:textId="77777777" w:rsidR="00471D53" w:rsidRDefault="00B664AF">
          <w:pPr>
            <w:snapToGrid w:val="0"/>
            <w:spacing w:line="240" w:lineRule="atLeast"/>
            <w:rPr>
              <w:szCs w:val="21"/>
            </w:rPr>
          </w:pPr>
        </w:p>
        <w:p w14:paraId="48653305" w14:textId="77777777" w:rsidR="00471D53" w:rsidRDefault="00B664AF"/>
      </w:sdtContent>
    </w:sdt>
    <w:sdt>
      <w:sdtPr>
        <w:rPr>
          <w:rFonts w:ascii="宋体" w:hAnsi="宋体" w:cs="宋体" w:hint="eastAsia"/>
          <w:b w:val="0"/>
          <w:bCs w:val="0"/>
          <w:kern w:val="0"/>
          <w:szCs w:val="24"/>
        </w:rPr>
        <w:alias w:val="模块:按欠款方归集的期末余额其中前五名的其他应收款单位情况"/>
        <w:tag w:val="_GBC_a83a3fc7866445d68738701d3998ac0b"/>
        <w:id w:val="1802101645"/>
        <w:lock w:val="sdtLocked"/>
        <w:placeholder>
          <w:docPart w:val="GBC22222222222222222222222222222"/>
        </w:placeholder>
      </w:sdtPr>
      <w:sdtEndPr>
        <w:rPr>
          <w:rFonts w:ascii="Cambria" w:hAnsi="Cambria" w:cs="Times New Roman" w:hint="default"/>
          <w:b/>
          <w:bCs/>
          <w:kern w:val="2"/>
          <w:szCs w:val="28"/>
        </w:rPr>
      </w:sdtEndPr>
      <w:sdtContent>
        <w:p w14:paraId="6DB60F0D" w14:textId="77777777" w:rsidR="00471D53" w:rsidRDefault="004F686E" w:rsidP="004F686E">
          <w:pPr>
            <w:pStyle w:val="afffff8"/>
            <w:numPr>
              <w:ilvl w:val="3"/>
              <w:numId w:val="63"/>
            </w:numPr>
            <w:tabs>
              <w:tab w:val="left" w:pos="560"/>
            </w:tabs>
            <w:rPr>
              <w:rFonts w:ascii="宋体" w:hAnsi="宋体"/>
            </w:rPr>
          </w:pPr>
          <w:r>
            <w:rPr>
              <w:rFonts w:ascii="宋体" w:hAnsi="宋体" w:hint="eastAsia"/>
            </w:rPr>
            <w:t>按欠款方归集的期末余额前五名的其他应收款情况</w:t>
          </w:r>
        </w:p>
        <w:sdt>
          <w:sdtPr>
            <w:alias w:val="是否适用：按欠款方归集的期末余额前五名的其他应收款情况[双击切换]"/>
            <w:tag w:val="_GBC_1ad831584f90441b93cce7d9b7baa3c9"/>
            <w:id w:val="1627274569"/>
            <w:lock w:val="sdtLocked"/>
          </w:sdtPr>
          <w:sdtEndPr/>
          <w:sdtContent>
            <w:p w14:paraId="7C6C5344" w14:textId="3F6C0D52"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9991265" w14:textId="0E1229D6" w:rsidR="00471D53" w:rsidRDefault="004F686E">
          <w:pPr>
            <w:jc w:val="right"/>
          </w:pPr>
          <w:r>
            <w:rPr>
              <w:rFonts w:hint="eastAsia"/>
            </w:rPr>
            <w:t>单位：</w:t>
          </w:r>
          <w:sdt>
            <w:sdtPr>
              <w:rPr>
                <w:rFonts w:hint="eastAsia"/>
              </w:rPr>
              <w:alias w:val="单位财务附注：其他应收账款前五名欠款情况"/>
              <w:tag w:val="_GBC_1f85b3036b0644cbaf6c33311b7f159d"/>
              <w:id w:val="2100674266"/>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其他应收账款前五名欠款情况"/>
              <w:tag w:val="_GBC_bc5cf48306144a92af62fef51b293c5a"/>
              <w:id w:val="-877474297"/>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62" w:type="pct"/>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2251"/>
            <w:gridCol w:w="984"/>
            <w:gridCol w:w="1547"/>
            <w:gridCol w:w="1265"/>
            <w:gridCol w:w="1545"/>
            <w:gridCol w:w="1340"/>
          </w:tblGrid>
          <w:tr w:rsidR="00072214" w14:paraId="575BFC0F" w14:textId="77777777" w:rsidTr="00471D53">
            <w:trPr>
              <w:cantSplit/>
            </w:trPr>
            <w:sdt>
              <w:sdtPr>
                <w:tag w:val="_PLD_6d371f7abd044db6abe05c7f74810d89"/>
                <w:id w:val="1020970002"/>
                <w:lock w:val="sdtLocked"/>
              </w:sdtPr>
              <w:sdtEndPr/>
              <w:sdtContent>
                <w:tc>
                  <w:tcPr>
                    <w:tcW w:w="1260" w:type="pct"/>
                    <w:vAlign w:val="center"/>
                  </w:tcPr>
                  <w:p w14:paraId="5FD52672" w14:textId="77777777" w:rsidR="00072214" w:rsidRDefault="004F686E" w:rsidP="00471D53">
                    <w:pPr>
                      <w:ind w:right="105"/>
                      <w:jc w:val="center"/>
                      <w:rPr>
                        <w:szCs w:val="21"/>
                      </w:rPr>
                    </w:pPr>
                    <w:r>
                      <w:rPr>
                        <w:rFonts w:hint="eastAsia"/>
                        <w:szCs w:val="21"/>
                      </w:rPr>
                      <w:t>单位名称</w:t>
                    </w:r>
                  </w:p>
                </w:tc>
              </w:sdtContent>
            </w:sdt>
            <w:sdt>
              <w:sdtPr>
                <w:tag w:val="_PLD_538171446ab849ca976672ecf5055c60"/>
                <w:id w:val="1413972269"/>
                <w:lock w:val="sdtLocked"/>
              </w:sdtPr>
              <w:sdtEndPr/>
              <w:sdtContent>
                <w:tc>
                  <w:tcPr>
                    <w:tcW w:w="551" w:type="pct"/>
                    <w:vAlign w:val="center"/>
                  </w:tcPr>
                  <w:p w14:paraId="0F30D0E3" w14:textId="77777777" w:rsidR="00072214" w:rsidRDefault="004F686E" w:rsidP="00471D53">
                    <w:pPr>
                      <w:ind w:right="73"/>
                      <w:jc w:val="center"/>
                      <w:rPr>
                        <w:szCs w:val="21"/>
                      </w:rPr>
                    </w:pPr>
                    <w:r>
                      <w:rPr>
                        <w:rFonts w:hint="eastAsia"/>
                        <w:szCs w:val="21"/>
                      </w:rPr>
                      <w:t>款项的性质</w:t>
                    </w:r>
                  </w:p>
                </w:tc>
              </w:sdtContent>
            </w:sdt>
            <w:sdt>
              <w:sdtPr>
                <w:tag w:val="_PLD_9561b3d624ee40c28568fb322a981ebc"/>
                <w:id w:val="47344352"/>
                <w:lock w:val="sdtLocked"/>
              </w:sdtPr>
              <w:sdtEndPr/>
              <w:sdtContent>
                <w:tc>
                  <w:tcPr>
                    <w:tcW w:w="866" w:type="pct"/>
                    <w:vAlign w:val="center"/>
                  </w:tcPr>
                  <w:p w14:paraId="5ECA5666" w14:textId="77777777" w:rsidR="00072214" w:rsidRDefault="004F686E" w:rsidP="00471D53">
                    <w:pPr>
                      <w:ind w:right="73"/>
                      <w:jc w:val="center"/>
                      <w:rPr>
                        <w:szCs w:val="21"/>
                      </w:rPr>
                    </w:pPr>
                    <w:r>
                      <w:rPr>
                        <w:rFonts w:hint="eastAsia"/>
                        <w:szCs w:val="21"/>
                      </w:rPr>
                      <w:t>期末余额</w:t>
                    </w:r>
                  </w:p>
                </w:tc>
              </w:sdtContent>
            </w:sdt>
            <w:sdt>
              <w:sdtPr>
                <w:tag w:val="_PLD_a97392b37d5d4c709a23cfdece48161b"/>
                <w:id w:val="1721249560"/>
                <w:lock w:val="sdtLocked"/>
              </w:sdtPr>
              <w:sdtEndPr/>
              <w:sdtContent>
                <w:tc>
                  <w:tcPr>
                    <w:tcW w:w="708" w:type="pct"/>
                    <w:vAlign w:val="center"/>
                  </w:tcPr>
                  <w:p w14:paraId="13618144" w14:textId="77777777" w:rsidR="00072214" w:rsidRDefault="004F686E" w:rsidP="00471D53">
                    <w:pPr>
                      <w:ind w:right="73"/>
                      <w:jc w:val="center"/>
                      <w:rPr>
                        <w:szCs w:val="21"/>
                      </w:rPr>
                    </w:pPr>
                    <w:r>
                      <w:rPr>
                        <w:rFonts w:hint="eastAsia"/>
                        <w:szCs w:val="21"/>
                      </w:rPr>
                      <w:t>账龄</w:t>
                    </w:r>
                  </w:p>
                </w:tc>
              </w:sdtContent>
            </w:sdt>
            <w:sdt>
              <w:sdtPr>
                <w:tag w:val="_PLD_e2774c827e314521821234a0e399c2c1"/>
                <w:id w:val="225195343"/>
                <w:lock w:val="sdtLocked"/>
              </w:sdtPr>
              <w:sdtEndPr/>
              <w:sdtContent>
                <w:tc>
                  <w:tcPr>
                    <w:tcW w:w="865" w:type="pct"/>
                    <w:vAlign w:val="center"/>
                  </w:tcPr>
                  <w:p w14:paraId="1EA8CAFF" w14:textId="77777777" w:rsidR="00072214" w:rsidRDefault="004F686E" w:rsidP="00471D53">
                    <w:pPr>
                      <w:jc w:val="center"/>
                      <w:rPr>
                        <w:szCs w:val="21"/>
                      </w:rPr>
                    </w:pPr>
                    <w:r>
                      <w:rPr>
                        <w:rFonts w:hint="eastAsia"/>
                        <w:szCs w:val="21"/>
                      </w:rPr>
                      <w:t>占其他应收款期末余额合计数的比例(</w:t>
                    </w:r>
                    <w:r>
                      <w:rPr>
                        <w:szCs w:val="21"/>
                      </w:rPr>
                      <w:t>%)</w:t>
                    </w:r>
                  </w:p>
                </w:tc>
              </w:sdtContent>
            </w:sdt>
            <w:sdt>
              <w:sdtPr>
                <w:tag w:val="_PLD_ac7ac1a39d1a46eb9269fc6979d54f6f"/>
                <w:id w:val="1873183067"/>
                <w:lock w:val="sdtLocked"/>
              </w:sdtPr>
              <w:sdtEndPr/>
              <w:sdtContent>
                <w:tc>
                  <w:tcPr>
                    <w:tcW w:w="750" w:type="pct"/>
                    <w:vAlign w:val="center"/>
                  </w:tcPr>
                  <w:p w14:paraId="4C806271" w14:textId="77777777" w:rsidR="00072214" w:rsidRDefault="004F686E" w:rsidP="00471D53">
                    <w:pPr>
                      <w:jc w:val="center"/>
                      <w:rPr>
                        <w:szCs w:val="21"/>
                      </w:rPr>
                    </w:pPr>
                    <w:r>
                      <w:rPr>
                        <w:rFonts w:hint="eastAsia"/>
                        <w:szCs w:val="21"/>
                      </w:rPr>
                      <w:t>坏账准备</w:t>
                    </w:r>
                  </w:p>
                  <w:p w14:paraId="744D5FAA" w14:textId="77777777" w:rsidR="00072214" w:rsidRDefault="004F686E" w:rsidP="00471D53">
                    <w:pPr>
                      <w:jc w:val="center"/>
                      <w:rPr>
                        <w:szCs w:val="21"/>
                      </w:rPr>
                    </w:pPr>
                    <w:r>
                      <w:rPr>
                        <w:rFonts w:hint="eastAsia"/>
                        <w:szCs w:val="21"/>
                      </w:rPr>
                      <w:t>期末余额</w:t>
                    </w:r>
                  </w:p>
                </w:tc>
              </w:sdtContent>
            </w:sdt>
          </w:tr>
          <w:sdt>
            <w:sdtPr>
              <w:rPr>
                <w:rFonts w:asciiTheme="minorHAnsi" w:eastAsiaTheme="minorEastAsia" w:hAnsiTheme="minorHAnsi" w:cstheme="minorBidi" w:hint="eastAsia"/>
                <w:kern w:val="2"/>
                <w:szCs w:val="21"/>
              </w:rPr>
              <w:alias w:val="其他应收款欠款户"/>
              <w:tag w:val="_GBC_a3b4ad6ea89146a79c37c3807ef7a6fd"/>
              <w:id w:val="-499578999"/>
              <w:lock w:val="sdtLocked"/>
            </w:sdtPr>
            <w:sdtEndPr>
              <w:rPr>
                <w:rFonts w:hint="default"/>
              </w:rPr>
            </w:sdtEndPr>
            <w:sdtContent>
              <w:tr w:rsidR="00072214" w14:paraId="4C262B66" w14:textId="77777777" w:rsidTr="00471D53">
                <w:trPr>
                  <w:cantSplit/>
                </w:trPr>
                <w:tc>
                  <w:tcPr>
                    <w:tcW w:w="1260" w:type="pct"/>
                  </w:tcPr>
                  <w:p w14:paraId="7EE1BCAA" w14:textId="77777777" w:rsidR="00072214" w:rsidRDefault="004F686E" w:rsidP="00471D53">
                    <w:pPr>
                      <w:ind w:right="105"/>
                      <w:rPr>
                        <w:szCs w:val="21"/>
                      </w:rPr>
                    </w:pPr>
                    <w:r>
                      <w:t>北京京城海通科技文化发展有限公司</w:t>
                    </w:r>
                  </w:p>
                </w:tc>
                <w:tc>
                  <w:tcPr>
                    <w:tcW w:w="551" w:type="pct"/>
                  </w:tcPr>
                  <w:p w14:paraId="350FB135" w14:textId="77777777" w:rsidR="00072214" w:rsidRDefault="004F686E" w:rsidP="00471D53">
                    <w:pPr>
                      <w:ind w:right="73"/>
                      <w:rPr>
                        <w:szCs w:val="21"/>
                      </w:rPr>
                    </w:pPr>
                    <w:r>
                      <w:rPr>
                        <w:rFonts w:hint="eastAsia"/>
                      </w:rPr>
                      <w:t>往来款</w:t>
                    </w:r>
                  </w:p>
                </w:tc>
                <w:tc>
                  <w:tcPr>
                    <w:tcW w:w="866" w:type="pct"/>
                  </w:tcPr>
                  <w:p w14:paraId="360E0403" w14:textId="77777777" w:rsidR="00072214" w:rsidRDefault="004F686E" w:rsidP="00471D53">
                    <w:pPr>
                      <w:ind w:right="73"/>
                      <w:jc w:val="right"/>
                      <w:rPr>
                        <w:szCs w:val="21"/>
                      </w:rPr>
                    </w:pPr>
                    <w:r>
                      <w:t>3,495,832.62</w:t>
                    </w:r>
                  </w:p>
                </w:tc>
                <w:tc>
                  <w:tcPr>
                    <w:tcW w:w="708" w:type="pct"/>
                  </w:tcPr>
                  <w:p w14:paraId="52BCC50D" w14:textId="77777777" w:rsidR="00072214" w:rsidRDefault="004F686E" w:rsidP="00471D53">
                    <w:pPr>
                      <w:ind w:right="73"/>
                      <w:rPr>
                        <w:szCs w:val="21"/>
                      </w:rPr>
                    </w:pPr>
                    <w:r>
                      <w:t>两年以内</w:t>
                    </w:r>
                  </w:p>
                </w:tc>
                <w:tc>
                  <w:tcPr>
                    <w:tcW w:w="865" w:type="pct"/>
                  </w:tcPr>
                  <w:p w14:paraId="2EE05505" w14:textId="77777777" w:rsidR="00072214" w:rsidRDefault="004F686E" w:rsidP="00471D53">
                    <w:pPr>
                      <w:jc w:val="right"/>
                      <w:rPr>
                        <w:szCs w:val="21"/>
                      </w:rPr>
                    </w:pPr>
                    <w:r>
                      <w:t>33.95</w:t>
                    </w:r>
                  </w:p>
                </w:tc>
                <w:tc>
                  <w:tcPr>
                    <w:tcW w:w="750" w:type="pct"/>
                  </w:tcPr>
                  <w:p w14:paraId="6F2A7DBA" w14:textId="77777777" w:rsidR="00072214" w:rsidRDefault="004F686E" w:rsidP="00471D53">
                    <w:pPr>
                      <w:jc w:val="right"/>
                      <w:rPr>
                        <w:szCs w:val="21"/>
                      </w:rPr>
                    </w:pPr>
                    <w:r>
                      <w:t>81,801.53</w:t>
                    </w:r>
                  </w:p>
                </w:tc>
              </w:tr>
            </w:sdtContent>
          </w:sdt>
          <w:sdt>
            <w:sdtPr>
              <w:rPr>
                <w:rFonts w:asciiTheme="minorHAnsi" w:eastAsiaTheme="minorEastAsia" w:hAnsiTheme="minorHAnsi" w:cstheme="minorBidi" w:hint="eastAsia"/>
                <w:kern w:val="2"/>
                <w:szCs w:val="21"/>
              </w:rPr>
              <w:alias w:val="其他应收款欠款户"/>
              <w:tag w:val="_GBC_a3b4ad6ea89146a79c37c3807ef7a6fd"/>
              <w:id w:val="1374653877"/>
              <w:lock w:val="sdtLocked"/>
            </w:sdtPr>
            <w:sdtEndPr>
              <w:rPr>
                <w:rFonts w:hint="default"/>
              </w:rPr>
            </w:sdtEndPr>
            <w:sdtContent>
              <w:tr w:rsidR="00072214" w14:paraId="1ADEE4B0" w14:textId="77777777" w:rsidTr="00471D53">
                <w:trPr>
                  <w:cantSplit/>
                </w:trPr>
                <w:tc>
                  <w:tcPr>
                    <w:tcW w:w="1260" w:type="pct"/>
                  </w:tcPr>
                  <w:p w14:paraId="6F5BD85F" w14:textId="77777777" w:rsidR="00072214" w:rsidRDefault="004F686E" w:rsidP="00471D53">
                    <w:pPr>
                      <w:ind w:right="105"/>
                      <w:rPr>
                        <w:szCs w:val="21"/>
                      </w:rPr>
                    </w:pPr>
                    <w:r>
                      <w:t>北京兰天达汽车清洁燃料技术有限公司</w:t>
                    </w:r>
                  </w:p>
                </w:tc>
                <w:tc>
                  <w:tcPr>
                    <w:tcW w:w="551" w:type="pct"/>
                  </w:tcPr>
                  <w:p w14:paraId="31889911" w14:textId="77777777" w:rsidR="00072214" w:rsidRDefault="004F686E" w:rsidP="00471D53">
                    <w:pPr>
                      <w:ind w:right="73"/>
                      <w:rPr>
                        <w:szCs w:val="21"/>
                      </w:rPr>
                    </w:pPr>
                    <w:r>
                      <w:t>质保金</w:t>
                    </w:r>
                  </w:p>
                </w:tc>
                <w:tc>
                  <w:tcPr>
                    <w:tcW w:w="866" w:type="pct"/>
                  </w:tcPr>
                  <w:p w14:paraId="6064F206" w14:textId="77777777" w:rsidR="00072214" w:rsidRDefault="004F686E" w:rsidP="00471D53">
                    <w:pPr>
                      <w:ind w:right="73"/>
                      <w:jc w:val="right"/>
                      <w:rPr>
                        <w:szCs w:val="21"/>
                      </w:rPr>
                    </w:pPr>
                    <w:r>
                      <w:t>724,400.00</w:t>
                    </w:r>
                  </w:p>
                </w:tc>
                <w:tc>
                  <w:tcPr>
                    <w:tcW w:w="708" w:type="pct"/>
                  </w:tcPr>
                  <w:p w14:paraId="1BA5A9A6" w14:textId="77777777" w:rsidR="00072214" w:rsidRDefault="004F686E" w:rsidP="00471D53">
                    <w:pPr>
                      <w:ind w:right="73"/>
                      <w:rPr>
                        <w:szCs w:val="21"/>
                      </w:rPr>
                    </w:pPr>
                    <w:r>
                      <w:t>一年以内</w:t>
                    </w:r>
                  </w:p>
                </w:tc>
                <w:tc>
                  <w:tcPr>
                    <w:tcW w:w="865" w:type="pct"/>
                  </w:tcPr>
                  <w:p w14:paraId="3D69F423" w14:textId="77777777" w:rsidR="00072214" w:rsidRDefault="004F686E" w:rsidP="00471D53">
                    <w:pPr>
                      <w:jc w:val="right"/>
                      <w:rPr>
                        <w:szCs w:val="21"/>
                      </w:rPr>
                    </w:pPr>
                    <w:r>
                      <w:t>7.03</w:t>
                    </w:r>
                  </w:p>
                </w:tc>
                <w:tc>
                  <w:tcPr>
                    <w:tcW w:w="750" w:type="pct"/>
                  </w:tcPr>
                  <w:p w14:paraId="24C7AA59" w14:textId="77777777" w:rsidR="00072214" w:rsidRDefault="004F686E" w:rsidP="00471D53">
                    <w:pPr>
                      <w:jc w:val="right"/>
                      <w:rPr>
                        <w:szCs w:val="21"/>
                      </w:rPr>
                    </w:pPr>
                    <w:r>
                      <w:t>6,084.96</w:t>
                    </w:r>
                  </w:p>
                </w:tc>
              </w:tr>
            </w:sdtContent>
          </w:sdt>
          <w:sdt>
            <w:sdtPr>
              <w:rPr>
                <w:rFonts w:asciiTheme="minorHAnsi" w:eastAsiaTheme="minorEastAsia" w:hAnsiTheme="minorHAnsi" w:cstheme="minorBidi" w:hint="eastAsia"/>
                <w:kern w:val="2"/>
                <w:szCs w:val="21"/>
              </w:rPr>
              <w:alias w:val="其他应收款欠款户"/>
              <w:tag w:val="_GBC_a3b4ad6ea89146a79c37c3807ef7a6fd"/>
              <w:id w:val="-1089543763"/>
              <w:lock w:val="sdtLocked"/>
            </w:sdtPr>
            <w:sdtEndPr>
              <w:rPr>
                <w:rFonts w:hint="default"/>
              </w:rPr>
            </w:sdtEndPr>
            <w:sdtContent>
              <w:tr w:rsidR="00072214" w14:paraId="3C90E03A" w14:textId="77777777" w:rsidTr="00471D53">
                <w:trPr>
                  <w:cantSplit/>
                </w:trPr>
                <w:tc>
                  <w:tcPr>
                    <w:tcW w:w="1260" w:type="pct"/>
                  </w:tcPr>
                  <w:p w14:paraId="73F7EAEF" w14:textId="77777777" w:rsidR="00072214" w:rsidRDefault="004F686E" w:rsidP="00471D53">
                    <w:pPr>
                      <w:ind w:right="105"/>
                      <w:rPr>
                        <w:szCs w:val="21"/>
                      </w:rPr>
                    </w:pPr>
                    <w:r>
                      <w:t>山西金能移动能源有限公司</w:t>
                    </w:r>
                  </w:p>
                </w:tc>
                <w:tc>
                  <w:tcPr>
                    <w:tcW w:w="551" w:type="pct"/>
                  </w:tcPr>
                  <w:p w14:paraId="08FCB91B" w14:textId="77777777" w:rsidR="00072214" w:rsidRDefault="004F686E" w:rsidP="00471D53">
                    <w:pPr>
                      <w:ind w:right="73"/>
                      <w:rPr>
                        <w:szCs w:val="21"/>
                      </w:rPr>
                    </w:pPr>
                    <w:r>
                      <w:t>投标保证金</w:t>
                    </w:r>
                  </w:p>
                </w:tc>
                <w:tc>
                  <w:tcPr>
                    <w:tcW w:w="866" w:type="pct"/>
                  </w:tcPr>
                  <w:p w14:paraId="6255F209" w14:textId="77777777" w:rsidR="00072214" w:rsidRDefault="004F686E" w:rsidP="00471D53">
                    <w:pPr>
                      <w:ind w:right="73"/>
                      <w:jc w:val="right"/>
                      <w:rPr>
                        <w:szCs w:val="21"/>
                      </w:rPr>
                    </w:pPr>
                    <w:r>
                      <w:t>675,180.00</w:t>
                    </w:r>
                  </w:p>
                </w:tc>
                <w:tc>
                  <w:tcPr>
                    <w:tcW w:w="708" w:type="pct"/>
                  </w:tcPr>
                  <w:p w14:paraId="16332A13" w14:textId="77777777" w:rsidR="00072214" w:rsidRDefault="004F686E" w:rsidP="00471D53">
                    <w:pPr>
                      <w:ind w:right="73"/>
                      <w:rPr>
                        <w:szCs w:val="21"/>
                      </w:rPr>
                    </w:pPr>
                    <w:r>
                      <w:t>三年以内</w:t>
                    </w:r>
                  </w:p>
                </w:tc>
                <w:tc>
                  <w:tcPr>
                    <w:tcW w:w="865" w:type="pct"/>
                  </w:tcPr>
                  <w:p w14:paraId="43E1D678" w14:textId="77777777" w:rsidR="00072214" w:rsidRDefault="004F686E" w:rsidP="00471D53">
                    <w:pPr>
                      <w:jc w:val="right"/>
                      <w:rPr>
                        <w:szCs w:val="21"/>
                      </w:rPr>
                    </w:pPr>
                    <w:r>
                      <w:t>6.56</w:t>
                    </w:r>
                  </w:p>
                </w:tc>
                <w:tc>
                  <w:tcPr>
                    <w:tcW w:w="750" w:type="pct"/>
                  </w:tcPr>
                  <w:p w14:paraId="49EDA2F1" w14:textId="77777777" w:rsidR="00072214" w:rsidRDefault="004F686E" w:rsidP="00471D53">
                    <w:pPr>
                      <w:jc w:val="right"/>
                      <w:rPr>
                        <w:szCs w:val="21"/>
                      </w:rPr>
                    </w:pPr>
                    <w:r>
                      <w:t>29,830.70</w:t>
                    </w:r>
                  </w:p>
                </w:tc>
              </w:tr>
            </w:sdtContent>
          </w:sdt>
          <w:sdt>
            <w:sdtPr>
              <w:rPr>
                <w:rFonts w:asciiTheme="minorHAnsi" w:eastAsiaTheme="minorEastAsia" w:hAnsiTheme="minorHAnsi" w:cstheme="minorBidi" w:hint="eastAsia"/>
                <w:kern w:val="2"/>
                <w:szCs w:val="21"/>
              </w:rPr>
              <w:alias w:val="其他应收款欠款户"/>
              <w:tag w:val="_GBC_a3b4ad6ea89146a79c37c3807ef7a6fd"/>
              <w:id w:val="127057817"/>
              <w:lock w:val="sdtLocked"/>
            </w:sdtPr>
            <w:sdtEndPr>
              <w:rPr>
                <w:rFonts w:hint="default"/>
              </w:rPr>
            </w:sdtEndPr>
            <w:sdtContent>
              <w:tr w:rsidR="00072214" w14:paraId="34D55F46" w14:textId="77777777" w:rsidTr="00471D53">
                <w:trPr>
                  <w:cantSplit/>
                </w:trPr>
                <w:tc>
                  <w:tcPr>
                    <w:tcW w:w="1260" w:type="pct"/>
                  </w:tcPr>
                  <w:p w14:paraId="1CF6E165" w14:textId="77777777" w:rsidR="00072214" w:rsidRDefault="004F686E" w:rsidP="00471D53">
                    <w:pPr>
                      <w:ind w:right="105"/>
                      <w:rPr>
                        <w:szCs w:val="21"/>
                      </w:rPr>
                    </w:pPr>
                    <w:r>
                      <w:t>包钢钢联销售有限公司</w:t>
                    </w:r>
                  </w:p>
                </w:tc>
                <w:tc>
                  <w:tcPr>
                    <w:tcW w:w="551" w:type="pct"/>
                  </w:tcPr>
                  <w:p w14:paraId="4631AEBE" w14:textId="77777777" w:rsidR="00072214" w:rsidRDefault="004F686E" w:rsidP="00471D53">
                    <w:pPr>
                      <w:ind w:right="73"/>
                      <w:rPr>
                        <w:szCs w:val="21"/>
                      </w:rPr>
                    </w:pPr>
                    <w:r>
                      <w:t>5年以上预付款</w:t>
                    </w:r>
                  </w:p>
                </w:tc>
                <w:tc>
                  <w:tcPr>
                    <w:tcW w:w="866" w:type="pct"/>
                  </w:tcPr>
                  <w:p w14:paraId="7B097AB3" w14:textId="77777777" w:rsidR="00072214" w:rsidRDefault="004F686E" w:rsidP="00471D53">
                    <w:pPr>
                      <w:ind w:right="73"/>
                      <w:jc w:val="right"/>
                      <w:rPr>
                        <w:szCs w:val="21"/>
                      </w:rPr>
                    </w:pPr>
                    <w:r>
                      <w:t>400,648.84</w:t>
                    </w:r>
                  </w:p>
                </w:tc>
                <w:tc>
                  <w:tcPr>
                    <w:tcW w:w="708" w:type="pct"/>
                  </w:tcPr>
                  <w:p w14:paraId="35B51067" w14:textId="77777777" w:rsidR="00072214" w:rsidRDefault="004F686E" w:rsidP="00471D53">
                    <w:pPr>
                      <w:ind w:right="73"/>
                      <w:rPr>
                        <w:szCs w:val="21"/>
                      </w:rPr>
                    </w:pPr>
                    <w:r>
                      <w:t>五年以上</w:t>
                    </w:r>
                  </w:p>
                </w:tc>
                <w:tc>
                  <w:tcPr>
                    <w:tcW w:w="865" w:type="pct"/>
                  </w:tcPr>
                  <w:p w14:paraId="7E42FE21" w14:textId="77777777" w:rsidR="00072214" w:rsidRDefault="004F686E" w:rsidP="00471D53">
                    <w:pPr>
                      <w:jc w:val="right"/>
                      <w:rPr>
                        <w:szCs w:val="21"/>
                      </w:rPr>
                    </w:pPr>
                    <w:r>
                      <w:t>3.89</w:t>
                    </w:r>
                  </w:p>
                </w:tc>
                <w:tc>
                  <w:tcPr>
                    <w:tcW w:w="750" w:type="pct"/>
                  </w:tcPr>
                  <w:p w14:paraId="6B1C3976" w14:textId="77777777" w:rsidR="00072214" w:rsidRDefault="004F686E" w:rsidP="00471D53">
                    <w:pPr>
                      <w:jc w:val="right"/>
                      <w:rPr>
                        <w:szCs w:val="21"/>
                      </w:rPr>
                    </w:pPr>
                    <w:r>
                      <w:t>400,648.84</w:t>
                    </w:r>
                  </w:p>
                </w:tc>
              </w:tr>
            </w:sdtContent>
          </w:sdt>
          <w:sdt>
            <w:sdtPr>
              <w:rPr>
                <w:rFonts w:asciiTheme="minorHAnsi" w:eastAsiaTheme="minorEastAsia" w:hAnsiTheme="minorHAnsi" w:cstheme="minorBidi" w:hint="eastAsia"/>
                <w:kern w:val="2"/>
                <w:szCs w:val="21"/>
              </w:rPr>
              <w:alias w:val="其他应收款欠款户"/>
              <w:tag w:val="_GBC_a3b4ad6ea89146a79c37c3807ef7a6fd"/>
              <w:id w:val="-986087649"/>
              <w:lock w:val="sdtLocked"/>
            </w:sdtPr>
            <w:sdtEndPr>
              <w:rPr>
                <w:rFonts w:hint="default"/>
              </w:rPr>
            </w:sdtEndPr>
            <w:sdtContent>
              <w:tr w:rsidR="00072214" w14:paraId="3C309CFE" w14:textId="77777777" w:rsidTr="00471D53">
                <w:trPr>
                  <w:cantSplit/>
                </w:trPr>
                <w:tc>
                  <w:tcPr>
                    <w:tcW w:w="1260" w:type="pct"/>
                  </w:tcPr>
                  <w:p w14:paraId="78B4E08F" w14:textId="77777777" w:rsidR="00072214" w:rsidRDefault="004F686E" w:rsidP="00471D53">
                    <w:pPr>
                      <w:ind w:right="105"/>
                      <w:rPr>
                        <w:szCs w:val="21"/>
                      </w:rPr>
                    </w:pPr>
                    <w:r>
                      <w:t>太原重工股份有限公司</w:t>
                    </w:r>
                  </w:p>
                </w:tc>
                <w:tc>
                  <w:tcPr>
                    <w:tcW w:w="551" w:type="pct"/>
                  </w:tcPr>
                  <w:p w14:paraId="4E17CFE0" w14:textId="77777777" w:rsidR="00072214" w:rsidRDefault="004F686E" w:rsidP="00471D53">
                    <w:pPr>
                      <w:ind w:right="73"/>
                      <w:rPr>
                        <w:szCs w:val="21"/>
                      </w:rPr>
                    </w:pPr>
                    <w:r>
                      <w:t>5年以上预付款</w:t>
                    </w:r>
                  </w:p>
                </w:tc>
                <w:tc>
                  <w:tcPr>
                    <w:tcW w:w="866" w:type="pct"/>
                  </w:tcPr>
                  <w:p w14:paraId="028E9D05" w14:textId="77777777" w:rsidR="00072214" w:rsidRDefault="004F686E" w:rsidP="00471D53">
                    <w:pPr>
                      <w:ind w:right="73"/>
                      <w:jc w:val="right"/>
                      <w:rPr>
                        <w:szCs w:val="21"/>
                      </w:rPr>
                    </w:pPr>
                    <w:r>
                      <w:t>350,000.00</w:t>
                    </w:r>
                  </w:p>
                </w:tc>
                <w:tc>
                  <w:tcPr>
                    <w:tcW w:w="708" w:type="pct"/>
                  </w:tcPr>
                  <w:p w14:paraId="342A77B9" w14:textId="77777777" w:rsidR="00072214" w:rsidRDefault="004F686E" w:rsidP="00471D53">
                    <w:pPr>
                      <w:ind w:right="73"/>
                      <w:rPr>
                        <w:szCs w:val="21"/>
                      </w:rPr>
                    </w:pPr>
                    <w:r>
                      <w:t>五年以上</w:t>
                    </w:r>
                  </w:p>
                </w:tc>
                <w:tc>
                  <w:tcPr>
                    <w:tcW w:w="865" w:type="pct"/>
                  </w:tcPr>
                  <w:p w14:paraId="5C3FC2CF" w14:textId="77777777" w:rsidR="00072214" w:rsidRDefault="004F686E" w:rsidP="00471D53">
                    <w:pPr>
                      <w:jc w:val="right"/>
                      <w:rPr>
                        <w:szCs w:val="21"/>
                      </w:rPr>
                    </w:pPr>
                    <w:r>
                      <w:t>3.40</w:t>
                    </w:r>
                  </w:p>
                </w:tc>
                <w:tc>
                  <w:tcPr>
                    <w:tcW w:w="750" w:type="pct"/>
                  </w:tcPr>
                  <w:p w14:paraId="15215E70" w14:textId="77777777" w:rsidR="00072214" w:rsidRDefault="004F686E" w:rsidP="00471D53">
                    <w:pPr>
                      <w:jc w:val="right"/>
                      <w:rPr>
                        <w:szCs w:val="21"/>
                      </w:rPr>
                    </w:pPr>
                    <w:r>
                      <w:t>350,000.00</w:t>
                    </w:r>
                  </w:p>
                </w:tc>
              </w:tr>
            </w:sdtContent>
          </w:sdt>
          <w:tr w:rsidR="00072214" w14:paraId="5FBED528" w14:textId="77777777" w:rsidTr="00471D53">
            <w:trPr>
              <w:cantSplit/>
            </w:trPr>
            <w:sdt>
              <w:sdtPr>
                <w:tag w:val="_PLD_f229cb1d3424499a96c618f3911226c3"/>
                <w:id w:val="456534881"/>
                <w:lock w:val="sdtLocked"/>
              </w:sdtPr>
              <w:sdtEndPr/>
              <w:sdtContent>
                <w:tc>
                  <w:tcPr>
                    <w:tcW w:w="1260" w:type="pct"/>
                  </w:tcPr>
                  <w:p w14:paraId="30039FDB" w14:textId="77777777" w:rsidR="00072214" w:rsidRDefault="004F686E" w:rsidP="00471D53">
                    <w:pPr>
                      <w:ind w:right="105"/>
                      <w:jc w:val="center"/>
                      <w:rPr>
                        <w:szCs w:val="21"/>
                      </w:rPr>
                    </w:pPr>
                    <w:r>
                      <w:rPr>
                        <w:rFonts w:hint="eastAsia"/>
                        <w:szCs w:val="21"/>
                      </w:rPr>
                      <w:t>合计</w:t>
                    </w:r>
                  </w:p>
                </w:tc>
              </w:sdtContent>
            </w:sdt>
            <w:tc>
              <w:tcPr>
                <w:tcW w:w="551" w:type="pct"/>
              </w:tcPr>
              <w:p w14:paraId="16185766" w14:textId="77777777" w:rsidR="00072214" w:rsidRDefault="004F686E" w:rsidP="00471D53">
                <w:pPr>
                  <w:ind w:right="73"/>
                  <w:jc w:val="center"/>
                  <w:rPr>
                    <w:szCs w:val="21"/>
                  </w:rPr>
                </w:pPr>
                <w:r>
                  <w:rPr>
                    <w:szCs w:val="21"/>
                  </w:rPr>
                  <w:t>/</w:t>
                </w:r>
              </w:p>
            </w:tc>
            <w:tc>
              <w:tcPr>
                <w:tcW w:w="866" w:type="pct"/>
              </w:tcPr>
              <w:p w14:paraId="3EDD986E" w14:textId="77777777" w:rsidR="00072214" w:rsidRDefault="004F686E" w:rsidP="00471D53">
                <w:pPr>
                  <w:ind w:right="73"/>
                  <w:jc w:val="right"/>
                  <w:rPr>
                    <w:szCs w:val="21"/>
                  </w:rPr>
                </w:pPr>
                <w:r w:rsidRPr="00C1029C">
                  <w:rPr>
                    <w:szCs w:val="21"/>
                  </w:rPr>
                  <w:t>5,646,061.46</w:t>
                </w:r>
              </w:p>
            </w:tc>
            <w:tc>
              <w:tcPr>
                <w:tcW w:w="708" w:type="pct"/>
              </w:tcPr>
              <w:p w14:paraId="562D8C86" w14:textId="77777777" w:rsidR="00072214" w:rsidRDefault="004F686E" w:rsidP="00471D53">
                <w:pPr>
                  <w:ind w:right="73"/>
                  <w:jc w:val="center"/>
                  <w:rPr>
                    <w:szCs w:val="21"/>
                  </w:rPr>
                </w:pPr>
                <w:r>
                  <w:rPr>
                    <w:szCs w:val="21"/>
                  </w:rPr>
                  <w:t>/</w:t>
                </w:r>
              </w:p>
            </w:tc>
            <w:tc>
              <w:tcPr>
                <w:tcW w:w="865" w:type="pct"/>
              </w:tcPr>
              <w:p w14:paraId="2C74E558" w14:textId="77777777" w:rsidR="00072214" w:rsidRDefault="004F686E" w:rsidP="00471D53">
                <w:pPr>
                  <w:jc w:val="right"/>
                  <w:rPr>
                    <w:szCs w:val="21"/>
                  </w:rPr>
                </w:pPr>
                <w:r>
                  <w:t>54.83</w:t>
                </w:r>
              </w:p>
            </w:tc>
            <w:tc>
              <w:tcPr>
                <w:tcW w:w="750" w:type="pct"/>
              </w:tcPr>
              <w:p w14:paraId="1B8F33B1" w14:textId="77777777" w:rsidR="00072214" w:rsidRDefault="004F686E" w:rsidP="00471D53">
                <w:pPr>
                  <w:jc w:val="right"/>
                  <w:rPr>
                    <w:szCs w:val="21"/>
                  </w:rPr>
                </w:pPr>
                <w:r>
                  <w:t>868,366.03</w:t>
                </w:r>
              </w:p>
            </w:tc>
          </w:tr>
        </w:tbl>
        <w:p w14:paraId="370440CA" w14:textId="77777777" w:rsidR="00072214" w:rsidRDefault="00B664AF"/>
        <w:p w14:paraId="030FA6C5" w14:textId="77777777" w:rsidR="00471D53" w:rsidRDefault="00B664AF" w:rsidP="00471D53">
          <w:pPr>
            <w:pStyle w:val="afffff8"/>
            <w:tabs>
              <w:tab w:val="left" w:pos="560"/>
            </w:tabs>
          </w:pPr>
        </w:p>
      </w:sdtContent>
    </w:sdt>
    <w:sdt>
      <w:sdtPr>
        <w:rPr>
          <w:rFonts w:ascii="宋体" w:hAnsi="宋体" w:cs="宋体" w:hint="eastAsia"/>
          <w:b w:val="0"/>
          <w:bCs w:val="0"/>
          <w:kern w:val="0"/>
          <w:szCs w:val="24"/>
        </w:rPr>
        <w:alias w:val="模块:按应收金额确认的政府补助"/>
        <w:tag w:val="_GBC_0b136aef44064ce4880a47aef5cda04d"/>
        <w:id w:val="1458680083"/>
        <w:lock w:val="sdtLocked"/>
        <w:placeholder>
          <w:docPart w:val="GBC22222222222222222222222222222"/>
        </w:placeholder>
      </w:sdtPr>
      <w:sdtEndPr/>
      <w:sdtContent>
        <w:p w14:paraId="682E5046" w14:textId="77777777" w:rsidR="00471D53" w:rsidRDefault="004F686E" w:rsidP="004F686E">
          <w:pPr>
            <w:pStyle w:val="afffff8"/>
            <w:numPr>
              <w:ilvl w:val="3"/>
              <w:numId w:val="63"/>
            </w:numPr>
            <w:tabs>
              <w:tab w:val="left" w:pos="560"/>
            </w:tabs>
            <w:rPr>
              <w:rFonts w:ascii="宋体" w:hAnsi="宋体"/>
            </w:rPr>
          </w:pPr>
          <w:r>
            <w:rPr>
              <w:rFonts w:ascii="宋体" w:hAnsi="宋体" w:hint="eastAsia"/>
            </w:rPr>
            <w:t>涉及政府补助的应收款项</w:t>
          </w:r>
        </w:p>
        <w:sdt>
          <w:sdtPr>
            <w:alias w:val="是否适用：涉及政府补助的应收款项[双击切换]"/>
            <w:tag w:val="_GBC_bfa30ddd81f643f9b7a3d1064d505e6a"/>
            <w:id w:val="-208034420"/>
            <w:lock w:val="sdtLocked"/>
            <w:placeholder>
              <w:docPart w:val="GBC22222222222222222222222222222"/>
            </w:placeholder>
          </w:sdtPr>
          <w:sdtEndPr/>
          <w:sdtContent>
            <w:p w14:paraId="53CA88A6"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81EEF3A" w14:textId="77777777" w:rsidR="00471D53" w:rsidRDefault="00B664AF">
          <w:pPr>
            <w:snapToGrid w:val="0"/>
            <w:spacing w:line="240" w:lineRule="atLeast"/>
          </w:pPr>
        </w:p>
        <w:p w14:paraId="45CC5405" w14:textId="77777777" w:rsidR="00471D53" w:rsidRDefault="00B664AF">
          <w:pPr>
            <w:snapToGrid w:val="0"/>
            <w:spacing w:line="240" w:lineRule="atLeast"/>
          </w:pPr>
        </w:p>
      </w:sdtContent>
    </w:sdt>
    <w:sdt>
      <w:sdtPr>
        <w:rPr>
          <w:rFonts w:ascii="宋体" w:hAnsi="宋体" w:cs="宋体"/>
          <w:b w:val="0"/>
          <w:bCs w:val="0"/>
          <w:kern w:val="0"/>
          <w:szCs w:val="24"/>
        </w:rPr>
        <w:alias w:val="模块:因金融资产转移而终止确认的其他应收款"/>
        <w:tag w:val="_GBC_73268e67b3d94deab59672a03d2cbd2a"/>
        <w:id w:val="-629861974"/>
        <w:lock w:val="sdtLocked"/>
        <w:placeholder>
          <w:docPart w:val="GBC22222222222222222222222222222"/>
        </w:placeholder>
      </w:sdtPr>
      <w:sdtEndPr/>
      <w:sdtContent>
        <w:p w14:paraId="7C3ABE62" w14:textId="77777777" w:rsidR="00471D53" w:rsidRDefault="004F686E" w:rsidP="004F686E">
          <w:pPr>
            <w:pStyle w:val="afffff8"/>
            <w:numPr>
              <w:ilvl w:val="3"/>
              <w:numId w:val="63"/>
            </w:numPr>
            <w:tabs>
              <w:tab w:val="left" w:pos="560"/>
            </w:tabs>
            <w:rPr>
              <w:rFonts w:ascii="宋体" w:hAnsi="宋体"/>
              <w:kern w:val="0"/>
            </w:rPr>
          </w:pPr>
          <w:r>
            <w:rPr>
              <w:rFonts w:ascii="宋体" w:hAnsi="宋体" w:hint="eastAsia"/>
              <w:kern w:val="0"/>
            </w:rPr>
            <w:t>因金融资产</w:t>
          </w:r>
          <w:r>
            <w:rPr>
              <w:rFonts w:ascii="宋体" w:hAnsi="宋体" w:hint="eastAsia"/>
            </w:rPr>
            <w:t>转移</w:t>
          </w:r>
          <w:r>
            <w:rPr>
              <w:rFonts w:ascii="宋体" w:hAnsi="宋体" w:hint="eastAsia"/>
              <w:kern w:val="0"/>
            </w:rPr>
            <w:t>而终止确认的其他应收款</w:t>
          </w:r>
        </w:p>
        <w:sdt>
          <w:sdtPr>
            <w:rPr>
              <w:rFonts w:hint="eastAsia"/>
              <w:szCs w:val="21"/>
            </w:rPr>
            <w:alias w:val="是否适用：因金融资产转移而终止确认的其他应收款[双击切换]"/>
            <w:tag w:val="_GBC_0451c8b8783146d3a8ab851341e7f35b"/>
            <w:id w:val="-2019310190"/>
            <w:lock w:val="sdtLocked"/>
            <w:placeholder>
              <w:docPart w:val="GBC22222222222222222222222222222"/>
            </w:placeholder>
          </w:sdtPr>
          <w:sdtEndPr/>
          <w:sdtContent>
            <w:p w14:paraId="74A6AC36" w14:textId="77777777" w:rsidR="00471D53" w:rsidRDefault="004F686E" w:rsidP="00471D53">
              <w:pPr>
                <w:ind w:right="57"/>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14:paraId="00054044" w14:textId="77777777" w:rsidR="00471D53" w:rsidRDefault="00B664AF">
      <w:pPr>
        <w:rPr>
          <w:szCs w:val="21"/>
        </w:rPr>
      </w:pPr>
    </w:p>
    <w:sdt>
      <w:sdtPr>
        <w:rPr>
          <w:rFonts w:ascii="宋体" w:hAnsi="宋体" w:cs="宋体" w:hint="eastAsia"/>
          <w:b w:val="0"/>
          <w:bCs w:val="0"/>
          <w:kern w:val="0"/>
          <w:szCs w:val="24"/>
        </w:rPr>
        <w:alias w:val="模块:转移其他应收款且继续涉入形成的资产、负债金额的说明"/>
        <w:tag w:val="_GBC_05496beed0c54ab3b5c0e91297ee374e"/>
        <w:id w:val="2100213497"/>
        <w:lock w:val="sdtLocked"/>
        <w:placeholder>
          <w:docPart w:val="GBC22222222222222222222222222222"/>
        </w:placeholder>
      </w:sdtPr>
      <w:sdtEndPr/>
      <w:sdtContent>
        <w:p w14:paraId="647F2FDE" w14:textId="77777777" w:rsidR="00471D53" w:rsidRDefault="004F686E" w:rsidP="004F686E">
          <w:pPr>
            <w:pStyle w:val="afffff8"/>
            <w:numPr>
              <w:ilvl w:val="3"/>
              <w:numId w:val="63"/>
            </w:numPr>
            <w:tabs>
              <w:tab w:val="left" w:pos="560"/>
            </w:tabs>
            <w:rPr>
              <w:rFonts w:ascii="宋体" w:hAnsi="宋体"/>
              <w:kern w:val="0"/>
            </w:rPr>
          </w:pPr>
          <w:r>
            <w:rPr>
              <w:rFonts w:ascii="宋体" w:hAnsi="宋体" w:hint="eastAsia"/>
              <w:kern w:val="0"/>
            </w:rPr>
            <w:t>转移其他应收款且继续涉入形成的资产、负债的金额</w:t>
          </w:r>
        </w:p>
        <w:sdt>
          <w:sdtPr>
            <w:rPr>
              <w:rFonts w:hint="eastAsia"/>
              <w:szCs w:val="21"/>
            </w:rPr>
            <w:alias w:val="是否适用：转移其他应收款且继续涉入形成的资产、负债的金额[双击切换]"/>
            <w:tag w:val="_GBC_e74d63017ee7420b83e7544117beeac6"/>
            <w:id w:val="-465516167"/>
            <w:lock w:val="sdtLocked"/>
            <w:placeholder>
              <w:docPart w:val="GBC22222222222222222222222222222"/>
            </w:placeholder>
          </w:sdtPr>
          <w:sdtEndPr/>
          <w:sdtContent>
            <w:p w14:paraId="7E5C41B4" w14:textId="77777777" w:rsidR="00471D53" w:rsidRDefault="004F686E" w:rsidP="00471D5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14:paraId="08B3B105" w14:textId="77777777" w:rsidR="00471D53" w:rsidRDefault="00B664AF">
      <w:pPr>
        <w:rPr>
          <w:szCs w:val="21"/>
        </w:rPr>
      </w:pPr>
    </w:p>
    <w:sdt>
      <w:sdtPr>
        <w:rPr>
          <w:rFonts w:hint="eastAsia"/>
          <w:b/>
          <w:bCs/>
        </w:rPr>
        <w:alias w:val="模块:其他应收款其他说明"/>
        <w:tag w:val="_GBC_de4246046d754793a6a2db96dd5bb245"/>
        <w:id w:val="656261804"/>
        <w:lock w:val="sdtLocked"/>
        <w:placeholder>
          <w:docPart w:val="GBC22222222222222222222222222222"/>
        </w:placeholder>
      </w:sdtPr>
      <w:sdtEndPr>
        <w:rPr>
          <w:b w:val="0"/>
          <w:bCs w:val="0"/>
        </w:rPr>
      </w:sdtEndPr>
      <w:sdtContent>
        <w:p w14:paraId="709AC589" w14:textId="77777777" w:rsidR="00471D53" w:rsidRDefault="004F686E">
          <w:r>
            <w:rPr>
              <w:rFonts w:hint="eastAsia"/>
            </w:rPr>
            <w:t>其他</w:t>
          </w:r>
          <w:r>
            <w:t>说明：</w:t>
          </w:r>
        </w:p>
        <w:sdt>
          <w:sdtPr>
            <w:alias w:val="是否适用：其他应收款的其他说明[双击切换]"/>
            <w:tag w:val="_GBC_55d570440c184744bd13a4938ba488d1"/>
            <w:id w:val="-849103337"/>
            <w:lock w:val="sdtLocked"/>
            <w:placeholder>
              <w:docPart w:val="GBC22222222222222222222222222222"/>
            </w:placeholder>
          </w:sdtPr>
          <w:sdtEndPr/>
          <w:sdtContent>
            <w:p w14:paraId="7C9905DD"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szCs w:val="21"/>
            </w:rPr>
            <w:alias w:val="其他应收款的其他说明"/>
            <w:tag w:val="_GBC_40e60fff300549cfb19532b4da820b49"/>
            <w:id w:val="-53479233"/>
            <w:lock w:val="sdtLocked"/>
            <w:placeholder>
              <w:docPart w:val="GBC22222222222222222222222222222"/>
            </w:placeholder>
          </w:sdtPr>
          <w:sdtEndPr/>
          <w:sdtContent>
            <w:p w14:paraId="58E73CA1" w14:textId="77777777" w:rsidR="00471D53" w:rsidRPr="00FB6D17" w:rsidRDefault="004F686E" w:rsidP="004F686E">
              <w:pPr>
                <w:numPr>
                  <w:ilvl w:val="0"/>
                  <w:numId w:val="56"/>
                </w:numPr>
                <w:tabs>
                  <w:tab w:val="clear" w:pos="1160"/>
                  <w:tab w:val="num" w:pos="420"/>
                  <w:tab w:val="left" w:pos="720"/>
                  <w:tab w:val="left" w:pos="1000"/>
                </w:tabs>
                <w:spacing w:beforeLines="50" w:before="120" w:afterLines="50" w:after="120" w:line="360" w:lineRule="exact"/>
                <w:ind w:leftChars="200" w:left="947" w:hangingChars="251" w:hanging="527"/>
                <w:outlineLvl w:val="2"/>
                <w:rPr>
                  <w:rFonts w:cs="Times New Roman"/>
                  <w:sz w:val="22"/>
                  <w:szCs w:val="22"/>
                </w:rPr>
              </w:pPr>
              <w:r>
                <w:rPr>
                  <w:rFonts w:cs="Times New Roman" w:hint="eastAsia"/>
                  <w:sz w:val="22"/>
                  <w:szCs w:val="22"/>
                </w:rPr>
                <w:t>本期</w:t>
              </w:r>
              <w:r w:rsidRPr="00FB6D17">
                <w:rPr>
                  <w:rFonts w:cs="Times New Roman" w:hint="eastAsia"/>
                  <w:sz w:val="22"/>
                  <w:szCs w:val="22"/>
                </w:rPr>
                <w:t>无涉及政府补助的其他应收款。</w:t>
              </w:r>
            </w:p>
            <w:p w14:paraId="3A0DC3C8" w14:textId="77777777" w:rsidR="00471D53" w:rsidRPr="00FB6D17" w:rsidRDefault="004F686E" w:rsidP="004F686E">
              <w:pPr>
                <w:numPr>
                  <w:ilvl w:val="0"/>
                  <w:numId w:val="56"/>
                </w:numPr>
                <w:tabs>
                  <w:tab w:val="clear" w:pos="1160"/>
                  <w:tab w:val="num" w:pos="420"/>
                  <w:tab w:val="left" w:pos="720"/>
                  <w:tab w:val="left" w:pos="1000"/>
                </w:tabs>
                <w:spacing w:beforeLines="50" w:before="120" w:afterLines="50" w:after="120" w:line="360" w:lineRule="exact"/>
                <w:ind w:leftChars="200" w:left="972" w:hangingChars="251" w:hanging="552"/>
                <w:outlineLvl w:val="2"/>
                <w:rPr>
                  <w:rFonts w:cs="Times New Roman"/>
                  <w:sz w:val="22"/>
                  <w:szCs w:val="22"/>
                </w:rPr>
              </w:pPr>
              <w:r>
                <w:rPr>
                  <w:rFonts w:cs="Times New Roman" w:hint="eastAsia"/>
                  <w:sz w:val="22"/>
                  <w:szCs w:val="22"/>
                </w:rPr>
                <w:t>本期</w:t>
              </w:r>
              <w:r w:rsidRPr="00FB6D17">
                <w:rPr>
                  <w:rFonts w:cs="Times New Roman" w:hint="eastAsia"/>
                  <w:sz w:val="22"/>
                  <w:szCs w:val="22"/>
                </w:rPr>
                <w:t>无因金融资产转移而终止确认的其他应收款。</w:t>
              </w:r>
            </w:p>
            <w:p w14:paraId="3D1C9A96" w14:textId="77777777" w:rsidR="00471D53" w:rsidRPr="00FB6D17" w:rsidRDefault="004F686E" w:rsidP="004F686E">
              <w:pPr>
                <w:numPr>
                  <w:ilvl w:val="0"/>
                  <w:numId w:val="56"/>
                </w:numPr>
                <w:tabs>
                  <w:tab w:val="clear" w:pos="1160"/>
                  <w:tab w:val="num" w:pos="420"/>
                  <w:tab w:val="left" w:pos="720"/>
                  <w:tab w:val="left" w:pos="1000"/>
                </w:tabs>
                <w:spacing w:beforeLines="50" w:before="120" w:afterLines="50" w:after="120" w:line="360" w:lineRule="exact"/>
                <w:ind w:leftChars="200" w:left="972" w:hangingChars="251" w:hanging="552"/>
                <w:outlineLvl w:val="2"/>
                <w:rPr>
                  <w:rFonts w:cs="Times New Roman"/>
                  <w:sz w:val="22"/>
                  <w:szCs w:val="22"/>
                </w:rPr>
              </w:pPr>
              <w:r>
                <w:rPr>
                  <w:rFonts w:cs="Times New Roman" w:hint="eastAsia"/>
                  <w:sz w:val="22"/>
                  <w:szCs w:val="22"/>
                </w:rPr>
                <w:t>本期</w:t>
              </w:r>
              <w:r w:rsidRPr="00FB6D17">
                <w:rPr>
                  <w:rFonts w:cs="Times New Roman" w:hint="eastAsia"/>
                  <w:sz w:val="22"/>
                  <w:szCs w:val="22"/>
                </w:rPr>
                <w:t>无转移其他应收款且继续涉入形成的资产、负债金额。</w:t>
              </w:r>
            </w:p>
            <w:p w14:paraId="0D63388C" w14:textId="77777777" w:rsidR="00471D53" w:rsidRPr="00D11D3D" w:rsidRDefault="004F686E" w:rsidP="004F686E">
              <w:pPr>
                <w:numPr>
                  <w:ilvl w:val="0"/>
                  <w:numId w:val="56"/>
                </w:numPr>
                <w:tabs>
                  <w:tab w:val="clear" w:pos="1160"/>
                  <w:tab w:val="num" w:pos="420"/>
                  <w:tab w:val="left" w:pos="720"/>
                  <w:tab w:val="left" w:pos="1000"/>
                </w:tabs>
                <w:spacing w:beforeLines="50" w:before="120" w:afterLines="50" w:after="120" w:line="360" w:lineRule="exact"/>
                <w:ind w:leftChars="200" w:left="972" w:hangingChars="251" w:hanging="552"/>
                <w:outlineLvl w:val="2"/>
                <w:rPr>
                  <w:rFonts w:cs="Times New Roman"/>
                  <w:sz w:val="22"/>
                  <w:szCs w:val="22"/>
                </w:rPr>
              </w:pPr>
              <w:r w:rsidRPr="00D11D3D">
                <w:rPr>
                  <w:rFonts w:cs="Times New Roman" w:hint="eastAsia"/>
                  <w:sz w:val="22"/>
                  <w:szCs w:val="22"/>
                </w:rPr>
                <w:t>本公司期末无应收员工借款。</w:t>
              </w:r>
            </w:p>
            <w:p w14:paraId="327D1459" w14:textId="77777777" w:rsidR="00471D53" w:rsidRDefault="00B664AF">
              <w:pPr>
                <w:rPr>
                  <w:szCs w:val="21"/>
                </w:rPr>
              </w:pPr>
            </w:p>
          </w:sdtContent>
        </w:sdt>
      </w:sdtContent>
    </w:sdt>
    <w:p w14:paraId="72E8DA20" w14:textId="77777777" w:rsidR="00471D53" w:rsidRDefault="00B664AF">
      <w:pPr>
        <w:rPr>
          <w:szCs w:val="21"/>
        </w:rPr>
      </w:pPr>
    </w:p>
    <w:p w14:paraId="6A04E387" w14:textId="77777777" w:rsidR="00471D53" w:rsidRDefault="004F686E" w:rsidP="004F686E">
      <w:pPr>
        <w:pStyle w:val="afffff7"/>
        <w:numPr>
          <w:ilvl w:val="0"/>
          <w:numId w:val="55"/>
        </w:numPr>
        <w:rPr>
          <w:rFonts w:ascii="宋体" w:hAnsi="宋体"/>
        </w:rPr>
      </w:pPr>
      <w:r>
        <w:rPr>
          <w:rFonts w:ascii="宋体" w:hAnsi="宋体" w:hint="eastAsia"/>
        </w:rPr>
        <w:t>存货</w:t>
      </w:r>
    </w:p>
    <w:bookmarkStart w:id="135" w:name="_Hlk10470159" w:displacedByCustomXml="next"/>
    <w:sdt>
      <w:sdtPr>
        <w:rPr>
          <w:rFonts w:ascii="宋体" w:hAnsi="宋体" w:cs="宋体" w:hint="eastAsia"/>
          <w:b w:val="0"/>
          <w:bCs w:val="0"/>
          <w:kern w:val="0"/>
          <w:szCs w:val="22"/>
        </w:rPr>
        <w:alias w:val="模块:存货分类 "/>
        <w:tag w:val="_GBC_1953ea50f68542df9fa36d84b994cf17"/>
        <w:id w:val="-1528406281"/>
        <w:lock w:val="sdtLocked"/>
        <w:placeholder>
          <w:docPart w:val="GBC22222222222222222222222222222"/>
        </w:placeholder>
      </w:sdtPr>
      <w:sdtEndPr>
        <w:rPr>
          <w:rFonts w:ascii="Cambria" w:hAnsi="Cambria" w:cs="Times New Roman"/>
          <w:b/>
          <w:bCs/>
          <w:kern w:val="2"/>
          <w:szCs w:val="21"/>
        </w:rPr>
      </w:sdtEndPr>
      <w:sdtContent>
        <w:p w14:paraId="5899A428" w14:textId="77777777" w:rsidR="00471D53" w:rsidRDefault="004F686E" w:rsidP="004F686E">
          <w:pPr>
            <w:pStyle w:val="afffff8"/>
            <w:numPr>
              <w:ilvl w:val="0"/>
              <w:numId w:val="64"/>
            </w:numPr>
            <w:tabs>
              <w:tab w:val="left" w:pos="630"/>
            </w:tabs>
            <w:rPr>
              <w:rFonts w:ascii="宋体" w:hAnsi="宋体"/>
            </w:rPr>
          </w:pPr>
          <w:r>
            <w:rPr>
              <w:rFonts w:ascii="宋体" w:hAnsi="宋体" w:hint="eastAsia"/>
            </w:rPr>
            <w:t>存货分类</w:t>
          </w:r>
        </w:p>
        <w:sdt>
          <w:sdtPr>
            <w:alias w:val="是否适用：存货分类[双击切换]"/>
            <w:tag w:val="_GBC_06c46a03a226418fb8e5e84326c47750"/>
            <w:id w:val="-1702540436"/>
            <w:lock w:val="sdtLocked"/>
          </w:sdtPr>
          <w:sdtEndPr/>
          <w:sdtContent>
            <w:p w14:paraId="193B84E0" w14:textId="7EFEAD95"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DC803C3" w14:textId="4C27F9C9" w:rsidR="00471D53" w:rsidRDefault="004F686E">
          <w:pPr>
            <w:jc w:val="right"/>
            <w:rPr>
              <w:szCs w:val="21"/>
            </w:rPr>
          </w:pPr>
          <w:r>
            <w:rPr>
              <w:rFonts w:hint="eastAsia"/>
              <w:szCs w:val="21"/>
            </w:rPr>
            <w:t>单位：</w:t>
          </w:r>
          <w:sdt>
            <w:sdtPr>
              <w:rPr>
                <w:rFonts w:hint="eastAsia"/>
                <w:szCs w:val="21"/>
              </w:rPr>
              <w:alias w:val="单位：财务附注：存货分类"/>
              <w:tag w:val="_GBC_cc6e1ec3be0141cbb25cf999a897b29b"/>
              <w:id w:val="-1113120394"/>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存货分类"/>
              <w:tag w:val="_GBC_d85b2ad6790d4fa2ace1d773934cd4b3"/>
              <w:id w:val="213398287"/>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976" w:type="pct"/>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1123"/>
            <w:gridCol w:w="1547"/>
            <w:gridCol w:w="1687"/>
            <w:gridCol w:w="1548"/>
            <w:gridCol w:w="1548"/>
            <w:gridCol w:w="1544"/>
            <w:gridCol w:w="1548"/>
          </w:tblGrid>
          <w:tr w:rsidR="00471D53" w14:paraId="2CC5005F" w14:textId="77777777" w:rsidTr="00471D53">
            <w:trPr>
              <w:cantSplit/>
            </w:trPr>
            <w:sdt>
              <w:sdtPr>
                <w:tag w:val="_PLD_48d855cd658044389f8d1cbe0016be78"/>
                <w:id w:val="294805824"/>
                <w:lock w:val="sdtLocked"/>
              </w:sdtPr>
              <w:sdtEndPr/>
              <w:sdtContent>
                <w:tc>
                  <w:tcPr>
                    <w:tcW w:w="532" w:type="pct"/>
                    <w:vMerge w:val="restart"/>
                    <w:vAlign w:val="center"/>
                  </w:tcPr>
                  <w:p w14:paraId="3C8A9C10" w14:textId="77777777" w:rsidR="00471D53" w:rsidRDefault="004F686E" w:rsidP="00471D53">
                    <w:pPr>
                      <w:jc w:val="center"/>
                      <w:rPr>
                        <w:szCs w:val="21"/>
                      </w:rPr>
                    </w:pPr>
                    <w:r>
                      <w:rPr>
                        <w:rFonts w:hint="eastAsia"/>
                        <w:szCs w:val="21"/>
                      </w:rPr>
                      <w:t>项目</w:t>
                    </w:r>
                  </w:p>
                </w:tc>
              </w:sdtContent>
            </w:sdt>
            <w:sdt>
              <w:sdtPr>
                <w:tag w:val="_PLD_586606f595aa4fff8214f9b6209260b6"/>
                <w:id w:val="872112979"/>
                <w:lock w:val="sdtLocked"/>
              </w:sdtPr>
              <w:sdtEndPr/>
              <w:sdtContent>
                <w:tc>
                  <w:tcPr>
                    <w:tcW w:w="2267" w:type="pct"/>
                    <w:gridSpan w:val="3"/>
                    <w:vAlign w:val="center"/>
                  </w:tcPr>
                  <w:p w14:paraId="2A6938D4" w14:textId="77777777" w:rsidR="00471D53" w:rsidRDefault="004F686E" w:rsidP="00471D53">
                    <w:pPr>
                      <w:jc w:val="center"/>
                      <w:rPr>
                        <w:szCs w:val="21"/>
                      </w:rPr>
                    </w:pPr>
                    <w:r>
                      <w:rPr>
                        <w:rFonts w:hint="eastAsia"/>
                        <w:szCs w:val="21"/>
                      </w:rPr>
                      <w:t>期末余额</w:t>
                    </w:r>
                  </w:p>
                </w:tc>
              </w:sdtContent>
            </w:sdt>
            <w:sdt>
              <w:sdtPr>
                <w:tag w:val="_PLD_a1bbc97888494137a790328386c2b9d8"/>
                <w:id w:val="-925033606"/>
                <w:lock w:val="sdtLocked"/>
              </w:sdtPr>
              <w:sdtEndPr/>
              <w:sdtContent>
                <w:tc>
                  <w:tcPr>
                    <w:tcW w:w="2200" w:type="pct"/>
                    <w:gridSpan w:val="3"/>
                    <w:vAlign w:val="center"/>
                  </w:tcPr>
                  <w:p w14:paraId="09A478E3" w14:textId="77777777" w:rsidR="00471D53" w:rsidRDefault="004F686E" w:rsidP="00471D53">
                    <w:pPr>
                      <w:jc w:val="center"/>
                      <w:rPr>
                        <w:szCs w:val="21"/>
                      </w:rPr>
                    </w:pPr>
                    <w:r>
                      <w:rPr>
                        <w:rFonts w:hint="eastAsia"/>
                        <w:szCs w:val="21"/>
                      </w:rPr>
                      <w:t>期初余额</w:t>
                    </w:r>
                  </w:p>
                </w:tc>
              </w:sdtContent>
            </w:sdt>
          </w:tr>
          <w:tr w:rsidR="00471D53" w14:paraId="0D6AAE90" w14:textId="77777777" w:rsidTr="00471D53">
            <w:trPr>
              <w:cantSplit/>
            </w:trPr>
            <w:tc>
              <w:tcPr>
                <w:tcW w:w="532" w:type="pct"/>
                <w:vMerge/>
              </w:tcPr>
              <w:p w14:paraId="1CAC0F76" w14:textId="77777777" w:rsidR="00471D53" w:rsidRDefault="00B664AF" w:rsidP="00471D53">
                <w:pPr>
                  <w:ind w:right="5"/>
                  <w:jc w:val="center"/>
                  <w:rPr>
                    <w:szCs w:val="21"/>
                  </w:rPr>
                </w:pPr>
              </w:p>
            </w:tc>
            <w:sdt>
              <w:sdtPr>
                <w:tag w:val="_PLD_60368d835c2843d99b5061f4c84f8d8e"/>
                <w:id w:val="1662663414"/>
                <w:lock w:val="sdtLocked"/>
              </w:sdtPr>
              <w:sdtEndPr/>
              <w:sdtContent>
                <w:tc>
                  <w:tcPr>
                    <w:tcW w:w="733" w:type="pct"/>
                    <w:vAlign w:val="center"/>
                  </w:tcPr>
                  <w:p w14:paraId="0FD9D845" w14:textId="77777777" w:rsidR="00471D53" w:rsidRDefault="004F686E" w:rsidP="00471D53">
                    <w:pPr>
                      <w:ind w:right="5"/>
                      <w:jc w:val="center"/>
                      <w:rPr>
                        <w:szCs w:val="21"/>
                      </w:rPr>
                    </w:pPr>
                    <w:r>
                      <w:rPr>
                        <w:rFonts w:hint="eastAsia"/>
                        <w:szCs w:val="21"/>
                      </w:rPr>
                      <w:t>账面余额</w:t>
                    </w:r>
                  </w:p>
                </w:tc>
              </w:sdtContent>
            </w:sdt>
            <w:tc>
              <w:tcPr>
                <w:tcW w:w="800" w:type="pct"/>
                <w:vAlign w:val="center"/>
              </w:tcPr>
              <w:p w14:paraId="4C435E3A" w14:textId="77777777" w:rsidR="00471D53" w:rsidRDefault="00B664AF" w:rsidP="00471D53">
                <w:pPr>
                  <w:ind w:right="5"/>
                  <w:jc w:val="center"/>
                  <w:rPr>
                    <w:szCs w:val="21"/>
                  </w:rPr>
                </w:pPr>
                <w:sdt>
                  <w:sdtPr>
                    <w:tag w:val="_PLD_b5c53ce2a5004db988af9e72594f6b6a"/>
                    <w:id w:val="875428762"/>
                    <w:lock w:val="sdtLocked"/>
                  </w:sdtPr>
                  <w:sdtEndPr/>
                  <w:sdtContent>
                    <w:r w:rsidR="004F686E">
                      <w:rPr>
                        <w:rFonts w:hint="eastAsia"/>
                      </w:rPr>
                      <w:t>存货跌价准备</w:t>
                    </w:r>
                    <w:r w:rsidR="004F686E">
                      <w:t>/</w:t>
                    </w:r>
                    <w:r w:rsidR="004F686E">
                      <w:rPr>
                        <w:szCs w:val="21"/>
                      </w:rPr>
                      <w:t>合同履约成本减值准备</w:t>
                    </w:r>
                  </w:sdtContent>
                </w:sdt>
              </w:p>
            </w:tc>
            <w:sdt>
              <w:sdtPr>
                <w:tag w:val="_PLD_f2691cf723784fbcbc9a900f61c6e250"/>
                <w:id w:val="-1606571658"/>
                <w:lock w:val="sdtLocked"/>
              </w:sdtPr>
              <w:sdtEndPr/>
              <w:sdtContent>
                <w:tc>
                  <w:tcPr>
                    <w:tcW w:w="734" w:type="pct"/>
                    <w:vAlign w:val="center"/>
                  </w:tcPr>
                  <w:p w14:paraId="6C51A3DC" w14:textId="77777777" w:rsidR="00471D53" w:rsidRDefault="004F686E" w:rsidP="00471D53">
                    <w:pPr>
                      <w:ind w:right="5"/>
                      <w:jc w:val="center"/>
                      <w:rPr>
                        <w:szCs w:val="21"/>
                      </w:rPr>
                    </w:pPr>
                    <w:r>
                      <w:rPr>
                        <w:rFonts w:hint="eastAsia"/>
                        <w:szCs w:val="21"/>
                      </w:rPr>
                      <w:t>账面价值</w:t>
                    </w:r>
                  </w:p>
                </w:tc>
              </w:sdtContent>
            </w:sdt>
            <w:sdt>
              <w:sdtPr>
                <w:tag w:val="_PLD_df34ec94af0b441bab962cb42fe65b1a"/>
                <w:id w:val="-2125765408"/>
                <w:lock w:val="sdtLocked"/>
              </w:sdtPr>
              <w:sdtEndPr/>
              <w:sdtContent>
                <w:tc>
                  <w:tcPr>
                    <w:tcW w:w="734" w:type="pct"/>
                    <w:vAlign w:val="center"/>
                  </w:tcPr>
                  <w:p w14:paraId="7D6EC70E" w14:textId="77777777" w:rsidR="00471D53" w:rsidRDefault="004F686E" w:rsidP="00471D53">
                    <w:pPr>
                      <w:ind w:right="5"/>
                      <w:jc w:val="center"/>
                      <w:rPr>
                        <w:szCs w:val="21"/>
                      </w:rPr>
                    </w:pPr>
                    <w:r>
                      <w:rPr>
                        <w:rFonts w:hint="eastAsia"/>
                        <w:szCs w:val="21"/>
                      </w:rPr>
                      <w:t>账面余额</w:t>
                    </w:r>
                  </w:p>
                </w:tc>
              </w:sdtContent>
            </w:sdt>
            <w:tc>
              <w:tcPr>
                <w:tcW w:w="732" w:type="pct"/>
                <w:vAlign w:val="center"/>
              </w:tcPr>
              <w:p w14:paraId="04F192BF" w14:textId="77777777" w:rsidR="00471D53" w:rsidRDefault="00B664AF" w:rsidP="00471D53">
                <w:pPr>
                  <w:ind w:right="5"/>
                  <w:jc w:val="center"/>
                  <w:rPr>
                    <w:szCs w:val="21"/>
                  </w:rPr>
                </w:pPr>
                <w:sdt>
                  <w:sdtPr>
                    <w:tag w:val="_PLD_7a42c47b54924b47b9e161d8fd9fb840"/>
                    <w:id w:val="1285073168"/>
                    <w:lock w:val="sdtLocked"/>
                  </w:sdtPr>
                  <w:sdtEndPr/>
                  <w:sdtContent>
                    <w:r w:rsidR="004F686E">
                      <w:rPr>
                        <w:rFonts w:hint="eastAsia"/>
                      </w:rPr>
                      <w:t>存货跌价准备</w:t>
                    </w:r>
                    <w:r w:rsidR="004F686E">
                      <w:t>/</w:t>
                    </w:r>
                    <w:r w:rsidR="004F686E">
                      <w:rPr>
                        <w:szCs w:val="21"/>
                      </w:rPr>
                      <w:t>合同履约成本减值准备</w:t>
                    </w:r>
                  </w:sdtContent>
                </w:sdt>
              </w:p>
            </w:tc>
            <w:sdt>
              <w:sdtPr>
                <w:tag w:val="_PLD_0db3a7f82db34583bb111dc2a8e88f8c"/>
                <w:id w:val="1046493646"/>
                <w:lock w:val="sdtLocked"/>
              </w:sdtPr>
              <w:sdtEndPr/>
              <w:sdtContent>
                <w:tc>
                  <w:tcPr>
                    <w:tcW w:w="734" w:type="pct"/>
                    <w:vAlign w:val="center"/>
                  </w:tcPr>
                  <w:p w14:paraId="7A81F7E2" w14:textId="77777777" w:rsidR="00471D53" w:rsidRDefault="004F686E" w:rsidP="00471D53">
                    <w:pPr>
                      <w:ind w:right="5"/>
                      <w:jc w:val="center"/>
                      <w:rPr>
                        <w:szCs w:val="21"/>
                      </w:rPr>
                    </w:pPr>
                    <w:r>
                      <w:rPr>
                        <w:rFonts w:hint="eastAsia"/>
                        <w:szCs w:val="21"/>
                      </w:rPr>
                      <w:t>账面价值</w:t>
                    </w:r>
                  </w:p>
                </w:tc>
              </w:sdtContent>
            </w:sdt>
          </w:tr>
          <w:tr w:rsidR="00471D53" w14:paraId="69C35435" w14:textId="77777777" w:rsidTr="00471D53">
            <w:trPr>
              <w:cantSplit/>
            </w:trPr>
            <w:sdt>
              <w:sdtPr>
                <w:tag w:val="_PLD_fca11404c29f48d0b5900b11850092d7"/>
                <w:id w:val="-612052465"/>
                <w:lock w:val="sdtLocked"/>
              </w:sdtPr>
              <w:sdtEndPr/>
              <w:sdtContent>
                <w:tc>
                  <w:tcPr>
                    <w:tcW w:w="532" w:type="pct"/>
                  </w:tcPr>
                  <w:p w14:paraId="50B7873A" w14:textId="77777777" w:rsidR="00471D53" w:rsidRDefault="004F686E" w:rsidP="00471D53">
                    <w:pPr>
                      <w:ind w:right="5"/>
                      <w:rPr>
                        <w:szCs w:val="21"/>
                      </w:rPr>
                    </w:pPr>
                    <w:r>
                      <w:rPr>
                        <w:rFonts w:hint="eastAsia"/>
                        <w:szCs w:val="21"/>
                      </w:rPr>
                      <w:t>原材料</w:t>
                    </w:r>
                  </w:p>
                </w:tc>
              </w:sdtContent>
            </w:sdt>
            <w:tc>
              <w:tcPr>
                <w:tcW w:w="733" w:type="pct"/>
              </w:tcPr>
              <w:p w14:paraId="0915FA19" w14:textId="77777777" w:rsidR="00471D53" w:rsidRDefault="004F686E" w:rsidP="00471D53">
                <w:pPr>
                  <w:ind w:right="5"/>
                  <w:jc w:val="right"/>
                  <w:rPr>
                    <w:szCs w:val="21"/>
                  </w:rPr>
                </w:pPr>
                <w:r>
                  <w:t>123,600,230.48</w:t>
                </w:r>
              </w:p>
            </w:tc>
            <w:tc>
              <w:tcPr>
                <w:tcW w:w="800" w:type="pct"/>
              </w:tcPr>
              <w:p w14:paraId="2B28471B" w14:textId="77777777" w:rsidR="00471D53" w:rsidRDefault="004F686E" w:rsidP="00471D53">
                <w:pPr>
                  <w:ind w:right="5"/>
                  <w:jc w:val="right"/>
                  <w:rPr>
                    <w:szCs w:val="21"/>
                  </w:rPr>
                </w:pPr>
                <w:r>
                  <w:t>5,493,973.88</w:t>
                </w:r>
              </w:p>
            </w:tc>
            <w:tc>
              <w:tcPr>
                <w:tcW w:w="734" w:type="pct"/>
              </w:tcPr>
              <w:p w14:paraId="433CAF39" w14:textId="77777777" w:rsidR="00471D53" w:rsidRDefault="004F686E" w:rsidP="00471D53">
                <w:pPr>
                  <w:ind w:right="5"/>
                  <w:jc w:val="right"/>
                  <w:rPr>
                    <w:szCs w:val="21"/>
                  </w:rPr>
                </w:pPr>
                <w:r>
                  <w:t>118,106,256.60</w:t>
                </w:r>
              </w:p>
            </w:tc>
            <w:tc>
              <w:tcPr>
                <w:tcW w:w="734" w:type="pct"/>
              </w:tcPr>
              <w:p w14:paraId="0A1B0470" w14:textId="77777777" w:rsidR="00471D53" w:rsidRDefault="004F686E" w:rsidP="00471D53">
                <w:pPr>
                  <w:ind w:right="5"/>
                  <w:jc w:val="right"/>
                  <w:rPr>
                    <w:szCs w:val="21"/>
                  </w:rPr>
                </w:pPr>
                <w:r>
                  <w:t>106,131,104.24</w:t>
                </w:r>
              </w:p>
            </w:tc>
            <w:tc>
              <w:tcPr>
                <w:tcW w:w="732" w:type="pct"/>
              </w:tcPr>
              <w:p w14:paraId="4985F149" w14:textId="77777777" w:rsidR="00471D53" w:rsidRDefault="004F686E" w:rsidP="00471D53">
                <w:pPr>
                  <w:ind w:right="5"/>
                  <w:jc w:val="right"/>
                  <w:rPr>
                    <w:szCs w:val="21"/>
                  </w:rPr>
                </w:pPr>
                <w:r>
                  <w:t>21,242,207.91</w:t>
                </w:r>
              </w:p>
            </w:tc>
            <w:tc>
              <w:tcPr>
                <w:tcW w:w="734" w:type="pct"/>
              </w:tcPr>
              <w:p w14:paraId="32866AFE" w14:textId="77777777" w:rsidR="00471D53" w:rsidRDefault="004F686E" w:rsidP="00471D53">
                <w:pPr>
                  <w:ind w:right="5"/>
                  <w:jc w:val="right"/>
                  <w:rPr>
                    <w:szCs w:val="21"/>
                  </w:rPr>
                </w:pPr>
                <w:r>
                  <w:t>84,888,896.33</w:t>
                </w:r>
              </w:p>
            </w:tc>
          </w:tr>
          <w:tr w:rsidR="00471D53" w14:paraId="14270394" w14:textId="77777777" w:rsidTr="00471D53">
            <w:trPr>
              <w:cantSplit/>
            </w:trPr>
            <w:sdt>
              <w:sdtPr>
                <w:tag w:val="_PLD_fd1bed46838a4d5189ec9ce131230221"/>
                <w:id w:val="-507067240"/>
                <w:lock w:val="sdtLocked"/>
              </w:sdtPr>
              <w:sdtEndPr/>
              <w:sdtContent>
                <w:tc>
                  <w:tcPr>
                    <w:tcW w:w="532" w:type="pct"/>
                  </w:tcPr>
                  <w:p w14:paraId="05826F77" w14:textId="77777777" w:rsidR="00471D53" w:rsidRDefault="004F686E" w:rsidP="00471D53">
                    <w:pPr>
                      <w:ind w:right="5"/>
                      <w:rPr>
                        <w:szCs w:val="21"/>
                      </w:rPr>
                    </w:pPr>
                    <w:r>
                      <w:rPr>
                        <w:rFonts w:hint="eastAsia"/>
                        <w:szCs w:val="21"/>
                      </w:rPr>
                      <w:t>在产品</w:t>
                    </w:r>
                  </w:p>
                </w:tc>
              </w:sdtContent>
            </w:sdt>
            <w:tc>
              <w:tcPr>
                <w:tcW w:w="733" w:type="pct"/>
              </w:tcPr>
              <w:p w14:paraId="2112DEBE" w14:textId="77777777" w:rsidR="00471D53" w:rsidRDefault="004F686E" w:rsidP="00471D53">
                <w:pPr>
                  <w:ind w:right="5"/>
                  <w:jc w:val="right"/>
                  <w:rPr>
                    <w:szCs w:val="21"/>
                  </w:rPr>
                </w:pPr>
                <w:r>
                  <w:t>150,946,267.34</w:t>
                </w:r>
              </w:p>
            </w:tc>
            <w:tc>
              <w:tcPr>
                <w:tcW w:w="800" w:type="pct"/>
              </w:tcPr>
              <w:p w14:paraId="6BF7D8A4" w14:textId="77777777" w:rsidR="00471D53" w:rsidRDefault="004F686E" w:rsidP="00471D53">
                <w:pPr>
                  <w:ind w:right="5"/>
                  <w:jc w:val="right"/>
                  <w:rPr>
                    <w:szCs w:val="21"/>
                  </w:rPr>
                </w:pPr>
                <w:r>
                  <w:t>28,062,406.86</w:t>
                </w:r>
              </w:p>
            </w:tc>
            <w:tc>
              <w:tcPr>
                <w:tcW w:w="734" w:type="pct"/>
              </w:tcPr>
              <w:p w14:paraId="1E3EFF92" w14:textId="77777777" w:rsidR="00471D53" w:rsidRDefault="004F686E" w:rsidP="00471D53">
                <w:pPr>
                  <w:ind w:right="5"/>
                  <w:jc w:val="right"/>
                  <w:rPr>
                    <w:szCs w:val="21"/>
                  </w:rPr>
                </w:pPr>
                <w:r>
                  <w:t>122,883,860.48</w:t>
                </w:r>
              </w:p>
            </w:tc>
            <w:tc>
              <w:tcPr>
                <w:tcW w:w="734" w:type="pct"/>
              </w:tcPr>
              <w:p w14:paraId="71DF3E68" w14:textId="77777777" w:rsidR="00471D53" w:rsidRDefault="004F686E" w:rsidP="00471D53">
                <w:pPr>
                  <w:ind w:right="5"/>
                  <w:jc w:val="right"/>
                  <w:rPr>
                    <w:szCs w:val="21"/>
                  </w:rPr>
                </w:pPr>
                <w:r>
                  <w:t>131,590,688.49</w:t>
                </w:r>
              </w:p>
            </w:tc>
            <w:tc>
              <w:tcPr>
                <w:tcW w:w="732" w:type="pct"/>
              </w:tcPr>
              <w:p w14:paraId="1C6A08BB" w14:textId="77777777" w:rsidR="00471D53" w:rsidRDefault="004F686E" w:rsidP="00471D53">
                <w:pPr>
                  <w:ind w:right="5"/>
                  <w:jc w:val="right"/>
                  <w:rPr>
                    <w:szCs w:val="21"/>
                  </w:rPr>
                </w:pPr>
                <w:r>
                  <w:t>36,338,595.65</w:t>
                </w:r>
              </w:p>
            </w:tc>
            <w:tc>
              <w:tcPr>
                <w:tcW w:w="734" w:type="pct"/>
              </w:tcPr>
              <w:p w14:paraId="2ADDA59B" w14:textId="77777777" w:rsidR="00471D53" w:rsidRDefault="004F686E" w:rsidP="00471D53">
                <w:pPr>
                  <w:ind w:right="5"/>
                  <w:jc w:val="right"/>
                  <w:rPr>
                    <w:szCs w:val="21"/>
                  </w:rPr>
                </w:pPr>
                <w:r>
                  <w:t>95,252,092.84</w:t>
                </w:r>
              </w:p>
            </w:tc>
          </w:tr>
          <w:tr w:rsidR="00471D53" w14:paraId="39656BE3" w14:textId="77777777" w:rsidTr="00471D53">
            <w:trPr>
              <w:cantSplit/>
            </w:trPr>
            <w:sdt>
              <w:sdtPr>
                <w:tag w:val="_PLD_f3ef3aac74534d258da438463abf925d"/>
                <w:id w:val="1529444925"/>
                <w:lock w:val="sdtLocked"/>
              </w:sdtPr>
              <w:sdtEndPr/>
              <w:sdtContent>
                <w:tc>
                  <w:tcPr>
                    <w:tcW w:w="532" w:type="pct"/>
                  </w:tcPr>
                  <w:p w14:paraId="37C0F731" w14:textId="77777777" w:rsidR="00471D53" w:rsidRDefault="004F686E" w:rsidP="00471D53">
                    <w:pPr>
                      <w:ind w:right="5"/>
                      <w:rPr>
                        <w:szCs w:val="21"/>
                      </w:rPr>
                    </w:pPr>
                    <w:r>
                      <w:rPr>
                        <w:rFonts w:hint="eastAsia"/>
                        <w:szCs w:val="21"/>
                      </w:rPr>
                      <w:t>库存商品</w:t>
                    </w:r>
                  </w:p>
                </w:tc>
              </w:sdtContent>
            </w:sdt>
            <w:tc>
              <w:tcPr>
                <w:tcW w:w="733" w:type="pct"/>
              </w:tcPr>
              <w:p w14:paraId="03D021FA" w14:textId="77777777" w:rsidR="00471D53" w:rsidRDefault="004F686E" w:rsidP="00471D53">
                <w:pPr>
                  <w:ind w:right="5"/>
                  <w:jc w:val="right"/>
                  <w:rPr>
                    <w:szCs w:val="21"/>
                  </w:rPr>
                </w:pPr>
                <w:r>
                  <w:t>119,550,845.06</w:t>
                </w:r>
              </w:p>
            </w:tc>
            <w:tc>
              <w:tcPr>
                <w:tcW w:w="800" w:type="pct"/>
              </w:tcPr>
              <w:p w14:paraId="62B42FB0" w14:textId="77777777" w:rsidR="00471D53" w:rsidRDefault="004F686E" w:rsidP="00471D53">
                <w:pPr>
                  <w:ind w:right="5"/>
                  <w:jc w:val="right"/>
                  <w:rPr>
                    <w:szCs w:val="21"/>
                  </w:rPr>
                </w:pPr>
                <w:r>
                  <w:t>4,224,272.71</w:t>
                </w:r>
              </w:p>
            </w:tc>
            <w:tc>
              <w:tcPr>
                <w:tcW w:w="734" w:type="pct"/>
              </w:tcPr>
              <w:p w14:paraId="359651CC" w14:textId="77777777" w:rsidR="00471D53" w:rsidRDefault="004F686E" w:rsidP="00471D53">
                <w:pPr>
                  <w:ind w:right="5"/>
                  <w:jc w:val="right"/>
                  <w:rPr>
                    <w:szCs w:val="21"/>
                  </w:rPr>
                </w:pPr>
                <w:r>
                  <w:t>115,326,572.35</w:t>
                </w:r>
              </w:p>
            </w:tc>
            <w:tc>
              <w:tcPr>
                <w:tcW w:w="734" w:type="pct"/>
              </w:tcPr>
              <w:p w14:paraId="62CCD74C" w14:textId="77777777" w:rsidR="00471D53" w:rsidRDefault="004F686E" w:rsidP="00471D53">
                <w:pPr>
                  <w:ind w:right="5"/>
                  <w:jc w:val="right"/>
                  <w:rPr>
                    <w:szCs w:val="21"/>
                  </w:rPr>
                </w:pPr>
                <w:r>
                  <w:t>98,198,878.20</w:t>
                </w:r>
              </w:p>
            </w:tc>
            <w:tc>
              <w:tcPr>
                <w:tcW w:w="732" w:type="pct"/>
              </w:tcPr>
              <w:p w14:paraId="676C76CB" w14:textId="77777777" w:rsidR="00471D53" w:rsidRDefault="004F686E" w:rsidP="00471D53">
                <w:pPr>
                  <w:ind w:right="5"/>
                  <w:jc w:val="right"/>
                  <w:rPr>
                    <w:szCs w:val="21"/>
                  </w:rPr>
                </w:pPr>
                <w:r>
                  <w:t>7,583,602.95</w:t>
                </w:r>
              </w:p>
            </w:tc>
            <w:tc>
              <w:tcPr>
                <w:tcW w:w="734" w:type="pct"/>
              </w:tcPr>
              <w:p w14:paraId="47163112" w14:textId="77777777" w:rsidR="00471D53" w:rsidRDefault="004F686E" w:rsidP="00471D53">
                <w:pPr>
                  <w:ind w:right="5"/>
                  <w:jc w:val="right"/>
                  <w:rPr>
                    <w:szCs w:val="21"/>
                  </w:rPr>
                </w:pPr>
                <w:r>
                  <w:t>90,615,275.25</w:t>
                </w:r>
              </w:p>
            </w:tc>
          </w:tr>
          <w:tr w:rsidR="00471D53" w14:paraId="7014366D" w14:textId="77777777" w:rsidTr="00471D53">
            <w:trPr>
              <w:cantSplit/>
            </w:trPr>
            <w:sdt>
              <w:sdtPr>
                <w:tag w:val="_PLD_3e735f5b7a3a46db9876dca2e24f8162"/>
                <w:id w:val="-530265668"/>
                <w:lock w:val="sdtLocked"/>
              </w:sdtPr>
              <w:sdtEndPr/>
              <w:sdtContent>
                <w:tc>
                  <w:tcPr>
                    <w:tcW w:w="532" w:type="pct"/>
                  </w:tcPr>
                  <w:p w14:paraId="02E8AFF8" w14:textId="77777777" w:rsidR="00471D53" w:rsidRDefault="004F686E" w:rsidP="00471D53">
                    <w:pPr>
                      <w:autoSpaceDE w:val="0"/>
                      <w:autoSpaceDN w:val="0"/>
                      <w:adjustRightInd w:val="0"/>
                      <w:rPr>
                        <w:szCs w:val="21"/>
                      </w:rPr>
                    </w:pPr>
                    <w:r>
                      <w:rPr>
                        <w:rFonts w:hint="eastAsia"/>
                        <w:szCs w:val="21"/>
                      </w:rPr>
                      <w:t>周转材料</w:t>
                    </w:r>
                  </w:p>
                </w:tc>
              </w:sdtContent>
            </w:sdt>
            <w:tc>
              <w:tcPr>
                <w:tcW w:w="733" w:type="pct"/>
              </w:tcPr>
              <w:p w14:paraId="1CD83109" w14:textId="77777777" w:rsidR="00471D53" w:rsidRDefault="00B664AF" w:rsidP="00471D53">
                <w:pPr>
                  <w:jc w:val="right"/>
                  <w:rPr>
                    <w:szCs w:val="21"/>
                  </w:rPr>
                </w:pPr>
              </w:p>
            </w:tc>
            <w:tc>
              <w:tcPr>
                <w:tcW w:w="800" w:type="pct"/>
              </w:tcPr>
              <w:p w14:paraId="2CDDF5FF" w14:textId="77777777" w:rsidR="00471D53" w:rsidRDefault="00B664AF" w:rsidP="00471D53">
                <w:pPr>
                  <w:jc w:val="right"/>
                  <w:rPr>
                    <w:szCs w:val="21"/>
                  </w:rPr>
                </w:pPr>
              </w:p>
            </w:tc>
            <w:tc>
              <w:tcPr>
                <w:tcW w:w="734" w:type="pct"/>
              </w:tcPr>
              <w:p w14:paraId="5A32F54D" w14:textId="77777777" w:rsidR="00471D53" w:rsidRDefault="00B664AF" w:rsidP="00471D53">
                <w:pPr>
                  <w:jc w:val="right"/>
                  <w:rPr>
                    <w:szCs w:val="21"/>
                  </w:rPr>
                </w:pPr>
              </w:p>
            </w:tc>
            <w:tc>
              <w:tcPr>
                <w:tcW w:w="734" w:type="pct"/>
              </w:tcPr>
              <w:p w14:paraId="6FF9779E" w14:textId="77777777" w:rsidR="00471D53" w:rsidRDefault="00B664AF" w:rsidP="00471D53">
                <w:pPr>
                  <w:ind w:right="5"/>
                  <w:jc w:val="right"/>
                  <w:rPr>
                    <w:szCs w:val="21"/>
                  </w:rPr>
                </w:pPr>
              </w:p>
            </w:tc>
            <w:tc>
              <w:tcPr>
                <w:tcW w:w="732" w:type="pct"/>
              </w:tcPr>
              <w:p w14:paraId="506ED0C6" w14:textId="77777777" w:rsidR="00471D53" w:rsidRDefault="00B664AF" w:rsidP="00471D53">
                <w:pPr>
                  <w:ind w:right="5"/>
                  <w:jc w:val="right"/>
                  <w:rPr>
                    <w:szCs w:val="21"/>
                  </w:rPr>
                </w:pPr>
              </w:p>
            </w:tc>
            <w:tc>
              <w:tcPr>
                <w:tcW w:w="734" w:type="pct"/>
              </w:tcPr>
              <w:p w14:paraId="464C16D1" w14:textId="77777777" w:rsidR="00471D53" w:rsidRDefault="00B664AF" w:rsidP="00471D53">
                <w:pPr>
                  <w:ind w:right="5"/>
                  <w:jc w:val="right"/>
                  <w:rPr>
                    <w:szCs w:val="21"/>
                  </w:rPr>
                </w:pPr>
              </w:p>
            </w:tc>
          </w:tr>
          <w:tr w:rsidR="00471D53" w14:paraId="2CD25C57" w14:textId="77777777" w:rsidTr="00471D53">
            <w:trPr>
              <w:cantSplit/>
            </w:trPr>
            <w:sdt>
              <w:sdtPr>
                <w:tag w:val="_PLD_ee9db3c747a445baa6fcc128edeebc0c"/>
                <w:id w:val="-2026086020"/>
                <w:lock w:val="sdtLocked"/>
              </w:sdtPr>
              <w:sdtEndPr/>
              <w:sdtContent>
                <w:tc>
                  <w:tcPr>
                    <w:tcW w:w="532" w:type="pct"/>
                  </w:tcPr>
                  <w:p w14:paraId="5278E005" w14:textId="77777777" w:rsidR="00471D53" w:rsidRDefault="004F686E" w:rsidP="00471D53">
                    <w:pPr>
                      <w:autoSpaceDE w:val="0"/>
                      <w:autoSpaceDN w:val="0"/>
                      <w:adjustRightInd w:val="0"/>
                      <w:rPr>
                        <w:szCs w:val="21"/>
                      </w:rPr>
                    </w:pPr>
                    <w:r>
                      <w:rPr>
                        <w:rFonts w:hint="eastAsia"/>
                        <w:szCs w:val="21"/>
                      </w:rPr>
                      <w:t>消耗性生物资产</w:t>
                    </w:r>
                  </w:p>
                </w:tc>
              </w:sdtContent>
            </w:sdt>
            <w:tc>
              <w:tcPr>
                <w:tcW w:w="733" w:type="pct"/>
              </w:tcPr>
              <w:p w14:paraId="068CDAF8" w14:textId="77777777" w:rsidR="00471D53" w:rsidRDefault="00B664AF" w:rsidP="00471D53">
                <w:pPr>
                  <w:jc w:val="right"/>
                  <w:rPr>
                    <w:szCs w:val="21"/>
                  </w:rPr>
                </w:pPr>
              </w:p>
            </w:tc>
            <w:tc>
              <w:tcPr>
                <w:tcW w:w="800" w:type="pct"/>
              </w:tcPr>
              <w:p w14:paraId="64B921DA" w14:textId="77777777" w:rsidR="00471D53" w:rsidRDefault="00B664AF" w:rsidP="00471D53">
                <w:pPr>
                  <w:jc w:val="right"/>
                  <w:rPr>
                    <w:szCs w:val="21"/>
                  </w:rPr>
                </w:pPr>
              </w:p>
            </w:tc>
            <w:tc>
              <w:tcPr>
                <w:tcW w:w="734" w:type="pct"/>
              </w:tcPr>
              <w:p w14:paraId="2D548628" w14:textId="77777777" w:rsidR="00471D53" w:rsidRDefault="00B664AF" w:rsidP="00471D53">
                <w:pPr>
                  <w:jc w:val="right"/>
                  <w:rPr>
                    <w:szCs w:val="21"/>
                  </w:rPr>
                </w:pPr>
              </w:p>
            </w:tc>
            <w:tc>
              <w:tcPr>
                <w:tcW w:w="734" w:type="pct"/>
              </w:tcPr>
              <w:p w14:paraId="1EAB7DD5" w14:textId="77777777" w:rsidR="00471D53" w:rsidRDefault="00B664AF" w:rsidP="00471D53">
                <w:pPr>
                  <w:ind w:right="5"/>
                  <w:jc w:val="right"/>
                  <w:rPr>
                    <w:szCs w:val="21"/>
                  </w:rPr>
                </w:pPr>
              </w:p>
            </w:tc>
            <w:tc>
              <w:tcPr>
                <w:tcW w:w="732" w:type="pct"/>
              </w:tcPr>
              <w:p w14:paraId="34070AEE" w14:textId="77777777" w:rsidR="00471D53" w:rsidRDefault="00B664AF" w:rsidP="00471D53">
                <w:pPr>
                  <w:ind w:right="5"/>
                  <w:jc w:val="right"/>
                  <w:rPr>
                    <w:szCs w:val="21"/>
                  </w:rPr>
                </w:pPr>
              </w:p>
            </w:tc>
            <w:tc>
              <w:tcPr>
                <w:tcW w:w="734" w:type="pct"/>
              </w:tcPr>
              <w:p w14:paraId="0D3B08EE" w14:textId="77777777" w:rsidR="00471D53" w:rsidRDefault="00B664AF" w:rsidP="00471D53">
                <w:pPr>
                  <w:ind w:right="5"/>
                  <w:jc w:val="right"/>
                  <w:rPr>
                    <w:szCs w:val="21"/>
                  </w:rPr>
                </w:pPr>
              </w:p>
            </w:tc>
          </w:tr>
          <w:tr w:rsidR="00471D53" w14:paraId="31D28ABB" w14:textId="77777777" w:rsidTr="00471D53">
            <w:trPr>
              <w:cantSplit/>
            </w:trPr>
            <w:sdt>
              <w:sdtPr>
                <w:tag w:val="_PLD_d8bc5940917d41038fd2cbcaf9c8bdc5"/>
                <w:id w:val="656581729"/>
                <w:lock w:val="sdtLocked"/>
              </w:sdtPr>
              <w:sdtEndPr/>
              <w:sdtContent>
                <w:tc>
                  <w:tcPr>
                    <w:tcW w:w="532" w:type="pct"/>
                  </w:tcPr>
                  <w:p w14:paraId="1D2D5331" w14:textId="77777777" w:rsidR="00471D53" w:rsidRDefault="004F686E" w:rsidP="00471D53">
                    <w:pPr>
                      <w:autoSpaceDE w:val="0"/>
                      <w:autoSpaceDN w:val="0"/>
                      <w:adjustRightInd w:val="0"/>
                    </w:pPr>
                    <w:r>
                      <w:rPr>
                        <w:rFonts w:hint="eastAsia"/>
                      </w:rPr>
                      <w:t>合同履约成本</w:t>
                    </w:r>
                  </w:p>
                </w:tc>
              </w:sdtContent>
            </w:sdt>
            <w:tc>
              <w:tcPr>
                <w:tcW w:w="733" w:type="pct"/>
              </w:tcPr>
              <w:p w14:paraId="45FE830A" w14:textId="77777777" w:rsidR="00471D53" w:rsidRDefault="00B664AF" w:rsidP="00471D53">
                <w:pPr>
                  <w:ind w:right="5"/>
                  <w:jc w:val="right"/>
                  <w:rPr>
                    <w:szCs w:val="21"/>
                  </w:rPr>
                </w:pPr>
              </w:p>
            </w:tc>
            <w:tc>
              <w:tcPr>
                <w:tcW w:w="800" w:type="pct"/>
              </w:tcPr>
              <w:p w14:paraId="4FF5F917" w14:textId="77777777" w:rsidR="00471D53" w:rsidRDefault="00B664AF" w:rsidP="00471D53">
                <w:pPr>
                  <w:ind w:right="5"/>
                  <w:jc w:val="right"/>
                  <w:rPr>
                    <w:szCs w:val="21"/>
                  </w:rPr>
                </w:pPr>
              </w:p>
            </w:tc>
            <w:tc>
              <w:tcPr>
                <w:tcW w:w="734" w:type="pct"/>
              </w:tcPr>
              <w:p w14:paraId="2A61B4C2" w14:textId="77777777" w:rsidR="00471D53" w:rsidRDefault="00B664AF" w:rsidP="00471D53">
                <w:pPr>
                  <w:ind w:right="5"/>
                  <w:jc w:val="right"/>
                  <w:rPr>
                    <w:szCs w:val="21"/>
                  </w:rPr>
                </w:pPr>
              </w:p>
            </w:tc>
            <w:tc>
              <w:tcPr>
                <w:tcW w:w="734" w:type="pct"/>
              </w:tcPr>
              <w:p w14:paraId="0160424F" w14:textId="77777777" w:rsidR="00471D53" w:rsidRDefault="00B664AF" w:rsidP="00471D53">
                <w:pPr>
                  <w:ind w:right="5"/>
                  <w:jc w:val="right"/>
                  <w:rPr>
                    <w:szCs w:val="21"/>
                  </w:rPr>
                </w:pPr>
              </w:p>
            </w:tc>
            <w:tc>
              <w:tcPr>
                <w:tcW w:w="732" w:type="pct"/>
              </w:tcPr>
              <w:p w14:paraId="64DC7D48" w14:textId="77777777" w:rsidR="00471D53" w:rsidRDefault="00B664AF" w:rsidP="00471D53">
                <w:pPr>
                  <w:ind w:right="5"/>
                  <w:jc w:val="right"/>
                  <w:rPr>
                    <w:szCs w:val="21"/>
                  </w:rPr>
                </w:pPr>
              </w:p>
            </w:tc>
            <w:tc>
              <w:tcPr>
                <w:tcW w:w="734" w:type="pct"/>
              </w:tcPr>
              <w:p w14:paraId="79BF0FEA" w14:textId="77777777" w:rsidR="00471D53" w:rsidRDefault="00B664AF" w:rsidP="00471D53">
                <w:pPr>
                  <w:ind w:right="5"/>
                  <w:jc w:val="right"/>
                  <w:rPr>
                    <w:szCs w:val="21"/>
                  </w:rPr>
                </w:pPr>
              </w:p>
            </w:tc>
          </w:tr>
          <w:sdt>
            <w:sdtPr>
              <w:rPr>
                <w:szCs w:val="21"/>
              </w:rPr>
              <w:alias w:val="其他存货"/>
              <w:tag w:val="_TUP_c1ac2d40d50a4131b1b1c2720e9aef48"/>
              <w:id w:val="-2124762120"/>
              <w:lock w:val="sdtLocked"/>
            </w:sdtPr>
            <w:sdtEndPr>
              <w:rPr>
                <w:rFonts w:hint="eastAsia"/>
              </w:rPr>
            </w:sdtEndPr>
            <w:sdtContent>
              <w:tr w:rsidR="00471D53" w14:paraId="4087DC59" w14:textId="77777777" w:rsidTr="00471D53">
                <w:trPr>
                  <w:cantSplit/>
                </w:trPr>
                <w:tc>
                  <w:tcPr>
                    <w:tcW w:w="532" w:type="pct"/>
                  </w:tcPr>
                  <w:p w14:paraId="7520F22F" w14:textId="77777777" w:rsidR="00471D53" w:rsidRDefault="004F686E" w:rsidP="00471D53">
                    <w:pPr>
                      <w:ind w:right="5"/>
                      <w:rPr>
                        <w:szCs w:val="21"/>
                      </w:rPr>
                    </w:pPr>
                    <w:r>
                      <w:t>发出商品</w:t>
                    </w:r>
                  </w:p>
                </w:tc>
                <w:tc>
                  <w:tcPr>
                    <w:tcW w:w="733" w:type="pct"/>
                  </w:tcPr>
                  <w:p w14:paraId="0BF7F581" w14:textId="77777777" w:rsidR="00471D53" w:rsidRDefault="004F686E" w:rsidP="00471D53">
                    <w:pPr>
                      <w:ind w:right="5"/>
                      <w:jc w:val="right"/>
                      <w:rPr>
                        <w:szCs w:val="21"/>
                      </w:rPr>
                    </w:pPr>
                    <w:r>
                      <w:t>9,123,814.32</w:t>
                    </w:r>
                  </w:p>
                </w:tc>
                <w:tc>
                  <w:tcPr>
                    <w:tcW w:w="800" w:type="pct"/>
                  </w:tcPr>
                  <w:p w14:paraId="4292163A" w14:textId="77777777" w:rsidR="00471D53" w:rsidRDefault="004F686E" w:rsidP="00471D53">
                    <w:pPr>
                      <w:ind w:right="5"/>
                      <w:jc w:val="right"/>
                      <w:rPr>
                        <w:szCs w:val="21"/>
                      </w:rPr>
                    </w:pPr>
                    <w:r>
                      <w:t>0.00</w:t>
                    </w:r>
                  </w:p>
                </w:tc>
                <w:tc>
                  <w:tcPr>
                    <w:tcW w:w="734" w:type="pct"/>
                  </w:tcPr>
                  <w:p w14:paraId="796B8A08" w14:textId="77777777" w:rsidR="00471D53" w:rsidRDefault="004F686E" w:rsidP="00471D53">
                    <w:pPr>
                      <w:ind w:right="5"/>
                      <w:jc w:val="right"/>
                      <w:rPr>
                        <w:szCs w:val="21"/>
                      </w:rPr>
                    </w:pPr>
                    <w:r>
                      <w:t>9,123,814.32</w:t>
                    </w:r>
                  </w:p>
                </w:tc>
                <w:tc>
                  <w:tcPr>
                    <w:tcW w:w="734" w:type="pct"/>
                  </w:tcPr>
                  <w:p w14:paraId="2D9B4261" w14:textId="77777777" w:rsidR="00471D53" w:rsidRDefault="004F686E" w:rsidP="00471D53">
                    <w:pPr>
                      <w:ind w:right="5"/>
                      <w:jc w:val="right"/>
                      <w:rPr>
                        <w:szCs w:val="21"/>
                      </w:rPr>
                    </w:pPr>
                    <w:r>
                      <w:t>3,776,790.28</w:t>
                    </w:r>
                  </w:p>
                </w:tc>
                <w:tc>
                  <w:tcPr>
                    <w:tcW w:w="732" w:type="pct"/>
                  </w:tcPr>
                  <w:p w14:paraId="384E4540" w14:textId="77777777" w:rsidR="00471D53" w:rsidRDefault="004F686E" w:rsidP="00471D53">
                    <w:pPr>
                      <w:ind w:right="5"/>
                      <w:jc w:val="right"/>
                      <w:rPr>
                        <w:szCs w:val="21"/>
                      </w:rPr>
                    </w:pPr>
                    <w:r>
                      <w:t>26,218.03</w:t>
                    </w:r>
                  </w:p>
                </w:tc>
                <w:tc>
                  <w:tcPr>
                    <w:tcW w:w="734" w:type="pct"/>
                  </w:tcPr>
                  <w:p w14:paraId="2DC38311" w14:textId="77777777" w:rsidR="00471D53" w:rsidRDefault="004F686E" w:rsidP="00471D53">
                    <w:pPr>
                      <w:ind w:right="5"/>
                      <w:jc w:val="right"/>
                      <w:rPr>
                        <w:szCs w:val="21"/>
                      </w:rPr>
                    </w:pPr>
                    <w:r>
                      <w:t>3,750,572.25</w:t>
                    </w:r>
                  </w:p>
                </w:tc>
              </w:tr>
            </w:sdtContent>
          </w:sdt>
          <w:sdt>
            <w:sdtPr>
              <w:rPr>
                <w:szCs w:val="21"/>
              </w:rPr>
              <w:alias w:val="其他存货"/>
              <w:tag w:val="_TUP_c1ac2d40d50a4131b1b1c2720e9aef48"/>
              <w:id w:val="-1856103858"/>
              <w:lock w:val="sdtLocked"/>
            </w:sdtPr>
            <w:sdtEndPr>
              <w:rPr>
                <w:rFonts w:hint="eastAsia"/>
              </w:rPr>
            </w:sdtEndPr>
            <w:sdtContent>
              <w:tr w:rsidR="00471D53" w14:paraId="732DF398" w14:textId="77777777" w:rsidTr="00471D53">
                <w:trPr>
                  <w:cantSplit/>
                </w:trPr>
                <w:tc>
                  <w:tcPr>
                    <w:tcW w:w="532" w:type="pct"/>
                  </w:tcPr>
                  <w:p w14:paraId="72D3B445" w14:textId="77777777" w:rsidR="00471D53" w:rsidRDefault="00B664AF" w:rsidP="00471D53">
                    <w:pPr>
                      <w:ind w:right="5"/>
                      <w:rPr>
                        <w:szCs w:val="21"/>
                      </w:rPr>
                    </w:pPr>
                  </w:p>
                </w:tc>
                <w:tc>
                  <w:tcPr>
                    <w:tcW w:w="733" w:type="pct"/>
                  </w:tcPr>
                  <w:p w14:paraId="3EB7AE15" w14:textId="77777777" w:rsidR="00471D53" w:rsidRDefault="00B664AF" w:rsidP="00471D53">
                    <w:pPr>
                      <w:ind w:right="5"/>
                      <w:jc w:val="right"/>
                      <w:rPr>
                        <w:szCs w:val="21"/>
                      </w:rPr>
                    </w:pPr>
                  </w:p>
                </w:tc>
                <w:tc>
                  <w:tcPr>
                    <w:tcW w:w="800" w:type="pct"/>
                  </w:tcPr>
                  <w:p w14:paraId="279E2E94" w14:textId="77777777" w:rsidR="00471D53" w:rsidRDefault="00B664AF" w:rsidP="00471D53">
                    <w:pPr>
                      <w:ind w:right="5"/>
                      <w:jc w:val="right"/>
                      <w:rPr>
                        <w:szCs w:val="21"/>
                      </w:rPr>
                    </w:pPr>
                  </w:p>
                </w:tc>
                <w:tc>
                  <w:tcPr>
                    <w:tcW w:w="734" w:type="pct"/>
                  </w:tcPr>
                  <w:p w14:paraId="7A6D9A29" w14:textId="77777777" w:rsidR="00471D53" w:rsidRDefault="00B664AF" w:rsidP="00471D53">
                    <w:pPr>
                      <w:ind w:right="5"/>
                      <w:jc w:val="right"/>
                      <w:rPr>
                        <w:szCs w:val="21"/>
                      </w:rPr>
                    </w:pPr>
                  </w:p>
                </w:tc>
                <w:tc>
                  <w:tcPr>
                    <w:tcW w:w="734" w:type="pct"/>
                  </w:tcPr>
                  <w:p w14:paraId="59C01226" w14:textId="77777777" w:rsidR="00471D53" w:rsidRDefault="00B664AF" w:rsidP="00471D53">
                    <w:pPr>
                      <w:ind w:right="5"/>
                      <w:jc w:val="right"/>
                      <w:rPr>
                        <w:szCs w:val="21"/>
                      </w:rPr>
                    </w:pPr>
                  </w:p>
                </w:tc>
                <w:tc>
                  <w:tcPr>
                    <w:tcW w:w="732" w:type="pct"/>
                  </w:tcPr>
                  <w:p w14:paraId="3885345D" w14:textId="77777777" w:rsidR="00471D53" w:rsidRDefault="00B664AF" w:rsidP="00471D53">
                    <w:pPr>
                      <w:ind w:right="5"/>
                      <w:jc w:val="right"/>
                      <w:rPr>
                        <w:szCs w:val="21"/>
                      </w:rPr>
                    </w:pPr>
                  </w:p>
                </w:tc>
                <w:tc>
                  <w:tcPr>
                    <w:tcW w:w="734" w:type="pct"/>
                  </w:tcPr>
                  <w:p w14:paraId="6936B796" w14:textId="77777777" w:rsidR="00471D53" w:rsidRDefault="00B664AF" w:rsidP="00471D53">
                    <w:pPr>
                      <w:ind w:right="5"/>
                      <w:jc w:val="right"/>
                      <w:rPr>
                        <w:szCs w:val="21"/>
                      </w:rPr>
                    </w:pPr>
                  </w:p>
                </w:tc>
              </w:tr>
            </w:sdtContent>
          </w:sdt>
          <w:tr w:rsidR="00471D53" w14:paraId="70B9BC1F" w14:textId="77777777" w:rsidTr="00471D53">
            <w:trPr>
              <w:cantSplit/>
            </w:trPr>
            <w:sdt>
              <w:sdtPr>
                <w:tag w:val="_PLD_c7f765ab16d04ed0965df8d114b73cb6"/>
                <w:id w:val="1736739976"/>
                <w:lock w:val="sdtLocked"/>
              </w:sdtPr>
              <w:sdtEndPr/>
              <w:sdtContent>
                <w:tc>
                  <w:tcPr>
                    <w:tcW w:w="532" w:type="pct"/>
                  </w:tcPr>
                  <w:p w14:paraId="6DBE2A0B" w14:textId="77777777" w:rsidR="00471D53" w:rsidRDefault="004F686E" w:rsidP="00471D53">
                    <w:pPr>
                      <w:ind w:right="5"/>
                      <w:jc w:val="center"/>
                      <w:rPr>
                        <w:szCs w:val="21"/>
                      </w:rPr>
                    </w:pPr>
                    <w:r>
                      <w:rPr>
                        <w:rFonts w:hint="eastAsia"/>
                        <w:szCs w:val="21"/>
                      </w:rPr>
                      <w:t>合计</w:t>
                    </w:r>
                  </w:p>
                </w:tc>
              </w:sdtContent>
            </w:sdt>
            <w:tc>
              <w:tcPr>
                <w:tcW w:w="733" w:type="pct"/>
              </w:tcPr>
              <w:p w14:paraId="2E7766EB" w14:textId="77777777" w:rsidR="00471D53" w:rsidRDefault="004F686E" w:rsidP="00471D53">
                <w:pPr>
                  <w:ind w:right="5"/>
                  <w:jc w:val="right"/>
                  <w:rPr>
                    <w:szCs w:val="21"/>
                  </w:rPr>
                </w:pPr>
                <w:r>
                  <w:t>403,221,157.20</w:t>
                </w:r>
              </w:p>
            </w:tc>
            <w:tc>
              <w:tcPr>
                <w:tcW w:w="800" w:type="pct"/>
              </w:tcPr>
              <w:p w14:paraId="35B420B6" w14:textId="77777777" w:rsidR="00471D53" w:rsidRDefault="004F686E" w:rsidP="00471D53">
                <w:pPr>
                  <w:ind w:right="5"/>
                  <w:jc w:val="right"/>
                  <w:rPr>
                    <w:szCs w:val="21"/>
                  </w:rPr>
                </w:pPr>
                <w:r>
                  <w:t>37,780,653.45</w:t>
                </w:r>
              </w:p>
            </w:tc>
            <w:tc>
              <w:tcPr>
                <w:tcW w:w="734" w:type="pct"/>
              </w:tcPr>
              <w:p w14:paraId="5A57A9B4" w14:textId="77777777" w:rsidR="00471D53" w:rsidRDefault="004F686E" w:rsidP="00471D53">
                <w:pPr>
                  <w:ind w:right="5"/>
                  <w:jc w:val="right"/>
                  <w:rPr>
                    <w:szCs w:val="21"/>
                  </w:rPr>
                </w:pPr>
                <w:r>
                  <w:t>365,440,503.75</w:t>
                </w:r>
              </w:p>
            </w:tc>
            <w:tc>
              <w:tcPr>
                <w:tcW w:w="734" w:type="pct"/>
              </w:tcPr>
              <w:p w14:paraId="70163215" w14:textId="77777777" w:rsidR="00471D53" w:rsidRDefault="004F686E" w:rsidP="00471D53">
                <w:pPr>
                  <w:ind w:right="5"/>
                  <w:jc w:val="right"/>
                  <w:rPr>
                    <w:szCs w:val="21"/>
                  </w:rPr>
                </w:pPr>
                <w:r>
                  <w:t>339,697,461.21</w:t>
                </w:r>
              </w:p>
            </w:tc>
            <w:tc>
              <w:tcPr>
                <w:tcW w:w="732" w:type="pct"/>
              </w:tcPr>
              <w:p w14:paraId="1E8C4BB6" w14:textId="77777777" w:rsidR="00471D53" w:rsidRDefault="004F686E" w:rsidP="00471D53">
                <w:pPr>
                  <w:ind w:right="5"/>
                  <w:jc w:val="right"/>
                  <w:rPr>
                    <w:szCs w:val="21"/>
                  </w:rPr>
                </w:pPr>
                <w:r>
                  <w:t>65,190,624.54</w:t>
                </w:r>
              </w:p>
            </w:tc>
            <w:tc>
              <w:tcPr>
                <w:tcW w:w="734" w:type="pct"/>
              </w:tcPr>
              <w:p w14:paraId="0741572B" w14:textId="77777777" w:rsidR="00471D53" w:rsidRDefault="004F686E" w:rsidP="00471D53">
                <w:pPr>
                  <w:ind w:right="5"/>
                  <w:jc w:val="right"/>
                  <w:rPr>
                    <w:szCs w:val="21"/>
                  </w:rPr>
                </w:pPr>
                <w:r>
                  <w:t>274,506,836.67</w:t>
                </w:r>
              </w:p>
            </w:tc>
          </w:tr>
        </w:tbl>
        <w:p w14:paraId="2072F79C" w14:textId="77777777" w:rsidR="00471D53" w:rsidRDefault="00B664AF"/>
        <w:p w14:paraId="7591E95F" w14:textId="77777777" w:rsidR="00471D53" w:rsidRDefault="00B664AF" w:rsidP="00471D53">
          <w:pPr>
            <w:pStyle w:val="afffff8"/>
            <w:tabs>
              <w:tab w:val="left" w:pos="630"/>
            </w:tabs>
            <w:rPr>
              <w:szCs w:val="21"/>
            </w:rPr>
          </w:pPr>
        </w:p>
      </w:sdtContent>
    </w:sdt>
    <w:bookmarkEnd w:id="135" w:displacedByCustomXml="prev"/>
    <w:bookmarkStart w:id="136" w:name="_Hlk10470459" w:displacedByCustomXml="next"/>
    <w:sdt>
      <w:sdtPr>
        <w:rPr>
          <w:rFonts w:ascii="宋体" w:hAnsi="宋体" w:cs="宋体" w:hint="eastAsia"/>
          <w:b w:val="0"/>
          <w:bCs w:val="0"/>
          <w:kern w:val="0"/>
          <w:szCs w:val="24"/>
        </w:rPr>
        <w:alias w:val="模块:存货跌价准备"/>
        <w:tag w:val="_GBC_d00b46c41ac84794bd1f7b10e97923a0"/>
        <w:id w:val="1160199212"/>
        <w:lock w:val="sdtLocked"/>
        <w:placeholder>
          <w:docPart w:val="GBC22222222222222222222222222222"/>
        </w:placeholder>
      </w:sdtPr>
      <w:sdtEndPr/>
      <w:sdtContent>
        <w:p w14:paraId="12839E63" w14:textId="77777777" w:rsidR="00471D53" w:rsidRDefault="004F686E" w:rsidP="004F686E">
          <w:pPr>
            <w:pStyle w:val="afffff8"/>
            <w:numPr>
              <w:ilvl w:val="0"/>
              <w:numId w:val="64"/>
            </w:numPr>
            <w:tabs>
              <w:tab w:val="left" w:pos="630"/>
            </w:tabs>
            <w:rPr>
              <w:rFonts w:ascii="宋体" w:hAnsi="宋体"/>
            </w:rPr>
          </w:pPr>
          <w:r>
            <w:rPr>
              <w:rFonts w:ascii="宋体" w:hAnsi="宋体" w:hint="eastAsia"/>
            </w:rPr>
            <w:t>存货跌价准备及合同履约成本减值准备</w:t>
          </w:r>
        </w:p>
        <w:sdt>
          <w:sdtPr>
            <w:alias w:val="是否适用：存货跌价准备[双击切换]"/>
            <w:tag w:val="_GBC_b9bd4a0fa089468ebded8bb61a86fbae"/>
            <w:id w:val="-2093617673"/>
            <w:lock w:val="sdtLocked"/>
            <w:placeholder>
              <w:docPart w:val="GBC22222222222222222222222222222"/>
            </w:placeholder>
          </w:sdtPr>
          <w:sdtEndPr/>
          <w:sdtContent>
            <w:p w14:paraId="5E6009BD"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CE227FA" w14:textId="5C945FAC" w:rsidR="00471D53" w:rsidRDefault="004F686E">
          <w:pPr>
            <w:jc w:val="right"/>
            <w:rPr>
              <w:szCs w:val="21"/>
            </w:rPr>
          </w:pPr>
          <w:r>
            <w:rPr>
              <w:rFonts w:hint="eastAsia"/>
              <w:szCs w:val="21"/>
            </w:rPr>
            <w:t>单位：</w:t>
          </w:r>
          <w:sdt>
            <w:sdtPr>
              <w:rPr>
                <w:rFonts w:hint="eastAsia"/>
                <w:szCs w:val="21"/>
              </w:rPr>
              <w:alias w:val="单位：存货跌价准备"/>
              <w:tag w:val="_GBC_42225a9505da4f598594afea08f9738b"/>
              <w:id w:val="-19592429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存货跌价准备"/>
              <w:tag w:val="_GBC_4de434e29d00482b8b3175d1e7874ff2"/>
              <w:id w:val="15478758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
            <w:gridCol w:w="1516"/>
            <w:gridCol w:w="1416"/>
            <w:gridCol w:w="952"/>
            <w:gridCol w:w="1516"/>
            <w:gridCol w:w="955"/>
            <w:gridCol w:w="1516"/>
          </w:tblGrid>
          <w:tr w:rsidR="00471D53" w14:paraId="6212BD8E" w14:textId="77777777" w:rsidTr="00471D53">
            <w:trPr>
              <w:trHeight w:val="238"/>
            </w:trPr>
            <w:sdt>
              <w:sdtPr>
                <w:tag w:val="_PLD_08d27e088675483b81e6b09cfaf565b8"/>
                <w:id w:val="202145216"/>
                <w:lock w:val="sdtLocked"/>
              </w:sdtPr>
              <w:sdtEndPr/>
              <w:sdtContent>
                <w:tc>
                  <w:tcPr>
                    <w:tcW w:w="568" w:type="pct"/>
                    <w:vMerge w:val="restart"/>
                    <w:tcBorders>
                      <w:top w:val="single" w:sz="4" w:space="0" w:color="auto"/>
                      <w:left w:val="single" w:sz="4" w:space="0" w:color="auto"/>
                      <w:bottom w:val="single" w:sz="4" w:space="0" w:color="auto"/>
                      <w:right w:val="single" w:sz="4" w:space="0" w:color="auto"/>
                    </w:tcBorders>
                    <w:vAlign w:val="center"/>
                  </w:tcPr>
                  <w:p w14:paraId="0F0FC588" w14:textId="77777777" w:rsidR="00471D53" w:rsidRDefault="004F686E" w:rsidP="00471D53">
                    <w:pPr>
                      <w:jc w:val="center"/>
                      <w:rPr>
                        <w:szCs w:val="21"/>
                      </w:rPr>
                    </w:pPr>
                    <w:r>
                      <w:rPr>
                        <w:rFonts w:hint="eastAsia"/>
                        <w:szCs w:val="21"/>
                      </w:rPr>
                      <w:t>项目</w:t>
                    </w:r>
                  </w:p>
                </w:tc>
              </w:sdtContent>
            </w:sdt>
            <w:sdt>
              <w:sdtPr>
                <w:tag w:val="_PLD_631ae60526c9437f842913d632c47f24"/>
                <w:id w:val="-1865968906"/>
                <w:lock w:val="sdtLocked"/>
              </w:sdtPr>
              <w:sdtEndPr/>
              <w:sdtContent>
                <w:tc>
                  <w:tcPr>
                    <w:tcW w:w="838" w:type="pct"/>
                    <w:vMerge w:val="restart"/>
                    <w:tcBorders>
                      <w:top w:val="single" w:sz="4" w:space="0" w:color="auto"/>
                      <w:left w:val="single" w:sz="4" w:space="0" w:color="auto"/>
                      <w:bottom w:val="single" w:sz="4" w:space="0" w:color="auto"/>
                      <w:right w:val="single" w:sz="4" w:space="0" w:color="auto"/>
                    </w:tcBorders>
                    <w:vAlign w:val="center"/>
                  </w:tcPr>
                  <w:p w14:paraId="760FD3F9" w14:textId="77777777" w:rsidR="00471D53" w:rsidRDefault="004F686E" w:rsidP="00471D53">
                    <w:pPr>
                      <w:jc w:val="center"/>
                      <w:rPr>
                        <w:szCs w:val="21"/>
                      </w:rPr>
                    </w:pPr>
                    <w:r>
                      <w:rPr>
                        <w:rFonts w:hint="eastAsia"/>
                        <w:szCs w:val="21"/>
                      </w:rPr>
                      <w:t>期初余额</w:t>
                    </w:r>
                  </w:p>
                </w:tc>
              </w:sdtContent>
            </w:sdt>
            <w:sdt>
              <w:sdtPr>
                <w:tag w:val="_PLD_bc39054479074b8ab34cb8519780a5f1"/>
                <w:id w:val="1474792383"/>
                <w:lock w:val="sdtLocked"/>
              </w:sdtPr>
              <w:sdtEndPr/>
              <w:sdtContent>
                <w:tc>
                  <w:tcPr>
                    <w:tcW w:w="1350" w:type="pct"/>
                    <w:gridSpan w:val="2"/>
                    <w:tcBorders>
                      <w:top w:val="single" w:sz="4" w:space="0" w:color="auto"/>
                      <w:left w:val="single" w:sz="4" w:space="0" w:color="auto"/>
                      <w:right w:val="single" w:sz="4" w:space="0" w:color="auto"/>
                    </w:tcBorders>
                    <w:vAlign w:val="center"/>
                  </w:tcPr>
                  <w:p w14:paraId="4210B069" w14:textId="77777777" w:rsidR="00471D53" w:rsidRDefault="004F686E" w:rsidP="00471D53">
                    <w:pPr>
                      <w:jc w:val="center"/>
                      <w:rPr>
                        <w:szCs w:val="21"/>
                      </w:rPr>
                    </w:pPr>
                    <w:r>
                      <w:rPr>
                        <w:rFonts w:hint="eastAsia"/>
                        <w:szCs w:val="21"/>
                      </w:rPr>
                      <w:t>本期增加金额</w:t>
                    </w:r>
                  </w:p>
                </w:tc>
              </w:sdtContent>
            </w:sdt>
            <w:sdt>
              <w:sdtPr>
                <w:tag w:val="_PLD_a4a235b43e524c0c98a604df05693747"/>
                <w:id w:val="2073462231"/>
                <w:lock w:val="sdtLocked"/>
              </w:sdtPr>
              <w:sdtEndPr/>
              <w:sdtContent>
                <w:tc>
                  <w:tcPr>
                    <w:tcW w:w="1406" w:type="pct"/>
                    <w:gridSpan w:val="2"/>
                    <w:tcBorders>
                      <w:top w:val="single" w:sz="4" w:space="0" w:color="auto"/>
                      <w:left w:val="single" w:sz="4" w:space="0" w:color="auto"/>
                      <w:right w:val="single" w:sz="4" w:space="0" w:color="auto"/>
                    </w:tcBorders>
                    <w:vAlign w:val="center"/>
                  </w:tcPr>
                  <w:p w14:paraId="342F9642" w14:textId="77777777" w:rsidR="00471D53" w:rsidRDefault="004F686E" w:rsidP="00471D53">
                    <w:pPr>
                      <w:jc w:val="center"/>
                      <w:rPr>
                        <w:szCs w:val="21"/>
                      </w:rPr>
                    </w:pPr>
                    <w:r>
                      <w:rPr>
                        <w:rFonts w:hint="eastAsia"/>
                        <w:szCs w:val="21"/>
                      </w:rPr>
                      <w:t>本期减少金额</w:t>
                    </w:r>
                  </w:p>
                </w:tc>
              </w:sdtContent>
            </w:sdt>
            <w:sdt>
              <w:sdtPr>
                <w:tag w:val="_PLD_fcea706dd57f438c8205de888401e160"/>
                <w:id w:val="-592932968"/>
                <w:lock w:val="sdtLocked"/>
              </w:sdtPr>
              <w:sdtEndPr/>
              <w:sdtContent>
                <w:tc>
                  <w:tcPr>
                    <w:tcW w:w="838" w:type="pct"/>
                    <w:vMerge w:val="restart"/>
                    <w:tcBorders>
                      <w:top w:val="single" w:sz="4" w:space="0" w:color="auto"/>
                      <w:left w:val="single" w:sz="4" w:space="0" w:color="auto"/>
                      <w:bottom w:val="single" w:sz="4" w:space="0" w:color="auto"/>
                      <w:right w:val="single" w:sz="4" w:space="0" w:color="auto"/>
                    </w:tcBorders>
                    <w:vAlign w:val="center"/>
                  </w:tcPr>
                  <w:p w14:paraId="12973894" w14:textId="77777777" w:rsidR="00471D53" w:rsidRDefault="004F686E" w:rsidP="00471D53">
                    <w:pPr>
                      <w:jc w:val="center"/>
                      <w:rPr>
                        <w:szCs w:val="21"/>
                      </w:rPr>
                    </w:pPr>
                    <w:r>
                      <w:rPr>
                        <w:rFonts w:hint="eastAsia"/>
                        <w:szCs w:val="21"/>
                      </w:rPr>
                      <w:t>期末余额</w:t>
                    </w:r>
                  </w:p>
                </w:tc>
              </w:sdtContent>
            </w:sdt>
          </w:tr>
          <w:tr w:rsidR="00471D53" w14:paraId="58A8A518" w14:textId="77777777" w:rsidTr="00471D53">
            <w:trPr>
              <w:trHeight w:val="301"/>
            </w:trPr>
            <w:tc>
              <w:tcPr>
                <w:tcW w:w="568" w:type="pct"/>
                <w:vMerge/>
                <w:tcBorders>
                  <w:top w:val="single" w:sz="4" w:space="0" w:color="auto"/>
                  <w:left w:val="single" w:sz="4" w:space="0" w:color="auto"/>
                  <w:bottom w:val="single" w:sz="4" w:space="0" w:color="auto"/>
                  <w:right w:val="single" w:sz="4" w:space="0" w:color="auto"/>
                </w:tcBorders>
              </w:tcPr>
              <w:p w14:paraId="03FED6CB" w14:textId="77777777" w:rsidR="00471D53" w:rsidRDefault="00B664AF" w:rsidP="00471D53">
                <w:pPr>
                  <w:jc w:val="center"/>
                  <w:rPr>
                    <w:szCs w:val="21"/>
                  </w:rPr>
                </w:pPr>
              </w:p>
            </w:tc>
            <w:tc>
              <w:tcPr>
                <w:tcW w:w="838" w:type="pct"/>
                <w:vMerge/>
                <w:tcBorders>
                  <w:top w:val="single" w:sz="4" w:space="0" w:color="auto"/>
                  <w:left w:val="single" w:sz="4" w:space="0" w:color="auto"/>
                  <w:bottom w:val="single" w:sz="4" w:space="0" w:color="auto"/>
                  <w:right w:val="single" w:sz="4" w:space="0" w:color="auto"/>
                </w:tcBorders>
              </w:tcPr>
              <w:p w14:paraId="6282D3EE" w14:textId="77777777" w:rsidR="00471D53" w:rsidRDefault="00B664AF" w:rsidP="00471D53">
                <w:pPr>
                  <w:jc w:val="center"/>
                  <w:rPr>
                    <w:szCs w:val="21"/>
                  </w:rPr>
                </w:pPr>
              </w:p>
            </w:tc>
            <w:sdt>
              <w:sdtPr>
                <w:tag w:val="_PLD_9355443eafab4f4a862c075a55d7e279"/>
                <w:id w:val="571482273"/>
                <w:lock w:val="sdtLocked"/>
              </w:sdtPr>
              <w:sdtEndPr/>
              <w:sdtContent>
                <w:tc>
                  <w:tcPr>
                    <w:tcW w:w="782" w:type="pct"/>
                    <w:tcBorders>
                      <w:left w:val="single" w:sz="4" w:space="0" w:color="auto"/>
                      <w:bottom w:val="single" w:sz="4" w:space="0" w:color="auto"/>
                      <w:right w:val="single" w:sz="4" w:space="0" w:color="auto"/>
                    </w:tcBorders>
                    <w:vAlign w:val="center"/>
                  </w:tcPr>
                  <w:p w14:paraId="5009356A" w14:textId="77777777" w:rsidR="00471D53" w:rsidRDefault="004F686E" w:rsidP="00471D53">
                    <w:pPr>
                      <w:jc w:val="center"/>
                      <w:rPr>
                        <w:szCs w:val="21"/>
                      </w:rPr>
                    </w:pPr>
                    <w:r>
                      <w:rPr>
                        <w:rFonts w:hint="eastAsia"/>
                        <w:szCs w:val="21"/>
                      </w:rPr>
                      <w:t>计提</w:t>
                    </w:r>
                  </w:p>
                </w:tc>
              </w:sdtContent>
            </w:sdt>
            <w:sdt>
              <w:sdtPr>
                <w:tag w:val="_PLD_e67cdd42c79245c980edb6a9d839ecd0"/>
                <w:id w:val="472564109"/>
                <w:lock w:val="sdtLocked"/>
              </w:sdtPr>
              <w:sdtEndPr/>
              <w:sdtContent>
                <w:tc>
                  <w:tcPr>
                    <w:tcW w:w="568" w:type="pct"/>
                    <w:tcBorders>
                      <w:left w:val="single" w:sz="4" w:space="0" w:color="auto"/>
                      <w:bottom w:val="single" w:sz="4" w:space="0" w:color="auto"/>
                      <w:right w:val="single" w:sz="4" w:space="0" w:color="auto"/>
                    </w:tcBorders>
                    <w:vAlign w:val="center"/>
                  </w:tcPr>
                  <w:p w14:paraId="19E4877B" w14:textId="77777777" w:rsidR="00471D53" w:rsidRDefault="004F686E" w:rsidP="00471D53">
                    <w:pPr>
                      <w:jc w:val="center"/>
                      <w:rPr>
                        <w:szCs w:val="21"/>
                      </w:rPr>
                    </w:pPr>
                    <w:r>
                      <w:rPr>
                        <w:rFonts w:hint="eastAsia"/>
                        <w:szCs w:val="21"/>
                      </w:rPr>
                      <w:t>其他</w:t>
                    </w:r>
                  </w:p>
                </w:tc>
              </w:sdtContent>
            </w:sdt>
            <w:sdt>
              <w:sdtPr>
                <w:tag w:val="_PLD_d2a5b409858c40b5a77dea8d7f7c8500"/>
                <w:id w:val="-1720202275"/>
                <w:lock w:val="sdtLocked"/>
              </w:sdtPr>
              <w:sdtEndPr/>
              <w:sdtContent>
                <w:tc>
                  <w:tcPr>
                    <w:tcW w:w="838" w:type="pct"/>
                    <w:tcBorders>
                      <w:top w:val="single" w:sz="4" w:space="0" w:color="auto"/>
                      <w:left w:val="single" w:sz="4" w:space="0" w:color="auto"/>
                      <w:bottom w:val="single" w:sz="4" w:space="0" w:color="auto"/>
                      <w:right w:val="single" w:sz="4" w:space="0" w:color="auto"/>
                    </w:tcBorders>
                    <w:vAlign w:val="center"/>
                  </w:tcPr>
                  <w:p w14:paraId="32D927B1" w14:textId="77777777" w:rsidR="00471D53" w:rsidRDefault="004F686E" w:rsidP="00471D53">
                    <w:pPr>
                      <w:jc w:val="center"/>
                      <w:rPr>
                        <w:szCs w:val="21"/>
                      </w:rPr>
                    </w:pPr>
                    <w:r>
                      <w:rPr>
                        <w:rFonts w:hint="eastAsia"/>
                        <w:szCs w:val="21"/>
                      </w:rPr>
                      <w:t>转回或转销</w:t>
                    </w:r>
                  </w:p>
                </w:tc>
              </w:sdtContent>
            </w:sdt>
            <w:sdt>
              <w:sdtPr>
                <w:tag w:val="_PLD_a0a39eeb19a049d18a777b0dc41ab25e"/>
                <w:id w:val="971181159"/>
                <w:lock w:val="sdtLocked"/>
              </w:sdtPr>
              <w:sdtEndPr/>
              <w:sdtContent>
                <w:tc>
                  <w:tcPr>
                    <w:tcW w:w="569" w:type="pct"/>
                    <w:tcBorders>
                      <w:top w:val="single" w:sz="4" w:space="0" w:color="auto"/>
                      <w:left w:val="single" w:sz="4" w:space="0" w:color="auto"/>
                      <w:bottom w:val="single" w:sz="4" w:space="0" w:color="auto"/>
                      <w:right w:val="single" w:sz="4" w:space="0" w:color="auto"/>
                    </w:tcBorders>
                    <w:vAlign w:val="center"/>
                  </w:tcPr>
                  <w:p w14:paraId="1B9255A9" w14:textId="77777777" w:rsidR="00471D53" w:rsidRDefault="004F686E" w:rsidP="00471D53">
                    <w:pPr>
                      <w:jc w:val="center"/>
                      <w:rPr>
                        <w:szCs w:val="21"/>
                      </w:rPr>
                    </w:pPr>
                    <w:r>
                      <w:rPr>
                        <w:rFonts w:hint="eastAsia"/>
                        <w:szCs w:val="21"/>
                      </w:rPr>
                      <w:t>其他</w:t>
                    </w:r>
                  </w:p>
                </w:tc>
              </w:sdtContent>
            </w:sdt>
            <w:tc>
              <w:tcPr>
                <w:tcW w:w="838" w:type="pct"/>
                <w:vMerge/>
                <w:tcBorders>
                  <w:top w:val="single" w:sz="4" w:space="0" w:color="auto"/>
                  <w:left w:val="single" w:sz="4" w:space="0" w:color="auto"/>
                  <w:bottom w:val="single" w:sz="4" w:space="0" w:color="auto"/>
                  <w:right w:val="single" w:sz="4" w:space="0" w:color="auto"/>
                </w:tcBorders>
                <w:vAlign w:val="center"/>
              </w:tcPr>
              <w:p w14:paraId="2A27EC80" w14:textId="77777777" w:rsidR="00471D53" w:rsidRDefault="00B664AF" w:rsidP="00471D53">
                <w:pPr>
                  <w:jc w:val="center"/>
                  <w:rPr>
                    <w:szCs w:val="21"/>
                  </w:rPr>
                </w:pPr>
              </w:p>
            </w:tc>
          </w:tr>
          <w:tr w:rsidR="00471D53" w14:paraId="70F81957" w14:textId="77777777" w:rsidTr="00471D53">
            <w:trPr>
              <w:trHeight w:val="20"/>
            </w:trPr>
            <w:sdt>
              <w:sdtPr>
                <w:tag w:val="_PLD_c1481e0b38784604952d1b8f75adf1fa"/>
                <w:id w:val="359243293"/>
                <w:lock w:val="sdtLocked"/>
              </w:sdtPr>
              <w:sdtEndPr/>
              <w:sdtContent>
                <w:tc>
                  <w:tcPr>
                    <w:tcW w:w="568" w:type="pct"/>
                    <w:tcBorders>
                      <w:top w:val="single" w:sz="4" w:space="0" w:color="auto"/>
                      <w:left w:val="single" w:sz="4" w:space="0" w:color="auto"/>
                      <w:bottom w:val="single" w:sz="4" w:space="0" w:color="auto"/>
                      <w:right w:val="single" w:sz="4" w:space="0" w:color="auto"/>
                    </w:tcBorders>
                  </w:tcPr>
                  <w:p w14:paraId="58D26534" w14:textId="77777777" w:rsidR="00471D53" w:rsidRDefault="004F686E" w:rsidP="00471D53">
                    <w:pPr>
                      <w:rPr>
                        <w:szCs w:val="21"/>
                      </w:rPr>
                    </w:pPr>
                    <w:r>
                      <w:rPr>
                        <w:rFonts w:hint="eastAsia"/>
                        <w:szCs w:val="21"/>
                      </w:rPr>
                      <w:t>原材料</w:t>
                    </w:r>
                  </w:p>
                </w:tc>
              </w:sdtContent>
            </w:sdt>
            <w:tc>
              <w:tcPr>
                <w:tcW w:w="838" w:type="pct"/>
                <w:tcBorders>
                  <w:top w:val="single" w:sz="4" w:space="0" w:color="auto"/>
                  <w:left w:val="single" w:sz="4" w:space="0" w:color="auto"/>
                  <w:bottom w:val="single" w:sz="4" w:space="0" w:color="auto"/>
                  <w:right w:val="single" w:sz="4" w:space="0" w:color="auto"/>
                </w:tcBorders>
                <w:vAlign w:val="center"/>
              </w:tcPr>
              <w:p w14:paraId="7B7CC9DA" w14:textId="77777777" w:rsidR="00471D53" w:rsidRDefault="004F686E" w:rsidP="00471D53">
                <w:pPr>
                  <w:jc w:val="right"/>
                  <w:rPr>
                    <w:sz w:val="20"/>
                    <w:szCs w:val="20"/>
                  </w:rPr>
                </w:pPr>
                <w:r>
                  <w:rPr>
                    <w:rFonts w:hint="eastAsia"/>
                    <w:sz w:val="20"/>
                    <w:szCs w:val="20"/>
                  </w:rPr>
                  <w:t>21,242,207.91</w:t>
                </w:r>
              </w:p>
            </w:tc>
            <w:tc>
              <w:tcPr>
                <w:tcW w:w="782" w:type="pct"/>
                <w:tcBorders>
                  <w:top w:val="single" w:sz="4" w:space="0" w:color="auto"/>
                  <w:left w:val="single" w:sz="4" w:space="0" w:color="auto"/>
                  <w:bottom w:val="single" w:sz="4" w:space="0" w:color="auto"/>
                  <w:right w:val="single" w:sz="4" w:space="0" w:color="auto"/>
                </w:tcBorders>
                <w:vAlign w:val="center"/>
              </w:tcPr>
              <w:p w14:paraId="7D58A1B5" w14:textId="77777777" w:rsidR="00471D53" w:rsidRDefault="004F686E" w:rsidP="00471D53">
                <w:pPr>
                  <w:jc w:val="right"/>
                  <w:rPr>
                    <w:sz w:val="20"/>
                    <w:szCs w:val="20"/>
                  </w:rPr>
                </w:pPr>
                <w:r>
                  <w:rPr>
                    <w:rFonts w:hint="eastAsia"/>
                    <w:sz w:val="20"/>
                    <w:szCs w:val="20"/>
                  </w:rPr>
                  <w:t>324,304.93</w:t>
                </w:r>
              </w:p>
            </w:tc>
            <w:tc>
              <w:tcPr>
                <w:tcW w:w="568" w:type="pct"/>
                <w:tcBorders>
                  <w:top w:val="single" w:sz="4" w:space="0" w:color="auto"/>
                  <w:left w:val="single" w:sz="4" w:space="0" w:color="auto"/>
                  <w:bottom w:val="single" w:sz="4" w:space="0" w:color="auto"/>
                  <w:right w:val="single" w:sz="4" w:space="0" w:color="auto"/>
                </w:tcBorders>
                <w:vAlign w:val="center"/>
              </w:tcPr>
              <w:p w14:paraId="4C40A426" w14:textId="77777777" w:rsidR="00471D53" w:rsidRDefault="004F686E" w:rsidP="00471D53">
                <w:pPr>
                  <w:autoSpaceDE w:val="0"/>
                  <w:autoSpaceDN w:val="0"/>
                  <w:jc w:val="right"/>
                  <w:rPr>
                    <w:rFonts w:cs="Calibri"/>
                    <w:sz w:val="20"/>
                    <w:szCs w:val="20"/>
                  </w:rPr>
                </w:pPr>
                <w:r>
                  <w:rPr>
                    <w:rFonts w:cs="Calibri" w:hint="eastAsia"/>
                    <w:sz w:val="20"/>
                    <w:szCs w:val="20"/>
                  </w:rPr>
                  <w:t>0.0</w:t>
                </w:r>
                <w:r>
                  <w:rPr>
                    <w:rFonts w:cs="Calibri"/>
                    <w:sz w:val="20"/>
                    <w:szCs w:val="20"/>
                  </w:rPr>
                  <w:t>0</w:t>
                </w:r>
              </w:p>
            </w:tc>
            <w:tc>
              <w:tcPr>
                <w:tcW w:w="838" w:type="pct"/>
                <w:tcBorders>
                  <w:top w:val="single" w:sz="4" w:space="0" w:color="auto"/>
                  <w:left w:val="single" w:sz="4" w:space="0" w:color="auto"/>
                  <w:bottom w:val="single" w:sz="4" w:space="0" w:color="auto"/>
                  <w:right w:val="single" w:sz="4" w:space="0" w:color="auto"/>
                </w:tcBorders>
                <w:vAlign w:val="center"/>
              </w:tcPr>
              <w:p w14:paraId="66E62855" w14:textId="77777777" w:rsidR="00471D53" w:rsidRDefault="004F686E" w:rsidP="00471D53">
                <w:pPr>
                  <w:jc w:val="right"/>
                  <w:rPr>
                    <w:sz w:val="20"/>
                    <w:szCs w:val="20"/>
                  </w:rPr>
                </w:pPr>
                <w:r>
                  <w:rPr>
                    <w:rFonts w:hint="eastAsia"/>
                    <w:sz w:val="20"/>
                    <w:szCs w:val="20"/>
                  </w:rPr>
                  <w:t>16,072,538.96</w:t>
                </w:r>
              </w:p>
            </w:tc>
            <w:tc>
              <w:tcPr>
                <w:tcW w:w="569" w:type="pct"/>
                <w:tcBorders>
                  <w:top w:val="single" w:sz="4" w:space="0" w:color="auto"/>
                  <w:left w:val="single" w:sz="4" w:space="0" w:color="auto"/>
                  <w:bottom w:val="single" w:sz="4" w:space="0" w:color="auto"/>
                  <w:right w:val="single" w:sz="4" w:space="0" w:color="auto"/>
                </w:tcBorders>
                <w:vAlign w:val="center"/>
              </w:tcPr>
              <w:p w14:paraId="26A63F9D" w14:textId="77777777" w:rsidR="00471D53" w:rsidRDefault="004F686E" w:rsidP="00471D53">
                <w:pPr>
                  <w:autoSpaceDE w:val="0"/>
                  <w:autoSpaceDN w:val="0"/>
                  <w:jc w:val="right"/>
                  <w:rPr>
                    <w:rFonts w:cs="Calibri"/>
                    <w:sz w:val="20"/>
                    <w:szCs w:val="20"/>
                  </w:rPr>
                </w:pPr>
                <w:r>
                  <w:rPr>
                    <w:rFonts w:cs="Calibri" w:hint="eastAsia"/>
                    <w:sz w:val="20"/>
                    <w:szCs w:val="20"/>
                  </w:rPr>
                  <w:t>0.0</w:t>
                </w:r>
                <w:r>
                  <w:rPr>
                    <w:rFonts w:cs="Calibri"/>
                    <w:sz w:val="20"/>
                    <w:szCs w:val="20"/>
                  </w:rPr>
                  <w:t>0</w:t>
                </w:r>
              </w:p>
            </w:tc>
            <w:tc>
              <w:tcPr>
                <w:tcW w:w="838" w:type="pct"/>
                <w:tcBorders>
                  <w:top w:val="single" w:sz="4" w:space="0" w:color="auto"/>
                  <w:left w:val="single" w:sz="4" w:space="0" w:color="auto"/>
                  <w:bottom w:val="single" w:sz="4" w:space="0" w:color="auto"/>
                  <w:right w:val="single" w:sz="4" w:space="0" w:color="auto"/>
                </w:tcBorders>
                <w:vAlign w:val="center"/>
              </w:tcPr>
              <w:p w14:paraId="52E331BE" w14:textId="77777777" w:rsidR="00471D53" w:rsidRDefault="004F686E" w:rsidP="00471D53">
                <w:pPr>
                  <w:jc w:val="right"/>
                  <w:rPr>
                    <w:sz w:val="20"/>
                    <w:szCs w:val="20"/>
                  </w:rPr>
                </w:pPr>
                <w:r>
                  <w:rPr>
                    <w:rFonts w:hint="eastAsia"/>
                    <w:sz w:val="20"/>
                    <w:szCs w:val="20"/>
                  </w:rPr>
                  <w:t>5,493,973.88</w:t>
                </w:r>
              </w:p>
            </w:tc>
          </w:tr>
          <w:tr w:rsidR="00471D53" w14:paraId="36794E0A" w14:textId="77777777" w:rsidTr="00471D53">
            <w:trPr>
              <w:trHeight w:val="20"/>
            </w:trPr>
            <w:sdt>
              <w:sdtPr>
                <w:tag w:val="_PLD_caee3bbcb5684298baf9a05a47151d5c"/>
                <w:id w:val="754481126"/>
                <w:lock w:val="sdtLocked"/>
              </w:sdtPr>
              <w:sdtEndPr/>
              <w:sdtContent>
                <w:tc>
                  <w:tcPr>
                    <w:tcW w:w="568" w:type="pct"/>
                    <w:tcBorders>
                      <w:top w:val="single" w:sz="4" w:space="0" w:color="auto"/>
                      <w:left w:val="single" w:sz="4" w:space="0" w:color="auto"/>
                      <w:bottom w:val="single" w:sz="4" w:space="0" w:color="auto"/>
                      <w:right w:val="single" w:sz="4" w:space="0" w:color="auto"/>
                    </w:tcBorders>
                  </w:tcPr>
                  <w:p w14:paraId="78F11E35" w14:textId="77777777" w:rsidR="00471D53" w:rsidRDefault="004F686E" w:rsidP="00471D53">
                    <w:pPr>
                      <w:rPr>
                        <w:szCs w:val="21"/>
                      </w:rPr>
                    </w:pPr>
                    <w:r>
                      <w:rPr>
                        <w:rFonts w:hint="eastAsia"/>
                        <w:szCs w:val="21"/>
                      </w:rPr>
                      <w:t>在产品</w:t>
                    </w:r>
                  </w:p>
                </w:tc>
              </w:sdtContent>
            </w:sdt>
            <w:tc>
              <w:tcPr>
                <w:tcW w:w="838" w:type="pct"/>
                <w:tcBorders>
                  <w:top w:val="single" w:sz="4" w:space="0" w:color="auto"/>
                  <w:left w:val="single" w:sz="4" w:space="0" w:color="auto"/>
                  <w:bottom w:val="single" w:sz="4" w:space="0" w:color="auto"/>
                  <w:right w:val="single" w:sz="4" w:space="0" w:color="auto"/>
                </w:tcBorders>
                <w:vAlign w:val="center"/>
              </w:tcPr>
              <w:p w14:paraId="7F7855C7" w14:textId="77777777" w:rsidR="00471D53" w:rsidRDefault="004F686E" w:rsidP="00471D53">
                <w:pPr>
                  <w:jc w:val="right"/>
                  <w:rPr>
                    <w:sz w:val="20"/>
                    <w:szCs w:val="20"/>
                  </w:rPr>
                </w:pPr>
                <w:r>
                  <w:rPr>
                    <w:rFonts w:hint="eastAsia"/>
                    <w:sz w:val="20"/>
                    <w:szCs w:val="20"/>
                  </w:rPr>
                  <w:t>36,338,595.65</w:t>
                </w:r>
              </w:p>
            </w:tc>
            <w:tc>
              <w:tcPr>
                <w:tcW w:w="782" w:type="pct"/>
                <w:tcBorders>
                  <w:top w:val="single" w:sz="4" w:space="0" w:color="auto"/>
                  <w:left w:val="single" w:sz="4" w:space="0" w:color="auto"/>
                  <w:bottom w:val="single" w:sz="4" w:space="0" w:color="auto"/>
                  <w:right w:val="single" w:sz="4" w:space="0" w:color="auto"/>
                </w:tcBorders>
                <w:vAlign w:val="center"/>
              </w:tcPr>
              <w:p w14:paraId="467FBDD6" w14:textId="77777777" w:rsidR="00471D53" w:rsidRDefault="004F686E" w:rsidP="00471D53">
                <w:pPr>
                  <w:jc w:val="right"/>
                  <w:rPr>
                    <w:sz w:val="20"/>
                    <w:szCs w:val="20"/>
                  </w:rPr>
                </w:pPr>
                <w:r>
                  <w:rPr>
                    <w:rFonts w:hint="eastAsia"/>
                    <w:sz w:val="20"/>
                    <w:szCs w:val="20"/>
                  </w:rPr>
                  <w:t>4,327,588.81</w:t>
                </w:r>
              </w:p>
            </w:tc>
            <w:tc>
              <w:tcPr>
                <w:tcW w:w="568" w:type="pct"/>
                <w:tcBorders>
                  <w:top w:val="single" w:sz="4" w:space="0" w:color="auto"/>
                  <w:left w:val="single" w:sz="4" w:space="0" w:color="auto"/>
                  <w:bottom w:val="single" w:sz="4" w:space="0" w:color="auto"/>
                  <w:right w:val="single" w:sz="4" w:space="0" w:color="auto"/>
                </w:tcBorders>
                <w:vAlign w:val="center"/>
              </w:tcPr>
              <w:p w14:paraId="2DA28F0A" w14:textId="77777777" w:rsidR="00471D53" w:rsidRDefault="004F686E" w:rsidP="00471D53">
                <w:pPr>
                  <w:autoSpaceDE w:val="0"/>
                  <w:autoSpaceDN w:val="0"/>
                  <w:jc w:val="right"/>
                  <w:rPr>
                    <w:sz w:val="20"/>
                    <w:szCs w:val="20"/>
                  </w:rPr>
                </w:pPr>
                <w:r>
                  <w:rPr>
                    <w:rFonts w:hint="eastAsia"/>
                    <w:sz w:val="20"/>
                    <w:szCs w:val="20"/>
                  </w:rPr>
                  <w:t>0.0</w:t>
                </w:r>
                <w:r>
                  <w:rPr>
                    <w:sz w:val="20"/>
                    <w:szCs w:val="20"/>
                  </w:rPr>
                  <w:t>0</w:t>
                </w:r>
              </w:p>
            </w:tc>
            <w:tc>
              <w:tcPr>
                <w:tcW w:w="838" w:type="pct"/>
                <w:tcBorders>
                  <w:top w:val="single" w:sz="4" w:space="0" w:color="auto"/>
                  <w:left w:val="single" w:sz="4" w:space="0" w:color="auto"/>
                  <w:bottom w:val="single" w:sz="4" w:space="0" w:color="auto"/>
                  <w:right w:val="single" w:sz="4" w:space="0" w:color="auto"/>
                </w:tcBorders>
                <w:vAlign w:val="center"/>
              </w:tcPr>
              <w:p w14:paraId="5056335F" w14:textId="77777777" w:rsidR="00471D53" w:rsidRDefault="004F686E" w:rsidP="00471D53">
                <w:pPr>
                  <w:jc w:val="right"/>
                  <w:rPr>
                    <w:sz w:val="20"/>
                    <w:szCs w:val="20"/>
                  </w:rPr>
                </w:pPr>
                <w:r>
                  <w:rPr>
                    <w:rFonts w:hint="eastAsia"/>
                    <w:sz w:val="20"/>
                    <w:szCs w:val="20"/>
                  </w:rPr>
                  <w:t>12,603,777.60</w:t>
                </w:r>
              </w:p>
            </w:tc>
            <w:tc>
              <w:tcPr>
                <w:tcW w:w="569" w:type="pct"/>
                <w:tcBorders>
                  <w:top w:val="single" w:sz="4" w:space="0" w:color="auto"/>
                  <w:left w:val="single" w:sz="4" w:space="0" w:color="auto"/>
                  <w:right w:val="single" w:sz="4" w:space="0" w:color="auto"/>
                </w:tcBorders>
                <w:vAlign w:val="center"/>
              </w:tcPr>
              <w:p w14:paraId="15FD9AF5" w14:textId="77777777" w:rsidR="00471D53" w:rsidRDefault="004F686E" w:rsidP="00471D53">
                <w:pPr>
                  <w:autoSpaceDE w:val="0"/>
                  <w:autoSpaceDN w:val="0"/>
                  <w:jc w:val="right"/>
                  <w:rPr>
                    <w:rFonts w:cs="Calibri"/>
                    <w:sz w:val="20"/>
                    <w:szCs w:val="20"/>
                  </w:rPr>
                </w:pPr>
                <w:r>
                  <w:rPr>
                    <w:rFonts w:cs="Calibri" w:hint="eastAsia"/>
                    <w:sz w:val="20"/>
                    <w:szCs w:val="20"/>
                  </w:rPr>
                  <w:t>0.0</w:t>
                </w:r>
                <w:r>
                  <w:rPr>
                    <w:rFonts w:cs="Calibri"/>
                    <w:sz w:val="20"/>
                    <w:szCs w:val="20"/>
                  </w:rPr>
                  <w:t>0</w:t>
                </w:r>
              </w:p>
            </w:tc>
            <w:tc>
              <w:tcPr>
                <w:tcW w:w="838" w:type="pct"/>
                <w:tcBorders>
                  <w:top w:val="single" w:sz="4" w:space="0" w:color="auto"/>
                  <w:left w:val="single" w:sz="4" w:space="0" w:color="auto"/>
                  <w:bottom w:val="single" w:sz="4" w:space="0" w:color="auto"/>
                  <w:right w:val="single" w:sz="4" w:space="0" w:color="auto"/>
                </w:tcBorders>
                <w:vAlign w:val="center"/>
              </w:tcPr>
              <w:p w14:paraId="3D2E5B82" w14:textId="77777777" w:rsidR="00471D53" w:rsidRDefault="004F686E" w:rsidP="00471D53">
                <w:pPr>
                  <w:jc w:val="right"/>
                  <w:rPr>
                    <w:sz w:val="20"/>
                    <w:szCs w:val="20"/>
                  </w:rPr>
                </w:pPr>
                <w:r>
                  <w:rPr>
                    <w:rFonts w:hint="eastAsia"/>
                    <w:sz w:val="20"/>
                    <w:szCs w:val="20"/>
                  </w:rPr>
                  <w:t>28,062,406.86</w:t>
                </w:r>
              </w:p>
            </w:tc>
          </w:tr>
          <w:tr w:rsidR="00471D53" w14:paraId="7A894100" w14:textId="77777777" w:rsidTr="00471D53">
            <w:trPr>
              <w:trHeight w:val="20"/>
            </w:trPr>
            <w:sdt>
              <w:sdtPr>
                <w:tag w:val="_PLD_2d5756cc0cf342bb9a74d89236e6d498"/>
                <w:id w:val="509879274"/>
                <w:lock w:val="sdtLocked"/>
              </w:sdtPr>
              <w:sdtEndPr/>
              <w:sdtContent>
                <w:tc>
                  <w:tcPr>
                    <w:tcW w:w="568" w:type="pct"/>
                    <w:tcBorders>
                      <w:top w:val="single" w:sz="4" w:space="0" w:color="auto"/>
                      <w:left w:val="single" w:sz="4" w:space="0" w:color="auto"/>
                      <w:bottom w:val="single" w:sz="4" w:space="0" w:color="auto"/>
                      <w:right w:val="single" w:sz="4" w:space="0" w:color="auto"/>
                    </w:tcBorders>
                  </w:tcPr>
                  <w:p w14:paraId="66B397DE" w14:textId="77777777" w:rsidR="00471D53" w:rsidRDefault="004F686E" w:rsidP="00471D53">
                    <w:pPr>
                      <w:rPr>
                        <w:szCs w:val="21"/>
                      </w:rPr>
                    </w:pPr>
                    <w:r>
                      <w:rPr>
                        <w:rFonts w:hint="eastAsia"/>
                        <w:szCs w:val="21"/>
                      </w:rPr>
                      <w:t>库存商品</w:t>
                    </w:r>
                  </w:p>
                </w:tc>
              </w:sdtContent>
            </w:sdt>
            <w:tc>
              <w:tcPr>
                <w:tcW w:w="838" w:type="pct"/>
                <w:tcBorders>
                  <w:top w:val="single" w:sz="4" w:space="0" w:color="auto"/>
                  <w:left w:val="single" w:sz="4" w:space="0" w:color="auto"/>
                  <w:bottom w:val="single" w:sz="4" w:space="0" w:color="auto"/>
                  <w:right w:val="single" w:sz="4" w:space="0" w:color="auto"/>
                </w:tcBorders>
                <w:vAlign w:val="center"/>
              </w:tcPr>
              <w:p w14:paraId="769A8117" w14:textId="77777777" w:rsidR="00471D53" w:rsidRDefault="004F686E" w:rsidP="00471D53">
                <w:pPr>
                  <w:jc w:val="right"/>
                  <w:rPr>
                    <w:sz w:val="20"/>
                    <w:szCs w:val="20"/>
                  </w:rPr>
                </w:pPr>
                <w:r>
                  <w:rPr>
                    <w:rFonts w:hint="eastAsia"/>
                    <w:sz w:val="20"/>
                    <w:szCs w:val="20"/>
                  </w:rPr>
                  <w:t>7,583,602.95</w:t>
                </w:r>
              </w:p>
            </w:tc>
            <w:tc>
              <w:tcPr>
                <w:tcW w:w="782" w:type="pct"/>
                <w:tcBorders>
                  <w:top w:val="single" w:sz="4" w:space="0" w:color="auto"/>
                  <w:left w:val="single" w:sz="4" w:space="0" w:color="auto"/>
                  <w:bottom w:val="single" w:sz="4" w:space="0" w:color="auto"/>
                  <w:right w:val="single" w:sz="4" w:space="0" w:color="auto"/>
                </w:tcBorders>
                <w:vAlign w:val="center"/>
              </w:tcPr>
              <w:p w14:paraId="20573E40" w14:textId="77777777" w:rsidR="00471D53" w:rsidRDefault="004F686E" w:rsidP="00471D53">
                <w:pPr>
                  <w:jc w:val="right"/>
                  <w:rPr>
                    <w:sz w:val="20"/>
                    <w:szCs w:val="20"/>
                  </w:rPr>
                </w:pPr>
                <w:r>
                  <w:rPr>
                    <w:rFonts w:hint="eastAsia"/>
                    <w:sz w:val="20"/>
                    <w:szCs w:val="20"/>
                  </w:rPr>
                  <w:t>2,575,537.17</w:t>
                </w:r>
              </w:p>
            </w:tc>
            <w:tc>
              <w:tcPr>
                <w:tcW w:w="568" w:type="pct"/>
                <w:tcBorders>
                  <w:top w:val="single" w:sz="4" w:space="0" w:color="auto"/>
                  <w:left w:val="single" w:sz="4" w:space="0" w:color="auto"/>
                  <w:bottom w:val="single" w:sz="4" w:space="0" w:color="auto"/>
                  <w:right w:val="single" w:sz="4" w:space="0" w:color="auto"/>
                </w:tcBorders>
                <w:vAlign w:val="center"/>
              </w:tcPr>
              <w:p w14:paraId="4DFBF07F" w14:textId="77777777" w:rsidR="00471D53" w:rsidRDefault="004F686E" w:rsidP="00471D53">
                <w:pPr>
                  <w:autoSpaceDE w:val="0"/>
                  <w:autoSpaceDN w:val="0"/>
                  <w:jc w:val="right"/>
                  <w:rPr>
                    <w:rFonts w:cs="Calibri"/>
                    <w:sz w:val="20"/>
                    <w:szCs w:val="20"/>
                  </w:rPr>
                </w:pPr>
                <w:r>
                  <w:rPr>
                    <w:rFonts w:cs="Calibri" w:hint="eastAsia"/>
                    <w:sz w:val="20"/>
                    <w:szCs w:val="20"/>
                  </w:rPr>
                  <w:t>0.0</w:t>
                </w:r>
                <w:r>
                  <w:rPr>
                    <w:rFonts w:cs="Calibri"/>
                    <w:sz w:val="20"/>
                    <w:szCs w:val="20"/>
                  </w:rPr>
                  <w:t>0</w:t>
                </w:r>
              </w:p>
            </w:tc>
            <w:tc>
              <w:tcPr>
                <w:tcW w:w="838" w:type="pct"/>
                <w:tcBorders>
                  <w:top w:val="single" w:sz="4" w:space="0" w:color="auto"/>
                  <w:left w:val="single" w:sz="4" w:space="0" w:color="auto"/>
                  <w:bottom w:val="single" w:sz="4" w:space="0" w:color="auto"/>
                  <w:right w:val="single" w:sz="4" w:space="0" w:color="auto"/>
                </w:tcBorders>
                <w:vAlign w:val="center"/>
              </w:tcPr>
              <w:p w14:paraId="55460A68" w14:textId="77777777" w:rsidR="00471D53" w:rsidRDefault="004F686E" w:rsidP="00471D53">
                <w:pPr>
                  <w:jc w:val="right"/>
                  <w:rPr>
                    <w:sz w:val="20"/>
                    <w:szCs w:val="20"/>
                  </w:rPr>
                </w:pPr>
                <w:r>
                  <w:rPr>
                    <w:rFonts w:hint="eastAsia"/>
                    <w:sz w:val="20"/>
                    <w:szCs w:val="20"/>
                  </w:rPr>
                  <w:t>5,934,867.41</w:t>
                </w:r>
              </w:p>
            </w:tc>
            <w:tc>
              <w:tcPr>
                <w:tcW w:w="569" w:type="pct"/>
                <w:tcBorders>
                  <w:left w:val="single" w:sz="4" w:space="0" w:color="auto"/>
                  <w:right w:val="single" w:sz="4" w:space="0" w:color="auto"/>
                </w:tcBorders>
                <w:vAlign w:val="center"/>
              </w:tcPr>
              <w:p w14:paraId="7B0A228D" w14:textId="77777777" w:rsidR="00471D53" w:rsidRDefault="004F686E" w:rsidP="00471D53">
                <w:pPr>
                  <w:autoSpaceDE w:val="0"/>
                  <w:autoSpaceDN w:val="0"/>
                  <w:jc w:val="right"/>
                  <w:rPr>
                    <w:rFonts w:cs="Calibri"/>
                    <w:sz w:val="20"/>
                    <w:szCs w:val="20"/>
                  </w:rPr>
                </w:pPr>
                <w:r>
                  <w:rPr>
                    <w:rFonts w:cs="Calibri" w:hint="eastAsia"/>
                    <w:sz w:val="20"/>
                    <w:szCs w:val="20"/>
                  </w:rPr>
                  <w:t>0.0</w:t>
                </w:r>
                <w:r>
                  <w:rPr>
                    <w:rFonts w:cs="Calibri"/>
                    <w:sz w:val="20"/>
                    <w:szCs w:val="20"/>
                  </w:rPr>
                  <w:t>0</w:t>
                </w:r>
              </w:p>
            </w:tc>
            <w:tc>
              <w:tcPr>
                <w:tcW w:w="838" w:type="pct"/>
                <w:tcBorders>
                  <w:top w:val="single" w:sz="4" w:space="0" w:color="auto"/>
                  <w:left w:val="single" w:sz="4" w:space="0" w:color="auto"/>
                  <w:bottom w:val="single" w:sz="4" w:space="0" w:color="auto"/>
                  <w:right w:val="single" w:sz="4" w:space="0" w:color="auto"/>
                </w:tcBorders>
                <w:vAlign w:val="center"/>
              </w:tcPr>
              <w:p w14:paraId="4EDC7535" w14:textId="77777777" w:rsidR="00471D53" w:rsidRDefault="004F686E" w:rsidP="00471D53">
                <w:pPr>
                  <w:jc w:val="right"/>
                  <w:rPr>
                    <w:sz w:val="20"/>
                    <w:szCs w:val="20"/>
                  </w:rPr>
                </w:pPr>
                <w:r>
                  <w:rPr>
                    <w:rFonts w:hint="eastAsia"/>
                    <w:sz w:val="20"/>
                    <w:szCs w:val="20"/>
                  </w:rPr>
                  <w:t>4,224,272.71</w:t>
                </w:r>
              </w:p>
            </w:tc>
          </w:tr>
          <w:tr w:rsidR="00471D53" w14:paraId="2B54D21B" w14:textId="77777777" w:rsidTr="00471D53">
            <w:trPr>
              <w:trHeight w:val="20"/>
            </w:trPr>
            <w:sdt>
              <w:sdtPr>
                <w:tag w:val="_PLD_0e7f31c3d40a4e26b9ae9d439cd18c3a"/>
                <w:id w:val="236917034"/>
                <w:lock w:val="sdtLocked"/>
              </w:sdtPr>
              <w:sdtEndPr/>
              <w:sdtContent>
                <w:tc>
                  <w:tcPr>
                    <w:tcW w:w="568" w:type="pct"/>
                    <w:tcBorders>
                      <w:top w:val="single" w:sz="4" w:space="0" w:color="auto"/>
                      <w:left w:val="single" w:sz="4" w:space="0" w:color="auto"/>
                      <w:bottom w:val="single" w:sz="4" w:space="0" w:color="auto"/>
                      <w:right w:val="single" w:sz="4" w:space="0" w:color="auto"/>
                    </w:tcBorders>
                  </w:tcPr>
                  <w:p w14:paraId="7E8F9987" w14:textId="77777777" w:rsidR="00471D53" w:rsidRDefault="004F686E" w:rsidP="00471D53">
                    <w:pPr>
                      <w:rPr>
                        <w:szCs w:val="21"/>
                      </w:rPr>
                    </w:pPr>
                    <w:r>
                      <w:rPr>
                        <w:rFonts w:hint="eastAsia"/>
                        <w:szCs w:val="21"/>
                      </w:rPr>
                      <w:t>周转材料</w:t>
                    </w:r>
                  </w:p>
                </w:tc>
              </w:sdtContent>
            </w:sdt>
            <w:tc>
              <w:tcPr>
                <w:tcW w:w="838" w:type="pct"/>
                <w:tcBorders>
                  <w:top w:val="single" w:sz="4" w:space="0" w:color="auto"/>
                  <w:left w:val="single" w:sz="4" w:space="0" w:color="auto"/>
                  <w:bottom w:val="single" w:sz="4" w:space="0" w:color="auto"/>
                  <w:right w:val="single" w:sz="4" w:space="0" w:color="auto"/>
                </w:tcBorders>
              </w:tcPr>
              <w:p w14:paraId="3E9C4755" w14:textId="77777777" w:rsidR="00471D53" w:rsidRDefault="00B664AF" w:rsidP="00471D53">
                <w:pPr>
                  <w:ind w:right="5"/>
                  <w:jc w:val="right"/>
                  <w:rPr>
                    <w:szCs w:val="21"/>
                  </w:rPr>
                </w:pPr>
              </w:p>
            </w:tc>
            <w:tc>
              <w:tcPr>
                <w:tcW w:w="782" w:type="pct"/>
                <w:tcBorders>
                  <w:top w:val="single" w:sz="4" w:space="0" w:color="auto"/>
                  <w:left w:val="single" w:sz="4" w:space="0" w:color="auto"/>
                  <w:bottom w:val="single" w:sz="4" w:space="0" w:color="auto"/>
                  <w:right w:val="single" w:sz="4" w:space="0" w:color="auto"/>
                </w:tcBorders>
              </w:tcPr>
              <w:p w14:paraId="0C696385" w14:textId="77777777" w:rsidR="00471D53" w:rsidRDefault="00B664AF" w:rsidP="00471D53">
                <w:pPr>
                  <w:jc w:val="right"/>
                  <w:rPr>
                    <w:szCs w:val="21"/>
                  </w:rPr>
                </w:pPr>
              </w:p>
            </w:tc>
            <w:tc>
              <w:tcPr>
                <w:tcW w:w="568" w:type="pct"/>
                <w:tcBorders>
                  <w:top w:val="single" w:sz="4" w:space="0" w:color="auto"/>
                  <w:left w:val="single" w:sz="4" w:space="0" w:color="auto"/>
                  <w:bottom w:val="single" w:sz="4" w:space="0" w:color="auto"/>
                  <w:right w:val="single" w:sz="4" w:space="0" w:color="auto"/>
                </w:tcBorders>
              </w:tcPr>
              <w:p w14:paraId="421B9E69" w14:textId="77777777" w:rsidR="00471D53" w:rsidRDefault="00B664AF" w:rsidP="00471D53">
                <w:pPr>
                  <w:jc w:val="right"/>
                  <w:rPr>
                    <w:szCs w:val="21"/>
                  </w:rPr>
                </w:pPr>
              </w:p>
            </w:tc>
            <w:tc>
              <w:tcPr>
                <w:tcW w:w="838" w:type="pct"/>
                <w:tcBorders>
                  <w:top w:val="single" w:sz="4" w:space="0" w:color="auto"/>
                  <w:left w:val="single" w:sz="4" w:space="0" w:color="auto"/>
                  <w:bottom w:val="single" w:sz="4" w:space="0" w:color="auto"/>
                  <w:right w:val="single" w:sz="4" w:space="0" w:color="auto"/>
                </w:tcBorders>
              </w:tcPr>
              <w:p w14:paraId="38990BB8" w14:textId="77777777" w:rsidR="00471D53" w:rsidRDefault="00B664AF" w:rsidP="00471D53">
                <w:pPr>
                  <w:jc w:val="right"/>
                  <w:rPr>
                    <w:szCs w:val="21"/>
                  </w:rPr>
                </w:pPr>
              </w:p>
            </w:tc>
            <w:tc>
              <w:tcPr>
                <w:tcW w:w="569" w:type="pct"/>
                <w:tcBorders>
                  <w:left w:val="single" w:sz="4" w:space="0" w:color="auto"/>
                  <w:right w:val="single" w:sz="4" w:space="0" w:color="auto"/>
                </w:tcBorders>
              </w:tcPr>
              <w:p w14:paraId="6263690F" w14:textId="77777777" w:rsidR="00471D53" w:rsidRDefault="00B664AF" w:rsidP="00471D53">
                <w:pPr>
                  <w:jc w:val="right"/>
                  <w:rPr>
                    <w:szCs w:val="21"/>
                  </w:rPr>
                </w:pPr>
              </w:p>
            </w:tc>
            <w:tc>
              <w:tcPr>
                <w:tcW w:w="838" w:type="pct"/>
                <w:tcBorders>
                  <w:top w:val="single" w:sz="4" w:space="0" w:color="auto"/>
                  <w:left w:val="single" w:sz="4" w:space="0" w:color="auto"/>
                  <w:bottom w:val="single" w:sz="4" w:space="0" w:color="auto"/>
                  <w:right w:val="single" w:sz="4" w:space="0" w:color="auto"/>
                </w:tcBorders>
              </w:tcPr>
              <w:p w14:paraId="1AC24EC6" w14:textId="77777777" w:rsidR="00471D53" w:rsidRDefault="00B664AF" w:rsidP="00471D53">
                <w:pPr>
                  <w:jc w:val="right"/>
                  <w:rPr>
                    <w:szCs w:val="21"/>
                  </w:rPr>
                </w:pPr>
              </w:p>
            </w:tc>
          </w:tr>
          <w:tr w:rsidR="00471D53" w14:paraId="2C6BFDBD" w14:textId="77777777" w:rsidTr="00471D53">
            <w:trPr>
              <w:trHeight w:val="20"/>
            </w:trPr>
            <w:sdt>
              <w:sdtPr>
                <w:tag w:val="_PLD_bcc6f3ed6a0841af94293c37eaaf52f3"/>
                <w:id w:val="-764689540"/>
                <w:lock w:val="sdtLocked"/>
              </w:sdtPr>
              <w:sdtEndPr/>
              <w:sdtContent>
                <w:tc>
                  <w:tcPr>
                    <w:tcW w:w="568" w:type="pct"/>
                    <w:tcBorders>
                      <w:top w:val="single" w:sz="4" w:space="0" w:color="auto"/>
                      <w:left w:val="single" w:sz="4" w:space="0" w:color="auto"/>
                      <w:bottom w:val="single" w:sz="4" w:space="0" w:color="auto"/>
                      <w:right w:val="single" w:sz="4" w:space="0" w:color="auto"/>
                    </w:tcBorders>
                  </w:tcPr>
                  <w:p w14:paraId="700D16EB" w14:textId="77777777" w:rsidR="00471D53" w:rsidRDefault="004F686E" w:rsidP="00471D53">
                    <w:pPr>
                      <w:rPr>
                        <w:szCs w:val="21"/>
                      </w:rPr>
                    </w:pPr>
                    <w:r>
                      <w:rPr>
                        <w:rFonts w:hint="eastAsia"/>
                        <w:szCs w:val="21"/>
                      </w:rPr>
                      <w:t>消耗性生物资产</w:t>
                    </w:r>
                  </w:p>
                </w:tc>
              </w:sdtContent>
            </w:sdt>
            <w:tc>
              <w:tcPr>
                <w:tcW w:w="838" w:type="pct"/>
                <w:tcBorders>
                  <w:top w:val="single" w:sz="4" w:space="0" w:color="auto"/>
                  <w:left w:val="single" w:sz="4" w:space="0" w:color="auto"/>
                  <w:bottom w:val="single" w:sz="4" w:space="0" w:color="auto"/>
                  <w:right w:val="single" w:sz="4" w:space="0" w:color="auto"/>
                </w:tcBorders>
              </w:tcPr>
              <w:p w14:paraId="211B76EE" w14:textId="77777777" w:rsidR="00471D53" w:rsidRDefault="00B664AF" w:rsidP="00471D53">
                <w:pPr>
                  <w:ind w:right="5"/>
                  <w:jc w:val="right"/>
                  <w:rPr>
                    <w:szCs w:val="21"/>
                  </w:rPr>
                </w:pPr>
              </w:p>
            </w:tc>
            <w:tc>
              <w:tcPr>
                <w:tcW w:w="782" w:type="pct"/>
                <w:tcBorders>
                  <w:top w:val="single" w:sz="4" w:space="0" w:color="auto"/>
                  <w:left w:val="single" w:sz="4" w:space="0" w:color="auto"/>
                  <w:bottom w:val="single" w:sz="4" w:space="0" w:color="auto"/>
                  <w:right w:val="single" w:sz="4" w:space="0" w:color="auto"/>
                </w:tcBorders>
              </w:tcPr>
              <w:p w14:paraId="35AE5F74" w14:textId="77777777" w:rsidR="00471D53" w:rsidRDefault="00B664AF" w:rsidP="00471D53">
                <w:pPr>
                  <w:jc w:val="right"/>
                  <w:rPr>
                    <w:szCs w:val="21"/>
                  </w:rPr>
                </w:pPr>
              </w:p>
            </w:tc>
            <w:tc>
              <w:tcPr>
                <w:tcW w:w="568" w:type="pct"/>
                <w:tcBorders>
                  <w:top w:val="single" w:sz="4" w:space="0" w:color="auto"/>
                  <w:left w:val="single" w:sz="4" w:space="0" w:color="auto"/>
                  <w:bottom w:val="single" w:sz="4" w:space="0" w:color="auto"/>
                  <w:right w:val="single" w:sz="4" w:space="0" w:color="auto"/>
                </w:tcBorders>
              </w:tcPr>
              <w:p w14:paraId="7D90BA8E" w14:textId="77777777" w:rsidR="00471D53" w:rsidRDefault="00B664AF" w:rsidP="00471D53">
                <w:pPr>
                  <w:jc w:val="right"/>
                  <w:rPr>
                    <w:szCs w:val="21"/>
                  </w:rPr>
                </w:pPr>
              </w:p>
            </w:tc>
            <w:tc>
              <w:tcPr>
                <w:tcW w:w="838" w:type="pct"/>
                <w:tcBorders>
                  <w:top w:val="single" w:sz="4" w:space="0" w:color="auto"/>
                  <w:left w:val="single" w:sz="4" w:space="0" w:color="auto"/>
                  <w:bottom w:val="single" w:sz="4" w:space="0" w:color="auto"/>
                  <w:right w:val="single" w:sz="4" w:space="0" w:color="auto"/>
                </w:tcBorders>
              </w:tcPr>
              <w:p w14:paraId="3451DC7D" w14:textId="77777777" w:rsidR="00471D53" w:rsidRDefault="00B664AF" w:rsidP="00471D53">
                <w:pPr>
                  <w:jc w:val="right"/>
                  <w:rPr>
                    <w:szCs w:val="21"/>
                  </w:rPr>
                </w:pPr>
              </w:p>
            </w:tc>
            <w:tc>
              <w:tcPr>
                <w:tcW w:w="569" w:type="pct"/>
                <w:tcBorders>
                  <w:left w:val="single" w:sz="4" w:space="0" w:color="auto"/>
                  <w:right w:val="single" w:sz="4" w:space="0" w:color="auto"/>
                </w:tcBorders>
              </w:tcPr>
              <w:p w14:paraId="43846779" w14:textId="77777777" w:rsidR="00471D53" w:rsidRDefault="00B664AF" w:rsidP="00471D53">
                <w:pPr>
                  <w:jc w:val="right"/>
                  <w:rPr>
                    <w:szCs w:val="21"/>
                  </w:rPr>
                </w:pPr>
              </w:p>
            </w:tc>
            <w:tc>
              <w:tcPr>
                <w:tcW w:w="838" w:type="pct"/>
                <w:tcBorders>
                  <w:top w:val="single" w:sz="4" w:space="0" w:color="auto"/>
                  <w:left w:val="single" w:sz="4" w:space="0" w:color="auto"/>
                  <w:bottom w:val="single" w:sz="4" w:space="0" w:color="auto"/>
                  <w:right w:val="single" w:sz="4" w:space="0" w:color="auto"/>
                </w:tcBorders>
              </w:tcPr>
              <w:p w14:paraId="49827269" w14:textId="77777777" w:rsidR="00471D53" w:rsidRDefault="00B664AF" w:rsidP="00471D53">
                <w:pPr>
                  <w:jc w:val="right"/>
                  <w:rPr>
                    <w:szCs w:val="21"/>
                  </w:rPr>
                </w:pPr>
              </w:p>
            </w:tc>
          </w:tr>
          <w:tr w:rsidR="00471D53" w14:paraId="633EB965" w14:textId="77777777" w:rsidTr="00471D53">
            <w:trPr>
              <w:trHeight w:val="20"/>
            </w:trPr>
            <w:sdt>
              <w:sdtPr>
                <w:tag w:val="_PLD_244840926cbe4a8d87e80a8d9c7cb579"/>
                <w:id w:val="-654064606"/>
                <w:lock w:val="sdtLocked"/>
              </w:sdtPr>
              <w:sdtEndPr/>
              <w:sdtContent>
                <w:tc>
                  <w:tcPr>
                    <w:tcW w:w="568" w:type="pct"/>
                    <w:tcBorders>
                      <w:top w:val="single" w:sz="4" w:space="0" w:color="auto"/>
                      <w:left w:val="single" w:sz="4" w:space="0" w:color="auto"/>
                      <w:bottom w:val="single" w:sz="4" w:space="0" w:color="auto"/>
                      <w:right w:val="single" w:sz="4" w:space="0" w:color="auto"/>
                    </w:tcBorders>
                  </w:tcPr>
                  <w:p w14:paraId="45F1FC19" w14:textId="77777777" w:rsidR="00471D53" w:rsidRDefault="004F686E" w:rsidP="00471D53">
                    <w:r>
                      <w:rPr>
                        <w:rFonts w:hint="eastAsia"/>
                      </w:rPr>
                      <w:t>合同履约成本</w:t>
                    </w:r>
                  </w:p>
                </w:tc>
              </w:sdtContent>
            </w:sdt>
            <w:tc>
              <w:tcPr>
                <w:tcW w:w="838" w:type="pct"/>
                <w:tcBorders>
                  <w:top w:val="single" w:sz="4" w:space="0" w:color="auto"/>
                  <w:left w:val="single" w:sz="4" w:space="0" w:color="auto"/>
                  <w:bottom w:val="single" w:sz="4" w:space="0" w:color="auto"/>
                  <w:right w:val="single" w:sz="4" w:space="0" w:color="auto"/>
                </w:tcBorders>
              </w:tcPr>
              <w:p w14:paraId="2F257283" w14:textId="77777777" w:rsidR="00471D53" w:rsidRDefault="00B664AF" w:rsidP="00471D53">
                <w:pPr>
                  <w:ind w:right="5"/>
                  <w:jc w:val="right"/>
                  <w:rPr>
                    <w:szCs w:val="21"/>
                  </w:rPr>
                </w:pPr>
              </w:p>
            </w:tc>
            <w:tc>
              <w:tcPr>
                <w:tcW w:w="782" w:type="pct"/>
                <w:tcBorders>
                  <w:top w:val="single" w:sz="4" w:space="0" w:color="auto"/>
                  <w:left w:val="single" w:sz="4" w:space="0" w:color="auto"/>
                  <w:bottom w:val="single" w:sz="4" w:space="0" w:color="auto"/>
                  <w:right w:val="single" w:sz="4" w:space="0" w:color="auto"/>
                </w:tcBorders>
              </w:tcPr>
              <w:p w14:paraId="4AA6E9ED" w14:textId="77777777" w:rsidR="00471D53" w:rsidRDefault="00B664AF" w:rsidP="00471D53">
                <w:pPr>
                  <w:jc w:val="right"/>
                  <w:rPr>
                    <w:szCs w:val="21"/>
                  </w:rPr>
                </w:pPr>
              </w:p>
            </w:tc>
            <w:tc>
              <w:tcPr>
                <w:tcW w:w="568" w:type="pct"/>
                <w:tcBorders>
                  <w:top w:val="single" w:sz="4" w:space="0" w:color="auto"/>
                  <w:left w:val="single" w:sz="4" w:space="0" w:color="auto"/>
                  <w:bottom w:val="single" w:sz="4" w:space="0" w:color="auto"/>
                  <w:right w:val="single" w:sz="4" w:space="0" w:color="auto"/>
                </w:tcBorders>
              </w:tcPr>
              <w:p w14:paraId="0068F6E1" w14:textId="77777777" w:rsidR="00471D53" w:rsidRDefault="00B664AF" w:rsidP="00471D53">
                <w:pPr>
                  <w:jc w:val="right"/>
                  <w:rPr>
                    <w:szCs w:val="21"/>
                  </w:rPr>
                </w:pPr>
              </w:p>
            </w:tc>
            <w:tc>
              <w:tcPr>
                <w:tcW w:w="838" w:type="pct"/>
                <w:tcBorders>
                  <w:top w:val="single" w:sz="4" w:space="0" w:color="auto"/>
                  <w:left w:val="single" w:sz="4" w:space="0" w:color="auto"/>
                  <w:bottom w:val="single" w:sz="4" w:space="0" w:color="auto"/>
                  <w:right w:val="single" w:sz="4" w:space="0" w:color="auto"/>
                </w:tcBorders>
              </w:tcPr>
              <w:p w14:paraId="55D3B7AE" w14:textId="77777777" w:rsidR="00471D53" w:rsidRDefault="00B664AF" w:rsidP="00471D53">
                <w:pPr>
                  <w:jc w:val="right"/>
                  <w:rPr>
                    <w:szCs w:val="21"/>
                  </w:rPr>
                </w:pPr>
              </w:p>
            </w:tc>
            <w:tc>
              <w:tcPr>
                <w:tcW w:w="569" w:type="pct"/>
                <w:tcBorders>
                  <w:left w:val="single" w:sz="4" w:space="0" w:color="auto"/>
                  <w:right w:val="single" w:sz="4" w:space="0" w:color="auto"/>
                </w:tcBorders>
              </w:tcPr>
              <w:p w14:paraId="363A72EB" w14:textId="77777777" w:rsidR="00471D53" w:rsidRDefault="00B664AF" w:rsidP="00471D53">
                <w:pPr>
                  <w:jc w:val="right"/>
                  <w:rPr>
                    <w:szCs w:val="21"/>
                  </w:rPr>
                </w:pPr>
              </w:p>
            </w:tc>
            <w:tc>
              <w:tcPr>
                <w:tcW w:w="838" w:type="pct"/>
                <w:tcBorders>
                  <w:top w:val="single" w:sz="4" w:space="0" w:color="auto"/>
                  <w:left w:val="single" w:sz="4" w:space="0" w:color="auto"/>
                  <w:bottom w:val="single" w:sz="4" w:space="0" w:color="auto"/>
                  <w:right w:val="single" w:sz="4" w:space="0" w:color="auto"/>
                </w:tcBorders>
              </w:tcPr>
              <w:p w14:paraId="7B576806" w14:textId="77777777" w:rsidR="00471D53" w:rsidRDefault="00B664AF" w:rsidP="00471D53">
                <w:pPr>
                  <w:jc w:val="right"/>
                  <w:rPr>
                    <w:szCs w:val="21"/>
                  </w:rPr>
                </w:pPr>
              </w:p>
            </w:tc>
          </w:tr>
          <w:sdt>
            <w:sdtPr>
              <w:rPr>
                <w:rFonts w:hint="eastAsia"/>
                <w:szCs w:val="21"/>
              </w:rPr>
              <w:alias w:val="存货跌价准备明细"/>
              <w:tag w:val="_GBC_c901c46f630b4db5826ead896c012bf9"/>
              <w:id w:val="-1157297477"/>
              <w:lock w:val="sdtLocked"/>
            </w:sdtPr>
            <w:sdtEndPr/>
            <w:sdtContent>
              <w:tr w:rsidR="00471D53" w14:paraId="5DEEF3FF" w14:textId="77777777" w:rsidTr="00471D53">
                <w:trPr>
                  <w:trHeight w:val="20"/>
                </w:trPr>
                <w:tc>
                  <w:tcPr>
                    <w:tcW w:w="568" w:type="pct"/>
                    <w:tcBorders>
                      <w:top w:val="single" w:sz="4" w:space="0" w:color="auto"/>
                      <w:left w:val="single" w:sz="4" w:space="0" w:color="auto"/>
                      <w:bottom w:val="single" w:sz="4" w:space="0" w:color="auto"/>
                      <w:right w:val="single" w:sz="4" w:space="0" w:color="auto"/>
                    </w:tcBorders>
                  </w:tcPr>
                  <w:p w14:paraId="785B4469" w14:textId="77777777" w:rsidR="00471D53" w:rsidRDefault="004F686E" w:rsidP="00471D53">
                    <w:pPr>
                      <w:rPr>
                        <w:szCs w:val="21"/>
                      </w:rPr>
                    </w:pPr>
                    <w:r>
                      <w:t>发出商品</w:t>
                    </w:r>
                  </w:p>
                </w:tc>
                <w:tc>
                  <w:tcPr>
                    <w:tcW w:w="838" w:type="pct"/>
                    <w:tcBorders>
                      <w:top w:val="single" w:sz="4" w:space="0" w:color="auto"/>
                      <w:left w:val="single" w:sz="4" w:space="0" w:color="auto"/>
                      <w:bottom w:val="single" w:sz="4" w:space="0" w:color="auto"/>
                      <w:right w:val="single" w:sz="4" w:space="0" w:color="auto"/>
                    </w:tcBorders>
                  </w:tcPr>
                  <w:p w14:paraId="605C5F7D" w14:textId="77777777" w:rsidR="00471D53" w:rsidRDefault="004F686E" w:rsidP="00471D53">
                    <w:pPr>
                      <w:ind w:right="5"/>
                      <w:jc w:val="right"/>
                      <w:rPr>
                        <w:szCs w:val="21"/>
                      </w:rPr>
                    </w:pPr>
                    <w:r>
                      <w:t>26,218.03</w:t>
                    </w:r>
                  </w:p>
                </w:tc>
                <w:tc>
                  <w:tcPr>
                    <w:tcW w:w="782" w:type="pct"/>
                    <w:tcBorders>
                      <w:top w:val="single" w:sz="4" w:space="0" w:color="auto"/>
                      <w:left w:val="single" w:sz="4" w:space="0" w:color="auto"/>
                      <w:bottom w:val="single" w:sz="4" w:space="0" w:color="auto"/>
                      <w:right w:val="single" w:sz="4" w:space="0" w:color="auto"/>
                    </w:tcBorders>
                  </w:tcPr>
                  <w:p w14:paraId="52C81540" w14:textId="77777777" w:rsidR="00471D53" w:rsidRDefault="004F686E" w:rsidP="00471D53">
                    <w:pPr>
                      <w:jc w:val="right"/>
                      <w:rPr>
                        <w:szCs w:val="21"/>
                      </w:rPr>
                    </w:pPr>
                    <w:r>
                      <w:t>0.00</w:t>
                    </w:r>
                  </w:p>
                </w:tc>
                <w:tc>
                  <w:tcPr>
                    <w:tcW w:w="568" w:type="pct"/>
                    <w:tcBorders>
                      <w:top w:val="single" w:sz="4" w:space="0" w:color="auto"/>
                      <w:left w:val="single" w:sz="4" w:space="0" w:color="auto"/>
                      <w:bottom w:val="single" w:sz="4" w:space="0" w:color="auto"/>
                      <w:right w:val="single" w:sz="4" w:space="0" w:color="auto"/>
                    </w:tcBorders>
                  </w:tcPr>
                  <w:p w14:paraId="60E42618" w14:textId="77777777" w:rsidR="00471D53" w:rsidRDefault="004F686E" w:rsidP="00471D53">
                    <w:pPr>
                      <w:jc w:val="right"/>
                      <w:rPr>
                        <w:szCs w:val="21"/>
                      </w:rPr>
                    </w:pPr>
                    <w:r>
                      <w:t>0.00</w:t>
                    </w:r>
                  </w:p>
                </w:tc>
                <w:tc>
                  <w:tcPr>
                    <w:tcW w:w="838" w:type="pct"/>
                    <w:tcBorders>
                      <w:top w:val="single" w:sz="4" w:space="0" w:color="auto"/>
                      <w:left w:val="single" w:sz="4" w:space="0" w:color="auto"/>
                      <w:bottom w:val="single" w:sz="4" w:space="0" w:color="auto"/>
                      <w:right w:val="single" w:sz="4" w:space="0" w:color="auto"/>
                    </w:tcBorders>
                  </w:tcPr>
                  <w:p w14:paraId="2B964B80" w14:textId="77777777" w:rsidR="00471D53" w:rsidRDefault="004F686E" w:rsidP="00471D53">
                    <w:pPr>
                      <w:jc w:val="right"/>
                      <w:rPr>
                        <w:szCs w:val="21"/>
                      </w:rPr>
                    </w:pPr>
                    <w:r>
                      <w:t>26,218.03</w:t>
                    </w:r>
                  </w:p>
                </w:tc>
                <w:tc>
                  <w:tcPr>
                    <w:tcW w:w="569" w:type="pct"/>
                    <w:tcBorders>
                      <w:left w:val="single" w:sz="4" w:space="0" w:color="auto"/>
                      <w:right w:val="single" w:sz="4" w:space="0" w:color="auto"/>
                    </w:tcBorders>
                  </w:tcPr>
                  <w:p w14:paraId="3FDB2CBD" w14:textId="77777777" w:rsidR="00471D53" w:rsidRDefault="004F686E" w:rsidP="00471D53">
                    <w:pPr>
                      <w:jc w:val="right"/>
                      <w:rPr>
                        <w:szCs w:val="21"/>
                      </w:rPr>
                    </w:pPr>
                    <w:r>
                      <w:t>0.00</w:t>
                    </w:r>
                  </w:p>
                </w:tc>
                <w:tc>
                  <w:tcPr>
                    <w:tcW w:w="838" w:type="pct"/>
                    <w:tcBorders>
                      <w:top w:val="single" w:sz="4" w:space="0" w:color="auto"/>
                      <w:left w:val="single" w:sz="4" w:space="0" w:color="auto"/>
                      <w:bottom w:val="single" w:sz="4" w:space="0" w:color="auto"/>
                      <w:right w:val="single" w:sz="4" w:space="0" w:color="auto"/>
                    </w:tcBorders>
                  </w:tcPr>
                  <w:p w14:paraId="56503430" w14:textId="77777777" w:rsidR="00471D53" w:rsidRDefault="004F686E" w:rsidP="00471D53">
                    <w:pPr>
                      <w:ind w:right="5"/>
                      <w:jc w:val="right"/>
                      <w:rPr>
                        <w:szCs w:val="21"/>
                      </w:rPr>
                    </w:pPr>
                    <w:r>
                      <w:t>0.00</w:t>
                    </w:r>
                  </w:p>
                </w:tc>
              </w:tr>
            </w:sdtContent>
          </w:sdt>
          <w:sdt>
            <w:sdtPr>
              <w:rPr>
                <w:rFonts w:hint="eastAsia"/>
                <w:szCs w:val="21"/>
              </w:rPr>
              <w:alias w:val="存货跌价准备明细"/>
              <w:tag w:val="_GBC_c901c46f630b4db5826ead896c012bf9"/>
              <w:id w:val="-321205672"/>
              <w:lock w:val="sdtLocked"/>
            </w:sdtPr>
            <w:sdtEndPr/>
            <w:sdtContent>
              <w:tr w:rsidR="00471D53" w14:paraId="298EBB59" w14:textId="77777777" w:rsidTr="00471D53">
                <w:trPr>
                  <w:trHeight w:val="20"/>
                </w:trPr>
                <w:tc>
                  <w:tcPr>
                    <w:tcW w:w="568" w:type="pct"/>
                    <w:tcBorders>
                      <w:top w:val="single" w:sz="4" w:space="0" w:color="auto"/>
                      <w:left w:val="single" w:sz="4" w:space="0" w:color="auto"/>
                      <w:bottom w:val="single" w:sz="4" w:space="0" w:color="auto"/>
                      <w:right w:val="single" w:sz="4" w:space="0" w:color="auto"/>
                    </w:tcBorders>
                  </w:tcPr>
                  <w:p w14:paraId="32141CC3" w14:textId="77777777" w:rsidR="00471D53" w:rsidRDefault="00B664AF" w:rsidP="00471D53">
                    <w:pPr>
                      <w:rPr>
                        <w:szCs w:val="21"/>
                      </w:rPr>
                    </w:pPr>
                  </w:p>
                </w:tc>
                <w:tc>
                  <w:tcPr>
                    <w:tcW w:w="838" w:type="pct"/>
                    <w:tcBorders>
                      <w:top w:val="single" w:sz="4" w:space="0" w:color="auto"/>
                      <w:left w:val="single" w:sz="4" w:space="0" w:color="auto"/>
                      <w:bottom w:val="single" w:sz="4" w:space="0" w:color="auto"/>
                      <w:right w:val="single" w:sz="4" w:space="0" w:color="auto"/>
                    </w:tcBorders>
                  </w:tcPr>
                  <w:p w14:paraId="48A038E9" w14:textId="77777777" w:rsidR="00471D53" w:rsidRDefault="00B664AF" w:rsidP="00471D53">
                    <w:pPr>
                      <w:ind w:right="5"/>
                      <w:jc w:val="right"/>
                      <w:rPr>
                        <w:szCs w:val="21"/>
                      </w:rPr>
                    </w:pPr>
                  </w:p>
                </w:tc>
                <w:tc>
                  <w:tcPr>
                    <w:tcW w:w="782" w:type="pct"/>
                    <w:tcBorders>
                      <w:top w:val="single" w:sz="4" w:space="0" w:color="auto"/>
                      <w:left w:val="single" w:sz="4" w:space="0" w:color="auto"/>
                      <w:bottom w:val="single" w:sz="4" w:space="0" w:color="auto"/>
                      <w:right w:val="single" w:sz="4" w:space="0" w:color="auto"/>
                    </w:tcBorders>
                  </w:tcPr>
                  <w:p w14:paraId="45B414D7" w14:textId="77777777" w:rsidR="00471D53" w:rsidRDefault="00B664AF" w:rsidP="00471D53">
                    <w:pPr>
                      <w:jc w:val="right"/>
                      <w:rPr>
                        <w:szCs w:val="21"/>
                      </w:rPr>
                    </w:pPr>
                  </w:p>
                </w:tc>
                <w:tc>
                  <w:tcPr>
                    <w:tcW w:w="568" w:type="pct"/>
                    <w:tcBorders>
                      <w:top w:val="single" w:sz="4" w:space="0" w:color="auto"/>
                      <w:left w:val="single" w:sz="4" w:space="0" w:color="auto"/>
                      <w:bottom w:val="single" w:sz="4" w:space="0" w:color="auto"/>
                      <w:right w:val="single" w:sz="4" w:space="0" w:color="auto"/>
                    </w:tcBorders>
                  </w:tcPr>
                  <w:p w14:paraId="28905FE9" w14:textId="77777777" w:rsidR="00471D53" w:rsidRDefault="00B664AF" w:rsidP="00471D53">
                    <w:pPr>
                      <w:jc w:val="right"/>
                      <w:rPr>
                        <w:szCs w:val="21"/>
                      </w:rPr>
                    </w:pPr>
                  </w:p>
                </w:tc>
                <w:tc>
                  <w:tcPr>
                    <w:tcW w:w="838" w:type="pct"/>
                    <w:tcBorders>
                      <w:top w:val="single" w:sz="4" w:space="0" w:color="auto"/>
                      <w:left w:val="single" w:sz="4" w:space="0" w:color="auto"/>
                      <w:bottom w:val="single" w:sz="4" w:space="0" w:color="auto"/>
                      <w:right w:val="single" w:sz="4" w:space="0" w:color="auto"/>
                    </w:tcBorders>
                  </w:tcPr>
                  <w:p w14:paraId="45BC4563" w14:textId="77777777" w:rsidR="00471D53" w:rsidRDefault="00B664AF" w:rsidP="00471D53">
                    <w:pPr>
                      <w:jc w:val="right"/>
                      <w:rPr>
                        <w:szCs w:val="21"/>
                      </w:rPr>
                    </w:pPr>
                  </w:p>
                </w:tc>
                <w:tc>
                  <w:tcPr>
                    <w:tcW w:w="569" w:type="pct"/>
                    <w:tcBorders>
                      <w:left w:val="single" w:sz="4" w:space="0" w:color="auto"/>
                      <w:right w:val="single" w:sz="4" w:space="0" w:color="auto"/>
                    </w:tcBorders>
                  </w:tcPr>
                  <w:p w14:paraId="62BEB557" w14:textId="77777777" w:rsidR="00471D53" w:rsidRDefault="00B664AF" w:rsidP="00471D53">
                    <w:pPr>
                      <w:jc w:val="right"/>
                      <w:rPr>
                        <w:szCs w:val="21"/>
                      </w:rPr>
                    </w:pPr>
                  </w:p>
                </w:tc>
                <w:tc>
                  <w:tcPr>
                    <w:tcW w:w="838" w:type="pct"/>
                    <w:tcBorders>
                      <w:top w:val="single" w:sz="4" w:space="0" w:color="auto"/>
                      <w:left w:val="single" w:sz="4" w:space="0" w:color="auto"/>
                      <w:bottom w:val="single" w:sz="4" w:space="0" w:color="auto"/>
                      <w:right w:val="single" w:sz="4" w:space="0" w:color="auto"/>
                    </w:tcBorders>
                  </w:tcPr>
                  <w:p w14:paraId="493FA44B" w14:textId="77777777" w:rsidR="00471D53" w:rsidRDefault="00B664AF" w:rsidP="00471D53">
                    <w:pPr>
                      <w:ind w:right="5"/>
                      <w:jc w:val="right"/>
                      <w:rPr>
                        <w:szCs w:val="21"/>
                      </w:rPr>
                    </w:pPr>
                  </w:p>
                </w:tc>
              </w:tr>
            </w:sdtContent>
          </w:sdt>
          <w:tr w:rsidR="00471D53" w14:paraId="3EA33F44" w14:textId="77777777" w:rsidTr="00471D53">
            <w:trPr>
              <w:trHeight w:val="20"/>
            </w:trPr>
            <w:sdt>
              <w:sdtPr>
                <w:tag w:val="_PLD_cb1768e916f04c1d8cc6e1efb4624f54"/>
                <w:id w:val="-295608693"/>
                <w:lock w:val="sdtLocked"/>
              </w:sdtPr>
              <w:sdtEndPr/>
              <w:sdtContent>
                <w:tc>
                  <w:tcPr>
                    <w:tcW w:w="568" w:type="pct"/>
                    <w:tcBorders>
                      <w:top w:val="single" w:sz="4" w:space="0" w:color="auto"/>
                      <w:left w:val="single" w:sz="4" w:space="0" w:color="auto"/>
                      <w:bottom w:val="single" w:sz="4" w:space="0" w:color="auto"/>
                      <w:right w:val="single" w:sz="4" w:space="0" w:color="auto"/>
                    </w:tcBorders>
                  </w:tcPr>
                  <w:p w14:paraId="7271BF07" w14:textId="77777777" w:rsidR="00471D53" w:rsidRDefault="004F686E" w:rsidP="00471D53">
                    <w:pPr>
                      <w:jc w:val="center"/>
                      <w:rPr>
                        <w:szCs w:val="21"/>
                      </w:rPr>
                    </w:pPr>
                    <w:r>
                      <w:rPr>
                        <w:rFonts w:hint="eastAsia"/>
                        <w:szCs w:val="21"/>
                      </w:rPr>
                      <w:t>合计</w:t>
                    </w:r>
                  </w:p>
                </w:tc>
              </w:sdtContent>
            </w:sdt>
            <w:tc>
              <w:tcPr>
                <w:tcW w:w="838" w:type="pct"/>
                <w:tcBorders>
                  <w:top w:val="single" w:sz="4" w:space="0" w:color="auto"/>
                  <w:left w:val="single" w:sz="4" w:space="0" w:color="auto"/>
                  <w:bottom w:val="single" w:sz="4" w:space="0" w:color="auto"/>
                  <w:right w:val="single" w:sz="4" w:space="0" w:color="auto"/>
                </w:tcBorders>
                <w:vAlign w:val="center"/>
              </w:tcPr>
              <w:p w14:paraId="64C87EE9" w14:textId="77777777" w:rsidR="00471D53" w:rsidRPr="003218A0" w:rsidRDefault="004F686E" w:rsidP="00471D53">
                <w:pPr>
                  <w:jc w:val="right"/>
                  <w:rPr>
                    <w:bCs/>
                    <w:sz w:val="20"/>
                    <w:szCs w:val="20"/>
                  </w:rPr>
                </w:pPr>
                <w:r w:rsidRPr="003218A0">
                  <w:rPr>
                    <w:rFonts w:hint="eastAsia"/>
                    <w:bCs/>
                    <w:sz w:val="20"/>
                    <w:szCs w:val="20"/>
                  </w:rPr>
                  <w:t>65,190,624.54</w:t>
                </w:r>
              </w:p>
            </w:tc>
            <w:tc>
              <w:tcPr>
                <w:tcW w:w="782" w:type="pct"/>
                <w:tcBorders>
                  <w:top w:val="single" w:sz="4" w:space="0" w:color="auto"/>
                  <w:left w:val="single" w:sz="4" w:space="0" w:color="auto"/>
                  <w:bottom w:val="single" w:sz="4" w:space="0" w:color="auto"/>
                  <w:right w:val="single" w:sz="4" w:space="0" w:color="auto"/>
                </w:tcBorders>
                <w:vAlign w:val="center"/>
              </w:tcPr>
              <w:p w14:paraId="7AB99485" w14:textId="43272F76" w:rsidR="00471D53" w:rsidRPr="003218A0" w:rsidRDefault="004F686E" w:rsidP="00471D53">
                <w:pPr>
                  <w:jc w:val="right"/>
                  <w:rPr>
                    <w:bCs/>
                    <w:sz w:val="20"/>
                    <w:szCs w:val="20"/>
                  </w:rPr>
                </w:pPr>
                <w:r w:rsidRPr="003218A0">
                  <w:rPr>
                    <w:rFonts w:hint="eastAsia"/>
                    <w:bCs/>
                    <w:sz w:val="20"/>
                    <w:szCs w:val="20"/>
                  </w:rPr>
                  <w:t>7,227,430.91</w:t>
                </w:r>
              </w:p>
            </w:tc>
            <w:tc>
              <w:tcPr>
                <w:tcW w:w="568" w:type="pct"/>
                <w:tcBorders>
                  <w:top w:val="single" w:sz="4" w:space="0" w:color="auto"/>
                  <w:left w:val="single" w:sz="4" w:space="0" w:color="auto"/>
                  <w:bottom w:val="single" w:sz="4" w:space="0" w:color="auto"/>
                  <w:right w:val="single" w:sz="4" w:space="0" w:color="auto"/>
                </w:tcBorders>
                <w:vAlign w:val="center"/>
              </w:tcPr>
              <w:p w14:paraId="3C83B764" w14:textId="77777777" w:rsidR="00471D53" w:rsidRPr="003218A0" w:rsidRDefault="004F686E" w:rsidP="00471D53">
                <w:pPr>
                  <w:autoSpaceDE w:val="0"/>
                  <w:autoSpaceDN w:val="0"/>
                  <w:jc w:val="right"/>
                  <w:rPr>
                    <w:rFonts w:cs="Calibri"/>
                    <w:bCs/>
                    <w:sz w:val="20"/>
                    <w:szCs w:val="20"/>
                  </w:rPr>
                </w:pPr>
                <w:r w:rsidRPr="003218A0">
                  <w:rPr>
                    <w:rFonts w:cs="Calibri" w:hint="eastAsia"/>
                    <w:bCs/>
                    <w:sz w:val="20"/>
                    <w:szCs w:val="20"/>
                  </w:rPr>
                  <w:t>0.00</w:t>
                </w:r>
              </w:p>
            </w:tc>
            <w:tc>
              <w:tcPr>
                <w:tcW w:w="838" w:type="pct"/>
                <w:tcBorders>
                  <w:top w:val="single" w:sz="4" w:space="0" w:color="auto"/>
                  <w:left w:val="single" w:sz="4" w:space="0" w:color="auto"/>
                  <w:bottom w:val="single" w:sz="4" w:space="0" w:color="auto"/>
                  <w:right w:val="single" w:sz="4" w:space="0" w:color="auto"/>
                </w:tcBorders>
                <w:vAlign w:val="center"/>
              </w:tcPr>
              <w:p w14:paraId="241F4196" w14:textId="5154A3DF" w:rsidR="00471D53" w:rsidRPr="003218A0" w:rsidRDefault="004F686E" w:rsidP="00471D53">
                <w:pPr>
                  <w:jc w:val="right"/>
                  <w:rPr>
                    <w:bCs/>
                    <w:sz w:val="20"/>
                    <w:szCs w:val="20"/>
                  </w:rPr>
                </w:pPr>
                <w:r w:rsidRPr="003218A0">
                  <w:rPr>
                    <w:rFonts w:hint="eastAsia"/>
                    <w:bCs/>
                    <w:sz w:val="20"/>
                    <w:szCs w:val="20"/>
                  </w:rPr>
                  <w:t>34,637,402.00</w:t>
                </w:r>
              </w:p>
            </w:tc>
            <w:tc>
              <w:tcPr>
                <w:tcW w:w="569" w:type="pct"/>
                <w:tcBorders>
                  <w:left w:val="single" w:sz="4" w:space="0" w:color="auto"/>
                  <w:bottom w:val="single" w:sz="4" w:space="0" w:color="auto"/>
                  <w:right w:val="single" w:sz="4" w:space="0" w:color="auto"/>
                </w:tcBorders>
                <w:vAlign w:val="center"/>
              </w:tcPr>
              <w:p w14:paraId="5E23CB31" w14:textId="77777777" w:rsidR="00471D53" w:rsidRPr="003218A0" w:rsidRDefault="004F686E" w:rsidP="00471D53">
                <w:pPr>
                  <w:autoSpaceDE w:val="0"/>
                  <w:autoSpaceDN w:val="0"/>
                  <w:jc w:val="right"/>
                  <w:rPr>
                    <w:rFonts w:cs="Calibri"/>
                    <w:sz w:val="20"/>
                    <w:szCs w:val="20"/>
                  </w:rPr>
                </w:pPr>
                <w:r w:rsidRPr="003218A0">
                  <w:rPr>
                    <w:rFonts w:cs="Calibri" w:hint="eastAsia"/>
                    <w:bCs/>
                    <w:sz w:val="20"/>
                    <w:szCs w:val="20"/>
                  </w:rPr>
                  <w:t>0.00</w:t>
                </w:r>
              </w:p>
            </w:tc>
            <w:tc>
              <w:tcPr>
                <w:tcW w:w="838" w:type="pct"/>
                <w:tcBorders>
                  <w:top w:val="single" w:sz="4" w:space="0" w:color="auto"/>
                  <w:left w:val="single" w:sz="4" w:space="0" w:color="auto"/>
                  <w:bottom w:val="single" w:sz="4" w:space="0" w:color="auto"/>
                  <w:right w:val="single" w:sz="4" w:space="0" w:color="auto"/>
                </w:tcBorders>
                <w:vAlign w:val="center"/>
              </w:tcPr>
              <w:p w14:paraId="1E36FD61" w14:textId="371F9255" w:rsidR="00471D53" w:rsidRPr="003218A0" w:rsidRDefault="004F686E" w:rsidP="00471D53">
                <w:pPr>
                  <w:jc w:val="right"/>
                  <w:rPr>
                    <w:bCs/>
                    <w:sz w:val="20"/>
                    <w:szCs w:val="20"/>
                  </w:rPr>
                </w:pPr>
                <w:r w:rsidRPr="003218A0">
                  <w:rPr>
                    <w:rFonts w:hint="eastAsia"/>
                    <w:bCs/>
                    <w:sz w:val="20"/>
                    <w:szCs w:val="20"/>
                  </w:rPr>
                  <w:t>37,780,653.45</w:t>
                </w:r>
              </w:p>
            </w:tc>
          </w:tr>
        </w:tbl>
        <w:p w14:paraId="17BEE30E" w14:textId="77777777" w:rsidR="00471D53" w:rsidRDefault="00B664AF"/>
        <w:p w14:paraId="11195147" w14:textId="77777777" w:rsidR="00471D53" w:rsidRDefault="00B664AF"/>
      </w:sdtContent>
    </w:sdt>
    <w:bookmarkEnd w:id="136" w:displacedByCustomXml="prev"/>
    <w:sdt>
      <w:sdtPr>
        <w:rPr>
          <w:rFonts w:ascii="宋体" w:hAnsi="宋体" w:cs="宋体" w:hint="eastAsia"/>
          <w:b w:val="0"/>
          <w:bCs w:val="0"/>
          <w:kern w:val="0"/>
          <w:szCs w:val="24"/>
        </w:rPr>
        <w:alias w:val="模块:存货期末余额含有借款费用资本化金额的说明："/>
        <w:tag w:val="_GBC_dc559aaf0bf0428386e2f7f2cdeb43ec"/>
        <w:id w:val="-1388635855"/>
        <w:lock w:val="sdtLocked"/>
        <w:placeholder>
          <w:docPart w:val="GBC22222222222222222222222222222"/>
        </w:placeholder>
      </w:sdtPr>
      <w:sdtEndPr/>
      <w:sdtContent>
        <w:p w14:paraId="33B16285" w14:textId="77777777" w:rsidR="00471D53" w:rsidRDefault="004F686E" w:rsidP="004F686E">
          <w:pPr>
            <w:pStyle w:val="afffff8"/>
            <w:numPr>
              <w:ilvl w:val="0"/>
              <w:numId w:val="64"/>
            </w:numPr>
            <w:tabs>
              <w:tab w:val="left" w:pos="630"/>
            </w:tabs>
            <w:rPr>
              <w:rFonts w:ascii="宋体" w:hAnsi="宋体"/>
            </w:rPr>
          </w:pPr>
          <w:r>
            <w:rPr>
              <w:rFonts w:ascii="宋体" w:hAnsi="宋体" w:hint="eastAsia"/>
            </w:rPr>
            <w:t>存货期末余额含有借款费用资本化金额的说明</w:t>
          </w:r>
        </w:p>
        <w:sdt>
          <w:sdtPr>
            <w:rPr>
              <w:rFonts w:hint="eastAsia"/>
            </w:rPr>
            <w:alias w:val="是否适用：存货期末余额含有借款费用资本化金额的说明[双击切换]"/>
            <w:tag w:val="_GBC_c4216db560c643b38b29d44401d464c9"/>
            <w:id w:val="-1234924448"/>
            <w:lock w:val="sdtLocked"/>
            <w:placeholder>
              <w:docPart w:val="GBC22222222222222222222222222222"/>
            </w:placeholder>
          </w:sdtPr>
          <w:sdtEndPr/>
          <w:sdtContent>
            <w:p w14:paraId="371D5BDD"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038DA9CA" w14:textId="77777777" w:rsidR="00471D53" w:rsidRDefault="00B664AF"/>
    <w:bookmarkStart w:id="137" w:name="_Hlk10470641" w:displacedByCustomXml="next"/>
    <w:sdt>
      <w:sdtPr>
        <w:rPr>
          <w:rFonts w:ascii="宋体" w:hAnsi="宋体" w:cs="宋体" w:hint="eastAsia"/>
          <w:b w:val="0"/>
          <w:bCs w:val="0"/>
          <w:kern w:val="0"/>
          <w:szCs w:val="24"/>
        </w:rPr>
        <w:alias w:val="模块:合同履约成本本期摊销金额的说明"/>
        <w:tag w:val="_SEC_8c46917973d94083a642ad0ca746d3cd"/>
        <w:id w:val="-2041588120"/>
        <w:lock w:val="sdtLocked"/>
        <w:placeholder>
          <w:docPart w:val="GBC22222222222222222222222222222"/>
        </w:placeholder>
      </w:sdtPr>
      <w:sdtEndPr>
        <w:rPr>
          <w:rFonts w:hint="default"/>
        </w:rPr>
      </w:sdtEndPr>
      <w:sdtContent>
        <w:p w14:paraId="6CB76161" w14:textId="77777777" w:rsidR="00471D53" w:rsidRDefault="004F686E" w:rsidP="004F686E">
          <w:pPr>
            <w:pStyle w:val="afffff8"/>
            <w:numPr>
              <w:ilvl w:val="0"/>
              <w:numId w:val="64"/>
            </w:numPr>
            <w:tabs>
              <w:tab w:val="left" w:pos="630"/>
            </w:tabs>
            <w:rPr>
              <w:rFonts w:ascii="宋体" w:hAnsi="宋体"/>
            </w:rPr>
          </w:pPr>
          <w:r>
            <w:rPr>
              <w:rFonts w:ascii="宋体" w:hAnsi="宋体" w:hint="eastAsia"/>
            </w:rPr>
            <w:t>合同履约成本本期摊销金额的说明</w:t>
          </w:r>
        </w:p>
        <w:sdt>
          <w:sdtPr>
            <w:alias w:val="是否适用：合同履约成本本期摊销金额的说明[双击切换]"/>
            <w:tag w:val="_GBC_cd3513a7790e48d4a2a156e8ad6a629a"/>
            <w:id w:val="-990405315"/>
            <w:lock w:val="sdtLocked"/>
            <w:placeholder>
              <w:docPart w:val="GBC22222222222222222222222222222"/>
            </w:placeholder>
          </w:sdtPr>
          <w:sdtEndPr/>
          <w:sdtContent>
            <w:p w14:paraId="521FAC84" w14:textId="77777777" w:rsidR="00471D53" w:rsidRDefault="004F686E" w:rsidP="00471D53">
              <w:r>
                <w:fldChar w:fldCharType="begin"/>
              </w:r>
              <w:r>
                <w:instrText xml:space="preserve"> MACROBUTTON  SnrToggleCheckbox □适用 </w:instrText>
              </w:r>
              <w:r>
                <w:fldChar w:fldCharType="end"/>
              </w:r>
              <w:r w:rsidRPr="003218A0">
                <w:rPr>
                  <w:b/>
                </w:rPr>
                <w:fldChar w:fldCharType="begin"/>
              </w:r>
              <w:r w:rsidRPr="003218A0">
                <w:rPr>
                  <w:b/>
                </w:rPr>
                <w:instrText xml:space="preserve"> MACROBUTTON  SnrToggleCheckbox √不适用 </w:instrText>
              </w:r>
              <w:r w:rsidRPr="003218A0">
                <w:rPr>
                  <w:b/>
                </w:rPr>
                <w:fldChar w:fldCharType="end"/>
              </w:r>
            </w:p>
          </w:sdtContent>
        </w:sdt>
      </w:sdtContent>
    </w:sdt>
    <w:bookmarkEnd w:id="137" w:displacedByCustomXml="prev"/>
    <w:p w14:paraId="78BCF13A" w14:textId="77777777" w:rsidR="00471D53" w:rsidRDefault="00B664AF"/>
    <w:sdt>
      <w:sdtPr>
        <w:rPr>
          <w:rFonts w:hint="eastAsia"/>
          <w:szCs w:val="21"/>
        </w:rPr>
        <w:alias w:val="模块:存货的其他说明"/>
        <w:tag w:val="_SEC_96c2195df56b4f3eb6049f39e6923486"/>
        <w:id w:val="-2129538808"/>
        <w:lock w:val="sdtLocked"/>
        <w:placeholder>
          <w:docPart w:val="GBC22222222222222222222222222222"/>
        </w:placeholder>
      </w:sdtPr>
      <w:sdtEndPr>
        <w:rPr>
          <w:rFonts w:hint="default"/>
          <w:szCs w:val="24"/>
        </w:rPr>
      </w:sdtEndPr>
      <w:sdtContent>
        <w:p w14:paraId="037F30A4" w14:textId="77777777" w:rsidR="00471D53" w:rsidRDefault="004F686E">
          <w:pPr>
            <w:rPr>
              <w:szCs w:val="21"/>
            </w:rPr>
          </w:pPr>
          <w:r>
            <w:rPr>
              <w:rFonts w:hint="eastAsia"/>
              <w:szCs w:val="21"/>
            </w:rPr>
            <w:t>其他说明：</w:t>
          </w:r>
        </w:p>
        <w:sdt>
          <w:sdtPr>
            <w:rPr>
              <w:szCs w:val="21"/>
            </w:rPr>
            <w:alias w:val="是否适用：存货的其他说明[双击切换]"/>
            <w:tag w:val="_GBC_bd31680428a448ecb64fdd4cbab90a42"/>
            <w:id w:val="-1110509401"/>
            <w:lock w:val="sdtLocked"/>
            <w:placeholder>
              <w:docPart w:val="GBC22222222222222222222222222222"/>
            </w:placeholder>
          </w:sdtPr>
          <w:sdtEndPr/>
          <w:sdtContent>
            <w:p w14:paraId="4179ACB7" w14:textId="77777777" w:rsidR="00471D53" w:rsidRDefault="004F686E" w:rsidP="00471D53">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75F782F7" w14:textId="77777777" w:rsidR="00471D53" w:rsidRDefault="00B664AF" w:rsidP="00471D53"/>
      </w:sdtContent>
    </w:sdt>
    <w:p w14:paraId="65495BAB" w14:textId="77777777" w:rsidR="00471D53" w:rsidRDefault="00B664AF"/>
    <w:bookmarkStart w:id="138" w:name="_Hlk10470760" w:displacedByCustomXml="next"/>
    <w:sdt>
      <w:sdtPr>
        <w:rPr>
          <w:rFonts w:ascii="宋体" w:hAnsi="宋体" w:cs="宋体" w:hint="eastAsia"/>
          <w:b w:val="0"/>
          <w:bCs w:val="0"/>
          <w:kern w:val="0"/>
          <w:szCs w:val="24"/>
        </w:rPr>
        <w:alias w:val="模块:合同资产"/>
        <w:tag w:val="_SEC_9eb3b6c88c0a41f7a3f6a2f43946f06c"/>
        <w:id w:val="1904407509"/>
        <w:lock w:val="sdtLocked"/>
        <w:placeholder>
          <w:docPart w:val="GBC22222222222222222222222222222"/>
        </w:placeholder>
      </w:sdtPr>
      <w:sdtEndPr/>
      <w:sdtContent>
        <w:p w14:paraId="4A4E89DC" w14:textId="77777777" w:rsidR="00471D53" w:rsidRDefault="004F686E" w:rsidP="004F686E">
          <w:pPr>
            <w:pStyle w:val="afffff7"/>
            <w:numPr>
              <w:ilvl w:val="0"/>
              <w:numId w:val="55"/>
            </w:numPr>
            <w:tabs>
              <w:tab w:val="left" w:pos="504"/>
            </w:tabs>
            <w:rPr>
              <w:rFonts w:ascii="宋体" w:hAnsi="宋体"/>
            </w:rPr>
          </w:pPr>
          <w:r>
            <w:rPr>
              <w:rFonts w:ascii="宋体" w:hAnsi="宋体" w:hint="eastAsia"/>
            </w:rPr>
            <w:t>合同资产</w:t>
          </w:r>
        </w:p>
        <w:p w14:paraId="420B957D" w14:textId="77777777" w:rsidR="00471D53" w:rsidRDefault="004F686E" w:rsidP="004F686E">
          <w:pPr>
            <w:pStyle w:val="afffff8"/>
            <w:numPr>
              <w:ilvl w:val="3"/>
              <w:numId w:val="65"/>
            </w:numPr>
            <w:ind w:left="426" w:hanging="426"/>
            <w:rPr>
              <w:rFonts w:ascii="宋体" w:hAnsi="宋体"/>
            </w:rPr>
          </w:pPr>
          <w:r>
            <w:rPr>
              <w:rFonts w:ascii="宋体" w:hAnsi="宋体" w:hint="eastAsia"/>
            </w:rPr>
            <w:t>合同资产情况</w:t>
          </w:r>
        </w:p>
        <w:sdt>
          <w:sdtPr>
            <w:alias w:val="是否适用：合同资产情况[双击切换]"/>
            <w:tag w:val="_GBC_d77156d135184e21a21238cac863494c"/>
            <w:id w:val="2054573400"/>
            <w:lock w:val="sdtLocked"/>
            <w:placeholder>
              <w:docPart w:val="GBC22222222222222222222222222222"/>
            </w:placeholder>
          </w:sdtPr>
          <w:sdtEndPr/>
          <w:sdtContent>
            <w:p w14:paraId="5172AAB6"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38" w:displacedByCustomXml="prev"/>
    <w:bookmarkStart w:id="139" w:name="_Hlk10470932" w:displacedByCustomXml="next"/>
    <w:bookmarkStart w:id="140" w:name="_Hlk10470942" w:displacedByCustomXml="next"/>
    <w:sdt>
      <w:sdtPr>
        <w:rPr>
          <w:rFonts w:ascii="宋体" w:hAnsi="宋体" w:cs="宋体" w:hint="eastAsia"/>
          <w:b w:val="0"/>
          <w:bCs w:val="0"/>
          <w:kern w:val="0"/>
          <w:szCs w:val="24"/>
        </w:rPr>
        <w:alias w:val="模块:报告期内账面价值发生重大变动的金额和原因"/>
        <w:tag w:val="_SEC_e8c350da8e69479e93eb03226371923c"/>
        <w:id w:val="-956175453"/>
        <w:lock w:val="sdtLocked"/>
        <w:placeholder>
          <w:docPart w:val="GBC22222222222222222222222222222"/>
        </w:placeholder>
      </w:sdtPr>
      <w:sdtEndPr>
        <w:rPr>
          <w:rFonts w:hint="default"/>
        </w:rPr>
      </w:sdtEndPr>
      <w:sdtContent>
        <w:p w14:paraId="14616EAA" w14:textId="77777777" w:rsidR="00471D53" w:rsidRDefault="004F686E" w:rsidP="004F686E">
          <w:pPr>
            <w:pStyle w:val="afffff8"/>
            <w:numPr>
              <w:ilvl w:val="3"/>
              <w:numId w:val="65"/>
            </w:numPr>
            <w:ind w:left="426" w:hanging="426"/>
            <w:rPr>
              <w:rFonts w:ascii="宋体" w:hAnsi="宋体"/>
            </w:rPr>
          </w:pPr>
          <w:r>
            <w:rPr>
              <w:rFonts w:ascii="宋体" w:hAnsi="宋体" w:hint="eastAsia"/>
            </w:rPr>
            <w:t>报告期内账面价值发生重大变动的金额和原因</w:t>
          </w:r>
          <w:bookmarkEnd w:id="139"/>
        </w:p>
        <w:sdt>
          <w:sdtPr>
            <w:rPr>
              <w:szCs w:val="21"/>
            </w:rPr>
            <w:alias w:val="是否适用：合同资产账面价值发生重大变动[双击切换]"/>
            <w:tag w:val="_GBC_4cdeacc1c4f24682b8d7fe35b510e9c1"/>
            <w:id w:val="-1338301077"/>
            <w:lock w:val="sdtLocked"/>
            <w:placeholder>
              <w:docPart w:val="GBC22222222222222222222222222222"/>
            </w:placeholder>
          </w:sdtPr>
          <w:sdtEndPr/>
          <w:sdtContent>
            <w:p w14:paraId="78DF3CB5" w14:textId="77777777" w:rsidR="00471D53" w:rsidRDefault="004F686E" w:rsidP="00471D53">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bookmarkEnd w:id="140" w:displacedByCustomXml="prev"/>
    <w:bookmarkStart w:id="141" w:name="_Hlk10470956" w:displacedByCustomXml="next"/>
    <w:bookmarkStart w:id="142" w:name="_Hlk10470966" w:displacedByCustomXml="next"/>
    <w:sdt>
      <w:sdtPr>
        <w:rPr>
          <w:rFonts w:ascii="宋体" w:hAnsi="宋体" w:cs="宋体" w:hint="eastAsia"/>
          <w:b w:val="0"/>
          <w:bCs w:val="0"/>
          <w:kern w:val="0"/>
          <w:szCs w:val="21"/>
        </w:rPr>
        <w:alias w:val="模块:本期合同资产计提减值准备情况"/>
        <w:tag w:val="_SEC_bf3d6e0971b243878381353846199645"/>
        <w:id w:val="-1773001005"/>
        <w:lock w:val="sdtLocked"/>
        <w:placeholder>
          <w:docPart w:val="GBC22222222222222222222222222222"/>
        </w:placeholder>
      </w:sdtPr>
      <w:sdtEndPr>
        <w:rPr>
          <w:rFonts w:hint="default"/>
          <w:szCs w:val="24"/>
        </w:rPr>
      </w:sdtEndPr>
      <w:sdtContent>
        <w:p w14:paraId="7F012025" w14:textId="77777777" w:rsidR="00471D53" w:rsidRDefault="004F686E" w:rsidP="004F686E">
          <w:pPr>
            <w:pStyle w:val="afffff8"/>
            <w:numPr>
              <w:ilvl w:val="3"/>
              <w:numId w:val="65"/>
            </w:numPr>
            <w:ind w:left="426" w:hanging="426"/>
            <w:rPr>
              <w:rFonts w:ascii="宋体" w:hAnsi="宋体"/>
              <w:szCs w:val="21"/>
            </w:rPr>
          </w:pPr>
          <w:r>
            <w:rPr>
              <w:rFonts w:ascii="宋体" w:hAnsi="宋体" w:hint="eastAsia"/>
              <w:szCs w:val="21"/>
            </w:rPr>
            <w:t>本期合同资产计提减值准备情况</w:t>
          </w:r>
          <w:bookmarkEnd w:id="141"/>
        </w:p>
        <w:sdt>
          <w:sdtPr>
            <w:rPr>
              <w:szCs w:val="21"/>
            </w:rPr>
            <w:alias w:val="是否适用：合同资产减值准备[双击切换]"/>
            <w:tag w:val="_GBC_47f239b7a5d442b0a0a358017de09567"/>
            <w:id w:val="643937526"/>
            <w:lock w:val="sdtLocked"/>
            <w:placeholder>
              <w:docPart w:val="GBC22222222222222222222222222222"/>
            </w:placeholder>
          </w:sdtPr>
          <w:sdtEndPr/>
          <w:sdtContent>
            <w:p w14:paraId="693B1C5B" w14:textId="77777777" w:rsidR="00471D53" w:rsidRDefault="004F686E" w:rsidP="00471D53">
              <w:pPr>
                <w:autoSpaceDE w:val="0"/>
                <w:autoSpaceDN w:val="0"/>
                <w:adjustRightInd w:val="0"/>
                <w:ind w:rightChars="50" w:right="105"/>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20E37E5A" w14:textId="77777777" w:rsidR="00471D53" w:rsidRDefault="00B664AF" w:rsidP="00471D53">
          <w:pPr>
            <w:autoSpaceDE w:val="0"/>
            <w:autoSpaceDN w:val="0"/>
            <w:adjustRightInd w:val="0"/>
            <w:ind w:rightChars="50" w:right="105"/>
            <w:rPr>
              <w:szCs w:val="21"/>
            </w:rPr>
          </w:pPr>
        </w:p>
        <w:p w14:paraId="52730455" w14:textId="77777777" w:rsidR="00471D53" w:rsidRDefault="00B664AF"/>
      </w:sdtContent>
    </w:sdt>
    <w:bookmarkEnd w:id="142" w:displacedByCustomXml="prev"/>
    <w:bookmarkStart w:id="143" w:name="_Hlk10471002" w:displacedByCustomXml="next"/>
    <w:bookmarkStart w:id="144" w:name="_Hlk10471011" w:displacedByCustomXml="next"/>
    <w:sdt>
      <w:sdtPr>
        <w:rPr>
          <w:rFonts w:hint="eastAsia"/>
          <w:szCs w:val="21"/>
        </w:rPr>
        <w:alias w:val="模块:其他说明："/>
        <w:tag w:val="_SEC_5b10981ad765434eb8d30a4d75bff071"/>
        <w:id w:val="624666477"/>
        <w:lock w:val="sdtLocked"/>
        <w:placeholder>
          <w:docPart w:val="GBC22222222222222222222222222222"/>
        </w:placeholder>
      </w:sdtPr>
      <w:sdtEndPr>
        <w:rPr>
          <w:rFonts w:hint="default"/>
          <w:szCs w:val="24"/>
        </w:rPr>
      </w:sdtEndPr>
      <w:sdtContent>
        <w:p w14:paraId="2859A0C9" w14:textId="77777777" w:rsidR="00471D53" w:rsidRDefault="004F686E">
          <w:pPr>
            <w:rPr>
              <w:szCs w:val="21"/>
            </w:rPr>
          </w:pPr>
          <w:r>
            <w:rPr>
              <w:rFonts w:hint="eastAsia"/>
              <w:szCs w:val="21"/>
            </w:rPr>
            <w:t>其他说明：</w:t>
          </w:r>
          <w:bookmarkEnd w:id="143"/>
        </w:p>
        <w:sdt>
          <w:sdtPr>
            <w:rPr>
              <w:szCs w:val="21"/>
            </w:rPr>
            <w:alias w:val="是否适用：合同资产其他说明[双击切换]"/>
            <w:tag w:val="_GBC_06cd3c0f93454d76bd0c7e20322e8a49"/>
            <w:id w:val="-1099098839"/>
            <w:lock w:val="sdtLocked"/>
            <w:placeholder>
              <w:docPart w:val="GBC22222222222222222222222222222"/>
            </w:placeholder>
          </w:sdtPr>
          <w:sdtEndPr/>
          <w:sdtContent>
            <w:p w14:paraId="1179FD5D" w14:textId="77777777" w:rsidR="00471D53" w:rsidRDefault="004F686E" w:rsidP="00471D53">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bookmarkEnd w:id="144" w:displacedByCustomXml="prev"/>
    <w:p w14:paraId="2C977DE3" w14:textId="77777777" w:rsidR="00471D53" w:rsidRDefault="00B664AF"/>
    <w:sdt>
      <w:sdtPr>
        <w:rPr>
          <w:rFonts w:ascii="宋体" w:hAnsi="宋体" w:cs="宋体" w:hint="eastAsia"/>
          <w:b w:val="0"/>
          <w:bCs w:val="0"/>
          <w:kern w:val="0"/>
          <w:szCs w:val="24"/>
        </w:rPr>
        <w:alias w:val="模块:划分为持有待售的资产"/>
        <w:tag w:val="_GBC_b8017c342539428893a6ec198dd061b3"/>
        <w:id w:val="-585296367"/>
        <w:lock w:val="sdtLocked"/>
        <w:placeholder>
          <w:docPart w:val="GBC22222222222222222222222222222"/>
        </w:placeholder>
      </w:sdtPr>
      <w:sdtEndPr>
        <w:rPr>
          <w:rFonts w:hint="default"/>
          <w:szCs w:val="21"/>
        </w:rPr>
      </w:sdtEndPr>
      <w:sdtContent>
        <w:p w14:paraId="4AC526EF" w14:textId="77777777" w:rsidR="00471D53" w:rsidRDefault="004F686E" w:rsidP="004F686E">
          <w:pPr>
            <w:pStyle w:val="afffff7"/>
            <w:numPr>
              <w:ilvl w:val="0"/>
              <w:numId w:val="55"/>
            </w:numPr>
            <w:tabs>
              <w:tab w:val="left" w:pos="504"/>
            </w:tabs>
            <w:rPr>
              <w:rFonts w:ascii="宋体" w:hAnsi="宋体"/>
            </w:rPr>
          </w:pPr>
          <w:r>
            <w:rPr>
              <w:rFonts w:ascii="宋体" w:hAnsi="宋体" w:hint="eastAsia"/>
            </w:rPr>
            <w:t>持有待售资产</w:t>
          </w:r>
        </w:p>
        <w:sdt>
          <w:sdtPr>
            <w:alias w:val="是否适用：划分为持有待售的资产[双击切换]"/>
            <w:tag w:val="_GBC_a6517e0f93e04b1caa2e45201c8133b1"/>
            <w:id w:val="1580176989"/>
            <w:lock w:val="sdtLocked"/>
            <w:placeholder>
              <w:docPart w:val="GBC22222222222222222222222222222"/>
            </w:placeholder>
          </w:sdtPr>
          <w:sdtEndPr/>
          <w:sdtContent>
            <w:p w14:paraId="087384E1"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C6877F9" w14:textId="77777777" w:rsidR="00471D53" w:rsidRDefault="00B664AF"/>
      </w:sdtContent>
    </w:sdt>
    <w:p w14:paraId="57AC4A06" w14:textId="77777777" w:rsidR="00471D53" w:rsidRDefault="00B664AF">
      <w:pPr>
        <w:ind w:right="210"/>
      </w:pPr>
    </w:p>
    <w:bookmarkStart w:id="145" w:name="_Hlk10471081" w:displacedByCustomXml="next"/>
    <w:sdt>
      <w:sdtPr>
        <w:rPr>
          <w:rFonts w:ascii="宋体" w:hAnsi="宋体" w:cs="宋体" w:hint="eastAsia"/>
          <w:b w:val="0"/>
          <w:bCs w:val="0"/>
          <w:kern w:val="0"/>
          <w:szCs w:val="24"/>
        </w:rPr>
        <w:alias w:val="模块:一年内到期的非流动资产"/>
        <w:tag w:val="_GBC_73afc3711ce24918b57d8c069abaf5c5"/>
        <w:id w:val="-1929104846"/>
        <w:lock w:val="sdtLocked"/>
        <w:placeholder>
          <w:docPart w:val="GBC22222222222222222222222222222"/>
        </w:placeholder>
      </w:sdtPr>
      <w:sdtEndPr/>
      <w:sdtContent>
        <w:p w14:paraId="07A0A3D2" w14:textId="77777777" w:rsidR="00471D53" w:rsidRDefault="004F686E" w:rsidP="004F686E">
          <w:pPr>
            <w:pStyle w:val="afffff7"/>
            <w:numPr>
              <w:ilvl w:val="0"/>
              <w:numId w:val="55"/>
            </w:numPr>
            <w:tabs>
              <w:tab w:val="left" w:pos="504"/>
            </w:tabs>
            <w:rPr>
              <w:rFonts w:ascii="宋体" w:hAnsi="宋体"/>
            </w:rPr>
          </w:pPr>
          <w:r>
            <w:rPr>
              <w:rFonts w:ascii="宋体" w:hAnsi="宋体" w:hint="eastAsia"/>
            </w:rPr>
            <w:t>一年内到期的非流动资产</w:t>
          </w:r>
        </w:p>
        <w:sdt>
          <w:sdtPr>
            <w:alias w:val="是否适用：一年内到期的非流动资产[双击切换]"/>
            <w:tag w:val="_GBC_3c3df002388d4bbe8dd8d4df7fe26ebc"/>
            <w:id w:val="-531415808"/>
            <w:lock w:val="sdtLocked"/>
            <w:placeholder>
              <w:docPart w:val="GBC22222222222222222222222222222"/>
            </w:placeholder>
          </w:sdtPr>
          <w:sdtEndPr/>
          <w:sdtContent>
            <w:p w14:paraId="38B96863"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5DCC8A2" w14:textId="77777777" w:rsidR="00471D53" w:rsidRDefault="00B664AF">
          <w:pPr>
            <w:ind w:right="210"/>
          </w:pPr>
        </w:p>
      </w:sdtContent>
    </w:sdt>
    <w:bookmarkEnd w:id="145" w:displacedByCustomXml="prev"/>
    <w:p w14:paraId="651538F8" w14:textId="77777777" w:rsidR="00471D53" w:rsidRDefault="00B664AF">
      <w:pPr>
        <w:ind w:right="210"/>
      </w:pPr>
    </w:p>
    <w:bookmarkStart w:id="146" w:name="_Hlk10471163" w:displacedByCustomXml="next"/>
    <w:sdt>
      <w:sdtPr>
        <w:rPr>
          <w:rFonts w:ascii="宋体" w:hAnsi="宋体" w:cs="宋体" w:hint="eastAsia"/>
          <w:b w:val="0"/>
          <w:bCs w:val="0"/>
          <w:kern w:val="0"/>
          <w:szCs w:val="24"/>
        </w:rPr>
        <w:alias w:val="模块:其他流动资产"/>
        <w:tag w:val="_GBC_e29fd29bee934fc3ab8325cf3625b905"/>
        <w:id w:val="965943593"/>
        <w:lock w:val="sdtLocked"/>
        <w:placeholder>
          <w:docPart w:val="GBC22222222222222222222222222222"/>
        </w:placeholder>
      </w:sdtPr>
      <w:sdtEndPr/>
      <w:sdtContent>
        <w:p w14:paraId="7A376CB7" w14:textId="77777777" w:rsidR="00471D53" w:rsidRDefault="004F686E" w:rsidP="004F686E">
          <w:pPr>
            <w:pStyle w:val="afffff7"/>
            <w:numPr>
              <w:ilvl w:val="0"/>
              <w:numId w:val="55"/>
            </w:numPr>
            <w:tabs>
              <w:tab w:val="left" w:pos="504"/>
            </w:tabs>
            <w:rPr>
              <w:rFonts w:ascii="宋体" w:hAnsi="宋体"/>
            </w:rPr>
          </w:pPr>
          <w:r>
            <w:rPr>
              <w:rFonts w:ascii="宋体" w:hAnsi="宋体" w:hint="eastAsia"/>
            </w:rPr>
            <w:t>其他流动资产</w:t>
          </w:r>
        </w:p>
        <w:sdt>
          <w:sdtPr>
            <w:alias w:val="是否适用：其他流动资产[双击切换]"/>
            <w:tag w:val="_GBC_7733d50365e24328b41020152f88028d"/>
            <w:id w:val="79726637"/>
            <w:lock w:val="sdtLocked"/>
            <w:placeholder>
              <w:docPart w:val="GBC22222222222222222222222222222"/>
            </w:placeholder>
          </w:sdtPr>
          <w:sdtEndPr/>
          <w:sdtContent>
            <w:p w14:paraId="3B529487"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42CCC42" w14:textId="641C4138" w:rsidR="00471D53" w:rsidRDefault="004F686E">
          <w:pPr>
            <w:jc w:val="right"/>
          </w:pPr>
          <w:r>
            <w:rPr>
              <w:rFonts w:hint="eastAsia"/>
            </w:rPr>
            <w:t>单位：</w:t>
          </w:r>
          <w:sdt>
            <w:sdtPr>
              <w:rPr>
                <w:rFonts w:hint="eastAsia"/>
              </w:rPr>
              <w:alias w:val="单位：其他流动资产"/>
              <w:tag w:val="_GBC_d0c62fc75d164678ad203d9ddb106538"/>
              <w:id w:val="-20196805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其他流动资产"/>
              <w:tag w:val="_GBC_9196143d56d24a9ea7f7e31ce8a09024"/>
              <w:id w:val="5003959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4"/>
            <w:gridCol w:w="2845"/>
            <w:gridCol w:w="2774"/>
          </w:tblGrid>
          <w:tr w:rsidR="00471D53" w14:paraId="1C47F66B" w14:textId="77777777" w:rsidTr="00510B81">
            <w:bookmarkStart w:id="147" w:name="_Hlk533421736" w:displacedByCustomXml="next"/>
            <w:sdt>
              <w:sdtPr>
                <w:tag w:val="_PLD_15bbfc7d41df4300abcae2e424cc6572"/>
                <w:id w:val="-149601351"/>
                <w:lock w:val="sdtLocked"/>
              </w:sdtPr>
              <w:sdtEndPr/>
              <w:sdtContent>
                <w:tc>
                  <w:tcPr>
                    <w:tcW w:w="1816" w:type="pct"/>
                    <w:shd w:val="clear" w:color="auto" w:fill="auto"/>
                    <w:vAlign w:val="center"/>
                  </w:tcPr>
                  <w:p w14:paraId="4DB364CA" w14:textId="77777777" w:rsidR="00471D53" w:rsidRDefault="004F686E">
                    <w:pPr>
                      <w:jc w:val="center"/>
                      <w:rPr>
                        <w:szCs w:val="21"/>
                      </w:rPr>
                    </w:pPr>
                    <w:r>
                      <w:rPr>
                        <w:rFonts w:hint="eastAsia"/>
                        <w:szCs w:val="21"/>
                      </w:rPr>
                      <w:t>项目</w:t>
                    </w:r>
                  </w:p>
                </w:tc>
              </w:sdtContent>
            </w:sdt>
            <w:sdt>
              <w:sdtPr>
                <w:tag w:val="_PLD_d2a222194eae4e958db2401139170ea2"/>
                <w:id w:val="1373659697"/>
                <w:lock w:val="sdtLocked"/>
              </w:sdtPr>
              <w:sdtEndPr/>
              <w:sdtContent>
                <w:tc>
                  <w:tcPr>
                    <w:tcW w:w="1612" w:type="pct"/>
                    <w:shd w:val="clear" w:color="auto" w:fill="auto"/>
                    <w:vAlign w:val="center"/>
                  </w:tcPr>
                  <w:p w14:paraId="4AF69197" w14:textId="77777777" w:rsidR="00471D53" w:rsidRDefault="004F686E">
                    <w:pPr>
                      <w:jc w:val="center"/>
                      <w:rPr>
                        <w:szCs w:val="21"/>
                      </w:rPr>
                    </w:pPr>
                    <w:r>
                      <w:rPr>
                        <w:rFonts w:hint="eastAsia"/>
                        <w:szCs w:val="21"/>
                      </w:rPr>
                      <w:t>期末余额</w:t>
                    </w:r>
                  </w:p>
                </w:tc>
              </w:sdtContent>
            </w:sdt>
            <w:sdt>
              <w:sdtPr>
                <w:tag w:val="_PLD_0f3815799e9d4216b9506517d8e9b90c"/>
                <w:id w:val="1310977683"/>
                <w:lock w:val="sdtLocked"/>
              </w:sdtPr>
              <w:sdtEndPr/>
              <w:sdtContent>
                <w:tc>
                  <w:tcPr>
                    <w:tcW w:w="1572" w:type="pct"/>
                    <w:shd w:val="clear" w:color="auto" w:fill="auto"/>
                    <w:vAlign w:val="center"/>
                  </w:tcPr>
                  <w:p w14:paraId="339005E7" w14:textId="77777777" w:rsidR="00471D53" w:rsidRDefault="004F686E">
                    <w:pPr>
                      <w:jc w:val="center"/>
                      <w:rPr>
                        <w:szCs w:val="21"/>
                      </w:rPr>
                    </w:pPr>
                    <w:r>
                      <w:rPr>
                        <w:rFonts w:hint="eastAsia"/>
                        <w:szCs w:val="21"/>
                      </w:rPr>
                      <w:t>期初余额</w:t>
                    </w:r>
                  </w:p>
                </w:tc>
              </w:sdtContent>
            </w:sdt>
          </w:tr>
          <w:tr w:rsidR="00471D53" w14:paraId="7ADECCA6" w14:textId="77777777" w:rsidTr="00510B81">
            <w:sdt>
              <w:sdtPr>
                <w:tag w:val="_PLD_5784c482c38842a295b3e360832ddcad"/>
                <w:id w:val="-269945953"/>
                <w:lock w:val="sdtLocked"/>
              </w:sdtPr>
              <w:sdtEndPr/>
              <w:sdtContent>
                <w:tc>
                  <w:tcPr>
                    <w:tcW w:w="1816" w:type="pct"/>
                    <w:shd w:val="clear" w:color="auto" w:fill="auto"/>
                    <w:vAlign w:val="center"/>
                  </w:tcPr>
                  <w:p w14:paraId="0FC51AF3" w14:textId="77777777" w:rsidR="00471D53" w:rsidRDefault="004F686E">
                    <w:r>
                      <w:rPr>
                        <w:rFonts w:hint="eastAsia"/>
                      </w:rPr>
                      <w:t>合同取得成本</w:t>
                    </w:r>
                  </w:p>
                </w:tc>
              </w:sdtContent>
            </w:sdt>
            <w:tc>
              <w:tcPr>
                <w:tcW w:w="1612" w:type="pct"/>
                <w:shd w:val="clear" w:color="auto" w:fill="auto"/>
                <w:vAlign w:val="center"/>
              </w:tcPr>
              <w:p w14:paraId="1F59C8F6" w14:textId="77777777" w:rsidR="00471D53" w:rsidRDefault="00B664AF">
                <w:pPr>
                  <w:jc w:val="right"/>
                </w:pPr>
              </w:p>
            </w:tc>
            <w:tc>
              <w:tcPr>
                <w:tcW w:w="1572" w:type="pct"/>
                <w:shd w:val="clear" w:color="auto" w:fill="auto"/>
                <w:vAlign w:val="center"/>
              </w:tcPr>
              <w:p w14:paraId="527F5B4F" w14:textId="77777777" w:rsidR="00471D53" w:rsidRDefault="00B664AF">
                <w:pPr>
                  <w:jc w:val="right"/>
                </w:pPr>
              </w:p>
            </w:tc>
          </w:tr>
          <w:tr w:rsidR="00471D53" w14:paraId="4BB60F1F" w14:textId="77777777" w:rsidTr="00510B81">
            <w:sdt>
              <w:sdtPr>
                <w:tag w:val="_PLD_a697556166a54a12bb39e7c933ac01b6"/>
                <w:id w:val="-1689603234"/>
                <w:lock w:val="sdtLocked"/>
              </w:sdtPr>
              <w:sdtEndPr/>
              <w:sdtContent>
                <w:tc>
                  <w:tcPr>
                    <w:tcW w:w="1816" w:type="pct"/>
                    <w:shd w:val="clear" w:color="auto" w:fill="auto"/>
                    <w:vAlign w:val="center"/>
                  </w:tcPr>
                  <w:p w14:paraId="505DEC2C" w14:textId="77777777" w:rsidR="00471D53" w:rsidRDefault="004F686E">
                    <w:r>
                      <w:rPr>
                        <w:rFonts w:hint="eastAsia"/>
                      </w:rPr>
                      <w:t>应收退货成本</w:t>
                    </w:r>
                  </w:p>
                </w:tc>
              </w:sdtContent>
            </w:sdt>
            <w:tc>
              <w:tcPr>
                <w:tcW w:w="1612" w:type="pct"/>
                <w:shd w:val="clear" w:color="auto" w:fill="auto"/>
                <w:vAlign w:val="center"/>
              </w:tcPr>
              <w:p w14:paraId="2BB8D7D4" w14:textId="77777777" w:rsidR="00471D53" w:rsidRDefault="00B664AF">
                <w:pPr>
                  <w:jc w:val="right"/>
                </w:pPr>
              </w:p>
            </w:tc>
            <w:tc>
              <w:tcPr>
                <w:tcW w:w="1572" w:type="pct"/>
                <w:shd w:val="clear" w:color="auto" w:fill="auto"/>
                <w:vAlign w:val="center"/>
              </w:tcPr>
              <w:p w14:paraId="6D3CAC97" w14:textId="77777777" w:rsidR="00471D53" w:rsidRDefault="00B664AF">
                <w:pPr>
                  <w:jc w:val="right"/>
                </w:pPr>
              </w:p>
            </w:tc>
          </w:tr>
          <w:tr w:rsidR="00471D53" w14:paraId="7982E683" w14:textId="77777777" w:rsidTr="00471D53">
            <w:tc>
              <w:tcPr>
                <w:tcW w:w="1816" w:type="pct"/>
                <w:shd w:val="clear" w:color="auto" w:fill="auto"/>
                <w:vAlign w:val="center"/>
              </w:tcPr>
              <w:p w14:paraId="226EF241" w14:textId="77777777" w:rsidR="00471D53" w:rsidRDefault="004F686E" w:rsidP="00471D53">
                <w:pPr>
                  <w:autoSpaceDE w:val="0"/>
                  <w:autoSpaceDN w:val="0"/>
                  <w:jc w:val="both"/>
                  <w:rPr>
                    <w:sz w:val="22"/>
                    <w:szCs w:val="22"/>
                  </w:rPr>
                </w:pPr>
                <w:r>
                  <w:rPr>
                    <w:rFonts w:hint="eastAsia"/>
                    <w:sz w:val="22"/>
                    <w:szCs w:val="22"/>
                  </w:rPr>
                  <w:t>留抵增值税</w:t>
                </w:r>
              </w:p>
            </w:tc>
            <w:tc>
              <w:tcPr>
                <w:tcW w:w="1612" w:type="pct"/>
                <w:shd w:val="clear" w:color="auto" w:fill="auto"/>
                <w:vAlign w:val="center"/>
              </w:tcPr>
              <w:p w14:paraId="155060DD" w14:textId="0F78DCBF" w:rsidR="00471D53" w:rsidRDefault="004F686E" w:rsidP="00471D53">
                <w:pPr>
                  <w:autoSpaceDE w:val="0"/>
                  <w:autoSpaceDN w:val="0"/>
                  <w:jc w:val="right"/>
                  <w:rPr>
                    <w:sz w:val="22"/>
                    <w:szCs w:val="22"/>
                  </w:rPr>
                </w:pPr>
                <w:r>
                  <w:rPr>
                    <w:rFonts w:hint="eastAsia"/>
                    <w:sz w:val="22"/>
                    <w:szCs w:val="22"/>
                  </w:rPr>
                  <w:t>29,487,972.39</w:t>
                </w:r>
              </w:p>
            </w:tc>
            <w:tc>
              <w:tcPr>
                <w:tcW w:w="1572" w:type="pct"/>
                <w:shd w:val="clear" w:color="auto" w:fill="auto"/>
                <w:vAlign w:val="center"/>
              </w:tcPr>
              <w:p w14:paraId="47A0A912" w14:textId="77777777" w:rsidR="00471D53" w:rsidRDefault="004F686E" w:rsidP="00471D53">
                <w:pPr>
                  <w:autoSpaceDE w:val="0"/>
                  <w:autoSpaceDN w:val="0"/>
                  <w:jc w:val="right"/>
                  <w:rPr>
                    <w:sz w:val="22"/>
                    <w:szCs w:val="22"/>
                  </w:rPr>
                </w:pPr>
                <w:r>
                  <w:rPr>
                    <w:rFonts w:cs="Calibri"/>
                    <w:sz w:val="22"/>
                    <w:szCs w:val="22"/>
                  </w:rPr>
                  <w:t>33,331,038.32</w:t>
                </w:r>
              </w:p>
            </w:tc>
          </w:tr>
          <w:tr w:rsidR="00471D53" w14:paraId="2525D347" w14:textId="77777777" w:rsidTr="00471D53">
            <w:tc>
              <w:tcPr>
                <w:tcW w:w="1816" w:type="pct"/>
                <w:shd w:val="clear" w:color="auto" w:fill="auto"/>
                <w:vAlign w:val="center"/>
              </w:tcPr>
              <w:p w14:paraId="2DD21AAA" w14:textId="77777777" w:rsidR="00471D53" w:rsidRDefault="004F686E" w:rsidP="00471D53">
                <w:pPr>
                  <w:autoSpaceDE w:val="0"/>
                  <w:autoSpaceDN w:val="0"/>
                  <w:jc w:val="both"/>
                  <w:rPr>
                    <w:sz w:val="22"/>
                    <w:szCs w:val="22"/>
                  </w:rPr>
                </w:pPr>
                <w:r>
                  <w:rPr>
                    <w:rFonts w:hint="eastAsia"/>
                    <w:sz w:val="22"/>
                    <w:szCs w:val="22"/>
                  </w:rPr>
                  <w:t>未抵扣增值税</w:t>
                </w:r>
              </w:p>
            </w:tc>
            <w:tc>
              <w:tcPr>
                <w:tcW w:w="1612" w:type="pct"/>
                <w:shd w:val="clear" w:color="auto" w:fill="auto"/>
                <w:vAlign w:val="center"/>
              </w:tcPr>
              <w:p w14:paraId="7055B4F6" w14:textId="0B8BB4AB" w:rsidR="00471D53" w:rsidRDefault="004F686E" w:rsidP="00471D53">
                <w:pPr>
                  <w:autoSpaceDE w:val="0"/>
                  <w:autoSpaceDN w:val="0"/>
                  <w:jc w:val="right"/>
                  <w:rPr>
                    <w:sz w:val="22"/>
                    <w:szCs w:val="22"/>
                  </w:rPr>
                </w:pPr>
                <w:r>
                  <w:rPr>
                    <w:rFonts w:hint="eastAsia"/>
                    <w:sz w:val="22"/>
                    <w:szCs w:val="22"/>
                  </w:rPr>
                  <w:t>2,270.23</w:t>
                </w:r>
              </w:p>
            </w:tc>
            <w:tc>
              <w:tcPr>
                <w:tcW w:w="1572" w:type="pct"/>
                <w:shd w:val="clear" w:color="auto" w:fill="auto"/>
                <w:vAlign w:val="center"/>
              </w:tcPr>
              <w:p w14:paraId="230C2CF7" w14:textId="77777777" w:rsidR="00471D53" w:rsidRDefault="004F686E" w:rsidP="00471D53">
                <w:pPr>
                  <w:autoSpaceDE w:val="0"/>
                  <w:autoSpaceDN w:val="0"/>
                  <w:jc w:val="right"/>
                  <w:rPr>
                    <w:sz w:val="22"/>
                    <w:szCs w:val="22"/>
                  </w:rPr>
                </w:pPr>
                <w:r>
                  <w:rPr>
                    <w:rFonts w:cs="Calibri" w:hint="eastAsia"/>
                    <w:sz w:val="22"/>
                    <w:szCs w:val="22"/>
                  </w:rPr>
                  <w:t>4</w:t>
                </w:r>
                <w:r>
                  <w:rPr>
                    <w:rFonts w:cs="Calibri"/>
                    <w:sz w:val="22"/>
                    <w:szCs w:val="22"/>
                  </w:rPr>
                  <w:t>95,597.22</w:t>
                </w:r>
              </w:p>
            </w:tc>
          </w:tr>
          <w:tr w:rsidR="00471D53" w14:paraId="2D3E01E6" w14:textId="77777777" w:rsidTr="00471D53">
            <w:tc>
              <w:tcPr>
                <w:tcW w:w="1816" w:type="pct"/>
                <w:shd w:val="clear" w:color="auto" w:fill="auto"/>
                <w:vAlign w:val="center"/>
              </w:tcPr>
              <w:p w14:paraId="37271293" w14:textId="77777777" w:rsidR="00471D53" w:rsidRDefault="004F686E" w:rsidP="00471D53">
                <w:pPr>
                  <w:autoSpaceDE w:val="0"/>
                  <w:autoSpaceDN w:val="0"/>
                  <w:jc w:val="both"/>
                  <w:rPr>
                    <w:sz w:val="22"/>
                    <w:szCs w:val="22"/>
                  </w:rPr>
                </w:pPr>
                <w:r>
                  <w:rPr>
                    <w:rFonts w:hint="eastAsia"/>
                    <w:sz w:val="22"/>
                    <w:szCs w:val="22"/>
                  </w:rPr>
                  <w:t>预缴企业所得税</w:t>
                </w:r>
              </w:p>
            </w:tc>
            <w:tc>
              <w:tcPr>
                <w:tcW w:w="1612" w:type="pct"/>
                <w:shd w:val="clear" w:color="auto" w:fill="auto"/>
                <w:vAlign w:val="center"/>
              </w:tcPr>
              <w:p w14:paraId="71006BB0" w14:textId="77777777" w:rsidR="00471D53" w:rsidRDefault="004F686E" w:rsidP="00471D53">
                <w:pPr>
                  <w:autoSpaceDE w:val="0"/>
                  <w:autoSpaceDN w:val="0"/>
                  <w:jc w:val="right"/>
                  <w:rPr>
                    <w:sz w:val="22"/>
                    <w:szCs w:val="22"/>
                  </w:rPr>
                </w:pPr>
                <w:r w:rsidRPr="008464E3">
                  <w:rPr>
                    <w:sz w:val="22"/>
                    <w:szCs w:val="22"/>
                  </w:rPr>
                  <w:t>922,515.55</w:t>
                </w:r>
              </w:p>
            </w:tc>
            <w:tc>
              <w:tcPr>
                <w:tcW w:w="1572" w:type="pct"/>
                <w:shd w:val="clear" w:color="auto" w:fill="auto"/>
                <w:vAlign w:val="center"/>
              </w:tcPr>
              <w:p w14:paraId="38303A6C" w14:textId="77777777" w:rsidR="00471D53" w:rsidRDefault="004F686E" w:rsidP="00471D53">
                <w:pPr>
                  <w:autoSpaceDE w:val="0"/>
                  <w:autoSpaceDN w:val="0"/>
                  <w:jc w:val="right"/>
                  <w:rPr>
                    <w:sz w:val="22"/>
                    <w:szCs w:val="22"/>
                  </w:rPr>
                </w:pPr>
                <w:r>
                  <w:rPr>
                    <w:rFonts w:cs="Calibri" w:hint="eastAsia"/>
                    <w:sz w:val="22"/>
                    <w:szCs w:val="22"/>
                  </w:rPr>
                  <w:t>670,081.20</w:t>
                </w:r>
              </w:p>
            </w:tc>
          </w:tr>
          <w:tr w:rsidR="00471D53" w14:paraId="0DB2623B" w14:textId="77777777" w:rsidTr="00471D53">
            <w:tc>
              <w:tcPr>
                <w:tcW w:w="1816" w:type="pct"/>
                <w:shd w:val="clear" w:color="auto" w:fill="auto"/>
                <w:vAlign w:val="center"/>
              </w:tcPr>
              <w:p w14:paraId="3EDBA507" w14:textId="77777777" w:rsidR="00471D53" w:rsidRDefault="004F686E" w:rsidP="00471D53">
                <w:pPr>
                  <w:autoSpaceDE w:val="0"/>
                  <w:autoSpaceDN w:val="0"/>
                  <w:jc w:val="both"/>
                  <w:rPr>
                    <w:sz w:val="22"/>
                    <w:szCs w:val="22"/>
                  </w:rPr>
                </w:pPr>
                <w:r>
                  <w:rPr>
                    <w:rFonts w:hint="eastAsia"/>
                    <w:sz w:val="22"/>
                    <w:szCs w:val="22"/>
                  </w:rPr>
                  <w:t>预缴其他税金</w:t>
                </w:r>
              </w:p>
            </w:tc>
            <w:tc>
              <w:tcPr>
                <w:tcW w:w="1612" w:type="pct"/>
                <w:shd w:val="clear" w:color="auto" w:fill="auto"/>
                <w:vAlign w:val="center"/>
              </w:tcPr>
              <w:p w14:paraId="0B56DA88" w14:textId="77777777" w:rsidR="00471D53" w:rsidRDefault="004F686E" w:rsidP="00471D53">
                <w:pPr>
                  <w:autoSpaceDE w:val="0"/>
                  <w:autoSpaceDN w:val="0"/>
                  <w:jc w:val="right"/>
                  <w:rPr>
                    <w:rFonts w:cs="Calibri"/>
                    <w:sz w:val="22"/>
                    <w:szCs w:val="22"/>
                  </w:rPr>
                </w:pPr>
                <w:r>
                  <w:rPr>
                    <w:rFonts w:cs="Calibri" w:hint="eastAsia"/>
                    <w:sz w:val="22"/>
                    <w:szCs w:val="22"/>
                  </w:rPr>
                  <w:t>0.00</w:t>
                </w:r>
              </w:p>
            </w:tc>
            <w:tc>
              <w:tcPr>
                <w:tcW w:w="1572" w:type="pct"/>
                <w:shd w:val="clear" w:color="auto" w:fill="auto"/>
                <w:vAlign w:val="center"/>
              </w:tcPr>
              <w:p w14:paraId="1E0A56D8" w14:textId="77777777" w:rsidR="00471D53" w:rsidRDefault="004F686E" w:rsidP="00471D53">
                <w:pPr>
                  <w:autoSpaceDE w:val="0"/>
                  <w:autoSpaceDN w:val="0"/>
                  <w:jc w:val="right"/>
                  <w:rPr>
                    <w:rFonts w:cs="Calibri"/>
                    <w:sz w:val="22"/>
                    <w:szCs w:val="22"/>
                  </w:rPr>
                </w:pPr>
                <w:r>
                  <w:rPr>
                    <w:rFonts w:cs="Calibri" w:hint="eastAsia"/>
                    <w:sz w:val="22"/>
                    <w:szCs w:val="22"/>
                  </w:rPr>
                  <w:t>2,549,068.93</w:t>
                </w:r>
              </w:p>
            </w:tc>
          </w:tr>
          <w:tr w:rsidR="00471D53" w14:paraId="13B29C92" w14:textId="77777777" w:rsidTr="00471D53">
            <w:sdt>
              <w:sdtPr>
                <w:tag w:val="_PLD_b6c346d1d68d4f27847794dad182ef24"/>
                <w:id w:val="-2070957345"/>
                <w:lock w:val="sdtLocked"/>
              </w:sdtPr>
              <w:sdtEndPr/>
              <w:sdtContent>
                <w:tc>
                  <w:tcPr>
                    <w:tcW w:w="1816" w:type="pct"/>
                    <w:shd w:val="clear" w:color="auto" w:fill="auto"/>
                    <w:vAlign w:val="center"/>
                  </w:tcPr>
                  <w:p w14:paraId="0F6F2909" w14:textId="77777777" w:rsidR="00471D53" w:rsidRDefault="004F686E" w:rsidP="00471D53">
                    <w:pPr>
                      <w:snapToGrid w:val="0"/>
                      <w:ind w:leftChars="-51" w:left="-107"/>
                      <w:jc w:val="center"/>
                      <w:rPr>
                        <w:szCs w:val="21"/>
                      </w:rPr>
                    </w:pPr>
                    <w:r>
                      <w:rPr>
                        <w:rFonts w:hint="eastAsia"/>
                        <w:szCs w:val="21"/>
                      </w:rPr>
                      <w:t>合计</w:t>
                    </w:r>
                  </w:p>
                </w:tc>
              </w:sdtContent>
            </w:sdt>
            <w:tc>
              <w:tcPr>
                <w:tcW w:w="1612" w:type="pct"/>
                <w:shd w:val="clear" w:color="auto" w:fill="auto"/>
                <w:vAlign w:val="center"/>
              </w:tcPr>
              <w:p w14:paraId="059F374F" w14:textId="77777777" w:rsidR="00471D53" w:rsidRPr="00C84A94" w:rsidRDefault="004F686E" w:rsidP="00471D53">
                <w:pPr>
                  <w:autoSpaceDE w:val="0"/>
                  <w:autoSpaceDN w:val="0"/>
                  <w:jc w:val="right"/>
                  <w:rPr>
                    <w:sz w:val="22"/>
                    <w:szCs w:val="22"/>
                  </w:rPr>
                </w:pPr>
                <w:r w:rsidRPr="00C84A94">
                  <w:rPr>
                    <w:sz w:val="22"/>
                    <w:szCs w:val="22"/>
                  </w:rPr>
                  <w:t>30,412,758.17</w:t>
                </w:r>
              </w:p>
            </w:tc>
            <w:tc>
              <w:tcPr>
                <w:tcW w:w="1572" w:type="pct"/>
                <w:shd w:val="clear" w:color="auto" w:fill="auto"/>
                <w:vAlign w:val="center"/>
              </w:tcPr>
              <w:p w14:paraId="48197537" w14:textId="77777777" w:rsidR="00471D53" w:rsidRPr="00C84A94" w:rsidRDefault="004F686E" w:rsidP="00471D53">
                <w:pPr>
                  <w:autoSpaceDE w:val="0"/>
                  <w:autoSpaceDN w:val="0"/>
                  <w:jc w:val="right"/>
                  <w:rPr>
                    <w:sz w:val="22"/>
                    <w:szCs w:val="22"/>
                  </w:rPr>
                </w:pPr>
                <w:r w:rsidRPr="00C84A94">
                  <w:rPr>
                    <w:rFonts w:cs="Calibri" w:hint="eastAsia"/>
                    <w:bCs/>
                    <w:sz w:val="22"/>
                    <w:szCs w:val="22"/>
                  </w:rPr>
                  <w:t>37,045,785.67</w:t>
                </w:r>
              </w:p>
            </w:tc>
          </w:tr>
        </w:tbl>
        <w:bookmarkEnd w:id="147"/>
        <w:p w14:paraId="462D3B7F" w14:textId="77777777" w:rsidR="00471D53" w:rsidRDefault="004F686E">
          <w:r>
            <w:rPr>
              <w:rFonts w:hint="eastAsia"/>
            </w:rPr>
            <w:t>其他说明：</w:t>
          </w:r>
        </w:p>
        <w:sdt>
          <w:sdtPr>
            <w:rPr>
              <w:rFonts w:hint="eastAsia"/>
            </w:rPr>
            <w:alias w:val="其他流动资产说明"/>
            <w:tag w:val="_GBC_7955e529151148f394eed0e26977270b"/>
            <w:id w:val="-2050062206"/>
            <w:lock w:val="sdtLocked"/>
            <w:placeholder>
              <w:docPart w:val="GBC22222222222222222222222222222"/>
            </w:placeholder>
          </w:sdtPr>
          <w:sdtEndPr/>
          <w:sdtContent>
            <w:p w14:paraId="5050424A" w14:textId="77777777" w:rsidR="00471D53" w:rsidRDefault="004F686E">
              <w:r>
                <w:rPr>
                  <w:rFonts w:hint="eastAsia"/>
                </w:rPr>
                <w:t>无</w:t>
              </w:r>
            </w:p>
          </w:sdtContent>
        </w:sdt>
      </w:sdtContent>
    </w:sdt>
    <w:bookmarkEnd w:id="146" w:displacedByCustomXml="prev"/>
    <w:p w14:paraId="48CF4ACA" w14:textId="77777777" w:rsidR="00471D53" w:rsidRDefault="00B664AF">
      <w:pPr>
        <w:ind w:right="210"/>
      </w:pPr>
    </w:p>
    <w:bookmarkStart w:id="148" w:name="_Hlk10471390" w:displacedByCustomXml="next"/>
    <w:sdt>
      <w:sdtPr>
        <w:rPr>
          <w:rFonts w:ascii="宋体" w:hAnsi="宋体" w:cs="宋体" w:hint="eastAsia"/>
          <w:b w:val="0"/>
          <w:bCs w:val="0"/>
          <w:kern w:val="0"/>
          <w:szCs w:val="24"/>
        </w:rPr>
        <w:alias w:val="模块:债权投资债权投资情况"/>
        <w:tag w:val="_SEC_949cb4eb7a744418a5a5c6266b7029c9"/>
        <w:id w:val="-681739870"/>
        <w:lock w:val="sdtLocked"/>
        <w:placeholder>
          <w:docPart w:val="GBC22222222222222222222222222222"/>
        </w:placeholder>
      </w:sdtPr>
      <w:sdtEndPr>
        <w:rPr>
          <w:rFonts w:hint="default"/>
        </w:rPr>
      </w:sdtEndPr>
      <w:sdtContent>
        <w:p w14:paraId="5374F289" w14:textId="77777777" w:rsidR="00471D53" w:rsidRDefault="004F686E" w:rsidP="004F686E">
          <w:pPr>
            <w:pStyle w:val="afffff7"/>
            <w:numPr>
              <w:ilvl w:val="0"/>
              <w:numId w:val="55"/>
            </w:numPr>
            <w:tabs>
              <w:tab w:val="left" w:pos="504"/>
            </w:tabs>
            <w:rPr>
              <w:rFonts w:ascii="宋体" w:hAnsi="宋体"/>
            </w:rPr>
          </w:pPr>
          <w:r>
            <w:rPr>
              <w:rFonts w:ascii="宋体" w:hAnsi="宋体" w:hint="eastAsia"/>
            </w:rPr>
            <w:t>债权投资</w:t>
          </w:r>
        </w:p>
        <w:p w14:paraId="488952BA" w14:textId="77777777" w:rsidR="00471D53" w:rsidRDefault="004F686E" w:rsidP="004F686E">
          <w:pPr>
            <w:pStyle w:val="afffff8"/>
            <w:numPr>
              <w:ilvl w:val="3"/>
              <w:numId w:val="66"/>
            </w:numPr>
            <w:ind w:left="426" w:hanging="426"/>
            <w:rPr>
              <w:rFonts w:ascii="宋体" w:hAnsi="宋体"/>
            </w:rPr>
          </w:pPr>
          <w:r>
            <w:rPr>
              <w:rFonts w:ascii="宋体" w:hAnsi="宋体" w:hint="eastAsia"/>
            </w:rPr>
            <w:t>债权投资情况</w:t>
          </w:r>
        </w:p>
        <w:sdt>
          <w:sdtPr>
            <w:alias w:val="是否适用：以摊余成本计量的长期债权投资[双击切换]"/>
            <w:tag w:val="_GBC_22cb0188d98c4d37a97e0c6a9e34e10d"/>
            <w:id w:val="1981720919"/>
            <w:lock w:val="sdtLocked"/>
            <w:placeholder>
              <w:docPart w:val="GBC22222222222222222222222222222"/>
            </w:placeholder>
          </w:sdtPr>
          <w:sdtEndPr/>
          <w:sdtContent>
            <w:p w14:paraId="5737850F"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48" w:displacedByCustomXml="prev"/>
    <w:bookmarkStart w:id="149" w:name="_Hlk10471440" w:displacedByCustomXml="next"/>
    <w:bookmarkStart w:id="150" w:name="_Hlk10471450" w:displacedByCustomXml="next"/>
    <w:sdt>
      <w:sdtPr>
        <w:rPr>
          <w:rFonts w:ascii="宋体" w:hAnsi="宋体" w:cs="宋体" w:hint="eastAsia"/>
          <w:b w:val="0"/>
          <w:bCs w:val="0"/>
          <w:kern w:val="0"/>
          <w:szCs w:val="24"/>
        </w:rPr>
        <w:alias w:val="模块:期末重要的债权投资"/>
        <w:tag w:val="_SEC_b1d789cc522341caa1c75b1a7b84351c"/>
        <w:id w:val="-167482869"/>
        <w:lock w:val="sdtLocked"/>
        <w:placeholder>
          <w:docPart w:val="GBC22222222222222222222222222222"/>
        </w:placeholder>
      </w:sdtPr>
      <w:sdtEndPr>
        <w:rPr>
          <w:rFonts w:hint="default"/>
        </w:rPr>
      </w:sdtEndPr>
      <w:sdtContent>
        <w:p w14:paraId="1369793B" w14:textId="77777777" w:rsidR="00471D53" w:rsidRDefault="004F686E" w:rsidP="004F686E">
          <w:pPr>
            <w:pStyle w:val="afffff8"/>
            <w:numPr>
              <w:ilvl w:val="3"/>
              <w:numId w:val="66"/>
            </w:numPr>
            <w:ind w:left="426" w:hanging="426"/>
            <w:rPr>
              <w:rFonts w:ascii="宋体" w:hAnsi="宋体"/>
            </w:rPr>
          </w:pPr>
          <w:r>
            <w:rPr>
              <w:rFonts w:ascii="宋体" w:hAnsi="宋体" w:hint="eastAsia"/>
            </w:rPr>
            <w:t>期末重要的债权投资</w:t>
          </w:r>
          <w:bookmarkEnd w:id="149"/>
        </w:p>
        <w:sdt>
          <w:sdtPr>
            <w:alias w:val="是否适用：重要的债权投资[双击切换]"/>
            <w:tag w:val="_GBC_0ff84ccc1d234704b93c4e33c0d575ce"/>
            <w:id w:val="-1922784423"/>
            <w:lock w:val="sdtLocked"/>
            <w:placeholder>
              <w:docPart w:val="GBC22222222222222222222222222222"/>
            </w:placeholder>
          </w:sdtPr>
          <w:sdtEndPr/>
          <w:sdtContent>
            <w:p w14:paraId="505C90C4"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50" w:displacedByCustomXml="prev"/>
    <w:bookmarkStart w:id="151" w:name="_Hlk10471472" w:displacedByCustomXml="next"/>
    <w:bookmarkStart w:id="152" w:name="_Hlk10471485" w:displacedByCustomXml="next"/>
    <w:sdt>
      <w:sdtPr>
        <w:rPr>
          <w:rFonts w:ascii="宋体" w:hAnsi="宋体" w:cs="宋体" w:hint="eastAsia"/>
          <w:b w:val="0"/>
          <w:bCs w:val="0"/>
          <w:kern w:val="0"/>
          <w:szCs w:val="24"/>
        </w:rPr>
        <w:alias w:val="模块:减值准备计提情况"/>
        <w:tag w:val="_SEC_bff86b17d4774a4a9f8a3329635b5429"/>
        <w:id w:val="-1267155562"/>
        <w:lock w:val="sdtLocked"/>
        <w:placeholder>
          <w:docPart w:val="GBC22222222222222222222222222222"/>
        </w:placeholder>
      </w:sdtPr>
      <w:sdtEndPr>
        <w:rPr>
          <w:rFonts w:hint="default"/>
        </w:rPr>
      </w:sdtEndPr>
      <w:sdtContent>
        <w:p w14:paraId="6C2C49A9" w14:textId="77777777" w:rsidR="00471D53" w:rsidRDefault="004F686E" w:rsidP="004F686E">
          <w:pPr>
            <w:pStyle w:val="afffff8"/>
            <w:numPr>
              <w:ilvl w:val="3"/>
              <w:numId w:val="66"/>
            </w:numPr>
            <w:ind w:left="426" w:hanging="426"/>
            <w:rPr>
              <w:rFonts w:ascii="宋体" w:hAnsi="宋体"/>
            </w:rPr>
          </w:pPr>
          <w:r>
            <w:rPr>
              <w:rFonts w:ascii="宋体" w:hAnsi="宋体" w:cs="宋体" w:hint="eastAsia"/>
              <w:bCs w:val="0"/>
              <w:kern w:val="0"/>
              <w:szCs w:val="24"/>
            </w:rPr>
            <w:t>减值准备计提情况</w:t>
          </w:r>
          <w:bookmarkEnd w:id="151"/>
        </w:p>
        <w:sdt>
          <w:sdtPr>
            <w:alias w:val="是否适用：债权投资减值准备调节表[双击切换]"/>
            <w:tag w:val="_GBC_415a5cd43ad14136b13ac09b150da06f"/>
            <w:id w:val="-1049147237"/>
            <w:lock w:val="sdtLocked"/>
            <w:placeholder>
              <w:docPart w:val="GBC22222222222222222222222222222"/>
            </w:placeholder>
          </w:sdtPr>
          <w:sdtEndPr/>
          <w:sdtContent>
            <w:p w14:paraId="7A12B8C0"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6BC8C12" w14:textId="77777777" w:rsidR="00471D53" w:rsidRDefault="00B664AF">
          <w:pPr>
            <w:ind w:right="210"/>
          </w:pPr>
        </w:p>
        <w:p w14:paraId="0A563116" w14:textId="77777777" w:rsidR="00471D53" w:rsidRDefault="00B664AF">
          <w:pPr>
            <w:ind w:right="210"/>
          </w:pPr>
        </w:p>
      </w:sdtContent>
    </w:sdt>
    <w:bookmarkEnd w:id="152" w:displacedByCustomXml="prev"/>
    <w:bookmarkStart w:id="153" w:name="_Hlk10471652" w:displacedByCustomXml="next"/>
    <w:sdt>
      <w:sdtPr>
        <w:rPr>
          <w:rFonts w:ascii="宋体" w:hAnsi="宋体" w:cs="宋体" w:hint="eastAsia"/>
          <w:b w:val="0"/>
          <w:bCs w:val="0"/>
          <w:kern w:val="0"/>
          <w:szCs w:val="21"/>
        </w:rPr>
        <w:alias w:val="模块:其他债权投资"/>
        <w:tag w:val="_SEC_1af1e8e9eab94f10811b4e7aa91aa24d"/>
        <w:id w:val="1971330258"/>
        <w:lock w:val="sdtLocked"/>
        <w:placeholder>
          <w:docPart w:val="GBC22222222222222222222222222222"/>
        </w:placeholder>
      </w:sdtPr>
      <w:sdtEndPr>
        <w:rPr>
          <w:szCs w:val="24"/>
        </w:rPr>
      </w:sdtEndPr>
      <w:sdtContent>
        <w:p w14:paraId="1D5CD7DB"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其他债权投资</w:t>
          </w:r>
        </w:p>
        <w:p w14:paraId="0DD1AE93" w14:textId="77777777" w:rsidR="00471D53" w:rsidRDefault="004F686E" w:rsidP="004F686E">
          <w:pPr>
            <w:pStyle w:val="afffff8"/>
            <w:numPr>
              <w:ilvl w:val="3"/>
              <w:numId w:val="67"/>
            </w:numPr>
            <w:ind w:left="426" w:hanging="426"/>
            <w:rPr>
              <w:rFonts w:ascii="宋体" w:hAnsi="宋体"/>
            </w:rPr>
          </w:pPr>
          <w:r>
            <w:rPr>
              <w:rFonts w:ascii="宋体" w:hAnsi="宋体" w:hint="eastAsia"/>
            </w:rPr>
            <w:t>其他债权投资情况</w:t>
          </w:r>
        </w:p>
        <w:sdt>
          <w:sdtPr>
            <w:alias w:val="是否适用：其他债权投资情况[双击切换]"/>
            <w:tag w:val="_GBC_a2d99fd3a665497694c6ad6801c54a4f"/>
            <w:id w:val="-2079664171"/>
            <w:lock w:val="sdtLocked"/>
            <w:placeholder>
              <w:docPart w:val="GBC22222222222222222222222222222"/>
            </w:placeholder>
          </w:sdtPr>
          <w:sdtEndPr/>
          <w:sdtContent>
            <w:p w14:paraId="4022F1DA" w14:textId="77777777" w:rsidR="00471D53" w:rsidRDefault="004F686E" w:rsidP="00471D53">
              <w:pPr>
                <w:ind w:right="21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53" w:displacedByCustomXml="prev"/>
    <w:bookmarkStart w:id="154" w:name="_Hlk10471670" w:displacedByCustomXml="next"/>
    <w:bookmarkStart w:id="155" w:name="_Hlk10471680" w:displacedByCustomXml="next"/>
    <w:sdt>
      <w:sdtPr>
        <w:rPr>
          <w:rFonts w:ascii="宋体" w:hAnsi="宋体" w:cs="宋体" w:hint="eastAsia"/>
          <w:b w:val="0"/>
          <w:bCs w:val="0"/>
          <w:kern w:val="0"/>
          <w:szCs w:val="24"/>
        </w:rPr>
        <w:alias w:val="模块:期末重要的其他债权投资"/>
        <w:tag w:val="_SEC_052112d020944ec8b923dd106b2a0cbf"/>
        <w:id w:val="1505247031"/>
        <w:lock w:val="sdtLocked"/>
        <w:placeholder>
          <w:docPart w:val="GBC22222222222222222222222222222"/>
        </w:placeholder>
      </w:sdtPr>
      <w:sdtEndPr>
        <w:rPr>
          <w:rFonts w:hint="default"/>
          <w:szCs w:val="21"/>
        </w:rPr>
      </w:sdtEndPr>
      <w:sdtContent>
        <w:p w14:paraId="6DB99716" w14:textId="77777777" w:rsidR="00471D53" w:rsidRDefault="004F686E" w:rsidP="004F686E">
          <w:pPr>
            <w:pStyle w:val="afffff8"/>
            <w:numPr>
              <w:ilvl w:val="3"/>
              <w:numId w:val="67"/>
            </w:numPr>
            <w:ind w:left="426" w:hanging="426"/>
            <w:rPr>
              <w:rFonts w:ascii="宋体" w:hAnsi="宋体"/>
            </w:rPr>
          </w:pPr>
          <w:r>
            <w:rPr>
              <w:rFonts w:ascii="宋体" w:hAnsi="宋体" w:hint="eastAsia"/>
            </w:rPr>
            <w:t>期末重要的其他债权投资</w:t>
          </w:r>
          <w:bookmarkEnd w:id="154"/>
        </w:p>
        <w:sdt>
          <w:sdtPr>
            <w:alias w:val="是否适用：重要的其他债权投资[双击切换]"/>
            <w:tag w:val="_GBC_e8808db892544b1ead740cddc4156455"/>
            <w:id w:val="-59331741"/>
            <w:lock w:val="sdtLocked"/>
            <w:placeholder>
              <w:docPart w:val="GBC22222222222222222222222222222"/>
            </w:placeholder>
          </w:sdtPr>
          <w:sdtEndPr/>
          <w:sdtContent>
            <w:p w14:paraId="03E6203B" w14:textId="77777777" w:rsidR="00471D53" w:rsidRDefault="004F686E" w:rsidP="00471D53">
              <w:pPr>
                <w:ind w:right="210"/>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55" w:displacedByCustomXml="prev"/>
    <w:bookmarkStart w:id="156" w:name="_Hlk10471703" w:displacedByCustomXml="next"/>
    <w:bookmarkStart w:id="157" w:name="_Hlk10471716" w:displacedByCustomXml="next"/>
    <w:sdt>
      <w:sdtPr>
        <w:rPr>
          <w:rFonts w:ascii="宋体" w:hAnsi="宋体" w:cs="宋体" w:hint="eastAsia"/>
          <w:b w:val="0"/>
          <w:bCs w:val="0"/>
          <w:kern w:val="0"/>
          <w:szCs w:val="24"/>
        </w:rPr>
        <w:alias w:val="模块:减值准备计提情况"/>
        <w:tag w:val="_SEC_a18c2d8250c64daf904816a57fe286bd"/>
        <w:id w:val="1692714497"/>
        <w:lock w:val="sdtLocked"/>
        <w:placeholder>
          <w:docPart w:val="GBC22222222222222222222222222222"/>
        </w:placeholder>
      </w:sdtPr>
      <w:sdtEndPr>
        <w:rPr>
          <w:rFonts w:hint="default"/>
          <w:szCs w:val="21"/>
        </w:rPr>
      </w:sdtEndPr>
      <w:sdtContent>
        <w:bookmarkStart w:id="158" w:name="_Hlk533848073" w:displacedByCustomXml="prev"/>
        <w:p w14:paraId="1451369B" w14:textId="77777777" w:rsidR="00471D53" w:rsidRDefault="004F686E" w:rsidP="004F686E">
          <w:pPr>
            <w:pStyle w:val="afffff8"/>
            <w:numPr>
              <w:ilvl w:val="3"/>
              <w:numId w:val="67"/>
            </w:numPr>
            <w:ind w:left="426" w:hanging="426"/>
            <w:rPr>
              <w:rFonts w:ascii="宋体" w:hAnsi="宋体"/>
            </w:rPr>
          </w:pPr>
          <w:r>
            <w:rPr>
              <w:rFonts w:ascii="宋体" w:hAnsi="宋体" w:cs="宋体" w:hint="eastAsia"/>
              <w:bCs w:val="0"/>
              <w:kern w:val="0"/>
              <w:szCs w:val="24"/>
            </w:rPr>
            <w:t>减值准备计提情况</w:t>
          </w:r>
          <w:bookmarkEnd w:id="156"/>
        </w:p>
        <w:sdt>
          <w:sdtPr>
            <w:alias w:val="是否适用：其他债权投资减值准备调节表[双击切换]"/>
            <w:tag w:val="_GBC_038e4a0a4815442e91a9309c128001c1"/>
            <w:id w:val="-2083124393"/>
            <w:lock w:val="sdtLocked"/>
            <w:placeholder>
              <w:docPart w:val="GBC22222222222222222222222222222"/>
            </w:placeholder>
          </w:sdtPr>
          <w:sdtEndPr/>
          <w:sdtContent>
            <w:p w14:paraId="0AA89D79"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5B1EE61" w14:textId="77777777" w:rsidR="00471D53" w:rsidRDefault="00B664AF">
          <w:pPr>
            <w:ind w:right="210"/>
          </w:pPr>
        </w:p>
        <w:p w14:paraId="7612EEDE" w14:textId="77777777" w:rsidR="00471D53" w:rsidRDefault="00B664AF">
          <w:pPr>
            <w:rPr>
              <w:szCs w:val="21"/>
            </w:rPr>
          </w:pPr>
        </w:p>
        <w:bookmarkEnd w:id="158" w:displacedByCustomXml="next"/>
      </w:sdtContent>
    </w:sdt>
    <w:bookmarkEnd w:id="157" w:displacedByCustomXml="prev"/>
    <w:bookmarkStart w:id="159" w:name="_Hlk533848097" w:displacedByCustomXml="next"/>
    <w:bookmarkStart w:id="160" w:name="_Hlk10471761" w:displacedByCustomXml="next"/>
    <w:sdt>
      <w:sdtPr>
        <w:rPr>
          <w:rFonts w:hint="eastAsia"/>
        </w:rPr>
        <w:alias w:val="模块:其他说明："/>
        <w:tag w:val="_SEC_a6d7d62dd24747a08e0a132cf37e100c"/>
        <w:id w:val="67392631"/>
        <w:lock w:val="sdtLocked"/>
        <w:placeholder>
          <w:docPart w:val="GBC22222222222222222222222222222"/>
        </w:placeholder>
      </w:sdtPr>
      <w:sdtEndPr>
        <w:rPr>
          <w:rFonts w:hint="default"/>
          <w:szCs w:val="21"/>
        </w:rPr>
      </w:sdtEndPr>
      <w:sdtContent>
        <w:p w14:paraId="7F9D3221" w14:textId="77777777" w:rsidR="00471D53" w:rsidRDefault="004F686E">
          <w:r>
            <w:rPr>
              <w:rFonts w:hint="eastAsia"/>
            </w:rPr>
            <w:t>其他说明：</w:t>
          </w:r>
          <w:bookmarkEnd w:id="159"/>
        </w:p>
        <w:sdt>
          <w:sdtPr>
            <w:alias w:val="是否适用：其他债权投资其他说明[双击切换]"/>
            <w:tag w:val="_GBC_e37f3e78626b4cd0ad52d68ae2fcdecb"/>
            <w:id w:val="1798483265"/>
            <w:lock w:val="sdtLocked"/>
            <w:placeholder>
              <w:docPart w:val="GBC22222222222222222222222222222"/>
            </w:placeholder>
          </w:sdtPr>
          <w:sdtEndPr/>
          <w:sdtContent>
            <w:p w14:paraId="4C99154C"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60" w:displacedByCustomXml="prev"/>
    <w:p w14:paraId="53FDD658" w14:textId="77777777" w:rsidR="00471D53" w:rsidRDefault="00B664AF">
      <w:pPr>
        <w:rPr>
          <w:szCs w:val="21"/>
        </w:rPr>
      </w:pPr>
    </w:p>
    <w:p w14:paraId="4C14CDBA"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长期应收款</w:t>
      </w:r>
    </w:p>
    <w:sdt>
      <w:sdtPr>
        <w:rPr>
          <w:rFonts w:ascii="宋体" w:hAnsi="宋体" w:cs="宋体" w:hint="eastAsia"/>
          <w:b w:val="0"/>
          <w:bCs w:val="0"/>
          <w:kern w:val="0"/>
          <w:szCs w:val="24"/>
        </w:rPr>
        <w:alias w:val="模块:长期应收款"/>
        <w:tag w:val="_GBC_2642a454002a499399e1b643b91ef1ad"/>
        <w:id w:val="-1106880515"/>
        <w:lock w:val="sdtLocked"/>
        <w:placeholder>
          <w:docPart w:val="GBC22222222222222222222222222222"/>
        </w:placeholder>
      </w:sdtPr>
      <w:sdtEndPr>
        <w:rPr>
          <w:rFonts w:hint="default"/>
          <w:color w:val="FF0000"/>
          <w:szCs w:val="21"/>
        </w:rPr>
      </w:sdtEndPr>
      <w:sdtContent>
        <w:p w14:paraId="552537A7" w14:textId="77777777" w:rsidR="00471D53" w:rsidRDefault="004F686E" w:rsidP="004F686E">
          <w:pPr>
            <w:pStyle w:val="afffff8"/>
            <w:numPr>
              <w:ilvl w:val="0"/>
              <w:numId w:val="68"/>
            </w:numPr>
            <w:rPr>
              <w:rFonts w:ascii="宋体" w:hAnsi="宋体"/>
            </w:rPr>
          </w:pPr>
          <w:r>
            <w:rPr>
              <w:rFonts w:ascii="宋体" w:hAnsi="宋体" w:hint="eastAsia"/>
            </w:rPr>
            <w:t>长期应收款情况</w:t>
          </w:r>
        </w:p>
        <w:sdt>
          <w:sdtPr>
            <w:alias w:val="是否适用：长期应收款情况[双击切换]"/>
            <w:tag w:val="_GBC_03ba5a75d6d541f4a60fba2b18c9d548"/>
            <w:id w:val="-1536807479"/>
            <w:lock w:val="sdtLocked"/>
            <w:placeholder>
              <w:docPart w:val="GBC22222222222222222222222222222"/>
            </w:placeholder>
          </w:sdtPr>
          <w:sdtEndPr/>
          <w:sdtContent>
            <w:p w14:paraId="0FD4EEC4" w14:textId="77777777" w:rsidR="00471D53" w:rsidRDefault="004F686E" w:rsidP="00471D53">
              <w:pPr>
                <w:rPr>
                  <w:color w:val="FF0000"/>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Start w:id="161" w:name="_Hlk10471933" w:displacedByCustomXml="next"/>
    <w:sdt>
      <w:sdtPr>
        <w:rPr>
          <w:rFonts w:ascii="宋体" w:hAnsi="宋体" w:cs="宋体" w:hint="eastAsia"/>
          <w:b w:val="0"/>
          <w:bCs w:val="0"/>
          <w:color w:val="FF0000"/>
          <w:kern w:val="0"/>
          <w:szCs w:val="21"/>
        </w:rPr>
        <w:alias w:val="模块:坏账准备计提情况"/>
        <w:tag w:val="_SEC_a0520f64d4bd49e5a3638a0386a233ee"/>
        <w:id w:val="1430233105"/>
        <w:lock w:val="sdtLocked"/>
        <w:placeholder>
          <w:docPart w:val="GBC22222222222222222222222222222"/>
        </w:placeholder>
      </w:sdtPr>
      <w:sdtEndPr>
        <w:rPr>
          <w:rFonts w:hint="default"/>
        </w:rPr>
      </w:sdtEndPr>
      <w:sdtContent>
        <w:p w14:paraId="163382F7" w14:textId="77777777" w:rsidR="00471D53" w:rsidRDefault="004F686E" w:rsidP="004F686E">
          <w:pPr>
            <w:pStyle w:val="afffff8"/>
            <w:numPr>
              <w:ilvl w:val="0"/>
              <w:numId w:val="68"/>
            </w:numPr>
            <w:rPr>
              <w:rFonts w:ascii="宋体" w:hAnsi="宋体"/>
              <w:szCs w:val="21"/>
            </w:rPr>
          </w:pPr>
          <w:r>
            <w:rPr>
              <w:rFonts w:ascii="宋体" w:hAnsi="宋体" w:hint="eastAsia"/>
              <w:szCs w:val="21"/>
            </w:rPr>
            <w:t>坏账准备计提情况</w:t>
          </w:r>
        </w:p>
        <w:sdt>
          <w:sdtPr>
            <w:alias w:val="是否适用：长期应收款坏账准备调节表[双击切换]"/>
            <w:tag w:val="_GBC_f7e4bed7dbb84fbcb52f2226cf465bb3"/>
            <w:id w:val="-814795388"/>
            <w:lock w:val="sdtLocked"/>
            <w:placeholder>
              <w:docPart w:val="GBC22222222222222222222222222222"/>
            </w:placeholder>
          </w:sdtPr>
          <w:sdtEndPr/>
          <w:sdtContent>
            <w:p w14:paraId="513409EF" w14:textId="77777777" w:rsidR="00471D53" w:rsidRDefault="004F686E" w:rsidP="00471D53">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BB0BC8D" w14:textId="77777777" w:rsidR="00471D53" w:rsidRDefault="00B664AF">
          <w:pPr>
            <w:rPr>
              <w:szCs w:val="21"/>
            </w:rPr>
          </w:pPr>
        </w:p>
        <w:p w14:paraId="163E2DBD" w14:textId="77777777" w:rsidR="00471D53" w:rsidRDefault="00B664AF">
          <w:pPr>
            <w:rPr>
              <w:color w:val="FF0000"/>
              <w:szCs w:val="21"/>
            </w:rPr>
          </w:pPr>
        </w:p>
      </w:sdtContent>
    </w:sdt>
    <w:bookmarkEnd w:id="161" w:displacedByCustomXml="prev"/>
    <w:p w14:paraId="64573A60" w14:textId="77777777" w:rsidR="00471D53" w:rsidRDefault="00B664AF">
      <w:pPr>
        <w:rPr>
          <w:color w:val="FF0000"/>
          <w:szCs w:val="21"/>
        </w:rPr>
      </w:pPr>
    </w:p>
    <w:sdt>
      <w:sdtPr>
        <w:rPr>
          <w:rFonts w:ascii="宋体" w:hAnsi="宋体" w:cs="宋体" w:hint="eastAsia"/>
          <w:b w:val="0"/>
          <w:bCs w:val="0"/>
          <w:kern w:val="0"/>
          <w:szCs w:val="21"/>
        </w:rPr>
        <w:alias w:val="模块:因金融资产转移而终止确认的长期应收款"/>
        <w:tag w:val="_GBC_928896eb74ab465199673a59201d4a8b"/>
        <w:id w:val="-426659117"/>
        <w:lock w:val="sdtLocked"/>
        <w:placeholder>
          <w:docPart w:val="GBC22222222222222222222222222222"/>
        </w:placeholder>
      </w:sdtPr>
      <w:sdtEndPr/>
      <w:sdtContent>
        <w:p w14:paraId="0167680C" w14:textId="77777777" w:rsidR="00471D53" w:rsidRDefault="004F686E" w:rsidP="004F686E">
          <w:pPr>
            <w:pStyle w:val="afffff8"/>
            <w:numPr>
              <w:ilvl w:val="0"/>
              <w:numId w:val="68"/>
            </w:numPr>
            <w:rPr>
              <w:rFonts w:ascii="宋体" w:hAnsi="宋体"/>
              <w:szCs w:val="21"/>
            </w:rPr>
          </w:pPr>
          <w:r>
            <w:rPr>
              <w:rFonts w:ascii="宋体" w:hAnsi="宋体" w:hint="eastAsia"/>
              <w:szCs w:val="21"/>
            </w:rPr>
            <w:t>因金融资产转移而</w:t>
          </w:r>
          <w:r>
            <w:rPr>
              <w:rFonts w:ascii="宋体" w:hAnsi="宋体" w:hint="eastAsia"/>
            </w:rPr>
            <w:t>终止</w:t>
          </w:r>
          <w:r>
            <w:rPr>
              <w:rFonts w:ascii="宋体" w:hAnsi="宋体" w:hint="eastAsia"/>
              <w:szCs w:val="21"/>
            </w:rPr>
            <w:t>确认的长期应收款</w:t>
          </w:r>
        </w:p>
        <w:sdt>
          <w:sdtPr>
            <w:rPr>
              <w:rFonts w:hint="eastAsia"/>
              <w:szCs w:val="21"/>
            </w:rPr>
            <w:alias w:val="是否适用：因金融资产转移而终止确认的长期应收款[双击切换]"/>
            <w:tag w:val="_GBC_f7aab2a321ef4781ad1595366bc02c5e"/>
            <w:id w:val="153270170"/>
            <w:lock w:val="sdtLocked"/>
            <w:placeholder>
              <w:docPart w:val="GBC22222222222222222222222222222"/>
            </w:placeholder>
          </w:sdtPr>
          <w:sdtEndPr/>
          <w:sdtContent>
            <w:p w14:paraId="770F3F71" w14:textId="77777777" w:rsidR="00471D53" w:rsidRDefault="004F686E" w:rsidP="00471D5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14:paraId="47E197D4" w14:textId="77777777" w:rsidR="00471D53" w:rsidRDefault="00B664AF">
      <w:pPr>
        <w:rPr>
          <w:szCs w:val="21"/>
        </w:rPr>
      </w:pPr>
    </w:p>
    <w:sdt>
      <w:sdtPr>
        <w:rPr>
          <w:rFonts w:ascii="宋体" w:hAnsi="宋体" w:cs="宋体" w:hint="eastAsia"/>
          <w:b w:val="0"/>
          <w:bCs w:val="0"/>
          <w:kern w:val="0"/>
          <w:szCs w:val="24"/>
        </w:rPr>
        <w:alias w:val="模块:转移长期应收款且继续涉入形成的资产、负债金额"/>
        <w:tag w:val="_GBC_711f6e05c2eb42e595d774bdf837f823"/>
        <w:id w:val="-478154014"/>
        <w:lock w:val="sdtLocked"/>
        <w:placeholder>
          <w:docPart w:val="GBC22222222222222222222222222222"/>
        </w:placeholder>
      </w:sdtPr>
      <w:sdtEndPr/>
      <w:sdtContent>
        <w:p w14:paraId="348A69AC" w14:textId="77777777" w:rsidR="00471D53" w:rsidRDefault="004F686E" w:rsidP="004F686E">
          <w:pPr>
            <w:pStyle w:val="afffff8"/>
            <w:numPr>
              <w:ilvl w:val="0"/>
              <w:numId w:val="68"/>
            </w:numPr>
            <w:rPr>
              <w:rFonts w:ascii="宋体" w:hAnsi="宋体"/>
            </w:rPr>
          </w:pPr>
          <w:r>
            <w:rPr>
              <w:rFonts w:ascii="宋体" w:hAnsi="宋体" w:hint="eastAsia"/>
            </w:rPr>
            <w:t>转移长期应收款且继续涉入形成的资产、负债金额</w:t>
          </w:r>
        </w:p>
        <w:sdt>
          <w:sdtPr>
            <w:rPr>
              <w:rFonts w:hint="eastAsia"/>
            </w:rPr>
            <w:alias w:val="是否适用：转移长期应收款且继续涉入形成的资产、负债金额[双击切换]"/>
            <w:tag w:val="_GBC_202f97bd4328472388c45157689d09e0"/>
            <w:id w:val="-1287886576"/>
            <w:lock w:val="sdtLocked"/>
            <w:placeholder>
              <w:docPart w:val="GBC22222222222222222222222222222"/>
            </w:placeholder>
          </w:sdtPr>
          <w:sdtEndPr/>
          <w:sdtContent>
            <w:p w14:paraId="3D04B42A"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49A29D24" w14:textId="77777777" w:rsidR="00471D53" w:rsidRDefault="00B664AF">
      <w:pPr>
        <w:rPr>
          <w:szCs w:val="21"/>
        </w:rPr>
      </w:pPr>
    </w:p>
    <w:sdt>
      <w:sdtPr>
        <w:rPr>
          <w:rFonts w:hint="eastAsia"/>
          <w:szCs w:val="21"/>
        </w:rPr>
        <w:alias w:val="模块:长期应收款的其他说明"/>
        <w:tag w:val="_GBC_2a6246644ca84dfdb1b5ecc95ea5c0c2"/>
        <w:id w:val="1801111240"/>
        <w:lock w:val="sdtLocked"/>
        <w:placeholder>
          <w:docPart w:val="GBC22222222222222222222222222222"/>
        </w:placeholder>
      </w:sdtPr>
      <w:sdtEndPr/>
      <w:sdtContent>
        <w:p w14:paraId="7E7343DE" w14:textId="77777777" w:rsidR="00471D53" w:rsidRDefault="004F686E">
          <w:pPr>
            <w:rPr>
              <w:szCs w:val="21"/>
            </w:rPr>
          </w:pPr>
          <w:r>
            <w:rPr>
              <w:rFonts w:hint="eastAsia"/>
              <w:szCs w:val="21"/>
            </w:rPr>
            <w:t>其他说明：</w:t>
          </w:r>
        </w:p>
        <w:sdt>
          <w:sdtPr>
            <w:rPr>
              <w:rFonts w:hint="eastAsia"/>
              <w:szCs w:val="21"/>
            </w:rPr>
            <w:alias w:val="是否适用：长期应收款的其他说明[双击切换]"/>
            <w:tag w:val="_GBC_a368edfbd60c44cdaed5299529b44fa0"/>
            <w:id w:val="752243963"/>
            <w:lock w:val="sdtLocked"/>
            <w:placeholder>
              <w:docPart w:val="GBC22222222222222222222222222222"/>
            </w:placeholder>
          </w:sdtPr>
          <w:sdtEndPr/>
          <w:sdtContent>
            <w:p w14:paraId="26FF9B07" w14:textId="77777777" w:rsidR="00471D53" w:rsidRDefault="004F686E" w:rsidP="00471D5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14:paraId="5A3D55B9" w14:textId="77777777" w:rsidR="00471D53" w:rsidRDefault="00B664AF">
      <w:pPr>
        <w:rPr>
          <w:szCs w:val="21"/>
        </w:rPr>
      </w:pPr>
    </w:p>
    <w:p w14:paraId="7E0E88B9"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长期股权投资</w:t>
      </w:r>
    </w:p>
    <w:p w14:paraId="0EA01E57" w14:textId="77777777" w:rsidR="00471D53" w:rsidRDefault="00B664AF">
      <w:sdt>
        <w:sdtPr>
          <w:rPr>
            <w:rFonts w:hint="eastAsia"/>
          </w:rPr>
          <w:alias w:val="是否适用：长期股权投资[双击切换]"/>
          <w:tag w:val="_GBC_bafa2cb2262c4c4ebc4eed8f4e4a81c6"/>
          <w:id w:val="1546868913"/>
          <w:lock w:val="sdtContentLocked"/>
          <w:placeholder>
            <w:docPart w:val="GBC22222222222222222222222222222"/>
          </w:placeholder>
        </w:sdtPr>
        <w:sdtEndPr/>
        <w:sdtContent>
          <w:r w:rsidR="004F686E">
            <w:fldChar w:fldCharType="begin"/>
          </w:r>
          <w:r w:rsidR="004F686E">
            <w:instrText xml:space="preserve"> MACROBUTTON  SnrToggleCheckbox √适用 </w:instrText>
          </w:r>
          <w:r w:rsidR="004F686E">
            <w:fldChar w:fldCharType="end"/>
          </w:r>
          <w:r w:rsidR="004F686E">
            <w:fldChar w:fldCharType="begin"/>
          </w:r>
          <w:r w:rsidR="004F686E">
            <w:instrText xml:space="preserve"> MACROBUTTON  SnrToggleCheckbox □不适用 </w:instrText>
          </w:r>
          <w:r w:rsidR="004F686E">
            <w:fldChar w:fldCharType="end"/>
          </w:r>
        </w:sdtContent>
      </w:sdt>
    </w:p>
    <w:sdt>
      <w:sdtPr>
        <w:rPr>
          <w:rFonts w:hint="eastAsia"/>
          <w:szCs w:val="21"/>
        </w:rPr>
        <w:alias w:val="模块:长期股权投资"/>
        <w:tag w:val="_GBC_e68906ccea2845f1856fe89f4de6c229"/>
        <w:id w:val="1506633850"/>
        <w:lock w:val="sdtLocked"/>
        <w:placeholder>
          <w:docPart w:val="GBC22222222222222222222222222222"/>
        </w:placeholder>
      </w:sdtPr>
      <w:sdtEndPr/>
      <w:sdtContent>
        <w:p w14:paraId="0446E61F" w14:textId="3C368DEC" w:rsidR="00471D53" w:rsidRDefault="004F686E">
          <w:pPr>
            <w:jc w:val="right"/>
            <w:rPr>
              <w:szCs w:val="21"/>
            </w:rPr>
          </w:pPr>
          <w:r>
            <w:rPr>
              <w:rFonts w:hint="eastAsia"/>
              <w:szCs w:val="21"/>
            </w:rPr>
            <w:t>单位：</w:t>
          </w:r>
          <w:sdt>
            <w:sdtPr>
              <w:rPr>
                <w:rFonts w:hint="eastAsia"/>
                <w:szCs w:val="21"/>
              </w:rPr>
              <w:alias w:val="单位：财务附注：长期股权投资"/>
              <w:tag w:val="_GBC_63e30834d38e49658bec9056bc38e4e2"/>
              <w:id w:val="-4490167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长期股权投资"/>
              <w:tag w:val="_GBC_f72bca6b250e484887289a819bc62e7d"/>
              <w:id w:val="17881662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953" w:type="pct"/>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1520"/>
            <w:gridCol w:w="277"/>
            <w:gridCol w:w="416"/>
            <w:gridCol w:w="1382"/>
            <w:gridCol w:w="1105"/>
            <w:gridCol w:w="414"/>
            <w:gridCol w:w="1107"/>
            <w:gridCol w:w="412"/>
            <w:gridCol w:w="559"/>
            <w:gridCol w:w="1380"/>
            <w:gridCol w:w="550"/>
          </w:tblGrid>
          <w:tr w:rsidR="00471D53" w14:paraId="1340E508" w14:textId="77777777" w:rsidTr="00471D53">
            <w:sdt>
              <w:sdtPr>
                <w:rPr>
                  <w:sz w:val="18"/>
                  <w:szCs w:val="18"/>
                </w:rPr>
                <w:tag w:val="_PLD_f83b8af388eb4b51ac2d014806d1cf64"/>
                <w:id w:val="-1336528178"/>
                <w:lock w:val="sdtLocked"/>
              </w:sdtPr>
              <w:sdtEndPr/>
              <w:sdtContent>
                <w:tc>
                  <w:tcPr>
                    <w:tcW w:w="658" w:type="pct"/>
                    <w:vMerge w:val="restart"/>
                    <w:tcBorders>
                      <w:top w:val="single" w:sz="4" w:space="0" w:color="auto"/>
                      <w:left w:val="single" w:sz="4" w:space="0" w:color="auto"/>
                      <w:right w:val="single" w:sz="4" w:space="0" w:color="auto"/>
                    </w:tcBorders>
                    <w:shd w:val="clear" w:color="auto" w:fill="auto"/>
                    <w:vAlign w:val="center"/>
                  </w:tcPr>
                  <w:p w14:paraId="40AFEB98" w14:textId="77777777" w:rsidR="00471D53" w:rsidRPr="00EB4A7D" w:rsidRDefault="004F686E">
                    <w:pPr>
                      <w:jc w:val="center"/>
                      <w:rPr>
                        <w:sz w:val="18"/>
                        <w:szCs w:val="18"/>
                      </w:rPr>
                    </w:pPr>
                    <w:r w:rsidRPr="00EB4A7D">
                      <w:rPr>
                        <w:rFonts w:hint="eastAsia"/>
                        <w:sz w:val="18"/>
                        <w:szCs w:val="18"/>
                      </w:rPr>
                      <w:t>被投资单位</w:t>
                    </w:r>
                  </w:p>
                </w:tc>
              </w:sdtContent>
            </w:sdt>
            <w:sdt>
              <w:sdtPr>
                <w:rPr>
                  <w:sz w:val="18"/>
                  <w:szCs w:val="18"/>
                </w:rPr>
                <w:tag w:val="_PLD_13e6a1fe1f124ad387aad52d77f70942"/>
                <w:id w:val="1545558160"/>
                <w:lock w:val="sdtLocked"/>
              </w:sdtPr>
              <w:sdtEndPr/>
              <w:sdtContent>
                <w:tc>
                  <w:tcPr>
                    <w:tcW w:w="723" w:type="pct"/>
                    <w:vMerge w:val="restart"/>
                    <w:tcBorders>
                      <w:top w:val="single" w:sz="4" w:space="0" w:color="auto"/>
                      <w:left w:val="single" w:sz="4" w:space="0" w:color="auto"/>
                      <w:right w:val="single" w:sz="4" w:space="0" w:color="auto"/>
                    </w:tcBorders>
                    <w:shd w:val="clear" w:color="auto" w:fill="auto"/>
                    <w:vAlign w:val="center"/>
                  </w:tcPr>
                  <w:p w14:paraId="7CF04E87" w14:textId="77777777" w:rsidR="00471D53" w:rsidRPr="00EB4A7D" w:rsidRDefault="004F686E">
                    <w:pPr>
                      <w:jc w:val="center"/>
                      <w:rPr>
                        <w:sz w:val="18"/>
                        <w:szCs w:val="18"/>
                      </w:rPr>
                    </w:pPr>
                    <w:r w:rsidRPr="00EB4A7D">
                      <w:rPr>
                        <w:rFonts w:hint="eastAsia"/>
                        <w:sz w:val="18"/>
                        <w:szCs w:val="18"/>
                      </w:rPr>
                      <w:t>期初</w:t>
                    </w:r>
                  </w:p>
                  <w:p w14:paraId="2A018C3A" w14:textId="77777777" w:rsidR="00471D53" w:rsidRPr="00EB4A7D" w:rsidRDefault="004F686E">
                    <w:pPr>
                      <w:jc w:val="center"/>
                      <w:rPr>
                        <w:sz w:val="18"/>
                        <w:szCs w:val="18"/>
                      </w:rPr>
                    </w:pPr>
                    <w:r w:rsidRPr="00EB4A7D">
                      <w:rPr>
                        <w:rFonts w:hint="eastAsia"/>
                        <w:sz w:val="18"/>
                        <w:szCs w:val="18"/>
                      </w:rPr>
                      <w:t>余额</w:t>
                    </w:r>
                  </w:p>
                </w:tc>
              </w:sdtContent>
            </w:sdt>
            <w:sdt>
              <w:sdtPr>
                <w:rPr>
                  <w:sz w:val="18"/>
                  <w:szCs w:val="18"/>
                </w:rPr>
                <w:tag w:val="_PLD_26fdf8bbc93c4727b9e370d1fdd1f305"/>
                <w:id w:val="-363439727"/>
                <w:lock w:val="sdtLocked"/>
              </w:sdtPr>
              <w:sdtEndPr/>
              <w:sdtContent>
                <w:tc>
                  <w:tcPr>
                    <w:tcW w:w="27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2FA24C3F" w14:textId="77777777" w:rsidR="00471D53" w:rsidRPr="00EB4A7D" w:rsidRDefault="004F686E">
                    <w:pPr>
                      <w:jc w:val="center"/>
                      <w:rPr>
                        <w:sz w:val="18"/>
                        <w:szCs w:val="18"/>
                      </w:rPr>
                    </w:pPr>
                    <w:r w:rsidRPr="00EB4A7D">
                      <w:rPr>
                        <w:rFonts w:hint="eastAsia"/>
                        <w:sz w:val="18"/>
                        <w:szCs w:val="18"/>
                      </w:rPr>
                      <w:t>本期增减变动</w:t>
                    </w:r>
                  </w:p>
                </w:tc>
              </w:sdtContent>
            </w:sdt>
            <w:sdt>
              <w:sdtPr>
                <w:rPr>
                  <w:sz w:val="18"/>
                  <w:szCs w:val="18"/>
                </w:rPr>
                <w:tag w:val="_PLD_26f512d0941441d6b65bf5cb83112461"/>
                <w:id w:val="1656023046"/>
                <w:lock w:val="sdtLocked"/>
              </w:sdtPr>
              <w:sdtEndPr/>
              <w:sdtContent>
                <w:tc>
                  <w:tcPr>
                    <w:tcW w:w="657" w:type="pct"/>
                    <w:vMerge w:val="restart"/>
                    <w:tcBorders>
                      <w:top w:val="single" w:sz="4" w:space="0" w:color="auto"/>
                      <w:left w:val="single" w:sz="4" w:space="0" w:color="auto"/>
                      <w:right w:val="single" w:sz="4" w:space="0" w:color="auto"/>
                    </w:tcBorders>
                    <w:shd w:val="clear" w:color="auto" w:fill="auto"/>
                    <w:vAlign w:val="center"/>
                  </w:tcPr>
                  <w:p w14:paraId="7F4A1D0C" w14:textId="77777777" w:rsidR="00471D53" w:rsidRPr="00EB4A7D" w:rsidRDefault="004F686E">
                    <w:pPr>
                      <w:jc w:val="center"/>
                      <w:rPr>
                        <w:sz w:val="18"/>
                        <w:szCs w:val="18"/>
                      </w:rPr>
                    </w:pPr>
                    <w:r w:rsidRPr="00EB4A7D">
                      <w:rPr>
                        <w:rFonts w:hint="eastAsia"/>
                        <w:sz w:val="18"/>
                        <w:szCs w:val="18"/>
                      </w:rPr>
                      <w:t>期末</w:t>
                    </w:r>
                  </w:p>
                  <w:p w14:paraId="5949551C" w14:textId="77777777" w:rsidR="00471D53" w:rsidRPr="00EB4A7D" w:rsidRDefault="004F686E">
                    <w:pPr>
                      <w:jc w:val="center"/>
                      <w:rPr>
                        <w:sz w:val="18"/>
                        <w:szCs w:val="18"/>
                      </w:rPr>
                    </w:pPr>
                    <w:r w:rsidRPr="00EB4A7D">
                      <w:rPr>
                        <w:rFonts w:hint="eastAsia"/>
                        <w:sz w:val="18"/>
                        <w:szCs w:val="18"/>
                      </w:rPr>
                      <w:t>余额</w:t>
                    </w:r>
                  </w:p>
                </w:tc>
              </w:sdtContent>
            </w:sdt>
            <w:sdt>
              <w:sdtPr>
                <w:rPr>
                  <w:sz w:val="18"/>
                  <w:szCs w:val="18"/>
                </w:rPr>
                <w:tag w:val="_PLD_0a22719961ad439599d68ae073360e65"/>
                <w:id w:val="-1417632302"/>
                <w:lock w:val="sdtLocked"/>
              </w:sdtPr>
              <w:sdtEndPr/>
              <w:sdtContent>
                <w:tc>
                  <w:tcPr>
                    <w:tcW w:w="262" w:type="pct"/>
                    <w:vMerge w:val="restart"/>
                    <w:tcBorders>
                      <w:top w:val="single" w:sz="4" w:space="0" w:color="auto"/>
                      <w:left w:val="single" w:sz="4" w:space="0" w:color="auto"/>
                      <w:right w:val="single" w:sz="4" w:space="0" w:color="auto"/>
                    </w:tcBorders>
                    <w:shd w:val="clear" w:color="auto" w:fill="auto"/>
                    <w:vAlign w:val="center"/>
                  </w:tcPr>
                  <w:p w14:paraId="7FA0F015" w14:textId="77777777" w:rsidR="00471D53" w:rsidRPr="00EB4A7D" w:rsidRDefault="004F686E">
                    <w:pPr>
                      <w:jc w:val="center"/>
                      <w:rPr>
                        <w:sz w:val="18"/>
                        <w:szCs w:val="18"/>
                      </w:rPr>
                    </w:pPr>
                    <w:r w:rsidRPr="00EB4A7D">
                      <w:rPr>
                        <w:rFonts w:hint="eastAsia"/>
                        <w:sz w:val="18"/>
                        <w:szCs w:val="18"/>
                      </w:rPr>
                      <w:t>减值准备期末余额</w:t>
                    </w:r>
                  </w:p>
                </w:tc>
              </w:sdtContent>
            </w:sdt>
          </w:tr>
          <w:tr w:rsidR="00471D53" w14:paraId="7B43AE22" w14:textId="77777777" w:rsidTr="00471D53">
            <w:tc>
              <w:tcPr>
                <w:tcW w:w="658" w:type="pct"/>
                <w:vMerge/>
                <w:tcBorders>
                  <w:left w:val="single" w:sz="4" w:space="0" w:color="auto"/>
                  <w:bottom w:val="single" w:sz="4" w:space="0" w:color="auto"/>
                  <w:right w:val="single" w:sz="4" w:space="0" w:color="auto"/>
                </w:tcBorders>
                <w:shd w:val="clear" w:color="auto" w:fill="auto"/>
              </w:tcPr>
              <w:p w14:paraId="3B9F28C4" w14:textId="77777777" w:rsidR="00471D53" w:rsidRPr="00EB4A7D" w:rsidRDefault="00B664AF">
                <w:pPr>
                  <w:jc w:val="center"/>
                  <w:rPr>
                    <w:sz w:val="18"/>
                    <w:szCs w:val="18"/>
                  </w:rPr>
                </w:pPr>
              </w:p>
            </w:tc>
            <w:tc>
              <w:tcPr>
                <w:tcW w:w="723" w:type="pct"/>
                <w:vMerge/>
                <w:tcBorders>
                  <w:left w:val="single" w:sz="4" w:space="0" w:color="auto"/>
                  <w:bottom w:val="single" w:sz="4" w:space="0" w:color="auto"/>
                  <w:right w:val="single" w:sz="4" w:space="0" w:color="auto"/>
                </w:tcBorders>
                <w:shd w:val="clear" w:color="auto" w:fill="auto"/>
              </w:tcPr>
              <w:p w14:paraId="63EBBE45" w14:textId="77777777" w:rsidR="00471D53" w:rsidRPr="00EB4A7D" w:rsidRDefault="00B664AF">
                <w:pPr>
                  <w:jc w:val="center"/>
                  <w:rPr>
                    <w:sz w:val="18"/>
                    <w:szCs w:val="18"/>
                  </w:rPr>
                </w:pPr>
              </w:p>
            </w:tc>
            <w:sdt>
              <w:sdtPr>
                <w:rPr>
                  <w:sz w:val="18"/>
                  <w:szCs w:val="18"/>
                </w:rPr>
                <w:tag w:val="_PLD_51f40272a3ff4bacb9c71b19b5796e3e"/>
                <w:id w:val="-1080206372"/>
                <w:lock w:val="sdtLocked"/>
              </w:sdtPr>
              <w:sdtEndPr/>
              <w:sdtContent>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14:paraId="65EF3973" w14:textId="77777777" w:rsidR="00471D53" w:rsidRPr="00EB4A7D" w:rsidRDefault="004F686E">
                    <w:pPr>
                      <w:jc w:val="center"/>
                      <w:rPr>
                        <w:sz w:val="18"/>
                        <w:szCs w:val="18"/>
                      </w:rPr>
                    </w:pPr>
                    <w:r w:rsidRPr="00EB4A7D">
                      <w:rPr>
                        <w:rFonts w:hint="eastAsia"/>
                        <w:sz w:val="18"/>
                        <w:szCs w:val="18"/>
                      </w:rPr>
                      <w:t>追加投资</w:t>
                    </w:r>
                  </w:p>
                </w:tc>
              </w:sdtContent>
            </w:sdt>
            <w:sdt>
              <w:sdtPr>
                <w:rPr>
                  <w:sz w:val="18"/>
                  <w:szCs w:val="18"/>
                </w:rPr>
                <w:tag w:val="_PLD_e5464032b3a04113a9cc54a32d8ba16e"/>
                <w:id w:val="1379969949"/>
                <w:lock w:val="sdtLocked"/>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48193506" w14:textId="77777777" w:rsidR="00471D53" w:rsidRPr="00EB4A7D" w:rsidRDefault="004F686E">
                    <w:pPr>
                      <w:jc w:val="center"/>
                      <w:rPr>
                        <w:sz w:val="18"/>
                        <w:szCs w:val="18"/>
                      </w:rPr>
                    </w:pPr>
                    <w:r w:rsidRPr="00EB4A7D">
                      <w:rPr>
                        <w:rFonts w:hint="eastAsia"/>
                        <w:sz w:val="18"/>
                        <w:szCs w:val="18"/>
                      </w:rPr>
                      <w:t>减少投资</w:t>
                    </w:r>
                  </w:p>
                </w:tc>
              </w:sdtContent>
            </w:sdt>
            <w:sdt>
              <w:sdtPr>
                <w:rPr>
                  <w:sz w:val="18"/>
                  <w:szCs w:val="18"/>
                </w:rPr>
                <w:tag w:val="_PLD_3e93bb423e264a59a4ee73dd513ac7a0"/>
                <w:id w:val="367258244"/>
                <w:lock w:val="sdtLocked"/>
              </w:sdtPr>
              <w:sdtEndPr/>
              <w:sdtContent>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14:paraId="3C156A27" w14:textId="77777777" w:rsidR="00471D53" w:rsidRPr="00EB4A7D" w:rsidRDefault="004F686E">
                    <w:pPr>
                      <w:jc w:val="center"/>
                      <w:rPr>
                        <w:sz w:val="18"/>
                        <w:szCs w:val="18"/>
                      </w:rPr>
                    </w:pPr>
                    <w:r w:rsidRPr="00EB4A7D">
                      <w:rPr>
                        <w:rFonts w:hint="eastAsia"/>
                        <w:sz w:val="18"/>
                        <w:szCs w:val="18"/>
                      </w:rPr>
                      <w:t>权益法下确认的投资损益</w:t>
                    </w:r>
                  </w:p>
                </w:tc>
              </w:sdtContent>
            </w:sdt>
            <w:sdt>
              <w:sdtPr>
                <w:rPr>
                  <w:sz w:val="18"/>
                  <w:szCs w:val="18"/>
                </w:rPr>
                <w:tag w:val="_PLD_6d1d63a827674a6d9b4fd3b0738ccb44"/>
                <w:id w:val="765663911"/>
                <w:lock w:val="sdtLocked"/>
              </w:sdtPr>
              <w:sdtEndPr/>
              <w:sdtContent>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14:paraId="71AF0C1E" w14:textId="77777777" w:rsidR="00471D53" w:rsidRPr="00EB4A7D" w:rsidRDefault="004F686E">
                    <w:pPr>
                      <w:jc w:val="center"/>
                      <w:rPr>
                        <w:sz w:val="18"/>
                        <w:szCs w:val="18"/>
                      </w:rPr>
                    </w:pPr>
                    <w:r w:rsidRPr="00EB4A7D">
                      <w:rPr>
                        <w:rFonts w:hint="eastAsia"/>
                        <w:sz w:val="18"/>
                        <w:szCs w:val="18"/>
                      </w:rPr>
                      <w:t>其他综合收益调整</w:t>
                    </w:r>
                  </w:p>
                </w:tc>
              </w:sdtContent>
            </w:sdt>
            <w:sdt>
              <w:sdtPr>
                <w:rPr>
                  <w:sz w:val="18"/>
                  <w:szCs w:val="18"/>
                </w:rPr>
                <w:tag w:val="_PLD_2e31e12a1218445b9271cd0b2b46dfb3"/>
                <w:id w:val="-1058627408"/>
                <w:lock w:val="sdtLocked"/>
              </w:sdtPr>
              <w:sdtEndPr/>
              <w:sdtContent>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0A4EAF79" w14:textId="77777777" w:rsidR="00471D53" w:rsidRPr="00EB4A7D" w:rsidRDefault="004F686E">
                    <w:pPr>
                      <w:jc w:val="center"/>
                      <w:rPr>
                        <w:sz w:val="18"/>
                        <w:szCs w:val="18"/>
                      </w:rPr>
                    </w:pPr>
                    <w:r w:rsidRPr="00EB4A7D">
                      <w:rPr>
                        <w:rFonts w:hint="eastAsia"/>
                        <w:sz w:val="18"/>
                        <w:szCs w:val="18"/>
                      </w:rPr>
                      <w:t>其他权益变动</w:t>
                    </w:r>
                  </w:p>
                </w:tc>
              </w:sdtContent>
            </w:sdt>
            <w:sdt>
              <w:sdtPr>
                <w:rPr>
                  <w:sz w:val="18"/>
                  <w:szCs w:val="18"/>
                </w:rPr>
                <w:tag w:val="_PLD_35f9510bcc234f63a5879448c48131ac"/>
                <w:id w:val="-703176220"/>
                <w:lock w:val="sdtLocked"/>
              </w:sdtPr>
              <w:sdtEndPr/>
              <w:sdtContent>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51CC6C59" w14:textId="77777777" w:rsidR="00471D53" w:rsidRPr="00EB4A7D" w:rsidRDefault="004F686E">
                    <w:pPr>
                      <w:jc w:val="center"/>
                      <w:rPr>
                        <w:sz w:val="18"/>
                        <w:szCs w:val="18"/>
                      </w:rPr>
                    </w:pPr>
                    <w:r w:rsidRPr="00EB4A7D">
                      <w:rPr>
                        <w:rFonts w:hint="eastAsia"/>
                        <w:sz w:val="18"/>
                        <w:szCs w:val="18"/>
                      </w:rPr>
                      <w:t>宣告发放现金股利或利润</w:t>
                    </w:r>
                  </w:p>
                </w:tc>
              </w:sdtContent>
            </w:sdt>
            <w:sdt>
              <w:sdtPr>
                <w:rPr>
                  <w:sz w:val="18"/>
                  <w:szCs w:val="18"/>
                </w:rPr>
                <w:tag w:val="_PLD_ad3c3bd2b468443aab93d8cfe4bded11"/>
                <w:id w:val="-1394651962"/>
                <w:lock w:val="sdtLocked"/>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3A6DECF0" w14:textId="77777777" w:rsidR="00471D53" w:rsidRPr="00EB4A7D" w:rsidRDefault="004F686E">
                    <w:pPr>
                      <w:jc w:val="center"/>
                      <w:rPr>
                        <w:sz w:val="18"/>
                        <w:szCs w:val="18"/>
                      </w:rPr>
                    </w:pPr>
                    <w:r w:rsidRPr="00EB4A7D">
                      <w:rPr>
                        <w:rFonts w:hint="eastAsia"/>
                        <w:sz w:val="18"/>
                        <w:szCs w:val="18"/>
                      </w:rPr>
                      <w:t>计提减值准备</w:t>
                    </w:r>
                  </w:p>
                </w:tc>
              </w:sdtContent>
            </w:sdt>
            <w:sdt>
              <w:sdtPr>
                <w:rPr>
                  <w:sz w:val="18"/>
                  <w:szCs w:val="18"/>
                </w:rPr>
                <w:tag w:val="_PLD_1bf39451058c4b3c8ec7b49241e56e40"/>
                <w:id w:val="-1440903447"/>
                <w:lock w:val="sdtLocked"/>
              </w:sdtPr>
              <w:sdtEndPr/>
              <w:sdtContent>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2FA20E7" w14:textId="77777777" w:rsidR="00471D53" w:rsidRPr="00EB4A7D" w:rsidRDefault="004F686E">
                    <w:pPr>
                      <w:jc w:val="center"/>
                      <w:rPr>
                        <w:sz w:val="18"/>
                        <w:szCs w:val="18"/>
                      </w:rPr>
                    </w:pPr>
                    <w:r w:rsidRPr="00EB4A7D">
                      <w:rPr>
                        <w:rFonts w:hint="eastAsia"/>
                        <w:sz w:val="18"/>
                        <w:szCs w:val="18"/>
                      </w:rPr>
                      <w:t>其他</w:t>
                    </w:r>
                  </w:p>
                </w:tc>
              </w:sdtContent>
            </w:sdt>
            <w:tc>
              <w:tcPr>
                <w:tcW w:w="657" w:type="pct"/>
                <w:vMerge/>
                <w:tcBorders>
                  <w:left w:val="single" w:sz="4" w:space="0" w:color="auto"/>
                  <w:bottom w:val="single" w:sz="4" w:space="0" w:color="auto"/>
                  <w:right w:val="single" w:sz="4" w:space="0" w:color="auto"/>
                </w:tcBorders>
                <w:shd w:val="clear" w:color="auto" w:fill="auto"/>
                <w:vAlign w:val="center"/>
              </w:tcPr>
              <w:p w14:paraId="0145B9D0" w14:textId="77777777" w:rsidR="00471D53" w:rsidRPr="00EB4A7D" w:rsidRDefault="00B664AF">
                <w:pPr>
                  <w:jc w:val="center"/>
                  <w:rPr>
                    <w:sz w:val="18"/>
                    <w:szCs w:val="18"/>
                  </w:rPr>
                </w:pPr>
              </w:p>
            </w:tc>
            <w:tc>
              <w:tcPr>
                <w:tcW w:w="262" w:type="pct"/>
                <w:vMerge/>
                <w:tcBorders>
                  <w:left w:val="single" w:sz="4" w:space="0" w:color="auto"/>
                  <w:bottom w:val="single" w:sz="4" w:space="0" w:color="auto"/>
                  <w:right w:val="single" w:sz="4" w:space="0" w:color="auto"/>
                </w:tcBorders>
                <w:shd w:val="clear" w:color="auto" w:fill="auto"/>
                <w:vAlign w:val="center"/>
              </w:tcPr>
              <w:p w14:paraId="6AF605A6" w14:textId="77777777" w:rsidR="00471D53" w:rsidRPr="00EB4A7D" w:rsidRDefault="00B664AF">
                <w:pPr>
                  <w:jc w:val="center"/>
                  <w:rPr>
                    <w:sz w:val="18"/>
                    <w:szCs w:val="18"/>
                  </w:rPr>
                </w:pPr>
              </w:p>
            </w:tc>
          </w:tr>
          <w:tr w:rsidR="00471D53" w14:paraId="7863B04B" w14:textId="77777777" w:rsidTr="00471D53">
            <w:sdt>
              <w:sdtPr>
                <w:rPr>
                  <w:sz w:val="18"/>
                  <w:szCs w:val="18"/>
                </w:rPr>
                <w:tag w:val="_PLD_a4cee4ce080742218169c5adba891f8b"/>
                <w:id w:val="-542448284"/>
                <w:lock w:val="sdtLocked"/>
              </w:sdtPr>
              <w:sdtEndPr/>
              <w:sdtContent>
                <w:tc>
                  <w:tcPr>
                    <w:tcW w:w="658" w:type="pct"/>
                    <w:tcBorders>
                      <w:top w:val="single" w:sz="4" w:space="0" w:color="auto"/>
                      <w:left w:val="single" w:sz="4" w:space="0" w:color="auto"/>
                      <w:bottom w:val="single" w:sz="4" w:space="0" w:color="auto"/>
                      <w:right w:val="single" w:sz="4" w:space="0" w:color="auto"/>
                    </w:tcBorders>
                    <w:shd w:val="clear" w:color="auto" w:fill="auto"/>
                  </w:tcPr>
                  <w:p w14:paraId="6E7C4B41" w14:textId="77777777" w:rsidR="00471D53" w:rsidRPr="00EB4A7D" w:rsidRDefault="004F686E">
                    <w:pPr>
                      <w:jc w:val="both"/>
                      <w:rPr>
                        <w:sz w:val="18"/>
                        <w:szCs w:val="18"/>
                      </w:rPr>
                    </w:pPr>
                    <w:r w:rsidRPr="00EB4A7D">
                      <w:rPr>
                        <w:rFonts w:hint="eastAsia"/>
                        <w:sz w:val="18"/>
                        <w:szCs w:val="18"/>
                      </w:rPr>
                      <w:t>一、合营企业</w:t>
                    </w:r>
                  </w:p>
                </w:tc>
              </w:sdtContent>
            </w:sdt>
            <w:tc>
              <w:tcPr>
                <w:tcW w:w="723" w:type="pct"/>
                <w:tcBorders>
                  <w:top w:val="single" w:sz="4" w:space="0" w:color="auto"/>
                  <w:left w:val="single" w:sz="4" w:space="0" w:color="auto"/>
                  <w:bottom w:val="single" w:sz="4" w:space="0" w:color="auto"/>
                  <w:right w:val="single" w:sz="4" w:space="0" w:color="auto"/>
                </w:tcBorders>
                <w:shd w:val="clear" w:color="auto" w:fill="auto"/>
              </w:tcPr>
              <w:p w14:paraId="602F3536" w14:textId="77777777" w:rsidR="00471D53" w:rsidRPr="00EB4A7D" w:rsidRDefault="00B664AF">
                <w:pPr>
                  <w:jc w:val="right"/>
                  <w:rPr>
                    <w:sz w:val="18"/>
                    <w:szCs w:val="18"/>
                  </w:rPr>
                </w:pPr>
              </w:p>
            </w:tc>
            <w:tc>
              <w:tcPr>
                <w:tcW w:w="132" w:type="pct"/>
                <w:tcBorders>
                  <w:top w:val="single" w:sz="4" w:space="0" w:color="auto"/>
                  <w:left w:val="single" w:sz="4" w:space="0" w:color="auto"/>
                  <w:bottom w:val="single" w:sz="4" w:space="0" w:color="auto"/>
                  <w:right w:val="single" w:sz="4" w:space="0" w:color="auto"/>
                </w:tcBorders>
                <w:shd w:val="clear" w:color="auto" w:fill="auto"/>
              </w:tcPr>
              <w:p w14:paraId="0E19487D" w14:textId="77777777" w:rsidR="00471D53" w:rsidRPr="00EB4A7D" w:rsidRDefault="00B664AF">
                <w:pPr>
                  <w:jc w:val="right"/>
                  <w:rPr>
                    <w:sz w:val="18"/>
                    <w:szCs w:val="18"/>
                  </w:rPr>
                </w:pPr>
              </w:p>
            </w:tc>
            <w:tc>
              <w:tcPr>
                <w:tcW w:w="198" w:type="pct"/>
                <w:tcBorders>
                  <w:top w:val="single" w:sz="4" w:space="0" w:color="auto"/>
                  <w:left w:val="single" w:sz="4" w:space="0" w:color="auto"/>
                  <w:bottom w:val="single" w:sz="4" w:space="0" w:color="auto"/>
                  <w:right w:val="single" w:sz="4" w:space="0" w:color="auto"/>
                </w:tcBorders>
                <w:shd w:val="clear" w:color="auto" w:fill="auto"/>
              </w:tcPr>
              <w:p w14:paraId="7AFE9E27" w14:textId="77777777" w:rsidR="00471D53" w:rsidRPr="00EB4A7D" w:rsidRDefault="00B664AF">
                <w:pPr>
                  <w:jc w:val="right"/>
                  <w:rPr>
                    <w:sz w:val="18"/>
                    <w:szCs w:val="18"/>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15062798" w14:textId="77777777" w:rsidR="00471D53" w:rsidRPr="00EB4A7D" w:rsidRDefault="00B664AF">
                <w:pPr>
                  <w:jc w:val="right"/>
                  <w:rPr>
                    <w:sz w:val="18"/>
                    <w:szCs w:val="18"/>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2829BB93" w14:textId="77777777" w:rsidR="00471D53" w:rsidRPr="00EB4A7D" w:rsidRDefault="00B664AF">
                <w:pPr>
                  <w:jc w:val="right"/>
                  <w:rPr>
                    <w:sz w:val="18"/>
                    <w:szCs w:val="18"/>
                  </w:rPr>
                </w:pPr>
              </w:p>
            </w:tc>
            <w:tc>
              <w:tcPr>
                <w:tcW w:w="197" w:type="pct"/>
                <w:tcBorders>
                  <w:top w:val="single" w:sz="4" w:space="0" w:color="auto"/>
                  <w:left w:val="single" w:sz="4" w:space="0" w:color="auto"/>
                  <w:bottom w:val="single" w:sz="4" w:space="0" w:color="auto"/>
                  <w:right w:val="single" w:sz="4" w:space="0" w:color="auto"/>
                </w:tcBorders>
                <w:shd w:val="clear" w:color="auto" w:fill="auto"/>
              </w:tcPr>
              <w:p w14:paraId="640DC992" w14:textId="77777777" w:rsidR="00471D53" w:rsidRPr="00EB4A7D" w:rsidRDefault="00B664AF">
                <w:pPr>
                  <w:jc w:val="right"/>
                  <w:rPr>
                    <w:sz w:val="18"/>
                    <w:szCs w:val="18"/>
                  </w:rPr>
                </w:pP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7FFAD7B4" w14:textId="77777777" w:rsidR="00471D53" w:rsidRPr="00EB4A7D" w:rsidRDefault="00B664AF">
                <w:pPr>
                  <w:jc w:val="right"/>
                  <w:rPr>
                    <w:sz w:val="18"/>
                    <w:szCs w:val="18"/>
                  </w:rPr>
                </w:pP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55320349" w14:textId="77777777" w:rsidR="00471D53" w:rsidRPr="00EB4A7D" w:rsidRDefault="00B664AF">
                <w:pPr>
                  <w:jc w:val="right"/>
                  <w:rPr>
                    <w:sz w:val="18"/>
                    <w:szCs w:val="18"/>
                  </w:rPr>
                </w:pP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7AB4DAC3" w14:textId="77777777" w:rsidR="00471D53" w:rsidRPr="00EB4A7D" w:rsidRDefault="00B664AF">
                <w:pPr>
                  <w:jc w:val="right"/>
                  <w:rPr>
                    <w:sz w:val="18"/>
                    <w:szCs w:val="18"/>
                  </w:rPr>
                </w:pP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0739637A" w14:textId="77777777" w:rsidR="00471D53" w:rsidRPr="00EB4A7D" w:rsidRDefault="00B664AF">
                <w:pPr>
                  <w:jc w:val="right"/>
                  <w:rPr>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FAA03E1" w14:textId="77777777" w:rsidR="00471D53" w:rsidRPr="00EB4A7D" w:rsidRDefault="00B664AF">
                <w:pPr>
                  <w:jc w:val="right"/>
                  <w:rPr>
                    <w:sz w:val="18"/>
                    <w:szCs w:val="18"/>
                  </w:rPr>
                </w:pPr>
              </w:p>
            </w:tc>
          </w:tr>
          <w:sdt>
            <w:sdtPr>
              <w:rPr>
                <w:sz w:val="18"/>
                <w:szCs w:val="18"/>
              </w:rPr>
              <w:alias w:val="合营企业投资信息明细"/>
              <w:tag w:val="_GBC_69227c07b5a5404ba52ae2198dc394dc"/>
              <w:id w:val="-1885867808"/>
              <w:lock w:val="sdtLocked"/>
              <w:placeholder>
                <w:docPart w:val="GBC11111111111111111111111111111"/>
              </w:placeholder>
            </w:sdtPr>
            <w:sdtEndPr/>
            <w:sdtContent>
              <w:tr w:rsidR="00471D53" w14:paraId="1F3970C3" w14:textId="77777777" w:rsidTr="00471D53">
                <w:tc>
                  <w:tcPr>
                    <w:tcW w:w="658" w:type="pct"/>
                    <w:tcBorders>
                      <w:top w:val="single" w:sz="4" w:space="0" w:color="auto"/>
                      <w:left w:val="single" w:sz="4" w:space="0" w:color="auto"/>
                      <w:bottom w:val="single" w:sz="4" w:space="0" w:color="auto"/>
                      <w:right w:val="single" w:sz="4" w:space="0" w:color="auto"/>
                    </w:tcBorders>
                    <w:shd w:val="clear" w:color="auto" w:fill="auto"/>
                  </w:tcPr>
                  <w:p w14:paraId="236F1A1E" w14:textId="77777777" w:rsidR="00471D53" w:rsidRPr="00EB4A7D" w:rsidRDefault="004F686E">
                    <w:pPr>
                      <w:rPr>
                        <w:sz w:val="18"/>
                        <w:szCs w:val="18"/>
                      </w:rPr>
                    </w:pPr>
                    <w:r w:rsidRPr="00EB4A7D">
                      <w:rPr>
                        <w:rFonts w:hint="eastAsia"/>
                        <w:sz w:val="18"/>
                        <w:szCs w:val="18"/>
                      </w:rPr>
                      <w:t>北京京城海通科技文化发展有限公司</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7849C7E3" w14:textId="77777777" w:rsidR="00471D53" w:rsidRPr="00EB4A7D" w:rsidRDefault="00B664AF">
                    <w:pPr>
                      <w:jc w:val="right"/>
                      <w:rPr>
                        <w:sz w:val="18"/>
                        <w:szCs w:val="18"/>
                      </w:rPr>
                    </w:pPr>
                  </w:p>
                </w:tc>
                <w:tc>
                  <w:tcPr>
                    <w:tcW w:w="132" w:type="pct"/>
                    <w:tcBorders>
                      <w:top w:val="single" w:sz="4" w:space="0" w:color="auto"/>
                      <w:left w:val="single" w:sz="4" w:space="0" w:color="auto"/>
                      <w:bottom w:val="single" w:sz="4" w:space="0" w:color="auto"/>
                      <w:right w:val="single" w:sz="4" w:space="0" w:color="auto"/>
                    </w:tcBorders>
                    <w:shd w:val="clear" w:color="auto" w:fill="auto"/>
                  </w:tcPr>
                  <w:p w14:paraId="41864B3F" w14:textId="77777777" w:rsidR="00471D53" w:rsidRPr="00EB4A7D" w:rsidRDefault="00B664AF">
                    <w:pPr>
                      <w:jc w:val="right"/>
                      <w:rPr>
                        <w:sz w:val="18"/>
                        <w:szCs w:val="18"/>
                      </w:rPr>
                    </w:pPr>
                  </w:p>
                </w:tc>
                <w:tc>
                  <w:tcPr>
                    <w:tcW w:w="198" w:type="pct"/>
                    <w:tcBorders>
                      <w:top w:val="single" w:sz="4" w:space="0" w:color="auto"/>
                      <w:left w:val="single" w:sz="4" w:space="0" w:color="auto"/>
                      <w:bottom w:val="single" w:sz="4" w:space="0" w:color="auto"/>
                      <w:right w:val="single" w:sz="4" w:space="0" w:color="auto"/>
                    </w:tcBorders>
                    <w:shd w:val="clear" w:color="auto" w:fill="auto"/>
                  </w:tcPr>
                  <w:p w14:paraId="58018C6C" w14:textId="77777777" w:rsidR="00471D53" w:rsidRPr="00EB4A7D" w:rsidRDefault="00B664AF">
                    <w:pPr>
                      <w:jc w:val="right"/>
                      <w:rPr>
                        <w:sz w:val="18"/>
                        <w:szCs w:val="18"/>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4E74F196" w14:textId="77777777" w:rsidR="00471D53" w:rsidRPr="00EB4A7D" w:rsidRDefault="004F686E">
                    <w:pPr>
                      <w:jc w:val="right"/>
                      <w:rPr>
                        <w:sz w:val="18"/>
                        <w:szCs w:val="18"/>
                      </w:rPr>
                    </w:pPr>
                    <w:r w:rsidRPr="00EB4A7D">
                      <w:rPr>
                        <w:sz w:val="18"/>
                        <w:szCs w:val="18"/>
                      </w:rPr>
                      <w:t>3,017,515.83</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7764E5F9" w14:textId="77777777" w:rsidR="00471D53" w:rsidRPr="00EB4A7D" w:rsidRDefault="00B664AF">
                    <w:pPr>
                      <w:jc w:val="right"/>
                      <w:rPr>
                        <w:sz w:val="18"/>
                        <w:szCs w:val="18"/>
                      </w:rPr>
                    </w:pPr>
                  </w:p>
                </w:tc>
                <w:tc>
                  <w:tcPr>
                    <w:tcW w:w="197" w:type="pct"/>
                    <w:tcBorders>
                      <w:top w:val="single" w:sz="4" w:space="0" w:color="auto"/>
                      <w:left w:val="single" w:sz="4" w:space="0" w:color="auto"/>
                      <w:bottom w:val="single" w:sz="4" w:space="0" w:color="auto"/>
                      <w:right w:val="single" w:sz="4" w:space="0" w:color="auto"/>
                    </w:tcBorders>
                    <w:shd w:val="clear" w:color="auto" w:fill="auto"/>
                  </w:tcPr>
                  <w:p w14:paraId="74D78388" w14:textId="77777777" w:rsidR="00471D53" w:rsidRPr="00EB4A7D" w:rsidRDefault="00B664AF">
                    <w:pPr>
                      <w:jc w:val="right"/>
                      <w:rPr>
                        <w:sz w:val="18"/>
                        <w:szCs w:val="18"/>
                      </w:rPr>
                    </w:pP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0ADDDED6" w14:textId="77777777" w:rsidR="00471D53" w:rsidRPr="00EB4A7D" w:rsidRDefault="00B664AF">
                    <w:pPr>
                      <w:jc w:val="right"/>
                      <w:rPr>
                        <w:sz w:val="18"/>
                        <w:szCs w:val="18"/>
                      </w:rPr>
                    </w:pP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7CBA76E7" w14:textId="77777777" w:rsidR="00471D53" w:rsidRPr="00EB4A7D" w:rsidRDefault="00B664AF">
                    <w:pPr>
                      <w:jc w:val="right"/>
                      <w:rPr>
                        <w:sz w:val="18"/>
                        <w:szCs w:val="18"/>
                      </w:rPr>
                    </w:pP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187080D8" w14:textId="77777777" w:rsidR="00471D53" w:rsidRPr="00EB4A7D" w:rsidRDefault="00B664AF">
                    <w:pPr>
                      <w:jc w:val="right"/>
                      <w:rPr>
                        <w:sz w:val="18"/>
                        <w:szCs w:val="18"/>
                      </w:rPr>
                    </w:pP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2F0B9AF0" w14:textId="77777777" w:rsidR="00471D53" w:rsidRPr="00EB4A7D" w:rsidRDefault="004F686E">
                    <w:pPr>
                      <w:jc w:val="right"/>
                      <w:rPr>
                        <w:sz w:val="18"/>
                        <w:szCs w:val="18"/>
                      </w:rPr>
                    </w:pPr>
                    <w:r w:rsidRPr="00EB4A7D">
                      <w:rPr>
                        <w:sz w:val="18"/>
                        <w:szCs w:val="18"/>
                      </w:rPr>
                      <w:t>3,017,515.83</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6B43B311" w14:textId="77777777" w:rsidR="00471D53" w:rsidRPr="00EB4A7D" w:rsidRDefault="00B664AF">
                    <w:pPr>
                      <w:jc w:val="right"/>
                      <w:rPr>
                        <w:sz w:val="18"/>
                        <w:szCs w:val="18"/>
                      </w:rPr>
                    </w:pPr>
                  </w:p>
                </w:tc>
              </w:tr>
            </w:sdtContent>
          </w:sdt>
          <w:sdt>
            <w:sdtPr>
              <w:rPr>
                <w:sz w:val="18"/>
                <w:szCs w:val="18"/>
              </w:rPr>
              <w:alias w:val="合营企业投资信息明细"/>
              <w:tag w:val="_GBC_69227c07b5a5404ba52ae2198dc394dc"/>
              <w:id w:val="563836563"/>
              <w:lock w:val="sdtLocked"/>
              <w:placeholder>
                <w:docPart w:val="GBC11111111111111111111111111111"/>
              </w:placeholder>
            </w:sdtPr>
            <w:sdtEndPr/>
            <w:sdtContent>
              <w:tr w:rsidR="00471D53" w14:paraId="6A4EB534" w14:textId="77777777" w:rsidTr="00471D53">
                <w:tc>
                  <w:tcPr>
                    <w:tcW w:w="658" w:type="pct"/>
                    <w:tcBorders>
                      <w:top w:val="single" w:sz="4" w:space="0" w:color="auto"/>
                      <w:left w:val="single" w:sz="4" w:space="0" w:color="auto"/>
                      <w:bottom w:val="single" w:sz="4" w:space="0" w:color="auto"/>
                      <w:right w:val="single" w:sz="4" w:space="0" w:color="auto"/>
                    </w:tcBorders>
                    <w:shd w:val="clear" w:color="auto" w:fill="auto"/>
                  </w:tcPr>
                  <w:p w14:paraId="6CF190B4" w14:textId="77777777" w:rsidR="00471D53" w:rsidRPr="00EB4A7D" w:rsidRDefault="00B664AF">
                    <w:pPr>
                      <w:rPr>
                        <w:sz w:val="18"/>
                        <w:szCs w:val="18"/>
                      </w:rPr>
                    </w:pP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0A494B9F" w14:textId="77777777" w:rsidR="00471D53" w:rsidRPr="00EB4A7D" w:rsidRDefault="00B664AF">
                    <w:pPr>
                      <w:jc w:val="right"/>
                      <w:rPr>
                        <w:sz w:val="18"/>
                        <w:szCs w:val="18"/>
                      </w:rPr>
                    </w:pPr>
                  </w:p>
                </w:tc>
                <w:tc>
                  <w:tcPr>
                    <w:tcW w:w="132" w:type="pct"/>
                    <w:tcBorders>
                      <w:top w:val="single" w:sz="4" w:space="0" w:color="auto"/>
                      <w:left w:val="single" w:sz="4" w:space="0" w:color="auto"/>
                      <w:bottom w:val="single" w:sz="4" w:space="0" w:color="auto"/>
                      <w:right w:val="single" w:sz="4" w:space="0" w:color="auto"/>
                    </w:tcBorders>
                    <w:shd w:val="clear" w:color="auto" w:fill="auto"/>
                  </w:tcPr>
                  <w:p w14:paraId="38E6BA8D" w14:textId="77777777" w:rsidR="00471D53" w:rsidRPr="00EB4A7D" w:rsidRDefault="00B664AF">
                    <w:pPr>
                      <w:jc w:val="right"/>
                      <w:rPr>
                        <w:sz w:val="18"/>
                        <w:szCs w:val="18"/>
                      </w:rPr>
                    </w:pPr>
                  </w:p>
                </w:tc>
                <w:tc>
                  <w:tcPr>
                    <w:tcW w:w="198" w:type="pct"/>
                    <w:tcBorders>
                      <w:top w:val="single" w:sz="4" w:space="0" w:color="auto"/>
                      <w:left w:val="single" w:sz="4" w:space="0" w:color="auto"/>
                      <w:bottom w:val="single" w:sz="4" w:space="0" w:color="auto"/>
                      <w:right w:val="single" w:sz="4" w:space="0" w:color="auto"/>
                    </w:tcBorders>
                    <w:shd w:val="clear" w:color="auto" w:fill="auto"/>
                  </w:tcPr>
                  <w:p w14:paraId="068F7803" w14:textId="77777777" w:rsidR="00471D53" w:rsidRPr="00EB4A7D" w:rsidRDefault="00B664AF">
                    <w:pPr>
                      <w:jc w:val="right"/>
                      <w:rPr>
                        <w:sz w:val="18"/>
                        <w:szCs w:val="18"/>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48FBB4D3" w14:textId="77777777" w:rsidR="00471D53" w:rsidRPr="00EB4A7D" w:rsidRDefault="00B664AF">
                    <w:pPr>
                      <w:jc w:val="right"/>
                      <w:rPr>
                        <w:sz w:val="18"/>
                        <w:szCs w:val="18"/>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7B54E328" w14:textId="77777777" w:rsidR="00471D53" w:rsidRPr="00EB4A7D" w:rsidRDefault="00B664AF">
                    <w:pPr>
                      <w:jc w:val="right"/>
                      <w:rPr>
                        <w:sz w:val="18"/>
                        <w:szCs w:val="18"/>
                      </w:rPr>
                    </w:pPr>
                  </w:p>
                </w:tc>
                <w:tc>
                  <w:tcPr>
                    <w:tcW w:w="197" w:type="pct"/>
                    <w:tcBorders>
                      <w:top w:val="single" w:sz="4" w:space="0" w:color="auto"/>
                      <w:left w:val="single" w:sz="4" w:space="0" w:color="auto"/>
                      <w:bottom w:val="single" w:sz="4" w:space="0" w:color="auto"/>
                      <w:right w:val="single" w:sz="4" w:space="0" w:color="auto"/>
                    </w:tcBorders>
                    <w:shd w:val="clear" w:color="auto" w:fill="auto"/>
                  </w:tcPr>
                  <w:p w14:paraId="029B73F0" w14:textId="77777777" w:rsidR="00471D53" w:rsidRPr="00EB4A7D" w:rsidRDefault="00B664AF">
                    <w:pPr>
                      <w:jc w:val="right"/>
                      <w:rPr>
                        <w:sz w:val="18"/>
                        <w:szCs w:val="18"/>
                      </w:rPr>
                    </w:pP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20BB8226" w14:textId="77777777" w:rsidR="00471D53" w:rsidRPr="00EB4A7D" w:rsidRDefault="00B664AF">
                    <w:pPr>
                      <w:jc w:val="right"/>
                      <w:rPr>
                        <w:sz w:val="18"/>
                        <w:szCs w:val="18"/>
                      </w:rPr>
                    </w:pP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547CBBFB" w14:textId="77777777" w:rsidR="00471D53" w:rsidRPr="00EB4A7D" w:rsidRDefault="00B664AF">
                    <w:pPr>
                      <w:jc w:val="right"/>
                      <w:rPr>
                        <w:sz w:val="18"/>
                        <w:szCs w:val="18"/>
                      </w:rPr>
                    </w:pP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5044644C" w14:textId="77777777" w:rsidR="00471D53" w:rsidRPr="00EB4A7D" w:rsidRDefault="00B664AF">
                    <w:pPr>
                      <w:jc w:val="right"/>
                      <w:rPr>
                        <w:sz w:val="18"/>
                        <w:szCs w:val="18"/>
                      </w:rPr>
                    </w:pP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6AC8A8D3" w14:textId="77777777" w:rsidR="00471D53" w:rsidRPr="00EB4A7D" w:rsidRDefault="00B664AF">
                    <w:pPr>
                      <w:jc w:val="right"/>
                      <w:rPr>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2F01921A" w14:textId="77777777" w:rsidR="00471D53" w:rsidRPr="00EB4A7D" w:rsidRDefault="00B664AF">
                    <w:pPr>
                      <w:jc w:val="right"/>
                      <w:rPr>
                        <w:sz w:val="18"/>
                        <w:szCs w:val="18"/>
                      </w:rPr>
                    </w:pPr>
                  </w:p>
                </w:tc>
              </w:tr>
            </w:sdtContent>
          </w:sdt>
          <w:tr w:rsidR="00471D53" w14:paraId="545ED108" w14:textId="77777777" w:rsidTr="00471D53">
            <w:sdt>
              <w:sdtPr>
                <w:rPr>
                  <w:sz w:val="18"/>
                  <w:szCs w:val="18"/>
                </w:rPr>
                <w:tag w:val="_PLD_0f6b1bcaf84d416293b3177ddad0e0e0"/>
                <w:id w:val="1236975497"/>
                <w:lock w:val="sdtLocked"/>
              </w:sdtPr>
              <w:sdtEndPr/>
              <w:sdtContent>
                <w:tc>
                  <w:tcPr>
                    <w:tcW w:w="658" w:type="pct"/>
                    <w:tcBorders>
                      <w:top w:val="single" w:sz="4" w:space="0" w:color="auto"/>
                      <w:left w:val="single" w:sz="4" w:space="0" w:color="auto"/>
                      <w:bottom w:val="single" w:sz="4" w:space="0" w:color="auto"/>
                      <w:right w:val="single" w:sz="4" w:space="0" w:color="auto"/>
                    </w:tcBorders>
                    <w:shd w:val="clear" w:color="auto" w:fill="auto"/>
                  </w:tcPr>
                  <w:p w14:paraId="563F3BAF" w14:textId="77777777" w:rsidR="00471D53" w:rsidRPr="00EB4A7D" w:rsidRDefault="004F686E">
                    <w:pPr>
                      <w:jc w:val="both"/>
                      <w:rPr>
                        <w:sz w:val="18"/>
                        <w:szCs w:val="18"/>
                      </w:rPr>
                    </w:pPr>
                    <w:r w:rsidRPr="00EB4A7D">
                      <w:rPr>
                        <w:rFonts w:hint="eastAsia"/>
                        <w:sz w:val="18"/>
                        <w:szCs w:val="18"/>
                      </w:rPr>
                      <w:t>小计</w:t>
                    </w:r>
                  </w:p>
                </w:tc>
              </w:sdtContent>
            </w:sdt>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7643D6FA" w14:textId="77777777" w:rsidR="00471D53" w:rsidRPr="00EB4A7D" w:rsidRDefault="00B664AF">
                <w:pPr>
                  <w:rPr>
                    <w:sz w:val="18"/>
                    <w:szCs w:val="18"/>
                  </w:rPr>
                </w:pP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14:paraId="239B3001" w14:textId="77777777" w:rsidR="00471D53" w:rsidRPr="00EB4A7D" w:rsidRDefault="00B664AF">
                <w:pPr>
                  <w:rPr>
                    <w:sz w:val="18"/>
                    <w:szCs w:val="18"/>
                  </w:rPr>
                </w:pP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138D6185" w14:textId="77777777" w:rsidR="00471D53" w:rsidRPr="00EB4A7D" w:rsidRDefault="00B664AF">
                <w:pPr>
                  <w:rPr>
                    <w:sz w:val="18"/>
                    <w:szCs w:val="18"/>
                  </w:rPr>
                </w:pP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14:paraId="31E2E5E9" w14:textId="77777777" w:rsidR="00471D53" w:rsidRPr="00EB4A7D" w:rsidRDefault="004F686E">
                <w:pPr>
                  <w:rPr>
                    <w:sz w:val="18"/>
                    <w:szCs w:val="18"/>
                  </w:rPr>
                </w:pPr>
                <w:r w:rsidRPr="00EB4A7D">
                  <w:rPr>
                    <w:sz w:val="18"/>
                    <w:szCs w:val="18"/>
                  </w:rPr>
                  <w:t>3,017,515.83</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14:paraId="689AF721" w14:textId="77777777" w:rsidR="00471D53" w:rsidRPr="00EB4A7D" w:rsidRDefault="00B664AF">
                <w:pPr>
                  <w:rPr>
                    <w:sz w:val="18"/>
                    <w:szCs w:val="18"/>
                  </w:rPr>
                </w:pP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1C07A4E0" w14:textId="77777777" w:rsidR="00471D53" w:rsidRPr="00EB4A7D" w:rsidRDefault="00B664AF">
                <w:pPr>
                  <w:rPr>
                    <w:sz w:val="18"/>
                    <w:szCs w:val="18"/>
                  </w:rPr>
                </w:pP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6C4CF0D3" w14:textId="77777777" w:rsidR="00471D53" w:rsidRPr="00EB4A7D" w:rsidRDefault="00B664AF">
                <w:pPr>
                  <w:rPr>
                    <w:sz w:val="18"/>
                    <w:szCs w:val="18"/>
                  </w:rPr>
                </w:pP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5EBFCB7B" w14:textId="77777777" w:rsidR="00471D53" w:rsidRPr="00EB4A7D" w:rsidRDefault="00B664AF">
                <w:pPr>
                  <w:rPr>
                    <w:sz w:val="18"/>
                    <w:szCs w:val="18"/>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EEE1F32" w14:textId="77777777" w:rsidR="00471D53" w:rsidRPr="00EB4A7D" w:rsidRDefault="00B664AF">
                <w:pPr>
                  <w:rPr>
                    <w:sz w:val="18"/>
                    <w:szCs w:val="18"/>
                  </w:rPr>
                </w:pP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102FC87D" w14:textId="77777777" w:rsidR="00471D53" w:rsidRPr="00EB4A7D" w:rsidRDefault="004F686E">
                <w:pPr>
                  <w:rPr>
                    <w:sz w:val="18"/>
                    <w:szCs w:val="18"/>
                  </w:rPr>
                </w:pPr>
                <w:r w:rsidRPr="00EB4A7D">
                  <w:rPr>
                    <w:sz w:val="18"/>
                    <w:szCs w:val="18"/>
                  </w:rPr>
                  <w:t>3,017,515.83</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142B18B0" w14:textId="77777777" w:rsidR="00471D53" w:rsidRPr="00EB4A7D" w:rsidRDefault="00B664AF">
                <w:pPr>
                  <w:rPr>
                    <w:sz w:val="18"/>
                    <w:szCs w:val="18"/>
                  </w:rPr>
                </w:pPr>
              </w:p>
            </w:tc>
          </w:tr>
          <w:tr w:rsidR="00471D53" w14:paraId="1E138305" w14:textId="77777777" w:rsidTr="00471D53">
            <w:sdt>
              <w:sdtPr>
                <w:rPr>
                  <w:sz w:val="18"/>
                  <w:szCs w:val="18"/>
                </w:rPr>
                <w:tag w:val="_PLD_a1bc1a1af5744195bb75f57f610f28b4"/>
                <w:id w:val="1268811172"/>
                <w:lock w:val="sdtLocked"/>
              </w:sdtPr>
              <w:sdtEndPr/>
              <w:sdtContent>
                <w:tc>
                  <w:tcPr>
                    <w:tcW w:w="658" w:type="pct"/>
                    <w:tcBorders>
                      <w:top w:val="single" w:sz="4" w:space="0" w:color="auto"/>
                      <w:left w:val="single" w:sz="4" w:space="0" w:color="auto"/>
                      <w:bottom w:val="single" w:sz="4" w:space="0" w:color="auto"/>
                      <w:right w:val="single" w:sz="4" w:space="0" w:color="auto"/>
                    </w:tcBorders>
                    <w:shd w:val="clear" w:color="auto" w:fill="auto"/>
                  </w:tcPr>
                  <w:p w14:paraId="5486097B" w14:textId="77777777" w:rsidR="00471D53" w:rsidRPr="00EB4A7D" w:rsidRDefault="004F686E">
                    <w:pPr>
                      <w:jc w:val="both"/>
                      <w:rPr>
                        <w:sz w:val="18"/>
                        <w:szCs w:val="18"/>
                      </w:rPr>
                    </w:pPr>
                    <w:r w:rsidRPr="00EB4A7D">
                      <w:rPr>
                        <w:rFonts w:hint="eastAsia"/>
                        <w:sz w:val="18"/>
                        <w:szCs w:val="18"/>
                      </w:rPr>
                      <w:t>二、联营企业</w:t>
                    </w:r>
                  </w:p>
                </w:tc>
              </w:sdtContent>
            </w:sdt>
            <w:tc>
              <w:tcPr>
                <w:tcW w:w="723" w:type="pct"/>
                <w:tcBorders>
                  <w:top w:val="single" w:sz="4" w:space="0" w:color="auto"/>
                  <w:left w:val="single" w:sz="4" w:space="0" w:color="auto"/>
                  <w:bottom w:val="single" w:sz="4" w:space="0" w:color="auto"/>
                  <w:right w:val="single" w:sz="4" w:space="0" w:color="auto"/>
                </w:tcBorders>
                <w:shd w:val="clear" w:color="auto" w:fill="auto"/>
              </w:tcPr>
              <w:p w14:paraId="28EF1EEA" w14:textId="77777777" w:rsidR="00471D53" w:rsidRPr="00EB4A7D" w:rsidRDefault="00B664AF">
                <w:pPr>
                  <w:jc w:val="right"/>
                  <w:rPr>
                    <w:sz w:val="18"/>
                    <w:szCs w:val="18"/>
                  </w:rPr>
                </w:pPr>
              </w:p>
            </w:tc>
            <w:tc>
              <w:tcPr>
                <w:tcW w:w="132" w:type="pct"/>
                <w:tcBorders>
                  <w:top w:val="single" w:sz="4" w:space="0" w:color="auto"/>
                  <w:left w:val="single" w:sz="4" w:space="0" w:color="auto"/>
                  <w:bottom w:val="single" w:sz="4" w:space="0" w:color="auto"/>
                  <w:right w:val="single" w:sz="4" w:space="0" w:color="auto"/>
                </w:tcBorders>
                <w:shd w:val="clear" w:color="auto" w:fill="auto"/>
              </w:tcPr>
              <w:p w14:paraId="7881B81E" w14:textId="77777777" w:rsidR="00471D53" w:rsidRPr="00EB4A7D" w:rsidRDefault="00B664AF">
                <w:pPr>
                  <w:jc w:val="right"/>
                  <w:rPr>
                    <w:sz w:val="18"/>
                    <w:szCs w:val="18"/>
                  </w:rPr>
                </w:pPr>
              </w:p>
            </w:tc>
            <w:tc>
              <w:tcPr>
                <w:tcW w:w="198" w:type="pct"/>
                <w:tcBorders>
                  <w:top w:val="single" w:sz="4" w:space="0" w:color="auto"/>
                  <w:left w:val="single" w:sz="4" w:space="0" w:color="auto"/>
                  <w:bottom w:val="single" w:sz="4" w:space="0" w:color="auto"/>
                  <w:right w:val="single" w:sz="4" w:space="0" w:color="auto"/>
                </w:tcBorders>
                <w:shd w:val="clear" w:color="auto" w:fill="auto"/>
              </w:tcPr>
              <w:p w14:paraId="2381512F" w14:textId="77777777" w:rsidR="00471D53" w:rsidRPr="00EB4A7D" w:rsidRDefault="00B664AF">
                <w:pPr>
                  <w:jc w:val="right"/>
                  <w:rPr>
                    <w:sz w:val="18"/>
                    <w:szCs w:val="18"/>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33143C56" w14:textId="77777777" w:rsidR="00471D53" w:rsidRPr="00EB4A7D" w:rsidRDefault="00B664AF">
                <w:pPr>
                  <w:jc w:val="right"/>
                  <w:rPr>
                    <w:sz w:val="18"/>
                    <w:szCs w:val="18"/>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2A5B74ED" w14:textId="77777777" w:rsidR="00471D53" w:rsidRPr="00EB4A7D" w:rsidRDefault="00B664AF">
                <w:pPr>
                  <w:jc w:val="right"/>
                  <w:rPr>
                    <w:sz w:val="18"/>
                    <w:szCs w:val="18"/>
                  </w:rPr>
                </w:pPr>
              </w:p>
            </w:tc>
            <w:tc>
              <w:tcPr>
                <w:tcW w:w="197" w:type="pct"/>
                <w:tcBorders>
                  <w:top w:val="single" w:sz="4" w:space="0" w:color="auto"/>
                  <w:left w:val="single" w:sz="4" w:space="0" w:color="auto"/>
                  <w:bottom w:val="single" w:sz="4" w:space="0" w:color="auto"/>
                  <w:right w:val="single" w:sz="4" w:space="0" w:color="auto"/>
                </w:tcBorders>
                <w:shd w:val="clear" w:color="auto" w:fill="auto"/>
              </w:tcPr>
              <w:p w14:paraId="11A17F18" w14:textId="77777777" w:rsidR="00471D53" w:rsidRPr="00EB4A7D" w:rsidRDefault="00B664AF">
                <w:pPr>
                  <w:jc w:val="right"/>
                  <w:rPr>
                    <w:sz w:val="18"/>
                    <w:szCs w:val="18"/>
                  </w:rPr>
                </w:pP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7B956AC5" w14:textId="77777777" w:rsidR="00471D53" w:rsidRPr="00EB4A7D" w:rsidRDefault="00B664AF">
                <w:pPr>
                  <w:jc w:val="right"/>
                  <w:rPr>
                    <w:sz w:val="18"/>
                    <w:szCs w:val="18"/>
                  </w:rPr>
                </w:pP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2E2E0A78" w14:textId="77777777" w:rsidR="00471D53" w:rsidRPr="00EB4A7D" w:rsidRDefault="00B664AF">
                <w:pPr>
                  <w:jc w:val="right"/>
                  <w:rPr>
                    <w:sz w:val="18"/>
                    <w:szCs w:val="18"/>
                  </w:rPr>
                </w:pP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37545DA9" w14:textId="77777777" w:rsidR="00471D53" w:rsidRPr="00EB4A7D" w:rsidRDefault="00B664AF">
                <w:pPr>
                  <w:jc w:val="right"/>
                  <w:rPr>
                    <w:sz w:val="18"/>
                    <w:szCs w:val="18"/>
                  </w:rPr>
                </w:pP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3A99DB7C" w14:textId="77777777" w:rsidR="00471D53" w:rsidRPr="00EB4A7D" w:rsidRDefault="00B664AF">
                <w:pPr>
                  <w:jc w:val="right"/>
                  <w:rPr>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B85FBA3" w14:textId="77777777" w:rsidR="00471D53" w:rsidRPr="00EB4A7D" w:rsidRDefault="00B664AF">
                <w:pPr>
                  <w:jc w:val="right"/>
                  <w:rPr>
                    <w:sz w:val="18"/>
                    <w:szCs w:val="18"/>
                  </w:rPr>
                </w:pPr>
              </w:p>
            </w:tc>
          </w:tr>
          <w:sdt>
            <w:sdtPr>
              <w:rPr>
                <w:rFonts w:hint="eastAsia"/>
                <w:sz w:val="18"/>
                <w:szCs w:val="18"/>
              </w:rPr>
              <w:alias w:val="联营企业投资信息明细"/>
              <w:tag w:val="_GBC_49d1b98c49c34c26a2c4d55f0c1fdb21"/>
              <w:id w:val="1058053801"/>
            </w:sdtPr>
            <w:sdtEndPr>
              <w:rPr>
                <w:rFonts w:hint="default"/>
              </w:rPr>
            </w:sdtEndPr>
            <w:sdtContent>
              <w:tr w:rsidR="00471D53" w14:paraId="73D5285E" w14:textId="77777777" w:rsidTr="00471D53">
                <w:tc>
                  <w:tcPr>
                    <w:tcW w:w="658" w:type="pct"/>
                    <w:tcBorders>
                      <w:top w:val="single" w:sz="4" w:space="0" w:color="auto"/>
                      <w:left w:val="single" w:sz="4" w:space="0" w:color="auto"/>
                      <w:bottom w:val="single" w:sz="4" w:space="0" w:color="auto"/>
                      <w:right w:val="single" w:sz="4" w:space="0" w:color="auto"/>
                    </w:tcBorders>
                    <w:shd w:val="clear" w:color="auto" w:fill="auto"/>
                  </w:tcPr>
                  <w:p w14:paraId="6D961262" w14:textId="77777777" w:rsidR="00471D53" w:rsidRPr="00EB4A7D" w:rsidRDefault="004F686E">
                    <w:pPr>
                      <w:jc w:val="both"/>
                      <w:rPr>
                        <w:sz w:val="18"/>
                        <w:szCs w:val="18"/>
                      </w:rPr>
                    </w:pPr>
                    <w:r w:rsidRPr="00EB4A7D">
                      <w:rPr>
                        <w:rFonts w:hint="eastAsia"/>
                        <w:sz w:val="18"/>
                        <w:szCs w:val="18"/>
                      </w:rPr>
                      <w:t>江苏天海特种装备有限公司</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314C22F4" w14:textId="77777777" w:rsidR="00471D53" w:rsidRPr="00EB4A7D" w:rsidRDefault="004F686E">
                    <w:pPr>
                      <w:jc w:val="right"/>
                      <w:rPr>
                        <w:sz w:val="18"/>
                        <w:szCs w:val="18"/>
                      </w:rPr>
                    </w:pPr>
                    <w:r w:rsidRPr="00EB4A7D">
                      <w:rPr>
                        <w:sz w:val="18"/>
                        <w:szCs w:val="18"/>
                      </w:rPr>
                      <w:t>31,698,152.71</w:t>
                    </w:r>
                  </w:p>
                </w:tc>
                <w:tc>
                  <w:tcPr>
                    <w:tcW w:w="132" w:type="pct"/>
                    <w:tcBorders>
                      <w:top w:val="single" w:sz="4" w:space="0" w:color="auto"/>
                      <w:left w:val="single" w:sz="4" w:space="0" w:color="auto"/>
                      <w:bottom w:val="single" w:sz="4" w:space="0" w:color="auto"/>
                      <w:right w:val="single" w:sz="4" w:space="0" w:color="auto"/>
                    </w:tcBorders>
                    <w:shd w:val="clear" w:color="auto" w:fill="auto"/>
                  </w:tcPr>
                  <w:p w14:paraId="50E5AD1A" w14:textId="77777777" w:rsidR="00471D53" w:rsidRPr="00EB4A7D" w:rsidRDefault="00B664AF">
                    <w:pPr>
                      <w:jc w:val="right"/>
                      <w:rPr>
                        <w:sz w:val="18"/>
                        <w:szCs w:val="18"/>
                      </w:rPr>
                    </w:pPr>
                  </w:p>
                </w:tc>
                <w:tc>
                  <w:tcPr>
                    <w:tcW w:w="198" w:type="pct"/>
                    <w:tcBorders>
                      <w:top w:val="single" w:sz="4" w:space="0" w:color="auto"/>
                      <w:left w:val="single" w:sz="4" w:space="0" w:color="auto"/>
                      <w:bottom w:val="single" w:sz="4" w:space="0" w:color="auto"/>
                      <w:right w:val="single" w:sz="4" w:space="0" w:color="auto"/>
                    </w:tcBorders>
                    <w:shd w:val="clear" w:color="auto" w:fill="auto"/>
                  </w:tcPr>
                  <w:p w14:paraId="162E9CB5" w14:textId="77777777" w:rsidR="00471D53" w:rsidRPr="00EB4A7D" w:rsidRDefault="00B664AF">
                    <w:pPr>
                      <w:jc w:val="right"/>
                      <w:rPr>
                        <w:sz w:val="18"/>
                        <w:szCs w:val="18"/>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153E9290" w14:textId="77777777" w:rsidR="00471D53" w:rsidRPr="00EB4A7D" w:rsidRDefault="004F686E">
                    <w:pPr>
                      <w:jc w:val="right"/>
                      <w:rPr>
                        <w:sz w:val="18"/>
                        <w:szCs w:val="18"/>
                      </w:rPr>
                    </w:pPr>
                    <w:r w:rsidRPr="00EB4A7D">
                      <w:rPr>
                        <w:sz w:val="18"/>
                        <w:szCs w:val="18"/>
                      </w:rPr>
                      <w:t>1,264,476.23</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1C896ABE" w14:textId="77777777" w:rsidR="00471D53" w:rsidRPr="00EB4A7D" w:rsidRDefault="00B664AF">
                    <w:pPr>
                      <w:jc w:val="right"/>
                      <w:rPr>
                        <w:sz w:val="18"/>
                        <w:szCs w:val="18"/>
                      </w:rPr>
                    </w:pPr>
                  </w:p>
                </w:tc>
                <w:tc>
                  <w:tcPr>
                    <w:tcW w:w="197" w:type="pct"/>
                    <w:tcBorders>
                      <w:top w:val="single" w:sz="4" w:space="0" w:color="auto"/>
                      <w:left w:val="single" w:sz="4" w:space="0" w:color="auto"/>
                      <w:bottom w:val="single" w:sz="4" w:space="0" w:color="auto"/>
                      <w:right w:val="single" w:sz="4" w:space="0" w:color="auto"/>
                    </w:tcBorders>
                    <w:shd w:val="clear" w:color="auto" w:fill="auto"/>
                  </w:tcPr>
                  <w:p w14:paraId="5ED0B8FD" w14:textId="77777777" w:rsidR="00471D53" w:rsidRPr="00EB4A7D" w:rsidRDefault="00B664AF">
                    <w:pPr>
                      <w:jc w:val="right"/>
                      <w:rPr>
                        <w:sz w:val="18"/>
                        <w:szCs w:val="18"/>
                      </w:rPr>
                    </w:pP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0855A412" w14:textId="77777777" w:rsidR="00471D53" w:rsidRPr="00EB4A7D" w:rsidRDefault="00B664AF">
                    <w:pPr>
                      <w:jc w:val="right"/>
                      <w:rPr>
                        <w:sz w:val="18"/>
                        <w:szCs w:val="18"/>
                      </w:rPr>
                    </w:pP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5883F811" w14:textId="77777777" w:rsidR="00471D53" w:rsidRPr="00EB4A7D" w:rsidRDefault="00B664AF">
                    <w:pPr>
                      <w:jc w:val="right"/>
                      <w:rPr>
                        <w:sz w:val="18"/>
                        <w:szCs w:val="18"/>
                      </w:rPr>
                    </w:pP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59D0807C" w14:textId="77777777" w:rsidR="00471D53" w:rsidRPr="00EB4A7D" w:rsidRDefault="00B664AF">
                    <w:pPr>
                      <w:jc w:val="right"/>
                      <w:rPr>
                        <w:sz w:val="18"/>
                        <w:szCs w:val="18"/>
                      </w:rPr>
                    </w:pP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2EDE0CDC" w14:textId="77777777" w:rsidR="00471D53" w:rsidRPr="00EB4A7D" w:rsidRDefault="004F686E">
                    <w:pPr>
                      <w:jc w:val="right"/>
                      <w:rPr>
                        <w:sz w:val="18"/>
                        <w:szCs w:val="18"/>
                      </w:rPr>
                    </w:pPr>
                    <w:r w:rsidRPr="00EB4A7D">
                      <w:rPr>
                        <w:sz w:val="18"/>
                        <w:szCs w:val="18"/>
                      </w:rPr>
                      <w:t>32,962,628.94</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17A01869" w14:textId="77777777" w:rsidR="00471D53" w:rsidRPr="00EB4A7D" w:rsidRDefault="00B664AF">
                    <w:pPr>
                      <w:jc w:val="right"/>
                      <w:rPr>
                        <w:sz w:val="18"/>
                        <w:szCs w:val="18"/>
                      </w:rPr>
                    </w:pPr>
                  </w:p>
                </w:tc>
              </w:tr>
            </w:sdtContent>
          </w:sdt>
          <w:sdt>
            <w:sdtPr>
              <w:rPr>
                <w:rFonts w:hint="eastAsia"/>
                <w:sz w:val="18"/>
                <w:szCs w:val="18"/>
              </w:rPr>
              <w:alias w:val="联营企业投资信息明细"/>
              <w:tag w:val="_GBC_49d1b98c49c34c26a2c4d55f0c1fdb21"/>
              <w:id w:val="448438100"/>
            </w:sdtPr>
            <w:sdtEndPr>
              <w:rPr>
                <w:rFonts w:hint="default"/>
              </w:rPr>
            </w:sdtEndPr>
            <w:sdtContent>
              <w:tr w:rsidR="00471D53" w14:paraId="356E0A92" w14:textId="77777777" w:rsidTr="00471D53">
                <w:tc>
                  <w:tcPr>
                    <w:tcW w:w="658" w:type="pct"/>
                    <w:tcBorders>
                      <w:top w:val="single" w:sz="4" w:space="0" w:color="auto"/>
                      <w:left w:val="single" w:sz="4" w:space="0" w:color="auto"/>
                      <w:bottom w:val="single" w:sz="4" w:space="0" w:color="auto"/>
                      <w:right w:val="single" w:sz="4" w:space="0" w:color="auto"/>
                    </w:tcBorders>
                    <w:shd w:val="clear" w:color="auto" w:fill="auto"/>
                  </w:tcPr>
                  <w:p w14:paraId="5D535BBB" w14:textId="77777777" w:rsidR="00471D53" w:rsidRPr="00EB4A7D" w:rsidRDefault="004F686E">
                    <w:pPr>
                      <w:jc w:val="both"/>
                      <w:rPr>
                        <w:sz w:val="18"/>
                        <w:szCs w:val="18"/>
                      </w:rPr>
                    </w:pPr>
                    <w:r w:rsidRPr="00EB4A7D">
                      <w:rPr>
                        <w:rFonts w:hint="eastAsia"/>
                        <w:sz w:val="18"/>
                        <w:szCs w:val="18"/>
                      </w:rPr>
                      <w:t>北京伯肯节能科技股份有限公司</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61F30A32" w14:textId="77777777" w:rsidR="00471D53" w:rsidRPr="00EB4A7D" w:rsidRDefault="004F686E">
                    <w:pPr>
                      <w:jc w:val="right"/>
                      <w:rPr>
                        <w:sz w:val="18"/>
                        <w:szCs w:val="18"/>
                      </w:rPr>
                    </w:pPr>
                    <w:r w:rsidRPr="00EB4A7D">
                      <w:rPr>
                        <w:sz w:val="18"/>
                        <w:szCs w:val="18"/>
                      </w:rPr>
                      <w:t>17,822,953.97</w:t>
                    </w:r>
                  </w:p>
                </w:tc>
                <w:tc>
                  <w:tcPr>
                    <w:tcW w:w="132" w:type="pct"/>
                    <w:tcBorders>
                      <w:top w:val="single" w:sz="4" w:space="0" w:color="auto"/>
                      <w:left w:val="single" w:sz="4" w:space="0" w:color="auto"/>
                      <w:bottom w:val="single" w:sz="4" w:space="0" w:color="auto"/>
                      <w:right w:val="single" w:sz="4" w:space="0" w:color="auto"/>
                    </w:tcBorders>
                    <w:shd w:val="clear" w:color="auto" w:fill="auto"/>
                  </w:tcPr>
                  <w:p w14:paraId="43DB0445" w14:textId="77777777" w:rsidR="00471D53" w:rsidRPr="00EB4A7D" w:rsidRDefault="00B664AF">
                    <w:pPr>
                      <w:jc w:val="right"/>
                      <w:rPr>
                        <w:sz w:val="18"/>
                        <w:szCs w:val="18"/>
                      </w:rPr>
                    </w:pPr>
                  </w:p>
                </w:tc>
                <w:tc>
                  <w:tcPr>
                    <w:tcW w:w="198" w:type="pct"/>
                    <w:tcBorders>
                      <w:top w:val="single" w:sz="4" w:space="0" w:color="auto"/>
                      <w:left w:val="single" w:sz="4" w:space="0" w:color="auto"/>
                      <w:bottom w:val="single" w:sz="4" w:space="0" w:color="auto"/>
                      <w:right w:val="single" w:sz="4" w:space="0" w:color="auto"/>
                    </w:tcBorders>
                    <w:shd w:val="clear" w:color="auto" w:fill="auto"/>
                  </w:tcPr>
                  <w:p w14:paraId="443F9851" w14:textId="77777777" w:rsidR="00471D53" w:rsidRPr="00EB4A7D" w:rsidRDefault="00B664AF">
                    <w:pPr>
                      <w:jc w:val="right"/>
                      <w:rPr>
                        <w:sz w:val="18"/>
                        <w:szCs w:val="18"/>
                      </w:rPr>
                    </w:pP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14:paraId="56C33FAE" w14:textId="77777777" w:rsidR="00471D53" w:rsidRPr="00EB4A7D" w:rsidRDefault="004F686E">
                    <w:pPr>
                      <w:rPr>
                        <w:sz w:val="18"/>
                        <w:szCs w:val="18"/>
                      </w:rPr>
                    </w:pPr>
                    <w:r w:rsidRPr="00EB4A7D">
                      <w:rPr>
                        <w:sz w:val="18"/>
                        <w:szCs w:val="18"/>
                      </w:rPr>
                      <w:t>-750,175.02</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14:paraId="1B6ED167" w14:textId="77777777" w:rsidR="00471D53" w:rsidRPr="00EB4A7D" w:rsidRDefault="004F686E">
                    <w:pPr>
                      <w:rPr>
                        <w:sz w:val="18"/>
                        <w:szCs w:val="18"/>
                      </w:rPr>
                    </w:pPr>
                    <w:r w:rsidRPr="00EB4A7D">
                      <w:rPr>
                        <w:sz w:val="18"/>
                        <w:szCs w:val="18"/>
                      </w:rPr>
                      <w:t>-1,117.81</w:t>
                    </w:r>
                  </w:p>
                </w:tc>
                <w:tc>
                  <w:tcPr>
                    <w:tcW w:w="197" w:type="pct"/>
                    <w:tcBorders>
                      <w:top w:val="single" w:sz="4" w:space="0" w:color="auto"/>
                      <w:left w:val="single" w:sz="4" w:space="0" w:color="auto"/>
                      <w:bottom w:val="single" w:sz="4" w:space="0" w:color="auto"/>
                      <w:right w:val="single" w:sz="4" w:space="0" w:color="auto"/>
                    </w:tcBorders>
                    <w:shd w:val="clear" w:color="auto" w:fill="auto"/>
                  </w:tcPr>
                  <w:p w14:paraId="05641212" w14:textId="77777777" w:rsidR="00471D53" w:rsidRPr="00EB4A7D" w:rsidRDefault="00B664AF">
                    <w:pPr>
                      <w:jc w:val="right"/>
                      <w:rPr>
                        <w:sz w:val="18"/>
                        <w:szCs w:val="18"/>
                      </w:rPr>
                    </w:pP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6B15F21C" w14:textId="77777777" w:rsidR="00471D53" w:rsidRPr="00EB4A7D" w:rsidRDefault="004F686E">
                    <w:pPr>
                      <w:jc w:val="right"/>
                      <w:rPr>
                        <w:sz w:val="18"/>
                        <w:szCs w:val="18"/>
                      </w:rPr>
                    </w:pPr>
                    <w:r w:rsidRPr="00EB4A7D">
                      <w:rPr>
                        <w:sz w:val="18"/>
                        <w:szCs w:val="18"/>
                      </w:rPr>
                      <w:t>327,428.24</w:t>
                    </w: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43F61781" w14:textId="77777777" w:rsidR="00471D53" w:rsidRPr="00EB4A7D" w:rsidRDefault="00B664AF">
                    <w:pPr>
                      <w:jc w:val="right"/>
                      <w:rPr>
                        <w:sz w:val="18"/>
                        <w:szCs w:val="18"/>
                      </w:rPr>
                    </w:pP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52F0891A" w14:textId="77777777" w:rsidR="00471D53" w:rsidRPr="00EB4A7D" w:rsidRDefault="00B664AF">
                    <w:pPr>
                      <w:jc w:val="right"/>
                      <w:rPr>
                        <w:sz w:val="18"/>
                        <w:szCs w:val="18"/>
                      </w:rPr>
                    </w:pP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70C89118" w14:textId="77777777" w:rsidR="00471D53" w:rsidRPr="00EB4A7D" w:rsidRDefault="004F686E">
                    <w:pPr>
                      <w:jc w:val="right"/>
                      <w:rPr>
                        <w:sz w:val="18"/>
                        <w:szCs w:val="18"/>
                      </w:rPr>
                    </w:pPr>
                    <w:r w:rsidRPr="00EB4A7D">
                      <w:rPr>
                        <w:sz w:val="18"/>
                        <w:szCs w:val="18"/>
                      </w:rPr>
                      <w:t>16,744,232.90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59734013" w14:textId="77777777" w:rsidR="00471D53" w:rsidRPr="00EB4A7D" w:rsidRDefault="00B664AF">
                    <w:pPr>
                      <w:jc w:val="right"/>
                      <w:rPr>
                        <w:sz w:val="18"/>
                        <w:szCs w:val="18"/>
                      </w:rPr>
                    </w:pPr>
                  </w:p>
                </w:tc>
              </w:tr>
            </w:sdtContent>
          </w:sdt>
          <w:sdt>
            <w:sdtPr>
              <w:rPr>
                <w:rFonts w:hint="eastAsia"/>
                <w:sz w:val="18"/>
                <w:szCs w:val="18"/>
              </w:rPr>
              <w:alias w:val="联营企业投资信息明细"/>
              <w:tag w:val="_GBC_49d1b98c49c34c26a2c4d55f0c1fdb21"/>
              <w:id w:val="-1035264024"/>
            </w:sdtPr>
            <w:sdtEndPr>
              <w:rPr>
                <w:rFonts w:hint="default"/>
              </w:rPr>
            </w:sdtEndPr>
            <w:sdtContent>
              <w:tr w:rsidR="00471D53" w14:paraId="009767CE" w14:textId="77777777" w:rsidTr="00471D53">
                <w:tc>
                  <w:tcPr>
                    <w:tcW w:w="658" w:type="pct"/>
                    <w:tcBorders>
                      <w:top w:val="single" w:sz="4" w:space="0" w:color="auto"/>
                      <w:left w:val="single" w:sz="4" w:space="0" w:color="auto"/>
                      <w:bottom w:val="single" w:sz="4" w:space="0" w:color="auto"/>
                      <w:right w:val="single" w:sz="4" w:space="0" w:color="auto"/>
                    </w:tcBorders>
                    <w:shd w:val="clear" w:color="auto" w:fill="auto"/>
                  </w:tcPr>
                  <w:p w14:paraId="1FC56F88" w14:textId="77777777" w:rsidR="00471D53" w:rsidRPr="00EB4A7D" w:rsidRDefault="004F686E">
                    <w:pPr>
                      <w:jc w:val="both"/>
                      <w:rPr>
                        <w:sz w:val="18"/>
                        <w:szCs w:val="18"/>
                      </w:rPr>
                    </w:pPr>
                    <w:r w:rsidRPr="00EB4A7D">
                      <w:rPr>
                        <w:rFonts w:hint="eastAsia"/>
                        <w:sz w:val="18"/>
                        <w:szCs w:val="18"/>
                      </w:rPr>
                      <w:t>北清智创</w:t>
                    </w:r>
                    <w:r w:rsidRPr="00EB4A7D">
                      <w:rPr>
                        <w:sz w:val="18"/>
                        <w:szCs w:val="18"/>
                      </w:rPr>
                      <w:t>(北京)新能源汽车科技有限公司</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74547225" w14:textId="77777777" w:rsidR="00471D53" w:rsidRPr="00EB4A7D" w:rsidRDefault="004F686E">
                    <w:pPr>
                      <w:rPr>
                        <w:sz w:val="18"/>
                        <w:szCs w:val="18"/>
                      </w:rPr>
                    </w:pPr>
                    <w:r w:rsidRPr="00EB4A7D">
                      <w:rPr>
                        <w:sz w:val="18"/>
                        <w:szCs w:val="18"/>
                      </w:rPr>
                      <w:t>10,000,000.00</w:t>
                    </w: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14:paraId="66ABE90E" w14:textId="77777777" w:rsidR="00471D53" w:rsidRPr="00EB4A7D" w:rsidRDefault="00B664AF">
                    <w:pPr>
                      <w:rPr>
                        <w:sz w:val="18"/>
                        <w:szCs w:val="18"/>
                      </w:rPr>
                    </w:pP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6C18A26A" w14:textId="77777777" w:rsidR="00471D53" w:rsidRPr="00EB4A7D" w:rsidRDefault="00B664AF">
                    <w:pPr>
                      <w:rPr>
                        <w:sz w:val="18"/>
                        <w:szCs w:val="18"/>
                      </w:rPr>
                    </w:pP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14:paraId="081B9EAB" w14:textId="77777777" w:rsidR="00471D53" w:rsidRPr="00EB4A7D" w:rsidRDefault="004F686E">
                    <w:pPr>
                      <w:rPr>
                        <w:sz w:val="18"/>
                        <w:szCs w:val="18"/>
                      </w:rPr>
                    </w:pPr>
                    <w:r w:rsidRPr="00EB4A7D">
                      <w:rPr>
                        <w:sz w:val="18"/>
                        <w:szCs w:val="18"/>
                      </w:rPr>
                      <w:t>282.07</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14:paraId="26A2B7CD" w14:textId="77777777" w:rsidR="00471D53" w:rsidRPr="00EB4A7D" w:rsidRDefault="00B664AF">
                    <w:pPr>
                      <w:rPr>
                        <w:sz w:val="18"/>
                        <w:szCs w:val="18"/>
                      </w:rPr>
                    </w:pPr>
                  </w:p>
                </w:tc>
                <w:tc>
                  <w:tcPr>
                    <w:tcW w:w="197" w:type="pct"/>
                    <w:tcBorders>
                      <w:top w:val="single" w:sz="4" w:space="0" w:color="auto"/>
                      <w:left w:val="single" w:sz="4" w:space="0" w:color="auto"/>
                      <w:bottom w:val="single" w:sz="4" w:space="0" w:color="auto"/>
                      <w:right w:val="single" w:sz="4" w:space="0" w:color="auto"/>
                    </w:tcBorders>
                    <w:shd w:val="clear" w:color="auto" w:fill="auto"/>
                  </w:tcPr>
                  <w:p w14:paraId="4B71F75B" w14:textId="77777777" w:rsidR="00471D53" w:rsidRPr="00EB4A7D" w:rsidRDefault="00B664AF">
                    <w:pPr>
                      <w:jc w:val="right"/>
                      <w:rPr>
                        <w:sz w:val="18"/>
                        <w:szCs w:val="18"/>
                      </w:rPr>
                    </w:pP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6E2B4DA0" w14:textId="77777777" w:rsidR="00471D53" w:rsidRPr="00EB4A7D" w:rsidRDefault="00B664AF">
                    <w:pPr>
                      <w:jc w:val="right"/>
                      <w:rPr>
                        <w:sz w:val="18"/>
                        <w:szCs w:val="18"/>
                      </w:rPr>
                    </w:pP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0E4DDEBA" w14:textId="77777777" w:rsidR="00471D53" w:rsidRPr="00EB4A7D" w:rsidRDefault="00B664AF">
                    <w:pPr>
                      <w:jc w:val="right"/>
                      <w:rPr>
                        <w:sz w:val="18"/>
                        <w:szCs w:val="18"/>
                      </w:rPr>
                    </w:pP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5C6632C0" w14:textId="77777777" w:rsidR="00471D53" w:rsidRPr="00EB4A7D" w:rsidRDefault="00B664AF">
                    <w:pPr>
                      <w:jc w:val="right"/>
                      <w:rPr>
                        <w:sz w:val="18"/>
                        <w:szCs w:val="18"/>
                      </w:rPr>
                    </w:pP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57B5DDE5" w14:textId="77777777" w:rsidR="00471D53" w:rsidRPr="00EB4A7D" w:rsidRDefault="004F686E">
                    <w:pPr>
                      <w:jc w:val="right"/>
                      <w:rPr>
                        <w:sz w:val="18"/>
                        <w:szCs w:val="18"/>
                      </w:rPr>
                    </w:pPr>
                    <w:r w:rsidRPr="00EB4A7D">
                      <w:rPr>
                        <w:sz w:val="18"/>
                        <w:szCs w:val="18"/>
                      </w:rPr>
                      <w:t>10,000,282.07</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770E747A" w14:textId="77777777" w:rsidR="00471D53" w:rsidRPr="00EB4A7D" w:rsidRDefault="00B664AF">
                    <w:pPr>
                      <w:jc w:val="right"/>
                      <w:rPr>
                        <w:sz w:val="18"/>
                        <w:szCs w:val="18"/>
                      </w:rPr>
                    </w:pPr>
                  </w:p>
                </w:tc>
              </w:tr>
            </w:sdtContent>
          </w:sdt>
          <w:tr w:rsidR="00471D53" w14:paraId="35A373B7" w14:textId="77777777" w:rsidTr="00471D53">
            <w:sdt>
              <w:sdtPr>
                <w:rPr>
                  <w:sz w:val="18"/>
                  <w:szCs w:val="18"/>
                </w:rPr>
                <w:tag w:val="_PLD_b7a0008e0bed45f5924ac82e7bbf0d7c"/>
                <w:id w:val="1585724940"/>
                <w:lock w:val="sdtLocked"/>
              </w:sdtPr>
              <w:sdtEndPr/>
              <w:sdtContent>
                <w:tc>
                  <w:tcPr>
                    <w:tcW w:w="658" w:type="pct"/>
                    <w:tcBorders>
                      <w:top w:val="single" w:sz="4" w:space="0" w:color="auto"/>
                      <w:left w:val="single" w:sz="4" w:space="0" w:color="auto"/>
                      <w:bottom w:val="single" w:sz="4" w:space="0" w:color="auto"/>
                      <w:right w:val="single" w:sz="4" w:space="0" w:color="auto"/>
                    </w:tcBorders>
                    <w:shd w:val="clear" w:color="auto" w:fill="auto"/>
                  </w:tcPr>
                  <w:p w14:paraId="109558E9" w14:textId="77777777" w:rsidR="00471D53" w:rsidRPr="00EB4A7D" w:rsidRDefault="004F686E">
                    <w:pPr>
                      <w:jc w:val="both"/>
                      <w:rPr>
                        <w:sz w:val="18"/>
                        <w:szCs w:val="18"/>
                      </w:rPr>
                    </w:pPr>
                    <w:r w:rsidRPr="00EB4A7D">
                      <w:rPr>
                        <w:rFonts w:hint="eastAsia"/>
                        <w:sz w:val="18"/>
                        <w:szCs w:val="18"/>
                      </w:rPr>
                      <w:t>小计</w:t>
                    </w:r>
                  </w:p>
                </w:tc>
              </w:sdtContent>
            </w:sdt>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1AE826A0" w14:textId="77777777" w:rsidR="00471D53" w:rsidRPr="00EB4A7D" w:rsidRDefault="004F686E">
                <w:pPr>
                  <w:rPr>
                    <w:sz w:val="18"/>
                    <w:szCs w:val="18"/>
                  </w:rPr>
                </w:pPr>
                <w:r w:rsidRPr="00EB4A7D">
                  <w:rPr>
                    <w:sz w:val="18"/>
                    <w:szCs w:val="18"/>
                  </w:rPr>
                  <w:t>59,521,106.68</w:t>
                </w: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14:paraId="571E97C6" w14:textId="77777777" w:rsidR="00471D53" w:rsidRPr="00EB4A7D" w:rsidRDefault="00B664AF">
                <w:pPr>
                  <w:rPr>
                    <w:sz w:val="18"/>
                    <w:szCs w:val="18"/>
                  </w:rPr>
                </w:pP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4BB163FE" w14:textId="77777777" w:rsidR="00471D53" w:rsidRPr="00EB4A7D" w:rsidRDefault="00B664AF">
                <w:pPr>
                  <w:rPr>
                    <w:sz w:val="18"/>
                    <w:szCs w:val="18"/>
                  </w:rPr>
                </w:pP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14:paraId="6F55D1AD" w14:textId="77777777" w:rsidR="00471D53" w:rsidRPr="00EB4A7D" w:rsidRDefault="004F686E">
                <w:pPr>
                  <w:rPr>
                    <w:sz w:val="18"/>
                    <w:szCs w:val="18"/>
                  </w:rPr>
                </w:pPr>
                <w:r w:rsidRPr="00EB4A7D">
                  <w:rPr>
                    <w:sz w:val="18"/>
                    <w:szCs w:val="18"/>
                  </w:rPr>
                  <w:t>514,583.28</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4A59C1D9" w14:textId="77777777" w:rsidR="00471D53" w:rsidRPr="00EB4A7D" w:rsidRDefault="004F686E" w:rsidP="00471D53">
                <w:pPr>
                  <w:jc w:val="right"/>
                  <w:rPr>
                    <w:bCs/>
                    <w:color w:val="000000"/>
                    <w:sz w:val="18"/>
                    <w:szCs w:val="18"/>
                  </w:rPr>
                </w:pPr>
                <w:r w:rsidRPr="00EB4A7D">
                  <w:rPr>
                    <w:rFonts w:hint="eastAsia"/>
                    <w:bCs/>
                    <w:color w:val="000000"/>
                    <w:sz w:val="18"/>
                    <w:szCs w:val="18"/>
                  </w:rPr>
                  <w:t>-1,117.81</w:t>
                </w:r>
              </w:p>
              <w:p w14:paraId="706E802A" w14:textId="77777777" w:rsidR="00471D53" w:rsidRPr="00EB4A7D" w:rsidRDefault="00B664AF">
                <w:pPr>
                  <w:jc w:val="right"/>
                  <w:rPr>
                    <w:sz w:val="18"/>
                    <w:szCs w:val="18"/>
                  </w:rPr>
                </w:pPr>
              </w:p>
            </w:tc>
            <w:tc>
              <w:tcPr>
                <w:tcW w:w="197" w:type="pct"/>
                <w:tcBorders>
                  <w:top w:val="single" w:sz="4" w:space="0" w:color="auto"/>
                  <w:left w:val="single" w:sz="4" w:space="0" w:color="auto"/>
                  <w:bottom w:val="single" w:sz="4" w:space="0" w:color="auto"/>
                  <w:right w:val="single" w:sz="4" w:space="0" w:color="auto"/>
                </w:tcBorders>
                <w:shd w:val="clear" w:color="auto" w:fill="auto"/>
              </w:tcPr>
              <w:p w14:paraId="5A37BF65" w14:textId="77777777" w:rsidR="00471D53" w:rsidRPr="00EB4A7D" w:rsidRDefault="00B664AF">
                <w:pPr>
                  <w:jc w:val="right"/>
                  <w:rPr>
                    <w:sz w:val="18"/>
                    <w:szCs w:val="18"/>
                  </w:rPr>
                </w:pP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27B67483" w14:textId="77777777" w:rsidR="00471D53" w:rsidRPr="00EB4A7D" w:rsidRDefault="004F686E">
                <w:pPr>
                  <w:rPr>
                    <w:sz w:val="18"/>
                    <w:szCs w:val="18"/>
                  </w:rPr>
                </w:pPr>
                <w:r w:rsidRPr="00EB4A7D">
                  <w:rPr>
                    <w:sz w:val="18"/>
                    <w:szCs w:val="18"/>
                  </w:rPr>
                  <w:t>327,428.24</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1DA091DF" w14:textId="77777777" w:rsidR="00471D53" w:rsidRPr="00EB4A7D" w:rsidRDefault="00B664AF">
                <w:pPr>
                  <w:rPr>
                    <w:sz w:val="18"/>
                    <w:szCs w:val="18"/>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408C80B" w14:textId="77777777" w:rsidR="00471D53" w:rsidRPr="00EB4A7D" w:rsidRDefault="00B664AF">
                <w:pPr>
                  <w:rPr>
                    <w:sz w:val="18"/>
                    <w:szCs w:val="18"/>
                  </w:rPr>
                </w:pP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4FEF1208" w14:textId="77777777" w:rsidR="00471D53" w:rsidRPr="00EB4A7D" w:rsidRDefault="004F686E">
                <w:pPr>
                  <w:rPr>
                    <w:sz w:val="18"/>
                    <w:szCs w:val="18"/>
                  </w:rPr>
                </w:pPr>
                <w:r w:rsidRPr="00EB4A7D">
                  <w:rPr>
                    <w:sz w:val="18"/>
                    <w:szCs w:val="18"/>
                  </w:rPr>
                  <w:t>59,707,143.91</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2193940D" w14:textId="77777777" w:rsidR="00471D53" w:rsidRPr="00EB4A7D" w:rsidRDefault="00B664AF">
                <w:pPr>
                  <w:jc w:val="right"/>
                  <w:rPr>
                    <w:sz w:val="18"/>
                    <w:szCs w:val="18"/>
                  </w:rPr>
                </w:pPr>
              </w:p>
            </w:tc>
          </w:tr>
          <w:tr w:rsidR="00471D53" w14:paraId="2D5C3A9D" w14:textId="77777777" w:rsidTr="00471D53">
            <w:sdt>
              <w:sdtPr>
                <w:rPr>
                  <w:sz w:val="18"/>
                  <w:szCs w:val="18"/>
                </w:rPr>
                <w:tag w:val="_PLD_4650622d02e74721a67ca767c0e407f2"/>
                <w:id w:val="-1417321216"/>
                <w:lock w:val="sdtLocked"/>
              </w:sdtPr>
              <w:sdtEndPr/>
              <w:sdtContent>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14:paraId="5A9B07C6" w14:textId="77777777" w:rsidR="00471D53" w:rsidRPr="00EB4A7D" w:rsidRDefault="004F686E">
                    <w:pPr>
                      <w:jc w:val="center"/>
                      <w:rPr>
                        <w:sz w:val="18"/>
                        <w:szCs w:val="18"/>
                      </w:rPr>
                    </w:pPr>
                    <w:r w:rsidRPr="00EB4A7D">
                      <w:rPr>
                        <w:rFonts w:hint="eastAsia"/>
                        <w:sz w:val="18"/>
                        <w:szCs w:val="18"/>
                      </w:rPr>
                      <w:t>合计</w:t>
                    </w:r>
                  </w:p>
                </w:tc>
              </w:sdtContent>
            </w:sdt>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1C235F33" w14:textId="77777777" w:rsidR="00471D53" w:rsidRPr="00EB4A7D" w:rsidRDefault="004F686E">
                <w:pPr>
                  <w:rPr>
                    <w:sz w:val="18"/>
                    <w:szCs w:val="18"/>
                  </w:rPr>
                </w:pPr>
                <w:r w:rsidRPr="00EB4A7D">
                  <w:rPr>
                    <w:sz w:val="18"/>
                    <w:szCs w:val="18"/>
                  </w:rPr>
                  <w:t>59,521,106.68</w:t>
                </w: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14:paraId="1407EB57" w14:textId="77777777" w:rsidR="00471D53" w:rsidRPr="00EB4A7D" w:rsidRDefault="00B664AF">
                <w:pPr>
                  <w:rPr>
                    <w:sz w:val="18"/>
                    <w:szCs w:val="18"/>
                  </w:rPr>
                </w:pP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0EDC2AD8" w14:textId="77777777" w:rsidR="00471D53" w:rsidRPr="00EB4A7D" w:rsidRDefault="00B664AF">
                <w:pPr>
                  <w:rPr>
                    <w:sz w:val="18"/>
                    <w:szCs w:val="18"/>
                  </w:rPr>
                </w:pP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14:paraId="2F6469D3" w14:textId="77777777" w:rsidR="00471D53" w:rsidRPr="00EB4A7D" w:rsidRDefault="004F686E">
                <w:pPr>
                  <w:rPr>
                    <w:sz w:val="18"/>
                    <w:szCs w:val="18"/>
                  </w:rPr>
                </w:pPr>
                <w:r w:rsidRPr="00EB4A7D">
                  <w:rPr>
                    <w:sz w:val="18"/>
                    <w:szCs w:val="18"/>
                  </w:rPr>
                  <w:t>3,532,099.11</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14:paraId="3A3C96D3" w14:textId="77777777" w:rsidR="00471D53" w:rsidRPr="00EB4A7D" w:rsidRDefault="004F686E">
                <w:pPr>
                  <w:rPr>
                    <w:sz w:val="18"/>
                    <w:szCs w:val="18"/>
                  </w:rPr>
                </w:pPr>
                <w:r w:rsidRPr="00EB4A7D">
                  <w:rPr>
                    <w:sz w:val="18"/>
                    <w:szCs w:val="18"/>
                  </w:rPr>
                  <w:t>-1,117.81</w:t>
                </w:r>
              </w:p>
            </w:tc>
            <w:tc>
              <w:tcPr>
                <w:tcW w:w="197" w:type="pct"/>
                <w:tcBorders>
                  <w:top w:val="single" w:sz="4" w:space="0" w:color="auto"/>
                  <w:left w:val="single" w:sz="4" w:space="0" w:color="auto"/>
                  <w:bottom w:val="single" w:sz="4" w:space="0" w:color="auto"/>
                  <w:right w:val="single" w:sz="4" w:space="0" w:color="auto"/>
                </w:tcBorders>
                <w:shd w:val="clear" w:color="auto" w:fill="auto"/>
              </w:tcPr>
              <w:p w14:paraId="4172E7F5" w14:textId="77777777" w:rsidR="00471D53" w:rsidRPr="00EB4A7D" w:rsidRDefault="00B664AF">
                <w:pPr>
                  <w:jc w:val="right"/>
                  <w:rPr>
                    <w:sz w:val="18"/>
                    <w:szCs w:val="18"/>
                  </w:rPr>
                </w:pP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70396A88" w14:textId="77777777" w:rsidR="00471D53" w:rsidRPr="00EB4A7D" w:rsidRDefault="004F686E">
                <w:pPr>
                  <w:rPr>
                    <w:sz w:val="18"/>
                    <w:szCs w:val="18"/>
                  </w:rPr>
                </w:pPr>
                <w:r w:rsidRPr="00EB4A7D">
                  <w:rPr>
                    <w:sz w:val="18"/>
                    <w:szCs w:val="18"/>
                  </w:rPr>
                  <w:t>327,428.24</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65B8DD03" w14:textId="77777777" w:rsidR="00471D53" w:rsidRPr="00EB4A7D" w:rsidRDefault="00B664AF">
                <w:pPr>
                  <w:rPr>
                    <w:sz w:val="18"/>
                    <w:szCs w:val="18"/>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003B4CE" w14:textId="77777777" w:rsidR="00471D53" w:rsidRPr="00EB4A7D" w:rsidRDefault="00B664AF">
                <w:pPr>
                  <w:rPr>
                    <w:sz w:val="18"/>
                    <w:szCs w:val="18"/>
                  </w:rPr>
                </w:pP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293BE7DA" w14:textId="77777777" w:rsidR="00471D53" w:rsidRPr="00EB4A7D" w:rsidRDefault="004F686E">
                <w:pPr>
                  <w:rPr>
                    <w:sz w:val="18"/>
                    <w:szCs w:val="18"/>
                  </w:rPr>
                </w:pPr>
                <w:r w:rsidRPr="00EB4A7D">
                  <w:rPr>
                    <w:sz w:val="18"/>
                    <w:szCs w:val="18"/>
                  </w:rPr>
                  <w:t>62,724,659.74</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7A3A65B1" w14:textId="77777777" w:rsidR="00471D53" w:rsidRPr="00EB4A7D" w:rsidRDefault="00B664AF">
                <w:pPr>
                  <w:rPr>
                    <w:sz w:val="18"/>
                    <w:szCs w:val="18"/>
                  </w:rPr>
                </w:pPr>
              </w:p>
            </w:tc>
          </w:tr>
        </w:tbl>
        <w:p w14:paraId="46416C48" w14:textId="77777777" w:rsidR="00471D53" w:rsidRDefault="004F686E">
          <w:pPr>
            <w:snapToGrid w:val="0"/>
            <w:spacing w:line="240" w:lineRule="atLeast"/>
            <w:rPr>
              <w:szCs w:val="21"/>
            </w:rPr>
          </w:pPr>
          <w:r>
            <w:rPr>
              <w:rFonts w:hint="eastAsia"/>
              <w:szCs w:val="21"/>
            </w:rPr>
            <w:t>其他说明</w:t>
          </w:r>
        </w:p>
        <w:sdt>
          <w:sdtPr>
            <w:rPr>
              <w:rFonts w:hint="eastAsia"/>
              <w:szCs w:val="21"/>
            </w:rPr>
            <w:tag w:val="_GBC_ccc3d8feeab24d0e8e4139f2a19cfa7c"/>
            <w:id w:val="-1898112088"/>
            <w:lock w:val="sdtLocked"/>
            <w:placeholder>
              <w:docPart w:val="GBC22222222222222222222222222222"/>
            </w:placeholder>
          </w:sdtPr>
          <w:sdtEndPr>
            <w:rPr>
              <w:rFonts w:hint="default"/>
            </w:rPr>
          </w:sdtEndPr>
          <w:sdtContent>
            <w:sdt>
              <w:sdtPr>
                <w:rPr>
                  <w:szCs w:val="21"/>
                </w:rPr>
                <w:alias w:val="长期股票投资的说明"/>
                <w:tag w:val="_GBC_492b53d02462408a924f069c70a16ce9"/>
                <w:id w:val="326791872"/>
                <w:lock w:val="sdtLocked"/>
                <w:placeholder>
                  <w:docPart w:val="GBC22222222222222222222222222222"/>
                </w:placeholder>
              </w:sdtPr>
              <w:sdtEndPr/>
              <w:sdtContent>
                <w:p w14:paraId="56E3D86D" w14:textId="77777777" w:rsidR="00471D53" w:rsidRDefault="004F686E">
                  <w:pPr>
                    <w:snapToGrid w:val="0"/>
                    <w:spacing w:line="240" w:lineRule="atLeast"/>
                    <w:rPr>
                      <w:szCs w:val="21"/>
                    </w:rPr>
                  </w:pPr>
                  <w:r>
                    <w:rPr>
                      <w:rFonts w:hint="eastAsia"/>
                      <w:szCs w:val="21"/>
                    </w:rPr>
                    <w:t>无</w:t>
                  </w:r>
                </w:p>
              </w:sdtContent>
            </w:sdt>
          </w:sdtContent>
        </w:sdt>
      </w:sdtContent>
    </w:sdt>
    <w:p w14:paraId="06120518" w14:textId="77777777" w:rsidR="00471D53" w:rsidRDefault="00B664AF">
      <w:pPr>
        <w:rPr>
          <w:szCs w:val="21"/>
        </w:rPr>
      </w:pPr>
    </w:p>
    <w:bookmarkStart w:id="162" w:name="_Hlk10472053" w:displacedByCustomXml="next"/>
    <w:sdt>
      <w:sdtPr>
        <w:rPr>
          <w:rFonts w:ascii="宋体" w:hAnsi="宋体" w:cs="宋体" w:hint="eastAsia"/>
          <w:b w:val="0"/>
          <w:bCs w:val="0"/>
          <w:kern w:val="0"/>
          <w:szCs w:val="21"/>
        </w:rPr>
        <w:alias w:val="模块:其他权益工具投资"/>
        <w:tag w:val="_SEC_a252a6b12c694a478cd66b63ece88d66"/>
        <w:id w:val="-911922722"/>
        <w:lock w:val="sdtLocked"/>
        <w:placeholder>
          <w:docPart w:val="GBC22222222222222222222222222222"/>
        </w:placeholder>
      </w:sdtPr>
      <w:sdtEndPr>
        <w:rPr>
          <w:szCs w:val="24"/>
        </w:rPr>
      </w:sdtEndPr>
      <w:sdtContent>
        <w:p w14:paraId="7C5A2236"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其他权益工具投资</w:t>
          </w:r>
        </w:p>
        <w:p w14:paraId="28DF702C" w14:textId="77777777" w:rsidR="00471D53" w:rsidRDefault="004F686E" w:rsidP="004F686E">
          <w:pPr>
            <w:pStyle w:val="afffff8"/>
            <w:numPr>
              <w:ilvl w:val="3"/>
              <w:numId w:val="69"/>
            </w:numPr>
            <w:ind w:left="426" w:hanging="426"/>
            <w:rPr>
              <w:rFonts w:ascii="宋体" w:hAnsi="宋体"/>
            </w:rPr>
          </w:pPr>
          <w:bookmarkStart w:id="163" w:name="_Hlk532994936"/>
          <w:r>
            <w:rPr>
              <w:rFonts w:ascii="宋体" w:hAnsi="宋体" w:hint="eastAsia"/>
            </w:rPr>
            <w:t>其他权益工具投资情况</w:t>
          </w:r>
        </w:p>
        <w:sdt>
          <w:sdtPr>
            <w:alias w:val="是否适用：其他权益工具投资情况[双击切换]"/>
            <w:tag w:val="_GBC_d175ecfe27dc4b7592725426a352847c"/>
            <w:id w:val="1717547745"/>
            <w:lock w:val="sdtLocked"/>
            <w:placeholder>
              <w:docPart w:val="GBC22222222222222222222222222222"/>
            </w:placeholder>
          </w:sdtPr>
          <w:sdtEndPr/>
          <w:sdtContent>
            <w:p w14:paraId="1EDF19E2"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163" w:displacedByCustomXml="next"/>
      </w:sdtContent>
    </w:sdt>
    <w:bookmarkEnd w:id="162" w:displacedByCustomXml="prev"/>
    <w:bookmarkStart w:id="164" w:name="_Hlk10472075" w:displacedByCustomXml="next"/>
    <w:bookmarkStart w:id="165" w:name="_Hlk10472085" w:displacedByCustomXml="next"/>
    <w:sdt>
      <w:sdtPr>
        <w:rPr>
          <w:rFonts w:ascii="宋体" w:hAnsi="宋体" w:cs="宋体" w:hint="eastAsia"/>
          <w:b w:val="0"/>
          <w:bCs w:val="0"/>
          <w:kern w:val="0"/>
          <w:szCs w:val="24"/>
        </w:rPr>
        <w:alias w:val="模块:非交易性权益工具投资的情况"/>
        <w:tag w:val="_SEC_cfe1ba6c98894c1f8f64c41c9a5b8180"/>
        <w:id w:val="-1821953459"/>
        <w:lock w:val="sdtLocked"/>
        <w:placeholder>
          <w:docPart w:val="GBC22222222222222222222222222222"/>
        </w:placeholder>
      </w:sdtPr>
      <w:sdtEndPr>
        <w:rPr>
          <w:rFonts w:hint="default"/>
          <w:szCs w:val="21"/>
        </w:rPr>
      </w:sdtEndPr>
      <w:sdtContent>
        <w:p w14:paraId="531DFAA7" w14:textId="77777777" w:rsidR="00471D53" w:rsidRDefault="004F686E" w:rsidP="004F686E">
          <w:pPr>
            <w:pStyle w:val="afffff8"/>
            <w:numPr>
              <w:ilvl w:val="3"/>
              <w:numId w:val="69"/>
            </w:numPr>
            <w:ind w:left="426" w:hanging="426"/>
            <w:rPr>
              <w:rFonts w:ascii="宋体" w:hAnsi="宋体"/>
            </w:rPr>
          </w:pPr>
          <w:r>
            <w:rPr>
              <w:rFonts w:ascii="宋体" w:hAnsi="宋体" w:hint="eastAsia"/>
            </w:rPr>
            <w:t>非交易性权益工具投资的情况</w:t>
          </w:r>
          <w:bookmarkEnd w:id="164"/>
        </w:p>
        <w:sdt>
          <w:sdtPr>
            <w:alias w:val="是否适用：非交易性权益工具投资情况[双击切换]"/>
            <w:tag w:val="_GBC_5bc286b941b942a6afabd12760854b2c"/>
            <w:id w:val="-1942762162"/>
            <w:lock w:val="sdtLocked"/>
            <w:placeholder>
              <w:docPart w:val="GBC22222222222222222222222222222"/>
            </w:placeholder>
          </w:sdtPr>
          <w:sdtEndPr/>
          <w:sdtContent>
            <w:p w14:paraId="4025C1DE" w14:textId="77777777" w:rsidR="00471D53" w:rsidRDefault="004F686E" w:rsidP="00471D53">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65" w:displacedByCustomXml="prev"/>
    <w:bookmarkStart w:id="166" w:name="_Hlk10472110" w:displacedByCustomXml="next"/>
    <w:bookmarkStart w:id="167" w:name="_Hlk10472118" w:displacedByCustomXml="next"/>
    <w:sdt>
      <w:sdtPr>
        <w:rPr>
          <w:rFonts w:hint="eastAsia"/>
        </w:rPr>
        <w:alias w:val="模块:其他说明："/>
        <w:tag w:val="_SEC_e3d4d5136ad847a0a66a1c4edca28c29"/>
        <w:id w:val="-1142118292"/>
        <w:lock w:val="sdtLocked"/>
        <w:placeholder>
          <w:docPart w:val="GBC22222222222222222222222222222"/>
        </w:placeholder>
      </w:sdtPr>
      <w:sdtEndPr>
        <w:rPr>
          <w:rFonts w:hint="default"/>
          <w:szCs w:val="21"/>
        </w:rPr>
      </w:sdtEndPr>
      <w:sdtContent>
        <w:p w14:paraId="3F99432D" w14:textId="77777777" w:rsidR="00471D53" w:rsidRDefault="004F686E">
          <w:r>
            <w:rPr>
              <w:rFonts w:hint="eastAsia"/>
            </w:rPr>
            <w:t>其他</w:t>
          </w:r>
          <w:r>
            <w:t>说明</w:t>
          </w:r>
          <w:r>
            <w:rPr>
              <w:rFonts w:hint="eastAsia"/>
            </w:rPr>
            <w:t>：</w:t>
          </w:r>
          <w:bookmarkEnd w:id="166"/>
        </w:p>
        <w:sdt>
          <w:sdtPr>
            <w:alias w:val="是否适用：其他权益工具投资其他说明[双击切换]"/>
            <w:tag w:val="_GBC_9bd79d8d324a4f4c984344781e18ee35"/>
            <w:id w:val="-136103488"/>
            <w:lock w:val="sdtLocked"/>
            <w:placeholder>
              <w:docPart w:val="GBC22222222222222222222222222222"/>
            </w:placeholder>
          </w:sdtPr>
          <w:sdtEndPr/>
          <w:sdtContent>
            <w:p w14:paraId="75B2F69A" w14:textId="77777777" w:rsidR="00471D53" w:rsidRDefault="004F686E" w:rsidP="00471D53">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67" w:displacedByCustomXml="prev"/>
    <w:p w14:paraId="6F693E45" w14:textId="77777777" w:rsidR="00471D53" w:rsidRDefault="00B664AF">
      <w:pPr>
        <w:rPr>
          <w:szCs w:val="21"/>
        </w:rPr>
      </w:pPr>
    </w:p>
    <w:bookmarkStart w:id="168" w:name="_Hlk10472259" w:displacedByCustomXml="next"/>
    <w:sdt>
      <w:sdtPr>
        <w:rPr>
          <w:rFonts w:ascii="宋体" w:hAnsi="宋体" w:cs="宋体" w:hint="eastAsia"/>
          <w:b w:val="0"/>
          <w:bCs w:val="0"/>
          <w:kern w:val="0"/>
          <w:szCs w:val="21"/>
        </w:rPr>
        <w:alias w:val="模块:其他非流动金融资产"/>
        <w:tag w:val="_SEC_6895bb6903584ff780f3500311ed1560"/>
        <w:id w:val="1997682919"/>
        <w:lock w:val="sdtLocked"/>
        <w:placeholder>
          <w:docPart w:val="GBC22222222222222222222222222222"/>
        </w:placeholder>
      </w:sdtPr>
      <w:sdtEndPr>
        <w:rPr>
          <w:szCs w:val="24"/>
        </w:rPr>
      </w:sdtEndPr>
      <w:sdtContent>
        <w:p w14:paraId="3386DACC"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其他非流动金融资产</w:t>
          </w:r>
        </w:p>
        <w:sdt>
          <w:sdtPr>
            <w:alias w:val="是否适用：其他非流动金融资产[双击切换]"/>
            <w:tag w:val="_GBC_39a16d6030db4b008bd8e70705c49dd5"/>
            <w:id w:val="-1454168060"/>
            <w:lock w:val="sdtLocked"/>
            <w:placeholder>
              <w:docPart w:val="GBC22222222222222222222222222222"/>
            </w:placeholder>
          </w:sdtPr>
          <w:sdtEndPr/>
          <w:sdtContent>
            <w:p w14:paraId="57849628" w14:textId="77777777" w:rsidR="00471D53" w:rsidRDefault="004F686E" w:rsidP="00471D53">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3729442" w14:textId="77777777" w:rsidR="00471D53" w:rsidRDefault="00B664AF">
          <w:pPr>
            <w:snapToGrid w:val="0"/>
            <w:spacing w:line="240" w:lineRule="atLeast"/>
            <w:rPr>
              <w:szCs w:val="21"/>
            </w:rPr>
          </w:pPr>
        </w:p>
        <w:p w14:paraId="3DAE88B6" w14:textId="77777777" w:rsidR="00471D53" w:rsidRDefault="00B664AF"/>
      </w:sdtContent>
    </w:sdt>
    <w:bookmarkEnd w:id="168" w:displacedByCustomXml="prev"/>
    <w:p w14:paraId="5AB0DF69"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投资性房地产</w:t>
      </w:r>
    </w:p>
    <w:p w14:paraId="4E77A725" w14:textId="77777777" w:rsidR="00471D53" w:rsidRDefault="004F686E">
      <w:r>
        <w:t>投资性房地产</w:t>
      </w:r>
      <w:r>
        <w:rPr>
          <w:rFonts w:hint="eastAsia"/>
        </w:rPr>
        <w:t>计量模式</w:t>
      </w:r>
    </w:p>
    <w:sdt>
      <w:sdtPr>
        <w:rPr>
          <w:rFonts w:ascii="宋体" w:hAnsi="宋体" w:cs="宋体" w:hint="eastAsia"/>
          <w:b w:val="0"/>
          <w:bCs w:val="0"/>
          <w:kern w:val="0"/>
          <w:szCs w:val="21"/>
        </w:rPr>
        <w:alias w:val="选项模块:成本计量模式"/>
        <w:tag w:val="_GBC_f6dac261d9a74df7a48db85ed7768fd1"/>
        <w:id w:val="-1573658470"/>
        <w:placeholder>
          <w:docPart w:val="GBC22222222222222222222222222222"/>
        </w:placeholder>
      </w:sdtPr>
      <w:sdtEndPr>
        <w:rPr>
          <w:rFonts w:cstheme="minorBidi"/>
          <w:kern w:val="2"/>
        </w:rPr>
      </w:sdtEndPr>
      <w:sdtContent>
        <w:p w14:paraId="5F5414C6" w14:textId="77777777" w:rsidR="00471D53" w:rsidRDefault="004F686E" w:rsidP="004F686E">
          <w:pPr>
            <w:pStyle w:val="afffff8"/>
            <w:numPr>
              <w:ilvl w:val="0"/>
              <w:numId w:val="70"/>
            </w:numPr>
            <w:tabs>
              <w:tab w:val="left" w:pos="616"/>
            </w:tabs>
            <w:rPr>
              <w:rFonts w:ascii="宋体" w:hAnsi="宋体"/>
              <w:szCs w:val="21"/>
            </w:rPr>
          </w:pPr>
          <w:r>
            <w:rPr>
              <w:rFonts w:ascii="宋体" w:hAnsi="宋体" w:hint="eastAsia"/>
              <w:szCs w:val="21"/>
            </w:rPr>
            <w:t>采用成本计量模式的投资性房地产</w:t>
          </w:r>
        </w:p>
        <w:p w14:paraId="37ADE412" w14:textId="6BD51D6C" w:rsidR="00471D53" w:rsidRDefault="004F686E">
          <w:pPr>
            <w:jc w:val="right"/>
            <w:rPr>
              <w:szCs w:val="21"/>
            </w:rPr>
          </w:pPr>
          <w:r>
            <w:rPr>
              <w:rFonts w:hint="eastAsia"/>
              <w:szCs w:val="21"/>
            </w:rPr>
            <w:t>单位：</w:t>
          </w:r>
          <w:sdt>
            <w:sdtPr>
              <w:rPr>
                <w:rFonts w:hint="eastAsia"/>
                <w:szCs w:val="21"/>
              </w:rPr>
              <w:alias w:val="单位：财务附注：投资性房地产"/>
              <w:tag w:val="_GBC_3315dd1b9cb743c786e01b4b9e91b10d"/>
              <w:id w:val="10210456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投资性房地产"/>
              <w:tag w:val="_GBC_424f36c4f1bf48ce8d47b51437412ff8"/>
              <w:id w:val="3174743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p w14:paraId="2FBFC764" w14:textId="77777777" w:rsidR="00471D53" w:rsidRDefault="00B664AF"/>
        <w:p w14:paraId="6B510465" w14:textId="77777777" w:rsidR="00471D53" w:rsidRDefault="004F686E" w:rsidP="004F686E">
          <w:pPr>
            <w:pStyle w:val="afffff8"/>
            <w:numPr>
              <w:ilvl w:val="0"/>
              <w:numId w:val="70"/>
            </w:numPr>
            <w:tabs>
              <w:tab w:val="left" w:pos="616"/>
            </w:tabs>
            <w:rPr>
              <w:rFonts w:ascii="宋体" w:hAnsi="宋体"/>
              <w:szCs w:val="21"/>
            </w:rPr>
          </w:pPr>
          <w:r>
            <w:rPr>
              <w:rFonts w:ascii="宋体" w:hAnsi="宋体" w:hint="eastAsia"/>
              <w:szCs w:val="21"/>
            </w:rPr>
            <w:t>未办妥产权证书的投资性房地产情况：</w:t>
          </w:r>
        </w:p>
        <w:p w14:paraId="1E228058" w14:textId="77777777" w:rsidR="00471D53" w:rsidRDefault="00B664AF" w:rsidP="00471D53">
          <w:pPr>
            <w:rPr>
              <w:szCs w:val="21"/>
            </w:rPr>
          </w:pPr>
          <w:sdt>
            <w:sdtPr>
              <w:alias w:val="是否适用：未办妥产权证书的投资性房地产情况[双击切换]"/>
              <w:tag w:val="_GBC_6ea8ec03c59f4a3585f376319ae453c5"/>
              <w:id w:val="-2079356279"/>
              <w:lock w:val="sdtLocked"/>
              <w:placeholder>
                <w:docPart w:val="GBC22222222222222222222222222222"/>
              </w:placeholder>
            </w:sdtPr>
            <w:sdtEndPr/>
            <w:sdtContent>
              <w:r w:rsidR="004F686E">
                <w:fldChar w:fldCharType="begin"/>
              </w:r>
              <w:r w:rsidR="004F686E">
                <w:instrText xml:space="preserve"> MACROBUTTON  SnrToggleCheckbox □适用 </w:instrText>
              </w:r>
              <w:r w:rsidR="004F686E">
                <w:fldChar w:fldCharType="end"/>
              </w:r>
              <w:r w:rsidR="004F686E">
                <w:fldChar w:fldCharType="begin"/>
              </w:r>
              <w:r w:rsidR="004F686E">
                <w:instrText xml:space="preserve"> MACROBUTTON  SnrToggleCheckbox √不适用 </w:instrText>
              </w:r>
              <w:r w:rsidR="004F686E">
                <w:fldChar w:fldCharType="end"/>
              </w:r>
            </w:sdtContent>
          </w:sdt>
        </w:p>
        <w:p w14:paraId="094E9CD3" w14:textId="77777777" w:rsidR="00471D53" w:rsidRDefault="004F686E" w:rsidP="00471D53">
          <w:pPr>
            <w:ind w:leftChars="-21" w:left="-2" w:hangingChars="20" w:hanging="42"/>
            <w:rPr>
              <w:szCs w:val="21"/>
            </w:rPr>
          </w:pPr>
          <w:r>
            <w:rPr>
              <w:rFonts w:hint="eastAsia"/>
              <w:szCs w:val="21"/>
            </w:rPr>
            <w:t>其他说明</w:t>
          </w:r>
        </w:p>
        <w:sdt>
          <w:sdtPr>
            <w:rPr>
              <w:szCs w:val="21"/>
            </w:rPr>
            <w:alias w:val="是否适用：投资性房地产的说明[双击切换]"/>
            <w:tag w:val="_GBC_7c82892b5f364028897e5707cfcc5e86"/>
            <w:id w:val="122582804"/>
            <w:lock w:val="sdtLocked"/>
            <w:placeholder>
              <w:docPart w:val="GBC22222222222222222222222222222"/>
            </w:placeholder>
          </w:sdtPr>
          <w:sdtEndPr/>
          <w:sdtContent>
            <w:p w14:paraId="27E30912" w14:textId="77777777" w:rsidR="00471D53" w:rsidRDefault="004F686E" w:rsidP="00471D53">
              <w:pPr>
                <w:rPr>
                  <w:rFonts w:cstheme="minorBidi"/>
                  <w:kern w:val="2"/>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56DEB7D9" w14:textId="77777777" w:rsidR="00471D53" w:rsidRDefault="00B664AF">
          <w:pPr>
            <w:rPr>
              <w:szCs w:val="21"/>
            </w:rPr>
          </w:pPr>
        </w:p>
      </w:sdtContent>
    </w:sdt>
    <w:p w14:paraId="04734006" w14:textId="77777777" w:rsidR="00471D53" w:rsidRDefault="00B664AF">
      <w:pPr>
        <w:ind w:right="283"/>
        <w:rPr>
          <w:szCs w:val="21"/>
        </w:rPr>
      </w:pPr>
    </w:p>
    <w:p w14:paraId="546BD3E3"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固定资产</w:t>
      </w:r>
    </w:p>
    <w:bookmarkStart w:id="169" w:name="_Hlk10472369" w:displacedByCustomXml="next"/>
    <w:sdt>
      <w:sdtPr>
        <w:rPr>
          <w:rFonts w:ascii="宋体" w:hAnsi="宋体" w:cs="宋体" w:hint="eastAsia"/>
          <w:b w:val="0"/>
          <w:bCs w:val="0"/>
          <w:kern w:val="0"/>
          <w:szCs w:val="24"/>
        </w:rPr>
        <w:alias w:val="模块:固定资产项目列示"/>
        <w:tag w:val="_SEC_d216074d2ae442239dbb6f5f9b7a5d89"/>
        <w:id w:val="-2118519835"/>
        <w:lock w:val="sdtLocked"/>
        <w:placeholder>
          <w:docPart w:val="GBC22222222222222222222222222222"/>
        </w:placeholder>
      </w:sdtPr>
      <w:sdtEndPr>
        <w:rPr>
          <w:rFonts w:hint="default"/>
          <w:szCs w:val="21"/>
        </w:rPr>
      </w:sdtEndPr>
      <w:sdtContent>
        <w:p w14:paraId="47AC7DA9" w14:textId="77777777" w:rsidR="00471D53" w:rsidRDefault="004F686E">
          <w:pPr>
            <w:pStyle w:val="afffff8"/>
            <w:tabs>
              <w:tab w:val="left" w:pos="588"/>
            </w:tabs>
            <w:rPr>
              <w:rFonts w:ascii="宋体" w:hAnsi="宋体"/>
            </w:rPr>
          </w:pPr>
          <w:r>
            <w:rPr>
              <w:rFonts w:ascii="宋体" w:hAnsi="宋体" w:hint="eastAsia"/>
            </w:rPr>
            <w:t>项目列示</w:t>
          </w:r>
        </w:p>
        <w:sdt>
          <w:sdtPr>
            <w:alias w:val="是否适用：固定资产分类列示[双击切换]"/>
            <w:tag w:val="_GBC_73d82e583dcc4330bebfeb83abd5f5bb"/>
            <w:id w:val="-492800417"/>
            <w:lock w:val="sdtLocked"/>
            <w:placeholder>
              <w:docPart w:val="GBC22222222222222222222222222222"/>
            </w:placeholder>
          </w:sdtPr>
          <w:sdtEndPr/>
          <w:sdtContent>
            <w:p w14:paraId="3F5DA033"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A79B5BE" w14:textId="02C7B474" w:rsidR="00471D53" w:rsidRDefault="004F686E">
          <w:pPr>
            <w:jc w:val="right"/>
            <w:rPr>
              <w:szCs w:val="21"/>
            </w:rPr>
          </w:pPr>
          <w:r>
            <w:rPr>
              <w:rFonts w:hint="eastAsia"/>
              <w:szCs w:val="21"/>
            </w:rPr>
            <w:t>单位：</w:t>
          </w:r>
          <w:sdt>
            <w:sdtPr>
              <w:rPr>
                <w:rFonts w:hint="eastAsia"/>
                <w:szCs w:val="21"/>
              </w:rPr>
              <w:alias w:val="单位：固定资产分类列示"/>
              <w:tag w:val="_GBC_1ddbfde119544f109a3b12a48ffde12d"/>
              <w:id w:val="21083819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固定资产分类列示"/>
              <w:tag w:val="_GBC_fcb83ec59024431d9f3167f55c1ae7c0"/>
              <w:id w:val="13674145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5"/>
            <w:gridCol w:w="2792"/>
            <w:gridCol w:w="2806"/>
          </w:tblGrid>
          <w:tr w:rsidR="00471D53" w14:paraId="69F20DC0" w14:textId="77777777" w:rsidTr="00510B81">
            <w:sdt>
              <w:sdtPr>
                <w:tag w:val="_PLD_8242dd3761084b5fa8943b910dbdbe45"/>
                <w:id w:val="141009122"/>
                <w:lock w:val="sdtLocked"/>
              </w:sdtPr>
              <w:sdtEndPr/>
              <w:sdtContent>
                <w:tc>
                  <w:tcPr>
                    <w:tcW w:w="1828" w:type="pct"/>
                    <w:shd w:val="clear" w:color="auto" w:fill="auto"/>
                    <w:vAlign w:val="center"/>
                  </w:tcPr>
                  <w:p w14:paraId="540EAD29" w14:textId="77777777" w:rsidR="00471D53" w:rsidRDefault="004F686E">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666df388ce2f4405af4694ebf5c112ca"/>
                <w:id w:val="1786694337"/>
                <w:lock w:val="sdtLocked"/>
              </w:sdtPr>
              <w:sdtEndPr/>
              <w:sdtContent>
                <w:tc>
                  <w:tcPr>
                    <w:tcW w:w="1582" w:type="pct"/>
                    <w:shd w:val="clear" w:color="auto" w:fill="auto"/>
                    <w:vAlign w:val="center"/>
                  </w:tcPr>
                  <w:p w14:paraId="25FF0021" w14:textId="77777777" w:rsidR="00471D53" w:rsidRDefault="004F686E">
                    <w:pPr>
                      <w:jc w:val="center"/>
                      <w:rPr>
                        <w:szCs w:val="21"/>
                      </w:rPr>
                    </w:pPr>
                    <w:r>
                      <w:rPr>
                        <w:rFonts w:hint="eastAsia"/>
                        <w:szCs w:val="21"/>
                      </w:rPr>
                      <w:t>期末余额</w:t>
                    </w:r>
                  </w:p>
                </w:tc>
              </w:sdtContent>
            </w:sdt>
            <w:sdt>
              <w:sdtPr>
                <w:tag w:val="_PLD_ca4fd9ec8b6a43259f78c36475f04e58"/>
                <w:id w:val="-1019071338"/>
                <w:lock w:val="sdtLocked"/>
              </w:sdtPr>
              <w:sdtEndPr/>
              <w:sdtContent>
                <w:tc>
                  <w:tcPr>
                    <w:tcW w:w="1590" w:type="pct"/>
                    <w:shd w:val="clear" w:color="auto" w:fill="auto"/>
                    <w:vAlign w:val="center"/>
                  </w:tcPr>
                  <w:p w14:paraId="1F5D8C78" w14:textId="77777777" w:rsidR="00471D53" w:rsidRDefault="004F686E">
                    <w:pPr>
                      <w:jc w:val="center"/>
                      <w:rPr>
                        <w:szCs w:val="21"/>
                      </w:rPr>
                    </w:pPr>
                    <w:r>
                      <w:rPr>
                        <w:rFonts w:hint="eastAsia"/>
                        <w:szCs w:val="21"/>
                      </w:rPr>
                      <w:t>期初余额</w:t>
                    </w:r>
                  </w:p>
                </w:tc>
              </w:sdtContent>
            </w:sdt>
          </w:tr>
          <w:tr w:rsidR="00471D53" w14:paraId="5E2A391A" w14:textId="77777777" w:rsidTr="00471D53">
            <w:sdt>
              <w:sdtPr>
                <w:tag w:val="_PLD_722c53058dad410fa612baf9cbff9bc1"/>
                <w:id w:val="-1576665412"/>
                <w:lock w:val="sdtLocked"/>
              </w:sdtPr>
              <w:sdtEndPr/>
              <w:sdtContent>
                <w:tc>
                  <w:tcPr>
                    <w:tcW w:w="1828" w:type="pct"/>
                    <w:shd w:val="clear" w:color="auto" w:fill="auto"/>
                  </w:tcPr>
                  <w:p w14:paraId="06066EC6" w14:textId="77777777" w:rsidR="00471D53" w:rsidRDefault="004F686E">
                    <w:pPr>
                      <w:tabs>
                        <w:tab w:val="right" w:pos="3690"/>
                        <w:tab w:val="right" w:pos="5130"/>
                        <w:tab w:val="right" w:pos="6030"/>
                        <w:tab w:val="right" w:pos="7650"/>
                        <w:tab w:val="right" w:pos="9270"/>
                      </w:tabs>
                      <w:adjustRightInd w:val="0"/>
                      <w:snapToGrid w:val="0"/>
                      <w:rPr>
                        <w:szCs w:val="21"/>
                      </w:rPr>
                    </w:pPr>
                    <w:r>
                      <w:rPr>
                        <w:rFonts w:hint="eastAsia"/>
                        <w:szCs w:val="21"/>
                      </w:rPr>
                      <w:t>固定资产</w:t>
                    </w:r>
                  </w:p>
                </w:tc>
              </w:sdtContent>
            </w:sdt>
            <w:tc>
              <w:tcPr>
                <w:tcW w:w="1582" w:type="pct"/>
                <w:shd w:val="clear" w:color="auto" w:fill="auto"/>
                <w:vAlign w:val="center"/>
              </w:tcPr>
              <w:p w14:paraId="5234AA91" w14:textId="77777777" w:rsidR="00471D53" w:rsidRDefault="004F686E" w:rsidP="00471D53">
                <w:pPr>
                  <w:jc w:val="right"/>
                  <w:rPr>
                    <w:bCs/>
                    <w:sz w:val="22"/>
                    <w:szCs w:val="22"/>
                  </w:rPr>
                </w:pPr>
                <w:r w:rsidRPr="007D6F43">
                  <w:rPr>
                    <w:bCs/>
                    <w:sz w:val="22"/>
                    <w:szCs w:val="22"/>
                  </w:rPr>
                  <w:t>586,136,826.64</w:t>
                </w:r>
              </w:p>
            </w:tc>
            <w:tc>
              <w:tcPr>
                <w:tcW w:w="1590" w:type="pct"/>
                <w:shd w:val="clear" w:color="auto" w:fill="auto"/>
                <w:vAlign w:val="center"/>
              </w:tcPr>
              <w:p w14:paraId="49806833" w14:textId="77777777" w:rsidR="00471D53" w:rsidRDefault="004F686E" w:rsidP="00471D53">
                <w:pPr>
                  <w:jc w:val="right"/>
                  <w:rPr>
                    <w:bCs/>
                    <w:sz w:val="22"/>
                    <w:szCs w:val="22"/>
                  </w:rPr>
                </w:pPr>
                <w:r>
                  <w:rPr>
                    <w:rFonts w:cs="Calibri" w:hint="eastAsia"/>
                    <w:sz w:val="22"/>
                    <w:szCs w:val="22"/>
                  </w:rPr>
                  <w:t>605,655,905.18</w:t>
                </w:r>
              </w:p>
            </w:tc>
          </w:tr>
          <w:tr w:rsidR="00471D53" w14:paraId="149D6C17" w14:textId="77777777" w:rsidTr="00510B81">
            <w:sdt>
              <w:sdtPr>
                <w:tag w:val="_PLD_2f47b0a195064c638089bc384523b564"/>
                <w:id w:val="-585844253"/>
                <w:lock w:val="sdtLocked"/>
              </w:sdtPr>
              <w:sdtEndPr/>
              <w:sdtContent>
                <w:tc>
                  <w:tcPr>
                    <w:tcW w:w="1828" w:type="pct"/>
                    <w:shd w:val="clear" w:color="auto" w:fill="auto"/>
                  </w:tcPr>
                  <w:p w14:paraId="14DD8CB7" w14:textId="77777777" w:rsidR="00471D53" w:rsidRDefault="004F686E">
                    <w:pPr>
                      <w:tabs>
                        <w:tab w:val="right" w:pos="3690"/>
                        <w:tab w:val="right" w:pos="5130"/>
                        <w:tab w:val="right" w:pos="6030"/>
                        <w:tab w:val="right" w:pos="7650"/>
                        <w:tab w:val="right" w:pos="9270"/>
                      </w:tabs>
                      <w:adjustRightInd w:val="0"/>
                      <w:snapToGrid w:val="0"/>
                      <w:rPr>
                        <w:szCs w:val="21"/>
                      </w:rPr>
                    </w:pPr>
                    <w:r>
                      <w:rPr>
                        <w:rFonts w:hint="eastAsia"/>
                        <w:szCs w:val="21"/>
                      </w:rPr>
                      <w:t>固定资产清理</w:t>
                    </w:r>
                  </w:p>
                </w:tc>
              </w:sdtContent>
            </w:sdt>
            <w:tc>
              <w:tcPr>
                <w:tcW w:w="1582" w:type="pct"/>
                <w:shd w:val="clear" w:color="auto" w:fill="auto"/>
              </w:tcPr>
              <w:p w14:paraId="38B2AB21" w14:textId="77777777" w:rsidR="00471D53" w:rsidRDefault="00B664AF">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14:paraId="395BDF97" w14:textId="77777777" w:rsidR="00471D53" w:rsidRDefault="00B664AF">
                <w:pPr>
                  <w:tabs>
                    <w:tab w:val="right" w:pos="3690"/>
                    <w:tab w:val="right" w:pos="5130"/>
                    <w:tab w:val="right" w:pos="6030"/>
                    <w:tab w:val="right" w:pos="7650"/>
                    <w:tab w:val="right" w:pos="9270"/>
                  </w:tabs>
                  <w:adjustRightInd w:val="0"/>
                  <w:snapToGrid w:val="0"/>
                  <w:jc w:val="right"/>
                  <w:rPr>
                    <w:szCs w:val="21"/>
                  </w:rPr>
                </w:pPr>
              </w:p>
            </w:tc>
          </w:tr>
          <w:tr w:rsidR="00471D53" w14:paraId="555B2ACF" w14:textId="77777777" w:rsidTr="00471D53">
            <w:sdt>
              <w:sdtPr>
                <w:tag w:val="_PLD_c4125b2326324bf0b90cbe28b521a568"/>
                <w:id w:val="-1924025104"/>
                <w:lock w:val="sdtLocked"/>
              </w:sdtPr>
              <w:sdtEndPr/>
              <w:sdtContent>
                <w:tc>
                  <w:tcPr>
                    <w:tcW w:w="1828" w:type="pct"/>
                    <w:shd w:val="clear" w:color="auto" w:fill="auto"/>
                    <w:vAlign w:val="center"/>
                  </w:tcPr>
                  <w:p w14:paraId="764865B9" w14:textId="77777777" w:rsidR="00471D53" w:rsidRDefault="004F686E">
                    <w:pPr>
                      <w:tabs>
                        <w:tab w:val="right" w:pos="3690"/>
                        <w:tab w:val="right" w:pos="5130"/>
                        <w:tab w:val="right" w:pos="6030"/>
                        <w:tab w:val="right" w:pos="7650"/>
                        <w:tab w:val="right" w:pos="9270"/>
                      </w:tabs>
                      <w:adjustRightInd w:val="0"/>
                      <w:snapToGrid w:val="0"/>
                      <w:jc w:val="center"/>
                      <w:rPr>
                        <w:szCs w:val="21"/>
                      </w:rPr>
                    </w:pPr>
                    <w:r>
                      <w:rPr>
                        <w:rFonts w:hint="eastAsia"/>
                        <w:szCs w:val="21"/>
                      </w:rPr>
                      <w:t>合计</w:t>
                    </w:r>
                  </w:p>
                </w:tc>
              </w:sdtContent>
            </w:sdt>
            <w:tc>
              <w:tcPr>
                <w:tcW w:w="1582" w:type="pct"/>
                <w:shd w:val="clear" w:color="auto" w:fill="auto"/>
                <w:vAlign w:val="center"/>
              </w:tcPr>
              <w:p w14:paraId="7C1A970B" w14:textId="77777777" w:rsidR="00471D53" w:rsidRDefault="004F686E" w:rsidP="00471D53">
                <w:pPr>
                  <w:jc w:val="right"/>
                  <w:rPr>
                    <w:bCs/>
                    <w:sz w:val="22"/>
                    <w:szCs w:val="22"/>
                  </w:rPr>
                </w:pPr>
                <w:r w:rsidRPr="007D6F43">
                  <w:rPr>
                    <w:bCs/>
                    <w:sz w:val="22"/>
                    <w:szCs w:val="22"/>
                  </w:rPr>
                  <w:t>586,136,826.64</w:t>
                </w:r>
              </w:p>
            </w:tc>
            <w:tc>
              <w:tcPr>
                <w:tcW w:w="1590" w:type="pct"/>
                <w:shd w:val="clear" w:color="auto" w:fill="auto"/>
                <w:vAlign w:val="center"/>
              </w:tcPr>
              <w:p w14:paraId="23217390" w14:textId="77777777" w:rsidR="00471D53" w:rsidRDefault="004F686E" w:rsidP="00471D53">
                <w:pPr>
                  <w:jc w:val="right"/>
                  <w:rPr>
                    <w:bCs/>
                    <w:sz w:val="22"/>
                    <w:szCs w:val="22"/>
                  </w:rPr>
                </w:pPr>
                <w:r>
                  <w:rPr>
                    <w:rFonts w:cs="Calibri" w:hint="eastAsia"/>
                    <w:sz w:val="22"/>
                    <w:szCs w:val="22"/>
                  </w:rPr>
                  <w:t>605,655,905.18</w:t>
                </w:r>
              </w:p>
            </w:tc>
          </w:tr>
        </w:tbl>
        <w:p w14:paraId="25863CB0" w14:textId="77777777" w:rsidR="00471D53" w:rsidRDefault="004F686E">
          <w:bookmarkStart w:id="170" w:name="_Hlk10472389"/>
          <w:bookmarkStart w:id="171" w:name="_Hlk10472397"/>
          <w:bookmarkEnd w:id="169"/>
          <w:r>
            <w:rPr>
              <w:rFonts w:hint="eastAsia"/>
              <w:szCs w:val="21"/>
            </w:rPr>
            <w:t>其他说明：</w:t>
          </w:r>
          <w:bookmarkEnd w:id="170"/>
        </w:p>
        <w:p w14:paraId="29D2FE96" w14:textId="42627D83" w:rsidR="00471D53" w:rsidRDefault="00B664AF">
          <w:pPr>
            <w:rPr>
              <w:szCs w:val="21"/>
            </w:rPr>
          </w:pPr>
          <w:sdt>
            <w:sdtPr>
              <w:rPr>
                <w:szCs w:val="21"/>
              </w:rPr>
              <w:alias w:val="固定资产分类列示其他说明"/>
              <w:tag w:val="_GBC_9028bab58a12485bb8ef4d316280f591"/>
              <w:id w:val="-893959699"/>
              <w:lock w:val="sdtLocked"/>
              <w:placeholder>
                <w:docPart w:val="GBC22222222222222222222222222222"/>
              </w:placeholder>
            </w:sdtPr>
            <w:sdtEndPr/>
            <w:sdtContent>
              <w:r w:rsidR="004F686E">
                <w:rPr>
                  <w:rFonts w:hint="eastAsia"/>
                  <w:szCs w:val="21"/>
                </w:rPr>
                <w:t>无</w:t>
              </w:r>
            </w:sdtContent>
          </w:sdt>
        </w:p>
        <w:bookmarkEnd w:id="171" w:displacedByCustomXml="next"/>
      </w:sdtContent>
    </w:sdt>
    <w:p w14:paraId="5BDF5B37" w14:textId="77777777" w:rsidR="00471D53" w:rsidRDefault="00B664AF"/>
    <w:p w14:paraId="22BB3A01" w14:textId="77777777" w:rsidR="00471D53" w:rsidRDefault="004F686E">
      <w:pPr>
        <w:pStyle w:val="afffff8"/>
        <w:tabs>
          <w:tab w:val="left" w:pos="588"/>
        </w:tabs>
        <w:rPr>
          <w:rFonts w:ascii="宋体" w:hAnsi="宋体"/>
        </w:rPr>
      </w:pPr>
      <w:r>
        <w:rPr>
          <w:rFonts w:ascii="宋体" w:hAnsi="宋体" w:hint="eastAsia"/>
        </w:rPr>
        <w:t>固定资产</w:t>
      </w:r>
    </w:p>
    <w:sdt>
      <w:sdtPr>
        <w:rPr>
          <w:rFonts w:ascii="宋体" w:hAnsi="宋体" w:cs="宋体" w:hint="eastAsia"/>
          <w:b w:val="0"/>
          <w:bCs w:val="0"/>
          <w:kern w:val="0"/>
          <w:szCs w:val="21"/>
        </w:rPr>
        <w:alias w:val="模块:固定资产情况"/>
        <w:tag w:val="_GBC_6b764c2f9af049ba98fb55c66fe083a9"/>
        <w:id w:val="835034534"/>
        <w:lock w:val="sdtLocked"/>
        <w:placeholder>
          <w:docPart w:val="GBC22222222222222222222222222222"/>
        </w:placeholder>
      </w:sdtPr>
      <w:sdtEndPr>
        <w:rPr>
          <w:rFonts w:cstheme="minorBidi"/>
          <w:kern w:val="2"/>
        </w:rPr>
      </w:sdtEndPr>
      <w:sdtContent>
        <w:p w14:paraId="03ACF6DC" w14:textId="77777777" w:rsidR="00471D53" w:rsidRDefault="004F686E" w:rsidP="004F686E">
          <w:pPr>
            <w:pStyle w:val="afffff8"/>
            <w:numPr>
              <w:ilvl w:val="0"/>
              <w:numId w:val="71"/>
            </w:numPr>
            <w:tabs>
              <w:tab w:val="left" w:pos="588"/>
            </w:tabs>
            <w:rPr>
              <w:rFonts w:ascii="宋体" w:hAnsi="宋体"/>
              <w:szCs w:val="21"/>
            </w:rPr>
          </w:pPr>
          <w:r>
            <w:rPr>
              <w:rFonts w:ascii="宋体" w:hAnsi="宋体" w:hint="eastAsia"/>
              <w:szCs w:val="21"/>
            </w:rPr>
            <w:t>固定资产情况</w:t>
          </w:r>
        </w:p>
        <w:sdt>
          <w:sdtPr>
            <w:alias w:val="是否适用：固定资产情况[双击切换]"/>
            <w:tag w:val="_GBC_dea1f620aab74d63b1372d831b5b450f"/>
            <w:id w:val="-23329372"/>
            <w:lock w:val="sdtLocked"/>
            <w:placeholder>
              <w:docPart w:val="GBC22222222222222222222222222222"/>
            </w:placeholder>
          </w:sdtPr>
          <w:sdtEndPr/>
          <w:sdtContent>
            <w:p w14:paraId="1D86F5C5"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0200579" w14:textId="5E5D45A5" w:rsidR="00471D53" w:rsidRDefault="004F686E">
          <w:pPr>
            <w:autoSpaceDE w:val="0"/>
            <w:autoSpaceDN w:val="0"/>
            <w:adjustRightInd w:val="0"/>
            <w:jc w:val="right"/>
            <w:rPr>
              <w:szCs w:val="21"/>
            </w:rPr>
          </w:pPr>
          <w:r>
            <w:rPr>
              <w:rFonts w:hint="eastAsia"/>
              <w:szCs w:val="21"/>
            </w:rPr>
            <w:t>单位：</w:t>
          </w:r>
          <w:sdt>
            <w:sdtPr>
              <w:rPr>
                <w:rFonts w:hint="eastAsia"/>
                <w:szCs w:val="21"/>
              </w:rPr>
              <w:alias w:val="单位：财务附注：固定资产情况"/>
              <w:tag w:val="_GBC_563afa3e91c048118558af0713b1a1af"/>
              <w:id w:val="-16666951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固定资产情况"/>
              <w:tag w:val="_GBC_c5ecae448dd948eca54add973afbe77b"/>
              <w:id w:val="3722024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978" w:type="pct"/>
            <w:tblInd w:w="-1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215"/>
            <w:gridCol w:w="1667"/>
            <w:gridCol w:w="1530"/>
            <w:gridCol w:w="1476"/>
            <w:gridCol w:w="1432"/>
            <w:gridCol w:w="1489"/>
            <w:gridCol w:w="1740"/>
          </w:tblGrid>
          <w:tr w:rsidR="00471D53" w14:paraId="3DEBF004" w14:textId="77777777" w:rsidTr="00471D53">
            <w:sdt>
              <w:sdtPr>
                <w:rPr>
                  <w:szCs w:val="21"/>
                </w:rPr>
                <w:tag w:val="_PLD_1741958de41447b7ac4cbd15ce893c6c"/>
                <w:id w:val="1104842334"/>
                <w:lock w:val="sdtLocked"/>
              </w:sdtPr>
              <w:sdtEndPr/>
              <w:sdtContent>
                <w:tc>
                  <w:tcPr>
                    <w:tcW w:w="533" w:type="pct"/>
                    <w:shd w:val="clear" w:color="auto" w:fill="auto"/>
                    <w:vAlign w:val="center"/>
                  </w:tcPr>
                  <w:p w14:paraId="1F488EB2" w14:textId="77777777" w:rsidR="00471D53" w:rsidRPr="00FE651E" w:rsidRDefault="004F686E" w:rsidP="00471D53">
                    <w:pPr>
                      <w:jc w:val="center"/>
                      <w:rPr>
                        <w:szCs w:val="21"/>
                      </w:rPr>
                    </w:pPr>
                    <w:r w:rsidRPr="00FE651E">
                      <w:rPr>
                        <w:rFonts w:hint="eastAsia"/>
                        <w:szCs w:val="21"/>
                      </w:rPr>
                      <w:t>项目</w:t>
                    </w:r>
                  </w:p>
                </w:tc>
              </w:sdtContent>
            </w:sdt>
            <w:sdt>
              <w:sdtPr>
                <w:rPr>
                  <w:rFonts w:hint="eastAsia"/>
                  <w:szCs w:val="21"/>
                </w:rPr>
                <w:alias w:val="固定资产情况明细-项目名称"/>
                <w:tag w:val="_GBC_936a8499167f477aab1a2942b2fdbdaf"/>
                <w:id w:val="111106114"/>
                <w:lock w:val="sdtLocked"/>
                <w:text/>
              </w:sdtPr>
              <w:sdtEndPr/>
              <w:sdtContent>
                <w:tc>
                  <w:tcPr>
                    <w:tcW w:w="800" w:type="pct"/>
                    <w:shd w:val="clear" w:color="auto" w:fill="auto"/>
                    <w:vAlign w:val="center"/>
                  </w:tcPr>
                  <w:p w14:paraId="01DD4861" w14:textId="77777777" w:rsidR="00471D53" w:rsidRPr="00FE651E" w:rsidRDefault="004F686E" w:rsidP="00471D53">
                    <w:pPr>
                      <w:jc w:val="center"/>
                      <w:rPr>
                        <w:szCs w:val="21"/>
                      </w:rPr>
                    </w:pPr>
                    <w:r>
                      <w:rPr>
                        <w:rFonts w:hint="eastAsia"/>
                        <w:szCs w:val="21"/>
                      </w:rPr>
                      <w:t>房屋及建筑物</w:t>
                    </w:r>
                  </w:p>
                </w:tc>
              </w:sdtContent>
            </w:sdt>
            <w:sdt>
              <w:sdtPr>
                <w:rPr>
                  <w:rFonts w:hint="eastAsia"/>
                  <w:szCs w:val="21"/>
                </w:rPr>
                <w:alias w:val="固定资产情况明细-项目名称"/>
                <w:tag w:val="_GBC_936a8499167f477aab1a2942b2fdbdaf"/>
                <w:id w:val="1124353782"/>
                <w:lock w:val="sdtLocked"/>
                <w:text/>
              </w:sdtPr>
              <w:sdtEndPr/>
              <w:sdtContent>
                <w:tc>
                  <w:tcPr>
                    <w:tcW w:w="733" w:type="pct"/>
                    <w:shd w:val="clear" w:color="auto" w:fill="auto"/>
                    <w:vAlign w:val="center"/>
                  </w:tcPr>
                  <w:p w14:paraId="2A242FAF" w14:textId="77777777" w:rsidR="00471D53" w:rsidRPr="00FE651E" w:rsidRDefault="004F686E" w:rsidP="00471D53">
                    <w:pPr>
                      <w:jc w:val="center"/>
                      <w:rPr>
                        <w:szCs w:val="21"/>
                      </w:rPr>
                    </w:pPr>
                    <w:r>
                      <w:rPr>
                        <w:rFonts w:hint="eastAsia"/>
                        <w:szCs w:val="21"/>
                      </w:rPr>
                      <w:t>机器设备</w:t>
                    </w:r>
                  </w:p>
                </w:tc>
              </w:sdtContent>
            </w:sdt>
            <w:sdt>
              <w:sdtPr>
                <w:rPr>
                  <w:rFonts w:hint="eastAsia"/>
                  <w:szCs w:val="21"/>
                </w:rPr>
                <w:alias w:val="固定资产情况明细-项目名称"/>
                <w:tag w:val="_GBC_936a8499167f477aab1a2942b2fdbdaf"/>
                <w:id w:val="-1847316564"/>
                <w:lock w:val="sdtLocked"/>
                <w:text/>
              </w:sdtPr>
              <w:sdtEndPr/>
              <w:sdtContent>
                <w:tc>
                  <w:tcPr>
                    <w:tcW w:w="712" w:type="pct"/>
                    <w:shd w:val="clear" w:color="auto" w:fill="auto"/>
                    <w:vAlign w:val="center"/>
                  </w:tcPr>
                  <w:p w14:paraId="173C67E7" w14:textId="77777777" w:rsidR="00471D53" w:rsidRPr="00FE651E" w:rsidRDefault="004F686E" w:rsidP="00471D53">
                    <w:pPr>
                      <w:jc w:val="center"/>
                      <w:rPr>
                        <w:szCs w:val="21"/>
                      </w:rPr>
                    </w:pPr>
                    <w:r>
                      <w:rPr>
                        <w:rFonts w:hint="eastAsia"/>
                        <w:szCs w:val="21"/>
                      </w:rPr>
                      <w:t>运输工具</w:t>
                    </w:r>
                  </w:p>
                </w:tc>
              </w:sdtContent>
            </w:sdt>
            <w:sdt>
              <w:sdtPr>
                <w:rPr>
                  <w:rFonts w:hint="eastAsia"/>
                  <w:szCs w:val="21"/>
                </w:rPr>
                <w:alias w:val="固定资产情况明细-项目名称"/>
                <w:tag w:val="_GBC_936a8499167f477aab1a2942b2fdbdaf"/>
                <w:id w:val="984363190"/>
                <w:lock w:val="sdtLocked"/>
                <w:text/>
              </w:sdtPr>
              <w:sdtEndPr/>
              <w:sdtContent>
                <w:tc>
                  <w:tcPr>
                    <w:tcW w:w="688" w:type="pct"/>
                    <w:shd w:val="clear" w:color="auto" w:fill="auto"/>
                    <w:vAlign w:val="center"/>
                  </w:tcPr>
                  <w:p w14:paraId="4C283B31" w14:textId="77777777" w:rsidR="00471D53" w:rsidRPr="00FE651E" w:rsidRDefault="004F686E" w:rsidP="00471D53">
                    <w:pPr>
                      <w:jc w:val="center"/>
                      <w:rPr>
                        <w:szCs w:val="21"/>
                      </w:rPr>
                    </w:pPr>
                    <w:r>
                      <w:rPr>
                        <w:rFonts w:hint="eastAsia"/>
                        <w:szCs w:val="21"/>
                      </w:rPr>
                      <w:t>办公设备</w:t>
                    </w:r>
                  </w:p>
                </w:tc>
              </w:sdtContent>
            </w:sdt>
            <w:sdt>
              <w:sdtPr>
                <w:rPr>
                  <w:rFonts w:hint="eastAsia"/>
                  <w:szCs w:val="21"/>
                </w:rPr>
                <w:alias w:val="固定资产情况明细-项目名称"/>
                <w:tag w:val="_GBC_936a8499167f477aab1a2942b2fdbdaf"/>
                <w:id w:val="287251539"/>
                <w:lock w:val="sdtLocked"/>
                <w:text/>
              </w:sdtPr>
              <w:sdtEndPr/>
              <w:sdtContent>
                <w:tc>
                  <w:tcPr>
                    <w:tcW w:w="715" w:type="pct"/>
                    <w:shd w:val="clear" w:color="auto" w:fill="auto"/>
                    <w:vAlign w:val="center"/>
                  </w:tcPr>
                  <w:p w14:paraId="40559EAE" w14:textId="77777777" w:rsidR="00471D53" w:rsidRPr="00FE651E" w:rsidRDefault="004F686E" w:rsidP="00471D53">
                    <w:pPr>
                      <w:jc w:val="center"/>
                      <w:rPr>
                        <w:szCs w:val="21"/>
                      </w:rPr>
                    </w:pPr>
                    <w:r>
                      <w:rPr>
                        <w:rFonts w:hint="eastAsia"/>
                        <w:szCs w:val="21"/>
                      </w:rPr>
                      <w:t>电气设备</w:t>
                    </w:r>
                  </w:p>
                </w:tc>
              </w:sdtContent>
            </w:sdt>
            <w:sdt>
              <w:sdtPr>
                <w:rPr>
                  <w:szCs w:val="21"/>
                </w:rPr>
                <w:tag w:val="_PLD_0b635f975b4949dbb798f88c3dcf1d8d"/>
                <w:id w:val="-542360960"/>
                <w:lock w:val="sdtLocked"/>
              </w:sdtPr>
              <w:sdtEndPr/>
              <w:sdtContent>
                <w:tc>
                  <w:tcPr>
                    <w:tcW w:w="818" w:type="pct"/>
                    <w:shd w:val="clear" w:color="auto" w:fill="auto"/>
                    <w:vAlign w:val="center"/>
                  </w:tcPr>
                  <w:p w14:paraId="3E016914" w14:textId="77777777" w:rsidR="00471D53" w:rsidRPr="00FE651E" w:rsidRDefault="004F686E" w:rsidP="00471D53">
                    <w:pPr>
                      <w:jc w:val="center"/>
                      <w:rPr>
                        <w:szCs w:val="21"/>
                      </w:rPr>
                    </w:pPr>
                    <w:r w:rsidRPr="00FE651E">
                      <w:rPr>
                        <w:rFonts w:hint="eastAsia"/>
                        <w:szCs w:val="21"/>
                      </w:rPr>
                      <w:t>合计</w:t>
                    </w:r>
                  </w:p>
                </w:tc>
              </w:sdtContent>
            </w:sdt>
          </w:tr>
          <w:tr w:rsidR="00471D53" w14:paraId="2114BFCD" w14:textId="77777777" w:rsidTr="00471D53">
            <w:sdt>
              <w:sdtPr>
                <w:rPr>
                  <w:szCs w:val="21"/>
                </w:rPr>
                <w:tag w:val="_PLD_e1d4e79d72fd45cc925f8729ecef795c"/>
                <w:id w:val="-1802383776"/>
                <w:lock w:val="sdtLocked"/>
              </w:sdtPr>
              <w:sdtEndPr/>
              <w:sdtContent>
                <w:tc>
                  <w:tcPr>
                    <w:tcW w:w="533" w:type="pct"/>
                    <w:shd w:val="clear" w:color="auto" w:fill="auto"/>
                  </w:tcPr>
                  <w:p w14:paraId="1F63A0BF" w14:textId="77777777" w:rsidR="00471D53" w:rsidRPr="00FE651E" w:rsidRDefault="004F686E" w:rsidP="00471D53">
                    <w:pPr>
                      <w:rPr>
                        <w:szCs w:val="21"/>
                      </w:rPr>
                    </w:pPr>
                    <w:r w:rsidRPr="00FE651E">
                      <w:rPr>
                        <w:rFonts w:hint="eastAsia"/>
                        <w:szCs w:val="21"/>
                      </w:rPr>
                      <w:t>一、账面原值：</w:t>
                    </w:r>
                  </w:p>
                </w:tc>
              </w:sdtContent>
            </w:sdt>
            <w:tc>
              <w:tcPr>
                <w:tcW w:w="800" w:type="pct"/>
                <w:shd w:val="clear" w:color="auto" w:fill="auto"/>
                <w:vAlign w:val="center"/>
              </w:tcPr>
              <w:p w14:paraId="75605D2B" w14:textId="77777777" w:rsidR="00471D53" w:rsidRPr="00FE651E" w:rsidRDefault="00B664AF" w:rsidP="00471D53">
                <w:pPr>
                  <w:jc w:val="center"/>
                  <w:rPr>
                    <w:szCs w:val="21"/>
                  </w:rPr>
                </w:pPr>
              </w:p>
            </w:tc>
            <w:tc>
              <w:tcPr>
                <w:tcW w:w="733" w:type="pct"/>
                <w:shd w:val="clear" w:color="auto" w:fill="auto"/>
                <w:vAlign w:val="center"/>
              </w:tcPr>
              <w:p w14:paraId="0CE33163" w14:textId="77777777" w:rsidR="00471D53" w:rsidRPr="00FE651E" w:rsidRDefault="00B664AF" w:rsidP="00471D53">
                <w:pPr>
                  <w:jc w:val="center"/>
                  <w:rPr>
                    <w:szCs w:val="21"/>
                  </w:rPr>
                </w:pPr>
              </w:p>
            </w:tc>
            <w:tc>
              <w:tcPr>
                <w:tcW w:w="712" w:type="pct"/>
                <w:shd w:val="clear" w:color="auto" w:fill="auto"/>
                <w:vAlign w:val="center"/>
              </w:tcPr>
              <w:p w14:paraId="02EA52B3" w14:textId="77777777" w:rsidR="00471D53" w:rsidRPr="00FE651E" w:rsidRDefault="00B664AF" w:rsidP="00471D53">
                <w:pPr>
                  <w:jc w:val="center"/>
                  <w:rPr>
                    <w:szCs w:val="21"/>
                  </w:rPr>
                </w:pPr>
              </w:p>
            </w:tc>
            <w:tc>
              <w:tcPr>
                <w:tcW w:w="688" w:type="pct"/>
                <w:shd w:val="clear" w:color="auto" w:fill="auto"/>
                <w:vAlign w:val="center"/>
              </w:tcPr>
              <w:p w14:paraId="72734530" w14:textId="77777777" w:rsidR="00471D53" w:rsidRPr="00FE651E" w:rsidRDefault="00B664AF" w:rsidP="00471D53">
                <w:pPr>
                  <w:jc w:val="center"/>
                  <w:rPr>
                    <w:szCs w:val="21"/>
                  </w:rPr>
                </w:pPr>
              </w:p>
            </w:tc>
            <w:tc>
              <w:tcPr>
                <w:tcW w:w="715" w:type="pct"/>
                <w:shd w:val="clear" w:color="auto" w:fill="auto"/>
                <w:vAlign w:val="center"/>
              </w:tcPr>
              <w:p w14:paraId="4B322A11" w14:textId="77777777" w:rsidR="00471D53" w:rsidRPr="00FE651E" w:rsidRDefault="00B664AF" w:rsidP="00471D53">
                <w:pPr>
                  <w:jc w:val="center"/>
                  <w:rPr>
                    <w:szCs w:val="21"/>
                  </w:rPr>
                </w:pPr>
              </w:p>
            </w:tc>
            <w:tc>
              <w:tcPr>
                <w:tcW w:w="818" w:type="pct"/>
                <w:shd w:val="clear" w:color="auto" w:fill="auto"/>
                <w:vAlign w:val="center"/>
              </w:tcPr>
              <w:p w14:paraId="5E84A0AC" w14:textId="77777777" w:rsidR="00471D53" w:rsidRPr="00FE651E" w:rsidRDefault="00B664AF" w:rsidP="00471D53">
                <w:pPr>
                  <w:jc w:val="center"/>
                  <w:rPr>
                    <w:szCs w:val="21"/>
                  </w:rPr>
                </w:pPr>
              </w:p>
            </w:tc>
          </w:tr>
          <w:tr w:rsidR="00471D53" w14:paraId="0777CD1F" w14:textId="77777777" w:rsidTr="00471D53">
            <w:sdt>
              <w:sdtPr>
                <w:rPr>
                  <w:szCs w:val="21"/>
                </w:rPr>
                <w:tag w:val="_PLD_76089fd0a4a0479c8c1f36c514cb7ecd"/>
                <w:id w:val="-1812776004"/>
                <w:lock w:val="sdtLocked"/>
              </w:sdtPr>
              <w:sdtEndPr/>
              <w:sdtContent>
                <w:tc>
                  <w:tcPr>
                    <w:tcW w:w="533" w:type="pct"/>
                    <w:shd w:val="clear" w:color="auto" w:fill="auto"/>
                  </w:tcPr>
                  <w:p w14:paraId="340EE2BB" w14:textId="77777777" w:rsidR="00471D53" w:rsidRPr="00FE651E" w:rsidRDefault="004F686E" w:rsidP="00471D53">
                    <w:pPr>
                      <w:ind w:firstLineChars="200" w:firstLine="420"/>
                      <w:rPr>
                        <w:szCs w:val="21"/>
                      </w:rPr>
                    </w:pPr>
                    <w:r w:rsidRPr="00FE651E">
                      <w:rPr>
                        <w:szCs w:val="21"/>
                      </w:rPr>
                      <w:t>1.</w:t>
                    </w:r>
                    <w:r w:rsidRPr="00FE651E">
                      <w:rPr>
                        <w:rFonts w:hint="eastAsia"/>
                        <w:szCs w:val="21"/>
                      </w:rPr>
                      <w:t>期初余额</w:t>
                    </w:r>
                  </w:p>
                </w:tc>
              </w:sdtContent>
            </w:sdt>
            <w:tc>
              <w:tcPr>
                <w:tcW w:w="800" w:type="pct"/>
                <w:shd w:val="clear" w:color="auto" w:fill="auto"/>
                <w:vAlign w:val="center"/>
              </w:tcPr>
              <w:p w14:paraId="4920D3E0" w14:textId="77777777" w:rsidR="00471D53" w:rsidRPr="00FE651E" w:rsidRDefault="004F686E" w:rsidP="00471D53">
                <w:pPr>
                  <w:autoSpaceDE w:val="0"/>
                  <w:autoSpaceDN w:val="0"/>
                  <w:jc w:val="center"/>
                  <w:rPr>
                    <w:szCs w:val="21"/>
                  </w:rPr>
                </w:pPr>
                <w:r w:rsidRPr="00FE651E">
                  <w:rPr>
                    <w:rFonts w:hint="eastAsia"/>
                    <w:szCs w:val="21"/>
                  </w:rPr>
                  <w:t>478,755,695.61</w:t>
                </w:r>
              </w:p>
            </w:tc>
            <w:tc>
              <w:tcPr>
                <w:tcW w:w="733" w:type="pct"/>
                <w:shd w:val="clear" w:color="auto" w:fill="auto"/>
                <w:vAlign w:val="center"/>
              </w:tcPr>
              <w:p w14:paraId="0B6D2181" w14:textId="77777777" w:rsidR="00471D53" w:rsidRPr="00FE651E" w:rsidRDefault="004F686E" w:rsidP="00471D53">
                <w:pPr>
                  <w:autoSpaceDE w:val="0"/>
                  <w:autoSpaceDN w:val="0"/>
                  <w:jc w:val="center"/>
                  <w:rPr>
                    <w:szCs w:val="21"/>
                  </w:rPr>
                </w:pPr>
                <w:r w:rsidRPr="00FE651E">
                  <w:rPr>
                    <w:rFonts w:hint="eastAsia"/>
                    <w:szCs w:val="21"/>
                  </w:rPr>
                  <w:t>619,645,193.67</w:t>
                </w:r>
              </w:p>
            </w:tc>
            <w:tc>
              <w:tcPr>
                <w:tcW w:w="712" w:type="pct"/>
                <w:shd w:val="clear" w:color="auto" w:fill="auto"/>
                <w:vAlign w:val="center"/>
              </w:tcPr>
              <w:p w14:paraId="74AB1645" w14:textId="77777777" w:rsidR="00471D53" w:rsidRPr="00FE651E" w:rsidRDefault="004F686E" w:rsidP="00471D53">
                <w:pPr>
                  <w:autoSpaceDE w:val="0"/>
                  <w:autoSpaceDN w:val="0"/>
                  <w:jc w:val="center"/>
                  <w:rPr>
                    <w:szCs w:val="21"/>
                  </w:rPr>
                </w:pPr>
                <w:r w:rsidRPr="00FE651E">
                  <w:rPr>
                    <w:rFonts w:hint="eastAsia"/>
                    <w:szCs w:val="21"/>
                  </w:rPr>
                  <w:t>18,636,655.95</w:t>
                </w:r>
              </w:p>
            </w:tc>
            <w:tc>
              <w:tcPr>
                <w:tcW w:w="688" w:type="pct"/>
                <w:shd w:val="clear" w:color="auto" w:fill="auto"/>
                <w:vAlign w:val="center"/>
              </w:tcPr>
              <w:p w14:paraId="62824F0C" w14:textId="77777777" w:rsidR="00471D53" w:rsidRPr="00FE651E" w:rsidRDefault="004F686E" w:rsidP="00471D53">
                <w:pPr>
                  <w:autoSpaceDE w:val="0"/>
                  <w:autoSpaceDN w:val="0"/>
                  <w:jc w:val="center"/>
                  <w:rPr>
                    <w:szCs w:val="21"/>
                  </w:rPr>
                </w:pPr>
                <w:r w:rsidRPr="00FE651E">
                  <w:rPr>
                    <w:rFonts w:hint="eastAsia"/>
                    <w:szCs w:val="21"/>
                  </w:rPr>
                  <w:t>8,580,015.56</w:t>
                </w:r>
              </w:p>
            </w:tc>
            <w:tc>
              <w:tcPr>
                <w:tcW w:w="715" w:type="pct"/>
                <w:shd w:val="clear" w:color="auto" w:fill="auto"/>
                <w:vAlign w:val="center"/>
              </w:tcPr>
              <w:p w14:paraId="3C1F7479" w14:textId="77777777" w:rsidR="00471D53" w:rsidRPr="00FE651E" w:rsidRDefault="004F686E" w:rsidP="00471D53">
                <w:pPr>
                  <w:autoSpaceDE w:val="0"/>
                  <w:autoSpaceDN w:val="0"/>
                  <w:jc w:val="center"/>
                  <w:rPr>
                    <w:szCs w:val="21"/>
                  </w:rPr>
                </w:pPr>
                <w:r w:rsidRPr="00FE651E">
                  <w:rPr>
                    <w:rFonts w:hint="eastAsia"/>
                    <w:szCs w:val="21"/>
                  </w:rPr>
                  <w:t>4,828,762.78</w:t>
                </w:r>
              </w:p>
            </w:tc>
            <w:tc>
              <w:tcPr>
                <w:tcW w:w="818" w:type="pct"/>
                <w:shd w:val="clear" w:color="auto" w:fill="auto"/>
                <w:vAlign w:val="center"/>
              </w:tcPr>
              <w:p w14:paraId="1DC41C21" w14:textId="77777777" w:rsidR="00471D53" w:rsidRPr="00FE651E" w:rsidRDefault="004F686E" w:rsidP="00471D53">
                <w:pPr>
                  <w:autoSpaceDE w:val="0"/>
                  <w:autoSpaceDN w:val="0"/>
                  <w:jc w:val="center"/>
                  <w:rPr>
                    <w:szCs w:val="21"/>
                  </w:rPr>
                </w:pPr>
                <w:r w:rsidRPr="00FE651E">
                  <w:rPr>
                    <w:rFonts w:hint="eastAsia"/>
                    <w:szCs w:val="21"/>
                  </w:rPr>
                  <w:t>1,130,446,323.57</w:t>
                </w:r>
              </w:p>
            </w:tc>
          </w:tr>
          <w:tr w:rsidR="00471D53" w14:paraId="332A7680" w14:textId="77777777" w:rsidTr="00471D53">
            <w:sdt>
              <w:sdtPr>
                <w:rPr>
                  <w:szCs w:val="21"/>
                </w:rPr>
                <w:tag w:val="_PLD_ee436c0e086043f0a5f400c99fbf0df9"/>
                <w:id w:val="-251211500"/>
                <w:lock w:val="sdtLocked"/>
              </w:sdtPr>
              <w:sdtEndPr/>
              <w:sdtContent>
                <w:tc>
                  <w:tcPr>
                    <w:tcW w:w="533" w:type="pct"/>
                    <w:shd w:val="clear" w:color="auto" w:fill="auto"/>
                  </w:tcPr>
                  <w:p w14:paraId="1A04DB68" w14:textId="77777777" w:rsidR="00471D53" w:rsidRPr="00FE651E" w:rsidRDefault="004F686E" w:rsidP="00471D53">
                    <w:pPr>
                      <w:ind w:firstLineChars="200" w:firstLine="420"/>
                      <w:rPr>
                        <w:szCs w:val="21"/>
                      </w:rPr>
                    </w:pPr>
                    <w:r w:rsidRPr="00FE651E">
                      <w:rPr>
                        <w:szCs w:val="21"/>
                      </w:rPr>
                      <w:t>2.</w:t>
                    </w:r>
                    <w:r w:rsidRPr="00FE651E">
                      <w:rPr>
                        <w:rFonts w:hint="eastAsia"/>
                        <w:szCs w:val="21"/>
                      </w:rPr>
                      <w:t>本期增加金额</w:t>
                    </w:r>
                  </w:p>
                </w:tc>
              </w:sdtContent>
            </w:sdt>
            <w:tc>
              <w:tcPr>
                <w:tcW w:w="800" w:type="pct"/>
                <w:shd w:val="clear" w:color="auto" w:fill="auto"/>
                <w:vAlign w:val="center"/>
              </w:tcPr>
              <w:p w14:paraId="005C6674" w14:textId="77777777" w:rsidR="00471D53" w:rsidRPr="00FE651E" w:rsidRDefault="004F686E" w:rsidP="00471D53">
                <w:pPr>
                  <w:autoSpaceDE w:val="0"/>
                  <w:autoSpaceDN w:val="0"/>
                  <w:jc w:val="center"/>
                  <w:rPr>
                    <w:szCs w:val="21"/>
                  </w:rPr>
                </w:pPr>
                <w:r w:rsidRPr="00FE651E">
                  <w:rPr>
                    <w:rFonts w:hint="eastAsia"/>
                    <w:szCs w:val="21"/>
                  </w:rPr>
                  <w:t>3,027,911.19</w:t>
                </w:r>
              </w:p>
            </w:tc>
            <w:tc>
              <w:tcPr>
                <w:tcW w:w="733" w:type="pct"/>
                <w:shd w:val="clear" w:color="auto" w:fill="auto"/>
                <w:vAlign w:val="center"/>
              </w:tcPr>
              <w:p w14:paraId="73D31B99" w14:textId="77777777" w:rsidR="00471D53" w:rsidRPr="00FE651E" w:rsidRDefault="004F686E" w:rsidP="00471D53">
                <w:pPr>
                  <w:autoSpaceDE w:val="0"/>
                  <w:autoSpaceDN w:val="0"/>
                  <w:jc w:val="center"/>
                  <w:rPr>
                    <w:szCs w:val="21"/>
                  </w:rPr>
                </w:pPr>
                <w:r w:rsidRPr="00FE651E">
                  <w:rPr>
                    <w:rFonts w:hint="eastAsia"/>
                    <w:szCs w:val="21"/>
                  </w:rPr>
                  <w:t>5,776,094.30</w:t>
                </w:r>
              </w:p>
            </w:tc>
            <w:tc>
              <w:tcPr>
                <w:tcW w:w="712" w:type="pct"/>
                <w:shd w:val="clear" w:color="auto" w:fill="auto"/>
                <w:vAlign w:val="center"/>
              </w:tcPr>
              <w:p w14:paraId="04D6A3EA" w14:textId="77777777" w:rsidR="00471D53" w:rsidRPr="00FE651E" w:rsidRDefault="004F686E" w:rsidP="00471D53">
                <w:pPr>
                  <w:autoSpaceDE w:val="0"/>
                  <w:autoSpaceDN w:val="0"/>
                  <w:jc w:val="center"/>
                  <w:rPr>
                    <w:szCs w:val="21"/>
                  </w:rPr>
                </w:pPr>
                <w:r w:rsidRPr="00FE651E">
                  <w:rPr>
                    <w:rFonts w:hint="eastAsia"/>
                    <w:szCs w:val="21"/>
                  </w:rPr>
                  <w:t>561,038.80</w:t>
                </w:r>
              </w:p>
            </w:tc>
            <w:tc>
              <w:tcPr>
                <w:tcW w:w="688" w:type="pct"/>
                <w:shd w:val="clear" w:color="auto" w:fill="auto"/>
                <w:vAlign w:val="center"/>
              </w:tcPr>
              <w:p w14:paraId="395AF617" w14:textId="77777777" w:rsidR="00471D53" w:rsidRPr="00FE651E" w:rsidRDefault="004F686E" w:rsidP="00471D53">
                <w:pPr>
                  <w:autoSpaceDE w:val="0"/>
                  <w:autoSpaceDN w:val="0"/>
                  <w:jc w:val="center"/>
                  <w:rPr>
                    <w:szCs w:val="21"/>
                  </w:rPr>
                </w:pPr>
                <w:r w:rsidRPr="00FE651E">
                  <w:rPr>
                    <w:rFonts w:hint="eastAsia"/>
                    <w:szCs w:val="21"/>
                  </w:rPr>
                  <w:t>299,554.02</w:t>
                </w:r>
              </w:p>
            </w:tc>
            <w:tc>
              <w:tcPr>
                <w:tcW w:w="715" w:type="pct"/>
                <w:shd w:val="clear" w:color="auto" w:fill="auto"/>
                <w:vAlign w:val="center"/>
              </w:tcPr>
              <w:p w14:paraId="719F9F07" w14:textId="77777777" w:rsidR="00471D53" w:rsidRPr="00FE651E" w:rsidRDefault="004F686E" w:rsidP="00471D53">
                <w:pPr>
                  <w:autoSpaceDE w:val="0"/>
                  <w:autoSpaceDN w:val="0"/>
                  <w:jc w:val="center"/>
                  <w:rPr>
                    <w:szCs w:val="21"/>
                  </w:rPr>
                </w:pPr>
                <w:r w:rsidRPr="00FE651E">
                  <w:rPr>
                    <w:rFonts w:hint="eastAsia"/>
                    <w:szCs w:val="21"/>
                  </w:rPr>
                  <w:t>503,196.46</w:t>
                </w:r>
              </w:p>
            </w:tc>
            <w:tc>
              <w:tcPr>
                <w:tcW w:w="818" w:type="pct"/>
                <w:shd w:val="clear" w:color="auto" w:fill="auto"/>
                <w:vAlign w:val="center"/>
              </w:tcPr>
              <w:p w14:paraId="13A4C51C" w14:textId="77777777" w:rsidR="00471D53" w:rsidRPr="00FE651E" w:rsidRDefault="004F686E" w:rsidP="00471D53">
                <w:pPr>
                  <w:autoSpaceDE w:val="0"/>
                  <w:autoSpaceDN w:val="0"/>
                  <w:jc w:val="center"/>
                  <w:rPr>
                    <w:szCs w:val="21"/>
                  </w:rPr>
                </w:pPr>
                <w:r w:rsidRPr="00FE651E">
                  <w:rPr>
                    <w:rFonts w:hint="eastAsia"/>
                    <w:szCs w:val="21"/>
                  </w:rPr>
                  <w:t>10,167,794.77</w:t>
                </w:r>
              </w:p>
            </w:tc>
          </w:tr>
          <w:tr w:rsidR="00471D53" w14:paraId="40E68D4C" w14:textId="77777777" w:rsidTr="00471D53">
            <w:sdt>
              <w:sdtPr>
                <w:rPr>
                  <w:szCs w:val="21"/>
                </w:rPr>
                <w:tag w:val="_PLD_52f208e0e9cd4154b48b25225e9d4e33"/>
                <w:id w:val="1720240821"/>
                <w:lock w:val="sdtLocked"/>
              </w:sdtPr>
              <w:sdtEndPr/>
              <w:sdtContent>
                <w:tc>
                  <w:tcPr>
                    <w:tcW w:w="533" w:type="pct"/>
                    <w:shd w:val="clear" w:color="auto" w:fill="auto"/>
                  </w:tcPr>
                  <w:p w14:paraId="7F10D03B" w14:textId="77777777" w:rsidR="00471D53" w:rsidRPr="00FE651E" w:rsidRDefault="004F686E" w:rsidP="00471D53">
                    <w:pPr>
                      <w:ind w:firstLineChars="300" w:firstLine="630"/>
                      <w:rPr>
                        <w:szCs w:val="21"/>
                      </w:rPr>
                    </w:pPr>
                    <w:r w:rsidRPr="00FE651E">
                      <w:rPr>
                        <w:rFonts w:hint="eastAsia"/>
                        <w:szCs w:val="21"/>
                      </w:rPr>
                      <w:t>（1）购置</w:t>
                    </w:r>
                  </w:p>
                </w:tc>
              </w:sdtContent>
            </w:sdt>
            <w:tc>
              <w:tcPr>
                <w:tcW w:w="800" w:type="pct"/>
                <w:shd w:val="clear" w:color="auto" w:fill="auto"/>
                <w:vAlign w:val="center"/>
              </w:tcPr>
              <w:p w14:paraId="263D275B" w14:textId="77777777" w:rsidR="00471D53" w:rsidRPr="00FE651E" w:rsidRDefault="004F686E" w:rsidP="00471D53">
                <w:pPr>
                  <w:autoSpaceDE w:val="0"/>
                  <w:autoSpaceDN w:val="0"/>
                  <w:jc w:val="center"/>
                  <w:rPr>
                    <w:szCs w:val="21"/>
                  </w:rPr>
                </w:pPr>
                <w:r w:rsidRPr="00FE651E">
                  <w:rPr>
                    <w:rFonts w:hint="eastAsia"/>
                    <w:szCs w:val="21"/>
                  </w:rPr>
                  <w:t>0.00</w:t>
                </w:r>
              </w:p>
            </w:tc>
            <w:tc>
              <w:tcPr>
                <w:tcW w:w="733" w:type="pct"/>
                <w:shd w:val="clear" w:color="auto" w:fill="auto"/>
                <w:vAlign w:val="center"/>
              </w:tcPr>
              <w:p w14:paraId="131B98C4" w14:textId="77777777" w:rsidR="00471D53" w:rsidRPr="00FE651E" w:rsidRDefault="004F686E" w:rsidP="00471D53">
                <w:pPr>
                  <w:autoSpaceDE w:val="0"/>
                  <w:autoSpaceDN w:val="0"/>
                  <w:jc w:val="center"/>
                  <w:rPr>
                    <w:szCs w:val="21"/>
                  </w:rPr>
                </w:pPr>
                <w:r w:rsidRPr="00FE651E">
                  <w:rPr>
                    <w:rFonts w:hint="eastAsia"/>
                    <w:szCs w:val="21"/>
                  </w:rPr>
                  <w:t>548,861.12</w:t>
                </w:r>
              </w:p>
            </w:tc>
            <w:tc>
              <w:tcPr>
                <w:tcW w:w="712" w:type="pct"/>
                <w:shd w:val="clear" w:color="auto" w:fill="auto"/>
                <w:vAlign w:val="center"/>
              </w:tcPr>
              <w:p w14:paraId="24C04E5A" w14:textId="77777777" w:rsidR="00471D53" w:rsidRPr="00FE651E" w:rsidRDefault="004F686E" w:rsidP="00471D53">
                <w:pPr>
                  <w:autoSpaceDE w:val="0"/>
                  <w:autoSpaceDN w:val="0"/>
                  <w:jc w:val="center"/>
                  <w:rPr>
                    <w:szCs w:val="21"/>
                  </w:rPr>
                </w:pPr>
                <w:r w:rsidRPr="00FE651E">
                  <w:rPr>
                    <w:rFonts w:hint="eastAsia"/>
                    <w:szCs w:val="21"/>
                  </w:rPr>
                  <w:t>348,649.40</w:t>
                </w:r>
              </w:p>
            </w:tc>
            <w:tc>
              <w:tcPr>
                <w:tcW w:w="688" w:type="pct"/>
                <w:shd w:val="clear" w:color="auto" w:fill="auto"/>
                <w:vAlign w:val="center"/>
              </w:tcPr>
              <w:p w14:paraId="008AA08D" w14:textId="77777777" w:rsidR="00471D53" w:rsidRPr="00FE651E" w:rsidRDefault="004F686E" w:rsidP="00471D53">
                <w:pPr>
                  <w:autoSpaceDE w:val="0"/>
                  <w:autoSpaceDN w:val="0"/>
                  <w:jc w:val="center"/>
                  <w:rPr>
                    <w:szCs w:val="21"/>
                  </w:rPr>
                </w:pPr>
                <w:r w:rsidRPr="00FE651E">
                  <w:rPr>
                    <w:rFonts w:hint="eastAsia"/>
                    <w:szCs w:val="21"/>
                  </w:rPr>
                  <w:t>43,059.98</w:t>
                </w:r>
              </w:p>
            </w:tc>
            <w:tc>
              <w:tcPr>
                <w:tcW w:w="715" w:type="pct"/>
                <w:shd w:val="clear" w:color="auto" w:fill="auto"/>
                <w:vAlign w:val="center"/>
              </w:tcPr>
              <w:p w14:paraId="613DEA22" w14:textId="77777777" w:rsidR="00471D53" w:rsidRPr="00FE651E" w:rsidRDefault="004F686E" w:rsidP="00471D53">
                <w:pPr>
                  <w:autoSpaceDE w:val="0"/>
                  <w:autoSpaceDN w:val="0"/>
                  <w:jc w:val="center"/>
                  <w:rPr>
                    <w:szCs w:val="21"/>
                  </w:rPr>
                </w:pPr>
                <w:r w:rsidRPr="00FE651E">
                  <w:rPr>
                    <w:rFonts w:hint="eastAsia"/>
                    <w:szCs w:val="21"/>
                  </w:rPr>
                  <w:t>0.00</w:t>
                </w:r>
              </w:p>
            </w:tc>
            <w:tc>
              <w:tcPr>
                <w:tcW w:w="818" w:type="pct"/>
                <w:shd w:val="clear" w:color="auto" w:fill="auto"/>
                <w:vAlign w:val="center"/>
              </w:tcPr>
              <w:p w14:paraId="1F4BFAF0" w14:textId="77777777" w:rsidR="00471D53" w:rsidRPr="00FE651E" w:rsidRDefault="004F686E" w:rsidP="00471D53">
                <w:pPr>
                  <w:autoSpaceDE w:val="0"/>
                  <w:autoSpaceDN w:val="0"/>
                  <w:jc w:val="center"/>
                  <w:rPr>
                    <w:szCs w:val="21"/>
                  </w:rPr>
                </w:pPr>
                <w:r w:rsidRPr="00FE651E">
                  <w:rPr>
                    <w:rFonts w:hint="eastAsia"/>
                    <w:szCs w:val="21"/>
                  </w:rPr>
                  <w:t>940,570.50</w:t>
                </w:r>
              </w:p>
            </w:tc>
          </w:tr>
          <w:tr w:rsidR="00471D53" w14:paraId="4CFBD9CC" w14:textId="77777777" w:rsidTr="00471D53">
            <w:sdt>
              <w:sdtPr>
                <w:rPr>
                  <w:szCs w:val="21"/>
                </w:rPr>
                <w:tag w:val="_PLD_c449c35eb24a41ae87b7fabcc7ac49f2"/>
                <w:id w:val="-609437176"/>
                <w:lock w:val="sdtLocked"/>
              </w:sdtPr>
              <w:sdtEndPr/>
              <w:sdtContent>
                <w:tc>
                  <w:tcPr>
                    <w:tcW w:w="533" w:type="pct"/>
                    <w:shd w:val="clear" w:color="auto" w:fill="auto"/>
                  </w:tcPr>
                  <w:p w14:paraId="67C77AB8" w14:textId="77777777" w:rsidR="00471D53" w:rsidRPr="00FE651E" w:rsidRDefault="004F686E" w:rsidP="00471D53">
                    <w:pPr>
                      <w:ind w:firstLineChars="300" w:firstLine="630"/>
                      <w:rPr>
                        <w:szCs w:val="21"/>
                      </w:rPr>
                    </w:pPr>
                    <w:r w:rsidRPr="00FE651E">
                      <w:rPr>
                        <w:rFonts w:hint="eastAsia"/>
                        <w:szCs w:val="21"/>
                      </w:rPr>
                      <w:t>（2）在建工程转入</w:t>
                    </w:r>
                  </w:p>
                </w:tc>
              </w:sdtContent>
            </w:sdt>
            <w:tc>
              <w:tcPr>
                <w:tcW w:w="800" w:type="pct"/>
                <w:shd w:val="clear" w:color="auto" w:fill="auto"/>
                <w:vAlign w:val="center"/>
              </w:tcPr>
              <w:p w14:paraId="72633F67" w14:textId="77777777" w:rsidR="00471D53" w:rsidRPr="00FE651E" w:rsidRDefault="004F686E" w:rsidP="00471D53">
                <w:pPr>
                  <w:autoSpaceDE w:val="0"/>
                  <w:autoSpaceDN w:val="0"/>
                  <w:jc w:val="center"/>
                  <w:rPr>
                    <w:szCs w:val="21"/>
                  </w:rPr>
                </w:pPr>
                <w:r w:rsidRPr="00FE651E">
                  <w:rPr>
                    <w:rFonts w:hint="eastAsia"/>
                    <w:szCs w:val="21"/>
                  </w:rPr>
                  <w:t>3,027,911.19</w:t>
                </w:r>
              </w:p>
            </w:tc>
            <w:tc>
              <w:tcPr>
                <w:tcW w:w="733" w:type="pct"/>
                <w:shd w:val="clear" w:color="auto" w:fill="auto"/>
                <w:vAlign w:val="center"/>
              </w:tcPr>
              <w:p w14:paraId="64843B9E" w14:textId="77777777" w:rsidR="00471D53" w:rsidRPr="00FE651E" w:rsidRDefault="004F686E" w:rsidP="00471D53">
                <w:pPr>
                  <w:autoSpaceDE w:val="0"/>
                  <w:autoSpaceDN w:val="0"/>
                  <w:jc w:val="center"/>
                  <w:rPr>
                    <w:szCs w:val="21"/>
                  </w:rPr>
                </w:pPr>
                <w:r w:rsidRPr="00FE651E">
                  <w:rPr>
                    <w:rFonts w:hint="eastAsia"/>
                    <w:szCs w:val="21"/>
                  </w:rPr>
                  <w:t>5,227,233.18</w:t>
                </w:r>
              </w:p>
            </w:tc>
            <w:tc>
              <w:tcPr>
                <w:tcW w:w="712" w:type="pct"/>
                <w:shd w:val="clear" w:color="auto" w:fill="auto"/>
                <w:vAlign w:val="center"/>
              </w:tcPr>
              <w:p w14:paraId="3FEFF723" w14:textId="77777777" w:rsidR="00471D53" w:rsidRPr="00FE651E" w:rsidRDefault="004F686E" w:rsidP="00471D53">
                <w:pPr>
                  <w:autoSpaceDE w:val="0"/>
                  <w:autoSpaceDN w:val="0"/>
                  <w:jc w:val="center"/>
                  <w:rPr>
                    <w:szCs w:val="21"/>
                  </w:rPr>
                </w:pPr>
                <w:r w:rsidRPr="00FE651E">
                  <w:rPr>
                    <w:rFonts w:hint="eastAsia"/>
                    <w:szCs w:val="21"/>
                  </w:rPr>
                  <w:t>212,389.40</w:t>
                </w:r>
              </w:p>
            </w:tc>
            <w:tc>
              <w:tcPr>
                <w:tcW w:w="688" w:type="pct"/>
                <w:shd w:val="clear" w:color="auto" w:fill="auto"/>
                <w:vAlign w:val="center"/>
              </w:tcPr>
              <w:p w14:paraId="73E8D247" w14:textId="77777777" w:rsidR="00471D53" w:rsidRPr="00FE651E" w:rsidRDefault="004F686E" w:rsidP="00471D53">
                <w:pPr>
                  <w:autoSpaceDE w:val="0"/>
                  <w:autoSpaceDN w:val="0"/>
                  <w:jc w:val="center"/>
                  <w:rPr>
                    <w:szCs w:val="21"/>
                  </w:rPr>
                </w:pPr>
                <w:r w:rsidRPr="00FE651E">
                  <w:rPr>
                    <w:rFonts w:hint="eastAsia"/>
                    <w:szCs w:val="21"/>
                  </w:rPr>
                  <w:t>256,494.04</w:t>
                </w:r>
              </w:p>
            </w:tc>
            <w:tc>
              <w:tcPr>
                <w:tcW w:w="715" w:type="pct"/>
                <w:shd w:val="clear" w:color="auto" w:fill="auto"/>
                <w:vAlign w:val="center"/>
              </w:tcPr>
              <w:p w14:paraId="45D7E275" w14:textId="77777777" w:rsidR="00471D53" w:rsidRPr="00FE651E" w:rsidRDefault="004F686E" w:rsidP="00471D53">
                <w:pPr>
                  <w:autoSpaceDE w:val="0"/>
                  <w:autoSpaceDN w:val="0"/>
                  <w:jc w:val="center"/>
                  <w:rPr>
                    <w:szCs w:val="21"/>
                  </w:rPr>
                </w:pPr>
                <w:r w:rsidRPr="00FE651E">
                  <w:rPr>
                    <w:rFonts w:hint="eastAsia"/>
                    <w:szCs w:val="21"/>
                  </w:rPr>
                  <w:t>503,196.46</w:t>
                </w:r>
              </w:p>
            </w:tc>
            <w:tc>
              <w:tcPr>
                <w:tcW w:w="818" w:type="pct"/>
                <w:shd w:val="clear" w:color="auto" w:fill="auto"/>
                <w:vAlign w:val="center"/>
              </w:tcPr>
              <w:p w14:paraId="0617754E" w14:textId="77777777" w:rsidR="00471D53" w:rsidRPr="00FE651E" w:rsidRDefault="004F686E" w:rsidP="00471D53">
                <w:pPr>
                  <w:autoSpaceDE w:val="0"/>
                  <w:autoSpaceDN w:val="0"/>
                  <w:jc w:val="center"/>
                  <w:rPr>
                    <w:szCs w:val="21"/>
                  </w:rPr>
                </w:pPr>
                <w:r w:rsidRPr="00FE651E">
                  <w:rPr>
                    <w:rFonts w:hint="eastAsia"/>
                    <w:szCs w:val="21"/>
                  </w:rPr>
                  <w:t>9,227,224.27</w:t>
                </w:r>
              </w:p>
            </w:tc>
          </w:tr>
          <w:tr w:rsidR="00471D53" w14:paraId="2948D218" w14:textId="77777777" w:rsidTr="00471D53">
            <w:sdt>
              <w:sdtPr>
                <w:rPr>
                  <w:szCs w:val="21"/>
                </w:rPr>
                <w:tag w:val="_PLD_1c36f9524fa147baa9fa4bde2c6a8612"/>
                <w:id w:val="550193457"/>
                <w:lock w:val="sdtLocked"/>
              </w:sdtPr>
              <w:sdtEndPr/>
              <w:sdtContent>
                <w:tc>
                  <w:tcPr>
                    <w:tcW w:w="533" w:type="pct"/>
                    <w:shd w:val="clear" w:color="auto" w:fill="auto"/>
                  </w:tcPr>
                  <w:p w14:paraId="74DF443E" w14:textId="77777777" w:rsidR="00471D53" w:rsidRPr="00FE651E" w:rsidRDefault="004F686E" w:rsidP="00471D53">
                    <w:pPr>
                      <w:ind w:firstLineChars="300" w:firstLine="630"/>
                      <w:rPr>
                        <w:szCs w:val="21"/>
                      </w:rPr>
                    </w:pPr>
                    <w:r w:rsidRPr="00FE651E">
                      <w:rPr>
                        <w:rFonts w:hint="eastAsia"/>
                        <w:szCs w:val="21"/>
                      </w:rPr>
                      <w:t>（3）企业合并增加</w:t>
                    </w:r>
                  </w:p>
                </w:tc>
              </w:sdtContent>
            </w:sdt>
            <w:tc>
              <w:tcPr>
                <w:tcW w:w="800" w:type="pct"/>
                <w:shd w:val="clear" w:color="auto" w:fill="auto"/>
                <w:vAlign w:val="center"/>
              </w:tcPr>
              <w:p w14:paraId="06B3E103" w14:textId="77777777" w:rsidR="00471D53" w:rsidRPr="00FE651E" w:rsidRDefault="00B664AF" w:rsidP="00471D53">
                <w:pPr>
                  <w:jc w:val="center"/>
                  <w:rPr>
                    <w:szCs w:val="21"/>
                  </w:rPr>
                </w:pPr>
              </w:p>
            </w:tc>
            <w:tc>
              <w:tcPr>
                <w:tcW w:w="733" w:type="pct"/>
                <w:shd w:val="clear" w:color="auto" w:fill="auto"/>
                <w:vAlign w:val="center"/>
              </w:tcPr>
              <w:p w14:paraId="3DCBF21A" w14:textId="77777777" w:rsidR="00471D53" w:rsidRPr="00FE651E" w:rsidRDefault="00B664AF" w:rsidP="00471D53">
                <w:pPr>
                  <w:jc w:val="center"/>
                  <w:rPr>
                    <w:szCs w:val="21"/>
                  </w:rPr>
                </w:pPr>
              </w:p>
            </w:tc>
            <w:tc>
              <w:tcPr>
                <w:tcW w:w="712" w:type="pct"/>
                <w:shd w:val="clear" w:color="auto" w:fill="auto"/>
                <w:vAlign w:val="center"/>
              </w:tcPr>
              <w:p w14:paraId="5413AA42" w14:textId="77777777" w:rsidR="00471D53" w:rsidRPr="00FE651E" w:rsidRDefault="00B664AF" w:rsidP="00471D53">
                <w:pPr>
                  <w:jc w:val="center"/>
                  <w:rPr>
                    <w:szCs w:val="21"/>
                  </w:rPr>
                </w:pPr>
              </w:p>
            </w:tc>
            <w:tc>
              <w:tcPr>
                <w:tcW w:w="688" w:type="pct"/>
                <w:shd w:val="clear" w:color="auto" w:fill="auto"/>
                <w:vAlign w:val="center"/>
              </w:tcPr>
              <w:p w14:paraId="11778583" w14:textId="77777777" w:rsidR="00471D53" w:rsidRPr="00FE651E" w:rsidRDefault="00B664AF" w:rsidP="00471D53">
                <w:pPr>
                  <w:jc w:val="center"/>
                  <w:rPr>
                    <w:szCs w:val="21"/>
                  </w:rPr>
                </w:pPr>
              </w:p>
            </w:tc>
            <w:tc>
              <w:tcPr>
                <w:tcW w:w="715" w:type="pct"/>
                <w:shd w:val="clear" w:color="auto" w:fill="auto"/>
                <w:vAlign w:val="center"/>
              </w:tcPr>
              <w:p w14:paraId="3149BCC5" w14:textId="77777777" w:rsidR="00471D53" w:rsidRPr="00FE651E" w:rsidRDefault="00B664AF" w:rsidP="00471D53">
                <w:pPr>
                  <w:jc w:val="center"/>
                  <w:rPr>
                    <w:szCs w:val="21"/>
                  </w:rPr>
                </w:pPr>
              </w:p>
            </w:tc>
            <w:tc>
              <w:tcPr>
                <w:tcW w:w="818" w:type="pct"/>
                <w:shd w:val="clear" w:color="auto" w:fill="auto"/>
                <w:vAlign w:val="center"/>
              </w:tcPr>
              <w:p w14:paraId="74DBA4A9" w14:textId="77777777" w:rsidR="00471D53" w:rsidRPr="00FE651E" w:rsidRDefault="00B664AF" w:rsidP="00471D53">
                <w:pPr>
                  <w:jc w:val="center"/>
                  <w:rPr>
                    <w:szCs w:val="21"/>
                  </w:rPr>
                </w:pPr>
              </w:p>
            </w:tc>
          </w:tr>
          <w:tr w:rsidR="00471D53" w14:paraId="1896F353" w14:textId="77777777" w:rsidTr="00471D53">
            <w:sdt>
              <w:sdtPr>
                <w:rPr>
                  <w:szCs w:val="21"/>
                </w:rPr>
                <w:alias w:val="固定资产账面原值增加项目名称"/>
                <w:tag w:val="_GBC_4d32d042060b4c8aa7f965b96f5580a8"/>
                <w:id w:val="537633527"/>
                <w:lock w:val="sdtLocked"/>
                <w:showingPlcHdr/>
              </w:sdtPr>
              <w:sdtEndPr/>
              <w:sdtContent>
                <w:tc>
                  <w:tcPr>
                    <w:tcW w:w="533" w:type="pct"/>
                    <w:shd w:val="clear" w:color="auto" w:fill="auto"/>
                  </w:tcPr>
                  <w:p w14:paraId="69B0AF5E" w14:textId="77777777" w:rsidR="00471D53" w:rsidRPr="00FE651E" w:rsidRDefault="004F686E" w:rsidP="00471D53">
                    <w:pPr>
                      <w:ind w:firstLineChars="300" w:firstLine="630"/>
                      <w:rPr>
                        <w:szCs w:val="21"/>
                      </w:rPr>
                    </w:pPr>
                    <w:r w:rsidRPr="00FE651E">
                      <w:rPr>
                        <w:rFonts w:hint="eastAsia"/>
                        <w:szCs w:val="21"/>
                      </w:rPr>
                      <w:t xml:space="preserve">　</w:t>
                    </w:r>
                  </w:p>
                </w:tc>
              </w:sdtContent>
            </w:sdt>
            <w:sdt>
              <w:sdtPr>
                <w:rPr>
                  <w:szCs w:val="21"/>
                </w:rPr>
                <w:alias w:val="固定资产账面原值增加项目金额"/>
                <w:tag w:val="_GBC_c2ca665b86c0425dba69c4867b84d3f4"/>
                <w:id w:val="801738997"/>
                <w:lock w:val="sdtLocked"/>
                <w:showingPlcHdr/>
              </w:sdtPr>
              <w:sdtEndPr/>
              <w:sdtContent>
                <w:tc>
                  <w:tcPr>
                    <w:tcW w:w="800" w:type="pct"/>
                    <w:shd w:val="clear" w:color="auto" w:fill="auto"/>
                    <w:vAlign w:val="center"/>
                  </w:tcPr>
                  <w:p w14:paraId="53567EB5" w14:textId="77777777" w:rsidR="00471D53" w:rsidRPr="00FE651E" w:rsidRDefault="004F686E" w:rsidP="00471D53">
                    <w:pPr>
                      <w:jc w:val="center"/>
                      <w:rPr>
                        <w:szCs w:val="21"/>
                      </w:rPr>
                    </w:pPr>
                    <w:r w:rsidRPr="00FE651E">
                      <w:rPr>
                        <w:rFonts w:hint="eastAsia"/>
                        <w:szCs w:val="21"/>
                      </w:rPr>
                      <w:t xml:space="preserve">　</w:t>
                    </w:r>
                  </w:p>
                </w:tc>
              </w:sdtContent>
            </w:sdt>
            <w:sdt>
              <w:sdtPr>
                <w:rPr>
                  <w:szCs w:val="21"/>
                </w:rPr>
                <w:alias w:val="固定资产账面原值增加项目金额"/>
                <w:tag w:val="_GBC_c2ca665b86c0425dba69c4867b84d3f4"/>
                <w:id w:val="1775518455"/>
                <w:lock w:val="sdtLocked"/>
                <w:showingPlcHdr/>
              </w:sdtPr>
              <w:sdtEndPr/>
              <w:sdtContent>
                <w:tc>
                  <w:tcPr>
                    <w:tcW w:w="733" w:type="pct"/>
                    <w:shd w:val="clear" w:color="auto" w:fill="auto"/>
                    <w:vAlign w:val="center"/>
                  </w:tcPr>
                  <w:p w14:paraId="63508706" w14:textId="77777777" w:rsidR="00471D53" w:rsidRPr="00FE651E" w:rsidRDefault="004F686E" w:rsidP="00471D53">
                    <w:pPr>
                      <w:jc w:val="center"/>
                      <w:rPr>
                        <w:szCs w:val="21"/>
                      </w:rPr>
                    </w:pPr>
                    <w:r w:rsidRPr="00FE651E">
                      <w:rPr>
                        <w:rFonts w:hint="eastAsia"/>
                        <w:szCs w:val="21"/>
                      </w:rPr>
                      <w:t xml:space="preserve">　</w:t>
                    </w:r>
                  </w:p>
                </w:tc>
              </w:sdtContent>
            </w:sdt>
            <w:sdt>
              <w:sdtPr>
                <w:rPr>
                  <w:szCs w:val="21"/>
                </w:rPr>
                <w:alias w:val="固定资产账面原值增加项目金额"/>
                <w:tag w:val="_GBC_c2ca665b86c0425dba69c4867b84d3f4"/>
                <w:id w:val="1665974302"/>
                <w:lock w:val="sdtLocked"/>
                <w:showingPlcHdr/>
              </w:sdtPr>
              <w:sdtEndPr/>
              <w:sdtContent>
                <w:tc>
                  <w:tcPr>
                    <w:tcW w:w="712" w:type="pct"/>
                    <w:shd w:val="clear" w:color="auto" w:fill="auto"/>
                    <w:vAlign w:val="center"/>
                  </w:tcPr>
                  <w:p w14:paraId="6EA7BAD3" w14:textId="77777777" w:rsidR="00471D53" w:rsidRPr="00FE651E" w:rsidRDefault="004F686E" w:rsidP="00471D53">
                    <w:pPr>
                      <w:jc w:val="center"/>
                      <w:rPr>
                        <w:szCs w:val="21"/>
                      </w:rPr>
                    </w:pPr>
                    <w:r w:rsidRPr="00FE651E">
                      <w:rPr>
                        <w:rFonts w:hint="eastAsia"/>
                        <w:szCs w:val="21"/>
                      </w:rPr>
                      <w:t xml:space="preserve">　</w:t>
                    </w:r>
                  </w:p>
                </w:tc>
              </w:sdtContent>
            </w:sdt>
            <w:sdt>
              <w:sdtPr>
                <w:rPr>
                  <w:szCs w:val="21"/>
                </w:rPr>
                <w:alias w:val="固定资产账面原值增加项目金额"/>
                <w:tag w:val="_GBC_c2ca665b86c0425dba69c4867b84d3f4"/>
                <w:id w:val="-1351480504"/>
                <w:lock w:val="sdtLocked"/>
                <w:showingPlcHdr/>
              </w:sdtPr>
              <w:sdtEndPr/>
              <w:sdtContent>
                <w:tc>
                  <w:tcPr>
                    <w:tcW w:w="688" w:type="pct"/>
                    <w:shd w:val="clear" w:color="auto" w:fill="auto"/>
                    <w:vAlign w:val="center"/>
                  </w:tcPr>
                  <w:p w14:paraId="197C70BA" w14:textId="77777777" w:rsidR="00471D53" w:rsidRPr="00FE651E" w:rsidRDefault="00B664AF" w:rsidP="00471D53">
                    <w:pPr>
                      <w:jc w:val="center"/>
                      <w:rPr>
                        <w:szCs w:val="21"/>
                      </w:rPr>
                    </w:pPr>
                  </w:p>
                </w:tc>
              </w:sdtContent>
            </w:sdt>
            <w:sdt>
              <w:sdtPr>
                <w:rPr>
                  <w:szCs w:val="21"/>
                </w:rPr>
                <w:alias w:val="固定资产账面原值增加项目金额"/>
                <w:tag w:val="_GBC_c2ca665b86c0425dba69c4867b84d3f4"/>
                <w:id w:val="225570481"/>
                <w:lock w:val="sdtLocked"/>
                <w:showingPlcHdr/>
              </w:sdtPr>
              <w:sdtEndPr/>
              <w:sdtContent>
                <w:tc>
                  <w:tcPr>
                    <w:tcW w:w="715" w:type="pct"/>
                    <w:shd w:val="clear" w:color="auto" w:fill="auto"/>
                    <w:vAlign w:val="center"/>
                  </w:tcPr>
                  <w:p w14:paraId="19EFD56D" w14:textId="77777777" w:rsidR="00471D53" w:rsidRPr="00FE651E" w:rsidRDefault="004F686E" w:rsidP="00471D53">
                    <w:pPr>
                      <w:jc w:val="center"/>
                      <w:rPr>
                        <w:szCs w:val="21"/>
                      </w:rPr>
                    </w:pPr>
                    <w:r w:rsidRPr="00FE651E">
                      <w:rPr>
                        <w:rFonts w:hint="eastAsia"/>
                        <w:szCs w:val="21"/>
                      </w:rPr>
                      <w:t xml:space="preserve">　</w:t>
                    </w:r>
                  </w:p>
                </w:tc>
              </w:sdtContent>
            </w:sdt>
            <w:sdt>
              <w:sdtPr>
                <w:rPr>
                  <w:szCs w:val="21"/>
                </w:rPr>
                <w:alias w:val="固定资产账面原值增加项目合计金额"/>
                <w:tag w:val="_GBC_001e75f32bd54007926becb1d5aa914d"/>
                <w:id w:val="1741758817"/>
                <w:lock w:val="sdtLocked"/>
                <w:showingPlcHdr/>
              </w:sdtPr>
              <w:sdtEndPr/>
              <w:sdtContent>
                <w:tc>
                  <w:tcPr>
                    <w:tcW w:w="818" w:type="pct"/>
                    <w:shd w:val="clear" w:color="auto" w:fill="auto"/>
                    <w:vAlign w:val="center"/>
                  </w:tcPr>
                  <w:p w14:paraId="5F411244" w14:textId="77777777" w:rsidR="00471D53" w:rsidRPr="00FE651E" w:rsidRDefault="004F686E" w:rsidP="00471D53">
                    <w:pPr>
                      <w:jc w:val="center"/>
                      <w:rPr>
                        <w:szCs w:val="21"/>
                      </w:rPr>
                    </w:pPr>
                    <w:r w:rsidRPr="00FE651E">
                      <w:rPr>
                        <w:rFonts w:hint="eastAsia"/>
                        <w:szCs w:val="21"/>
                      </w:rPr>
                      <w:t xml:space="preserve">　</w:t>
                    </w:r>
                  </w:p>
                </w:tc>
              </w:sdtContent>
            </w:sdt>
          </w:tr>
          <w:tr w:rsidR="00471D53" w14:paraId="3B12A325" w14:textId="77777777" w:rsidTr="00471D53">
            <w:sdt>
              <w:sdtPr>
                <w:rPr>
                  <w:szCs w:val="21"/>
                </w:rPr>
                <w:alias w:val="固定资产账面原值增加项目名称"/>
                <w:tag w:val="_GBC_4d32d042060b4c8aa7f965b96f5580a8"/>
                <w:id w:val="-890029981"/>
                <w:lock w:val="sdtLocked"/>
                <w:showingPlcHdr/>
              </w:sdtPr>
              <w:sdtEndPr/>
              <w:sdtContent>
                <w:tc>
                  <w:tcPr>
                    <w:tcW w:w="533" w:type="pct"/>
                    <w:shd w:val="clear" w:color="auto" w:fill="auto"/>
                  </w:tcPr>
                  <w:p w14:paraId="720173EB" w14:textId="77777777" w:rsidR="00471D53" w:rsidRPr="00FE651E" w:rsidRDefault="004F686E" w:rsidP="00471D53">
                    <w:pPr>
                      <w:ind w:firstLineChars="300" w:firstLine="630"/>
                      <w:rPr>
                        <w:szCs w:val="21"/>
                      </w:rPr>
                    </w:pPr>
                    <w:r w:rsidRPr="00FE651E">
                      <w:rPr>
                        <w:rFonts w:hint="eastAsia"/>
                        <w:szCs w:val="21"/>
                      </w:rPr>
                      <w:t xml:space="preserve">　</w:t>
                    </w:r>
                  </w:p>
                </w:tc>
              </w:sdtContent>
            </w:sdt>
            <w:sdt>
              <w:sdtPr>
                <w:rPr>
                  <w:szCs w:val="21"/>
                </w:rPr>
                <w:alias w:val="固定资产账面原值增加项目金额"/>
                <w:tag w:val="_GBC_c2ca665b86c0425dba69c4867b84d3f4"/>
                <w:id w:val="1886915128"/>
                <w:lock w:val="sdtLocked"/>
                <w:showingPlcHdr/>
              </w:sdtPr>
              <w:sdtEndPr/>
              <w:sdtContent>
                <w:tc>
                  <w:tcPr>
                    <w:tcW w:w="800" w:type="pct"/>
                    <w:shd w:val="clear" w:color="auto" w:fill="auto"/>
                    <w:vAlign w:val="center"/>
                  </w:tcPr>
                  <w:p w14:paraId="03AEDAFB" w14:textId="77777777" w:rsidR="00471D53" w:rsidRPr="00FE651E" w:rsidRDefault="004F686E" w:rsidP="00471D53">
                    <w:pPr>
                      <w:jc w:val="center"/>
                      <w:rPr>
                        <w:szCs w:val="21"/>
                      </w:rPr>
                    </w:pPr>
                    <w:r w:rsidRPr="00FE651E">
                      <w:rPr>
                        <w:rFonts w:hint="eastAsia"/>
                        <w:szCs w:val="21"/>
                      </w:rPr>
                      <w:t xml:space="preserve">　</w:t>
                    </w:r>
                  </w:p>
                </w:tc>
              </w:sdtContent>
            </w:sdt>
            <w:sdt>
              <w:sdtPr>
                <w:rPr>
                  <w:szCs w:val="21"/>
                </w:rPr>
                <w:alias w:val="固定资产账面原值增加项目金额"/>
                <w:tag w:val="_GBC_c2ca665b86c0425dba69c4867b84d3f4"/>
                <w:id w:val="1411429165"/>
                <w:lock w:val="sdtLocked"/>
                <w:showingPlcHdr/>
              </w:sdtPr>
              <w:sdtEndPr/>
              <w:sdtContent>
                <w:tc>
                  <w:tcPr>
                    <w:tcW w:w="733" w:type="pct"/>
                    <w:shd w:val="clear" w:color="auto" w:fill="auto"/>
                    <w:vAlign w:val="center"/>
                  </w:tcPr>
                  <w:p w14:paraId="2F629396" w14:textId="77777777" w:rsidR="00471D53" w:rsidRPr="00FE651E" w:rsidRDefault="00B664AF" w:rsidP="00471D53">
                    <w:pPr>
                      <w:jc w:val="center"/>
                      <w:rPr>
                        <w:szCs w:val="21"/>
                      </w:rPr>
                    </w:pPr>
                  </w:p>
                </w:tc>
              </w:sdtContent>
            </w:sdt>
            <w:sdt>
              <w:sdtPr>
                <w:rPr>
                  <w:szCs w:val="21"/>
                </w:rPr>
                <w:alias w:val="固定资产账面原值增加项目金额"/>
                <w:tag w:val="_GBC_c2ca665b86c0425dba69c4867b84d3f4"/>
                <w:id w:val="533311614"/>
                <w:lock w:val="sdtLocked"/>
                <w:showingPlcHdr/>
              </w:sdtPr>
              <w:sdtEndPr/>
              <w:sdtContent>
                <w:tc>
                  <w:tcPr>
                    <w:tcW w:w="712" w:type="pct"/>
                    <w:shd w:val="clear" w:color="auto" w:fill="auto"/>
                    <w:vAlign w:val="center"/>
                  </w:tcPr>
                  <w:p w14:paraId="27F7D5A5" w14:textId="77777777" w:rsidR="00471D53" w:rsidRPr="00FE651E" w:rsidRDefault="00B664AF" w:rsidP="00471D53">
                    <w:pPr>
                      <w:jc w:val="center"/>
                      <w:rPr>
                        <w:szCs w:val="21"/>
                      </w:rPr>
                    </w:pPr>
                  </w:p>
                </w:tc>
              </w:sdtContent>
            </w:sdt>
            <w:sdt>
              <w:sdtPr>
                <w:rPr>
                  <w:szCs w:val="21"/>
                </w:rPr>
                <w:alias w:val="固定资产账面原值增加项目金额"/>
                <w:tag w:val="_GBC_c2ca665b86c0425dba69c4867b84d3f4"/>
                <w:id w:val="-2045130437"/>
                <w:lock w:val="sdtLocked"/>
                <w:showingPlcHdr/>
              </w:sdtPr>
              <w:sdtEndPr/>
              <w:sdtContent>
                <w:tc>
                  <w:tcPr>
                    <w:tcW w:w="688" w:type="pct"/>
                    <w:shd w:val="clear" w:color="auto" w:fill="auto"/>
                    <w:vAlign w:val="center"/>
                  </w:tcPr>
                  <w:p w14:paraId="04068304" w14:textId="77777777" w:rsidR="00471D53" w:rsidRPr="00FE651E" w:rsidRDefault="00B664AF" w:rsidP="00471D53">
                    <w:pPr>
                      <w:jc w:val="center"/>
                      <w:rPr>
                        <w:szCs w:val="21"/>
                      </w:rPr>
                    </w:pPr>
                  </w:p>
                </w:tc>
              </w:sdtContent>
            </w:sdt>
            <w:sdt>
              <w:sdtPr>
                <w:rPr>
                  <w:szCs w:val="21"/>
                </w:rPr>
                <w:alias w:val="固定资产账面原值增加项目金额"/>
                <w:tag w:val="_GBC_c2ca665b86c0425dba69c4867b84d3f4"/>
                <w:id w:val="1383530915"/>
                <w:lock w:val="sdtLocked"/>
                <w:showingPlcHdr/>
              </w:sdtPr>
              <w:sdtEndPr/>
              <w:sdtContent>
                <w:tc>
                  <w:tcPr>
                    <w:tcW w:w="715" w:type="pct"/>
                    <w:shd w:val="clear" w:color="auto" w:fill="auto"/>
                    <w:vAlign w:val="center"/>
                  </w:tcPr>
                  <w:p w14:paraId="5CE9753E" w14:textId="77777777" w:rsidR="00471D53" w:rsidRPr="00FE651E" w:rsidRDefault="00B664AF" w:rsidP="00471D53">
                    <w:pPr>
                      <w:jc w:val="center"/>
                      <w:rPr>
                        <w:szCs w:val="21"/>
                      </w:rPr>
                    </w:pPr>
                  </w:p>
                </w:tc>
              </w:sdtContent>
            </w:sdt>
            <w:sdt>
              <w:sdtPr>
                <w:rPr>
                  <w:szCs w:val="21"/>
                </w:rPr>
                <w:alias w:val="固定资产账面原值增加项目合计金额"/>
                <w:tag w:val="_GBC_001e75f32bd54007926becb1d5aa914d"/>
                <w:id w:val="547816539"/>
                <w:lock w:val="sdtLocked"/>
                <w:showingPlcHdr/>
              </w:sdtPr>
              <w:sdtEndPr/>
              <w:sdtContent>
                <w:tc>
                  <w:tcPr>
                    <w:tcW w:w="818" w:type="pct"/>
                    <w:shd w:val="clear" w:color="auto" w:fill="auto"/>
                    <w:vAlign w:val="center"/>
                  </w:tcPr>
                  <w:p w14:paraId="2FCA1D5A" w14:textId="77777777" w:rsidR="00471D53" w:rsidRPr="00FE651E" w:rsidRDefault="004F686E" w:rsidP="00471D53">
                    <w:pPr>
                      <w:jc w:val="center"/>
                      <w:rPr>
                        <w:szCs w:val="21"/>
                      </w:rPr>
                    </w:pPr>
                    <w:r w:rsidRPr="00FE651E">
                      <w:rPr>
                        <w:rFonts w:hint="eastAsia"/>
                        <w:szCs w:val="21"/>
                      </w:rPr>
                      <w:t xml:space="preserve">　</w:t>
                    </w:r>
                  </w:p>
                </w:tc>
              </w:sdtContent>
            </w:sdt>
          </w:tr>
          <w:tr w:rsidR="00471D53" w14:paraId="361ED847" w14:textId="77777777" w:rsidTr="00471D53">
            <w:sdt>
              <w:sdtPr>
                <w:rPr>
                  <w:szCs w:val="21"/>
                </w:rPr>
                <w:tag w:val="_PLD_dfb162daa7694866a1c4e80fabb81d52"/>
                <w:id w:val="1555504417"/>
                <w:lock w:val="sdtLocked"/>
              </w:sdtPr>
              <w:sdtEndPr/>
              <w:sdtContent>
                <w:tc>
                  <w:tcPr>
                    <w:tcW w:w="533" w:type="pct"/>
                    <w:shd w:val="clear" w:color="auto" w:fill="auto"/>
                  </w:tcPr>
                  <w:p w14:paraId="55098D38" w14:textId="77777777" w:rsidR="00471D53" w:rsidRPr="00FE651E" w:rsidRDefault="004F686E" w:rsidP="00471D53">
                    <w:pPr>
                      <w:ind w:firstLineChars="250" w:firstLine="525"/>
                      <w:rPr>
                        <w:szCs w:val="21"/>
                      </w:rPr>
                    </w:pPr>
                    <w:r w:rsidRPr="00FE651E">
                      <w:rPr>
                        <w:rFonts w:hint="eastAsia"/>
                        <w:szCs w:val="21"/>
                      </w:rPr>
                      <w:t>3.本期减少金额</w:t>
                    </w:r>
                  </w:p>
                </w:tc>
              </w:sdtContent>
            </w:sdt>
            <w:tc>
              <w:tcPr>
                <w:tcW w:w="800" w:type="pct"/>
                <w:shd w:val="clear" w:color="auto" w:fill="auto"/>
                <w:vAlign w:val="center"/>
              </w:tcPr>
              <w:p w14:paraId="19E29041" w14:textId="77777777" w:rsidR="00471D53" w:rsidRPr="00FE651E" w:rsidRDefault="004F686E" w:rsidP="00471D53">
                <w:pPr>
                  <w:autoSpaceDE w:val="0"/>
                  <w:autoSpaceDN w:val="0"/>
                  <w:jc w:val="center"/>
                  <w:rPr>
                    <w:szCs w:val="21"/>
                  </w:rPr>
                </w:pPr>
                <w:r w:rsidRPr="00FE651E">
                  <w:rPr>
                    <w:rFonts w:hint="eastAsia"/>
                    <w:szCs w:val="21"/>
                  </w:rPr>
                  <w:t>0.00</w:t>
                </w:r>
              </w:p>
            </w:tc>
            <w:tc>
              <w:tcPr>
                <w:tcW w:w="733" w:type="pct"/>
                <w:shd w:val="clear" w:color="auto" w:fill="auto"/>
                <w:vAlign w:val="center"/>
              </w:tcPr>
              <w:p w14:paraId="23C4C450" w14:textId="77777777" w:rsidR="00471D53" w:rsidRPr="00FE651E" w:rsidRDefault="004F686E" w:rsidP="00471D53">
                <w:pPr>
                  <w:autoSpaceDE w:val="0"/>
                  <w:autoSpaceDN w:val="0"/>
                  <w:jc w:val="center"/>
                  <w:rPr>
                    <w:szCs w:val="21"/>
                  </w:rPr>
                </w:pPr>
                <w:r w:rsidRPr="00FE651E">
                  <w:rPr>
                    <w:rFonts w:hint="eastAsia"/>
                    <w:szCs w:val="21"/>
                  </w:rPr>
                  <w:t>6,362,903.71</w:t>
                </w:r>
              </w:p>
            </w:tc>
            <w:tc>
              <w:tcPr>
                <w:tcW w:w="712" w:type="pct"/>
                <w:shd w:val="clear" w:color="auto" w:fill="auto"/>
                <w:vAlign w:val="center"/>
              </w:tcPr>
              <w:p w14:paraId="4EABFB77" w14:textId="77777777" w:rsidR="00471D53" w:rsidRPr="00FE651E" w:rsidRDefault="004F686E" w:rsidP="00471D53">
                <w:pPr>
                  <w:autoSpaceDE w:val="0"/>
                  <w:autoSpaceDN w:val="0"/>
                  <w:jc w:val="center"/>
                  <w:rPr>
                    <w:szCs w:val="21"/>
                  </w:rPr>
                </w:pPr>
                <w:r w:rsidRPr="00FE651E">
                  <w:rPr>
                    <w:rFonts w:hint="eastAsia"/>
                    <w:szCs w:val="21"/>
                  </w:rPr>
                  <w:t>1,387,578.20</w:t>
                </w:r>
              </w:p>
            </w:tc>
            <w:tc>
              <w:tcPr>
                <w:tcW w:w="688" w:type="pct"/>
                <w:shd w:val="clear" w:color="auto" w:fill="auto"/>
                <w:vAlign w:val="center"/>
              </w:tcPr>
              <w:p w14:paraId="36DAEC3B" w14:textId="77777777" w:rsidR="00471D53" w:rsidRPr="00FE651E" w:rsidRDefault="004F686E" w:rsidP="00471D53">
                <w:pPr>
                  <w:autoSpaceDE w:val="0"/>
                  <w:autoSpaceDN w:val="0"/>
                  <w:jc w:val="center"/>
                  <w:rPr>
                    <w:szCs w:val="21"/>
                  </w:rPr>
                </w:pPr>
                <w:r w:rsidRPr="00FE651E">
                  <w:rPr>
                    <w:rFonts w:hint="eastAsia"/>
                    <w:szCs w:val="21"/>
                  </w:rPr>
                  <w:t>64,430.79</w:t>
                </w:r>
              </w:p>
            </w:tc>
            <w:tc>
              <w:tcPr>
                <w:tcW w:w="715" w:type="pct"/>
                <w:shd w:val="clear" w:color="auto" w:fill="auto"/>
                <w:vAlign w:val="center"/>
              </w:tcPr>
              <w:p w14:paraId="07A571C6" w14:textId="77777777" w:rsidR="00471D53" w:rsidRPr="00FE651E" w:rsidRDefault="004F686E" w:rsidP="00471D53">
                <w:pPr>
                  <w:autoSpaceDE w:val="0"/>
                  <w:autoSpaceDN w:val="0"/>
                  <w:jc w:val="center"/>
                  <w:rPr>
                    <w:szCs w:val="21"/>
                  </w:rPr>
                </w:pPr>
                <w:r w:rsidRPr="00FE651E">
                  <w:rPr>
                    <w:rFonts w:hint="eastAsia"/>
                    <w:szCs w:val="21"/>
                  </w:rPr>
                  <w:t>0.00</w:t>
                </w:r>
              </w:p>
            </w:tc>
            <w:tc>
              <w:tcPr>
                <w:tcW w:w="818" w:type="pct"/>
                <w:shd w:val="clear" w:color="auto" w:fill="auto"/>
                <w:vAlign w:val="center"/>
              </w:tcPr>
              <w:p w14:paraId="710A6057" w14:textId="77777777" w:rsidR="00471D53" w:rsidRPr="00FE651E" w:rsidRDefault="004F686E" w:rsidP="00471D53">
                <w:pPr>
                  <w:autoSpaceDE w:val="0"/>
                  <w:autoSpaceDN w:val="0"/>
                  <w:jc w:val="center"/>
                  <w:rPr>
                    <w:szCs w:val="21"/>
                  </w:rPr>
                </w:pPr>
                <w:r w:rsidRPr="00FE651E">
                  <w:rPr>
                    <w:rFonts w:hint="eastAsia"/>
                    <w:szCs w:val="21"/>
                  </w:rPr>
                  <w:t>7,814,912.70</w:t>
                </w:r>
              </w:p>
            </w:tc>
          </w:tr>
          <w:tr w:rsidR="00471D53" w14:paraId="02151EDB" w14:textId="77777777" w:rsidTr="00471D53">
            <w:sdt>
              <w:sdtPr>
                <w:rPr>
                  <w:szCs w:val="21"/>
                </w:rPr>
                <w:tag w:val="_PLD_fee37578c2514ed28988969e830aeae7"/>
                <w:id w:val="-980993063"/>
                <w:lock w:val="sdtLocked"/>
              </w:sdtPr>
              <w:sdtEndPr/>
              <w:sdtContent>
                <w:tc>
                  <w:tcPr>
                    <w:tcW w:w="533" w:type="pct"/>
                    <w:shd w:val="clear" w:color="auto" w:fill="auto"/>
                  </w:tcPr>
                  <w:p w14:paraId="585BDA35" w14:textId="77777777" w:rsidR="00471D53" w:rsidRPr="00FE651E" w:rsidRDefault="004F686E" w:rsidP="00471D53">
                    <w:pPr>
                      <w:ind w:firstLineChars="300" w:firstLine="630"/>
                      <w:rPr>
                        <w:szCs w:val="21"/>
                      </w:rPr>
                    </w:pPr>
                    <w:r w:rsidRPr="00FE651E">
                      <w:rPr>
                        <w:rFonts w:hint="eastAsia"/>
                        <w:szCs w:val="21"/>
                      </w:rPr>
                      <w:t>（1）处置或报废</w:t>
                    </w:r>
                  </w:p>
                </w:tc>
              </w:sdtContent>
            </w:sdt>
            <w:tc>
              <w:tcPr>
                <w:tcW w:w="800" w:type="pct"/>
                <w:shd w:val="clear" w:color="auto" w:fill="auto"/>
                <w:vAlign w:val="center"/>
              </w:tcPr>
              <w:p w14:paraId="3D4AED8D" w14:textId="77777777" w:rsidR="00471D53" w:rsidRPr="00FE651E" w:rsidRDefault="004F686E" w:rsidP="00471D53">
                <w:pPr>
                  <w:autoSpaceDE w:val="0"/>
                  <w:autoSpaceDN w:val="0"/>
                  <w:jc w:val="center"/>
                  <w:rPr>
                    <w:szCs w:val="21"/>
                  </w:rPr>
                </w:pPr>
                <w:r w:rsidRPr="00FE651E">
                  <w:rPr>
                    <w:rFonts w:hint="eastAsia"/>
                    <w:szCs w:val="21"/>
                  </w:rPr>
                  <w:t>0.00</w:t>
                </w:r>
              </w:p>
            </w:tc>
            <w:tc>
              <w:tcPr>
                <w:tcW w:w="733" w:type="pct"/>
                <w:shd w:val="clear" w:color="auto" w:fill="auto"/>
                <w:vAlign w:val="center"/>
              </w:tcPr>
              <w:p w14:paraId="7E881CE6" w14:textId="77777777" w:rsidR="00471D53" w:rsidRPr="00FE651E" w:rsidRDefault="004F686E" w:rsidP="00471D53">
                <w:pPr>
                  <w:autoSpaceDE w:val="0"/>
                  <w:autoSpaceDN w:val="0"/>
                  <w:jc w:val="center"/>
                  <w:rPr>
                    <w:szCs w:val="21"/>
                  </w:rPr>
                </w:pPr>
                <w:r w:rsidRPr="00FE651E">
                  <w:rPr>
                    <w:rFonts w:hint="eastAsia"/>
                    <w:szCs w:val="21"/>
                  </w:rPr>
                  <w:t>6,362,903.71</w:t>
                </w:r>
              </w:p>
            </w:tc>
            <w:tc>
              <w:tcPr>
                <w:tcW w:w="712" w:type="pct"/>
                <w:shd w:val="clear" w:color="auto" w:fill="auto"/>
                <w:vAlign w:val="center"/>
              </w:tcPr>
              <w:p w14:paraId="46C9AC39" w14:textId="77777777" w:rsidR="00471D53" w:rsidRPr="00FE651E" w:rsidRDefault="004F686E" w:rsidP="00471D53">
                <w:pPr>
                  <w:autoSpaceDE w:val="0"/>
                  <w:autoSpaceDN w:val="0"/>
                  <w:jc w:val="center"/>
                  <w:rPr>
                    <w:szCs w:val="21"/>
                  </w:rPr>
                </w:pPr>
                <w:r w:rsidRPr="00FE651E">
                  <w:rPr>
                    <w:rFonts w:hint="eastAsia"/>
                    <w:szCs w:val="21"/>
                  </w:rPr>
                  <w:t>1,387,578.20</w:t>
                </w:r>
              </w:p>
            </w:tc>
            <w:tc>
              <w:tcPr>
                <w:tcW w:w="688" w:type="pct"/>
                <w:shd w:val="clear" w:color="auto" w:fill="auto"/>
                <w:vAlign w:val="center"/>
              </w:tcPr>
              <w:p w14:paraId="41E0EC89" w14:textId="77777777" w:rsidR="00471D53" w:rsidRPr="00FE651E" w:rsidRDefault="004F686E" w:rsidP="00471D53">
                <w:pPr>
                  <w:autoSpaceDE w:val="0"/>
                  <w:autoSpaceDN w:val="0"/>
                  <w:jc w:val="center"/>
                  <w:rPr>
                    <w:szCs w:val="21"/>
                  </w:rPr>
                </w:pPr>
                <w:r w:rsidRPr="00FE651E">
                  <w:rPr>
                    <w:rFonts w:hint="eastAsia"/>
                    <w:szCs w:val="21"/>
                  </w:rPr>
                  <w:t>64,430.79</w:t>
                </w:r>
              </w:p>
            </w:tc>
            <w:tc>
              <w:tcPr>
                <w:tcW w:w="715" w:type="pct"/>
                <w:shd w:val="clear" w:color="auto" w:fill="auto"/>
                <w:vAlign w:val="center"/>
              </w:tcPr>
              <w:p w14:paraId="6CDF17D6" w14:textId="77777777" w:rsidR="00471D53" w:rsidRPr="00FE651E" w:rsidRDefault="004F686E" w:rsidP="00471D53">
                <w:pPr>
                  <w:autoSpaceDE w:val="0"/>
                  <w:autoSpaceDN w:val="0"/>
                  <w:jc w:val="center"/>
                  <w:rPr>
                    <w:szCs w:val="21"/>
                  </w:rPr>
                </w:pPr>
                <w:r w:rsidRPr="00FE651E">
                  <w:rPr>
                    <w:rFonts w:hint="eastAsia"/>
                    <w:szCs w:val="21"/>
                  </w:rPr>
                  <w:t>0.00</w:t>
                </w:r>
              </w:p>
            </w:tc>
            <w:tc>
              <w:tcPr>
                <w:tcW w:w="818" w:type="pct"/>
                <w:shd w:val="clear" w:color="auto" w:fill="auto"/>
                <w:vAlign w:val="center"/>
              </w:tcPr>
              <w:p w14:paraId="45A2654D" w14:textId="77777777" w:rsidR="00471D53" w:rsidRPr="00FE651E" w:rsidRDefault="004F686E" w:rsidP="00471D53">
                <w:pPr>
                  <w:autoSpaceDE w:val="0"/>
                  <w:autoSpaceDN w:val="0"/>
                  <w:jc w:val="center"/>
                  <w:rPr>
                    <w:szCs w:val="21"/>
                  </w:rPr>
                </w:pPr>
                <w:r w:rsidRPr="00FE651E">
                  <w:rPr>
                    <w:rFonts w:hint="eastAsia"/>
                    <w:szCs w:val="21"/>
                  </w:rPr>
                  <w:t>7,814,912.70</w:t>
                </w:r>
              </w:p>
            </w:tc>
          </w:tr>
          <w:tr w:rsidR="00471D53" w14:paraId="13C27382" w14:textId="77777777" w:rsidTr="00471D53">
            <w:sdt>
              <w:sdtPr>
                <w:rPr>
                  <w:rFonts w:hint="eastAsia"/>
                  <w:szCs w:val="21"/>
                </w:rPr>
                <w:alias w:val="固定资产账面原值减少项目名称"/>
                <w:tag w:val="_GBC_2f4e09d586974d5099e26de2e9f2268e"/>
                <w:id w:val="1248692715"/>
                <w:lock w:val="sdtLocked"/>
                <w:showingPlcHdr/>
              </w:sdtPr>
              <w:sdtEndPr/>
              <w:sdtContent>
                <w:tc>
                  <w:tcPr>
                    <w:tcW w:w="533" w:type="pct"/>
                    <w:shd w:val="clear" w:color="auto" w:fill="auto"/>
                    <w:vAlign w:val="center"/>
                  </w:tcPr>
                  <w:p w14:paraId="7F4D6FE7" w14:textId="77777777" w:rsidR="00471D53" w:rsidRPr="00FE651E" w:rsidRDefault="004F686E" w:rsidP="00471D53">
                    <w:pPr>
                      <w:ind w:firstLineChars="300" w:firstLine="630"/>
                      <w:rPr>
                        <w:szCs w:val="21"/>
                      </w:rPr>
                    </w:pPr>
                    <w:r w:rsidRPr="00FE651E">
                      <w:rPr>
                        <w:rFonts w:hint="eastAsia"/>
                        <w:szCs w:val="21"/>
                      </w:rPr>
                      <w:t xml:space="preserve">　</w:t>
                    </w:r>
                  </w:p>
                </w:tc>
              </w:sdtContent>
            </w:sdt>
            <w:sdt>
              <w:sdtPr>
                <w:rPr>
                  <w:rFonts w:hint="eastAsia"/>
                  <w:szCs w:val="21"/>
                </w:rPr>
                <w:alias w:val="固定资产账面原值减少项目金额"/>
                <w:tag w:val="_GBC_86b298d954344511b012e84c48d4404f"/>
                <w:id w:val="1733032822"/>
                <w:lock w:val="sdtLocked"/>
                <w:showingPlcHdr/>
              </w:sdtPr>
              <w:sdtEndPr/>
              <w:sdtContent>
                <w:tc>
                  <w:tcPr>
                    <w:tcW w:w="800" w:type="pct"/>
                    <w:shd w:val="clear" w:color="auto" w:fill="auto"/>
                    <w:vAlign w:val="center"/>
                  </w:tcPr>
                  <w:p w14:paraId="4C8D3041" w14:textId="77777777" w:rsidR="00471D53" w:rsidRPr="00FE651E" w:rsidRDefault="004F686E" w:rsidP="00471D53">
                    <w:pPr>
                      <w:jc w:val="center"/>
                      <w:rPr>
                        <w:szCs w:val="21"/>
                      </w:rPr>
                    </w:pPr>
                    <w:r w:rsidRPr="00FE651E">
                      <w:rPr>
                        <w:rFonts w:hint="eastAsia"/>
                        <w:szCs w:val="21"/>
                      </w:rPr>
                      <w:t xml:space="preserve">　</w:t>
                    </w:r>
                  </w:p>
                </w:tc>
              </w:sdtContent>
            </w:sdt>
            <w:sdt>
              <w:sdtPr>
                <w:rPr>
                  <w:rFonts w:hint="eastAsia"/>
                  <w:szCs w:val="21"/>
                </w:rPr>
                <w:alias w:val="固定资产账面原值减少项目金额"/>
                <w:tag w:val="_GBC_86b298d954344511b012e84c48d4404f"/>
                <w:id w:val="1465850635"/>
                <w:lock w:val="sdtLocked"/>
                <w:showingPlcHdr/>
              </w:sdtPr>
              <w:sdtEndPr/>
              <w:sdtContent>
                <w:tc>
                  <w:tcPr>
                    <w:tcW w:w="733" w:type="pct"/>
                    <w:shd w:val="clear" w:color="auto" w:fill="auto"/>
                    <w:vAlign w:val="center"/>
                  </w:tcPr>
                  <w:p w14:paraId="7C2DDC71" w14:textId="77777777" w:rsidR="00471D53" w:rsidRPr="00FE651E" w:rsidRDefault="004F686E" w:rsidP="00471D53">
                    <w:pPr>
                      <w:jc w:val="center"/>
                      <w:rPr>
                        <w:szCs w:val="21"/>
                      </w:rPr>
                    </w:pPr>
                    <w:r w:rsidRPr="00FE651E">
                      <w:rPr>
                        <w:rFonts w:hint="eastAsia"/>
                        <w:szCs w:val="21"/>
                      </w:rPr>
                      <w:t xml:space="preserve">　</w:t>
                    </w:r>
                  </w:p>
                </w:tc>
              </w:sdtContent>
            </w:sdt>
            <w:sdt>
              <w:sdtPr>
                <w:rPr>
                  <w:rFonts w:hint="eastAsia"/>
                  <w:szCs w:val="21"/>
                </w:rPr>
                <w:alias w:val="固定资产账面原值减少项目金额"/>
                <w:tag w:val="_GBC_86b298d954344511b012e84c48d4404f"/>
                <w:id w:val="-894439011"/>
                <w:lock w:val="sdtLocked"/>
                <w:showingPlcHdr/>
              </w:sdtPr>
              <w:sdtEndPr/>
              <w:sdtContent>
                <w:tc>
                  <w:tcPr>
                    <w:tcW w:w="712" w:type="pct"/>
                    <w:shd w:val="clear" w:color="auto" w:fill="auto"/>
                    <w:vAlign w:val="center"/>
                  </w:tcPr>
                  <w:p w14:paraId="3C808420" w14:textId="77777777" w:rsidR="00471D53" w:rsidRPr="00FE651E" w:rsidRDefault="004F686E" w:rsidP="00471D53">
                    <w:pPr>
                      <w:jc w:val="center"/>
                      <w:rPr>
                        <w:szCs w:val="21"/>
                      </w:rPr>
                    </w:pPr>
                    <w:r w:rsidRPr="00FE651E">
                      <w:rPr>
                        <w:rFonts w:hint="eastAsia"/>
                        <w:szCs w:val="21"/>
                      </w:rPr>
                      <w:t xml:space="preserve">　</w:t>
                    </w:r>
                  </w:p>
                </w:tc>
              </w:sdtContent>
            </w:sdt>
            <w:sdt>
              <w:sdtPr>
                <w:rPr>
                  <w:rFonts w:hint="eastAsia"/>
                  <w:szCs w:val="21"/>
                </w:rPr>
                <w:alias w:val="固定资产账面原值减少项目金额"/>
                <w:tag w:val="_GBC_86b298d954344511b012e84c48d4404f"/>
                <w:id w:val="-1995328603"/>
                <w:lock w:val="sdtLocked"/>
                <w:showingPlcHdr/>
              </w:sdtPr>
              <w:sdtEndPr/>
              <w:sdtContent>
                <w:tc>
                  <w:tcPr>
                    <w:tcW w:w="688" w:type="pct"/>
                    <w:shd w:val="clear" w:color="auto" w:fill="auto"/>
                    <w:vAlign w:val="center"/>
                  </w:tcPr>
                  <w:p w14:paraId="14C5CF01" w14:textId="77777777" w:rsidR="00471D53" w:rsidRPr="00FE651E" w:rsidRDefault="00B664AF" w:rsidP="00471D53">
                    <w:pPr>
                      <w:jc w:val="center"/>
                      <w:rPr>
                        <w:szCs w:val="21"/>
                      </w:rPr>
                    </w:pPr>
                  </w:p>
                </w:tc>
              </w:sdtContent>
            </w:sdt>
            <w:sdt>
              <w:sdtPr>
                <w:rPr>
                  <w:rFonts w:hint="eastAsia"/>
                  <w:szCs w:val="21"/>
                </w:rPr>
                <w:alias w:val="固定资产账面原值减少项目金额"/>
                <w:tag w:val="_GBC_86b298d954344511b012e84c48d4404f"/>
                <w:id w:val="618804234"/>
                <w:lock w:val="sdtLocked"/>
                <w:showingPlcHdr/>
              </w:sdtPr>
              <w:sdtEndPr/>
              <w:sdtContent>
                <w:tc>
                  <w:tcPr>
                    <w:tcW w:w="715" w:type="pct"/>
                    <w:shd w:val="clear" w:color="auto" w:fill="auto"/>
                    <w:vAlign w:val="center"/>
                  </w:tcPr>
                  <w:p w14:paraId="7E176CF6" w14:textId="77777777" w:rsidR="00471D53" w:rsidRPr="00FE651E" w:rsidRDefault="004F686E" w:rsidP="00471D53">
                    <w:pPr>
                      <w:jc w:val="center"/>
                      <w:rPr>
                        <w:szCs w:val="21"/>
                      </w:rPr>
                    </w:pPr>
                    <w:r w:rsidRPr="00FE651E">
                      <w:rPr>
                        <w:rFonts w:hint="eastAsia"/>
                        <w:szCs w:val="21"/>
                      </w:rPr>
                      <w:t xml:space="preserve">　</w:t>
                    </w:r>
                  </w:p>
                </w:tc>
              </w:sdtContent>
            </w:sdt>
            <w:sdt>
              <w:sdtPr>
                <w:rPr>
                  <w:rFonts w:hint="eastAsia"/>
                  <w:szCs w:val="21"/>
                </w:rPr>
                <w:alias w:val="固定资产账面原值减少项目合计金额"/>
                <w:tag w:val="_GBC_b75b8542395b4972ad2d3a1ea5c4c1d9"/>
                <w:id w:val="-1465957543"/>
                <w:lock w:val="sdtLocked"/>
                <w:showingPlcHdr/>
              </w:sdtPr>
              <w:sdtEndPr/>
              <w:sdtContent>
                <w:tc>
                  <w:tcPr>
                    <w:tcW w:w="818" w:type="pct"/>
                    <w:shd w:val="clear" w:color="auto" w:fill="auto"/>
                    <w:vAlign w:val="center"/>
                  </w:tcPr>
                  <w:p w14:paraId="67795E9B" w14:textId="77777777" w:rsidR="00471D53" w:rsidRPr="00FE651E" w:rsidRDefault="004F686E" w:rsidP="00471D53">
                    <w:pPr>
                      <w:jc w:val="center"/>
                      <w:rPr>
                        <w:szCs w:val="21"/>
                      </w:rPr>
                    </w:pPr>
                    <w:r w:rsidRPr="00FE651E">
                      <w:rPr>
                        <w:rFonts w:hint="eastAsia"/>
                        <w:szCs w:val="21"/>
                      </w:rPr>
                      <w:t xml:space="preserve">　</w:t>
                    </w:r>
                  </w:p>
                </w:tc>
              </w:sdtContent>
            </w:sdt>
          </w:tr>
          <w:tr w:rsidR="00471D53" w14:paraId="6EAB179D" w14:textId="77777777" w:rsidTr="00471D53">
            <w:sdt>
              <w:sdtPr>
                <w:rPr>
                  <w:rFonts w:hint="eastAsia"/>
                  <w:szCs w:val="21"/>
                </w:rPr>
                <w:alias w:val="固定资产账面原值减少项目名称"/>
                <w:tag w:val="_GBC_2f4e09d586974d5099e26de2e9f2268e"/>
                <w:id w:val="152192401"/>
                <w:lock w:val="sdtLocked"/>
                <w:showingPlcHdr/>
              </w:sdtPr>
              <w:sdtEndPr/>
              <w:sdtContent>
                <w:tc>
                  <w:tcPr>
                    <w:tcW w:w="533" w:type="pct"/>
                    <w:shd w:val="clear" w:color="auto" w:fill="auto"/>
                    <w:vAlign w:val="center"/>
                  </w:tcPr>
                  <w:p w14:paraId="25D5EFA3" w14:textId="77777777" w:rsidR="00471D53" w:rsidRPr="00FE651E" w:rsidRDefault="004F686E" w:rsidP="00471D53">
                    <w:pPr>
                      <w:ind w:firstLineChars="300" w:firstLine="630"/>
                      <w:rPr>
                        <w:szCs w:val="21"/>
                      </w:rPr>
                    </w:pPr>
                    <w:r w:rsidRPr="00FE651E">
                      <w:rPr>
                        <w:rFonts w:hint="eastAsia"/>
                        <w:szCs w:val="21"/>
                      </w:rPr>
                      <w:t xml:space="preserve">　</w:t>
                    </w:r>
                  </w:p>
                </w:tc>
              </w:sdtContent>
            </w:sdt>
            <w:sdt>
              <w:sdtPr>
                <w:rPr>
                  <w:rFonts w:hint="eastAsia"/>
                  <w:szCs w:val="21"/>
                </w:rPr>
                <w:alias w:val="固定资产账面原值减少项目金额"/>
                <w:tag w:val="_GBC_86b298d954344511b012e84c48d4404f"/>
                <w:id w:val="309442795"/>
                <w:lock w:val="sdtLocked"/>
                <w:showingPlcHdr/>
              </w:sdtPr>
              <w:sdtEndPr/>
              <w:sdtContent>
                <w:tc>
                  <w:tcPr>
                    <w:tcW w:w="800" w:type="pct"/>
                    <w:shd w:val="clear" w:color="auto" w:fill="auto"/>
                    <w:vAlign w:val="center"/>
                  </w:tcPr>
                  <w:p w14:paraId="238647B2" w14:textId="77777777" w:rsidR="00471D53" w:rsidRPr="00FE651E" w:rsidRDefault="004F686E" w:rsidP="00471D53">
                    <w:pPr>
                      <w:jc w:val="center"/>
                      <w:rPr>
                        <w:szCs w:val="21"/>
                      </w:rPr>
                    </w:pPr>
                    <w:r w:rsidRPr="00FE651E">
                      <w:rPr>
                        <w:rFonts w:hint="eastAsia"/>
                        <w:szCs w:val="21"/>
                      </w:rPr>
                      <w:t xml:space="preserve">　</w:t>
                    </w:r>
                  </w:p>
                </w:tc>
              </w:sdtContent>
            </w:sdt>
            <w:sdt>
              <w:sdtPr>
                <w:rPr>
                  <w:rFonts w:hint="eastAsia"/>
                  <w:szCs w:val="21"/>
                </w:rPr>
                <w:alias w:val="固定资产账面原值减少项目金额"/>
                <w:tag w:val="_GBC_86b298d954344511b012e84c48d4404f"/>
                <w:id w:val="2092495304"/>
                <w:lock w:val="sdtLocked"/>
                <w:showingPlcHdr/>
              </w:sdtPr>
              <w:sdtEndPr/>
              <w:sdtContent>
                <w:tc>
                  <w:tcPr>
                    <w:tcW w:w="733" w:type="pct"/>
                    <w:shd w:val="clear" w:color="auto" w:fill="auto"/>
                    <w:vAlign w:val="center"/>
                  </w:tcPr>
                  <w:p w14:paraId="4893E45A" w14:textId="77777777" w:rsidR="00471D53" w:rsidRPr="00FE651E" w:rsidRDefault="00B664AF" w:rsidP="00471D53">
                    <w:pPr>
                      <w:jc w:val="center"/>
                      <w:rPr>
                        <w:szCs w:val="21"/>
                      </w:rPr>
                    </w:pPr>
                  </w:p>
                </w:tc>
              </w:sdtContent>
            </w:sdt>
            <w:sdt>
              <w:sdtPr>
                <w:rPr>
                  <w:rFonts w:hint="eastAsia"/>
                  <w:szCs w:val="21"/>
                </w:rPr>
                <w:alias w:val="固定资产账面原值减少项目金额"/>
                <w:tag w:val="_GBC_86b298d954344511b012e84c48d4404f"/>
                <w:id w:val="-226849410"/>
                <w:lock w:val="sdtLocked"/>
                <w:showingPlcHdr/>
              </w:sdtPr>
              <w:sdtEndPr/>
              <w:sdtContent>
                <w:tc>
                  <w:tcPr>
                    <w:tcW w:w="712" w:type="pct"/>
                    <w:shd w:val="clear" w:color="auto" w:fill="auto"/>
                    <w:vAlign w:val="center"/>
                  </w:tcPr>
                  <w:p w14:paraId="11A95E73" w14:textId="77777777" w:rsidR="00471D53" w:rsidRPr="00FE651E" w:rsidRDefault="00B664AF" w:rsidP="00471D53">
                    <w:pPr>
                      <w:jc w:val="center"/>
                      <w:rPr>
                        <w:szCs w:val="21"/>
                      </w:rPr>
                    </w:pPr>
                  </w:p>
                </w:tc>
              </w:sdtContent>
            </w:sdt>
            <w:sdt>
              <w:sdtPr>
                <w:rPr>
                  <w:rFonts w:hint="eastAsia"/>
                  <w:szCs w:val="21"/>
                </w:rPr>
                <w:alias w:val="固定资产账面原值减少项目金额"/>
                <w:tag w:val="_GBC_86b298d954344511b012e84c48d4404f"/>
                <w:id w:val="1720783887"/>
                <w:lock w:val="sdtLocked"/>
                <w:showingPlcHdr/>
              </w:sdtPr>
              <w:sdtEndPr/>
              <w:sdtContent>
                <w:tc>
                  <w:tcPr>
                    <w:tcW w:w="688" w:type="pct"/>
                    <w:shd w:val="clear" w:color="auto" w:fill="auto"/>
                    <w:vAlign w:val="center"/>
                  </w:tcPr>
                  <w:p w14:paraId="49AF674C" w14:textId="77777777" w:rsidR="00471D53" w:rsidRPr="00FE651E" w:rsidRDefault="00B664AF" w:rsidP="00471D53">
                    <w:pPr>
                      <w:jc w:val="center"/>
                      <w:rPr>
                        <w:szCs w:val="21"/>
                      </w:rPr>
                    </w:pPr>
                  </w:p>
                </w:tc>
              </w:sdtContent>
            </w:sdt>
            <w:sdt>
              <w:sdtPr>
                <w:rPr>
                  <w:rFonts w:hint="eastAsia"/>
                  <w:szCs w:val="21"/>
                </w:rPr>
                <w:alias w:val="固定资产账面原值减少项目金额"/>
                <w:tag w:val="_GBC_86b298d954344511b012e84c48d4404f"/>
                <w:id w:val="-656685461"/>
                <w:lock w:val="sdtLocked"/>
                <w:showingPlcHdr/>
              </w:sdtPr>
              <w:sdtEndPr/>
              <w:sdtContent>
                <w:tc>
                  <w:tcPr>
                    <w:tcW w:w="715" w:type="pct"/>
                    <w:shd w:val="clear" w:color="auto" w:fill="auto"/>
                    <w:vAlign w:val="center"/>
                  </w:tcPr>
                  <w:p w14:paraId="570917DC" w14:textId="77777777" w:rsidR="00471D53" w:rsidRPr="00FE651E" w:rsidRDefault="00B664AF" w:rsidP="00471D53">
                    <w:pPr>
                      <w:jc w:val="center"/>
                      <w:rPr>
                        <w:szCs w:val="21"/>
                      </w:rPr>
                    </w:pPr>
                  </w:p>
                </w:tc>
              </w:sdtContent>
            </w:sdt>
            <w:sdt>
              <w:sdtPr>
                <w:rPr>
                  <w:rFonts w:hint="eastAsia"/>
                  <w:szCs w:val="21"/>
                </w:rPr>
                <w:alias w:val="固定资产账面原值减少项目合计金额"/>
                <w:tag w:val="_GBC_b75b8542395b4972ad2d3a1ea5c4c1d9"/>
                <w:id w:val="1665659296"/>
                <w:lock w:val="sdtLocked"/>
                <w:showingPlcHdr/>
              </w:sdtPr>
              <w:sdtEndPr/>
              <w:sdtContent>
                <w:tc>
                  <w:tcPr>
                    <w:tcW w:w="818" w:type="pct"/>
                    <w:shd w:val="clear" w:color="auto" w:fill="auto"/>
                    <w:vAlign w:val="center"/>
                  </w:tcPr>
                  <w:p w14:paraId="2165AC63" w14:textId="77777777" w:rsidR="00471D53" w:rsidRPr="00FE651E" w:rsidRDefault="004F686E" w:rsidP="00471D53">
                    <w:pPr>
                      <w:jc w:val="center"/>
                      <w:rPr>
                        <w:szCs w:val="21"/>
                      </w:rPr>
                    </w:pPr>
                    <w:r w:rsidRPr="00FE651E">
                      <w:rPr>
                        <w:rFonts w:hint="eastAsia"/>
                        <w:szCs w:val="21"/>
                      </w:rPr>
                      <w:t xml:space="preserve">　</w:t>
                    </w:r>
                  </w:p>
                </w:tc>
              </w:sdtContent>
            </w:sdt>
          </w:tr>
          <w:tr w:rsidR="00471D53" w14:paraId="00966B48" w14:textId="77777777" w:rsidTr="00471D53">
            <w:sdt>
              <w:sdtPr>
                <w:rPr>
                  <w:szCs w:val="21"/>
                </w:rPr>
                <w:tag w:val="_PLD_249206a916954d19ba9495bb5be5eb90"/>
                <w:id w:val="-498499179"/>
                <w:lock w:val="sdtLocked"/>
              </w:sdtPr>
              <w:sdtEndPr/>
              <w:sdtContent>
                <w:tc>
                  <w:tcPr>
                    <w:tcW w:w="533" w:type="pct"/>
                    <w:shd w:val="clear" w:color="auto" w:fill="auto"/>
                  </w:tcPr>
                  <w:p w14:paraId="34B5DC18" w14:textId="77777777" w:rsidR="00471D53" w:rsidRPr="00FE651E" w:rsidRDefault="004F686E" w:rsidP="00471D53">
                    <w:pPr>
                      <w:ind w:firstLineChars="200" w:firstLine="420"/>
                      <w:rPr>
                        <w:szCs w:val="21"/>
                      </w:rPr>
                    </w:pPr>
                    <w:r w:rsidRPr="00FE651E">
                      <w:rPr>
                        <w:rFonts w:hint="eastAsia"/>
                        <w:szCs w:val="21"/>
                      </w:rPr>
                      <w:t>4.期末余额</w:t>
                    </w:r>
                  </w:p>
                </w:tc>
              </w:sdtContent>
            </w:sdt>
            <w:tc>
              <w:tcPr>
                <w:tcW w:w="800" w:type="pct"/>
                <w:shd w:val="clear" w:color="auto" w:fill="auto"/>
                <w:vAlign w:val="center"/>
              </w:tcPr>
              <w:p w14:paraId="2A96080F" w14:textId="77777777" w:rsidR="00471D53" w:rsidRPr="00FE651E" w:rsidRDefault="004F686E" w:rsidP="00471D53">
                <w:pPr>
                  <w:autoSpaceDE w:val="0"/>
                  <w:autoSpaceDN w:val="0"/>
                  <w:jc w:val="center"/>
                  <w:rPr>
                    <w:szCs w:val="21"/>
                  </w:rPr>
                </w:pPr>
                <w:r w:rsidRPr="00FE651E">
                  <w:rPr>
                    <w:rFonts w:hint="eastAsia"/>
                    <w:szCs w:val="21"/>
                  </w:rPr>
                  <w:t>481,783,606.80</w:t>
                </w:r>
              </w:p>
            </w:tc>
            <w:tc>
              <w:tcPr>
                <w:tcW w:w="733" w:type="pct"/>
                <w:shd w:val="clear" w:color="auto" w:fill="auto"/>
                <w:vAlign w:val="center"/>
              </w:tcPr>
              <w:p w14:paraId="58BFE171" w14:textId="77777777" w:rsidR="00471D53" w:rsidRPr="00FE651E" w:rsidRDefault="004F686E" w:rsidP="00471D53">
                <w:pPr>
                  <w:autoSpaceDE w:val="0"/>
                  <w:autoSpaceDN w:val="0"/>
                  <w:jc w:val="center"/>
                  <w:rPr>
                    <w:szCs w:val="21"/>
                  </w:rPr>
                </w:pPr>
                <w:r w:rsidRPr="00FE651E">
                  <w:rPr>
                    <w:rFonts w:hint="eastAsia"/>
                    <w:szCs w:val="21"/>
                  </w:rPr>
                  <w:t>619,058,384.26</w:t>
                </w:r>
              </w:p>
            </w:tc>
            <w:tc>
              <w:tcPr>
                <w:tcW w:w="712" w:type="pct"/>
                <w:shd w:val="clear" w:color="auto" w:fill="auto"/>
                <w:vAlign w:val="center"/>
              </w:tcPr>
              <w:p w14:paraId="54389C84" w14:textId="77777777" w:rsidR="00471D53" w:rsidRPr="00FE651E" w:rsidRDefault="004F686E" w:rsidP="00471D53">
                <w:pPr>
                  <w:autoSpaceDE w:val="0"/>
                  <w:autoSpaceDN w:val="0"/>
                  <w:jc w:val="center"/>
                  <w:rPr>
                    <w:szCs w:val="21"/>
                  </w:rPr>
                </w:pPr>
                <w:r w:rsidRPr="00FE651E">
                  <w:rPr>
                    <w:rFonts w:hint="eastAsia"/>
                    <w:szCs w:val="21"/>
                  </w:rPr>
                  <w:t>17,810,116.55</w:t>
                </w:r>
              </w:p>
            </w:tc>
            <w:tc>
              <w:tcPr>
                <w:tcW w:w="688" w:type="pct"/>
                <w:shd w:val="clear" w:color="auto" w:fill="auto"/>
                <w:vAlign w:val="center"/>
              </w:tcPr>
              <w:p w14:paraId="1AD96672" w14:textId="77777777" w:rsidR="00471D53" w:rsidRPr="00FE651E" w:rsidRDefault="004F686E" w:rsidP="00471D53">
                <w:pPr>
                  <w:autoSpaceDE w:val="0"/>
                  <w:autoSpaceDN w:val="0"/>
                  <w:jc w:val="center"/>
                  <w:rPr>
                    <w:szCs w:val="21"/>
                  </w:rPr>
                </w:pPr>
                <w:r w:rsidRPr="00FE651E">
                  <w:rPr>
                    <w:rFonts w:hint="eastAsia"/>
                    <w:szCs w:val="21"/>
                  </w:rPr>
                  <w:t>8,815,138.79</w:t>
                </w:r>
              </w:p>
            </w:tc>
            <w:tc>
              <w:tcPr>
                <w:tcW w:w="715" w:type="pct"/>
                <w:shd w:val="clear" w:color="auto" w:fill="auto"/>
                <w:vAlign w:val="center"/>
              </w:tcPr>
              <w:p w14:paraId="213BEBDF" w14:textId="77777777" w:rsidR="00471D53" w:rsidRPr="00FE651E" w:rsidRDefault="004F686E" w:rsidP="00471D53">
                <w:pPr>
                  <w:autoSpaceDE w:val="0"/>
                  <w:autoSpaceDN w:val="0"/>
                  <w:jc w:val="center"/>
                  <w:rPr>
                    <w:szCs w:val="21"/>
                  </w:rPr>
                </w:pPr>
                <w:r w:rsidRPr="00FE651E">
                  <w:rPr>
                    <w:rFonts w:hint="eastAsia"/>
                    <w:szCs w:val="21"/>
                  </w:rPr>
                  <w:t>5,331,959.24</w:t>
                </w:r>
              </w:p>
            </w:tc>
            <w:tc>
              <w:tcPr>
                <w:tcW w:w="818" w:type="pct"/>
                <w:shd w:val="clear" w:color="auto" w:fill="auto"/>
                <w:vAlign w:val="center"/>
              </w:tcPr>
              <w:p w14:paraId="12D4964B" w14:textId="77777777" w:rsidR="00471D53" w:rsidRPr="00FE651E" w:rsidRDefault="004F686E" w:rsidP="00471D53">
                <w:pPr>
                  <w:autoSpaceDE w:val="0"/>
                  <w:autoSpaceDN w:val="0"/>
                  <w:jc w:val="center"/>
                  <w:rPr>
                    <w:szCs w:val="21"/>
                  </w:rPr>
                </w:pPr>
                <w:r w:rsidRPr="00FE651E">
                  <w:rPr>
                    <w:rFonts w:hint="eastAsia"/>
                    <w:szCs w:val="21"/>
                  </w:rPr>
                  <w:t>1,132,799,205.64</w:t>
                </w:r>
              </w:p>
            </w:tc>
          </w:tr>
          <w:tr w:rsidR="00471D53" w14:paraId="620AF86B" w14:textId="77777777" w:rsidTr="00471D53">
            <w:sdt>
              <w:sdtPr>
                <w:rPr>
                  <w:szCs w:val="21"/>
                </w:rPr>
                <w:tag w:val="_PLD_3b9a984e6e834331844252acd1c6a321"/>
                <w:id w:val="-1735456188"/>
                <w:lock w:val="sdtLocked"/>
              </w:sdtPr>
              <w:sdtEndPr/>
              <w:sdtContent>
                <w:tc>
                  <w:tcPr>
                    <w:tcW w:w="533" w:type="pct"/>
                    <w:shd w:val="clear" w:color="auto" w:fill="auto"/>
                  </w:tcPr>
                  <w:p w14:paraId="259E46D4" w14:textId="77777777" w:rsidR="00471D53" w:rsidRPr="00FE651E" w:rsidRDefault="004F686E" w:rsidP="00471D53">
                    <w:pPr>
                      <w:rPr>
                        <w:szCs w:val="21"/>
                      </w:rPr>
                    </w:pPr>
                    <w:r w:rsidRPr="00FE651E">
                      <w:rPr>
                        <w:rFonts w:hint="eastAsia"/>
                        <w:szCs w:val="21"/>
                      </w:rPr>
                      <w:t>二、累计折旧</w:t>
                    </w:r>
                  </w:p>
                </w:tc>
              </w:sdtContent>
            </w:sdt>
            <w:tc>
              <w:tcPr>
                <w:tcW w:w="800" w:type="pct"/>
                <w:shd w:val="clear" w:color="auto" w:fill="auto"/>
                <w:vAlign w:val="center"/>
              </w:tcPr>
              <w:p w14:paraId="7E23ABDE" w14:textId="77777777" w:rsidR="00471D53" w:rsidRPr="00FE651E" w:rsidRDefault="00B664AF" w:rsidP="00471D53">
                <w:pPr>
                  <w:jc w:val="center"/>
                  <w:rPr>
                    <w:szCs w:val="21"/>
                  </w:rPr>
                </w:pPr>
              </w:p>
            </w:tc>
            <w:tc>
              <w:tcPr>
                <w:tcW w:w="733" w:type="pct"/>
                <w:shd w:val="clear" w:color="auto" w:fill="auto"/>
                <w:vAlign w:val="center"/>
              </w:tcPr>
              <w:p w14:paraId="39855ADC" w14:textId="77777777" w:rsidR="00471D53" w:rsidRPr="00FE651E" w:rsidRDefault="00B664AF" w:rsidP="00471D53">
                <w:pPr>
                  <w:jc w:val="center"/>
                  <w:rPr>
                    <w:szCs w:val="21"/>
                  </w:rPr>
                </w:pPr>
              </w:p>
            </w:tc>
            <w:tc>
              <w:tcPr>
                <w:tcW w:w="712" w:type="pct"/>
                <w:shd w:val="clear" w:color="auto" w:fill="auto"/>
                <w:vAlign w:val="center"/>
              </w:tcPr>
              <w:p w14:paraId="4BFB8376" w14:textId="77777777" w:rsidR="00471D53" w:rsidRPr="00FE651E" w:rsidRDefault="00B664AF" w:rsidP="00471D53">
                <w:pPr>
                  <w:jc w:val="center"/>
                  <w:rPr>
                    <w:szCs w:val="21"/>
                  </w:rPr>
                </w:pPr>
              </w:p>
            </w:tc>
            <w:tc>
              <w:tcPr>
                <w:tcW w:w="688" w:type="pct"/>
                <w:shd w:val="clear" w:color="auto" w:fill="auto"/>
                <w:vAlign w:val="center"/>
              </w:tcPr>
              <w:p w14:paraId="0AEF2208" w14:textId="77777777" w:rsidR="00471D53" w:rsidRPr="00FE651E" w:rsidRDefault="00B664AF" w:rsidP="00471D53">
                <w:pPr>
                  <w:jc w:val="center"/>
                  <w:rPr>
                    <w:szCs w:val="21"/>
                  </w:rPr>
                </w:pPr>
              </w:p>
            </w:tc>
            <w:tc>
              <w:tcPr>
                <w:tcW w:w="715" w:type="pct"/>
                <w:shd w:val="clear" w:color="auto" w:fill="auto"/>
                <w:vAlign w:val="center"/>
              </w:tcPr>
              <w:p w14:paraId="12F9506B" w14:textId="77777777" w:rsidR="00471D53" w:rsidRPr="00FE651E" w:rsidRDefault="00B664AF" w:rsidP="00471D53">
                <w:pPr>
                  <w:jc w:val="center"/>
                  <w:rPr>
                    <w:szCs w:val="21"/>
                  </w:rPr>
                </w:pPr>
              </w:p>
            </w:tc>
            <w:tc>
              <w:tcPr>
                <w:tcW w:w="818" w:type="pct"/>
                <w:shd w:val="clear" w:color="auto" w:fill="auto"/>
                <w:vAlign w:val="center"/>
              </w:tcPr>
              <w:p w14:paraId="018EE59A" w14:textId="77777777" w:rsidR="00471D53" w:rsidRPr="00FE651E" w:rsidRDefault="00B664AF" w:rsidP="00471D53">
                <w:pPr>
                  <w:jc w:val="center"/>
                  <w:rPr>
                    <w:szCs w:val="21"/>
                  </w:rPr>
                </w:pPr>
              </w:p>
            </w:tc>
          </w:tr>
          <w:tr w:rsidR="00471D53" w14:paraId="472FAA9B" w14:textId="77777777" w:rsidTr="00471D53">
            <w:sdt>
              <w:sdtPr>
                <w:rPr>
                  <w:szCs w:val="21"/>
                </w:rPr>
                <w:tag w:val="_PLD_f4ae2b083a314e62b85f562d3dbe5c24"/>
                <w:id w:val="648173990"/>
                <w:lock w:val="sdtLocked"/>
              </w:sdtPr>
              <w:sdtEndPr/>
              <w:sdtContent>
                <w:tc>
                  <w:tcPr>
                    <w:tcW w:w="533" w:type="pct"/>
                    <w:shd w:val="clear" w:color="auto" w:fill="auto"/>
                  </w:tcPr>
                  <w:p w14:paraId="59E918E8" w14:textId="77777777" w:rsidR="00471D53" w:rsidRPr="00FE651E" w:rsidRDefault="004F686E" w:rsidP="00471D53">
                    <w:pPr>
                      <w:ind w:firstLineChars="200" w:firstLine="420"/>
                      <w:rPr>
                        <w:szCs w:val="21"/>
                      </w:rPr>
                    </w:pPr>
                    <w:r w:rsidRPr="00FE651E">
                      <w:rPr>
                        <w:szCs w:val="21"/>
                      </w:rPr>
                      <w:t>1.</w:t>
                    </w:r>
                    <w:r w:rsidRPr="00FE651E">
                      <w:rPr>
                        <w:rFonts w:hint="eastAsia"/>
                        <w:szCs w:val="21"/>
                      </w:rPr>
                      <w:t>期初余额</w:t>
                    </w:r>
                  </w:p>
                </w:tc>
              </w:sdtContent>
            </w:sdt>
            <w:tc>
              <w:tcPr>
                <w:tcW w:w="800" w:type="pct"/>
                <w:shd w:val="clear" w:color="auto" w:fill="auto"/>
                <w:vAlign w:val="center"/>
              </w:tcPr>
              <w:p w14:paraId="60D1DC24" w14:textId="77777777" w:rsidR="00471D53" w:rsidRPr="00FE651E" w:rsidRDefault="004F686E" w:rsidP="00471D53">
                <w:pPr>
                  <w:autoSpaceDE w:val="0"/>
                  <w:autoSpaceDN w:val="0"/>
                  <w:jc w:val="center"/>
                  <w:rPr>
                    <w:szCs w:val="21"/>
                  </w:rPr>
                </w:pPr>
                <w:r w:rsidRPr="00FE651E">
                  <w:rPr>
                    <w:rFonts w:hint="eastAsia"/>
                    <w:szCs w:val="21"/>
                  </w:rPr>
                  <w:t>100,055,405.79</w:t>
                </w:r>
              </w:p>
            </w:tc>
            <w:tc>
              <w:tcPr>
                <w:tcW w:w="733" w:type="pct"/>
                <w:shd w:val="clear" w:color="auto" w:fill="auto"/>
                <w:vAlign w:val="center"/>
              </w:tcPr>
              <w:p w14:paraId="6DF73003" w14:textId="77777777" w:rsidR="00471D53" w:rsidRPr="00FE651E" w:rsidRDefault="004F686E" w:rsidP="00471D53">
                <w:pPr>
                  <w:autoSpaceDE w:val="0"/>
                  <w:autoSpaceDN w:val="0"/>
                  <w:jc w:val="center"/>
                  <w:outlineLvl w:val="0"/>
                  <w:rPr>
                    <w:szCs w:val="21"/>
                  </w:rPr>
                </w:pPr>
                <w:r w:rsidRPr="00FE651E">
                  <w:rPr>
                    <w:rFonts w:hint="eastAsia"/>
                    <w:szCs w:val="21"/>
                  </w:rPr>
                  <w:t>384,373,108.40</w:t>
                </w:r>
              </w:p>
            </w:tc>
            <w:tc>
              <w:tcPr>
                <w:tcW w:w="712" w:type="pct"/>
                <w:shd w:val="clear" w:color="auto" w:fill="auto"/>
                <w:vAlign w:val="center"/>
              </w:tcPr>
              <w:p w14:paraId="3EF9C240" w14:textId="77777777" w:rsidR="00471D53" w:rsidRPr="00FE651E" w:rsidRDefault="004F686E" w:rsidP="00471D53">
                <w:pPr>
                  <w:autoSpaceDE w:val="0"/>
                  <w:autoSpaceDN w:val="0"/>
                  <w:jc w:val="center"/>
                  <w:outlineLvl w:val="0"/>
                  <w:rPr>
                    <w:szCs w:val="21"/>
                  </w:rPr>
                </w:pPr>
                <w:r w:rsidRPr="00FE651E">
                  <w:rPr>
                    <w:rFonts w:hint="eastAsia"/>
                    <w:szCs w:val="21"/>
                  </w:rPr>
                  <w:t>12,405,020.54</w:t>
                </w:r>
              </w:p>
            </w:tc>
            <w:tc>
              <w:tcPr>
                <w:tcW w:w="688" w:type="pct"/>
                <w:shd w:val="clear" w:color="auto" w:fill="auto"/>
                <w:vAlign w:val="center"/>
              </w:tcPr>
              <w:p w14:paraId="0E9DDF1B" w14:textId="77777777" w:rsidR="00471D53" w:rsidRPr="00FE651E" w:rsidRDefault="004F686E" w:rsidP="00471D53">
                <w:pPr>
                  <w:jc w:val="center"/>
                  <w:rPr>
                    <w:szCs w:val="21"/>
                  </w:rPr>
                </w:pPr>
                <w:r w:rsidRPr="00FE651E">
                  <w:rPr>
                    <w:rFonts w:hint="eastAsia"/>
                    <w:szCs w:val="21"/>
                  </w:rPr>
                  <w:t>6,578,282.52</w:t>
                </w:r>
              </w:p>
            </w:tc>
            <w:tc>
              <w:tcPr>
                <w:tcW w:w="715" w:type="pct"/>
                <w:shd w:val="clear" w:color="auto" w:fill="auto"/>
                <w:vAlign w:val="center"/>
              </w:tcPr>
              <w:p w14:paraId="5984B7B8" w14:textId="77777777" w:rsidR="00471D53" w:rsidRPr="00FE651E" w:rsidRDefault="004F686E" w:rsidP="00471D53">
                <w:pPr>
                  <w:jc w:val="center"/>
                  <w:rPr>
                    <w:szCs w:val="21"/>
                  </w:rPr>
                </w:pPr>
                <w:r w:rsidRPr="00FE651E">
                  <w:rPr>
                    <w:rFonts w:hint="eastAsia"/>
                    <w:szCs w:val="21"/>
                  </w:rPr>
                  <w:t>2,812,693.19</w:t>
                </w:r>
              </w:p>
            </w:tc>
            <w:tc>
              <w:tcPr>
                <w:tcW w:w="818" w:type="pct"/>
                <w:shd w:val="clear" w:color="auto" w:fill="auto"/>
                <w:vAlign w:val="center"/>
              </w:tcPr>
              <w:p w14:paraId="5388EE6D" w14:textId="77777777" w:rsidR="00471D53" w:rsidRPr="00FE651E" w:rsidRDefault="004F686E" w:rsidP="00471D53">
                <w:pPr>
                  <w:autoSpaceDE w:val="0"/>
                  <w:autoSpaceDN w:val="0"/>
                  <w:jc w:val="center"/>
                  <w:outlineLvl w:val="0"/>
                  <w:rPr>
                    <w:szCs w:val="21"/>
                  </w:rPr>
                </w:pPr>
                <w:r w:rsidRPr="00FE651E">
                  <w:rPr>
                    <w:rFonts w:hint="eastAsia"/>
                    <w:szCs w:val="21"/>
                  </w:rPr>
                  <w:t>506,224,510.44</w:t>
                </w:r>
              </w:p>
            </w:tc>
          </w:tr>
          <w:tr w:rsidR="00471D53" w14:paraId="248E7333" w14:textId="77777777" w:rsidTr="00471D53">
            <w:sdt>
              <w:sdtPr>
                <w:rPr>
                  <w:szCs w:val="21"/>
                </w:rPr>
                <w:tag w:val="_PLD_5f15b887e02c4ec6b52b0f15c4e97c9c"/>
                <w:id w:val="-1936744872"/>
                <w:lock w:val="sdtLocked"/>
              </w:sdtPr>
              <w:sdtEndPr/>
              <w:sdtContent>
                <w:tc>
                  <w:tcPr>
                    <w:tcW w:w="533" w:type="pct"/>
                    <w:shd w:val="clear" w:color="auto" w:fill="auto"/>
                  </w:tcPr>
                  <w:p w14:paraId="0AB0E270" w14:textId="77777777" w:rsidR="00471D53" w:rsidRPr="00FE651E" w:rsidRDefault="004F686E" w:rsidP="00471D53">
                    <w:pPr>
                      <w:ind w:firstLineChars="200" w:firstLine="420"/>
                      <w:rPr>
                        <w:szCs w:val="21"/>
                      </w:rPr>
                    </w:pPr>
                    <w:r w:rsidRPr="00FE651E">
                      <w:rPr>
                        <w:szCs w:val="21"/>
                      </w:rPr>
                      <w:t>2.</w:t>
                    </w:r>
                    <w:r w:rsidRPr="00FE651E">
                      <w:rPr>
                        <w:rFonts w:hint="eastAsia"/>
                        <w:szCs w:val="21"/>
                      </w:rPr>
                      <w:t>本期增加金额</w:t>
                    </w:r>
                  </w:p>
                </w:tc>
              </w:sdtContent>
            </w:sdt>
            <w:tc>
              <w:tcPr>
                <w:tcW w:w="800" w:type="pct"/>
                <w:shd w:val="clear" w:color="auto" w:fill="auto"/>
                <w:vAlign w:val="center"/>
              </w:tcPr>
              <w:p w14:paraId="19247B99" w14:textId="77777777" w:rsidR="00471D53" w:rsidRPr="00FE651E" w:rsidRDefault="004F686E" w:rsidP="00471D53">
                <w:pPr>
                  <w:autoSpaceDE w:val="0"/>
                  <w:autoSpaceDN w:val="0"/>
                  <w:jc w:val="center"/>
                  <w:rPr>
                    <w:szCs w:val="21"/>
                  </w:rPr>
                </w:pPr>
                <w:r w:rsidRPr="00FE651E">
                  <w:rPr>
                    <w:rFonts w:hint="eastAsia"/>
                    <w:szCs w:val="21"/>
                  </w:rPr>
                  <w:t>5,629,979.26</w:t>
                </w:r>
              </w:p>
            </w:tc>
            <w:tc>
              <w:tcPr>
                <w:tcW w:w="733" w:type="pct"/>
                <w:shd w:val="clear" w:color="auto" w:fill="auto"/>
                <w:vAlign w:val="center"/>
              </w:tcPr>
              <w:p w14:paraId="27A6663D" w14:textId="77777777" w:rsidR="00471D53" w:rsidRPr="00FE651E" w:rsidRDefault="004F686E" w:rsidP="00471D53">
                <w:pPr>
                  <w:autoSpaceDE w:val="0"/>
                  <w:autoSpaceDN w:val="0"/>
                  <w:jc w:val="center"/>
                  <w:rPr>
                    <w:szCs w:val="21"/>
                  </w:rPr>
                </w:pPr>
                <w:r w:rsidRPr="00FE651E">
                  <w:rPr>
                    <w:szCs w:val="21"/>
                  </w:rPr>
                  <w:t>18,586,524.67</w:t>
                </w:r>
              </w:p>
            </w:tc>
            <w:tc>
              <w:tcPr>
                <w:tcW w:w="712" w:type="pct"/>
                <w:shd w:val="clear" w:color="auto" w:fill="auto"/>
                <w:vAlign w:val="center"/>
              </w:tcPr>
              <w:p w14:paraId="35ACFAD7" w14:textId="77777777" w:rsidR="00471D53" w:rsidRPr="00FE651E" w:rsidRDefault="004F686E" w:rsidP="00471D53">
                <w:pPr>
                  <w:autoSpaceDE w:val="0"/>
                  <w:autoSpaceDN w:val="0"/>
                  <w:jc w:val="center"/>
                  <w:rPr>
                    <w:szCs w:val="21"/>
                  </w:rPr>
                </w:pPr>
                <w:r w:rsidRPr="00FE651E">
                  <w:rPr>
                    <w:rFonts w:hint="eastAsia"/>
                    <w:szCs w:val="21"/>
                  </w:rPr>
                  <w:t>463,668.43</w:t>
                </w:r>
              </w:p>
            </w:tc>
            <w:tc>
              <w:tcPr>
                <w:tcW w:w="688" w:type="pct"/>
                <w:shd w:val="clear" w:color="auto" w:fill="auto"/>
                <w:vAlign w:val="center"/>
              </w:tcPr>
              <w:p w14:paraId="481FEB4A" w14:textId="77777777" w:rsidR="00471D53" w:rsidRPr="00FE651E" w:rsidRDefault="004F686E" w:rsidP="00471D53">
                <w:pPr>
                  <w:autoSpaceDE w:val="0"/>
                  <w:autoSpaceDN w:val="0"/>
                  <w:jc w:val="center"/>
                  <w:rPr>
                    <w:szCs w:val="21"/>
                  </w:rPr>
                </w:pPr>
                <w:r w:rsidRPr="00FE651E">
                  <w:rPr>
                    <w:rFonts w:hint="eastAsia"/>
                    <w:szCs w:val="21"/>
                  </w:rPr>
                  <w:t>182,563.89</w:t>
                </w:r>
              </w:p>
            </w:tc>
            <w:tc>
              <w:tcPr>
                <w:tcW w:w="715" w:type="pct"/>
                <w:shd w:val="clear" w:color="auto" w:fill="auto"/>
                <w:vAlign w:val="center"/>
              </w:tcPr>
              <w:p w14:paraId="0B923FEA" w14:textId="77777777" w:rsidR="00471D53" w:rsidRPr="00FE651E" w:rsidRDefault="004F686E" w:rsidP="00471D53">
                <w:pPr>
                  <w:autoSpaceDE w:val="0"/>
                  <w:autoSpaceDN w:val="0"/>
                  <w:jc w:val="center"/>
                  <w:rPr>
                    <w:szCs w:val="21"/>
                  </w:rPr>
                </w:pPr>
                <w:r w:rsidRPr="00FE651E">
                  <w:rPr>
                    <w:rFonts w:hint="eastAsia"/>
                    <w:szCs w:val="21"/>
                  </w:rPr>
                  <w:t>51,458.97</w:t>
                </w:r>
              </w:p>
            </w:tc>
            <w:tc>
              <w:tcPr>
                <w:tcW w:w="818" w:type="pct"/>
                <w:shd w:val="clear" w:color="auto" w:fill="auto"/>
                <w:vAlign w:val="center"/>
              </w:tcPr>
              <w:p w14:paraId="04AAB92C" w14:textId="77777777" w:rsidR="00471D53" w:rsidRPr="00FE651E" w:rsidRDefault="004F686E" w:rsidP="00471D53">
                <w:pPr>
                  <w:autoSpaceDE w:val="0"/>
                  <w:autoSpaceDN w:val="0"/>
                  <w:jc w:val="center"/>
                  <w:rPr>
                    <w:szCs w:val="21"/>
                  </w:rPr>
                </w:pPr>
                <w:r w:rsidRPr="00FE651E">
                  <w:rPr>
                    <w:szCs w:val="21"/>
                  </w:rPr>
                  <w:t>24,914,195.22</w:t>
                </w:r>
              </w:p>
            </w:tc>
          </w:tr>
          <w:tr w:rsidR="00471D53" w14:paraId="1777B96F" w14:textId="77777777" w:rsidTr="00471D53">
            <w:sdt>
              <w:sdtPr>
                <w:rPr>
                  <w:szCs w:val="21"/>
                </w:rPr>
                <w:tag w:val="_PLD_8957ada504474bfcb99282b7912be7e4"/>
                <w:id w:val="-330301514"/>
                <w:lock w:val="sdtLocked"/>
              </w:sdtPr>
              <w:sdtEndPr/>
              <w:sdtContent>
                <w:tc>
                  <w:tcPr>
                    <w:tcW w:w="533" w:type="pct"/>
                    <w:shd w:val="clear" w:color="auto" w:fill="auto"/>
                  </w:tcPr>
                  <w:p w14:paraId="07E6376F" w14:textId="77777777" w:rsidR="00471D53" w:rsidRPr="00FE651E" w:rsidRDefault="004F686E" w:rsidP="00471D53">
                    <w:pPr>
                      <w:ind w:firstLineChars="300" w:firstLine="630"/>
                      <w:rPr>
                        <w:szCs w:val="21"/>
                      </w:rPr>
                    </w:pPr>
                    <w:r w:rsidRPr="00FE651E">
                      <w:rPr>
                        <w:rFonts w:hint="eastAsia"/>
                        <w:szCs w:val="21"/>
                      </w:rPr>
                      <w:t>（1）计提</w:t>
                    </w:r>
                  </w:p>
                </w:tc>
              </w:sdtContent>
            </w:sdt>
            <w:tc>
              <w:tcPr>
                <w:tcW w:w="800" w:type="pct"/>
                <w:shd w:val="clear" w:color="auto" w:fill="auto"/>
                <w:vAlign w:val="center"/>
              </w:tcPr>
              <w:p w14:paraId="12E5C0B9" w14:textId="77777777" w:rsidR="00471D53" w:rsidRPr="00FE651E" w:rsidRDefault="004F686E" w:rsidP="00471D53">
                <w:pPr>
                  <w:autoSpaceDE w:val="0"/>
                  <w:autoSpaceDN w:val="0"/>
                  <w:jc w:val="center"/>
                  <w:rPr>
                    <w:szCs w:val="21"/>
                  </w:rPr>
                </w:pPr>
                <w:r w:rsidRPr="00FE651E">
                  <w:rPr>
                    <w:rFonts w:hint="eastAsia"/>
                    <w:szCs w:val="21"/>
                  </w:rPr>
                  <w:t>5,629,979.26</w:t>
                </w:r>
              </w:p>
            </w:tc>
            <w:tc>
              <w:tcPr>
                <w:tcW w:w="733" w:type="pct"/>
                <w:shd w:val="clear" w:color="auto" w:fill="auto"/>
                <w:vAlign w:val="center"/>
              </w:tcPr>
              <w:p w14:paraId="131F47D0" w14:textId="77777777" w:rsidR="00471D53" w:rsidRPr="00FE651E" w:rsidRDefault="004F686E" w:rsidP="00471D53">
                <w:pPr>
                  <w:autoSpaceDE w:val="0"/>
                  <w:autoSpaceDN w:val="0"/>
                  <w:jc w:val="center"/>
                  <w:rPr>
                    <w:szCs w:val="21"/>
                  </w:rPr>
                </w:pPr>
                <w:r w:rsidRPr="00FE651E">
                  <w:rPr>
                    <w:szCs w:val="21"/>
                  </w:rPr>
                  <w:t>18,586,524.67</w:t>
                </w:r>
              </w:p>
            </w:tc>
            <w:tc>
              <w:tcPr>
                <w:tcW w:w="712" w:type="pct"/>
                <w:shd w:val="clear" w:color="auto" w:fill="auto"/>
                <w:vAlign w:val="center"/>
              </w:tcPr>
              <w:p w14:paraId="3212AF6F" w14:textId="77777777" w:rsidR="00471D53" w:rsidRPr="00FE651E" w:rsidRDefault="004F686E" w:rsidP="00471D53">
                <w:pPr>
                  <w:autoSpaceDE w:val="0"/>
                  <w:autoSpaceDN w:val="0"/>
                  <w:jc w:val="center"/>
                  <w:rPr>
                    <w:szCs w:val="21"/>
                  </w:rPr>
                </w:pPr>
                <w:r w:rsidRPr="00FE651E">
                  <w:rPr>
                    <w:rFonts w:hint="eastAsia"/>
                    <w:szCs w:val="21"/>
                  </w:rPr>
                  <w:t>463,668.43</w:t>
                </w:r>
              </w:p>
            </w:tc>
            <w:tc>
              <w:tcPr>
                <w:tcW w:w="688" w:type="pct"/>
                <w:shd w:val="clear" w:color="auto" w:fill="auto"/>
                <w:vAlign w:val="center"/>
              </w:tcPr>
              <w:p w14:paraId="11E109FF" w14:textId="77777777" w:rsidR="00471D53" w:rsidRPr="00FE651E" w:rsidRDefault="004F686E" w:rsidP="00471D53">
                <w:pPr>
                  <w:autoSpaceDE w:val="0"/>
                  <w:autoSpaceDN w:val="0"/>
                  <w:jc w:val="center"/>
                  <w:rPr>
                    <w:szCs w:val="21"/>
                  </w:rPr>
                </w:pPr>
                <w:r w:rsidRPr="00FE651E">
                  <w:rPr>
                    <w:rFonts w:hint="eastAsia"/>
                    <w:szCs w:val="21"/>
                  </w:rPr>
                  <w:t>182,563.89</w:t>
                </w:r>
              </w:p>
            </w:tc>
            <w:tc>
              <w:tcPr>
                <w:tcW w:w="715" w:type="pct"/>
                <w:shd w:val="clear" w:color="auto" w:fill="auto"/>
                <w:vAlign w:val="center"/>
              </w:tcPr>
              <w:p w14:paraId="014938DB" w14:textId="77777777" w:rsidR="00471D53" w:rsidRPr="00FE651E" w:rsidRDefault="004F686E" w:rsidP="00471D53">
                <w:pPr>
                  <w:autoSpaceDE w:val="0"/>
                  <w:autoSpaceDN w:val="0"/>
                  <w:jc w:val="center"/>
                  <w:rPr>
                    <w:szCs w:val="21"/>
                  </w:rPr>
                </w:pPr>
                <w:r w:rsidRPr="00FE651E">
                  <w:rPr>
                    <w:rFonts w:hint="eastAsia"/>
                    <w:szCs w:val="21"/>
                  </w:rPr>
                  <w:t>51,458.97</w:t>
                </w:r>
              </w:p>
            </w:tc>
            <w:tc>
              <w:tcPr>
                <w:tcW w:w="818" w:type="pct"/>
                <w:shd w:val="clear" w:color="auto" w:fill="auto"/>
                <w:vAlign w:val="center"/>
              </w:tcPr>
              <w:p w14:paraId="7116EC64" w14:textId="77777777" w:rsidR="00471D53" w:rsidRPr="00FE651E" w:rsidRDefault="004F686E" w:rsidP="00471D53">
                <w:pPr>
                  <w:autoSpaceDE w:val="0"/>
                  <w:autoSpaceDN w:val="0"/>
                  <w:jc w:val="center"/>
                  <w:rPr>
                    <w:szCs w:val="21"/>
                  </w:rPr>
                </w:pPr>
                <w:r w:rsidRPr="00FE651E">
                  <w:rPr>
                    <w:szCs w:val="21"/>
                  </w:rPr>
                  <w:t>24,914,195.22</w:t>
                </w:r>
              </w:p>
            </w:tc>
          </w:tr>
          <w:tr w:rsidR="00471D53" w14:paraId="643A93E4" w14:textId="77777777" w:rsidTr="00471D53">
            <w:sdt>
              <w:sdtPr>
                <w:rPr>
                  <w:rFonts w:hint="eastAsia"/>
                  <w:szCs w:val="21"/>
                </w:rPr>
                <w:alias w:val="固定资产累计折旧增加项目名称"/>
                <w:tag w:val="_GBC_0965865fe56240ca9467fb856bda8c28"/>
                <w:id w:val="1241843531"/>
                <w:lock w:val="sdtLocked"/>
                <w:showingPlcHdr/>
              </w:sdtPr>
              <w:sdtEndPr/>
              <w:sdtContent>
                <w:tc>
                  <w:tcPr>
                    <w:tcW w:w="533" w:type="pct"/>
                    <w:shd w:val="clear" w:color="auto" w:fill="auto"/>
                  </w:tcPr>
                  <w:p w14:paraId="67119523" w14:textId="77777777" w:rsidR="00471D53" w:rsidRPr="00FE651E" w:rsidRDefault="004F686E" w:rsidP="00471D53">
                    <w:pPr>
                      <w:ind w:firstLineChars="300" w:firstLine="630"/>
                      <w:rPr>
                        <w:szCs w:val="21"/>
                      </w:rPr>
                    </w:pPr>
                    <w:r w:rsidRPr="00FE651E">
                      <w:rPr>
                        <w:rFonts w:hint="eastAsia"/>
                        <w:szCs w:val="21"/>
                      </w:rPr>
                      <w:t xml:space="preserve">　</w:t>
                    </w:r>
                  </w:p>
                </w:tc>
              </w:sdtContent>
            </w:sdt>
            <w:sdt>
              <w:sdtPr>
                <w:rPr>
                  <w:rFonts w:hint="eastAsia"/>
                  <w:szCs w:val="21"/>
                </w:rPr>
                <w:alias w:val="固定资产累计折旧增加项目金额"/>
                <w:tag w:val="_GBC_4f471bfa60bb4fd284527a4bd35a106e"/>
                <w:id w:val="206688608"/>
                <w:lock w:val="sdtLocked"/>
                <w:showingPlcHdr/>
              </w:sdtPr>
              <w:sdtEndPr/>
              <w:sdtContent>
                <w:tc>
                  <w:tcPr>
                    <w:tcW w:w="800" w:type="pct"/>
                    <w:shd w:val="clear" w:color="auto" w:fill="auto"/>
                    <w:vAlign w:val="center"/>
                  </w:tcPr>
                  <w:p w14:paraId="580F5596" w14:textId="77777777" w:rsidR="00471D53" w:rsidRPr="00FE651E" w:rsidRDefault="004F686E" w:rsidP="00471D53">
                    <w:pPr>
                      <w:jc w:val="center"/>
                      <w:rPr>
                        <w:szCs w:val="21"/>
                      </w:rPr>
                    </w:pPr>
                    <w:r w:rsidRPr="00FE651E">
                      <w:rPr>
                        <w:rFonts w:hint="eastAsia"/>
                        <w:szCs w:val="21"/>
                      </w:rPr>
                      <w:t xml:space="preserve">　</w:t>
                    </w:r>
                  </w:p>
                </w:tc>
              </w:sdtContent>
            </w:sdt>
            <w:sdt>
              <w:sdtPr>
                <w:rPr>
                  <w:rFonts w:hint="eastAsia"/>
                  <w:szCs w:val="21"/>
                </w:rPr>
                <w:alias w:val="固定资产累计折旧增加项目金额"/>
                <w:tag w:val="_GBC_4f471bfa60bb4fd284527a4bd35a106e"/>
                <w:id w:val="-1362812320"/>
                <w:lock w:val="sdtLocked"/>
                <w:showingPlcHdr/>
              </w:sdtPr>
              <w:sdtEndPr/>
              <w:sdtContent>
                <w:tc>
                  <w:tcPr>
                    <w:tcW w:w="733" w:type="pct"/>
                    <w:shd w:val="clear" w:color="auto" w:fill="auto"/>
                    <w:vAlign w:val="center"/>
                  </w:tcPr>
                  <w:p w14:paraId="4F00BB94" w14:textId="77777777" w:rsidR="00471D53" w:rsidRPr="00FE651E" w:rsidRDefault="004F686E" w:rsidP="00471D53">
                    <w:pPr>
                      <w:jc w:val="center"/>
                      <w:rPr>
                        <w:szCs w:val="21"/>
                      </w:rPr>
                    </w:pPr>
                    <w:r w:rsidRPr="00FE651E">
                      <w:rPr>
                        <w:rFonts w:hint="eastAsia"/>
                        <w:szCs w:val="21"/>
                      </w:rPr>
                      <w:t xml:space="preserve">　</w:t>
                    </w:r>
                  </w:p>
                </w:tc>
              </w:sdtContent>
            </w:sdt>
            <w:sdt>
              <w:sdtPr>
                <w:rPr>
                  <w:rFonts w:hint="eastAsia"/>
                  <w:szCs w:val="21"/>
                </w:rPr>
                <w:alias w:val="固定资产累计折旧增加项目金额"/>
                <w:tag w:val="_GBC_4f471bfa60bb4fd284527a4bd35a106e"/>
                <w:id w:val="-79990028"/>
                <w:lock w:val="sdtLocked"/>
                <w:showingPlcHdr/>
              </w:sdtPr>
              <w:sdtEndPr/>
              <w:sdtContent>
                <w:tc>
                  <w:tcPr>
                    <w:tcW w:w="712" w:type="pct"/>
                    <w:shd w:val="clear" w:color="auto" w:fill="auto"/>
                    <w:vAlign w:val="center"/>
                  </w:tcPr>
                  <w:p w14:paraId="76240C61" w14:textId="77777777" w:rsidR="00471D53" w:rsidRPr="00FE651E" w:rsidRDefault="004F686E" w:rsidP="00471D53">
                    <w:pPr>
                      <w:jc w:val="center"/>
                      <w:rPr>
                        <w:szCs w:val="21"/>
                      </w:rPr>
                    </w:pPr>
                    <w:r w:rsidRPr="00FE651E">
                      <w:rPr>
                        <w:rFonts w:hint="eastAsia"/>
                        <w:szCs w:val="21"/>
                      </w:rPr>
                      <w:t xml:space="preserve">　</w:t>
                    </w:r>
                  </w:p>
                </w:tc>
              </w:sdtContent>
            </w:sdt>
            <w:sdt>
              <w:sdtPr>
                <w:rPr>
                  <w:rFonts w:hint="eastAsia"/>
                  <w:szCs w:val="21"/>
                </w:rPr>
                <w:alias w:val="固定资产累计折旧增加项目金额"/>
                <w:tag w:val="_GBC_4f471bfa60bb4fd284527a4bd35a106e"/>
                <w:id w:val="1460842541"/>
                <w:lock w:val="sdtLocked"/>
                <w:showingPlcHdr/>
              </w:sdtPr>
              <w:sdtEndPr/>
              <w:sdtContent>
                <w:tc>
                  <w:tcPr>
                    <w:tcW w:w="688" w:type="pct"/>
                    <w:shd w:val="clear" w:color="auto" w:fill="auto"/>
                    <w:vAlign w:val="center"/>
                  </w:tcPr>
                  <w:p w14:paraId="3566BE64" w14:textId="77777777" w:rsidR="00471D53" w:rsidRPr="00FE651E" w:rsidRDefault="00B664AF" w:rsidP="00471D53">
                    <w:pPr>
                      <w:jc w:val="center"/>
                      <w:rPr>
                        <w:szCs w:val="21"/>
                      </w:rPr>
                    </w:pPr>
                  </w:p>
                </w:tc>
              </w:sdtContent>
            </w:sdt>
            <w:sdt>
              <w:sdtPr>
                <w:rPr>
                  <w:rFonts w:hint="eastAsia"/>
                  <w:szCs w:val="21"/>
                </w:rPr>
                <w:alias w:val="固定资产累计折旧增加项目金额"/>
                <w:tag w:val="_GBC_4f471bfa60bb4fd284527a4bd35a106e"/>
                <w:id w:val="346067057"/>
                <w:lock w:val="sdtLocked"/>
                <w:showingPlcHdr/>
              </w:sdtPr>
              <w:sdtEndPr/>
              <w:sdtContent>
                <w:tc>
                  <w:tcPr>
                    <w:tcW w:w="715" w:type="pct"/>
                    <w:shd w:val="clear" w:color="auto" w:fill="auto"/>
                    <w:vAlign w:val="center"/>
                  </w:tcPr>
                  <w:p w14:paraId="3248274C" w14:textId="77777777" w:rsidR="00471D53" w:rsidRPr="00FE651E" w:rsidRDefault="004F686E" w:rsidP="00471D53">
                    <w:pPr>
                      <w:jc w:val="center"/>
                      <w:rPr>
                        <w:szCs w:val="21"/>
                      </w:rPr>
                    </w:pPr>
                    <w:r w:rsidRPr="00FE651E">
                      <w:rPr>
                        <w:rFonts w:hint="eastAsia"/>
                        <w:szCs w:val="21"/>
                      </w:rPr>
                      <w:t xml:space="preserve">　</w:t>
                    </w:r>
                  </w:p>
                </w:tc>
              </w:sdtContent>
            </w:sdt>
            <w:sdt>
              <w:sdtPr>
                <w:rPr>
                  <w:rFonts w:hint="eastAsia"/>
                  <w:szCs w:val="21"/>
                </w:rPr>
                <w:alias w:val="固定资产累计折旧增加项目合计金额"/>
                <w:tag w:val="_GBC_de0f633422eb40198165dd44928b321c"/>
                <w:id w:val="-1521158911"/>
                <w:lock w:val="sdtLocked"/>
                <w:showingPlcHdr/>
              </w:sdtPr>
              <w:sdtEndPr/>
              <w:sdtContent>
                <w:tc>
                  <w:tcPr>
                    <w:tcW w:w="818" w:type="pct"/>
                    <w:shd w:val="clear" w:color="auto" w:fill="auto"/>
                    <w:vAlign w:val="center"/>
                  </w:tcPr>
                  <w:p w14:paraId="32368563" w14:textId="77777777" w:rsidR="00471D53" w:rsidRPr="00FE651E" w:rsidRDefault="004F686E" w:rsidP="00471D53">
                    <w:pPr>
                      <w:jc w:val="center"/>
                      <w:rPr>
                        <w:szCs w:val="21"/>
                      </w:rPr>
                    </w:pPr>
                    <w:r w:rsidRPr="00FE651E">
                      <w:rPr>
                        <w:rFonts w:hint="eastAsia"/>
                        <w:szCs w:val="21"/>
                      </w:rPr>
                      <w:t xml:space="preserve">　</w:t>
                    </w:r>
                  </w:p>
                </w:tc>
              </w:sdtContent>
            </w:sdt>
          </w:tr>
          <w:tr w:rsidR="00471D53" w14:paraId="62963A8E" w14:textId="77777777" w:rsidTr="00471D53">
            <w:sdt>
              <w:sdtPr>
                <w:rPr>
                  <w:rFonts w:hint="eastAsia"/>
                  <w:szCs w:val="21"/>
                </w:rPr>
                <w:alias w:val="固定资产累计折旧增加项目名称"/>
                <w:tag w:val="_GBC_0965865fe56240ca9467fb856bda8c28"/>
                <w:id w:val="-1740007956"/>
                <w:lock w:val="sdtLocked"/>
                <w:showingPlcHdr/>
              </w:sdtPr>
              <w:sdtEndPr/>
              <w:sdtContent>
                <w:tc>
                  <w:tcPr>
                    <w:tcW w:w="533" w:type="pct"/>
                    <w:shd w:val="clear" w:color="auto" w:fill="auto"/>
                  </w:tcPr>
                  <w:p w14:paraId="36487110" w14:textId="77777777" w:rsidR="00471D53" w:rsidRPr="00FE651E" w:rsidRDefault="004F686E" w:rsidP="00471D53">
                    <w:pPr>
                      <w:ind w:firstLineChars="300" w:firstLine="630"/>
                      <w:rPr>
                        <w:szCs w:val="21"/>
                      </w:rPr>
                    </w:pPr>
                    <w:r w:rsidRPr="00FE651E">
                      <w:rPr>
                        <w:rFonts w:hint="eastAsia"/>
                        <w:szCs w:val="21"/>
                      </w:rPr>
                      <w:t xml:space="preserve">　</w:t>
                    </w:r>
                  </w:p>
                </w:tc>
              </w:sdtContent>
            </w:sdt>
            <w:sdt>
              <w:sdtPr>
                <w:rPr>
                  <w:rFonts w:hint="eastAsia"/>
                  <w:szCs w:val="21"/>
                </w:rPr>
                <w:alias w:val="固定资产累计折旧增加项目金额"/>
                <w:tag w:val="_GBC_4f471bfa60bb4fd284527a4bd35a106e"/>
                <w:id w:val="-810025011"/>
                <w:lock w:val="sdtLocked"/>
                <w:showingPlcHdr/>
              </w:sdtPr>
              <w:sdtEndPr/>
              <w:sdtContent>
                <w:tc>
                  <w:tcPr>
                    <w:tcW w:w="800" w:type="pct"/>
                    <w:shd w:val="clear" w:color="auto" w:fill="auto"/>
                    <w:vAlign w:val="center"/>
                  </w:tcPr>
                  <w:p w14:paraId="291C7C8A" w14:textId="77777777" w:rsidR="00471D53" w:rsidRPr="00FE651E" w:rsidRDefault="004F686E" w:rsidP="00471D53">
                    <w:pPr>
                      <w:jc w:val="center"/>
                      <w:rPr>
                        <w:szCs w:val="21"/>
                      </w:rPr>
                    </w:pPr>
                    <w:r w:rsidRPr="00FE651E">
                      <w:rPr>
                        <w:rFonts w:hint="eastAsia"/>
                        <w:szCs w:val="21"/>
                      </w:rPr>
                      <w:t xml:space="preserve">　</w:t>
                    </w:r>
                  </w:p>
                </w:tc>
              </w:sdtContent>
            </w:sdt>
            <w:sdt>
              <w:sdtPr>
                <w:rPr>
                  <w:rFonts w:hint="eastAsia"/>
                  <w:szCs w:val="21"/>
                </w:rPr>
                <w:alias w:val="固定资产累计折旧增加项目金额"/>
                <w:tag w:val="_GBC_4f471bfa60bb4fd284527a4bd35a106e"/>
                <w:id w:val="-1207555211"/>
                <w:lock w:val="sdtLocked"/>
                <w:showingPlcHdr/>
              </w:sdtPr>
              <w:sdtEndPr/>
              <w:sdtContent>
                <w:tc>
                  <w:tcPr>
                    <w:tcW w:w="733" w:type="pct"/>
                    <w:shd w:val="clear" w:color="auto" w:fill="auto"/>
                    <w:vAlign w:val="center"/>
                  </w:tcPr>
                  <w:p w14:paraId="220D8711" w14:textId="77777777" w:rsidR="00471D53" w:rsidRPr="00FE651E" w:rsidRDefault="00B664AF" w:rsidP="00471D53">
                    <w:pPr>
                      <w:jc w:val="center"/>
                      <w:rPr>
                        <w:szCs w:val="21"/>
                      </w:rPr>
                    </w:pPr>
                  </w:p>
                </w:tc>
              </w:sdtContent>
            </w:sdt>
            <w:sdt>
              <w:sdtPr>
                <w:rPr>
                  <w:rFonts w:hint="eastAsia"/>
                  <w:szCs w:val="21"/>
                </w:rPr>
                <w:alias w:val="固定资产累计折旧增加项目金额"/>
                <w:tag w:val="_GBC_4f471bfa60bb4fd284527a4bd35a106e"/>
                <w:id w:val="1906021897"/>
                <w:lock w:val="sdtLocked"/>
                <w:showingPlcHdr/>
              </w:sdtPr>
              <w:sdtEndPr/>
              <w:sdtContent>
                <w:tc>
                  <w:tcPr>
                    <w:tcW w:w="712" w:type="pct"/>
                    <w:shd w:val="clear" w:color="auto" w:fill="auto"/>
                    <w:vAlign w:val="center"/>
                  </w:tcPr>
                  <w:p w14:paraId="38D2F17A" w14:textId="77777777" w:rsidR="00471D53" w:rsidRPr="00FE651E" w:rsidRDefault="00B664AF" w:rsidP="00471D53">
                    <w:pPr>
                      <w:jc w:val="center"/>
                      <w:rPr>
                        <w:szCs w:val="21"/>
                      </w:rPr>
                    </w:pPr>
                  </w:p>
                </w:tc>
              </w:sdtContent>
            </w:sdt>
            <w:sdt>
              <w:sdtPr>
                <w:rPr>
                  <w:rFonts w:hint="eastAsia"/>
                  <w:szCs w:val="21"/>
                </w:rPr>
                <w:alias w:val="固定资产累计折旧增加项目金额"/>
                <w:tag w:val="_GBC_4f471bfa60bb4fd284527a4bd35a106e"/>
                <w:id w:val="1042789663"/>
                <w:lock w:val="sdtLocked"/>
                <w:showingPlcHdr/>
              </w:sdtPr>
              <w:sdtEndPr/>
              <w:sdtContent>
                <w:tc>
                  <w:tcPr>
                    <w:tcW w:w="688" w:type="pct"/>
                    <w:shd w:val="clear" w:color="auto" w:fill="auto"/>
                    <w:vAlign w:val="center"/>
                  </w:tcPr>
                  <w:p w14:paraId="2D9C01CD" w14:textId="77777777" w:rsidR="00471D53" w:rsidRPr="00FE651E" w:rsidRDefault="00B664AF" w:rsidP="00471D53">
                    <w:pPr>
                      <w:jc w:val="center"/>
                      <w:rPr>
                        <w:szCs w:val="21"/>
                      </w:rPr>
                    </w:pPr>
                  </w:p>
                </w:tc>
              </w:sdtContent>
            </w:sdt>
            <w:sdt>
              <w:sdtPr>
                <w:rPr>
                  <w:rFonts w:hint="eastAsia"/>
                  <w:szCs w:val="21"/>
                </w:rPr>
                <w:alias w:val="固定资产累计折旧增加项目金额"/>
                <w:tag w:val="_GBC_4f471bfa60bb4fd284527a4bd35a106e"/>
                <w:id w:val="-855569458"/>
                <w:lock w:val="sdtLocked"/>
                <w:showingPlcHdr/>
              </w:sdtPr>
              <w:sdtEndPr/>
              <w:sdtContent>
                <w:tc>
                  <w:tcPr>
                    <w:tcW w:w="715" w:type="pct"/>
                    <w:shd w:val="clear" w:color="auto" w:fill="auto"/>
                    <w:vAlign w:val="center"/>
                  </w:tcPr>
                  <w:p w14:paraId="0A8FB14E" w14:textId="77777777" w:rsidR="00471D53" w:rsidRPr="00FE651E" w:rsidRDefault="00B664AF" w:rsidP="00471D53">
                    <w:pPr>
                      <w:jc w:val="center"/>
                      <w:rPr>
                        <w:szCs w:val="21"/>
                      </w:rPr>
                    </w:pPr>
                  </w:p>
                </w:tc>
              </w:sdtContent>
            </w:sdt>
            <w:sdt>
              <w:sdtPr>
                <w:rPr>
                  <w:rFonts w:hint="eastAsia"/>
                  <w:szCs w:val="21"/>
                </w:rPr>
                <w:alias w:val="固定资产累计折旧增加项目合计金额"/>
                <w:tag w:val="_GBC_de0f633422eb40198165dd44928b321c"/>
                <w:id w:val="937644997"/>
                <w:lock w:val="sdtLocked"/>
                <w:showingPlcHdr/>
              </w:sdtPr>
              <w:sdtEndPr/>
              <w:sdtContent>
                <w:tc>
                  <w:tcPr>
                    <w:tcW w:w="818" w:type="pct"/>
                    <w:shd w:val="clear" w:color="auto" w:fill="auto"/>
                    <w:vAlign w:val="center"/>
                  </w:tcPr>
                  <w:p w14:paraId="50B81443" w14:textId="77777777" w:rsidR="00471D53" w:rsidRPr="00FE651E" w:rsidRDefault="004F686E" w:rsidP="00471D53">
                    <w:pPr>
                      <w:jc w:val="center"/>
                      <w:rPr>
                        <w:szCs w:val="21"/>
                      </w:rPr>
                    </w:pPr>
                    <w:r w:rsidRPr="00FE651E">
                      <w:rPr>
                        <w:rFonts w:hint="eastAsia"/>
                        <w:szCs w:val="21"/>
                      </w:rPr>
                      <w:t xml:space="preserve">　</w:t>
                    </w:r>
                  </w:p>
                </w:tc>
              </w:sdtContent>
            </w:sdt>
          </w:tr>
          <w:tr w:rsidR="00471D53" w14:paraId="76002BC9" w14:textId="77777777" w:rsidTr="00471D53">
            <w:sdt>
              <w:sdtPr>
                <w:rPr>
                  <w:szCs w:val="21"/>
                </w:rPr>
                <w:tag w:val="_PLD_ec9558ad6e194439bc7519617b9fda17"/>
                <w:id w:val="332885222"/>
                <w:lock w:val="sdtLocked"/>
              </w:sdtPr>
              <w:sdtEndPr/>
              <w:sdtContent>
                <w:tc>
                  <w:tcPr>
                    <w:tcW w:w="533" w:type="pct"/>
                    <w:shd w:val="clear" w:color="auto" w:fill="auto"/>
                  </w:tcPr>
                  <w:p w14:paraId="385152E5" w14:textId="77777777" w:rsidR="00471D53" w:rsidRPr="00FE651E" w:rsidRDefault="004F686E" w:rsidP="00471D53">
                    <w:pPr>
                      <w:ind w:firstLineChars="200" w:firstLine="420"/>
                      <w:rPr>
                        <w:szCs w:val="21"/>
                      </w:rPr>
                    </w:pPr>
                    <w:r w:rsidRPr="00FE651E">
                      <w:rPr>
                        <w:rFonts w:hint="eastAsia"/>
                        <w:szCs w:val="21"/>
                      </w:rPr>
                      <w:t>3.本期减少金额</w:t>
                    </w:r>
                  </w:p>
                </w:tc>
              </w:sdtContent>
            </w:sdt>
            <w:tc>
              <w:tcPr>
                <w:tcW w:w="800" w:type="pct"/>
                <w:shd w:val="clear" w:color="auto" w:fill="auto"/>
                <w:vAlign w:val="center"/>
              </w:tcPr>
              <w:p w14:paraId="47FAF9E4" w14:textId="77777777" w:rsidR="00471D53" w:rsidRPr="00FE651E" w:rsidRDefault="004F686E" w:rsidP="00471D53">
                <w:pPr>
                  <w:autoSpaceDE w:val="0"/>
                  <w:autoSpaceDN w:val="0"/>
                  <w:jc w:val="center"/>
                  <w:rPr>
                    <w:szCs w:val="21"/>
                  </w:rPr>
                </w:pPr>
                <w:r w:rsidRPr="00FE651E">
                  <w:rPr>
                    <w:rFonts w:hint="eastAsia"/>
                    <w:szCs w:val="21"/>
                  </w:rPr>
                  <w:t>0.00</w:t>
                </w:r>
              </w:p>
            </w:tc>
            <w:tc>
              <w:tcPr>
                <w:tcW w:w="733" w:type="pct"/>
                <w:shd w:val="clear" w:color="auto" w:fill="auto"/>
                <w:vAlign w:val="center"/>
              </w:tcPr>
              <w:p w14:paraId="02517CAB" w14:textId="77777777" w:rsidR="00471D53" w:rsidRPr="00FE651E" w:rsidRDefault="004F686E" w:rsidP="00471D53">
                <w:pPr>
                  <w:autoSpaceDE w:val="0"/>
                  <w:autoSpaceDN w:val="0"/>
                  <w:jc w:val="center"/>
                  <w:rPr>
                    <w:szCs w:val="21"/>
                  </w:rPr>
                </w:pPr>
                <w:r w:rsidRPr="00FE651E">
                  <w:rPr>
                    <w:rFonts w:hint="eastAsia"/>
                    <w:szCs w:val="21"/>
                  </w:rPr>
                  <w:t>1,685,025.70</w:t>
                </w:r>
              </w:p>
            </w:tc>
            <w:tc>
              <w:tcPr>
                <w:tcW w:w="712" w:type="pct"/>
                <w:shd w:val="clear" w:color="auto" w:fill="auto"/>
                <w:vAlign w:val="center"/>
              </w:tcPr>
              <w:p w14:paraId="0B2861A0" w14:textId="77777777" w:rsidR="00471D53" w:rsidRPr="00FE651E" w:rsidRDefault="004F686E" w:rsidP="00471D53">
                <w:pPr>
                  <w:autoSpaceDE w:val="0"/>
                  <w:autoSpaceDN w:val="0"/>
                  <w:jc w:val="center"/>
                  <w:rPr>
                    <w:szCs w:val="21"/>
                  </w:rPr>
                </w:pPr>
                <w:r w:rsidRPr="00FE651E">
                  <w:rPr>
                    <w:rFonts w:hint="eastAsia"/>
                    <w:szCs w:val="21"/>
                  </w:rPr>
                  <w:t>1,248,820.38</w:t>
                </w:r>
              </w:p>
            </w:tc>
            <w:tc>
              <w:tcPr>
                <w:tcW w:w="688" w:type="pct"/>
                <w:shd w:val="clear" w:color="auto" w:fill="auto"/>
                <w:vAlign w:val="center"/>
              </w:tcPr>
              <w:p w14:paraId="2735DEC4" w14:textId="77777777" w:rsidR="00471D53" w:rsidRPr="00FE651E" w:rsidRDefault="004F686E" w:rsidP="00471D53">
                <w:pPr>
                  <w:autoSpaceDE w:val="0"/>
                  <w:autoSpaceDN w:val="0"/>
                  <w:jc w:val="center"/>
                  <w:rPr>
                    <w:szCs w:val="21"/>
                  </w:rPr>
                </w:pPr>
                <w:r w:rsidRPr="00FE651E">
                  <w:rPr>
                    <w:rFonts w:hint="eastAsia"/>
                    <w:szCs w:val="21"/>
                  </w:rPr>
                  <w:t>57,987.71</w:t>
                </w:r>
              </w:p>
            </w:tc>
            <w:tc>
              <w:tcPr>
                <w:tcW w:w="715" w:type="pct"/>
                <w:shd w:val="clear" w:color="auto" w:fill="auto"/>
                <w:vAlign w:val="center"/>
              </w:tcPr>
              <w:p w14:paraId="58AFD30B" w14:textId="77777777" w:rsidR="00471D53" w:rsidRPr="00FE651E" w:rsidRDefault="004F686E" w:rsidP="00471D53">
                <w:pPr>
                  <w:autoSpaceDE w:val="0"/>
                  <w:autoSpaceDN w:val="0"/>
                  <w:jc w:val="center"/>
                  <w:rPr>
                    <w:szCs w:val="21"/>
                  </w:rPr>
                </w:pPr>
                <w:r w:rsidRPr="00FE651E">
                  <w:rPr>
                    <w:rFonts w:hint="eastAsia"/>
                    <w:szCs w:val="21"/>
                  </w:rPr>
                  <w:t>0.00</w:t>
                </w:r>
              </w:p>
            </w:tc>
            <w:tc>
              <w:tcPr>
                <w:tcW w:w="818" w:type="pct"/>
                <w:shd w:val="clear" w:color="auto" w:fill="auto"/>
                <w:vAlign w:val="center"/>
              </w:tcPr>
              <w:p w14:paraId="6C403362" w14:textId="77777777" w:rsidR="00471D53" w:rsidRPr="00FE651E" w:rsidRDefault="004F686E" w:rsidP="00471D53">
                <w:pPr>
                  <w:autoSpaceDE w:val="0"/>
                  <w:autoSpaceDN w:val="0"/>
                  <w:jc w:val="center"/>
                  <w:rPr>
                    <w:szCs w:val="21"/>
                  </w:rPr>
                </w:pPr>
                <w:r w:rsidRPr="00FE651E">
                  <w:rPr>
                    <w:rFonts w:hint="eastAsia"/>
                    <w:szCs w:val="21"/>
                  </w:rPr>
                  <w:t>2,991,833.79</w:t>
                </w:r>
              </w:p>
            </w:tc>
          </w:tr>
          <w:tr w:rsidR="00471D53" w14:paraId="23FFC626" w14:textId="77777777" w:rsidTr="00471D53">
            <w:sdt>
              <w:sdtPr>
                <w:rPr>
                  <w:szCs w:val="21"/>
                </w:rPr>
                <w:tag w:val="_PLD_5ee3d83bd53d480fa0f8ca39eef2375d"/>
                <w:id w:val="-1130631"/>
                <w:lock w:val="sdtLocked"/>
              </w:sdtPr>
              <w:sdtEndPr/>
              <w:sdtContent>
                <w:tc>
                  <w:tcPr>
                    <w:tcW w:w="533" w:type="pct"/>
                    <w:shd w:val="clear" w:color="auto" w:fill="auto"/>
                  </w:tcPr>
                  <w:p w14:paraId="7F9CC184" w14:textId="77777777" w:rsidR="00471D53" w:rsidRPr="00FE651E" w:rsidRDefault="004F686E" w:rsidP="00471D53">
                    <w:pPr>
                      <w:ind w:firstLineChars="300" w:firstLine="630"/>
                      <w:rPr>
                        <w:szCs w:val="21"/>
                      </w:rPr>
                    </w:pPr>
                    <w:r w:rsidRPr="00FE651E">
                      <w:rPr>
                        <w:rFonts w:hint="eastAsia"/>
                        <w:szCs w:val="21"/>
                      </w:rPr>
                      <w:t>（1）处置或报废</w:t>
                    </w:r>
                  </w:p>
                </w:tc>
              </w:sdtContent>
            </w:sdt>
            <w:tc>
              <w:tcPr>
                <w:tcW w:w="800" w:type="pct"/>
                <w:shd w:val="clear" w:color="auto" w:fill="auto"/>
                <w:vAlign w:val="center"/>
              </w:tcPr>
              <w:p w14:paraId="3D3B8D66" w14:textId="77777777" w:rsidR="00471D53" w:rsidRPr="00FE651E" w:rsidRDefault="004F686E" w:rsidP="00471D53">
                <w:pPr>
                  <w:autoSpaceDE w:val="0"/>
                  <w:autoSpaceDN w:val="0"/>
                  <w:jc w:val="center"/>
                  <w:rPr>
                    <w:szCs w:val="21"/>
                  </w:rPr>
                </w:pPr>
                <w:r w:rsidRPr="00FE651E">
                  <w:rPr>
                    <w:rFonts w:hint="eastAsia"/>
                    <w:szCs w:val="21"/>
                  </w:rPr>
                  <w:t>0.00</w:t>
                </w:r>
              </w:p>
            </w:tc>
            <w:tc>
              <w:tcPr>
                <w:tcW w:w="733" w:type="pct"/>
                <w:shd w:val="clear" w:color="auto" w:fill="auto"/>
                <w:vAlign w:val="center"/>
              </w:tcPr>
              <w:p w14:paraId="30AC4890" w14:textId="77777777" w:rsidR="00471D53" w:rsidRPr="00FE651E" w:rsidRDefault="004F686E" w:rsidP="00471D53">
                <w:pPr>
                  <w:autoSpaceDE w:val="0"/>
                  <w:autoSpaceDN w:val="0"/>
                  <w:jc w:val="center"/>
                  <w:rPr>
                    <w:szCs w:val="21"/>
                  </w:rPr>
                </w:pPr>
                <w:r w:rsidRPr="00FE651E">
                  <w:rPr>
                    <w:rFonts w:hint="eastAsia"/>
                    <w:szCs w:val="21"/>
                  </w:rPr>
                  <w:t>1,685,025.70</w:t>
                </w:r>
              </w:p>
            </w:tc>
            <w:tc>
              <w:tcPr>
                <w:tcW w:w="712" w:type="pct"/>
                <w:shd w:val="clear" w:color="auto" w:fill="auto"/>
                <w:vAlign w:val="center"/>
              </w:tcPr>
              <w:p w14:paraId="5C68933A" w14:textId="77777777" w:rsidR="00471D53" w:rsidRPr="00FE651E" w:rsidRDefault="004F686E" w:rsidP="00471D53">
                <w:pPr>
                  <w:autoSpaceDE w:val="0"/>
                  <w:autoSpaceDN w:val="0"/>
                  <w:jc w:val="center"/>
                  <w:rPr>
                    <w:szCs w:val="21"/>
                  </w:rPr>
                </w:pPr>
                <w:r w:rsidRPr="00FE651E">
                  <w:rPr>
                    <w:rFonts w:hint="eastAsia"/>
                    <w:szCs w:val="21"/>
                  </w:rPr>
                  <w:t>1,248,820.38</w:t>
                </w:r>
              </w:p>
            </w:tc>
            <w:tc>
              <w:tcPr>
                <w:tcW w:w="688" w:type="pct"/>
                <w:shd w:val="clear" w:color="auto" w:fill="auto"/>
                <w:vAlign w:val="center"/>
              </w:tcPr>
              <w:p w14:paraId="32E50CE2" w14:textId="77777777" w:rsidR="00471D53" w:rsidRPr="00FE651E" w:rsidRDefault="004F686E" w:rsidP="00471D53">
                <w:pPr>
                  <w:autoSpaceDE w:val="0"/>
                  <w:autoSpaceDN w:val="0"/>
                  <w:jc w:val="center"/>
                  <w:rPr>
                    <w:szCs w:val="21"/>
                  </w:rPr>
                </w:pPr>
                <w:r w:rsidRPr="00FE651E">
                  <w:rPr>
                    <w:rFonts w:hint="eastAsia"/>
                    <w:szCs w:val="21"/>
                  </w:rPr>
                  <w:t>57,987.71</w:t>
                </w:r>
              </w:p>
            </w:tc>
            <w:tc>
              <w:tcPr>
                <w:tcW w:w="715" w:type="pct"/>
                <w:shd w:val="clear" w:color="auto" w:fill="auto"/>
                <w:vAlign w:val="center"/>
              </w:tcPr>
              <w:p w14:paraId="182C1AC3" w14:textId="77777777" w:rsidR="00471D53" w:rsidRPr="00FE651E" w:rsidRDefault="004F686E" w:rsidP="00471D53">
                <w:pPr>
                  <w:autoSpaceDE w:val="0"/>
                  <w:autoSpaceDN w:val="0"/>
                  <w:jc w:val="center"/>
                  <w:rPr>
                    <w:szCs w:val="21"/>
                  </w:rPr>
                </w:pPr>
                <w:r w:rsidRPr="00FE651E">
                  <w:rPr>
                    <w:rFonts w:hint="eastAsia"/>
                    <w:szCs w:val="21"/>
                  </w:rPr>
                  <w:t>0.00</w:t>
                </w:r>
              </w:p>
            </w:tc>
            <w:tc>
              <w:tcPr>
                <w:tcW w:w="818" w:type="pct"/>
                <w:shd w:val="clear" w:color="auto" w:fill="auto"/>
                <w:vAlign w:val="center"/>
              </w:tcPr>
              <w:p w14:paraId="6F0B6A74" w14:textId="77777777" w:rsidR="00471D53" w:rsidRPr="00FE651E" w:rsidRDefault="004F686E" w:rsidP="00471D53">
                <w:pPr>
                  <w:autoSpaceDE w:val="0"/>
                  <w:autoSpaceDN w:val="0"/>
                  <w:jc w:val="center"/>
                  <w:rPr>
                    <w:szCs w:val="21"/>
                  </w:rPr>
                </w:pPr>
                <w:r w:rsidRPr="00FE651E">
                  <w:rPr>
                    <w:rFonts w:hint="eastAsia"/>
                    <w:szCs w:val="21"/>
                  </w:rPr>
                  <w:t>2,991,833.79</w:t>
                </w:r>
              </w:p>
            </w:tc>
          </w:tr>
          <w:tr w:rsidR="00471D53" w14:paraId="395D5FBC" w14:textId="77777777" w:rsidTr="00471D53">
            <w:sdt>
              <w:sdtPr>
                <w:rPr>
                  <w:rFonts w:hint="eastAsia"/>
                  <w:szCs w:val="21"/>
                </w:rPr>
                <w:alias w:val="固定资产累计折旧减少项目名称"/>
                <w:tag w:val="_GBC_4c9ad176f9f549d79f1ea8e8285e4304"/>
                <w:id w:val="-91630553"/>
                <w:lock w:val="sdtLocked"/>
                <w:showingPlcHdr/>
              </w:sdtPr>
              <w:sdtEndPr/>
              <w:sdtContent>
                <w:tc>
                  <w:tcPr>
                    <w:tcW w:w="533" w:type="pct"/>
                    <w:shd w:val="clear" w:color="auto" w:fill="auto"/>
                  </w:tcPr>
                  <w:p w14:paraId="266169C3" w14:textId="77777777" w:rsidR="00471D53" w:rsidRPr="00FE651E" w:rsidRDefault="004F686E" w:rsidP="00471D53">
                    <w:pPr>
                      <w:ind w:firstLineChars="300" w:firstLine="630"/>
                      <w:rPr>
                        <w:szCs w:val="21"/>
                      </w:rPr>
                    </w:pPr>
                    <w:r w:rsidRPr="00FE651E">
                      <w:rPr>
                        <w:rFonts w:hint="eastAsia"/>
                        <w:szCs w:val="21"/>
                      </w:rPr>
                      <w:t xml:space="preserve">　</w:t>
                    </w:r>
                  </w:p>
                </w:tc>
              </w:sdtContent>
            </w:sdt>
            <w:sdt>
              <w:sdtPr>
                <w:rPr>
                  <w:rFonts w:hint="eastAsia"/>
                  <w:szCs w:val="21"/>
                </w:rPr>
                <w:alias w:val="固定资产累计折旧减少项目金额"/>
                <w:tag w:val="_GBC_0475795030724aa4838f00440a8fdfe1"/>
                <w:id w:val="1419678067"/>
                <w:lock w:val="sdtLocked"/>
                <w:showingPlcHdr/>
              </w:sdtPr>
              <w:sdtEndPr/>
              <w:sdtContent>
                <w:tc>
                  <w:tcPr>
                    <w:tcW w:w="800" w:type="pct"/>
                    <w:shd w:val="clear" w:color="auto" w:fill="auto"/>
                    <w:vAlign w:val="center"/>
                  </w:tcPr>
                  <w:p w14:paraId="00EA18D8" w14:textId="77777777" w:rsidR="00471D53" w:rsidRPr="00FE651E" w:rsidRDefault="004F686E" w:rsidP="00471D53">
                    <w:pPr>
                      <w:jc w:val="center"/>
                      <w:rPr>
                        <w:szCs w:val="21"/>
                      </w:rPr>
                    </w:pPr>
                    <w:r w:rsidRPr="00FE651E">
                      <w:rPr>
                        <w:rFonts w:hint="eastAsia"/>
                        <w:szCs w:val="21"/>
                      </w:rPr>
                      <w:t xml:space="preserve">　</w:t>
                    </w:r>
                  </w:p>
                </w:tc>
              </w:sdtContent>
            </w:sdt>
            <w:sdt>
              <w:sdtPr>
                <w:rPr>
                  <w:rFonts w:hint="eastAsia"/>
                  <w:szCs w:val="21"/>
                </w:rPr>
                <w:alias w:val="固定资产累计折旧减少项目金额"/>
                <w:tag w:val="_GBC_0475795030724aa4838f00440a8fdfe1"/>
                <w:id w:val="1359776874"/>
                <w:lock w:val="sdtLocked"/>
                <w:showingPlcHdr/>
              </w:sdtPr>
              <w:sdtEndPr/>
              <w:sdtContent>
                <w:tc>
                  <w:tcPr>
                    <w:tcW w:w="733" w:type="pct"/>
                    <w:shd w:val="clear" w:color="auto" w:fill="auto"/>
                    <w:vAlign w:val="center"/>
                  </w:tcPr>
                  <w:p w14:paraId="1E28E08D" w14:textId="77777777" w:rsidR="00471D53" w:rsidRPr="00FE651E" w:rsidRDefault="004F686E" w:rsidP="00471D53">
                    <w:pPr>
                      <w:jc w:val="center"/>
                      <w:rPr>
                        <w:szCs w:val="21"/>
                      </w:rPr>
                    </w:pPr>
                    <w:r w:rsidRPr="00FE651E">
                      <w:rPr>
                        <w:rFonts w:hint="eastAsia"/>
                        <w:szCs w:val="21"/>
                      </w:rPr>
                      <w:t xml:space="preserve">　</w:t>
                    </w:r>
                  </w:p>
                </w:tc>
              </w:sdtContent>
            </w:sdt>
            <w:sdt>
              <w:sdtPr>
                <w:rPr>
                  <w:rFonts w:hint="eastAsia"/>
                  <w:szCs w:val="21"/>
                </w:rPr>
                <w:alias w:val="固定资产累计折旧减少项目金额"/>
                <w:tag w:val="_GBC_0475795030724aa4838f00440a8fdfe1"/>
                <w:id w:val="751856601"/>
                <w:lock w:val="sdtLocked"/>
                <w:showingPlcHdr/>
              </w:sdtPr>
              <w:sdtEndPr/>
              <w:sdtContent>
                <w:tc>
                  <w:tcPr>
                    <w:tcW w:w="712" w:type="pct"/>
                    <w:shd w:val="clear" w:color="auto" w:fill="auto"/>
                    <w:vAlign w:val="center"/>
                  </w:tcPr>
                  <w:p w14:paraId="59A6B0DB" w14:textId="77777777" w:rsidR="00471D53" w:rsidRPr="00FE651E" w:rsidRDefault="004F686E" w:rsidP="00471D53">
                    <w:pPr>
                      <w:jc w:val="center"/>
                      <w:rPr>
                        <w:szCs w:val="21"/>
                      </w:rPr>
                    </w:pPr>
                    <w:r w:rsidRPr="00FE651E">
                      <w:rPr>
                        <w:rFonts w:hint="eastAsia"/>
                        <w:szCs w:val="21"/>
                      </w:rPr>
                      <w:t xml:space="preserve">　</w:t>
                    </w:r>
                  </w:p>
                </w:tc>
              </w:sdtContent>
            </w:sdt>
            <w:sdt>
              <w:sdtPr>
                <w:rPr>
                  <w:rFonts w:hint="eastAsia"/>
                  <w:szCs w:val="21"/>
                </w:rPr>
                <w:alias w:val="固定资产累计折旧减少项目金额"/>
                <w:tag w:val="_GBC_0475795030724aa4838f00440a8fdfe1"/>
                <w:id w:val="-1090151726"/>
                <w:lock w:val="sdtLocked"/>
                <w:showingPlcHdr/>
              </w:sdtPr>
              <w:sdtEndPr/>
              <w:sdtContent>
                <w:tc>
                  <w:tcPr>
                    <w:tcW w:w="688" w:type="pct"/>
                    <w:shd w:val="clear" w:color="auto" w:fill="auto"/>
                    <w:vAlign w:val="center"/>
                  </w:tcPr>
                  <w:p w14:paraId="1198DE0F" w14:textId="77777777" w:rsidR="00471D53" w:rsidRPr="00FE651E" w:rsidRDefault="00B664AF" w:rsidP="00471D53">
                    <w:pPr>
                      <w:jc w:val="center"/>
                      <w:rPr>
                        <w:szCs w:val="21"/>
                      </w:rPr>
                    </w:pPr>
                  </w:p>
                </w:tc>
              </w:sdtContent>
            </w:sdt>
            <w:sdt>
              <w:sdtPr>
                <w:rPr>
                  <w:rFonts w:hint="eastAsia"/>
                  <w:szCs w:val="21"/>
                </w:rPr>
                <w:alias w:val="固定资产累计折旧减少项目金额"/>
                <w:tag w:val="_GBC_0475795030724aa4838f00440a8fdfe1"/>
                <w:id w:val="-856877158"/>
                <w:lock w:val="sdtLocked"/>
                <w:showingPlcHdr/>
              </w:sdtPr>
              <w:sdtEndPr/>
              <w:sdtContent>
                <w:tc>
                  <w:tcPr>
                    <w:tcW w:w="715" w:type="pct"/>
                    <w:shd w:val="clear" w:color="auto" w:fill="auto"/>
                    <w:vAlign w:val="center"/>
                  </w:tcPr>
                  <w:p w14:paraId="5497DA42" w14:textId="77777777" w:rsidR="00471D53" w:rsidRPr="00FE651E" w:rsidRDefault="004F686E" w:rsidP="00471D53">
                    <w:pPr>
                      <w:jc w:val="center"/>
                      <w:rPr>
                        <w:szCs w:val="21"/>
                      </w:rPr>
                    </w:pPr>
                    <w:r w:rsidRPr="00FE651E">
                      <w:rPr>
                        <w:rFonts w:hint="eastAsia"/>
                        <w:szCs w:val="21"/>
                      </w:rPr>
                      <w:t xml:space="preserve">　</w:t>
                    </w:r>
                  </w:p>
                </w:tc>
              </w:sdtContent>
            </w:sdt>
            <w:sdt>
              <w:sdtPr>
                <w:rPr>
                  <w:rFonts w:hint="eastAsia"/>
                  <w:szCs w:val="21"/>
                </w:rPr>
                <w:alias w:val="固定资产累计折旧减少项目合计金额"/>
                <w:tag w:val="_GBC_11178a6044164f9abd685ae39ec93217"/>
                <w:id w:val="-1390348195"/>
                <w:lock w:val="sdtLocked"/>
                <w:showingPlcHdr/>
              </w:sdtPr>
              <w:sdtEndPr/>
              <w:sdtContent>
                <w:tc>
                  <w:tcPr>
                    <w:tcW w:w="818" w:type="pct"/>
                    <w:shd w:val="clear" w:color="auto" w:fill="auto"/>
                    <w:vAlign w:val="center"/>
                  </w:tcPr>
                  <w:p w14:paraId="33BA8B68" w14:textId="77777777" w:rsidR="00471D53" w:rsidRPr="00FE651E" w:rsidRDefault="004F686E" w:rsidP="00471D53">
                    <w:pPr>
                      <w:jc w:val="center"/>
                      <w:rPr>
                        <w:szCs w:val="21"/>
                      </w:rPr>
                    </w:pPr>
                    <w:r w:rsidRPr="00FE651E">
                      <w:rPr>
                        <w:rFonts w:hint="eastAsia"/>
                        <w:szCs w:val="21"/>
                      </w:rPr>
                      <w:t xml:space="preserve">　</w:t>
                    </w:r>
                  </w:p>
                </w:tc>
              </w:sdtContent>
            </w:sdt>
          </w:tr>
          <w:tr w:rsidR="00471D53" w14:paraId="7D98728F" w14:textId="77777777" w:rsidTr="00471D53">
            <w:sdt>
              <w:sdtPr>
                <w:rPr>
                  <w:rFonts w:hint="eastAsia"/>
                  <w:szCs w:val="21"/>
                </w:rPr>
                <w:alias w:val="固定资产累计折旧减少项目名称"/>
                <w:tag w:val="_GBC_4c9ad176f9f549d79f1ea8e8285e4304"/>
                <w:id w:val="1703676623"/>
                <w:lock w:val="sdtLocked"/>
                <w:showingPlcHdr/>
              </w:sdtPr>
              <w:sdtEndPr/>
              <w:sdtContent>
                <w:tc>
                  <w:tcPr>
                    <w:tcW w:w="533" w:type="pct"/>
                    <w:shd w:val="clear" w:color="auto" w:fill="auto"/>
                  </w:tcPr>
                  <w:p w14:paraId="4E2E7F78" w14:textId="77777777" w:rsidR="00471D53" w:rsidRPr="00FE651E" w:rsidRDefault="004F686E" w:rsidP="00471D53">
                    <w:pPr>
                      <w:ind w:firstLineChars="300" w:firstLine="630"/>
                      <w:rPr>
                        <w:szCs w:val="21"/>
                      </w:rPr>
                    </w:pPr>
                    <w:r w:rsidRPr="00FE651E">
                      <w:rPr>
                        <w:rFonts w:hint="eastAsia"/>
                        <w:szCs w:val="21"/>
                      </w:rPr>
                      <w:t xml:space="preserve">　</w:t>
                    </w:r>
                  </w:p>
                </w:tc>
              </w:sdtContent>
            </w:sdt>
            <w:sdt>
              <w:sdtPr>
                <w:rPr>
                  <w:rFonts w:hint="eastAsia"/>
                  <w:szCs w:val="21"/>
                </w:rPr>
                <w:alias w:val="固定资产累计折旧减少项目金额"/>
                <w:tag w:val="_GBC_0475795030724aa4838f00440a8fdfe1"/>
                <w:id w:val="-351793171"/>
                <w:lock w:val="sdtLocked"/>
                <w:showingPlcHdr/>
              </w:sdtPr>
              <w:sdtEndPr/>
              <w:sdtContent>
                <w:tc>
                  <w:tcPr>
                    <w:tcW w:w="800" w:type="pct"/>
                    <w:shd w:val="clear" w:color="auto" w:fill="auto"/>
                    <w:vAlign w:val="center"/>
                  </w:tcPr>
                  <w:p w14:paraId="3A9DD721" w14:textId="77777777" w:rsidR="00471D53" w:rsidRPr="00FE651E" w:rsidRDefault="004F686E" w:rsidP="00471D53">
                    <w:pPr>
                      <w:jc w:val="center"/>
                      <w:rPr>
                        <w:szCs w:val="21"/>
                      </w:rPr>
                    </w:pPr>
                    <w:r w:rsidRPr="00FE651E">
                      <w:rPr>
                        <w:rFonts w:hint="eastAsia"/>
                        <w:szCs w:val="21"/>
                      </w:rPr>
                      <w:t xml:space="preserve">　</w:t>
                    </w:r>
                  </w:p>
                </w:tc>
              </w:sdtContent>
            </w:sdt>
            <w:sdt>
              <w:sdtPr>
                <w:rPr>
                  <w:rFonts w:hint="eastAsia"/>
                  <w:szCs w:val="21"/>
                </w:rPr>
                <w:alias w:val="固定资产累计折旧减少项目金额"/>
                <w:tag w:val="_GBC_0475795030724aa4838f00440a8fdfe1"/>
                <w:id w:val="994224008"/>
                <w:lock w:val="sdtLocked"/>
                <w:showingPlcHdr/>
              </w:sdtPr>
              <w:sdtEndPr/>
              <w:sdtContent>
                <w:tc>
                  <w:tcPr>
                    <w:tcW w:w="733" w:type="pct"/>
                    <w:shd w:val="clear" w:color="auto" w:fill="auto"/>
                    <w:vAlign w:val="center"/>
                  </w:tcPr>
                  <w:p w14:paraId="3EF78109" w14:textId="77777777" w:rsidR="00471D53" w:rsidRPr="00FE651E" w:rsidRDefault="00B664AF" w:rsidP="00471D53">
                    <w:pPr>
                      <w:jc w:val="center"/>
                      <w:rPr>
                        <w:szCs w:val="21"/>
                      </w:rPr>
                    </w:pPr>
                  </w:p>
                </w:tc>
              </w:sdtContent>
            </w:sdt>
            <w:sdt>
              <w:sdtPr>
                <w:rPr>
                  <w:rFonts w:hint="eastAsia"/>
                  <w:szCs w:val="21"/>
                </w:rPr>
                <w:alias w:val="固定资产累计折旧减少项目金额"/>
                <w:tag w:val="_GBC_0475795030724aa4838f00440a8fdfe1"/>
                <w:id w:val="2080161021"/>
                <w:lock w:val="sdtLocked"/>
                <w:showingPlcHdr/>
              </w:sdtPr>
              <w:sdtEndPr/>
              <w:sdtContent>
                <w:tc>
                  <w:tcPr>
                    <w:tcW w:w="712" w:type="pct"/>
                    <w:shd w:val="clear" w:color="auto" w:fill="auto"/>
                    <w:vAlign w:val="center"/>
                  </w:tcPr>
                  <w:p w14:paraId="67254FB8" w14:textId="77777777" w:rsidR="00471D53" w:rsidRPr="00FE651E" w:rsidRDefault="00B664AF" w:rsidP="00471D53">
                    <w:pPr>
                      <w:jc w:val="center"/>
                      <w:rPr>
                        <w:szCs w:val="21"/>
                      </w:rPr>
                    </w:pPr>
                  </w:p>
                </w:tc>
              </w:sdtContent>
            </w:sdt>
            <w:sdt>
              <w:sdtPr>
                <w:rPr>
                  <w:rFonts w:hint="eastAsia"/>
                  <w:szCs w:val="21"/>
                </w:rPr>
                <w:alias w:val="固定资产累计折旧减少项目金额"/>
                <w:tag w:val="_GBC_0475795030724aa4838f00440a8fdfe1"/>
                <w:id w:val="-1829349968"/>
                <w:lock w:val="sdtLocked"/>
                <w:showingPlcHdr/>
              </w:sdtPr>
              <w:sdtEndPr/>
              <w:sdtContent>
                <w:tc>
                  <w:tcPr>
                    <w:tcW w:w="688" w:type="pct"/>
                    <w:shd w:val="clear" w:color="auto" w:fill="auto"/>
                    <w:vAlign w:val="center"/>
                  </w:tcPr>
                  <w:p w14:paraId="3ED3B788" w14:textId="77777777" w:rsidR="00471D53" w:rsidRPr="00FE651E" w:rsidRDefault="00B664AF" w:rsidP="00471D53">
                    <w:pPr>
                      <w:jc w:val="center"/>
                      <w:rPr>
                        <w:szCs w:val="21"/>
                      </w:rPr>
                    </w:pPr>
                  </w:p>
                </w:tc>
              </w:sdtContent>
            </w:sdt>
            <w:sdt>
              <w:sdtPr>
                <w:rPr>
                  <w:rFonts w:hint="eastAsia"/>
                  <w:szCs w:val="21"/>
                </w:rPr>
                <w:alias w:val="固定资产累计折旧减少项目金额"/>
                <w:tag w:val="_GBC_0475795030724aa4838f00440a8fdfe1"/>
                <w:id w:val="-1463111167"/>
                <w:lock w:val="sdtLocked"/>
                <w:showingPlcHdr/>
              </w:sdtPr>
              <w:sdtEndPr/>
              <w:sdtContent>
                <w:tc>
                  <w:tcPr>
                    <w:tcW w:w="715" w:type="pct"/>
                    <w:shd w:val="clear" w:color="auto" w:fill="auto"/>
                    <w:vAlign w:val="center"/>
                  </w:tcPr>
                  <w:p w14:paraId="7B9B206B" w14:textId="77777777" w:rsidR="00471D53" w:rsidRPr="00FE651E" w:rsidRDefault="00B664AF" w:rsidP="00471D53">
                    <w:pPr>
                      <w:jc w:val="center"/>
                      <w:rPr>
                        <w:szCs w:val="21"/>
                      </w:rPr>
                    </w:pPr>
                  </w:p>
                </w:tc>
              </w:sdtContent>
            </w:sdt>
            <w:sdt>
              <w:sdtPr>
                <w:rPr>
                  <w:rFonts w:hint="eastAsia"/>
                  <w:szCs w:val="21"/>
                </w:rPr>
                <w:alias w:val="固定资产累计折旧减少项目合计金额"/>
                <w:tag w:val="_GBC_11178a6044164f9abd685ae39ec93217"/>
                <w:id w:val="659589404"/>
                <w:lock w:val="sdtLocked"/>
                <w:showingPlcHdr/>
              </w:sdtPr>
              <w:sdtEndPr/>
              <w:sdtContent>
                <w:tc>
                  <w:tcPr>
                    <w:tcW w:w="818" w:type="pct"/>
                    <w:shd w:val="clear" w:color="auto" w:fill="auto"/>
                    <w:vAlign w:val="center"/>
                  </w:tcPr>
                  <w:p w14:paraId="26952BF5" w14:textId="77777777" w:rsidR="00471D53" w:rsidRPr="00FE651E" w:rsidRDefault="004F686E" w:rsidP="00471D53">
                    <w:pPr>
                      <w:jc w:val="center"/>
                      <w:rPr>
                        <w:szCs w:val="21"/>
                      </w:rPr>
                    </w:pPr>
                    <w:r w:rsidRPr="00FE651E">
                      <w:rPr>
                        <w:rFonts w:hint="eastAsia"/>
                        <w:szCs w:val="21"/>
                      </w:rPr>
                      <w:t xml:space="preserve">　</w:t>
                    </w:r>
                  </w:p>
                </w:tc>
              </w:sdtContent>
            </w:sdt>
          </w:tr>
          <w:tr w:rsidR="00471D53" w14:paraId="2545C982" w14:textId="77777777" w:rsidTr="00471D53">
            <w:sdt>
              <w:sdtPr>
                <w:rPr>
                  <w:szCs w:val="21"/>
                </w:rPr>
                <w:tag w:val="_PLD_6eaa2035e58e4e21885400a2e0bb3a60"/>
                <w:id w:val="1338111263"/>
                <w:lock w:val="sdtLocked"/>
              </w:sdtPr>
              <w:sdtEndPr/>
              <w:sdtContent>
                <w:tc>
                  <w:tcPr>
                    <w:tcW w:w="533" w:type="pct"/>
                    <w:shd w:val="clear" w:color="auto" w:fill="auto"/>
                  </w:tcPr>
                  <w:p w14:paraId="5C6FC8CA" w14:textId="77777777" w:rsidR="00471D53" w:rsidRPr="00FE651E" w:rsidRDefault="004F686E" w:rsidP="00471D53">
                    <w:pPr>
                      <w:ind w:firstLineChars="200" w:firstLine="420"/>
                      <w:rPr>
                        <w:szCs w:val="21"/>
                      </w:rPr>
                    </w:pPr>
                    <w:r w:rsidRPr="00FE651E">
                      <w:rPr>
                        <w:rFonts w:hint="eastAsia"/>
                        <w:szCs w:val="21"/>
                      </w:rPr>
                      <w:t>4.期末余额</w:t>
                    </w:r>
                  </w:p>
                </w:tc>
              </w:sdtContent>
            </w:sdt>
            <w:tc>
              <w:tcPr>
                <w:tcW w:w="800" w:type="pct"/>
                <w:shd w:val="clear" w:color="auto" w:fill="auto"/>
                <w:vAlign w:val="center"/>
              </w:tcPr>
              <w:p w14:paraId="39D08694" w14:textId="77777777" w:rsidR="00471D53" w:rsidRPr="00FE651E" w:rsidRDefault="004F686E" w:rsidP="00471D53">
                <w:pPr>
                  <w:autoSpaceDE w:val="0"/>
                  <w:autoSpaceDN w:val="0"/>
                  <w:jc w:val="center"/>
                  <w:rPr>
                    <w:szCs w:val="21"/>
                  </w:rPr>
                </w:pPr>
                <w:r w:rsidRPr="00FE651E">
                  <w:rPr>
                    <w:rFonts w:hint="eastAsia"/>
                    <w:szCs w:val="21"/>
                  </w:rPr>
                  <w:t>105,685,385.05</w:t>
                </w:r>
              </w:p>
            </w:tc>
            <w:tc>
              <w:tcPr>
                <w:tcW w:w="733" w:type="pct"/>
                <w:shd w:val="clear" w:color="auto" w:fill="auto"/>
                <w:vAlign w:val="center"/>
              </w:tcPr>
              <w:p w14:paraId="0FC7A14D" w14:textId="77777777" w:rsidR="00471D53" w:rsidRPr="00FE651E" w:rsidRDefault="004F686E" w:rsidP="00471D53">
                <w:pPr>
                  <w:autoSpaceDE w:val="0"/>
                  <w:autoSpaceDN w:val="0"/>
                  <w:jc w:val="center"/>
                  <w:rPr>
                    <w:szCs w:val="21"/>
                  </w:rPr>
                </w:pPr>
                <w:r w:rsidRPr="00FE651E">
                  <w:rPr>
                    <w:szCs w:val="21"/>
                  </w:rPr>
                  <w:t>401,274,607.37</w:t>
                </w:r>
              </w:p>
            </w:tc>
            <w:tc>
              <w:tcPr>
                <w:tcW w:w="712" w:type="pct"/>
                <w:shd w:val="clear" w:color="auto" w:fill="auto"/>
                <w:vAlign w:val="center"/>
              </w:tcPr>
              <w:p w14:paraId="7883D006" w14:textId="77777777" w:rsidR="00471D53" w:rsidRPr="00FE651E" w:rsidRDefault="004F686E" w:rsidP="00471D53">
                <w:pPr>
                  <w:autoSpaceDE w:val="0"/>
                  <w:autoSpaceDN w:val="0"/>
                  <w:jc w:val="center"/>
                  <w:rPr>
                    <w:szCs w:val="21"/>
                  </w:rPr>
                </w:pPr>
                <w:r w:rsidRPr="00FE651E">
                  <w:rPr>
                    <w:rFonts w:hint="eastAsia"/>
                    <w:szCs w:val="21"/>
                  </w:rPr>
                  <w:t>11,619,868.59</w:t>
                </w:r>
              </w:p>
            </w:tc>
            <w:tc>
              <w:tcPr>
                <w:tcW w:w="688" w:type="pct"/>
                <w:shd w:val="clear" w:color="auto" w:fill="auto"/>
                <w:vAlign w:val="center"/>
              </w:tcPr>
              <w:p w14:paraId="73D07A33" w14:textId="77777777" w:rsidR="00471D53" w:rsidRPr="00FE651E" w:rsidRDefault="004F686E" w:rsidP="00471D53">
                <w:pPr>
                  <w:autoSpaceDE w:val="0"/>
                  <w:autoSpaceDN w:val="0"/>
                  <w:jc w:val="center"/>
                  <w:rPr>
                    <w:szCs w:val="21"/>
                  </w:rPr>
                </w:pPr>
                <w:r w:rsidRPr="00FE651E">
                  <w:rPr>
                    <w:rFonts w:hint="eastAsia"/>
                    <w:szCs w:val="21"/>
                  </w:rPr>
                  <w:t>6,702,858.70</w:t>
                </w:r>
              </w:p>
            </w:tc>
            <w:tc>
              <w:tcPr>
                <w:tcW w:w="715" w:type="pct"/>
                <w:shd w:val="clear" w:color="auto" w:fill="auto"/>
                <w:vAlign w:val="center"/>
              </w:tcPr>
              <w:p w14:paraId="1FECF8D4" w14:textId="77777777" w:rsidR="00471D53" w:rsidRPr="00FE651E" w:rsidRDefault="004F686E" w:rsidP="00471D53">
                <w:pPr>
                  <w:autoSpaceDE w:val="0"/>
                  <w:autoSpaceDN w:val="0"/>
                  <w:jc w:val="center"/>
                  <w:rPr>
                    <w:szCs w:val="21"/>
                  </w:rPr>
                </w:pPr>
                <w:r w:rsidRPr="00FE651E">
                  <w:rPr>
                    <w:rFonts w:hint="eastAsia"/>
                    <w:szCs w:val="21"/>
                  </w:rPr>
                  <w:t>2,864,152.16</w:t>
                </w:r>
              </w:p>
            </w:tc>
            <w:tc>
              <w:tcPr>
                <w:tcW w:w="818" w:type="pct"/>
                <w:shd w:val="clear" w:color="auto" w:fill="auto"/>
                <w:vAlign w:val="center"/>
              </w:tcPr>
              <w:p w14:paraId="6112B20F" w14:textId="77777777" w:rsidR="00471D53" w:rsidRPr="00FE651E" w:rsidRDefault="004F686E" w:rsidP="00471D53">
                <w:pPr>
                  <w:autoSpaceDE w:val="0"/>
                  <w:autoSpaceDN w:val="0"/>
                  <w:jc w:val="center"/>
                  <w:rPr>
                    <w:szCs w:val="21"/>
                  </w:rPr>
                </w:pPr>
                <w:r w:rsidRPr="00FE651E">
                  <w:rPr>
                    <w:szCs w:val="21"/>
                  </w:rPr>
                  <w:t>528,146,871.87</w:t>
                </w:r>
              </w:p>
            </w:tc>
          </w:tr>
          <w:tr w:rsidR="00471D53" w14:paraId="537A7756" w14:textId="77777777" w:rsidTr="00471D53">
            <w:sdt>
              <w:sdtPr>
                <w:rPr>
                  <w:szCs w:val="21"/>
                </w:rPr>
                <w:tag w:val="_PLD_662c84047b6d41648e46d047cc9b134a"/>
                <w:id w:val="322159783"/>
                <w:lock w:val="sdtLocked"/>
              </w:sdtPr>
              <w:sdtEndPr/>
              <w:sdtContent>
                <w:tc>
                  <w:tcPr>
                    <w:tcW w:w="533" w:type="pct"/>
                    <w:shd w:val="clear" w:color="auto" w:fill="auto"/>
                  </w:tcPr>
                  <w:p w14:paraId="015054D3" w14:textId="77777777" w:rsidR="00471D53" w:rsidRPr="00FE651E" w:rsidRDefault="004F686E" w:rsidP="00471D53">
                    <w:pPr>
                      <w:rPr>
                        <w:szCs w:val="21"/>
                      </w:rPr>
                    </w:pPr>
                    <w:r w:rsidRPr="00FE651E">
                      <w:rPr>
                        <w:rFonts w:hint="eastAsia"/>
                        <w:szCs w:val="21"/>
                      </w:rPr>
                      <w:t>三、减值准备</w:t>
                    </w:r>
                  </w:p>
                </w:tc>
              </w:sdtContent>
            </w:sdt>
            <w:tc>
              <w:tcPr>
                <w:tcW w:w="800" w:type="pct"/>
                <w:shd w:val="clear" w:color="auto" w:fill="auto"/>
                <w:vAlign w:val="center"/>
              </w:tcPr>
              <w:p w14:paraId="4441633D" w14:textId="77777777" w:rsidR="00471D53" w:rsidRPr="00FE651E" w:rsidRDefault="00B664AF" w:rsidP="00471D53">
                <w:pPr>
                  <w:jc w:val="center"/>
                  <w:rPr>
                    <w:szCs w:val="21"/>
                  </w:rPr>
                </w:pPr>
              </w:p>
            </w:tc>
            <w:tc>
              <w:tcPr>
                <w:tcW w:w="733" w:type="pct"/>
                <w:shd w:val="clear" w:color="auto" w:fill="auto"/>
                <w:vAlign w:val="center"/>
              </w:tcPr>
              <w:p w14:paraId="1B88EEE5" w14:textId="77777777" w:rsidR="00471D53" w:rsidRPr="00FE651E" w:rsidRDefault="00B664AF" w:rsidP="00471D53">
                <w:pPr>
                  <w:jc w:val="center"/>
                  <w:rPr>
                    <w:szCs w:val="21"/>
                  </w:rPr>
                </w:pPr>
              </w:p>
            </w:tc>
            <w:tc>
              <w:tcPr>
                <w:tcW w:w="712" w:type="pct"/>
                <w:shd w:val="clear" w:color="auto" w:fill="auto"/>
                <w:vAlign w:val="center"/>
              </w:tcPr>
              <w:p w14:paraId="6F418D2C" w14:textId="77777777" w:rsidR="00471D53" w:rsidRPr="00FE651E" w:rsidRDefault="00B664AF" w:rsidP="00471D53">
                <w:pPr>
                  <w:jc w:val="center"/>
                  <w:rPr>
                    <w:szCs w:val="21"/>
                  </w:rPr>
                </w:pPr>
              </w:p>
            </w:tc>
            <w:tc>
              <w:tcPr>
                <w:tcW w:w="688" w:type="pct"/>
                <w:shd w:val="clear" w:color="auto" w:fill="auto"/>
                <w:vAlign w:val="center"/>
              </w:tcPr>
              <w:p w14:paraId="40D1C3DA" w14:textId="77777777" w:rsidR="00471D53" w:rsidRPr="00FE651E" w:rsidRDefault="00B664AF" w:rsidP="00471D53">
                <w:pPr>
                  <w:jc w:val="center"/>
                  <w:rPr>
                    <w:szCs w:val="21"/>
                  </w:rPr>
                </w:pPr>
              </w:p>
            </w:tc>
            <w:tc>
              <w:tcPr>
                <w:tcW w:w="715" w:type="pct"/>
                <w:shd w:val="clear" w:color="auto" w:fill="auto"/>
                <w:vAlign w:val="center"/>
              </w:tcPr>
              <w:p w14:paraId="4A534734" w14:textId="77777777" w:rsidR="00471D53" w:rsidRPr="00FE651E" w:rsidRDefault="00B664AF" w:rsidP="00471D53">
                <w:pPr>
                  <w:jc w:val="center"/>
                  <w:rPr>
                    <w:szCs w:val="21"/>
                  </w:rPr>
                </w:pPr>
              </w:p>
            </w:tc>
            <w:tc>
              <w:tcPr>
                <w:tcW w:w="818" w:type="pct"/>
                <w:shd w:val="clear" w:color="auto" w:fill="auto"/>
                <w:vAlign w:val="center"/>
              </w:tcPr>
              <w:p w14:paraId="77DF7AE4" w14:textId="77777777" w:rsidR="00471D53" w:rsidRPr="00FE651E" w:rsidRDefault="00B664AF" w:rsidP="00471D53">
                <w:pPr>
                  <w:jc w:val="center"/>
                  <w:rPr>
                    <w:szCs w:val="21"/>
                  </w:rPr>
                </w:pPr>
              </w:p>
            </w:tc>
          </w:tr>
          <w:tr w:rsidR="00471D53" w14:paraId="3B71FBD2" w14:textId="77777777" w:rsidTr="00471D53">
            <w:sdt>
              <w:sdtPr>
                <w:rPr>
                  <w:szCs w:val="21"/>
                </w:rPr>
                <w:tag w:val="_PLD_ca34fab5808d492588c9f9773f2bb656"/>
                <w:id w:val="-1715725233"/>
                <w:lock w:val="sdtLocked"/>
              </w:sdtPr>
              <w:sdtEndPr/>
              <w:sdtContent>
                <w:tc>
                  <w:tcPr>
                    <w:tcW w:w="533" w:type="pct"/>
                    <w:shd w:val="clear" w:color="auto" w:fill="auto"/>
                  </w:tcPr>
                  <w:p w14:paraId="1C40F77C" w14:textId="77777777" w:rsidR="00471D53" w:rsidRPr="00FE651E" w:rsidRDefault="004F686E" w:rsidP="00471D53">
                    <w:pPr>
                      <w:ind w:firstLineChars="200" w:firstLine="420"/>
                      <w:rPr>
                        <w:szCs w:val="21"/>
                      </w:rPr>
                    </w:pPr>
                    <w:r w:rsidRPr="00FE651E">
                      <w:rPr>
                        <w:szCs w:val="21"/>
                      </w:rPr>
                      <w:t>1.</w:t>
                    </w:r>
                    <w:r w:rsidRPr="00FE651E">
                      <w:rPr>
                        <w:rFonts w:hint="eastAsia"/>
                        <w:szCs w:val="21"/>
                      </w:rPr>
                      <w:t>期初余额</w:t>
                    </w:r>
                  </w:p>
                </w:tc>
              </w:sdtContent>
            </w:sdt>
            <w:tc>
              <w:tcPr>
                <w:tcW w:w="800" w:type="pct"/>
                <w:shd w:val="clear" w:color="auto" w:fill="auto"/>
                <w:vAlign w:val="center"/>
              </w:tcPr>
              <w:p w14:paraId="002EFA64" w14:textId="77777777" w:rsidR="00471D53" w:rsidRPr="00FE651E" w:rsidRDefault="004F686E" w:rsidP="00471D53">
                <w:pPr>
                  <w:autoSpaceDE w:val="0"/>
                  <w:autoSpaceDN w:val="0"/>
                  <w:jc w:val="center"/>
                  <w:rPr>
                    <w:szCs w:val="21"/>
                  </w:rPr>
                </w:pPr>
                <w:r w:rsidRPr="00FE651E">
                  <w:rPr>
                    <w:szCs w:val="21"/>
                  </w:rPr>
                  <w:t>0.00</w:t>
                </w:r>
              </w:p>
            </w:tc>
            <w:tc>
              <w:tcPr>
                <w:tcW w:w="733" w:type="pct"/>
                <w:shd w:val="clear" w:color="auto" w:fill="auto"/>
                <w:vAlign w:val="center"/>
              </w:tcPr>
              <w:p w14:paraId="25488FE4" w14:textId="77777777" w:rsidR="00471D53" w:rsidRPr="00FE651E" w:rsidRDefault="004F686E" w:rsidP="00471D53">
                <w:pPr>
                  <w:autoSpaceDE w:val="0"/>
                  <w:autoSpaceDN w:val="0"/>
                  <w:jc w:val="center"/>
                  <w:rPr>
                    <w:szCs w:val="21"/>
                  </w:rPr>
                </w:pPr>
                <w:r w:rsidRPr="00FE651E">
                  <w:rPr>
                    <w:rFonts w:hint="eastAsia"/>
                    <w:szCs w:val="21"/>
                  </w:rPr>
                  <w:t>17,965,541.65</w:t>
                </w:r>
              </w:p>
            </w:tc>
            <w:tc>
              <w:tcPr>
                <w:tcW w:w="712" w:type="pct"/>
                <w:shd w:val="clear" w:color="auto" w:fill="auto"/>
                <w:vAlign w:val="center"/>
              </w:tcPr>
              <w:p w14:paraId="6BC4F532" w14:textId="77777777" w:rsidR="00471D53" w:rsidRPr="00FE651E" w:rsidRDefault="004F686E" w:rsidP="00471D53">
                <w:pPr>
                  <w:autoSpaceDE w:val="0"/>
                  <w:autoSpaceDN w:val="0"/>
                  <w:jc w:val="center"/>
                  <w:rPr>
                    <w:szCs w:val="21"/>
                  </w:rPr>
                </w:pPr>
                <w:r w:rsidRPr="00FE651E">
                  <w:rPr>
                    <w:rFonts w:hint="eastAsia"/>
                    <w:szCs w:val="21"/>
                  </w:rPr>
                  <w:t>194,073.82</w:t>
                </w:r>
              </w:p>
            </w:tc>
            <w:tc>
              <w:tcPr>
                <w:tcW w:w="688" w:type="pct"/>
                <w:shd w:val="clear" w:color="auto" w:fill="auto"/>
                <w:vAlign w:val="center"/>
              </w:tcPr>
              <w:p w14:paraId="7DFF5F72" w14:textId="77777777" w:rsidR="00471D53" w:rsidRPr="00FE651E" w:rsidRDefault="004F686E" w:rsidP="00471D53">
                <w:pPr>
                  <w:autoSpaceDE w:val="0"/>
                  <w:autoSpaceDN w:val="0"/>
                  <w:jc w:val="center"/>
                  <w:rPr>
                    <w:szCs w:val="21"/>
                  </w:rPr>
                </w:pPr>
                <w:r w:rsidRPr="00FE651E">
                  <w:rPr>
                    <w:rFonts w:hint="eastAsia"/>
                    <w:szCs w:val="21"/>
                  </w:rPr>
                  <w:t>286,144.82</w:t>
                </w:r>
              </w:p>
            </w:tc>
            <w:tc>
              <w:tcPr>
                <w:tcW w:w="715" w:type="pct"/>
                <w:shd w:val="clear" w:color="auto" w:fill="auto"/>
                <w:vAlign w:val="center"/>
              </w:tcPr>
              <w:p w14:paraId="48FD81FD" w14:textId="77777777" w:rsidR="00471D53" w:rsidRPr="00FE651E" w:rsidRDefault="004F686E" w:rsidP="00471D53">
                <w:pPr>
                  <w:autoSpaceDE w:val="0"/>
                  <w:autoSpaceDN w:val="0"/>
                  <w:jc w:val="center"/>
                  <w:rPr>
                    <w:szCs w:val="21"/>
                  </w:rPr>
                </w:pPr>
                <w:r w:rsidRPr="00FE651E">
                  <w:rPr>
                    <w:rFonts w:hint="eastAsia"/>
                    <w:szCs w:val="21"/>
                  </w:rPr>
                  <w:t>120,147.66</w:t>
                </w:r>
              </w:p>
            </w:tc>
            <w:tc>
              <w:tcPr>
                <w:tcW w:w="818" w:type="pct"/>
                <w:shd w:val="clear" w:color="auto" w:fill="auto"/>
                <w:vAlign w:val="center"/>
              </w:tcPr>
              <w:p w14:paraId="40709E34" w14:textId="77777777" w:rsidR="00471D53" w:rsidRPr="00FE651E" w:rsidRDefault="004F686E" w:rsidP="00471D53">
                <w:pPr>
                  <w:autoSpaceDE w:val="0"/>
                  <w:autoSpaceDN w:val="0"/>
                  <w:jc w:val="center"/>
                  <w:rPr>
                    <w:szCs w:val="21"/>
                  </w:rPr>
                </w:pPr>
                <w:r w:rsidRPr="00FE651E">
                  <w:rPr>
                    <w:rFonts w:hint="eastAsia"/>
                    <w:szCs w:val="21"/>
                  </w:rPr>
                  <w:t>18,565,907.95</w:t>
                </w:r>
              </w:p>
            </w:tc>
          </w:tr>
          <w:tr w:rsidR="00471D53" w14:paraId="11B70264" w14:textId="77777777" w:rsidTr="00471D53">
            <w:sdt>
              <w:sdtPr>
                <w:rPr>
                  <w:szCs w:val="21"/>
                </w:rPr>
                <w:tag w:val="_PLD_558d8ea305db4595a0aa4db4612e68ec"/>
                <w:id w:val="1469240603"/>
                <w:lock w:val="sdtLocked"/>
              </w:sdtPr>
              <w:sdtEndPr/>
              <w:sdtContent>
                <w:tc>
                  <w:tcPr>
                    <w:tcW w:w="533" w:type="pct"/>
                    <w:shd w:val="clear" w:color="auto" w:fill="auto"/>
                  </w:tcPr>
                  <w:p w14:paraId="1ED67358" w14:textId="77777777" w:rsidR="00471D53" w:rsidRPr="00FE651E" w:rsidRDefault="004F686E" w:rsidP="00471D53">
                    <w:pPr>
                      <w:ind w:firstLineChars="200" w:firstLine="420"/>
                      <w:rPr>
                        <w:szCs w:val="21"/>
                      </w:rPr>
                    </w:pPr>
                    <w:r w:rsidRPr="00FE651E">
                      <w:rPr>
                        <w:szCs w:val="21"/>
                      </w:rPr>
                      <w:t>2.</w:t>
                    </w:r>
                    <w:r w:rsidRPr="00FE651E">
                      <w:rPr>
                        <w:rFonts w:hint="eastAsia"/>
                        <w:szCs w:val="21"/>
                      </w:rPr>
                      <w:t>本期增加金额</w:t>
                    </w:r>
                  </w:p>
                </w:tc>
              </w:sdtContent>
            </w:sdt>
            <w:tc>
              <w:tcPr>
                <w:tcW w:w="800" w:type="pct"/>
                <w:shd w:val="clear" w:color="auto" w:fill="auto"/>
                <w:vAlign w:val="center"/>
              </w:tcPr>
              <w:p w14:paraId="2098E3F0" w14:textId="77777777" w:rsidR="00471D53" w:rsidRPr="00FE651E" w:rsidRDefault="00B664AF" w:rsidP="00471D53">
                <w:pPr>
                  <w:autoSpaceDE w:val="0"/>
                  <w:autoSpaceDN w:val="0"/>
                  <w:jc w:val="center"/>
                  <w:rPr>
                    <w:szCs w:val="21"/>
                  </w:rPr>
                </w:pPr>
              </w:p>
            </w:tc>
            <w:tc>
              <w:tcPr>
                <w:tcW w:w="733" w:type="pct"/>
                <w:shd w:val="clear" w:color="auto" w:fill="auto"/>
                <w:vAlign w:val="center"/>
              </w:tcPr>
              <w:p w14:paraId="246D35BF" w14:textId="77777777" w:rsidR="00471D53" w:rsidRPr="00FE651E" w:rsidRDefault="00B664AF" w:rsidP="00471D53">
                <w:pPr>
                  <w:autoSpaceDE w:val="0"/>
                  <w:autoSpaceDN w:val="0"/>
                  <w:jc w:val="center"/>
                  <w:rPr>
                    <w:szCs w:val="21"/>
                  </w:rPr>
                </w:pPr>
              </w:p>
            </w:tc>
            <w:tc>
              <w:tcPr>
                <w:tcW w:w="712" w:type="pct"/>
                <w:shd w:val="clear" w:color="auto" w:fill="auto"/>
                <w:vAlign w:val="center"/>
              </w:tcPr>
              <w:p w14:paraId="0CB3A5C6" w14:textId="77777777" w:rsidR="00471D53" w:rsidRPr="00FE651E" w:rsidRDefault="00B664AF" w:rsidP="00471D53">
                <w:pPr>
                  <w:autoSpaceDE w:val="0"/>
                  <w:autoSpaceDN w:val="0"/>
                  <w:jc w:val="center"/>
                  <w:rPr>
                    <w:szCs w:val="21"/>
                  </w:rPr>
                </w:pPr>
              </w:p>
            </w:tc>
            <w:tc>
              <w:tcPr>
                <w:tcW w:w="688" w:type="pct"/>
                <w:shd w:val="clear" w:color="auto" w:fill="auto"/>
                <w:vAlign w:val="center"/>
              </w:tcPr>
              <w:p w14:paraId="62EB580C" w14:textId="77777777" w:rsidR="00471D53" w:rsidRPr="00FE651E" w:rsidRDefault="00B664AF" w:rsidP="00471D53">
                <w:pPr>
                  <w:autoSpaceDE w:val="0"/>
                  <w:autoSpaceDN w:val="0"/>
                  <w:jc w:val="center"/>
                  <w:rPr>
                    <w:szCs w:val="21"/>
                  </w:rPr>
                </w:pPr>
              </w:p>
            </w:tc>
            <w:tc>
              <w:tcPr>
                <w:tcW w:w="715" w:type="pct"/>
                <w:shd w:val="clear" w:color="auto" w:fill="auto"/>
                <w:vAlign w:val="center"/>
              </w:tcPr>
              <w:p w14:paraId="799DAA42" w14:textId="77777777" w:rsidR="00471D53" w:rsidRPr="00FE651E" w:rsidRDefault="00B664AF" w:rsidP="00471D53">
                <w:pPr>
                  <w:autoSpaceDE w:val="0"/>
                  <w:autoSpaceDN w:val="0"/>
                  <w:jc w:val="center"/>
                  <w:rPr>
                    <w:szCs w:val="21"/>
                  </w:rPr>
                </w:pPr>
              </w:p>
            </w:tc>
            <w:tc>
              <w:tcPr>
                <w:tcW w:w="818" w:type="pct"/>
                <w:shd w:val="clear" w:color="auto" w:fill="auto"/>
                <w:vAlign w:val="center"/>
              </w:tcPr>
              <w:p w14:paraId="3099A761" w14:textId="77777777" w:rsidR="00471D53" w:rsidRPr="00FE651E" w:rsidRDefault="00B664AF" w:rsidP="00471D53">
                <w:pPr>
                  <w:autoSpaceDE w:val="0"/>
                  <w:autoSpaceDN w:val="0"/>
                  <w:jc w:val="center"/>
                  <w:rPr>
                    <w:szCs w:val="21"/>
                  </w:rPr>
                </w:pPr>
              </w:p>
            </w:tc>
          </w:tr>
          <w:tr w:rsidR="00471D53" w14:paraId="27AAD03C" w14:textId="77777777" w:rsidTr="00471D53">
            <w:sdt>
              <w:sdtPr>
                <w:rPr>
                  <w:szCs w:val="21"/>
                </w:rPr>
                <w:tag w:val="_PLD_433ae6be63a842f9b3c972bb56b0616a"/>
                <w:id w:val="-765456066"/>
                <w:lock w:val="sdtLocked"/>
              </w:sdtPr>
              <w:sdtEndPr/>
              <w:sdtContent>
                <w:tc>
                  <w:tcPr>
                    <w:tcW w:w="533" w:type="pct"/>
                    <w:shd w:val="clear" w:color="auto" w:fill="auto"/>
                  </w:tcPr>
                  <w:p w14:paraId="34E37B1D" w14:textId="77777777" w:rsidR="00471D53" w:rsidRPr="00FE651E" w:rsidRDefault="004F686E" w:rsidP="00471D53">
                    <w:pPr>
                      <w:ind w:firstLineChars="300" w:firstLine="630"/>
                      <w:rPr>
                        <w:szCs w:val="21"/>
                      </w:rPr>
                    </w:pPr>
                    <w:r w:rsidRPr="00FE651E">
                      <w:rPr>
                        <w:rFonts w:hint="eastAsia"/>
                        <w:szCs w:val="21"/>
                      </w:rPr>
                      <w:t>（1）计提</w:t>
                    </w:r>
                  </w:p>
                </w:tc>
              </w:sdtContent>
            </w:sdt>
            <w:tc>
              <w:tcPr>
                <w:tcW w:w="800" w:type="pct"/>
                <w:shd w:val="clear" w:color="auto" w:fill="auto"/>
                <w:vAlign w:val="center"/>
              </w:tcPr>
              <w:p w14:paraId="5FED9B76" w14:textId="77777777" w:rsidR="00471D53" w:rsidRPr="00FE651E" w:rsidRDefault="00B664AF" w:rsidP="00471D53">
                <w:pPr>
                  <w:autoSpaceDE w:val="0"/>
                  <w:autoSpaceDN w:val="0"/>
                  <w:jc w:val="center"/>
                  <w:rPr>
                    <w:szCs w:val="21"/>
                  </w:rPr>
                </w:pPr>
              </w:p>
            </w:tc>
            <w:tc>
              <w:tcPr>
                <w:tcW w:w="733" w:type="pct"/>
                <w:shd w:val="clear" w:color="auto" w:fill="auto"/>
                <w:vAlign w:val="center"/>
              </w:tcPr>
              <w:p w14:paraId="3971E81E" w14:textId="77777777" w:rsidR="00471D53" w:rsidRPr="00FE651E" w:rsidRDefault="00B664AF" w:rsidP="00471D53">
                <w:pPr>
                  <w:autoSpaceDE w:val="0"/>
                  <w:autoSpaceDN w:val="0"/>
                  <w:jc w:val="center"/>
                  <w:rPr>
                    <w:szCs w:val="21"/>
                  </w:rPr>
                </w:pPr>
              </w:p>
            </w:tc>
            <w:tc>
              <w:tcPr>
                <w:tcW w:w="712" w:type="pct"/>
                <w:shd w:val="clear" w:color="auto" w:fill="auto"/>
                <w:vAlign w:val="center"/>
              </w:tcPr>
              <w:p w14:paraId="61E2901A" w14:textId="77777777" w:rsidR="00471D53" w:rsidRPr="00FE651E" w:rsidRDefault="00B664AF" w:rsidP="00471D53">
                <w:pPr>
                  <w:autoSpaceDE w:val="0"/>
                  <w:autoSpaceDN w:val="0"/>
                  <w:jc w:val="center"/>
                  <w:rPr>
                    <w:szCs w:val="21"/>
                  </w:rPr>
                </w:pPr>
              </w:p>
            </w:tc>
            <w:tc>
              <w:tcPr>
                <w:tcW w:w="688" w:type="pct"/>
                <w:shd w:val="clear" w:color="auto" w:fill="auto"/>
                <w:vAlign w:val="center"/>
              </w:tcPr>
              <w:p w14:paraId="4BBF210B" w14:textId="77777777" w:rsidR="00471D53" w:rsidRPr="00FE651E" w:rsidRDefault="00B664AF" w:rsidP="00471D53">
                <w:pPr>
                  <w:autoSpaceDE w:val="0"/>
                  <w:autoSpaceDN w:val="0"/>
                  <w:jc w:val="center"/>
                  <w:rPr>
                    <w:szCs w:val="21"/>
                  </w:rPr>
                </w:pPr>
              </w:p>
            </w:tc>
            <w:tc>
              <w:tcPr>
                <w:tcW w:w="715" w:type="pct"/>
                <w:shd w:val="clear" w:color="auto" w:fill="auto"/>
                <w:vAlign w:val="center"/>
              </w:tcPr>
              <w:p w14:paraId="7E63768A" w14:textId="77777777" w:rsidR="00471D53" w:rsidRPr="00FE651E" w:rsidRDefault="00B664AF" w:rsidP="00471D53">
                <w:pPr>
                  <w:autoSpaceDE w:val="0"/>
                  <w:autoSpaceDN w:val="0"/>
                  <w:jc w:val="center"/>
                  <w:rPr>
                    <w:szCs w:val="21"/>
                  </w:rPr>
                </w:pPr>
              </w:p>
            </w:tc>
            <w:tc>
              <w:tcPr>
                <w:tcW w:w="818" w:type="pct"/>
                <w:shd w:val="clear" w:color="auto" w:fill="auto"/>
                <w:vAlign w:val="center"/>
              </w:tcPr>
              <w:p w14:paraId="48C77A47" w14:textId="77777777" w:rsidR="00471D53" w:rsidRPr="00FE651E" w:rsidRDefault="00B664AF" w:rsidP="00471D53">
                <w:pPr>
                  <w:autoSpaceDE w:val="0"/>
                  <w:autoSpaceDN w:val="0"/>
                  <w:jc w:val="center"/>
                  <w:rPr>
                    <w:szCs w:val="21"/>
                  </w:rPr>
                </w:pPr>
              </w:p>
            </w:tc>
          </w:tr>
          <w:tr w:rsidR="00471D53" w14:paraId="692075D3" w14:textId="77777777" w:rsidTr="00471D53">
            <w:sdt>
              <w:sdtPr>
                <w:rPr>
                  <w:rFonts w:hint="eastAsia"/>
                  <w:szCs w:val="21"/>
                </w:rPr>
                <w:alias w:val="固定资产减值准备增加项目名称"/>
                <w:tag w:val="_GBC_cd4874649a714a85b3aaac58f235f408"/>
                <w:id w:val="-1172797885"/>
                <w:lock w:val="sdtLocked"/>
                <w:showingPlcHdr/>
              </w:sdtPr>
              <w:sdtEndPr/>
              <w:sdtContent>
                <w:tc>
                  <w:tcPr>
                    <w:tcW w:w="533" w:type="pct"/>
                    <w:shd w:val="clear" w:color="auto" w:fill="auto"/>
                  </w:tcPr>
                  <w:p w14:paraId="5F034A7D" w14:textId="77777777" w:rsidR="00471D53" w:rsidRPr="00FE651E" w:rsidRDefault="004F686E" w:rsidP="00471D53">
                    <w:pPr>
                      <w:ind w:firstLineChars="300" w:firstLine="630"/>
                      <w:rPr>
                        <w:szCs w:val="21"/>
                      </w:rPr>
                    </w:pPr>
                    <w:r w:rsidRPr="00FE651E">
                      <w:rPr>
                        <w:rFonts w:hint="eastAsia"/>
                        <w:szCs w:val="21"/>
                      </w:rPr>
                      <w:t xml:space="preserve">　</w:t>
                    </w:r>
                  </w:p>
                </w:tc>
              </w:sdtContent>
            </w:sdt>
            <w:sdt>
              <w:sdtPr>
                <w:rPr>
                  <w:rFonts w:hint="eastAsia"/>
                  <w:szCs w:val="21"/>
                </w:rPr>
                <w:alias w:val="固定资产减值准备增加项目金额"/>
                <w:tag w:val="_GBC_f55c18250a6d4260aa1a4fc716b81fe1"/>
                <w:id w:val="615488375"/>
                <w:lock w:val="sdtLocked"/>
                <w:showingPlcHdr/>
              </w:sdtPr>
              <w:sdtEndPr/>
              <w:sdtContent>
                <w:tc>
                  <w:tcPr>
                    <w:tcW w:w="800" w:type="pct"/>
                    <w:shd w:val="clear" w:color="auto" w:fill="auto"/>
                    <w:vAlign w:val="center"/>
                  </w:tcPr>
                  <w:p w14:paraId="6698BAE8" w14:textId="77777777" w:rsidR="00471D53" w:rsidRPr="00FE651E" w:rsidRDefault="004F686E" w:rsidP="00471D53">
                    <w:pPr>
                      <w:jc w:val="center"/>
                      <w:rPr>
                        <w:szCs w:val="21"/>
                      </w:rPr>
                    </w:pPr>
                    <w:r w:rsidRPr="00FE651E">
                      <w:rPr>
                        <w:rFonts w:hint="eastAsia"/>
                        <w:szCs w:val="21"/>
                      </w:rPr>
                      <w:t xml:space="preserve">　</w:t>
                    </w:r>
                  </w:p>
                </w:tc>
              </w:sdtContent>
            </w:sdt>
            <w:sdt>
              <w:sdtPr>
                <w:rPr>
                  <w:rFonts w:hint="eastAsia"/>
                  <w:szCs w:val="21"/>
                </w:rPr>
                <w:alias w:val="固定资产减值准备增加项目金额"/>
                <w:tag w:val="_GBC_f55c18250a6d4260aa1a4fc716b81fe1"/>
                <w:id w:val="1988198853"/>
                <w:lock w:val="sdtLocked"/>
                <w:showingPlcHdr/>
              </w:sdtPr>
              <w:sdtEndPr/>
              <w:sdtContent>
                <w:tc>
                  <w:tcPr>
                    <w:tcW w:w="733" w:type="pct"/>
                    <w:shd w:val="clear" w:color="auto" w:fill="auto"/>
                    <w:vAlign w:val="center"/>
                  </w:tcPr>
                  <w:p w14:paraId="6C839B14" w14:textId="77777777" w:rsidR="00471D53" w:rsidRPr="00FE651E" w:rsidRDefault="004F686E" w:rsidP="00471D53">
                    <w:pPr>
                      <w:jc w:val="center"/>
                      <w:rPr>
                        <w:szCs w:val="21"/>
                      </w:rPr>
                    </w:pPr>
                    <w:r w:rsidRPr="00FE651E">
                      <w:rPr>
                        <w:rFonts w:hint="eastAsia"/>
                        <w:szCs w:val="21"/>
                      </w:rPr>
                      <w:t xml:space="preserve">　</w:t>
                    </w:r>
                  </w:p>
                </w:tc>
              </w:sdtContent>
            </w:sdt>
            <w:sdt>
              <w:sdtPr>
                <w:rPr>
                  <w:rFonts w:hint="eastAsia"/>
                  <w:szCs w:val="21"/>
                </w:rPr>
                <w:alias w:val="固定资产减值准备增加项目金额"/>
                <w:tag w:val="_GBC_f55c18250a6d4260aa1a4fc716b81fe1"/>
                <w:id w:val="-780259578"/>
                <w:lock w:val="sdtLocked"/>
                <w:showingPlcHdr/>
              </w:sdtPr>
              <w:sdtEndPr/>
              <w:sdtContent>
                <w:tc>
                  <w:tcPr>
                    <w:tcW w:w="712" w:type="pct"/>
                    <w:shd w:val="clear" w:color="auto" w:fill="auto"/>
                    <w:vAlign w:val="center"/>
                  </w:tcPr>
                  <w:p w14:paraId="1496E234" w14:textId="77777777" w:rsidR="00471D53" w:rsidRPr="00FE651E" w:rsidRDefault="004F686E" w:rsidP="00471D53">
                    <w:pPr>
                      <w:jc w:val="center"/>
                      <w:rPr>
                        <w:szCs w:val="21"/>
                      </w:rPr>
                    </w:pPr>
                    <w:r w:rsidRPr="00FE651E">
                      <w:rPr>
                        <w:rFonts w:hint="eastAsia"/>
                        <w:szCs w:val="21"/>
                      </w:rPr>
                      <w:t xml:space="preserve">　</w:t>
                    </w:r>
                  </w:p>
                </w:tc>
              </w:sdtContent>
            </w:sdt>
            <w:sdt>
              <w:sdtPr>
                <w:rPr>
                  <w:rFonts w:hint="eastAsia"/>
                  <w:szCs w:val="21"/>
                </w:rPr>
                <w:alias w:val="固定资产减值准备增加项目金额"/>
                <w:tag w:val="_GBC_f55c18250a6d4260aa1a4fc716b81fe1"/>
                <w:id w:val="1453213330"/>
                <w:lock w:val="sdtLocked"/>
                <w:showingPlcHdr/>
              </w:sdtPr>
              <w:sdtEndPr/>
              <w:sdtContent>
                <w:tc>
                  <w:tcPr>
                    <w:tcW w:w="688" w:type="pct"/>
                    <w:shd w:val="clear" w:color="auto" w:fill="auto"/>
                    <w:vAlign w:val="center"/>
                  </w:tcPr>
                  <w:p w14:paraId="61531DE8" w14:textId="77777777" w:rsidR="00471D53" w:rsidRPr="00FE651E" w:rsidRDefault="00B664AF" w:rsidP="00471D53">
                    <w:pPr>
                      <w:jc w:val="center"/>
                      <w:rPr>
                        <w:szCs w:val="21"/>
                      </w:rPr>
                    </w:pPr>
                  </w:p>
                </w:tc>
              </w:sdtContent>
            </w:sdt>
            <w:sdt>
              <w:sdtPr>
                <w:rPr>
                  <w:rFonts w:hint="eastAsia"/>
                  <w:szCs w:val="21"/>
                </w:rPr>
                <w:alias w:val="固定资产减值准备增加项目金额"/>
                <w:tag w:val="_GBC_f55c18250a6d4260aa1a4fc716b81fe1"/>
                <w:id w:val="-1395189267"/>
                <w:lock w:val="sdtLocked"/>
                <w:showingPlcHdr/>
              </w:sdtPr>
              <w:sdtEndPr/>
              <w:sdtContent>
                <w:tc>
                  <w:tcPr>
                    <w:tcW w:w="715" w:type="pct"/>
                    <w:shd w:val="clear" w:color="auto" w:fill="auto"/>
                    <w:vAlign w:val="center"/>
                  </w:tcPr>
                  <w:p w14:paraId="31692847" w14:textId="77777777" w:rsidR="00471D53" w:rsidRPr="00FE651E" w:rsidRDefault="004F686E" w:rsidP="00471D53">
                    <w:pPr>
                      <w:jc w:val="center"/>
                      <w:rPr>
                        <w:szCs w:val="21"/>
                      </w:rPr>
                    </w:pPr>
                    <w:r w:rsidRPr="00FE651E">
                      <w:rPr>
                        <w:rFonts w:hint="eastAsia"/>
                        <w:szCs w:val="21"/>
                      </w:rPr>
                      <w:t xml:space="preserve">　</w:t>
                    </w:r>
                  </w:p>
                </w:tc>
              </w:sdtContent>
            </w:sdt>
            <w:sdt>
              <w:sdtPr>
                <w:rPr>
                  <w:rFonts w:hint="eastAsia"/>
                  <w:szCs w:val="21"/>
                </w:rPr>
                <w:alias w:val="固定资产减值准备增加项目合计金额"/>
                <w:tag w:val="_GBC_88047d8723a840e3b605e1a8a9eb2480"/>
                <w:id w:val="-472290068"/>
                <w:lock w:val="sdtLocked"/>
                <w:showingPlcHdr/>
              </w:sdtPr>
              <w:sdtEndPr/>
              <w:sdtContent>
                <w:tc>
                  <w:tcPr>
                    <w:tcW w:w="818" w:type="pct"/>
                    <w:shd w:val="clear" w:color="auto" w:fill="auto"/>
                    <w:vAlign w:val="center"/>
                  </w:tcPr>
                  <w:p w14:paraId="2E7D5B41" w14:textId="77777777" w:rsidR="00471D53" w:rsidRPr="00FE651E" w:rsidRDefault="004F686E" w:rsidP="00471D53">
                    <w:pPr>
                      <w:jc w:val="center"/>
                      <w:rPr>
                        <w:szCs w:val="21"/>
                      </w:rPr>
                    </w:pPr>
                    <w:r w:rsidRPr="00FE651E">
                      <w:rPr>
                        <w:rFonts w:hint="eastAsia"/>
                        <w:szCs w:val="21"/>
                      </w:rPr>
                      <w:t xml:space="preserve">　</w:t>
                    </w:r>
                  </w:p>
                </w:tc>
              </w:sdtContent>
            </w:sdt>
          </w:tr>
          <w:tr w:rsidR="00471D53" w14:paraId="522C0E07" w14:textId="77777777" w:rsidTr="00471D53">
            <w:sdt>
              <w:sdtPr>
                <w:rPr>
                  <w:rFonts w:hint="eastAsia"/>
                  <w:szCs w:val="21"/>
                </w:rPr>
                <w:alias w:val="固定资产减值准备增加项目名称"/>
                <w:tag w:val="_GBC_cd4874649a714a85b3aaac58f235f408"/>
                <w:id w:val="-29040175"/>
                <w:lock w:val="sdtLocked"/>
                <w:showingPlcHdr/>
              </w:sdtPr>
              <w:sdtEndPr/>
              <w:sdtContent>
                <w:tc>
                  <w:tcPr>
                    <w:tcW w:w="533" w:type="pct"/>
                    <w:shd w:val="clear" w:color="auto" w:fill="auto"/>
                  </w:tcPr>
                  <w:p w14:paraId="1D551E35" w14:textId="77777777" w:rsidR="00471D53" w:rsidRPr="00FE651E" w:rsidRDefault="004F686E" w:rsidP="00471D53">
                    <w:pPr>
                      <w:ind w:firstLineChars="300" w:firstLine="630"/>
                      <w:rPr>
                        <w:szCs w:val="21"/>
                      </w:rPr>
                    </w:pPr>
                    <w:r w:rsidRPr="00FE651E">
                      <w:rPr>
                        <w:rFonts w:hint="eastAsia"/>
                        <w:szCs w:val="21"/>
                      </w:rPr>
                      <w:t xml:space="preserve">　</w:t>
                    </w:r>
                  </w:p>
                </w:tc>
              </w:sdtContent>
            </w:sdt>
            <w:sdt>
              <w:sdtPr>
                <w:rPr>
                  <w:rFonts w:hint="eastAsia"/>
                  <w:szCs w:val="21"/>
                </w:rPr>
                <w:alias w:val="固定资产减值准备增加项目金额"/>
                <w:tag w:val="_GBC_f55c18250a6d4260aa1a4fc716b81fe1"/>
                <w:id w:val="1904860594"/>
                <w:lock w:val="sdtLocked"/>
                <w:showingPlcHdr/>
              </w:sdtPr>
              <w:sdtEndPr/>
              <w:sdtContent>
                <w:tc>
                  <w:tcPr>
                    <w:tcW w:w="800" w:type="pct"/>
                    <w:shd w:val="clear" w:color="auto" w:fill="auto"/>
                    <w:vAlign w:val="center"/>
                  </w:tcPr>
                  <w:p w14:paraId="26AC0E6B" w14:textId="77777777" w:rsidR="00471D53" w:rsidRPr="00FE651E" w:rsidRDefault="004F686E" w:rsidP="00471D53">
                    <w:pPr>
                      <w:jc w:val="center"/>
                      <w:rPr>
                        <w:szCs w:val="21"/>
                      </w:rPr>
                    </w:pPr>
                    <w:r w:rsidRPr="00FE651E">
                      <w:rPr>
                        <w:rFonts w:hint="eastAsia"/>
                        <w:szCs w:val="21"/>
                      </w:rPr>
                      <w:t xml:space="preserve">　</w:t>
                    </w:r>
                  </w:p>
                </w:tc>
              </w:sdtContent>
            </w:sdt>
            <w:sdt>
              <w:sdtPr>
                <w:rPr>
                  <w:rFonts w:hint="eastAsia"/>
                  <w:szCs w:val="21"/>
                </w:rPr>
                <w:alias w:val="固定资产减值准备增加项目金额"/>
                <w:tag w:val="_GBC_f55c18250a6d4260aa1a4fc716b81fe1"/>
                <w:id w:val="1627969088"/>
                <w:lock w:val="sdtLocked"/>
                <w:showingPlcHdr/>
              </w:sdtPr>
              <w:sdtEndPr/>
              <w:sdtContent>
                <w:tc>
                  <w:tcPr>
                    <w:tcW w:w="733" w:type="pct"/>
                    <w:shd w:val="clear" w:color="auto" w:fill="auto"/>
                    <w:vAlign w:val="center"/>
                  </w:tcPr>
                  <w:p w14:paraId="3003913C" w14:textId="77777777" w:rsidR="00471D53" w:rsidRPr="00FE651E" w:rsidRDefault="00B664AF" w:rsidP="00471D53">
                    <w:pPr>
                      <w:jc w:val="center"/>
                      <w:rPr>
                        <w:szCs w:val="21"/>
                      </w:rPr>
                    </w:pPr>
                  </w:p>
                </w:tc>
              </w:sdtContent>
            </w:sdt>
            <w:sdt>
              <w:sdtPr>
                <w:rPr>
                  <w:rFonts w:hint="eastAsia"/>
                  <w:szCs w:val="21"/>
                </w:rPr>
                <w:alias w:val="固定资产减值准备增加项目金额"/>
                <w:tag w:val="_GBC_f55c18250a6d4260aa1a4fc716b81fe1"/>
                <w:id w:val="-905370198"/>
                <w:lock w:val="sdtLocked"/>
                <w:showingPlcHdr/>
              </w:sdtPr>
              <w:sdtEndPr/>
              <w:sdtContent>
                <w:tc>
                  <w:tcPr>
                    <w:tcW w:w="712" w:type="pct"/>
                    <w:shd w:val="clear" w:color="auto" w:fill="auto"/>
                    <w:vAlign w:val="center"/>
                  </w:tcPr>
                  <w:p w14:paraId="7C5E5826" w14:textId="77777777" w:rsidR="00471D53" w:rsidRPr="00FE651E" w:rsidRDefault="00B664AF" w:rsidP="00471D53">
                    <w:pPr>
                      <w:jc w:val="center"/>
                      <w:rPr>
                        <w:szCs w:val="21"/>
                      </w:rPr>
                    </w:pPr>
                  </w:p>
                </w:tc>
              </w:sdtContent>
            </w:sdt>
            <w:sdt>
              <w:sdtPr>
                <w:rPr>
                  <w:rFonts w:hint="eastAsia"/>
                  <w:szCs w:val="21"/>
                </w:rPr>
                <w:alias w:val="固定资产减值准备增加项目金额"/>
                <w:tag w:val="_GBC_f55c18250a6d4260aa1a4fc716b81fe1"/>
                <w:id w:val="1244607769"/>
                <w:lock w:val="sdtLocked"/>
                <w:showingPlcHdr/>
              </w:sdtPr>
              <w:sdtEndPr/>
              <w:sdtContent>
                <w:tc>
                  <w:tcPr>
                    <w:tcW w:w="688" w:type="pct"/>
                    <w:shd w:val="clear" w:color="auto" w:fill="auto"/>
                    <w:vAlign w:val="center"/>
                  </w:tcPr>
                  <w:p w14:paraId="6982D6BD" w14:textId="77777777" w:rsidR="00471D53" w:rsidRPr="00FE651E" w:rsidRDefault="00B664AF" w:rsidP="00471D53">
                    <w:pPr>
                      <w:jc w:val="center"/>
                      <w:rPr>
                        <w:szCs w:val="21"/>
                      </w:rPr>
                    </w:pPr>
                  </w:p>
                </w:tc>
              </w:sdtContent>
            </w:sdt>
            <w:sdt>
              <w:sdtPr>
                <w:rPr>
                  <w:rFonts w:hint="eastAsia"/>
                  <w:szCs w:val="21"/>
                </w:rPr>
                <w:alias w:val="固定资产减值准备增加项目金额"/>
                <w:tag w:val="_GBC_f55c18250a6d4260aa1a4fc716b81fe1"/>
                <w:id w:val="1143930360"/>
                <w:lock w:val="sdtLocked"/>
                <w:showingPlcHdr/>
              </w:sdtPr>
              <w:sdtEndPr/>
              <w:sdtContent>
                <w:tc>
                  <w:tcPr>
                    <w:tcW w:w="715" w:type="pct"/>
                    <w:shd w:val="clear" w:color="auto" w:fill="auto"/>
                    <w:vAlign w:val="center"/>
                  </w:tcPr>
                  <w:p w14:paraId="2B3BB48D" w14:textId="77777777" w:rsidR="00471D53" w:rsidRPr="00FE651E" w:rsidRDefault="00B664AF" w:rsidP="00471D53">
                    <w:pPr>
                      <w:jc w:val="center"/>
                      <w:rPr>
                        <w:szCs w:val="21"/>
                      </w:rPr>
                    </w:pPr>
                  </w:p>
                </w:tc>
              </w:sdtContent>
            </w:sdt>
            <w:sdt>
              <w:sdtPr>
                <w:rPr>
                  <w:rFonts w:hint="eastAsia"/>
                  <w:szCs w:val="21"/>
                </w:rPr>
                <w:alias w:val="固定资产减值准备增加项目合计金额"/>
                <w:tag w:val="_GBC_88047d8723a840e3b605e1a8a9eb2480"/>
                <w:id w:val="-2029015139"/>
                <w:lock w:val="sdtLocked"/>
                <w:showingPlcHdr/>
              </w:sdtPr>
              <w:sdtEndPr/>
              <w:sdtContent>
                <w:tc>
                  <w:tcPr>
                    <w:tcW w:w="818" w:type="pct"/>
                    <w:shd w:val="clear" w:color="auto" w:fill="auto"/>
                    <w:vAlign w:val="center"/>
                  </w:tcPr>
                  <w:p w14:paraId="6EB7A92B" w14:textId="77777777" w:rsidR="00471D53" w:rsidRPr="00FE651E" w:rsidRDefault="004F686E" w:rsidP="00471D53">
                    <w:pPr>
                      <w:jc w:val="center"/>
                      <w:rPr>
                        <w:szCs w:val="21"/>
                      </w:rPr>
                    </w:pPr>
                    <w:r w:rsidRPr="00FE651E">
                      <w:rPr>
                        <w:rFonts w:hint="eastAsia"/>
                        <w:szCs w:val="21"/>
                      </w:rPr>
                      <w:t xml:space="preserve">　</w:t>
                    </w:r>
                  </w:p>
                </w:tc>
              </w:sdtContent>
            </w:sdt>
          </w:tr>
          <w:tr w:rsidR="00471D53" w14:paraId="7A72A893" w14:textId="77777777" w:rsidTr="00471D53">
            <w:sdt>
              <w:sdtPr>
                <w:rPr>
                  <w:szCs w:val="21"/>
                </w:rPr>
                <w:tag w:val="_PLD_9f06e7f0e71e4a3aa190d3fcd09490fc"/>
                <w:id w:val="1841046960"/>
                <w:lock w:val="sdtLocked"/>
              </w:sdtPr>
              <w:sdtEndPr/>
              <w:sdtContent>
                <w:tc>
                  <w:tcPr>
                    <w:tcW w:w="533" w:type="pct"/>
                    <w:shd w:val="clear" w:color="auto" w:fill="auto"/>
                  </w:tcPr>
                  <w:p w14:paraId="7F22F6FC" w14:textId="77777777" w:rsidR="00471D53" w:rsidRPr="00FE651E" w:rsidRDefault="004F686E" w:rsidP="00471D53">
                    <w:pPr>
                      <w:ind w:firstLineChars="200" w:firstLine="420"/>
                      <w:rPr>
                        <w:szCs w:val="21"/>
                      </w:rPr>
                    </w:pPr>
                    <w:r w:rsidRPr="00FE651E">
                      <w:rPr>
                        <w:rFonts w:hint="eastAsia"/>
                        <w:szCs w:val="21"/>
                      </w:rPr>
                      <w:t>3.本期减少金额</w:t>
                    </w:r>
                  </w:p>
                </w:tc>
              </w:sdtContent>
            </w:sdt>
            <w:tc>
              <w:tcPr>
                <w:tcW w:w="800" w:type="pct"/>
                <w:shd w:val="clear" w:color="auto" w:fill="auto"/>
                <w:vAlign w:val="center"/>
              </w:tcPr>
              <w:p w14:paraId="565DEABB" w14:textId="77777777" w:rsidR="00471D53" w:rsidRPr="00FE651E" w:rsidRDefault="004F686E" w:rsidP="00471D53">
                <w:pPr>
                  <w:autoSpaceDE w:val="0"/>
                  <w:autoSpaceDN w:val="0"/>
                  <w:jc w:val="center"/>
                  <w:rPr>
                    <w:szCs w:val="21"/>
                  </w:rPr>
                </w:pPr>
                <w:r w:rsidRPr="00FE651E">
                  <w:rPr>
                    <w:rFonts w:hint="eastAsia"/>
                    <w:szCs w:val="21"/>
                  </w:rPr>
                  <w:t>0.00</w:t>
                </w:r>
              </w:p>
            </w:tc>
            <w:tc>
              <w:tcPr>
                <w:tcW w:w="733" w:type="pct"/>
                <w:shd w:val="clear" w:color="auto" w:fill="auto"/>
                <w:vAlign w:val="center"/>
              </w:tcPr>
              <w:p w14:paraId="6C02E9CA" w14:textId="77777777" w:rsidR="00471D53" w:rsidRPr="00FE651E" w:rsidRDefault="004F686E" w:rsidP="00471D53">
                <w:pPr>
                  <w:autoSpaceDE w:val="0"/>
                  <w:autoSpaceDN w:val="0"/>
                  <w:jc w:val="center"/>
                  <w:rPr>
                    <w:szCs w:val="21"/>
                  </w:rPr>
                </w:pPr>
                <w:r w:rsidRPr="00FE651E">
                  <w:rPr>
                    <w:rFonts w:hint="eastAsia"/>
                    <w:szCs w:val="21"/>
                  </w:rPr>
                  <w:t>50,400.82</w:t>
                </w:r>
              </w:p>
            </w:tc>
            <w:tc>
              <w:tcPr>
                <w:tcW w:w="712" w:type="pct"/>
                <w:shd w:val="clear" w:color="auto" w:fill="auto"/>
                <w:vAlign w:val="center"/>
              </w:tcPr>
              <w:p w14:paraId="46CFCCC3" w14:textId="77777777" w:rsidR="00471D53" w:rsidRPr="00FE651E" w:rsidRDefault="004F686E" w:rsidP="00471D53">
                <w:pPr>
                  <w:autoSpaceDE w:val="0"/>
                  <w:autoSpaceDN w:val="0"/>
                  <w:jc w:val="center"/>
                  <w:rPr>
                    <w:szCs w:val="21"/>
                  </w:rPr>
                </w:pPr>
                <w:r w:rsidRPr="00FE651E">
                  <w:rPr>
                    <w:rFonts w:hint="eastAsia"/>
                    <w:szCs w:val="21"/>
                  </w:rPr>
                  <w:t>0.00</w:t>
                </w:r>
              </w:p>
            </w:tc>
            <w:tc>
              <w:tcPr>
                <w:tcW w:w="688" w:type="pct"/>
                <w:shd w:val="clear" w:color="auto" w:fill="auto"/>
                <w:vAlign w:val="center"/>
              </w:tcPr>
              <w:p w14:paraId="2CEF41B6" w14:textId="77777777" w:rsidR="00471D53" w:rsidRPr="00FE651E" w:rsidRDefault="004F686E" w:rsidP="00471D53">
                <w:pPr>
                  <w:autoSpaceDE w:val="0"/>
                  <w:autoSpaceDN w:val="0"/>
                  <w:jc w:val="center"/>
                  <w:rPr>
                    <w:szCs w:val="21"/>
                  </w:rPr>
                </w:pPr>
                <w:r w:rsidRPr="00FE651E">
                  <w:rPr>
                    <w:rFonts w:hint="eastAsia"/>
                    <w:szCs w:val="21"/>
                  </w:rPr>
                  <w:t>0.00</w:t>
                </w:r>
              </w:p>
            </w:tc>
            <w:tc>
              <w:tcPr>
                <w:tcW w:w="715" w:type="pct"/>
                <w:shd w:val="clear" w:color="auto" w:fill="auto"/>
                <w:vAlign w:val="center"/>
              </w:tcPr>
              <w:p w14:paraId="71B8BA08" w14:textId="77777777" w:rsidR="00471D53" w:rsidRPr="00FE651E" w:rsidRDefault="004F686E" w:rsidP="00471D53">
                <w:pPr>
                  <w:autoSpaceDE w:val="0"/>
                  <w:autoSpaceDN w:val="0"/>
                  <w:jc w:val="center"/>
                  <w:rPr>
                    <w:szCs w:val="21"/>
                  </w:rPr>
                </w:pPr>
                <w:r w:rsidRPr="00FE651E">
                  <w:rPr>
                    <w:rFonts w:hint="eastAsia"/>
                    <w:szCs w:val="21"/>
                  </w:rPr>
                  <w:t>0.00</w:t>
                </w:r>
              </w:p>
            </w:tc>
            <w:tc>
              <w:tcPr>
                <w:tcW w:w="818" w:type="pct"/>
                <w:shd w:val="clear" w:color="auto" w:fill="auto"/>
                <w:vAlign w:val="center"/>
              </w:tcPr>
              <w:p w14:paraId="56C5B9B8" w14:textId="77777777" w:rsidR="00471D53" w:rsidRPr="00FE651E" w:rsidRDefault="004F686E" w:rsidP="00471D53">
                <w:pPr>
                  <w:autoSpaceDE w:val="0"/>
                  <w:autoSpaceDN w:val="0"/>
                  <w:jc w:val="center"/>
                  <w:rPr>
                    <w:szCs w:val="21"/>
                  </w:rPr>
                </w:pPr>
                <w:r w:rsidRPr="00FE651E">
                  <w:rPr>
                    <w:rFonts w:hint="eastAsia"/>
                    <w:szCs w:val="21"/>
                  </w:rPr>
                  <w:t>50,400.82</w:t>
                </w:r>
              </w:p>
            </w:tc>
          </w:tr>
          <w:tr w:rsidR="00471D53" w14:paraId="0F55FFDF" w14:textId="77777777" w:rsidTr="00471D53">
            <w:sdt>
              <w:sdtPr>
                <w:rPr>
                  <w:szCs w:val="21"/>
                </w:rPr>
                <w:tag w:val="_PLD_27997f63b30343a4a13f2ee412af0eba"/>
                <w:id w:val="572790522"/>
                <w:lock w:val="sdtLocked"/>
              </w:sdtPr>
              <w:sdtEndPr/>
              <w:sdtContent>
                <w:tc>
                  <w:tcPr>
                    <w:tcW w:w="533" w:type="pct"/>
                    <w:shd w:val="clear" w:color="auto" w:fill="auto"/>
                  </w:tcPr>
                  <w:p w14:paraId="1BB9FC5A" w14:textId="77777777" w:rsidR="00471D53" w:rsidRPr="00FE651E" w:rsidRDefault="004F686E" w:rsidP="00471D53">
                    <w:pPr>
                      <w:ind w:firstLineChars="300" w:firstLine="630"/>
                      <w:rPr>
                        <w:szCs w:val="21"/>
                      </w:rPr>
                    </w:pPr>
                    <w:r w:rsidRPr="00FE651E">
                      <w:rPr>
                        <w:rFonts w:hint="eastAsia"/>
                        <w:szCs w:val="21"/>
                      </w:rPr>
                      <w:t>（1）处置或报废</w:t>
                    </w:r>
                  </w:p>
                </w:tc>
              </w:sdtContent>
            </w:sdt>
            <w:tc>
              <w:tcPr>
                <w:tcW w:w="800" w:type="pct"/>
                <w:shd w:val="clear" w:color="auto" w:fill="auto"/>
                <w:vAlign w:val="center"/>
              </w:tcPr>
              <w:p w14:paraId="6AB1F14C" w14:textId="77777777" w:rsidR="00471D53" w:rsidRPr="00FE651E" w:rsidRDefault="00B664AF" w:rsidP="00471D53">
                <w:pPr>
                  <w:jc w:val="center"/>
                  <w:rPr>
                    <w:szCs w:val="21"/>
                  </w:rPr>
                </w:pPr>
              </w:p>
            </w:tc>
            <w:tc>
              <w:tcPr>
                <w:tcW w:w="733" w:type="pct"/>
                <w:shd w:val="clear" w:color="auto" w:fill="auto"/>
                <w:vAlign w:val="center"/>
              </w:tcPr>
              <w:p w14:paraId="4782D3E4" w14:textId="77777777" w:rsidR="00471D53" w:rsidRPr="00FE651E" w:rsidRDefault="00B664AF" w:rsidP="00471D53">
                <w:pPr>
                  <w:jc w:val="center"/>
                  <w:rPr>
                    <w:szCs w:val="21"/>
                  </w:rPr>
                </w:pPr>
              </w:p>
            </w:tc>
            <w:tc>
              <w:tcPr>
                <w:tcW w:w="712" w:type="pct"/>
                <w:shd w:val="clear" w:color="auto" w:fill="auto"/>
                <w:vAlign w:val="center"/>
              </w:tcPr>
              <w:p w14:paraId="01079F29" w14:textId="77777777" w:rsidR="00471D53" w:rsidRPr="00FE651E" w:rsidRDefault="00B664AF" w:rsidP="00471D53">
                <w:pPr>
                  <w:jc w:val="center"/>
                  <w:rPr>
                    <w:szCs w:val="21"/>
                  </w:rPr>
                </w:pPr>
              </w:p>
            </w:tc>
            <w:tc>
              <w:tcPr>
                <w:tcW w:w="688" w:type="pct"/>
                <w:shd w:val="clear" w:color="auto" w:fill="auto"/>
                <w:vAlign w:val="center"/>
              </w:tcPr>
              <w:p w14:paraId="1C718665" w14:textId="77777777" w:rsidR="00471D53" w:rsidRPr="00FE651E" w:rsidRDefault="00B664AF" w:rsidP="00471D53">
                <w:pPr>
                  <w:jc w:val="center"/>
                  <w:rPr>
                    <w:szCs w:val="21"/>
                  </w:rPr>
                </w:pPr>
              </w:p>
            </w:tc>
            <w:tc>
              <w:tcPr>
                <w:tcW w:w="715" w:type="pct"/>
                <w:shd w:val="clear" w:color="auto" w:fill="auto"/>
                <w:vAlign w:val="center"/>
              </w:tcPr>
              <w:p w14:paraId="4A3D8165" w14:textId="77777777" w:rsidR="00471D53" w:rsidRPr="00FE651E" w:rsidRDefault="00B664AF" w:rsidP="00471D53">
                <w:pPr>
                  <w:jc w:val="center"/>
                  <w:rPr>
                    <w:szCs w:val="21"/>
                  </w:rPr>
                </w:pPr>
              </w:p>
            </w:tc>
            <w:tc>
              <w:tcPr>
                <w:tcW w:w="818" w:type="pct"/>
                <w:shd w:val="clear" w:color="auto" w:fill="auto"/>
                <w:vAlign w:val="center"/>
              </w:tcPr>
              <w:p w14:paraId="3499E795" w14:textId="77777777" w:rsidR="00471D53" w:rsidRPr="00FE651E" w:rsidRDefault="00B664AF" w:rsidP="00471D53">
                <w:pPr>
                  <w:jc w:val="center"/>
                  <w:rPr>
                    <w:szCs w:val="21"/>
                  </w:rPr>
                </w:pPr>
              </w:p>
            </w:tc>
          </w:tr>
          <w:tr w:rsidR="00471D53" w14:paraId="3156F2E5" w14:textId="77777777" w:rsidTr="00471D53">
            <w:sdt>
              <w:sdtPr>
                <w:rPr>
                  <w:rFonts w:hint="eastAsia"/>
                  <w:szCs w:val="21"/>
                </w:rPr>
                <w:alias w:val="固定资产减值准备减少项目名称"/>
                <w:tag w:val="_GBC_93191e5a7f9541baa313dc06935eacfa"/>
                <w:id w:val="-1105809294"/>
                <w:lock w:val="sdtLocked"/>
                <w:showingPlcHdr/>
              </w:sdtPr>
              <w:sdtEndPr/>
              <w:sdtContent>
                <w:tc>
                  <w:tcPr>
                    <w:tcW w:w="533" w:type="pct"/>
                    <w:shd w:val="clear" w:color="auto" w:fill="auto"/>
                  </w:tcPr>
                  <w:p w14:paraId="7145BF16" w14:textId="77777777" w:rsidR="00471D53" w:rsidRPr="00FE651E" w:rsidRDefault="004F686E" w:rsidP="00471D53">
                    <w:pPr>
                      <w:ind w:firstLineChars="300" w:firstLine="630"/>
                      <w:rPr>
                        <w:szCs w:val="21"/>
                      </w:rPr>
                    </w:pPr>
                    <w:r w:rsidRPr="00FE651E">
                      <w:rPr>
                        <w:rFonts w:hint="eastAsia"/>
                        <w:szCs w:val="21"/>
                      </w:rPr>
                      <w:t xml:space="preserve">　</w:t>
                    </w:r>
                  </w:p>
                </w:tc>
              </w:sdtContent>
            </w:sdt>
            <w:sdt>
              <w:sdtPr>
                <w:rPr>
                  <w:rFonts w:hint="eastAsia"/>
                  <w:szCs w:val="21"/>
                </w:rPr>
                <w:alias w:val="固定资产减值准备减少项目金额"/>
                <w:tag w:val="_GBC_0fab043e13824e84b5ce3df5dc1f6117"/>
                <w:id w:val="1595274626"/>
                <w:lock w:val="sdtLocked"/>
                <w:showingPlcHdr/>
              </w:sdtPr>
              <w:sdtEndPr/>
              <w:sdtContent>
                <w:tc>
                  <w:tcPr>
                    <w:tcW w:w="800" w:type="pct"/>
                    <w:shd w:val="clear" w:color="auto" w:fill="auto"/>
                    <w:vAlign w:val="center"/>
                  </w:tcPr>
                  <w:p w14:paraId="7836644B" w14:textId="77777777" w:rsidR="00471D53" w:rsidRPr="00FE651E" w:rsidRDefault="004F686E" w:rsidP="00471D53">
                    <w:pPr>
                      <w:jc w:val="center"/>
                      <w:rPr>
                        <w:szCs w:val="21"/>
                      </w:rPr>
                    </w:pPr>
                    <w:r w:rsidRPr="00FE651E">
                      <w:rPr>
                        <w:rFonts w:hint="eastAsia"/>
                        <w:szCs w:val="21"/>
                      </w:rPr>
                      <w:t xml:space="preserve">　</w:t>
                    </w:r>
                  </w:p>
                </w:tc>
              </w:sdtContent>
            </w:sdt>
            <w:sdt>
              <w:sdtPr>
                <w:rPr>
                  <w:rFonts w:hint="eastAsia"/>
                  <w:szCs w:val="21"/>
                </w:rPr>
                <w:alias w:val="固定资产减值准备减少项目金额"/>
                <w:tag w:val="_GBC_0fab043e13824e84b5ce3df5dc1f6117"/>
                <w:id w:val="-168252872"/>
                <w:lock w:val="sdtLocked"/>
                <w:showingPlcHdr/>
              </w:sdtPr>
              <w:sdtEndPr/>
              <w:sdtContent>
                <w:tc>
                  <w:tcPr>
                    <w:tcW w:w="733" w:type="pct"/>
                    <w:shd w:val="clear" w:color="auto" w:fill="auto"/>
                    <w:vAlign w:val="center"/>
                  </w:tcPr>
                  <w:p w14:paraId="3576071F" w14:textId="77777777" w:rsidR="00471D53" w:rsidRPr="00FE651E" w:rsidRDefault="004F686E" w:rsidP="00471D53">
                    <w:pPr>
                      <w:jc w:val="center"/>
                      <w:rPr>
                        <w:szCs w:val="21"/>
                      </w:rPr>
                    </w:pPr>
                    <w:r w:rsidRPr="00FE651E">
                      <w:rPr>
                        <w:rFonts w:hint="eastAsia"/>
                        <w:szCs w:val="21"/>
                      </w:rPr>
                      <w:t xml:space="preserve">　</w:t>
                    </w:r>
                  </w:p>
                </w:tc>
              </w:sdtContent>
            </w:sdt>
            <w:sdt>
              <w:sdtPr>
                <w:rPr>
                  <w:rFonts w:hint="eastAsia"/>
                  <w:szCs w:val="21"/>
                </w:rPr>
                <w:alias w:val="固定资产减值准备减少项目金额"/>
                <w:tag w:val="_GBC_0fab043e13824e84b5ce3df5dc1f6117"/>
                <w:id w:val="2102218524"/>
                <w:lock w:val="sdtLocked"/>
                <w:showingPlcHdr/>
              </w:sdtPr>
              <w:sdtEndPr/>
              <w:sdtContent>
                <w:tc>
                  <w:tcPr>
                    <w:tcW w:w="712" w:type="pct"/>
                    <w:shd w:val="clear" w:color="auto" w:fill="auto"/>
                    <w:vAlign w:val="center"/>
                  </w:tcPr>
                  <w:p w14:paraId="4C75A8B6" w14:textId="77777777" w:rsidR="00471D53" w:rsidRPr="00FE651E" w:rsidRDefault="004F686E" w:rsidP="00471D53">
                    <w:pPr>
                      <w:jc w:val="center"/>
                      <w:rPr>
                        <w:szCs w:val="21"/>
                      </w:rPr>
                    </w:pPr>
                    <w:r w:rsidRPr="00FE651E">
                      <w:rPr>
                        <w:rFonts w:hint="eastAsia"/>
                        <w:szCs w:val="21"/>
                      </w:rPr>
                      <w:t xml:space="preserve">　</w:t>
                    </w:r>
                  </w:p>
                </w:tc>
              </w:sdtContent>
            </w:sdt>
            <w:sdt>
              <w:sdtPr>
                <w:rPr>
                  <w:rFonts w:hint="eastAsia"/>
                  <w:szCs w:val="21"/>
                </w:rPr>
                <w:alias w:val="固定资产减值准备减少项目金额"/>
                <w:tag w:val="_GBC_0fab043e13824e84b5ce3df5dc1f6117"/>
                <w:id w:val="1209147819"/>
                <w:lock w:val="sdtLocked"/>
                <w:showingPlcHdr/>
              </w:sdtPr>
              <w:sdtEndPr/>
              <w:sdtContent>
                <w:tc>
                  <w:tcPr>
                    <w:tcW w:w="688" w:type="pct"/>
                    <w:shd w:val="clear" w:color="auto" w:fill="auto"/>
                    <w:vAlign w:val="center"/>
                  </w:tcPr>
                  <w:p w14:paraId="635BB963" w14:textId="77777777" w:rsidR="00471D53" w:rsidRPr="00FE651E" w:rsidRDefault="00B664AF" w:rsidP="00471D53">
                    <w:pPr>
                      <w:jc w:val="center"/>
                      <w:rPr>
                        <w:szCs w:val="21"/>
                      </w:rPr>
                    </w:pPr>
                  </w:p>
                </w:tc>
              </w:sdtContent>
            </w:sdt>
            <w:sdt>
              <w:sdtPr>
                <w:rPr>
                  <w:rFonts w:hint="eastAsia"/>
                  <w:szCs w:val="21"/>
                </w:rPr>
                <w:alias w:val="固定资产减值准备减少项目金额"/>
                <w:tag w:val="_GBC_0fab043e13824e84b5ce3df5dc1f6117"/>
                <w:id w:val="-593326858"/>
                <w:lock w:val="sdtLocked"/>
                <w:showingPlcHdr/>
              </w:sdtPr>
              <w:sdtEndPr/>
              <w:sdtContent>
                <w:tc>
                  <w:tcPr>
                    <w:tcW w:w="715" w:type="pct"/>
                    <w:shd w:val="clear" w:color="auto" w:fill="auto"/>
                    <w:vAlign w:val="center"/>
                  </w:tcPr>
                  <w:p w14:paraId="738A3847" w14:textId="77777777" w:rsidR="00471D53" w:rsidRPr="00FE651E" w:rsidRDefault="004F686E" w:rsidP="00471D53">
                    <w:pPr>
                      <w:jc w:val="center"/>
                      <w:rPr>
                        <w:szCs w:val="21"/>
                      </w:rPr>
                    </w:pPr>
                    <w:r w:rsidRPr="00FE651E">
                      <w:rPr>
                        <w:rFonts w:hint="eastAsia"/>
                        <w:szCs w:val="21"/>
                      </w:rPr>
                      <w:t xml:space="preserve">　</w:t>
                    </w:r>
                  </w:p>
                </w:tc>
              </w:sdtContent>
            </w:sdt>
            <w:sdt>
              <w:sdtPr>
                <w:rPr>
                  <w:rFonts w:hint="eastAsia"/>
                  <w:szCs w:val="21"/>
                </w:rPr>
                <w:alias w:val="固定资产减值准备减少项目合计金额"/>
                <w:tag w:val="_GBC_f2b67b2f05f642f1a1a4741a8fd1878c"/>
                <w:id w:val="162209289"/>
                <w:lock w:val="sdtLocked"/>
                <w:showingPlcHdr/>
              </w:sdtPr>
              <w:sdtEndPr/>
              <w:sdtContent>
                <w:tc>
                  <w:tcPr>
                    <w:tcW w:w="818" w:type="pct"/>
                    <w:shd w:val="clear" w:color="auto" w:fill="auto"/>
                    <w:vAlign w:val="center"/>
                  </w:tcPr>
                  <w:p w14:paraId="08B46C0F" w14:textId="77777777" w:rsidR="00471D53" w:rsidRPr="00FE651E" w:rsidRDefault="004F686E" w:rsidP="00471D53">
                    <w:pPr>
                      <w:jc w:val="center"/>
                      <w:rPr>
                        <w:szCs w:val="21"/>
                      </w:rPr>
                    </w:pPr>
                    <w:r w:rsidRPr="00FE651E">
                      <w:rPr>
                        <w:rFonts w:hint="eastAsia"/>
                        <w:szCs w:val="21"/>
                      </w:rPr>
                      <w:t xml:space="preserve">　</w:t>
                    </w:r>
                  </w:p>
                </w:tc>
              </w:sdtContent>
            </w:sdt>
          </w:tr>
          <w:tr w:rsidR="00471D53" w14:paraId="46A6BCAD" w14:textId="77777777" w:rsidTr="00471D53">
            <w:sdt>
              <w:sdtPr>
                <w:rPr>
                  <w:rFonts w:hint="eastAsia"/>
                  <w:szCs w:val="21"/>
                </w:rPr>
                <w:alias w:val="固定资产减值准备减少项目名称"/>
                <w:tag w:val="_GBC_93191e5a7f9541baa313dc06935eacfa"/>
                <w:id w:val="-1779711966"/>
                <w:lock w:val="sdtLocked"/>
                <w:showingPlcHdr/>
              </w:sdtPr>
              <w:sdtEndPr/>
              <w:sdtContent>
                <w:tc>
                  <w:tcPr>
                    <w:tcW w:w="533" w:type="pct"/>
                    <w:shd w:val="clear" w:color="auto" w:fill="auto"/>
                  </w:tcPr>
                  <w:p w14:paraId="6FB113E7" w14:textId="77777777" w:rsidR="00471D53" w:rsidRPr="00FE651E" w:rsidRDefault="004F686E" w:rsidP="00471D53">
                    <w:pPr>
                      <w:ind w:firstLineChars="300" w:firstLine="630"/>
                      <w:rPr>
                        <w:szCs w:val="21"/>
                      </w:rPr>
                    </w:pPr>
                    <w:r w:rsidRPr="00FE651E">
                      <w:rPr>
                        <w:rFonts w:hint="eastAsia"/>
                        <w:szCs w:val="21"/>
                      </w:rPr>
                      <w:t xml:space="preserve">　</w:t>
                    </w:r>
                  </w:p>
                </w:tc>
              </w:sdtContent>
            </w:sdt>
            <w:sdt>
              <w:sdtPr>
                <w:rPr>
                  <w:rFonts w:hint="eastAsia"/>
                  <w:szCs w:val="21"/>
                </w:rPr>
                <w:alias w:val="固定资产减值准备减少项目金额"/>
                <w:tag w:val="_GBC_0fab043e13824e84b5ce3df5dc1f6117"/>
                <w:id w:val="1206831790"/>
                <w:lock w:val="sdtLocked"/>
                <w:showingPlcHdr/>
              </w:sdtPr>
              <w:sdtEndPr/>
              <w:sdtContent>
                <w:tc>
                  <w:tcPr>
                    <w:tcW w:w="800" w:type="pct"/>
                    <w:shd w:val="clear" w:color="auto" w:fill="auto"/>
                    <w:vAlign w:val="center"/>
                  </w:tcPr>
                  <w:p w14:paraId="613311A9" w14:textId="77777777" w:rsidR="00471D53" w:rsidRPr="00FE651E" w:rsidRDefault="004F686E" w:rsidP="00471D53">
                    <w:pPr>
                      <w:jc w:val="center"/>
                      <w:rPr>
                        <w:szCs w:val="21"/>
                      </w:rPr>
                    </w:pPr>
                    <w:r w:rsidRPr="00FE651E">
                      <w:rPr>
                        <w:rFonts w:hint="eastAsia"/>
                        <w:szCs w:val="21"/>
                      </w:rPr>
                      <w:t xml:space="preserve">　</w:t>
                    </w:r>
                  </w:p>
                </w:tc>
              </w:sdtContent>
            </w:sdt>
            <w:sdt>
              <w:sdtPr>
                <w:rPr>
                  <w:rFonts w:hint="eastAsia"/>
                  <w:szCs w:val="21"/>
                </w:rPr>
                <w:alias w:val="固定资产减值准备减少项目金额"/>
                <w:tag w:val="_GBC_0fab043e13824e84b5ce3df5dc1f6117"/>
                <w:id w:val="-435830889"/>
                <w:lock w:val="sdtLocked"/>
                <w:showingPlcHdr/>
              </w:sdtPr>
              <w:sdtEndPr/>
              <w:sdtContent>
                <w:tc>
                  <w:tcPr>
                    <w:tcW w:w="733" w:type="pct"/>
                    <w:shd w:val="clear" w:color="auto" w:fill="auto"/>
                    <w:vAlign w:val="center"/>
                  </w:tcPr>
                  <w:p w14:paraId="16127B5C" w14:textId="77777777" w:rsidR="00471D53" w:rsidRPr="00FE651E" w:rsidRDefault="00B664AF" w:rsidP="00471D53">
                    <w:pPr>
                      <w:jc w:val="center"/>
                      <w:rPr>
                        <w:szCs w:val="21"/>
                      </w:rPr>
                    </w:pPr>
                  </w:p>
                </w:tc>
              </w:sdtContent>
            </w:sdt>
            <w:sdt>
              <w:sdtPr>
                <w:rPr>
                  <w:rFonts w:hint="eastAsia"/>
                  <w:szCs w:val="21"/>
                </w:rPr>
                <w:alias w:val="固定资产减值准备减少项目金额"/>
                <w:tag w:val="_GBC_0fab043e13824e84b5ce3df5dc1f6117"/>
                <w:id w:val="1652865158"/>
                <w:lock w:val="sdtLocked"/>
                <w:showingPlcHdr/>
              </w:sdtPr>
              <w:sdtEndPr/>
              <w:sdtContent>
                <w:tc>
                  <w:tcPr>
                    <w:tcW w:w="712" w:type="pct"/>
                    <w:shd w:val="clear" w:color="auto" w:fill="auto"/>
                    <w:vAlign w:val="center"/>
                  </w:tcPr>
                  <w:p w14:paraId="00FA1BBC" w14:textId="77777777" w:rsidR="00471D53" w:rsidRPr="00FE651E" w:rsidRDefault="00B664AF" w:rsidP="00471D53">
                    <w:pPr>
                      <w:jc w:val="center"/>
                      <w:rPr>
                        <w:szCs w:val="21"/>
                      </w:rPr>
                    </w:pPr>
                  </w:p>
                </w:tc>
              </w:sdtContent>
            </w:sdt>
            <w:sdt>
              <w:sdtPr>
                <w:rPr>
                  <w:rFonts w:hint="eastAsia"/>
                  <w:szCs w:val="21"/>
                </w:rPr>
                <w:alias w:val="固定资产减值准备减少项目金额"/>
                <w:tag w:val="_GBC_0fab043e13824e84b5ce3df5dc1f6117"/>
                <w:id w:val="1069771966"/>
                <w:lock w:val="sdtLocked"/>
                <w:showingPlcHdr/>
              </w:sdtPr>
              <w:sdtEndPr/>
              <w:sdtContent>
                <w:tc>
                  <w:tcPr>
                    <w:tcW w:w="688" w:type="pct"/>
                    <w:shd w:val="clear" w:color="auto" w:fill="auto"/>
                    <w:vAlign w:val="center"/>
                  </w:tcPr>
                  <w:p w14:paraId="0ACA8920" w14:textId="77777777" w:rsidR="00471D53" w:rsidRPr="00FE651E" w:rsidRDefault="00B664AF" w:rsidP="00471D53">
                    <w:pPr>
                      <w:jc w:val="center"/>
                      <w:rPr>
                        <w:szCs w:val="21"/>
                      </w:rPr>
                    </w:pPr>
                  </w:p>
                </w:tc>
              </w:sdtContent>
            </w:sdt>
            <w:sdt>
              <w:sdtPr>
                <w:rPr>
                  <w:rFonts w:hint="eastAsia"/>
                  <w:szCs w:val="21"/>
                </w:rPr>
                <w:alias w:val="固定资产减值准备减少项目金额"/>
                <w:tag w:val="_GBC_0fab043e13824e84b5ce3df5dc1f6117"/>
                <w:id w:val="525447816"/>
                <w:lock w:val="sdtLocked"/>
                <w:showingPlcHdr/>
              </w:sdtPr>
              <w:sdtEndPr/>
              <w:sdtContent>
                <w:tc>
                  <w:tcPr>
                    <w:tcW w:w="715" w:type="pct"/>
                    <w:shd w:val="clear" w:color="auto" w:fill="auto"/>
                    <w:vAlign w:val="center"/>
                  </w:tcPr>
                  <w:p w14:paraId="2BE0DE44" w14:textId="77777777" w:rsidR="00471D53" w:rsidRPr="00FE651E" w:rsidRDefault="00B664AF" w:rsidP="00471D53">
                    <w:pPr>
                      <w:jc w:val="center"/>
                      <w:rPr>
                        <w:szCs w:val="21"/>
                      </w:rPr>
                    </w:pPr>
                  </w:p>
                </w:tc>
              </w:sdtContent>
            </w:sdt>
            <w:sdt>
              <w:sdtPr>
                <w:rPr>
                  <w:rFonts w:hint="eastAsia"/>
                  <w:szCs w:val="21"/>
                </w:rPr>
                <w:alias w:val="固定资产减值准备减少项目合计金额"/>
                <w:tag w:val="_GBC_f2b67b2f05f642f1a1a4741a8fd1878c"/>
                <w:id w:val="1879200642"/>
                <w:lock w:val="sdtLocked"/>
                <w:showingPlcHdr/>
              </w:sdtPr>
              <w:sdtEndPr/>
              <w:sdtContent>
                <w:tc>
                  <w:tcPr>
                    <w:tcW w:w="818" w:type="pct"/>
                    <w:shd w:val="clear" w:color="auto" w:fill="auto"/>
                    <w:vAlign w:val="center"/>
                  </w:tcPr>
                  <w:p w14:paraId="11E9B9FA" w14:textId="77777777" w:rsidR="00471D53" w:rsidRPr="00FE651E" w:rsidRDefault="004F686E" w:rsidP="00471D53">
                    <w:pPr>
                      <w:jc w:val="center"/>
                      <w:rPr>
                        <w:szCs w:val="21"/>
                      </w:rPr>
                    </w:pPr>
                    <w:r w:rsidRPr="00FE651E">
                      <w:rPr>
                        <w:rFonts w:hint="eastAsia"/>
                        <w:szCs w:val="21"/>
                      </w:rPr>
                      <w:t xml:space="preserve">　</w:t>
                    </w:r>
                  </w:p>
                </w:tc>
              </w:sdtContent>
            </w:sdt>
          </w:tr>
          <w:tr w:rsidR="00471D53" w14:paraId="41232A93" w14:textId="77777777" w:rsidTr="00471D53">
            <w:sdt>
              <w:sdtPr>
                <w:rPr>
                  <w:szCs w:val="21"/>
                </w:rPr>
                <w:tag w:val="_PLD_a3e5577c50494e858eeb7a95a5b17653"/>
                <w:id w:val="-17469702"/>
                <w:lock w:val="sdtLocked"/>
              </w:sdtPr>
              <w:sdtEndPr/>
              <w:sdtContent>
                <w:tc>
                  <w:tcPr>
                    <w:tcW w:w="533" w:type="pct"/>
                    <w:shd w:val="clear" w:color="auto" w:fill="auto"/>
                  </w:tcPr>
                  <w:p w14:paraId="05A113AA" w14:textId="77777777" w:rsidR="00471D53" w:rsidRPr="00FE651E" w:rsidRDefault="004F686E" w:rsidP="00471D53">
                    <w:pPr>
                      <w:ind w:firstLineChars="200" w:firstLine="420"/>
                      <w:rPr>
                        <w:szCs w:val="21"/>
                      </w:rPr>
                    </w:pPr>
                    <w:r w:rsidRPr="00FE651E">
                      <w:rPr>
                        <w:rFonts w:hint="eastAsia"/>
                        <w:szCs w:val="21"/>
                      </w:rPr>
                      <w:t>4.期末余额</w:t>
                    </w:r>
                  </w:p>
                </w:tc>
              </w:sdtContent>
            </w:sdt>
            <w:tc>
              <w:tcPr>
                <w:tcW w:w="800" w:type="pct"/>
                <w:shd w:val="clear" w:color="auto" w:fill="auto"/>
                <w:vAlign w:val="center"/>
              </w:tcPr>
              <w:p w14:paraId="1ADC2BAD" w14:textId="77777777" w:rsidR="00471D53" w:rsidRPr="00FE651E" w:rsidRDefault="004F686E" w:rsidP="00471D53">
                <w:pPr>
                  <w:autoSpaceDE w:val="0"/>
                  <w:autoSpaceDN w:val="0"/>
                  <w:jc w:val="center"/>
                  <w:rPr>
                    <w:szCs w:val="21"/>
                  </w:rPr>
                </w:pPr>
                <w:r w:rsidRPr="00FE651E">
                  <w:rPr>
                    <w:rFonts w:hint="eastAsia"/>
                    <w:szCs w:val="21"/>
                  </w:rPr>
                  <w:t>0.00</w:t>
                </w:r>
              </w:p>
            </w:tc>
            <w:tc>
              <w:tcPr>
                <w:tcW w:w="733" w:type="pct"/>
                <w:shd w:val="clear" w:color="auto" w:fill="auto"/>
                <w:vAlign w:val="center"/>
              </w:tcPr>
              <w:p w14:paraId="0B845030" w14:textId="77777777" w:rsidR="00471D53" w:rsidRPr="00FE651E" w:rsidRDefault="004F686E" w:rsidP="00471D53">
                <w:pPr>
                  <w:autoSpaceDE w:val="0"/>
                  <w:autoSpaceDN w:val="0"/>
                  <w:jc w:val="center"/>
                  <w:rPr>
                    <w:szCs w:val="21"/>
                  </w:rPr>
                </w:pPr>
                <w:r w:rsidRPr="00FE651E">
                  <w:rPr>
                    <w:rFonts w:hint="eastAsia"/>
                    <w:szCs w:val="21"/>
                  </w:rPr>
                  <w:t>17,915,140.83</w:t>
                </w:r>
              </w:p>
            </w:tc>
            <w:tc>
              <w:tcPr>
                <w:tcW w:w="712" w:type="pct"/>
                <w:shd w:val="clear" w:color="auto" w:fill="auto"/>
                <w:vAlign w:val="center"/>
              </w:tcPr>
              <w:p w14:paraId="6E04E7B9" w14:textId="77777777" w:rsidR="00471D53" w:rsidRPr="00FE651E" w:rsidRDefault="004F686E" w:rsidP="00471D53">
                <w:pPr>
                  <w:autoSpaceDE w:val="0"/>
                  <w:autoSpaceDN w:val="0"/>
                  <w:jc w:val="center"/>
                  <w:rPr>
                    <w:szCs w:val="21"/>
                  </w:rPr>
                </w:pPr>
                <w:r w:rsidRPr="00FE651E">
                  <w:rPr>
                    <w:rFonts w:hint="eastAsia"/>
                    <w:szCs w:val="21"/>
                  </w:rPr>
                  <w:t>194,073.82</w:t>
                </w:r>
              </w:p>
            </w:tc>
            <w:tc>
              <w:tcPr>
                <w:tcW w:w="688" w:type="pct"/>
                <w:shd w:val="clear" w:color="auto" w:fill="auto"/>
                <w:vAlign w:val="center"/>
              </w:tcPr>
              <w:p w14:paraId="4D3A9D71" w14:textId="77777777" w:rsidR="00471D53" w:rsidRPr="00FE651E" w:rsidRDefault="004F686E" w:rsidP="00471D53">
                <w:pPr>
                  <w:autoSpaceDE w:val="0"/>
                  <w:autoSpaceDN w:val="0"/>
                  <w:jc w:val="center"/>
                  <w:rPr>
                    <w:szCs w:val="21"/>
                  </w:rPr>
                </w:pPr>
                <w:r w:rsidRPr="00FE651E">
                  <w:rPr>
                    <w:rFonts w:hint="eastAsia"/>
                    <w:szCs w:val="21"/>
                  </w:rPr>
                  <w:t>286,144.82</w:t>
                </w:r>
              </w:p>
            </w:tc>
            <w:tc>
              <w:tcPr>
                <w:tcW w:w="715" w:type="pct"/>
                <w:shd w:val="clear" w:color="auto" w:fill="auto"/>
                <w:vAlign w:val="center"/>
              </w:tcPr>
              <w:p w14:paraId="5CB6CDFE" w14:textId="77777777" w:rsidR="00471D53" w:rsidRPr="00FE651E" w:rsidRDefault="004F686E" w:rsidP="00471D53">
                <w:pPr>
                  <w:autoSpaceDE w:val="0"/>
                  <w:autoSpaceDN w:val="0"/>
                  <w:jc w:val="center"/>
                  <w:rPr>
                    <w:szCs w:val="21"/>
                  </w:rPr>
                </w:pPr>
                <w:r w:rsidRPr="00FE651E">
                  <w:rPr>
                    <w:rFonts w:hint="eastAsia"/>
                    <w:szCs w:val="21"/>
                  </w:rPr>
                  <w:t>120,147.66</w:t>
                </w:r>
              </w:p>
            </w:tc>
            <w:tc>
              <w:tcPr>
                <w:tcW w:w="818" w:type="pct"/>
                <w:shd w:val="clear" w:color="auto" w:fill="auto"/>
                <w:vAlign w:val="center"/>
              </w:tcPr>
              <w:p w14:paraId="6C097039" w14:textId="77777777" w:rsidR="00471D53" w:rsidRPr="00FE651E" w:rsidRDefault="004F686E" w:rsidP="00471D53">
                <w:pPr>
                  <w:autoSpaceDE w:val="0"/>
                  <w:autoSpaceDN w:val="0"/>
                  <w:jc w:val="center"/>
                  <w:rPr>
                    <w:szCs w:val="21"/>
                  </w:rPr>
                </w:pPr>
                <w:r w:rsidRPr="00FE651E">
                  <w:rPr>
                    <w:rFonts w:hint="eastAsia"/>
                    <w:szCs w:val="21"/>
                  </w:rPr>
                  <w:t>18,515,507.13</w:t>
                </w:r>
              </w:p>
            </w:tc>
          </w:tr>
          <w:tr w:rsidR="00471D53" w14:paraId="44FFCECA" w14:textId="77777777" w:rsidTr="00471D53">
            <w:sdt>
              <w:sdtPr>
                <w:rPr>
                  <w:szCs w:val="21"/>
                </w:rPr>
                <w:tag w:val="_PLD_bea29c32f5204124a483fa6e274ca7df"/>
                <w:id w:val="-812259109"/>
                <w:lock w:val="sdtLocked"/>
              </w:sdtPr>
              <w:sdtEndPr/>
              <w:sdtContent>
                <w:tc>
                  <w:tcPr>
                    <w:tcW w:w="533" w:type="pct"/>
                    <w:shd w:val="clear" w:color="auto" w:fill="auto"/>
                  </w:tcPr>
                  <w:p w14:paraId="7D252A95" w14:textId="77777777" w:rsidR="00471D53" w:rsidRPr="00FE651E" w:rsidRDefault="004F686E" w:rsidP="00471D53">
                    <w:pPr>
                      <w:rPr>
                        <w:szCs w:val="21"/>
                      </w:rPr>
                    </w:pPr>
                    <w:r w:rsidRPr="00FE651E">
                      <w:rPr>
                        <w:rFonts w:hint="eastAsia"/>
                        <w:szCs w:val="21"/>
                      </w:rPr>
                      <w:t>四、账面价值</w:t>
                    </w:r>
                  </w:p>
                </w:tc>
              </w:sdtContent>
            </w:sdt>
            <w:tc>
              <w:tcPr>
                <w:tcW w:w="800" w:type="pct"/>
                <w:shd w:val="clear" w:color="auto" w:fill="auto"/>
                <w:vAlign w:val="center"/>
              </w:tcPr>
              <w:p w14:paraId="02C00FB0" w14:textId="77777777" w:rsidR="00471D53" w:rsidRPr="00FE651E" w:rsidRDefault="00B664AF" w:rsidP="00471D53">
                <w:pPr>
                  <w:jc w:val="center"/>
                  <w:rPr>
                    <w:szCs w:val="21"/>
                  </w:rPr>
                </w:pPr>
              </w:p>
            </w:tc>
            <w:tc>
              <w:tcPr>
                <w:tcW w:w="733" w:type="pct"/>
                <w:shd w:val="clear" w:color="auto" w:fill="auto"/>
                <w:vAlign w:val="center"/>
              </w:tcPr>
              <w:p w14:paraId="1D26787B" w14:textId="77777777" w:rsidR="00471D53" w:rsidRPr="00FE651E" w:rsidRDefault="00B664AF" w:rsidP="00471D53">
                <w:pPr>
                  <w:jc w:val="center"/>
                  <w:rPr>
                    <w:szCs w:val="21"/>
                  </w:rPr>
                </w:pPr>
              </w:p>
            </w:tc>
            <w:tc>
              <w:tcPr>
                <w:tcW w:w="712" w:type="pct"/>
                <w:shd w:val="clear" w:color="auto" w:fill="auto"/>
                <w:vAlign w:val="center"/>
              </w:tcPr>
              <w:p w14:paraId="67E8BA3C" w14:textId="77777777" w:rsidR="00471D53" w:rsidRPr="00FE651E" w:rsidRDefault="00B664AF" w:rsidP="00471D53">
                <w:pPr>
                  <w:jc w:val="center"/>
                  <w:rPr>
                    <w:szCs w:val="21"/>
                  </w:rPr>
                </w:pPr>
              </w:p>
            </w:tc>
            <w:tc>
              <w:tcPr>
                <w:tcW w:w="688" w:type="pct"/>
                <w:shd w:val="clear" w:color="auto" w:fill="auto"/>
                <w:vAlign w:val="center"/>
              </w:tcPr>
              <w:p w14:paraId="663D7F70" w14:textId="77777777" w:rsidR="00471D53" w:rsidRPr="00FE651E" w:rsidRDefault="00B664AF" w:rsidP="00471D53">
                <w:pPr>
                  <w:jc w:val="center"/>
                  <w:rPr>
                    <w:szCs w:val="21"/>
                  </w:rPr>
                </w:pPr>
              </w:p>
            </w:tc>
            <w:tc>
              <w:tcPr>
                <w:tcW w:w="715" w:type="pct"/>
                <w:shd w:val="clear" w:color="auto" w:fill="auto"/>
                <w:vAlign w:val="center"/>
              </w:tcPr>
              <w:p w14:paraId="604EDE40" w14:textId="77777777" w:rsidR="00471D53" w:rsidRPr="00FE651E" w:rsidRDefault="00B664AF" w:rsidP="00471D53">
                <w:pPr>
                  <w:jc w:val="center"/>
                  <w:rPr>
                    <w:szCs w:val="21"/>
                  </w:rPr>
                </w:pPr>
              </w:p>
            </w:tc>
            <w:tc>
              <w:tcPr>
                <w:tcW w:w="818" w:type="pct"/>
                <w:shd w:val="clear" w:color="auto" w:fill="auto"/>
                <w:vAlign w:val="center"/>
              </w:tcPr>
              <w:p w14:paraId="4CB13309" w14:textId="77777777" w:rsidR="00471D53" w:rsidRPr="00FE651E" w:rsidRDefault="00B664AF" w:rsidP="00471D53">
                <w:pPr>
                  <w:jc w:val="center"/>
                  <w:rPr>
                    <w:szCs w:val="21"/>
                  </w:rPr>
                </w:pPr>
              </w:p>
            </w:tc>
          </w:tr>
          <w:tr w:rsidR="00471D53" w14:paraId="3C6CD8C1" w14:textId="77777777" w:rsidTr="00471D53">
            <w:sdt>
              <w:sdtPr>
                <w:rPr>
                  <w:szCs w:val="21"/>
                </w:rPr>
                <w:tag w:val="_PLD_0cb15efd736e4fb48f835ee67e79495e"/>
                <w:id w:val="1953354354"/>
                <w:lock w:val="sdtLocked"/>
              </w:sdtPr>
              <w:sdtEndPr/>
              <w:sdtContent>
                <w:tc>
                  <w:tcPr>
                    <w:tcW w:w="533" w:type="pct"/>
                    <w:shd w:val="clear" w:color="auto" w:fill="auto"/>
                  </w:tcPr>
                  <w:p w14:paraId="24ACF227" w14:textId="77777777" w:rsidR="00471D53" w:rsidRPr="00FE651E" w:rsidRDefault="004F686E" w:rsidP="00471D53">
                    <w:pPr>
                      <w:ind w:firstLineChars="200" w:firstLine="420"/>
                      <w:rPr>
                        <w:szCs w:val="21"/>
                      </w:rPr>
                    </w:pPr>
                    <w:r w:rsidRPr="00FE651E">
                      <w:rPr>
                        <w:rFonts w:hint="eastAsia"/>
                        <w:szCs w:val="21"/>
                      </w:rPr>
                      <w:t>1.期末账面价值</w:t>
                    </w:r>
                  </w:p>
                </w:tc>
              </w:sdtContent>
            </w:sdt>
            <w:tc>
              <w:tcPr>
                <w:tcW w:w="800" w:type="pct"/>
                <w:shd w:val="clear" w:color="auto" w:fill="auto"/>
                <w:vAlign w:val="center"/>
              </w:tcPr>
              <w:p w14:paraId="6FE4B566" w14:textId="77777777" w:rsidR="00471D53" w:rsidRPr="00FE651E" w:rsidRDefault="004F686E" w:rsidP="00471D53">
                <w:pPr>
                  <w:autoSpaceDE w:val="0"/>
                  <w:autoSpaceDN w:val="0"/>
                  <w:jc w:val="center"/>
                  <w:rPr>
                    <w:szCs w:val="21"/>
                  </w:rPr>
                </w:pPr>
                <w:r w:rsidRPr="00FE651E">
                  <w:rPr>
                    <w:rFonts w:hint="eastAsia"/>
                    <w:szCs w:val="21"/>
                  </w:rPr>
                  <w:t>376,098,221.75</w:t>
                </w:r>
              </w:p>
            </w:tc>
            <w:tc>
              <w:tcPr>
                <w:tcW w:w="733" w:type="pct"/>
                <w:shd w:val="clear" w:color="auto" w:fill="auto"/>
                <w:vAlign w:val="center"/>
              </w:tcPr>
              <w:p w14:paraId="340FF31B" w14:textId="77777777" w:rsidR="00471D53" w:rsidRPr="00FE651E" w:rsidRDefault="004F686E" w:rsidP="00471D53">
                <w:pPr>
                  <w:autoSpaceDE w:val="0"/>
                  <w:autoSpaceDN w:val="0"/>
                  <w:jc w:val="center"/>
                  <w:rPr>
                    <w:szCs w:val="21"/>
                  </w:rPr>
                </w:pPr>
                <w:r w:rsidRPr="00FE651E">
                  <w:rPr>
                    <w:szCs w:val="21"/>
                  </w:rPr>
                  <w:t>199,868,636.06</w:t>
                </w:r>
              </w:p>
            </w:tc>
            <w:tc>
              <w:tcPr>
                <w:tcW w:w="712" w:type="pct"/>
                <w:shd w:val="clear" w:color="auto" w:fill="auto"/>
                <w:vAlign w:val="center"/>
              </w:tcPr>
              <w:p w14:paraId="62EE1FC2" w14:textId="77777777" w:rsidR="00471D53" w:rsidRPr="00FE651E" w:rsidRDefault="004F686E" w:rsidP="00471D53">
                <w:pPr>
                  <w:autoSpaceDE w:val="0"/>
                  <w:autoSpaceDN w:val="0"/>
                  <w:jc w:val="center"/>
                  <w:rPr>
                    <w:szCs w:val="21"/>
                  </w:rPr>
                </w:pPr>
                <w:r w:rsidRPr="00FE651E">
                  <w:rPr>
                    <w:rFonts w:hint="eastAsia"/>
                    <w:szCs w:val="21"/>
                  </w:rPr>
                  <w:t>5,996,174.14</w:t>
                </w:r>
              </w:p>
            </w:tc>
            <w:tc>
              <w:tcPr>
                <w:tcW w:w="688" w:type="pct"/>
                <w:shd w:val="clear" w:color="auto" w:fill="auto"/>
                <w:vAlign w:val="center"/>
              </w:tcPr>
              <w:p w14:paraId="64454438" w14:textId="77777777" w:rsidR="00471D53" w:rsidRPr="00FE651E" w:rsidRDefault="004F686E" w:rsidP="00471D53">
                <w:pPr>
                  <w:autoSpaceDE w:val="0"/>
                  <w:autoSpaceDN w:val="0"/>
                  <w:jc w:val="center"/>
                  <w:rPr>
                    <w:szCs w:val="21"/>
                  </w:rPr>
                </w:pPr>
                <w:r w:rsidRPr="00FE651E">
                  <w:rPr>
                    <w:rFonts w:hint="eastAsia"/>
                    <w:szCs w:val="21"/>
                  </w:rPr>
                  <w:t>1,826,135.27</w:t>
                </w:r>
              </w:p>
            </w:tc>
            <w:tc>
              <w:tcPr>
                <w:tcW w:w="715" w:type="pct"/>
                <w:shd w:val="clear" w:color="auto" w:fill="auto"/>
                <w:vAlign w:val="center"/>
              </w:tcPr>
              <w:p w14:paraId="50570404" w14:textId="77777777" w:rsidR="00471D53" w:rsidRPr="00FE651E" w:rsidRDefault="004F686E" w:rsidP="00471D53">
                <w:pPr>
                  <w:autoSpaceDE w:val="0"/>
                  <w:autoSpaceDN w:val="0"/>
                  <w:jc w:val="center"/>
                  <w:rPr>
                    <w:szCs w:val="21"/>
                  </w:rPr>
                </w:pPr>
                <w:r w:rsidRPr="00FE651E">
                  <w:rPr>
                    <w:rFonts w:hint="eastAsia"/>
                    <w:szCs w:val="21"/>
                  </w:rPr>
                  <w:t>2,347,659.42</w:t>
                </w:r>
              </w:p>
            </w:tc>
            <w:tc>
              <w:tcPr>
                <w:tcW w:w="818" w:type="pct"/>
                <w:shd w:val="clear" w:color="auto" w:fill="auto"/>
                <w:vAlign w:val="center"/>
              </w:tcPr>
              <w:p w14:paraId="3541E7F8" w14:textId="77777777" w:rsidR="00471D53" w:rsidRPr="00FE651E" w:rsidRDefault="004F686E" w:rsidP="00471D53">
                <w:pPr>
                  <w:autoSpaceDE w:val="0"/>
                  <w:autoSpaceDN w:val="0"/>
                  <w:jc w:val="center"/>
                  <w:rPr>
                    <w:szCs w:val="21"/>
                  </w:rPr>
                </w:pPr>
                <w:r w:rsidRPr="00FE651E">
                  <w:rPr>
                    <w:szCs w:val="21"/>
                  </w:rPr>
                  <w:t>586,136,826.64</w:t>
                </w:r>
              </w:p>
            </w:tc>
          </w:tr>
          <w:tr w:rsidR="00471D53" w14:paraId="380D80F4" w14:textId="77777777" w:rsidTr="00471D53">
            <w:sdt>
              <w:sdtPr>
                <w:rPr>
                  <w:szCs w:val="21"/>
                </w:rPr>
                <w:tag w:val="_PLD_0a70238af5ae41dda386e3180cb5ac13"/>
                <w:id w:val="-1081757210"/>
                <w:lock w:val="sdtLocked"/>
              </w:sdtPr>
              <w:sdtEndPr/>
              <w:sdtContent>
                <w:tc>
                  <w:tcPr>
                    <w:tcW w:w="533" w:type="pct"/>
                    <w:shd w:val="clear" w:color="auto" w:fill="auto"/>
                  </w:tcPr>
                  <w:p w14:paraId="36C43EC7" w14:textId="77777777" w:rsidR="00471D53" w:rsidRPr="00FE651E" w:rsidRDefault="004F686E" w:rsidP="00471D53">
                    <w:pPr>
                      <w:ind w:firstLineChars="200" w:firstLine="420"/>
                      <w:rPr>
                        <w:szCs w:val="21"/>
                      </w:rPr>
                    </w:pPr>
                    <w:r w:rsidRPr="00FE651E">
                      <w:rPr>
                        <w:rFonts w:hint="eastAsia"/>
                        <w:szCs w:val="21"/>
                      </w:rPr>
                      <w:t>2.期初账面价值</w:t>
                    </w:r>
                  </w:p>
                </w:tc>
              </w:sdtContent>
            </w:sdt>
            <w:tc>
              <w:tcPr>
                <w:tcW w:w="800" w:type="pct"/>
                <w:shd w:val="clear" w:color="auto" w:fill="auto"/>
                <w:vAlign w:val="center"/>
              </w:tcPr>
              <w:p w14:paraId="5CCC8398" w14:textId="77777777" w:rsidR="00471D53" w:rsidRPr="00FE651E" w:rsidRDefault="004F686E" w:rsidP="00471D53">
                <w:pPr>
                  <w:autoSpaceDE w:val="0"/>
                  <w:autoSpaceDN w:val="0"/>
                  <w:jc w:val="center"/>
                  <w:rPr>
                    <w:szCs w:val="21"/>
                  </w:rPr>
                </w:pPr>
                <w:r w:rsidRPr="00FE651E">
                  <w:rPr>
                    <w:rFonts w:hint="eastAsia"/>
                    <w:szCs w:val="21"/>
                  </w:rPr>
                  <w:t>378,700,289.82</w:t>
                </w:r>
              </w:p>
            </w:tc>
            <w:tc>
              <w:tcPr>
                <w:tcW w:w="733" w:type="pct"/>
                <w:shd w:val="clear" w:color="auto" w:fill="auto"/>
                <w:vAlign w:val="center"/>
              </w:tcPr>
              <w:p w14:paraId="2CE15009" w14:textId="77777777" w:rsidR="00471D53" w:rsidRPr="00FE651E" w:rsidRDefault="004F686E" w:rsidP="00471D53">
                <w:pPr>
                  <w:autoSpaceDE w:val="0"/>
                  <w:autoSpaceDN w:val="0"/>
                  <w:jc w:val="center"/>
                  <w:rPr>
                    <w:szCs w:val="21"/>
                  </w:rPr>
                </w:pPr>
                <w:r w:rsidRPr="00FE651E">
                  <w:rPr>
                    <w:rFonts w:hint="eastAsia"/>
                    <w:szCs w:val="21"/>
                  </w:rPr>
                  <w:t>217,306,543.62</w:t>
                </w:r>
              </w:p>
            </w:tc>
            <w:tc>
              <w:tcPr>
                <w:tcW w:w="712" w:type="pct"/>
                <w:shd w:val="clear" w:color="auto" w:fill="auto"/>
                <w:vAlign w:val="center"/>
              </w:tcPr>
              <w:p w14:paraId="5AC83FBC" w14:textId="77777777" w:rsidR="00471D53" w:rsidRPr="00FE651E" w:rsidRDefault="004F686E" w:rsidP="00471D53">
                <w:pPr>
                  <w:autoSpaceDE w:val="0"/>
                  <w:autoSpaceDN w:val="0"/>
                  <w:jc w:val="center"/>
                  <w:rPr>
                    <w:szCs w:val="21"/>
                  </w:rPr>
                </w:pPr>
                <w:r w:rsidRPr="00FE651E">
                  <w:rPr>
                    <w:rFonts w:hint="eastAsia"/>
                    <w:szCs w:val="21"/>
                  </w:rPr>
                  <w:t>6,037,561.59</w:t>
                </w:r>
              </w:p>
            </w:tc>
            <w:tc>
              <w:tcPr>
                <w:tcW w:w="688" w:type="pct"/>
                <w:shd w:val="clear" w:color="auto" w:fill="auto"/>
                <w:vAlign w:val="center"/>
              </w:tcPr>
              <w:p w14:paraId="4F4200AA" w14:textId="77777777" w:rsidR="00471D53" w:rsidRPr="00FE651E" w:rsidRDefault="004F686E" w:rsidP="00471D53">
                <w:pPr>
                  <w:autoSpaceDE w:val="0"/>
                  <w:autoSpaceDN w:val="0"/>
                  <w:jc w:val="center"/>
                  <w:rPr>
                    <w:szCs w:val="21"/>
                  </w:rPr>
                </w:pPr>
                <w:r w:rsidRPr="00FE651E">
                  <w:rPr>
                    <w:rFonts w:hint="eastAsia"/>
                    <w:szCs w:val="21"/>
                  </w:rPr>
                  <w:t>1,715,588.22</w:t>
                </w:r>
              </w:p>
            </w:tc>
            <w:tc>
              <w:tcPr>
                <w:tcW w:w="715" w:type="pct"/>
                <w:shd w:val="clear" w:color="auto" w:fill="auto"/>
                <w:vAlign w:val="center"/>
              </w:tcPr>
              <w:p w14:paraId="32204CC8" w14:textId="77777777" w:rsidR="00471D53" w:rsidRPr="00FE651E" w:rsidRDefault="004F686E" w:rsidP="00471D53">
                <w:pPr>
                  <w:autoSpaceDE w:val="0"/>
                  <w:autoSpaceDN w:val="0"/>
                  <w:jc w:val="center"/>
                  <w:rPr>
                    <w:szCs w:val="21"/>
                  </w:rPr>
                </w:pPr>
                <w:r w:rsidRPr="00FE651E">
                  <w:rPr>
                    <w:rFonts w:hint="eastAsia"/>
                    <w:szCs w:val="21"/>
                  </w:rPr>
                  <w:t>1,895,921.93</w:t>
                </w:r>
              </w:p>
            </w:tc>
            <w:tc>
              <w:tcPr>
                <w:tcW w:w="818" w:type="pct"/>
                <w:shd w:val="clear" w:color="auto" w:fill="auto"/>
                <w:vAlign w:val="center"/>
              </w:tcPr>
              <w:p w14:paraId="1C2E5206" w14:textId="77777777" w:rsidR="00471D53" w:rsidRPr="00FE651E" w:rsidRDefault="004F686E" w:rsidP="00471D53">
                <w:pPr>
                  <w:autoSpaceDE w:val="0"/>
                  <w:autoSpaceDN w:val="0"/>
                  <w:jc w:val="center"/>
                  <w:rPr>
                    <w:szCs w:val="21"/>
                  </w:rPr>
                </w:pPr>
                <w:r w:rsidRPr="00FE651E">
                  <w:rPr>
                    <w:szCs w:val="21"/>
                  </w:rPr>
                  <w:t>605,655,905.18</w:t>
                </w:r>
              </w:p>
            </w:tc>
          </w:tr>
        </w:tbl>
        <w:p w14:paraId="7918E322" w14:textId="77777777" w:rsidR="00471D53" w:rsidRDefault="00B664AF"/>
        <w:p w14:paraId="4ACE8F07" w14:textId="77777777" w:rsidR="00471D53" w:rsidRDefault="00B664AF">
          <w:pPr>
            <w:rPr>
              <w:szCs w:val="21"/>
            </w:rPr>
          </w:pPr>
        </w:p>
      </w:sdtContent>
    </w:sdt>
    <w:sdt>
      <w:sdtPr>
        <w:rPr>
          <w:rFonts w:ascii="宋体" w:hAnsi="宋体" w:cs="宋体" w:hint="eastAsia"/>
          <w:b w:val="0"/>
          <w:bCs w:val="0"/>
          <w:kern w:val="0"/>
          <w:szCs w:val="21"/>
        </w:rPr>
        <w:alias w:val="模块:暂时闲置的固定资产情况"/>
        <w:tag w:val="_GBC_77e89169b7ab4fccae8cff3d8a125711"/>
        <w:id w:val="1793391165"/>
        <w:lock w:val="sdtLocked"/>
        <w:placeholder>
          <w:docPart w:val="GBC22222222222222222222222222222"/>
        </w:placeholder>
      </w:sdtPr>
      <w:sdtEndPr>
        <w:rPr>
          <w:rFonts w:hint="default"/>
          <w:szCs w:val="24"/>
        </w:rPr>
      </w:sdtEndPr>
      <w:sdtContent>
        <w:p w14:paraId="0F50C81B" w14:textId="77777777" w:rsidR="00471D53" w:rsidRDefault="004F686E" w:rsidP="004F686E">
          <w:pPr>
            <w:pStyle w:val="afffff8"/>
            <w:numPr>
              <w:ilvl w:val="0"/>
              <w:numId w:val="71"/>
            </w:numPr>
            <w:tabs>
              <w:tab w:val="left" w:pos="588"/>
            </w:tabs>
            <w:rPr>
              <w:rFonts w:ascii="宋体" w:hAnsi="宋体"/>
              <w:kern w:val="0"/>
              <w:szCs w:val="21"/>
            </w:rPr>
          </w:pPr>
          <w:r>
            <w:rPr>
              <w:rFonts w:ascii="宋体" w:hAnsi="宋体" w:hint="eastAsia"/>
              <w:szCs w:val="21"/>
            </w:rPr>
            <w:t>暂时</w:t>
          </w:r>
          <w:r>
            <w:rPr>
              <w:rFonts w:ascii="宋体" w:hAnsi="宋体" w:hint="eastAsia"/>
              <w:kern w:val="0"/>
              <w:szCs w:val="21"/>
            </w:rPr>
            <w:t>闲置的固定资产情况</w:t>
          </w:r>
        </w:p>
        <w:sdt>
          <w:sdtPr>
            <w:alias w:val="是否适用：暂时闲置的固定资产情况[双击切换]"/>
            <w:tag w:val="_GBC_ca31f29118c7481f95f99a2655f8c1e1"/>
            <w:id w:val="1468938852"/>
            <w:lock w:val="sdtLocked"/>
            <w:placeholder>
              <w:docPart w:val="GBC22222222222222222222222222222"/>
            </w:placeholder>
          </w:sdtPr>
          <w:sdtEndPr/>
          <w:sdtContent>
            <w:p w14:paraId="29197FDD" w14:textId="77777777" w:rsidR="00471D53" w:rsidRDefault="004F686E" w:rsidP="00471D53">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115DE8E7" w14:textId="77777777" w:rsidR="00471D53" w:rsidRDefault="00B664AF">
      <w:pPr>
        <w:rPr>
          <w:szCs w:val="21"/>
        </w:rPr>
      </w:pPr>
    </w:p>
    <w:sdt>
      <w:sdtPr>
        <w:rPr>
          <w:rFonts w:ascii="宋体" w:hAnsi="宋体" w:cs="宋体" w:hint="eastAsia"/>
          <w:b w:val="0"/>
          <w:bCs w:val="0"/>
          <w:kern w:val="0"/>
          <w:szCs w:val="21"/>
        </w:rPr>
        <w:alias w:val="模块:通过融资租赁租入的固定资产情况"/>
        <w:tag w:val="_GBC_f8dc7bf0df9345f6a1581560999dd4d8"/>
        <w:id w:val="1221480104"/>
        <w:lock w:val="sdtLocked"/>
        <w:placeholder>
          <w:docPart w:val="GBC22222222222222222222222222222"/>
        </w:placeholder>
      </w:sdtPr>
      <w:sdtEndPr>
        <w:rPr>
          <w:rFonts w:hint="default"/>
          <w:szCs w:val="24"/>
        </w:rPr>
      </w:sdtEndPr>
      <w:sdtContent>
        <w:p w14:paraId="5ABCA109" w14:textId="77777777" w:rsidR="00471D53" w:rsidRDefault="004F686E" w:rsidP="004F686E">
          <w:pPr>
            <w:pStyle w:val="afffff8"/>
            <w:numPr>
              <w:ilvl w:val="0"/>
              <w:numId w:val="71"/>
            </w:numPr>
            <w:tabs>
              <w:tab w:val="left" w:pos="588"/>
            </w:tabs>
            <w:rPr>
              <w:rFonts w:ascii="宋体" w:hAnsi="宋体"/>
              <w:kern w:val="0"/>
              <w:szCs w:val="21"/>
            </w:rPr>
          </w:pPr>
          <w:r>
            <w:rPr>
              <w:rFonts w:ascii="宋体" w:hAnsi="宋体" w:hint="eastAsia"/>
              <w:kern w:val="0"/>
              <w:szCs w:val="21"/>
            </w:rPr>
            <w:t>通过</w:t>
          </w:r>
          <w:r>
            <w:rPr>
              <w:rFonts w:ascii="宋体" w:hAnsi="宋体" w:hint="eastAsia"/>
              <w:szCs w:val="21"/>
            </w:rPr>
            <w:t>融资租赁</w:t>
          </w:r>
          <w:r>
            <w:rPr>
              <w:rFonts w:ascii="宋体" w:hAnsi="宋体" w:hint="eastAsia"/>
              <w:kern w:val="0"/>
              <w:szCs w:val="21"/>
            </w:rPr>
            <w:t>租入的固定资产情况</w:t>
          </w:r>
        </w:p>
        <w:sdt>
          <w:sdtPr>
            <w:alias w:val="是否适用：通过融资租赁租入的固定资产情况[双击切换]"/>
            <w:tag w:val="_GBC_17a138c76e604d1b9b48d7c64e72801d"/>
            <w:id w:val="1564518866"/>
            <w:lock w:val="sdtLocked"/>
            <w:placeholder>
              <w:docPart w:val="GBC22222222222222222222222222222"/>
            </w:placeholder>
          </w:sdtPr>
          <w:sdtEndPr/>
          <w:sdtContent>
            <w:p w14:paraId="117ABC2D" w14:textId="77777777" w:rsidR="00471D53" w:rsidRDefault="004F686E" w:rsidP="00471D53">
              <w:pPr>
                <w:rPr>
                  <w:color w:val="FF0000"/>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1BF8D209" w14:textId="77777777" w:rsidR="00471D53" w:rsidRDefault="00B664AF">
      <w:pPr>
        <w:rPr>
          <w:szCs w:val="21"/>
        </w:rPr>
      </w:pPr>
    </w:p>
    <w:sdt>
      <w:sdtPr>
        <w:rPr>
          <w:rFonts w:ascii="宋体" w:hAnsi="宋体" w:cs="宋体" w:hint="eastAsia"/>
          <w:b w:val="0"/>
          <w:bCs w:val="0"/>
          <w:kern w:val="0"/>
          <w:szCs w:val="21"/>
        </w:rPr>
        <w:alias w:val="模块:通过经营租赁租出的固定资产"/>
        <w:tag w:val="_GBC_06e38c241c8a43a99fdd68c92888bab1"/>
        <w:id w:val="-582227824"/>
        <w:lock w:val="sdtLocked"/>
        <w:placeholder>
          <w:docPart w:val="GBC22222222222222222222222222222"/>
        </w:placeholder>
      </w:sdtPr>
      <w:sdtEndPr>
        <w:rPr>
          <w:rFonts w:hint="default"/>
          <w:color w:val="FF0000"/>
        </w:rPr>
      </w:sdtEndPr>
      <w:sdtContent>
        <w:p w14:paraId="339E6F8C" w14:textId="77777777" w:rsidR="00471D53" w:rsidRDefault="004F686E" w:rsidP="004F686E">
          <w:pPr>
            <w:pStyle w:val="afffff8"/>
            <w:numPr>
              <w:ilvl w:val="0"/>
              <w:numId w:val="71"/>
            </w:numPr>
            <w:tabs>
              <w:tab w:val="left" w:pos="588"/>
            </w:tabs>
            <w:rPr>
              <w:rFonts w:ascii="宋体" w:hAnsi="宋体"/>
              <w:kern w:val="0"/>
              <w:szCs w:val="21"/>
            </w:rPr>
          </w:pPr>
          <w:r>
            <w:rPr>
              <w:rFonts w:ascii="宋体" w:hAnsi="宋体" w:hint="eastAsia"/>
              <w:szCs w:val="21"/>
            </w:rPr>
            <w:t>通过</w:t>
          </w:r>
          <w:r>
            <w:rPr>
              <w:rFonts w:ascii="宋体" w:hAnsi="宋体" w:hint="eastAsia"/>
              <w:kern w:val="0"/>
              <w:szCs w:val="21"/>
            </w:rPr>
            <w:t>经营租赁租出的固定资产</w:t>
          </w:r>
        </w:p>
        <w:sdt>
          <w:sdtPr>
            <w:alias w:val="是否适用：通过经营租赁租出的固定资产[双击切换]"/>
            <w:tag w:val="_GBC_251e1c74f40b47869d759974b0f6a463"/>
            <w:id w:val="-919564640"/>
            <w:lock w:val="sdtLocked"/>
            <w:placeholder>
              <w:docPart w:val="GBC22222222222222222222222222222"/>
            </w:placeholder>
          </w:sdtPr>
          <w:sdtEndPr/>
          <w:sdtContent>
            <w:p w14:paraId="602A2440" w14:textId="77777777" w:rsidR="00471D53" w:rsidRDefault="004F686E" w:rsidP="00471D53">
              <w:pPr>
                <w:rPr>
                  <w:color w:val="FF0000"/>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未办妥产权证书的固定资产情况"/>
        <w:tag w:val="_GBC_5b357259936442c38f67f17b533c7085"/>
        <w:id w:val="-1511901841"/>
        <w:lock w:val="sdtLocked"/>
        <w:placeholder>
          <w:docPart w:val="GBC22222222222222222222222222222"/>
        </w:placeholder>
      </w:sdtPr>
      <w:sdtEndPr>
        <w:rPr>
          <w:rFonts w:hint="default"/>
          <w:szCs w:val="24"/>
        </w:rPr>
      </w:sdtEndPr>
      <w:sdtContent>
        <w:p w14:paraId="45D42406" w14:textId="77777777" w:rsidR="00471D53" w:rsidRDefault="004F686E" w:rsidP="004F686E">
          <w:pPr>
            <w:pStyle w:val="afffff8"/>
            <w:numPr>
              <w:ilvl w:val="0"/>
              <w:numId w:val="71"/>
            </w:numPr>
            <w:tabs>
              <w:tab w:val="left" w:pos="588"/>
            </w:tabs>
            <w:rPr>
              <w:rFonts w:ascii="宋体" w:hAnsi="宋体"/>
              <w:kern w:val="0"/>
              <w:szCs w:val="21"/>
            </w:rPr>
          </w:pPr>
          <w:r>
            <w:rPr>
              <w:rFonts w:ascii="宋体" w:hAnsi="宋体" w:hint="eastAsia"/>
              <w:kern w:val="0"/>
              <w:szCs w:val="21"/>
            </w:rPr>
            <w:t>未</w:t>
          </w:r>
          <w:r>
            <w:rPr>
              <w:rFonts w:ascii="宋体" w:hAnsi="宋体" w:hint="eastAsia"/>
              <w:szCs w:val="21"/>
            </w:rPr>
            <w:t>办妥</w:t>
          </w:r>
          <w:r>
            <w:rPr>
              <w:rFonts w:ascii="宋体" w:hAnsi="宋体" w:hint="eastAsia"/>
              <w:kern w:val="0"/>
              <w:szCs w:val="21"/>
            </w:rPr>
            <w:t>产权证书的固定资产情况</w:t>
          </w:r>
        </w:p>
        <w:sdt>
          <w:sdtPr>
            <w:alias w:val="是否适用：未办妥产权证书的固定资产情况[双击切换]"/>
            <w:tag w:val="_GBC_a26aa363313e4c8fbedf9041cd41bfc9"/>
            <w:id w:val="-1313248175"/>
            <w:lock w:val="sdtLocked"/>
            <w:placeholder>
              <w:docPart w:val="GBC22222222222222222222222222222"/>
            </w:placeholder>
          </w:sdtPr>
          <w:sdtEndPr/>
          <w:sdtContent>
            <w:p w14:paraId="7676D19E"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27482D09" w14:textId="77777777" w:rsidR="00471D53" w:rsidRDefault="00B664AF">
      <w:pPr>
        <w:tabs>
          <w:tab w:val="right" w:pos="3690"/>
          <w:tab w:val="right" w:pos="5130"/>
          <w:tab w:val="right" w:pos="6030"/>
          <w:tab w:val="right" w:pos="7650"/>
          <w:tab w:val="right" w:pos="9270"/>
        </w:tabs>
        <w:adjustRightInd w:val="0"/>
        <w:snapToGrid w:val="0"/>
        <w:spacing w:line="360" w:lineRule="auto"/>
        <w:rPr>
          <w:iCs/>
          <w:color w:val="FF0000"/>
          <w:szCs w:val="21"/>
          <w:shd w:val="clear" w:color="auto" w:fill="CCFFFF"/>
        </w:rPr>
      </w:pPr>
    </w:p>
    <w:sdt>
      <w:sdtPr>
        <w:rPr>
          <w:rFonts w:hint="eastAsia"/>
          <w:szCs w:val="21"/>
        </w:rPr>
        <w:alias w:val="模块:固定资产说明"/>
        <w:tag w:val="_GBC_c93a179f84504ae59ee71556bc9afb64"/>
        <w:id w:val="1103143737"/>
        <w:lock w:val="sdtLocked"/>
        <w:placeholder>
          <w:docPart w:val="GBC22222222222222222222222222222"/>
        </w:placeholder>
      </w:sdtPr>
      <w:sdtEndPr>
        <w:rPr>
          <w:rFonts w:hint="default"/>
        </w:rPr>
      </w:sdtEndPr>
      <w:sdtContent>
        <w:p w14:paraId="16F47688" w14:textId="77777777" w:rsidR="00471D53" w:rsidRDefault="004F686E">
          <w:pPr>
            <w:rPr>
              <w:szCs w:val="21"/>
            </w:rPr>
          </w:pPr>
          <w:r>
            <w:rPr>
              <w:rFonts w:hint="eastAsia"/>
              <w:szCs w:val="21"/>
            </w:rPr>
            <w:t>其他说明：</w:t>
          </w:r>
        </w:p>
        <w:sdt>
          <w:sdtPr>
            <w:rPr>
              <w:szCs w:val="21"/>
            </w:rPr>
            <w:alias w:val="是否适用：固定资产的说明[双击切换]"/>
            <w:tag w:val="_GBC_e2fd7087594d4949ada40807334de5fb"/>
            <w:id w:val="950051680"/>
            <w:lock w:val="sdtLocked"/>
            <w:placeholder>
              <w:docPart w:val="GBC22222222222222222222222222222"/>
            </w:placeholder>
          </w:sdtPr>
          <w:sdtEndPr/>
          <w:sdtContent>
            <w:p w14:paraId="3B740517" w14:textId="77777777" w:rsidR="00471D53" w:rsidRDefault="004F686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固定资产的说明"/>
            <w:tag w:val="_GBC_1cd9f478e6f24b25af00fb54ff820976"/>
            <w:id w:val="146560043"/>
            <w:lock w:val="sdtLocked"/>
            <w:placeholder>
              <w:docPart w:val="GBC22222222222222222222222222222"/>
            </w:placeholder>
          </w:sdtPr>
          <w:sdtEndPr/>
          <w:sdtContent>
            <w:p w14:paraId="7EE7AB48" w14:textId="77777777" w:rsidR="00471D53" w:rsidRDefault="004F686E" w:rsidP="004F686E">
              <w:pPr>
                <w:numPr>
                  <w:ilvl w:val="1"/>
                  <w:numId w:val="58"/>
                </w:numPr>
                <w:tabs>
                  <w:tab w:val="left" w:pos="800"/>
                  <w:tab w:val="left" w:pos="1100"/>
                  <w:tab w:val="left" w:pos="1287"/>
                </w:tabs>
                <w:spacing w:beforeLines="50" w:before="120" w:afterLines="50" w:after="120" w:line="360" w:lineRule="exact"/>
                <w:ind w:left="799" w:hanging="374"/>
                <w:jc w:val="both"/>
                <w:outlineLvl w:val="2"/>
                <w:rPr>
                  <w:sz w:val="22"/>
                  <w:szCs w:val="22"/>
                </w:rPr>
              </w:pPr>
              <w:r>
                <w:rPr>
                  <w:rFonts w:hint="eastAsia"/>
                  <w:sz w:val="22"/>
                  <w:szCs w:val="22"/>
                </w:rPr>
                <w:t>本集团无暂时闲置的固定资产。</w:t>
              </w:r>
            </w:p>
            <w:p w14:paraId="18A2F5F3" w14:textId="77777777" w:rsidR="00471D53" w:rsidRDefault="004F686E" w:rsidP="004F686E">
              <w:pPr>
                <w:numPr>
                  <w:ilvl w:val="1"/>
                  <w:numId w:val="58"/>
                </w:numPr>
                <w:tabs>
                  <w:tab w:val="left" w:pos="800"/>
                  <w:tab w:val="left" w:pos="1100"/>
                  <w:tab w:val="left" w:pos="1287"/>
                </w:tabs>
                <w:spacing w:beforeLines="50" w:before="120" w:afterLines="50" w:after="120" w:line="360" w:lineRule="exact"/>
                <w:ind w:left="799" w:hanging="374"/>
                <w:jc w:val="both"/>
                <w:outlineLvl w:val="2"/>
                <w:rPr>
                  <w:sz w:val="22"/>
                  <w:szCs w:val="22"/>
                </w:rPr>
              </w:pPr>
              <w:r>
                <w:rPr>
                  <w:rFonts w:hint="eastAsia"/>
                  <w:sz w:val="22"/>
                  <w:szCs w:val="22"/>
                </w:rPr>
                <w:t>本集团期末无通过融资租赁租入的固定资产。</w:t>
              </w:r>
            </w:p>
            <w:p w14:paraId="3EC22A71" w14:textId="77777777" w:rsidR="00471D53" w:rsidRDefault="004F686E" w:rsidP="004F686E">
              <w:pPr>
                <w:numPr>
                  <w:ilvl w:val="1"/>
                  <w:numId w:val="58"/>
                </w:numPr>
                <w:tabs>
                  <w:tab w:val="left" w:pos="800"/>
                  <w:tab w:val="left" w:pos="1100"/>
                  <w:tab w:val="left" w:pos="1287"/>
                </w:tabs>
                <w:spacing w:beforeLines="50" w:before="120" w:afterLines="50" w:after="120" w:line="360" w:lineRule="exact"/>
                <w:ind w:left="799" w:hanging="374"/>
                <w:jc w:val="both"/>
                <w:outlineLvl w:val="2"/>
                <w:rPr>
                  <w:sz w:val="22"/>
                  <w:szCs w:val="22"/>
                </w:rPr>
              </w:pPr>
              <w:r>
                <w:rPr>
                  <w:rFonts w:hint="eastAsia"/>
                  <w:sz w:val="22"/>
                  <w:szCs w:val="22"/>
                </w:rPr>
                <w:t>本集团期末无通过经营租赁租出的固定资产。</w:t>
              </w:r>
            </w:p>
            <w:p w14:paraId="39E30F9C" w14:textId="77777777" w:rsidR="00471D53" w:rsidRDefault="004F686E" w:rsidP="004F686E">
              <w:pPr>
                <w:numPr>
                  <w:ilvl w:val="1"/>
                  <w:numId w:val="58"/>
                </w:numPr>
                <w:tabs>
                  <w:tab w:val="left" w:pos="800"/>
                  <w:tab w:val="left" w:pos="1100"/>
                  <w:tab w:val="left" w:pos="1287"/>
                </w:tabs>
                <w:spacing w:beforeLines="50" w:before="120" w:afterLines="50" w:after="120" w:line="360" w:lineRule="exact"/>
                <w:ind w:left="799" w:hanging="374"/>
                <w:jc w:val="both"/>
                <w:outlineLvl w:val="2"/>
                <w:rPr>
                  <w:sz w:val="22"/>
                  <w:szCs w:val="22"/>
                </w:rPr>
              </w:pPr>
              <w:r>
                <w:rPr>
                  <w:rFonts w:hint="eastAsia"/>
                  <w:sz w:val="22"/>
                  <w:szCs w:val="22"/>
                </w:rPr>
                <w:t>本集团无未办妥产权证书的固定资产。</w:t>
              </w:r>
            </w:p>
            <w:p w14:paraId="56DAB65A" w14:textId="77777777" w:rsidR="00471D53" w:rsidRDefault="004F686E" w:rsidP="004F686E">
              <w:pPr>
                <w:numPr>
                  <w:ilvl w:val="1"/>
                  <w:numId w:val="58"/>
                </w:numPr>
                <w:tabs>
                  <w:tab w:val="left" w:pos="0"/>
                  <w:tab w:val="left" w:pos="1100"/>
                  <w:tab w:val="left" w:pos="1287"/>
                </w:tabs>
                <w:spacing w:beforeLines="50" w:before="120" w:afterLines="50" w:after="120" w:line="360" w:lineRule="exact"/>
                <w:ind w:left="0" w:firstLine="425"/>
                <w:jc w:val="both"/>
                <w:outlineLvl w:val="2"/>
                <w:rPr>
                  <w:sz w:val="22"/>
                  <w:szCs w:val="22"/>
                </w:rPr>
              </w:pPr>
              <w:r>
                <w:rPr>
                  <w:rFonts w:hint="eastAsia"/>
                  <w:sz w:val="22"/>
                  <w:szCs w:val="22"/>
                </w:rPr>
                <w:t>本期确认为损益的固定资产的折旧为</w:t>
              </w:r>
              <w:r w:rsidRPr="007D6F43">
                <w:rPr>
                  <w:sz w:val="22"/>
                  <w:szCs w:val="22"/>
                </w:rPr>
                <w:t>24,914,195.22</w:t>
              </w:r>
              <w:r>
                <w:rPr>
                  <w:rFonts w:hint="eastAsia"/>
                  <w:sz w:val="22"/>
                  <w:szCs w:val="22"/>
                </w:rPr>
                <w:t>元(上期金额：</w:t>
              </w:r>
              <w:r w:rsidRPr="00AE10B8">
                <w:rPr>
                  <w:sz w:val="22"/>
                  <w:szCs w:val="22"/>
                </w:rPr>
                <w:t>25,302,535.46</w:t>
              </w:r>
              <w:r w:rsidRPr="004C1BDA">
                <w:rPr>
                  <w:rFonts w:hint="eastAsia"/>
                  <w:sz w:val="22"/>
                  <w:szCs w:val="22"/>
                </w:rPr>
                <w:t>元</w:t>
              </w:r>
              <w:r>
                <w:rPr>
                  <w:rFonts w:hint="eastAsia"/>
                  <w:sz w:val="22"/>
                  <w:szCs w:val="22"/>
                </w:rPr>
                <w:t>)。</w:t>
              </w:r>
            </w:p>
            <w:p w14:paraId="1F927D01" w14:textId="77777777" w:rsidR="00471D53" w:rsidRDefault="004F686E" w:rsidP="004F686E">
              <w:pPr>
                <w:numPr>
                  <w:ilvl w:val="1"/>
                  <w:numId w:val="58"/>
                </w:numPr>
                <w:tabs>
                  <w:tab w:val="left" w:pos="800"/>
                  <w:tab w:val="left" w:pos="1100"/>
                  <w:tab w:val="left" w:pos="1287"/>
                </w:tabs>
                <w:spacing w:beforeLines="50" w:before="120" w:afterLines="50" w:after="120" w:line="360" w:lineRule="exact"/>
                <w:ind w:left="799" w:hanging="373"/>
                <w:jc w:val="both"/>
                <w:outlineLvl w:val="2"/>
                <w:rPr>
                  <w:sz w:val="22"/>
                  <w:szCs w:val="22"/>
                </w:rPr>
              </w:pPr>
              <w:r w:rsidRPr="009D7629">
                <w:rPr>
                  <w:rFonts w:hint="eastAsia"/>
                  <w:sz w:val="22"/>
                  <w:szCs w:val="22"/>
                </w:rPr>
                <w:t>本期出售固定资产的利得为122,252.07元</w:t>
              </w:r>
              <w:r>
                <w:rPr>
                  <w:rFonts w:hint="eastAsia"/>
                  <w:sz w:val="22"/>
                  <w:szCs w:val="22"/>
                </w:rPr>
                <w:t>。</w:t>
              </w:r>
            </w:p>
            <w:p w14:paraId="51D24ED4" w14:textId="77777777" w:rsidR="00471D53" w:rsidRDefault="004F686E" w:rsidP="004F686E">
              <w:pPr>
                <w:numPr>
                  <w:ilvl w:val="1"/>
                  <w:numId w:val="58"/>
                </w:numPr>
                <w:tabs>
                  <w:tab w:val="left" w:pos="800"/>
                  <w:tab w:val="left" w:pos="1100"/>
                  <w:tab w:val="left" w:pos="1287"/>
                </w:tabs>
                <w:spacing w:beforeLines="50" w:before="120" w:afterLines="50" w:after="120" w:line="360" w:lineRule="exact"/>
                <w:ind w:left="799" w:hanging="374"/>
                <w:jc w:val="both"/>
                <w:outlineLvl w:val="2"/>
                <w:rPr>
                  <w:sz w:val="22"/>
                  <w:szCs w:val="22"/>
                </w:rPr>
              </w:pPr>
              <w:r>
                <w:rPr>
                  <w:rFonts w:hint="eastAsia"/>
                  <w:sz w:val="22"/>
                  <w:szCs w:val="22"/>
                </w:rPr>
                <w:t>房屋建筑物按所在地区及年限分析如下：</w:t>
              </w:r>
            </w:p>
            <w:tbl>
              <w:tblPr>
                <w:tblStyle w:val="g4"/>
                <w:tblW w:w="5000" w:type="pct"/>
                <w:tblBorders>
                  <w:top w:val="double" w:sz="4" w:space="0" w:color="auto"/>
                  <w:bottom w:val="double" w:sz="4" w:space="0" w:color="auto"/>
                  <w:insideH w:val="single" w:sz="2" w:space="0" w:color="auto"/>
                  <w:insideV w:val="single" w:sz="2" w:space="0" w:color="auto"/>
                </w:tblBorders>
                <w:tblLook w:val="0000" w:firstRow="0" w:lastRow="0" w:firstColumn="0" w:lastColumn="0" w:noHBand="0" w:noVBand="0"/>
              </w:tblPr>
              <w:tblGrid>
                <w:gridCol w:w="3265"/>
                <w:gridCol w:w="2784"/>
                <w:gridCol w:w="2784"/>
              </w:tblGrid>
              <w:tr w:rsidR="00471D53" w14:paraId="18C7FC44" w14:textId="77777777" w:rsidTr="00471D53">
                <w:trPr>
                  <w:trHeight w:val="340"/>
                  <w:tblHeader/>
                </w:trPr>
                <w:tc>
                  <w:tcPr>
                    <w:tcW w:w="1848" w:type="pct"/>
                    <w:vAlign w:val="center"/>
                  </w:tcPr>
                  <w:p w14:paraId="0C26EF17" w14:textId="77777777" w:rsidR="00471D53" w:rsidRDefault="004F686E" w:rsidP="00471D53">
                    <w:pPr>
                      <w:jc w:val="both"/>
                      <w:rPr>
                        <w:b/>
                        <w:sz w:val="22"/>
                        <w:szCs w:val="22"/>
                      </w:rPr>
                    </w:pPr>
                    <w:r>
                      <w:rPr>
                        <w:rFonts w:hint="eastAsia"/>
                        <w:b/>
                        <w:sz w:val="22"/>
                        <w:szCs w:val="22"/>
                      </w:rPr>
                      <w:t>项目</w:t>
                    </w:r>
                  </w:p>
                </w:tc>
                <w:tc>
                  <w:tcPr>
                    <w:tcW w:w="1576" w:type="pct"/>
                    <w:vAlign w:val="center"/>
                  </w:tcPr>
                  <w:p w14:paraId="4CAEF130" w14:textId="77777777" w:rsidR="00471D53" w:rsidRDefault="004F686E" w:rsidP="00471D53">
                    <w:pPr>
                      <w:jc w:val="center"/>
                      <w:rPr>
                        <w:b/>
                        <w:sz w:val="22"/>
                        <w:szCs w:val="22"/>
                      </w:rPr>
                    </w:pPr>
                    <w:r>
                      <w:rPr>
                        <w:rFonts w:hint="eastAsia"/>
                        <w:b/>
                        <w:sz w:val="22"/>
                        <w:szCs w:val="22"/>
                      </w:rPr>
                      <w:t>期末金额</w:t>
                    </w:r>
                  </w:p>
                </w:tc>
                <w:tc>
                  <w:tcPr>
                    <w:tcW w:w="1576" w:type="pct"/>
                    <w:vAlign w:val="center"/>
                  </w:tcPr>
                  <w:p w14:paraId="6E67A23D" w14:textId="77777777" w:rsidR="00471D53" w:rsidRDefault="004F686E" w:rsidP="00471D53">
                    <w:pPr>
                      <w:jc w:val="center"/>
                      <w:rPr>
                        <w:b/>
                        <w:sz w:val="22"/>
                        <w:szCs w:val="22"/>
                      </w:rPr>
                    </w:pPr>
                    <w:r>
                      <w:rPr>
                        <w:rFonts w:hint="eastAsia"/>
                        <w:b/>
                        <w:sz w:val="22"/>
                        <w:szCs w:val="22"/>
                      </w:rPr>
                      <w:t>期初金额</w:t>
                    </w:r>
                  </w:p>
                </w:tc>
              </w:tr>
              <w:tr w:rsidR="00471D53" w14:paraId="4EC72592" w14:textId="77777777" w:rsidTr="00471D53">
                <w:trPr>
                  <w:trHeight w:val="340"/>
                </w:trPr>
                <w:tc>
                  <w:tcPr>
                    <w:tcW w:w="1848" w:type="pct"/>
                    <w:vAlign w:val="center"/>
                  </w:tcPr>
                  <w:p w14:paraId="4B258B27" w14:textId="77777777" w:rsidR="00471D53" w:rsidRDefault="004F686E" w:rsidP="00471D53">
                    <w:pPr>
                      <w:jc w:val="both"/>
                      <w:rPr>
                        <w:sz w:val="22"/>
                        <w:szCs w:val="22"/>
                      </w:rPr>
                    </w:pPr>
                    <w:r>
                      <w:rPr>
                        <w:rFonts w:hint="eastAsia"/>
                        <w:sz w:val="22"/>
                        <w:szCs w:val="22"/>
                      </w:rPr>
                      <w:t>位于中国境内</w:t>
                    </w:r>
                  </w:p>
                </w:tc>
                <w:tc>
                  <w:tcPr>
                    <w:tcW w:w="1576" w:type="pct"/>
                    <w:vAlign w:val="center"/>
                  </w:tcPr>
                  <w:p w14:paraId="7A5837D2" w14:textId="77777777" w:rsidR="00471D53" w:rsidRDefault="004F686E" w:rsidP="00471D53">
                    <w:pPr>
                      <w:jc w:val="right"/>
                      <w:rPr>
                        <w:bCs/>
                        <w:sz w:val="22"/>
                        <w:szCs w:val="22"/>
                      </w:rPr>
                    </w:pPr>
                    <w:r>
                      <w:rPr>
                        <w:rFonts w:cs="Calibri" w:hint="eastAsia"/>
                        <w:sz w:val="22"/>
                        <w:szCs w:val="22"/>
                      </w:rPr>
                      <w:t>376,098,221.75</w:t>
                    </w:r>
                  </w:p>
                </w:tc>
                <w:tc>
                  <w:tcPr>
                    <w:tcW w:w="1576" w:type="pct"/>
                    <w:vAlign w:val="center"/>
                  </w:tcPr>
                  <w:p w14:paraId="25627FA2" w14:textId="77777777" w:rsidR="00471D53" w:rsidRDefault="004F686E" w:rsidP="00471D53">
                    <w:pPr>
                      <w:jc w:val="right"/>
                      <w:rPr>
                        <w:bCs/>
                        <w:sz w:val="22"/>
                        <w:szCs w:val="22"/>
                      </w:rPr>
                    </w:pPr>
                    <w:r>
                      <w:rPr>
                        <w:rFonts w:cs="Calibri" w:hint="eastAsia"/>
                        <w:sz w:val="22"/>
                        <w:szCs w:val="22"/>
                      </w:rPr>
                      <w:t>378,700,289.82</w:t>
                    </w:r>
                  </w:p>
                </w:tc>
              </w:tr>
              <w:tr w:rsidR="00471D53" w14:paraId="1B4C96DE" w14:textId="77777777" w:rsidTr="00471D53">
                <w:trPr>
                  <w:trHeight w:val="340"/>
                </w:trPr>
                <w:tc>
                  <w:tcPr>
                    <w:tcW w:w="1848" w:type="pct"/>
                    <w:vAlign w:val="center"/>
                  </w:tcPr>
                  <w:p w14:paraId="48F922F6" w14:textId="77777777" w:rsidR="00471D53" w:rsidRDefault="004F686E" w:rsidP="00471D53">
                    <w:pPr>
                      <w:ind w:leftChars="100" w:left="210"/>
                      <w:jc w:val="both"/>
                      <w:rPr>
                        <w:sz w:val="22"/>
                        <w:szCs w:val="22"/>
                      </w:rPr>
                    </w:pPr>
                    <w:r>
                      <w:rPr>
                        <w:rFonts w:hint="eastAsia"/>
                        <w:sz w:val="22"/>
                        <w:szCs w:val="22"/>
                      </w:rPr>
                      <w:t>长期（</w:t>
                    </w:r>
                    <w:r>
                      <w:rPr>
                        <w:sz w:val="22"/>
                        <w:szCs w:val="22"/>
                      </w:rPr>
                      <w:t>50</w:t>
                    </w:r>
                    <w:r>
                      <w:rPr>
                        <w:rFonts w:hint="eastAsia"/>
                        <w:sz w:val="22"/>
                        <w:szCs w:val="22"/>
                      </w:rPr>
                      <w:t>年以上）</w:t>
                    </w:r>
                  </w:p>
                </w:tc>
                <w:tc>
                  <w:tcPr>
                    <w:tcW w:w="1576" w:type="pct"/>
                    <w:vAlign w:val="center"/>
                  </w:tcPr>
                  <w:p w14:paraId="18BF17CD" w14:textId="77777777" w:rsidR="00471D53" w:rsidRDefault="004F686E" w:rsidP="00471D53">
                    <w:pPr>
                      <w:jc w:val="right"/>
                      <w:rPr>
                        <w:bCs/>
                        <w:sz w:val="22"/>
                        <w:szCs w:val="22"/>
                      </w:rPr>
                    </w:pPr>
                    <w:r>
                      <w:rPr>
                        <w:rFonts w:hint="eastAsia"/>
                        <w:bCs/>
                        <w:sz w:val="22"/>
                        <w:szCs w:val="22"/>
                      </w:rPr>
                      <w:t>0.00</w:t>
                    </w:r>
                  </w:p>
                </w:tc>
                <w:tc>
                  <w:tcPr>
                    <w:tcW w:w="1576" w:type="pct"/>
                    <w:vAlign w:val="center"/>
                  </w:tcPr>
                  <w:p w14:paraId="7600E48B" w14:textId="77777777" w:rsidR="00471D53" w:rsidRDefault="004F686E" w:rsidP="00471D53">
                    <w:pPr>
                      <w:jc w:val="right"/>
                      <w:rPr>
                        <w:bCs/>
                        <w:sz w:val="22"/>
                        <w:szCs w:val="22"/>
                      </w:rPr>
                    </w:pPr>
                    <w:r>
                      <w:rPr>
                        <w:rFonts w:hint="eastAsia"/>
                        <w:sz w:val="22"/>
                        <w:szCs w:val="22"/>
                      </w:rPr>
                      <w:t>0.00</w:t>
                    </w:r>
                  </w:p>
                </w:tc>
              </w:tr>
              <w:tr w:rsidR="00471D53" w14:paraId="536E2437" w14:textId="77777777" w:rsidTr="00471D53">
                <w:trPr>
                  <w:trHeight w:val="340"/>
                </w:trPr>
                <w:tc>
                  <w:tcPr>
                    <w:tcW w:w="1848" w:type="pct"/>
                    <w:vAlign w:val="center"/>
                  </w:tcPr>
                  <w:p w14:paraId="64448B8D" w14:textId="77777777" w:rsidR="00471D53" w:rsidRDefault="004F686E" w:rsidP="00471D53">
                    <w:pPr>
                      <w:ind w:leftChars="100" w:left="210"/>
                      <w:jc w:val="both"/>
                      <w:rPr>
                        <w:sz w:val="22"/>
                        <w:szCs w:val="22"/>
                      </w:rPr>
                    </w:pPr>
                    <w:r>
                      <w:rPr>
                        <w:rFonts w:hint="eastAsia"/>
                        <w:sz w:val="22"/>
                        <w:szCs w:val="22"/>
                      </w:rPr>
                      <w:t>中期（</w:t>
                    </w:r>
                    <w:r>
                      <w:rPr>
                        <w:sz w:val="22"/>
                        <w:szCs w:val="22"/>
                      </w:rPr>
                      <w:t>10-50</w:t>
                    </w:r>
                    <w:r>
                      <w:rPr>
                        <w:rFonts w:hint="eastAsia"/>
                        <w:sz w:val="22"/>
                        <w:szCs w:val="22"/>
                      </w:rPr>
                      <w:t>年）</w:t>
                    </w:r>
                  </w:p>
                </w:tc>
                <w:tc>
                  <w:tcPr>
                    <w:tcW w:w="1576" w:type="pct"/>
                    <w:vAlign w:val="center"/>
                  </w:tcPr>
                  <w:p w14:paraId="34AA9650" w14:textId="77777777" w:rsidR="00471D53" w:rsidRDefault="004F686E" w:rsidP="00471D53">
                    <w:pPr>
                      <w:jc w:val="right"/>
                      <w:rPr>
                        <w:bCs/>
                        <w:sz w:val="22"/>
                        <w:szCs w:val="22"/>
                      </w:rPr>
                    </w:pPr>
                    <w:r>
                      <w:rPr>
                        <w:rFonts w:cs="Calibri" w:hint="eastAsia"/>
                        <w:sz w:val="22"/>
                        <w:szCs w:val="22"/>
                      </w:rPr>
                      <w:t>376,098,221.75</w:t>
                    </w:r>
                  </w:p>
                </w:tc>
                <w:tc>
                  <w:tcPr>
                    <w:tcW w:w="1576" w:type="pct"/>
                    <w:vAlign w:val="center"/>
                  </w:tcPr>
                  <w:p w14:paraId="0F5538BB" w14:textId="77777777" w:rsidR="00471D53" w:rsidRDefault="004F686E" w:rsidP="00471D53">
                    <w:pPr>
                      <w:jc w:val="right"/>
                      <w:rPr>
                        <w:bCs/>
                        <w:sz w:val="22"/>
                        <w:szCs w:val="22"/>
                      </w:rPr>
                    </w:pPr>
                    <w:r>
                      <w:rPr>
                        <w:rFonts w:cs="Calibri" w:hint="eastAsia"/>
                        <w:sz w:val="22"/>
                        <w:szCs w:val="22"/>
                      </w:rPr>
                      <w:t>378,700,289.82</w:t>
                    </w:r>
                  </w:p>
                </w:tc>
              </w:tr>
              <w:tr w:rsidR="00471D53" w14:paraId="3F84EE0A" w14:textId="77777777" w:rsidTr="00471D53">
                <w:trPr>
                  <w:trHeight w:val="340"/>
                </w:trPr>
                <w:tc>
                  <w:tcPr>
                    <w:tcW w:w="1848" w:type="pct"/>
                    <w:vAlign w:val="center"/>
                  </w:tcPr>
                  <w:p w14:paraId="43703A5B" w14:textId="77777777" w:rsidR="00471D53" w:rsidRDefault="004F686E" w:rsidP="00471D53">
                    <w:pPr>
                      <w:ind w:leftChars="100" w:left="210"/>
                      <w:jc w:val="both"/>
                      <w:rPr>
                        <w:sz w:val="22"/>
                        <w:szCs w:val="22"/>
                      </w:rPr>
                    </w:pPr>
                    <w:r>
                      <w:rPr>
                        <w:rFonts w:hint="eastAsia"/>
                        <w:sz w:val="22"/>
                        <w:szCs w:val="22"/>
                      </w:rPr>
                      <w:t>短期（</w:t>
                    </w:r>
                    <w:r>
                      <w:rPr>
                        <w:sz w:val="22"/>
                        <w:szCs w:val="22"/>
                      </w:rPr>
                      <w:t>10</w:t>
                    </w:r>
                    <w:r>
                      <w:rPr>
                        <w:rFonts w:hint="eastAsia"/>
                        <w:sz w:val="22"/>
                        <w:szCs w:val="22"/>
                      </w:rPr>
                      <w:t>年以内）</w:t>
                    </w:r>
                  </w:p>
                </w:tc>
                <w:tc>
                  <w:tcPr>
                    <w:tcW w:w="1576" w:type="pct"/>
                    <w:vAlign w:val="center"/>
                  </w:tcPr>
                  <w:p w14:paraId="437B8FDF" w14:textId="77777777" w:rsidR="00471D53" w:rsidRDefault="004F686E" w:rsidP="00471D53">
                    <w:pPr>
                      <w:jc w:val="right"/>
                      <w:rPr>
                        <w:sz w:val="22"/>
                        <w:szCs w:val="22"/>
                      </w:rPr>
                    </w:pPr>
                    <w:r>
                      <w:rPr>
                        <w:rFonts w:hint="eastAsia"/>
                        <w:sz w:val="22"/>
                        <w:szCs w:val="22"/>
                      </w:rPr>
                      <w:t>0.00</w:t>
                    </w:r>
                  </w:p>
                </w:tc>
                <w:tc>
                  <w:tcPr>
                    <w:tcW w:w="1576" w:type="pct"/>
                    <w:vAlign w:val="center"/>
                  </w:tcPr>
                  <w:p w14:paraId="764B3D8B" w14:textId="77777777" w:rsidR="00471D53" w:rsidRDefault="004F686E" w:rsidP="00471D53">
                    <w:pPr>
                      <w:jc w:val="right"/>
                      <w:rPr>
                        <w:sz w:val="22"/>
                        <w:szCs w:val="22"/>
                      </w:rPr>
                    </w:pPr>
                    <w:r>
                      <w:rPr>
                        <w:rFonts w:hint="eastAsia"/>
                        <w:sz w:val="22"/>
                        <w:szCs w:val="22"/>
                      </w:rPr>
                      <w:t>0.00</w:t>
                    </w:r>
                  </w:p>
                </w:tc>
              </w:tr>
              <w:tr w:rsidR="00471D53" w14:paraId="73233F1E" w14:textId="77777777" w:rsidTr="00471D53">
                <w:trPr>
                  <w:trHeight w:val="340"/>
                </w:trPr>
                <w:tc>
                  <w:tcPr>
                    <w:tcW w:w="1848" w:type="pct"/>
                    <w:vAlign w:val="center"/>
                  </w:tcPr>
                  <w:p w14:paraId="69ACC8E0" w14:textId="77777777" w:rsidR="00471D53" w:rsidRDefault="004F686E" w:rsidP="00471D53">
                    <w:pPr>
                      <w:jc w:val="both"/>
                      <w:rPr>
                        <w:sz w:val="22"/>
                        <w:szCs w:val="22"/>
                      </w:rPr>
                    </w:pPr>
                    <w:r>
                      <w:rPr>
                        <w:rFonts w:hint="eastAsia"/>
                        <w:sz w:val="22"/>
                        <w:szCs w:val="22"/>
                      </w:rPr>
                      <w:t>位于中国境外</w:t>
                    </w:r>
                  </w:p>
                </w:tc>
                <w:tc>
                  <w:tcPr>
                    <w:tcW w:w="1576" w:type="pct"/>
                    <w:vAlign w:val="center"/>
                  </w:tcPr>
                  <w:p w14:paraId="24A33203" w14:textId="77777777" w:rsidR="00471D53" w:rsidRDefault="004F686E" w:rsidP="00471D53">
                    <w:pPr>
                      <w:jc w:val="right"/>
                      <w:rPr>
                        <w:sz w:val="22"/>
                        <w:szCs w:val="22"/>
                      </w:rPr>
                    </w:pPr>
                    <w:r>
                      <w:rPr>
                        <w:rFonts w:hint="eastAsia"/>
                        <w:sz w:val="22"/>
                        <w:szCs w:val="22"/>
                      </w:rPr>
                      <w:t>0.00</w:t>
                    </w:r>
                  </w:p>
                </w:tc>
                <w:tc>
                  <w:tcPr>
                    <w:tcW w:w="1576" w:type="pct"/>
                    <w:vAlign w:val="center"/>
                  </w:tcPr>
                  <w:p w14:paraId="23C26180" w14:textId="77777777" w:rsidR="00471D53" w:rsidRDefault="004F686E" w:rsidP="00471D53">
                    <w:pPr>
                      <w:jc w:val="right"/>
                      <w:rPr>
                        <w:sz w:val="22"/>
                        <w:szCs w:val="22"/>
                      </w:rPr>
                    </w:pPr>
                    <w:r>
                      <w:rPr>
                        <w:rFonts w:hint="eastAsia"/>
                        <w:sz w:val="22"/>
                        <w:szCs w:val="22"/>
                      </w:rPr>
                      <w:t>0.00</w:t>
                    </w:r>
                  </w:p>
                </w:tc>
              </w:tr>
              <w:tr w:rsidR="00471D53" w14:paraId="17868224" w14:textId="77777777" w:rsidTr="00471D53">
                <w:trPr>
                  <w:trHeight w:val="340"/>
                </w:trPr>
                <w:tc>
                  <w:tcPr>
                    <w:tcW w:w="1848" w:type="pct"/>
                    <w:vAlign w:val="center"/>
                  </w:tcPr>
                  <w:p w14:paraId="2A395703" w14:textId="77777777" w:rsidR="00471D53" w:rsidRDefault="004F686E" w:rsidP="00471D53">
                    <w:pPr>
                      <w:ind w:leftChars="100" w:left="210"/>
                      <w:jc w:val="both"/>
                      <w:rPr>
                        <w:sz w:val="22"/>
                        <w:szCs w:val="22"/>
                      </w:rPr>
                    </w:pPr>
                    <w:r>
                      <w:rPr>
                        <w:rFonts w:hint="eastAsia"/>
                        <w:sz w:val="22"/>
                        <w:szCs w:val="22"/>
                      </w:rPr>
                      <w:t>长期（</w:t>
                    </w:r>
                    <w:r>
                      <w:rPr>
                        <w:sz w:val="22"/>
                        <w:szCs w:val="22"/>
                      </w:rPr>
                      <w:t>50</w:t>
                    </w:r>
                    <w:r>
                      <w:rPr>
                        <w:rFonts w:hint="eastAsia"/>
                        <w:sz w:val="22"/>
                        <w:szCs w:val="22"/>
                      </w:rPr>
                      <w:t>年以上）</w:t>
                    </w:r>
                  </w:p>
                </w:tc>
                <w:tc>
                  <w:tcPr>
                    <w:tcW w:w="1576" w:type="pct"/>
                    <w:vAlign w:val="center"/>
                  </w:tcPr>
                  <w:p w14:paraId="74CBE454" w14:textId="77777777" w:rsidR="00471D53" w:rsidRDefault="004F686E" w:rsidP="00471D53">
                    <w:pPr>
                      <w:jc w:val="right"/>
                      <w:rPr>
                        <w:sz w:val="22"/>
                        <w:szCs w:val="22"/>
                      </w:rPr>
                    </w:pPr>
                    <w:r>
                      <w:rPr>
                        <w:rFonts w:hint="eastAsia"/>
                        <w:sz w:val="22"/>
                        <w:szCs w:val="22"/>
                      </w:rPr>
                      <w:t>0.00</w:t>
                    </w:r>
                  </w:p>
                </w:tc>
                <w:tc>
                  <w:tcPr>
                    <w:tcW w:w="1576" w:type="pct"/>
                    <w:vAlign w:val="center"/>
                  </w:tcPr>
                  <w:p w14:paraId="4D036D57" w14:textId="77777777" w:rsidR="00471D53" w:rsidRDefault="004F686E" w:rsidP="00471D53">
                    <w:pPr>
                      <w:jc w:val="right"/>
                      <w:rPr>
                        <w:sz w:val="22"/>
                        <w:szCs w:val="22"/>
                      </w:rPr>
                    </w:pPr>
                    <w:r>
                      <w:rPr>
                        <w:rFonts w:hint="eastAsia"/>
                        <w:sz w:val="22"/>
                        <w:szCs w:val="22"/>
                      </w:rPr>
                      <w:t>0.00</w:t>
                    </w:r>
                  </w:p>
                </w:tc>
              </w:tr>
              <w:tr w:rsidR="00471D53" w14:paraId="6031B5CF" w14:textId="77777777" w:rsidTr="00471D53">
                <w:trPr>
                  <w:trHeight w:val="340"/>
                </w:trPr>
                <w:tc>
                  <w:tcPr>
                    <w:tcW w:w="1848" w:type="pct"/>
                    <w:vAlign w:val="center"/>
                  </w:tcPr>
                  <w:p w14:paraId="1E3B6942" w14:textId="77777777" w:rsidR="00471D53" w:rsidRDefault="004F686E" w:rsidP="00471D53">
                    <w:pPr>
                      <w:ind w:leftChars="100" w:left="210"/>
                      <w:jc w:val="both"/>
                      <w:rPr>
                        <w:sz w:val="22"/>
                        <w:szCs w:val="22"/>
                      </w:rPr>
                    </w:pPr>
                    <w:r>
                      <w:rPr>
                        <w:rFonts w:hint="eastAsia"/>
                        <w:sz w:val="22"/>
                        <w:szCs w:val="22"/>
                      </w:rPr>
                      <w:t>中期（</w:t>
                    </w:r>
                    <w:r>
                      <w:rPr>
                        <w:sz w:val="22"/>
                        <w:szCs w:val="22"/>
                      </w:rPr>
                      <w:t>10-50</w:t>
                    </w:r>
                    <w:r>
                      <w:rPr>
                        <w:rFonts w:hint="eastAsia"/>
                        <w:sz w:val="22"/>
                        <w:szCs w:val="22"/>
                      </w:rPr>
                      <w:t>年）</w:t>
                    </w:r>
                  </w:p>
                </w:tc>
                <w:tc>
                  <w:tcPr>
                    <w:tcW w:w="1576" w:type="pct"/>
                    <w:vAlign w:val="center"/>
                  </w:tcPr>
                  <w:p w14:paraId="6841DC12" w14:textId="77777777" w:rsidR="00471D53" w:rsidRDefault="004F686E" w:rsidP="00471D53">
                    <w:pPr>
                      <w:jc w:val="right"/>
                      <w:rPr>
                        <w:sz w:val="22"/>
                        <w:szCs w:val="22"/>
                      </w:rPr>
                    </w:pPr>
                    <w:r>
                      <w:rPr>
                        <w:rFonts w:hint="eastAsia"/>
                        <w:sz w:val="22"/>
                        <w:szCs w:val="22"/>
                      </w:rPr>
                      <w:t>0.00</w:t>
                    </w:r>
                  </w:p>
                </w:tc>
                <w:tc>
                  <w:tcPr>
                    <w:tcW w:w="1576" w:type="pct"/>
                    <w:vAlign w:val="center"/>
                  </w:tcPr>
                  <w:p w14:paraId="41A4893D" w14:textId="77777777" w:rsidR="00471D53" w:rsidRDefault="004F686E" w:rsidP="00471D53">
                    <w:pPr>
                      <w:jc w:val="right"/>
                      <w:rPr>
                        <w:sz w:val="22"/>
                        <w:szCs w:val="22"/>
                      </w:rPr>
                    </w:pPr>
                    <w:r>
                      <w:rPr>
                        <w:rFonts w:hint="eastAsia"/>
                        <w:sz w:val="22"/>
                        <w:szCs w:val="22"/>
                      </w:rPr>
                      <w:t>0.00</w:t>
                    </w:r>
                  </w:p>
                </w:tc>
              </w:tr>
              <w:tr w:rsidR="00471D53" w14:paraId="7FD8509F" w14:textId="77777777" w:rsidTr="00471D53">
                <w:trPr>
                  <w:trHeight w:val="340"/>
                </w:trPr>
                <w:tc>
                  <w:tcPr>
                    <w:tcW w:w="1848" w:type="pct"/>
                    <w:vAlign w:val="center"/>
                  </w:tcPr>
                  <w:p w14:paraId="6E18BF6E" w14:textId="77777777" w:rsidR="00471D53" w:rsidRDefault="004F686E" w:rsidP="00471D53">
                    <w:pPr>
                      <w:ind w:leftChars="100" w:left="210"/>
                      <w:jc w:val="both"/>
                      <w:rPr>
                        <w:sz w:val="22"/>
                        <w:szCs w:val="22"/>
                      </w:rPr>
                    </w:pPr>
                    <w:r>
                      <w:rPr>
                        <w:rFonts w:hint="eastAsia"/>
                        <w:sz w:val="22"/>
                        <w:szCs w:val="22"/>
                      </w:rPr>
                      <w:t>短期（</w:t>
                    </w:r>
                    <w:r>
                      <w:rPr>
                        <w:sz w:val="22"/>
                        <w:szCs w:val="22"/>
                      </w:rPr>
                      <w:t>10</w:t>
                    </w:r>
                    <w:r>
                      <w:rPr>
                        <w:rFonts w:hint="eastAsia"/>
                        <w:sz w:val="22"/>
                        <w:szCs w:val="22"/>
                      </w:rPr>
                      <w:t>年以内）</w:t>
                    </w:r>
                  </w:p>
                </w:tc>
                <w:tc>
                  <w:tcPr>
                    <w:tcW w:w="1576" w:type="pct"/>
                    <w:vAlign w:val="center"/>
                  </w:tcPr>
                  <w:p w14:paraId="4674DB1E" w14:textId="77777777" w:rsidR="00471D53" w:rsidRDefault="004F686E" w:rsidP="00471D53">
                    <w:pPr>
                      <w:jc w:val="right"/>
                      <w:rPr>
                        <w:sz w:val="22"/>
                        <w:szCs w:val="22"/>
                      </w:rPr>
                    </w:pPr>
                    <w:r>
                      <w:rPr>
                        <w:rFonts w:hint="eastAsia"/>
                        <w:sz w:val="22"/>
                        <w:szCs w:val="22"/>
                      </w:rPr>
                      <w:t>0.00</w:t>
                    </w:r>
                  </w:p>
                </w:tc>
                <w:tc>
                  <w:tcPr>
                    <w:tcW w:w="1576" w:type="pct"/>
                    <w:vAlign w:val="center"/>
                  </w:tcPr>
                  <w:p w14:paraId="0C06E6FE" w14:textId="77777777" w:rsidR="00471D53" w:rsidRDefault="004F686E" w:rsidP="00471D53">
                    <w:pPr>
                      <w:jc w:val="right"/>
                      <w:rPr>
                        <w:sz w:val="22"/>
                        <w:szCs w:val="22"/>
                      </w:rPr>
                    </w:pPr>
                    <w:r>
                      <w:rPr>
                        <w:rFonts w:hint="eastAsia"/>
                        <w:sz w:val="22"/>
                        <w:szCs w:val="22"/>
                      </w:rPr>
                      <w:t>0.00</w:t>
                    </w:r>
                  </w:p>
                </w:tc>
              </w:tr>
              <w:tr w:rsidR="00471D53" w14:paraId="2BAD17CE" w14:textId="77777777" w:rsidTr="00471D53">
                <w:trPr>
                  <w:trHeight w:val="340"/>
                </w:trPr>
                <w:tc>
                  <w:tcPr>
                    <w:tcW w:w="1848" w:type="pct"/>
                    <w:vAlign w:val="center"/>
                  </w:tcPr>
                  <w:p w14:paraId="2899E65D" w14:textId="77777777" w:rsidR="00471D53" w:rsidRDefault="004F686E" w:rsidP="00471D53">
                    <w:pPr>
                      <w:jc w:val="both"/>
                      <w:rPr>
                        <w:b/>
                        <w:sz w:val="22"/>
                        <w:szCs w:val="22"/>
                      </w:rPr>
                    </w:pPr>
                    <w:r>
                      <w:rPr>
                        <w:rFonts w:hint="eastAsia"/>
                        <w:b/>
                        <w:sz w:val="22"/>
                        <w:szCs w:val="22"/>
                      </w:rPr>
                      <w:t>合计</w:t>
                    </w:r>
                  </w:p>
                </w:tc>
                <w:tc>
                  <w:tcPr>
                    <w:tcW w:w="1576" w:type="pct"/>
                    <w:vAlign w:val="center"/>
                  </w:tcPr>
                  <w:p w14:paraId="33274857" w14:textId="77777777" w:rsidR="00471D53" w:rsidRDefault="004F686E" w:rsidP="00471D53">
                    <w:pPr>
                      <w:jc w:val="right"/>
                      <w:rPr>
                        <w:b/>
                        <w:bCs/>
                        <w:sz w:val="22"/>
                        <w:szCs w:val="22"/>
                      </w:rPr>
                    </w:pPr>
                    <w:r>
                      <w:rPr>
                        <w:rFonts w:hint="eastAsia"/>
                        <w:b/>
                        <w:bCs/>
                        <w:sz w:val="22"/>
                        <w:szCs w:val="22"/>
                      </w:rPr>
                      <w:t>376,098,221.75</w:t>
                    </w:r>
                  </w:p>
                </w:tc>
                <w:tc>
                  <w:tcPr>
                    <w:tcW w:w="1576" w:type="pct"/>
                    <w:vAlign w:val="center"/>
                  </w:tcPr>
                  <w:p w14:paraId="050F012F" w14:textId="77777777" w:rsidR="00471D53" w:rsidRDefault="004F686E" w:rsidP="00471D53">
                    <w:pPr>
                      <w:jc w:val="right"/>
                      <w:rPr>
                        <w:b/>
                        <w:bCs/>
                        <w:sz w:val="22"/>
                        <w:szCs w:val="22"/>
                      </w:rPr>
                    </w:pPr>
                    <w:r>
                      <w:rPr>
                        <w:rFonts w:cs="Calibri" w:hint="eastAsia"/>
                        <w:b/>
                        <w:bCs/>
                        <w:sz w:val="22"/>
                        <w:szCs w:val="22"/>
                      </w:rPr>
                      <w:t>378,700,289.82</w:t>
                    </w:r>
                  </w:p>
                </w:tc>
              </w:tr>
            </w:tbl>
            <w:p w14:paraId="2A77085D" w14:textId="77777777" w:rsidR="00471D53" w:rsidRDefault="00B664AF">
              <w:pPr>
                <w:rPr>
                  <w:szCs w:val="21"/>
                </w:rPr>
              </w:pPr>
            </w:p>
          </w:sdtContent>
        </w:sdt>
      </w:sdtContent>
    </w:sdt>
    <w:p w14:paraId="3850C14B" w14:textId="77777777" w:rsidR="00471D53" w:rsidRDefault="00B664AF">
      <w:pPr>
        <w:rPr>
          <w:color w:val="FF0000"/>
          <w:szCs w:val="21"/>
        </w:rPr>
      </w:pPr>
    </w:p>
    <w:sdt>
      <w:sdtPr>
        <w:rPr>
          <w:rFonts w:ascii="宋体" w:hAnsi="宋体" w:cs="宋体" w:hint="eastAsia"/>
          <w:b w:val="0"/>
          <w:bCs w:val="0"/>
          <w:kern w:val="0"/>
          <w:szCs w:val="24"/>
        </w:rPr>
        <w:alias w:val="模块:固定资产清理"/>
        <w:tag w:val="_GBC_0de4677cdcb54eaa8c2b2afa938f1054"/>
        <w:id w:val="-354967472"/>
        <w:lock w:val="sdtLocked"/>
        <w:placeholder>
          <w:docPart w:val="GBC22222222222222222222222222222"/>
        </w:placeholder>
      </w:sdtPr>
      <w:sdtEndPr>
        <w:rPr>
          <w:szCs w:val="21"/>
        </w:rPr>
      </w:sdtEndPr>
      <w:sdtContent>
        <w:p w14:paraId="0D142CD2" w14:textId="77777777" w:rsidR="00471D53" w:rsidRDefault="004F686E">
          <w:pPr>
            <w:pStyle w:val="afffff8"/>
            <w:rPr>
              <w:rFonts w:ascii="宋体" w:hAnsi="宋体"/>
            </w:rPr>
          </w:pPr>
          <w:r>
            <w:rPr>
              <w:rFonts w:ascii="宋体" w:hAnsi="宋体" w:hint="eastAsia"/>
            </w:rPr>
            <w:t>固定资产清理</w:t>
          </w:r>
        </w:p>
        <w:sdt>
          <w:sdtPr>
            <w:alias w:val="是否适用：固定资产清理[双击切换]"/>
            <w:tag w:val="_GBC_d005d220fbda4cd2a58ced6d0d7a1404"/>
            <w:id w:val="423461038"/>
            <w:lock w:val="sdtLocked"/>
            <w:placeholder>
              <w:docPart w:val="GBC22222222222222222222222222222"/>
            </w:placeholder>
          </w:sdtPr>
          <w:sdtEndPr/>
          <w:sdtContent>
            <w:p w14:paraId="5A082E35"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99613DF" w14:textId="77777777" w:rsidR="00471D53" w:rsidRDefault="00B664AF">
          <w:pPr>
            <w:rPr>
              <w:szCs w:val="21"/>
            </w:rPr>
          </w:pPr>
        </w:p>
      </w:sdtContent>
    </w:sdt>
    <w:p w14:paraId="48BAB7AB" w14:textId="77777777" w:rsidR="00471D53" w:rsidRDefault="00B664AF">
      <w:pPr>
        <w:rPr>
          <w:szCs w:val="21"/>
        </w:rPr>
      </w:pPr>
    </w:p>
    <w:p w14:paraId="3E2503DF"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在建工程</w:t>
      </w:r>
    </w:p>
    <w:bookmarkStart w:id="172" w:name="_Hlk10472757" w:displacedByCustomXml="next"/>
    <w:sdt>
      <w:sdtPr>
        <w:rPr>
          <w:rFonts w:ascii="宋体" w:hAnsi="宋体" w:cs="宋体" w:hint="eastAsia"/>
          <w:b w:val="0"/>
          <w:bCs w:val="0"/>
          <w:kern w:val="0"/>
          <w:szCs w:val="24"/>
        </w:rPr>
        <w:alias w:val="模块:在建工程项目列示"/>
        <w:tag w:val="_SEC_5259769a5b954eaaa39f8ab4268be07c"/>
        <w:id w:val="-194317119"/>
        <w:lock w:val="sdtLocked"/>
        <w:placeholder>
          <w:docPart w:val="GBC22222222222222222222222222222"/>
        </w:placeholder>
      </w:sdtPr>
      <w:sdtEndPr>
        <w:rPr>
          <w:rFonts w:hint="default"/>
          <w:szCs w:val="21"/>
        </w:rPr>
      </w:sdtEndPr>
      <w:sdtContent>
        <w:p w14:paraId="2D12594E" w14:textId="77777777" w:rsidR="00471D53" w:rsidRDefault="004F686E">
          <w:pPr>
            <w:pStyle w:val="afffff8"/>
            <w:rPr>
              <w:rFonts w:ascii="宋体" w:hAnsi="宋体"/>
            </w:rPr>
          </w:pPr>
          <w:r>
            <w:rPr>
              <w:rFonts w:ascii="宋体" w:hAnsi="宋体" w:hint="eastAsia"/>
            </w:rPr>
            <w:t>项目列示</w:t>
          </w:r>
        </w:p>
        <w:sdt>
          <w:sdtPr>
            <w:alias w:val="是否适用：在建工程分类列示[双击切换]"/>
            <w:tag w:val="_GBC_bcbd4315343844fc923825dd150041e5"/>
            <w:id w:val="1938104497"/>
            <w:lock w:val="sdtLocked"/>
            <w:placeholder>
              <w:docPart w:val="GBC22222222222222222222222222222"/>
            </w:placeholder>
          </w:sdtPr>
          <w:sdtEndPr/>
          <w:sdtContent>
            <w:p w14:paraId="33F8D044"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6296747" w14:textId="3E0FF228" w:rsidR="00471D53" w:rsidRDefault="004F686E">
          <w:pPr>
            <w:jc w:val="right"/>
            <w:rPr>
              <w:szCs w:val="21"/>
            </w:rPr>
          </w:pPr>
          <w:r>
            <w:rPr>
              <w:rFonts w:hint="eastAsia"/>
              <w:szCs w:val="21"/>
            </w:rPr>
            <w:t>单位：</w:t>
          </w:r>
          <w:sdt>
            <w:sdtPr>
              <w:rPr>
                <w:rFonts w:hint="eastAsia"/>
                <w:szCs w:val="21"/>
              </w:rPr>
              <w:alias w:val="单位：在建工程分类列示"/>
              <w:tag w:val="_GBC_9df8e16a6fb54a76b384d11e7a6dd52d"/>
              <w:id w:val="181390789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在建工程分类列示"/>
              <w:tag w:val="_GBC_17b0bdb7b5f24e599fcea2e90510306a"/>
              <w:id w:val="14788726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13"/>
            <w:gridCol w:w="2862"/>
            <w:gridCol w:w="2848"/>
          </w:tblGrid>
          <w:tr w:rsidR="00471D53" w14:paraId="5855A2B0" w14:textId="77777777" w:rsidTr="00510B81">
            <w:trPr>
              <w:cantSplit/>
            </w:trPr>
            <w:sdt>
              <w:sdtPr>
                <w:tag w:val="_PLD_3a34a6496ee4454093b17b19ba9b805d"/>
                <w:id w:val="-1755587651"/>
                <w:lock w:val="sdtLocked"/>
              </w:sdtPr>
              <w:sdtEndPr/>
              <w:sdtContent>
                <w:tc>
                  <w:tcPr>
                    <w:tcW w:w="1764" w:type="pct"/>
                    <w:vAlign w:val="center"/>
                  </w:tcPr>
                  <w:p w14:paraId="4417FBC5" w14:textId="77777777" w:rsidR="00471D53" w:rsidRDefault="004F686E">
                    <w:pPr>
                      <w:jc w:val="center"/>
                      <w:rPr>
                        <w:szCs w:val="21"/>
                      </w:rPr>
                    </w:pPr>
                    <w:r>
                      <w:rPr>
                        <w:rFonts w:hint="eastAsia"/>
                        <w:szCs w:val="21"/>
                      </w:rPr>
                      <w:t>项目</w:t>
                    </w:r>
                  </w:p>
                </w:tc>
              </w:sdtContent>
            </w:sdt>
            <w:sdt>
              <w:sdtPr>
                <w:tag w:val="_PLD_88973d2835334cdbb31181ad26b55912"/>
                <w:id w:val="1238908300"/>
                <w:lock w:val="sdtLocked"/>
              </w:sdtPr>
              <w:sdtEndPr/>
              <w:sdtContent>
                <w:tc>
                  <w:tcPr>
                    <w:tcW w:w="1622" w:type="pct"/>
                    <w:vAlign w:val="center"/>
                  </w:tcPr>
                  <w:p w14:paraId="08D87151" w14:textId="77777777" w:rsidR="00471D53" w:rsidRDefault="004F686E">
                    <w:pPr>
                      <w:jc w:val="center"/>
                      <w:rPr>
                        <w:szCs w:val="21"/>
                      </w:rPr>
                    </w:pPr>
                    <w:r>
                      <w:rPr>
                        <w:rFonts w:hint="eastAsia"/>
                        <w:szCs w:val="21"/>
                      </w:rPr>
                      <w:t>期末余额</w:t>
                    </w:r>
                  </w:p>
                </w:tc>
              </w:sdtContent>
            </w:sdt>
            <w:sdt>
              <w:sdtPr>
                <w:tag w:val="_PLD_55f5bd8851c54b7897a165bee2df0273"/>
                <w:id w:val="1909417095"/>
                <w:lock w:val="sdtLocked"/>
              </w:sdtPr>
              <w:sdtEndPr/>
              <w:sdtContent>
                <w:tc>
                  <w:tcPr>
                    <w:tcW w:w="1614" w:type="pct"/>
                    <w:vAlign w:val="center"/>
                  </w:tcPr>
                  <w:p w14:paraId="15FB6B30" w14:textId="77777777" w:rsidR="00471D53" w:rsidRDefault="004F686E">
                    <w:pPr>
                      <w:jc w:val="center"/>
                      <w:rPr>
                        <w:szCs w:val="21"/>
                      </w:rPr>
                    </w:pPr>
                    <w:r>
                      <w:rPr>
                        <w:rFonts w:hint="eastAsia"/>
                        <w:szCs w:val="21"/>
                      </w:rPr>
                      <w:t>期初余额</w:t>
                    </w:r>
                  </w:p>
                </w:tc>
              </w:sdtContent>
            </w:sdt>
          </w:tr>
          <w:tr w:rsidR="00471D53" w14:paraId="2B929BD0" w14:textId="77777777" w:rsidTr="00471D53">
            <w:trPr>
              <w:cantSplit/>
            </w:trPr>
            <w:sdt>
              <w:sdtPr>
                <w:tag w:val="_PLD_65bb35f19246484caedfd539dfade78d"/>
                <w:id w:val="-341091923"/>
                <w:lock w:val="sdtLocked"/>
              </w:sdtPr>
              <w:sdtEndPr/>
              <w:sdtContent>
                <w:tc>
                  <w:tcPr>
                    <w:tcW w:w="1764" w:type="pct"/>
                  </w:tcPr>
                  <w:p w14:paraId="684F2C33" w14:textId="77777777" w:rsidR="00471D53" w:rsidRDefault="004F686E">
                    <w:pPr>
                      <w:tabs>
                        <w:tab w:val="right" w:pos="3690"/>
                        <w:tab w:val="right" w:pos="5130"/>
                        <w:tab w:val="right" w:pos="6030"/>
                        <w:tab w:val="right" w:pos="7650"/>
                        <w:tab w:val="right" w:pos="9270"/>
                      </w:tabs>
                      <w:adjustRightInd w:val="0"/>
                      <w:snapToGrid w:val="0"/>
                      <w:rPr>
                        <w:szCs w:val="21"/>
                      </w:rPr>
                    </w:pPr>
                    <w:r>
                      <w:rPr>
                        <w:rFonts w:hint="eastAsia"/>
                        <w:szCs w:val="21"/>
                      </w:rPr>
                      <w:t>在建工程</w:t>
                    </w:r>
                  </w:p>
                </w:tc>
              </w:sdtContent>
            </w:sdt>
            <w:tc>
              <w:tcPr>
                <w:tcW w:w="1622" w:type="pct"/>
                <w:vAlign w:val="center"/>
              </w:tcPr>
              <w:p w14:paraId="7B5F3896" w14:textId="4C96F826" w:rsidR="00471D53" w:rsidRDefault="004F686E" w:rsidP="00471D53">
                <w:pPr>
                  <w:jc w:val="right"/>
                  <w:outlineLvl w:val="0"/>
                  <w:rPr>
                    <w:sz w:val="22"/>
                    <w:szCs w:val="22"/>
                  </w:rPr>
                </w:pPr>
                <w:r>
                  <w:rPr>
                    <w:rFonts w:hint="eastAsia"/>
                    <w:sz w:val="22"/>
                    <w:szCs w:val="22"/>
                  </w:rPr>
                  <w:t>62,622,542.84</w:t>
                </w:r>
              </w:p>
            </w:tc>
            <w:tc>
              <w:tcPr>
                <w:tcW w:w="1614" w:type="pct"/>
                <w:vAlign w:val="center"/>
              </w:tcPr>
              <w:p w14:paraId="0F0AC775" w14:textId="094B6B80" w:rsidR="00471D53" w:rsidRDefault="004F686E" w:rsidP="00471D53">
                <w:pPr>
                  <w:jc w:val="right"/>
                  <w:outlineLvl w:val="0"/>
                  <w:rPr>
                    <w:sz w:val="22"/>
                    <w:szCs w:val="22"/>
                  </w:rPr>
                </w:pPr>
                <w:r>
                  <w:rPr>
                    <w:rFonts w:hint="eastAsia"/>
                    <w:sz w:val="22"/>
                    <w:szCs w:val="22"/>
                  </w:rPr>
                  <w:t>54,395,871.51</w:t>
                </w:r>
              </w:p>
            </w:tc>
          </w:tr>
          <w:tr w:rsidR="00471D53" w14:paraId="47BDD1B2" w14:textId="77777777" w:rsidTr="00510B81">
            <w:trPr>
              <w:cantSplit/>
            </w:trPr>
            <w:sdt>
              <w:sdtPr>
                <w:tag w:val="_PLD_6651d8420b62461b941e53c23e48454e"/>
                <w:id w:val="-1915847152"/>
                <w:lock w:val="sdtLocked"/>
              </w:sdtPr>
              <w:sdtEndPr/>
              <w:sdtContent>
                <w:tc>
                  <w:tcPr>
                    <w:tcW w:w="1764" w:type="pct"/>
                  </w:tcPr>
                  <w:p w14:paraId="327038E7" w14:textId="77777777" w:rsidR="00471D53" w:rsidRDefault="004F686E">
                    <w:pPr>
                      <w:tabs>
                        <w:tab w:val="right" w:pos="3690"/>
                        <w:tab w:val="right" w:pos="5130"/>
                        <w:tab w:val="right" w:pos="6030"/>
                        <w:tab w:val="right" w:pos="7650"/>
                        <w:tab w:val="right" w:pos="9270"/>
                      </w:tabs>
                      <w:adjustRightInd w:val="0"/>
                      <w:snapToGrid w:val="0"/>
                      <w:rPr>
                        <w:szCs w:val="21"/>
                      </w:rPr>
                    </w:pPr>
                    <w:r>
                      <w:rPr>
                        <w:rFonts w:hint="eastAsia"/>
                        <w:szCs w:val="21"/>
                      </w:rPr>
                      <w:t>工程物资</w:t>
                    </w:r>
                  </w:p>
                </w:tc>
              </w:sdtContent>
            </w:sdt>
            <w:tc>
              <w:tcPr>
                <w:tcW w:w="1622" w:type="pct"/>
              </w:tcPr>
              <w:p w14:paraId="3ECD5F32" w14:textId="77777777" w:rsidR="00471D53" w:rsidRDefault="00B664AF">
                <w:pPr>
                  <w:ind w:right="5"/>
                  <w:jc w:val="right"/>
                  <w:rPr>
                    <w:szCs w:val="21"/>
                  </w:rPr>
                </w:pPr>
              </w:p>
            </w:tc>
            <w:tc>
              <w:tcPr>
                <w:tcW w:w="1614" w:type="pct"/>
              </w:tcPr>
              <w:p w14:paraId="67C9E75D" w14:textId="77777777" w:rsidR="00471D53" w:rsidRDefault="00B664AF">
                <w:pPr>
                  <w:ind w:right="5"/>
                  <w:jc w:val="right"/>
                  <w:rPr>
                    <w:szCs w:val="21"/>
                  </w:rPr>
                </w:pPr>
              </w:p>
            </w:tc>
          </w:tr>
          <w:tr w:rsidR="00471D53" w14:paraId="32AEE7F3" w14:textId="77777777" w:rsidTr="00471D53">
            <w:trPr>
              <w:cantSplit/>
            </w:trPr>
            <w:sdt>
              <w:sdtPr>
                <w:tag w:val="_PLD_e1778e13b3024450b5ac627563f1ed3a"/>
                <w:id w:val="-1933581612"/>
                <w:lock w:val="sdtLocked"/>
              </w:sdtPr>
              <w:sdtEndPr/>
              <w:sdtContent>
                <w:tc>
                  <w:tcPr>
                    <w:tcW w:w="1764" w:type="pct"/>
                    <w:vAlign w:val="center"/>
                  </w:tcPr>
                  <w:p w14:paraId="58227D9E" w14:textId="77777777" w:rsidR="00471D53" w:rsidRDefault="004F686E">
                    <w:pPr>
                      <w:autoSpaceDE w:val="0"/>
                      <w:autoSpaceDN w:val="0"/>
                      <w:adjustRightInd w:val="0"/>
                      <w:jc w:val="center"/>
                      <w:rPr>
                        <w:szCs w:val="21"/>
                      </w:rPr>
                    </w:pPr>
                    <w:r>
                      <w:rPr>
                        <w:rFonts w:hint="eastAsia"/>
                        <w:szCs w:val="21"/>
                      </w:rPr>
                      <w:t>合计</w:t>
                    </w:r>
                  </w:p>
                </w:tc>
              </w:sdtContent>
            </w:sdt>
            <w:tc>
              <w:tcPr>
                <w:tcW w:w="1622" w:type="pct"/>
                <w:vAlign w:val="center"/>
              </w:tcPr>
              <w:p w14:paraId="75A7907D" w14:textId="2D67CD57" w:rsidR="00471D53" w:rsidRPr="003062E7" w:rsidRDefault="004F686E" w:rsidP="00471D53">
                <w:pPr>
                  <w:jc w:val="right"/>
                  <w:outlineLvl w:val="0"/>
                  <w:rPr>
                    <w:bCs/>
                    <w:sz w:val="22"/>
                    <w:szCs w:val="22"/>
                  </w:rPr>
                </w:pPr>
                <w:r w:rsidRPr="003062E7">
                  <w:rPr>
                    <w:rFonts w:hint="eastAsia"/>
                    <w:bCs/>
                    <w:sz w:val="22"/>
                    <w:szCs w:val="22"/>
                  </w:rPr>
                  <w:t>62,622,542.84</w:t>
                </w:r>
              </w:p>
            </w:tc>
            <w:tc>
              <w:tcPr>
                <w:tcW w:w="1614" w:type="pct"/>
                <w:vAlign w:val="center"/>
              </w:tcPr>
              <w:p w14:paraId="385F14D4" w14:textId="023D5328" w:rsidR="00471D53" w:rsidRPr="003062E7" w:rsidRDefault="004F686E" w:rsidP="00471D53">
                <w:pPr>
                  <w:jc w:val="right"/>
                  <w:outlineLvl w:val="0"/>
                  <w:rPr>
                    <w:bCs/>
                    <w:sz w:val="22"/>
                    <w:szCs w:val="22"/>
                  </w:rPr>
                </w:pPr>
                <w:r w:rsidRPr="003062E7">
                  <w:rPr>
                    <w:rFonts w:hint="eastAsia"/>
                    <w:bCs/>
                    <w:sz w:val="22"/>
                    <w:szCs w:val="22"/>
                  </w:rPr>
                  <w:t>54,395,871.51</w:t>
                </w:r>
              </w:p>
            </w:tc>
          </w:tr>
        </w:tbl>
        <w:p w14:paraId="7B05346F" w14:textId="77777777" w:rsidR="00471D53" w:rsidRDefault="004F686E">
          <w:pPr>
            <w:rPr>
              <w:szCs w:val="21"/>
            </w:rPr>
          </w:pPr>
          <w:bookmarkStart w:id="173" w:name="_Hlk10472837"/>
          <w:bookmarkStart w:id="174" w:name="_Hlk10472848"/>
          <w:bookmarkEnd w:id="172"/>
          <w:r>
            <w:rPr>
              <w:rFonts w:hint="eastAsia"/>
              <w:szCs w:val="21"/>
            </w:rPr>
            <w:t>其他说明：</w:t>
          </w:r>
          <w:bookmarkEnd w:id="173"/>
        </w:p>
        <w:p w14:paraId="11B97A64" w14:textId="77777777" w:rsidR="00471D53" w:rsidRDefault="00B664AF">
          <w:pPr>
            <w:rPr>
              <w:szCs w:val="21"/>
            </w:rPr>
          </w:pPr>
          <w:sdt>
            <w:sdtPr>
              <w:rPr>
                <w:szCs w:val="21"/>
              </w:rPr>
              <w:alias w:val="在建工程分类列示其他说明"/>
              <w:tag w:val="_GBC_ebe1a06b82914095a2c469c32c78af71"/>
              <w:id w:val="976795239"/>
              <w:lock w:val="sdtLocked"/>
              <w:placeholder>
                <w:docPart w:val="GBC22222222222222222222222222222"/>
              </w:placeholder>
            </w:sdtPr>
            <w:sdtEndPr/>
            <w:sdtContent>
              <w:r w:rsidR="004F686E">
                <w:rPr>
                  <w:rFonts w:hint="eastAsia"/>
                  <w:szCs w:val="21"/>
                </w:rPr>
                <w:t>无</w:t>
              </w:r>
            </w:sdtContent>
          </w:sdt>
        </w:p>
      </w:sdtContent>
    </w:sdt>
    <w:bookmarkEnd w:id="174"/>
    <w:p w14:paraId="71980461" w14:textId="77777777" w:rsidR="00471D53" w:rsidRDefault="00B664AF"/>
    <w:p w14:paraId="6FECEF34" w14:textId="77777777" w:rsidR="00471D53" w:rsidRDefault="004F686E">
      <w:pPr>
        <w:pStyle w:val="afffff8"/>
        <w:rPr>
          <w:rFonts w:ascii="宋体" w:hAnsi="宋体"/>
        </w:rPr>
      </w:pPr>
      <w:r>
        <w:rPr>
          <w:rFonts w:ascii="宋体" w:hAnsi="宋体" w:hint="eastAsia"/>
        </w:rPr>
        <w:t>在建工程</w:t>
      </w:r>
    </w:p>
    <w:sdt>
      <w:sdtPr>
        <w:rPr>
          <w:rFonts w:ascii="宋体" w:hAnsi="宋体" w:cs="宋体" w:hint="eastAsia"/>
          <w:b w:val="0"/>
          <w:bCs w:val="0"/>
          <w:kern w:val="0"/>
          <w:szCs w:val="21"/>
        </w:rPr>
        <w:alias w:val="模块:在建工程情况"/>
        <w:tag w:val="_GBC_88cd7483eb15414d84d17f5cc1a4bf78"/>
        <w:id w:val="1582261433"/>
        <w:lock w:val="sdtLocked"/>
        <w:placeholder>
          <w:docPart w:val="GBC22222222222222222222222222222"/>
        </w:placeholder>
      </w:sdtPr>
      <w:sdtEndPr>
        <w:rPr>
          <w:szCs w:val="24"/>
        </w:rPr>
      </w:sdtEndPr>
      <w:sdtContent>
        <w:p w14:paraId="6FA1825E" w14:textId="77777777" w:rsidR="00471D53" w:rsidRDefault="004F686E" w:rsidP="004F686E">
          <w:pPr>
            <w:pStyle w:val="afffff8"/>
            <w:numPr>
              <w:ilvl w:val="0"/>
              <w:numId w:val="72"/>
            </w:numPr>
            <w:tabs>
              <w:tab w:val="left" w:pos="588"/>
            </w:tabs>
            <w:rPr>
              <w:rFonts w:ascii="宋体" w:hAnsi="宋体"/>
              <w:szCs w:val="21"/>
            </w:rPr>
          </w:pPr>
          <w:r>
            <w:rPr>
              <w:rFonts w:ascii="宋体" w:hAnsi="宋体" w:hint="eastAsia"/>
              <w:szCs w:val="21"/>
            </w:rPr>
            <w:t>在建工程情况</w:t>
          </w:r>
        </w:p>
        <w:sdt>
          <w:sdtPr>
            <w:alias w:val="是否适用：在建工程情况[双击切换]"/>
            <w:tag w:val="_GBC_d9828cc7ad534f26902e1979f9d67530"/>
            <w:id w:val="102924557"/>
            <w:lock w:val="sdtLocked"/>
            <w:placeholder>
              <w:docPart w:val="GBC22222222222222222222222222222"/>
            </w:placeholder>
          </w:sdtPr>
          <w:sdtEndPr/>
          <w:sdtContent>
            <w:p w14:paraId="22134051"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5FD7BDC" w14:textId="31FF7D9F" w:rsidR="00471D53" w:rsidRDefault="004F686E">
          <w:pPr>
            <w:jc w:val="right"/>
            <w:rPr>
              <w:szCs w:val="21"/>
            </w:rPr>
          </w:pPr>
          <w:r>
            <w:rPr>
              <w:rFonts w:hint="eastAsia"/>
              <w:szCs w:val="21"/>
            </w:rPr>
            <w:t>单位：</w:t>
          </w:r>
          <w:sdt>
            <w:sdtPr>
              <w:rPr>
                <w:rFonts w:hint="eastAsia"/>
                <w:szCs w:val="21"/>
              </w:rPr>
              <w:alias w:val="单位：财务附注：在建工程"/>
              <w:tag w:val="_GBC_d20598ce3f5b4d21a9055de674936a9a"/>
              <w:id w:val="77868024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在建工程"/>
              <w:tag w:val="_GBC_9e96d736daa247dd96af144329fff105"/>
              <w:id w:val="73327845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301" w:type="pct"/>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995"/>
            <w:gridCol w:w="1532"/>
            <w:gridCol w:w="601"/>
            <w:gridCol w:w="1500"/>
            <w:gridCol w:w="1492"/>
            <w:gridCol w:w="625"/>
            <w:gridCol w:w="1609"/>
          </w:tblGrid>
          <w:tr w:rsidR="00471D53" w14:paraId="44515CD8" w14:textId="77777777" w:rsidTr="00471D53">
            <w:trPr>
              <w:cantSplit/>
            </w:trPr>
            <w:sdt>
              <w:sdtPr>
                <w:tag w:val="_PLD_27b31695edfd49cb9cafa333777d18c3"/>
                <w:id w:val="-780803715"/>
                <w:lock w:val="sdtLocked"/>
              </w:sdtPr>
              <w:sdtEndPr/>
              <w:sdtContent>
                <w:tc>
                  <w:tcPr>
                    <w:tcW w:w="1071" w:type="pct"/>
                    <w:vMerge w:val="restart"/>
                    <w:vAlign w:val="center"/>
                  </w:tcPr>
                  <w:p w14:paraId="6AADD136" w14:textId="77777777" w:rsidR="00471D53" w:rsidRDefault="004F686E" w:rsidP="00471D53">
                    <w:pPr>
                      <w:jc w:val="center"/>
                      <w:rPr>
                        <w:szCs w:val="21"/>
                      </w:rPr>
                    </w:pPr>
                    <w:r>
                      <w:rPr>
                        <w:rFonts w:hint="eastAsia"/>
                        <w:szCs w:val="21"/>
                      </w:rPr>
                      <w:t>项目</w:t>
                    </w:r>
                  </w:p>
                </w:tc>
              </w:sdtContent>
            </w:sdt>
            <w:sdt>
              <w:sdtPr>
                <w:tag w:val="_PLD_a5273bde7b2f4c6c8fbe3ea2d7a7eb84"/>
                <w:id w:val="-338620220"/>
                <w:lock w:val="sdtLocked"/>
              </w:sdtPr>
              <w:sdtEndPr/>
              <w:sdtContent>
                <w:tc>
                  <w:tcPr>
                    <w:tcW w:w="1934" w:type="pct"/>
                    <w:gridSpan w:val="3"/>
                    <w:vAlign w:val="center"/>
                  </w:tcPr>
                  <w:p w14:paraId="43533140" w14:textId="77777777" w:rsidR="00471D53" w:rsidRDefault="004F686E" w:rsidP="00471D53">
                    <w:pPr>
                      <w:jc w:val="center"/>
                      <w:rPr>
                        <w:szCs w:val="21"/>
                      </w:rPr>
                    </w:pPr>
                    <w:r>
                      <w:rPr>
                        <w:rFonts w:hint="eastAsia"/>
                        <w:szCs w:val="21"/>
                      </w:rPr>
                      <w:t>期末余额</w:t>
                    </w:r>
                  </w:p>
                </w:tc>
              </w:sdtContent>
            </w:sdt>
            <w:sdt>
              <w:sdtPr>
                <w:tag w:val="_PLD_ac57490b080449c8b91be5a872e19f79"/>
                <w:id w:val="-2062096469"/>
                <w:lock w:val="sdtLocked"/>
              </w:sdtPr>
              <w:sdtEndPr/>
              <w:sdtContent>
                <w:tc>
                  <w:tcPr>
                    <w:tcW w:w="1996" w:type="pct"/>
                    <w:gridSpan w:val="3"/>
                    <w:vAlign w:val="center"/>
                  </w:tcPr>
                  <w:p w14:paraId="69FCD263" w14:textId="77777777" w:rsidR="00471D53" w:rsidRDefault="004F686E" w:rsidP="00471D53">
                    <w:pPr>
                      <w:jc w:val="center"/>
                      <w:rPr>
                        <w:szCs w:val="21"/>
                      </w:rPr>
                    </w:pPr>
                    <w:r>
                      <w:rPr>
                        <w:rFonts w:hint="eastAsia"/>
                        <w:szCs w:val="21"/>
                      </w:rPr>
                      <w:t>期初余额</w:t>
                    </w:r>
                  </w:p>
                </w:tc>
              </w:sdtContent>
            </w:sdt>
          </w:tr>
          <w:tr w:rsidR="00471D53" w14:paraId="21E735AA" w14:textId="77777777" w:rsidTr="00471D53">
            <w:trPr>
              <w:cantSplit/>
            </w:trPr>
            <w:tc>
              <w:tcPr>
                <w:tcW w:w="1071" w:type="pct"/>
                <w:vMerge/>
                <w:vAlign w:val="center"/>
              </w:tcPr>
              <w:p w14:paraId="00639327" w14:textId="77777777" w:rsidR="00471D53" w:rsidRDefault="00B664AF" w:rsidP="00471D53">
                <w:pPr>
                  <w:tabs>
                    <w:tab w:val="left" w:pos="420"/>
                  </w:tabs>
                  <w:ind w:left="420" w:hanging="420"/>
                  <w:jc w:val="center"/>
                  <w:rPr>
                    <w:szCs w:val="21"/>
                  </w:rPr>
                </w:pPr>
              </w:p>
            </w:tc>
            <w:sdt>
              <w:sdtPr>
                <w:tag w:val="_PLD_1d60491359e245e7bc54655c8c8c15fd"/>
                <w:id w:val="-22246599"/>
                <w:lock w:val="sdtLocked"/>
              </w:sdtPr>
              <w:sdtEndPr/>
              <w:sdtContent>
                <w:tc>
                  <w:tcPr>
                    <w:tcW w:w="812" w:type="pct"/>
                    <w:vAlign w:val="center"/>
                  </w:tcPr>
                  <w:p w14:paraId="0710F9FE" w14:textId="77777777" w:rsidR="00471D53" w:rsidRDefault="004F686E" w:rsidP="00471D53">
                    <w:pPr>
                      <w:tabs>
                        <w:tab w:val="left" w:pos="420"/>
                      </w:tabs>
                      <w:ind w:left="420" w:hanging="420"/>
                      <w:jc w:val="center"/>
                      <w:rPr>
                        <w:szCs w:val="21"/>
                      </w:rPr>
                    </w:pPr>
                    <w:r>
                      <w:rPr>
                        <w:rFonts w:hint="eastAsia"/>
                        <w:szCs w:val="21"/>
                      </w:rPr>
                      <w:t>账面余额</w:t>
                    </w:r>
                  </w:p>
                </w:tc>
              </w:sdtContent>
            </w:sdt>
            <w:sdt>
              <w:sdtPr>
                <w:rPr>
                  <w:rFonts w:ascii="宋体" w:hAnsi="宋体"/>
                </w:rPr>
                <w:tag w:val="_PLD_d5d8fa5186d44c82b146ad7151830389"/>
                <w:id w:val="1602136807"/>
                <w:lock w:val="sdtLocked"/>
              </w:sdtPr>
              <w:sdtEndPr/>
              <w:sdtContent>
                <w:tc>
                  <w:tcPr>
                    <w:tcW w:w="326" w:type="pct"/>
                    <w:vAlign w:val="center"/>
                  </w:tcPr>
                  <w:p w14:paraId="36701FE4" w14:textId="77777777" w:rsidR="00471D53" w:rsidRDefault="004F686E" w:rsidP="00471D53">
                    <w:pPr>
                      <w:pStyle w:val="affffff1"/>
                      <w:jc w:val="center"/>
                      <w:rPr>
                        <w:rFonts w:ascii="宋体" w:hAnsi="宋体"/>
                      </w:rPr>
                    </w:pPr>
                    <w:r>
                      <w:rPr>
                        <w:rFonts w:ascii="宋体" w:hAnsi="宋体" w:hint="eastAsia"/>
                      </w:rPr>
                      <w:t>减值准备</w:t>
                    </w:r>
                  </w:p>
                </w:tc>
              </w:sdtContent>
            </w:sdt>
            <w:sdt>
              <w:sdtPr>
                <w:rPr>
                  <w:rFonts w:ascii="宋体" w:hAnsi="宋体"/>
                </w:rPr>
                <w:tag w:val="_PLD_49aa1c2d25814b789479d76afb6fc844"/>
                <w:id w:val="-840698649"/>
                <w:lock w:val="sdtLocked"/>
              </w:sdtPr>
              <w:sdtEndPr/>
              <w:sdtContent>
                <w:tc>
                  <w:tcPr>
                    <w:tcW w:w="795" w:type="pct"/>
                    <w:vAlign w:val="center"/>
                  </w:tcPr>
                  <w:p w14:paraId="6AA58464" w14:textId="77777777" w:rsidR="00471D53" w:rsidRDefault="004F686E" w:rsidP="00471D53">
                    <w:pPr>
                      <w:pStyle w:val="affffff1"/>
                      <w:jc w:val="center"/>
                      <w:rPr>
                        <w:rFonts w:ascii="宋体" w:hAnsi="宋体"/>
                      </w:rPr>
                    </w:pPr>
                    <w:r>
                      <w:rPr>
                        <w:rFonts w:ascii="宋体" w:hAnsi="宋体" w:hint="eastAsia"/>
                      </w:rPr>
                      <w:t>账面价值</w:t>
                    </w:r>
                  </w:p>
                </w:tc>
              </w:sdtContent>
            </w:sdt>
            <w:sdt>
              <w:sdtPr>
                <w:tag w:val="_PLD_4bba2db5e5a549ecafbf4e94a7af2e35"/>
                <w:id w:val="-1572795843"/>
                <w:lock w:val="sdtLocked"/>
              </w:sdtPr>
              <w:sdtEndPr/>
              <w:sdtContent>
                <w:tc>
                  <w:tcPr>
                    <w:tcW w:w="791" w:type="pct"/>
                    <w:vAlign w:val="center"/>
                  </w:tcPr>
                  <w:p w14:paraId="576782ED" w14:textId="77777777" w:rsidR="00471D53" w:rsidRDefault="004F686E" w:rsidP="00471D53">
                    <w:pPr>
                      <w:tabs>
                        <w:tab w:val="left" w:pos="420"/>
                      </w:tabs>
                      <w:ind w:left="420" w:hanging="420"/>
                      <w:jc w:val="center"/>
                      <w:rPr>
                        <w:szCs w:val="21"/>
                      </w:rPr>
                    </w:pPr>
                    <w:r>
                      <w:rPr>
                        <w:rFonts w:hint="eastAsia"/>
                        <w:szCs w:val="21"/>
                      </w:rPr>
                      <w:t>账面余额</w:t>
                    </w:r>
                  </w:p>
                </w:tc>
              </w:sdtContent>
            </w:sdt>
            <w:sdt>
              <w:sdtPr>
                <w:rPr>
                  <w:rFonts w:ascii="宋体" w:hAnsi="宋体"/>
                </w:rPr>
                <w:tag w:val="_PLD_e054d8cd1e1b4672ae08a495b587bdce"/>
                <w:id w:val="286088761"/>
                <w:lock w:val="sdtLocked"/>
              </w:sdtPr>
              <w:sdtEndPr/>
              <w:sdtContent>
                <w:tc>
                  <w:tcPr>
                    <w:tcW w:w="339" w:type="pct"/>
                    <w:vAlign w:val="center"/>
                  </w:tcPr>
                  <w:p w14:paraId="4AC63BF7" w14:textId="77777777" w:rsidR="00471D53" w:rsidRDefault="004F686E" w:rsidP="00471D53">
                    <w:pPr>
                      <w:pStyle w:val="affffff1"/>
                      <w:jc w:val="center"/>
                      <w:rPr>
                        <w:rFonts w:ascii="宋体" w:hAnsi="宋体"/>
                      </w:rPr>
                    </w:pPr>
                    <w:r>
                      <w:rPr>
                        <w:rFonts w:ascii="宋体" w:hAnsi="宋体" w:hint="eastAsia"/>
                      </w:rPr>
                      <w:t>减值准备</w:t>
                    </w:r>
                  </w:p>
                </w:tc>
              </w:sdtContent>
            </w:sdt>
            <w:sdt>
              <w:sdtPr>
                <w:rPr>
                  <w:rFonts w:ascii="宋体" w:hAnsi="宋体"/>
                </w:rPr>
                <w:tag w:val="_PLD_bd3055c2713a44fa9cbd3fd973d34c6a"/>
                <w:id w:val="124899694"/>
                <w:lock w:val="sdtLocked"/>
              </w:sdtPr>
              <w:sdtEndPr/>
              <w:sdtContent>
                <w:tc>
                  <w:tcPr>
                    <w:tcW w:w="866" w:type="pct"/>
                    <w:vAlign w:val="center"/>
                  </w:tcPr>
                  <w:p w14:paraId="1B4A5610" w14:textId="77777777" w:rsidR="00471D53" w:rsidRDefault="004F686E" w:rsidP="00471D53">
                    <w:pPr>
                      <w:pStyle w:val="affffff1"/>
                      <w:jc w:val="center"/>
                      <w:rPr>
                        <w:rFonts w:ascii="宋体" w:hAnsi="宋体"/>
                      </w:rPr>
                    </w:pPr>
                    <w:r>
                      <w:rPr>
                        <w:rFonts w:ascii="宋体" w:hAnsi="宋体" w:hint="eastAsia"/>
                      </w:rPr>
                      <w:t>账面价值</w:t>
                    </w:r>
                  </w:p>
                </w:tc>
              </w:sdtContent>
            </w:sdt>
          </w:tr>
          <w:sdt>
            <w:sdtPr>
              <w:rPr>
                <w:szCs w:val="21"/>
              </w:rPr>
              <w:alias w:val="在建工程情况明细"/>
              <w:tag w:val="_GBC_5f073fecf2ff4f9ba33e687f80450c77"/>
              <w:id w:val="-974056566"/>
              <w:lock w:val="sdtLocked"/>
            </w:sdtPr>
            <w:sdtEndPr/>
            <w:sdtContent>
              <w:tr w:rsidR="00471D53" w14:paraId="6859F09B" w14:textId="77777777" w:rsidTr="00471D53">
                <w:trPr>
                  <w:cantSplit/>
                </w:trPr>
                <w:tc>
                  <w:tcPr>
                    <w:tcW w:w="1071" w:type="pct"/>
                  </w:tcPr>
                  <w:p w14:paraId="3E027581" w14:textId="77777777" w:rsidR="00471D53" w:rsidRDefault="004F686E" w:rsidP="00471D53">
                    <w:pPr>
                      <w:rPr>
                        <w:szCs w:val="21"/>
                      </w:rPr>
                    </w:pPr>
                    <w:r>
                      <w:t>在建房屋及待安装设备</w:t>
                    </w:r>
                  </w:p>
                </w:tc>
                <w:tc>
                  <w:tcPr>
                    <w:tcW w:w="812" w:type="pct"/>
                  </w:tcPr>
                  <w:p w14:paraId="7F6298EC" w14:textId="77777777" w:rsidR="00471D53" w:rsidRDefault="004F686E" w:rsidP="00471D53">
                    <w:pPr>
                      <w:ind w:right="105"/>
                      <w:jc w:val="right"/>
                      <w:rPr>
                        <w:szCs w:val="21"/>
                      </w:rPr>
                    </w:pPr>
                    <w:r>
                      <w:t>16,916,863.84</w:t>
                    </w:r>
                  </w:p>
                </w:tc>
                <w:tc>
                  <w:tcPr>
                    <w:tcW w:w="326" w:type="pct"/>
                  </w:tcPr>
                  <w:p w14:paraId="04918562" w14:textId="77777777" w:rsidR="00471D53" w:rsidRDefault="004F686E" w:rsidP="00471D53">
                    <w:pPr>
                      <w:ind w:right="73"/>
                      <w:jc w:val="right"/>
                      <w:rPr>
                        <w:szCs w:val="21"/>
                      </w:rPr>
                    </w:pPr>
                    <w:r>
                      <w:t>0.00</w:t>
                    </w:r>
                  </w:p>
                </w:tc>
                <w:tc>
                  <w:tcPr>
                    <w:tcW w:w="795" w:type="pct"/>
                  </w:tcPr>
                  <w:p w14:paraId="5DB6A697" w14:textId="77777777" w:rsidR="00471D53" w:rsidRDefault="004F686E" w:rsidP="00471D53">
                    <w:pPr>
                      <w:ind w:right="73"/>
                      <w:jc w:val="right"/>
                      <w:rPr>
                        <w:szCs w:val="21"/>
                      </w:rPr>
                    </w:pPr>
                    <w:r>
                      <w:t>16,916,863.84</w:t>
                    </w:r>
                  </w:p>
                </w:tc>
                <w:tc>
                  <w:tcPr>
                    <w:tcW w:w="791" w:type="pct"/>
                  </w:tcPr>
                  <w:p w14:paraId="4321CC37" w14:textId="77777777" w:rsidR="00471D53" w:rsidRDefault="004F686E" w:rsidP="00471D53">
                    <w:pPr>
                      <w:jc w:val="right"/>
                      <w:rPr>
                        <w:szCs w:val="21"/>
                      </w:rPr>
                    </w:pPr>
                    <w:r>
                      <w:t>18,057,581.62</w:t>
                    </w:r>
                  </w:p>
                </w:tc>
                <w:tc>
                  <w:tcPr>
                    <w:tcW w:w="339" w:type="pct"/>
                  </w:tcPr>
                  <w:p w14:paraId="02A44043" w14:textId="77777777" w:rsidR="00471D53" w:rsidRDefault="004F686E" w:rsidP="00471D53">
                    <w:pPr>
                      <w:jc w:val="right"/>
                      <w:rPr>
                        <w:szCs w:val="21"/>
                      </w:rPr>
                    </w:pPr>
                    <w:r>
                      <w:t>0.00</w:t>
                    </w:r>
                  </w:p>
                </w:tc>
                <w:tc>
                  <w:tcPr>
                    <w:tcW w:w="866" w:type="pct"/>
                  </w:tcPr>
                  <w:p w14:paraId="7241FB7D" w14:textId="77777777" w:rsidR="00471D53" w:rsidRDefault="004F686E" w:rsidP="00471D53">
                    <w:pPr>
                      <w:jc w:val="right"/>
                      <w:rPr>
                        <w:szCs w:val="21"/>
                      </w:rPr>
                    </w:pPr>
                    <w:r>
                      <w:t>18,057,581.62</w:t>
                    </w:r>
                  </w:p>
                </w:tc>
              </w:tr>
            </w:sdtContent>
          </w:sdt>
          <w:sdt>
            <w:sdtPr>
              <w:rPr>
                <w:szCs w:val="21"/>
              </w:rPr>
              <w:alias w:val="在建工程情况明细"/>
              <w:tag w:val="_GBC_5f073fecf2ff4f9ba33e687f80450c77"/>
              <w:id w:val="-219294014"/>
              <w:lock w:val="sdtLocked"/>
            </w:sdtPr>
            <w:sdtEndPr/>
            <w:sdtContent>
              <w:tr w:rsidR="00471D53" w14:paraId="4C1192AC" w14:textId="77777777" w:rsidTr="00471D53">
                <w:trPr>
                  <w:cantSplit/>
                </w:trPr>
                <w:tc>
                  <w:tcPr>
                    <w:tcW w:w="1071" w:type="pct"/>
                  </w:tcPr>
                  <w:p w14:paraId="20EA8553" w14:textId="77777777" w:rsidR="00471D53" w:rsidRDefault="004F686E" w:rsidP="00471D53">
                    <w:pPr>
                      <w:rPr>
                        <w:szCs w:val="21"/>
                      </w:rPr>
                    </w:pPr>
                    <w:r>
                      <w:t>四型瓶</w:t>
                    </w:r>
                  </w:p>
                </w:tc>
                <w:tc>
                  <w:tcPr>
                    <w:tcW w:w="812" w:type="pct"/>
                  </w:tcPr>
                  <w:p w14:paraId="60097FA4" w14:textId="77777777" w:rsidR="00471D53" w:rsidRDefault="004F686E" w:rsidP="00471D53">
                    <w:pPr>
                      <w:ind w:right="105"/>
                      <w:jc w:val="right"/>
                      <w:rPr>
                        <w:szCs w:val="21"/>
                      </w:rPr>
                    </w:pPr>
                    <w:r>
                      <w:t>45,705,679.00</w:t>
                    </w:r>
                  </w:p>
                </w:tc>
                <w:tc>
                  <w:tcPr>
                    <w:tcW w:w="326" w:type="pct"/>
                  </w:tcPr>
                  <w:p w14:paraId="6772A326" w14:textId="77777777" w:rsidR="00471D53" w:rsidRDefault="004F686E" w:rsidP="00471D53">
                    <w:pPr>
                      <w:ind w:right="73"/>
                      <w:jc w:val="right"/>
                      <w:rPr>
                        <w:szCs w:val="21"/>
                      </w:rPr>
                    </w:pPr>
                    <w:r>
                      <w:t>0.00</w:t>
                    </w:r>
                  </w:p>
                </w:tc>
                <w:tc>
                  <w:tcPr>
                    <w:tcW w:w="795" w:type="pct"/>
                  </w:tcPr>
                  <w:p w14:paraId="33E9CA36" w14:textId="77777777" w:rsidR="00471D53" w:rsidRDefault="004F686E" w:rsidP="00471D53">
                    <w:pPr>
                      <w:ind w:right="73"/>
                      <w:jc w:val="right"/>
                      <w:rPr>
                        <w:szCs w:val="21"/>
                      </w:rPr>
                    </w:pPr>
                    <w:r>
                      <w:t>45,705,679.00</w:t>
                    </w:r>
                  </w:p>
                </w:tc>
                <w:tc>
                  <w:tcPr>
                    <w:tcW w:w="791" w:type="pct"/>
                  </w:tcPr>
                  <w:p w14:paraId="2AFF588E" w14:textId="77777777" w:rsidR="00471D53" w:rsidRDefault="004F686E" w:rsidP="00471D53">
                    <w:pPr>
                      <w:jc w:val="right"/>
                      <w:rPr>
                        <w:szCs w:val="21"/>
                      </w:rPr>
                    </w:pPr>
                    <w:r>
                      <w:t>36,338,289.89</w:t>
                    </w:r>
                  </w:p>
                </w:tc>
                <w:tc>
                  <w:tcPr>
                    <w:tcW w:w="339" w:type="pct"/>
                  </w:tcPr>
                  <w:p w14:paraId="20F4F862" w14:textId="77777777" w:rsidR="00471D53" w:rsidRDefault="004F686E" w:rsidP="00471D53">
                    <w:pPr>
                      <w:jc w:val="right"/>
                      <w:rPr>
                        <w:szCs w:val="21"/>
                      </w:rPr>
                    </w:pPr>
                    <w:r>
                      <w:t>0.00</w:t>
                    </w:r>
                  </w:p>
                </w:tc>
                <w:tc>
                  <w:tcPr>
                    <w:tcW w:w="866" w:type="pct"/>
                  </w:tcPr>
                  <w:p w14:paraId="70E9954D" w14:textId="77777777" w:rsidR="00471D53" w:rsidRDefault="004F686E" w:rsidP="00471D53">
                    <w:pPr>
                      <w:jc w:val="right"/>
                      <w:rPr>
                        <w:szCs w:val="21"/>
                      </w:rPr>
                    </w:pPr>
                    <w:r>
                      <w:t>36,338,289.89</w:t>
                    </w:r>
                  </w:p>
                </w:tc>
              </w:tr>
            </w:sdtContent>
          </w:sdt>
          <w:tr w:rsidR="00471D53" w:rsidRPr="003062E7" w14:paraId="0EE5F1CE" w14:textId="77777777" w:rsidTr="00471D53">
            <w:trPr>
              <w:cantSplit/>
            </w:trPr>
            <w:sdt>
              <w:sdtPr>
                <w:tag w:val="_PLD_fb8a9351bc5144ab907a84376899a536"/>
                <w:id w:val="987284972"/>
                <w:lock w:val="sdtLocked"/>
              </w:sdtPr>
              <w:sdtEndPr/>
              <w:sdtContent>
                <w:tc>
                  <w:tcPr>
                    <w:tcW w:w="1071" w:type="pct"/>
                    <w:vAlign w:val="center"/>
                  </w:tcPr>
                  <w:p w14:paraId="1BDD492D" w14:textId="77777777" w:rsidR="00471D53" w:rsidRDefault="004F686E" w:rsidP="00471D53">
                    <w:pPr>
                      <w:jc w:val="center"/>
                      <w:rPr>
                        <w:szCs w:val="21"/>
                      </w:rPr>
                    </w:pPr>
                    <w:r>
                      <w:rPr>
                        <w:rFonts w:hint="eastAsia"/>
                        <w:szCs w:val="21"/>
                      </w:rPr>
                      <w:t>合计</w:t>
                    </w:r>
                  </w:p>
                </w:tc>
              </w:sdtContent>
            </w:sdt>
            <w:tc>
              <w:tcPr>
                <w:tcW w:w="812" w:type="pct"/>
                <w:vAlign w:val="center"/>
              </w:tcPr>
              <w:p w14:paraId="0780DD23" w14:textId="77777777" w:rsidR="00471D53" w:rsidRPr="003062E7" w:rsidRDefault="004F686E" w:rsidP="00471D53">
                <w:pPr>
                  <w:jc w:val="center"/>
                  <w:rPr>
                    <w:bCs/>
                    <w:sz w:val="22"/>
                  </w:rPr>
                </w:pPr>
                <w:r w:rsidRPr="003062E7">
                  <w:rPr>
                    <w:rFonts w:hint="eastAsia"/>
                    <w:bCs/>
                    <w:sz w:val="22"/>
                  </w:rPr>
                  <w:t>62,622,542.84</w:t>
                </w:r>
              </w:p>
            </w:tc>
            <w:tc>
              <w:tcPr>
                <w:tcW w:w="326" w:type="pct"/>
                <w:vAlign w:val="center"/>
              </w:tcPr>
              <w:p w14:paraId="75B0393D" w14:textId="77777777" w:rsidR="00471D53" w:rsidRPr="003062E7" w:rsidRDefault="004F686E" w:rsidP="00471D53">
                <w:pPr>
                  <w:jc w:val="center"/>
                  <w:rPr>
                    <w:sz w:val="22"/>
                  </w:rPr>
                </w:pPr>
                <w:r w:rsidRPr="003062E7">
                  <w:rPr>
                    <w:sz w:val="22"/>
                  </w:rPr>
                  <w:t>0.00</w:t>
                </w:r>
              </w:p>
            </w:tc>
            <w:tc>
              <w:tcPr>
                <w:tcW w:w="795" w:type="pct"/>
                <w:vAlign w:val="center"/>
              </w:tcPr>
              <w:p w14:paraId="0490DBD7" w14:textId="77777777" w:rsidR="00471D53" w:rsidRPr="003062E7" w:rsidRDefault="004F686E" w:rsidP="00471D53">
                <w:pPr>
                  <w:jc w:val="center"/>
                  <w:rPr>
                    <w:sz w:val="22"/>
                  </w:rPr>
                </w:pPr>
                <w:r w:rsidRPr="003062E7">
                  <w:rPr>
                    <w:rFonts w:hint="eastAsia"/>
                    <w:sz w:val="22"/>
                  </w:rPr>
                  <w:t>62,622,542.84</w:t>
                </w:r>
              </w:p>
            </w:tc>
            <w:tc>
              <w:tcPr>
                <w:tcW w:w="791" w:type="pct"/>
                <w:vAlign w:val="center"/>
              </w:tcPr>
              <w:p w14:paraId="444E7230" w14:textId="77777777" w:rsidR="00471D53" w:rsidRPr="003062E7" w:rsidRDefault="004F686E" w:rsidP="00471D53">
                <w:pPr>
                  <w:jc w:val="center"/>
                  <w:rPr>
                    <w:bCs/>
                    <w:sz w:val="22"/>
                    <w:szCs w:val="22"/>
                  </w:rPr>
                </w:pPr>
                <w:r w:rsidRPr="003062E7">
                  <w:rPr>
                    <w:rFonts w:cs="Calibri" w:hint="eastAsia"/>
                    <w:bCs/>
                    <w:sz w:val="22"/>
                    <w:szCs w:val="22"/>
                  </w:rPr>
                  <w:t>54,395,871.51</w:t>
                </w:r>
              </w:p>
            </w:tc>
            <w:tc>
              <w:tcPr>
                <w:tcW w:w="339" w:type="pct"/>
                <w:vAlign w:val="center"/>
              </w:tcPr>
              <w:p w14:paraId="107F864A" w14:textId="77777777" w:rsidR="00471D53" w:rsidRPr="003062E7" w:rsidRDefault="004F686E" w:rsidP="00471D53">
                <w:pPr>
                  <w:jc w:val="center"/>
                  <w:rPr>
                    <w:sz w:val="22"/>
                    <w:szCs w:val="22"/>
                  </w:rPr>
                </w:pPr>
                <w:r w:rsidRPr="003062E7">
                  <w:rPr>
                    <w:sz w:val="22"/>
                    <w:szCs w:val="22"/>
                  </w:rPr>
                  <w:t>0.00</w:t>
                </w:r>
              </w:p>
            </w:tc>
            <w:tc>
              <w:tcPr>
                <w:tcW w:w="866" w:type="pct"/>
                <w:vAlign w:val="center"/>
              </w:tcPr>
              <w:p w14:paraId="074F791D" w14:textId="77777777" w:rsidR="00471D53" w:rsidRPr="003062E7" w:rsidRDefault="004F686E" w:rsidP="00471D53">
                <w:pPr>
                  <w:jc w:val="center"/>
                  <w:rPr>
                    <w:sz w:val="22"/>
                    <w:szCs w:val="22"/>
                  </w:rPr>
                </w:pPr>
                <w:r w:rsidRPr="003062E7">
                  <w:rPr>
                    <w:rFonts w:cs="Calibri" w:hint="eastAsia"/>
                    <w:bCs/>
                    <w:sz w:val="22"/>
                    <w:szCs w:val="22"/>
                  </w:rPr>
                  <w:t>54,395,871.51</w:t>
                </w:r>
              </w:p>
            </w:tc>
          </w:tr>
        </w:tbl>
        <w:p w14:paraId="267A1C04" w14:textId="77777777" w:rsidR="00471D53" w:rsidRDefault="00B664AF"/>
        <w:p w14:paraId="3591976D" w14:textId="77777777" w:rsidR="00471D53" w:rsidRPr="003062E7" w:rsidRDefault="00B664AF" w:rsidP="00471D53"/>
      </w:sdtContent>
    </w:sdt>
    <w:p w14:paraId="1AFC0AC7" w14:textId="77777777" w:rsidR="00471D53" w:rsidRDefault="00B664AF" w:rsidP="00471D53">
      <w:pPr>
        <w:snapToGrid w:val="0"/>
        <w:spacing w:line="240" w:lineRule="atLeast"/>
        <w:ind w:rightChars="-416" w:right="-874"/>
        <w:rPr>
          <w:szCs w:val="21"/>
        </w:rPr>
      </w:pPr>
    </w:p>
    <w:sdt>
      <w:sdtPr>
        <w:rPr>
          <w:rFonts w:ascii="宋体" w:hAnsi="宋体" w:cs="宋体" w:hint="eastAsia"/>
          <w:b w:val="0"/>
          <w:bCs w:val="0"/>
          <w:kern w:val="0"/>
          <w:szCs w:val="21"/>
        </w:rPr>
        <w:alias w:val="模块:重大在建工程项目变动情况"/>
        <w:tag w:val="_GBC_b1eb75f465d7494995f17407201cfca9"/>
        <w:id w:val="-1293129970"/>
        <w:lock w:val="sdtLocked"/>
        <w:placeholder>
          <w:docPart w:val="GBC22222222222222222222222222222"/>
        </w:placeholder>
      </w:sdtPr>
      <w:sdtEndPr>
        <w:rPr>
          <w:rFonts w:cstheme="minorBidi" w:hint="default"/>
        </w:rPr>
      </w:sdtEndPr>
      <w:sdtContent>
        <w:p w14:paraId="52363242" w14:textId="77777777" w:rsidR="00471D53" w:rsidRDefault="004F686E" w:rsidP="004F686E">
          <w:pPr>
            <w:pStyle w:val="afffff8"/>
            <w:numPr>
              <w:ilvl w:val="0"/>
              <w:numId w:val="72"/>
            </w:numPr>
            <w:tabs>
              <w:tab w:val="left" w:pos="588"/>
            </w:tabs>
            <w:rPr>
              <w:rFonts w:ascii="宋体" w:hAnsi="宋体"/>
              <w:szCs w:val="21"/>
            </w:rPr>
          </w:pPr>
          <w:r>
            <w:rPr>
              <w:rFonts w:ascii="宋体" w:hAnsi="宋体" w:hint="eastAsia"/>
              <w:szCs w:val="21"/>
            </w:rPr>
            <w:t>重要在建工程项目本期变动情况</w:t>
          </w:r>
        </w:p>
        <w:sdt>
          <w:sdtPr>
            <w:alias w:val="是否适用：重要在建工程项目本期变动情况[双击切换]"/>
            <w:tag w:val="_GBC_ec2dd768673145d4bb9d3c31a6fa701a"/>
            <w:id w:val="1876119095"/>
            <w:lock w:val="sdtLocked"/>
            <w:placeholder>
              <w:docPart w:val="GBC22222222222222222222222222222"/>
            </w:placeholder>
          </w:sdtPr>
          <w:sdtEndPr/>
          <w:sdtContent>
            <w:p w14:paraId="0432F023"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BA0D130" w14:textId="63760B58" w:rsidR="00471D53" w:rsidRDefault="004F686E">
          <w:pPr>
            <w:jc w:val="right"/>
            <w:rPr>
              <w:szCs w:val="21"/>
            </w:rPr>
          </w:pPr>
          <w:r>
            <w:rPr>
              <w:rFonts w:hint="eastAsia"/>
              <w:szCs w:val="21"/>
            </w:rPr>
            <w:t>单位：</w:t>
          </w:r>
          <w:sdt>
            <w:sdtPr>
              <w:rPr>
                <w:rFonts w:hint="eastAsia"/>
                <w:szCs w:val="21"/>
              </w:rPr>
              <w:alias w:val="单位：财务附注：在建工程项目变动情况"/>
              <w:tag w:val="_GBC_29f36690ce0d4e8bbec5f76711e80456"/>
              <w:id w:val="-662729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在建工程项目变动情况"/>
              <w:tag w:val="_GBC_6fab639954e742c1bd6f75b3c51ecaf8"/>
              <w:id w:val="-20110550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541" w:type="pct"/>
            <w:tblInd w:w="-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701"/>
            <w:gridCol w:w="1254"/>
            <w:gridCol w:w="1232"/>
            <w:gridCol w:w="1142"/>
            <w:gridCol w:w="1142"/>
            <w:gridCol w:w="627"/>
            <w:gridCol w:w="1266"/>
            <w:gridCol w:w="512"/>
            <w:gridCol w:w="512"/>
            <w:gridCol w:w="310"/>
            <w:gridCol w:w="422"/>
            <w:gridCol w:w="332"/>
            <w:gridCol w:w="326"/>
          </w:tblGrid>
          <w:tr w:rsidR="00471D53" w14:paraId="6BE07042" w14:textId="77777777" w:rsidTr="00471D53">
            <w:trPr>
              <w:cantSplit/>
            </w:trPr>
            <w:sdt>
              <w:sdtPr>
                <w:rPr>
                  <w:sz w:val="18"/>
                  <w:szCs w:val="18"/>
                </w:rPr>
                <w:tag w:val="_PLD_911d5911af294d4f9d2b6b16b5f6c08b"/>
                <w:id w:val="-144976559"/>
                <w:lock w:val="sdtLocked"/>
              </w:sdtPr>
              <w:sdtEndPr/>
              <w:sdtContent>
                <w:tc>
                  <w:tcPr>
                    <w:tcW w:w="408" w:type="pct"/>
                    <w:shd w:val="clear" w:color="auto" w:fill="auto"/>
                    <w:vAlign w:val="center"/>
                  </w:tcPr>
                  <w:p w14:paraId="03302AD6" w14:textId="77777777" w:rsidR="00471D53" w:rsidRPr="007E7BAC" w:rsidRDefault="004F686E" w:rsidP="00471D53">
                    <w:pPr>
                      <w:ind w:right="105"/>
                      <w:jc w:val="center"/>
                      <w:rPr>
                        <w:sz w:val="18"/>
                        <w:szCs w:val="18"/>
                      </w:rPr>
                    </w:pPr>
                    <w:r w:rsidRPr="007E7BAC">
                      <w:rPr>
                        <w:rFonts w:hint="eastAsia"/>
                        <w:sz w:val="18"/>
                        <w:szCs w:val="18"/>
                      </w:rPr>
                      <w:t>项目名称</w:t>
                    </w:r>
                  </w:p>
                </w:tc>
              </w:sdtContent>
            </w:sdt>
            <w:sdt>
              <w:sdtPr>
                <w:rPr>
                  <w:sz w:val="18"/>
                  <w:szCs w:val="18"/>
                </w:rPr>
                <w:tag w:val="_PLD_667404be40294d63b853abf58a9d185f"/>
                <w:id w:val="-234005818"/>
                <w:lock w:val="sdtLocked"/>
              </w:sdtPr>
              <w:sdtEndPr/>
              <w:sdtContent>
                <w:tc>
                  <w:tcPr>
                    <w:tcW w:w="690" w:type="pct"/>
                    <w:shd w:val="clear" w:color="auto" w:fill="auto"/>
                    <w:vAlign w:val="center"/>
                  </w:tcPr>
                  <w:p w14:paraId="631B6116" w14:textId="77777777" w:rsidR="00471D53" w:rsidRPr="007E7BAC" w:rsidRDefault="004F686E" w:rsidP="00471D53">
                    <w:pPr>
                      <w:ind w:right="105"/>
                      <w:jc w:val="center"/>
                      <w:rPr>
                        <w:sz w:val="18"/>
                        <w:szCs w:val="18"/>
                      </w:rPr>
                    </w:pPr>
                    <w:r w:rsidRPr="007E7BAC">
                      <w:rPr>
                        <w:rFonts w:hint="eastAsia"/>
                        <w:sz w:val="18"/>
                        <w:szCs w:val="18"/>
                      </w:rPr>
                      <w:t>预算数</w:t>
                    </w:r>
                  </w:p>
                </w:tc>
              </w:sdtContent>
            </w:sdt>
            <w:sdt>
              <w:sdtPr>
                <w:rPr>
                  <w:sz w:val="18"/>
                  <w:szCs w:val="18"/>
                </w:rPr>
                <w:tag w:val="_PLD_25c75ebdcb434964b5f5e8b512151b0b"/>
                <w:id w:val="-1366594120"/>
                <w:lock w:val="sdtLocked"/>
              </w:sdtPr>
              <w:sdtEndPr/>
              <w:sdtContent>
                <w:tc>
                  <w:tcPr>
                    <w:tcW w:w="618" w:type="pct"/>
                    <w:shd w:val="clear" w:color="auto" w:fill="auto"/>
                    <w:vAlign w:val="center"/>
                  </w:tcPr>
                  <w:p w14:paraId="069FB0DA" w14:textId="77777777" w:rsidR="00471D53" w:rsidRPr="007E7BAC" w:rsidRDefault="004F686E" w:rsidP="00471D53">
                    <w:pPr>
                      <w:ind w:right="105"/>
                      <w:jc w:val="center"/>
                      <w:rPr>
                        <w:sz w:val="18"/>
                        <w:szCs w:val="18"/>
                      </w:rPr>
                    </w:pPr>
                    <w:r w:rsidRPr="007E7BAC">
                      <w:rPr>
                        <w:rFonts w:hint="eastAsia"/>
                        <w:sz w:val="18"/>
                        <w:szCs w:val="18"/>
                      </w:rPr>
                      <w:t>期初</w:t>
                    </w:r>
                  </w:p>
                  <w:p w14:paraId="37505A5C" w14:textId="77777777" w:rsidR="00471D53" w:rsidRPr="007E7BAC" w:rsidRDefault="004F686E" w:rsidP="00471D53">
                    <w:pPr>
                      <w:ind w:right="105"/>
                      <w:jc w:val="center"/>
                      <w:rPr>
                        <w:sz w:val="18"/>
                        <w:szCs w:val="18"/>
                      </w:rPr>
                    </w:pPr>
                    <w:r w:rsidRPr="007E7BAC">
                      <w:rPr>
                        <w:rFonts w:hint="eastAsia"/>
                        <w:sz w:val="18"/>
                        <w:szCs w:val="18"/>
                      </w:rPr>
                      <w:t>余额</w:t>
                    </w:r>
                  </w:p>
                </w:tc>
              </w:sdtContent>
            </w:sdt>
            <w:sdt>
              <w:sdtPr>
                <w:rPr>
                  <w:sz w:val="18"/>
                  <w:szCs w:val="18"/>
                </w:rPr>
                <w:tag w:val="_PLD_0117182ae7e24536a0996423ddcfa5f0"/>
                <w:id w:val="-2094769937"/>
                <w:lock w:val="sdtLocked"/>
              </w:sdtPr>
              <w:sdtEndPr/>
              <w:sdtContent>
                <w:tc>
                  <w:tcPr>
                    <w:tcW w:w="492" w:type="pct"/>
                    <w:shd w:val="clear" w:color="auto" w:fill="auto"/>
                    <w:vAlign w:val="center"/>
                  </w:tcPr>
                  <w:p w14:paraId="127A0498" w14:textId="77777777" w:rsidR="00471D53" w:rsidRPr="007E7BAC" w:rsidRDefault="004F686E" w:rsidP="00471D53">
                    <w:pPr>
                      <w:ind w:right="105"/>
                      <w:jc w:val="center"/>
                      <w:rPr>
                        <w:sz w:val="18"/>
                        <w:szCs w:val="18"/>
                      </w:rPr>
                    </w:pPr>
                    <w:r w:rsidRPr="007E7BAC">
                      <w:rPr>
                        <w:rFonts w:hint="eastAsia"/>
                        <w:sz w:val="18"/>
                        <w:szCs w:val="18"/>
                      </w:rPr>
                      <w:t>本期增加金额</w:t>
                    </w:r>
                  </w:p>
                </w:tc>
              </w:sdtContent>
            </w:sdt>
            <w:sdt>
              <w:sdtPr>
                <w:rPr>
                  <w:sz w:val="18"/>
                  <w:szCs w:val="18"/>
                </w:rPr>
                <w:tag w:val="_PLD_6db4feaec90f4eeeb4ed5fb04d298657"/>
                <w:id w:val="287016018"/>
                <w:lock w:val="sdtLocked"/>
              </w:sdtPr>
              <w:sdtEndPr/>
              <w:sdtContent>
                <w:tc>
                  <w:tcPr>
                    <w:tcW w:w="492" w:type="pct"/>
                    <w:shd w:val="clear" w:color="auto" w:fill="auto"/>
                    <w:vAlign w:val="center"/>
                  </w:tcPr>
                  <w:p w14:paraId="42978F4A" w14:textId="77777777" w:rsidR="00471D53" w:rsidRPr="007E7BAC" w:rsidRDefault="004F686E" w:rsidP="00471D53">
                    <w:pPr>
                      <w:ind w:right="73"/>
                      <w:jc w:val="center"/>
                      <w:rPr>
                        <w:sz w:val="18"/>
                        <w:szCs w:val="18"/>
                      </w:rPr>
                    </w:pPr>
                    <w:r w:rsidRPr="007E7BAC">
                      <w:rPr>
                        <w:rFonts w:hint="eastAsia"/>
                        <w:sz w:val="18"/>
                        <w:szCs w:val="18"/>
                      </w:rPr>
                      <w:t>本期转入固定资产金额</w:t>
                    </w:r>
                  </w:p>
                </w:tc>
              </w:sdtContent>
            </w:sdt>
            <w:sdt>
              <w:sdtPr>
                <w:rPr>
                  <w:sz w:val="18"/>
                  <w:szCs w:val="18"/>
                </w:rPr>
                <w:tag w:val="_PLD_1fe85c3ed6f84f6f85209149a9931055"/>
                <w:id w:val="-1398051164"/>
                <w:lock w:val="sdtLocked"/>
              </w:sdtPr>
              <w:sdtEndPr/>
              <w:sdtContent>
                <w:tc>
                  <w:tcPr>
                    <w:tcW w:w="369" w:type="pct"/>
                    <w:shd w:val="clear" w:color="auto" w:fill="auto"/>
                    <w:vAlign w:val="center"/>
                  </w:tcPr>
                  <w:p w14:paraId="6DF8193A" w14:textId="77777777" w:rsidR="00471D53" w:rsidRPr="007E7BAC" w:rsidRDefault="004F686E" w:rsidP="00471D53">
                    <w:pPr>
                      <w:ind w:right="73"/>
                      <w:jc w:val="center"/>
                      <w:rPr>
                        <w:sz w:val="18"/>
                        <w:szCs w:val="18"/>
                      </w:rPr>
                    </w:pPr>
                    <w:r w:rsidRPr="007E7BAC">
                      <w:rPr>
                        <w:rFonts w:hint="eastAsia"/>
                        <w:sz w:val="18"/>
                        <w:szCs w:val="18"/>
                      </w:rPr>
                      <w:t>本期其他减少金额</w:t>
                    </w:r>
                  </w:p>
                </w:tc>
              </w:sdtContent>
            </w:sdt>
            <w:sdt>
              <w:sdtPr>
                <w:rPr>
                  <w:sz w:val="18"/>
                  <w:szCs w:val="18"/>
                </w:rPr>
                <w:tag w:val="_PLD_7954fe4b89f644d29865af249dfe8c3f"/>
                <w:id w:val="-367910308"/>
                <w:lock w:val="sdtLocked"/>
              </w:sdtPr>
              <w:sdtEndPr/>
              <w:sdtContent>
                <w:tc>
                  <w:tcPr>
                    <w:tcW w:w="696" w:type="pct"/>
                    <w:vAlign w:val="center"/>
                  </w:tcPr>
                  <w:p w14:paraId="78F31233" w14:textId="77777777" w:rsidR="00471D53" w:rsidRPr="007E7BAC" w:rsidRDefault="004F686E" w:rsidP="00471D53">
                    <w:pPr>
                      <w:jc w:val="center"/>
                      <w:rPr>
                        <w:sz w:val="18"/>
                        <w:szCs w:val="18"/>
                      </w:rPr>
                    </w:pPr>
                    <w:r w:rsidRPr="007E7BAC">
                      <w:rPr>
                        <w:rFonts w:hint="eastAsia"/>
                        <w:sz w:val="18"/>
                        <w:szCs w:val="18"/>
                      </w:rPr>
                      <w:t>期末</w:t>
                    </w:r>
                  </w:p>
                  <w:p w14:paraId="200E2165" w14:textId="77777777" w:rsidR="00471D53" w:rsidRPr="007E7BAC" w:rsidRDefault="004F686E" w:rsidP="00471D53">
                    <w:pPr>
                      <w:jc w:val="center"/>
                      <w:rPr>
                        <w:sz w:val="18"/>
                        <w:szCs w:val="18"/>
                      </w:rPr>
                    </w:pPr>
                    <w:r w:rsidRPr="007E7BAC">
                      <w:rPr>
                        <w:rFonts w:hint="eastAsia"/>
                        <w:sz w:val="18"/>
                        <w:szCs w:val="18"/>
                      </w:rPr>
                      <w:t>余额</w:t>
                    </w:r>
                  </w:p>
                </w:tc>
              </w:sdtContent>
            </w:sdt>
            <w:sdt>
              <w:sdtPr>
                <w:rPr>
                  <w:sz w:val="18"/>
                  <w:szCs w:val="18"/>
                </w:rPr>
                <w:tag w:val="_PLD_d9aa12b28eda4362b90372032218ea1a"/>
                <w:id w:val="1642076111"/>
                <w:lock w:val="sdtLocked"/>
              </w:sdtPr>
              <w:sdtEndPr/>
              <w:sdtContent>
                <w:tc>
                  <w:tcPr>
                    <w:tcW w:w="208" w:type="pct"/>
                    <w:shd w:val="clear" w:color="auto" w:fill="auto"/>
                    <w:vAlign w:val="center"/>
                  </w:tcPr>
                  <w:p w14:paraId="764DE30C" w14:textId="77777777" w:rsidR="00471D53" w:rsidRPr="007E7BAC" w:rsidRDefault="004F686E" w:rsidP="00471D53">
                    <w:pPr>
                      <w:jc w:val="center"/>
                      <w:rPr>
                        <w:sz w:val="18"/>
                        <w:szCs w:val="18"/>
                      </w:rPr>
                    </w:pPr>
                    <w:r w:rsidRPr="007E7BAC">
                      <w:rPr>
                        <w:rFonts w:hint="eastAsia"/>
                        <w:sz w:val="18"/>
                        <w:szCs w:val="18"/>
                      </w:rPr>
                      <w:t>工程累计投入占预算比例(%)</w:t>
                    </w:r>
                  </w:p>
                </w:tc>
              </w:sdtContent>
            </w:sdt>
            <w:sdt>
              <w:sdtPr>
                <w:rPr>
                  <w:sz w:val="18"/>
                  <w:szCs w:val="18"/>
                </w:rPr>
                <w:tag w:val="_PLD_9e610c25eba14177abc9b359511cb935"/>
                <w:id w:val="-1658832527"/>
                <w:lock w:val="sdtLocked"/>
              </w:sdtPr>
              <w:sdtEndPr/>
              <w:sdtContent>
                <w:tc>
                  <w:tcPr>
                    <w:tcW w:w="206" w:type="pct"/>
                    <w:shd w:val="clear" w:color="auto" w:fill="auto"/>
                    <w:vAlign w:val="center"/>
                  </w:tcPr>
                  <w:p w14:paraId="5252EFA9" w14:textId="77777777" w:rsidR="00471D53" w:rsidRPr="007E7BAC" w:rsidRDefault="004F686E" w:rsidP="00471D53">
                    <w:pPr>
                      <w:jc w:val="center"/>
                      <w:rPr>
                        <w:sz w:val="18"/>
                        <w:szCs w:val="18"/>
                      </w:rPr>
                    </w:pPr>
                    <w:r w:rsidRPr="007E7BAC">
                      <w:rPr>
                        <w:rFonts w:hint="eastAsia"/>
                        <w:sz w:val="18"/>
                        <w:szCs w:val="18"/>
                      </w:rPr>
                      <w:t>工程进度</w:t>
                    </w:r>
                  </w:p>
                </w:tc>
              </w:sdtContent>
            </w:sdt>
            <w:sdt>
              <w:sdtPr>
                <w:rPr>
                  <w:sz w:val="18"/>
                  <w:szCs w:val="18"/>
                </w:rPr>
                <w:tag w:val="_PLD_e89a95ddf6ab4a6abe2d40f64c95699a"/>
                <w:id w:val="-435371805"/>
                <w:lock w:val="sdtLocked"/>
              </w:sdtPr>
              <w:sdtEndPr/>
              <w:sdtContent>
                <w:tc>
                  <w:tcPr>
                    <w:tcW w:w="207" w:type="pct"/>
                    <w:shd w:val="clear" w:color="auto" w:fill="auto"/>
                    <w:vAlign w:val="center"/>
                  </w:tcPr>
                  <w:p w14:paraId="28DD95E6" w14:textId="77777777" w:rsidR="00471D53" w:rsidRPr="007E7BAC" w:rsidRDefault="004F686E" w:rsidP="00471D53">
                    <w:pPr>
                      <w:jc w:val="center"/>
                      <w:rPr>
                        <w:sz w:val="18"/>
                        <w:szCs w:val="18"/>
                      </w:rPr>
                    </w:pPr>
                    <w:r w:rsidRPr="007E7BAC">
                      <w:rPr>
                        <w:rFonts w:hint="eastAsia"/>
                        <w:sz w:val="18"/>
                        <w:szCs w:val="18"/>
                      </w:rPr>
                      <w:t>利息资本化累计金额</w:t>
                    </w:r>
                  </w:p>
                </w:tc>
              </w:sdtContent>
            </w:sdt>
            <w:sdt>
              <w:sdtPr>
                <w:rPr>
                  <w:sz w:val="18"/>
                  <w:szCs w:val="18"/>
                </w:rPr>
                <w:tag w:val="_PLD_211048c05b944d8f9bfd1d37edfd2f6d"/>
                <w:id w:val="804132492"/>
                <w:lock w:val="sdtLocked"/>
              </w:sdtPr>
              <w:sdtEndPr/>
              <w:sdtContent>
                <w:tc>
                  <w:tcPr>
                    <w:tcW w:w="202" w:type="pct"/>
                    <w:shd w:val="clear" w:color="auto" w:fill="auto"/>
                    <w:vAlign w:val="center"/>
                  </w:tcPr>
                  <w:p w14:paraId="3BAE07A7" w14:textId="77777777" w:rsidR="00471D53" w:rsidRPr="007E7BAC" w:rsidRDefault="004F686E" w:rsidP="00471D53">
                    <w:pPr>
                      <w:jc w:val="center"/>
                      <w:rPr>
                        <w:sz w:val="18"/>
                        <w:szCs w:val="18"/>
                      </w:rPr>
                    </w:pPr>
                    <w:r w:rsidRPr="007E7BAC">
                      <w:rPr>
                        <w:rFonts w:hint="eastAsia"/>
                        <w:sz w:val="18"/>
                        <w:szCs w:val="18"/>
                      </w:rPr>
                      <w:t>其中：本期利息资本化金额</w:t>
                    </w:r>
                  </w:p>
                </w:tc>
              </w:sdtContent>
            </w:sdt>
            <w:sdt>
              <w:sdtPr>
                <w:rPr>
                  <w:sz w:val="18"/>
                  <w:szCs w:val="18"/>
                </w:rPr>
                <w:tag w:val="_PLD_2cbfddfcd5e6493ba68633d99551c05f"/>
                <w:id w:val="1321849503"/>
                <w:lock w:val="sdtLocked"/>
              </w:sdtPr>
              <w:sdtEndPr/>
              <w:sdtContent>
                <w:tc>
                  <w:tcPr>
                    <w:tcW w:w="214" w:type="pct"/>
                    <w:shd w:val="clear" w:color="auto" w:fill="auto"/>
                    <w:vAlign w:val="center"/>
                  </w:tcPr>
                  <w:p w14:paraId="63C7DD51" w14:textId="77777777" w:rsidR="00471D53" w:rsidRPr="007E7BAC" w:rsidRDefault="004F686E" w:rsidP="00471D53">
                    <w:pPr>
                      <w:jc w:val="center"/>
                      <w:rPr>
                        <w:sz w:val="18"/>
                        <w:szCs w:val="18"/>
                      </w:rPr>
                    </w:pPr>
                    <w:r w:rsidRPr="007E7BAC">
                      <w:rPr>
                        <w:rFonts w:hint="eastAsia"/>
                        <w:sz w:val="18"/>
                        <w:szCs w:val="18"/>
                      </w:rPr>
                      <w:t>本期利息资本化率(%)</w:t>
                    </w:r>
                  </w:p>
                </w:tc>
              </w:sdtContent>
            </w:sdt>
            <w:sdt>
              <w:sdtPr>
                <w:rPr>
                  <w:sz w:val="18"/>
                  <w:szCs w:val="18"/>
                </w:rPr>
                <w:tag w:val="_PLD_39440674746d4382a4f99328187752a9"/>
                <w:id w:val="-2074042049"/>
                <w:lock w:val="sdtLocked"/>
              </w:sdtPr>
              <w:sdtEndPr/>
              <w:sdtContent>
                <w:tc>
                  <w:tcPr>
                    <w:tcW w:w="198" w:type="pct"/>
                    <w:shd w:val="clear" w:color="auto" w:fill="auto"/>
                    <w:vAlign w:val="center"/>
                  </w:tcPr>
                  <w:p w14:paraId="10ED3A1D" w14:textId="77777777" w:rsidR="00471D53" w:rsidRPr="007E7BAC" w:rsidRDefault="004F686E" w:rsidP="00471D53">
                    <w:pPr>
                      <w:jc w:val="center"/>
                      <w:rPr>
                        <w:sz w:val="18"/>
                        <w:szCs w:val="18"/>
                      </w:rPr>
                    </w:pPr>
                    <w:r w:rsidRPr="007E7BAC">
                      <w:rPr>
                        <w:rFonts w:hint="eastAsia"/>
                        <w:sz w:val="18"/>
                        <w:szCs w:val="18"/>
                      </w:rPr>
                      <w:t>资金来源</w:t>
                    </w:r>
                  </w:p>
                </w:tc>
              </w:sdtContent>
            </w:sdt>
          </w:tr>
          <w:sdt>
            <w:sdtPr>
              <w:rPr>
                <w:rFonts w:hint="eastAsia"/>
                <w:sz w:val="18"/>
                <w:szCs w:val="18"/>
              </w:rPr>
              <w:alias w:val="在建工程明细"/>
              <w:tag w:val="_GBC_b84d9018f52b45beabeca7c2371cdc18"/>
              <w:id w:val="1361790156"/>
              <w:lock w:val="sdtLocked"/>
            </w:sdtPr>
            <w:sdtEndPr/>
            <w:sdtContent>
              <w:tr w:rsidR="00471D53" w14:paraId="27E1E25F" w14:textId="77777777" w:rsidTr="00471D53">
                <w:trPr>
                  <w:cantSplit/>
                </w:trPr>
                <w:tc>
                  <w:tcPr>
                    <w:tcW w:w="408" w:type="pct"/>
                    <w:shd w:val="clear" w:color="auto" w:fill="auto"/>
                  </w:tcPr>
                  <w:p w14:paraId="1C3F8EB6" w14:textId="77777777" w:rsidR="00471D53" w:rsidRPr="007E7BAC" w:rsidRDefault="004F686E" w:rsidP="00471D53">
                    <w:pPr>
                      <w:ind w:right="105"/>
                      <w:rPr>
                        <w:sz w:val="18"/>
                        <w:szCs w:val="18"/>
                      </w:rPr>
                    </w:pPr>
                    <w:r w:rsidRPr="007E7BAC">
                      <w:rPr>
                        <w:sz w:val="18"/>
                        <w:szCs w:val="18"/>
                      </w:rPr>
                      <w:t>天津天海气瓶生产线</w:t>
                    </w:r>
                  </w:p>
                </w:tc>
                <w:tc>
                  <w:tcPr>
                    <w:tcW w:w="690" w:type="pct"/>
                    <w:shd w:val="clear" w:color="auto" w:fill="auto"/>
                    <w:vAlign w:val="center"/>
                  </w:tcPr>
                  <w:p w14:paraId="4D52A3F9" w14:textId="77777777" w:rsidR="00471D53" w:rsidRPr="007E7BAC" w:rsidRDefault="004F686E" w:rsidP="00471D53">
                    <w:pPr>
                      <w:jc w:val="center"/>
                      <w:rPr>
                        <w:color w:val="000000"/>
                        <w:sz w:val="18"/>
                        <w:szCs w:val="18"/>
                      </w:rPr>
                    </w:pPr>
                    <w:r w:rsidRPr="007E7BAC">
                      <w:rPr>
                        <w:rFonts w:hint="eastAsia"/>
                        <w:color w:val="000000"/>
                        <w:sz w:val="18"/>
                        <w:szCs w:val="18"/>
                      </w:rPr>
                      <w:t>7,500,000.00</w:t>
                    </w:r>
                  </w:p>
                </w:tc>
                <w:tc>
                  <w:tcPr>
                    <w:tcW w:w="618" w:type="pct"/>
                    <w:shd w:val="clear" w:color="auto" w:fill="auto"/>
                    <w:vAlign w:val="center"/>
                  </w:tcPr>
                  <w:p w14:paraId="766968B6" w14:textId="77777777" w:rsidR="00471D53" w:rsidRPr="007E7BAC" w:rsidRDefault="004F686E" w:rsidP="00471D53">
                    <w:pPr>
                      <w:autoSpaceDE w:val="0"/>
                      <w:autoSpaceDN w:val="0"/>
                      <w:jc w:val="center"/>
                      <w:rPr>
                        <w:sz w:val="18"/>
                        <w:szCs w:val="18"/>
                      </w:rPr>
                    </w:pPr>
                    <w:r w:rsidRPr="007E7BAC">
                      <w:rPr>
                        <w:sz w:val="18"/>
                        <w:szCs w:val="18"/>
                      </w:rPr>
                      <w:t>4,341,927.26</w:t>
                    </w:r>
                  </w:p>
                </w:tc>
                <w:tc>
                  <w:tcPr>
                    <w:tcW w:w="492" w:type="pct"/>
                    <w:shd w:val="clear" w:color="auto" w:fill="auto"/>
                    <w:vAlign w:val="center"/>
                  </w:tcPr>
                  <w:p w14:paraId="44E3057A" w14:textId="77777777" w:rsidR="00471D53" w:rsidRPr="007E7BAC" w:rsidRDefault="004F686E" w:rsidP="00471D53">
                    <w:pPr>
                      <w:autoSpaceDE w:val="0"/>
                      <w:autoSpaceDN w:val="0"/>
                      <w:jc w:val="center"/>
                      <w:rPr>
                        <w:sz w:val="18"/>
                        <w:szCs w:val="18"/>
                      </w:rPr>
                    </w:pPr>
                    <w:r w:rsidRPr="007E7BAC">
                      <w:rPr>
                        <w:rFonts w:hint="eastAsia"/>
                        <w:sz w:val="18"/>
                        <w:szCs w:val="18"/>
                      </w:rPr>
                      <w:t>0.00</w:t>
                    </w:r>
                  </w:p>
                </w:tc>
                <w:tc>
                  <w:tcPr>
                    <w:tcW w:w="492" w:type="pct"/>
                    <w:shd w:val="clear" w:color="auto" w:fill="auto"/>
                    <w:vAlign w:val="center"/>
                  </w:tcPr>
                  <w:p w14:paraId="545600CC" w14:textId="77777777" w:rsidR="00471D53" w:rsidRPr="007E7BAC" w:rsidRDefault="004F686E" w:rsidP="00471D53">
                    <w:pPr>
                      <w:autoSpaceDE w:val="0"/>
                      <w:autoSpaceDN w:val="0"/>
                      <w:jc w:val="center"/>
                      <w:rPr>
                        <w:sz w:val="18"/>
                        <w:szCs w:val="18"/>
                      </w:rPr>
                    </w:pPr>
                    <w:r w:rsidRPr="007E7BAC">
                      <w:rPr>
                        <w:rFonts w:hint="eastAsia"/>
                        <w:sz w:val="18"/>
                        <w:szCs w:val="18"/>
                      </w:rPr>
                      <w:t>2,712,881.53</w:t>
                    </w:r>
                  </w:p>
                </w:tc>
                <w:tc>
                  <w:tcPr>
                    <w:tcW w:w="369" w:type="pct"/>
                    <w:shd w:val="clear" w:color="auto" w:fill="auto"/>
                    <w:vAlign w:val="center"/>
                  </w:tcPr>
                  <w:p w14:paraId="02696608" w14:textId="77777777" w:rsidR="00471D53" w:rsidRPr="007E7BAC" w:rsidRDefault="00B664AF" w:rsidP="00471D53">
                    <w:pPr>
                      <w:autoSpaceDE w:val="0"/>
                      <w:autoSpaceDN w:val="0"/>
                      <w:jc w:val="center"/>
                      <w:rPr>
                        <w:sz w:val="18"/>
                        <w:szCs w:val="18"/>
                      </w:rPr>
                    </w:pPr>
                  </w:p>
                </w:tc>
                <w:tc>
                  <w:tcPr>
                    <w:tcW w:w="696" w:type="pct"/>
                    <w:vAlign w:val="center"/>
                  </w:tcPr>
                  <w:p w14:paraId="207C052B" w14:textId="77777777" w:rsidR="00471D53" w:rsidRPr="007E7BAC" w:rsidRDefault="004F686E" w:rsidP="00471D53">
                    <w:pPr>
                      <w:autoSpaceDE w:val="0"/>
                      <w:autoSpaceDN w:val="0"/>
                      <w:jc w:val="center"/>
                      <w:rPr>
                        <w:sz w:val="18"/>
                        <w:szCs w:val="18"/>
                      </w:rPr>
                    </w:pPr>
                    <w:r w:rsidRPr="007E7BAC">
                      <w:rPr>
                        <w:rFonts w:hint="eastAsia"/>
                        <w:sz w:val="18"/>
                        <w:szCs w:val="18"/>
                      </w:rPr>
                      <w:t>1,629,045.73</w:t>
                    </w:r>
                  </w:p>
                </w:tc>
                <w:tc>
                  <w:tcPr>
                    <w:tcW w:w="208" w:type="pct"/>
                    <w:shd w:val="clear" w:color="auto" w:fill="auto"/>
                    <w:vAlign w:val="center"/>
                  </w:tcPr>
                  <w:p w14:paraId="50DF084E" w14:textId="77777777" w:rsidR="00471D53" w:rsidRPr="007E7BAC" w:rsidRDefault="004F686E" w:rsidP="00471D53">
                    <w:pPr>
                      <w:autoSpaceDE w:val="0"/>
                      <w:autoSpaceDN w:val="0"/>
                      <w:jc w:val="center"/>
                      <w:rPr>
                        <w:sz w:val="18"/>
                        <w:szCs w:val="18"/>
                      </w:rPr>
                    </w:pPr>
                    <w:r w:rsidRPr="007E7BAC">
                      <w:rPr>
                        <w:rFonts w:hint="eastAsia"/>
                        <w:sz w:val="18"/>
                        <w:szCs w:val="18"/>
                      </w:rPr>
                      <w:t>90.00</w:t>
                    </w:r>
                  </w:p>
                </w:tc>
                <w:tc>
                  <w:tcPr>
                    <w:tcW w:w="206" w:type="pct"/>
                    <w:shd w:val="clear" w:color="auto" w:fill="auto"/>
                    <w:vAlign w:val="center"/>
                  </w:tcPr>
                  <w:p w14:paraId="174E8655" w14:textId="77777777" w:rsidR="00471D53" w:rsidRPr="007E7BAC" w:rsidRDefault="004F686E" w:rsidP="00471D53">
                    <w:pPr>
                      <w:autoSpaceDE w:val="0"/>
                      <w:autoSpaceDN w:val="0"/>
                      <w:jc w:val="center"/>
                      <w:rPr>
                        <w:sz w:val="18"/>
                        <w:szCs w:val="18"/>
                      </w:rPr>
                    </w:pPr>
                    <w:r w:rsidRPr="007E7BAC">
                      <w:rPr>
                        <w:rFonts w:hint="eastAsia"/>
                        <w:sz w:val="18"/>
                        <w:szCs w:val="18"/>
                      </w:rPr>
                      <w:t>95.00</w:t>
                    </w:r>
                  </w:p>
                </w:tc>
                <w:tc>
                  <w:tcPr>
                    <w:tcW w:w="207" w:type="pct"/>
                    <w:shd w:val="clear" w:color="auto" w:fill="auto"/>
                    <w:vAlign w:val="center"/>
                  </w:tcPr>
                  <w:p w14:paraId="3A84373B" w14:textId="77777777" w:rsidR="00471D53" w:rsidRPr="007E7BAC" w:rsidRDefault="00B664AF" w:rsidP="00471D53">
                    <w:pPr>
                      <w:jc w:val="center"/>
                      <w:rPr>
                        <w:sz w:val="18"/>
                        <w:szCs w:val="18"/>
                      </w:rPr>
                    </w:pPr>
                  </w:p>
                </w:tc>
                <w:tc>
                  <w:tcPr>
                    <w:tcW w:w="202" w:type="pct"/>
                    <w:shd w:val="clear" w:color="auto" w:fill="auto"/>
                    <w:vAlign w:val="center"/>
                  </w:tcPr>
                  <w:p w14:paraId="7D47AFCA" w14:textId="77777777" w:rsidR="00471D53" w:rsidRPr="007E7BAC" w:rsidRDefault="00B664AF" w:rsidP="00471D53">
                    <w:pPr>
                      <w:jc w:val="center"/>
                      <w:rPr>
                        <w:sz w:val="18"/>
                        <w:szCs w:val="18"/>
                      </w:rPr>
                    </w:pPr>
                  </w:p>
                </w:tc>
                <w:tc>
                  <w:tcPr>
                    <w:tcW w:w="214" w:type="pct"/>
                    <w:shd w:val="clear" w:color="auto" w:fill="auto"/>
                    <w:vAlign w:val="center"/>
                  </w:tcPr>
                  <w:p w14:paraId="422FE506" w14:textId="77777777" w:rsidR="00471D53" w:rsidRPr="007E7BAC" w:rsidRDefault="00B664AF" w:rsidP="00471D53">
                    <w:pPr>
                      <w:jc w:val="center"/>
                      <w:rPr>
                        <w:sz w:val="18"/>
                        <w:szCs w:val="18"/>
                      </w:rPr>
                    </w:pPr>
                  </w:p>
                </w:tc>
                <w:tc>
                  <w:tcPr>
                    <w:tcW w:w="198" w:type="pct"/>
                    <w:shd w:val="clear" w:color="auto" w:fill="auto"/>
                    <w:vAlign w:val="center"/>
                  </w:tcPr>
                  <w:p w14:paraId="4271EEC5" w14:textId="77777777" w:rsidR="00471D53" w:rsidRPr="007E7BAC" w:rsidRDefault="004F686E" w:rsidP="00471D53">
                    <w:pPr>
                      <w:jc w:val="center"/>
                      <w:rPr>
                        <w:sz w:val="18"/>
                        <w:szCs w:val="18"/>
                      </w:rPr>
                    </w:pPr>
                    <w:r w:rsidRPr="007E7BAC">
                      <w:rPr>
                        <w:sz w:val="18"/>
                        <w:szCs w:val="18"/>
                      </w:rPr>
                      <w:t>自筹</w:t>
                    </w:r>
                  </w:p>
                </w:tc>
              </w:tr>
            </w:sdtContent>
          </w:sdt>
          <w:sdt>
            <w:sdtPr>
              <w:rPr>
                <w:rFonts w:hint="eastAsia"/>
                <w:sz w:val="18"/>
                <w:szCs w:val="18"/>
              </w:rPr>
              <w:alias w:val="在建工程明细"/>
              <w:tag w:val="_GBC_b84d9018f52b45beabeca7c2371cdc18"/>
              <w:id w:val="-1759906739"/>
              <w:lock w:val="sdtLocked"/>
            </w:sdtPr>
            <w:sdtEndPr/>
            <w:sdtContent>
              <w:tr w:rsidR="00471D53" w14:paraId="5B81BB9E" w14:textId="77777777" w:rsidTr="00471D53">
                <w:trPr>
                  <w:cantSplit/>
                </w:trPr>
                <w:tc>
                  <w:tcPr>
                    <w:tcW w:w="408" w:type="pct"/>
                    <w:shd w:val="clear" w:color="auto" w:fill="auto"/>
                  </w:tcPr>
                  <w:p w14:paraId="0B99D9B7" w14:textId="77777777" w:rsidR="00471D53" w:rsidRPr="007E7BAC" w:rsidRDefault="004F686E" w:rsidP="00471D53">
                    <w:pPr>
                      <w:ind w:right="105"/>
                      <w:rPr>
                        <w:sz w:val="18"/>
                        <w:szCs w:val="18"/>
                      </w:rPr>
                    </w:pPr>
                    <w:r w:rsidRPr="007E7BAC">
                      <w:rPr>
                        <w:sz w:val="18"/>
                        <w:szCs w:val="18"/>
                      </w:rPr>
                      <w:t>四型瓶</w:t>
                    </w:r>
                  </w:p>
                </w:tc>
                <w:tc>
                  <w:tcPr>
                    <w:tcW w:w="690" w:type="pct"/>
                    <w:shd w:val="clear" w:color="auto" w:fill="auto"/>
                    <w:vAlign w:val="center"/>
                  </w:tcPr>
                  <w:p w14:paraId="2841EB71" w14:textId="77777777" w:rsidR="00471D53" w:rsidRPr="007E7BAC" w:rsidRDefault="004F686E" w:rsidP="00471D53">
                    <w:pPr>
                      <w:jc w:val="center"/>
                      <w:rPr>
                        <w:color w:val="000000"/>
                        <w:sz w:val="18"/>
                        <w:szCs w:val="18"/>
                      </w:rPr>
                    </w:pPr>
                    <w:r w:rsidRPr="007E7BAC">
                      <w:rPr>
                        <w:rFonts w:hint="eastAsia"/>
                        <w:color w:val="000000"/>
                        <w:sz w:val="18"/>
                        <w:szCs w:val="18"/>
                      </w:rPr>
                      <w:t>52,000,000.00</w:t>
                    </w:r>
                  </w:p>
                </w:tc>
                <w:tc>
                  <w:tcPr>
                    <w:tcW w:w="618" w:type="pct"/>
                    <w:shd w:val="clear" w:color="auto" w:fill="auto"/>
                    <w:vAlign w:val="center"/>
                  </w:tcPr>
                  <w:p w14:paraId="03F21D1B" w14:textId="77777777" w:rsidR="00471D53" w:rsidRPr="007E7BAC" w:rsidRDefault="004F686E" w:rsidP="00471D53">
                    <w:pPr>
                      <w:jc w:val="center"/>
                      <w:outlineLvl w:val="0"/>
                      <w:rPr>
                        <w:sz w:val="18"/>
                        <w:szCs w:val="18"/>
                      </w:rPr>
                    </w:pPr>
                    <w:r w:rsidRPr="007E7BAC">
                      <w:rPr>
                        <w:rFonts w:hint="eastAsia"/>
                        <w:sz w:val="18"/>
                        <w:szCs w:val="18"/>
                      </w:rPr>
                      <w:t>36,497,061.34</w:t>
                    </w:r>
                  </w:p>
                </w:tc>
                <w:tc>
                  <w:tcPr>
                    <w:tcW w:w="492" w:type="pct"/>
                    <w:shd w:val="clear" w:color="auto" w:fill="auto"/>
                    <w:vAlign w:val="center"/>
                  </w:tcPr>
                  <w:p w14:paraId="7A533A1F" w14:textId="77777777" w:rsidR="00471D53" w:rsidRPr="007E7BAC" w:rsidRDefault="004F686E" w:rsidP="00471D53">
                    <w:pPr>
                      <w:jc w:val="center"/>
                      <w:outlineLvl w:val="0"/>
                      <w:rPr>
                        <w:sz w:val="18"/>
                        <w:szCs w:val="18"/>
                      </w:rPr>
                    </w:pPr>
                    <w:r w:rsidRPr="007E7BAC">
                      <w:rPr>
                        <w:rFonts w:hint="eastAsia"/>
                        <w:sz w:val="18"/>
                        <w:szCs w:val="18"/>
                      </w:rPr>
                      <w:t>9,208,617.66</w:t>
                    </w:r>
                  </w:p>
                </w:tc>
                <w:tc>
                  <w:tcPr>
                    <w:tcW w:w="492" w:type="pct"/>
                    <w:shd w:val="clear" w:color="auto" w:fill="auto"/>
                    <w:vAlign w:val="center"/>
                  </w:tcPr>
                  <w:p w14:paraId="65E9A2A2" w14:textId="77777777" w:rsidR="00471D53" w:rsidRPr="007E7BAC" w:rsidRDefault="00B664AF" w:rsidP="00471D53">
                    <w:pPr>
                      <w:jc w:val="center"/>
                      <w:outlineLvl w:val="0"/>
                      <w:rPr>
                        <w:sz w:val="18"/>
                        <w:szCs w:val="18"/>
                      </w:rPr>
                    </w:pPr>
                  </w:p>
                </w:tc>
                <w:tc>
                  <w:tcPr>
                    <w:tcW w:w="369" w:type="pct"/>
                    <w:shd w:val="clear" w:color="auto" w:fill="auto"/>
                    <w:vAlign w:val="center"/>
                  </w:tcPr>
                  <w:p w14:paraId="4F1105EE" w14:textId="77777777" w:rsidR="00471D53" w:rsidRPr="007E7BAC" w:rsidRDefault="00B664AF" w:rsidP="00471D53">
                    <w:pPr>
                      <w:autoSpaceDE w:val="0"/>
                      <w:autoSpaceDN w:val="0"/>
                      <w:jc w:val="center"/>
                      <w:rPr>
                        <w:sz w:val="18"/>
                        <w:szCs w:val="18"/>
                      </w:rPr>
                    </w:pPr>
                  </w:p>
                </w:tc>
                <w:tc>
                  <w:tcPr>
                    <w:tcW w:w="696" w:type="pct"/>
                    <w:vAlign w:val="center"/>
                  </w:tcPr>
                  <w:p w14:paraId="5B1D5693" w14:textId="77777777" w:rsidR="00471D53" w:rsidRPr="007E7BAC" w:rsidRDefault="004F686E" w:rsidP="00471D53">
                    <w:pPr>
                      <w:jc w:val="center"/>
                      <w:outlineLvl w:val="0"/>
                      <w:rPr>
                        <w:sz w:val="18"/>
                        <w:szCs w:val="18"/>
                      </w:rPr>
                    </w:pPr>
                    <w:r w:rsidRPr="007E7BAC">
                      <w:rPr>
                        <w:rFonts w:hint="eastAsia"/>
                        <w:sz w:val="18"/>
                        <w:szCs w:val="18"/>
                      </w:rPr>
                      <w:t>45,705,679.00</w:t>
                    </w:r>
                  </w:p>
                </w:tc>
                <w:tc>
                  <w:tcPr>
                    <w:tcW w:w="208" w:type="pct"/>
                    <w:shd w:val="clear" w:color="auto" w:fill="auto"/>
                    <w:vAlign w:val="center"/>
                  </w:tcPr>
                  <w:p w14:paraId="0F8F1A73" w14:textId="77777777" w:rsidR="00471D53" w:rsidRPr="007E7BAC" w:rsidRDefault="004F686E" w:rsidP="00471D53">
                    <w:pPr>
                      <w:autoSpaceDE w:val="0"/>
                      <w:autoSpaceDN w:val="0"/>
                      <w:jc w:val="center"/>
                      <w:rPr>
                        <w:sz w:val="18"/>
                        <w:szCs w:val="18"/>
                      </w:rPr>
                    </w:pPr>
                    <w:r w:rsidRPr="007E7BAC">
                      <w:rPr>
                        <w:rFonts w:hint="eastAsia"/>
                        <w:sz w:val="18"/>
                        <w:szCs w:val="18"/>
                      </w:rPr>
                      <w:t>95.52</w:t>
                    </w:r>
                  </w:p>
                </w:tc>
                <w:tc>
                  <w:tcPr>
                    <w:tcW w:w="206" w:type="pct"/>
                    <w:shd w:val="clear" w:color="auto" w:fill="auto"/>
                    <w:vAlign w:val="center"/>
                  </w:tcPr>
                  <w:p w14:paraId="7FF66778" w14:textId="77777777" w:rsidR="00471D53" w:rsidRPr="007E7BAC" w:rsidRDefault="004F686E" w:rsidP="00471D53">
                    <w:pPr>
                      <w:autoSpaceDE w:val="0"/>
                      <w:autoSpaceDN w:val="0"/>
                      <w:jc w:val="center"/>
                      <w:rPr>
                        <w:sz w:val="18"/>
                        <w:szCs w:val="18"/>
                      </w:rPr>
                    </w:pPr>
                    <w:r w:rsidRPr="007E7BAC">
                      <w:rPr>
                        <w:rFonts w:hint="eastAsia"/>
                        <w:sz w:val="18"/>
                        <w:szCs w:val="18"/>
                      </w:rPr>
                      <w:t>97.90</w:t>
                    </w:r>
                  </w:p>
                </w:tc>
                <w:tc>
                  <w:tcPr>
                    <w:tcW w:w="207" w:type="pct"/>
                    <w:shd w:val="clear" w:color="auto" w:fill="auto"/>
                    <w:vAlign w:val="center"/>
                  </w:tcPr>
                  <w:p w14:paraId="2AEC618D" w14:textId="77777777" w:rsidR="00471D53" w:rsidRPr="007E7BAC" w:rsidRDefault="00B664AF" w:rsidP="00471D53">
                    <w:pPr>
                      <w:jc w:val="center"/>
                      <w:rPr>
                        <w:sz w:val="18"/>
                        <w:szCs w:val="18"/>
                      </w:rPr>
                    </w:pPr>
                  </w:p>
                </w:tc>
                <w:tc>
                  <w:tcPr>
                    <w:tcW w:w="202" w:type="pct"/>
                    <w:shd w:val="clear" w:color="auto" w:fill="auto"/>
                    <w:vAlign w:val="center"/>
                  </w:tcPr>
                  <w:p w14:paraId="49673AE9" w14:textId="77777777" w:rsidR="00471D53" w:rsidRPr="007E7BAC" w:rsidRDefault="00B664AF" w:rsidP="00471D53">
                    <w:pPr>
                      <w:jc w:val="center"/>
                      <w:rPr>
                        <w:sz w:val="18"/>
                        <w:szCs w:val="18"/>
                      </w:rPr>
                    </w:pPr>
                  </w:p>
                </w:tc>
                <w:tc>
                  <w:tcPr>
                    <w:tcW w:w="214" w:type="pct"/>
                    <w:shd w:val="clear" w:color="auto" w:fill="auto"/>
                    <w:vAlign w:val="center"/>
                  </w:tcPr>
                  <w:p w14:paraId="184BCA93" w14:textId="77777777" w:rsidR="00471D53" w:rsidRPr="007E7BAC" w:rsidRDefault="00B664AF" w:rsidP="00471D53">
                    <w:pPr>
                      <w:jc w:val="center"/>
                      <w:rPr>
                        <w:sz w:val="18"/>
                        <w:szCs w:val="18"/>
                      </w:rPr>
                    </w:pPr>
                  </w:p>
                </w:tc>
                <w:tc>
                  <w:tcPr>
                    <w:tcW w:w="198" w:type="pct"/>
                    <w:shd w:val="clear" w:color="auto" w:fill="auto"/>
                    <w:vAlign w:val="center"/>
                  </w:tcPr>
                  <w:p w14:paraId="2EA71948" w14:textId="77777777" w:rsidR="00471D53" w:rsidRPr="007E7BAC" w:rsidRDefault="004F686E" w:rsidP="00471D53">
                    <w:pPr>
                      <w:jc w:val="center"/>
                      <w:rPr>
                        <w:sz w:val="18"/>
                        <w:szCs w:val="18"/>
                      </w:rPr>
                    </w:pPr>
                    <w:r w:rsidRPr="007E7BAC">
                      <w:rPr>
                        <w:sz w:val="18"/>
                        <w:szCs w:val="18"/>
                      </w:rPr>
                      <w:t>自筹</w:t>
                    </w:r>
                  </w:p>
                </w:tc>
              </w:tr>
            </w:sdtContent>
          </w:sdt>
          <w:tr w:rsidR="00471D53" w14:paraId="0CD9397B" w14:textId="77777777" w:rsidTr="00471D53">
            <w:trPr>
              <w:cantSplit/>
            </w:trPr>
            <w:sdt>
              <w:sdtPr>
                <w:rPr>
                  <w:sz w:val="18"/>
                  <w:szCs w:val="18"/>
                </w:rPr>
                <w:tag w:val="_PLD_942a3001646f41f087960bab251b2bbb"/>
                <w:id w:val="-1602479776"/>
                <w:lock w:val="sdtLocked"/>
              </w:sdtPr>
              <w:sdtEndPr/>
              <w:sdtContent>
                <w:tc>
                  <w:tcPr>
                    <w:tcW w:w="408" w:type="pct"/>
                    <w:shd w:val="clear" w:color="auto" w:fill="auto"/>
                    <w:vAlign w:val="center"/>
                  </w:tcPr>
                  <w:p w14:paraId="59D907AD" w14:textId="77777777" w:rsidR="00471D53" w:rsidRPr="007E7BAC" w:rsidRDefault="004F686E" w:rsidP="00471D53">
                    <w:pPr>
                      <w:ind w:right="105"/>
                      <w:jc w:val="center"/>
                      <w:rPr>
                        <w:sz w:val="18"/>
                        <w:szCs w:val="18"/>
                      </w:rPr>
                    </w:pPr>
                    <w:r w:rsidRPr="007E7BAC">
                      <w:rPr>
                        <w:rFonts w:hint="eastAsia"/>
                        <w:sz w:val="18"/>
                        <w:szCs w:val="18"/>
                      </w:rPr>
                      <w:t>合计</w:t>
                    </w:r>
                  </w:p>
                </w:tc>
              </w:sdtContent>
            </w:sdt>
            <w:tc>
              <w:tcPr>
                <w:tcW w:w="690" w:type="pct"/>
                <w:shd w:val="clear" w:color="auto" w:fill="auto"/>
                <w:vAlign w:val="center"/>
              </w:tcPr>
              <w:p w14:paraId="261E8EA1" w14:textId="77777777" w:rsidR="00471D53" w:rsidRPr="007E7BAC" w:rsidRDefault="004F686E" w:rsidP="00471D53">
                <w:pPr>
                  <w:jc w:val="center"/>
                  <w:rPr>
                    <w:color w:val="000000"/>
                    <w:sz w:val="18"/>
                    <w:szCs w:val="18"/>
                  </w:rPr>
                </w:pPr>
                <w:r w:rsidRPr="007E7BAC">
                  <w:rPr>
                    <w:rFonts w:hint="eastAsia"/>
                    <w:color w:val="000000"/>
                    <w:sz w:val="18"/>
                    <w:szCs w:val="18"/>
                  </w:rPr>
                  <w:t>59,500,000.00</w:t>
                </w:r>
              </w:p>
            </w:tc>
            <w:tc>
              <w:tcPr>
                <w:tcW w:w="618" w:type="pct"/>
                <w:shd w:val="clear" w:color="auto" w:fill="auto"/>
                <w:vAlign w:val="center"/>
              </w:tcPr>
              <w:p w14:paraId="7D528F80" w14:textId="77777777" w:rsidR="00471D53" w:rsidRPr="007E7BAC" w:rsidRDefault="004F686E" w:rsidP="00471D53">
                <w:pPr>
                  <w:autoSpaceDE w:val="0"/>
                  <w:autoSpaceDN w:val="0"/>
                  <w:jc w:val="center"/>
                  <w:rPr>
                    <w:bCs/>
                    <w:sz w:val="18"/>
                    <w:szCs w:val="18"/>
                  </w:rPr>
                </w:pPr>
                <w:r w:rsidRPr="007E7BAC">
                  <w:rPr>
                    <w:rFonts w:hint="eastAsia"/>
                    <w:bCs/>
                    <w:sz w:val="18"/>
                    <w:szCs w:val="18"/>
                  </w:rPr>
                  <w:t>40,838,988.60</w:t>
                </w:r>
              </w:p>
            </w:tc>
            <w:tc>
              <w:tcPr>
                <w:tcW w:w="492" w:type="pct"/>
                <w:shd w:val="clear" w:color="auto" w:fill="auto"/>
                <w:vAlign w:val="center"/>
              </w:tcPr>
              <w:p w14:paraId="6358199C" w14:textId="77777777" w:rsidR="00471D53" w:rsidRPr="007E7BAC" w:rsidRDefault="004F686E" w:rsidP="00471D53">
                <w:pPr>
                  <w:autoSpaceDE w:val="0"/>
                  <w:autoSpaceDN w:val="0"/>
                  <w:jc w:val="center"/>
                  <w:rPr>
                    <w:bCs/>
                    <w:sz w:val="18"/>
                    <w:szCs w:val="18"/>
                  </w:rPr>
                </w:pPr>
                <w:r w:rsidRPr="007E7BAC">
                  <w:rPr>
                    <w:rFonts w:hint="eastAsia"/>
                    <w:bCs/>
                    <w:sz w:val="18"/>
                    <w:szCs w:val="18"/>
                  </w:rPr>
                  <w:t>9,208,617.66</w:t>
                </w:r>
              </w:p>
            </w:tc>
            <w:tc>
              <w:tcPr>
                <w:tcW w:w="492" w:type="pct"/>
                <w:shd w:val="clear" w:color="auto" w:fill="auto"/>
                <w:vAlign w:val="center"/>
              </w:tcPr>
              <w:p w14:paraId="45DB561B" w14:textId="77777777" w:rsidR="00471D53" w:rsidRPr="007E7BAC" w:rsidRDefault="004F686E" w:rsidP="00471D53">
                <w:pPr>
                  <w:autoSpaceDE w:val="0"/>
                  <w:autoSpaceDN w:val="0"/>
                  <w:jc w:val="center"/>
                  <w:rPr>
                    <w:bCs/>
                    <w:sz w:val="18"/>
                    <w:szCs w:val="18"/>
                  </w:rPr>
                </w:pPr>
                <w:r w:rsidRPr="007E7BAC">
                  <w:rPr>
                    <w:rFonts w:hint="eastAsia"/>
                    <w:bCs/>
                    <w:sz w:val="18"/>
                    <w:szCs w:val="18"/>
                  </w:rPr>
                  <w:t>2,712,881.53</w:t>
                </w:r>
              </w:p>
            </w:tc>
            <w:tc>
              <w:tcPr>
                <w:tcW w:w="369" w:type="pct"/>
                <w:shd w:val="clear" w:color="auto" w:fill="auto"/>
                <w:vAlign w:val="center"/>
              </w:tcPr>
              <w:p w14:paraId="0A831AE2" w14:textId="77777777" w:rsidR="00471D53" w:rsidRPr="007E7BAC" w:rsidRDefault="00B664AF" w:rsidP="00471D53">
                <w:pPr>
                  <w:autoSpaceDE w:val="0"/>
                  <w:autoSpaceDN w:val="0"/>
                  <w:jc w:val="center"/>
                  <w:rPr>
                    <w:bCs/>
                    <w:sz w:val="18"/>
                    <w:szCs w:val="18"/>
                  </w:rPr>
                </w:pPr>
              </w:p>
            </w:tc>
            <w:tc>
              <w:tcPr>
                <w:tcW w:w="696" w:type="pct"/>
                <w:vAlign w:val="center"/>
              </w:tcPr>
              <w:p w14:paraId="62AB181B" w14:textId="77777777" w:rsidR="00471D53" w:rsidRPr="007E7BAC" w:rsidRDefault="004F686E" w:rsidP="00471D53">
                <w:pPr>
                  <w:autoSpaceDE w:val="0"/>
                  <w:autoSpaceDN w:val="0"/>
                  <w:jc w:val="center"/>
                  <w:rPr>
                    <w:bCs/>
                    <w:sz w:val="18"/>
                    <w:szCs w:val="18"/>
                  </w:rPr>
                </w:pPr>
                <w:r w:rsidRPr="007E7BAC">
                  <w:rPr>
                    <w:rFonts w:hint="eastAsia"/>
                    <w:bCs/>
                    <w:sz w:val="18"/>
                    <w:szCs w:val="18"/>
                  </w:rPr>
                  <w:t>47,334,724.73</w:t>
                </w:r>
              </w:p>
            </w:tc>
            <w:tc>
              <w:tcPr>
                <w:tcW w:w="208" w:type="pct"/>
                <w:shd w:val="clear" w:color="auto" w:fill="auto"/>
                <w:vAlign w:val="center"/>
              </w:tcPr>
              <w:p w14:paraId="58C8B300" w14:textId="77777777" w:rsidR="00471D53" w:rsidRPr="007E7BAC" w:rsidRDefault="004F686E" w:rsidP="00471D53">
                <w:pPr>
                  <w:ind w:right="174"/>
                  <w:jc w:val="center"/>
                  <w:rPr>
                    <w:sz w:val="18"/>
                    <w:szCs w:val="18"/>
                  </w:rPr>
                </w:pPr>
                <w:r w:rsidRPr="007E7BAC">
                  <w:rPr>
                    <w:sz w:val="18"/>
                    <w:szCs w:val="18"/>
                  </w:rPr>
                  <w:t>/</w:t>
                </w:r>
              </w:p>
            </w:tc>
            <w:tc>
              <w:tcPr>
                <w:tcW w:w="206" w:type="pct"/>
                <w:shd w:val="clear" w:color="auto" w:fill="auto"/>
                <w:vAlign w:val="center"/>
              </w:tcPr>
              <w:p w14:paraId="2687F61F" w14:textId="77777777" w:rsidR="00471D53" w:rsidRPr="007E7BAC" w:rsidRDefault="004F686E" w:rsidP="00471D53">
                <w:pPr>
                  <w:ind w:right="174"/>
                  <w:jc w:val="center"/>
                  <w:rPr>
                    <w:sz w:val="18"/>
                    <w:szCs w:val="18"/>
                  </w:rPr>
                </w:pPr>
                <w:r w:rsidRPr="007E7BAC">
                  <w:rPr>
                    <w:sz w:val="18"/>
                    <w:szCs w:val="18"/>
                  </w:rPr>
                  <w:t>/</w:t>
                </w:r>
              </w:p>
            </w:tc>
            <w:tc>
              <w:tcPr>
                <w:tcW w:w="207" w:type="pct"/>
                <w:shd w:val="clear" w:color="auto" w:fill="auto"/>
                <w:vAlign w:val="center"/>
              </w:tcPr>
              <w:p w14:paraId="48F9C50C" w14:textId="77777777" w:rsidR="00471D53" w:rsidRPr="007E7BAC" w:rsidRDefault="00B664AF" w:rsidP="00471D53">
                <w:pPr>
                  <w:jc w:val="center"/>
                  <w:rPr>
                    <w:sz w:val="18"/>
                    <w:szCs w:val="18"/>
                  </w:rPr>
                </w:pPr>
              </w:p>
            </w:tc>
            <w:tc>
              <w:tcPr>
                <w:tcW w:w="202" w:type="pct"/>
                <w:shd w:val="clear" w:color="auto" w:fill="auto"/>
                <w:vAlign w:val="center"/>
              </w:tcPr>
              <w:p w14:paraId="310949A2" w14:textId="77777777" w:rsidR="00471D53" w:rsidRPr="007E7BAC" w:rsidRDefault="00B664AF" w:rsidP="00471D53">
                <w:pPr>
                  <w:jc w:val="center"/>
                  <w:rPr>
                    <w:sz w:val="18"/>
                    <w:szCs w:val="18"/>
                  </w:rPr>
                </w:pPr>
              </w:p>
            </w:tc>
            <w:tc>
              <w:tcPr>
                <w:tcW w:w="214" w:type="pct"/>
                <w:shd w:val="clear" w:color="auto" w:fill="auto"/>
                <w:vAlign w:val="center"/>
              </w:tcPr>
              <w:p w14:paraId="4C5A9162" w14:textId="77777777" w:rsidR="00471D53" w:rsidRPr="007E7BAC" w:rsidRDefault="004F686E" w:rsidP="00471D53">
                <w:pPr>
                  <w:ind w:right="174"/>
                  <w:jc w:val="center"/>
                  <w:rPr>
                    <w:sz w:val="18"/>
                    <w:szCs w:val="18"/>
                  </w:rPr>
                </w:pPr>
                <w:r w:rsidRPr="007E7BAC">
                  <w:rPr>
                    <w:sz w:val="18"/>
                    <w:szCs w:val="18"/>
                  </w:rPr>
                  <w:t>/</w:t>
                </w:r>
              </w:p>
            </w:tc>
            <w:tc>
              <w:tcPr>
                <w:tcW w:w="198" w:type="pct"/>
                <w:shd w:val="clear" w:color="auto" w:fill="auto"/>
                <w:vAlign w:val="center"/>
              </w:tcPr>
              <w:p w14:paraId="49884C05" w14:textId="77777777" w:rsidR="00471D53" w:rsidRPr="007E7BAC" w:rsidRDefault="004F686E" w:rsidP="00471D53">
                <w:pPr>
                  <w:ind w:right="174"/>
                  <w:jc w:val="center"/>
                  <w:rPr>
                    <w:sz w:val="18"/>
                    <w:szCs w:val="18"/>
                  </w:rPr>
                </w:pPr>
                <w:r w:rsidRPr="007E7BAC">
                  <w:rPr>
                    <w:sz w:val="18"/>
                    <w:szCs w:val="18"/>
                  </w:rPr>
                  <w:t>/</w:t>
                </w:r>
              </w:p>
            </w:tc>
          </w:tr>
        </w:tbl>
        <w:p w14:paraId="047ED91D" w14:textId="77777777" w:rsidR="00471D53" w:rsidRDefault="00B664AF"/>
        <w:p w14:paraId="115BCE35" w14:textId="77777777" w:rsidR="00471D53" w:rsidRDefault="00B664AF">
          <w:pPr>
            <w:snapToGrid w:val="0"/>
            <w:spacing w:line="240" w:lineRule="atLeast"/>
            <w:rPr>
              <w:szCs w:val="21"/>
            </w:rPr>
          </w:pPr>
        </w:p>
      </w:sdtContent>
    </w:sdt>
    <w:sdt>
      <w:sdtPr>
        <w:rPr>
          <w:rFonts w:ascii="宋体" w:hAnsi="宋体" w:cs="宋体" w:hint="eastAsia"/>
          <w:b w:val="0"/>
          <w:bCs w:val="0"/>
          <w:kern w:val="0"/>
          <w:szCs w:val="21"/>
        </w:rPr>
        <w:alias w:val="模块:在建工程减值准备"/>
        <w:tag w:val="_GBC_467986eee7244ad69e86a4292f121eb6"/>
        <w:id w:val="1538550371"/>
        <w:lock w:val="sdtLocked"/>
        <w:placeholder>
          <w:docPart w:val="GBC22222222222222222222222222222"/>
        </w:placeholder>
      </w:sdtPr>
      <w:sdtEndPr>
        <w:rPr>
          <w:rFonts w:cstheme="minorBidi"/>
          <w:kern w:val="2"/>
          <w:szCs w:val="22"/>
        </w:rPr>
      </w:sdtEndPr>
      <w:sdtContent>
        <w:p w14:paraId="526955C3" w14:textId="77777777" w:rsidR="00471D53" w:rsidRDefault="004F686E" w:rsidP="004F686E">
          <w:pPr>
            <w:pStyle w:val="afffff8"/>
            <w:numPr>
              <w:ilvl w:val="0"/>
              <w:numId w:val="72"/>
            </w:numPr>
            <w:tabs>
              <w:tab w:val="left" w:pos="588"/>
            </w:tabs>
            <w:rPr>
              <w:rFonts w:ascii="宋体" w:hAnsi="宋体"/>
              <w:szCs w:val="21"/>
            </w:rPr>
          </w:pPr>
          <w:r>
            <w:rPr>
              <w:rFonts w:ascii="宋体" w:hAnsi="宋体" w:hint="eastAsia"/>
              <w:szCs w:val="21"/>
            </w:rPr>
            <w:t>本期计提在建工程减值准备情况</w:t>
          </w:r>
        </w:p>
        <w:sdt>
          <w:sdtPr>
            <w:alias w:val="是否适用：本期计提在建工程减值准备情况[双击切换]"/>
            <w:tag w:val="_GBC_b220fd94287f4b01997861dc2c72b0a6"/>
            <w:id w:val="-520616856"/>
            <w:lock w:val="sdtLocked"/>
            <w:placeholder>
              <w:docPart w:val="GBC22222222222222222222222222222"/>
            </w:placeholder>
          </w:sdtPr>
          <w:sdtEndPr/>
          <w:sdtContent>
            <w:p w14:paraId="2E0C0D88"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szCs w:val="21"/>
        </w:rPr>
        <w:alias w:val="模块:在建工程的说明"/>
        <w:tag w:val="_GBC_d5aec612c6334d1b8a827f3f39a2781d"/>
        <w:id w:val="1819379495"/>
        <w:lock w:val="sdtLocked"/>
        <w:placeholder>
          <w:docPart w:val="GBC22222222222222222222222222222"/>
        </w:placeholder>
      </w:sdtPr>
      <w:sdtEndPr>
        <w:rPr>
          <w:rFonts w:hint="default"/>
        </w:rPr>
      </w:sdtEndPr>
      <w:sdtContent>
        <w:p w14:paraId="25747FD1" w14:textId="77777777" w:rsidR="00471D53" w:rsidRDefault="004F686E">
          <w:pPr>
            <w:rPr>
              <w:szCs w:val="21"/>
            </w:rPr>
          </w:pPr>
          <w:r>
            <w:rPr>
              <w:rFonts w:hint="eastAsia"/>
              <w:szCs w:val="21"/>
            </w:rPr>
            <w:t>其他说明</w:t>
          </w:r>
        </w:p>
        <w:sdt>
          <w:sdtPr>
            <w:rPr>
              <w:szCs w:val="21"/>
            </w:rPr>
            <w:alias w:val="是否适用：在建工程的说明[双击切换]"/>
            <w:tag w:val="_GBC_c0ffdfbb304348758da855627ba6d858"/>
            <w:id w:val="-1131397415"/>
            <w:lock w:val="sdtLocked"/>
            <w:placeholder>
              <w:docPart w:val="GBC22222222222222222222222222222"/>
            </w:placeholder>
          </w:sdtPr>
          <w:sdtEndPr/>
          <w:sdtContent>
            <w:p w14:paraId="01582988" w14:textId="77777777" w:rsidR="00471D53" w:rsidRDefault="004F686E" w:rsidP="00471D5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14:paraId="53DD6A2C" w14:textId="77777777" w:rsidR="00471D53" w:rsidRDefault="00B664AF">
      <w:pPr>
        <w:rPr>
          <w:szCs w:val="21"/>
        </w:rPr>
      </w:pPr>
    </w:p>
    <w:bookmarkStart w:id="175" w:name="_Hlk11683481" w:displacedByCustomXml="next"/>
    <w:sdt>
      <w:sdtPr>
        <w:rPr>
          <w:rFonts w:ascii="宋体" w:hAnsi="宋体" w:cstheme="minorBidi" w:hint="eastAsia"/>
          <w:b w:val="0"/>
          <w:bCs w:val="0"/>
          <w:kern w:val="0"/>
          <w:szCs w:val="24"/>
        </w:rPr>
        <w:alias w:val="模块:工程物资"/>
        <w:tag w:val="_GBC_12c2ea8f308b49c7b5e2baae867f1ec7"/>
        <w:id w:val="-967514864"/>
        <w:lock w:val="sdtLocked"/>
        <w:placeholder>
          <w:docPart w:val="GBC22222222222222222222222222222"/>
        </w:placeholder>
      </w:sdtPr>
      <w:sdtEndPr>
        <w:rPr>
          <w:rFonts w:hint="default"/>
          <w:szCs w:val="21"/>
        </w:rPr>
      </w:sdtEndPr>
      <w:sdtContent>
        <w:p w14:paraId="703F03DB" w14:textId="77777777" w:rsidR="00471D53" w:rsidRDefault="004F686E">
          <w:pPr>
            <w:pStyle w:val="afffff8"/>
            <w:rPr>
              <w:rFonts w:ascii="宋体" w:hAnsi="宋体"/>
            </w:rPr>
          </w:pPr>
          <w:r>
            <w:rPr>
              <w:rFonts w:ascii="宋体" w:hAnsi="宋体" w:hint="eastAsia"/>
            </w:rPr>
            <w:t>工程物资</w:t>
          </w:r>
        </w:p>
        <w:sdt>
          <w:sdtPr>
            <w:alias w:val="是否适用：工程物资[双击切换]"/>
            <w:tag w:val="_GBC_0d711628566c4b08b883151766986b20"/>
            <w:id w:val="1151327302"/>
            <w:lock w:val="sdtLocked"/>
            <w:placeholder>
              <w:docPart w:val="GBC22222222222222222222222222222"/>
            </w:placeholder>
          </w:sdtPr>
          <w:sdtEndPr/>
          <w:sdtContent>
            <w:p w14:paraId="3C83DBA6"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E274BED" w14:textId="77777777" w:rsidR="00471D53" w:rsidRDefault="00B664AF">
          <w:pPr>
            <w:rPr>
              <w:szCs w:val="21"/>
            </w:rPr>
          </w:pPr>
        </w:p>
      </w:sdtContent>
    </w:sdt>
    <w:bookmarkEnd w:id="175" w:displacedByCustomXml="prev"/>
    <w:p w14:paraId="6FF2D842" w14:textId="77777777" w:rsidR="00471D53" w:rsidRDefault="00B664AF">
      <w:pPr>
        <w:rPr>
          <w:szCs w:val="21"/>
        </w:rPr>
      </w:pPr>
    </w:p>
    <w:p w14:paraId="525F3D02"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生产性生物资产</w:t>
      </w:r>
    </w:p>
    <w:sdt>
      <w:sdtPr>
        <w:rPr>
          <w:rFonts w:ascii="宋体" w:hAnsi="宋体" w:cstheme="minorBidi" w:hint="eastAsia"/>
          <w:b w:val="0"/>
          <w:bCs w:val="0"/>
          <w:kern w:val="0"/>
          <w:szCs w:val="21"/>
        </w:rPr>
        <w:alias w:val="模块:采用成成本计量模式的生产性生物资产"/>
        <w:tag w:val="_GBC_e4aea5da03534f61818766a33b5ada09"/>
        <w:id w:val="-171574383"/>
        <w:lock w:val="sdtLocked"/>
        <w:placeholder>
          <w:docPart w:val="GBC22222222222222222222222222222"/>
        </w:placeholder>
      </w:sdtPr>
      <w:sdtEndPr>
        <w:rPr>
          <w:rFonts w:hint="default"/>
          <w:kern w:val="2"/>
        </w:rPr>
      </w:sdtEndPr>
      <w:sdtContent>
        <w:p w14:paraId="2AB45842" w14:textId="77777777" w:rsidR="00471D53" w:rsidRDefault="004F686E" w:rsidP="004F686E">
          <w:pPr>
            <w:pStyle w:val="afffff8"/>
            <w:numPr>
              <w:ilvl w:val="0"/>
              <w:numId w:val="73"/>
            </w:numPr>
            <w:tabs>
              <w:tab w:val="left" w:pos="602"/>
              <w:tab w:val="left" w:pos="798"/>
            </w:tabs>
            <w:rPr>
              <w:rFonts w:ascii="宋体" w:hAnsi="宋体"/>
              <w:kern w:val="0"/>
              <w:szCs w:val="21"/>
            </w:rPr>
          </w:pPr>
          <w:r>
            <w:rPr>
              <w:rFonts w:ascii="宋体" w:hAnsi="宋体" w:hint="eastAsia"/>
              <w:kern w:val="0"/>
              <w:szCs w:val="21"/>
            </w:rPr>
            <w:t>采用成本计量模式的生产性生物资产</w:t>
          </w:r>
        </w:p>
        <w:sdt>
          <w:sdtPr>
            <w:rPr>
              <w:rFonts w:hint="eastAsia"/>
              <w:szCs w:val="21"/>
            </w:rPr>
            <w:alias w:val="是否适用：财务附注：以成本计量的生产性生物资产[双击切换]"/>
            <w:tag w:val="_GBC_fca5101d9b46492484acd605f0ade969"/>
            <w:id w:val="95692561"/>
            <w:lock w:val="sdtLocked"/>
            <w:placeholder>
              <w:docPart w:val="GBC22222222222222222222222222222"/>
            </w:placeholder>
          </w:sdtPr>
          <w:sdtEndPr/>
          <w:sdtContent>
            <w:p w14:paraId="63AAB058" w14:textId="77777777" w:rsidR="00471D53" w:rsidRDefault="004F686E" w:rsidP="00471D53">
              <w:pPr>
                <w:rPr>
                  <w:szCs w:val="21"/>
                </w:rPr>
              </w:pPr>
              <w:r>
                <w:rPr>
                  <w:szCs w:val="21"/>
                </w:rPr>
                <w:fldChar w:fldCharType="begin"/>
              </w:r>
              <w:r>
                <w:rPr>
                  <w:szCs w:val="21"/>
                </w:rPr>
                <w:instrText>MACROBUTTON  SnrToggleCheckbox □适用</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sdt>
      <w:sdtPr>
        <w:rPr>
          <w:rFonts w:ascii="宋体" w:hAnsi="宋体" w:cstheme="minorBidi" w:hint="eastAsia"/>
          <w:b w:val="0"/>
          <w:bCs w:val="0"/>
          <w:kern w:val="0"/>
          <w:szCs w:val="21"/>
        </w:rPr>
        <w:alias w:val="模块:采用公允价值计量模式的生产性生物资产"/>
        <w:tag w:val="_GBC_c6f2d306944241a8a32f51421c437b66"/>
        <w:id w:val="778072926"/>
        <w:lock w:val="sdtLocked"/>
        <w:placeholder>
          <w:docPart w:val="GBC22222222222222222222222222222"/>
        </w:placeholder>
      </w:sdtPr>
      <w:sdtEndPr>
        <w:rPr>
          <w:kern w:val="2"/>
          <w:szCs w:val="22"/>
        </w:rPr>
      </w:sdtEndPr>
      <w:sdtContent>
        <w:p w14:paraId="7FD0AF52" w14:textId="77777777" w:rsidR="00471D53" w:rsidRDefault="004F686E" w:rsidP="004F686E">
          <w:pPr>
            <w:pStyle w:val="afffff8"/>
            <w:numPr>
              <w:ilvl w:val="0"/>
              <w:numId w:val="73"/>
            </w:numPr>
            <w:tabs>
              <w:tab w:val="left" w:pos="602"/>
              <w:tab w:val="left" w:pos="798"/>
            </w:tabs>
            <w:rPr>
              <w:rFonts w:ascii="宋体" w:hAnsi="宋体"/>
              <w:kern w:val="0"/>
              <w:szCs w:val="21"/>
            </w:rPr>
          </w:pPr>
          <w:r>
            <w:rPr>
              <w:rFonts w:ascii="宋体" w:hAnsi="宋体" w:hint="eastAsia"/>
              <w:kern w:val="0"/>
              <w:szCs w:val="21"/>
            </w:rPr>
            <w:t>采用公允价值计量模式的生产性生物资产</w:t>
          </w:r>
        </w:p>
        <w:sdt>
          <w:sdtPr>
            <w:rPr>
              <w:szCs w:val="21"/>
            </w:rPr>
            <w:alias w:val="是否适用：财务附注：以公允价值计量的生产性生物资产[双击切换]"/>
            <w:tag w:val="_GBC_3a67921e606f4abca6478a1ffb759394"/>
            <w:id w:val="1506081093"/>
            <w:lock w:val="sdtLocked"/>
            <w:placeholder>
              <w:docPart w:val="GBC22222222222222222222222222222"/>
            </w:placeholder>
          </w:sdtPr>
          <w:sdtEndPr/>
          <w:sdtContent>
            <w:p w14:paraId="03E2CE62" w14:textId="77777777" w:rsidR="00471D53" w:rsidRDefault="004F686E" w:rsidP="00471D53">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sdt>
      <w:sdtPr>
        <w:rPr>
          <w:rFonts w:hint="eastAsia"/>
          <w:szCs w:val="21"/>
        </w:rPr>
        <w:alias w:val="模块:生产性生物资产的说明"/>
        <w:tag w:val="_GBC_2bc189a19173429a899369a340bb8483"/>
        <w:id w:val="-1454234577"/>
        <w:lock w:val="sdtLocked"/>
        <w:placeholder>
          <w:docPart w:val="GBC22222222222222222222222222222"/>
        </w:placeholder>
      </w:sdtPr>
      <w:sdtEndPr>
        <w:rPr>
          <w:rFonts w:hint="default"/>
        </w:rPr>
      </w:sdtEndPr>
      <w:sdtContent>
        <w:p w14:paraId="1D6C1D66" w14:textId="77777777" w:rsidR="00471D53" w:rsidRDefault="004F686E">
          <w:pPr>
            <w:autoSpaceDE w:val="0"/>
            <w:autoSpaceDN w:val="0"/>
            <w:adjustRightInd w:val="0"/>
            <w:rPr>
              <w:szCs w:val="21"/>
            </w:rPr>
          </w:pPr>
          <w:r>
            <w:rPr>
              <w:rFonts w:hint="eastAsia"/>
              <w:szCs w:val="21"/>
            </w:rPr>
            <w:t>其他说明</w:t>
          </w:r>
        </w:p>
        <w:sdt>
          <w:sdtPr>
            <w:rPr>
              <w:szCs w:val="21"/>
            </w:rPr>
            <w:alias w:val="是否适用：生产性生物资产的说明[双击切换]"/>
            <w:tag w:val="_GBC_48247874e2c54937aabce9db1308bea7"/>
            <w:id w:val="806052223"/>
            <w:lock w:val="sdtLocked"/>
            <w:placeholder>
              <w:docPart w:val="GBC22222222222222222222222222222"/>
            </w:placeholder>
          </w:sdtPr>
          <w:sdtEndPr/>
          <w:sdtContent>
            <w:p w14:paraId="57B09F01" w14:textId="77777777" w:rsidR="00471D53" w:rsidRDefault="004F686E" w:rsidP="00471D53">
              <w:pPr>
                <w:autoSpaceDE w:val="0"/>
                <w:autoSpaceDN w:val="0"/>
                <w:adjustRightInd w:val="0"/>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14:paraId="2018501A" w14:textId="77777777" w:rsidR="00471D53" w:rsidRDefault="00B664AF">
      <w:pPr>
        <w:rPr>
          <w:szCs w:val="21"/>
        </w:rPr>
      </w:pPr>
    </w:p>
    <w:sdt>
      <w:sdtPr>
        <w:rPr>
          <w:rFonts w:ascii="宋体" w:hAnsi="宋体" w:cs="宋体" w:hint="eastAsia"/>
          <w:b w:val="0"/>
          <w:bCs w:val="0"/>
          <w:kern w:val="0"/>
          <w:szCs w:val="21"/>
        </w:rPr>
        <w:alias w:val="模块:油气资产"/>
        <w:tag w:val="_GBC_fe60430654f541aab1da59bd08202085"/>
        <w:id w:val="1553264498"/>
        <w:lock w:val="sdtLocked"/>
        <w:placeholder>
          <w:docPart w:val="GBC22222222222222222222222222222"/>
        </w:placeholder>
      </w:sdtPr>
      <w:sdtEndPr>
        <w:rPr>
          <w:rFonts w:cstheme="minorBidi" w:hint="default"/>
          <w:kern w:val="2"/>
        </w:rPr>
      </w:sdtEndPr>
      <w:sdtContent>
        <w:p w14:paraId="5FC5C70A"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油气资产</w:t>
          </w:r>
        </w:p>
        <w:sdt>
          <w:sdtPr>
            <w:alias w:val="是否适用：油气资产[双击切换]"/>
            <w:tag w:val="_GBC_7dce41817eb749dba0d132424020d250"/>
            <w:id w:val="1790311547"/>
            <w:lock w:val="sdtLocked"/>
            <w:placeholder>
              <w:docPart w:val="GBC22222222222222222222222222222"/>
            </w:placeholder>
          </w:sdtPr>
          <w:sdtEndPr/>
          <w:sdtContent>
            <w:p w14:paraId="4171C36B"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3BC5DB4" w14:textId="77777777" w:rsidR="00471D53" w:rsidRDefault="00B664AF">
          <w:pPr>
            <w:autoSpaceDE w:val="0"/>
            <w:autoSpaceDN w:val="0"/>
            <w:adjustRightInd w:val="0"/>
            <w:rPr>
              <w:szCs w:val="21"/>
            </w:rPr>
          </w:pPr>
        </w:p>
      </w:sdtContent>
    </w:sdt>
    <w:p w14:paraId="54E567DA" w14:textId="77777777" w:rsidR="00471D53" w:rsidRDefault="00B664AF">
      <w:pPr>
        <w:rPr>
          <w:szCs w:val="21"/>
        </w:rPr>
      </w:pPr>
    </w:p>
    <w:sdt>
      <w:sdtPr>
        <w:rPr>
          <w:rFonts w:ascii="宋体" w:hAnsi="宋体" w:cs="宋体" w:hint="eastAsia"/>
          <w:b w:val="0"/>
          <w:bCs w:val="0"/>
          <w:kern w:val="0"/>
          <w:szCs w:val="21"/>
        </w:rPr>
        <w:alias w:val="模块:使用权资产"/>
        <w:tag w:val="_SEC_42126bf96c7241e38ff33aae0d98dae2"/>
        <w:id w:val="874204215"/>
        <w:lock w:val="sdtLocked"/>
        <w:placeholder>
          <w:docPart w:val="GBC22222222222222222222222222222"/>
        </w:placeholder>
      </w:sdtPr>
      <w:sdtEndPr>
        <w:rPr>
          <w:szCs w:val="24"/>
        </w:rPr>
      </w:sdtEndPr>
      <w:sdtContent>
        <w:p w14:paraId="7FCDFB92"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使用权资产</w:t>
          </w:r>
        </w:p>
        <w:bookmarkStart w:id="176" w:name="_Hlk11679747" w:displacedByCustomXml="next"/>
        <w:sdt>
          <w:sdtPr>
            <w:alias w:val="是否适用：使用权资产[双击切换]"/>
            <w:tag w:val="_GBC_3ac132175b304712af4889ae3914ef7d"/>
            <w:id w:val="1426765423"/>
            <w:lock w:val="sdtLocked"/>
            <w:placeholder>
              <w:docPart w:val="GBC22222222222222222222222222222"/>
            </w:placeholder>
          </w:sdtPr>
          <w:sdtEndPr/>
          <w:sdtContent>
            <w:p w14:paraId="1C390707"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D6A73DF" w14:textId="77777777" w:rsidR="00471D53" w:rsidRDefault="00B664AF"/>
      </w:sdtContent>
    </w:sdt>
    <w:bookmarkEnd w:id="176"/>
    <w:p w14:paraId="6E1C1531" w14:textId="77777777" w:rsidR="00471D53" w:rsidRDefault="00B664AF">
      <w:pPr>
        <w:rPr>
          <w:szCs w:val="21"/>
        </w:rPr>
      </w:pPr>
    </w:p>
    <w:p w14:paraId="4665DF27"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无形资产</w:t>
      </w:r>
    </w:p>
    <w:p w14:paraId="4D2EB9CD" w14:textId="77777777" w:rsidR="00471D53" w:rsidRDefault="004F686E" w:rsidP="004F686E">
      <w:pPr>
        <w:pStyle w:val="afffff8"/>
        <w:numPr>
          <w:ilvl w:val="0"/>
          <w:numId w:val="74"/>
        </w:numPr>
        <w:tabs>
          <w:tab w:val="left" w:pos="602"/>
        </w:tabs>
        <w:rPr>
          <w:rFonts w:ascii="宋体" w:hAnsi="宋体"/>
          <w:szCs w:val="21"/>
        </w:rPr>
      </w:pPr>
      <w:r>
        <w:rPr>
          <w:rFonts w:ascii="宋体" w:hAnsi="宋体" w:hint="eastAsia"/>
          <w:szCs w:val="21"/>
        </w:rPr>
        <w:t>无形资产情况</w:t>
      </w:r>
    </w:p>
    <w:p w14:paraId="149AD720" w14:textId="77777777" w:rsidR="00471D53" w:rsidRDefault="00B664AF">
      <w:sdt>
        <w:sdtPr>
          <w:rPr>
            <w:rFonts w:hint="eastAsia"/>
          </w:rPr>
          <w:alias w:val="是否适用：无形资产情况[双击切换]"/>
          <w:tag w:val="_GBC_0882d05501f84259b91efc5f2eae98cf"/>
          <w:id w:val="1097601413"/>
          <w:lock w:val="sdtContentLocked"/>
          <w:placeholder>
            <w:docPart w:val="GBC22222222222222222222222222222"/>
          </w:placeholder>
        </w:sdtPr>
        <w:sdtEndPr/>
        <w:sdtContent>
          <w:r w:rsidR="004F686E">
            <w:fldChar w:fldCharType="begin"/>
          </w:r>
          <w:r w:rsidR="004F686E">
            <w:instrText xml:space="preserve"> MACROBUTTON  SnrToggleCheckbox √适用 </w:instrText>
          </w:r>
          <w:r w:rsidR="004F686E">
            <w:fldChar w:fldCharType="end"/>
          </w:r>
          <w:r w:rsidR="004F686E">
            <w:fldChar w:fldCharType="begin"/>
          </w:r>
          <w:r w:rsidR="004F686E">
            <w:instrText xml:space="preserve"> MACROBUTTON  SnrToggleCheckbox □不适用 </w:instrText>
          </w:r>
          <w:r w:rsidR="004F686E">
            <w:fldChar w:fldCharType="end"/>
          </w:r>
        </w:sdtContent>
      </w:sdt>
    </w:p>
    <w:sdt>
      <w:sdtPr>
        <w:rPr>
          <w:rFonts w:hint="eastAsia"/>
          <w:b/>
          <w:bCs/>
          <w:szCs w:val="21"/>
        </w:rPr>
        <w:alias w:val="模块:无形资产情况"/>
        <w:tag w:val="_GBC_799ffdb131784d33a2db94a85018c927"/>
        <w:id w:val="44576263"/>
        <w:lock w:val="sdtLocked"/>
        <w:placeholder>
          <w:docPart w:val="GBC22222222222222222222222222222"/>
        </w:placeholder>
      </w:sdtPr>
      <w:sdtEndPr>
        <w:rPr>
          <w:rFonts w:hint="default"/>
          <w:b w:val="0"/>
          <w:bCs w:val="0"/>
        </w:rPr>
      </w:sdtEndPr>
      <w:sdtContent>
        <w:p w14:paraId="67BFBAF2" w14:textId="55176431" w:rsidR="00471D53" w:rsidRDefault="004F686E">
          <w:pPr>
            <w:snapToGrid w:val="0"/>
            <w:spacing w:line="240" w:lineRule="atLeast"/>
            <w:jc w:val="right"/>
            <w:rPr>
              <w:szCs w:val="21"/>
            </w:rPr>
          </w:pPr>
          <w:r>
            <w:rPr>
              <w:rFonts w:hint="eastAsia"/>
              <w:szCs w:val="21"/>
            </w:rPr>
            <w:t>单位：</w:t>
          </w:r>
          <w:sdt>
            <w:sdtPr>
              <w:rPr>
                <w:rFonts w:hint="eastAsia"/>
                <w:szCs w:val="21"/>
              </w:rPr>
              <w:alias w:val="单位：财务附注：无形资产情况"/>
              <w:tag w:val="_GBC_e04514c8858e489490302ba7c2e1448a"/>
              <w:id w:val="15241317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无形资产情况"/>
              <w:tag w:val="_GBC_5ac7324577934f838e3655199c980c1c"/>
              <w:id w:val="-2703916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2"/>
            <w:gridCol w:w="1616"/>
            <w:gridCol w:w="1516"/>
            <w:gridCol w:w="967"/>
            <w:gridCol w:w="1416"/>
            <w:gridCol w:w="1616"/>
          </w:tblGrid>
          <w:tr w:rsidR="00471D53" w14:paraId="4782F79B" w14:textId="77777777" w:rsidTr="00471D53">
            <w:trPr>
              <w:trHeight w:val="284"/>
            </w:trPr>
            <w:sdt>
              <w:sdtPr>
                <w:tag w:val="_PLD_16e062da10ef4301a1526b8633f88a31"/>
                <w:id w:val="-1302064127"/>
                <w:lock w:val="sdtLocked"/>
              </w:sdtPr>
              <w:sdtEndPr/>
              <w:sdtContent>
                <w:tc>
                  <w:tcPr>
                    <w:tcW w:w="1002" w:type="pct"/>
                    <w:shd w:val="clear" w:color="auto" w:fill="auto"/>
                    <w:vAlign w:val="center"/>
                  </w:tcPr>
                  <w:p w14:paraId="118FDC73" w14:textId="77777777" w:rsidR="00471D53" w:rsidRDefault="004F686E">
                    <w:pPr>
                      <w:jc w:val="center"/>
                      <w:rPr>
                        <w:szCs w:val="21"/>
                      </w:rPr>
                    </w:pPr>
                    <w:r>
                      <w:rPr>
                        <w:rFonts w:hint="eastAsia"/>
                        <w:szCs w:val="21"/>
                      </w:rPr>
                      <w:t>项目</w:t>
                    </w:r>
                  </w:p>
                </w:tc>
              </w:sdtContent>
            </w:sdt>
            <w:sdt>
              <w:sdtPr>
                <w:tag w:val="_PLD_8b465b50cb10415c8931fdb66ee29ca3"/>
                <w:id w:val="-1271626321"/>
                <w:lock w:val="sdtLocked"/>
              </w:sdtPr>
              <w:sdtEndPr/>
              <w:sdtContent>
                <w:tc>
                  <w:tcPr>
                    <w:tcW w:w="893" w:type="pct"/>
                    <w:shd w:val="clear" w:color="auto" w:fill="auto"/>
                    <w:vAlign w:val="center"/>
                  </w:tcPr>
                  <w:p w14:paraId="157E04C8" w14:textId="77777777" w:rsidR="00471D53" w:rsidRDefault="004F686E">
                    <w:pPr>
                      <w:jc w:val="center"/>
                      <w:rPr>
                        <w:szCs w:val="21"/>
                      </w:rPr>
                    </w:pPr>
                    <w:r>
                      <w:rPr>
                        <w:rFonts w:hint="eastAsia"/>
                        <w:szCs w:val="21"/>
                      </w:rPr>
                      <w:t>土地使用权</w:t>
                    </w:r>
                  </w:p>
                </w:tc>
              </w:sdtContent>
            </w:sdt>
            <w:sdt>
              <w:sdtPr>
                <w:tag w:val="_PLD_55a0c34977f7438f8a4e60b2ec43e654"/>
                <w:id w:val="-547289840"/>
                <w:lock w:val="sdtLocked"/>
              </w:sdtPr>
              <w:sdtEndPr/>
              <w:sdtContent>
                <w:tc>
                  <w:tcPr>
                    <w:tcW w:w="838" w:type="pct"/>
                    <w:shd w:val="clear" w:color="auto" w:fill="auto"/>
                    <w:vAlign w:val="center"/>
                  </w:tcPr>
                  <w:p w14:paraId="29C9DCD5" w14:textId="77777777" w:rsidR="00471D53" w:rsidRDefault="004F686E">
                    <w:pPr>
                      <w:jc w:val="center"/>
                      <w:rPr>
                        <w:szCs w:val="21"/>
                      </w:rPr>
                    </w:pPr>
                    <w:r>
                      <w:rPr>
                        <w:rFonts w:hint="eastAsia"/>
                        <w:szCs w:val="21"/>
                      </w:rPr>
                      <w:t>专利权</w:t>
                    </w:r>
                  </w:p>
                </w:tc>
              </w:sdtContent>
            </w:sdt>
            <w:sdt>
              <w:sdtPr>
                <w:tag w:val="_PLD_624f8e9465f646f5a305cf5fc59a830c"/>
                <w:id w:val="-1888100478"/>
                <w:lock w:val="sdtLocked"/>
              </w:sdtPr>
              <w:sdtEndPr/>
              <w:sdtContent>
                <w:tc>
                  <w:tcPr>
                    <w:tcW w:w="591" w:type="pct"/>
                    <w:shd w:val="clear" w:color="auto" w:fill="auto"/>
                    <w:vAlign w:val="center"/>
                  </w:tcPr>
                  <w:p w14:paraId="12287D0C" w14:textId="77777777" w:rsidR="00471D53" w:rsidRDefault="004F686E">
                    <w:pPr>
                      <w:jc w:val="center"/>
                      <w:rPr>
                        <w:szCs w:val="21"/>
                      </w:rPr>
                    </w:pPr>
                    <w:r>
                      <w:rPr>
                        <w:rFonts w:hint="eastAsia"/>
                        <w:szCs w:val="21"/>
                      </w:rPr>
                      <w:t>非专利技术</w:t>
                    </w:r>
                  </w:p>
                </w:tc>
              </w:sdtContent>
            </w:sdt>
            <w:sdt>
              <w:sdtPr>
                <w:rPr>
                  <w:szCs w:val="21"/>
                </w:rPr>
                <w:alias w:val="无形资产明细－项目"/>
                <w:tag w:val="_GBC_ee2531f58c0a420e83919cd1efe46139"/>
                <w:id w:val="-507675379"/>
                <w:lock w:val="sdtLocked"/>
              </w:sdtPr>
              <w:sdtEndPr>
                <w:rPr>
                  <w:rFonts w:hint="eastAsia"/>
                </w:rPr>
              </w:sdtEndPr>
              <w:sdtContent>
                <w:tc>
                  <w:tcPr>
                    <w:tcW w:w="782" w:type="pct"/>
                    <w:shd w:val="clear" w:color="auto" w:fill="auto"/>
                    <w:vAlign w:val="center"/>
                  </w:tcPr>
                  <w:p w14:paraId="71C545E0" w14:textId="77777777" w:rsidR="00471D53" w:rsidRDefault="004F686E">
                    <w:pPr>
                      <w:jc w:val="center"/>
                      <w:rPr>
                        <w:szCs w:val="21"/>
                      </w:rPr>
                    </w:pPr>
                    <w:r>
                      <w:rPr>
                        <w:rFonts w:hint="eastAsia"/>
                        <w:szCs w:val="21"/>
                      </w:rPr>
                      <w:t>软件</w:t>
                    </w:r>
                  </w:p>
                </w:tc>
              </w:sdtContent>
            </w:sdt>
            <w:sdt>
              <w:sdtPr>
                <w:tag w:val="_PLD_57620ddc57e34012a99d49f2280a99e2"/>
                <w:id w:val="-1338375639"/>
                <w:lock w:val="sdtLocked"/>
              </w:sdtPr>
              <w:sdtEndPr/>
              <w:sdtContent>
                <w:tc>
                  <w:tcPr>
                    <w:tcW w:w="893" w:type="pct"/>
                    <w:shd w:val="clear" w:color="auto" w:fill="auto"/>
                    <w:vAlign w:val="center"/>
                  </w:tcPr>
                  <w:p w14:paraId="51B9F109" w14:textId="77777777" w:rsidR="00471D53" w:rsidRDefault="004F686E">
                    <w:pPr>
                      <w:jc w:val="center"/>
                      <w:rPr>
                        <w:szCs w:val="21"/>
                      </w:rPr>
                    </w:pPr>
                    <w:r>
                      <w:rPr>
                        <w:szCs w:val="21"/>
                      </w:rPr>
                      <w:t>合计</w:t>
                    </w:r>
                  </w:p>
                </w:tc>
              </w:sdtContent>
            </w:sdt>
          </w:tr>
          <w:tr w:rsidR="00471D53" w14:paraId="0FBE07D5" w14:textId="77777777" w:rsidTr="00471D53">
            <w:trPr>
              <w:trHeight w:val="284"/>
            </w:trPr>
            <w:sdt>
              <w:sdtPr>
                <w:tag w:val="_PLD_97ce5956782c457c89e9607c943b01d4"/>
                <w:id w:val="912203723"/>
                <w:lock w:val="sdtLocked"/>
              </w:sdtPr>
              <w:sdtEndPr/>
              <w:sdtContent>
                <w:tc>
                  <w:tcPr>
                    <w:tcW w:w="1002" w:type="pct"/>
                    <w:shd w:val="clear" w:color="auto" w:fill="auto"/>
                    <w:vAlign w:val="center"/>
                  </w:tcPr>
                  <w:p w14:paraId="0661CBEE" w14:textId="77777777" w:rsidR="00471D53" w:rsidRDefault="004F686E">
                    <w:pPr>
                      <w:rPr>
                        <w:szCs w:val="21"/>
                      </w:rPr>
                    </w:pPr>
                    <w:r>
                      <w:rPr>
                        <w:szCs w:val="21"/>
                      </w:rPr>
                      <w:t>一、</w:t>
                    </w:r>
                    <w:r>
                      <w:rPr>
                        <w:rFonts w:hint="eastAsia"/>
                        <w:szCs w:val="21"/>
                      </w:rPr>
                      <w:t>账面原值</w:t>
                    </w:r>
                  </w:p>
                </w:tc>
              </w:sdtContent>
            </w:sdt>
            <w:tc>
              <w:tcPr>
                <w:tcW w:w="893" w:type="pct"/>
                <w:shd w:val="clear" w:color="auto" w:fill="auto"/>
              </w:tcPr>
              <w:p w14:paraId="566C7EC6" w14:textId="77777777" w:rsidR="00471D53" w:rsidRDefault="00B664AF">
                <w:pPr>
                  <w:rPr>
                    <w:szCs w:val="21"/>
                  </w:rPr>
                </w:pPr>
              </w:p>
            </w:tc>
            <w:tc>
              <w:tcPr>
                <w:tcW w:w="838" w:type="pct"/>
                <w:shd w:val="clear" w:color="auto" w:fill="auto"/>
              </w:tcPr>
              <w:p w14:paraId="1B484999" w14:textId="77777777" w:rsidR="00471D53" w:rsidRDefault="00B664AF">
                <w:pPr>
                  <w:rPr>
                    <w:szCs w:val="21"/>
                  </w:rPr>
                </w:pPr>
              </w:p>
            </w:tc>
            <w:tc>
              <w:tcPr>
                <w:tcW w:w="591" w:type="pct"/>
                <w:shd w:val="clear" w:color="auto" w:fill="auto"/>
              </w:tcPr>
              <w:p w14:paraId="3F3C39FD" w14:textId="77777777" w:rsidR="00471D53" w:rsidRDefault="00B664AF">
                <w:pPr>
                  <w:rPr>
                    <w:szCs w:val="21"/>
                  </w:rPr>
                </w:pPr>
              </w:p>
            </w:tc>
            <w:tc>
              <w:tcPr>
                <w:tcW w:w="782" w:type="pct"/>
                <w:shd w:val="clear" w:color="auto" w:fill="auto"/>
              </w:tcPr>
              <w:p w14:paraId="04897CB9" w14:textId="77777777" w:rsidR="00471D53" w:rsidRDefault="00B664AF">
                <w:pPr>
                  <w:rPr>
                    <w:szCs w:val="21"/>
                  </w:rPr>
                </w:pPr>
              </w:p>
            </w:tc>
            <w:tc>
              <w:tcPr>
                <w:tcW w:w="893" w:type="pct"/>
                <w:shd w:val="clear" w:color="auto" w:fill="auto"/>
              </w:tcPr>
              <w:p w14:paraId="29828892" w14:textId="77777777" w:rsidR="00471D53" w:rsidRDefault="00B664AF">
                <w:pPr>
                  <w:rPr>
                    <w:szCs w:val="21"/>
                  </w:rPr>
                </w:pPr>
              </w:p>
            </w:tc>
          </w:tr>
          <w:tr w:rsidR="00471D53" w14:paraId="3B88DFE6" w14:textId="77777777" w:rsidTr="00471D53">
            <w:trPr>
              <w:trHeight w:val="284"/>
            </w:trPr>
            <w:sdt>
              <w:sdtPr>
                <w:tag w:val="_PLD_3ece69191bc64684a4f52dc219040125"/>
                <w:id w:val="-366221462"/>
                <w:lock w:val="sdtLocked"/>
              </w:sdtPr>
              <w:sdtEndPr/>
              <w:sdtContent>
                <w:tc>
                  <w:tcPr>
                    <w:tcW w:w="1002" w:type="pct"/>
                    <w:shd w:val="clear" w:color="auto" w:fill="auto"/>
                    <w:vAlign w:val="center"/>
                  </w:tcPr>
                  <w:p w14:paraId="083F321A" w14:textId="68446357" w:rsidR="00471D53" w:rsidRDefault="004F686E">
                    <w:pPr>
                      <w:rPr>
                        <w:szCs w:val="21"/>
                      </w:rPr>
                    </w:pPr>
                    <w:r>
                      <w:rPr>
                        <w:szCs w:val="21"/>
                      </w:rPr>
                      <w:t>1.</w:t>
                    </w:r>
                    <w:r>
                      <w:rPr>
                        <w:rFonts w:hint="eastAsia"/>
                        <w:szCs w:val="21"/>
                      </w:rPr>
                      <w:t>期</w:t>
                    </w:r>
                    <w:r>
                      <w:rPr>
                        <w:szCs w:val="21"/>
                      </w:rPr>
                      <w:t>初余额</w:t>
                    </w:r>
                  </w:p>
                </w:tc>
              </w:sdtContent>
            </w:sdt>
            <w:tc>
              <w:tcPr>
                <w:tcW w:w="893" w:type="pct"/>
                <w:shd w:val="clear" w:color="auto" w:fill="auto"/>
                <w:vAlign w:val="center"/>
              </w:tcPr>
              <w:p w14:paraId="06679B43" w14:textId="77777777" w:rsidR="00471D53" w:rsidRPr="008464E3" w:rsidRDefault="004F686E" w:rsidP="00471D53">
                <w:pPr>
                  <w:jc w:val="right"/>
                  <w:rPr>
                    <w:rFonts w:cs="Calibri"/>
                    <w:sz w:val="20"/>
                    <w:szCs w:val="20"/>
                  </w:rPr>
                </w:pPr>
                <w:r w:rsidRPr="008464E3">
                  <w:rPr>
                    <w:rFonts w:cs="Calibri" w:hint="eastAsia"/>
                    <w:sz w:val="20"/>
                    <w:szCs w:val="20"/>
                  </w:rPr>
                  <w:t>145,164,762.08</w:t>
                </w:r>
              </w:p>
            </w:tc>
            <w:tc>
              <w:tcPr>
                <w:tcW w:w="838" w:type="pct"/>
                <w:shd w:val="clear" w:color="auto" w:fill="auto"/>
                <w:vAlign w:val="center"/>
              </w:tcPr>
              <w:p w14:paraId="4FBC01F3" w14:textId="77777777" w:rsidR="00471D53" w:rsidRPr="008464E3" w:rsidRDefault="004F686E" w:rsidP="00471D53">
                <w:pPr>
                  <w:jc w:val="right"/>
                  <w:rPr>
                    <w:rFonts w:cs="Calibri"/>
                    <w:sz w:val="20"/>
                    <w:szCs w:val="20"/>
                  </w:rPr>
                </w:pPr>
                <w:r w:rsidRPr="008464E3">
                  <w:rPr>
                    <w:rFonts w:cs="Calibri" w:hint="eastAsia"/>
                    <w:sz w:val="20"/>
                    <w:szCs w:val="20"/>
                  </w:rPr>
                  <w:t>11,707,050.00</w:t>
                </w:r>
              </w:p>
            </w:tc>
            <w:tc>
              <w:tcPr>
                <w:tcW w:w="591" w:type="pct"/>
                <w:shd w:val="clear" w:color="auto" w:fill="auto"/>
              </w:tcPr>
              <w:p w14:paraId="7AA3B259" w14:textId="77777777" w:rsidR="00471D53" w:rsidRDefault="00B664AF">
                <w:pPr>
                  <w:jc w:val="right"/>
                  <w:rPr>
                    <w:szCs w:val="21"/>
                  </w:rPr>
                </w:pPr>
              </w:p>
            </w:tc>
            <w:tc>
              <w:tcPr>
                <w:tcW w:w="782" w:type="pct"/>
                <w:shd w:val="clear" w:color="auto" w:fill="auto"/>
                <w:vAlign w:val="center"/>
              </w:tcPr>
              <w:p w14:paraId="74FDEFD3" w14:textId="77777777" w:rsidR="00471D53" w:rsidRPr="008464E3" w:rsidRDefault="004F686E" w:rsidP="00471D53">
                <w:pPr>
                  <w:jc w:val="right"/>
                  <w:rPr>
                    <w:rFonts w:cs="Calibri"/>
                    <w:sz w:val="20"/>
                    <w:szCs w:val="20"/>
                  </w:rPr>
                </w:pPr>
                <w:r w:rsidRPr="008464E3">
                  <w:rPr>
                    <w:rFonts w:cs="Calibri" w:hint="eastAsia"/>
                    <w:sz w:val="20"/>
                    <w:szCs w:val="20"/>
                  </w:rPr>
                  <w:t>3,483,058.01</w:t>
                </w:r>
              </w:p>
            </w:tc>
            <w:tc>
              <w:tcPr>
                <w:tcW w:w="893" w:type="pct"/>
                <w:shd w:val="clear" w:color="auto" w:fill="auto"/>
                <w:vAlign w:val="center"/>
              </w:tcPr>
              <w:p w14:paraId="4CE65648" w14:textId="77777777" w:rsidR="00471D53" w:rsidRPr="008464E3" w:rsidRDefault="004F686E" w:rsidP="00471D53">
                <w:pPr>
                  <w:jc w:val="right"/>
                  <w:rPr>
                    <w:sz w:val="20"/>
                    <w:szCs w:val="20"/>
                  </w:rPr>
                </w:pPr>
                <w:r w:rsidRPr="008464E3">
                  <w:rPr>
                    <w:rFonts w:cs="Calibri" w:hint="eastAsia"/>
                    <w:sz w:val="20"/>
                    <w:szCs w:val="20"/>
                  </w:rPr>
                  <w:t>160,354,870.09</w:t>
                </w:r>
              </w:p>
            </w:tc>
          </w:tr>
          <w:tr w:rsidR="00471D53" w14:paraId="049522C5" w14:textId="77777777" w:rsidTr="00471D53">
            <w:trPr>
              <w:trHeight w:val="284"/>
            </w:trPr>
            <w:sdt>
              <w:sdtPr>
                <w:tag w:val="_PLD_619b832ec5e340dc899fb93538a5459d"/>
                <w:id w:val="877586386"/>
                <w:lock w:val="sdtLocked"/>
              </w:sdtPr>
              <w:sdtEndPr/>
              <w:sdtContent>
                <w:tc>
                  <w:tcPr>
                    <w:tcW w:w="1002" w:type="pct"/>
                    <w:shd w:val="clear" w:color="auto" w:fill="auto"/>
                    <w:vAlign w:val="center"/>
                  </w:tcPr>
                  <w:p w14:paraId="0D0248EF" w14:textId="77777777" w:rsidR="00471D53" w:rsidRDefault="004F686E" w:rsidP="00471D53">
                    <w:pPr>
                      <w:ind w:firstLineChars="200" w:firstLine="420"/>
                      <w:rPr>
                        <w:szCs w:val="21"/>
                      </w:rPr>
                    </w:pPr>
                    <w:r>
                      <w:rPr>
                        <w:szCs w:val="21"/>
                      </w:rPr>
                      <w:t>2.本期增加</w:t>
                    </w:r>
                    <w:r>
                      <w:rPr>
                        <w:rFonts w:hint="eastAsia"/>
                        <w:szCs w:val="21"/>
                      </w:rPr>
                      <w:t>金额</w:t>
                    </w:r>
                  </w:p>
                </w:tc>
              </w:sdtContent>
            </w:sdt>
            <w:tc>
              <w:tcPr>
                <w:tcW w:w="893" w:type="pct"/>
                <w:shd w:val="clear" w:color="auto" w:fill="auto"/>
              </w:tcPr>
              <w:p w14:paraId="3BCADA8D" w14:textId="77777777" w:rsidR="00471D53" w:rsidRDefault="00B664AF">
                <w:pPr>
                  <w:jc w:val="right"/>
                  <w:rPr>
                    <w:szCs w:val="21"/>
                  </w:rPr>
                </w:pPr>
              </w:p>
            </w:tc>
            <w:tc>
              <w:tcPr>
                <w:tcW w:w="838" w:type="pct"/>
                <w:shd w:val="clear" w:color="auto" w:fill="auto"/>
              </w:tcPr>
              <w:p w14:paraId="702F20B2" w14:textId="77777777" w:rsidR="00471D53" w:rsidRDefault="00B664AF">
                <w:pPr>
                  <w:jc w:val="right"/>
                  <w:rPr>
                    <w:szCs w:val="21"/>
                  </w:rPr>
                </w:pPr>
              </w:p>
            </w:tc>
            <w:tc>
              <w:tcPr>
                <w:tcW w:w="591" w:type="pct"/>
                <w:shd w:val="clear" w:color="auto" w:fill="auto"/>
              </w:tcPr>
              <w:p w14:paraId="5B0645D2" w14:textId="77777777" w:rsidR="00471D53" w:rsidRDefault="00B664AF">
                <w:pPr>
                  <w:jc w:val="right"/>
                  <w:rPr>
                    <w:szCs w:val="21"/>
                  </w:rPr>
                </w:pPr>
              </w:p>
            </w:tc>
            <w:tc>
              <w:tcPr>
                <w:tcW w:w="782" w:type="pct"/>
                <w:shd w:val="clear" w:color="auto" w:fill="auto"/>
              </w:tcPr>
              <w:p w14:paraId="1AB17E8E" w14:textId="77777777" w:rsidR="00471D53" w:rsidRDefault="00B664AF">
                <w:pPr>
                  <w:jc w:val="right"/>
                  <w:rPr>
                    <w:szCs w:val="21"/>
                  </w:rPr>
                </w:pPr>
              </w:p>
            </w:tc>
            <w:tc>
              <w:tcPr>
                <w:tcW w:w="893" w:type="pct"/>
                <w:shd w:val="clear" w:color="auto" w:fill="auto"/>
              </w:tcPr>
              <w:p w14:paraId="2650CB54" w14:textId="77777777" w:rsidR="00471D53" w:rsidRDefault="00B664AF">
                <w:pPr>
                  <w:jc w:val="right"/>
                  <w:rPr>
                    <w:szCs w:val="21"/>
                  </w:rPr>
                </w:pPr>
              </w:p>
            </w:tc>
          </w:tr>
          <w:tr w:rsidR="00471D53" w14:paraId="3545B622" w14:textId="77777777" w:rsidTr="00471D53">
            <w:trPr>
              <w:trHeight w:val="284"/>
            </w:trPr>
            <w:sdt>
              <w:sdtPr>
                <w:tag w:val="_PLD_90ef4a07fa3c4f969161b700396d9ac5"/>
                <w:id w:val="-661846313"/>
                <w:lock w:val="sdtLocked"/>
              </w:sdtPr>
              <w:sdtEndPr/>
              <w:sdtContent>
                <w:tc>
                  <w:tcPr>
                    <w:tcW w:w="1002" w:type="pct"/>
                    <w:shd w:val="clear" w:color="auto" w:fill="auto"/>
                    <w:vAlign w:val="center"/>
                  </w:tcPr>
                  <w:p w14:paraId="68639D74" w14:textId="77777777" w:rsidR="00471D53" w:rsidRDefault="004F686E" w:rsidP="00471D53">
                    <w:pPr>
                      <w:ind w:firstLineChars="300" w:firstLine="630"/>
                      <w:rPr>
                        <w:szCs w:val="21"/>
                      </w:rPr>
                    </w:pPr>
                    <w:r>
                      <w:rPr>
                        <w:szCs w:val="21"/>
                      </w:rPr>
                      <w:t>(1)</w:t>
                    </w:r>
                    <w:r>
                      <w:rPr>
                        <w:rFonts w:hint="eastAsia"/>
                        <w:szCs w:val="21"/>
                      </w:rPr>
                      <w:t>购置</w:t>
                    </w:r>
                  </w:p>
                </w:tc>
              </w:sdtContent>
            </w:sdt>
            <w:tc>
              <w:tcPr>
                <w:tcW w:w="893" w:type="pct"/>
                <w:shd w:val="clear" w:color="auto" w:fill="auto"/>
              </w:tcPr>
              <w:p w14:paraId="2B803F00" w14:textId="77777777" w:rsidR="00471D53" w:rsidRDefault="00B664AF">
                <w:pPr>
                  <w:jc w:val="right"/>
                  <w:rPr>
                    <w:szCs w:val="21"/>
                  </w:rPr>
                </w:pPr>
              </w:p>
            </w:tc>
            <w:tc>
              <w:tcPr>
                <w:tcW w:w="838" w:type="pct"/>
                <w:shd w:val="clear" w:color="auto" w:fill="auto"/>
              </w:tcPr>
              <w:p w14:paraId="71FDB7F7" w14:textId="77777777" w:rsidR="00471D53" w:rsidRDefault="00B664AF">
                <w:pPr>
                  <w:jc w:val="right"/>
                  <w:rPr>
                    <w:szCs w:val="21"/>
                  </w:rPr>
                </w:pPr>
              </w:p>
            </w:tc>
            <w:tc>
              <w:tcPr>
                <w:tcW w:w="591" w:type="pct"/>
                <w:shd w:val="clear" w:color="auto" w:fill="auto"/>
              </w:tcPr>
              <w:p w14:paraId="2D877E2F" w14:textId="77777777" w:rsidR="00471D53" w:rsidRDefault="00B664AF">
                <w:pPr>
                  <w:jc w:val="right"/>
                  <w:rPr>
                    <w:szCs w:val="21"/>
                  </w:rPr>
                </w:pPr>
              </w:p>
            </w:tc>
            <w:tc>
              <w:tcPr>
                <w:tcW w:w="782" w:type="pct"/>
                <w:shd w:val="clear" w:color="auto" w:fill="auto"/>
              </w:tcPr>
              <w:p w14:paraId="4200A9DD" w14:textId="77777777" w:rsidR="00471D53" w:rsidRDefault="00B664AF">
                <w:pPr>
                  <w:jc w:val="right"/>
                  <w:rPr>
                    <w:szCs w:val="21"/>
                  </w:rPr>
                </w:pPr>
              </w:p>
            </w:tc>
            <w:tc>
              <w:tcPr>
                <w:tcW w:w="893" w:type="pct"/>
                <w:shd w:val="clear" w:color="auto" w:fill="auto"/>
              </w:tcPr>
              <w:p w14:paraId="2E81667E" w14:textId="77777777" w:rsidR="00471D53" w:rsidRDefault="00B664AF">
                <w:pPr>
                  <w:jc w:val="right"/>
                  <w:rPr>
                    <w:szCs w:val="21"/>
                  </w:rPr>
                </w:pPr>
              </w:p>
            </w:tc>
          </w:tr>
          <w:tr w:rsidR="00471D53" w14:paraId="14B77D82" w14:textId="77777777" w:rsidTr="00471D53">
            <w:trPr>
              <w:trHeight w:val="284"/>
            </w:trPr>
            <w:sdt>
              <w:sdtPr>
                <w:tag w:val="_PLD_fdfb103746a24d0281c1e921b5c8be79"/>
                <w:id w:val="-1441986586"/>
                <w:lock w:val="sdtLocked"/>
              </w:sdtPr>
              <w:sdtEndPr/>
              <w:sdtContent>
                <w:tc>
                  <w:tcPr>
                    <w:tcW w:w="1002" w:type="pct"/>
                    <w:shd w:val="clear" w:color="auto" w:fill="auto"/>
                    <w:vAlign w:val="center"/>
                  </w:tcPr>
                  <w:p w14:paraId="4E68FF55" w14:textId="77777777" w:rsidR="00471D53" w:rsidRDefault="004F686E" w:rsidP="00471D53">
                    <w:pPr>
                      <w:ind w:firstLineChars="300" w:firstLine="630"/>
                      <w:rPr>
                        <w:szCs w:val="21"/>
                      </w:rPr>
                    </w:pPr>
                    <w:r>
                      <w:rPr>
                        <w:rFonts w:hint="eastAsia"/>
                        <w:szCs w:val="21"/>
                      </w:rPr>
                      <w:t>(</w:t>
                    </w:r>
                    <w:r>
                      <w:rPr>
                        <w:szCs w:val="21"/>
                      </w:rPr>
                      <w:t>2)</w:t>
                    </w:r>
                    <w:r>
                      <w:rPr>
                        <w:rFonts w:hint="eastAsia"/>
                        <w:szCs w:val="21"/>
                      </w:rPr>
                      <w:t>内部研发</w:t>
                    </w:r>
                  </w:p>
                </w:tc>
              </w:sdtContent>
            </w:sdt>
            <w:tc>
              <w:tcPr>
                <w:tcW w:w="893" w:type="pct"/>
                <w:shd w:val="clear" w:color="auto" w:fill="auto"/>
              </w:tcPr>
              <w:p w14:paraId="313156F0" w14:textId="77777777" w:rsidR="00471D53" w:rsidRDefault="00B664AF">
                <w:pPr>
                  <w:jc w:val="right"/>
                  <w:rPr>
                    <w:szCs w:val="21"/>
                  </w:rPr>
                </w:pPr>
              </w:p>
            </w:tc>
            <w:tc>
              <w:tcPr>
                <w:tcW w:w="838" w:type="pct"/>
                <w:shd w:val="clear" w:color="auto" w:fill="auto"/>
              </w:tcPr>
              <w:p w14:paraId="4CE0F3AD" w14:textId="77777777" w:rsidR="00471D53" w:rsidRDefault="00B664AF">
                <w:pPr>
                  <w:jc w:val="right"/>
                  <w:rPr>
                    <w:szCs w:val="21"/>
                  </w:rPr>
                </w:pPr>
              </w:p>
            </w:tc>
            <w:tc>
              <w:tcPr>
                <w:tcW w:w="591" w:type="pct"/>
                <w:shd w:val="clear" w:color="auto" w:fill="auto"/>
              </w:tcPr>
              <w:p w14:paraId="6CF1206B" w14:textId="77777777" w:rsidR="00471D53" w:rsidRDefault="00B664AF">
                <w:pPr>
                  <w:jc w:val="right"/>
                  <w:rPr>
                    <w:szCs w:val="21"/>
                  </w:rPr>
                </w:pPr>
              </w:p>
            </w:tc>
            <w:tc>
              <w:tcPr>
                <w:tcW w:w="782" w:type="pct"/>
                <w:shd w:val="clear" w:color="auto" w:fill="auto"/>
              </w:tcPr>
              <w:p w14:paraId="79758A46" w14:textId="77777777" w:rsidR="00471D53" w:rsidRDefault="00B664AF">
                <w:pPr>
                  <w:jc w:val="right"/>
                  <w:rPr>
                    <w:szCs w:val="21"/>
                  </w:rPr>
                </w:pPr>
              </w:p>
            </w:tc>
            <w:tc>
              <w:tcPr>
                <w:tcW w:w="893" w:type="pct"/>
                <w:shd w:val="clear" w:color="auto" w:fill="auto"/>
              </w:tcPr>
              <w:p w14:paraId="2D46A4BB" w14:textId="77777777" w:rsidR="00471D53" w:rsidRDefault="00B664AF">
                <w:pPr>
                  <w:jc w:val="right"/>
                  <w:rPr>
                    <w:szCs w:val="21"/>
                  </w:rPr>
                </w:pPr>
              </w:p>
              <w:p w14:paraId="0A2A52CF" w14:textId="77777777" w:rsidR="00471D53" w:rsidRDefault="00B664AF">
                <w:pPr>
                  <w:jc w:val="center"/>
                  <w:rPr>
                    <w:szCs w:val="21"/>
                  </w:rPr>
                </w:pPr>
              </w:p>
            </w:tc>
          </w:tr>
          <w:tr w:rsidR="00471D53" w14:paraId="3E8D0EA0" w14:textId="77777777" w:rsidTr="00471D53">
            <w:trPr>
              <w:trHeight w:val="284"/>
            </w:trPr>
            <w:sdt>
              <w:sdtPr>
                <w:tag w:val="_PLD_a843f8687ca145b0abf8bd1ef13c7d8f"/>
                <w:id w:val="1587803832"/>
                <w:lock w:val="sdtLocked"/>
              </w:sdtPr>
              <w:sdtEndPr/>
              <w:sdtContent>
                <w:tc>
                  <w:tcPr>
                    <w:tcW w:w="1002" w:type="pct"/>
                    <w:shd w:val="clear" w:color="auto" w:fill="auto"/>
                  </w:tcPr>
                  <w:p w14:paraId="5E56A171" w14:textId="77777777" w:rsidR="00471D53" w:rsidRDefault="004F686E" w:rsidP="00471D53">
                    <w:pPr>
                      <w:ind w:firstLineChars="300" w:firstLine="630"/>
                      <w:rPr>
                        <w:szCs w:val="21"/>
                      </w:rPr>
                    </w:pPr>
                    <w:r>
                      <w:rPr>
                        <w:rFonts w:hint="eastAsia"/>
                        <w:szCs w:val="21"/>
                      </w:rPr>
                      <w:t>(</w:t>
                    </w:r>
                    <w:r>
                      <w:rPr>
                        <w:szCs w:val="21"/>
                      </w:rPr>
                      <w:t>3</w:t>
                    </w:r>
                    <w:r>
                      <w:rPr>
                        <w:rFonts w:hint="eastAsia"/>
                        <w:szCs w:val="21"/>
                      </w:rPr>
                      <w:t>)企</w:t>
                    </w:r>
                    <w:r>
                      <w:rPr>
                        <w:szCs w:val="21"/>
                      </w:rPr>
                      <w:t>业合并增加</w:t>
                    </w:r>
                  </w:p>
                </w:tc>
              </w:sdtContent>
            </w:sdt>
            <w:tc>
              <w:tcPr>
                <w:tcW w:w="893" w:type="pct"/>
                <w:shd w:val="clear" w:color="auto" w:fill="auto"/>
              </w:tcPr>
              <w:p w14:paraId="7A7F8C79" w14:textId="77777777" w:rsidR="00471D53" w:rsidRDefault="00B664AF">
                <w:pPr>
                  <w:jc w:val="right"/>
                  <w:rPr>
                    <w:szCs w:val="21"/>
                  </w:rPr>
                </w:pPr>
              </w:p>
            </w:tc>
            <w:tc>
              <w:tcPr>
                <w:tcW w:w="838" w:type="pct"/>
                <w:shd w:val="clear" w:color="auto" w:fill="auto"/>
              </w:tcPr>
              <w:p w14:paraId="0A3CF2A0" w14:textId="77777777" w:rsidR="00471D53" w:rsidRDefault="00B664AF">
                <w:pPr>
                  <w:jc w:val="right"/>
                  <w:rPr>
                    <w:szCs w:val="21"/>
                  </w:rPr>
                </w:pPr>
              </w:p>
            </w:tc>
            <w:tc>
              <w:tcPr>
                <w:tcW w:w="591" w:type="pct"/>
                <w:shd w:val="clear" w:color="auto" w:fill="auto"/>
              </w:tcPr>
              <w:p w14:paraId="5F34908E" w14:textId="77777777" w:rsidR="00471D53" w:rsidRDefault="00B664AF">
                <w:pPr>
                  <w:jc w:val="right"/>
                  <w:rPr>
                    <w:szCs w:val="21"/>
                  </w:rPr>
                </w:pPr>
              </w:p>
            </w:tc>
            <w:tc>
              <w:tcPr>
                <w:tcW w:w="782" w:type="pct"/>
                <w:shd w:val="clear" w:color="auto" w:fill="auto"/>
              </w:tcPr>
              <w:p w14:paraId="7E9A8CC5" w14:textId="77777777" w:rsidR="00471D53" w:rsidRDefault="00B664AF">
                <w:pPr>
                  <w:jc w:val="right"/>
                  <w:rPr>
                    <w:szCs w:val="21"/>
                  </w:rPr>
                </w:pPr>
              </w:p>
            </w:tc>
            <w:tc>
              <w:tcPr>
                <w:tcW w:w="893" w:type="pct"/>
                <w:shd w:val="clear" w:color="auto" w:fill="auto"/>
              </w:tcPr>
              <w:p w14:paraId="0A176512" w14:textId="77777777" w:rsidR="00471D53" w:rsidRDefault="00B664AF">
                <w:pPr>
                  <w:jc w:val="right"/>
                  <w:rPr>
                    <w:szCs w:val="21"/>
                  </w:rPr>
                </w:pPr>
              </w:p>
            </w:tc>
          </w:tr>
          <w:tr w:rsidR="00471D53" w14:paraId="05556D3C" w14:textId="77777777" w:rsidTr="00471D53">
            <w:trPr>
              <w:trHeight w:val="284"/>
            </w:trPr>
            <w:sdt>
              <w:sdtPr>
                <w:rPr>
                  <w:rFonts w:hint="eastAsia"/>
                  <w:szCs w:val="21"/>
                </w:rPr>
                <w:alias w:val="无形资产账面原值增加项目名称"/>
                <w:tag w:val="_GBC_23146e7638324faaa7da0b428a22d186"/>
                <w:id w:val="1831406075"/>
                <w:lock w:val="sdtLocked"/>
                <w:showingPlcHdr/>
              </w:sdtPr>
              <w:sdtEndPr/>
              <w:sdtContent>
                <w:tc>
                  <w:tcPr>
                    <w:tcW w:w="1002" w:type="pct"/>
                    <w:shd w:val="clear" w:color="auto" w:fill="auto"/>
                  </w:tcPr>
                  <w:p w14:paraId="4476D49C" w14:textId="77777777" w:rsidR="00471D53" w:rsidRDefault="004F686E" w:rsidP="00471D53">
                    <w:pPr>
                      <w:ind w:firstLineChars="300" w:firstLine="630"/>
                      <w:rPr>
                        <w:szCs w:val="21"/>
                      </w:rPr>
                    </w:pPr>
                    <w:r>
                      <w:rPr>
                        <w:rFonts w:hint="eastAsia"/>
                        <w:szCs w:val="21"/>
                      </w:rPr>
                      <w:t xml:space="preserve">　</w:t>
                    </w:r>
                  </w:p>
                </w:tc>
              </w:sdtContent>
            </w:sdt>
            <w:sdt>
              <w:sdtPr>
                <w:rPr>
                  <w:rFonts w:hint="eastAsia"/>
                  <w:szCs w:val="21"/>
                </w:rPr>
                <w:alias w:val="无形资产土地使用权账面原值增加项目金额"/>
                <w:tag w:val="_GBC_68b1c1634d8b430b8d2430ed0a1d6a19"/>
                <w:id w:val="710844885"/>
                <w:lock w:val="sdtLocked"/>
                <w:showingPlcHdr/>
              </w:sdtPr>
              <w:sdtEndPr/>
              <w:sdtContent>
                <w:tc>
                  <w:tcPr>
                    <w:tcW w:w="893" w:type="pct"/>
                    <w:shd w:val="clear" w:color="auto" w:fill="auto"/>
                  </w:tcPr>
                  <w:p w14:paraId="51E87BA3" w14:textId="77777777" w:rsidR="00471D53" w:rsidRDefault="004F686E">
                    <w:pPr>
                      <w:jc w:val="right"/>
                      <w:rPr>
                        <w:szCs w:val="21"/>
                      </w:rPr>
                    </w:pPr>
                    <w:r>
                      <w:rPr>
                        <w:rFonts w:hint="eastAsia"/>
                      </w:rPr>
                      <w:t xml:space="preserve">　</w:t>
                    </w:r>
                  </w:p>
                </w:tc>
              </w:sdtContent>
            </w:sdt>
            <w:sdt>
              <w:sdtPr>
                <w:rPr>
                  <w:rFonts w:hint="eastAsia"/>
                  <w:szCs w:val="21"/>
                </w:rPr>
                <w:alias w:val="无形资产专利权账面原值增加项目金额"/>
                <w:tag w:val="_GBC_b5f009ab3fd1422a997d83f901d96e2e"/>
                <w:id w:val="-1016837955"/>
                <w:lock w:val="sdtLocked"/>
                <w:showingPlcHdr/>
              </w:sdtPr>
              <w:sdtEndPr/>
              <w:sdtContent>
                <w:tc>
                  <w:tcPr>
                    <w:tcW w:w="838" w:type="pct"/>
                    <w:shd w:val="clear" w:color="auto" w:fill="auto"/>
                  </w:tcPr>
                  <w:p w14:paraId="43080F3D" w14:textId="77777777" w:rsidR="00471D53" w:rsidRDefault="004F686E">
                    <w:pPr>
                      <w:jc w:val="right"/>
                      <w:rPr>
                        <w:szCs w:val="21"/>
                      </w:rPr>
                    </w:pPr>
                    <w:r>
                      <w:rPr>
                        <w:rFonts w:hint="eastAsia"/>
                        <w:szCs w:val="21"/>
                      </w:rPr>
                      <w:t xml:space="preserve">　</w:t>
                    </w:r>
                  </w:p>
                </w:tc>
              </w:sdtContent>
            </w:sdt>
            <w:sdt>
              <w:sdtPr>
                <w:rPr>
                  <w:rFonts w:hint="eastAsia"/>
                  <w:szCs w:val="21"/>
                </w:rPr>
                <w:alias w:val="无形资产非专利技术账面原值增加项目金额"/>
                <w:tag w:val="_GBC_993f412620f445e88bd61968f7459ec9"/>
                <w:id w:val="-558640211"/>
                <w:lock w:val="sdtLocked"/>
                <w:showingPlcHdr/>
              </w:sdtPr>
              <w:sdtEndPr/>
              <w:sdtContent>
                <w:tc>
                  <w:tcPr>
                    <w:tcW w:w="591" w:type="pct"/>
                    <w:shd w:val="clear" w:color="auto" w:fill="auto"/>
                  </w:tcPr>
                  <w:p w14:paraId="19A9D9B3" w14:textId="77777777" w:rsidR="00471D53" w:rsidRDefault="004F686E">
                    <w:pPr>
                      <w:jc w:val="right"/>
                      <w:rPr>
                        <w:szCs w:val="21"/>
                      </w:rPr>
                    </w:pPr>
                    <w:r>
                      <w:rPr>
                        <w:rFonts w:hint="eastAsia"/>
                        <w:szCs w:val="21"/>
                      </w:rPr>
                      <w:t xml:space="preserve">　</w:t>
                    </w:r>
                  </w:p>
                </w:tc>
              </w:sdtContent>
            </w:sdt>
            <w:sdt>
              <w:sdtPr>
                <w:rPr>
                  <w:rFonts w:hint="eastAsia"/>
                  <w:szCs w:val="21"/>
                </w:rPr>
                <w:alias w:val="无形资产账面原值增加项目金额"/>
                <w:tag w:val="_GBC_0c66eaa614d14da0b0b87a56942737ed"/>
                <w:id w:val="-181900752"/>
                <w:lock w:val="sdtLocked"/>
                <w:showingPlcHdr/>
              </w:sdtPr>
              <w:sdtEndPr/>
              <w:sdtContent>
                <w:tc>
                  <w:tcPr>
                    <w:tcW w:w="782" w:type="pct"/>
                    <w:shd w:val="clear" w:color="auto" w:fill="auto"/>
                  </w:tcPr>
                  <w:p w14:paraId="61A9CC09" w14:textId="77777777" w:rsidR="00471D53" w:rsidRDefault="004F686E">
                    <w:pPr>
                      <w:jc w:val="right"/>
                      <w:rPr>
                        <w:szCs w:val="21"/>
                      </w:rPr>
                    </w:pPr>
                    <w:r>
                      <w:rPr>
                        <w:rFonts w:hint="eastAsia"/>
                        <w:szCs w:val="21"/>
                      </w:rPr>
                      <w:t xml:space="preserve">　</w:t>
                    </w:r>
                  </w:p>
                </w:tc>
              </w:sdtContent>
            </w:sdt>
            <w:sdt>
              <w:sdtPr>
                <w:rPr>
                  <w:rFonts w:hint="eastAsia"/>
                  <w:szCs w:val="21"/>
                </w:rPr>
                <w:alias w:val="无形资产账面原值增加项目合计金额"/>
                <w:tag w:val="_GBC_29ad01d7f03a4139909a42289d945b78"/>
                <w:id w:val="348459636"/>
                <w:lock w:val="sdtLocked"/>
                <w:showingPlcHdr/>
              </w:sdtPr>
              <w:sdtEndPr/>
              <w:sdtContent>
                <w:tc>
                  <w:tcPr>
                    <w:tcW w:w="893" w:type="pct"/>
                    <w:shd w:val="clear" w:color="auto" w:fill="auto"/>
                  </w:tcPr>
                  <w:p w14:paraId="49AD0A31" w14:textId="77777777" w:rsidR="00471D53" w:rsidRDefault="004F686E">
                    <w:pPr>
                      <w:jc w:val="right"/>
                      <w:rPr>
                        <w:szCs w:val="21"/>
                      </w:rPr>
                    </w:pPr>
                    <w:r>
                      <w:rPr>
                        <w:rFonts w:hint="eastAsia"/>
                        <w:szCs w:val="21"/>
                      </w:rPr>
                      <w:t xml:space="preserve">　</w:t>
                    </w:r>
                  </w:p>
                </w:tc>
              </w:sdtContent>
            </w:sdt>
          </w:tr>
          <w:tr w:rsidR="00471D53" w14:paraId="4B58ABAC" w14:textId="77777777" w:rsidTr="00471D53">
            <w:trPr>
              <w:trHeight w:val="284"/>
            </w:trPr>
            <w:sdt>
              <w:sdtPr>
                <w:rPr>
                  <w:rFonts w:hint="eastAsia"/>
                  <w:szCs w:val="21"/>
                </w:rPr>
                <w:alias w:val="无形资产账面原值增加项目名称"/>
                <w:tag w:val="_GBC_23146e7638324faaa7da0b428a22d186"/>
                <w:id w:val="1083114175"/>
                <w:lock w:val="sdtLocked"/>
                <w:showingPlcHdr/>
              </w:sdtPr>
              <w:sdtEndPr/>
              <w:sdtContent>
                <w:tc>
                  <w:tcPr>
                    <w:tcW w:w="1002" w:type="pct"/>
                    <w:shd w:val="clear" w:color="auto" w:fill="auto"/>
                  </w:tcPr>
                  <w:p w14:paraId="394C555D" w14:textId="77777777" w:rsidR="00471D53" w:rsidRDefault="004F686E" w:rsidP="00471D53">
                    <w:pPr>
                      <w:ind w:firstLineChars="300" w:firstLine="630"/>
                      <w:rPr>
                        <w:szCs w:val="21"/>
                      </w:rPr>
                    </w:pPr>
                    <w:r>
                      <w:rPr>
                        <w:rFonts w:hint="eastAsia"/>
                        <w:szCs w:val="21"/>
                      </w:rPr>
                      <w:t xml:space="preserve">　</w:t>
                    </w:r>
                  </w:p>
                </w:tc>
              </w:sdtContent>
            </w:sdt>
            <w:sdt>
              <w:sdtPr>
                <w:rPr>
                  <w:rFonts w:hint="eastAsia"/>
                  <w:szCs w:val="21"/>
                </w:rPr>
                <w:alias w:val="无形资产土地使用权账面原值增加项目金额"/>
                <w:tag w:val="_GBC_68b1c1634d8b430b8d2430ed0a1d6a19"/>
                <w:id w:val="-1311698722"/>
                <w:lock w:val="sdtLocked"/>
                <w:showingPlcHdr/>
              </w:sdtPr>
              <w:sdtEndPr/>
              <w:sdtContent>
                <w:tc>
                  <w:tcPr>
                    <w:tcW w:w="893" w:type="pct"/>
                    <w:shd w:val="clear" w:color="auto" w:fill="auto"/>
                  </w:tcPr>
                  <w:p w14:paraId="7681BCF9" w14:textId="77777777" w:rsidR="00471D53" w:rsidRDefault="004F686E">
                    <w:pPr>
                      <w:jc w:val="right"/>
                      <w:rPr>
                        <w:szCs w:val="21"/>
                      </w:rPr>
                    </w:pPr>
                    <w:r>
                      <w:rPr>
                        <w:rFonts w:hint="eastAsia"/>
                      </w:rPr>
                      <w:t xml:space="preserve">　</w:t>
                    </w:r>
                  </w:p>
                </w:tc>
              </w:sdtContent>
            </w:sdt>
            <w:sdt>
              <w:sdtPr>
                <w:rPr>
                  <w:rFonts w:hint="eastAsia"/>
                  <w:szCs w:val="21"/>
                </w:rPr>
                <w:alias w:val="无形资产专利权账面原值增加项目金额"/>
                <w:tag w:val="_GBC_b5f009ab3fd1422a997d83f901d96e2e"/>
                <w:id w:val="1567231940"/>
                <w:lock w:val="sdtLocked"/>
                <w:showingPlcHdr/>
              </w:sdtPr>
              <w:sdtEndPr/>
              <w:sdtContent>
                <w:tc>
                  <w:tcPr>
                    <w:tcW w:w="838" w:type="pct"/>
                    <w:shd w:val="clear" w:color="auto" w:fill="auto"/>
                  </w:tcPr>
                  <w:p w14:paraId="46FF1FD0" w14:textId="77777777" w:rsidR="00471D53" w:rsidRDefault="004F686E">
                    <w:pPr>
                      <w:jc w:val="right"/>
                      <w:rPr>
                        <w:szCs w:val="21"/>
                      </w:rPr>
                    </w:pPr>
                    <w:r>
                      <w:rPr>
                        <w:rFonts w:hint="eastAsia"/>
                        <w:szCs w:val="21"/>
                      </w:rPr>
                      <w:t xml:space="preserve">　</w:t>
                    </w:r>
                  </w:p>
                </w:tc>
              </w:sdtContent>
            </w:sdt>
            <w:sdt>
              <w:sdtPr>
                <w:rPr>
                  <w:rFonts w:hint="eastAsia"/>
                  <w:szCs w:val="21"/>
                </w:rPr>
                <w:alias w:val="无形资产非专利技术账面原值增加项目金额"/>
                <w:tag w:val="_GBC_993f412620f445e88bd61968f7459ec9"/>
                <w:id w:val="521287863"/>
                <w:lock w:val="sdtLocked"/>
                <w:showingPlcHdr/>
              </w:sdtPr>
              <w:sdtEndPr/>
              <w:sdtContent>
                <w:tc>
                  <w:tcPr>
                    <w:tcW w:w="591" w:type="pct"/>
                    <w:shd w:val="clear" w:color="auto" w:fill="auto"/>
                  </w:tcPr>
                  <w:p w14:paraId="31AD3696" w14:textId="77777777" w:rsidR="00471D53" w:rsidRDefault="004F686E">
                    <w:pPr>
                      <w:jc w:val="right"/>
                      <w:rPr>
                        <w:szCs w:val="21"/>
                      </w:rPr>
                    </w:pPr>
                    <w:r>
                      <w:rPr>
                        <w:rFonts w:hint="eastAsia"/>
                        <w:szCs w:val="21"/>
                      </w:rPr>
                      <w:t xml:space="preserve">　</w:t>
                    </w:r>
                  </w:p>
                </w:tc>
              </w:sdtContent>
            </w:sdt>
            <w:sdt>
              <w:sdtPr>
                <w:rPr>
                  <w:rFonts w:hint="eastAsia"/>
                  <w:szCs w:val="21"/>
                </w:rPr>
                <w:alias w:val="无形资产账面原值增加项目金额"/>
                <w:tag w:val="_GBC_0c66eaa614d14da0b0b87a56942737ed"/>
                <w:id w:val="93682395"/>
                <w:lock w:val="sdtLocked"/>
                <w:showingPlcHdr/>
              </w:sdtPr>
              <w:sdtEndPr/>
              <w:sdtContent>
                <w:tc>
                  <w:tcPr>
                    <w:tcW w:w="782" w:type="pct"/>
                    <w:shd w:val="clear" w:color="auto" w:fill="auto"/>
                  </w:tcPr>
                  <w:p w14:paraId="0B3D1AC9" w14:textId="77777777" w:rsidR="00471D53" w:rsidRDefault="004F686E">
                    <w:pPr>
                      <w:jc w:val="right"/>
                      <w:rPr>
                        <w:szCs w:val="21"/>
                      </w:rPr>
                    </w:pPr>
                    <w:r>
                      <w:rPr>
                        <w:rFonts w:hint="eastAsia"/>
                        <w:szCs w:val="21"/>
                      </w:rPr>
                      <w:t xml:space="preserve">　</w:t>
                    </w:r>
                  </w:p>
                </w:tc>
              </w:sdtContent>
            </w:sdt>
            <w:sdt>
              <w:sdtPr>
                <w:rPr>
                  <w:rFonts w:hint="eastAsia"/>
                  <w:szCs w:val="21"/>
                </w:rPr>
                <w:alias w:val="无形资产账面原值增加项目合计金额"/>
                <w:tag w:val="_GBC_29ad01d7f03a4139909a42289d945b78"/>
                <w:id w:val="1922599833"/>
                <w:lock w:val="sdtLocked"/>
                <w:showingPlcHdr/>
              </w:sdtPr>
              <w:sdtEndPr/>
              <w:sdtContent>
                <w:tc>
                  <w:tcPr>
                    <w:tcW w:w="893" w:type="pct"/>
                    <w:shd w:val="clear" w:color="auto" w:fill="auto"/>
                  </w:tcPr>
                  <w:p w14:paraId="2C696B66" w14:textId="77777777" w:rsidR="00471D53" w:rsidRDefault="004F686E">
                    <w:pPr>
                      <w:jc w:val="right"/>
                      <w:rPr>
                        <w:szCs w:val="21"/>
                      </w:rPr>
                    </w:pPr>
                    <w:r>
                      <w:rPr>
                        <w:rFonts w:hint="eastAsia"/>
                        <w:szCs w:val="21"/>
                      </w:rPr>
                      <w:t xml:space="preserve">　</w:t>
                    </w:r>
                  </w:p>
                </w:tc>
              </w:sdtContent>
            </w:sdt>
          </w:tr>
          <w:tr w:rsidR="00471D53" w14:paraId="7EF0B9D0" w14:textId="77777777" w:rsidTr="00471D53">
            <w:trPr>
              <w:trHeight w:val="284"/>
            </w:trPr>
            <w:sdt>
              <w:sdtPr>
                <w:tag w:val="_PLD_e2ff397d9d9a4a48baa098333a2effda"/>
                <w:id w:val="-603418240"/>
                <w:lock w:val="sdtLocked"/>
              </w:sdtPr>
              <w:sdtEndPr/>
              <w:sdtContent>
                <w:tc>
                  <w:tcPr>
                    <w:tcW w:w="1002" w:type="pct"/>
                    <w:shd w:val="clear" w:color="auto" w:fill="auto"/>
                    <w:vAlign w:val="center"/>
                  </w:tcPr>
                  <w:p w14:paraId="23BEC9AA" w14:textId="4E062D10" w:rsidR="00471D53" w:rsidRDefault="004F686E">
                    <w:pPr>
                      <w:rPr>
                        <w:szCs w:val="21"/>
                      </w:rPr>
                    </w:pPr>
                    <w:r>
                      <w:rPr>
                        <w:szCs w:val="21"/>
                      </w:rPr>
                      <w:t>3.本期减少</w:t>
                    </w:r>
                    <w:r>
                      <w:rPr>
                        <w:rFonts w:hint="eastAsia"/>
                        <w:szCs w:val="21"/>
                      </w:rPr>
                      <w:t>金额</w:t>
                    </w:r>
                  </w:p>
                </w:tc>
              </w:sdtContent>
            </w:sdt>
            <w:tc>
              <w:tcPr>
                <w:tcW w:w="893" w:type="pct"/>
                <w:shd w:val="clear" w:color="auto" w:fill="auto"/>
              </w:tcPr>
              <w:p w14:paraId="6AEC0C33" w14:textId="77777777" w:rsidR="00471D53" w:rsidRDefault="00B664AF">
                <w:pPr>
                  <w:jc w:val="right"/>
                  <w:rPr>
                    <w:szCs w:val="21"/>
                  </w:rPr>
                </w:pPr>
              </w:p>
            </w:tc>
            <w:tc>
              <w:tcPr>
                <w:tcW w:w="838" w:type="pct"/>
                <w:shd w:val="clear" w:color="auto" w:fill="auto"/>
              </w:tcPr>
              <w:p w14:paraId="7C9CFF61" w14:textId="77777777" w:rsidR="00471D53" w:rsidRDefault="00B664AF">
                <w:pPr>
                  <w:jc w:val="right"/>
                  <w:rPr>
                    <w:szCs w:val="21"/>
                  </w:rPr>
                </w:pPr>
              </w:p>
            </w:tc>
            <w:tc>
              <w:tcPr>
                <w:tcW w:w="591" w:type="pct"/>
                <w:shd w:val="clear" w:color="auto" w:fill="auto"/>
              </w:tcPr>
              <w:p w14:paraId="2DFE1A02" w14:textId="77777777" w:rsidR="00471D53" w:rsidRDefault="00B664AF">
                <w:pPr>
                  <w:jc w:val="right"/>
                  <w:rPr>
                    <w:szCs w:val="21"/>
                  </w:rPr>
                </w:pPr>
              </w:p>
            </w:tc>
            <w:tc>
              <w:tcPr>
                <w:tcW w:w="782" w:type="pct"/>
                <w:shd w:val="clear" w:color="auto" w:fill="auto"/>
              </w:tcPr>
              <w:p w14:paraId="08389C9E" w14:textId="77777777" w:rsidR="00471D53" w:rsidRDefault="00B664AF">
                <w:pPr>
                  <w:jc w:val="right"/>
                  <w:rPr>
                    <w:szCs w:val="21"/>
                  </w:rPr>
                </w:pPr>
              </w:p>
            </w:tc>
            <w:tc>
              <w:tcPr>
                <w:tcW w:w="893" w:type="pct"/>
                <w:shd w:val="clear" w:color="auto" w:fill="auto"/>
              </w:tcPr>
              <w:p w14:paraId="7EDCFD5C" w14:textId="77777777" w:rsidR="00471D53" w:rsidRDefault="00B664AF">
                <w:pPr>
                  <w:jc w:val="right"/>
                  <w:rPr>
                    <w:szCs w:val="21"/>
                  </w:rPr>
                </w:pPr>
              </w:p>
            </w:tc>
          </w:tr>
          <w:tr w:rsidR="00471D53" w14:paraId="71E8D04B" w14:textId="77777777" w:rsidTr="00471D53">
            <w:trPr>
              <w:trHeight w:val="284"/>
            </w:trPr>
            <w:sdt>
              <w:sdtPr>
                <w:tag w:val="_PLD_01039cac859c46279f030f4ef8891ef8"/>
                <w:id w:val="724492934"/>
                <w:lock w:val="sdtLocked"/>
              </w:sdtPr>
              <w:sdtEndPr/>
              <w:sdtContent>
                <w:tc>
                  <w:tcPr>
                    <w:tcW w:w="1002" w:type="pct"/>
                    <w:shd w:val="clear" w:color="auto" w:fill="auto"/>
                    <w:vAlign w:val="center"/>
                  </w:tcPr>
                  <w:p w14:paraId="74156974" w14:textId="77777777" w:rsidR="00471D53" w:rsidRDefault="004F686E" w:rsidP="00471D53">
                    <w:pPr>
                      <w:ind w:firstLineChars="300" w:firstLine="630"/>
                      <w:rPr>
                        <w:szCs w:val="21"/>
                      </w:rPr>
                    </w:pPr>
                    <w:r>
                      <w:rPr>
                        <w:szCs w:val="21"/>
                      </w:rPr>
                      <w:t>(</w:t>
                    </w:r>
                    <w:r>
                      <w:rPr>
                        <w:rFonts w:hint="eastAsia"/>
                        <w:szCs w:val="21"/>
                      </w:rPr>
                      <w:t>1</w:t>
                    </w:r>
                    <w:r>
                      <w:rPr>
                        <w:szCs w:val="21"/>
                      </w:rPr>
                      <w:t>)</w:t>
                    </w:r>
                    <w:r>
                      <w:rPr>
                        <w:rFonts w:hint="eastAsia"/>
                        <w:szCs w:val="21"/>
                      </w:rPr>
                      <w:t>处置</w:t>
                    </w:r>
                  </w:p>
                </w:tc>
              </w:sdtContent>
            </w:sdt>
            <w:tc>
              <w:tcPr>
                <w:tcW w:w="893" w:type="pct"/>
                <w:shd w:val="clear" w:color="auto" w:fill="auto"/>
              </w:tcPr>
              <w:p w14:paraId="2C9AE0C9" w14:textId="77777777" w:rsidR="00471D53" w:rsidRDefault="00B664AF">
                <w:pPr>
                  <w:jc w:val="right"/>
                  <w:rPr>
                    <w:szCs w:val="21"/>
                  </w:rPr>
                </w:pPr>
              </w:p>
            </w:tc>
            <w:tc>
              <w:tcPr>
                <w:tcW w:w="838" w:type="pct"/>
                <w:shd w:val="clear" w:color="auto" w:fill="auto"/>
              </w:tcPr>
              <w:p w14:paraId="4CAE5B7B" w14:textId="77777777" w:rsidR="00471D53" w:rsidRDefault="00B664AF">
                <w:pPr>
                  <w:jc w:val="right"/>
                  <w:rPr>
                    <w:szCs w:val="21"/>
                  </w:rPr>
                </w:pPr>
              </w:p>
            </w:tc>
            <w:tc>
              <w:tcPr>
                <w:tcW w:w="591" w:type="pct"/>
                <w:shd w:val="clear" w:color="auto" w:fill="auto"/>
              </w:tcPr>
              <w:p w14:paraId="57F85D11" w14:textId="77777777" w:rsidR="00471D53" w:rsidRDefault="00B664AF">
                <w:pPr>
                  <w:jc w:val="right"/>
                  <w:rPr>
                    <w:szCs w:val="21"/>
                  </w:rPr>
                </w:pPr>
              </w:p>
            </w:tc>
            <w:tc>
              <w:tcPr>
                <w:tcW w:w="782" w:type="pct"/>
                <w:shd w:val="clear" w:color="auto" w:fill="auto"/>
              </w:tcPr>
              <w:p w14:paraId="6E1737C7" w14:textId="77777777" w:rsidR="00471D53" w:rsidRDefault="00B664AF">
                <w:pPr>
                  <w:jc w:val="right"/>
                  <w:rPr>
                    <w:szCs w:val="21"/>
                  </w:rPr>
                </w:pPr>
              </w:p>
            </w:tc>
            <w:tc>
              <w:tcPr>
                <w:tcW w:w="893" w:type="pct"/>
                <w:shd w:val="clear" w:color="auto" w:fill="auto"/>
              </w:tcPr>
              <w:p w14:paraId="0BC3CEFF" w14:textId="77777777" w:rsidR="00471D53" w:rsidRDefault="00B664AF">
                <w:pPr>
                  <w:jc w:val="right"/>
                  <w:rPr>
                    <w:szCs w:val="21"/>
                  </w:rPr>
                </w:pPr>
              </w:p>
            </w:tc>
          </w:tr>
          <w:tr w:rsidR="00471D53" w14:paraId="3FD53A8F" w14:textId="77777777" w:rsidTr="00471D53">
            <w:trPr>
              <w:trHeight w:val="284"/>
            </w:trPr>
            <w:sdt>
              <w:sdtPr>
                <w:rPr>
                  <w:rFonts w:hint="eastAsia"/>
                  <w:szCs w:val="21"/>
                </w:rPr>
                <w:alias w:val="无形资产账面原值减少项目名称"/>
                <w:tag w:val="_GBC_75be63f1efb54632be12885a949e8472"/>
                <w:id w:val="-1589457411"/>
                <w:lock w:val="sdtLocked"/>
                <w:showingPlcHdr/>
              </w:sdtPr>
              <w:sdtEndPr/>
              <w:sdtContent>
                <w:tc>
                  <w:tcPr>
                    <w:tcW w:w="1002" w:type="pct"/>
                    <w:shd w:val="clear" w:color="auto" w:fill="auto"/>
                  </w:tcPr>
                  <w:p w14:paraId="0B8BCE47" w14:textId="77777777" w:rsidR="00471D53" w:rsidRDefault="004F686E" w:rsidP="00471D53">
                    <w:pPr>
                      <w:ind w:firstLineChars="300" w:firstLine="630"/>
                      <w:rPr>
                        <w:szCs w:val="21"/>
                      </w:rPr>
                    </w:pPr>
                    <w:r>
                      <w:rPr>
                        <w:rFonts w:hint="eastAsia"/>
                        <w:szCs w:val="21"/>
                      </w:rPr>
                      <w:t xml:space="preserve">　</w:t>
                    </w:r>
                  </w:p>
                </w:tc>
              </w:sdtContent>
            </w:sdt>
            <w:sdt>
              <w:sdtPr>
                <w:rPr>
                  <w:rFonts w:hint="eastAsia"/>
                  <w:szCs w:val="21"/>
                </w:rPr>
                <w:alias w:val="无形资产土地使用权账面原值减少项目金额"/>
                <w:tag w:val="_GBC_5791b9cc56d34ed3a6b1bb5619046fd4"/>
                <w:id w:val="-483236518"/>
                <w:lock w:val="sdtLocked"/>
                <w:showingPlcHdr/>
              </w:sdtPr>
              <w:sdtEndPr/>
              <w:sdtContent>
                <w:tc>
                  <w:tcPr>
                    <w:tcW w:w="893" w:type="pct"/>
                    <w:shd w:val="clear" w:color="auto" w:fill="auto"/>
                  </w:tcPr>
                  <w:p w14:paraId="03075CDD" w14:textId="77777777" w:rsidR="00471D53" w:rsidRDefault="004F686E">
                    <w:pPr>
                      <w:jc w:val="right"/>
                      <w:rPr>
                        <w:szCs w:val="21"/>
                      </w:rPr>
                    </w:pPr>
                    <w:r>
                      <w:rPr>
                        <w:rFonts w:hint="eastAsia"/>
                        <w:szCs w:val="21"/>
                      </w:rPr>
                      <w:t xml:space="preserve">　</w:t>
                    </w:r>
                  </w:p>
                </w:tc>
              </w:sdtContent>
            </w:sdt>
            <w:sdt>
              <w:sdtPr>
                <w:rPr>
                  <w:rFonts w:hint="eastAsia"/>
                  <w:szCs w:val="21"/>
                </w:rPr>
                <w:alias w:val="无形资产专利权账面原值减少项目金额"/>
                <w:tag w:val="_GBC_a187b12be46c4986a6845dc33026b70e"/>
                <w:id w:val="-1812093927"/>
                <w:lock w:val="sdtLocked"/>
                <w:showingPlcHdr/>
              </w:sdtPr>
              <w:sdtEndPr/>
              <w:sdtContent>
                <w:tc>
                  <w:tcPr>
                    <w:tcW w:w="838" w:type="pct"/>
                    <w:shd w:val="clear" w:color="auto" w:fill="auto"/>
                  </w:tcPr>
                  <w:p w14:paraId="1ED766FE" w14:textId="77777777" w:rsidR="00471D53" w:rsidRDefault="004F686E">
                    <w:pPr>
                      <w:jc w:val="right"/>
                      <w:rPr>
                        <w:szCs w:val="21"/>
                      </w:rPr>
                    </w:pPr>
                    <w:r>
                      <w:rPr>
                        <w:rFonts w:hint="eastAsia"/>
                        <w:szCs w:val="21"/>
                      </w:rPr>
                      <w:t xml:space="preserve">　</w:t>
                    </w:r>
                  </w:p>
                </w:tc>
              </w:sdtContent>
            </w:sdt>
            <w:sdt>
              <w:sdtPr>
                <w:rPr>
                  <w:rFonts w:hint="eastAsia"/>
                  <w:szCs w:val="21"/>
                </w:rPr>
                <w:alias w:val="无形资产非专利技术账面原值减少项目金额"/>
                <w:tag w:val="_GBC_3d6177bde73241c09725cc86b9009958"/>
                <w:id w:val="-1148581167"/>
                <w:lock w:val="sdtLocked"/>
                <w:showingPlcHdr/>
              </w:sdtPr>
              <w:sdtEndPr/>
              <w:sdtContent>
                <w:tc>
                  <w:tcPr>
                    <w:tcW w:w="591" w:type="pct"/>
                    <w:shd w:val="clear" w:color="auto" w:fill="auto"/>
                  </w:tcPr>
                  <w:p w14:paraId="083EB0E8" w14:textId="77777777" w:rsidR="00471D53" w:rsidRDefault="004F686E">
                    <w:pPr>
                      <w:jc w:val="right"/>
                      <w:rPr>
                        <w:szCs w:val="21"/>
                      </w:rPr>
                    </w:pPr>
                    <w:r>
                      <w:rPr>
                        <w:rFonts w:hint="eastAsia"/>
                        <w:szCs w:val="21"/>
                      </w:rPr>
                      <w:t xml:space="preserve">　</w:t>
                    </w:r>
                  </w:p>
                </w:tc>
              </w:sdtContent>
            </w:sdt>
            <w:sdt>
              <w:sdtPr>
                <w:rPr>
                  <w:rFonts w:hint="eastAsia"/>
                  <w:szCs w:val="21"/>
                </w:rPr>
                <w:alias w:val="无形资产账面原值减少项目金额"/>
                <w:tag w:val="_GBC_6bbb19b31f594798a9421218462f8883"/>
                <w:id w:val="975030648"/>
                <w:lock w:val="sdtLocked"/>
                <w:showingPlcHdr/>
              </w:sdtPr>
              <w:sdtEndPr/>
              <w:sdtContent>
                <w:tc>
                  <w:tcPr>
                    <w:tcW w:w="782" w:type="pct"/>
                    <w:shd w:val="clear" w:color="auto" w:fill="auto"/>
                  </w:tcPr>
                  <w:p w14:paraId="35554E7A" w14:textId="77777777" w:rsidR="00471D53" w:rsidRDefault="004F686E">
                    <w:pPr>
                      <w:jc w:val="right"/>
                      <w:rPr>
                        <w:szCs w:val="21"/>
                      </w:rPr>
                    </w:pPr>
                    <w:r>
                      <w:rPr>
                        <w:rFonts w:hint="eastAsia"/>
                        <w:szCs w:val="21"/>
                      </w:rPr>
                      <w:t xml:space="preserve">　</w:t>
                    </w:r>
                  </w:p>
                </w:tc>
              </w:sdtContent>
            </w:sdt>
            <w:sdt>
              <w:sdtPr>
                <w:rPr>
                  <w:rFonts w:hint="eastAsia"/>
                  <w:szCs w:val="21"/>
                </w:rPr>
                <w:alias w:val="无形资产账面原值减少项目合计金额"/>
                <w:tag w:val="_GBC_333bceb4bfb942ca90170e359bb81b89"/>
                <w:id w:val="2037376545"/>
                <w:lock w:val="sdtLocked"/>
                <w:showingPlcHdr/>
              </w:sdtPr>
              <w:sdtEndPr/>
              <w:sdtContent>
                <w:tc>
                  <w:tcPr>
                    <w:tcW w:w="893" w:type="pct"/>
                    <w:shd w:val="clear" w:color="auto" w:fill="auto"/>
                  </w:tcPr>
                  <w:p w14:paraId="56D05E6D" w14:textId="77777777" w:rsidR="00471D53" w:rsidRDefault="004F686E">
                    <w:pPr>
                      <w:jc w:val="right"/>
                      <w:rPr>
                        <w:szCs w:val="21"/>
                      </w:rPr>
                    </w:pPr>
                    <w:r>
                      <w:rPr>
                        <w:rFonts w:hint="eastAsia"/>
                        <w:szCs w:val="21"/>
                      </w:rPr>
                      <w:t xml:space="preserve">　</w:t>
                    </w:r>
                  </w:p>
                </w:tc>
              </w:sdtContent>
            </w:sdt>
          </w:tr>
          <w:tr w:rsidR="00471D53" w14:paraId="48C9B3B7" w14:textId="77777777" w:rsidTr="00471D53">
            <w:trPr>
              <w:trHeight w:val="284"/>
            </w:trPr>
            <w:sdt>
              <w:sdtPr>
                <w:rPr>
                  <w:rFonts w:hint="eastAsia"/>
                  <w:szCs w:val="21"/>
                </w:rPr>
                <w:alias w:val="无形资产账面原值减少项目名称"/>
                <w:tag w:val="_GBC_75be63f1efb54632be12885a949e8472"/>
                <w:id w:val="-606581478"/>
                <w:lock w:val="sdtLocked"/>
                <w:showingPlcHdr/>
              </w:sdtPr>
              <w:sdtEndPr/>
              <w:sdtContent>
                <w:tc>
                  <w:tcPr>
                    <w:tcW w:w="1002" w:type="pct"/>
                    <w:shd w:val="clear" w:color="auto" w:fill="auto"/>
                  </w:tcPr>
                  <w:p w14:paraId="72345690" w14:textId="77777777" w:rsidR="00471D53" w:rsidRDefault="004F686E" w:rsidP="00471D53">
                    <w:pPr>
                      <w:ind w:firstLineChars="300" w:firstLine="630"/>
                      <w:rPr>
                        <w:szCs w:val="21"/>
                      </w:rPr>
                    </w:pPr>
                    <w:r>
                      <w:rPr>
                        <w:rFonts w:hint="eastAsia"/>
                        <w:szCs w:val="21"/>
                      </w:rPr>
                      <w:t xml:space="preserve">　</w:t>
                    </w:r>
                  </w:p>
                </w:tc>
              </w:sdtContent>
            </w:sdt>
            <w:sdt>
              <w:sdtPr>
                <w:rPr>
                  <w:rFonts w:hint="eastAsia"/>
                  <w:szCs w:val="21"/>
                </w:rPr>
                <w:alias w:val="无形资产土地使用权账面原值减少项目金额"/>
                <w:tag w:val="_GBC_5791b9cc56d34ed3a6b1bb5619046fd4"/>
                <w:id w:val="739288761"/>
                <w:lock w:val="sdtLocked"/>
                <w:showingPlcHdr/>
              </w:sdtPr>
              <w:sdtEndPr/>
              <w:sdtContent>
                <w:tc>
                  <w:tcPr>
                    <w:tcW w:w="893" w:type="pct"/>
                    <w:shd w:val="clear" w:color="auto" w:fill="auto"/>
                  </w:tcPr>
                  <w:p w14:paraId="630833B2" w14:textId="77777777" w:rsidR="00471D53" w:rsidRDefault="004F686E">
                    <w:pPr>
                      <w:jc w:val="right"/>
                      <w:rPr>
                        <w:szCs w:val="21"/>
                      </w:rPr>
                    </w:pPr>
                    <w:r>
                      <w:rPr>
                        <w:rFonts w:hint="eastAsia"/>
                        <w:szCs w:val="21"/>
                      </w:rPr>
                      <w:t xml:space="preserve">　</w:t>
                    </w:r>
                  </w:p>
                </w:tc>
              </w:sdtContent>
            </w:sdt>
            <w:sdt>
              <w:sdtPr>
                <w:rPr>
                  <w:rFonts w:hint="eastAsia"/>
                  <w:szCs w:val="21"/>
                </w:rPr>
                <w:alias w:val="无形资产专利权账面原值减少项目金额"/>
                <w:tag w:val="_GBC_a187b12be46c4986a6845dc33026b70e"/>
                <w:id w:val="1715625269"/>
                <w:lock w:val="sdtLocked"/>
                <w:showingPlcHdr/>
              </w:sdtPr>
              <w:sdtEndPr/>
              <w:sdtContent>
                <w:tc>
                  <w:tcPr>
                    <w:tcW w:w="838" w:type="pct"/>
                    <w:shd w:val="clear" w:color="auto" w:fill="auto"/>
                  </w:tcPr>
                  <w:p w14:paraId="53FA7DB3" w14:textId="77777777" w:rsidR="00471D53" w:rsidRDefault="004F686E">
                    <w:pPr>
                      <w:jc w:val="right"/>
                      <w:rPr>
                        <w:szCs w:val="21"/>
                      </w:rPr>
                    </w:pPr>
                    <w:r>
                      <w:rPr>
                        <w:rFonts w:hint="eastAsia"/>
                        <w:szCs w:val="21"/>
                      </w:rPr>
                      <w:t xml:space="preserve">　</w:t>
                    </w:r>
                  </w:p>
                </w:tc>
              </w:sdtContent>
            </w:sdt>
            <w:sdt>
              <w:sdtPr>
                <w:rPr>
                  <w:rFonts w:hint="eastAsia"/>
                  <w:szCs w:val="21"/>
                </w:rPr>
                <w:alias w:val="无形资产非专利技术账面原值减少项目金额"/>
                <w:tag w:val="_GBC_3d6177bde73241c09725cc86b9009958"/>
                <w:id w:val="205074033"/>
                <w:lock w:val="sdtLocked"/>
                <w:showingPlcHdr/>
              </w:sdtPr>
              <w:sdtEndPr/>
              <w:sdtContent>
                <w:tc>
                  <w:tcPr>
                    <w:tcW w:w="591" w:type="pct"/>
                    <w:shd w:val="clear" w:color="auto" w:fill="auto"/>
                  </w:tcPr>
                  <w:p w14:paraId="795070C9" w14:textId="77777777" w:rsidR="00471D53" w:rsidRDefault="004F686E">
                    <w:pPr>
                      <w:jc w:val="right"/>
                      <w:rPr>
                        <w:szCs w:val="21"/>
                      </w:rPr>
                    </w:pPr>
                    <w:r>
                      <w:rPr>
                        <w:rFonts w:hint="eastAsia"/>
                        <w:szCs w:val="21"/>
                      </w:rPr>
                      <w:t xml:space="preserve">　</w:t>
                    </w:r>
                  </w:p>
                </w:tc>
              </w:sdtContent>
            </w:sdt>
            <w:sdt>
              <w:sdtPr>
                <w:rPr>
                  <w:rFonts w:hint="eastAsia"/>
                  <w:szCs w:val="21"/>
                </w:rPr>
                <w:alias w:val="无形资产账面原值减少项目金额"/>
                <w:tag w:val="_GBC_6bbb19b31f594798a9421218462f8883"/>
                <w:id w:val="-501202223"/>
                <w:lock w:val="sdtLocked"/>
                <w:showingPlcHdr/>
              </w:sdtPr>
              <w:sdtEndPr/>
              <w:sdtContent>
                <w:tc>
                  <w:tcPr>
                    <w:tcW w:w="782" w:type="pct"/>
                    <w:shd w:val="clear" w:color="auto" w:fill="auto"/>
                  </w:tcPr>
                  <w:p w14:paraId="6F59357F" w14:textId="77777777" w:rsidR="00471D53" w:rsidRDefault="004F686E">
                    <w:pPr>
                      <w:jc w:val="right"/>
                      <w:rPr>
                        <w:szCs w:val="21"/>
                      </w:rPr>
                    </w:pPr>
                    <w:r>
                      <w:rPr>
                        <w:rFonts w:hint="eastAsia"/>
                        <w:szCs w:val="21"/>
                      </w:rPr>
                      <w:t xml:space="preserve">　</w:t>
                    </w:r>
                  </w:p>
                </w:tc>
              </w:sdtContent>
            </w:sdt>
            <w:sdt>
              <w:sdtPr>
                <w:rPr>
                  <w:rFonts w:hint="eastAsia"/>
                  <w:szCs w:val="21"/>
                </w:rPr>
                <w:alias w:val="无形资产账面原值减少项目合计金额"/>
                <w:tag w:val="_GBC_333bceb4bfb942ca90170e359bb81b89"/>
                <w:id w:val="-1427878604"/>
                <w:lock w:val="sdtLocked"/>
                <w:showingPlcHdr/>
              </w:sdtPr>
              <w:sdtEndPr/>
              <w:sdtContent>
                <w:tc>
                  <w:tcPr>
                    <w:tcW w:w="893" w:type="pct"/>
                    <w:shd w:val="clear" w:color="auto" w:fill="auto"/>
                  </w:tcPr>
                  <w:p w14:paraId="4B726003" w14:textId="77777777" w:rsidR="00471D53" w:rsidRDefault="004F686E">
                    <w:pPr>
                      <w:jc w:val="right"/>
                      <w:rPr>
                        <w:szCs w:val="21"/>
                      </w:rPr>
                    </w:pPr>
                    <w:r>
                      <w:rPr>
                        <w:rFonts w:hint="eastAsia"/>
                        <w:szCs w:val="21"/>
                      </w:rPr>
                      <w:t xml:space="preserve">　</w:t>
                    </w:r>
                  </w:p>
                </w:tc>
              </w:sdtContent>
            </w:sdt>
          </w:tr>
          <w:tr w:rsidR="00471D53" w14:paraId="3871E8EC" w14:textId="77777777" w:rsidTr="00471D53">
            <w:trPr>
              <w:trHeight w:val="284"/>
            </w:trPr>
            <w:sdt>
              <w:sdtPr>
                <w:tag w:val="_PLD_4f7e6faa1a2a40ff9644db9d2bcd8070"/>
                <w:id w:val="341209901"/>
                <w:lock w:val="sdtLocked"/>
              </w:sdtPr>
              <w:sdtEndPr/>
              <w:sdtContent>
                <w:tc>
                  <w:tcPr>
                    <w:tcW w:w="1002" w:type="pct"/>
                    <w:shd w:val="clear" w:color="auto" w:fill="auto"/>
                    <w:vAlign w:val="center"/>
                  </w:tcPr>
                  <w:p w14:paraId="7D0043F3" w14:textId="3704AC06" w:rsidR="00471D53" w:rsidRDefault="004F686E">
                    <w:pPr>
                      <w:rPr>
                        <w:szCs w:val="21"/>
                      </w:rPr>
                    </w:pPr>
                    <w:r>
                      <w:rPr>
                        <w:szCs w:val="21"/>
                      </w:rPr>
                      <w:t>4.期末余额</w:t>
                    </w:r>
                  </w:p>
                </w:tc>
              </w:sdtContent>
            </w:sdt>
            <w:tc>
              <w:tcPr>
                <w:tcW w:w="893" w:type="pct"/>
                <w:shd w:val="clear" w:color="auto" w:fill="auto"/>
                <w:vAlign w:val="center"/>
              </w:tcPr>
              <w:p w14:paraId="79EC84B9" w14:textId="77777777" w:rsidR="00471D53" w:rsidRPr="008464E3" w:rsidRDefault="004F686E" w:rsidP="00471D53">
                <w:pPr>
                  <w:jc w:val="right"/>
                  <w:rPr>
                    <w:rFonts w:cs="Calibri"/>
                    <w:sz w:val="20"/>
                    <w:szCs w:val="20"/>
                  </w:rPr>
                </w:pPr>
                <w:r w:rsidRPr="008464E3">
                  <w:rPr>
                    <w:rFonts w:cs="Calibri" w:hint="eastAsia"/>
                    <w:sz w:val="20"/>
                    <w:szCs w:val="20"/>
                  </w:rPr>
                  <w:t>145,164,762.08</w:t>
                </w:r>
              </w:p>
            </w:tc>
            <w:tc>
              <w:tcPr>
                <w:tcW w:w="838" w:type="pct"/>
                <w:shd w:val="clear" w:color="auto" w:fill="auto"/>
                <w:vAlign w:val="center"/>
              </w:tcPr>
              <w:p w14:paraId="01ACAD6A" w14:textId="77777777" w:rsidR="00471D53" w:rsidRPr="008464E3" w:rsidRDefault="004F686E" w:rsidP="00471D53">
                <w:pPr>
                  <w:jc w:val="right"/>
                  <w:rPr>
                    <w:rFonts w:cs="Calibri"/>
                    <w:sz w:val="20"/>
                    <w:szCs w:val="20"/>
                  </w:rPr>
                </w:pPr>
                <w:r w:rsidRPr="008464E3">
                  <w:rPr>
                    <w:rFonts w:cs="Calibri" w:hint="eastAsia"/>
                    <w:sz w:val="20"/>
                    <w:szCs w:val="20"/>
                  </w:rPr>
                  <w:t>11,707,050.00</w:t>
                </w:r>
              </w:p>
            </w:tc>
            <w:tc>
              <w:tcPr>
                <w:tcW w:w="591" w:type="pct"/>
                <w:shd w:val="clear" w:color="auto" w:fill="auto"/>
              </w:tcPr>
              <w:p w14:paraId="588566E4" w14:textId="77777777" w:rsidR="00471D53" w:rsidRDefault="00B664AF">
                <w:pPr>
                  <w:jc w:val="right"/>
                  <w:rPr>
                    <w:szCs w:val="21"/>
                  </w:rPr>
                </w:pPr>
              </w:p>
            </w:tc>
            <w:tc>
              <w:tcPr>
                <w:tcW w:w="782" w:type="pct"/>
                <w:shd w:val="clear" w:color="auto" w:fill="auto"/>
                <w:vAlign w:val="center"/>
              </w:tcPr>
              <w:p w14:paraId="10C91931" w14:textId="77777777" w:rsidR="00471D53" w:rsidRPr="008464E3" w:rsidRDefault="004F686E" w:rsidP="00471D53">
                <w:pPr>
                  <w:jc w:val="right"/>
                  <w:rPr>
                    <w:rFonts w:cs="Calibri"/>
                    <w:sz w:val="20"/>
                    <w:szCs w:val="20"/>
                  </w:rPr>
                </w:pPr>
                <w:r w:rsidRPr="008464E3">
                  <w:rPr>
                    <w:rFonts w:cs="Calibri" w:hint="eastAsia"/>
                    <w:sz w:val="20"/>
                    <w:szCs w:val="20"/>
                  </w:rPr>
                  <w:t>3,483,058.01</w:t>
                </w:r>
              </w:p>
            </w:tc>
            <w:tc>
              <w:tcPr>
                <w:tcW w:w="893" w:type="pct"/>
                <w:shd w:val="clear" w:color="auto" w:fill="auto"/>
                <w:vAlign w:val="center"/>
              </w:tcPr>
              <w:p w14:paraId="0DD8278C" w14:textId="77777777" w:rsidR="00471D53" w:rsidRPr="008464E3" w:rsidRDefault="004F686E" w:rsidP="00471D53">
                <w:pPr>
                  <w:jc w:val="right"/>
                  <w:rPr>
                    <w:sz w:val="20"/>
                    <w:szCs w:val="20"/>
                  </w:rPr>
                </w:pPr>
                <w:r w:rsidRPr="008464E3">
                  <w:rPr>
                    <w:rFonts w:cs="Calibri" w:hint="eastAsia"/>
                    <w:sz w:val="20"/>
                    <w:szCs w:val="20"/>
                  </w:rPr>
                  <w:t>160,354,870.09</w:t>
                </w:r>
              </w:p>
            </w:tc>
          </w:tr>
          <w:tr w:rsidR="00471D53" w14:paraId="7688A68D" w14:textId="77777777" w:rsidTr="00471D53">
            <w:trPr>
              <w:trHeight w:val="284"/>
            </w:trPr>
            <w:sdt>
              <w:sdtPr>
                <w:tag w:val="_PLD_3d92ef615d3b41e5abb58e018e2db72b"/>
                <w:id w:val="-744024680"/>
                <w:lock w:val="sdtLocked"/>
              </w:sdtPr>
              <w:sdtEndPr/>
              <w:sdtContent>
                <w:tc>
                  <w:tcPr>
                    <w:tcW w:w="1002" w:type="pct"/>
                    <w:shd w:val="clear" w:color="auto" w:fill="auto"/>
                    <w:vAlign w:val="center"/>
                  </w:tcPr>
                  <w:p w14:paraId="05016F05" w14:textId="77777777" w:rsidR="00471D53" w:rsidRDefault="004F686E">
                    <w:pPr>
                      <w:rPr>
                        <w:szCs w:val="21"/>
                      </w:rPr>
                    </w:pPr>
                    <w:r>
                      <w:rPr>
                        <w:szCs w:val="21"/>
                      </w:rPr>
                      <w:t>二、累计</w:t>
                    </w:r>
                    <w:r>
                      <w:rPr>
                        <w:rFonts w:hint="eastAsia"/>
                        <w:szCs w:val="21"/>
                      </w:rPr>
                      <w:t>摊销</w:t>
                    </w:r>
                  </w:p>
                </w:tc>
              </w:sdtContent>
            </w:sdt>
            <w:tc>
              <w:tcPr>
                <w:tcW w:w="893" w:type="pct"/>
                <w:shd w:val="clear" w:color="auto" w:fill="auto"/>
              </w:tcPr>
              <w:p w14:paraId="4C2754A9" w14:textId="77777777" w:rsidR="00471D53" w:rsidRDefault="00B664AF">
                <w:pPr>
                  <w:jc w:val="right"/>
                  <w:rPr>
                    <w:szCs w:val="21"/>
                  </w:rPr>
                </w:pPr>
              </w:p>
            </w:tc>
            <w:tc>
              <w:tcPr>
                <w:tcW w:w="838" w:type="pct"/>
                <w:shd w:val="clear" w:color="auto" w:fill="auto"/>
              </w:tcPr>
              <w:p w14:paraId="1BE7AE2A" w14:textId="77777777" w:rsidR="00471D53" w:rsidRDefault="00B664AF">
                <w:pPr>
                  <w:jc w:val="right"/>
                  <w:rPr>
                    <w:szCs w:val="21"/>
                  </w:rPr>
                </w:pPr>
              </w:p>
            </w:tc>
            <w:tc>
              <w:tcPr>
                <w:tcW w:w="591" w:type="pct"/>
                <w:shd w:val="clear" w:color="auto" w:fill="auto"/>
              </w:tcPr>
              <w:p w14:paraId="221141C6" w14:textId="77777777" w:rsidR="00471D53" w:rsidRDefault="00B664AF">
                <w:pPr>
                  <w:jc w:val="right"/>
                  <w:rPr>
                    <w:szCs w:val="21"/>
                  </w:rPr>
                </w:pPr>
              </w:p>
            </w:tc>
            <w:tc>
              <w:tcPr>
                <w:tcW w:w="782" w:type="pct"/>
                <w:shd w:val="clear" w:color="auto" w:fill="auto"/>
              </w:tcPr>
              <w:p w14:paraId="0B150B78" w14:textId="77777777" w:rsidR="00471D53" w:rsidRDefault="00B664AF">
                <w:pPr>
                  <w:jc w:val="right"/>
                  <w:rPr>
                    <w:szCs w:val="21"/>
                  </w:rPr>
                </w:pPr>
              </w:p>
            </w:tc>
            <w:tc>
              <w:tcPr>
                <w:tcW w:w="893" w:type="pct"/>
                <w:shd w:val="clear" w:color="auto" w:fill="auto"/>
              </w:tcPr>
              <w:p w14:paraId="4165B975" w14:textId="77777777" w:rsidR="00471D53" w:rsidRDefault="00B664AF">
                <w:pPr>
                  <w:jc w:val="right"/>
                  <w:rPr>
                    <w:szCs w:val="21"/>
                  </w:rPr>
                </w:pPr>
              </w:p>
            </w:tc>
          </w:tr>
          <w:tr w:rsidR="00471D53" w14:paraId="5570E003" w14:textId="77777777" w:rsidTr="00471D53">
            <w:trPr>
              <w:trHeight w:val="284"/>
            </w:trPr>
            <w:sdt>
              <w:sdtPr>
                <w:tag w:val="_PLD_193e5febfa90446ca630ebb42ca96e06"/>
                <w:id w:val="-1177340274"/>
                <w:lock w:val="sdtLocked"/>
              </w:sdtPr>
              <w:sdtEndPr/>
              <w:sdtContent>
                <w:tc>
                  <w:tcPr>
                    <w:tcW w:w="1002" w:type="pct"/>
                    <w:shd w:val="clear" w:color="auto" w:fill="auto"/>
                    <w:vAlign w:val="center"/>
                  </w:tcPr>
                  <w:p w14:paraId="736A6262" w14:textId="77777777" w:rsidR="00471D53" w:rsidRDefault="004F686E" w:rsidP="00471D53">
                    <w:pPr>
                      <w:ind w:firstLineChars="200" w:firstLine="420"/>
                      <w:rPr>
                        <w:szCs w:val="21"/>
                      </w:rPr>
                    </w:pPr>
                    <w:r>
                      <w:rPr>
                        <w:rFonts w:hint="eastAsia"/>
                        <w:szCs w:val="21"/>
                      </w:rPr>
                      <w:t>1.期</w:t>
                    </w:r>
                    <w:r>
                      <w:rPr>
                        <w:szCs w:val="21"/>
                      </w:rPr>
                      <w:t>初余额</w:t>
                    </w:r>
                  </w:p>
                </w:tc>
              </w:sdtContent>
            </w:sdt>
            <w:tc>
              <w:tcPr>
                <w:tcW w:w="893" w:type="pct"/>
                <w:shd w:val="clear" w:color="auto" w:fill="auto"/>
                <w:vAlign w:val="center"/>
              </w:tcPr>
              <w:p w14:paraId="61905735" w14:textId="77777777" w:rsidR="00471D53" w:rsidRPr="008464E3" w:rsidRDefault="004F686E" w:rsidP="00471D53">
                <w:pPr>
                  <w:jc w:val="right"/>
                  <w:rPr>
                    <w:rFonts w:cs="Calibri"/>
                    <w:sz w:val="20"/>
                    <w:szCs w:val="20"/>
                  </w:rPr>
                </w:pPr>
                <w:r w:rsidRPr="008464E3">
                  <w:rPr>
                    <w:rFonts w:cs="Calibri" w:hint="eastAsia"/>
                    <w:sz w:val="20"/>
                    <w:szCs w:val="20"/>
                  </w:rPr>
                  <w:t>24,636,695.25</w:t>
                </w:r>
              </w:p>
            </w:tc>
            <w:tc>
              <w:tcPr>
                <w:tcW w:w="838" w:type="pct"/>
                <w:shd w:val="clear" w:color="auto" w:fill="auto"/>
                <w:vAlign w:val="center"/>
              </w:tcPr>
              <w:p w14:paraId="796E7992" w14:textId="77777777" w:rsidR="00471D53" w:rsidRPr="008464E3" w:rsidRDefault="004F686E" w:rsidP="00471D53">
                <w:pPr>
                  <w:jc w:val="right"/>
                  <w:rPr>
                    <w:rFonts w:cs="Calibri"/>
                    <w:sz w:val="20"/>
                    <w:szCs w:val="20"/>
                  </w:rPr>
                </w:pPr>
                <w:r w:rsidRPr="008464E3">
                  <w:rPr>
                    <w:rFonts w:cs="Calibri" w:hint="eastAsia"/>
                    <w:sz w:val="20"/>
                    <w:szCs w:val="20"/>
                  </w:rPr>
                  <w:t>11,707,050.00</w:t>
                </w:r>
              </w:p>
            </w:tc>
            <w:tc>
              <w:tcPr>
                <w:tcW w:w="591" w:type="pct"/>
                <w:shd w:val="clear" w:color="auto" w:fill="auto"/>
              </w:tcPr>
              <w:p w14:paraId="1E3AD6C5" w14:textId="77777777" w:rsidR="00471D53" w:rsidRDefault="00B664AF">
                <w:pPr>
                  <w:jc w:val="right"/>
                  <w:rPr>
                    <w:szCs w:val="21"/>
                  </w:rPr>
                </w:pPr>
              </w:p>
            </w:tc>
            <w:tc>
              <w:tcPr>
                <w:tcW w:w="782" w:type="pct"/>
                <w:shd w:val="clear" w:color="auto" w:fill="auto"/>
                <w:vAlign w:val="center"/>
              </w:tcPr>
              <w:p w14:paraId="524DF970" w14:textId="77777777" w:rsidR="00471D53" w:rsidRPr="008464E3" w:rsidRDefault="004F686E" w:rsidP="00471D53">
                <w:pPr>
                  <w:jc w:val="right"/>
                  <w:rPr>
                    <w:rFonts w:cs="Calibri"/>
                    <w:sz w:val="20"/>
                    <w:szCs w:val="20"/>
                  </w:rPr>
                </w:pPr>
                <w:r w:rsidRPr="008464E3">
                  <w:rPr>
                    <w:rFonts w:cs="Calibri" w:hint="eastAsia"/>
                    <w:sz w:val="20"/>
                    <w:szCs w:val="20"/>
                  </w:rPr>
                  <w:t>2,884,975.01</w:t>
                </w:r>
              </w:p>
            </w:tc>
            <w:tc>
              <w:tcPr>
                <w:tcW w:w="893" w:type="pct"/>
                <w:shd w:val="clear" w:color="auto" w:fill="auto"/>
                <w:vAlign w:val="center"/>
              </w:tcPr>
              <w:p w14:paraId="14672E88" w14:textId="77777777" w:rsidR="00471D53" w:rsidRPr="008464E3" w:rsidRDefault="004F686E" w:rsidP="00471D53">
                <w:pPr>
                  <w:jc w:val="right"/>
                  <w:rPr>
                    <w:rFonts w:cs="Calibri"/>
                    <w:sz w:val="20"/>
                    <w:szCs w:val="20"/>
                  </w:rPr>
                </w:pPr>
                <w:r w:rsidRPr="008464E3">
                  <w:rPr>
                    <w:rFonts w:cs="Calibri" w:hint="eastAsia"/>
                    <w:sz w:val="20"/>
                    <w:szCs w:val="20"/>
                  </w:rPr>
                  <w:t>39,228,720.26</w:t>
                </w:r>
              </w:p>
            </w:tc>
          </w:tr>
          <w:tr w:rsidR="00471D53" w14:paraId="22C958E8" w14:textId="77777777" w:rsidTr="00471D53">
            <w:trPr>
              <w:trHeight w:val="284"/>
            </w:trPr>
            <w:sdt>
              <w:sdtPr>
                <w:tag w:val="_PLD_1002de94b721483c99b3b05a42a37601"/>
                <w:id w:val="1093287664"/>
                <w:lock w:val="sdtLocked"/>
              </w:sdtPr>
              <w:sdtEndPr/>
              <w:sdtContent>
                <w:tc>
                  <w:tcPr>
                    <w:tcW w:w="1002" w:type="pct"/>
                    <w:shd w:val="clear" w:color="auto" w:fill="auto"/>
                    <w:vAlign w:val="center"/>
                  </w:tcPr>
                  <w:p w14:paraId="664EAD4D" w14:textId="77777777" w:rsidR="00471D53" w:rsidRDefault="004F686E" w:rsidP="00471D53">
                    <w:pPr>
                      <w:ind w:firstLineChars="200" w:firstLine="420"/>
                      <w:rPr>
                        <w:szCs w:val="21"/>
                      </w:rPr>
                    </w:pPr>
                    <w:r>
                      <w:rPr>
                        <w:szCs w:val="21"/>
                      </w:rPr>
                      <w:t>2.本期增加</w:t>
                    </w:r>
                    <w:r>
                      <w:rPr>
                        <w:rFonts w:hint="eastAsia"/>
                        <w:szCs w:val="21"/>
                      </w:rPr>
                      <w:t>金额</w:t>
                    </w:r>
                  </w:p>
                </w:tc>
              </w:sdtContent>
            </w:sdt>
            <w:tc>
              <w:tcPr>
                <w:tcW w:w="893" w:type="pct"/>
                <w:shd w:val="clear" w:color="auto" w:fill="auto"/>
                <w:vAlign w:val="center"/>
              </w:tcPr>
              <w:p w14:paraId="0D781D6A" w14:textId="77777777" w:rsidR="00471D53" w:rsidRPr="008464E3" w:rsidRDefault="004F686E" w:rsidP="00471D53">
                <w:pPr>
                  <w:jc w:val="right"/>
                  <w:rPr>
                    <w:rFonts w:cs="Calibri"/>
                    <w:sz w:val="20"/>
                    <w:szCs w:val="20"/>
                  </w:rPr>
                </w:pPr>
                <w:r w:rsidRPr="008464E3">
                  <w:rPr>
                    <w:rFonts w:cs="Calibri" w:hint="eastAsia"/>
                    <w:sz w:val="20"/>
                    <w:szCs w:val="20"/>
                  </w:rPr>
                  <w:t>1,517,711.52</w:t>
                </w:r>
              </w:p>
            </w:tc>
            <w:tc>
              <w:tcPr>
                <w:tcW w:w="838" w:type="pct"/>
                <w:shd w:val="clear" w:color="auto" w:fill="auto"/>
                <w:vAlign w:val="center"/>
              </w:tcPr>
              <w:p w14:paraId="540D3397" w14:textId="77777777" w:rsidR="00471D53" w:rsidRPr="008464E3" w:rsidRDefault="004F686E" w:rsidP="00471D53">
                <w:pPr>
                  <w:jc w:val="right"/>
                  <w:rPr>
                    <w:rFonts w:cs="Calibri"/>
                    <w:sz w:val="20"/>
                    <w:szCs w:val="20"/>
                  </w:rPr>
                </w:pPr>
                <w:r w:rsidRPr="008464E3">
                  <w:rPr>
                    <w:rFonts w:cs="Calibri" w:hint="eastAsia"/>
                    <w:sz w:val="20"/>
                    <w:szCs w:val="20"/>
                  </w:rPr>
                  <w:t>0.00</w:t>
                </w:r>
              </w:p>
            </w:tc>
            <w:tc>
              <w:tcPr>
                <w:tcW w:w="591" w:type="pct"/>
                <w:shd w:val="clear" w:color="auto" w:fill="auto"/>
              </w:tcPr>
              <w:p w14:paraId="1980F7A8" w14:textId="77777777" w:rsidR="00471D53" w:rsidRDefault="00B664AF">
                <w:pPr>
                  <w:jc w:val="right"/>
                  <w:rPr>
                    <w:szCs w:val="21"/>
                  </w:rPr>
                </w:pPr>
              </w:p>
            </w:tc>
            <w:tc>
              <w:tcPr>
                <w:tcW w:w="782" w:type="pct"/>
                <w:shd w:val="clear" w:color="auto" w:fill="auto"/>
                <w:vAlign w:val="center"/>
              </w:tcPr>
              <w:p w14:paraId="03A9ACAB" w14:textId="77777777" w:rsidR="00471D53" w:rsidRPr="008464E3" w:rsidRDefault="004F686E" w:rsidP="00471D53">
                <w:pPr>
                  <w:jc w:val="right"/>
                  <w:rPr>
                    <w:rFonts w:cs="Calibri"/>
                    <w:sz w:val="20"/>
                    <w:szCs w:val="20"/>
                  </w:rPr>
                </w:pPr>
                <w:r w:rsidRPr="008464E3">
                  <w:rPr>
                    <w:rFonts w:cs="Calibri" w:hint="eastAsia"/>
                    <w:sz w:val="20"/>
                    <w:szCs w:val="20"/>
                  </w:rPr>
                  <w:t>106,873.95</w:t>
                </w:r>
              </w:p>
            </w:tc>
            <w:tc>
              <w:tcPr>
                <w:tcW w:w="893" w:type="pct"/>
                <w:shd w:val="clear" w:color="auto" w:fill="auto"/>
                <w:vAlign w:val="center"/>
              </w:tcPr>
              <w:p w14:paraId="1F51DE49" w14:textId="77777777" w:rsidR="00471D53" w:rsidRPr="008464E3" w:rsidRDefault="004F686E" w:rsidP="00471D53">
                <w:pPr>
                  <w:jc w:val="right"/>
                  <w:rPr>
                    <w:rFonts w:cs="Calibri"/>
                    <w:sz w:val="20"/>
                    <w:szCs w:val="20"/>
                  </w:rPr>
                </w:pPr>
                <w:r w:rsidRPr="008464E3">
                  <w:rPr>
                    <w:rFonts w:cs="Calibri" w:hint="eastAsia"/>
                    <w:sz w:val="20"/>
                    <w:szCs w:val="20"/>
                  </w:rPr>
                  <w:t>1,624,585.47</w:t>
                </w:r>
              </w:p>
            </w:tc>
          </w:tr>
          <w:tr w:rsidR="00471D53" w14:paraId="026AB0AC" w14:textId="77777777" w:rsidTr="00471D53">
            <w:trPr>
              <w:trHeight w:val="284"/>
            </w:trPr>
            <w:sdt>
              <w:sdtPr>
                <w:tag w:val="_PLD_8a3c7c560c054537b4caae539fe46c59"/>
                <w:id w:val="-926033909"/>
                <w:lock w:val="sdtLocked"/>
              </w:sdtPr>
              <w:sdtEndPr/>
              <w:sdtContent>
                <w:tc>
                  <w:tcPr>
                    <w:tcW w:w="1002" w:type="pct"/>
                    <w:shd w:val="clear" w:color="auto" w:fill="auto"/>
                    <w:vAlign w:val="center"/>
                  </w:tcPr>
                  <w:p w14:paraId="21649393" w14:textId="77777777" w:rsidR="00471D53" w:rsidRDefault="004F686E" w:rsidP="00471D53">
                    <w:pPr>
                      <w:ind w:firstLineChars="300" w:firstLine="630"/>
                      <w:rPr>
                        <w:szCs w:val="21"/>
                      </w:rPr>
                    </w:pPr>
                    <w:r>
                      <w:rPr>
                        <w:rFonts w:hint="eastAsia"/>
                        <w:szCs w:val="21"/>
                      </w:rPr>
                      <w:t>（1）</w:t>
                    </w:r>
                    <w:r>
                      <w:rPr>
                        <w:szCs w:val="21"/>
                      </w:rPr>
                      <w:t>计提</w:t>
                    </w:r>
                  </w:p>
                </w:tc>
              </w:sdtContent>
            </w:sdt>
            <w:tc>
              <w:tcPr>
                <w:tcW w:w="893" w:type="pct"/>
                <w:shd w:val="clear" w:color="auto" w:fill="auto"/>
                <w:vAlign w:val="center"/>
              </w:tcPr>
              <w:p w14:paraId="51D6BB50" w14:textId="77777777" w:rsidR="00471D53" w:rsidRPr="008464E3" w:rsidRDefault="004F686E" w:rsidP="00471D53">
                <w:pPr>
                  <w:jc w:val="right"/>
                  <w:rPr>
                    <w:rFonts w:cs="Calibri"/>
                    <w:sz w:val="20"/>
                    <w:szCs w:val="20"/>
                  </w:rPr>
                </w:pPr>
                <w:r w:rsidRPr="008464E3">
                  <w:rPr>
                    <w:rFonts w:cs="Calibri" w:hint="eastAsia"/>
                    <w:sz w:val="20"/>
                    <w:szCs w:val="20"/>
                  </w:rPr>
                  <w:t>1,517,711.52</w:t>
                </w:r>
              </w:p>
            </w:tc>
            <w:tc>
              <w:tcPr>
                <w:tcW w:w="838" w:type="pct"/>
                <w:shd w:val="clear" w:color="auto" w:fill="auto"/>
                <w:vAlign w:val="center"/>
              </w:tcPr>
              <w:p w14:paraId="35DCBC76" w14:textId="77777777" w:rsidR="00471D53" w:rsidRPr="008464E3" w:rsidRDefault="004F686E" w:rsidP="00471D53">
                <w:pPr>
                  <w:jc w:val="right"/>
                  <w:rPr>
                    <w:rFonts w:cs="Calibri"/>
                    <w:sz w:val="20"/>
                    <w:szCs w:val="20"/>
                  </w:rPr>
                </w:pPr>
                <w:r w:rsidRPr="008464E3">
                  <w:rPr>
                    <w:rFonts w:cs="Calibri" w:hint="eastAsia"/>
                    <w:sz w:val="20"/>
                    <w:szCs w:val="20"/>
                  </w:rPr>
                  <w:t>0.00</w:t>
                </w:r>
              </w:p>
            </w:tc>
            <w:tc>
              <w:tcPr>
                <w:tcW w:w="591" w:type="pct"/>
                <w:shd w:val="clear" w:color="auto" w:fill="auto"/>
              </w:tcPr>
              <w:p w14:paraId="7036D0E2" w14:textId="77777777" w:rsidR="00471D53" w:rsidRDefault="00B664AF">
                <w:pPr>
                  <w:jc w:val="right"/>
                  <w:rPr>
                    <w:szCs w:val="21"/>
                  </w:rPr>
                </w:pPr>
              </w:p>
            </w:tc>
            <w:tc>
              <w:tcPr>
                <w:tcW w:w="782" w:type="pct"/>
                <w:shd w:val="clear" w:color="auto" w:fill="auto"/>
                <w:vAlign w:val="center"/>
              </w:tcPr>
              <w:p w14:paraId="01F85C07" w14:textId="77777777" w:rsidR="00471D53" w:rsidRPr="008464E3" w:rsidRDefault="004F686E" w:rsidP="00471D53">
                <w:pPr>
                  <w:jc w:val="right"/>
                  <w:rPr>
                    <w:rFonts w:cs="Calibri"/>
                    <w:sz w:val="20"/>
                    <w:szCs w:val="20"/>
                  </w:rPr>
                </w:pPr>
                <w:r w:rsidRPr="008464E3">
                  <w:rPr>
                    <w:rFonts w:cs="Calibri" w:hint="eastAsia"/>
                    <w:sz w:val="20"/>
                    <w:szCs w:val="20"/>
                  </w:rPr>
                  <w:t>106,873.95</w:t>
                </w:r>
              </w:p>
            </w:tc>
            <w:tc>
              <w:tcPr>
                <w:tcW w:w="893" w:type="pct"/>
                <w:shd w:val="clear" w:color="auto" w:fill="auto"/>
                <w:vAlign w:val="center"/>
              </w:tcPr>
              <w:p w14:paraId="2FEF17A4" w14:textId="77777777" w:rsidR="00471D53" w:rsidRPr="008464E3" w:rsidRDefault="004F686E" w:rsidP="00471D53">
                <w:pPr>
                  <w:jc w:val="right"/>
                  <w:rPr>
                    <w:rFonts w:cs="Calibri"/>
                    <w:sz w:val="20"/>
                    <w:szCs w:val="20"/>
                  </w:rPr>
                </w:pPr>
                <w:r w:rsidRPr="008464E3">
                  <w:rPr>
                    <w:rFonts w:cs="Calibri" w:hint="eastAsia"/>
                    <w:sz w:val="20"/>
                    <w:szCs w:val="20"/>
                  </w:rPr>
                  <w:t>1,624,585.47</w:t>
                </w:r>
              </w:p>
            </w:tc>
          </w:tr>
          <w:tr w:rsidR="00471D53" w14:paraId="3663ACFA" w14:textId="77777777" w:rsidTr="00471D53">
            <w:trPr>
              <w:trHeight w:val="284"/>
            </w:trPr>
            <w:sdt>
              <w:sdtPr>
                <w:rPr>
                  <w:rFonts w:hint="eastAsia"/>
                  <w:szCs w:val="21"/>
                </w:rPr>
                <w:alias w:val="无形资产累计摊销增加项目名称"/>
                <w:tag w:val="_GBC_4c50300c8d7948e29642049bd51cde3e"/>
                <w:id w:val="-1774620312"/>
                <w:lock w:val="sdtLocked"/>
                <w:showingPlcHdr/>
              </w:sdtPr>
              <w:sdtEndPr/>
              <w:sdtContent>
                <w:tc>
                  <w:tcPr>
                    <w:tcW w:w="1002" w:type="pct"/>
                    <w:shd w:val="clear" w:color="auto" w:fill="auto"/>
                  </w:tcPr>
                  <w:p w14:paraId="5208628B" w14:textId="77777777" w:rsidR="00471D53" w:rsidRDefault="004F686E" w:rsidP="00471D53">
                    <w:pPr>
                      <w:ind w:firstLineChars="300" w:firstLine="630"/>
                      <w:rPr>
                        <w:szCs w:val="21"/>
                      </w:rPr>
                    </w:pPr>
                    <w:r>
                      <w:rPr>
                        <w:rFonts w:hint="eastAsia"/>
                        <w:szCs w:val="21"/>
                      </w:rPr>
                      <w:t xml:space="preserve">　</w:t>
                    </w:r>
                  </w:p>
                </w:tc>
              </w:sdtContent>
            </w:sdt>
            <w:sdt>
              <w:sdtPr>
                <w:rPr>
                  <w:rFonts w:hint="eastAsia"/>
                  <w:szCs w:val="21"/>
                </w:rPr>
                <w:alias w:val="无形资产土地使用权累计摊销增加项目金额"/>
                <w:tag w:val="_GBC_6f3b78a39f1f45348d4b4dcd0d2b0569"/>
                <w:id w:val="181094936"/>
                <w:lock w:val="sdtLocked"/>
                <w:showingPlcHdr/>
              </w:sdtPr>
              <w:sdtEndPr/>
              <w:sdtContent>
                <w:tc>
                  <w:tcPr>
                    <w:tcW w:w="893" w:type="pct"/>
                    <w:shd w:val="clear" w:color="auto" w:fill="auto"/>
                  </w:tcPr>
                  <w:p w14:paraId="1DD0F1A1" w14:textId="77777777" w:rsidR="00471D53" w:rsidRDefault="004F686E">
                    <w:pPr>
                      <w:jc w:val="right"/>
                      <w:rPr>
                        <w:szCs w:val="21"/>
                      </w:rPr>
                    </w:pPr>
                    <w:r>
                      <w:rPr>
                        <w:rFonts w:hint="eastAsia"/>
                        <w:szCs w:val="21"/>
                      </w:rPr>
                      <w:t xml:space="preserve">　</w:t>
                    </w:r>
                  </w:p>
                </w:tc>
              </w:sdtContent>
            </w:sdt>
            <w:sdt>
              <w:sdtPr>
                <w:rPr>
                  <w:rFonts w:hint="eastAsia"/>
                  <w:szCs w:val="21"/>
                </w:rPr>
                <w:alias w:val="无形资产专利技术累计摊销增加项目金额"/>
                <w:tag w:val="_GBC_5324450a41a94517b586eb91c729ea6d"/>
                <w:id w:val="-586699514"/>
                <w:lock w:val="sdtLocked"/>
                <w:showingPlcHdr/>
              </w:sdtPr>
              <w:sdtEndPr/>
              <w:sdtContent>
                <w:tc>
                  <w:tcPr>
                    <w:tcW w:w="838" w:type="pct"/>
                    <w:shd w:val="clear" w:color="auto" w:fill="auto"/>
                  </w:tcPr>
                  <w:p w14:paraId="73673868" w14:textId="77777777" w:rsidR="00471D53" w:rsidRDefault="004F686E">
                    <w:pPr>
                      <w:jc w:val="right"/>
                      <w:rPr>
                        <w:szCs w:val="21"/>
                      </w:rPr>
                    </w:pPr>
                    <w:r>
                      <w:rPr>
                        <w:rFonts w:hint="eastAsia"/>
                        <w:szCs w:val="21"/>
                      </w:rPr>
                      <w:t xml:space="preserve">　</w:t>
                    </w:r>
                  </w:p>
                </w:tc>
              </w:sdtContent>
            </w:sdt>
            <w:sdt>
              <w:sdtPr>
                <w:rPr>
                  <w:rFonts w:hint="eastAsia"/>
                  <w:szCs w:val="21"/>
                </w:rPr>
                <w:alias w:val="无形资产非专利技术累计摊销增加项目金额"/>
                <w:tag w:val="_GBC_4a761a5ccfea4b0dac40e38b69d5d86f"/>
                <w:id w:val="711464395"/>
                <w:lock w:val="sdtLocked"/>
                <w:showingPlcHdr/>
              </w:sdtPr>
              <w:sdtEndPr/>
              <w:sdtContent>
                <w:tc>
                  <w:tcPr>
                    <w:tcW w:w="591" w:type="pct"/>
                    <w:shd w:val="clear" w:color="auto" w:fill="auto"/>
                  </w:tcPr>
                  <w:p w14:paraId="21E4584A" w14:textId="77777777" w:rsidR="00471D53" w:rsidRDefault="004F686E">
                    <w:pPr>
                      <w:jc w:val="right"/>
                      <w:rPr>
                        <w:szCs w:val="21"/>
                      </w:rPr>
                    </w:pPr>
                    <w:r>
                      <w:rPr>
                        <w:rFonts w:hint="eastAsia"/>
                        <w:szCs w:val="21"/>
                      </w:rPr>
                      <w:t xml:space="preserve">　</w:t>
                    </w:r>
                  </w:p>
                </w:tc>
              </w:sdtContent>
            </w:sdt>
            <w:sdt>
              <w:sdtPr>
                <w:rPr>
                  <w:rFonts w:hint="eastAsia"/>
                  <w:szCs w:val="21"/>
                </w:rPr>
                <w:alias w:val="无形资产累计摊销增加项目金额"/>
                <w:tag w:val="_GBC_be793f363ede4d81a059f7c3f73d8e7c"/>
                <w:id w:val="1336187345"/>
                <w:lock w:val="sdtLocked"/>
                <w:showingPlcHdr/>
              </w:sdtPr>
              <w:sdtEndPr/>
              <w:sdtContent>
                <w:tc>
                  <w:tcPr>
                    <w:tcW w:w="782" w:type="pct"/>
                    <w:shd w:val="clear" w:color="auto" w:fill="auto"/>
                  </w:tcPr>
                  <w:p w14:paraId="551EDD86" w14:textId="77777777" w:rsidR="00471D53" w:rsidRDefault="004F686E">
                    <w:pPr>
                      <w:jc w:val="right"/>
                      <w:rPr>
                        <w:szCs w:val="21"/>
                      </w:rPr>
                    </w:pPr>
                    <w:r>
                      <w:rPr>
                        <w:rFonts w:hint="eastAsia"/>
                        <w:szCs w:val="21"/>
                      </w:rPr>
                      <w:t xml:space="preserve">　</w:t>
                    </w:r>
                  </w:p>
                </w:tc>
              </w:sdtContent>
            </w:sdt>
            <w:sdt>
              <w:sdtPr>
                <w:rPr>
                  <w:rFonts w:hint="eastAsia"/>
                  <w:szCs w:val="21"/>
                </w:rPr>
                <w:alias w:val="无形资产累计摊销增加项目合计金额"/>
                <w:tag w:val="_GBC_2786960157f34a39a4cf247d142f7392"/>
                <w:id w:val="989129022"/>
                <w:lock w:val="sdtLocked"/>
                <w:showingPlcHdr/>
              </w:sdtPr>
              <w:sdtEndPr/>
              <w:sdtContent>
                <w:tc>
                  <w:tcPr>
                    <w:tcW w:w="893" w:type="pct"/>
                    <w:shd w:val="clear" w:color="auto" w:fill="auto"/>
                  </w:tcPr>
                  <w:p w14:paraId="0DCB9C49" w14:textId="77777777" w:rsidR="00471D53" w:rsidRDefault="004F686E">
                    <w:pPr>
                      <w:jc w:val="right"/>
                      <w:rPr>
                        <w:szCs w:val="21"/>
                      </w:rPr>
                    </w:pPr>
                    <w:r>
                      <w:rPr>
                        <w:rFonts w:hint="eastAsia"/>
                        <w:szCs w:val="21"/>
                      </w:rPr>
                      <w:t xml:space="preserve">　</w:t>
                    </w:r>
                  </w:p>
                </w:tc>
              </w:sdtContent>
            </w:sdt>
          </w:tr>
          <w:tr w:rsidR="00471D53" w14:paraId="20A898AE" w14:textId="77777777" w:rsidTr="00471D53">
            <w:trPr>
              <w:trHeight w:val="284"/>
            </w:trPr>
            <w:sdt>
              <w:sdtPr>
                <w:rPr>
                  <w:rFonts w:hint="eastAsia"/>
                  <w:szCs w:val="21"/>
                </w:rPr>
                <w:alias w:val="无形资产累计摊销增加项目名称"/>
                <w:tag w:val="_GBC_4c50300c8d7948e29642049bd51cde3e"/>
                <w:id w:val="1682246032"/>
                <w:lock w:val="sdtLocked"/>
                <w:showingPlcHdr/>
              </w:sdtPr>
              <w:sdtEndPr/>
              <w:sdtContent>
                <w:tc>
                  <w:tcPr>
                    <w:tcW w:w="1002" w:type="pct"/>
                    <w:shd w:val="clear" w:color="auto" w:fill="auto"/>
                  </w:tcPr>
                  <w:p w14:paraId="28EFC2D8" w14:textId="77777777" w:rsidR="00471D53" w:rsidRDefault="004F686E" w:rsidP="00471D53">
                    <w:pPr>
                      <w:ind w:firstLineChars="300" w:firstLine="630"/>
                      <w:rPr>
                        <w:szCs w:val="21"/>
                      </w:rPr>
                    </w:pPr>
                    <w:r>
                      <w:rPr>
                        <w:rFonts w:hint="eastAsia"/>
                        <w:szCs w:val="21"/>
                      </w:rPr>
                      <w:t xml:space="preserve">　</w:t>
                    </w:r>
                  </w:p>
                </w:tc>
              </w:sdtContent>
            </w:sdt>
            <w:sdt>
              <w:sdtPr>
                <w:rPr>
                  <w:rFonts w:hint="eastAsia"/>
                  <w:szCs w:val="21"/>
                </w:rPr>
                <w:alias w:val="无形资产土地使用权累计摊销增加项目金额"/>
                <w:tag w:val="_GBC_6f3b78a39f1f45348d4b4dcd0d2b0569"/>
                <w:id w:val="337131798"/>
                <w:lock w:val="sdtLocked"/>
                <w:showingPlcHdr/>
              </w:sdtPr>
              <w:sdtEndPr/>
              <w:sdtContent>
                <w:tc>
                  <w:tcPr>
                    <w:tcW w:w="893" w:type="pct"/>
                    <w:shd w:val="clear" w:color="auto" w:fill="auto"/>
                  </w:tcPr>
                  <w:p w14:paraId="65FE3856" w14:textId="77777777" w:rsidR="00471D53" w:rsidRDefault="004F686E">
                    <w:pPr>
                      <w:jc w:val="right"/>
                      <w:rPr>
                        <w:szCs w:val="21"/>
                      </w:rPr>
                    </w:pPr>
                    <w:r>
                      <w:rPr>
                        <w:rFonts w:hint="eastAsia"/>
                        <w:szCs w:val="21"/>
                      </w:rPr>
                      <w:t xml:space="preserve">　</w:t>
                    </w:r>
                  </w:p>
                </w:tc>
              </w:sdtContent>
            </w:sdt>
            <w:sdt>
              <w:sdtPr>
                <w:rPr>
                  <w:rFonts w:hint="eastAsia"/>
                  <w:szCs w:val="21"/>
                </w:rPr>
                <w:alias w:val="无形资产专利技术累计摊销增加项目金额"/>
                <w:tag w:val="_GBC_5324450a41a94517b586eb91c729ea6d"/>
                <w:id w:val="1253696562"/>
                <w:lock w:val="sdtLocked"/>
                <w:showingPlcHdr/>
              </w:sdtPr>
              <w:sdtEndPr/>
              <w:sdtContent>
                <w:tc>
                  <w:tcPr>
                    <w:tcW w:w="838" w:type="pct"/>
                    <w:shd w:val="clear" w:color="auto" w:fill="auto"/>
                  </w:tcPr>
                  <w:p w14:paraId="05B60085" w14:textId="77777777" w:rsidR="00471D53" w:rsidRDefault="004F686E">
                    <w:pPr>
                      <w:jc w:val="right"/>
                      <w:rPr>
                        <w:szCs w:val="21"/>
                      </w:rPr>
                    </w:pPr>
                    <w:r>
                      <w:rPr>
                        <w:rFonts w:hint="eastAsia"/>
                        <w:szCs w:val="21"/>
                      </w:rPr>
                      <w:t xml:space="preserve">　</w:t>
                    </w:r>
                  </w:p>
                </w:tc>
              </w:sdtContent>
            </w:sdt>
            <w:sdt>
              <w:sdtPr>
                <w:rPr>
                  <w:rFonts w:hint="eastAsia"/>
                  <w:szCs w:val="21"/>
                </w:rPr>
                <w:alias w:val="无形资产非专利技术累计摊销增加项目金额"/>
                <w:tag w:val="_GBC_4a761a5ccfea4b0dac40e38b69d5d86f"/>
                <w:id w:val="-1043828679"/>
                <w:lock w:val="sdtLocked"/>
                <w:showingPlcHdr/>
              </w:sdtPr>
              <w:sdtEndPr/>
              <w:sdtContent>
                <w:tc>
                  <w:tcPr>
                    <w:tcW w:w="591" w:type="pct"/>
                    <w:shd w:val="clear" w:color="auto" w:fill="auto"/>
                  </w:tcPr>
                  <w:p w14:paraId="1E42F8EB" w14:textId="77777777" w:rsidR="00471D53" w:rsidRDefault="004F686E">
                    <w:pPr>
                      <w:jc w:val="right"/>
                      <w:rPr>
                        <w:szCs w:val="21"/>
                      </w:rPr>
                    </w:pPr>
                    <w:r>
                      <w:rPr>
                        <w:rFonts w:hint="eastAsia"/>
                        <w:szCs w:val="21"/>
                      </w:rPr>
                      <w:t xml:space="preserve">　</w:t>
                    </w:r>
                  </w:p>
                </w:tc>
              </w:sdtContent>
            </w:sdt>
            <w:sdt>
              <w:sdtPr>
                <w:rPr>
                  <w:rFonts w:hint="eastAsia"/>
                  <w:szCs w:val="21"/>
                </w:rPr>
                <w:alias w:val="无形资产累计摊销增加项目金额"/>
                <w:tag w:val="_GBC_be793f363ede4d81a059f7c3f73d8e7c"/>
                <w:id w:val="-1900286620"/>
                <w:lock w:val="sdtLocked"/>
                <w:showingPlcHdr/>
              </w:sdtPr>
              <w:sdtEndPr/>
              <w:sdtContent>
                <w:tc>
                  <w:tcPr>
                    <w:tcW w:w="782" w:type="pct"/>
                    <w:shd w:val="clear" w:color="auto" w:fill="auto"/>
                  </w:tcPr>
                  <w:p w14:paraId="30BD4080" w14:textId="77777777" w:rsidR="00471D53" w:rsidRDefault="004F686E">
                    <w:pPr>
                      <w:jc w:val="right"/>
                      <w:rPr>
                        <w:szCs w:val="21"/>
                      </w:rPr>
                    </w:pPr>
                    <w:r>
                      <w:rPr>
                        <w:rFonts w:hint="eastAsia"/>
                        <w:szCs w:val="21"/>
                      </w:rPr>
                      <w:t xml:space="preserve">　</w:t>
                    </w:r>
                  </w:p>
                </w:tc>
              </w:sdtContent>
            </w:sdt>
            <w:sdt>
              <w:sdtPr>
                <w:rPr>
                  <w:rFonts w:hint="eastAsia"/>
                  <w:szCs w:val="21"/>
                </w:rPr>
                <w:alias w:val="无形资产累计摊销增加项目合计金额"/>
                <w:tag w:val="_GBC_2786960157f34a39a4cf247d142f7392"/>
                <w:id w:val="1986812960"/>
                <w:lock w:val="sdtLocked"/>
                <w:showingPlcHdr/>
              </w:sdtPr>
              <w:sdtEndPr/>
              <w:sdtContent>
                <w:tc>
                  <w:tcPr>
                    <w:tcW w:w="893" w:type="pct"/>
                    <w:shd w:val="clear" w:color="auto" w:fill="auto"/>
                  </w:tcPr>
                  <w:p w14:paraId="22576A4F" w14:textId="77777777" w:rsidR="00471D53" w:rsidRDefault="004F686E">
                    <w:pPr>
                      <w:jc w:val="right"/>
                      <w:rPr>
                        <w:szCs w:val="21"/>
                      </w:rPr>
                    </w:pPr>
                    <w:r>
                      <w:rPr>
                        <w:rFonts w:hint="eastAsia"/>
                        <w:szCs w:val="21"/>
                      </w:rPr>
                      <w:t xml:space="preserve">　</w:t>
                    </w:r>
                  </w:p>
                </w:tc>
              </w:sdtContent>
            </w:sdt>
          </w:tr>
          <w:tr w:rsidR="00471D53" w14:paraId="65BCF789" w14:textId="77777777" w:rsidTr="00471D53">
            <w:trPr>
              <w:trHeight w:val="284"/>
            </w:trPr>
            <w:sdt>
              <w:sdtPr>
                <w:tag w:val="_PLD_915cb31bb4224f868e630c1166a0d717"/>
                <w:id w:val="-2096240124"/>
                <w:lock w:val="sdtLocked"/>
              </w:sdtPr>
              <w:sdtEndPr/>
              <w:sdtContent>
                <w:tc>
                  <w:tcPr>
                    <w:tcW w:w="1002" w:type="pct"/>
                    <w:shd w:val="clear" w:color="auto" w:fill="auto"/>
                    <w:vAlign w:val="center"/>
                  </w:tcPr>
                  <w:p w14:paraId="7EF6104B" w14:textId="77777777" w:rsidR="00471D53" w:rsidRDefault="004F686E" w:rsidP="00471D53">
                    <w:pPr>
                      <w:ind w:firstLineChars="200" w:firstLine="420"/>
                      <w:rPr>
                        <w:szCs w:val="21"/>
                      </w:rPr>
                    </w:pPr>
                    <w:r>
                      <w:rPr>
                        <w:rFonts w:hint="eastAsia"/>
                        <w:szCs w:val="21"/>
                      </w:rPr>
                      <w:t>3.</w:t>
                    </w:r>
                    <w:r>
                      <w:rPr>
                        <w:szCs w:val="21"/>
                      </w:rPr>
                      <w:t>本期减少</w:t>
                    </w:r>
                    <w:r>
                      <w:rPr>
                        <w:rFonts w:hint="eastAsia"/>
                        <w:szCs w:val="21"/>
                      </w:rPr>
                      <w:t>金额</w:t>
                    </w:r>
                  </w:p>
                </w:tc>
              </w:sdtContent>
            </w:sdt>
            <w:tc>
              <w:tcPr>
                <w:tcW w:w="893" w:type="pct"/>
                <w:shd w:val="clear" w:color="auto" w:fill="auto"/>
              </w:tcPr>
              <w:p w14:paraId="3215348F" w14:textId="77777777" w:rsidR="00471D53" w:rsidRDefault="00B664AF">
                <w:pPr>
                  <w:jc w:val="right"/>
                  <w:rPr>
                    <w:szCs w:val="21"/>
                  </w:rPr>
                </w:pPr>
              </w:p>
            </w:tc>
            <w:tc>
              <w:tcPr>
                <w:tcW w:w="838" w:type="pct"/>
                <w:shd w:val="clear" w:color="auto" w:fill="auto"/>
              </w:tcPr>
              <w:p w14:paraId="728E29FD" w14:textId="77777777" w:rsidR="00471D53" w:rsidRDefault="00B664AF">
                <w:pPr>
                  <w:jc w:val="right"/>
                  <w:rPr>
                    <w:szCs w:val="21"/>
                  </w:rPr>
                </w:pPr>
              </w:p>
            </w:tc>
            <w:tc>
              <w:tcPr>
                <w:tcW w:w="591" w:type="pct"/>
                <w:shd w:val="clear" w:color="auto" w:fill="auto"/>
              </w:tcPr>
              <w:p w14:paraId="52EDB928" w14:textId="77777777" w:rsidR="00471D53" w:rsidRDefault="00B664AF">
                <w:pPr>
                  <w:jc w:val="right"/>
                  <w:rPr>
                    <w:szCs w:val="21"/>
                  </w:rPr>
                </w:pPr>
              </w:p>
            </w:tc>
            <w:tc>
              <w:tcPr>
                <w:tcW w:w="782" w:type="pct"/>
                <w:shd w:val="clear" w:color="auto" w:fill="auto"/>
              </w:tcPr>
              <w:p w14:paraId="04E52341" w14:textId="77777777" w:rsidR="00471D53" w:rsidRDefault="00B664AF">
                <w:pPr>
                  <w:jc w:val="right"/>
                  <w:rPr>
                    <w:szCs w:val="21"/>
                  </w:rPr>
                </w:pPr>
              </w:p>
            </w:tc>
            <w:tc>
              <w:tcPr>
                <w:tcW w:w="893" w:type="pct"/>
                <w:shd w:val="clear" w:color="auto" w:fill="auto"/>
              </w:tcPr>
              <w:p w14:paraId="6586216B" w14:textId="77777777" w:rsidR="00471D53" w:rsidRDefault="00B664AF">
                <w:pPr>
                  <w:jc w:val="right"/>
                  <w:rPr>
                    <w:szCs w:val="21"/>
                  </w:rPr>
                </w:pPr>
              </w:p>
            </w:tc>
          </w:tr>
          <w:tr w:rsidR="00471D53" w14:paraId="64CC099D" w14:textId="77777777" w:rsidTr="00471D53">
            <w:trPr>
              <w:trHeight w:val="284"/>
            </w:trPr>
            <w:sdt>
              <w:sdtPr>
                <w:tag w:val="_PLD_0d3cdfa6a81e4a8ab3796288b6ac246d"/>
                <w:id w:val="101782100"/>
                <w:lock w:val="sdtLocked"/>
              </w:sdtPr>
              <w:sdtEndPr/>
              <w:sdtContent>
                <w:tc>
                  <w:tcPr>
                    <w:tcW w:w="1002" w:type="pct"/>
                    <w:shd w:val="clear" w:color="auto" w:fill="auto"/>
                    <w:vAlign w:val="center"/>
                  </w:tcPr>
                  <w:p w14:paraId="1D7131AA" w14:textId="49484589" w:rsidR="00471D53" w:rsidRDefault="004F686E" w:rsidP="00471D53">
                    <w:pPr>
                      <w:ind w:firstLineChars="300" w:firstLine="630"/>
                      <w:rPr>
                        <w:szCs w:val="21"/>
                      </w:rPr>
                    </w:pPr>
                    <w:r>
                      <w:rPr>
                        <w:szCs w:val="21"/>
                      </w:rPr>
                      <w:t>(</w:t>
                    </w:r>
                    <w:r>
                      <w:rPr>
                        <w:rFonts w:hint="eastAsia"/>
                        <w:szCs w:val="21"/>
                      </w:rPr>
                      <w:t>1</w:t>
                    </w:r>
                    <w:r>
                      <w:rPr>
                        <w:szCs w:val="21"/>
                      </w:rPr>
                      <w:t>)</w:t>
                    </w:r>
                    <w:r>
                      <w:rPr>
                        <w:rFonts w:hint="eastAsia"/>
                        <w:szCs w:val="21"/>
                      </w:rPr>
                      <w:t>处置</w:t>
                    </w:r>
                  </w:p>
                </w:tc>
              </w:sdtContent>
            </w:sdt>
            <w:tc>
              <w:tcPr>
                <w:tcW w:w="893" w:type="pct"/>
                <w:shd w:val="clear" w:color="auto" w:fill="auto"/>
              </w:tcPr>
              <w:p w14:paraId="4B14B3A0" w14:textId="77777777" w:rsidR="00471D53" w:rsidRDefault="00B664AF">
                <w:pPr>
                  <w:jc w:val="right"/>
                  <w:rPr>
                    <w:szCs w:val="21"/>
                  </w:rPr>
                </w:pPr>
              </w:p>
            </w:tc>
            <w:tc>
              <w:tcPr>
                <w:tcW w:w="838" w:type="pct"/>
                <w:shd w:val="clear" w:color="auto" w:fill="auto"/>
              </w:tcPr>
              <w:p w14:paraId="743BD4BE" w14:textId="77777777" w:rsidR="00471D53" w:rsidRDefault="00B664AF">
                <w:pPr>
                  <w:jc w:val="right"/>
                  <w:rPr>
                    <w:szCs w:val="21"/>
                  </w:rPr>
                </w:pPr>
              </w:p>
            </w:tc>
            <w:tc>
              <w:tcPr>
                <w:tcW w:w="591" w:type="pct"/>
                <w:shd w:val="clear" w:color="auto" w:fill="auto"/>
              </w:tcPr>
              <w:p w14:paraId="365D7223" w14:textId="77777777" w:rsidR="00471D53" w:rsidRDefault="00B664AF">
                <w:pPr>
                  <w:jc w:val="right"/>
                  <w:rPr>
                    <w:szCs w:val="21"/>
                  </w:rPr>
                </w:pPr>
              </w:p>
            </w:tc>
            <w:tc>
              <w:tcPr>
                <w:tcW w:w="782" w:type="pct"/>
                <w:shd w:val="clear" w:color="auto" w:fill="auto"/>
              </w:tcPr>
              <w:p w14:paraId="39F07EF5" w14:textId="77777777" w:rsidR="00471D53" w:rsidRDefault="00B664AF">
                <w:pPr>
                  <w:jc w:val="right"/>
                  <w:rPr>
                    <w:szCs w:val="21"/>
                  </w:rPr>
                </w:pPr>
              </w:p>
            </w:tc>
            <w:tc>
              <w:tcPr>
                <w:tcW w:w="893" w:type="pct"/>
                <w:shd w:val="clear" w:color="auto" w:fill="auto"/>
              </w:tcPr>
              <w:p w14:paraId="5A435977" w14:textId="77777777" w:rsidR="00471D53" w:rsidRDefault="00B664AF">
                <w:pPr>
                  <w:jc w:val="right"/>
                  <w:rPr>
                    <w:szCs w:val="21"/>
                  </w:rPr>
                </w:pPr>
              </w:p>
            </w:tc>
          </w:tr>
          <w:tr w:rsidR="00471D53" w14:paraId="3916230F" w14:textId="77777777" w:rsidTr="00471D53">
            <w:trPr>
              <w:trHeight w:val="284"/>
            </w:trPr>
            <w:sdt>
              <w:sdtPr>
                <w:rPr>
                  <w:rFonts w:hint="eastAsia"/>
                  <w:szCs w:val="21"/>
                </w:rPr>
                <w:alias w:val="无形资产累计摊销减少项目名称"/>
                <w:tag w:val="_GBC_8d1d573ce9514131bd88f011a71031e5"/>
                <w:id w:val="2025125164"/>
                <w:lock w:val="sdtLocked"/>
                <w:showingPlcHdr/>
              </w:sdtPr>
              <w:sdtEndPr/>
              <w:sdtContent>
                <w:tc>
                  <w:tcPr>
                    <w:tcW w:w="1002" w:type="pct"/>
                    <w:shd w:val="clear" w:color="auto" w:fill="auto"/>
                  </w:tcPr>
                  <w:p w14:paraId="0299AEA5" w14:textId="77777777" w:rsidR="00471D53" w:rsidRDefault="004F686E" w:rsidP="00471D53">
                    <w:pPr>
                      <w:ind w:firstLineChars="300" w:firstLine="630"/>
                      <w:rPr>
                        <w:szCs w:val="21"/>
                      </w:rPr>
                    </w:pPr>
                    <w:r>
                      <w:rPr>
                        <w:rFonts w:hint="eastAsia"/>
                        <w:szCs w:val="21"/>
                      </w:rPr>
                      <w:t xml:space="preserve">　</w:t>
                    </w:r>
                  </w:p>
                </w:tc>
              </w:sdtContent>
            </w:sdt>
            <w:sdt>
              <w:sdtPr>
                <w:rPr>
                  <w:rFonts w:hint="eastAsia"/>
                  <w:szCs w:val="21"/>
                </w:rPr>
                <w:alias w:val="无形资产土地使用权累计摊销减少项目金额"/>
                <w:tag w:val="_GBC_987ef0db30024afcb4aface24a92b120"/>
                <w:id w:val="186569063"/>
                <w:lock w:val="sdtLocked"/>
                <w:showingPlcHdr/>
              </w:sdtPr>
              <w:sdtEndPr/>
              <w:sdtContent>
                <w:tc>
                  <w:tcPr>
                    <w:tcW w:w="893" w:type="pct"/>
                    <w:shd w:val="clear" w:color="auto" w:fill="auto"/>
                  </w:tcPr>
                  <w:p w14:paraId="264537B4" w14:textId="77777777" w:rsidR="00471D53" w:rsidRDefault="004F686E">
                    <w:pPr>
                      <w:jc w:val="right"/>
                      <w:rPr>
                        <w:szCs w:val="21"/>
                      </w:rPr>
                    </w:pPr>
                    <w:r>
                      <w:rPr>
                        <w:rFonts w:hint="eastAsia"/>
                        <w:szCs w:val="21"/>
                      </w:rPr>
                      <w:t xml:space="preserve">　</w:t>
                    </w:r>
                  </w:p>
                </w:tc>
              </w:sdtContent>
            </w:sdt>
            <w:sdt>
              <w:sdtPr>
                <w:rPr>
                  <w:rFonts w:hint="eastAsia"/>
                  <w:szCs w:val="21"/>
                </w:rPr>
                <w:alias w:val="无形资产专利技术累计摊销减少项目金额"/>
                <w:tag w:val="_GBC_78c34a803d9e49378c074a1e28eb4c3a"/>
                <w:id w:val="-673650013"/>
                <w:lock w:val="sdtLocked"/>
                <w:showingPlcHdr/>
              </w:sdtPr>
              <w:sdtEndPr/>
              <w:sdtContent>
                <w:tc>
                  <w:tcPr>
                    <w:tcW w:w="838" w:type="pct"/>
                    <w:shd w:val="clear" w:color="auto" w:fill="auto"/>
                  </w:tcPr>
                  <w:p w14:paraId="25FA3B71" w14:textId="77777777" w:rsidR="00471D53" w:rsidRDefault="004F686E">
                    <w:pPr>
                      <w:jc w:val="right"/>
                      <w:rPr>
                        <w:szCs w:val="21"/>
                      </w:rPr>
                    </w:pPr>
                    <w:r>
                      <w:rPr>
                        <w:rFonts w:hint="eastAsia"/>
                        <w:szCs w:val="21"/>
                      </w:rPr>
                      <w:t xml:space="preserve">　</w:t>
                    </w:r>
                  </w:p>
                </w:tc>
              </w:sdtContent>
            </w:sdt>
            <w:sdt>
              <w:sdtPr>
                <w:rPr>
                  <w:rFonts w:hint="eastAsia"/>
                  <w:szCs w:val="21"/>
                </w:rPr>
                <w:alias w:val="无形资产非专利技术累计摊销减少项目金额"/>
                <w:tag w:val="_GBC_2382de0ed7df4e29a7e6cf61e594373f"/>
                <w:id w:val="-505056434"/>
                <w:lock w:val="sdtLocked"/>
                <w:showingPlcHdr/>
              </w:sdtPr>
              <w:sdtEndPr/>
              <w:sdtContent>
                <w:tc>
                  <w:tcPr>
                    <w:tcW w:w="591" w:type="pct"/>
                    <w:shd w:val="clear" w:color="auto" w:fill="auto"/>
                  </w:tcPr>
                  <w:p w14:paraId="13983618" w14:textId="77777777" w:rsidR="00471D53" w:rsidRDefault="004F686E">
                    <w:pPr>
                      <w:jc w:val="right"/>
                      <w:rPr>
                        <w:szCs w:val="21"/>
                      </w:rPr>
                    </w:pPr>
                    <w:r>
                      <w:rPr>
                        <w:rFonts w:hint="eastAsia"/>
                        <w:szCs w:val="21"/>
                      </w:rPr>
                      <w:t xml:space="preserve">　</w:t>
                    </w:r>
                  </w:p>
                </w:tc>
              </w:sdtContent>
            </w:sdt>
            <w:sdt>
              <w:sdtPr>
                <w:rPr>
                  <w:rFonts w:hint="eastAsia"/>
                  <w:szCs w:val="21"/>
                </w:rPr>
                <w:alias w:val="无形资产累计摊销减少项目金额"/>
                <w:tag w:val="_GBC_d780250aa2144176a5374f9330f1e913"/>
                <w:id w:val="-821510902"/>
                <w:lock w:val="sdtLocked"/>
                <w:showingPlcHdr/>
              </w:sdtPr>
              <w:sdtEndPr/>
              <w:sdtContent>
                <w:tc>
                  <w:tcPr>
                    <w:tcW w:w="782" w:type="pct"/>
                    <w:shd w:val="clear" w:color="auto" w:fill="auto"/>
                  </w:tcPr>
                  <w:p w14:paraId="32F616E5" w14:textId="77777777" w:rsidR="00471D53" w:rsidRDefault="004F686E">
                    <w:pPr>
                      <w:jc w:val="right"/>
                      <w:rPr>
                        <w:szCs w:val="21"/>
                      </w:rPr>
                    </w:pPr>
                    <w:r>
                      <w:rPr>
                        <w:rFonts w:hint="eastAsia"/>
                        <w:szCs w:val="21"/>
                      </w:rPr>
                      <w:t xml:space="preserve">　</w:t>
                    </w:r>
                  </w:p>
                </w:tc>
              </w:sdtContent>
            </w:sdt>
            <w:sdt>
              <w:sdtPr>
                <w:rPr>
                  <w:rFonts w:hint="eastAsia"/>
                  <w:szCs w:val="21"/>
                </w:rPr>
                <w:alias w:val="无形资产累计摊销减少项目合计金额"/>
                <w:tag w:val="_GBC_ce3de533f641438f96cdd26f528b12f9"/>
                <w:id w:val="-1624534171"/>
                <w:lock w:val="sdtLocked"/>
                <w:showingPlcHdr/>
              </w:sdtPr>
              <w:sdtEndPr/>
              <w:sdtContent>
                <w:tc>
                  <w:tcPr>
                    <w:tcW w:w="893" w:type="pct"/>
                    <w:shd w:val="clear" w:color="auto" w:fill="auto"/>
                  </w:tcPr>
                  <w:p w14:paraId="6AD65ABD" w14:textId="77777777" w:rsidR="00471D53" w:rsidRDefault="004F686E">
                    <w:pPr>
                      <w:jc w:val="right"/>
                      <w:rPr>
                        <w:szCs w:val="21"/>
                      </w:rPr>
                    </w:pPr>
                    <w:r>
                      <w:rPr>
                        <w:rFonts w:hint="eastAsia"/>
                        <w:szCs w:val="21"/>
                      </w:rPr>
                      <w:t xml:space="preserve">　</w:t>
                    </w:r>
                  </w:p>
                </w:tc>
              </w:sdtContent>
            </w:sdt>
          </w:tr>
          <w:tr w:rsidR="00471D53" w14:paraId="3E30B193" w14:textId="77777777" w:rsidTr="00471D53">
            <w:trPr>
              <w:trHeight w:val="284"/>
            </w:trPr>
            <w:sdt>
              <w:sdtPr>
                <w:rPr>
                  <w:rFonts w:hint="eastAsia"/>
                  <w:szCs w:val="21"/>
                </w:rPr>
                <w:alias w:val="无形资产累计摊销减少项目名称"/>
                <w:tag w:val="_GBC_8d1d573ce9514131bd88f011a71031e5"/>
                <w:id w:val="-367372435"/>
                <w:lock w:val="sdtLocked"/>
                <w:showingPlcHdr/>
              </w:sdtPr>
              <w:sdtEndPr/>
              <w:sdtContent>
                <w:tc>
                  <w:tcPr>
                    <w:tcW w:w="1002" w:type="pct"/>
                    <w:shd w:val="clear" w:color="auto" w:fill="auto"/>
                  </w:tcPr>
                  <w:p w14:paraId="214BC38D" w14:textId="77777777" w:rsidR="00471D53" w:rsidRDefault="004F686E" w:rsidP="00471D53">
                    <w:pPr>
                      <w:ind w:firstLineChars="300" w:firstLine="630"/>
                      <w:rPr>
                        <w:szCs w:val="21"/>
                      </w:rPr>
                    </w:pPr>
                    <w:r>
                      <w:rPr>
                        <w:rFonts w:hint="eastAsia"/>
                        <w:szCs w:val="21"/>
                      </w:rPr>
                      <w:t xml:space="preserve">　</w:t>
                    </w:r>
                  </w:p>
                </w:tc>
              </w:sdtContent>
            </w:sdt>
            <w:sdt>
              <w:sdtPr>
                <w:rPr>
                  <w:rFonts w:hint="eastAsia"/>
                  <w:szCs w:val="21"/>
                </w:rPr>
                <w:alias w:val="无形资产土地使用权累计摊销减少项目金额"/>
                <w:tag w:val="_GBC_987ef0db30024afcb4aface24a92b120"/>
                <w:id w:val="1206903185"/>
                <w:lock w:val="sdtLocked"/>
                <w:showingPlcHdr/>
              </w:sdtPr>
              <w:sdtEndPr/>
              <w:sdtContent>
                <w:tc>
                  <w:tcPr>
                    <w:tcW w:w="893" w:type="pct"/>
                    <w:shd w:val="clear" w:color="auto" w:fill="auto"/>
                  </w:tcPr>
                  <w:p w14:paraId="2BB2DAA7" w14:textId="77777777" w:rsidR="00471D53" w:rsidRDefault="004F686E">
                    <w:pPr>
                      <w:jc w:val="right"/>
                      <w:rPr>
                        <w:szCs w:val="21"/>
                      </w:rPr>
                    </w:pPr>
                    <w:r>
                      <w:rPr>
                        <w:rFonts w:hint="eastAsia"/>
                        <w:szCs w:val="21"/>
                      </w:rPr>
                      <w:t xml:space="preserve">　</w:t>
                    </w:r>
                  </w:p>
                </w:tc>
              </w:sdtContent>
            </w:sdt>
            <w:sdt>
              <w:sdtPr>
                <w:rPr>
                  <w:rFonts w:hint="eastAsia"/>
                  <w:szCs w:val="21"/>
                </w:rPr>
                <w:alias w:val="无形资产专利技术累计摊销减少项目金额"/>
                <w:tag w:val="_GBC_78c34a803d9e49378c074a1e28eb4c3a"/>
                <w:id w:val="-250819726"/>
                <w:lock w:val="sdtLocked"/>
                <w:showingPlcHdr/>
              </w:sdtPr>
              <w:sdtEndPr/>
              <w:sdtContent>
                <w:tc>
                  <w:tcPr>
                    <w:tcW w:w="838" w:type="pct"/>
                    <w:shd w:val="clear" w:color="auto" w:fill="auto"/>
                  </w:tcPr>
                  <w:p w14:paraId="7B6D356A" w14:textId="77777777" w:rsidR="00471D53" w:rsidRDefault="004F686E">
                    <w:pPr>
                      <w:jc w:val="right"/>
                      <w:rPr>
                        <w:szCs w:val="21"/>
                      </w:rPr>
                    </w:pPr>
                    <w:r>
                      <w:rPr>
                        <w:rFonts w:hint="eastAsia"/>
                        <w:szCs w:val="21"/>
                      </w:rPr>
                      <w:t xml:space="preserve">　</w:t>
                    </w:r>
                  </w:p>
                </w:tc>
              </w:sdtContent>
            </w:sdt>
            <w:sdt>
              <w:sdtPr>
                <w:rPr>
                  <w:rFonts w:hint="eastAsia"/>
                  <w:szCs w:val="21"/>
                </w:rPr>
                <w:alias w:val="无形资产非专利技术累计摊销减少项目金额"/>
                <w:tag w:val="_GBC_2382de0ed7df4e29a7e6cf61e594373f"/>
                <w:id w:val="1246144435"/>
                <w:lock w:val="sdtLocked"/>
                <w:showingPlcHdr/>
              </w:sdtPr>
              <w:sdtEndPr/>
              <w:sdtContent>
                <w:tc>
                  <w:tcPr>
                    <w:tcW w:w="591" w:type="pct"/>
                    <w:shd w:val="clear" w:color="auto" w:fill="auto"/>
                  </w:tcPr>
                  <w:p w14:paraId="439ED004" w14:textId="77777777" w:rsidR="00471D53" w:rsidRDefault="004F686E">
                    <w:pPr>
                      <w:jc w:val="right"/>
                      <w:rPr>
                        <w:szCs w:val="21"/>
                      </w:rPr>
                    </w:pPr>
                    <w:r>
                      <w:rPr>
                        <w:rFonts w:hint="eastAsia"/>
                        <w:szCs w:val="21"/>
                      </w:rPr>
                      <w:t xml:space="preserve">　</w:t>
                    </w:r>
                  </w:p>
                </w:tc>
              </w:sdtContent>
            </w:sdt>
            <w:sdt>
              <w:sdtPr>
                <w:rPr>
                  <w:rFonts w:hint="eastAsia"/>
                  <w:szCs w:val="21"/>
                </w:rPr>
                <w:alias w:val="无形资产累计摊销减少项目金额"/>
                <w:tag w:val="_GBC_d780250aa2144176a5374f9330f1e913"/>
                <w:id w:val="-492487913"/>
                <w:lock w:val="sdtLocked"/>
                <w:showingPlcHdr/>
              </w:sdtPr>
              <w:sdtEndPr/>
              <w:sdtContent>
                <w:tc>
                  <w:tcPr>
                    <w:tcW w:w="782" w:type="pct"/>
                    <w:shd w:val="clear" w:color="auto" w:fill="auto"/>
                  </w:tcPr>
                  <w:p w14:paraId="6A1B5598" w14:textId="77777777" w:rsidR="00471D53" w:rsidRDefault="004F686E">
                    <w:pPr>
                      <w:jc w:val="right"/>
                      <w:rPr>
                        <w:szCs w:val="21"/>
                      </w:rPr>
                    </w:pPr>
                    <w:r>
                      <w:rPr>
                        <w:rFonts w:hint="eastAsia"/>
                        <w:szCs w:val="21"/>
                      </w:rPr>
                      <w:t xml:space="preserve">　</w:t>
                    </w:r>
                  </w:p>
                </w:tc>
              </w:sdtContent>
            </w:sdt>
            <w:sdt>
              <w:sdtPr>
                <w:rPr>
                  <w:rFonts w:hint="eastAsia"/>
                  <w:szCs w:val="21"/>
                </w:rPr>
                <w:alias w:val="无形资产累计摊销减少项目合计金额"/>
                <w:tag w:val="_GBC_ce3de533f641438f96cdd26f528b12f9"/>
                <w:id w:val="951434387"/>
                <w:lock w:val="sdtLocked"/>
                <w:showingPlcHdr/>
              </w:sdtPr>
              <w:sdtEndPr/>
              <w:sdtContent>
                <w:tc>
                  <w:tcPr>
                    <w:tcW w:w="893" w:type="pct"/>
                    <w:shd w:val="clear" w:color="auto" w:fill="auto"/>
                  </w:tcPr>
                  <w:p w14:paraId="2C2885BA" w14:textId="77777777" w:rsidR="00471D53" w:rsidRDefault="004F686E">
                    <w:pPr>
                      <w:jc w:val="right"/>
                      <w:rPr>
                        <w:szCs w:val="21"/>
                      </w:rPr>
                    </w:pPr>
                    <w:r>
                      <w:rPr>
                        <w:rFonts w:hint="eastAsia"/>
                        <w:szCs w:val="21"/>
                      </w:rPr>
                      <w:t xml:space="preserve">　</w:t>
                    </w:r>
                  </w:p>
                </w:tc>
              </w:sdtContent>
            </w:sdt>
          </w:tr>
          <w:tr w:rsidR="00471D53" w14:paraId="76A9528C" w14:textId="77777777" w:rsidTr="00471D53">
            <w:trPr>
              <w:trHeight w:val="284"/>
            </w:trPr>
            <w:sdt>
              <w:sdtPr>
                <w:tag w:val="_PLD_6b52e77de021464b99b9a2d55cb6dc5b"/>
                <w:id w:val="-1414459235"/>
                <w:lock w:val="sdtLocked"/>
              </w:sdtPr>
              <w:sdtEndPr/>
              <w:sdtContent>
                <w:tc>
                  <w:tcPr>
                    <w:tcW w:w="1002" w:type="pct"/>
                    <w:shd w:val="clear" w:color="auto" w:fill="auto"/>
                    <w:vAlign w:val="center"/>
                  </w:tcPr>
                  <w:p w14:paraId="6D1918CF" w14:textId="77777777" w:rsidR="00471D53" w:rsidRDefault="004F686E" w:rsidP="00471D53">
                    <w:pPr>
                      <w:ind w:firstLineChars="200" w:firstLine="420"/>
                      <w:rPr>
                        <w:szCs w:val="21"/>
                      </w:rPr>
                    </w:pPr>
                    <w:r>
                      <w:rPr>
                        <w:rFonts w:hint="eastAsia"/>
                        <w:szCs w:val="21"/>
                      </w:rPr>
                      <w:t>4.</w:t>
                    </w:r>
                    <w:r>
                      <w:rPr>
                        <w:szCs w:val="21"/>
                      </w:rPr>
                      <w:t>期末余额</w:t>
                    </w:r>
                  </w:p>
                </w:tc>
              </w:sdtContent>
            </w:sdt>
            <w:tc>
              <w:tcPr>
                <w:tcW w:w="893" w:type="pct"/>
                <w:shd w:val="clear" w:color="auto" w:fill="auto"/>
                <w:vAlign w:val="center"/>
              </w:tcPr>
              <w:p w14:paraId="79A3F8E4" w14:textId="77777777" w:rsidR="00471D53" w:rsidRPr="008464E3" w:rsidRDefault="004F686E" w:rsidP="00471D53">
                <w:pPr>
                  <w:jc w:val="right"/>
                  <w:rPr>
                    <w:rFonts w:cs="Calibri"/>
                    <w:sz w:val="20"/>
                    <w:szCs w:val="20"/>
                  </w:rPr>
                </w:pPr>
                <w:r w:rsidRPr="008464E3">
                  <w:rPr>
                    <w:rFonts w:cs="Calibri" w:hint="eastAsia"/>
                    <w:sz w:val="20"/>
                    <w:szCs w:val="20"/>
                  </w:rPr>
                  <w:t>26,154,406.77</w:t>
                </w:r>
              </w:p>
            </w:tc>
            <w:tc>
              <w:tcPr>
                <w:tcW w:w="838" w:type="pct"/>
                <w:shd w:val="clear" w:color="auto" w:fill="auto"/>
                <w:vAlign w:val="center"/>
              </w:tcPr>
              <w:p w14:paraId="229045A8" w14:textId="77777777" w:rsidR="00471D53" w:rsidRPr="008464E3" w:rsidRDefault="004F686E" w:rsidP="00471D53">
                <w:pPr>
                  <w:jc w:val="right"/>
                  <w:rPr>
                    <w:rFonts w:cs="Calibri"/>
                    <w:sz w:val="20"/>
                    <w:szCs w:val="20"/>
                  </w:rPr>
                </w:pPr>
                <w:r w:rsidRPr="008464E3">
                  <w:rPr>
                    <w:rFonts w:cs="Calibri" w:hint="eastAsia"/>
                    <w:sz w:val="20"/>
                    <w:szCs w:val="20"/>
                  </w:rPr>
                  <w:t>11,707,050.00</w:t>
                </w:r>
              </w:p>
            </w:tc>
            <w:tc>
              <w:tcPr>
                <w:tcW w:w="591" w:type="pct"/>
                <w:shd w:val="clear" w:color="auto" w:fill="auto"/>
              </w:tcPr>
              <w:p w14:paraId="13CCF734" w14:textId="77777777" w:rsidR="00471D53" w:rsidRDefault="00B664AF">
                <w:pPr>
                  <w:jc w:val="right"/>
                  <w:rPr>
                    <w:szCs w:val="21"/>
                  </w:rPr>
                </w:pPr>
              </w:p>
            </w:tc>
            <w:tc>
              <w:tcPr>
                <w:tcW w:w="782" w:type="pct"/>
                <w:shd w:val="clear" w:color="auto" w:fill="auto"/>
                <w:vAlign w:val="center"/>
              </w:tcPr>
              <w:p w14:paraId="39345012" w14:textId="77777777" w:rsidR="00471D53" w:rsidRPr="008464E3" w:rsidRDefault="004F686E" w:rsidP="00471D53">
                <w:pPr>
                  <w:jc w:val="right"/>
                  <w:rPr>
                    <w:rFonts w:cs="Calibri"/>
                    <w:sz w:val="20"/>
                    <w:szCs w:val="20"/>
                  </w:rPr>
                </w:pPr>
                <w:r w:rsidRPr="008464E3">
                  <w:rPr>
                    <w:rFonts w:cs="Calibri" w:hint="eastAsia"/>
                    <w:sz w:val="20"/>
                    <w:szCs w:val="20"/>
                  </w:rPr>
                  <w:t>2,991,848.96</w:t>
                </w:r>
              </w:p>
            </w:tc>
            <w:tc>
              <w:tcPr>
                <w:tcW w:w="893" w:type="pct"/>
                <w:shd w:val="clear" w:color="auto" w:fill="auto"/>
                <w:vAlign w:val="center"/>
              </w:tcPr>
              <w:p w14:paraId="26F095A3" w14:textId="77777777" w:rsidR="00471D53" w:rsidRPr="008464E3" w:rsidRDefault="004F686E" w:rsidP="00471D53">
                <w:pPr>
                  <w:jc w:val="right"/>
                  <w:rPr>
                    <w:rFonts w:cs="Calibri"/>
                    <w:sz w:val="20"/>
                    <w:szCs w:val="20"/>
                  </w:rPr>
                </w:pPr>
                <w:r w:rsidRPr="008464E3">
                  <w:rPr>
                    <w:rFonts w:cs="Calibri" w:hint="eastAsia"/>
                    <w:sz w:val="20"/>
                    <w:szCs w:val="20"/>
                  </w:rPr>
                  <w:t>40,853,305.73</w:t>
                </w:r>
              </w:p>
            </w:tc>
          </w:tr>
          <w:tr w:rsidR="00471D53" w14:paraId="2BCEE06D" w14:textId="77777777" w:rsidTr="00471D53">
            <w:trPr>
              <w:trHeight w:val="284"/>
            </w:trPr>
            <w:sdt>
              <w:sdtPr>
                <w:tag w:val="_PLD_100d3bc56cc142c1b30c3998528f8af2"/>
                <w:id w:val="-1656301319"/>
                <w:lock w:val="sdtLocked"/>
              </w:sdtPr>
              <w:sdtEndPr/>
              <w:sdtContent>
                <w:tc>
                  <w:tcPr>
                    <w:tcW w:w="1002" w:type="pct"/>
                    <w:shd w:val="clear" w:color="auto" w:fill="auto"/>
                    <w:vAlign w:val="center"/>
                  </w:tcPr>
                  <w:p w14:paraId="58D0B7E0" w14:textId="77777777" w:rsidR="00471D53" w:rsidRDefault="004F686E">
                    <w:pPr>
                      <w:rPr>
                        <w:szCs w:val="21"/>
                      </w:rPr>
                    </w:pPr>
                    <w:r>
                      <w:rPr>
                        <w:szCs w:val="21"/>
                      </w:rPr>
                      <w:t>三、减值准备</w:t>
                    </w:r>
                  </w:p>
                </w:tc>
              </w:sdtContent>
            </w:sdt>
            <w:tc>
              <w:tcPr>
                <w:tcW w:w="893" w:type="pct"/>
                <w:shd w:val="clear" w:color="auto" w:fill="auto"/>
              </w:tcPr>
              <w:p w14:paraId="0234DB1F" w14:textId="77777777" w:rsidR="00471D53" w:rsidRDefault="00B664AF">
                <w:pPr>
                  <w:jc w:val="right"/>
                  <w:rPr>
                    <w:szCs w:val="21"/>
                  </w:rPr>
                </w:pPr>
              </w:p>
            </w:tc>
            <w:tc>
              <w:tcPr>
                <w:tcW w:w="838" w:type="pct"/>
                <w:shd w:val="clear" w:color="auto" w:fill="auto"/>
              </w:tcPr>
              <w:p w14:paraId="40C6E005" w14:textId="77777777" w:rsidR="00471D53" w:rsidRDefault="00B664AF">
                <w:pPr>
                  <w:jc w:val="right"/>
                  <w:rPr>
                    <w:szCs w:val="21"/>
                  </w:rPr>
                </w:pPr>
              </w:p>
            </w:tc>
            <w:tc>
              <w:tcPr>
                <w:tcW w:w="591" w:type="pct"/>
                <w:shd w:val="clear" w:color="auto" w:fill="auto"/>
              </w:tcPr>
              <w:p w14:paraId="288CFCA8" w14:textId="77777777" w:rsidR="00471D53" w:rsidRDefault="00B664AF">
                <w:pPr>
                  <w:jc w:val="right"/>
                  <w:rPr>
                    <w:szCs w:val="21"/>
                  </w:rPr>
                </w:pPr>
              </w:p>
            </w:tc>
            <w:tc>
              <w:tcPr>
                <w:tcW w:w="782" w:type="pct"/>
                <w:shd w:val="clear" w:color="auto" w:fill="auto"/>
              </w:tcPr>
              <w:p w14:paraId="43C58588" w14:textId="77777777" w:rsidR="00471D53" w:rsidRDefault="00B664AF">
                <w:pPr>
                  <w:jc w:val="right"/>
                  <w:rPr>
                    <w:szCs w:val="21"/>
                  </w:rPr>
                </w:pPr>
              </w:p>
            </w:tc>
            <w:tc>
              <w:tcPr>
                <w:tcW w:w="893" w:type="pct"/>
                <w:shd w:val="clear" w:color="auto" w:fill="auto"/>
              </w:tcPr>
              <w:p w14:paraId="0BA09DB5" w14:textId="77777777" w:rsidR="00471D53" w:rsidRDefault="00B664AF">
                <w:pPr>
                  <w:jc w:val="right"/>
                  <w:rPr>
                    <w:szCs w:val="21"/>
                  </w:rPr>
                </w:pPr>
              </w:p>
            </w:tc>
          </w:tr>
          <w:tr w:rsidR="00471D53" w14:paraId="02C0A01D" w14:textId="77777777" w:rsidTr="00471D53">
            <w:trPr>
              <w:trHeight w:val="284"/>
            </w:trPr>
            <w:sdt>
              <w:sdtPr>
                <w:tag w:val="_PLD_420f955ca82e4f579c5533e44e7054ff"/>
                <w:id w:val="528921838"/>
                <w:lock w:val="sdtLocked"/>
              </w:sdtPr>
              <w:sdtEndPr/>
              <w:sdtContent>
                <w:tc>
                  <w:tcPr>
                    <w:tcW w:w="1002" w:type="pct"/>
                    <w:shd w:val="clear" w:color="auto" w:fill="auto"/>
                    <w:vAlign w:val="center"/>
                  </w:tcPr>
                  <w:p w14:paraId="3A848DDD" w14:textId="77777777" w:rsidR="00471D53" w:rsidRDefault="004F686E" w:rsidP="00471D53">
                    <w:pPr>
                      <w:ind w:firstLineChars="200" w:firstLine="420"/>
                      <w:rPr>
                        <w:szCs w:val="21"/>
                      </w:rPr>
                    </w:pPr>
                    <w:r>
                      <w:rPr>
                        <w:rFonts w:hint="eastAsia"/>
                        <w:szCs w:val="21"/>
                      </w:rPr>
                      <w:t>1.期</w:t>
                    </w:r>
                    <w:r>
                      <w:rPr>
                        <w:szCs w:val="21"/>
                      </w:rPr>
                      <w:t>初余额</w:t>
                    </w:r>
                  </w:p>
                </w:tc>
              </w:sdtContent>
            </w:sdt>
            <w:tc>
              <w:tcPr>
                <w:tcW w:w="893" w:type="pct"/>
                <w:shd w:val="clear" w:color="auto" w:fill="auto"/>
              </w:tcPr>
              <w:p w14:paraId="3EE0F488" w14:textId="77777777" w:rsidR="00471D53" w:rsidRDefault="00B664AF">
                <w:pPr>
                  <w:jc w:val="right"/>
                  <w:rPr>
                    <w:szCs w:val="21"/>
                  </w:rPr>
                </w:pPr>
              </w:p>
            </w:tc>
            <w:tc>
              <w:tcPr>
                <w:tcW w:w="838" w:type="pct"/>
                <w:shd w:val="clear" w:color="auto" w:fill="auto"/>
              </w:tcPr>
              <w:p w14:paraId="5711CE63" w14:textId="77777777" w:rsidR="00471D53" w:rsidRDefault="00B664AF">
                <w:pPr>
                  <w:jc w:val="right"/>
                  <w:rPr>
                    <w:szCs w:val="21"/>
                  </w:rPr>
                </w:pPr>
              </w:p>
            </w:tc>
            <w:tc>
              <w:tcPr>
                <w:tcW w:w="591" w:type="pct"/>
                <w:shd w:val="clear" w:color="auto" w:fill="auto"/>
              </w:tcPr>
              <w:p w14:paraId="612782A8" w14:textId="77777777" w:rsidR="00471D53" w:rsidRDefault="00B664AF">
                <w:pPr>
                  <w:jc w:val="right"/>
                  <w:rPr>
                    <w:szCs w:val="21"/>
                  </w:rPr>
                </w:pPr>
              </w:p>
            </w:tc>
            <w:tc>
              <w:tcPr>
                <w:tcW w:w="782" w:type="pct"/>
                <w:shd w:val="clear" w:color="auto" w:fill="auto"/>
              </w:tcPr>
              <w:p w14:paraId="43CC46F1" w14:textId="77777777" w:rsidR="00471D53" w:rsidRDefault="00B664AF">
                <w:pPr>
                  <w:jc w:val="right"/>
                  <w:rPr>
                    <w:szCs w:val="21"/>
                  </w:rPr>
                </w:pPr>
              </w:p>
            </w:tc>
            <w:tc>
              <w:tcPr>
                <w:tcW w:w="893" w:type="pct"/>
                <w:shd w:val="clear" w:color="auto" w:fill="auto"/>
              </w:tcPr>
              <w:p w14:paraId="0ECA5236" w14:textId="77777777" w:rsidR="00471D53" w:rsidRDefault="00B664AF">
                <w:pPr>
                  <w:jc w:val="right"/>
                  <w:rPr>
                    <w:szCs w:val="21"/>
                  </w:rPr>
                </w:pPr>
              </w:p>
            </w:tc>
          </w:tr>
          <w:tr w:rsidR="00471D53" w14:paraId="21CE3AC6" w14:textId="77777777" w:rsidTr="00471D53">
            <w:trPr>
              <w:trHeight w:val="284"/>
            </w:trPr>
            <w:sdt>
              <w:sdtPr>
                <w:tag w:val="_PLD_7efb2ccf9b504b529547ebac5b8ce675"/>
                <w:id w:val="1980796906"/>
                <w:lock w:val="sdtLocked"/>
              </w:sdtPr>
              <w:sdtEndPr/>
              <w:sdtContent>
                <w:tc>
                  <w:tcPr>
                    <w:tcW w:w="1002" w:type="pct"/>
                    <w:shd w:val="clear" w:color="auto" w:fill="auto"/>
                    <w:vAlign w:val="center"/>
                  </w:tcPr>
                  <w:p w14:paraId="32CB1861" w14:textId="77777777" w:rsidR="00471D53" w:rsidRDefault="004F686E" w:rsidP="00471D53">
                    <w:pPr>
                      <w:ind w:firstLineChars="200" w:firstLine="420"/>
                      <w:rPr>
                        <w:szCs w:val="21"/>
                      </w:rPr>
                    </w:pPr>
                    <w:r>
                      <w:rPr>
                        <w:szCs w:val="21"/>
                      </w:rPr>
                      <w:t>2.本期增加</w:t>
                    </w:r>
                    <w:r>
                      <w:rPr>
                        <w:rFonts w:hint="eastAsia"/>
                        <w:szCs w:val="21"/>
                      </w:rPr>
                      <w:t>金额</w:t>
                    </w:r>
                  </w:p>
                </w:tc>
              </w:sdtContent>
            </w:sdt>
            <w:tc>
              <w:tcPr>
                <w:tcW w:w="893" w:type="pct"/>
                <w:shd w:val="clear" w:color="auto" w:fill="auto"/>
              </w:tcPr>
              <w:p w14:paraId="1C58D2D5" w14:textId="77777777" w:rsidR="00471D53" w:rsidRDefault="00B664AF">
                <w:pPr>
                  <w:jc w:val="right"/>
                  <w:rPr>
                    <w:szCs w:val="21"/>
                  </w:rPr>
                </w:pPr>
              </w:p>
            </w:tc>
            <w:tc>
              <w:tcPr>
                <w:tcW w:w="838" w:type="pct"/>
                <w:shd w:val="clear" w:color="auto" w:fill="auto"/>
              </w:tcPr>
              <w:p w14:paraId="169D03E8" w14:textId="77777777" w:rsidR="00471D53" w:rsidRDefault="00B664AF">
                <w:pPr>
                  <w:jc w:val="right"/>
                  <w:rPr>
                    <w:szCs w:val="21"/>
                  </w:rPr>
                </w:pPr>
              </w:p>
            </w:tc>
            <w:tc>
              <w:tcPr>
                <w:tcW w:w="591" w:type="pct"/>
                <w:shd w:val="clear" w:color="auto" w:fill="auto"/>
              </w:tcPr>
              <w:p w14:paraId="20AB9C8C" w14:textId="77777777" w:rsidR="00471D53" w:rsidRDefault="00B664AF">
                <w:pPr>
                  <w:jc w:val="right"/>
                  <w:rPr>
                    <w:szCs w:val="21"/>
                  </w:rPr>
                </w:pPr>
              </w:p>
            </w:tc>
            <w:tc>
              <w:tcPr>
                <w:tcW w:w="782" w:type="pct"/>
                <w:shd w:val="clear" w:color="auto" w:fill="auto"/>
              </w:tcPr>
              <w:p w14:paraId="72A1625A" w14:textId="77777777" w:rsidR="00471D53" w:rsidRDefault="00B664AF">
                <w:pPr>
                  <w:jc w:val="right"/>
                  <w:rPr>
                    <w:szCs w:val="21"/>
                  </w:rPr>
                </w:pPr>
              </w:p>
            </w:tc>
            <w:tc>
              <w:tcPr>
                <w:tcW w:w="893" w:type="pct"/>
                <w:shd w:val="clear" w:color="auto" w:fill="auto"/>
              </w:tcPr>
              <w:p w14:paraId="3446F914" w14:textId="77777777" w:rsidR="00471D53" w:rsidRDefault="00B664AF">
                <w:pPr>
                  <w:jc w:val="right"/>
                  <w:rPr>
                    <w:szCs w:val="21"/>
                  </w:rPr>
                </w:pPr>
              </w:p>
            </w:tc>
          </w:tr>
          <w:tr w:rsidR="00471D53" w14:paraId="0575DC1A" w14:textId="77777777" w:rsidTr="00471D53">
            <w:trPr>
              <w:trHeight w:val="284"/>
            </w:trPr>
            <w:sdt>
              <w:sdtPr>
                <w:tag w:val="_PLD_c13e2ead7b5f41d0891abcff97ced932"/>
                <w:id w:val="1729890509"/>
                <w:lock w:val="sdtLocked"/>
              </w:sdtPr>
              <w:sdtEndPr/>
              <w:sdtContent>
                <w:tc>
                  <w:tcPr>
                    <w:tcW w:w="1002" w:type="pct"/>
                    <w:shd w:val="clear" w:color="auto" w:fill="auto"/>
                    <w:vAlign w:val="center"/>
                  </w:tcPr>
                  <w:p w14:paraId="7FB194D8" w14:textId="77777777" w:rsidR="00471D53" w:rsidRDefault="004F686E" w:rsidP="00471D53">
                    <w:pPr>
                      <w:ind w:firstLineChars="300" w:firstLine="630"/>
                      <w:rPr>
                        <w:szCs w:val="21"/>
                      </w:rPr>
                    </w:pPr>
                    <w:r>
                      <w:rPr>
                        <w:rFonts w:hint="eastAsia"/>
                        <w:szCs w:val="21"/>
                      </w:rPr>
                      <w:t>（1）</w:t>
                    </w:r>
                    <w:r>
                      <w:rPr>
                        <w:szCs w:val="21"/>
                      </w:rPr>
                      <w:t>计提</w:t>
                    </w:r>
                  </w:p>
                </w:tc>
              </w:sdtContent>
            </w:sdt>
            <w:tc>
              <w:tcPr>
                <w:tcW w:w="893" w:type="pct"/>
                <w:shd w:val="clear" w:color="auto" w:fill="auto"/>
              </w:tcPr>
              <w:p w14:paraId="65F8C269" w14:textId="77777777" w:rsidR="00471D53" w:rsidRDefault="00B664AF">
                <w:pPr>
                  <w:jc w:val="right"/>
                  <w:rPr>
                    <w:szCs w:val="21"/>
                  </w:rPr>
                </w:pPr>
              </w:p>
            </w:tc>
            <w:tc>
              <w:tcPr>
                <w:tcW w:w="838" w:type="pct"/>
                <w:shd w:val="clear" w:color="auto" w:fill="auto"/>
              </w:tcPr>
              <w:p w14:paraId="1347142F" w14:textId="77777777" w:rsidR="00471D53" w:rsidRDefault="00B664AF">
                <w:pPr>
                  <w:jc w:val="right"/>
                  <w:rPr>
                    <w:szCs w:val="21"/>
                  </w:rPr>
                </w:pPr>
              </w:p>
            </w:tc>
            <w:tc>
              <w:tcPr>
                <w:tcW w:w="591" w:type="pct"/>
                <w:shd w:val="clear" w:color="auto" w:fill="auto"/>
              </w:tcPr>
              <w:p w14:paraId="28DE00FA" w14:textId="77777777" w:rsidR="00471D53" w:rsidRDefault="00B664AF">
                <w:pPr>
                  <w:jc w:val="right"/>
                  <w:rPr>
                    <w:szCs w:val="21"/>
                  </w:rPr>
                </w:pPr>
              </w:p>
            </w:tc>
            <w:tc>
              <w:tcPr>
                <w:tcW w:w="782" w:type="pct"/>
                <w:shd w:val="clear" w:color="auto" w:fill="auto"/>
              </w:tcPr>
              <w:p w14:paraId="67D84F9C" w14:textId="77777777" w:rsidR="00471D53" w:rsidRDefault="00B664AF">
                <w:pPr>
                  <w:jc w:val="right"/>
                  <w:rPr>
                    <w:szCs w:val="21"/>
                  </w:rPr>
                </w:pPr>
              </w:p>
            </w:tc>
            <w:tc>
              <w:tcPr>
                <w:tcW w:w="893" w:type="pct"/>
                <w:shd w:val="clear" w:color="auto" w:fill="auto"/>
              </w:tcPr>
              <w:p w14:paraId="7072F6E0" w14:textId="77777777" w:rsidR="00471D53" w:rsidRDefault="00B664AF">
                <w:pPr>
                  <w:jc w:val="right"/>
                  <w:rPr>
                    <w:szCs w:val="21"/>
                  </w:rPr>
                </w:pPr>
              </w:p>
            </w:tc>
          </w:tr>
          <w:tr w:rsidR="00471D53" w14:paraId="0F21152A" w14:textId="77777777" w:rsidTr="00471D53">
            <w:trPr>
              <w:trHeight w:val="284"/>
            </w:trPr>
            <w:sdt>
              <w:sdtPr>
                <w:rPr>
                  <w:rFonts w:hint="eastAsia"/>
                  <w:szCs w:val="21"/>
                </w:rPr>
                <w:alias w:val="无形资产减值准备增加项目名称"/>
                <w:tag w:val="_GBC_a07f98d210fd4636be10f5bfad0425cc"/>
                <w:id w:val="-308013213"/>
                <w:lock w:val="sdtLocked"/>
                <w:showingPlcHdr/>
              </w:sdtPr>
              <w:sdtEndPr/>
              <w:sdtContent>
                <w:tc>
                  <w:tcPr>
                    <w:tcW w:w="1002" w:type="pct"/>
                    <w:shd w:val="clear" w:color="auto" w:fill="auto"/>
                  </w:tcPr>
                  <w:p w14:paraId="15897424" w14:textId="77777777" w:rsidR="00471D53" w:rsidRDefault="004F686E" w:rsidP="00471D53">
                    <w:pPr>
                      <w:ind w:firstLineChars="300" w:firstLine="630"/>
                      <w:rPr>
                        <w:szCs w:val="21"/>
                      </w:rPr>
                    </w:pPr>
                    <w:r>
                      <w:rPr>
                        <w:rFonts w:hint="eastAsia"/>
                        <w:szCs w:val="21"/>
                      </w:rPr>
                      <w:t xml:space="preserve">　</w:t>
                    </w:r>
                  </w:p>
                </w:tc>
              </w:sdtContent>
            </w:sdt>
            <w:sdt>
              <w:sdtPr>
                <w:rPr>
                  <w:rFonts w:hint="eastAsia"/>
                  <w:szCs w:val="21"/>
                </w:rPr>
                <w:alias w:val="无形资产土地使用权减值准备增加项目金额"/>
                <w:tag w:val="_GBC_12b871fdd57041608a822a4b7df86aab"/>
                <w:id w:val="2116562368"/>
                <w:lock w:val="sdtLocked"/>
                <w:showingPlcHdr/>
              </w:sdtPr>
              <w:sdtEndPr/>
              <w:sdtContent>
                <w:tc>
                  <w:tcPr>
                    <w:tcW w:w="893" w:type="pct"/>
                    <w:shd w:val="clear" w:color="auto" w:fill="auto"/>
                  </w:tcPr>
                  <w:p w14:paraId="6D7306CA" w14:textId="77777777" w:rsidR="00471D53" w:rsidRDefault="004F686E">
                    <w:pPr>
                      <w:jc w:val="right"/>
                      <w:rPr>
                        <w:szCs w:val="21"/>
                      </w:rPr>
                    </w:pPr>
                    <w:r>
                      <w:rPr>
                        <w:rFonts w:hint="eastAsia"/>
                        <w:szCs w:val="21"/>
                      </w:rPr>
                      <w:t xml:space="preserve">　</w:t>
                    </w:r>
                  </w:p>
                </w:tc>
              </w:sdtContent>
            </w:sdt>
            <w:sdt>
              <w:sdtPr>
                <w:rPr>
                  <w:rFonts w:hint="eastAsia"/>
                  <w:szCs w:val="21"/>
                </w:rPr>
                <w:alias w:val="无形资产专利权减值准备增加项目金额"/>
                <w:tag w:val="_GBC_67beba23fec84cc8bdab0a5541f34763"/>
                <w:id w:val="1788851938"/>
                <w:lock w:val="sdtLocked"/>
                <w:showingPlcHdr/>
              </w:sdtPr>
              <w:sdtEndPr/>
              <w:sdtContent>
                <w:tc>
                  <w:tcPr>
                    <w:tcW w:w="838" w:type="pct"/>
                    <w:shd w:val="clear" w:color="auto" w:fill="auto"/>
                  </w:tcPr>
                  <w:p w14:paraId="6EB780A3" w14:textId="77777777" w:rsidR="00471D53" w:rsidRDefault="004F686E">
                    <w:pPr>
                      <w:jc w:val="right"/>
                      <w:rPr>
                        <w:szCs w:val="21"/>
                      </w:rPr>
                    </w:pPr>
                    <w:r>
                      <w:rPr>
                        <w:rFonts w:hint="eastAsia"/>
                        <w:szCs w:val="21"/>
                      </w:rPr>
                      <w:t xml:space="preserve">　</w:t>
                    </w:r>
                  </w:p>
                </w:tc>
              </w:sdtContent>
            </w:sdt>
            <w:sdt>
              <w:sdtPr>
                <w:rPr>
                  <w:rFonts w:hint="eastAsia"/>
                  <w:szCs w:val="21"/>
                </w:rPr>
                <w:alias w:val="无形资产非专利技术减值准备增加项目金额"/>
                <w:tag w:val="_GBC_be68ae2985d7460081ee248b41918fc0"/>
                <w:id w:val="1368879388"/>
                <w:lock w:val="sdtLocked"/>
                <w:showingPlcHdr/>
              </w:sdtPr>
              <w:sdtEndPr/>
              <w:sdtContent>
                <w:tc>
                  <w:tcPr>
                    <w:tcW w:w="591" w:type="pct"/>
                    <w:shd w:val="clear" w:color="auto" w:fill="auto"/>
                  </w:tcPr>
                  <w:p w14:paraId="75F458BA" w14:textId="77777777" w:rsidR="00471D53" w:rsidRDefault="004F686E">
                    <w:pPr>
                      <w:jc w:val="right"/>
                      <w:rPr>
                        <w:szCs w:val="21"/>
                      </w:rPr>
                    </w:pPr>
                    <w:r>
                      <w:rPr>
                        <w:rFonts w:hint="eastAsia"/>
                        <w:szCs w:val="21"/>
                      </w:rPr>
                      <w:t xml:space="preserve">　</w:t>
                    </w:r>
                  </w:p>
                </w:tc>
              </w:sdtContent>
            </w:sdt>
            <w:sdt>
              <w:sdtPr>
                <w:rPr>
                  <w:rFonts w:hint="eastAsia"/>
                  <w:szCs w:val="21"/>
                </w:rPr>
                <w:alias w:val="无形资产减值准备增加项目金额"/>
                <w:tag w:val="_GBC_63b957dd4ae94826a33c2bd5cab283a2"/>
                <w:id w:val="-1798521546"/>
                <w:lock w:val="sdtLocked"/>
                <w:showingPlcHdr/>
              </w:sdtPr>
              <w:sdtEndPr/>
              <w:sdtContent>
                <w:tc>
                  <w:tcPr>
                    <w:tcW w:w="782" w:type="pct"/>
                    <w:shd w:val="clear" w:color="auto" w:fill="auto"/>
                  </w:tcPr>
                  <w:p w14:paraId="5B4C0085" w14:textId="77777777" w:rsidR="00471D53" w:rsidRDefault="004F686E">
                    <w:pPr>
                      <w:jc w:val="right"/>
                      <w:rPr>
                        <w:szCs w:val="21"/>
                      </w:rPr>
                    </w:pPr>
                    <w:r>
                      <w:rPr>
                        <w:rFonts w:hint="eastAsia"/>
                        <w:szCs w:val="21"/>
                      </w:rPr>
                      <w:t xml:space="preserve">　</w:t>
                    </w:r>
                  </w:p>
                </w:tc>
              </w:sdtContent>
            </w:sdt>
            <w:sdt>
              <w:sdtPr>
                <w:rPr>
                  <w:rFonts w:hint="eastAsia"/>
                  <w:szCs w:val="21"/>
                </w:rPr>
                <w:alias w:val="无形资产减值准备增加项目合计金额"/>
                <w:tag w:val="_GBC_d898031c95ba4f18aa304513f88d8510"/>
                <w:id w:val="963321284"/>
                <w:lock w:val="sdtLocked"/>
                <w:showingPlcHdr/>
              </w:sdtPr>
              <w:sdtEndPr/>
              <w:sdtContent>
                <w:tc>
                  <w:tcPr>
                    <w:tcW w:w="893" w:type="pct"/>
                    <w:shd w:val="clear" w:color="auto" w:fill="auto"/>
                  </w:tcPr>
                  <w:p w14:paraId="7E7047D2" w14:textId="77777777" w:rsidR="00471D53" w:rsidRDefault="004F686E">
                    <w:pPr>
                      <w:jc w:val="right"/>
                      <w:rPr>
                        <w:szCs w:val="21"/>
                      </w:rPr>
                    </w:pPr>
                    <w:r>
                      <w:rPr>
                        <w:rFonts w:hint="eastAsia"/>
                        <w:szCs w:val="21"/>
                      </w:rPr>
                      <w:t xml:space="preserve">　</w:t>
                    </w:r>
                  </w:p>
                </w:tc>
              </w:sdtContent>
            </w:sdt>
          </w:tr>
          <w:tr w:rsidR="00471D53" w14:paraId="5DC164D5" w14:textId="77777777" w:rsidTr="00471D53">
            <w:trPr>
              <w:trHeight w:val="284"/>
            </w:trPr>
            <w:sdt>
              <w:sdtPr>
                <w:rPr>
                  <w:rFonts w:hint="eastAsia"/>
                  <w:szCs w:val="21"/>
                </w:rPr>
                <w:alias w:val="无形资产减值准备增加项目名称"/>
                <w:tag w:val="_GBC_a07f98d210fd4636be10f5bfad0425cc"/>
                <w:id w:val="1136143893"/>
                <w:lock w:val="sdtLocked"/>
                <w:showingPlcHdr/>
              </w:sdtPr>
              <w:sdtEndPr/>
              <w:sdtContent>
                <w:tc>
                  <w:tcPr>
                    <w:tcW w:w="1002" w:type="pct"/>
                    <w:shd w:val="clear" w:color="auto" w:fill="auto"/>
                  </w:tcPr>
                  <w:p w14:paraId="0335A116" w14:textId="77777777" w:rsidR="00471D53" w:rsidRDefault="004F686E" w:rsidP="00471D53">
                    <w:pPr>
                      <w:ind w:firstLineChars="300" w:firstLine="630"/>
                      <w:rPr>
                        <w:szCs w:val="21"/>
                      </w:rPr>
                    </w:pPr>
                    <w:r>
                      <w:rPr>
                        <w:rFonts w:hint="eastAsia"/>
                        <w:szCs w:val="21"/>
                      </w:rPr>
                      <w:t xml:space="preserve">　</w:t>
                    </w:r>
                  </w:p>
                </w:tc>
              </w:sdtContent>
            </w:sdt>
            <w:sdt>
              <w:sdtPr>
                <w:rPr>
                  <w:rFonts w:hint="eastAsia"/>
                  <w:szCs w:val="21"/>
                </w:rPr>
                <w:alias w:val="无形资产土地使用权减值准备增加项目金额"/>
                <w:tag w:val="_GBC_12b871fdd57041608a822a4b7df86aab"/>
                <w:id w:val="623503304"/>
                <w:lock w:val="sdtLocked"/>
                <w:showingPlcHdr/>
              </w:sdtPr>
              <w:sdtEndPr/>
              <w:sdtContent>
                <w:tc>
                  <w:tcPr>
                    <w:tcW w:w="893" w:type="pct"/>
                    <w:shd w:val="clear" w:color="auto" w:fill="auto"/>
                  </w:tcPr>
                  <w:p w14:paraId="7E55F4EC" w14:textId="77777777" w:rsidR="00471D53" w:rsidRDefault="004F686E">
                    <w:pPr>
                      <w:jc w:val="right"/>
                      <w:rPr>
                        <w:szCs w:val="21"/>
                      </w:rPr>
                    </w:pPr>
                    <w:r>
                      <w:rPr>
                        <w:rFonts w:hint="eastAsia"/>
                        <w:szCs w:val="21"/>
                      </w:rPr>
                      <w:t xml:space="preserve">　</w:t>
                    </w:r>
                  </w:p>
                </w:tc>
              </w:sdtContent>
            </w:sdt>
            <w:sdt>
              <w:sdtPr>
                <w:rPr>
                  <w:rFonts w:hint="eastAsia"/>
                  <w:szCs w:val="21"/>
                </w:rPr>
                <w:alias w:val="无形资产专利权减值准备增加项目金额"/>
                <w:tag w:val="_GBC_67beba23fec84cc8bdab0a5541f34763"/>
                <w:id w:val="1638689018"/>
                <w:lock w:val="sdtLocked"/>
                <w:showingPlcHdr/>
              </w:sdtPr>
              <w:sdtEndPr/>
              <w:sdtContent>
                <w:tc>
                  <w:tcPr>
                    <w:tcW w:w="838" w:type="pct"/>
                    <w:shd w:val="clear" w:color="auto" w:fill="auto"/>
                  </w:tcPr>
                  <w:p w14:paraId="767E12A2" w14:textId="77777777" w:rsidR="00471D53" w:rsidRDefault="004F686E">
                    <w:pPr>
                      <w:jc w:val="right"/>
                      <w:rPr>
                        <w:szCs w:val="21"/>
                      </w:rPr>
                    </w:pPr>
                    <w:r>
                      <w:rPr>
                        <w:rFonts w:hint="eastAsia"/>
                        <w:szCs w:val="21"/>
                      </w:rPr>
                      <w:t xml:space="preserve">　</w:t>
                    </w:r>
                  </w:p>
                </w:tc>
              </w:sdtContent>
            </w:sdt>
            <w:sdt>
              <w:sdtPr>
                <w:rPr>
                  <w:rFonts w:hint="eastAsia"/>
                  <w:szCs w:val="21"/>
                </w:rPr>
                <w:alias w:val="无形资产非专利技术减值准备增加项目金额"/>
                <w:tag w:val="_GBC_be68ae2985d7460081ee248b41918fc0"/>
                <w:id w:val="-1676718289"/>
                <w:lock w:val="sdtLocked"/>
                <w:showingPlcHdr/>
              </w:sdtPr>
              <w:sdtEndPr/>
              <w:sdtContent>
                <w:tc>
                  <w:tcPr>
                    <w:tcW w:w="591" w:type="pct"/>
                    <w:shd w:val="clear" w:color="auto" w:fill="auto"/>
                  </w:tcPr>
                  <w:p w14:paraId="3B92A352" w14:textId="77777777" w:rsidR="00471D53" w:rsidRDefault="004F686E">
                    <w:pPr>
                      <w:jc w:val="right"/>
                      <w:rPr>
                        <w:szCs w:val="21"/>
                      </w:rPr>
                    </w:pPr>
                    <w:r>
                      <w:rPr>
                        <w:rFonts w:hint="eastAsia"/>
                        <w:szCs w:val="21"/>
                      </w:rPr>
                      <w:t xml:space="preserve">　</w:t>
                    </w:r>
                  </w:p>
                </w:tc>
              </w:sdtContent>
            </w:sdt>
            <w:sdt>
              <w:sdtPr>
                <w:rPr>
                  <w:rFonts w:hint="eastAsia"/>
                  <w:szCs w:val="21"/>
                </w:rPr>
                <w:alias w:val="无形资产减值准备增加项目金额"/>
                <w:tag w:val="_GBC_63b957dd4ae94826a33c2bd5cab283a2"/>
                <w:id w:val="558141121"/>
                <w:lock w:val="sdtLocked"/>
                <w:showingPlcHdr/>
              </w:sdtPr>
              <w:sdtEndPr/>
              <w:sdtContent>
                <w:tc>
                  <w:tcPr>
                    <w:tcW w:w="782" w:type="pct"/>
                    <w:shd w:val="clear" w:color="auto" w:fill="auto"/>
                  </w:tcPr>
                  <w:p w14:paraId="5317BC37" w14:textId="77777777" w:rsidR="00471D53" w:rsidRDefault="004F686E">
                    <w:pPr>
                      <w:jc w:val="right"/>
                      <w:rPr>
                        <w:szCs w:val="21"/>
                      </w:rPr>
                    </w:pPr>
                    <w:r>
                      <w:rPr>
                        <w:rFonts w:hint="eastAsia"/>
                        <w:szCs w:val="21"/>
                      </w:rPr>
                      <w:t xml:space="preserve">　</w:t>
                    </w:r>
                  </w:p>
                </w:tc>
              </w:sdtContent>
            </w:sdt>
            <w:sdt>
              <w:sdtPr>
                <w:rPr>
                  <w:rFonts w:hint="eastAsia"/>
                  <w:szCs w:val="21"/>
                </w:rPr>
                <w:alias w:val="无形资产减值准备增加项目合计金额"/>
                <w:tag w:val="_GBC_d898031c95ba4f18aa304513f88d8510"/>
                <w:id w:val="-316653028"/>
                <w:lock w:val="sdtLocked"/>
                <w:showingPlcHdr/>
              </w:sdtPr>
              <w:sdtEndPr/>
              <w:sdtContent>
                <w:tc>
                  <w:tcPr>
                    <w:tcW w:w="893" w:type="pct"/>
                    <w:shd w:val="clear" w:color="auto" w:fill="auto"/>
                  </w:tcPr>
                  <w:p w14:paraId="45793B66" w14:textId="77777777" w:rsidR="00471D53" w:rsidRDefault="004F686E">
                    <w:pPr>
                      <w:jc w:val="right"/>
                      <w:rPr>
                        <w:szCs w:val="21"/>
                      </w:rPr>
                    </w:pPr>
                    <w:r>
                      <w:rPr>
                        <w:rFonts w:hint="eastAsia"/>
                        <w:szCs w:val="21"/>
                      </w:rPr>
                      <w:t xml:space="preserve">　</w:t>
                    </w:r>
                  </w:p>
                </w:tc>
              </w:sdtContent>
            </w:sdt>
          </w:tr>
          <w:tr w:rsidR="00471D53" w14:paraId="1DECAF14" w14:textId="77777777" w:rsidTr="00471D53">
            <w:trPr>
              <w:trHeight w:val="284"/>
            </w:trPr>
            <w:sdt>
              <w:sdtPr>
                <w:tag w:val="_PLD_80ddaa0f1cfd432483c808ea875d3645"/>
                <w:id w:val="2033144176"/>
                <w:lock w:val="sdtLocked"/>
              </w:sdtPr>
              <w:sdtEndPr/>
              <w:sdtContent>
                <w:tc>
                  <w:tcPr>
                    <w:tcW w:w="1002" w:type="pct"/>
                    <w:shd w:val="clear" w:color="auto" w:fill="auto"/>
                    <w:vAlign w:val="center"/>
                  </w:tcPr>
                  <w:p w14:paraId="5F462F52" w14:textId="77777777" w:rsidR="00471D53" w:rsidRDefault="004F686E" w:rsidP="00471D53">
                    <w:pPr>
                      <w:ind w:firstLineChars="200" w:firstLine="420"/>
                      <w:rPr>
                        <w:szCs w:val="21"/>
                      </w:rPr>
                    </w:pPr>
                    <w:r>
                      <w:rPr>
                        <w:rFonts w:hint="eastAsia"/>
                        <w:szCs w:val="21"/>
                      </w:rPr>
                      <w:t>3.</w:t>
                    </w:r>
                    <w:r>
                      <w:rPr>
                        <w:szCs w:val="21"/>
                      </w:rPr>
                      <w:t>本期减少</w:t>
                    </w:r>
                    <w:r>
                      <w:rPr>
                        <w:rFonts w:hint="eastAsia"/>
                        <w:szCs w:val="21"/>
                      </w:rPr>
                      <w:t>金额</w:t>
                    </w:r>
                  </w:p>
                </w:tc>
              </w:sdtContent>
            </w:sdt>
            <w:tc>
              <w:tcPr>
                <w:tcW w:w="893" w:type="pct"/>
                <w:shd w:val="clear" w:color="auto" w:fill="auto"/>
              </w:tcPr>
              <w:p w14:paraId="2C57E583" w14:textId="77777777" w:rsidR="00471D53" w:rsidRDefault="00B664AF">
                <w:pPr>
                  <w:jc w:val="right"/>
                  <w:rPr>
                    <w:szCs w:val="21"/>
                  </w:rPr>
                </w:pPr>
              </w:p>
            </w:tc>
            <w:tc>
              <w:tcPr>
                <w:tcW w:w="838" w:type="pct"/>
                <w:shd w:val="clear" w:color="auto" w:fill="auto"/>
              </w:tcPr>
              <w:p w14:paraId="430C9B45" w14:textId="77777777" w:rsidR="00471D53" w:rsidRDefault="00B664AF">
                <w:pPr>
                  <w:jc w:val="right"/>
                  <w:rPr>
                    <w:szCs w:val="21"/>
                  </w:rPr>
                </w:pPr>
              </w:p>
            </w:tc>
            <w:tc>
              <w:tcPr>
                <w:tcW w:w="591" w:type="pct"/>
                <w:shd w:val="clear" w:color="auto" w:fill="auto"/>
              </w:tcPr>
              <w:p w14:paraId="55AD873F" w14:textId="77777777" w:rsidR="00471D53" w:rsidRDefault="00B664AF">
                <w:pPr>
                  <w:jc w:val="right"/>
                  <w:rPr>
                    <w:szCs w:val="21"/>
                  </w:rPr>
                </w:pPr>
              </w:p>
            </w:tc>
            <w:tc>
              <w:tcPr>
                <w:tcW w:w="782" w:type="pct"/>
                <w:shd w:val="clear" w:color="auto" w:fill="auto"/>
              </w:tcPr>
              <w:p w14:paraId="7D2A6C47" w14:textId="77777777" w:rsidR="00471D53" w:rsidRDefault="00B664AF">
                <w:pPr>
                  <w:jc w:val="right"/>
                  <w:rPr>
                    <w:szCs w:val="21"/>
                  </w:rPr>
                </w:pPr>
              </w:p>
            </w:tc>
            <w:tc>
              <w:tcPr>
                <w:tcW w:w="893" w:type="pct"/>
                <w:shd w:val="clear" w:color="auto" w:fill="auto"/>
              </w:tcPr>
              <w:p w14:paraId="5F88CB50" w14:textId="77777777" w:rsidR="00471D53" w:rsidRDefault="00B664AF">
                <w:pPr>
                  <w:jc w:val="right"/>
                  <w:rPr>
                    <w:szCs w:val="21"/>
                  </w:rPr>
                </w:pPr>
              </w:p>
            </w:tc>
          </w:tr>
          <w:tr w:rsidR="00471D53" w14:paraId="27EEE594" w14:textId="77777777" w:rsidTr="00471D53">
            <w:trPr>
              <w:trHeight w:val="284"/>
            </w:trPr>
            <w:sdt>
              <w:sdtPr>
                <w:tag w:val="_PLD_2737286ed2dd4f3f95206ad01cd11070"/>
                <w:id w:val="-1819417765"/>
                <w:lock w:val="sdtLocked"/>
              </w:sdtPr>
              <w:sdtEndPr/>
              <w:sdtContent>
                <w:tc>
                  <w:tcPr>
                    <w:tcW w:w="1002" w:type="pct"/>
                    <w:shd w:val="clear" w:color="auto" w:fill="auto"/>
                    <w:vAlign w:val="center"/>
                  </w:tcPr>
                  <w:p w14:paraId="1C056524" w14:textId="77777777" w:rsidR="00471D53" w:rsidRDefault="004F686E" w:rsidP="00471D53">
                    <w:pPr>
                      <w:ind w:firstLineChars="300" w:firstLine="630"/>
                      <w:rPr>
                        <w:szCs w:val="21"/>
                      </w:rPr>
                    </w:pPr>
                    <w:r>
                      <w:rPr>
                        <w:szCs w:val="21"/>
                      </w:rPr>
                      <w:t>(</w:t>
                    </w:r>
                    <w:r>
                      <w:rPr>
                        <w:rFonts w:hint="eastAsia"/>
                        <w:szCs w:val="21"/>
                      </w:rPr>
                      <w:t>1</w:t>
                    </w:r>
                    <w:r>
                      <w:rPr>
                        <w:szCs w:val="21"/>
                      </w:rPr>
                      <w:t>)</w:t>
                    </w:r>
                    <w:r>
                      <w:rPr>
                        <w:rFonts w:hint="eastAsia"/>
                        <w:szCs w:val="21"/>
                      </w:rPr>
                      <w:t>处置</w:t>
                    </w:r>
                  </w:p>
                </w:tc>
              </w:sdtContent>
            </w:sdt>
            <w:tc>
              <w:tcPr>
                <w:tcW w:w="893" w:type="pct"/>
                <w:shd w:val="clear" w:color="auto" w:fill="auto"/>
              </w:tcPr>
              <w:p w14:paraId="4A454D45" w14:textId="77777777" w:rsidR="00471D53" w:rsidRDefault="00B664AF">
                <w:pPr>
                  <w:jc w:val="right"/>
                  <w:rPr>
                    <w:szCs w:val="21"/>
                  </w:rPr>
                </w:pPr>
              </w:p>
            </w:tc>
            <w:tc>
              <w:tcPr>
                <w:tcW w:w="838" w:type="pct"/>
                <w:shd w:val="clear" w:color="auto" w:fill="auto"/>
              </w:tcPr>
              <w:p w14:paraId="5FB2307F" w14:textId="77777777" w:rsidR="00471D53" w:rsidRDefault="00B664AF">
                <w:pPr>
                  <w:jc w:val="right"/>
                  <w:rPr>
                    <w:szCs w:val="21"/>
                  </w:rPr>
                </w:pPr>
              </w:p>
            </w:tc>
            <w:tc>
              <w:tcPr>
                <w:tcW w:w="591" w:type="pct"/>
                <w:shd w:val="clear" w:color="auto" w:fill="auto"/>
              </w:tcPr>
              <w:p w14:paraId="51FB6F92" w14:textId="77777777" w:rsidR="00471D53" w:rsidRDefault="00B664AF">
                <w:pPr>
                  <w:jc w:val="right"/>
                  <w:rPr>
                    <w:szCs w:val="21"/>
                  </w:rPr>
                </w:pPr>
              </w:p>
            </w:tc>
            <w:tc>
              <w:tcPr>
                <w:tcW w:w="782" w:type="pct"/>
                <w:shd w:val="clear" w:color="auto" w:fill="auto"/>
              </w:tcPr>
              <w:p w14:paraId="35F42269" w14:textId="77777777" w:rsidR="00471D53" w:rsidRDefault="00B664AF">
                <w:pPr>
                  <w:jc w:val="right"/>
                  <w:rPr>
                    <w:szCs w:val="21"/>
                  </w:rPr>
                </w:pPr>
              </w:p>
            </w:tc>
            <w:tc>
              <w:tcPr>
                <w:tcW w:w="893" w:type="pct"/>
                <w:shd w:val="clear" w:color="auto" w:fill="auto"/>
              </w:tcPr>
              <w:p w14:paraId="71D8DEF9" w14:textId="77777777" w:rsidR="00471D53" w:rsidRDefault="00B664AF">
                <w:pPr>
                  <w:jc w:val="right"/>
                  <w:rPr>
                    <w:szCs w:val="21"/>
                  </w:rPr>
                </w:pPr>
              </w:p>
            </w:tc>
          </w:tr>
          <w:tr w:rsidR="00471D53" w14:paraId="7CE6359C" w14:textId="77777777" w:rsidTr="00471D53">
            <w:trPr>
              <w:trHeight w:val="284"/>
            </w:trPr>
            <w:sdt>
              <w:sdtPr>
                <w:rPr>
                  <w:rFonts w:hint="eastAsia"/>
                  <w:szCs w:val="21"/>
                </w:rPr>
                <w:alias w:val="无形资产减值准备减少项目名称"/>
                <w:tag w:val="_GBC_8272bbfdd02345b8ad44a88b8a41de10"/>
                <w:id w:val="2087100478"/>
                <w:lock w:val="sdtLocked"/>
                <w:showingPlcHdr/>
              </w:sdtPr>
              <w:sdtEndPr/>
              <w:sdtContent>
                <w:tc>
                  <w:tcPr>
                    <w:tcW w:w="1002" w:type="pct"/>
                    <w:shd w:val="clear" w:color="auto" w:fill="auto"/>
                  </w:tcPr>
                  <w:p w14:paraId="12EA20A1" w14:textId="77777777" w:rsidR="00471D53" w:rsidRDefault="004F686E" w:rsidP="00471D53">
                    <w:pPr>
                      <w:ind w:firstLineChars="300" w:firstLine="630"/>
                      <w:rPr>
                        <w:szCs w:val="21"/>
                      </w:rPr>
                    </w:pPr>
                    <w:r>
                      <w:rPr>
                        <w:rFonts w:hint="eastAsia"/>
                        <w:szCs w:val="21"/>
                      </w:rPr>
                      <w:t xml:space="preserve">　</w:t>
                    </w:r>
                  </w:p>
                </w:tc>
              </w:sdtContent>
            </w:sdt>
            <w:sdt>
              <w:sdtPr>
                <w:rPr>
                  <w:rFonts w:hint="eastAsia"/>
                  <w:szCs w:val="21"/>
                </w:rPr>
                <w:alias w:val="无形资产土地使用权减值准备减少项目金额"/>
                <w:tag w:val="_GBC_8b708dfdfdc84533925e407c20772767"/>
                <w:id w:val="-711651703"/>
                <w:lock w:val="sdtLocked"/>
                <w:showingPlcHdr/>
              </w:sdtPr>
              <w:sdtEndPr/>
              <w:sdtContent>
                <w:tc>
                  <w:tcPr>
                    <w:tcW w:w="893" w:type="pct"/>
                    <w:shd w:val="clear" w:color="auto" w:fill="auto"/>
                  </w:tcPr>
                  <w:p w14:paraId="7D562DBD" w14:textId="77777777" w:rsidR="00471D53" w:rsidRDefault="004F686E">
                    <w:pPr>
                      <w:jc w:val="right"/>
                      <w:rPr>
                        <w:szCs w:val="21"/>
                      </w:rPr>
                    </w:pPr>
                    <w:r>
                      <w:rPr>
                        <w:rFonts w:hint="eastAsia"/>
                        <w:szCs w:val="21"/>
                      </w:rPr>
                      <w:t xml:space="preserve">　</w:t>
                    </w:r>
                  </w:p>
                </w:tc>
              </w:sdtContent>
            </w:sdt>
            <w:sdt>
              <w:sdtPr>
                <w:rPr>
                  <w:rFonts w:hint="eastAsia"/>
                  <w:szCs w:val="21"/>
                </w:rPr>
                <w:alias w:val="无形资产专利权减值准备减少项目金额"/>
                <w:tag w:val="_GBC_3a32133737c54fadbe7b669399eade67"/>
                <w:id w:val="-374314744"/>
                <w:lock w:val="sdtLocked"/>
                <w:showingPlcHdr/>
              </w:sdtPr>
              <w:sdtEndPr/>
              <w:sdtContent>
                <w:tc>
                  <w:tcPr>
                    <w:tcW w:w="838" w:type="pct"/>
                    <w:shd w:val="clear" w:color="auto" w:fill="auto"/>
                  </w:tcPr>
                  <w:p w14:paraId="654A2DE6" w14:textId="77777777" w:rsidR="00471D53" w:rsidRDefault="004F686E">
                    <w:pPr>
                      <w:jc w:val="right"/>
                      <w:rPr>
                        <w:szCs w:val="21"/>
                      </w:rPr>
                    </w:pPr>
                    <w:r>
                      <w:rPr>
                        <w:rFonts w:hint="eastAsia"/>
                        <w:szCs w:val="21"/>
                      </w:rPr>
                      <w:t xml:space="preserve">　</w:t>
                    </w:r>
                  </w:p>
                </w:tc>
              </w:sdtContent>
            </w:sdt>
            <w:sdt>
              <w:sdtPr>
                <w:rPr>
                  <w:rFonts w:hint="eastAsia"/>
                  <w:szCs w:val="21"/>
                </w:rPr>
                <w:alias w:val="无形资产非专利技术减值准备减少项目金额"/>
                <w:tag w:val="_GBC_622a25c623bd4d4597996470399d3fec"/>
                <w:id w:val="-1286573835"/>
                <w:lock w:val="sdtLocked"/>
                <w:showingPlcHdr/>
              </w:sdtPr>
              <w:sdtEndPr/>
              <w:sdtContent>
                <w:tc>
                  <w:tcPr>
                    <w:tcW w:w="591" w:type="pct"/>
                    <w:shd w:val="clear" w:color="auto" w:fill="auto"/>
                  </w:tcPr>
                  <w:p w14:paraId="192E8FCD" w14:textId="77777777" w:rsidR="00471D53" w:rsidRDefault="004F686E">
                    <w:pPr>
                      <w:jc w:val="right"/>
                      <w:rPr>
                        <w:szCs w:val="21"/>
                      </w:rPr>
                    </w:pPr>
                    <w:r>
                      <w:rPr>
                        <w:rFonts w:hint="eastAsia"/>
                        <w:szCs w:val="21"/>
                      </w:rPr>
                      <w:t xml:space="preserve">　</w:t>
                    </w:r>
                  </w:p>
                </w:tc>
              </w:sdtContent>
            </w:sdt>
            <w:sdt>
              <w:sdtPr>
                <w:rPr>
                  <w:rFonts w:hint="eastAsia"/>
                  <w:szCs w:val="21"/>
                </w:rPr>
                <w:alias w:val="无形资产减值准备减少项目金额"/>
                <w:tag w:val="_GBC_ecce1bc844c84420aded1f54f86b612a"/>
                <w:id w:val="-1333992424"/>
                <w:lock w:val="sdtLocked"/>
                <w:showingPlcHdr/>
              </w:sdtPr>
              <w:sdtEndPr/>
              <w:sdtContent>
                <w:tc>
                  <w:tcPr>
                    <w:tcW w:w="782" w:type="pct"/>
                    <w:shd w:val="clear" w:color="auto" w:fill="auto"/>
                  </w:tcPr>
                  <w:p w14:paraId="272B56AF" w14:textId="77777777" w:rsidR="00471D53" w:rsidRDefault="004F686E">
                    <w:pPr>
                      <w:jc w:val="right"/>
                      <w:rPr>
                        <w:szCs w:val="21"/>
                      </w:rPr>
                    </w:pPr>
                    <w:r>
                      <w:rPr>
                        <w:rFonts w:hint="eastAsia"/>
                        <w:szCs w:val="21"/>
                      </w:rPr>
                      <w:t xml:space="preserve">　</w:t>
                    </w:r>
                  </w:p>
                </w:tc>
              </w:sdtContent>
            </w:sdt>
            <w:sdt>
              <w:sdtPr>
                <w:rPr>
                  <w:rFonts w:hint="eastAsia"/>
                  <w:szCs w:val="21"/>
                </w:rPr>
                <w:alias w:val="无形资产减值准备减少项目合计金额"/>
                <w:tag w:val="_GBC_af92ed28d10c4c6ea5a7119a7ab5bcd4"/>
                <w:id w:val="-777714977"/>
                <w:lock w:val="sdtLocked"/>
                <w:showingPlcHdr/>
              </w:sdtPr>
              <w:sdtEndPr/>
              <w:sdtContent>
                <w:tc>
                  <w:tcPr>
                    <w:tcW w:w="893" w:type="pct"/>
                    <w:shd w:val="clear" w:color="auto" w:fill="auto"/>
                  </w:tcPr>
                  <w:p w14:paraId="281FAC0B" w14:textId="77777777" w:rsidR="00471D53" w:rsidRDefault="004F686E">
                    <w:pPr>
                      <w:jc w:val="right"/>
                      <w:rPr>
                        <w:szCs w:val="21"/>
                      </w:rPr>
                    </w:pPr>
                    <w:r>
                      <w:rPr>
                        <w:rFonts w:hint="eastAsia"/>
                        <w:szCs w:val="21"/>
                      </w:rPr>
                      <w:t xml:space="preserve">　</w:t>
                    </w:r>
                  </w:p>
                </w:tc>
              </w:sdtContent>
            </w:sdt>
          </w:tr>
          <w:tr w:rsidR="00471D53" w14:paraId="78BFB8A6" w14:textId="77777777" w:rsidTr="00471D53">
            <w:trPr>
              <w:trHeight w:val="284"/>
            </w:trPr>
            <w:sdt>
              <w:sdtPr>
                <w:rPr>
                  <w:rFonts w:hint="eastAsia"/>
                  <w:szCs w:val="21"/>
                </w:rPr>
                <w:alias w:val="无形资产减值准备减少项目名称"/>
                <w:tag w:val="_GBC_8272bbfdd02345b8ad44a88b8a41de10"/>
                <w:id w:val="1540619489"/>
                <w:lock w:val="sdtLocked"/>
                <w:showingPlcHdr/>
              </w:sdtPr>
              <w:sdtEndPr/>
              <w:sdtContent>
                <w:tc>
                  <w:tcPr>
                    <w:tcW w:w="1002" w:type="pct"/>
                    <w:shd w:val="clear" w:color="auto" w:fill="auto"/>
                  </w:tcPr>
                  <w:p w14:paraId="26A3AFE3" w14:textId="77777777" w:rsidR="00471D53" w:rsidRDefault="004F686E" w:rsidP="00471D53">
                    <w:pPr>
                      <w:ind w:firstLineChars="300" w:firstLine="630"/>
                      <w:rPr>
                        <w:szCs w:val="21"/>
                      </w:rPr>
                    </w:pPr>
                    <w:r>
                      <w:rPr>
                        <w:rFonts w:hint="eastAsia"/>
                        <w:szCs w:val="21"/>
                      </w:rPr>
                      <w:t xml:space="preserve">　</w:t>
                    </w:r>
                  </w:p>
                </w:tc>
              </w:sdtContent>
            </w:sdt>
            <w:sdt>
              <w:sdtPr>
                <w:rPr>
                  <w:rFonts w:hint="eastAsia"/>
                  <w:szCs w:val="21"/>
                </w:rPr>
                <w:alias w:val="无形资产土地使用权减值准备减少项目金额"/>
                <w:tag w:val="_GBC_8b708dfdfdc84533925e407c20772767"/>
                <w:id w:val="-1469504218"/>
                <w:lock w:val="sdtLocked"/>
                <w:showingPlcHdr/>
              </w:sdtPr>
              <w:sdtEndPr/>
              <w:sdtContent>
                <w:tc>
                  <w:tcPr>
                    <w:tcW w:w="893" w:type="pct"/>
                    <w:shd w:val="clear" w:color="auto" w:fill="auto"/>
                  </w:tcPr>
                  <w:p w14:paraId="1EC1CED3" w14:textId="77777777" w:rsidR="00471D53" w:rsidRDefault="004F686E">
                    <w:pPr>
                      <w:jc w:val="right"/>
                      <w:rPr>
                        <w:szCs w:val="21"/>
                      </w:rPr>
                    </w:pPr>
                    <w:r>
                      <w:rPr>
                        <w:rFonts w:hint="eastAsia"/>
                        <w:szCs w:val="21"/>
                      </w:rPr>
                      <w:t xml:space="preserve">　</w:t>
                    </w:r>
                  </w:p>
                </w:tc>
              </w:sdtContent>
            </w:sdt>
            <w:sdt>
              <w:sdtPr>
                <w:rPr>
                  <w:rFonts w:hint="eastAsia"/>
                  <w:szCs w:val="21"/>
                </w:rPr>
                <w:alias w:val="无形资产专利权减值准备减少项目金额"/>
                <w:tag w:val="_GBC_3a32133737c54fadbe7b669399eade67"/>
                <w:id w:val="1719854581"/>
                <w:lock w:val="sdtLocked"/>
                <w:showingPlcHdr/>
              </w:sdtPr>
              <w:sdtEndPr/>
              <w:sdtContent>
                <w:tc>
                  <w:tcPr>
                    <w:tcW w:w="838" w:type="pct"/>
                    <w:shd w:val="clear" w:color="auto" w:fill="auto"/>
                  </w:tcPr>
                  <w:p w14:paraId="7E415A38" w14:textId="77777777" w:rsidR="00471D53" w:rsidRDefault="004F686E">
                    <w:pPr>
                      <w:jc w:val="right"/>
                      <w:rPr>
                        <w:szCs w:val="21"/>
                      </w:rPr>
                    </w:pPr>
                    <w:r>
                      <w:rPr>
                        <w:rFonts w:hint="eastAsia"/>
                        <w:szCs w:val="21"/>
                      </w:rPr>
                      <w:t xml:space="preserve">　</w:t>
                    </w:r>
                  </w:p>
                </w:tc>
              </w:sdtContent>
            </w:sdt>
            <w:sdt>
              <w:sdtPr>
                <w:rPr>
                  <w:rFonts w:hint="eastAsia"/>
                  <w:szCs w:val="21"/>
                </w:rPr>
                <w:alias w:val="无形资产非专利技术减值准备减少项目金额"/>
                <w:tag w:val="_GBC_622a25c623bd4d4597996470399d3fec"/>
                <w:id w:val="1677618158"/>
                <w:lock w:val="sdtLocked"/>
                <w:showingPlcHdr/>
              </w:sdtPr>
              <w:sdtEndPr/>
              <w:sdtContent>
                <w:tc>
                  <w:tcPr>
                    <w:tcW w:w="591" w:type="pct"/>
                    <w:shd w:val="clear" w:color="auto" w:fill="auto"/>
                  </w:tcPr>
                  <w:p w14:paraId="4AF093D0" w14:textId="77777777" w:rsidR="00471D53" w:rsidRDefault="004F686E">
                    <w:pPr>
                      <w:jc w:val="right"/>
                      <w:rPr>
                        <w:szCs w:val="21"/>
                      </w:rPr>
                    </w:pPr>
                    <w:r>
                      <w:rPr>
                        <w:rFonts w:hint="eastAsia"/>
                        <w:szCs w:val="21"/>
                      </w:rPr>
                      <w:t xml:space="preserve">　</w:t>
                    </w:r>
                  </w:p>
                </w:tc>
              </w:sdtContent>
            </w:sdt>
            <w:sdt>
              <w:sdtPr>
                <w:rPr>
                  <w:rFonts w:hint="eastAsia"/>
                  <w:szCs w:val="21"/>
                </w:rPr>
                <w:alias w:val="无形资产减值准备减少项目金额"/>
                <w:tag w:val="_GBC_ecce1bc844c84420aded1f54f86b612a"/>
                <w:id w:val="-373855550"/>
                <w:lock w:val="sdtLocked"/>
                <w:showingPlcHdr/>
              </w:sdtPr>
              <w:sdtEndPr/>
              <w:sdtContent>
                <w:tc>
                  <w:tcPr>
                    <w:tcW w:w="782" w:type="pct"/>
                    <w:shd w:val="clear" w:color="auto" w:fill="auto"/>
                  </w:tcPr>
                  <w:p w14:paraId="50DDB96D" w14:textId="77777777" w:rsidR="00471D53" w:rsidRDefault="004F686E">
                    <w:pPr>
                      <w:jc w:val="right"/>
                      <w:rPr>
                        <w:szCs w:val="21"/>
                      </w:rPr>
                    </w:pPr>
                    <w:r>
                      <w:rPr>
                        <w:rFonts w:hint="eastAsia"/>
                        <w:szCs w:val="21"/>
                      </w:rPr>
                      <w:t xml:space="preserve">　</w:t>
                    </w:r>
                  </w:p>
                </w:tc>
              </w:sdtContent>
            </w:sdt>
            <w:sdt>
              <w:sdtPr>
                <w:rPr>
                  <w:rFonts w:hint="eastAsia"/>
                  <w:szCs w:val="21"/>
                </w:rPr>
                <w:alias w:val="无形资产减值准备减少项目合计金额"/>
                <w:tag w:val="_GBC_af92ed28d10c4c6ea5a7119a7ab5bcd4"/>
                <w:id w:val="-460189616"/>
                <w:lock w:val="sdtLocked"/>
                <w:showingPlcHdr/>
              </w:sdtPr>
              <w:sdtEndPr/>
              <w:sdtContent>
                <w:tc>
                  <w:tcPr>
                    <w:tcW w:w="893" w:type="pct"/>
                    <w:shd w:val="clear" w:color="auto" w:fill="auto"/>
                  </w:tcPr>
                  <w:p w14:paraId="05AEA338" w14:textId="77777777" w:rsidR="00471D53" w:rsidRDefault="004F686E">
                    <w:pPr>
                      <w:jc w:val="right"/>
                      <w:rPr>
                        <w:szCs w:val="21"/>
                      </w:rPr>
                    </w:pPr>
                    <w:r>
                      <w:rPr>
                        <w:rFonts w:hint="eastAsia"/>
                        <w:szCs w:val="21"/>
                      </w:rPr>
                      <w:t xml:space="preserve">　</w:t>
                    </w:r>
                  </w:p>
                </w:tc>
              </w:sdtContent>
            </w:sdt>
          </w:tr>
          <w:tr w:rsidR="00471D53" w14:paraId="719AD264" w14:textId="77777777" w:rsidTr="00471D53">
            <w:trPr>
              <w:trHeight w:val="284"/>
            </w:trPr>
            <w:sdt>
              <w:sdtPr>
                <w:tag w:val="_PLD_4a919606beac465fb30f547b86305b00"/>
                <w:id w:val="233599010"/>
                <w:lock w:val="sdtLocked"/>
              </w:sdtPr>
              <w:sdtEndPr/>
              <w:sdtContent>
                <w:tc>
                  <w:tcPr>
                    <w:tcW w:w="1002" w:type="pct"/>
                    <w:shd w:val="clear" w:color="auto" w:fill="auto"/>
                    <w:vAlign w:val="center"/>
                  </w:tcPr>
                  <w:p w14:paraId="6E1BC3D2" w14:textId="77777777" w:rsidR="00471D53" w:rsidRDefault="004F686E" w:rsidP="00471D53">
                    <w:pPr>
                      <w:ind w:firstLineChars="200" w:firstLine="420"/>
                      <w:rPr>
                        <w:szCs w:val="21"/>
                      </w:rPr>
                    </w:pPr>
                    <w:r>
                      <w:rPr>
                        <w:rFonts w:hint="eastAsia"/>
                        <w:szCs w:val="21"/>
                      </w:rPr>
                      <w:t>4.</w:t>
                    </w:r>
                    <w:r>
                      <w:rPr>
                        <w:szCs w:val="21"/>
                      </w:rPr>
                      <w:t>期末余额</w:t>
                    </w:r>
                  </w:p>
                </w:tc>
              </w:sdtContent>
            </w:sdt>
            <w:tc>
              <w:tcPr>
                <w:tcW w:w="893" w:type="pct"/>
                <w:shd w:val="clear" w:color="auto" w:fill="auto"/>
              </w:tcPr>
              <w:p w14:paraId="1E966869" w14:textId="77777777" w:rsidR="00471D53" w:rsidRDefault="00B664AF">
                <w:pPr>
                  <w:jc w:val="right"/>
                  <w:rPr>
                    <w:szCs w:val="21"/>
                  </w:rPr>
                </w:pPr>
              </w:p>
            </w:tc>
            <w:tc>
              <w:tcPr>
                <w:tcW w:w="838" w:type="pct"/>
                <w:shd w:val="clear" w:color="auto" w:fill="auto"/>
              </w:tcPr>
              <w:p w14:paraId="0B305200" w14:textId="77777777" w:rsidR="00471D53" w:rsidRDefault="00B664AF">
                <w:pPr>
                  <w:jc w:val="right"/>
                  <w:rPr>
                    <w:szCs w:val="21"/>
                  </w:rPr>
                </w:pPr>
              </w:p>
            </w:tc>
            <w:tc>
              <w:tcPr>
                <w:tcW w:w="591" w:type="pct"/>
                <w:shd w:val="clear" w:color="auto" w:fill="auto"/>
              </w:tcPr>
              <w:p w14:paraId="57C672E9" w14:textId="77777777" w:rsidR="00471D53" w:rsidRDefault="00B664AF">
                <w:pPr>
                  <w:jc w:val="right"/>
                  <w:rPr>
                    <w:szCs w:val="21"/>
                  </w:rPr>
                </w:pPr>
              </w:p>
            </w:tc>
            <w:tc>
              <w:tcPr>
                <w:tcW w:w="782" w:type="pct"/>
                <w:shd w:val="clear" w:color="auto" w:fill="auto"/>
              </w:tcPr>
              <w:p w14:paraId="73333539" w14:textId="77777777" w:rsidR="00471D53" w:rsidRDefault="00B664AF">
                <w:pPr>
                  <w:jc w:val="right"/>
                  <w:rPr>
                    <w:szCs w:val="21"/>
                  </w:rPr>
                </w:pPr>
              </w:p>
            </w:tc>
            <w:tc>
              <w:tcPr>
                <w:tcW w:w="893" w:type="pct"/>
                <w:shd w:val="clear" w:color="auto" w:fill="auto"/>
              </w:tcPr>
              <w:p w14:paraId="0E8DD115" w14:textId="77777777" w:rsidR="00471D53" w:rsidRDefault="00B664AF">
                <w:pPr>
                  <w:jc w:val="right"/>
                  <w:rPr>
                    <w:szCs w:val="21"/>
                  </w:rPr>
                </w:pPr>
              </w:p>
            </w:tc>
          </w:tr>
          <w:tr w:rsidR="00471D53" w14:paraId="35A86FC0" w14:textId="77777777" w:rsidTr="00471D53">
            <w:trPr>
              <w:trHeight w:val="284"/>
            </w:trPr>
            <w:sdt>
              <w:sdtPr>
                <w:tag w:val="_PLD_77aceef1b70d43c0846f7e8f529b7784"/>
                <w:id w:val="776293381"/>
                <w:lock w:val="sdtLocked"/>
              </w:sdtPr>
              <w:sdtEndPr/>
              <w:sdtContent>
                <w:tc>
                  <w:tcPr>
                    <w:tcW w:w="1002" w:type="pct"/>
                    <w:shd w:val="clear" w:color="auto" w:fill="auto"/>
                    <w:vAlign w:val="center"/>
                  </w:tcPr>
                  <w:p w14:paraId="5B863645" w14:textId="77777777" w:rsidR="00471D53" w:rsidRDefault="004F686E">
                    <w:pPr>
                      <w:rPr>
                        <w:szCs w:val="21"/>
                      </w:rPr>
                    </w:pPr>
                    <w:r>
                      <w:rPr>
                        <w:szCs w:val="21"/>
                      </w:rPr>
                      <w:t>四、账面价值</w:t>
                    </w:r>
                  </w:p>
                </w:tc>
              </w:sdtContent>
            </w:sdt>
            <w:tc>
              <w:tcPr>
                <w:tcW w:w="893" w:type="pct"/>
                <w:shd w:val="clear" w:color="auto" w:fill="auto"/>
              </w:tcPr>
              <w:p w14:paraId="19DBB40A" w14:textId="77777777" w:rsidR="00471D53" w:rsidRDefault="00B664AF">
                <w:pPr>
                  <w:jc w:val="right"/>
                  <w:rPr>
                    <w:szCs w:val="21"/>
                  </w:rPr>
                </w:pPr>
              </w:p>
            </w:tc>
            <w:tc>
              <w:tcPr>
                <w:tcW w:w="838" w:type="pct"/>
                <w:shd w:val="clear" w:color="auto" w:fill="auto"/>
              </w:tcPr>
              <w:p w14:paraId="1C96AD11" w14:textId="77777777" w:rsidR="00471D53" w:rsidRDefault="00B664AF">
                <w:pPr>
                  <w:jc w:val="right"/>
                  <w:rPr>
                    <w:szCs w:val="21"/>
                  </w:rPr>
                </w:pPr>
              </w:p>
            </w:tc>
            <w:tc>
              <w:tcPr>
                <w:tcW w:w="591" w:type="pct"/>
                <w:shd w:val="clear" w:color="auto" w:fill="auto"/>
              </w:tcPr>
              <w:p w14:paraId="5B7A18F3" w14:textId="77777777" w:rsidR="00471D53" w:rsidRDefault="00B664AF">
                <w:pPr>
                  <w:jc w:val="right"/>
                  <w:rPr>
                    <w:szCs w:val="21"/>
                  </w:rPr>
                </w:pPr>
              </w:p>
            </w:tc>
            <w:tc>
              <w:tcPr>
                <w:tcW w:w="782" w:type="pct"/>
                <w:shd w:val="clear" w:color="auto" w:fill="auto"/>
              </w:tcPr>
              <w:p w14:paraId="761C0FD2" w14:textId="77777777" w:rsidR="00471D53" w:rsidRDefault="00B664AF">
                <w:pPr>
                  <w:jc w:val="right"/>
                  <w:rPr>
                    <w:szCs w:val="21"/>
                  </w:rPr>
                </w:pPr>
              </w:p>
            </w:tc>
            <w:tc>
              <w:tcPr>
                <w:tcW w:w="893" w:type="pct"/>
                <w:shd w:val="clear" w:color="auto" w:fill="auto"/>
              </w:tcPr>
              <w:p w14:paraId="2D97DA8F" w14:textId="77777777" w:rsidR="00471D53" w:rsidRDefault="00B664AF">
                <w:pPr>
                  <w:jc w:val="right"/>
                  <w:rPr>
                    <w:szCs w:val="21"/>
                  </w:rPr>
                </w:pPr>
              </w:p>
            </w:tc>
          </w:tr>
          <w:tr w:rsidR="00471D53" w14:paraId="30E8842E" w14:textId="77777777" w:rsidTr="00471D53">
            <w:trPr>
              <w:trHeight w:val="284"/>
            </w:trPr>
            <w:sdt>
              <w:sdtPr>
                <w:tag w:val="_PLD_7b3cabd4024540c8bf9dc83469ecf7d4"/>
                <w:id w:val="-1577354162"/>
                <w:lock w:val="sdtLocked"/>
              </w:sdtPr>
              <w:sdtEndPr/>
              <w:sdtContent>
                <w:tc>
                  <w:tcPr>
                    <w:tcW w:w="1002" w:type="pct"/>
                    <w:shd w:val="clear" w:color="auto" w:fill="auto"/>
                    <w:vAlign w:val="center"/>
                  </w:tcPr>
                  <w:p w14:paraId="19D3DD63" w14:textId="495E29A4" w:rsidR="00471D53" w:rsidRDefault="004F686E">
                    <w:pPr>
                      <w:rPr>
                        <w:szCs w:val="21"/>
                      </w:rPr>
                    </w:pPr>
                    <w:r>
                      <w:rPr>
                        <w:szCs w:val="21"/>
                      </w:rPr>
                      <w:t>1.期末账面价值</w:t>
                    </w:r>
                  </w:p>
                </w:tc>
              </w:sdtContent>
            </w:sdt>
            <w:tc>
              <w:tcPr>
                <w:tcW w:w="893" w:type="pct"/>
                <w:shd w:val="clear" w:color="auto" w:fill="auto"/>
                <w:vAlign w:val="center"/>
              </w:tcPr>
              <w:p w14:paraId="4DEF4751" w14:textId="77777777" w:rsidR="00471D53" w:rsidRPr="008464E3" w:rsidRDefault="004F686E" w:rsidP="00471D53">
                <w:pPr>
                  <w:jc w:val="right"/>
                  <w:rPr>
                    <w:rFonts w:cs="Calibri"/>
                    <w:sz w:val="20"/>
                    <w:szCs w:val="20"/>
                  </w:rPr>
                </w:pPr>
                <w:r w:rsidRPr="008464E3">
                  <w:rPr>
                    <w:rFonts w:cs="Calibri" w:hint="eastAsia"/>
                    <w:sz w:val="20"/>
                    <w:szCs w:val="20"/>
                  </w:rPr>
                  <w:t>119,010,355.31</w:t>
                </w:r>
              </w:p>
            </w:tc>
            <w:tc>
              <w:tcPr>
                <w:tcW w:w="838" w:type="pct"/>
                <w:shd w:val="clear" w:color="auto" w:fill="auto"/>
                <w:vAlign w:val="center"/>
              </w:tcPr>
              <w:p w14:paraId="6F8FC74A" w14:textId="77777777" w:rsidR="00471D53" w:rsidRPr="008464E3" w:rsidRDefault="00B664AF" w:rsidP="00471D53">
                <w:pPr>
                  <w:jc w:val="right"/>
                  <w:rPr>
                    <w:rFonts w:cs="Calibri"/>
                    <w:sz w:val="20"/>
                    <w:szCs w:val="20"/>
                  </w:rPr>
                </w:pPr>
              </w:p>
            </w:tc>
            <w:tc>
              <w:tcPr>
                <w:tcW w:w="591" w:type="pct"/>
                <w:shd w:val="clear" w:color="auto" w:fill="auto"/>
              </w:tcPr>
              <w:p w14:paraId="79DD4C0E" w14:textId="77777777" w:rsidR="00471D53" w:rsidRDefault="00B664AF">
                <w:pPr>
                  <w:jc w:val="right"/>
                  <w:rPr>
                    <w:szCs w:val="21"/>
                  </w:rPr>
                </w:pPr>
              </w:p>
            </w:tc>
            <w:tc>
              <w:tcPr>
                <w:tcW w:w="782" w:type="pct"/>
                <w:shd w:val="clear" w:color="auto" w:fill="auto"/>
                <w:vAlign w:val="center"/>
              </w:tcPr>
              <w:p w14:paraId="39BB9DC3" w14:textId="77777777" w:rsidR="00471D53" w:rsidRPr="008464E3" w:rsidRDefault="004F686E" w:rsidP="00471D53">
                <w:pPr>
                  <w:jc w:val="right"/>
                  <w:rPr>
                    <w:rFonts w:cs="Calibri"/>
                    <w:sz w:val="20"/>
                    <w:szCs w:val="20"/>
                  </w:rPr>
                </w:pPr>
                <w:r w:rsidRPr="008464E3">
                  <w:rPr>
                    <w:rFonts w:cs="Calibri" w:hint="eastAsia"/>
                    <w:sz w:val="20"/>
                    <w:szCs w:val="20"/>
                  </w:rPr>
                  <w:t>491,209.05</w:t>
                </w:r>
              </w:p>
            </w:tc>
            <w:tc>
              <w:tcPr>
                <w:tcW w:w="893" w:type="pct"/>
                <w:shd w:val="clear" w:color="auto" w:fill="auto"/>
                <w:vAlign w:val="center"/>
              </w:tcPr>
              <w:p w14:paraId="6DA0123C" w14:textId="77777777" w:rsidR="00471D53" w:rsidRPr="008464E3" w:rsidRDefault="004F686E" w:rsidP="00471D53">
                <w:pPr>
                  <w:jc w:val="right"/>
                  <w:rPr>
                    <w:rFonts w:cs="Calibri"/>
                    <w:sz w:val="20"/>
                    <w:szCs w:val="20"/>
                  </w:rPr>
                </w:pPr>
                <w:r w:rsidRPr="008464E3">
                  <w:rPr>
                    <w:rFonts w:cs="Calibri" w:hint="eastAsia"/>
                    <w:sz w:val="20"/>
                    <w:szCs w:val="20"/>
                  </w:rPr>
                  <w:t>119,501,564.36</w:t>
                </w:r>
              </w:p>
            </w:tc>
          </w:tr>
          <w:tr w:rsidR="00471D53" w14:paraId="302BD436" w14:textId="77777777" w:rsidTr="00471D53">
            <w:trPr>
              <w:trHeight w:val="284"/>
            </w:trPr>
            <w:sdt>
              <w:sdtPr>
                <w:tag w:val="_PLD_04cb9e53cf0d4d8b83570453ac161e64"/>
                <w:id w:val="385456951"/>
                <w:lock w:val="sdtLocked"/>
              </w:sdtPr>
              <w:sdtEndPr/>
              <w:sdtContent>
                <w:tc>
                  <w:tcPr>
                    <w:tcW w:w="1002" w:type="pct"/>
                    <w:shd w:val="clear" w:color="auto" w:fill="auto"/>
                    <w:vAlign w:val="center"/>
                  </w:tcPr>
                  <w:p w14:paraId="6323A044" w14:textId="05EFBBE6" w:rsidR="00471D53" w:rsidRDefault="004F686E">
                    <w:pPr>
                      <w:rPr>
                        <w:szCs w:val="21"/>
                      </w:rPr>
                    </w:pPr>
                    <w:r>
                      <w:rPr>
                        <w:szCs w:val="21"/>
                      </w:rPr>
                      <w:t>2.</w:t>
                    </w:r>
                    <w:r>
                      <w:rPr>
                        <w:rFonts w:hint="eastAsia"/>
                        <w:szCs w:val="21"/>
                      </w:rPr>
                      <w:t>期初</w:t>
                    </w:r>
                    <w:r>
                      <w:rPr>
                        <w:szCs w:val="21"/>
                      </w:rPr>
                      <w:t>账面价值</w:t>
                    </w:r>
                  </w:p>
                </w:tc>
              </w:sdtContent>
            </w:sdt>
            <w:tc>
              <w:tcPr>
                <w:tcW w:w="893" w:type="pct"/>
                <w:shd w:val="clear" w:color="auto" w:fill="auto"/>
                <w:vAlign w:val="center"/>
              </w:tcPr>
              <w:p w14:paraId="4AD86EE1" w14:textId="77777777" w:rsidR="00471D53" w:rsidRPr="008464E3" w:rsidRDefault="004F686E" w:rsidP="00471D53">
                <w:pPr>
                  <w:jc w:val="right"/>
                  <w:rPr>
                    <w:rFonts w:cs="Calibri"/>
                    <w:sz w:val="20"/>
                    <w:szCs w:val="20"/>
                  </w:rPr>
                </w:pPr>
                <w:r w:rsidRPr="008464E3">
                  <w:rPr>
                    <w:rFonts w:cs="Calibri" w:hint="eastAsia"/>
                    <w:sz w:val="20"/>
                    <w:szCs w:val="20"/>
                  </w:rPr>
                  <w:t>120,528,066.83</w:t>
                </w:r>
              </w:p>
            </w:tc>
            <w:tc>
              <w:tcPr>
                <w:tcW w:w="838" w:type="pct"/>
                <w:shd w:val="clear" w:color="auto" w:fill="auto"/>
                <w:vAlign w:val="center"/>
              </w:tcPr>
              <w:p w14:paraId="6C2288C6" w14:textId="77777777" w:rsidR="00471D53" w:rsidRPr="008464E3" w:rsidRDefault="00B664AF" w:rsidP="00471D53">
                <w:pPr>
                  <w:jc w:val="right"/>
                  <w:rPr>
                    <w:rFonts w:cs="Calibri"/>
                    <w:sz w:val="20"/>
                    <w:szCs w:val="20"/>
                  </w:rPr>
                </w:pPr>
              </w:p>
            </w:tc>
            <w:tc>
              <w:tcPr>
                <w:tcW w:w="591" w:type="pct"/>
                <w:shd w:val="clear" w:color="auto" w:fill="auto"/>
              </w:tcPr>
              <w:p w14:paraId="03E6085F" w14:textId="77777777" w:rsidR="00471D53" w:rsidRDefault="00B664AF">
                <w:pPr>
                  <w:jc w:val="right"/>
                  <w:rPr>
                    <w:szCs w:val="21"/>
                  </w:rPr>
                </w:pPr>
              </w:p>
            </w:tc>
            <w:tc>
              <w:tcPr>
                <w:tcW w:w="782" w:type="pct"/>
                <w:shd w:val="clear" w:color="auto" w:fill="auto"/>
                <w:vAlign w:val="center"/>
              </w:tcPr>
              <w:p w14:paraId="2ADBE27B" w14:textId="77777777" w:rsidR="00471D53" w:rsidRPr="008464E3" w:rsidRDefault="004F686E" w:rsidP="00471D53">
                <w:pPr>
                  <w:jc w:val="right"/>
                  <w:rPr>
                    <w:rFonts w:cs="Calibri"/>
                    <w:sz w:val="20"/>
                    <w:szCs w:val="20"/>
                  </w:rPr>
                </w:pPr>
                <w:r w:rsidRPr="008464E3">
                  <w:rPr>
                    <w:rFonts w:cs="Calibri" w:hint="eastAsia"/>
                    <w:sz w:val="20"/>
                    <w:szCs w:val="20"/>
                  </w:rPr>
                  <w:t>598,083.00</w:t>
                </w:r>
              </w:p>
            </w:tc>
            <w:tc>
              <w:tcPr>
                <w:tcW w:w="893" w:type="pct"/>
                <w:shd w:val="clear" w:color="auto" w:fill="auto"/>
                <w:vAlign w:val="center"/>
              </w:tcPr>
              <w:p w14:paraId="508C447A" w14:textId="77777777" w:rsidR="00471D53" w:rsidRPr="008464E3" w:rsidRDefault="004F686E" w:rsidP="00471D53">
                <w:pPr>
                  <w:jc w:val="right"/>
                  <w:rPr>
                    <w:rFonts w:cs="Calibri"/>
                    <w:sz w:val="20"/>
                    <w:szCs w:val="20"/>
                  </w:rPr>
                </w:pPr>
                <w:r w:rsidRPr="008464E3">
                  <w:rPr>
                    <w:rFonts w:cs="Calibri" w:hint="eastAsia"/>
                    <w:sz w:val="20"/>
                    <w:szCs w:val="20"/>
                  </w:rPr>
                  <w:t>121,126,149.83</w:t>
                </w:r>
              </w:p>
            </w:tc>
          </w:tr>
        </w:tbl>
        <w:p w14:paraId="1C78F7EE" w14:textId="77777777" w:rsidR="00471D53" w:rsidRDefault="004F686E">
          <w:pPr>
            <w:snapToGrid w:val="0"/>
            <w:spacing w:line="240" w:lineRule="atLeast"/>
            <w:rPr>
              <w:szCs w:val="21"/>
            </w:rPr>
          </w:pPr>
          <w:r>
            <w:rPr>
              <w:rFonts w:hint="eastAsia"/>
              <w:szCs w:val="21"/>
            </w:rPr>
            <w:t>本期末通过公司内部研发形成的无形资产占无形资产余额的比例</w:t>
          </w:r>
          <w:sdt>
            <w:sdtPr>
              <w:rPr>
                <w:szCs w:val="21"/>
              </w:rPr>
              <w:alias w:val="通过公司内部研发形成的无形资产占无形资产账面价值的比例"/>
              <w:tag w:val="_GBC_4eb0f3140a674bd1899e2bd836d51bbb"/>
              <w:id w:val="-74670150"/>
              <w:lock w:val="sdtLocked"/>
              <w:placeholder>
                <w:docPart w:val="GBC22222222222222222222222222222"/>
              </w:placeholder>
            </w:sdtPr>
            <w:sdtEndPr/>
            <w:sdtContent>
              <w:r>
                <w:rPr>
                  <w:rFonts w:hint="eastAsia"/>
                  <w:szCs w:val="21"/>
                </w:rPr>
                <w:t>0</w:t>
              </w:r>
            </w:sdtContent>
          </w:sdt>
          <w:r>
            <w:rPr>
              <w:rFonts w:hint="eastAsia"/>
              <w:szCs w:val="21"/>
            </w:rPr>
            <w:t>%</w:t>
          </w:r>
        </w:p>
        <w:p w14:paraId="1C92C594" w14:textId="77777777" w:rsidR="00471D53" w:rsidRDefault="00B664AF">
          <w:pPr>
            <w:snapToGrid w:val="0"/>
            <w:spacing w:line="240" w:lineRule="atLeast"/>
            <w:rPr>
              <w:szCs w:val="21"/>
            </w:rPr>
          </w:pPr>
        </w:p>
      </w:sdtContent>
    </w:sdt>
    <w:sdt>
      <w:sdtPr>
        <w:rPr>
          <w:rFonts w:ascii="宋体" w:hAnsi="宋体" w:cs="宋体" w:hint="eastAsia"/>
          <w:b w:val="0"/>
          <w:bCs w:val="0"/>
          <w:kern w:val="0"/>
          <w:szCs w:val="21"/>
        </w:rPr>
        <w:alias w:val="模块:未办妥产权证书的土地使用权情况："/>
        <w:tag w:val="_GBC_0daf5d1e7172402ab885ca5e5b78a389"/>
        <w:id w:val="-171491699"/>
        <w:lock w:val="sdtLocked"/>
        <w:placeholder>
          <w:docPart w:val="GBC22222222222222222222222222222"/>
        </w:placeholder>
      </w:sdtPr>
      <w:sdtEndPr/>
      <w:sdtContent>
        <w:p w14:paraId="5A87D5C4" w14:textId="77777777" w:rsidR="00471D53" w:rsidRDefault="004F686E" w:rsidP="004F686E">
          <w:pPr>
            <w:pStyle w:val="afffff8"/>
            <w:numPr>
              <w:ilvl w:val="0"/>
              <w:numId w:val="74"/>
            </w:numPr>
            <w:tabs>
              <w:tab w:val="left" w:pos="602"/>
            </w:tabs>
            <w:rPr>
              <w:rFonts w:ascii="宋体" w:hAnsi="宋体"/>
              <w:szCs w:val="21"/>
            </w:rPr>
          </w:pPr>
          <w:r>
            <w:rPr>
              <w:rFonts w:ascii="宋体" w:hAnsi="宋体" w:hint="eastAsia"/>
              <w:szCs w:val="21"/>
            </w:rPr>
            <w:t>未办妥产权证书的土地使用权情况</w:t>
          </w:r>
        </w:p>
        <w:sdt>
          <w:sdtPr>
            <w:alias w:val="是否适用：未办妥产权证书的土地使用权情况[双击切换]"/>
            <w:tag w:val="_GBC_e8ff0641401a44f19fe64ad31dc15c58"/>
            <w:id w:val="177781668"/>
            <w:lock w:val="sdtLocked"/>
            <w:placeholder>
              <w:docPart w:val="GBC22222222222222222222222222222"/>
            </w:placeholder>
          </w:sdtPr>
          <w:sdtEndPr/>
          <w:sdtContent>
            <w:p w14:paraId="2820B59E" w14:textId="77777777" w:rsidR="00471D53" w:rsidRDefault="004F686E" w:rsidP="00471D53">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szCs w:val="21"/>
        </w:rPr>
        <w:alias w:val="模块:无形资产说明"/>
        <w:tag w:val="_GBC_c2d02a8bb1274cb1bf0330030cc64229"/>
        <w:id w:val="2012253524"/>
        <w:lock w:val="sdtLocked"/>
        <w:placeholder>
          <w:docPart w:val="GBC22222222222222222222222222222"/>
        </w:placeholder>
      </w:sdtPr>
      <w:sdtEndPr/>
      <w:sdtContent>
        <w:p w14:paraId="0624D2C3" w14:textId="77777777" w:rsidR="00471D53" w:rsidRDefault="004F686E">
          <w:pPr>
            <w:rPr>
              <w:szCs w:val="21"/>
            </w:rPr>
          </w:pPr>
          <w:r>
            <w:rPr>
              <w:rFonts w:hint="eastAsia"/>
              <w:szCs w:val="21"/>
            </w:rPr>
            <w:t>其他说明：</w:t>
          </w:r>
        </w:p>
        <w:sdt>
          <w:sdtPr>
            <w:rPr>
              <w:szCs w:val="21"/>
            </w:rPr>
            <w:alias w:val="是否适用：无形资产的说明[双击切换]"/>
            <w:tag w:val="_GBC_dc3c687f3c2c457e9024304c14129458"/>
            <w:id w:val="-152756710"/>
            <w:lock w:val="sdtLocked"/>
            <w:placeholder>
              <w:docPart w:val="GBC22222222222222222222222222222"/>
            </w:placeholder>
          </w:sdtPr>
          <w:sdtEndPr/>
          <w:sdtContent>
            <w:p w14:paraId="4DB63C29" w14:textId="77777777" w:rsidR="00471D53" w:rsidRDefault="004F686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无形资产的说明"/>
            <w:tag w:val="_GBC_1f281f7116944d4bacd2204d25895376"/>
            <w:id w:val="221953770"/>
            <w:lock w:val="sdtLocked"/>
            <w:placeholder>
              <w:docPart w:val="GBC22222222222222222222222222222"/>
            </w:placeholder>
          </w:sdtPr>
          <w:sdtEndPr/>
          <w:sdtContent>
            <w:p w14:paraId="472F02FF" w14:textId="77777777" w:rsidR="00471D53" w:rsidRDefault="004F686E" w:rsidP="004F686E">
              <w:pPr>
                <w:numPr>
                  <w:ilvl w:val="0"/>
                  <w:numId w:val="57"/>
                </w:numPr>
                <w:tabs>
                  <w:tab w:val="left" w:pos="700"/>
                  <w:tab w:val="left" w:pos="851"/>
                  <w:tab w:val="left" w:pos="1000"/>
                </w:tabs>
                <w:spacing w:beforeLines="50" w:before="120" w:afterLines="50" w:after="120" w:line="360" w:lineRule="exact"/>
                <w:ind w:hanging="734"/>
                <w:jc w:val="both"/>
                <w:outlineLvl w:val="2"/>
                <w:rPr>
                  <w:sz w:val="22"/>
                  <w:szCs w:val="22"/>
                </w:rPr>
              </w:pPr>
              <w:r>
                <w:rPr>
                  <w:rFonts w:hint="eastAsia"/>
                  <w:sz w:val="22"/>
                  <w:szCs w:val="22"/>
                </w:rPr>
                <w:t>期末无通过公司内部研发形成的无形资产。</w:t>
              </w:r>
            </w:p>
            <w:p w14:paraId="7192DC9B" w14:textId="77777777" w:rsidR="00471D53" w:rsidRDefault="004F686E" w:rsidP="004F686E">
              <w:pPr>
                <w:numPr>
                  <w:ilvl w:val="0"/>
                  <w:numId w:val="57"/>
                </w:numPr>
                <w:tabs>
                  <w:tab w:val="left" w:pos="700"/>
                  <w:tab w:val="left" w:pos="851"/>
                  <w:tab w:val="left" w:pos="1000"/>
                </w:tabs>
                <w:spacing w:beforeLines="50" w:before="120" w:afterLines="50" w:after="120" w:line="360" w:lineRule="exact"/>
                <w:ind w:hanging="734"/>
                <w:jc w:val="both"/>
                <w:outlineLvl w:val="2"/>
                <w:rPr>
                  <w:sz w:val="22"/>
                  <w:szCs w:val="22"/>
                </w:rPr>
              </w:pPr>
              <w:r>
                <w:rPr>
                  <w:rFonts w:hint="eastAsia"/>
                  <w:sz w:val="22"/>
                  <w:szCs w:val="22"/>
                </w:rPr>
                <w:t>期末无未办妥产权证书的土地使用权。</w:t>
              </w:r>
            </w:p>
            <w:p w14:paraId="2A261CB2" w14:textId="77777777" w:rsidR="00471D53" w:rsidRDefault="004F686E" w:rsidP="004F686E">
              <w:pPr>
                <w:numPr>
                  <w:ilvl w:val="0"/>
                  <w:numId w:val="57"/>
                </w:numPr>
                <w:tabs>
                  <w:tab w:val="left" w:pos="0"/>
                  <w:tab w:val="left" w:pos="700"/>
                  <w:tab w:val="left" w:pos="851"/>
                </w:tabs>
                <w:spacing w:beforeLines="50" w:before="120" w:afterLines="50" w:after="120" w:line="360" w:lineRule="exact"/>
                <w:ind w:left="0" w:firstLine="426"/>
                <w:jc w:val="both"/>
                <w:outlineLvl w:val="2"/>
                <w:rPr>
                  <w:sz w:val="22"/>
                  <w:szCs w:val="22"/>
                </w:rPr>
              </w:pPr>
              <w:r>
                <w:rPr>
                  <w:rFonts w:hint="eastAsia"/>
                  <w:sz w:val="22"/>
                  <w:szCs w:val="22"/>
                </w:rPr>
                <w:t>本期确认为损益的无形资产的摊销额为</w:t>
              </w:r>
              <w:r w:rsidRPr="002C7C55">
                <w:rPr>
                  <w:rFonts w:cs="Calibri"/>
                  <w:sz w:val="22"/>
                  <w:szCs w:val="22"/>
                </w:rPr>
                <w:t>1,624,585.47</w:t>
              </w:r>
              <w:r w:rsidRPr="002C7C55">
                <w:rPr>
                  <w:rFonts w:hint="eastAsia"/>
                  <w:sz w:val="22"/>
                  <w:szCs w:val="22"/>
                </w:rPr>
                <w:t>元</w:t>
              </w:r>
              <w:r>
                <w:rPr>
                  <w:rFonts w:hint="eastAsia"/>
                  <w:sz w:val="22"/>
                  <w:szCs w:val="22"/>
                </w:rPr>
                <w:t>(上期金额：</w:t>
              </w:r>
              <w:r w:rsidRPr="002C7C55">
                <w:rPr>
                  <w:sz w:val="22"/>
                  <w:szCs w:val="22"/>
                </w:rPr>
                <w:t>1,642,525.29</w:t>
              </w:r>
              <w:r w:rsidRPr="002C7C55">
                <w:rPr>
                  <w:rFonts w:hint="eastAsia"/>
                  <w:sz w:val="22"/>
                  <w:szCs w:val="22"/>
                </w:rPr>
                <w:t>元)</w:t>
              </w:r>
              <w:r>
                <w:rPr>
                  <w:rFonts w:hint="eastAsia"/>
                  <w:sz w:val="22"/>
                  <w:szCs w:val="22"/>
                </w:rPr>
                <w:t>。</w:t>
              </w:r>
            </w:p>
            <w:p w14:paraId="1327B235" w14:textId="77777777" w:rsidR="00471D53" w:rsidRDefault="004F686E" w:rsidP="004F686E">
              <w:pPr>
                <w:numPr>
                  <w:ilvl w:val="0"/>
                  <w:numId w:val="57"/>
                </w:numPr>
                <w:tabs>
                  <w:tab w:val="left" w:pos="700"/>
                  <w:tab w:val="left" w:pos="851"/>
                  <w:tab w:val="left" w:pos="1000"/>
                </w:tabs>
                <w:spacing w:beforeLines="50" w:before="120" w:afterLines="50" w:after="120" w:line="360" w:lineRule="exact"/>
                <w:ind w:left="1156" w:hanging="731"/>
                <w:outlineLvl w:val="2"/>
                <w:rPr>
                  <w:sz w:val="22"/>
                  <w:szCs w:val="22"/>
                </w:rPr>
              </w:pPr>
              <w:r>
                <w:rPr>
                  <w:rFonts w:hint="eastAsia"/>
                  <w:sz w:val="22"/>
                  <w:szCs w:val="22"/>
                </w:rPr>
                <w:t>土地使用权按所在地区及年限分析如下：</w:t>
              </w:r>
            </w:p>
            <w:tbl>
              <w:tblPr>
                <w:tblStyle w:val="g4"/>
                <w:tblW w:w="5000" w:type="pct"/>
                <w:tblBorders>
                  <w:top w:val="double" w:sz="4" w:space="0" w:color="auto"/>
                  <w:bottom w:val="double" w:sz="4" w:space="0" w:color="auto"/>
                  <w:insideH w:val="single" w:sz="2" w:space="0" w:color="auto"/>
                  <w:insideV w:val="single" w:sz="2" w:space="0" w:color="auto"/>
                </w:tblBorders>
                <w:tblLook w:val="0000" w:firstRow="0" w:lastRow="0" w:firstColumn="0" w:lastColumn="0" w:noHBand="0" w:noVBand="0"/>
              </w:tblPr>
              <w:tblGrid>
                <w:gridCol w:w="3445"/>
                <w:gridCol w:w="2694"/>
                <w:gridCol w:w="2694"/>
              </w:tblGrid>
              <w:tr w:rsidR="00471D53" w14:paraId="4AAE7369" w14:textId="77777777" w:rsidTr="00471D53">
                <w:trPr>
                  <w:trHeight w:val="340"/>
                  <w:tblHeader/>
                </w:trPr>
                <w:tc>
                  <w:tcPr>
                    <w:tcW w:w="1950" w:type="pct"/>
                    <w:vAlign w:val="center"/>
                  </w:tcPr>
                  <w:p w14:paraId="74EC510D" w14:textId="77777777" w:rsidR="00471D53" w:rsidRDefault="004F686E" w:rsidP="00471D53">
                    <w:pPr>
                      <w:jc w:val="both"/>
                      <w:rPr>
                        <w:b/>
                        <w:sz w:val="22"/>
                        <w:szCs w:val="22"/>
                      </w:rPr>
                    </w:pPr>
                    <w:r>
                      <w:rPr>
                        <w:rFonts w:hint="eastAsia"/>
                        <w:b/>
                        <w:sz w:val="22"/>
                        <w:szCs w:val="22"/>
                      </w:rPr>
                      <w:lastRenderedPageBreak/>
                      <w:t>项目</w:t>
                    </w:r>
                  </w:p>
                </w:tc>
                <w:tc>
                  <w:tcPr>
                    <w:tcW w:w="1525" w:type="pct"/>
                    <w:vAlign w:val="center"/>
                  </w:tcPr>
                  <w:p w14:paraId="28EE4999" w14:textId="77777777" w:rsidR="00471D53" w:rsidRDefault="004F686E" w:rsidP="00471D53">
                    <w:pPr>
                      <w:jc w:val="center"/>
                      <w:rPr>
                        <w:b/>
                        <w:sz w:val="22"/>
                        <w:szCs w:val="22"/>
                      </w:rPr>
                    </w:pPr>
                    <w:r>
                      <w:rPr>
                        <w:rFonts w:hint="eastAsia"/>
                        <w:b/>
                        <w:sz w:val="22"/>
                        <w:szCs w:val="22"/>
                      </w:rPr>
                      <w:t>期末金额</w:t>
                    </w:r>
                  </w:p>
                </w:tc>
                <w:tc>
                  <w:tcPr>
                    <w:tcW w:w="1525" w:type="pct"/>
                    <w:vAlign w:val="center"/>
                  </w:tcPr>
                  <w:p w14:paraId="588A3F62" w14:textId="77777777" w:rsidR="00471D53" w:rsidRDefault="004F686E" w:rsidP="00471D53">
                    <w:pPr>
                      <w:jc w:val="center"/>
                      <w:rPr>
                        <w:b/>
                        <w:sz w:val="22"/>
                        <w:szCs w:val="22"/>
                      </w:rPr>
                    </w:pPr>
                    <w:r>
                      <w:rPr>
                        <w:rFonts w:hint="eastAsia"/>
                        <w:b/>
                        <w:sz w:val="22"/>
                        <w:szCs w:val="22"/>
                      </w:rPr>
                      <w:t>期初金额</w:t>
                    </w:r>
                  </w:p>
                </w:tc>
              </w:tr>
              <w:tr w:rsidR="00471D53" w14:paraId="0D6A8B59" w14:textId="77777777" w:rsidTr="00471D53">
                <w:trPr>
                  <w:trHeight w:val="340"/>
                </w:trPr>
                <w:tc>
                  <w:tcPr>
                    <w:tcW w:w="1950" w:type="pct"/>
                    <w:vAlign w:val="center"/>
                  </w:tcPr>
                  <w:p w14:paraId="218E50B3" w14:textId="77777777" w:rsidR="00471D53" w:rsidRDefault="004F686E" w:rsidP="00471D53">
                    <w:pPr>
                      <w:jc w:val="both"/>
                      <w:rPr>
                        <w:sz w:val="22"/>
                        <w:szCs w:val="22"/>
                      </w:rPr>
                    </w:pPr>
                    <w:r>
                      <w:rPr>
                        <w:rFonts w:hint="eastAsia"/>
                        <w:sz w:val="22"/>
                        <w:szCs w:val="22"/>
                      </w:rPr>
                      <w:t>位于中国境内</w:t>
                    </w:r>
                  </w:p>
                </w:tc>
                <w:tc>
                  <w:tcPr>
                    <w:tcW w:w="1525" w:type="pct"/>
                    <w:vAlign w:val="center"/>
                  </w:tcPr>
                  <w:p w14:paraId="6BBA966D" w14:textId="77777777" w:rsidR="00471D53" w:rsidRDefault="004F686E" w:rsidP="00471D53">
                    <w:pPr>
                      <w:jc w:val="right"/>
                      <w:rPr>
                        <w:rFonts w:cs="Calibri"/>
                        <w:sz w:val="22"/>
                        <w:szCs w:val="22"/>
                      </w:rPr>
                    </w:pPr>
                    <w:r>
                      <w:rPr>
                        <w:rFonts w:cs="Calibri" w:hint="eastAsia"/>
                        <w:sz w:val="22"/>
                        <w:szCs w:val="22"/>
                      </w:rPr>
                      <w:t>119,010,355.31</w:t>
                    </w:r>
                  </w:p>
                </w:tc>
                <w:tc>
                  <w:tcPr>
                    <w:tcW w:w="1525" w:type="pct"/>
                    <w:vAlign w:val="center"/>
                  </w:tcPr>
                  <w:p w14:paraId="7029C4A9" w14:textId="77777777" w:rsidR="00471D53" w:rsidRDefault="004F686E" w:rsidP="00471D53">
                    <w:pPr>
                      <w:jc w:val="right"/>
                      <w:rPr>
                        <w:rFonts w:cs="Calibri"/>
                        <w:sz w:val="22"/>
                        <w:szCs w:val="22"/>
                      </w:rPr>
                    </w:pPr>
                    <w:r>
                      <w:rPr>
                        <w:rFonts w:cs="Calibri" w:hint="eastAsia"/>
                        <w:sz w:val="22"/>
                        <w:szCs w:val="22"/>
                      </w:rPr>
                      <w:t>120,528,066.83</w:t>
                    </w:r>
                  </w:p>
                </w:tc>
              </w:tr>
              <w:tr w:rsidR="00471D53" w14:paraId="5731F242" w14:textId="77777777" w:rsidTr="00471D53">
                <w:trPr>
                  <w:trHeight w:val="340"/>
                </w:trPr>
                <w:tc>
                  <w:tcPr>
                    <w:tcW w:w="1950" w:type="pct"/>
                    <w:vAlign w:val="center"/>
                  </w:tcPr>
                  <w:p w14:paraId="4B7083DD" w14:textId="77777777" w:rsidR="00471D53" w:rsidRDefault="004F686E" w:rsidP="00471D53">
                    <w:pPr>
                      <w:ind w:firstLineChars="50" w:firstLine="110"/>
                      <w:jc w:val="both"/>
                      <w:rPr>
                        <w:sz w:val="22"/>
                        <w:szCs w:val="22"/>
                      </w:rPr>
                    </w:pPr>
                    <w:r>
                      <w:rPr>
                        <w:rFonts w:hint="eastAsia"/>
                        <w:sz w:val="22"/>
                        <w:szCs w:val="22"/>
                      </w:rPr>
                      <w:t>长期（</w:t>
                    </w:r>
                    <w:r>
                      <w:rPr>
                        <w:sz w:val="22"/>
                        <w:szCs w:val="22"/>
                      </w:rPr>
                      <w:t>50</w:t>
                    </w:r>
                    <w:r>
                      <w:rPr>
                        <w:rFonts w:hint="eastAsia"/>
                        <w:sz w:val="22"/>
                        <w:szCs w:val="22"/>
                      </w:rPr>
                      <w:t>年以上）</w:t>
                    </w:r>
                  </w:p>
                </w:tc>
                <w:tc>
                  <w:tcPr>
                    <w:tcW w:w="1525" w:type="pct"/>
                    <w:vAlign w:val="center"/>
                  </w:tcPr>
                  <w:p w14:paraId="367F8768" w14:textId="77777777" w:rsidR="00471D53" w:rsidRDefault="004F686E" w:rsidP="00471D53">
                    <w:pPr>
                      <w:jc w:val="right"/>
                      <w:rPr>
                        <w:rFonts w:cs="Calibri"/>
                        <w:sz w:val="22"/>
                        <w:szCs w:val="22"/>
                      </w:rPr>
                    </w:pPr>
                    <w:r>
                      <w:rPr>
                        <w:rFonts w:cs="Calibri" w:hint="eastAsia"/>
                        <w:sz w:val="22"/>
                        <w:szCs w:val="22"/>
                      </w:rPr>
                      <w:t>0.00</w:t>
                    </w:r>
                  </w:p>
                </w:tc>
                <w:tc>
                  <w:tcPr>
                    <w:tcW w:w="1525" w:type="pct"/>
                    <w:vAlign w:val="center"/>
                  </w:tcPr>
                  <w:p w14:paraId="557A7D9E" w14:textId="77777777" w:rsidR="00471D53" w:rsidRDefault="004F686E" w:rsidP="00471D53">
                    <w:pPr>
                      <w:jc w:val="right"/>
                      <w:rPr>
                        <w:rFonts w:cs="Calibri"/>
                        <w:sz w:val="22"/>
                        <w:szCs w:val="22"/>
                      </w:rPr>
                    </w:pPr>
                    <w:r>
                      <w:rPr>
                        <w:rFonts w:cs="Calibri" w:hint="eastAsia"/>
                        <w:sz w:val="22"/>
                        <w:szCs w:val="22"/>
                      </w:rPr>
                      <w:t>0</w:t>
                    </w:r>
                    <w:r>
                      <w:rPr>
                        <w:rFonts w:cs="Calibri"/>
                        <w:sz w:val="22"/>
                        <w:szCs w:val="22"/>
                      </w:rPr>
                      <w:t>.00</w:t>
                    </w:r>
                  </w:p>
                </w:tc>
              </w:tr>
              <w:tr w:rsidR="00471D53" w14:paraId="78D8B275" w14:textId="77777777" w:rsidTr="00471D53">
                <w:trPr>
                  <w:trHeight w:val="340"/>
                </w:trPr>
                <w:tc>
                  <w:tcPr>
                    <w:tcW w:w="1950" w:type="pct"/>
                    <w:vAlign w:val="center"/>
                  </w:tcPr>
                  <w:p w14:paraId="3227C257" w14:textId="77777777" w:rsidR="00471D53" w:rsidRDefault="004F686E" w:rsidP="00471D53">
                    <w:pPr>
                      <w:ind w:firstLineChars="50" w:firstLine="110"/>
                      <w:jc w:val="both"/>
                      <w:rPr>
                        <w:sz w:val="22"/>
                        <w:szCs w:val="22"/>
                      </w:rPr>
                    </w:pPr>
                    <w:r>
                      <w:rPr>
                        <w:rFonts w:hint="eastAsia"/>
                        <w:sz w:val="22"/>
                        <w:szCs w:val="22"/>
                      </w:rPr>
                      <w:t>中期（</w:t>
                    </w:r>
                    <w:r>
                      <w:rPr>
                        <w:sz w:val="22"/>
                        <w:szCs w:val="22"/>
                      </w:rPr>
                      <w:t>10-50</w:t>
                    </w:r>
                    <w:r>
                      <w:rPr>
                        <w:rFonts w:hint="eastAsia"/>
                        <w:sz w:val="22"/>
                        <w:szCs w:val="22"/>
                      </w:rPr>
                      <w:t>年）</w:t>
                    </w:r>
                  </w:p>
                </w:tc>
                <w:tc>
                  <w:tcPr>
                    <w:tcW w:w="1525" w:type="pct"/>
                    <w:vAlign w:val="center"/>
                  </w:tcPr>
                  <w:p w14:paraId="3A5760D1" w14:textId="77777777" w:rsidR="00471D53" w:rsidRDefault="004F686E" w:rsidP="00471D53">
                    <w:pPr>
                      <w:jc w:val="right"/>
                      <w:rPr>
                        <w:rFonts w:cs="Calibri"/>
                        <w:sz w:val="22"/>
                        <w:szCs w:val="22"/>
                      </w:rPr>
                    </w:pPr>
                    <w:r>
                      <w:rPr>
                        <w:rFonts w:cs="Calibri" w:hint="eastAsia"/>
                        <w:sz w:val="22"/>
                        <w:szCs w:val="22"/>
                      </w:rPr>
                      <w:t>119,010,355.31</w:t>
                    </w:r>
                  </w:p>
                </w:tc>
                <w:tc>
                  <w:tcPr>
                    <w:tcW w:w="1525" w:type="pct"/>
                    <w:vAlign w:val="center"/>
                  </w:tcPr>
                  <w:p w14:paraId="452A0A44" w14:textId="77777777" w:rsidR="00471D53" w:rsidRDefault="004F686E" w:rsidP="00471D53">
                    <w:pPr>
                      <w:jc w:val="right"/>
                      <w:rPr>
                        <w:rFonts w:cs="Calibri"/>
                        <w:sz w:val="22"/>
                        <w:szCs w:val="22"/>
                      </w:rPr>
                    </w:pPr>
                    <w:r>
                      <w:rPr>
                        <w:rFonts w:cs="Calibri" w:hint="eastAsia"/>
                        <w:sz w:val="22"/>
                        <w:szCs w:val="22"/>
                      </w:rPr>
                      <w:t>120,528,066.83</w:t>
                    </w:r>
                  </w:p>
                </w:tc>
              </w:tr>
              <w:tr w:rsidR="00471D53" w14:paraId="4F6DF938" w14:textId="77777777" w:rsidTr="00471D53">
                <w:trPr>
                  <w:trHeight w:val="340"/>
                </w:trPr>
                <w:tc>
                  <w:tcPr>
                    <w:tcW w:w="1950" w:type="pct"/>
                    <w:vAlign w:val="center"/>
                  </w:tcPr>
                  <w:p w14:paraId="2C4337F4" w14:textId="77777777" w:rsidR="00471D53" w:rsidRDefault="004F686E" w:rsidP="00471D53">
                    <w:pPr>
                      <w:ind w:firstLineChars="50" w:firstLine="110"/>
                      <w:jc w:val="both"/>
                      <w:rPr>
                        <w:sz w:val="22"/>
                        <w:szCs w:val="22"/>
                      </w:rPr>
                    </w:pPr>
                    <w:r>
                      <w:rPr>
                        <w:rFonts w:hint="eastAsia"/>
                        <w:sz w:val="22"/>
                        <w:szCs w:val="22"/>
                      </w:rPr>
                      <w:t>短期（</w:t>
                    </w:r>
                    <w:r>
                      <w:rPr>
                        <w:sz w:val="22"/>
                        <w:szCs w:val="22"/>
                      </w:rPr>
                      <w:t>10</w:t>
                    </w:r>
                    <w:r>
                      <w:rPr>
                        <w:rFonts w:hint="eastAsia"/>
                        <w:sz w:val="22"/>
                        <w:szCs w:val="22"/>
                      </w:rPr>
                      <w:t>年以内）</w:t>
                    </w:r>
                  </w:p>
                </w:tc>
                <w:tc>
                  <w:tcPr>
                    <w:tcW w:w="1525" w:type="pct"/>
                    <w:vAlign w:val="center"/>
                  </w:tcPr>
                  <w:p w14:paraId="29C65273" w14:textId="77777777" w:rsidR="00471D53" w:rsidRDefault="004F686E" w:rsidP="00471D53">
                    <w:pPr>
                      <w:jc w:val="right"/>
                      <w:rPr>
                        <w:rFonts w:cs="Calibri"/>
                        <w:sz w:val="22"/>
                        <w:szCs w:val="22"/>
                      </w:rPr>
                    </w:pPr>
                    <w:r>
                      <w:rPr>
                        <w:rFonts w:cs="Calibri" w:hint="eastAsia"/>
                        <w:sz w:val="22"/>
                        <w:szCs w:val="22"/>
                      </w:rPr>
                      <w:t>0</w:t>
                    </w:r>
                    <w:r>
                      <w:rPr>
                        <w:rFonts w:cs="Calibri"/>
                        <w:sz w:val="22"/>
                        <w:szCs w:val="22"/>
                      </w:rPr>
                      <w:t>.00</w:t>
                    </w:r>
                  </w:p>
                </w:tc>
                <w:tc>
                  <w:tcPr>
                    <w:tcW w:w="1525" w:type="pct"/>
                    <w:vAlign w:val="center"/>
                  </w:tcPr>
                  <w:p w14:paraId="3855D234" w14:textId="77777777" w:rsidR="00471D53" w:rsidRDefault="004F686E" w:rsidP="00471D53">
                    <w:pPr>
                      <w:jc w:val="right"/>
                      <w:rPr>
                        <w:rFonts w:cs="Calibri"/>
                        <w:sz w:val="22"/>
                        <w:szCs w:val="22"/>
                      </w:rPr>
                    </w:pPr>
                    <w:r>
                      <w:rPr>
                        <w:rFonts w:cs="Calibri" w:hint="eastAsia"/>
                        <w:sz w:val="22"/>
                        <w:szCs w:val="22"/>
                      </w:rPr>
                      <w:t>0</w:t>
                    </w:r>
                    <w:r>
                      <w:rPr>
                        <w:rFonts w:cs="Calibri"/>
                        <w:sz w:val="22"/>
                        <w:szCs w:val="22"/>
                      </w:rPr>
                      <w:t>.00</w:t>
                    </w:r>
                  </w:p>
                </w:tc>
              </w:tr>
              <w:tr w:rsidR="00471D53" w14:paraId="10F73A07" w14:textId="77777777" w:rsidTr="00471D53">
                <w:trPr>
                  <w:trHeight w:val="340"/>
                </w:trPr>
                <w:tc>
                  <w:tcPr>
                    <w:tcW w:w="1950" w:type="pct"/>
                    <w:vAlign w:val="center"/>
                  </w:tcPr>
                  <w:p w14:paraId="48FEBB80" w14:textId="77777777" w:rsidR="00471D53" w:rsidRDefault="004F686E" w:rsidP="00471D53">
                    <w:pPr>
                      <w:jc w:val="both"/>
                      <w:rPr>
                        <w:sz w:val="22"/>
                        <w:szCs w:val="22"/>
                      </w:rPr>
                    </w:pPr>
                    <w:r>
                      <w:rPr>
                        <w:rFonts w:hint="eastAsia"/>
                        <w:sz w:val="22"/>
                        <w:szCs w:val="22"/>
                      </w:rPr>
                      <w:t>位于中国境外</w:t>
                    </w:r>
                  </w:p>
                </w:tc>
                <w:tc>
                  <w:tcPr>
                    <w:tcW w:w="1525" w:type="pct"/>
                    <w:vAlign w:val="center"/>
                  </w:tcPr>
                  <w:p w14:paraId="6F6BF563" w14:textId="77777777" w:rsidR="00471D53" w:rsidRDefault="004F686E" w:rsidP="00471D53">
                    <w:pPr>
                      <w:jc w:val="right"/>
                      <w:rPr>
                        <w:rFonts w:cs="Calibri"/>
                        <w:sz w:val="22"/>
                        <w:szCs w:val="22"/>
                      </w:rPr>
                    </w:pPr>
                    <w:r>
                      <w:rPr>
                        <w:rFonts w:cs="Calibri" w:hint="eastAsia"/>
                        <w:sz w:val="22"/>
                        <w:szCs w:val="22"/>
                      </w:rPr>
                      <w:t>0</w:t>
                    </w:r>
                    <w:r>
                      <w:rPr>
                        <w:rFonts w:cs="Calibri"/>
                        <w:sz w:val="22"/>
                        <w:szCs w:val="22"/>
                      </w:rPr>
                      <w:t>.00</w:t>
                    </w:r>
                  </w:p>
                </w:tc>
                <w:tc>
                  <w:tcPr>
                    <w:tcW w:w="1525" w:type="pct"/>
                    <w:vAlign w:val="center"/>
                  </w:tcPr>
                  <w:p w14:paraId="1BB1D9A4" w14:textId="77777777" w:rsidR="00471D53" w:rsidRDefault="004F686E" w:rsidP="00471D53">
                    <w:pPr>
                      <w:jc w:val="right"/>
                      <w:rPr>
                        <w:rFonts w:cs="Calibri"/>
                        <w:sz w:val="22"/>
                        <w:szCs w:val="22"/>
                      </w:rPr>
                    </w:pPr>
                    <w:r>
                      <w:rPr>
                        <w:rFonts w:cs="Calibri" w:hint="eastAsia"/>
                        <w:sz w:val="22"/>
                        <w:szCs w:val="22"/>
                      </w:rPr>
                      <w:t>0</w:t>
                    </w:r>
                    <w:r>
                      <w:rPr>
                        <w:rFonts w:cs="Calibri"/>
                        <w:sz w:val="22"/>
                        <w:szCs w:val="22"/>
                      </w:rPr>
                      <w:t>.00</w:t>
                    </w:r>
                  </w:p>
                </w:tc>
              </w:tr>
              <w:tr w:rsidR="00471D53" w14:paraId="1A6F3B99" w14:textId="77777777" w:rsidTr="00471D53">
                <w:trPr>
                  <w:trHeight w:val="340"/>
                </w:trPr>
                <w:tc>
                  <w:tcPr>
                    <w:tcW w:w="1950" w:type="pct"/>
                    <w:vAlign w:val="center"/>
                  </w:tcPr>
                  <w:p w14:paraId="7779E306" w14:textId="77777777" w:rsidR="00471D53" w:rsidRDefault="004F686E" w:rsidP="00471D53">
                    <w:pPr>
                      <w:ind w:firstLineChars="50" w:firstLine="110"/>
                      <w:jc w:val="both"/>
                      <w:rPr>
                        <w:sz w:val="22"/>
                        <w:szCs w:val="22"/>
                      </w:rPr>
                    </w:pPr>
                    <w:r>
                      <w:rPr>
                        <w:rFonts w:hint="eastAsia"/>
                        <w:sz w:val="22"/>
                        <w:szCs w:val="22"/>
                      </w:rPr>
                      <w:t>长期（</w:t>
                    </w:r>
                    <w:r>
                      <w:rPr>
                        <w:sz w:val="22"/>
                        <w:szCs w:val="22"/>
                      </w:rPr>
                      <w:t>50</w:t>
                    </w:r>
                    <w:r>
                      <w:rPr>
                        <w:rFonts w:hint="eastAsia"/>
                        <w:sz w:val="22"/>
                        <w:szCs w:val="22"/>
                      </w:rPr>
                      <w:t>年以上）</w:t>
                    </w:r>
                  </w:p>
                </w:tc>
                <w:tc>
                  <w:tcPr>
                    <w:tcW w:w="1525" w:type="pct"/>
                    <w:vAlign w:val="center"/>
                  </w:tcPr>
                  <w:p w14:paraId="1A075E22" w14:textId="77777777" w:rsidR="00471D53" w:rsidRDefault="004F686E" w:rsidP="00471D53">
                    <w:pPr>
                      <w:jc w:val="right"/>
                      <w:rPr>
                        <w:rFonts w:cs="Calibri"/>
                        <w:sz w:val="22"/>
                        <w:szCs w:val="22"/>
                      </w:rPr>
                    </w:pPr>
                    <w:r>
                      <w:rPr>
                        <w:rFonts w:cs="Calibri" w:hint="eastAsia"/>
                        <w:sz w:val="22"/>
                        <w:szCs w:val="22"/>
                      </w:rPr>
                      <w:t>0</w:t>
                    </w:r>
                    <w:r>
                      <w:rPr>
                        <w:rFonts w:cs="Calibri"/>
                        <w:sz w:val="22"/>
                        <w:szCs w:val="22"/>
                      </w:rPr>
                      <w:t>.00</w:t>
                    </w:r>
                  </w:p>
                </w:tc>
                <w:tc>
                  <w:tcPr>
                    <w:tcW w:w="1525" w:type="pct"/>
                    <w:vAlign w:val="center"/>
                  </w:tcPr>
                  <w:p w14:paraId="27B3090F" w14:textId="77777777" w:rsidR="00471D53" w:rsidRDefault="004F686E" w:rsidP="00471D53">
                    <w:pPr>
                      <w:jc w:val="right"/>
                      <w:rPr>
                        <w:rFonts w:cs="Calibri"/>
                        <w:sz w:val="22"/>
                        <w:szCs w:val="22"/>
                      </w:rPr>
                    </w:pPr>
                    <w:r>
                      <w:rPr>
                        <w:rFonts w:cs="Calibri" w:hint="eastAsia"/>
                        <w:sz w:val="22"/>
                        <w:szCs w:val="22"/>
                      </w:rPr>
                      <w:t>0</w:t>
                    </w:r>
                    <w:r>
                      <w:rPr>
                        <w:rFonts w:cs="Calibri"/>
                        <w:sz w:val="22"/>
                        <w:szCs w:val="22"/>
                      </w:rPr>
                      <w:t>.00</w:t>
                    </w:r>
                  </w:p>
                </w:tc>
              </w:tr>
              <w:tr w:rsidR="00471D53" w14:paraId="658A8B44" w14:textId="77777777" w:rsidTr="00471D53">
                <w:trPr>
                  <w:trHeight w:val="340"/>
                </w:trPr>
                <w:tc>
                  <w:tcPr>
                    <w:tcW w:w="1950" w:type="pct"/>
                    <w:vAlign w:val="center"/>
                  </w:tcPr>
                  <w:p w14:paraId="384E2A6F" w14:textId="77777777" w:rsidR="00471D53" w:rsidRDefault="004F686E" w:rsidP="00471D53">
                    <w:pPr>
                      <w:ind w:firstLineChars="50" w:firstLine="110"/>
                      <w:jc w:val="both"/>
                      <w:rPr>
                        <w:sz w:val="22"/>
                        <w:szCs w:val="22"/>
                      </w:rPr>
                    </w:pPr>
                    <w:r>
                      <w:rPr>
                        <w:rFonts w:hint="eastAsia"/>
                        <w:sz w:val="22"/>
                        <w:szCs w:val="22"/>
                      </w:rPr>
                      <w:t>中期（</w:t>
                    </w:r>
                    <w:r>
                      <w:rPr>
                        <w:sz w:val="22"/>
                        <w:szCs w:val="22"/>
                      </w:rPr>
                      <w:t>10-50</w:t>
                    </w:r>
                    <w:r>
                      <w:rPr>
                        <w:rFonts w:hint="eastAsia"/>
                        <w:sz w:val="22"/>
                        <w:szCs w:val="22"/>
                      </w:rPr>
                      <w:t>年）</w:t>
                    </w:r>
                  </w:p>
                </w:tc>
                <w:tc>
                  <w:tcPr>
                    <w:tcW w:w="1525" w:type="pct"/>
                    <w:vAlign w:val="center"/>
                  </w:tcPr>
                  <w:p w14:paraId="29BEB39A" w14:textId="77777777" w:rsidR="00471D53" w:rsidRDefault="004F686E" w:rsidP="00471D53">
                    <w:pPr>
                      <w:jc w:val="right"/>
                      <w:rPr>
                        <w:rFonts w:cs="Calibri"/>
                        <w:sz w:val="22"/>
                        <w:szCs w:val="22"/>
                      </w:rPr>
                    </w:pPr>
                    <w:r>
                      <w:rPr>
                        <w:rFonts w:cs="Calibri" w:hint="eastAsia"/>
                        <w:sz w:val="22"/>
                        <w:szCs w:val="22"/>
                      </w:rPr>
                      <w:t>0</w:t>
                    </w:r>
                    <w:r>
                      <w:rPr>
                        <w:rFonts w:cs="Calibri"/>
                        <w:sz w:val="22"/>
                        <w:szCs w:val="22"/>
                      </w:rPr>
                      <w:t>.00</w:t>
                    </w:r>
                  </w:p>
                </w:tc>
                <w:tc>
                  <w:tcPr>
                    <w:tcW w:w="1525" w:type="pct"/>
                    <w:vAlign w:val="center"/>
                  </w:tcPr>
                  <w:p w14:paraId="13FCD52B" w14:textId="77777777" w:rsidR="00471D53" w:rsidRDefault="004F686E" w:rsidP="00471D53">
                    <w:pPr>
                      <w:jc w:val="right"/>
                      <w:rPr>
                        <w:rFonts w:cs="Calibri"/>
                        <w:sz w:val="22"/>
                        <w:szCs w:val="22"/>
                      </w:rPr>
                    </w:pPr>
                    <w:r>
                      <w:rPr>
                        <w:rFonts w:cs="Calibri" w:hint="eastAsia"/>
                        <w:sz w:val="22"/>
                        <w:szCs w:val="22"/>
                      </w:rPr>
                      <w:t>0</w:t>
                    </w:r>
                    <w:r>
                      <w:rPr>
                        <w:rFonts w:cs="Calibri"/>
                        <w:sz w:val="22"/>
                        <w:szCs w:val="22"/>
                      </w:rPr>
                      <w:t>.00</w:t>
                    </w:r>
                  </w:p>
                </w:tc>
              </w:tr>
              <w:tr w:rsidR="00471D53" w14:paraId="3359E492" w14:textId="77777777" w:rsidTr="00471D53">
                <w:trPr>
                  <w:trHeight w:val="340"/>
                </w:trPr>
                <w:tc>
                  <w:tcPr>
                    <w:tcW w:w="1950" w:type="pct"/>
                    <w:vAlign w:val="center"/>
                  </w:tcPr>
                  <w:p w14:paraId="0F0D95D5" w14:textId="77777777" w:rsidR="00471D53" w:rsidRDefault="004F686E" w:rsidP="00471D53">
                    <w:pPr>
                      <w:ind w:firstLineChars="50" w:firstLine="110"/>
                      <w:jc w:val="both"/>
                      <w:rPr>
                        <w:sz w:val="22"/>
                        <w:szCs w:val="22"/>
                      </w:rPr>
                    </w:pPr>
                    <w:r>
                      <w:rPr>
                        <w:rFonts w:hint="eastAsia"/>
                        <w:sz w:val="22"/>
                        <w:szCs w:val="22"/>
                      </w:rPr>
                      <w:t>短期（</w:t>
                    </w:r>
                    <w:r>
                      <w:rPr>
                        <w:sz w:val="22"/>
                        <w:szCs w:val="22"/>
                      </w:rPr>
                      <w:t>10</w:t>
                    </w:r>
                    <w:r>
                      <w:rPr>
                        <w:rFonts w:hint="eastAsia"/>
                        <w:sz w:val="22"/>
                        <w:szCs w:val="22"/>
                      </w:rPr>
                      <w:t>年以内）</w:t>
                    </w:r>
                  </w:p>
                </w:tc>
                <w:tc>
                  <w:tcPr>
                    <w:tcW w:w="1525" w:type="pct"/>
                    <w:vAlign w:val="center"/>
                  </w:tcPr>
                  <w:p w14:paraId="1739D5F6" w14:textId="77777777" w:rsidR="00471D53" w:rsidRDefault="004F686E" w:rsidP="00471D53">
                    <w:pPr>
                      <w:jc w:val="right"/>
                      <w:rPr>
                        <w:rFonts w:cs="Calibri"/>
                        <w:sz w:val="22"/>
                        <w:szCs w:val="22"/>
                      </w:rPr>
                    </w:pPr>
                    <w:r>
                      <w:rPr>
                        <w:rFonts w:cs="Calibri" w:hint="eastAsia"/>
                        <w:sz w:val="22"/>
                        <w:szCs w:val="22"/>
                      </w:rPr>
                      <w:t>0</w:t>
                    </w:r>
                    <w:r>
                      <w:rPr>
                        <w:rFonts w:cs="Calibri"/>
                        <w:sz w:val="22"/>
                        <w:szCs w:val="22"/>
                      </w:rPr>
                      <w:t>.00</w:t>
                    </w:r>
                  </w:p>
                </w:tc>
                <w:tc>
                  <w:tcPr>
                    <w:tcW w:w="1525" w:type="pct"/>
                    <w:vAlign w:val="center"/>
                  </w:tcPr>
                  <w:p w14:paraId="20D20015" w14:textId="77777777" w:rsidR="00471D53" w:rsidRDefault="004F686E" w:rsidP="00471D53">
                    <w:pPr>
                      <w:jc w:val="right"/>
                      <w:rPr>
                        <w:rFonts w:cs="Calibri"/>
                        <w:sz w:val="22"/>
                        <w:szCs w:val="22"/>
                      </w:rPr>
                    </w:pPr>
                    <w:r>
                      <w:rPr>
                        <w:rFonts w:cs="Calibri" w:hint="eastAsia"/>
                        <w:sz w:val="22"/>
                        <w:szCs w:val="22"/>
                      </w:rPr>
                      <w:t>0</w:t>
                    </w:r>
                    <w:r>
                      <w:rPr>
                        <w:rFonts w:cs="Calibri"/>
                        <w:sz w:val="22"/>
                        <w:szCs w:val="22"/>
                      </w:rPr>
                      <w:t>.00</w:t>
                    </w:r>
                  </w:p>
                </w:tc>
              </w:tr>
              <w:tr w:rsidR="00471D53" w14:paraId="62092232" w14:textId="77777777" w:rsidTr="00471D53">
                <w:trPr>
                  <w:trHeight w:val="340"/>
                </w:trPr>
                <w:tc>
                  <w:tcPr>
                    <w:tcW w:w="1950" w:type="pct"/>
                    <w:vAlign w:val="center"/>
                  </w:tcPr>
                  <w:p w14:paraId="1AA27EB2" w14:textId="77777777" w:rsidR="00471D53" w:rsidRDefault="004F686E" w:rsidP="00471D53">
                    <w:pPr>
                      <w:jc w:val="both"/>
                      <w:rPr>
                        <w:b/>
                        <w:sz w:val="22"/>
                        <w:szCs w:val="22"/>
                      </w:rPr>
                    </w:pPr>
                    <w:r>
                      <w:rPr>
                        <w:rFonts w:hint="eastAsia"/>
                        <w:b/>
                        <w:sz w:val="22"/>
                        <w:szCs w:val="22"/>
                      </w:rPr>
                      <w:t>合计</w:t>
                    </w:r>
                  </w:p>
                </w:tc>
                <w:tc>
                  <w:tcPr>
                    <w:tcW w:w="1525" w:type="pct"/>
                    <w:vAlign w:val="center"/>
                  </w:tcPr>
                  <w:p w14:paraId="66E33B58" w14:textId="77777777" w:rsidR="00471D53" w:rsidRDefault="004F686E" w:rsidP="00471D53">
                    <w:pPr>
                      <w:jc w:val="right"/>
                      <w:rPr>
                        <w:rFonts w:cs="Calibri"/>
                        <w:b/>
                        <w:bCs/>
                        <w:sz w:val="22"/>
                        <w:szCs w:val="22"/>
                      </w:rPr>
                    </w:pPr>
                    <w:r>
                      <w:rPr>
                        <w:rFonts w:cs="Calibri" w:hint="eastAsia"/>
                        <w:b/>
                        <w:bCs/>
                        <w:sz w:val="22"/>
                        <w:szCs w:val="22"/>
                      </w:rPr>
                      <w:t>119,010,355.31</w:t>
                    </w:r>
                  </w:p>
                </w:tc>
                <w:tc>
                  <w:tcPr>
                    <w:tcW w:w="1525" w:type="pct"/>
                    <w:vAlign w:val="center"/>
                  </w:tcPr>
                  <w:p w14:paraId="36688027" w14:textId="77777777" w:rsidR="00471D53" w:rsidRDefault="004F686E" w:rsidP="00471D53">
                    <w:pPr>
                      <w:jc w:val="right"/>
                      <w:rPr>
                        <w:rFonts w:cs="Calibri"/>
                        <w:b/>
                        <w:bCs/>
                        <w:sz w:val="22"/>
                        <w:szCs w:val="22"/>
                      </w:rPr>
                    </w:pPr>
                    <w:r>
                      <w:rPr>
                        <w:rFonts w:cs="Calibri" w:hint="eastAsia"/>
                        <w:b/>
                        <w:bCs/>
                        <w:sz w:val="22"/>
                        <w:szCs w:val="22"/>
                      </w:rPr>
                      <w:t>120,528,066.83</w:t>
                    </w:r>
                  </w:p>
                </w:tc>
              </w:tr>
            </w:tbl>
            <w:p w14:paraId="1371C3B0" w14:textId="77777777" w:rsidR="00471D53" w:rsidRDefault="00B664AF">
              <w:pPr>
                <w:rPr>
                  <w:szCs w:val="21"/>
                </w:rPr>
              </w:pPr>
            </w:p>
          </w:sdtContent>
        </w:sdt>
        <w:p w14:paraId="57A36D79" w14:textId="77777777" w:rsidR="00471D53" w:rsidRDefault="00B664AF">
          <w:pPr>
            <w:snapToGrid w:val="0"/>
            <w:spacing w:line="240" w:lineRule="atLeast"/>
            <w:rPr>
              <w:szCs w:val="21"/>
            </w:rPr>
          </w:pPr>
        </w:p>
      </w:sdtContent>
    </w:sdt>
    <w:sdt>
      <w:sdtPr>
        <w:rPr>
          <w:rFonts w:ascii="宋体" w:hAnsi="宋体" w:cs="宋体" w:hint="eastAsia"/>
          <w:b w:val="0"/>
          <w:bCs w:val="0"/>
          <w:kern w:val="0"/>
          <w:szCs w:val="21"/>
        </w:rPr>
        <w:alias w:val="模块:公司开发项目支出"/>
        <w:tag w:val="_GBC_41dea900f659431692960536981b1d8d"/>
        <w:id w:val="1130595108"/>
        <w:lock w:val="sdtLocked"/>
        <w:placeholder>
          <w:docPart w:val="GBC22222222222222222222222222222"/>
        </w:placeholder>
      </w:sdtPr>
      <w:sdtEndPr>
        <w:rPr>
          <w:rFonts w:cstheme="minorBidi" w:hint="default"/>
          <w:kern w:val="2"/>
        </w:rPr>
      </w:sdtEndPr>
      <w:sdtContent>
        <w:p w14:paraId="30345ECC" w14:textId="77777777" w:rsidR="00471D53" w:rsidRDefault="004F686E" w:rsidP="004F686E">
          <w:pPr>
            <w:pStyle w:val="afffff7"/>
            <w:numPr>
              <w:ilvl w:val="0"/>
              <w:numId w:val="55"/>
            </w:numPr>
            <w:tabs>
              <w:tab w:val="left" w:pos="504"/>
            </w:tabs>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a62fb6e641b048a49c12233ba47c4939"/>
            <w:id w:val="896482652"/>
            <w:lock w:val="sdtLocked"/>
            <w:placeholder>
              <w:docPart w:val="GBC22222222222222222222222222222"/>
            </w:placeholder>
          </w:sdtPr>
          <w:sdtEndPr/>
          <w:sdtContent>
            <w:p w14:paraId="64258057"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D2A4DB2" w14:textId="77777777" w:rsidR="00471D53" w:rsidRDefault="00B664AF">
          <w:pPr>
            <w:snapToGrid w:val="0"/>
            <w:spacing w:line="240" w:lineRule="atLeast"/>
            <w:rPr>
              <w:szCs w:val="21"/>
            </w:rPr>
          </w:pPr>
        </w:p>
      </w:sdtContent>
    </w:sdt>
    <w:p w14:paraId="754654C0" w14:textId="77777777" w:rsidR="00471D53" w:rsidRDefault="00B664AF">
      <w:pPr>
        <w:snapToGrid w:val="0"/>
        <w:spacing w:line="240" w:lineRule="atLeast"/>
        <w:rPr>
          <w:szCs w:val="21"/>
        </w:rPr>
      </w:pPr>
    </w:p>
    <w:p w14:paraId="262E4648"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商誉</w:t>
      </w:r>
    </w:p>
    <w:sdt>
      <w:sdtPr>
        <w:rPr>
          <w:rFonts w:ascii="宋体" w:hAnsi="宋体" w:cs="宋体" w:hint="eastAsia"/>
          <w:b w:val="0"/>
          <w:bCs w:val="0"/>
          <w:kern w:val="0"/>
          <w:szCs w:val="24"/>
        </w:rPr>
        <w:alias w:val="模块:商誉账面原值"/>
        <w:tag w:val="_SEC_0d13253f4b004ecdaea8960cfb92cf26"/>
        <w:id w:val="-1126686262"/>
        <w:lock w:val="sdtLocked"/>
        <w:placeholder>
          <w:docPart w:val="GBC22222222222222222222222222222"/>
        </w:placeholder>
      </w:sdtPr>
      <w:sdtEndPr/>
      <w:sdtContent>
        <w:p w14:paraId="584B0DCC" w14:textId="77777777" w:rsidR="00471D53" w:rsidRDefault="004F686E" w:rsidP="004F686E">
          <w:pPr>
            <w:pStyle w:val="afffff8"/>
            <w:numPr>
              <w:ilvl w:val="0"/>
              <w:numId w:val="75"/>
            </w:numPr>
            <w:tabs>
              <w:tab w:val="left" w:pos="588"/>
            </w:tabs>
            <w:rPr>
              <w:rFonts w:ascii="宋体" w:hAnsi="宋体"/>
            </w:rPr>
          </w:pPr>
          <w:r>
            <w:rPr>
              <w:rFonts w:ascii="宋体" w:hAnsi="宋体" w:hint="eastAsia"/>
            </w:rPr>
            <w:t>商誉账面原值</w:t>
          </w:r>
        </w:p>
        <w:sdt>
          <w:sdtPr>
            <w:alias w:val="是否适用：商誉账面原值[双击切换]"/>
            <w:tag w:val="_GBC_e2a869d440cf4b7f9f592f3e22cea85d"/>
            <w:id w:val="1236285592"/>
            <w:lock w:val="sdtLocked"/>
            <w:placeholder>
              <w:docPart w:val="GBC22222222222222222222222222222"/>
            </w:placeholder>
          </w:sdtPr>
          <w:sdtEndPr/>
          <w:sdtContent>
            <w:p w14:paraId="525D3C8D"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E0C7C38" w14:textId="13327511" w:rsidR="00471D53" w:rsidRDefault="004F686E">
          <w:pPr>
            <w:jc w:val="right"/>
            <w:rPr>
              <w:szCs w:val="21"/>
            </w:rPr>
          </w:pPr>
          <w:r>
            <w:rPr>
              <w:rFonts w:hint="eastAsia"/>
              <w:szCs w:val="21"/>
            </w:rPr>
            <w:t>单位：</w:t>
          </w:r>
          <w:sdt>
            <w:sdtPr>
              <w:rPr>
                <w:rFonts w:hint="eastAsia"/>
                <w:szCs w:val="21"/>
              </w:rPr>
              <w:alias w:val="单位：财务附注：商誉"/>
              <w:tag w:val="_GBC_4797b6084eb24fe79f24d181640f3283"/>
              <w:id w:val="198242402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商誉"/>
              <w:tag w:val="_GBC_7cd9149d9bea4da8974b80b14b1c0e44"/>
              <w:id w:val="21364388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1535"/>
            <w:gridCol w:w="1242"/>
            <w:gridCol w:w="697"/>
            <w:gridCol w:w="1172"/>
            <w:gridCol w:w="757"/>
            <w:gridCol w:w="1530"/>
          </w:tblGrid>
          <w:tr w:rsidR="00471D53" w14:paraId="1CB2D8E4" w14:textId="77777777" w:rsidTr="00471D53">
            <w:trPr>
              <w:trHeight w:val="284"/>
              <w:jc w:val="center"/>
            </w:trPr>
            <w:sdt>
              <w:sdtPr>
                <w:tag w:val="_PLD_b248be5460bf4bb299c4579815256238"/>
                <w:id w:val="2005085467"/>
                <w:lock w:val="sdtLocked"/>
              </w:sdtPr>
              <w:sdtEndPr/>
              <w:sdtContent>
                <w:tc>
                  <w:tcPr>
                    <w:tcW w:w="1071" w:type="pct"/>
                    <w:vMerge w:val="restart"/>
                    <w:shd w:val="clear" w:color="auto" w:fill="auto"/>
                    <w:vAlign w:val="center"/>
                  </w:tcPr>
                  <w:p w14:paraId="1195CB91" w14:textId="77777777" w:rsidR="00471D53" w:rsidRDefault="004F686E" w:rsidP="00471D53">
                    <w:pPr>
                      <w:autoSpaceDE w:val="0"/>
                      <w:autoSpaceDN w:val="0"/>
                      <w:adjustRightInd w:val="0"/>
                      <w:snapToGrid w:val="0"/>
                      <w:jc w:val="center"/>
                      <w:rPr>
                        <w:szCs w:val="21"/>
                      </w:rPr>
                    </w:pPr>
                    <w:r>
                      <w:rPr>
                        <w:rFonts w:hint="eastAsia"/>
                        <w:szCs w:val="21"/>
                      </w:rPr>
                      <w:t>被投资单位名称或形成商誉的事项</w:t>
                    </w:r>
                  </w:p>
                </w:tc>
              </w:sdtContent>
            </w:sdt>
            <w:sdt>
              <w:sdtPr>
                <w:tag w:val="_PLD_a25f69a57b624da887f74ab27a20ba0b"/>
                <w:id w:val="-1431584284"/>
                <w:lock w:val="sdtLocked"/>
              </w:sdtPr>
              <w:sdtEndPr/>
              <w:sdtContent>
                <w:tc>
                  <w:tcPr>
                    <w:tcW w:w="870" w:type="pct"/>
                    <w:vMerge w:val="restart"/>
                    <w:shd w:val="clear" w:color="auto" w:fill="auto"/>
                    <w:vAlign w:val="center"/>
                  </w:tcPr>
                  <w:p w14:paraId="45F7D269" w14:textId="77777777" w:rsidR="00471D53" w:rsidRDefault="004F686E" w:rsidP="00471D53">
                    <w:pPr>
                      <w:autoSpaceDE w:val="0"/>
                      <w:autoSpaceDN w:val="0"/>
                      <w:adjustRightInd w:val="0"/>
                      <w:snapToGrid w:val="0"/>
                      <w:jc w:val="center"/>
                      <w:rPr>
                        <w:szCs w:val="21"/>
                      </w:rPr>
                    </w:pPr>
                    <w:r>
                      <w:rPr>
                        <w:rFonts w:hint="eastAsia"/>
                        <w:szCs w:val="21"/>
                      </w:rPr>
                      <w:t>期初余额</w:t>
                    </w:r>
                  </w:p>
                </w:tc>
              </w:sdtContent>
            </w:sdt>
            <w:sdt>
              <w:sdtPr>
                <w:tag w:val="_PLD_c348d952dc8b438289897d2014b7d310"/>
                <w:id w:val="-1097320438"/>
                <w:lock w:val="sdtLocked"/>
              </w:sdtPr>
              <w:sdtEndPr/>
              <w:sdtContent>
                <w:tc>
                  <w:tcPr>
                    <w:tcW w:w="1099" w:type="pct"/>
                    <w:gridSpan w:val="2"/>
                    <w:shd w:val="clear" w:color="auto" w:fill="auto"/>
                    <w:vAlign w:val="center"/>
                  </w:tcPr>
                  <w:p w14:paraId="16BB551E" w14:textId="77777777" w:rsidR="00471D53" w:rsidRDefault="004F686E" w:rsidP="00471D53">
                    <w:pPr>
                      <w:autoSpaceDE w:val="0"/>
                      <w:autoSpaceDN w:val="0"/>
                      <w:adjustRightInd w:val="0"/>
                      <w:snapToGrid w:val="0"/>
                      <w:jc w:val="center"/>
                      <w:rPr>
                        <w:szCs w:val="21"/>
                      </w:rPr>
                    </w:pPr>
                    <w:r>
                      <w:rPr>
                        <w:rFonts w:hint="eastAsia"/>
                        <w:szCs w:val="21"/>
                      </w:rPr>
                      <w:t>本期增加</w:t>
                    </w:r>
                  </w:p>
                </w:tc>
              </w:sdtContent>
            </w:sdt>
            <w:sdt>
              <w:sdtPr>
                <w:tag w:val="_PLD_5560c6ea7650430a8c304ee861d4bc25"/>
                <w:id w:val="376820152"/>
                <w:lock w:val="sdtLocked"/>
              </w:sdtPr>
              <w:sdtEndPr/>
              <w:sdtContent>
                <w:tc>
                  <w:tcPr>
                    <w:tcW w:w="1093" w:type="pct"/>
                    <w:gridSpan w:val="2"/>
                    <w:shd w:val="clear" w:color="auto" w:fill="auto"/>
                    <w:vAlign w:val="center"/>
                  </w:tcPr>
                  <w:p w14:paraId="28CB1B15" w14:textId="77777777" w:rsidR="00471D53" w:rsidRDefault="004F686E" w:rsidP="00471D53">
                    <w:pPr>
                      <w:autoSpaceDE w:val="0"/>
                      <w:autoSpaceDN w:val="0"/>
                      <w:adjustRightInd w:val="0"/>
                      <w:snapToGrid w:val="0"/>
                      <w:jc w:val="center"/>
                      <w:rPr>
                        <w:szCs w:val="21"/>
                      </w:rPr>
                    </w:pPr>
                    <w:r>
                      <w:rPr>
                        <w:rFonts w:hint="eastAsia"/>
                        <w:szCs w:val="21"/>
                      </w:rPr>
                      <w:t>本期减少</w:t>
                    </w:r>
                  </w:p>
                </w:tc>
              </w:sdtContent>
            </w:sdt>
            <w:sdt>
              <w:sdtPr>
                <w:tag w:val="_PLD_075635973edd4d94a997d2ed78e56d8b"/>
                <w:id w:val="-516386329"/>
                <w:lock w:val="sdtLocked"/>
              </w:sdtPr>
              <w:sdtEndPr/>
              <w:sdtContent>
                <w:tc>
                  <w:tcPr>
                    <w:tcW w:w="867" w:type="pct"/>
                    <w:vMerge w:val="restart"/>
                    <w:shd w:val="clear" w:color="auto" w:fill="auto"/>
                    <w:vAlign w:val="center"/>
                  </w:tcPr>
                  <w:p w14:paraId="0E07B32F" w14:textId="77777777" w:rsidR="00471D53" w:rsidRDefault="004F686E" w:rsidP="00471D53">
                    <w:pPr>
                      <w:autoSpaceDE w:val="0"/>
                      <w:autoSpaceDN w:val="0"/>
                      <w:adjustRightInd w:val="0"/>
                      <w:snapToGrid w:val="0"/>
                      <w:jc w:val="center"/>
                      <w:rPr>
                        <w:szCs w:val="21"/>
                      </w:rPr>
                    </w:pPr>
                    <w:r>
                      <w:rPr>
                        <w:rFonts w:hint="eastAsia"/>
                        <w:szCs w:val="21"/>
                      </w:rPr>
                      <w:t>期末余额</w:t>
                    </w:r>
                  </w:p>
                </w:tc>
              </w:sdtContent>
            </w:sdt>
          </w:tr>
          <w:tr w:rsidR="00471D53" w14:paraId="561172B8" w14:textId="77777777" w:rsidTr="00471D53">
            <w:trPr>
              <w:trHeight w:val="535"/>
              <w:jc w:val="center"/>
            </w:trPr>
            <w:tc>
              <w:tcPr>
                <w:tcW w:w="1071" w:type="pct"/>
                <w:vMerge/>
                <w:shd w:val="clear" w:color="auto" w:fill="auto"/>
              </w:tcPr>
              <w:p w14:paraId="143762F8" w14:textId="77777777" w:rsidR="00471D53" w:rsidRDefault="00B664AF" w:rsidP="00471D53">
                <w:pPr>
                  <w:autoSpaceDE w:val="0"/>
                  <w:autoSpaceDN w:val="0"/>
                  <w:adjustRightInd w:val="0"/>
                  <w:snapToGrid w:val="0"/>
                  <w:jc w:val="center"/>
                  <w:rPr>
                    <w:szCs w:val="21"/>
                  </w:rPr>
                </w:pPr>
              </w:p>
            </w:tc>
            <w:tc>
              <w:tcPr>
                <w:tcW w:w="870" w:type="pct"/>
                <w:vMerge/>
                <w:shd w:val="clear" w:color="auto" w:fill="auto"/>
              </w:tcPr>
              <w:p w14:paraId="2BDC8A27" w14:textId="77777777" w:rsidR="00471D53" w:rsidRDefault="00B664AF" w:rsidP="00471D53">
                <w:pPr>
                  <w:autoSpaceDE w:val="0"/>
                  <w:autoSpaceDN w:val="0"/>
                  <w:adjustRightInd w:val="0"/>
                  <w:snapToGrid w:val="0"/>
                  <w:jc w:val="center"/>
                  <w:rPr>
                    <w:szCs w:val="21"/>
                  </w:rPr>
                </w:pPr>
              </w:p>
            </w:tc>
            <w:sdt>
              <w:sdtPr>
                <w:tag w:val="_PLD_1553ab7e041e4cd0bdd59c30d303dc84"/>
                <w:id w:val="-1152453272"/>
                <w:lock w:val="sdtLocked"/>
              </w:sdtPr>
              <w:sdtEndPr/>
              <w:sdtContent>
                <w:tc>
                  <w:tcPr>
                    <w:tcW w:w="704" w:type="pct"/>
                    <w:shd w:val="clear" w:color="auto" w:fill="auto"/>
                    <w:vAlign w:val="center"/>
                  </w:tcPr>
                  <w:p w14:paraId="46ACCDA3" w14:textId="77777777" w:rsidR="00471D53" w:rsidRDefault="004F686E" w:rsidP="00471D53">
                    <w:pPr>
                      <w:autoSpaceDE w:val="0"/>
                      <w:autoSpaceDN w:val="0"/>
                      <w:adjustRightInd w:val="0"/>
                      <w:snapToGrid w:val="0"/>
                      <w:jc w:val="center"/>
                      <w:rPr>
                        <w:szCs w:val="21"/>
                      </w:rPr>
                    </w:pPr>
                    <w:r>
                      <w:rPr>
                        <w:rFonts w:hint="eastAsia"/>
                        <w:szCs w:val="21"/>
                      </w:rPr>
                      <w:t>企业合并形成的</w:t>
                    </w:r>
                  </w:p>
                </w:tc>
              </w:sdtContent>
            </w:sdt>
            <w:sdt>
              <w:sdtPr>
                <w:rPr>
                  <w:szCs w:val="21"/>
                </w:rPr>
                <w:alias w:val="商誉账面原值本期增加额项目名称"/>
                <w:tag w:val="_GBC_c14b754516e24efd9115d33500cd04df"/>
                <w:id w:val="-78138041"/>
                <w:lock w:val="sdtLocked"/>
                <w:showingPlcHdr/>
              </w:sdtPr>
              <w:sdtEndPr>
                <w:rPr>
                  <w:rFonts w:hint="eastAsia"/>
                </w:rPr>
              </w:sdtEndPr>
              <w:sdtContent>
                <w:tc>
                  <w:tcPr>
                    <w:tcW w:w="395" w:type="pct"/>
                    <w:shd w:val="clear" w:color="auto" w:fill="auto"/>
                    <w:vAlign w:val="center"/>
                  </w:tcPr>
                  <w:p w14:paraId="7A7E4E67" w14:textId="77777777" w:rsidR="00471D53" w:rsidRDefault="004F686E" w:rsidP="00471D53">
                    <w:pPr>
                      <w:autoSpaceDE w:val="0"/>
                      <w:autoSpaceDN w:val="0"/>
                      <w:adjustRightInd w:val="0"/>
                      <w:snapToGrid w:val="0"/>
                      <w:jc w:val="center"/>
                      <w:rPr>
                        <w:szCs w:val="21"/>
                      </w:rPr>
                    </w:pPr>
                    <w:r>
                      <w:rPr>
                        <w:rFonts w:hint="eastAsia"/>
                        <w:szCs w:val="21"/>
                      </w:rPr>
                      <w:t xml:space="preserve">　</w:t>
                    </w:r>
                  </w:p>
                </w:tc>
              </w:sdtContent>
            </w:sdt>
            <w:sdt>
              <w:sdtPr>
                <w:tag w:val="_PLD_52f6eef41a0247f195c94af6823a4b67"/>
                <w:id w:val="-866824432"/>
                <w:lock w:val="sdtLocked"/>
              </w:sdtPr>
              <w:sdtEndPr/>
              <w:sdtContent>
                <w:tc>
                  <w:tcPr>
                    <w:tcW w:w="664" w:type="pct"/>
                    <w:shd w:val="clear" w:color="auto" w:fill="auto"/>
                    <w:vAlign w:val="center"/>
                  </w:tcPr>
                  <w:p w14:paraId="5E214F0D" w14:textId="77777777" w:rsidR="00471D53" w:rsidRDefault="004F686E" w:rsidP="00471D53">
                    <w:pPr>
                      <w:autoSpaceDE w:val="0"/>
                      <w:autoSpaceDN w:val="0"/>
                      <w:adjustRightInd w:val="0"/>
                      <w:snapToGrid w:val="0"/>
                      <w:jc w:val="center"/>
                      <w:rPr>
                        <w:szCs w:val="21"/>
                      </w:rPr>
                    </w:pPr>
                    <w:r>
                      <w:rPr>
                        <w:rFonts w:hint="eastAsia"/>
                        <w:szCs w:val="21"/>
                      </w:rPr>
                      <w:t>处置</w:t>
                    </w:r>
                  </w:p>
                </w:tc>
              </w:sdtContent>
            </w:sdt>
            <w:sdt>
              <w:sdtPr>
                <w:rPr>
                  <w:szCs w:val="21"/>
                </w:rPr>
                <w:alias w:val="商誉账面原值本期减少额项目名称"/>
                <w:tag w:val="_GBC_5ba36aaca8144cb8979636970f4c6ae3"/>
                <w:id w:val="1739596766"/>
                <w:lock w:val="sdtLocked"/>
                <w:showingPlcHdr/>
              </w:sdtPr>
              <w:sdtEndPr>
                <w:rPr>
                  <w:rFonts w:hint="eastAsia"/>
                </w:rPr>
              </w:sdtEndPr>
              <w:sdtContent>
                <w:tc>
                  <w:tcPr>
                    <w:tcW w:w="429" w:type="pct"/>
                    <w:shd w:val="clear" w:color="auto" w:fill="auto"/>
                    <w:vAlign w:val="center"/>
                  </w:tcPr>
                  <w:p w14:paraId="5E157435" w14:textId="77777777" w:rsidR="00471D53" w:rsidRDefault="004F686E" w:rsidP="00471D53">
                    <w:pPr>
                      <w:autoSpaceDE w:val="0"/>
                      <w:autoSpaceDN w:val="0"/>
                      <w:adjustRightInd w:val="0"/>
                      <w:snapToGrid w:val="0"/>
                      <w:jc w:val="center"/>
                      <w:rPr>
                        <w:szCs w:val="21"/>
                      </w:rPr>
                    </w:pPr>
                    <w:r>
                      <w:rPr>
                        <w:rFonts w:hint="eastAsia"/>
                        <w:szCs w:val="21"/>
                      </w:rPr>
                      <w:t xml:space="preserve">　</w:t>
                    </w:r>
                  </w:p>
                </w:tc>
              </w:sdtContent>
            </w:sdt>
            <w:tc>
              <w:tcPr>
                <w:tcW w:w="867" w:type="pct"/>
                <w:vMerge/>
                <w:shd w:val="clear" w:color="auto" w:fill="auto"/>
              </w:tcPr>
              <w:p w14:paraId="2ABAA9D1" w14:textId="77777777" w:rsidR="00471D53" w:rsidRDefault="00B664AF" w:rsidP="00471D53">
                <w:pPr>
                  <w:autoSpaceDE w:val="0"/>
                  <w:autoSpaceDN w:val="0"/>
                  <w:adjustRightInd w:val="0"/>
                  <w:snapToGrid w:val="0"/>
                  <w:jc w:val="center"/>
                  <w:rPr>
                    <w:szCs w:val="21"/>
                  </w:rPr>
                </w:pPr>
              </w:p>
            </w:tc>
          </w:tr>
          <w:sdt>
            <w:sdtPr>
              <w:rPr>
                <w:szCs w:val="21"/>
              </w:rPr>
              <w:alias w:val="商誉明细"/>
              <w:tag w:val="_GBC_916c5c3712e44d7db6b8c9e16bcf5865"/>
              <w:id w:val="1089817716"/>
              <w:lock w:val="sdtLocked"/>
            </w:sdtPr>
            <w:sdtEndPr/>
            <w:sdtContent>
              <w:tr w:rsidR="00471D53" w14:paraId="2B09E5EA" w14:textId="77777777" w:rsidTr="00471D53">
                <w:trPr>
                  <w:trHeight w:val="338"/>
                  <w:jc w:val="center"/>
                </w:trPr>
                <w:tc>
                  <w:tcPr>
                    <w:tcW w:w="1071" w:type="pct"/>
                    <w:shd w:val="clear" w:color="auto" w:fill="auto"/>
                  </w:tcPr>
                  <w:p w14:paraId="766AD4BB" w14:textId="77777777" w:rsidR="00471D53" w:rsidRDefault="004F686E" w:rsidP="00471D53">
                    <w:pPr>
                      <w:autoSpaceDE w:val="0"/>
                      <w:autoSpaceDN w:val="0"/>
                      <w:adjustRightInd w:val="0"/>
                      <w:snapToGrid w:val="0"/>
                      <w:rPr>
                        <w:szCs w:val="21"/>
                      </w:rPr>
                    </w:pPr>
                    <w:r>
                      <w:t>天海美洲公司</w:t>
                    </w:r>
                  </w:p>
                </w:tc>
                <w:tc>
                  <w:tcPr>
                    <w:tcW w:w="870" w:type="pct"/>
                    <w:shd w:val="clear" w:color="auto" w:fill="auto"/>
                  </w:tcPr>
                  <w:p w14:paraId="7B700C9B" w14:textId="77777777" w:rsidR="00471D53" w:rsidRDefault="004F686E" w:rsidP="00471D53">
                    <w:pPr>
                      <w:autoSpaceDE w:val="0"/>
                      <w:autoSpaceDN w:val="0"/>
                      <w:adjustRightInd w:val="0"/>
                      <w:snapToGrid w:val="0"/>
                      <w:jc w:val="right"/>
                      <w:rPr>
                        <w:szCs w:val="21"/>
                      </w:rPr>
                    </w:pPr>
                    <w:r>
                      <w:t>6,562,344.06</w:t>
                    </w:r>
                  </w:p>
                </w:tc>
                <w:tc>
                  <w:tcPr>
                    <w:tcW w:w="704" w:type="pct"/>
                    <w:shd w:val="clear" w:color="auto" w:fill="auto"/>
                  </w:tcPr>
                  <w:p w14:paraId="14A08E1F" w14:textId="77777777" w:rsidR="00471D53" w:rsidRDefault="00B664AF" w:rsidP="00471D53">
                    <w:pPr>
                      <w:autoSpaceDE w:val="0"/>
                      <w:autoSpaceDN w:val="0"/>
                      <w:adjustRightInd w:val="0"/>
                      <w:snapToGrid w:val="0"/>
                      <w:jc w:val="right"/>
                      <w:rPr>
                        <w:szCs w:val="21"/>
                      </w:rPr>
                    </w:pPr>
                  </w:p>
                </w:tc>
                <w:tc>
                  <w:tcPr>
                    <w:tcW w:w="395" w:type="pct"/>
                    <w:shd w:val="clear" w:color="auto" w:fill="auto"/>
                  </w:tcPr>
                  <w:p w14:paraId="6E78FFD2" w14:textId="77777777" w:rsidR="00471D53" w:rsidRDefault="00B664AF" w:rsidP="00471D53">
                    <w:pPr>
                      <w:autoSpaceDE w:val="0"/>
                      <w:autoSpaceDN w:val="0"/>
                      <w:adjustRightInd w:val="0"/>
                      <w:snapToGrid w:val="0"/>
                      <w:jc w:val="right"/>
                      <w:rPr>
                        <w:szCs w:val="21"/>
                      </w:rPr>
                    </w:pPr>
                  </w:p>
                </w:tc>
                <w:tc>
                  <w:tcPr>
                    <w:tcW w:w="664" w:type="pct"/>
                    <w:shd w:val="clear" w:color="auto" w:fill="auto"/>
                  </w:tcPr>
                  <w:p w14:paraId="32FAFCD9" w14:textId="77777777" w:rsidR="00471D53" w:rsidRDefault="00B664AF" w:rsidP="00471D53">
                    <w:pPr>
                      <w:autoSpaceDE w:val="0"/>
                      <w:autoSpaceDN w:val="0"/>
                      <w:adjustRightInd w:val="0"/>
                      <w:snapToGrid w:val="0"/>
                      <w:jc w:val="right"/>
                      <w:rPr>
                        <w:szCs w:val="21"/>
                      </w:rPr>
                    </w:pPr>
                  </w:p>
                </w:tc>
                <w:tc>
                  <w:tcPr>
                    <w:tcW w:w="429" w:type="pct"/>
                    <w:shd w:val="clear" w:color="auto" w:fill="auto"/>
                  </w:tcPr>
                  <w:p w14:paraId="61C2D77D" w14:textId="77777777" w:rsidR="00471D53" w:rsidRDefault="00B664AF" w:rsidP="00471D53">
                    <w:pPr>
                      <w:autoSpaceDE w:val="0"/>
                      <w:autoSpaceDN w:val="0"/>
                      <w:adjustRightInd w:val="0"/>
                      <w:snapToGrid w:val="0"/>
                      <w:jc w:val="right"/>
                      <w:rPr>
                        <w:szCs w:val="21"/>
                      </w:rPr>
                    </w:pPr>
                  </w:p>
                </w:tc>
                <w:tc>
                  <w:tcPr>
                    <w:tcW w:w="867" w:type="pct"/>
                    <w:shd w:val="clear" w:color="auto" w:fill="auto"/>
                  </w:tcPr>
                  <w:p w14:paraId="0AD1BB44" w14:textId="77777777" w:rsidR="00471D53" w:rsidRDefault="004F686E" w:rsidP="00471D53">
                    <w:pPr>
                      <w:autoSpaceDE w:val="0"/>
                      <w:autoSpaceDN w:val="0"/>
                      <w:adjustRightInd w:val="0"/>
                      <w:snapToGrid w:val="0"/>
                      <w:jc w:val="right"/>
                      <w:rPr>
                        <w:szCs w:val="21"/>
                      </w:rPr>
                    </w:pPr>
                    <w:r w:rsidRPr="00A92FA2">
                      <w:rPr>
                        <w:szCs w:val="21"/>
                      </w:rPr>
                      <w:t>6,562,344.06</w:t>
                    </w:r>
                  </w:p>
                </w:tc>
              </w:tr>
            </w:sdtContent>
          </w:sdt>
          <w:tr w:rsidR="00471D53" w:rsidRPr="00A92FA2" w14:paraId="5FDBC60E" w14:textId="77777777" w:rsidTr="00471D53">
            <w:trPr>
              <w:trHeight w:val="296"/>
              <w:jc w:val="center"/>
            </w:trPr>
            <w:sdt>
              <w:sdtPr>
                <w:tag w:val="_PLD_e45c45262afc495e90b6033bd7a17ec4"/>
                <w:id w:val="1530064350"/>
                <w:lock w:val="sdtLocked"/>
              </w:sdtPr>
              <w:sdtEndPr/>
              <w:sdtContent>
                <w:tc>
                  <w:tcPr>
                    <w:tcW w:w="1071" w:type="pct"/>
                    <w:shd w:val="clear" w:color="auto" w:fill="auto"/>
                    <w:vAlign w:val="center"/>
                  </w:tcPr>
                  <w:p w14:paraId="49CA9E31" w14:textId="77777777" w:rsidR="00471D53" w:rsidRDefault="004F686E" w:rsidP="00471D53">
                    <w:pPr>
                      <w:autoSpaceDE w:val="0"/>
                      <w:autoSpaceDN w:val="0"/>
                      <w:adjustRightInd w:val="0"/>
                      <w:snapToGrid w:val="0"/>
                      <w:jc w:val="center"/>
                      <w:rPr>
                        <w:szCs w:val="21"/>
                        <w:u w:val="double"/>
                      </w:rPr>
                    </w:pPr>
                    <w:r>
                      <w:rPr>
                        <w:rFonts w:hint="eastAsia"/>
                        <w:szCs w:val="21"/>
                      </w:rPr>
                      <w:t>合计</w:t>
                    </w:r>
                  </w:p>
                </w:tc>
              </w:sdtContent>
            </w:sdt>
            <w:tc>
              <w:tcPr>
                <w:tcW w:w="870" w:type="pct"/>
                <w:shd w:val="clear" w:color="auto" w:fill="auto"/>
              </w:tcPr>
              <w:p w14:paraId="6C87AE5A" w14:textId="77777777" w:rsidR="00471D53" w:rsidRDefault="004F686E" w:rsidP="00471D53">
                <w:pPr>
                  <w:autoSpaceDE w:val="0"/>
                  <w:autoSpaceDN w:val="0"/>
                  <w:adjustRightInd w:val="0"/>
                  <w:snapToGrid w:val="0"/>
                  <w:jc w:val="right"/>
                  <w:rPr>
                    <w:szCs w:val="21"/>
                  </w:rPr>
                </w:pPr>
                <w:r>
                  <w:t>6,562,344.06</w:t>
                </w:r>
              </w:p>
            </w:tc>
            <w:tc>
              <w:tcPr>
                <w:tcW w:w="704" w:type="pct"/>
                <w:shd w:val="clear" w:color="auto" w:fill="auto"/>
              </w:tcPr>
              <w:p w14:paraId="2C3890F5" w14:textId="77777777" w:rsidR="00471D53" w:rsidRDefault="00B664AF" w:rsidP="00471D53">
                <w:pPr>
                  <w:autoSpaceDE w:val="0"/>
                  <w:autoSpaceDN w:val="0"/>
                  <w:adjustRightInd w:val="0"/>
                  <w:snapToGrid w:val="0"/>
                  <w:jc w:val="right"/>
                  <w:rPr>
                    <w:szCs w:val="21"/>
                  </w:rPr>
                </w:pPr>
              </w:p>
            </w:tc>
            <w:tc>
              <w:tcPr>
                <w:tcW w:w="395" w:type="pct"/>
                <w:shd w:val="clear" w:color="auto" w:fill="auto"/>
              </w:tcPr>
              <w:p w14:paraId="111DCDF7" w14:textId="77777777" w:rsidR="00471D53" w:rsidRDefault="00B664AF" w:rsidP="00471D53">
                <w:pPr>
                  <w:autoSpaceDE w:val="0"/>
                  <w:autoSpaceDN w:val="0"/>
                  <w:adjustRightInd w:val="0"/>
                  <w:snapToGrid w:val="0"/>
                  <w:jc w:val="right"/>
                  <w:rPr>
                    <w:szCs w:val="21"/>
                  </w:rPr>
                </w:pPr>
              </w:p>
            </w:tc>
            <w:tc>
              <w:tcPr>
                <w:tcW w:w="664" w:type="pct"/>
                <w:shd w:val="clear" w:color="auto" w:fill="auto"/>
              </w:tcPr>
              <w:p w14:paraId="3F7330BB" w14:textId="77777777" w:rsidR="00471D53" w:rsidRDefault="00B664AF" w:rsidP="00471D53">
                <w:pPr>
                  <w:autoSpaceDE w:val="0"/>
                  <w:autoSpaceDN w:val="0"/>
                  <w:adjustRightInd w:val="0"/>
                  <w:snapToGrid w:val="0"/>
                  <w:jc w:val="right"/>
                  <w:rPr>
                    <w:szCs w:val="21"/>
                  </w:rPr>
                </w:pPr>
              </w:p>
            </w:tc>
            <w:tc>
              <w:tcPr>
                <w:tcW w:w="429" w:type="pct"/>
                <w:shd w:val="clear" w:color="auto" w:fill="auto"/>
              </w:tcPr>
              <w:p w14:paraId="41215205" w14:textId="77777777" w:rsidR="00471D53" w:rsidRDefault="00B664AF" w:rsidP="00471D53">
                <w:pPr>
                  <w:autoSpaceDE w:val="0"/>
                  <w:autoSpaceDN w:val="0"/>
                  <w:adjustRightInd w:val="0"/>
                  <w:snapToGrid w:val="0"/>
                  <w:jc w:val="right"/>
                  <w:rPr>
                    <w:szCs w:val="21"/>
                  </w:rPr>
                </w:pPr>
              </w:p>
            </w:tc>
            <w:tc>
              <w:tcPr>
                <w:tcW w:w="867" w:type="pct"/>
                <w:shd w:val="clear" w:color="auto" w:fill="auto"/>
              </w:tcPr>
              <w:p w14:paraId="36546CB9" w14:textId="77777777" w:rsidR="00471D53" w:rsidRDefault="004F686E" w:rsidP="00471D53">
                <w:pPr>
                  <w:autoSpaceDE w:val="0"/>
                  <w:autoSpaceDN w:val="0"/>
                  <w:adjustRightInd w:val="0"/>
                  <w:snapToGrid w:val="0"/>
                  <w:jc w:val="right"/>
                  <w:rPr>
                    <w:szCs w:val="21"/>
                  </w:rPr>
                </w:pPr>
                <w:r w:rsidRPr="00A92FA2">
                  <w:rPr>
                    <w:szCs w:val="21"/>
                  </w:rPr>
                  <w:t>6,562,344.06</w:t>
                </w:r>
              </w:p>
            </w:tc>
          </w:tr>
        </w:tbl>
        <w:p w14:paraId="0D49E08E" w14:textId="77777777" w:rsidR="00471D53" w:rsidRPr="00A92FA2" w:rsidRDefault="00B664AF" w:rsidP="00471D53"/>
      </w:sdtContent>
    </w:sdt>
    <w:p w14:paraId="3F313737" w14:textId="77777777" w:rsidR="00471D53" w:rsidRDefault="00B664AF">
      <w:pPr>
        <w:rPr>
          <w:szCs w:val="21"/>
        </w:rPr>
      </w:pPr>
    </w:p>
    <w:sdt>
      <w:sdtPr>
        <w:rPr>
          <w:rFonts w:ascii="宋体" w:hAnsi="宋体" w:cs="宋体" w:hint="eastAsia"/>
          <w:b w:val="0"/>
          <w:bCs w:val="0"/>
          <w:kern w:val="0"/>
          <w:szCs w:val="24"/>
        </w:rPr>
        <w:alias w:val="模块:商誉减值准备"/>
        <w:tag w:val="_SEC_6fe538077d4746d4ba51a5610b4bd03b"/>
        <w:id w:val="973488669"/>
        <w:lock w:val="sdtLocked"/>
        <w:placeholder>
          <w:docPart w:val="GBC22222222222222222222222222222"/>
        </w:placeholder>
      </w:sdtPr>
      <w:sdtEndPr/>
      <w:sdtContent>
        <w:p w14:paraId="5E201657" w14:textId="77777777" w:rsidR="00471D53" w:rsidRDefault="004F686E" w:rsidP="004F686E">
          <w:pPr>
            <w:pStyle w:val="afffff8"/>
            <w:numPr>
              <w:ilvl w:val="0"/>
              <w:numId w:val="75"/>
            </w:numPr>
            <w:tabs>
              <w:tab w:val="left" w:pos="588"/>
            </w:tabs>
            <w:rPr>
              <w:rFonts w:ascii="宋体" w:hAnsi="宋体"/>
            </w:rPr>
          </w:pPr>
          <w:r>
            <w:rPr>
              <w:rFonts w:ascii="宋体" w:hAnsi="宋体" w:hint="eastAsia"/>
            </w:rPr>
            <w:t>商誉减值准备</w:t>
          </w:r>
        </w:p>
        <w:sdt>
          <w:sdtPr>
            <w:alias w:val="是否适用：商誉减值准备[双击切换]"/>
            <w:tag w:val="_GBC_743c9a20b5c043668f28664eb36decf8"/>
            <w:id w:val="-1849397944"/>
            <w:lock w:val="sdtLocked"/>
            <w:placeholder>
              <w:docPart w:val="GBC22222222222222222222222222222"/>
            </w:placeholder>
          </w:sdtPr>
          <w:sdtEndPr/>
          <w:sdtContent>
            <w:p w14:paraId="1005EDE3"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ADDB47D" w14:textId="7010C0FC" w:rsidR="00471D53" w:rsidRDefault="004F686E">
          <w:pPr>
            <w:jc w:val="right"/>
          </w:pPr>
          <w:r>
            <w:rPr>
              <w:rFonts w:hint="eastAsia"/>
            </w:rPr>
            <w:t>单位：</w:t>
          </w:r>
          <w:sdt>
            <w:sdtPr>
              <w:rPr>
                <w:rFonts w:hint="eastAsia"/>
              </w:rPr>
              <w:alias w:val="单位：财务附注：商誉减值准备"/>
              <w:tag w:val="_GBC_81f58baed09c46a3bf97830ea3adfd98"/>
              <w:id w:val="-9833872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商誉减值准备"/>
              <w:tag w:val="_GBC_67c9edd209fb4492bdb662edf79314f5"/>
              <w:id w:val="-6056543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1"/>
            <w:gridCol w:w="1476"/>
            <w:gridCol w:w="1019"/>
            <w:gridCol w:w="994"/>
            <w:gridCol w:w="1003"/>
            <w:gridCol w:w="1054"/>
            <w:gridCol w:w="1536"/>
          </w:tblGrid>
          <w:tr w:rsidR="00471D53" w14:paraId="4596E5BE" w14:textId="77777777" w:rsidTr="00471D53">
            <w:trPr>
              <w:trHeight w:val="255"/>
              <w:jc w:val="center"/>
            </w:trPr>
            <w:sdt>
              <w:sdtPr>
                <w:tag w:val="_PLD_d1a517071536478f9f7187c625e93763"/>
                <w:id w:val="1016271983"/>
                <w:lock w:val="sdtLocked"/>
              </w:sdtPr>
              <w:sdtEndPr/>
              <w:sdtContent>
                <w:tc>
                  <w:tcPr>
                    <w:tcW w:w="995" w:type="pct"/>
                    <w:vMerge w:val="restart"/>
                    <w:shd w:val="clear" w:color="auto" w:fill="auto"/>
                    <w:vAlign w:val="center"/>
                  </w:tcPr>
                  <w:p w14:paraId="72D4BF8E" w14:textId="77777777" w:rsidR="00471D53" w:rsidRDefault="004F686E" w:rsidP="00471D53">
                    <w:pPr>
                      <w:autoSpaceDE w:val="0"/>
                      <w:autoSpaceDN w:val="0"/>
                      <w:adjustRightInd w:val="0"/>
                      <w:snapToGrid w:val="0"/>
                      <w:jc w:val="center"/>
                      <w:rPr>
                        <w:szCs w:val="21"/>
                      </w:rPr>
                    </w:pPr>
                    <w:r>
                      <w:rPr>
                        <w:rFonts w:hint="eastAsia"/>
                        <w:szCs w:val="21"/>
                      </w:rPr>
                      <w:t>被投资单位名称或形成商誉的事项</w:t>
                    </w:r>
                  </w:p>
                </w:tc>
              </w:sdtContent>
            </w:sdt>
            <w:sdt>
              <w:sdtPr>
                <w:tag w:val="_PLD_a1ccc5eef6a041ffadb4dd09605c43f5"/>
                <w:id w:val="1110546648"/>
                <w:lock w:val="sdtLocked"/>
              </w:sdtPr>
              <w:sdtEndPr/>
              <w:sdtContent>
                <w:tc>
                  <w:tcPr>
                    <w:tcW w:w="816" w:type="pct"/>
                    <w:vMerge w:val="restart"/>
                    <w:shd w:val="clear" w:color="auto" w:fill="auto"/>
                    <w:vAlign w:val="center"/>
                  </w:tcPr>
                  <w:p w14:paraId="46E8F97E" w14:textId="77777777" w:rsidR="00471D53" w:rsidRDefault="004F686E" w:rsidP="00471D53">
                    <w:pPr>
                      <w:autoSpaceDE w:val="0"/>
                      <w:autoSpaceDN w:val="0"/>
                      <w:adjustRightInd w:val="0"/>
                      <w:snapToGrid w:val="0"/>
                      <w:jc w:val="center"/>
                      <w:rPr>
                        <w:szCs w:val="21"/>
                      </w:rPr>
                    </w:pPr>
                    <w:r>
                      <w:rPr>
                        <w:rFonts w:hint="eastAsia"/>
                        <w:szCs w:val="21"/>
                      </w:rPr>
                      <w:t>期初余额</w:t>
                    </w:r>
                  </w:p>
                </w:tc>
              </w:sdtContent>
            </w:sdt>
            <w:sdt>
              <w:sdtPr>
                <w:tag w:val="_PLD_3dc4c2fbed8640a6acf5f19dd5073967"/>
                <w:id w:val="-193081215"/>
                <w:lock w:val="sdtLocked"/>
              </w:sdtPr>
              <w:sdtEndPr/>
              <w:sdtContent>
                <w:tc>
                  <w:tcPr>
                    <w:tcW w:w="1158" w:type="pct"/>
                    <w:gridSpan w:val="2"/>
                    <w:shd w:val="clear" w:color="auto" w:fill="auto"/>
                    <w:vAlign w:val="center"/>
                  </w:tcPr>
                  <w:p w14:paraId="303C7E2F" w14:textId="77777777" w:rsidR="00471D53" w:rsidRDefault="004F686E" w:rsidP="00471D53">
                    <w:pPr>
                      <w:autoSpaceDE w:val="0"/>
                      <w:autoSpaceDN w:val="0"/>
                      <w:adjustRightInd w:val="0"/>
                      <w:snapToGrid w:val="0"/>
                      <w:jc w:val="center"/>
                      <w:rPr>
                        <w:szCs w:val="21"/>
                      </w:rPr>
                    </w:pPr>
                    <w:r>
                      <w:rPr>
                        <w:rFonts w:hint="eastAsia"/>
                        <w:szCs w:val="21"/>
                      </w:rPr>
                      <w:t>本期增加</w:t>
                    </w:r>
                  </w:p>
                </w:tc>
              </w:sdtContent>
            </w:sdt>
            <w:sdt>
              <w:sdtPr>
                <w:tag w:val="_PLD_36789e440c5d4e70969760ec1adf11d6"/>
                <w:id w:val="1498456742"/>
                <w:lock w:val="sdtLocked"/>
              </w:sdtPr>
              <w:sdtEndPr/>
              <w:sdtContent>
                <w:tc>
                  <w:tcPr>
                    <w:tcW w:w="1183" w:type="pct"/>
                    <w:gridSpan w:val="2"/>
                    <w:shd w:val="clear" w:color="auto" w:fill="auto"/>
                    <w:vAlign w:val="center"/>
                  </w:tcPr>
                  <w:p w14:paraId="212D24B5" w14:textId="77777777" w:rsidR="00471D53" w:rsidRDefault="004F686E" w:rsidP="00471D53">
                    <w:pPr>
                      <w:autoSpaceDE w:val="0"/>
                      <w:autoSpaceDN w:val="0"/>
                      <w:adjustRightInd w:val="0"/>
                      <w:snapToGrid w:val="0"/>
                      <w:jc w:val="center"/>
                      <w:rPr>
                        <w:szCs w:val="21"/>
                      </w:rPr>
                    </w:pPr>
                    <w:r>
                      <w:rPr>
                        <w:rFonts w:hint="eastAsia"/>
                        <w:szCs w:val="21"/>
                      </w:rPr>
                      <w:t>本期减少</w:t>
                    </w:r>
                  </w:p>
                </w:tc>
              </w:sdtContent>
            </w:sdt>
            <w:sdt>
              <w:sdtPr>
                <w:tag w:val="_PLD_b4bf3be5aa6c45bea85b5ae1c027be47"/>
                <w:id w:val="654107969"/>
                <w:lock w:val="sdtLocked"/>
              </w:sdtPr>
              <w:sdtEndPr/>
              <w:sdtContent>
                <w:tc>
                  <w:tcPr>
                    <w:tcW w:w="849" w:type="pct"/>
                    <w:vMerge w:val="restart"/>
                    <w:shd w:val="clear" w:color="auto" w:fill="auto"/>
                    <w:vAlign w:val="center"/>
                  </w:tcPr>
                  <w:p w14:paraId="62AF50B4" w14:textId="77777777" w:rsidR="00471D53" w:rsidRDefault="004F686E" w:rsidP="00471D53">
                    <w:pPr>
                      <w:autoSpaceDE w:val="0"/>
                      <w:autoSpaceDN w:val="0"/>
                      <w:adjustRightInd w:val="0"/>
                      <w:snapToGrid w:val="0"/>
                      <w:jc w:val="center"/>
                      <w:rPr>
                        <w:szCs w:val="21"/>
                      </w:rPr>
                    </w:pPr>
                    <w:r>
                      <w:rPr>
                        <w:rFonts w:hint="eastAsia"/>
                        <w:szCs w:val="21"/>
                      </w:rPr>
                      <w:t>期末余额</w:t>
                    </w:r>
                  </w:p>
                </w:tc>
              </w:sdtContent>
            </w:sdt>
          </w:tr>
          <w:tr w:rsidR="00471D53" w14:paraId="4DC3B512" w14:textId="77777777" w:rsidTr="00471D53">
            <w:trPr>
              <w:trHeight w:val="296"/>
              <w:jc w:val="center"/>
            </w:trPr>
            <w:tc>
              <w:tcPr>
                <w:tcW w:w="995" w:type="pct"/>
                <w:vMerge/>
                <w:shd w:val="clear" w:color="auto" w:fill="auto"/>
              </w:tcPr>
              <w:p w14:paraId="48F88F7A" w14:textId="77777777" w:rsidR="00471D53" w:rsidRDefault="00B664AF" w:rsidP="00471D53">
                <w:pPr>
                  <w:autoSpaceDE w:val="0"/>
                  <w:autoSpaceDN w:val="0"/>
                  <w:adjustRightInd w:val="0"/>
                  <w:snapToGrid w:val="0"/>
                  <w:rPr>
                    <w:szCs w:val="21"/>
                  </w:rPr>
                </w:pPr>
              </w:p>
            </w:tc>
            <w:tc>
              <w:tcPr>
                <w:tcW w:w="816" w:type="pct"/>
                <w:vMerge/>
                <w:shd w:val="clear" w:color="auto" w:fill="auto"/>
                <w:vAlign w:val="center"/>
              </w:tcPr>
              <w:p w14:paraId="02A51E61" w14:textId="77777777" w:rsidR="00471D53" w:rsidRDefault="00B664AF" w:rsidP="00471D53">
                <w:pPr>
                  <w:autoSpaceDE w:val="0"/>
                  <w:autoSpaceDN w:val="0"/>
                  <w:adjustRightInd w:val="0"/>
                  <w:snapToGrid w:val="0"/>
                  <w:jc w:val="right"/>
                  <w:rPr>
                    <w:szCs w:val="21"/>
                  </w:rPr>
                </w:pPr>
              </w:p>
            </w:tc>
            <w:sdt>
              <w:sdtPr>
                <w:tag w:val="_PLD_fe6ebe6f95b64eeabc2aef23beee858c"/>
                <w:id w:val="1766105545"/>
                <w:lock w:val="sdtLocked"/>
              </w:sdtPr>
              <w:sdtEndPr/>
              <w:sdtContent>
                <w:tc>
                  <w:tcPr>
                    <w:tcW w:w="586" w:type="pct"/>
                    <w:shd w:val="clear" w:color="auto" w:fill="auto"/>
                    <w:vAlign w:val="center"/>
                  </w:tcPr>
                  <w:p w14:paraId="138B27AA" w14:textId="77777777" w:rsidR="00471D53" w:rsidRDefault="004F686E" w:rsidP="00471D53">
                    <w:pPr>
                      <w:autoSpaceDE w:val="0"/>
                      <w:autoSpaceDN w:val="0"/>
                      <w:adjustRightInd w:val="0"/>
                      <w:snapToGrid w:val="0"/>
                      <w:jc w:val="center"/>
                      <w:rPr>
                        <w:szCs w:val="21"/>
                      </w:rPr>
                    </w:pPr>
                    <w:r>
                      <w:rPr>
                        <w:rFonts w:hint="eastAsia"/>
                        <w:szCs w:val="21"/>
                      </w:rPr>
                      <w:t>计提</w:t>
                    </w:r>
                  </w:p>
                </w:tc>
              </w:sdtContent>
            </w:sdt>
            <w:sdt>
              <w:sdtPr>
                <w:rPr>
                  <w:szCs w:val="21"/>
                </w:rPr>
                <w:alias w:val="商誉减值准备本期增加额项目名称"/>
                <w:tag w:val="_GBC_65d86954675d4b4f82e4fbc3d21ace02"/>
                <w:id w:val="-289973190"/>
                <w:lock w:val="sdtLocked"/>
                <w:showingPlcHdr/>
              </w:sdtPr>
              <w:sdtEndPr>
                <w:rPr>
                  <w:rFonts w:hint="eastAsia"/>
                </w:rPr>
              </w:sdtEndPr>
              <w:sdtContent>
                <w:tc>
                  <w:tcPr>
                    <w:tcW w:w="572" w:type="pct"/>
                    <w:shd w:val="clear" w:color="auto" w:fill="auto"/>
                    <w:vAlign w:val="center"/>
                  </w:tcPr>
                  <w:p w14:paraId="78F806DA" w14:textId="77777777" w:rsidR="00471D53" w:rsidRDefault="004F686E" w:rsidP="00471D53">
                    <w:pPr>
                      <w:autoSpaceDE w:val="0"/>
                      <w:autoSpaceDN w:val="0"/>
                      <w:adjustRightInd w:val="0"/>
                      <w:snapToGrid w:val="0"/>
                      <w:jc w:val="center"/>
                      <w:rPr>
                        <w:szCs w:val="21"/>
                      </w:rPr>
                    </w:pPr>
                    <w:r>
                      <w:rPr>
                        <w:rFonts w:hint="eastAsia"/>
                        <w:szCs w:val="21"/>
                      </w:rPr>
                      <w:t xml:space="preserve">　</w:t>
                    </w:r>
                  </w:p>
                </w:tc>
              </w:sdtContent>
            </w:sdt>
            <w:sdt>
              <w:sdtPr>
                <w:tag w:val="_PLD_aaaa2d8a1fae404e9bab86b79225c7e3"/>
                <w:id w:val="2133281692"/>
                <w:lock w:val="sdtLocked"/>
              </w:sdtPr>
              <w:sdtEndPr/>
              <w:sdtContent>
                <w:tc>
                  <w:tcPr>
                    <w:tcW w:w="577" w:type="pct"/>
                    <w:shd w:val="clear" w:color="auto" w:fill="auto"/>
                    <w:vAlign w:val="center"/>
                  </w:tcPr>
                  <w:p w14:paraId="2BECEC98" w14:textId="77777777" w:rsidR="00471D53" w:rsidRDefault="004F686E" w:rsidP="00471D53">
                    <w:pPr>
                      <w:autoSpaceDE w:val="0"/>
                      <w:autoSpaceDN w:val="0"/>
                      <w:adjustRightInd w:val="0"/>
                      <w:snapToGrid w:val="0"/>
                      <w:jc w:val="center"/>
                      <w:rPr>
                        <w:szCs w:val="21"/>
                      </w:rPr>
                    </w:pPr>
                    <w:r>
                      <w:rPr>
                        <w:rFonts w:hint="eastAsia"/>
                        <w:szCs w:val="21"/>
                      </w:rPr>
                      <w:t>处置</w:t>
                    </w:r>
                  </w:p>
                </w:tc>
              </w:sdtContent>
            </w:sdt>
            <w:sdt>
              <w:sdtPr>
                <w:rPr>
                  <w:szCs w:val="21"/>
                </w:rPr>
                <w:alias w:val="商誉减值准备本期减少额项目名称"/>
                <w:tag w:val="_GBC_aa48e25b6e1f4be9b1276fe009dabf0e"/>
                <w:id w:val="-348486537"/>
                <w:lock w:val="sdtLocked"/>
                <w:showingPlcHdr/>
              </w:sdtPr>
              <w:sdtEndPr>
                <w:rPr>
                  <w:rFonts w:hint="eastAsia"/>
                </w:rPr>
              </w:sdtEndPr>
              <w:sdtContent>
                <w:tc>
                  <w:tcPr>
                    <w:tcW w:w="606" w:type="pct"/>
                    <w:shd w:val="clear" w:color="auto" w:fill="auto"/>
                    <w:vAlign w:val="center"/>
                  </w:tcPr>
                  <w:p w14:paraId="5E3F06CD" w14:textId="77777777" w:rsidR="00471D53" w:rsidRDefault="004F686E" w:rsidP="00471D53">
                    <w:pPr>
                      <w:autoSpaceDE w:val="0"/>
                      <w:autoSpaceDN w:val="0"/>
                      <w:adjustRightInd w:val="0"/>
                      <w:snapToGrid w:val="0"/>
                      <w:jc w:val="center"/>
                      <w:rPr>
                        <w:szCs w:val="21"/>
                      </w:rPr>
                    </w:pPr>
                    <w:r>
                      <w:rPr>
                        <w:rFonts w:hint="eastAsia"/>
                        <w:szCs w:val="21"/>
                      </w:rPr>
                      <w:t xml:space="preserve">　</w:t>
                    </w:r>
                  </w:p>
                </w:tc>
              </w:sdtContent>
            </w:sdt>
            <w:tc>
              <w:tcPr>
                <w:tcW w:w="849" w:type="pct"/>
                <w:vMerge/>
                <w:shd w:val="clear" w:color="auto" w:fill="auto"/>
              </w:tcPr>
              <w:p w14:paraId="6264BD6C" w14:textId="77777777" w:rsidR="00471D53" w:rsidRDefault="00B664AF" w:rsidP="00471D53">
                <w:pPr>
                  <w:autoSpaceDE w:val="0"/>
                  <w:autoSpaceDN w:val="0"/>
                  <w:adjustRightInd w:val="0"/>
                  <w:snapToGrid w:val="0"/>
                  <w:jc w:val="center"/>
                  <w:rPr>
                    <w:szCs w:val="21"/>
                  </w:rPr>
                </w:pPr>
              </w:p>
            </w:tc>
          </w:tr>
          <w:sdt>
            <w:sdtPr>
              <w:rPr>
                <w:szCs w:val="21"/>
              </w:rPr>
              <w:alias w:val="商誉减值准备明细"/>
              <w:tag w:val="_GBC_98340a952ec045d0bd3e053903c6a9f6"/>
              <w:id w:val="797579328"/>
            </w:sdtPr>
            <w:sdtEndPr>
              <w:rPr>
                <w:rFonts w:hint="eastAsia"/>
              </w:rPr>
            </w:sdtEndPr>
            <w:sdtContent>
              <w:tr w:rsidR="00471D53" w14:paraId="6A0F6C61" w14:textId="77777777" w:rsidTr="00471D53">
                <w:trPr>
                  <w:trHeight w:val="323"/>
                  <w:jc w:val="center"/>
                </w:trPr>
                <w:tc>
                  <w:tcPr>
                    <w:tcW w:w="995" w:type="pct"/>
                    <w:shd w:val="clear" w:color="auto" w:fill="auto"/>
                  </w:tcPr>
                  <w:p w14:paraId="68064F66" w14:textId="77777777" w:rsidR="00471D53" w:rsidRDefault="004F686E" w:rsidP="00471D53">
                    <w:pPr>
                      <w:autoSpaceDE w:val="0"/>
                      <w:autoSpaceDN w:val="0"/>
                      <w:adjustRightInd w:val="0"/>
                      <w:snapToGrid w:val="0"/>
                      <w:rPr>
                        <w:szCs w:val="21"/>
                      </w:rPr>
                    </w:pPr>
                    <w:r>
                      <w:t>天海美洲公司</w:t>
                    </w:r>
                  </w:p>
                </w:tc>
                <w:tc>
                  <w:tcPr>
                    <w:tcW w:w="816" w:type="pct"/>
                    <w:shd w:val="clear" w:color="auto" w:fill="auto"/>
                  </w:tcPr>
                  <w:p w14:paraId="5520F06B" w14:textId="77777777" w:rsidR="00471D53" w:rsidRDefault="004F686E" w:rsidP="00471D53">
                    <w:pPr>
                      <w:autoSpaceDE w:val="0"/>
                      <w:autoSpaceDN w:val="0"/>
                      <w:adjustRightInd w:val="0"/>
                      <w:snapToGrid w:val="0"/>
                      <w:jc w:val="right"/>
                      <w:rPr>
                        <w:szCs w:val="21"/>
                      </w:rPr>
                    </w:pPr>
                    <w:r>
                      <w:t>6,562,344.06</w:t>
                    </w:r>
                  </w:p>
                </w:tc>
                <w:tc>
                  <w:tcPr>
                    <w:tcW w:w="586" w:type="pct"/>
                    <w:shd w:val="clear" w:color="auto" w:fill="auto"/>
                  </w:tcPr>
                  <w:p w14:paraId="6BB41614" w14:textId="77777777" w:rsidR="00471D53" w:rsidRDefault="00B664AF" w:rsidP="00471D53">
                    <w:pPr>
                      <w:autoSpaceDE w:val="0"/>
                      <w:autoSpaceDN w:val="0"/>
                      <w:adjustRightInd w:val="0"/>
                      <w:snapToGrid w:val="0"/>
                      <w:jc w:val="right"/>
                      <w:rPr>
                        <w:szCs w:val="21"/>
                      </w:rPr>
                    </w:pPr>
                  </w:p>
                </w:tc>
                <w:tc>
                  <w:tcPr>
                    <w:tcW w:w="572" w:type="pct"/>
                    <w:shd w:val="clear" w:color="auto" w:fill="auto"/>
                  </w:tcPr>
                  <w:p w14:paraId="76BFFBF7" w14:textId="77777777" w:rsidR="00471D53" w:rsidRDefault="00B664AF" w:rsidP="00471D53">
                    <w:pPr>
                      <w:autoSpaceDE w:val="0"/>
                      <w:autoSpaceDN w:val="0"/>
                      <w:adjustRightInd w:val="0"/>
                      <w:snapToGrid w:val="0"/>
                      <w:jc w:val="right"/>
                      <w:rPr>
                        <w:szCs w:val="21"/>
                      </w:rPr>
                    </w:pPr>
                  </w:p>
                </w:tc>
                <w:tc>
                  <w:tcPr>
                    <w:tcW w:w="577" w:type="pct"/>
                    <w:shd w:val="clear" w:color="auto" w:fill="auto"/>
                  </w:tcPr>
                  <w:p w14:paraId="3E3238ED" w14:textId="77777777" w:rsidR="00471D53" w:rsidRDefault="00B664AF" w:rsidP="00471D53">
                    <w:pPr>
                      <w:autoSpaceDE w:val="0"/>
                      <w:autoSpaceDN w:val="0"/>
                      <w:adjustRightInd w:val="0"/>
                      <w:snapToGrid w:val="0"/>
                      <w:jc w:val="right"/>
                      <w:rPr>
                        <w:szCs w:val="21"/>
                      </w:rPr>
                    </w:pPr>
                  </w:p>
                </w:tc>
                <w:tc>
                  <w:tcPr>
                    <w:tcW w:w="606" w:type="pct"/>
                    <w:shd w:val="clear" w:color="auto" w:fill="auto"/>
                  </w:tcPr>
                  <w:p w14:paraId="27BEC23A" w14:textId="77777777" w:rsidR="00471D53" w:rsidRDefault="00B664AF" w:rsidP="00471D53">
                    <w:pPr>
                      <w:autoSpaceDE w:val="0"/>
                      <w:autoSpaceDN w:val="0"/>
                      <w:adjustRightInd w:val="0"/>
                      <w:snapToGrid w:val="0"/>
                      <w:jc w:val="right"/>
                      <w:rPr>
                        <w:szCs w:val="21"/>
                      </w:rPr>
                    </w:pPr>
                  </w:p>
                </w:tc>
                <w:tc>
                  <w:tcPr>
                    <w:tcW w:w="849" w:type="pct"/>
                    <w:shd w:val="clear" w:color="auto" w:fill="auto"/>
                  </w:tcPr>
                  <w:p w14:paraId="5C2DF4A6" w14:textId="77777777" w:rsidR="00471D53" w:rsidRDefault="004F686E" w:rsidP="00471D53">
                    <w:pPr>
                      <w:autoSpaceDE w:val="0"/>
                      <w:autoSpaceDN w:val="0"/>
                      <w:adjustRightInd w:val="0"/>
                      <w:snapToGrid w:val="0"/>
                      <w:jc w:val="right"/>
                      <w:rPr>
                        <w:szCs w:val="21"/>
                      </w:rPr>
                    </w:pPr>
                    <w:r>
                      <w:rPr>
                        <w:bCs/>
                        <w:sz w:val="22"/>
                        <w:szCs w:val="22"/>
                      </w:rPr>
                      <w:t>6,562,344.06</w:t>
                    </w:r>
                  </w:p>
                </w:tc>
              </w:tr>
            </w:sdtContent>
          </w:sdt>
          <w:tr w:rsidR="00471D53" w:rsidRPr="00A92FA2" w14:paraId="27EFB343" w14:textId="77777777" w:rsidTr="00471D53">
            <w:trPr>
              <w:trHeight w:val="282"/>
              <w:jc w:val="center"/>
            </w:trPr>
            <w:sdt>
              <w:sdtPr>
                <w:tag w:val="_PLD_8723cba7d5f5468da42c45507923f6de"/>
                <w:id w:val="-1908298076"/>
                <w:lock w:val="sdtLocked"/>
              </w:sdtPr>
              <w:sdtEndPr/>
              <w:sdtContent>
                <w:tc>
                  <w:tcPr>
                    <w:tcW w:w="995" w:type="pct"/>
                    <w:shd w:val="clear" w:color="auto" w:fill="auto"/>
                    <w:vAlign w:val="center"/>
                  </w:tcPr>
                  <w:p w14:paraId="312980ED" w14:textId="77777777" w:rsidR="00471D53" w:rsidRDefault="004F686E" w:rsidP="00471D53">
                    <w:pPr>
                      <w:autoSpaceDE w:val="0"/>
                      <w:autoSpaceDN w:val="0"/>
                      <w:adjustRightInd w:val="0"/>
                      <w:snapToGrid w:val="0"/>
                      <w:jc w:val="center"/>
                      <w:rPr>
                        <w:szCs w:val="21"/>
                        <w:u w:val="double"/>
                      </w:rPr>
                    </w:pPr>
                    <w:r>
                      <w:rPr>
                        <w:rFonts w:hint="eastAsia"/>
                        <w:szCs w:val="21"/>
                      </w:rPr>
                      <w:t>合计</w:t>
                    </w:r>
                  </w:p>
                </w:tc>
              </w:sdtContent>
            </w:sdt>
            <w:tc>
              <w:tcPr>
                <w:tcW w:w="816" w:type="pct"/>
                <w:shd w:val="clear" w:color="auto" w:fill="auto"/>
              </w:tcPr>
              <w:p w14:paraId="45BD3769" w14:textId="77777777" w:rsidR="00471D53" w:rsidRDefault="004F686E" w:rsidP="00471D53">
                <w:pPr>
                  <w:autoSpaceDE w:val="0"/>
                  <w:autoSpaceDN w:val="0"/>
                  <w:adjustRightInd w:val="0"/>
                  <w:snapToGrid w:val="0"/>
                  <w:jc w:val="right"/>
                  <w:rPr>
                    <w:szCs w:val="21"/>
                  </w:rPr>
                </w:pPr>
                <w:r>
                  <w:t>6,562,344.06</w:t>
                </w:r>
              </w:p>
            </w:tc>
            <w:tc>
              <w:tcPr>
                <w:tcW w:w="586" w:type="pct"/>
                <w:shd w:val="clear" w:color="auto" w:fill="auto"/>
              </w:tcPr>
              <w:p w14:paraId="07038034" w14:textId="77777777" w:rsidR="00471D53" w:rsidRDefault="00B664AF" w:rsidP="00471D53">
                <w:pPr>
                  <w:autoSpaceDE w:val="0"/>
                  <w:autoSpaceDN w:val="0"/>
                  <w:adjustRightInd w:val="0"/>
                  <w:snapToGrid w:val="0"/>
                  <w:jc w:val="right"/>
                  <w:rPr>
                    <w:szCs w:val="21"/>
                  </w:rPr>
                </w:pPr>
              </w:p>
            </w:tc>
            <w:tc>
              <w:tcPr>
                <w:tcW w:w="572" w:type="pct"/>
                <w:shd w:val="clear" w:color="auto" w:fill="auto"/>
              </w:tcPr>
              <w:p w14:paraId="2C5A0230" w14:textId="77777777" w:rsidR="00471D53" w:rsidRDefault="00B664AF" w:rsidP="00471D53">
                <w:pPr>
                  <w:autoSpaceDE w:val="0"/>
                  <w:autoSpaceDN w:val="0"/>
                  <w:adjustRightInd w:val="0"/>
                  <w:snapToGrid w:val="0"/>
                  <w:jc w:val="right"/>
                  <w:rPr>
                    <w:szCs w:val="21"/>
                  </w:rPr>
                </w:pPr>
              </w:p>
            </w:tc>
            <w:tc>
              <w:tcPr>
                <w:tcW w:w="577" w:type="pct"/>
                <w:shd w:val="clear" w:color="auto" w:fill="auto"/>
              </w:tcPr>
              <w:p w14:paraId="1412C73A" w14:textId="77777777" w:rsidR="00471D53" w:rsidRDefault="00B664AF" w:rsidP="00471D53">
                <w:pPr>
                  <w:autoSpaceDE w:val="0"/>
                  <w:autoSpaceDN w:val="0"/>
                  <w:adjustRightInd w:val="0"/>
                  <w:snapToGrid w:val="0"/>
                  <w:jc w:val="right"/>
                  <w:rPr>
                    <w:szCs w:val="21"/>
                  </w:rPr>
                </w:pPr>
              </w:p>
            </w:tc>
            <w:tc>
              <w:tcPr>
                <w:tcW w:w="606" w:type="pct"/>
                <w:shd w:val="clear" w:color="auto" w:fill="auto"/>
              </w:tcPr>
              <w:p w14:paraId="2F71C31B" w14:textId="77777777" w:rsidR="00471D53" w:rsidRDefault="00B664AF" w:rsidP="00471D53">
                <w:pPr>
                  <w:autoSpaceDE w:val="0"/>
                  <w:autoSpaceDN w:val="0"/>
                  <w:adjustRightInd w:val="0"/>
                  <w:snapToGrid w:val="0"/>
                  <w:jc w:val="right"/>
                  <w:rPr>
                    <w:szCs w:val="21"/>
                  </w:rPr>
                </w:pPr>
              </w:p>
            </w:tc>
            <w:tc>
              <w:tcPr>
                <w:tcW w:w="849" w:type="pct"/>
                <w:shd w:val="clear" w:color="auto" w:fill="auto"/>
              </w:tcPr>
              <w:p w14:paraId="3A569DC7" w14:textId="77777777" w:rsidR="00471D53" w:rsidRDefault="004F686E" w:rsidP="00471D53">
                <w:pPr>
                  <w:autoSpaceDE w:val="0"/>
                  <w:autoSpaceDN w:val="0"/>
                  <w:adjustRightInd w:val="0"/>
                  <w:snapToGrid w:val="0"/>
                  <w:jc w:val="right"/>
                  <w:rPr>
                    <w:szCs w:val="21"/>
                  </w:rPr>
                </w:pPr>
                <w:r>
                  <w:rPr>
                    <w:bCs/>
                    <w:sz w:val="22"/>
                    <w:szCs w:val="22"/>
                  </w:rPr>
                  <w:t>6,562,344.06</w:t>
                </w:r>
              </w:p>
            </w:tc>
          </w:tr>
        </w:tbl>
        <w:p w14:paraId="31BCCE42" w14:textId="77777777" w:rsidR="00471D53" w:rsidRPr="00A92FA2" w:rsidRDefault="00B664AF" w:rsidP="00471D53"/>
      </w:sdtContent>
    </w:sdt>
    <w:p w14:paraId="6C72D53A" w14:textId="77777777" w:rsidR="00471D53" w:rsidRDefault="00B664AF"/>
    <w:bookmarkStart w:id="177" w:name="_Hlk10535081" w:displacedByCustomXml="next"/>
    <w:bookmarkStart w:id="178" w:name="_Hlk10535094" w:displacedByCustomXml="next"/>
    <w:sdt>
      <w:sdtPr>
        <w:rPr>
          <w:rFonts w:ascii="宋体" w:hAnsi="宋体" w:cs="宋体" w:hint="eastAsia"/>
          <w:b w:val="0"/>
          <w:bCs w:val="0"/>
          <w:kern w:val="0"/>
          <w:szCs w:val="24"/>
        </w:rPr>
        <w:alias w:val="模块:商誉所在资产组或资产组组合的相关信息"/>
        <w:tag w:val="_SEC_d66ac36383ac40138e90a678094ff1a4"/>
        <w:id w:val="589814009"/>
        <w:lock w:val="sdtLocked"/>
        <w:placeholder>
          <w:docPart w:val="GBC22222222222222222222222222222"/>
        </w:placeholder>
      </w:sdtPr>
      <w:sdtEndPr>
        <w:rPr>
          <w:rFonts w:hint="default"/>
        </w:rPr>
      </w:sdtEndPr>
      <w:sdtContent>
        <w:p w14:paraId="0C6B14F9" w14:textId="77777777" w:rsidR="00471D53" w:rsidRDefault="004F686E" w:rsidP="004F686E">
          <w:pPr>
            <w:pStyle w:val="afffff8"/>
            <w:numPr>
              <w:ilvl w:val="0"/>
              <w:numId w:val="75"/>
            </w:numPr>
            <w:tabs>
              <w:tab w:val="left" w:pos="588"/>
            </w:tabs>
            <w:rPr>
              <w:rFonts w:ascii="宋体" w:hAnsi="宋体"/>
            </w:rPr>
          </w:pPr>
          <w:r>
            <w:rPr>
              <w:rFonts w:ascii="宋体" w:hAnsi="宋体" w:hint="eastAsia"/>
            </w:rPr>
            <w:t>商誉所在资产组或资产组组合的相关信息</w:t>
          </w:r>
          <w:bookmarkEnd w:id="177"/>
        </w:p>
        <w:sdt>
          <w:sdtPr>
            <w:alias w:val="是否适用：商誉所在资产组或资产组组合的相关信息[双击切换]"/>
            <w:tag w:val="_GBC_a40a76b7512a45b79930a13f56d19c6d"/>
            <w:id w:val="-1444378215"/>
            <w:lock w:val="sdtLocked"/>
            <w:placeholder>
              <w:docPart w:val="GBC22222222222222222222222222222"/>
            </w:placeholder>
          </w:sdtPr>
          <w:sdtEndPr/>
          <w:sdtContent>
            <w:p w14:paraId="03105486"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5C31456" w14:textId="77777777" w:rsidR="00471D53" w:rsidRDefault="00B664AF"/>
      </w:sdtContent>
    </w:sdt>
    <w:bookmarkEnd w:id="178" w:displacedByCustomXml="prev"/>
    <w:sdt>
      <w:sdtPr>
        <w:rPr>
          <w:rFonts w:ascii="宋体" w:hAnsi="宋体" w:cs="宋体" w:hint="eastAsia"/>
          <w:b w:val="0"/>
          <w:bCs w:val="0"/>
          <w:kern w:val="0"/>
          <w:szCs w:val="24"/>
        </w:rPr>
        <w:alias w:val="模块:说明商誉减值测试过程、关键参数（例如预计未来现金流量现值时的..."/>
        <w:tag w:val="_SEC_6b753aafd7bf484f982e228cd4c0dde3"/>
        <w:id w:val="1077935166"/>
        <w:lock w:val="sdtLocked"/>
        <w:placeholder>
          <w:docPart w:val="GBC22222222222222222222222222222"/>
        </w:placeholder>
      </w:sdtPr>
      <w:sdtEndPr>
        <w:rPr>
          <w:rFonts w:hint="default"/>
          <w:szCs w:val="21"/>
        </w:rPr>
      </w:sdtEndPr>
      <w:sdtContent>
        <w:p w14:paraId="2E6FF0AD" w14:textId="77777777" w:rsidR="00471D53" w:rsidRDefault="004F686E" w:rsidP="004F686E">
          <w:pPr>
            <w:pStyle w:val="afffff8"/>
            <w:numPr>
              <w:ilvl w:val="0"/>
              <w:numId w:val="75"/>
            </w:numPr>
            <w:tabs>
              <w:tab w:val="left" w:pos="588"/>
            </w:tabs>
            <w:ind w:left="567" w:hanging="567"/>
            <w:rPr>
              <w:rFonts w:ascii="宋体" w:hAnsi="宋体"/>
            </w:rPr>
          </w:pPr>
          <w:r>
            <w:rPr>
              <w:rFonts w:ascii="宋体" w:hAnsi="宋体" w:hint="eastAsia"/>
            </w:rPr>
            <w:t>说明商誉减值测试过程、关键参数（例如预计未来现金流量现值时的预测期增长率、稳定期增长率、利润率、折现率、预测期等，如适用）及商誉减值损失的确认方法</w:t>
          </w:r>
        </w:p>
        <w:sdt>
          <w:sdtPr>
            <w:alias w:val="是否适用：说明商誉减值测试过程、参数及商誉减值损失的确认方法[双击切换]"/>
            <w:tag w:val="_GBC_3e5dd9e04d73479f9a70e665366f9d11"/>
            <w:id w:val="1032078024"/>
            <w:lock w:val="sdtLocked"/>
            <w:placeholder>
              <w:docPart w:val="GBC22222222222222222222222222222"/>
            </w:placeholder>
          </w:sdtPr>
          <w:sdtEndPr/>
          <w:sdtContent>
            <w:p w14:paraId="1770E6A8" w14:textId="77777777" w:rsidR="00471D53" w:rsidRDefault="004F686E" w:rsidP="00471D53">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5C4367B4" w14:textId="77777777" w:rsidR="00471D53" w:rsidRDefault="00B664AF">
      <w:pPr>
        <w:rPr>
          <w:szCs w:val="21"/>
        </w:rPr>
      </w:pPr>
    </w:p>
    <w:bookmarkStart w:id="179" w:name="_Hlk10535249" w:displacedByCustomXml="next"/>
    <w:bookmarkStart w:id="180" w:name="_Hlk10535258" w:displacedByCustomXml="next"/>
    <w:sdt>
      <w:sdtPr>
        <w:rPr>
          <w:rFonts w:ascii="宋体" w:hAnsi="宋体" w:cs="宋体" w:hint="eastAsia"/>
          <w:b w:val="0"/>
          <w:bCs w:val="0"/>
          <w:kern w:val="0"/>
          <w:szCs w:val="21"/>
        </w:rPr>
        <w:alias w:val="模块:商誉减值测试的影响"/>
        <w:tag w:val="_SEC_fd017e302f8c4189978aac3dc8581f09"/>
        <w:id w:val="-387651233"/>
        <w:lock w:val="sdtLocked"/>
        <w:placeholder>
          <w:docPart w:val="GBC22222222222222222222222222222"/>
        </w:placeholder>
      </w:sdtPr>
      <w:sdtEndPr>
        <w:rPr>
          <w:rFonts w:hint="default"/>
        </w:rPr>
      </w:sdtEndPr>
      <w:sdtContent>
        <w:p w14:paraId="20EE522A" w14:textId="77777777" w:rsidR="00471D53" w:rsidRDefault="004F686E" w:rsidP="004F686E">
          <w:pPr>
            <w:pStyle w:val="afffff8"/>
            <w:numPr>
              <w:ilvl w:val="0"/>
              <w:numId w:val="75"/>
            </w:numPr>
            <w:tabs>
              <w:tab w:val="left" w:pos="588"/>
            </w:tabs>
            <w:ind w:left="567" w:hanging="567"/>
            <w:rPr>
              <w:rFonts w:ascii="宋体" w:hAnsi="宋体"/>
              <w:szCs w:val="21"/>
            </w:rPr>
          </w:pPr>
          <w:r>
            <w:rPr>
              <w:rFonts w:ascii="宋体" w:hAnsi="宋体" w:hint="eastAsia"/>
              <w:szCs w:val="21"/>
            </w:rPr>
            <w:t>商誉减值测试的影响</w:t>
          </w:r>
          <w:bookmarkEnd w:id="179"/>
        </w:p>
        <w:sdt>
          <w:sdtPr>
            <w:rPr>
              <w:szCs w:val="21"/>
            </w:rPr>
            <w:alias w:val="是否适用：商誉减值测试的影响[双击切换]"/>
            <w:tag w:val="_GBC_24d2ea865aff4dda9d4cd3c8b1eb71cc"/>
            <w:id w:val="1247689226"/>
            <w:lock w:val="sdtLocked"/>
            <w:placeholder>
              <w:docPart w:val="GBC22222222222222222222222222222"/>
            </w:placeholder>
          </w:sdtPr>
          <w:sdtEndPr/>
          <w:sdtContent>
            <w:p w14:paraId="71D2CCB4" w14:textId="77777777" w:rsidR="00471D53" w:rsidRDefault="004F686E" w:rsidP="00471D5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bookmarkEnd w:id="180" w:displacedByCustomXml="prev"/>
    <w:p w14:paraId="352A054C" w14:textId="77777777" w:rsidR="00471D53" w:rsidRDefault="00B664AF">
      <w:pPr>
        <w:rPr>
          <w:szCs w:val="21"/>
        </w:rPr>
      </w:pPr>
    </w:p>
    <w:sdt>
      <w:sdtPr>
        <w:rPr>
          <w:rFonts w:hint="eastAsia"/>
        </w:rPr>
        <w:alias w:val="模块:其他说明"/>
        <w:tag w:val="_SEC_fd9f0a21b0c44e29ba84ddb7842fe32a"/>
        <w:id w:val="-2002421796"/>
        <w:lock w:val="sdtLocked"/>
        <w:placeholder>
          <w:docPart w:val="GBC22222222222222222222222222222"/>
        </w:placeholder>
      </w:sdtPr>
      <w:sdtEndPr>
        <w:rPr>
          <w:rFonts w:hint="default"/>
          <w:szCs w:val="21"/>
        </w:rPr>
      </w:sdtEndPr>
      <w:sdtContent>
        <w:p w14:paraId="281A0229" w14:textId="77777777" w:rsidR="00471D53" w:rsidRDefault="004F686E">
          <w:r>
            <w:rPr>
              <w:rFonts w:hint="eastAsia"/>
            </w:rPr>
            <w:t>其他说明：</w:t>
          </w:r>
        </w:p>
        <w:sdt>
          <w:sdtPr>
            <w:alias w:val="是否适用：商誉其他需要说明的事项[双击切换]"/>
            <w:tag w:val="_GBC_6b2c2377a4a6486b9a4ba845bd2192f6"/>
            <w:id w:val="1250926719"/>
            <w:lock w:val="sdtLocked"/>
            <w:placeholder>
              <w:docPart w:val="GBC22222222222222222222222222222"/>
            </w:placeholder>
          </w:sdtPr>
          <w:sdtEndPr/>
          <w:sdtContent>
            <w:p w14:paraId="08D1B8AA" w14:textId="77777777" w:rsidR="00471D53" w:rsidRDefault="004F686E" w:rsidP="00471D53">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0E8FC826" w14:textId="77777777" w:rsidR="00471D53" w:rsidRDefault="00B664AF">
      <w:pPr>
        <w:snapToGrid w:val="0"/>
        <w:spacing w:line="240" w:lineRule="atLeast"/>
        <w:rPr>
          <w:szCs w:val="21"/>
        </w:rPr>
      </w:pPr>
    </w:p>
    <w:sdt>
      <w:sdtPr>
        <w:rPr>
          <w:rFonts w:ascii="宋体" w:hAnsi="宋体" w:cs="宋体" w:hint="eastAsia"/>
          <w:b w:val="0"/>
          <w:bCs w:val="0"/>
          <w:kern w:val="0"/>
          <w:szCs w:val="21"/>
        </w:rPr>
        <w:alias w:val="模块:长期待摊费用"/>
        <w:tag w:val="_GBC_c7f901dce89846cbbbab6c51c3213a6f"/>
        <w:id w:val="1225340998"/>
        <w:lock w:val="sdtLocked"/>
        <w:placeholder>
          <w:docPart w:val="GBC22222222222222222222222222222"/>
        </w:placeholder>
      </w:sdtPr>
      <w:sdtEndPr>
        <w:rPr>
          <w:rFonts w:cstheme="minorBidi" w:hint="default"/>
          <w:kern w:val="2"/>
        </w:rPr>
      </w:sdtEndPr>
      <w:sdtContent>
        <w:p w14:paraId="3CFE1273"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9bec8f9516c84b19bae2fb8a7292063f"/>
            <w:id w:val="-1799909884"/>
            <w:lock w:val="sdtLocked"/>
            <w:placeholder>
              <w:docPart w:val="GBC22222222222222222222222222222"/>
            </w:placeholder>
          </w:sdtPr>
          <w:sdtEndPr/>
          <w:sdtContent>
            <w:p w14:paraId="7A16ABE7" w14:textId="3C20F6D6"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974EAAE" w14:textId="39F75F83" w:rsidR="00471D53" w:rsidRDefault="004F686E">
          <w:pPr>
            <w:jc w:val="right"/>
            <w:rPr>
              <w:szCs w:val="21"/>
            </w:rPr>
          </w:pPr>
          <w:r>
            <w:rPr>
              <w:rFonts w:hint="eastAsia"/>
              <w:szCs w:val="21"/>
            </w:rPr>
            <w:t>单位：</w:t>
          </w:r>
          <w:sdt>
            <w:sdtPr>
              <w:rPr>
                <w:rFonts w:hint="eastAsia"/>
                <w:szCs w:val="21"/>
              </w:rPr>
              <w:alias w:val="单位：财务附注：长期待摊费用"/>
              <w:tag w:val="_GBC_aa74f67aac374e54a7768a8434ab0c08"/>
              <w:id w:val="-16619899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长期待摊费用"/>
              <w:tag w:val="_GBC_767b9b701cf8425c9d588b0398c42e90"/>
              <w:id w:val="-9942603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5"/>
            <w:gridCol w:w="1476"/>
            <w:gridCol w:w="1476"/>
            <w:gridCol w:w="1476"/>
            <w:gridCol w:w="1465"/>
            <w:gridCol w:w="1535"/>
          </w:tblGrid>
          <w:tr w:rsidR="00471D53" w14:paraId="3A489C93" w14:textId="77777777" w:rsidTr="00471D53">
            <w:sdt>
              <w:sdtPr>
                <w:tag w:val="_PLD_20e665ce568e49a5aa1c687384d611b3"/>
                <w:id w:val="-1367906693"/>
                <w:lock w:val="sdtLocked"/>
              </w:sdtPr>
              <w:sdtEndPr/>
              <w:sdtContent>
                <w:tc>
                  <w:tcPr>
                    <w:tcW w:w="800" w:type="pct"/>
                    <w:shd w:val="clear" w:color="auto" w:fill="auto"/>
                    <w:vAlign w:val="center"/>
                  </w:tcPr>
                  <w:p w14:paraId="01D97E27" w14:textId="77777777" w:rsidR="00471D53" w:rsidRDefault="004F686E" w:rsidP="00471D53">
                    <w:pPr>
                      <w:jc w:val="center"/>
                      <w:rPr>
                        <w:szCs w:val="21"/>
                      </w:rPr>
                    </w:pPr>
                    <w:r>
                      <w:rPr>
                        <w:rFonts w:hint="eastAsia"/>
                        <w:szCs w:val="21"/>
                      </w:rPr>
                      <w:t>项目</w:t>
                    </w:r>
                  </w:p>
                </w:tc>
              </w:sdtContent>
            </w:sdt>
            <w:sdt>
              <w:sdtPr>
                <w:tag w:val="_PLD_e3597a5d560b48d59d41cd3dc72b1a3a"/>
                <w:id w:val="-1037809718"/>
                <w:lock w:val="sdtLocked"/>
              </w:sdtPr>
              <w:sdtEndPr/>
              <w:sdtContent>
                <w:tc>
                  <w:tcPr>
                    <w:tcW w:w="827" w:type="pct"/>
                    <w:shd w:val="clear" w:color="auto" w:fill="auto"/>
                    <w:vAlign w:val="center"/>
                  </w:tcPr>
                  <w:p w14:paraId="19384754" w14:textId="77777777" w:rsidR="00471D53" w:rsidRDefault="004F686E" w:rsidP="00471D53">
                    <w:pPr>
                      <w:jc w:val="center"/>
                      <w:rPr>
                        <w:szCs w:val="21"/>
                      </w:rPr>
                    </w:pPr>
                    <w:r>
                      <w:rPr>
                        <w:rFonts w:hint="eastAsia"/>
                        <w:szCs w:val="21"/>
                      </w:rPr>
                      <w:t>期初余额</w:t>
                    </w:r>
                  </w:p>
                </w:tc>
              </w:sdtContent>
            </w:sdt>
            <w:sdt>
              <w:sdtPr>
                <w:tag w:val="_PLD_2edffaf8b24b489e97f2d4a6a5ec5711"/>
                <w:id w:val="1382758080"/>
                <w:lock w:val="sdtLocked"/>
              </w:sdtPr>
              <w:sdtEndPr/>
              <w:sdtContent>
                <w:tc>
                  <w:tcPr>
                    <w:tcW w:w="827" w:type="pct"/>
                    <w:shd w:val="clear" w:color="auto" w:fill="auto"/>
                    <w:vAlign w:val="center"/>
                  </w:tcPr>
                  <w:p w14:paraId="31A85409" w14:textId="77777777" w:rsidR="00471D53" w:rsidRDefault="004F686E" w:rsidP="00471D53">
                    <w:pPr>
                      <w:jc w:val="center"/>
                      <w:rPr>
                        <w:szCs w:val="21"/>
                      </w:rPr>
                    </w:pPr>
                    <w:r>
                      <w:rPr>
                        <w:rFonts w:hint="eastAsia"/>
                        <w:szCs w:val="21"/>
                      </w:rPr>
                      <w:t>本期增加金额</w:t>
                    </w:r>
                  </w:p>
                </w:tc>
              </w:sdtContent>
            </w:sdt>
            <w:sdt>
              <w:sdtPr>
                <w:tag w:val="_PLD_f6bc6a07519e4f6cab5889776aa0ecbd"/>
                <w:id w:val="-1069957977"/>
                <w:lock w:val="sdtLocked"/>
              </w:sdtPr>
              <w:sdtEndPr/>
              <w:sdtContent>
                <w:tc>
                  <w:tcPr>
                    <w:tcW w:w="827" w:type="pct"/>
                    <w:shd w:val="clear" w:color="auto" w:fill="auto"/>
                    <w:vAlign w:val="center"/>
                  </w:tcPr>
                  <w:p w14:paraId="5DBE6568" w14:textId="77777777" w:rsidR="00471D53" w:rsidRDefault="004F686E" w:rsidP="00471D53">
                    <w:pPr>
                      <w:jc w:val="center"/>
                      <w:rPr>
                        <w:szCs w:val="21"/>
                      </w:rPr>
                    </w:pPr>
                    <w:r>
                      <w:rPr>
                        <w:rFonts w:hint="eastAsia"/>
                        <w:szCs w:val="21"/>
                      </w:rPr>
                      <w:t>本期摊销金额</w:t>
                    </w:r>
                  </w:p>
                </w:tc>
              </w:sdtContent>
            </w:sdt>
            <w:sdt>
              <w:sdtPr>
                <w:tag w:val="_PLD_f987bb682c974016898d37b474ce35c6"/>
                <w:id w:val="-1143652929"/>
                <w:lock w:val="sdtLocked"/>
              </w:sdtPr>
              <w:sdtEndPr/>
              <w:sdtContent>
                <w:tc>
                  <w:tcPr>
                    <w:tcW w:w="840" w:type="pct"/>
                    <w:shd w:val="clear" w:color="auto" w:fill="auto"/>
                    <w:vAlign w:val="center"/>
                  </w:tcPr>
                  <w:p w14:paraId="2153758F" w14:textId="77777777" w:rsidR="00471D53" w:rsidRDefault="004F686E" w:rsidP="00471D53">
                    <w:pPr>
                      <w:jc w:val="center"/>
                      <w:rPr>
                        <w:szCs w:val="21"/>
                      </w:rPr>
                    </w:pPr>
                    <w:r>
                      <w:rPr>
                        <w:rFonts w:hint="eastAsia"/>
                        <w:szCs w:val="21"/>
                      </w:rPr>
                      <w:t>其他减少金额</w:t>
                    </w:r>
                  </w:p>
                </w:tc>
              </w:sdtContent>
            </w:sdt>
            <w:sdt>
              <w:sdtPr>
                <w:tag w:val="_PLD_dab738986fbc4bd7b942faf77cb39605"/>
                <w:id w:val="443427133"/>
                <w:lock w:val="sdtLocked"/>
              </w:sdtPr>
              <w:sdtEndPr/>
              <w:sdtContent>
                <w:tc>
                  <w:tcPr>
                    <w:tcW w:w="879" w:type="pct"/>
                    <w:shd w:val="clear" w:color="auto" w:fill="auto"/>
                    <w:vAlign w:val="center"/>
                  </w:tcPr>
                  <w:p w14:paraId="06E72384" w14:textId="77777777" w:rsidR="00471D53" w:rsidRDefault="004F686E" w:rsidP="00471D53">
                    <w:pPr>
                      <w:jc w:val="center"/>
                      <w:rPr>
                        <w:szCs w:val="21"/>
                      </w:rPr>
                    </w:pPr>
                    <w:r>
                      <w:rPr>
                        <w:rFonts w:hint="eastAsia"/>
                        <w:szCs w:val="21"/>
                      </w:rPr>
                      <w:t>期末余额</w:t>
                    </w:r>
                  </w:p>
                </w:tc>
              </w:sdtContent>
            </w:sdt>
          </w:tr>
          <w:sdt>
            <w:sdtPr>
              <w:rPr>
                <w:rFonts w:hint="eastAsia"/>
                <w:szCs w:val="21"/>
              </w:rPr>
              <w:alias w:val="长期待摊费用明细"/>
              <w:tag w:val="_GBC_68b20aeabd8c4ce8bf5df712206206af"/>
              <w:id w:val="1189027833"/>
              <w:lock w:val="sdtLocked"/>
            </w:sdtPr>
            <w:sdtEndPr/>
            <w:sdtContent>
              <w:tr w:rsidR="00471D53" w14:paraId="680BBED3" w14:textId="77777777" w:rsidTr="00471D53">
                <w:tc>
                  <w:tcPr>
                    <w:tcW w:w="800" w:type="pct"/>
                    <w:shd w:val="clear" w:color="auto" w:fill="auto"/>
                  </w:tcPr>
                  <w:p w14:paraId="0EAB9689" w14:textId="77777777" w:rsidR="00471D53" w:rsidRDefault="004F686E" w:rsidP="00471D53">
                    <w:pPr>
                      <w:rPr>
                        <w:szCs w:val="21"/>
                      </w:rPr>
                    </w:pPr>
                    <w:r>
                      <w:t>周转瓶摊销</w:t>
                    </w:r>
                  </w:p>
                </w:tc>
                <w:tc>
                  <w:tcPr>
                    <w:tcW w:w="827" w:type="pct"/>
                    <w:shd w:val="clear" w:color="auto" w:fill="auto"/>
                    <w:vAlign w:val="center"/>
                  </w:tcPr>
                  <w:p w14:paraId="67BAC528" w14:textId="77777777" w:rsidR="00471D53" w:rsidRPr="00122865" w:rsidRDefault="004F686E" w:rsidP="00471D53">
                    <w:pPr>
                      <w:jc w:val="center"/>
                      <w:rPr>
                        <w:szCs w:val="21"/>
                      </w:rPr>
                    </w:pPr>
                    <w:r w:rsidRPr="00122865">
                      <w:t>5,195,787.62</w:t>
                    </w:r>
                  </w:p>
                </w:tc>
                <w:tc>
                  <w:tcPr>
                    <w:tcW w:w="827" w:type="pct"/>
                    <w:shd w:val="clear" w:color="auto" w:fill="auto"/>
                    <w:vAlign w:val="center"/>
                  </w:tcPr>
                  <w:p w14:paraId="032A8300" w14:textId="77777777" w:rsidR="00471D53" w:rsidRPr="00122865" w:rsidRDefault="004F686E" w:rsidP="00471D53">
                    <w:pPr>
                      <w:jc w:val="center"/>
                      <w:rPr>
                        <w:szCs w:val="21"/>
                      </w:rPr>
                    </w:pPr>
                    <w:r w:rsidRPr="00122865">
                      <w:t>1,441,989.14</w:t>
                    </w:r>
                  </w:p>
                </w:tc>
                <w:tc>
                  <w:tcPr>
                    <w:tcW w:w="827" w:type="pct"/>
                    <w:shd w:val="clear" w:color="auto" w:fill="auto"/>
                    <w:vAlign w:val="center"/>
                  </w:tcPr>
                  <w:p w14:paraId="10F046F5" w14:textId="77777777" w:rsidR="00471D53" w:rsidRPr="00122865" w:rsidRDefault="004F686E" w:rsidP="00471D53">
                    <w:pPr>
                      <w:jc w:val="center"/>
                      <w:rPr>
                        <w:szCs w:val="21"/>
                      </w:rPr>
                    </w:pPr>
                    <w:r w:rsidRPr="00122865">
                      <w:t>2,044,517.61</w:t>
                    </w:r>
                  </w:p>
                </w:tc>
                <w:tc>
                  <w:tcPr>
                    <w:tcW w:w="840" w:type="pct"/>
                    <w:shd w:val="clear" w:color="auto" w:fill="auto"/>
                    <w:vAlign w:val="center"/>
                  </w:tcPr>
                  <w:p w14:paraId="6CDEE212" w14:textId="77777777" w:rsidR="00471D53" w:rsidRPr="00122865" w:rsidRDefault="00B664AF" w:rsidP="00471D53">
                    <w:pPr>
                      <w:jc w:val="center"/>
                      <w:rPr>
                        <w:szCs w:val="21"/>
                      </w:rPr>
                    </w:pPr>
                  </w:p>
                </w:tc>
                <w:tc>
                  <w:tcPr>
                    <w:tcW w:w="879" w:type="pct"/>
                    <w:shd w:val="clear" w:color="auto" w:fill="auto"/>
                    <w:vAlign w:val="center"/>
                  </w:tcPr>
                  <w:p w14:paraId="3D93BECE" w14:textId="77777777" w:rsidR="00471D53" w:rsidRPr="00122865" w:rsidRDefault="004F686E" w:rsidP="00471D53">
                    <w:pPr>
                      <w:jc w:val="center"/>
                      <w:rPr>
                        <w:szCs w:val="21"/>
                      </w:rPr>
                    </w:pPr>
                    <w:r w:rsidRPr="00122865">
                      <w:t>4,593,259.15</w:t>
                    </w:r>
                  </w:p>
                </w:tc>
              </w:tr>
            </w:sdtContent>
          </w:sdt>
          <w:sdt>
            <w:sdtPr>
              <w:rPr>
                <w:rFonts w:hint="eastAsia"/>
                <w:szCs w:val="21"/>
              </w:rPr>
              <w:alias w:val="长期待摊费用明细"/>
              <w:tag w:val="_GBC_68b20aeabd8c4ce8bf5df712206206af"/>
              <w:id w:val="-283813242"/>
              <w:lock w:val="sdtLocked"/>
            </w:sdtPr>
            <w:sdtEndPr/>
            <w:sdtContent>
              <w:tr w:rsidR="00471D53" w14:paraId="74F7C019" w14:textId="77777777" w:rsidTr="00471D53">
                <w:tc>
                  <w:tcPr>
                    <w:tcW w:w="800" w:type="pct"/>
                    <w:shd w:val="clear" w:color="auto" w:fill="auto"/>
                  </w:tcPr>
                  <w:p w14:paraId="568EBD62" w14:textId="77777777" w:rsidR="00471D53" w:rsidRDefault="004F686E" w:rsidP="00471D53">
                    <w:pPr>
                      <w:rPr>
                        <w:szCs w:val="21"/>
                      </w:rPr>
                    </w:pPr>
                    <w:r>
                      <w:t>配变电工程安装费摊销</w:t>
                    </w:r>
                  </w:p>
                </w:tc>
                <w:tc>
                  <w:tcPr>
                    <w:tcW w:w="827" w:type="pct"/>
                    <w:shd w:val="clear" w:color="auto" w:fill="auto"/>
                    <w:vAlign w:val="center"/>
                  </w:tcPr>
                  <w:p w14:paraId="3D0443AD" w14:textId="77777777" w:rsidR="00471D53" w:rsidRPr="00122865" w:rsidRDefault="004F686E" w:rsidP="00471D53">
                    <w:pPr>
                      <w:jc w:val="center"/>
                      <w:rPr>
                        <w:szCs w:val="21"/>
                      </w:rPr>
                    </w:pPr>
                    <w:r w:rsidRPr="00122865">
                      <w:t>18,488.01</w:t>
                    </w:r>
                  </w:p>
                </w:tc>
                <w:tc>
                  <w:tcPr>
                    <w:tcW w:w="827" w:type="pct"/>
                    <w:shd w:val="clear" w:color="auto" w:fill="auto"/>
                    <w:vAlign w:val="center"/>
                  </w:tcPr>
                  <w:p w14:paraId="67A50CFA" w14:textId="77777777" w:rsidR="00471D53" w:rsidRPr="00122865" w:rsidRDefault="00B664AF" w:rsidP="00471D53">
                    <w:pPr>
                      <w:jc w:val="center"/>
                      <w:rPr>
                        <w:szCs w:val="21"/>
                      </w:rPr>
                    </w:pPr>
                  </w:p>
                </w:tc>
                <w:tc>
                  <w:tcPr>
                    <w:tcW w:w="827" w:type="pct"/>
                    <w:shd w:val="clear" w:color="auto" w:fill="auto"/>
                    <w:vAlign w:val="center"/>
                  </w:tcPr>
                  <w:p w14:paraId="41EFB773" w14:textId="77777777" w:rsidR="00471D53" w:rsidRPr="00122865" w:rsidRDefault="004F686E" w:rsidP="00471D53">
                    <w:pPr>
                      <w:jc w:val="center"/>
                      <w:rPr>
                        <w:szCs w:val="21"/>
                      </w:rPr>
                    </w:pPr>
                    <w:r w:rsidRPr="00122865">
                      <w:t>15,846.78</w:t>
                    </w:r>
                  </w:p>
                </w:tc>
                <w:tc>
                  <w:tcPr>
                    <w:tcW w:w="840" w:type="pct"/>
                    <w:shd w:val="clear" w:color="auto" w:fill="auto"/>
                    <w:vAlign w:val="center"/>
                  </w:tcPr>
                  <w:p w14:paraId="245D8E72" w14:textId="77777777" w:rsidR="00471D53" w:rsidRPr="00122865" w:rsidRDefault="00B664AF" w:rsidP="00471D53">
                    <w:pPr>
                      <w:jc w:val="center"/>
                      <w:rPr>
                        <w:szCs w:val="21"/>
                      </w:rPr>
                    </w:pPr>
                  </w:p>
                </w:tc>
                <w:tc>
                  <w:tcPr>
                    <w:tcW w:w="879" w:type="pct"/>
                    <w:shd w:val="clear" w:color="auto" w:fill="auto"/>
                    <w:vAlign w:val="center"/>
                  </w:tcPr>
                  <w:p w14:paraId="342E72D2" w14:textId="77777777" w:rsidR="00471D53" w:rsidRPr="00122865" w:rsidRDefault="004F686E" w:rsidP="00471D53">
                    <w:pPr>
                      <w:jc w:val="center"/>
                      <w:rPr>
                        <w:szCs w:val="21"/>
                      </w:rPr>
                    </w:pPr>
                    <w:r w:rsidRPr="00122865">
                      <w:t>2,641.23</w:t>
                    </w:r>
                  </w:p>
                </w:tc>
              </w:tr>
            </w:sdtContent>
          </w:sdt>
          <w:tr w:rsidR="00471D53" w14:paraId="0DD4A388" w14:textId="77777777" w:rsidTr="00471D53">
            <w:sdt>
              <w:sdtPr>
                <w:tag w:val="_PLD_bd1d6a8046344014824f3cd45e5475be"/>
                <w:id w:val="328566522"/>
                <w:lock w:val="sdtLocked"/>
              </w:sdtPr>
              <w:sdtEndPr/>
              <w:sdtContent>
                <w:tc>
                  <w:tcPr>
                    <w:tcW w:w="800" w:type="pct"/>
                    <w:shd w:val="clear" w:color="auto" w:fill="auto"/>
                    <w:vAlign w:val="center"/>
                  </w:tcPr>
                  <w:p w14:paraId="74002ADC" w14:textId="77777777" w:rsidR="00471D53" w:rsidRDefault="004F686E" w:rsidP="00471D53">
                    <w:pPr>
                      <w:jc w:val="center"/>
                      <w:rPr>
                        <w:szCs w:val="21"/>
                      </w:rPr>
                    </w:pPr>
                    <w:r>
                      <w:rPr>
                        <w:rFonts w:hint="eastAsia"/>
                        <w:szCs w:val="21"/>
                      </w:rPr>
                      <w:t>合计</w:t>
                    </w:r>
                  </w:p>
                </w:tc>
              </w:sdtContent>
            </w:sdt>
            <w:tc>
              <w:tcPr>
                <w:tcW w:w="827" w:type="pct"/>
                <w:shd w:val="clear" w:color="auto" w:fill="auto"/>
                <w:vAlign w:val="center"/>
              </w:tcPr>
              <w:p w14:paraId="6BF3B6E4" w14:textId="77777777" w:rsidR="00471D53" w:rsidRPr="00122865" w:rsidRDefault="004F686E" w:rsidP="00471D53">
                <w:pPr>
                  <w:jc w:val="center"/>
                  <w:rPr>
                    <w:bCs/>
                    <w:sz w:val="20"/>
                    <w:szCs w:val="20"/>
                  </w:rPr>
                </w:pPr>
                <w:r w:rsidRPr="00122865">
                  <w:rPr>
                    <w:rFonts w:cs="Calibri" w:hint="eastAsia"/>
                    <w:bCs/>
                    <w:sz w:val="20"/>
                    <w:szCs w:val="20"/>
                  </w:rPr>
                  <w:t>5,214,275.63</w:t>
                </w:r>
              </w:p>
            </w:tc>
            <w:tc>
              <w:tcPr>
                <w:tcW w:w="827" w:type="pct"/>
                <w:shd w:val="clear" w:color="auto" w:fill="auto"/>
                <w:vAlign w:val="center"/>
              </w:tcPr>
              <w:p w14:paraId="7FBC44D5" w14:textId="77777777" w:rsidR="00471D53" w:rsidRPr="00122865" w:rsidRDefault="004F686E" w:rsidP="00471D53">
                <w:pPr>
                  <w:jc w:val="center"/>
                  <w:rPr>
                    <w:sz w:val="20"/>
                    <w:szCs w:val="20"/>
                  </w:rPr>
                </w:pPr>
                <w:r w:rsidRPr="00122865">
                  <w:rPr>
                    <w:rFonts w:hint="eastAsia"/>
                    <w:sz w:val="20"/>
                    <w:szCs w:val="20"/>
                  </w:rPr>
                  <w:t>1,441,989.14</w:t>
                </w:r>
              </w:p>
            </w:tc>
            <w:tc>
              <w:tcPr>
                <w:tcW w:w="827" w:type="pct"/>
                <w:shd w:val="clear" w:color="auto" w:fill="auto"/>
                <w:vAlign w:val="center"/>
              </w:tcPr>
              <w:p w14:paraId="74A990E4" w14:textId="77777777" w:rsidR="00471D53" w:rsidRPr="00122865" w:rsidRDefault="004F686E" w:rsidP="00471D53">
                <w:pPr>
                  <w:jc w:val="center"/>
                  <w:rPr>
                    <w:bCs/>
                    <w:sz w:val="20"/>
                    <w:szCs w:val="20"/>
                  </w:rPr>
                </w:pPr>
                <w:r w:rsidRPr="00122865">
                  <w:rPr>
                    <w:rFonts w:hint="eastAsia"/>
                    <w:bCs/>
                    <w:sz w:val="20"/>
                    <w:szCs w:val="20"/>
                  </w:rPr>
                  <w:t>2,060,364.39</w:t>
                </w:r>
              </w:p>
            </w:tc>
            <w:tc>
              <w:tcPr>
                <w:tcW w:w="840" w:type="pct"/>
                <w:shd w:val="clear" w:color="auto" w:fill="auto"/>
                <w:vAlign w:val="center"/>
              </w:tcPr>
              <w:p w14:paraId="2828823A" w14:textId="77777777" w:rsidR="00471D53" w:rsidRPr="00122865" w:rsidRDefault="00B664AF" w:rsidP="00471D53">
                <w:pPr>
                  <w:jc w:val="center"/>
                  <w:rPr>
                    <w:bCs/>
                    <w:sz w:val="20"/>
                    <w:szCs w:val="20"/>
                  </w:rPr>
                </w:pPr>
              </w:p>
            </w:tc>
            <w:tc>
              <w:tcPr>
                <w:tcW w:w="879" w:type="pct"/>
                <w:shd w:val="clear" w:color="auto" w:fill="auto"/>
                <w:vAlign w:val="center"/>
              </w:tcPr>
              <w:p w14:paraId="3518A73D" w14:textId="77777777" w:rsidR="00471D53" w:rsidRPr="00122865" w:rsidRDefault="004F686E" w:rsidP="00471D53">
                <w:pPr>
                  <w:jc w:val="center"/>
                  <w:rPr>
                    <w:szCs w:val="21"/>
                  </w:rPr>
                </w:pPr>
                <w:r w:rsidRPr="00122865">
                  <w:rPr>
                    <w:rFonts w:hint="eastAsia"/>
                    <w:bCs/>
                    <w:sz w:val="20"/>
                    <w:szCs w:val="20"/>
                  </w:rPr>
                  <w:t>4,595,900.38</w:t>
                </w:r>
              </w:p>
            </w:tc>
          </w:tr>
        </w:tbl>
        <w:p w14:paraId="3192601D" w14:textId="77777777" w:rsidR="00471D53" w:rsidRDefault="00B664AF"/>
        <w:p w14:paraId="577E0BDB" w14:textId="77777777" w:rsidR="00471D53" w:rsidRDefault="004F686E">
          <w:pPr>
            <w:rPr>
              <w:szCs w:val="21"/>
            </w:rPr>
          </w:pPr>
          <w:r>
            <w:rPr>
              <w:rFonts w:hint="eastAsia"/>
              <w:szCs w:val="21"/>
            </w:rPr>
            <w:t>其他说明：</w:t>
          </w:r>
        </w:p>
        <w:sdt>
          <w:sdtPr>
            <w:rPr>
              <w:szCs w:val="21"/>
            </w:rPr>
            <w:alias w:val="长期待摊费用的说明"/>
            <w:tag w:val="_GBC_5b31c466b60f433faaa37d443fae74be"/>
            <w:id w:val="-2053526552"/>
            <w:lock w:val="sdtLocked"/>
            <w:placeholder>
              <w:docPart w:val="GBC22222222222222222222222222222"/>
            </w:placeholder>
          </w:sdtPr>
          <w:sdtEndPr/>
          <w:sdtContent>
            <w:p w14:paraId="1999A9CD" w14:textId="77777777" w:rsidR="00471D53" w:rsidRDefault="004F686E">
              <w:pPr>
                <w:rPr>
                  <w:szCs w:val="21"/>
                </w:rPr>
              </w:pPr>
              <w:r>
                <w:rPr>
                  <w:rFonts w:hint="eastAsia"/>
                  <w:szCs w:val="21"/>
                </w:rPr>
                <w:t>无</w:t>
              </w:r>
            </w:p>
          </w:sdtContent>
        </w:sdt>
      </w:sdtContent>
    </w:sdt>
    <w:p w14:paraId="5DE3862F" w14:textId="77777777" w:rsidR="00471D53" w:rsidRDefault="00B664AF">
      <w:pPr>
        <w:rPr>
          <w:szCs w:val="21"/>
        </w:rPr>
      </w:pPr>
    </w:p>
    <w:sdt>
      <w:sdtPr>
        <w:rPr>
          <w:rFonts w:ascii="宋体" w:hAnsi="宋体" w:cs="宋体" w:hint="eastAsia"/>
          <w:b w:val="0"/>
          <w:bCs w:val="0"/>
          <w:kern w:val="0"/>
          <w:szCs w:val="21"/>
        </w:rPr>
        <w:alias w:val="模块:未经抵销的递延所得税资产"/>
        <w:tag w:val="_SEC_24cb6110bf5143448478343c289c754e"/>
        <w:id w:val="-1968418973"/>
        <w:lock w:val="sdtLocked"/>
        <w:placeholder>
          <w:docPart w:val="GBC22222222222222222222222222222"/>
        </w:placeholder>
      </w:sdtPr>
      <w:sdtEndPr>
        <w:rPr>
          <w:szCs w:val="24"/>
        </w:rPr>
      </w:sdtEndPr>
      <w:sdtContent>
        <w:p w14:paraId="7C9FA1F8" w14:textId="7F19CB56"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递延所得税资产/递延所得税负债</w:t>
          </w:r>
        </w:p>
        <w:p w14:paraId="1315B2B0" w14:textId="77777777" w:rsidR="00471D53" w:rsidRDefault="004F686E" w:rsidP="004F686E">
          <w:pPr>
            <w:pStyle w:val="afffff8"/>
            <w:numPr>
              <w:ilvl w:val="0"/>
              <w:numId w:val="76"/>
            </w:numPr>
            <w:tabs>
              <w:tab w:val="left" w:pos="588"/>
              <w:tab w:val="left" w:pos="616"/>
            </w:tabs>
            <w:rPr>
              <w:rFonts w:ascii="宋体" w:hAnsi="宋体"/>
            </w:rPr>
          </w:pPr>
          <w:bookmarkStart w:id="181" w:name="_Toc215903151"/>
          <w:r>
            <w:rPr>
              <w:rFonts w:ascii="宋体" w:hAnsi="宋体" w:hint="eastAsia"/>
            </w:rPr>
            <w:t>未经抵销的递延所得税资产</w:t>
          </w:r>
        </w:p>
        <w:sdt>
          <w:sdtPr>
            <w:alias w:val="是否适用：未经抵销的递延所得税资产[双击切换]"/>
            <w:tag w:val="_GBC_fc6e77974a404dc3bef5fc386ae4e1e7"/>
            <w:id w:val="639846602"/>
            <w:lock w:val="sdtLocked"/>
            <w:placeholder>
              <w:docPart w:val="GBC22222222222222222222222222222"/>
            </w:placeholder>
          </w:sdtPr>
          <w:sdtEndPr/>
          <w:sdtContent>
            <w:p w14:paraId="4274CCB3"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D9DA80A" w14:textId="14E9B183" w:rsidR="00471D53" w:rsidRDefault="004F686E">
          <w:pPr>
            <w:jc w:val="right"/>
            <w:rPr>
              <w:szCs w:val="21"/>
            </w:rPr>
          </w:pPr>
          <w:r>
            <w:rPr>
              <w:rFonts w:hint="eastAsia"/>
              <w:szCs w:val="21"/>
            </w:rPr>
            <w:t>单位：</w:t>
          </w:r>
          <w:sdt>
            <w:sdtPr>
              <w:rPr>
                <w:rFonts w:hint="eastAsia"/>
                <w:szCs w:val="21"/>
              </w:rPr>
              <w:alias w:val="单位：财务附注：已确认的递延所得税资产和递延所得税负债"/>
              <w:tag w:val="_GBC_7be724d3c6f14974914db7d02bb734f9"/>
              <w:id w:val="-7780979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bookmarkEnd w:id="181"/>
          <w:sdt>
            <w:sdtPr>
              <w:rPr>
                <w:rFonts w:hint="eastAsia"/>
                <w:szCs w:val="21"/>
              </w:rPr>
              <w:alias w:val="币种：财务附注：已确认的递延所得税资产和递延所得税负债"/>
              <w:tag w:val="_GBC_a48237f045494aa9a0ea8c2cb35b1c0f"/>
              <w:id w:val="-2581360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3"/>
            <w:gridCol w:w="1610"/>
            <w:gridCol w:w="1606"/>
            <w:gridCol w:w="1622"/>
            <w:gridCol w:w="1604"/>
          </w:tblGrid>
          <w:tr w:rsidR="00471D53" w14:paraId="50B3C6C2" w14:textId="77777777" w:rsidTr="00471D53">
            <w:trPr>
              <w:trHeight w:val="285"/>
            </w:trPr>
            <w:sdt>
              <w:sdtPr>
                <w:tag w:val="_PLD_e45101b3a01946f19f22657bb959574e"/>
                <w:id w:val="-1004661847"/>
                <w:lock w:val="sdtLocked"/>
              </w:sdtPr>
              <w:sdtEndPr/>
              <w:sdtContent>
                <w:tc>
                  <w:tcPr>
                    <w:tcW w:w="1350" w:type="pct"/>
                    <w:vMerge w:val="restart"/>
                    <w:shd w:val="clear" w:color="auto" w:fill="auto"/>
                    <w:vAlign w:val="center"/>
                  </w:tcPr>
                  <w:p w14:paraId="2FB82693" w14:textId="77777777" w:rsidR="00471D53" w:rsidRDefault="004F686E" w:rsidP="00471D53">
                    <w:pPr>
                      <w:jc w:val="center"/>
                      <w:rPr>
                        <w:szCs w:val="21"/>
                      </w:rPr>
                    </w:pPr>
                    <w:r>
                      <w:rPr>
                        <w:rFonts w:hint="eastAsia"/>
                        <w:szCs w:val="21"/>
                      </w:rPr>
                      <w:t>项目</w:t>
                    </w:r>
                  </w:p>
                </w:tc>
              </w:sdtContent>
            </w:sdt>
            <w:sdt>
              <w:sdtPr>
                <w:tag w:val="_PLD_dd892ffecd234c819059bf10f71b1910"/>
                <w:id w:val="-1791432046"/>
                <w:lock w:val="sdtLocked"/>
              </w:sdtPr>
              <w:sdtEndPr/>
              <w:sdtContent>
                <w:tc>
                  <w:tcPr>
                    <w:tcW w:w="1822" w:type="pct"/>
                    <w:gridSpan w:val="2"/>
                    <w:shd w:val="clear" w:color="auto" w:fill="auto"/>
                    <w:vAlign w:val="center"/>
                  </w:tcPr>
                  <w:p w14:paraId="038FEBC8" w14:textId="77777777" w:rsidR="00471D53" w:rsidRDefault="004F686E" w:rsidP="00471D53">
                    <w:pPr>
                      <w:jc w:val="center"/>
                      <w:rPr>
                        <w:szCs w:val="21"/>
                      </w:rPr>
                    </w:pPr>
                    <w:r>
                      <w:rPr>
                        <w:rFonts w:hint="eastAsia"/>
                        <w:szCs w:val="21"/>
                      </w:rPr>
                      <w:t>期末余额</w:t>
                    </w:r>
                  </w:p>
                </w:tc>
              </w:sdtContent>
            </w:sdt>
            <w:sdt>
              <w:sdtPr>
                <w:tag w:val="_PLD_be855fcb002344d6ae2c74083e90b1c1"/>
                <w:id w:val="1402253027"/>
                <w:lock w:val="sdtLocked"/>
              </w:sdtPr>
              <w:sdtEndPr/>
              <w:sdtContent>
                <w:tc>
                  <w:tcPr>
                    <w:tcW w:w="1828" w:type="pct"/>
                    <w:gridSpan w:val="2"/>
                    <w:shd w:val="clear" w:color="auto" w:fill="auto"/>
                    <w:vAlign w:val="center"/>
                  </w:tcPr>
                  <w:p w14:paraId="0A98A5B4" w14:textId="77777777" w:rsidR="00471D53" w:rsidRDefault="004F686E" w:rsidP="00471D53">
                    <w:pPr>
                      <w:jc w:val="center"/>
                      <w:rPr>
                        <w:szCs w:val="21"/>
                      </w:rPr>
                    </w:pPr>
                    <w:r>
                      <w:rPr>
                        <w:rFonts w:hint="eastAsia"/>
                        <w:szCs w:val="21"/>
                      </w:rPr>
                      <w:t>期初余额</w:t>
                    </w:r>
                  </w:p>
                </w:tc>
              </w:sdtContent>
            </w:sdt>
          </w:tr>
          <w:tr w:rsidR="00471D53" w14:paraId="77CC4B53" w14:textId="77777777" w:rsidTr="00471D53">
            <w:trPr>
              <w:trHeight w:val="285"/>
            </w:trPr>
            <w:tc>
              <w:tcPr>
                <w:tcW w:w="1350" w:type="pct"/>
                <w:vMerge/>
                <w:shd w:val="clear" w:color="auto" w:fill="auto"/>
                <w:vAlign w:val="center"/>
              </w:tcPr>
              <w:p w14:paraId="1BDCD3B9" w14:textId="77777777" w:rsidR="00471D53" w:rsidRDefault="00B664AF" w:rsidP="00471D53">
                <w:pPr>
                  <w:jc w:val="center"/>
                  <w:rPr>
                    <w:b/>
                    <w:szCs w:val="21"/>
                  </w:rPr>
                </w:pPr>
              </w:p>
            </w:tc>
            <w:sdt>
              <w:sdtPr>
                <w:tag w:val="_PLD_c82eb64547054aa39a1b7bfe7c532e2e"/>
                <w:id w:val="-1945760046"/>
                <w:lock w:val="sdtLocked"/>
              </w:sdtPr>
              <w:sdtEndPr/>
              <w:sdtContent>
                <w:tc>
                  <w:tcPr>
                    <w:tcW w:w="912" w:type="pct"/>
                    <w:shd w:val="clear" w:color="auto" w:fill="auto"/>
                    <w:vAlign w:val="center"/>
                  </w:tcPr>
                  <w:p w14:paraId="01B3327C" w14:textId="77777777" w:rsidR="00471D53" w:rsidRDefault="004F686E" w:rsidP="00471D53">
                    <w:pPr>
                      <w:jc w:val="center"/>
                      <w:rPr>
                        <w:szCs w:val="21"/>
                      </w:rPr>
                    </w:pPr>
                    <w:r>
                      <w:rPr>
                        <w:rFonts w:hint="eastAsia"/>
                        <w:szCs w:val="21"/>
                      </w:rPr>
                      <w:t>可抵扣暂时性差异</w:t>
                    </w:r>
                  </w:p>
                </w:tc>
              </w:sdtContent>
            </w:sdt>
            <w:sdt>
              <w:sdtPr>
                <w:tag w:val="_PLD_ad2e47975c52486d8bfc7fec079252de"/>
                <w:id w:val="-716516536"/>
                <w:lock w:val="sdtLocked"/>
              </w:sdtPr>
              <w:sdtEndPr/>
              <w:sdtContent>
                <w:tc>
                  <w:tcPr>
                    <w:tcW w:w="910" w:type="pct"/>
                    <w:shd w:val="clear" w:color="auto" w:fill="auto"/>
                    <w:vAlign w:val="center"/>
                  </w:tcPr>
                  <w:p w14:paraId="7ECF305B" w14:textId="77777777" w:rsidR="00471D53" w:rsidRDefault="004F686E" w:rsidP="00471D53">
                    <w:pPr>
                      <w:jc w:val="center"/>
                      <w:rPr>
                        <w:szCs w:val="21"/>
                      </w:rPr>
                    </w:pPr>
                    <w:r>
                      <w:rPr>
                        <w:rFonts w:hint="eastAsia"/>
                        <w:szCs w:val="21"/>
                      </w:rPr>
                      <w:t>递延所得税</w:t>
                    </w:r>
                  </w:p>
                  <w:p w14:paraId="6D7F0685" w14:textId="77777777" w:rsidR="00471D53" w:rsidRDefault="004F686E" w:rsidP="00471D53">
                    <w:pPr>
                      <w:jc w:val="center"/>
                      <w:rPr>
                        <w:szCs w:val="21"/>
                      </w:rPr>
                    </w:pPr>
                    <w:r>
                      <w:rPr>
                        <w:rFonts w:hint="eastAsia"/>
                        <w:szCs w:val="21"/>
                      </w:rPr>
                      <w:t>资产</w:t>
                    </w:r>
                  </w:p>
                </w:tc>
              </w:sdtContent>
            </w:sdt>
            <w:sdt>
              <w:sdtPr>
                <w:tag w:val="_PLD_0e0e7aabb5f8432ea9da8b4066b2e897"/>
                <w:id w:val="-432210215"/>
                <w:lock w:val="sdtLocked"/>
              </w:sdtPr>
              <w:sdtEndPr/>
              <w:sdtContent>
                <w:tc>
                  <w:tcPr>
                    <w:tcW w:w="919" w:type="pct"/>
                    <w:shd w:val="clear" w:color="auto" w:fill="auto"/>
                    <w:vAlign w:val="center"/>
                  </w:tcPr>
                  <w:p w14:paraId="0289FB34" w14:textId="77777777" w:rsidR="00471D53" w:rsidRDefault="004F686E" w:rsidP="00471D53">
                    <w:pPr>
                      <w:jc w:val="center"/>
                      <w:rPr>
                        <w:szCs w:val="21"/>
                      </w:rPr>
                    </w:pPr>
                    <w:r>
                      <w:rPr>
                        <w:rFonts w:hint="eastAsia"/>
                        <w:szCs w:val="21"/>
                      </w:rPr>
                      <w:t>可抵扣暂时性差异</w:t>
                    </w:r>
                  </w:p>
                </w:tc>
              </w:sdtContent>
            </w:sdt>
            <w:sdt>
              <w:sdtPr>
                <w:tag w:val="_PLD_34147e3346eb4b24b314e0dadaab6983"/>
                <w:id w:val="811759542"/>
                <w:lock w:val="sdtLocked"/>
              </w:sdtPr>
              <w:sdtEndPr/>
              <w:sdtContent>
                <w:tc>
                  <w:tcPr>
                    <w:tcW w:w="909" w:type="pct"/>
                    <w:shd w:val="clear" w:color="auto" w:fill="auto"/>
                    <w:vAlign w:val="center"/>
                  </w:tcPr>
                  <w:p w14:paraId="15F0F0CF" w14:textId="77777777" w:rsidR="00471D53" w:rsidRDefault="004F686E" w:rsidP="00471D53">
                    <w:pPr>
                      <w:jc w:val="center"/>
                      <w:rPr>
                        <w:szCs w:val="21"/>
                      </w:rPr>
                    </w:pPr>
                    <w:r>
                      <w:rPr>
                        <w:rFonts w:hint="eastAsia"/>
                        <w:szCs w:val="21"/>
                      </w:rPr>
                      <w:t>递延所得税</w:t>
                    </w:r>
                  </w:p>
                  <w:p w14:paraId="5752E753" w14:textId="77777777" w:rsidR="00471D53" w:rsidRDefault="004F686E" w:rsidP="00471D53">
                    <w:pPr>
                      <w:jc w:val="center"/>
                      <w:rPr>
                        <w:szCs w:val="21"/>
                      </w:rPr>
                    </w:pPr>
                    <w:r>
                      <w:rPr>
                        <w:rFonts w:hint="eastAsia"/>
                        <w:szCs w:val="21"/>
                      </w:rPr>
                      <w:t>资产</w:t>
                    </w:r>
                  </w:p>
                </w:tc>
              </w:sdtContent>
            </w:sdt>
          </w:tr>
          <w:tr w:rsidR="00471D53" w14:paraId="096146B5" w14:textId="77777777" w:rsidTr="00471D53">
            <w:trPr>
              <w:trHeight w:val="285"/>
            </w:trPr>
            <w:sdt>
              <w:sdtPr>
                <w:tag w:val="_PLD_1bf7e1aa06884192bd26302547776324"/>
                <w:id w:val="-879245418"/>
                <w:lock w:val="sdtLocked"/>
              </w:sdtPr>
              <w:sdtEndPr/>
              <w:sdtContent>
                <w:tc>
                  <w:tcPr>
                    <w:tcW w:w="1350" w:type="pct"/>
                    <w:shd w:val="clear" w:color="auto" w:fill="auto"/>
                    <w:vAlign w:val="center"/>
                  </w:tcPr>
                  <w:p w14:paraId="7372BA4B" w14:textId="77777777" w:rsidR="00471D53" w:rsidRDefault="004F686E" w:rsidP="00471D53">
                    <w:pPr>
                      <w:rPr>
                        <w:szCs w:val="21"/>
                      </w:rPr>
                    </w:pPr>
                    <w:r>
                      <w:rPr>
                        <w:rFonts w:hint="eastAsia"/>
                        <w:szCs w:val="21"/>
                      </w:rPr>
                      <w:t>资产减值准备</w:t>
                    </w:r>
                  </w:p>
                </w:tc>
              </w:sdtContent>
            </w:sdt>
            <w:tc>
              <w:tcPr>
                <w:tcW w:w="912" w:type="pct"/>
                <w:shd w:val="clear" w:color="auto" w:fill="auto"/>
                <w:vAlign w:val="center"/>
              </w:tcPr>
              <w:p w14:paraId="4C39C7BE" w14:textId="4835AE13" w:rsidR="00471D53" w:rsidRDefault="004F686E" w:rsidP="00471D53">
                <w:pPr>
                  <w:jc w:val="right"/>
                  <w:rPr>
                    <w:sz w:val="22"/>
                  </w:rPr>
                </w:pPr>
                <w:r>
                  <w:rPr>
                    <w:rFonts w:hint="eastAsia"/>
                    <w:sz w:val="22"/>
                  </w:rPr>
                  <w:t>41,795.64</w:t>
                </w:r>
              </w:p>
            </w:tc>
            <w:tc>
              <w:tcPr>
                <w:tcW w:w="910" w:type="pct"/>
                <w:shd w:val="clear" w:color="auto" w:fill="auto"/>
                <w:vAlign w:val="center"/>
              </w:tcPr>
              <w:p w14:paraId="5FB0A2F5" w14:textId="6B90DF6C" w:rsidR="00471D53" w:rsidRDefault="004F686E" w:rsidP="00471D53">
                <w:pPr>
                  <w:jc w:val="right"/>
                  <w:rPr>
                    <w:sz w:val="22"/>
                  </w:rPr>
                </w:pPr>
                <w:r>
                  <w:rPr>
                    <w:rFonts w:hint="eastAsia"/>
                    <w:sz w:val="22"/>
                  </w:rPr>
                  <w:t>10,448.91</w:t>
                </w:r>
              </w:p>
            </w:tc>
            <w:tc>
              <w:tcPr>
                <w:tcW w:w="919" w:type="pct"/>
                <w:shd w:val="clear" w:color="auto" w:fill="auto"/>
                <w:vAlign w:val="center"/>
              </w:tcPr>
              <w:p w14:paraId="1668702A" w14:textId="77777777" w:rsidR="00471D53" w:rsidRDefault="004F686E" w:rsidP="00471D53">
                <w:pPr>
                  <w:jc w:val="right"/>
                  <w:rPr>
                    <w:sz w:val="22"/>
                  </w:rPr>
                </w:pPr>
                <w:r>
                  <w:rPr>
                    <w:rFonts w:cs="Calibri" w:hint="eastAsia"/>
                    <w:sz w:val="22"/>
                  </w:rPr>
                  <w:t>982,158.80</w:t>
                </w:r>
              </w:p>
            </w:tc>
            <w:tc>
              <w:tcPr>
                <w:tcW w:w="909" w:type="pct"/>
                <w:shd w:val="clear" w:color="auto" w:fill="auto"/>
                <w:vAlign w:val="center"/>
              </w:tcPr>
              <w:p w14:paraId="3FA3C8F5" w14:textId="77777777" w:rsidR="00471D53" w:rsidRDefault="004F686E" w:rsidP="00471D53">
                <w:pPr>
                  <w:jc w:val="right"/>
                  <w:rPr>
                    <w:sz w:val="22"/>
                  </w:rPr>
                </w:pPr>
                <w:r>
                  <w:rPr>
                    <w:rFonts w:cs="Calibri" w:hint="eastAsia"/>
                    <w:sz w:val="22"/>
                  </w:rPr>
                  <w:t>245,539.71</w:t>
                </w:r>
              </w:p>
            </w:tc>
          </w:tr>
          <w:tr w:rsidR="00471D53" w14:paraId="6172C491" w14:textId="77777777" w:rsidTr="00471D53">
            <w:trPr>
              <w:trHeight w:val="285"/>
            </w:trPr>
            <w:sdt>
              <w:sdtPr>
                <w:tag w:val="_PLD_024091818f2b4c9386a36ed63f88f791"/>
                <w:id w:val="1005479185"/>
                <w:lock w:val="sdtLocked"/>
              </w:sdtPr>
              <w:sdtEndPr/>
              <w:sdtContent>
                <w:tc>
                  <w:tcPr>
                    <w:tcW w:w="1350" w:type="pct"/>
                    <w:shd w:val="clear" w:color="auto" w:fill="auto"/>
                    <w:vAlign w:val="center"/>
                  </w:tcPr>
                  <w:p w14:paraId="73E25036" w14:textId="77777777" w:rsidR="00471D53" w:rsidRDefault="004F686E" w:rsidP="00471D53">
                    <w:pPr>
                      <w:rPr>
                        <w:szCs w:val="21"/>
                      </w:rPr>
                    </w:pPr>
                    <w:r>
                      <w:rPr>
                        <w:rFonts w:hint="eastAsia"/>
                        <w:szCs w:val="21"/>
                      </w:rPr>
                      <w:t>内部交易未实现利润</w:t>
                    </w:r>
                  </w:p>
                </w:tc>
              </w:sdtContent>
            </w:sdt>
            <w:tc>
              <w:tcPr>
                <w:tcW w:w="912" w:type="pct"/>
                <w:shd w:val="clear" w:color="auto" w:fill="auto"/>
              </w:tcPr>
              <w:p w14:paraId="77D4020B" w14:textId="77777777" w:rsidR="00471D53" w:rsidRDefault="00B664AF" w:rsidP="00471D53">
                <w:pPr>
                  <w:jc w:val="right"/>
                  <w:rPr>
                    <w:szCs w:val="21"/>
                  </w:rPr>
                </w:pPr>
              </w:p>
            </w:tc>
            <w:tc>
              <w:tcPr>
                <w:tcW w:w="910" w:type="pct"/>
                <w:shd w:val="clear" w:color="auto" w:fill="auto"/>
              </w:tcPr>
              <w:p w14:paraId="1B5F6273" w14:textId="77777777" w:rsidR="00471D53" w:rsidRDefault="00B664AF" w:rsidP="00471D53">
                <w:pPr>
                  <w:jc w:val="right"/>
                  <w:rPr>
                    <w:szCs w:val="21"/>
                  </w:rPr>
                </w:pPr>
              </w:p>
            </w:tc>
            <w:tc>
              <w:tcPr>
                <w:tcW w:w="919" w:type="pct"/>
                <w:shd w:val="clear" w:color="auto" w:fill="auto"/>
              </w:tcPr>
              <w:p w14:paraId="35509265" w14:textId="77777777" w:rsidR="00471D53" w:rsidRDefault="00B664AF" w:rsidP="00471D53">
                <w:pPr>
                  <w:jc w:val="right"/>
                  <w:rPr>
                    <w:szCs w:val="21"/>
                  </w:rPr>
                </w:pPr>
              </w:p>
            </w:tc>
            <w:tc>
              <w:tcPr>
                <w:tcW w:w="909" w:type="pct"/>
                <w:shd w:val="clear" w:color="auto" w:fill="auto"/>
              </w:tcPr>
              <w:p w14:paraId="6F0D0481" w14:textId="77777777" w:rsidR="00471D53" w:rsidRDefault="00B664AF" w:rsidP="00471D53">
                <w:pPr>
                  <w:jc w:val="right"/>
                  <w:rPr>
                    <w:szCs w:val="21"/>
                  </w:rPr>
                </w:pPr>
              </w:p>
            </w:tc>
          </w:tr>
          <w:tr w:rsidR="00471D53" w14:paraId="1C14612C" w14:textId="77777777" w:rsidTr="00471D53">
            <w:trPr>
              <w:trHeight w:val="285"/>
            </w:trPr>
            <w:sdt>
              <w:sdtPr>
                <w:tag w:val="_PLD_cab9951be3e845939320c38b7e9544d7"/>
                <w:id w:val="-1482236222"/>
                <w:lock w:val="sdtLocked"/>
              </w:sdtPr>
              <w:sdtEndPr/>
              <w:sdtContent>
                <w:tc>
                  <w:tcPr>
                    <w:tcW w:w="1350" w:type="pct"/>
                    <w:tcBorders>
                      <w:bottom w:val="single" w:sz="4" w:space="0" w:color="auto"/>
                    </w:tcBorders>
                    <w:shd w:val="clear" w:color="auto" w:fill="auto"/>
                    <w:vAlign w:val="center"/>
                  </w:tcPr>
                  <w:p w14:paraId="0AEBEAB0" w14:textId="77777777" w:rsidR="00471D53" w:rsidRDefault="004F686E" w:rsidP="00471D53">
                    <w:pPr>
                      <w:rPr>
                        <w:szCs w:val="21"/>
                      </w:rPr>
                    </w:pPr>
                    <w:r>
                      <w:rPr>
                        <w:rFonts w:hint="eastAsia"/>
                        <w:szCs w:val="21"/>
                      </w:rPr>
                      <w:t>可抵扣亏损</w:t>
                    </w:r>
                  </w:p>
                </w:tc>
              </w:sdtContent>
            </w:sdt>
            <w:tc>
              <w:tcPr>
                <w:tcW w:w="912" w:type="pct"/>
                <w:shd w:val="clear" w:color="auto" w:fill="auto"/>
              </w:tcPr>
              <w:p w14:paraId="162A22A5" w14:textId="77777777" w:rsidR="00471D53" w:rsidRDefault="00B664AF" w:rsidP="00471D53">
                <w:pPr>
                  <w:jc w:val="right"/>
                  <w:rPr>
                    <w:szCs w:val="21"/>
                  </w:rPr>
                </w:pPr>
              </w:p>
            </w:tc>
            <w:tc>
              <w:tcPr>
                <w:tcW w:w="910" w:type="pct"/>
                <w:shd w:val="clear" w:color="auto" w:fill="auto"/>
              </w:tcPr>
              <w:p w14:paraId="697FBEB9" w14:textId="77777777" w:rsidR="00471D53" w:rsidRDefault="00B664AF" w:rsidP="00471D53">
                <w:pPr>
                  <w:jc w:val="right"/>
                  <w:rPr>
                    <w:szCs w:val="21"/>
                  </w:rPr>
                </w:pPr>
              </w:p>
            </w:tc>
            <w:tc>
              <w:tcPr>
                <w:tcW w:w="919" w:type="pct"/>
                <w:shd w:val="clear" w:color="auto" w:fill="auto"/>
              </w:tcPr>
              <w:p w14:paraId="64C4B48B" w14:textId="77777777" w:rsidR="00471D53" w:rsidRDefault="00B664AF" w:rsidP="00471D53">
                <w:pPr>
                  <w:jc w:val="right"/>
                  <w:rPr>
                    <w:szCs w:val="21"/>
                  </w:rPr>
                </w:pPr>
              </w:p>
            </w:tc>
            <w:tc>
              <w:tcPr>
                <w:tcW w:w="909" w:type="pct"/>
                <w:shd w:val="clear" w:color="auto" w:fill="auto"/>
              </w:tcPr>
              <w:p w14:paraId="694F2391" w14:textId="77777777" w:rsidR="00471D53" w:rsidRDefault="00B664AF" w:rsidP="00471D53">
                <w:pPr>
                  <w:jc w:val="right"/>
                  <w:rPr>
                    <w:szCs w:val="21"/>
                  </w:rPr>
                </w:pPr>
              </w:p>
            </w:tc>
          </w:tr>
          <w:sdt>
            <w:sdtPr>
              <w:rPr>
                <w:szCs w:val="21"/>
              </w:rPr>
              <w:alias w:val="递延所得税资产明细"/>
              <w:tag w:val="_GBC_78d44848a87d4473a54948d3e2adbb46"/>
              <w:id w:val="503097248"/>
              <w:lock w:val="sdtLocked"/>
            </w:sdtPr>
            <w:sdtEndPr/>
            <w:sdtContent>
              <w:tr w:rsidR="00471D53" w14:paraId="452A94C6" w14:textId="77777777" w:rsidTr="00471D53">
                <w:trPr>
                  <w:trHeight w:val="285"/>
                </w:trPr>
                <w:tc>
                  <w:tcPr>
                    <w:tcW w:w="1350" w:type="pct"/>
                    <w:shd w:val="clear" w:color="auto" w:fill="auto"/>
                    <w:vAlign w:val="center"/>
                  </w:tcPr>
                  <w:p w14:paraId="54E09340" w14:textId="77777777" w:rsidR="00471D53" w:rsidRDefault="004F686E" w:rsidP="00471D53">
                    <w:pPr>
                      <w:rPr>
                        <w:szCs w:val="21"/>
                      </w:rPr>
                    </w:pPr>
                    <w:r>
                      <w:t>折旧年限差异</w:t>
                    </w:r>
                  </w:p>
                </w:tc>
                <w:tc>
                  <w:tcPr>
                    <w:tcW w:w="912" w:type="pct"/>
                    <w:shd w:val="clear" w:color="auto" w:fill="auto"/>
                  </w:tcPr>
                  <w:p w14:paraId="467DD5EB" w14:textId="77777777" w:rsidR="00471D53" w:rsidRDefault="004F686E" w:rsidP="00471D53">
                    <w:pPr>
                      <w:jc w:val="right"/>
                      <w:rPr>
                        <w:szCs w:val="21"/>
                      </w:rPr>
                    </w:pPr>
                    <w:r>
                      <w:t>212,106.62</w:t>
                    </w:r>
                  </w:p>
                </w:tc>
                <w:tc>
                  <w:tcPr>
                    <w:tcW w:w="910" w:type="pct"/>
                    <w:shd w:val="clear" w:color="auto" w:fill="auto"/>
                  </w:tcPr>
                  <w:p w14:paraId="64845FC7" w14:textId="77777777" w:rsidR="00471D53" w:rsidRDefault="004F686E" w:rsidP="00471D53">
                    <w:pPr>
                      <w:jc w:val="right"/>
                      <w:rPr>
                        <w:szCs w:val="21"/>
                      </w:rPr>
                    </w:pPr>
                    <w:r>
                      <w:t>44,542.39</w:t>
                    </w:r>
                  </w:p>
                </w:tc>
                <w:tc>
                  <w:tcPr>
                    <w:tcW w:w="919" w:type="pct"/>
                    <w:shd w:val="clear" w:color="auto" w:fill="auto"/>
                  </w:tcPr>
                  <w:p w14:paraId="455B331A" w14:textId="77777777" w:rsidR="00471D53" w:rsidRDefault="004F686E" w:rsidP="00471D53">
                    <w:pPr>
                      <w:jc w:val="right"/>
                      <w:rPr>
                        <w:szCs w:val="21"/>
                      </w:rPr>
                    </w:pPr>
                    <w:r>
                      <w:t>201,370.86</w:t>
                    </w:r>
                  </w:p>
                </w:tc>
                <w:tc>
                  <w:tcPr>
                    <w:tcW w:w="909" w:type="pct"/>
                    <w:shd w:val="clear" w:color="auto" w:fill="auto"/>
                  </w:tcPr>
                  <w:p w14:paraId="56C4562B" w14:textId="77777777" w:rsidR="00471D53" w:rsidRDefault="004F686E" w:rsidP="00471D53">
                    <w:pPr>
                      <w:jc w:val="right"/>
                      <w:rPr>
                        <w:szCs w:val="21"/>
                      </w:rPr>
                    </w:pPr>
                    <w:r>
                      <w:t>42,287.88</w:t>
                    </w:r>
                  </w:p>
                </w:tc>
              </w:tr>
            </w:sdtContent>
          </w:sdt>
          <w:sdt>
            <w:sdtPr>
              <w:rPr>
                <w:szCs w:val="21"/>
              </w:rPr>
              <w:alias w:val="递延所得税资产明细"/>
              <w:tag w:val="_GBC_78d44848a87d4473a54948d3e2adbb46"/>
              <w:id w:val="112880105"/>
              <w:lock w:val="sdtLocked"/>
            </w:sdtPr>
            <w:sdtEndPr/>
            <w:sdtContent>
              <w:tr w:rsidR="00471D53" w14:paraId="4B392A7A" w14:textId="77777777" w:rsidTr="00471D53">
                <w:trPr>
                  <w:trHeight w:val="285"/>
                </w:trPr>
                <w:tc>
                  <w:tcPr>
                    <w:tcW w:w="1350" w:type="pct"/>
                    <w:shd w:val="clear" w:color="auto" w:fill="auto"/>
                    <w:vAlign w:val="center"/>
                  </w:tcPr>
                  <w:p w14:paraId="31AB6986" w14:textId="77777777" w:rsidR="00471D53" w:rsidRDefault="00B664AF" w:rsidP="00471D53">
                    <w:pPr>
                      <w:rPr>
                        <w:szCs w:val="21"/>
                      </w:rPr>
                    </w:pPr>
                  </w:p>
                </w:tc>
                <w:tc>
                  <w:tcPr>
                    <w:tcW w:w="912" w:type="pct"/>
                    <w:shd w:val="clear" w:color="auto" w:fill="auto"/>
                  </w:tcPr>
                  <w:p w14:paraId="17FC0AD4" w14:textId="77777777" w:rsidR="00471D53" w:rsidRDefault="00B664AF" w:rsidP="00471D53">
                    <w:pPr>
                      <w:jc w:val="right"/>
                      <w:rPr>
                        <w:szCs w:val="21"/>
                      </w:rPr>
                    </w:pPr>
                  </w:p>
                </w:tc>
                <w:tc>
                  <w:tcPr>
                    <w:tcW w:w="910" w:type="pct"/>
                    <w:shd w:val="clear" w:color="auto" w:fill="auto"/>
                  </w:tcPr>
                  <w:p w14:paraId="3B3835FE" w14:textId="77777777" w:rsidR="00471D53" w:rsidRDefault="00B664AF" w:rsidP="00471D53">
                    <w:pPr>
                      <w:jc w:val="right"/>
                      <w:rPr>
                        <w:szCs w:val="21"/>
                      </w:rPr>
                    </w:pPr>
                  </w:p>
                </w:tc>
                <w:tc>
                  <w:tcPr>
                    <w:tcW w:w="919" w:type="pct"/>
                    <w:shd w:val="clear" w:color="auto" w:fill="auto"/>
                  </w:tcPr>
                  <w:p w14:paraId="767C15FB" w14:textId="77777777" w:rsidR="00471D53" w:rsidRDefault="00B664AF" w:rsidP="00471D53">
                    <w:pPr>
                      <w:jc w:val="right"/>
                      <w:rPr>
                        <w:szCs w:val="21"/>
                      </w:rPr>
                    </w:pPr>
                  </w:p>
                </w:tc>
                <w:tc>
                  <w:tcPr>
                    <w:tcW w:w="909" w:type="pct"/>
                    <w:shd w:val="clear" w:color="auto" w:fill="auto"/>
                  </w:tcPr>
                  <w:p w14:paraId="11642DAE" w14:textId="77777777" w:rsidR="00471D53" w:rsidRDefault="00B664AF" w:rsidP="00471D53">
                    <w:pPr>
                      <w:jc w:val="right"/>
                      <w:rPr>
                        <w:szCs w:val="21"/>
                      </w:rPr>
                    </w:pPr>
                  </w:p>
                </w:tc>
              </w:tr>
            </w:sdtContent>
          </w:sdt>
          <w:tr w:rsidR="00471D53" w:rsidRPr="004C3BA8" w14:paraId="689717D4" w14:textId="77777777" w:rsidTr="00471D53">
            <w:trPr>
              <w:trHeight w:val="285"/>
            </w:trPr>
            <w:sdt>
              <w:sdtPr>
                <w:tag w:val="_PLD_aff9781bbd7249709be440b59752c5c2"/>
                <w:id w:val="1859695895"/>
                <w:lock w:val="sdtLocked"/>
              </w:sdtPr>
              <w:sdtEndPr/>
              <w:sdtContent>
                <w:tc>
                  <w:tcPr>
                    <w:tcW w:w="1350" w:type="pct"/>
                    <w:shd w:val="clear" w:color="auto" w:fill="auto"/>
                    <w:vAlign w:val="center"/>
                  </w:tcPr>
                  <w:p w14:paraId="28097750" w14:textId="77777777" w:rsidR="00471D53" w:rsidRDefault="004F686E" w:rsidP="00471D53">
                    <w:pPr>
                      <w:jc w:val="center"/>
                      <w:rPr>
                        <w:szCs w:val="21"/>
                      </w:rPr>
                    </w:pPr>
                    <w:r>
                      <w:rPr>
                        <w:rFonts w:hint="eastAsia"/>
                        <w:szCs w:val="21"/>
                      </w:rPr>
                      <w:t>合计</w:t>
                    </w:r>
                  </w:p>
                </w:tc>
              </w:sdtContent>
            </w:sdt>
            <w:tc>
              <w:tcPr>
                <w:tcW w:w="912" w:type="pct"/>
                <w:shd w:val="clear" w:color="auto" w:fill="auto"/>
                <w:vAlign w:val="center"/>
              </w:tcPr>
              <w:p w14:paraId="638E86E0" w14:textId="77777777" w:rsidR="00471D53" w:rsidRDefault="004F686E" w:rsidP="00471D53">
                <w:pPr>
                  <w:jc w:val="right"/>
                  <w:rPr>
                    <w:sz w:val="24"/>
                  </w:rPr>
                </w:pPr>
                <w:r>
                  <w:t>253,902.26</w:t>
                </w:r>
              </w:p>
            </w:tc>
            <w:tc>
              <w:tcPr>
                <w:tcW w:w="910" w:type="pct"/>
                <w:shd w:val="clear" w:color="auto" w:fill="auto"/>
                <w:vAlign w:val="center"/>
              </w:tcPr>
              <w:p w14:paraId="6DD93323" w14:textId="77777777" w:rsidR="00471D53" w:rsidRDefault="004F686E" w:rsidP="00471D53">
                <w:pPr>
                  <w:jc w:val="right"/>
                  <w:rPr>
                    <w:sz w:val="24"/>
                  </w:rPr>
                </w:pPr>
                <w:r>
                  <w:t>54,991.30</w:t>
                </w:r>
              </w:p>
            </w:tc>
            <w:tc>
              <w:tcPr>
                <w:tcW w:w="919" w:type="pct"/>
                <w:shd w:val="clear" w:color="auto" w:fill="auto"/>
                <w:vAlign w:val="center"/>
              </w:tcPr>
              <w:p w14:paraId="408BB7E8" w14:textId="77777777" w:rsidR="00471D53" w:rsidRDefault="004F686E" w:rsidP="00471D53">
                <w:pPr>
                  <w:jc w:val="right"/>
                  <w:rPr>
                    <w:sz w:val="24"/>
                  </w:rPr>
                </w:pPr>
                <w:r>
                  <w:t>1,183,529.66</w:t>
                </w:r>
              </w:p>
            </w:tc>
            <w:tc>
              <w:tcPr>
                <w:tcW w:w="909" w:type="pct"/>
                <w:shd w:val="clear" w:color="auto" w:fill="auto"/>
                <w:vAlign w:val="center"/>
              </w:tcPr>
              <w:p w14:paraId="4B1B123A" w14:textId="77777777" w:rsidR="00471D53" w:rsidRDefault="004F686E" w:rsidP="00471D53">
                <w:pPr>
                  <w:jc w:val="right"/>
                  <w:rPr>
                    <w:sz w:val="24"/>
                  </w:rPr>
                </w:pPr>
                <w:r>
                  <w:t>287,827.59</w:t>
                </w:r>
              </w:p>
            </w:tc>
          </w:tr>
        </w:tbl>
        <w:p w14:paraId="077A1B47" w14:textId="77777777" w:rsidR="00471D53" w:rsidRPr="004C3BA8" w:rsidRDefault="00B664AF" w:rsidP="00471D53"/>
      </w:sdtContent>
    </w:sdt>
    <w:p w14:paraId="3936EF63" w14:textId="77777777" w:rsidR="00471D53" w:rsidRDefault="00B664AF"/>
    <w:bookmarkStart w:id="182" w:name="_Hlk11160621" w:displacedByCustomXml="next"/>
    <w:sdt>
      <w:sdtPr>
        <w:rPr>
          <w:rFonts w:ascii="宋体" w:hAnsi="宋体" w:cs="宋体" w:hint="eastAsia"/>
          <w:b w:val="0"/>
          <w:bCs w:val="0"/>
          <w:kern w:val="0"/>
          <w:szCs w:val="24"/>
        </w:rPr>
        <w:alias w:val="模块:未经抵销的递延所得税负债"/>
        <w:tag w:val="_SEC_022eb52f9e1542cbb5aaa5a287b8ee2a"/>
        <w:id w:val="-17632153"/>
        <w:lock w:val="sdtLocked"/>
        <w:placeholder>
          <w:docPart w:val="GBC22222222222222222222222222222"/>
        </w:placeholder>
      </w:sdtPr>
      <w:sdtEndPr>
        <w:rPr>
          <w:rFonts w:hint="default"/>
        </w:rPr>
      </w:sdtEndPr>
      <w:sdtContent>
        <w:p w14:paraId="0B8A7DF0" w14:textId="77777777" w:rsidR="00471D53" w:rsidRDefault="004F686E" w:rsidP="004F686E">
          <w:pPr>
            <w:pStyle w:val="afffff8"/>
            <w:numPr>
              <w:ilvl w:val="0"/>
              <w:numId w:val="76"/>
            </w:numPr>
            <w:tabs>
              <w:tab w:val="left" w:pos="588"/>
              <w:tab w:val="left" w:pos="616"/>
            </w:tabs>
            <w:rPr>
              <w:rFonts w:ascii="宋体" w:hAnsi="宋体"/>
            </w:rPr>
          </w:pPr>
          <w:r>
            <w:rPr>
              <w:rFonts w:ascii="宋体" w:hAnsi="宋体" w:hint="eastAsia"/>
            </w:rPr>
            <w:t>未经抵销的递延所得税负债</w:t>
          </w:r>
        </w:p>
        <w:sdt>
          <w:sdtPr>
            <w:alias w:val="是否适用：未经抵销的递延所得税负债[双击切换]"/>
            <w:tag w:val="_GBC_e9cf2825b61d4a9ca57e90c2ed017173"/>
            <w:id w:val="-354574566"/>
            <w:lock w:val="sdtLocked"/>
            <w:placeholder>
              <w:docPart w:val="GBC22222222222222222222222222222"/>
            </w:placeholder>
          </w:sdtPr>
          <w:sdtEndPr/>
          <w:sdtContent>
            <w:p w14:paraId="5B0E12EA"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82"/>
    <w:p w14:paraId="33626453" w14:textId="77777777" w:rsidR="00471D53" w:rsidRDefault="00B664AF"/>
    <w:bookmarkStart w:id="183" w:name="_Hlk11160645" w:displacedByCustomXml="next"/>
    <w:sdt>
      <w:sdtPr>
        <w:rPr>
          <w:rFonts w:ascii="宋体" w:hAnsi="宋体" w:cs="宋体" w:hint="eastAsia"/>
          <w:b w:val="0"/>
          <w:bCs w:val="0"/>
          <w:kern w:val="0"/>
          <w:szCs w:val="24"/>
        </w:rPr>
        <w:alias w:val="模块:以抵销后净额列示的递延所得税资产或负债"/>
        <w:tag w:val="_SEC_393d53219fe44274aa0bc5257c75c762"/>
        <w:id w:val="1434861306"/>
        <w:lock w:val="sdtLocked"/>
        <w:placeholder>
          <w:docPart w:val="GBC22222222222222222222222222222"/>
        </w:placeholder>
      </w:sdtPr>
      <w:sdtEndPr>
        <w:rPr>
          <w:rFonts w:hint="default"/>
        </w:rPr>
      </w:sdtEndPr>
      <w:sdtContent>
        <w:p w14:paraId="60AF924D" w14:textId="77777777" w:rsidR="00471D53" w:rsidRDefault="004F686E" w:rsidP="004F686E">
          <w:pPr>
            <w:pStyle w:val="afffff8"/>
            <w:numPr>
              <w:ilvl w:val="0"/>
              <w:numId w:val="76"/>
            </w:numPr>
            <w:tabs>
              <w:tab w:val="left" w:pos="588"/>
              <w:tab w:val="left" w:pos="616"/>
            </w:tabs>
            <w:rPr>
              <w:rFonts w:ascii="宋体" w:hAnsi="宋体"/>
            </w:rPr>
          </w:pPr>
          <w:r>
            <w:rPr>
              <w:rFonts w:ascii="宋体" w:hAnsi="宋体" w:hint="eastAsia"/>
            </w:rPr>
            <w:t>以抵销后净额列示的递延所得税资产或负债</w:t>
          </w:r>
        </w:p>
        <w:sdt>
          <w:sdtPr>
            <w:alias w:val="是否适用：以抵销后净额列示的递延所得税资产或负债[双击切换]"/>
            <w:tag w:val="_GBC_d6419a9d2dc94127a5f6aea72cb2a94d"/>
            <w:id w:val="-2119598444"/>
            <w:lock w:val="sdtLocked"/>
            <w:placeholder>
              <w:docPart w:val="GBC22222222222222222222222222222"/>
            </w:placeholder>
          </w:sdtPr>
          <w:sdtEndPr/>
          <w:sdtContent>
            <w:p w14:paraId="4A8C7F1F"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83"/>
    <w:p w14:paraId="49A8BDF4" w14:textId="77777777" w:rsidR="00471D53" w:rsidRDefault="00B664AF">
      <w:pPr>
        <w:ind w:right="113"/>
        <w:rPr>
          <w:szCs w:val="21"/>
        </w:rPr>
      </w:pPr>
    </w:p>
    <w:bookmarkStart w:id="184" w:name="_Hlk11160660" w:displacedByCustomXml="next"/>
    <w:sdt>
      <w:sdtPr>
        <w:rPr>
          <w:rFonts w:ascii="宋体" w:hAnsi="宋体" w:cs="宋体" w:hint="eastAsia"/>
          <w:b w:val="0"/>
          <w:bCs w:val="0"/>
          <w:kern w:val="0"/>
          <w:szCs w:val="21"/>
        </w:rPr>
        <w:alias w:val="模块:未确认递延所得税资产明细"/>
        <w:tag w:val="_SEC_858c4743950048c4949e354ac068e8af"/>
        <w:id w:val="-1929802136"/>
        <w:lock w:val="sdtLocked"/>
        <w:placeholder>
          <w:docPart w:val="GBC22222222222222222222222222222"/>
        </w:placeholder>
      </w:sdtPr>
      <w:sdtEndPr>
        <w:rPr>
          <w:rFonts w:hint="default"/>
          <w:szCs w:val="24"/>
        </w:rPr>
      </w:sdtEndPr>
      <w:sdtContent>
        <w:p w14:paraId="698C253C" w14:textId="77777777" w:rsidR="00471D53" w:rsidRDefault="004F686E" w:rsidP="004F686E">
          <w:pPr>
            <w:pStyle w:val="afffff8"/>
            <w:numPr>
              <w:ilvl w:val="0"/>
              <w:numId w:val="76"/>
            </w:numPr>
            <w:tabs>
              <w:tab w:val="left" w:pos="588"/>
              <w:tab w:val="left" w:pos="616"/>
            </w:tabs>
            <w:rPr>
              <w:rFonts w:ascii="宋体" w:hAnsi="宋体"/>
              <w:szCs w:val="21"/>
            </w:rPr>
          </w:pPr>
          <w:r>
            <w:rPr>
              <w:rFonts w:ascii="宋体" w:hAnsi="宋体" w:hint="eastAsia"/>
              <w:szCs w:val="21"/>
            </w:rPr>
            <w:t>未确认递延</w:t>
          </w:r>
          <w:r>
            <w:rPr>
              <w:rFonts w:ascii="宋体" w:hAnsi="宋体" w:hint="eastAsia"/>
            </w:rPr>
            <w:t>所得税</w:t>
          </w:r>
          <w:r>
            <w:rPr>
              <w:rFonts w:ascii="宋体" w:hAnsi="宋体" w:hint="eastAsia"/>
              <w:szCs w:val="21"/>
            </w:rPr>
            <w:t>资产明细</w:t>
          </w:r>
        </w:p>
        <w:sdt>
          <w:sdtPr>
            <w:alias w:val="是否适用：未确认递延所得税资产明细[双击切换]"/>
            <w:tag w:val="_GBC_f210878b05204277b5f70ed9ae786ea7"/>
            <w:id w:val="1426075672"/>
            <w:lock w:val="sdtLocked"/>
            <w:placeholder>
              <w:docPart w:val="GBC22222222222222222222222222222"/>
            </w:placeholder>
          </w:sdtPr>
          <w:sdtEndPr/>
          <w:sdtContent>
            <w:p w14:paraId="407D68B5"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F4E1590" w14:textId="20732380" w:rsidR="00471D53" w:rsidRDefault="004F686E">
          <w:pPr>
            <w:jc w:val="right"/>
            <w:rPr>
              <w:szCs w:val="21"/>
            </w:rPr>
          </w:pPr>
          <w:r>
            <w:rPr>
              <w:rFonts w:hint="eastAsia"/>
              <w:szCs w:val="21"/>
            </w:rPr>
            <w:t>单位：</w:t>
          </w:r>
          <w:sdt>
            <w:sdtPr>
              <w:rPr>
                <w:rFonts w:hint="eastAsia"/>
                <w:szCs w:val="21"/>
              </w:rPr>
              <w:alias w:val="单位：财务附注：未确认递延所得税资产明细"/>
              <w:tag w:val="_GBC_ce13c0c07be34b60aa76bbbf1260928d"/>
              <w:id w:val="1226565457"/>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未确认递延所得税资产明细"/>
              <w:tag w:val="_GBC_8f1c08c0092d44718e258d0b64b7bf6f"/>
              <w:id w:val="2096979702"/>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6"/>
            <w:gridCol w:w="3005"/>
            <w:gridCol w:w="3002"/>
          </w:tblGrid>
          <w:tr w:rsidR="00471D53" w14:paraId="798D74DD" w14:textId="77777777" w:rsidTr="00471D53">
            <w:trPr>
              <w:trHeight w:val="285"/>
            </w:trPr>
            <w:sdt>
              <w:sdtPr>
                <w:tag w:val="_PLD_bfd226eac09b4e2fb1cc66684c879c9b"/>
                <w:id w:val="1702366329"/>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14:paraId="5CACE680" w14:textId="77777777" w:rsidR="00471D53" w:rsidRDefault="004F686E" w:rsidP="00471D53">
                    <w:pPr>
                      <w:jc w:val="center"/>
                      <w:rPr>
                        <w:szCs w:val="21"/>
                      </w:rPr>
                    </w:pPr>
                    <w:r>
                      <w:rPr>
                        <w:rFonts w:hint="eastAsia"/>
                        <w:szCs w:val="21"/>
                      </w:rPr>
                      <w:t>项目</w:t>
                    </w:r>
                  </w:p>
                </w:tc>
              </w:sdtContent>
            </w:sdt>
            <w:sdt>
              <w:sdtPr>
                <w:tag w:val="_PLD_bba7988c74a34dcf950349beb6df1c0b"/>
                <w:id w:val="-640339902"/>
                <w:lock w:val="sdtLocked"/>
              </w:sdtPr>
              <w:sdtEndPr/>
              <w:sdtContent>
                <w:tc>
                  <w:tcPr>
                    <w:tcW w:w="1703" w:type="pct"/>
                    <w:tcBorders>
                      <w:top w:val="single" w:sz="4" w:space="0" w:color="auto"/>
                      <w:left w:val="single" w:sz="4" w:space="0" w:color="auto"/>
                      <w:bottom w:val="single" w:sz="4" w:space="0" w:color="auto"/>
                      <w:right w:val="single" w:sz="4" w:space="0" w:color="auto"/>
                    </w:tcBorders>
                    <w:vAlign w:val="center"/>
                  </w:tcPr>
                  <w:p w14:paraId="42B032D6" w14:textId="77777777" w:rsidR="00471D53" w:rsidRDefault="004F686E" w:rsidP="00471D53">
                    <w:pPr>
                      <w:jc w:val="center"/>
                      <w:rPr>
                        <w:szCs w:val="21"/>
                      </w:rPr>
                    </w:pPr>
                    <w:r>
                      <w:rPr>
                        <w:rFonts w:hint="eastAsia"/>
                        <w:szCs w:val="21"/>
                      </w:rPr>
                      <w:t>期末余额</w:t>
                    </w:r>
                  </w:p>
                </w:tc>
              </w:sdtContent>
            </w:sdt>
            <w:sdt>
              <w:sdtPr>
                <w:tag w:val="_PLD_36004da9855d4469bf16ab328077f444"/>
                <w:id w:val="-1333904950"/>
                <w:lock w:val="sdtLocked"/>
              </w:sdtPr>
              <w:sdtEndPr/>
              <w:sdtContent>
                <w:tc>
                  <w:tcPr>
                    <w:tcW w:w="1701" w:type="pct"/>
                    <w:tcBorders>
                      <w:top w:val="single" w:sz="4" w:space="0" w:color="auto"/>
                      <w:left w:val="single" w:sz="4" w:space="0" w:color="auto"/>
                      <w:bottom w:val="single" w:sz="4" w:space="0" w:color="auto"/>
                      <w:right w:val="single" w:sz="4" w:space="0" w:color="auto"/>
                    </w:tcBorders>
                    <w:vAlign w:val="center"/>
                  </w:tcPr>
                  <w:p w14:paraId="7885BD9B" w14:textId="77777777" w:rsidR="00471D53" w:rsidRDefault="004F686E" w:rsidP="00471D53">
                    <w:pPr>
                      <w:jc w:val="center"/>
                      <w:rPr>
                        <w:szCs w:val="21"/>
                      </w:rPr>
                    </w:pPr>
                    <w:r>
                      <w:rPr>
                        <w:rFonts w:hint="eastAsia"/>
                        <w:szCs w:val="21"/>
                      </w:rPr>
                      <w:t>期初余额</w:t>
                    </w:r>
                  </w:p>
                </w:tc>
              </w:sdtContent>
            </w:sdt>
          </w:tr>
          <w:tr w:rsidR="00471D53" w14:paraId="73D7E88D" w14:textId="77777777" w:rsidTr="00471D53">
            <w:trPr>
              <w:trHeight w:val="285"/>
            </w:trPr>
            <w:sdt>
              <w:sdtPr>
                <w:tag w:val="_PLD_381c26214cb146ecba0c66da7cccbb9b"/>
                <w:id w:val="1162283138"/>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14:paraId="42C94BA1" w14:textId="77777777" w:rsidR="00471D53" w:rsidRDefault="004F686E" w:rsidP="00471D53">
                    <w:pPr>
                      <w:rPr>
                        <w:szCs w:val="21"/>
                      </w:rPr>
                    </w:pPr>
                    <w:r>
                      <w:rPr>
                        <w:rFonts w:hint="eastAsia"/>
                        <w:szCs w:val="21"/>
                      </w:rPr>
                      <w:t>可抵扣暂时性差异</w:t>
                    </w:r>
                  </w:p>
                </w:tc>
              </w:sdtContent>
            </w:sdt>
            <w:tc>
              <w:tcPr>
                <w:tcW w:w="1703" w:type="pct"/>
                <w:tcBorders>
                  <w:top w:val="single" w:sz="4" w:space="0" w:color="auto"/>
                  <w:left w:val="single" w:sz="4" w:space="0" w:color="auto"/>
                  <w:bottom w:val="single" w:sz="4" w:space="0" w:color="auto"/>
                  <w:right w:val="single" w:sz="4" w:space="0" w:color="auto"/>
                </w:tcBorders>
              </w:tcPr>
              <w:p w14:paraId="09B8D2AC" w14:textId="77777777" w:rsidR="00471D53" w:rsidRDefault="00B664AF" w:rsidP="00471D53">
                <w:pPr>
                  <w:jc w:val="right"/>
                  <w:rPr>
                    <w:szCs w:val="21"/>
                  </w:rPr>
                </w:pPr>
              </w:p>
            </w:tc>
            <w:tc>
              <w:tcPr>
                <w:tcW w:w="1701" w:type="pct"/>
                <w:tcBorders>
                  <w:top w:val="single" w:sz="4" w:space="0" w:color="auto"/>
                  <w:left w:val="single" w:sz="4" w:space="0" w:color="auto"/>
                  <w:bottom w:val="single" w:sz="4" w:space="0" w:color="auto"/>
                  <w:right w:val="single" w:sz="4" w:space="0" w:color="auto"/>
                </w:tcBorders>
              </w:tcPr>
              <w:p w14:paraId="1276D50C" w14:textId="77777777" w:rsidR="00471D53" w:rsidRDefault="00B664AF" w:rsidP="00471D53">
                <w:pPr>
                  <w:jc w:val="right"/>
                  <w:rPr>
                    <w:szCs w:val="21"/>
                  </w:rPr>
                </w:pPr>
              </w:p>
            </w:tc>
          </w:tr>
          <w:tr w:rsidR="00471D53" w14:paraId="45C0E44B" w14:textId="77777777" w:rsidTr="00471D53">
            <w:trPr>
              <w:trHeight w:val="285"/>
            </w:trPr>
            <w:sdt>
              <w:sdtPr>
                <w:tag w:val="_PLD_7d61d57f3afe461287d338be31b7f128"/>
                <w:id w:val="-1130317247"/>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14:paraId="3D015618" w14:textId="77777777" w:rsidR="00471D53" w:rsidRDefault="004F686E" w:rsidP="00471D53">
                    <w:pPr>
                      <w:rPr>
                        <w:szCs w:val="21"/>
                      </w:rPr>
                    </w:pPr>
                    <w:r>
                      <w:rPr>
                        <w:rFonts w:hint="eastAsia"/>
                        <w:szCs w:val="21"/>
                      </w:rPr>
                      <w:t>可抵扣亏损</w:t>
                    </w:r>
                  </w:p>
                </w:tc>
              </w:sdtContent>
            </w:sdt>
            <w:tc>
              <w:tcPr>
                <w:tcW w:w="1703" w:type="pct"/>
                <w:tcBorders>
                  <w:top w:val="single" w:sz="4" w:space="0" w:color="auto"/>
                  <w:left w:val="single" w:sz="4" w:space="0" w:color="auto"/>
                  <w:bottom w:val="single" w:sz="4" w:space="0" w:color="auto"/>
                  <w:right w:val="single" w:sz="4" w:space="0" w:color="auto"/>
                </w:tcBorders>
              </w:tcPr>
              <w:p w14:paraId="3DC6084E" w14:textId="77777777" w:rsidR="00471D53" w:rsidRDefault="004F686E" w:rsidP="00471D53">
                <w:pPr>
                  <w:jc w:val="right"/>
                  <w:rPr>
                    <w:szCs w:val="21"/>
                  </w:rPr>
                </w:pPr>
                <w:r>
                  <w:t>456,591,210.36</w:t>
                </w:r>
              </w:p>
            </w:tc>
            <w:tc>
              <w:tcPr>
                <w:tcW w:w="1701" w:type="pct"/>
                <w:tcBorders>
                  <w:top w:val="single" w:sz="4" w:space="0" w:color="auto"/>
                  <w:left w:val="single" w:sz="4" w:space="0" w:color="auto"/>
                  <w:bottom w:val="single" w:sz="4" w:space="0" w:color="auto"/>
                  <w:right w:val="single" w:sz="4" w:space="0" w:color="auto"/>
                </w:tcBorders>
              </w:tcPr>
              <w:p w14:paraId="71397EC3" w14:textId="77777777" w:rsidR="00471D53" w:rsidRDefault="004F686E" w:rsidP="00471D53">
                <w:pPr>
                  <w:jc w:val="right"/>
                  <w:rPr>
                    <w:szCs w:val="21"/>
                  </w:rPr>
                </w:pPr>
                <w:r>
                  <w:t>456,591,210.36</w:t>
                </w:r>
              </w:p>
            </w:tc>
          </w:tr>
          <w:sdt>
            <w:sdtPr>
              <w:rPr>
                <w:rFonts w:hint="eastAsia"/>
                <w:szCs w:val="21"/>
              </w:rPr>
              <w:alias w:val="未确认递延所得税资产明细"/>
              <w:tag w:val="_GBC_dececa13e6ec42e9a7b6dc670fa5ccbb"/>
              <w:id w:val="-1188372523"/>
              <w:lock w:val="sdtLocked"/>
            </w:sdtPr>
            <w:sdtEndPr/>
            <w:sdtContent>
              <w:tr w:rsidR="00471D53" w14:paraId="70AE3D5A" w14:textId="77777777" w:rsidTr="00471D53">
                <w:trPr>
                  <w:trHeight w:val="285"/>
                </w:trPr>
                <w:tc>
                  <w:tcPr>
                    <w:tcW w:w="1596" w:type="pct"/>
                    <w:tcBorders>
                      <w:top w:val="single" w:sz="4" w:space="0" w:color="auto"/>
                      <w:left w:val="single" w:sz="4" w:space="0" w:color="auto"/>
                      <w:bottom w:val="single" w:sz="4" w:space="0" w:color="auto"/>
                      <w:right w:val="single" w:sz="4" w:space="0" w:color="auto"/>
                    </w:tcBorders>
                  </w:tcPr>
                  <w:p w14:paraId="1402E8FD" w14:textId="77777777" w:rsidR="00471D53" w:rsidRDefault="004F686E" w:rsidP="00471D53">
                    <w:pPr>
                      <w:rPr>
                        <w:szCs w:val="21"/>
                      </w:rPr>
                    </w:pPr>
                    <w:r>
                      <w:rPr>
                        <w:rFonts w:hint="eastAsia"/>
                        <w:szCs w:val="21"/>
                      </w:rPr>
                      <w:t>资产减值准备</w:t>
                    </w:r>
                  </w:p>
                </w:tc>
                <w:tc>
                  <w:tcPr>
                    <w:tcW w:w="1703" w:type="pct"/>
                    <w:tcBorders>
                      <w:top w:val="single" w:sz="4" w:space="0" w:color="auto"/>
                      <w:left w:val="single" w:sz="4" w:space="0" w:color="auto"/>
                      <w:bottom w:val="single" w:sz="4" w:space="0" w:color="auto"/>
                      <w:right w:val="single" w:sz="4" w:space="0" w:color="auto"/>
                    </w:tcBorders>
                  </w:tcPr>
                  <w:p w14:paraId="4EB10049" w14:textId="77777777" w:rsidR="00471D53" w:rsidRDefault="004F686E" w:rsidP="00471D53">
                    <w:pPr>
                      <w:jc w:val="right"/>
                      <w:rPr>
                        <w:szCs w:val="21"/>
                      </w:rPr>
                    </w:pPr>
                    <w:r>
                      <w:t>128,222,698.00</w:t>
                    </w:r>
                  </w:p>
                </w:tc>
                <w:tc>
                  <w:tcPr>
                    <w:tcW w:w="1701" w:type="pct"/>
                    <w:tcBorders>
                      <w:top w:val="single" w:sz="4" w:space="0" w:color="auto"/>
                      <w:left w:val="single" w:sz="4" w:space="0" w:color="auto"/>
                      <w:bottom w:val="single" w:sz="4" w:space="0" w:color="auto"/>
                      <w:right w:val="single" w:sz="4" w:space="0" w:color="auto"/>
                    </w:tcBorders>
                  </w:tcPr>
                  <w:p w14:paraId="7764CA35" w14:textId="77777777" w:rsidR="00471D53" w:rsidRDefault="004F686E" w:rsidP="00471D53">
                    <w:pPr>
                      <w:jc w:val="right"/>
                      <w:rPr>
                        <w:szCs w:val="21"/>
                      </w:rPr>
                    </w:pPr>
                    <w:r>
                      <w:t>152,944,402.18</w:t>
                    </w:r>
                  </w:p>
                </w:tc>
              </w:tr>
            </w:sdtContent>
          </w:sdt>
          <w:sdt>
            <w:sdtPr>
              <w:rPr>
                <w:rFonts w:hint="eastAsia"/>
                <w:szCs w:val="21"/>
              </w:rPr>
              <w:alias w:val="未确认递延所得税资产明细"/>
              <w:tag w:val="_GBC_dececa13e6ec42e9a7b6dc670fa5ccbb"/>
              <w:id w:val="1754626389"/>
              <w:lock w:val="sdtLocked"/>
            </w:sdtPr>
            <w:sdtEndPr/>
            <w:sdtContent>
              <w:tr w:rsidR="00471D53" w14:paraId="76B57C41" w14:textId="77777777" w:rsidTr="00471D53">
                <w:trPr>
                  <w:trHeight w:val="285"/>
                </w:trPr>
                <w:tc>
                  <w:tcPr>
                    <w:tcW w:w="1596" w:type="pct"/>
                    <w:tcBorders>
                      <w:top w:val="single" w:sz="4" w:space="0" w:color="auto"/>
                      <w:left w:val="single" w:sz="4" w:space="0" w:color="auto"/>
                      <w:bottom w:val="single" w:sz="4" w:space="0" w:color="auto"/>
                      <w:right w:val="single" w:sz="4" w:space="0" w:color="auto"/>
                    </w:tcBorders>
                  </w:tcPr>
                  <w:p w14:paraId="3349B8F1" w14:textId="77777777" w:rsidR="00471D53" w:rsidRDefault="00B664AF" w:rsidP="00471D53">
                    <w:pPr>
                      <w:rPr>
                        <w:szCs w:val="21"/>
                      </w:rPr>
                    </w:pPr>
                  </w:p>
                </w:tc>
                <w:tc>
                  <w:tcPr>
                    <w:tcW w:w="1703" w:type="pct"/>
                    <w:tcBorders>
                      <w:top w:val="single" w:sz="4" w:space="0" w:color="auto"/>
                      <w:left w:val="single" w:sz="4" w:space="0" w:color="auto"/>
                      <w:bottom w:val="single" w:sz="4" w:space="0" w:color="auto"/>
                      <w:right w:val="single" w:sz="4" w:space="0" w:color="auto"/>
                    </w:tcBorders>
                  </w:tcPr>
                  <w:p w14:paraId="2E48C068" w14:textId="77777777" w:rsidR="00471D53" w:rsidRDefault="00B664AF" w:rsidP="00471D53">
                    <w:pPr>
                      <w:jc w:val="right"/>
                      <w:rPr>
                        <w:szCs w:val="21"/>
                      </w:rPr>
                    </w:pPr>
                  </w:p>
                </w:tc>
                <w:tc>
                  <w:tcPr>
                    <w:tcW w:w="1701" w:type="pct"/>
                    <w:tcBorders>
                      <w:top w:val="single" w:sz="4" w:space="0" w:color="auto"/>
                      <w:left w:val="single" w:sz="4" w:space="0" w:color="auto"/>
                      <w:bottom w:val="single" w:sz="4" w:space="0" w:color="auto"/>
                      <w:right w:val="single" w:sz="4" w:space="0" w:color="auto"/>
                    </w:tcBorders>
                  </w:tcPr>
                  <w:p w14:paraId="380A1ADE" w14:textId="77777777" w:rsidR="00471D53" w:rsidRDefault="00B664AF" w:rsidP="00471D53">
                    <w:pPr>
                      <w:jc w:val="right"/>
                      <w:rPr>
                        <w:szCs w:val="21"/>
                      </w:rPr>
                    </w:pPr>
                  </w:p>
                </w:tc>
              </w:tr>
            </w:sdtContent>
          </w:sdt>
          <w:tr w:rsidR="00471D53" w14:paraId="77EB0DD3" w14:textId="77777777" w:rsidTr="00471D53">
            <w:trPr>
              <w:trHeight w:val="285"/>
            </w:trPr>
            <w:sdt>
              <w:sdtPr>
                <w:tag w:val="_PLD_a867b83c897e41619f1515baeb2b55ff"/>
                <w:id w:val="539636725"/>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14:paraId="79251F4B" w14:textId="77777777" w:rsidR="00471D53" w:rsidRDefault="004F686E" w:rsidP="00471D53">
                    <w:pPr>
                      <w:jc w:val="center"/>
                      <w:rPr>
                        <w:szCs w:val="21"/>
                      </w:rPr>
                    </w:pPr>
                    <w:r>
                      <w:rPr>
                        <w:rFonts w:hint="eastAsia"/>
                        <w:szCs w:val="21"/>
                      </w:rPr>
                      <w:t>合计</w:t>
                    </w:r>
                  </w:p>
                </w:tc>
              </w:sdtContent>
            </w:sdt>
            <w:tc>
              <w:tcPr>
                <w:tcW w:w="1703" w:type="pct"/>
                <w:tcBorders>
                  <w:top w:val="single" w:sz="4" w:space="0" w:color="auto"/>
                  <w:left w:val="single" w:sz="4" w:space="0" w:color="auto"/>
                  <w:bottom w:val="single" w:sz="4" w:space="0" w:color="auto"/>
                  <w:right w:val="single" w:sz="4" w:space="0" w:color="auto"/>
                </w:tcBorders>
                <w:vAlign w:val="center"/>
              </w:tcPr>
              <w:p w14:paraId="2604EA9F" w14:textId="77777777" w:rsidR="00471D53" w:rsidRDefault="004F686E" w:rsidP="00471D53">
                <w:pPr>
                  <w:jc w:val="right"/>
                  <w:rPr>
                    <w:sz w:val="24"/>
                  </w:rPr>
                </w:pPr>
                <w:r>
                  <w:t>584,813,908.36</w:t>
                </w:r>
              </w:p>
            </w:tc>
            <w:tc>
              <w:tcPr>
                <w:tcW w:w="1701" w:type="pct"/>
                <w:tcBorders>
                  <w:top w:val="single" w:sz="4" w:space="0" w:color="auto"/>
                  <w:left w:val="single" w:sz="4" w:space="0" w:color="auto"/>
                  <w:bottom w:val="single" w:sz="4" w:space="0" w:color="auto"/>
                  <w:right w:val="single" w:sz="4" w:space="0" w:color="auto"/>
                </w:tcBorders>
                <w:vAlign w:val="center"/>
              </w:tcPr>
              <w:p w14:paraId="25A9A350" w14:textId="77777777" w:rsidR="00471D53" w:rsidRDefault="004F686E" w:rsidP="00471D53">
                <w:pPr>
                  <w:jc w:val="right"/>
                  <w:rPr>
                    <w:sz w:val="24"/>
                  </w:rPr>
                </w:pPr>
                <w:r>
                  <w:t>609,535,612.54</w:t>
                </w:r>
              </w:p>
            </w:tc>
          </w:tr>
        </w:tbl>
        <w:p w14:paraId="0F7E48B9" w14:textId="77777777" w:rsidR="00471D53" w:rsidRDefault="00B664AF"/>
        <w:p w14:paraId="7AB8986D" w14:textId="77777777" w:rsidR="00471D53" w:rsidRDefault="00B664AF" w:rsidP="00471D53">
          <w:pPr>
            <w:rPr>
              <w:szCs w:val="21"/>
            </w:rPr>
          </w:pPr>
        </w:p>
      </w:sdtContent>
    </w:sdt>
    <w:bookmarkEnd w:id="184"/>
    <w:p w14:paraId="55158528" w14:textId="77777777" w:rsidR="00471D53" w:rsidRDefault="00B664AF">
      <w:pPr>
        <w:rPr>
          <w:szCs w:val="21"/>
        </w:rPr>
      </w:pPr>
    </w:p>
    <w:bookmarkStart w:id="185" w:name="_Hlk11160672" w:displacedByCustomXml="next"/>
    <w:sdt>
      <w:sdtPr>
        <w:rPr>
          <w:rFonts w:ascii="宋体" w:hAnsi="宋体" w:cs="宋体" w:hint="eastAsia"/>
          <w:b w:val="0"/>
          <w:bCs w:val="0"/>
          <w:kern w:val="0"/>
          <w:szCs w:val="21"/>
        </w:rPr>
        <w:alias w:val="模块:未确认递延所得税资产的可抵扣亏损将于以下年度到期"/>
        <w:tag w:val="_SEC_a5f2b329395b406fa4b30b710f4a81e0"/>
        <w:id w:val="1414286565"/>
        <w:lock w:val="sdtLocked"/>
        <w:placeholder>
          <w:docPart w:val="GBC22222222222222222222222222222"/>
        </w:placeholder>
      </w:sdtPr>
      <w:sdtEndPr>
        <w:rPr>
          <w:szCs w:val="24"/>
        </w:rPr>
      </w:sdtEndPr>
      <w:sdtContent>
        <w:p w14:paraId="35A22B05" w14:textId="77777777" w:rsidR="00471D53" w:rsidRDefault="004F686E" w:rsidP="004F686E">
          <w:pPr>
            <w:pStyle w:val="afffff8"/>
            <w:numPr>
              <w:ilvl w:val="0"/>
              <w:numId w:val="76"/>
            </w:numPr>
            <w:tabs>
              <w:tab w:val="left" w:pos="588"/>
              <w:tab w:val="left" w:pos="616"/>
            </w:tabs>
            <w:rPr>
              <w:rFonts w:ascii="宋体" w:hAnsi="宋体"/>
              <w:szCs w:val="21"/>
            </w:rPr>
          </w:pPr>
          <w:r>
            <w:rPr>
              <w:rFonts w:ascii="宋体" w:hAnsi="宋体" w:hint="eastAsia"/>
              <w:szCs w:val="21"/>
            </w:rPr>
            <w:t>未确认递延所得税资产的可抵扣亏损将于以下年度到期</w:t>
          </w:r>
        </w:p>
        <w:sdt>
          <w:sdtPr>
            <w:alias w:val="是否适用：未确认递延所得税资产的可抵扣亏损将于以下年度到期[双击切换]"/>
            <w:tag w:val="_GBC_10d31911cedc4147b90ab71d35742bf4"/>
            <w:id w:val="-1805381737"/>
            <w:lock w:val="sdtLocked"/>
          </w:sdtPr>
          <w:sdtEndPr/>
          <w:sdtContent>
            <w:p w14:paraId="29593057" w14:textId="7FE9452B"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D8FD05F" w14:textId="4C19D0E1" w:rsidR="00471D53" w:rsidRDefault="004F686E">
          <w:pPr>
            <w:ind w:right="57"/>
            <w:jc w:val="right"/>
            <w:rPr>
              <w:szCs w:val="21"/>
            </w:rPr>
          </w:pPr>
          <w:r>
            <w:rPr>
              <w:rFonts w:hint="eastAsia"/>
              <w:szCs w:val="21"/>
            </w:rPr>
            <w:t>单位：</w:t>
          </w:r>
          <w:sdt>
            <w:sdtPr>
              <w:rPr>
                <w:rFonts w:hint="eastAsia"/>
                <w:szCs w:val="21"/>
              </w:rPr>
              <w:alias w:val="单位：财务附注：未确认递延所得税资产的可抵扣亏损将于以下年度到期"/>
              <w:tag w:val="_GBC_e5ae9be2f02b49aa93ff11e0e7a11cca"/>
              <w:id w:val="1385143344"/>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未确认递延所得税资产的可抵扣亏损将于以下年度到期"/>
              <w:tag w:val="_GBC_83b0fc2196304484aa53ef2b9e2e191a"/>
              <w:id w:val="1137604697"/>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gridCol w:w="2229"/>
            <w:gridCol w:w="2266"/>
            <w:gridCol w:w="2296"/>
          </w:tblGrid>
          <w:tr w:rsidR="00471D53" w14:paraId="5019FA4A" w14:textId="77777777" w:rsidTr="00471D53">
            <w:trPr>
              <w:trHeight w:val="285"/>
            </w:trPr>
            <w:sdt>
              <w:sdtPr>
                <w:tag w:val="_PLD_710a470de2b84ef593de891faad46b6b"/>
                <w:id w:val="945428463"/>
                <w:lock w:val="sdtLocked"/>
              </w:sdtPr>
              <w:sdtEndPr/>
              <w:sdtContent>
                <w:tc>
                  <w:tcPr>
                    <w:tcW w:w="1152" w:type="pct"/>
                    <w:tcBorders>
                      <w:top w:val="single" w:sz="4" w:space="0" w:color="auto"/>
                      <w:left w:val="single" w:sz="4" w:space="0" w:color="auto"/>
                      <w:bottom w:val="single" w:sz="4" w:space="0" w:color="auto"/>
                      <w:right w:val="single" w:sz="4" w:space="0" w:color="auto"/>
                    </w:tcBorders>
                    <w:vAlign w:val="center"/>
                  </w:tcPr>
                  <w:p w14:paraId="311B4244" w14:textId="77777777" w:rsidR="00471D53" w:rsidRDefault="004F686E" w:rsidP="00471D53">
                    <w:pPr>
                      <w:jc w:val="center"/>
                      <w:rPr>
                        <w:szCs w:val="21"/>
                      </w:rPr>
                    </w:pPr>
                    <w:r>
                      <w:rPr>
                        <w:rFonts w:hint="eastAsia"/>
                        <w:szCs w:val="21"/>
                      </w:rPr>
                      <w:t>年份</w:t>
                    </w:r>
                  </w:p>
                </w:tc>
              </w:sdtContent>
            </w:sdt>
            <w:sdt>
              <w:sdtPr>
                <w:tag w:val="_PLD_a6335ab4fba14ab8946b823c64f03503"/>
                <w:id w:val="1986964996"/>
                <w:lock w:val="sdtLocked"/>
              </w:sdtPr>
              <w:sdtEndPr/>
              <w:sdtContent>
                <w:tc>
                  <w:tcPr>
                    <w:tcW w:w="1263" w:type="pct"/>
                    <w:tcBorders>
                      <w:top w:val="single" w:sz="4" w:space="0" w:color="auto"/>
                      <w:left w:val="single" w:sz="4" w:space="0" w:color="auto"/>
                      <w:bottom w:val="single" w:sz="4" w:space="0" w:color="auto"/>
                      <w:right w:val="single" w:sz="4" w:space="0" w:color="auto"/>
                    </w:tcBorders>
                    <w:vAlign w:val="center"/>
                  </w:tcPr>
                  <w:p w14:paraId="7F967C15" w14:textId="77777777" w:rsidR="00471D53" w:rsidRDefault="004F686E" w:rsidP="00471D53">
                    <w:pPr>
                      <w:jc w:val="center"/>
                      <w:rPr>
                        <w:szCs w:val="21"/>
                      </w:rPr>
                    </w:pPr>
                    <w:r>
                      <w:rPr>
                        <w:rFonts w:hint="eastAsia"/>
                        <w:szCs w:val="21"/>
                      </w:rPr>
                      <w:t>期末金额</w:t>
                    </w:r>
                  </w:p>
                </w:tc>
              </w:sdtContent>
            </w:sdt>
            <w:sdt>
              <w:sdtPr>
                <w:tag w:val="_PLD_7582e6645cec4513a5606c104f2d83f1"/>
                <w:id w:val="980426927"/>
                <w:lock w:val="sdtLocked"/>
              </w:sdtPr>
              <w:sdtEndPr/>
              <w:sdtContent>
                <w:tc>
                  <w:tcPr>
                    <w:tcW w:w="1284" w:type="pct"/>
                    <w:tcBorders>
                      <w:top w:val="single" w:sz="4" w:space="0" w:color="auto"/>
                      <w:left w:val="single" w:sz="4" w:space="0" w:color="auto"/>
                      <w:bottom w:val="single" w:sz="4" w:space="0" w:color="auto"/>
                      <w:right w:val="single" w:sz="4" w:space="0" w:color="auto"/>
                    </w:tcBorders>
                    <w:vAlign w:val="center"/>
                  </w:tcPr>
                  <w:p w14:paraId="669B9324" w14:textId="77777777" w:rsidR="00471D53" w:rsidRDefault="004F686E" w:rsidP="00471D53">
                    <w:pPr>
                      <w:jc w:val="center"/>
                      <w:rPr>
                        <w:szCs w:val="21"/>
                      </w:rPr>
                    </w:pPr>
                    <w:r>
                      <w:rPr>
                        <w:rFonts w:hint="eastAsia"/>
                        <w:szCs w:val="21"/>
                      </w:rPr>
                      <w:t>期初金额</w:t>
                    </w:r>
                  </w:p>
                </w:tc>
              </w:sdtContent>
            </w:sdt>
            <w:sdt>
              <w:sdtPr>
                <w:tag w:val="_PLD_1a030fe5a0564bed845b9b81b2eda8b8"/>
                <w:id w:val="736672553"/>
                <w:lock w:val="sdtLocked"/>
              </w:sdtPr>
              <w:sdtEndPr/>
              <w:sdtContent>
                <w:tc>
                  <w:tcPr>
                    <w:tcW w:w="1301" w:type="pct"/>
                    <w:tcBorders>
                      <w:top w:val="single" w:sz="4" w:space="0" w:color="auto"/>
                      <w:left w:val="single" w:sz="4" w:space="0" w:color="auto"/>
                      <w:bottom w:val="single" w:sz="4" w:space="0" w:color="auto"/>
                      <w:right w:val="single" w:sz="4" w:space="0" w:color="auto"/>
                    </w:tcBorders>
                    <w:vAlign w:val="center"/>
                  </w:tcPr>
                  <w:p w14:paraId="097B86DE" w14:textId="77777777" w:rsidR="00471D53" w:rsidRDefault="004F686E" w:rsidP="00471D53">
                    <w:pPr>
                      <w:jc w:val="center"/>
                      <w:rPr>
                        <w:szCs w:val="21"/>
                      </w:rPr>
                    </w:pPr>
                    <w:r>
                      <w:rPr>
                        <w:rFonts w:hint="eastAsia"/>
                        <w:szCs w:val="21"/>
                      </w:rPr>
                      <w:t>备注</w:t>
                    </w:r>
                  </w:p>
                </w:tc>
              </w:sdtContent>
            </w:sdt>
          </w:tr>
          <w:sdt>
            <w:sdtPr>
              <w:rPr>
                <w:rFonts w:hint="eastAsia"/>
                <w:szCs w:val="21"/>
              </w:rPr>
              <w:alias w:val="未确认递延所得税资产的可抵扣亏损到期明细"/>
              <w:tag w:val="_GBC_a44a3a947eba4ff199b2b5473e07ff8b"/>
              <w:id w:val="2005861681"/>
              <w:lock w:val="sdtLocked"/>
            </w:sdtPr>
            <w:sdtEndPr/>
            <w:sdtContent>
              <w:tr w:rsidR="00471D53" w14:paraId="09E7087E" w14:textId="77777777" w:rsidTr="00471D53">
                <w:trPr>
                  <w:trHeight w:val="285"/>
                </w:trPr>
                <w:tc>
                  <w:tcPr>
                    <w:tcW w:w="1152" w:type="pct"/>
                    <w:tcBorders>
                      <w:top w:val="single" w:sz="4" w:space="0" w:color="auto"/>
                      <w:left w:val="single" w:sz="4" w:space="0" w:color="auto"/>
                      <w:bottom w:val="single" w:sz="4" w:space="0" w:color="auto"/>
                      <w:right w:val="single" w:sz="4" w:space="0" w:color="auto"/>
                    </w:tcBorders>
                  </w:tcPr>
                  <w:p w14:paraId="0FA3CC04" w14:textId="77777777" w:rsidR="00471D53" w:rsidRDefault="004F686E" w:rsidP="00471D53">
                    <w:pPr>
                      <w:rPr>
                        <w:szCs w:val="21"/>
                      </w:rPr>
                    </w:pPr>
                    <w:r>
                      <w:t>2021年度</w:t>
                    </w:r>
                  </w:p>
                </w:tc>
                <w:tc>
                  <w:tcPr>
                    <w:tcW w:w="1263" w:type="pct"/>
                    <w:tcBorders>
                      <w:top w:val="single" w:sz="4" w:space="0" w:color="auto"/>
                      <w:left w:val="single" w:sz="4" w:space="0" w:color="auto"/>
                      <w:bottom w:val="single" w:sz="4" w:space="0" w:color="auto"/>
                      <w:right w:val="single" w:sz="4" w:space="0" w:color="auto"/>
                    </w:tcBorders>
                  </w:tcPr>
                  <w:p w14:paraId="19D674D8" w14:textId="77777777" w:rsidR="00471D53" w:rsidRDefault="004F686E" w:rsidP="00471D53">
                    <w:pPr>
                      <w:jc w:val="right"/>
                      <w:rPr>
                        <w:szCs w:val="21"/>
                      </w:rPr>
                    </w:pPr>
                    <w:r>
                      <w:t>43,682,610.69</w:t>
                    </w:r>
                  </w:p>
                </w:tc>
                <w:tc>
                  <w:tcPr>
                    <w:tcW w:w="1284" w:type="pct"/>
                    <w:tcBorders>
                      <w:top w:val="single" w:sz="4" w:space="0" w:color="auto"/>
                      <w:left w:val="single" w:sz="4" w:space="0" w:color="auto"/>
                      <w:bottom w:val="single" w:sz="4" w:space="0" w:color="auto"/>
                      <w:right w:val="single" w:sz="4" w:space="0" w:color="auto"/>
                    </w:tcBorders>
                  </w:tcPr>
                  <w:p w14:paraId="534D4F92" w14:textId="77777777" w:rsidR="00471D53" w:rsidRDefault="004F686E" w:rsidP="00471D53">
                    <w:pPr>
                      <w:jc w:val="right"/>
                      <w:rPr>
                        <w:szCs w:val="21"/>
                      </w:rPr>
                    </w:pPr>
                    <w:r>
                      <w:t>43,682,610.69</w:t>
                    </w:r>
                  </w:p>
                </w:tc>
                <w:tc>
                  <w:tcPr>
                    <w:tcW w:w="1301" w:type="pct"/>
                    <w:tcBorders>
                      <w:top w:val="single" w:sz="4" w:space="0" w:color="auto"/>
                      <w:left w:val="single" w:sz="4" w:space="0" w:color="auto"/>
                      <w:bottom w:val="single" w:sz="4" w:space="0" w:color="auto"/>
                      <w:right w:val="single" w:sz="4" w:space="0" w:color="auto"/>
                    </w:tcBorders>
                  </w:tcPr>
                  <w:p w14:paraId="57F26A5B" w14:textId="77777777" w:rsidR="00471D53" w:rsidRDefault="00B664AF" w:rsidP="00471D53">
                    <w:pPr>
                      <w:rPr>
                        <w:szCs w:val="21"/>
                      </w:rPr>
                    </w:pPr>
                  </w:p>
                </w:tc>
              </w:tr>
            </w:sdtContent>
          </w:sdt>
          <w:sdt>
            <w:sdtPr>
              <w:rPr>
                <w:rFonts w:hint="eastAsia"/>
                <w:szCs w:val="21"/>
              </w:rPr>
              <w:alias w:val="未确认递延所得税资产的可抵扣亏损到期明细"/>
              <w:tag w:val="_GBC_a44a3a947eba4ff199b2b5473e07ff8b"/>
              <w:id w:val="1753317389"/>
              <w:lock w:val="sdtLocked"/>
            </w:sdtPr>
            <w:sdtEndPr/>
            <w:sdtContent>
              <w:tr w:rsidR="00471D53" w14:paraId="4D4FAE14" w14:textId="77777777" w:rsidTr="00471D53">
                <w:trPr>
                  <w:trHeight w:val="285"/>
                </w:trPr>
                <w:tc>
                  <w:tcPr>
                    <w:tcW w:w="1152" w:type="pct"/>
                    <w:tcBorders>
                      <w:top w:val="single" w:sz="4" w:space="0" w:color="auto"/>
                      <w:left w:val="single" w:sz="4" w:space="0" w:color="auto"/>
                      <w:bottom w:val="single" w:sz="4" w:space="0" w:color="auto"/>
                      <w:right w:val="single" w:sz="4" w:space="0" w:color="auto"/>
                    </w:tcBorders>
                  </w:tcPr>
                  <w:p w14:paraId="048E0020" w14:textId="77777777" w:rsidR="00471D53" w:rsidRDefault="004F686E" w:rsidP="00471D53">
                    <w:pPr>
                      <w:rPr>
                        <w:szCs w:val="21"/>
                      </w:rPr>
                    </w:pPr>
                    <w:r>
                      <w:t>2022年度</w:t>
                    </w:r>
                  </w:p>
                </w:tc>
                <w:tc>
                  <w:tcPr>
                    <w:tcW w:w="1263" w:type="pct"/>
                    <w:tcBorders>
                      <w:top w:val="single" w:sz="4" w:space="0" w:color="auto"/>
                      <w:left w:val="single" w:sz="4" w:space="0" w:color="auto"/>
                      <w:bottom w:val="single" w:sz="4" w:space="0" w:color="auto"/>
                      <w:right w:val="single" w:sz="4" w:space="0" w:color="auto"/>
                    </w:tcBorders>
                  </w:tcPr>
                  <w:p w14:paraId="56A781A6" w14:textId="77777777" w:rsidR="00471D53" w:rsidRDefault="004F686E" w:rsidP="00471D53">
                    <w:pPr>
                      <w:jc w:val="right"/>
                      <w:rPr>
                        <w:szCs w:val="21"/>
                      </w:rPr>
                    </w:pPr>
                    <w:r>
                      <w:t>34,552,762.03</w:t>
                    </w:r>
                  </w:p>
                </w:tc>
                <w:tc>
                  <w:tcPr>
                    <w:tcW w:w="1284" w:type="pct"/>
                    <w:tcBorders>
                      <w:top w:val="single" w:sz="4" w:space="0" w:color="auto"/>
                      <w:left w:val="single" w:sz="4" w:space="0" w:color="auto"/>
                      <w:bottom w:val="single" w:sz="4" w:space="0" w:color="auto"/>
                      <w:right w:val="single" w:sz="4" w:space="0" w:color="auto"/>
                    </w:tcBorders>
                  </w:tcPr>
                  <w:p w14:paraId="732595B8" w14:textId="77777777" w:rsidR="00471D53" w:rsidRDefault="004F686E" w:rsidP="00471D53">
                    <w:pPr>
                      <w:jc w:val="right"/>
                      <w:rPr>
                        <w:szCs w:val="21"/>
                      </w:rPr>
                    </w:pPr>
                    <w:r>
                      <w:t>34,552,762.03</w:t>
                    </w:r>
                  </w:p>
                </w:tc>
                <w:tc>
                  <w:tcPr>
                    <w:tcW w:w="1301" w:type="pct"/>
                    <w:tcBorders>
                      <w:top w:val="single" w:sz="4" w:space="0" w:color="auto"/>
                      <w:left w:val="single" w:sz="4" w:space="0" w:color="auto"/>
                      <w:bottom w:val="single" w:sz="4" w:space="0" w:color="auto"/>
                      <w:right w:val="single" w:sz="4" w:space="0" w:color="auto"/>
                    </w:tcBorders>
                  </w:tcPr>
                  <w:p w14:paraId="03ED9A93" w14:textId="77777777" w:rsidR="00471D53" w:rsidRDefault="00B664AF" w:rsidP="00471D53">
                    <w:pPr>
                      <w:rPr>
                        <w:szCs w:val="21"/>
                      </w:rPr>
                    </w:pPr>
                  </w:p>
                </w:tc>
              </w:tr>
            </w:sdtContent>
          </w:sdt>
          <w:sdt>
            <w:sdtPr>
              <w:rPr>
                <w:rFonts w:hint="eastAsia"/>
                <w:szCs w:val="21"/>
              </w:rPr>
              <w:alias w:val="未确认递延所得税资产的可抵扣亏损到期明细"/>
              <w:tag w:val="_GBC_a44a3a947eba4ff199b2b5473e07ff8b"/>
              <w:id w:val="-850719729"/>
              <w:lock w:val="sdtLocked"/>
            </w:sdtPr>
            <w:sdtEndPr/>
            <w:sdtContent>
              <w:tr w:rsidR="00471D53" w14:paraId="724D99A1" w14:textId="77777777" w:rsidTr="00471D53">
                <w:trPr>
                  <w:trHeight w:val="285"/>
                </w:trPr>
                <w:tc>
                  <w:tcPr>
                    <w:tcW w:w="1152" w:type="pct"/>
                    <w:tcBorders>
                      <w:top w:val="single" w:sz="4" w:space="0" w:color="auto"/>
                      <w:left w:val="single" w:sz="4" w:space="0" w:color="auto"/>
                      <w:bottom w:val="single" w:sz="4" w:space="0" w:color="auto"/>
                      <w:right w:val="single" w:sz="4" w:space="0" w:color="auto"/>
                    </w:tcBorders>
                  </w:tcPr>
                  <w:p w14:paraId="5603673D" w14:textId="77777777" w:rsidR="00471D53" w:rsidRDefault="004F686E" w:rsidP="00471D53">
                    <w:pPr>
                      <w:rPr>
                        <w:szCs w:val="21"/>
                      </w:rPr>
                    </w:pPr>
                    <w:r>
                      <w:t>2023年度</w:t>
                    </w:r>
                  </w:p>
                </w:tc>
                <w:tc>
                  <w:tcPr>
                    <w:tcW w:w="1263" w:type="pct"/>
                    <w:tcBorders>
                      <w:top w:val="single" w:sz="4" w:space="0" w:color="auto"/>
                      <w:left w:val="single" w:sz="4" w:space="0" w:color="auto"/>
                      <w:bottom w:val="single" w:sz="4" w:space="0" w:color="auto"/>
                      <w:right w:val="single" w:sz="4" w:space="0" w:color="auto"/>
                    </w:tcBorders>
                  </w:tcPr>
                  <w:p w14:paraId="5B9C6F4B" w14:textId="77777777" w:rsidR="00471D53" w:rsidRDefault="004F686E" w:rsidP="00471D53">
                    <w:pPr>
                      <w:jc w:val="right"/>
                      <w:rPr>
                        <w:szCs w:val="21"/>
                      </w:rPr>
                    </w:pPr>
                    <w:r>
                      <w:t>103,803,901.25</w:t>
                    </w:r>
                  </w:p>
                </w:tc>
                <w:tc>
                  <w:tcPr>
                    <w:tcW w:w="1284" w:type="pct"/>
                    <w:tcBorders>
                      <w:top w:val="single" w:sz="4" w:space="0" w:color="auto"/>
                      <w:left w:val="single" w:sz="4" w:space="0" w:color="auto"/>
                      <w:bottom w:val="single" w:sz="4" w:space="0" w:color="auto"/>
                      <w:right w:val="single" w:sz="4" w:space="0" w:color="auto"/>
                    </w:tcBorders>
                  </w:tcPr>
                  <w:p w14:paraId="1B666BD0" w14:textId="77777777" w:rsidR="00471D53" w:rsidRDefault="004F686E" w:rsidP="00471D53">
                    <w:pPr>
                      <w:jc w:val="right"/>
                      <w:rPr>
                        <w:szCs w:val="21"/>
                      </w:rPr>
                    </w:pPr>
                    <w:r>
                      <w:t>103,803,901.25</w:t>
                    </w:r>
                  </w:p>
                </w:tc>
                <w:tc>
                  <w:tcPr>
                    <w:tcW w:w="1301" w:type="pct"/>
                    <w:tcBorders>
                      <w:top w:val="single" w:sz="4" w:space="0" w:color="auto"/>
                      <w:left w:val="single" w:sz="4" w:space="0" w:color="auto"/>
                      <w:bottom w:val="single" w:sz="4" w:space="0" w:color="auto"/>
                      <w:right w:val="single" w:sz="4" w:space="0" w:color="auto"/>
                    </w:tcBorders>
                  </w:tcPr>
                  <w:p w14:paraId="4342BCB1" w14:textId="77777777" w:rsidR="00471D53" w:rsidRDefault="00B664AF" w:rsidP="00471D53">
                    <w:pPr>
                      <w:rPr>
                        <w:szCs w:val="21"/>
                      </w:rPr>
                    </w:pPr>
                  </w:p>
                </w:tc>
              </w:tr>
            </w:sdtContent>
          </w:sdt>
          <w:sdt>
            <w:sdtPr>
              <w:rPr>
                <w:rFonts w:hint="eastAsia"/>
                <w:szCs w:val="21"/>
              </w:rPr>
              <w:alias w:val="未确认递延所得税资产的可抵扣亏损到期明细"/>
              <w:tag w:val="_GBC_a44a3a947eba4ff199b2b5473e07ff8b"/>
              <w:id w:val="-195780159"/>
              <w:lock w:val="sdtLocked"/>
            </w:sdtPr>
            <w:sdtEndPr/>
            <w:sdtContent>
              <w:tr w:rsidR="00471D53" w14:paraId="64B4D342" w14:textId="77777777" w:rsidTr="00471D53">
                <w:trPr>
                  <w:trHeight w:val="285"/>
                </w:trPr>
                <w:tc>
                  <w:tcPr>
                    <w:tcW w:w="1152" w:type="pct"/>
                    <w:tcBorders>
                      <w:top w:val="single" w:sz="4" w:space="0" w:color="auto"/>
                      <w:left w:val="single" w:sz="4" w:space="0" w:color="auto"/>
                      <w:bottom w:val="single" w:sz="4" w:space="0" w:color="auto"/>
                      <w:right w:val="single" w:sz="4" w:space="0" w:color="auto"/>
                    </w:tcBorders>
                  </w:tcPr>
                  <w:p w14:paraId="233B3618" w14:textId="77777777" w:rsidR="00471D53" w:rsidRDefault="004F686E" w:rsidP="00471D53">
                    <w:pPr>
                      <w:rPr>
                        <w:szCs w:val="21"/>
                      </w:rPr>
                    </w:pPr>
                    <w:r>
                      <w:t>2024年度</w:t>
                    </w:r>
                  </w:p>
                </w:tc>
                <w:tc>
                  <w:tcPr>
                    <w:tcW w:w="1263" w:type="pct"/>
                    <w:tcBorders>
                      <w:top w:val="single" w:sz="4" w:space="0" w:color="auto"/>
                      <w:left w:val="single" w:sz="4" w:space="0" w:color="auto"/>
                      <w:bottom w:val="single" w:sz="4" w:space="0" w:color="auto"/>
                      <w:right w:val="single" w:sz="4" w:space="0" w:color="auto"/>
                    </w:tcBorders>
                  </w:tcPr>
                  <w:p w14:paraId="3196F1D7" w14:textId="77777777" w:rsidR="00471D53" w:rsidRDefault="004F686E" w:rsidP="00471D53">
                    <w:pPr>
                      <w:jc w:val="right"/>
                      <w:rPr>
                        <w:szCs w:val="21"/>
                      </w:rPr>
                    </w:pPr>
                    <w:r>
                      <w:t>84,651,182.18</w:t>
                    </w:r>
                  </w:p>
                </w:tc>
                <w:tc>
                  <w:tcPr>
                    <w:tcW w:w="1284" w:type="pct"/>
                    <w:tcBorders>
                      <w:top w:val="single" w:sz="4" w:space="0" w:color="auto"/>
                      <w:left w:val="single" w:sz="4" w:space="0" w:color="auto"/>
                      <w:bottom w:val="single" w:sz="4" w:space="0" w:color="auto"/>
                      <w:right w:val="single" w:sz="4" w:space="0" w:color="auto"/>
                    </w:tcBorders>
                  </w:tcPr>
                  <w:p w14:paraId="06C884A6" w14:textId="77777777" w:rsidR="00471D53" w:rsidRDefault="004F686E" w:rsidP="00471D53">
                    <w:pPr>
                      <w:jc w:val="right"/>
                      <w:rPr>
                        <w:szCs w:val="21"/>
                      </w:rPr>
                    </w:pPr>
                    <w:r>
                      <w:t>84,651,182.18</w:t>
                    </w:r>
                  </w:p>
                </w:tc>
                <w:tc>
                  <w:tcPr>
                    <w:tcW w:w="1301" w:type="pct"/>
                    <w:tcBorders>
                      <w:top w:val="single" w:sz="4" w:space="0" w:color="auto"/>
                      <w:left w:val="single" w:sz="4" w:space="0" w:color="auto"/>
                      <w:bottom w:val="single" w:sz="4" w:space="0" w:color="auto"/>
                      <w:right w:val="single" w:sz="4" w:space="0" w:color="auto"/>
                    </w:tcBorders>
                  </w:tcPr>
                  <w:p w14:paraId="559588FA" w14:textId="77777777" w:rsidR="00471D53" w:rsidRDefault="00B664AF" w:rsidP="00471D53">
                    <w:pPr>
                      <w:rPr>
                        <w:szCs w:val="21"/>
                      </w:rPr>
                    </w:pPr>
                  </w:p>
                </w:tc>
              </w:tr>
            </w:sdtContent>
          </w:sdt>
          <w:sdt>
            <w:sdtPr>
              <w:rPr>
                <w:rFonts w:hint="eastAsia"/>
                <w:szCs w:val="21"/>
              </w:rPr>
              <w:alias w:val="未确认递延所得税资产的可抵扣亏损到期明细"/>
              <w:tag w:val="_GBC_a44a3a947eba4ff199b2b5473e07ff8b"/>
              <w:id w:val="-993952703"/>
              <w:lock w:val="sdtLocked"/>
            </w:sdtPr>
            <w:sdtEndPr/>
            <w:sdtContent>
              <w:tr w:rsidR="00471D53" w14:paraId="5DFC5179" w14:textId="77777777" w:rsidTr="00471D53">
                <w:trPr>
                  <w:trHeight w:val="285"/>
                </w:trPr>
                <w:tc>
                  <w:tcPr>
                    <w:tcW w:w="1152" w:type="pct"/>
                    <w:tcBorders>
                      <w:top w:val="single" w:sz="4" w:space="0" w:color="auto"/>
                      <w:left w:val="single" w:sz="4" w:space="0" w:color="auto"/>
                      <w:bottom w:val="single" w:sz="4" w:space="0" w:color="auto"/>
                      <w:right w:val="single" w:sz="4" w:space="0" w:color="auto"/>
                    </w:tcBorders>
                  </w:tcPr>
                  <w:p w14:paraId="301716E2" w14:textId="77777777" w:rsidR="00471D53" w:rsidRDefault="004F686E" w:rsidP="00471D53">
                    <w:pPr>
                      <w:rPr>
                        <w:szCs w:val="21"/>
                      </w:rPr>
                    </w:pPr>
                    <w:r>
                      <w:t>2025年度</w:t>
                    </w:r>
                  </w:p>
                </w:tc>
                <w:tc>
                  <w:tcPr>
                    <w:tcW w:w="1263" w:type="pct"/>
                    <w:tcBorders>
                      <w:top w:val="single" w:sz="4" w:space="0" w:color="auto"/>
                      <w:left w:val="single" w:sz="4" w:space="0" w:color="auto"/>
                      <w:bottom w:val="single" w:sz="4" w:space="0" w:color="auto"/>
                      <w:right w:val="single" w:sz="4" w:space="0" w:color="auto"/>
                    </w:tcBorders>
                  </w:tcPr>
                  <w:p w14:paraId="00D5B7AB" w14:textId="77777777" w:rsidR="00471D53" w:rsidRDefault="004F686E" w:rsidP="00471D53">
                    <w:pPr>
                      <w:jc w:val="right"/>
                      <w:rPr>
                        <w:szCs w:val="21"/>
                      </w:rPr>
                    </w:pPr>
                    <w:r>
                      <w:t>52,279,072.51</w:t>
                    </w:r>
                  </w:p>
                </w:tc>
                <w:tc>
                  <w:tcPr>
                    <w:tcW w:w="1284" w:type="pct"/>
                    <w:tcBorders>
                      <w:top w:val="single" w:sz="4" w:space="0" w:color="auto"/>
                      <w:left w:val="single" w:sz="4" w:space="0" w:color="auto"/>
                      <w:bottom w:val="single" w:sz="4" w:space="0" w:color="auto"/>
                      <w:right w:val="single" w:sz="4" w:space="0" w:color="auto"/>
                    </w:tcBorders>
                  </w:tcPr>
                  <w:p w14:paraId="21F3CD40" w14:textId="77777777" w:rsidR="00471D53" w:rsidRDefault="004F686E" w:rsidP="00471D53">
                    <w:pPr>
                      <w:jc w:val="right"/>
                      <w:rPr>
                        <w:szCs w:val="21"/>
                      </w:rPr>
                    </w:pPr>
                    <w:r>
                      <w:t>52,279,072.51</w:t>
                    </w:r>
                  </w:p>
                </w:tc>
                <w:tc>
                  <w:tcPr>
                    <w:tcW w:w="1301" w:type="pct"/>
                    <w:tcBorders>
                      <w:top w:val="single" w:sz="4" w:space="0" w:color="auto"/>
                      <w:left w:val="single" w:sz="4" w:space="0" w:color="auto"/>
                      <w:bottom w:val="single" w:sz="4" w:space="0" w:color="auto"/>
                      <w:right w:val="single" w:sz="4" w:space="0" w:color="auto"/>
                    </w:tcBorders>
                  </w:tcPr>
                  <w:p w14:paraId="2115D796" w14:textId="77777777" w:rsidR="00471D53" w:rsidRDefault="00B664AF" w:rsidP="00471D53">
                    <w:pPr>
                      <w:rPr>
                        <w:szCs w:val="21"/>
                      </w:rPr>
                    </w:pPr>
                  </w:p>
                </w:tc>
              </w:tr>
            </w:sdtContent>
          </w:sdt>
          <w:sdt>
            <w:sdtPr>
              <w:rPr>
                <w:rFonts w:hint="eastAsia"/>
                <w:szCs w:val="21"/>
              </w:rPr>
              <w:alias w:val="未确认递延所得税资产的可抵扣亏损到期明细"/>
              <w:tag w:val="_GBC_a44a3a947eba4ff199b2b5473e07ff8b"/>
              <w:id w:val="445278829"/>
              <w:lock w:val="sdtLocked"/>
            </w:sdtPr>
            <w:sdtEndPr/>
            <w:sdtContent>
              <w:tr w:rsidR="00471D53" w14:paraId="01699AF2" w14:textId="77777777" w:rsidTr="00471D53">
                <w:trPr>
                  <w:trHeight w:val="285"/>
                </w:trPr>
                <w:tc>
                  <w:tcPr>
                    <w:tcW w:w="1152" w:type="pct"/>
                    <w:tcBorders>
                      <w:top w:val="single" w:sz="4" w:space="0" w:color="auto"/>
                      <w:left w:val="single" w:sz="4" w:space="0" w:color="auto"/>
                      <w:bottom w:val="single" w:sz="4" w:space="0" w:color="auto"/>
                      <w:right w:val="single" w:sz="4" w:space="0" w:color="auto"/>
                    </w:tcBorders>
                  </w:tcPr>
                  <w:p w14:paraId="3FD88786" w14:textId="77777777" w:rsidR="00471D53" w:rsidRDefault="004F686E" w:rsidP="00471D53">
                    <w:pPr>
                      <w:rPr>
                        <w:szCs w:val="21"/>
                      </w:rPr>
                    </w:pPr>
                    <w:r>
                      <w:t>2026年度</w:t>
                    </w:r>
                  </w:p>
                </w:tc>
                <w:tc>
                  <w:tcPr>
                    <w:tcW w:w="1263" w:type="pct"/>
                    <w:tcBorders>
                      <w:top w:val="single" w:sz="4" w:space="0" w:color="auto"/>
                      <w:left w:val="single" w:sz="4" w:space="0" w:color="auto"/>
                      <w:bottom w:val="single" w:sz="4" w:space="0" w:color="auto"/>
                      <w:right w:val="single" w:sz="4" w:space="0" w:color="auto"/>
                    </w:tcBorders>
                  </w:tcPr>
                  <w:p w14:paraId="70D3F099" w14:textId="77777777" w:rsidR="00471D53" w:rsidRDefault="004F686E" w:rsidP="00471D53">
                    <w:pPr>
                      <w:jc w:val="right"/>
                      <w:rPr>
                        <w:szCs w:val="21"/>
                      </w:rPr>
                    </w:pPr>
                    <w:r>
                      <w:t>0.00</w:t>
                    </w:r>
                  </w:p>
                </w:tc>
                <w:tc>
                  <w:tcPr>
                    <w:tcW w:w="1284" w:type="pct"/>
                    <w:tcBorders>
                      <w:top w:val="single" w:sz="4" w:space="0" w:color="auto"/>
                      <w:left w:val="single" w:sz="4" w:space="0" w:color="auto"/>
                      <w:bottom w:val="single" w:sz="4" w:space="0" w:color="auto"/>
                      <w:right w:val="single" w:sz="4" w:space="0" w:color="auto"/>
                    </w:tcBorders>
                  </w:tcPr>
                  <w:p w14:paraId="0DC22462" w14:textId="77777777" w:rsidR="00471D53" w:rsidRDefault="004F686E" w:rsidP="00471D53">
                    <w:pPr>
                      <w:jc w:val="right"/>
                      <w:rPr>
                        <w:szCs w:val="21"/>
                      </w:rPr>
                    </w:pPr>
                    <w:r>
                      <w:t>0.00</w:t>
                    </w:r>
                  </w:p>
                </w:tc>
                <w:tc>
                  <w:tcPr>
                    <w:tcW w:w="1301" w:type="pct"/>
                    <w:tcBorders>
                      <w:top w:val="single" w:sz="4" w:space="0" w:color="auto"/>
                      <w:left w:val="single" w:sz="4" w:space="0" w:color="auto"/>
                      <w:bottom w:val="single" w:sz="4" w:space="0" w:color="auto"/>
                      <w:right w:val="single" w:sz="4" w:space="0" w:color="auto"/>
                    </w:tcBorders>
                  </w:tcPr>
                  <w:p w14:paraId="6BFA6E62" w14:textId="77777777" w:rsidR="00471D53" w:rsidRDefault="00B664AF" w:rsidP="00471D53">
                    <w:pPr>
                      <w:rPr>
                        <w:szCs w:val="21"/>
                      </w:rPr>
                    </w:pPr>
                  </w:p>
                </w:tc>
              </w:tr>
            </w:sdtContent>
          </w:sdt>
          <w:sdt>
            <w:sdtPr>
              <w:rPr>
                <w:rFonts w:hint="eastAsia"/>
                <w:szCs w:val="21"/>
              </w:rPr>
              <w:alias w:val="未确认递延所得税资产的可抵扣亏损到期明细"/>
              <w:tag w:val="_GBC_a44a3a947eba4ff199b2b5473e07ff8b"/>
              <w:id w:val="1135601745"/>
              <w:lock w:val="sdtLocked"/>
            </w:sdtPr>
            <w:sdtEndPr/>
            <w:sdtContent>
              <w:tr w:rsidR="00471D53" w14:paraId="5F2EAAB8" w14:textId="77777777" w:rsidTr="00471D53">
                <w:trPr>
                  <w:trHeight w:val="285"/>
                </w:trPr>
                <w:tc>
                  <w:tcPr>
                    <w:tcW w:w="1152" w:type="pct"/>
                    <w:tcBorders>
                      <w:top w:val="single" w:sz="4" w:space="0" w:color="auto"/>
                      <w:left w:val="single" w:sz="4" w:space="0" w:color="auto"/>
                      <w:bottom w:val="single" w:sz="4" w:space="0" w:color="auto"/>
                      <w:right w:val="single" w:sz="4" w:space="0" w:color="auto"/>
                    </w:tcBorders>
                  </w:tcPr>
                  <w:p w14:paraId="35E3DA78" w14:textId="77777777" w:rsidR="00471D53" w:rsidRDefault="004F686E" w:rsidP="00471D53">
                    <w:pPr>
                      <w:rPr>
                        <w:szCs w:val="21"/>
                      </w:rPr>
                    </w:pPr>
                    <w:r>
                      <w:t>2027年度</w:t>
                    </w:r>
                  </w:p>
                </w:tc>
                <w:tc>
                  <w:tcPr>
                    <w:tcW w:w="1263" w:type="pct"/>
                    <w:tcBorders>
                      <w:top w:val="single" w:sz="4" w:space="0" w:color="auto"/>
                      <w:left w:val="single" w:sz="4" w:space="0" w:color="auto"/>
                      <w:bottom w:val="single" w:sz="4" w:space="0" w:color="auto"/>
                      <w:right w:val="single" w:sz="4" w:space="0" w:color="auto"/>
                    </w:tcBorders>
                  </w:tcPr>
                  <w:p w14:paraId="0140FDFF" w14:textId="77777777" w:rsidR="00471D53" w:rsidRDefault="004F686E" w:rsidP="00471D53">
                    <w:pPr>
                      <w:jc w:val="right"/>
                      <w:rPr>
                        <w:szCs w:val="21"/>
                      </w:rPr>
                    </w:pPr>
                    <w:r>
                      <w:t>0.00</w:t>
                    </w:r>
                  </w:p>
                </w:tc>
                <w:tc>
                  <w:tcPr>
                    <w:tcW w:w="1284" w:type="pct"/>
                    <w:tcBorders>
                      <w:top w:val="single" w:sz="4" w:space="0" w:color="auto"/>
                      <w:left w:val="single" w:sz="4" w:space="0" w:color="auto"/>
                      <w:bottom w:val="single" w:sz="4" w:space="0" w:color="auto"/>
                      <w:right w:val="single" w:sz="4" w:space="0" w:color="auto"/>
                    </w:tcBorders>
                  </w:tcPr>
                  <w:p w14:paraId="355CCF4B" w14:textId="77777777" w:rsidR="00471D53" w:rsidRDefault="004F686E" w:rsidP="00471D53">
                    <w:pPr>
                      <w:jc w:val="right"/>
                      <w:rPr>
                        <w:szCs w:val="21"/>
                      </w:rPr>
                    </w:pPr>
                    <w:r>
                      <w:t>0.00</w:t>
                    </w:r>
                  </w:p>
                </w:tc>
                <w:tc>
                  <w:tcPr>
                    <w:tcW w:w="1301" w:type="pct"/>
                    <w:tcBorders>
                      <w:top w:val="single" w:sz="4" w:space="0" w:color="auto"/>
                      <w:left w:val="single" w:sz="4" w:space="0" w:color="auto"/>
                      <w:bottom w:val="single" w:sz="4" w:space="0" w:color="auto"/>
                      <w:right w:val="single" w:sz="4" w:space="0" w:color="auto"/>
                    </w:tcBorders>
                  </w:tcPr>
                  <w:p w14:paraId="448937CE" w14:textId="77777777" w:rsidR="00471D53" w:rsidRDefault="00B664AF" w:rsidP="00471D53">
                    <w:pPr>
                      <w:rPr>
                        <w:szCs w:val="21"/>
                      </w:rPr>
                    </w:pPr>
                  </w:p>
                </w:tc>
              </w:tr>
            </w:sdtContent>
          </w:sdt>
          <w:sdt>
            <w:sdtPr>
              <w:rPr>
                <w:rFonts w:hint="eastAsia"/>
                <w:szCs w:val="21"/>
              </w:rPr>
              <w:alias w:val="未确认递延所得税资产的可抵扣亏损到期明细"/>
              <w:tag w:val="_GBC_a44a3a947eba4ff199b2b5473e07ff8b"/>
              <w:id w:val="-647437900"/>
              <w:lock w:val="sdtLocked"/>
            </w:sdtPr>
            <w:sdtEndPr/>
            <w:sdtContent>
              <w:tr w:rsidR="00471D53" w14:paraId="7E70FE7A" w14:textId="77777777" w:rsidTr="00471D53">
                <w:trPr>
                  <w:trHeight w:val="285"/>
                </w:trPr>
                <w:tc>
                  <w:tcPr>
                    <w:tcW w:w="1152" w:type="pct"/>
                    <w:tcBorders>
                      <w:top w:val="single" w:sz="4" w:space="0" w:color="auto"/>
                      <w:left w:val="single" w:sz="4" w:space="0" w:color="auto"/>
                      <w:bottom w:val="single" w:sz="4" w:space="0" w:color="auto"/>
                      <w:right w:val="single" w:sz="4" w:space="0" w:color="auto"/>
                    </w:tcBorders>
                  </w:tcPr>
                  <w:p w14:paraId="60CA40CD" w14:textId="77777777" w:rsidR="00471D53" w:rsidRDefault="004F686E" w:rsidP="00471D53">
                    <w:pPr>
                      <w:rPr>
                        <w:szCs w:val="21"/>
                      </w:rPr>
                    </w:pPr>
                    <w:r>
                      <w:t>2028年度</w:t>
                    </w:r>
                  </w:p>
                </w:tc>
                <w:tc>
                  <w:tcPr>
                    <w:tcW w:w="1263" w:type="pct"/>
                    <w:tcBorders>
                      <w:top w:val="single" w:sz="4" w:space="0" w:color="auto"/>
                      <w:left w:val="single" w:sz="4" w:space="0" w:color="auto"/>
                      <w:bottom w:val="single" w:sz="4" w:space="0" w:color="auto"/>
                      <w:right w:val="single" w:sz="4" w:space="0" w:color="auto"/>
                    </w:tcBorders>
                  </w:tcPr>
                  <w:p w14:paraId="4A24E93E" w14:textId="77777777" w:rsidR="00471D53" w:rsidRDefault="004F686E" w:rsidP="00471D53">
                    <w:pPr>
                      <w:jc w:val="right"/>
                      <w:rPr>
                        <w:szCs w:val="21"/>
                      </w:rPr>
                    </w:pPr>
                    <w:r>
                      <w:t>62,318,223.05</w:t>
                    </w:r>
                  </w:p>
                </w:tc>
                <w:tc>
                  <w:tcPr>
                    <w:tcW w:w="1284" w:type="pct"/>
                    <w:tcBorders>
                      <w:top w:val="single" w:sz="4" w:space="0" w:color="auto"/>
                      <w:left w:val="single" w:sz="4" w:space="0" w:color="auto"/>
                      <w:bottom w:val="single" w:sz="4" w:space="0" w:color="auto"/>
                      <w:right w:val="single" w:sz="4" w:space="0" w:color="auto"/>
                    </w:tcBorders>
                  </w:tcPr>
                  <w:p w14:paraId="0514BCA1" w14:textId="77777777" w:rsidR="00471D53" w:rsidRDefault="004F686E" w:rsidP="00471D53">
                    <w:pPr>
                      <w:jc w:val="right"/>
                      <w:rPr>
                        <w:szCs w:val="21"/>
                      </w:rPr>
                    </w:pPr>
                    <w:r>
                      <w:t>62,318,223.05</w:t>
                    </w:r>
                  </w:p>
                </w:tc>
                <w:tc>
                  <w:tcPr>
                    <w:tcW w:w="1301" w:type="pct"/>
                    <w:tcBorders>
                      <w:top w:val="single" w:sz="4" w:space="0" w:color="auto"/>
                      <w:left w:val="single" w:sz="4" w:space="0" w:color="auto"/>
                      <w:bottom w:val="single" w:sz="4" w:space="0" w:color="auto"/>
                      <w:right w:val="single" w:sz="4" w:space="0" w:color="auto"/>
                    </w:tcBorders>
                  </w:tcPr>
                  <w:p w14:paraId="07951C72" w14:textId="77777777" w:rsidR="00471D53" w:rsidRDefault="00B664AF" w:rsidP="00471D53">
                    <w:pPr>
                      <w:rPr>
                        <w:szCs w:val="21"/>
                      </w:rPr>
                    </w:pPr>
                  </w:p>
                </w:tc>
              </w:tr>
            </w:sdtContent>
          </w:sdt>
          <w:sdt>
            <w:sdtPr>
              <w:rPr>
                <w:rFonts w:hint="eastAsia"/>
                <w:szCs w:val="21"/>
              </w:rPr>
              <w:alias w:val="未确认递延所得税资产的可抵扣亏损到期明细"/>
              <w:tag w:val="_GBC_a44a3a947eba4ff199b2b5473e07ff8b"/>
              <w:id w:val="603858470"/>
              <w:lock w:val="sdtLocked"/>
            </w:sdtPr>
            <w:sdtEndPr/>
            <w:sdtContent>
              <w:tr w:rsidR="00471D53" w14:paraId="23699C28" w14:textId="77777777" w:rsidTr="00471D53">
                <w:trPr>
                  <w:trHeight w:val="285"/>
                </w:trPr>
                <w:tc>
                  <w:tcPr>
                    <w:tcW w:w="1152" w:type="pct"/>
                    <w:tcBorders>
                      <w:top w:val="single" w:sz="4" w:space="0" w:color="auto"/>
                      <w:left w:val="single" w:sz="4" w:space="0" w:color="auto"/>
                      <w:bottom w:val="single" w:sz="4" w:space="0" w:color="auto"/>
                      <w:right w:val="single" w:sz="4" w:space="0" w:color="auto"/>
                    </w:tcBorders>
                  </w:tcPr>
                  <w:p w14:paraId="3BCDFDC0" w14:textId="77777777" w:rsidR="00471D53" w:rsidRDefault="004F686E" w:rsidP="00471D53">
                    <w:pPr>
                      <w:rPr>
                        <w:szCs w:val="21"/>
                      </w:rPr>
                    </w:pPr>
                    <w:r>
                      <w:t>2029年度</w:t>
                    </w:r>
                  </w:p>
                </w:tc>
                <w:tc>
                  <w:tcPr>
                    <w:tcW w:w="1263" w:type="pct"/>
                    <w:tcBorders>
                      <w:top w:val="single" w:sz="4" w:space="0" w:color="auto"/>
                      <w:left w:val="single" w:sz="4" w:space="0" w:color="auto"/>
                      <w:bottom w:val="single" w:sz="4" w:space="0" w:color="auto"/>
                      <w:right w:val="single" w:sz="4" w:space="0" w:color="auto"/>
                    </w:tcBorders>
                  </w:tcPr>
                  <w:p w14:paraId="688C7BD9" w14:textId="77777777" w:rsidR="00471D53" w:rsidRDefault="004F686E" w:rsidP="00471D53">
                    <w:pPr>
                      <w:jc w:val="right"/>
                      <w:rPr>
                        <w:szCs w:val="21"/>
                      </w:rPr>
                    </w:pPr>
                    <w:r>
                      <w:t>75,303,458.65</w:t>
                    </w:r>
                  </w:p>
                </w:tc>
                <w:tc>
                  <w:tcPr>
                    <w:tcW w:w="1284" w:type="pct"/>
                    <w:tcBorders>
                      <w:top w:val="single" w:sz="4" w:space="0" w:color="auto"/>
                      <w:left w:val="single" w:sz="4" w:space="0" w:color="auto"/>
                      <w:bottom w:val="single" w:sz="4" w:space="0" w:color="auto"/>
                      <w:right w:val="single" w:sz="4" w:space="0" w:color="auto"/>
                    </w:tcBorders>
                  </w:tcPr>
                  <w:p w14:paraId="70783083" w14:textId="77777777" w:rsidR="00471D53" w:rsidRDefault="004F686E" w:rsidP="00471D53">
                    <w:pPr>
                      <w:jc w:val="right"/>
                      <w:rPr>
                        <w:szCs w:val="21"/>
                      </w:rPr>
                    </w:pPr>
                    <w:r>
                      <w:t>75,303,458.65</w:t>
                    </w:r>
                  </w:p>
                </w:tc>
                <w:tc>
                  <w:tcPr>
                    <w:tcW w:w="1301" w:type="pct"/>
                    <w:tcBorders>
                      <w:top w:val="single" w:sz="4" w:space="0" w:color="auto"/>
                      <w:left w:val="single" w:sz="4" w:space="0" w:color="auto"/>
                      <w:bottom w:val="single" w:sz="4" w:space="0" w:color="auto"/>
                      <w:right w:val="single" w:sz="4" w:space="0" w:color="auto"/>
                    </w:tcBorders>
                  </w:tcPr>
                  <w:p w14:paraId="4DE9F505" w14:textId="77777777" w:rsidR="00471D53" w:rsidRDefault="00B664AF" w:rsidP="00471D53">
                    <w:pPr>
                      <w:rPr>
                        <w:szCs w:val="21"/>
                      </w:rPr>
                    </w:pPr>
                  </w:p>
                </w:tc>
              </w:tr>
            </w:sdtContent>
          </w:sdt>
          <w:tr w:rsidR="00471D53" w14:paraId="0B7F32B3" w14:textId="77777777" w:rsidTr="00471D53">
            <w:trPr>
              <w:trHeight w:val="285"/>
            </w:trPr>
            <w:sdt>
              <w:sdtPr>
                <w:tag w:val="_PLD_46168047d07447b6bd845849845604bb"/>
                <w:id w:val="-631480960"/>
                <w:lock w:val="sdtLocked"/>
              </w:sdtPr>
              <w:sdtEndPr/>
              <w:sdtContent>
                <w:tc>
                  <w:tcPr>
                    <w:tcW w:w="1152" w:type="pct"/>
                    <w:tcBorders>
                      <w:top w:val="single" w:sz="4" w:space="0" w:color="auto"/>
                      <w:left w:val="single" w:sz="4" w:space="0" w:color="auto"/>
                      <w:bottom w:val="single" w:sz="4" w:space="0" w:color="auto"/>
                      <w:right w:val="single" w:sz="4" w:space="0" w:color="auto"/>
                    </w:tcBorders>
                    <w:vAlign w:val="bottom"/>
                  </w:tcPr>
                  <w:p w14:paraId="227EC4F0" w14:textId="77777777" w:rsidR="00471D53" w:rsidRDefault="004F686E" w:rsidP="00471D53">
                    <w:pPr>
                      <w:jc w:val="center"/>
                      <w:rPr>
                        <w:szCs w:val="21"/>
                      </w:rPr>
                    </w:pPr>
                    <w:r>
                      <w:rPr>
                        <w:rFonts w:hint="eastAsia"/>
                        <w:szCs w:val="21"/>
                      </w:rPr>
                      <w:t>合计</w:t>
                    </w:r>
                  </w:p>
                </w:tc>
              </w:sdtContent>
            </w:sdt>
            <w:tc>
              <w:tcPr>
                <w:tcW w:w="1263" w:type="pct"/>
                <w:tcBorders>
                  <w:top w:val="single" w:sz="4" w:space="0" w:color="auto"/>
                  <w:left w:val="single" w:sz="4" w:space="0" w:color="auto"/>
                  <w:bottom w:val="single" w:sz="4" w:space="0" w:color="auto"/>
                  <w:right w:val="single" w:sz="4" w:space="0" w:color="auto"/>
                </w:tcBorders>
              </w:tcPr>
              <w:p w14:paraId="45B2A5E4" w14:textId="77777777" w:rsidR="00471D53" w:rsidRDefault="004F686E" w:rsidP="00471D53">
                <w:pPr>
                  <w:jc w:val="right"/>
                  <w:rPr>
                    <w:szCs w:val="21"/>
                  </w:rPr>
                </w:pPr>
                <w:r>
                  <w:t>456,591,210.36</w:t>
                </w:r>
              </w:p>
            </w:tc>
            <w:tc>
              <w:tcPr>
                <w:tcW w:w="1284" w:type="pct"/>
                <w:tcBorders>
                  <w:top w:val="single" w:sz="4" w:space="0" w:color="auto"/>
                  <w:left w:val="single" w:sz="4" w:space="0" w:color="auto"/>
                  <w:bottom w:val="single" w:sz="4" w:space="0" w:color="auto"/>
                  <w:right w:val="single" w:sz="4" w:space="0" w:color="auto"/>
                </w:tcBorders>
              </w:tcPr>
              <w:p w14:paraId="7192F763" w14:textId="77777777" w:rsidR="00471D53" w:rsidRDefault="004F686E" w:rsidP="00471D53">
                <w:pPr>
                  <w:jc w:val="right"/>
                  <w:rPr>
                    <w:szCs w:val="21"/>
                  </w:rPr>
                </w:pPr>
                <w:r>
                  <w:t>456,591,210.36</w:t>
                </w:r>
              </w:p>
            </w:tc>
            <w:tc>
              <w:tcPr>
                <w:tcW w:w="1301" w:type="pct"/>
                <w:tcBorders>
                  <w:top w:val="single" w:sz="4" w:space="0" w:color="auto"/>
                  <w:left w:val="single" w:sz="4" w:space="0" w:color="auto"/>
                  <w:bottom w:val="single" w:sz="4" w:space="0" w:color="auto"/>
                  <w:right w:val="single" w:sz="4" w:space="0" w:color="auto"/>
                </w:tcBorders>
              </w:tcPr>
              <w:p w14:paraId="2E298FD2" w14:textId="77777777" w:rsidR="00471D53" w:rsidRDefault="004F686E" w:rsidP="00471D53">
                <w:pPr>
                  <w:jc w:val="center"/>
                  <w:rPr>
                    <w:szCs w:val="21"/>
                  </w:rPr>
                </w:pPr>
                <w:r>
                  <w:rPr>
                    <w:rFonts w:hint="eastAsia"/>
                    <w:szCs w:val="21"/>
                  </w:rPr>
                  <w:t>/</w:t>
                </w:r>
              </w:p>
            </w:tc>
          </w:tr>
        </w:tbl>
        <w:p w14:paraId="29C8B47A" w14:textId="77777777" w:rsidR="00471D53" w:rsidRDefault="00B664AF"/>
        <w:p w14:paraId="13C06FAF" w14:textId="77777777" w:rsidR="00471D53" w:rsidRPr="00BB2A79" w:rsidRDefault="00B664AF" w:rsidP="00471D53"/>
      </w:sdtContent>
    </w:sdt>
    <w:bookmarkEnd w:id="185"/>
    <w:p w14:paraId="441CE592" w14:textId="77777777" w:rsidR="00471D53" w:rsidRDefault="00B664AF">
      <w:pPr>
        <w:rPr>
          <w:color w:val="FF00FF"/>
          <w:szCs w:val="21"/>
        </w:rPr>
      </w:pPr>
    </w:p>
    <w:sdt>
      <w:sdtPr>
        <w:rPr>
          <w:rFonts w:hint="eastAsia"/>
          <w:szCs w:val="21"/>
        </w:rPr>
        <w:alias w:val="模块:递延所得税资产和递延所得税负债的说明"/>
        <w:tag w:val="_GBC_057749240d604d9ab0db94f6e505935f"/>
        <w:id w:val="430161155"/>
        <w:lock w:val="sdtLocked"/>
        <w:placeholder>
          <w:docPart w:val="GBC22222222222222222222222222222"/>
        </w:placeholder>
      </w:sdtPr>
      <w:sdtEndPr>
        <w:rPr>
          <w:rFonts w:hint="default"/>
        </w:rPr>
      </w:sdtEndPr>
      <w:sdtContent>
        <w:p w14:paraId="239FF279" w14:textId="77777777" w:rsidR="00471D53" w:rsidRDefault="004F686E">
          <w:pPr>
            <w:rPr>
              <w:szCs w:val="21"/>
            </w:rPr>
          </w:pPr>
          <w:r>
            <w:rPr>
              <w:rFonts w:hint="eastAsia"/>
              <w:szCs w:val="21"/>
            </w:rPr>
            <w:t>其他说明：</w:t>
          </w:r>
        </w:p>
        <w:sdt>
          <w:sdtPr>
            <w:rPr>
              <w:szCs w:val="21"/>
            </w:rPr>
            <w:alias w:val="是否适用：递延所得税资产和递延所得税负债的说明[双击切换]"/>
            <w:tag w:val="_GBC_06478ceb6b7447a791a4a5cbf8cc7e95"/>
            <w:id w:val="845282432"/>
            <w:lock w:val="sdtLocked"/>
            <w:placeholder>
              <w:docPart w:val="GBC22222222222222222222222222222"/>
            </w:placeholder>
          </w:sdtPr>
          <w:sdtEndPr/>
          <w:sdtContent>
            <w:p w14:paraId="4A25DD07" w14:textId="77777777" w:rsidR="00471D53" w:rsidRDefault="004F686E" w:rsidP="00471D5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14:paraId="3D1EEED0" w14:textId="77777777" w:rsidR="00471D53" w:rsidRDefault="00B664AF">
      <w:pPr>
        <w:rPr>
          <w:szCs w:val="21"/>
        </w:rPr>
      </w:pPr>
    </w:p>
    <w:bookmarkStart w:id="186" w:name="_Hlk10535308" w:displacedByCustomXml="next"/>
    <w:sdt>
      <w:sdtPr>
        <w:rPr>
          <w:rFonts w:ascii="宋体" w:hAnsi="宋体" w:cs="宋体" w:hint="eastAsia"/>
          <w:b w:val="0"/>
          <w:bCs w:val="0"/>
          <w:kern w:val="0"/>
          <w:szCs w:val="21"/>
        </w:rPr>
        <w:alias w:val="模块:其他非流动资产"/>
        <w:tag w:val="_GBC_b8db472f168c433c9cdb46a39ab78b50"/>
        <w:id w:val="-246804752"/>
        <w:lock w:val="sdtLocked"/>
        <w:placeholder>
          <w:docPart w:val="GBC22222222222222222222222222222"/>
        </w:placeholder>
      </w:sdtPr>
      <w:sdtEndPr/>
      <w:sdtContent>
        <w:p w14:paraId="66BC6718"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其他非流动资产</w:t>
          </w:r>
        </w:p>
        <w:sdt>
          <w:sdtPr>
            <w:alias w:val="是否适用：其他非流动资产[双击切换]"/>
            <w:tag w:val="_GBC_227882aeaa9b4aa98d6af8bcac2af7a5"/>
            <w:id w:val="-1993019303"/>
            <w:lock w:val="sdtLocked"/>
            <w:placeholder>
              <w:docPart w:val="GBC22222222222222222222222222222"/>
            </w:placeholder>
          </w:sdtPr>
          <w:sdtEndPr/>
          <w:sdtContent>
            <w:p w14:paraId="64CBF323"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9F781DE" w14:textId="77777777" w:rsidR="00471D53" w:rsidRDefault="00B664AF">
          <w:pPr>
            <w:rPr>
              <w:szCs w:val="21"/>
            </w:rPr>
          </w:pPr>
        </w:p>
      </w:sdtContent>
    </w:sdt>
    <w:bookmarkEnd w:id="186" w:displacedByCustomXml="prev"/>
    <w:p w14:paraId="31AF57E6" w14:textId="77777777" w:rsidR="00471D53" w:rsidRDefault="00B664AF">
      <w:pPr>
        <w:rPr>
          <w:szCs w:val="21"/>
        </w:rPr>
      </w:pPr>
    </w:p>
    <w:p w14:paraId="2ECBDC5C"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短期借款</w:t>
      </w:r>
    </w:p>
    <w:sdt>
      <w:sdtPr>
        <w:rPr>
          <w:rFonts w:ascii="宋体" w:hAnsi="宋体" w:cs="宋体" w:hint="eastAsia"/>
          <w:b w:val="0"/>
          <w:bCs w:val="0"/>
          <w:kern w:val="0"/>
          <w:szCs w:val="21"/>
        </w:rPr>
        <w:alias w:val="模块:短期借款分类"/>
        <w:tag w:val="_GBC_7bd2428d8b3140c1a80e7a88bb928c1f"/>
        <w:id w:val="-681203846"/>
        <w:lock w:val="sdtLocked"/>
        <w:placeholder>
          <w:docPart w:val="GBC22222222222222222222222222222"/>
        </w:placeholder>
      </w:sdtPr>
      <w:sdtEndPr>
        <w:rPr>
          <w:rFonts w:cstheme="minorBidi" w:hint="default"/>
          <w:color w:val="000000" w:themeColor="text1"/>
          <w:kern w:val="2"/>
        </w:rPr>
      </w:sdtEndPr>
      <w:sdtContent>
        <w:p w14:paraId="5DD18C0A" w14:textId="77777777" w:rsidR="00471D53" w:rsidRDefault="004F686E" w:rsidP="004F686E">
          <w:pPr>
            <w:pStyle w:val="afffff8"/>
            <w:numPr>
              <w:ilvl w:val="0"/>
              <w:numId w:val="77"/>
            </w:numPr>
            <w:tabs>
              <w:tab w:val="left" w:pos="630"/>
            </w:tabs>
            <w:rPr>
              <w:rFonts w:ascii="宋体" w:hAnsi="宋体"/>
              <w:szCs w:val="21"/>
            </w:rPr>
          </w:pPr>
          <w:r>
            <w:rPr>
              <w:rFonts w:ascii="宋体" w:hAnsi="宋体" w:hint="eastAsia"/>
              <w:szCs w:val="21"/>
            </w:rPr>
            <w:t>短期借款分类</w:t>
          </w:r>
        </w:p>
        <w:sdt>
          <w:sdtPr>
            <w:alias w:val="是否适用：短期借款分类[双击切换]"/>
            <w:tag w:val="_GBC_1074387a68b64f6b9270b522de53ad85"/>
            <w:id w:val="1225948153"/>
            <w:lock w:val="sdtLocked"/>
          </w:sdtPr>
          <w:sdtEndPr/>
          <w:sdtContent>
            <w:p w14:paraId="4AF63493"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DEA0C88" w14:textId="7F889D23" w:rsidR="00471D53" w:rsidRDefault="004F686E">
          <w:pPr>
            <w:jc w:val="right"/>
            <w:rPr>
              <w:szCs w:val="21"/>
            </w:rPr>
          </w:pPr>
          <w:r>
            <w:rPr>
              <w:rFonts w:hint="eastAsia"/>
              <w:szCs w:val="21"/>
            </w:rPr>
            <w:t>单位：</w:t>
          </w:r>
          <w:sdt>
            <w:sdtPr>
              <w:rPr>
                <w:rFonts w:hint="eastAsia"/>
                <w:szCs w:val="21"/>
              </w:rPr>
              <w:alias w:val="单位：财务附注：短期借款分类"/>
              <w:tag w:val="_GBC_f3353209b65c4921b63143340e11aac9"/>
              <w:id w:val="1611475674"/>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短期借款分类"/>
              <w:tag w:val="_GBC_b3a1802faad14eae96cfab316b25f639"/>
              <w:id w:val="1118484977"/>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47"/>
            <w:gridCol w:w="2980"/>
            <w:gridCol w:w="2996"/>
          </w:tblGrid>
          <w:tr w:rsidR="00471D53" w14:paraId="2269F045" w14:textId="77777777" w:rsidTr="00471D53">
            <w:trPr>
              <w:cantSplit/>
            </w:trPr>
            <w:sdt>
              <w:sdtPr>
                <w:tag w:val="_PLD_3476605067da474199aa03dc83e3d88c"/>
                <w:id w:val="-1513373061"/>
                <w:lock w:val="sdtLocked"/>
              </w:sdtPr>
              <w:sdtEndPr/>
              <w:sdtContent>
                <w:tc>
                  <w:tcPr>
                    <w:tcW w:w="1613" w:type="pct"/>
                    <w:vAlign w:val="center"/>
                  </w:tcPr>
                  <w:p w14:paraId="69B6B7F2" w14:textId="77777777" w:rsidR="00471D53" w:rsidRDefault="004F686E" w:rsidP="00471D53">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项目</w:t>
                    </w:r>
                  </w:p>
                </w:tc>
              </w:sdtContent>
            </w:sdt>
            <w:sdt>
              <w:sdtPr>
                <w:tag w:val="_PLD_ccd6dc2751cc421e8a2f26f78a44b4c5"/>
                <w:id w:val="1583185623"/>
                <w:lock w:val="sdtLocked"/>
              </w:sdtPr>
              <w:sdtEndPr/>
              <w:sdtContent>
                <w:tc>
                  <w:tcPr>
                    <w:tcW w:w="1688" w:type="pct"/>
                    <w:vAlign w:val="center"/>
                  </w:tcPr>
                  <w:p w14:paraId="4D049E9A" w14:textId="77777777" w:rsidR="00471D53" w:rsidRDefault="004F686E" w:rsidP="00471D53">
                    <w:pPr>
                      <w:jc w:val="center"/>
                      <w:rPr>
                        <w:color w:val="000000" w:themeColor="text1"/>
                        <w:szCs w:val="21"/>
                      </w:rPr>
                    </w:pPr>
                    <w:r>
                      <w:rPr>
                        <w:rFonts w:hint="eastAsia"/>
                        <w:color w:val="000000" w:themeColor="text1"/>
                        <w:szCs w:val="21"/>
                      </w:rPr>
                      <w:t>期末余额</w:t>
                    </w:r>
                  </w:p>
                </w:tc>
              </w:sdtContent>
            </w:sdt>
            <w:sdt>
              <w:sdtPr>
                <w:tag w:val="_PLD_c16f582c583d4324abc605c4bc563081"/>
                <w:id w:val="1283612797"/>
                <w:lock w:val="sdtLocked"/>
              </w:sdtPr>
              <w:sdtEndPr/>
              <w:sdtContent>
                <w:tc>
                  <w:tcPr>
                    <w:tcW w:w="1698" w:type="pct"/>
                    <w:vAlign w:val="center"/>
                  </w:tcPr>
                  <w:p w14:paraId="5BC465B6" w14:textId="77777777" w:rsidR="00471D53" w:rsidRDefault="004F686E" w:rsidP="00471D53">
                    <w:pPr>
                      <w:jc w:val="center"/>
                      <w:rPr>
                        <w:color w:val="000000" w:themeColor="text1"/>
                        <w:szCs w:val="21"/>
                      </w:rPr>
                    </w:pPr>
                    <w:r>
                      <w:rPr>
                        <w:rFonts w:hint="eastAsia"/>
                        <w:color w:val="000000" w:themeColor="text1"/>
                        <w:szCs w:val="21"/>
                      </w:rPr>
                      <w:t>期初余额</w:t>
                    </w:r>
                  </w:p>
                </w:tc>
              </w:sdtContent>
            </w:sdt>
          </w:tr>
          <w:tr w:rsidR="00471D53" w14:paraId="5CD2EEBD" w14:textId="77777777" w:rsidTr="00471D53">
            <w:trPr>
              <w:cantSplit/>
            </w:trPr>
            <w:sdt>
              <w:sdtPr>
                <w:tag w:val="_PLD_0e8c36451cb04874b50771df2ac75104"/>
                <w:id w:val="-492413352"/>
                <w:lock w:val="sdtLocked"/>
              </w:sdtPr>
              <w:sdtEndPr/>
              <w:sdtContent>
                <w:tc>
                  <w:tcPr>
                    <w:tcW w:w="1613" w:type="pct"/>
                    <w:shd w:val="clear" w:color="auto" w:fill="auto"/>
                  </w:tcPr>
                  <w:p w14:paraId="55335C09" w14:textId="77777777" w:rsidR="00471D53" w:rsidRDefault="004F686E" w:rsidP="00471D53">
                    <w:pPr>
                      <w:autoSpaceDE w:val="0"/>
                      <w:autoSpaceDN w:val="0"/>
                      <w:adjustRightInd w:val="0"/>
                      <w:snapToGrid w:val="0"/>
                      <w:spacing w:line="240" w:lineRule="atLeast"/>
                      <w:rPr>
                        <w:color w:val="000000" w:themeColor="text1"/>
                        <w:szCs w:val="21"/>
                      </w:rPr>
                    </w:pPr>
                    <w:r>
                      <w:rPr>
                        <w:rFonts w:hint="eastAsia"/>
                        <w:color w:val="000000" w:themeColor="text1"/>
                        <w:szCs w:val="21"/>
                      </w:rPr>
                      <w:t>质押借款</w:t>
                    </w:r>
                  </w:p>
                </w:tc>
              </w:sdtContent>
            </w:sdt>
            <w:tc>
              <w:tcPr>
                <w:tcW w:w="1688" w:type="pct"/>
                <w:shd w:val="clear" w:color="auto" w:fill="auto"/>
              </w:tcPr>
              <w:p w14:paraId="0CBB02F4" w14:textId="77777777" w:rsidR="00471D53" w:rsidRDefault="00B664AF" w:rsidP="00471D53">
                <w:pPr>
                  <w:autoSpaceDE w:val="0"/>
                  <w:autoSpaceDN w:val="0"/>
                  <w:adjustRightInd w:val="0"/>
                  <w:snapToGrid w:val="0"/>
                  <w:spacing w:line="240" w:lineRule="atLeast"/>
                  <w:ind w:right="180"/>
                  <w:jc w:val="right"/>
                  <w:rPr>
                    <w:szCs w:val="21"/>
                  </w:rPr>
                </w:pPr>
              </w:p>
            </w:tc>
            <w:tc>
              <w:tcPr>
                <w:tcW w:w="1698" w:type="pct"/>
                <w:shd w:val="clear" w:color="auto" w:fill="auto"/>
              </w:tcPr>
              <w:p w14:paraId="7D6D1531" w14:textId="77777777" w:rsidR="00471D53" w:rsidRDefault="00B664AF" w:rsidP="00471D53">
                <w:pPr>
                  <w:autoSpaceDE w:val="0"/>
                  <w:autoSpaceDN w:val="0"/>
                  <w:adjustRightInd w:val="0"/>
                  <w:snapToGrid w:val="0"/>
                  <w:spacing w:line="240" w:lineRule="atLeast"/>
                  <w:ind w:right="180"/>
                  <w:jc w:val="right"/>
                  <w:rPr>
                    <w:szCs w:val="21"/>
                  </w:rPr>
                </w:pPr>
              </w:p>
            </w:tc>
          </w:tr>
          <w:tr w:rsidR="00471D53" w14:paraId="02F4DA13" w14:textId="77777777" w:rsidTr="00471D53">
            <w:trPr>
              <w:cantSplit/>
            </w:trPr>
            <w:sdt>
              <w:sdtPr>
                <w:tag w:val="_PLD_175aee4cc1e24ae397a153f47913ca90"/>
                <w:id w:val="2146545232"/>
                <w:lock w:val="sdtLocked"/>
              </w:sdtPr>
              <w:sdtEndPr/>
              <w:sdtContent>
                <w:tc>
                  <w:tcPr>
                    <w:tcW w:w="1613" w:type="pct"/>
                    <w:shd w:val="clear" w:color="auto" w:fill="auto"/>
                  </w:tcPr>
                  <w:p w14:paraId="231D9EE8" w14:textId="77777777" w:rsidR="00471D53" w:rsidRDefault="004F686E" w:rsidP="00471D53">
                    <w:pPr>
                      <w:autoSpaceDE w:val="0"/>
                      <w:autoSpaceDN w:val="0"/>
                      <w:adjustRightInd w:val="0"/>
                      <w:snapToGrid w:val="0"/>
                      <w:spacing w:line="240" w:lineRule="atLeast"/>
                      <w:rPr>
                        <w:color w:val="000000" w:themeColor="text1"/>
                        <w:szCs w:val="21"/>
                      </w:rPr>
                    </w:pPr>
                    <w:r>
                      <w:rPr>
                        <w:rFonts w:hint="eastAsia"/>
                        <w:color w:val="000000" w:themeColor="text1"/>
                        <w:szCs w:val="21"/>
                      </w:rPr>
                      <w:t>抵押借款</w:t>
                    </w:r>
                  </w:p>
                </w:tc>
              </w:sdtContent>
            </w:sdt>
            <w:tc>
              <w:tcPr>
                <w:tcW w:w="1688" w:type="pct"/>
                <w:shd w:val="clear" w:color="auto" w:fill="auto"/>
              </w:tcPr>
              <w:p w14:paraId="7DE65E5D" w14:textId="77777777" w:rsidR="00471D53" w:rsidRDefault="00B664AF" w:rsidP="00471D53">
                <w:pPr>
                  <w:autoSpaceDE w:val="0"/>
                  <w:autoSpaceDN w:val="0"/>
                  <w:adjustRightInd w:val="0"/>
                  <w:snapToGrid w:val="0"/>
                  <w:spacing w:line="240" w:lineRule="atLeast"/>
                  <w:ind w:right="180"/>
                  <w:jc w:val="right"/>
                  <w:rPr>
                    <w:szCs w:val="21"/>
                  </w:rPr>
                </w:pPr>
              </w:p>
            </w:tc>
            <w:tc>
              <w:tcPr>
                <w:tcW w:w="1698" w:type="pct"/>
                <w:shd w:val="clear" w:color="auto" w:fill="auto"/>
              </w:tcPr>
              <w:p w14:paraId="09BF177D" w14:textId="77777777" w:rsidR="00471D53" w:rsidRDefault="00B664AF" w:rsidP="00471D53">
                <w:pPr>
                  <w:autoSpaceDE w:val="0"/>
                  <w:autoSpaceDN w:val="0"/>
                  <w:adjustRightInd w:val="0"/>
                  <w:snapToGrid w:val="0"/>
                  <w:spacing w:line="240" w:lineRule="atLeast"/>
                  <w:ind w:right="180"/>
                  <w:jc w:val="right"/>
                  <w:rPr>
                    <w:szCs w:val="21"/>
                  </w:rPr>
                </w:pPr>
              </w:p>
            </w:tc>
          </w:tr>
          <w:tr w:rsidR="00471D53" w14:paraId="633DD70D" w14:textId="77777777" w:rsidTr="00471D53">
            <w:trPr>
              <w:cantSplit/>
            </w:trPr>
            <w:sdt>
              <w:sdtPr>
                <w:tag w:val="_PLD_683943eeaad3404fa9922b66239868d3"/>
                <w:id w:val="-1918236039"/>
                <w:lock w:val="sdtLocked"/>
              </w:sdtPr>
              <w:sdtEndPr/>
              <w:sdtContent>
                <w:tc>
                  <w:tcPr>
                    <w:tcW w:w="1613" w:type="pct"/>
                    <w:shd w:val="clear" w:color="auto" w:fill="auto"/>
                  </w:tcPr>
                  <w:p w14:paraId="065EBF35" w14:textId="77777777" w:rsidR="00471D53" w:rsidRDefault="004F686E" w:rsidP="00471D53">
                    <w:pPr>
                      <w:autoSpaceDE w:val="0"/>
                      <w:autoSpaceDN w:val="0"/>
                      <w:adjustRightInd w:val="0"/>
                      <w:snapToGrid w:val="0"/>
                      <w:spacing w:line="240" w:lineRule="atLeast"/>
                      <w:rPr>
                        <w:color w:val="000000" w:themeColor="text1"/>
                        <w:szCs w:val="21"/>
                      </w:rPr>
                    </w:pPr>
                    <w:r>
                      <w:rPr>
                        <w:rFonts w:hint="eastAsia"/>
                        <w:color w:val="000000" w:themeColor="text1"/>
                        <w:szCs w:val="21"/>
                      </w:rPr>
                      <w:t>保证借款</w:t>
                    </w:r>
                  </w:p>
                </w:tc>
              </w:sdtContent>
            </w:sdt>
            <w:tc>
              <w:tcPr>
                <w:tcW w:w="1688" w:type="pct"/>
                <w:shd w:val="clear" w:color="auto" w:fill="auto"/>
              </w:tcPr>
              <w:p w14:paraId="186F4A16" w14:textId="77777777" w:rsidR="00471D53" w:rsidRDefault="004F686E" w:rsidP="00471D53">
                <w:pPr>
                  <w:autoSpaceDE w:val="0"/>
                  <w:autoSpaceDN w:val="0"/>
                  <w:adjustRightInd w:val="0"/>
                  <w:snapToGrid w:val="0"/>
                  <w:spacing w:line="240" w:lineRule="atLeast"/>
                  <w:ind w:right="180"/>
                  <w:jc w:val="right"/>
                  <w:rPr>
                    <w:szCs w:val="21"/>
                  </w:rPr>
                </w:pPr>
                <w:r>
                  <w:t>108,000,000.00</w:t>
                </w:r>
              </w:p>
            </w:tc>
            <w:tc>
              <w:tcPr>
                <w:tcW w:w="1698" w:type="pct"/>
                <w:shd w:val="clear" w:color="auto" w:fill="auto"/>
              </w:tcPr>
              <w:p w14:paraId="0079FF25" w14:textId="77777777" w:rsidR="00471D53" w:rsidRDefault="004F686E" w:rsidP="00471D53">
                <w:pPr>
                  <w:autoSpaceDE w:val="0"/>
                  <w:autoSpaceDN w:val="0"/>
                  <w:adjustRightInd w:val="0"/>
                  <w:snapToGrid w:val="0"/>
                  <w:spacing w:line="240" w:lineRule="atLeast"/>
                  <w:ind w:right="180"/>
                  <w:jc w:val="right"/>
                  <w:rPr>
                    <w:szCs w:val="21"/>
                  </w:rPr>
                </w:pPr>
                <w:r>
                  <w:t>168,000,000.00</w:t>
                </w:r>
              </w:p>
            </w:tc>
          </w:tr>
          <w:tr w:rsidR="00471D53" w14:paraId="06E6C934" w14:textId="77777777" w:rsidTr="00471D53">
            <w:trPr>
              <w:cantSplit/>
              <w:trHeight w:val="237"/>
            </w:trPr>
            <w:sdt>
              <w:sdtPr>
                <w:tag w:val="_PLD_ac3f684241c3446d8157cc100dc691d8"/>
                <w:id w:val="69774276"/>
                <w:lock w:val="sdtLocked"/>
              </w:sdtPr>
              <w:sdtEndPr/>
              <w:sdtContent>
                <w:tc>
                  <w:tcPr>
                    <w:tcW w:w="1613" w:type="pct"/>
                    <w:shd w:val="clear" w:color="auto" w:fill="auto"/>
                  </w:tcPr>
                  <w:p w14:paraId="566FF8CC" w14:textId="77777777" w:rsidR="00471D53" w:rsidRDefault="004F686E" w:rsidP="00471D53">
                    <w:pPr>
                      <w:autoSpaceDE w:val="0"/>
                      <w:autoSpaceDN w:val="0"/>
                      <w:adjustRightInd w:val="0"/>
                      <w:snapToGrid w:val="0"/>
                      <w:spacing w:line="240" w:lineRule="atLeast"/>
                      <w:rPr>
                        <w:color w:val="000000" w:themeColor="text1"/>
                        <w:szCs w:val="21"/>
                      </w:rPr>
                    </w:pPr>
                    <w:r>
                      <w:rPr>
                        <w:rFonts w:hint="eastAsia"/>
                        <w:color w:val="000000" w:themeColor="text1"/>
                        <w:szCs w:val="21"/>
                      </w:rPr>
                      <w:t>信用借款</w:t>
                    </w:r>
                  </w:p>
                </w:tc>
              </w:sdtContent>
            </w:sdt>
            <w:tc>
              <w:tcPr>
                <w:tcW w:w="1688" w:type="pct"/>
                <w:shd w:val="clear" w:color="auto" w:fill="auto"/>
              </w:tcPr>
              <w:p w14:paraId="6D9A9951" w14:textId="77777777" w:rsidR="00471D53" w:rsidRDefault="00B664AF" w:rsidP="00471D53">
                <w:pPr>
                  <w:autoSpaceDE w:val="0"/>
                  <w:autoSpaceDN w:val="0"/>
                  <w:adjustRightInd w:val="0"/>
                  <w:snapToGrid w:val="0"/>
                  <w:spacing w:line="240" w:lineRule="atLeast"/>
                  <w:ind w:right="180"/>
                  <w:jc w:val="right"/>
                  <w:rPr>
                    <w:szCs w:val="21"/>
                  </w:rPr>
                </w:pPr>
              </w:p>
            </w:tc>
            <w:tc>
              <w:tcPr>
                <w:tcW w:w="1698" w:type="pct"/>
                <w:shd w:val="clear" w:color="auto" w:fill="auto"/>
              </w:tcPr>
              <w:p w14:paraId="5EF8B93A" w14:textId="77777777" w:rsidR="00471D53" w:rsidRDefault="00B664AF" w:rsidP="00471D53">
                <w:pPr>
                  <w:autoSpaceDE w:val="0"/>
                  <w:autoSpaceDN w:val="0"/>
                  <w:adjustRightInd w:val="0"/>
                  <w:snapToGrid w:val="0"/>
                  <w:spacing w:line="240" w:lineRule="atLeast"/>
                  <w:ind w:right="180"/>
                  <w:jc w:val="right"/>
                  <w:rPr>
                    <w:szCs w:val="21"/>
                  </w:rPr>
                </w:pPr>
              </w:p>
            </w:tc>
          </w:tr>
          <w:tr w:rsidR="00471D53" w14:paraId="52660906" w14:textId="77777777" w:rsidTr="00471D53">
            <w:trPr>
              <w:cantSplit/>
            </w:trPr>
            <w:sdt>
              <w:sdtPr>
                <w:tag w:val="_PLD_d743f636779d41b799b60f4fd4a017df"/>
                <w:id w:val="-538359116"/>
                <w:lock w:val="sdtLocked"/>
              </w:sdtPr>
              <w:sdtEndPr/>
              <w:sdtContent>
                <w:tc>
                  <w:tcPr>
                    <w:tcW w:w="1613" w:type="pct"/>
                    <w:vAlign w:val="center"/>
                  </w:tcPr>
                  <w:p w14:paraId="5EC18F47" w14:textId="77777777" w:rsidR="00471D53" w:rsidRDefault="004F686E" w:rsidP="00471D53">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合计</w:t>
                    </w:r>
                  </w:p>
                </w:tc>
              </w:sdtContent>
            </w:sdt>
            <w:tc>
              <w:tcPr>
                <w:tcW w:w="1688" w:type="pct"/>
              </w:tcPr>
              <w:p w14:paraId="19760CAE" w14:textId="77777777" w:rsidR="00471D53" w:rsidRDefault="004F686E" w:rsidP="00471D53">
                <w:pPr>
                  <w:autoSpaceDE w:val="0"/>
                  <w:autoSpaceDN w:val="0"/>
                  <w:adjustRightInd w:val="0"/>
                  <w:snapToGrid w:val="0"/>
                  <w:spacing w:line="240" w:lineRule="atLeast"/>
                  <w:ind w:right="180"/>
                  <w:jc w:val="right"/>
                  <w:rPr>
                    <w:szCs w:val="21"/>
                  </w:rPr>
                </w:pPr>
                <w:r>
                  <w:t>108,000,000.00</w:t>
                </w:r>
              </w:p>
            </w:tc>
            <w:tc>
              <w:tcPr>
                <w:tcW w:w="1698" w:type="pct"/>
              </w:tcPr>
              <w:p w14:paraId="60D1242F" w14:textId="77777777" w:rsidR="00471D53" w:rsidRDefault="004F686E" w:rsidP="00471D53">
                <w:pPr>
                  <w:autoSpaceDE w:val="0"/>
                  <w:autoSpaceDN w:val="0"/>
                  <w:adjustRightInd w:val="0"/>
                  <w:snapToGrid w:val="0"/>
                  <w:spacing w:line="240" w:lineRule="atLeast"/>
                  <w:ind w:right="180"/>
                  <w:jc w:val="right"/>
                  <w:rPr>
                    <w:szCs w:val="21"/>
                  </w:rPr>
                </w:pPr>
                <w:r>
                  <w:t>168,000,000.00</w:t>
                </w:r>
              </w:p>
            </w:tc>
          </w:tr>
        </w:tbl>
        <w:p w14:paraId="2F74FEE0" w14:textId="77777777" w:rsidR="00471D53" w:rsidRDefault="00B664AF"/>
        <w:p w14:paraId="3662AD18" w14:textId="77777777" w:rsidR="00471D53" w:rsidRDefault="004F686E">
          <w:pPr>
            <w:snapToGrid w:val="0"/>
            <w:spacing w:line="240" w:lineRule="atLeast"/>
            <w:rPr>
              <w:color w:val="000000" w:themeColor="text1"/>
              <w:szCs w:val="21"/>
            </w:rPr>
          </w:pPr>
          <w:r>
            <w:rPr>
              <w:rFonts w:hint="eastAsia"/>
              <w:color w:val="000000" w:themeColor="text1"/>
              <w:szCs w:val="21"/>
            </w:rPr>
            <w:t>短期借款分类的说明：</w:t>
          </w:r>
        </w:p>
        <w:sdt>
          <w:sdtPr>
            <w:rPr>
              <w:szCs w:val="21"/>
            </w:rPr>
            <w:alias w:val="短期借款分类的说明"/>
            <w:tag w:val="_GBC_fc19e133dd4f4dbdb9d583e76175b714"/>
            <w:id w:val="690574710"/>
            <w:lock w:val="sdtLocked"/>
          </w:sdtPr>
          <w:sdtEndPr/>
          <w:sdtContent>
            <w:p w14:paraId="029743C5" w14:textId="77777777" w:rsidR="00471D53" w:rsidRPr="005C156D" w:rsidRDefault="004F686E" w:rsidP="00471D53">
              <w:pPr>
                <w:spacing w:beforeLines="50" w:before="120" w:afterLines="50" w:after="120" w:line="360" w:lineRule="exact"/>
                <w:ind w:firstLineChars="200" w:firstLine="420"/>
                <w:jc w:val="both"/>
                <w:rPr>
                  <w:sz w:val="22"/>
                  <w:szCs w:val="22"/>
                </w:rPr>
              </w:pPr>
              <w:r w:rsidRPr="005C156D">
                <w:rPr>
                  <w:sz w:val="22"/>
                  <w:szCs w:val="22"/>
                </w:rPr>
                <w:t>1</w:t>
              </w:r>
              <w:r w:rsidRPr="005C156D">
                <w:rPr>
                  <w:rFonts w:hint="eastAsia"/>
                  <w:sz w:val="22"/>
                  <w:szCs w:val="22"/>
                </w:rPr>
                <w:t>）20</w:t>
              </w:r>
              <w:r w:rsidRPr="005C156D">
                <w:rPr>
                  <w:sz w:val="22"/>
                  <w:szCs w:val="22"/>
                </w:rPr>
                <w:t>20</w:t>
              </w:r>
              <w:r w:rsidRPr="005C156D">
                <w:rPr>
                  <w:rFonts w:hint="eastAsia"/>
                  <w:sz w:val="22"/>
                  <w:szCs w:val="22"/>
                </w:rPr>
                <w:t>年</w:t>
              </w:r>
              <w:r w:rsidRPr="005C156D">
                <w:rPr>
                  <w:sz w:val="22"/>
                  <w:szCs w:val="22"/>
                </w:rPr>
                <w:t>8</w:t>
              </w:r>
              <w:r w:rsidRPr="005C156D">
                <w:rPr>
                  <w:rFonts w:hint="eastAsia"/>
                  <w:sz w:val="22"/>
                  <w:szCs w:val="22"/>
                </w:rPr>
                <w:t>月</w:t>
              </w:r>
              <w:r w:rsidRPr="005C156D">
                <w:rPr>
                  <w:sz w:val="22"/>
                  <w:szCs w:val="22"/>
                </w:rPr>
                <w:t>1</w:t>
              </w:r>
              <w:r w:rsidRPr="005C156D">
                <w:rPr>
                  <w:rFonts w:hint="eastAsia"/>
                  <w:sz w:val="22"/>
                  <w:szCs w:val="22"/>
                </w:rPr>
                <w:t>0日，北京天海与华夏银行股份有限公司北京光华支行签订编号为</w:t>
              </w:r>
              <w:r w:rsidRPr="005C156D">
                <w:rPr>
                  <w:sz w:val="22"/>
                  <w:szCs w:val="22"/>
                </w:rPr>
                <w:t>YYB1210120200056</w:t>
              </w:r>
              <w:r w:rsidRPr="005C156D">
                <w:rPr>
                  <w:rFonts w:hint="eastAsia"/>
                  <w:sz w:val="22"/>
                  <w:szCs w:val="22"/>
                </w:rPr>
                <w:t>的流动资金借款合同，借款金额为</w:t>
              </w:r>
              <w:r w:rsidRPr="005C156D">
                <w:rPr>
                  <w:sz w:val="22"/>
                  <w:szCs w:val="22"/>
                </w:rPr>
                <w:t>2</w:t>
              </w:r>
              <w:r w:rsidRPr="005C156D">
                <w:rPr>
                  <w:rFonts w:hint="eastAsia"/>
                  <w:sz w:val="22"/>
                  <w:szCs w:val="22"/>
                </w:rPr>
                <w:t>,000</w:t>
              </w:r>
              <w:r w:rsidRPr="005C156D">
                <w:rPr>
                  <w:sz w:val="22"/>
                  <w:szCs w:val="22"/>
                </w:rPr>
                <w:t>.00</w:t>
              </w:r>
              <w:r w:rsidRPr="005C156D">
                <w:rPr>
                  <w:rFonts w:hint="eastAsia"/>
                  <w:sz w:val="22"/>
                  <w:szCs w:val="22"/>
                </w:rPr>
                <w:t>万元，借款期间自20</w:t>
              </w:r>
              <w:r w:rsidRPr="005C156D">
                <w:rPr>
                  <w:sz w:val="22"/>
                  <w:szCs w:val="22"/>
                </w:rPr>
                <w:t>20</w:t>
              </w:r>
              <w:r w:rsidRPr="005C156D">
                <w:rPr>
                  <w:rFonts w:hint="eastAsia"/>
                  <w:sz w:val="22"/>
                  <w:szCs w:val="22"/>
                </w:rPr>
                <w:t>年</w:t>
              </w:r>
              <w:r w:rsidRPr="005C156D">
                <w:rPr>
                  <w:sz w:val="22"/>
                  <w:szCs w:val="22"/>
                </w:rPr>
                <w:t>8</w:t>
              </w:r>
              <w:r w:rsidRPr="005C156D">
                <w:rPr>
                  <w:rFonts w:hint="eastAsia"/>
                  <w:sz w:val="22"/>
                  <w:szCs w:val="22"/>
                </w:rPr>
                <w:t>月</w:t>
              </w:r>
              <w:r w:rsidRPr="005C156D">
                <w:rPr>
                  <w:sz w:val="22"/>
                  <w:szCs w:val="22"/>
                </w:rPr>
                <w:t>12</w:t>
              </w:r>
              <w:r w:rsidRPr="005C156D">
                <w:rPr>
                  <w:rFonts w:hint="eastAsia"/>
                  <w:sz w:val="22"/>
                  <w:szCs w:val="22"/>
                </w:rPr>
                <w:t>日至202</w:t>
              </w:r>
              <w:r w:rsidRPr="005C156D">
                <w:rPr>
                  <w:sz w:val="22"/>
                  <w:szCs w:val="22"/>
                </w:rPr>
                <w:t>1</w:t>
              </w:r>
              <w:r w:rsidRPr="005C156D">
                <w:rPr>
                  <w:rFonts w:hint="eastAsia"/>
                  <w:sz w:val="22"/>
                  <w:szCs w:val="22"/>
                </w:rPr>
                <w:t>年</w:t>
              </w:r>
              <w:r w:rsidRPr="005C156D">
                <w:rPr>
                  <w:sz w:val="22"/>
                  <w:szCs w:val="22"/>
                </w:rPr>
                <w:t>8</w:t>
              </w:r>
              <w:r w:rsidRPr="005C156D">
                <w:rPr>
                  <w:rFonts w:hint="eastAsia"/>
                  <w:sz w:val="22"/>
                  <w:szCs w:val="22"/>
                </w:rPr>
                <w:t>月</w:t>
              </w:r>
              <w:r w:rsidRPr="005C156D">
                <w:rPr>
                  <w:sz w:val="22"/>
                  <w:szCs w:val="22"/>
                </w:rPr>
                <w:t>12</w:t>
              </w:r>
              <w:r w:rsidRPr="005C156D">
                <w:rPr>
                  <w:rFonts w:hint="eastAsia"/>
                  <w:sz w:val="22"/>
                  <w:szCs w:val="22"/>
                </w:rPr>
                <w:t>日，借款利率为5.</w:t>
              </w:r>
              <w:r w:rsidRPr="005C156D">
                <w:rPr>
                  <w:sz w:val="22"/>
                  <w:szCs w:val="22"/>
                </w:rPr>
                <w:t>22</w:t>
              </w:r>
              <w:r w:rsidRPr="005C156D">
                <w:rPr>
                  <w:rFonts w:hint="eastAsia"/>
                  <w:sz w:val="22"/>
                  <w:szCs w:val="22"/>
                </w:rPr>
                <w:t>%。由京城机电提供最高额保证，保证期限为</w:t>
              </w:r>
              <w:r w:rsidRPr="005C156D">
                <w:rPr>
                  <w:rFonts w:hint="eastAsia"/>
                  <w:sz w:val="22"/>
                  <w:szCs w:val="22"/>
                </w:rPr>
                <w:lastRenderedPageBreak/>
                <w:t>主合同生效之日起至主合同项下债务履行期限届满之日后两年。截止</w:t>
              </w:r>
              <w:r>
                <w:rPr>
                  <w:rFonts w:hint="eastAsia"/>
                  <w:sz w:val="22"/>
                  <w:szCs w:val="22"/>
                </w:rPr>
                <w:t>期末</w:t>
              </w:r>
              <w:r w:rsidRPr="005C156D">
                <w:rPr>
                  <w:rFonts w:hint="eastAsia"/>
                  <w:sz w:val="22"/>
                  <w:szCs w:val="22"/>
                </w:rPr>
                <w:t>银行已放借款</w:t>
              </w:r>
              <w:r w:rsidRPr="005C156D">
                <w:rPr>
                  <w:sz w:val="22"/>
                  <w:szCs w:val="22"/>
                </w:rPr>
                <w:t>2</w:t>
              </w:r>
              <w:r w:rsidRPr="005C156D">
                <w:rPr>
                  <w:rFonts w:hint="eastAsia"/>
                  <w:sz w:val="22"/>
                  <w:szCs w:val="22"/>
                </w:rPr>
                <w:t>,000</w:t>
              </w:r>
              <w:r w:rsidRPr="005C156D">
                <w:rPr>
                  <w:sz w:val="22"/>
                  <w:szCs w:val="22"/>
                </w:rPr>
                <w:t>.00</w:t>
              </w:r>
              <w:r w:rsidRPr="005C156D">
                <w:rPr>
                  <w:rFonts w:hint="eastAsia"/>
                  <w:sz w:val="22"/>
                  <w:szCs w:val="22"/>
                </w:rPr>
                <w:t>万元。</w:t>
              </w:r>
            </w:p>
            <w:p w14:paraId="000F8C13" w14:textId="77777777" w:rsidR="00471D53" w:rsidRPr="005C156D" w:rsidRDefault="004F686E" w:rsidP="00471D53">
              <w:pPr>
                <w:spacing w:beforeLines="50" w:before="120" w:afterLines="50" w:after="120" w:line="360" w:lineRule="exact"/>
                <w:ind w:firstLineChars="200" w:firstLine="440"/>
                <w:jc w:val="both"/>
                <w:rPr>
                  <w:sz w:val="22"/>
                  <w:szCs w:val="22"/>
                </w:rPr>
              </w:pPr>
              <w:r w:rsidRPr="005C156D">
                <w:rPr>
                  <w:sz w:val="22"/>
                  <w:szCs w:val="22"/>
                </w:rPr>
                <w:t>2</w:t>
              </w:r>
              <w:r w:rsidRPr="005C156D">
                <w:rPr>
                  <w:rFonts w:hint="eastAsia"/>
                  <w:sz w:val="22"/>
                  <w:szCs w:val="22"/>
                </w:rPr>
                <w:t>）20</w:t>
              </w:r>
              <w:r w:rsidRPr="005C156D">
                <w:rPr>
                  <w:sz w:val="22"/>
                  <w:szCs w:val="22"/>
                </w:rPr>
                <w:t>20</w:t>
              </w:r>
              <w:r w:rsidRPr="005C156D">
                <w:rPr>
                  <w:rFonts w:hint="eastAsia"/>
                  <w:sz w:val="22"/>
                  <w:szCs w:val="22"/>
                </w:rPr>
                <w:t>年</w:t>
              </w:r>
              <w:r w:rsidRPr="005C156D">
                <w:rPr>
                  <w:sz w:val="22"/>
                  <w:szCs w:val="22"/>
                </w:rPr>
                <w:t>9</w:t>
              </w:r>
              <w:r w:rsidRPr="005C156D">
                <w:rPr>
                  <w:rFonts w:hint="eastAsia"/>
                  <w:sz w:val="22"/>
                  <w:szCs w:val="22"/>
                </w:rPr>
                <w:t>月1</w:t>
              </w:r>
              <w:r w:rsidRPr="005C156D">
                <w:rPr>
                  <w:sz w:val="22"/>
                  <w:szCs w:val="22"/>
                </w:rPr>
                <w:t>5</w:t>
              </w:r>
              <w:r w:rsidRPr="005C156D">
                <w:rPr>
                  <w:rFonts w:hint="eastAsia"/>
                  <w:sz w:val="22"/>
                  <w:szCs w:val="22"/>
                </w:rPr>
                <w:t>日，北京天海与华夏银行股份有限公司北京光华支行签订编号为</w:t>
              </w:r>
              <w:r w:rsidRPr="005C156D">
                <w:rPr>
                  <w:sz w:val="22"/>
                  <w:szCs w:val="22"/>
                </w:rPr>
                <w:t>YYB1210120200072</w:t>
              </w:r>
              <w:r w:rsidRPr="005C156D">
                <w:rPr>
                  <w:rFonts w:hint="eastAsia"/>
                  <w:sz w:val="22"/>
                  <w:szCs w:val="22"/>
                </w:rPr>
                <w:t>的流动资金借款合同，借款金额为</w:t>
              </w:r>
              <w:r w:rsidRPr="005C156D">
                <w:rPr>
                  <w:sz w:val="22"/>
                  <w:szCs w:val="22"/>
                </w:rPr>
                <w:t>3</w:t>
              </w:r>
              <w:r w:rsidRPr="005C156D">
                <w:rPr>
                  <w:rFonts w:hint="eastAsia"/>
                  <w:sz w:val="22"/>
                  <w:szCs w:val="22"/>
                </w:rPr>
                <w:t>,000</w:t>
              </w:r>
              <w:r w:rsidRPr="005C156D">
                <w:rPr>
                  <w:sz w:val="22"/>
                  <w:szCs w:val="22"/>
                </w:rPr>
                <w:t>.00</w:t>
              </w:r>
              <w:r w:rsidRPr="005C156D">
                <w:rPr>
                  <w:rFonts w:hint="eastAsia"/>
                  <w:sz w:val="22"/>
                  <w:szCs w:val="22"/>
                </w:rPr>
                <w:t>万元，借款期间自20</w:t>
              </w:r>
              <w:r w:rsidRPr="005C156D">
                <w:rPr>
                  <w:sz w:val="22"/>
                  <w:szCs w:val="22"/>
                </w:rPr>
                <w:t>20</w:t>
              </w:r>
              <w:r w:rsidRPr="005C156D">
                <w:rPr>
                  <w:rFonts w:hint="eastAsia"/>
                  <w:sz w:val="22"/>
                  <w:szCs w:val="22"/>
                </w:rPr>
                <w:t>年</w:t>
              </w:r>
              <w:r w:rsidRPr="005C156D">
                <w:rPr>
                  <w:sz w:val="22"/>
                  <w:szCs w:val="22"/>
                </w:rPr>
                <w:t>9</w:t>
              </w:r>
              <w:r w:rsidRPr="005C156D">
                <w:rPr>
                  <w:rFonts w:hint="eastAsia"/>
                  <w:sz w:val="22"/>
                  <w:szCs w:val="22"/>
                </w:rPr>
                <w:t>月1</w:t>
              </w:r>
              <w:r w:rsidRPr="005C156D">
                <w:rPr>
                  <w:sz w:val="22"/>
                  <w:szCs w:val="22"/>
                </w:rPr>
                <w:t>5</w:t>
              </w:r>
              <w:r w:rsidRPr="005C156D">
                <w:rPr>
                  <w:rFonts w:hint="eastAsia"/>
                  <w:sz w:val="22"/>
                  <w:szCs w:val="22"/>
                </w:rPr>
                <w:t>日至202</w:t>
              </w:r>
              <w:r w:rsidRPr="005C156D">
                <w:rPr>
                  <w:sz w:val="22"/>
                  <w:szCs w:val="22"/>
                </w:rPr>
                <w:t>1</w:t>
              </w:r>
              <w:r w:rsidRPr="005C156D">
                <w:rPr>
                  <w:rFonts w:hint="eastAsia"/>
                  <w:sz w:val="22"/>
                  <w:szCs w:val="22"/>
                </w:rPr>
                <w:t>年</w:t>
              </w:r>
              <w:r w:rsidRPr="005C156D">
                <w:rPr>
                  <w:sz w:val="22"/>
                  <w:szCs w:val="22"/>
                </w:rPr>
                <w:t>9</w:t>
              </w:r>
              <w:r w:rsidRPr="005C156D">
                <w:rPr>
                  <w:rFonts w:hint="eastAsia"/>
                  <w:sz w:val="22"/>
                  <w:szCs w:val="22"/>
                </w:rPr>
                <w:t>月1</w:t>
              </w:r>
              <w:r w:rsidRPr="005C156D">
                <w:rPr>
                  <w:sz w:val="22"/>
                  <w:szCs w:val="22"/>
                </w:rPr>
                <w:t>5</w:t>
              </w:r>
              <w:r w:rsidRPr="005C156D">
                <w:rPr>
                  <w:rFonts w:hint="eastAsia"/>
                  <w:sz w:val="22"/>
                  <w:szCs w:val="22"/>
                </w:rPr>
                <w:t>日，借款利率为5.</w:t>
              </w:r>
              <w:r w:rsidRPr="005C156D">
                <w:rPr>
                  <w:sz w:val="22"/>
                  <w:szCs w:val="22"/>
                </w:rPr>
                <w:t>22</w:t>
              </w:r>
              <w:r w:rsidRPr="005C156D">
                <w:rPr>
                  <w:rFonts w:hint="eastAsia"/>
                  <w:sz w:val="22"/>
                  <w:szCs w:val="22"/>
                </w:rPr>
                <w:t>%。由京城机电提供最高额保证，保证期限为主合同生效之日起至主合同项下债务履行期限届满之日后两年。截止期末银行已放借款</w:t>
              </w:r>
              <w:r w:rsidRPr="005C156D">
                <w:rPr>
                  <w:sz w:val="22"/>
                  <w:szCs w:val="22"/>
                </w:rPr>
                <w:t>3</w:t>
              </w:r>
              <w:r w:rsidRPr="005C156D">
                <w:rPr>
                  <w:rFonts w:hint="eastAsia"/>
                  <w:sz w:val="22"/>
                  <w:szCs w:val="22"/>
                </w:rPr>
                <w:t>,000</w:t>
              </w:r>
              <w:r w:rsidRPr="005C156D">
                <w:rPr>
                  <w:sz w:val="22"/>
                  <w:szCs w:val="22"/>
                </w:rPr>
                <w:t>.00</w:t>
              </w:r>
              <w:r w:rsidRPr="005C156D">
                <w:rPr>
                  <w:rFonts w:hint="eastAsia"/>
                  <w:sz w:val="22"/>
                  <w:szCs w:val="22"/>
                </w:rPr>
                <w:t>万元。</w:t>
              </w:r>
            </w:p>
            <w:p w14:paraId="6F7D6E86" w14:textId="77777777" w:rsidR="00471D53" w:rsidRPr="005C156D" w:rsidRDefault="004F686E" w:rsidP="00471D53">
              <w:pPr>
                <w:spacing w:beforeLines="50" w:before="120" w:afterLines="50" w:after="120" w:line="360" w:lineRule="exact"/>
                <w:ind w:firstLineChars="200" w:firstLine="440"/>
                <w:jc w:val="both"/>
                <w:rPr>
                  <w:sz w:val="22"/>
                  <w:szCs w:val="22"/>
                </w:rPr>
              </w:pPr>
              <w:r w:rsidRPr="005C156D">
                <w:rPr>
                  <w:sz w:val="22"/>
                  <w:szCs w:val="22"/>
                </w:rPr>
                <w:t>3</w:t>
              </w:r>
              <w:r w:rsidRPr="005C156D">
                <w:rPr>
                  <w:rFonts w:hint="eastAsia"/>
                  <w:sz w:val="22"/>
                  <w:szCs w:val="22"/>
                </w:rPr>
                <w:t>）20</w:t>
              </w:r>
              <w:r w:rsidRPr="005C156D">
                <w:rPr>
                  <w:sz w:val="22"/>
                  <w:szCs w:val="22"/>
                </w:rPr>
                <w:t>20</w:t>
              </w:r>
              <w:r w:rsidRPr="005C156D">
                <w:rPr>
                  <w:rFonts w:hint="eastAsia"/>
                  <w:sz w:val="22"/>
                  <w:szCs w:val="22"/>
                </w:rPr>
                <w:t>年9月2</w:t>
              </w:r>
              <w:r w:rsidRPr="005C156D">
                <w:rPr>
                  <w:sz w:val="22"/>
                  <w:szCs w:val="22"/>
                </w:rPr>
                <w:t>4</w:t>
              </w:r>
              <w:r w:rsidRPr="005C156D">
                <w:rPr>
                  <w:rFonts w:hint="eastAsia"/>
                  <w:sz w:val="22"/>
                  <w:szCs w:val="22"/>
                </w:rPr>
                <w:t>日，北京天海与华夏银行股份有限公司北京光华支行签订编号为</w:t>
              </w:r>
              <w:r w:rsidRPr="005C156D">
                <w:rPr>
                  <w:sz w:val="22"/>
                  <w:szCs w:val="22"/>
                </w:rPr>
                <w:t>YYB1210120200108</w:t>
              </w:r>
              <w:r w:rsidRPr="005C156D">
                <w:rPr>
                  <w:rFonts w:hint="eastAsia"/>
                  <w:sz w:val="22"/>
                  <w:szCs w:val="22"/>
                </w:rPr>
                <w:t>的流动资金借款合同，借款金额为</w:t>
              </w:r>
              <w:r w:rsidRPr="005C156D">
                <w:rPr>
                  <w:sz w:val="22"/>
                  <w:szCs w:val="22"/>
                </w:rPr>
                <w:t>2</w:t>
              </w:r>
              <w:r w:rsidRPr="005C156D">
                <w:rPr>
                  <w:rFonts w:hint="eastAsia"/>
                  <w:sz w:val="22"/>
                  <w:szCs w:val="22"/>
                </w:rPr>
                <w:t>,</w:t>
              </w:r>
              <w:r w:rsidRPr="005C156D">
                <w:rPr>
                  <w:sz w:val="22"/>
                  <w:szCs w:val="22"/>
                </w:rPr>
                <w:t>8</w:t>
              </w:r>
              <w:r w:rsidRPr="005C156D">
                <w:rPr>
                  <w:rFonts w:hint="eastAsia"/>
                  <w:sz w:val="22"/>
                  <w:szCs w:val="22"/>
                </w:rPr>
                <w:t>00</w:t>
              </w:r>
              <w:r w:rsidRPr="005C156D">
                <w:rPr>
                  <w:sz w:val="22"/>
                  <w:szCs w:val="22"/>
                </w:rPr>
                <w:t>.00</w:t>
              </w:r>
              <w:r w:rsidRPr="005C156D">
                <w:rPr>
                  <w:rFonts w:hint="eastAsia"/>
                  <w:sz w:val="22"/>
                  <w:szCs w:val="22"/>
                </w:rPr>
                <w:t>万元，借款期间自20</w:t>
              </w:r>
              <w:r w:rsidRPr="005C156D">
                <w:rPr>
                  <w:sz w:val="22"/>
                  <w:szCs w:val="22"/>
                </w:rPr>
                <w:t>20</w:t>
              </w:r>
              <w:r w:rsidRPr="005C156D">
                <w:rPr>
                  <w:rFonts w:hint="eastAsia"/>
                  <w:sz w:val="22"/>
                  <w:szCs w:val="22"/>
                </w:rPr>
                <w:t>年9月</w:t>
              </w:r>
              <w:r w:rsidRPr="005C156D">
                <w:rPr>
                  <w:sz w:val="22"/>
                  <w:szCs w:val="22"/>
                </w:rPr>
                <w:t>25</w:t>
              </w:r>
              <w:r w:rsidRPr="005C156D">
                <w:rPr>
                  <w:rFonts w:hint="eastAsia"/>
                  <w:sz w:val="22"/>
                  <w:szCs w:val="22"/>
                </w:rPr>
                <w:t>日至202</w:t>
              </w:r>
              <w:r w:rsidRPr="005C156D">
                <w:rPr>
                  <w:sz w:val="22"/>
                  <w:szCs w:val="22"/>
                </w:rPr>
                <w:t>1</w:t>
              </w:r>
              <w:r w:rsidRPr="005C156D">
                <w:rPr>
                  <w:rFonts w:hint="eastAsia"/>
                  <w:sz w:val="22"/>
                  <w:szCs w:val="22"/>
                </w:rPr>
                <w:t>年9月</w:t>
              </w:r>
              <w:r w:rsidRPr="005C156D">
                <w:rPr>
                  <w:sz w:val="22"/>
                  <w:szCs w:val="22"/>
                </w:rPr>
                <w:t>25</w:t>
              </w:r>
              <w:r w:rsidRPr="005C156D">
                <w:rPr>
                  <w:rFonts w:hint="eastAsia"/>
                  <w:sz w:val="22"/>
                  <w:szCs w:val="22"/>
                </w:rPr>
                <w:t>日，借款利率为5.</w:t>
              </w:r>
              <w:r w:rsidRPr="005C156D">
                <w:rPr>
                  <w:sz w:val="22"/>
                  <w:szCs w:val="22"/>
                </w:rPr>
                <w:t>22</w:t>
              </w:r>
              <w:r w:rsidRPr="005C156D">
                <w:rPr>
                  <w:rFonts w:hint="eastAsia"/>
                  <w:sz w:val="22"/>
                  <w:szCs w:val="22"/>
                </w:rPr>
                <w:t>%。由京城机电提供最高额保证，保证期限为主合同生效之日起至主合同项下债务履行期限届满之日后两年。截止期末银行已放借款</w:t>
              </w:r>
              <w:r w:rsidRPr="005C156D">
                <w:rPr>
                  <w:sz w:val="22"/>
                  <w:szCs w:val="22"/>
                </w:rPr>
                <w:t>2</w:t>
              </w:r>
              <w:r w:rsidRPr="005C156D">
                <w:rPr>
                  <w:rFonts w:hint="eastAsia"/>
                  <w:sz w:val="22"/>
                  <w:szCs w:val="22"/>
                </w:rPr>
                <w:t>,</w:t>
              </w:r>
              <w:r w:rsidRPr="005C156D">
                <w:rPr>
                  <w:sz w:val="22"/>
                  <w:szCs w:val="22"/>
                </w:rPr>
                <w:t>8</w:t>
              </w:r>
              <w:r w:rsidRPr="005C156D">
                <w:rPr>
                  <w:rFonts w:hint="eastAsia"/>
                  <w:sz w:val="22"/>
                  <w:szCs w:val="22"/>
                </w:rPr>
                <w:t>00</w:t>
              </w:r>
              <w:r w:rsidRPr="005C156D">
                <w:rPr>
                  <w:sz w:val="22"/>
                  <w:szCs w:val="22"/>
                </w:rPr>
                <w:t>.00</w:t>
              </w:r>
              <w:r w:rsidRPr="005C156D">
                <w:rPr>
                  <w:rFonts w:hint="eastAsia"/>
                  <w:sz w:val="22"/>
                  <w:szCs w:val="22"/>
                </w:rPr>
                <w:t>万元。</w:t>
              </w:r>
            </w:p>
            <w:p w14:paraId="3A05EF4E" w14:textId="77777777" w:rsidR="00471D53" w:rsidRDefault="004F686E" w:rsidP="00471D53">
              <w:pPr>
                <w:spacing w:beforeLines="50" w:before="120" w:afterLines="50" w:after="120" w:line="360" w:lineRule="exact"/>
                <w:ind w:firstLineChars="200" w:firstLine="440"/>
                <w:jc w:val="both"/>
                <w:rPr>
                  <w:sz w:val="22"/>
                  <w:szCs w:val="22"/>
                </w:rPr>
              </w:pPr>
              <w:r w:rsidRPr="005C156D">
                <w:rPr>
                  <w:sz w:val="22"/>
                  <w:szCs w:val="22"/>
                </w:rPr>
                <w:t>4</w:t>
              </w:r>
              <w:r w:rsidRPr="005C156D">
                <w:rPr>
                  <w:rFonts w:hint="eastAsia"/>
                  <w:sz w:val="22"/>
                  <w:szCs w:val="22"/>
                </w:rPr>
                <w:t>）20</w:t>
              </w:r>
              <w:r w:rsidRPr="005C156D">
                <w:rPr>
                  <w:sz w:val="22"/>
                  <w:szCs w:val="22"/>
                </w:rPr>
                <w:t>20</w:t>
              </w:r>
              <w:r w:rsidRPr="005C156D">
                <w:rPr>
                  <w:rFonts w:hint="eastAsia"/>
                  <w:sz w:val="22"/>
                  <w:szCs w:val="22"/>
                </w:rPr>
                <w:t>年</w:t>
              </w:r>
              <w:r w:rsidRPr="005C156D">
                <w:rPr>
                  <w:sz w:val="22"/>
                  <w:szCs w:val="22"/>
                </w:rPr>
                <w:t>10</w:t>
              </w:r>
              <w:r w:rsidRPr="005C156D">
                <w:rPr>
                  <w:rFonts w:hint="eastAsia"/>
                  <w:sz w:val="22"/>
                  <w:szCs w:val="22"/>
                </w:rPr>
                <w:t>月</w:t>
              </w:r>
              <w:r w:rsidRPr="005C156D">
                <w:rPr>
                  <w:sz w:val="22"/>
                  <w:szCs w:val="22"/>
                </w:rPr>
                <w:t>10</w:t>
              </w:r>
              <w:r w:rsidRPr="005C156D">
                <w:rPr>
                  <w:rFonts w:hint="eastAsia"/>
                  <w:sz w:val="22"/>
                  <w:szCs w:val="22"/>
                </w:rPr>
                <w:t>日，北京天海与华夏银行股份有限公司北京光华支行签订编号为</w:t>
              </w:r>
              <w:r w:rsidRPr="005C156D">
                <w:rPr>
                  <w:sz w:val="22"/>
                  <w:szCs w:val="22"/>
                </w:rPr>
                <w:t>YYB1210120200086</w:t>
              </w:r>
              <w:r w:rsidRPr="005C156D">
                <w:rPr>
                  <w:rFonts w:hint="eastAsia"/>
                  <w:sz w:val="22"/>
                  <w:szCs w:val="22"/>
                </w:rPr>
                <w:t>的流动资金借款合同，借款金额为</w:t>
              </w:r>
              <w:r w:rsidRPr="005C156D">
                <w:rPr>
                  <w:sz w:val="22"/>
                  <w:szCs w:val="22"/>
                </w:rPr>
                <w:t>3</w:t>
              </w:r>
              <w:r w:rsidRPr="005C156D">
                <w:rPr>
                  <w:rFonts w:hint="eastAsia"/>
                  <w:sz w:val="22"/>
                  <w:szCs w:val="22"/>
                </w:rPr>
                <w:t>,</w:t>
              </w:r>
              <w:r w:rsidRPr="005C156D">
                <w:rPr>
                  <w:sz w:val="22"/>
                  <w:szCs w:val="22"/>
                </w:rPr>
                <w:t>0</w:t>
              </w:r>
              <w:r w:rsidRPr="005C156D">
                <w:rPr>
                  <w:rFonts w:hint="eastAsia"/>
                  <w:sz w:val="22"/>
                  <w:szCs w:val="22"/>
                </w:rPr>
                <w:t>00</w:t>
              </w:r>
              <w:r w:rsidRPr="005C156D">
                <w:rPr>
                  <w:sz w:val="22"/>
                  <w:szCs w:val="22"/>
                </w:rPr>
                <w:t>.00</w:t>
              </w:r>
              <w:r w:rsidRPr="005C156D">
                <w:rPr>
                  <w:rFonts w:hint="eastAsia"/>
                  <w:sz w:val="22"/>
                  <w:szCs w:val="22"/>
                </w:rPr>
                <w:t>万元，借款期间自20</w:t>
              </w:r>
              <w:r w:rsidRPr="005C156D">
                <w:rPr>
                  <w:sz w:val="22"/>
                  <w:szCs w:val="22"/>
                </w:rPr>
                <w:t>20</w:t>
              </w:r>
              <w:r w:rsidRPr="005C156D">
                <w:rPr>
                  <w:rFonts w:hint="eastAsia"/>
                  <w:sz w:val="22"/>
                  <w:szCs w:val="22"/>
                </w:rPr>
                <w:t>年</w:t>
              </w:r>
              <w:r w:rsidRPr="005C156D">
                <w:rPr>
                  <w:sz w:val="22"/>
                  <w:szCs w:val="22"/>
                </w:rPr>
                <w:t>10</w:t>
              </w:r>
              <w:r w:rsidRPr="005C156D">
                <w:rPr>
                  <w:rFonts w:hint="eastAsia"/>
                  <w:sz w:val="22"/>
                  <w:szCs w:val="22"/>
                </w:rPr>
                <w:t>月</w:t>
              </w:r>
              <w:r w:rsidRPr="005C156D">
                <w:rPr>
                  <w:sz w:val="22"/>
                  <w:szCs w:val="22"/>
                </w:rPr>
                <w:t>12</w:t>
              </w:r>
              <w:r w:rsidRPr="005C156D">
                <w:rPr>
                  <w:rFonts w:hint="eastAsia"/>
                  <w:sz w:val="22"/>
                  <w:szCs w:val="22"/>
                </w:rPr>
                <w:t>日至202</w:t>
              </w:r>
              <w:r w:rsidRPr="005C156D">
                <w:rPr>
                  <w:sz w:val="22"/>
                  <w:szCs w:val="22"/>
                </w:rPr>
                <w:t>1</w:t>
              </w:r>
              <w:r w:rsidRPr="005C156D">
                <w:rPr>
                  <w:rFonts w:hint="eastAsia"/>
                  <w:sz w:val="22"/>
                  <w:szCs w:val="22"/>
                </w:rPr>
                <w:t>年</w:t>
              </w:r>
              <w:r w:rsidRPr="005C156D">
                <w:rPr>
                  <w:sz w:val="22"/>
                  <w:szCs w:val="22"/>
                </w:rPr>
                <w:t>10</w:t>
              </w:r>
              <w:r w:rsidRPr="005C156D">
                <w:rPr>
                  <w:rFonts w:hint="eastAsia"/>
                  <w:sz w:val="22"/>
                  <w:szCs w:val="22"/>
                </w:rPr>
                <w:t>月</w:t>
              </w:r>
              <w:r w:rsidRPr="005C156D">
                <w:rPr>
                  <w:sz w:val="22"/>
                  <w:szCs w:val="22"/>
                </w:rPr>
                <w:t>12</w:t>
              </w:r>
              <w:r w:rsidRPr="005C156D">
                <w:rPr>
                  <w:rFonts w:hint="eastAsia"/>
                  <w:sz w:val="22"/>
                  <w:szCs w:val="22"/>
                </w:rPr>
                <w:t>日，借款利率为5.</w:t>
              </w:r>
              <w:r w:rsidRPr="005C156D">
                <w:rPr>
                  <w:sz w:val="22"/>
                  <w:szCs w:val="22"/>
                </w:rPr>
                <w:t>22</w:t>
              </w:r>
              <w:r w:rsidRPr="005C156D">
                <w:rPr>
                  <w:rFonts w:hint="eastAsia"/>
                  <w:sz w:val="22"/>
                  <w:szCs w:val="22"/>
                </w:rPr>
                <w:t>%。由京城机电提供最高额保证，保证期限为主合同生效之日起至主合同项下债务履行期限届满之日后两年。截止期末银行已放借款</w:t>
              </w:r>
              <w:r w:rsidRPr="005C156D">
                <w:rPr>
                  <w:sz w:val="22"/>
                  <w:szCs w:val="22"/>
                </w:rPr>
                <w:t>3</w:t>
              </w:r>
              <w:r w:rsidRPr="005C156D">
                <w:rPr>
                  <w:rFonts w:hint="eastAsia"/>
                  <w:sz w:val="22"/>
                  <w:szCs w:val="22"/>
                </w:rPr>
                <w:t>,</w:t>
              </w:r>
              <w:r w:rsidRPr="005C156D">
                <w:rPr>
                  <w:sz w:val="22"/>
                  <w:szCs w:val="22"/>
                </w:rPr>
                <w:t>0</w:t>
              </w:r>
              <w:r w:rsidRPr="005C156D">
                <w:rPr>
                  <w:rFonts w:hint="eastAsia"/>
                  <w:sz w:val="22"/>
                  <w:szCs w:val="22"/>
                </w:rPr>
                <w:t>00</w:t>
              </w:r>
              <w:r w:rsidRPr="005C156D">
                <w:rPr>
                  <w:sz w:val="22"/>
                  <w:szCs w:val="22"/>
                </w:rPr>
                <w:t>.00</w:t>
              </w:r>
              <w:r w:rsidRPr="005C156D">
                <w:rPr>
                  <w:rFonts w:hint="eastAsia"/>
                  <w:sz w:val="22"/>
                  <w:szCs w:val="22"/>
                </w:rPr>
                <w:t>万元。</w:t>
              </w:r>
            </w:p>
            <w:p w14:paraId="10BA4A25" w14:textId="77777777" w:rsidR="00471D53" w:rsidRPr="00FB6D17" w:rsidRDefault="004F686E" w:rsidP="00471D53">
              <w:pPr>
                <w:tabs>
                  <w:tab w:val="left" w:pos="720"/>
                  <w:tab w:val="left" w:pos="1000"/>
                </w:tabs>
                <w:spacing w:beforeLines="50" w:before="120" w:afterLines="50" w:after="120" w:line="360" w:lineRule="exact"/>
                <w:outlineLvl w:val="2"/>
                <w:rPr>
                  <w:rFonts w:cs="Times New Roman"/>
                  <w:sz w:val="22"/>
                  <w:szCs w:val="22"/>
                </w:rPr>
              </w:pPr>
              <w:r>
                <w:rPr>
                  <w:rFonts w:cs="Times New Roman" w:hint="eastAsia"/>
                  <w:sz w:val="22"/>
                  <w:szCs w:val="22"/>
                </w:rPr>
                <w:t>期末</w:t>
              </w:r>
              <w:r w:rsidRPr="00FB6D17">
                <w:rPr>
                  <w:rFonts w:cs="Times New Roman" w:hint="eastAsia"/>
                  <w:sz w:val="22"/>
                  <w:szCs w:val="22"/>
                </w:rPr>
                <w:t>不存在已逾期未偿还的短期借款。</w:t>
              </w:r>
            </w:p>
            <w:p w14:paraId="55BB39DE" w14:textId="77777777" w:rsidR="00471D53" w:rsidRDefault="004F686E" w:rsidP="00471D53">
              <w:pPr>
                <w:tabs>
                  <w:tab w:val="left" w:pos="720"/>
                  <w:tab w:val="left" w:pos="1000"/>
                </w:tabs>
                <w:spacing w:beforeLines="50" w:before="120" w:afterLines="50" w:after="120" w:line="360" w:lineRule="exact"/>
                <w:outlineLvl w:val="2"/>
                <w:rPr>
                  <w:rFonts w:cs="Times New Roman"/>
                  <w:sz w:val="22"/>
                  <w:szCs w:val="22"/>
                </w:rPr>
              </w:pPr>
              <w:r>
                <w:rPr>
                  <w:rFonts w:cs="Times New Roman" w:hint="eastAsia"/>
                  <w:sz w:val="22"/>
                  <w:szCs w:val="22"/>
                </w:rPr>
                <w:t>期末</w:t>
              </w:r>
              <w:r w:rsidRPr="00FB6D17">
                <w:rPr>
                  <w:rFonts w:cs="Times New Roman" w:hint="eastAsia"/>
                  <w:sz w:val="22"/>
                  <w:szCs w:val="22"/>
                </w:rPr>
                <w:t>短期借款的加权平均年利率为</w:t>
              </w:r>
              <w:r w:rsidRPr="005C156D">
                <w:rPr>
                  <w:rFonts w:cs="Times New Roman"/>
                  <w:sz w:val="22"/>
                  <w:szCs w:val="22"/>
                </w:rPr>
                <w:t>5.22</w:t>
              </w:r>
              <w:r w:rsidRPr="005C156D">
                <w:rPr>
                  <w:rFonts w:cs="Times New Roman" w:hint="eastAsia"/>
                  <w:sz w:val="22"/>
                  <w:szCs w:val="22"/>
                </w:rPr>
                <w:t>%</w:t>
              </w:r>
              <w:r w:rsidRPr="00FB6D17">
                <w:rPr>
                  <w:rFonts w:cs="Times New Roman" w:hint="eastAsia"/>
                  <w:sz w:val="22"/>
                  <w:szCs w:val="22"/>
                </w:rPr>
                <w:t>（</w:t>
              </w:r>
              <w:r>
                <w:rPr>
                  <w:rFonts w:cs="Times New Roman" w:hint="eastAsia"/>
                  <w:sz w:val="22"/>
                  <w:szCs w:val="22"/>
                </w:rPr>
                <w:t>上年</w:t>
              </w:r>
              <w:r w:rsidRPr="00FB6D17">
                <w:rPr>
                  <w:rFonts w:cs="Times New Roman" w:hint="eastAsia"/>
                  <w:sz w:val="22"/>
                  <w:szCs w:val="22"/>
                </w:rPr>
                <w:t>末：5.24%）。</w:t>
              </w:r>
            </w:p>
            <w:p w14:paraId="0AA7DDFB" w14:textId="77777777" w:rsidR="00471D53" w:rsidRDefault="00B664AF">
              <w:pPr>
                <w:snapToGrid w:val="0"/>
                <w:spacing w:line="240" w:lineRule="atLeast"/>
                <w:rPr>
                  <w:color w:val="000000" w:themeColor="text1"/>
                  <w:szCs w:val="21"/>
                </w:rPr>
              </w:pPr>
            </w:p>
          </w:sdtContent>
        </w:sdt>
        <w:p w14:paraId="2270E16E" w14:textId="77777777" w:rsidR="00471D53" w:rsidRDefault="00B664AF">
          <w:pPr>
            <w:snapToGrid w:val="0"/>
            <w:spacing w:line="240" w:lineRule="atLeast"/>
            <w:rPr>
              <w:color w:val="000000" w:themeColor="text1"/>
              <w:szCs w:val="21"/>
            </w:rPr>
          </w:pPr>
        </w:p>
      </w:sdtContent>
    </w:sdt>
    <w:p w14:paraId="5D565513" w14:textId="77777777" w:rsidR="00471D53" w:rsidRDefault="00B664AF" w:rsidP="00471D53">
      <w:pPr>
        <w:snapToGrid w:val="0"/>
        <w:spacing w:line="240" w:lineRule="atLeast"/>
        <w:ind w:rightChars="-73" w:right="-153"/>
        <w:rPr>
          <w:b/>
          <w:szCs w:val="21"/>
        </w:rPr>
      </w:pPr>
    </w:p>
    <w:sdt>
      <w:sdtPr>
        <w:rPr>
          <w:rFonts w:ascii="宋体" w:hAnsi="宋体" w:cs="宋体" w:hint="eastAsia"/>
          <w:b w:val="0"/>
          <w:bCs w:val="0"/>
          <w:kern w:val="0"/>
          <w:szCs w:val="21"/>
        </w:rPr>
        <w:alias w:val="模块:已到期未偿还的短期借款情况"/>
        <w:tag w:val="_GBC_ed2a6c31b7cf49cda098dbe4c44cf674"/>
        <w:id w:val="-2039503871"/>
        <w:lock w:val="sdtLocked"/>
        <w:placeholder>
          <w:docPart w:val="GBC22222222222222222222222222222"/>
        </w:placeholder>
      </w:sdtPr>
      <w:sdtEndPr>
        <w:rPr>
          <w:rFonts w:cstheme="minorBidi" w:hint="default"/>
          <w:color w:val="000000" w:themeColor="text1"/>
          <w:kern w:val="2"/>
        </w:rPr>
      </w:sdtEndPr>
      <w:sdtContent>
        <w:p w14:paraId="540AAAE5" w14:textId="77777777" w:rsidR="00471D53" w:rsidRDefault="004F686E" w:rsidP="004F686E">
          <w:pPr>
            <w:pStyle w:val="afffff8"/>
            <w:numPr>
              <w:ilvl w:val="0"/>
              <w:numId w:val="77"/>
            </w:numPr>
            <w:tabs>
              <w:tab w:val="left" w:pos="630"/>
            </w:tabs>
            <w:rPr>
              <w:rFonts w:ascii="宋体" w:hAnsi="宋体"/>
              <w:szCs w:val="21"/>
            </w:rPr>
          </w:pPr>
          <w:r>
            <w:rPr>
              <w:rFonts w:ascii="宋体" w:hAnsi="宋体" w:hint="eastAsia"/>
              <w:szCs w:val="21"/>
            </w:rPr>
            <w:t>已逾期未偿还的短期借款情况</w:t>
          </w:r>
        </w:p>
        <w:sdt>
          <w:sdtPr>
            <w:alias w:val="是否适用：已逾期未偿还的短期借款情况[双击切换]"/>
            <w:tag w:val="_GBC_57f74ff95a304f19a7c06d7996fc30c7"/>
            <w:id w:val="1168140798"/>
            <w:lock w:val="sdtLocked"/>
            <w:placeholder>
              <w:docPart w:val="GBC22222222222222222222222222222"/>
            </w:placeholder>
          </w:sdtPr>
          <w:sdtEndPr/>
          <w:sdtContent>
            <w:p w14:paraId="384AE9BC" w14:textId="77777777" w:rsidR="00471D53" w:rsidRDefault="004F686E" w:rsidP="00471D53">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szCs w:val="21"/>
        </w:rPr>
        <w:alias w:val="模块:短期借款的说明"/>
        <w:tag w:val="_GBC_46c6d163213144f484acc37c597c42f6"/>
        <w:id w:val="382604925"/>
        <w:lock w:val="sdtLocked"/>
        <w:placeholder>
          <w:docPart w:val="GBC22222222222222222222222222222"/>
        </w:placeholder>
      </w:sdtPr>
      <w:sdtEndPr/>
      <w:sdtContent>
        <w:p w14:paraId="32A7C587" w14:textId="77777777" w:rsidR="00471D53" w:rsidRDefault="004F686E">
          <w:pPr>
            <w:rPr>
              <w:szCs w:val="21"/>
            </w:rPr>
          </w:pPr>
          <w:r>
            <w:rPr>
              <w:rFonts w:hint="eastAsia"/>
              <w:szCs w:val="21"/>
            </w:rPr>
            <w:t>其他说明：</w:t>
          </w:r>
        </w:p>
        <w:sdt>
          <w:sdtPr>
            <w:rPr>
              <w:szCs w:val="21"/>
            </w:rPr>
            <w:alias w:val="是否适用：短期借款的说明[双击切换]"/>
            <w:tag w:val="_GBC_663e3ee6df014147bb9c7daa18ccb062"/>
            <w:id w:val="656724196"/>
            <w:lock w:val="sdtLocked"/>
            <w:placeholder>
              <w:docPart w:val="GBC22222222222222222222222222222"/>
            </w:placeholder>
          </w:sdtPr>
          <w:sdtEndPr/>
          <w:sdtContent>
            <w:p w14:paraId="6951A761" w14:textId="77777777" w:rsidR="00471D53" w:rsidRDefault="004F686E" w:rsidP="00471D5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14:paraId="0BA42341" w14:textId="77777777" w:rsidR="00471D53" w:rsidRDefault="00B664AF">
      <w:pPr>
        <w:rPr>
          <w:szCs w:val="21"/>
        </w:rPr>
      </w:pPr>
    </w:p>
    <w:bookmarkStart w:id="187" w:name="_Hlk10535388" w:displacedByCustomXml="next"/>
    <w:sdt>
      <w:sdtPr>
        <w:rPr>
          <w:rFonts w:ascii="宋体" w:hAnsi="宋体" w:cs="宋体" w:hint="eastAsia"/>
          <w:b w:val="0"/>
          <w:bCs w:val="0"/>
          <w:kern w:val="0"/>
          <w:szCs w:val="21"/>
        </w:rPr>
        <w:alias w:val="模块:交易性金融负债"/>
        <w:tag w:val="_SEC_354c17e0a096493bbae36dd9bb3f3774"/>
        <w:id w:val="-921254986"/>
        <w:lock w:val="sdtLocked"/>
        <w:placeholder>
          <w:docPart w:val="GBC22222222222222222222222222222"/>
        </w:placeholder>
      </w:sdtPr>
      <w:sdtEndPr>
        <w:rPr>
          <w:rFonts w:hint="default"/>
        </w:rPr>
      </w:sdtEndPr>
      <w:sdtContent>
        <w:p w14:paraId="32E92E9C"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交易性金融负债</w:t>
          </w:r>
        </w:p>
        <w:sdt>
          <w:sdtPr>
            <w:rPr>
              <w:szCs w:val="21"/>
            </w:rPr>
            <w:alias w:val="是否适用：交易性金融负债[双击切换]"/>
            <w:tag w:val="_GBC_ed513d792f1f4a5f8256d125428aafdf"/>
            <w:id w:val="-73672444"/>
            <w:lock w:val="sdtLocked"/>
            <w:placeholder>
              <w:docPart w:val="GBC22222222222222222222222222222"/>
            </w:placeholder>
          </w:sdtPr>
          <w:sdtEndPr/>
          <w:sdtContent>
            <w:p w14:paraId="36ADE0C7" w14:textId="77777777" w:rsidR="00471D53" w:rsidRDefault="004F686E" w:rsidP="00471D53">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76D87B93" w14:textId="77777777" w:rsidR="00471D53" w:rsidRDefault="00B664AF">
          <w:pPr>
            <w:rPr>
              <w:szCs w:val="21"/>
            </w:rPr>
          </w:pPr>
        </w:p>
      </w:sdtContent>
    </w:sdt>
    <w:bookmarkEnd w:id="187" w:displacedByCustomXml="prev"/>
    <w:p w14:paraId="37463479" w14:textId="77777777" w:rsidR="00471D53" w:rsidRDefault="00B664AF">
      <w:pPr>
        <w:rPr>
          <w:szCs w:val="21"/>
        </w:rPr>
      </w:pPr>
    </w:p>
    <w:sdt>
      <w:sdtPr>
        <w:rPr>
          <w:rFonts w:ascii="宋体" w:hAnsi="宋体" w:cs="宋体" w:hint="eastAsia"/>
          <w:b w:val="0"/>
          <w:bCs w:val="0"/>
          <w:kern w:val="0"/>
          <w:szCs w:val="21"/>
        </w:rPr>
        <w:alias w:val="模块:衍生金融负债"/>
        <w:tag w:val="_GBC_c6a901495ec44a7798e3a75ddb5e06bf"/>
        <w:id w:val="-1759446367"/>
        <w:lock w:val="sdtLocked"/>
        <w:placeholder>
          <w:docPart w:val="GBC22222222222222222222222222222"/>
        </w:placeholder>
      </w:sdtPr>
      <w:sdtEndPr/>
      <w:sdtContent>
        <w:p w14:paraId="1B57E532"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衍生</w:t>
          </w:r>
          <w:r>
            <w:rPr>
              <w:rFonts w:ascii="宋体" w:hAnsi="宋体" w:hint="eastAsia"/>
            </w:rPr>
            <w:t>金融</w:t>
          </w:r>
          <w:r>
            <w:rPr>
              <w:rFonts w:ascii="宋体" w:hAnsi="宋体" w:hint="eastAsia"/>
              <w:szCs w:val="21"/>
            </w:rPr>
            <w:t>负债</w:t>
          </w:r>
        </w:p>
        <w:sdt>
          <w:sdtPr>
            <w:rPr>
              <w:szCs w:val="21"/>
            </w:rPr>
            <w:alias w:val="是否适用：衍生金融负债[双击切换]"/>
            <w:tag w:val="_GBC_3a60c0d3d0534eba80b93475b0a6411f"/>
            <w:id w:val="2033905697"/>
            <w:lock w:val="sdtLocked"/>
            <w:placeholder>
              <w:docPart w:val="GBC22222222222222222222222222222"/>
            </w:placeholder>
          </w:sdtPr>
          <w:sdtEndPr/>
          <w:sdtContent>
            <w:p w14:paraId="16005D79" w14:textId="77777777" w:rsidR="00471D53" w:rsidRDefault="004F686E" w:rsidP="00471D53">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2AD9AAD0" w14:textId="77777777" w:rsidR="00471D53" w:rsidRDefault="00B664AF">
          <w:pPr>
            <w:rPr>
              <w:szCs w:val="21"/>
            </w:rPr>
          </w:pPr>
        </w:p>
      </w:sdtContent>
    </w:sdt>
    <w:p w14:paraId="52E489A5" w14:textId="77777777" w:rsidR="00471D53" w:rsidRDefault="00B664AF">
      <w:pPr>
        <w:rPr>
          <w:szCs w:val="21"/>
        </w:rPr>
      </w:pPr>
    </w:p>
    <w:p w14:paraId="2481551C" w14:textId="77777777" w:rsidR="00471D53" w:rsidRDefault="004F686E" w:rsidP="004F686E">
      <w:pPr>
        <w:pStyle w:val="afffff7"/>
        <w:numPr>
          <w:ilvl w:val="0"/>
          <w:numId w:val="55"/>
        </w:numPr>
        <w:tabs>
          <w:tab w:val="left" w:pos="504"/>
        </w:tabs>
        <w:rPr>
          <w:rFonts w:ascii="宋体" w:hAnsi="宋体"/>
        </w:rPr>
      </w:pPr>
      <w:r>
        <w:rPr>
          <w:rFonts w:ascii="宋体" w:hAnsi="宋体" w:hint="eastAsia"/>
        </w:rPr>
        <w:t>应付票据</w:t>
      </w:r>
    </w:p>
    <w:sdt>
      <w:sdtPr>
        <w:alias w:val="是否适用：应付票据[双击切换]"/>
        <w:tag w:val="_GBC_57c67181b34944e782b23a48b1843e8f"/>
        <w:id w:val="1481569502"/>
        <w:lock w:val="sdtContentLocked"/>
        <w:placeholder>
          <w:docPart w:val="GBC22222222222222222222222222222"/>
        </w:placeholder>
      </w:sdtPr>
      <w:sdtEndPr/>
      <w:sdtContent>
        <w:p w14:paraId="10AAE8AB"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模块:单位：元币种：人民币种类期末余额期初余额商业承兑汇票..."/>
        <w:tag w:val="_SEC_a4b116c3ef20487f88d23464626b8bb5"/>
        <w:id w:val="519901936"/>
        <w:lock w:val="sdtLocked"/>
        <w:placeholder>
          <w:docPart w:val="GBC22222222222222222222222222222"/>
        </w:placeholder>
      </w:sdtPr>
      <w:sdtEndPr>
        <w:rPr>
          <w:szCs w:val="21"/>
        </w:rPr>
      </w:sdtEndPr>
      <w:sdtContent>
        <w:p w14:paraId="70DD08E5" w14:textId="1BD92C19" w:rsidR="00471D53" w:rsidRDefault="004F686E">
          <w:pPr>
            <w:jc w:val="right"/>
          </w:pPr>
          <w:r>
            <w:rPr>
              <w:rFonts w:hint="eastAsia"/>
            </w:rPr>
            <w:t>单位：</w:t>
          </w:r>
          <w:sdt>
            <w:sdtPr>
              <w:rPr>
                <w:rFonts w:hint="eastAsia"/>
              </w:rPr>
              <w:alias w:val="单位：财务附注：应付票据"/>
              <w:tag w:val="_GBC_db69c246a0d14735805df636930e34ba"/>
              <w:id w:val="143933595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应付票据"/>
              <w:tag w:val="_GBC_f734b21fc72c43feb20eaf84762dfd7f"/>
              <w:id w:val="-2670111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291"/>
            <w:gridCol w:w="3310"/>
            <w:gridCol w:w="3216"/>
          </w:tblGrid>
          <w:tr w:rsidR="00471D53" w14:paraId="731527D1" w14:textId="77777777" w:rsidTr="004F78D8">
            <w:trPr>
              <w:cantSplit/>
            </w:trPr>
            <w:sdt>
              <w:sdtPr>
                <w:tag w:val="_PLD_faa4f5cfe5ae4b0a9c786ca922191e7e"/>
                <w:id w:val="1466003752"/>
                <w:lock w:val="sdtLocked"/>
              </w:sdtPr>
              <w:sdtEndPr/>
              <w:sdtContent>
                <w:tc>
                  <w:tcPr>
                    <w:tcW w:w="1299" w:type="pct"/>
                    <w:tcBorders>
                      <w:top w:val="single" w:sz="6" w:space="0" w:color="auto"/>
                      <w:left w:val="single" w:sz="6" w:space="0" w:color="auto"/>
                      <w:bottom w:val="single" w:sz="6" w:space="0" w:color="auto"/>
                      <w:right w:val="single" w:sz="6" w:space="0" w:color="auto"/>
                    </w:tcBorders>
                    <w:vAlign w:val="center"/>
                  </w:tcPr>
                  <w:p w14:paraId="62CF9B3D" w14:textId="77777777" w:rsidR="00471D53" w:rsidRDefault="004F686E">
                    <w:pPr>
                      <w:autoSpaceDE w:val="0"/>
                      <w:autoSpaceDN w:val="0"/>
                      <w:adjustRightInd w:val="0"/>
                      <w:snapToGrid w:val="0"/>
                      <w:spacing w:line="240" w:lineRule="atLeast"/>
                      <w:jc w:val="center"/>
                      <w:rPr>
                        <w:szCs w:val="21"/>
                      </w:rPr>
                    </w:pPr>
                    <w:r>
                      <w:rPr>
                        <w:rFonts w:hint="eastAsia"/>
                        <w:szCs w:val="21"/>
                      </w:rPr>
                      <w:t>种类</w:t>
                    </w:r>
                  </w:p>
                </w:tc>
              </w:sdtContent>
            </w:sdt>
            <w:sdt>
              <w:sdtPr>
                <w:tag w:val="_PLD_b51f0f25994640289becfaca28eb1d5c"/>
                <w:id w:val="1890151469"/>
                <w:lock w:val="sdtLocked"/>
              </w:sdtPr>
              <w:sdtEndPr/>
              <w:sdtContent>
                <w:tc>
                  <w:tcPr>
                    <w:tcW w:w="1877" w:type="pct"/>
                    <w:tcBorders>
                      <w:top w:val="single" w:sz="6" w:space="0" w:color="auto"/>
                      <w:left w:val="single" w:sz="6" w:space="0" w:color="auto"/>
                      <w:bottom w:val="single" w:sz="6" w:space="0" w:color="auto"/>
                      <w:right w:val="single" w:sz="6" w:space="0" w:color="auto"/>
                    </w:tcBorders>
                    <w:vAlign w:val="center"/>
                  </w:tcPr>
                  <w:p w14:paraId="57EDF189" w14:textId="77777777" w:rsidR="00471D53" w:rsidRDefault="004F686E">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996d96c1a15e479289fa9e0699e2822e"/>
                <w:id w:val="1255561432"/>
                <w:lock w:val="sdtLocked"/>
              </w:sdtPr>
              <w:sdtEndPr/>
              <w:sdtContent>
                <w:tc>
                  <w:tcPr>
                    <w:tcW w:w="1824" w:type="pct"/>
                    <w:tcBorders>
                      <w:top w:val="single" w:sz="6" w:space="0" w:color="auto"/>
                      <w:left w:val="single" w:sz="6" w:space="0" w:color="auto"/>
                      <w:bottom w:val="single" w:sz="6" w:space="0" w:color="auto"/>
                      <w:right w:val="single" w:sz="6" w:space="0" w:color="auto"/>
                    </w:tcBorders>
                    <w:vAlign w:val="center"/>
                  </w:tcPr>
                  <w:p w14:paraId="30C2DA9B" w14:textId="77777777" w:rsidR="00471D53" w:rsidRDefault="004F686E">
                    <w:pPr>
                      <w:autoSpaceDE w:val="0"/>
                      <w:autoSpaceDN w:val="0"/>
                      <w:adjustRightInd w:val="0"/>
                      <w:snapToGrid w:val="0"/>
                      <w:spacing w:line="240" w:lineRule="atLeast"/>
                      <w:jc w:val="center"/>
                      <w:rPr>
                        <w:szCs w:val="21"/>
                      </w:rPr>
                    </w:pPr>
                    <w:r>
                      <w:rPr>
                        <w:rFonts w:hint="eastAsia"/>
                        <w:szCs w:val="21"/>
                      </w:rPr>
                      <w:t>期初余额</w:t>
                    </w:r>
                  </w:p>
                </w:tc>
              </w:sdtContent>
            </w:sdt>
          </w:tr>
          <w:tr w:rsidR="00471D53" w14:paraId="22146E57" w14:textId="77777777" w:rsidTr="00C70082">
            <w:trPr>
              <w:cantSplit/>
            </w:trPr>
            <w:sdt>
              <w:sdtPr>
                <w:tag w:val="_PLD_612dd94d183548b6a311a7688699608c"/>
                <w:id w:val="-1606574755"/>
                <w:lock w:val="sdtLocked"/>
              </w:sdtPr>
              <w:sdtEnd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14:paraId="0DA57E1B" w14:textId="77777777" w:rsidR="00471D53" w:rsidRDefault="004F686E">
                    <w:pPr>
                      <w:autoSpaceDE w:val="0"/>
                      <w:autoSpaceDN w:val="0"/>
                      <w:adjustRightInd w:val="0"/>
                      <w:snapToGrid w:val="0"/>
                      <w:spacing w:line="240" w:lineRule="atLeast"/>
                      <w:rPr>
                        <w:szCs w:val="21"/>
                      </w:rPr>
                    </w:pPr>
                    <w:r>
                      <w:rPr>
                        <w:rFonts w:hint="eastAsia"/>
                        <w:szCs w:val="21"/>
                      </w:rPr>
                      <w:t>商业承兑汇票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tcPr>
              <w:p w14:paraId="3D3D87E2" w14:textId="77777777" w:rsidR="00471D53" w:rsidRDefault="00B664AF">
                <w:pPr>
                  <w:ind w:right="13"/>
                  <w:jc w:val="right"/>
                  <w:rPr>
                    <w:szCs w:val="21"/>
                  </w:rPr>
                </w:pPr>
              </w:p>
            </w:tc>
            <w:tc>
              <w:tcPr>
                <w:tcW w:w="1824" w:type="pct"/>
                <w:tcBorders>
                  <w:top w:val="single" w:sz="6" w:space="0" w:color="auto"/>
                  <w:left w:val="single" w:sz="6" w:space="0" w:color="auto"/>
                  <w:bottom w:val="single" w:sz="6" w:space="0" w:color="auto"/>
                  <w:right w:val="single" w:sz="6" w:space="0" w:color="auto"/>
                </w:tcBorders>
                <w:shd w:val="clear" w:color="auto" w:fill="auto"/>
              </w:tcPr>
              <w:p w14:paraId="7C92AD6F" w14:textId="77777777" w:rsidR="00471D53" w:rsidRDefault="00B664AF">
                <w:pPr>
                  <w:jc w:val="right"/>
                  <w:rPr>
                    <w:szCs w:val="21"/>
                  </w:rPr>
                </w:pPr>
              </w:p>
            </w:tc>
          </w:tr>
          <w:tr w:rsidR="00471D53" w14:paraId="0F75F028" w14:textId="77777777" w:rsidTr="00471D53">
            <w:trPr>
              <w:cantSplit/>
            </w:trPr>
            <w:sdt>
              <w:sdtPr>
                <w:tag w:val="_PLD_a78177bc2f9c4e819670fb289b9d6192"/>
                <w:id w:val="1597518055"/>
                <w:lock w:val="sdtLocked"/>
              </w:sdtPr>
              <w:sdtEnd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14:paraId="04D9D28E" w14:textId="77777777" w:rsidR="00471D53" w:rsidRDefault="004F686E">
                    <w:pPr>
                      <w:autoSpaceDE w:val="0"/>
                      <w:autoSpaceDN w:val="0"/>
                      <w:adjustRightInd w:val="0"/>
                      <w:snapToGrid w:val="0"/>
                      <w:spacing w:line="240" w:lineRule="atLeast"/>
                      <w:rPr>
                        <w:szCs w:val="21"/>
                      </w:rPr>
                    </w:pPr>
                    <w:r>
                      <w:rPr>
                        <w:rFonts w:hint="eastAsia"/>
                        <w:szCs w:val="21"/>
                      </w:rPr>
                      <w:t>银行承兑汇票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vAlign w:val="center"/>
              </w:tcPr>
              <w:p w14:paraId="01D8B82D" w14:textId="77777777" w:rsidR="00471D53" w:rsidRDefault="004F686E" w:rsidP="00471D53">
                <w:pPr>
                  <w:jc w:val="right"/>
                  <w:rPr>
                    <w:rFonts w:cs="Calibri"/>
                    <w:sz w:val="22"/>
                    <w:szCs w:val="22"/>
                  </w:rPr>
                </w:pPr>
                <w:r w:rsidRPr="00287385">
                  <w:rPr>
                    <w:rFonts w:cs="Calibri"/>
                    <w:sz w:val="22"/>
                    <w:szCs w:val="22"/>
                  </w:rPr>
                  <w:t>20,000,000.00</w:t>
                </w:r>
              </w:p>
            </w:tc>
            <w:tc>
              <w:tcPr>
                <w:tcW w:w="1824" w:type="pct"/>
                <w:tcBorders>
                  <w:top w:val="single" w:sz="6" w:space="0" w:color="auto"/>
                  <w:left w:val="single" w:sz="6" w:space="0" w:color="auto"/>
                  <w:bottom w:val="single" w:sz="6" w:space="0" w:color="auto"/>
                  <w:right w:val="single" w:sz="6" w:space="0" w:color="auto"/>
                </w:tcBorders>
                <w:shd w:val="clear" w:color="auto" w:fill="auto"/>
                <w:vAlign w:val="center"/>
              </w:tcPr>
              <w:p w14:paraId="721E4CD1" w14:textId="77777777" w:rsidR="00471D53" w:rsidRDefault="004F686E" w:rsidP="00471D53">
                <w:pPr>
                  <w:jc w:val="right"/>
                  <w:rPr>
                    <w:rFonts w:cs="Calibri"/>
                    <w:sz w:val="22"/>
                    <w:szCs w:val="22"/>
                  </w:rPr>
                </w:pPr>
                <w:r>
                  <w:rPr>
                    <w:rFonts w:cs="Calibri" w:hint="eastAsia"/>
                    <w:sz w:val="22"/>
                    <w:szCs w:val="22"/>
                  </w:rPr>
                  <w:t>56,000,000.00</w:t>
                </w:r>
              </w:p>
            </w:tc>
          </w:tr>
          <w:tr w:rsidR="00471D53" w14:paraId="077646B7" w14:textId="77777777" w:rsidTr="00471D53">
            <w:trPr>
              <w:cantSplit/>
            </w:trPr>
            <w:sdt>
              <w:sdtPr>
                <w:tag w:val="_PLD_91c7e1de96284cd2994cfcf7c0e798dc"/>
                <w:id w:val="1855686669"/>
                <w:lock w:val="sdtLocked"/>
              </w:sdtPr>
              <w:sdtEndPr/>
              <w:sdtContent>
                <w:tc>
                  <w:tcPr>
                    <w:tcW w:w="1299" w:type="pct"/>
                    <w:tcBorders>
                      <w:top w:val="single" w:sz="6" w:space="0" w:color="auto"/>
                      <w:left w:val="single" w:sz="6" w:space="0" w:color="auto"/>
                      <w:bottom w:val="single" w:sz="6" w:space="0" w:color="auto"/>
                      <w:right w:val="single" w:sz="6" w:space="0" w:color="auto"/>
                    </w:tcBorders>
                    <w:vAlign w:val="center"/>
                  </w:tcPr>
                  <w:p w14:paraId="3A8AED3F" w14:textId="77777777" w:rsidR="00471D53" w:rsidRDefault="004F686E">
                    <w:pPr>
                      <w:autoSpaceDE w:val="0"/>
                      <w:autoSpaceDN w:val="0"/>
                      <w:adjustRightInd w:val="0"/>
                      <w:snapToGrid w:val="0"/>
                      <w:spacing w:line="240" w:lineRule="atLeast"/>
                      <w:jc w:val="center"/>
                      <w:rPr>
                        <w:szCs w:val="21"/>
                      </w:rPr>
                    </w:pPr>
                    <w:r>
                      <w:rPr>
                        <w:rFonts w:hint="eastAsia"/>
                        <w:szCs w:val="21"/>
                      </w:rPr>
                      <w:t>合计</w:t>
                    </w:r>
                  </w:p>
                </w:tc>
              </w:sdtContent>
            </w:sdt>
            <w:tc>
              <w:tcPr>
                <w:tcW w:w="1877" w:type="pct"/>
                <w:tcBorders>
                  <w:top w:val="single" w:sz="6" w:space="0" w:color="auto"/>
                  <w:left w:val="single" w:sz="6" w:space="0" w:color="auto"/>
                  <w:bottom w:val="single" w:sz="6" w:space="0" w:color="auto"/>
                  <w:right w:val="single" w:sz="6" w:space="0" w:color="auto"/>
                </w:tcBorders>
                <w:vAlign w:val="center"/>
              </w:tcPr>
              <w:p w14:paraId="49D23421" w14:textId="77777777" w:rsidR="00471D53" w:rsidRDefault="004F686E" w:rsidP="00471D53">
                <w:pPr>
                  <w:jc w:val="right"/>
                  <w:rPr>
                    <w:rFonts w:cs="Calibri"/>
                    <w:sz w:val="22"/>
                    <w:szCs w:val="22"/>
                  </w:rPr>
                </w:pPr>
                <w:r w:rsidRPr="00287385">
                  <w:rPr>
                    <w:rFonts w:cs="Calibri"/>
                    <w:sz w:val="22"/>
                    <w:szCs w:val="22"/>
                  </w:rPr>
                  <w:t>20,000,000.00</w:t>
                </w:r>
              </w:p>
            </w:tc>
            <w:tc>
              <w:tcPr>
                <w:tcW w:w="1824" w:type="pct"/>
                <w:tcBorders>
                  <w:top w:val="single" w:sz="6" w:space="0" w:color="auto"/>
                  <w:left w:val="single" w:sz="6" w:space="0" w:color="auto"/>
                  <w:bottom w:val="single" w:sz="6" w:space="0" w:color="auto"/>
                  <w:right w:val="single" w:sz="6" w:space="0" w:color="auto"/>
                </w:tcBorders>
                <w:vAlign w:val="center"/>
              </w:tcPr>
              <w:p w14:paraId="2026B18E" w14:textId="77777777" w:rsidR="00471D53" w:rsidRDefault="004F686E" w:rsidP="00471D53">
                <w:pPr>
                  <w:jc w:val="right"/>
                  <w:rPr>
                    <w:rFonts w:cs="Calibri"/>
                    <w:sz w:val="22"/>
                    <w:szCs w:val="22"/>
                  </w:rPr>
                </w:pPr>
                <w:r>
                  <w:rPr>
                    <w:rFonts w:cs="Calibri" w:hint="eastAsia"/>
                    <w:sz w:val="22"/>
                    <w:szCs w:val="22"/>
                  </w:rPr>
                  <w:t>56,000,000.00</w:t>
                </w:r>
              </w:p>
            </w:tc>
          </w:tr>
        </w:tbl>
        <w:p w14:paraId="5F83A1D0" w14:textId="757D7B4B" w:rsidR="00471D53" w:rsidRDefault="004F686E">
          <w:pPr>
            <w:snapToGrid w:val="0"/>
            <w:spacing w:line="240" w:lineRule="atLeast"/>
            <w:rPr>
              <w:szCs w:val="21"/>
            </w:rPr>
          </w:pPr>
          <w:r>
            <w:rPr>
              <w:rFonts w:hint="eastAsia"/>
              <w:szCs w:val="21"/>
            </w:rPr>
            <w:t>本期末已到期未支付的应付票据总额为</w:t>
          </w:r>
          <w:sdt>
            <w:sdtPr>
              <w:rPr>
                <w:rFonts w:hint="eastAsia"/>
                <w:szCs w:val="21"/>
              </w:rPr>
              <w:alias w:val="已到期未支付的应付票据总额"/>
              <w:tag w:val="_GBC_c9651441e218453780f22db83f133e6a"/>
              <w:id w:val="-1278859362"/>
              <w:lock w:val="sdtLocked"/>
              <w:placeholder>
                <w:docPart w:val="GBC22222222222222222222222222222"/>
              </w:placeholder>
            </w:sdtPr>
            <w:sdtEndPr/>
            <w:sdtContent>
              <w:r>
                <w:rPr>
                  <w:rFonts w:hint="eastAsia"/>
                  <w:szCs w:val="21"/>
                </w:rPr>
                <w:t>0</w:t>
              </w:r>
            </w:sdtContent>
          </w:sdt>
          <w:r>
            <w:rPr>
              <w:rFonts w:hint="eastAsia"/>
              <w:szCs w:val="21"/>
            </w:rPr>
            <w:t>元。</w:t>
          </w:r>
        </w:p>
      </w:sdtContent>
    </w:sdt>
    <w:p w14:paraId="09C78F08" w14:textId="77777777" w:rsidR="00471D53" w:rsidRDefault="00B664AF">
      <w:pPr>
        <w:rPr>
          <w:szCs w:val="21"/>
        </w:rPr>
      </w:pPr>
    </w:p>
    <w:p w14:paraId="47C6DE1A"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rPr>
        <w:t>应付</w:t>
      </w:r>
      <w:r>
        <w:rPr>
          <w:rFonts w:ascii="宋体" w:hAnsi="宋体" w:hint="eastAsia"/>
          <w:szCs w:val="21"/>
        </w:rPr>
        <w:t>账款</w:t>
      </w:r>
    </w:p>
    <w:sdt>
      <w:sdtPr>
        <w:rPr>
          <w:rFonts w:ascii="宋体" w:hAnsi="宋体" w:cs="宋体" w:hint="eastAsia"/>
          <w:b w:val="0"/>
          <w:bCs w:val="0"/>
          <w:kern w:val="0"/>
          <w:szCs w:val="21"/>
        </w:rPr>
        <w:alias w:val="模块:应付账款情况"/>
        <w:tag w:val="_GBC_0f1b98b90c3845e1a1ad65786460f84b"/>
        <w:id w:val="932018474"/>
        <w:lock w:val="sdtLocked"/>
        <w:placeholder>
          <w:docPart w:val="GBC22222222222222222222222222222"/>
        </w:placeholder>
      </w:sdtPr>
      <w:sdtEndPr>
        <w:rPr>
          <w:szCs w:val="24"/>
        </w:rPr>
      </w:sdtEndPr>
      <w:sdtContent>
        <w:p w14:paraId="33436E21" w14:textId="77777777" w:rsidR="00471D53" w:rsidRDefault="004F686E" w:rsidP="004F686E">
          <w:pPr>
            <w:pStyle w:val="afffff8"/>
            <w:numPr>
              <w:ilvl w:val="0"/>
              <w:numId w:val="78"/>
            </w:numPr>
            <w:tabs>
              <w:tab w:val="left" w:pos="588"/>
            </w:tabs>
            <w:rPr>
              <w:rFonts w:ascii="宋体" w:hAnsi="宋体"/>
              <w:szCs w:val="21"/>
            </w:rPr>
          </w:pPr>
          <w:r>
            <w:rPr>
              <w:rFonts w:ascii="宋体" w:hAnsi="宋体" w:hint="eastAsia"/>
              <w:szCs w:val="21"/>
            </w:rPr>
            <w:t>应付账款列示</w:t>
          </w:r>
        </w:p>
        <w:sdt>
          <w:sdtPr>
            <w:alias w:val="是否适用：应付账款列示[双击切换]"/>
            <w:tag w:val="_GBC_8531771c226a4fb0b98e3cdaf7271c71"/>
            <w:id w:val="-1079601314"/>
            <w:lock w:val="sdtLocked"/>
            <w:placeholder>
              <w:docPart w:val="GBC22222222222222222222222222222"/>
            </w:placeholder>
          </w:sdtPr>
          <w:sdtEndPr/>
          <w:sdtContent>
            <w:p w14:paraId="3CE4A3EE"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BDDA3D6" w14:textId="39413511" w:rsidR="00471D53" w:rsidRDefault="004F686E">
          <w:pPr>
            <w:jc w:val="right"/>
            <w:rPr>
              <w:szCs w:val="21"/>
            </w:rPr>
          </w:pPr>
          <w:r>
            <w:rPr>
              <w:rFonts w:hint="eastAsia"/>
              <w:szCs w:val="21"/>
            </w:rPr>
            <w:t>单位：</w:t>
          </w:r>
          <w:sdt>
            <w:sdtPr>
              <w:rPr>
                <w:rFonts w:hint="eastAsia"/>
                <w:szCs w:val="21"/>
              </w:rPr>
              <w:alias w:val="单位：财务附注：应付账款情况"/>
              <w:tag w:val="_GBC_53c05e3ea1bb4f08bbe5cf204a0947b9"/>
              <w:id w:val="11397635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应付账款情况"/>
              <w:tag w:val="_GBC_e10cb0a664ca4400817c8a2bcf9247fc"/>
              <w:id w:val="-10883064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1"/>
            <w:gridCol w:w="2795"/>
            <w:gridCol w:w="3257"/>
          </w:tblGrid>
          <w:tr w:rsidR="00471D53" w14:paraId="6CAC0CF6" w14:textId="77777777" w:rsidTr="00471D53">
            <w:sdt>
              <w:sdtPr>
                <w:tag w:val="_PLD_7dae27caeee34d74add24cd985083c75"/>
                <w:id w:val="447900664"/>
                <w:lock w:val="sdtLocked"/>
              </w:sdtPr>
              <w:sdtEndPr/>
              <w:sdtContent>
                <w:tc>
                  <w:tcPr>
                    <w:tcW w:w="1570" w:type="pct"/>
                    <w:shd w:val="clear" w:color="auto" w:fill="auto"/>
                  </w:tcPr>
                  <w:p w14:paraId="53632129" w14:textId="77777777" w:rsidR="00471D53" w:rsidRDefault="004F686E" w:rsidP="00471D53">
                    <w:pPr>
                      <w:jc w:val="center"/>
                      <w:rPr>
                        <w:szCs w:val="21"/>
                      </w:rPr>
                    </w:pPr>
                    <w:r>
                      <w:rPr>
                        <w:rFonts w:hint="eastAsia"/>
                        <w:szCs w:val="21"/>
                      </w:rPr>
                      <w:t>项目</w:t>
                    </w:r>
                  </w:p>
                </w:tc>
              </w:sdtContent>
            </w:sdt>
            <w:sdt>
              <w:sdtPr>
                <w:tag w:val="_PLD_136ba417561e421ea02da8004fdf8b33"/>
                <w:id w:val="1428926964"/>
                <w:lock w:val="sdtLocked"/>
              </w:sdtPr>
              <w:sdtEndPr/>
              <w:sdtContent>
                <w:tc>
                  <w:tcPr>
                    <w:tcW w:w="1584" w:type="pct"/>
                    <w:shd w:val="clear" w:color="auto" w:fill="auto"/>
                  </w:tcPr>
                  <w:p w14:paraId="08248425" w14:textId="77777777" w:rsidR="00471D53" w:rsidRDefault="004F686E" w:rsidP="00471D53">
                    <w:pPr>
                      <w:jc w:val="center"/>
                      <w:rPr>
                        <w:szCs w:val="21"/>
                      </w:rPr>
                    </w:pPr>
                    <w:r>
                      <w:rPr>
                        <w:rFonts w:hint="eastAsia"/>
                        <w:szCs w:val="21"/>
                      </w:rPr>
                      <w:t>期末余额</w:t>
                    </w:r>
                  </w:p>
                </w:tc>
              </w:sdtContent>
            </w:sdt>
            <w:sdt>
              <w:sdtPr>
                <w:tag w:val="_PLD_bc4b311c1ee54bd48b7b2ba2ab79c364"/>
                <w:id w:val="1069389454"/>
                <w:lock w:val="sdtLocked"/>
              </w:sdtPr>
              <w:sdtEndPr/>
              <w:sdtContent>
                <w:tc>
                  <w:tcPr>
                    <w:tcW w:w="1846" w:type="pct"/>
                    <w:shd w:val="clear" w:color="auto" w:fill="auto"/>
                  </w:tcPr>
                  <w:p w14:paraId="62E480B0" w14:textId="77777777" w:rsidR="00471D53" w:rsidRDefault="004F686E" w:rsidP="00471D53">
                    <w:pPr>
                      <w:jc w:val="center"/>
                      <w:rPr>
                        <w:szCs w:val="21"/>
                      </w:rPr>
                    </w:pPr>
                    <w:r>
                      <w:rPr>
                        <w:rFonts w:hint="eastAsia"/>
                        <w:szCs w:val="21"/>
                      </w:rPr>
                      <w:t>期初余额</w:t>
                    </w:r>
                  </w:p>
                </w:tc>
              </w:sdtContent>
            </w:sdt>
          </w:tr>
          <w:sdt>
            <w:sdtPr>
              <w:rPr>
                <w:rFonts w:hint="eastAsia"/>
                <w:szCs w:val="21"/>
              </w:rPr>
              <w:alias w:val="应付账款情况明细"/>
              <w:tag w:val="_GBC_6a9eb940fbe64774bcca168078c6adaa"/>
              <w:id w:val="838355494"/>
              <w:lock w:val="sdtLocked"/>
            </w:sdtPr>
            <w:sdtEndPr/>
            <w:sdtContent>
              <w:tr w:rsidR="00471D53" w14:paraId="0BDC3655" w14:textId="77777777" w:rsidTr="00471D53">
                <w:tc>
                  <w:tcPr>
                    <w:tcW w:w="1570" w:type="pct"/>
                    <w:shd w:val="clear" w:color="auto" w:fill="auto"/>
                  </w:tcPr>
                  <w:p w14:paraId="1F7A3C32" w14:textId="77777777" w:rsidR="00471D53" w:rsidRDefault="004F686E" w:rsidP="00471D53">
                    <w:pPr>
                      <w:rPr>
                        <w:szCs w:val="21"/>
                      </w:rPr>
                    </w:pPr>
                    <w:r>
                      <w:t>材料款等</w:t>
                    </w:r>
                  </w:p>
                </w:tc>
                <w:tc>
                  <w:tcPr>
                    <w:tcW w:w="1584" w:type="pct"/>
                    <w:shd w:val="clear" w:color="auto" w:fill="auto"/>
                  </w:tcPr>
                  <w:p w14:paraId="2F640356" w14:textId="77777777" w:rsidR="00471D53" w:rsidRDefault="004F686E" w:rsidP="00471D53">
                    <w:pPr>
                      <w:jc w:val="right"/>
                      <w:rPr>
                        <w:szCs w:val="21"/>
                      </w:rPr>
                    </w:pPr>
                    <w:r>
                      <w:t>264,322,964.71</w:t>
                    </w:r>
                  </w:p>
                </w:tc>
                <w:tc>
                  <w:tcPr>
                    <w:tcW w:w="1846" w:type="pct"/>
                    <w:shd w:val="clear" w:color="auto" w:fill="auto"/>
                  </w:tcPr>
                  <w:p w14:paraId="2AE0C46C" w14:textId="77777777" w:rsidR="00471D53" w:rsidRDefault="004F686E" w:rsidP="00471D53">
                    <w:pPr>
                      <w:jc w:val="right"/>
                      <w:rPr>
                        <w:szCs w:val="21"/>
                      </w:rPr>
                    </w:pPr>
                    <w:r>
                      <w:t>251,829,791.48</w:t>
                    </w:r>
                  </w:p>
                </w:tc>
              </w:tr>
            </w:sdtContent>
          </w:sdt>
          <w:sdt>
            <w:sdtPr>
              <w:rPr>
                <w:rFonts w:hint="eastAsia"/>
                <w:szCs w:val="21"/>
              </w:rPr>
              <w:alias w:val="应付账款情况明细"/>
              <w:tag w:val="_GBC_6a9eb940fbe64774bcca168078c6adaa"/>
              <w:id w:val="-269085703"/>
              <w:lock w:val="sdtLocked"/>
            </w:sdtPr>
            <w:sdtEndPr/>
            <w:sdtContent>
              <w:tr w:rsidR="00471D53" w14:paraId="5F87E133" w14:textId="77777777" w:rsidTr="00471D53">
                <w:tc>
                  <w:tcPr>
                    <w:tcW w:w="1570" w:type="pct"/>
                    <w:shd w:val="clear" w:color="auto" w:fill="auto"/>
                  </w:tcPr>
                  <w:p w14:paraId="330612B9" w14:textId="77777777" w:rsidR="00471D53" w:rsidRDefault="004F686E" w:rsidP="00471D53">
                    <w:pPr>
                      <w:rPr>
                        <w:szCs w:val="21"/>
                      </w:rPr>
                    </w:pPr>
                    <w:r>
                      <w:t>工程款</w:t>
                    </w:r>
                  </w:p>
                </w:tc>
                <w:tc>
                  <w:tcPr>
                    <w:tcW w:w="1584" w:type="pct"/>
                    <w:shd w:val="clear" w:color="auto" w:fill="auto"/>
                  </w:tcPr>
                  <w:p w14:paraId="0B091901" w14:textId="77777777" w:rsidR="00471D53" w:rsidRDefault="004F686E" w:rsidP="00471D53">
                    <w:pPr>
                      <w:jc w:val="right"/>
                      <w:rPr>
                        <w:szCs w:val="21"/>
                      </w:rPr>
                    </w:pPr>
                    <w:r>
                      <w:t>6,653,688.67</w:t>
                    </w:r>
                  </w:p>
                </w:tc>
                <w:tc>
                  <w:tcPr>
                    <w:tcW w:w="1846" w:type="pct"/>
                    <w:shd w:val="clear" w:color="auto" w:fill="auto"/>
                  </w:tcPr>
                  <w:p w14:paraId="7710EE03" w14:textId="77777777" w:rsidR="00471D53" w:rsidRDefault="004F686E" w:rsidP="00471D53">
                    <w:pPr>
                      <w:jc w:val="right"/>
                      <w:rPr>
                        <w:szCs w:val="21"/>
                      </w:rPr>
                    </w:pPr>
                    <w:r>
                      <w:t>6,486,000.27</w:t>
                    </w:r>
                  </w:p>
                </w:tc>
              </w:tr>
            </w:sdtContent>
          </w:sdt>
          <w:tr w:rsidR="00471D53" w:rsidRPr="00EC179C" w14:paraId="741A0529" w14:textId="77777777" w:rsidTr="00471D53">
            <w:sdt>
              <w:sdtPr>
                <w:tag w:val="_PLD_b82b4cb1d4fa4c8fb75bed463f2da31b"/>
                <w:id w:val="-2114499062"/>
                <w:lock w:val="sdtLocked"/>
              </w:sdtPr>
              <w:sdtEndPr/>
              <w:sdtContent>
                <w:tc>
                  <w:tcPr>
                    <w:tcW w:w="1570" w:type="pct"/>
                    <w:shd w:val="clear" w:color="auto" w:fill="auto"/>
                  </w:tcPr>
                  <w:p w14:paraId="38FCF635" w14:textId="77777777" w:rsidR="00471D53" w:rsidRDefault="004F686E" w:rsidP="00471D53">
                    <w:pPr>
                      <w:jc w:val="center"/>
                      <w:rPr>
                        <w:color w:val="000000" w:themeColor="text1"/>
                        <w:szCs w:val="21"/>
                      </w:rPr>
                    </w:pPr>
                    <w:r>
                      <w:rPr>
                        <w:rFonts w:hint="eastAsia"/>
                        <w:color w:val="000000" w:themeColor="text1"/>
                        <w:szCs w:val="21"/>
                      </w:rPr>
                      <w:t>合计</w:t>
                    </w:r>
                  </w:p>
                </w:tc>
              </w:sdtContent>
            </w:sdt>
            <w:tc>
              <w:tcPr>
                <w:tcW w:w="1584" w:type="pct"/>
                <w:shd w:val="clear" w:color="auto" w:fill="auto"/>
                <w:vAlign w:val="center"/>
              </w:tcPr>
              <w:p w14:paraId="47DA9333" w14:textId="77777777" w:rsidR="00471D53" w:rsidRPr="00EC179C" w:rsidRDefault="004F686E" w:rsidP="00471D53">
                <w:pPr>
                  <w:jc w:val="right"/>
                  <w:rPr>
                    <w:sz w:val="22"/>
                    <w:szCs w:val="22"/>
                  </w:rPr>
                </w:pPr>
                <w:r w:rsidRPr="00EC179C">
                  <w:rPr>
                    <w:sz w:val="22"/>
                    <w:szCs w:val="22"/>
                  </w:rPr>
                  <w:t>270,976,653.38</w:t>
                </w:r>
              </w:p>
            </w:tc>
            <w:tc>
              <w:tcPr>
                <w:tcW w:w="1846" w:type="pct"/>
                <w:shd w:val="clear" w:color="auto" w:fill="auto"/>
                <w:vAlign w:val="center"/>
              </w:tcPr>
              <w:p w14:paraId="274DF0C2" w14:textId="77777777" w:rsidR="00471D53" w:rsidRPr="00EC179C" w:rsidRDefault="004F686E" w:rsidP="00471D53">
                <w:pPr>
                  <w:jc w:val="right"/>
                  <w:rPr>
                    <w:sz w:val="22"/>
                    <w:szCs w:val="22"/>
                  </w:rPr>
                </w:pPr>
                <w:r w:rsidRPr="00EC179C">
                  <w:rPr>
                    <w:rFonts w:cs="Calibri" w:hint="eastAsia"/>
                    <w:bCs/>
                    <w:sz w:val="22"/>
                    <w:szCs w:val="22"/>
                  </w:rPr>
                  <w:t>258,315,791.75</w:t>
                </w:r>
              </w:p>
            </w:tc>
          </w:tr>
        </w:tbl>
        <w:p w14:paraId="2544E910" w14:textId="77777777" w:rsidR="00471D53" w:rsidRPr="00EC179C" w:rsidRDefault="00B664AF" w:rsidP="00471D53"/>
      </w:sdtContent>
    </w:sdt>
    <w:p w14:paraId="23CC78B3" w14:textId="77777777" w:rsidR="00471D53" w:rsidRDefault="00B664AF">
      <w:pPr>
        <w:rPr>
          <w:b/>
          <w:szCs w:val="21"/>
        </w:rPr>
      </w:pPr>
    </w:p>
    <w:sdt>
      <w:sdtPr>
        <w:rPr>
          <w:rFonts w:ascii="宋体" w:hAnsi="宋体" w:cstheme="minorBidi" w:hint="eastAsia"/>
          <w:b w:val="0"/>
          <w:bCs w:val="0"/>
          <w:kern w:val="0"/>
          <w:szCs w:val="22"/>
        </w:rPr>
        <w:alias w:val="模块:重要的账龄超过1年的应付账款单位：元币种：人民币项目期末..."/>
        <w:tag w:val="_GBC_5fffbd1416eb408d959645d37f190cf5"/>
        <w:id w:val="-146364647"/>
        <w:lock w:val="sdtLocked"/>
        <w:placeholder>
          <w:docPart w:val="GBC22222222222222222222222222222"/>
        </w:placeholder>
      </w:sdtPr>
      <w:sdtEndPr>
        <w:rPr>
          <w:rFonts w:ascii="Cambria" w:hAnsi="Cambria"/>
          <w:b/>
          <w:bCs/>
          <w:kern w:val="2"/>
        </w:rPr>
      </w:sdtEndPr>
      <w:sdtContent>
        <w:p w14:paraId="763F361A" w14:textId="77777777" w:rsidR="00471D53" w:rsidRDefault="004F686E" w:rsidP="004F686E">
          <w:pPr>
            <w:pStyle w:val="afffff8"/>
            <w:numPr>
              <w:ilvl w:val="0"/>
              <w:numId w:val="78"/>
            </w:numPr>
            <w:tabs>
              <w:tab w:val="left" w:pos="588"/>
            </w:tabs>
            <w:rPr>
              <w:rFonts w:ascii="宋体" w:hAnsi="宋体"/>
              <w:kern w:val="0"/>
            </w:rPr>
          </w:pPr>
          <w:r>
            <w:rPr>
              <w:rFonts w:ascii="宋体" w:hAnsi="宋体" w:hint="eastAsia"/>
              <w:kern w:val="0"/>
            </w:rPr>
            <w:t>账龄超过</w:t>
          </w:r>
          <w:r>
            <w:rPr>
              <w:rFonts w:ascii="宋体" w:hAnsi="宋体"/>
              <w:kern w:val="0"/>
            </w:rPr>
            <w:t>1年的重要应付账款</w:t>
          </w:r>
        </w:p>
        <w:sdt>
          <w:sdtPr>
            <w:alias w:val="是否适用：账龄超过1年的重要应付账款[双击切换]"/>
            <w:tag w:val="_GBC_02c6e7ed8ae149e8a09f5b80217deb89"/>
            <w:id w:val="-1994636600"/>
            <w:lock w:val="sdtLocked"/>
          </w:sdtPr>
          <w:sdtEndPr/>
          <w:sdtContent>
            <w:p w14:paraId="720B83CB"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DF46802" w14:textId="435F5C58" w:rsidR="00471D53" w:rsidRDefault="004F686E">
          <w:pPr>
            <w:jc w:val="right"/>
          </w:pPr>
          <w:bookmarkStart w:id="188" w:name="_Hlk78889256"/>
          <w:r>
            <w:rPr>
              <w:rFonts w:hint="eastAsia"/>
            </w:rPr>
            <w:t>单位：</w:t>
          </w:r>
          <w:sdt>
            <w:sdtPr>
              <w:rPr>
                <w:rFonts w:hint="eastAsia"/>
              </w:rPr>
              <w:alias w:val="单位：财务附注：重要的账龄超过1年的应付账款"/>
              <w:tag w:val="_GBC_4828fbb06386477f83dfc0c7b55875e7"/>
              <w:id w:val="993069320"/>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重要的账龄超过1年的应付账款"/>
              <w:tag w:val="_GBC_56837a7d36f94902b75d8fe132af82b6"/>
              <w:id w:val="-1241704766"/>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1"/>
            <w:gridCol w:w="2756"/>
            <w:gridCol w:w="2866"/>
          </w:tblGrid>
          <w:tr w:rsidR="00471D53" w14:paraId="4D30BAA8" w14:textId="77777777" w:rsidTr="00471D53">
            <w:sdt>
              <w:sdtPr>
                <w:tag w:val="_PLD_31272c72b1bc41e2a47d7fbfb0839e2b"/>
                <w:id w:val="1569760645"/>
                <w:lock w:val="sdtLocked"/>
              </w:sdtPr>
              <w:sdtEndPr/>
              <w:sdtContent>
                <w:tc>
                  <w:tcPr>
                    <w:tcW w:w="1814" w:type="pct"/>
                    <w:shd w:val="clear" w:color="auto" w:fill="auto"/>
                    <w:vAlign w:val="center"/>
                  </w:tcPr>
                  <w:p w14:paraId="33F0D87F" w14:textId="77777777" w:rsidR="00471D53" w:rsidRDefault="004F686E" w:rsidP="00471D53">
                    <w:pPr>
                      <w:jc w:val="center"/>
                      <w:rPr>
                        <w:szCs w:val="21"/>
                      </w:rPr>
                    </w:pPr>
                    <w:r>
                      <w:rPr>
                        <w:rFonts w:hint="eastAsia"/>
                        <w:szCs w:val="21"/>
                      </w:rPr>
                      <w:t>项目</w:t>
                    </w:r>
                  </w:p>
                </w:tc>
              </w:sdtContent>
            </w:sdt>
            <w:sdt>
              <w:sdtPr>
                <w:tag w:val="_PLD_41b9d7d7e0c84d6c9f8c3a0a59e37c14"/>
                <w:id w:val="1102387460"/>
                <w:lock w:val="sdtLocked"/>
              </w:sdtPr>
              <w:sdtEndPr/>
              <w:sdtContent>
                <w:tc>
                  <w:tcPr>
                    <w:tcW w:w="1562" w:type="pct"/>
                    <w:shd w:val="clear" w:color="auto" w:fill="auto"/>
                    <w:vAlign w:val="center"/>
                  </w:tcPr>
                  <w:p w14:paraId="4FE61475" w14:textId="77777777" w:rsidR="00471D53" w:rsidRDefault="004F686E" w:rsidP="00471D53">
                    <w:pPr>
                      <w:jc w:val="center"/>
                      <w:rPr>
                        <w:szCs w:val="21"/>
                      </w:rPr>
                    </w:pPr>
                    <w:r>
                      <w:rPr>
                        <w:rFonts w:hint="eastAsia"/>
                        <w:szCs w:val="21"/>
                      </w:rPr>
                      <w:t>期末余额</w:t>
                    </w:r>
                  </w:p>
                </w:tc>
              </w:sdtContent>
            </w:sdt>
            <w:sdt>
              <w:sdtPr>
                <w:tag w:val="_PLD_49e0f43ba09d42649fabb4ecc22986ca"/>
                <w:id w:val="-348493379"/>
                <w:lock w:val="sdtLocked"/>
              </w:sdtPr>
              <w:sdtEndPr/>
              <w:sdtContent>
                <w:tc>
                  <w:tcPr>
                    <w:tcW w:w="1624" w:type="pct"/>
                    <w:shd w:val="clear" w:color="auto" w:fill="auto"/>
                    <w:vAlign w:val="center"/>
                  </w:tcPr>
                  <w:p w14:paraId="7F615C69" w14:textId="77777777" w:rsidR="00471D53" w:rsidRDefault="004F686E" w:rsidP="00471D53">
                    <w:pPr>
                      <w:jc w:val="center"/>
                      <w:rPr>
                        <w:szCs w:val="21"/>
                      </w:rPr>
                    </w:pPr>
                    <w:r>
                      <w:rPr>
                        <w:rFonts w:hint="eastAsia"/>
                        <w:szCs w:val="21"/>
                      </w:rPr>
                      <w:t>未偿还或结转的原因</w:t>
                    </w:r>
                  </w:p>
                </w:tc>
              </w:sdtContent>
            </w:sdt>
          </w:tr>
          <w:sdt>
            <w:sdtPr>
              <w:rPr>
                <w:szCs w:val="21"/>
              </w:rPr>
              <w:alias w:val="重要的账龄超过1年的应付账款明细"/>
              <w:tag w:val="_GBC_3c24b8450a0a47bd8859f88e883aa952"/>
              <w:id w:val="-655450272"/>
            </w:sdtPr>
            <w:sdtEndPr/>
            <w:sdtContent>
              <w:tr w:rsidR="00471D53" w14:paraId="24531896" w14:textId="77777777" w:rsidTr="00471D53">
                <w:tc>
                  <w:tcPr>
                    <w:tcW w:w="1814" w:type="pct"/>
                    <w:tcBorders>
                      <w:bottom w:val="single" w:sz="4" w:space="0" w:color="auto"/>
                    </w:tcBorders>
                    <w:shd w:val="clear" w:color="auto" w:fill="auto"/>
                  </w:tcPr>
                  <w:p w14:paraId="6175A7DB" w14:textId="77777777" w:rsidR="00471D53" w:rsidRDefault="004F686E" w:rsidP="00471D53">
                    <w:pPr>
                      <w:rPr>
                        <w:szCs w:val="21"/>
                      </w:rPr>
                    </w:pPr>
                    <w:r>
                      <w:t>新乡市金鹏冶金设备有限公司</w:t>
                    </w:r>
                  </w:p>
                </w:tc>
                <w:tc>
                  <w:tcPr>
                    <w:tcW w:w="1562" w:type="pct"/>
                    <w:shd w:val="clear" w:color="auto" w:fill="auto"/>
                  </w:tcPr>
                  <w:p w14:paraId="79B55AD1" w14:textId="77777777" w:rsidR="00471D53" w:rsidRDefault="004F686E" w:rsidP="00471D53">
                    <w:pPr>
                      <w:jc w:val="right"/>
                      <w:rPr>
                        <w:szCs w:val="21"/>
                      </w:rPr>
                    </w:pPr>
                    <w:r>
                      <w:t>10,596,084.70</w:t>
                    </w:r>
                  </w:p>
                </w:tc>
                <w:tc>
                  <w:tcPr>
                    <w:tcW w:w="1624" w:type="pct"/>
                    <w:shd w:val="clear" w:color="auto" w:fill="auto"/>
                  </w:tcPr>
                  <w:p w14:paraId="3D69F119" w14:textId="77777777" w:rsidR="00471D53" w:rsidRDefault="004F686E" w:rsidP="00471D53">
                    <w:pPr>
                      <w:rPr>
                        <w:szCs w:val="21"/>
                      </w:rPr>
                    </w:pPr>
                    <w:r>
                      <w:t>尚未结算</w:t>
                    </w:r>
                  </w:p>
                </w:tc>
              </w:tr>
            </w:sdtContent>
          </w:sdt>
          <w:sdt>
            <w:sdtPr>
              <w:rPr>
                <w:szCs w:val="21"/>
              </w:rPr>
              <w:alias w:val="重要的账龄超过1年的应付账款明细"/>
              <w:tag w:val="_GBC_3c24b8450a0a47bd8859f88e883aa952"/>
              <w:id w:val="-2066100884"/>
            </w:sdtPr>
            <w:sdtEndPr/>
            <w:sdtContent>
              <w:tr w:rsidR="00471D53" w14:paraId="527CB4BB" w14:textId="77777777" w:rsidTr="00471D53">
                <w:tc>
                  <w:tcPr>
                    <w:tcW w:w="1814" w:type="pct"/>
                    <w:tcBorders>
                      <w:bottom w:val="single" w:sz="4" w:space="0" w:color="auto"/>
                    </w:tcBorders>
                    <w:shd w:val="clear" w:color="auto" w:fill="auto"/>
                  </w:tcPr>
                  <w:p w14:paraId="07E1951F" w14:textId="77777777" w:rsidR="00471D53" w:rsidRDefault="004F686E" w:rsidP="00471D53">
                    <w:pPr>
                      <w:rPr>
                        <w:szCs w:val="21"/>
                      </w:rPr>
                    </w:pPr>
                    <w:r>
                      <w:t>北京荣合齿轮制造有限公司</w:t>
                    </w:r>
                  </w:p>
                </w:tc>
                <w:tc>
                  <w:tcPr>
                    <w:tcW w:w="1562" w:type="pct"/>
                    <w:shd w:val="clear" w:color="auto" w:fill="auto"/>
                  </w:tcPr>
                  <w:p w14:paraId="742278D6" w14:textId="77777777" w:rsidR="00471D53" w:rsidRDefault="004F686E" w:rsidP="00471D53">
                    <w:pPr>
                      <w:jc w:val="right"/>
                      <w:rPr>
                        <w:szCs w:val="21"/>
                      </w:rPr>
                    </w:pPr>
                    <w:r>
                      <w:t>6,208,281.20</w:t>
                    </w:r>
                  </w:p>
                </w:tc>
                <w:tc>
                  <w:tcPr>
                    <w:tcW w:w="1624" w:type="pct"/>
                    <w:shd w:val="clear" w:color="auto" w:fill="auto"/>
                  </w:tcPr>
                  <w:p w14:paraId="69829AE2" w14:textId="77777777" w:rsidR="00471D53" w:rsidRDefault="004F686E" w:rsidP="00471D53">
                    <w:pPr>
                      <w:rPr>
                        <w:szCs w:val="21"/>
                      </w:rPr>
                    </w:pPr>
                    <w:r>
                      <w:t>尚未结算</w:t>
                    </w:r>
                  </w:p>
                </w:tc>
              </w:tr>
            </w:sdtContent>
          </w:sdt>
          <w:sdt>
            <w:sdtPr>
              <w:rPr>
                <w:szCs w:val="21"/>
              </w:rPr>
              <w:alias w:val="重要的账龄超过1年的应付账款明细"/>
              <w:tag w:val="_GBC_3c24b8450a0a47bd8859f88e883aa952"/>
              <w:id w:val="571019552"/>
            </w:sdtPr>
            <w:sdtEndPr/>
            <w:sdtContent>
              <w:tr w:rsidR="00471D53" w14:paraId="15F48707" w14:textId="77777777" w:rsidTr="00471D53">
                <w:tc>
                  <w:tcPr>
                    <w:tcW w:w="1814" w:type="pct"/>
                    <w:tcBorders>
                      <w:bottom w:val="single" w:sz="4" w:space="0" w:color="auto"/>
                    </w:tcBorders>
                    <w:shd w:val="clear" w:color="auto" w:fill="auto"/>
                  </w:tcPr>
                  <w:p w14:paraId="0FF0F282" w14:textId="77777777" w:rsidR="00471D53" w:rsidRDefault="004F686E" w:rsidP="00471D53">
                    <w:pPr>
                      <w:rPr>
                        <w:szCs w:val="21"/>
                      </w:rPr>
                    </w:pPr>
                    <w:r>
                      <w:t>高碑店市保北电讯器材厂</w:t>
                    </w:r>
                  </w:p>
                </w:tc>
                <w:tc>
                  <w:tcPr>
                    <w:tcW w:w="1562" w:type="pct"/>
                    <w:shd w:val="clear" w:color="auto" w:fill="auto"/>
                  </w:tcPr>
                  <w:p w14:paraId="29942897" w14:textId="77777777" w:rsidR="00471D53" w:rsidRDefault="004F686E" w:rsidP="00471D53">
                    <w:pPr>
                      <w:jc w:val="right"/>
                      <w:rPr>
                        <w:szCs w:val="21"/>
                      </w:rPr>
                    </w:pPr>
                    <w:r>
                      <w:t>5,652,723.24</w:t>
                    </w:r>
                  </w:p>
                </w:tc>
                <w:tc>
                  <w:tcPr>
                    <w:tcW w:w="1624" w:type="pct"/>
                    <w:shd w:val="clear" w:color="auto" w:fill="auto"/>
                  </w:tcPr>
                  <w:p w14:paraId="33E5E7A5" w14:textId="77777777" w:rsidR="00471D53" w:rsidRDefault="004F686E" w:rsidP="00471D53">
                    <w:pPr>
                      <w:rPr>
                        <w:szCs w:val="21"/>
                      </w:rPr>
                    </w:pPr>
                    <w:r>
                      <w:t>尚未结算</w:t>
                    </w:r>
                  </w:p>
                </w:tc>
              </w:tr>
            </w:sdtContent>
          </w:sdt>
          <w:sdt>
            <w:sdtPr>
              <w:rPr>
                <w:szCs w:val="21"/>
              </w:rPr>
              <w:alias w:val="重要的账龄超过1年的应付账款明细"/>
              <w:tag w:val="_GBC_3c24b8450a0a47bd8859f88e883aa952"/>
              <w:id w:val="1242371591"/>
            </w:sdtPr>
            <w:sdtEndPr/>
            <w:sdtContent>
              <w:tr w:rsidR="00471D53" w14:paraId="75154E8C" w14:textId="77777777" w:rsidTr="00471D53">
                <w:tc>
                  <w:tcPr>
                    <w:tcW w:w="1814" w:type="pct"/>
                    <w:tcBorders>
                      <w:bottom w:val="single" w:sz="4" w:space="0" w:color="auto"/>
                    </w:tcBorders>
                    <w:shd w:val="clear" w:color="auto" w:fill="auto"/>
                  </w:tcPr>
                  <w:p w14:paraId="10A26BD0" w14:textId="77777777" w:rsidR="00471D53" w:rsidRDefault="004F686E" w:rsidP="00471D53">
                    <w:pPr>
                      <w:rPr>
                        <w:szCs w:val="21"/>
                      </w:rPr>
                    </w:pPr>
                    <w:r>
                      <w:t>高碑店市海宏工业有限公司</w:t>
                    </w:r>
                  </w:p>
                </w:tc>
                <w:tc>
                  <w:tcPr>
                    <w:tcW w:w="1562" w:type="pct"/>
                    <w:shd w:val="clear" w:color="auto" w:fill="auto"/>
                  </w:tcPr>
                  <w:p w14:paraId="420ED2B8" w14:textId="77777777" w:rsidR="00471D53" w:rsidRDefault="004F686E" w:rsidP="00471D53">
                    <w:pPr>
                      <w:jc w:val="right"/>
                      <w:rPr>
                        <w:szCs w:val="21"/>
                      </w:rPr>
                    </w:pPr>
                    <w:r>
                      <w:t>5,539,395.54</w:t>
                    </w:r>
                  </w:p>
                </w:tc>
                <w:tc>
                  <w:tcPr>
                    <w:tcW w:w="1624" w:type="pct"/>
                    <w:shd w:val="clear" w:color="auto" w:fill="auto"/>
                  </w:tcPr>
                  <w:p w14:paraId="4DB6B39C" w14:textId="77777777" w:rsidR="00471D53" w:rsidRDefault="004F686E" w:rsidP="00471D53">
                    <w:pPr>
                      <w:rPr>
                        <w:szCs w:val="21"/>
                      </w:rPr>
                    </w:pPr>
                    <w:r>
                      <w:t>尚未结算</w:t>
                    </w:r>
                  </w:p>
                </w:tc>
              </w:tr>
            </w:sdtContent>
          </w:sdt>
          <w:sdt>
            <w:sdtPr>
              <w:rPr>
                <w:szCs w:val="21"/>
              </w:rPr>
              <w:alias w:val="重要的账龄超过1年的应付账款明细"/>
              <w:tag w:val="_GBC_3c24b8450a0a47bd8859f88e883aa952"/>
              <w:id w:val="1332018855"/>
            </w:sdtPr>
            <w:sdtEndPr/>
            <w:sdtContent>
              <w:tr w:rsidR="00471D53" w14:paraId="754A78E9" w14:textId="77777777" w:rsidTr="00471D53">
                <w:tc>
                  <w:tcPr>
                    <w:tcW w:w="1814" w:type="pct"/>
                    <w:tcBorders>
                      <w:bottom w:val="single" w:sz="4" w:space="0" w:color="auto"/>
                    </w:tcBorders>
                    <w:shd w:val="clear" w:color="auto" w:fill="auto"/>
                  </w:tcPr>
                  <w:p w14:paraId="1B9D5E71" w14:textId="77777777" w:rsidR="00471D53" w:rsidRDefault="004F686E" w:rsidP="00471D53">
                    <w:pPr>
                      <w:rPr>
                        <w:szCs w:val="21"/>
                      </w:rPr>
                    </w:pPr>
                    <w:r>
                      <w:t>丹阳市飞轮气体阀门有限公司</w:t>
                    </w:r>
                  </w:p>
                </w:tc>
                <w:tc>
                  <w:tcPr>
                    <w:tcW w:w="1562" w:type="pct"/>
                    <w:shd w:val="clear" w:color="auto" w:fill="auto"/>
                  </w:tcPr>
                  <w:p w14:paraId="7F3CE1D9" w14:textId="77777777" w:rsidR="00471D53" w:rsidRDefault="004F686E" w:rsidP="00471D53">
                    <w:pPr>
                      <w:jc w:val="right"/>
                      <w:rPr>
                        <w:szCs w:val="21"/>
                      </w:rPr>
                    </w:pPr>
                    <w:r>
                      <w:t>5,089,324.18</w:t>
                    </w:r>
                  </w:p>
                </w:tc>
                <w:tc>
                  <w:tcPr>
                    <w:tcW w:w="1624" w:type="pct"/>
                    <w:shd w:val="clear" w:color="auto" w:fill="auto"/>
                  </w:tcPr>
                  <w:p w14:paraId="5DB14900" w14:textId="77777777" w:rsidR="00471D53" w:rsidRDefault="004F686E" w:rsidP="00471D53">
                    <w:pPr>
                      <w:rPr>
                        <w:szCs w:val="21"/>
                      </w:rPr>
                    </w:pPr>
                    <w:r>
                      <w:t>尚未结算</w:t>
                    </w:r>
                  </w:p>
                </w:tc>
              </w:tr>
            </w:sdtContent>
          </w:sdt>
          <w:sdt>
            <w:sdtPr>
              <w:rPr>
                <w:szCs w:val="21"/>
              </w:rPr>
              <w:alias w:val="重要的账龄超过1年的应付账款明细"/>
              <w:tag w:val="_GBC_3c24b8450a0a47bd8859f88e883aa952"/>
              <w:id w:val="-840621909"/>
            </w:sdtPr>
            <w:sdtEndPr/>
            <w:sdtContent>
              <w:tr w:rsidR="00471D53" w14:paraId="0451BF9B" w14:textId="77777777" w:rsidTr="00471D53">
                <w:tc>
                  <w:tcPr>
                    <w:tcW w:w="1814" w:type="pct"/>
                    <w:tcBorders>
                      <w:bottom w:val="single" w:sz="4" w:space="0" w:color="auto"/>
                    </w:tcBorders>
                    <w:shd w:val="clear" w:color="auto" w:fill="auto"/>
                  </w:tcPr>
                  <w:p w14:paraId="75B0D41A" w14:textId="77777777" w:rsidR="00471D53" w:rsidRDefault="004F686E" w:rsidP="00471D53">
                    <w:pPr>
                      <w:rPr>
                        <w:szCs w:val="21"/>
                      </w:rPr>
                    </w:pPr>
                    <w:r>
                      <w:t>北京亚泰宏达商贸有限公司</w:t>
                    </w:r>
                  </w:p>
                </w:tc>
                <w:tc>
                  <w:tcPr>
                    <w:tcW w:w="1562" w:type="pct"/>
                    <w:shd w:val="clear" w:color="auto" w:fill="auto"/>
                  </w:tcPr>
                  <w:p w14:paraId="1BC5D56B" w14:textId="77777777" w:rsidR="00471D53" w:rsidRDefault="004F686E" w:rsidP="00471D53">
                    <w:pPr>
                      <w:jc w:val="right"/>
                      <w:rPr>
                        <w:szCs w:val="21"/>
                      </w:rPr>
                    </w:pPr>
                    <w:r>
                      <w:t>5,049,247.34</w:t>
                    </w:r>
                  </w:p>
                </w:tc>
                <w:tc>
                  <w:tcPr>
                    <w:tcW w:w="1624" w:type="pct"/>
                    <w:shd w:val="clear" w:color="auto" w:fill="auto"/>
                  </w:tcPr>
                  <w:p w14:paraId="0F9939F9" w14:textId="77777777" w:rsidR="00471D53" w:rsidRDefault="004F686E" w:rsidP="00471D53">
                    <w:pPr>
                      <w:rPr>
                        <w:szCs w:val="21"/>
                      </w:rPr>
                    </w:pPr>
                    <w:r>
                      <w:t>尚未结算</w:t>
                    </w:r>
                  </w:p>
                </w:tc>
              </w:tr>
            </w:sdtContent>
          </w:sdt>
          <w:sdt>
            <w:sdtPr>
              <w:rPr>
                <w:szCs w:val="21"/>
              </w:rPr>
              <w:alias w:val="重要的账龄超过1年的应付账款明细"/>
              <w:tag w:val="_GBC_3c24b8450a0a47bd8859f88e883aa952"/>
              <w:id w:val="-2036253757"/>
            </w:sdtPr>
            <w:sdtEndPr/>
            <w:sdtContent>
              <w:tr w:rsidR="00471D53" w14:paraId="50721555" w14:textId="77777777" w:rsidTr="00471D53">
                <w:tc>
                  <w:tcPr>
                    <w:tcW w:w="1814" w:type="pct"/>
                    <w:tcBorders>
                      <w:bottom w:val="single" w:sz="4" w:space="0" w:color="auto"/>
                    </w:tcBorders>
                    <w:shd w:val="clear" w:color="auto" w:fill="auto"/>
                  </w:tcPr>
                  <w:p w14:paraId="0AC57251" w14:textId="77777777" w:rsidR="00471D53" w:rsidRDefault="004F686E" w:rsidP="00471D53">
                    <w:pPr>
                      <w:rPr>
                        <w:szCs w:val="21"/>
                      </w:rPr>
                    </w:pPr>
                    <w:r>
                      <w:t>山西锦恒锐金属材料有限公司</w:t>
                    </w:r>
                  </w:p>
                </w:tc>
                <w:tc>
                  <w:tcPr>
                    <w:tcW w:w="1562" w:type="pct"/>
                    <w:shd w:val="clear" w:color="auto" w:fill="auto"/>
                  </w:tcPr>
                  <w:p w14:paraId="53BF52A9" w14:textId="77777777" w:rsidR="00471D53" w:rsidRDefault="004F686E" w:rsidP="00471D53">
                    <w:pPr>
                      <w:jc w:val="right"/>
                      <w:rPr>
                        <w:szCs w:val="21"/>
                      </w:rPr>
                    </w:pPr>
                    <w:r>
                      <w:t>4,428,043.99</w:t>
                    </w:r>
                  </w:p>
                </w:tc>
                <w:tc>
                  <w:tcPr>
                    <w:tcW w:w="1624" w:type="pct"/>
                    <w:shd w:val="clear" w:color="auto" w:fill="auto"/>
                  </w:tcPr>
                  <w:p w14:paraId="6DD2F0F0" w14:textId="77777777" w:rsidR="00471D53" w:rsidRDefault="004F686E" w:rsidP="00471D53">
                    <w:pPr>
                      <w:rPr>
                        <w:szCs w:val="21"/>
                      </w:rPr>
                    </w:pPr>
                    <w:r>
                      <w:t>尚未结算</w:t>
                    </w:r>
                  </w:p>
                </w:tc>
              </w:tr>
            </w:sdtContent>
          </w:sdt>
          <w:sdt>
            <w:sdtPr>
              <w:rPr>
                <w:szCs w:val="21"/>
              </w:rPr>
              <w:alias w:val="重要的账龄超过1年的应付账款明细"/>
              <w:tag w:val="_GBC_3c24b8450a0a47bd8859f88e883aa952"/>
              <w:id w:val="-48151184"/>
            </w:sdtPr>
            <w:sdtEndPr/>
            <w:sdtContent>
              <w:tr w:rsidR="00471D53" w14:paraId="2031CFFA" w14:textId="77777777" w:rsidTr="00471D53">
                <w:tc>
                  <w:tcPr>
                    <w:tcW w:w="1814" w:type="pct"/>
                    <w:tcBorders>
                      <w:bottom w:val="single" w:sz="4" w:space="0" w:color="auto"/>
                    </w:tcBorders>
                    <w:shd w:val="clear" w:color="auto" w:fill="auto"/>
                  </w:tcPr>
                  <w:p w14:paraId="004F7379" w14:textId="77777777" w:rsidR="00471D53" w:rsidRDefault="004F686E" w:rsidP="00471D53">
                    <w:pPr>
                      <w:rPr>
                        <w:szCs w:val="21"/>
                      </w:rPr>
                    </w:pPr>
                    <w:r>
                      <w:t>天津乐倍尔餐饮管理有限公司</w:t>
                    </w:r>
                  </w:p>
                </w:tc>
                <w:tc>
                  <w:tcPr>
                    <w:tcW w:w="1562" w:type="pct"/>
                    <w:shd w:val="clear" w:color="auto" w:fill="auto"/>
                  </w:tcPr>
                  <w:p w14:paraId="030D93D2" w14:textId="77777777" w:rsidR="00471D53" w:rsidRDefault="004F686E" w:rsidP="00471D53">
                    <w:pPr>
                      <w:jc w:val="right"/>
                      <w:rPr>
                        <w:szCs w:val="21"/>
                      </w:rPr>
                    </w:pPr>
                    <w:r>
                      <w:t>4,177,441.00</w:t>
                    </w:r>
                  </w:p>
                </w:tc>
                <w:tc>
                  <w:tcPr>
                    <w:tcW w:w="1624" w:type="pct"/>
                    <w:shd w:val="clear" w:color="auto" w:fill="auto"/>
                  </w:tcPr>
                  <w:p w14:paraId="3AEC8EDF" w14:textId="77777777" w:rsidR="00471D53" w:rsidRDefault="004F686E" w:rsidP="00471D53">
                    <w:pPr>
                      <w:rPr>
                        <w:szCs w:val="21"/>
                      </w:rPr>
                    </w:pPr>
                    <w:r>
                      <w:t>尚未结算</w:t>
                    </w:r>
                  </w:p>
                </w:tc>
              </w:tr>
            </w:sdtContent>
          </w:sdt>
          <w:sdt>
            <w:sdtPr>
              <w:rPr>
                <w:szCs w:val="21"/>
              </w:rPr>
              <w:alias w:val="重要的账龄超过1年的应付账款明细"/>
              <w:tag w:val="_GBC_3c24b8450a0a47bd8859f88e883aa952"/>
              <w:id w:val="441198128"/>
            </w:sdtPr>
            <w:sdtEndPr/>
            <w:sdtContent>
              <w:tr w:rsidR="00471D53" w14:paraId="69DB639F" w14:textId="77777777" w:rsidTr="00471D53">
                <w:tc>
                  <w:tcPr>
                    <w:tcW w:w="1814" w:type="pct"/>
                    <w:tcBorders>
                      <w:bottom w:val="single" w:sz="4" w:space="0" w:color="auto"/>
                    </w:tcBorders>
                    <w:shd w:val="clear" w:color="auto" w:fill="auto"/>
                  </w:tcPr>
                  <w:p w14:paraId="6D607649" w14:textId="77777777" w:rsidR="00471D53" w:rsidRDefault="004F686E" w:rsidP="00471D53">
                    <w:pPr>
                      <w:rPr>
                        <w:szCs w:val="21"/>
                      </w:rPr>
                    </w:pPr>
                    <w:r>
                      <w:t>新乡市申坤机械装备制造有限公司</w:t>
                    </w:r>
                  </w:p>
                </w:tc>
                <w:tc>
                  <w:tcPr>
                    <w:tcW w:w="1562" w:type="pct"/>
                    <w:shd w:val="clear" w:color="auto" w:fill="auto"/>
                  </w:tcPr>
                  <w:p w14:paraId="28A6CCED" w14:textId="77777777" w:rsidR="00471D53" w:rsidRDefault="004F686E" w:rsidP="00471D53">
                    <w:pPr>
                      <w:jc w:val="right"/>
                      <w:rPr>
                        <w:szCs w:val="21"/>
                      </w:rPr>
                    </w:pPr>
                    <w:r>
                      <w:t>4,030,692.22</w:t>
                    </w:r>
                  </w:p>
                </w:tc>
                <w:tc>
                  <w:tcPr>
                    <w:tcW w:w="1624" w:type="pct"/>
                    <w:shd w:val="clear" w:color="auto" w:fill="auto"/>
                  </w:tcPr>
                  <w:p w14:paraId="2210640F" w14:textId="77777777" w:rsidR="00471D53" w:rsidRDefault="004F686E" w:rsidP="00471D53">
                    <w:pPr>
                      <w:rPr>
                        <w:szCs w:val="21"/>
                      </w:rPr>
                    </w:pPr>
                    <w:r>
                      <w:t>尚未结算</w:t>
                    </w:r>
                  </w:p>
                </w:tc>
              </w:tr>
            </w:sdtContent>
          </w:sdt>
          <w:sdt>
            <w:sdtPr>
              <w:rPr>
                <w:szCs w:val="21"/>
              </w:rPr>
              <w:alias w:val="重要的账龄超过1年的应付账款明细"/>
              <w:tag w:val="_GBC_3c24b8450a0a47bd8859f88e883aa952"/>
              <w:id w:val="1610701301"/>
            </w:sdtPr>
            <w:sdtEndPr/>
            <w:sdtContent>
              <w:tr w:rsidR="00471D53" w14:paraId="050A008D" w14:textId="77777777" w:rsidTr="00471D53">
                <w:tc>
                  <w:tcPr>
                    <w:tcW w:w="1814" w:type="pct"/>
                    <w:tcBorders>
                      <w:bottom w:val="single" w:sz="4" w:space="0" w:color="auto"/>
                    </w:tcBorders>
                    <w:shd w:val="clear" w:color="auto" w:fill="auto"/>
                  </w:tcPr>
                  <w:p w14:paraId="3761C3E4" w14:textId="77777777" w:rsidR="00471D53" w:rsidRDefault="004F686E" w:rsidP="00471D53">
                    <w:pPr>
                      <w:rPr>
                        <w:szCs w:val="21"/>
                      </w:rPr>
                    </w:pPr>
                    <w:r>
                      <w:t>廊坊市中实机械制造有限公司</w:t>
                    </w:r>
                  </w:p>
                </w:tc>
                <w:tc>
                  <w:tcPr>
                    <w:tcW w:w="1562" w:type="pct"/>
                    <w:shd w:val="clear" w:color="auto" w:fill="auto"/>
                  </w:tcPr>
                  <w:p w14:paraId="3CA4C783" w14:textId="77777777" w:rsidR="00471D53" w:rsidRDefault="004F686E" w:rsidP="00471D53">
                    <w:pPr>
                      <w:jc w:val="right"/>
                      <w:rPr>
                        <w:szCs w:val="21"/>
                      </w:rPr>
                    </w:pPr>
                    <w:r>
                      <w:t>3,768,130.34</w:t>
                    </w:r>
                  </w:p>
                </w:tc>
                <w:tc>
                  <w:tcPr>
                    <w:tcW w:w="1624" w:type="pct"/>
                    <w:shd w:val="clear" w:color="auto" w:fill="auto"/>
                  </w:tcPr>
                  <w:p w14:paraId="1886C396" w14:textId="77777777" w:rsidR="00471D53" w:rsidRDefault="004F686E" w:rsidP="00471D53">
                    <w:pPr>
                      <w:rPr>
                        <w:szCs w:val="21"/>
                      </w:rPr>
                    </w:pPr>
                    <w:r>
                      <w:t>尚未结算</w:t>
                    </w:r>
                  </w:p>
                </w:tc>
              </w:tr>
            </w:sdtContent>
          </w:sdt>
          <w:sdt>
            <w:sdtPr>
              <w:rPr>
                <w:szCs w:val="21"/>
              </w:rPr>
              <w:alias w:val="重要的账龄超过1年的应付账款明细"/>
              <w:tag w:val="_GBC_3c24b8450a0a47bd8859f88e883aa952"/>
              <w:id w:val="1819377684"/>
            </w:sdtPr>
            <w:sdtEndPr/>
            <w:sdtContent>
              <w:tr w:rsidR="00471D53" w14:paraId="2B7F5BC2" w14:textId="77777777" w:rsidTr="00471D53">
                <w:tc>
                  <w:tcPr>
                    <w:tcW w:w="1814" w:type="pct"/>
                    <w:tcBorders>
                      <w:bottom w:val="single" w:sz="4" w:space="0" w:color="auto"/>
                    </w:tcBorders>
                    <w:shd w:val="clear" w:color="auto" w:fill="auto"/>
                  </w:tcPr>
                  <w:p w14:paraId="391298A2" w14:textId="77777777" w:rsidR="00471D53" w:rsidRDefault="004F686E" w:rsidP="00471D53">
                    <w:pPr>
                      <w:rPr>
                        <w:szCs w:val="21"/>
                      </w:rPr>
                    </w:pPr>
                    <w:r>
                      <w:t>江苏无锡正达金属品有限公司</w:t>
                    </w:r>
                  </w:p>
                </w:tc>
                <w:tc>
                  <w:tcPr>
                    <w:tcW w:w="1562" w:type="pct"/>
                    <w:shd w:val="clear" w:color="auto" w:fill="auto"/>
                  </w:tcPr>
                  <w:p w14:paraId="19764224" w14:textId="77777777" w:rsidR="00471D53" w:rsidRDefault="004F686E" w:rsidP="00471D53">
                    <w:pPr>
                      <w:jc w:val="right"/>
                      <w:rPr>
                        <w:szCs w:val="21"/>
                      </w:rPr>
                    </w:pPr>
                    <w:r>
                      <w:t>3,076,687.75</w:t>
                    </w:r>
                  </w:p>
                </w:tc>
                <w:tc>
                  <w:tcPr>
                    <w:tcW w:w="1624" w:type="pct"/>
                    <w:shd w:val="clear" w:color="auto" w:fill="auto"/>
                  </w:tcPr>
                  <w:p w14:paraId="68D416E6" w14:textId="77777777" w:rsidR="00471D53" w:rsidRDefault="004F686E" w:rsidP="00471D53">
                    <w:pPr>
                      <w:rPr>
                        <w:szCs w:val="21"/>
                      </w:rPr>
                    </w:pPr>
                    <w:r>
                      <w:t>尚未结算</w:t>
                    </w:r>
                  </w:p>
                </w:tc>
              </w:tr>
            </w:sdtContent>
          </w:sdt>
          <w:sdt>
            <w:sdtPr>
              <w:rPr>
                <w:szCs w:val="21"/>
              </w:rPr>
              <w:alias w:val="重要的账龄超过1年的应付账款明细"/>
              <w:tag w:val="_GBC_3c24b8450a0a47bd8859f88e883aa952"/>
              <w:id w:val="-288743673"/>
            </w:sdtPr>
            <w:sdtEndPr/>
            <w:sdtContent>
              <w:tr w:rsidR="00471D53" w14:paraId="6B9CB298" w14:textId="77777777" w:rsidTr="00471D53">
                <w:tc>
                  <w:tcPr>
                    <w:tcW w:w="1814" w:type="pct"/>
                    <w:tcBorders>
                      <w:bottom w:val="single" w:sz="4" w:space="0" w:color="auto"/>
                    </w:tcBorders>
                    <w:shd w:val="clear" w:color="auto" w:fill="auto"/>
                  </w:tcPr>
                  <w:p w14:paraId="721F6207" w14:textId="77777777" w:rsidR="00471D53" w:rsidRDefault="004F686E" w:rsidP="00471D53">
                    <w:pPr>
                      <w:rPr>
                        <w:szCs w:val="21"/>
                      </w:rPr>
                    </w:pPr>
                    <w:r>
                      <w:t>北京京秦恒鑫金属材料有限公司</w:t>
                    </w:r>
                  </w:p>
                </w:tc>
                <w:tc>
                  <w:tcPr>
                    <w:tcW w:w="1562" w:type="pct"/>
                    <w:shd w:val="clear" w:color="auto" w:fill="auto"/>
                  </w:tcPr>
                  <w:p w14:paraId="3900930A" w14:textId="77777777" w:rsidR="00471D53" w:rsidRDefault="004F686E" w:rsidP="00471D53">
                    <w:pPr>
                      <w:jc w:val="right"/>
                      <w:rPr>
                        <w:szCs w:val="21"/>
                      </w:rPr>
                    </w:pPr>
                    <w:r>
                      <w:t>2,953,002.38</w:t>
                    </w:r>
                  </w:p>
                </w:tc>
                <w:tc>
                  <w:tcPr>
                    <w:tcW w:w="1624" w:type="pct"/>
                    <w:shd w:val="clear" w:color="auto" w:fill="auto"/>
                  </w:tcPr>
                  <w:p w14:paraId="6615C112" w14:textId="77777777" w:rsidR="00471D53" w:rsidRDefault="004F686E" w:rsidP="00471D53">
                    <w:pPr>
                      <w:rPr>
                        <w:szCs w:val="21"/>
                      </w:rPr>
                    </w:pPr>
                    <w:r>
                      <w:t>尚未结算</w:t>
                    </w:r>
                  </w:p>
                </w:tc>
              </w:tr>
            </w:sdtContent>
          </w:sdt>
          <w:sdt>
            <w:sdtPr>
              <w:rPr>
                <w:szCs w:val="21"/>
              </w:rPr>
              <w:alias w:val="重要的账龄超过1年的应付账款明细"/>
              <w:tag w:val="_GBC_3c24b8450a0a47bd8859f88e883aa952"/>
              <w:id w:val="-1701699006"/>
            </w:sdtPr>
            <w:sdtEndPr/>
            <w:sdtContent>
              <w:tr w:rsidR="00471D53" w14:paraId="7008DD49" w14:textId="77777777" w:rsidTr="00471D53">
                <w:tc>
                  <w:tcPr>
                    <w:tcW w:w="1814" w:type="pct"/>
                    <w:tcBorders>
                      <w:bottom w:val="single" w:sz="4" w:space="0" w:color="auto"/>
                    </w:tcBorders>
                    <w:shd w:val="clear" w:color="auto" w:fill="auto"/>
                  </w:tcPr>
                  <w:p w14:paraId="1130BB62" w14:textId="77777777" w:rsidR="00471D53" w:rsidRDefault="004F686E" w:rsidP="00471D53">
                    <w:pPr>
                      <w:rPr>
                        <w:szCs w:val="21"/>
                      </w:rPr>
                    </w:pPr>
                    <w:r>
                      <w:t>无锡市正达金属品有限公司</w:t>
                    </w:r>
                  </w:p>
                </w:tc>
                <w:tc>
                  <w:tcPr>
                    <w:tcW w:w="1562" w:type="pct"/>
                    <w:shd w:val="clear" w:color="auto" w:fill="auto"/>
                  </w:tcPr>
                  <w:p w14:paraId="1591620A" w14:textId="77777777" w:rsidR="00471D53" w:rsidRDefault="004F686E" w:rsidP="00471D53">
                    <w:pPr>
                      <w:jc w:val="right"/>
                      <w:rPr>
                        <w:szCs w:val="21"/>
                      </w:rPr>
                    </w:pPr>
                    <w:r>
                      <w:t>2,907,186.95</w:t>
                    </w:r>
                  </w:p>
                </w:tc>
                <w:tc>
                  <w:tcPr>
                    <w:tcW w:w="1624" w:type="pct"/>
                    <w:shd w:val="clear" w:color="auto" w:fill="auto"/>
                  </w:tcPr>
                  <w:p w14:paraId="056ADF65" w14:textId="77777777" w:rsidR="00471D53" w:rsidRDefault="004F686E" w:rsidP="00471D53">
                    <w:pPr>
                      <w:rPr>
                        <w:szCs w:val="21"/>
                      </w:rPr>
                    </w:pPr>
                    <w:r>
                      <w:t>尚未结算</w:t>
                    </w:r>
                  </w:p>
                </w:tc>
              </w:tr>
            </w:sdtContent>
          </w:sdt>
          <w:sdt>
            <w:sdtPr>
              <w:rPr>
                <w:szCs w:val="21"/>
              </w:rPr>
              <w:alias w:val="重要的账龄超过1年的应付账款明细"/>
              <w:tag w:val="_GBC_3c24b8450a0a47bd8859f88e883aa952"/>
              <w:id w:val="-1743334102"/>
            </w:sdtPr>
            <w:sdtEndPr/>
            <w:sdtContent>
              <w:tr w:rsidR="00471D53" w14:paraId="5C904D4F" w14:textId="77777777" w:rsidTr="00471D53">
                <w:tc>
                  <w:tcPr>
                    <w:tcW w:w="1814" w:type="pct"/>
                    <w:tcBorders>
                      <w:bottom w:val="single" w:sz="4" w:space="0" w:color="auto"/>
                    </w:tcBorders>
                    <w:shd w:val="clear" w:color="auto" w:fill="auto"/>
                  </w:tcPr>
                  <w:p w14:paraId="27DC2C77" w14:textId="77777777" w:rsidR="00471D53" w:rsidRDefault="004F686E" w:rsidP="00471D53">
                    <w:pPr>
                      <w:rPr>
                        <w:szCs w:val="21"/>
                      </w:rPr>
                    </w:pPr>
                    <w:r>
                      <w:t>天津名创气体销售有限公司</w:t>
                    </w:r>
                  </w:p>
                </w:tc>
                <w:tc>
                  <w:tcPr>
                    <w:tcW w:w="1562" w:type="pct"/>
                    <w:shd w:val="clear" w:color="auto" w:fill="auto"/>
                  </w:tcPr>
                  <w:p w14:paraId="44A296FD" w14:textId="77777777" w:rsidR="00471D53" w:rsidRDefault="004F686E" w:rsidP="00471D53">
                    <w:pPr>
                      <w:jc w:val="right"/>
                      <w:rPr>
                        <w:szCs w:val="21"/>
                      </w:rPr>
                    </w:pPr>
                    <w:r>
                      <w:t>2,889,166.35</w:t>
                    </w:r>
                  </w:p>
                </w:tc>
                <w:tc>
                  <w:tcPr>
                    <w:tcW w:w="1624" w:type="pct"/>
                    <w:shd w:val="clear" w:color="auto" w:fill="auto"/>
                  </w:tcPr>
                  <w:p w14:paraId="2C8745DF" w14:textId="77777777" w:rsidR="00471D53" w:rsidRDefault="004F686E" w:rsidP="00471D53">
                    <w:pPr>
                      <w:rPr>
                        <w:szCs w:val="21"/>
                      </w:rPr>
                    </w:pPr>
                    <w:r>
                      <w:t>尚未结算</w:t>
                    </w:r>
                  </w:p>
                </w:tc>
              </w:tr>
            </w:sdtContent>
          </w:sdt>
          <w:sdt>
            <w:sdtPr>
              <w:rPr>
                <w:szCs w:val="21"/>
              </w:rPr>
              <w:alias w:val="重要的账龄超过1年的应付账款明细"/>
              <w:tag w:val="_GBC_3c24b8450a0a47bd8859f88e883aa952"/>
              <w:id w:val="328340914"/>
            </w:sdtPr>
            <w:sdtEndPr/>
            <w:sdtContent>
              <w:tr w:rsidR="00471D53" w14:paraId="7EB0F8EC" w14:textId="77777777" w:rsidTr="00471D53">
                <w:tc>
                  <w:tcPr>
                    <w:tcW w:w="1814" w:type="pct"/>
                    <w:tcBorders>
                      <w:bottom w:val="single" w:sz="4" w:space="0" w:color="auto"/>
                    </w:tcBorders>
                    <w:shd w:val="clear" w:color="auto" w:fill="auto"/>
                  </w:tcPr>
                  <w:p w14:paraId="6AC381BE" w14:textId="77777777" w:rsidR="00471D53" w:rsidRDefault="004F686E" w:rsidP="00471D53">
                    <w:pPr>
                      <w:rPr>
                        <w:szCs w:val="21"/>
                      </w:rPr>
                    </w:pPr>
                    <w:r>
                      <w:t>定州瑞亿机械零部件制造有限公司</w:t>
                    </w:r>
                  </w:p>
                </w:tc>
                <w:tc>
                  <w:tcPr>
                    <w:tcW w:w="1562" w:type="pct"/>
                    <w:shd w:val="clear" w:color="auto" w:fill="auto"/>
                  </w:tcPr>
                  <w:p w14:paraId="6955339B" w14:textId="77777777" w:rsidR="00471D53" w:rsidRDefault="004F686E" w:rsidP="00471D53">
                    <w:pPr>
                      <w:jc w:val="right"/>
                      <w:rPr>
                        <w:szCs w:val="21"/>
                      </w:rPr>
                    </w:pPr>
                    <w:r>
                      <w:t>2,517,183.30</w:t>
                    </w:r>
                  </w:p>
                </w:tc>
                <w:tc>
                  <w:tcPr>
                    <w:tcW w:w="1624" w:type="pct"/>
                    <w:shd w:val="clear" w:color="auto" w:fill="auto"/>
                  </w:tcPr>
                  <w:p w14:paraId="04A9BC7F" w14:textId="77777777" w:rsidR="00471D53" w:rsidRDefault="004F686E" w:rsidP="00471D53">
                    <w:pPr>
                      <w:rPr>
                        <w:szCs w:val="21"/>
                      </w:rPr>
                    </w:pPr>
                    <w:r>
                      <w:t>尚未结算</w:t>
                    </w:r>
                  </w:p>
                </w:tc>
              </w:tr>
            </w:sdtContent>
          </w:sdt>
          <w:sdt>
            <w:sdtPr>
              <w:rPr>
                <w:szCs w:val="21"/>
              </w:rPr>
              <w:alias w:val="重要的账龄超过1年的应付账款明细"/>
              <w:tag w:val="_GBC_3c24b8450a0a47bd8859f88e883aa952"/>
              <w:id w:val="-1391261389"/>
            </w:sdtPr>
            <w:sdtEndPr/>
            <w:sdtContent>
              <w:tr w:rsidR="00471D53" w14:paraId="433BE70B" w14:textId="77777777" w:rsidTr="00471D53">
                <w:tc>
                  <w:tcPr>
                    <w:tcW w:w="1814" w:type="pct"/>
                    <w:tcBorders>
                      <w:bottom w:val="single" w:sz="4" w:space="0" w:color="auto"/>
                    </w:tcBorders>
                    <w:shd w:val="clear" w:color="auto" w:fill="auto"/>
                  </w:tcPr>
                  <w:p w14:paraId="399461AB" w14:textId="77777777" w:rsidR="00471D53" w:rsidRDefault="004F686E" w:rsidP="00471D53">
                    <w:pPr>
                      <w:rPr>
                        <w:szCs w:val="21"/>
                      </w:rPr>
                    </w:pPr>
                    <w:r>
                      <w:t>北京明欣世纪包装制品有限公司</w:t>
                    </w:r>
                  </w:p>
                </w:tc>
                <w:tc>
                  <w:tcPr>
                    <w:tcW w:w="1562" w:type="pct"/>
                    <w:shd w:val="clear" w:color="auto" w:fill="auto"/>
                  </w:tcPr>
                  <w:p w14:paraId="0C73A056" w14:textId="77777777" w:rsidR="00471D53" w:rsidRDefault="004F686E" w:rsidP="00471D53">
                    <w:pPr>
                      <w:jc w:val="right"/>
                      <w:rPr>
                        <w:szCs w:val="21"/>
                      </w:rPr>
                    </w:pPr>
                    <w:r>
                      <w:t>2,509,316.54</w:t>
                    </w:r>
                  </w:p>
                </w:tc>
                <w:tc>
                  <w:tcPr>
                    <w:tcW w:w="1624" w:type="pct"/>
                    <w:shd w:val="clear" w:color="auto" w:fill="auto"/>
                  </w:tcPr>
                  <w:p w14:paraId="4ADAB418" w14:textId="77777777" w:rsidR="00471D53" w:rsidRDefault="004F686E" w:rsidP="00471D53">
                    <w:pPr>
                      <w:rPr>
                        <w:szCs w:val="21"/>
                      </w:rPr>
                    </w:pPr>
                    <w:r>
                      <w:t>尚未结算</w:t>
                    </w:r>
                  </w:p>
                </w:tc>
              </w:tr>
            </w:sdtContent>
          </w:sdt>
          <w:sdt>
            <w:sdtPr>
              <w:rPr>
                <w:szCs w:val="21"/>
              </w:rPr>
              <w:alias w:val="重要的账龄超过1年的应付账款明细"/>
              <w:tag w:val="_GBC_3c24b8450a0a47bd8859f88e883aa952"/>
              <w:id w:val="1065919001"/>
            </w:sdtPr>
            <w:sdtEndPr/>
            <w:sdtContent>
              <w:tr w:rsidR="00471D53" w14:paraId="7EB20848" w14:textId="77777777" w:rsidTr="00471D53">
                <w:tc>
                  <w:tcPr>
                    <w:tcW w:w="1814" w:type="pct"/>
                    <w:tcBorders>
                      <w:bottom w:val="single" w:sz="4" w:space="0" w:color="auto"/>
                    </w:tcBorders>
                    <w:shd w:val="clear" w:color="auto" w:fill="auto"/>
                  </w:tcPr>
                  <w:p w14:paraId="476A1114" w14:textId="77777777" w:rsidR="00471D53" w:rsidRDefault="004F686E" w:rsidP="00471D53">
                    <w:pPr>
                      <w:rPr>
                        <w:szCs w:val="21"/>
                      </w:rPr>
                    </w:pPr>
                    <w:r>
                      <w:t>南德认证检测（中国）有限公司北京分公司</w:t>
                    </w:r>
                  </w:p>
                </w:tc>
                <w:tc>
                  <w:tcPr>
                    <w:tcW w:w="1562" w:type="pct"/>
                    <w:shd w:val="clear" w:color="auto" w:fill="auto"/>
                  </w:tcPr>
                  <w:p w14:paraId="4B1DF791" w14:textId="77777777" w:rsidR="00471D53" w:rsidRDefault="004F686E" w:rsidP="00471D53">
                    <w:pPr>
                      <w:jc w:val="right"/>
                      <w:rPr>
                        <w:szCs w:val="21"/>
                      </w:rPr>
                    </w:pPr>
                    <w:r>
                      <w:t>2,495,451.34</w:t>
                    </w:r>
                  </w:p>
                </w:tc>
                <w:tc>
                  <w:tcPr>
                    <w:tcW w:w="1624" w:type="pct"/>
                    <w:shd w:val="clear" w:color="auto" w:fill="auto"/>
                  </w:tcPr>
                  <w:p w14:paraId="57AF6492" w14:textId="77777777" w:rsidR="00471D53" w:rsidRDefault="004F686E" w:rsidP="00471D53">
                    <w:pPr>
                      <w:rPr>
                        <w:szCs w:val="21"/>
                      </w:rPr>
                    </w:pPr>
                    <w:r>
                      <w:t>尚未结算</w:t>
                    </w:r>
                  </w:p>
                </w:tc>
              </w:tr>
            </w:sdtContent>
          </w:sdt>
          <w:sdt>
            <w:sdtPr>
              <w:rPr>
                <w:szCs w:val="21"/>
              </w:rPr>
              <w:alias w:val="重要的账龄超过1年的应付账款明细"/>
              <w:tag w:val="_GBC_3c24b8450a0a47bd8859f88e883aa952"/>
              <w:id w:val="-20554583"/>
            </w:sdtPr>
            <w:sdtEndPr/>
            <w:sdtContent>
              <w:tr w:rsidR="00471D53" w14:paraId="7C51ED5C" w14:textId="77777777" w:rsidTr="00471D53">
                <w:tc>
                  <w:tcPr>
                    <w:tcW w:w="1814" w:type="pct"/>
                    <w:tcBorders>
                      <w:bottom w:val="single" w:sz="4" w:space="0" w:color="auto"/>
                    </w:tcBorders>
                    <w:shd w:val="clear" w:color="auto" w:fill="auto"/>
                  </w:tcPr>
                  <w:p w14:paraId="18847BE5" w14:textId="77777777" w:rsidR="00471D53" w:rsidRDefault="004F686E" w:rsidP="00471D53">
                    <w:pPr>
                      <w:rPr>
                        <w:szCs w:val="21"/>
                      </w:rPr>
                    </w:pPr>
                    <w:r>
                      <w:t>香河云岫木制品销售有限公司</w:t>
                    </w:r>
                  </w:p>
                </w:tc>
                <w:tc>
                  <w:tcPr>
                    <w:tcW w:w="1562" w:type="pct"/>
                    <w:shd w:val="clear" w:color="auto" w:fill="auto"/>
                  </w:tcPr>
                  <w:p w14:paraId="2D91C6B3" w14:textId="77777777" w:rsidR="00471D53" w:rsidRDefault="004F686E" w:rsidP="00471D53">
                    <w:pPr>
                      <w:jc w:val="right"/>
                      <w:rPr>
                        <w:szCs w:val="21"/>
                      </w:rPr>
                    </w:pPr>
                    <w:r>
                      <w:t>2,240,991.02</w:t>
                    </w:r>
                  </w:p>
                </w:tc>
                <w:tc>
                  <w:tcPr>
                    <w:tcW w:w="1624" w:type="pct"/>
                    <w:shd w:val="clear" w:color="auto" w:fill="auto"/>
                  </w:tcPr>
                  <w:p w14:paraId="4C8097F2" w14:textId="77777777" w:rsidR="00471D53" w:rsidRDefault="004F686E" w:rsidP="00471D53">
                    <w:pPr>
                      <w:rPr>
                        <w:szCs w:val="21"/>
                      </w:rPr>
                    </w:pPr>
                    <w:r>
                      <w:t>尚未结算</w:t>
                    </w:r>
                  </w:p>
                </w:tc>
              </w:tr>
            </w:sdtContent>
          </w:sdt>
          <w:sdt>
            <w:sdtPr>
              <w:rPr>
                <w:szCs w:val="21"/>
              </w:rPr>
              <w:alias w:val="重要的账龄超过1年的应付账款明细"/>
              <w:tag w:val="_GBC_3c24b8450a0a47bd8859f88e883aa952"/>
              <w:id w:val="182250007"/>
            </w:sdtPr>
            <w:sdtEndPr/>
            <w:sdtContent>
              <w:tr w:rsidR="00471D53" w14:paraId="6E77CA4C" w14:textId="77777777" w:rsidTr="00471D53">
                <w:tc>
                  <w:tcPr>
                    <w:tcW w:w="1814" w:type="pct"/>
                    <w:tcBorders>
                      <w:bottom w:val="single" w:sz="4" w:space="0" w:color="auto"/>
                    </w:tcBorders>
                    <w:shd w:val="clear" w:color="auto" w:fill="auto"/>
                  </w:tcPr>
                  <w:p w14:paraId="6BE7005D" w14:textId="77777777" w:rsidR="00471D53" w:rsidRDefault="004F686E" w:rsidP="00471D53">
                    <w:pPr>
                      <w:rPr>
                        <w:szCs w:val="21"/>
                      </w:rPr>
                    </w:pPr>
                    <w:r>
                      <w:t>芜湖勤惠科技有限公司</w:t>
                    </w:r>
                  </w:p>
                </w:tc>
                <w:tc>
                  <w:tcPr>
                    <w:tcW w:w="1562" w:type="pct"/>
                    <w:shd w:val="clear" w:color="auto" w:fill="auto"/>
                  </w:tcPr>
                  <w:p w14:paraId="1805DED5" w14:textId="77777777" w:rsidR="00471D53" w:rsidRDefault="004F686E" w:rsidP="00471D53">
                    <w:pPr>
                      <w:jc w:val="right"/>
                      <w:rPr>
                        <w:szCs w:val="21"/>
                      </w:rPr>
                    </w:pPr>
                    <w:r>
                      <w:t>2,208,108.11</w:t>
                    </w:r>
                  </w:p>
                </w:tc>
                <w:tc>
                  <w:tcPr>
                    <w:tcW w:w="1624" w:type="pct"/>
                    <w:shd w:val="clear" w:color="auto" w:fill="auto"/>
                  </w:tcPr>
                  <w:p w14:paraId="34424C59" w14:textId="77777777" w:rsidR="00471D53" w:rsidRDefault="004F686E" w:rsidP="00471D53">
                    <w:pPr>
                      <w:rPr>
                        <w:szCs w:val="21"/>
                      </w:rPr>
                    </w:pPr>
                    <w:r>
                      <w:t>尚未结算</w:t>
                    </w:r>
                  </w:p>
                </w:tc>
              </w:tr>
            </w:sdtContent>
          </w:sdt>
          <w:sdt>
            <w:sdtPr>
              <w:rPr>
                <w:szCs w:val="21"/>
              </w:rPr>
              <w:alias w:val="重要的账龄超过1年的应付账款明细"/>
              <w:tag w:val="_GBC_3c24b8450a0a47bd8859f88e883aa952"/>
              <w:id w:val="-415478797"/>
            </w:sdtPr>
            <w:sdtEndPr/>
            <w:sdtContent>
              <w:tr w:rsidR="00471D53" w14:paraId="6FDFCC0C" w14:textId="77777777" w:rsidTr="00471D53">
                <w:tc>
                  <w:tcPr>
                    <w:tcW w:w="1814" w:type="pct"/>
                    <w:tcBorders>
                      <w:bottom w:val="single" w:sz="4" w:space="0" w:color="auto"/>
                    </w:tcBorders>
                    <w:shd w:val="clear" w:color="auto" w:fill="auto"/>
                  </w:tcPr>
                  <w:p w14:paraId="1BD9A343" w14:textId="77777777" w:rsidR="00471D53" w:rsidRDefault="004F686E" w:rsidP="00471D53">
                    <w:pPr>
                      <w:rPr>
                        <w:szCs w:val="21"/>
                      </w:rPr>
                    </w:pPr>
                    <w:r>
                      <w:t>北京中都汇宇焊接科技有限公司</w:t>
                    </w:r>
                  </w:p>
                </w:tc>
                <w:tc>
                  <w:tcPr>
                    <w:tcW w:w="1562" w:type="pct"/>
                    <w:shd w:val="clear" w:color="auto" w:fill="auto"/>
                  </w:tcPr>
                  <w:p w14:paraId="0759144A" w14:textId="77777777" w:rsidR="00471D53" w:rsidRDefault="004F686E" w:rsidP="00471D53">
                    <w:pPr>
                      <w:jc w:val="right"/>
                      <w:rPr>
                        <w:szCs w:val="21"/>
                      </w:rPr>
                    </w:pPr>
                    <w:r>
                      <w:t>2,184,089.73</w:t>
                    </w:r>
                  </w:p>
                </w:tc>
                <w:tc>
                  <w:tcPr>
                    <w:tcW w:w="1624" w:type="pct"/>
                    <w:shd w:val="clear" w:color="auto" w:fill="auto"/>
                  </w:tcPr>
                  <w:p w14:paraId="7F6C1147" w14:textId="77777777" w:rsidR="00471D53" w:rsidRDefault="004F686E" w:rsidP="00471D53">
                    <w:pPr>
                      <w:rPr>
                        <w:szCs w:val="21"/>
                      </w:rPr>
                    </w:pPr>
                    <w:r>
                      <w:t>尚未结算</w:t>
                    </w:r>
                  </w:p>
                </w:tc>
              </w:tr>
            </w:sdtContent>
          </w:sdt>
          <w:sdt>
            <w:sdtPr>
              <w:rPr>
                <w:szCs w:val="21"/>
              </w:rPr>
              <w:alias w:val="重要的账龄超过1年的应付账款明细"/>
              <w:tag w:val="_GBC_3c24b8450a0a47bd8859f88e883aa952"/>
              <w:id w:val="56594790"/>
            </w:sdtPr>
            <w:sdtEndPr/>
            <w:sdtContent>
              <w:tr w:rsidR="00471D53" w14:paraId="51F2816E" w14:textId="77777777" w:rsidTr="00471D53">
                <w:tc>
                  <w:tcPr>
                    <w:tcW w:w="1814" w:type="pct"/>
                    <w:tcBorders>
                      <w:bottom w:val="single" w:sz="4" w:space="0" w:color="auto"/>
                    </w:tcBorders>
                    <w:shd w:val="clear" w:color="auto" w:fill="auto"/>
                  </w:tcPr>
                  <w:p w14:paraId="2B9D2509" w14:textId="77777777" w:rsidR="00471D53" w:rsidRDefault="004F686E" w:rsidP="00471D53">
                    <w:pPr>
                      <w:rPr>
                        <w:szCs w:val="21"/>
                      </w:rPr>
                    </w:pPr>
                    <w:r>
                      <w:t>北京凯天诚信科技有限公司</w:t>
                    </w:r>
                  </w:p>
                </w:tc>
                <w:tc>
                  <w:tcPr>
                    <w:tcW w:w="1562" w:type="pct"/>
                    <w:shd w:val="clear" w:color="auto" w:fill="auto"/>
                  </w:tcPr>
                  <w:p w14:paraId="46A29B7E" w14:textId="77777777" w:rsidR="00471D53" w:rsidRDefault="004F686E" w:rsidP="00471D53">
                    <w:pPr>
                      <w:jc w:val="right"/>
                      <w:rPr>
                        <w:szCs w:val="21"/>
                      </w:rPr>
                    </w:pPr>
                    <w:r>
                      <w:t>2,145,345.12</w:t>
                    </w:r>
                  </w:p>
                </w:tc>
                <w:tc>
                  <w:tcPr>
                    <w:tcW w:w="1624" w:type="pct"/>
                    <w:shd w:val="clear" w:color="auto" w:fill="auto"/>
                  </w:tcPr>
                  <w:p w14:paraId="673406B7" w14:textId="77777777" w:rsidR="00471D53" w:rsidRDefault="004F686E" w:rsidP="00471D53">
                    <w:pPr>
                      <w:rPr>
                        <w:szCs w:val="21"/>
                      </w:rPr>
                    </w:pPr>
                    <w:r>
                      <w:t>尚未结算</w:t>
                    </w:r>
                  </w:p>
                </w:tc>
              </w:tr>
            </w:sdtContent>
          </w:sdt>
          <w:tr w:rsidR="00471D53" w14:paraId="72DBDDC4" w14:textId="77777777" w:rsidTr="00471D53">
            <w:sdt>
              <w:sdtPr>
                <w:tag w:val="_PLD_eca4761bb44d46c18cd4488e72a6e130"/>
                <w:id w:val="1419453504"/>
                <w:lock w:val="sdtLocked"/>
              </w:sdtPr>
              <w:sdtEndPr/>
              <w:sdtContent>
                <w:tc>
                  <w:tcPr>
                    <w:tcW w:w="1814" w:type="pct"/>
                    <w:shd w:val="clear" w:color="auto" w:fill="auto"/>
                    <w:vAlign w:val="center"/>
                  </w:tcPr>
                  <w:p w14:paraId="538A64AF" w14:textId="77777777" w:rsidR="00471D53" w:rsidRDefault="004F686E" w:rsidP="00471D53">
                    <w:pPr>
                      <w:jc w:val="center"/>
                      <w:rPr>
                        <w:szCs w:val="21"/>
                      </w:rPr>
                    </w:pPr>
                    <w:r>
                      <w:rPr>
                        <w:rFonts w:hint="eastAsia"/>
                        <w:szCs w:val="21"/>
                      </w:rPr>
                      <w:t>合计</w:t>
                    </w:r>
                  </w:p>
                </w:tc>
              </w:sdtContent>
            </w:sdt>
            <w:tc>
              <w:tcPr>
                <w:tcW w:w="1562" w:type="pct"/>
                <w:shd w:val="clear" w:color="auto" w:fill="auto"/>
              </w:tcPr>
              <w:p w14:paraId="0312C954" w14:textId="77777777" w:rsidR="00471D53" w:rsidRDefault="004F686E" w:rsidP="00471D53">
                <w:pPr>
                  <w:jc w:val="right"/>
                  <w:rPr>
                    <w:szCs w:val="21"/>
                  </w:rPr>
                </w:pPr>
                <w:r w:rsidRPr="0028474E">
                  <w:rPr>
                    <w:szCs w:val="21"/>
                  </w:rPr>
                  <w:t>82,665,892.34</w:t>
                </w:r>
              </w:p>
            </w:tc>
            <w:tc>
              <w:tcPr>
                <w:tcW w:w="1624" w:type="pct"/>
                <w:shd w:val="clear" w:color="auto" w:fill="auto"/>
              </w:tcPr>
              <w:p w14:paraId="02C24BA0" w14:textId="77777777" w:rsidR="00471D53" w:rsidRDefault="004F686E" w:rsidP="00471D53">
                <w:pPr>
                  <w:jc w:val="center"/>
                  <w:rPr>
                    <w:szCs w:val="21"/>
                  </w:rPr>
                </w:pPr>
                <w:r>
                  <w:rPr>
                    <w:rFonts w:hint="eastAsia"/>
                    <w:szCs w:val="21"/>
                  </w:rPr>
                  <w:t>/</w:t>
                </w:r>
              </w:p>
            </w:tc>
          </w:tr>
          <w:bookmarkEnd w:id="188"/>
        </w:tbl>
        <w:p w14:paraId="77D79238" w14:textId="77777777" w:rsidR="00471D53" w:rsidRDefault="00B664AF"/>
        <w:p w14:paraId="241167CE" w14:textId="77777777" w:rsidR="00471D53" w:rsidRDefault="00B664AF" w:rsidP="00471D53">
          <w:pPr>
            <w:pStyle w:val="afffff8"/>
            <w:tabs>
              <w:tab w:val="left" w:pos="588"/>
            </w:tabs>
          </w:pPr>
        </w:p>
      </w:sdtContent>
    </w:sdt>
    <w:sdt>
      <w:sdtPr>
        <w:rPr>
          <w:rFonts w:hint="eastAsia"/>
          <w:b/>
          <w:bCs/>
        </w:rPr>
        <w:alias w:val="模块:应付账款的其他说明"/>
        <w:tag w:val="_GBC_aecd44efc3ea456b9149dd662d0a5085"/>
        <w:id w:val="-445394153"/>
        <w:lock w:val="sdtLocked"/>
        <w:placeholder>
          <w:docPart w:val="GBC22222222222222222222222222222"/>
        </w:placeholder>
      </w:sdtPr>
      <w:sdtEndPr>
        <w:rPr>
          <w:rFonts w:cstheme="minorBidi" w:hint="default"/>
          <w:b w:val="0"/>
          <w:bCs w:val="0"/>
          <w:kern w:val="2"/>
          <w:szCs w:val="21"/>
        </w:rPr>
      </w:sdtEndPr>
      <w:sdtContent>
        <w:p w14:paraId="1BB7FBFB" w14:textId="77777777" w:rsidR="00471D53" w:rsidRDefault="004F686E">
          <w:pPr>
            <w:rPr>
              <w:szCs w:val="21"/>
            </w:rPr>
          </w:pPr>
          <w:r>
            <w:rPr>
              <w:rFonts w:hint="eastAsia"/>
            </w:rPr>
            <w:t>其他</w:t>
          </w:r>
          <w:r>
            <w:rPr>
              <w:rFonts w:hint="eastAsia"/>
              <w:szCs w:val="21"/>
            </w:rPr>
            <w:t>说明：</w:t>
          </w:r>
        </w:p>
        <w:sdt>
          <w:sdtPr>
            <w:rPr>
              <w:szCs w:val="21"/>
            </w:rPr>
            <w:alias w:val="是否适用：应付账款的其他说明[双击切换]"/>
            <w:tag w:val="_GBC_9a797e83ea1747e9aca4221e6cdfe89f"/>
            <w:id w:val="-870686155"/>
            <w:lock w:val="sdtLocked"/>
            <w:placeholder>
              <w:docPart w:val="GBC22222222222222222222222222222"/>
            </w:placeholder>
          </w:sdtPr>
          <w:sdtEndPr/>
          <w:sdtContent>
            <w:p w14:paraId="7C4A7C0F" w14:textId="77777777" w:rsidR="00471D53" w:rsidRDefault="004F686E" w:rsidP="00471D5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14:paraId="455E556F"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lastRenderedPageBreak/>
        <w:t>预收款项</w:t>
      </w:r>
    </w:p>
    <w:sdt>
      <w:sdtPr>
        <w:rPr>
          <w:rFonts w:ascii="宋体" w:hAnsi="宋体" w:cs="宋体" w:hint="eastAsia"/>
          <w:b w:val="0"/>
          <w:bCs w:val="0"/>
          <w:kern w:val="0"/>
          <w:szCs w:val="21"/>
        </w:rPr>
        <w:alias w:val="模块:预收账款情况"/>
        <w:tag w:val="_GBC_d7dac18f0444439d83469555857c3195"/>
        <w:id w:val="1027453286"/>
        <w:lock w:val="sdtLocked"/>
        <w:placeholder>
          <w:docPart w:val="GBC22222222222222222222222222222"/>
        </w:placeholder>
      </w:sdtPr>
      <w:sdtEndPr>
        <w:rPr>
          <w:rFonts w:hint="default"/>
          <w:szCs w:val="24"/>
        </w:rPr>
      </w:sdtEndPr>
      <w:sdtContent>
        <w:p w14:paraId="4F0056F2" w14:textId="77777777" w:rsidR="00471D53" w:rsidRDefault="004F686E" w:rsidP="004F686E">
          <w:pPr>
            <w:pStyle w:val="afffff8"/>
            <w:numPr>
              <w:ilvl w:val="0"/>
              <w:numId w:val="79"/>
            </w:numPr>
            <w:rPr>
              <w:rFonts w:ascii="宋体" w:hAnsi="宋体"/>
              <w:szCs w:val="21"/>
            </w:rPr>
          </w:pPr>
          <w:r>
            <w:rPr>
              <w:rFonts w:ascii="宋体" w:hAnsi="宋体" w:hint="eastAsia"/>
              <w:szCs w:val="21"/>
            </w:rPr>
            <w:t>预收账款项列示</w:t>
          </w:r>
        </w:p>
        <w:sdt>
          <w:sdtPr>
            <w:alias w:val="是否适用：预收账款项列示[双击切换]"/>
            <w:tag w:val="_GBC_cf9ab7f5f12c4f788a9bbb6e3ef9c9de"/>
            <w:id w:val="-2086752257"/>
            <w:lock w:val="sdtLocked"/>
            <w:placeholder>
              <w:docPart w:val="GBC22222222222222222222222222222"/>
            </w:placeholder>
          </w:sdtPr>
          <w:sdtEndPr/>
          <w:sdtContent>
            <w:p w14:paraId="5B1450AA" w14:textId="77777777" w:rsidR="00471D53" w:rsidRDefault="004F686E" w:rsidP="00471D53">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25A5F487" w14:textId="77777777" w:rsidR="00471D53" w:rsidRDefault="00B664AF" w:rsidP="00471D53">
      <w:pPr>
        <w:tabs>
          <w:tab w:val="left" w:pos="8280"/>
          <w:tab w:val="left" w:pos="9720"/>
        </w:tabs>
        <w:ind w:rightChars="12" w:right="25"/>
        <w:rPr>
          <w:szCs w:val="21"/>
        </w:rPr>
      </w:pPr>
    </w:p>
    <w:sdt>
      <w:sdtPr>
        <w:rPr>
          <w:rFonts w:ascii="宋体" w:hAnsi="宋体" w:cstheme="minorBidi" w:hint="eastAsia"/>
          <w:b w:val="0"/>
          <w:bCs w:val="0"/>
          <w:kern w:val="0"/>
          <w:szCs w:val="21"/>
        </w:rPr>
        <w:alias w:val="模块:账龄超过1年的重要预收款项"/>
        <w:tag w:val="_GBC_59300802f7ac43e3ab1ce4a570fb0267"/>
        <w:id w:val="-138964768"/>
        <w:lock w:val="sdtLocked"/>
        <w:placeholder>
          <w:docPart w:val="GBC22222222222222222222222222222"/>
        </w:placeholder>
      </w:sdtPr>
      <w:sdtEndPr/>
      <w:sdtContent>
        <w:p w14:paraId="6AA2B73B" w14:textId="77777777" w:rsidR="00471D53" w:rsidRDefault="004F686E" w:rsidP="004F686E">
          <w:pPr>
            <w:pStyle w:val="afffff8"/>
            <w:numPr>
              <w:ilvl w:val="0"/>
              <w:numId w:val="79"/>
            </w:numPr>
            <w:rPr>
              <w:rFonts w:ascii="宋体" w:hAnsi="宋体"/>
              <w:kern w:val="0"/>
            </w:rPr>
          </w:pPr>
          <w:r>
            <w:rPr>
              <w:rFonts w:ascii="宋体" w:hAnsi="宋体" w:hint="eastAsia"/>
              <w:kern w:val="0"/>
            </w:rPr>
            <w:t>账龄超过</w:t>
          </w:r>
          <w:r>
            <w:rPr>
              <w:rFonts w:ascii="宋体" w:hAnsi="宋体"/>
              <w:kern w:val="0"/>
            </w:rPr>
            <w:t>1年的重要预收款项</w:t>
          </w:r>
        </w:p>
        <w:sdt>
          <w:sdtPr>
            <w:alias w:val="是否适用：账龄超过1年的重要预收款项[双击切换]"/>
            <w:tag w:val="_GBC_ae7ea5bab4b04b2cb170af5020f86302"/>
            <w:id w:val="146864064"/>
            <w:lock w:val="sdtLocked"/>
            <w:placeholder>
              <w:docPart w:val="GBC22222222222222222222222222222"/>
            </w:placeholder>
          </w:sdtPr>
          <w:sdtEndPr/>
          <w:sdtContent>
            <w:p w14:paraId="7F5C4A9D" w14:textId="77777777" w:rsidR="00471D53" w:rsidRDefault="004F686E" w:rsidP="00471D53">
              <w:pPr>
                <w:rPr>
                  <w:rFonts w:cstheme="minorBidi"/>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b/>
          <w:bCs/>
        </w:rPr>
        <w:alias w:val="模块:账龄超过1年的大额预收款项情况的说明"/>
        <w:tag w:val="_GBC_3b693e8055374a80821823cdad74f225"/>
        <w:id w:val="1983879665"/>
        <w:lock w:val="sdtLocked"/>
        <w:placeholder>
          <w:docPart w:val="GBC22222222222222222222222222222"/>
        </w:placeholder>
      </w:sdtPr>
      <w:sdtEndPr>
        <w:rPr>
          <w:rFonts w:cstheme="minorBidi" w:hint="default"/>
          <w:b w:val="0"/>
          <w:bCs w:val="0"/>
          <w:color w:val="000000" w:themeColor="text1"/>
          <w:kern w:val="2"/>
          <w:szCs w:val="21"/>
        </w:rPr>
      </w:sdtEndPr>
      <w:sdtContent>
        <w:p w14:paraId="60DC831E" w14:textId="77777777" w:rsidR="00471D53" w:rsidRDefault="004F686E">
          <w:r>
            <w:rPr>
              <w:rFonts w:hint="eastAsia"/>
            </w:rPr>
            <w:t>其他说明：</w:t>
          </w:r>
        </w:p>
        <w:sdt>
          <w:sdtPr>
            <w:alias w:val="是否适用：预收账款的其他说明[双击切换]"/>
            <w:tag w:val="_GBC_f473b6b28a104ffc812e6da4cf5177e5"/>
            <w:id w:val="1208837085"/>
            <w:lock w:val="sdtLocked"/>
            <w:placeholder>
              <w:docPart w:val="GBC22222222222222222222222222222"/>
            </w:placeholder>
          </w:sdtPr>
          <w:sdtEndPr/>
          <w:sdtContent>
            <w:p w14:paraId="069F1102" w14:textId="77777777" w:rsidR="00471D53" w:rsidRDefault="004F686E" w:rsidP="00471D53">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3760BD70" w14:textId="77777777" w:rsidR="00471D53" w:rsidRDefault="00B664AF">
      <w:pPr>
        <w:rPr>
          <w:szCs w:val="21"/>
        </w:rPr>
      </w:pPr>
    </w:p>
    <w:bookmarkStart w:id="189" w:name="_Hlk10535609" w:displacedByCustomXml="next"/>
    <w:sdt>
      <w:sdtPr>
        <w:rPr>
          <w:rFonts w:ascii="宋体" w:hAnsi="宋体" w:cs="宋体" w:hint="eastAsia"/>
          <w:b w:val="0"/>
          <w:bCs w:val="0"/>
          <w:kern w:val="0"/>
          <w:szCs w:val="21"/>
        </w:rPr>
        <w:alias w:val="模块:合同负债"/>
        <w:tag w:val="_SEC_c98a59ac0d184ea5b3b590c23bf7ff8d"/>
        <w:id w:val="208470130"/>
        <w:lock w:val="sdtLocked"/>
        <w:placeholder>
          <w:docPart w:val="GBC22222222222222222222222222222"/>
        </w:placeholder>
      </w:sdtPr>
      <w:sdtEndPr>
        <w:rPr>
          <w:rFonts w:hint="default"/>
        </w:rPr>
      </w:sdtEndPr>
      <w:sdtContent>
        <w:p w14:paraId="15504649"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合同负债</w:t>
          </w:r>
        </w:p>
        <w:p w14:paraId="43A514C5" w14:textId="77777777" w:rsidR="00471D53" w:rsidRDefault="004F686E" w:rsidP="004F686E">
          <w:pPr>
            <w:pStyle w:val="afffff8"/>
            <w:numPr>
              <w:ilvl w:val="0"/>
              <w:numId w:val="80"/>
            </w:numPr>
            <w:rPr>
              <w:rFonts w:ascii="宋体" w:hAnsi="宋体"/>
            </w:rPr>
          </w:pPr>
          <w:r>
            <w:rPr>
              <w:rFonts w:ascii="宋体" w:hAnsi="宋体" w:hint="eastAsia"/>
            </w:rPr>
            <w:t>合同负债情况</w:t>
          </w:r>
        </w:p>
        <w:sdt>
          <w:sdtPr>
            <w:alias w:val="是否适用：合同负债情况[双击切换]"/>
            <w:tag w:val="_GBC_2b6238a8ea00438eab947f83a5f6451d"/>
            <w:id w:val="34625921"/>
            <w:lock w:val="sdtLocked"/>
            <w:placeholder>
              <w:docPart w:val="GBC22222222222222222222222222222"/>
            </w:placeholder>
          </w:sdtPr>
          <w:sdtEndPr/>
          <w:sdtContent>
            <w:p w14:paraId="2F1A9086"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0F4B988" w14:textId="2BB647FB" w:rsidR="00471D53" w:rsidRDefault="004F686E">
          <w:pPr>
            <w:ind w:left="360"/>
            <w:jc w:val="right"/>
          </w:pPr>
          <w:r>
            <w:rPr>
              <w:rFonts w:hint="eastAsia"/>
            </w:rPr>
            <w:t>单位：</w:t>
          </w:r>
          <w:sdt>
            <w:sdtPr>
              <w:rPr>
                <w:rFonts w:hint="eastAsia"/>
              </w:rPr>
              <w:alias w:val="单位：合同负债情况"/>
              <w:tag w:val="_GBC_0024c0ddc3514b009e8166b63dc10ae9"/>
              <w:id w:val="8341730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合同负债情况"/>
              <w:tag w:val="_GBC_154d9411b9764a4f8e1412d0a22c8375"/>
              <w:id w:val="6953578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5"/>
            <w:gridCol w:w="3002"/>
            <w:gridCol w:w="2996"/>
          </w:tblGrid>
          <w:tr w:rsidR="00471D53" w14:paraId="0FE0474F" w14:textId="77777777" w:rsidTr="00471D53">
            <w:sdt>
              <w:sdtPr>
                <w:tag w:val="_PLD_c5e783ac966e416184ff57e436f98be2"/>
                <w:id w:val="-1696762874"/>
                <w:lock w:val="sdtLocked"/>
              </w:sdtPr>
              <w:sdtEndPr/>
              <w:sdtContent>
                <w:tc>
                  <w:tcPr>
                    <w:tcW w:w="1601" w:type="pct"/>
                    <w:shd w:val="clear" w:color="auto" w:fill="auto"/>
                  </w:tcPr>
                  <w:p w14:paraId="736113C6" w14:textId="77777777" w:rsidR="00471D53" w:rsidRDefault="004F686E" w:rsidP="00471D53">
                    <w:pPr>
                      <w:jc w:val="center"/>
                      <w:rPr>
                        <w:szCs w:val="21"/>
                      </w:rPr>
                    </w:pPr>
                    <w:r>
                      <w:rPr>
                        <w:rFonts w:hint="eastAsia"/>
                        <w:szCs w:val="21"/>
                      </w:rPr>
                      <w:t>项目</w:t>
                    </w:r>
                  </w:p>
                </w:tc>
              </w:sdtContent>
            </w:sdt>
            <w:sdt>
              <w:sdtPr>
                <w:tag w:val="_PLD_a4f8a9567271447e9f7bc01f59c6eed6"/>
                <w:id w:val="1834873948"/>
                <w:lock w:val="sdtLocked"/>
              </w:sdtPr>
              <w:sdtEndPr/>
              <w:sdtContent>
                <w:tc>
                  <w:tcPr>
                    <w:tcW w:w="1701" w:type="pct"/>
                    <w:shd w:val="clear" w:color="auto" w:fill="auto"/>
                    <w:vAlign w:val="center"/>
                  </w:tcPr>
                  <w:p w14:paraId="42795D3F" w14:textId="77777777" w:rsidR="00471D53" w:rsidRDefault="004F686E" w:rsidP="00471D53">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b8f751ec83834a96b0e87c862d2ae80b"/>
                <w:id w:val="-677584629"/>
                <w:lock w:val="sdtLocked"/>
              </w:sdtPr>
              <w:sdtEndPr/>
              <w:sdtContent>
                <w:tc>
                  <w:tcPr>
                    <w:tcW w:w="1698" w:type="pct"/>
                    <w:shd w:val="clear" w:color="auto" w:fill="auto"/>
                    <w:vAlign w:val="center"/>
                  </w:tcPr>
                  <w:p w14:paraId="59A16B06" w14:textId="77777777" w:rsidR="00471D53" w:rsidRDefault="004F686E" w:rsidP="00471D53">
                    <w:pPr>
                      <w:autoSpaceDE w:val="0"/>
                      <w:autoSpaceDN w:val="0"/>
                      <w:adjustRightInd w:val="0"/>
                      <w:snapToGrid w:val="0"/>
                      <w:spacing w:line="240" w:lineRule="atLeast"/>
                      <w:jc w:val="center"/>
                      <w:rPr>
                        <w:szCs w:val="21"/>
                      </w:rPr>
                    </w:pPr>
                    <w:r>
                      <w:rPr>
                        <w:rFonts w:hint="eastAsia"/>
                        <w:szCs w:val="21"/>
                      </w:rPr>
                      <w:t>期初余额</w:t>
                    </w:r>
                  </w:p>
                </w:tc>
              </w:sdtContent>
            </w:sdt>
          </w:tr>
          <w:sdt>
            <w:sdtPr>
              <w:rPr>
                <w:color w:val="000000"/>
                <w:szCs w:val="21"/>
              </w:rPr>
              <w:alias w:val="合同负债明细"/>
              <w:tag w:val="_TUP_d1c7a7f050fb40619e0f52b844ab99a2"/>
              <w:id w:val="-807852230"/>
            </w:sdtPr>
            <w:sdtEndPr/>
            <w:sdtContent>
              <w:tr w:rsidR="00471D53" w14:paraId="5202B872" w14:textId="77777777" w:rsidTr="00471D53">
                <w:tc>
                  <w:tcPr>
                    <w:tcW w:w="1601" w:type="pct"/>
                    <w:shd w:val="clear" w:color="auto" w:fill="auto"/>
                  </w:tcPr>
                  <w:p w14:paraId="2A1C5F24" w14:textId="77777777" w:rsidR="00471D53" w:rsidRDefault="004F686E" w:rsidP="00471D53">
                    <w:pPr>
                      <w:rPr>
                        <w:szCs w:val="21"/>
                      </w:rPr>
                    </w:pPr>
                    <w:r>
                      <w:t>预收货款</w:t>
                    </w:r>
                  </w:p>
                </w:tc>
                <w:tc>
                  <w:tcPr>
                    <w:tcW w:w="1701" w:type="pct"/>
                    <w:shd w:val="clear" w:color="auto" w:fill="auto"/>
                  </w:tcPr>
                  <w:p w14:paraId="1D7ABFD2" w14:textId="77777777" w:rsidR="00471D53" w:rsidRDefault="004F686E" w:rsidP="00471D53">
                    <w:pPr>
                      <w:jc w:val="right"/>
                      <w:rPr>
                        <w:szCs w:val="21"/>
                      </w:rPr>
                    </w:pPr>
                    <w:r>
                      <w:t>85,965,855.60</w:t>
                    </w:r>
                  </w:p>
                </w:tc>
                <w:tc>
                  <w:tcPr>
                    <w:tcW w:w="1698" w:type="pct"/>
                    <w:shd w:val="clear" w:color="auto" w:fill="auto"/>
                  </w:tcPr>
                  <w:p w14:paraId="091DA9AB" w14:textId="77777777" w:rsidR="00471D53" w:rsidRDefault="004F686E" w:rsidP="00471D53">
                    <w:pPr>
                      <w:jc w:val="right"/>
                      <w:rPr>
                        <w:szCs w:val="21"/>
                      </w:rPr>
                    </w:pPr>
                    <w:r>
                      <w:t>60,853,270.89</w:t>
                    </w:r>
                  </w:p>
                </w:tc>
              </w:tr>
            </w:sdtContent>
          </w:sdt>
          <w:tr w:rsidR="00471D53" w14:paraId="50F9290D" w14:textId="77777777" w:rsidTr="00471D53">
            <w:sdt>
              <w:sdtPr>
                <w:tag w:val="_PLD_749720f346f74db784b99fec9408ed39"/>
                <w:id w:val="1011651096"/>
                <w:lock w:val="sdtLocked"/>
              </w:sdtPr>
              <w:sdtEndPr/>
              <w:sdtContent>
                <w:tc>
                  <w:tcPr>
                    <w:tcW w:w="1601" w:type="pct"/>
                    <w:shd w:val="clear" w:color="auto" w:fill="auto"/>
                  </w:tcPr>
                  <w:p w14:paraId="5BF4BE2E" w14:textId="77777777" w:rsidR="00471D53" w:rsidRDefault="004F686E" w:rsidP="00471D53">
                    <w:pPr>
                      <w:jc w:val="center"/>
                      <w:rPr>
                        <w:color w:val="000000"/>
                        <w:szCs w:val="21"/>
                      </w:rPr>
                    </w:pPr>
                    <w:r>
                      <w:rPr>
                        <w:rFonts w:hint="eastAsia"/>
                        <w:color w:val="000000"/>
                        <w:szCs w:val="21"/>
                      </w:rPr>
                      <w:t>合计</w:t>
                    </w:r>
                  </w:p>
                </w:tc>
              </w:sdtContent>
            </w:sdt>
            <w:tc>
              <w:tcPr>
                <w:tcW w:w="1701" w:type="pct"/>
                <w:shd w:val="clear" w:color="auto" w:fill="auto"/>
              </w:tcPr>
              <w:p w14:paraId="4166DEE1" w14:textId="77777777" w:rsidR="00471D53" w:rsidRDefault="004F686E" w:rsidP="00471D53">
                <w:pPr>
                  <w:jc w:val="right"/>
                  <w:rPr>
                    <w:szCs w:val="21"/>
                  </w:rPr>
                </w:pPr>
                <w:r>
                  <w:t>85,965,855.60</w:t>
                </w:r>
              </w:p>
            </w:tc>
            <w:tc>
              <w:tcPr>
                <w:tcW w:w="1698" w:type="pct"/>
                <w:shd w:val="clear" w:color="auto" w:fill="auto"/>
              </w:tcPr>
              <w:p w14:paraId="22812F1D" w14:textId="77777777" w:rsidR="00471D53" w:rsidRDefault="004F686E" w:rsidP="00471D53">
                <w:pPr>
                  <w:jc w:val="right"/>
                  <w:rPr>
                    <w:szCs w:val="21"/>
                  </w:rPr>
                </w:pPr>
                <w:r>
                  <w:t>60,853,270.89</w:t>
                </w:r>
              </w:p>
            </w:tc>
          </w:tr>
        </w:tbl>
        <w:p w14:paraId="01A8B670" w14:textId="77777777" w:rsidR="00471D53" w:rsidRDefault="00B664AF"/>
        <w:p w14:paraId="406B8A94" w14:textId="77777777" w:rsidR="00471D53" w:rsidRDefault="00B664AF">
          <w:pPr>
            <w:rPr>
              <w:szCs w:val="21"/>
            </w:rPr>
          </w:pPr>
        </w:p>
      </w:sdtContent>
    </w:sdt>
    <w:bookmarkEnd w:id="189" w:displacedByCustomXml="prev"/>
    <w:bookmarkStart w:id="190" w:name="_Hlk10535674" w:displacedByCustomXml="next"/>
    <w:sdt>
      <w:sdtPr>
        <w:rPr>
          <w:rFonts w:ascii="宋体" w:hAnsi="宋体" w:cs="宋体" w:hint="eastAsia"/>
          <w:b w:val="0"/>
          <w:bCs w:val="0"/>
          <w:kern w:val="0"/>
          <w:szCs w:val="21"/>
        </w:rPr>
        <w:alias w:val="模块:报告期内账面价值发生重大变动的金额和原因"/>
        <w:tag w:val="_SEC_c824c488dbc74824b379bb9187c7bdf0"/>
        <w:id w:val="-1212188243"/>
        <w:lock w:val="sdtLocked"/>
        <w:placeholder>
          <w:docPart w:val="GBC22222222222222222222222222222"/>
        </w:placeholder>
      </w:sdtPr>
      <w:sdtEndPr>
        <w:rPr>
          <w:rFonts w:ascii="Cambria" w:hAnsi="Cambria" w:cs="Times New Roman" w:hint="default"/>
          <w:b/>
          <w:bCs/>
          <w:kern w:val="2"/>
        </w:rPr>
      </w:sdtEndPr>
      <w:sdtContent>
        <w:p w14:paraId="050CB09D" w14:textId="77777777" w:rsidR="00471D53" w:rsidRDefault="004F686E" w:rsidP="004F686E">
          <w:pPr>
            <w:pStyle w:val="afffff8"/>
            <w:numPr>
              <w:ilvl w:val="0"/>
              <w:numId w:val="80"/>
            </w:numPr>
            <w:rPr>
              <w:rFonts w:ascii="宋体" w:hAnsi="宋体"/>
              <w:szCs w:val="21"/>
            </w:rPr>
          </w:pPr>
          <w:r>
            <w:rPr>
              <w:rFonts w:ascii="宋体" w:hAnsi="宋体" w:hint="eastAsia"/>
              <w:szCs w:val="21"/>
            </w:rPr>
            <w:t>报告期内账面价值发生重大变动的金额和原因</w:t>
          </w:r>
        </w:p>
        <w:sdt>
          <w:sdtPr>
            <w:rPr>
              <w:szCs w:val="21"/>
            </w:rPr>
            <w:alias w:val="是否适用：合同负债账面价值发生重大变动[双击切换]"/>
            <w:tag w:val="_GBC_18d9cdd7095d4bda8f22860c58746248"/>
            <w:id w:val="1742055953"/>
            <w:lock w:val="sdtLocked"/>
          </w:sdtPr>
          <w:sdtEndPr/>
          <w:sdtContent>
            <w:p w14:paraId="52E01D3F" w14:textId="77777777" w:rsidR="00471D53" w:rsidRDefault="004F686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MACROBUTTON  SnrToggleCheckbox □不适用 </w:instrText>
              </w:r>
              <w:r>
                <w:rPr>
                  <w:szCs w:val="21"/>
                </w:rPr>
                <w:fldChar w:fldCharType="end"/>
              </w:r>
            </w:p>
          </w:sdtContent>
        </w:sdt>
        <w:p w14:paraId="7BF9F444" w14:textId="11AF8483" w:rsidR="00471D53" w:rsidRDefault="004F686E">
          <w:pPr>
            <w:ind w:left="360"/>
            <w:jc w:val="right"/>
          </w:pPr>
          <w:r>
            <w:rPr>
              <w:rFonts w:hint="eastAsia"/>
            </w:rPr>
            <w:t>单位：</w:t>
          </w:r>
          <w:sdt>
            <w:sdtPr>
              <w:rPr>
                <w:rFonts w:hint="eastAsia"/>
              </w:rPr>
              <w:alias w:val="单位：合同负债账面价值发生重大变动"/>
              <w:tag w:val="_GBC_f8571349a979427e95720ea6d80148be"/>
              <w:id w:val="-1171866597"/>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合同负债账面价值发生重大变动"/>
              <w:tag w:val="_GBC_506b60e6017d42d6bd62e2eb32d9ff24"/>
              <w:id w:val="-1401900837"/>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8"/>
            <w:gridCol w:w="2487"/>
            <w:gridCol w:w="2487"/>
          </w:tblGrid>
          <w:tr w:rsidR="00471D53" w14:paraId="5459BF16" w14:textId="77777777" w:rsidTr="00471D53">
            <w:trPr>
              <w:trHeight w:val="285"/>
            </w:trPr>
            <w:sdt>
              <w:sdtPr>
                <w:tag w:val="_PLD_124e76fbb225426299e248c8b16f2c45"/>
                <w:id w:val="754482146"/>
                <w:lock w:val="sdtLocked"/>
              </w:sdtPr>
              <w:sdtEndPr/>
              <w:sdtContent>
                <w:tc>
                  <w:tcPr>
                    <w:tcW w:w="2177" w:type="pct"/>
                    <w:tcBorders>
                      <w:top w:val="single" w:sz="4" w:space="0" w:color="auto"/>
                      <w:left w:val="single" w:sz="4" w:space="0" w:color="auto"/>
                      <w:bottom w:val="single" w:sz="4" w:space="0" w:color="auto"/>
                      <w:right w:val="single" w:sz="4" w:space="0" w:color="auto"/>
                    </w:tcBorders>
                    <w:vAlign w:val="center"/>
                  </w:tcPr>
                  <w:p w14:paraId="07214E2C" w14:textId="77777777" w:rsidR="00471D53" w:rsidRDefault="004F686E" w:rsidP="00471D53">
                    <w:pPr>
                      <w:jc w:val="center"/>
                      <w:rPr>
                        <w:szCs w:val="21"/>
                      </w:rPr>
                    </w:pPr>
                    <w:r>
                      <w:rPr>
                        <w:rFonts w:hint="eastAsia"/>
                        <w:szCs w:val="21"/>
                      </w:rPr>
                      <w:t>项目</w:t>
                    </w:r>
                  </w:p>
                </w:tc>
              </w:sdtContent>
            </w:sdt>
            <w:sdt>
              <w:sdtPr>
                <w:tag w:val="_PLD_98f88acd254544aaa8399ec779146141"/>
                <w:id w:val="-446005302"/>
                <w:lock w:val="sdtLocked"/>
              </w:sdtPr>
              <w:sdtEndPr/>
              <w:sdtContent>
                <w:tc>
                  <w:tcPr>
                    <w:tcW w:w="1411" w:type="pct"/>
                    <w:tcBorders>
                      <w:top w:val="single" w:sz="4" w:space="0" w:color="auto"/>
                      <w:left w:val="single" w:sz="4" w:space="0" w:color="auto"/>
                      <w:bottom w:val="single" w:sz="4" w:space="0" w:color="auto"/>
                      <w:right w:val="single" w:sz="4" w:space="0" w:color="auto"/>
                    </w:tcBorders>
                    <w:vAlign w:val="center"/>
                  </w:tcPr>
                  <w:p w14:paraId="6C697534" w14:textId="77777777" w:rsidR="00471D53" w:rsidRDefault="004F686E" w:rsidP="00471D53">
                    <w:pPr>
                      <w:jc w:val="center"/>
                      <w:rPr>
                        <w:szCs w:val="21"/>
                      </w:rPr>
                    </w:pPr>
                    <w:r>
                      <w:rPr>
                        <w:rFonts w:hint="eastAsia"/>
                        <w:szCs w:val="21"/>
                      </w:rPr>
                      <w:t>变动金额</w:t>
                    </w:r>
                  </w:p>
                </w:tc>
              </w:sdtContent>
            </w:sdt>
            <w:sdt>
              <w:sdtPr>
                <w:tag w:val="_PLD_5b2ed7fb74544813a6c606e9bbabc854"/>
                <w:id w:val="-1139800024"/>
                <w:lock w:val="sdtLocked"/>
              </w:sdtPr>
              <w:sdtEndPr/>
              <w:sdtContent>
                <w:tc>
                  <w:tcPr>
                    <w:tcW w:w="1411" w:type="pct"/>
                    <w:tcBorders>
                      <w:top w:val="single" w:sz="4" w:space="0" w:color="auto"/>
                      <w:left w:val="single" w:sz="4" w:space="0" w:color="auto"/>
                      <w:bottom w:val="single" w:sz="4" w:space="0" w:color="auto"/>
                      <w:right w:val="single" w:sz="4" w:space="0" w:color="auto"/>
                    </w:tcBorders>
                    <w:vAlign w:val="center"/>
                  </w:tcPr>
                  <w:p w14:paraId="5321C619" w14:textId="77777777" w:rsidR="00471D53" w:rsidRDefault="004F686E" w:rsidP="00471D53">
                    <w:pPr>
                      <w:jc w:val="center"/>
                      <w:rPr>
                        <w:szCs w:val="21"/>
                      </w:rPr>
                    </w:pPr>
                    <w:r>
                      <w:rPr>
                        <w:rFonts w:hint="eastAsia"/>
                        <w:szCs w:val="21"/>
                      </w:rPr>
                      <w:t>变动原因</w:t>
                    </w:r>
                  </w:p>
                </w:tc>
              </w:sdtContent>
            </w:sdt>
          </w:tr>
          <w:sdt>
            <w:sdtPr>
              <w:rPr>
                <w:szCs w:val="21"/>
              </w:rPr>
              <w:alias w:val="合同负债账面价值发生重大变动明细"/>
              <w:tag w:val="_TUP_b9206c314c0944be893fc867e651a8bc"/>
              <w:id w:val="505252222"/>
              <w:lock w:val="sdtLocked"/>
            </w:sdtPr>
            <w:sdtEndPr/>
            <w:sdtContent>
              <w:tr w:rsidR="00471D53" w14:paraId="70BC9E60" w14:textId="77777777" w:rsidTr="00471D53">
                <w:trPr>
                  <w:trHeight w:val="80"/>
                </w:trPr>
                <w:tc>
                  <w:tcPr>
                    <w:tcW w:w="2177" w:type="pct"/>
                    <w:tcBorders>
                      <w:top w:val="single" w:sz="4" w:space="0" w:color="auto"/>
                      <w:left w:val="single" w:sz="4" w:space="0" w:color="auto"/>
                      <w:bottom w:val="single" w:sz="4" w:space="0" w:color="auto"/>
                      <w:right w:val="single" w:sz="4" w:space="0" w:color="auto"/>
                    </w:tcBorders>
                  </w:tcPr>
                  <w:p w14:paraId="12049426" w14:textId="05997EC8" w:rsidR="00471D53" w:rsidRDefault="004F686E" w:rsidP="00471D53">
                    <w:pPr>
                      <w:rPr>
                        <w:szCs w:val="21"/>
                      </w:rPr>
                    </w:pPr>
                    <w:r>
                      <w:t>WestportFuelSystemsCanadaInc-IT.</w:t>
                    </w:r>
                  </w:p>
                </w:tc>
                <w:tc>
                  <w:tcPr>
                    <w:tcW w:w="1411" w:type="pct"/>
                    <w:tcBorders>
                      <w:top w:val="single" w:sz="4" w:space="0" w:color="auto"/>
                      <w:left w:val="single" w:sz="4" w:space="0" w:color="auto"/>
                      <w:bottom w:val="single" w:sz="4" w:space="0" w:color="auto"/>
                      <w:right w:val="single" w:sz="4" w:space="0" w:color="auto"/>
                    </w:tcBorders>
                  </w:tcPr>
                  <w:p w14:paraId="54B43186" w14:textId="77777777" w:rsidR="00471D53" w:rsidRDefault="004F686E" w:rsidP="00471D53">
                    <w:pPr>
                      <w:jc w:val="right"/>
                      <w:rPr>
                        <w:szCs w:val="21"/>
                      </w:rPr>
                    </w:pPr>
                    <w:r>
                      <w:t>12,740,014.85</w:t>
                    </w:r>
                  </w:p>
                </w:tc>
                <w:tc>
                  <w:tcPr>
                    <w:tcW w:w="1411" w:type="pct"/>
                    <w:tcBorders>
                      <w:top w:val="single" w:sz="4" w:space="0" w:color="auto"/>
                      <w:left w:val="single" w:sz="4" w:space="0" w:color="auto"/>
                      <w:bottom w:val="single" w:sz="4" w:space="0" w:color="auto"/>
                      <w:right w:val="single" w:sz="4" w:space="0" w:color="auto"/>
                    </w:tcBorders>
                  </w:tcPr>
                  <w:p w14:paraId="1FDCB29B" w14:textId="77777777" w:rsidR="00471D53" w:rsidRDefault="004F686E" w:rsidP="00471D53">
                    <w:pPr>
                      <w:rPr>
                        <w:szCs w:val="21"/>
                      </w:rPr>
                    </w:pPr>
                    <w:r>
                      <w:t>新增合同未履行</w:t>
                    </w:r>
                  </w:p>
                </w:tc>
              </w:tr>
            </w:sdtContent>
          </w:sdt>
          <w:sdt>
            <w:sdtPr>
              <w:rPr>
                <w:szCs w:val="21"/>
              </w:rPr>
              <w:alias w:val="合同负债账面价值发生重大变动明细"/>
              <w:tag w:val="_TUP_b9206c314c0944be893fc867e651a8bc"/>
              <w:id w:val="141244257"/>
              <w:lock w:val="sdtLocked"/>
            </w:sdtPr>
            <w:sdtEndPr/>
            <w:sdtContent>
              <w:tr w:rsidR="00471D53" w14:paraId="4D61E734" w14:textId="77777777" w:rsidTr="00471D53">
                <w:trPr>
                  <w:trHeight w:val="80"/>
                </w:trPr>
                <w:tc>
                  <w:tcPr>
                    <w:tcW w:w="2177" w:type="pct"/>
                    <w:tcBorders>
                      <w:top w:val="single" w:sz="4" w:space="0" w:color="auto"/>
                      <w:left w:val="single" w:sz="4" w:space="0" w:color="auto"/>
                      <w:bottom w:val="single" w:sz="4" w:space="0" w:color="auto"/>
                      <w:right w:val="single" w:sz="4" w:space="0" w:color="auto"/>
                    </w:tcBorders>
                  </w:tcPr>
                  <w:p w14:paraId="095D8C1D" w14:textId="040F53E9" w:rsidR="00471D53" w:rsidRDefault="004F686E" w:rsidP="00471D53">
                    <w:pPr>
                      <w:rPr>
                        <w:szCs w:val="21"/>
                      </w:rPr>
                    </w:pPr>
                    <w:r>
                      <w:t>ADMGASTECHSOLUTIONSLLP</w:t>
                    </w:r>
                  </w:p>
                </w:tc>
                <w:tc>
                  <w:tcPr>
                    <w:tcW w:w="1411" w:type="pct"/>
                    <w:tcBorders>
                      <w:top w:val="single" w:sz="4" w:space="0" w:color="auto"/>
                      <w:left w:val="single" w:sz="4" w:space="0" w:color="auto"/>
                      <w:bottom w:val="single" w:sz="4" w:space="0" w:color="auto"/>
                      <w:right w:val="single" w:sz="4" w:space="0" w:color="auto"/>
                    </w:tcBorders>
                  </w:tcPr>
                  <w:p w14:paraId="64D4F50C" w14:textId="77777777" w:rsidR="00471D53" w:rsidRDefault="004F686E" w:rsidP="00471D53">
                    <w:pPr>
                      <w:jc w:val="right"/>
                      <w:rPr>
                        <w:szCs w:val="21"/>
                      </w:rPr>
                    </w:pPr>
                    <w:r>
                      <w:t>4,418,750.13</w:t>
                    </w:r>
                  </w:p>
                </w:tc>
                <w:tc>
                  <w:tcPr>
                    <w:tcW w:w="1411" w:type="pct"/>
                    <w:tcBorders>
                      <w:top w:val="single" w:sz="4" w:space="0" w:color="auto"/>
                      <w:left w:val="single" w:sz="4" w:space="0" w:color="auto"/>
                      <w:bottom w:val="single" w:sz="4" w:space="0" w:color="auto"/>
                      <w:right w:val="single" w:sz="4" w:space="0" w:color="auto"/>
                    </w:tcBorders>
                  </w:tcPr>
                  <w:p w14:paraId="58C9B642" w14:textId="77777777" w:rsidR="00471D53" w:rsidRDefault="004F686E" w:rsidP="00471D53">
                    <w:pPr>
                      <w:rPr>
                        <w:szCs w:val="21"/>
                      </w:rPr>
                    </w:pPr>
                    <w:r>
                      <w:t>新增合同未履行</w:t>
                    </w:r>
                  </w:p>
                </w:tc>
              </w:tr>
            </w:sdtContent>
          </w:sdt>
          <w:sdt>
            <w:sdtPr>
              <w:rPr>
                <w:szCs w:val="21"/>
              </w:rPr>
              <w:alias w:val="合同负债账面价值发生重大变动明细"/>
              <w:tag w:val="_TUP_b9206c314c0944be893fc867e651a8bc"/>
              <w:id w:val="-964194566"/>
              <w:lock w:val="sdtLocked"/>
            </w:sdtPr>
            <w:sdtEndPr/>
            <w:sdtContent>
              <w:tr w:rsidR="00471D53" w14:paraId="10E26723" w14:textId="77777777" w:rsidTr="00471D53">
                <w:trPr>
                  <w:trHeight w:val="80"/>
                </w:trPr>
                <w:tc>
                  <w:tcPr>
                    <w:tcW w:w="2177" w:type="pct"/>
                    <w:tcBorders>
                      <w:top w:val="single" w:sz="4" w:space="0" w:color="auto"/>
                      <w:left w:val="single" w:sz="4" w:space="0" w:color="auto"/>
                      <w:bottom w:val="single" w:sz="4" w:space="0" w:color="auto"/>
                      <w:right w:val="single" w:sz="4" w:space="0" w:color="auto"/>
                    </w:tcBorders>
                  </w:tcPr>
                  <w:p w14:paraId="3B646D81" w14:textId="7971AFD2" w:rsidR="00471D53" w:rsidRDefault="004F686E" w:rsidP="00471D53">
                    <w:pPr>
                      <w:rPr>
                        <w:szCs w:val="21"/>
                      </w:rPr>
                    </w:pPr>
                    <w:r>
                      <w:t>SVAIDYACO</w:t>
                    </w:r>
                  </w:p>
                </w:tc>
                <w:tc>
                  <w:tcPr>
                    <w:tcW w:w="1411" w:type="pct"/>
                    <w:tcBorders>
                      <w:top w:val="single" w:sz="4" w:space="0" w:color="auto"/>
                      <w:left w:val="single" w:sz="4" w:space="0" w:color="auto"/>
                      <w:bottom w:val="single" w:sz="4" w:space="0" w:color="auto"/>
                      <w:right w:val="single" w:sz="4" w:space="0" w:color="auto"/>
                    </w:tcBorders>
                  </w:tcPr>
                  <w:p w14:paraId="16C9BB6B" w14:textId="77777777" w:rsidR="00471D53" w:rsidRDefault="004F686E" w:rsidP="00471D53">
                    <w:pPr>
                      <w:jc w:val="right"/>
                      <w:rPr>
                        <w:szCs w:val="21"/>
                      </w:rPr>
                    </w:pPr>
                    <w:r>
                      <w:t>3,043,257.26</w:t>
                    </w:r>
                  </w:p>
                </w:tc>
                <w:tc>
                  <w:tcPr>
                    <w:tcW w:w="1411" w:type="pct"/>
                    <w:tcBorders>
                      <w:top w:val="single" w:sz="4" w:space="0" w:color="auto"/>
                      <w:left w:val="single" w:sz="4" w:space="0" w:color="auto"/>
                      <w:bottom w:val="single" w:sz="4" w:space="0" w:color="auto"/>
                      <w:right w:val="single" w:sz="4" w:space="0" w:color="auto"/>
                    </w:tcBorders>
                  </w:tcPr>
                  <w:p w14:paraId="5427AB45" w14:textId="77777777" w:rsidR="00471D53" w:rsidRDefault="004F686E" w:rsidP="00471D53">
                    <w:pPr>
                      <w:rPr>
                        <w:szCs w:val="21"/>
                      </w:rPr>
                    </w:pPr>
                    <w:r>
                      <w:t>新增合同未履行</w:t>
                    </w:r>
                  </w:p>
                </w:tc>
              </w:tr>
            </w:sdtContent>
          </w:sdt>
          <w:sdt>
            <w:sdtPr>
              <w:rPr>
                <w:szCs w:val="21"/>
              </w:rPr>
              <w:alias w:val="合同负债账面价值发生重大变动明细"/>
              <w:tag w:val="_TUP_b9206c314c0944be893fc867e651a8bc"/>
              <w:id w:val="1745914359"/>
              <w:lock w:val="sdtLocked"/>
            </w:sdtPr>
            <w:sdtEndPr/>
            <w:sdtContent>
              <w:tr w:rsidR="00471D53" w14:paraId="218205C9" w14:textId="77777777" w:rsidTr="00471D53">
                <w:trPr>
                  <w:trHeight w:val="80"/>
                </w:trPr>
                <w:tc>
                  <w:tcPr>
                    <w:tcW w:w="2177" w:type="pct"/>
                    <w:tcBorders>
                      <w:top w:val="single" w:sz="4" w:space="0" w:color="auto"/>
                      <w:left w:val="single" w:sz="4" w:space="0" w:color="auto"/>
                      <w:bottom w:val="single" w:sz="4" w:space="0" w:color="auto"/>
                      <w:right w:val="single" w:sz="4" w:space="0" w:color="auto"/>
                    </w:tcBorders>
                  </w:tcPr>
                  <w:p w14:paraId="33A729FD" w14:textId="77777777" w:rsidR="00471D53" w:rsidRDefault="004F686E" w:rsidP="00471D53">
                    <w:pPr>
                      <w:rPr>
                        <w:szCs w:val="21"/>
                      </w:rPr>
                    </w:pPr>
                    <w:r>
                      <w:t>巴克立伟（天津）液压设备有限公司</w:t>
                    </w:r>
                  </w:p>
                </w:tc>
                <w:tc>
                  <w:tcPr>
                    <w:tcW w:w="1411" w:type="pct"/>
                    <w:tcBorders>
                      <w:top w:val="single" w:sz="4" w:space="0" w:color="auto"/>
                      <w:left w:val="single" w:sz="4" w:space="0" w:color="auto"/>
                      <w:bottom w:val="single" w:sz="4" w:space="0" w:color="auto"/>
                      <w:right w:val="single" w:sz="4" w:space="0" w:color="auto"/>
                    </w:tcBorders>
                  </w:tcPr>
                  <w:p w14:paraId="2F02AF7E" w14:textId="77777777" w:rsidR="00471D53" w:rsidRDefault="004F686E" w:rsidP="00471D53">
                    <w:pPr>
                      <w:jc w:val="right"/>
                      <w:rPr>
                        <w:szCs w:val="21"/>
                      </w:rPr>
                    </w:pPr>
                    <w:r>
                      <w:t>-2,364,902.52</w:t>
                    </w:r>
                  </w:p>
                </w:tc>
                <w:tc>
                  <w:tcPr>
                    <w:tcW w:w="1411" w:type="pct"/>
                    <w:tcBorders>
                      <w:top w:val="single" w:sz="4" w:space="0" w:color="auto"/>
                      <w:left w:val="single" w:sz="4" w:space="0" w:color="auto"/>
                      <w:bottom w:val="single" w:sz="4" w:space="0" w:color="auto"/>
                      <w:right w:val="single" w:sz="4" w:space="0" w:color="auto"/>
                    </w:tcBorders>
                  </w:tcPr>
                  <w:p w14:paraId="151353C9" w14:textId="77777777" w:rsidR="00471D53" w:rsidRDefault="004F686E" w:rsidP="00471D53">
                    <w:pPr>
                      <w:rPr>
                        <w:szCs w:val="21"/>
                      </w:rPr>
                    </w:pPr>
                    <w:r>
                      <w:t>合同履行完毕</w:t>
                    </w:r>
                  </w:p>
                </w:tc>
              </w:tr>
            </w:sdtContent>
          </w:sdt>
          <w:sdt>
            <w:sdtPr>
              <w:rPr>
                <w:szCs w:val="21"/>
              </w:rPr>
              <w:alias w:val="合同负债账面价值发生重大变动明细"/>
              <w:tag w:val="_TUP_b9206c314c0944be893fc867e651a8bc"/>
              <w:id w:val="785011691"/>
              <w:lock w:val="sdtLocked"/>
            </w:sdtPr>
            <w:sdtEndPr/>
            <w:sdtContent>
              <w:tr w:rsidR="00471D53" w14:paraId="3881AEFB" w14:textId="77777777" w:rsidTr="00471D53">
                <w:trPr>
                  <w:trHeight w:val="80"/>
                </w:trPr>
                <w:tc>
                  <w:tcPr>
                    <w:tcW w:w="2177" w:type="pct"/>
                    <w:tcBorders>
                      <w:top w:val="single" w:sz="4" w:space="0" w:color="auto"/>
                      <w:left w:val="single" w:sz="4" w:space="0" w:color="auto"/>
                      <w:bottom w:val="single" w:sz="4" w:space="0" w:color="auto"/>
                      <w:right w:val="single" w:sz="4" w:space="0" w:color="auto"/>
                    </w:tcBorders>
                  </w:tcPr>
                  <w:p w14:paraId="3D32B456" w14:textId="77777777" w:rsidR="00471D53" w:rsidRDefault="004F686E" w:rsidP="00471D53">
                    <w:pPr>
                      <w:rPr>
                        <w:szCs w:val="21"/>
                      </w:rPr>
                    </w:pPr>
                    <w:r>
                      <w:t>大连船舶重工集团有限公司</w:t>
                    </w:r>
                  </w:p>
                </w:tc>
                <w:tc>
                  <w:tcPr>
                    <w:tcW w:w="1411" w:type="pct"/>
                    <w:tcBorders>
                      <w:top w:val="single" w:sz="4" w:space="0" w:color="auto"/>
                      <w:left w:val="single" w:sz="4" w:space="0" w:color="auto"/>
                      <w:bottom w:val="single" w:sz="4" w:space="0" w:color="auto"/>
                      <w:right w:val="single" w:sz="4" w:space="0" w:color="auto"/>
                    </w:tcBorders>
                  </w:tcPr>
                  <w:p w14:paraId="5D3D10E5" w14:textId="77777777" w:rsidR="00471D53" w:rsidRDefault="004F686E" w:rsidP="00471D53">
                    <w:pPr>
                      <w:jc w:val="right"/>
                      <w:rPr>
                        <w:szCs w:val="21"/>
                      </w:rPr>
                    </w:pPr>
                    <w:r>
                      <w:t>-1,831,034.34</w:t>
                    </w:r>
                  </w:p>
                </w:tc>
                <w:tc>
                  <w:tcPr>
                    <w:tcW w:w="1411" w:type="pct"/>
                    <w:tcBorders>
                      <w:top w:val="single" w:sz="4" w:space="0" w:color="auto"/>
                      <w:left w:val="single" w:sz="4" w:space="0" w:color="auto"/>
                      <w:bottom w:val="single" w:sz="4" w:space="0" w:color="auto"/>
                      <w:right w:val="single" w:sz="4" w:space="0" w:color="auto"/>
                    </w:tcBorders>
                  </w:tcPr>
                  <w:p w14:paraId="0ABE103D" w14:textId="77777777" w:rsidR="00471D53" w:rsidRDefault="004F686E" w:rsidP="00471D53">
                    <w:pPr>
                      <w:rPr>
                        <w:szCs w:val="21"/>
                      </w:rPr>
                    </w:pPr>
                    <w:r>
                      <w:t>合同履行完毕</w:t>
                    </w:r>
                  </w:p>
                </w:tc>
              </w:tr>
            </w:sdtContent>
          </w:sdt>
          <w:sdt>
            <w:sdtPr>
              <w:rPr>
                <w:szCs w:val="21"/>
              </w:rPr>
              <w:alias w:val="合同负债账面价值发生重大变动明细"/>
              <w:tag w:val="_TUP_b9206c314c0944be893fc867e651a8bc"/>
              <w:id w:val="-1397277997"/>
              <w:lock w:val="sdtLocked"/>
            </w:sdtPr>
            <w:sdtEndPr/>
            <w:sdtContent>
              <w:tr w:rsidR="00471D53" w14:paraId="2251664D" w14:textId="77777777" w:rsidTr="00471D53">
                <w:trPr>
                  <w:trHeight w:val="80"/>
                </w:trPr>
                <w:tc>
                  <w:tcPr>
                    <w:tcW w:w="2177" w:type="pct"/>
                    <w:tcBorders>
                      <w:top w:val="single" w:sz="4" w:space="0" w:color="auto"/>
                      <w:left w:val="single" w:sz="4" w:space="0" w:color="auto"/>
                      <w:bottom w:val="single" w:sz="4" w:space="0" w:color="auto"/>
                      <w:right w:val="single" w:sz="4" w:space="0" w:color="auto"/>
                    </w:tcBorders>
                  </w:tcPr>
                  <w:p w14:paraId="4E3C8DA8" w14:textId="6AE930D6" w:rsidR="00471D53" w:rsidRDefault="004F686E" w:rsidP="00471D53">
                    <w:pPr>
                      <w:rPr>
                        <w:szCs w:val="21"/>
                      </w:rPr>
                    </w:pPr>
                    <w:r>
                      <w:t>STEELINDUSTRYSAC</w:t>
                    </w:r>
                  </w:p>
                </w:tc>
                <w:tc>
                  <w:tcPr>
                    <w:tcW w:w="1411" w:type="pct"/>
                    <w:tcBorders>
                      <w:top w:val="single" w:sz="4" w:space="0" w:color="auto"/>
                      <w:left w:val="single" w:sz="4" w:space="0" w:color="auto"/>
                      <w:bottom w:val="single" w:sz="4" w:space="0" w:color="auto"/>
                      <w:right w:val="single" w:sz="4" w:space="0" w:color="auto"/>
                    </w:tcBorders>
                  </w:tcPr>
                  <w:p w14:paraId="041331F0" w14:textId="77777777" w:rsidR="00471D53" w:rsidRDefault="004F686E" w:rsidP="00471D53">
                    <w:pPr>
                      <w:jc w:val="right"/>
                      <w:rPr>
                        <w:szCs w:val="21"/>
                      </w:rPr>
                    </w:pPr>
                    <w:r>
                      <w:t>1,569,515.22</w:t>
                    </w:r>
                  </w:p>
                </w:tc>
                <w:tc>
                  <w:tcPr>
                    <w:tcW w:w="1411" w:type="pct"/>
                    <w:tcBorders>
                      <w:top w:val="single" w:sz="4" w:space="0" w:color="auto"/>
                      <w:left w:val="single" w:sz="4" w:space="0" w:color="auto"/>
                      <w:bottom w:val="single" w:sz="4" w:space="0" w:color="auto"/>
                      <w:right w:val="single" w:sz="4" w:space="0" w:color="auto"/>
                    </w:tcBorders>
                  </w:tcPr>
                  <w:p w14:paraId="6F6F77BC" w14:textId="77777777" w:rsidR="00471D53" w:rsidRDefault="004F686E" w:rsidP="00471D53">
                    <w:pPr>
                      <w:rPr>
                        <w:szCs w:val="21"/>
                      </w:rPr>
                    </w:pPr>
                    <w:r>
                      <w:t>新增合同未履行</w:t>
                    </w:r>
                  </w:p>
                </w:tc>
              </w:tr>
            </w:sdtContent>
          </w:sdt>
          <w:sdt>
            <w:sdtPr>
              <w:rPr>
                <w:szCs w:val="21"/>
              </w:rPr>
              <w:alias w:val="合同负债账面价值发生重大变动明细"/>
              <w:tag w:val="_TUP_b9206c314c0944be893fc867e651a8bc"/>
              <w:id w:val="173771666"/>
              <w:lock w:val="sdtLocked"/>
            </w:sdtPr>
            <w:sdtEndPr/>
            <w:sdtContent>
              <w:tr w:rsidR="00471D53" w14:paraId="0678642F" w14:textId="77777777" w:rsidTr="00471D53">
                <w:trPr>
                  <w:trHeight w:val="80"/>
                </w:trPr>
                <w:tc>
                  <w:tcPr>
                    <w:tcW w:w="2177" w:type="pct"/>
                    <w:tcBorders>
                      <w:top w:val="single" w:sz="4" w:space="0" w:color="auto"/>
                      <w:left w:val="single" w:sz="4" w:space="0" w:color="auto"/>
                      <w:bottom w:val="single" w:sz="4" w:space="0" w:color="auto"/>
                      <w:right w:val="single" w:sz="4" w:space="0" w:color="auto"/>
                    </w:tcBorders>
                  </w:tcPr>
                  <w:p w14:paraId="22A1A7C0" w14:textId="1A006E98" w:rsidR="00471D53" w:rsidRDefault="004F686E" w:rsidP="00471D53">
                    <w:pPr>
                      <w:rPr>
                        <w:szCs w:val="21"/>
                      </w:rPr>
                    </w:pPr>
                    <w:r>
                      <w:t>FLUORINEKOREACO.,LTD</w:t>
                    </w:r>
                  </w:p>
                </w:tc>
                <w:tc>
                  <w:tcPr>
                    <w:tcW w:w="1411" w:type="pct"/>
                    <w:tcBorders>
                      <w:top w:val="single" w:sz="4" w:space="0" w:color="auto"/>
                      <w:left w:val="single" w:sz="4" w:space="0" w:color="auto"/>
                      <w:bottom w:val="single" w:sz="4" w:space="0" w:color="auto"/>
                      <w:right w:val="single" w:sz="4" w:space="0" w:color="auto"/>
                    </w:tcBorders>
                  </w:tcPr>
                  <w:p w14:paraId="2EAD287F" w14:textId="77777777" w:rsidR="00471D53" w:rsidRDefault="004F686E" w:rsidP="00471D53">
                    <w:pPr>
                      <w:jc w:val="right"/>
                      <w:rPr>
                        <w:szCs w:val="21"/>
                      </w:rPr>
                    </w:pPr>
                    <w:r>
                      <w:t>1,299,951.86</w:t>
                    </w:r>
                  </w:p>
                </w:tc>
                <w:tc>
                  <w:tcPr>
                    <w:tcW w:w="1411" w:type="pct"/>
                    <w:tcBorders>
                      <w:top w:val="single" w:sz="4" w:space="0" w:color="auto"/>
                      <w:left w:val="single" w:sz="4" w:space="0" w:color="auto"/>
                      <w:bottom w:val="single" w:sz="4" w:space="0" w:color="auto"/>
                      <w:right w:val="single" w:sz="4" w:space="0" w:color="auto"/>
                    </w:tcBorders>
                  </w:tcPr>
                  <w:p w14:paraId="43F76F5F" w14:textId="77777777" w:rsidR="00471D53" w:rsidRDefault="004F686E" w:rsidP="00471D53">
                    <w:pPr>
                      <w:rPr>
                        <w:szCs w:val="21"/>
                      </w:rPr>
                    </w:pPr>
                    <w:r>
                      <w:t>新增合同未履行</w:t>
                    </w:r>
                  </w:p>
                </w:tc>
              </w:tr>
            </w:sdtContent>
          </w:sdt>
          <w:sdt>
            <w:sdtPr>
              <w:rPr>
                <w:szCs w:val="21"/>
              </w:rPr>
              <w:alias w:val="合同负债账面价值发生重大变动明细"/>
              <w:tag w:val="_TUP_b9206c314c0944be893fc867e651a8bc"/>
              <w:id w:val="-1283030623"/>
              <w:lock w:val="sdtLocked"/>
            </w:sdtPr>
            <w:sdtEndPr/>
            <w:sdtContent>
              <w:tr w:rsidR="00471D53" w14:paraId="589F1144" w14:textId="77777777" w:rsidTr="00471D53">
                <w:trPr>
                  <w:trHeight w:val="80"/>
                </w:trPr>
                <w:tc>
                  <w:tcPr>
                    <w:tcW w:w="2177" w:type="pct"/>
                    <w:tcBorders>
                      <w:top w:val="single" w:sz="4" w:space="0" w:color="auto"/>
                      <w:left w:val="single" w:sz="4" w:space="0" w:color="auto"/>
                      <w:bottom w:val="single" w:sz="4" w:space="0" w:color="auto"/>
                      <w:right w:val="single" w:sz="4" w:space="0" w:color="auto"/>
                    </w:tcBorders>
                  </w:tcPr>
                  <w:p w14:paraId="3271FC5E" w14:textId="77777777" w:rsidR="00471D53" w:rsidRDefault="004F686E" w:rsidP="00471D53">
                    <w:pPr>
                      <w:rPr>
                        <w:szCs w:val="21"/>
                      </w:rPr>
                    </w:pPr>
                    <w:r>
                      <w:t>天津佰焰科技股份有限公司</w:t>
                    </w:r>
                  </w:p>
                </w:tc>
                <w:tc>
                  <w:tcPr>
                    <w:tcW w:w="1411" w:type="pct"/>
                    <w:tcBorders>
                      <w:top w:val="single" w:sz="4" w:space="0" w:color="auto"/>
                      <w:left w:val="single" w:sz="4" w:space="0" w:color="auto"/>
                      <w:bottom w:val="single" w:sz="4" w:space="0" w:color="auto"/>
                      <w:right w:val="single" w:sz="4" w:space="0" w:color="auto"/>
                    </w:tcBorders>
                  </w:tcPr>
                  <w:p w14:paraId="59EB7ACA" w14:textId="77777777" w:rsidR="00471D53" w:rsidRDefault="004F686E" w:rsidP="00471D53">
                    <w:pPr>
                      <w:jc w:val="right"/>
                      <w:rPr>
                        <w:szCs w:val="21"/>
                      </w:rPr>
                    </w:pPr>
                    <w:r>
                      <w:t>1,132,061.95</w:t>
                    </w:r>
                  </w:p>
                </w:tc>
                <w:tc>
                  <w:tcPr>
                    <w:tcW w:w="1411" w:type="pct"/>
                    <w:tcBorders>
                      <w:top w:val="single" w:sz="4" w:space="0" w:color="auto"/>
                      <w:left w:val="single" w:sz="4" w:space="0" w:color="auto"/>
                      <w:bottom w:val="single" w:sz="4" w:space="0" w:color="auto"/>
                      <w:right w:val="single" w:sz="4" w:space="0" w:color="auto"/>
                    </w:tcBorders>
                  </w:tcPr>
                  <w:p w14:paraId="39D26CA7" w14:textId="77777777" w:rsidR="00471D53" w:rsidRDefault="004F686E" w:rsidP="00471D53">
                    <w:pPr>
                      <w:rPr>
                        <w:szCs w:val="21"/>
                      </w:rPr>
                    </w:pPr>
                    <w:r>
                      <w:t>新增合同未履行</w:t>
                    </w:r>
                  </w:p>
                </w:tc>
              </w:tr>
            </w:sdtContent>
          </w:sdt>
          <w:tr w:rsidR="00471D53" w14:paraId="4AECBC82" w14:textId="77777777" w:rsidTr="00471D53">
            <w:trPr>
              <w:trHeight w:val="285"/>
            </w:trPr>
            <w:sdt>
              <w:sdtPr>
                <w:tag w:val="_PLD_63b3475721444c0d9daf910fd9ff1709"/>
                <w:id w:val="1274982890"/>
                <w:lock w:val="sdtLocked"/>
              </w:sdtPr>
              <w:sdtEndPr/>
              <w:sdtContent>
                <w:tc>
                  <w:tcPr>
                    <w:tcW w:w="2177" w:type="pct"/>
                    <w:tcBorders>
                      <w:top w:val="single" w:sz="4" w:space="0" w:color="auto"/>
                      <w:left w:val="single" w:sz="4" w:space="0" w:color="auto"/>
                      <w:bottom w:val="single" w:sz="4" w:space="0" w:color="auto"/>
                      <w:right w:val="single" w:sz="4" w:space="0" w:color="auto"/>
                    </w:tcBorders>
                    <w:vAlign w:val="bottom"/>
                  </w:tcPr>
                  <w:p w14:paraId="07FD5BBA" w14:textId="77777777" w:rsidR="00471D53" w:rsidRDefault="004F686E" w:rsidP="00471D53">
                    <w:pPr>
                      <w:jc w:val="center"/>
                      <w:rPr>
                        <w:szCs w:val="21"/>
                      </w:rPr>
                    </w:pPr>
                    <w:r>
                      <w:rPr>
                        <w:rFonts w:hint="eastAsia"/>
                        <w:szCs w:val="21"/>
                      </w:rPr>
                      <w:t>合计</w:t>
                    </w:r>
                  </w:p>
                </w:tc>
              </w:sdtContent>
            </w:sdt>
            <w:tc>
              <w:tcPr>
                <w:tcW w:w="1411" w:type="pct"/>
                <w:tcBorders>
                  <w:top w:val="single" w:sz="4" w:space="0" w:color="auto"/>
                  <w:left w:val="single" w:sz="4" w:space="0" w:color="auto"/>
                  <w:bottom w:val="single" w:sz="4" w:space="0" w:color="auto"/>
                  <w:right w:val="single" w:sz="4" w:space="0" w:color="auto"/>
                </w:tcBorders>
              </w:tcPr>
              <w:p w14:paraId="63E7D9C5" w14:textId="77777777" w:rsidR="00471D53" w:rsidRPr="004F7BA1" w:rsidRDefault="004F686E" w:rsidP="00471D53">
                <w:pPr>
                  <w:jc w:val="right"/>
                  <w:rPr>
                    <w:szCs w:val="21"/>
                  </w:rPr>
                </w:pPr>
                <w:r w:rsidRPr="004F7BA1">
                  <w:rPr>
                    <w:bCs/>
                    <w:sz w:val="22"/>
                    <w:szCs w:val="22"/>
                  </w:rPr>
                  <w:t>20,007,614.41</w:t>
                </w:r>
              </w:p>
            </w:tc>
            <w:tc>
              <w:tcPr>
                <w:tcW w:w="1411" w:type="pct"/>
                <w:tcBorders>
                  <w:top w:val="single" w:sz="4" w:space="0" w:color="auto"/>
                  <w:left w:val="single" w:sz="4" w:space="0" w:color="auto"/>
                  <w:bottom w:val="single" w:sz="4" w:space="0" w:color="auto"/>
                  <w:right w:val="single" w:sz="4" w:space="0" w:color="auto"/>
                </w:tcBorders>
              </w:tcPr>
              <w:p w14:paraId="509A4F9B" w14:textId="77777777" w:rsidR="00471D53" w:rsidRDefault="004F686E" w:rsidP="00471D53">
                <w:pPr>
                  <w:jc w:val="center"/>
                  <w:rPr>
                    <w:szCs w:val="21"/>
                  </w:rPr>
                </w:pPr>
                <w:r>
                  <w:rPr>
                    <w:rFonts w:hint="eastAsia"/>
                    <w:szCs w:val="21"/>
                  </w:rPr>
                  <w:t>/</w:t>
                </w:r>
              </w:p>
            </w:tc>
          </w:tr>
        </w:tbl>
        <w:p w14:paraId="7708A0D6" w14:textId="77777777" w:rsidR="00471D53" w:rsidRDefault="00B664AF"/>
        <w:p w14:paraId="210F3B3D" w14:textId="77777777" w:rsidR="00471D53" w:rsidRDefault="00B664AF" w:rsidP="00471D53">
          <w:pPr>
            <w:pStyle w:val="afffff8"/>
            <w:rPr>
              <w:szCs w:val="21"/>
            </w:rPr>
          </w:pPr>
        </w:p>
      </w:sdtContent>
    </w:sdt>
    <w:bookmarkEnd w:id="190" w:displacedByCustomXml="prev"/>
    <w:bookmarkStart w:id="191" w:name="_Hlk10535687" w:displacedByCustomXml="next"/>
    <w:bookmarkStart w:id="192" w:name="_Hlk10535696" w:displacedByCustomXml="next"/>
    <w:sdt>
      <w:sdtPr>
        <w:rPr>
          <w:rFonts w:hint="eastAsia"/>
          <w:szCs w:val="21"/>
        </w:rPr>
        <w:alias w:val="模块:其他说明："/>
        <w:tag w:val="_SEC_1910d69cccc04d3fb0422784d0b1dd58"/>
        <w:id w:val="1492368669"/>
        <w:lock w:val="sdtLocked"/>
        <w:placeholder>
          <w:docPart w:val="GBC22222222222222222222222222222"/>
        </w:placeholder>
      </w:sdtPr>
      <w:sdtEndPr>
        <w:rPr>
          <w:rFonts w:hint="default"/>
        </w:rPr>
      </w:sdtEndPr>
      <w:sdtContent>
        <w:p w14:paraId="693FAC5E" w14:textId="77777777" w:rsidR="00471D53" w:rsidRDefault="004F686E">
          <w:pPr>
            <w:rPr>
              <w:szCs w:val="21"/>
            </w:rPr>
          </w:pPr>
          <w:r>
            <w:rPr>
              <w:rFonts w:hint="eastAsia"/>
              <w:szCs w:val="21"/>
            </w:rPr>
            <w:t>其他说明：</w:t>
          </w:r>
          <w:bookmarkEnd w:id="191"/>
        </w:p>
        <w:sdt>
          <w:sdtPr>
            <w:rPr>
              <w:szCs w:val="21"/>
            </w:rPr>
            <w:alias w:val="是否适用：合同负债其他说明[双击切换]"/>
            <w:tag w:val="_GBC_f73cf097b72042508657c656d4dc0c08"/>
            <w:id w:val="799117452"/>
            <w:lock w:val="sdtLocked"/>
            <w:placeholder>
              <w:docPart w:val="GBC22222222222222222222222222222"/>
            </w:placeholder>
          </w:sdtPr>
          <w:sdtEndPr/>
          <w:sdtContent>
            <w:p w14:paraId="4AC47102" w14:textId="77777777" w:rsidR="00471D53" w:rsidRDefault="004F686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alias w:val="合同负债其他说明"/>
            <w:tag w:val="_GBC_0797daeaea704437a372be9b93f1c1d4"/>
            <w:id w:val="-1172942922"/>
            <w:lock w:val="sdtLocked"/>
            <w:placeholder>
              <w:docPart w:val="GBC22222222222222222222222222222"/>
            </w:placeholder>
          </w:sdtPr>
          <w:sdtEndPr/>
          <w:sdtContent>
            <w:p w14:paraId="7AE0FD20" w14:textId="77777777" w:rsidR="00471D53" w:rsidRPr="00361284" w:rsidRDefault="004F686E" w:rsidP="00471D53">
              <w:pPr>
                <w:tabs>
                  <w:tab w:val="left" w:pos="720"/>
                  <w:tab w:val="left" w:pos="1000"/>
                </w:tabs>
                <w:spacing w:beforeLines="50" w:before="120" w:afterLines="50" w:after="120" w:line="360" w:lineRule="exact"/>
                <w:outlineLvl w:val="2"/>
                <w:rPr>
                  <w:rFonts w:cs="Times New Roman"/>
                  <w:sz w:val="22"/>
                  <w:szCs w:val="22"/>
                </w:rPr>
              </w:pPr>
              <w:r w:rsidRPr="00361284">
                <w:rPr>
                  <w:rFonts w:cs="Times New Roman" w:hint="eastAsia"/>
                  <w:sz w:val="22"/>
                  <w:szCs w:val="22"/>
                </w:rPr>
                <w:t>账龄超过1年的重要合同负债</w:t>
              </w:r>
            </w:p>
            <w:tbl>
              <w:tblPr>
                <w:tblStyle w:val="g4"/>
                <w:tblW w:w="5000" w:type="pct"/>
                <w:jc w:val="center"/>
                <w:tblBorders>
                  <w:top w:val="double" w:sz="4" w:space="0" w:color="auto"/>
                  <w:bottom w:val="double" w:sz="4" w:space="0" w:color="auto"/>
                  <w:insideH w:val="single" w:sz="2" w:space="0" w:color="auto"/>
                  <w:insideV w:val="single" w:sz="2" w:space="0" w:color="auto"/>
                </w:tblBorders>
                <w:tblLook w:val="0000" w:firstRow="0" w:lastRow="0" w:firstColumn="0" w:lastColumn="0" w:noHBand="0" w:noVBand="0"/>
              </w:tblPr>
              <w:tblGrid>
                <w:gridCol w:w="4063"/>
                <w:gridCol w:w="2403"/>
                <w:gridCol w:w="2367"/>
              </w:tblGrid>
              <w:tr w:rsidR="00471D53" w14:paraId="338D181A" w14:textId="77777777" w:rsidTr="00471D53">
                <w:trPr>
                  <w:trHeight w:val="340"/>
                  <w:tblHeader/>
                  <w:jc w:val="center"/>
                </w:trPr>
                <w:tc>
                  <w:tcPr>
                    <w:tcW w:w="2300" w:type="pct"/>
                    <w:vAlign w:val="center"/>
                  </w:tcPr>
                  <w:p w14:paraId="245BA10C" w14:textId="77777777" w:rsidR="00471D53" w:rsidRDefault="004F686E" w:rsidP="00471D53">
                    <w:pPr>
                      <w:rPr>
                        <w:b/>
                        <w:sz w:val="22"/>
                        <w:szCs w:val="22"/>
                      </w:rPr>
                    </w:pPr>
                    <w:r>
                      <w:rPr>
                        <w:rFonts w:hint="eastAsia"/>
                        <w:b/>
                        <w:sz w:val="22"/>
                        <w:szCs w:val="22"/>
                      </w:rPr>
                      <w:t>单位名称</w:t>
                    </w:r>
                  </w:p>
                </w:tc>
                <w:tc>
                  <w:tcPr>
                    <w:tcW w:w="1360" w:type="pct"/>
                    <w:vAlign w:val="center"/>
                  </w:tcPr>
                  <w:p w14:paraId="6A3E1CE7" w14:textId="77777777" w:rsidR="00471D53" w:rsidRDefault="004F686E" w:rsidP="00471D53">
                    <w:pPr>
                      <w:jc w:val="center"/>
                      <w:rPr>
                        <w:b/>
                        <w:sz w:val="22"/>
                        <w:szCs w:val="22"/>
                      </w:rPr>
                    </w:pPr>
                    <w:r>
                      <w:rPr>
                        <w:rFonts w:hint="eastAsia"/>
                        <w:b/>
                        <w:sz w:val="22"/>
                        <w:szCs w:val="22"/>
                      </w:rPr>
                      <w:t>期末余额</w:t>
                    </w:r>
                  </w:p>
                </w:tc>
                <w:tc>
                  <w:tcPr>
                    <w:tcW w:w="1340" w:type="pct"/>
                    <w:vAlign w:val="center"/>
                  </w:tcPr>
                  <w:p w14:paraId="6BE7B80F" w14:textId="77777777" w:rsidR="00471D53" w:rsidRDefault="004F686E" w:rsidP="00471D53">
                    <w:pPr>
                      <w:jc w:val="center"/>
                      <w:rPr>
                        <w:b/>
                        <w:sz w:val="22"/>
                        <w:szCs w:val="22"/>
                      </w:rPr>
                    </w:pPr>
                    <w:r>
                      <w:rPr>
                        <w:rFonts w:hint="eastAsia"/>
                        <w:b/>
                        <w:sz w:val="22"/>
                        <w:szCs w:val="22"/>
                      </w:rPr>
                      <w:t>未偿还或结转的原因</w:t>
                    </w:r>
                  </w:p>
                </w:tc>
              </w:tr>
              <w:tr w:rsidR="00471D53" w14:paraId="167A2B88" w14:textId="77777777" w:rsidTr="00471D53">
                <w:trPr>
                  <w:trHeight w:val="340"/>
                  <w:jc w:val="center"/>
                </w:trPr>
                <w:tc>
                  <w:tcPr>
                    <w:tcW w:w="2300" w:type="pct"/>
                    <w:vAlign w:val="center"/>
                  </w:tcPr>
                  <w:p w14:paraId="46E272A4" w14:textId="29323C79" w:rsidR="00471D53" w:rsidRDefault="004F686E" w:rsidP="00471D53">
                    <w:pPr>
                      <w:jc w:val="both"/>
                      <w:rPr>
                        <w:sz w:val="22"/>
                        <w:szCs w:val="22"/>
                        <w:lang w:bidi="ar"/>
                      </w:rPr>
                    </w:pPr>
                    <w:r w:rsidRPr="00DA7373">
                      <w:rPr>
                        <w:sz w:val="22"/>
                        <w:szCs w:val="22"/>
                        <w:lang w:bidi="ar"/>
                      </w:rPr>
                      <w:t>WESTPORTPOWERINC.</w:t>
                    </w:r>
                  </w:p>
                </w:tc>
                <w:tc>
                  <w:tcPr>
                    <w:tcW w:w="1360" w:type="pct"/>
                    <w:vAlign w:val="center"/>
                  </w:tcPr>
                  <w:p w14:paraId="7854C535" w14:textId="77777777" w:rsidR="00471D53" w:rsidRDefault="004F686E" w:rsidP="00471D53">
                    <w:pPr>
                      <w:jc w:val="right"/>
                      <w:rPr>
                        <w:rFonts w:cs="Calibri"/>
                        <w:sz w:val="22"/>
                        <w:szCs w:val="22"/>
                        <w:lang w:bidi="ar"/>
                      </w:rPr>
                    </w:pPr>
                    <w:r w:rsidRPr="00DA7373">
                      <w:rPr>
                        <w:rFonts w:cs="Calibri"/>
                        <w:sz w:val="22"/>
                        <w:szCs w:val="22"/>
                        <w:lang w:bidi="ar"/>
                      </w:rPr>
                      <w:t>5,258,807.26</w:t>
                    </w:r>
                  </w:p>
                </w:tc>
                <w:tc>
                  <w:tcPr>
                    <w:tcW w:w="1340" w:type="pct"/>
                    <w:vAlign w:val="center"/>
                  </w:tcPr>
                  <w:p w14:paraId="671E74F8" w14:textId="77777777" w:rsidR="00471D53" w:rsidRDefault="004F686E" w:rsidP="00471D53">
                    <w:pPr>
                      <w:jc w:val="center"/>
                      <w:rPr>
                        <w:rFonts w:cs="Calibri"/>
                        <w:sz w:val="22"/>
                        <w:szCs w:val="22"/>
                        <w:lang w:bidi="ar"/>
                      </w:rPr>
                    </w:pPr>
                    <w:r>
                      <w:rPr>
                        <w:rFonts w:cs="Calibri" w:hint="eastAsia"/>
                        <w:sz w:val="22"/>
                        <w:szCs w:val="22"/>
                        <w:lang w:bidi="ar"/>
                      </w:rPr>
                      <w:t>合同未履行完毕</w:t>
                    </w:r>
                  </w:p>
                </w:tc>
              </w:tr>
              <w:tr w:rsidR="00471D53" w14:paraId="3BA87388" w14:textId="77777777" w:rsidTr="00471D53">
                <w:trPr>
                  <w:trHeight w:val="340"/>
                  <w:jc w:val="center"/>
                </w:trPr>
                <w:tc>
                  <w:tcPr>
                    <w:tcW w:w="2300" w:type="pct"/>
                    <w:vAlign w:val="center"/>
                  </w:tcPr>
                  <w:p w14:paraId="67E4C749" w14:textId="77777777" w:rsidR="00471D53" w:rsidRDefault="004F686E" w:rsidP="00471D53">
                    <w:pPr>
                      <w:jc w:val="both"/>
                      <w:rPr>
                        <w:sz w:val="22"/>
                        <w:szCs w:val="22"/>
                        <w:lang w:bidi="ar"/>
                      </w:rPr>
                    </w:pPr>
                    <w:r w:rsidRPr="00DA7373">
                      <w:rPr>
                        <w:rFonts w:hint="eastAsia"/>
                        <w:sz w:val="22"/>
                        <w:szCs w:val="22"/>
                        <w:lang w:bidi="ar"/>
                      </w:rPr>
                      <w:t>上海舜华新能源系统有限公司</w:t>
                    </w:r>
                  </w:p>
                </w:tc>
                <w:tc>
                  <w:tcPr>
                    <w:tcW w:w="1360" w:type="pct"/>
                    <w:vAlign w:val="center"/>
                  </w:tcPr>
                  <w:p w14:paraId="4EBE3547" w14:textId="77777777" w:rsidR="00471D53" w:rsidRDefault="004F686E" w:rsidP="00471D53">
                    <w:pPr>
                      <w:jc w:val="right"/>
                      <w:rPr>
                        <w:rFonts w:cs="Calibri"/>
                        <w:sz w:val="22"/>
                        <w:szCs w:val="22"/>
                        <w:lang w:bidi="ar"/>
                      </w:rPr>
                    </w:pPr>
                    <w:r w:rsidRPr="00DA7373">
                      <w:rPr>
                        <w:rFonts w:cs="Calibri"/>
                        <w:sz w:val="22"/>
                        <w:szCs w:val="22"/>
                        <w:lang w:bidi="ar"/>
                      </w:rPr>
                      <w:t>1,596,371.80</w:t>
                    </w:r>
                  </w:p>
                </w:tc>
                <w:tc>
                  <w:tcPr>
                    <w:tcW w:w="1340" w:type="pct"/>
                    <w:vAlign w:val="center"/>
                  </w:tcPr>
                  <w:p w14:paraId="720EC500" w14:textId="77777777" w:rsidR="00471D53" w:rsidRDefault="004F686E" w:rsidP="00471D53">
                    <w:pPr>
                      <w:jc w:val="center"/>
                      <w:rPr>
                        <w:rFonts w:cs="Calibri"/>
                        <w:sz w:val="22"/>
                        <w:szCs w:val="22"/>
                        <w:lang w:bidi="ar"/>
                      </w:rPr>
                    </w:pPr>
                    <w:r>
                      <w:rPr>
                        <w:rFonts w:cs="Calibri" w:hint="eastAsia"/>
                        <w:sz w:val="22"/>
                        <w:szCs w:val="22"/>
                        <w:lang w:bidi="ar"/>
                      </w:rPr>
                      <w:t>合同未履行完毕</w:t>
                    </w:r>
                  </w:p>
                </w:tc>
              </w:tr>
              <w:tr w:rsidR="00471D53" w14:paraId="0A5DF03C" w14:textId="77777777" w:rsidTr="00471D53">
                <w:trPr>
                  <w:trHeight w:val="340"/>
                  <w:jc w:val="center"/>
                </w:trPr>
                <w:tc>
                  <w:tcPr>
                    <w:tcW w:w="2300" w:type="pct"/>
                    <w:vAlign w:val="center"/>
                  </w:tcPr>
                  <w:p w14:paraId="4864FCDA" w14:textId="3D555DDB" w:rsidR="00471D53" w:rsidRDefault="004F686E" w:rsidP="00471D53">
                    <w:pPr>
                      <w:jc w:val="both"/>
                      <w:rPr>
                        <w:sz w:val="22"/>
                        <w:szCs w:val="22"/>
                        <w:lang w:bidi="ar"/>
                      </w:rPr>
                    </w:pPr>
                    <w:r w:rsidRPr="00DA7373">
                      <w:rPr>
                        <w:sz w:val="22"/>
                        <w:szCs w:val="22"/>
                        <w:lang w:bidi="ar"/>
                      </w:rPr>
                      <w:t>EUROTECHCYLINDERSPVT.LTD</w:t>
                    </w:r>
                  </w:p>
                </w:tc>
                <w:tc>
                  <w:tcPr>
                    <w:tcW w:w="1360" w:type="pct"/>
                    <w:vAlign w:val="center"/>
                  </w:tcPr>
                  <w:p w14:paraId="654505DE" w14:textId="77777777" w:rsidR="00471D53" w:rsidRDefault="004F686E" w:rsidP="00471D53">
                    <w:pPr>
                      <w:jc w:val="right"/>
                      <w:rPr>
                        <w:rFonts w:cs="Calibri"/>
                        <w:sz w:val="22"/>
                        <w:szCs w:val="22"/>
                        <w:lang w:bidi="ar"/>
                      </w:rPr>
                    </w:pPr>
                    <w:r w:rsidRPr="00DA7373">
                      <w:rPr>
                        <w:rFonts w:cs="Calibri"/>
                        <w:sz w:val="22"/>
                        <w:szCs w:val="22"/>
                        <w:lang w:bidi="ar"/>
                      </w:rPr>
                      <w:t>940,902.07</w:t>
                    </w:r>
                  </w:p>
                </w:tc>
                <w:tc>
                  <w:tcPr>
                    <w:tcW w:w="1340" w:type="pct"/>
                    <w:vAlign w:val="center"/>
                  </w:tcPr>
                  <w:p w14:paraId="23FF0B37" w14:textId="77777777" w:rsidR="00471D53" w:rsidRDefault="004F686E" w:rsidP="00471D53">
                    <w:pPr>
                      <w:jc w:val="center"/>
                      <w:rPr>
                        <w:rFonts w:cs="Calibri"/>
                        <w:sz w:val="22"/>
                        <w:szCs w:val="22"/>
                        <w:lang w:bidi="ar"/>
                      </w:rPr>
                    </w:pPr>
                    <w:r>
                      <w:rPr>
                        <w:rFonts w:cs="Calibri" w:hint="eastAsia"/>
                        <w:sz w:val="22"/>
                        <w:szCs w:val="22"/>
                        <w:lang w:bidi="ar"/>
                      </w:rPr>
                      <w:t>合同未履行完毕</w:t>
                    </w:r>
                  </w:p>
                </w:tc>
              </w:tr>
              <w:tr w:rsidR="00471D53" w14:paraId="10022B1D" w14:textId="77777777" w:rsidTr="00471D53">
                <w:trPr>
                  <w:trHeight w:val="340"/>
                  <w:jc w:val="center"/>
                </w:trPr>
                <w:tc>
                  <w:tcPr>
                    <w:tcW w:w="2300" w:type="pct"/>
                    <w:vAlign w:val="center"/>
                  </w:tcPr>
                  <w:p w14:paraId="50D5EA90" w14:textId="77777777" w:rsidR="00471D53" w:rsidRDefault="004F686E" w:rsidP="00471D53">
                    <w:pPr>
                      <w:jc w:val="both"/>
                      <w:rPr>
                        <w:sz w:val="22"/>
                        <w:szCs w:val="22"/>
                        <w:lang w:bidi="ar"/>
                      </w:rPr>
                    </w:pPr>
                    <w:r w:rsidRPr="00DA7373">
                      <w:rPr>
                        <w:rFonts w:hint="eastAsia"/>
                        <w:sz w:val="22"/>
                        <w:szCs w:val="22"/>
                        <w:lang w:bidi="ar"/>
                      </w:rPr>
                      <w:t>唐山曹妃甸区华瑞燃气有限公司</w:t>
                    </w:r>
                  </w:p>
                </w:tc>
                <w:tc>
                  <w:tcPr>
                    <w:tcW w:w="1360" w:type="pct"/>
                    <w:vAlign w:val="center"/>
                  </w:tcPr>
                  <w:p w14:paraId="39947C11" w14:textId="77777777" w:rsidR="00471D53" w:rsidRDefault="004F686E" w:rsidP="00471D53">
                    <w:pPr>
                      <w:jc w:val="right"/>
                      <w:rPr>
                        <w:rFonts w:cs="Calibri"/>
                        <w:sz w:val="22"/>
                        <w:szCs w:val="22"/>
                        <w:lang w:bidi="ar"/>
                      </w:rPr>
                    </w:pPr>
                    <w:r w:rsidRPr="00DA7373">
                      <w:rPr>
                        <w:rFonts w:cs="Calibri"/>
                        <w:sz w:val="22"/>
                        <w:szCs w:val="22"/>
                        <w:lang w:bidi="ar"/>
                      </w:rPr>
                      <w:t>867,256.64</w:t>
                    </w:r>
                  </w:p>
                </w:tc>
                <w:tc>
                  <w:tcPr>
                    <w:tcW w:w="1340" w:type="pct"/>
                    <w:vAlign w:val="center"/>
                  </w:tcPr>
                  <w:p w14:paraId="10686548" w14:textId="77777777" w:rsidR="00471D53" w:rsidRDefault="004F686E" w:rsidP="00471D53">
                    <w:pPr>
                      <w:jc w:val="center"/>
                      <w:rPr>
                        <w:rFonts w:cs="Calibri"/>
                        <w:sz w:val="22"/>
                        <w:szCs w:val="22"/>
                        <w:lang w:bidi="ar"/>
                      </w:rPr>
                    </w:pPr>
                    <w:r>
                      <w:rPr>
                        <w:rFonts w:cs="Calibri" w:hint="eastAsia"/>
                        <w:sz w:val="22"/>
                        <w:szCs w:val="22"/>
                        <w:lang w:bidi="ar"/>
                      </w:rPr>
                      <w:t>合同未履行完毕</w:t>
                    </w:r>
                  </w:p>
                </w:tc>
              </w:tr>
              <w:tr w:rsidR="00471D53" w14:paraId="3098049D" w14:textId="77777777" w:rsidTr="00471D53">
                <w:trPr>
                  <w:trHeight w:val="340"/>
                  <w:jc w:val="center"/>
                </w:trPr>
                <w:tc>
                  <w:tcPr>
                    <w:tcW w:w="2300" w:type="pct"/>
                    <w:vAlign w:val="center"/>
                  </w:tcPr>
                  <w:p w14:paraId="3E3CB49A" w14:textId="1E4E45EF" w:rsidR="00471D53" w:rsidRDefault="004F686E" w:rsidP="00471D53">
                    <w:pPr>
                      <w:jc w:val="both"/>
                      <w:rPr>
                        <w:sz w:val="22"/>
                        <w:szCs w:val="22"/>
                        <w:lang w:bidi="ar"/>
                      </w:rPr>
                    </w:pPr>
                    <w:r w:rsidRPr="00DA7373">
                      <w:rPr>
                        <w:sz w:val="22"/>
                        <w:szCs w:val="22"/>
                        <w:lang w:bidi="ar"/>
                      </w:rPr>
                      <w:t>GasPantaiTimurSdn.Bhd</w:t>
                    </w:r>
                  </w:p>
                </w:tc>
                <w:tc>
                  <w:tcPr>
                    <w:tcW w:w="1360" w:type="pct"/>
                    <w:vAlign w:val="center"/>
                  </w:tcPr>
                  <w:p w14:paraId="39E95335" w14:textId="77777777" w:rsidR="00471D53" w:rsidRDefault="004F686E" w:rsidP="00471D53">
                    <w:pPr>
                      <w:jc w:val="right"/>
                      <w:rPr>
                        <w:rFonts w:cs="Calibri"/>
                        <w:sz w:val="22"/>
                        <w:szCs w:val="22"/>
                        <w:lang w:bidi="ar"/>
                      </w:rPr>
                    </w:pPr>
                    <w:r w:rsidRPr="00DA7373">
                      <w:rPr>
                        <w:rFonts w:cs="Calibri"/>
                        <w:sz w:val="22"/>
                        <w:szCs w:val="22"/>
                        <w:lang w:bidi="ar"/>
                      </w:rPr>
                      <w:t>825,239.01</w:t>
                    </w:r>
                  </w:p>
                </w:tc>
                <w:tc>
                  <w:tcPr>
                    <w:tcW w:w="1340" w:type="pct"/>
                    <w:vAlign w:val="center"/>
                  </w:tcPr>
                  <w:p w14:paraId="4729FB3C" w14:textId="77777777" w:rsidR="00471D53" w:rsidRDefault="004F686E" w:rsidP="00471D53">
                    <w:pPr>
                      <w:jc w:val="center"/>
                      <w:rPr>
                        <w:rFonts w:cs="Calibri"/>
                        <w:sz w:val="22"/>
                        <w:szCs w:val="22"/>
                        <w:lang w:bidi="ar"/>
                      </w:rPr>
                    </w:pPr>
                    <w:r>
                      <w:rPr>
                        <w:rFonts w:cs="Calibri" w:hint="eastAsia"/>
                        <w:sz w:val="22"/>
                        <w:szCs w:val="22"/>
                        <w:lang w:bidi="ar"/>
                      </w:rPr>
                      <w:t>合同未履行完毕</w:t>
                    </w:r>
                  </w:p>
                </w:tc>
              </w:tr>
              <w:tr w:rsidR="00471D53" w14:paraId="320697CF" w14:textId="77777777" w:rsidTr="00471D53">
                <w:trPr>
                  <w:trHeight w:val="340"/>
                  <w:jc w:val="center"/>
                </w:trPr>
                <w:tc>
                  <w:tcPr>
                    <w:tcW w:w="2300" w:type="pct"/>
                    <w:vAlign w:val="center"/>
                  </w:tcPr>
                  <w:p w14:paraId="52F5D061" w14:textId="77777777" w:rsidR="00471D53" w:rsidRDefault="004F686E" w:rsidP="00471D53">
                    <w:pPr>
                      <w:jc w:val="both"/>
                      <w:rPr>
                        <w:sz w:val="22"/>
                        <w:szCs w:val="22"/>
                        <w:lang w:bidi="ar"/>
                      </w:rPr>
                    </w:pPr>
                    <w:r w:rsidRPr="00DA7373">
                      <w:rPr>
                        <w:rFonts w:hint="eastAsia"/>
                        <w:sz w:val="22"/>
                        <w:szCs w:val="22"/>
                        <w:lang w:bidi="ar"/>
                      </w:rPr>
                      <w:t>旌凯（香港）有限公司</w:t>
                    </w:r>
                  </w:p>
                </w:tc>
                <w:tc>
                  <w:tcPr>
                    <w:tcW w:w="1360" w:type="pct"/>
                    <w:vAlign w:val="center"/>
                  </w:tcPr>
                  <w:p w14:paraId="3B47EECF" w14:textId="77777777" w:rsidR="00471D53" w:rsidRDefault="004F686E" w:rsidP="00471D53">
                    <w:pPr>
                      <w:jc w:val="right"/>
                      <w:rPr>
                        <w:rFonts w:cs="Calibri"/>
                        <w:sz w:val="22"/>
                        <w:szCs w:val="22"/>
                        <w:lang w:bidi="ar"/>
                      </w:rPr>
                    </w:pPr>
                    <w:r w:rsidRPr="00DA7373">
                      <w:rPr>
                        <w:rFonts w:cs="Calibri"/>
                        <w:sz w:val="22"/>
                        <w:szCs w:val="22"/>
                        <w:lang w:bidi="ar"/>
                      </w:rPr>
                      <w:t>671,187.24</w:t>
                    </w:r>
                  </w:p>
                </w:tc>
                <w:tc>
                  <w:tcPr>
                    <w:tcW w:w="1340" w:type="pct"/>
                    <w:vAlign w:val="center"/>
                  </w:tcPr>
                  <w:p w14:paraId="51A13F4F" w14:textId="77777777" w:rsidR="00471D53" w:rsidRDefault="004F686E" w:rsidP="00471D53">
                    <w:pPr>
                      <w:jc w:val="center"/>
                      <w:rPr>
                        <w:rFonts w:cs="Calibri"/>
                        <w:sz w:val="22"/>
                        <w:szCs w:val="22"/>
                        <w:lang w:bidi="ar"/>
                      </w:rPr>
                    </w:pPr>
                    <w:r>
                      <w:rPr>
                        <w:rFonts w:cs="Calibri" w:hint="eastAsia"/>
                        <w:sz w:val="22"/>
                        <w:szCs w:val="22"/>
                        <w:lang w:bidi="ar"/>
                      </w:rPr>
                      <w:t>合同未履行完毕</w:t>
                    </w:r>
                  </w:p>
                </w:tc>
              </w:tr>
              <w:tr w:rsidR="00471D53" w14:paraId="3D1F3C65" w14:textId="77777777" w:rsidTr="00471D53">
                <w:trPr>
                  <w:trHeight w:val="340"/>
                  <w:jc w:val="center"/>
                </w:trPr>
                <w:tc>
                  <w:tcPr>
                    <w:tcW w:w="2300" w:type="pct"/>
                    <w:vAlign w:val="center"/>
                  </w:tcPr>
                  <w:p w14:paraId="41FABF6F" w14:textId="77777777" w:rsidR="00471D53" w:rsidRDefault="004F686E" w:rsidP="00471D53">
                    <w:pPr>
                      <w:rPr>
                        <w:b/>
                        <w:sz w:val="22"/>
                        <w:szCs w:val="22"/>
                      </w:rPr>
                    </w:pPr>
                    <w:r>
                      <w:rPr>
                        <w:rFonts w:hint="eastAsia"/>
                        <w:b/>
                        <w:bCs/>
                        <w:sz w:val="22"/>
                        <w:szCs w:val="22"/>
                      </w:rPr>
                      <w:t>合计</w:t>
                    </w:r>
                  </w:p>
                </w:tc>
                <w:tc>
                  <w:tcPr>
                    <w:tcW w:w="1360" w:type="pct"/>
                    <w:vAlign w:val="center"/>
                  </w:tcPr>
                  <w:p w14:paraId="4B8ED9FE" w14:textId="77777777" w:rsidR="00471D53" w:rsidRDefault="004F686E" w:rsidP="00471D53">
                    <w:pPr>
                      <w:jc w:val="right"/>
                      <w:textAlignment w:val="center"/>
                      <w:rPr>
                        <w:b/>
                        <w:bCs/>
                        <w:sz w:val="22"/>
                        <w:szCs w:val="22"/>
                      </w:rPr>
                    </w:pPr>
                    <w:r w:rsidRPr="00DA7373">
                      <w:rPr>
                        <w:b/>
                        <w:bCs/>
                        <w:sz w:val="22"/>
                        <w:szCs w:val="22"/>
                      </w:rPr>
                      <w:t>10,159,764.02</w:t>
                    </w:r>
                  </w:p>
                </w:tc>
                <w:tc>
                  <w:tcPr>
                    <w:tcW w:w="1340" w:type="pct"/>
                    <w:vAlign w:val="center"/>
                  </w:tcPr>
                  <w:p w14:paraId="424DC8DA" w14:textId="77777777" w:rsidR="00471D53" w:rsidRDefault="004F686E" w:rsidP="00471D53">
                    <w:pPr>
                      <w:jc w:val="center"/>
                      <w:rPr>
                        <w:b/>
                        <w:sz w:val="22"/>
                        <w:szCs w:val="22"/>
                      </w:rPr>
                    </w:pPr>
                    <w:r>
                      <w:rPr>
                        <w:rFonts w:hint="eastAsia"/>
                        <w:b/>
                        <w:bCs/>
                        <w:sz w:val="22"/>
                        <w:szCs w:val="22"/>
                      </w:rPr>
                      <w:t>—</w:t>
                    </w:r>
                  </w:p>
                </w:tc>
              </w:tr>
            </w:tbl>
            <w:p w14:paraId="725CC96D" w14:textId="77777777" w:rsidR="00471D53" w:rsidRDefault="00B664AF"/>
          </w:sdtContent>
        </w:sdt>
      </w:sdtContent>
    </w:sdt>
    <w:bookmarkEnd w:id="192" w:displacedByCustomXml="prev"/>
    <w:p w14:paraId="0E9FA816" w14:textId="77777777" w:rsidR="00471D53" w:rsidRDefault="00B664AF">
      <w:pPr>
        <w:rPr>
          <w:szCs w:val="21"/>
        </w:rPr>
      </w:pPr>
    </w:p>
    <w:p w14:paraId="1E001E53"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应付职工薪酬</w:t>
      </w:r>
    </w:p>
    <w:sdt>
      <w:sdtPr>
        <w:rPr>
          <w:rFonts w:ascii="宋体" w:hAnsi="宋体" w:cs="宋体"/>
          <w:b w:val="0"/>
          <w:bCs w:val="0"/>
          <w:kern w:val="0"/>
          <w:szCs w:val="24"/>
        </w:rPr>
        <w:alias w:val="模块:应付职工薪酬列示："/>
        <w:tag w:val="_GBC_fa609950067149f1a5c0a6c3ba353431"/>
        <w:id w:val="1244614060"/>
        <w:lock w:val="sdtLocked"/>
        <w:placeholder>
          <w:docPart w:val="GBC22222222222222222222222222222"/>
        </w:placeholder>
      </w:sdtPr>
      <w:sdtEndPr/>
      <w:sdtContent>
        <w:p w14:paraId="059810D3" w14:textId="77777777" w:rsidR="00471D53" w:rsidRDefault="004F686E" w:rsidP="004F686E">
          <w:pPr>
            <w:pStyle w:val="afffff8"/>
            <w:numPr>
              <w:ilvl w:val="0"/>
              <w:numId w:val="81"/>
            </w:numPr>
            <w:rPr>
              <w:rFonts w:ascii="宋体" w:hAnsi="宋体"/>
            </w:rPr>
          </w:pPr>
          <w:r>
            <w:rPr>
              <w:rFonts w:ascii="宋体" w:hAnsi="宋体" w:hint="eastAsia"/>
            </w:rPr>
            <w:t>应付职工薪酬列示</w:t>
          </w:r>
        </w:p>
        <w:sdt>
          <w:sdtPr>
            <w:alias w:val="是否适用：应付职工薪酬列示[双击切换]"/>
            <w:tag w:val="_GBC_88faccc480a843dca589c1af0d3fee37"/>
            <w:id w:val="-1500641052"/>
            <w:lock w:val="sdtLocked"/>
            <w:placeholder>
              <w:docPart w:val="GBC22222222222222222222222222222"/>
            </w:placeholder>
          </w:sdtPr>
          <w:sdtEndPr/>
          <w:sdtContent>
            <w:p w14:paraId="35CA2ABF"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644B58F" w14:textId="09DA785A" w:rsidR="00471D53" w:rsidRDefault="004F686E">
          <w:pPr>
            <w:jc w:val="right"/>
          </w:pPr>
          <w:r>
            <w:rPr>
              <w:rFonts w:hint="eastAsia"/>
            </w:rPr>
            <w:t>单位：</w:t>
          </w:r>
          <w:sdt>
            <w:sdtPr>
              <w:rPr>
                <w:rFonts w:hint="eastAsia"/>
              </w:rPr>
              <w:alias w:val="单位：财务附注：应付职工薪酬"/>
              <w:tag w:val="_GBC_5c4cdcd7cd924c4ca8e87f806bc459b0"/>
              <w:id w:val="13480622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应付职工薪酬"/>
              <w:tag w:val="_GBC_1b7f0fd0ca54470ca12f1037c092be9a"/>
              <w:id w:val="4148996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7"/>
            <w:gridCol w:w="1570"/>
            <w:gridCol w:w="1567"/>
            <w:gridCol w:w="1570"/>
            <w:gridCol w:w="1579"/>
          </w:tblGrid>
          <w:tr w:rsidR="00471D53" w14:paraId="2800B536" w14:textId="77777777" w:rsidTr="00474A51">
            <w:sdt>
              <w:sdtPr>
                <w:tag w:val="_PLD_481bea2acb8f49ac9b4cfc92cd4a426e"/>
                <w:id w:val="-1755893289"/>
                <w:lock w:val="sdtLocked"/>
              </w:sdtPr>
              <w:sdtEndPr/>
              <w:sdtContent>
                <w:tc>
                  <w:tcPr>
                    <w:tcW w:w="1437" w:type="pct"/>
                    <w:shd w:val="clear" w:color="auto" w:fill="auto"/>
                    <w:vAlign w:val="center"/>
                  </w:tcPr>
                  <w:p w14:paraId="27177581" w14:textId="77777777" w:rsidR="00471D53" w:rsidRDefault="004F686E">
                    <w:pPr>
                      <w:jc w:val="center"/>
                    </w:pPr>
                    <w:r>
                      <w:rPr>
                        <w:rFonts w:hint="eastAsia"/>
                      </w:rPr>
                      <w:t>项目</w:t>
                    </w:r>
                  </w:p>
                </w:tc>
              </w:sdtContent>
            </w:sdt>
            <w:sdt>
              <w:sdtPr>
                <w:tag w:val="_PLD_ff27c0f5bcb94d9b932762b91edf2ff1"/>
                <w:id w:val="1315452349"/>
                <w:lock w:val="sdtLocked"/>
              </w:sdtPr>
              <w:sdtEndPr/>
              <w:sdtContent>
                <w:tc>
                  <w:tcPr>
                    <w:tcW w:w="890" w:type="pct"/>
                    <w:shd w:val="clear" w:color="auto" w:fill="auto"/>
                    <w:vAlign w:val="center"/>
                  </w:tcPr>
                  <w:p w14:paraId="02B6D9B0" w14:textId="77777777" w:rsidR="00471D53" w:rsidRDefault="004F686E">
                    <w:pPr>
                      <w:jc w:val="center"/>
                    </w:pPr>
                    <w:r>
                      <w:rPr>
                        <w:rFonts w:hint="eastAsia"/>
                      </w:rPr>
                      <w:t>期初余额</w:t>
                    </w:r>
                  </w:p>
                </w:tc>
              </w:sdtContent>
            </w:sdt>
            <w:sdt>
              <w:sdtPr>
                <w:tag w:val="_PLD_7274636f27ae4e048ade60bfddaa8164"/>
                <w:id w:val="-385257179"/>
                <w:lock w:val="sdtLocked"/>
              </w:sdtPr>
              <w:sdtEndPr/>
              <w:sdtContent>
                <w:tc>
                  <w:tcPr>
                    <w:tcW w:w="888" w:type="pct"/>
                    <w:shd w:val="clear" w:color="auto" w:fill="auto"/>
                    <w:vAlign w:val="center"/>
                  </w:tcPr>
                  <w:p w14:paraId="7868728E" w14:textId="77777777" w:rsidR="00471D53" w:rsidRDefault="004F686E">
                    <w:pPr>
                      <w:jc w:val="center"/>
                    </w:pPr>
                    <w:r>
                      <w:rPr>
                        <w:rFonts w:hint="eastAsia"/>
                      </w:rPr>
                      <w:t>本期增加</w:t>
                    </w:r>
                  </w:p>
                </w:tc>
              </w:sdtContent>
            </w:sdt>
            <w:sdt>
              <w:sdtPr>
                <w:tag w:val="_PLD_07ae572963de436aa2308d649a28c23b"/>
                <w:id w:val="86039490"/>
                <w:lock w:val="sdtLocked"/>
              </w:sdtPr>
              <w:sdtEndPr/>
              <w:sdtContent>
                <w:tc>
                  <w:tcPr>
                    <w:tcW w:w="890" w:type="pct"/>
                    <w:shd w:val="clear" w:color="auto" w:fill="auto"/>
                    <w:vAlign w:val="center"/>
                  </w:tcPr>
                  <w:p w14:paraId="3E8573EB" w14:textId="77777777" w:rsidR="00471D53" w:rsidRDefault="004F686E">
                    <w:pPr>
                      <w:jc w:val="center"/>
                    </w:pPr>
                    <w:r>
                      <w:rPr>
                        <w:rFonts w:hint="eastAsia"/>
                      </w:rPr>
                      <w:t>本期减少</w:t>
                    </w:r>
                  </w:p>
                </w:tc>
              </w:sdtContent>
            </w:sdt>
            <w:sdt>
              <w:sdtPr>
                <w:tag w:val="_PLD_27069329d7654e34bc45ca7dee532204"/>
                <w:id w:val="-43140952"/>
                <w:lock w:val="sdtLocked"/>
              </w:sdtPr>
              <w:sdtEndPr/>
              <w:sdtContent>
                <w:tc>
                  <w:tcPr>
                    <w:tcW w:w="895" w:type="pct"/>
                    <w:shd w:val="clear" w:color="auto" w:fill="auto"/>
                    <w:vAlign w:val="center"/>
                  </w:tcPr>
                  <w:p w14:paraId="1AAC4B80" w14:textId="77777777" w:rsidR="00471D53" w:rsidRDefault="004F686E">
                    <w:pPr>
                      <w:jc w:val="center"/>
                    </w:pPr>
                    <w:r>
                      <w:rPr>
                        <w:rFonts w:hint="eastAsia"/>
                      </w:rPr>
                      <w:t>期末余额</w:t>
                    </w:r>
                  </w:p>
                </w:tc>
              </w:sdtContent>
            </w:sdt>
          </w:tr>
          <w:tr w:rsidR="00471D53" w14:paraId="72877065" w14:textId="77777777" w:rsidTr="00471D53">
            <w:sdt>
              <w:sdtPr>
                <w:tag w:val="_PLD_8272d2e82a6f45a197d65c1251ac79c7"/>
                <w:id w:val="1751076794"/>
                <w:lock w:val="sdtLocked"/>
              </w:sdtPr>
              <w:sdtEndPr/>
              <w:sdtContent>
                <w:tc>
                  <w:tcPr>
                    <w:tcW w:w="1437" w:type="pct"/>
                    <w:shd w:val="clear" w:color="auto" w:fill="auto"/>
                  </w:tcPr>
                  <w:p w14:paraId="3E3498FB" w14:textId="77777777" w:rsidR="00471D53" w:rsidRDefault="004F686E">
                    <w:r>
                      <w:rPr>
                        <w:rFonts w:hint="eastAsia"/>
                      </w:rPr>
                      <w:t>一、短期薪酬</w:t>
                    </w:r>
                  </w:p>
                </w:tc>
              </w:sdtContent>
            </w:sdt>
            <w:tc>
              <w:tcPr>
                <w:tcW w:w="890" w:type="pct"/>
                <w:shd w:val="clear" w:color="auto" w:fill="auto"/>
                <w:vAlign w:val="center"/>
              </w:tcPr>
              <w:p w14:paraId="69B49AF2" w14:textId="77777777" w:rsidR="00471D53" w:rsidRDefault="004F686E" w:rsidP="00471D53">
                <w:pPr>
                  <w:jc w:val="right"/>
                  <w:textAlignment w:val="center"/>
                  <w:rPr>
                    <w:rFonts w:cs="Calibri"/>
                    <w:bCs/>
                    <w:sz w:val="20"/>
                    <w:szCs w:val="20"/>
                  </w:rPr>
                </w:pPr>
                <w:r>
                  <w:rPr>
                    <w:rFonts w:cs="Calibri" w:hint="eastAsia"/>
                    <w:sz w:val="20"/>
                    <w:szCs w:val="20"/>
                    <w:lang w:bidi="ar"/>
                  </w:rPr>
                  <w:t>24,522,695.95</w:t>
                </w:r>
              </w:p>
            </w:tc>
            <w:tc>
              <w:tcPr>
                <w:tcW w:w="888" w:type="pct"/>
                <w:shd w:val="clear" w:color="auto" w:fill="auto"/>
                <w:vAlign w:val="center"/>
              </w:tcPr>
              <w:p w14:paraId="50A920C3" w14:textId="77777777" w:rsidR="00471D53" w:rsidRDefault="004F686E" w:rsidP="00471D53">
                <w:pPr>
                  <w:jc w:val="right"/>
                  <w:textAlignment w:val="center"/>
                  <w:rPr>
                    <w:rFonts w:cs="Calibri"/>
                    <w:bCs/>
                    <w:sz w:val="20"/>
                    <w:szCs w:val="20"/>
                  </w:rPr>
                </w:pPr>
                <w:r w:rsidRPr="00C72E86">
                  <w:rPr>
                    <w:rFonts w:cs="Calibri"/>
                    <w:bCs/>
                    <w:sz w:val="20"/>
                    <w:szCs w:val="20"/>
                  </w:rPr>
                  <w:t>78,016,845.93</w:t>
                </w:r>
              </w:p>
            </w:tc>
            <w:tc>
              <w:tcPr>
                <w:tcW w:w="890" w:type="pct"/>
                <w:shd w:val="clear" w:color="auto" w:fill="auto"/>
                <w:vAlign w:val="center"/>
              </w:tcPr>
              <w:p w14:paraId="035AB36F" w14:textId="77777777" w:rsidR="00471D53" w:rsidRDefault="004F686E" w:rsidP="00471D53">
                <w:pPr>
                  <w:jc w:val="right"/>
                  <w:textAlignment w:val="center"/>
                  <w:rPr>
                    <w:rFonts w:cs="Calibri"/>
                    <w:bCs/>
                    <w:sz w:val="20"/>
                    <w:szCs w:val="20"/>
                  </w:rPr>
                </w:pPr>
                <w:r w:rsidRPr="00C72E86">
                  <w:rPr>
                    <w:rFonts w:cs="Calibri"/>
                    <w:bCs/>
                    <w:sz w:val="20"/>
                    <w:szCs w:val="20"/>
                  </w:rPr>
                  <w:t>89,001,029.47</w:t>
                </w:r>
              </w:p>
            </w:tc>
            <w:tc>
              <w:tcPr>
                <w:tcW w:w="895" w:type="pct"/>
                <w:shd w:val="clear" w:color="auto" w:fill="auto"/>
                <w:vAlign w:val="center"/>
              </w:tcPr>
              <w:p w14:paraId="49A24D97" w14:textId="77777777" w:rsidR="00471D53" w:rsidRDefault="004F686E" w:rsidP="00471D53">
                <w:pPr>
                  <w:jc w:val="right"/>
                  <w:textAlignment w:val="center"/>
                  <w:rPr>
                    <w:rFonts w:cs="Calibri"/>
                    <w:bCs/>
                    <w:sz w:val="20"/>
                    <w:szCs w:val="20"/>
                  </w:rPr>
                </w:pPr>
                <w:r w:rsidRPr="00C72E86">
                  <w:rPr>
                    <w:rFonts w:cs="Calibri"/>
                    <w:bCs/>
                    <w:sz w:val="20"/>
                    <w:szCs w:val="20"/>
                  </w:rPr>
                  <w:t>13,538,512.41</w:t>
                </w:r>
              </w:p>
            </w:tc>
          </w:tr>
          <w:tr w:rsidR="00471D53" w14:paraId="4BECB893" w14:textId="77777777" w:rsidTr="00471D53">
            <w:sdt>
              <w:sdtPr>
                <w:tag w:val="_PLD_e3c7b981b4f64fe3993a41cabeb3d888"/>
                <w:id w:val="-269246066"/>
                <w:lock w:val="sdtLocked"/>
              </w:sdtPr>
              <w:sdtEndPr/>
              <w:sdtContent>
                <w:tc>
                  <w:tcPr>
                    <w:tcW w:w="1437" w:type="pct"/>
                    <w:shd w:val="clear" w:color="auto" w:fill="auto"/>
                  </w:tcPr>
                  <w:p w14:paraId="50EFCB07" w14:textId="77777777" w:rsidR="00471D53" w:rsidRDefault="004F686E">
                    <w:r>
                      <w:rPr>
                        <w:rFonts w:hint="eastAsia"/>
                      </w:rPr>
                      <w:t>二、离职后福利-设定提存计划</w:t>
                    </w:r>
                  </w:p>
                </w:tc>
              </w:sdtContent>
            </w:sdt>
            <w:tc>
              <w:tcPr>
                <w:tcW w:w="890" w:type="pct"/>
                <w:shd w:val="clear" w:color="auto" w:fill="auto"/>
                <w:vAlign w:val="center"/>
              </w:tcPr>
              <w:p w14:paraId="589E3090" w14:textId="77777777" w:rsidR="00471D53" w:rsidRDefault="004F686E" w:rsidP="00471D53">
                <w:pPr>
                  <w:jc w:val="right"/>
                  <w:textAlignment w:val="center"/>
                  <w:rPr>
                    <w:rFonts w:cs="Calibri"/>
                    <w:sz w:val="20"/>
                    <w:szCs w:val="20"/>
                  </w:rPr>
                </w:pPr>
                <w:r>
                  <w:rPr>
                    <w:rFonts w:cs="Calibri" w:hint="eastAsia"/>
                    <w:sz w:val="20"/>
                    <w:szCs w:val="20"/>
                    <w:lang w:bidi="ar"/>
                  </w:rPr>
                  <w:t>675,347.66</w:t>
                </w:r>
              </w:p>
            </w:tc>
            <w:tc>
              <w:tcPr>
                <w:tcW w:w="888" w:type="pct"/>
                <w:shd w:val="clear" w:color="auto" w:fill="auto"/>
                <w:vAlign w:val="center"/>
              </w:tcPr>
              <w:p w14:paraId="47B9E951" w14:textId="77777777" w:rsidR="00471D53" w:rsidRDefault="004F686E" w:rsidP="00471D53">
                <w:pPr>
                  <w:jc w:val="right"/>
                  <w:textAlignment w:val="center"/>
                  <w:rPr>
                    <w:rFonts w:cs="Calibri"/>
                    <w:sz w:val="20"/>
                    <w:szCs w:val="20"/>
                  </w:rPr>
                </w:pPr>
                <w:r w:rsidRPr="00C72E86">
                  <w:rPr>
                    <w:rFonts w:cs="Calibri"/>
                    <w:sz w:val="20"/>
                    <w:szCs w:val="20"/>
                  </w:rPr>
                  <w:t>10,300,300.44</w:t>
                </w:r>
              </w:p>
            </w:tc>
            <w:tc>
              <w:tcPr>
                <w:tcW w:w="890" w:type="pct"/>
                <w:shd w:val="clear" w:color="auto" w:fill="auto"/>
                <w:vAlign w:val="center"/>
              </w:tcPr>
              <w:p w14:paraId="42389C92" w14:textId="77777777" w:rsidR="00471D53" w:rsidRDefault="004F686E" w:rsidP="00471D53">
                <w:pPr>
                  <w:jc w:val="right"/>
                  <w:textAlignment w:val="center"/>
                  <w:rPr>
                    <w:rFonts w:cs="Calibri"/>
                    <w:sz w:val="20"/>
                    <w:szCs w:val="20"/>
                  </w:rPr>
                </w:pPr>
                <w:r w:rsidRPr="00C72E86">
                  <w:rPr>
                    <w:rFonts w:cs="Calibri"/>
                    <w:sz w:val="20"/>
                    <w:szCs w:val="20"/>
                  </w:rPr>
                  <w:t>9,618,135.67</w:t>
                </w:r>
              </w:p>
            </w:tc>
            <w:tc>
              <w:tcPr>
                <w:tcW w:w="895" w:type="pct"/>
                <w:shd w:val="clear" w:color="auto" w:fill="auto"/>
                <w:vAlign w:val="center"/>
              </w:tcPr>
              <w:p w14:paraId="10DB6635" w14:textId="77777777" w:rsidR="00471D53" w:rsidRDefault="004F686E" w:rsidP="00471D53">
                <w:pPr>
                  <w:jc w:val="right"/>
                  <w:textAlignment w:val="center"/>
                  <w:rPr>
                    <w:rFonts w:cs="Calibri"/>
                    <w:sz w:val="20"/>
                    <w:szCs w:val="20"/>
                  </w:rPr>
                </w:pPr>
                <w:r w:rsidRPr="00C72E86">
                  <w:rPr>
                    <w:rFonts w:cs="Calibri"/>
                    <w:sz w:val="20"/>
                    <w:szCs w:val="20"/>
                  </w:rPr>
                  <w:t>1,357,512.43</w:t>
                </w:r>
              </w:p>
            </w:tc>
          </w:tr>
          <w:tr w:rsidR="00471D53" w14:paraId="19060620" w14:textId="77777777" w:rsidTr="00471D53">
            <w:sdt>
              <w:sdtPr>
                <w:tag w:val="_PLD_d615e4da2a4948e5994fcc5682898c56"/>
                <w:id w:val="725183338"/>
                <w:lock w:val="sdtLocked"/>
              </w:sdtPr>
              <w:sdtEndPr/>
              <w:sdtContent>
                <w:tc>
                  <w:tcPr>
                    <w:tcW w:w="1437" w:type="pct"/>
                    <w:shd w:val="clear" w:color="auto" w:fill="auto"/>
                  </w:tcPr>
                  <w:p w14:paraId="5371B784" w14:textId="77777777" w:rsidR="00471D53" w:rsidRDefault="004F686E">
                    <w:r>
                      <w:rPr>
                        <w:rFonts w:hint="eastAsia"/>
                      </w:rPr>
                      <w:t>三、辞退福利</w:t>
                    </w:r>
                  </w:p>
                </w:tc>
              </w:sdtContent>
            </w:sdt>
            <w:tc>
              <w:tcPr>
                <w:tcW w:w="890" w:type="pct"/>
                <w:shd w:val="clear" w:color="auto" w:fill="auto"/>
                <w:vAlign w:val="center"/>
              </w:tcPr>
              <w:p w14:paraId="1A5D1526" w14:textId="77777777" w:rsidR="00471D53" w:rsidRDefault="004F686E" w:rsidP="00471D53">
                <w:pPr>
                  <w:jc w:val="right"/>
                  <w:textAlignment w:val="center"/>
                  <w:rPr>
                    <w:rFonts w:cs="Calibri"/>
                    <w:sz w:val="20"/>
                    <w:szCs w:val="20"/>
                  </w:rPr>
                </w:pPr>
                <w:r>
                  <w:rPr>
                    <w:rFonts w:cs="Calibri"/>
                    <w:sz w:val="20"/>
                    <w:szCs w:val="20"/>
                    <w:lang w:bidi="ar"/>
                  </w:rPr>
                  <w:t>0.00</w:t>
                </w:r>
              </w:p>
            </w:tc>
            <w:tc>
              <w:tcPr>
                <w:tcW w:w="888" w:type="pct"/>
                <w:shd w:val="clear" w:color="auto" w:fill="auto"/>
                <w:vAlign w:val="center"/>
              </w:tcPr>
              <w:p w14:paraId="000122D5" w14:textId="77777777" w:rsidR="00471D53" w:rsidRDefault="004F686E" w:rsidP="00471D53">
                <w:pPr>
                  <w:jc w:val="right"/>
                  <w:textAlignment w:val="center"/>
                  <w:rPr>
                    <w:rFonts w:cs="Calibri"/>
                    <w:sz w:val="20"/>
                    <w:szCs w:val="20"/>
                  </w:rPr>
                </w:pPr>
                <w:r w:rsidRPr="00C72E86">
                  <w:rPr>
                    <w:rFonts w:cs="Calibri"/>
                    <w:sz w:val="20"/>
                    <w:szCs w:val="20"/>
                  </w:rPr>
                  <w:t>590,362.74</w:t>
                </w:r>
              </w:p>
            </w:tc>
            <w:tc>
              <w:tcPr>
                <w:tcW w:w="890" w:type="pct"/>
                <w:shd w:val="clear" w:color="auto" w:fill="auto"/>
                <w:vAlign w:val="center"/>
              </w:tcPr>
              <w:p w14:paraId="46A1F88E" w14:textId="77777777" w:rsidR="00471D53" w:rsidRDefault="004F686E" w:rsidP="00471D53">
                <w:pPr>
                  <w:jc w:val="right"/>
                  <w:textAlignment w:val="center"/>
                  <w:rPr>
                    <w:rFonts w:cs="Calibri"/>
                    <w:sz w:val="20"/>
                    <w:szCs w:val="20"/>
                  </w:rPr>
                </w:pPr>
                <w:r w:rsidRPr="00C72E86">
                  <w:rPr>
                    <w:rFonts w:cs="Calibri"/>
                    <w:sz w:val="20"/>
                    <w:szCs w:val="20"/>
                  </w:rPr>
                  <w:t>590,362.74</w:t>
                </w:r>
              </w:p>
            </w:tc>
            <w:tc>
              <w:tcPr>
                <w:tcW w:w="895" w:type="pct"/>
                <w:shd w:val="clear" w:color="auto" w:fill="auto"/>
                <w:vAlign w:val="center"/>
              </w:tcPr>
              <w:p w14:paraId="4EC93BC0" w14:textId="77777777" w:rsidR="00471D53" w:rsidRDefault="004F686E" w:rsidP="00471D53">
                <w:pPr>
                  <w:jc w:val="right"/>
                  <w:textAlignment w:val="center"/>
                  <w:rPr>
                    <w:rFonts w:cs="Calibri"/>
                    <w:sz w:val="20"/>
                    <w:szCs w:val="20"/>
                  </w:rPr>
                </w:pPr>
                <w:r>
                  <w:rPr>
                    <w:rFonts w:cs="Calibri" w:hint="eastAsia"/>
                    <w:sz w:val="20"/>
                    <w:szCs w:val="20"/>
                  </w:rPr>
                  <w:t>0</w:t>
                </w:r>
                <w:r>
                  <w:rPr>
                    <w:rFonts w:cs="Calibri"/>
                    <w:sz w:val="20"/>
                    <w:szCs w:val="20"/>
                  </w:rPr>
                  <w:t>.00</w:t>
                </w:r>
              </w:p>
            </w:tc>
          </w:tr>
          <w:tr w:rsidR="00471D53" w14:paraId="61A6EA3C" w14:textId="77777777" w:rsidTr="00471D53">
            <w:sdt>
              <w:sdtPr>
                <w:tag w:val="_PLD_f85ecebc2b9f455eb675b5c3c3edb84c"/>
                <w:id w:val="639076303"/>
                <w:lock w:val="sdtLocked"/>
              </w:sdtPr>
              <w:sdtEndPr/>
              <w:sdtContent>
                <w:tc>
                  <w:tcPr>
                    <w:tcW w:w="1437" w:type="pct"/>
                    <w:shd w:val="clear" w:color="auto" w:fill="auto"/>
                  </w:tcPr>
                  <w:p w14:paraId="1725B725" w14:textId="77777777" w:rsidR="00471D53" w:rsidRDefault="004F686E">
                    <w:r>
                      <w:rPr>
                        <w:rFonts w:hint="eastAsia"/>
                      </w:rPr>
                      <w:t>四、一年内到期的其他福利</w:t>
                    </w:r>
                  </w:p>
                </w:tc>
              </w:sdtContent>
            </w:sdt>
            <w:tc>
              <w:tcPr>
                <w:tcW w:w="890" w:type="pct"/>
                <w:shd w:val="clear" w:color="auto" w:fill="auto"/>
                <w:vAlign w:val="center"/>
              </w:tcPr>
              <w:p w14:paraId="5785E847" w14:textId="77777777" w:rsidR="00471D53" w:rsidRDefault="004F686E" w:rsidP="00471D53">
                <w:pPr>
                  <w:jc w:val="right"/>
                  <w:textAlignment w:val="center"/>
                  <w:rPr>
                    <w:rFonts w:cs="Calibri"/>
                    <w:sz w:val="20"/>
                    <w:szCs w:val="20"/>
                  </w:rPr>
                </w:pPr>
                <w:r>
                  <w:rPr>
                    <w:rFonts w:cs="Calibri" w:hint="eastAsia"/>
                    <w:sz w:val="20"/>
                    <w:szCs w:val="20"/>
                    <w:lang w:bidi="ar"/>
                  </w:rPr>
                  <w:t>2,978,519.16</w:t>
                </w:r>
              </w:p>
            </w:tc>
            <w:tc>
              <w:tcPr>
                <w:tcW w:w="888" w:type="pct"/>
                <w:shd w:val="clear" w:color="auto" w:fill="auto"/>
                <w:vAlign w:val="center"/>
              </w:tcPr>
              <w:p w14:paraId="472CD25F" w14:textId="77777777" w:rsidR="00471D53" w:rsidRDefault="004F686E" w:rsidP="00471D53">
                <w:pPr>
                  <w:jc w:val="right"/>
                  <w:textAlignment w:val="center"/>
                  <w:rPr>
                    <w:sz w:val="20"/>
                    <w:szCs w:val="20"/>
                  </w:rPr>
                </w:pPr>
                <w:r>
                  <w:rPr>
                    <w:rFonts w:hint="eastAsia"/>
                    <w:sz w:val="20"/>
                    <w:szCs w:val="20"/>
                  </w:rPr>
                  <w:t>0</w:t>
                </w:r>
                <w:r>
                  <w:rPr>
                    <w:sz w:val="20"/>
                    <w:szCs w:val="20"/>
                  </w:rPr>
                  <w:t>.00</w:t>
                </w:r>
              </w:p>
            </w:tc>
            <w:tc>
              <w:tcPr>
                <w:tcW w:w="890" w:type="pct"/>
                <w:shd w:val="clear" w:color="auto" w:fill="auto"/>
                <w:vAlign w:val="center"/>
              </w:tcPr>
              <w:p w14:paraId="1D8F538A" w14:textId="77777777" w:rsidR="00471D53" w:rsidRDefault="004F686E" w:rsidP="00471D53">
                <w:pPr>
                  <w:jc w:val="right"/>
                  <w:textAlignment w:val="center"/>
                  <w:rPr>
                    <w:rFonts w:cs="Calibri"/>
                    <w:sz w:val="20"/>
                    <w:szCs w:val="20"/>
                  </w:rPr>
                </w:pPr>
                <w:r w:rsidRPr="00C72E86">
                  <w:rPr>
                    <w:rFonts w:cs="Calibri"/>
                    <w:sz w:val="20"/>
                    <w:szCs w:val="20"/>
                  </w:rPr>
                  <w:t>634,706.60</w:t>
                </w:r>
              </w:p>
            </w:tc>
            <w:tc>
              <w:tcPr>
                <w:tcW w:w="895" w:type="pct"/>
                <w:shd w:val="clear" w:color="auto" w:fill="auto"/>
                <w:vAlign w:val="center"/>
              </w:tcPr>
              <w:p w14:paraId="1E84A47C" w14:textId="77777777" w:rsidR="00471D53" w:rsidRDefault="004F686E" w:rsidP="00471D53">
                <w:pPr>
                  <w:jc w:val="right"/>
                  <w:textAlignment w:val="center"/>
                  <w:rPr>
                    <w:rFonts w:cs="Calibri"/>
                    <w:sz w:val="20"/>
                    <w:szCs w:val="20"/>
                  </w:rPr>
                </w:pPr>
                <w:r w:rsidRPr="00C72E86">
                  <w:rPr>
                    <w:rFonts w:cs="Calibri"/>
                    <w:sz w:val="20"/>
                    <w:szCs w:val="20"/>
                  </w:rPr>
                  <w:t>2,343,812.56</w:t>
                </w:r>
              </w:p>
            </w:tc>
          </w:tr>
          <w:tr w:rsidR="00471D53" w14:paraId="1044B7DB" w14:textId="77777777" w:rsidTr="00471D53">
            <w:sdt>
              <w:sdtPr>
                <w:tag w:val="_PLD_5ce2e7ac546346f4a7bec33299c89503"/>
                <w:id w:val="2033295912"/>
                <w:lock w:val="sdtLocked"/>
              </w:sdtPr>
              <w:sdtEndPr/>
              <w:sdtContent>
                <w:tc>
                  <w:tcPr>
                    <w:tcW w:w="1437" w:type="pct"/>
                    <w:shd w:val="clear" w:color="auto" w:fill="auto"/>
                    <w:vAlign w:val="center"/>
                  </w:tcPr>
                  <w:p w14:paraId="5B74DAAF" w14:textId="77777777" w:rsidR="00471D53" w:rsidRDefault="004F686E">
                    <w:pPr>
                      <w:jc w:val="center"/>
                    </w:pPr>
                    <w:r>
                      <w:rPr>
                        <w:rFonts w:hint="eastAsia"/>
                      </w:rPr>
                      <w:t>合计</w:t>
                    </w:r>
                  </w:p>
                </w:tc>
              </w:sdtContent>
            </w:sdt>
            <w:tc>
              <w:tcPr>
                <w:tcW w:w="890" w:type="pct"/>
                <w:shd w:val="clear" w:color="auto" w:fill="auto"/>
                <w:vAlign w:val="center"/>
              </w:tcPr>
              <w:p w14:paraId="1D0236A0" w14:textId="77777777" w:rsidR="00471D53" w:rsidRPr="007A122E" w:rsidRDefault="004F686E" w:rsidP="00471D53">
                <w:pPr>
                  <w:jc w:val="right"/>
                  <w:textAlignment w:val="center"/>
                  <w:rPr>
                    <w:rFonts w:cs="Calibri"/>
                    <w:sz w:val="20"/>
                    <w:szCs w:val="20"/>
                  </w:rPr>
                </w:pPr>
                <w:r w:rsidRPr="007A122E">
                  <w:rPr>
                    <w:rFonts w:cs="Calibri" w:hint="eastAsia"/>
                    <w:bCs/>
                    <w:sz w:val="20"/>
                    <w:szCs w:val="20"/>
                    <w:lang w:bidi="ar"/>
                  </w:rPr>
                  <w:t>28,176,562.77</w:t>
                </w:r>
              </w:p>
            </w:tc>
            <w:tc>
              <w:tcPr>
                <w:tcW w:w="888" w:type="pct"/>
                <w:shd w:val="clear" w:color="auto" w:fill="auto"/>
                <w:vAlign w:val="center"/>
              </w:tcPr>
              <w:p w14:paraId="78F658F0" w14:textId="77777777" w:rsidR="00471D53" w:rsidRPr="007A122E" w:rsidRDefault="004F686E" w:rsidP="00471D53">
                <w:pPr>
                  <w:jc w:val="right"/>
                  <w:textAlignment w:val="center"/>
                  <w:rPr>
                    <w:bCs/>
                    <w:sz w:val="20"/>
                    <w:szCs w:val="20"/>
                  </w:rPr>
                </w:pPr>
                <w:r w:rsidRPr="007A122E">
                  <w:rPr>
                    <w:bCs/>
                    <w:sz w:val="20"/>
                    <w:szCs w:val="20"/>
                  </w:rPr>
                  <w:t>88,907,509.11</w:t>
                </w:r>
              </w:p>
            </w:tc>
            <w:tc>
              <w:tcPr>
                <w:tcW w:w="890" w:type="pct"/>
                <w:shd w:val="clear" w:color="auto" w:fill="auto"/>
                <w:vAlign w:val="center"/>
              </w:tcPr>
              <w:p w14:paraId="1DBED91A" w14:textId="77777777" w:rsidR="00471D53" w:rsidRPr="007A122E" w:rsidRDefault="004F686E" w:rsidP="00471D53">
                <w:pPr>
                  <w:jc w:val="right"/>
                  <w:textAlignment w:val="center"/>
                  <w:rPr>
                    <w:bCs/>
                    <w:sz w:val="20"/>
                    <w:szCs w:val="20"/>
                  </w:rPr>
                </w:pPr>
                <w:r w:rsidRPr="007A122E">
                  <w:rPr>
                    <w:bCs/>
                    <w:sz w:val="20"/>
                    <w:szCs w:val="20"/>
                  </w:rPr>
                  <w:t>99,844,234.48</w:t>
                </w:r>
              </w:p>
            </w:tc>
            <w:tc>
              <w:tcPr>
                <w:tcW w:w="895" w:type="pct"/>
                <w:shd w:val="clear" w:color="auto" w:fill="auto"/>
                <w:vAlign w:val="center"/>
              </w:tcPr>
              <w:p w14:paraId="3D9B7783" w14:textId="77777777" w:rsidR="00471D53" w:rsidRPr="007A122E" w:rsidRDefault="004F686E" w:rsidP="00471D53">
                <w:pPr>
                  <w:jc w:val="right"/>
                  <w:textAlignment w:val="center"/>
                  <w:rPr>
                    <w:rFonts w:cs="Calibri"/>
                    <w:sz w:val="20"/>
                    <w:szCs w:val="20"/>
                  </w:rPr>
                </w:pPr>
                <w:r w:rsidRPr="007A122E">
                  <w:rPr>
                    <w:rFonts w:cs="Calibri"/>
                    <w:sz w:val="20"/>
                    <w:szCs w:val="20"/>
                  </w:rPr>
                  <w:t>17,239,837.40</w:t>
                </w:r>
              </w:p>
            </w:tc>
          </w:tr>
        </w:tbl>
        <w:p w14:paraId="374E092D" w14:textId="77777777" w:rsidR="00471D53" w:rsidRDefault="00B664AF"/>
      </w:sdtContent>
    </w:sdt>
    <w:sdt>
      <w:sdtPr>
        <w:rPr>
          <w:rFonts w:ascii="宋体" w:hAnsi="宋体" w:cs="宋体" w:hint="eastAsia"/>
          <w:b w:val="0"/>
          <w:bCs w:val="0"/>
          <w:kern w:val="0"/>
          <w:szCs w:val="24"/>
        </w:rPr>
        <w:alias w:val="模块:短期薪酬列示"/>
        <w:tag w:val="_GBC_8889528627cf49dfa80ba4d972a53405"/>
        <w:id w:val="62838138"/>
        <w:lock w:val="sdtLocked"/>
        <w:placeholder>
          <w:docPart w:val="GBC22222222222222222222222222222"/>
        </w:placeholder>
      </w:sdtPr>
      <w:sdtEndPr>
        <w:rPr>
          <w:rFonts w:hint="default"/>
          <w:szCs w:val="21"/>
        </w:rPr>
      </w:sdtEndPr>
      <w:sdtContent>
        <w:p w14:paraId="60837C83" w14:textId="77777777" w:rsidR="00471D53" w:rsidRDefault="004F686E" w:rsidP="004F686E">
          <w:pPr>
            <w:pStyle w:val="afffff8"/>
            <w:numPr>
              <w:ilvl w:val="0"/>
              <w:numId w:val="81"/>
            </w:numPr>
            <w:rPr>
              <w:rFonts w:ascii="宋体" w:hAnsi="宋体"/>
            </w:rPr>
          </w:pPr>
          <w:r>
            <w:rPr>
              <w:rFonts w:ascii="宋体" w:hAnsi="宋体" w:hint="eastAsia"/>
            </w:rPr>
            <w:t>短期薪酬列示</w:t>
          </w:r>
        </w:p>
        <w:sdt>
          <w:sdtPr>
            <w:alias w:val="是否适用：短期薪酬列示[双击切换]"/>
            <w:tag w:val="_GBC_fe9cc4ffdf524f4695448b31c76167ce"/>
            <w:id w:val="478650821"/>
            <w:lock w:val="sdtLocked"/>
            <w:placeholder>
              <w:docPart w:val="GBC22222222222222222222222222222"/>
            </w:placeholder>
          </w:sdtPr>
          <w:sdtEndPr/>
          <w:sdtContent>
            <w:p w14:paraId="2F4C9810"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0515DC4" w14:textId="1B805717" w:rsidR="00471D53" w:rsidRDefault="004F686E">
          <w:pPr>
            <w:jc w:val="right"/>
            <w:rPr>
              <w:szCs w:val="21"/>
            </w:rPr>
          </w:pPr>
          <w:r>
            <w:rPr>
              <w:rFonts w:hint="eastAsia"/>
              <w:szCs w:val="21"/>
            </w:rPr>
            <w:t>单位：</w:t>
          </w:r>
          <w:sdt>
            <w:sdtPr>
              <w:rPr>
                <w:rFonts w:hint="eastAsia"/>
                <w:szCs w:val="21"/>
              </w:rPr>
              <w:alias w:val="单位：财务附注：短期薪酬"/>
              <w:tag w:val="_GBC_f5a2a934147944d68f11ca2bcce4d80f"/>
              <w:id w:val="196129566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短期薪酬"/>
              <w:tag w:val="_GBC_ded097d86a7d48b8a8b1d9689a73bd5d"/>
              <w:id w:val="-11866016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8"/>
            <w:gridCol w:w="1572"/>
            <w:gridCol w:w="1555"/>
            <w:gridCol w:w="1569"/>
            <w:gridCol w:w="1579"/>
          </w:tblGrid>
          <w:tr w:rsidR="00471D53" w14:paraId="0E3F0F68" w14:textId="77777777" w:rsidTr="00471D53">
            <w:sdt>
              <w:sdtPr>
                <w:tag w:val="_PLD_7b5378bc64e24511ae79d643c80f9c98"/>
                <w:id w:val="-993021960"/>
                <w:lock w:val="sdtLocked"/>
              </w:sdtPr>
              <w:sdtEndPr/>
              <w:sdtContent>
                <w:tc>
                  <w:tcPr>
                    <w:tcW w:w="1444" w:type="pct"/>
                    <w:tcBorders>
                      <w:top w:val="single" w:sz="4" w:space="0" w:color="auto"/>
                      <w:left w:val="single" w:sz="4" w:space="0" w:color="auto"/>
                      <w:bottom w:val="single" w:sz="4" w:space="0" w:color="auto"/>
                      <w:right w:val="single" w:sz="4" w:space="0" w:color="auto"/>
                    </w:tcBorders>
                    <w:vAlign w:val="center"/>
                  </w:tcPr>
                  <w:p w14:paraId="473E07B9" w14:textId="77777777" w:rsidR="00471D53" w:rsidRDefault="004F686E" w:rsidP="00471D53">
                    <w:pPr>
                      <w:autoSpaceDE w:val="0"/>
                      <w:autoSpaceDN w:val="0"/>
                      <w:adjustRightInd w:val="0"/>
                      <w:jc w:val="center"/>
                      <w:rPr>
                        <w:szCs w:val="21"/>
                      </w:rPr>
                    </w:pPr>
                    <w:r>
                      <w:rPr>
                        <w:rFonts w:hint="eastAsia"/>
                        <w:szCs w:val="21"/>
                      </w:rPr>
                      <w:t>项目</w:t>
                    </w:r>
                  </w:p>
                </w:tc>
              </w:sdtContent>
            </w:sdt>
            <w:sdt>
              <w:sdtPr>
                <w:tag w:val="_PLD_0144fa4bad154236aa75e1dcc0a89e56"/>
                <w:id w:val="340213718"/>
                <w:lock w:val="sdtLocked"/>
              </w:sdtPr>
              <w:sdtEndPr/>
              <w:sdtContent>
                <w:tc>
                  <w:tcPr>
                    <w:tcW w:w="891" w:type="pct"/>
                    <w:tcBorders>
                      <w:top w:val="single" w:sz="4" w:space="0" w:color="auto"/>
                      <w:left w:val="single" w:sz="4" w:space="0" w:color="auto"/>
                      <w:bottom w:val="single" w:sz="4" w:space="0" w:color="auto"/>
                      <w:right w:val="single" w:sz="4" w:space="0" w:color="auto"/>
                    </w:tcBorders>
                    <w:vAlign w:val="center"/>
                  </w:tcPr>
                  <w:p w14:paraId="41C0B4AF" w14:textId="77777777" w:rsidR="00471D53" w:rsidRDefault="004F686E" w:rsidP="00471D53">
                    <w:pPr>
                      <w:autoSpaceDE w:val="0"/>
                      <w:autoSpaceDN w:val="0"/>
                      <w:adjustRightInd w:val="0"/>
                      <w:jc w:val="center"/>
                      <w:rPr>
                        <w:szCs w:val="21"/>
                      </w:rPr>
                    </w:pPr>
                    <w:r>
                      <w:rPr>
                        <w:rFonts w:hint="eastAsia"/>
                        <w:szCs w:val="21"/>
                      </w:rPr>
                      <w:t>期初余额</w:t>
                    </w:r>
                  </w:p>
                </w:tc>
              </w:sdtContent>
            </w:sdt>
            <w:sdt>
              <w:sdtPr>
                <w:tag w:val="_PLD_2d15a4a9e10b4386a7ed67bc2137e04a"/>
                <w:id w:val="1036933315"/>
                <w:lock w:val="sdtLocked"/>
              </w:sdtPr>
              <w:sdtEndPr/>
              <w:sdtContent>
                <w:tc>
                  <w:tcPr>
                    <w:tcW w:w="881" w:type="pct"/>
                    <w:tcBorders>
                      <w:top w:val="single" w:sz="4" w:space="0" w:color="auto"/>
                      <w:left w:val="single" w:sz="4" w:space="0" w:color="auto"/>
                      <w:bottom w:val="single" w:sz="4" w:space="0" w:color="auto"/>
                      <w:right w:val="single" w:sz="4" w:space="0" w:color="auto"/>
                    </w:tcBorders>
                    <w:vAlign w:val="center"/>
                  </w:tcPr>
                  <w:p w14:paraId="486995C9" w14:textId="77777777" w:rsidR="00471D53" w:rsidRDefault="004F686E" w:rsidP="00471D53">
                    <w:pPr>
                      <w:jc w:val="center"/>
                    </w:pPr>
                    <w:r>
                      <w:rPr>
                        <w:rFonts w:hint="eastAsia"/>
                      </w:rPr>
                      <w:t>本期增加</w:t>
                    </w:r>
                  </w:p>
                </w:tc>
              </w:sdtContent>
            </w:sdt>
            <w:sdt>
              <w:sdtPr>
                <w:tag w:val="_PLD_12a2bbefe0874cde83fdb77f4a4158a1"/>
                <w:id w:val="-2061078327"/>
                <w:lock w:val="sdtLocked"/>
              </w:sdtPr>
              <w:sdtEndPr/>
              <w:sdtContent>
                <w:tc>
                  <w:tcPr>
                    <w:tcW w:w="889" w:type="pct"/>
                    <w:tcBorders>
                      <w:top w:val="single" w:sz="4" w:space="0" w:color="auto"/>
                      <w:left w:val="single" w:sz="4" w:space="0" w:color="auto"/>
                      <w:bottom w:val="single" w:sz="4" w:space="0" w:color="auto"/>
                      <w:right w:val="single" w:sz="4" w:space="0" w:color="auto"/>
                    </w:tcBorders>
                    <w:vAlign w:val="center"/>
                  </w:tcPr>
                  <w:p w14:paraId="70D872E1" w14:textId="77777777" w:rsidR="00471D53" w:rsidRDefault="004F686E" w:rsidP="00471D53">
                    <w:pPr>
                      <w:jc w:val="center"/>
                    </w:pPr>
                    <w:r>
                      <w:t>本期减少</w:t>
                    </w:r>
                  </w:p>
                </w:tc>
              </w:sdtContent>
            </w:sdt>
            <w:sdt>
              <w:sdtPr>
                <w:tag w:val="_PLD_190d6bcbbde148ffb48f230c6d9d7186"/>
                <w:id w:val="626437472"/>
                <w:lock w:val="sdtLocked"/>
              </w:sdtPr>
              <w:sdtEndPr/>
              <w:sdtContent>
                <w:tc>
                  <w:tcPr>
                    <w:tcW w:w="895" w:type="pct"/>
                    <w:tcBorders>
                      <w:top w:val="single" w:sz="4" w:space="0" w:color="auto"/>
                      <w:left w:val="single" w:sz="4" w:space="0" w:color="auto"/>
                      <w:bottom w:val="single" w:sz="4" w:space="0" w:color="auto"/>
                      <w:right w:val="single" w:sz="4" w:space="0" w:color="auto"/>
                    </w:tcBorders>
                    <w:vAlign w:val="center"/>
                  </w:tcPr>
                  <w:p w14:paraId="10253031" w14:textId="77777777" w:rsidR="00471D53" w:rsidRDefault="004F686E" w:rsidP="00471D53">
                    <w:pPr>
                      <w:autoSpaceDE w:val="0"/>
                      <w:autoSpaceDN w:val="0"/>
                      <w:adjustRightInd w:val="0"/>
                      <w:jc w:val="center"/>
                      <w:rPr>
                        <w:szCs w:val="21"/>
                      </w:rPr>
                    </w:pPr>
                    <w:r>
                      <w:rPr>
                        <w:rFonts w:hint="eastAsia"/>
                        <w:szCs w:val="21"/>
                      </w:rPr>
                      <w:t>期末余额</w:t>
                    </w:r>
                  </w:p>
                </w:tc>
              </w:sdtContent>
            </w:sdt>
          </w:tr>
          <w:tr w:rsidR="00471D53" w14:paraId="31E5325D" w14:textId="77777777" w:rsidTr="00471D53">
            <w:sdt>
              <w:sdtPr>
                <w:tag w:val="_PLD_b24db0ed8285493c9b46db6af314618d"/>
                <w:id w:val="-1664457769"/>
                <w:lock w:val="sdtLocked"/>
              </w:sdtPr>
              <w:sdtEndPr/>
              <w:sdtContent>
                <w:tc>
                  <w:tcPr>
                    <w:tcW w:w="1444" w:type="pct"/>
                    <w:tcBorders>
                      <w:top w:val="single" w:sz="4" w:space="0" w:color="auto"/>
                      <w:left w:val="single" w:sz="4" w:space="0" w:color="auto"/>
                      <w:bottom w:val="single" w:sz="4" w:space="0" w:color="auto"/>
                      <w:right w:val="single" w:sz="4" w:space="0" w:color="auto"/>
                    </w:tcBorders>
                  </w:tcPr>
                  <w:p w14:paraId="243EC95F" w14:textId="77777777" w:rsidR="00471D53" w:rsidRDefault="004F686E" w:rsidP="00471D53">
                    <w:pPr>
                      <w:autoSpaceDE w:val="0"/>
                      <w:autoSpaceDN w:val="0"/>
                      <w:adjustRightInd w:val="0"/>
                      <w:rPr>
                        <w:szCs w:val="21"/>
                      </w:rPr>
                    </w:pPr>
                    <w:r>
                      <w:rPr>
                        <w:rFonts w:hint="eastAsia"/>
                        <w:szCs w:val="21"/>
                      </w:rPr>
                      <w:t>一、工资、奖金、津贴和补贴</w:t>
                    </w:r>
                  </w:p>
                </w:tc>
              </w:sdtContent>
            </w:sdt>
            <w:tc>
              <w:tcPr>
                <w:tcW w:w="891" w:type="pct"/>
                <w:tcBorders>
                  <w:top w:val="single" w:sz="4" w:space="0" w:color="auto"/>
                  <w:left w:val="single" w:sz="4" w:space="0" w:color="auto"/>
                  <w:bottom w:val="single" w:sz="4" w:space="0" w:color="auto"/>
                  <w:right w:val="single" w:sz="4" w:space="0" w:color="auto"/>
                </w:tcBorders>
                <w:vAlign w:val="center"/>
              </w:tcPr>
              <w:p w14:paraId="120B4C60" w14:textId="77777777" w:rsidR="00471D53" w:rsidRDefault="004F686E" w:rsidP="00471D53">
                <w:pPr>
                  <w:jc w:val="right"/>
                  <w:textAlignment w:val="center"/>
                  <w:rPr>
                    <w:rFonts w:cs="Calibri"/>
                    <w:sz w:val="20"/>
                    <w:szCs w:val="20"/>
                  </w:rPr>
                </w:pPr>
                <w:r>
                  <w:rPr>
                    <w:rFonts w:cs="Calibri" w:hint="eastAsia"/>
                    <w:sz w:val="20"/>
                    <w:szCs w:val="20"/>
                    <w:lang w:bidi="ar"/>
                  </w:rPr>
                  <w:t>17,617,984.51</w:t>
                </w:r>
              </w:p>
            </w:tc>
            <w:tc>
              <w:tcPr>
                <w:tcW w:w="881" w:type="pct"/>
                <w:tcBorders>
                  <w:top w:val="single" w:sz="4" w:space="0" w:color="auto"/>
                  <w:left w:val="single" w:sz="4" w:space="0" w:color="auto"/>
                  <w:bottom w:val="single" w:sz="4" w:space="0" w:color="auto"/>
                  <w:right w:val="single" w:sz="4" w:space="0" w:color="auto"/>
                </w:tcBorders>
                <w:vAlign w:val="center"/>
              </w:tcPr>
              <w:p w14:paraId="567DC827" w14:textId="77777777" w:rsidR="00471D53" w:rsidRDefault="004F686E" w:rsidP="00471D53">
                <w:pPr>
                  <w:jc w:val="right"/>
                  <w:textAlignment w:val="center"/>
                  <w:rPr>
                    <w:rFonts w:cs="Calibri"/>
                    <w:sz w:val="20"/>
                    <w:szCs w:val="20"/>
                  </w:rPr>
                </w:pPr>
                <w:r w:rsidRPr="007D6F43">
                  <w:rPr>
                    <w:rFonts w:cs="Calibri"/>
                    <w:sz w:val="20"/>
                    <w:szCs w:val="20"/>
                  </w:rPr>
                  <w:t>63,498,293.26</w:t>
                </w:r>
              </w:p>
            </w:tc>
            <w:tc>
              <w:tcPr>
                <w:tcW w:w="889" w:type="pct"/>
                <w:tcBorders>
                  <w:top w:val="single" w:sz="4" w:space="0" w:color="auto"/>
                  <w:left w:val="single" w:sz="4" w:space="0" w:color="auto"/>
                  <w:bottom w:val="single" w:sz="4" w:space="0" w:color="auto"/>
                  <w:right w:val="single" w:sz="4" w:space="0" w:color="auto"/>
                </w:tcBorders>
                <w:vAlign w:val="center"/>
              </w:tcPr>
              <w:p w14:paraId="327472BC" w14:textId="77777777" w:rsidR="00471D53" w:rsidRDefault="004F686E" w:rsidP="00471D53">
                <w:pPr>
                  <w:jc w:val="right"/>
                  <w:textAlignment w:val="center"/>
                  <w:rPr>
                    <w:rFonts w:cs="Calibri"/>
                    <w:sz w:val="20"/>
                    <w:szCs w:val="20"/>
                  </w:rPr>
                </w:pPr>
                <w:r w:rsidRPr="007D6F43">
                  <w:rPr>
                    <w:rFonts w:cs="Calibri"/>
                    <w:sz w:val="20"/>
                    <w:szCs w:val="20"/>
                  </w:rPr>
                  <w:t>74,344,611.12</w:t>
                </w:r>
              </w:p>
            </w:tc>
            <w:tc>
              <w:tcPr>
                <w:tcW w:w="895" w:type="pct"/>
                <w:tcBorders>
                  <w:top w:val="single" w:sz="4" w:space="0" w:color="auto"/>
                  <w:left w:val="single" w:sz="4" w:space="0" w:color="auto"/>
                  <w:bottom w:val="single" w:sz="4" w:space="0" w:color="auto"/>
                  <w:right w:val="single" w:sz="4" w:space="0" w:color="auto"/>
                </w:tcBorders>
                <w:vAlign w:val="center"/>
              </w:tcPr>
              <w:p w14:paraId="386265B9" w14:textId="77777777" w:rsidR="00471D53" w:rsidRDefault="004F686E" w:rsidP="00471D53">
                <w:pPr>
                  <w:jc w:val="right"/>
                  <w:textAlignment w:val="center"/>
                  <w:rPr>
                    <w:rFonts w:cs="Calibri"/>
                    <w:sz w:val="20"/>
                    <w:szCs w:val="20"/>
                  </w:rPr>
                </w:pPr>
                <w:r w:rsidRPr="007D6F43">
                  <w:rPr>
                    <w:rFonts w:cs="Calibri"/>
                    <w:sz w:val="20"/>
                    <w:szCs w:val="20"/>
                  </w:rPr>
                  <w:t>6,771,666.65</w:t>
                </w:r>
              </w:p>
            </w:tc>
          </w:tr>
          <w:tr w:rsidR="00471D53" w14:paraId="672FB78D" w14:textId="77777777" w:rsidTr="00471D53">
            <w:sdt>
              <w:sdtPr>
                <w:tag w:val="_PLD_f557df41d0484816863da6fa2f5bb6e0"/>
                <w:id w:val="-2048977733"/>
                <w:lock w:val="sdtLocked"/>
              </w:sdtPr>
              <w:sdtEndPr/>
              <w:sdtContent>
                <w:tc>
                  <w:tcPr>
                    <w:tcW w:w="1444" w:type="pct"/>
                    <w:tcBorders>
                      <w:top w:val="single" w:sz="4" w:space="0" w:color="auto"/>
                      <w:left w:val="single" w:sz="4" w:space="0" w:color="auto"/>
                      <w:bottom w:val="single" w:sz="4" w:space="0" w:color="auto"/>
                      <w:right w:val="single" w:sz="4" w:space="0" w:color="auto"/>
                    </w:tcBorders>
                  </w:tcPr>
                  <w:p w14:paraId="40C9F08D" w14:textId="77777777" w:rsidR="00471D53" w:rsidRDefault="004F686E" w:rsidP="00471D53">
                    <w:pPr>
                      <w:autoSpaceDE w:val="0"/>
                      <w:autoSpaceDN w:val="0"/>
                      <w:adjustRightInd w:val="0"/>
                      <w:rPr>
                        <w:szCs w:val="21"/>
                      </w:rPr>
                    </w:pPr>
                    <w:r>
                      <w:rPr>
                        <w:rFonts w:hint="eastAsia"/>
                        <w:szCs w:val="21"/>
                      </w:rPr>
                      <w:t>二、职工福利费</w:t>
                    </w:r>
                  </w:p>
                </w:tc>
              </w:sdtContent>
            </w:sdt>
            <w:tc>
              <w:tcPr>
                <w:tcW w:w="891" w:type="pct"/>
                <w:tcBorders>
                  <w:top w:val="single" w:sz="4" w:space="0" w:color="auto"/>
                  <w:left w:val="single" w:sz="4" w:space="0" w:color="auto"/>
                  <w:bottom w:val="single" w:sz="4" w:space="0" w:color="auto"/>
                  <w:right w:val="single" w:sz="4" w:space="0" w:color="auto"/>
                </w:tcBorders>
                <w:vAlign w:val="center"/>
              </w:tcPr>
              <w:p w14:paraId="261B256A" w14:textId="77777777" w:rsidR="00471D53" w:rsidRDefault="004F686E" w:rsidP="00471D53">
                <w:pPr>
                  <w:jc w:val="right"/>
                  <w:textAlignment w:val="center"/>
                  <w:rPr>
                    <w:rFonts w:cs="Calibri"/>
                    <w:sz w:val="20"/>
                    <w:szCs w:val="20"/>
                  </w:rPr>
                </w:pPr>
                <w:r>
                  <w:rPr>
                    <w:rFonts w:cs="Calibri"/>
                    <w:sz w:val="20"/>
                    <w:szCs w:val="20"/>
                    <w:lang w:bidi="ar"/>
                  </w:rPr>
                  <w:t>0.00</w:t>
                </w:r>
              </w:p>
            </w:tc>
            <w:tc>
              <w:tcPr>
                <w:tcW w:w="881" w:type="pct"/>
                <w:tcBorders>
                  <w:top w:val="single" w:sz="4" w:space="0" w:color="auto"/>
                  <w:left w:val="single" w:sz="4" w:space="0" w:color="auto"/>
                  <w:bottom w:val="single" w:sz="4" w:space="0" w:color="auto"/>
                  <w:right w:val="single" w:sz="4" w:space="0" w:color="auto"/>
                </w:tcBorders>
                <w:vAlign w:val="center"/>
              </w:tcPr>
              <w:p w14:paraId="7A771631" w14:textId="77777777" w:rsidR="00471D53" w:rsidRDefault="004F686E" w:rsidP="00471D53">
                <w:pPr>
                  <w:jc w:val="right"/>
                  <w:textAlignment w:val="center"/>
                  <w:rPr>
                    <w:rFonts w:cs="Calibri"/>
                    <w:sz w:val="20"/>
                    <w:szCs w:val="20"/>
                  </w:rPr>
                </w:pPr>
                <w:r w:rsidRPr="00353094">
                  <w:rPr>
                    <w:rFonts w:cs="Calibri"/>
                    <w:sz w:val="20"/>
                    <w:szCs w:val="20"/>
                  </w:rPr>
                  <w:t>724,327.14</w:t>
                </w:r>
              </w:p>
            </w:tc>
            <w:tc>
              <w:tcPr>
                <w:tcW w:w="889" w:type="pct"/>
                <w:tcBorders>
                  <w:top w:val="single" w:sz="4" w:space="0" w:color="auto"/>
                  <w:left w:val="single" w:sz="4" w:space="0" w:color="auto"/>
                  <w:bottom w:val="single" w:sz="4" w:space="0" w:color="auto"/>
                  <w:right w:val="single" w:sz="4" w:space="0" w:color="auto"/>
                </w:tcBorders>
                <w:vAlign w:val="center"/>
              </w:tcPr>
              <w:p w14:paraId="459B48F7" w14:textId="77777777" w:rsidR="00471D53" w:rsidRDefault="004F686E" w:rsidP="00471D53">
                <w:pPr>
                  <w:jc w:val="right"/>
                  <w:textAlignment w:val="center"/>
                  <w:rPr>
                    <w:rFonts w:cs="Calibri"/>
                    <w:sz w:val="20"/>
                    <w:szCs w:val="20"/>
                  </w:rPr>
                </w:pPr>
                <w:r w:rsidRPr="00353094">
                  <w:rPr>
                    <w:rFonts w:cs="Calibri"/>
                    <w:sz w:val="20"/>
                    <w:szCs w:val="20"/>
                  </w:rPr>
                  <w:t>724,327.14</w:t>
                </w:r>
              </w:p>
            </w:tc>
            <w:tc>
              <w:tcPr>
                <w:tcW w:w="895" w:type="pct"/>
                <w:tcBorders>
                  <w:top w:val="single" w:sz="4" w:space="0" w:color="auto"/>
                  <w:left w:val="single" w:sz="4" w:space="0" w:color="auto"/>
                  <w:bottom w:val="single" w:sz="4" w:space="0" w:color="auto"/>
                  <w:right w:val="single" w:sz="4" w:space="0" w:color="auto"/>
                </w:tcBorders>
                <w:vAlign w:val="center"/>
              </w:tcPr>
              <w:p w14:paraId="714B0C9C" w14:textId="77777777" w:rsidR="00471D53" w:rsidRDefault="004F686E" w:rsidP="00471D53">
                <w:pPr>
                  <w:jc w:val="right"/>
                  <w:textAlignment w:val="center"/>
                  <w:rPr>
                    <w:rFonts w:cs="Calibri"/>
                    <w:sz w:val="20"/>
                    <w:szCs w:val="20"/>
                  </w:rPr>
                </w:pPr>
                <w:r>
                  <w:rPr>
                    <w:rFonts w:cs="Calibri" w:hint="eastAsia"/>
                    <w:sz w:val="20"/>
                    <w:szCs w:val="20"/>
                  </w:rPr>
                  <w:t>0</w:t>
                </w:r>
                <w:r>
                  <w:rPr>
                    <w:rFonts w:cs="Calibri"/>
                    <w:sz w:val="20"/>
                    <w:szCs w:val="20"/>
                  </w:rPr>
                  <w:t>.00</w:t>
                </w:r>
              </w:p>
            </w:tc>
          </w:tr>
          <w:tr w:rsidR="00471D53" w14:paraId="2289D1A8" w14:textId="77777777" w:rsidTr="00471D53">
            <w:sdt>
              <w:sdtPr>
                <w:tag w:val="_PLD_dbac61dc87104ba08157258eaf632c94"/>
                <w:id w:val="-1731533072"/>
                <w:lock w:val="sdtLocked"/>
              </w:sdtPr>
              <w:sdtEndPr/>
              <w:sdtContent>
                <w:tc>
                  <w:tcPr>
                    <w:tcW w:w="1444" w:type="pct"/>
                    <w:tcBorders>
                      <w:top w:val="single" w:sz="4" w:space="0" w:color="auto"/>
                      <w:left w:val="single" w:sz="4" w:space="0" w:color="auto"/>
                      <w:bottom w:val="single" w:sz="4" w:space="0" w:color="auto"/>
                      <w:right w:val="single" w:sz="4" w:space="0" w:color="auto"/>
                    </w:tcBorders>
                  </w:tcPr>
                  <w:p w14:paraId="2CA1983B" w14:textId="77777777" w:rsidR="00471D53" w:rsidRDefault="004F686E" w:rsidP="00471D53">
                    <w:pPr>
                      <w:autoSpaceDE w:val="0"/>
                      <w:autoSpaceDN w:val="0"/>
                      <w:adjustRightInd w:val="0"/>
                      <w:rPr>
                        <w:szCs w:val="21"/>
                      </w:rPr>
                    </w:pPr>
                    <w:r>
                      <w:rPr>
                        <w:rFonts w:hint="eastAsia"/>
                        <w:szCs w:val="21"/>
                      </w:rPr>
                      <w:t>三、社会保险费</w:t>
                    </w:r>
                  </w:p>
                </w:tc>
              </w:sdtContent>
            </w:sdt>
            <w:tc>
              <w:tcPr>
                <w:tcW w:w="891" w:type="pct"/>
                <w:tcBorders>
                  <w:top w:val="single" w:sz="4" w:space="0" w:color="auto"/>
                  <w:left w:val="single" w:sz="4" w:space="0" w:color="auto"/>
                  <w:bottom w:val="single" w:sz="4" w:space="0" w:color="auto"/>
                  <w:right w:val="single" w:sz="4" w:space="0" w:color="auto"/>
                </w:tcBorders>
                <w:vAlign w:val="center"/>
              </w:tcPr>
              <w:p w14:paraId="48AFE660" w14:textId="77777777" w:rsidR="00471D53" w:rsidRDefault="004F686E" w:rsidP="00471D53">
                <w:pPr>
                  <w:jc w:val="right"/>
                  <w:textAlignment w:val="center"/>
                  <w:rPr>
                    <w:rFonts w:cs="Calibri"/>
                    <w:sz w:val="20"/>
                    <w:szCs w:val="20"/>
                  </w:rPr>
                </w:pPr>
                <w:r>
                  <w:rPr>
                    <w:rFonts w:cs="Calibri" w:hint="eastAsia"/>
                    <w:sz w:val="20"/>
                    <w:szCs w:val="20"/>
                    <w:lang w:bidi="ar"/>
                  </w:rPr>
                  <w:t>586,085.50</w:t>
                </w:r>
              </w:p>
            </w:tc>
            <w:tc>
              <w:tcPr>
                <w:tcW w:w="881" w:type="pct"/>
                <w:tcBorders>
                  <w:top w:val="single" w:sz="4" w:space="0" w:color="auto"/>
                  <w:left w:val="single" w:sz="4" w:space="0" w:color="auto"/>
                  <w:bottom w:val="single" w:sz="4" w:space="0" w:color="auto"/>
                  <w:right w:val="single" w:sz="4" w:space="0" w:color="auto"/>
                </w:tcBorders>
                <w:vAlign w:val="center"/>
              </w:tcPr>
              <w:p w14:paraId="1F25C206" w14:textId="77777777" w:rsidR="00471D53" w:rsidRDefault="004F686E" w:rsidP="00471D53">
                <w:pPr>
                  <w:jc w:val="right"/>
                  <w:textAlignment w:val="center"/>
                  <w:rPr>
                    <w:rFonts w:cs="Calibri"/>
                    <w:sz w:val="20"/>
                    <w:szCs w:val="20"/>
                  </w:rPr>
                </w:pPr>
                <w:r w:rsidRPr="00353094">
                  <w:rPr>
                    <w:rFonts w:cs="Calibri"/>
                    <w:sz w:val="20"/>
                    <w:szCs w:val="20"/>
                  </w:rPr>
                  <w:t>6,915,453.37</w:t>
                </w:r>
              </w:p>
            </w:tc>
            <w:tc>
              <w:tcPr>
                <w:tcW w:w="889" w:type="pct"/>
                <w:tcBorders>
                  <w:top w:val="single" w:sz="4" w:space="0" w:color="auto"/>
                  <w:left w:val="single" w:sz="4" w:space="0" w:color="auto"/>
                  <w:bottom w:val="single" w:sz="4" w:space="0" w:color="auto"/>
                  <w:right w:val="single" w:sz="4" w:space="0" w:color="auto"/>
                </w:tcBorders>
                <w:vAlign w:val="center"/>
              </w:tcPr>
              <w:p w14:paraId="06912F28" w14:textId="77777777" w:rsidR="00471D53" w:rsidRDefault="004F686E" w:rsidP="00471D53">
                <w:pPr>
                  <w:jc w:val="right"/>
                  <w:textAlignment w:val="center"/>
                  <w:rPr>
                    <w:rFonts w:cs="Calibri"/>
                    <w:sz w:val="20"/>
                    <w:szCs w:val="20"/>
                  </w:rPr>
                </w:pPr>
                <w:r w:rsidRPr="00353094">
                  <w:rPr>
                    <w:rFonts w:cs="Calibri"/>
                    <w:sz w:val="20"/>
                    <w:szCs w:val="20"/>
                  </w:rPr>
                  <w:t>6,938,555.36</w:t>
                </w:r>
              </w:p>
            </w:tc>
            <w:tc>
              <w:tcPr>
                <w:tcW w:w="895" w:type="pct"/>
                <w:tcBorders>
                  <w:top w:val="single" w:sz="4" w:space="0" w:color="auto"/>
                  <w:left w:val="single" w:sz="4" w:space="0" w:color="auto"/>
                  <w:bottom w:val="single" w:sz="4" w:space="0" w:color="auto"/>
                  <w:right w:val="single" w:sz="4" w:space="0" w:color="auto"/>
                </w:tcBorders>
                <w:vAlign w:val="center"/>
              </w:tcPr>
              <w:p w14:paraId="0ACAD63E" w14:textId="77777777" w:rsidR="00471D53" w:rsidRDefault="004F686E" w:rsidP="00471D53">
                <w:pPr>
                  <w:jc w:val="right"/>
                  <w:textAlignment w:val="center"/>
                  <w:rPr>
                    <w:rFonts w:cs="Calibri"/>
                    <w:sz w:val="20"/>
                    <w:szCs w:val="20"/>
                  </w:rPr>
                </w:pPr>
                <w:r w:rsidRPr="00353094">
                  <w:rPr>
                    <w:rFonts w:cs="Calibri"/>
                    <w:sz w:val="20"/>
                    <w:szCs w:val="20"/>
                  </w:rPr>
                  <w:t>562,983.51</w:t>
                </w:r>
              </w:p>
            </w:tc>
          </w:tr>
          <w:tr w:rsidR="00471D53" w14:paraId="3A297A5D" w14:textId="77777777" w:rsidTr="00471D53">
            <w:sdt>
              <w:sdtPr>
                <w:tag w:val="_PLD_1ae6ec180f494dc4bdbe2a71caadcf9d"/>
                <w:id w:val="-169182945"/>
                <w:lock w:val="sdtLocked"/>
              </w:sdtPr>
              <w:sdtEndPr/>
              <w:sdtContent>
                <w:tc>
                  <w:tcPr>
                    <w:tcW w:w="1444" w:type="pct"/>
                    <w:tcBorders>
                      <w:top w:val="single" w:sz="4" w:space="0" w:color="auto"/>
                      <w:left w:val="single" w:sz="4" w:space="0" w:color="auto"/>
                      <w:bottom w:val="single" w:sz="4" w:space="0" w:color="auto"/>
                      <w:right w:val="single" w:sz="4" w:space="0" w:color="auto"/>
                    </w:tcBorders>
                  </w:tcPr>
                  <w:p w14:paraId="1C3CD84D" w14:textId="77777777" w:rsidR="00471D53" w:rsidRDefault="004F686E" w:rsidP="00471D53">
                    <w:pPr>
                      <w:rPr>
                        <w:color w:val="008000"/>
                        <w:szCs w:val="21"/>
                      </w:rPr>
                    </w:pPr>
                    <w:r>
                      <w:rPr>
                        <w:rFonts w:hint="eastAsia"/>
                        <w:szCs w:val="21"/>
                      </w:rPr>
                      <w:t>其中：</w:t>
                    </w:r>
                    <w:r>
                      <w:rPr>
                        <w:szCs w:val="21"/>
                      </w:rPr>
                      <w:t>医疗保险费</w:t>
                    </w:r>
                  </w:p>
                </w:tc>
              </w:sdtContent>
            </w:sdt>
            <w:tc>
              <w:tcPr>
                <w:tcW w:w="891" w:type="pct"/>
                <w:tcBorders>
                  <w:top w:val="single" w:sz="4" w:space="0" w:color="auto"/>
                  <w:left w:val="single" w:sz="4" w:space="0" w:color="auto"/>
                  <w:bottom w:val="single" w:sz="4" w:space="0" w:color="auto"/>
                  <w:right w:val="single" w:sz="4" w:space="0" w:color="auto"/>
                </w:tcBorders>
                <w:vAlign w:val="center"/>
              </w:tcPr>
              <w:p w14:paraId="38FDEC57" w14:textId="77777777" w:rsidR="00471D53" w:rsidRDefault="004F686E" w:rsidP="00471D53">
                <w:pPr>
                  <w:jc w:val="right"/>
                  <w:textAlignment w:val="center"/>
                  <w:rPr>
                    <w:rFonts w:cs="Calibri"/>
                    <w:sz w:val="20"/>
                    <w:szCs w:val="20"/>
                  </w:rPr>
                </w:pPr>
                <w:r>
                  <w:rPr>
                    <w:rFonts w:cs="Calibri" w:hint="eastAsia"/>
                    <w:sz w:val="20"/>
                    <w:szCs w:val="20"/>
                    <w:lang w:bidi="ar"/>
                  </w:rPr>
                  <w:t>523,086.85</w:t>
                </w:r>
              </w:p>
            </w:tc>
            <w:tc>
              <w:tcPr>
                <w:tcW w:w="881" w:type="pct"/>
                <w:tcBorders>
                  <w:top w:val="single" w:sz="4" w:space="0" w:color="auto"/>
                  <w:left w:val="single" w:sz="4" w:space="0" w:color="auto"/>
                  <w:bottom w:val="single" w:sz="4" w:space="0" w:color="auto"/>
                  <w:right w:val="single" w:sz="4" w:space="0" w:color="auto"/>
                </w:tcBorders>
                <w:vAlign w:val="center"/>
              </w:tcPr>
              <w:p w14:paraId="006088F8" w14:textId="77777777" w:rsidR="00471D53" w:rsidRDefault="004F686E" w:rsidP="00471D53">
                <w:pPr>
                  <w:jc w:val="right"/>
                  <w:textAlignment w:val="center"/>
                  <w:rPr>
                    <w:rFonts w:cs="Calibri"/>
                    <w:sz w:val="20"/>
                    <w:szCs w:val="20"/>
                  </w:rPr>
                </w:pPr>
                <w:r w:rsidRPr="00353094">
                  <w:rPr>
                    <w:rFonts w:cs="Calibri"/>
                    <w:sz w:val="20"/>
                    <w:szCs w:val="20"/>
                  </w:rPr>
                  <w:t>6,403,087.93</w:t>
                </w:r>
              </w:p>
            </w:tc>
            <w:tc>
              <w:tcPr>
                <w:tcW w:w="889" w:type="pct"/>
                <w:tcBorders>
                  <w:top w:val="single" w:sz="4" w:space="0" w:color="auto"/>
                  <w:left w:val="single" w:sz="4" w:space="0" w:color="auto"/>
                  <w:bottom w:val="single" w:sz="4" w:space="0" w:color="auto"/>
                  <w:right w:val="single" w:sz="4" w:space="0" w:color="auto"/>
                </w:tcBorders>
                <w:vAlign w:val="center"/>
              </w:tcPr>
              <w:p w14:paraId="127350E3" w14:textId="77777777" w:rsidR="00471D53" w:rsidRDefault="004F686E" w:rsidP="00471D53">
                <w:pPr>
                  <w:jc w:val="right"/>
                  <w:textAlignment w:val="center"/>
                  <w:rPr>
                    <w:rFonts w:cs="Calibri"/>
                    <w:sz w:val="20"/>
                    <w:szCs w:val="20"/>
                  </w:rPr>
                </w:pPr>
                <w:r w:rsidRPr="00353094">
                  <w:rPr>
                    <w:rFonts w:cs="Calibri"/>
                    <w:sz w:val="20"/>
                    <w:szCs w:val="20"/>
                  </w:rPr>
                  <w:t>6,442,553.07</w:t>
                </w:r>
              </w:p>
            </w:tc>
            <w:tc>
              <w:tcPr>
                <w:tcW w:w="895" w:type="pct"/>
                <w:tcBorders>
                  <w:top w:val="single" w:sz="4" w:space="0" w:color="auto"/>
                  <w:left w:val="single" w:sz="4" w:space="0" w:color="auto"/>
                  <w:bottom w:val="single" w:sz="4" w:space="0" w:color="auto"/>
                  <w:right w:val="single" w:sz="4" w:space="0" w:color="auto"/>
                </w:tcBorders>
                <w:vAlign w:val="center"/>
              </w:tcPr>
              <w:p w14:paraId="6CF2D02F" w14:textId="77777777" w:rsidR="00471D53" w:rsidRDefault="004F686E" w:rsidP="00471D53">
                <w:pPr>
                  <w:jc w:val="right"/>
                  <w:textAlignment w:val="center"/>
                  <w:rPr>
                    <w:rFonts w:cs="Calibri"/>
                    <w:sz w:val="20"/>
                    <w:szCs w:val="20"/>
                  </w:rPr>
                </w:pPr>
                <w:r w:rsidRPr="00353094">
                  <w:rPr>
                    <w:rFonts w:cs="Calibri"/>
                    <w:sz w:val="20"/>
                    <w:szCs w:val="20"/>
                  </w:rPr>
                  <w:t>483,621.71</w:t>
                </w:r>
              </w:p>
            </w:tc>
          </w:tr>
          <w:tr w:rsidR="00471D53" w14:paraId="6256A188" w14:textId="77777777" w:rsidTr="00471D53">
            <w:sdt>
              <w:sdtPr>
                <w:tag w:val="_PLD_a5396281963e4191a16040ecc2da4b44"/>
                <w:id w:val="-134495426"/>
                <w:lock w:val="sdtLocked"/>
              </w:sdtPr>
              <w:sdtEndPr/>
              <w:sdtContent>
                <w:tc>
                  <w:tcPr>
                    <w:tcW w:w="1444" w:type="pct"/>
                    <w:tcBorders>
                      <w:top w:val="single" w:sz="4" w:space="0" w:color="auto"/>
                      <w:left w:val="single" w:sz="4" w:space="0" w:color="auto"/>
                      <w:bottom w:val="single" w:sz="4" w:space="0" w:color="auto"/>
                      <w:right w:val="single" w:sz="4" w:space="0" w:color="auto"/>
                    </w:tcBorders>
                  </w:tcPr>
                  <w:p w14:paraId="6448255D" w14:textId="77777777" w:rsidR="00471D53" w:rsidRDefault="004F686E" w:rsidP="00471D53">
                    <w:pPr>
                      <w:ind w:firstLineChars="300" w:firstLine="630"/>
                      <w:rPr>
                        <w:szCs w:val="21"/>
                      </w:rPr>
                    </w:pPr>
                    <w:r>
                      <w:rPr>
                        <w:rFonts w:hint="eastAsia"/>
                        <w:szCs w:val="21"/>
                      </w:rPr>
                      <w:t>工伤保险费</w:t>
                    </w:r>
                  </w:p>
                </w:tc>
              </w:sdtContent>
            </w:sdt>
            <w:tc>
              <w:tcPr>
                <w:tcW w:w="891" w:type="pct"/>
                <w:tcBorders>
                  <w:top w:val="single" w:sz="4" w:space="0" w:color="auto"/>
                  <w:left w:val="single" w:sz="4" w:space="0" w:color="auto"/>
                  <w:bottom w:val="single" w:sz="4" w:space="0" w:color="auto"/>
                  <w:right w:val="single" w:sz="4" w:space="0" w:color="auto"/>
                </w:tcBorders>
                <w:vAlign w:val="center"/>
              </w:tcPr>
              <w:p w14:paraId="12CB8016" w14:textId="77777777" w:rsidR="00471D53" w:rsidRDefault="004F686E" w:rsidP="00471D53">
                <w:pPr>
                  <w:jc w:val="right"/>
                  <w:textAlignment w:val="center"/>
                  <w:rPr>
                    <w:rFonts w:cs="Calibri"/>
                    <w:sz w:val="20"/>
                    <w:szCs w:val="20"/>
                  </w:rPr>
                </w:pPr>
                <w:r>
                  <w:rPr>
                    <w:rFonts w:cs="Calibri" w:hint="eastAsia"/>
                    <w:sz w:val="20"/>
                    <w:szCs w:val="20"/>
                    <w:lang w:bidi="ar"/>
                  </w:rPr>
                  <w:t>16,979.93</w:t>
                </w:r>
              </w:p>
            </w:tc>
            <w:tc>
              <w:tcPr>
                <w:tcW w:w="881" w:type="pct"/>
                <w:tcBorders>
                  <w:top w:val="single" w:sz="4" w:space="0" w:color="auto"/>
                  <w:left w:val="single" w:sz="4" w:space="0" w:color="auto"/>
                  <w:bottom w:val="single" w:sz="4" w:space="0" w:color="auto"/>
                  <w:right w:val="single" w:sz="4" w:space="0" w:color="auto"/>
                </w:tcBorders>
                <w:vAlign w:val="center"/>
              </w:tcPr>
              <w:p w14:paraId="23FD9A4B" w14:textId="77777777" w:rsidR="00471D53" w:rsidRDefault="004F686E" w:rsidP="00471D53">
                <w:pPr>
                  <w:jc w:val="right"/>
                  <w:textAlignment w:val="center"/>
                  <w:rPr>
                    <w:rFonts w:cs="Calibri"/>
                    <w:sz w:val="20"/>
                    <w:szCs w:val="20"/>
                  </w:rPr>
                </w:pPr>
                <w:r w:rsidRPr="00353094">
                  <w:rPr>
                    <w:rFonts w:cs="Calibri"/>
                    <w:sz w:val="20"/>
                    <w:szCs w:val="20"/>
                  </w:rPr>
                  <w:t>405,842.94</w:t>
                </w:r>
              </w:p>
            </w:tc>
            <w:tc>
              <w:tcPr>
                <w:tcW w:w="889" w:type="pct"/>
                <w:tcBorders>
                  <w:top w:val="single" w:sz="4" w:space="0" w:color="auto"/>
                  <w:left w:val="single" w:sz="4" w:space="0" w:color="auto"/>
                  <w:bottom w:val="single" w:sz="4" w:space="0" w:color="auto"/>
                  <w:right w:val="single" w:sz="4" w:space="0" w:color="auto"/>
                </w:tcBorders>
                <w:vAlign w:val="center"/>
              </w:tcPr>
              <w:p w14:paraId="531501F7" w14:textId="77777777" w:rsidR="00471D53" w:rsidRDefault="004F686E" w:rsidP="00471D53">
                <w:pPr>
                  <w:jc w:val="right"/>
                  <w:textAlignment w:val="center"/>
                  <w:rPr>
                    <w:rFonts w:cs="Calibri"/>
                    <w:sz w:val="20"/>
                    <w:szCs w:val="20"/>
                  </w:rPr>
                </w:pPr>
                <w:r w:rsidRPr="00353094">
                  <w:rPr>
                    <w:rFonts w:cs="Calibri"/>
                    <w:sz w:val="20"/>
                    <w:szCs w:val="20"/>
                  </w:rPr>
                  <w:t>389,479.79</w:t>
                </w:r>
              </w:p>
            </w:tc>
            <w:tc>
              <w:tcPr>
                <w:tcW w:w="895" w:type="pct"/>
                <w:tcBorders>
                  <w:top w:val="single" w:sz="4" w:space="0" w:color="auto"/>
                  <w:left w:val="single" w:sz="4" w:space="0" w:color="auto"/>
                  <w:bottom w:val="single" w:sz="4" w:space="0" w:color="auto"/>
                  <w:right w:val="single" w:sz="4" w:space="0" w:color="auto"/>
                </w:tcBorders>
                <w:vAlign w:val="center"/>
              </w:tcPr>
              <w:p w14:paraId="67F94EF3" w14:textId="77777777" w:rsidR="00471D53" w:rsidRDefault="004F686E" w:rsidP="00471D53">
                <w:pPr>
                  <w:jc w:val="right"/>
                  <w:textAlignment w:val="center"/>
                  <w:rPr>
                    <w:rFonts w:cs="Calibri"/>
                    <w:sz w:val="20"/>
                    <w:szCs w:val="20"/>
                  </w:rPr>
                </w:pPr>
                <w:r w:rsidRPr="00353094">
                  <w:rPr>
                    <w:rFonts w:cs="Calibri"/>
                    <w:sz w:val="20"/>
                    <w:szCs w:val="20"/>
                  </w:rPr>
                  <w:t>33,343.08</w:t>
                </w:r>
              </w:p>
            </w:tc>
          </w:tr>
          <w:tr w:rsidR="00471D53" w14:paraId="692C492A" w14:textId="77777777" w:rsidTr="00471D53">
            <w:sdt>
              <w:sdtPr>
                <w:tag w:val="_PLD_804a3b1683d741ebb83bd99deed156d6"/>
                <w:id w:val="1984042497"/>
                <w:lock w:val="sdtLocked"/>
              </w:sdtPr>
              <w:sdtEndPr/>
              <w:sdtContent>
                <w:tc>
                  <w:tcPr>
                    <w:tcW w:w="1444" w:type="pct"/>
                    <w:tcBorders>
                      <w:top w:val="single" w:sz="4" w:space="0" w:color="auto"/>
                      <w:left w:val="single" w:sz="4" w:space="0" w:color="auto"/>
                      <w:bottom w:val="single" w:sz="4" w:space="0" w:color="auto"/>
                      <w:right w:val="single" w:sz="4" w:space="0" w:color="auto"/>
                    </w:tcBorders>
                  </w:tcPr>
                  <w:p w14:paraId="307FD5C5" w14:textId="77777777" w:rsidR="00471D53" w:rsidRDefault="004F686E" w:rsidP="00471D53">
                    <w:pPr>
                      <w:ind w:firstLineChars="300" w:firstLine="630"/>
                      <w:rPr>
                        <w:szCs w:val="21"/>
                      </w:rPr>
                    </w:pPr>
                    <w:r>
                      <w:rPr>
                        <w:rFonts w:hint="eastAsia"/>
                        <w:szCs w:val="21"/>
                      </w:rPr>
                      <w:t>生育保险费</w:t>
                    </w:r>
                  </w:p>
                </w:tc>
              </w:sdtContent>
            </w:sdt>
            <w:tc>
              <w:tcPr>
                <w:tcW w:w="891" w:type="pct"/>
                <w:tcBorders>
                  <w:top w:val="single" w:sz="4" w:space="0" w:color="auto"/>
                  <w:left w:val="single" w:sz="4" w:space="0" w:color="auto"/>
                  <w:bottom w:val="single" w:sz="4" w:space="0" w:color="auto"/>
                  <w:right w:val="single" w:sz="4" w:space="0" w:color="auto"/>
                </w:tcBorders>
                <w:vAlign w:val="center"/>
              </w:tcPr>
              <w:p w14:paraId="73FD7CB8" w14:textId="77777777" w:rsidR="00471D53" w:rsidRDefault="004F686E" w:rsidP="00471D53">
                <w:pPr>
                  <w:jc w:val="right"/>
                  <w:textAlignment w:val="center"/>
                  <w:rPr>
                    <w:rFonts w:cs="Calibri"/>
                    <w:sz w:val="20"/>
                    <w:szCs w:val="20"/>
                  </w:rPr>
                </w:pPr>
                <w:r>
                  <w:rPr>
                    <w:rFonts w:cs="Calibri" w:hint="eastAsia"/>
                    <w:sz w:val="20"/>
                    <w:szCs w:val="20"/>
                    <w:lang w:bidi="ar"/>
                  </w:rPr>
                  <w:t>46,018.72</w:t>
                </w:r>
              </w:p>
            </w:tc>
            <w:tc>
              <w:tcPr>
                <w:tcW w:w="881" w:type="pct"/>
                <w:tcBorders>
                  <w:top w:val="single" w:sz="4" w:space="0" w:color="auto"/>
                  <w:left w:val="single" w:sz="4" w:space="0" w:color="auto"/>
                  <w:bottom w:val="single" w:sz="4" w:space="0" w:color="auto"/>
                  <w:right w:val="single" w:sz="4" w:space="0" w:color="auto"/>
                </w:tcBorders>
                <w:vAlign w:val="center"/>
              </w:tcPr>
              <w:p w14:paraId="5EA68A84" w14:textId="77777777" w:rsidR="00471D53" w:rsidRDefault="004F686E" w:rsidP="00471D53">
                <w:pPr>
                  <w:jc w:val="right"/>
                  <w:textAlignment w:val="center"/>
                  <w:rPr>
                    <w:rFonts w:cs="Calibri"/>
                    <w:sz w:val="20"/>
                    <w:szCs w:val="20"/>
                  </w:rPr>
                </w:pPr>
                <w:r w:rsidRPr="00353094">
                  <w:rPr>
                    <w:rFonts w:cs="Calibri"/>
                    <w:sz w:val="20"/>
                    <w:szCs w:val="20"/>
                  </w:rPr>
                  <w:t>106,522.50</w:t>
                </w:r>
              </w:p>
            </w:tc>
            <w:tc>
              <w:tcPr>
                <w:tcW w:w="889" w:type="pct"/>
                <w:tcBorders>
                  <w:top w:val="single" w:sz="4" w:space="0" w:color="auto"/>
                  <w:left w:val="single" w:sz="4" w:space="0" w:color="auto"/>
                  <w:bottom w:val="single" w:sz="4" w:space="0" w:color="auto"/>
                  <w:right w:val="single" w:sz="4" w:space="0" w:color="auto"/>
                </w:tcBorders>
                <w:vAlign w:val="center"/>
              </w:tcPr>
              <w:p w14:paraId="361CC48B" w14:textId="77777777" w:rsidR="00471D53" w:rsidRDefault="004F686E" w:rsidP="00471D53">
                <w:pPr>
                  <w:jc w:val="right"/>
                  <w:textAlignment w:val="center"/>
                  <w:rPr>
                    <w:rFonts w:cs="Calibri"/>
                    <w:sz w:val="20"/>
                    <w:szCs w:val="20"/>
                  </w:rPr>
                </w:pPr>
                <w:r w:rsidRPr="00353094">
                  <w:rPr>
                    <w:rFonts w:cs="Calibri"/>
                    <w:sz w:val="20"/>
                    <w:szCs w:val="20"/>
                  </w:rPr>
                  <w:t>106,522.50</w:t>
                </w:r>
              </w:p>
            </w:tc>
            <w:tc>
              <w:tcPr>
                <w:tcW w:w="895" w:type="pct"/>
                <w:tcBorders>
                  <w:top w:val="single" w:sz="4" w:space="0" w:color="auto"/>
                  <w:left w:val="single" w:sz="4" w:space="0" w:color="auto"/>
                  <w:bottom w:val="single" w:sz="4" w:space="0" w:color="auto"/>
                  <w:right w:val="single" w:sz="4" w:space="0" w:color="auto"/>
                </w:tcBorders>
                <w:vAlign w:val="center"/>
              </w:tcPr>
              <w:p w14:paraId="08ACD321" w14:textId="77777777" w:rsidR="00471D53" w:rsidRDefault="004F686E" w:rsidP="00471D53">
                <w:pPr>
                  <w:jc w:val="right"/>
                  <w:textAlignment w:val="center"/>
                  <w:rPr>
                    <w:rFonts w:cs="Calibri"/>
                    <w:sz w:val="20"/>
                    <w:szCs w:val="20"/>
                  </w:rPr>
                </w:pPr>
                <w:r w:rsidRPr="00353094">
                  <w:rPr>
                    <w:rFonts w:cs="Calibri"/>
                    <w:sz w:val="20"/>
                    <w:szCs w:val="20"/>
                  </w:rPr>
                  <w:t>46,018.72</w:t>
                </w:r>
              </w:p>
            </w:tc>
          </w:tr>
          <w:tr w:rsidR="00471D53" w14:paraId="41D2DB2A" w14:textId="77777777" w:rsidTr="00471D53">
            <w:sdt>
              <w:sdtPr>
                <w:tag w:val="_PLD_7cd8935ff2544a81820fdc14f7afe2b7"/>
                <w:id w:val="1919362192"/>
                <w:lock w:val="sdtLocked"/>
              </w:sdtPr>
              <w:sdtEndPr/>
              <w:sdtContent>
                <w:tc>
                  <w:tcPr>
                    <w:tcW w:w="1444" w:type="pct"/>
                    <w:tcBorders>
                      <w:top w:val="single" w:sz="4" w:space="0" w:color="auto"/>
                      <w:left w:val="single" w:sz="4" w:space="0" w:color="auto"/>
                      <w:bottom w:val="single" w:sz="4" w:space="0" w:color="auto"/>
                      <w:right w:val="single" w:sz="4" w:space="0" w:color="auto"/>
                    </w:tcBorders>
                  </w:tcPr>
                  <w:p w14:paraId="62FFC897" w14:textId="77777777" w:rsidR="00471D53" w:rsidRDefault="004F686E" w:rsidP="00471D53">
                    <w:pPr>
                      <w:autoSpaceDE w:val="0"/>
                      <w:autoSpaceDN w:val="0"/>
                      <w:adjustRightInd w:val="0"/>
                      <w:rPr>
                        <w:szCs w:val="21"/>
                      </w:rPr>
                    </w:pPr>
                    <w:r>
                      <w:rPr>
                        <w:rFonts w:hint="eastAsia"/>
                        <w:szCs w:val="21"/>
                      </w:rPr>
                      <w:t>四、住房公积金</w:t>
                    </w:r>
                  </w:p>
                </w:tc>
              </w:sdtContent>
            </w:sdt>
            <w:tc>
              <w:tcPr>
                <w:tcW w:w="891" w:type="pct"/>
                <w:tcBorders>
                  <w:top w:val="single" w:sz="4" w:space="0" w:color="auto"/>
                  <w:left w:val="single" w:sz="4" w:space="0" w:color="auto"/>
                  <w:bottom w:val="single" w:sz="4" w:space="0" w:color="auto"/>
                  <w:right w:val="single" w:sz="4" w:space="0" w:color="auto"/>
                </w:tcBorders>
                <w:vAlign w:val="center"/>
              </w:tcPr>
              <w:p w14:paraId="1EFD989E" w14:textId="77777777" w:rsidR="00471D53" w:rsidRDefault="004F686E" w:rsidP="00471D53">
                <w:pPr>
                  <w:jc w:val="right"/>
                  <w:textAlignment w:val="center"/>
                  <w:rPr>
                    <w:rFonts w:cs="Calibri"/>
                    <w:sz w:val="20"/>
                    <w:szCs w:val="20"/>
                  </w:rPr>
                </w:pPr>
                <w:r>
                  <w:rPr>
                    <w:rFonts w:cs="Calibri" w:hint="eastAsia"/>
                    <w:sz w:val="20"/>
                    <w:szCs w:val="20"/>
                    <w:lang w:bidi="ar"/>
                  </w:rPr>
                  <w:t>125,854.94</w:t>
                </w:r>
              </w:p>
            </w:tc>
            <w:tc>
              <w:tcPr>
                <w:tcW w:w="881" w:type="pct"/>
                <w:tcBorders>
                  <w:top w:val="single" w:sz="4" w:space="0" w:color="auto"/>
                  <w:left w:val="single" w:sz="4" w:space="0" w:color="auto"/>
                  <w:bottom w:val="single" w:sz="4" w:space="0" w:color="auto"/>
                  <w:right w:val="single" w:sz="4" w:space="0" w:color="auto"/>
                </w:tcBorders>
                <w:vAlign w:val="center"/>
              </w:tcPr>
              <w:p w14:paraId="01D4A34B" w14:textId="77777777" w:rsidR="00471D53" w:rsidRDefault="004F686E" w:rsidP="00471D53">
                <w:pPr>
                  <w:jc w:val="right"/>
                  <w:textAlignment w:val="center"/>
                  <w:rPr>
                    <w:rFonts w:cs="Calibri"/>
                    <w:sz w:val="20"/>
                    <w:szCs w:val="20"/>
                  </w:rPr>
                </w:pPr>
                <w:r w:rsidRPr="00353094">
                  <w:rPr>
                    <w:rFonts w:cs="Calibri"/>
                    <w:sz w:val="20"/>
                    <w:szCs w:val="20"/>
                  </w:rPr>
                  <w:t>5,324,444.01</w:t>
                </w:r>
              </w:p>
            </w:tc>
            <w:tc>
              <w:tcPr>
                <w:tcW w:w="889" w:type="pct"/>
                <w:tcBorders>
                  <w:top w:val="single" w:sz="4" w:space="0" w:color="auto"/>
                  <w:left w:val="single" w:sz="4" w:space="0" w:color="auto"/>
                  <w:bottom w:val="single" w:sz="4" w:space="0" w:color="auto"/>
                  <w:right w:val="single" w:sz="4" w:space="0" w:color="auto"/>
                </w:tcBorders>
                <w:vAlign w:val="center"/>
              </w:tcPr>
              <w:p w14:paraId="55892912" w14:textId="77777777" w:rsidR="00471D53" w:rsidRDefault="004F686E" w:rsidP="00471D53">
                <w:pPr>
                  <w:jc w:val="right"/>
                  <w:textAlignment w:val="center"/>
                  <w:rPr>
                    <w:rFonts w:cs="Calibri"/>
                    <w:sz w:val="20"/>
                    <w:szCs w:val="20"/>
                  </w:rPr>
                </w:pPr>
                <w:r w:rsidRPr="00353094">
                  <w:rPr>
                    <w:rFonts w:cs="Calibri"/>
                    <w:sz w:val="20"/>
                    <w:szCs w:val="20"/>
                  </w:rPr>
                  <w:t>5,297,626.00</w:t>
                </w:r>
              </w:p>
            </w:tc>
            <w:tc>
              <w:tcPr>
                <w:tcW w:w="895" w:type="pct"/>
                <w:tcBorders>
                  <w:top w:val="single" w:sz="4" w:space="0" w:color="auto"/>
                  <w:left w:val="single" w:sz="4" w:space="0" w:color="auto"/>
                  <w:bottom w:val="single" w:sz="4" w:space="0" w:color="auto"/>
                  <w:right w:val="single" w:sz="4" w:space="0" w:color="auto"/>
                </w:tcBorders>
                <w:vAlign w:val="center"/>
              </w:tcPr>
              <w:p w14:paraId="09F9738F" w14:textId="77777777" w:rsidR="00471D53" w:rsidRDefault="004F686E" w:rsidP="00471D53">
                <w:pPr>
                  <w:jc w:val="right"/>
                  <w:textAlignment w:val="center"/>
                  <w:rPr>
                    <w:rFonts w:cs="Calibri"/>
                    <w:sz w:val="20"/>
                    <w:szCs w:val="20"/>
                  </w:rPr>
                </w:pPr>
                <w:r w:rsidRPr="00353094">
                  <w:rPr>
                    <w:rFonts w:cs="Calibri"/>
                    <w:sz w:val="20"/>
                    <w:szCs w:val="20"/>
                  </w:rPr>
                  <w:t>152,672.95</w:t>
                </w:r>
              </w:p>
            </w:tc>
          </w:tr>
          <w:tr w:rsidR="00471D53" w14:paraId="707506D5" w14:textId="77777777" w:rsidTr="00471D53">
            <w:sdt>
              <w:sdtPr>
                <w:tag w:val="_PLD_9a4d3040fb464e23a007dcea5588dfc0"/>
                <w:id w:val="2640028"/>
                <w:lock w:val="sdtLocked"/>
              </w:sdtPr>
              <w:sdtEndPr/>
              <w:sdtContent>
                <w:tc>
                  <w:tcPr>
                    <w:tcW w:w="1444" w:type="pct"/>
                    <w:tcBorders>
                      <w:top w:val="single" w:sz="4" w:space="0" w:color="auto"/>
                      <w:left w:val="single" w:sz="4" w:space="0" w:color="auto"/>
                      <w:bottom w:val="single" w:sz="4" w:space="0" w:color="auto"/>
                      <w:right w:val="single" w:sz="4" w:space="0" w:color="auto"/>
                    </w:tcBorders>
                  </w:tcPr>
                  <w:p w14:paraId="512EA629" w14:textId="77777777" w:rsidR="00471D53" w:rsidRDefault="004F686E" w:rsidP="00471D53">
                    <w:pPr>
                      <w:autoSpaceDE w:val="0"/>
                      <w:autoSpaceDN w:val="0"/>
                      <w:adjustRightInd w:val="0"/>
                      <w:rPr>
                        <w:szCs w:val="21"/>
                      </w:rPr>
                    </w:pPr>
                    <w:r>
                      <w:rPr>
                        <w:rFonts w:hint="eastAsia"/>
                        <w:szCs w:val="21"/>
                      </w:rPr>
                      <w:t>五、工会经费和职工教育经费</w:t>
                    </w:r>
                  </w:p>
                </w:tc>
              </w:sdtContent>
            </w:sdt>
            <w:tc>
              <w:tcPr>
                <w:tcW w:w="891" w:type="pct"/>
                <w:tcBorders>
                  <w:top w:val="single" w:sz="4" w:space="0" w:color="auto"/>
                  <w:left w:val="single" w:sz="4" w:space="0" w:color="auto"/>
                  <w:bottom w:val="single" w:sz="4" w:space="0" w:color="auto"/>
                  <w:right w:val="single" w:sz="4" w:space="0" w:color="auto"/>
                </w:tcBorders>
                <w:vAlign w:val="center"/>
              </w:tcPr>
              <w:p w14:paraId="1FF30260" w14:textId="77777777" w:rsidR="00471D53" w:rsidRDefault="004F686E" w:rsidP="00471D53">
                <w:pPr>
                  <w:jc w:val="right"/>
                  <w:textAlignment w:val="center"/>
                  <w:rPr>
                    <w:rFonts w:cs="Calibri"/>
                    <w:sz w:val="20"/>
                    <w:szCs w:val="20"/>
                  </w:rPr>
                </w:pPr>
                <w:r>
                  <w:rPr>
                    <w:rFonts w:cs="Calibri" w:hint="eastAsia"/>
                    <w:sz w:val="20"/>
                    <w:szCs w:val="20"/>
                    <w:lang w:bidi="ar"/>
                  </w:rPr>
                  <w:t>5,378,031.00</w:t>
                </w:r>
              </w:p>
            </w:tc>
            <w:tc>
              <w:tcPr>
                <w:tcW w:w="881" w:type="pct"/>
                <w:tcBorders>
                  <w:top w:val="single" w:sz="4" w:space="0" w:color="auto"/>
                  <w:left w:val="single" w:sz="4" w:space="0" w:color="auto"/>
                  <w:bottom w:val="single" w:sz="4" w:space="0" w:color="auto"/>
                  <w:right w:val="single" w:sz="4" w:space="0" w:color="auto"/>
                </w:tcBorders>
                <w:vAlign w:val="center"/>
              </w:tcPr>
              <w:p w14:paraId="48AEEB79" w14:textId="77777777" w:rsidR="00471D53" w:rsidRDefault="004F686E" w:rsidP="00471D53">
                <w:pPr>
                  <w:jc w:val="right"/>
                  <w:textAlignment w:val="center"/>
                  <w:rPr>
                    <w:rFonts w:cs="Calibri"/>
                    <w:sz w:val="20"/>
                    <w:szCs w:val="20"/>
                  </w:rPr>
                </w:pPr>
                <w:r w:rsidRPr="00353094">
                  <w:rPr>
                    <w:rFonts w:cs="Calibri"/>
                    <w:sz w:val="20"/>
                    <w:szCs w:val="20"/>
                  </w:rPr>
                  <w:t>1,510,928.15</w:t>
                </w:r>
              </w:p>
            </w:tc>
            <w:tc>
              <w:tcPr>
                <w:tcW w:w="889" w:type="pct"/>
                <w:tcBorders>
                  <w:top w:val="single" w:sz="4" w:space="0" w:color="auto"/>
                  <w:left w:val="single" w:sz="4" w:space="0" w:color="auto"/>
                  <w:bottom w:val="single" w:sz="4" w:space="0" w:color="auto"/>
                  <w:right w:val="single" w:sz="4" w:space="0" w:color="auto"/>
                </w:tcBorders>
                <w:vAlign w:val="center"/>
              </w:tcPr>
              <w:p w14:paraId="798C6F8C" w14:textId="77777777" w:rsidR="00471D53" w:rsidRDefault="004F686E" w:rsidP="00471D53">
                <w:pPr>
                  <w:jc w:val="right"/>
                  <w:textAlignment w:val="center"/>
                  <w:rPr>
                    <w:rFonts w:cs="Calibri"/>
                    <w:sz w:val="20"/>
                    <w:szCs w:val="20"/>
                  </w:rPr>
                </w:pPr>
                <w:r w:rsidRPr="00353094">
                  <w:rPr>
                    <w:rFonts w:cs="Calibri"/>
                    <w:sz w:val="20"/>
                    <w:szCs w:val="20"/>
                  </w:rPr>
                  <w:t>1,662,709.85</w:t>
                </w:r>
              </w:p>
            </w:tc>
            <w:tc>
              <w:tcPr>
                <w:tcW w:w="895" w:type="pct"/>
                <w:tcBorders>
                  <w:top w:val="single" w:sz="4" w:space="0" w:color="auto"/>
                  <w:left w:val="single" w:sz="4" w:space="0" w:color="auto"/>
                  <w:bottom w:val="single" w:sz="4" w:space="0" w:color="auto"/>
                  <w:right w:val="single" w:sz="4" w:space="0" w:color="auto"/>
                </w:tcBorders>
                <w:vAlign w:val="center"/>
              </w:tcPr>
              <w:p w14:paraId="1BA051F6" w14:textId="77777777" w:rsidR="00471D53" w:rsidRDefault="004F686E" w:rsidP="00471D53">
                <w:pPr>
                  <w:jc w:val="right"/>
                  <w:textAlignment w:val="center"/>
                  <w:rPr>
                    <w:rFonts w:cs="Calibri"/>
                    <w:sz w:val="20"/>
                    <w:szCs w:val="20"/>
                  </w:rPr>
                </w:pPr>
                <w:r w:rsidRPr="007D6F43">
                  <w:rPr>
                    <w:rFonts w:cs="Calibri"/>
                    <w:sz w:val="20"/>
                    <w:szCs w:val="20"/>
                  </w:rPr>
                  <w:t>5,226,249.30</w:t>
                </w:r>
              </w:p>
            </w:tc>
          </w:tr>
          <w:tr w:rsidR="00471D53" w14:paraId="2799E178" w14:textId="77777777" w:rsidTr="00471D53">
            <w:sdt>
              <w:sdtPr>
                <w:tag w:val="_PLD_bc842d3a1ac64d43805380b3757b59de"/>
                <w:id w:val="-335380466"/>
                <w:lock w:val="sdtLocked"/>
              </w:sdtPr>
              <w:sdtEndPr/>
              <w:sdtContent>
                <w:tc>
                  <w:tcPr>
                    <w:tcW w:w="1444" w:type="pct"/>
                    <w:tcBorders>
                      <w:top w:val="single" w:sz="4" w:space="0" w:color="auto"/>
                      <w:left w:val="single" w:sz="4" w:space="0" w:color="auto"/>
                      <w:bottom w:val="single" w:sz="4" w:space="0" w:color="auto"/>
                      <w:right w:val="single" w:sz="4" w:space="0" w:color="auto"/>
                    </w:tcBorders>
                  </w:tcPr>
                  <w:p w14:paraId="5494099F" w14:textId="77777777" w:rsidR="00471D53" w:rsidRDefault="004F686E" w:rsidP="00471D53">
                    <w:pPr>
                      <w:autoSpaceDE w:val="0"/>
                      <w:autoSpaceDN w:val="0"/>
                      <w:adjustRightInd w:val="0"/>
                      <w:rPr>
                        <w:szCs w:val="21"/>
                      </w:rPr>
                    </w:pPr>
                    <w:r>
                      <w:rPr>
                        <w:rFonts w:hint="eastAsia"/>
                        <w:szCs w:val="21"/>
                      </w:rPr>
                      <w:t>六、短期带薪缺勤</w:t>
                    </w:r>
                  </w:p>
                </w:tc>
              </w:sdtContent>
            </w:sdt>
            <w:tc>
              <w:tcPr>
                <w:tcW w:w="891" w:type="pct"/>
                <w:tcBorders>
                  <w:top w:val="single" w:sz="4" w:space="0" w:color="auto"/>
                  <w:left w:val="single" w:sz="4" w:space="0" w:color="auto"/>
                  <w:bottom w:val="single" w:sz="4" w:space="0" w:color="auto"/>
                  <w:right w:val="single" w:sz="4" w:space="0" w:color="auto"/>
                </w:tcBorders>
              </w:tcPr>
              <w:p w14:paraId="60EB3C1A" w14:textId="77777777" w:rsidR="00471D53" w:rsidRDefault="00B664AF" w:rsidP="00471D53">
                <w:pPr>
                  <w:jc w:val="right"/>
                  <w:rPr>
                    <w:szCs w:val="21"/>
                  </w:rPr>
                </w:pPr>
              </w:p>
            </w:tc>
            <w:tc>
              <w:tcPr>
                <w:tcW w:w="881" w:type="pct"/>
                <w:tcBorders>
                  <w:top w:val="single" w:sz="4" w:space="0" w:color="auto"/>
                  <w:left w:val="single" w:sz="4" w:space="0" w:color="auto"/>
                  <w:bottom w:val="single" w:sz="4" w:space="0" w:color="auto"/>
                  <w:right w:val="single" w:sz="4" w:space="0" w:color="auto"/>
                </w:tcBorders>
              </w:tcPr>
              <w:p w14:paraId="3B6D9327" w14:textId="77777777" w:rsidR="00471D53" w:rsidRDefault="00B664AF" w:rsidP="00471D53">
                <w:pPr>
                  <w:jc w:val="right"/>
                  <w:rPr>
                    <w:szCs w:val="21"/>
                  </w:rPr>
                </w:pPr>
              </w:p>
            </w:tc>
            <w:tc>
              <w:tcPr>
                <w:tcW w:w="889" w:type="pct"/>
                <w:tcBorders>
                  <w:top w:val="single" w:sz="4" w:space="0" w:color="auto"/>
                  <w:left w:val="single" w:sz="4" w:space="0" w:color="auto"/>
                  <w:bottom w:val="single" w:sz="4" w:space="0" w:color="auto"/>
                  <w:right w:val="single" w:sz="4" w:space="0" w:color="auto"/>
                </w:tcBorders>
              </w:tcPr>
              <w:p w14:paraId="75B3139C" w14:textId="77777777" w:rsidR="00471D53" w:rsidRDefault="00B664AF" w:rsidP="00471D53">
                <w:pPr>
                  <w:jc w:val="right"/>
                  <w:rPr>
                    <w:szCs w:val="21"/>
                  </w:rPr>
                </w:pPr>
              </w:p>
            </w:tc>
            <w:tc>
              <w:tcPr>
                <w:tcW w:w="895" w:type="pct"/>
                <w:tcBorders>
                  <w:top w:val="single" w:sz="4" w:space="0" w:color="auto"/>
                  <w:left w:val="single" w:sz="4" w:space="0" w:color="auto"/>
                  <w:bottom w:val="single" w:sz="4" w:space="0" w:color="auto"/>
                  <w:right w:val="single" w:sz="4" w:space="0" w:color="auto"/>
                </w:tcBorders>
              </w:tcPr>
              <w:p w14:paraId="72043CB5" w14:textId="77777777" w:rsidR="00471D53" w:rsidRDefault="00B664AF" w:rsidP="00471D53">
                <w:pPr>
                  <w:jc w:val="right"/>
                  <w:rPr>
                    <w:szCs w:val="21"/>
                  </w:rPr>
                </w:pPr>
              </w:p>
            </w:tc>
          </w:tr>
          <w:tr w:rsidR="00471D53" w14:paraId="605DE2BB" w14:textId="77777777" w:rsidTr="00471D53">
            <w:sdt>
              <w:sdtPr>
                <w:tag w:val="_PLD_54541d44000e431dabc3b1ad9c535a6b"/>
                <w:id w:val="-257836915"/>
                <w:lock w:val="sdtLocked"/>
              </w:sdtPr>
              <w:sdtEndPr/>
              <w:sdtContent>
                <w:tc>
                  <w:tcPr>
                    <w:tcW w:w="1444" w:type="pct"/>
                    <w:tcBorders>
                      <w:top w:val="single" w:sz="4" w:space="0" w:color="auto"/>
                      <w:left w:val="single" w:sz="4" w:space="0" w:color="auto"/>
                      <w:bottom w:val="single" w:sz="4" w:space="0" w:color="auto"/>
                      <w:right w:val="single" w:sz="4" w:space="0" w:color="auto"/>
                    </w:tcBorders>
                  </w:tcPr>
                  <w:p w14:paraId="556B79DB" w14:textId="77777777" w:rsidR="00471D53" w:rsidRDefault="004F686E" w:rsidP="00471D53">
                    <w:pPr>
                      <w:autoSpaceDE w:val="0"/>
                      <w:autoSpaceDN w:val="0"/>
                      <w:adjustRightInd w:val="0"/>
                      <w:rPr>
                        <w:szCs w:val="21"/>
                      </w:rPr>
                    </w:pPr>
                    <w:r>
                      <w:rPr>
                        <w:rFonts w:hint="eastAsia"/>
                        <w:szCs w:val="21"/>
                      </w:rPr>
                      <w:t>七、短期利润分享计划</w:t>
                    </w:r>
                  </w:p>
                </w:tc>
              </w:sdtContent>
            </w:sdt>
            <w:tc>
              <w:tcPr>
                <w:tcW w:w="891" w:type="pct"/>
                <w:tcBorders>
                  <w:top w:val="single" w:sz="4" w:space="0" w:color="auto"/>
                  <w:left w:val="single" w:sz="4" w:space="0" w:color="auto"/>
                  <w:bottom w:val="single" w:sz="4" w:space="0" w:color="auto"/>
                  <w:right w:val="single" w:sz="4" w:space="0" w:color="auto"/>
                </w:tcBorders>
              </w:tcPr>
              <w:p w14:paraId="37640D43" w14:textId="77777777" w:rsidR="00471D53" w:rsidRDefault="00B664AF" w:rsidP="00471D53">
                <w:pPr>
                  <w:jc w:val="right"/>
                  <w:rPr>
                    <w:szCs w:val="21"/>
                  </w:rPr>
                </w:pPr>
              </w:p>
            </w:tc>
            <w:tc>
              <w:tcPr>
                <w:tcW w:w="881" w:type="pct"/>
                <w:tcBorders>
                  <w:top w:val="single" w:sz="4" w:space="0" w:color="auto"/>
                  <w:left w:val="single" w:sz="4" w:space="0" w:color="auto"/>
                  <w:bottom w:val="single" w:sz="4" w:space="0" w:color="auto"/>
                  <w:right w:val="single" w:sz="4" w:space="0" w:color="auto"/>
                </w:tcBorders>
              </w:tcPr>
              <w:p w14:paraId="145D934B" w14:textId="77777777" w:rsidR="00471D53" w:rsidRDefault="00B664AF" w:rsidP="00471D53">
                <w:pPr>
                  <w:jc w:val="right"/>
                  <w:rPr>
                    <w:szCs w:val="21"/>
                  </w:rPr>
                </w:pPr>
              </w:p>
            </w:tc>
            <w:tc>
              <w:tcPr>
                <w:tcW w:w="889" w:type="pct"/>
                <w:tcBorders>
                  <w:top w:val="single" w:sz="4" w:space="0" w:color="auto"/>
                  <w:left w:val="single" w:sz="4" w:space="0" w:color="auto"/>
                  <w:bottom w:val="single" w:sz="4" w:space="0" w:color="auto"/>
                  <w:right w:val="single" w:sz="4" w:space="0" w:color="auto"/>
                </w:tcBorders>
              </w:tcPr>
              <w:p w14:paraId="64E85074" w14:textId="77777777" w:rsidR="00471D53" w:rsidRDefault="00B664AF" w:rsidP="00471D53">
                <w:pPr>
                  <w:jc w:val="right"/>
                  <w:rPr>
                    <w:szCs w:val="21"/>
                  </w:rPr>
                </w:pPr>
              </w:p>
            </w:tc>
            <w:tc>
              <w:tcPr>
                <w:tcW w:w="895" w:type="pct"/>
                <w:tcBorders>
                  <w:top w:val="single" w:sz="4" w:space="0" w:color="auto"/>
                  <w:left w:val="single" w:sz="4" w:space="0" w:color="auto"/>
                  <w:bottom w:val="single" w:sz="4" w:space="0" w:color="auto"/>
                  <w:right w:val="single" w:sz="4" w:space="0" w:color="auto"/>
                </w:tcBorders>
              </w:tcPr>
              <w:p w14:paraId="3F63526D" w14:textId="77777777" w:rsidR="00471D53" w:rsidRDefault="00B664AF" w:rsidP="00471D53">
                <w:pPr>
                  <w:jc w:val="right"/>
                  <w:rPr>
                    <w:szCs w:val="21"/>
                  </w:rPr>
                </w:pPr>
              </w:p>
            </w:tc>
          </w:tr>
          <w:sdt>
            <w:sdtPr>
              <w:rPr>
                <w:szCs w:val="21"/>
              </w:rPr>
              <w:alias w:val="应付职工薪酬中的其他应付薪酬明细"/>
              <w:tag w:val="_GBC_68e70a06bfb74c23922ba3755003afbc"/>
              <w:id w:val="1265041576"/>
            </w:sdtPr>
            <w:sdtEndPr>
              <w:rPr>
                <w:color w:val="000000" w:themeColor="text1"/>
              </w:rPr>
            </w:sdtEndPr>
            <w:sdtContent>
              <w:tr w:rsidR="00471D53" w14:paraId="194BF563" w14:textId="77777777" w:rsidTr="00471D53">
                <w:tc>
                  <w:tcPr>
                    <w:tcW w:w="1444" w:type="pct"/>
                    <w:tcBorders>
                      <w:top w:val="single" w:sz="4" w:space="0" w:color="auto"/>
                      <w:left w:val="single" w:sz="4" w:space="0" w:color="auto"/>
                      <w:bottom w:val="single" w:sz="4" w:space="0" w:color="auto"/>
                      <w:right w:val="single" w:sz="4" w:space="0" w:color="auto"/>
                    </w:tcBorders>
                  </w:tcPr>
                  <w:p w14:paraId="0CD0168C" w14:textId="77777777" w:rsidR="00471D53" w:rsidRDefault="004F686E" w:rsidP="00471D53">
                    <w:pPr>
                      <w:rPr>
                        <w:szCs w:val="21"/>
                      </w:rPr>
                    </w:pPr>
                    <w:r>
                      <w:rPr>
                        <w:rFonts w:hint="eastAsia"/>
                        <w:szCs w:val="21"/>
                      </w:rPr>
                      <w:t>住房补贴</w:t>
                    </w:r>
                  </w:p>
                </w:tc>
                <w:tc>
                  <w:tcPr>
                    <w:tcW w:w="891" w:type="pct"/>
                    <w:tcBorders>
                      <w:top w:val="single" w:sz="4" w:space="0" w:color="auto"/>
                      <w:left w:val="single" w:sz="4" w:space="0" w:color="auto"/>
                      <w:bottom w:val="single" w:sz="4" w:space="0" w:color="auto"/>
                      <w:right w:val="single" w:sz="4" w:space="0" w:color="auto"/>
                    </w:tcBorders>
                  </w:tcPr>
                  <w:p w14:paraId="25FDC0F1" w14:textId="77777777" w:rsidR="00471D53" w:rsidRDefault="004F686E" w:rsidP="00471D53">
                    <w:pPr>
                      <w:jc w:val="right"/>
                      <w:rPr>
                        <w:szCs w:val="21"/>
                      </w:rPr>
                    </w:pPr>
                    <w:r>
                      <w:t>814,740.00</w:t>
                    </w:r>
                  </w:p>
                </w:tc>
                <w:tc>
                  <w:tcPr>
                    <w:tcW w:w="881" w:type="pct"/>
                    <w:tcBorders>
                      <w:top w:val="single" w:sz="4" w:space="0" w:color="auto"/>
                      <w:left w:val="single" w:sz="4" w:space="0" w:color="auto"/>
                      <w:bottom w:val="single" w:sz="4" w:space="0" w:color="auto"/>
                      <w:right w:val="single" w:sz="4" w:space="0" w:color="auto"/>
                    </w:tcBorders>
                  </w:tcPr>
                  <w:p w14:paraId="12DFAD5A" w14:textId="77777777" w:rsidR="00471D53" w:rsidRDefault="004F686E" w:rsidP="00471D53">
                    <w:pPr>
                      <w:jc w:val="right"/>
                      <w:rPr>
                        <w:szCs w:val="21"/>
                      </w:rPr>
                    </w:pPr>
                    <w:r>
                      <w:t>43,400.00</w:t>
                    </w:r>
                  </w:p>
                </w:tc>
                <w:tc>
                  <w:tcPr>
                    <w:tcW w:w="889" w:type="pct"/>
                    <w:tcBorders>
                      <w:top w:val="single" w:sz="4" w:space="0" w:color="auto"/>
                      <w:left w:val="single" w:sz="4" w:space="0" w:color="auto"/>
                      <w:bottom w:val="single" w:sz="4" w:space="0" w:color="auto"/>
                      <w:right w:val="single" w:sz="4" w:space="0" w:color="auto"/>
                    </w:tcBorders>
                  </w:tcPr>
                  <w:p w14:paraId="2A0A1A55" w14:textId="77777777" w:rsidR="00471D53" w:rsidRDefault="004F686E" w:rsidP="00471D53">
                    <w:pPr>
                      <w:jc w:val="right"/>
                      <w:rPr>
                        <w:szCs w:val="21"/>
                      </w:rPr>
                    </w:pPr>
                    <w:r>
                      <w:t>33,200.00</w:t>
                    </w:r>
                  </w:p>
                </w:tc>
                <w:tc>
                  <w:tcPr>
                    <w:tcW w:w="895" w:type="pct"/>
                    <w:tcBorders>
                      <w:top w:val="single" w:sz="4" w:space="0" w:color="auto"/>
                      <w:left w:val="single" w:sz="4" w:space="0" w:color="auto"/>
                      <w:bottom w:val="single" w:sz="4" w:space="0" w:color="auto"/>
                      <w:right w:val="single" w:sz="4" w:space="0" w:color="auto"/>
                    </w:tcBorders>
                  </w:tcPr>
                  <w:p w14:paraId="60A0F10A" w14:textId="77777777" w:rsidR="00471D53" w:rsidRDefault="004F686E" w:rsidP="00471D53">
                    <w:pPr>
                      <w:jc w:val="right"/>
                      <w:rPr>
                        <w:szCs w:val="21"/>
                      </w:rPr>
                    </w:pPr>
                    <w:r>
                      <w:t>824,940.00</w:t>
                    </w:r>
                  </w:p>
                </w:tc>
              </w:tr>
            </w:sdtContent>
          </w:sdt>
          <w:tr w:rsidR="00471D53" w14:paraId="184BDDB1" w14:textId="77777777" w:rsidTr="00471D53">
            <w:sdt>
              <w:sdtPr>
                <w:tag w:val="_PLD_9abbed23473c4b4bb51ec9b7d667e31c"/>
                <w:id w:val="1988440760"/>
                <w:lock w:val="sdtLocked"/>
              </w:sdtPr>
              <w:sdtEndPr/>
              <w:sdtContent>
                <w:tc>
                  <w:tcPr>
                    <w:tcW w:w="1444" w:type="pct"/>
                    <w:tcBorders>
                      <w:top w:val="single" w:sz="4" w:space="0" w:color="auto"/>
                      <w:left w:val="single" w:sz="4" w:space="0" w:color="auto"/>
                      <w:bottom w:val="single" w:sz="4" w:space="0" w:color="auto"/>
                      <w:right w:val="single" w:sz="4" w:space="0" w:color="auto"/>
                    </w:tcBorders>
                    <w:vAlign w:val="center"/>
                  </w:tcPr>
                  <w:p w14:paraId="52C49C50" w14:textId="77777777" w:rsidR="00471D53" w:rsidRDefault="004F686E" w:rsidP="00471D53">
                    <w:pPr>
                      <w:autoSpaceDE w:val="0"/>
                      <w:autoSpaceDN w:val="0"/>
                      <w:adjustRightInd w:val="0"/>
                      <w:jc w:val="center"/>
                      <w:rPr>
                        <w:szCs w:val="21"/>
                      </w:rPr>
                    </w:pPr>
                    <w:r>
                      <w:rPr>
                        <w:rFonts w:hint="eastAsia"/>
                        <w:szCs w:val="21"/>
                      </w:rPr>
                      <w:t>合计</w:t>
                    </w:r>
                  </w:p>
                </w:tc>
              </w:sdtContent>
            </w:sdt>
            <w:tc>
              <w:tcPr>
                <w:tcW w:w="891" w:type="pct"/>
                <w:tcBorders>
                  <w:top w:val="single" w:sz="4" w:space="0" w:color="auto"/>
                  <w:left w:val="single" w:sz="4" w:space="0" w:color="auto"/>
                  <w:bottom w:val="single" w:sz="4" w:space="0" w:color="auto"/>
                  <w:right w:val="single" w:sz="4" w:space="0" w:color="auto"/>
                </w:tcBorders>
                <w:vAlign w:val="center"/>
              </w:tcPr>
              <w:p w14:paraId="257D38CD" w14:textId="2599C58E" w:rsidR="00471D53" w:rsidRPr="007A122E" w:rsidRDefault="004F686E" w:rsidP="00471D53">
                <w:pPr>
                  <w:jc w:val="right"/>
                  <w:textAlignment w:val="center"/>
                  <w:rPr>
                    <w:rFonts w:cs="Calibri"/>
                    <w:bCs/>
                    <w:sz w:val="20"/>
                    <w:szCs w:val="20"/>
                  </w:rPr>
                </w:pPr>
                <w:r w:rsidRPr="007A122E">
                  <w:rPr>
                    <w:rFonts w:cs="Calibri" w:hint="eastAsia"/>
                    <w:bCs/>
                    <w:sz w:val="20"/>
                    <w:szCs w:val="20"/>
                    <w:lang w:bidi="ar"/>
                  </w:rPr>
                  <w:t>24,522,695.95</w:t>
                </w:r>
              </w:p>
            </w:tc>
            <w:tc>
              <w:tcPr>
                <w:tcW w:w="881" w:type="pct"/>
                <w:tcBorders>
                  <w:top w:val="single" w:sz="4" w:space="0" w:color="auto"/>
                  <w:left w:val="single" w:sz="4" w:space="0" w:color="auto"/>
                  <w:bottom w:val="single" w:sz="4" w:space="0" w:color="auto"/>
                  <w:right w:val="single" w:sz="4" w:space="0" w:color="auto"/>
                </w:tcBorders>
                <w:vAlign w:val="center"/>
              </w:tcPr>
              <w:p w14:paraId="4FF8D807" w14:textId="77777777" w:rsidR="00471D53" w:rsidRPr="007A122E" w:rsidRDefault="004F686E" w:rsidP="00471D53">
                <w:pPr>
                  <w:jc w:val="right"/>
                  <w:textAlignment w:val="center"/>
                  <w:rPr>
                    <w:rFonts w:cs="Calibri"/>
                    <w:bCs/>
                    <w:sz w:val="20"/>
                    <w:szCs w:val="20"/>
                  </w:rPr>
                </w:pPr>
                <w:r w:rsidRPr="007A122E">
                  <w:rPr>
                    <w:rFonts w:cs="Calibri"/>
                    <w:bCs/>
                    <w:sz w:val="20"/>
                    <w:szCs w:val="20"/>
                  </w:rPr>
                  <w:t>78,016,845.93</w:t>
                </w:r>
              </w:p>
            </w:tc>
            <w:tc>
              <w:tcPr>
                <w:tcW w:w="889" w:type="pct"/>
                <w:tcBorders>
                  <w:top w:val="single" w:sz="4" w:space="0" w:color="auto"/>
                  <w:left w:val="single" w:sz="4" w:space="0" w:color="auto"/>
                  <w:bottom w:val="single" w:sz="4" w:space="0" w:color="auto"/>
                  <w:right w:val="single" w:sz="4" w:space="0" w:color="auto"/>
                </w:tcBorders>
                <w:vAlign w:val="center"/>
              </w:tcPr>
              <w:p w14:paraId="1884704B" w14:textId="77777777" w:rsidR="00471D53" w:rsidRPr="007A122E" w:rsidRDefault="004F686E" w:rsidP="00471D53">
                <w:pPr>
                  <w:jc w:val="right"/>
                  <w:textAlignment w:val="center"/>
                  <w:rPr>
                    <w:rFonts w:cs="Calibri"/>
                    <w:bCs/>
                    <w:sz w:val="20"/>
                    <w:szCs w:val="20"/>
                  </w:rPr>
                </w:pPr>
                <w:r w:rsidRPr="007A122E">
                  <w:rPr>
                    <w:rFonts w:cs="Calibri"/>
                    <w:bCs/>
                    <w:sz w:val="20"/>
                    <w:szCs w:val="20"/>
                  </w:rPr>
                  <w:t>89,001,029.47</w:t>
                </w:r>
              </w:p>
            </w:tc>
            <w:tc>
              <w:tcPr>
                <w:tcW w:w="895" w:type="pct"/>
                <w:tcBorders>
                  <w:top w:val="single" w:sz="4" w:space="0" w:color="auto"/>
                  <w:left w:val="single" w:sz="4" w:space="0" w:color="auto"/>
                  <w:bottom w:val="single" w:sz="4" w:space="0" w:color="auto"/>
                  <w:right w:val="single" w:sz="4" w:space="0" w:color="auto"/>
                </w:tcBorders>
                <w:vAlign w:val="center"/>
              </w:tcPr>
              <w:p w14:paraId="2BD4A85E" w14:textId="77777777" w:rsidR="00471D53" w:rsidRPr="007A122E" w:rsidRDefault="004F686E" w:rsidP="00471D53">
                <w:pPr>
                  <w:jc w:val="right"/>
                  <w:textAlignment w:val="center"/>
                  <w:rPr>
                    <w:rFonts w:cs="Calibri"/>
                    <w:bCs/>
                    <w:sz w:val="20"/>
                    <w:szCs w:val="20"/>
                  </w:rPr>
                </w:pPr>
                <w:r w:rsidRPr="007A122E">
                  <w:rPr>
                    <w:rFonts w:cs="Calibri"/>
                    <w:bCs/>
                    <w:sz w:val="20"/>
                    <w:szCs w:val="20"/>
                  </w:rPr>
                  <w:t>13,538,512.41</w:t>
                </w:r>
              </w:p>
            </w:tc>
          </w:tr>
        </w:tbl>
        <w:p w14:paraId="318483FA" w14:textId="77777777" w:rsidR="00471D53" w:rsidRDefault="00B664AF"/>
        <w:p w14:paraId="43C7DBE5" w14:textId="77777777" w:rsidR="00471D53" w:rsidRDefault="00B664AF">
          <w:pPr>
            <w:rPr>
              <w:color w:val="000000" w:themeColor="text1"/>
              <w:szCs w:val="21"/>
            </w:rPr>
          </w:pPr>
        </w:p>
      </w:sdtContent>
    </w:sdt>
    <w:sdt>
      <w:sdtPr>
        <w:rPr>
          <w:rFonts w:ascii="宋体" w:hAnsi="宋体" w:cs="宋体" w:hint="eastAsia"/>
          <w:b w:val="0"/>
          <w:bCs w:val="0"/>
          <w:kern w:val="0"/>
          <w:szCs w:val="21"/>
        </w:rPr>
        <w:alias w:val="模块:设定提存计划列示"/>
        <w:tag w:val="_GBC_b98ebc9fce454755bd30d763bee0283a"/>
        <w:id w:val="-38896618"/>
        <w:lock w:val="sdtLocked"/>
        <w:placeholder>
          <w:docPart w:val="GBC22222222222222222222222222222"/>
        </w:placeholder>
      </w:sdtPr>
      <w:sdtEndPr/>
      <w:sdtContent>
        <w:p w14:paraId="2C8E9A11" w14:textId="77777777" w:rsidR="00471D53" w:rsidRDefault="004F686E" w:rsidP="004F686E">
          <w:pPr>
            <w:pStyle w:val="afffff8"/>
            <w:numPr>
              <w:ilvl w:val="0"/>
              <w:numId w:val="81"/>
            </w:numPr>
            <w:rPr>
              <w:rFonts w:ascii="宋体" w:hAnsi="宋体"/>
              <w:szCs w:val="21"/>
            </w:rPr>
          </w:pPr>
          <w:r>
            <w:rPr>
              <w:rFonts w:ascii="宋体" w:hAnsi="宋体" w:hint="eastAsia"/>
              <w:szCs w:val="21"/>
            </w:rPr>
            <w:t>设定提存计划列示</w:t>
          </w:r>
        </w:p>
        <w:sdt>
          <w:sdtPr>
            <w:alias w:val="是否适用：设定提存计划列示[双击切换]"/>
            <w:tag w:val="_GBC_107b7eec6d75473e8809e93d01e00021"/>
            <w:id w:val="582957677"/>
            <w:lock w:val="sdtLocked"/>
            <w:placeholder>
              <w:docPart w:val="GBC22222222222222222222222222222"/>
            </w:placeholder>
          </w:sdtPr>
          <w:sdtEndPr/>
          <w:sdtContent>
            <w:p w14:paraId="75B959BC"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6B92836" w14:textId="3EF71BD1" w:rsidR="00471D53" w:rsidRDefault="004F686E">
          <w:pPr>
            <w:jc w:val="right"/>
          </w:pPr>
          <w:r>
            <w:rPr>
              <w:rFonts w:hint="eastAsia"/>
            </w:rPr>
            <w:t>单位：</w:t>
          </w:r>
          <w:sdt>
            <w:sdtPr>
              <w:rPr>
                <w:rFonts w:hint="eastAsia"/>
              </w:rPr>
              <w:alias w:val="单位：财务附注：设定提存计划列示"/>
              <w:tag w:val="_GBC_744d8f829e6040c78616ef1951ef7e59"/>
              <w:id w:val="-108028805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设定提存计划列示"/>
              <w:tag w:val="_GBC_433e4a4ae9d648a2973673cbec959f23"/>
              <w:id w:val="78979093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582"/>
            <w:gridCol w:w="1666"/>
            <w:gridCol w:w="1497"/>
            <w:gridCol w:w="1552"/>
          </w:tblGrid>
          <w:tr w:rsidR="00471D53" w14:paraId="0147F4C1" w14:textId="77777777" w:rsidTr="00471D53">
            <w:sdt>
              <w:sdtPr>
                <w:tag w:val="_PLD_f8a9011ca6bd4cc895a50279da6547e9"/>
                <w:id w:val="68707398"/>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14:paraId="1DFC34A6" w14:textId="77777777" w:rsidR="00471D53" w:rsidRDefault="004F686E">
                    <w:pPr>
                      <w:jc w:val="center"/>
                    </w:pPr>
                    <w:r>
                      <w:rPr>
                        <w:rFonts w:hint="eastAsia"/>
                      </w:rPr>
                      <w:t>项目</w:t>
                    </w:r>
                  </w:p>
                </w:tc>
              </w:sdtContent>
            </w:sdt>
            <w:sdt>
              <w:sdtPr>
                <w:tag w:val="_PLD_db9ecea0e08e4c1bb5fe2474183a8480"/>
                <w:id w:val="989134502"/>
                <w:lock w:val="sdtLocked"/>
              </w:sdtPr>
              <w:sdtEndPr/>
              <w:sdtContent>
                <w:tc>
                  <w:tcPr>
                    <w:tcW w:w="897" w:type="pct"/>
                    <w:tcBorders>
                      <w:top w:val="single" w:sz="6" w:space="0" w:color="auto"/>
                      <w:left w:val="single" w:sz="6" w:space="0" w:color="auto"/>
                      <w:bottom w:val="single" w:sz="6" w:space="0" w:color="auto"/>
                      <w:right w:val="single" w:sz="6" w:space="0" w:color="auto"/>
                    </w:tcBorders>
                    <w:shd w:val="clear" w:color="auto" w:fill="auto"/>
                    <w:vAlign w:val="center"/>
                  </w:tcPr>
                  <w:p w14:paraId="70ED3301" w14:textId="77777777" w:rsidR="00471D53" w:rsidRDefault="004F686E">
                    <w:pPr>
                      <w:jc w:val="center"/>
                    </w:pPr>
                    <w:r>
                      <w:rPr>
                        <w:rFonts w:hint="eastAsia"/>
                      </w:rPr>
                      <w:t>期初余额</w:t>
                    </w:r>
                  </w:p>
                </w:tc>
              </w:sdtContent>
            </w:sdt>
            <w:sdt>
              <w:sdtPr>
                <w:tag w:val="_PLD_11b6b53867b44c92b19ef791cad0c8c4"/>
                <w:id w:val="-1813016276"/>
                <w:lock w:val="sdtLocked"/>
              </w:sdtPr>
              <w:sdtEndPr/>
              <w:sdtContent>
                <w:tc>
                  <w:tcPr>
                    <w:tcW w:w="945" w:type="pct"/>
                    <w:tcBorders>
                      <w:top w:val="single" w:sz="6" w:space="0" w:color="auto"/>
                      <w:left w:val="single" w:sz="6" w:space="0" w:color="auto"/>
                      <w:bottom w:val="single" w:sz="6" w:space="0" w:color="auto"/>
                      <w:right w:val="single" w:sz="6" w:space="0" w:color="auto"/>
                    </w:tcBorders>
                    <w:shd w:val="clear" w:color="auto" w:fill="auto"/>
                    <w:vAlign w:val="center"/>
                  </w:tcPr>
                  <w:p w14:paraId="1F1F0CC0" w14:textId="77777777" w:rsidR="00471D53" w:rsidRDefault="004F686E">
                    <w:pPr>
                      <w:jc w:val="center"/>
                    </w:pPr>
                    <w:r>
                      <w:rPr>
                        <w:rFonts w:hint="eastAsia"/>
                      </w:rPr>
                      <w:t>本期增加</w:t>
                    </w:r>
                  </w:p>
                </w:tc>
              </w:sdtContent>
            </w:sdt>
            <w:sdt>
              <w:sdtPr>
                <w:tag w:val="_PLD_c2cbd009dd4248ceb9040da5fc326084"/>
                <w:id w:val="-1511054403"/>
                <w:lock w:val="sdtLocked"/>
              </w:sdtPr>
              <w:sdtEndPr/>
              <w:sdtContent>
                <w:tc>
                  <w:tcPr>
                    <w:tcW w:w="849" w:type="pct"/>
                    <w:tcBorders>
                      <w:top w:val="single" w:sz="6" w:space="0" w:color="auto"/>
                      <w:left w:val="single" w:sz="6" w:space="0" w:color="auto"/>
                      <w:bottom w:val="single" w:sz="6" w:space="0" w:color="auto"/>
                      <w:right w:val="single" w:sz="6" w:space="0" w:color="auto"/>
                    </w:tcBorders>
                    <w:shd w:val="clear" w:color="auto" w:fill="auto"/>
                    <w:vAlign w:val="center"/>
                  </w:tcPr>
                  <w:p w14:paraId="0E9E69E6" w14:textId="77777777" w:rsidR="00471D53" w:rsidRDefault="004F686E">
                    <w:pPr>
                      <w:jc w:val="center"/>
                    </w:pPr>
                    <w:r>
                      <w:rPr>
                        <w:rFonts w:hint="eastAsia"/>
                      </w:rPr>
                      <w:t>本期减少</w:t>
                    </w:r>
                  </w:p>
                </w:tc>
              </w:sdtContent>
            </w:sdt>
            <w:sdt>
              <w:sdtPr>
                <w:tag w:val="_PLD_0ded00fbf217420ebfe8ace86c12086d"/>
                <w:id w:val="1431391595"/>
                <w:lock w:val="sdtLocked"/>
              </w:sdtPr>
              <w:sdtEndPr/>
              <w:sdtContent>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14:paraId="143E6282" w14:textId="77777777" w:rsidR="00471D53" w:rsidRDefault="004F686E">
                    <w:pPr>
                      <w:jc w:val="center"/>
                    </w:pPr>
                    <w:r>
                      <w:rPr>
                        <w:rFonts w:hint="eastAsia"/>
                      </w:rPr>
                      <w:t>期末余额</w:t>
                    </w:r>
                  </w:p>
                </w:tc>
              </w:sdtContent>
            </w:sdt>
          </w:tr>
          <w:tr w:rsidR="00471D53" w14:paraId="3D52B852" w14:textId="77777777" w:rsidTr="00471D53">
            <w:sdt>
              <w:sdtPr>
                <w:tag w:val="_PLD_b93c5842361145079010296748b2acbc"/>
                <w:id w:val="1314681960"/>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14:paraId="4085361A" w14:textId="77777777" w:rsidR="00471D53" w:rsidRDefault="004F686E">
                    <w:r>
                      <w:rPr>
                        <w:rFonts w:hint="eastAsia"/>
                      </w:rPr>
                      <w:t>1、基本养老保险</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vAlign w:val="center"/>
              </w:tcPr>
              <w:p w14:paraId="2F19ED44" w14:textId="77777777" w:rsidR="00471D53" w:rsidRDefault="004F686E" w:rsidP="00471D53">
                <w:pPr>
                  <w:jc w:val="right"/>
                  <w:textAlignment w:val="center"/>
                  <w:rPr>
                    <w:rFonts w:cs="Calibri"/>
                    <w:sz w:val="22"/>
                    <w:szCs w:val="22"/>
                  </w:rPr>
                </w:pPr>
                <w:r>
                  <w:rPr>
                    <w:rFonts w:hint="eastAsia"/>
                    <w:sz w:val="22"/>
                    <w:szCs w:val="22"/>
                    <w:lang w:bidi="ar"/>
                  </w:rPr>
                  <w:t>587,170.88</w:t>
                </w: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14:paraId="10B018D5" w14:textId="77777777" w:rsidR="00471D53" w:rsidRDefault="004F686E" w:rsidP="00471D53">
                <w:pPr>
                  <w:jc w:val="right"/>
                  <w:textAlignment w:val="center"/>
                  <w:rPr>
                    <w:rFonts w:cs="Calibri"/>
                    <w:sz w:val="22"/>
                    <w:szCs w:val="22"/>
                  </w:rPr>
                </w:pPr>
                <w:r w:rsidRPr="00353094">
                  <w:rPr>
                    <w:rFonts w:cs="Calibri"/>
                    <w:sz w:val="22"/>
                    <w:szCs w:val="22"/>
                  </w:rPr>
                  <w:t>9,877,760.54</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14:paraId="4EB54FA9" w14:textId="77777777" w:rsidR="00471D53" w:rsidRDefault="004F686E" w:rsidP="00471D53">
                <w:pPr>
                  <w:jc w:val="right"/>
                  <w:textAlignment w:val="center"/>
                  <w:rPr>
                    <w:rFonts w:cs="Calibri"/>
                    <w:sz w:val="22"/>
                    <w:szCs w:val="22"/>
                  </w:rPr>
                </w:pPr>
                <w:r w:rsidRPr="00353094">
                  <w:rPr>
                    <w:rFonts w:cs="Calibri"/>
                    <w:sz w:val="22"/>
                    <w:szCs w:val="22"/>
                  </w:rPr>
                  <w:t>9,233,593.51</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14:paraId="1CBDEDA6" w14:textId="77777777" w:rsidR="00471D53" w:rsidRDefault="004F686E" w:rsidP="00471D53">
                <w:pPr>
                  <w:jc w:val="right"/>
                  <w:textAlignment w:val="center"/>
                  <w:rPr>
                    <w:rFonts w:cs="Calibri"/>
                    <w:sz w:val="22"/>
                    <w:szCs w:val="22"/>
                  </w:rPr>
                </w:pPr>
                <w:r w:rsidRPr="00353094">
                  <w:rPr>
                    <w:rFonts w:cs="Calibri"/>
                    <w:sz w:val="22"/>
                    <w:szCs w:val="22"/>
                  </w:rPr>
                  <w:t>1,231,337.91</w:t>
                </w:r>
              </w:p>
            </w:tc>
          </w:tr>
          <w:tr w:rsidR="00471D53" w14:paraId="323C6B13" w14:textId="77777777" w:rsidTr="00471D53">
            <w:sdt>
              <w:sdtPr>
                <w:tag w:val="_PLD_909a72476f78427892237821bb7d583f"/>
                <w:id w:val="313381134"/>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14:paraId="2975F26A" w14:textId="77777777" w:rsidR="00471D53" w:rsidRDefault="004F686E">
                    <w:r>
                      <w:rPr>
                        <w:rFonts w:hint="eastAsia"/>
                      </w:rPr>
                      <w:t>2、失业保险费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vAlign w:val="center"/>
              </w:tcPr>
              <w:p w14:paraId="2E1964CE" w14:textId="77777777" w:rsidR="00471D53" w:rsidRDefault="004F686E" w:rsidP="00471D53">
                <w:pPr>
                  <w:jc w:val="right"/>
                  <w:textAlignment w:val="center"/>
                  <w:rPr>
                    <w:rFonts w:cs="Calibri"/>
                    <w:sz w:val="22"/>
                    <w:szCs w:val="22"/>
                  </w:rPr>
                </w:pPr>
                <w:r>
                  <w:rPr>
                    <w:rFonts w:hint="eastAsia"/>
                    <w:sz w:val="22"/>
                    <w:szCs w:val="22"/>
                    <w:lang w:bidi="ar"/>
                  </w:rPr>
                  <w:t>88,176.78</w:t>
                </w: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14:paraId="1F3D09C1" w14:textId="77777777" w:rsidR="00471D53" w:rsidRDefault="004F686E" w:rsidP="00471D53">
                <w:pPr>
                  <w:jc w:val="right"/>
                  <w:textAlignment w:val="center"/>
                  <w:rPr>
                    <w:rFonts w:cs="Calibri"/>
                    <w:sz w:val="22"/>
                    <w:szCs w:val="22"/>
                  </w:rPr>
                </w:pPr>
                <w:r w:rsidRPr="00353094">
                  <w:rPr>
                    <w:rFonts w:cs="Calibri"/>
                    <w:sz w:val="22"/>
                    <w:szCs w:val="22"/>
                  </w:rPr>
                  <w:t>422,539.90</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14:paraId="03ABFF91" w14:textId="77777777" w:rsidR="00471D53" w:rsidRDefault="004F686E" w:rsidP="00471D53">
                <w:pPr>
                  <w:jc w:val="right"/>
                  <w:textAlignment w:val="center"/>
                  <w:rPr>
                    <w:rFonts w:cs="Calibri"/>
                    <w:sz w:val="22"/>
                    <w:szCs w:val="22"/>
                  </w:rPr>
                </w:pPr>
                <w:r w:rsidRPr="00353094">
                  <w:rPr>
                    <w:rFonts w:cs="Calibri"/>
                    <w:sz w:val="22"/>
                    <w:szCs w:val="22"/>
                  </w:rPr>
                  <w:t>384,542.16</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14:paraId="787817F8" w14:textId="77777777" w:rsidR="00471D53" w:rsidRDefault="004F686E" w:rsidP="00471D53">
                <w:pPr>
                  <w:jc w:val="right"/>
                  <w:textAlignment w:val="center"/>
                  <w:rPr>
                    <w:rFonts w:cs="Calibri"/>
                    <w:sz w:val="22"/>
                    <w:szCs w:val="22"/>
                  </w:rPr>
                </w:pPr>
                <w:r w:rsidRPr="00353094">
                  <w:rPr>
                    <w:rFonts w:cs="Calibri"/>
                    <w:sz w:val="22"/>
                    <w:szCs w:val="22"/>
                  </w:rPr>
                  <w:t>126,174.52</w:t>
                </w:r>
              </w:p>
            </w:tc>
          </w:tr>
          <w:tr w:rsidR="00471D53" w14:paraId="24A4D950" w14:textId="77777777" w:rsidTr="00471D53">
            <w:sdt>
              <w:sdtPr>
                <w:tag w:val="_PLD_f2bb08099d4d4b2a96054f71c4e23a24"/>
                <w:id w:val="1917819376"/>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14:paraId="52E4739F" w14:textId="77777777" w:rsidR="00471D53" w:rsidRDefault="004F686E">
                    <w:r>
                      <w:rPr>
                        <w:rFonts w:hint="eastAsia"/>
                      </w:rPr>
                      <w:t>3、企业年金缴费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14:paraId="604492CC" w14:textId="77777777" w:rsidR="00471D53" w:rsidRDefault="00B664AF">
                <w:pPr>
                  <w:jc w:val="right"/>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41C08AA1" w14:textId="77777777" w:rsidR="00471D53" w:rsidRDefault="00B664AF">
                <w:pPr>
                  <w:jc w:val="right"/>
                </w:pPr>
              </w:p>
            </w:tc>
            <w:tc>
              <w:tcPr>
                <w:tcW w:w="849" w:type="pct"/>
                <w:tcBorders>
                  <w:top w:val="single" w:sz="4" w:space="0" w:color="auto"/>
                  <w:left w:val="single" w:sz="4" w:space="0" w:color="auto"/>
                  <w:bottom w:val="single" w:sz="4" w:space="0" w:color="auto"/>
                  <w:right w:val="single" w:sz="4" w:space="0" w:color="auto"/>
                </w:tcBorders>
                <w:shd w:val="clear" w:color="auto" w:fill="auto"/>
              </w:tcPr>
              <w:p w14:paraId="12931942" w14:textId="77777777" w:rsidR="00471D53" w:rsidRDefault="00B664AF">
                <w:pPr>
                  <w:jc w:val="right"/>
                </w:pP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303CB97E" w14:textId="77777777" w:rsidR="00471D53" w:rsidRDefault="00B664AF">
                <w:pPr>
                  <w:jc w:val="right"/>
                </w:pPr>
              </w:p>
            </w:tc>
          </w:tr>
          <w:tr w:rsidR="00471D53" w14:paraId="3C253B68" w14:textId="77777777" w:rsidTr="00471D53">
            <w:sdt>
              <w:sdtPr>
                <w:tag w:val="_PLD_258ec0cea28b41718457ba73ff6955af"/>
                <w:id w:val="-565723457"/>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14:paraId="633190ED" w14:textId="77777777" w:rsidR="00471D53" w:rsidRDefault="004F686E">
                    <w:pPr>
                      <w:jc w:val="center"/>
                    </w:pPr>
                    <w:r>
                      <w:rPr>
                        <w:rFonts w:hint="eastAsia"/>
                      </w:rPr>
                      <w:t>合计</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vAlign w:val="center"/>
              </w:tcPr>
              <w:p w14:paraId="74864630" w14:textId="77777777" w:rsidR="00471D53" w:rsidRPr="008B26EB" w:rsidRDefault="004F686E" w:rsidP="00471D53">
                <w:pPr>
                  <w:jc w:val="center"/>
                  <w:textAlignment w:val="center"/>
                  <w:rPr>
                    <w:rFonts w:cs="Calibri"/>
                    <w:sz w:val="22"/>
                    <w:szCs w:val="22"/>
                  </w:rPr>
                </w:pPr>
                <w:r w:rsidRPr="008B26EB">
                  <w:rPr>
                    <w:rFonts w:hint="eastAsia"/>
                    <w:sz w:val="22"/>
                    <w:szCs w:val="22"/>
                    <w:lang w:bidi="ar"/>
                  </w:rPr>
                  <w:t>675,347.66</w:t>
                </w: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14:paraId="5E3F9A52" w14:textId="77777777" w:rsidR="00471D53" w:rsidRPr="008B26EB" w:rsidRDefault="004F686E" w:rsidP="00471D53">
                <w:pPr>
                  <w:jc w:val="center"/>
                  <w:textAlignment w:val="center"/>
                  <w:rPr>
                    <w:rFonts w:cs="Calibri"/>
                    <w:sz w:val="22"/>
                    <w:szCs w:val="22"/>
                  </w:rPr>
                </w:pPr>
                <w:r w:rsidRPr="008B26EB">
                  <w:rPr>
                    <w:rFonts w:cs="Calibri"/>
                    <w:sz w:val="22"/>
                    <w:szCs w:val="22"/>
                  </w:rPr>
                  <w:t>10,300,300.44</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14:paraId="4910116F" w14:textId="77777777" w:rsidR="00471D53" w:rsidRPr="008B26EB" w:rsidRDefault="004F686E" w:rsidP="00471D53">
                <w:pPr>
                  <w:jc w:val="center"/>
                  <w:textAlignment w:val="center"/>
                  <w:rPr>
                    <w:rFonts w:cs="Calibri"/>
                    <w:sz w:val="22"/>
                    <w:szCs w:val="22"/>
                  </w:rPr>
                </w:pPr>
                <w:r w:rsidRPr="008B26EB">
                  <w:rPr>
                    <w:rFonts w:cs="Calibri"/>
                    <w:sz w:val="22"/>
                    <w:szCs w:val="22"/>
                  </w:rPr>
                  <w:t>9,618,135.67</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14:paraId="08799A68" w14:textId="77777777" w:rsidR="00471D53" w:rsidRPr="008B26EB" w:rsidRDefault="004F686E" w:rsidP="00471D53">
                <w:pPr>
                  <w:jc w:val="center"/>
                  <w:textAlignment w:val="center"/>
                  <w:rPr>
                    <w:rFonts w:cs="Calibri"/>
                    <w:sz w:val="22"/>
                    <w:szCs w:val="22"/>
                  </w:rPr>
                </w:pPr>
                <w:r w:rsidRPr="008B26EB">
                  <w:rPr>
                    <w:rFonts w:cs="Calibri"/>
                    <w:sz w:val="22"/>
                    <w:szCs w:val="22"/>
                  </w:rPr>
                  <w:t>1,357,512.43</w:t>
                </w:r>
              </w:p>
            </w:tc>
          </w:tr>
        </w:tbl>
        <w:p w14:paraId="7B64E463" w14:textId="77777777" w:rsidR="00471D53" w:rsidRDefault="00B664AF">
          <w:pPr>
            <w:autoSpaceDE w:val="0"/>
            <w:autoSpaceDN w:val="0"/>
            <w:adjustRightInd w:val="0"/>
            <w:rPr>
              <w:szCs w:val="21"/>
            </w:rPr>
          </w:pPr>
        </w:p>
      </w:sdtContent>
    </w:sdt>
    <w:sdt>
      <w:sdtPr>
        <w:rPr>
          <w:rFonts w:hint="eastAsia"/>
          <w:szCs w:val="21"/>
        </w:rPr>
        <w:alias w:val="模块:应付职工薪酬说明"/>
        <w:tag w:val="_GBC_9173eff793e04226ba65f69088a27313"/>
        <w:id w:val="1628425967"/>
        <w:lock w:val="sdtLocked"/>
        <w:placeholder>
          <w:docPart w:val="GBC22222222222222222222222222222"/>
        </w:placeholder>
      </w:sdtPr>
      <w:sdtEndPr/>
      <w:sdtContent>
        <w:p w14:paraId="7C15CC30" w14:textId="77777777" w:rsidR="00471D53" w:rsidRDefault="004F686E">
          <w:pPr>
            <w:autoSpaceDE w:val="0"/>
            <w:autoSpaceDN w:val="0"/>
            <w:adjustRightInd w:val="0"/>
            <w:rPr>
              <w:szCs w:val="21"/>
            </w:rPr>
          </w:pPr>
          <w:r>
            <w:rPr>
              <w:rFonts w:hint="eastAsia"/>
              <w:szCs w:val="21"/>
            </w:rPr>
            <w:t>其他说明：</w:t>
          </w:r>
        </w:p>
        <w:sdt>
          <w:sdtPr>
            <w:rPr>
              <w:szCs w:val="21"/>
            </w:rPr>
            <w:alias w:val="是否适用：应付职工薪酬的说明[双击切换]"/>
            <w:tag w:val="_GBC_f41ecc08d4994ba99707111806caa376"/>
            <w:id w:val="-1415778479"/>
            <w:lock w:val="sdtLocked"/>
            <w:placeholder>
              <w:docPart w:val="GBC22222222222222222222222222222"/>
            </w:placeholder>
          </w:sdtPr>
          <w:sdtEndPr/>
          <w:sdtContent>
            <w:p w14:paraId="6B4738CF" w14:textId="77777777" w:rsidR="00471D53" w:rsidRDefault="004F686E">
              <w:pPr>
                <w:autoSpaceDE w:val="0"/>
                <w:autoSpaceDN w:val="0"/>
                <w:adjustRightInd w:val="0"/>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应付职工薪酬的说明"/>
            <w:tag w:val="_GBC_566b260e713e4778a8ad979f259c9c78"/>
            <w:id w:val="1401019286"/>
            <w:lock w:val="sdtLocked"/>
            <w:placeholder>
              <w:docPart w:val="GBC22222222222222222222222222222"/>
            </w:placeholder>
          </w:sdtPr>
          <w:sdtEndPr/>
          <w:sdtContent>
            <w:p w14:paraId="2AD01132" w14:textId="77777777" w:rsidR="00471D53" w:rsidRDefault="004F686E" w:rsidP="00471D53">
              <w:pPr>
                <w:autoSpaceDE w:val="0"/>
                <w:autoSpaceDN w:val="0"/>
                <w:adjustRightInd w:val="0"/>
                <w:ind w:firstLineChars="200" w:firstLine="420"/>
                <w:rPr>
                  <w:sz w:val="22"/>
                  <w:szCs w:val="22"/>
                </w:rPr>
              </w:pPr>
              <w:r>
                <w:rPr>
                  <w:rFonts w:hint="eastAsia"/>
                  <w:sz w:val="22"/>
                  <w:szCs w:val="22"/>
                </w:rPr>
                <w:t>本集团按规定参加政府机构设立的社会保险计划。根据计划，本集团按照当地政府的有关规定向该等计划缴存费用。除上述缴存费用外，本集团不再承担进一步支付义务。相应的支出於发生时计入当期损益或相关资产成本。</w:t>
              </w:r>
            </w:p>
            <w:p w14:paraId="0B30871B" w14:textId="77777777" w:rsidR="00471D53" w:rsidRDefault="004F686E" w:rsidP="00471D53">
              <w:pPr>
                <w:tabs>
                  <w:tab w:val="left" w:pos="800"/>
                </w:tabs>
                <w:spacing w:beforeLines="50" w:before="120" w:afterLines="50" w:after="120" w:line="360" w:lineRule="exact"/>
                <w:ind w:firstLineChars="200" w:firstLine="440"/>
                <w:jc w:val="both"/>
                <w:rPr>
                  <w:sz w:val="22"/>
                  <w:szCs w:val="22"/>
                </w:rPr>
              </w:pPr>
              <w:r>
                <w:rPr>
                  <w:rFonts w:hint="eastAsia"/>
                  <w:sz w:val="22"/>
                  <w:szCs w:val="22"/>
                </w:rPr>
                <w:t>本集团本期应向参与的设定提存计划缴存费用人民币</w:t>
              </w:r>
              <w:r w:rsidRPr="00D9554B">
                <w:rPr>
                  <w:sz w:val="22"/>
                  <w:szCs w:val="22"/>
                </w:rPr>
                <w:t>10,300,300.44</w:t>
              </w:r>
              <w:r w:rsidRPr="00380823">
                <w:rPr>
                  <w:rFonts w:hint="eastAsia"/>
                  <w:sz w:val="22"/>
                  <w:szCs w:val="22"/>
                </w:rPr>
                <w:t>元</w:t>
              </w:r>
              <w:r>
                <w:rPr>
                  <w:rFonts w:hint="eastAsia"/>
                  <w:sz w:val="22"/>
                  <w:szCs w:val="22"/>
                </w:rPr>
                <w:t>（上期金额：</w:t>
              </w:r>
              <w:r w:rsidRPr="00D9554B">
                <w:rPr>
                  <w:sz w:val="22"/>
                  <w:szCs w:val="22"/>
                </w:rPr>
                <w:t>2,402,552.60</w:t>
              </w:r>
              <w:r w:rsidRPr="00D9554B">
                <w:rPr>
                  <w:rFonts w:hint="eastAsia"/>
                  <w:sz w:val="22"/>
                  <w:szCs w:val="22"/>
                </w:rPr>
                <w:t>元</w:t>
              </w:r>
              <w:r>
                <w:rPr>
                  <w:rFonts w:hint="eastAsia"/>
                  <w:sz w:val="22"/>
                  <w:szCs w:val="22"/>
                </w:rPr>
                <w:t>）。于</w:t>
              </w:r>
              <w:r>
                <w:rPr>
                  <w:sz w:val="22"/>
                  <w:szCs w:val="22"/>
                </w:rPr>
                <w:t>20</w:t>
              </w:r>
              <w:r>
                <w:rPr>
                  <w:rFonts w:hint="eastAsia"/>
                  <w:sz w:val="22"/>
                  <w:szCs w:val="22"/>
                </w:rPr>
                <w:t>21年6月</w:t>
              </w:r>
              <w:r>
                <w:rPr>
                  <w:sz w:val="22"/>
                  <w:szCs w:val="22"/>
                </w:rPr>
                <w:t>3</w:t>
              </w:r>
              <w:r>
                <w:rPr>
                  <w:rFonts w:hint="eastAsia"/>
                  <w:sz w:val="22"/>
                  <w:szCs w:val="22"/>
                </w:rPr>
                <w:t>0日，本集团尚有人民币</w:t>
              </w:r>
              <w:r w:rsidRPr="00380823">
                <w:rPr>
                  <w:rFonts w:cs="Calibri"/>
                  <w:sz w:val="22"/>
                  <w:szCs w:val="22"/>
                </w:rPr>
                <w:t>1,357,512.43</w:t>
              </w:r>
              <w:r w:rsidRPr="00380823">
                <w:rPr>
                  <w:rFonts w:hint="eastAsia"/>
                  <w:sz w:val="22"/>
                  <w:szCs w:val="22"/>
                </w:rPr>
                <w:t>元</w:t>
              </w:r>
              <w:r>
                <w:rPr>
                  <w:rFonts w:hint="eastAsia"/>
                  <w:sz w:val="22"/>
                  <w:szCs w:val="22"/>
                </w:rPr>
                <w:t>（期初余额：</w:t>
              </w:r>
              <w:r w:rsidRPr="009A3EC3">
                <w:rPr>
                  <w:sz w:val="22"/>
                  <w:szCs w:val="22"/>
                </w:rPr>
                <w:t>675,347.66</w:t>
              </w:r>
              <w:r>
                <w:rPr>
                  <w:rFonts w:hint="eastAsia"/>
                  <w:sz w:val="22"/>
                  <w:szCs w:val="22"/>
                </w:rPr>
                <w:t>元）的应缴存费用，是于本报告期间到期而未缴存的，有关应缴存费用已于报告期后缴存。</w:t>
              </w:r>
            </w:p>
            <w:p w14:paraId="5FBBC56A" w14:textId="77777777" w:rsidR="00471D53" w:rsidRDefault="00B664AF" w:rsidP="00471D53">
              <w:pPr>
                <w:autoSpaceDE w:val="0"/>
                <w:autoSpaceDN w:val="0"/>
                <w:adjustRightInd w:val="0"/>
                <w:ind w:firstLineChars="200" w:firstLine="420"/>
                <w:rPr>
                  <w:szCs w:val="21"/>
                </w:rPr>
              </w:pPr>
            </w:p>
          </w:sdtContent>
        </w:sdt>
      </w:sdtContent>
    </w:sdt>
    <w:p w14:paraId="0B6DB98B" w14:textId="77777777" w:rsidR="00471D53" w:rsidRDefault="00B664AF">
      <w:pPr>
        <w:autoSpaceDE w:val="0"/>
        <w:autoSpaceDN w:val="0"/>
        <w:adjustRightInd w:val="0"/>
        <w:rPr>
          <w:szCs w:val="21"/>
        </w:rPr>
      </w:pPr>
    </w:p>
    <w:sdt>
      <w:sdtPr>
        <w:rPr>
          <w:rFonts w:ascii="宋体" w:hAnsi="宋体" w:cs="宋体" w:hint="eastAsia"/>
          <w:b w:val="0"/>
          <w:bCs w:val="0"/>
          <w:kern w:val="0"/>
          <w:szCs w:val="21"/>
        </w:rPr>
        <w:alias w:val="模块:应交税费"/>
        <w:tag w:val="_GBC_50fc9ef51868432e98c401f69097dfc6"/>
        <w:id w:val="-2087916929"/>
        <w:lock w:val="sdtLocked"/>
        <w:placeholder>
          <w:docPart w:val="GBC22222222222222222222222222222"/>
        </w:placeholder>
      </w:sdtPr>
      <w:sdtEndPr>
        <w:rPr>
          <w:rFonts w:cstheme="minorBidi" w:hint="default"/>
          <w:color w:val="000000" w:themeColor="text1"/>
          <w:kern w:val="2"/>
        </w:rPr>
      </w:sdtEndPr>
      <w:sdtContent>
        <w:p w14:paraId="0B73B961"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应交税费</w:t>
          </w:r>
        </w:p>
        <w:sdt>
          <w:sdtPr>
            <w:alias w:val="是否适用：应交税费[双击切换]"/>
            <w:tag w:val="_GBC_e7e2664720b9408384c5d3cd6d97c132"/>
            <w:id w:val="117492408"/>
            <w:lock w:val="sdtLocked"/>
            <w:placeholder>
              <w:docPart w:val="GBC22222222222222222222222222222"/>
            </w:placeholder>
          </w:sdtPr>
          <w:sdtEndPr/>
          <w:sdtContent>
            <w:p w14:paraId="719B7455"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0544338" w14:textId="499E4675" w:rsidR="00471D53" w:rsidRDefault="004F686E">
          <w:pPr>
            <w:jc w:val="right"/>
            <w:rPr>
              <w:szCs w:val="21"/>
            </w:rPr>
          </w:pPr>
          <w:r>
            <w:rPr>
              <w:rFonts w:hint="eastAsia"/>
              <w:szCs w:val="21"/>
            </w:rPr>
            <w:t>单位：</w:t>
          </w:r>
          <w:sdt>
            <w:sdtPr>
              <w:rPr>
                <w:rFonts w:hint="eastAsia"/>
                <w:szCs w:val="21"/>
              </w:rPr>
              <w:alias w:val="单位：财务附注：应交税费"/>
              <w:tag w:val="_GBC_a6162c9f021640929018406be611b834"/>
              <w:id w:val="158765131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应交税费"/>
              <w:tag w:val="_GBC_d787fa1c70604797889c69c4c364e711"/>
              <w:id w:val="17995672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956"/>
            <w:gridCol w:w="2931"/>
            <w:gridCol w:w="2936"/>
          </w:tblGrid>
          <w:tr w:rsidR="00471D53" w14:paraId="0B3E7394" w14:textId="77777777" w:rsidTr="00471D53">
            <w:trPr>
              <w:cantSplit/>
            </w:trPr>
            <w:sdt>
              <w:sdtPr>
                <w:tag w:val="_PLD_ab0019be2d10489d885d15626d85168f"/>
                <w:id w:val="1137771355"/>
                <w:lock w:val="sdtLocked"/>
              </w:sdtPr>
              <w:sdtEndPr/>
              <w:sdtContent>
                <w:tc>
                  <w:tcPr>
                    <w:tcW w:w="1675" w:type="pct"/>
                    <w:vAlign w:val="center"/>
                  </w:tcPr>
                  <w:p w14:paraId="40D38864" w14:textId="77777777" w:rsidR="00471D53" w:rsidRDefault="004F686E" w:rsidP="00471D53">
                    <w:pPr>
                      <w:ind w:right="105"/>
                      <w:jc w:val="center"/>
                      <w:rPr>
                        <w:szCs w:val="21"/>
                      </w:rPr>
                    </w:pPr>
                    <w:r>
                      <w:rPr>
                        <w:rFonts w:hint="eastAsia"/>
                        <w:szCs w:val="21"/>
                      </w:rPr>
                      <w:t>项目</w:t>
                    </w:r>
                  </w:p>
                </w:tc>
              </w:sdtContent>
            </w:sdt>
            <w:sdt>
              <w:sdtPr>
                <w:tag w:val="_PLD_4d086e8f4e004ee3aa116a5d10a7ecbd"/>
                <w:id w:val="83506523"/>
                <w:lock w:val="sdtLocked"/>
              </w:sdtPr>
              <w:sdtEndPr/>
              <w:sdtContent>
                <w:tc>
                  <w:tcPr>
                    <w:tcW w:w="1661" w:type="pct"/>
                    <w:vAlign w:val="center"/>
                  </w:tcPr>
                  <w:p w14:paraId="6F6F3B15" w14:textId="77777777" w:rsidR="00471D53" w:rsidRDefault="004F686E" w:rsidP="00471D53">
                    <w:pPr>
                      <w:jc w:val="center"/>
                      <w:rPr>
                        <w:szCs w:val="21"/>
                      </w:rPr>
                    </w:pPr>
                    <w:r>
                      <w:rPr>
                        <w:rFonts w:hint="eastAsia"/>
                        <w:szCs w:val="21"/>
                      </w:rPr>
                      <w:t>期末余额</w:t>
                    </w:r>
                  </w:p>
                </w:tc>
              </w:sdtContent>
            </w:sdt>
            <w:sdt>
              <w:sdtPr>
                <w:tag w:val="_PLD_8b866f731e474c6ebfb67cd903ab95c8"/>
                <w:id w:val="906967221"/>
                <w:lock w:val="sdtLocked"/>
              </w:sdtPr>
              <w:sdtEndPr/>
              <w:sdtContent>
                <w:tc>
                  <w:tcPr>
                    <w:tcW w:w="1664" w:type="pct"/>
                    <w:vAlign w:val="center"/>
                  </w:tcPr>
                  <w:p w14:paraId="75ABD130" w14:textId="77777777" w:rsidR="00471D53" w:rsidRDefault="004F686E" w:rsidP="00471D53">
                    <w:pPr>
                      <w:jc w:val="center"/>
                      <w:rPr>
                        <w:szCs w:val="21"/>
                      </w:rPr>
                    </w:pPr>
                    <w:r>
                      <w:rPr>
                        <w:rFonts w:hint="eastAsia"/>
                        <w:szCs w:val="21"/>
                      </w:rPr>
                      <w:t>期初余额</w:t>
                    </w:r>
                  </w:p>
                </w:tc>
              </w:sdtContent>
            </w:sdt>
          </w:tr>
          <w:tr w:rsidR="00471D53" w14:paraId="09C1674A" w14:textId="77777777" w:rsidTr="00471D53">
            <w:trPr>
              <w:cantSplit/>
            </w:trPr>
            <w:sdt>
              <w:sdtPr>
                <w:tag w:val="_PLD_25992e1feab349b78cb44e1cc32b16bd"/>
                <w:id w:val="-647050359"/>
                <w:lock w:val="sdtLocked"/>
              </w:sdtPr>
              <w:sdtEndPr/>
              <w:sdtContent>
                <w:tc>
                  <w:tcPr>
                    <w:tcW w:w="1675" w:type="pct"/>
                    <w:shd w:val="clear" w:color="auto" w:fill="auto"/>
                  </w:tcPr>
                  <w:p w14:paraId="75E4A5FE" w14:textId="77777777" w:rsidR="00471D53" w:rsidRDefault="004F686E" w:rsidP="00471D53">
                    <w:pPr>
                      <w:ind w:right="105"/>
                      <w:rPr>
                        <w:szCs w:val="21"/>
                      </w:rPr>
                    </w:pPr>
                    <w:r>
                      <w:rPr>
                        <w:rFonts w:hint="eastAsia"/>
                        <w:szCs w:val="21"/>
                      </w:rPr>
                      <w:t>增值税</w:t>
                    </w:r>
                  </w:p>
                </w:tc>
              </w:sdtContent>
            </w:sdt>
            <w:tc>
              <w:tcPr>
                <w:tcW w:w="1661" w:type="pct"/>
                <w:shd w:val="clear" w:color="auto" w:fill="auto"/>
                <w:vAlign w:val="center"/>
              </w:tcPr>
              <w:p w14:paraId="773D8EBA" w14:textId="77777777" w:rsidR="00471D53" w:rsidRDefault="004F686E" w:rsidP="00471D53">
                <w:pPr>
                  <w:jc w:val="right"/>
                  <w:rPr>
                    <w:sz w:val="22"/>
                  </w:rPr>
                </w:pPr>
                <w:r w:rsidRPr="00037753">
                  <w:rPr>
                    <w:sz w:val="22"/>
                  </w:rPr>
                  <w:t>1,363,123.15</w:t>
                </w:r>
              </w:p>
            </w:tc>
            <w:tc>
              <w:tcPr>
                <w:tcW w:w="1664" w:type="pct"/>
                <w:shd w:val="clear" w:color="auto" w:fill="auto"/>
                <w:vAlign w:val="center"/>
              </w:tcPr>
              <w:p w14:paraId="0F995E40" w14:textId="77777777" w:rsidR="00471D53" w:rsidRDefault="004F686E" w:rsidP="00471D53">
                <w:pPr>
                  <w:jc w:val="right"/>
                  <w:rPr>
                    <w:sz w:val="22"/>
                  </w:rPr>
                </w:pPr>
                <w:r>
                  <w:rPr>
                    <w:rFonts w:cs="Calibri" w:hint="eastAsia"/>
                    <w:sz w:val="22"/>
                  </w:rPr>
                  <w:t>4,127,446.80</w:t>
                </w:r>
              </w:p>
            </w:tc>
          </w:tr>
          <w:tr w:rsidR="00471D53" w14:paraId="7FB996F2" w14:textId="77777777" w:rsidTr="00471D53">
            <w:trPr>
              <w:cantSplit/>
            </w:trPr>
            <w:sdt>
              <w:sdtPr>
                <w:tag w:val="_PLD_4d9ef2a484e444dba2c245f9e9e27dcd"/>
                <w:id w:val="-1609655265"/>
                <w:lock w:val="sdtLocked"/>
              </w:sdtPr>
              <w:sdtEndPr/>
              <w:sdtContent>
                <w:tc>
                  <w:tcPr>
                    <w:tcW w:w="1675" w:type="pct"/>
                    <w:shd w:val="clear" w:color="auto" w:fill="auto"/>
                  </w:tcPr>
                  <w:p w14:paraId="5BA43189" w14:textId="77777777" w:rsidR="00471D53" w:rsidRDefault="004F686E" w:rsidP="00471D53">
                    <w:pPr>
                      <w:ind w:right="105"/>
                      <w:rPr>
                        <w:szCs w:val="21"/>
                      </w:rPr>
                    </w:pPr>
                    <w:r>
                      <w:rPr>
                        <w:rFonts w:hint="eastAsia"/>
                        <w:szCs w:val="21"/>
                      </w:rPr>
                      <w:t>消费税</w:t>
                    </w:r>
                  </w:p>
                </w:tc>
              </w:sdtContent>
            </w:sdt>
            <w:tc>
              <w:tcPr>
                <w:tcW w:w="1661" w:type="pct"/>
                <w:shd w:val="clear" w:color="auto" w:fill="auto"/>
              </w:tcPr>
              <w:p w14:paraId="0CB22C0F" w14:textId="77777777" w:rsidR="00471D53" w:rsidRDefault="00B664AF" w:rsidP="00471D53">
                <w:pPr>
                  <w:ind w:right="73"/>
                  <w:jc w:val="right"/>
                  <w:rPr>
                    <w:szCs w:val="21"/>
                  </w:rPr>
                </w:pPr>
              </w:p>
            </w:tc>
            <w:tc>
              <w:tcPr>
                <w:tcW w:w="1664" w:type="pct"/>
                <w:shd w:val="clear" w:color="auto" w:fill="auto"/>
              </w:tcPr>
              <w:p w14:paraId="2A50FAFD" w14:textId="77777777" w:rsidR="00471D53" w:rsidRDefault="00B664AF" w:rsidP="00471D53">
                <w:pPr>
                  <w:jc w:val="right"/>
                  <w:rPr>
                    <w:szCs w:val="21"/>
                  </w:rPr>
                </w:pPr>
              </w:p>
            </w:tc>
          </w:tr>
          <w:tr w:rsidR="00471D53" w14:paraId="7BA9E53B" w14:textId="77777777" w:rsidTr="00471D53">
            <w:trPr>
              <w:cantSplit/>
            </w:trPr>
            <w:sdt>
              <w:sdtPr>
                <w:tag w:val="_PLD_799e4fa122204cd899b6ef7435fc12c3"/>
                <w:id w:val="-1596403810"/>
                <w:lock w:val="sdtLocked"/>
              </w:sdtPr>
              <w:sdtEndPr/>
              <w:sdtContent>
                <w:tc>
                  <w:tcPr>
                    <w:tcW w:w="1675" w:type="pct"/>
                    <w:shd w:val="clear" w:color="auto" w:fill="auto"/>
                  </w:tcPr>
                  <w:p w14:paraId="0DE0B65B" w14:textId="77777777" w:rsidR="00471D53" w:rsidRDefault="004F686E" w:rsidP="00471D53">
                    <w:pPr>
                      <w:ind w:right="105"/>
                      <w:rPr>
                        <w:szCs w:val="21"/>
                      </w:rPr>
                    </w:pPr>
                    <w:r>
                      <w:rPr>
                        <w:rFonts w:hint="eastAsia"/>
                        <w:szCs w:val="21"/>
                      </w:rPr>
                      <w:t>营业税</w:t>
                    </w:r>
                  </w:p>
                </w:tc>
              </w:sdtContent>
            </w:sdt>
            <w:tc>
              <w:tcPr>
                <w:tcW w:w="1661" w:type="pct"/>
                <w:shd w:val="clear" w:color="auto" w:fill="auto"/>
              </w:tcPr>
              <w:p w14:paraId="70B21A22" w14:textId="77777777" w:rsidR="00471D53" w:rsidRDefault="00B664AF" w:rsidP="00471D53">
                <w:pPr>
                  <w:ind w:right="73"/>
                  <w:jc w:val="right"/>
                  <w:rPr>
                    <w:szCs w:val="21"/>
                  </w:rPr>
                </w:pPr>
              </w:p>
            </w:tc>
            <w:tc>
              <w:tcPr>
                <w:tcW w:w="1664" w:type="pct"/>
                <w:shd w:val="clear" w:color="auto" w:fill="auto"/>
              </w:tcPr>
              <w:p w14:paraId="7BA17246" w14:textId="77777777" w:rsidR="00471D53" w:rsidRDefault="00B664AF" w:rsidP="00471D53">
                <w:pPr>
                  <w:jc w:val="right"/>
                  <w:rPr>
                    <w:szCs w:val="21"/>
                  </w:rPr>
                </w:pPr>
              </w:p>
            </w:tc>
          </w:tr>
          <w:tr w:rsidR="00471D53" w14:paraId="27375C67" w14:textId="77777777" w:rsidTr="00471D53">
            <w:trPr>
              <w:cantSplit/>
            </w:trPr>
            <w:sdt>
              <w:sdtPr>
                <w:tag w:val="_PLD_6069f9b576594e2eaf73c76c1080318c"/>
                <w:id w:val="1240750567"/>
                <w:lock w:val="sdtLocked"/>
              </w:sdtPr>
              <w:sdtEndPr/>
              <w:sdtContent>
                <w:tc>
                  <w:tcPr>
                    <w:tcW w:w="1675" w:type="pct"/>
                    <w:shd w:val="clear" w:color="auto" w:fill="auto"/>
                  </w:tcPr>
                  <w:p w14:paraId="3FCC07BD" w14:textId="77777777" w:rsidR="00471D53" w:rsidRDefault="004F686E" w:rsidP="00471D53">
                    <w:pPr>
                      <w:ind w:right="105"/>
                      <w:rPr>
                        <w:szCs w:val="21"/>
                      </w:rPr>
                    </w:pPr>
                    <w:r>
                      <w:rPr>
                        <w:rFonts w:hint="eastAsia"/>
                        <w:szCs w:val="21"/>
                      </w:rPr>
                      <w:t>企业所得税</w:t>
                    </w:r>
                  </w:p>
                </w:tc>
              </w:sdtContent>
            </w:sdt>
            <w:tc>
              <w:tcPr>
                <w:tcW w:w="1661" w:type="pct"/>
                <w:shd w:val="clear" w:color="auto" w:fill="auto"/>
                <w:vAlign w:val="center"/>
              </w:tcPr>
              <w:p w14:paraId="04F4663F" w14:textId="77777777" w:rsidR="00471D53" w:rsidRDefault="004F686E" w:rsidP="00471D53">
                <w:pPr>
                  <w:jc w:val="right"/>
                  <w:rPr>
                    <w:sz w:val="22"/>
                  </w:rPr>
                </w:pPr>
                <w:r w:rsidRPr="007D6F43">
                  <w:rPr>
                    <w:sz w:val="22"/>
                  </w:rPr>
                  <w:t>596,293.38</w:t>
                </w:r>
              </w:p>
            </w:tc>
            <w:tc>
              <w:tcPr>
                <w:tcW w:w="1664" w:type="pct"/>
                <w:shd w:val="clear" w:color="auto" w:fill="auto"/>
                <w:vAlign w:val="center"/>
              </w:tcPr>
              <w:p w14:paraId="2F03288C" w14:textId="77777777" w:rsidR="00471D53" w:rsidRDefault="004F686E" w:rsidP="00471D53">
                <w:pPr>
                  <w:jc w:val="right"/>
                  <w:rPr>
                    <w:sz w:val="22"/>
                  </w:rPr>
                </w:pPr>
                <w:r>
                  <w:rPr>
                    <w:rFonts w:cs="Calibri" w:hint="eastAsia"/>
                    <w:sz w:val="22"/>
                  </w:rPr>
                  <w:t>1,195,568.89</w:t>
                </w:r>
              </w:p>
            </w:tc>
          </w:tr>
          <w:tr w:rsidR="00471D53" w14:paraId="5C38851B" w14:textId="77777777" w:rsidTr="00471D53">
            <w:trPr>
              <w:cantSplit/>
            </w:trPr>
            <w:sdt>
              <w:sdtPr>
                <w:tag w:val="_PLD_7034b2e69b80422baeee1441e6830886"/>
                <w:id w:val="1510802071"/>
                <w:lock w:val="sdtLocked"/>
              </w:sdtPr>
              <w:sdtEndPr/>
              <w:sdtContent>
                <w:tc>
                  <w:tcPr>
                    <w:tcW w:w="1675" w:type="pct"/>
                    <w:shd w:val="clear" w:color="auto" w:fill="auto"/>
                  </w:tcPr>
                  <w:p w14:paraId="11E09138" w14:textId="77777777" w:rsidR="00471D53" w:rsidRDefault="004F686E" w:rsidP="00471D53">
                    <w:pPr>
                      <w:ind w:right="105"/>
                      <w:rPr>
                        <w:szCs w:val="21"/>
                      </w:rPr>
                    </w:pPr>
                    <w:r>
                      <w:rPr>
                        <w:rFonts w:hint="eastAsia"/>
                        <w:szCs w:val="21"/>
                      </w:rPr>
                      <w:t>个人所得税</w:t>
                    </w:r>
                  </w:p>
                </w:tc>
              </w:sdtContent>
            </w:sdt>
            <w:tc>
              <w:tcPr>
                <w:tcW w:w="1661" w:type="pct"/>
                <w:shd w:val="clear" w:color="auto" w:fill="auto"/>
                <w:vAlign w:val="center"/>
              </w:tcPr>
              <w:p w14:paraId="082FA45D" w14:textId="77777777" w:rsidR="00471D53" w:rsidRDefault="004F686E" w:rsidP="00471D53">
                <w:pPr>
                  <w:jc w:val="right"/>
                  <w:rPr>
                    <w:sz w:val="22"/>
                  </w:rPr>
                </w:pPr>
                <w:r w:rsidRPr="00037753">
                  <w:rPr>
                    <w:sz w:val="22"/>
                  </w:rPr>
                  <w:t>459,947.83</w:t>
                </w:r>
              </w:p>
            </w:tc>
            <w:tc>
              <w:tcPr>
                <w:tcW w:w="1664" w:type="pct"/>
                <w:shd w:val="clear" w:color="auto" w:fill="auto"/>
                <w:vAlign w:val="center"/>
              </w:tcPr>
              <w:p w14:paraId="26C12F18" w14:textId="77777777" w:rsidR="00471D53" w:rsidRDefault="004F686E" w:rsidP="00471D53">
                <w:pPr>
                  <w:jc w:val="right"/>
                  <w:rPr>
                    <w:sz w:val="22"/>
                  </w:rPr>
                </w:pPr>
                <w:r>
                  <w:rPr>
                    <w:rFonts w:cs="Calibri" w:hint="eastAsia"/>
                    <w:sz w:val="22"/>
                  </w:rPr>
                  <w:t>741,307.69</w:t>
                </w:r>
              </w:p>
            </w:tc>
          </w:tr>
          <w:tr w:rsidR="00471D53" w14:paraId="11F71DF4" w14:textId="77777777" w:rsidTr="00471D53">
            <w:trPr>
              <w:cantSplit/>
            </w:trPr>
            <w:sdt>
              <w:sdtPr>
                <w:tag w:val="_PLD_76c030e64d064b19abe68ec0d74ffc7b"/>
                <w:id w:val="-1384626546"/>
                <w:lock w:val="sdtLocked"/>
              </w:sdtPr>
              <w:sdtEndPr/>
              <w:sdtContent>
                <w:tc>
                  <w:tcPr>
                    <w:tcW w:w="1675" w:type="pct"/>
                    <w:shd w:val="clear" w:color="auto" w:fill="auto"/>
                  </w:tcPr>
                  <w:p w14:paraId="7F575165" w14:textId="77777777" w:rsidR="00471D53" w:rsidRDefault="004F686E" w:rsidP="00471D53">
                    <w:pPr>
                      <w:ind w:right="105"/>
                      <w:rPr>
                        <w:szCs w:val="21"/>
                      </w:rPr>
                    </w:pPr>
                    <w:r>
                      <w:rPr>
                        <w:rFonts w:hint="eastAsia"/>
                        <w:szCs w:val="21"/>
                      </w:rPr>
                      <w:t>城市维护建设税</w:t>
                    </w:r>
                  </w:p>
                </w:tc>
              </w:sdtContent>
            </w:sdt>
            <w:tc>
              <w:tcPr>
                <w:tcW w:w="1661" w:type="pct"/>
                <w:shd w:val="clear" w:color="auto" w:fill="auto"/>
                <w:vAlign w:val="center"/>
              </w:tcPr>
              <w:p w14:paraId="61D3B519" w14:textId="77777777" w:rsidR="00471D53" w:rsidRDefault="004F686E" w:rsidP="00471D53">
                <w:pPr>
                  <w:jc w:val="right"/>
                  <w:rPr>
                    <w:sz w:val="22"/>
                  </w:rPr>
                </w:pPr>
                <w:r w:rsidRPr="00037753">
                  <w:rPr>
                    <w:sz w:val="22"/>
                  </w:rPr>
                  <w:t>90,487.99</w:t>
                </w:r>
              </w:p>
            </w:tc>
            <w:tc>
              <w:tcPr>
                <w:tcW w:w="1664" w:type="pct"/>
                <w:shd w:val="clear" w:color="auto" w:fill="auto"/>
                <w:vAlign w:val="center"/>
              </w:tcPr>
              <w:p w14:paraId="11D776D9" w14:textId="77777777" w:rsidR="00471D53" w:rsidRDefault="004F686E" w:rsidP="00471D53">
                <w:pPr>
                  <w:jc w:val="right"/>
                  <w:rPr>
                    <w:sz w:val="22"/>
                  </w:rPr>
                </w:pPr>
                <w:r>
                  <w:rPr>
                    <w:rFonts w:cs="Calibri" w:hint="eastAsia"/>
                    <w:sz w:val="22"/>
                  </w:rPr>
                  <w:t>265,637.81</w:t>
                </w:r>
              </w:p>
            </w:tc>
          </w:tr>
          <w:tr w:rsidR="00471D53" w14:paraId="327D1DFC" w14:textId="77777777" w:rsidTr="00471D53">
            <w:trPr>
              <w:cantSplit/>
            </w:trPr>
            <w:tc>
              <w:tcPr>
                <w:tcW w:w="1675" w:type="pct"/>
              </w:tcPr>
              <w:p w14:paraId="5044D92E" w14:textId="77777777" w:rsidR="00471D53" w:rsidRDefault="004F686E" w:rsidP="00471D53">
                <w:pPr>
                  <w:ind w:right="105"/>
                  <w:rPr>
                    <w:szCs w:val="21"/>
                  </w:rPr>
                </w:pPr>
                <w:r>
                  <w:rPr>
                    <w:rFonts w:hint="eastAsia"/>
                    <w:szCs w:val="21"/>
                  </w:rPr>
                  <w:t>房产税</w:t>
                </w:r>
              </w:p>
            </w:tc>
            <w:tc>
              <w:tcPr>
                <w:tcW w:w="1661" w:type="pct"/>
                <w:vAlign w:val="center"/>
              </w:tcPr>
              <w:p w14:paraId="7C4C94BF" w14:textId="77777777" w:rsidR="00471D53" w:rsidRPr="00037753" w:rsidRDefault="004F686E" w:rsidP="00471D53">
                <w:pPr>
                  <w:jc w:val="right"/>
                  <w:rPr>
                    <w:sz w:val="22"/>
                  </w:rPr>
                </w:pPr>
                <w:r w:rsidRPr="00037753">
                  <w:rPr>
                    <w:sz w:val="22"/>
                  </w:rPr>
                  <w:t>16,313.59</w:t>
                </w:r>
              </w:p>
            </w:tc>
            <w:tc>
              <w:tcPr>
                <w:tcW w:w="1664" w:type="pct"/>
                <w:vAlign w:val="center"/>
              </w:tcPr>
              <w:p w14:paraId="20F357D4" w14:textId="77777777" w:rsidR="00471D53" w:rsidRDefault="004F686E" w:rsidP="00471D53">
                <w:pPr>
                  <w:jc w:val="right"/>
                  <w:rPr>
                    <w:rFonts w:cs="Calibri"/>
                    <w:sz w:val="22"/>
                  </w:rPr>
                </w:pPr>
                <w:r>
                  <w:rPr>
                    <w:rFonts w:cs="Calibri" w:hint="eastAsia"/>
                    <w:sz w:val="22"/>
                  </w:rPr>
                  <w:t>0</w:t>
                </w:r>
                <w:r>
                  <w:rPr>
                    <w:rFonts w:cs="Calibri"/>
                    <w:sz w:val="22"/>
                  </w:rPr>
                  <w:t>.00</w:t>
                </w:r>
              </w:p>
            </w:tc>
          </w:tr>
          <w:tr w:rsidR="00471D53" w14:paraId="49FEB239" w14:textId="77777777" w:rsidTr="00471D53">
            <w:trPr>
              <w:cantSplit/>
            </w:trPr>
            <w:tc>
              <w:tcPr>
                <w:tcW w:w="1675" w:type="pct"/>
              </w:tcPr>
              <w:p w14:paraId="04F40858" w14:textId="77777777" w:rsidR="00471D53" w:rsidRDefault="004F686E" w:rsidP="00471D53">
                <w:pPr>
                  <w:ind w:right="105"/>
                  <w:rPr>
                    <w:szCs w:val="21"/>
                  </w:rPr>
                </w:pPr>
                <w:r>
                  <w:rPr>
                    <w:rFonts w:hint="eastAsia"/>
                    <w:szCs w:val="21"/>
                  </w:rPr>
                  <w:t>土地使用税</w:t>
                </w:r>
              </w:p>
            </w:tc>
            <w:tc>
              <w:tcPr>
                <w:tcW w:w="1661" w:type="pct"/>
                <w:vAlign w:val="center"/>
              </w:tcPr>
              <w:p w14:paraId="20F0C980" w14:textId="77777777" w:rsidR="00471D53" w:rsidRPr="00037753" w:rsidRDefault="004F686E" w:rsidP="00471D53">
                <w:pPr>
                  <w:jc w:val="right"/>
                  <w:rPr>
                    <w:sz w:val="22"/>
                  </w:rPr>
                </w:pPr>
                <w:r w:rsidRPr="00037753">
                  <w:rPr>
                    <w:sz w:val="22"/>
                  </w:rPr>
                  <w:t>16,909.50</w:t>
                </w:r>
              </w:p>
            </w:tc>
            <w:tc>
              <w:tcPr>
                <w:tcW w:w="1664" w:type="pct"/>
                <w:vAlign w:val="center"/>
              </w:tcPr>
              <w:p w14:paraId="506EE973" w14:textId="77777777" w:rsidR="00471D53" w:rsidRDefault="004F686E" w:rsidP="00471D53">
                <w:pPr>
                  <w:jc w:val="right"/>
                  <w:rPr>
                    <w:rFonts w:cs="Calibri"/>
                    <w:sz w:val="22"/>
                  </w:rPr>
                </w:pPr>
                <w:r>
                  <w:rPr>
                    <w:rFonts w:cs="Calibri" w:hint="eastAsia"/>
                    <w:sz w:val="22"/>
                  </w:rPr>
                  <w:t>0</w:t>
                </w:r>
                <w:r>
                  <w:rPr>
                    <w:rFonts w:cs="Calibri"/>
                    <w:sz w:val="22"/>
                  </w:rPr>
                  <w:t>.00</w:t>
                </w:r>
              </w:p>
            </w:tc>
          </w:tr>
          <w:tr w:rsidR="00471D53" w14:paraId="12C2025E" w14:textId="77777777" w:rsidTr="00471D53">
            <w:trPr>
              <w:cantSplit/>
            </w:trPr>
            <w:tc>
              <w:tcPr>
                <w:tcW w:w="1675" w:type="pct"/>
                <w:vAlign w:val="center"/>
              </w:tcPr>
              <w:p w14:paraId="4B081F8E" w14:textId="77777777" w:rsidR="00471D53" w:rsidRDefault="004F686E" w:rsidP="00471D53">
                <w:pPr>
                  <w:rPr>
                    <w:bCs/>
                    <w:sz w:val="22"/>
                    <w:szCs w:val="22"/>
                  </w:rPr>
                </w:pPr>
                <w:r>
                  <w:rPr>
                    <w:rFonts w:hint="eastAsia"/>
                    <w:bCs/>
                    <w:sz w:val="22"/>
                    <w:szCs w:val="22"/>
                  </w:rPr>
                  <w:t>教育费附加</w:t>
                </w:r>
              </w:p>
            </w:tc>
            <w:tc>
              <w:tcPr>
                <w:tcW w:w="1661" w:type="pct"/>
                <w:vAlign w:val="center"/>
              </w:tcPr>
              <w:p w14:paraId="11AF652D" w14:textId="77777777" w:rsidR="00471D53" w:rsidRDefault="004F686E" w:rsidP="00471D53">
                <w:pPr>
                  <w:jc w:val="right"/>
                  <w:rPr>
                    <w:sz w:val="22"/>
                    <w:szCs w:val="22"/>
                  </w:rPr>
                </w:pPr>
                <w:r w:rsidRPr="00037753">
                  <w:rPr>
                    <w:sz w:val="22"/>
                    <w:szCs w:val="22"/>
                  </w:rPr>
                  <w:t>68,074.96</w:t>
                </w:r>
              </w:p>
            </w:tc>
            <w:tc>
              <w:tcPr>
                <w:tcW w:w="1664" w:type="pct"/>
                <w:vAlign w:val="center"/>
              </w:tcPr>
              <w:p w14:paraId="10C939FB" w14:textId="77777777" w:rsidR="00471D53" w:rsidRDefault="004F686E" w:rsidP="00471D53">
                <w:pPr>
                  <w:jc w:val="right"/>
                  <w:rPr>
                    <w:sz w:val="22"/>
                    <w:szCs w:val="22"/>
                  </w:rPr>
                </w:pPr>
                <w:r>
                  <w:rPr>
                    <w:rFonts w:cs="Calibri" w:hint="eastAsia"/>
                    <w:sz w:val="22"/>
                    <w:szCs w:val="22"/>
                  </w:rPr>
                  <w:t>130,145.05</w:t>
                </w:r>
              </w:p>
            </w:tc>
          </w:tr>
          <w:tr w:rsidR="00471D53" w14:paraId="3EFCE86F" w14:textId="77777777" w:rsidTr="00471D53">
            <w:trPr>
              <w:cantSplit/>
            </w:trPr>
            <w:tc>
              <w:tcPr>
                <w:tcW w:w="1675" w:type="pct"/>
                <w:vAlign w:val="center"/>
              </w:tcPr>
              <w:p w14:paraId="37E17BC2" w14:textId="77777777" w:rsidR="00471D53" w:rsidRDefault="004F686E" w:rsidP="00471D53">
                <w:pPr>
                  <w:rPr>
                    <w:bCs/>
                    <w:sz w:val="22"/>
                    <w:szCs w:val="22"/>
                  </w:rPr>
                </w:pPr>
                <w:r>
                  <w:rPr>
                    <w:rFonts w:hint="eastAsia"/>
                    <w:bCs/>
                    <w:sz w:val="22"/>
                    <w:szCs w:val="22"/>
                  </w:rPr>
                  <w:t>地方教育费附加</w:t>
                </w:r>
              </w:p>
            </w:tc>
            <w:tc>
              <w:tcPr>
                <w:tcW w:w="1661" w:type="pct"/>
                <w:vAlign w:val="center"/>
              </w:tcPr>
              <w:p w14:paraId="60559060" w14:textId="77777777" w:rsidR="00471D53" w:rsidRDefault="004F686E" w:rsidP="00471D53">
                <w:pPr>
                  <w:jc w:val="right"/>
                  <w:rPr>
                    <w:sz w:val="22"/>
                    <w:szCs w:val="22"/>
                  </w:rPr>
                </w:pPr>
                <w:r w:rsidRPr="00037753">
                  <w:rPr>
                    <w:sz w:val="22"/>
                    <w:szCs w:val="22"/>
                  </w:rPr>
                  <w:t>2,711.21</w:t>
                </w:r>
              </w:p>
            </w:tc>
            <w:tc>
              <w:tcPr>
                <w:tcW w:w="1664" w:type="pct"/>
                <w:vAlign w:val="center"/>
              </w:tcPr>
              <w:p w14:paraId="4D9096FB" w14:textId="77777777" w:rsidR="00471D53" w:rsidRDefault="004F686E" w:rsidP="00471D53">
                <w:pPr>
                  <w:jc w:val="right"/>
                  <w:rPr>
                    <w:sz w:val="22"/>
                    <w:szCs w:val="22"/>
                  </w:rPr>
                </w:pPr>
                <w:r>
                  <w:rPr>
                    <w:rFonts w:cs="Calibri" w:hint="eastAsia"/>
                    <w:sz w:val="22"/>
                    <w:szCs w:val="22"/>
                  </w:rPr>
                  <w:t>72,507.70</w:t>
                </w:r>
              </w:p>
            </w:tc>
          </w:tr>
          <w:tr w:rsidR="00471D53" w14:paraId="2DA06C9B" w14:textId="77777777" w:rsidTr="00471D53">
            <w:trPr>
              <w:cantSplit/>
            </w:trPr>
            <w:tc>
              <w:tcPr>
                <w:tcW w:w="1675" w:type="pct"/>
                <w:vAlign w:val="center"/>
              </w:tcPr>
              <w:p w14:paraId="076DCE95" w14:textId="77777777" w:rsidR="00471D53" w:rsidRDefault="004F686E" w:rsidP="00471D53">
                <w:pPr>
                  <w:rPr>
                    <w:bCs/>
                    <w:sz w:val="22"/>
                    <w:szCs w:val="22"/>
                  </w:rPr>
                </w:pPr>
                <w:r>
                  <w:rPr>
                    <w:rFonts w:hint="eastAsia"/>
                    <w:bCs/>
                    <w:sz w:val="22"/>
                    <w:szCs w:val="22"/>
                  </w:rPr>
                  <w:t>印花税</w:t>
                </w:r>
              </w:p>
            </w:tc>
            <w:tc>
              <w:tcPr>
                <w:tcW w:w="1661" w:type="pct"/>
                <w:vAlign w:val="center"/>
              </w:tcPr>
              <w:p w14:paraId="1A9ADEF5" w14:textId="77777777" w:rsidR="00471D53" w:rsidRDefault="004F686E" w:rsidP="00471D53">
                <w:pPr>
                  <w:jc w:val="right"/>
                  <w:rPr>
                    <w:sz w:val="22"/>
                    <w:szCs w:val="22"/>
                  </w:rPr>
                </w:pPr>
                <w:r w:rsidRPr="00037753">
                  <w:rPr>
                    <w:sz w:val="22"/>
                    <w:szCs w:val="22"/>
                  </w:rPr>
                  <w:t>173,361.09</w:t>
                </w:r>
              </w:p>
            </w:tc>
            <w:tc>
              <w:tcPr>
                <w:tcW w:w="1664" w:type="pct"/>
                <w:vAlign w:val="center"/>
              </w:tcPr>
              <w:p w14:paraId="426812A7" w14:textId="77777777" w:rsidR="00471D53" w:rsidRDefault="004F686E" w:rsidP="00471D53">
                <w:pPr>
                  <w:jc w:val="right"/>
                  <w:rPr>
                    <w:sz w:val="22"/>
                    <w:szCs w:val="22"/>
                  </w:rPr>
                </w:pPr>
                <w:r>
                  <w:rPr>
                    <w:rFonts w:cs="Calibri" w:hint="eastAsia"/>
                    <w:sz w:val="22"/>
                    <w:szCs w:val="22"/>
                  </w:rPr>
                  <w:t>145,920.11</w:t>
                </w:r>
              </w:p>
            </w:tc>
          </w:tr>
          <w:tr w:rsidR="00471D53" w14:paraId="65FFFF08" w14:textId="77777777" w:rsidTr="00471D53">
            <w:trPr>
              <w:cantSplit/>
            </w:trPr>
            <w:tc>
              <w:tcPr>
                <w:tcW w:w="1675" w:type="pct"/>
                <w:vAlign w:val="center"/>
              </w:tcPr>
              <w:p w14:paraId="7E734B46" w14:textId="77777777" w:rsidR="00471D53" w:rsidRDefault="004F686E" w:rsidP="00471D53">
                <w:pPr>
                  <w:rPr>
                    <w:bCs/>
                    <w:sz w:val="22"/>
                    <w:szCs w:val="22"/>
                  </w:rPr>
                </w:pPr>
                <w:r>
                  <w:rPr>
                    <w:rFonts w:hint="eastAsia"/>
                    <w:bCs/>
                    <w:sz w:val="22"/>
                    <w:szCs w:val="22"/>
                  </w:rPr>
                  <w:t>环境保护税</w:t>
                </w:r>
              </w:p>
            </w:tc>
            <w:tc>
              <w:tcPr>
                <w:tcW w:w="1661" w:type="pct"/>
                <w:vAlign w:val="center"/>
              </w:tcPr>
              <w:p w14:paraId="281BBBE2" w14:textId="77777777" w:rsidR="00471D53" w:rsidRDefault="004F686E" w:rsidP="00471D53">
                <w:pPr>
                  <w:jc w:val="right"/>
                  <w:rPr>
                    <w:sz w:val="22"/>
                    <w:szCs w:val="22"/>
                  </w:rPr>
                </w:pPr>
                <w:r w:rsidRPr="00037753">
                  <w:rPr>
                    <w:sz w:val="22"/>
                    <w:szCs w:val="22"/>
                  </w:rPr>
                  <w:t>31,762.19</w:t>
                </w:r>
              </w:p>
            </w:tc>
            <w:tc>
              <w:tcPr>
                <w:tcW w:w="1664" w:type="pct"/>
                <w:vAlign w:val="center"/>
              </w:tcPr>
              <w:p w14:paraId="4B03A5E4" w14:textId="77777777" w:rsidR="00471D53" w:rsidRDefault="004F686E" w:rsidP="00471D53">
                <w:pPr>
                  <w:jc w:val="right"/>
                  <w:rPr>
                    <w:sz w:val="22"/>
                    <w:szCs w:val="22"/>
                  </w:rPr>
                </w:pPr>
                <w:r>
                  <w:rPr>
                    <w:rFonts w:cs="Calibri" w:hint="eastAsia"/>
                    <w:sz w:val="22"/>
                    <w:szCs w:val="22"/>
                  </w:rPr>
                  <w:t>41,536.33</w:t>
                </w:r>
              </w:p>
            </w:tc>
          </w:tr>
          <w:tr w:rsidR="00471D53" w14:paraId="318CD56E" w14:textId="77777777" w:rsidTr="00471D53">
            <w:trPr>
              <w:cantSplit/>
            </w:trPr>
            <w:tc>
              <w:tcPr>
                <w:tcW w:w="1675" w:type="pct"/>
                <w:vAlign w:val="center"/>
              </w:tcPr>
              <w:p w14:paraId="28E7C2A1" w14:textId="77777777" w:rsidR="00471D53" w:rsidRDefault="004F686E" w:rsidP="00471D53">
                <w:pPr>
                  <w:rPr>
                    <w:bCs/>
                    <w:sz w:val="22"/>
                    <w:szCs w:val="22"/>
                  </w:rPr>
                </w:pPr>
                <w:r>
                  <w:rPr>
                    <w:rFonts w:hint="eastAsia"/>
                    <w:bCs/>
                    <w:sz w:val="22"/>
                    <w:szCs w:val="22"/>
                  </w:rPr>
                  <w:t>应交残疾人就业保障金</w:t>
                </w:r>
              </w:p>
            </w:tc>
            <w:tc>
              <w:tcPr>
                <w:tcW w:w="1661" w:type="pct"/>
                <w:vAlign w:val="center"/>
              </w:tcPr>
              <w:p w14:paraId="5E226378" w14:textId="77777777" w:rsidR="00471D53" w:rsidRPr="00037753" w:rsidRDefault="004F686E" w:rsidP="00471D53">
                <w:pPr>
                  <w:jc w:val="right"/>
                  <w:rPr>
                    <w:sz w:val="22"/>
                    <w:szCs w:val="22"/>
                  </w:rPr>
                </w:pPr>
                <w:r w:rsidRPr="00037753">
                  <w:rPr>
                    <w:sz w:val="22"/>
                    <w:szCs w:val="22"/>
                  </w:rPr>
                  <w:t>330,000.00</w:t>
                </w:r>
              </w:p>
            </w:tc>
            <w:tc>
              <w:tcPr>
                <w:tcW w:w="1664" w:type="pct"/>
                <w:vAlign w:val="center"/>
              </w:tcPr>
              <w:p w14:paraId="684EC949" w14:textId="77777777" w:rsidR="00471D53" w:rsidRDefault="004F686E" w:rsidP="00471D53">
                <w:pPr>
                  <w:jc w:val="right"/>
                  <w:rPr>
                    <w:rFonts w:cs="Calibri"/>
                    <w:sz w:val="22"/>
                    <w:szCs w:val="22"/>
                  </w:rPr>
                </w:pPr>
                <w:r>
                  <w:rPr>
                    <w:rFonts w:cs="Calibri" w:hint="eastAsia"/>
                    <w:sz w:val="22"/>
                    <w:szCs w:val="22"/>
                  </w:rPr>
                  <w:t>0</w:t>
                </w:r>
                <w:r>
                  <w:rPr>
                    <w:rFonts w:cs="Calibri"/>
                    <w:sz w:val="22"/>
                    <w:szCs w:val="22"/>
                  </w:rPr>
                  <w:t>.00</w:t>
                </w:r>
              </w:p>
            </w:tc>
          </w:tr>
          <w:tr w:rsidR="00471D53" w14:paraId="25DBD12D" w14:textId="77777777" w:rsidTr="00471D53">
            <w:trPr>
              <w:cantSplit/>
            </w:trPr>
            <w:sdt>
              <w:sdtPr>
                <w:tag w:val="_PLD_ad567219cf614829af1a2928b1fa259b"/>
                <w:id w:val="298184787"/>
                <w:lock w:val="sdtLocked"/>
              </w:sdtPr>
              <w:sdtEndPr/>
              <w:sdtContent>
                <w:tc>
                  <w:tcPr>
                    <w:tcW w:w="1675" w:type="pct"/>
                    <w:vAlign w:val="center"/>
                  </w:tcPr>
                  <w:p w14:paraId="02E4A39F" w14:textId="77777777" w:rsidR="00471D53" w:rsidRDefault="004F686E" w:rsidP="00471D53">
                    <w:pPr>
                      <w:ind w:right="105"/>
                      <w:jc w:val="center"/>
                      <w:rPr>
                        <w:szCs w:val="21"/>
                      </w:rPr>
                    </w:pPr>
                    <w:r>
                      <w:rPr>
                        <w:rFonts w:hint="eastAsia"/>
                        <w:szCs w:val="21"/>
                      </w:rPr>
                      <w:t>合计</w:t>
                    </w:r>
                  </w:p>
                </w:tc>
              </w:sdtContent>
            </w:sdt>
            <w:tc>
              <w:tcPr>
                <w:tcW w:w="1661" w:type="pct"/>
                <w:vAlign w:val="center"/>
              </w:tcPr>
              <w:p w14:paraId="0E1BD8B4" w14:textId="77777777" w:rsidR="00471D53" w:rsidRPr="00884EE5" w:rsidRDefault="004F686E" w:rsidP="00471D53">
                <w:pPr>
                  <w:jc w:val="right"/>
                  <w:rPr>
                    <w:sz w:val="22"/>
                    <w:szCs w:val="22"/>
                  </w:rPr>
                </w:pPr>
                <w:r w:rsidRPr="00884EE5">
                  <w:rPr>
                    <w:sz w:val="22"/>
                    <w:szCs w:val="22"/>
                  </w:rPr>
                  <w:t>3,148,984.89</w:t>
                </w:r>
              </w:p>
            </w:tc>
            <w:tc>
              <w:tcPr>
                <w:tcW w:w="1664" w:type="pct"/>
                <w:vAlign w:val="center"/>
              </w:tcPr>
              <w:p w14:paraId="5D5520E5" w14:textId="77777777" w:rsidR="00471D53" w:rsidRPr="00884EE5" w:rsidRDefault="004F686E" w:rsidP="00471D53">
                <w:pPr>
                  <w:jc w:val="right"/>
                  <w:rPr>
                    <w:sz w:val="22"/>
                    <w:szCs w:val="22"/>
                  </w:rPr>
                </w:pPr>
                <w:r w:rsidRPr="00884EE5">
                  <w:rPr>
                    <w:rFonts w:cs="Calibri" w:hint="eastAsia"/>
                    <w:bCs/>
                    <w:sz w:val="22"/>
                    <w:szCs w:val="22"/>
                  </w:rPr>
                  <w:t>6,720,070.38</w:t>
                </w:r>
              </w:p>
            </w:tc>
          </w:tr>
        </w:tbl>
        <w:p w14:paraId="7CF478F8" w14:textId="77777777" w:rsidR="00471D53" w:rsidRDefault="00B664AF"/>
        <w:p w14:paraId="49D1C930" w14:textId="77777777" w:rsidR="00471D53" w:rsidRDefault="004F686E">
          <w:pPr>
            <w:rPr>
              <w:szCs w:val="21"/>
            </w:rPr>
          </w:pPr>
          <w:r>
            <w:rPr>
              <w:rFonts w:hint="eastAsia"/>
              <w:szCs w:val="21"/>
            </w:rPr>
            <w:t>其他说明：</w:t>
          </w:r>
        </w:p>
        <w:sdt>
          <w:sdtPr>
            <w:rPr>
              <w:szCs w:val="21"/>
            </w:rPr>
            <w:alias w:val="应交税金的说明"/>
            <w:tag w:val="_GBC_fb59f8f9de2d41c3aaf0dc3b0970dd91"/>
            <w:id w:val="524216739"/>
            <w:lock w:val="sdtLocked"/>
            <w:placeholder>
              <w:docPart w:val="GBC22222222222222222222222222222"/>
            </w:placeholder>
          </w:sdtPr>
          <w:sdtEndPr/>
          <w:sdtContent>
            <w:p w14:paraId="10202376" w14:textId="77777777" w:rsidR="00471D53" w:rsidRDefault="004F686E" w:rsidP="00471D53">
              <w:pPr>
                <w:tabs>
                  <w:tab w:val="left" w:pos="800"/>
                </w:tabs>
                <w:spacing w:beforeLines="50" w:before="120" w:afterLines="50" w:after="120" w:line="360" w:lineRule="exact"/>
                <w:ind w:firstLineChars="200" w:firstLine="420"/>
                <w:jc w:val="both"/>
                <w:rPr>
                  <w:sz w:val="22"/>
                  <w:szCs w:val="22"/>
                </w:rPr>
              </w:pPr>
              <w:r w:rsidRPr="00380823">
                <w:rPr>
                  <w:rFonts w:hint="eastAsia"/>
                  <w:sz w:val="22"/>
                  <w:szCs w:val="22"/>
                </w:rPr>
                <w:t>期末应交税费中无应交香港利得税。</w:t>
              </w:r>
            </w:p>
            <w:p w14:paraId="3BFD245C" w14:textId="77777777" w:rsidR="00471D53" w:rsidRDefault="00B664AF">
              <w:pPr>
                <w:rPr>
                  <w:szCs w:val="21"/>
                </w:rPr>
              </w:pPr>
            </w:p>
          </w:sdtContent>
        </w:sdt>
      </w:sdtContent>
    </w:sdt>
    <w:p w14:paraId="69D176B8" w14:textId="77777777" w:rsidR="00471D53" w:rsidRDefault="00B664AF">
      <w:pPr>
        <w:rPr>
          <w:szCs w:val="21"/>
        </w:rPr>
      </w:pPr>
    </w:p>
    <w:p w14:paraId="23C4588C"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其他应付款</w:t>
      </w:r>
    </w:p>
    <w:bookmarkStart w:id="193" w:name="_Hlk10535943" w:displacedByCustomXml="next"/>
    <w:sdt>
      <w:sdtPr>
        <w:rPr>
          <w:rFonts w:ascii="宋体" w:hAnsi="宋体" w:cs="宋体" w:hint="eastAsia"/>
          <w:b w:val="0"/>
          <w:bCs w:val="0"/>
          <w:kern w:val="0"/>
          <w:szCs w:val="24"/>
        </w:rPr>
        <w:alias w:val="模块:项目列示"/>
        <w:tag w:val="_SEC_d4a31631d4c141d39fd547efdfcde484"/>
        <w:id w:val="-2072193202"/>
        <w:lock w:val="sdtLocked"/>
        <w:placeholder>
          <w:docPart w:val="GBC22222222222222222222222222222"/>
        </w:placeholder>
      </w:sdtPr>
      <w:sdtEndPr/>
      <w:sdtContent>
        <w:p w14:paraId="3E85B552" w14:textId="77777777" w:rsidR="00471D53" w:rsidRDefault="004F686E">
          <w:pPr>
            <w:pStyle w:val="afffff8"/>
            <w:rPr>
              <w:rFonts w:ascii="宋体" w:hAnsi="宋体"/>
            </w:rPr>
          </w:pPr>
          <w:r>
            <w:rPr>
              <w:rFonts w:ascii="宋体" w:hAnsi="宋体" w:hint="eastAsia"/>
            </w:rPr>
            <w:t>项目列示</w:t>
          </w:r>
        </w:p>
        <w:sdt>
          <w:sdtPr>
            <w:alias w:val="是否适用：其他应付款分类列示[双击切换]"/>
            <w:tag w:val="_GBC_8136b8c1140049519ac46075abed3220"/>
            <w:id w:val="2143531592"/>
            <w:lock w:val="sdtLocked"/>
            <w:placeholder>
              <w:docPart w:val="GBC22222222222222222222222222222"/>
            </w:placeholder>
          </w:sdtPr>
          <w:sdtEndPr/>
          <w:sdtContent>
            <w:p w14:paraId="2A89E90D"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4C5F6B6" w14:textId="6D48305D" w:rsidR="00471D53" w:rsidRDefault="004F686E">
          <w:pPr>
            <w:jc w:val="right"/>
            <w:rPr>
              <w:szCs w:val="21"/>
            </w:rPr>
          </w:pPr>
          <w:r>
            <w:rPr>
              <w:rFonts w:hint="eastAsia"/>
              <w:szCs w:val="21"/>
            </w:rPr>
            <w:t>单位：</w:t>
          </w:r>
          <w:sdt>
            <w:sdtPr>
              <w:rPr>
                <w:rFonts w:hint="eastAsia"/>
                <w:szCs w:val="21"/>
              </w:rPr>
              <w:alias w:val="单位：其他应付款分类列示"/>
              <w:tag w:val="_GBC_f725af1ac18e4ea28ff0b171fd9076b1"/>
              <w:id w:val="-86830030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其他应付款分类列示"/>
              <w:tag w:val="_GBC_9e26b8e601ae4c3b9b2f73c2946bed3c"/>
              <w:id w:val="-19854561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5"/>
            <w:gridCol w:w="2792"/>
            <w:gridCol w:w="2806"/>
          </w:tblGrid>
          <w:tr w:rsidR="00471D53" w14:paraId="178FD351" w14:textId="77777777" w:rsidTr="00D17AC2">
            <w:sdt>
              <w:sdtPr>
                <w:tag w:val="_PLD_d301d6d0c6f244d3b16ca7922fb1eae1"/>
                <w:id w:val="1328480719"/>
                <w:lock w:val="sdtLocked"/>
              </w:sdtPr>
              <w:sdtEndPr/>
              <w:sdtContent>
                <w:tc>
                  <w:tcPr>
                    <w:tcW w:w="1828" w:type="pct"/>
                    <w:shd w:val="clear" w:color="auto" w:fill="auto"/>
                    <w:vAlign w:val="center"/>
                  </w:tcPr>
                  <w:p w14:paraId="200D5BC1" w14:textId="77777777" w:rsidR="00471D53" w:rsidRDefault="004F686E">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14a27299981b44e8a51ddedd6261c7cb"/>
                <w:id w:val="-1257136531"/>
                <w:lock w:val="sdtLocked"/>
              </w:sdtPr>
              <w:sdtEndPr/>
              <w:sdtContent>
                <w:tc>
                  <w:tcPr>
                    <w:tcW w:w="1582" w:type="pct"/>
                    <w:shd w:val="clear" w:color="auto" w:fill="auto"/>
                    <w:vAlign w:val="center"/>
                  </w:tcPr>
                  <w:p w14:paraId="48193F57" w14:textId="77777777" w:rsidR="00471D53" w:rsidRDefault="004F686E">
                    <w:pPr>
                      <w:jc w:val="center"/>
                      <w:rPr>
                        <w:szCs w:val="21"/>
                      </w:rPr>
                    </w:pPr>
                    <w:r>
                      <w:rPr>
                        <w:rFonts w:hint="eastAsia"/>
                        <w:szCs w:val="21"/>
                      </w:rPr>
                      <w:t>期末余额</w:t>
                    </w:r>
                  </w:p>
                </w:tc>
              </w:sdtContent>
            </w:sdt>
            <w:sdt>
              <w:sdtPr>
                <w:tag w:val="_PLD_3ada436da03540938e5f25706fc839ab"/>
                <w:id w:val="741303339"/>
                <w:lock w:val="sdtLocked"/>
              </w:sdtPr>
              <w:sdtEndPr/>
              <w:sdtContent>
                <w:tc>
                  <w:tcPr>
                    <w:tcW w:w="1590" w:type="pct"/>
                    <w:shd w:val="clear" w:color="auto" w:fill="auto"/>
                    <w:vAlign w:val="center"/>
                  </w:tcPr>
                  <w:p w14:paraId="79F617DC" w14:textId="77777777" w:rsidR="00471D53" w:rsidRDefault="004F686E">
                    <w:pPr>
                      <w:jc w:val="center"/>
                      <w:rPr>
                        <w:szCs w:val="21"/>
                      </w:rPr>
                    </w:pPr>
                    <w:r>
                      <w:rPr>
                        <w:rFonts w:hint="eastAsia"/>
                        <w:szCs w:val="21"/>
                      </w:rPr>
                      <w:t>期初余额</w:t>
                    </w:r>
                  </w:p>
                </w:tc>
              </w:sdtContent>
            </w:sdt>
          </w:tr>
          <w:tr w:rsidR="00471D53" w14:paraId="236DAA98" w14:textId="77777777" w:rsidTr="00471D53">
            <w:sdt>
              <w:sdtPr>
                <w:tag w:val="_PLD_d66a9d37a92f4ab8ae47e30c7542c8f2"/>
                <w:id w:val="487834063"/>
                <w:lock w:val="sdtLocked"/>
              </w:sdtPr>
              <w:sdtEndPr/>
              <w:sdtContent>
                <w:tc>
                  <w:tcPr>
                    <w:tcW w:w="1828" w:type="pct"/>
                    <w:shd w:val="clear" w:color="auto" w:fill="auto"/>
                  </w:tcPr>
                  <w:p w14:paraId="03AA82ED" w14:textId="77777777" w:rsidR="00471D53" w:rsidRDefault="004F686E">
                    <w:pPr>
                      <w:tabs>
                        <w:tab w:val="right" w:pos="3690"/>
                        <w:tab w:val="right" w:pos="5130"/>
                        <w:tab w:val="right" w:pos="6030"/>
                        <w:tab w:val="right" w:pos="7650"/>
                        <w:tab w:val="right" w:pos="9270"/>
                      </w:tabs>
                      <w:adjustRightInd w:val="0"/>
                      <w:snapToGrid w:val="0"/>
                      <w:rPr>
                        <w:szCs w:val="21"/>
                      </w:rPr>
                    </w:pPr>
                    <w:r>
                      <w:rPr>
                        <w:rFonts w:hint="eastAsia"/>
                        <w:szCs w:val="21"/>
                      </w:rPr>
                      <w:t>应付利息</w:t>
                    </w:r>
                  </w:p>
                </w:tc>
              </w:sdtContent>
            </w:sdt>
            <w:tc>
              <w:tcPr>
                <w:tcW w:w="1582" w:type="pct"/>
                <w:shd w:val="clear" w:color="auto" w:fill="auto"/>
                <w:vAlign w:val="center"/>
              </w:tcPr>
              <w:p w14:paraId="113C26B3" w14:textId="77777777" w:rsidR="00471D53" w:rsidRDefault="00B664AF" w:rsidP="00471D53">
                <w:pPr>
                  <w:jc w:val="right"/>
                  <w:rPr>
                    <w:sz w:val="22"/>
                    <w:szCs w:val="22"/>
                  </w:rPr>
                </w:pPr>
              </w:p>
            </w:tc>
            <w:tc>
              <w:tcPr>
                <w:tcW w:w="1590" w:type="pct"/>
                <w:shd w:val="clear" w:color="auto" w:fill="auto"/>
                <w:vAlign w:val="center"/>
              </w:tcPr>
              <w:p w14:paraId="4BA56703" w14:textId="77777777" w:rsidR="00471D53" w:rsidRDefault="004F686E" w:rsidP="00471D53">
                <w:pPr>
                  <w:jc w:val="right"/>
                  <w:rPr>
                    <w:sz w:val="22"/>
                    <w:szCs w:val="22"/>
                  </w:rPr>
                </w:pPr>
                <w:r>
                  <w:rPr>
                    <w:rFonts w:cs="Calibri" w:hint="eastAsia"/>
                    <w:sz w:val="22"/>
                    <w:szCs w:val="22"/>
                  </w:rPr>
                  <w:t>424,599.25</w:t>
                </w:r>
              </w:p>
            </w:tc>
          </w:tr>
          <w:tr w:rsidR="00471D53" w14:paraId="6933C2FE" w14:textId="77777777" w:rsidTr="00D17AC2">
            <w:sdt>
              <w:sdtPr>
                <w:tag w:val="_PLD_f7c963c0ee7f4ae9a9ee01376e1c10a3"/>
                <w:id w:val="-1978979925"/>
                <w:lock w:val="sdtLocked"/>
              </w:sdtPr>
              <w:sdtEndPr/>
              <w:sdtContent>
                <w:tc>
                  <w:tcPr>
                    <w:tcW w:w="1828" w:type="pct"/>
                    <w:shd w:val="clear" w:color="auto" w:fill="auto"/>
                  </w:tcPr>
                  <w:p w14:paraId="41364E27" w14:textId="77777777" w:rsidR="00471D53" w:rsidRDefault="004F686E">
                    <w:pPr>
                      <w:tabs>
                        <w:tab w:val="right" w:pos="3690"/>
                        <w:tab w:val="right" w:pos="5130"/>
                        <w:tab w:val="right" w:pos="6030"/>
                        <w:tab w:val="right" w:pos="7650"/>
                        <w:tab w:val="right" w:pos="9270"/>
                      </w:tabs>
                      <w:adjustRightInd w:val="0"/>
                      <w:snapToGrid w:val="0"/>
                      <w:rPr>
                        <w:szCs w:val="21"/>
                      </w:rPr>
                    </w:pPr>
                    <w:r>
                      <w:rPr>
                        <w:rFonts w:hint="eastAsia"/>
                        <w:szCs w:val="21"/>
                      </w:rPr>
                      <w:t>应付股利</w:t>
                    </w:r>
                  </w:p>
                </w:tc>
              </w:sdtContent>
            </w:sdt>
            <w:tc>
              <w:tcPr>
                <w:tcW w:w="1582" w:type="pct"/>
                <w:shd w:val="clear" w:color="auto" w:fill="auto"/>
              </w:tcPr>
              <w:p w14:paraId="5AD27A52" w14:textId="77777777" w:rsidR="00471D53" w:rsidRDefault="00B664AF">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14:paraId="57AB7EFE" w14:textId="77777777" w:rsidR="00471D53" w:rsidRDefault="00B664AF">
                <w:pPr>
                  <w:tabs>
                    <w:tab w:val="right" w:pos="3690"/>
                    <w:tab w:val="right" w:pos="5130"/>
                    <w:tab w:val="right" w:pos="6030"/>
                    <w:tab w:val="right" w:pos="7650"/>
                    <w:tab w:val="right" w:pos="9270"/>
                  </w:tabs>
                  <w:adjustRightInd w:val="0"/>
                  <w:snapToGrid w:val="0"/>
                  <w:jc w:val="right"/>
                  <w:rPr>
                    <w:szCs w:val="21"/>
                  </w:rPr>
                </w:pPr>
              </w:p>
            </w:tc>
          </w:tr>
          <w:tr w:rsidR="00471D53" w14:paraId="72E5EE6E" w14:textId="77777777" w:rsidTr="00471D53">
            <w:sdt>
              <w:sdtPr>
                <w:tag w:val="_PLD_bef380fd911e4f2a9e651243d4593795"/>
                <w:id w:val="-869999589"/>
                <w:lock w:val="sdtLocked"/>
              </w:sdtPr>
              <w:sdtEndPr/>
              <w:sdtContent>
                <w:tc>
                  <w:tcPr>
                    <w:tcW w:w="1828" w:type="pct"/>
                    <w:shd w:val="clear" w:color="auto" w:fill="auto"/>
                  </w:tcPr>
                  <w:p w14:paraId="01CC799F" w14:textId="77777777" w:rsidR="00471D53" w:rsidRDefault="004F686E">
                    <w:pPr>
                      <w:tabs>
                        <w:tab w:val="right" w:pos="3690"/>
                        <w:tab w:val="right" w:pos="5130"/>
                        <w:tab w:val="right" w:pos="6030"/>
                        <w:tab w:val="right" w:pos="7650"/>
                        <w:tab w:val="right" w:pos="9270"/>
                      </w:tabs>
                      <w:adjustRightInd w:val="0"/>
                      <w:snapToGrid w:val="0"/>
                      <w:rPr>
                        <w:szCs w:val="21"/>
                      </w:rPr>
                    </w:pPr>
                    <w:r>
                      <w:rPr>
                        <w:rFonts w:hint="eastAsia"/>
                        <w:szCs w:val="21"/>
                      </w:rPr>
                      <w:t>其他应付款</w:t>
                    </w:r>
                  </w:p>
                </w:tc>
              </w:sdtContent>
            </w:sdt>
            <w:tc>
              <w:tcPr>
                <w:tcW w:w="1582" w:type="pct"/>
                <w:shd w:val="clear" w:color="auto" w:fill="auto"/>
                <w:vAlign w:val="center"/>
              </w:tcPr>
              <w:p w14:paraId="1FD6D95E" w14:textId="77777777" w:rsidR="00471D53" w:rsidRDefault="004F686E" w:rsidP="00471D53">
                <w:pPr>
                  <w:jc w:val="right"/>
                  <w:rPr>
                    <w:sz w:val="22"/>
                    <w:szCs w:val="22"/>
                  </w:rPr>
                </w:pPr>
                <w:r w:rsidRPr="007D6F43">
                  <w:rPr>
                    <w:sz w:val="22"/>
                    <w:szCs w:val="22"/>
                  </w:rPr>
                  <w:t>22,040,189.30</w:t>
                </w:r>
              </w:p>
            </w:tc>
            <w:tc>
              <w:tcPr>
                <w:tcW w:w="1590" w:type="pct"/>
                <w:shd w:val="clear" w:color="auto" w:fill="auto"/>
                <w:vAlign w:val="center"/>
              </w:tcPr>
              <w:p w14:paraId="105DA093" w14:textId="77777777" w:rsidR="00471D53" w:rsidRDefault="004F686E" w:rsidP="00471D53">
                <w:pPr>
                  <w:jc w:val="right"/>
                  <w:rPr>
                    <w:sz w:val="22"/>
                    <w:szCs w:val="22"/>
                  </w:rPr>
                </w:pPr>
                <w:r>
                  <w:rPr>
                    <w:rFonts w:cs="Calibri" w:hint="eastAsia"/>
                    <w:sz w:val="22"/>
                    <w:szCs w:val="22"/>
                  </w:rPr>
                  <w:t>44,751,775.88</w:t>
                </w:r>
              </w:p>
            </w:tc>
          </w:tr>
          <w:tr w:rsidR="00471D53" w14:paraId="2F1C07EC" w14:textId="77777777" w:rsidTr="00471D53">
            <w:sdt>
              <w:sdtPr>
                <w:tag w:val="_PLD_90dc33535197444a8eb7c8a4e477d9b7"/>
                <w:id w:val="1914888599"/>
                <w:lock w:val="sdtLocked"/>
              </w:sdtPr>
              <w:sdtEndPr/>
              <w:sdtContent>
                <w:tc>
                  <w:tcPr>
                    <w:tcW w:w="1828" w:type="pct"/>
                    <w:shd w:val="clear" w:color="auto" w:fill="auto"/>
                  </w:tcPr>
                  <w:p w14:paraId="79F8F9A7" w14:textId="77777777" w:rsidR="00471D53" w:rsidRDefault="004F686E">
                    <w:pPr>
                      <w:tabs>
                        <w:tab w:val="right" w:pos="3690"/>
                        <w:tab w:val="right" w:pos="5130"/>
                        <w:tab w:val="right" w:pos="6030"/>
                        <w:tab w:val="right" w:pos="7650"/>
                        <w:tab w:val="right" w:pos="9270"/>
                      </w:tabs>
                      <w:adjustRightInd w:val="0"/>
                      <w:snapToGrid w:val="0"/>
                      <w:jc w:val="center"/>
                      <w:rPr>
                        <w:szCs w:val="21"/>
                      </w:rPr>
                    </w:pPr>
                    <w:r>
                      <w:rPr>
                        <w:rFonts w:hint="eastAsia"/>
                        <w:szCs w:val="21"/>
                      </w:rPr>
                      <w:t>合计</w:t>
                    </w:r>
                  </w:p>
                </w:tc>
              </w:sdtContent>
            </w:sdt>
            <w:tc>
              <w:tcPr>
                <w:tcW w:w="1582" w:type="pct"/>
                <w:shd w:val="clear" w:color="auto" w:fill="auto"/>
                <w:vAlign w:val="center"/>
              </w:tcPr>
              <w:p w14:paraId="7DF16474" w14:textId="77777777" w:rsidR="00471D53" w:rsidRPr="00BB7EB6" w:rsidRDefault="004F686E" w:rsidP="00471D53">
                <w:pPr>
                  <w:jc w:val="right"/>
                  <w:textAlignment w:val="center"/>
                  <w:rPr>
                    <w:sz w:val="22"/>
                    <w:szCs w:val="22"/>
                  </w:rPr>
                </w:pPr>
                <w:r w:rsidRPr="00BB7EB6">
                  <w:rPr>
                    <w:sz w:val="22"/>
                    <w:szCs w:val="22"/>
                  </w:rPr>
                  <w:t>22,040,189.30</w:t>
                </w:r>
              </w:p>
            </w:tc>
            <w:tc>
              <w:tcPr>
                <w:tcW w:w="1590" w:type="pct"/>
                <w:shd w:val="clear" w:color="auto" w:fill="auto"/>
                <w:vAlign w:val="center"/>
              </w:tcPr>
              <w:p w14:paraId="30A7C422" w14:textId="77777777" w:rsidR="00471D53" w:rsidRPr="00BB7EB6" w:rsidRDefault="004F686E" w:rsidP="00471D53">
                <w:pPr>
                  <w:jc w:val="right"/>
                  <w:textAlignment w:val="center"/>
                  <w:rPr>
                    <w:sz w:val="22"/>
                    <w:szCs w:val="22"/>
                  </w:rPr>
                </w:pPr>
                <w:r w:rsidRPr="00BB7EB6">
                  <w:rPr>
                    <w:rFonts w:cs="Calibri" w:hint="eastAsia"/>
                    <w:bCs/>
                    <w:sz w:val="22"/>
                    <w:szCs w:val="22"/>
                  </w:rPr>
                  <w:t>45,176,375.13</w:t>
                </w:r>
              </w:p>
            </w:tc>
          </w:tr>
        </w:tbl>
        <w:p w14:paraId="6168ABB8" w14:textId="77777777" w:rsidR="00471D53" w:rsidRDefault="004F686E">
          <w:pPr>
            <w:rPr>
              <w:szCs w:val="21"/>
            </w:rPr>
          </w:pPr>
          <w:r>
            <w:rPr>
              <w:rFonts w:hint="eastAsia"/>
              <w:szCs w:val="21"/>
            </w:rPr>
            <w:t>其他说明：</w:t>
          </w:r>
        </w:p>
        <w:p w14:paraId="07909A86" w14:textId="77777777" w:rsidR="00471D53" w:rsidRDefault="00B664AF">
          <w:sdt>
            <w:sdtPr>
              <w:alias w:val="其他应付款分类列示其他说明"/>
              <w:tag w:val="_GBC_8fa93aac828f4ed1ab8ba954856081f1"/>
              <w:id w:val="-611045838"/>
              <w:lock w:val="sdtLocked"/>
              <w:placeholder>
                <w:docPart w:val="GBC22222222222222222222222222222"/>
              </w:placeholder>
            </w:sdtPr>
            <w:sdtEndPr/>
            <w:sdtContent>
              <w:r w:rsidR="004F686E">
                <w:rPr>
                  <w:rFonts w:hint="eastAsia"/>
                </w:rPr>
                <w:t>无</w:t>
              </w:r>
            </w:sdtContent>
          </w:sdt>
        </w:p>
        <w:p w14:paraId="4B63B62A" w14:textId="77777777" w:rsidR="00471D53" w:rsidRDefault="00B664AF"/>
      </w:sdtContent>
    </w:sdt>
    <w:bookmarkEnd w:id="193" w:displacedByCustomXml="prev"/>
    <w:bookmarkStart w:id="194" w:name="_Hlk10536047" w:displacedByCustomXml="next"/>
    <w:sdt>
      <w:sdtPr>
        <w:rPr>
          <w:rFonts w:ascii="宋体" w:hAnsi="宋体" w:cs="宋体" w:hint="eastAsia"/>
          <w:b w:val="0"/>
          <w:bCs w:val="0"/>
          <w:kern w:val="0"/>
          <w:szCs w:val="24"/>
        </w:rPr>
        <w:alias w:val="模块:应付利息"/>
        <w:tag w:val="_SEC_60feb8ef6f7c4655a263f50d12c222d8"/>
        <w:id w:val="1964686973"/>
        <w:lock w:val="sdtLocked"/>
        <w:placeholder>
          <w:docPart w:val="GBC22222222222222222222222222222"/>
        </w:placeholder>
      </w:sdtPr>
      <w:sdtEndPr/>
      <w:sdtContent>
        <w:p w14:paraId="12667AEC" w14:textId="77777777" w:rsidR="00471D53" w:rsidRDefault="004F686E">
          <w:pPr>
            <w:pStyle w:val="afffff8"/>
            <w:rPr>
              <w:rFonts w:ascii="宋体" w:hAnsi="宋体"/>
            </w:rPr>
          </w:pPr>
          <w:r>
            <w:rPr>
              <w:rFonts w:ascii="宋体" w:hAnsi="宋体" w:hint="eastAsia"/>
            </w:rPr>
            <w:t>应付利息</w:t>
          </w:r>
        </w:p>
        <w:sdt>
          <w:sdtPr>
            <w:alias w:val="是否适用：应付利息[双击切换]"/>
            <w:tag w:val="_GBC_9058c1c6b0a94f6a8c531ec2dbd35706"/>
            <w:id w:val="833886522"/>
            <w:lock w:val="sdtLocked"/>
            <w:placeholder>
              <w:docPart w:val="GBC22222222222222222222222222222"/>
            </w:placeholder>
          </w:sdtPr>
          <w:sdtEndPr/>
          <w:sdtContent>
            <w:p w14:paraId="0086628A" w14:textId="77777777" w:rsidR="00471D53" w:rsidRDefault="004F686E">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0622954C" w14:textId="72F1BE48" w:rsidR="00471D53" w:rsidRDefault="004F686E">
          <w:pPr>
            <w:jc w:val="right"/>
            <w:rPr>
              <w:szCs w:val="21"/>
            </w:rPr>
          </w:pPr>
          <w:r>
            <w:rPr>
              <w:rFonts w:hint="eastAsia"/>
              <w:szCs w:val="21"/>
            </w:rPr>
            <w:t>单位：</w:t>
          </w:r>
          <w:sdt>
            <w:sdtPr>
              <w:rPr>
                <w:rFonts w:hint="eastAsia"/>
                <w:szCs w:val="21"/>
              </w:rPr>
              <w:alias w:val="单位：财务附注：应付利息"/>
              <w:tag w:val="_GBC_e9907c009de64097a89479217dbdc838"/>
              <w:id w:val="6020806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应付利息"/>
              <w:tag w:val="_GBC_228df0cb4ea54d139c46410a0dcee74f"/>
              <w:id w:val="-4475397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9"/>
            <w:gridCol w:w="2522"/>
            <w:gridCol w:w="2972"/>
          </w:tblGrid>
          <w:tr w:rsidR="00471D53" w14:paraId="5353FB37" w14:textId="77777777" w:rsidTr="00D17AC2">
            <w:sdt>
              <w:sdtPr>
                <w:tag w:val="_PLD_fd292d41e49846139b4ab78a4f19d473"/>
                <w:id w:val="-158470493"/>
                <w:lock w:val="sdtLocked"/>
              </w:sdtPr>
              <w:sdtEndPr/>
              <w:sdtContent>
                <w:tc>
                  <w:tcPr>
                    <w:tcW w:w="1887" w:type="pct"/>
                    <w:tcBorders>
                      <w:top w:val="single" w:sz="4" w:space="0" w:color="auto"/>
                      <w:left w:val="single" w:sz="4" w:space="0" w:color="auto"/>
                      <w:bottom w:val="single" w:sz="4" w:space="0" w:color="auto"/>
                      <w:right w:val="single" w:sz="4" w:space="0" w:color="auto"/>
                    </w:tcBorders>
                    <w:vAlign w:val="bottom"/>
                  </w:tcPr>
                  <w:p w14:paraId="747175AB" w14:textId="77777777" w:rsidR="00471D53" w:rsidRDefault="004F686E" w:rsidP="00471D53">
                    <w:pPr>
                      <w:adjustRightInd w:val="0"/>
                      <w:snapToGrid w:val="0"/>
                      <w:ind w:leftChars="-2" w:left="-2" w:rightChars="9" w:right="19" w:hangingChars="1" w:hanging="2"/>
                      <w:jc w:val="center"/>
                      <w:rPr>
                        <w:szCs w:val="21"/>
                      </w:rPr>
                    </w:pPr>
                    <w:r>
                      <w:rPr>
                        <w:rFonts w:hint="eastAsia"/>
                        <w:szCs w:val="21"/>
                      </w:rPr>
                      <w:t>项目</w:t>
                    </w:r>
                  </w:p>
                </w:tc>
              </w:sdtContent>
            </w:sdt>
            <w:sdt>
              <w:sdtPr>
                <w:tag w:val="_PLD_6c7e9f13ec1e438b94631b9105180a42"/>
                <w:id w:val="1278294184"/>
                <w:lock w:val="sdtLocked"/>
              </w:sdtPr>
              <w:sdtEndPr/>
              <w:sdtContent>
                <w:tc>
                  <w:tcPr>
                    <w:tcW w:w="1429" w:type="pct"/>
                    <w:tcBorders>
                      <w:top w:val="single" w:sz="4" w:space="0" w:color="auto"/>
                      <w:left w:val="single" w:sz="4" w:space="0" w:color="auto"/>
                      <w:bottom w:val="single" w:sz="4" w:space="0" w:color="auto"/>
                      <w:right w:val="single" w:sz="4" w:space="0" w:color="auto"/>
                    </w:tcBorders>
                    <w:vAlign w:val="bottom"/>
                  </w:tcPr>
                  <w:p w14:paraId="706DD6F0" w14:textId="77777777" w:rsidR="00471D53" w:rsidRDefault="004F686E" w:rsidP="00471D53">
                    <w:pPr>
                      <w:adjustRightInd w:val="0"/>
                      <w:snapToGrid w:val="0"/>
                      <w:ind w:leftChars="-2" w:left="-2" w:rightChars="9" w:right="19" w:hangingChars="1" w:hanging="2"/>
                      <w:jc w:val="center"/>
                      <w:rPr>
                        <w:szCs w:val="21"/>
                      </w:rPr>
                    </w:pPr>
                    <w:r>
                      <w:rPr>
                        <w:rFonts w:hint="eastAsia"/>
                        <w:szCs w:val="21"/>
                      </w:rPr>
                      <w:t>期末余额</w:t>
                    </w:r>
                  </w:p>
                </w:tc>
              </w:sdtContent>
            </w:sdt>
            <w:sdt>
              <w:sdtPr>
                <w:tag w:val="_PLD_d562962f373f4d1588c525f99393fe5a"/>
                <w:id w:val="-383489721"/>
                <w:lock w:val="sdtLocked"/>
              </w:sdtPr>
              <w:sdtEndPr/>
              <w:sdtContent>
                <w:tc>
                  <w:tcPr>
                    <w:tcW w:w="1684" w:type="pct"/>
                    <w:tcBorders>
                      <w:top w:val="single" w:sz="4" w:space="0" w:color="auto"/>
                      <w:left w:val="single" w:sz="4" w:space="0" w:color="auto"/>
                      <w:bottom w:val="single" w:sz="4" w:space="0" w:color="auto"/>
                      <w:right w:val="single" w:sz="4" w:space="0" w:color="auto"/>
                    </w:tcBorders>
                    <w:vAlign w:val="bottom"/>
                  </w:tcPr>
                  <w:p w14:paraId="44AD7463" w14:textId="77777777" w:rsidR="00471D53" w:rsidRDefault="004F686E" w:rsidP="00471D53">
                    <w:pPr>
                      <w:adjustRightInd w:val="0"/>
                      <w:snapToGrid w:val="0"/>
                      <w:ind w:leftChars="-2" w:left="-2" w:rightChars="9" w:right="19" w:hangingChars="1" w:hanging="2"/>
                      <w:jc w:val="center"/>
                      <w:rPr>
                        <w:szCs w:val="21"/>
                      </w:rPr>
                    </w:pPr>
                    <w:r>
                      <w:rPr>
                        <w:rFonts w:hint="eastAsia"/>
                        <w:szCs w:val="21"/>
                      </w:rPr>
                      <w:t>期初余额</w:t>
                    </w:r>
                  </w:p>
                </w:tc>
              </w:sdtContent>
            </w:sdt>
          </w:tr>
          <w:tr w:rsidR="00471D53" w14:paraId="2F686EA8" w14:textId="77777777" w:rsidTr="00D17AC2">
            <w:sdt>
              <w:sdtPr>
                <w:tag w:val="_PLD_dda670c1dc154bbb9f8be682744dace8"/>
                <w:id w:val="530930573"/>
                <w:lock w:val="sdtLocked"/>
              </w:sdtPr>
              <w:sdtEndPr/>
              <w:sdtContent>
                <w:tc>
                  <w:tcPr>
                    <w:tcW w:w="1887" w:type="pct"/>
                    <w:tcBorders>
                      <w:top w:val="single" w:sz="4" w:space="0" w:color="auto"/>
                      <w:left w:val="single" w:sz="4" w:space="0" w:color="auto"/>
                      <w:bottom w:val="single" w:sz="4" w:space="0" w:color="auto"/>
                      <w:right w:val="single" w:sz="4" w:space="0" w:color="auto"/>
                    </w:tcBorders>
                  </w:tcPr>
                  <w:p w14:paraId="57D94D0A" w14:textId="77777777" w:rsidR="00471D53" w:rsidRDefault="004F686E" w:rsidP="00471D53">
                    <w:pPr>
                      <w:adjustRightInd w:val="0"/>
                      <w:snapToGrid w:val="0"/>
                      <w:ind w:leftChars="-2" w:left="-2" w:rightChars="9" w:right="19" w:hangingChars="1" w:hanging="2"/>
                      <w:rPr>
                        <w:szCs w:val="21"/>
                      </w:rPr>
                    </w:pPr>
                    <w:r>
                      <w:rPr>
                        <w:rFonts w:hint="eastAsia"/>
                        <w:szCs w:val="21"/>
                      </w:rPr>
                      <w:t>分期付息到期还本的长期借款利息</w:t>
                    </w:r>
                  </w:p>
                </w:tc>
              </w:sdtContent>
            </w:sdt>
            <w:tc>
              <w:tcPr>
                <w:tcW w:w="1429" w:type="pct"/>
                <w:tcBorders>
                  <w:top w:val="single" w:sz="4" w:space="0" w:color="auto"/>
                  <w:left w:val="single" w:sz="4" w:space="0" w:color="auto"/>
                  <w:bottom w:val="single" w:sz="4" w:space="0" w:color="auto"/>
                  <w:right w:val="single" w:sz="4" w:space="0" w:color="auto"/>
                </w:tcBorders>
              </w:tcPr>
              <w:p w14:paraId="1593AE89" w14:textId="77777777" w:rsidR="00471D53" w:rsidRDefault="00B664AF">
                <w:pPr>
                  <w:ind w:right="73"/>
                  <w:jc w:val="right"/>
                  <w:rPr>
                    <w:szCs w:val="21"/>
                  </w:rPr>
                </w:pPr>
              </w:p>
            </w:tc>
            <w:tc>
              <w:tcPr>
                <w:tcW w:w="1684" w:type="pct"/>
                <w:tcBorders>
                  <w:top w:val="single" w:sz="4" w:space="0" w:color="auto"/>
                  <w:left w:val="single" w:sz="4" w:space="0" w:color="auto"/>
                  <w:bottom w:val="single" w:sz="4" w:space="0" w:color="auto"/>
                  <w:right w:val="single" w:sz="4" w:space="0" w:color="auto"/>
                </w:tcBorders>
              </w:tcPr>
              <w:p w14:paraId="5D9B71C5" w14:textId="77777777" w:rsidR="00471D53" w:rsidRDefault="00B664AF">
                <w:pPr>
                  <w:jc w:val="right"/>
                  <w:rPr>
                    <w:szCs w:val="21"/>
                  </w:rPr>
                </w:pPr>
              </w:p>
            </w:tc>
          </w:tr>
          <w:tr w:rsidR="00471D53" w14:paraId="202056B1" w14:textId="77777777" w:rsidTr="00D17AC2">
            <w:sdt>
              <w:sdtPr>
                <w:tag w:val="_PLD_37dd060698fc4ca9b76df713b6c556fa"/>
                <w:id w:val="-1832744838"/>
                <w:lock w:val="sdtLocked"/>
              </w:sdtPr>
              <w:sdtEndPr/>
              <w:sdtContent>
                <w:tc>
                  <w:tcPr>
                    <w:tcW w:w="1887" w:type="pct"/>
                    <w:tcBorders>
                      <w:top w:val="single" w:sz="4" w:space="0" w:color="auto"/>
                      <w:left w:val="single" w:sz="4" w:space="0" w:color="auto"/>
                      <w:bottom w:val="single" w:sz="4" w:space="0" w:color="auto"/>
                      <w:right w:val="single" w:sz="4" w:space="0" w:color="auto"/>
                    </w:tcBorders>
                  </w:tcPr>
                  <w:p w14:paraId="5469DF93" w14:textId="77777777" w:rsidR="00471D53" w:rsidRDefault="004F686E" w:rsidP="00471D53">
                    <w:pPr>
                      <w:adjustRightInd w:val="0"/>
                      <w:snapToGrid w:val="0"/>
                      <w:ind w:leftChars="-2" w:left="-2" w:rightChars="9" w:right="19" w:hangingChars="1" w:hanging="2"/>
                      <w:rPr>
                        <w:szCs w:val="21"/>
                      </w:rPr>
                    </w:pPr>
                    <w:r>
                      <w:rPr>
                        <w:rFonts w:hint="eastAsia"/>
                        <w:szCs w:val="21"/>
                      </w:rPr>
                      <w:t>企业债券利息</w:t>
                    </w:r>
                  </w:p>
                </w:tc>
              </w:sdtContent>
            </w:sdt>
            <w:tc>
              <w:tcPr>
                <w:tcW w:w="1429" w:type="pct"/>
                <w:tcBorders>
                  <w:top w:val="single" w:sz="4" w:space="0" w:color="auto"/>
                  <w:left w:val="single" w:sz="4" w:space="0" w:color="auto"/>
                  <w:bottom w:val="single" w:sz="4" w:space="0" w:color="auto"/>
                  <w:right w:val="single" w:sz="4" w:space="0" w:color="auto"/>
                </w:tcBorders>
              </w:tcPr>
              <w:p w14:paraId="200BE4D3" w14:textId="77777777" w:rsidR="00471D53" w:rsidRDefault="00B664AF">
                <w:pPr>
                  <w:ind w:right="73"/>
                  <w:jc w:val="right"/>
                  <w:rPr>
                    <w:szCs w:val="21"/>
                  </w:rPr>
                </w:pPr>
              </w:p>
            </w:tc>
            <w:tc>
              <w:tcPr>
                <w:tcW w:w="1684" w:type="pct"/>
                <w:tcBorders>
                  <w:top w:val="single" w:sz="4" w:space="0" w:color="auto"/>
                  <w:left w:val="single" w:sz="4" w:space="0" w:color="auto"/>
                  <w:bottom w:val="single" w:sz="4" w:space="0" w:color="auto"/>
                  <w:right w:val="single" w:sz="4" w:space="0" w:color="auto"/>
                </w:tcBorders>
              </w:tcPr>
              <w:p w14:paraId="0356484D" w14:textId="77777777" w:rsidR="00471D53" w:rsidRDefault="00B664AF">
                <w:pPr>
                  <w:jc w:val="right"/>
                  <w:rPr>
                    <w:szCs w:val="21"/>
                  </w:rPr>
                </w:pPr>
              </w:p>
            </w:tc>
          </w:tr>
          <w:tr w:rsidR="00471D53" w14:paraId="4331821F" w14:textId="77777777" w:rsidTr="00D17AC2">
            <w:sdt>
              <w:sdtPr>
                <w:tag w:val="_PLD_e8ff5729d39a4356b15b6c7288c3bc7f"/>
                <w:id w:val="-40375280"/>
                <w:lock w:val="sdtLocked"/>
              </w:sdtPr>
              <w:sdtEndPr/>
              <w:sdtContent>
                <w:tc>
                  <w:tcPr>
                    <w:tcW w:w="1887" w:type="pct"/>
                    <w:tcBorders>
                      <w:top w:val="single" w:sz="4" w:space="0" w:color="auto"/>
                      <w:left w:val="single" w:sz="4" w:space="0" w:color="auto"/>
                      <w:bottom w:val="single" w:sz="4" w:space="0" w:color="auto"/>
                      <w:right w:val="single" w:sz="4" w:space="0" w:color="auto"/>
                    </w:tcBorders>
                  </w:tcPr>
                  <w:p w14:paraId="13AA77EE" w14:textId="77777777" w:rsidR="00471D53" w:rsidRDefault="004F686E" w:rsidP="00471D53">
                    <w:pPr>
                      <w:adjustRightInd w:val="0"/>
                      <w:snapToGrid w:val="0"/>
                      <w:ind w:leftChars="-2" w:left="-2" w:rightChars="9" w:right="19" w:hangingChars="1" w:hanging="2"/>
                      <w:rPr>
                        <w:szCs w:val="21"/>
                      </w:rPr>
                    </w:pPr>
                    <w:r>
                      <w:rPr>
                        <w:rFonts w:hint="eastAsia"/>
                        <w:szCs w:val="21"/>
                      </w:rPr>
                      <w:t>短期借款应付利息</w:t>
                    </w:r>
                  </w:p>
                </w:tc>
              </w:sdtContent>
            </w:sdt>
            <w:tc>
              <w:tcPr>
                <w:tcW w:w="1429" w:type="pct"/>
                <w:tcBorders>
                  <w:top w:val="single" w:sz="4" w:space="0" w:color="auto"/>
                  <w:left w:val="single" w:sz="4" w:space="0" w:color="auto"/>
                  <w:bottom w:val="single" w:sz="4" w:space="0" w:color="auto"/>
                  <w:right w:val="single" w:sz="4" w:space="0" w:color="auto"/>
                </w:tcBorders>
              </w:tcPr>
              <w:p w14:paraId="79B2AAE4" w14:textId="77777777" w:rsidR="00471D53" w:rsidRDefault="00B664AF">
                <w:pPr>
                  <w:ind w:right="73"/>
                  <w:jc w:val="right"/>
                  <w:rPr>
                    <w:szCs w:val="21"/>
                  </w:rPr>
                </w:pPr>
              </w:p>
            </w:tc>
            <w:tc>
              <w:tcPr>
                <w:tcW w:w="1684" w:type="pct"/>
                <w:tcBorders>
                  <w:top w:val="single" w:sz="4" w:space="0" w:color="auto"/>
                  <w:left w:val="single" w:sz="4" w:space="0" w:color="auto"/>
                  <w:bottom w:val="single" w:sz="4" w:space="0" w:color="auto"/>
                  <w:right w:val="single" w:sz="4" w:space="0" w:color="auto"/>
                </w:tcBorders>
              </w:tcPr>
              <w:p w14:paraId="5652D7E6" w14:textId="77777777" w:rsidR="00471D53" w:rsidRDefault="004F686E">
                <w:pPr>
                  <w:jc w:val="right"/>
                  <w:rPr>
                    <w:szCs w:val="21"/>
                  </w:rPr>
                </w:pPr>
                <w:r>
                  <w:rPr>
                    <w:rFonts w:cs="Calibri" w:hint="eastAsia"/>
                    <w:sz w:val="22"/>
                    <w:szCs w:val="22"/>
                  </w:rPr>
                  <w:t>424,599.25</w:t>
                </w:r>
              </w:p>
            </w:tc>
          </w:tr>
          <w:tr w:rsidR="00471D53" w14:paraId="1DB35AE7" w14:textId="77777777" w:rsidTr="00D17AC2">
            <w:sdt>
              <w:sdtPr>
                <w:tag w:val="_PLD_9dd61f0de2b942bc85752d5a181df6f3"/>
                <w:id w:val="-1621059755"/>
                <w:lock w:val="sdtLocked"/>
              </w:sdtPr>
              <w:sdtEndPr/>
              <w:sdtContent>
                <w:tc>
                  <w:tcPr>
                    <w:tcW w:w="1887" w:type="pct"/>
                    <w:tcBorders>
                      <w:top w:val="single" w:sz="4" w:space="0" w:color="auto"/>
                      <w:left w:val="single" w:sz="4" w:space="0" w:color="auto"/>
                      <w:bottom w:val="single" w:sz="4" w:space="0" w:color="auto"/>
                      <w:right w:val="single" w:sz="4" w:space="0" w:color="auto"/>
                    </w:tcBorders>
                  </w:tcPr>
                  <w:p w14:paraId="5D59CADB" w14:textId="77777777" w:rsidR="00471D53" w:rsidRDefault="004F686E" w:rsidP="00471D53">
                    <w:pPr>
                      <w:adjustRightInd w:val="0"/>
                      <w:snapToGrid w:val="0"/>
                      <w:ind w:leftChars="-2" w:left="-2" w:rightChars="9" w:right="19" w:hangingChars="1" w:hanging="2"/>
                      <w:rPr>
                        <w:szCs w:val="21"/>
                      </w:rPr>
                    </w:pPr>
                    <w:r>
                      <w:rPr>
                        <w:rFonts w:hint="eastAsia"/>
                        <w:szCs w:val="21"/>
                      </w:rPr>
                      <w:t>划分为金融负债的优先股\永续债利息</w:t>
                    </w:r>
                  </w:p>
                </w:tc>
              </w:sdtContent>
            </w:sdt>
            <w:tc>
              <w:tcPr>
                <w:tcW w:w="1429" w:type="pct"/>
                <w:tcBorders>
                  <w:top w:val="single" w:sz="4" w:space="0" w:color="auto"/>
                  <w:left w:val="single" w:sz="4" w:space="0" w:color="auto"/>
                  <w:bottom w:val="single" w:sz="4" w:space="0" w:color="auto"/>
                  <w:right w:val="single" w:sz="4" w:space="0" w:color="auto"/>
                </w:tcBorders>
              </w:tcPr>
              <w:p w14:paraId="179E692B" w14:textId="77777777" w:rsidR="00471D53" w:rsidRDefault="00B664AF">
                <w:pPr>
                  <w:ind w:right="73"/>
                  <w:jc w:val="right"/>
                  <w:rPr>
                    <w:szCs w:val="21"/>
                  </w:rPr>
                </w:pPr>
              </w:p>
            </w:tc>
            <w:tc>
              <w:tcPr>
                <w:tcW w:w="1684" w:type="pct"/>
                <w:tcBorders>
                  <w:top w:val="single" w:sz="4" w:space="0" w:color="auto"/>
                  <w:left w:val="single" w:sz="4" w:space="0" w:color="auto"/>
                  <w:bottom w:val="single" w:sz="4" w:space="0" w:color="auto"/>
                  <w:right w:val="single" w:sz="4" w:space="0" w:color="auto"/>
                </w:tcBorders>
              </w:tcPr>
              <w:p w14:paraId="33354561" w14:textId="77777777" w:rsidR="00471D53" w:rsidRDefault="00B664AF">
                <w:pPr>
                  <w:jc w:val="right"/>
                  <w:rPr>
                    <w:szCs w:val="21"/>
                  </w:rPr>
                </w:pPr>
              </w:p>
            </w:tc>
          </w:tr>
          <w:tr w:rsidR="00471D53" w14:paraId="13D16A4E" w14:textId="77777777" w:rsidTr="00D17AC2">
            <w:sdt>
              <w:sdtPr>
                <w:tag w:val="_PLD_a26d3928217a4cb48de388997f862e51"/>
                <w:id w:val="-68579473"/>
                <w:lock w:val="sdtLocked"/>
              </w:sdtPr>
              <w:sdtEndPr/>
              <w:sdtContent>
                <w:tc>
                  <w:tcPr>
                    <w:tcW w:w="1887" w:type="pct"/>
                    <w:tcBorders>
                      <w:top w:val="single" w:sz="4" w:space="0" w:color="auto"/>
                      <w:left w:val="single" w:sz="4" w:space="0" w:color="auto"/>
                      <w:bottom w:val="single" w:sz="4" w:space="0" w:color="auto"/>
                      <w:right w:val="single" w:sz="4" w:space="0" w:color="auto"/>
                    </w:tcBorders>
                  </w:tcPr>
                  <w:p w14:paraId="04B32065" w14:textId="77777777" w:rsidR="00471D53" w:rsidRDefault="004F686E">
                    <w:pPr>
                      <w:jc w:val="center"/>
                      <w:rPr>
                        <w:color w:val="FF0000"/>
                        <w:szCs w:val="21"/>
                      </w:rPr>
                    </w:pPr>
                    <w:r>
                      <w:rPr>
                        <w:rFonts w:hint="eastAsia"/>
                        <w:szCs w:val="21"/>
                      </w:rPr>
                      <w:t>合计</w:t>
                    </w:r>
                  </w:p>
                </w:tc>
              </w:sdtContent>
            </w:sdt>
            <w:tc>
              <w:tcPr>
                <w:tcW w:w="1429" w:type="pct"/>
                <w:tcBorders>
                  <w:top w:val="single" w:sz="4" w:space="0" w:color="auto"/>
                  <w:left w:val="single" w:sz="4" w:space="0" w:color="auto"/>
                  <w:bottom w:val="single" w:sz="4" w:space="0" w:color="auto"/>
                  <w:right w:val="single" w:sz="4" w:space="0" w:color="auto"/>
                </w:tcBorders>
              </w:tcPr>
              <w:p w14:paraId="4CEF730B" w14:textId="77777777" w:rsidR="00471D53" w:rsidRDefault="00B664AF">
                <w:pPr>
                  <w:jc w:val="right"/>
                  <w:rPr>
                    <w:szCs w:val="21"/>
                  </w:rPr>
                </w:pPr>
              </w:p>
            </w:tc>
            <w:tc>
              <w:tcPr>
                <w:tcW w:w="1684" w:type="pct"/>
                <w:tcBorders>
                  <w:top w:val="single" w:sz="4" w:space="0" w:color="auto"/>
                  <w:left w:val="single" w:sz="4" w:space="0" w:color="auto"/>
                  <w:bottom w:val="single" w:sz="4" w:space="0" w:color="auto"/>
                  <w:right w:val="single" w:sz="4" w:space="0" w:color="auto"/>
                </w:tcBorders>
              </w:tcPr>
              <w:p w14:paraId="191D4AF5" w14:textId="77777777" w:rsidR="00471D53" w:rsidRDefault="004F686E">
                <w:pPr>
                  <w:jc w:val="right"/>
                  <w:rPr>
                    <w:szCs w:val="21"/>
                  </w:rPr>
                </w:pPr>
                <w:r>
                  <w:rPr>
                    <w:rFonts w:cs="Calibri" w:hint="eastAsia"/>
                    <w:sz w:val="22"/>
                    <w:szCs w:val="22"/>
                  </w:rPr>
                  <w:t>424,599.25</w:t>
                </w:r>
              </w:p>
            </w:tc>
          </w:tr>
        </w:tbl>
        <w:p w14:paraId="63E7E8E2" w14:textId="77777777" w:rsidR="00471D53" w:rsidRDefault="00B664AF">
          <w:pPr>
            <w:rPr>
              <w:szCs w:val="21"/>
            </w:rPr>
          </w:pPr>
        </w:p>
        <w:p w14:paraId="52DE08EE" w14:textId="77777777" w:rsidR="00471D53" w:rsidRDefault="004F686E">
          <w:pPr>
            <w:rPr>
              <w:szCs w:val="21"/>
            </w:rPr>
          </w:pPr>
          <w:r>
            <w:rPr>
              <w:rFonts w:hint="eastAsia"/>
              <w:szCs w:val="21"/>
            </w:rPr>
            <w:t>重要的已逾期未支付的利息情况：</w:t>
          </w:r>
        </w:p>
        <w:sdt>
          <w:sdtPr>
            <w:rPr>
              <w:szCs w:val="21"/>
            </w:rPr>
            <w:alias w:val="是否适用：重要的已逾期未支付的利息情况[双击切换]"/>
            <w:tag w:val="_GBC_467048e0118b400abf781e8a74db94e2"/>
            <w:id w:val="-8529952"/>
            <w:lock w:val="sdtLocked"/>
            <w:placeholder>
              <w:docPart w:val="GBC22222222222222222222222222222"/>
            </w:placeholder>
          </w:sdtPr>
          <w:sdtEndPr/>
          <w:sdtContent>
            <w:p w14:paraId="2B0982B5" w14:textId="77777777" w:rsidR="00471D53" w:rsidRDefault="004F686E" w:rsidP="00471D53">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43912DBB" w14:textId="77777777" w:rsidR="00471D53" w:rsidRDefault="004F686E">
          <w:pPr>
            <w:rPr>
              <w:szCs w:val="21"/>
            </w:rPr>
          </w:pPr>
          <w:r>
            <w:rPr>
              <w:rFonts w:hint="eastAsia"/>
              <w:szCs w:val="21"/>
            </w:rPr>
            <w:t>其他说明：</w:t>
          </w:r>
        </w:p>
        <w:sdt>
          <w:sdtPr>
            <w:rPr>
              <w:szCs w:val="21"/>
            </w:rPr>
            <w:alias w:val="是否适用：应付利息说明[双击切换]"/>
            <w:tag w:val="_GBC_7fa89c7d8b4b40bb9885811bf3463d04"/>
            <w:id w:val="553278282"/>
            <w:lock w:val="sdtLocked"/>
            <w:placeholder>
              <w:docPart w:val="GBC22222222222222222222222222222"/>
            </w:placeholder>
          </w:sdtPr>
          <w:sdtEndPr/>
          <w:sdtContent>
            <w:p w14:paraId="33943FE4" w14:textId="77777777" w:rsidR="00471D53" w:rsidRDefault="004F686E" w:rsidP="00471D53">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70F0CABA" w14:textId="77777777" w:rsidR="00471D53" w:rsidRDefault="00B664AF"/>
      </w:sdtContent>
    </w:sdt>
    <w:bookmarkEnd w:id="194" w:displacedByCustomXml="prev"/>
    <w:bookmarkStart w:id="195" w:name="_Hlk10536068" w:displacedByCustomXml="next"/>
    <w:bookmarkStart w:id="196" w:name="_Hlk10536082" w:displacedByCustomXml="next"/>
    <w:sdt>
      <w:sdtPr>
        <w:rPr>
          <w:rFonts w:ascii="宋体" w:hAnsi="宋体" w:cs="宋体" w:hint="eastAsia"/>
          <w:b w:val="0"/>
          <w:bCs w:val="0"/>
          <w:kern w:val="0"/>
          <w:szCs w:val="24"/>
        </w:rPr>
        <w:alias w:val="模块:应付股利"/>
        <w:tag w:val="_SEC_454db7ed64ca40e48e42eb6c38ae54ca"/>
        <w:id w:val="-596642422"/>
        <w:lock w:val="sdtLocked"/>
        <w:placeholder>
          <w:docPart w:val="GBC22222222222222222222222222222"/>
        </w:placeholder>
      </w:sdtPr>
      <w:sdtEndPr>
        <w:rPr>
          <w:rFonts w:hint="default"/>
          <w:szCs w:val="21"/>
        </w:rPr>
      </w:sdtEndPr>
      <w:sdtContent>
        <w:p w14:paraId="17048200" w14:textId="77777777" w:rsidR="00471D53" w:rsidRDefault="004F686E">
          <w:pPr>
            <w:pStyle w:val="afffff8"/>
            <w:rPr>
              <w:rFonts w:ascii="宋体" w:hAnsi="宋体"/>
            </w:rPr>
          </w:pPr>
          <w:r>
            <w:rPr>
              <w:rFonts w:ascii="宋体" w:hAnsi="宋体" w:hint="eastAsia"/>
            </w:rPr>
            <w:t>应付股利</w:t>
          </w:r>
          <w:bookmarkEnd w:id="195"/>
        </w:p>
        <w:sdt>
          <w:sdtPr>
            <w:alias w:val="是否适用：应付股利[双击切换]"/>
            <w:tag w:val="_GBC_09dc75ba10d44acfb18b03320a40e4c5"/>
            <w:id w:val="371659504"/>
            <w:lock w:val="sdtLocked"/>
            <w:placeholder>
              <w:docPart w:val="GBC22222222222222222222222222222"/>
            </w:placeholder>
          </w:sdtPr>
          <w:sdtEndPr/>
          <w:sdtContent>
            <w:p w14:paraId="22FBEF20" w14:textId="77777777" w:rsidR="00471D53" w:rsidRDefault="004F686E" w:rsidP="00471D5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12BD1372" w14:textId="77777777" w:rsidR="00471D53" w:rsidRDefault="00B664AF">
          <w:pPr>
            <w:snapToGrid w:val="0"/>
            <w:rPr>
              <w:szCs w:val="21"/>
            </w:rPr>
          </w:pPr>
        </w:p>
      </w:sdtContent>
    </w:sdt>
    <w:bookmarkEnd w:id="196" w:displacedByCustomXml="prev"/>
    <w:p w14:paraId="738ADC8E" w14:textId="77777777" w:rsidR="00471D53" w:rsidRDefault="00B664AF">
      <w:pPr>
        <w:rPr>
          <w:szCs w:val="21"/>
        </w:rPr>
      </w:pPr>
    </w:p>
    <w:p w14:paraId="313C2AB9" w14:textId="77777777" w:rsidR="00471D53" w:rsidRDefault="004F686E">
      <w:pPr>
        <w:pStyle w:val="afffff8"/>
        <w:rPr>
          <w:rFonts w:ascii="宋体" w:hAnsi="宋体"/>
        </w:rPr>
      </w:pPr>
      <w:bookmarkStart w:id="197" w:name="_Hlk10536163"/>
      <w:r>
        <w:rPr>
          <w:rFonts w:ascii="宋体" w:hAnsi="宋体" w:hint="eastAsia"/>
        </w:rPr>
        <w:t>其他应付款</w:t>
      </w:r>
    </w:p>
    <w:sdt>
      <w:sdtPr>
        <w:rPr>
          <w:rFonts w:ascii="宋体" w:hAnsi="宋体" w:cs="宋体" w:hint="eastAsia"/>
          <w:b w:val="0"/>
          <w:bCs w:val="0"/>
          <w:kern w:val="0"/>
          <w:szCs w:val="24"/>
        </w:rPr>
        <w:alias w:val="模块:按款项性质列示其他应付款"/>
        <w:tag w:val="_SEC_df361e68406f49208d47d08674984872"/>
        <w:id w:val="-1675017462"/>
        <w:lock w:val="sdtLocked"/>
        <w:placeholder>
          <w:docPart w:val="GBC22222222222222222222222222222"/>
        </w:placeholder>
      </w:sdtPr>
      <w:sdtEndPr>
        <w:rPr>
          <w:szCs w:val="21"/>
        </w:rPr>
      </w:sdtEndPr>
      <w:sdtContent>
        <w:p w14:paraId="6C3FCDDA" w14:textId="77777777" w:rsidR="00471D53" w:rsidRDefault="004F686E" w:rsidP="004F686E">
          <w:pPr>
            <w:pStyle w:val="afffff8"/>
            <w:numPr>
              <w:ilvl w:val="3"/>
              <w:numId w:val="82"/>
            </w:numPr>
            <w:rPr>
              <w:rFonts w:ascii="宋体" w:hAnsi="宋体"/>
            </w:rPr>
          </w:pPr>
          <w:r>
            <w:rPr>
              <w:rFonts w:ascii="宋体" w:hAnsi="宋体" w:hint="eastAsia"/>
            </w:rPr>
            <w:t>按款项性质列示其他应付款</w:t>
          </w:r>
        </w:p>
        <w:sdt>
          <w:sdtPr>
            <w:alias w:val="是否适用：按款项性质列示其他应付款[双击切换]"/>
            <w:tag w:val="_GBC_a099ebd596de4984814ff6b49af92e86"/>
            <w:id w:val="694272001"/>
            <w:lock w:val="sdtLocked"/>
          </w:sdtPr>
          <w:sdtEndPr/>
          <w:sdtContent>
            <w:p w14:paraId="66C90B72" w14:textId="77777777" w:rsidR="00471D53" w:rsidRDefault="004F686E">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56E521DA" w14:textId="660A7223" w:rsidR="00471D53" w:rsidRDefault="004F686E">
          <w:pPr>
            <w:jc w:val="right"/>
            <w:rPr>
              <w:szCs w:val="21"/>
            </w:rPr>
          </w:pPr>
          <w:r>
            <w:rPr>
              <w:rFonts w:hint="eastAsia"/>
              <w:szCs w:val="21"/>
            </w:rPr>
            <w:t>单位：</w:t>
          </w:r>
          <w:sdt>
            <w:sdtPr>
              <w:rPr>
                <w:rFonts w:hint="eastAsia"/>
                <w:szCs w:val="21"/>
              </w:rPr>
              <w:alias w:val="单位：财务附注：其他应付款情况"/>
              <w:tag w:val="_GBC_781a05c0c742470b88557fa8878adf9c"/>
              <w:id w:val="1438633833"/>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其他应付款情况"/>
              <w:tag w:val="_GBC_19bba6af93f1445cbfdc13ddfb71a0ea"/>
              <w:id w:val="1177774818"/>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2924"/>
            <w:gridCol w:w="3049"/>
          </w:tblGrid>
          <w:tr w:rsidR="00471D53" w14:paraId="622314B1" w14:textId="77777777" w:rsidTr="00471D53">
            <w:sdt>
              <w:sdtPr>
                <w:tag w:val="_PLD_3991c4118c8d4069811e5f758978143f"/>
                <w:id w:val="-1493022382"/>
                <w:lock w:val="sdtLocked"/>
              </w:sdtPr>
              <w:sdtEndPr/>
              <w:sdtContent>
                <w:tc>
                  <w:tcPr>
                    <w:tcW w:w="1615" w:type="pct"/>
                    <w:shd w:val="clear" w:color="auto" w:fill="auto"/>
                  </w:tcPr>
                  <w:p w14:paraId="57FAAEB7" w14:textId="77777777" w:rsidR="00471D53" w:rsidRDefault="004F686E" w:rsidP="00471D53">
                    <w:pPr>
                      <w:jc w:val="center"/>
                      <w:rPr>
                        <w:szCs w:val="21"/>
                      </w:rPr>
                    </w:pPr>
                    <w:r>
                      <w:rPr>
                        <w:rFonts w:hint="eastAsia"/>
                        <w:szCs w:val="21"/>
                      </w:rPr>
                      <w:t>项目</w:t>
                    </w:r>
                  </w:p>
                </w:tc>
              </w:sdtContent>
            </w:sdt>
            <w:sdt>
              <w:sdtPr>
                <w:tag w:val="_PLD_c1bcea3523f040f08da3a1bd0d135ad5"/>
                <w:id w:val="408350686"/>
                <w:lock w:val="sdtLocked"/>
              </w:sdtPr>
              <w:sdtEndPr/>
              <w:sdtContent>
                <w:tc>
                  <w:tcPr>
                    <w:tcW w:w="1657" w:type="pct"/>
                    <w:shd w:val="clear" w:color="auto" w:fill="auto"/>
                  </w:tcPr>
                  <w:p w14:paraId="12394DF2" w14:textId="77777777" w:rsidR="00471D53" w:rsidRDefault="004F686E" w:rsidP="00471D53">
                    <w:pPr>
                      <w:jc w:val="center"/>
                      <w:rPr>
                        <w:szCs w:val="21"/>
                      </w:rPr>
                    </w:pPr>
                    <w:r>
                      <w:rPr>
                        <w:rFonts w:hint="eastAsia"/>
                        <w:szCs w:val="21"/>
                      </w:rPr>
                      <w:t>期末余额</w:t>
                    </w:r>
                  </w:p>
                </w:tc>
              </w:sdtContent>
            </w:sdt>
            <w:sdt>
              <w:sdtPr>
                <w:tag w:val="_PLD_b89663858245498c995c58e2bab384aa"/>
                <w:id w:val="2010867029"/>
                <w:lock w:val="sdtLocked"/>
              </w:sdtPr>
              <w:sdtEndPr/>
              <w:sdtContent>
                <w:tc>
                  <w:tcPr>
                    <w:tcW w:w="1728" w:type="pct"/>
                    <w:shd w:val="clear" w:color="auto" w:fill="auto"/>
                  </w:tcPr>
                  <w:p w14:paraId="36E6AFB3" w14:textId="77777777" w:rsidR="00471D53" w:rsidRDefault="004F686E" w:rsidP="00471D53">
                    <w:pPr>
                      <w:jc w:val="center"/>
                      <w:rPr>
                        <w:szCs w:val="21"/>
                      </w:rPr>
                    </w:pPr>
                    <w:r>
                      <w:rPr>
                        <w:rFonts w:hint="eastAsia"/>
                        <w:szCs w:val="21"/>
                      </w:rPr>
                      <w:t>期初余额</w:t>
                    </w:r>
                  </w:p>
                </w:tc>
              </w:sdtContent>
            </w:sdt>
          </w:tr>
          <w:sdt>
            <w:sdtPr>
              <w:rPr>
                <w:rFonts w:hint="eastAsia"/>
                <w:szCs w:val="21"/>
              </w:rPr>
              <w:alias w:val="其他应付款情况明细"/>
              <w:tag w:val="_TUP_d68cb62e22fc4f99ab4d25c145efcd43"/>
              <w:id w:val="512654293"/>
              <w:lock w:val="sdtLocked"/>
            </w:sdtPr>
            <w:sdtEndPr>
              <w:rPr>
                <w:rFonts w:hint="default"/>
              </w:rPr>
            </w:sdtEndPr>
            <w:sdtContent>
              <w:tr w:rsidR="00471D53" w14:paraId="688D615F" w14:textId="77777777" w:rsidTr="00471D53">
                <w:tc>
                  <w:tcPr>
                    <w:tcW w:w="1615" w:type="pct"/>
                    <w:shd w:val="clear" w:color="auto" w:fill="auto"/>
                  </w:tcPr>
                  <w:p w14:paraId="76DDB645" w14:textId="77777777" w:rsidR="00471D53" w:rsidRDefault="004F686E" w:rsidP="00471D53">
                    <w:pPr>
                      <w:rPr>
                        <w:szCs w:val="21"/>
                      </w:rPr>
                    </w:pPr>
                    <w:r>
                      <w:t>少数股东减资款</w:t>
                    </w:r>
                  </w:p>
                </w:tc>
                <w:tc>
                  <w:tcPr>
                    <w:tcW w:w="1657" w:type="pct"/>
                    <w:shd w:val="clear" w:color="auto" w:fill="auto"/>
                  </w:tcPr>
                  <w:p w14:paraId="32A66B74" w14:textId="77777777" w:rsidR="00471D53" w:rsidRDefault="004F686E" w:rsidP="00471D53">
                    <w:pPr>
                      <w:jc w:val="right"/>
                      <w:rPr>
                        <w:szCs w:val="21"/>
                      </w:rPr>
                    </w:pPr>
                    <w:r>
                      <w:t>0.00</w:t>
                    </w:r>
                  </w:p>
                </w:tc>
                <w:tc>
                  <w:tcPr>
                    <w:tcW w:w="1728" w:type="pct"/>
                    <w:shd w:val="clear" w:color="auto" w:fill="auto"/>
                  </w:tcPr>
                  <w:p w14:paraId="35751AAE" w14:textId="77777777" w:rsidR="00471D53" w:rsidRDefault="004F686E" w:rsidP="00471D53">
                    <w:pPr>
                      <w:jc w:val="right"/>
                      <w:rPr>
                        <w:szCs w:val="21"/>
                      </w:rPr>
                    </w:pPr>
                    <w:r>
                      <w:t>10,460,589.18</w:t>
                    </w:r>
                  </w:p>
                </w:tc>
              </w:tr>
            </w:sdtContent>
          </w:sdt>
          <w:sdt>
            <w:sdtPr>
              <w:rPr>
                <w:rFonts w:hint="eastAsia"/>
                <w:szCs w:val="21"/>
              </w:rPr>
              <w:alias w:val="其他应付款情况明细"/>
              <w:tag w:val="_TUP_d68cb62e22fc4f99ab4d25c145efcd43"/>
              <w:id w:val="-74524363"/>
              <w:lock w:val="sdtLocked"/>
            </w:sdtPr>
            <w:sdtEndPr>
              <w:rPr>
                <w:rFonts w:hint="default"/>
              </w:rPr>
            </w:sdtEndPr>
            <w:sdtContent>
              <w:tr w:rsidR="00471D53" w14:paraId="6420254D" w14:textId="77777777" w:rsidTr="00471D53">
                <w:tc>
                  <w:tcPr>
                    <w:tcW w:w="1615" w:type="pct"/>
                    <w:shd w:val="clear" w:color="auto" w:fill="auto"/>
                  </w:tcPr>
                  <w:p w14:paraId="2D26F524" w14:textId="77777777" w:rsidR="00471D53" w:rsidRDefault="004F686E" w:rsidP="00471D53">
                    <w:pPr>
                      <w:rPr>
                        <w:szCs w:val="21"/>
                      </w:rPr>
                    </w:pPr>
                    <w:r>
                      <w:t>代垫款项等</w:t>
                    </w:r>
                  </w:p>
                </w:tc>
                <w:tc>
                  <w:tcPr>
                    <w:tcW w:w="1657" w:type="pct"/>
                    <w:shd w:val="clear" w:color="auto" w:fill="auto"/>
                  </w:tcPr>
                  <w:p w14:paraId="4A9737C0" w14:textId="77777777" w:rsidR="00471D53" w:rsidRDefault="004F686E" w:rsidP="00471D53">
                    <w:pPr>
                      <w:jc w:val="right"/>
                      <w:rPr>
                        <w:szCs w:val="21"/>
                      </w:rPr>
                    </w:pPr>
                    <w:r>
                      <w:t>18,284,953.76</w:t>
                    </w:r>
                  </w:p>
                </w:tc>
                <w:tc>
                  <w:tcPr>
                    <w:tcW w:w="1728" w:type="pct"/>
                    <w:shd w:val="clear" w:color="auto" w:fill="auto"/>
                  </w:tcPr>
                  <w:p w14:paraId="26429A24" w14:textId="77777777" w:rsidR="00471D53" w:rsidRDefault="004F686E" w:rsidP="00471D53">
                    <w:pPr>
                      <w:jc w:val="right"/>
                      <w:rPr>
                        <w:szCs w:val="21"/>
                      </w:rPr>
                    </w:pPr>
                    <w:r>
                      <w:t>31,746,983.17</w:t>
                    </w:r>
                  </w:p>
                </w:tc>
              </w:tr>
            </w:sdtContent>
          </w:sdt>
          <w:sdt>
            <w:sdtPr>
              <w:rPr>
                <w:rFonts w:hint="eastAsia"/>
                <w:szCs w:val="21"/>
              </w:rPr>
              <w:alias w:val="其他应付款情况明细"/>
              <w:tag w:val="_TUP_d68cb62e22fc4f99ab4d25c145efcd43"/>
              <w:id w:val="693348690"/>
              <w:lock w:val="sdtLocked"/>
            </w:sdtPr>
            <w:sdtEndPr>
              <w:rPr>
                <w:rFonts w:hint="default"/>
              </w:rPr>
            </w:sdtEndPr>
            <w:sdtContent>
              <w:tr w:rsidR="00471D53" w14:paraId="433D6741" w14:textId="77777777" w:rsidTr="00471D53">
                <w:tc>
                  <w:tcPr>
                    <w:tcW w:w="1615" w:type="pct"/>
                    <w:shd w:val="clear" w:color="auto" w:fill="auto"/>
                  </w:tcPr>
                  <w:p w14:paraId="478238C3" w14:textId="77777777" w:rsidR="00471D53" w:rsidRDefault="004F686E" w:rsidP="00471D53">
                    <w:pPr>
                      <w:rPr>
                        <w:szCs w:val="21"/>
                      </w:rPr>
                    </w:pPr>
                    <w:r>
                      <w:t>关联方往来款</w:t>
                    </w:r>
                  </w:p>
                </w:tc>
                <w:tc>
                  <w:tcPr>
                    <w:tcW w:w="1657" w:type="pct"/>
                    <w:shd w:val="clear" w:color="auto" w:fill="auto"/>
                  </w:tcPr>
                  <w:p w14:paraId="69C8655B" w14:textId="77777777" w:rsidR="00471D53" w:rsidRDefault="004F686E" w:rsidP="00471D53">
                    <w:pPr>
                      <w:jc w:val="right"/>
                      <w:rPr>
                        <w:szCs w:val="21"/>
                      </w:rPr>
                    </w:pPr>
                    <w:r>
                      <w:t>2,915,235.54</w:t>
                    </w:r>
                  </w:p>
                </w:tc>
                <w:tc>
                  <w:tcPr>
                    <w:tcW w:w="1728" w:type="pct"/>
                    <w:shd w:val="clear" w:color="auto" w:fill="auto"/>
                  </w:tcPr>
                  <w:p w14:paraId="47E55011" w14:textId="77777777" w:rsidR="00471D53" w:rsidRDefault="004F686E" w:rsidP="00471D53">
                    <w:pPr>
                      <w:jc w:val="right"/>
                      <w:rPr>
                        <w:szCs w:val="21"/>
                      </w:rPr>
                    </w:pPr>
                    <w:r>
                      <w:t>1,704,203.53</w:t>
                    </w:r>
                  </w:p>
                </w:tc>
              </w:tr>
            </w:sdtContent>
          </w:sdt>
          <w:sdt>
            <w:sdtPr>
              <w:rPr>
                <w:rFonts w:hint="eastAsia"/>
                <w:szCs w:val="21"/>
              </w:rPr>
              <w:alias w:val="其他应付款情况明细"/>
              <w:tag w:val="_TUP_d68cb62e22fc4f99ab4d25c145efcd43"/>
              <w:id w:val="327477888"/>
              <w:lock w:val="sdtLocked"/>
            </w:sdtPr>
            <w:sdtEndPr>
              <w:rPr>
                <w:rFonts w:hint="default"/>
              </w:rPr>
            </w:sdtEndPr>
            <w:sdtContent>
              <w:tr w:rsidR="00471D53" w14:paraId="75D2F035" w14:textId="77777777" w:rsidTr="00471D53">
                <w:tc>
                  <w:tcPr>
                    <w:tcW w:w="1615" w:type="pct"/>
                    <w:shd w:val="clear" w:color="auto" w:fill="auto"/>
                  </w:tcPr>
                  <w:p w14:paraId="1625F1BC" w14:textId="77777777" w:rsidR="00471D53" w:rsidRDefault="004F686E" w:rsidP="00471D53">
                    <w:pPr>
                      <w:rPr>
                        <w:szCs w:val="21"/>
                      </w:rPr>
                    </w:pPr>
                    <w:r>
                      <w:t>租赁费</w:t>
                    </w:r>
                  </w:p>
                </w:tc>
                <w:tc>
                  <w:tcPr>
                    <w:tcW w:w="1657" w:type="pct"/>
                    <w:shd w:val="clear" w:color="auto" w:fill="auto"/>
                  </w:tcPr>
                  <w:p w14:paraId="48B78845" w14:textId="77777777" w:rsidR="00471D53" w:rsidRDefault="004F686E" w:rsidP="00471D53">
                    <w:pPr>
                      <w:jc w:val="right"/>
                      <w:rPr>
                        <w:szCs w:val="21"/>
                      </w:rPr>
                    </w:pPr>
                    <w:r>
                      <w:t>840,000.00</w:t>
                    </w:r>
                  </w:p>
                </w:tc>
                <w:tc>
                  <w:tcPr>
                    <w:tcW w:w="1728" w:type="pct"/>
                    <w:shd w:val="clear" w:color="auto" w:fill="auto"/>
                  </w:tcPr>
                  <w:p w14:paraId="43F3AA24" w14:textId="77777777" w:rsidR="00471D53" w:rsidRDefault="004F686E" w:rsidP="00471D53">
                    <w:pPr>
                      <w:jc w:val="right"/>
                      <w:rPr>
                        <w:szCs w:val="21"/>
                      </w:rPr>
                    </w:pPr>
                    <w:r>
                      <w:t>840,000.00</w:t>
                    </w:r>
                  </w:p>
                </w:tc>
              </w:tr>
            </w:sdtContent>
          </w:sdt>
          <w:tr w:rsidR="00471D53" w14:paraId="19603375" w14:textId="77777777" w:rsidTr="00471D53">
            <w:sdt>
              <w:sdtPr>
                <w:tag w:val="_PLD_dc1df66b4e6549929c6b91b265854e4c"/>
                <w:id w:val="-1447003535"/>
                <w:lock w:val="sdtLocked"/>
              </w:sdtPr>
              <w:sdtEndPr/>
              <w:sdtContent>
                <w:tc>
                  <w:tcPr>
                    <w:tcW w:w="1615" w:type="pct"/>
                    <w:shd w:val="clear" w:color="auto" w:fill="auto"/>
                  </w:tcPr>
                  <w:p w14:paraId="623DDAD8" w14:textId="77777777" w:rsidR="00471D53" w:rsidRDefault="004F686E" w:rsidP="00471D53">
                    <w:pPr>
                      <w:jc w:val="center"/>
                      <w:rPr>
                        <w:color w:val="000000" w:themeColor="text1"/>
                        <w:szCs w:val="21"/>
                      </w:rPr>
                    </w:pPr>
                    <w:r>
                      <w:rPr>
                        <w:rFonts w:hint="eastAsia"/>
                        <w:color w:val="000000" w:themeColor="text1"/>
                        <w:szCs w:val="21"/>
                      </w:rPr>
                      <w:t>合计</w:t>
                    </w:r>
                  </w:p>
                </w:tc>
              </w:sdtContent>
            </w:sdt>
            <w:tc>
              <w:tcPr>
                <w:tcW w:w="1657" w:type="pct"/>
                <w:shd w:val="clear" w:color="auto" w:fill="auto"/>
              </w:tcPr>
              <w:p w14:paraId="2BD1841F" w14:textId="77777777" w:rsidR="00471D53" w:rsidRDefault="004F686E" w:rsidP="00471D53">
                <w:pPr>
                  <w:jc w:val="right"/>
                  <w:rPr>
                    <w:szCs w:val="21"/>
                  </w:rPr>
                </w:pPr>
                <w:r>
                  <w:t>22,040,189.30</w:t>
                </w:r>
              </w:p>
            </w:tc>
            <w:tc>
              <w:tcPr>
                <w:tcW w:w="1728" w:type="pct"/>
                <w:shd w:val="clear" w:color="auto" w:fill="auto"/>
              </w:tcPr>
              <w:p w14:paraId="1FC666BD" w14:textId="77777777" w:rsidR="00471D53" w:rsidRDefault="004F686E" w:rsidP="00471D53">
                <w:pPr>
                  <w:jc w:val="right"/>
                  <w:rPr>
                    <w:szCs w:val="21"/>
                  </w:rPr>
                </w:pPr>
                <w:r>
                  <w:t>44,751,775.88</w:t>
                </w:r>
              </w:p>
            </w:tc>
          </w:tr>
        </w:tbl>
        <w:p w14:paraId="1AA2DE55" w14:textId="77777777" w:rsidR="00471D53" w:rsidRDefault="00B664AF"/>
        <w:p w14:paraId="753819A6" w14:textId="77777777" w:rsidR="00471D53" w:rsidRDefault="00B664AF">
          <w:pPr>
            <w:jc w:val="right"/>
            <w:rPr>
              <w:szCs w:val="21"/>
            </w:rPr>
          </w:pPr>
        </w:p>
      </w:sdtContent>
    </w:sdt>
    <w:p w14:paraId="33E14C0B" w14:textId="77777777" w:rsidR="00471D53" w:rsidRDefault="00B664AF">
      <w:pPr>
        <w:rPr>
          <w:szCs w:val="21"/>
        </w:rPr>
      </w:pPr>
    </w:p>
    <w:sdt>
      <w:sdtPr>
        <w:rPr>
          <w:rFonts w:ascii="宋体" w:hAnsi="宋体" w:cs="宋体" w:hint="eastAsia"/>
          <w:b w:val="0"/>
          <w:bCs w:val="0"/>
          <w:kern w:val="0"/>
          <w:szCs w:val="24"/>
        </w:rPr>
        <w:alias w:val="模块:账龄超过1年的重要其他应付款"/>
        <w:tag w:val="_SEC_83408720712d4902a68e6c9ddd4c67ae"/>
        <w:id w:val="2082487689"/>
        <w:lock w:val="sdtLocked"/>
        <w:placeholder>
          <w:docPart w:val="GBC22222222222222222222222222222"/>
        </w:placeholder>
      </w:sdtPr>
      <w:sdtEndPr/>
      <w:sdtContent>
        <w:p w14:paraId="652F0402" w14:textId="77777777" w:rsidR="00471D53" w:rsidRDefault="004F686E" w:rsidP="004F686E">
          <w:pPr>
            <w:pStyle w:val="afffff8"/>
            <w:numPr>
              <w:ilvl w:val="3"/>
              <w:numId w:val="82"/>
            </w:numPr>
            <w:rPr>
              <w:rFonts w:ascii="宋体" w:hAnsi="宋体"/>
            </w:rPr>
          </w:pPr>
          <w:r>
            <w:rPr>
              <w:rFonts w:ascii="宋体" w:hAnsi="宋体" w:hint="eastAsia"/>
            </w:rPr>
            <w:t>账龄超过</w:t>
          </w:r>
          <w:r>
            <w:rPr>
              <w:rFonts w:ascii="宋体" w:hAnsi="宋体"/>
            </w:rPr>
            <w:t>1年的重要其他应付款</w:t>
          </w:r>
        </w:p>
        <w:p w14:paraId="57B99B8A" w14:textId="77777777" w:rsidR="00471D53" w:rsidRDefault="00B664AF">
          <w:sdt>
            <w:sdtPr>
              <w:alias w:val="是否适用：账龄超过1年的重要其他应付款[双击切换]"/>
              <w:tag w:val="_GBC_484cd63ee8b54a41978c822ae4ec5689"/>
              <w:id w:val="660740710"/>
              <w:lock w:val="sdtLocked"/>
              <w:placeholder>
                <w:docPart w:val="GBC22222222222222222222222222222"/>
              </w:placeholder>
            </w:sdtPr>
            <w:sdtEndPr/>
            <w:sdtContent>
              <w:r w:rsidR="004F686E">
                <w:fldChar w:fldCharType="begin"/>
              </w:r>
              <w:r w:rsidR="004F686E">
                <w:instrText xml:space="preserve">MACROBUTTON  SnrToggleCheckbox √适用 </w:instrText>
              </w:r>
              <w:r w:rsidR="004F686E">
                <w:fldChar w:fldCharType="end"/>
              </w:r>
              <w:r w:rsidR="004F686E">
                <w:fldChar w:fldCharType="begin"/>
              </w:r>
              <w:r w:rsidR="004F686E">
                <w:instrText xml:space="preserve"> MACROBUTTON  SnrToggleCheckbox □不适用 </w:instrText>
              </w:r>
              <w:r w:rsidR="004F686E">
                <w:fldChar w:fldCharType="end"/>
              </w:r>
            </w:sdtContent>
          </w:sdt>
        </w:p>
        <w:p w14:paraId="69F19B11" w14:textId="06C7038A" w:rsidR="00471D53" w:rsidRDefault="004F686E">
          <w:pPr>
            <w:jc w:val="right"/>
          </w:pPr>
          <w:r>
            <w:rPr>
              <w:rFonts w:hint="eastAsia"/>
            </w:rPr>
            <w:t>单位：</w:t>
          </w:r>
          <w:sdt>
            <w:sdtPr>
              <w:rPr>
                <w:rFonts w:hint="eastAsia"/>
              </w:rPr>
              <w:alias w:val="单位：财务附注：账龄超过1年的重要其他应付款"/>
              <w:tag w:val="_GBC_70627db7610a4aaf857bc90322d6cdfe"/>
              <w:id w:val="2654384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账龄超过1年的重要其他应付款"/>
              <w:tag w:val="_GBC_8ef8bcf4c1a64fecb8d1bc26dcf905d1"/>
              <w:id w:val="-21320872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6"/>
            <w:gridCol w:w="2952"/>
            <w:gridCol w:w="3035"/>
          </w:tblGrid>
          <w:tr w:rsidR="00471D53" w14:paraId="18EC4CFC" w14:textId="77777777" w:rsidTr="00471D53">
            <w:trPr>
              <w:trHeight w:val="269"/>
            </w:trPr>
            <w:sdt>
              <w:sdtPr>
                <w:tag w:val="_PLD_a2b3ff41455140df9be8564e6380c550"/>
                <w:id w:val="-1587222415"/>
                <w:lock w:val="sdtLocked"/>
              </w:sdtPr>
              <w:sdtEndPr/>
              <w:sdtContent>
                <w:tc>
                  <w:tcPr>
                    <w:tcW w:w="1607" w:type="pct"/>
                    <w:shd w:val="clear" w:color="auto" w:fill="auto"/>
                    <w:vAlign w:val="center"/>
                  </w:tcPr>
                  <w:p w14:paraId="42F3B43A" w14:textId="77777777" w:rsidR="00471D53" w:rsidRDefault="004F686E" w:rsidP="00471D53">
                    <w:pPr>
                      <w:jc w:val="center"/>
                      <w:rPr>
                        <w:szCs w:val="21"/>
                      </w:rPr>
                    </w:pPr>
                    <w:r>
                      <w:rPr>
                        <w:rFonts w:hint="eastAsia"/>
                        <w:szCs w:val="21"/>
                      </w:rPr>
                      <w:t>项目</w:t>
                    </w:r>
                  </w:p>
                </w:tc>
              </w:sdtContent>
            </w:sdt>
            <w:sdt>
              <w:sdtPr>
                <w:tag w:val="_PLD_e96da55b57ef4b128b17e8730df5f38e"/>
                <w:id w:val="-1406680216"/>
                <w:lock w:val="sdtLocked"/>
              </w:sdtPr>
              <w:sdtEndPr/>
              <w:sdtContent>
                <w:tc>
                  <w:tcPr>
                    <w:tcW w:w="1673" w:type="pct"/>
                    <w:shd w:val="clear" w:color="auto" w:fill="auto"/>
                    <w:vAlign w:val="center"/>
                  </w:tcPr>
                  <w:p w14:paraId="21E0C2BA" w14:textId="77777777" w:rsidR="00471D53" w:rsidRDefault="004F686E" w:rsidP="00471D53">
                    <w:pPr>
                      <w:jc w:val="center"/>
                      <w:rPr>
                        <w:szCs w:val="21"/>
                      </w:rPr>
                    </w:pPr>
                    <w:r>
                      <w:rPr>
                        <w:rFonts w:hint="eastAsia"/>
                        <w:szCs w:val="21"/>
                      </w:rPr>
                      <w:t>期末余额</w:t>
                    </w:r>
                  </w:p>
                </w:tc>
              </w:sdtContent>
            </w:sdt>
            <w:sdt>
              <w:sdtPr>
                <w:tag w:val="_PLD_a0a7c81595d2416d898e57939ff78dd7"/>
                <w:id w:val="-884101138"/>
                <w:lock w:val="sdtLocked"/>
              </w:sdtPr>
              <w:sdtEndPr/>
              <w:sdtContent>
                <w:tc>
                  <w:tcPr>
                    <w:tcW w:w="1720" w:type="pct"/>
                    <w:shd w:val="clear" w:color="auto" w:fill="auto"/>
                    <w:vAlign w:val="center"/>
                  </w:tcPr>
                  <w:p w14:paraId="4190FFAE" w14:textId="77777777" w:rsidR="00471D53" w:rsidRDefault="004F686E" w:rsidP="00471D53">
                    <w:pPr>
                      <w:jc w:val="center"/>
                      <w:rPr>
                        <w:szCs w:val="21"/>
                      </w:rPr>
                    </w:pPr>
                    <w:r>
                      <w:rPr>
                        <w:rFonts w:hint="eastAsia"/>
                        <w:szCs w:val="21"/>
                      </w:rPr>
                      <w:t>未偿还或结转的原因</w:t>
                    </w:r>
                  </w:p>
                </w:tc>
              </w:sdtContent>
            </w:sdt>
          </w:tr>
          <w:sdt>
            <w:sdtPr>
              <w:rPr>
                <w:szCs w:val="21"/>
              </w:rPr>
              <w:alias w:val="重要的账龄超过1年的其他应付款明细"/>
              <w:tag w:val="_TUP_107abfb893f149c8878e75d2528d9efe"/>
              <w:id w:val="-1452550902"/>
              <w:lock w:val="sdtLocked"/>
            </w:sdtPr>
            <w:sdtEndPr/>
            <w:sdtContent>
              <w:tr w:rsidR="00471D53" w14:paraId="042C3199" w14:textId="77777777" w:rsidTr="00471D53">
                <w:tc>
                  <w:tcPr>
                    <w:tcW w:w="1607" w:type="pct"/>
                    <w:tcBorders>
                      <w:bottom w:val="single" w:sz="4" w:space="0" w:color="auto"/>
                    </w:tcBorders>
                    <w:shd w:val="clear" w:color="auto" w:fill="auto"/>
                  </w:tcPr>
                  <w:p w14:paraId="3C520FA7" w14:textId="77777777" w:rsidR="00471D53" w:rsidRDefault="004F686E" w:rsidP="00471D53">
                    <w:pPr>
                      <w:rPr>
                        <w:szCs w:val="21"/>
                      </w:rPr>
                    </w:pPr>
                    <w:r>
                      <w:t>天津大无缝投资有限公司</w:t>
                    </w:r>
                  </w:p>
                </w:tc>
                <w:tc>
                  <w:tcPr>
                    <w:tcW w:w="1673" w:type="pct"/>
                    <w:shd w:val="clear" w:color="auto" w:fill="auto"/>
                  </w:tcPr>
                  <w:p w14:paraId="332F44AC" w14:textId="77777777" w:rsidR="00471D53" w:rsidRDefault="004F686E" w:rsidP="00471D53">
                    <w:pPr>
                      <w:jc w:val="center"/>
                      <w:rPr>
                        <w:szCs w:val="21"/>
                      </w:rPr>
                    </w:pPr>
                    <w:r>
                      <w:t>1,704,203.53</w:t>
                    </w:r>
                  </w:p>
                </w:tc>
                <w:tc>
                  <w:tcPr>
                    <w:tcW w:w="1720" w:type="pct"/>
                    <w:shd w:val="clear" w:color="auto" w:fill="auto"/>
                  </w:tcPr>
                  <w:p w14:paraId="376A4D81" w14:textId="77777777" w:rsidR="00471D53" w:rsidRDefault="004F686E" w:rsidP="00471D53">
                    <w:pPr>
                      <w:jc w:val="center"/>
                      <w:rPr>
                        <w:szCs w:val="21"/>
                      </w:rPr>
                    </w:pPr>
                    <w:r>
                      <w:t>尚未结算</w:t>
                    </w:r>
                  </w:p>
                </w:tc>
              </w:tr>
            </w:sdtContent>
          </w:sdt>
          <w:sdt>
            <w:sdtPr>
              <w:rPr>
                <w:szCs w:val="21"/>
              </w:rPr>
              <w:alias w:val="重要的账龄超过1年的其他应付款明细"/>
              <w:tag w:val="_TUP_107abfb893f149c8878e75d2528d9efe"/>
              <w:id w:val="1327934609"/>
              <w:lock w:val="sdtLocked"/>
            </w:sdtPr>
            <w:sdtEndPr/>
            <w:sdtContent>
              <w:tr w:rsidR="00471D53" w14:paraId="7B9C3D35" w14:textId="77777777" w:rsidTr="00471D53">
                <w:tc>
                  <w:tcPr>
                    <w:tcW w:w="1607" w:type="pct"/>
                    <w:tcBorders>
                      <w:bottom w:val="single" w:sz="4" w:space="0" w:color="auto"/>
                    </w:tcBorders>
                    <w:shd w:val="clear" w:color="auto" w:fill="auto"/>
                  </w:tcPr>
                  <w:p w14:paraId="46C3FCE1" w14:textId="77777777" w:rsidR="00471D53" w:rsidRDefault="004F686E" w:rsidP="00471D53">
                    <w:pPr>
                      <w:rPr>
                        <w:szCs w:val="21"/>
                      </w:rPr>
                    </w:pPr>
                    <w:r>
                      <w:t>北京天海西港环境有限公司</w:t>
                    </w:r>
                  </w:p>
                </w:tc>
                <w:tc>
                  <w:tcPr>
                    <w:tcW w:w="1673" w:type="pct"/>
                    <w:shd w:val="clear" w:color="auto" w:fill="auto"/>
                  </w:tcPr>
                  <w:p w14:paraId="67C9315B" w14:textId="77777777" w:rsidR="00471D53" w:rsidRDefault="004F686E" w:rsidP="00471D53">
                    <w:pPr>
                      <w:jc w:val="center"/>
                      <w:rPr>
                        <w:szCs w:val="21"/>
                      </w:rPr>
                    </w:pPr>
                    <w:r>
                      <w:t>536,214.98</w:t>
                    </w:r>
                  </w:p>
                </w:tc>
                <w:tc>
                  <w:tcPr>
                    <w:tcW w:w="1720" w:type="pct"/>
                    <w:shd w:val="clear" w:color="auto" w:fill="auto"/>
                  </w:tcPr>
                  <w:p w14:paraId="2C77664C" w14:textId="77777777" w:rsidR="00471D53" w:rsidRDefault="004F686E" w:rsidP="00471D53">
                    <w:pPr>
                      <w:jc w:val="center"/>
                      <w:rPr>
                        <w:szCs w:val="21"/>
                      </w:rPr>
                    </w:pPr>
                    <w:r>
                      <w:t>尚未结算</w:t>
                    </w:r>
                  </w:p>
                </w:tc>
              </w:tr>
            </w:sdtContent>
          </w:sdt>
          <w:tr w:rsidR="00471D53" w:rsidRPr="00BB7EB6" w14:paraId="1CDC1AFF" w14:textId="77777777" w:rsidTr="00471D53">
            <w:sdt>
              <w:sdtPr>
                <w:tag w:val="_PLD_ea766d57335d427393a67dd762f0167b"/>
                <w:id w:val="-1918621211"/>
                <w:lock w:val="sdtLocked"/>
              </w:sdtPr>
              <w:sdtEndPr/>
              <w:sdtContent>
                <w:tc>
                  <w:tcPr>
                    <w:tcW w:w="1607" w:type="pct"/>
                    <w:shd w:val="clear" w:color="auto" w:fill="auto"/>
                    <w:vAlign w:val="center"/>
                  </w:tcPr>
                  <w:p w14:paraId="7C520651" w14:textId="77777777" w:rsidR="00471D53" w:rsidRDefault="004F686E" w:rsidP="00471D53">
                    <w:pPr>
                      <w:jc w:val="center"/>
                      <w:rPr>
                        <w:szCs w:val="21"/>
                      </w:rPr>
                    </w:pPr>
                    <w:r>
                      <w:rPr>
                        <w:rFonts w:hint="eastAsia"/>
                        <w:szCs w:val="21"/>
                      </w:rPr>
                      <w:t>合计</w:t>
                    </w:r>
                  </w:p>
                </w:tc>
              </w:sdtContent>
            </w:sdt>
            <w:tc>
              <w:tcPr>
                <w:tcW w:w="1673" w:type="pct"/>
                <w:shd w:val="clear" w:color="auto" w:fill="auto"/>
              </w:tcPr>
              <w:p w14:paraId="154BECDC" w14:textId="77777777" w:rsidR="00471D53" w:rsidRPr="002604E2" w:rsidRDefault="004F686E" w:rsidP="00471D53">
                <w:pPr>
                  <w:jc w:val="center"/>
                  <w:rPr>
                    <w:szCs w:val="21"/>
                  </w:rPr>
                </w:pPr>
                <w:r w:rsidRPr="002604E2">
                  <w:rPr>
                    <w:sz w:val="22"/>
                    <w:szCs w:val="22"/>
                  </w:rPr>
                  <w:t>2,240,418.51</w:t>
                </w:r>
              </w:p>
            </w:tc>
            <w:tc>
              <w:tcPr>
                <w:tcW w:w="1720" w:type="pct"/>
                <w:shd w:val="clear" w:color="auto" w:fill="auto"/>
              </w:tcPr>
              <w:p w14:paraId="1CCA6D9E" w14:textId="77777777" w:rsidR="00471D53" w:rsidRDefault="004F686E" w:rsidP="00471D53">
                <w:pPr>
                  <w:jc w:val="center"/>
                  <w:rPr>
                    <w:szCs w:val="21"/>
                  </w:rPr>
                </w:pPr>
                <w:r>
                  <w:rPr>
                    <w:rFonts w:hint="eastAsia"/>
                    <w:szCs w:val="21"/>
                  </w:rPr>
                  <w:t>/</w:t>
                </w:r>
              </w:p>
            </w:tc>
          </w:tr>
        </w:tbl>
        <w:p w14:paraId="43045EE3" w14:textId="77777777" w:rsidR="00471D53" w:rsidRPr="00BB7EB6" w:rsidRDefault="00B664AF" w:rsidP="00471D53"/>
      </w:sdtContent>
    </w:sdt>
    <w:p w14:paraId="4F2847AB" w14:textId="77777777" w:rsidR="00471D53" w:rsidRDefault="00B664AF"/>
    <w:sdt>
      <w:sdtPr>
        <w:rPr>
          <w:rFonts w:hint="eastAsia"/>
        </w:rPr>
        <w:alias w:val="模块:其他说明"/>
        <w:tag w:val="_SEC_b03fcb02b4b747249703cbc2e0a127fd"/>
        <w:id w:val="1649931978"/>
        <w:lock w:val="sdtLocked"/>
        <w:placeholder>
          <w:docPart w:val="GBC22222222222222222222222222222"/>
        </w:placeholder>
      </w:sdtPr>
      <w:sdtEndPr>
        <w:rPr>
          <w:rFonts w:hint="default"/>
          <w:szCs w:val="21"/>
        </w:rPr>
      </w:sdtEndPr>
      <w:sdtContent>
        <w:p w14:paraId="57524E06" w14:textId="77777777" w:rsidR="00471D53" w:rsidRDefault="004F686E">
          <w:r>
            <w:rPr>
              <w:rFonts w:hint="eastAsia"/>
            </w:rPr>
            <w:t>其他说明：</w:t>
          </w:r>
        </w:p>
        <w:sdt>
          <w:sdtPr>
            <w:alias w:val="是否适用：其他应付款的其他说明[双击切换]"/>
            <w:tag w:val="_GBC_c968ec386e144657884a6b5b483acbfd"/>
            <w:id w:val="135543576"/>
            <w:lock w:val="sdtLocked"/>
            <w:placeholder>
              <w:docPart w:val="GBC22222222222222222222222222222"/>
            </w:placeholder>
          </w:sdtPr>
          <w:sdtEndPr/>
          <w:sdtContent>
            <w:p w14:paraId="0B883365" w14:textId="77777777" w:rsidR="00471D53" w:rsidRDefault="004F686E" w:rsidP="00471D53">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97"/>
    <w:p w14:paraId="16F2EF42" w14:textId="77777777" w:rsidR="00471D53" w:rsidRDefault="00B664AF">
      <w:pPr>
        <w:rPr>
          <w:szCs w:val="21"/>
        </w:rPr>
      </w:pPr>
    </w:p>
    <w:p w14:paraId="00D177B8" w14:textId="77777777" w:rsidR="00471D53" w:rsidRDefault="00B664AF">
      <w:pPr>
        <w:rPr>
          <w:szCs w:val="21"/>
        </w:rPr>
      </w:pPr>
    </w:p>
    <w:sdt>
      <w:sdtPr>
        <w:rPr>
          <w:rFonts w:ascii="宋体" w:hAnsi="宋体" w:cs="宋体" w:hint="eastAsia"/>
          <w:b w:val="0"/>
          <w:bCs w:val="0"/>
          <w:kern w:val="0"/>
          <w:szCs w:val="21"/>
        </w:rPr>
        <w:alias w:val="模块:划分为持有待售的负债"/>
        <w:tag w:val="_GBC_b863defdccbc448695ee82953f3da273"/>
        <w:id w:val="-186527438"/>
        <w:lock w:val="sdtLocked"/>
        <w:placeholder>
          <w:docPart w:val="GBC22222222222222222222222222222"/>
        </w:placeholder>
      </w:sdtPr>
      <w:sdtEndPr/>
      <w:sdtContent>
        <w:p w14:paraId="7EEA7EEB"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持有待售负债</w:t>
          </w:r>
        </w:p>
        <w:sdt>
          <w:sdtPr>
            <w:alias w:val="是否适用：划分为持有待售的负债[双击切换]"/>
            <w:tag w:val="_GBC_039b9e06b132407a89f578be468d6ec8"/>
            <w:id w:val="536082261"/>
            <w:lock w:val="sdtLocked"/>
            <w:placeholder>
              <w:docPart w:val="GBC22222222222222222222222222222"/>
            </w:placeholder>
          </w:sdtPr>
          <w:sdtEndPr/>
          <w:sdtContent>
            <w:p w14:paraId="0513FC9B"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D50A826" w14:textId="77777777" w:rsidR="00471D53" w:rsidRDefault="00B664AF">
          <w:pPr>
            <w:rPr>
              <w:szCs w:val="21"/>
            </w:rPr>
          </w:pPr>
        </w:p>
      </w:sdtContent>
    </w:sdt>
    <w:p w14:paraId="1E3C5998" w14:textId="77777777" w:rsidR="00471D53" w:rsidRDefault="00B664AF">
      <w:pPr>
        <w:rPr>
          <w:szCs w:val="21"/>
        </w:rPr>
      </w:pPr>
    </w:p>
    <w:sdt>
      <w:sdtPr>
        <w:rPr>
          <w:rFonts w:ascii="宋体" w:hAnsi="宋体" w:cs="宋体" w:hint="eastAsia"/>
          <w:b w:val="0"/>
          <w:bCs w:val="0"/>
          <w:kern w:val="0"/>
          <w:szCs w:val="21"/>
        </w:rPr>
        <w:alias w:val="模块:1年内到期的非流动负债"/>
        <w:tag w:val="_GBC_d5b7f9c02d494f85b85a36713895b9f8"/>
        <w:id w:val="-1544973556"/>
        <w:lock w:val="sdtLocked"/>
        <w:placeholder>
          <w:docPart w:val="GBC22222222222222222222222222222"/>
        </w:placeholder>
      </w:sdtPr>
      <w:sdtEndPr>
        <w:rPr>
          <w:rFonts w:hint="default"/>
        </w:rPr>
      </w:sdtEndPr>
      <w:sdtContent>
        <w:p w14:paraId="0C45D5FE"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9b606bc3f0cf4f77be9b0f299d212c73"/>
            <w:id w:val="-423653162"/>
            <w:lock w:val="sdtLocked"/>
            <w:placeholder>
              <w:docPart w:val="GBC22222222222222222222222222222"/>
            </w:placeholder>
          </w:sdtPr>
          <w:sdtEndPr/>
          <w:sdtContent>
            <w:p w14:paraId="6E2F2678"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7ED07E2" w14:textId="7D59F5D3" w:rsidR="00471D53" w:rsidRDefault="004F686E">
          <w:pPr>
            <w:jc w:val="right"/>
            <w:rPr>
              <w:szCs w:val="21"/>
            </w:rPr>
          </w:pPr>
          <w:r>
            <w:rPr>
              <w:rFonts w:hint="eastAsia"/>
              <w:szCs w:val="21"/>
            </w:rPr>
            <w:t>单位：</w:t>
          </w:r>
          <w:sdt>
            <w:sdtPr>
              <w:rPr>
                <w:rFonts w:hint="eastAsia"/>
                <w:szCs w:val="21"/>
              </w:rPr>
              <w:alias w:val="单位：1年内到期的非流动负债情况"/>
              <w:tag w:val="_GBC_7bad01766fa0485ea9c16109704ff32e"/>
              <w:id w:val="-11638614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1年内到期的非流动负债情况"/>
              <w:tag w:val="_GBC_25aa805434d340a6ade79870522c9640"/>
              <w:id w:val="16582720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2961"/>
            <w:gridCol w:w="3026"/>
          </w:tblGrid>
          <w:tr w:rsidR="00471D53" w14:paraId="2B320760" w14:textId="77777777" w:rsidTr="00D17AF1">
            <w:sdt>
              <w:sdtPr>
                <w:tag w:val="_PLD_bf2815b84ebe4a1e94909ee96ec31ac1"/>
                <w:id w:val="-226771203"/>
                <w:lock w:val="sdtLocked"/>
              </w:sdtPr>
              <w:sdtEndPr/>
              <w:sdtContent>
                <w:tc>
                  <w:tcPr>
                    <w:tcW w:w="1607" w:type="pct"/>
                    <w:shd w:val="clear" w:color="auto" w:fill="auto"/>
                  </w:tcPr>
                  <w:p w14:paraId="32E046AE" w14:textId="77777777" w:rsidR="00471D53" w:rsidRDefault="004F686E">
                    <w:pPr>
                      <w:jc w:val="center"/>
                      <w:rPr>
                        <w:szCs w:val="21"/>
                      </w:rPr>
                    </w:pPr>
                    <w:r>
                      <w:rPr>
                        <w:rFonts w:hint="eastAsia"/>
                        <w:szCs w:val="21"/>
                      </w:rPr>
                      <w:t>项目</w:t>
                    </w:r>
                  </w:p>
                </w:tc>
              </w:sdtContent>
            </w:sdt>
            <w:sdt>
              <w:sdtPr>
                <w:tag w:val="_PLD_db7abcf611bc4296ad7bd9c8177202e0"/>
                <w:id w:val="1683080732"/>
                <w:lock w:val="sdtLocked"/>
              </w:sdtPr>
              <w:sdtEndPr/>
              <w:sdtContent>
                <w:tc>
                  <w:tcPr>
                    <w:tcW w:w="1678" w:type="pct"/>
                    <w:shd w:val="clear" w:color="auto" w:fill="auto"/>
                  </w:tcPr>
                  <w:p w14:paraId="02FD3DE1" w14:textId="77777777" w:rsidR="00471D53" w:rsidRDefault="004F686E">
                    <w:pPr>
                      <w:jc w:val="center"/>
                      <w:rPr>
                        <w:szCs w:val="21"/>
                      </w:rPr>
                    </w:pPr>
                    <w:r>
                      <w:rPr>
                        <w:rFonts w:hint="eastAsia"/>
                        <w:szCs w:val="21"/>
                      </w:rPr>
                      <w:t>期末余额</w:t>
                    </w:r>
                  </w:p>
                </w:tc>
              </w:sdtContent>
            </w:sdt>
            <w:sdt>
              <w:sdtPr>
                <w:tag w:val="_PLD_371959274ef4493ca1fe426c930e0bf2"/>
                <w:id w:val="-1885856085"/>
                <w:lock w:val="sdtLocked"/>
              </w:sdtPr>
              <w:sdtEndPr/>
              <w:sdtContent>
                <w:tc>
                  <w:tcPr>
                    <w:tcW w:w="1715" w:type="pct"/>
                    <w:shd w:val="clear" w:color="auto" w:fill="auto"/>
                  </w:tcPr>
                  <w:p w14:paraId="7A5B4EFC" w14:textId="77777777" w:rsidR="00471D53" w:rsidRDefault="004F686E">
                    <w:pPr>
                      <w:jc w:val="center"/>
                      <w:rPr>
                        <w:szCs w:val="21"/>
                      </w:rPr>
                    </w:pPr>
                    <w:r>
                      <w:rPr>
                        <w:rFonts w:hint="eastAsia"/>
                        <w:szCs w:val="21"/>
                      </w:rPr>
                      <w:t>期初余额</w:t>
                    </w:r>
                  </w:p>
                </w:tc>
              </w:sdtContent>
            </w:sdt>
          </w:tr>
          <w:tr w:rsidR="00471D53" w14:paraId="31625AEA" w14:textId="77777777" w:rsidTr="00D17AF1">
            <w:sdt>
              <w:sdtPr>
                <w:tag w:val="_PLD_d604ff944003432285ae67c4dffb978f"/>
                <w:id w:val="-889257077"/>
                <w:lock w:val="sdtLocked"/>
              </w:sdtPr>
              <w:sdtEndPr/>
              <w:sdtContent>
                <w:tc>
                  <w:tcPr>
                    <w:tcW w:w="1607" w:type="pct"/>
                    <w:shd w:val="clear" w:color="auto" w:fill="auto"/>
                  </w:tcPr>
                  <w:p w14:paraId="3951BE93" w14:textId="77777777" w:rsidR="00471D53" w:rsidRDefault="004F686E">
                    <w:pPr>
                      <w:rPr>
                        <w:szCs w:val="21"/>
                      </w:rPr>
                    </w:pPr>
                    <w:r>
                      <w:rPr>
                        <w:rFonts w:hint="eastAsia"/>
                        <w:szCs w:val="21"/>
                      </w:rPr>
                      <w:t>1年内到期的长期借款</w:t>
                    </w:r>
                  </w:p>
                </w:tc>
              </w:sdtContent>
            </w:sdt>
            <w:tc>
              <w:tcPr>
                <w:tcW w:w="1678" w:type="pct"/>
                <w:shd w:val="clear" w:color="auto" w:fill="auto"/>
              </w:tcPr>
              <w:p w14:paraId="7643E16F" w14:textId="77777777" w:rsidR="00471D53" w:rsidRDefault="00B664AF">
                <w:pPr>
                  <w:jc w:val="right"/>
                  <w:rPr>
                    <w:szCs w:val="21"/>
                  </w:rPr>
                </w:pPr>
              </w:p>
            </w:tc>
            <w:tc>
              <w:tcPr>
                <w:tcW w:w="1715" w:type="pct"/>
                <w:shd w:val="clear" w:color="auto" w:fill="auto"/>
              </w:tcPr>
              <w:p w14:paraId="252C5916" w14:textId="77777777" w:rsidR="00471D53" w:rsidRDefault="00B664AF">
                <w:pPr>
                  <w:jc w:val="right"/>
                  <w:rPr>
                    <w:szCs w:val="21"/>
                  </w:rPr>
                </w:pPr>
              </w:p>
            </w:tc>
          </w:tr>
          <w:tr w:rsidR="00471D53" w14:paraId="3E62351E" w14:textId="77777777" w:rsidTr="00D17AF1">
            <w:sdt>
              <w:sdtPr>
                <w:tag w:val="_PLD_c33302dbab574c0490258d7885fc5bb5"/>
                <w:id w:val="651095044"/>
                <w:lock w:val="sdtLocked"/>
              </w:sdtPr>
              <w:sdtEndPr/>
              <w:sdtContent>
                <w:tc>
                  <w:tcPr>
                    <w:tcW w:w="1607" w:type="pct"/>
                    <w:shd w:val="clear" w:color="auto" w:fill="auto"/>
                  </w:tcPr>
                  <w:p w14:paraId="25468625" w14:textId="77777777" w:rsidR="00471D53" w:rsidRDefault="004F686E">
                    <w:pPr>
                      <w:rPr>
                        <w:szCs w:val="21"/>
                      </w:rPr>
                    </w:pPr>
                    <w:r>
                      <w:rPr>
                        <w:rFonts w:hint="eastAsia"/>
                        <w:szCs w:val="21"/>
                      </w:rPr>
                      <w:t>1年内到期的应付债券</w:t>
                    </w:r>
                  </w:p>
                </w:tc>
              </w:sdtContent>
            </w:sdt>
            <w:tc>
              <w:tcPr>
                <w:tcW w:w="1678" w:type="pct"/>
                <w:shd w:val="clear" w:color="auto" w:fill="auto"/>
              </w:tcPr>
              <w:p w14:paraId="469FE666" w14:textId="77777777" w:rsidR="00471D53" w:rsidRDefault="00B664AF">
                <w:pPr>
                  <w:jc w:val="right"/>
                  <w:rPr>
                    <w:szCs w:val="21"/>
                  </w:rPr>
                </w:pPr>
              </w:p>
            </w:tc>
            <w:tc>
              <w:tcPr>
                <w:tcW w:w="1715" w:type="pct"/>
                <w:shd w:val="clear" w:color="auto" w:fill="auto"/>
              </w:tcPr>
              <w:p w14:paraId="7F56C220" w14:textId="77777777" w:rsidR="00471D53" w:rsidRDefault="00B664AF">
                <w:pPr>
                  <w:jc w:val="right"/>
                  <w:rPr>
                    <w:szCs w:val="21"/>
                  </w:rPr>
                </w:pPr>
              </w:p>
            </w:tc>
          </w:tr>
          <w:tr w:rsidR="00471D53" w14:paraId="1C38B782" w14:textId="77777777" w:rsidTr="00D17AF1">
            <w:sdt>
              <w:sdtPr>
                <w:tag w:val="_PLD_80ec0c08bdec4a7cab5a5163221b0aa3"/>
                <w:id w:val="-946158429"/>
                <w:lock w:val="sdtLocked"/>
              </w:sdtPr>
              <w:sdtEndPr/>
              <w:sdtContent>
                <w:tc>
                  <w:tcPr>
                    <w:tcW w:w="1607" w:type="pct"/>
                    <w:shd w:val="clear" w:color="auto" w:fill="auto"/>
                  </w:tcPr>
                  <w:p w14:paraId="589CA487" w14:textId="77777777" w:rsidR="00471D53" w:rsidRDefault="004F686E">
                    <w:pPr>
                      <w:rPr>
                        <w:szCs w:val="21"/>
                      </w:rPr>
                    </w:pPr>
                    <w:r>
                      <w:rPr>
                        <w:rFonts w:hint="eastAsia"/>
                        <w:szCs w:val="21"/>
                      </w:rPr>
                      <w:t>1年内到期的长期应付款</w:t>
                    </w:r>
                  </w:p>
                </w:tc>
              </w:sdtContent>
            </w:sdt>
            <w:tc>
              <w:tcPr>
                <w:tcW w:w="1678" w:type="pct"/>
                <w:shd w:val="clear" w:color="auto" w:fill="auto"/>
              </w:tcPr>
              <w:p w14:paraId="570C017D" w14:textId="77777777" w:rsidR="00471D53" w:rsidRDefault="00B664AF">
                <w:pPr>
                  <w:jc w:val="right"/>
                  <w:rPr>
                    <w:szCs w:val="21"/>
                  </w:rPr>
                </w:pPr>
              </w:p>
            </w:tc>
            <w:tc>
              <w:tcPr>
                <w:tcW w:w="1715" w:type="pct"/>
                <w:shd w:val="clear" w:color="auto" w:fill="auto"/>
              </w:tcPr>
              <w:p w14:paraId="02A20223" w14:textId="77777777" w:rsidR="00471D53" w:rsidRDefault="004F686E">
                <w:pPr>
                  <w:jc w:val="right"/>
                  <w:rPr>
                    <w:szCs w:val="21"/>
                  </w:rPr>
                </w:pPr>
                <w:r w:rsidRPr="009A3EC3">
                  <w:rPr>
                    <w:rFonts w:cs="Calibri" w:hint="eastAsia"/>
                    <w:bCs/>
                    <w:kern w:val="2"/>
                    <w:sz w:val="22"/>
                    <w:szCs w:val="22"/>
                  </w:rPr>
                  <w:t>15,540,454.46</w:t>
                </w:r>
              </w:p>
            </w:tc>
          </w:tr>
          <w:tr w:rsidR="00471D53" w14:paraId="06D846A4" w14:textId="77777777" w:rsidTr="00D17AF1">
            <w:tc>
              <w:tcPr>
                <w:tcW w:w="1607" w:type="pct"/>
                <w:shd w:val="clear" w:color="auto" w:fill="auto"/>
              </w:tcPr>
              <w:sdt>
                <w:sdtPr>
                  <w:rPr>
                    <w:rFonts w:hint="eastAsia"/>
                  </w:rPr>
                  <w:tag w:val="_PLD_da928b33f6eb40d197d7afd28664c8f8"/>
                  <w:id w:val="177087558"/>
                  <w:lock w:val="sdtLocked"/>
                </w:sdtPr>
                <w:sdtEndPr/>
                <w:sdtContent>
                  <w:p w14:paraId="46E4B1F2" w14:textId="77777777" w:rsidR="00471D53" w:rsidRDefault="004F686E">
                    <w:r>
                      <w:rPr>
                        <w:rFonts w:hint="eastAsia"/>
                      </w:rPr>
                      <w:t>1年内到期的租赁负债</w:t>
                    </w:r>
                  </w:p>
                </w:sdtContent>
              </w:sdt>
            </w:tc>
            <w:tc>
              <w:tcPr>
                <w:tcW w:w="1678" w:type="pct"/>
                <w:shd w:val="clear" w:color="auto" w:fill="auto"/>
              </w:tcPr>
              <w:p w14:paraId="55D09EDA" w14:textId="77777777" w:rsidR="00471D53" w:rsidRDefault="00B664AF">
                <w:pPr>
                  <w:jc w:val="right"/>
                  <w:rPr>
                    <w:szCs w:val="21"/>
                  </w:rPr>
                </w:pPr>
              </w:p>
            </w:tc>
            <w:tc>
              <w:tcPr>
                <w:tcW w:w="1715" w:type="pct"/>
                <w:shd w:val="clear" w:color="auto" w:fill="auto"/>
              </w:tcPr>
              <w:p w14:paraId="3F6AFF7D" w14:textId="77777777" w:rsidR="00471D53" w:rsidRDefault="00B664AF">
                <w:pPr>
                  <w:jc w:val="right"/>
                  <w:rPr>
                    <w:szCs w:val="21"/>
                  </w:rPr>
                </w:pPr>
              </w:p>
            </w:tc>
          </w:tr>
          <w:tr w:rsidR="00471D53" w14:paraId="0D74A428" w14:textId="77777777" w:rsidTr="00D17AF1">
            <w:sdt>
              <w:sdtPr>
                <w:tag w:val="_PLD_f9405fec461a4b079f93c72be0490bbf"/>
                <w:id w:val="-697227839"/>
                <w:lock w:val="sdtLocked"/>
              </w:sdtPr>
              <w:sdtEndPr/>
              <w:sdtContent>
                <w:tc>
                  <w:tcPr>
                    <w:tcW w:w="1607" w:type="pct"/>
                    <w:shd w:val="clear" w:color="auto" w:fill="auto"/>
                  </w:tcPr>
                  <w:p w14:paraId="321AA818" w14:textId="77777777" w:rsidR="00471D53" w:rsidRDefault="004F686E">
                    <w:pPr>
                      <w:jc w:val="center"/>
                      <w:rPr>
                        <w:szCs w:val="21"/>
                      </w:rPr>
                    </w:pPr>
                    <w:r>
                      <w:rPr>
                        <w:rFonts w:hint="eastAsia"/>
                        <w:szCs w:val="21"/>
                      </w:rPr>
                      <w:t>合计</w:t>
                    </w:r>
                  </w:p>
                </w:tc>
              </w:sdtContent>
            </w:sdt>
            <w:tc>
              <w:tcPr>
                <w:tcW w:w="1678" w:type="pct"/>
                <w:shd w:val="clear" w:color="auto" w:fill="auto"/>
              </w:tcPr>
              <w:p w14:paraId="561D81CB" w14:textId="77777777" w:rsidR="00471D53" w:rsidRDefault="00B664AF">
                <w:pPr>
                  <w:jc w:val="right"/>
                  <w:rPr>
                    <w:szCs w:val="21"/>
                  </w:rPr>
                </w:pPr>
              </w:p>
            </w:tc>
            <w:tc>
              <w:tcPr>
                <w:tcW w:w="1715" w:type="pct"/>
                <w:shd w:val="clear" w:color="auto" w:fill="auto"/>
              </w:tcPr>
              <w:p w14:paraId="4509364B" w14:textId="77777777" w:rsidR="00471D53" w:rsidRDefault="004F686E">
                <w:pPr>
                  <w:jc w:val="right"/>
                  <w:rPr>
                    <w:szCs w:val="21"/>
                  </w:rPr>
                </w:pPr>
                <w:r w:rsidRPr="009A3EC3">
                  <w:rPr>
                    <w:rFonts w:cs="Calibri" w:hint="eastAsia"/>
                    <w:bCs/>
                    <w:kern w:val="2"/>
                    <w:sz w:val="22"/>
                    <w:szCs w:val="22"/>
                  </w:rPr>
                  <w:t>15,540,454.46</w:t>
                </w:r>
              </w:p>
            </w:tc>
          </w:tr>
        </w:tbl>
        <w:p w14:paraId="4ECA3BE4" w14:textId="77777777" w:rsidR="00471D53" w:rsidRDefault="004F686E">
          <w:pPr>
            <w:rPr>
              <w:szCs w:val="21"/>
            </w:rPr>
          </w:pPr>
          <w:r>
            <w:rPr>
              <w:rFonts w:hint="eastAsia"/>
              <w:szCs w:val="21"/>
            </w:rPr>
            <w:t>其他说明：</w:t>
          </w:r>
        </w:p>
        <w:sdt>
          <w:sdtPr>
            <w:rPr>
              <w:szCs w:val="21"/>
            </w:rPr>
            <w:alias w:val="1年内到期的非流动负债说明"/>
            <w:tag w:val="_GBC_ae2cc1bff1994660ac9e57279493bfe6"/>
            <w:id w:val="-1274853402"/>
            <w:lock w:val="sdtLocked"/>
            <w:placeholder>
              <w:docPart w:val="GBC22222222222222222222222222222"/>
            </w:placeholder>
          </w:sdtPr>
          <w:sdtEndPr/>
          <w:sdtContent>
            <w:p w14:paraId="3F687DDC" w14:textId="77777777" w:rsidR="00471D53" w:rsidRDefault="004F686E">
              <w:pPr>
                <w:rPr>
                  <w:szCs w:val="21"/>
                </w:rPr>
              </w:pPr>
              <w:r>
                <w:rPr>
                  <w:rFonts w:hint="eastAsia"/>
                  <w:szCs w:val="21"/>
                </w:rPr>
                <w:t>长期应付款的期初余额为</w:t>
              </w:r>
              <w:r w:rsidRPr="00D9554B">
                <w:rPr>
                  <w:rFonts w:hint="eastAsia"/>
                  <w:sz w:val="22"/>
                  <w:szCs w:val="22"/>
                </w:rPr>
                <w:t>本公司之子公司北京天海对京城海通承诺认缴的股权出资款</w:t>
              </w:r>
              <w:r>
                <w:rPr>
                  <w:rFonts w:hint="eastAsia"/>
                  <w:sz w:val="22"/>
                  <w:szCs w:val="22"/>
                </w:rPr>
                <w:t>。</w:t>
              </w:r>
            </w:p>
          </w:sdtContent>
        </w:sdt>
        <w:p w14:paraId="4810B184" w14:textId="77777777" w:rsidR="00471D53" w:rsidRDefault="00B664AF">
          <w:pPr>
            <w:rPr>
              <w:szCs w:val="21"/>
            </w:rPr>
          </w:pPr>
        </w:p>
      </w:sdtContent>
    </w:sdt>
    <w:p w14:paraId="79DE58F3"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其他流动负债</w:t>
      </w:r>
      <w:bookmarkStart w:id="198" w:name="_Hlk10536328"/>
    </w:p>
    <w:sdt>
      <w:sdtPr>
        <w:rPr>
          <w:rFonts w:hint="eastAsia"/>
          <w:szCs w:val="21"/>
        </w:rPr>
        <w:alias w:val="是否适用：其他流动负债情况 [双击切换]"/>
        <w:tag w:val="_GBC_80907e3e53c44260b850f42646eb3d63"/>
        <w:id w:val="-1810246427"/>
        <w:lock w:val="sdtContentLocked"/>
        <w:placeholder>
          <w:docPart w:val="GBC22222222222222222222222222222"/>
        </w:placeholder>
      </w:sdtPr>
      <w:sdtEndPr/>
      <w:sdtContent>
        <w:p w14:paraId="62074CF9" w14:textId="77777777" w:rsidR="00471D53" w:rsidRDefault="004F686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模块:其他流动负债"/>
        <w:tag w:val="_SEC_56be6eded8da4d0d9ac5c3624a91cdc6"/>
        <w:id w:val="-1454324120"/>
        <w:lock w:val="sdtLocked"/>
        <w:placeholder>
          <w:docPart w:val="GBC22222222222222222222222222222"/>
        </w:placeholder>
      </w:sdtPr>
      <w:sdtEndPr>
        <w:rPr>
          <w:szCs w:val="24"/>
        </w:rPr>
      </w:sdtEndPr>
      <w:sdtContent>
        <w:p w14:paraId="421555CF" w14:textId="220CA5B7" w:rsidR="00471D53" w:rsidRDefault="004F686E">
          <w:pPr>
            <w:jc w:val="right"/>
            <w:rPr>
              <w:szCs w:val="21"/>
            </w:rPr>
          </w:pPr>
          <w:r>
            <w:rPr>
              <w:rFonts w:hint="eastAsia"/>
              <w:szCs w:val="21"/>
            </w:rPr>
            <w:t>单位：</w:t>
          </w:r>
          <w:sdt>
            <w:sdtPr>
              <w:rPr>
                <w:rFonts w:hint="eastAsia"/>
                <w:szCs w:val="21"/>
              </w:rPr>
              <w:alias w:val="单位：财务附注：其他流动负债"/>
              <w:tag w:val="_GBC_6d31349460124941a4929421727aab0e"/>
              <w:id w:val="-8382326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其他流动负债"/>
              <w:tag w:val="_GBC_7d8c93066ac541859a45d371953d3cdc"/>
              <w:id w:val="21050623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2"/>
            <w:gridCol w:w="3040"/>
            <w:gridCol w:w="3051"/>
          </w:tblGrid>
          <w:tr w:rsidR="00471D53" w14:paraId="3AA6D31B" w14:textId="77777777" w:rsidTr="00471D53">
            <w:trPr>
              <w:jc w:val="center"/>
            </w:trPr>
            <w:sdt>
              <w:sdtPr>
                <w:tag w:val="_PLD_8fb682e3d6ad4a60b648ec38137fbf9d"/>
                <w:id w:val="-316811264"/>
                <w:lock w:val="sdtLocked"/>
              </w:sdtPr>
              <w:sdtEndPr/>
              <w:sdtContent>
                <w:tc>
                  <w:tcPr>
                    <w:tcW w:w="1548" w:type="pct"/>
                    <w:tcBorders>
                      <w:top w:val="single" w:sz="4" w:space="0" w:color="auto"/>
                      <w:left w:val="single" w:sz="4" w:space="0" w:color="auto"/>
                      <w:bottom w:val="single" w:sz="4" w:space="0" w:color="auto"/>
                      <w:right w:val="single" w:sz="4" w:space="0" w:color="auto"/>
                    </w:tcBorders>
                    <w:vAlign w:val="bottom"/>
                  </w:tcPr>
                  <w:p w14:paraId="1A00CAFB" w14:textId="77777777" w:rsidR="00471D53" w:rsidRDefault="004F686E" w:rsidP="00471D53">
                    <w:pPr>
                      <w:tabs>
                        <w:tab w:val="right" w:pos="3690"/>
                        <w:tab w:val="right" w:pos="5130"/>
                        <w:tab w:val="right" w:pos="6030"/>
                        <w:tab w:val="right" w:pos="7650"/>
                        <w:tab w:val="right" w:pos="9270"/>
                      </w:tabs>
                      <w:snapToGrid w:val="0"/>
                      <w:ind w:leftChars="-52" w:left="-109"/>
                      <w:jc w:val="center"/>
                      <w:rPr>
                        <w:szCs w:val="21"/>
                      </w:rPr>
                    </w:pPr>
                    <w:r>
                      <w:rPr>
                        <w:rFonts w:hint="eastAsia"/>
                        <w:szCs w:val="21"/>
                      </w:rPr>
                      <w:t>项目</w:t>
                    </w:r>
                  </w:p>
                </w:tc>
              </w:sdtContent>
            </w:sdt>
            <w:sdt>
              <w:sdtPr>
                <w:tag w:val="_PLD_0c0b762dc58f486f9f736b7ace21e9a0"/>
                <w:id w:val="-568112282"/>
                <w:lock w:val="sdtLocked"/>
              </w:sdtPr>
              <w:sdtEndPr/>
              <w:sdtContent>
                <w:tc>
                  <w:tcPr>
                    <w:tcW w:w="1723" w:type="pct"/>
                    <w:tcBorders>
                      <w:top w:val="single" w:sz="4" w:space="0" w:color="auto"/>
                      <w:left w:val="single" w:sz="4" w:space="0" w:color="auto"/>
                      <w:bottom w:val="single" w:sz="4" w:space="0" w:color="auto"/>
                      <w:right w:val="single" w:sz="4" w:space="0" w:color="auto"/>
                    </w:tcBorders>
                  </w:tcPr>
                  <w:p w14:paraId="35D30E1C" w14:textId="77777777" w:rsidR="00471D53" w:rsidRDefault="004F686E" w:rsidP="00471D53">
                    <w:pPr>
                      <w:adjustRightInd w:val="0"/>
                      <w:snapToGrid w:val="0"/>
                      <w:jc w:val="center"/>
                      <w:rPr>
                        <w:szCs w:val="21"/>
                      </w:rPr>
                    </w:pPr>
                    <w:r>
                      <w:rPr>
                        <w:rFonts w:hint="eastAsia"/>
                        <w:szCs w:val="21"/>
                      </w:rPr>
                      <w:t>期末余额</w:t>
                    </w:r>
                  </w:p>
                </w:tc>
              </w:sdtContent>
            </w:sdt>
            <w:sdt>
              <w:sdtPr>
                <w:tag w:val="_PLD_942d693f41424f82b813e282a8210643"/>
                <w:id w:val="-798229239"/>
                <w:lock w:val="sdtLocked"/>
              </w:sdtPr>
              <w:sdtEndPr/>
              <w:sdtContent>
                <w:tc>
                  <w:tcPr>
                    <w:tcW w:w="1729" w:type="pct"/>
                    <w:tcBorders>
                      <w:top w:val="single" w:sz="4" w:space="0" w:color="auto"/>
                      <w:left w:val="single" w:sz="4" w:space="0" w:color="auto"/>
                      <w:bottom w:val="single" w:sz="4" w:space="0" w:color="auto"/>
                      <w:right w:val="single" w:sz="4" w:space="0" w:color="auto"/>
                    </w:tcBorders>
                  </w:tcPr>
                  <w:p w14:paraId="56AE6F11" w14:textId="77777777" w:rsidR="00471D53" w:rsidRDefault="004F686E" w:rsidP="00471D53">
                    <w:pPr>
                      <w:adjustRightInd w:val="0"/>
                      <w:snapToGrid w:val="0"/>
                      <w:jc w:val="center"/>
                      <w:rPr>
                        <w:szCs w:val="21"/>
                      </w:rPr>
                    </w:pPr>
                    <w:r>
                      <w:rPr>
                        <w:rFonts w:hint="eastAsia"/>
                        <w:szCs w:val="21"/>
                      </w:rPr>
                      <w:t>期初余额</w:t>
                    </w:r>
                  </w:p>
                </w:tc>
              </w:sdtContent>
            </w:sdt>
          </w:tr>
          <w:tr w:rsidR="00471D53" w14:paraId="05D47586" w14:textId="77777777" w:rsidTr="00471D53">
            <w:trPr>
              <w:jc w:val="center"/>
            </w:trPr>
            <w:sdt>
              <w:sdtPr>
                <w:tag w:val="_PLD_ded88bf4ef70481a9765df686ab4ec99"/>
                <w:id w:val="-1551374999"/>
                <w:lock w:val="sdtLocked"/>
              </w:sdtPr>
              <w:sdtEndPr/>
              <w:sdtContent>
                <w:tc>
                  <w:tcPr>
                    <w:tcW w:w="1548" w:type="pct"/>
                    <w:tcBorders>
                      <w:top w:val="single" w:sz="4" w:space="0" w:color="auto"/>
                      <w:left w:val="single" w:sz="4" w:space="0" w:color="auto"/>
                      <w:bottom w:val="single" w:sz="4" w:space="0" w:color="auto"/>
                      <w:right w:val="single" w:sz="4" w:space="0" w:color="auto"/>
                    </w:tcBorders>
                  </w:tcPr>
                  <w:p w14:paraId="2CFD8B13" w14:textId="77777777" w:rsidR="00471D53" w:rsidRDefault="004F686E" w:rsidP="00471D53">
                    <w:pPr>
                      <w:rPr>
                        <w:color w:val="000000" w:themeColor="text1"/>
                        <w:szCs w:val="21"/>
                      </w:rPr>
                    </w:pPr>
                    <w:r>
                      <w:rPr>
                        <w:rFonts w:hint="eastAsia"/>
                        <w:szCs w:val="21"/>
                      </w:rPr>
                      <w:t>短期应付债券</w:t>
                    </w:r>
                  </w:p>
                </w:tc>
              </w:sdtContent>
            </w:sdt>
            <w:tc>
              <w:tcPr>
                <w:tcW w:w="1723" w:type="pct"/>
                <w:tcBorders>
                  <w:top w:val="single" w:sz="4" w:space="0" w:color="auto"/>
                  <w:left w:val="single" w:sz="4" w:space="0" w:color="auto"/>
                  <w:bottom w:val="single" w:sz="4" w:space="0" w:color="auto"/>
                  <w:right w:val="single" w:sz="4" w:space="0" w:color="auto"/>
                </w:tcBorders>
              </w:tcPr>
              <w:p w14:paraId="3C921696" w14:textId="77777777" w:rsidR="00471D53" w:rsidRDefault="00B664AF" w:rsidP="00471D53">
                <w:pPr>
                  <w:jc w:val="right"/>
                  <w:rPr>
                    <w:szCs w:val="21"/>
                  </w:rPr>
                </w:pPr>
              </w:p>
            </w:tc>
            <w:tc>
              <w:tcPr>
                <w:tcW w:w="1729" w:type="pct"/>
                <w:tcBorders>
                  <w:top w:val="single" w:sz="4" w:space="0" w:color="auto"/>
                  <w:left w:val="single" w:sz="4" w:space="0" w:color="auto"/>
                  <w:bottom w:val="single" w:sz="4" w:space="0" w:color="auto"/>
                  <w:right w:val="single" w:sz="4" w:space="0" w:color="auto"/>
                </w:tcBorders>
              </w:tcPr>
              <w:p w14:paraId="4B79418C" w14:textId="77777777" w:rsidR="00471D53" w:rsidRDefault="00B664AF" w:rsidP="00471D53">
                <w:pPr>
                  <w:jc w:val="right"/>
                  <w:rPr>
                    <w:szCs w:val="21"/>
                  </w:rPr>
                </w:pPr>
              </w:p>
            </w:tc>
          </w:tr>
          <w:tr w:rsidR="00471D53" w14:paraId="1514DA9B" w14:textId="77777777" w:rsidTr="00471D53">
            <w:trPr>
              <w:jc w:val="center"/>
            </w:trPr>
            <w:sdt>
              <w:sdtPr>
                <w:tag w:val="_PLD_8a3ee9fb31a7471489501bd0334950d5"/>
                <w:id w:val="1346600469"/>
                <w:lock w:val="sdtLocked"/>
              </w:sdtPr>
              <w:sdtEndPr/>
              <w:sdtContent>
                <w:tc>
                  <w:tcPr>
                    <w:tcW w:w="1548" w:type="pct"/>
                    <w:tcBorders>
                      <w:top w:val="single" w:sz="4" w:space="0" w:color="auto"/>
                      <w:left w:val="single" w:sz="4" w:space="0" w:color="auto"/>
                      <w:bottom w:val="single" w:sz="4" w:space="0" w:color="auto"/>
                      <w:right w:val="single" w:sz="4" w:space="0" w:color="auto"/>
                    </w:tcBorders>
                  </w:tcPr>
                  <w:p w14:paraId="42AD4B1B" w14:textId="77777777" w:rsidR="00471D53" w:rsidRDefault="004F686E" w:rsidP="00471D53">
                    <w:r>
                      <w:rPr>
                        <w:rFonts w:hint="eastAsia"/>
                      </w:rPr>
                      <w:t>应付退货款</w:t>
                    </w:r>
                  </w:p>
                </w:tc>
              </w:sdtContent>
            </w:sdt>
            <w:tc>
              <w:tcPr>
                <w:tcW w:w="1723" w:type="pct"/>
                <w:tcBorders>
                  <w:top w:val="single" w:sz="4" w:space="0" w:color="auto"/>
                  <w:left w:val="single" w:sz="4" w:space="0" w:color="auto"/>
                  <w:bottom w:val="single" w:sz="4" w:space="0" w:color="auto"/>
                  <w:right w:val="single" w:sz="4" w:space="0" w:color="auto"/>
                </w:tcBorders>
              </w:tcPr>
              <w:p w14:paraId="066F0EA8" w14:textId="77777777" w:rsidR="00471D53" w:rsidRDefault="00B664AF" w:rsidP="00471D53">
                <w:pPr>
                  <w:jc w:val="right"/>
                  <w:rPr>
                    <w:szCs w:val="21"/>
                  </w:rPr>
                </w:pPr>
              </w:p>
            </w:tc>
            <w:tc>
              <w:tcPr>
                <w:tcW w:w="1729" w:type="pct"/>
                <w:tcBorders>
                  <w:top w:val="single" w:sz="4" w:space="0" w:color="auto"/>
                  <w:left w:val="single" w:sz="4" w:space="0" w:color="auto"/>
                  <w:bottom w:val="single" w:sz="4" w:space="0" w:color="auto"/>
                  <w:right w:val="single" w:sz="4" w:space="0" w:color="auto"/>
                </w:tcBorders>
              </w:tcPr>
              <w:p w14:paraId="6D91FFF2" w14:textId="77777777" w:rsidR="00471D53" w:rsidRDefault="00B664AF" w:rsidP="00471D53">
                <w:pPr>
                  <w:jc w:val="right"/>
                  <w:rPr>
                    <w:szCs w:val="21"/>
                  </w:rPr>
                </w:pPr>
              </w:p>
            </w:tc>
          </w:tr>
          <w:sdt>
            <w:sdtPr>
              <w:rPr>
                <w:rFonts w:hint="eastAsia"/>
                <w:szCs w:val="21"/>
              </w:rPr>
              <w:alias w:val="其他流动负债明细"/>
              <w:tag w:val="_GBC_6ad57a8cdfbd4161b9e29fe9e473fce8"/>
              <w:id w:val="921305504"/>
            </w:sdtPr>
            <w:sdtEndPr/>
            <w:sdtContent>
              <w:tr w:rsidR="00471D53" w14:paraId="2F359192" w14:textId="77777777" w:rsidTr="00471D53">
                <w:trPr>
                  <w:jc w:val="center"/>
                </w:trPr>
                <w:tc>
                  <w:tcPr>
                    <w:tcW w:w="1548" w:type="pct"/>
                    <w:tcBorders>
                      <w:top w:val="single" w:sz="4" w:space="0" w:color="auto"/>
                      <w:left w:val="single" w:sz="4" w:space="0" w:color="auto"/>
                      <w:bottom w:val="single" w:sz="4" w:space="0" w:color="auto"/>
                      <w:right w:val="single" w:sz="4" w:space="0" w:color="auto"/>
                    </w:tcBorders>
                  </w:tcPr>
                  <w:p w14:paraId="5C13312B" w14:textId="77777777" w:rsidR="00471D53" w:rsidRDefault="004F686E" w:rsidP="00471D53">
                    <w:pPr>
                      <w:rPr>
                        <w:szCs w:val="21"/>
                      </w:rPr>
                    </w:pPr>
                    <w:r>
                      <w:t>待转销项税额</w:t>
                    </w:r>
                  </w:p>
                </w:tc>
                <w:tc>
                  <w:tcPr>
                    <w:tcW w:w="1723" w:type="pct"/>
                    <w:tcBorders>
                      <w:top w:val="single" w:sz="4" w:space="0" w:color="auto"/>
                      <w:left w:val="single" w:sz="4" w:space="0" w:color="auto"/>
                      <w:bottom w:val="single" w:sz="4" w:space="0" w:color="auto"/>
                      <w:right w:val="single" w:sz="4" w:space="0" w:color="auto"/>
                    </w:tcBorders>
                  </w:tcPr>
                  <w:p w14:paraId="675215B0" w14:textId="77777777" w:rsidR="00471D53" w:rsidRDefault="004F686E" w:rsidP="00471D53">
                    <w:pPr>
                      <w:jc w:val="right"/>
                      <w:rPr>
                        <w:szCs w:val="21"/>
                      </w:rPr>
                    </w:pPr>
                    <w:r>
                      <w:t>4,157,447.04</w:t>
                    </w:r>
                  </w:p>
                </w:tc>
                <w:tc>
                  <w:tcPr>
                    <w:tcW w:w="1729" w:type="pct"/>
                    <w:tcBorders>
                      <w:top w:val="single" w:sz="4" w:space="0" w:color="auto"/>
                      <w:left w:val="single" w:sz="4" w:space="0" w:color="auto"/>
                      <w:bottom w:val="single" w:sz="4" w:space="0" w:color="auto"/>
                      <w:right w:val="single" w:sz="4" w:space="0" w:color="auto"/>
                    </w:tcBorders>
                  </w:tcPr>
                  <w:p w14:paraId="5316DD53" w14:textId="77777777" w:rsidR="00471D53" w:rsidRDefault="004F686E" w:rsidP="00471D53">
                    <w:pPr>
                      <w:jc w:val="right"/>
                      <w:rPr>
                        <w:szCs w:val="21"/>
                      </w:rPr>
                    </w:pPr>
                    <w:r>
                      <w:t>8,472,856.14</w:t>
                    </w:r>
                  </w:p>
                </w:tc>
              </w:tr>
            </w:sdtContent>
          </w:sdt>
          <w:tr w:rsidR="00471D53" w:rsidRPr="00BB7EB6" w14:paraId="603137D3" w14:textId="77777777" w:rsidTr="00471D53">
            <w:trPr>
              <w:jc w:val="center"/>
            </w:trPr>
            <w:sdt>
              <w:sdtPr>
                <w:tag w:val="_PLD_3835b041db764a298b09897ff76b9cf1"/>
                <w:id w:val="-1848241739"/>
                <w:lock w:val="sdtLocked"/>
              </w:sdtPr>
              <w:sdtEndPr/>
              <w:sdtContent>
                <w:tc>
                  <w:tcPr>
                    <w:tcW w:w="1548" w:type="pct"/>
                    <w:tcBorders>
                      <w:top w:val="single" w:sz="4" w:space="0" w:color="auto"/>
                      <w:left w:val="single" w:sz="4" w:space="0" w:color="auto"/>
                      <w:bottom w:val="single" w:sz="4" w:space="0" w:color="auto"/>
                      <w:right w:val="single" w:sz="4" w:space="0" w:color="auto"/>
                    </w:tcBorders>
                  </w:tcPr>
                  <w:p w14:paraId="6DBF96B5" w14:textId="77777777" w:rsidR="00471D53" w:rsidRDefault="004F686E" w:rsidP="00471D53">
                    <w:pPr>
                      <w:jc w:val="center"/>
                      <w:rPr>
                        <w:szCs w:val="21"/>
                      </w:rPr>
                    </w:pPr>
                    <w:r>
                      <w:rPr>
                        <w:rFonts w:hint="eastAsia"/>
                        <w:szCs w:val="21"/>
                      </w:rPr>
                      <w:t>合计</w:t>
                    </w:r>
                  </w:p>
                </w:tc>
              </w:sdtContent>
            </w:sdt>
            <w:tc>
              <w:tcPr>
                <w:tcW w:w="1723" w:type="pct"/>
                <w:tcBorders>
                  <w:top w:val="single" w:sz="4" w:space="0" w:color="auto"/>
                  <w:left w:val="single" w:sz="4" w:space="0" w:color="auto"/>
                  <w:bottom w:val="single" w:sz="4" w:space="0" w:color="auto"/>
                  <w:right w:val="single" w:sz="4" w:space="0" w:color="auto"/>
                </w:tcBorders>
              </w:tcPr>
              <w:p w14:paraId="72E8801D" w14:textId="77777777" w:rsidR="00471D53" w:rsidRDefault="004F686E" w:rsidP="00471D53">
                <w:pPr>
                  <w:jc w:val="right"/>
                  <w:rPr>
                    <w:szCs w:val="21"/>
                  </w:rPr>
                </w:pPr>
                <w:r>
                  <w:t>4,157,447.04</w:t>
                </w:r>
              </w:p>
            </w:tc>
            <w:tc>
              <w:tcPr>
                <w:tcW w:w="1729" w:type="pct"/>
                <w:tcBorders>
                  <w:top w:val="single" w:sz="4" w:space="0" w:color="auto"/>
                  <w:left w:val="single" w:sz="4" w:space="0" w:color="auto"/>
                  <w:bottom w:val="single" w:sz="4" w:space="0" w:color="auto"/>
                  <w:right w:val="single" w:sz="4" w:space="0" w:color="auto"/>
                </w:tcBorders>
              </w:tcPr>
              <w:p w14:paraId="5C87C8DA" w14:textId="77777777" w:rsidR="00471D53" w:rsidRDefault="004F686E" w:rsidP="00471D53">
                <w:pPr>
                  <w:jc w:val="right"/>
                  <w:rPr>
                    <w:szCs w:val="21"/>
                  </w:rPr>
                </w:pPr>
                <w:r>
                  <w:t>8,472,856.14</w:t>
                </w:r>
              </w:p>
            </w:tc>
          </w:tr>
        </w:tbl>
        <w:p w14:paraId="5B377151" w14:textId="77777777" w:rsidR="00471D53" w:rsidRPr="00BB7EB6" w:rsidRDefault="00B664AF" w:rsidP="00471D53"/>
      </w:sdtContent>
    </w:sdt>
    <w:bookmarkEnd w:id="198"/>
    <w:p w14:paraId="29B1D72F" w14:textId="77777777" w:rsidR="00471D53" w:rsidRDefault="00B664AF">
      <w:pPr>
        <w:rPr>
          <w:szCs w:val="21"/>
        </w:rPr>
      </w:pPr>
    </w:p>
    <w:sdt>
      <w:sdtPr>
        <w:rPr>
          <w:rFonts w:hint="eastAsia"/>
          <w:bCs/>
          <w:szCs w:val="22"/>
        </w:rPr>
        <w:alias w:val="模块:短期应付债券的增减变动"/>
        <w:tag w:val="_GBC_4577b030bbab4faa991328e6acd5a589"/>
        <w:id w:val="-2021158731"/>
        <w:lock w:val="sdtLocked"/>
        <w:placeholder>
          <w:docPart w:val="GBC22222222222222222222222222222"/>
        </w:placeholder>
      </w:sdtPr>
      <w:sdtEndPr>
        <w:rPr>
          <w:rFonts w:cstheme="minorBidi" w:hint="default"/>
          <w:bCs w:val="0"/>
          <w:color w:val="000000" w:themeColor="text1"/>
          <w:kern w:val="2"/>
          <w:szCs w:val="21"/>
        </w:rPr>
      </w:sdtEndPr>
      <w:sdtContent>
        <w:p w14:paraId="2698E4DE" w14:textId="77777777" w:rsidR="00471D53" w:rsidRDefault="004F686E">
          <w:r>
            <w:rPr>
              <w:rFonts w:hint="eastAsia"/>
            </w:rPr>
            <w:t>短期</w:t>
          </w:r>
          <w:r>
            <w:t>应付债券的增减变动</w:t>
          </w:r>
          <w:r>
            <w:rPr>
              <w:rFonts w:hint="eastAsia"/>
            </w:rPr>
            <w:t>：</w:t>
          </w:r>
        </w:p>
        <w:sdt>
          <w:sdtPr>
            <w:alias w:val="是否适用：短期应付债券的增减变动[双击切换]"/>
            <w:tag w:val="_GBC_82d0c6ce58744d20918b6a0221dbac6b"/>
            <w:id w:val="-68659619"/>
            <w:lock w:val="sdtLocked"/>
            <w:placeholder>
              <w:docPart w:val="GBC22222222222222222222222222222"/>
            </w:placeholder>
          </w:sdtPr>
          <w:sdtEndPr/>
          <w:sdtContent>
            <w:p w14:paraId="5290D45E" w14:textId="77777777" w:rsidR="00471D53" w:rsidRDefault="004F686E" w:rsidP="00471D53">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szCs w:val="21"/>
        </w:rPr>
        <w:alias w:val="模块:其他流动负债说明"/>
        <w:tag w:val="_GBC_b1cb6faf7bad41e4868a075c1a423566"/>
        <w:id w:val="1430234646"/>
        <w:lock w:val="sdtLocked"/>
        <w:placeholder>
          <w:docPart w:val="GBC22222222222222222222222222222"/>
        </w:placeholder>
      </w:sdtPr>
      <w:sdtEndPr>
        <w:rPr>
          <w:rFonts w:hint="default"/>
          <w:color w:val="000000" w:themeColor="text1"/>
        </w:rPr>
      </w:sdtEndPr>
      <w:sdtContent>
        <w:p w14:paraId="1D012E57" w14:textId="77777777" w:rsidR="00471D53" w:rsidRDefault="004F686E">
          <w:pPr>
            <w:spacing w:before="60" w:after="60"/>
            <w:rPr>
              <w:szCs w:val="21"/>
            </w:rPr>
          </w:pPr>
          <w:r>
            <w:rPr>
              <w:rFonts w:hint="eastAsia"/>
              <w:szCs w:val="21"/>
            </w:rPr>
            <w:t>其他说明：</w:t>
          </w:r>
        </w:p>
        <w:sdt>
          <w:sdtPr>
            <w:rPr>
              <w:szCs w:val="21"/>
            </w:rPr>
            <w:alias w:val="是否适用：其他流动负债说明[双击切换]"/>
            <w:tag w:val="_GBC_6ebc9e220fb04ea584ed56f756d92d59"/>
            <w:id w:val="-663391633"/>
            <w:lock w:val="sdtLocked"/>
            <w:placeholder>
              <w:docPart w:val="GBC22222222222222222222222222222"/>
            </w:placeholder>
          </w:sdtPr>
          <w:sdtEndPr/>
          <w:sdtContent>
            <w:p w14:paraId="515B885C" w14:textId="77777777" w:rsidR="00471D53" w:rsidRDefault="004F686E" w:rsidP="00471D53">
              <w:pPr>
                <w:spacing w:before="60" w:after="60"/>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14:paraId="364124E0" w14:textId="77777777" w:rsidR="00471D53" w:rsidRDefault="00B664AF">
      <w:pPr>
        <w:rPr>
          <w:szCs w:val="21"/>
        </w:rPr>
      </w:pPr>
    </w:p>
    <w:p w14:paraId="7C308129"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长期借款</w:t>
      </w:r>
    </w:p>
    <w:sdt>
      <w:sdtPr>
        <w:rPr>
          <w:rFonts w:ascii="宋体" w:hAnsi="宋体" w:cs="宋体" w:hint="eastAsia"/>
          <w:b w:val="0"/>
          <w:bCs w:val="0"/>
          <w:kern w:val="0"/>
          <w:szCs w:val="22"/>
        </w:rPr>
        <w:alias w:val="模块:长期借款分类 "/>
        <w:tag w:val="_GBC_8b6acb9acc4745f09cf8ff1a98787eb9"/>
        <w:id w:val="-660461331"/>
        <w:lock w:val="sdtLocked"/>
        <w:placeholder>
          <w:docPart w:val="GBC22222222222222222222222222222"/>
        </w:placeholder>
      </w:sdtPr>
      <w:sdtEndPr>
        <w:rPr>
          <w:rFonts w:cstheme="minorBidi" w:hint="default"/>
          <w:color w:val="000000" w:themeColor="text1"/>
          <w:kern w:val="2"/>
          <w:szCs w:val="21"/>
        </w:rPr>
      </w:sdtEndPr>
      <w:sdtContent>
        <w:p w14:paraId="6BD7EF4A" w14:textId="77777777" w:rsidR="00471D53" w:rsidRDefault="004F686E" w:rsidP="004F686E">
          <w:pPr>
            <w:pStyle w:val="afffff8"/>
            <w:numPr>
              <w:ilvl w:val="0"/>
              <w:numId w:val="83"/>
            </w:numPr>
            <w:tabs>
              <w:tab w:val="left" w:pos="630"/>
            </w:tabs>
            <w:ind w:left="420"/>
            <w:rPr>
              <w:rFonts w:ascii="宋体" w:hAnsi="宋体"/>
              <w:szCs w:val="21"/>
            </w:rPr>
          </w:pPr>
          <w:r>
            <w:rPr>
              <w:rFonts w:ascii="宋体" w:hAnsi="宋体" w:hint="eastAsia"/>
              <w:szCs w:val="21"/>
            </w:rPr>
            <w:t>长期借款分类</w:t>
          </w:r>
        </w:p>
        <w:sdt>
          <w:sdtPr>
            <w:alias w:val="是否适用：长期借款分类[双击切换]"/>
            <w:tag w:val="_GBC_6ef43a5268e7491db189883a31952469"/>
            <w:id w:val="-143428049"/>
            <w:lock w:val="sdtLocked"/>
            <w:placeholder>
              <w:docPart w:val="GBC22222222222222222222222222222"/>
            </w:placeholder>
          </w:sdtPr>
          <w:sdtEndPr/>
          <w:sdtContent>
            <w:p w14:paraId="5603CB37"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AB95462" w14:textId="2AA6D608" w:rsidR="00471D53" w:rsidRDefault="004F686E">
          <w:pPr>
            <w:jc w:val="right"/>
            <w:rPr>
              <w:szCs w:val="21"/>
            </w:rPr>
          </w:pPr>
          <w:r>
            <w:rPr>
              <w:rFonts w:hint="eastAsia"/>
              <w:szCs w:val="21"/>
            </w:rPr>
            <w:t>单位：</w:t>
          </w:r>
          <w:sdt>
            <w:sdtPr>
              <w:rPr>
                <w:rFonts w:hint="eastAsia"/>
                <w:szCs w:val="21"/>
              </w:rPr>
              <w:alias w:val="单位：财务附注：长期借款分类"/>
              <w:tag w:val="_GBC_146f044f7fd14a45bf9247f0af389a14"/>
              <w:id w:val="11825577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长期借款分类"/>
              <w:tag w:val="_GBC_7570ad6f1fd04c3d939be649ce4cfc30"/>
              <w:id w:val="-11717226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75"/>
            <w:gridCol w:w="2975"/>
            <w:gridCol w:w="2873"/>
          </w:tblGrid>
          <w:tr w:rsidR="00471D53" w14:paraId="0F0C558E" w14:textId="77777777" w:rsidTr="00474A51">
            <w:trPr>
              <w:cantSplit/>
            </w:trPr>
            <w:sdt>
              <w:sdtPr>
                <w:tag w:val="_PLD_3ee60507a6384334b819485e73faa1f4"/>
                <w:id w:val="1926844541"/>
                <w:lock w:val="sdtLocked"/>
              </w:sdtPr>
              <w:sdtEndPr/>
              <w:sdtContent>
                <w:tc>
                  <w:tcPr>
                    <w:tcW w:w="1686" w:type="pct"/>
                  </w:tcPr>
                  <w:p w14:paraId="7537647A" w14:textId="77777777" w:rsidR="00471D53" w:rsidRDefault="004F686E">
                    <w:pPr>
                      <w:autoSpaceDE w:val="0"/>
                      <w:autoSpaceDN w:val="0"/>
                      <w:adjustRightInd w:val="0"/>
                      <w:snapToGrid w:val="0"/>
                      <w:jc w:val="center"/>
                      <w:rPr>
                        <w:szCs w:val="21"/>
                      </w:rPr>
                    </w:pPr>
                    <w:r>
                      <w:rPr>
                        <w:rFonts w:hint="eastAsia"/>
                        <w:szCs w:val="21"/>
                      </w:rPr>
                      <w:t>项目</w:t>
                    </w:r>
                  </w:p>
                </w:tc>
              </w:sdtContent>
            </w:sdt>
            <w:sdt>
              <w:sdtPr>
                <w:tag w:val="_PLD_d2a4fabfb296457384b1523a60233642"/>
                <w:id w:val="301046055"/>
                <w:lock w:val="sdtLocked"/>
              </w:sdtPr>
              <w:sdtEndPr/>
              <w:sdtContent>
                <w:tc>
                  <w:tcPr>
                    <w:tcW w:w="1686" w:type="pct"/>
                  </w:tcPr>
                  <w:p w14:paraId="33B644B2" w14:textId="77777777" w:rsidR="00471D53" w:rsidRDefault="004F686E">
                    <w:pPr>
                      <w:jc w:val="center"/>
                      <w:rPr>
                        <w:szCs w:val="21"/>
                      </w:rPr>
                    </w:pPr>
                    <w:r>
                      <w:rPr>
                        <w:rFonts w:hint="eastAsia"/>
                        <w:szCs w:val="21"/>
                      </w:rPr>
                      <w:t>期末余额</w:t>
                    </w:r>
                  </w:p>
                </w:tc>
              </w:sdtContent>
            </w:sdt>
            <w:sdt>
              <w:sdtPr>
                <w:tag w:val="_PLD_aab598d4b37f4953a2ee9b7475cb43e6"/>
                <w:id w:val="-1017006464"/>
                <w:lock w:val="sdtLocked"/>
              </w:sdtPr>
              <w:sdtEndPr/>
              <w:sdtContent>
                <w:tc>
                  <w:tcPr>
                    <w:tcW w:w="1628" w:type="pct"/>
                  </w:tcPr>
                  <w:p w14:paraId="2BBA4BDE" w14:textId="77777777" w:rsidR="00471D53" w:rsidRDefault="004F686E">
                    <w:pPr>
                      <w:jc w:val="center"/>
                      <w:rPr>
                        <w:szCs w:val="21"/>
                      </w:rPr>
                    </w:pPr>
                    <w:r>
                      <w:rPr>
                        <w:rFonts w:hint="eastAsia"/>
                        <w:szCs w:val="21"/>
                      </w:rPr>
                      <w:t>期初余额</w:t>
                    </w:r>
                  </w:p>
                </w:tc>
              </w:sdtContent>
            </w:sdt>
          </w:tr>
          <w:tr w:rsidR="00471D53" w14:paraId="168FD8AF" w14:textId="77777777" w:rsidTr="00474A51">
            <w:trPr>
              <w:cantSplit/>
            </w:trPr>
            <w:sdt>
              <w:sdtPr>
                <w:tag w:val="_PLD_e89d9c6de3ff4da98f7949a63d0f927d"/>
                <w:id w:val="-1558549696"/>
                <w:lock w:val="sdtLocked"/>
              </w:sdtPr>
              <w:sdtEndPr/>
              <w:sdtContent>
                <w:tc>
                  <w:tcPr>
                    <w:tcW w:w="1686" w:type="pct"/>
                    <w:shd w:val="clear" w:color="auto" w:fill="auto"/>
                  </w:tcPr>
                  <w:p w14:paraId="673AD82A" w14:textId="77777777" w:rsidR="00471D53" w:rsidRDefault="004F686E">
                    <w:pPr>
                      <w:autoSpaceDE w:val="0"/>
                      <w:autoSpaceDN w:val="0"/>
                      <w:adjustRightInd w:val="0"/>
                      <w:snapToGrid w:val="0"/>
                      <w:jc w:val="both"/>
                      <w:rPr>
                        <w:szCs w:val="21"/>
                      </w:rPr>
                    </w:pPr>
                    <w:r>
                      <w:rPr>
                        <w:rFonts w:hint="eastAsia"/>
                        <w:szCs w:val="21"/>
                      </w:rPr>
                      <w:t>质押借款</w:t>
                    </w:r>
                  </w:p>
                </w:tc>
              </w:sdtContent>
            </w:sdt>
            <w:tc>
              <w:tcPr>
                <w:tcW w:w="1686" w:type="pct"/>
                <w:shd w:val="clear" w:color="auto" w:fill="auto"/>
              </w:tcPr>
              <w:p w14:paraId="4BEFBD5E" w14:textId="77777777" w:rsidR="00471D53" w:rsidRDefault="00B664AF">
                <w:pPr>
                  <w:autoSpaceDE w:val="0"/>
                  <w:autoSpaceDN w:val="0"/>
                  <w:adjustRightInd w:val="0"/>
                  <w:snapToGrid w:val="0"/>
                  <w:ind w:right="180"/>
                  <w:jc w:val="right"/>
                  <w:rPr>
                    <w:szCs w:val="21"/>
                  </w:rPr>
                </w:pPr>
              </w:p>
            </w:tc>
            <w:tc>
              <w:tcPr>
                <w:tcW w:w="1628" w:type="pct"/>
                <w:shd w:val="clear" w:color="auto" w:fill="auto"/>
              </w:tcPr>
              <w:p w14:paraId="4740A893" w14:textId="77777777" w:rsidR="00471D53" w:rsidRDefault="00B664AF">
                <w:pPr>
                  <w:jc w:val="right"/>
                  <w:rPr>
                    <w:szCs w:val="21"/>
                  </w:rPr>
                </w:pPr>
              </w:p>
            </w:tc>
          </w:tr>
          <w:tr w:rsidR="00471D53" w14:paraId="21AF642C" w14:textId="77777777" w:rsidTr="00474A51">
            <w:trPr>
              <w:cantSplit/>
            </w:trPr>
            <w:sdt>
              <w:sdtPr>
                <w:tag w:val="_PLD_0b1001d1355e4c59a134f674ebe8204e"/>
                <w:id w:val="-706326935"/>
                <w:lock w:val="sdtLocked"/>
              </w:sdtPr>
              <w:sdtEndPr/>
              <w:sdtContent>
                <w:tc>
                  <w:tcPr>
                    <w:tcW w:w="1686" w:type="pct"/>
                    <w:shd w:val="clear" w:color="auto" w:fill="auto"/>
                  </w:tcPr>
                  <w:p w14:paraId="27787DC7" w14:textId="77777777" w:rsidR="00471D53" w:rsidRDefault="004F686E">
                    <w:pPr>
                      <w:autoSpaceDE w:val="0"/>
                      <w:autoSpaceDN w:val="0"/>
                      <w:adjustRightInd w:val="0"/>
                      <w:snapToGrid w:val="0"/>
                      <w:jc w:val="both"/>
                      <w:rPr>
                        <w:szCs w:val="21"/>
                      </w:rPr>
                    </w:pPr>
                    <w:r>
                      <w:rPr>
                        <w:rFonts w:hint="eastAsia"/>
                        <w:szCs w:val="21"/>
                      </w:rPr>
                      <w:t>抵押借款</w:t>
                    </w:r>
                  </w:p>
                </w:tc>
              </w:sdtContent>
            </w:sdt>
            <w:tc>
              <w:tcPr>
                <w:tcW w:w="1686" w:type="pct"/>
                <w:shd w:val="clear" w:color="auto" w:fill="auto"/>
              </w:tcPr>
              <w:p w14:paraId="508FBFC4" w14:textId="77777777" w:rsidR="00471D53" w:rsidRDefault="00B664AF">
                <w:pPr>
                  <w:autoSpaceDE w:val="0"/>
                  <w:autoSpaceDN w:val="0"/>
                  <w:adjustRightInd w:val="0"/>
                  <w:snapToGrid w:val="0"/>
                  <w:ind w:right="180"/>
                  <w:jc w:val="right"/>
                  <w:rPr>
                    <w:szCs w:val="21"/>
                  </w:rPr>
                </w:pPr>
              </w:p>
            </w:tc>
            <w:tc>
              <w:tcPr>
                <w:tcW w:w="1628" w:type="pct"/>
                <w:shd w:val="clear" w:color="auto" w:fill="auto"/>
              </w:tcPr>
              <w:p w14:paraId="35BCA915" w14:textId="77777777" w:rsidR="00471D53" w:rsidRDefault="00B664AF">
                <w:pPr>
                  <w:jc w:val="right"/>
                  <w:rPr>
                    <w:szCs w:val="21"/>
                  </w:rPr>
                </w:pPr>
              </w:p>
            </w:tc>
          </w:tr>
          <w:tr w:rsidR="00471D53" w14:paraId="5D9A5758" w14:textId="77777777" w:rsidTr="00474A51">
            <w:trPr>
              <w:cantSplit/>
            </w:trPr>
            <w:sdt>
              <w:sdtPr>
                <w:tag w:val="_PLD_669e61b5dd004cb5a74065b7b27bba92"/>
                <w:id w:val="1483190743"/>
                <w:lock w:val="sdtLocked"/>
              </w:sdtPr>
              <w:sdtEndPr/>
              <w:sdtContent>
                <w:tc>
                  <w:tcPr>
                    <w:tcW w:w="1686" w:type="pct"/>
                    <w:shd w:val="clear" w:color="auto" w:fill="auto"/>
                  </w:tcPr>
                  <w:p w14:paraId="60A2A1C8" w14:textId="77777777" w:rsidR="00471D53" w:rsidRDefault="004F686E">
                    <w:pPr>
                      <w:autoSpaceDE w:val="0"/>
                      <w:autoSpaceDN w:val="0"/>
                      <w:adjustRightInd w:val="0"/>
                      <w:snapToGrid w:val="0"/>
                      <w:jc w:val="both"/>
                      <w:rPr>
                        <w:szCs w:val="21"/>
                      </w:rPr>
                    </w:pPr>
                    <w:r>
                      <w:rPr>
                        <w:rFonts w:hint="eastAsia"/>
                        <w:szCs w:val="21"/>
                      </w:rPr>
                      <w:t>保证借款</w:t>
                    </w:r>
                  </w:p>
                </w:tc>
              </w:sdtContent>
            </w:sdt>
            <w:tc>
              <w:tcPr>
                <w:tcW w:w="1686" w:type="pct"/>
                <w:shd w:val="clear" w:color="auto" w:fill="auto"/>
              </w:tcPr>
              <w:p w14:paraId="226E3F31" w14:textId="77777777" w:rsidR="00471D53" w:rsidRDefault="00B664AF">
                <w:pPr>
                  <w:autoSpaceDE w:val="0"/>
                  <w:autoSpaceDN w:val="0"/>
                  <w:adjustRightInd w:val="0"/>
                  <w:snapToGrid w:val="0"/>
                  <w:ind w:right="180"/>
                  <w:jc w:val="right"/>
                  <w:rPr>
                    <w:szCs w:val="21"/>
                  </w:rPr>
                </w:pPr>
              </w:p>
            </w:tc>
            <w:tc>
              <w:tcPr>
                <w:tcW w:w="1628" w:type="pct"/>
                <w:shd w:val="clear" w:color="auto" w:fill="auto"/>
              </w:tcPr>
              <w:p w14:paraId="7A7B0C78" w14:textId="77777777" w:rsidR="00471D53" w:rsidRDefault="00B664AF">
                <w:pPr>
                  <w:jc w:val="right"/>
                  <w:rPr>
                    <w:szCs w:val="21"/>
                  </w:rPr>
                </w:pPr>
              </w:p>
            </w:tc>
          </w:tr>
          <w:tr w:rsidR="00471D53" w14:paraId="4A211D39" w14:textId="77777777" w:rsidTr="00471D53">
            <w:trPr>
              <w:cantSplit/>
            </w:trPr>
            <w:sdt>
              <w:sdtPr>
                <w:tag w:val="_PLD_2312ba41d50b4809827a433abcf13e0a"/>
                <w:id w:val="-127860384"/>
                <w:lock w:val="sdtLocked"/>
              </w:sdtPr>
              <w:sdtEndPr/>
              <w:sdtContent>
                <w:tc>
                  <w:tcPr>
                    <w:tcW w:w="1686" w:type="pct"/>
                    <w:shd w:val="clear" w:color="auto" w:fill="auto"/>
                  </w:tcPr>
                  <w:p w14:paraId="0515BFA3" w14:textId="77777777" w:rsidR="00471D53" w:rsidRDefault="004F686E">
                    <w:pPr>
                      <w:autoSpaceDE w:val="0"/>
                      <w:autoSpaceDN w:val="0"/>
                      <w:adjustRightInd w:val="0"/>
                      <w:snapToGrid w:val="0"/>
                      <w:jc w:val="both"/>
                      <w:rPr>
                        <w:szCs w:val="21"/>
                      </w:rPr>
                    </w:pPr>
                    <w:r>
                      <w:rPr>
                        <w:rFonts w:hint="eastAsia"/>
                        <w:szCs w:val="21"/>
                      </w:rPr>
                      <w:t>信用借款</w:t>
                    </w:r>
                  </w:p>
                </w:tc>
              </w:sdtContent>
            </w:sdt>
            <w:tc>
              <w:tcPr>
                <w:tcW w:w="1686" w:type="pct"/>
                <w:shd w:val="clear" w:color="auto" w:fill="auto"/>
                <w:vAlign w:val="center"/>
              </w:tcPr>
              <w:p w14:paraId="7FB0543B" w14:textId="77777777" w:rsidR="00471D53" w:rsidRDefault="00B664AF" w:rsidP="00471D53">
                <w:pPr>
                  <w:jc w:val="right"/>
                  <w:rPr>
                    <w:sz w:val="22"/>
                    <w:szCs w:val="22"/>
                  </w:rPr>
                </w:pPr>
              </w:p>
            </w:tc>
            <w:tc>
              <w:tcPr>
                <w:tcW w:w="1628" w:type="pct"/>
                <w:shd w:val="clear" w:color="auto" w:fill="auto"/>
                <w:vAlign w:val="center"/>
              </w:tcPr>
              <w:p w14:paraId="2A9C52CC" w14:textId="77777777" w:rsidR="00471D53" w:rsidRDefault="004F686E" w:rsidP="00471D53">
                <w:pPr>
                  <w:jc w:val="right"/>
                  <w:rPr>
                    <w:sz w:val="22"/>
                    <w:szCs w:val="22"/>
                  </w:rPr>
                </w:pPr>
                <w:r>
                  <w:rPr>
                    <w:rFonts w:cs="Calibri" w:hint="eastAsia"/>
                    <w:sz w:val="22"/>
                    <w:szCs w:val="22"/>
                  </w:rPr>
                  <w:t>1,154,907.30</w:t>
                </w:r>
              </w:p>
            </w:tc>
          </w:tr>
          <w:tr w:rsidR="00471D53" w14:paraId="6AB25A48" w14:textId="77777777" w:rsidTr="00471D53">
            <w:trPr>
              <w:cantSplit/>
            </w:trPr>
            <w:sdt>
              <w:sdtPr>
                <w:tag w:val="_PLD_f7e631a83103405986891624f37b155a"/>
                <w:id w:val="313148269"/>
                <w:lock w:val="sdtLocked"/>
              </w:sdtPr>
              <w:sdtEndPr/>
              <w:sdtContent>
                <w:tc>
                  <w:tcPr>
                    <w:tcW w:w="1686" w:type="pct"/>
                    <w:vAlign w:val="center"/>
                  </w:tcPr>
                  <w:p w14:paraId="736AE7A0" w14:textId="77777777" w:rsidR="00471D53" w:rsidRDefault="004F686E">
                    <w:pPr>
                      <w:autoSpaceDE w:val="0"/>
                      <w:autoSpaceDN w:val="0"/>
                      <w:adjustRightInd w:val="0"/>
                      <w:snapToGrid w:val="0"/>
                      <w:jc w:val="center"/>
                      <w:rPr>
                        <w:szCs w:val="21"/>
                      </w:rPr>
                    </w:pPr>
                    <w:r>
                      <w:rPr>
                        <w:rFonts w:hint="eastAsia"/>
                        <w:szCs w:val="21"/>
                      </w:rPr>
                      <w:t>合计</w:t>
                    </w:r>
                  </w:p>
                </w:tc>
              </w:sdtContent>
            </w:sdt>
            <w:tc>
              <w:tcPr>
                <w:tcW w:w="1686" w:type="pct"/>
                <w:vAlign w:val="center"/>
              </w:tcPr>
              <w:p w14:paraId="76B35F2F" w14:textId="77777777" w:rsidR="00471D53" w:rsidRDefault="00B664AF" w:rsidP="00471D53">
                <w:pPr>
                  <w:jc w:val="right"/>
                  <w:rPr>
                    <w:sz w:val="22"/>
                    <w:szCs w:val="22"/>
                  </w:rPr>
                </w:pPr>
              </w:p>
            </w:tc>
            <w:tc>
              <w:tcPr>
                <w:tcW w:w="1628" w:type="pct"/>
                <w:vAlign w:val="center"/>
              </w:tcPr>
              <w:p w14:paraId="5A5785BC" w14:textId="77777777" w:rsidR="00471D53" w:rsidRDefault="004F686E" w:rsidP="00471D53">
                <w:pPr>
                  <w:jc w:val="right"/>
                  <w:rPr>
                    <w:sz w:val="22"/>
                    <w:szCs w:val="22"/>
                  </w:rPr>
                </w:pPr>
                <w:r>
                  <w:rPr>
                    <w:rFonts w:cs="Calibri" w:hint="eastAsia"/>
                    <w:sz w:val="22"/>
                    <w:szCs w:val="22"/>
                  </w:rPr>
                  <w:t>1,154,907.30</w:t>
                </w:r>
              </w:p>
            </w:tc>
          </w:tr>
        </w:tbl>
        <w:p w14:paraId="573E65F4" w14:textId="77777777" w:rsidR="00471D53" w:rsidRDefault="004F686E">
          <w:pPr>
            <w:snapToGrid w:val="0"/>
            <w:spacing w:before="60" w:after="60" w:line="240" w:lineRule="atLeast"/>
            <w:rPr>
              <w:szCs w:val="21"/>
            </w:rPr>
          </w:pPr>
          <w:r>
            <w:rPr>
              <w:rFonts w:hint="eastAsia"/>
              <w:szCs w:val="21"/>
            </w:rPr>
            <w:t>长期借款分类的说明：</w:t>
          </w:r>
        </w:p>
        <w:sdt>
          <w:sdtPr>
            <w:rPr>
              <w:szCs w:val="21"/>
            </w:rPr>
            <w:alias w:val="长期借款分类的说明"/>
            <w:tag w:val="_GBC_c93626a5eade42f48eca926da85f3afb"/>
            <w:id w:val="207150604"/>
            <w:lock w:val="sdtLocked"/>
            <w:placeholder>
              <w:docPart w:val="GBC22222222222222222222222222222"/>
            </w:placeholder>
          </w:sdtPr>
          <w:sdtEndPr/>
          <w:sdtContent>
            <w:p w14:paraId="0FDA2DC4" w14:textId="55B906EE" w:rsidR="00471D53" w:rsidRDefault="004F686E" w:rsidP="00471D53">
              <w:pPr>
                <w:snapToGrid w:val="0"/>
                <w:ind w:firstLineChars="200" w:firstLine="420"/>
                <w:rPr>
                  <w:rFonts w:cstheme="minorBidi"/>
                  <w:color w:val="000000" w:themeColor="text1"/>
                  <w:kern w:val="2"/>
                  <w:szCs w:val="21"/>
                </w:rPr>
              </w:pPr>
              <w:r>
                <w:rPr>
                  <w:sz w:val="22"/>
                  <w:szCs w:val="22"/>
                </w:rPr>
                <w:t>2020年4月21日，本公司之下属公司天海美洲公司与SouthwesternNationalBank签订合同编号6432127105/7410400贷款协议，借款金额为17.7万美元，借款期限24个月。</w:t>
              </w:r>
              <w:r w:rsidRPr="009A3EC3">
                <w:rPr>
                  <w:rFonts w:hint="eastAsia"/>
                  <w:sz w:val="22"/>
                  <w:szCs w:val="22"/>
                </w:rPr>
                <w:t>此借款是美国政府支持的薪资保护计划贷款，</w:t>
              </w:r>
              <w:r w:rsidRPr="009A3EC3">
                <w:rPr>
                  <w:sz w:val="22"/>
                  <w:szCs w:val="22"/>
                </w:rPr>
                <w:t>2021年3月份SBA已批准豁免，无需偿还。</w:t>
              </w:r>
            </w:p>
          </w:sdtContent>
        </w:sdt>
      </w:sdtContent>
    </w:sdt>
    <w:p w14:paraId="20877F0D" w14:textId="77777777" w:rsidR="00471D53" w:rsidRDefault="00B664AF">
      <w:pPr>
        <w:snapToGrid w:val="0"/>
        <w:rPr>
          <w:rFonts w:cstheme="minorBidi"/>
          <w:color w:val="000000" w:themeColor="text1"/>
          <w:kern w:val="2"/>
          <w:szCs w:val="21"/>
        </w:rPr>
      </w:pPr>
    </w:p>
    <w:sdt>
      <w:sdtPr>
        <w:rPr>
          <w:rFonts w:hint="eastAsia"/>
          <w:color w:val="000000" w:themeColor="text1"/>
          <w:szCs w:val="21"/>
        </w:rPr>
        <w:alias w:val="模块:长期借款的说明"/>
        <w:tag w:val="_GBC_7195bfed3c6d4a6fb2b17f01aa73f311"/>
        <w:id w:val="-1966576772"/>
        <w:lock w:val="sdtLocked"/>
        <w:placeholder>
          <w:docPart w:val="GBC22222222222222222222222222222"/>
        </w:placeholder>
      </w:sdtPr>
      <w:sdtEndPr>
        <w:rPr>
          <w:rFonts w:hint="default"/>
          <w:color w:val="auto"/>
        </w:rPr>
      </w:sdtEndPr>
      <w:sdtContent>
        <w:p w14:paraId="0921CCF3" w14:textId="77777777" w:rsidR="00471D53" w:rsidRDefault="004F686E">
          <w:pPr>
            <w:snapToGrid w:val="0"/>
            <w:rPr>
              <w:color w:val="000000" w:themeColor="text1"/>
              <w:szCs w:val="21"/>
            </w:rPr>
          </w:pPr>
          <w:r>
            <w:rPr>
              <w:rFonts w:hint="eastAsia"/>
              <w:color w:val="000000" w:themeColor="text1"/>
              <w:szCs w:val="21"/>
            </w:rPr>
            <w:t>其他说明，包括利率区间：</w:t>
          </w:r>
        </w:p>
        <w:sdt>
          <w:sdtPr>
            <w:rPr>
              <w:color w:val="000000" w:themeColor="text1"/>
              <w:szCs w:val="21"/>
            </w:rPr>
            <w:alias w:val="是否适用：长期借款的说明[双击切换]"/>
            <w:tag w:val="_GBC_1dc67be6516c4de3956a80023674c75a"/>
            <w:id w:val="1457531158"/>
            <w:lock w:val="sdtLocked"/>
            <w:placeholder>
              <w:docPart w:val="GBC22222222222222222222222222222"/>
            </w:placeholder>
          </w:sdtPr>
          <w:sdtEndPr/>
          <w:sdtContent>
            <w:p w14:paraId="70C034BB" w14:textId="77777777" w:rsidR="00471D53" w:rsidRDefault="004F686E" w:rsidP="00471D53">
              <w:pPr>
                <w:snapToGrid w:val="0"/>
                <w:rPr>
                  <w:szCs w:val="21"/>
                </w:rPr>
              </w:pPr>
              <w:r>
                <w:rPr>
                  <w:color w:val="000000" w:themeColor="text1"/>
                  <w:szCs w:val="21"/>
                </w:rPr>
                <w:fldChar w:fldCharType="begin"/>
              </w:r>
              <w:r>
                <w:rPr>
                  <w:color w:val="000000" w:themeColor="text1"/>
                  <w:szCs w:val="21"/>
                </w:rPr>
                <w:instrText xml:space="preserve"> MACROBUTTON  SnrToggleCheckbox □适用 </w:instrText>
              </w:r>
              <w:r>
                <w:rPr>
                  <w:color w:val="000000" w:themeColor="text1"/>
                  <w:szCs w:val="21"/>
                </w:rPr>
                <w:fldChar w:fldCharType="end"/>
              </w:r>
              <w:r>
                <w:rPr>
                  <w:color w:val="000000" w:themeColor="text1"/>
                  <w:szCs w:val="21"/>
                </w:rPr>
                <w:fldChar w:fldCharType="begin"/>
              </w:r>
              <w:r>
                <w:rPr>
                  <w:color w:val="000000" w:themeColor="text1"/>
                  <w:szCs w:val="21"/>
                </w:rPr>
                <w:instrText xml:space="preserve"> MACROBUTTON  SnrToggleCheckbox √不适用 </w:instrText>
              </w:r>
              <w:r>
                <w:rPr>
                  <w:color w:val="000000" w:themeColor="text1"/>
                  <w:szCs w:val="21"/>
                </w:rPr>
                <w:fldChar w:fldCharType="end"/>
              </w:r>
            </w:p>
          </w:sdtContent>
        </w:sdt>
      </w:sdtContent>
    </w:sdt>
    <w:p w14:paraId="3C71F627" w14:textId="77777777" w:rsidR="00471D53" w:rsidRDefault="00B664AF">
      <w:pPr>
        <w:rPr>
          <w:szCs w:val="21"/>
        </w:rPr>
      </w:pPr>
    </w:p>
    <w:p w14:paraId="7AFD177F"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应付债券</w:t>
      </w:r>
    </w:p>
    <w:sdt>
      <w:sdtPr>
        <w:rPr>
          <w:rFonts w:ascii="宋体" w:hAnsi="宋体" w:cs="宋体" w:hint="eastAsia"/>
          <w:b w:val="0"/>
          <w:bCs w:val="0"/>
          <w:kern w:val="0"/>
          <w:szCs w:val="24"/>
        </w:rPr>
        <w:alias w:val="模块:应付债券"/>
        <w:tag w:val="_GBC_cd8e29427b9b4eecb46188c744528e27"/>
        <w:id w:val="110018265"/>
        <w:lock w:val="sdtLocked"/>
        <w:placeholder>
          <w:docPart w:val="GBC22222222222222222222222222222"/>
        </w:placeholder>
      </w:sdtPr>
      <w:sdtEndPr/>
      <w:sdtContent>
        <w:p w14:paraId="5A7B6177" w14:textId="77777777" w:rsidR="00471D53" w:rsidRDefault="004F686E" w:rsidP="004F686E">
          <w:pPr>
            <w:pStyle w:val="afffff8"/>
            <w:numPr>
              <w:ilvl w:val="0"/>
              <w:numId w:val="84"/>
            </w:numPr>
            <w:tabs>
              <w:tab w:val="left" w:pos="672"/>
            </w:tabs>
            <w:rPr>
              <w:rFonts w:ascii="宋体" w:hAnsi="宋体"/>
            </w:rPr>
          </w:pPr>
          <w:r>
            <w:rPr>
              <w:rFonts w:ascii="宋体" w:hAnsi="宋体" w:hint="eastAsia"/>
            </w:rPr>
            <w:t>应付</w:t>
          </w:r>
          <w:r>
            <w:rPr>
              <w:rFonts w:ascii="宋体" w:hAnsi="宋体" w:hint="eastAsia"/>
              <w:szCs w:val="21"/>
            </w:rPr>
            <w:t>债券</w:t>
          </w:r>
        </w:p>
        <w:sdt>
          <w:sdtPr>
            <w:rPr>
              <w:rFonts w:hint="eastAsia"/>
            </w:rPr>
            <w:alias w:val="是否适用：应付债券[双击切换]"/>
            <w:tag w:val="_GBC_b07c291c892844efaca56bc1d52b1566"/>
            <w:id w:val="-906219552"/>
            <w:lock w:val="sdtLocked"/>
            <w:placeholder>
              <w:docPart w:val="GBC22222222222222222222222222222"/>
            </w:placeholder>
          </w:sdtPr>
          <w:sdtEndPr/>
          <w:sdtContent>
            <w:p w14:paraId="4A56F5A9"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theme="minorBidi"/>
          <w:b w:val="0"/>
          <w:bCs w:val="0"/>
          <w:kern w:val="0"/>
          <w:szCs w:val="22"/>
        </w:rPr>
        <w:alias w:val="模块:应付债券的增减变动"/>
        <w:tag w:val="_GBC_93c3424329ce41edbb49a50ffbdbc9d7"/>
        <w:id w:val="246851784"/>
        <w:lock w:val="sdtLocked"/>
        <w:placeholder>
          <w:docPart w:val="GBC22222222222222222222222222222"/>
        </w:placeholder>
      </w:sdtPr>
      <w:sdtEndPr>
        <w:rPr>
          <w:rFonts w:hint="eastAsia"/>
          <w:b/>
          <w:bCs/>
          <w:color w:val="000000" w:themeColor="text1"/>
          <w:szCs w:val="21"/>
        </w:rPr>
      </w:sdtEndPr>
      <w:sdtContent>
        <w:p w14:paraId="3E8F2DB2" w14:textId="77777777" w:rsidR="00471D53" w:rsidRDefault="004F686E" w:rsidP="004F686E">
          <w:pPr>
            <w:pStyle w:val="afffff8"/>
            <w:numPr>
              <w:ilvl w:val="0"/>
              <w:numId w:val="84"/>
            </w:numPr>
            <w:tabs>
              <w:tab w:val="left" w:pos="672"/>
            </w:tabs>
            <w:rPr>
              <w:rFonts w:ascii="宋体" w:hAnsi="宋体"/>
              <w:szCs w:val="21"/>
            </w:rPr>
          </w:pPr>
          <w:r>
            <w:rPr>
              <w:rFonts w:ascii="宋体" w:hAnsi="宋体"/>
              <w:szCs w:val="21"/>
            </w:rPr>
            <w:t>应付债券的增减变动</w:t>
          </w:r>
          <w:r>
            <w:rPr>
              <w:rFonts w:ascii="宋体" w:hAnsi="宋体" w:hint="eastAsia"/>
              <w:szCs w:val="21"/>
            </w:rPr>
            <w:t>（不包括划分为金融负债的优先股、永续债等其他金融工具）</w:t>
          </w:r>
        </w:p>
        <w:sdt>
          <w:sdtPr>
            <w:alias w:val="是否适用：应付债券的增减变动[双击切换]"/>
            <w:tag w:val="_GBC_4b9b2c6cc76845b79e52a5d821e1cf5a"/>
            <w:id w:val="56838301"/>
            <w:lock w:val="sdtLocked"/>
            <w:placeholder>
              <w:docPart w:val="GBC22222222222222222222222222222"/>
            </w:placeholder>
          </w:sdtPr>
          <w:sdtEndPr/>
          <w:sdtContent>
            <w:p w14:paraId="15D8C9C7"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Start w:id="199" w:name="OLE_LINK18" w:displacedByCustomXml="prev"/>
    <w:bookmarkStart w:id="200" w:name="OLE_LINK16" w:displacedByCustomXml="prev"/>
    <w:sdt>
      <w:sdtPr>
        <w:rPr>
          <w:rFonts w:ascii="宋体" w:hAnsi="宋体" w:cs="宋体" w:hint="eastAsia"/>
          <w:b w:val="0"/>
          <w:bCs w:val="0"/>
          <w:kern w:val="0"/>
          <w:szCs w:val="21"/>
        </w:rPr>
        <w:alias w:val="模块:可转换公司债券的转股条件、转股时间说明："/>
        <w:tag w:val="_GBC_235b19ac1003437586dbfe1a48116b09"/>
        <w:id w:val="-2122291491"/>
        <w:lock w:val="sdtLocked"/>
        <w:placeholder>
          <w:docPart w:val="GBC22222222222222222222222222222"/>
        </w:placeholder>
      </w:sdtPr>
      <w:sdtEndPr/>
      <w:sdtContent>
        <w:p w14:paraId="0221904F" w14:textId="77777777" w:rsidR="00471D53" w:rsidRDefault="004F686E" w:rsidP="004F686E">
          <w:pPr>
            <w:pStyle w:val="afffff8"/>
            <w:numPr>
              <w:ilvl w:val="0"/>
              <w:numId w:val="84"/>
            </w:numPr>
            <w:tabs>
              <w:tab w:val="left" w:pos="672"/>
            </w:tabs>
            <w:rPr>
              <w:rFonts w:ascii="宋体" w:hAnsi="宋体"/>
              <w:szCs w:val="21"/>
            </w:rPr>
          </w:pPr>
          <w:r>
            <w:rPr>
              <w:rFonts w:ascii="宋体" w:hAnsi="宋体" w:hint="eastAsia"/>
              <w:szCs w:val="21"/>
            </w:rPr>
            <w:t>可转换公司债券的转股条件、转股时间说明</w:t>
          </w:r>
        </w:p>
        <w:sdt>
          <w:sdtPr>
            <w:alias w:val="是否适用：可转换公司债券的转股条件、转股时间说明[双击切换]"/>
            <w:tag w:val="_GBC_bdbcbf7db2194e929d8f2f4945774241"/>
            <w:id w:val="1801727625"/>
            <w:lock w:val="sdtLocked"/>
            <w:placeholder>
              <w:docPart w:val="GBC22222222222222222222222222222"/>
            </w:placeholder>
          </w:sdtPr>
          <w:sdtEndPr/>
          <w:sdtContent>
            <w:p w14:paraId="5CA9D2FB" w14:textId="77777777" w:rsidR="00471D53" w:rsidRDefault="004F686E" w:rsidP="00471D53">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689513E5" w14:textId="77777777" w:rsidR="00471D53" w:rsidRDefault="00B664AF">
      <w:pPr>
        <w:rPr>
          <w:szCs w:val="21"/>
        </w:rPr>
      </w:pPr>
    </w:p>
    <w:sdt>
      <w:sdtPr>
        <w:rPr>
          <w:rFonts w:ascii="宋体" w:hAnsi="宋体" w:cs="宋体" w:hint="eastAsia"/>
          <w:b w:val="0"/>
          <w:bCs w:val="0"/>
          <w:kern w:val="0"/>
          <w:szCs w:val="21"/>
        </w:rPr>
        <w:alias w:val="模块:划分为金融负债的其他金融工具说明"/>
        <w:tag w:val="_GBC_d031ed2380884bb4aa3cb2efb2740308"/>
        <w:id w:val="-115147788"/>
        <w:lock w:val="sdtLocked"/>
        <w:placeholder>
          <w:docPart w:val="GBC22222222222222222222222222222"/>
        </w:placeholder>
      </w:sdtPr>
      <w:sdtEndPr>
        <w:rPr>
          <w:rFonts w:hint="default"/>
        </w:rPr>
      </w:sdtEndPr>
      <w:sdtContent>
        <w:bookmarkEnd w:id="199" w:displacedByCustomXml="prev"/>
        <w:bookmarkEnd w:id="200" w:displacedByCustomXml="prev"/>
        <w:p w14:paraId="3A291E2B" w14:textId="77777777" w:rsidR="00471D53" w:rsidRDefault="004F686E" w:rsidP="004F686E">
          <w:pPr>
            <w:pStyle w:val="afffff8"/>
            <w:numPr>
              <w:ilvl w:val="0"/>
              <w:numId w:val="84"/>
            </w:numPr>
            <w:tabs>
              <w:tab w:val="left" w:pos="672"/>
            </w:tabs>
            <w:rPr>
              <w:rFonts w:ascii="宋体" w:hAnsi="宋体"/>
              <w:szCs w:val="21"/>
            </w:rPr>
          </w:pPr>
          <w:r>
            <w:rPr>
              <w:rFonts w:ascii="宋体" w:hAnsi="宋体" w:hint="eastAsia"/>
              <w:szCs w:val="21"/>
            </w:rPr>
            <w:t>划分为金融负债的其他金融工具说明</w:t>
          </w:r>
        </w:p>
        <w:p w14:paraId="567739A0" w14:textId="77777777" w:rsidR="00471D53" w:rsidRDefault="004F686E">
          <w:pPr>
            <w:rPr>
              <w:szCs w:val="21"/>
            </w:rPr>
          </w:pPr>
          <w:r>
            <w:rPr>
              <w:rFonts w:hint="eastAsia"/>
              <w:szCs w:val="21"/>
            </w:rPr>
            <w:t>期末发行在外的优先股、永续债等其他金融工具基本情况</w:t>
          </w:r>
        </w:p>
        <w:sdt>
          <w:sdtPr>
            <w:rPr>
              <w:szCs w:val="21"/>
            </w:rPr>
            <w:alias w:val="是否适用：划分为金融负债的其他金融工具说明[双击切换]"/>
            <w:tag w:val="_GBC_61542231aba54618ab4bd6d781bfab05"/>
            <w:id w:val="2005628344"/>
            <w:lock w:val="sdtLocked"/>
            <w:placeholder>
              <w:docPart w:val="GBC22222222222222222222222222222"/>
            </w:placeholder>
          </w:sdtPr>
          <w:sdtEndPr/>
          <w:sdtContent>
            <w:p w14:paraId="36EA9F72" w14:textId="77777777" w:rsidR="00471D53" w:rsidRDefault="004F686E" w:rsidP="00471D5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78C5DD40" w14:textId="77777777" w:rsidR="00471D53" w:rsidRDefault="00B664AF">
          <w:pPr>
            <w:rPr>
              <w:szCs w:val="21"/>
            </w:rPr>
          </w:pPr>
        </w:p>
        <w:p w14:paraId="59C5E40C" w14:textId="77777777" w:rsidR="00471D53" w:rsidRDefault="004F686E">
          <w:pPr>
            <w:rPr>
              <w:szCs w:val="21"/>
            </w:rPr>
          </w:pPr>
          <w:r>
            <w:rPr>
              <w:rFonts w:hint="eastAsia"/>
              <w:szCs w:val="21"/>
            </w:rPr>
            <w:t>期末发行在外的优先股、永续债等金融工具变动情况表</w:t>
          </w:r>
        </w:p>
        <w:sdt>
          <w:sdtPr>
            <w:rPr>
              <w:szCs w:val="21"/>
            </w:rPr>
            <w:alias w:val="是否适用：期末发行在外的优先股、永续债等金融工具变动情况表_应付债券[双击切换]"/>
            <w:tag w:val="_GBC_4cf6ed9dc37d42fc946f2268e90eee97"/>
            <w:id w:val="1607530019"/>
            <w:lock w:val="sdtLocked"/>
            <w:placeholder>
              <w:docPart w:val="GBC22222222222222222222222222222"/>
            </w:placeholder>
          </w:sdtPr>
          <w:sdtEndPr/>
          <w:sdtContent>
            <w:p w14:paraId="17CA8DAF" w14:textId="77777777" w:rsidR="00471D53" w:rsidRDefault="004F686E" w:rsidP="00471D5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7223EB50" w14:textId="77777777" w:rsidR="00471D53" w:rsidRDefault="004F686E">
          <w:pPr>
            <w:spacing w:before="60" w:after="60"/>
            <w:rPr>
              <w:szCs w:val="21"/>
            </w:rPr>
          </w:pPr>
          <w:r>
            <w:rPr>
              <w:rFonts w:hint="eastAsia"/>
              <w:szCs w:val="21"/>
            </w:rPr>
            <w:t>其他金融工具划分为金融负债的依据说明</w:t>
          </w:r>
        </w:p>
        <w:sdt>
          <w:sdtPr>
            <w:rPr>
              <w:szCs w:val="21"/>
            </w:rPr>
            <w:alias w:val="是否适用：其他金融工具划分为金融负债的依据说明[双击切换]"/>
            <w:tag w:val="_GBC_aec0ba7f99624a559a5f92bcd8e57e4f"/>
            <w:id w:val="89986691"/>
            <w:lock w:val="sdtLocked"/>
            <w:placeholder>
              <w:docPart w:val="GBC22222222222222222222222222222"/>
            </w:placeholder>
          </w:sdtPr>
          <w:sdtEndPr/>
          <w:sdtContent>
            <w:p w14:paraId="67075345" w14:textId="77777777" w:rsidR="00471D53" w:rsidRDefault="004F686E" w:rsidP="00471D53">
              <w:pPr>
                <w:spacing w:before="60" w:after="60"/>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37F3FA7D" w14:textId="77777777" w:rsidR="00471D53" w:rsidRDefault="00B664AF">
          <w:pPr>
            <w:rPr>
              <w:szCs w:val="21"/>
            </w:rPr>
          </w:pPr>
        </w:p>
      </w:sdtContent>
    </w:sdt>
    <w:sdt>
      <w:sdtPr>
        <w:rPr>
          <w:rFonts w:hint="eastAsia"/>
          <w:szCs w:val="21"/>
        </w:rPr>
        <w:alias w:val="模块:应付债券其他说明"/>
        <w:tag w:val="_GBC_32fb23173d7a4a4fa8cb056982254a59"/>
        <w:id w:val="557047657"/>
        <w:lock w:val="sdtLocked"/>
        <w:placeholder>
          <w:docPart w:val="GBC22222222222222222222222222222"/>
        </w:placeholder>
      </w:sdtPr>
      <w:sdtEndPr/>
      <w:sdtContent>
        <w:p w14:paraId="6C827B41" w14:textId="77777777" w:rsidR="00471D53" w:rsidRDefault="004F686E">
          <w:pPr>
            <w:spacing w:before="60" w:after="60"/>
            <w:rPr>
              <w:szCs w:val="21"/>
            </w:rPr>
          </w:pPr>
          <w:r>
            <w:rPr>
              <w:rFonts w:hint="eastAsia"/>
              <w:szCs w:val="21"/>
            </w:rPr>
            <w:t>其他说明：</w:t>
          </w:r>
        </w:p>
        <w:sdt>
          <w:sdtPr>
            <w:rPr>
              <w:szCs w:val="21"/>
            </w:rPr>
            <w:alias w:val="是否适用：应付债券的其他说明[双击切换]"/>
            <w:tag w:val="_GBC_34ea80305b6a4fafaf2943f684877d08"/>
            <w:id w:val="894787123"/>
            <w:lock w:val="sdtLocked"/>
            <w:placeholder>
              <w:docPart w:val="GBC22222222222222222222222222222"/>
            </w:placeholder>
          </w:sdtPr>
          <w:sdtEndPr/>
          <w:sdtContent>
            <w:p w14:paraId="64BF6C5D" w14:textId="77777777" w:rsidR="00471D53" w:rsidRDefault="004F686E" w:rsidP="00471D53">
              <w:pPr>
                <w:spacing w:before="60" w:after="60"/>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14:paraId="11C9544C" w14:textId="77777777" w:rsidR="00471D53" w:rsidRDefault="00B664AF">
      <w:pPr>
        <w:rPr>
          <w:szCs w:val="21"/>
        </w:rPr>
      </w:pPr>
    </w:p>
    <w:sdt>
      <w:sdtPr>
        <w:rPr>
          <w:rFonts w:ascii="宋体" w:hAnsi="宋体" w:cs="宋体" w:hint="eastAsia"/>
          <w:b w:val="0"/>
          <w:bCs w:val="0"/>
          <w:kern w:val="0"/>
          <w:szCs w:val="21"/>
        </w:rPr>
        <w:alias w:val="模块:租赁负债"/>
        <w:tag w:val="_SEC_6bd3f432494344eb8aaf6d133dbbfdc8"/>
        <w:id w:val="1497685660"/>
        <w:lock w:val="sdtLocked"/>
        <w:placeholder>
          <w:docPart w:val="GBC22222222222222222222222222222"/>
        </w:placeholder>
      </w:sdtPr>
      <w:sdtEndPr>
        <w:rPr>
          <w:rFonts w:hint="default"/>
        </w:rPr>
      </w:sdtEndPr>
      <w:sdtContent>
        <w:p w14:paraId="73B3A486"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租赁负债</w:t>
          </w:r>
        </w:p>
        <w:sdt>
          <w:sdtPr>
            <w:rPr>
              <w:szCs w:val="21"/>
            </w:rPr>
            <w:alias w:val="是否适用：租赁负债[双击切换]"/>
            <w:tag w:val="_GBC_cec9aedf0aa8427d9bd5dbf17e698298"/>
            <w:id w:val="962928663"/>
            <w:lock w:val="sdtLocked"/>
            <w:placeholder>
              <w:docPart w:val="GBC22222222222222222222222222222"/>
            </w:placeholder>
          </w:sdtPr>
          <w:sdtEndPr/>
          <w:sdtContent>
            <w:p w14:paraId="4DBB9C5E" w14:textId="77777777" w:rsidR="00471D53" w:rsidRDefault="004F686E" w:rsidP="00471D53">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1A45C628" w14:textId="77777777" w:rsidR="00471D53" w:rsidRDefault="00B664AF"/>
      </w:sdtContent>
    </w:sdt>
    <w:p w14:paraId="473ECC86" w14:textId="77777777" w:rsidR="00471D53" w:rsidRDefault="00B664AF">
      <w:pPr>
        <w:rPr>
          <w:szCs w:val="21"/>
        </w:rPr>
      </w:pPr>
    </w:p>
    <w:p w14:paraId="4F390ECA"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长期应付款</w:t>
      </w:r>
    </w:p>
    <w:bookmarkStart w:id="201" w:name="_Hlk10536746" w:displacedByCustomXml="next"/>
    <w:sdt>
      <w:sdtPr>
        <w:rPr>
          <w:rFonts w:ascii="宋体" w:hAnsi="宋体" w:cs="宋体" w:hint="eastAsia"/>
          <w:b w:val="0"/>
          <w:bCs w:val="0"/>
          <w:kern w:val="0"/>
          <w:szCs w:val="24"/>
        </w:rPr>
        <w:alias w:val="模块:项目列示"/>
        <w:tag w:val="_SEC_c0e96ee0f49e415f98873dfb1c798446"/>
        <w:id w:val="-2115437394"/>
        <w:lock w:val="sdtLocked"/>
        <w:placeholder>
          <w:docPart w:val="GBC22222222222222222222222222222"/>
        </w:placeholder>
      </w:sdtPr>
      <w:sdtEndPr/>
      <w:sdtContent>
        <w:p w14:paraId="5AF93A9E" w14:textId="77777777" w:rsidR="00471D53" w:rsidRDefault="004F686E">
          <w:pPr>
            <w:pStyle w:val="afffff8"/>
            <w:rPr>
              <w:rFonts w:ascii="宋体" w:hAnsi="宋体"/>
            </w:rPr>
          </w:pPr>
          <w:r>
            <w:rPr>
              <w:rFonts w:ascii="宋体" w:hAnsi="宋体" w:hint="eastAsia"/>
            </w:rPr>
            <w:t>项目列示</w:t>
          </w:r>
        </w:p>
        <w:sdt>
          <w:sdtPr>
            <w:alias w:val="是否适用：长期应付款分类列示[双击切换]"/>
            <w:tag w:val="_GBC_dc1496c33e4a4cabb259020dbf46be93"/>
            <w:id w:val="1632279501"/>
            <w:lock w:val="sdtLocked"/>
            <w:placeholder>
              <w:docPart w:val="GBC22222222222222222222222222222"/>
            </w:placeholder>
          </w:sdtPr>
          <w:sdtEndPr/>
          <w:sdtContent>
            <w:p w14:paraId="264A9412"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30F43CE" w14:textId="650F1A7A" w:rsidR="00471D53" w:rsidRDefault="004F686E">
          <w:pPr>
            <w:jc w:val="right"/>
            <w:rPr>
              <w:szCs w:val="21"/>
            </w:rPr>
          </w:pPr>
          <w:r>
            <w:rPr>
              <w:rFonts w:hint="eastAsia"/>
              <w:szCs w:val="21"/>
            </w:rPr>
            <w:t>单位：</w:t>
          </w:r>
          <w:sdt>
            <w:sdtPr>
              <w:rPr>
                <w:rFonts w:hint="eastAsia"/>
                <w:szCs w:val="21"/>
              </w:rPr>
              <w:alias w:val="单位：长期应付款分类列示"/>
              <w:tag w:val="_GBC_ebfc605e57a44e54b3e33ac2adbd49b3"/>
              <w:id w:val="204332249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长期应付款分类列示"/>
              <w:tag w:val="_GBC_3e0811a7722a450c98b76253621cc253"/>
              <w:id w:val="-72043635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5"/>
            <w:gridCol w:w="2792"/>
            <w:gridCol w:w="2806"/>
          </w:tblGrid>
          <w:tr w:rsidR="00471D53" w14:paraId="154453C9" w14:textId="77777777" w:rsidTr="00550B0A">
            <w:sdt>
              <w:sdtPr>
                <w:tag w:val="_PLD_c3a93bba75a94d61a6bb41116821520d"/>
                <w:id w:val="-96333035"/>
                <w:lock w:val="sdtLocked"/>
              </w:sdtPr>
              <w:sdtEndPr/>
              <w:sdtContent>
                <w:tc>
                  <w:tcPr>
                    <w:tcW w:w="1828" w:type="pct"/>
                    <w:shd w:val="clear" w:color="auto" w:fill="auto"/>
                    <w:vAlign w:val="center"/>
                  </w:tcPr>
                  <w:p w14:paraId="0C6BABBE" w14:textId="77777777" w:rsidR="00471D53" w:rsidRDefault="004F686E">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4cef3b6e993d4efeab53c68db46274b8"/>
                <w:id w:val="1684407827"/>
                <w:lock w:val="sdtLocked"/>
              </w:sdtPr>
              <w:sdtEndPr/>
              <w:sdtContent>
                <w:tc>
                  <w:tcPr>
                    <w:tcW w:w="1582" w:type="pct"/>
                    <w:shd w:val="clear" w:color="auto" w:fill="auto"/>
                    <w:vAlign w:val="center"/>
                  </w:tcPr>
                  <w:p w14:paraId="3AC08547" w14:textId="77777777" w:rsidR="00471D53" w:rsidRDefault="004F686E">
                    <w:pPr>
                      <w:jc w:val="center"/>
                      <w:rPr>
                        <w:szCs w:val="21"/>
                      </w:rPr>
                    </w:pPr>
                    <w:r>
                      <w:rPr>
                        <w:rFonts w:hint="eastAsia"/>
                        <w:szCs w:val="21"/>
                      </w:rPr>
                      <w:t>期末余额</w:t>
                    </w:r>
                  </w:p>
                </w:tc>
              </w:sdtContent>
            </w:sdt>
            <w:sdt>
              <w:sdtPr>
                <w:tag w:val="_PLD_d7980fd6d7084f6bb108abf1cc53570a"/>
                <w:id w:val="1397550032"/>
                <w:lock w:val="sdtLocked"/>
              </w:sdtPr>
              <w:sdtEndPr/>
              <w:sdtContent>
                <w:tc>
                  <w:tcPr>
                    <w:tcW w:w="1590" w:type="pct"/>
                    <w:shd w:val="clear" w:color="auto" w:fill="auto"/>
                    <w:vAlign w:val="center"/>
                  </w:tcPr>
                  <w:p w14:paraId="2779038C" w14:textId="77777777" w:rsidR="00471D53" w:rsidRDefault="004F686E">
                    <w:pPr>
                      <w:jc w:val="center"/>
                      <w:rPr>
                        <w:szCs w:val="21"/>
                      </w:rPr>
                    </w:pPr>
                    <w:r>
                      <w:rPr>
                        <w:rFonts w:hint="eastAsia"/>
                        <w:szCs w:val="21"/>
                      </w:rPr>
                      <w:t>期初余额</w:t>
                    </w:r>
                  </w:p>
                </w:tc>
              </w:sdtContent>
            </w:sdt>
          </w:tr>
          <w:tr w:rsidR="00471D53" w14:paraId="01C4A40C" w14:textId="77777777" w:rsidTr="00471D53">
            <w:sdt>
              <w:sdtPr>
                <w:tag w:val="_PLD_5e2f309101aa42679809229e6373eaeb"/>
                <w:id w:val="-77213713"/>
                <w:lock w:val="sdtLocked"/>
              </w:sdtPr>
              <w:sdtEndPr/>
              <w:sdtContent>
                <w:tc>
                  <w:tcPr>
                    <w:tcW w:w="1828" w:type="pct"/>
                    <w:shd w:val="clear" w:color="auto" w:fill="auto"/>
                  </w:tcPr>
                  <w:p w14:paraId="794EF213" w14:textId="77777777" w:rsidR="00471D53" w:rsidRDefault="004F686E">
                    <w:pPr>
                      <w:tabs>
                        <w:tab w:val="right" w:pos="3690"/>
                        <w:tab w:val="right" w:pos="5130"/>
                        <w:tab w:val="right" w:pos="6030"/>
                        <w:tab w:val="right" w:pos="7650"/>
                        <w:tab w:val="right" w:pos="9270"/>
                      </w:tabs>
                      <w:adjustRightInd w:val="0"/>
                      <w:snapToGrid w:val="0"/>
                      <w:rPr>
                        <w:szCs w:val="21"/>
                      </w:rPr>
                    </w:pPr>
                    <w:r>
                      <w:rPr>
                        <w:rFonts w:hint="eastAsia"/>
                        <w:szCs w:val="21"/>
                      </w:rPr>
                      <w:t>长期应付款</w:t>
                    </w:r>
                  </w:p>
                </w:tc>
              </w:sdtContent>
            </w:sdt>
            <w:tc>
              <w:tcPr>
                <w:tcW w:w="1582" w:type="pct"/>
                <w:shd w:val="clear" w:color="auto" w:fill="auto"/>
                <w:vAlign w:val="center"/>
              </w:tcPr>
              <w:p w14:paraId="38D02EE1" w14:textId="77777777" w:rsidR="00471D53" w:rsidRPr="009A3EC3" w:rsidRDefault="004F686E" w:rsidP="00471D53">
                <w:pPr>
                  <w:snapToGrid w:val="0"/>
                  <w:jc w:val="right"/>
                  <w:rPr>
                    <w:kern w:val="2"/>
                    <w:sz w:val="22"/>
                    <w:szCs w:val="22"/>
                  </w:rPr>
                </w:pPr>
                <w:r w:rsidRPr="000576E2">
                  <w:rPr>
                    <w:kern w:val="2"/>
                    <w:sz w:val="22"/>
                    <w:szCs w:val="22"/>
                  </w:rPr>
                  <w:t>7,000,000.00</w:t>
                </w:r>
              </w:p>
            </w:tc>
            <w:tc>
              <w:tcPr>
                <w:tcW w:w="1590" w:type="pct"/>
                <w:shd w:val="clear" w:color="auto" w:fill="auto"/>
                <w:vAlign w:val="center"/>
              </w:tcPr>
              <w:p w14:paraId="25A338BE" w14:textId="77777777" w:rsidR="00471D53" w:rsidRPr="009A3EC3" w:rsidRDefault="004F686E" w:rsidP="00471D53">
                <w:pPr>
                  <w:snapToGrid w:val="0"/>
                  <w:jc w:val="right"/>
                  <w:rPr>
                    <w:kern w:val="2"/>
                    <w:sz w:val="22"/>
                    <w:szCs w:val="22"/>
                  </w:rPr>
                </w:pPr>
                <w:r w:rsidRPr="009A3EC3">
                  <w:rPr>
                    <w:rFonts w:cs="Calibri"/>
                    <w:sz w:val="22"/>
                    <w:szCs w:val="22"/>
                  </w:rPr>
                  <w:t>10,000,000.00</w:t>
                </w:r>
              </w:p>
            </w:tc>
          </w:tr>
          <w:tr w:rsidR="00471D53" w14:paraId="3B1C783A" w14:textId="77777777" w:rsidTr="00550B0A">
            <w:sdt>
              <w:sdtPr>
                <w:tag w:val="_PLD_c99f5008eb7c496ab0332c6e3c621269"/>
                <w:id w:val="1545638993"/>
                <w:lock w:val="sdtLocked"/>
              </w:sdtPr>
              <w:sdtEndPr/>
              <w:sdtContent>
                <w:tc>
                  <w:tcPr>
                    <w:tcW w:w="1828" w:type="pct"/>
                    <w:shd w:val="clear" w:color="auto" w:fill="auto"/>
                  </w:tcPr>
                  <w:p w14:paraId="6FD61DB9" w14:textId="77777777" w:rsidR="00471D53" w:rsidRDefault="004F686E">
                    <w:pPr>
                      <w:tabs>
                        <w:tab w:val="right" w:pos="3690"/>
                        <w:tab w:val="right" w:pos="5130"/>
                        <w:tab w:val="right" w:pos="6030"/>
                        <w:tab w:val="right" w:pos="7650"/>
                        <w:tab w:val="right" w:pos="9270"/>
                      </w:tabs>
                      <w:adjustRightInd w:val="0"/>
                      <w:snapToGrid w:val="0"/>
                      <w:rPr>
                        <w:szCs w:val="21"/>
                      </w:rPr>
                    </w:pPr>
                    <w:r>
                      <w:rPr>
                        <w:rFonts w:hint="eastAsia"/>
                        <w:szCs w:val="21"/>
                      </w:rPr>
                      <w:t>专项应付款</w:t>
                    </w:r>
                  </w:p>
                </w:tc>
              </w:sdtContent>
            </w:sdt>
            <w:tc>
              <w:tcPr>
                <w:tcW w:w="1582" w:type="pct"/>
                <w:shd w:val="clear" w:color="auto" w:fill="auto"/>
              </w:tcPr>
              <w:p w14:paraId="5D0B81B6" w14:textId="77777777" w:rsidR="00471D53" w:rsidRDefault="00B664AF">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14:paraId="1D7C0D71" w14:textId="77777777" w:rsidR="00471D53" w:rsidRDefault="00B664AF">
                <w:pPr>
                  <w:tabs>
                    <w:tab w:val="right" w:pos="3690"/>
                    <w:tab w:val="right" w:pos="5130"/>
                    <w:tab w:val="right" w:pos="6030"/>
                    <w:tab w:val="right" w:pos="7650"/>
                    <w:tab w:val="right" w:pos="9270"/>
                  </w:tabs>
                  <w:adjustRightInd w:val="0"/>
                  <w:snapToGrid w:val="0"/>
                  <w:jc w:val="right"/>
                  <w:rPr>
                    <w:szCs w:val="21"/>
                  </w:rPr>
                </w:pPr>
              </w:p>
            </w:tc>
          </w:tr>
          <w:tr w:rsidR="00471D53" w14:paraId="41242396" w14:textId="77777777" w:rsidTr="00471D53">
            <w:sdt>
              <w:sdtPr>
                <w:tag w:val="_PLD_cba41f27288e4eb38b01308f50786168"/>
                <w:id w:val="1396699768"/>
                <w:lock w:val="sdtLocked"/>
              </w:sdtPr>
              <w:sdtEndPr/>
              <w:sdtContent>
                <w:tc>
                  <w:tcPr>
                    <w:tcW w:w="1828" w:type="pct"/>
                    <w:shd w:val="clear" w:color="auto" w:fill="auto"/>
                  </w:tcPr>
                  <w:p w14:paraId="4E3D0A2F" w14:textId="77777777" w:rsidR="00471D53" w:rsidRDefault="004F686E">
                    <w:pPr>
                      <w:tabs>
                        <w:tab w:val="right" w:pos="3690"/>
                        <w:tab w:val="right" w:pos="5130"/>
                        <w:tab w:val="right" w:pos="6030"/>
                        <w:tab w:val="right" w:pos="7650"/>
                        <w:tab w:val="right" w:pos="9270"/>
                      </w:tabs>
                      <w:adjustRightInd w:val="0"/>
                      <w:snapToGrid w:val="0"/>
                      <w:rPr>
                        <w:szCs w:val="21"/>
                      </w:rPr>
                    </w:pPr>
                    <w:r>
                      <w:rPr>
                        <w:rFonts w:hint="eastAsia"/>
                        <w:szCs w:val="21"/>
                      </w:rPr>
                      <w:t>合计</w:t>
                    </w:r>
                  </w:p>
                </w:tc>
              </w:sdtContent>
            </w:sdt>
            <w:tc>
              <w:tcPr>
                <w:tcW w:w="1582" w:type="pct"/>
                <w:shd w:val="clear" w:color="auto" w:fill="auto"/>
                <w:vAlign w:val="center"/>
              </w:tcPr>
              <w:p w14:paraId="12508F3E" w14:textId="77777777" w:rsidR="00471D53" w:rsidRPr="009A3EC3" w:rsidRDefault="004F686E" w:rsidP="00471D53">
                <w:pPr>
                  <w:snapToGrid w:val="0"/>
                  <w:jc w:val="right"/>
                  <w:rPr>
                    <w:kern w:val="2"/>
                    <w:sz w:val="22"/>
                    <w:szCs w:val="22"/>
                  </w:rPr>
                </w:pPr>
                <w:r w:rsidRPr="000576E2">
                  <w:rPr>
                    <w:kern w:val="2"/>
                    <w:sz w:val="22"/>
                    <w:szCs w:val="22"/>
                  </w:rPr>
                  <w:t>7,000,000.00</w:t>
                </w:r>
              </w:p>
            </w:tc>
            <w:tc>
              <w:tcPr>
                <w:tcW w:w="1590" w:type="pct"/>
                <w:shd w:val="clear" w:color="auto" w:fill="auto"/>
                <w:vAlign w:val="center"/>
              </w:tcPr>
              <w:p w14:paraId="3793EE27" w14:textId="77777777" w:rsidR="00471D53" w:rsidRPr="009A3EC3" w:rsidRDefault="004F686E" w:rsidP="00471D53">
                <w:pPr>
                  <w:snapToGrid w:val="0"/>
                  <w:jc w:val="right"/>
                  <w:rPr>
                    <w:kern w:val="2"/>
                    <w:sz w:val="22"/>
                    <w:szCs w:val="22"/>
                  </w:rPr>
                </w:pPr>
                <w:r w:rsidRPr="009A3EC3">
                  <w:rPr>
                    <w:rFonts w:cs="Calibri"/>
                    <w:sz w:val="22"/>
                    <w:szCs w:val="22"/>
                  </w:rPr>
                  <w:t>10,000,000.00</w:t>
                </w:r>
              </w:p>
            </w:tc>
          </w:tr>
        </w:tbl>
        <w:p w14:paraId="22760E08" w14:textId="77777777" w:rsidR="00471D53" w:rsidRDefault="004F686E">
          <w:pPr>
            <w:rPr>
              <w:szCs w:val="21"/>
            </w:rPr>
          </w:pPr>
          <w:bookmarkStart w:id="202" w:name="_Hlk532911057"/>
          <w:r>
            <w:rPr>
              <w:rFonts w:hint="eastAsia"/>
              <w:szCs w:val="21"/>
            </w:rPr>
            <w:t>其他说明：</w:t>
          </w:r>
        </w:p>
        <w:sdt>
          <w:sdtPr>
            <w:rPr>
              <w:rFonts w:hint="eastAsia"/>
              <w:szCs w:val="21"/>
            </w:rPr>
            <w:alias w:val="长期应付款分类列示其他说明"/>
            <w:tag w:val="_GBC_431a8b84aeeb4e0fa07aef9d9af1a46d"/>
            <w:id w:val="1234890564"/>
            <w:lock w:val="sdtLocked"/>
            <w:placeholder>
              <w:docPart w:val="GBC22222222222222222222222222222"/>
            </w:placeholder>
          </w:sdtPr>
          <w:sdtEndPr/>
          <w:sdtContent>
            <w:p w14:paraId="260508E6" w14:textId="77777777" w:rsidR="00471D53" w:rsidRDefault="004F686E">
              <w:pPr>
                <w:rPr>
                  <w:szCs w:val="21"/>
                </w:rPr>
              </w:pPr>
              <w:r>
                <w:rPr>
                  <w:rFonts w:hint="eastAsia"/>
                  <w:szCs w:val="21"/>
                </w:rPr>
                <w:t>无</w:t>
              </w:r>
            </w:p>
          </w:sdtContent>
        </w:sdt>
        <w:p w14:paraId="3D010B60" w14:textId="77777777" w:rsidR="00471D53" w:rsidRDefault="00B664AF"/>
        <w:bookmarkEnd w:id="202" w:displacedByCustomXml="next"/>
      </w:sdtContent>
    </w:sdt>
    <w:bookmarkEnd w:id="201" w:displacedByCustomXml="prev"/>
    <w:bookmarkStart w:id="203" w:name="_Hlk10536806" w:displacedByCustomXml="next"/>
    <w:bookmarkStart w:id="204" w:name="_Hlk10536877" w:displacedByCustomXml="next"/>
    <w:sdt>
      <w:sdtPr>
        <w:rPr>
          <w:rFonts w:ascii="宋体" w:hAnsi="宋体" w:cs="宋体" w:hint="eastAsia"/>
          <w:b w:val="0"/>
          <w:bCs w:val="0"/>
          <w:kern w:val="0"/>
          <w:szCs w:val="24"/>
        </w:rPr>
        <w:alias w:val="模块:长期应付款"/>
        <w:tag w:val="_SEC_1ac73daea3484386b92787e79e677fbb"/>
        <w:id w:val="28690219"/>
        <w:lock w:val="sdtLocked"/>
        <w:placeholder>
          <w:docPart w:val="GBC22222222222222222222222222222"/>
        </w:placeholder>
      </w:sdtPr>
      <w:sdtEndPr>
        <w:rPr>
          <w:rFonts w:hint="default"/>
        </w:rPr>
      </w:sdtEndPr>
      <w:sdtContent>
        <w:p w14:paraId="70D2A7AF" w14:textId="77777777" w:rsidR="00471D53" w:rsidRDefault="004F686E">
          <w:pPr>
            <w:pStyle w:val="afffff8"/>
            <w:ind w:left="360" w:hanging="360"/>
            <w:rPr>
              <w:rFonts w:ascii="宋体" w:hAnsi="宋体"/>
            </w:rPr>
          </w:pPr>
          <w:r>
            <w:rPr>
              <w:rFonts w:ascii="宋体" w:hAnsi="宋体" w:hint="eastAsia"/>
            </w:rPr>
            <w:t>长期应付款</w:t>
          </w:r>
          <w:bookmarkEnd w:id="203"/>
        </w:p>
        <w:sdt>
          <w:sdtPr>
            <w:alias w:val="是否适用：按款项性质列示长期应付款[双击切换]"/>
            <w:tag w:val="_GBC_a9fa9a5286484f4bb853b1eff824e621"/>
            <w:id w:val="170222921"/>
            <w:lock w:val="sdtLocked"/>
            <w:placeholder>
              <w:docPart w:val="GBC22222222222222222222222222222"/>
            </w:placeholder>
          </w:sdtPr>
          <w:sdtEndPr/>
          <w:sdtContent>
            <w:p w14:paraId="5C77CD79" w14:textId="77777777" w:rsidR="00471D53" w:rsidRDefault="004F686E">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318FBC94" w14:textId="575E523F" w:rsidR="00471D53" w:rsidRDefault="004F686E">
          <w:pPr>
            <w:jc w:val="right"/>
            <w:rPr>
              <w:szCs w:val="21"/>
            </w:rPr>
          </w:pPr>
          <w:r>
            <w:rPr>
              <w:rFonts w:hint="eastAsia"/>
              <w:szCs w:val="21"/>
            </w:rPr>
            <w:t>单位：</w:t>
          </w:r>
          <w:sdt>
            <w:sdtPr>
              <w:rPr>
                <w:rFonts w:hint="eastAsia"/>
                <w:szCs w:val="21"/>
              </w:rPr>
              <w:alias w:val="单位：财务附注：长期应付款"/>
              <w:tag w:val="_GBC_8d90e4088fac4efe85a76cd0e30766e1"/>
              <w:id w:val="16682984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长期应付款"/>
              <w:tag w:val="_GBC_571b1adfcb634dcbb4fbdf0991f3e029"/>
              <w:id w:val="-19036711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25"/>
            <w:gridCol w:w="2848"/>
            <w:gridCol w:w="2850"/>
          </w:tblGrid>
          <w:tr w:rsidR="00471D53" w14:paraId="10CD2268" w14:textId="77777777" w:rsidTr="00471D53">
            <w:trPr>
              <w:cantSplit/>
              <w:trHeight w:val="307"/>
            </w:trPr>
            <w:sdt>
              <w:sdtPr>
                <w:tag w:val="_PLD_35c3ed078068475db04283d6d6c22bb5"/>
                <w:id w:val="431015024"/>
                <w:lock w:val="sdtLocked"/>
              </w:sdtPr>
              <w:sdtEndPr/>
              <w:sdtContent>
                <w:tc>
                  <w:tcPr>
                    <w:tcW w:w="1771" w:type="pct"/>
                    <w:shd w:val="clear" w:color="auto" w:fill="auto"/>
                    <w:vAlign w:val="center"/>
                  </w:tcPr>
                  <w:p w14:paraId="46E33207" w14:textId="77777777" w:rsidR="00471D53" w:rsidRDefault="004F686E" w:rsidP="00471D53">
                    <w:pPr>
                      <w:jc w:val="center"/>
                      <w:rPr>
                        <w:szCs w:val="21"/>
                      </w:rPr>
                    </w:pPr>
                    <w:r>
                      <w:rPr>
                        <w:rFonts w:hint="eastAsia"/>
                        <w:szCs w:val="21"/>
                      </w:rPr>
                      <w:t>项目</w:t>
                    </w:r>
                  </w:p>
                </w:tc>
              </w:sdtContent>
            </w:sdt>
            <w:sdt>
              <w:sdtPr>
                <w:tag w:val="_PLD_b59846bd1adb4f398cd1737332e81edb"/>
                <w:id w:val="1938953073"/>
                <w:lock w:val="sdtLocked"/>
              </w:sdtPr>
              <w:sdtEndPr/>
              <w:sdtContent>
                <w:tc>
                  <w:tcPr>
                    <w:tcW w:w="1614" w:type="pct"/>
                    <w:shd w:val="clear" w:color="auto" w:fill="auto"/>
                    <w:vAlign w:val="center"/>
                  </w:tcPr>
                  <w:p w14:paraId="4F709550" w14:textId="77777777" w:rsidR="00471D53" w:rsidRDefault="004F686E" w:rsidP="00471D53">
                    <w:pPr>
                      <w:jc w:val="center"/>
                      <w:rPr>
                        <w:szCs w:val="21"/>
                      </w:rPr>
                    </w:pPr>
                    <w:r>
                      <w:rPr>
                        <w:rFonts w:hint="eastAsia"/>
                        <w:szCs w:val="21"/>
                      </w:rPr>
                      <w:t>期末余额</w:t>
                    </w:r>
                  </w:p>
                </w:tc>
              </w:sdtContent>
            </w:sdt>
            <w:sdt>
              <w:sdtPr>
                <w:tag w:val="_PLD_184e30079df94f509e7e7ea9142928df"/>
                <w:id w:val="635921932"/>
                <w:lock w:val="sdtLocked"/>
              </w:sdtPr>
              <w:sdtEndPr/>
              <w:sdtContent>
                <w:tc>
                  <w:tcPr>
                    <w:tcW w:w="1615" w:type="pct"/>
                    <w:shd w:val="clear" w:color="auto" w:fill="auto"/>
                    <w:vAlign w:val="center"/>
                  </w:tcPr>
                  <w:p w14:paraId="55EC46B3" w14:textId="77777777" w:rsidR="00471D53" w:rsidRDefault="004F686E" w:rsidP="00471D53">
                    <w:pPr>
                      <w:jc w:val="center"/>
                      <w:rPr>
                        <w:szCs w:val="21"/>
                      </w:rPr>
                    </w:pPr>
                    <w:r>
                      <w:rPr>
                        <w:rFonts w:hint="eastAsia"/>
                        <w:szCs w:val="21"/>
                      </w:rPr>
                      <w:t>期初余额</w:t>
                    </w:r>
                  </w:p>
                </w:tc>
              </w:sdtContent>
            </w:sdt>
          </w:tr>
          <w:sdt>
            <w:sdtPr>
              <w:rPr>
                <w:szCs w:val="21"/>
              </w:rPr>
              <w:alias w:val="按款项性质列示长期应付款明细"/>
              <w:tag w:val="_TUP_618fba5b46de42ad8e723e9585c5f36d"/>
              <w:id w:val="1066911241"/>
              <w:lock w:val="sdtLocked"/>
            </w:sdtPr>
            <w:sdtEndPr>
              <w:rPr>
                <w:rFonts w:hint="eastAsia"/>
              </w:rPr>
            </w:sdtEndPr>
            <w:sdtContent>
              <w:tr w:rsidR="00471D53" w14:paraId="192BF57A" w14:textId="77777777" w:rsidTr="00471D53">
                <w:trPr>
                  <w:cantSplit/>
                  <w:trHeight w:val="186"/>
                </w:trPr>
                <w:tc>
                  <w:tcPr>
                    <w:tcW w:w="1771" w:type="pct"/>
                  </w:tcPr>
                  <w:p w14:paraId="28ADB88A" w14:textId="77777777" w:rsidR="00471D53" w:rsidRDefault="004F686E" w:rsidP="00471D53">
                    <w:pPr>
                      <w:rPr>
                        <w:szCs w:val="21"/>
                      </w:rPr>
                    </w:pPr>
                    <w:r>
                      <w:t>认缴出资款</w:t>
                    </w:r>
                  </w:p>
                </w:tc>
                <w:tc>
                  <w:tcPr>
                    <w:tcW w:w="1614" w:type="pct"/>
                  </w:tcPr>
                  <w:p w14:paraId="2B8D47EC" w14:textId="77777777" w:rsidR="00471D53" w:rsidRDefault="004F686E" w:rsidP="00471D53">
                    <w:pPr>
                      <w:jc w:val="right"/>
                      <w:rPr>
                        <w:szCs w:val="21"/>
                      </w:rPr>
                    </w:pPr>
                    <w:r>
                      <w:t>7,000,000.00</w:t>
                    </w:r>
                  </w:p>
                </w:tc>
                <w:tc>
                  <w:tcPr>
                    <w:tcW w:w="1615" w:type="pct"/>
                  </w:tcPr>
                  <w:p w14:paraId="660CEEA4" w14:textId="77777777" w:rsidR="00471D53" w:rsidRDefault="004F686E" w:rsidP="00471D53">
                    <w:pPr>
                      <w:jc w:val="right"/>
                      <w:rPr>
                        <w:szCs w:val="21"/>
                      </w:rPr>
                    </w:pPr>
                    <w:r>
                      <w:t>10,000,000.00</w:t>
                    </w:r>
                  </w:p>
                </w:tc>
              </w:tr>
            </w:sdtContent>
          </w:sdt>
          <w:tr w:rsidR="00471D53" w14:paraId="3F2E67FF" w14:textId="77777777" w:rsidTr="00471D53">
            <w:trPr>
              <w:cantSplit/>
              <w:trHeight w:val="186"/>
            </w:trPr>
            <w:sdt>
              <w:sdtPr>
                <w:tag w:val="_PLD_b9d5f725e3e04d2eb1e0e4d55b521e84"/>
                <w:id w:val="-1355798315"/>
                <w:lock w:val="sdtLocked"/>
              </w:sdtPr>
              <w:sdtEndPr/>
              <w:sdtContent>
                <w:tc>
                  <w:tcPr>
                    <w:tcW w:w="1771" w:type="pct"/>
                  </w:tcPr>
                  <w:p w14:paraId="2DBCC58F" w14:textId="77777777" w:rsidR="00471D53" w:rsidRDefault="004F686E" w:rsidP="00471D53">
                    <w:pPr>
                      <w:jc w:val="center"/>
                      <w:rPr>
                        <w:szCs w:val="21"/>
                      </w:rPr>
                    </w:pPr>
                    <w:r>
                      <w:rPr>
                        <w:rFonts w:hint="eastAsia"/>
                        <w:szCs w:val="21"/>
                      </w:rPr>
                      <w:t>合计</w:t>
                    </w:r>
                  </w:p>
                </w:tc>
              </w:sdtContent>
            </w:sdt>
            <w:tc>
              <w:tcPr>
                <w:tcW w:w="1614" w:type="pct"/>
              </w:tcPr>
              <w:p w14:paraId="130312EC" w14:textId="77777777" w:rsidR="00471D53" w:rsidRDefault="004F686E" w:rsidP="00471D53">
                <w:pPr>
                  <w:jc w:val="right"/>
                  <w:rPr>
                    <w:szCs w:val="21"/>
                  </w:rPr>
                </w:pPr>
                <w:r>
                  <w:t>7,000,000.00</w:t>
                </w:r>
              </w:p>
            </w:tc>
            <w:tc>
              <w:tcPr>
                <w:tcW w:w="1615" w:type="pct"/>
              </w:tcPr>
              <w:p w14:paraId="77F9A4A6" w14:textId="77777777" w:rsidR="00471D53" w:rsidRDefault="004F686E" w:rsidP="00471D53">
                <w:pPr>
                  <w:jc w:val="right"/>
                  <w:rPr>
                    <w:szCs w:val="21"/>
                  </w:rPr>
                </w:pPr>
                <w:r>
                  <w:t>10,000,000.00</w:t>
                </w:r>
              </w:p>
            </w:tc>
          </w:tr>
        </w:tbl>
        <w:p w14:paraId="7258667E" w14:textId="77777777" w:rsidR="00471D53" w:rsidRDefault="00B664AF"/>
        <w:p w14:paraId="4460ED34" w14:textId="77777777" w:rsidR="00471D53" w:rsidRDefault="004F686E">
          <w:pPr>
            <w:snapToGrid w:val="0"/>
            <w:spacing w:line="240" w:lineRule="atLeast"/>
            <w:rPr>
              <w:szCs w:val="21"/>
            </w:rPr>
          </w:pPr>
          <w:r>
            <w:rPr>
              <w:rFonts w:hint="eastAsia"/>
              <w:szCs w:val="21"/>
            </w:rPr>
            <w:lastRenderedPageBreak/>
            <w:t>其他说明：</w:t>
          </w:r>
        </w:p>
        <w:p w14:paraId="5578C06D" w14:textId="77777777" w:rsidR="00471D53" w:rsidRDefault="00B664AF" w:rsidP="00471D53">
          <w:pPr>
            <w:snapToGrid w:val="0"/>
            <w:spacing w:line="240" w:lineRule="atLeast"/>
            <w:ind w:firstLineChars="200" w:firstLine="420"/>
            <w:rPr>
              <w:szCs w:val="21"/>
            </w:rPr>
          </w:pPr>
          <w:sdt>
            <w:sdtPr>
              <w:rPr>
                <w:szCs w:val="21"/>
              </w:rPr>
              <w:alias w:val="长期应付款的说明"/>
              <w:tag w:val="_GBC_26dfebab321040728d621ff8ca8d9de0"/>
              <w:id w:val="-953084164"/>
              <w:lock w:val="sdtLocked"/>
              <w:placeholder>
                <w:docPart w:val="GBC22222222222222222222222222222"/>
              </w:placeholder>
            </w:sdtPr>
            <w:sdtEndPr/>
            <w:sdtContent>
              <w:r w:rsidR="004F686E" w:rsidRPr="009A3EC3">
                <w:rPr>
                  <w:rFonts w:hint="eastAsia"/>
                  <w:sz w:val="22"/>
                  <w:szCs w:val="22"/>
                </w:rPr>
                <w:t>北清智创公司注册资本人民币</w:t>
              </w:r>
              <w:r w:rsidR="004F686E" w:rsidRPr="009A3EC3">
                <w:rPr>
                  <w:sz w:val="22"/>
                  <w:szCs w:val="22"/>
                </w:rPr>
                <w:t>10,000.00万元，其中北京天海认缴出资1,000.00万元，持股10%，认缴出资日期为2022年12月31日前。期末余额为尚未实缴出资额。</w:t>
              </w:r>
            </w:sdtContent>
          </w:sdt>
        </w:p>
        <w:p w14:paraId="18E40FE6" w14:textId="77777777" w:rsidR="00471D53" w:rsidRDefault="00B664AF"/>
      </w:sdtContent>
    </w:sdt>
    <w:bookmarkEnd w:id="204" w:displacedByCustomXml="prev"/>
    <w:sdt>
      <w:sdtPr>
        <w:rPr>
          <w:rFonts w:ascii="宋体" w:hAnsi="宋体" w:cs="宋体" w:hint="eastAsia"/>
          <w:b w:val="0"/>
          <w:bCs w:val="0"/>
          <w:kern w:val="0"/>
          <w:szCs w:val="24"/>
        </w:rPr>
        <w:alias w:val="模块:专项应付款"/>
        <w:tag w:val="_GBC_6847689be8c1493eb5db4e6dbab0fdbe"/>
        <w:id w:val="-298154800"/>
        <w:lock w:val="sdtLocked"/>
        <w:placeholder>
          <w:docPart w:val="GBC22222222222222222222222222222"/>
        </w:placeholder>
      </w:sdtPr>
      <w:sdtEndPr>
        <w:rPr>
          <w:rFonts w:cstheme="minorBidi" w:hint="default"/>
          <w:color w:val="000000" w:themeColor="text1"/>
          <w:kern w:val="2"/>
          <w:szCs w:val="21"/>
        </w:rPr>
      </w:sdtEndPr>
      <w:sdtContent>
        <w:p w14:paraId="12DF1831" w14:textId="77777777" w:rsidR="00471D53" w:rsidRDefault="004F686E">
          <w:pPr>
            <w:pStyle w:val="afffff8"/>
            <w:rPr>
              <w:rFonts w:ascii="宋体" w:hAnsi="宋体"/>
            </w:rPr>
          </w:pPr>
          <w:r>
            <w:rPr>
              <w:rFonts w:ascii="宋体" w:hAnsi="宋体" w:hint="eastAsia"/>
            </w:rPr>
            <w:t>专项应付款</w:t>
          </w:r>
        </w:p>
        <w:sdt>
          <w:sdtPr>
            <w:alias w:val="是否适用：专项应付款[双击切换]"/>
            <w:tag w:val="_GBC_f70a824e87784429a75fa648d7634cf8"/>
            <w:id w:val="500548070"/>
            <w:lock w:val="sdtLocked"/>
            <w:placeholder>
              <w:docPart w:val="GBC22222222222222222222222222222"/>
            </w:placeholder>
          </w:sdtPr>
          <w:sdtEndPr/>
          <w:sdtContent>
            <w:p w14:paraId="13AFBFD5"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8FA1AA9" w14:textId="77777777" w:rsidR="00471D53" w:rsidRDefault="00B664AF">
          <w:pPr>
            <w:snapToGrid w:val="0"/>
            <w:rPr>
              <w:szCs w:val="21"/>
            </w:rPr>
          </w:pPr>
        </w:p>
      </w:sdtContent>
    </w:sdt>
    <w:p w14:paraId="50CF4313" w14:textId="77777777" w:rsidR="00471D53" w:rsidRDefault="00B664AF">
      <w:pPr>
        <w:rPr>
          <w:szCs w:val="21"/>
        </w:rPr>
      </w:pPr>
    </w:p>
    <w:p w14:paraId="3A4D08C5"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长期应付职工薪酬</w:t>
      </w:r>
    </w:p>
    <w:sdt>
      <w:sdtPr>
        <w:alias w:val="是否适用：长期应付职工薪酬[双击切换]"/>
        <w:tag w:val="_GBC_077559b601814bb38f16734f98e8c045"/>
        <w:id w:val="1129044727"/>
        <w:lock w:val="sdtLocked"/>
        <w:placeholder>
          <w:docPart w:val="GBC22222222222222222222222222222"/>
        </w:placeholder>
      </w:sdtPr>
      <w:sdtEndPr/>
      <w:sdtContent>
        <w:p w14:paraId="38563161"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hAnsi="宋体" w:cs="宋体" w:hint="eastAsia"/>
          <w:b w:val="0"/>
          <w:bCs w:val="0"/>
          <w:kern w:val="0"/>
          <w:szCs w:val="24"/>
        </w:rPr>
        <w:alias w:val="模块:长期应付职工薪酬"/>
        <w:tag w:val="_GBC_8af4eec42fcd4a7a8402661c45277cf7"/>
        <w:id w:val="-685438585"/>
        <w:lock w:val="sdtLocked"/>
        <w:placeholder>
          <w:docPart w:val="GBC22222222222222222222222222222"/>
        </w:placeholder>
      </w:sdtPr>
      <w:sdtEndPr/>
      <w:sdtContent>
        <w:p w14:paraId="48B9C505" w14:textId="77777777" w:rsidR="00471D53" w:rsidRDefault="004F686E" w:rsidP="004F686E">
          <w:pPr>
            <w:pStyle w:val="afffff8"/>
            <w:numPr>
              <w:ilvl w:val="0"/>
              <w:numId w:val="85"/>
            </w:numPr>
            <w:rPr>
              <w:rFonts w:ascii="宋体" w:hAnsi="宋体"/>
            </w:rPr>
          </w:pPr>
          <w:r>
            <w:rPr>
              <w:rFonts w:ascii="宋体" w:hAnsi="宋体" w:hint="eastAsia"/>
            </w:rPr>
            <w:t>长期应付职工薪酬表</w:t>
          </w:r>
        </w:p>
        <w:sdt>
          <w:sdtPr>
            <w:alias w:val="是否适用：长期应付职工薪酬表[双击切换]"/>
            <w:tag w:val="_GBC_7391cd215aaf4a7595c44b639646aa7a"/>
            <w:id w:val="-1477440126"/>
            <w:lock w:val="sdtLocked"/>
            <w:placeholder>
              <w:docPart w:val="GBC22222222222222222222222222222"/>
            </w:placeholder>
          </w:sdtPr>
          <w:sdtEndPr/>
          <w:sdtContent>
            <w:p w14:paraId="19C81C46"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7A529F3" w14:textId="302C02F4" w:rsidR="00471D53" w:rsidRDefault="004F686E">
          <w:pPr>
            <w:jc w:val="right"/>
          </w:pPr>
          <w:r>
            <w:rPr>
              <w:rFonts w:hint="eastAsia"/>
            </w:rPr>
            <w:t>单位：</w:t>
          </w:r>
          <w:sdt>
            <w:sdtPr>
              <w:rPr>
                <w:rFonts w:hint="eastAsia"/>
              </w:rPr>
              <w:alias w:val="单位：财务附注：长期应付职工薪酬"/>
              <w:tag w:val="_GBC_9da16ecedc40480a9563f61db11afc75"/>
              <w:id w:val="20683708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长期应付职工薪酬"/>
              <w:tag w:val="_GBC_4b18e9847cbc49689b57ca163e3c5f6f"/>
              <w:id w:val="16211840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0"/>
            <w:gridCol w:w="2564"/>
            <w:gridCol w:w="2693"/>
          </w:tblGrid>
          <w:tr w:rsidR="00471D53" w14:paraId="41482CBD" w14:textId="77777777" w:rsidTr="00E7244E">
            <w:sdt>
              <w:sdtPr>
                <w:tag w:val="_PLD_cd74fa482412415587e08c0e74b1531a"/>
                <w:id w:val="1592122473"/>
                <w:lock w:val="sdtLocked"/>
              </w:sdtPr>
              <w:sdtEndPr/>
              <w:sdtContent>
                <w:tc>
                  <w:tcPr>
                    <w:tcW w:w="2019" w:type="pct"/>
                    <w:tcBorders>
                      <w:top w:val="single" w:sz="6" w:space="0" w:color="auto"/>
                      <w:left w:val="single" w:sz="6" w:space="0" w:color="auto"/>
                      <w:bottom w:val="single" w:sz="6" w:space="0" w:color="auto"/>
                      <w:right w:val="single" w:sz="6" w:space="0" w:color="auto"/>
                    </w:tcBorders>
                    <w:shd w:val="clear" w:color="auto" w:fill="auto"/>
                    <w:vAlign w:val="center"/>
                  </w:tcPr>
                  <w:p w14:paraId="6FA6FEE5" w14:textId="77777777" w:rsidR="00471D53" w:rsidRDefault="004F686E">
                    <w:pPr>
                      <w:jc w:val="center"/>
                    </w:pPr>
                    <w:r>
                      <w:rPr>
                        <w:rFonts w:hint="eastAsia"/>
                      </w:rPr>
                      <w:t>项目</w:t>
                    </w:r>
                  </w:p>
                </w:tc>
              </w:sdtContent>
            </w:sdt>
            <w:sdt>
              <w:sdtPr>
                <w:tag w:val="_PLD_d4b575d8eb6648c09575eeeca2ce8fae"/>
                <w:id w:val="506716896"/>
                <w:lock w:val="sdtLocked"/>
              </w:sdtPr>
              <w:sdtEndPr/>
              <w:sdtContent>
                <w:tc>
                  <w:tcPr>
                    <w:tcW w:w="1454" w:type="pct"/>
                    <w:tcBorders>
                      <w:top w:val="single" w:sz="6" w:space="0" w:color="auto"/>
                      <w:left w:val="single" w:sz="6" w:space="0" w:color="auto"/>
                      <w:bottom w:val="single" w:sz="6" w:space="0" w:color="auto"/>
                      <w:right w:val="single" w:sz="6" w:space="0" w:color="auto"/>
                    </w:tcBorders>
                    <w:shd w:val="clear" w:color="auto" w:fill="auto"/>
                    <w:vAlign w:val="center"/>
                  </w:tcPr>
                  <w:p w14:paraId="0491B889" w14:textId="77777777" w:rsidR="00471D53" w:rsidRDefault="004F686E">
                    <w:pPr>
                      <w:jc w:val="center"/>
                    </w:pPr>
                    <w:r>
                      <w:rPr>
                        <w:rFonts w:hint="eastAsia"/>
                      </w:rPr>
                      <w:t>期末余额</w:t>
                    </w:r>
                  </w:p>
                </w:tc>
              </w:sdtContent>
            </w:sdt>
            <w:sdt>
              <w:sdtPr>
                <w:tag w:val="_PLD_686b97eea8314637bed99bbd2be9e3af"/>
                <w:id w:val="414367446"/>
                <w:lock w:val="sdtLocked"/>
              </w:sdtPr>
              <w:sdtEndPr/>
              <w:sdtContent>
                <w:tc>
                  <w:tcPr>
                    <w:tcW w:w="1527" w:type="pct"/>
                    <w:tcBorders>
                      <w:top w:val="single" w:sz="6" w:space="0" w:color="auto"/>
                      <w:left w:val="single" w:sz="6" w:space="0" w:color="auto"/>
                      <w:bottom w:val="single" w:sz="6" w:space="0" w:color="auto"/>
                      <w:right w:val="single" w:sz="6" w:space="0" w:color="auto"/>
                    </w:tcBorders>
                    <w:shd w:val="clear" w:color="auto" w:fill="auto"/>
                    <w:vAlign w:val="center"/>
                  </w:tcPr>
                  <w:p w14:paraId="2CF8EFC9" w14:textId="77777777" w:rsidR="00471D53" w:rsidRDefault="004F686E">
                    <w:pPr>
                      <w:jc w:val="center"/>
                    </w:pPr>
                    <w:r>
                      <w:rPr>
                        <w:rFonts w:hint="eastAsia"/>
                      </w:rPr>
                      <w:t>期初余额</w:t>
                    </w:r>
                  </w:p>
                </w:tc>
              </w:sdtContent>
            </w:sdt>
          </w:tr>
          <w:tr w:rsidR="00471D53" w14:paraId="66877A24" w14:textId="77777777" w:rsidTr="00471D53">
            <w:sdt>
              <w:sdtPr>
                <w:tag w:val="_PLD_bdc3d864f9914ace9337d47a53645c11"/>
                <w:id w:val="2068072770"/>
                <w:lock w:val="sdtLocked"/>
              </w:sdtPr>
              <w:sdtEndPr/>
              <w:sdtContent>
                <w:tc>
                  <w:tcPr>
                    <w:tcW w:w="2019" w:type="pct"/>
                    <w:tcBorders>
                      <w:top w:val="single" w:sz="6" w:space="0" w:color="auto"/>
                      <w:left w:val="single" w:sz="6" w:space="0" w:color="auto"/>
                      <w:bottom w:val="single" w:sz="6" w:space="0" w:color="auto"/>
                      <w:right w:val="single" w:sz="6" w:space="0" w:color="auto"/>
                    </w:tcBorders>
                    <w:shd w:val="clear" w:color="auto" w:fill="auto"/>
                  </w:tcPr>
                  <w:p w14:paraId="08E93671" w14:textId="77777777" w:rsidR="00471D53" w:rsidRDefault="004F686E">
                    <w:r>
                      <w:rPr>
                        <w:rFonts w:hint="eastAsia"/>
                      </w:rPr>
                      <w:t>一、离职后福利-设定受益计划净负债</w:t>
                    </w:r>
                  </w:p>
                </w:tc>
              </w:sdtContent>
            </w:sdt>
            <w:tc>
              <w:tcPr>
                <w:tcW w:w="1454" w:type="pct"/>
                <w:tcBorders>
                  <w:top w:val="single" w:sz="6" w:space="0" w:color="auto"/>
                  <w:left w:val="single" w:sz="6" w:space="0" w:color="auto"/>
                  <w:bottom w:val="single" w:sz="4" w:space="0" w:color="auto"/>
                  <w:right w:val="single" w:sz="4" w:space="0" w:color="auto"/>
                </w:tcBorders>
                <w:shd w:val="clear" w:color="auto" w:fill="auto"/>
                <w:vAlign w:val="center"/>
              </w:tcPr>
              <w:p w14:paraId="71514BE3" w14:textId="77777777" w:rsidR="00471D53" w:rsidRPr="00D864AA" w:rsidRDefault="004F686E" w:rsidP="00471D53">
                <w:pPr>
                  <w:jc w:val="right"/>
                  <w:rPr>
                    <w:sz w:val="22"/>
                    <w:szCs w:val="22"/>
                  </w:rPr>
                </w:pPr>
                <w:r w:rsidRPr="00D864AA">
                  <w:rPr>
                    <w:sz w:val="22"/>
                    <w:szCs w:val="22"/>
                  </w:rPr>
                  <w:t>28,991,298.85</w:t>
                </w:r>
              </w:p>
            </w:tc>
            <w:tc>
              <w:tcPr>
                <w:tcW w:w="1527" w:type="pct"/>
                <w:tcBorders>
                  <w:top w:val="single" w:sz="6" w:space="0" w:color="auto"/>
                  <w:left w:val="single" w:sz="4" w:space="0" w:color="auto"/>
                  <w:bottom w:val="single" w:sz="4" w:space="0" w:color="auto"/>
                  <w:right w:val="single" w:sz="4" w:space="0" w:color="auto"/>
                </w:tcBorders>
                <w:shd w:val="clear" w:color="auto" w:fill="auto"/>
                <w:vAlign w:val="center"/>
              </w:tcPr>
              <w:p w14:paraId="56D939B3" w14:textId="77777777" w:rsidR="00471D53" w:rsidRPr="00D864AA" w:rsidRDefault="004F686E" w:rsidP="00471D53">
                <w:pPr>
                  <w:jc w:val="right"/>
                  <w:rPr>
                    <w:sz w:val="22"/>
                    <w:szCs w:val="22"/>
                  </w:rPr>
                </w:pPr>
                <w:r w:rsidRPr="00D864AA">
                  <w:rPr>
                    <w:rFonts w:cs="Calibri" w:hint="eastAsia"/>
                    <w:bCs/>
                    <w:sz w:val="22"/>
                    <w:szCs w:val="22"/>
                  </w:rPr>
                  <w:t>28,206,118.61</w:t>
                </w:r>
              </w:p>
            </w:tc>
          </w:tr>
          <w:tr w:rsidR="00471D53" w14:paraId="3875792C" w14:textId="77777777" w:rsidTr="004730B6">
            <w:sdt>
              <w:sdtPr>
                <w:tag w:val="_PLD_fa41c48347a64d5a92c101ae2e85bac0"/>
                <w:id w:val="-1441216697"/>
                <w:lock w:val="sdtLocked"/>
              </w:sdtPr>
              <w:sdtEndPr/>
              <w:sdtContent>
                <w:tc>
                  <w:tcPr>
                    <w:tcW w:w="2019" w:type="pct"/>
                    <w:tcBorders>
                      <w:top w:val="single" w:sz="6" w:space="0" w:color="auto"/>
                      <w:left w:val="single" w:sz="6" w:space="0" w:color="auto"/>
                      <w:bottom w:val="single" w:sz="6" w:space="0" w:color="auto"/>
                      <w:right w:val="single" w:sz="6" w:space="0" w:color="auto"/>
                    </w:tcBorders>
                    <w:shd w:val="clear" w:color="auto" w:fill="auto"/>
                  </w:tcPr>
                  <w:p w14:paraId="7665A96A" w14:textId="77777777" w:rsidR="00471D53" w:rsidRDefault="004F686E">
                    <w:r>
                      <w:rPr>
                        <w:rFonts w:hint="eastAsia"/>
                      </w:rPr>
                      <w:t>二、辞退福利</w:t>
                    </w:r>
                  </w:p>
                </w:tc>
              </w:sdtContent>
            </w:sdt>
            <w:tc>
              <w:tcPr>
                <w:tcW w:w="1454" w:type="pct"/>
                <w:tcBorders>
                  <w:top w:val="single" w:sz="6" w:space="0" w:color="auto"/>
                  <w:left w:val="single" w:sz="6" w:space="0" w:color="auto"/>
                  <w:bottom w:val="single" w:sz="4" w:space="0" w:color="auto"/>
                  <w:right w:val="single" w:sz="4" w:space="0" w:color="auto"/>
                </w:tcBorders>
                <w:shd w:val="clear" w:color="auto" w:fill="auto"/>
              </w:tcPr>
              <w:p w14:paraId="2B8EFA5E" w14:textId="77777777" w:rsidR="00471D53" w:rsidRDefault="00B664AF">
                <w:pPr>
                  <w:jc w:val="right"/>
                </w:pPr>
              </w:p>
            </w:tc>
            <w:tc>
              <w:tcPr>
                <w:tcW w:w="1527" w:type="pct"/>
                <w:tcBorders>
                  <w:top w:val="single" w:sz="6" w:space="0" w:color="auto"/>
                  <w:left w:val="single" w:sz="4" w:space="0" w:color="auto"/>
                  <w:bottom w:val="single" w:sz="4" w:space="0" w:color="auto"/>
                  <w:right w:val="single" w:sz="4" w:space="0" w:color="auto"/>
                </w:tcBorders>
                <w:shd w:val="clear" w:color="auto" w:fill="auto"/>
              </w:tcPr>
              <w:p w14:paraId="2727AF1B" w14:textId="77777777" w:rsidR="00471D53" w:rsidRDefault="00B664AF">
                <w:pPr>
                  <w:jc w:val="right"/>
                </w:pPr>
              </w:p>
            </w:tc>
          </w:tr>
          <w:tr w:rsidR="00471D53" w14:paraId="7521F189" w14:textId="77777777" w:rsidTr="004730B6">
            <w:sdt>
              <w:sdtPr>
                <w:tag w:val="_PLD_ce9866eefc4148f6ac089213063a2b94"/>
                <w:id w:val="1403338299"/>
                <w:lock w:val="sdtLocked"/>
              </w:sdtPr>
              <w:sdtEndPr/>
              <w:sdtContent>
                <w:tc>
                  <w:tcPr>
                    <w:tcW w:w="2019" w:type="pct"/>
                    <w:tcBorders>
                      <w:top w:val="single" w:sz="6" w:space="0" w:color="auto"/>
                      <w:left w:val="single" w:sz="6" w:space="0" w:color="auto"/>
                      <w:bottom w:val="single" w:sz="6" w:space="0" w:color="auto"/>
                      <w:right w:val="single" w:sz="6" w:space="0" w:color="auto"/>
                    </w:tcBorders>
                    <w:shd w:val="clear" w:color="auto" w:fill="auto"/>
                  </w:tcPr>
                  <w:p w14:paraId="0DB66913" w14:textId="77777777" w:rsidR="00471D53" w:rsidRDefault="004F686E">
                    <w:r>
                      <w:rPr>
                        <w:rFonts w:hint="eastAsia"/>
                      </w:rPr>
                      <w:t>三、其他长期福利</w:t>
                    </w:r>
                  </w:p>
                </w:tc>
              </w:sdtContent>
            </w:sdt>
            <w:tc>
              <w:tcPr>
                <w:tcW w:w="1454" w:type="pct"/>
                <w:tcBorders>
                  <w:top w:val="single" w:sz="4" w:space="0" w:color="auto"/>
                  <w:left w:val="single" w:sz="6" w:space="0" w:color="auto"/>
                  <w:bottom w:val="single" w:sz="4" w:space="0" w:color="auto"/>
                  <w:right w:val="single" w:sz="4" w:space="0" w:color="auto"/>
                </w:tcBorders>
                <w:shd w:val="clear" w:color="auto" w:fill="auto"/>
              </w:tcPr>
              <w:p w14:paraId="21EC7BCE" w14:textId="77777777" w:rsidR="00471D53" w:rsidRDefault="00B664AF">
                <w:pPr>
                  <w:jc w:val="right"/>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8566308" w14:textId="77777777" w:rsidR="00471D53" w:rsidRDefault="00B664AF">
                <w:pPr>
                  <w:jc w:val="right"/>
                </w:pPr>
              </w:p>
            </w:tc>
          </w:tr>
          <w:tr w:rsidR="00471D53" w14:paraId="175A07BD" w14:textId="77777777" w:rsidTr="00471D53">
            <w:sdt>
              <w:sdtPr>
                <w:tag w:val="_PLD_9ad91a051a134d5b8b48745d2fe3ca24"/>
                <w:id w:val="-1175731792"/>
                <w:lock w:val="sdtLocked"/>
              </w:sdtPr>
              <w:sdtEndPr/>
              <w:sdtContent>
                <w:tc>
                  <w:tcPr>
                    <w:tcW w:w="2019" w:type="pct"/>
                    <w:tcBorders>
                      <w:top w:val="single" w:sz="6" w:space="0" w:color="auto"/>
                      <w:left w:val="single" w:sz="6" w:space="0" w:color="auto"/>
                      <w:bottom w:val="single" w:sz="6" w:space="0" w:color="auto"/>
                      <w:right w:val="single" w:sz="6" w:space="0" w:color="auto"/>
                    </w:tcBorders>
                    <w:shd w:val="clear" w:color="auto" w:fill="auto"/>
                    <w:vAlign w:val="center"/>
                  </w:tcPr>
                  <w:p w14:paraId="323C077C" w14:textId="77777777" w:rsidR="00471D53" w:rsidRDefault="004F686E">
                    <w:pPr>
                      <w:jc w:val="center"/>
                    </w:pPr>
                    <w:r>
                      <w:rPr>
                        <w:rFonts w:hint="eastAsia"/>
                      </w:rPr>
                      <w:t>合计</w:t>
                    </w:r>
                  </w:p>
                </w:tc>
              </w:sdtContent>
            </w:sdt>
            <w:tc>
              <w:tcPr>
                <w:tcW w:w="1454" w:type="pct"/>
                <w:tcBorders>
                  <w:top w:val="single" w:sz="4" w:space="0" w:color="auto"/>
                  <w:left w:val="single" w:sz="6" w:space="0" w:color="auto"/>
                  <w:bottom w:val="single" w:sz="4" w:space="0" w:color="auto"/>
                  <w:right w:val="single" w:sz="4" w:space="0" w:color="auto"/>
                </w:tcBorders>
                <w:shd w:val="clear" w:color="auto" w:fill="auto"/>
                <w:vAlign w:val="center"/>
              </w:tcPr>
              <w:p w14:paraId="539531DB" w14:textId="77777777" w:rsidR="00471D53" w:rsidRPr="00D864AA" w:rsidRDefault="004F686E" w:rsidP="00471D53">
                <w:pPr>
                  <w:jc w:val="right"/>
                  <w:rPr>
                    <w:sz w:val="22"/>
                    <w:szCs w:val="22"/>
                  </w:rPr>
                </w:pPr>
                <w:r w:rsidRPr="00D864AA">
                  <w:rPr>
                    <w:sz w:val="22"/>
                    <w:szCs w:val="22"/>
                  </w:rPr>
                  <w:t>28,991,298.85</w:t>
                </w:r>
              </w:p>
            </w:tc>
            <w:tc>
              <w:tcPr>
                <w:tcW w:w="1527" w:type="pct"/>
                <w:tcBorders>
                  <w:top w:val="single" w:sz="4" w:space="0" w:color="auto"/>
                  <w:left w:val="single" w:sz="4" w:space="0" w:color="auto"/>
                  <w:bottom w:val="single" w:sz="4" w:space="0" w:color="auto"/>
                  <w:right w:val="single" w:sz="4" w:space="0" w:color="auto"/>
                </w:tcBorders>
                <w:shd w:val="clear" w:color="auto" w:fill="auto"/>
                <w:vAlign w:val="center"/>
              </w:tcPr>
              <w:p w14:paraId="1DA67EC5" w14:textId="77777777" w:rsidR="00471D53" w:rsidRPr="00D864AA" w:rsidRDefault="004F686E" w:rsidP="00471D53">
                <w:pPr>
                  <w:jc w:val="right"/>
                  <w:rPr>
                    <w:sz w:val="22"/>
                    <w:szCs w:val="22"/>
                  </w:rPr>
                </w:pPr>
                <w:r w:rsidRPr="00D864AA">
                  <w:rPr>
                    <w:rFonts w:cs="Calibri" w:hint="eastAsia"/>
                    <w:bCs/>
                    <w:sz w:val="22"/>
                    <w:szCs w:val="22"/>
                  </w:rPr>
                  <w:t>28,206,118.61</w:t>
                </w:r>
              </w:p>
            </w:tc>
          </w:tr>
        </w:tbl>
        <w:p w14:paraId="73E78BAA" w14:textId="77777777" w:rsidR="00471D53" w:rsidRDefault="00B664AF"/>
      </w:sdtContent>
    </w:sdt>
    <w:sdt>
      <w:sdtPr>
        <w:rPr>
          <w:rFonts w:ascii="宋体" w:hAnsi="宋体" w:cs="宋体" w:hint="eastAsia"/>
          <w:b w:val="0"/>
          <w:bCs w:val="0"/>
          <w:kern w:val="0"/>
          <w:szCs w:val="21"/>
        </w:rPr>
        <w:alias w:val="模块:设定受益计划变动情况"/>
        <w:tag w:val="_GBC_afdd9211c159429fa2d6540cc92dda04"/>
        <w:id w:val="-32884418"/>
        <w:lock w:val="sdtLocked"/>
        <w:placeholder>
          <w:docPart w:val="GBC22222222222222222222222222222"/>
        </w:placeholder>
      </w:sdtPr>
      <w:sdtEndPr/>
      <w:sdtContent>
        <w:p w14:paraId="562F6A5A" w14:textId="77777777" w:rsidR="00471D53" w:rsidRDefault="004F686E" w:rsidP="004F686E">
          <w:pPr>
            <w:pStyle w:val="afffff8"/>
            <w:numPr>
              <w:ilvl w:val="0"/>
              <w:numId w:val="85"/>
            </w:numPr>
            <w:rPr>
              <w:rFonts w:ascii="宋体" w:hAnsi="宋体"/>
              <w:szCs w:val="21"/>
            </w:rPr>
          </w:pPr>
          <w:r>
            <w:rPr>
              <w:rFonts w:ascii="宋体" w:hAnsi="宋体" w:hint="eastAsia"/>
              <w:szCs w:val="21"/>
            </w:rPr>
            <w:t>设定受益计划变动情况</w:t>
          </w:r>
        </w:p>
        <w:p w14:paraId="740FE139" w14:textId="77777777" w:rsidR="00471D53" w:rsidRDefault="004F686E">
          <w:r>
            <w:rPr>
              <w:rFonts w:hint="eastAsia"/>
            </w:rPr>
            <w:t>设定受益计划义务现值：</w:t>
          </w:r>
        </w:p>
        <w:sdt>
          <w:sdtPr>
            <w:alias w:val="是否适用：设定受益计划义务现值[双击切换]"/>
            <w:tag w:val="_GBC_c4bc86b406e44d69b9ab0374bad05246"/>
            <w:id w:val="-1189447655"/>
            <w:lock w:val="sdtLocked"/>
            <w:placeholder>
              <w:docPart w:val="GBC22222222222222222222222222222"/>
            </w:placeholder>
          </w:sdtPr>
          <w:sdtEndPr/>
          <w:sdtContent>
            <w:p w14:paraId="20404271"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C71A021" w14:textId="0339CD86" w:rsidR="00471D53" w:rsidRDefault="004F686E">
          <w:pPr>
            <w:jc w:val="right"/>
          </w:pPr>
          <w:r>
            <w:rPr>
              <w:rFonts w:hint="eastAsia"/>
            </w:rPr>
            <w:t>单位：</w:t>
          </w:r>
          <w:sdt>
            <w:sdtPr>
              <w:rPr>
                <w:rFonts w:hint="eastAsia"/>
              </w:rPr>
              <w:alias w:val="单位：财务附注：设定受益计划义务现值"/>
              <w:tag w:val="_GBC_b0c9e6ca28a2421c9518371c2be78bd5"/>
              <w:id w:val="-10460635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设定受益计划义务现值"/>
              <w:tag w:val="_GBC_7f65fb2b67b845e9afe96325d0d11808"/>
              <w:id w:val="19727843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4"/>
            <w:gridCol w:w="2715"/>
            <w:gridCol w:w="2711"/>
          </w:tblGrid>
          <w:tr w:rsidR="00471D53" w14:paraId="35416293" w14:textId="77777777" w:rsidTr="009123D2">
            <w:sdt>
              <w:sdtPr>
                <w:tag w:val="_PLD_84c74226f1574a22ae5617c1cc5d2a1e"/>
                <w:id w:val="-1544128330"/>
                <w:lock w:val="sdtLocked"/>
              </w:sdtPr>
              <w:sdtEndPr/>
              <w:sdtContent>
                <w:tc>
                  <w:tcPr>
                    <w:tcW w:w="1924" w:type="pct"/>
                    <w:tcBorders>
                      <w:left w:val="single" w:sz="6" w:space="0" w:color="auto"/>
                      <w:bottom w:val="single" w:sz="6" w:space="0" w:color="auto"/>
                      <w:right w:val="single" w:sz="6" w:space="0" w:color="auto"/>
                    </w:tcBorders>
                    <w:shd w:val="clear" w:color="auto" w:fill="auto"/>
                    <w:vAlign w:val="center"/>
                    <w:hideMark/>
                  </w:tcPr>
                  <w:p w14:paraId="4DC76890" w14:textId="77777777" w:rsidR="00471D53" w:rsidRDefault="004F686E">
                    <w:pPr>
                      <w:jc w:val="center"/>
                    </w:pPr>
                    <w:r>
                      <w:rPr>
                        <w:rFonts w:hint="eastAsia"/>
                      </w:rPr>
                      <w:t>项目</w:t>
                    </w:r>
                  </w:p>
                </w:tc>
              </w:sdtContent>
            </w:sdt>
            <w:sdt>
              <w:sdtPr>
                <w:tag w:val="_PLD_6fe51f04c3fe45b7b35326132992646b"/>
                <w:id w:val="716017766"/>
                <w:lock w:val="sdtLocked"/>
              </w:sdtPr>
              <w:sdtEndPr/>
              <w:sdtContent>
                <w:tc>
                  <w:tcPr>
                    <w:tcW w:w="1539" w:type="pct"/>
                    <w:tcBorders>
                      <w:top w:val="single" w:sz="6" w:space="0" w:color="auto"/>
                      <w:left w:val="single" w:sz="6" w:space="0" w:color="auto"/>
                      <w:bottom w:val="single" w:sz="4" w:space="0" w:color="auto"/>
                      <w:right w:val="single" w:sz="4" w:space="0" w:color="auto"/>
                    </w:tcBorders>
                    <w:shd w:val="clear" w:color="auto" w:fill="auto"/>
                    <w:vAlign w:val="center"/>
                    <w:hideMark/>
                  </w:tcPr>
                  <w:p w14:paraId="12D73508" w14:textId="77777777" w:rsidR="00471D53" w:rsidRDefault="004F686E">
                    <w:pPr>
                      <w:jc w:val="center"/>
                    </w:pPr>
                    <w:r>
                      <w:rPr>
                        <w:rFonts w:hint="eastAsia"/>
                      </w:rPr>
                      <w:t>本期发生额</w:t>
                    </w:r>
                  </w:p>
                </w:tc>
              </w:sdtContent>
            </w:sdt>
            <w:sdt>
              <w:sdtPr>
                <w:tag w:val="_PLD_6fe47bc6584f4f9eb937a9db9062e226"/>
                <w:id w:val="-160624988"/>
                <w:lock w:val="sdtLocked"/>
              </w:sdtPr>
              <w:sdtEndPr/>
              <w:sdtContent>
                <w:tc>
                  <w:tcPr>
                    <w:tcW w:w="1537" w:type="pct"/>
                    <w:tcBorders>
                      <w:top w:val="single" w:sz="6" w:space="0" w:color="auto"/>
                      <w:left w:val="single" w:sz="6" w:space="0" w:color="auto"/>
                      <w:bottom w:val="single" w:sz="4" w:space="0" w:color="auto"/>
                      <w:right w:val="single" w:sz="4" w:space="0" w:color="auto"/>
                    </w:tcBorders>
                    <w:shd w:val="clear" w:color="auto" w:fill="auto"/>
                    <w:vAlign w:val="center"/>
                    <w:hideMark/>
                  </w:tcPr>
                  <w:p w14:paraId="3AC33933" w14:textId="77777777" w:rsidR="00471D53" w:rsidRDefault="004F686E">
                    <w:pPr>
                      <w:jc w:val="center"/>
                    </w:pPr>
                    <w:r>
                      <w:rPr>
                        <w:rFonts w:hint="eastAsia"/>
                      </w:rPr>
                      <w:t>上期发生额</w:t>
                    </w:r>
                  </w:p>
                </w:tc>
              </w:sdtContent>
            </w:sdt>
          </w:tr>
          <w:tr w:rsidR="00471D53" w14:paraId="401B5EBD" w14:textId="77777777" w:rsidTr="009123D2">
            <w:sdt>
              <w:sdtPr>
                <w:tag w:val="_PLD_6a962937a21d464a8d71bfbe0424670e"/>
                <w:id w:val="-456799849"/>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vAlign w:val="center"/>
                  </w:tcPr>
                  <w:p w14:paraId="286F6E48" w14:textId="77777777" w:rsidR="00471D53" w:rsidRDefault="004F686E">
                    <w:r>
                      <w:rPr>
                        <w:rFonts w:hint="eastAsia"/>
                      </w:rPr>
                      <w:t>一、期初余额</w:t>
                    </w:r>
                  </w:p>
                </w:tc>
              </w:sdtContent>
            </w:sdt>
            <w:tc>
              <w:tcPr>
                <w:tcW w:w="1539" w:type="pct"/>
                <w:tcBorders>
                  <w:top w:val="single" w:sz="6" w:space="0" w:color="auto"/>
                  <w:left w:val="single" w:sz="6" w:space="0" w:color="auto"/>
                  <w:bottom w:val="single" w:sz="4" w:space="0" w:color="auto"/>
                  <w:right w:val="single" w:sz="4" w:space="0" w:color="auto"/>
                </w:tcBorders>
                <w:shd w:val="clear" w:color="auto" w:fill="auto"/>
                <w:vAlign w:val="center"/>
              </w:tcPr>
              <w:p w14:paraId="7A2AE0BB" w14:textId="77777777" w:rsidR="00471D53" w:rsidRDefault="004F686E" w:rsidP="00471D53">
                <w:pPr>
                  <w:snapToGrid w:val="0"/>
                  <w:jc w:val="right"/>
                  <w:rPr>
                    <w:sz w:val="22"/>
                    <w:szCs w:val="22"/>
                  </w:rPr>
                </w:pPr>
                <w:r w:rsidRPr="00F37865">
                  <w:rPr>
                    <w:sz w:val="22"/>
                    <w:szCs w:val="22"/>
                  </w:rPr>
                  <w:t>31,184,637.77</w:t>
                </w:r>
              </w:p>
            </w:tc>
            <w:tc>
              <w:tcPr>
                <w:tcW w:w="1537" w:type="pct"/>
                <w:tcBorders>
                  <w:top w:val="single" w:sz="6" w:space="0" w:color="auto"/>
                  <w:left w:val="single" w:sz="6" w:space="0" w:color="auto"/>
                  <w:bottom w:val="single" w:sz="4" w:space="0" w:color="auto"/>
                  <w:right w:val="single" w:sz="4" w:space="0" w:color="auto"/>
                </w:tcBorders>
                <w:shd w:val="clear" w:color="auto" w:fill="auto"/>
                <w:vAlign w:val="center"/>
              </w:tcPr>
              <w:p w14:paraId="59FC537A" w14:textId="77777777" w:rsidR="00471D53" w:rsidRDefault="004F686E" w:rsidP="00471D53">
                <w:pPr>
                  <w:snapToGrid w:val="0"/>
                  <w:jc w:val="right"/>
                  <w:rPr>
                    <w:sz w:val="22"/>
                    <w:szCs w:val="22"/>
                  </w:rPr>
                </w:pPr>
                <w:r>
                  <w:rPr>
                    <w:rFonts w:cs="Calibri" w:hint="eastAsia"/>
                    <w:bCs/>
                    <w:sz w:val="22"/>
                    <w:szCs w:val="22"/>
                  </w:rPr>
                  <w:t>28,709,010.21</w:t>
                </w:r>
              </w:p>
            </w:tc>
          </w:tr>
          <w:tr w:rsidR="00471D53" w14:paraId="42DFFA03" w14:textId="77777777" w:rsidTr="00471D53">
            <w:sdt>
              <w:sdtPr>
                <w:tag w:val="_PLD_391694c54b6f44458ef39a8b33707c29"/>
                <w:id w:val="455763558"/>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14:paraId="750E5651" w14:textId="77777777" w:rsidR="00471D53" w:rsidRDefault="004F686E">
                    <w:r>
                      <w:rPr>
                        <w:rFonts w:hint="eastAsia"/>
                      </w:rPr>
                      <w:t>二、计入当期损益的设定受益成本</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vAlign w:val="center"/>
              </w:tcPr>
              <w:p w14:paraId="779FB24F" w14:textId="77777777" w:rsidR="00471D53" w:rsidRDefault="004F686E" w:rsidP="00471D53">
                <w:pPr>
                  <w:snapToGrid w:val="0"/>
                  <w:jc w:val="right"/>
                  <w:rPr>
                    <w:sz w:val="22"/>
                    <w:szCs w:val="22"/>
                  </w:rPr>
                </w:pPr>
                <w:r w:rsidRPr="00F37865">
                  <w:rPr>
                    <w:sz w:val="22"/>
                    <w:szCs w:val="22"/>
                  </w:rPr>
                  <w:t>599,810.92</w:t>
                </w:r>
              </w:p>
            </w:tc>
            <w:tc>
              <w:tcPr>
                <w:tcW w:w="1537" w:type="pct"/>
                <w:tcBorders>
                  <w:top w:val="single" w:sz="4" w:space="0" w:color="auto"/>
                  <w:left w:val="single" w:sz="6" w:space="0" w:color="auto"/>
                  <w:bottom w:val="single" w:sz="4" w:space="0" w:color="auto"/>
                  <w:right w:val="single" w:sz="4" w:space="0" w:color="auto"/>
                </w:tcBorders>
                <w:shd w:val="clear" w:color="auto" w:fill="auto"/>
                <w:vAlign w:val="center"/>
              </w:tcPr>
              <w:p w14:paraId="44887AE8" w14:textId="77777777" w:rsidR="00471D53" w:rsidRDefault="004F686E" w:rsidP="00471D53">
                <w:pPr>
                  <w:snapToGrid w:val="0"/>
                  <w:jc w:val="right"/>
                  <w:rPr>
                    <w:sz w:val="22"/>
                    <w:szCs w:val="22"/>
                  </w:rPr>
                </w:pPr>
                <w:r>
                  <w:rPr>
                    <w:rFonts w:hint="eastAsia"/>
                    <w:sz w:val="22"/>
                    <w:szCs w:val="22"/>
                  </w:rPr>
                  <w:t>3,450,410.86</w:t>
                </w:r>
              </w:p>
            </w:tc>
          </w:tr>
          <w:tr w:rsidR="00471D53" w14:paraId="1198BFAA" w14:textId="77777777" w:rsidTr="00471D53">
            <w:sdt>
              <w:sdtPr>
                <w:tag w:val="_PLD_1321571e94834eea82d242dbd1ffce8e"/>
                <w:id w:val="-1345016134"/>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14:paraId="258715DD" w14:textId="77777777" w:rsidR="00471D53" w:rsidRDefault="004F686E">
                    <w:r>
                      <w:t>1.</w:t>
                    </w:r>
                    <w:r>
                      <w:rPr>
                        <w:rFonts w:hint="eastAsia"/>
                      </w:rPr>
                      <w:t>当期服务成本</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vAlign w:val="center"/>
              </w:tcPr>
              <w:p w14:paraId="3912DDB7" w14:textId="77777777" w:rsidR="00471D53" w:rsidRDefault="004F686E" w:rsidP="00471D53">
                <w:pPr>
                  <w:snapToGrid w:val="0"/>
                  <w:jc w:val="right"/>
                  <w:rPr>
                    <w:sz w:val="22"/>
                    <w:szCs w:val="22"/>
                  </w:rPr>
                </w:pPr>
                <w:r w:rsidRPr="00F37865">
                  <w:rPr>
                    <w:sz w:val="22"/>
                    <w:szCs w:val="22"/>
                  </w:rPr>
                  <w:t>15,098.96</w:t>
                </w:r>
              </w:p>
            </w:tc>
            <w:tc>
              <w:tcPr>
                <w:tcW w:w="1537" w:type="pct"/>
                <w:tcBorders>
                  <w:top w:val="single" w:sz="4" w:space="0" w:color="auto"/>
                  <w:left w:val="single" w:sz="6" w:space="0" w:color="auto"/>
                  <w:bottom w:val="single" w:sz="4" w:space="0" w:color="auto"/>
                  <w:right w:val="single" w:sz="4" w:space="0" w:color="auto"/>
                </w:tcBorders>
                <w:shd w:val="clear" w:color="auto" w:fill="auto"/>
                <w:vAlign w:val="center"/>
              </w:tcPr>
              <w:p w14:paraId="23D0855B" w14:textId="77777777" w:rsidR="00471D53" w:rsidRDefault="004F686E" w:rsidP="00471D53">
                <w:pPr>
                  <w:snapToGrid w:val="0"/>
                  <w:jc w:val="right"/>
                  <w:rPr>
                    <w:sz w:val="22"/>
                    <w:szCs w:val="22"/>
                  </w:rPr>
                </w:pPr>
                <w:r>
                  <w:rPr>
                    <w:rFonts w:hint="eastAsia"/>
                    <w:sz w:val="22"/>
                    <w:szCs w:val="22"/>
                  </w:rPr>
                  <w:t>2,699,218.38</w:t>
                </w:r>
              </w:p>
            </w:tc>
          </w:tr>
          <w:tr w:rsidR="00471D53" w14:paraId="7221665B" w14:textId="77777777" w:rsidTr="009123D2">
            <w:sdt>
              <w:sdtPr>
                <w:tag w:val="_PLD_33835dbae78f4139aa449bf2c3c3b8d3"/>
                <w:id w:val="2121716854"/>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14:paraId="2BFD9ACD" w14:textId="77777777" w:rsidR="00471D53" w:rsidRDefault="004F686E">
                    <w:r>
                      <w:t>2.</w:t>
                    </w:r>
                    <w:r>
                      <w:rPr>
                        <w:rFonts w:hint="eastAsia"/>
                      </w:rPr>
                      <w:t>过去服务成本</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14:paraId="4D4C195D" w14:textId="77777777" w:rsidR="00471D53" w:rsidRDefault="00B664AF">
                <w:pPr>
                  <w:jc w:val="right"/>
                </w:pPr>
              </w:p>
            </w:tc>
            <w:tc>
              <w:tcPr>
                <w:tcW w:w="1537" w:type="pct"/>
                <w:tcBorders>
                  <w:top w:val="single" w:sz="4" w:space="0" w:color="auto"/>
                  <w:left w:val="single" w:sz="6" w:space="0" w:color="auto"/>
                  <w:bottom w:val="single" w:sz="4" w:space="0" w:color="auto"/>
                  <w:right w:val="single" w:sz="4" w:space="0" w:color="auto"/>
                </w:tcBorders>
                <w:shd w:val="clear" w:color="auto" w:fill="auto"/>
              </w:tcPr>
              <w:p w14:paraId="7B75D2B5" w14:textId="77777777" w:rsidR="00471D53" w:rsidRDefault="00B664AF">
                <w:pPr>
                  <w:jc w:val="right"/>
                </w:pPr>
              </w:p>
            </w:tc>
          </w:tr>
          <w:tr w:rsidR="00471D53" w14:paraId="7A998408" w14:textId="77777777" w:rsidTr="009123D2">
            <w:sdt>
              <w:sdtPr>
                <w:tag w:val="_PLD_fff0c1ee7da7435091d0797d53046881"/>
                <w:id w:val="236515246"/>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14:paraId="0660B3F6" w14:textId="77777777" w:rsidR="00471D53" w:rsidRDefault="004F686E">
                    <w:r>
                      <w:t>3.</w:t>
                    </w:r>
                    <w:r>
                      <w:rPr>
                        <w:rFonts w:hint="eastAsia"/>
                      </w:rPr>
                      <w:t>结算利得（损失以“－”表示）</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14:paraId="23C7BB1A" w14:textId="77777777" w:rsidR="00471D53" w:rsidRDefault="00B664AF">
                <w:pPr>
                  <w:jc w:val="right"/>
                </w:pPr>
              </w:p>
            </w:tc>
            <w:tc>
              <w:tcPr>
                <w:tcW w:w="1537" w:type="pct"/>
                <w:tcBorders>
                  <w:top w:val="single" w:sz="4" w:space="0" w:color="auto"/>
                  <w:left w:val="single" w:sz="6" w:space="0" w:color="auto"/>
                  <w:bottom w:val="single" w:sz="4" w:space="0" w:color="auto"/>
                  <w:right w:val="single" w:sz="4" w:space="0" w:color="auto"/>
                </w:tcBorders>
                <w:shd w:val="clear" w:color="auto" w:fill="auto"/>
              </w:tcPr>
              <w:p w14:paraId="406194E2" w14:textId="77777777" w:rsidR="00471D53" w:rsidRDefault="00B664AF">
                <w:pPr>
                  <w:jc w:val="right"/>
                </w:pPr>
              </w:p>
            </w:tc>
          </w:tr>
          <w:tr w:rsidR="00471D53" w14:paraId="470DC225" w14:textId="77777777" w:rsidTr="00471D53">
            <w:sdt>
              <w:sdtPr>
                <w:tag w:val="_PLD_6fd0a80267714436833bd7083e5853ee"/>
                <w:id w:val="1361620566"/>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14:paraId="6E6B1041" w14:textId="77777777" w:rsidR="00471D53" w:rsidRDefault="004F686E">
                    <w:r>
                      <w:t>4</w:t>
                    </w:r>
                    <w:r>
                      <w:rPr>
                        <w:rFonts w:hint="eastAsia"/>
                      </w:rPr>
                      <w:t>、利息净额</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vAlign w:val="center"/>
              </w:tcPr>
              <w:p w14:paraId="2F8B04F5" w14:textId="77777777" w:rsidR="00471D53" w:rsidRDefault="004F686E" w:rsidP="00471D53">
                <w:pPr>
                  <w:snapToGrid w:val="0"/>
                  <w:jc w:val="right"/>
                  <w:rPr>
                    <w:sz w:val="22"/>
                    <w:szCs w:val="22"/>
                  </w:rPr>
                </w:pPr>
                <w:r w:rsidRPr="00F37865">
                  <w:rPr>
                    <w:sz w:val="22"/>
                    <w:szCs w:val="22"/>
                  </w:rPr>
                  <w:t>584,711.96</w:t>
                </w:r>
              </w:p>
            </w:tc>
            <w:tc>
              <w:tcPr>
                <w:tcW w:w="1537" w:type="pct"/>
                <w:tcBorders>
                  <w:top w:val="single" w:sz="4" w:space="0" w:color="auto"/>
                  <w:left w:val="single" w:sz="6" w:space="0" w:color="auto"/>
                  <w:bottom w:val="single" w:sz="4" w:space="0" w:color="auto"/>
                  <w:right w:val="single" w:sz="4" w:space="0" w:color="auto"/>
                </w:tcBorders>
                <w:shd w:val="clear" w:color="auto" w:fill="auto"/>
                <w:vAlign w:val="center"/>
              </w:tcPr>
              <w:p w14:paraId="0349F377" w14:textId="77777777" w:rsidR="00471D53" w:rsidRDefault="004F686E" w:rsidP="00471D53">
                <w:pPr>
                  <w:snapToGrid w:val="0"/>
                  <w:jc w:val="right"/>
                  <w:rPr>
                    <w:sz w:val="22"/>
                    <w:szCs w:val="22"/>
                  </w:rPr>
                </w:pPr>
                <w:r>
                  <w:rPr>
                    <w:rFonts w:cs="Calibri" w:hint="eastAsia"/>
                    <w:sz w:val="22"/>
                    <w:szCs w:val="22"/>
                  </w:rPr>
                  <w:t>751,192.48</w:t>
                </w:r>
              </w:p>
            </w:tc>
          </w:tr>
          <w:tr w:rsidR="00471D53" w14:paraId="6A7B1B72" w14:textId="77777777" w:rsidTr="009123D2">
            <w:sdt>
              <w:sdtPr>
                <w:tag w:val="_PLD_83f071c9dd794c1fb00470b92c79bef6"/>
                <w:id w:val="-2069182977"/>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14:paraId="75DDDBD5" w14:textId="77777777" w:rsidR="00471D53" w:rsidRDefault="004F686E">
                    <w:r>
                      <w:rPr>
                        <w:rFonts w:hint="eastAsia"/>
                      </w:rPr>
                      <w:t>三、计入其他综合收益的设定收益成本</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14:paraId="09084AFD" w14:textId="77777777" w:rsidR="00471D53" w:rsidRDefault="00B664AF">
                <w:pPr>
                  <w:jc w:val="right"/>
                </w:pPr>
              </w:p>
            </w:tc>
            <w:tc>
              <w:tcPr>
                <w:tcW w:w="1537" w:type="pct"/>
                <w:tcBorders>
                  <w:top w:val="single" w:sz="4" w:space="0" w:color="auto"/>
                  <w:left w:val="single" w:sz="6" w:space="0" w:color="auto"/>
                  <w:bottom w:val="single" w:sz="4" w:space="0" w:color="auto"/>
                  <w:right w:val="single" w:sz="4" w:space="0" w:color="auto"/>
                </w:tcBorders>
                <w:shd w:val="clear" w:color="auto" w:fill="auto"/>
              </w:tcPr>
              <w:p w14:paraId="1E3175A6" w14:textId="77777777" w:rsidR="00471D53" w:rsidRDefault="00B664AF">
                <w:pPr>
                  <w:jc w:val="right"/>
                </w:pPr>
              </w:p>
            </w:tc>
          </w:tr>
          <w:tr w:rsidR="00471D53" w14:paraId="08D95D87" w14:textId="77777777" w:rsidTr="009123D2">
            <w:sdt>
              <w:sdtPr>
                <w:tag w:val="_PLD_0f6e179974d34980adeb9d782e7681d9"/>
                <w:id w:val="672451252"/>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14:paraId="0FD8E2D2" w14:textId="77777777" w:rsidR="00471D53" w:rsidRDefault="004F686E">
                    <w:r>
                      <w:t>1.</w:t>
                    </w:r>
                    <w:r>
                      <w:rPr>
                        <w:rFonts w:hint="eastAsia"/>
                      </w:rPr>
                      <w:t>精算利得（损失以“－”表示）</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14:paraId="1F179DD2" w14:textId="77777777" w:rsidR="00471D53" w:rsidRDefault="00B664AF">
                <w:pPr>
                  <w:jc w:val="right"/>
                </w:pPr>
              </w:p>
            </w:tc>
            <w:tc>
              <w:tcPr>
                <w:tcW w:w="1537" w:type="pct"/>
                <w:tcBorders>
                  <w:top w:val="single" w:sz="4" w:space="0" w:color="auto"/>
                  <w:left w:val="single" w:sz="6" w:space="0" w:color="auto"/>
                  <w:bottom w:val="single" w:sz="4" w:space="0" w:color="auto"/>
                  <w:right w:val="single" w:sz="4" w:space="0" w:color="auto"/>
                </w:tcBorders>
                <w:shd w:val="clear" w:color="auto" w:fill="auto"/>
              </w:tcPr>
              <w:p w14:paraId="680E54D5" w14:textId="77777777" w:rsidR="00471D53" w:rsidRDefault="00B664AF">
                <w:pPr>
                  <w:jc w:val="right"/>
                </w:pPr>
              </w:p>
            </w:tc>
          </w:tr>
          <w:sdt>
            <w:sdtPr>
              <w:alias w:val="设定受益计划义务现值-计入其他综合收益的设定收益成本明细"/>
              <w:tag w:val="_GBC_67c47024df97426aa5b7c5bd281f18d8"/>
              <w:id w:val="-1009439060"/>
              <w:lock w:val="sdtLocked"/>
            </w:sdtPr>
            <w:sdtEndPr/>
            <w:sdtContent>
              <w:tr w:rsidR="00471D53" w14:paraId="4D729A6A" w14:textId="77777777" w:rsidTr="009123D2">
                <w:tc>
                  <w:tcPr>
                    <w:tcW w:w="1924" w:type="pct"/>
                    <w:tcBorders>
                      <w:top w:val="single" w:sz="6" w:space="0" w:color="auto"/>
                      <w:left w:val="single" w:sz="6" w:space="0" w:color="auto"/>
                      <w:bottom w:val="single" w:sz="6" w:space="0" w:color="auto"/>
                      <w:right w:val="single" w:sz="6" w:space="0" w:color="auto"/>
                    </w:tcBorders>
                    <w:shd w:val="clear" w:color="auto" w:fill="auto"/>
                  </w:tcPr>
                  <w:p w14:paraId="15E5B7F9" w14:textId="77777777" w:rsidR="00471D53" w:rsidRDefault="00B664AF"/>
                </w:tc>
                <w:tc>
                  <w:tcPr>
                    <w:tcW w:w="1539" w:type="pct"/>
                    <w:tcBorders>
                      <w:top w:val="single" w:sz="4" w:space="0" w:color="auto"/>
                      <w:left w:val="single" w:sz="6" w:space="0" w:color="auto"/>
                      <w:bottom w:val="single" w:sz="4" w:space="0" w:color="auto"/>
                      <w:right w:val="single" w:sz="4" w:space="0" w:color="auto"/>
                    </w:tcBorders>
                    <w:shd w:val="clear" w:color="auto" w:fill="auto"/>
                  </w:tcPr>
                  <w:p w14:paraId="28CF7A37" w14:textId="77777777" w:rsidR="00471D53" w:rsidRDefault="00B664AF">
                    <w:pPr>
                      <w:jc w:val="right"/>
                    </w:pPr>
                  </w:p>
                </w:tc>
                <w:tc>
                  <w:tcPr>
                    <w:tcW w:w="1537" w:type="pct"/>
                    <w:tcBorders>
                      <w:top w:val="single" w:sz="4" w:space="0" w:color="auto"/>
                      <w:left w:val="single" w:sz="6" w:space="0" w:color="auto"/>
                      <w:bottom w:val="single" w:sz="4" w:space="0" w:color="auto"/>
                      <w:right w:val="single" w:sz="4" w:space="0" w:color="auto"/>
                    </w:tcBorders>
                    <w:shd w:val="clear" w:color="auto" w:fill="auto"/>
                  </w:tcPr>
                  <w:p w14:paraId="3A9050A5" w14:textId="77777777" w:rsidR="00471D53" w:rsidRDefault="00B664AF">
                    <w:pPr>
                      <w:jc w:val="right"/>
                    </w:pPr>
                  </w:p>
                </w:tc>
              </w:tr>
            </w:sdtContent>
          </w:sdt>
          <w:sdt>
            <w:sdtPr>
              <w:alias w:val="设定受益计划义务现值-计入其他综合收益的设定收益成本明细"/>
              <w:tag w:val="_GBC_67c47024df97426aa5b7c5bd281f18d8"/>
              <w:id w:val="-567803332"/>
              <w:lock w:val="sdtLocked"/>
            </w:sdtPr>
            <w:sdtEndPr/>
            <w:sdtContent>
              <w:tr w:rsidR="00471D53" w14:paraId="3EDDB378" w14:textId="77777777" w:rsidTr="009123D2">
                <w:tc>
                  <w:tcPr>
                    <w:tcW w:w="1924" w:type="pct"/>
                    <w:tcBorders>
                      <w:top w:val="single" w:sz="6" w:space="0" w:color="auto"/>
                      <w:left w:val="single" w:sz="6" w:space="0" w:color="auto"/>
                      <w:bottom w:val="single" w:sz="6" w:space="0" w:color="auto"/>
                      <w:right w:val="single" w:sz="6" w:space="0" w:color="auto"/>
                    </w:tcBorders>
                    <w:shd w:val="clear" w:color="auto" w:fill="auto"/>
                  </w:tcPr>
                  <w:p w14:paraId="2AF3852A" w14:textId="77777777" w:rsidR="00471D53" w:rsidRDefault="00B664AF"/>
                </w:tc>
                <w:tc>
                  <w:tcPr>
                    <w:tcW w:w="1539" w:type="pct"/>
                    <w:tcBorders>
                      <w:top w:val="single" w:sz="4" w:space="0" w:color="auto"/>
                      <w:left w:val="single" w:sz="6" w:space="0" w:color="auto"/>
                      <w:bottom w:val="single" w:sz="4" w:space="0" w:color="auto"/>
                      <w:right w:val="single" w:sz="4" w:space="0" w:color="auto"/>
                    </w:tcBorders>
                    <w:shd w:val="clear" w:color="auto" w:fill="auto"/>
                  </w:tcPr>
                  <w:p w14:paraId="5B4853DA" w14:textId="77777777" w:rsidR="00471D53" w:rsidRDefault="00B664AF">
                    <w:pPr>
                      <w:jc w:val="right"/>
                    </w:pPr>
                  </w:p>
                </w:tc>
                <w:tc>
                  <w:tcPr>
                    <w:tcW w:w="1537" w:type="pct"/>
                    <w:tcBorders>
                      <w:top w:val="single" w:sz="4" w:space="0" w:color="auto"/>
                      <w:left w:val="single" w:sz="6" w:space="0" w:color="auto"/>
                      <w:bottom w:val="single" w:sz="4" w:space="0" w:color="auto"/>
                      <w:right w:val="single" w:sz="4" w:space="0" w:color="auto"/>
                    </w:tcBorders>
                    <w:shd w:val="clear" w:color="auto" w:fill="auto"/>
                  </w:tcPr>
                  <w:p w14:paraId="00C5C9DC" w14:textId="77777777" w:rsidR="00471D53" w:rsidRDefault="00B664AF">
                    <w:pPr>
                      <w:jc w:val="right"/>
                    </w:pPr>
                  </w:p>
                </w:tc>
              </w:tr>
            </w:sdtContent>
          </w:sdt>
          <w:tr w:rsidR="00471D53" w14:paraId="199D2403" w14:textId="77777777" w:rsidTr="00471D53">
            <w:sdt>
              <w:sdtPr>
                <w:tag w:val="_PLD_c729a872b31940918796b9ddc8b3d264"/>
                <w:id w:val="-19093822"/>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14:paraId="7754021E" w14:textId="77777777" w:rsidR="00471D53" w:rsidRDefault="004F686E">
                    <w:r>
                      <w:rPr>
                        <w:rFonts w:hint="eastAsia"/>
                      </w:rPr>
                      <w:t>四、其他变动</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vAlign w:val="center"/>
              </w:tcPr>
              <w:p w14:paraId="08407FF2" w14:textId="77777777" w:rsidR="00471D53" w:rsidRDefault="004F686E" w:rsidP="00471D53">
                <w:pPr>
                  <w:snapToGrid w:val="0"/>
                  <w:jc w:val="right"/>
                  <w:rPr>
                    <w:sz w:val="22"/>
                    <w:szCs w:val="22"/>
                  </w:rPr>
                </w:pPr>
                <w:r w:rsidRPr="00F37865">
                  <w:rPr>
                    <w:sz w:val="22"/>
                    <w:szCs w:val="22"/>
                  </w:rPr>
                  <w:t>-449,337.28</w:t>
                </w:r>
              </w:p>
            </w:tc>
            <w:tc>
              <w:tcPr>
                <w:tcW w:w="1537" w:type="pct"/>
                <w:tcBorders>
                  <w:top w:val="single" w:sz="4" w:space="0" w:color="auto"/>
                  <w:left w:val="single" w:sz="6" w:space="0" w:color="auto"/>
                  <w:bottom w:val="single" w:sz="4" w:space="0" w:color="auto"/>
                  <w:right w:val="single" w:sz="4" w:space="0" w:color="auto"/>
                </w:tcBorders>
                <w:shd w:val="clear" w:color="auto" w:fill="auto"/>
                <w:vAlign w:val="center"/>
              </w:tcPr>
              <w:p w14:paraId="2D791812" w14:textId="77777777" w:rsidR="00471D53" w:rsidRDefault="004F686E" w:rsidP="00471D53">
                <w:pPr>
                  <w:snapToGrid w:val="0"/>
                  <w:jc w:val="right"/>
                  <w:rPr>
                    <w:sz w:val="22"/>
                    <w:szCs w:val="22"/>
                  </w:rPr>
                </w:pPr>
                <w:r>
                  <w:rPr>
                    <w:rFonts w:cs="Calibri" w:hint="eastAsia"/>
                    <w:sz w:val="22"/>
                    <w:szCs w:val="22"/>
                  </w:rPr>
                  <w:t>-974,783.30</w:t>
                </w:r>
              </w:p>
            </w:tc>
          </w:tr>
          <w:tr w:rsidR="00471D53" w14:paraId="131E4325" w14:textId="77777777" w:rsidTr="009123D2">
            <w:sdt>
              <w:sdtPr>
                <w:tag w:val="_PLD_b62cb34fbb5f49ada8114d2fa0b2744b"/>
                <w:id w:val="-1336602562"/>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14:paraId="3C7B46C8" w14:textId="77777777" w:rsidR="00471D53" w:rsidRDefault="004F686E">
                    <w:r>
                      <w:t>1.</w:t>
                    </w:r>
                    <w:r>
                      <w:rPr>
                        <w:rFonts w:hint="eastAsia"/>
                      </w:rPr>
                      <w:t>结算时支付的对价</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14:paraId="7570B97B" w14:textId="77777777" w:rsidR="00471D53" w:rsidRDefault="00B664AF">
                <w:pPr>
                  <w:jc w:val="right"/>
                </w:pPr>
              </w:p>
            </w:tc>
            <w:tc>
              <w:tcPr>
                <w:tcW w:w="1537" w:type="pct"/>
                <w:tcBorders>
                  <w:top w:val="single" w:sz="4" w:space="0" w:color="auto"/>
                  <w:left w:val="single" w:sz="6" w:space="0" w:color="auto"/>
                  <w:bottom w:val="single" w:sz="4" w:space="0" w:color="auto"/>
                  <w:right w:val="single" w:sz="4" w:space="0" w:color="auto"/>
                </w:tcBorders>
                <w:shd w:val="clear" w:color="auto" w:fill="auto"/>
              </w:tcPr>
              <w:p w14:paraId="0088973A" w14:textId="77777777" w:rsidR="00471D53" w:rsidRDefault="00B664AF">
                <w:pPr>
                  <w:jc w:val="right"/>
                </w:pPr>
              </w:p>
            </w:tc>
          </w:tr>
          <w:tr w:rsidR="00471D53" w14:paraId="40A09EB5" w14:textId="77777777" w:rsidTr="00471D53">
            <w:sdt>
              <w:sdtPr>
                <w:tag w:val="_PLD_21f834174727463abc6e4576bb81dace"/>
                <w:id w:val="1804578662"/>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14:paraId="0B02A954" w14:textId="77777777" w:rsidR="00471D53" w:rsidRDefault="004F686E">
                    <w:r>
                      <w:t>2.</w:t>
                    </w:r>
                    <w:r>
                      <w:rPr>
                        <w:rFonts w:hint="eastAsia"/>
                      </w:rPr>
                      <w:t>已支付的福利</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vAlign w:val="center"/>
              </w:tcPr>
              <w:p w14:paraId="1C7863ED" w14:textId="77777777" w:rsidR="00471D53" w:rsidRDefault="004F686E" w:rsidP="00471D53">
                <w:pPr>
                  <w:snapToGrid w:val="0"/>
                  <w:jc w:val="right"/>
                  <w:rPr>
                    <w:sz w:val="22"/>
                    <w:szCs w:val="22"/>
                  </w:rPr>
                </w:pPr>
                <w:r w:rsidRPr="00F37865">
                  <w:rPr>
                    <w:sz w:val="22"/>
                    <w:szCs w:val="22"/>
                  </w:rPr>
                  <w:t>-449,337.28</w:t>
                </w:r>
              </w:p>
            </w:tc>
            <w:tc>
              <w:tcPr>
                <w:tcW w:w="1537" w:type="pct"/>
                <w:tcBorders>
                  <w:top w:val="single" w:sz="4" w:space="0" w:color="auto"/>
                  <w:left w:val="single" w:sz="6" w:space="0" w:color="auto"/>
                  <w:bottom w:val="single" w:sz="4" w:space="0" w:color="auto"/>
                  <w:right w:val="single" w:sz="4" w:space="0" w:color="auto"/>
                </w:tcBorders>
                <w:shd w:val="clear" w:color="auto" w:fill="auto"/>
                <w:vAlign w:val="center"/>
              </w:tcPr>
              <w:p w14:paraId="519E4A99" w14:textId="77777777" w:rsidR="00471D53" w:rsidRDefault="004F686E" w:rsidP="00471D53">
                <w:pPr>
                  <w:snapToGrid w:val="0"/>
                  <w:jc w:val="right"/>
                  <w:rPr>
                    <w:sz w:val="22"/>
                    <w:szCs w:val="22"/>
                  </w:rPr>
                </w:pPr>
                <w:r>
                  <w:rPr>
                    <w:rFonts w:cs="Calibri" w:hint="eastAsia"/>
                    <w:sz w:val="22"/>
                    <w:szCs w:val="22"/>
                  </w:rPr>
                  <w:t>-974,783.30</w:t>
                </w:r>
              </w:p>
            </w:tc>
          </w:tr>
          <w:sdt>
            <w:sdtPr>
              <w:alias w:val="设定受益计划义务现值-其他变动明细"/>
              <w:tag w:val="_GBC_9822ec4b942b4732922c8717e4230169"/>
              <w:id w:val="943502259"/>
              <w:lock w:val="sdtLocked"/>
            </w:sdtPr>
            <w:sdtEndPr/>
            <w:sdtContent>
              <w:tr w:rsidR="00471D53" w14:paraId="575685D8" w14:textId="77777777" w:rsidTr="009123D2">
                <w:tc>
                  <w:tcPr>
                    <w:tcW w:w="1924" w:type="pct"/>
                    <w:tcBorders>
                      <w:top w:val="single" w:sz="4" w:space="0" w:color="auto"/>
                      <w:left w:val="single" w:sz="4" w:space="0" w:color="auto"/>
                      <w:bottom w:val="single" w:sz="6" w:space="0" w:color="auto"/>
                      <w:right w:val="single" w:sz="6" w:space="0" w:color="auto"/>
                    </w:tcBorders>
                    <w:shd w:val="clear" w:color="auto" w:fill="auto"/>
                    <w:hideMark/>
                  </w:tcPr>
                  <w:p w14:paraId="6CF55866" w14:textId="77777777" w:rsidR="00471D53" w:rsidRDefault="00B664AF"/>
                </w:tc>
                <w:tc>
                  <w:tcPr>
                    <w:tcW w:w="1539" w:type="pct"/>
                    <w:tcBorders>
                      <w:top w:val="single" w:sz="4" w:space="0" w:color="auto"/>
                      <w:left w:val="single" w:sz="6" w:space="0" w:color="auto"/>
                      <w:bottom w:val="single" w:sz="4" w:space="0" w:color="auto"/>
                      <w:right w:val="single" w:sz="4" w:space="0" w:color="auto"/>
                    </w:tcBorders>
                    <w:shd w:val="clear" w:color="auto" w:fill="auto"/>
                  </w:tcPr>
                  <w:p w14:paraId="1B4D284F" w14:textId="77777777" w:rsidR="00471D53" w:rsidRDefault="00B664AF">
                    <w:pPr>
                      <w:jc w:val="right"/>
                    </w:pPr>
                  </w:p>
                </w:tc>
                <w:tc>
                  <w:tcPr>
                    <w:tcW w:w="1537" w:type="pct"/>
                    <w:tcBorders>
                      <w:top w:val="single" w:sz="4" w:space="0" w:color="auto"/>
                      <w:left w:val="single" w:sz="6" w:space="0" w:color="auto"/>
                      <w:bottom w:val="single" w:sz="4" w:space="0" w:color="auto"/>
                      <w:right w:val="single" w:sz="4" w:space="0" w:color="auto"/>
                    </w:tcBorders>
                    <w:shd w:val="clear" w:color="auto" w:fill="auto"/>
                  </w:tcPr>
                  <w:p w14:paraId="7A101DDC" w14:textId="77777777" w:rsidR="00471D53" w:rsidRDefault="00B664AF">
                    <w:pPr>
                      <w:jc w:val="right"/>
                    </w:pPr>
                  </w:p>
                </w:tc>
              </w:tr>
            </w:sdtContent>
          </w:sdt>
          <w:sdt>
            <w:sdtPr>
              <w:alias w:val="设定受益计划义务现值-其他变动明细"/>
              <w:tag w:val="_GBC_9822ec4b942b4732922c8717e4230169"/>
              <w:id w:val="1192576726"/>
              <w:lock w:val="sdtLocked"/>
            </w:sdtPr>
            <w:sdtEndPr/>
            <w:sdtContent>
              <w:tr w:rsidR="00471D53" w14:paraId="6CB773E9" w14:textId="77777777" w:rsidTr="009123D2">
                <w:tc>
                  <w:tcPr>
                    <w:tcW w:w="1924" w:type="pct"/>
                    <w:tcBorders>
                      <w:top w:val="single" w:sz="4" w:space="0" w:color="auto"/>
                      <w:left w:val="single" w:sz="4" w:space="0" w:color="auto"/>
                      <w:bottom w:val="single" w:sz="6" w:space="0" w:color="auto"/>
                      <w:right w:val="single" w:sz="6" w:space="0" w:color="auto"/>
                    </w:tcBorders>
                    <w:shd w:val="clear" w:color="auto" w:fill="auto"/>
                    <w:hideMark/>
                  </w:tcPr>
                  <w:p w14:paraId="397351C8" w14:textId="77777777" w:rsidR="00471D53" w:rsidRDefault="00B664AF"/>
                </w:tc>
                <w:tc>
                  <w:tcPr>
                    <w:tcW w:w="1539" w:type="pct"/>
                    <w:tcBorders>
                      <w:top w:val="single" w:sz="4" w:space="0" w:color="auto"/>
                      <w:left w:val="single" w:sz="6" w:space="0" w:color="auto"/>
                      <w:bottom w:val="single" w:sz="4" w:space="0" w:color="auto"/>
                      <w:right w:val="single" w:sz="4" w:space="0" w:color="auto"/>
                    </w:tcBorders>
                    <w:shd w:val="clear" w:color="auto" w:fill="auto"/>
                  </w:tcPr>
                  <w:p w14:paraId="18153A7A" w14:textId="77777777" w:rsidR="00471D53" w:rsidRDefault="00B664AF">
                    <w:pPr>
                      <w:jc w:val="right"/>
                    </w:pPr>
                  </w:p>
                </w:tc>
                <w:tc>
                  <w:tcPr>
                    <w:tcW w:w="1537" w:type="pct"/>
                    <w:tcBorders>
                      <w:top w:val="single" w:sz="4" w:space="0" w:color="auto"/>
                      <w:left w:val="single" w:sz="6" w:space="0" w:color="auto"/>
                      <w:bottom w:val="single" w:sz="4" w:space="0" w:color="auto"/>
                      <w:right w:val="single" w:sz="4" w:space="0" w:color="auto"/>
                    </w:tcBorders>
                    <w:shd w:val="clear" w:color="auto" w:fill="auto"/>
                  </w:tcPr>
                  <w:p w14:paraId="0171257A" w14:textId="77777777" w:rsidR="00471D53" w:rsidRDefault="00B664AF">
                    <w:pPr>
                      <w:jc w:val="right"/>
                    </w:pPr>
                  </w:p>
                </w:tc>
              </w:tr>
            </w:sdtContent>
          </w:sdt>
          <w:tr w:rsidR="00471D53" w14:paraId="2827EF75" w14:textId="77777777" w:rsidTr="00471D53">
            <w:sdt>
              <w:sdtPr>
                <w:tag w:val="_PLD_5e3f7fa86b304b8eb90c329578680944"/>
                <w:id w:val="-614055631"/>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14:paraId="39F50ACD" w14:textId="77777777" w:rsidR="00471D53" w:rsidRDefault="004F686E">
                    <w:r>
                      <w:rPr>
                        <w:rFonts w:hint="eastAsia"/>
                      </w:rPr>
                      <w:t>五、期末余额</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vAlign w:val="center"/>
              </w:tcPr>
              <w:p w14:paraId="18341D0A" w14:textId="77777777" w:rsidR="00471D53" w:rsidRDefault="004F686E" w:rsidP="00471D53">
                <w:pPr>
                  <w:snapToGrid w:val="0"/>
                  <w:jc w:val="right"/>
                  <w:rPr>
                    <w:bCs/>
                    <w:sz w:val="22"/>
                    <w:szCs w:val="22"/>
                  </w:rPr>
                </w:pPr>
                <w:r w:rsidRPr="00F37865">
                  <w:rPr>
                    <w:bCs/>
                    <w:sz w:val="22"/>
                    <w:szCs w:val="22"/>
                  </w:rPr>
                  <w:t>31,335,111.41</w:t>
                </w:r>
              </w:p>
            </w:tc>
            <w:tc>
              <w:tcPr>
                <w:tcW w:w="1537" w:type="pct"/>
                <w:tcBorders>
                  <w:top w:val="single" w:sz="4" w:space="0" w:color="auto"/>
                  <w:left w:val="single" w:sz="6" w:space="0" w:color="auto"/>
                  <w:bottom w:val="single" w:sz="4" w:space="0" w:color="auto"/>
                  <w:right w:val="single" w:sz="4" w:space="0" w:color="auto"/>
                </w:tcBorders>
                <w:shd w:val="clear" w:color="auto" w:fill="auto"/>
                <w:vAlign w:val="center"/>
              </w:tcPr>
              <w:p w14:paraId="224ABC56" w14:textId="77777777" w:rsidR="00471D53" w:rsidRDefault="004F686E" w:rsidP="00471D53">
                <w:pPr>
                  <w:snapToGrid w:val="0"/>
                  <w:jc w:val="right"/>
                  <w:rPr>
                    <w:bCs/>
                    <w:sz w:val="22"/>
                    <w:szCs w:val="22"/>
                  </w:rPr>
                </w:pPr>
                <w:r>
                  <w:rPr>
                    <w:rFonts w:cs="Calibri" w:hint="eastAsia"/>
                    <w:bCs/>
                    <w:sz w:val="22"/>
                    <w:szCs w:val="22"/>
                  </w:rPr>
                  <w:t>31,184,637.77</w:t>
                </w:r>
              </w:p>
            </w:tc>
          </w:tr>
        </w:tbl>
        <w:p w14:paraId="1F1A2888" w14:textId="77777777" w:rsidR="00471D53" w:rsidRDefault="00B664AF"/>
        <w:p w14:paraId="4991B8C1" w14:textId="77777777" w:rsidR="00471D53" w:rsidRDefault="004F686E">
          <w:pPr>
            <w:rPr>
              <w:szCs w:val="21"/>
            </w:rPr>
          </w:pPr>
          <w:r>
            <w:rPr>
              <w:rFonts w:hint="eastAsia"/>
              <w:szCs w:val="21"/>
            </w:rPr>
            <w:t>计划资产：</w:t>
          </w:r>
        </w:p>
        <w:sdt>
          <w:sdtPr>
            <w:rPr>
              <w:szCs w:val="21"/>
            </w:rPr>
            <w:alias w:val="是否适用：设定受益计划变动情况_计划资产[双击切换]"/>
            <w:tag w:val="_GBC_c2b590ce2cf24711a0d840605c251bba"/>
            <w:id w:val="1498848930"/>
            <w:lock w:val="sdtLocked"/>
            <w:placeholder>
              <w:docPart w:val="GBC22222222222222222222222222222"/>
            </w:placeholder>
          </w:sdtPr>
          <w:sdtEndPr/>
          <w:sdtContent>
            <w:p w14:paraId="7669ABA9" w14:textId="77777777" w:rsidR="00471D53" w:rsidRDefault="004F686E" w:rsidP="00471D53">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25502658" w14:textId="77777777" w:rsidR="00471D53" w:rsidRDefault="004F686E">
          <w:r>
            <w:rPr>
              <w:rFonts w:hint="eastAsia"/>
            </w:rPr>
            <w:t>设定受益计划净负债（净资产）</w:t>
          </w:r>
        </w:p>
        <w:sdt>
          <w:sdtPr>
            <w:alias w:val="是否适用：设定受益计划变动情况_设定受益计划净负债[双击切换]"/>
            <w:tag w:val="_GBC_c9a00f9cf02f40478b9c06d7ded58e74"/>
            <w:id w:val="250709538"/>
            <w:lock w:val="sdtLocked"/>
            <w:placeholder>
              <w:docPart w:val="GBC22222222222222222222222222222"/>
            </w:placeholder>
          </w:sdtPr>
          <w:sdtEndPr/>
          <w:sdtContent>
            <w:p w14:paraId="0EDBCD52"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6F34E42" w14:textId="7B8BCB85" w:rsidR="00471D53" w:rsidRDefault="004F686E">
          <w:pPr>
            <w:jc w:val="right"/>
          </w:pPr>
          <w:r>
            <w:rPr>
              <w:rFonts w:hint="eastAsia"/>
            </w:rPr>
            <w:lastRenderedPageBreak/>
            <w:t>单位：</w:t>
          </w:r>
          <w:sdt>
            <w:sdtPr>
              <w:rPr>
                <w:rFonts w:hint="eastAsia"/>
              </w:rPr>
              <w:alias w:val="单位：财务附注：设定受益计划净负债"/>
              <w:tag w:val="_GBC_54fbb7ef15b042f89b56d20b667a2060"/>
              <w:id w:val="59113912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default"/>
              </w:rPr>
            </w:sdtEndPr>
            <w:sdtContent>
              <w:r>
                <w:rPr>
                  <w:rFonts w:hint="eastAsia"/>
                </w:rPr>
                <w:t>元</w:t>
              </w:r>
            </w:sdtContent>
          </w:sdt>
          <w:r>
            <w:t>币种：</w:t>
          </w:r>
          <w:sdt>
            <w:sdtPr>
              <w:alias w:val="币种：财务附注：设定受益计划净负债"/>
              <w:tag w:val="_GBC_2d5d717f2c854d76a0297479a4e0a843"/>
              <w:id w:val="-4210334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6"/>
            <w:gridCol w:w="2702"/>
            <w:gridCol w:w="2702"/>
          </w:tblGrid>
          <w:tr w:rsidR="00471D53" w14:paraId="3539CC42" w14:textId="77777777" w:rsidTr="00BD4BCC">
            <w:sdt>
              <w:sdtPr>
                <w:tag w:val="_PLD_61ac687fac4043bda02be8394aecf94d"/>
                <w:id w:val="1762173684"/>
                <w:lock w:val="sdtLocked"/>
              </w:sdtPr>
              <w:sdtEndPr/>
              <w:sdtContent>
                <w:tc>
                  <w:tcPr>
                    <w:tcW w:w="1936" w:type="pct"/>
                    <w:tcBorders>
                      <w:left w:val="single" w:sz="6" w:space="0" w:color="auto"/>
                      <w:bottom w:val="single" w:sz="6" w:space="0" w:color="auto"/>
                      <w:right w:val="single" w:sz="6" w:space="0" w:color="auto"/>
                    </w:tcBorders>
                    <w:shd w:val="clear" w:color="auto" w:fill="auto"/>
                    <w:vAlign w:val="center"/>
                    <w:hideMark/>
                  </w:tcPr>
                  <w:p w14:paraId="098D79EB" w14:textId="77777777" w:rsidR="00471D53" w:rsidRDefault="004F686E">
                    <w:pPr>
                      <w:jc w:val="center"/>
                    </w:pPr>
                    <w:r>
                      <w:rPr>
                        <w:rFonts w:hint="eastAsia"/>
                      </w:rPr>
                      <w:t>项目</w:t>
                    </w:r>
                  </w:p>
                </w:tc>
              </w:sdtContent>
            </w:sdt>
            <w:sdt>
              <w:sdtPr>
                <w:tag w:val="_PLD_d4b13d12aa5c4ca19b6be5bdcebb5d2b"/>
                <w:id w:val="-1054084122"/>
                <w:lock w:val="sdtLocked"/>
              </w:sdtPr>
              <w:sdtEndPr/>
              <w:sdtContent>
                <w:tc>
                  <w:tcPr>
                    <w:tcW w:w="1532" w:type="pct"/>
                    <w:tcBorders>
                      <w:top w:val="single" w:sz="6" w:space="0" w:color="auto"/>
                      <w:left w:val="single" w:sz="4" w:space="0" w:color="auto"/>
                      <w:bottom w:val="single" w:sz="4" w:space="0" w:color="auto"/>
                      <w:right w:val="single" w:sz="4" w:space="0" w:color="auto"/>
                    </w:tcBorders>
                    <w:shd w:val="clear" w:color="auto" w:fill="auto"/>
                    <w:vAlign w:val="center"/>
                    <w:hideMark/>
                  </w:tcPr>
                  <w:p w14:paraId="35FBF549" w14:textId="77777777" w:rsidR="00471D53" w:rsidRDefault="004F686E">
                    <w:pPr>
                      <w:jc w:val="center"/>
                    </w:pPr>
                    <w:r>
                      <w:rPr>
                        <w:rFonts w:hint="eastAsia"/>
                      </w:rPr>
                      <w:t>本期发生额</w:t>
                    </w:r>
                  </w:p>
                </w:tc>
              </w:sdtContent>
            </w:sdt>
            <w:sdt>
              <w:sdtPr>
                <w:tag w:val="_PLD_0512a503d7614b0594f8c1afa3ea96b1"/>
                <w:id w:val="527989894"/>
                <w:lock w:val="sdtLocked"/>
              </w:sdtPr>
              <w:sdtEndPr/>
              <w:sdtContent>
                <w:tc>
                  <w:tcPr>
                    <w:tcW w:w="1532" w:type="pct"/>
                    <w:tcBorders>
                      <w:top w:val="single" w:sz="6" w:space="0" w:color="auto"/>
                      <w:left w:val="single" w:sz="4" w:space="0" w:color="auto"/>
                      <w:bottom w:val="single" w:sz="4" w:space="0" w:color="auto"/>
                      <w:right w:val="single" w:sz="4" w:space="0" w:color="auto"/>
                    </w:tcBorders>
                    <w:shd w:val="clear" w:color="auto" w:fill="auto"/>
                    <w:vAlign w:val="center"/>
                    <w:hideMark/>
                  </w:tcPr>
                  <w:p w14:paraId="46FF4137" w14:textId="77777777" w:rsidR="00471D53" w:rsidRDefault="004F686E">
                    <w:pPr>
                      <w:jc w:val="center"/>
                    </w:pPr>
                    <w:r>
                      <w:rPr>
                        <w:rFonts w:hint="eastAsia"/>
                      </w:rPr>
                      <w:t>上期发生额</w:t>
                    </w:r>
                  </w:p>
                </w:tc>
              </w:sdtContent>
            </w:sdt>
          </w:tr>
          <w:tr w:rsidR="00471D53" w14:paraId="24CE39CF" w14:textId="77777777" w:rsidTr="00BD4BCC">
            <w:sdt>
              <w:sdtPr>
                <w:tag w:val="_PLD_13ab00000a374a44beda4a3cdc90def7"/>
                <w:id w:val="2077239852"/>
                <w:lock w:val="sdtLocked"/>
              </w:sdtPr>
              <w:sdtEndPr/>
              <w:sdtContent>
                <w:tc>
                  <w:tcPr>
                    <w:tcW w:w="1936" w:type="pct"/>
                    <w:tcBorders>
                      <w:top w:val="single" w:sz="6" w:space="0" w:color="auto"/>
                      <w:left w:val="single" w:sz="6" w:space="0" w:color="auto"/>
                      <w:bottom w:val="single" w:sz="6" w:space="0" w:color="auto"/>
                      <w:right w:val="single" w:sz="6" w:space="0" w:color="auto"/>
                    </w:tcBorders>
                    <w:shd w:val="clear" w:color="auto" w:fill="auto"/>
                    <w:vAlign w:val="center"/>
                  </w:tcPr>
                  <w:p w14:paraId="055DDA32" w14:textId="77777777" w:rsidR="00471D53" w:rsidRDefault="004F686E">
                    <w:r>
                      <w:rPr>
                        <w:rFonts w:hint="eastAsia"/>
                      </w:rPr>
                      <w:t>一、期初余额</w:t>
                    </w:r>
                  </w:p>
                </w:tc>
              </w:sdtContent>
            </w:sdt>
            <w:tc>
              <w:tcPr>
                <w:tcW w:w="1532" w:type="pct"/>
                <w:tcBorders>
                  <w:top w:val="single" w:sz="6" w:space="0" w:color="auto"/>
                  <w:left w:val="single" w:sz="4" w:space="0" w:color="auto"/>
                  <w:bottom w:val="single" w:sz="4" w:space="0" w:color="auto"/>
                  <w:right w:val="single" w:sz="4" w:space="0" w:color="auto"/>
                </w:tcBorders>
                <w:shd w:val="clear" w:color="auto" w:fill="auto"/>
                <w:vAlign w:val="center"/>
              </w:tcPr>
              <w:p w14:paraId="26EE55D9" w14:textId="77777777" w:rsidR="00471D53" w:rsidRDefault="004F686E" w:rsidP="00471D53">
                <w:pPr>
                  <w:snapToGrid w:val="0"/>
                  <w:jc w:val="right"/>
                  <w:rPr>
                    <w:sz w:val="22"/>
                    <w:szCs w:val="22"/>
                  </w:rPr>
                </w:pPr>
                <w:r w:rsidRPr="00F37865">
                  <w:rPr>
                    <w:sz w:val="22"/>
                    <w:szCs w:val="22"/>
                  </w:rPr>
                  <w:t>31,184,637.77</w:t>
                </w:r>
              </w:p>
            </w:tc>
            <w:tc>
              <w:tcPr>
                <w:tcW w:w="1532" w:type="pct"/>
                <w:tcBorders>
                  <w:top w:val="single" w:sz="6" w:space="0" w:color="auto"/>
                  <w:left w:val="single" w:sz="4" w:space="0" w:color="auto"/>
                  <w:bottom w:val="single" w:sz="4" w:space="0" w:color="auto"/>
                  <w:right w:val="single" w:sz="4" w:space="0" w:color="auto"/>
                </w:tcBorders>
                <w:shd w:val="clear" w:color="auto" w:fill="auto"/>
                <w:vAlign w:val="center"/>
              </w:tcPr>
              <w:p w14:paraId="20602DEA" w14:textId="77777777" w:rsidR="00471D53" w:rsidRDefault="004F686E" w:rsidP="00471D53">
                <w:pPr>
                  <w:snapToGrid w:val="0"/>
                  <w:jc w:val="right"/>
                  <w:rPr>
                    <w:sz w:val="22"/>
                    <w:szCs w:val="22"/>
                  </w:rPr>
                </w:pPr>
                <w:r>
                  <w:rPr>
                    <w:rFonts w:cs="Calibri" w:hint="eastAsia"/>
                    <w:sz w:val="22"/>
                    <w:szCs w:val="22"/>
                  </w:rPr>
                  <w:t>28,709,010.21</w:t>
                </w:r>
              </w:p>
            </w:tc>
          </w:tr>
          <w:tr w:rsidR="00471D53" w14:paraId="19F863BE" w14:textId="77777777" w:rsidTr="00471D53">
            <w:sdt>
              <w:sdtPr>
                <w:tag w:val="_PLD_e11e10f9c7ab4595ad3a9ed8cae1dd8c"/>
                <w:id w:val="844282525"/>
                <w:lock w:val="sdtLocked"/>
              </w:sdtPr>
              <w:sdtEndPr/>
              <w:sdtContent>
                <w:tc>
                  <w:tcPr>
                    <w:tcW w:w="1936" w:type="pct"/>
                    <w:tcBorders>
                      <w:top w:val="single" w:sz="6" w:space="0" w:color="auto"/>
                      <w:left w:val="single" w:sz="6" w:space="0" w:color="auto"/>
                      <w:bottom w:val="single" w:sz="6" w:space="0" w:color="auto"/>
                      <w:right w:val="single" w:sz="6" w:space="0" w:color="auto"/>
                    </w:tcBorders>
                    <w:shd w:val="clear" w:color="auto" w:fill="auto"/>
                    <w:hideMark/>
                  </w:tcPr>
                  <w:p w14:paraId="168C7ED6" w14:textId="77777777" w:rsidR="00471D53" w:rsidRDefault="004F686E">
                    <w:r>
                      <w:rPr>
                        <w:rFonts w:hint="eastAsia"/>
                      </w:rPr>
                      <w:t>二、计入当期损益的设定受益成本</w:t>
                    </w:r>
                  </w:p>
                </w:tc>
              </w:sdtContent>
            </w:sdt>
            <w:tc>
              <w:tcPr>
                <w:tcW w:w="1532" w:type="pct"/>
                <w:tcBorders>
                  <w:top w:val="single" w:sz="4" w:space="0" w:color="auto"/>
                  <w:left w:val="single" w:sz="4" w:space="0" w:color="auto"/>
                  <w:bottom w:val="single" w:sz="4" w:space="0" w:color="auto"/>
                  <w:right w:val="single" w:sz="4" w:space="0" w:color="auto"/>
                </w:tcBorders>
                <w:shd w:val="clear" w:color="auto" w:fill="auto"/>
                <w:vAlign w:val="center"/>
              </w:tcPr>
              <w:p w14:paraId="71754669" w14:textId="77777777" w:rsidR="00471D53" w:rsidRDefault="004F686E" w:rsidP="00471D53">
                <w:pPr>
                  <w:snapToGrid w:val="0"/>
                  <w:jc w:val="right"/>
                  <w:rPr>
                    <w:sz w:val="22"/>
                    <w:szCs w:val="22"/>
                  </w:rPr>
                </w:pPr>
                <w:r w:rsidRPr="00F37865">
                  <w:rPr>
                    <w:sz w:val="22"/>
                    <w:szCs w:val="22"/>
                  </w:rPr>
                  <w:t>599,810.92</w:t>
                </w:r>
              </w:p>
            </w:tc>
            <w:tc>
              <w:tcPr>
                <w:tcW w:w="1532" w:type="pct"/>
                <w:tcBorders>
                  <w:top w:val="single" w:sz="4" w:space="0" w:color="auto"/>
                  <w:left w:val="single" w:sz="4" w:space="0" w:color="auto"/>
                  <w:bottom w:val="single" w:sz="4" w:space="0" w:color="auto"/>
                  <w:right w:val="single" w:sz="4" w:space="0" w:color="auto"/>
                </w:tcBorders>
                <w:shd w:val="clear" w:color="auto" w:fill="auto"/>
                <w:vAlign w:val="center"/>
              </w:tcPr>
              <w:p w14:paraId="3B1B1B70" w14:textId="77777777" w:rsidR="00471D53" w:rsidRDefault="004F686E" w:rsidP="00471D53">
                <w:pPr>
                  <w:snapToGrid w:val="0"/>
                  <w:jc w:val="right"/>
                  <w:rPr>
                    <w:sz w:val="22"/>
                    <w:szCs w:val="22"/>
                  </w:rPr>
                </w:pPr>
                <w:r>
                  <w:rPr>
                    <w:rFonts w:cs="Calibri" w:hint="eastAsia"/>
                    <w:sz w:val="22"/>
                    <w:szCs w:val="22"/>
                  </w:rPr>
                  <w:t>3,450,410.86</w:t>
                </w:r>
              </w:p>
            </w:tc>
          </w:tr>
          <w:tr w:rsidR="00471D53" w14:paraId="298F91E2" w14:textId="77777777" w:rsidTr="00BD4BCC">
            <w:sdt>
              <w:sdtPr>
                <w:tag w:val="_PLD_739df71bdc8643a58d9597c01d63f131"/>
                <w:id w:val="-1937426147"/>
                <w:lock w:val="sdtLocked"/>
              </w:sdtPr>
              <w:sdtEndPr/>
              <w:sdtContent>
                <w:tc>
                  <w:tcPr>
                    <w:tcW w:w="1936" w:type="pct"/>
                    <w:tcBorders>
                      <w:top w:val="single" w:sz="6" w:space="0" w:color="auto"/>
                      <w:left w:val="single" w:sz="6" w:space="0" w:color="auto"/>
                      <w:bottom w:val="single" w:sz="6" w:space="0" w:color="auto"/>
                      <w:right w:val="single" w:sz="6" w:space="0" w:color="auto"/>
                    </w:tcBorders>
                    <w:shd w:val="clear" w:color="auto" w:fill="auto"/>
                    <w:hideMark/>
                  </w:tcPr>
                  <w:p w14:paraId="69173182" w14:textId="77777777" w:rsidR="00471D53" w:rsidRDefault="004F686E">
                    <w:r>
                      <w:rPr>
                        <w:rFonts w:hint="eastAsia"/>
                      </w:rPr>
                      <w:t>三、计入其他综合收益的设定收益成本</w:t>
                    </w:r>
                  </w:p>
                </w:tc>
              </w:sdtContent>
            </w:sdt>
            <w:tc>
              <w:tcPr>
                <w:tcW w:w="1532" w:type="pct"/>
                <w:tcBorders>
                  <w:top w:val="single" w:sz="4" w:space="0" w:color="auto"/>
                  <w:left w:val="single" w:sz="4" w:space="0" w:color="auto"/>
                  <w:bottom w:val="single" w:sz="4" w:space="0" w:color="auto"/>
                  <w:right w:val="single" w:sz="4" w:space="0" w:color="auto"/>
                </w:tcBorders>
                <w:shd w:val="clear" w:color="auto" w:fill="auto"/>
              </w:tcPr>
              <w:p w14:paraId="229B8305" w14:textId="77777777" w:rsidR="00471D53" w:rsidRDefault="00B664AF">
                <w:pPr>
                  <w:jc w:val="right"/>
                </w:pPr>
              </w:p>
            </w:tc>
            <w:tc>
              <w:tcPr>
                <w:tcW w:w="1532" w:type="pct"/>
                <w:tcBorders>
                  <w:top w:val="single" w:sz="4" w:space="0" w:color="auto"/>
                  <w:left w:val="single" w:sz="4" w:space="0" w:color="auto"/>
                  <w:bottom w:val="single" w:sz="4" w:space="0" w:color="auto"/>
                  <w:right w:val="single" w:sz="4" w:space="0" w:color="auto"/>
                </w:tcBorders>
                <w:shd w:val="clear" w:color="auto" w:fill="auto"/>
              </w:tcPr>
              <w:p w14:paraId="42FE1C46" w14:textId="77777777" w:rsidR="00471D53" w:rsidRDefault="00B664AF">
                <w:pPr>
                  <w:jc w:val="right"/>
                </w:pPr>
              </w:p>
            </w:tc>
          </w:tr>
          <w:tr w:rsidR="00471D53" w14:paraId="4526481A" w14:textId="77777777" w:rsidTr="00471D53">
            <w:sdt>
              <w:sdtPr>
                <w:tag w:val="_PLD_306d25d71297462192a74d9e1e9a6900"/>
                <w:id w:val="1543164013"/>
                <w:lock w:val="sdtLocked"/>
              </w:sdtPr>
              <w:sdtEndPr/>
              <w:sdtContent>
                <w:tc>
                  <w:tcPr>
                    <w:tcW w:w="1936" w:type="pct"/>
                    <w:tcBorders>
                      <w:top w:val="single" w:sz="6" w:space="0" w:color="auto"/>
                      <w:left w:val="single" w:sz="6" w:space="0" w:color="auto"/>
                      <w:bottom w:val="single" w:sz="6" w:space="0" w:color="auto"/>
                      <w:right w:val="single" w:sz="6" w:space="0" w:color="auto"/>
                    </w:tcBorders>
                    <w:shd w:val="clear" w:color="auto" w:fill="auto"/>
                    <w:hideMark/>
                  </w:tcPr>
                  <w:p w14:paraId="03DC4686" w14:textId="77777777" w:rsidR="00471D53" w:rsidRDefault="004F686E">
                    <w:r>
                      <w:rPr>
                        <w:rFonts w:hint="eastAsia"/>
                      </w:rPr>
                      <w:t>四、其他变动</w:t>
                    </w:r>
                  </w:p>
                </w:tc>
              </w:sdtContent>
            </w:sdt>
            <w:tc>
              <w:tcPr>
                <w:tcW w:w="1532" w:type="pct"/>
                <w:tcBorders>
                  <w:top w:val="single" w:sz="4" w:space="0" w:color="auto"/>
                  <w:left w:val="single" w:sz="4" w:space="0" w:color="auto"/>
                  <w:bottom w:val="single" w:sz="4" w:space="0" w:color="auto"/>
                  <w:right w:val="single" w:sz="4" w:space="0" w:color="auto"/>
                </w:tcBorders>
                <w:shd w:val="clear" w:color="auto" w:fill="auto"/>
                <w:vAlign w:val="center"/>
              </w:tcPr>
              <w:p w14:paraId="5BF349FC" w14:textId="77777777" w:rsidR="00471D53" w:rsidRDefault="004F686E" w:rsidP="00471D53">
                <w:pPr>
                  <w:snapToGrid w:val="0"/>
                  <w:jc w:val="right"/>
                  <w:rPr>
                    <w:sz w:val="22"/>
                    <w:szCs w:val="22"/>
                  </w:rPr>
                </w:pPr>
                <w:r w:rsidRPr="00F37865">
                  <w:rPr>
                    <w:sz w:val="22"/>
                    <w:szCs w:val="22"/>
                  </w:rPr>
                  <w:t>-449,337.28</w:t>
                </w:r>
              </w:p>
            </w:tc>
            <w:tc>
              <w:tcPr>
                <w:tcW w:w="1532" w:type="pct"/>
                <w:tcBorders>
                  <w:top w:val="single" w:sz="4" w:space="0" w:color="auto"/>
                  <w:left w:val="single" w:sz="4" w:space="0" w:color="auto"/>
                  <w:bottom w:val="single" w:sz="4" w:space="0" w:color="auto"/>
                  <w:right w:val="single" w:sz="4" w:space="0" w:color="auto"/>
                </w:tcBorders>
                <w:shd w:val="clear" w:color="auto" w:fill="auto"/>
                <w:vAlign w:val="center"/>
              </w:tcPr>
              <w:p w14:paraId="1F6A1EA4" w14:textId="77777777" w:rsidR="00471D53" w:rsidRDefault="004F686E" w:rsidP="00471D53">
                <w:pPr>
                  <w:snapToGrid w:val="0"/>
                  <w:jc w:val="right"/>
                  <w:rPr>
                    <w:sz w:val="22"/>
                    <w:szCs w:val="22"/>
                  </w:rPr>
                </w:pPr>
                <w:r>
                  <w:rPr>
                    <w:rFonts w:cs="Calibri" w:hint="eastAsia"/>
                    <w:sz w:val="22"/>
                    <w:szCs w:val="22"/>
                  </w:rPr>
                  <w:t>-974,783.30</w:t>
                </w:r>
              </w:p>
            </w:tc>
          </w:tr>
          <w:tr w:rsidR="00471D53" w14:paraId="11B1C660" w14:textId="77777777" w:rsidTr="00471D53">
            <w:sdt>
              <w:sdtPr>
                <w:tag w:val="_PLD_27a294264bfe47ec8f16ebbbb9d266ed"/>
                <w:id w:val="1350455836"/>
                <w:lock w:val="sdtLocked"/>
              </w:sdtPr>
              <w:sdtEndPr/>
              <w:sdtContent>
                <w:tc>
                  <w:tcPr>
                    <w:tcW w:w="1936" w:type="pct"/>
                    <w:tcBorders>
                      <w:top w:val="single" w:sz="6" w:space="0" w:color="auto"/>
                      <w:left w:val="single" w:sz="6" w:space="0" w:color="auto"/>
                      <w:bottom w:val="single" w:sz="6" w:space="0" w:color="auto"/>
                      <w:right w:val="single" w:sz="6" w:space="0" w:color="auto"/>
                    </w:tcBorders>
                    <w:shd w:val="clear" w:color="auto" w:fill="auto"/>
                    <w:hideMark/>
                  </w:tcPr>
                  <w:p w14:paraId="68A8F512" w14:textId="77777777" w:rsidR="00471D53" w:rsidRDefault="004F686E">
                    <w:r>
                      <w:rPr>
                        <w:rFonts w:hint="eastAsia"/>
                      </w:rPr>
                      <w:t>五、期末余额</w:t>
                    </w:r>
                  </w:p>
                </w:tc>
              </w:sdtContent>
            </w:sdt>
            <w:tc>
              <w:tcPr>
                <w:tcW w:w="1532" w:type="pct"/>
                <w:tcBorders>
                  <w:top w:val="single" w:sz="4" w:space="0" w:color="auto"/>
                  <w:left w:val="single" w:sz="4" w:space="0" w:color="auto"/>
                  <w:bottom w:val="single" w:sz="4" w:space="0" w:color="auto"/>
                  <w:right w:val="single" w:sz="4" w:space="0" w:color="auto"/>
                </w:tcBorders>
                <w:shd w:val="clear" w:color="auto" w:fill="auto"/>
                <w:vAlign w:val="center"/>
              </w:tcPr>
              <w:p w14:paraId="422F6D56" w14:textId="77777777" w:rsidR="00471D53" w:rsidRDefault="004F686E" w:rsidP="00471D53">
                <w:pPr>
                  <w:snapToGrid w:val="0"/>
                  <w:jc w:val="right"/>
                  <w:rPr>
                    <w:sz w:val="22"/>
                    <w:szCs w:val="22"/>
                  </w:rPr>
                </w:pPr>
                <w:r w:rsidRPr="00F37865">
                  <w:rPr>
                    <w:bCs/>
                    <w:sz w:val="22"/>
                    <w:szCs w:val="22"/>
                  </w:rPr>
                  <w:t>31,335,111.41</w:t>
                </w:r>
              </w:p>
            </w:tc>
            <w:tc>
              <w:tcPr>
                <w:tcW w:w="1532" w:type="pct"/>
                <w:tcBorders>
                  <w:top w:val="single" w:sz="4" w:space="0" w:color="auto"/>
                  <w:left w:val="single" w:sz="4" w:space="0" w:color="auto"/>
                  <w:bottom w:val="single" w:sz="4" w:space="0" w:color="auto"/>
                  <w:right w:val="single" w:sz="4" w:space="0" w:color="auto"/>
                </w:tcBorders>
                <w:shd w:val="clear" w:color="auto" w:fill="auto"/>
                <w:vAlign w:val="center"/>
              </w:tcPr>
              <w:p w14:paraId="30824C31" w14:textId="77777777" w:rsidR="00471D53" w:rsidRDefault="004F686E" w:rsidP="00471D53">
                <w:pPr>
                  <w:snapToGrid w:val="0"/>
                  <w:jc w:val="right"/>
                  <w:rPr>
                    <w:sz w:val="22"/>
                    <w:szCs w:val="22"/>
                  </w:rPr>
                </w:pPr>
                <w:r>
                  <w:rPr>
                    <w:rFonts w:cs="Calibri" w:hint="eastAsia"/>
                    <w:bCs/>
                    <w:sz w:val="22"/>
                    <w:szCs w:val="22"/>
                  </w:rPr>
                  <w:t>31,184,637.77</w:t>
                </w:r>
              </w:p>
            </w:tc>
          </w:tr>
        </w:tbl>
        <w:p w14:paraId="6C140ACB" w14:textId="77777777" w:rsidR="00471D53" w:rsidRDefault="00B664AF">
          <w:pPr>
            <w:rPr>
              <w:szCs w:val="21"/>
            </w:rPr>
          </w:pPr>
        </w:p>
        <w:p w14:paraId="57EEF73E" w14:textId="77777777" w:rsidR="00471D53" w:rsidRDefault="004F686E">
          <w:pPr>
            <w:rPr>
              <w:szCs w:val="21"/>
            </w:rPr>
          </w:pPr>
          <w:r>
            <w:rPr>
              <w:rFonts w:hint="eastAsia"/>
              <w:szCs w:val="21"/>
            </w:rPr>
            <w:t>设定受益计划的内容及与之相关风险、对公司未来现金流量、时间和不确定性的影响说明：</w:t>
          </w:r>
        </w:p>
        <w:sdt>
          <w:sdtPr>
            <w:rPr>
              <w:szCs w:val="21"/>
            </w:rPr>
            <w:alias w:val="是否适用：设定受益计划的内容及与之相关风险、对公司未来现金流量、时间和不确定性的影响说明[双击切换]"/>
            <w:tag w:val="_GBC_2e34365c15bf476d97ccb2c983bcb127"/>
            <w:id w:val="1325393926"/>
            <w:lock w:val="sdtLocked"/>
            <w:placeholder>
              <w:docPart w:val="GBC22222222222222222222222222222"/>
            </w:placeholder>
          </w:sdtPr>
          <w:sdtEndPr/>
          <w:sdtContent>
            <w:p w14:paraId="058FFC24" w14:textId="77777777" w:rsidR="00471D53" w:rsidRDefault="004F686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设定受益计划的内容及与之相关风险、对公司未来现金流量、时间和不确定性的影响说明"/>
            <w:tag w:val="_GBC_f8515160622040f69e1004dae9dd0f07"/>
            <w:id w:val="-1933812651"/>
            <w:lock w:val="sdtLocked"/>
            <w:placeholder>
              <w:docPart w:val="GBC22222222222222222222222222222"/>
            </w:placeholder>
          </w:sdtPr>
          <w:sdtEndPr/>
          <w:sdtContent>
            <w:p w14:paraId="409C8E5B" w14:textId="77777777" w:rsidR="00471D53" w:rsidRDefault="004F686E" w:rsidP="00471D53">
              <w:pPr>
                <w:tabs>
                  <w:tab w:val="left" w:pos="800"/>
                  <w:tab w:val="left" w:pos="1220"/>
                  <w:tab w:val="left" w:pos="1240"/>
                </w:tabs>
                <w:spacing w:beforeLines="50" w:before="120" w:afterLines="50" w:after="120" w:line="360" w:lineRule="exact"/>
                <w:ind w:firstLineChars="200" w:firstLine="420"/>
                <w:jc w:val="both"/>
                <w:outlineLvl w:val="2"/>
                <w:rPr>
                  <w:sz w:val="22"/>
                  <w:szCs w:val="22"/>
                </w:rPr>
              </w:pPr>
              <w:r>
                <w:rPr>
                  <w:rFonts w:hint="eastAsia"/>
                  <w:sz w:val="22"/>
                  <w:szCs w:val="22"/>
                </w:rPr>
                <w:t>设定受益计划按照折现率将设定受益计划所产生的义务予以折现，以确定设定受益计划义务的现值和当期服务成本。折现时所采用的折现率根据资产负债表日与设定受益计划义务期限和币种相匹配的国债的市场收益率确定。</w:t>
              </w:r>
            </w:p>
            <w:p w14:paraId="510E0230" w14:textId="77777777" w:rsidR="00471D53" w:rsidRDefault="00B664AF">
              <w:pPr>
                <w:rPr>
                  <w:szCs w:val="21"/>
                </w:rPr>
              </w:pPr>
            </w:p>
          </w:sdtContent>
        </w:sdt>
        <w:p w14:paraId="664F6CE0" w14:textId="77777777" w:rsidR="00471D53" w:rsidRDefault="00B664AF">
          <w:pPr>
            <w:rPr>
              <w:szCs w:val="21"/>
            </w:rPr>
          </w:pPr>
        </w:p>
        <w:p w14:paraId="1010AB30" w14:textId="77777777" w:rsidR="00471D53" w:rsidRDefault="004F686E">
          <w:pPr>
            <w:rPr>
              <w:szCs w:val="21"/>
            </w:rPr>
          </w:pPr>
          <w:r>
            <w:rPr>
              <w:rFonts w:hint="eastAsia"/>
              <w:szCs w:val="21"/>
            </w:rPr>
            <w:t>设定受益计划重大精算假设及敏感性分析结果说明</w:t>
          </w:r>
        </w:p>
        <w:sdt>
          <w:sdtPr>
            <w:rPr>
              <w:szCs w:val="21"/>
            </w:rPr>
            <w:alias w:val="是否适用：设定受益计划重大精算假设及敏感性分析结果说明[双击切换]"/>
            <w:tag w:val="_GBC_ca3d6135d7d142dba45a1fa5a5c4591a"/>
            <w:id w:val="2058581268"/>
            <w:lock w:val="sdtLocked"/>
            <w:placeholder>
              <w:docPart w:val="GBC22222222222222222222222222222"/>
            </w:placeholder>
          </w:sdtPr>
          <w:sdtEndPr/>
          <w:sdtContent>
            <w:p w14:paraId="6A8413CC" w14:textId="77777777" w:rsidR="00471D53" w:rsidRDefault="004F686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设定受益计划重大精算假设及敏感性分析结果说明"/>
            <w:tag w:val="_GBC_88568cc694784f799327f2375603537e"/>
            <w:id w:val="-819964834"/>
            <w:lock w:val="sdtLocked"/>
            <w:placeholder>
              <w:docPart w:val="GBC22222222222222222222222222222"/>
            </w:placeholder>
          </w:sdtPr>
          <w:sdtEndPr/>
          <w:sdtContent>
            <w:p w14:paraId="7AE08A27" w14:textId="77777777" w:rsidR="00471D53" w:rsidRDefault="004F686E" w:rsidP="00471D53">
              <w:pPr>
                <w:tabs>
                  <w:tab w:val="left" w:pos="800"/>
                  <w:tab w:val="left" w:pos="1240"/>
                </w:tabs>
                <w:spacing w:beforeLines="50" w:before="120" w:afterLines="50" w:after="120" w:line="360" w:lineRule="exact"/>
                <w:ind w:firstLineChars="200" w:firstLine="420"/>
                <w:jc w:val="both"/>
                <w:outlineLvl w:val="2"/>
                <w:rPr>
                  <w:sz w:val="22"/>
                  <w:szCs w:val="22"/>
                </w:rPr>
              </w:pPr>
              <w:r>
                <w:rPr>
                  <w:rFonts w:hint="eastAsia"/>
                  <w:sz w:val="22"/>
                  <w:szCs w:val="22"/>
                </w:rPr>
                <w:t>根据修订的《企业会计准则第9号—职工薪酬》规定，对于设定受益计划，根据预期累计福利单位法，采用无偏且相互一致的精算假设对有关人口统计变量和财务变量等做出估计，计量设定受益计划所产生的义务，并确定相关义务的归属期间。</w:t>
              </w:r>
            </w:p>
            <w:p w14:paraId="132100F8" w14:textId="77777777" w:rsidR="00471D53" w:rsidRDefault="00B664AF">
              <w:pPr>
                <w:rPr>
                  <w:szCs w:val="21"/>
                </w:rPr>
              </w:pPr>
            </w:p>
          </w:sdtContent>
        </w:sdt>
        <w:p w14:paraId="5A3B5357" w14:textId="77777777" w:rsidR="00471D53" w:rsidRDefault="00B664AF">
          <w:pPr>
            <w:rPr>
              <w:szCs w:val="21"/>
            </w:rPr>
          </w:pPr>
        </w:p>
      </w:sdtContent>
    </w:sdt>
    <w:sdt>
      <w:sdtPr>
        <w:rPr>
          <w:szCs w:val="21"/>
        </w:rPr>
        <w:alias w:val="模块:长期应付职工薪酬的其他说明"/>
        <w:tag w:val="_GBC_9d7ebc39babc43788a550e83deca7fdc"/>
        <w:id w:val="376907542"/>
        <w:lock w:val="sdtLocked"/>
        <w:placeholder>
          <w:docPart w:val="GBC22222222222222222222222222222"/>
        </w:placeholder>
      </w:sdtPr>
      <w:sdtEndPr/>
      <w:sdtContent>
        <w:p w14:paraId="3AF49C6E" w14:textId="77777777" w:rsidR="00471D53" w:rsidRDefault="004F686E">
          <w:pPr>
            <w:rPr>
              <w:szCs w:val="21"/>
            </w:rPr>
          </w:pPr>
          <w:r>
            <w:rPr>
              <w:rFonts w:hint="eastAsia"/>
              <w:szCs w:val="21"/>
            </w:rPr>
            <w:t>其他说明：</w:t>
          </w:r>
        </w:p>
        <w:sdt>
          <w:sdtPr>
            <w:rPr>
              <w:szCs w:val="21"/>
            </w:rPr>
            <w:alias w:val="是否适用：长期应付职工薪酬的其他说明[双击切换]"/>
            <w:tag w:val="_GBC_9621d9da5c12475c9b0ae742a1372566"/>
            <w:id w:val="1280225238"/>
            <w:lock w:val="sdtLocked"/>
            <w:placeholder>
              <w:docPart w:val="GBC22222222222222222222222222222"/>
            </w:placeholder>
          </w:sdtPr>
          <w:sdtEndPr/>
          <w:sdtContent>
            <w:p w14:paraId="5521E853" w14:textId="77777777" w:rsidR="00471D53" w:rsidRDefault="004F686E" w:rsidP="00471D5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sdt>
      <w:sdtPr>
        <w:rPr>
          <w:rFonts w:ascii="宋体" w:hAnsi="宋体" w:cs="宋体" w:hint="eastAsia"/>
          <w:b w:val="0"/>
          <w:bCs w:val="0"/>
          <w:kern w:val="0"/>
          <w:szCs w:val="21"/>
        </w:rPr>
        <w:alias w:val="模块:预计负债"/>
        <w:tag w:val="_GBC_6b41f75046264d5392c8786bf4fd2da4"/>
        <w:id w:val="-958411870"/>
        <w:lock w:val="sdtLocked"/>
        <w:placeholder>
          <w:docPart w:val="GBC22222222222222222222222222222"/>
        </w:placeholder>
      </w:sdtPr>
      <w:sdtEndPr>
        <w:rPr>
          <w:rFonts w:cstheme="minorBidi" w:hint="default"/>
          <w:kern w:val="2"/>
        </w:rPr>
      </w:sdtEndPr>
      <w:sdtContent>
        <w:p w14:paraId="45AF4F9A"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预计负债</w:t>
          </w:r>
        </w:p>
        <w:sdt>
          <w:sdtPr>
            <w:alias w:val="是否适用：预计负债[双击切换]"/>
            <w:tag w:val="_GBC_1687da235caf410f866f00240cee7fdb"/>
            <w:id w:val="-734233277"/>
            <w:lock w:val="sdtLocked"/>
            <w:placeholder>
              <w:docPart w:val="GBC22222222222222222222222222222"/>
            </w:placeholder>
          </w:sdtPr>
          <w:sdtEndPr/>
          <w:sdtContent>
            <w:p w14:paraId="718D90BF"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36E5C22" w14:textId="2763DC47" w:rsidR="00471D53" w:rsidRDefault="004F686E">
          <w:pPr>
            <w:jc w:val="right"/>
            <w:rPr>
              <w:szCs w:val="21"/>
            </w:rPr>
          </w:pPr>
          <w:r>
            <w:rPr>
              <w:rFonts w:hint="eastAsia"/>
              <w:szCs w:val="21"/>
            </w:rPr>
            <w:t>单位：</w:t>
          </w:r>
          <w:sdt>
            <w:sdtPr>
              <w:rPr>
                <w:rFonts w:hint="eastAsia"/>
                <w:szCs w:val="21"/>
              </w:rPr>
              <w:alias w:val="单位：财务附注：预计负债"/>
              <w:tag w:val="_GBC_cb4f52bf31e64f4c951a1d03c8737c2c"/>
              <w:id w:val="-72382717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预计负债"/>
              <w:tag w:val="_GBC_c1e0a0d54ae34f37b10682c1542f4496"/>
              <w:id w:val="-14181652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205"/>
            <w:gridCol w:w="2206"/>
            <w:gridCol w:w="2206"/>
            <w:gridCol w:w="2206"/>
          </w:tblGrid>
          <w:tr w:rsidR="00471D53" w14:paraId="10F208FA" w14:textId="77777777" w:rsidTr="00471D53">
            <w:trPr>
              <w:cantSplit/>
            </w:trPr>
            <w:sdt>
              <w:sdtPr>
                <w:tag w:val="_PLD_fc927e21b7894351850a5341390e71f1"/>
                <w:id w:val="1941631395"/>
                <w:lock w:val="sdtLocked"/>
              </w:sdtPr>
              <w:sdtEndPr/>
              <w:sdtContent>
                <w:tc>
                  <w:tcPr>
                    <w:tcW w:w="1250" w:type="pct"/>
                    <w:vAlign w:val="center"/>
                  </w:tcPr>
                  <w:p w14:paraId="36FF621A" w14:textId="77777777" w:rsidR="00471D53" w:rsidRDefault="004F686E">
                    <w:pPr>
                      <w:ind w:right="105"/>
                      <w:jc w:val="center"/>
                      <w:rPr>
                        <w:szCs w:val="21"/>
                      </w:rPr>
                    </w:pPr>
                    <w:r>
                      <w:rPr>
                        <w:rFonts w:hint="eastAsia"/>
                        <w:szCs w:val="21"/>
                      </w:rPr>
                      <w:t>项目</w:t>
                    </w:r>
                  </w:p>
                </w:tc>
              </w:sdtContent>
            </w:sdt>
            <w:sdt>
              <w:sdtPr>
                <w:tag w:val="_PLD_6f816d98e70940cfbbbbb868b0aeb358"/>
                <w:id w:val="1902642238"/>
                <w:lock w:val="sdtLocked"/>
              </w:sdtPr>
              <w:sdtEndPr/>
              <w:sdtContent>
                <w:tc>
                  <w:tcPr>
                    <w:tcW w:w="1250" w:type="pct"/>
                  </w:tcPr>
                  <w:p w14:paraId="525FF195" w14:textId="77777777" w:rsidR="00471D53" w:rsidRDefault="004F686E">
                    <w:pPr>
                      <w:jc w:val="center"/>
                      <w:rPr>
                        <w:szCs w:val="21"/>
                      </w:rPr>
                    </w:pPr>
                    <w:r>
                      <w:rPr>
                        <w:rFonts w:hint="eastAsia"/>
                        <w:szCs w:val="21"/>
                      </w:rPr>
                      <w:t>期初余额</w:t>
                    </w:r>
                  </w:p>
                </w:tc>
              </w:sdtContent>
            </w:sdt>
            <w:sdt>
              <w:sdtPr>
                <w:tag w:val="_PLD_5448bfd35d2348cfac66de5cdfbc78a4"/>
                <w:id w:val="141006992"/>
                <w:lock w:val="sdtLocked"/>
              </w:sdtPr>
              <w:sdtEndPr/>
              <w:sdtContent>
                <w:tc>
                  <w:tcPr>
                    <w:tcW w:w="1250" w:type="pct"/>
                  </w:tcPr>
                  <w:p w14:paraId="37CB1F03" w14:textId="77777777" w:rsidR="00471D53" w:rsidRDefault="004F686E">
                    <w:pPr>
                      <w:jc w:val="center"/>
                      <w:rPr>
                        <w:szCs w:val="21"/>
                      </w:rPr>
                    </w:pPr>
                    <w:r>
                      <w:rPr>
                        <w:rFonts w:hint="eastAsia"/>
                        <w:szCs w:val="21"/>
                      </w:rPr>
                      <w:t>期末余额</w:t>
                    </w:r>
                  </w:p>
                </w:tc>
              </w:sdtContent>
            </w:sdt>
            <w:sdt>
              <w:sdtPr>
                <w:tag w:val="_PLD_987f713faa85401c883cbd6dd67e70b8"/>
                <w:id w:val="532548829"/>
                <w:lock w:val="sdtLocked"/>
              </w:sdtPr>
              <w:sdtEndPr/>
              <w:sdtContent>
                <w:tc>
                  <w:tcPr>
                    <w:tcW w:w="1250" w:type="pct"/>
                  </w:tcPr>
                  <w:p w14:paraId="5D1B52CA" w14:textId="77777777" w:rsidR="00471D53" w:rsidRDefault="004F686E">
                    <w:pPr>
                      <w:jc w:val="center"/>
                      <w:rPr>
                        <w:szCs w:val="21"/>
                      </w:rPr>
                    </w:pPr>
                    <w:r>
                      <w:rPr>
                        <w:rFonts w:hint="eastAsia"/>
                        <w:szCs w:val="21"/>
                      </w:rPr>
                      <w:t>形成原因</w:t>
                    </w:r>
                  </w:p>
                </w:tc>
              </w:sdtContent>
            </w:sdt>
          </w:tr>
          <w:tr w:rsidR="00471D53" w14:paraId="0860EF2C" w14:textId="77777777" w:rsidTr="00471D53">
            <w:trPr>
              <w:cantSplit/>
            </w:trPr>
            <w:sdt>
              <w:sdtPr>
                <w:tag w:val="_PLD_93649cbf68b54d57809d9f333071f9a2"/>
                <w:id w:val="-672327510"/>
                <w:lock w:val="sdtLocked"/>
              </w:sdtPr>
              <w:sdtEndPr/>
              <w:sdtContent>
                <w:tc>
                  <w:tcPr>
                    <w:tcW w:w="1250" w:type="pct"/>
                    <w:shd w:val="clear" w:color="auto" w:fill="auto"/>
                    <w:vAlign w:val="center"/>
                  </w:tcPr>
                  <w:p w14:paraId="304F209C" w14:textId="77777777" w:rsidR="00471D53" w:rsidRDefault="004F686E">
                    <w:pPr>
                      <w:rPr>
                        <w:szCs w:val="21"/>
                      </w:rPr>
                    </w:pPr>
                    <w:r>
                      <w:rPr>
                        <w:rFonts w:hint="eastAsia"/>
                        <w:szCs w:val="21"/>
                      </w:rPr>
                      <w:t>对外提供担保</w:t>
                    </w:r>
                  </w:p>
                </w:tc>
              </w:sdtContent>
            </w:sdt>
            <w:tc>
              <w:tcPr>
                <w:tcW w:w="1250" w:type="pct"/>
              </w:tcPr>
              <w:p w14:paraId="2897CDD1" w14:textId="77777777" w:rsidR="00471D53" w:rsidRDefault="00B664AF">
                <w:pPr>
                  <w:jc w:val="right"/>
                  <w:rPr>
                    <w:szCs w:val="21"/>
                  </w:rPr>
                </w:pPr>
              </w:p>
            </w:tc>
            <w:tc>
              <w:tcPr>
                <w:tcW w:w="1250" w:type="pct"/>
              </w:tcPr>
              <w:p w14:paraId="62BF8239" w14:textId="77777777" w:rsidR="00471D53" w:rsidRDefault="00B664AF">
                <w:pPr>
                  <w:jc w:val="right"/>
                  <w:rPr>
                    <w:szCs w:val="21"/>
                  </w:rPr>
                </w:pPr>
              </w:p>
            </w:tc>
            <w:tc>
              <w:tcPr>
                <w:tcW w:w="1250" w:type="pct"/>
              </w:tcPr>
              <w:p w14:paraId="67F3A07E" w14:textId="77777777" w:rsidR="00471D53" w:rsidRDefault="00B664AF">
                <w:pPr>
                  <w:ind w:right="73"/>
                  <w:rPr>
                    <w:szCs w:val="21"/>
                  </w:rPr>
                </w:pPr>
              </w:p>
            </w:tc>
          </w:tr>
          <w:tr w:rsidR="00471D53" w14:paraId="6822F136" w14:textId="77777777" w:rsidTr="00471D53">
            <w:trPr>
              <w:cantSplit/>
            </w:trPr>
            <w:sdt>
              <w:sdtPr>
                <w:tag w:val="_PLD_81fc69a2cce74d41b4a3275d0b854217"/>
                <w:id w:val="-2123991660"/>
                <w:lock w:val="sdtLocked"/>
              </w:sdtPr>
              <w:sdtEndPr/>
              <w:sdtContent>
                <w:tc>
                  <w:tcPr>
                    <w:tcW w:w="1250" w:type="pct"/>
                    <w:shd w:val="clear" w:color="auto" w:fill="auto"/>
                    <w:vAlign w:val="center"/>
                  </w:tcPr>
                  <w:p w14:paraId="09C425F5" w14:textId="77777777" w:rsidR="00471D53" w:rsidRDefault="004F686E">
                    <w:pPr>
                      <w:ind w:right="105"/>
                      <w:rPr>
                        <w:szCs w:val="21"/>
                      </w:rPr>
                    </w:pPr>
                    <w:r>
                      <w:rPr>
                        <w:rFonts w:hint="eastAsia"/>
                        <w:szCs w:val="21"/>
                      </w:rPr>
                      <w:t>未决诉讼</w:t>
                    </w:r>
                  </w:p>
                </w:tc>
              </w:sdtContent>
            </w:sdt>
            <w:tc>
              <w:tcPr>
                <w:tcW w:w="1250" w:type="pct"/>
              </w:tcPr>
              <w:p w14:paraId="2BDF582F" w14:textId="77777777" w:rsidR="00471D53" w:rsidRDefault="00B664AF">
                <w:pPr>
                  <w:jc w:val="right"/>
                  <w:rPr>
                    <w:szCs w:val="21"/>
                  </w:rPr>
                </w:pPr>
              </w:p>
            </w:tc>
            <w:tc>
              <w:tcPr>
                <w:tcW w:w="1250" w:type="pct"/>
              </w:tcPr>
              <w:p w14:paraId="3246C7EF" w14:textId="77777777" w:rsidR="00471D53" w:rsidRDefault="00B664AF">
                <w:pPr>
                  <w:jc w:val="right"/>
                  <w:rPr>
                    <w:szCs w:val="21"/>
                  </w:rPr>
                </w:pPr>
              </w:p>
            </w:tc>
            <w:tc>
              <w:tcPr>
                <w:tcW w:w="1250" w:type="pct"/>
              </w:tcPr>
              <w:p w14:paraId="6070F2E4" w14:textId="77777777" w:rsidR="00471D53" w:rsidRDefault="00B664AF">
                <w:pPr>
                  <w:ind w:right="73"/>
                  <w:rPr>
                    <w:szCs w:val="21"/>
                  </w:rPr>
                </w:pPr>
              </w:p>
            </w:tc>
          </w:tr>
          <w:tr w:rsidR="00471D53" w14:paraId="63A21E39" w14:textId="77777777" w:rsidTr="00471D53">
            <w:trPr>
              <w:cantSplit/>
            </w:trPr>
            <w:sdt>
              <w:sdtPr>
                <w:tag w:val="_PLD_48494f857e0740f6a4114136294a97a7"/>
                <w:id w:val="-117680531"/>
                <w:lock w:val="sdtLocked"/>
              </w:sdtPr>
              <w:sdtEndPr/>
              <w:sdtContent>
                <w:tc>
                  <w:tcPr>
                    <w:tcW w:w="1250" w:type="pct"/>
                    <w:shd w:val="clear" w:color="auto" w:fill="auto"/>
                    <w:vAlign w:val="center"/>
                  </w:tcPr>
                  <w:p w14:paraId="1F8CA366" w14:textId="77777777" w:rsidR="00471D53" w:rsidRDefault="004F686E">
                    <w:pPr>
                      <w:ind w:right="105"/>
                      <w:rPr>
                        <w:szCs w:val="21"/>
                      </w:rPr>
                    </w:pPr>
                    <w:r>
                      <w:rPr>
                        <w:rFonts w:hint="eastAsia"/>
                        <w:szCs w:val="21"/>
                      </w:rPr>
                      <w:t>产品质量保证</w:t>
                    </w:r>
                  </w:p>
                </w:tc>
              </w:sdtContent>
            </w:sdt>
            <w:tc>
              <w:tcPr>
                <w:tcW w:w="1250" w:type="pct"/>
              </w:tcPr>
              <w:p w14:paraId="471C9000" w14:textId="77777777" w:rsidR="00471D53" w:rsidRPr="009A2A8D" w:rsidRDefault="004F686E">
                <w:pPr>
                  <w:jc w:val="right"/>
                  <w:rPr>
                    <w:sz w:val="22"/>
                    <w:szCs w:val="22"/>
                  </w:rPr>
                </w:pPr>
                <w:r w:rsidRPr="009A2A8D">
                  <w:rPr>
                    <w:sz w:val="22"/>
                    <w:szCs w:val="22"/>
                  </w:rPr>
                  <w:t>11,197,893.84</w:t>
                </w:r>
              </w:p>
            </w:tc>
            <w:tc>
              <w:tcPr>
                <w:tcW w:w="1250" w:type="pct"/>
              </w:tcPr>
              <w:p w14:paraId="2DCD1FE0" w14:textId="77777777" w:rsidR="00471D53" w:rsidRPr="009A2A8D" w:rsidRDefault="004F686E">
                <w:pPr>
                  <w:jc w:val="right"/>
                  <w:rPr>
                    <w:sz w:val="22"/>
                    <w:szCs w:val="22"/>
                  </w:rPr>
                </w:pPr>
                <w:r w:rsidRPr="009A2A8D">
                  <w:rPr>
                    <w:sz w:val="22"/>
                    <w:szCs w:val="22"/>
                  </w:rPr>
                  <w:t>11,197,893.84</w:t>
                </w:r>
              </w:p>
            </w:tc>
            <w:tc>
              <w:tcPr>
                <w:tcW w:w="1250" w:type="pct"/>
              </w:tcPr>
              <w:p w14:paraId="314C9FFB" w14:textId="77777777" w:rsidR="00471D53" w:rsidRDefault="004F686E" w:rsidP="00471D53">
                <w:pPr>
                  <w:ind w:right="73"/>
                  <w:jc w:val="center"/>
                  <w:rPr>
                    <w:szCs w:val="21"/>
                  </w:rPr>
                </w:pPr>
                <w:r w:rsidRPr="009A2A8D">
                  <w:rPr>
                    <w:rFonts w:hint="eastAsia"/>
                    <w:szCs w:val="21"/>
                  </w:rPr>
                  <w:t>质量保证金</w:t>
                </w:r>
              </w:p>
            </w:tc>
          </w:tr>
          <w:tr w:rsidR="00471D53" w14:paraId="4ABB7FA1" w14:textId="77777777" w:rsidTr="00471D53">
            <w:trPr>
              <w:cantSplit/>
            </w:trPr>
            <w:sdt>
              <w:sdtPr>
                <w:tag w:val="_PLD_fb0c4fb2f77842b284bbfd3e992ef2c5"/>
                <w:id w:val="-424814058"/>
                <w:lock w:val="sdtLocked"/>
              </w:sdtPr>
              <w:sdtEndPr/>
              <w:sdtContent>
                <w:tc>
                  <w:tcPr>
                    <w:tcW w:w="1250" w:type="pct"/>
                    <w:shd w:val="clear" w:color="auto" w:fill="auto"/>
                  </w:tcPr>
                  <w:p w14:paraId="5D6E59D4" w14:textId="77777777" w:rsidR="00471D53" w:rsidRDefault="004F686E">
                    <w:pPr>
                      <w:ind w:right="105"/>
                      <w:rPr>
                        <w:szCs w:val="21"/>
                      </w:rPr>
                    </w:pPr>
                    <w:r>
                      <w:rPr>
                        <w:rFonts w:hint="eastAsia"/>
                        <w:szCs w:val="21"/>
                      </w:rPr>
                      <w:t>重组义务</w:t>
                    </w:r>
                  </w:p>
                </w:tc>
              </w:sdtContent>
            </w:sdt>
            <w:tc>
              <w:tcPr>
                <w:tcW w:w="1250" w:type="pct"/>
              </w:tcPr>
              <w:p w14:paraId="75C5F9C5" w14:textId="77777777" w:rsidR="00471D53" w:rsidRDefault="00B664AF">
                <w:pPr>
                  <w:jc w:val="right"/>
                  <w:rPr>
                    <w:szCs w:val="21"/>
                  </w:rPr>
                </w:pPr>
              </w:p>
            </w:tc>
            <w:tc>
              <w:tcPr>
                <w:tcW w:w="1250" w:type="pct"/>
              </w:tcPr>
              <w:p w14:paraId="470BFE24" w14:textId="77777777" w:rsidR="00471D53" w:rsidRDefault="00B664AF">
                <w:pPr>
                  <w:jc w:val="right"/>
                  <w:rPr>
                    <w:szCs w:val="21"/>
                  </w:rPr>
                </w:pPr>
              </w:p>
            </w:tc>
            <w:tc>
              <w:tcPr>
                <w:tcW w:w="1250" w:type="pct"/>
              </w:tcPr>
              <w:p w14:paraId="3221836B" w14:textId="77777777" w:rsidR="00471D53" w:rsidRDefault="00B664AF">
                <w:pPr>
                  <w:rPr>
                    <w:szCs w:val="21"/>
                  </w:rPr>
                </w:pPr>
              </w:p>
            </w:tc>
          </w:tr>
          <w:tr w:rsidR="00471D53" w14:paraId="00B6B044" w14:textId="77777777" w:rsidTr="00471D53">
            <w:trPr>
              <w:cantSplit/>
            </w:trPr>
            <w:sdt>
              <w:sdtPr>
                <w:tag w:val="_PLD_ae406fbfbb59463e918f766883c4e3a3"/>
                <w:id w:val="-667485380"/>
                <w:lock w:val="sdtLocked"/>
              </w:sdtPr>
              <w:sdtEndPr/>
              <w:sdtContent>
                <w:tc>
                  <w:tcPr>
                    <w:tcW w:w="1250" w:type="pct"/>
                    <w:shd w:val="clear" w:color="auto" w:fill="auto"/>
                  </w:tcPr>
                  <w:p w14:paraId="161C2293" w14:textId="77777777" w:rsidR="00471D53" w:rsidRDefault="004F686E">
                    <w:pPr>
                      <w:ind w:right="105"/>
                      <w:rPr>
                        <w:szCs w:val="21"/>
                      </w:rPr>
                    </w:pPr>
                    <w:r>
                      <w:rPr>
                        <w:rFonts w:hint="eastAsia"/>
                        <w:szCs w:val="21"/>
                      </w:rPr>
                      <w:t>待执行的亏损合同</w:t>
                    </w:r>
                  </w:p>
                </w:tc>
              </w:sdtContent>
            </w:sdt>
            <w:tc>
              <w:tcPr>
                <w:tcW w:w="1250" w:type="pct"/>
              </w:tcPr>
              <w:p w14:paraId="3EBD5C6F" w14:textId="77777777" w:rsidR="00471D53" w:rsidRDefault="00B664AF">
                <w:pPr>
                  <w:jc w:val="right"/>
                  <w:rPr>
                    <w:szCs w:val="21"/>
                  </w:rPr>
                </w:pPr>
              </w:p>
            </w:tc>
            <w:tc>
              <w:tcPr>
                <w:tcW w:w="1250" w:type="pct"/>
              </w:tcPr>
              <w:p w14:paraId="018FF01C" w14:textId="77777777" w:rsidR="00471D53" w:rsidRDefault="00B664AF">
                <w:pPr>
                  <w:jc w:val="right"/>
                  <w:rPr>
                    <w:szCs w:val="21"/>
                  </w:rPr>
                </w:pPr>
              </w:p>
            </w:tc>
            <w:tc>
              <w:tcPr>
                <w:tcW w:w="1250" w:type="pct"/>
              </w:tcPr>
              <w:p w14:paraId="09FB173A" w14:textId="77777777" w:rsidR="00471D53" w:rsidRDefault="00B664AF">
                <w:pPr>
                  <w:rPr>
                    <w:szCs w:val="21"/>
                  </w:rPr>
                </w:pPr>
              </w:p>
            </w:tc>
          </w:tr>
          <w:tr w:rsidR="00471D53" w14:paraId="75EEA66D" w14:textId="77777777" w:rsidTr="00471D53">
            <w:trPr>
              <w:cantSplit/>
            </w:trPr>
            <w:sdt>
              <w:sdtPr>
                <w:tag w:val="_PLD_5fd9d95a8aca464da14aac9b5612ef83"/>
                <w:id w:val="-1821105666"/>
                <w:lock w:val="sdtLocked"/>
              </w:sdtPr>
              <w:sdtEndPr/>
              <w:sdtContent>
                <w:tc>
                  <w:tcPr>
                    <w:tcW w:w="1250" w:type="pct"/>
                    <w:shd w:val="clear" w:color="auto" w:fill="auto"/>
                    <w:vAlign w:val="center"/>
                  </w:tcPr>
                  <w:p w14:paraId="7B94D569" w14:textId="77777777" w:rsidR="00471D53" w:rsidRDefault="004F686E">
                    <w:pPr>
                      <w:ind w:right="105"/>
                    </w:pPr>
                    <w:r>
                      <w:rPr>
                        <w:rFonts w:hint="eastAsia"/>
                      </w:rPr>
                      <w:t>应付退货款</w:t>
                    </w:r>
                  </w:p>
                </w:tc>
              </w:sdtContent>
            </w:sdt>
            <w:tc>
              <w:tcPr>
                <w:tcW w:w="1250" w:type="pct"/>
              </w:tcPr>
              <w:p w14:paraId="07E7B7FF" w14:textId="77777777" w:rsidR="00471D53" w:rsidRDefault="00B664AF">
                <w:pPr>
                  <w:jc w:val="right"/>
                  <w:rPr>
                    <w:szCs w:val="21"/>
                  </w:rPr>
                </w:pPr>
              </w:p>
            </w:tc>
            <w:tc>
              <w:tcPr>
                <w:tcW w:w="1250" w:type="pct"/>
              </w:tcPr>
              <w:p w14:paraId="5F8A6A0E" w14:textId="77777777" w:rsidR="00471D53" w:rsidRDefault="00B664AF">
                <w:pPr>
                  <w:jc w:val="right"/>
                  <w:rPr>
                    <w:szCs w:val="21"/>
                  </w:rPr>
                </w:pPr>
              </w:p>
            </w:tc>
            <w:tc>
              <w:tcPr>
                <w:tcW w:w="1250" w:type="pct"/>
              </w:tcPr>
              <w:p w14:paraId="5C1392AC" w14:textId="77777777" w:rsidR="00471D53" w:rsidRDefault="00B664AF">
                <w:pPr>
                  <w:ind w:right="73"/>
                  <w:rPr>
                    <w:szCs w:val="21"/>
                  </w:rPr>
                </w:pPr>
              </w:p>
            </w:tc>
          </w:tr>
          <w:tr w:rsidR="00471D53" w14:paraId="79C9C981" w14:textId="77777777" w:rsidTr="00471D53">
            <w:trPr>
              <w:cantSplit/>
            </w:trPr>
            <w:sdt>
              <w:sdtPr>
                <w:tag w:val="_PLD_96e768c848ec42e8bcab0dbff16e2b4b"/>
                <w:id w:val="1478574136"/>
                <w:lock w:val="sdtLocked"/>
              </w:sdtPr>
              <w:sdtEndPr/>
              <w:sdtContent>
                <w:tc>
                  <w:tcPr>
                    <w:tcW w:w="1250" w:type="pct"/>
                    <w:shd w:val="clear" w:color="auto" w:fill="auto"/>
                    <w:vAlign w:val="center"/>
                  </w:tcPr>
                  <w:p w14:paraId="5F738A8C" w14:textId="77777777" w:rsidR="00471D53" w:rsidRDefault="004F686E">
                    <w:pPr>
                      <w:ind w:right="105"/>
                      <w:rPr>
                        <w:szCs w:val="21"/>
                      </w:rPr>
                    </w:pPr>
                    <w:r>
                      <w:rPr>
                        <w:rFonts w:hint="eastAsia"/>
                        <w:szCs w:val="21"/>
                      </w:rPr>
                      <w:t>其他</w:t>
                    </w:r>
                  </w:p>
                </w:tc>
              </w:sdtContent>
            </w:sdt>
            <w:tc>
              <w:tcPr>
                <w:tcW w:w="1250" w:type="pct"/>
              </w:tcPr>
              <w:p w14:paraId="2E75D634" w14:textId="77777777" w:rsidR="00471D53" w:rsidRDefault="00B664AF">
                <w:pPr>
                  <w:jc w:val="right"/>
                  <w:rPr>
                    <w:szCs w:val="21"/>
                  </w:rPr>
                </w:pPr>
              </w:p>
            </w:tc>
            <w:tc>
              <w:tcPr>
                <w:tcW w:w="1250" w:type="pct"/>
              </w:tcPr>
              <w:p w14:paraId="79A760DA" w14:textId="77777777" w:rsidR="00471D53" w:rsidRDefault="00B664AF">
                <w:pPr>
                  <w:jc w:val="right"/>
                  <w:rPr>
                    <w:szCs w:val="21"/>
                  </w:rPr>
                </w:pPr>
              </w:p>
            </w:tc>
            <w:tc>
              <w:tcPr>
                <w:tcW w:w="1250" w:type="pct"/>
              </w:tcPr>
              <w:p w14:paraId="253B94D7" w14:textId="77777777" w:rsidR="00471D53" w:rsidRDefault="00B664AF">
                <w:pPr>
                  <w:ind w:right="73"/>
                  <w:rPr>
                    <w:szCs w:val="21"/>
                  </w:rPr>
                </w:pPr>
              </w:p>
            </w:tc>
          </w:tr>
          <w:tr w:rsidR="00471D53" w14:paraId="1F82F2F0" w14:textId="77777777" w:rsidTr="00471D53">
            <w:trPr>
              <w:cantSplit/>
            </w:trPr>
            <w:sdt>
              <w:sdtPr>
                <w:tag w:val="_PLD_b9cf5ec4363246d39880d8a9118c7375"/>
                <w:id w:val="-1943063338"/>
                <w:lock w:val="sdtLocked"/>
              </w:sdtPr>
              <w:sdtEndPr/>
              <w:sdtContent>
                <w:tc>
                  <w:tcPr>
                    <w:tcW w:w="1250" w:type="pct"/>
                    <w:vAlign w:val="center"/>
                  </w:tcPr>
                  <w:p w14:paraId="1607BEFA" w14:textId="77777777" w:rsidR="00471D53" w:rsidRDefault="004F686E">
                    <w:pPr>
                      <w:ind w:right="105"/>
                      <w:jc w:val="center"/>
                      <w:rPr>
                        <w:szCs w:val="21"/>
                      </w:rPr>
                    </w:pPr>
                    <w:r>
                      <w:rPr>
                        <w:rFonts w:hint="eastAsia"/>
                        <w:szCs w:val="21"/>
                      </w:rPr>
                      <w:t>合计</w:t>
                    </w:r>
                  </w:p>
                </w:tc>
              </w:sdtContent>
            </w:sdt>
            <w:tc>
              <w:tcPr>
                <w:tcW w:w="1250" w:type="pct"/>
              </w:tcPr>
              <w:p w14:paraId="2BA7D6E7" w14:textId="77777777" w:rsidR="00471D53" w:rsidRPr="009A2A8D" w:rsidRDefault="004F686E" w:rsidP="00471D53">
                <w:pPr>
                  <w:jc w:val="right"/>
                  <w:rPr>
                    <w:sz w:val="22"/>
                    <w:szCs w:val="22"/>
                  </w:rPr>
                </w:pPr>
                <w:r w:rsidRPr="009A2A8D">
                  <w:rPr>
                    <w:sz w:val="22"/>
                    <w:szCs w:val="22"/>
                  </w:rPr>
                  <w:t>11,197,893.84</w:t>
                </w:r>
              </w:p>
            </w:tc>
            <w:tc>
              <w:tcPr>
                <w:tcW w:w="1250" w:type="pct"/>
              </w:tcPr>
              <w:p w14:paraId="60EC262C" w14:textId="77777777" w:rsidR="00471D53" w:rsidRPr="009A2A8D" w:rsidRDefault="004F686E" w:rsidP="00471D53">
                <w:pPr>
                  <w:jc w:val="right"/>
                  <w:rPr>
                    <w:sz w:val="22"/>
                    <w:szCs w:val="22"/>
                  </w:rPr>
                </w:pPr>
                <w:r w:rsidRPr="009A2A8D">
                  <w:rPr>
                    <w:sz w:val="22"/>
                    <w:szCs w:val="22"/>
                  </w:rPr>
                  <w:t>11,197,893.84</w:t>
                </w:r>
              </w:p>
            </w:tc>
            <w:tc>
              <w:tcPr>
                <w:tcW w:w="1250" w:type="pct"/>
              </w:tcPr>
              <w:p w14:paraId="5E81400C" w14:textId="77777777" w:rsidR="00471D53" w:rsidRDefault="004F686E">
                <w:pPr>
                  <w:jc w:val="center"/>
                  <w:rPr>
                    <w:color w:val="000000" w:themeColor="text1"/>
                    <w:szCs w:val="21"/>
                  </w:rPr>
                </w:pPr>
                <w:r>
                  <w:rPr>
                    <w:rFonts w:hint="eastAsia"/>
                    <w:color w:val="000000" w:themeColor="text1"/>
                    <w:szCs w:val="21"/>
                  </w:rPr>
                  <w:t>/</w:t>
                </w:r>
              </w:p>
            </w:tc>
          </w:tr>
        </w:tbl>
        <w:p w14:paraId="7DAEAE36" w14:textId="77777777" w:rsidR="00471D53" w:rsidRDefault="004F686E">
          <w:pPr>
            <w:snapToGrid w:val="0"/>
            <w:spacing w:before="60" w:after="60"/>
            <w:rPr>
              <w:szCs w:val="21"/>
            </w:rPr>
          </w:pPr>
          <w:r>
            <w:rPr>
              <w:rFonts w:hint="eastAsia"/>
              <w:szCs w:val="21"/>
            </w:rPr>
            <w:t>其他说明，包括重要预计负债的相关重要假设、估计说明：</w:t>
          </w:r>
        </w:p>
        <w:sdt>
          <w:sdtPr>
            <w:rPr>
              <w:szCs w:val="21"/>
            </w:rPr>
            <w:alias w:val="预计负债的说明"/>
            <w:tag w:val="_GBC_d674f22c00c1425092bd34d8a8834fad"/>
            <w:id w:val="1215706770"/>
            <w:lock w:val="sdtLocked"/>
            <w:placeholder>
              <w:docPart w:val="GBC22222222222222222222222222222"/>
            </w:placeholder>
          </w:sdtPr>
          <w:sdtEndPr/>
          <w:sdtContent>
            <w:p w14:paraId="315E4355" w14:textId="77777777" w:rsidR="00471D53" w:rsidRDefault="004F686E" w:rsidP="00471D53">
              <w:pPr>
                <w:tabs>
                  <w:tab w:val="left" w:pos="426"/>
                  <w:tab w:val="left" w:pos="800"/>
                  <w:tab w:val="left" w:pos="993"/>
                  <w:tab w:val="left" w:pos="1220"/>
                </w:tabs>
                <w:spacing w:beforeLines="50" w:before="120" w:afterLines="50" w:after="120" w:line="360" w:lineRule="exact"/>
                <w:ind w:firstLineChars="200" w:firstLine="420"/>
                <w:jc w:val="both"/>
                <w:rPr>
                  <w:sz w:val="22"/>
                  <w:szCs w:val="22"/>
                </w:rPr>
              </w:pPr>
              <w:r>
                <w:rPr>
                  <w:rFonts w:hint="eastAsia"/>
                  <w:sz w:val="22"/>
                  <w:szCs w:val="22"/>
                </w:rPr>
                <w:t>产品质量保证是管理层基于销售合同中对质量保证责任的承担年限和历史数据预计的。</w:t>
              </w:r>
            </w:p>
            <w:p w14:paraId="0849D525" w14:textId="77777777" w:rsidR="00471D53" w:rsidRDefault="00B664AF">
              <w:pPr>
                <w:autoSpaceDE w:val="0"/>
                <w:autoSpaceDN w:val="0"/>
                <w:adjustRightInd w:val="0"/>
                <w:rPr>
                  <w:szCs w:val="21"/>
                </w:rPr>
              </w:pPr>
            </w:p>
          </w:sdtContent>
        </w:sdt>
      </w:sdtContent>
    </w:sdt>
    <w:p w14:paraId="5C6A6F09" w14:textId="77777777" w:rsidR="00471D53" w:rsidRDefault="00B664AF">
      <w:pPr>
        <w:rPr>
          <w:szCs w:val="21"/>
        </w:rPr>
      </w:pPr>
    </w:p>
    <w:p w14:paraId="7A328CB3"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递延收益</w:t>
      </w:r>
    </w:p>
    <w:sdt>
      <w:sdtPr>
        <w:rPr>
          <w:rFonts w:ascii="宋体" w:hAnsi="宋体" w:cs="宋体" w:hint="eastAsia"/>
          <w:kern w:val="0"/>
          <w:szCs w:val="21"/>
        </w:rPr>
        <w:alias w:val="模块:递延收益"/>
        <w:tag w:val="_GBC_8d74a4d69f6940c3968ca9c4cf2a1b4c"/>
        <w:id w:val="-744567246"/>
        <w:lock w:val="sdtLocked"/>
        <w:placeholder>
          <w:docPart w:val="GBC22222222222222222222222222222"/>
        </w:placeholder>
      </w:sdtPr>
      <w:sdtEndPr>
        <w:rPr>
          <w:rFonts w:hint="default"/>
        </w:rPr>
      </w:sdtEndPr>
      <w:sdtContent>
        <w:p w14:paraId="004CA678" w14:textId="77777777" w:rsidR="00471D53" w:rsidRDefault="004F686E">
          <w:pPr>
            <w:pStyle w:val="affffff7"/>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kern w:val="0"/>
              <w:szCs w:val="21"/>
            </w:rPr>
            <w:alias w:val="是否适用：递延收益情况 [双击切换]"/>
            <w:tag w:val="_GBC_2c1393684e764245824b2390014e92f1"/>
            <w:id w:val="1945495627"/>
            <w:lock w:val="sdtLocked"/>
            <w:placeholder>
              <w:docPart w:val="GBC22222222222222222222222222222"/>
            </w:placeholder>
          </w:sdtPr>
          <w:sdtEndPr/>
          <w:sdtContent>
            <w:p w14:paraId="179AEB64" w14:textId="77777777" w:rsidR="00471D53" w:rsidRDefault="004F686E">
              <w:pPr>
                <w:pStyle w:val="affffff7"/>
                <w:ind w:firstLineChars="0" w:firstLine="0"/>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MACROBUTTON  SnrToggleCheckbox √适用 </w:instrText>
              </w:r>
              <w:r>
                <w:rPr>
                  <w:rFonts w:ascii="宋体" w:hAnsi="宋体" w:cs="宋体"/>
                  <w:kern w:val="0"/>
                  <w:szCs w:val="21"/>
                </w:rPr>
                <w:fldChar w:fldCharType="end"/>
              </w:r>
              <w:r>
                <w:rPr>
                  <w:rFonts w:ascii="宋体" w:hAnsi="宋体" w:cs="宋体"/>
                  <w:kern w:val="0"/>
                  <w:szCs w:val="21"/>
                </w:rPr>
                <w:fldChar w:fldCharType="begin"/>
              </w:r>
              <w:r>
                <w:rPr>
                  <w:rFonts w:ascii="宋体" w:hAnsi="宋体" w:cs="宋体"/>
                  <w:kern w:val="0"/>
                  <w:szCs w:val="21"/>
                </w:rPr>
                <w:instrText xml:space="preserve"> MACROBUTTON  SnrToggleCheckbox □不适用 </w:instrText>
              </w:r>
              <w:r>
                <w:rPr>
                  <w:rFonts w:ascii="宋体" w:hAnsi="宋体" w:cs="宋体"/>
                  <w:kern w:val="0"/>
                  <w:szCs w:val="21"/>
                </w:rPr>
                <w:fldChar w:fldCharType="end"/>
              </w:r>
            </w:p>
          </w:sdtContent>
        </w:sdt>
        <w:p w14:paraId="478D7C52" w14:textId="0185F382" w:rsidR="00471D53" w:rsidRDefault="004F686E">
          <w:pPr>
            <w:pStyle w:val="affffff7"/>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递延收益"/>
              <w:tag w:val="_GBC_cf9505178ef64cd8b1a42757a7aaf77d"/>
              <w:id w:val="-48709637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币种</w:t>
          </w:r>
          <w:sdt>
            <w:sdtPr>
              <w:rPr>
                <w:rFonts w:ascii="宋体" w:hAnsi="宋体" w:hint="eastAsia"/>
                <w:szCs w:val="21"/>
              </w:rPr>
              <w:alias w:val="币种：财务附注：递延收益"/>
              <w:tag w:val="_GBC_b7ba9c3d835b413e83140a438bc5c413"/>
              <w:id w:val="-19868587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490"/>
            <w:gridCol w:w="1431"/>
            <w:gridCol w:w="1445"/>
            <w:gridCol w:w="1429"/>
            <w:gridCol w:w="1473"/>
            <w:gridCol w:w="1555"/>
          </w:tblGrid>
          <w:tr w:rsidR="00471D53" w14:paraId="16E11915" w14:textId="77777777" w:rsidTr="00471D53">
            <w:trPr>
              <w:cantSplit/>
              <w:trHeight w:val="335"/>
            </w:trPr>
            <w:sdt>
              <w:sdtPr>
                <w:tag w:val="_PLD_eeb45564af314089916105a5217e0ff6"/>
                <w:id w:val="451216234"/>
                <w:lock w:val="sdtLocked"/>
              </w:sdtPr>
              <w:sdtEndPr/>
              <w:sdtContent>
                <w:tc>
                  <w:tcPr>
                    <w:tcW w:w="844" w:type="pct"/>
                    <w:shd w:val="clear" w:color="auto" w:fill="auto"/>
                    <w:vAlign w:val="center"/>
                  </w:tcPr>
                  <w:p w14:paraId="428DC2CD" w14:textId="77777777" w:rsidR="00471D53" w:rsidRDefault="004F686E">
                    <w:pPr>
                      <w:jc w:val="center"/>
                      <w:rPr>
                        <w:szCs w:val="21"/>
                      </w:rPr>
                    </w:pPr>
                    <w:r>
                      <w:rPr>
                        <w:rFonts w:hint="eastAsia"/>
                        <w:szCs w:val="21"/>
                      </w:rPr>
                      <w:t>项目</w:t>
                    </w:r>
                  </w:p>
                </w:tc>
              </w:sdtContent>
            </w:sdt>
            <w:sdt>
              <w:sdtPr>
                <w:tag w:val="_PLD_e0613743f99d4af58a75406a4e2ba5a1"/>
                <w:id w:val="807363648"/>
                <w:lock w:val="sdtLocked"/>
              </w:sdtPr>
              <w:sdtEndPr/>
              <w:sdtContent>
                <w:tc>
                  <w:tcPr>
                    <w:tcW w:w="811" w:type="pct"/>
                    <w:shd w:val="clear" w:color="auto" w:fill="auto"/>
                    <w:vAlign w:val="center"/>
                  </w:tcPr>
                  <w:p w14:paraId="021447B1" w14:textId="77777777" w:rsidR="00471D53" w:rsidRDefault="004F686E">
                    <w:pPr>
                      <w:jc w:val="center"/>
                      <w:rPr>
                        <w:szCs w:val="21"/>
                      </w:rPr>
                    </w:pPr>
                    <w:r>
                      <w:rPr>
                        <w:rFonts w:hint="eastAsia"/>
                        <w:szCs w:val="21"/>
                      </w:rPr>
                      <w:t>期初余额</w:t>
                    </w:r>
                  </w:p>
                </w:tc>
              </w:sdtContent>
            </w:sdt>
            <w:sdt>
              <w:sdtPr>
                <w:tag w:val="_PLD_a27f928ad4574fe594e5f995d7a37059"/>
                <w:id w:val="1042638334"/>
                <w:lock w:val="sdtLocked"/>
              </w:sdtPr>
              <w:sdtEndPr/>
              <w:sdtContent>
                <w:tc>
                  <w:tcPr>
                    <w:tcW w:w="819" w:type="pct"/>
                    <w:shd w:val="clear" w:color="auto" w:fill="auto"/>
                    <w:vAlign w:val="center"/>
                  </w:tcPr>
                  <w:p w14:paraId="3DFD3212" w14:textId="77777777" w:rsidR="00471D53" w:rsidRDefault="004F686E">
                    <w:pPr>
                      <w:jc w:val="center"/>
                      <w:rPr>
                        <w:szCs w:val="21"/>
                      </w:rPr>
                    </w:pPr>
                    <w:r>
                      <w:rPr>
                        <w:rFonts w:hint="eastAsia"/>
                        <w:szCs w:val="21"/>
                      </w:rPr>
                      <w:t>本期增加</w:t>
                    </w:r>
                  </w:p>
                </w:tc>
              </w:sdtContent>
            </w:sdt>
            <w:sdt>
              <w:sdtPr>
                <w:tag w:val="_PLD_ed95bef3663d40fb90dd15d113f7f2c1"/>
                <w:id w:val="527310069"/>
                <w:lock w:val="sdtLocked"/>
              </w:sdtPr>
              <w:sdtEndPr/>
              <w:sdtContent>
                <w:tc>
                  <w:tcPr>
                    <w:tcW w:w="810" w:type="pct"/>
                    <w:shd w:val="clear" w:color="auto" w:fill="auto"/>
                    <w:vAlign w:val="center"/>
                  </w:tcPr>
                  <w:p w14:paraId="4AA130FC" w14:textId="77777777" w:rsidR="00471D53" w:rsidRDefault="004F686E">
                    <w:pPr>
                      <w:jc w:val="center"/>
                      <w:rPr>
                        <w:szCs w:val="21"/>
                      </w:rPr>
                    </w:pPr>
                    <w:r>
                      <w:rPr>
                        <w:rFonts w:hint="eastAsia"/>
                        <w:szCs w:val="21"/>
                      </w:rPr>
                      <w:t>本期减少</w:t>
                    </w:r>
                  </w:p>
                </w:tc>
              </w:sdtContent>
            </w:sdt>
            <w:bookmarkStart w:id="205" w:name="OLE_LINK67" w:displacedByCustomXml="next"/>
            <w:bookmarkStart w:id="206" w:name="OLE_LINK66" w:displacedByCustomXml="next"/>
            <w:sdt>
              <w:sdtPr>
                <w:tag w:val="_PLD_367cd0591009413e93857494eaf8170a"/>
                <w:id w:val="1112872068"/>
                <w:lock w:val="sdtLocked"/>
              </w:sdtPr>
              <w:sdtEndPr/>
              <w:sdtContent>
                <w:tc>
                  <w:tcPr>
                    <w:tcW w:w="835" w:type="pct"/>
                    <w:shd w:val="clear" w:color="auto" w:fill="auto"/>
                    <w:vAlign w:val="center"/>
                  </w:tcPr>
                  <w:p w14:paraId="7E56FA54" w14:textId="77777777" w:rsidR="00471D53" w:rsidRDefault="004F686E">
                    <w:pPr>
                      <w:jc w:val="center"/>
                      <w:rPr>
                        <w:szCs w:val="21"/>
                      </w:rPr>
                    </w:pPr>
                    <w:r>
                      <w:rPr>
                        <w:rFonts w:hint="eastAsia"/>
                        <w:szCs w:val="21"/>
                      </w:rPr>
                      <w:t>期末余额</w:t>
                    </w:r>
                  </w:p>
                </w:tc>
                <w:bookmarkEnd w:id="205" w:displacedByCustomXml="next"/>
                <w:bookmarkEnd w:id="206" w:displacedByCustomXml="next"/>
              </w:sdtContent>
            </w:sdt>
            <w:sdt>
              <w:sdtPr>
                <w:tag w:val="_PLD_d61ffc61194047d79611cccd8488aece"/>
                <w:id w:val="1618178287"/>
                <w:lock w:val="sdtLocked"/>
              </w:sdtPr>
              <w:sdtEndPr/>
              <w:sdtContent>
                <w:tc>
                  <w:tcPr>
                    <w:tcW w:w="881" w:type="pct"/>
                    <w:shd w:val="clear" w:color="auto" w:fill="auto"/>
                    <w:vAlign w:val="center"/>
                  </w:tcPr>
                  <w:p w14:paraId="3ACB5CA6" w14:textId="77777777" w:rsidR="00471D53" w:rsidRDefault="004F686E">
                    <w:pPr>
                      <w:jc w:val="center"/>
                      <w:rPr>
                        <w:szCs w:val="21"/>
                      </w:rPr>
                    </w:pPr>
                    <w:r>
                      <w:rPr>
                        <w:rFonts w:hint="eastAsia"/>
                        <w:szCs w:val="21"/>
                      </w:rPr>
                      <w:t>形成原因</w:t>
                    </w:r>
                  </w:p>
                </w:tc>
              </w:sdtContent>
            </w:sdt>
          </w:tr>
          <w:tr w:rsidR="00471D53" w14:paraId="1B5FC36B" w14:textId="77777777" w:rsidTr="00471D53">
            <w:trPr>
              <w:cantSplit/>
            </w:trPr>
            <w:sdt>
              <w:sdtPr>
                <w:tag w:val="_PLD_c4ae7ac076814abda447ee2261fb9baa"/>
                <w:id w:val="-673190105"/>
                <w:lock w:val="sdtLocked"/>
              </w:sdtPr>
              <w:sdtEndPr/>
              <w:sdtContent>
                <w:tc>
                  <w:tcPr>
                    <w:tcW w:w="844" w:type="pct"/>
                    <w:shd w:val="clear" w:color="auto" w:fill="auto"/>
                    <w:vAlign w:val="center"/>
                  </w:tcPr>
                  <w:p w14:paraId="548BFA9E" w14:textId="77777777" w:rsidR="00471D53" w:rsidRDefault="004F686E">
                    <w:pPr>
                      <w:rPr>
                        <w:szCs w:val="21"/>
                      </w:rPr>
                    </w:pPr>
                    <w:r>
                      <w:rPr>
                        <w:rFonts w:hint="eastAsia"/>
                        <w:szCs w:val="21"/>
                      </w:rPr>
                      <w:t>政府补助</w:t>
                    </w:r>
                  </w:p>
                </w:tc>
              </w:sdtContent>
            </w:sdt>
            <w:tc>
              <w:tcPr>
                <w:tcW w:w="811" w:type="pct"/>
                <w:shd w:val="clear" w:color="auto" w:fill="auto"/>
                <w:vAlign w:val="center"/>
              </w:tcPr>
              <w:p w14:paraId="19313A25" w14:textId="77777777" w:rsidR="00471D53" w:rsidRDefault="004F686E" w:rsidP="00471D53">
                <w:pPr>
                  <w:spacing w:line="360" w:lineRule="exact"/>
                  <w:jc w:val="right"/>
                  <w:rPr>
                    <w:snapToGrid w:val="0"/>
                    <w:sz w:val="22"/>
                    <w:szCs w:val="22"/>
                    <w:lang w:eastAsia="en-US"/>
                  </w:rPr>
                </w:pPr>
                <w:r>
                  <w:rPr>
                    <w:rFonts w:cs="Calibri" w:hint="eastAsia"/>
                    <w:snapToGrid w:val="0"/>
                    <w:sz w:val="22"/>
                    <w:szCs w:val="22"/>
                    <w:lang w:eastAsia="en-US"/>
                  </w:rPr>
                  <w:t>6,011,627.67</w:t>
                </w:r>
              </w:p>
            </w:tc>
            <w:tc>
              <w:tcPr>
                <w:tcW w:w="819" w:type="pct"/>
                <w:shd w:val="clear" w:color="auto" w:fill="auto"/>
                <w:vAlign w:val="center"/>
              </w:tcPr>
              <w:p w14:paraId="10905A70" w14:textId="77777777" w:rsidR="00471D53" w:rsidRDefault="004F686E" w:rsidP="00471D53">
                <w:pPr>
                  <w:spacing w:line="360" w:lineRule="exact"/>
                  <w:jc w:val="right"/>
                  <w:rPr>
                    <w:snapToGrid w:val="0"/>
                    <w:sz w:val="22"/>
                    <w:szCs w:val="22"/>
                  </w:rPr>
                </w:pPr>
                <w:r>
                  <w:rPr>
                    <w:rFonts w:hint="eastAsia"/>
                    <w:snapToGrid w:val="0"/>
                    <w:sz w:val="22"/>
                    <w:szCs w:val="22"/>
                  </w:rPr>
                  <w:t>0</w:t>
                </w:r>
                <w:r>
                  <w:rPr>
                    <w:snapToGrid w:val="0"/>
                    <w:sz w:val="22"/>
                    <w:szCs w:val="22"/>
                  </w:rPr>
                  <w:t>.00</w:t>
                </w:r>
              </w:p>
            </w:tc>
            <w:tc>
              <w:tcPr>
                <w:tcW w:w="810" w:type="pct"/>
                <w:shd w:val="clear" w:color="auto" w:fill="auto"/>
                <w:vAlign w:val="center"/>
              </w:tcPr>
              <w:p w14:paraId="0CEA289F" w14:textId="77777777" w:rsidR="00471D53" w:rsidRDefault="004F686E" w:rsidP="00471D53">
                <w:pPr>
                  <w:spacing w:line="360" w:lineRule="exact"/>
                  <w:jc w:val="right"/>
                  <w:rPr>
                    <w:snapToGrid w:val="0"/>
                    <w:sz w:val="22"/>
                    <w:szCs w:val="22"/>
                    <w:lang w:eastAsia="en-US"/>
                  </w:rPr>
                </w:pPr>
                <w:r w:rsidRPr="00550546">
                  <w:rPr>
                    <w:snapToGrid w:val="0"/>
                    <w:sz w:val="22"/>
                    <w:szCs w:val="22"/>
                    <w:lang w:eastAsia="en-US"/>
                  </w:rPr>
                  <w:t>549,644.62</w:t>
                </w:r>
              </w:p>
            </w:tc>
            <w:tc>
              <w:tcPr>
                <w:tcW w:w="835" w:type="pct"/>
                <w:shd w:val="clear" w:color="auto" w:fill="auto"/>
                <w:vAlign w:val="center"/>
              </w:tcPr>
              <w:p w14:paraId="0E251C81" w14:textId="77777777" w:rsidR="00471D53" w:rsidRDefault="004F686E" w:rsidP="00471D53">
                <w:pPr>
                  <w:spacing w:line="360" w:lineRule="exact"/>
                  <w:jc w:val="right"/>
                  <w:rPr>
                    <w:snapToGrid w:val="0"/>
                    <w:sz w:val="22"/>
                    <w:szCs w:val="22"/>
                    <w:lang w:eastAsia="en-US"/>
                  </w:rPr>
                </w:pPr>
                <w:r w:rsidRPr="00550546">
                  <w:rPr>
                    <w:snapToGrid w:val="0"/>
                    <w:sz w:val="22"/>
                    <w:szCs w:val="22"/>
                    <w:lang w:eastAsia="en-US"/>
                  </w:rPr>
                  <w:t>5,461,983.05</w:t>
                </w:r>
              </w:p>
            </w:tc>
            <w:tc>
              <w:tcPr>
                <w:tcW w:w="881" w:type="pct"/>
                <w:shd w:val="clear" w:color="auto" w:fill="auto"/>
              </w:tcPr>
              <w:p w14:paraId="40C331F1" w14:textId="77777777" w:rsidR="00471D53" w:rsidRDefault="00B664AF">
                <w:pPr>
                  <w:rPr>
                    <w:szCs w:val="21"/>
                  </w:rPr>
                </w:pPr>
              </w:p>
            </w:tc>
          </w:tr>
          <w:tr w:rsidR="00471D53" w14:paraId="159F3754" w14:textId="77777777" w:rsidTr="00471D53">
            <w:trPr>
              <w:cantSplit/>
            </w:trPr>
            <w:sdt>
              <w:sdtPr>
                <w:tag w:val="_PLD_dc5eff4e97a943cb9b913ed360e42749"/>
                <w:id w:val="375671927"/>
                <w:lock w:val="sdtLocked"/>
              </w:sdtPr>
              <w:sdtEndPr/>
              <w:sdtContent>
                <w:tc>
                  <w:tcPr>
                    <w:tcW w:w="844" w:type="pct"/>
                    <w:shd w:val="clear" w:color="auto" w:fill="auto"/>
                    <w:vAlign w:val="center"/>
                  </w:tcPr>
                  <w:p w14:paraId="43D8A3AE" w14:textId="77777777" w:rsidR="00471D53" w:rsidRDefault="004F686E">
                    <w:pPr>
                      <w:jc w:val="center"/>
                      <w:rPr>
                        <w:szCs w:val="21"/>
                      </w:rPr>
                    </w:pPr>
                    <w:r>
                      <w:rPr>
                        <w:rFonts w:hint="eastAsia"/>
                        <w:szCs w:val="21"/>
                      </w:rPr>
                      <w:t>合计</w:t>
                    </w:r>
                  </w:p>
                </w:tc>
              </w:sdtContent>
            </w:sdt>
            <w:tc>
              <w:tcPr>
                <w:tcW w:w="811" w:type="pct"/>
                <w:shd w:val="clear" w:color="auto" w:fill="auto"/>
                <w:vAlign w:val="center"/>
              </w:tcPr>
              <w:p w14:paraId="49DCF08B" w14:textId="77777777" w:rsidR="00471D53" w:rsidRDefault="004F686E" w:rsidP="00471D53">
                <w:pPr>
                  <w:spacing w:line="360" w:lineRule="exact"/>
                  <w:jc w:val="right"/>
                  <w:rPr>
                    <w:snapToGrid w:val="0"/>
                    <w:sz w:val="22"/>
                    <w:szCs w:val="22"/>
                    <w:lang w:eastAsia="en-US"/>
                  </w:rPr>
                </w:pPr>
                <w:r>
                  <w:rPr>
                    <w:rFonts w:cs="Calibri" w:hint="eastAsia"/>
                    <w:snapToGrid w:val="0"/>
                    <w:sz w:val="22"/>
                    <w:szCs w:val="22"/>
                    <w:lang w:eastAsia="en-US"/>
                  </w:rPr>
                  <w:t>6,011,627.67</w:t>
                </w:r>
              </w:p>
            </w:tc>
            <w:tc>
              <w:tcPr>
                <w:tcW w:w="819" w:type="pct"/>
                <w:shd w:val="clear" w:color="auto" w:fill="auto"/>
                <w:vAlign w:val="center"/>
              </w:tcPr>
              <w:p w14:paraId="3C04CFCD" w14:textId="77777777" w:rsidR="00471D53" w:rsidRDefault="004F686E" w:rsidP="00471D53">
                <w:pPr>
                  <w:spacing w:line="360" w:lineRule="exact"/>
                  <w:jc w:val="right"/>
                  <w:rPr>
                    <w:snapToGrid w:val="0"/>
                    <w:sz w:val="22"/>
                    <w:szCs w:val="22"/>
                  </w:rPr>
                </w:pPr>
                <w:r>
                  <w:rPr>
                    <w:rFonts w:hint="eastAsia"/>
                    <w:snapToGrid w:val="0"/>
                    <w:sz w:val="22"/>
                    <w:szCs w:val="22"/>
                  </w:rPr>
                  <w:t>0</w:t>
                </w:r>
                <w:r>
                  <w:rPr>
                    <w:snapToGrid w:val="0"/>
                    <w:sz w:val="22"/>
                    <w:szCs w:val="22"/>
                  </w:rPr>
                  <w:t>.00</w:t>
                </w:r>
              </w:p>
            </w:tc>
            <w:tc>
              <w:tcPr>
                <w:tcW w:w="810" w:type="pct"/>
                <w:shd w:val="clear" w:color="auto" w:fill="auto"/>
                <w:vAlign w:val="center"/>
              </w:tcPr>
              <w:p w14:paraId="1FA4B401" w14:textId="77777777" w:rsidR="00471D53" w:rsidRDefault="004F686E" w:rsidP="00471D53">
                <w:pPr>
                  <w:spacing w:line="360" w:lineRule="exact"/>
                  <w:jc w:val="right"/>
                  <w:rPr>
                    <w:snapToGrid w:val="0"/>
                    <w:sz w:val="22"/>
                    <w:szCs w:val="22"/>
                    <w:lang w:eastAsia="en-US"/>
                  </w:rPr>
                </w:pPr>
                <w:r w:rsidRPr="00550546">
                  <w:rPr>
                    <w:snapToGrid w:val="0"/>
                    <w:sz w:val="22"/>
                    <w:szCs w:val="22"/>
                    <w:lang w:eastAsia="en-US"/>
                  </w:rPr>
                  <w:t>549,644.62</w:t>
                </w:r>
              </w:p>
            </w:tc>
            <w:tc>
              <w:tcPr>
                <w:tcW w:w="835" w:type="pct"/>
                <w:shd w:val="clear" w:color="auto" w:fill="auto"/>
                <w:vAlign w:val="center"/>
              </w:tcPr>
              <w:p w14:paraId="0C9A5D9D" w14:textId="77777777" w:rsidR="00471D53" w:rsidRDefault="004F686E" w:rsidP="00471D53">
                <w:pPr>
                  <w:spacing w:line="360" w:lineRule="exact"/>
                  <w:jc w:val="right"/>
                  <w:rPr>
                    <w:snapToGrid w:val="0"/>
                    <w:sz w:val="22"/>
                    <w:szCs w:val="22"/>
                    <w:lang w:eastAsia="en-US"/>
                  </w:rPr>
                </w:pPr>
                <w:r w:rsidRPr="00550546">
                  <w:rPr>
                    <w:snapToGrid w:val="0"/>
                    <w:sz w:val="22"/>
                    <w:szCs w:val="22"/>
                    <w:lang w:eastAsia="en-US"/>
                  </w:rPr>
                  <w:t>5,461,983.05</w:t>
                </w:r>
              </w:p>
            </w:tc>
            <w:tc>
              <w:tcPr>
                <w:tcW w:w="881" w:type="pct"/>
                <w:shd w:val="clear" w:color="auto" w:fill="auto"/>
              </w:tcPr>
              <w:p w14:paraId="1905FBF2" w14:textId="77777777" w:rsidR="00471D53" w:rsidRDefault="004F686E">
                <w:pPr>
                  <w:jc w:val="center"/>
                  <w:rPr>
                    <w:szCs w:val="21"/>
                  </w:rPr>
                </w:pPr>
                <w:r>
                  <w:rPr>
                    <w:rFonts w:hint="eastAsia"/>
                    <w:szCs w:val="21"/>
                  </w:rPr>
                  <w:t>/</w:t>
                </w:r>
              </w:p>
            </w:tc>
          </w:tr>
        </w:tbl>
      </w:sdtContent>
    </w:sdt>
    <w:p w14:paraId="5611E961" w14:textId="77777777" w:rsidR="00471D53" w:rsidRDefault="00B664AF">
      <w:pPr>
        <w:rPr>
          <w:szCs w:val="21"/>
        </w:rPr>
      </w:pPr>
    </w:p>
    <w:bookmarkStart w:id="207" w:name="_Hlk10537331" w:displacedByCustomXml="next"/>
    <w:sdt>
      <w:sdtPr>
        <w:rPr>
          <w:rFonts w:hint="eastAsia"/>
          <w:szCs w:val="21"/>
        </w:rPr>
        <w:alias w:val="模块:涉及政府补助的负债项目"/>
        <w:tag w:val="_GBC_e1594f7b2d3e4b13b3e32c6cde5b210a"/>
        <w:id w:val="-1470736697"/>
        <w:lock w:val="sdtLocked"/>
        <w:placeholder>
          <w:docPart w:val="GBC22222222222222222222222222222"/>
        </w:placeholder>
      </w:sdtPr>
      <w:sdtEndPr>
        <w:rPr>
          <w:szCs w:val="24"/>
        </w:rPr>
      </w:sdtEndPr>
      <w:sdtContent>
        <w:p w14:paraId="1F8E049C" w14:textId="77777777" w:rsidR="00C93C9B" w:rsidRDefault="00C93C9B">
          <w:pPr>
            <w:rPr>
              <w:szCs w:val="21"/>
            </w:rPr>
          </w:pPr>
          <w:r>
            <w:rPr>
              <w:rFonts w:hint="eastAsia"/>
              <w:szCs w:val="21"/>
            </w:rPr>
            <w:t>涉及政府补助的项目：</w:t>
          </w:r>
        </w:p>
        <w:sdt>
          <w:sdtPr>
            <w:rPr>
              <w:szCs w:val="21"/>
            </w:rPr>
            <w:alias w:val="是否适用：涉及政府补助的项目_递延收益[双击切换]"/>
            <w:tag w:val="_GBC_4c2c8447eb53428b988a5a364f2b236d"/>
            <w:id w:val="-670105775"/>
            <w:lock w:val="sdtLocked"/>
          </w:sdtPr>
          <w:sdtEndPr/>
          <w:sdtContent>
            <w:p w14:paraId="2653A3A6" w14:textId="77777777" w:rsidR="00C93C9B" w:rsidRDefault="00C93C9B">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MACROBUTTON  SnrToggleCheckbox □不适用 </w:instrText>
              </w:r>
              <w:r>
                <w:rPr>
                  <w:szCs w:val="21"/>
                </w:rPr>
                <w:fldChar w:fldCharType="end"/>
              </w:r>
            </w:p>
          </w:sdtContent>
        </w:sdt>
        <w:p w14:paraId="71B9DC03" w14:textId="77777777" w:rsidR="00C93C9B" w:rsidRDefault="00C93C9B">
          <w:pPr>
            <w:jc w:val="right"/>
            <w:rPr>
              <w:szCs w:val="21"/>
            </w:rPr>
          </w:pPr>
          <w:r>
            <w:rPr>
              <w:rFonts w:hint="eastAsia"/>
              <w:szCs w:val="21"/>
            </w:rPr>
            <w:t>单位：</w:t>
          </w:r>
          <w:sdt>
            <w:sdtPr>
              <w:rPr>
                <w:rFonts w:hint="eastAsia"/>
                <w:szCs w:val="21"/>
              </w:rPr>
              <w:alias w:val="单位：财务附注：涉及政府补助的负债项目"/>
              <w:tag w:val="_GBC_4f9266926e0c4363993dcb162380db9b"/>
              <w:id w:val="1009723480"/>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涉及政府补助的负债项目"/>
              <w:tag w:val="_GBC_f798b0de29de4c7da52adfc6a422901f"/>
              <w:id w:val="311381049"/>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150"/>
            <w:gridCol w:w="1405"/>
            <w:gridCol w:w="840"/>
            <w:gridCol w:w="927"/>
            <w:gridCol w:w="922"/>
            <w:gridCol w:w="1110"/>
            <w:gridCol w:w="1320"/>
            <w:gridCol w:w="1149"/>
          </w:tblGrid>
          <w:tr w:rsidR="00C93C9B" w14:paraId="5D3973C5" w14:textId="77777777" w:rsidTr="00C93C9B">
            <w:trPr>
              <w:jc w:val="center"/>
            </w:trPr>
            <w:sdt>
              <w:sdtPr>
                <w:tag w:val="_PLD_1bd0a5248adb4713bfd06318a3648ceb"/>
                <w:id w:val="1494525311"/>
                <w:lock w:val="sdtLocked"/>
              </w:sdtPr>
              <w:sdtEndPr/>
              <w:sdtContent>
                <w:tc>
                  <w:tcPr>
                    <w:tcW w:w="654" w:type="pct"/>
                    <w:tcBorders>
                      <w:top w:val="single" w:sz="4" w:space="0" w:color="auto"/>
                      <w:left w:val="single" w:sz="4" w:space="0" w:color="auto"/>
                      <w:bottom w:val="single" w:sz="4" w:space="0" w:color="auto"/>
                      <w:right w:val="single" w:sz="4" w:space="0" w:color="auto"/>
                    </w:tcBorders>
                    <w:vAlign w:val="center"/>
                  </w:tcPr>
                  <w:p w14:paraId="716BD3F1" w14:textId="77777777" w:rsidR="00C93C9B" w:rsidRDefault="00C93C9B" w:rsidP="00AA45A0">
                    <w:pPr>
                      <w:jc w:val="center"/>
                      <w:rPr>
                        <w:szCs w:val="21"/>
                      </w:rPr>
                    </w:pPr>
                    <w:r>
                      <w:rPr>
                        <w:szCs w:val="21"/>
                      </w:rPr>
                      <w:t>负债项目</w:t>
                    </w:r>
                  </w:p>
                </w:tc>
              </w:sdtContent>
            </w:sdt>
            <w:sdt>
              <w:sdtPr>
                <w:tag w:val="_PLD_11c88b40e8554a8db9e52728554ced53"/>
                <w:id w:val="1674074253"/>
                <w:lock w:val="sdtLocked"/>
              </w:sdtPr>
              <w:sdtEndPr/>
              <w:sdtContent>
                <w:tc>
                  <w:tcPr>
                    <w:tcW w:w="798" w:type="pct"/>
                    <w:tcBorders>
                      <w:top w:val="single" w:sz="4" w:space="0" w:color="auto"/>
                      <w:left w:val="single" w:sz="4" w:space="0" w:color="auto"/>
                      <w:bottom w:val="single" w:sz="4" w:space="0" w:color="auto"/>
                      <w:right w:val="single" w:sz="4" w:space="0" w:color="auto"/>
                    </w:tcBorders>
                    <w:vAlign w:val="center"/>
                  </w:tcPr>
                  <w:p w14:paraId="50AEBCE3" w14:textId="77777777" w:rsidR="00C93C9B" w:rsidRDefault="00C93C9B" w:rsidP="00AA45A0">
                    <w:pPr>
                      <w:jc w:val="center"/>
                      <w:rPr>
                        <w:szCs w:val="21"/>
                      </w:rPr>
                    </w:pPr>
                    <w:r>
                      <w:rPr>
                        <w:szCs w:val="21"/>
                      </w:rPr>
                      <w:t>期初余额</w:t>
                    </w:r>
                  </w:p>
                </w:tc>
              </w:sdtContent>
            </w:sdt>
            <w:sdt>
              <w:sdtPr>
                <w:tag w:val="_PLD_7b99be0925d1402da7bf5455be12c194"/>
                <w:id w:val="-2109810179"/>
                <w:lock w:val="sdtLocked"/>
              </w:sdtPr>
              <w:sdtEndPr/>
              <w:sdtContent>
                <w:tc>
                  <w:tcPr>
                    <w:tcW w:w="478" w:type="pct"/>
                    <w:tcBorders>
                      <w:top w:val="single" w:sz="4" w:space="0" w:color="auto"/>
                      <w:left w:val="single" w:sz="4" w:space="0" w:color="auto"/>
                      <w:bottom w:val="single" w:sz="4" w:space="0" w:color="auto"/>
                      <w:right w:val="single" w:sz="4" w:space="0" w:color="auto"/>
                    </w:tcBorders>
                    <w:vAlign w:val="center"/>
                  </w:tcPr>
                  <w:p w14:paraId="5A911F83" w14:textId="77777777" w:rsidR="00C93C9B" w:rsidRDefault="00C93C9B" w:rsidP="00AA45A0">
                    <w:pPr>
                      <w:jc w:val="center"/>
                      <w:rPr>
                        <w:szCs w:val="21"/>
                      </w:rPr>
                    </w:pPr>
                    <w:r>
                      <w:rPr>
                        <w:szCs w:val="21"/>
                      </w:rPr>
                      <w:t>本期新增补助金额</w:t>
                    </w:r>
                  </w:p>
                </w:tc>
              </w:sdtContent>
            </w:sdt>
            <w:sdt>
              <w:sdtPr>
                <w:tag w:val="_PLD_d945d90b68594904a9453791791d4ffa"/>
                <w:id w:val="919759130"/>
                <w:lock w:val="sdtLocked"/>
              </w:sdtPr>
              <w:sdtEndPr/>
              <w:sdtContent>
                <w:tc>
                  <w:tcPr>
                    <w:tcW w:w="527" w:type="pct"/>
                    <w:tcBorders>
                      <w:top w:val="single" w:sz="4" w:space="0" w:color="auto"/>
                      <w:left w:val="single" w:sz="4" w:space="0" w:color="auto"/>
                      <w:bottom w:val="single" w:sz="4" w:space="0" w:color="auto"/>
                      <w:right w:val="single" w:sz="4" w:space="0" w:color="auto"/>
                    </w:tcBorders>
                    <w:vAlign w:val="center"/>
                  </w:tcPr>
                  <w:p w14:paraId="0C72D6A2" w14:textId="77777777" w:rsidR="00C93C9B" w:rsidRDefault="00C93C9B" w:rsidP="00AA45A0">
                    <w:pPr>
                      <w:jc w:val="center"/>
                      <w:rPr>
                        <w:szCs w:val="21"/>
                      </w:rPr>
                    </w:pPr>
                    <w:r>
                      <w:rPr>
                        <w:szCs w:val="21"/>
                      </w:rPr>
                      <w:t>本期计入营业外收入金额</w:t>
                    </w:r>
                  </w:p>
                </w:tc>
              </w:sdtContent>
            </w:sdt>
            <w:tc>
              <w:tcPr>
                <w:tcW w:w="524" w:type="pct"/>
                <w:tcBorders>
                  <w:top w:val="single" w:sz="4" w:space="0" w:color="auto"/>
                  <w:left w:val="single" w:sz="4" w:space="0" w:color="auto"/>
                  <w:bottom w:val="single" w:sz="4" w:space="0" w:color="auto"/>
                  <w:right w:val="single" w:sz="4" w:space="0" w:color="auto"/>
                </w:tcBorders>
                <w:vAlign w:val="center"/>
              </w:tcPr>
              <w:sdt>
                <w:sdtPr>
                  <w:rPr>
                    <w:rFonts w:hint="eastAsia"/>
                  </w:rPr>
                  <w:tag w:val="_PLD_ac6886b89ddd4b75abc97b3f03668943"/>
                  <w:id w:val="1624107460"/>
                  <w:lock w:val="sdtLocked"/>
                </w:sdtPr>
                <w:sdtEndPr/>
                <w:sdtContent>
                  <w:p w14:paraId="2CA0C9DD" w14:textId="77777777" w:rsidR="00C93C9B" w:rsidRDefault="00C93C9B" w:rsidP="00AA45A0">
                    <w:pPr>
                      <w:jc w:val="center"/>
                    </w:pPr>
                    <w:r>
                      <w:rPr>
                        <w:rFonts w:hint="eastAsia"/>
                      </w:rPr>
                      <w:t>本期计入其他收益金额</w:t>
                    </w:r>
                  </w:p>
                </w:sdtContent>
              </w:sdt>
            </w:tc>
            <w:sdt>
              <w:sdtPr>
                <w:tag w:val="_PLD_822d9fedb3374c6199e425909b88c066"/>
                <w:id w:val="2078007741"/>
                <w:lock w:val="sdtLocked"/>
              </w:sdtPr>
              <w:sdtEndPr/>
              <w:sdtContent>
                <w:tc>
                  <w:tcPr>
                    <w:tcW w:w="624" w:type="pct"/>
                    <w:tcBorders>
                      <w:top w:val="single" w:sz="4" w:space="0" w:color="auto"/>
                      <w:left w:val="single" w:sz="4" w:space="0" w:color="auto"/>
                      <w:bottom w:val="single" w:sz="4" w:space="0" w:color="auto"/>
                      <w:right w:val="single" w:sz="4" w:space="0" w:color="auto"/>
                    </w:tcBorders>
                    <w:vAlign w:val="center"/>
                  </w:tcPr>
                  <w:p w14:paraId="2F6CE1ED" w14:textId="77777777" w:rsidR="00C93C9B" w:rsidRDefault="00C93C9B" w:rsidP="00AA45A0">
                    <w:pPr>
                      <w:jc w:val="center"/>
                      <w:rPr>
                        <w:szCs w:val="21"/>
                      </w:rPr>
                    </w:pPr>
                    <w:r>
                      <w:rPr>
                        <w:szCs w:val="21"/>
                      </w:rPr>
                      <w:t>其他变动</w:t>
                    </w:r>
                  </w:p>
                </w:tc>
              </w:sdtContent>
            </w:sdt>
            <w:sdt>
              <w:sdtPr>
                <w:tag w:val="_PLD_1a96043f63c146309b6472d84b4d7aa6"/>
                <w:id w:val="1884831159"/>
                <w:lock w:val="sdtLocked"/>
              </w:sdtPr>
              <w:sdtEndPr/>
              <w:sdtContent>
                <w:tc>
                  <w:tcPr>
                    <w:tcW w:w="742" w:type="pct"/>
                    <w:tcBorders>
                      <w:top w:val="single" w:sz="4" w:space="0" w:color="auto"/>
                      <w:left w:val="single" w:sz="4" w:space="0" w:color="auto"/>
                      <w:bottom w:val="single" w:sz="4" w:space="0" w:color="auto"/>
                      <w:right w:val="single" w:sz="4" w:space="0" w:color="auto"/>
                    </w:tcBorders>
                    <w:vAlign w:val="center"/>
                  </w:tcPr>
                  <w:p w14:paraId="7F24153D" w14:textId="77777777" w:rsidR="00C93C9B" w:rsidRDefault="00C93C9B" w:rsidP="00AA45A0">
                    <w:pPr>
                      <w:jc w:val="center"/>
                      <w:rPr>
                        <w:szCs w:val="21"/>
                      </w:rPr>
                    </w:pPr>
                    <w:r>
                      <w:rPr>
                        <w:szCs w:val="21"/>
                      </w:rPr>
                      <w:t>期末余额</w:t>
                    </w:r>
                  </w:p>
                </w:tc>
              </w:sdtContent>
            </w:sdt>
            <w:sdt>
              <w:sdtPr>
                <w:tag w:val="_PLD_b9b21d1fe20343d597f3219a3532324a"/>
                <w:id w:val="-481544114"/>
                <w:lock w:val="sdtLocked"/>
              </w:sdtPr>
              <w:sdtEndPr/>
              <w:sdtContent>
                <w:tc>
                  <w:tcPr>
                    <w:tcW w:w="653" w:type="pct"/>
                    <w:tcBorders>
                      <w:top w:val="single" w:sz="4" w:space="0" w:color="auto"/>
                      <w:left w:val="single" w:sz="4" w:space="0" w:color="auto"/>
                      <w:bottom w:val="single" w:sz="4" w:space="0" w:color="auto"/>
                      <w:right w:val="single" w:sz="4" w:space="0" w:color="auto"/>
                    </w:tcBorders>
                    <w:vAlign w:val="center"/>
                  </w:tcPr>
                  <w:p w14:paraId="264FC4B1" w14:textId="77777777" w:rsidR="00C93C9B" w:rsidRDefault="00C93C9B" w:rsidP="00AA45A0">
                    <w:pPr>
                      <w:jc w:val="center"/>
                      <w:rPr>
                        <w:szCs w:val="21"/>
                      </w:rPr>
                    </w:pPr>
                    <w:r>
                      <w:rPr>
                        <w:szCs w:val="21"/>
                      </w:rPr>
                      <w:t>与资产相关/与收益相关</w:t>
                    </w:r>
                  </w:p>
                </w:tc>
              </w:sdtContent>
            </w:sdt>
          </w:tr>
          <w:sdt>
            <w:sdtPr>
              <w:rPr>
                <w:szCs w:val="21"/>
              </w:rPr>
              <w:alias w:val="涉及政府补助的负债项目明细"/>
              <w:tag w:val="_GBC_57fa178d03fa46a3befea9bbb3ebc131"/>
              <w:id w:val="1804813089"/>
              <w:lock w:val="sdtLocked"/>
              <w:placeholder>
                <w:docPart w:val="A5BD2D8E91CF4C7F9D1ED9665B00CB1F"/>
              </w:placeholder>
            </w:sdtPr>
            <w:sdtEndPr/>
            <w:sdtContent>
              <w:tr w:rsidR="00C93C9B" w14:paraId="29862AEA" w14:textId="77777777" w:rsidTr="00C93C9B">
                <w:trPr>
                  <w:jc w:val="center"/>
                </w:trPr>
                <w:tc>
                  <w:tcPr>
                    <w:tcW w:w="654" w:type="pct"/>
                    <w:tcBorders>
                      <w:top w:val="single" w:sz="4" w:space="0" w:color="auto"/>
                      <w:left w:val="single" w:sz="4" w:space="0" w:color="auto"/>
                      <w:bottom w:val="single" w:sz="4" w:space="0" w:color="auto"/>
                      <w:right w:val="single" w:sz="4" w:space="0" w:color="auto"/>
                    </w:tcBorders>
                    <w:vAlign w:val="center"/>
                  </w:tcPr>
                  <w:p w14:paraId="001B329F" w14:textId="77777777" w:rsidR="00C93C9B" w:rsidRDefault="00C93C9B" w:rsidP="00AA45A0">
                    <w:pPr>
                      <w:rPr>
                        <w:szCs w:val="21"/>
                      </w:rPr>
                    </w:pPr>
                    <w:r>
                      <w:t>70MPa氢气瓶开发项目</w:t>
                    </w:r>
                  </w:p>
                </w:tc>
                <w:tc>
                  <w:tcPr>
                    <w:tcW w:w="798" w:type="pct"/>
                    <w:tcBorders>
                      <w:top w:val="single" w:sz="4" w:space="0" w:color="auto"/>
                      <w:left w:val="single" w:sz="4" w:space="0" w:color="auto"/>
                      <w:bottom w:val="single" w:sz="4" w:space="0" w:color="auto"/>
                      <w:right w:val="single" w:sz="4" w:space="0" w:color="auto"/>
                    </w:tcBorders>
                  </w:tcPr>
                  <w:p w14:paraId="2E71C060" w14:textId="77777777" w:rsidR="00C93C9B" w:rsidRDefault="00C93C9B" w:rsidP="00AA45A0">
                    <w:pPr>
                      <w:jc w:val="right"/>
                      <w:rPr>
                        <w:szCs w:val="21"/>
                      </w:rPr>
                    </w:pPr>
                    <w:r>
                      <w:t>355,457.22</w:t>
                    </w:r>
                  </w:p>
                </w:tc>
                <w:tc>
                  <w:tcPr>
                    <w:tcW w:w="478" w:type="pct"/>
                    <w:tcBorders>
                      <w:top w:val="single" w:sz="4" w:space="0" w:color="auto"/>
                      <w:left w:val="single" w:sz="4" w:space="0" w:color="auto"/>
                      <w:bottom w:val="single" w:sz="4" w:space="0" w:color="auto"/>
                      <w:right w:val="single" w:sz="4" w:space="0" w:color="auto"/>
                    </w:tcBorders>
                  </w:tcPr>
                  <w:p w14:paraId="5CEDE8B5" w14:textId="77777777" w:rsidR="00C93C9B" w:rsidRDefault="00C93C9B" w:rsidP="00AA45A0">
                    <w:pPr>
                      <w:jc w:val="right"/>
                      <w:rPr>
                        <w:szCs w:val="21"/>
                      </w:rPr>
                    </w:pPr>
                    <w:r>
                      <w:t>0</w:t>
                    </w:r>
                  </w:p>
                </w:tc>
                <w:tc>
                  <w:tcPr>
                    <w:tcW w:w="527" w:type="pct"/>
                    <w:tcBorders>
                      <w:top w:val="single" w:sz="4" w:space="0" w:color="auto"/>
                      <w:left w:val="single" w:sz="4" w:space="0" w:color="auto"/>
                      <w:bottom w:val="single" w:sz="4" w:space="0" w:color="auto"/>
                      <w:right w:val="single" w:sz="4" w:space="0" w:color="auto"/>
                    </w:tcBorders>
                  </w:tcPr>
                  <w:p w14:paraId="2E055B12" w14:textId="77777777" w:rsidR="00C93C9B" w:rsidRDefault="00C93C9B" w:rsidP="00AA45A0">
                    <w:pPr>
                      <w:jc w:val="right"/>
                      <w:rPr>
                        <w:szCs w:val="21"/>
                      </w:rPr>
                    </w:pPr>
                    <w:r>
                      <w:t>0</w:t>
                    </w:r>
                  </w:p>
                </w:tc>
                <w:tc>
                  <w:tcPr>
                    <w:tcW w:w="524" w:type="pct"/>
                    <w:tcBorders>
                      <w:top w:val="single" w:sz="4" w:space="0" w:color="auto"/>
                      <w:left w:val="single" w:sz="4" w:space="0" w:color="auto"/>
                      <w:bottom w:val="single" w:sz="4" w:space="0" w:color="auto"/>
                      <w:right w:val="single" w:sz="4" w:space="0" w:color="auto"/>
                    </w:tcBorders>
                  </w:tcPr>
                  <w:p w14:paraId="1E8389EC" w14:textId="77777777" w:rsidR="00C93C9B" w:rsidRDefault="00C93C9B" w:rsidP="00AA45A0">
                    <w:pPr>
                      <w:jc w:val="right"/>
                      <w:rPr>
                        <w:szCs w:val="21"/>
                      </w:rPr>
                    </w:pPr>
                    <w:r>
                      <w:t>0</w:t>
                    </w:r>
                  </w:p>
                </w:tc>
                <w:tc>
                  <w:tcPr>
                    <w:tcW w:w="624" w:type="pct"/>
                    <w:tcBorders>
                      <w:top w:val="single" w:sz="4" w:space="0" w:color="auto"/>
                      <w:left w:val="single" w:sz="4" w:space="0" w:color="auto"/>
                      <w:bottom w:val="single" w:sz="4" w:space="0" w:color="auto"/>
                      <w:right w:val="single" w:sz="4" w:space="0" w:color="auto"/>
                    </w:tcBorders>
                  </w:tcPr>
                  <w:p w14:paraId="374EE80B" w14:textId="77777777" w:rsidR="00C93C9B" w:rsidRDefault="00C93C9B" w:rsidP="00AA45A0">
                    <w:pPr>
                      <w:jc w:val="right"/>
                      <w:rPr>
                        <w:szCs w:val="21"/>
                      </w:rPr>
                    </w:pPr>
                    <w:r>
                      <w:t>5,309.74</w:t>
                    </w:r>
                  </w:p>
                </w:tc>
                <w:tc>
                  <w:tcPr>
                    <w:tcW w:w="742" w:type="pct"/>
                    <w:tcBorders>
                      <w:top w:val="single" w:sz="4" w:space="0" w:color="auto"/>
                      <w:left w:val="single" w:sz="4" w:space="0" w:color="auto"/>
                      <w:bottom w:val="single" w:sz="4" w:space="0" w:color="auto"/>
                      <w:right w:val="single" w:sz="4" w:space="0" w:color="auto"/>
                    </w:tcBorders>
                  </w:tcPr>
                  <w:p w14:paraId="6928C882" w14:textId="77777777" w:rsidR="00C93C9B" w:rsidRDefault="00C93C9B" w:rsidP="00AA45A0">
                    <w:pPr>
                      <w:jc w:val="right"/>
                      <w:rPr>
                        <w:szCs w:val="21"/>
                      </w:rPr>
                    </w:pPr>
                    <w:r>
                      <w:t>350,147.48</w:t>
                    </w:r>
                  </w:p>
                </w:tc>
                <w:tc>
                  <w:tcPr>
                    <w:tcW w:w="653" w:type="pct"/>
                    <w:tcBorders>
                      <w:top w:val="single" w:sz="4" w:space="0" w:color="auto"/>
                      <w:left w:val="single" w:sz="4" w:space="0" w:color="auto"/>
                      <w:bottom w:val="single" w:sz="4" w:space="0" w:color="auto"/>
                      <w:right w:val="single" w:sz="4" w:space="0" w:color="auto"/>
                    </w:tcBorders>
                  </w:tcPr>
                  <w:p w14:paraId="5CA10D40" w14:textId="77777777" w:rsidR="00C93C9B" w:rsidRDefault="00C93C9B" w:rsidP="00AA45A0">
                    <w:pPr>
                      <w:rPr>
                        <w:szCs w:val="21"/>
                      </w:rPr>
                    </w:pPr>
                    <w:r>
                      <w:t>与收益相关</w:t>
                    </w:r>
                  </w:p>
                </w:tc>
              </w:tr>
            </w:sdtContent>
          </w:sdt>
          <w:sdt>
            <w:sdtPr>
              <w:rPr>
                <w:szCs w:val="21"/>
              </w:rPr>
              <w:alias w:val="涉及政府补助的负债项目明细"/>
              <w:tag w:val="_GBC_57fa178d03fa46a3befea9bbb3ebc131"/>
              <w:id w:val="-1447146905"/>
              <w:lock w:val="sdtLocked"/>
              <w:placeholder>
                <w:docPart w:val="A2E891B2BB804715ABBDB908CF96A744"/>
              </w:placeholder>
            </w:sdtPr>
            <w:sdtEndPr/>
            <w:sdtContent>
              <w:tr w:rsidR="00C93C9B" w14:paraId="274D5323" w14:textId="77777777" w:rsidTr="00C93C9B">
                <w:trPr>
                  <w:jc w:val="center"/>
                </w:trPr>
                <w:tc>
                  <w:tcPr>
                    <w:tcW w:w="654" w:type="pct"/>
                    <w:tcBorders>
                      <w:top w:val="single" w:sz="4" w:space="0" w:color="auto"/>
                      <w:left w:val="single" w:sz="4" w:space="0" w:color="auto"/>
                      <w:bottom w:val="single" w:sz="4" w:space="0" w:color="auto"/>
                      <w:right w:val="single" w:sz="4" w:space="0" w:color="auto"/>
                    </w:tcBorders>
                    <w:vAlign w:val="center"/>
                  </w:tcPr>
                  <w:p w14:paraId="1B29249B" w14:textId="77777777" w:rsidR="00C93C9B" w:rsidRDefault="00C93C9B" w:rsidP="00AA45A0">
                    <w:pPr>
                      <w:rPr>
                        <w:szCs w:val="21"/>
                      </w:rPr>
                    </w:pPr>
                    <w:r>
                      <w:t>2018年省级工业转型升级项目</w:t>
                    </w:r>
                  </w:p>
                </w:tc>
                <w:tc>
                  <w:tcPr>
                    <w:tcW w:w="798" w:type="pct"/>
                    <w:tcBorders>
                      <w:top w:val="single" w:sz="4" w:space="0" w:color="auto"/>
                      <w:left w:val="single" w:sz="4" w:space="0" w:color="auto"/>
                      <w:bottom w:val="single" w:sz="4" w:space="0" w:color="auto"/>
                      <w:right w:val="single" w:sz="4" w:space="0" w:color="auto"/>
                    </w:tcBorders>
                  </w:tcPr>
                  <w:p w14:paraId="146E20BC" w14:textId="77777777" w:rsidR="00C93C9B" w:rsidRDefault="00C93C9B" w:rsidP="00AA45A0">
                    <w:pPr>
                      <w:jc w:val="right"/>
                      <w:rPr>
                        <w:szCs w:val="21"/>
                      </w:rPr>
                    </w:pPr>
                    <w:r>
                      <w:t>656,170.45</w:t>
                    </w:r>
                  </w:p>
                </w:tc>
                <w:tc>
                  <w:tcPr>
                    <w:tcW w:w="478" w:type="pct"/>
                    <w:tcBorders>
                      <w:top w:val="single" w:sz="4" w:space="0" w:color="auto"/>
                      <w:left w:val="single" w:sz="4" w:space="0" w:color="auto"/>
                      <w:bottom w:val="single" w:sz="4" w:space="0" w:color="auto"/>
                      <w:right w:val="single" w:sz="4" w:space="0" w:color="auto"/>
                    </w:tcBorders>
                  </w:tcPr>
                  <w:p w14:paraId="5FEA7847" w14:textId="77777777" w:rsidR="00C93C9B" w:rsidRDefault="00C93C9B" w:rsidP="00AA45A0">
                    <w:pPr>
                      <w:jc w:val="right"/>
                      <w:rPr>
                        <w:szCs w:val="21"/>
                      </w:rPr>
                    </w:pPr>
                    <w:r>
                      <w:t>0</w:t>
                    </w:r>
                  </w:p>
                </w:tc>
                <w:tc>
                  <w:tcPr>
                    <w:tcW w:w="527" w:type="pct"/>
                    <w:tcBorders>
                      <w:top w:val="single" w:sz="4" w:space="0" w:color="auto"/>
                      <w:left w:val="single" w:sz="4" w:space="0" w:color="auto"/>
                      <w:bottom w:val="single" w:sz="4" w:space="0" w:color="auto"/>
                      <w:right w:val="single" w:sz="4" w:space="0" w:color="auto"/>
                    </w:tcBorders>
                  </w:tcPr>
                  <w:p w14:paraId="41152D89" w14:textId="77777777" w:rsidR="00C93C9B" w:rsidRDefault="00C93C9B" w:rsidP="00AA45A0">
                    <w:pPr>
                      <w:jc w:val="right"/>
                      <w:rPr>
                        <w:szCs w:val="21"/>
                      </w:rPr>
                    </w:pPr>
                    <w:r>
                      <w:t>0</w:t>
                    </w:r>
                  </w:p>
                </w:tc>
                <w:tc>
                  <w:tcPr>
                    <w:tcW w:w="524" w:type="pct"/>
                    <w:tcBorders>
                      <w:top w:val="single" w:sz="4" w:space="0" w:color="auto"/>
                      <w:left w:val="single" w:sz="4" w:space="0" w:color="auto"/>
                      <w:bottom w:val="single" w:sz="4" w:space="0" w:color="auto"/>
                      <w:right w:val="single" w:sz="4" w:space="0" w:color="auto"/>
                    </w:tcBorders>
                  </w:tcPr>
                  <w:p w14:paraId="6480B044" w14:textId="77777777" w:rsidR="00C93C9B" w:rsidRDefault="00C93C9B" w:rsidP="00AA45A0">
                    <w:pPr>
                      <w:jc w:val="right"/>
                      <w:rPr>
                        <w:szCs w:val="21"/>
                      </w:rPr>
                    </w:pPr>
                    <w:r>
                      <w:t>0</w:t>
                    </w:r>
                  </w:p>
                </w:tc>
                <w:tc>
                  <w:tcPr>
                    <w:tcW w:w="624" w:type="pct"/>
                    <w:tcBorders>
                      <w:top w:val="single" w:sz="4" w:space="0" w:color="auto"/>
                      <w:left w:val="single" w:sz="4" w:space="0" w:color="auto"/>
                      <w:bottom w:val="single" w:sz="4" w:space="0" w:color="auto"/>
                      <w:right w:val="single" w:sz="4" w:space="0" w:color="auto"/>
                    </w:tcBorders>
                  </w:tcPr>
                  <w:p w14:paraId="37F71631" w14:textId="77777777" w:rsidR="00C93C9B" w:rsidRDefault="00C93C9B" w:rsidP="00AA45A0">
                    <w:pPr>
                      <w:jc w:val="right"/>
                      <w:rPr>
                        <w:szCs w:val="21"/>
                      </w:rPr>
                    </w:pPr>
                    <w:r>
                      <w:t>544,334.88</w:t>
                    </w:r>
                  </w:p>
                </w:tc>
                <w:tc>
                  <w:tcPr>
                    <w:tcW w:w="742" w:type="pct"/>
                    <w:tcBorders>
                      <w:top w:val="single" w:sz="4" w:space="0" w:color="auto"/>
                      <w:left w:val="single" w:sz="4" w:space="0" w:color="auto"/>
                      <w:bottom w:val="single" w:sz="4" w:space="0" w:color="auto"/>
                      <w:right w:val="single" w:sz="4" w:space="0" w:color="auto"/>
                    </w:tcBorders>
                  </w:tcPr>
                  <w:p w14:paraId="1D1B2873" w14:textId="77777777" w:rsidR="00C93C9B" w:rsidRDefault="00C93C9B" w:rsidP="00AA45A0">
                    <w:pPr>
                      <w:jc w:val="right"/>
                      <w:rPr>
                        <w:szCs w:val="21"/>
                      </w:rPr>
                    </w:pPr>
                    <w:r>
                      <w:t>111,835.57</w:t>
                    </w:r>
                  </w:p>
                </w:tc>
                <w:tc>
                  <w:tcPr>
                    <w:tcW w:w="653" w:type="pct"/>
                    <w:tcBorders>
                      <w:top w:val="single" w:sz="4" w:space="0" w:color="auto"/>
                      <w:left w:val="single" w:sz="4" w:space="0" w:color="auto"/>
                      <w:bottom w:val="single" w:sz="4" w:space="0" w:color="auto"/>
                      <w:right w:val="single" w:sz="4" w:space="0" w:color="auto"/>
                    </w:tcBorders>
                  </w:tcPr>
                  <w:p w14:paraId="35EB84AB" w14:textId="77777777" w:rsidR="00C93C9B" w:rsidRDefault="00C93C9B" w:rsidP="00AA45A0">
                    <w:pPr>
                      <w:rPr>
                        <w:szCs w:val="21"/>
                      </w:rPr>
                    </w:pPr>
                    <w:r>
                      <w:t>与资产相关</w:t>
                    </w:r>
                  </w:p>
                </w:tc>
              </w:tr>
            </w:sdtContent>
          </w:sdt>
          <w:sdt>
            <w:sdtPr>
              <w:rPr>
                <w:szCs w:val="21"/>
              </w:rPr>
              <w:alias w:val="涉及政府补助的负债项目明细"/>
              <w:tag w:val="_GBC_57fa178d03fa46a3befea9bbb3ebc131"/>
              <w:id w:val="-1608887028"/>
              <w:lock w:val="sdtLocked"/>
              <w:placeholder>
                <w:docPart w:val="A2E891B2BB804715ABBDB908CF96A744"/>
              </w:placeholder>
            </w:sdtPr>
            <w:sdtEndPr/>
            <w:sdtContent>
              <w:tr w:rsidR="00C93C9B" w14:paraId="3BB5A969" w14:textId="77777777" w:rsidTr="00C93C9B">
                <w:trPr>
                  <w:jc w:val="center"/>
                </w:trPr>
                <w:tc>
                  <w:tcPr>
                    <w:tcW w:w="654" w:type="pct"/>
                    <w:tcBorders>
                      <w:top w:val="single" w:sz="4" w:space="0" w:color="auto"/>
                      <w:left w:val="single" w:sz="4" w:space="0" w:color="auto"/>
                      <w:bottom w:val="single" w:sz="4" w:space="0" w:color="auto"/>
                      <w:right w:val="single" w:sz="4" w:space="0" w:color="auto"/>
                    </w:tcBorders>
                    <w:vAlign w:val="center"/>
                  </w:tcPr>
                  <w:p w14:paraId="5C7B3656" w14:textId="77777777" w:rsidR="00C93C9B" w:rsidRDefault="00C93C9B" w:rsidP="00AA45A0">
                    <w:pPr>
                      <w:rPr>
                        <w:szCs w:val="21"/>
                      </w:rPr>
                    </w:pPr>
                    <w:r>
                      <w:t>固定式液氢储罐开发项目</w:t>
                    </w:r>
                  </w:p>
                </w:tc>
                <w:tc>
                  <w:tcPr>
                    <w:tcW w:w="798" w:type="pct"/>
                    <w:tcBorders>
                      <w:top w:val="single" w:sz="4" w:space="0" w:color="auto"/>
                      <w:left w:val="single" w:sz="4" w:space="0" w:color="auto"/>
                      <w:bottom w:val="single" w:sz="4" w:space="0" w:color="auto"/>
                      <w:right w:val="single" w:sz="4" w:space="0" w:color="auto"/>
                    </w:tcBorders>
                  </w:tcPr>
                  <w:p w14:paraId="7DE06C29" w14:textId="77777777" w:rsidR="00C93C9B" w:rsidRDefault="00C93C9B" w:rsidP="00AA45A0">
                    <w:pPr>
                      <w:jc w:val="right"/>
                      <w:rPr>
                        <w:szCs w:val="21"/>
                      </w:rPr>
                    </w:pPr>
                    <w:r>
                      <w:t>2,000,000.00</w:t>
                    </w:r>
                  </w:p>
                </w:tc>
                <w:tc>
                  <w:tcPr>
                    <w:tcW w:w="478" w:type="pct"/>
                    <w:tcBorders>
                      <w:top w:val="single" w:sz="4" w:space="0" w:color="auto"/>
                      <w:left w:val="single" w:sz="4" w:space="0" w:color="auto"/>
                      <w:bottom w:val="single" w:sz="4" w:space="0" w:color="auto"/>
                      <w:right w:val="single" w:sz="4" w:space="0" w:color="auto"/>
                    </w:tcBorders>
                  </w:tcPr>
                  <w:p w14:paraId="25A268D1" w14:textId="77777777" w:rsidR="00C93C9B" w:rsidRDefault="00C93C9B" w:rsidP="00AA45A0">
                    <w:pPr>
                      <w:jc w:val="right"/>
                      <w:rPr>
                        <w:szCs w:val="21"/>
                      </w:rPr>
                    </w:pPr>
                    <w:r>
                      <w:t>0</w:t>
                    </w:r>
                  </w:p>
                </w:tc>
                <w:tc>
                  <w:tcPr>
                    <w:tcW w:w="527" w:type="pct"/>
                    <w:tcBorders>
                      <w:top w:val="single" w:sz="4" w:space="0" w:color="auto"/>
                      <w:left w:val="single" w:sz="4" w:space="0" w:color="auto"/>
                      <w:bottom w:val="single" w:sz="4" w:space="0" w:color="auto"/>
                      <w:right w:val="single" w:sz="4" w:space="0" w:color="auto"/>
                    </w:tcBorders>
                  </w:tcPr>
                  <w:p w14:paraId="629BE095" w14:textId="77777777" w:rsidR="00C93C9B" w:rsidRDefault="00C93C9B" w:rsidP="00AA45A0">
                    <w:pPr>
                      <w:jc w:val="right"/>
                      <w:rPr>
                        <w:szCs w:val="21"/>
                      </w:rPr>
                    </w:pPr>
                    <w:r>
                      <w:t>0</w:t>
                    </w:r>
                  </w:p>
                </w:tc>
                <w:tc>
                  <w:tcPr>
                    <w:tcW w:w="524" w:type="pct"/>
                    <w:tcBorders>
                      <w:top w:val="single" w:sz="4" w:space="0" w:color="auto"/>
                      <w:left w:val="single" w:sz="4" w:space="0" w:color="auto"/>
                      <w:bottom w:val="single" w:sz="4" w:space="0" w:color="auto"/>
                      <w:right w:val="single" w:sz="4" w:space="0" w:color="auto"/>
                    </w:tcBorders>
                  </w:tcPr>
                  <w:p w14:paraId="110398FC" w14:textId="77777777" w:rsidR="00C93C9B" w:rsidRDefault="00C93C9B" w:rsidP="00AA45A0">
                    <w:pPr>
                      <w:jc w:val="right"/>
                      <w:rPr>
                        <w:szCs w:val="21"/>
                      </w:rPr>
                    </w:pPr>
                    <w:r>
                      <w:t>0</w:t>
                    </w:r>
                  </w:p>
                </w:tc>
                <w:tc>
                  <w:tcPr>
                    <w:tcW w:w="624" w:type="pct"/>
                    <w:tcBorders>
                      <w:top w:val="single" w:sz="4" w:space="0" w:color="auto"/>
                      <w:left w:val="single" w:sz="4" w:space="0" w:color="auto"/>
                      <w:bottom w:val="single" w:sz="4" w:space="0" w:color="auto"/>
                      <w:right w:val="single" w:sz="4" w:space="0" w:color="auto"/>
                    </w:tcBorders>
                  </w:tcPr>
                  <w:p w14:paraId="5210C1C1" w14:textId="77777777" w:rsidR="00C93C9B" w:rsidRDefault="00C93C9B" w:rsidP="00AA45A0">
                    <w:pPr>
                      <w:jc w:val="right"/>
                      <w:rPr>
                        <w:szCs w:val="21"/>
                      </w:rPr>
                    </w:pPr>
                    <w:r>
                      <w:t>0.00</w:t>
                    </w:r>
                  </w:p>
                </w:tc>
                <w:tc>
                  <w:tcPr>
                    <w:tcW w:w="742" w:type="pct"/>
                    <w:tcBorders>
                      <w:top w:val="single" w:sz="4" w:space="0" w:color="auto"/>
                      <w:left w:val="single" w:sz="4" w:space="0" w:color="auto"/>
                      <w:bottom w:val="single" w:sz="4" w:space="0" w:color="auto"/>
                      <w:right w:val="single" w:sz="4" w:space="0" w:color="auto"/>
                    </w:tcBorders>
                  </w:tcPr>
                  <w:p w14:paraId="67E5EA85" w14:textId="77777777" w:rsidR="00C93C9B" w:rsidRDefault="00C93C9B" w:rsidP="00AA45A0">
                    <w:pPr>
                      <w:jc w:val="right"/>
                      <w:rPr>
                        <w:szCs w:val="21"/>
                      </w:rPr>
                    </w:pPr>
                    <w:r>
                      <w:t>2,000,000.00</w:t>
                    </w:r>
                  </w:p>
                </w:tc>
                <w:tc>
                  <w:tcPr>
                    <w:tcW w:w="653" w:type="pct"/>
                    <w:tcBorders>
                      <w:top w:val="single" w:sz="4" w:space="0" w:color="auto"/>
                      <w:left w:val="single" w:sz="4" w:space="0" w:color="auto"/>
                      <w:bottom w:val="single" w:sz="4" w:space="0" w:color="auto"/>
                      <w:right w:val="single" w:sz="4" w:space="0" w:color="auto"/>
                    </w:tcBorders>
                  </w:tcPr>
                  <w:p w14:paraId="7A62CF3F" w14:textId="77777777" w:rsidR="00C93C9B" w:rsidRDefault="00C93C9B" w:rsidP="00AA45A0">
                    <w:pPr>
                      <w:rPr>
                        <w:szCs w:val="21"/>
                      </w:rPr>
                    </w:pPr>
                    <w:r>
                      <w:t>与收益相关</w:t>
                    </w:r>
                  </w:p>
                </w:tc>
              </w:tr>
            </w:sdtContent>
          </w:sdt>
          <w:sdt>
            <w:sdtPr>
              <w:rPr>
                <w:szCs w:val="21"/>
              </w:rPr>
              <w:alias w:val="涉及政府补助的负债项目明细"/>
              <w:tag w:val="_GBC_57fa178d03fa46a3befea9bbb3ebc131"/>
              <w:id w:val="93977125"/>
              <w:lock w:val="sdtLocked"/>
              <w:placeholder>
                <w:docPart w:val="A2E891B2BB804715ABBDB908CF96A744"/>
              </w:placeholder>
            </w:sdtPr>
            <w:sdtEndPr/>
            <w:sdtContent>
              <w:tr w:rsidR="00C93C9B" w14:paraId="33449D77" w14:textId="77777777" w:rsidTr="00C93C9B">
                <w:trPr>
                  <w:jc w:val="center"/>
                </w:trPr>
                <w:tc>
                  <w:tcPr>
                    <w:tcW w:w="654" w:type="pct"/>
                    <w:tcBorders>
                      <w:top w:val="single" w:sz="4" w:space="0" w:color="auto"/>
                      <w:left w:val="single" w:sz="4" w:space="0" w:color="auto"/>
                      <w:bottom w:val="single" w:sz="4" w:space="0" w:color="auto"/>
                      <w:right w:val="single" w:sz="4" w:space="0" w:color="auto"/>
                    </w:tcBorders>
                    <w:vAlign w:val="center"/>
                  </w:tcPr>
                  <w:p w14:paraId="4330EEFF" w14:textId="77777777" w:rsidR="00C93C9B" w:rsidRDefault="00C93C9B" w:rsidP="00AA45A0">
                    <w:pPr>
                      <w:rPr>
                        <w:szCs w:val="21"/>
                      </w:rPr>
                    </w:pPr>
                    <w:r>
                      <w:t>车载1000L液氢气瓶的设计研发</w:t>
                    </w:r>
                  </w:p>
                </w:tc>
                <w:tc>
                  <w:tcPr>
                    <w:tcW w:w="798" w:type="pct"/>
                    <w:tcBorders>
                      <w:top w:val="single" w:sz="4" w:space="0" w:color="auto"/>
                      <w:left w:val="single" w:sz="4" w:space="0" w:color="auto"/>
                      <w:bottom w:val="single" w:sz="4" w:space="0" w:color="auto"/>
                      <w:right w:val="single" w:sz="4" w:space="0" w:color="auto"/>
                    </w:tcBorders>
                  </w:tcPr>
                  <w:p w14:paraId="474D7BE9" w14:textId="77777777" w:rsidR="00C93C9B" w:rsidRDefault="00C93C9B" w:rsidP="00AA45A0">
                    <w:pPr>
                      <w:jc w:val="right"/>
                      <w:rPr>
                        <w:szCs w:val="21"/>
                      </w:rPr>
                    </w:pPr>
                    <w:r>
                      <w:t>3,000,000.00</w:t>
                    </w:r>
                  </w:p>
                </w:tc>
                <w:tc>
                  <w:tcPr>
                    <w:tcW w:w="478" w:type="pct"/>
                    <w:tcBorders>
                      <w:top w:val="single" w:sz="4" w:space="0" w:color="auto"/>
                      <w:left w:val="single" w:sz="4" w:space="0" w:color="auto"/>
                      <w:bottom w:val="single" w:sz="4" w:space="0" w:color="auto"/>
                      <w:right w:val="single" w:sz="4" w:space="0" w:color="auto"/>
                    </w:tcBorders>
                  </w:tcPr>
                  <w:p w14:paraId="02977A3B" w14:textId="77777777" w:rsidR="00C93C9B" w:rsidRDefault="00C93C9B" w:rsidP="00AA45A0">
                    <w:pPr>
                      <w:jc w:val="right"/>
                      <w:rPr>
                        <w:szCs w:val="21"/>
                      </w:rPr>
                    </w:pPr>
                    <w:r>
                      <w:t>0</w:t>
                    </w:r>
                  </w:p>
                </w:tc>
                <w:tc>
                  <w:tcPr>
                    <w:tcW w:w="527" w:type="pct"/>
                    <w:tcBorders>
                      <w:top w:val="single" w:sz="4" w:space="0" w:color="auto"/>
                      <w:left w:val="single" w:sz="4" w:space="0" w:color="auto"/>
                      <w:bottom w:val="single" w:sz="4" w:space="0" w:color="auto"/>
                      <w:right w:val="single" w:sz="4" w:space="0" w:color="auto"/>
                    </w:tcBorders>
                  </w:tcPr>
                  <w:p w14:paraId="0838E215" w14:textId="77777777" w:rsidR="00C93C9B" w:rsidRDefault="00C93C9B" w:rsidP="00AA45A0">
                    <w:pPr>
                      <w:jc w:val="right"/>
                      <w:rPr>
                        <w:szCs w:val="21"/>
                      </w:rPr>
                    </w:pPr>
                    <w:r>
                      <w:t>0</w:t>
                    </w:r>
                  </w:p>
                </w:tc>
                <w:tc>
                  <w:tcPr>
                    <w:tcW w:w="524" w:type="pct"/>
                    <w:tcBorders>
                      <w:top w:val="single" w:sz="4" w:space="0" w:color="auto"/>
                      <w:left w:val="single" w:sz="4" w:space="0" w:color="auto"/>
                      <w:bottom w:val="single" w:sz="4" w:space="0" w:color="auto"/>
                      <w:right w:val="single" w:sz="4" w:space="0" w:color="auto"/>
                    </w:tcBorders>
                  </w:tcPr>
                  <w:p w14:paraId="0945FF66" w14:textId="77777777" w:rsidR="00C93C9B" w:rsidRDefault="00C93C9B" w:rsidP="00AA45A0">
                    <w:pPr>
                      <w:jc w:val="right"/>
                      <w:rPr>
                        <w:szCs w:val="21"/>
                      </w:rPr>
                    </w:pPr>
                    <w:r>
                      <w:t>0</w:t>
                    </w:r>
                  </w:p>
                </w:tc>
                <w:tc>
                  <w:tcPr>
                    <w:tcW w:w="624" w:type="pct"/>
                    <w:tcBorders>
                      <w:top w:val="single" w:sz="4" w:space="0" w:color="auto"/>
                      <w:left w:val="single" w:sz="4" w:space="0" w:color="auto"/>
                      <w:bottom w:val="single" w:sz="4" w:space="0" w:color="auto"/>
                      <w:right w:val="single" w:sz="4" w:space="0" w:color="auto"/>
                    </w:tcBorders>
                  </w:tcPr>
                  <w:p w14:paraId="5D63A643" w14:textId="77777777" w:rsidR="00C93C9B" w:rsidRDefault="00C93C9B" w:rsidP="00AA45A0">
                    <w:pPr>
                      <w:jc w:val="right"/>
                      <w:rPr>
                        <w:szCs w:val="21"/>
                      </w:rPr>
                    </w:pPr>
                    <w:r>
                      <w:t>0.00</w:t>
                    </w:r>
                  </w:p>
                </w:tc>
                <w:tc>
                  <w:tcPr>
                    <w:tcW w:w="742" w:type="pct"/>
                    <w:tcBorders>
                      <w:top w:val="single" w:sz="4" w:space="0" w:color="auto"/>
                      <w:left w:val="single" w:sz="4" w:space="0" w:color="auto"/>
                      <w:bottom w:val="single" w:sz="4" w:space="0" w:color="auto"/>
                      <w:right w:val="single" w:sz="4" w:space="0" w:color="auto"/>
                    </w:tcBorders>
                  </w:tcPr>
                  <w:p w14:paraId="52EE4E74" w14:textId="77777777" w:rsidR="00C93C9B" w:rsidRDefault="00C93C9B" w:rsidP="00AA45A0">
                    <w:pPr>
                      <w:jc w:val="right"/>
                      <w:rPr>
                        <w:szCs w:val="21"/>
                      </w:rPr>
                    </w:pPr>
                    <w:r>
                      <w:t>3,000,000.00</w:t>
                    </w:r>
                  </w:p>
                </w:tc>
                <w:tc>
                  <w:tcPr>
                    <w:tcW w:w="653" w:type="pct"/>
                    <w:tcBorders>
                      <w:top w:val="single" w:sz="4" w:space="0" w:color="auto"/>
                      <w:left w:val="single" w:sz="4" w:space="0" w:color="auto"/>
                      <w:bottom w:val="single" w:sz="4" w:space="0" w:color="auto"/>
                      <w:right w:val="single" w:sz="4" w:space="0" w:color="auto"/>
                    </w:tcBorders>
                  </w:tcPr>
                  <w:p w14:paraId="1B44A397" w14:textId="77777777" w:rsidR="00C93C9B" w:rsidRDefault="00C93C9B" w:rsidP="00AA45A0">
                    <w:pPr>
                      <w:rPr>
                        <w:szCs w:val="21"/>
                      </w:rPr>
                    </w:pPr>
                    <w:r>
                      <w:t>与收益相关</w:t>
                    </w:r>
                  </w:p>
                </w:tc>
              </w:tr>
            </w:sdtContent>
          </w:sdt>
          <w:sdt>
            <w:sdtPr>
              <w:rPr>
                <w:szCs w:val="21"/>
              </w:rPr>
              <w:alias w:val="涉及政府补助的负债项目明细"/>
              <w:tag w:val="_GBC_57fa178d03fa46a3befea9bbb3ebc131"/>
              <w:id w:val="-849870109"/>
              <w:lock w:val="sdtLocked"/>
              <w:placeholder>
                <w:docPart w:val="A5BD2D8E91CF4C7F9D1ED9665B00CB1F"/>
              </w:placeholder>
            </w:sdtPr>
            <w:sdtEndPr/>
            <w:sdtContent>
              <w:tr w:rsidR="00C93C9B" w14:paraId="387F204E" w14:textId="77777777" w:rsidTr="00C93C9B">
                <w:trPr>
                  <w:jc w:val="center"/>
                </w:trPr>
                <w:tc>
                  <w:tcPr>
                    <w:tcW w:w="654" w:type="pct"/>
                    <w:tcBorders>
                      <w:top w:val="single" w:sz="4" w:space="0" w:color="auto"/>
                      <w:left w:val="single" w:sz="4" w:space="0" w:color="auto"/>
                      <w:bottom w:val="single" w:sz="4" w:space="0" w:color="auto"/>
                      <w:right w:val="single" w:sz="4" w:space="0" w:color="auto"/>
                    </w:tcBorders>
                    <w:vAlign w:val="center"/>
                  </w:tcPr>
                  <w:p w14:paraId="6A59AE40" w14:textId="77777777" w:rsidR="00C93C9B" w:rsidRDefault="00C93C9B" w:rsidP="00AA45A0">
                    <w:pPr>
                      <w:rPr>
                        <w:szCs w:val="21"/>
                      </w:rPr>
                    </w:pPr>
                    <w:r>
                      <w:t>合计</w:t>
                    </w:r>
                  </w:p>
                </w:tc>
                <w:tc>
                  <w:tcPr>
                    <w:tcW w:w="798" w:type="pct"/>
                    <w:tcBorders>
                      <w:top w:val="single" w:sz="4" w:space="0" w:color="auto"/>
                      <w:left w:val="single" w:sz="4" w:space="0" w:color="auto"/>
                      <w:bottom w:val="single" w:sz="4" w:space="0" w:color="auto"/>
                      <w:right w:val="single" w:sz="4" w:space="0" w:color="auto"/>
                    </w:tcBorders>
                  </w:tcPr>
                  <w:p w14:paraId="0D7ECD28" w14:textId="77777777" w:rsidR="00C93C9B" w:rsidRDefault="00C93C9B" w:rsidP="00AA45A0">
                    <w:pPr>
                      <w:jc w:val="right"/>
                      <w:rPr>
                        <w:szCs w:val="21"/>
                      </w:rPr>
                    </w:pPr>
                    <w:r>
                      <w:t>6,011,627.67</w:t>
                    </w:r>
                  </w:p>
                </w:tc>
                <w:tc>
                  <w:tcPr>
                    <w:tcW w:w="478" w:type="pct"/>
                    <w:tcBorders>
                      <w:top w:val="single" w:sz="4" w:space="0" w:color="auto"/>
                      <w:left w:val="single" w:sz="4" w:space="0" w:color="auto"/>
                      <w:bottom w:val="single" w:sz="4" w:space="0" w:color="auto"/>
                      <w:right w:val="single" w:sz="4" w:space="0" w:color="auto"/>
                    </w:tcBorders>
                  </w:tcPr>
                  <w:p w14:paraId="54912D54" w14:textId="77777777" w:rsidR="00C93C9B" w:rsidRDefault="00C93C9B" w:rsidP="00AA45A0">
                    <w:pPr>
                      <w:jc w:val="right"/>
                      <w:rPr>
                        <w:szCs w:val="21"/>
                      </w:rPr>
                    </w:pPr>
                    <w:r>
                      <w:t>0</w:t>
                    </w:r>
                  </w:p>
                </w:tc>
                <w:tc>
                  <w:tcPr>
                    <w:tcW w:w="527" w:type="pct"/>
                    <w:tcBorders>
                      <w:top w:val="single" w:sz="4" w:space="0" w:color="auto"/>
                      <w:left w:val="single" w:sz="4" w:space="0" w:color="auto"/>
                      <w:bottom w:val="single" w:sz="4" w:space="0" w:color="auto"/>
                      <w:right w:val="single" w:sz="4" w:space="0" w:color="auto"/>
                    </w:tcBorders>
                  </w:tcPr>
                  <w:p w14:paraId="6084D963" w14:textId="77777777" w:rsidR="00C93C9B" w:rsidRDefault="00C93C9B" w:rsidP="00AA45A0">
                    <w:pPr>
                      <w:jc w:val="right"/>
                      <w:rPr>
                        <w:szCs w:val="21"/>
                      </w:rPr>
                    </w:pPr>
                    <w:r>
                      <w:t>0</w:t>
                    </w:r>
                  </w:p>
                </w:tc>
                <w:tc>
                  <w:tcPr>
                    <w:tcW w:w="524" w:type="pct"/>
                    <w:tcBorders>
                      <w:top w:val="single" w:sz="4" w:space="0" w:color="auto"/>
                      <w:left w:val="single" w:sz="4" w:space="0" w:color="auto"/>
                      <w:bottom w:val="single" w:sz="4" w:space="0" w:color="auto"/>
                      <w:right w:val="single" w:sz="4" w:space="0" w:color="auto"/>
                    </w:tcBorders>
                  </w:tcPr>
                  <w:p w14:paraId="63949E0E" w14:textId="77777777" w:rsidR="00C93C9B" w:rsidRDefault="00C93C9B" w:rsidP="00AA45A0">
                    <w:pPr>
                      <w:jc w:val="right"/>
                      <w:rPr>
                        <w:szCs w:val="21"/>
                      </w:rPr>
                    </w:pPr>
                    <w:r>
                      <w:t>0</w:t>
                    </w:r>
                  </w:p>
                </w:tc>
                <w:tc>
                  <w:tcPr>
                    <w:tcW w:w="624" w:type="pct"/>
                    <w:tcBorders>
                      <w:top w:val="single" w:sz="4" w:space="0" w:color="auto"/>
                      <w:left w:val="single" w:sz="4" w:space="0" w:color="auto"/>
                      <w:bottom w:val="single" w:sz="4" w:space="0" w:color="auto"/>
                      <w:right w:val="single" w:sz="4" w:space="0" w:color="auto"/>
                    </w:tcBorders>
                  </w:tcPr>
                  <w:p w14:paraId="578058ED" w14:textId="77777777" w:rsidR="00C93C9B" w:rsidRDefault="00C93C9B" w:rsidP="00AA45A0">
                    <w:pPr>
                      <w:jc w:val="right"/>
                      <w:rPr>
                        <w:szCs w:val="21"/>
                      </w:rPr>
                    </w:pPr>
                    <w:r>
                      <w:t>549,644.62</w:t>
                    </w:r>
                  </w:p>
                </w:tc>
                <w:tc>
                  <w:tcPr>
                    <w:tcW w:w="742" w:type="pct"/>
                    <w:tcBorders>
                      <w:top w:val="single" w:sz="4" w:space="0" w:color="auto"/>
                      <w:left w:val="single" w:sz="4" w:space="0" w:color="auto"/>
                      <w:bottom w:val="single" w:sz="4" w:space="0" w:color="auto"/>
                      <w:right w:val="single" w:sz="4" w:space="0" w:color="auto"/>
                    </w:tcBorders>
                  </w:tcPr>
                  <w:p w14:paraId="71E04DC4" w14:textId="77777777" w:rsidR="00C93C9B" w:rsidRDefault="00C93C9B" w:rsidP="00AA45A0">
                    <w:pPr>
                      <w:jc w:val="right"/>
                      <w:rPr>
                        <w:szCs w:val="21"/>
                      </w:rPr>
                    </w:pPr>
                    <w:r>
                      <w:t>5,461,983.05</w:t>
                    </w:r>
                  </w:p>
                </w:tc>
                <w:tc>
                  <w:tcPr>
                    <w:tcW w:w="653" w:type="pct"/>
                    <w:tcBorders>
                      <w:top w:val="single" w:sz="4" w:space="0" w:color="auto"/>
                      <w:left w:val="single" w:sz="4" w:space="0" w:color="auto"/>
                      <w:bottom w:val="single" w:sz="4" w:space="0" w:color="auto"/>
                      <w:right w:val="single" w:sz="4" w:space="0" w:color="auto"/>
                    </w:tcBorders>
                  </w:tcPr>
                  <w:p w14:paraId="451457F5" w14:textId="77777777" w:rsidR="00C93C9B" w:rsidRDefault="00C93C9B" w:rsidP="00AA45A0">
                    <w:pPr>
                      <w:rPr>
                        <w:szCs w:val="21"/>
                      </w:rPr>
                    </w:pPr>
                    <w:r>
                      <w:t> </w:t>
                    </w:r>
                  </w:p>
                </w:tc>
              </w:tr>
            </w:sdtContent>
          </w:sdt>
        </w:tbl>
        <w:p w14:paraId="00072310" w14:textId="77777777" w:rsidR="00C93C9B" w:rsidRDefault="00C93C9B"/>
        <w:p w14:paraId="4DF386E4" w14:textId="39BE70E4" w:rsidR="00471D53" w:rsidRPr="00C818E2" w:rsidRDefault="00B664AF" w:rsidP="00471D53"/>
      </w:sdtContent>
    </w:sdt>
    <w:bookmarkEnd w:id="207"/>
    <w:p w14:paraId="574D5D68" w14:textId="77777777" w:rsidR="00471D53" w:rsidRDefault="00B664AF">
      <w:pPr>
        <w:pStyle w:val="affffff7"/>
        <w:ind w:left="704" w:firstLineChars="0" w:firstLine="0"/>
        <w:rPr>
          <w:rFonts w:ascii="宋体" w:hAnsi="宋体"/>
          <w:szCs w:val="21"/>
        </w:rPr>
      </w:pPr>
    </w:p>
    <w:bookmarkStart w:id="208" w:name="OLE_LINK85" w:displacedByCustomXml="next"/>
    <w:bookmarkStart w:id="209" w:name="OLE_LINK84" w:displacedByCustomXml="next"/>
    <w:sdt>
      <w:sdtPr>
        <w:rPr>
          <w:rFonts w:hint="eastAsia"/>
          <w:szCs w:val="21"/>
        </w:rPr>
        <w:alias w:val="模块:递延收益其他说明"/>
        <w:tag w:val="_GBC_3e5bdbca1c524ed19d397da3dfaf83a9"/>
        <w:id w:val="1494910458"/>
        <w:lock w:val="sdtLocked"/>
        <w:placeholder>
          <w:docPart w:val="GBC22222222222222222222222222222"/>
        </w:placeholder>
      </w:sdtPr>
      <w:sdtEndPr>
        <w:rPr>
          <w:rFonts w:hint="default"/>
        </w:rPr>
      </w:sdtEndPr>
      <w:sdtContent>
        <w:p w14:paraId="4E05401D" w14:textId="77777777" w:rsidR="00471D53" w:rsidRDefault="004F686E">
          <w:pPr>
            <w:spacing w:before="60" w:after="60"/>
            <w:rPr>
              <w:szCs w:val="21"/>
            </w:rPr>
          </w:pPr>
          <w:r>
            <w:rPr>
              <w:rFonts w:hint="eastAsia"/>
              <w:szCs w:val="21"/>
            </w:rPr>
            <w:t>其他说明：</w:t>
          </w:r>
        </w:p>
        <w:sdt>
          <w:sdtPr>
            <w:rPr>
              <w:szCs w:val="21"/>
            </w:rPr>
            <w:alias w:val="是否适用：递延收益的其他说明[双击切换]"/>
            <w:tag w:val="_GBC_da5e8f76ba934c9e8efb4ab4d41c9f8c"/>
            <w:id w:val="1862012105"/>
            <w:lock w:val="sdtLocked"/>
            <w:placeholder>
              <w:docPart w:val="GBC22222222222222222222222222222"/>
            </w:placeholder>
          </w:sdtPr>
          <w:sdtEndPr/>
          <w:sdtContent>
            <w:p w14:paraId="3A797080" w14:textId="77777777" w:rsidR="00471D53" w:rsidRDefault="004F686E">
              <w:pPr>
                <w:spacing w:before="60" w:after="60"/>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递延收益的其他说明"/>
            <w:tag w:val="_GBC_e8c5cb3f7d5541eda9cccad5c92bc633"/>
            <w:id w:val="-938902955"/>
            <w:lock w:val="sdtLocked"/>
            <w:placeholder>
              <w:docPart w:val="GBC22222222222222222222222222222"/>
            </w:placeholder>
          </w:sdtPr>
          <w:sdtEndPr/>
          <w:sdtContent>
            <w:p w14:paraId="64F0E8AA" w14:textId="77777777" w:rsidR="00471D53" w:rsidRDefault="004F686E" w:rsidP="00471D53">
              <w:pPr>
                <w:tabs>
                  <w:tab w:val="left" w:pos="900"/>
                  <w:tab w:val="left" w:pos="1000"/>
                  <w:tab w:val="left" w:pos="1100"/>
                </w:tabs>
                <w:spacing w:beforeLines="50" w:before="120" w:afterLines="50" w:after="120" w:line="360" w:lineRule="exact"/>
                <w:ind w:firstLineChars="200" w:firstLine="420"/>
                <w:jc w:val="both"/>
                <w:rPr>
                  <w:sz w:val="22"/>
                  <w:szCs w:val="22"/>
                </w:rPr>
              </w:pPr>
              <w:r>
                <w:rPr>
                  <w:rFonts w:hint="eastAsia"/>
                  <w:sz w:val="22"/>
                  <w:szCs w:val="22"/>
                </w:rPr>
                <w:t>1：70MPa氢气瓶开发项目来源北京市科学技术委员会对燃料电池轿车用70MPa氢气瓶开发及认证。</w:t>
              </w:r>
            </w:p>
            <w:p w14:paraId="091AB91F" w14:textId="77777777" w:rsidR="00471D53" w:rsidRDefault="004F686E" w:rsidP="00471D53">
              <w:pPr>
                <w:tabs>
                  <w:tab w:val="left" w:pos="900"/>
                  <w:tab w:val="left" w:pos="1000"/>
                  <w:tab w:val="left" w:pos="1100"/>
                </w:tabs>
                <w:spacing w:beforeLines="50" w:before="120" w:afterLines="50" w:after="120" w:line="360" w:lineRule="exact"/>
                <w:ind w:firstLineChars="200" w:firstLine="440"/>
                <w:jc w:val="both"/>
                <w:rPr>
                  <w:sz w:val="22"/>
                  <w:szCs w:val="22"/>
                </w:rPr>
              </w:pPr>
              <w:r>
                <w:rPr>
                  <w:rFonts w:hint="eastAsia"/>
                  <w:sz w:val="22"/>
                  <w:szCs w:val="22"/>
                </w:rPr>
                <w:t>2：2018年省级工业转型升级项目来源承德市财政局《关于下达2018年省级工业转型升级（技改）专项资金的通知》。</w:t>
              </w:r>
            </w:p>
            <w:p w14:paraId="613C9B4C" w14:textId="77777777" w:rsidR="00471D53" w:rsidRDefault="004F686E" w:rsidP="00471D53">
              <w:pPr>
                <w:tabs>
                  <w:tab w:val="left" w:pos="900"/>
                  <w:tab w:val="left" w:pos="1000"/>
                  <w:tab w:val="left" w:pos="1100"/>
                </w:tabs>
                <w:spacing w:beforeLines="50" w:before="120" w:afterLines="50" w:after="120" w:line="360" w:lineRule="exact"/>
                <w:ind w:firstLineChars="200" w:firstLine="440"/>
                <w:jc w:val="both"/>
                <w:rPr>
                  <w:sz w:val="22"/>
                  <w:szCs w:val="22"/>
                </w:rPr>
              </w:pPr>
              <w:r>
                <w:rPr>
                  <w:rFonts w:hint="eastAsia"/>
                  <w:sz w:val="22"/>
                  <w:szCs w:val="22"/>
                </w:rPr>
                <w:t>3：固定式液氢储罐开发项目来源北京市科学技术委员会下发《车用</w:t>
              </w:r>
              <w:r>
                <w:rPr>
                  <w:sz w:val="22"/>
                  <w:szCs w:val="22"/>
                </w:rPr>
                <w:t>1000L液氢储氢系统、固定式液氢储罐等关键技术研发及产品开发》研发经费。</w:t>
              </w:r>
            </w:p>
            <w:p w14:paraId="6D1EA5EC" w14:textId="77777777" w:rsidR="00471D53" w:rsidRDefault="004F686E" w:rsidP="00471D53">
              <w:pPr>
                <w:tabs>
                  <w:tab w:val="left" w:pos="900"/>
                  <w:tab w:val="left" w:pos="1000"/>
                  <w:tab w:val="left" w:pos="1100"/>
                </w:tabs>
                <w:spacing w:beforeLines="50" w:before="120" w:afterLines="50" w:after="120" w:line="360" w:lineRule="exact"/>
                <w:ind w:firstLineChars="200" w:firstLine="440"/>
                <w:jc w:val="both"/>
                <w:rPr>
                  <w:sz w:val="22"/>
                  <w:szCs w:val="22"/>
                </w:rPr>
              </w:pPr>
              <w:r>
                <w:rPr>
                  <w:rFonts w:hint="eastAsia"/>
                  <w:sz w:val="22"/>
                  <w:szCs w:val="22"/>
                </w:rPr>
                <w:t>4：车载1000L液氢气瓶的设计研发来源北京市科学技术委员会下发《车用</w:t>
              </w:r>
              <w:r>
                <w:rPr>
                  <w:sz w:val="22"/>
                  <w:szCs w:val="22"/>
                </w:rPr>
                <w:t>1000L液氢储氢系统、固定式液氢储罐等关键技术研发及产品开发》研发经费。</w:t>
              </w:r>
            </w:p>
            <w:p w14:paraId="4BD03D7A" w14:textId="77777777" w:rsidR="00471D53" w:rsidRDefault="00B664AF">
              <w:pPr>
                <w:rPr>
                  <w:szCs w:val="21"/>
                </w:rPr>
              </w:pPr>
            </w:p>
          </w:sdtContent>
        </w:sdt>
      </w:sdtContent>
    </w:sdt>
    <w:bookmarkEnd w:id="208" w:displacedByCustomXml="prev"/>
    <w:bookmarkEnd w:id="209" w:displacedByCustomXml="prev"/>
    <w:p w14:paraId="467C12BB" w14:textId="77777777" w:rsidR="00471D53" w:rsidRDefault="00B664AF">
      <w:pPr>
        <w:snapToGrid w:val="0"/>
        <w:spacing w:line="240" w:lineRule="atLeast"/>
        <w:rPr>
          <w:szCs w:val="21"/>
        </w:rPr>
      </w:pPr>
    </w:p>
    <w:bookmarkStart w:id="210" w:name="_Hlk10537430" w:displacedByCustomXml="next"/>
    <w:sdt>
      <w:sdtPr>
        <w:rPr>
          <w:rFonts w:ascii="宋体" w:hAnsi="宋体" w:cs="宋体" w:hint="eastAsia"/>
          <w:b w:val="0"/>
          <w:bCs w:val="0"/>
          <w:kern w:val="0"/>
          <w:szCs w:val="21"/>
        </w:rPr>
        <w:alias w:val="模块:其他非流动负债"/>
        <w:tag w:val="_GBC_ebdcd37ba77540d78079b1e51c20b6ce"/>
        <w:id w:val="1400402104"/>
        <w:lock w:val="sdtLocked"/>
        <w:placeholder>
          <w:docPart w:val="GBC22222222222222222222222222222"/>
        </w:placeholder>
      </w:sdtPr>
      <w:sdtEndPr>
        <w:rPr>
          <w:rFonts w:cstheme="minorBidi" w:hint="default"/>
          <w:color w:val="000000" w:themeColor="text1"/>
          <w:kern w:val="2"/>
        </w:rPr>
      </w:sdtEndPr>
      <w:sdtContent>
        <w:p w14:paraId="20E75F82"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其他非流动负债</w:t>
          </w:r>
        </w:p>
        <w:sdt>
          <w:sdtPr>
            <w:alias w:val="是否适用：其他非流动负债[双击切换]"/>
            <w:tag w:val="_GBC_bb8a5c7236564ec0823cbced5ea78e62"/>
            <w:id w:val="711398445"/>
            <w:lock w:val="sdtLocked"/>
            <w:placeholder>
              <w:docPart w:val="GBC22222222222222222222222222222"/>
            </w:placeholder>
          </w:sdtPr>
          <w:sdtEndPr/>
          <w:sdtContent>
            <w:p w14:paraId="6747D451"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87D11CB" w14:textId="77777777" w:rsidR="00471D53" w:rsidRDefault="00B664AF">
          <w:pPr>
            <w:rPr>
              <w:szCs w:val="21"/>
            </w:rPr>
          </w:pPr>
        </w:p>
      </w:sdtContent>
    </w:sdt>
    <w:bookmarkEnd w:id="210" w:displacedByCustomXml="prev"/>
    <w:p w14:paraId="40B93DF7" w14:textId="77777777" w:rsidR="00471D53" w:rsidRDefault="00B664AF">
      <w:pPr>
        <w:rPr>
          <w:szCs w:val="21"/>
        </w:rPr>
      </w:pPr>
    </w:p>
    <w:sdt>
      <w:sdtPr>
        <w:rPr>
          <w:rFonts w:ascii="宋体" w:hAnsi="宋体" w:cs="宋体" w:hint="eastAsia"/>
          <w:b w:val="0"/>
          <w:bCs w:val="0"/>
          <w:kern w:val="0"/>
          <w:szCs w:val="21"/>
        </w:rPr>
        <w:alias w:val="模块:股本"/>
        <w:tag w:val="_GBC_7f4b2f9bba854132af4bbd6504a10383"/>
        <w:id w:val="1748462988"/>
        <w:lock w:val="sdtLocked"/>
        <w:placeholder>
          <w:docPart w:val="GBC22222222222222222222222222222"/>
        </w:placeholder>
      </w:sdtPr>
      <w:sdtEndPr>
        <w:rPr>
          <w:rFonts w:cstheme="minorBidi" w:hint="default"/>
          <w:color w:val="000000" w:themeColor="text1"/>
        </w:rPr>
      </w:sdtEndPr>
      <w:sdtContent>
        <w:p w14:paraId="1D8B000E"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股本</w:t>
          </w:r>
        </w:p>
        <w:sdt>
          <w:sdtPr>
            <w:alias w:val="是否适用：股本[双击切换]"/>
            <w:tag w:val="_GBC_a88b08589cbb4302b29839808faa8a3b"/>
            <w:id w:val="-1459405847"/>
            <w:lock w:val="sdtLocked"/>
            <w:placeholder>
              <w:docPart w:val="GBC22222222222222222222222222222"/>
            </w:placeholder>
          </w:sdtPr>
          <w:sdtEndPr/>
          <w:sdtContent>
            <w:p w14:paraId="788DCBF6"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915F89C" w14:textId="288B9824" w:rsidR="00471D53" w:rsidRDefault="004F686E">
          <w:pPr>
            <w:jc w:val="right"/>
            <w:rPr>
              <w:szCs w:val="21"/>
            </w:rPr>
          </w:pPr>
          <w:r>
            <w:rPr>
              <w:rFonts w:hint="eastAsia"/>
              <w:szCs w:val="21"/>
            </w:rPr>
            <w:t>单位：</w:t>
          </w:r>
          <w:sdt>
            <w:sdtPr>
              <w:rPr>
                <w:rFonts w:hint="eastAsia"/>
                <w:szCs w:val="21"/>
              </w:rPr>
              <w:alias w:val="单位：财务附注：股本"/>
              <w:tag w:val="_GBC_cf915ea45a234de2a2455824dedc3c82"/>
              <w:id w:val="-12098804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股本"/>
              <w:tag w:val="_GBC_2dcc7ff328cf480296bdddce64b88cf1"/>
              <w:id w:val="153453672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33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5"/>
            <w:gridCol w:w="1686"/>
            <w:gridCol w:w="847"/>
            <w:gridCol w:w="847"/>
            <w:gridCol w:w="917"/>
            <w:gridCol w:w="933"/>
            <w:gridCol w:w="908"/>
            <w:gridCol w:w="1686"/>
          </w:tblGrid>
          <w:tr w:rsidR="00471D53" w14:paraId="1376061F" w14:textId="77777777" w:rsidTr="00471D53">
            <w:trPr>
              <w:cantSplit/>
              <w:trHeight w:val="270"/>
            </w:trPr>
            <w:tc>
              <w:tcPr>
                <w:tcW w:w="850" w:type="pct"/>
                <w:vMerge w:val="restart"/>
                <w:tcBorders>
                  <w:top w:val="single" w:sz="4" w:space="0" w:color="auto"/>
                  <w:left w:val="single" w:sz="4" w:space="0" w:color="auto"/>
                  <w:bottom w:val="single" w:sz="4" w:space="0" w:color="auto"/>
                  <w:right w:val="single" w:sz="4" w:space="0" w:color="auto"/>
                </w:tcBorders>
              </w:tcPr>
              <w:p w14:paraId="6D8A7FD1" w14:textId="77777777" w:rsidR="00471D53" w:rsidRDefault="00B664AF" w:rsidP="00471D53">
                <w:pPr>
                  <w:jc w:val="center"/>
                  <w:rPr>
                    <w:szCs w:val="21"/>
                  </w:rPr>
                </w:pPr>
              </w:p>
            </w:tc>
            <w:sdt>
              <w:sdtPr>
                <w:tag w:val="_PLD_7ad9a0911e364e48bc565dc3ed809692"/>
                <w:id w:val="-1239096746"/>
                <w:lock w:val="sdtLocked"/>
              </w:sdtPr>
              <w:sdtEndPr/>
              <w:sdtContent>
                <w:tc>
                  <w:tcPr>
                    <w:tcW w:w="874" w:type="pct"/>
                    <w:vMerge w:val="restart"/>
                    <w:tcBorders>
                      <w:top w:val="single" w:sz="4" w:space="0" w:color="auto"/>
                      <w:left w:val="single" w:sz="4" w:space="0" w:color="auto"/>
                      <w:right w:val="single" w:sz="4" w:space="0" w:color="auto"/>
                    </w:tcBorders>
                    <w:vAlign w:val="center"/>
                  </w:tcPr>
                  <w:p w14:paraId="75566D2F" w14:textId="77777777" w:rsidR="00471D53" w:rsidRDefault="004F686E" w:rsidP="00471D53">
                    <w:pPr>
                      <w:jc w:val="center"/>
                      <w:rPr>
                        <w:szCs w:val="21"/>
                      </w:rPr>
                    </w:pPr>
                    <w:r>
                      <w:rPr>
                        <w:rFonts w:hint="eastAsia"/>
                        <w:szCs w:val="21"/>
                      </w:rPr>
                      <w:t>期初余额</w:t>
                    </w:r>
                  </w:p>
                </w:tc>
              </w:sdtContent>
            </w:sdt>
            <w:sdt>
              <w:sdtPr>
                <w:tag w:val="_PLD_33945fdb28e344edaa7d118a9aa07d7d"/>
                <w:id w:val="1744526299"/>
                <w:lock w:val="sdtLocked"/>
              </w:sdtPr>
              <w:sdtEndPr/>
              <w:sdtContent>
                <w:tc>
                  <w:tcPr>
                    <w:tcW w:w="2403" w:type="pct"/>
                    <w:gridSpan w:val="5"/>
                    <w:tcBorders>
                      <w:top w:val="single" w:sz="4" w:space="0" w:color="auto"/>
                      <w:left w:val="single" w:sz="4" w:space="0" w:color="auto"/>
                      <w:bottom w:val="single" w:sz="4" w:space="0" w:color="auto"/>
                      <w:right w:val="single" w:sz="4" w:space="0" w:color="auto"/>
                    </w:tcBorders>
                    <w:vAlign w:val="center"/>
                  </w:tcPr>
                  <w:p w14:paraId="53426183" w14:textId="77777777" w:rsidR="00471D53" w:rsidRDefault="004F686E" w:rsidP="00471D53">
                    <w:pPr>
                      <w:jc w:val="center"/>
                      <w:rPr>
                        <w:szCs w:val="21"/>
                      </w:rPr>
                    </w:pPr>
                    <w:r>
                      <w:rPr>
                        <w:rFonts w:hint="eastAsia"/>
                        <w:szCs w:val="21"/>
                      </w:rPr>
                      <w:t>本次变动增减（+、一）</w:t>
                    </w:r>
                  </w:p>
                </w:tc>
              </w:sdtContent>
            </w:sdt>
            <w:sdt>
              <w:sdtPr>
                <w:tag w:val="_PLD_a0390714e323429ab6e793f9a610df70"/>
                <w:id w:val="611634103"/>
                <w:lock w:val="sdtLocked"/>
              </w:sdtPr>
              <w:sdtEndPr/>
              <w:sdtContent>
                <w:tc>
                  <w:tcPr>
                    <w:tcW w:w="874" w:type="pct"/>
                    <w:vMerge w:val="restart"/>
                    <w:tcBorders>
                      <w:top w:val="single" w:sz="4" w:space="0" w:color="auto"/>
                      <w:left w:val="single" w:sz="4" w:space="0" w:color="auto"/>
                      <w:right w:val="single" w:sz="4" w:space="0" w:color="auto"/>
                    </w:tcBorders>
                    <w:vAlign w:val="center"/>
                  </w:tcPr>
                  <w:p w14:paraId="5F03D25F" w14:textId="77777777" w:rsidR="00471D53" w:rsidRDefault="004F686E" w:rsidP="00471D53">
                    <w:pPr>
                      <w:jc w:val="center"/>
                      <w:rPr>
                        <w:szCs w:val="21"/>
                      </w:rPr>
                    </w:pPr>
                    <w:r>
                      <w:rPr>
                        <w:rFonts w:hint="eastAsia"/>
                        <w:szCs w:val="21"/>
                      </w:rPr>
                      <w:t>期末余额</w:t>
                    </w:r>
                  </w:p>
                </w:tc>
              </w:sdtContent>
            </w:sdt>
          </w:tr>
          <w:tr w:rsidR="00471D53" w14:paraId="7E9C1814" w14:textId="77777777" w:rsidTr="00471D53">
            <w:trPr>
              <w:cantSplit/>
              <w:trHeight w:val="312"/>
            </w:trPr>
            <w:tc>
              <w:tcPr>
                <w:tcW w:w="850" w:type="pct"/>
                <w:vMerge/>
                <w:tcBorders>
                  <w:top w:val="single" w:sz="4" w:space="0" w:color="auto"/>
                  <w:left w:val="single" w:sz="4" w:space="0" w:color="auto"/>
                  <w:bottom w:val="single" w:sz="4" w:space="0" w:color="auto"/>
                  <w:right w:val="single" w:sz="4" w:space="0" w:color="auto"/>
                </w:tcBorders>
              </w:tcPr>
              <w:p w14:paraId="31D57FFF" w14:textId="77777777" w:rsidR="00471D53" w:rsidRDefault="00B664AF" w:rsidP="00471D53">
                <w:pPr>
                  <w:rPr>
                    <w:szCs w:val="21"/>
                  </w:rPr>
                </w:pPr>
              </w:p>
            </w:tc>
            <w:tc>
              <w:tcPr>
                <w:tcW w:w="874" w:type="pct"/>
                <w:vMerge/>
                <w:tcBorders>
                  <w:left w:val="single" w:sz="4" w:space="0" w:color="auto"/>
                  <w:bottom w:val="single" w:sz="4" w:space="0" w:color="auto"/>
                  <w:right w:val="single" w:sz="4" w:space="0" w:color="auto"/>
                </w:tcBorders>
              </w:tcPr>
              <w:p w14:paraId="669C1DF8" w14:textId="77777777" w:rsidR="00471D53" w:rsidRDefault="00B664AF" w:rsidP="00471D53">
                <w:pPr>
                  <w:ind w:leftChars="-119" w:left="-250" w:firstLineChars="119" w:firstLine="250"/>
                  <w:rPr>
                    <w:szCs w:val="21"/>
                  </w:rPr>
                </w:pPr>
              </w:p>
            </w:tc>
            <w:sdt>
              <w:sdtPr>
                <w:tag w:val="_PLD_fe0b182c33854e5bb51d2d2a3cd1dd7f"/>
                <w:id w:val="-1647278995"/>
                <w:lock w:val="sdtLocked"/>
              </w:sdtPr>
              <w:sdtEndPr/>
              <w:sdtContent>
                <w:tc>
                  <w:tcPr>
                    <w:tcW w:w="458" w:type="pct"/>
                    <w:tcBorders>
                      <w:top w:val="single" w:sz="4" w:space="0" w:color="auto"/>
                      <w:left w:val="single" w:sz="4" w:space="0" w:color="auto"/>
                      <w:bottom w:val="single" w:sz="4" w:space="0" w:color="auto"/>
                      <w:right w:val="single" w:sz="4" w:space="0" w:color="auto"/>
                    </w:tcBorders>
                    <w:vAlign w:val="center"/>
                  </w:tcPr>
                  <w:p w14:paraId="0E36A61D" w14:textId="77777777" w:rsidR="00471D53" w:rsidRDefault="004F686E" w:rsidP="00471D53">
                    <w:pPr>
                      <w:jc w:val="center"/>
                      <w:rPr>
                        <w:szCs w:val="21"/>
                      </w:rPr>
                    </w:pPr>
                    <w:r>
                      <w:rPr>
                        <w:rFonts w:hint="eastAsia"/>
                        <w:szCs w:val="21"/>
                      </w:rPr>
                      <w:t>发行</w:t>
                    </w:r>
                  </w:p>
                  <w:p w14:paraId="618F530A" w14:textId="77777777" w:rsidR="00471D53" w:rsidRDefault="004F686E" w:rsidP="00471D53">
                    <w:pPr>
                      <w:jc w:val="center"/>
                      <w:rPr>
                        <w:szCs w:val="21"/>
                      </w:rPr>
                    </w:pPr>
                    <w:r>
                      <w:rPr>
                        <w:rFonts w:hint="eastAsia"/>
                        <w:szCs w:val="21"/>
                      </w:rPr>
                      <w:t>新股</w:t>
                    </w:r>
                  </w:p>
                </w:tc>
              </w:sdtContent>
            </w:sdt>
            <w:sdt>
              <w:sdtPr>
                <w:tag w:val="_PLD_80e7c94a1831488d89d22be722443897"/>
                <w:id w:val="-1705324926"/>
                <w:lock w:val="sdtLocked"/>
              </w:sdtPr>
              <w:sdtEndPr/>
              <w:sdtContent>
                <w:tc>
                  <w:tcPr>
                    <w:tcW w:w="458" w:type="pct"/>
                    <w:tcBorders>
                      <w:top w:val="single" w:sz="4" w:space="0" w:color="auto"/>
                      <w:left w:val="single" w:sz="4" w:space="0" w:color="auto"/>
                      <w:bottom w:val="single" w:sz="4" w:space="0" w:color="auto"/>
                      <w:right w:val="single" w:sz="4" w:space="0" w:color="auto"/>
                    </w:tcBorders>
                    <w:vAlign w:val="center"/>
                  </w:tcPr>
                  <w:p w14:paraId="5E0C32CD" w14:textId="77777777" w:rsidR="00471D53" w:rsidRDefault="004F686E" w:rsidP="00471D53">
                    <w:pPr>
                      <w:jc w:val="center"/>
                      <w:rPr>
                        <w:szCs w:val="21"/>
                      </w:rPr>
                    </w:pPr>
                    <w:r>
                      <w:rPr>
                        <w:rFonts w:hint="eastAsia"/>
                        <w:szCs w:val="21"/>
                      </w:rPr>
                      <w:t>送股</w:t>
                    </w:r>
                  </w:p>
                </w:tc>
              </w:sdtContent>
            </w:sdt>
            <w:sdt>
              <w:sdtPr>
                <w:tag w:val="_PLD_c1d7f04883eb4aaa9c52067f145ec081"/>
                <w:id w:val="-1295434699"/>
                <w:lock w:val="sdtLocked"/>
              </w:sdtPr>
              <w:sdtEndPr/>
              <w:sdtContent>
                <w:tc>
                  <w:tcPr>
                    <w:tcW w:w="495" w:type="pct"/>
                    <w:tcBorders>
                      <w:top w:val="single" w:sz="4" w:space="0" w:color="auto"/>
                      <w:left w:val="single" w:sz="4" w:space="0" w:color="auto"/>
                      <w:bottom w:val="single" w:sz="4" w:space="0" w:color="auto"/>
                      <w:right w:val="single" w:sz="4" w:space="0" w:color="auto"/>
                    </w:tcBorders>
                    <w:vAlign w:val="center"/>
                  </w:tcPr>
                  <w:p w14:paraId="0B40DE11" w14:textId="77777777" w:rsidR="00471D53" w:rsidRDefault="004F686E" w:rsidP="00471D53">
                    <w:pPr>
                      <w:jc w:val="center"/>
                      <w:rPr>
                        <w:szCs w:val="21"/>
                      </w:rPr>
                    </w:pPr>
                    <w:r>
                      <w:rPr>
                        <w:rFonts w:hint="eastAsia"/>
                        <w:szCs w:val="21"/>
                      </w:rPr>
                      <w:t>公积金</w:t>
                    </w:r>
                  </w:p>
                  <w:p w14:paraId="5293FB01" w14:textId="77777777" w:rsidR="00471D53" w:rsidRDefault="004F686E" w:rsidP="00471D53">
                    <w:pPr>
                      <w:jc w:val="center"/>
                      <w:rPr>
                        <w:szCs w:val="21"/>
                      </w:rPr>
                    </w:pPr>
                    <w:r>
                      <w:rPr>
                        <w:rFonts w:hint="eastAsia"/>
                        <w:szCs w:val="21"/>
                      </w:rPr>
                      <w:t>转股</w:t>
                    </w:r>
                  </w:p>
                </w:tc>
              </w:sdtContent>
            </w:sdt>
            <w:sdt>
              <w:sdtPr>
                <w:tag w:val="_PLD_6e44c9cf090243e19b20f1e88e8231ef"/>
                <w:id w:val="128673992"/>
                <w:lock w:val="sdtLocked"/>
              </w:sdtPr>
              <w:sdtEndPr/>
              <w:sdtContent>
                <w:tc>
                  <w:tcPr>
                    <w:tcW w:w="503" w:type="pct"/>
                    <w:tcBorders>
                      <w:top w:val="single" w:sz="4" w:space="0" w:color="auto"/>
                      <w:left w:val="single" w:sz="4" w:space="0" w:color="auto"/>
                      <w:bottom w:val="single" w:sz="4" w:space="0" w:color="auto"/>
                      <w:right w:val="single" w:sz="4" w:space="0" w:color="auto"/>
                    </w:tcBorders>
                    <w:vAlign w:val="center"/>
                  </w:tcPr>
                  <w:p w14:paraId="471579A6" w14:textId="77777777" w:rsidR="00471D53" w:rsidRDefault="004F686E" w:rsidP="00471D53">
                    <w:pPr>
                      <w:jc w:val="center"/>
                      <w:rPr>
                        <w:szCs w:val="21"/>
                      </w:rPr>
                    </w:pPr>
                    <w:r>
                      <w:rPr>
                        <w:rFonts w:hint="eastAsia"/>
                        <w:szCs w:val="21"/>
                      </w:rPr>
                      <w:t>其他</w:t>
                    </w:r>
                  </w:p>
                </w:tc>
              </w:sdtContent>
            </w:sdt>
            <w:sdt>
              <w:sdtPr>
                <w:tag w:val="_PLD_0cee72421f954c94ba296c709c84ef52"/>
                <w:id w:val="462775171"/>
                <w:lock w:val="sdtLocked"/>
              </w:sdtPr>
              <w:sdtEndPr/>
              <w:sdtContent>
                <w:tc>
                  <w:tcPr>
                    <w:tcW w:w="490" w:type="pct"/>
                    <w:tcBorders>
                      <w:top w:val="single" w:sz="4" w:space="0" w:color="auto"/>
                      <w:left w:val="single" w:sz="4" w:space="0" w:color="auto"/>
                      <w:bottom w:val="single" w:sz="4" w:space="0" w:color="auto"/>
                      <w:right w:val="single" w:sz="4" w:space="0" w:color="auto"/>
                    </w:tcBorders>
                    <w:vAlign w:val="center"/>
                  </w:tcPr>
                  <w:p w14:paraId="50B91193" w14:textId="77777777" w:rsidR="00471D53" w:rsidRDefault="004F686E" w:rsidP="00471D53">
                    <w:pPr>
                      <w:jc w:val="center"/>
                      <w:rPr>
                        <w:szCs w:val="21"/>
                      </w:rPr>
                    </w:pPr>
                    <w:r>
                      <w:rPr>
                        <w:rFonts w:hint="eastAsia"/>
                        <w:szCs w:val="21"/>
                      </w:rPr>
                      <w:t>小计</w:t>
                    </w:r>
                  </w:p>
                </w:tc>
              </w:sdtContent>
            </w:sdt>
            <w:tc>
              <w:tcPr>
                <w:tcW w:w="874" w:type="pct"/>
                <w:vMerge/>
                <w:tcBorders>
                  <w:left w:val="single" w:sz="4" w:space="0" w:color="auto"/>
                  <w:bottom w:val="single" w:sz="4" w:space="0" w:color="auto"/>
                  <w:right w:val="single" w:sz="4" w:space="0" w:color="auto"/>
                </w:tcBorders>
              </w:tcPr>
              <w:p w14:paraId="06D042B7" w14:textId="77777777" w:rsidR="00471D53" w:rsidRDefault="00B664AF" w:rsidP="00471D53">
                <w:pPr>
                  <w:rPr>
                    <w:szCs w:val="21"/>
                  </w:rPr>
                </w:pPr>
              </w:p>
            </w:tc>
          </w:tr>
          <w:tr w:rsidR="00471D53" w14:paraId="2012A6A4" w14:textId="77777777" w:rsidTr="00471D53">
            <w:trPr>
              <w:cantSplit/>
            </w:trPr>
            <w:tc>
              <w:tcPr>
                <w:tcW w:w="850" w:type="pct"/>
                <w:tcBorders>
                  <w:top w:val="single" w:sz="4" w:space="0" w:color="auto"/>
                  <w:left w:val="single" w:sz="4" w:space="0" w:color="auto"/>
                  <w:bottom w:val="single" w:sz="4" w:space="0" w:color="auto"/>
                  <w:right w:val="single" w:sz="4" w:space="0" w:color="auto"/>
                </w:tcBorders>
              </w:tcPr>
              <w:p w14:paraId="4554C0E9" w14:textId="77777777" w:rsidR="00471D53" w:rsidRDefault="004F686E" w:rsidP="00471D53">
                <w:pPr>
                  <w:jc w:val="center"/>
                </w:pPr>
                <w:r>
                  <w:t>有限售条件股份合计</w:t>
                </w:r>
              </w:p>
            </w:tc>
            <w:tc>
              <w:tcPr>
                <w:tcW w:w="874" w:type="pct"/>
                <w:tcBorders>
                  <w:top w:val="single" w:sz="4" w:space="0" w:color="auto"/>
                  <w:left w:val="single" w:sz="4" w:space="0" w:color="auto"/>
                  <w:bottom w:val="single" w:sz="4" w:space="0" w:color="auto"/>
                  <w:right w:val="single" w:sz="4" w:space="0" w:color="auto"/>
                </w:tcBorders>
              </w:tcPr>
              <w:p w14:paraId="5F79780B" w14:textId="77777777" w:rsidR="00471D53" w:rsidRDefault="004F686E" w:rsidP="00471D53">
                <w:pPr>
                  <w:jc w:val="right"/>
                  <w:rPr>
                    <w:szCs w:val="21"/>
                  </w:rPr>
                </w:pPr>
                <w:r>
                  <w:t>63,000,000.00</w:t>
                </w:r>
              </w:p>
            </w:tc>
            <w:tc>
              <w:tcPr>
                <w:tcW w:w="458" w:type="pct"/>
                <w:tcBorders>
                  <w:top w:val="single" w:sz="4" w:space="0" w:color="auto"/>
                  <w:left w:val="single" w:sz="4" w:space="0" w:color="auto"/>
                  <w:bottom w:val="single" w:sz="4" w:space="0" w:color="auto"/>
                  <w:right w:val="single" w:sz="4" w:space="0" w:color="auto"/>
                </w:tcBorders>
              </w:tcPr>
              <w:p w14:paraId="51FF3030" w14:textId="77777777" w:rsidR="00471D53" w:rsidRDefault="00B664AF" w:rsidP="00471D53">
                <w:pPr>
                  <w:jc w:val="right"/>
                  <w:rPr>
                    <w:szCs w:val="21"/>
                  </w:rPr>
                </w:pPr>
              </w:p>
            </w:tc>
            <w:tc>
              <w:tcPr>
                <w:tcW w:w="458" w:type="pct"/>
                <w:tcBorders>
                  <w:top w:val="single" w:sz="4" w:space="0" w:color="auto"/>
                  <w:left w:val="single" w:sz="4" w:space="0" w:color="auto"/>
                  <w:bottom w:val="single" w:sz="4" w:space="0" w:color="auto"/>
                  <w:right w:val="single" w:sz="4" w:space="0" w:color="auto"/>
                </w:tcBorders>
              </w:tcPr>
              <w:p w14:paraId="45E87462" w14:textId="77777777" w:rsidR="00471D53" w:rsidRDefault="00B664AF" w:rsidP="00471D53">
                <w:pPr>
                  <w:jc w:val="right"/>
                  <w:rPr>
                    <w:szCs w:val="21"/>
                  </w:rPr>
                </w:pPr>
              </w:p>
            </w:tc>
            <w:tc>
              <w:tcPr>
                <w:tcW w:w="495" w:type="pct"/>
                <w:tcBorders>
                  <w:top w:val="single" w:sz="4" w:space="0" w:color="auto"/>
                  <w:left w:val="single" w:sz="4" w:space="0" w:color="auto"/>
                  <w:bottom w:val="single" w:sz="4" w:space="0" w:color="auto"/>
                  <w:right w:val="single" w:sz="4" w:space="0" w:color="auto"/>
                </w:tcBorders>
              </w:tcPr>
              <w:p w14:paraId="01C5B05E" w14:textId="77777777" w:rsidR="00471D53" w:rsidRDefault="00B664AF" w:rsidP="00471D53">
                <w:pPr>
                  <w:jc w:val="right"/>
                  <w:rPr>
                    <w:szCs w:val="21"/>
                  </w:rPr>
                </w:pPr>
              </w:p>
            </w:tc>
            <w:tc>
              <w:tcPr>
                <w:tcW w:w="503" w:type="pct"/>
                <w:tcBorders>
                  <w:top w:val="single" w:sz="4" w:space="0" w:color="auto"/>
                  <w:left w:val="single" w:sz="4" w:space="0" w:color="auto"/>
                  <w:bottom w:val="single" w:sz="4" w:space="0" w:color="auto"/>
                  <w:right w:val="single" w:sz="4" w:space="0" w:color="auto"/>
                </w:tcBorders>
              </w:tcPr>
              <w:p w14:paraId="180BB4AF" w14:textId="77777777" w:rsidR="00471D53" w:rsidRDefault="00B664AF" w:rsidP="00471D53">
                <w:pPr>
                  <w:jc w:val="right"/>
                  <w:rPr>
                    <w:szCs w:val="21"/>
                  </w:rPr>
                </w:pPr>
              </w:p>
            </w:tc>
            <w:tc>
              <w:tcPr>
                <w:tcW w:w="490" w:type="pct"/>
                <w:tcBorders>
                  <w:top w:val="single" w:sz="4" w:space="0" w:color="auto"/>
                  <w:left w:val="single" w:sz="4" w:space="0" w:color="auto"/>
                  <w:bottom w:val="single" w:sz="4" w:space="0" w:color="auto"/>
                  <w:right w:val="single" w:sz="4" w:space="0" w:color="auto"/>
                </w:tcBorders>
              </w:tcPr>
              <w:p w14:paraId="141F4956" w14:textId="77777777" w:rsidR="00471D53" w:rsidRDefault="00B664AF" w:rsidP="00471D53">
                <w:pPr>
                  <w:jc w:val="right"/>
                  <w:rPr>
                    <w:szCs w:val="21"/>
                  </w:rPr>
                </w:pPr>
              </w:p>
            </w:tc>
            <w:tc>
              <w:tcPr>
                <w:tcW w:w="874" w:type="pct"/>
                <w:tcBorders>
                  <w:top w:val="single" w:sz="4" w:space="0" w:color="auto"/>
                  <w:left w:val="single" w:sz="4" w:space="0" w:color="auto"/>
                  <w:bottom w:val="single" w:sz="4" w:space="0" w:color="auto"/>
                  <w:right w:val="single" w:sz="4" w:space="0" w:color="auto"/>
                </w:tcBorders>
              </w:tcPr>
              <w:p w14:paraId="0F4D35B9" w14:textId="77777777" w:rsidR="00471D53" w:rsidRDefault="004F686E" w:rsidP="00471D53">
                <w:pPr>
                  <w:jc w:val="right"/>
                  <w:rPr>
                    <w:szCs w:val="21"/>
                  </w:rPr>
                </w:pPr>
                <w:r>
                  <w:t>63,000,000.00</w:t>
                </w:r>
              </w:p>
            </w:tc>
          </w:tr>
          <w:tr w:rsidR="00471D53" w14:paraId="7472B62D" w14:textId="77777777" w:rsidTr="00471D53">
            <w:trPr>
              <w:cantSplit/>
            </w:trPr>
            <w:tc>
              <w:tcPr>
                <w:tcW w:w="850" w:type="pct"/>
                <w:tcBorders>
                  <w:top w:val="single" w:sz="4" w:space="0" w:color="auto"/>
                  <w:left w:val="single" w:sz="4" w:space="0" w:color="auto"/>
                  <w:bottom w:val="single" w:sz="4" w:space="0" w:color="auto"/>
                  <w:right w:val="single" w:sz="4" w:space="0" w:color="auto"/>
                </w:tcBorders>
              </w:tcPr>
              <w:p w14:paraId="068FB068" w14:textId="77777777" w:rsidR="00471D53" w:rsidRDefault="004F686E" w:rsidP="00471D53">
                <w:pPr>
                  <w:jc w:val="center"/>
                </w:pPr>
                <w:r>
                  <w:t>无限售条件股份合计</w:t>
                </w:r>
              </w:p>
            </w:tc>
            <w:tc>
              <w:tcPr>
                <w:tcW w:w="874" w:type="pct"/>
                <w:tcBorders>
                  <w:top w:val="single" w:sz="4" w:space="0" w:color="auto"/>
                  <w:left w:val="single" w:sz="4" w:space="0" w:color="auto"/>
                  <w:bottom w:val="single" w:sz="4" w:space="0" w:color="auto"/>
                  <w:right w:val="single" w:sz="4" w:space="0" w:color="auto"/>
                </w:tcBorders>
              </w:tcPr>
              <w:p w14:paraId="516F3C8E" w14:textId="77777777" w:rsidR="00471D53" w:rsidRDefault="004F686E" w:rsidP="00471D53">
                <w:pPr>
                  <w:jc w:val="right"/>
                  <w:rPr>
                    <w:szCs w:val="21"/>
                  </w:rPr>
                </w:pPr>
                <w:r>
                  <w:t>422,000,000.00</w:t>
                </w:r>
              </w:p>
            </w:tc>
            <w:tc>
              <w:tcPr>
                <w:tcW w:w="458" w:type="pct"/>
                <w:tcBorders>
                  <w:top w:val="single" w:sz="4" w:space="0" w:color="auto"/>
                  <w:left w:val="single" w:sz="4" w:space="0" w:color="auto"/>
                  <w:bottom w:val="single" w:sz="4" w:space="0" w:color="auto"/>
                  <w:right w:val="single" w:sz="4" w:space="0" w:color="auto"/>
                </w:tcBorders>
              </w:tcPr>
              <w:p w14:paraId="3372E4F6" w14:textId="77777777" w:rsidR="00471D53" w:rsidRDefault="00B664AF" w:rsidP="00471D53">
                <w:pPr>
                  <w:jc w:val="right"/>
                  <w:rPr>
                    <w:szCs w:val="21"/>
                  </w:rPr>
                </w:pPr>
              </w:p>
            </w:tc>
            <w:tc>
              <w:tcPr>
                <w:tcW w:w="458" w:type="pct"/>
                <w:tcBorders>
                  <w:top w:val="single" w:sz="4" w:space="0" w:color="auto"/>
                  <w:left w:val="single" w:sz="4" w:space="0" w:color="auto"/>
                  <w:bottom w:val="single" w:sz="4" w:space="0" w:color="auto"/>
                  <w:right w:val="single" w:sz="4" w:space="0" w:color="auto"/>
                </w:tcBorders>
              </w:tcPr>
              <w:p w14:paraId="59C66EE2" w14:textId="77777777" w:rsidR="00471D53" w:rsidRDefault="00B664AF" w:rsidP="00471D53">
                <w:pPr>
                  <w:jc w:val="right"/>
                  <w:rPr>
                    <w:szCs w:val="21"/>
                  </w:rPr>
                </w:pPr>
              </w:p>
            </w:tc>
            <w:tc>
              <w:tcPr>
                <w:tcW w:w="495" w:type="pct"/>
                <w:tcBorders>
                  <w:top w:val="single" w:sz="4" w:space="0" w:color="auto"/>
                  <w:left w:val="single" w:sz="4" w:space="0" w:color="auto"/>
                  <w:bottom w:val="single" w:sz="4" w:space="0" w:color="auto"/>
                  <w:right w:val="single" w:sz="4" w:space="0" w:color="auto"/>
                </w:tcBorders>
              </w:tcPr>
              <w:p w14:paraId="2C98B2D0" w14:textId="77777777" w:rsidR="00471D53" w:rsidRDefault="00B664AF" w:rsidP="00471D53">
                <w:pPr>
                  <w:jc w:val="right"/>
                  <w:rPr>
                    <w:szCs w:val="21"/>
                  </w:rPr>
                </w:pPr>
              </w:p>
            </w:tc>
            <w:tc>
              <w:tcPr>
                <w:tcW w:w="503" w:type="pct"/>
                <w:tcBorders>
                  <w:top w:val="single" w:sz="4" w:space="0" w:color="auto"/>
                  <w:left w:val="single" w:sz="4" w:space="0" w:color="auto"/>
                  <w:bottom w:val="single" w:sz="4" w:space="0" w:color="auto"/>
                  <w:right w:val="single" w:sz="4" w:space="0" w:color="auto"/>
                </w:tcBorders>
              </w:tcPr>
              <w:p w14:paraId="79109FD0" w14:textId="77777777" w:rsidR="00471D53" w:rsidRDefault="00B664AF" w:rsidP="00471D53">
                <w:pPr>
                  <w:jc w:val="right"/>
                  <w:rPr>
                    <w:szCs w:val="21"/>
                  </w:rPr>
                </w:pPr>
              </w:p>
            </w:tc>
            <w:tc>
              <w:tcPr>
                <w:tcW w:w="490" w:type="pct"/>
                <w:tcBorders>
                  <w:top w:val="single" w:sz="4" w:space="0" w:color="auto"/>
                  <w:left w:val="single" w:sz="4" w:space="0" w:color="auto"/>
                  <w:bottom w:val="single" w:sz="4" w:space="0" w:color="auto"/>
                  <w:right w:val="single" w:sz="4" w:space="0" w:color="auto"/>
                </w:tcBorders>
              </w:tcPr>
              <w:p w14:paraId="0DCFEEFE" w14:textId="77777777" w:rsidR="00471D53" w:rsidRDefault="00B664AF" w:rsidP="00471D53">
                <w:pPr>
                  <w:jc w:val="right"/>
                  <w:rPr>
                    <w:szCs w:val="21"/>
                  </w:rPr>
                </w:pPr>
              </w:p>
            </w:tc>
            <w:tc>
              <w:tcPr>
                <w:tcW w:w="874" w:type="pct"/>
                <w:tcBorders>
                  <w:top w:val="single" w:sz="4" w:space="0" w:color="auto"/>
                  <w:left w:val="single" w:sz="4" w:space="0" w:color="auto"/>
                  <w:bottom w:val="single" w:sz="4" w:space="0" w:color="auto"/>
                  <w:right w:val="single" w:sz="4" w:space="0" w:color="auto"/>
                </w:tcBorders>
              </w:tcPr>
              <w:p w14:paraId="7D1046A2" w14:textId="77777777" w:rsidR="00471D53" w:rsidRDefault="004F686E" w:rsidP="00471D53">
                <w:pPr>
                  <w:jc w:val="right"/>
                  <w:rPr>
                    <w:szCs w:val="21"/>
                  </w:rPr>
                </w:pPr>
                <w:r>
                  <w:t>422,000,000.00</w:t>
                </w:r>
              </w:p>
            </w:tc>
          </w:tr>
          <w:tr w:rsidR="00471D53" w14:paraId="1F85106C" w14:textId="77777777" w:rsidTr="00471D53">
            <w:trPr>
              <w:cantSplit/>
            </w:trPr>
            <w:sdt>
              <w:sdtPr>
                <w:tag w:val="_PLD_0c4dca616a0e4126a03d9e8b2ef3c6bc"/>
                <w:id w:val="-469905780"/>
                <w:lock w:val="sdtLocked"/>
              </w:sdtPr>
              <w:sdtEndPr/>
              <w:sdtContent>
                <w:tc>
                  <w:tcPr>
                    <w:tcW w:w="850" w:type="pct"/>
                    <w:tcBorders>
                      <w:top w:val="single" w:sz="4" w:space="0" w:color="auto"/>
                      <w:left w:val="single" w:sz="4" w:space="0" w:color="auto"/>
                      <w:bottom w:val="single" w:sz="4" w:space="0" w:color="auto"/>
                      <w:right w:val="single" w:sz="4" w:space="0" w:color="auto"/>
                    </w:tcBorders>
                  </w:tcPr>
                  <w:p w14:paraId="6FC3C9F7" w14:textId="77777777" w:rsidR="00471D53" w:rsidRDefault="004F686E" w:rsidP="00471D53">
                    <w:pPr>
                      <w:jc w:val="center"/>
                      <w:rPr>
                        <w:szCs w:val="21"/>
                      </w:rPr>
                    </w:pPr>
                    <w:r>
                      <w:rPr>
                        <w:rFonts w:hint="eastAsia"/>
                        <w:szCs w:val="21"/>
                      </w:rPr>
                      <w:t>股份总数</w:t>
                    </w:r>
                  </w:p>
                </w:tc>
              </w:sdtContent>
            </w:sdt>
            <w:tc>
              <w:tcPr>
                <w:tcW w:w="874" w:type="pct"/>
                <w:tcBorders>
                  <w:top w:val="single" w:sz="4" w:space="0" w:color="auto"/>
                  <w:left w:val="single" w:sz="4" w:space="0" w:color="auto"/>
                  <w:bottom w:val="single" w:sz="4" w:space="0" w:color="auto"/>
                  <w:right w:val="single" w:sz="4" w:space="0" w:color="auto"/>
                </w:tcBorders>
                <w:vAlign w:val="center"/>
              </w:tcPr>
              <w:p w14:paraId="29E149D5" w14:textId="77777777" w:rsidR="00471D53" w:rsidRDefault="004F686E">
                <w:pPr>
                  <w:rPr>
                    <w:sz w:val="24"/>
                  </w:rPr>
                </w:pPr>
                <w:r>
                  <w:t>485,000,000.00</w:t>
                </w:r>
              </w:p>
            </w:tc>
            <w:tc>
              <w:tcPr>
                <w:tcW w:w="458" w:type="pct"/>
                <w:tcBorders>
                  <w:top w:val="single" w:sz="4" w:space="0" w:color="auto"/>
                  <w:left w:val="single" w:sz="4" w:space="0" w:color="auto"/>
                  <w:bottom w:val="single" w:sz="4" w:space="0" w:color="auto"/>
                  <w:right w:val="single" w:sz="4" w:space="0" w:color="auto"/>
                </w:tcBorders>
                <w:vAlign w:val="center"/>
              </w:tcPr>
              <w:p w14:paraId="42DA2F65" w14:textId="77777777" w:rsidR="00471D53" w:rsidRDefault="00B664AF">
                <w:pPr>
                  <w:rPr>
                    <w:sz w:val="24"/>
                  </w:rPr>
                </w:pPr>
              </w:p>
            </w:tc>
            <w:tc>
              <w:tcPr>
                <w:tcW w:w="458" w:type="pct"/>
                <w:tcBorders>
                  <w:top w:val="single" w:sz="4" w:space="0" w:color="auto"/>
                  <w:left w:val="single" w:sz="4" w:space="0" w:color="auto"/>
                  <w:bottom w:val="single" w:sz="4" w:space="0" w:color="auto"/>
                  <w:right w:val="single" w:sz="4" w:space="0" w:color="auto"/>
                </w:tcBorders>
                <w:vAlign w:val="center"/>
              </w:tcPr>
              <w:p w14:paraId="47590650" w14:textId="77777777" w:rsidR="00471D53" w:rsidRDefault="00B664AF">
                <w:pPr>
                  <w:rPr>
                    <w:sz w:val="24"/>
                  </w:rPr>
                </w:pPr>
              </w:p>
            </w:tc>
            <w:tc>
              <w:tcPr>
                <w:tcW w:w="495" w:type="pct"/>
                <w:tcBorders>
                  <w:top w:val="single" w:sz="4" w:space="0" w:color="auto"/>
                  <w:left w:val="single" w:sz="4" w:space="0" w:color="auto"/>
                  <w:bottom w:val="single" w:sz="4" w:space="0" w:color="auto"/>
                  <w:right w:val="single" w:sz="4" w:space="0" w:color="auto"/>
                </w:tcBorders>
                <w:vAlign w:val="center"/>
              </w:tcPr>
              <w:p w14:paraId="3D5415FC" w14:textId="77777777" w:rsidR="00471D53" w:rsidRDefault="00B664AF">
                <w:pPr>
                  <w:rPr>
                    <w:sz w:val="24"/>
                  </w:rPr>
                </w:pPr>
              </w:p>
            </w:tc>
            <w:tc>
              <w:tcPr>
                <w:tcW w:w="503" w:type="pct"/>
                <w:tcBorders>
                  <w:top w:val="single" w:sz="4" w:space="0" w:color="auto"/>
                  <w:left w:val="single" w:sz="4" w:space="0" w:color="auto"/>
                  <w:bottom w:val="single" w:sz="4" w:space="0" w:color="auto"/>
                  <w:right w:val="single" w:sz="4" w:space="0" w:color="auto"/>
                </w:tcBorders>
                <w:vAlign w:val="center"/>
              </w:tcPr>
              <w:p w14:paraId="5DDC461A" w14:textId="77777777" w:rsidR="00471D53" w:rsidRDefault="00B664AF">
                <w:pPr>
                  <w:rPr>
                    <w:sz w:val="24"/>
                  </w:rPr>
                </w:pPr>
              </w:p>
            </w:tc>
            <w:tc>
              <w:tcPr>
                <w:tcW w:w="490" w:type="pct"/>
                <w:tcBorders>
                  <w:top w:val="single" w:sz="4" w:space="0" w:color="auto"/>
                  <w:left w:val="single" w:sz="4" w:space="0" w:color="auto"/>
                  <w:bottom w:val="single" w:sz="4" w:space="0" w:color="auto"/>
                  <w:right w:val="single" w:sz="4" w:space="0" w:color="auto"/>
                </w:tcBorders>
                <w:vAlign w:val="center"/>
              </w:tcPr>
              <w:p w14:paraId="667A4050" w14:textId="77777777" w:rsidR="00471D53" w:rsidRDefault="00B664AF">
                <w:pPr>
                  <w:rPr>
                    <w:sz w:val="24"/>
                  </w:rPr>
                </w:pPr>
              </w:p>
            </w:tc>
            <w:tc>
              <w:tcPr>
                <w:tcW w:w="874" w:type="pct"/>
                <w:tcBorders>
                  <w:top w:val="single" w:sz="4" w:space="0" w:color="auto"/>
                  <w:left w:val="single" w:sz="4" w:space="0" w:color="auto"/>
                  <w:bottom w:val="single" w:sz="4" w:space="0" w:color="auto"/>
                  <w:right w:val="single" w:sz="4" w:space="0" w:color="auto"/>
                </w:tcBorders>
                <w:vAlign w:val="center"/>
              </w:tcPr>
              <w:p w14:paraId="7B023A57" w14:textId="77777777" w:rsidR="00471D53" w:rsidRDefault="004F686E">
                <w:pPr>
                  <w:rPr>
                    <w:sz w:val="24"/>
                  </w:rPr>
                </w:pPr>
                <w:r>
                  <w:t>485,000,000.00</w:t>
                </w:r>
              </w:p>
            </w:tc>
          </w:tr>
        </w:tbl>
        <w:p w14:paraId="4ED3B99A" w14:textId="77777777" w:rsidR="00471D53" w:rsidRDefault="00B664AF"/>
        <w:p w14:paraId="2B8435E5" w14:textId="77777777" w:rsidR="00471D53" w:rsidRDefault="004F686E">
          <w:pPr>
            <w:spacing w:before="60" w:after="60"/>
            <w:rPr>
              <w:szCs w:val="21"/>
            </w:rPr>
          </w:pPr>
          <w:r>
            <w:rPr>
              <w:rFonts w:hint="eastAsia"/>
              <w:szCs w:val="21"/>
            </w:rPr>
            <w:t>其他说明：</w:t>
          </w:r>
        </w:p>
        <w:sdt>
          <w:sdtPr>
            <w:rPr>
              <w:szCs w:val="21"/>
            </w:rPr>
            <w:alias w:val="股本变动情况说明"/>
            <w:tag w:val="_GBC_752687f835754470ad7a125ef32391e4"/>
            <w:id w:val="664215549"/>
            <w:lock w:val="sdtLocked"/>
            <w:placeholder>
              <w:docPart w:val="GBC22222222222222222222222222222"/>
            </w:placeholder>
          </w:sdtPr>
          <w:sdtEndPr/>
          <w:sdtContent>
            <w:p w14:paraId="0A1449B8" w14:textId="77777777" w:rsidR="00471D53" w:rsidRPr="009C7881" w:rsidRDefault="004F686E" w:rsidP="00471D53">
              <w:pPr>
                <w:tabs>
                  <w:tab w:val="left" w:pos="900"/>
                  <w:tab w:val="left" w:pos="1000"/>
                  <w:tab w:val="left" w:pos="1100"/>
                </w:tabs>
                <w:spacing w:beforeLines="50" w:before="120" w:afterLines="50" w:after="120" w:line="360" w:lineRule="exact"/>
                <w:jc w:val="both"/>
                <w:rPr>
                  <w:sz w:val="22"/>
                  <w:szCs w:val="22"/>
                </w:rPr>
              </w:pPr>
              <w:r>
                <w:rPr>
                  <w:rFonts w:hint="eastAsia"/>
                  <w:sz w:val="22"/>
                  <w:szCs w:val="22"/>
                </w:rPr>
                <w:t>所有本公司的股份均为每股面值人民币1元的普通股。</w:t>
              </w:r>
            </w:p>
          </w:sdtContent>
        </w:sdt>
      </w:sdtContent>
    </w:sdt>
    <w:p w14:paraId="20162544" w14:textId="77777777" w:rsidR="00471D53" w:rsidRDefault="00B664AF">
      <w:pPr>
        <w:rPr>
          <w:szCs w:val="21"/>
        </w:rPr>
      </w:pPr>
    </w:p>
    <w:p w14:paraId="0CA059D4" w14:textId="77777777" w:rsidR="00471D53" w:rsidRDefault="004F686E" w:rsidP="004F686E">
      <w:pPr>
        <w:pStyle w:val="afffff7"/>
        <w:numPr>
          <w:ilvl w:val="0"/>
          <w:numId w:val="55"/>
        </w:numPr>
        <w:tabs>
          <w:tab w:val="left" w:pos="504"/>
        </w:tabs>
        <w:rPr>
          <w:rFonts w:ascii="宋体" w:hAnsi="宋体"/>
          <w:szCs w:val="21"/>
        </w:rPr>
      </w:pPr>
      <w:r>
        <w:rPr>
          <w:rFonts w:ascii="宋体" w:hAnsi="宋体" w:cs="宋体" w:hint="eastAsia"/>
          <w:bCs w:val="0"/>
          <w:kern w:val="0"/>
          <w:szCs w:val="21"/>
        </w:rPr>
        <w:t>其</w:t>
      </w:r>
      <w:r>
        <w:rPr>
          <w:rFonts w:ascii="宋体" w:hAnsi="宋体" w:hint="eastAsia"/>
          <w:szCs w:val="21"/>
        </w:rPr>
        <w:t>他权益工具</w:t>
      </w:r>
    </w:p>
    <w:sdt>
      <w:sdtPr>
        <w:rPr>
          <w:rFonts w:ascii="宋体" w:hAnsi="宋体" w:cs="宋体" w:hint="eastAsia"/>
          <w:b w:val="0"/>
          <w:bCs w:val="0"/>
          <w:kern w:val="0"/>
          <w:szCs w:val="24"/>
        </w:rPr>
        <w:alias w:val="模块:其他权益工具"/>
        <w:tag w:val="_GBC_4f862512b6914630932c1857df6db6e4"/>
        <w:id w:val="786704368"/>
        <w:lock w:val="sdtLocked"/>
        <w:placeholder>
          <w:docPart w:val="GBC22222222222222222222222222222"/>
        </w:placeholder>
      </w:sdtPr>
      <w:sdtEndPr>
        <w:rPr>
          <w:szCs w:val="21"/>
        </w:rPr>
      </w:sdtEndPr>
      <w:sdtContent>
        <w:p w14:paraId="7EA2CF5C" w14:textId="77777777" w:rsidR="00471D53" w:rsidRDefault="004F686E" w:rsidP="004F686E">
          <w:pPr>
            <w:pStyle w:val="afffff8"/>
            <w:numPr>
              <w:ilvl w:val="0"/>
              <w:numId w:val="86"/>
            </w:numPr>
            <w:rPr>
              <w:rFonts w:ascii="宋体" w:hAnsi="宋体"/>
            </w:rPr>
          </w:pPr>
          <w:r>
            <w:rPr>
              <w:rFonts w:ascii="宋体" w:hAnsi="宋体" w:hint="eastAsia"/>
            </w:rPr>
            <w:t>期末发行在外的优先股、永续债等其他金融工具基本情况</w:t>
          </w:r>
        </w:p>
        <w:sdt>
          <w:sdtPr>
            <w:alias w:val="是否适用：期末发行在外的优先股、永续债等其他金融工具基本情况[双击切换]"/>
            <w:tag w:val="_GBC_54d54ac45fe745e1aad9be61a846261f"/>
            <w:id w:val="-279566727"/>
            <w:lock w:val="sdtLocked"/>
            <w:placeholder>
              <w:docPart w:val="GBC22222222222222222222222222222"/>
            </w:placeholder>
          </w:sdtPr>
          <w:sdtEndPr/>
          <w:sdtContent>
            <w:p w14:paraId="46FA0936"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6A736AE" w14:textId="77777777" w:rsidR="00471D53" w:rsidRDefault="00B664AF"/>
        <w:p w14:paraId="67E99F04" w14:textId="77777777" w:rsidR="00471D53" w:rsidRDefault="004F686E" w:rsidP="004F686E">
          <w:pPr>
            <w:pStyle w:val="afffff8"/>
            <w:numPr>
              <w:ilvl w:val="0"/>
              <w:numId w:val="86"/>
            </w:numPr>
            <w:rPr>
              <w:rFonts w:ascii="宋体" w:hAnsi="宋体"/>
              <w:szCs w:val="21"/>
            </w:rPr>
          </w:pPr>
          <w:r>
            <w:rPr>
              <w:rFonts w:ascii="宋体" w:hAnsi="宋体" w:hint="eastAsia"/>
              <w:szCs w:val="21"/>
            </w:rPr>
            <w:t>期末</w:t>
          </w:r>
          <w:r>
            <w:rPr>
              <w:rFonts w:ascii="宋体" w:hAnsi="宋体" w:hint="eastAsia"/>
            </w:rPr>
            <w:t>发行</w:t>
          </w:r>
          <w:r>
            <w:rPr>
              <w:rFonts w:ascii="宋体" w:hAnsi="宋体" w:hint="eastAsia"/>
              <w:szCs w:val="21"/>
            </w:rPr>
            <w:t>在外的优先股、永续债等金融工具变动情况表</w:t>
          </w:r>
        </w:p>
        <w:sdt>
          <w:sdtPr>
            <w:alias w:val="是否适用：期末发行在外的优先股、永续债等金融工具变动情况表_其他权益工具[双击切换]"/>
            <w:tag w:val="_GBC_e8c53693e19e485cba80f7cd2a15ab4c"/>
            <w:id w:val="1145164076"/>
            <w:lock w:val="sdtLocked"/>
            <w:placeholder>
              <w:docPart w:val="GBC22222222222222222222222222222"/>
            </w:placeholder>
          </w:sdtPr>
          <w:sdtEndPr/>
          <w:sdtContent>
            <w:p w14:paraId="088650E5" w14:textId="77777777" w:rsidR="00471D53" w:rsidRDefault="004F686E" w:rsidP="00471D53">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1DB1B0C" w14:textId="77777777" w:rsidR="00471D53" w:rsidRDefault="004F686E">
          <w:pPr>
            <w:rPr>
              <w:szCs w:val="21"/>
            </w:rPr>
          </w:pPr>
          <w:r>
            <w:rPr>
              <w:rFonts w:hint="eastAsia"/>
              <w:szCs w:val="21"/>
            </w:rPr>
            <w:t>其他权益工具本期增减变动情况、变动原因说明，以及相关会计处理的依据：</w:t>
          </w:r>
        </w:p>
        <w:sdt>
          <w:sdtPr>
            <w:rPr>
              <w:szCs w:val="21"/>
            </w:rPr>
            <w:alias w:val="是否适用：其他权益工具本期增减变动情况、变动原因说明，以及相关会计处理的依据[双击切换]"/>
            <w:tag w:val="_GBC_6229f0070f0a4c838e1e39f678f8a7bb"/>
            <w:id w:val="-244498255"/>
            <w:lock w:val="sdtLocked"/>
            <w:placeholder>
              <w:docPart w:val="GBC22222222222222222222222222222"/>
            </w:placeholder>
          </w:sdtPr>
          <w:sdtEndPr/>
          <w:sdtContent>
            <w:p w14:paraId="3DA976ED" w14:textId="77777777" w:rsidR="00471D53" w:rsidRDefault="004F686E" w:rsidP="00471D5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75618EB1" w14:textId="77777777" w:rsidR="00471D53" w:rsidRDefault="00B664AF">
          <w:pPr>
            <w:rPr>
              <w:szCs w:val="21"/>
            </w:rPr>
          </w:pPr>
        </w:p>
        <w:p w14:paraId="3AAC0A12" w14:textId="77777777" w:rsidR="00471D53" w:rsidRDefault="004F686E">
          <w:pPr>
            <w:rPr>
              <w:szCs w:val="21"/>
            </w:rPr>
          </w:pPr>
          <w:r>
            <w:rPr>
              <w:rFonts w:hint="eastAsia"/>
              <w:szCs w:val="21"/>
            </w:rPr>
            <w:t>其他说明：</w:t>
          </w:r>
        </w:p>
        <w:sdt>
          <w:sdtPr>
            <w:rPr>
              <w:szCs w:val="21"/>
            </w:rPr>
            <w:alias w:val="是否适用：其他权益工具的其他说明[双击切换]"/>
            <w:tag w:val="_GBC_297d299126b041159b18d012f9a18c2e"/>
            <w:id w:val="329411394"/>
            <w:lock w:val="sdtLocked"/>
            <w:placeholder>
              <w:docPart w:val="GBC22222222222222222222222222222"/>
            </w:placeholder>
          </w:sdtPr>
          <w:sdtEndPr/>
          <w:sdtContent>
            <w:p w14:paraId="750B326C" w14:textId="77777777" w:rsidR="00471D53" w:rsidRDefault="004F686E" w:rsidP="00471D5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53ACD671" w14:textId="77777777" w:rsidR="00471D53" w:rsidRDefault="00B664AF">
          <w:pPr>
            <w:rPr>
              <w:szCs w:val="21"/>
            </w:rPr>
          </w:pPr>
        </w:p>
      </w:sdtContent>
    </w:sdt>
    <w:sdt>
      <w:sdtPr>
        <w:rPr>
          <w:rFonts w:ascii="宋体" w:hAnsi="宋体" w:cs="宋体" w:hint="eastAsia"/>
          <w:b w:val="0"/>
          <w:bCs w:val="0"/>
          <w:kern w:val="0"/>
          <w:szCs w:val="21"/>
        </w:rPr>
        <w:alias w:val="模块:资本公积"/>
        <w:tag w:val="_GBC_23fef1c643714b9f82710e33a1bef935"/>
        <w:id w:val="533086895"/>
        <w:lock w:val="sdtLocked"/>
        <w:placeholder>
          <w:docPart w:val="GBC22222222222222222222222222222"/>
        </w:placeholder>
      </w:sdtPr>
      <w:sdtEndPr>
        <w:rPr>
          <w:rFonts w:cstheme="minorBidi" w:hint="default"/>
          <w:color w:val="000000" w:themeColor="text1"/>
          <w:kern w:val="2"/>
        </w:rPr>
      </w:sdtEndPr>
      <w:sdtContent>
        <w:p w14:paraId="0A5EE810"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资本公积</w:t>
          </w:r>
        </w:p>
        <w:sdt>
          <w:sdtPr>
            <w:alias w:val="是否适用：资本公积[双击切换]"/>
            <w:tag w:val="_GBC_70f32b67ce344a03adfc93d4ed72949a"/>
            <w:id w:val="1898934176"/>
            <w:lock w:val="sdtLocked"/>
            <w:placeholder>
              <w:docPart w:val="GBC22222222222222222222222222222"/>
            </w:placeholder>
          </w:sdtPr>
          <w:sdtEndPr/>
          <w:sdtContent>
            <w:p w14:paraId="75F96435"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0AF09E7" w14:textId="38EA6751" w:rsidR="00471D53" w:rsidRDefault="004F686E">
          <w:pPr>
            <w:jc w:val="right"/>
            <w:rPr>
              <w:szCs w:val="21"/>
            </w:rPr>
          </w:pPr>
          <w:r>
            <w:rPr>
              <w:rFonts w:hint="eastAsia"/>
              <w:szCs w:val="21"/>
            </w:rPr>
            <w:t>单位：</w:t>
          </w:r>
          <w:sdt>
            <w:sdtPr>
              <w:rPr>
                <w:rFonts w:hint="eastAsia"/>
                <w:szCs w:val="21"/>
              </w:rPr>
              <w:alias w:val="单位：财务附注：资本公积"/>
              <w:tag w:val="_GBC_88633009fdc64f4e8238c38541b33615"/>
              <w:id w:val="-14802995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资本公积"/>
              <w:tag w:val="_GBC_636aa96d47cb426abc64fc00b61c9353"/>
              <w:id w:val="-9691998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63"/>
            <w:gridCol w:w="1773"/>
            <w:gridCol w:w="1807"/>
            <w:gridCol w:w="1791"/>
            <w:gridCol w:w="1789"/>
          </w:tblGrid>
          <w:tr w:rsidR="00471D53" w14:paraId="13F092AB" w14:textId="77777777" w:rsidTr="00474A51">
            <w:sdt>
              <w:sdtPr>
                <w:tag w:val="_PLD_177c011500e64862903c4c16dbb2f31f"/>
                <w:id w:val="-35353873"/>
                <w:lock w:val="sdtLocked"/>
              </w:sdtPr>
              <w:sdtEndPr/>
              <w:sdtContent>
                <w:tc>
                  <w:tcPr>
                    <w:tcW w:w="942" w:type="pct"/>
                    <w:vAlign w:val="center"/>
                  </w:tcPr>
                  <w:p w14:paraId="3A99D308" w14:textId="77777777" w:rsidR="00471D53" w:rsidRDefault="004F686E">
                    <w:pPr>
                      <w:autoSpaceDE w:val="0"/>
                      <w:autoSpaceDN w:val="0"/>
                      <w:adjustRightInd w:val="0"/>
                      <w:snapToGrid w:val="0"/>
                      <w:jc w:val="center"/>
                      <w:rPr>
                        <w:szCs w:val="21"/>
                      </w:rPr>
                    </w:pPr>
                    <w:r>
                      <w:rPr>
                        <w:rFonts w:hint="eastAsia"/>
                        <w:szCs w:val="21"/>
                      </w:rPr>
                      <w:t>项目</w:t>
                    </w:r>
                  </w:p>
                </w:tc>
              </w:sdtContent>
            </w:sdt>
            <w:sdt>
              <w:sdtPr>
                <w:tag w:val="_PLD_1519f0add67f49df9173f37c00215eef"/>
                <w:id w:val="1217245142"/>
                <w:lock w:val="sdtLocked"/>
              </w:sdtPr>
              <w:sdtEndPr/>
              <w:sdtContent>
                <w:tc>
                  <w:tcPr>
                    <w:tcW w:w="1005" w:type="pct"/>
                    <w:vAlign w:val="center"/>
                  </w:tcPr>
                  <w:p w14:paraId="447DD999" w14:textId="77777777" w:rsidR="00471D53" w:rsidRDefault="004F686E">
                    <w:pPr>
                      <w:autoSpaceDE w:val="0"/>
                      <w:autoSpaceDN w:val="0"/>
                      <w:adjustRightInd w:val="0"/>
                      <w:snapToGrid w:val="0"/>
                      <w:jc w:val="center"/>
                      <w:rPr>
                        <w:szCs w:val="21"/>
                      </w:rPr>
                    </w:pPr>
                    <w:r>
                      <w:rPr>
                        <w:rFonts w:hint="eastAsia"/>
                        <w:szCs w:val="21"/>
                      </w:rPr>
                      <w:t>期初余额</w:t>
                    </w:r>
                  </w:p>
                </w:tc>
              </w:sdtContent>
            </w:sdt>
            <w:sdt>
              <w:sdtPr>
                <w:tag w:val="_PLD_dcbf1fd9bcaa41fc8ff4def2d0e55143"/>
                <w:id w:val="267974559"/>
                <w:lock w:val="sdtLocked"/>
              </w:sdtPr>
              <w:sdtEndPr/>
              <w:sdtContent>
                <w:tc>
                  <w:tcPr>
                    <w:tcW w:w="1024" w:type="pct"/>
                    <w:vAlign w:val="center"/>
                  </w:tcPr>
                  <w:p w14:paraId="09145877" w14:textId="77777777" w:rsidR="00471D53" w:rsidRDefault="004F686E">
                    <w:pPr>
                      <w:autoSpaceDE w:val="0"/>
                      <w:autoSpaceDN w:val="0"/>
                      <w:adjustRightInd w:val="0"/>
                      <w:snapToGrid w:val="0"/>
                      <w:jc w:val="center"/>
                      <w:rPr>
                        <w:szCs w:val="21"/>
                      </w:rPr>
                    </w:pPr>
                    <w:r>
                      <w:rPr>
                        <w:rFonts w:hint="eastAsia"/>
                        <w:szCs w:val="21"/>
                      </w:rPr>
                      <w:t>本期增加</w:t>
                    </w:r>
                  </w:p>
                </w:tc>
              </w:sdtContent>
            </w:sdt>
            <w:sdt>
              <w:sdtPr>
                <w:tag w:val="_PLD_9d88d0ce99474d389c660c414306497d"/>
                <w:id w:val="5721805"/>
                <w:lock w:val="sdtLocked"/>
              </w:sdtPr>
              <w:sdtEndPr/>
              <w:sdtContent>
                <w:tc>
                  <w:tcPr>
                    <w:tcW w:w="1015" w:type="pct"/>
                    <w:vAlign w:val="center"/>
                  </w:tcPr>
                  <w:p w14:paraId="466FC8EA" w14:textId="77777777" w:rsidR="00471D53" w:rsidRDefault="004F686E">
                    <w:pPr>
                      <w:autoSpaceDE w:val="0"/>
                      <w:autoSpaceDN w:val="0"/>
                      <w:adjustRightInd w:val="0"/>
                      <w:snapToGrid w:val="0"/>
                      <w:jc w:val="center"/>
                      <w:rPr>
                        <w:szCs w:val="21"/>
                      </w:rPr>
                    </w:pPr>
                    <w:r>
                      <w:rPr>
                        <w:rFonts w:hint="eastAsia"/>
                        <w:szCs w:val="21"/>
                      </w:rPr>
                      <w:t>本期减少</w:t>
                    </w:r>
                  </w:p>
                </w:tc>
              </w:sdtContent>
            </w:sdt>
            <w:sdt>
              <w:sdtPr>
                <w:tag w:val="_PLD_4c3f2255a4a24c1cae63eb0cc7781f12"/>
                <w:id w:val="1499620028"/>
                <w:lock w:val="sdtLocked"/>
              </w:sdtPr>
              <w:sdtEndPr/>
              <w:sdtContent>
                <w:tc>
                  <w:tcPr>
                    <w:tcW w:w="1014" w:type="pct"/>
                    <w:vAlign w:val="center"/>
                  </w:tcPr>
                  <w:p w14:paraId="4F57B954" w14:textId="77777777" w:rsidR="00471D53" w:rsidRDefault="004F686E">
                    <w:pPr>
                      <w:autoSpaceDE w:val="0"/>
                      <w:autoSpaceDN w:val="0"/>
                      <w:adjustRightInd w:val="0"/>
                      <w:snapToGrid w:val="0"/>
                      <w:jc w:val="center"/>
                      <w:rPr>
                        <w:szCs w:val="21"/>
                      </w:rPr>
                    </w:pPr>
                    <w:r>
                      <w:rPr>
                        <w:rFonts w:hint="eastAsia"/>
                        <w:szCs w:val="21"/>
                      </w:rPr>
                      <w:t>期末余额</w:t>
                    </w:r>
                  </w:p>
                </w:tc>
              </w:sdtContent>
            </w:sdt>
          </w:tr>
          <w:tr w:rsidR="00471D53" w14:paraId="21F753CF" w14:textId="77777777" w:rsidTr="00471D53">
            <w:sdt>
              <w:sdtPr>
                <w:tag w:val="_PLD_6f0c6094ea774cff87e6eacd4eb8ba12"/>
                <w:id w:val="203457735"/>
                <w:lock w:val="sdtLocked"/>
              </w:sdtPr>
              <w:sdtEndPr/>
              <w:sdtContent>
                <w:tc>
                  <w:tcPr>
                    <w:tcW w:w="942" w:type="pct"/>
                    <w:shd w:val="clear" w:color="auto" w:fill="auto"/>
                  </w:tcPr>
                  <w:p w14:paraId="0F37629F" w14:textId="77777777" w:rsidR="00471D53" w:rsidRDefault="004F686E">
                    <w:pPr>
                      <w:autoSpaceDE w:val="0"/>
                      <w:autoSpaceDN w:val="0"/>
                      <w:adjustRightInd w:val="0"/>
                      <w:snapToGrid w:val="0"/>
                      <w:rPr>
                        <w:szCs w:val="21"/>
                      </w:rPr>
                    </w:pPr>
                    <w:r>
                      <w:rPr>
                        <w:rFonts w:hint="eastAsia"/>
                        <w:szCs w:val="21"/>
                      </w:rPr>
                      <w:t>资本溢价（股本溢价）</w:t>
                    </w:r>
                  </w:p>
                </w:tc>
              </w:sdtContent>
            </w:sdt>
            <w:tc>
              <w:tcPr>
                <w:tcW w:w="1005" w:type="pct"/>
                <w:shd w:val="clear" w:color="auto" w:fill="auto"/>
                <w:vAlign w:val="center"/>
              </w:tcPr>
              <w:p w14:paraId="1175952D" w14:textId="77777777" w:rsidR="00471D53" w:rsidRDefault="004F686E" w:rsidP="00471D53">
                <w:pPr>
                  <w:jc w:val="right"/>
                  <w:rPr>
                    <w:sz w:val="22"/>
                    <w:szCs w:val="22"/>
                  </w:rPr>
                </w:pPr>
                <w:r>
                  <w:rPr>
                    <w:rFonts w:hint="eastAsia"/>
                    <w:sz w:val="22"/>
                    <w:szCs w:val="22"/>
                  </w:rPr>
                  <w:t>707,035,741.33</w:t>
                </w:r>
              </w:p>
            </w:tc>
            <w:tc>
              <w:tcPr>
                <w:tcW w:w="1024" w:type="pct"/>
                <w:shd w:val="clear" w:color="auto" w:fill="auto"/>
              </w:tcPr>
              <w:p w14:paraId="66E8A554" w14:textId="77777777" w:rsidR="00471D53" w:rsidRDefault="00B664AF">
                <w:pPr>
                  <w:autoSpaceDE w:val="0"/>
                  <w:autoSpaceDN w:val="0"/>
                  <w:adjustRightInd w:val="0"/>
                  <w:snapToGrid w:val="0"/>
                  <w:jc w:val="right"/>
                  <w:rPr>
                    <w:szCs w:val="21"/>
                  </w:rPr>
                </w:pPr>
              </w:p>
            </w:tc>
            <w:tc>
              <w:tcPr>
                <w:tcW w:w="1015" w:type="pct"/>
                <w:shd w:val="clear" w:color="auto" w:fill="auto"/>
              </w:tcPr>
              <w:p w14:paraId="061B7A62" w14:textId="77777777" w:rsidR="00471D53" w:rsidRDefault="00B664AF">
                <w:pPr>
                  <w:autoSpaceDE w:val="0"/>
                  <w:autoSpaceDN w:val="0"/>
                  <w:adjustRightInd w:val="0"/>
                  <w:snapToGrid w:val="0"/>
                  <w:jc w:val="right"/>
                  <w:rPr>
                    <w:szCs w:val="21"/>
                  </w:rPr>
                </w:pPr>
              </w:p>
            </w:tc>
            <w:tc>
              <w:tcPr>
                <w:tcW w:w="1014" w:type="pct"/>
                <w:shd w:val="clear" w:color="auto" w:fill="auto"/>
                <w:vAlign w:val="center"/>
              </w:tcPr>
              <w:p w14:paraId="6732C689" w14:textId="77777777" w:rsidR="00471D53" w:rsidRDefault="004F686E" w:rsidP="00471D53">
                <w:pPr>
                  <w:jc w:val="right"/>
                  <w:rPr>
                    <w:sz w:val="22"/>
                    <w:szCs w:val="22"/>
                  </w:rPr>
                </w:pPr>
                <w:r>
                  <w:rPr>
                    <w:rFonts w:hint="eastAsia"/>
                    <w:sz w:val="22"/>
                    <w:szCs w:val="22"/>
                  </w:rPr>
                  <w:t>707,035,741.33</w:t>
                </w:r>
              </w:p>
            </w:tc>
          </w:tr>
          <w:tr w:rsidR="00471D53" w14:paraId="5B509A15" w14:textId="77777777" w:rsidTr="00471D53">
            <w:sdt>
              <w:sdtPr>
                <w:tag w:val="_PLD_0d65c4a2c84c464d8e7b1cc66155d272"/>
                <w:id w:val="815768598"/>
                <w:lock w:val="sdtLocked"/>
              </w:sdtPr>
              <w:sdtEndPr/>
              <w:sdtContent>
                <w:tc>
                  <w:tcPr>
                    <w:tcW w:w="942" w:type="pct"/>
                    <w:shd w:val="clear" w:color="auto" w:fill="auto"/>
                  </w:tcPr>
                  <w:p w14:paraId="2856DE1A" w14:textId="77777777" w:rsidR="00471D53" w:rsidRDefault="004F686E">
                    <w:pPr>
                      <w:autoSpaceDE w:val="0"/>
                      <w:autoSpaceDN w:val="0"/>
                      <w:adjustRightInd w:val="0"/>
                      <w:snapToGrid w:val="0"/>
                      <w:rPr>
                        <w:szCs w:val="21"/>
                      </w:rPr>
                    </w:pPr>
                    <w:r>
                      <w:rPr>
                        <w:rFonts w:hint="eastAsia"/>
                        <w:szCs w:val="21"/>
                      </w:rPr>
                      <w:t>其他资本公积</w:t>
                    </w:r>
                  </w:p>
                </w:tc>
              </w:sdtContent>
            </w:sdt>
            <w:tc>
              <w:tcPr>
                <w:tcW w:w="1005" w:type="pct"/>
                <w:shd w:val="clear" w:color="auto" w:fill="auto"/>
                <w:vAlign w:val="center"/>
              </w:tcPr>
              <w:p w14:paraId="30F32DB9" w14:textId="77777777" w:rsidR="00471D53" w:rsidRDefault="004F686E" w:rsidP="00471D53">
                <w:pPr>
                  <w:snapToGrid w:val="0"/>
                  <w:jc w:val="right"/>
                  <w:rPr>
                    <w:rFonts w:cs="Arial Unicode MS"/>
                    <w:sz w:val="22"/>
                    <w:szCs w:val="22"/>
                  </w:rPr>
                </w:pPr>
                <w:r>
                  <w:rPr>
                    <w:rFonts w:cs="Arial Unicode MS"/>
                    <w:sz w:val="22"/>
                    <w:szCs w:val="22"/>
                  </w:rPr>
                  <w:t>126</w:t>
                </w:r>
                <w:r>
                  <w:rPr>
                    <w:rFonts w:cs="Arial Unicode MS" w:hint="eastAsia"/>
                    <w:sz w:val="22"/>
                    <w:szCs w:val="22"/>
                  </w:rPr>
                  <w:t>,</w:t>
                </w:r>
                <w:r>
                  <w:rPr>
                    <w:rFonts w:cs="Arial Unicode MS"/>
                    <w:sz w:val="22"/>
                    <w:szCs w:val="22"/>
                  </w:rPr>
                  <w:t>148</w:t>
                </w:r>
                <w:r>
                  <w:rPr>
                    <w:rFonts w:cs="Arial Unicode MS" w:hint="eastAsia"/>
                    <w:sz w:val="22"/>
                    <w:szCs w:val="22"/>
                  </w:rPr>
                  <w:t>,</w:t>
                </w:r>
                <w:r>
                  <w:rPr>
                    <w:rFonts w:cs="Arial Unicode MS"/>
                    <w:sz w:val="22"/>
                    <w:szCs w:val="22"/>
                  </w:rPr>
                  <w:t>094.51</w:t>
                </w:r>
              </w:p>
            </w:tc>
            <w:tc>
              <w:tcPr>
                <w:tcW w:w="1024" w:type="pct"/>
                <w:shd w:val="clear" w:color="auto" w:fill="auto"/>
              </w:tcPr>
              <w:p w14:paraId="7C2DDB2F" w14:textId="77777777" w:rsidR="00471D53" w:rsidRDefault="00B664AF">
                <w:pPr>
                  <w:autoSpaceDE w:val="0"/>
                  <w:autoSpaceDN w:val="0"/>
                  <w:adjustRightInd w:val="0"/>
                  <w:snapToGrid w:val="0"/>
                  <w:jc w:val="right"/>
                  <w:rPr>
                    <w:szCs w:val="21"/>
                  </w:rPr>
                </w:pPr>
              </w:p>
            </w:tc>
            <w:tc>
              <w:tcPr>
                <w:tcW w:w="1015" w:type="pct"/>
                <w:shd w:val="clear" w:color="auto" w:fill="auto"/>
              </w:tcPr>
              <w:p w14:paraId="063E9722" w14:textId="77777777" w:rsidR="00471D53" w:rsidRDefault="00B664AF">
                <w:pPr>
                  <w:autoSpaceDE w:val="0"/>
                  <w:autoSpaceDN w:val="0"/>
                  <w:adjustRightInd w:val="0"/>
                  <w:snapToGrid w:val="0"/>
                  <w:jc w:val="right"/>
                  <w:rPr>
                    <w:szCs w:val="21"/>
                  </w:rPr>
                </w:pPr>
              </w:p>
            </w:tc>
            <w:tc>
              <w:tcPr>
                <w:tcW w:w="1014" w:type="pct"/>
                <w:shd w:val="clear" w:color="auto" w:fill="auto"/>
                <w:vAlign w:val="center"/>
              </w:tcPr>
              <w:p w14:paraId="2A38ACF9" w14:textId="77777777" w:rsidR="00471D53" w:rsidRDefault="004F686E" w:rsidP="00471D53">
                <w:pPr>
                  <w:snapToGrid w:val="0"/>
                  <w:jc w:val="right"/>
                  <w:rPr>
                    <w:rFonts w:cs="Arial Unicode MS"/>
                    <w:sz w:val="22"/>
                    <w:szCs w:val="22"/>
                  </w:rPr>
                </w:pPr>
                <w:r>
                  <w:rPr>
                    <w:rFonts w:cs="Arial Unicode MS"/>
                    <w:sz w:val="22"/>
                    <w:szCs w:val="22"/>
                  </w:rPr>
                  <w:t>126</w:t>
                </w:r>
                <w:r>
                  <w:rPr>
                    <w:rFonts w:cs="Arial Unicode MS" w:hint="eastAsia"/>
                    <w:sz w:val="22"/>
                    <w:szCs w:val="22"/>
                  </w:rPr>
                  <w:t>,</w:t>
                </w:r>
                <w:r>
                  <w:rPr>
                    <w:rFonts w:cs="Arial Unicode MS"/>
                    <w:sz w:val="22"/>
                    <w:szCs w:val="22"/>
                  </w:rPr>
                  <w:t>148</w:t>
                </w:r>
                <w:r>
                  <w:rPr>
                    <w:rFonts w:cs="Arial Unicode MS" w:hint="eastAsia"/>
                    <w:sz w:val="22"/>
                    <w:szCs w:val="22"/>
                  </w:rPr>
                  <w:t>,</w:t>
                </w:r>
                <w:r>
                  <w:rPr>
                    <w:rFonts w:cs="Arial Unicode MS"/>
                    <w:sz w:val="22"/>
                    <w:szCs w:val="22"/>
                  </w:rPr>
                  <w:t>094.51</w:t>
                </w:r>
              </w:p>
            </w:tc>
          </w:tr>
          <w:tr w:rsidR="00471D53" w14:paraId="6FFA008B" w14:textId="77777777" w:rsidTr="00471D53">
            <w:sdt>
              <w:sdtPr>
                <w:tag w:val="_PLD_2d6988ed902d4f2a9c423d885cfc336e"/>
                <w:id w:val="1026288376"/>
                <w:lock w:val="sdtLocked"/>
              </w:sdtPr>
              <w:sdtEndPr/>
              <w:sdtContent>
                <w:tc>
                  <w:tcPr>
                    <w:tcW w:w="942" w:type="pct"/>
                    <w:vAlign w:val="center"/>
                  </w:tcPr>
                  <w:p w14:paraId="3E33F85D" w14:textId="77777777" w:rsidR="00471D53" w:rsidRPr="002B4CAC" w:rsidRDefault="004F686E">
                    <w:pPr>
                      <w:autoSpaceDE w:val="0"/>
                      <w:autoSpaceDN w:val="0"/>
                      <w:adjustRightInd w:val="0"/>
                      <w:snapToGrid w:val="0"/>
                      <w:jc w:val="center"/>
                      <w:rPr>
                        <w:szCs w:val="21"/>
                      </w:rPr>
                    </w:pPr>
                    <w:r w:rsidRPr="002B4CAC">
                      <w:rPr>
                        <w:rFonts w:hint="eastAsia"/>
                        <w:szCs w:val="21"/>
                      </w:rPr>
                      <w:t>合计</w:t>
                    </w:r>
                  </w:p>
                </w:tc>
              </w:sdtContent>
            </w:sdt>
            <w:tc>
              <w:tcPr>
                <w:tcW w:w="1005" w:type="pct"/>
                <w:vAlign w:val="center"/>
              </w:tcPr>
              <w:p w14:paraId="772B85AC" w14:textId="77777777" w:rsidR="00471D53" w:rsidRPr="002B4CAC" w:rsidRDefault="004F686E" w:rsidP="00471D53">
                <w:pPr>
                  <w:snapToGrid w:val="0"/>
                  <w:jc w:val="right"/>
                  <w:rPr>
                    <w:rFonts w:cs="Arial Unicode MS"/>
                    <w:sz w:val="22"/>
                    <w:szCs w:val="22"/>
                  </w:rPr>
                </w:pPr>
                <w:r w:rsidRPr="002B4CAC">
                  <w:rPr>
                    <w:rFonts w:cs="Arial Unicode MS"/>
                    <w:sz w:val="22"/>
                    <w:szCs w:val="22"/>
                  </w:rPr>
                  <w:t>833</w:t>
                </w:r>
                <w:r w:rsidRPr="002B4CAC">
                  <w:rPr>
                    <w:rFonts w:cs="Arial Unicode MS" w:hint="eastAsia"/>
                    <w:sz w:val="22"/>
                    <w:szCs w:val="22"/>
                  </w:rPr>
                  <w:t>,</w:t>
                </w:r>
                <w:r w:rsidRPr="002B4CAC">
                  <w:rPr>
                    <w:rFonts w:cs="Arial Unicode MS"/>
                    <w:sz w:val="22"/>
                    <w:szCs w:val="22"/>
                  </w:rPr>
                  <w:t>183</w:t>
                </w:r>
                <w:r w:rsidRPr="002B4CAC">
                  <w:rPr>
                    <w:rFonts w:cs="Arial Unicode MS" w:hint="eastAsia"/>
                    <w:sz w:val="22"/>
                    <w:szCs w:val="22"/>
                  </w:rPr>
                  <w:t>,</w:t>
                </w:r>
                <w:r w:rsidRPr="002B4CAC">
                  <w:rPr>
                    <w:rFonts w:cs="Arial Unicode MS"/>
                    <w:sz w:val="22"/>
                    <w:szCs w:val="22"/>
                  </w:rPr>
                  <w:t>835.84</w:t>
                </w:r>
              </w:p>
            </w:tc>
            <w:tc>
              <w:tcPr>
                <w:tcW w:w="1024" w:type="pct"/>
              </w:tcPr>
              <w:p w14:paraId="5BB3FF7C" w14:textId="77777777" w:rsidR="00471D53" w:rsidRPr="002B4CAC" w:rsidRDefault="00B664AF">
                <w:pPr>
                  <w:autoSpaceDE w:val="0"/>
                  <w:autoSpaceDN w:val="0"/>
                  <w:adjustRightInd w:val="0"/>
                  <w:snapToGrid w:val="0"/>
                  <w:jc w:val="right"/>
                  <w:rPr>
                    <w:szCs w:val="21"/>
                  </w:rPr>
                </w:pPr>
              </w:p>
            </w:tc>
            <w:tc>
              <w:tcPr>
                <w:tcW w:w="1015" w:type="pct"/>
              </w:tcPr>
              <w:p w14:paraId="235D1662" w14:textId="77777777" w:rsidR="00471D53" w:rsidRPr="002B4CAC" w:rsidRDefault="00B664AF">
                <w:pPr>
                  <w:autoSpaceDE w:val="0"/>
                  <w:autoSpaceDN w:val="0"/>
                  <w:adjustRightInd w:val="0"/>
                  <w:snapToGrid w:val="0"/>
                  <w:jc w:val="right"/>
                  <w:rPr>
                    <w:szCs w:val="21"/>
                  </w:rPr>
                </w:pPr>
              </w:p>
            </w:tc>
            <w:tc>
              <w:tcPr>
                <w:tcW w:w="1014" w:type="pct"/>
                <w:vAlign w:val="center"/>
              </w:tcPr>
              <w:p w14:paraId="45307B61" w14:textId="77777777" w:rsidR="00471D53" w:rsidRPr="002B4CAC" w:rsidRDefault="004F686E" w:rsidP="00471D53">
                <w:pPr>
                  <w:snapToGrid w:val="0"/>
                  <w:jc w:val="right"/>
                  <w:rPr>
                    <w:rFonts w:cs="Arial Unicode MS"/>
                    <w:sz w:val="22"/>
                    <w:szCs w:val="22"/>
                  </w:rPr>
                </w:pPr>
                <w:r w:rsidRPr="002B4CAC">
                  <w:rPr>
                    <w:rFonts w:cs="Arial Unicode MS"/>
                    <w:sz w:val="22"/>
                    <w:szCs w:val="22"/>
                  </w:rPr>
                  <w:t>833</w:t>
                </w:r>
                <w:r w:rsidRPr="002B4CAC">
                  <w:rPr>
                    <w:rFonts w:cs="Arial Unicode MS" w:hint="eastAsia"/>
                    <w:sz w:val="22"/>
                    <w:szCs w:val="22"/>
                  </w:rPr>
                  <w:t>,</w:t>
                </w:r>
                <w:r w:rsidRPr="002B4CAC">
                  <w:rPr>
                    <w:rFonts w:cs="Arial Unicode MS"/>
                    <w:sz w:val="22"/>
                    <w:szCs w:val="22"/>
                  </w:rPr>
                  <w:t>183</w:t>
                </w:r>
                <w:r w:rsidRPr="002B4CAC">
                  <w:rPr>
                    <w:rFonts w:cs="Arial Unicode MS" w:hint="eastAsia"/>
                    <w:sz w:val="22"/>
                    <w:szCs w:val="22"/>
                  </w:rPr>
                  <w:t>,</w:t>
                </w:r>
                <w:r w:rsidRPr="002B4CAC">
                  <w:rPr>
                    <w:rFonts w:cs="Arial Unicode MS"/>
                    <w:sz w:val="22"/>
                    <w:szCs w:val="22"/>
                  </w:rPr>
                  <w:t>835.84</w:t>
                </w:r>
              </w:p>
            </w:tc>
          </w:tr>
        </w:tbl>
        <w:p w14:paraId="64F3B933" w14:textId="77777777" w:rsidR="00471D53" w:rsidRDefault="004F686E">
          <w:pPr>
            <w:rPr>
              <w:szCs w:val="21"/>
            </w:rPr>
          </w:pPr>
          <w:r>
            <w:rPr>
              <w:rFonts w:hint="eastAsia"/>
              <w:szCs w:val="21"/>
            </w:rPr>
            <w:t>其他说明，包括本期增减变动情况、变动原因说明：</w:t>
          </w:r>
        </w:p>
        <w:p w14:paraId="7514B829" w14:textId="77777777" w:rsidR="00471D53" w:rsidRDefault="00B664AF">
          <w:pPr>
            <w:rPr>
              <w:szCs w:val="21"/>
            </w:rPr>
          </w:pPr>
          <w:sdt>
            <w:sdtPr>
              <w:rPr>
                <w:szCs w:val="21"/>
              </w:rPr>
              <w:alias w:val="资本公积说明"/>
              <w:tag w:val="_GBC_014f0762b4274266bec2aa5231aa0981"/>
              <w:id w:val="-1576889798"/>
              <w:lock w:val="sdtLocked"/>
              <w:placeholder>
                <w:docPart w:val="GBC22222222222222222222222222222"/>
              </w:placeholder>
            </w:sdtPr>
            <w:sdtEndPr/>
            <w:sdtContent>
              <w:r w:rsidR="004F686E">
                <w:rPr>
                  <w:rFonts w:hint="eastAsia"/>
                  <w:szCs w:val="21"/>
                </w:rPr>
                <w:t>无</w:t>
              </w:r>
            </w:sdtContent>
          </w:sdt>
        </w:p>
      </w:sdtContent>
    </w:sdt>
    <w:p w14:paraId="5D4C6572" w14:textId="77777777" w:rsidR="00471D53" w:rsidRDefault="00B664AF">
      <w:pPr>
        <w:rPr>
          <w:szCs w:val="21"/>
        </w:rPr>
      </w:pPr>
    </w:p>
    <w:sdt>
      <w:sdtPr>
        <w:rPr>
          <w:rFonts w:ascii="宋体" w:hAnsi="宋体" w:cs="宋体" w:hint="eastAsia"/>
          <w:b w:val="0"/>
          <w:bCs w:val="0"/>
          <w:kern w:val="0"/>
          <w:szCs w:val="21"/>
        </w:rPr>
        <w:alias w:val="模块:库存股"/>
        <w:tag w:val="_GBC_02198eb4b89045c5af2f3bcd240e18af"/>
        <w:id w:val="-1515609593"/>
        <w:lock w:val="sdtLocked"/>
        <w:placeholder>
          <w:docPart w:val="GBC22222222222222222222222222222"/>
        </w:placeholder>
      </w:sdtPr>
      <w:sdtEndPr>
        <w:rPr>
          <w:rFonts w:cstheme="minorBidi" w:hint="default"/>
          <w:color w:val="000000" w:themeColor="text1"/>
          <w:kern w:val="2"/>
        </w:rPr>
      </w:sdtEndPr>
      <w:sdtContent>
        <w:p w14:paraId="56DCA50C"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库存股</w:t>
          </w:r>
        </w:p>
        <w:sdt>
          <w:sdtPr>
            <w:alias w:val="是否适用：库存股[双击切换]"/>
            <w:tag w:val="_GBC_4aa47a6d9b1044aa8a049146d42c3e9c"/>
            <w:id w:val="-1867209850"/>
            <w:lock w:val="sdtLocked"/>
            <w:placeholder>
              <w:docPart w:val="GBC22222222222222222222222222222"/>
            </w:placeholder>
          </w:sdtPr>
          <w:sdtEndPr/>
          <w:sdtContent>
            <w:p w14:paraId="69B4A702"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7C32261" w14:textId="77777777" w:rsidR="00471D53" w:rsidRDefault="00B664AF">
          <w:pPr>
            <w:rPr>
              <w:b/>
              <w:szCs w:val="21"/>
            </w:rPr>
          </w:pPr>
        </w:p>
      </w:sdtContent>
    </w:sdt>
    <w:p w14:paraId="5CE89CD1" w14:textId="77777777" w:rsidR="00471D53" w:rsidRDefault="00B664AF">
      <w:pPr>
        <w:rPr>
          <w:szCs w:val="21"/>
        </w:rPr>
      </w:pPr>
    </w:p>
    <w:bookmarkStart w:id="211" w:name="_Hlk10537776" w:displacedByCustomXml="next"/>
    <w:sdt>
      <w:sdtPr>
        <w:rPr>
          <w:rFonts w:ascii="宋体" w:hAnsi="宋体" w:cs="宋体" w:hint="eastAsia"/>
          <w:b w:val="0"/>
          <w:bCs w:val="0"/>
          <w:kern w:val="0"/>
          <w:szCs w:val="21"/>
        </w:rPr>
        <w:alias w:val="模块:其他综合收益"/>
        <w:tag w:val="_GBC_de162f89125c4dc8abd2331e6cce7184"/>
        <w:id w:val="-827507978"/>
        <w:lock w:val="sdtLocked"/>
        <w:placeholder>
          <w:docPart w:val="GBC22222222222222222222222222222"/>
        </w:placeholder>
      </w:sdtPr>
      <w:sdtEndPr/>
      <w:sdtContent>
        <w:p w14:paraId="62D4D85D"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a53cc67f2be24dfbbe3af1b633d9bd6d"/>
            <w:id w:val="1400944911"/>
            <w:lock w:val="sdtLocked"/>
            <w:placeholder>
              <w:docPart w:val="GBC22222222222222222222222222222"/>
            </w:placeholder>
          </w:sdtPr>
          <w:sdtEndPr/>
          <w:sdtContent>
            <w:p w14:paraId="1A7D4AD8"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26F0CAA" w14:textId="07CE541F" w:rsidR="00471D53" w:rsidRDefault="004F686E">
          <w:pPr>
            <w:jc w:val="right"/>
            <w:rPr>
              <w:szCs w:val="21"/>
            </w:rPr>
          </w:pPr>
          <w:r>
            <w:rPr>
              <w:rFonts w:hint="eastAsia"/>
              <w:szCs w:val="21"/>
            </w:rPr>
            <w:t>单位：</w:t>
          </w:r>
          <w:sdt>
            <w:sdtPr>
              <w:rPr>
                <w:rFonts w:hint="eastAsia"/>
                <w:szCs w:val="21"/>
              </w:rPr>
              <w:alias w:val="单位：财务附注：其他综合收益情况"/>
              <w:tag w:val="_GBC_3fcad98da74248809a759048ca194814"/>
              <w:id w:val="-9327395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其他综合收益情况"/>
              <w:tag w:val="_GBC_3909f37aa0cc4eda82ff1503a6abe503"/>
              <w:id w:val="-3512627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875"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3"/>
            <w:gridCol w:w="1244"/>
            <w:gridCol w:w="1244"/>
            <w:gridCol w:w="829"/>
            <w:gridCol w:w="1107"/>
            <w:gridCol w:w="688"/>
            <w:gridCol w:w="1246"/>
            <w:gridCol w:w="1250"/>
            <w:gridCol w:w="1236"/>
          </w:tblGrid>
          <w:tr w:rsidR="00471D53" w14:paraId="7A4E2F44" w14:textId="77777777" w:rsidTr="00471D53">
            <w:trPr>
              <w:trHeight w:val="215"/>
            </w:trPr>
            <w:sdt>
              <w:sdtPr>
                <w:rPr>
                  <w:sz w:val="20"/>
                  <w:szCs w:val="20"/>
                </w:rPr>
                <w:tag w:val="_PLD_965475dfd86e41c29d1b9f1fdff70ee0"/>
                <w:id w:val="765427823"/>
                <w:lock w:val="sdtLocked"/>
              </w:sdtPr>
              <w:sdtEndPr/>
              <w:sdtContent>
                <w:tc>
                  <w:tcPr>
                    <w:tcW w:w="734" w:type="pct"/>
                    <w:vMerge w:val="restart"/>
                    <w:shd w:val="clear" w:color="auto" w:fill="auto"/>
                    <w:vAlign w:val="center"/>
                  </w:tcPr>
                  <w:p w14:paraId="2B72732F" w14:textId="77777777" w:rsidR="00471D53" w:rsidRPr="004B2220" w:rsidRDefault="004F686E">
                    <w:pPr>
                      <w:jc w:val="center"/>
                      <w:rPr>
                        <w:sz w:val="20"/>
                        <w:szCs w:val="20"/>
                      </w:rPr>
                    </w:pPr>
                    <w:r w:rsidRPr="004B2220">
                      <w:rPr>
                        <w:rFonts w:hint="eastAsia"/>
                        <w:sz w:val="20"/>
                        <w:szCs w:val="20"/>
                      </w:rPr>
                      <w:t>项目</w:t>
                    </w:r>
                  </w:p>
                </w:tc>
              </w:sdtContent>
            </w:sdt>
            <w:sdt>
              <w:sdtPr>
                <w:rPr>
                  <w:sz w:val="20"/>
                  <w:szCs w:val="20"/>
                </w:rPr>
                <w:tag w:val="_PLD_8a675a3cac5041d29cfb92203b87e9a6"/>
                <w:id w:val="-1875070677"/>
                <w:lock w:val="sdtLocked"/>
              </w:sdtPr>
              <w:sdtEndPr/>
              <w:sdtContent>
                <w:tc>
                  <w:tcPr>
                    <w:tcW w:w="600" w:type="pct"/>
                    <w:vMerge w:val="restart"/>
                    <w:shd w:val="clear" w:color="auto" w:fill="auto"/>
                    <w:vAlign w:val="center"/>
                  </w:tcPr>
                  <w:p w14:paraId="4B0F0180" w14:textId="77777777" w:rsidR="00471D53" w:rsidRPr="004B2220" w:rsidRDefault="004F686E">
                    <w:pPr>
                      <w:jc w:val="center"/>
                      <w:rPr>
                        <w:sz w:val="20"/>
                        <w:szCs w:val="20"/>
                      </w:rPr>
                    </w:pPr>
                    <w:r w:rsidRPr="004B2220">
                      <w:rPr>
                        <w:rFonts w:hint="eastAsia"/>
                        <w:sz w:val="20"/>
                        <w:szCs w:val="20"/>
                      </w:rPr>
                      <w:t>期初</w:t>
                    </w:r>
                  </w:p>
                  <w:p w14:paraId="19B96245" w14:textId="77777777" w:rsidR="00471D53" w:rsidRPr="004B2220" w:rsidRDefault="004F686E">
                    <w:pPr>
                      <w:jc w:val="center"/>
                      <w:rPr>
                        <w:sz w:val="20"/>
                        <w:szCs w:val="20"/>
                      </w:rPr>
                    </w:pPr>
                    <w:r w:rsidRPr="004B2220">
                      <w:rPr>
                        <w:rFonts w:hint="eastAsia"/>
                        <w:sz w:val="20"/>
                        <w:szCs w:val="20"/>
                      </w:rPr>
                      <w:lastRenderedPageBreak/>
                      <w:t>余额</w:t>
                    </w:r>
                  </w:p>
                </w:tc>
              </w:sdtContent>
            </w:sdt>
            <w:sdt>
              <w:sdtPr>
                <w:rPr>
                  <w:sz w:val="20"/>
                  <w:szCs w:val="20"/>
                </w:rPr>
                <w:tag w:val="_PLD_5ff455f3c2164019b5e694c1e00e4104"/>
                <w:id w:val="707842124"/>
                <w:lock w:val="sdtLocked"/>
              </w:sdtPr>
              <w:sdtEndPr/>
              <w:sdtContent>
                <w:tc>
                  <w:tcPr>
                    <w:tcW w:w="3070" w:type="pct"/>
                    <w:gridSpan w:val="6"/>
                    <w:shd w:val="clear" w:color="auto" w:fill="auto"/>
                    <w:vAlign w:val="center"/>
                  </w:tcPr>
                  <w:p w14:paraId="417455FC" w14:textId="77777777" w:rsidR="00471D53" w:rsidRPr="004B2220" w:rsidRDefault="004F686E">
                    <w:pPr>
                      <w:jc w:val="center"/>
                      <w:rPr>
                        <w:sz w:val="20"/>
                        <w:szCs w:val="20"/>
                      </w:rPr>
                    </w:pPr>
                    <w:r w:rsidRPr="004B2220">
                      <w:rPr>
                        <w:rFonts w:hint="eastAsia"/>
                        <w:sz w:val="20"/>
                        <w:szCs w:val="20"/>
                      </w:rPr>
                      <w:t>本期发生金额</w:t>
                    </w:r>
                  </w:p>
                </w:tc>
              </w:sdtContent>
            </w:sdt>
            <w:sdt>
              <w:sdtPr>
                <w:rPr>
                  <w:sz w:val="20"/>
                  <w:szCs w:val="20"/>
                </w:rPr>
                <w:tag w:val="_PLD_e74e1b8e6f7d453b8d88ebfc65c302f4"/>
                <w:id w:val="1847900743"/>
                <w:lock w:val="sdtLocked"/>
              </w:sdtPr>
              <w:sdtEndPr/>
              <w:sdtContent>
                <w:tc>
                  <w:tcPr>
                    <w:tcW w:w="597" w:type="pct"/>
                    <w:vMerge w:val="restart"/>
                    <w:shd w:val="clear" w:color="auto" w:fill="auto"/>
                    <w:vAlign w:val="center"/>
                  </w:tcPr>
                  <w:p w14:paraId="1524D769" w14:textId="77777777" w:rsidR="00471D53" w:rsidRPr="004B2220" w:rsidRDefault="004F686E">
                    <w:pPr>
                      <w:jc w:val="center"/>
                      <w:rPr>
                        <w:sz w:val="20"/>
                        <w:szCs w:val="20"/>
                      </w:rPr>
                    </w:pPr>
                    <w:r w:rsidRPr="004B2220">
                      <w:rPr>
                        <w:rFonts w:hint="eastAsia"/>
                        <w:sz w:val="20"/>
                        <w:szCs w:val="20"/>
                      </w:rPr>
                      <w:t>期末</w:t>
                    </w:r>
                  </w:p>
                  <w:p w14:paraId="4168A4B2" w14:textId="77777777" w:rsidR="00471D53" w:rsidRPr="004B2220" w:rsidRDefault="004F686E">
                    <w:pPr>
                      <w:jc w:val="center"/>
                      <w:rPr>
                        <w:sz w:val="20"/>
                        <w:szCs w:val="20"/>
                      </w:rPr>
                    </w:pPr>
                    <w:r w:rsidRPr="004B2220">
                      <w:rPr>
                        <w:rFonts w:hint="eastAsia"/>
                        <w:sz w:val="20"/>
                        <w:szCs w:val="20"/>
                      </w:rPr>
                      <w:lastRenderedPageBreak/>
                      <w:t>余额</w:t>
                    </w:r>
                  </w:p>
                </w:tc>
              </w:sdtContent>
            </w:sdt>
          </w:tr>
          <w:tr w:rsidR="00471D53" w14:paraId="46568A97" w14:textId="77777777" w:rsidTr="00471D53">
            <w:tc>
              <w:tcPr>
                <w:tcW w:w="734" w:type="pct"/>
                <w:vMerge/>
                <w:shd w:val="clear" w:color="auto" w:fill="auto"/>
              </w:tcPr>
              <w:p w14:paraId="247837EB" w14:textId="77777777" w:rsidR="00471D53" w:rsidRPr="004B2220" w:rsidRDefault="00B664AF">
                <w:pPr>
                  <w:jc w:val="center"/>
                  <w:rPr>
                    <w:sz w:val="20"/>
                    <w:szCs w:val="20"/>
                  </w:rPr>
                </w:pPr>
              </w:p>
            </w:tc>
            <w:tc>
              <w:tcPr>
                <w:tcW w:w="600" w:type="pct"/>
                <w:vMerge/>
                <w:shd w:val="clear" w:color="auto" w:fill="auto"/>
              </w:tcPr>
              <w:p w14:paraId="330601B9" w14:textId="77777777" w:rsidR="00471D53" w:rsidRPr="004B2220" w:rsidRDefault="00B664AF">
                <w:pPr>
                  <w:jc w:val="center"/>
                  <w:rPr>
                    <w:sz w:val="20"/>
                    <w:szCs w:val="20"/>
                  </w:rPr>
                </w:pPr>
              </w:p>
            </w:tc>
            <w:sdt>
              <w:sdtPr>
                <w:rPr>
                  <w:sz w:val="20"/>
                  <w:szCs w:val="20"/>
                </w:rPr>
                <w:tag w:val="_PLD_17c016c4311444368218ab16d2bc7a4c"/>
                <w:id w:val="-1911604432"/>
                <w:lock w:val="sdtLocked"/>
              </w:sdtPr>
              <w:sdtEndPr/>
              <w:sdtContent>
                <w:tc>
                  <w:tcPr>
                    <w:tcW w:w="600" w:type="pct"/>
                    <w:shd w:val="clear" w:color="auto" w:fill="auto"/>
                    <w:vAlign w:val="center"/>
                  </w:tcPr>
                  <w:p w14:paraId="087CD766" w14:textId="77777777" w:rsidR="00471D53" w:rsidRPr="004B2220" w:rsidRDefault="004F686E">
                    <w:pPr>
                      <w:jc w:val="center"/>
                      <w:rPr>
                        <w:sz w:val="20"/>
                        <w:szCs w:val="20"/>
                      </w:rPr>
                    </w:pPr>
                    <w:r w:rsidRPr="004B2220">
                      <w:rPr>
                        <w:rFonts w:hint="eastAsia"/>
                        <w:sz w:val="20"/>
                        <w:szCs w:val="20"/>
                      </w:rPr>
                      <w:t>本期所得税前发生额</w:t>
                    </w:r>
                  </w:p>
                </w:tc>
              </w:sdtContent>
            </w:sdt>
            <w:sdt>
              <w:sdtPr>
                <w:rPr>
                  <w:sz w:val="20"/>
                  <w:szCs w:val="20"/>
                </w:rPr>
                <w:tag w:val="_PLD_8f95da21a802457ea1d7d10d5c90efb0"/>
                <w:id w:val="-356129269"/>
                <w:lock w:val="sdtLocked"/>
              </w:sdtPr>
              <w:sdtEndPr/>
              <w:sdtContent>
                <w:tc>
                  <w:tcPr>
                    <w:tcW w:w="400" w:type="pct"/>
                    <w:shd w:val="clear" w:color="auto" w:fill="auto"/>
                    <w:vAlign w:val="center"/>
                  </w:tcPr>
                  <w:p w14:paraId="48F83920" w14:textId="77777777" w:rsidR="00471D53" w:rsidRPr="004B2220" w:rsidRDefault="004F686E">
                    <w:pPr>
                      <w:jc w:val="center"/>
                      <w:rPr>
                        <w:sz w:val="20"/>
                        <w:szCs w:val="20"/>
                      </w:rPr>
                    </w:pPr>
                    <w:r w:rsidRPr="004B2220">
                      <w:rPr>
                        <w:rFonts w:hint="eastAsia"/>
                        <w:sz w:val="20"/>
                        <w:szCs w:val="20"/>
                      </w:rPr>
                      <w:t>减：前期计入其他综合收益当期转入损益</w:t>
                    </w:r>
                  </w:p>
                </w:tc>
              </w:sdtContent>
            </w:sdt>
            <w:tc>
              <w:tcPr>
                <w:tcW w:w="534" w:type="pct"/>
              </w:tcPr>
              <w:sdt>
                <w:sdtPr>
                  <w:rPr>
                    <w:rFonts w:hint="eastAsia"/>
                    <w:sz w:val="20"/>
                    <w:szCs w:val="20"/>
                  </w:rPr>
                  <w:tag w:val="_PLD_7f99e647a5874f909c48e6c0bbc8d50a"/>
                  <w:id w:val="-1884628869"/>
                  <w:lock w:val="sdtLocked"/>
                </w:sdtPr>
                <w:sdtEndPr/>
                <w:sdtContent>
                  <w:p w14:paraId="1BA146AE" w14:textId="77777777" w:rsidR="00471D53" w:rsidRPr="004B2220" w:rsidRDefault="004F686E">
                    <w:pPr>
                      <w:jc w:val="center"/>
                      <w:rPr>
                        <w:sz w:val="20"/>
                        <w:szCs w:val="20"/>
                      </w:rPr>
                    </w:pPr>
                    <w:r w:rsidRPr="004B2220">
                      <w:rPr>
                        <w:rFonts w:hint="eastAsia"/>
                        <w:sz w:val="20"/>
                        <w:szCs w:val="20"/>
                      </w:rPr>
                      <w:t>减：前期计入其他综合收益当期转入留存收益</w:t>
                    </w:r>
                  </w:p>
                </w:sdtContent>
              </w:sdt>
            </w:tc>
            <w:sdt>
              <w:sdtPr>
                <w:rPr>
                  <w:sz w:val="20"/>
                  <w:szCs w:val="20"/>
                </w:rPr>
                <w:tag w:val="_PLD_6ee499a1144a462687fb064cc4588343"/>
                <w:id w:val="1073007739"/>
                <w:lock w:val="sdtLocked"/>
              </w:sdtPr>
              <w:sdtEndPr/>
              <w:sdtContent>
                <w:tc>
                  <w:tcPr>
                    <w:tcW w:w="332" w:type="pct"/>
                    <w:shd w:val="clear" w:color="auto" w:fill="auto"/>
                    <w:vAlign w:val="center"/>
                  </w:tcPr>
                  <w:p w14:paraId="74FD3253" w14:textId="77777777" w:rsidR="00471D53" w:rsidRPr="004B2220" w:rsidRDefault="004F686E">
                    <w:pPr>
                      <w:jc w:val="center"/>
                      <w:rPr>
                        <w:sz w:val="20"/>
                        <w:szCs w:val="20"/>
                      </w:rPr>
                    </w:pPr>
                    <w:r w:rsidRPr="004B2220">
                      <w:rPr>
                        <w:rFonts w:hint="eastAsia"/>
                        <w:sz w:val="20"/>
                        <w:szCs w:val="20"/>
                      </w:rPr>
                      <w:t>减：所得税费用</w:t>
                    </w:r>
                  </w:p>
                </w:tc>
              </w:sdtContent>
            </w:sdt>
            <w:sdt>
              <w:sdtPr>
                <w:rPr>
                  <w:sz w:val="20"/>
                  <w:szCs w:val="20"/>
                </w:rPr>
                <w:tag w:val="_PLD_97d686c5a0f042d49d097afc52b9ab56"/>
                <w:id w:val="83736012"/>
                <w:lock w:val="sdtLocked"/>
              </w:sdtPr>
              <w:sdtEndPr/>
              <w:sdtContent>
                <w:tc>
                  <w:tcPr>
                    <w:tcW w:w="601" w:type="pct"/>
                    <w:shd w:val="clear" w:color="auto" w:fill="auto"/>
                    <w:vAlign w:val="center"/>
                  </w:tcPr>
                  <w:p w14:paraId="616A6479" w14:textId="77777777" w:rsidR="00471D53" w:rsidRPr="004B2220" w:rsidRDefault="004F686E">
                    <w:pPr>
                      <w:jc w:val="center"/>
                      <w:rPr>
                        <w:sz w:val="20"/>
                        <w:szCs w:val="20"/>
                      </w:rPr>
                    </w:pPr>
                    <w:r w:rsidRPr="004B2220">
                      <w:rPr>
                        <w:rFonts w:hint="eastAsia"/>
                        <w:sz w:val="20"/>
                        <w:szCs w:val="20"/>
                      </w:rPr>
                      <w:t>税后归属于母公司</w:t>
                    </w:r>
                  </w:p>
                </w:tc>
              </w:sdtContent>
            </w:sdt>
            <w:sdt>
              <w:sdtPr>
                <w:rPr>
                  <w:sz w:val="20"/>
                  <w:szCs w:val="20"/>
                </w:rPr>
                <w:tag w:val="_PLD_dc8c642f883f4ca1b1bbacf56198209b"/>
                <w:id w:val="-1299535272"/>
                <w:lock w:val="sdtLocked"/>
              </w:sdtPr>
              <w:sdtEndPr/>
              <w:sdtContent>
                <w:tc>
                  <w:tcPr>
                    <w:tcW w:w="603" w:type="pct"/>
                    <w:shd w:val="clear" w:color="auto" w:fill="auto"/>
                    <w:vAlign w:val="center"/>
                  </w:tcPr>
                  <w:p w14:paraId="4544AF6D" w14:textId="77777777" w:rsidR="00471D53" w:rsidRPr="004B2220" w:rsidRDefault="004F686E">
                    <w:pPr>
                      <w:jc w:val="center"/>
                      <w:rPr>
                        <w:sz w:val="20"/>
                        <w:szCs w:val="20"/>
                      </w:rPr>
                    </w:pPr>
                    <w:r w:rsidRPr="004B2220">
                      <w:rPr>
                        <w:rFonts w:hint="eastAsia"/>
                        <w:sz w:val="20"/>
                        <w:szCs w:val="20"/>
                      </w:rPr>
                      <w:t>税后归属于少数股东</w:t>
                    </w:r>
                  </w:p>
                </w:tc>
              </w:sdtContent>
            </w:sdt>
            <w:tc>
              <w:tcPr>
                <w:tcW w:w="597" w:type="pct"/>
                <w:vMerge/>
                <w:shd w:val="clear" w:color="auto" w:fill="auto"/>
              </w:tcPr>
              <w:p w14:paraId="0FF85EB9" w14:textId="77777777" w:rsidR="00471D53" w:rsidRPr="004B2220" w:rsidRDefault="00B664AF">
                <w:pPr>
                  <w:jc w:val="center"/>
                  <w:rPr>
                    <w:sz w:val="20"/>
                    <w:szCs w:val="20"/>
                  </w:rPr>
                </w:pPr>
              </w:p>
            </w:tc>
          </w:tr>
          <w:tr w:rsidR="00471D53" w14:paraId="1299452F" w14:textId="77777777" w:rsidTr="00471D53">
            <w:sdt>
              <w:sdtPr>
                <w:rPr>
                  <w:sz w:val="20"/>
                  <w:szCs w:val="20"/>
                </w:rPr>
                <w:tag w:val="_PLD_3f00f48c9230468fa9ebc3f871b6cb34"/>
                <w:id w:val="1225951639"/>
                <w:lock w:val="sdtLocked"/>
              </w:sdtPr>
              <w:sdtEndPr/>
              <w:sdtContent>
                <w:tc>
                  <w:tcPr>
                    <w:tcW w:w="734" w:type="pct"/>
                    <w:shd w:val="clear" w:color="auto" w:fill="auto"/>
                    <w:vAlign w:val="center"/>
                  </w:tcPr>
                  <w:p w14:paraId="010FA338" w14:textId="77777777" w:rsidR="00471D53" w:rsidRPr="004B2220" w:rsidRDefault="004F686E">
                    <w:pPr>
                      <w:rPr>
                        <w:sz w:val="20"/>
                        <w:szCs w:val="20"/>
                      </w:rPr>
                    </w:pPr>
                    <w:r w:rsidRPr="004B2220">
                      <w:rPr>
                        <w:rFonts w:hint="eastAsia"/>
                        <w:sz w:val="20"/>
                        <w:szCs w:val="20"/>
                      </w:rPr>
                      <w:t>一、不能重分类进损益的其他综合收益</w:t>
                    </w:r>
                  </w:p>
                </w:tc>
              </w:sdtContent>
            </w:sdt>
            <w:tc>
              <w:tcPr>
                <w:tcW w:w="600" w:type="pct"/>
                <w:shd w:val="clear" w:color="auto" w:fill="auto"/>
                <w:vAlign w:val="center"/>
              </w:tcPr>
              <w:p w14:paraId="2B8BA82F" w14:textId="77777777" w:rsidR="00471D53" w:rsidRPr="004B2220" w:rsidRDefault="004F686E" w:rsidP="00471D53">
                <w:pPr>
                  <w:jc w:val="right"/>
                  <w:rPr>
                    <w:sz w:val="18"/>
                    <w:szCs w:val="18"/>
                  </w:rPr>
                </w:pPr>
                <w:r w:rsidRPr="004B2220">
                  <w:rPr>
                    <w:rFonts w:hint="eastAsia"/>
                    <w:sz w:val="18"/>
                    <w:szCs w:val="18"/>
                  </w:rPr>
                  <w:t>160,000.00</w:t>
                </w:r>
              </w:p>
            </w:tc>
            <w:tc>
              <w:tcPr>
                <w:tcW w:w="600" w:type="pct"/>
                <w:shd w:val="clear" w:color="auto" w:fill="auto"/>
              </w:tcPr>
              <w:p w14:paraId="27BFD756" w14:textId="77777777" w:rsidR="00471D53" w:rsidRPr="004B2220" w:rsidRDefault="00B664AF">
                <w:pPr>
                  <w:jc w:val="right"/>
                  <w:rPr>
                    <w:sz w:val="18"/>
                    <w:szCs w:val="18"/>
                  </w:rPr>
                </w:pPr>
              </w:p>
            </w:tc>
            <w:tc>
              <w:tcPr>
                <w:tcW w:w="400" w:type="pct"/>
                <w:shd w:val="clear" w:color="auto" w:fill="auto"/>
              </w:tcPr>
              <w:p w14:paraId="05B4C3EE" w14:textId="77777777" w:rsidR="00471D53" w:rsidRPr="004B2220" w:rsidRDefault="00B664AF">
                <w:pPr>
                  <w:jc w:val="right"/>
                  <w:rPr>
                    <w:sz w:val="18"/>
                    <w:szCs w:val="18"/>
                  </w:rPr>
                </w:pPr>
              </w:p>
            </w:tc>
            <w:tc>
              <w:tcPr>
                <w:tcW w:w="534" w:type="pct"/>
              </w:tcPr>
              <w:p w14:paraId="02CD3218" w14:textId="77777777" w:rsidR="00471D53" w:rsidRPr="004B2220" w:rsidRDefault="00B664AF">
                <w:pPr>
                  <w:jc w:val="right"/>
                  <w:rPr>
                    <w:sz w:val="18"/>
                    <w:szCs w:val="18"/>
                  </w:rPr>
                </w:pPr>
              </w:p>
            </w:tc>
            <w:tc>
              <w:tcPr>
                <w:tcW w:w="332" w:type="pct"/>
                <w:shd w:val="clear" w:color="auto" w:fill="auto"/>
              </w:tcPr>
              <w:p w14:paraId="150771C7" w14:textId="77777777" w:rsidR="00471D53" w:rsidRPr="004B2220" w:rsidRDefault="00B664AF">
                <w:pPr>
                  <w:jc w:val="right"/>
                  <w:rPr>
                    <w:sz w:val="18"/>
                    <w:szCs w:val="18"/>
                  </w:rPr>
                </w:pPr>
              </w:p>
            </w:tc>
            <w:tc>
              <w:tcPr>
                <w:tcW w:w="601" w:type="pct"/>
                <w:shd w:val="clear" w:color="auto" w:fill="auto"/>
              </w:tcPr>
              <w:p w14:paraId="59A49578" w14:textId="77777777" w:rsidR="00471D53" w:rsidRPr="004B2220" w:rsidRDefault="00B664AF">
                <w:pPr>
                  <w:jc w:val="right"/>
                  <w:rPr>
                    <w:sz w:val="18"/>
                    <w:szCs w:val="18"/>
                  </w:rPr>
                </w:pPr>
              </w:p>
            </w:tc>
            <w:tc>
              <w:tcPr>
                <w:tcW w:w="603" w:type="pct"/>
                <w:shd w:val="clear" w:color="auto" w:fill="auto"/>
              </w:tcPr>
              <w:p w14:paraId="1A06F397" w14:textId="77777777" w:rsidR="00471D53" w:rsidRPr="004B2220" w:rsidRDefault="00B664AF">
                <w:pPr>
                  <w:jc w:val="right"/>
                  <w:rPr>
                    <w:sz w:val="18"/>
                    <w:szCs w:val="18"/>
                  </w:rPr>
                </w:pPr>
              </w:p>
            </w:tc>
            <w:tc>
              <w:tcPr>
                <w:tcW w:w="597" w:type="pct"/>
                <w:shd w:val="clear" w:color="auto" w:fill="auto"/>
                <w:vAlign w:val="center"/>
              </w:tcPr>
              <w:p w14:paraId="17BB96EA" w14:textId="77777777" w:rsidR="00471D53" w:rsidRPr="004B2220" w:rsidRDefault="004F686E" w:rsidP="00471D53">
                <w:pPr>
                  <w:jc w:val="right"/>
                  <w:rPr>
                    <w:sz w:val="18"/>
                    <w:szCs w:val="18"/>
                  </w:rPr>
                </w:pPr>
                <w:r w:rsidRPr="004B2220">
                  <w:rPr>
                    <w:rFonts w:hint="eastAsia"/>
                    <w:sz w:val="18"/>
                    <w:szCs w:val="18"/>
                  </w:rPr>
                  <w:t>160,000.00</w:t>
                </w:r>
              </w:p>
            </w:tc>
          </w:tr>
          <w:tr w:rsidR="00471D53" w14:paraId="5C58B521" w14:textId="77777777" w:rsidTr="00471D53">
            <w:sdt>
              <w:sdtPr>
                <w:rPr>
                  <w:sz w:val="20"/>
                  <w:szCs w:val="20"/>
                </w:rPr>
                <w:tag w:val="_PLD_aad1fbfb983445dfa58a193c37b83e24"/>
                <w:id w:val="-867751946"/>
                <w:lock w:val="sdtLocked"/>
              </w:sdtPr>
              <w:sdtEndPr/>
              <w:sdtContent>
                <w:tc>
                  <w:tcPr>
                    <w:tcW w:w="734" w:type="pct"/>
                    <w:shd w:val="clear" w:color="auto" w:fill="auto"/>
                    <w:vAlign w:val="center"/>
                  </w:tcPr>
                  <w:p w14:paraId="1CFFDC11" w14:textId="77777777" w:rsidR="00471D53" w:rsidRPr="004B2220" w:rsidRDefault="004F686E">
                    <w:pPr>
                      <w:rPr>
                        <w:sz w:val="20"/>
                        <w:szCs w:val="20"/>
                      </w:rPr>
                    </w:pPr>
                    <w:r w:rsidRPr="004B2220">
                      <w:rPr>
                        <w:rFonts w:hint="eastAsia"/>
                        <w:sz w:val="20"/>
                        <w:szCs w:val="20"/>
                      </w:rPr>
                      <w:t>其中：重新计量设定受益计划变动额</w:t>
                    </w:r>
                  </w:p>
                </w:tc>
              </w:sdtContent>
            </w:sdt>
            <w:tc>
              <w:tcPr>
                <w:tcW w:w="600" w:type="pct"/>
                <w:shd w:val="clear" w:color="auto" w:fill="auto"/>
                <w:vAlign w:val="center"/>
              </w:tcPr>
              <w:p w14:paraId="1551C338" w14:textId="77777777" w:rsidR="00471D53" w:rsidRPr="004B2220" w:rsidRDefault="004F686E" w:rsidP="00471D53">
                <w:pPr>
                  <w:jc w:val="right"/>
                  <w:rPr>
                    <w:sz w:val="18"/>
                    <w:szCs w:val="18"/>
                  </w:rPr>
                </w:pPr>
                <w:r w:rsidRPr="004B2220">
                  <w:rPr>
                    <w:rFonts w:hint="eastAsia"/>
                    <w:sz w:val="18"/>
                    <w:szCs w:val="18"/>
                  </w:rPr>
                  <w:t>160,000.00</w:t>
                </w:r>
              </w:p>
            </w:tc>
            <w:tc>
              <w:tcPr>
                <w:tcW w:w="600" w:type="pct"/>
                <w:shd w:val="clear" w:color="auto" w:fill="auto"/>
              </w:tcPr>
              <w:p w14:paraId="7CBAFA6F" w14:textId="77777777" w:rsidR="00471D53" w:rsidRPr="004B2220" w:rsidRDefault="00B664AF">
                <w:pPr>
                  <w:jc w:val="right"/>
                  <w:rPr>
                    <w:sz w:val="18"/>
                    <w:szCs w:val="18"/>
                  </w:rPr>
                </w:pPr>
              </w:p>
            </w:tc>
            <w:tc>
              <w:tcPr>
                <w:tcW w:w="400" w:type="pct"/>
                <w:shd w:val="clear" w:color="auto" w:fill="auto"/>
              </w:tcPr>
              <w:p w14:paraId="2C2662EB" w14:textId="77777777" w:rsidR="00471D53" w:rsidRPr="004B2220" w:rsidRDefault="00B664AF">
                <w:pPr>
                  <w:jc w:val="right"/>
                  <w:rPr>
                    <w:sz w:val="18"/>
                    <w:szCs w:val="18"/>
                  </w:rPr>
                </w:pPr>
              </w:p>
            </w:tc>
            <w:tc>
              <w:tcPr>
                <w:tcW w:w="534" w:type="pct"/>
              </w:tcPr>
              <w:p w14:paraId="57ADAF1B" w14:textId="77777777" w:rsidR="00471D53" w:rsidRPr="004B2220" w:rsidRDefault="00B664AF">
                <w:pPr>
                  <w:jc w:val="right"/>
                  <w:rPr>
                    <w:sz w:val="18"/>
                    <w:szCs w:val="18"/>
                  </w:rPr>
                </w:pPr>
              </w:p>
            </w:tc>
            <w:tc>
              <w:tcPr>
                <w:tcW w:w="332" w:type="pct"/>
                <w:shd w:val="clear" w:color="auto" w:fill="auto"/>
              </w:tcPr>
              <w:p w14:paraId="3D238191" w14:textId="77777777" w:rsidR="00471D53" w:rsidRPr="004B2220" w:rsidRDefault="00B664AF">
                <w:pPr>
                  <w:jc w:val="right"/>
                  <w:rPr>
                    <w:sz w:val="18"/>
                    <w:szCs w:val="18"/>
                  </w:rPr>
                </w:pPr>
              </w:p>
            </w:tc>
            <w:tc>
              <w:tcPr>
                <w:tcW w:w="601" w:type="pct"/>
                <w:shd w:val="clear" w:color="auto" w:fill="auto"/>
              </w:tcPr>
              <w:p w14:paraId="162E5A97" w14:textId="77777777" w:rsidR="00471D53" w:rsidRPr="004B2220" w:rsidRDefault="00B664AF">
                <w:pPr>
                  <w:jc w:val="right"/>
                  <w:rPr>
                    <w:sz w:val="18"/>
                    <w:szCs w:val="18"/>
                  </w:rPr>
                </w:pPr>
              </w:p>
            </w:tc>
            <w:tc>
              <w:tcPr>
                <w:tcW w:w="603" w:type="pct"/>
                <w:shd w:val="clear" w:color="auto" w:fill="auto"/>
              </w:tcPr>
              <w:p w14:paraId="0B560E34" w14:textId="77777777" w:rsidR="00471D53" w:rsidRPr="004B2220" w:rsidRDefault="00B664AF">
                <w:pPr>
                  <w:jc w:val="right"/>
                  <w:rPr>
                    <w:sz w:val="18"/>
                    <w:szCs w:val="18"/>
                  </w:rPr>
                </w:pPr>
              </w:p>
            </w:tc>
            <w:tc>
              <w:tcPr>
                <w:tcW w:w="597" w:type="pct"/>
                <w:shd w:val="clear" w:color="auto" w:fill="auto"/>
                <w:vAlign w:val="center"/>
              </w:tcPr>
              <w:p w14:paraId="7F6B8EF8" w14:textId="77777777" w:rsidR="00471D53" w:rsidRPr="004B2220" w:rsidRDefault="004F686E" w:rsidP="00471D53">
                <w:pPr>
                  <w:jc w:val="right"/>
                  <w:rPr>
                    <w:sz w:val="18"/>
                    <w:szCs w:val="18"/>
                  </w:rPr>
                </w:pPr>
                <w:r w:rsidRPr="004B2220">
                  <w:rPr>
                    <w:rFonts w:hint="eastAsia"/>
                    <w:sz w:val="18"/>
                    <w:szCs w:val="18"/>
                  </w:rPr>
                  <w:t>160,000.00</w:t>
                </w:r>
              </w:p>
            </w:tc>
          </w:tr>
          <w:tr w:rsidR="00471D53" w14:paraId="424E59E7" w14:textId="77777777" w:rsidTr="00471D53">
            <w:sdt>
              <w:sdtPr>
                <w:rPr>
                  <w:sz w:val="20"/>
                  <w:szCs w:val="20"/>
                </w:rPr>
                <w:tag w:val="_PLD_00edb91bbb194fa5b7655c196b9adc24"/>
                <w:id w:val="1312672385"/>
                <w:lock w:val="sdtLocked"/>
              </w:sdtPr>
              <w:sdtEndPr/>
              <w:sdtContent>
                <w:tc>
                  <w:tcPr>
                    <w:tcW w:w="734" w:type="pct"/>
                    <w:shd w:val="clear" w:color="auto" w:fill="auto"/>
                    <w:vAlign w:val="center"/>
                  </w:tcPr>
                  <w:p w14:paraId="5229A8B3" w14:textId="242294FD" w:rsidR="00471D53" w:rsidRPr="004B2220" w:rsidRDefault="004F686E">
                    <w:pPr>
                      <w:rPr>
                        <w:sz w:val="20"/>
                        <w:szCs w:val="20"/>
                      </w:rPr>
                    </w:pPr>
                    <w:r w:rsidRPr="004B2220">
                      <w:rPr>
                        <w:rFonts w:hint="eastAsia"/>
                        <w:sz w:val="20"/>
                        <w:szCs w:val="20"/>
                      </w:rPr>
                      <w:t>权益法下不能转损益的其他综合收益</w:t>
                    </w:r>
                  </w:p>
                </w:tc>
              </w:sdtContent>
            </w:sdt>
            <w:tc>
              <w:tcPr>
                <w:tcW w:w="600" w:type="pct"/>
                <w:shd w:val="clear" w:color="auto" w:fill="auto"/>
              </w:tcPr>
              <w:p w14:paraId="34A3272C" w14:textId="77777777" w:rsidR="00471D53" w:rsidRPr="004B2220" w:rsidRDefault="00B664AF">
                <w:pPr>
                  <w:jc w:val="right"/>
                  <w:rPr>
                    <w:sz w:val="18"/>
                    <w:szCs w:val="18"/>
                  </w:rPr>
                </w:pPr>
              </w:p>
            </w:tc>
            <w:tc>
              <w:tcPr>
                <w:tcW w:w="600" w:type="pct"/>
                <w:shd w:val="clear" w:color="auto" w:fill="auto"/>
              </w:tcPr>
              <w:p w14:paraId="7222890A" w14:textId="77777777" w:rsidR="00471D53" w:rsidRPr="004B2220" w:rsidRDefault="00B664AF">
                <w:pPr>
                  <w:jc w:val="right"/>
                  <w:rPr>
                    <w:sz w:val="18"/>
                    <w:szCs w:val="18"/>
                  </w:rPr>
                </w:pPr>
              </w:p>
            </w:tc>
            <w:tc>
              <w:tcPr>
                <w:tcW w:w="400" w:type="pct"/>
                <w:shd w:val="clear" w:color="auto" w:fill="auto"/>
              </w:tcPr>
              <w:p w14:paraId="31F03E78" w14:textId="77777777" w:rsidR="00471D53" w:rsidRPr="004B2220" w:rsidRDefault="00B664AF">
                <w:pPr>
                  <w:jc w:val="right"/>
                  <w:rPr>
                    <w:sz w:val="18"/>
                    <w:szCs w:val="18"/>
                  </w:rPr>
                </w:pPr>
              </w:p>
            </w:tc>
            <w:tc>
              <w:tcPr>
                <w:tcW w:w="534" w:type="pct"/>
              </w:tcPr>
              <w:p w14:paraId="6899428E" w14:textId="77777777" w:rsidR="00471D53" w:rsidRPr="004B2220" w:rsidRDefault="00B664AF">
                <w:pPr>
                  <w:jc w:val="right"/>
                  <w:rPr>
                    <w:sz w:val="18"/>
                    <w:szCs w:val="18"/>
                  </w:rPr>
                </w:pPr>
              </w:p>
            </w:tc>
            <w:tc>
              <w:tcPr>
                <w:tcW w:w="332" w:type="pct"/>
                <w:shd w:val="clear" w:color="auto" w:fill="auto"/>
              </w:tcPr>
              <w:p w14:paraId="5A9B2DEE" w14:textId="77777777" w:rsidR="00471D53" w:rsidRPr="004B2220" w:rsidRDefault="00B664AF">
                <w:pPr>
                  <w:jc w:val="right"/>
                  <w:rPr>
                    <w:sz w:val="18"/>
                    <w:szCs w:val="18"/>
                  </w:rPr>
                </w:pPr>
              </w:p>
            </w:tc>
            <w:tc>
              <w:tcPr>
                <w:tcW w:w="601" w:type="pct"/>
                <w:shd w:val="clear" w:color="auto" w:fill="auto"/>
              </w:tcPr>
              <w:p w14:paraId="0E3DF654" w14:textId="77777777" w:rsidR="00471D53" w:rsidRPr="004B2220" w:rsidRDefault="00B664AF">
                <w:pPr>
                  <w:jc w:val="right"/>
                  <w:rPr>
                    <w:sz w:val="18"/>
                    <w:szCs w:val="18"/>
                  </w:rPr>
                </w:pPr>
              </w:p>
            </w:tc>
            <w:tc>
              <w:tcPr>
                <w:tcW w:w="603" w:type="pct"/>
                <w:shd w:val="clear" w:color="auto" w:fill="auto"/>
              </w:tcPr>
              <w:p w14:paraId="7A1FB972" w14:textId="77777777" w:rsidR="00471D53" w:rsidRPr="004B2220" w:rsidRDefault="00B664AF">
                <w:pPr>
                  <w:jc w:val="right"/>
                  <w:rPr>
                    <w:sz w:val="18"/>
                    <w:szCs w:val="18"/>
                  </w:rPr>
                </w:pPr>
              </w:p>
            </w:tc>
            <w:tc>
              <w:tcPr>
                <w:tcW w:w="597" w:type="pct"/>
                <w:shd w:val="clear" w:color="auto" w:fill="auto"/>
              </w:tcPr>
              <w:p w14:paraId="2E1A4ED0" w14:textId="77777777" w:rsidR="00471D53" w:rsidRPr="004B2220" w:rsidRDefault="00B664AF">
                <w:pPr>
                  <w:jc w:val="right"/>
                  <w:rPr>
                    <w:sz w:val="18"/>
                    <w:szCs w:val="18"/>
                  </w:rPr>
                </w:pPr>
              </w:p>
            </w:tc>
          </w:tr>
          <w:tr w:rsidR="00471D53" w14:paraId="5FE98974" w14:textId="77777777" w:rsidTr="00471D53">
            <w:sdt>
              <w:sdtPr>
                <w:rPr>
                  <w:sz w:val="20"/>
                  <w:szCs w:val="20"/>
                </w:rPr>
                <w:tag w:val="_PLD_296624bab915467fb3ca81e8914cb225"/>
                <w:id w:val="775912385"/>
                <w:lock w:val="sdtLocked"/>
              </w:sdtPr>
              <w:sdtEndPr/>
              <w:sdtContent>
                <w:tc>
                  <w:tcPr>
                    <w:tcW w:w="734" w:type="pct"/>
                    <w:shd w:val="clear" w:color="auto" w:fill="auto"/>
                    <w:vAlign w:val="center"/>
                  </w:tcPr>
                  <w:p w14:paraId="52DBD2AD" w14:textId="77777777" w:rsidR="00471D53" w:rsidRPr="004B2220" w:rsidRDefault="004F686E" w:rsidP="00471D53">
                    <w:pPr>
                      <w:ind w:firstLineChars="100" w:firstLine="200"/>
                      <w:rPr>
                        <w:sz w:val="20"/>
                        <w:szCs w:val="20"/>
                      </w:rPr>
                    </w:pPr>
                    <w:r w:rsidRPr="004B2220">
                      <w:rPr>
                        <w:rFonts w:hint="eastAsia"/>
                        <w:sz w:val="20"/>
                        <w:szCs w:val="20"/>
                      </w:rPr>
                      <w:t>其他权益工具投资公允价值变动</w:t>
                    </w:r>
                  </w:p>
                </w:tc>
              </w:sdtContent>
            </w:sdt>
            <w:tc>
              <w:tcPr>
                <w:tcW w:w="600" w:type="pct"/>
                <w:shd w:val="clear" w:color="auto" w:fill="auto"/>
              </w:tcPr>
              <w:p w14:paraId="0CE28B69" w14:textId="77777777" w:rsidR="00471D53" w:rsidRPr="004B2220" w:rsidRDefault="00B664AF">
                <w:pPr>
                  <w:jc w:val="right"/>
                  <w:rPr>
                    <w:sz w:val="18"/>
                    <w:szCs w:val="18"/>
                  </w:rPr>
                </w:pPr>
              </w:p>
            </w:tc>
            <w:tc>
              <w:tcPr>
                <w:tcW w:w="600" w:type="pct"/>
                <w:shd w:val="clear" w:color="auto" w:fill="auto"/>
              </w:tcPr>
              <w:p w14:paraId="6A0AFD3B" w14:textId="77777777" w:rsidR="00471D53" w:rsidRPr="004B2220" w:rsidRDefault="00B664AF">
                <w:pPr>
                  <w:jc w:val="right"/>
                  <w:rPr>
                    <w:sz w:val="18"/>
                    <w:szCs w:val="18"/>
                  </w:rPr>
                </w:pPr>
              </w:p>
            </w:tc>
            <w:tc>
              <w:tcPr>
                <w:tcW w:w="400" w:type="pct"/>
                <w:shd w:val="clear" w:color="auto" w:fill="auto"/>
              </w:tcPr>
              <w:p w14:paraId="42A1A237" w14:textId="77777777" w:rsidR="00471D53" w:rsidRPr="004B2220" w:rsidRDefault="00B664AF">
                <w:pPr>
                  <w:jc w:val="right"/>
                  <w:rPr>
                    <w:sz w:val="18"/>
                    <w:szCs w:val="18"/>
                  </w:rPr>
                </w:pPr>
              </w:p>
            </w:tc>
            <w:tc>
              <w:tcPr>
                <w:tcW w:w="534" w:type="pct"/>
              </w:tcPr>
              <w:p w14:paraId="4DD8F364" w14:textId="77777777" w:rsidR="00471D53" w:rsidRPr="004B2220" w:rsidRDefault="00B664AF">
                <w:pPr>
                  <w:jc w:val="right"/>
                  <w:rPr>
                    <w:sz w:val="18"/>
                    <w:szCs w:val="18"/>
                  </w:rPr>
                </w:pPr>
              </w:p>
            </w:tc>
            <w:tc>
              <w:tcPr>
                <w:tcW w:w="332" w:type="pct"/>
                <w:shd w:val="clear" w:color="auto" w:fill="auto"/>
              </w:tcPr>
              <w:p w14:paraId="16FE343F" w14:textId="77777777" w:rsidR="00471D53" w:rsidRPr="004B2220" w:rsidRDefault="00B664AF">
                <w:pPr>
                  <w:jc w:val="right"/>
                  <w:rPr>
                    <w:sz w:val="18"/>
                    <w:szCs w:val="18"/>
                  </w:rPr>
                </w:pPr>
              </w:p>
            </w:tc>
            <w:tc>
              <w:tcPr>
                <w:tcW w:w="601" w:type="pct"/>
                <w:shd w:val="clear" w:color="auto" w:fill="auto"/>
              </w:tcPr>
              <w:p w14:paraId="31272476" w14:textId="77777777" w:rsidR="00471D53" w:rsidRPr="004B2220" w:rsidRDefault="00B664AF">
                <w:pPr>
                  <w:jc w:val="right"/>
                  <w:rPr>
                    <w:sz w:val="18"/>
                    <w:szCs w:val="18"/>
                  </w:rPr>
                </w:pPr>
              </w:p>
            </w:tc>
            <w:tc>
              <w:tcPr>
                <w:tcW w:w="603" w:type="pct"/>
                <w:shd w:val="clear" w:color="auto" w:fill="auto"/>
              </w:tcPr>
              <w:p w14:paraId="45AE98F6" w14:textId="77777777" w:rsidR="00471D53" w:rsidRPr="004B2220" w:rsidRDefault="00B664AF">
                <w:pPr>
                  <w:jc w:val="right"/>
                  <w:rPr>
                    <w:sz w:val="18"/>
                    <w:szCs w:val="18"/>
                  </w:rPr>
                </w:pPr>
              </w:p>
            </w:tc>
            <w:tc>
              <w:tcPr>
                <w:tcW w:w="597" w:type="pct"/>
                <w:shd w:val="clear" w:color="auto" w:fill="auto"/>
              </w:tcPr>
              <w:p w14:paraId="562EE3E4" w14:textId="77777777" w:rsidR="00471D53" w:rsidRPr="004B2220" w:rsidRDefault="00B664AF">
                <w:pPr>
                  <w:jc w:val="right"/>
                  <w:rPr>
                    <w:sz w:val="18"/>
                    <w:szCs w:val="18"/>
                  </w:rPr>
                </w:pPr>
              </w:p>
            </w:tc>
          </w:tr>
          <w:tr w:rsidR="00471D53" w14:paraId="639B12CD" w14:textId="77777777" w:rsidTr="00471D53">
            <w:sdt>
              <w:sdtPr>
                <w:rPr>
                  <w:sz w:val="20"/>
                  <w:szCs w:val="20"/>
                </w:rPr>
                <w:tag w:val="_PLD_1ab24655d3604e7a8b8f0a20c2590d22"/>
                <w:id w:val="-136414541"/>
                <w:lock w:val="sdtLocked"/>
              </w:sdtPr>
              <w:sdtEndPr/>
              <w:sdtContent>
                <w:tc>
                  <w:tcPr>
                    <w:tcW w:w="734" w:type="pct"/>
                    <w:shd w:val="clear" w:color="auto" w:fill="auto"/>
                    <w:vAlign w:val="center"/>
                  </w:tcPr>
                  <w:p w14:paraId="1D4B0900" w14:textId="77777777" w:rsidR="00471D53" w:rsidRPr="004B2220" w:rsidRDefault="004F686E" w:rsidP="00471D53">
                    <w:pPr>
                      <w:ind w:firstLineChars="100" w:firstLine="200"/>
                      <w:rPr>
                        <w:sz w:val="20"/>
                        <w:szCs w:val="20"/>
                      </w:rPr>
                    </w:pPr>
                    <w:r w:rsidRPr="004B2220">
                      <w:rPr>
                        <w:rFonts w:hint="eastAsia"/>
                        <w:sz w:val="20"/>
                        <w:szCs w:val="20"/>
                      </w:rPr>
                      <w:t>企业自身信用风险公允价值变动</w:t>
                    </w:r>
                  </w:p>
                </w:tc>
              </w:sdtContent>
            </w:sdt>
            <w:tc>
              <w:tcPr>
                <w:tcW w:w="600" w:type="pct"/>
                <w:shd w:val="clear" w:color="auto" w:fill="auto"/>
              </w:tcPr>
              <w:p w14:paraId="752EDE32" w14:textId="77777777" w:rsidR="00471D53" w:rsidRPr="004B2220" w:rsidRDefault="00B664AF">
                <w:pPr>
                  <w:jc w:val="right"/>
                  <w:rPr>
                    <w:sz w:val="18"/>
                    <w:szCs w:val="18"/>
                  </w:rPr>
                </w:pPr>
              </w:p>
            </w:tc>
            <w:tc>
              <w:tcPr>
                <w:tcW w:w="600" w:type="pct"/>
                <w:shd w:val="clear" w:color="auto" w:fill="auto"/>
              </w:tcPr>
              <w:p w14:paraId="220F1D2D" w14:textId="77777777" w:rsidR="00471D53" w:rsidRPr="004B2220" w:rsidRDefault="00B664AF">
                <w:pPr>
                  <w:jc w:val="right"/>
                  <w:rPr>
                    <w:sz w:val="18"/>
                    <w:szCs w:val="18"/>
                  </w:rPr>
                </w:pPr>
              </w:p>
            </w:tc>
            <w:tc>
              <w:tcPr>
                <w:tcW w:w="400" w:type="pct"/>
                <w:shd w:val="clear" w:color="auto" w:fill="auto"/>
              </w:tcPr>
              <w:p w14:paraId="38DF0850" w14:textId="77777777" w:rsidR="00471D53" w:rsidRPr="004B2220" w:rsidRDefault="00B664AF">
                <w:pPr>
                  <w:jc w:val="right"/>
                  <w:rPr>
                    <w:sz w:val="18"/>
                    <w:szCs w:val="18"/>
                  </w:rPr>
                </w:pPr>
              </w:p>
            </w:tc>
            <w:tc>
              <w:tcPr>
                <w:tcW w:w="534" w:type="pct"/>
              </w:tcPr>
              <w:p w14:paraId="5F4EAB0B" w14:textId="77777777" w:rsidR="00471D53" w:rsidRPr="004B2220" w:rsidRDefault="00B664AF">
                <w:pPr>
                  <w:jc w:val="right"/>
                  <w:rPr>
                    <w:sz w:val="18"/>
                    <w:szCs w:val="18"/>
                  </w:rPr>
                </w:pPr>
              </w:p>
            </w:tc>
            <w:tc>
              <w:tcPr>
                <w:tcW w:w="332" w:type="pct"/>
                <w:shd w:val="clear" w:color="auto" w:fill="auto"/>
              </w:tcPr>
              <w:p w14:paraId="6804B7DC" w14:textId="77777777" w:rsidR="00471D53" w:rsidRPr="004B2220" w:rsidRDefault="00B664AF">
                <w:pPr>
                  <w:jc w:val="right"/>
                  <w:rPr>
                    <w:sz w:val="18"/>
                    <w:szCs w:val="18"/>
                  </w:rPr>
                </w:pPr>
              </w:p>
            </w:tc>
            <w:tc>
              <w:tcPr>
                <w:tcW w:w="601" w:type="pct"/>
                <w:shd w:val="clear" w:color="auto" w:fill="auto"/>
              </w:tcPr>
              <w:p w14:paraId="180E5E39" w14:textId="77777777" w:rsidR="00471D53" w:rsidRPr="004B2220" w:rsidRDefault="00B664AF">
                <w:pPr>
                  <w:jc w:val="right"/>
                  <w:rPr>
                    <w:sz w:val="18"/>
                    <w:szCs w:val="18"/>
                  </w:rPr>
                </w:pPr>
              </w:p>
            </w:tc>
            <w:tc>
              <w:tcPr>
                <w:tcW w:w="603" w:type="pct"/>
                <w:shd w:val="clear" w:color="auto" w:fill="auto"/>
              </w:tcPr>
              <w:p w14:paraId="7A416860" w14:textId="77777777" w:rsidR="00471D53" w:rsidRPr="004B2220" w:rsidRDefault="00B664AF">
                <w:pPr>
                  <w:jc w:val="right"/>
                  <w:rPr>
                    <w:sz w:val="18"/>
                    <w:szCs w:val="18"/>
                  </w:rPr>
                </w:pPr>
              </w:p>
            </w:tc>
            <w:tc>
              <w:tcPr>
                <w:tcW w:w="597" w:type="pct"/>
                <w:shd w:val="clear" w:color="auto" w:fill="auto"/>
              </w:tcPr>
              <w:p w14:paraId="3A4E2981" w14:textId="77777777" w:rsidR="00471D53" w:rsidRPr="004B2220" w:rsidRDefault="00B664AF">
                <w:pPr>
                  <w:jc w:val="right"/>
                  <w:rPr>
                    <w:sz w:val="18"/>
                    <w:szCs w:val="18"/>
                  </w:rPr>
                </w:pPr>
              </w:p>
            </w:tc>
          </w:tr>
          <w:sdt>
            <w:sdtPr>
              <w:rPr>
                <w:rFonts w:hint="eastAsia"/>
                <w:sz w:val="20"/>
                <w:szCs w:val="20"/>
              </w:rPr>
              <w:alias w:val="以后不能重分类进损益的其他综合收益明细"/>
              <w:tag w:val="_TUP_6bc82a2204c3421d8f43f9411fd8c0fe"/>
              <w:id w:val="2108072226"/>
              <w:lock w:val="sdtLocked"/>
            </w:sdtPr>
            <w:sdtEndPr>
              <w:rPr>
                <w:sz w:val="18"/>
                <w:szCs w:val="18"/>
              </w:rPr>
            </w:sdtEndPr>
            <w:sdtContent>
              <w:tr w:rsidR="00471D53" w14:paraId="3BD05293" w14:textId="77777777" w:rsidTr="00471D53">
                <w:tc>
                  <w:tcPr>
                    <w:tcW w:w="734" w:type="pct"/>
                    <w:shd w:val="clear" w:color="auto" w:fill="auto"/>
                  </w:tcPr>
                  <w:p w14:paraId="4F2D339D" w14:textId="77777777" w:rsidR="00471D53" w:rsidRPr="004B2220" w:rsidRDefault="00B664AF">
                    <w:pPr>
                      <w:rPr>
                        <w:sz w:val="20"/>
                        <w:szCs w:val="20"/>
                      </w:rPr>
                    </w:pPr>
                  </w:p>
                </w:tc>
                <w:tc>
                  <w:tcPr>
                    <w:tcW w:w="600" w:type="pct"/>
                    <w:shd w:val="clear" w:color="auto" w:fill="auto"/>
                  </w:tcPr>
                  <w:p w14:paraId="1421F284" w14:textId="77777777" w:rsidR="00471D53" w:rsidRPr="004B2220" w:rsidRDefault="00B664AF">
                    <w:pPr>
                      <w:jc w:val="right"/>
                      <w:rPr>
                        <w:sz w:val="18"/>
                        <w:szCs w:val="18"/>
                      </w:rPr>
                    </w:pPr>
                  </w:p>
                </w:tc>
                <w:tc>
                  <w:tcPr>
                    <w:tcW w:w="600" w:type="pct"/>
                    <w:shd w:val="clear" w:color="auto" w:fill="auto"/>
                  </w:tcPr>
                  <w:p w14:paraId="75617BAE" w14:textId="77777777" w:rsidR="00471D53" w:rsidRPr="004B2220" w:rsidRDefault="00B664AF">
                    <w:pPr>
                      <w:jc w:val="right"/>
                      <w:rPr>
                        <w:sz w:val="18"/>
                        <w:szCs w:val="18"/>
                      </w:rPr>
                    </w:pPr>
                  </w:p>
                </w:tc>
                <w:tc>
                  <w:tcPr>
                    <w:tcW w:w="400" w:type="pct"/>
                    <w:shd w:val="clear" w:color="auto" w:fill="auto"/>
                  </w:tcPr>
                  <w:p w14:paraId="37D2B839" w14:textId="77777777" w:rsidR="00471D53" w:rsidRPr="004B2220" w:rsidRDefault="00B664AF">
                    <w:pPr>
                      <w:jc w:val="right"/>
                      <w:rPr>
                        <w:sz w:val="18"/>
                        <w:szCs w:val="18"/>
                      </w:rPr>
                    </w:pPr>
                  </w:p>
                </w:tc>
                <w:tc>
                  <w:tcPr>
                    <w:tcW w:w="534" w:type="pct"/>
                  </w:tcPr>
                  <w:p w14:paraId="29F23FD8" w14:textId="77777777" w:rsidR="00471D53" w:rsidRPr="004B2220" w:rsidRDefault="00B664AF">
                    <w:pPr>
                      <w:jc w:val="right"/>
                      <w:rPr>
                        <w:sz w:val="18"/>
                        <w:szCs w:val="18"/>
                      </w:rPr>
                    </w:pPr>
                  </w:p>
                </w:tc>
                <w:tc>
                  <w:tcPr>
                    <w:tcW w:w="332" w:type="pct"/>
                    <w:shd w:val="clear" w:color="auto" w:fill="auto"/>
                  </w:tcPr>
                  <w:p w14:paraId="4D8812D7" w14:textId="77777777" w:rsidR="00471D53" w:rsidRPr="004B2220" w:rsidRDefault="00B664AF">
                    <w:pPr>
                      <w:jc w:val="right"/>
                      <w:rPr>
                        <w:sz w:val="18"/>
                        <w:szCs w:val="18"/>
                      </w:rPr>
                    </w:pPr>
                  </w:p>
                </w:tc>
                <w:tc>
                  <w:tcPr>
                    <w:tcW w:w="601" w:type="pct"/>
                    <w:shd w:val="clear" w:color="auto" w:fill="auto"/>
                  </w:tcPr>
                  <w:p w14:paraId="7847A5FB" w14:textId="77777777" w:rsidR="00471D53" w:rsidRPr="004B2220" w:rsidRDefault="00B664AF">
                    <w:pPr>
                      <w:jc w:val="right"/>
                      <w:rPr>
                        <w:sz w:val="18"/>
                        <w:szCs w:val="18"/>
                      </w:rPr>
                    </w:pPr>
                  </w:p>
                </w:tc>
                <w:tc>
                  <w:tcPr>
                    <w:tcW w:w="603" w:type="pct"/>
                    <w:shd w:val="clear" w:color="auto" w:fill="auto"/>
                  </w:tcPr>
                  <w:p w14:paraId="6FB79341" w14:textId="77777777" w:rsidR="00471D53" w:rsidRPr="004B2220" w:rsidRDefault="00B664AF">
                    <w:pPr>
                      <w:jc w:val="right"/>
                      <w:rPr>
                        <w:sz w:val="18"/>
                        <w:szCs w:val="18"/>
                      </w:rPr>
                    </w:pPr>
                  </w:p>
                </w:tc>
                <w:tc>
                  <w:tcPr>
                    <w:tcW w:w="597" w:type="pct"/>
                    <w:shd w:val="clear" w:color="auto" w:fill="auto"/>
                  </w:tcPr>
                  <w:p w14:paraId="7099153A" w14:textId="77777777" w:rsidR="00471D53" w:rsidRPr="004B2220" w:rsidRDefault="00B664AF">
                    <w:pPr>
                      <w:jc w:val="right"/>
                      <w:rPr>
                        <w:sz w:val="18"/>
                        <w:szCs w:val="18"/>
                      </w:rPr>
                    </w:pPr>
                  </w:p>
                </w:tc>
              </w:tr>
            </w:sdtContent>
          </w:sdt>
          <w:sdt>
            <w:sdtPr>
              <w:rPr>
                <w:rFonts w:hint="eastAsia"/>
                <w:sz w:val="20"/>
                <w:szCs w:val="20"/>
              </w:rPr>
              <w:alias w:val="以后不能重分类进损益的其他综合收益明细"/>
              <w:tag w:val="_TUP_6bc82a2204c3421d8f43f9411fd8c0fe"/>
              <w:id w:val="-181665007"/>
              <w:lock w:val="sdtLocked"/>
            </w:sdtPr>
            <w:sdtEndPr>
              <w:rPr>
                <w:sz w:val="18"/>
                <w:szCs w:val="18"/>
              </w:rPr>
            </w:sdtEndPr>
            <w:sdtContent>
              <w:tr w:rsidR="00471D53" w14:paraId="07BA9DCC" w14:textId="77777777" w:rsidTr="00471D53">
                <w:tc>
                  <w:tcPr>
                    <w:tcW w:w="734" w:type="pct"/>
                    <w:shd w:val="clear" w:color="auto" w:fill="auto"/>
                  </w:tcPr>
                  <w:p w14:paraId="54AF31AB" w14:textId="77777777" w:rsidR="00471D53" w:rsidRPr="004B2220" w:rsidRDefault="00B664AF">
                    <w:pPr>
                      <w:rPr>
                        <w:sz w:val="20"/>
                        <w:szCs w:val="20"/>
                      </w:rPr>
                    </w:pPr>
                  </w:p>
                </w:tc>
                <w:tc>
                  <w:tcPr>
                    <w:tcW w:w="600" w:type="pct"/>
                    <w:shd w:val="clear" w:color="auto" w:fill="auto"/>
                  </w:tcPr>
                  <w:p w14:paraId="60115186" w14:textId="77777777" w:rsidR="00471D53" w:rsidRPr="004B2220" w:rsidRDefault="00B664AF">
                    <w:pPr>
                      <w:jc w:val="right"/>
                      <w:rPr>
                        <w:sz w:val="18"/>
                        <w:szCs w:val="18"/>
                      </w:rPr>
                    </w:pPr>
                  </w:p>
                </w:tc>
                <w:tc>
                  <w:tcPr>
                    <w:tcW w:w="600" w:type="pct"/>
                    <w:shd w:val="clear" w:color="auto" w:fill="auto"/>
                  </w:tcPr>
                  <w:p w14:paraId="13716ACF" w14:textId="77777777" w:rsidR="00471D53" w:rsidRPr="004B2220" w:rsidRDefault="00B664AF">
                    <w:pPr>
                      <w:jc w:val="right"/>
                      <w:rPr>
                        <w:sz w:val="18"/>
                        <w:szCs w:val="18"/>
                      </w:rPr>
                    </w:pPr>
                  </w:p>
                </w:tc>
                <w:tc>
                  <w:tcPr>
                    <w:tcW w:w="400" w:type="pct"/>
                    <w:shd w:val="clear" w:color="auto" w:fill="auto"/>
                  </w:tcPr>
                  <w:p w14:paraId="011B349C" w14:textId="77777777" w:rsidR="00471D53" w:rsidRPr="004B2220" w:rsidRDefault="00B664AF">
                    <w:pPr>
                      <w:jc w:val="right"/>
                      <w:rPr>
                        <w:sz w:val="18"/>
                        <w:szCs w:val="18"/>
                      </w:rPr>
                    </w:pPr>
                  </w:p>
                </w:tc>
                <w:tc>
                  <w:tcPr>
                    <w:tcW w:w="534" w:type="pct"/>
                  </w:tcPr>
                  <w:p w14:paraId="0BBDFB00" w14:textId="77777777" w:rsidR="00471D53" w:rsidRPr="004B2220" w:rsidRDefault="00B664AF">
                    <w:pPr>
                      <w:jc w:val="right"/>
                      <w:rPr>
                        <w:sz w:val="18"/>
                        <w:szCs w:val="18"/>
                      </w:rPr>
                    </w:pPr>
                  </w:p>
                </w:tc>
                <w:tc>
                  <w:tcPr>
                    <w:tcW w:w="332" w:type="pct"/>
                    <w:shd w:val="clear" w:color="auto" w:fill="auto"/>
                  </w:tcPr>
                  <w:p w14:paraId="1252D691" w14:textId="77777777" w:rsidR="00471D53" w:rsidRPr="004B2220" w:rsidRDefault="00B664AF">
                    <w:pPr>
                      <w:jc w:val="right"/>
                      <w:rPr>
                        <w:sz w:val="18"/>
                        <w:szCs w:val="18"/>
                      </w:rPr>
                    </w:pPr>
                  </w:p>
                </w:tc>
                <w:tc>
                  <w:tcPr>
                    <w:tcW w:w="601" w:type="pct"/>
                    <w:shd w:val="clear" w:color="auto" w:fill="auto"/>
                  </w:tcPr>
                  <w:p w14:paraId="0EFE340F" w14:textId="77777777" w:rsidR="00471D53" w:rsidRPr="004B2220" w:rsidRDefault="00B664AF">
                    <w:pPr>
                      <w:jc w:val="right"/>
                      <w:rPr>
                        <w:sz w:val="18"/>
                        <w:szCs w:val="18"/>
                      </w:rPr>
                    </w:pPr>
                  </w:p>
                </w:tc>
                <w:tc>
                  <w:tcPr>
                    <w:tcW w:w="603" w:type="pct"/>
                    <w:shd w:val="clear" w:color="auto" w:fill="auto"/>
                  </w:tcPr>
                  <w:p w14:paraId="491FE832" w14:textId="77777777" w:rsidR="00471D53" w:rsidRPr="004B2220" w:rsidRDefault="00B664AF">
                    <w:pPr>
                      <w:jc w:val="right"/>
                      <w:rPr>
                        <w:sz w:val="18"/>
                        <w:szCs w:val="18"/>
                      </w:rPr>
                    </w:pPr>
                  </w:p>
                </w:tc>
                <w:tc>
                  <w:tcPr>
                    <w:tcW w:w="597" w:type="pct"/>
                    <w:shd w:val="clear" w:color="auto" w:fill="auto"/>
                  </w:tcPr>
                  <w:p w14:paraId="681BA5F5" w14:textId="77777777" w:rsidR="00471D53" w:rsidRPr="004B2220" w:rsidRDefault="00B664AF">
                    <w:pPr>
                      <w:jc w:val="right"/>
                      <w:rPr>
                        <w:sz w:val="18"/>
                        <w:szCs w:val="18"/>
                      </w:rPr>
                    </w:pPr>
                  </w:p>
                </w:tc>
              </w:tr>
            </w:sdtContent>
          </w:sdt>
          <w:tr w:rsidR="00471D53" w14:paraId="4087CC30" w14:textId="77777777" w:rsidTr="00471D53">
            <w:sdt>
              <w:sdtPr>
                <w:rPr>
                  <w:sz w:val="20"/>
                  <w:szCs w:val="20"/>
                </w:rPr>
                <w:tag w:val="_PLD_4316f8eb3def474d974d5bd228f05848"/>
                <w:id w:val="-162473956"/>
                <w:lock w:val="sdtLocked"/>
              </w:sdtPr>
              <w:sdtEndPr/>
              <w:sdtContent>
                <w:tc>
                  <w:tcPr>
                    <w:tcW w:w="734" w:type="pct"/>
                    <w:shd w:val="clear" w:color="auto" w:fill="auto"/>
                  </w:tcPr>
                  <w:p w14:paraId="257B6074" w14:textId="77777777" w:rsidR="00471D53" w:rsidRPr="004B2220" w:rsidRDefault="004F686E">
                    <w:pPr>
                      <w:rPr>
                        <w:sz w:val="20"/>
                        <w:szCs w:val="20"/>
                      </w:rPr>
                    </w:pPr>
                    <w:r w:rsidRPr="004B2220">
                      <w:rPr>
                        <w:rFonts w:hint="eastAsia"/>
                        <w:sz w:val="20"/>
                        <w:szCs w:val="20"/>
                      </w:rPr>
                      <w:t>二、将重分类进损益的其他综合收益</w:t>
                    </w:r>
                  </w:p>
                </w:tc>
              </w:sdtContent>
            </w:sdt>
            <w:tc>
              <w:tcPr>
                <w:tcW w:w="600" w:type="pct"/>
                <w:shd w:val="clear" w:color="auto" w:fill="auto"/>
                <w:vAlign w:val="center"/>
              </w:tcPr>
              <w:p w14:paraId="60FD2FF3" w14:textId="77777777" w:rsidR="00471D53" w:rsidRPr="004B2220" w:rsidRDefault="004F686E" w:rsidP="00471D53">
                <w:pPr>
                  <w:jc w:val="right"/>
                  <w:rPr>
                    <w:sz w:val="18"/>
                    <w:szCs w:val="18"/>
                  </w:rPr>
                </w:pPr>
                <w:r w:rsidRPr="004B2220">
                  <w:rPr>
                    <w:rFonts w:hint="eastAsia"/>
                    <w:sz w:val="18"/>
                    <w:szCs w:val="18"/>
                  </w:rPr>
                  <w:t>-485,424.59</w:t>
                </w:r>
              </w:p>
            </w:tc>
            <w:tc>
              <w:tcPr>
                <w:tcW w:w="600" w:type="pct"/>
                <w:shd w:val="clear" w:color="auto" w:fill="auto"/>
                <w:vAlign w:val="center"/>
              </w:tcPr>
              <w:p w14:paraId="6C257071" w14:textId="77777777" w:rsidR="00471D53" w:rsidRPr="004B2220" w:rsidRDefault="004F686E" w:rsidP="00471D53">
                <w:pPr>
                  <w:jc w:val="right"/>
                  <w:rPr>
                    <w:sz w:val="18"/>
                    <w:szCs w:val="18"/>
                  </w:rPr>
                </w:pPr>
                <w:r w:rsidRPr="004B2220">
                  <w:rPr>
                    <w:sz w:val="18"/>
                    <w:szCs w:val="18"/>
                  </w:rPr>
                  <w:t>-315,521.28</w:t>
                </w:r>
              </w:p>
            </w:tc>
            <w:tc>
              <w:tcPr>
                <w:tcW w:w="400" w:type="pct"/>
                <w:shd w:val="clear" w:color="auto" w:fill="auto"/>
              </w:tcPr>
              <w:p w14:paraId="73577FDB" w14:textId="77777777" w:rsidR="00471D53" w:rsidRPr="004B2220" w:rsidRDefault="00B664AF">
                <w:pPr>
                  <w:jc w:val="right"/>
                  <w:rPr>
                    <w:sz w:val="18"/>
                    <w:szCs w:val="18"/>
                  </w:rPr>
                </w:pPr>
              </w:p>
            </w:tc>
            <w:tc>
              <w:tcPr>
                <w:tcW w:w="534" w:type="pct"/>
              </w:tcPr>
              <w:p w14:paraId="7ED0E878" w14:textId="77777777" w:rsidR="00471D53" w:rsidRPr="004B2220" w:rsidRDefault="00B664AF">
                <w:pPr>
                  <w:jc w:val="right"/>
                  <w:rPr>
                    <w:sz w:val="18"/>
                    <w:szCs w:val="18"/>
                  </w:rPr>
                </w:pPr>
              </w:p>
            </w:tc>
            <w:tc>
              <w:tcPr>
                <w:tcW w:w="332" w:type="pct"/>
                <w:shd w:val="clear" w:color="auto" w:fill="auto"/>
              </w:tcPr>
              <w:p w14:paraId="2F7343CC" w14:textId="77777777" w:rsidR="00471D53" w:rsidRPr="004B2220" w:rsidRDefault="00B664AF">
                <w:pPr>
                  <w:jc w:val="right"/>
                  <w:rPr>
                    <w:sz w:val="18"/>
                    <w:szCs w:val="18"/>
                  </w:rPr>
                </w:pPr>
              </w:p>
            </w:tc>
            <w:tc>
              <w:tcPr>
                <w:tcW w:w="601" w:type="pct"/>
                <w:shd w:val="clear" w:color="auto" w:fill="auto"/>
                <w:vAlign w:val="center"/>
              </w:tcPr>
              <w:p w14:paraId="73FCBADA" w14:textId="77777777" w:rsidR="00471D53" w:rsidRPr="004B2220" w:rsidRDefault="004F686E" w:rsidP="00471D53">
                <w:pPr>
                  <w:jc w:val="right"/>
                  <w:rPr>
                    <w:sz w:val="18"/>
                    <w:szCs w:val="18"/>
                  </w:rPr>
                </w:pPr>
                <w:r w:rsidRPr="004B2220">
                  <w:rPr>
                    <w:sz w:val="18"/>
                    <w:szCs w:val="18"/>
                  </w:rPr>
                  <w:t>-286,022.69</w:t>
                </w:r>
              </w:p>
            </w:tc>
            <w:tc>
              <w:tcPr>
                <w:tcW w:w="603" w:type="pct"/>
                <w:shd w:val="clear" w:color="auto" w:fill="auto"/>
                <w:vAlign w:val="center"/>
              </w:tcPr>
              <w:p w14:paraId="419943EB" w14:textId="77777777" w:rsidR="00471D53" w:rsidRPr="004B2220" w:rsidRDefault="004F686E" w:rsidP="00471D53">
                <w:pPr>
                  <w:jc w:val="right"/>
                  <w:rPr>
                    <w:sz w:val="18"/>
                    <w:szCs w:val="18"/>
                  </w:rPr>
                </w:pPr>
                <w:r w:rsidRPr="004B2220">
                  <w:rPr>
                    <w:sz w:val="18"/>
                    <w:szCs w:val="18"/>
                  </w:rPr>
                  <w:t>-29,498.59</w:t>
                </w:r>
              </w:p>
            </w:tc>
            <w:tc>
              <w:tcPr>
                <w:tcW w:w="597" w:type="pct"/>
                <w:shd w:val="clear" w:color="auto" w:fill="auto"/>
                <w:vAlign w:val="center"/>
              </w:tcPr>
              <w:p w14:paraId="2FCF58A0" w14:textId="77777777" w:rsidR="00471D53" w:rsidRPr="004B2220" w:rsidRDefault="004F686E" w:rsidP="00471D53">
                <w:pPr>
                  <w:jc w:val="right"/>
                  <w:rPr>
                    <w:sz w:val="18"/>
                    <w:szCs w:val="18"/>
                  </w:rPr>
                </w:pPr>
                <w:r w:rsidRPr="004B2220">
                  <w:rPr>
                    <w:sz w:val="18"/>
                    <w:szCs w:val="18"/>
                  </w:rPr>
                  <w:t>-771,447.28</w:t>
                </w:r>
              </w:p>
            </w:tc>
          </w:tr>
          <w:tr w:rsidR="00471D53" w14:paraId="7BAA35B1" w14:textId="77777777" w:rsidTr="00471D53">
            <w:sdt>
              <w:sdtPr>
                <w:rPr>
                  <w:sz w:val="20"/>
                  <w:szCs w:val="20"/>
                </w:rPr>
                <w:tag w:val="_PLD_c943cf2f4cb34d3c9fb95405c1a3062c"/>
                <w:id w:val="568549698"/>
                <w:lock w:val="sdtLocked"/>
              </w:sdtPr>
              <w:sdtEndPr/>
              <w:sdtContent>
                <w:tc>
                  <w:tcPr>
                    <w:tcW w:w="734" w:type="pct"/>
                    <w:shd w:val="clear" w:color="auto" w:fill="auto"/>
                  </w:tcPr>
                  <w:p w14:paraId="34B13404" w14:textId="77777777" w:rsidR="00471D53" w:rsidRPr="004B2220" w:rsidRDefault="004F686E">
                    <w:pPr>
                      <w:rPr>
                        <w:sz w:val="20"/>
                        <w:szCs w:val="20"/>
                      </w:rPr>
                    </w:pPr>
                    <w:r w:rsidRPr="004B2220">
                      <w:rPr>
                        <w:rFonts w:hint="eastAsia"/>
                        <w:sz w:val="20"/>
                        <w:szCs w:val="20"/>
                      </w:rPr>
                      <w:t>其中：权益法下可转损益的其他综合收益</w:t>
                    </w:r>
                  </w:p>
                </w:tc>
              </w:sdtContent>
            </w:sdt>
            <w:tc>
              <w:tcPr>
                <w:tcW w:w="600" w:type="pct"/>
                <w:shd w:val="clear" w:color="auto" w:fill="auto"/>
                <w:vAlign w:val="center"/>
              </w:tcPr>
              <w:p w14:paraId="2884BA75" w14:textId="77777777" w:rsidR="00471D53" w:rsidRPr="004B2220" w:rsidRDefault="004F686E" w:rsidP="00471D53">
                <w:pPr>
                  <w:jc w:val="right"/>
                  <w:rPr>
                    <w:sz w:val="18"/>
                    <w:szCs w:val="18"/>
                  </w:rPr>
                </w:pPr>
                <w:r w:rsidRPr="004B2220">
                  <w:rPr>
                    <w:sz w:val="18"/>
                    <w:szCs w:val="18"/>
                  </w:rPr>
                  <w:t>11</w:t>
                </w:r>
                <w:r w:rsidRPr="004B2220">
                  <w:rPr>
                    <w:rFonts w:hint="eastAsia"/>
                    <w:sz w:val="18"/>
                    <w:szCs w:val="18"/>
                  </w:rPr>
                  <w:t>,</w:t>
                </w:r>
                <w:r w:rsidRPr="004B2220">
                  <w:rPr>
                    <w:sz w:val="18"/>
                    <w:szCs w:val="18"/>
                  </w:rPr>
                  <w:t>850.59</w:t>
                </w:r>
              </w:p>
            </w:tc>
            <w:tc>
              <w:tcPr>
                <w:tcW w:w="600" w:type="pct"/>
                <w:shd w:val="clear" w:color="auto" w:fill="auto"/>
                <w:vAlign w:val="center"/>
              </w:tcPr>
              <w:p w14:paraId="06F1F565" w14:textId="77777777" w:rsidR="00471D53" w:rsidRPr="004B2220" w:rsidRDefault="004F686E" w:rsidP="00471D53">
                <w:pPr>
                  <w:jc w:val="right"/>
                  <w:rPr>
                    <w:sz w:val="18"/>
                    <w:szCs w:val="18"/>
                  </w:rPr>
                </w:pPr>
                <w:r w:rsidRPr="004B2220">
                  <w:rPr>
                    <w:sz w:val="18"/>
                    <w:szCs w:val="18"/>
                  </w:rPr>
                  <w:t>-1,117.81</w:t>
                </w:r>
              </w:p>
            </w:tc>
            <w:tc>
              <w:tcPr>
                <w:tcW w:w="400" w:type="pct"/>
                <w:shd w:val="clear" w:color="auto" w:fill="auto"/>
              </w:tcPr>
              <w:p w14:paraId="0B5FE3D5" w14:textId="77777777" w:rsidR="00471D53" w:rsidRPr="004B2220" w:rsidRDefault="00B664AF">
                <w:pPr>
                  <w:jc w:val="right"/>
                  <w:rPr>
                    <w:sz w:val="18"/>
                    <w:szCs w:val="18"/>
                  </w:rPr>
                </w:pPr>
              </w:p>
            </w:tc>
            <w:tc>
              <w:tcPr>
                <w:tcW w:w="534" w:type="pct"/>
              </w:tcPr>
              <w:p w14:paraId="78B4286F" w14:textId="77777777" w:rsidR="00471D53" w:rsidRPr="004B2220" w:rsidRDefault="00B664AF">
                <w:pPr>
                  <w:jc w:val="right"/>
                  <w:rPr>
                    <w:sz w:val="18"/>
                    <w:szCs w:val="18"/>
                  </w:rPr>
                </w:pPr>
              </w:p>
            </w:tc>
            <w:tc>
              <w:tcPr>
                <w:tcW w:w="332" w:type="pct"/>
                <w:shd w:val="clear" w:color="auto" w:fill="auto"/>
              </w:tcPr>
              <w:p w14:paraId="32802429" w14:textId="77777777" w:rsidR="00471D53" w:rsidRPr="004B2220" w:rsidRDefault="00B664AF">
                <w:pPr>
                  <w:jc w:val="right"/>
                  <w:rPr>
                    <w:sz w:val="18"/>
                    <w:szCs w:val="18"/>
                  </w:rPr>
                </w:pPr>
              </w:p>
            </w:tc>
            <w:tc>
              <w:tcPr>
                <w:tcW w:w="601" w:type="pct"/>
                <w:shd w:val="clear" w:color="auto" w:fill="auto"/>
                <w:vAlign w:val="center"/>
              </w:tcPr>
              <w:p w14:paraId="78F7F9DB" w14:textId="77777777" w:rsidR="00471D53" w:rsidRPr="004B2220" w:rsidRDefault="004F686E" w:rsidP="00471D53">
                <w:pPr>
                  <w:jc w:val="right"/>
                  <w:rPr>
                    <w:sz w:val="18"/>
                    <w:szCs w:val="18"/>
                  </w:rPr>
                </w:pPr>
                <w:r w:rsidRPr="004B2220">
                  <w:rPr>
                    <w:sz w:val="18"/>
                    <w:szCs w:val="18"/>
                  </w:rPr>
                  <w:t>-1,117.81</w:t>
                </w:r>
              </w:p>
            </w:tc>
            <w:tc>
              <w:tcPr>
                <w:tcW w:w="603" w:type="pct"/>
                <w:shd w:val="clear" w:color="auto" w:fill="auto"/>
                <w:vAlign w:val="center"/>
              </w:tcPr>
              <w:p w14:paraId="5C3932E7" w14:textId="77777777" w:rsidR="00471D53" w:rsidRPr="004B2220" w:rsidRDefault="004F686E" w:rsidP="00471D53">
                <w:pPr>
                  <w:jc w:val="right"/>
                  <w:rPr>
                    <w:sz w:val="18"/>
                    <w:szCs w:val="18"/>
                  </w:rPr>
                </w:pPr>
                <w:r w:rsidRPr="004B2220">
                  <w:rPr>
                    <w:rFonts w:hint="eastAsia"/>
                    <w:sz w:val="18"/>
                    <w:szCs w:val="18"/>
                  </w:rPr>
                  <w:t>0.00</w:t>
                </w:r>
              </w:p>
            </w:tc>
            <w:tc>
              <w:tcPr>
                <w:tcW w:w="597" w:type="pct"/>
                <w:shd w:val="clear" w:color="auto" w:fill="auto"/>
                <w:vAlign w:val="center"/>
              </w:tcPr>
              <w:p w14:paraId="1962BAF0" w14:textId="77777777" w:rsidR="00471D53" w:rsidRPr="004B2220" w:rsidRDefault="004F686E" w:rsidP="00471D53">
                <w:pPr>
                  <w:jc w:val="right"/>
                  <w:rPr>
                    <w:sz w:val="18"/>
                    <w:szCs w:val="18"/>
                  </w:rPr>
                </w:pPr>
                <w:r w:rsidRPr="004B2220">
                  <w:rPr>
                    <w:sz w:val="18"/>
                    <w:szCs w:val="18"/>
                  </w:rPr>
                  <w:t>10,732.78</w:t>
                </w:r>
              </w:p>
            </w:tc>
          </w:tr>
          <w:tr w:rsidR="00471D53" w14:paraId="769B1961" w14:textId="77777777" w:rsidTr="00471D53">
            <w:sdt>
              <w:sdtPr>
                <w:rPr>
                  <w:sz w:val="20"/>
                  <w:szCs w:val="20"/>
                </w:rPr>
                <w:tag w:val="_PLD_05c7e2483e664174af98c56352aea31b"/>
                <w:id w:val="1980417283"/>
                <w:lock w:val="sdtLocked"/>
              </w:sdtPr>
              <w:sdtEndPr/>
              <w:sdtContent>
                <w:tc>
                  <w:tcPr>
                    <w:tcW w:w="734" w:type="pct"/>
                    <w:shd w:val="clear" w:color="auto" w:fill="auto"/>
                  </w:tcPr>
                  <w:p w14:paraId="4BDAC375" w14:textId="77777777" w:rsidR="00471D53" w:rsidRPr="004B2220" w:rsidRDefault="004F686E" w:rsidP="00471D53">
                    <w:pPr>
                      <w:ind w:firstLineChars="100" w:firstLine="200"/>
                      <w:rPr>
                        <w:sz w:val="20"/>
                        <w:szCs w:val="20"/>
                      </w:rPr>
                    </w:pPr>
                    <w:r w:rsidRPr="004B2220">
                      <w:rPr>
                        <w:rFonts w:hint="eastAsia"/>
                        <w:sz w:val="20"/>
                        <w:szCs w:val="20"/>
                      </w:rPr>
                      <w:t>其他债权投资公允价值变动</w:t>
                    </w:r>
                  </w:p>
                </w:tc>
              </w:sdtContent>
            </w:sdt>
            <w:tc>
              <w:tcPr>
                <w:tcW w:w="600" w:type="pct"/>
                <w:shd w:val="clear" w:color="auto" w:fill="auto"/>
              </w:tcPr>
              <w:p w14:paraId="74D0680F" w14:textId="77777777" w:rsidR="00471D53" w:rsidRPr="004B2220" w:rsidRDefault="00B664AF">
                <w:pPr>
                  <w:jc w:val="right"/>
                  <w:rPr>
                    <w:sz w:val="18"/>
                    <w:szCs w:val="18"/>
                  </w:rPr>
                </w:pPr>
              </w:p>
            </w:tc>
            <w:tc>
              <w:tcPr>
                <w:tcW w:w="600" w:type="pct"/>
                <w:shd w:val="clear" w:color="auto" w:fill="auto"/>
              </w:tcPr>
              <w:p w14:paraId="7A34F84A" w14:textId="77777777" w:rsidR="00471D53" w:rsidRPr="004B2220" w:rsidRDefault="00B664AF">
                <w:pPr>
                  <w:jc w:val="right"/>
                  <w:rPr>
                    <w:sz w:val="18"/>
                    <w:szCs w:val="18"/>
                  </w:rPr>
                </w:pPr>
              </w:p>
            </w:tc>
            <w:tc>
              <w:tcPr>
                <w:tcW w:w="400" w:type="pct"/>
                <w:shd w:val="clear" w:color="auto" w:fill="auto"/>
              </w:tcPr>
              <w:p w14:paraId="5D261E00" w14:textId="77777777" w:rsidR="00471D53" w:rsidRPr="004B2220" w:rsidRDefault="00B664AF">
                <w:pPr>
                  <w:jc w:val="right"/>
                  <w:rPr>
                    <w:sz w:val="18"/>
                    <w:szCs w:val="18"/>
                  </w:rPr>
                </w:pPr>
              </w:p>
            </w:tc>
            <w:tc>
              <w:tcPr>
                <w:tcW w:w="534" w:type="pct"/>
              </w:tcPr>
              <w:p w14:paraId="1A59CE3A" w14:textId="77777777" w:rsidR="00471D53" w:rsidRPr="004B2220" w:rsidRDefault="00B664AF">
                <w:pPr>
                  <w:jc w:val="right"/>
                  <w:rPr>
                    <w:sz w:val="18"/>
                    <w:szCs w:val="18"/>
                  </w:rPr>
                </w:pPr>
              </w:p>
            </w:tc>
            <w:tc>
              <w:tcPr>
                <w:tcW w:w="332" w:type="pct"/>
                <w:shd w:val="clear" w:color="auto" w:fill="auto"/>
              </w:tcPr>
              <w:p w14:paraId="024953F3" w14:textId="77777777" w:rsidR="00471D53" w:rsidRPr="004B2220" w:rsidRDefault="00B664AF">
                <w:pPr>
                  <w:jc w:val="right"/>
                  <w:rPr>
                    <w:sz w:val="18"/>
                    <w:szCs w:val="18"/>
                  </w:rPr>
                </w:pPr>
              </w:p>
            </w:tc>
            <w:tc>
              <w:tcPr>
                <w:tcW w:w="601" w:type="pct"/>
                <w:shd w:val="clear" w:color="auto" w:fill="auto"/>
              </w:tcPr>
              <w:p w14:paraId="522652B0" w14:textId="77777777" w:rsidR="00471D53" w:rsidRPr="004B2220" w:rsidRDefault="00B664AF">
                <w:pPr>
                  <w:jc w:val="right"/>
                  <w:rPr>
                    <w:sz w:val="18"/>
                    <w:szCs w:val="18"/>
                  </w:rPr>
                </w:pPr>
              </w:p>
            </w:tc>
            <w:tc>
              <w:tcPr>
                <w:tcW w:w="603" w:type="pct"/>
                <w:shd w:val="clear" w:color="auto" w:fill="auto"/>
              </w:tcPr>
              <w:p w14:paraId="233F19BC" w14:textId="77777777" w:rsidR="00471D53" w:rsidRPr="004B2220" w:rsidRDefault="00B664AF">
                <w:pPr>
                  <w:jc w:val="right"/>
                  <w:rPr>
                    <w:sz w:val="18"/>
                    <w:szCs w:val="18"/>
                  </w:rPr>
                </w:pPr>
              </w:p>
            </w:tc>
            <w:tc>
              <w:tcPr>
                <w:tcW w:w="597" w:type="pct"/>
                <w:shd w:val="clear" w:color="auto" w:fill="auto"/>
              </w:tcPr>
              <w:p w14:paraId="46CB0C13" w14:textId="77777777" w:rsidR="00471D53" w:rsidRPr="004B2220" w:rsidRDefault="00B664AF">
                <w:pPr>
                  <w:jc w:val="right"/>
                  <w:rPr>
                    <w:sz w:val="18"/>
                    <w:szCs w:val="18"/>
                  </w:rPr>
                </w:pPr>
              </w:p>
            </w:tc>
          </w:tr>
          <w:tr w:rsidR="00471D53" w14:paraId="5E868E23" w14:textId="77777777" w:rsidTr="00471D53">
            <w:sdt>
              <w:sdtPr>
                <w:rPr>
                  <w:sz w:val="20"/>
                  <w:szCs w:val="20"/>
                </w:rPr>
                <w:tag w:val="_PLD_67d6f101a03d467d995419510214a616"/>
                <w:id w:val="1632591441"/>
                <w:lock w:val="sdtLocked"/>
              </w:sdtPr>
              <w:sdtEndPr/>
              <w:sdtContent>
                <w:tc>
                  <w:tcPr>
                    <w:tcW w:w="734" w:type="pct"/>
                    <w:shd w:val="clear" w:color="auto" w:fill="auto"/>
                  </w:tcPr>
                  <w:p w14:paraId="37298E55" w14:textId="77777777" w:rsidR="00471D53" w:rsidRPr="004B2220" w:rsidRDefault="004F686E" w:rsidP="00471D53">
                    <w:pPr>
                      <w:ind w:firstLineChars="100" w:firstLine="200"/>
                      <w:rPr>
                        <w:sz w:val="20"/>
                        <w:szCs w:val="20"/>
                      </w:rPr>
                    </w:pPr>
                    <w:r w:rsidRPr="004B2220">
                      <w:rPr>
                        <w:rFonts w:hint="eastAsia"/>
                        <w:sz w:val="20"/>
                        <w:szCs w:val="20"/>
                      </w:rPr>
                      <w:t>金融资产重分类计入其他综合收益的金额</w:t>
                    </w:r>
                  </w:p>
                </w:tc>
              </w:sdtContent>
            </w:sdt>
            <w:tc>
              <w:tcPr>
                <w:tcW w:w="600" w:type="pct"/>
                <w:shd w:val="clear" w:color="auto" w:fill="auto"/>
              </w:tcPr>
              <w:p w14:paraId="0BD14037" w14:textId="77777777" w:rsidR="00471D53" w:rsidRPr="004B2220" w:rsidRDefault="00B664AF">
                <w:pPr>
                  <w:jc w:val="right"/>
                  <w:rPr>
                    <w:sz w:val="18"/>
                    <w:szCs w:val="18"/>
                  </w:rPr>
                </w:pPr>
              </w:p>
            </w:tc>
            <w:tc>
              <w:tcPr>
                <w:tcW w:w="600" w:type="pct"/>
                <w:shd w:val="clear" w:color="auto" w:fill="auto"/>
              </w:tcPr>
              <w:p w14:paraId="75993F9D" w14:textId="77777777" w:rsidR="00471D53" w:rsidRPr="004B2220" w:rsidRDefault="00B664AF">
                <w:pPr>
                  <w:jc w:val="right"/>
                  <w:rPr>
                    <w:sz w:val="18"/>
                    <w:szCs w:val="18"/>
                  </w:rPr>
                </w:pPr>
              </w:p>
            </w:tc>
            <w:tc>
              <w:tcPr>
                <w:tcW w:w="400" w:type="pct"/>
                <w:shd w:val="clear" w:color="auto" w:fill="auto"/>
              </w:tcPr>
              <w:p w14:paraId="132A6EBC" w14:textId="77777777" w:rsidR="00471D53" w:rsidRPr="004B2220" w:rsidRDefault="00B664AF">
                <w:pPr>
                  <w:jc w:val="right"/>
                  <w:rPr>
                    <w:sz w:val="18"/>
                    <w:szCs w:val="18"/>
                  </w:rPr>
                </w:pPr>
              </w:p>
            </w:tc>
            <w:tc>
              <w:tcPr>
                <w:tcW w:w="534" w:type="pct"/>
              </w:tcPr>
              <w:p w14:paraId="5DE6F025" w14:textId="77777777" w:rsidR="00471D53" w:rsidRPr="004B2220" w:rsidRDefault="00B664AF">
                <w:pPr>
                  <w:jc w:val="right"/>
                  <w:rPr>
                    <w:sz w:val="18"/>
                    <w:szCs w:val="18"/>
                  </w:rPr>
                </w:pPr>
              </w:p>
            </w:tc>
            <w:tc>
              <w:tcPr>
                <w:tcW w:w="332" w:type="pct"/>
                <w:shd w:val="clear" w:color="auto" w:fill="auto"/>
              </w:tcPr>
              <w:p w14:paraId="7F97B113" w14:textId="77777777" w:rsidR="00471D53" w:rsidRPr="004B2220" w:rsidRDefault="00B664AF">
                <w:pPr>
                  <w:jc w:val="right"/>
                  <w:rPr>
                    <w:sz w:val="18"/>
                    <w:szCs w:val="18"/>
                  </w:rPr>
                </w:pPr>
              </w:p>
            </w:tc>
            <w:tc>
              <w:tcPr>
                <w:tcW w:w="601" w:type="pct"/>
                <w:shd w:val="clear" w:color="auto" w:fill="auto"/>
              </w:tcPr>
              <w:p w14:paraId="79712CD8" w14:textId="77777777" w:rsidR="00471D53" w:rsidRPr="004B2220" w:rsidRDefault="00B664AF">
                <w:pPr>
                  <w:jc w:val="right"/>
                  <w:rPr>
                    <w:sz w:val="18"/>
                    <w:szCs w:val="18"/>
                  </w:rPr>
                </w:pPr>
              </w:p>
            </w:tc>
            <w:tc>
              <w:tcPr>
                <w:tcW w:w="603" w:type="pct"/>
                <w:shd w:val="clear" w:color="auto" w:fill="auto"/>
              </w:tcPr>
              <w:p w14:paraId="05D25FEB" w14:textId="77777777" w:rsidR="00471D53" w:rsidRPr="004B2220" w:rsidRDefault="00B664AF">
                <w:pPr>
                  <w:jc w:val="right"/>
                  <w:rPr>
                    <w:sz w:val="18"/>
                    <w:szCs w:val="18"/>
                  </w:rPr>
                </w:pPr>
              </w:p>
            </w:tc>
            <w:tc>
              <w:tcPr>
                <w:tcW w:w="597" w:type="pct"/>
                <w:shd w:val="clear" w:color="auto" w:fill="auto"/>
              </w:tcPr>
              <w:p w14:paraId="72B6812D" w14:textId="77777777" w:rsidR="00471D53" w:rsidRPr="004B2220" w:rsidRDefault="00B664AF">
                <w:pPr>
                  <w:jc w:val="right"/>
                  <w:rPr>
                    <w:sz w:val="18"/>
                    <w:szCs w:val="18"/>
                  </w:rPr>
                </w:pPr>
              </w:p>
            </w:tc>
          </w:tr>
          <w:tr w:rsidR="00471D53" w14:paraId="1241C93F" w14:textId="77777777" w:rsidTr="00471D53">
            <w:sdt>
              <w:sdtPr>
                <w:rPr>
                  <w:sz w:val="20"/>
                  <w:szCs w:val="20"/>
                </w:rPr>
                <w:tag w:val="_PLD_b7f5af5728364a0f8a18e5ed26751100"/>
                <w:id w:val="-1553307178"/>
                <w:lock w:val="sdtLocked"/>
              </w:sdtPr>
              <w:sdtEndPr/>
              <w:sdtContent>
                <w:tc>
                  <w:tcPr>
                    <w:tcW w:w="734" w:type="pct"/>
                    <w:shd w:val="clear" w:color="auto" w:fill="auto"/>
                  </w:tcPr>
                  <w:p w14:paraId="6B07B90B" w14:textId="77777777" w:rsidR="00471D53" w:rsidRPr="004B2220" w:rsidRDefault="004F686E" w:rsidP="00471D53">
                    <w:pPr>
                      <w:ind w:firstLineChars="100" w:firstLine="200"/>
                      <w:rPr>
                        <w:sz w:val="20"/>
                        <w:szCs w:val="20"/>
                      </w:rPr>
                    </w:pPr>
                    <w:r w:rsidRPr="004B2220">
                      <w:rPr>
                        <w:rFonts w:hint="eastAsia"/>
                        <w:sz w:val="20"/>
                        <w:szCs w:val="20"/>
                      </w:rPr>
                      <w:t>其他债权投资信用减值准备</w:t>
                    </w:r>
                  </w:p>
                </w:tc>
              </w:sdtContent>
            </w:sdt>
            <w:tc>
              <w:tcPr>
                <w:tcW w:w="600" w:type="pct"/>
                <w:shd w:val="clear" w:color="auto" w:fill="auto"/>
              </w:tcPr>
              <w:p w14:paraId="427E3081" w14:textId="77777777" w:rsidR="00471D53" w:rsidRPr="004B2220" w:rsidRDefault="00B664AF">
                <w:pPr>
                  <w:jc w:val="right"/>
                  <w:rPr>
                    <w:sz w:val="18"/>
                    <w:szCs w:val="18"/>
                  </w:rPr>
                </w:pPr>
              </w:p>
            </w:tc>
            <w:tc>
              <w:tcPr>
                <w:tcW w:w="600" w:type="pct"/>
                <w:shd w:val="clear" w:color="auto" w:fill="auto"/>
              </w:tcPr>
              <w:p w14:paraId="7E178E11" w14:textId="77777777" w:rsidR="00471D53" w:rsidRPr="004B2220" w:rsidRDefault="00B664AF">
                <w:pPr>
                  <w:jc w:val="right"/>
                  <w:rPr>
                    <w:sz w:val="18"/>
                    <w:szCs w:val="18"/>
                  </w:rPr>
                </w:pPr>
              </w:p>
            </w:tc>
            <w:tc>
              <w:tcPr>
                <w:tcW w:w="400" w:type="pct"/>
                <w:shd w:val="clear" w:color="auto" w:fill="auto"/>
              </w:tcPr>
              <w:p w14:paraId="68B20DC5" w14:textId="77777777" w:rsidR="00471D53" w:rsidRPr="004B2220" w:rsidRDefault="00B664AF">
                <w:pPr>
                  <w:jc w:val="right"/>
                  <w:rPr>
                    <w:sz w:val="18"/>
                    <w:szCs w:val="18"/>
                  </w:rPr>
                </w:pPr>
              </w:p>
            </w:tc>
            <w:tc>
              <w:tcPr>
                <w:tcW w:w="534" w:type="pct"/>
              </w:tcPr>
              <w:p w14:paraId="11C7387A" w14:textId="77777777" w:rsidR="00471D53" w:rsidRPr="004B2220" w:rsidRDefault="00B664AF">
                <w:pPr>
                  <w:jc w:val="right"/>
                  <w:rPr>
                    <w:sz w:val="18"/>
                    <w:szCs w:val="18"/>
                  </w:rPr>
                </w:pPr>
              </w:p>
            </w:tc>
            <w:tc>
              <w:tcPr>
                <w:tcW w:w="332" w:type="pct"/>
                <w:shd w:val="clear" w:color="auto" w:fill="auto"/>
              </w:tcPr>
              <w:p w14:paraId="22CE681B" w14:textId="77777777" w:rsidR="00471D53" w:rsidRPr="004B2220" w:rsidRDefault="00B664AF">
                <w:pPr>
                  <w:jc w:val="right"/>
                  <w:rPr>
                    <w:sz w:val="18"/>
                    <w:szCs w:val="18"/>
                  </w:rPr>
                </w:pPr>
              </w:p>
            </w:tc>
            <w:tc>
              <w:tcPr>
                <w:tcW w:w="601" w:type="pct"/>
                <w:shd w:val="clear" w:color="auto" w:fill="auto"/>
              </w:tcPr>
              <w:p w14:paraId="637C87BB" w14:textId="77777777" w:rsidR="00471D53" w:rsidRPr="004B2220" w:rsidRDefault="00B664AF">
                <w:pPr>
                  <w:jc w:val="right"/>
                  <w:rPr>
                    <w:sz w:val="18"/>
                    <w:szCs w:val="18"/>
                  </w:rPr>
                </w:pPr>
              </w:p>
            </w:tc>
            <w:tc>
              <w:tcPr>
                <w:tcW w:w="603" w:type="pct"/>
                <w:shd w:val="clear" w:color="auto" w:fill="auto"/>
              </w:tcPr>
              <w:p w14:paraId="3B700C6B" w14:textId="77777777" w:rsidR="00471D53" w:rsidRPr="004B2220" w:rsidRDefault="00B664AF">
                <w:pPr>
                  <w:jc w:val="right"/>
                  <w:rPr>
                    <w:sz w:val="18"/>
                    <w:szCs w:val="18"/>
                  </w:rPr>
                </w:pPr>
              </w:p>
            </w:tc>
            <w:tc>
              <w:tcPr>
                <w:tcW w:w="597" w:type="pct"/>
                <w:shd w:val="clear" w:color="auto" w:fill="auto"/>
              </w:tcPr>
              <w:p w14:paraId="54992589" w14:textId="77777777" w:rsidR="00471D53" w:rsidRPr="004B2220" w:rsidRDefault="00B664AF">
                <w:pPr>
                  <w:jc w:val="right"/>
                  <w:rPr>
                    <w:sz w:val="18"/>
                    <w:szCs w:val="18"/>
                  </w:rPr>
                </w:pPr>
              </w:p>
            </w:tc>
          </w:tr>
          <w:tr w:rsidR="00471D53" w14:paraId="5786AF9F" w14:textId="77777777" w:rsidTr="00471D53">
            <w:sdt>
              <w:sdtPr>
                <w:rPr>
                  <w:sz w:val="20"/>
                  <w:szCs w:val="20"/>
                </w:rPr>
                <w:tag w:val="_PLD_87be35a6f331456eb4e213fe998f1437"/>
                <w:id w:val="-2097698445"/>
                <w:lock w:val="sdtLocked"/>
              </w:sdtPr>
              <w:sdtEndPr/>
              <w:sdtContent>
                <w:tc>
                  <w:tcPr>
                    <w:tcW w:w="734" w:type="pct"/>
                    <w:shd w:val="clear" w:color="auto" w:fill="auto"/>
                  </w:tcPr>
                  <w:p w14:paraId="00D22C83" w14:textId="5721EBFE" w:rsidR="00471D53" w:rsidRPr="004B2220" w:rsidRDefault="004F686E">
                    <w:pPr>
                      <w:rPr>
                        <w:sz w:val="20"/>
                        <w:szCs w:val="20"/>
                      </w:rPr>
                    </w:pPr>
                    <w:r w:rsidRPr="004B2220">
                      <w:rPr>
                        <w:sz w:val="20"/>
                        <w:szCs w:val="20"/>
                      </w:rPr>
                      <w:t>现金流量套期储备</w:t>
                    </w:r>
                  </w:p>
                </w:tc>
              </w:sdtContent>
            </w:sdt>
            <w:tc>
              <w:tcPr>
                <w:tcW w:w="600" w:type="pct"/>
                <w:shd w:val="clear" w:color="auto" w:fill="auto"/>
              </w:tcPr>
              <w:p w14:paraId="08C4E670" w14:textId="77777777" w:rsidR="00471D53" w:rsidRPr="004B2220" w:rsidRDefault="00B664AF">
                <w:pPr>
                  <w:jc w:val="right"/>
                  <w:rPr>
                    <w:sz w:val="18"/>
                    <w:szCs w:val="18"/>
                  </w:rPr>
                </w:pPr>
              </w:p>
            </w:tc>
            <w:tc>
              <w:tcPr>
                <w:tcW w:w="600" w:type="pct"/>
                <w:shd w:val="clear" w:color="auto" w:fill="auto"/>
              </w:tcPr>
              <w:p w14:paraId="04C9103D" w14:textId="77777777" w:rsidR="00471D53" w:rsidRPr="004B2220" w:rsidRDefault="00B664AF">
                <w:pPr>
                  <w:jc w:val="right"/>
                  <w:rPr>
                    <w:sz w:val="18"/>
                    <w:szCs w:val="18"/>
                  </w:rPr>
                </w:pPr>
              </w:p>
            </w:tc>
            <w:tc>
              <w:tcPr>
                <w:tcW w:w="400" w:type="pct"/>
                <w:shd w:val="clear" w:color="auto" w:fill="auto"/>
              </w:tcPr>
              <w:p w14:paraId="30809475" w14:textId="77777777" w:rsidR="00471D53" w:rsidRPr="004B2220" w:rsidRDefault="00B664AF">
                <w:pPr>
                  <w:jc w:val="right"/>
                  <w:rPr>
                    <w:sz w:val="18"/>
                    <w:szCs w:val="18"/>
                  </w:rPr>
                </w:pPr>
              </w:p>
            </w:tc>
            <w:tc>
              <w:tcPr>
                <w:tcW w:w="534" w:type="pct"/>
              </w:tcPr>
              <w:p w14:paraId="4FCC0AFE" w14:textId="77777777" w:rsidR="00471D53" w:rsidRPr="004B2220" w:rsidRDefault="00B664AF">
                <w:pPr>
                  <w:jc w:val="right"/>
                  <w:rPr>
                    <w:sz w:val="18"/>
                    <w:szCs w:val="18"/>
                  </w:rPr>
                </w:pPr>
              </w:p>
            </w:tc>
            <w:tc>
              <w:tcPr>
                <w:tcW w:w="332" w:type="pct"/>
                <w:shd w:val="clear" w:color="auto" w:fill="auto"/>
              </w:tcPr>
              <w:p w14:paraId="61CE9ED8" w14:textId="77777777" w:rsidR="00471D53" w:rsidRPr="004B2220" w:rsidRDefault="00B664AF">
                <w:pPr>
                  <w:jc w:val="right"/>
                  <w:rPr>
                    <w:sz w:val="18"/>
                    <w:szCs w:val="18"/>
                  </w:rPr>
                </w:pPr>
              </w:p>
            </w:tc>
            <w:tc>
              <w:tcPr>
                <w:tcW w:w="601" w:type="pct"/>
                <w:shd w:val="clear" w:color="auto" w:fill="auto"/>
              </w:tcPr>
              <w:p w14:paraId="4EB0A5E0" w14:textId="77777777" w:rsidR="00471D53" w:rsidRPr="004B2220" w:rsidRDefault="00B664AF">
                <w:pPr>
                  <w:jc w:val="right"/>
                  <w:rPr>
                    <w:sz w:val="18"/>
                    <w:szCs w:val="18"/>
                  </w:rPr>
                </w:pPr>
              </w:p>
            </w:tc>
            <w:tc>
              <w:tcPr>
                <w:tcW w:w="603" w:type="pct"/>
                <w:shd w:val="clear" w:color="auto" w:fill="auto"/>
              </w:tcPr>
              <w:p w14:paraId="69D8614F" w14:textId="77777777" w:rsidR="00471D53" w:rsidRPr="004B2220" w:rsidRDefault="00B664AF">
                <w:pPr>
                  <w:jc w:val="right"/>
                  <w:rPr>
                    <w:sz w:val="18"/>
                    <w:szCs w:val="18"/>
                  </w:rPr>
                </w:pPr>
              </w:p>
            </w:tc>
            <w:tc>
              <w:tcPr>
                <w:tcW w:w="597" w:type="pct"/>
                <w:shd w:val="clear" w:color="auto" w:fill="auto"/>
              </w:tcPr>
              <w:p w14:paraId="2D19F2DC" w14:textId="77777777" w:rsidR="00471D53" w:rsidRPr="004B2220" w:rsidRDefault="00B664AF">
                <w:pPr>
                  <w:jc w:val="right"/>
                  <w:rPr>
                    <w:sz w:val="18"/>
                    <w:szCs w:val="18"/>
                  </w:rPr>
                </w:pPr>
              </w:p>
            </w:tc>
          </w:tr>
          <w:tr w:rsidR="00471D53" w14:paraId="2233FB4E" w14:textId="77777777" w:rsidTr="00471D53">
            <w:sdt>
              <w:sdtPr>
                <w:rPr>
                  <w:sz w:val="20"/>
                  <w:szCs w:val="20"/>
                </w:rPr>
                <w:tag w:val="_PLD_7096ad729dde4fc1a4c67915bc5f19df"/>
                <w:id w:val="115803153"/>
                <w:lock w:val="sdtLocked"/>
              </w:sdtPr>
              <w:sdtEndPr/>
              <w:sdtContent>
                <w:tc>
                  <w:tcPr>
                    <w:tcW w:w="734" w:type="pct"/>
                    <w:shd w:val="clear" w:color="auto" w:fill="auto"/>
                  </w:tcPr>
                  <w:p w14:paraId="650C4E76" w14:textId="5410B358" w:rsidR="00471D53" w:rsidRPr="004B2220" w:rsidRDefault="004F686E">
                    <w:pPr>
                      <w:rPr>
                        <w:sz w:val="20"/>
                        <w:szCs w:val="20"/>
                      </w:rPr>
                    </w:pPr>
                    <w:r w:rsidRPr="004B2220">
                      <w:rPr>
                        <w:rFonts w:hint="eastAsia"/>
                        <w:sz w:val="20"/>
                        <w:szCs w:val="20"/>
                      </w:rPr>
                      <w:t>外币财务报表折算差额</w:t>
                    </w:r>
                  </w:p>
                </w:tc>
              </w:sdtContent>
            </w:sdt>
            <w:tc>
              <w:tcPr>
                <w:tcW w:w="600" w:type="pct"/>
                <w:shd w:val="clear" w:color="auto" w:fill="auto"/>
                <w:vAlign w:val="center"/>
              </w:tcPr>
              <w:p w14:paraId="3AF6C41F" w14:textId="77777777" w:rsidR="00471D53" w:rsidRPr="004B2220" w:rsidRDefault="004F686E" w:rsidP="00471D53">
                <w:pPr>
                  <w:jc w:val="right"/>
                  <w:rPr>
                    <w:sz w:val="18"/>
                    <w:szCs w:val="18"/>
                  </w:rPr>
                </w:pPr>
                <w:r w:rsidRPr="004B2220">
                  <w:rPr>
                    <w:sz w:val="18"/>
                    <w:szCs w:val="18"/>
                  </w:rPr>
                  <w:t>-497</w:t>
                </w:r>
                <w:r w:rsidRPr="004B2220">
                  <w:rPr>
                    <w:rFonts w:hint="eastAsia"/>
                    <w:sz w:val="18"/>
                    <w:szCs w:val="18"/>
                  </w:rPr>
                  <w:t>,</w:t>
                </w:r>
                <w:r w:rsidRPr="004B2220">
                  <w:rPr>
                    <w:sz w:val="18"/>
                    <w:szCs w:val="18"/>
                  </w:rPr>
                  <w:t>275.18</w:t>
                </w:r>
              </w:p>
            </w:tc>
            <w:tc>
              <w:tcPr>
                <w:tcW w:w="600" w:type="pct"/>
                <w:shd w:val="clear" w:color="auto" w:fill="auto"/>
                <w:vAlign w:val="center"/>
              </w:tcPr>
              <w:p w14:paraId="27CEA5B1" w14:textId="77777777" w:rsidR="00471D53" w:rsidRPr="004B2220" w:rsidRDefault="004F686E" w:rsidP="00471D53">
                <w:pPr>
                  <w:jc w:val="right"/>
                  <w:rPr>
                    <w:sz w:val="18"/>
                    <w:szCs w:val="18"/>
                  </w:rPr>
                </w:pPr>
                <w:r w:rsidRPr="004B2220">
                  <w:rPr>
                    <w:sz w:val="18"/>
                    <w:szCs w:val="18"/>
                  </w:rPr>
                  <w:t>-314,403.47</w:t>
                </w:r>
              </w:p>
            </w:tc>
            <w:tc>
              <w:tcPr>
                <w:tcW w:w="400" w:type="pct"/>
                <w:shd w:val="clear" w:color="auto" w:fill="auto"/>
              </w:tcPr>
              <w:p w14:paraId="3DB73544" w14:textId="77777777" w:rsidR="00471D53" w:rsidRPr="004B2220" w:rsidRDefault="00B664AF">
                <w:pPr>
                  <w:jc w:val="right"/>
                  <w:rPr>
                    <w:sz w:val="18"/>
                    <w:szCs w:val="18"/>
                  </w:rPr>
                </w:pPr>
              </w:p>
            </w:tc>
            <w:tc>
              <w:tcPr>
                <w:tcW w:w="534" w:type="pct"/>
              </w:tcPr>
              <w:p w14:paraId="388353DC" w14:textId="77777777" w:rsidR="00471D53" w:rsidRPr="004B2220" w:rsidRDefault="00B664AF">
                <w:pPr>
                  <w:jc w:val="right"/>
                  <w:rPr>
                    <w:sz w:val="18"/>
                    <w:szCs w:val="18"/>
                  </w:rPr>
                </w:pPr>
              </w:p>
            </w:tc>
            <w:tc>
              <w:tcPr>
                <w:tcW w:w="332" w:type="pct"/>
                <w:shd w:val="clear" w:color="auto" w:fill="auto"/>
              </w:tcPr>
              <w:p w14:paraId="2134F6D1" w14:textId="77777777" w:rsidR="00471D53" w:rsidRPr="004B2220" w:rsidRDefault="00B664AF">
                <w:pPr>
                  <w:jc w:val="right"/>
                  <w:rPr>
                    <w:sz w:val="18"/>
                    <w:szCs w:val="18"/>
                  </w:rPr>
                </w:pPr>
              </w:p>
            </w:tc>
            <w:tc>
              <w:tcPr>
                <w:tcW w:w="601" w:type="pct"/>
                <w:shd w:val="clear" w:color="auto" w:fill="auto"/>
                <w:vAlign w:val="center"/>
              </w:tcPr>
              <w:p w14:paraId="07ED65E1" w14:textId="77777777" w:rsidR="00471D53" w:rsidRPr="004B2220" w:rsidRDefault="004F686E" w:rsidP="00471D53">
                <w:pPr>
                  <w:jc w:val="right"/>
                  <w:rPr>
                    <w:sz w:val="18"/>
                    <w:szCs w:val="18"/>
                  </w:rPr>
                </w:pPr>
                <w:r w:rsidRPr="004B2220">
                  <w:rPr>
                    <w:sz w:val="18"/>
                    <w:szCs w:val="18"/>
                  </w:rPr>
                  <w:t>-284,904.88</w:t>
                </w:r>
              </w:p>
            </w:tc>
            <w:tc>
              <w:tcPr>
                <w:tcW w:w="603" w:type="pct"/>
                <w:shd w:val="clear" w:color="auto" w:fill="auto"/>
                <w:vAlign w:val="center"/>
              </w:tcPr>
              <w:p w14:paraId="396A13D3" w14:textId="77777777" w:rsidR="00471D53" w:rsidRPr="004B2220" w:rsidRDefault="004F686E" w:rsidP="00471D53">
                <w:pPr>
                  <w:jc w:val="right"/>
                  <w:rPr>
                    <w:sz w:val="18"/>
                    <w:szCs w:val="18"/>
                  </w:rPr>
                </w:pPr>
                <w:r w:rsidRPr="004B2220">
                  <w:rPr>
                    <w:sz w:val="18"/>
                    <w:szCs w:val="18"/>
                  </w:rPr>
                  <w:t>-29,498.59</w:t>
                </w:r>
              </w:p>
            </w:tc>
            <w:tc>
              <w:tcPr>
                <w:tcW w:w="597" w:type="pct"/>
                <w:shd w:val="clear" w:color="auto" w:fill="auto"/>
                <w:vAlign w:val="center"/>
              </w:tcPr>
              <w:p w14:paraId="35874A23" w14:textId="77777777" w:rsidR="00471D53" w:rsidRPr="004B2220" w:rsidRDefault="004F686E" w:rsidP="00471D53">
                <w:pPr>
                  <w:jc w:val="right"/>
                  <w:rPr>
                    <w:sz w:val="18"/>
                    <w:szCs w:val="18"/>
                  </w:rPr>
                </w:pPr>
                <w:r w:rsidRPr="004B2220">
                  <w:rPr>
                    <w:sz w:val="18"/>
                    <w:szCs w:val="18"/>
                  </w:rPr>
                  <w:t>-782,180.06</w:t>
                </w:r>
              </w:p>
            </w:tc>
          </w:tr>
          <w:sdt>
            <w:sdtPr>
              <w:rPr>
                <w:rFonts w:hint="eastAsia"/>
                <w:sz w:val="20"/>
                <w:szCs w:val="20"/>
              </w:rPr>
              <w:alias w:val="以后将重分类进损益的其他综合收益明细"/>
              <w:tag w:val="_TUP_56d4648d761a4a9a9f94fac2aeb735b6"/>
              <w:id w:val="1552413572"/>
              <w:lock w:val="sdtLocked"/>
            </w:sdtPr>
            <w:sdtEndPr>
              <w:rPr>
                <w:sz w:val="18"/>
                <w:szCs w:val="18"/>
              </w:rPr>
            </w:sdtEndPr>
            <w:sdtContent>
              <w:tr w:rsidR="00471D53" w14:paraId="091B5325" w14:textId="77777777" w:rsidTr="00471D53">
                <w:tc>
                  <w:tcPr>
                    <w:tcW w:w="734" w:type="pct"/>
                    <w:tcBorders>
                      <w:bottom w:val="single" w:sz="4" w:space="0" w:color="auto"/>
                    </w:tcBorders>
                    <w:shd w:val="clear" w:color="auto" w:fill="auto"/>
                  </w:tcPr>
                  <w:p w14:paraId="3F3CA9F7" w14:textId="77777777" w:rsidR="00471D53" w:rsidRPr="004B2220" w:rsidRDefault="00B664AF">
                    <w:pPr>
                      <w:rPr>
                        <w:sz w:val="20"/>
                        <w:szCs w:val="20"/>
                      </w:rPr>
                    </w:pPr>
                  </w:p>
                </w:tc>
                <w:tc>
                  <w:tcPr>
                    <w:tcW w:w="600" w:type="pct"/>
                    <w:shd w:val="clear" w:color="auto" w:fill="auto"/>
                  </w:tcPr>
                  <w:p w14:paraId="15513F47" w14:textId="77777777" w:rsidR="00471D53" w:rsidRPr="004B2220" w:rsidRDefault="00B664AF">
                    <w:pPr>
                      <w:jc w:val="right"/>
                      <w:rPr>
                        <w:sz w:val="18"/>
                        <w:szCs w:val="18"/>
                      </w:rPr>
                    </w:pPr>
                  </w:p>
                </w:tc>
                <w:tc>
                  <w:tcPr>
                    <w:tcW w:w="600" w:type="pct"/>
                    <w:shd w:val="clear" w:color="auto" w:fill="auto"/>
                  </w:tcPr>
                  <w:p w14:paraId="68F53266" w14:textId="77777777" w:rsidR="00471D53" w:rsidRPr="004B2220" w:rsidRDefault="00B664AF">
                    <w:pPr>
                      <w:jc w:val="right"/>
                      <w:rPr>
                        <w:sz w:val="18"/>
                        <w:szCs w:val="18"/>
                      </w:rPr>
                    </w:pPr>
                  </w:p>
                </w:tc>
                <w:tc>
                  <w:tcPr>
                    <w:tcW w:w="400" w:type="pct"/>
                    <w:shd w:val="clear" w:color="auto" w:fill="auto"/>
                  </w:tcPr>
                  <w:p w14:paraId="219B6852" w14:textId="77777777" w:rsidR="00471D53" w:rsidRPr="004B2220" w:rsidRDefault="00B664AF">
                    <w:pPr>
                      <w:jc w:val="right"/>
                      <w:rPr>
                        <w:sz w:val="18"/>
                        <w:szCs w:val="18"/>
                      </w:rPr>
                    </w:pPr>
                  </w:p>
                </w:tc>
                <w:tc>
                  <w:tcPr>
                    <w:tcW w:w="534" w:type="pct"/>
                  </w:tcPr>
                  <w:p w14:paraId="61FDCF87" w14:textId="77777777" w:rsidR="00471D53" w:rsidRPr="004B2220" w:rsidRDefault="00B664AF">
                    <w:pPr>
                      <w:jc w:val="right"/>
                      <w:rPr>
                        <w:sz w:val="18"/>
                        <w:szCs w:val="18"/>
                      </w:rPr>
                    </w:pPr>
                  </w:p>
                </w:tc>
                <w:tc>
                  <w:tcPr>
                    <w:tcW w:w="332" w:type="pct"/>
                    <w:shd w:val="clear" w:color="auto" w:fill="auto"/>
                  </w:tcPr>
                  <w:p w14:paraId="610F61A8" w14:textId="77777777" w:rsidR="00471D53" w:rsidRPr="004B2220" w:rsidRDefault="00B664AF">
                    <w:pPr>
                      <w:jc w:val="right"/>
                      <w:rPr>
                        <w:sz w:val="18"/>
                        <w:szCs w:val="18"/>
                      </w:rPr>
                    </w:pPr>
                  </w:p>
                </w:tc>
                <w:tc>
                  <w:tcPr>
                    <w:tcW w:w="601" w:type="pct"/>
                    <w:shd w:val="clear" w:color="auto" w:fill="auto"/>
                  </w:tcPr>
                  <w:p w14:paraId="26224E4A" w14:textId="77777777" w:rsidR="00471D53" w:rsidRPr="004B2220" w:rsidRDefault="00B664AF">
                    <w:pPr>
                      <w:jc w:val="right"/>
                      <w:rPr>
                        <w:sz w:val="18"/>
                        <w:szCs w:val="18"/>
                      </w:rPr>
                    </w:pPr>
                  </w:p>
                </w:tc>
                <w:tc>
                  <w:tcPr>
                    <w:tcW w:w="603" w:type="pct"/>
                    <w:shd w:val="clear" w:color="auto" w:fill="auto"/>
                  </w:tcPr>
                  <w:p w14:paraId="0D2221B6" w14:textId="77777777" w:rsidR="00471D53" w:rsidRPr="004B2220" w:rsidRDefault="00B664AF">
                    <w:pPr>
                      <w:jc w:val="right"/>
                      <w:rPr>
                        <w:sz w:val="18"/>
                        <w:szCs w:val="18"/>
                      </w:rPr>
                    </w:pPr>
                  </w:p>
                </w:tc>
                <w:tc>
                  <w:tcPr>
                    <w:tcW w:w="597" w:type="pct"/>
                    <w:shd w:val="clear" w:color="auto" w:fill="auto"/>
                  </w:tcPr>
                  <w:p w14:paraId="7173F8C3" w14:textId="77777777" w:rsidR="00471D53" w:rsidRPr="004B2220" w:rsidRDefault="00B664AF">
                    <w:pPr>
                      <w:jc w:val="right"/>
                      <w:rPr>
                        <w:sz w:val="18"/>
                        <w:szCs w:val="18"/>
                      </w:rPr>
                    </w:pPr>
                  </w:p>
                </w:tc>
              </w:tr>
            </w:sdtContent>
          </w:sdt>
          <w:sdt>
            <w:sdtPr>
              <w:rPr>
                <w:rFonts w:hint="eastAsia"/>
                <w:sz w:val="20"/>
                <w:szCs w:val="20"/>
              </w:rPr>
              <w:alias w:val="以后将重分类进损益的其他综合收益明细"/>
              <w:tag w:val="_TUP_56d4648d761a4a9a9f94fac2aeb735b6"/>
              <w:id w:val="1816983264"/>
              <w:lock w:val="sdtLocked"/>
            </w:sdtPr>
            <w:sdtEndPr>
              <w:rPr>
                <w:sz w:val="18"/>
                <w:szCs w:val="18"/>
              </w:rPr>
            </w:sdtEndPr>
            <w:sdtContent>
              <w:tr w:rsidR="00471D53" w14:paraId="785DADF5" w14:textId="77777777" w:rsidTr="00471D53">
                <w:tc>
                  <w:tcPr>
                    <w:tcW w:w="734" w:type="pct"/>
                    <w:tcBorders>
                      <w:bottom w:val="single" w:sz="4" w:space="0" w:color="auto"/>
                    </w:tcBorders>
                    <w:shd w:val="clear" w:color="auto" w:fill="auto"/>
                  </w:tcPr>
                  <w:p w14:paraId="75B69888" w14:textId="77777777" w:rsidR="00471D53" w:rsidRPr="004B2220" w:rsidRDefault="00B664AF">
                    <w:pPr>
                      <w:rPr>
                        <w:sz w:val="20"/>
                        <w:szCs w:val="20"/>
                      </w:rPr>
                    </w:pPr>
                  </w:p>
                </w:tc>
                <w:tc>
                  <w:tcPr>
                    <w:tcW w:w="600" w:type="pct"/>
                    <w:shd w:val="clear" w:color="auto" w:fill="auto"/>
                  </w:tcPr>
                  <w:p w14:paraId="790683F3" w14:textId="77777777" w:rsidR="00471D53" w:rsidRPr="004B2220" w:rsidRDefault="00B664AF">
                    <w:pPr>
                      <w:jc w:val="right"/>
                      <w:rPr>
                        <w:sz w:val="18"/>
                        <w:szCs w:val="18"/>
                      </w:rPr>
                    </w:pPr>
                  </w:p>
                </w:tc>
                <w:tc>
                  <w:tcPr>
                    <w:tcW w:w="600" w:type="pct"/>
                    <w:shd w:val="clear" w:color="auto" w:fill="auto"/>
                  </w:tcPr>
                  <w:p w14:paraId="0A010CDF" w14:textId="77777777" w:rsidR="00471D53" w:rsidRPr="004B2220" w:rsidRDefault="00B664AF">
                    <w:pPr>
                      <w:jc w:val="right"/>
                      <w:rPr>
                        <w:sz w:val="18"/>
                        <w:szCs w:val="18"/>
                      </w:rPr>
                    </w:pPr>
                  </w:p>
                </w:tc>
                <w:tc>
                  <w:tcPr>
                    <w:tcW w:w="400" w:type="pct"/>
                    <w:shd w:val="clear" w:color="auto" w:fill="auto"/>
                  </w:tcPr>
                  <w:p w14:paraId="655789C5" w14:textId="77777777" w:rsidR="00471D53" w:rsidRPr="004B2220" w:rsidRDefault="00B664AF">
                    <w:pPr>
                      <w:jc w:val="right"/>
                      <w:rPr>
                        <w:sz w:val="18"/>
                        <w:szCs w:val="18"/>
                      </w:rPr>
                    </w:pPr>
                  </w:p>
                </w:tc>
                <w:tc>
                  <w:tcPr>
                    <w:tcW w:w="534" w:type="pct"/>
                  </w:tcPr>
                  <w:p w14:paraId="6A4D44B2" w14:textId="77777777" w:rsidR="00471D53" w:rsidRPr="004B2220" w:rsidRDefault="00B664AF">
                    <w:pPr>
                      <w:jc w:val="right"/>
                      <w:rPr>
                        <w:sz w:val="18"/>
                        <w:szCs w:val="18"/>
                      </w:rPr>
                    </w:pPr>
                  </w:p>
                </w:tc>
                <w:tc>
                  <w:tcPr>
                    <w:tcW w:w="332" w:type="pct"/>
                    <w:shd w:val="clear" w:color="auto" w:fill="auto"/>
                  </w:tcPr>
                  <w:p w14:paraId="315163B7" w14:textId="77777777" w:rsidR="00471D53" w:rsidRPr="004B2220" w:rsidRDefault="00B664AF">
                    <w:pPr>
                      <w:jc w:val="right"/>
                      <w:rPr>
                        <w:sz w:val="18"/>
                        <w:szCs w:val="18"/>
                      </w:rPr>
                    </w:pPr>
                  </w:p>
                </w:tc>
                <w:tc>
                  <w:tcPr>
                    <w:tcW w:w="601" w:type="pct"/>
                    <w:shd w:val="clear" w:color="auto" w:fill="auto"/>
                  </w:tcPr>
                  <w:p w14:paraId="1A6B3169" w14:textId="77777777" w:rsidR="00471D53" w:rsidRPr="004B2220" w:rsidRDefault="00B664AF">
                    <w:pPr>
                      <w:jc w:val="right"/>
                      <w:rPr>
                        <w:sz w:val="18"/>
                        <w:szCs w:val="18"/>
                      </w:rPr>
                    </w:pPr>
                  </w:p>
                </w:tc>
                <w:tc>
                  <w:tcPr>
                    <w:tcW w:w="603" w:type="pct"/>
                    <w:shd w:val="clear" w:color="auto" w:fill="auto"/>
                  </w:tcPr>
                  <w:p w14:paraId="1D533907" w14:textId="77777777" w:rsidR="00471D53" w:rsidRPr="004B2220" w:rsidRDefault="00B664AF">
                    <w:pPr>
                      <w:jc w:val="right"/>
                      <w:rPr>
                        <w:sz w:val="18"/>
                        <w:szCs w:val="18"/>
                      </w:rPr>
                    </w:pPr>
                  </w:p>
                </w:tc>
                <w:tc>
                  <w:tcPr>
                    <w:tcW w:w="597" w:type="pct"/>
                    <w:shd w:val="clear" w:color="auto" w:fill="auto"/>
                  </w:tcPr>
                  <w:p w14:paraId="1CBF77A5" w14:textId="77777777" w:rsidR="00471D53" w:rsidRPr="004B2220" w:rsidRDefault="00B664AF">
                    <w:pPr>
                      <w:jc w:val="right"/>
                      <w:rPr>
                        <w:sz w:val="18"/>
                        <w:szCs w:val="18"/>
                      </w:rPr>
                    </w:pPr>
                  </w:p>
                </w:tc>
              </w:tr>
            </w:sdtContent>
          </w:sdt>
          <w:tr w:rsidR="00471D53" w:rsidRPr="004B2220" w14:paraId="6BF03606" w14:textId="77777777" w:rsidTr="00471D53">
            <w:sdt>
              <w:sdtPr>
                <w:rPr>
                  <w:sz w:val="20"/>
                  <w:szCs w:val="20"/>
                </w:rPr>
                <w:tag w:val="_PLD_da397a12577f4c5f8c92faa7b167ad8e"/>
                <w:id w:val="1841967641"/>
                <w:lock w:val="sdtLocked"/>
              </w:sdtPr>
              <w:sdtEndPr/>
              <w:sdtContent>
                <w:tc>
                  <w:tcPr>
                    <w:tcW w:w="734" w:type="pct"/>
                    <w:shd w:val="clear" w:color="auto" w:fill="auto"/>
                    <w:vAlign w:val="center"/>
                  </w:tcPr>
                  <w:p w14:paraId="23D54CB2" w14:textId="77777777" w:rsidR="00471D53" w:rsidRPr="004B2220" w:rsidRDefault="004F686E">
                    <w:pPr>
                      <w:rPr>
                        <w:sz w:val="20"/>
                        <w:szCs w:val="20"/>
                      </w:rPr>
                    </w:pPr>
                    <w:r w:rsidRPr="004B2220">
                      <w:rPr>
                        <w:rFonts w:hint="eastAsia"/>
                        <w:sz w:val="20"/>
                        <w:szCs w:val="20"/>
                      </w:rPr>
                      <w:t>其他综合收益合计</w:t>
                    </w:r>
                  </w:p>
                </w:tc>
              </w:sdtContent>
            </w:sdt>
            <w:tc>
              <w:tcPr>
                <w:tcW w:w="600" w:type="pct"/>
                <w:shd w:val="clear" w:color="auto" w:fill="auto"/>
                <w:vAlign w:val="center"/>
              </w:tcPr>
              <w:p w14:paraId="5D65F620" w14:textId="77777777" w:rsidR="00471D53" w:rsidRPr="004B2220" w:rsidRDefault="004F686E" w:rsidP="00471D53">
                <w:pPr>
                  <w:jc w:val="right"/>
                  <w:rPr>
                    <w:bCs/>
                    <w:sz w:val="18"/>
                    <w:szCs w:val="18"/>
                  </w:rPr>
                </w:pPr>
                <w:r w:rsidRPr="004B2220">
                  <w:rPr>
                    <w:rFonts w:hint="eastAsia"/>
                    <w:bCs/>
                    <w:sz w:val="18"/>
                    <w:szCs w:val="18"/>
                  </w:rPr>
                  <w:t>-325,424.59</w:t>
                </w:r>
              </w:p>
            </w:tc>
            <w:tc>
              <w:tcPr>
                <w:tcW w:w="600" w:type="pct"/>
                <w:shd w:val="clear" w:color="auto" w:fill="auto"/>
                <w:vAlign w:val="center"/>
              </w:tcPr>
              <w:p w14:paraId="2B9FFF7F" w14:textId="77777777" w:rsidR="00471D53" w:rsidRPr="004B2220" w:rsidRDefault="004F686E" w:rsidP="00471D53">
                <w:pPr>
                  <w:jc w:val="right"/>
                  <w:rPr>
                    <w:bCs/>
                    <w:sz w:val="18"/>
                    <w:szCs w:val="18"/>
                  </w:rPr>
                </w:pPr>
                <w:r w:rsidRPr="004B2220">
                  <w:rPr>
                    <w:bCs/>
                    <w:sz w:val="18"/>
                    <w:szCs w:val="18"/>
                  </w:rPr>
                  <w:t>-315,521.28</w:t>
                </w:r>
              </w:p>
            </w:tc>
            <w:tc>
              <w:tcPr>
                <w:tcW w:w="400" w:type="pct"/>
                <w:shd w:val="clear" w:color="auto" w:fill="auto"/>
              </w:tcPr>
              <w:p w14:paraId="341964C2" w14:textId="77777777" w:rsidR="00471D53" w:rsidRPr="004B2220" w:rsidRDefault="00B664AF">
                <w:pPr>
                  <w:jc w:val="right"/>
                  <w:rPr>
                    <w:sz w:val="18"/>
                    <w:szCs w:val="18"/>
                  </w:rPr>
                </w:pPr>
              </w:p>
            </w:tc>
            <w:tc>
              <w:tcPr>
                <w:tcW w:w="534" w:type="pct"/>
              </w:tcPr>
              <w:p w14:paraId="4D3B341A" w14:textId="77777777" w:rsidR="00471D53" w:rsidRPr="004B2220" w:rsidRDefault="00B664AF">
                <w:pPr>
                  <w:jc w:val="right"/>
                  <w:rPr>
                    <w:sz w:val="18"/>
                    <w:szCs w:val="18"/>
                  </w:rPr>
                </w:pPr>
              </w:p>
            </w:tc>
            <w:tc>
              <w:tcPr>
                <w:tcW w:w="332" w:type="pct"/>
                <w:shd w:val="clear" w:color="auto" w:fill="auto"/>
              </w:tcPr>
              <w:p w14:paraId="734AAA2D" w14:textId="77777777" w:rsidR="00471D53" w:rsidRPr="004B2220" w:rsidRDefault="00B664AF">
                <w:pPr>
                  <w:jc w:val="right"/>
                  <w:rPr>
                    <w:sz w:val="18"/>
                    <w:szCs w:val="18"/>
                  </w:rPr>
                </w:pPr>
              </w:p>
            </w:tc>
            <w:tc>
              <w:tcPr>
                <w:tcW w:w="601" w:type="pct"/>
                <w:shd w:val="clear" w:color="auto" w:fill="auto"/>
                <w:vAlign w:val="center"/>
              </w:tcPr>
              <w:p w14:paraId="126F6D4C" w14:textId="77777777" w:rsidR="00471D53" w:rsidRPr="004B2220" w:rsidRDefault="004F686E" w:rsidP="00471D53">
                <w:pPr>
                  <w:jc w:val="right"/>
                  <w:rPr>
                    <w:bCs/>
                    <w:sz w:val="18"/>
                    <w:szCs w:val="18"/>
                  </w:rPr>
                </w:pPr>
                <w:r w:rsidRPr="004B2220">
                  <w:rPr>
                    <w:bCs/>
                    <w:sz w:val="18"/>
                    <w:szCs w:val="18"/>
                  </w:rPr>
                  <w:t>-286,022.69</w:t>
                </w:r>
              </w:p>
            </w:tc>
            <w:tc>
              <w:tcPr>
                <w:tcW w:w="603" w:type="pct"/>
                <w:shd w:val="clear" w:color="auto" w:fill="auto"/>
                <w:vAlign w:val="center"/>
              </w:tcPr>
              <w:p w14:paraId="57C0B448" w14:textId="77777777" w:rsidR="00471D53" w:rsidRPr="004B2220" w:rsidRDefault="004F686E" w:rsidP="00471D53">
                <w:pPr>
                  <w:jc w:val="right"/>
                  <w:rPr>
                    <w:bCs/>
                    <w:sz w:val="18"/>
                    <w:szCs w:val="18"/>
                  </w:rPr>
                </w:pPr>
                <w:r w:rsidRPr="004B2220">
                  <w:rPr>
                    <w:bCs/>
                    <w:sz w:val="18"/>
                    <w:szCs w:val="18"/>
                  </w:rPr>
                  <w:t>-29,498.59</w:t>
                </w:r>
              </w:p>
            </w:tc>
            <w:tc>
              <w:tcPr>
                <w:tcW w:w="597" w:type="pct"/>
                <w:shd w:val="clear" w:color="auto" w:fill="auto"/>
                <w:vAlign w:val="center"/>
              </w:tcPr>
              <w:p w14:paraId="16D1066D" w14:textId="77777777" w:rsidR="00471D53" w:rsidRPr="004B2220" w:rsidRDefault="004F686E" w:rsidP="00471D53">
                <w:pPr>
                  <w:jc w:val="right"/>
                  <w:rPr>
                    <w:bCs/>
                    <w:sz w:val="18"/>
                    <w:szCs w:val="18"/>
                  </w:rPr>
                </w:pPr>
                <w:r w:rsidRPr="004B2220">
                  <w:rPr>
                    <w:bCs/>
                    <w:sz w:val="18"/>
                    <w:szCs w:val="18"/>
                  </w:rPr>
                  <w:t>-611,447.28</w:t>
                </w:r>
              </w:p>
            </w:tc>
          </w:tr>
        </w:tbl>
        <w:p w14:paraId="79556762" w14:textId="77777777" w:rsidR="00471D53" w:rsidRDefault="00B664AF"/>
        <w:p w14:paraId="5C6C0752" w14:textId="77777777" w:rsidR="00471D53" w:rsidRDefault="004F686E">
          <w:pPr>
            <w:spacing w:before="60" w:after="60"/>
            <w:rPr>
              <w:b/>
              <w:szCs w:val="21"/>
            </w:rPr>
          </w:pPr>
          <w:r>
            <w:rPr>
              <w:rFonts w:hint="eastAsia"/>
              <w:szCs w:val="21"/>
            </w:rPr>
            <w:t>其他说明，包括对现金流量套期损益的有效部分转为被套期项目初始确认金额调整：</w:t>
          </w:r>
        </w:p>
        <w:sdt>
          <w:sdtPr>
            <w:rPr>
              <w:rFonts w:hint="eastAsia"/>
              <w:szCs w:val="21"/>
            </w:rPr>
            <w:alias w:val="综合收益情况"/>
            <w:tag w:val="_GBC_c389c92b3ef04746a88c157ed2e05698"/>
            <w:id w:val="1178385582"/>
            <w:lock w:val="sdtLocked"/>
            <w:placeholder>
              <w:docPart w:val="GBC22222222222222222222222222222"/>
            </w:placeholder>
          </w:sdtPr>
          <w:sdtEndPr/>
          <w:sdtContent>
            <w:p w14:paraId="3761C435" w14:textId="77777777" w:rsidR="00471D53" w:rsidRDefault="004F686E">
              <w:pPr>
                <w:rPr>
                  <w:szCs w:val="21"/>
                </w:rPr>
              </w:pPr>
              <w:r>
                <w:rPr>
                  <w:rFonts w:hint="eastAsia"/>
                  <w:szCs w:val="21"/>
                </w:rPr>
                <w:t>无</w:t>
              </w:r>
            </w:p>
          </w:sdtContent>
        </w:sdt>
      </w:sdtContent>
    </w:sdt>
    <w:bookmarkEnd w:id="211" w:displacedByCustomXml="prev"/>
    <w:p w14:paraId="6482212F" w14:textId="77777777" w:rsidR="00471D53" w:rsidRDefault="00B664AF">
      <w:pPr>
        <w:rPr>
          <w:szCs w:val="21"/>
        </w:rPr>
      </w:pPr>
    </w:p>
    <w:sdt>
      <w:sdtPr>
        <w:rPr>
          <w:rFonts w:ascii="宋体" w:hAnsi="宋体" w:cs="宋体" w:hint="eastAsia"/>
          <w:b w:val="0"/>
          <w:bCs w:val="0"/>
          <w:kern w:val="0"/>
          <w:szCs w:val="21"/>
        </w:rPr>
        <w:alias w:val="模块:专项储备"/>
        <w:tag w:val="_GBC_8a08fa7a416e4e52a104ea9b06479f9e"/>
        <w:id w:val="284930194"/>
        <w:lock w:val="sdtLocked"/>
        <w:placeholder>
          <w:docPart w:val="GBC22222222222222222222222222222"/>
        </w:placeholder>
      </w:sdtPr>
      <w:sdtEndPr>
        <w:rPr>
          <w:rFonts w:cstheme="minorBidi" w:hint="default"/>
          <w:color w:val="000000" w:themeColor="text1"/>
        </w:rPr>
      </w:sdtEndPr>
      <w:sdtContent>
        <w:p w14:paraId="6F3FF252"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专项储备</w:t>
          </w:r>
        </w:p>
        <w:sdt>
          <w:sdtPr>
            <w:alias w:val="是否适用：专项储备[双击切换]"/>
            <w:tag w:val="_GBC_291ec3c1c38144a3ac0bde67edb318cc"/>
            <w:id w:val="1120718375"/>
            <w:lock w:val="sdtLocked"/>
            <w:placeholder>
              <w:docPart w:val="GBC22222222222222222222222222222"/>
            </w:placeholder>
          </w:sdtPr>
          <w:sdtEndPr/>
          <w:sdtContent>
            <w:p w14:paraId="0340235C"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37FA370" w14:textId="77777777" w:rsidR="00471D53" w:rsidRDefault="00B664AF">
          <w:pPr>
            <w:rPr>
              <w:szCs w:val="21"/>
            </w:rPr>
          </w:pPr>
        </w:p>
      </w:sdtContent>
    </w:sdt>
    <w:p w14:paraId="13384AEB" w14:textId="77777777" w:rsidR="00471D53" w:rsidRDefault="00B664AF">
      <w:pPr>
        <w:rPr>
          <w:szCs w:val="21"/>
        </w:rPr>
      </w:pPr>
    </w:p>
    <w:sdt>
      <w:sdtPr>
        <w:rPr>
          <w:rFonts w:ascii="宋体" w:hAnsi="宋体" w:cs="宋体" w:hint="eastAsia"/>
          <w:b w:val="0"/>
          <w:bCs w:val="0"/>
          <w:kern w:val="0"/>
          <w:szCs w:val="21"/>
        </w:rPr>
        <w:alias w:val="模块:盈余公积"/>
        <w:tag w:val="_GBC_fc97b66d150f4d31ba9096ec58341715"/>
        <w:id w:val="1985346932"/>
        <w:lock w:val="sdtLocked"/>
        <w:placeholder>
          <w:docPart w:val="GBC22222222222222222222222222222"/>
        </w:placeholder>
      </w:sdtPr>
      <w:sdtEndPr>
        <w:rPr>
          <w:rFonts w:cstheme="minorBidi" w:hint="default"/>
          <w:kern w:val="2"/>
        </w:rPr>
      </w:sdtEndPr>
      <w:sdtContent>
        <w:p w14:paraId="719EE4BF"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盈余公积</w:t>
          </w:r>
        </w:p>
        <w:sdt>
          <w:sdtPr>
            <w:alias w:val="是否适用：盈余公积[双击切换]"/>
            <w:tag w:val="_GBC_52b9917fb423490bb32a9d6648a07db9"/>
            <w:id w:val="1172376084"/>
            <w:lock w:val="sdtLocked"/>
            <w:placeholder>
              <w:docPart w:val="GBC22222222222222222222222222222"/>
            </w:placeholder>
          </w:sdtPr>
          <w:sdtEndPr/>
          <w:sdtContent>
            <w:p w14:paraId="77BA693F"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7BA8354" w14:textId="18E8643E" w:rsidR="00471D53" w:rsidRDefault="004F686E">
          <w:pPr>
            <w:jc w:val="right"/>
            <w:rPr>
              <w:szCs w:val="21"/>
            </w:rPr>
          </w:pPr>
          <w:r>
            <w:rPr>
              <w:rFonts w:hint="eastAsia"/>
              <w:szCs w:val="21"/>
            </w:rPr>
            <w:t>单位：</w:t>
          </w:r>
          <w:sdt>
            <w:sdtPr>
              <w:rPr>
                <w:rFonts w:hint="eastAsia"/>
                <w:szCs w:val="21"/>
              </w:rPr>
              <w:alias w:val="单位：财务附注：盈余公积"/>
              <w:tag w:val="_GBC_ea3204141ce3498eaccd14c833f64973"/>
              <w:id w:val="-19307936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盈余公积"/>
              <w:tag w:val="_GBC_f5c6664d47b9454d919a38095dd3c48d"/>
              <w:id w:val="14777231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59"/>
            <w:gridCol w:w="1784"/>
            <w:gridCol w:w="1789"/>
            <w:gridCol w:w="1802"/>
            <w:gridCol w:w="1789"/>
          </w:tblGrid>
          <w:tr w:rsidR="00471D53" w14:paraId="34B61D89" w14:textId="77777777" w:rsidTr="00474A51">
            <w:sdt>
              <w:sdtPr>
                <w:tag w:val="_PLD_70f0cea3df9b4646bf8f9454719b4599"/>
                <w:id w:val="-1517689599"/>
                <w:lock w:val="sdtLocked"/>
              </w:sdtPr>
              <w:sdtEndPr/>
              <w:sdtContent>
                <w:tc>
                  <w:tcPr>
                    <w:tcW w:w="940" w:type="pct"/>
                  </w:tcPr>
                  <w:p w14:paraId="28646B5E" w14:textId="77777777" w:rsidR="00471D53" w:rsidRDefault="004F686E">
                    <w:pPr>
                      <w:autoSpaceDE w:val="0"/>
                      <w:autoSpaceDN w:val="0"/>
                      <w:adjustRightInd w:val="0"/>
                      <w:snapToGrid w:val="0"/>
                      <w:jc w:val="center"/>
                      <w:rPr>
                        <w:szCs w:val="21"/>
                      </w:rPr>
                    </w:pPr>
                    <w:r>
                      <w:rPr>
                        <w:rFonts w:hint="eastAsia"/>
                        <w:szCs w:val="21"/>
                      </w:rPr>
                      <w:t>项目</w:t>
                    </w:r>
                  </w:p>
                </w:tc>
              </w:sdtContent>
            </w:sdt>
            <w:sdt>
              <w:sdtPr>
                <w:tag w:val="_PLD_5466d5e3c2b64aeb9abc2e1a21f2e6c0"/>
                <w:id w:val="-1107500073"/>
                <w:lock w:val="sdtLocked"/>
              </w:sdtPr>
              <w:sdtEndPr/>
              <w:sdtContent>
                <w:tc>
                  <w:tcPr>
                    <w:tcW w:w="1011" w:type="pct"/>
                  </w:tcPr>
                  <w:p w14:paraId="2FAB86C4" w14:textId="77777777" w:rsidR="00471D53" w:rsidRDefault="004F686E">
                    <w:pPr>
                      <w:autoSpaceDE w:val="0"/>
                      <w:autoSpaceDN w:val="0"/>
                      <w:adjustRightInd w:val="0"/>
                      <w:snapToGrid w:val="0"/>
                      <w:jc w:val="center"/>
                      <w:rPr>
                        <w:szCs w:val="21"/>
                      </w:rPr>
                    </w:pPr>
                    <w:r>
                      <w:rPr>
                        <w:rFonts w:hint="eastAsia"/>
                        <w:szCs w:val="21"/>
                      </w:rPr>
                      <w:t>期初余额</w:t>
                    </w:r>
                  </w:p>
                </w:tc>
              </w:sdtContent>
            </w:sdt>
            <w:sdt>
              <w:sdtPr>
                <w:tag w:val="_PLD_44b0c825c55949b98cff671f8777dd39"/>
                <w:id w:val="486754408"/>
                <w:lock w:val="sdtLocked"/>
              </w:sdtPr>
              <w:sdtEndPr/>
              <w:sdtContent>
                <w:tc>
                  <w:tcPr>
                    <w:tcW w:w="1014" w:type="pct"/>
                  </w:tcPr>
                  <w:p w14:paraId="0B811BB6" w14:textId="77777777" w:rsidR="00471D53" w:rsidRDefault="004F686E">
                    <w:pPr>
                      <w:autoSpaceDE w:val="0"/>
                      <w:autoSpaceDN w:val="0"/>
                      <w:adjustRightInd w:val="0"/>
                      <w:snapToGrid w:val="0"/>
                      <w:jc w:val="center"/>
                      <w:rPr>
                        <w:szCs w:val="21"/>
                      </w:rPr>
                    </w:pPr>
                    <w:r>
                      <w:rPr>
                        <w:rFonts w:hint="eastAsia"/>
                        <w:szCs w:val="21"/>
                      </w:rPr>
                      <w:t>本期增加</w:t>
                    </w:r>
                  </w:p>
                </w:tc>
              </w:sdtContent>
            </w:sdt>
            <w:sdt>
              <w:sdtPr>
                <w:tag w:val="_PLD_111b02bee52f4f1a879468aa2243106f"/>
                <w:id w:val="381227189"/>
                <w:lock w:val="sdtLocked"/>
              </w:sdtPr>
              <w:sdtEndPr/>
              <w:sdtContent>
                <w:tc>
                  <w:tcPr>
                    <w:tcW w:w="1021" w:type="pct"/>
                  </w:tcPr>
                  <w:p w14:paraId="4F59E02E" w14:textId="77777777" w:rsidR="00471D53" w:rsidRDefault="004F686E">
                    <w:pPr>
                      <w:autoSpaceDE w:val="0"/>
                      <w:autoSpaceDN w:val="0"/>
                      <w:adjustRightInd w:val="0"/>
                      <w:snapToGrid w:val="0"/>
                      <w:jc w:val="center"/>
                      <w:rPr>
                        <w:szCs w:val="21"/>
                      </w:rPr>
                    </w:pPr>
                    <w:r>
                      <w:rPr>
                        <w:rFonts w:hint="eastAsia"/>
                        <w:szCs w:val="21"/>
                      </w:rPr>
                      <w:t>本期减少</w:t>
                    </w:r>
                  </w:p>
                </w:tc>
              </w:sdtContent>
            </w:sdt>
            <w:sdt>
              <w:sdtPr>
                <w:tag w:val="_PLD_e6d9dff1341d44c99d9c3f51d8fd2c2f"/>
                <w:id w:val="1105465577"/>
                <w:lock w:val="sdtLocked"/>
              </w:sdtPr>
              <w:sdtEndPr/>
              <w:sdtContent>
                <w:tc>
                  <w:tcPr>
                    <w:tcW w:w="1014" w:type="pct"/>
                  </w:tcPr>
                  <w:p w14:paraId="5C332162" w14:textId="77777777" w:rsidR="00471D53" w:rsidRDefault="004F686E">
                    <w:pPr>
                      <w:autoSpaceDE w:val="0"/>
                      <w:autoSpaceDN w:val="0"/>
                      <w:adjustRightInd w:val="0"/>
                      <w:snapToGrid w:val="0"/>
                      <w:jc w:val="center"/>
                      <w:rPr>
                        <w:szCs w:val="21"/>
                      </w:rPr>
                    </w:pPr>
                    <w:r>
                      <w:rPr>
                        <w:rFonts w:hint="eastAsia"/>
                        <w:szCs w:val="21"/>
                      </w:rPr>
                      <w:t>期末余额</w:t>
                    </w:r>
                  </w:p>
                </w:tc>
              </w:sdtContent>
            </w:sdt>
          </w:tr>
          <w:tr w:rsidR="00471D53" w14:paraId="28E16E5C" w14:textId="77777777" w:rsidTr="00471D53">
            <w:sdt>
              <w:sdtPr>
                <w:tag w:val="_PLD_fc05a7682db944fc88b1d5bf0888fab6"/>
                <w:id w:val="164598522"/>
                <w:lock w:val="sdtLocked"/>
              </w:sdtPr>
              <w:sdtEndPr/>
              <w:sdtContent>
                <w:tc>
                  <w:tcPr>
                    <w:tcW w:w="940" w:type="pct"/>
                    <w:shd w:val="clear" w:color="auto" w:fill="auto"/>
                    <w:vAlign w:val="center"/>
                  </w:tcPr>
                  <w:p w14:paraId="4997E97C" w14:textId="77777777" w:rsidR="00471D53" w:rsidRDefault="004F686E">
                    <w:pPr>
                      <w:autoSpaceDE w:val="0"/>
                      <w:autoSpaceDN w:val="0"/>
                      <w:adjustRightInd w:val="0"/>
                      <w:snapToGrid w:val="0"/>
                      <w:jc w:val="both"/>
                      <w:rPr>
                        <w:szCs w:val="21"/>
                      </w:rPr>
                    </w:pPr>
                    <w:r>
                      <w:rPr>
                        <w:rFonts w:hint="eastAsia"/>
                        <w:szCs w:val="21"/>
                      </w:rPr>
                      <w:t>法定盈余公积</w:t>
                    </w:r>
                  </w:p>
                </w:tc>
              </w:sdtContent>
            </w:sdt>
            <w:tc>
              <w:tcPr>
                <w:tcW w:w="1011" w:type="pct"/>
                <w:shd w:val="clear" w:color="auto" w:fill="auto"/>
                <w:vAlign w:val="center"/>
              </w:tcPr>
              <w:p w14:paraId="7289FD9A" w14:textId="77777777" w:rsidR="00471D53" w:rsidRDefault="004F686E" w:rsidP="00471D53">
                <w:pPr>
                  <w:snapToGrid w:val="0"/>
                  <w:jc w:val="right"/>
                  <w:rPr>
                    <w:sz w:val="22"/>
                    <w:szCs w:val="22"/>
                  </w:rPr>
                </w:pPr>
                <w:r>
                  <w:rPr>
                    <w:rFonts w:hint="eastAsia"/>
                    <w:sz w:val="22"/>
                    <w:szCs w:val="22"/>
                  </w:rPr>
                  <w:t>41,838,334.73</w:t>
                </w:r>
              </w:p>
            </w:tc>
            <w:tc>
              <w:tcPr>
                <w:tcW w:w="1014" w:type="pct"/>
                <w:shd w:val="clear" w:color="auto" w:fill="auto"/>
                <w:vAlign w:val="center"/>
              </w:tcPr>
              <w:p w14:paraId="32D2FD86" w14:textId="77777777" w:rsidR="00471D53" w:rsidRDefault="004F686E" w:rsidP="00471D53">
                <w:pPr>
                  <w:snapToGrid w:val="0"/>
                  <w:jc w:val="right"/>
                  <w:rPr>
                    <w:sz w:val="22"/>
                    <w:szCs w:val="22"/>
                  </w:rPr>
                </w:pPr>
                <w:r>
                  <w:rPr>
                    <w:rFonts w:hint="eastAsia"/>
                    <w:sz w:val="22"/>
                    <w:szCs w:val="22"/>
                  </w:rPr>
                  <w:t>0.00</w:t>
                </w:r>
              </w:p>
            </w:tc>
            <w:tc>
              <w:tcPr>
                <w:tcW w:w="1021" w:type="pct"/>
                <w:shd w:val="clear" w:color="auto" w:fill="auto"/>
                <w:vAlign w:val="center"/>
              </w:tcPr>
              <w:p w14:paraId="6354CBD4" w14:textId="77777777" w:rsidR="00471D53" w:rsidRDefault="004F686E" w:rsidP="00471D53">
                <w:pPr>
                  <w:snapToGrid w:val="0"/>
                  <w:jc w:val="right"/>
                  <w:rPr>
                    <w:sz w:val="22"/>
                    <w:szCs w:val="22"/>
                  </w:rPr>
                </w:pPr>
                <w:r>
                  <w:rPr>
                    <w:rFonts w:hint="eastAsia"/>
                    <w:sz w:val="22"/>
                    <w:szCs w:val="22"/>
                  </w:rPr>
                  <w:t>0.00</w:t>
                </w:r>
              </w:p>
            </w:tc>
            <w:tc>
              <w:tcPr>
                <w:tcW w:w="1014" w:type="pct"/>
                <w:shd w:val="clear" w:color="auto" w:fill="auto"/>
                <w:vAlign w:val="center"/>
              </w:tcPr>
              <w:p w14:paraId="471C6F2A" w14:textId="77777777" w:rsidR="00471D53" w:rsidRDefault="004F686E" w:rsidP="00471D53">
                <w:pPr>
                  <w:snapToGrid w:val="0"/>
                  <w:jc w:val="right"/>
                  <w:rPr>
                    <w:sz w:val="22"/>
                    <w:szCs w:val="22"/>
                  </w:rPr>
                </w:pPr>
                <w:r>
                  <w:rPr>
                    <w:rFonts w:hint="eastAsia"/>
                    <w:sz w:val="22"/>
                    <w:szCs w:val="22"/>
                  </w:rPr>
                  <w:t>41,838,334.73</w:t>
                </w:r>
              </w:p>
            </w:tc>
          </w:tr>
          <w:tr w:rsidR="00471D53" w14:paraId="18BAAC94" w14:textId="77777777" w:rsidTr="00471D53">
            <w:sdt>
              <w:sdtPr>
                <w:tag w:val="_PLD_d129220e9acf4011b78a05d75624a2b7"/>
                <w:id w:val="-808086869"/>
                <w:lock w:val="sdtLocked"/>
              </w:sdtPr>
              <w:sdtEndPr/>
              <w:sdtContent>
                <w:tc>
                  <w:tcPr>
                    <w:tcW w:w="940" w:type="pct"/>
                    <w:shd w:val="clear" w:color="auto" w:fill="auto"/>
                    <w:vAlign w:val="center"/>
                  </w:tcPr>
                  <w:p w14:paraId="6B537990" w14:textId="77777777" w:rsidR="00471D53" w:rsidRDefault="004F686E">
                    <w:pPr>
                      <w:autoSpaceDE w:val="0"/>
                      <w:autoSpaceDN w:val="0"/>
                      <w:adjustRightInd w:val="0"/>
                      <w:snapToGrid w:val="0"/>
                      <w:jc w:val="both"/>
                      <w:rPr>
                        <w:szCs w:val="21"/>
                      </w:rPr>
                    </w:pPr>
                    <w:r>
                      <w:rPr>
                        <w:rFonts w:hint="eastAsia"/>
                        <w:szCs w:val="21"/>
                      </w:rPr>
                      <w:t>任意盈余公积</w:t>
                    </w:r>
                  </w:p>
                </w:tc>
              </w:sdtContent>
            </w:sdt>
            <w:tc>
              <w:tcPr>
                <w:tcW w:w="1011" w:type="pct"/>
                <w:shd w:val="clear" w:color="auto" w:fill="auto"/>
                <w:vAlign w:val="center"/>
              </w:tcPr>
              <w:p w14:paraId="41AEEC16" w14:textId="77777777" w:rsidR="00471D53" w:rsidRDefault="004F686E" w:rsidP="00471D53">
                <w:pPr>
                  <w:snapToGrid w:val="0"/>
                  <w:jc w:val="right"/>
                  <w:rPr>
                    <w:sz w:val="22"/>
                    <w:szCs w:val="22"/>
                  </w:rPr>
                </w:pPr>
                <w:r>
                  <w:rPr>
                    <w:rFonts w:hint="eastAsia"/>
                    <w:sz w:val="22"/>
                    <w:szCs w:val="22"/>
                  </w:rPr>
                  <w:t>2,906,035.91</w:t>
                </w:r>
              </w:p>
            </w:tc>
            <w:tc>
              <w:tcPr>
                <w:tcW w:w="1014" w:type="pct"/>
                <w:shd w:val="clear" w:color="auto" w:fill="auto"/>
                <w:vAlign w:val="center"/>
              </w:tcPr>
              <w:p w14:paraId="6EA3D012" w14:textId="77777777" w:rsidR="00471D53" w:rsidRDefault="004F686E" w:rsidP="00471D53">
                <w:pPr>
                  <w:snapToGrid w:val="0"/>
                  <w:jc w:val="right"/>
                  <w:rPr>
                    <w:sz w:val="22"/>
                    <w:szCs w:val="22"/>
                  </w:rPr>
                </w:pPr>
                <w:r>
                  <w:rPr>
                    <w:rFonts w:hint="eastAsia"/>
                    <w:sz w:val="22"/>
                    <w:szCs w:val="22"/>
                  </w:rPr>
                  <w:t>0.00</w:t>
                </w:r>
              </w:p>
            </w:tc>
            <w:tc>
              <w:tcPr>
                <w:tcW w:w="1021" w:type="pct"/>
                <w:shd w:val="clear" w:color="auto" w:fill="auto"/>
                <w:vAlign w:val="center"/>
              </w:tcPr>
              <w:p w14:paraId="1D7238B4" w14:textId="77777777" w:rsidR="00471D53" w:rsidRDefault="004F686E" w:rsidP="00471D53">
                <w:pPr>
                  <w:snapToGrid w:val="0"/>
                  <w:jc w:val="right"/>
                  <w:rPr>
                    <w:sz w:val="22"/>
                    <w:szCs w:val="22"/>
                  </w:rPr>
                </w:pPr>
                <w:r>
                  <w:rPr>
                    <w:rFonts w:hint="eastAsia"/>
                    <w:sz w:val="22"/>
                    <w:szCs w:val="22"/>
                  </w:rPr>
                  <w:t>0.00</w:t>
                </w:r>
              </w:p>
            </w:tc>
            <w:tc>
              <w:tcPr>
                <w:tcW w:w="1014" w:type="pct"/>
                <w:shd w:val="clear" w:color="auto" w:fill="auto"/>
                <w:vAlign w:val="center"/>
              </w:tcPr>
              <w:p w14:paraId="41F6161A" w14:textId="77777777" w:rsidR="00471D53" w:rsidRDefault="004F686E" w:rsidP="00471D53">
                <w:pPr>
                  <w:snapToGrid w:val="0"/>
                  <w:jc w:val="right"/>
                  <w:rPr>
                    <w:sz w:val="22"/>
                    <w:szCs w:val="22"/>
                  </w:rPr>
                </w:pPr>
                <w:r>
                  <w:rPr>
                    <w:rFonts w:hint="eastAsia"/>
                    <w:sz w:val="22"/>
                    <w:szCs w:val="22"/>
                  </w:rPr>
                  <w:t>2,906,035.91</w:t>
                </w:r>
              </w:p>
            </w:tc>
          </w:tr>
          <w:tr w:rsidR="00471D53" w14:paraId="77A63A6A" w14:textId="77777777" w:rsidTr="00471D53">
            <w:sdt>
              <w:sdtPr>
                <w:tag w:val="_PLD_ec6472288a1e40028c081a6dc314eaf7"/>
                <w:id w:val="435871721"/>
                <w:lock w:val="sdtLocked"/>
              </w:sdtPr>
              <w:sdtEndPr/>
              <w:sdtContent>
                <w:tc>
                  <w:tcPr>
                    <w:tcW w:w="940" w:type="pct"/>
                    <w:shd w:val="clear" w:color="auto" w:fill="auto"/>
                    <w:vAlign w:val="center"/>
                  </w:tcPr>
                  <w:p w14:paraId="4C7B6808" w14:textId="77777777" w:rsidR="00471D53" w:rsidRDefault="004F686E">
                    <w:pPr>
                      <w:autoSpaceDE w:val="0"/>
                      <w:autoSpaceDN w:val="0"/>
                      <w:adjustRightInd w:val="0"/>
                      <w:snapToGrid w:val="0"/>
                      <w:jc w:val="both"/>
                      <w:rPr>
                        <w:szCs w:val="21"/>
                      </w:rPr>
                    </w:pPr>
                    <w:r>
                      <w:rPr>
                        <w:rFonts w:hint="eastAsia"/>
                        <w:szCs w:val="21"/>
                      </w:rPr>
                      <w:t>储备基金</w:t>
                    </w:r>
                  </w:p>
                </w:tc>
              </w:sdtContent>
            </w:sdt>
            <w:tc>
              <w:tcPr>
                <w:tcW w:w="1011" w:type="pct"/>
                <w:shd w:val="clear" w:color="auto" w:fill="auto"/>
                <w:vAlign w:val="center"/>
              </w:tcPr>
              <w:p w14:paraId="52759B02" w14:textId="77777777" w:rsidR="00471D53" w:rsidRDefault="004F686E" w:rsidP="00471D53">
                <w:pPr>
                  <w:snapToGrid w:val="0"/>
                  <w:jc w:val="right"/>
                  <w:rPr>
                    <w:sz w:val="22"/>
                    <w:szCs w:val="22"/>
                  </w:rPr>
                </w:pPr>
                <w:r>
                  <w:rPr>
                    <w:rFonts w:hint="eastAsia"/>
                    <w:sz w:val="22"/>
                    <w:szCs w:val="22"/>
                  </w:rPr>
                  <w:t>460,638.52</w:t>
                </w:r>
              </w:p>
            </w:tc>
            <w:tc>
              <w:tcPr>
                <w:tcW w:w="1014" w:type="pct"/>
                <w:shd w:val="clear" w:color="auto" w:fill="auto"/>
                <w:vAlign w:val="center"/>
              </w:tcPr>
              <w:p w14:paraId="04C88574" w14:textId="77777777" w:rsidR="00471D53" w:rsidRDefault="004F686E" w:rsidP="00471D53">
                <w:pPr>
                  <w:snapToGrid w:val="0"/>
                  <w:jc w:val="right"/>
                  <w:rPr>
                    <w:sz w:val="22"/>
                    <w:szCs w:val="22"/>
                  </w:rPr>
                </w:pPr>
                <w:r>
                  <w:rPr>
                    <w:rFonts w:hint="eastAsia"/>
                    <w:sz w:val="22"/>
                    <w:szCs w:val="22"/>
                  </w:rPr>
                  <w:t>0.00</w:t>
                </w:r>
              </w:p>
            </w:tc>
            <w:tc>
              <w:tcPr>
                <w:tcW w:w="1021" w:type="pct"/>
                <w:shd w:val="clear" w:color="auto" w:fill="auto"/>
                <w:vAlign w:val="center"/>
              </w:tcPr>
              <w:p w14:paraId="1BB471EF" w14:textId="77777777" w:rsidR="00471D53" w:rsidRDefault="004F686E" w:rsidP="00471D53">
                <w:pPr>
                  <w:snapToGrid w:val="0"/>
                  <w:jc w:val="right"/>
                  <w:rPr>
                    <w:sz w:val="22"/>
                    <w:szCs w:val="22"/>
                  </w:rPr>
                </w:pPr>
                <w:r>
                  <w:rPr>
                    <w:rFonts w:hint="eastAsia"/>
                    <w:sz w:val="22"/>
                    <w:szCs w:val="22"/>
                  </w:rPr>
                  <w:t>0.00</w:t>
                </w:r>
              </w:p>
            </w:tc>
            <w:tc>
              <w:tcPr>
                <w:tcW w:w="1014" w:type="pct"/>
                <w:shd w:val="clear" w:color="auto" w:fill="auto"/>
                <w:vAlign w:val="center"/>
              </w:tcPr>
              <w:p w14:paraId="7483998A" w14:textId="77777777" w:rsidR="00471D53" w:rsidRDefault="004F686E" w:rsidP="00471D53">
                <w:pPr>
                  <w:snapToGrid w:val="0"/>
                  <w:jc w:val="right"/>
                  <w:rPr>
                    <w:sz w:val="22"/>
                    <w:szCs w:val="22"/>
                  </w:rPr>
                </w:pPr>
                <w:r>
                  <w:rPr>
                    <w:rFonts w:hint="eastAsia"/>
                    <w:sz w:val="22"/>
                    <w:szCs w:val="22"/>
                  </w:rPr>
                  <w:t>460,638.52</w:t>
                </w:r>
              </w:p>
            </w:tc>
          </w:tr>
          <w:tr w:rsidR="00471D53" w14:paraId="71379BB8" w14:textId="77777777" w:rsidTr="00471D53">
            <w:sdt>
              <w:sdtPr>
                <w:tag w:val="_PLD_52c035d80b984cfb905e017b1d87986d"/>
                <w:id w:val="1427154134"/>
                <w:lock w:val="sdtLocked"/>
              </w:sdtPr>
              <w:sdtEndPr/>
              <w:sdtContent>
                <w:tc>
                  <w:tcPr>
                    <w:tcW w:w="940" w:type="pct"/>
                    <w:shd w:val="clear" w:color="auto" w:fill="auto"/>
                    <w:vAlign w:val="center"/>
                  </w:tcPr>
                  <w:p w14:paraId="3F1BFB4E" w14:textId="77777777" w:rsidR="00471D53" w:rsidRDefault="004F686E">
                    <w:pPr>
                      <w:autoSpaceDE w:val="0"/>
                      <w:autoSpaceDN w:val="0"/>
                      <w:adjustRightInd w:val="0"/>
                      <w:snapToGrid w:val="0"/>
                      <w:jc w:val="both"/>
                      <w:rPr>
                        <w:szCs w:val="21"/>
                      </w:rPr>
                    </w:pPr>
                    <w:r>
                      <w:rPr>
                        <w:rFonts w:hint="eastAsia"/>
                        <w:szCs w:val="21"/>
                      </w:rPr>
                      <w:t>企业发展基金</w:t>
                    </w:r>
                  </w:p>
                </w:tc>
              </w:sdtContent>
            </w:sdt>
            <w:tc>
              <w:tcPr>
                <w:tcW w:w="1011" w:type="pct"/>
                <w:shd w:val="clear" w:color="auto" w:fill="auto"/>
                <w:vAlign w:val="center"/>
              </w:tcPr>
              <w:p w14:paraId="336B2EE4" w14:textId="77777777" w:rsidR="00471D53" w:rsidRDefault="004F686E" w:rsidP="00471D53">
                <w:pPr>
                  <w:snapToGrid w:val="0"/>
                  <w:jc w:val="right"/>
                  <w:rPr>
                    <w:sz w:val="22"/>
                    <w:szCs w:val="22"/>
                  </w:rPr>
                </w:pPr>
                <w:r>
                  <w:rPr>
                    <w:rFonts w:hint="eastAsia"/>
                    <w:sz w:val="22"/>
                    <w:szCs w:val="22"/>
                  </w:rPr>
                  <w:t>460,638.52</w:t>
                </w:r>
              </w:p>
            </w:tc>
            <w:tc>
              <w:tcPr>
                <w:tcW w:w="1014" w:type="pct"/>
                <w:shd w:val="clear" w:color="auto" w:fill="auto"/>
                <w:vAlign w:val="center"/>
              </w:tcPr>
              <w:p w14:paraId="31F2A9F6" w14:textId="77777777" w:rsidR="00471D53" w:rsidRDefault="004F686E" w:rsidP="00471D53">
                <w:pPr>
                  <w:snapToGrid w:val="0"/>
                  <w:jc w:val="right"/>
                  <w:rPr>
                    <w:sz w:val="22"/>
                    <w:szCs w:val="22"/>
                  </w:rPr>
                </w:pPr>
                <w:r>
                  <w:rPr>
                    <w:rFonts w:hint="eastAsia"/>
                    <w:sz w:val="22"/>
                    <w:szCs w:val="22"/>
                  </w:rPr>
                  <w:t>0.00</w:t>
                </w:r>
              </w:p>
            </w:tc>
            <w:tc>
              <w:tcPr>
                <w:tcW w:w="1021" w:type="pct"/>
                <w:shd w:val="clear" w:color="auto" w:fill="auto"/>
                <w:vAlign w:val="center"/>
              </w:tcPr>
              <w:p w14:paraId="456F00A2" w14:textId="77777777" w:rsidR="00471D53" w:rsidRDefault="004F686E" w:rsidP="00471D53">
                <w:pPr>
                  <w:snapToGrid w:val="0"/>
                  <w:jc w:val="right"/>
                  <w:rPr>
                    <w:sz w:val="22"/>
                    <w:szCs w:val="22"/>
                  </w:rPr>
                </w:pPr>
                <w:r>
                  <w:rPr>
                    <w:rFonts w:hint="eastAsia"/>
                    <w:sz w:val="22"/>
                    <w:szCs w:val="22"/>
                  </w:rPr>
                  <w:t>0.00</w:t>
                </w:r>
              </w:p>
            </w:tc>
            <w:tc>
              <w:tcPr>
                <w:tcW w:w="1014" w:type="pct"/>
                <w:shd w:val="clear" w:color="auto" w:fill="auto"/>
                <w:vAlign w:val="center"/>
              </w:tcPr>
              <w:p w14:paraId="4E781E84" w14:textId="77777777" w:rsidR="00471D53" w:rsidRDefault="004F686E" w:rsidP="00471D53">
                <w:pPr>
                  <w:snapToGrid w:val="0"/>
                  <w:jc w:val="right"/>
                  <w:rPr>
                    <w:sz w:val="22"/>
                    <w:szCs w:val="22"/>
                  </w:rPr>
                </w:pPr>
                <w:r>
                  <w:rPr>
                    <w:rFonts w:hint="eastAsia"/>
                    <w:sz w:val="22"/>
                    <w:szCs w:val="22"/>
                  </w:rPr>
                  <w:t>460,638.52</w:t>
                </w:r>
              </w:p>
            </w:tc>
          </w:tr>
          <w:tr w:rsidR="00471D53" w14:paraId="600A7C38" w14:textId="77777777" w:rsidTr="00471D53">
            <w:sdt>
              <w:sdtPr>
                <w:tag w:val="_PLD_cad42018de8f4c088028eed7649f24a3"/>
                <w:id w:val="351462343"/>
                <w:lock w:val="sdtLocked"/>
              </w:sdtPr>
              <w:sdtEndPr/>
              <w:sdtContent>
                <w:tc>
                  <w:tcPr>
                    <w:tcW w:w="940" w:type="pct"/>
                    <w:shd w:val="clear" w:color="auto" w:fill="auto"/>
                    <w:vAlign w:val="center"/>
                  </w:tcPr>
                  <w:p w14:paraId="7D5DE604" w14:textId="77777777" w:rsidR="00471D53" w:rsidRDefault="004F686E">
                    <w:pPr>
                      <w:autoSpaceDE w:val="0"/>
                      <w:autoSpaceDN w:val="0"/>
                      <w:adjustRightInd w:val="0"/>
                      <w:snapToGrid w:val="0"/>
                      <w:jc w:val="both"/>
                      <w:rPr>
                        <w:szCs w:val="21"/>
                      </w:rPr>
                    </w:pPr>
                    <w:r>
                      <w:rPr>
                        <w:rFonts w:hint="eastAsia"/>
                        <w:szCs w:val="21"/>
                      </w:rPr>
                      <w:t>其他</w:t>
                    </w:r>
                  </w:p>
                </w:tc>
              </w:sdtContent>
            </w:sdt>
            <w:tc>
              <w:tcPr>
                <w:tcW w:w="1011" w:type="pct"/>
                <w:shd w:val="clear" w:color="auto" w:fill="auto"/>
                <w:vAlign w:val="center"/>
              </w:tcPr>
              <w:p w14:paraId="304F8074" w14:textId="77777777" w:rsidR="00471D53" w:rsidRDefault="00B664AF" w:rsidP="00471D53">
                <w:pPr>
                  <w:snapToGrid w:val="0"/>
                  <w:jc w:val="right"/>
                  <w:rPr>
                    <w:b/>
                    <w:sz w:val="22"/>
                    <w:szCs w:val="22"/>
                  </w:rPr>
                </w:pPr>
              </w:p>
            </w:tc>
            <w:tc>
              <w:tcPr>
                <w:tcW w:w="1014" w:type="pct"/>
                <w:shd w:val="clear" w:color="auto" w:fill="auto"/>
                <w:vAlign w:val="center"/>
              </w:tcPr>
              <w:p w14:paraId="74FFAEF0" w14:textId="77777777" w:rsidR="00471D53" w:rsidRDefault="00B664AF" w:rsidP="00471D53">
                <w:pPr>
                  <w:snapToGrid w:val="0"/>
                  <w:jc w:val="right"/>
                  <w:rPr>
                    <w:b/>
                    <w:sz w:val="22"/>
                    <w:szCs w:val="22"/>
                  </w:rPr>
                </w:pPr>
              </w:p>
            </w:tc>
            <w:tc>
              <w:tcPr>
                <w:tcW w:w="1021" w:type="pct"/>
                <w:shd w:val="clear" w:color="auto" w:fill="auto"/>
                <w:vAlign w:val="center"/>
              </w:tcPr>
              <w:p w14:paraId="0FE7345D" w14:textId="77777777" w:rsidR="00471D53" w:rsidRDefault="00B664AF" w:rsidP="00471D53">
                <w:pPr>
                  <w:snapToGrid w:val="0"/>
                  <w:jc w:val="right"/>
                  <w:rPr>
                    <w:b/>
                    <w:sz w:val="22"/>
                    <w:szCs w:val="22"/>
                  </w:rPr>
                </w:pPr>
              </w:p>
            </w:tc>
            <w:tc>
              <w:tcPr>
                <w:tcW w:w="1014" w:type="pct"/>
                <w:shd w:val="clear" w:color="auto" w:fill="auto"/>
                <w:vAlign w:val="center"/>
              </w:tcPr>
              <w:p w14:paraId="33D07AF9" w14:textId="77777777" w:rsidR="00471D53" w:rsidRDefault="00B664AF" w:rsidP="00471D53">
                <w:pPr>
                  <w:snapToGrid w:val="0"/>
                  <w:jc w:val="right"/>
                  <w:rPr>
                    <w:b/>
                    <w:sz w:val="22"/>
                    <w:szCs w:val="22"/>
                  </w:rPr>
                </w:pPr>
              </w:p>
            </w:tc>
          </w:tr>
          <w:tr w:rsidR="00471D53" w14:paraId="7F922A6B" w14:textId="77777777" w:rsidTr="00471D53">
            <w:sdt>
              <w:sdtPr>
                <w:tag w:val="_PLD_f8e1917adbcf4318b4ab05bf11aaef0c"/>
                <w:id w:val="-1400052122"/>
                <w:lock w:val="sdtLocked"/>
              </w:sdtPr>
              <w:sdtEndPr/>
              <w:sdtContent>
                <w:tc>
                  <w:tcPr>
                    <w:tcW w:w="940" w:type="pct"/>
                  </w:tcPr>
                  <w:p w14:paraId="0D4C616A" w14:textId="77777777" w:rsidR="00471D53" w:rsidRDefault="004F686E">
                    <w:pPr>
                      <w:autoSpaceDE w:val="0"/>
                      <w:autoSpaceDN w:val="0"/>
                      <w:adjustRightInd w:val="0"/>
                      <w:snapToGrid w:val="0"/>
                      <w:jc w:val="center"/>
                      <w:rPr>
                        <w:szCs w:val="21"/>
                      </w:rPr>
                    </w:pPr>
                    <w:r>
                      <w:rPr>
                        <w:rFonts w:hint="eastAsia"/>
                        <w:szCs w:val="21"/>
                      </w:rPr>
                      <w:t>合计</w:t>
                    </w:r>
                  </w:p>
                </w:tc>
              </w:sdtContent>
            </w:sdt>
            <w:tc>
              <w:tcPr>
                <w:tcW w:w="1011" w:type="pct"/>
                <w:vAlign w:val="center"/>
              </w:tcPr>
              <w:p w14:paraId="09C58561" w14:textId="77777777" w:rsidR="00471D53" w:rsidRPr="00D53025" w:rsidRDefault="004F686E" w:rsidP="00471D53">
                <w:pPr>
                  <w:snapToGrid w:val="0"/>
                  <w:jc w:val="right"/>
                  <w:rPr>
                    <w:sz w:val="22"/>
                    <w:szCs w:val="22"/>
                  </w:rPr>
                </w:pPr>
                <w:r w:rsidRPr="00D53025">
                  <w:rPr>
                    <w:rFonts w:hint="eastAsia"/>
                    <w:sz w:val="22"/>
                    <w:szCs w:val="22"/>
                  </w:rPr>
                  <w:fldChar w:fldCharType="begin"/>
                </w:r>
                <w:r w:rsidRPr="00D53025">
                  <w:rPr>
                    <w:rFonts w:hint="eastAsia"/>
                    <w:sz w:val="22"/>
                    <w:szCs w:val="22"/>
                  </w:rPr>
                  <w:instrText xml:space="preserve"> =SUM(ABOVE) </w:instrText>
                </w:r>
                <w:r w:rsidRPr="00D53025">
                  <w:rPr>
                    <w:rFonts w:hint="eastAsia"/>
                    <w:sz w:val="22"/>
                    <w:szCs w:val="22"/>
                  </w:rPr>
                  <w:fldChar w:fldCharType="separate"/>
                </w:r>
                <w:r w:rsidRPr="00D53025">
                  <w:rPr>
                    <w:rFonts w:hint="eastAsia"/>
                    <w:sz w:val="22"/>
                    <w:szCs w:val="22"/>
                  </w:rPr>
                  <w:t>45,665,647.68</w:t>
                </w:r>
                <w:r w:rsidRPr="00D53025">
                  <w:rPr>
                    <w:rFonts w:hint="eastAsia"/>
                    <w:sz w:val="22"/>
                    <w:szCs w:val="22"/>
                  </w:rPr>
                  <w:fldChar w:fldCharType="end"/>
                </w:r>
              </w:p>
            </w:tc>
            <w:tc>
              <w:tcPr>
                <w:tcW w:w="1014" w:type="pct"/>
                <w:vAlign w:val="center"/>
              </w:tcPr>
              <w:p w14:paraId="799A9474" w14:textId="77777777" w:rsidR="00471D53" w:rsidRPr="00D53025" w:rsidRDefault="004F686E" w:rsidP="00471D53">
                <w:pPr>
                  <w:snapToGrid w:val="0"/>
                  <w:jc w:val="right"/>
                  <w:rPr>
                    <w:sz w:val="22"/>
                    <w:szCs w:val="22"/>
                  </w:rPr>
                </w:pPr>
                <w:r w:rsidRPr="00D53025">
                  <w:rPr>
                    <w:rFonts w:hint="eastAsia"/>
                    <w:sz w:val="22"/>
                    <w:szCs w:val="22"/>
                  </w:rPr>
                  <w:t>0.00</w:t>
                </w:r>
              </w:p>
            </w:tc>
            <w:tc>
              <w:tcPr>
                <w:tcW w:w="1021" w:type="pct"/>
                <w:vAlign w:val="center"/>
              </w:tcPr>
              <w:p w14:paraId="3A3E2B83" w14:textId="77777777" w:rsidR="00471D53" w:rsidRPr="00D53025" w:rsidRDefault="004F686E" w:rsidP="00471D53">
                <w:pPr>
                  <w:snapToGrid w:val="0"/>
                  <w:jc w:val="right"/>
                  <w:rPr>
                    <w:sz w:val="22"/>
                    <w:szCs w:val="22"/>
                  </w:rPr>
                </w:pPr>
                <w:r w:rsidRPr="00D53025">
                  <w:rPr>
                    <w:rFonts w:hint="eastAsia"/>
                    <w:sz w:val="22"/>
                    <w:szCs w:val="22"/>
                  </w:rPr>
                  <w:t>0.00</w:t>
                </w:r>
              </w:p>
            </w:tc>
            <w:tc>
              <w:tcPr>
                <w:tcW w:w="1014" w:type="pct"/>
                <w:vAlign w:val="center"/>
              </w:tcPr>
              <w:p w14:paraId="7E1826B7" w14:textId="77777777" w:rsidR="00471D53" w:rsidRPr="00D53025" w:rsidRDefault="004F686E" w:rsidP="00471D53">
                <w:pPr>
                  <w:snapToGrid w:val="0"/>
                  <w:jc w:val="right"/>
                  <w:rPr>
                    <w:sz w:val="22"/>
                    <w:szCs w:val="22"/>
                  </w:rPr>
                </w:pPr>
                <w:r w:rsidRPr="00D53025">
                  <w:rPr>
                    <w:rFonts w:hint="eastAsia"/>
                    <w:sz w:val="22"/>
                    <w:szCs w:val="22"/>
                  </w:rPr>
                  <w:fldChar w:fldCharType="begin"/>
                </w:r>
                <w:r w:rsidRPr="00D53025">
                  <w:rPr>
                    <w:rFonts w:hint="eastAsia"/>
                    <w:sz w:val="22"/>
                    <w:szCs w:val="22"/>
                  </w:rPr>
                  <w:instrText xml:space="preserve"> =SUM(ABOVE) </w:instrText>
                </w:r>
                <w:r w:rsidRPr="00D53025">
                  <w:rPr>
                    <w:rFonts w:hint="eastAsia"/>
                    <w:sz w:val="22"/>
                    <w:szCs w:val="22"/>
                  </w:rPr>
                  <w:fldChar w:fldCharType="separate"/>
                </w:r>
                <w:r w:rsidRPr="00D53025">
                  <w:rPr>
                    <w:rFonts w:hint="eastAsia"/>
                    <w:sz w:val="22"/>
                    <w:szCs w:val="22"/>
                  </w:rPr>
                  <w:t>45,665,647.68</w:t>
                </w:r>
                <w:r w:rsidRPr="00D53025">
                  <w:rPr>
                    <w:rFonts w:hint="eastAsia"/>
                    <w:sz w:val="22"/>
                    <w:szCs w:val="22"/>
                  </w:rPr>
                  <w:fldChar w:fldCharType="end"/>
                </w:r>
              </w:p>
            </w:tc>
          </w:tr>
        </w:tbl>
        <w:p w14:paraId="25725976" w14:textId="77777777" w:rsidR="00471D53" w:rsidRDefault="004F686E">
          <w:pPr>
            <w:spacing w:before="60" w:after="60"/>
            <w:rPr>
              <w:szCs w:val="21"/>
            </w:rPr>
          </w:pPr>
          <w:r>
            <w:rPr>
              <w:rFonts w:hint="eastAsia"/>
              <w:szCs w:val="21"/>
            </w:rPr>
            <w:t>盈余公积说明，包括本期增减变动情况、变动原因说明：</w:t>
          </w:r>
        </w:p>
        <w:sdt>
          <w:sdtPr>
            <w:rPr>
              <w:szCs w:val="21"/>
            </w:rPr>
            <w:alias w:val="盈余公积说明"/>
            <w:tag w:val="_GBC_33c5d1ed862f4b36950b5ea2188f5b09"/>
            <w:id w:val="1257938590"/>
            <w:lock w:val="sdtLocked"/>
            <w:placeholder>
              <w:docPart w:val="GBC22222222222222222222222222222"/>
            </w:placeholder>
          </w:sdtPr>
          <w:sdtEndPr/>
          <w:sdtContent>
            <w:p w14:paraId="2EDED0D2" w14:textId="77777777" w:rsidR="00471D53" w:rsidRDefault="004F686E">
              <w:pPr>
                <w:autoSpaceDE w:val="0"/>
                <w:autoSpaceDN w:val="0"/>
                <w:adjustRightInd w:val="0"/>
                <w:rPr>
                  <w:color w:val="000000" w:themeColor="text1"/>
                  <w:szCs w:val="21"/>
                </w:rPr>
              </w:pPr>
              <w:r>
                <w:rPr>
                  <w:rFonts w:hint="eastAsia"/>
                  <w:szCs w:val="21"/>
                </w:rPr>
                <w:t>无</w:t>
              </w:r>
            </w:p>
          </w:sdtContent>
        </w:sdt>
      </w:sdtContent>
    </w:sdt>
    <w:p w14:paraId="6DD12DA9"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未分配利润</w:t>
      </w:r>
    </w:p>
    <w:p w14:paraId="0CD1A45C" w14:textId="77777777" w:rsidR="00471D53" w:rsidRDefault="00B664AF">
      <w:sdt>
        <w:sdtPr>
          <w:alias w:val="是否适用：未分配利润[双击切换]"/>
          <w:tag w:val="_GBC_32c558bdbb77445cabeee783e5ff910e"/>
          <w:id w:val="-1337300689"/>
          <w:lock w:val="sdtContentLocked"/>
          <w:placeholder>
            <w:docPart w:val="GBC22222222222222222222222222222"/>
          </w:placeholder>
        </w:sdtPr>
        <w:sdtEndPr/>
        <w:sdtContent>
          <w:r w:rsidR="004F686E">
            <w:fldChar w:fldCharType="begin"/>
          </w:r>
          <w:r w:rsidR="004F686E">
            <w:instrText xml:space="preserve"> MACROBUTTON  SnrToggleCheckbox √适用 </w:instrText>
          </w:r>
          <w:r w:rsidR="004F686E">
            <w:fldChar w:fldCharType="end"/>
          </w:r>
          <w:r w:rsidR="004F686E">
            <w:fldChar w:fldCharType="begin"/>
          </w:r>
          <w:r w:rsidR="004F686E">
            <w:instrText xml:space="preserve"> MACROBUTTON  SnrToggleCheckbox □不适用 </w:instrText>
          </w:r>
          <w:r w:rsidR="004F686E">
            <w:fldChar w:fldCharType="end"/>
          </w:r>
        </w:sdtContent>
      </w:sdt>
    </w:p>
    <w:sdt>
      <w:sdtPr>
        <w:rPr>
          <w:rFonts w:hint="eastAsia"/>
          <w:b/>
          <w:bCs/>
          <w:szCs w:val="21"/>
        </w:rPr>
        <w:alias w:val="模块:未分配利润"/>
        <w:tag w:val="_GBC_2cdd2861806d471aa767f92841b30fbf"/>
        <w:id w:val="-450010145"/>
        <w:lock w:val="sdtLocked"/>
        <w:placeholder>
          <w:docPart w:val="GBC22222222222222222222222222222"/>
        </w:placeholder>
      </w:sdtPr>
      <w:sdtEndPr>
        <w:rPr>
          <w:b w:val="0"/>
          <w:bCs w:val="0"/>
        </w:rPr>
      </w:sdtEndPr>
      <w:sdtContent>
        <w:p w14:paraId="56B4162C" w14:textId="3553EA14" w:rsidR="00471D53" w:rsidRDefault="004F686E">
          <w:pPr>
            <w:jc w:val="right"/>
            <w:rPr>
              <w:szCs w:val="21"/>
            </w:rPr>
          </w:pPr>
          <w:r>
            <w:rPr>
              <w:rFonts w:hint="eastAsia"/>
              <w:szCs w:val="21"/>
            </w:rPr>
            <w:t>单位：</w:t>
          </w:r>
          <w:sdt>
            <w:sdtPr>
              <w:rPr>
                <w:rFonts w:hint="eastAsia"/>
                <w:szCs w:val="21"/>
              </w:rPr>
              <w:alias w:val="单位：财务附注：未分配利润"/>
              <w:tag w:val="_GBC_cfb07ff3eded4b49916cfc42d821bab6"/>
              <w:id w:val="-187314244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未分配利润"/>
              <w:tag w:val="_GBC_55c70fe731be4b84be72ea88afd989b8"/>
              <w:id w:val="-132388396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401"/>
            <w:gridCol w:w="2754"/>
            <w:gridCol w:w="2668"/>
          </w:tblGrid>
          <w:tr w:rsidR="00471D53" w14:paraId="26CC112F" w14:textId="77777777" w:rsidTr="00474A51">
            <w:trPr>
              <w:cantSplit/>
            </w:trPr>
            <w:sdt>
              <w:sdtPr>
                <w:tag w:val="_PLD_b6dc2bd7eebb4e6d9f1ccea8d86e6f47"/>
                <w:id w:val="761347431"/>
                <w:lock w:val="sdtLocked"/>
              </w:sdtPr>
              <w:sdtEndPr/>
              <w:sdtContent>
                <w:tc>
                  <w:tcPr>
                    <w:tcW w:w="1927" w:type="pct"/>
                    <w:vAlign w:val="center"/>
                  </w:tcPr>
                  <w:p w14:paraId="42DF57CF" w14:textId="77777777" w:rsidR="00471D53" w:rsidRDefault="004F686E">
                    <w:pPr>
                      <w:jc w:val="center"/>
                      <w:rPr>
                        <w:szCs w:val="21"/>
                      </w:rPr>
                    </w:pPr>
                    <w:r>
                      <w:rPr>
                        <w:rFonts w:hint="eastAsia"/>
                        <w:szCs w:val="21"/>
                      </w:rPr>
                      <w:t>项目</w:t>
                    </w:r>
                  </w:p>
                </w:tc>
              </w:sdtContent>
            </w:sdt>
            <w:sdt>
              <w:sdtPr>
                <w:tag w:val="_PLD_6e60054e3c3747d1a0ffc87edacae2b6"/>
                <w:id w:val="-445693673"/>
                <w:lock w:val="sdtLocked"/>
              </w:sdtPr>
              <w:sdtEndPr/>
              <w:sdtContent>
                <w:tc>
                  <w:tcPr>
                    <w:tcW w:w="1560" w:type="pct"/>
                    <w:vAlign w:val="center"/>
                  </w:tcPr>
                  <w:p w14:paraId="072F7893" w14:textId="77777777" w:rsidR="00471D53" w:rsidRDefault="004F686E">
                    <w:pPr>
                      <w:jc w:val="center"/>
                      <w:rPr>
                        <w:szCs w:val="21"/>
                      </w:rPr>
                    </w:pPr>
                    <w:r>
                      <w:rPr>
                        <w:rFonts w:hint="eastAsia"/>
                        <w:szCs w:val="21"/>
                      </w:rPr>
                      <w:t>本期</w:t>
                    </w:r>
                  </w:p>
                </w:tc>
              </w:sdtContent>
            </w:sdt>
            <w:sdt>
              <w:sdtPr>
                <w:tag w:val="_PLD_9afd54e9959d4b22b00bfe92596a2a16"/>
                <w:id w:val="1669124890"/>
                <w:lock w:val="sdtLocked"/>
              </w:sdtPr>
              <w:sdtEndPr/>
              <w:sdtContent>
                <w:tc>
                  <w:tcPr>
                    <w:tcW w:w="1512" w:type="pct"/>
                    <w:vAlign w:val="center"/>
                  </w:tcPr>
                  <w:p w14:paraId="503E36B5" w14:textId="77777777" w:rsidR="00471D53" w:rsidRDefault="004F686E">
                    <w:pPr>
                      <w:jc w:val="center"/>
                      <w:rPr>
                        <w:szCs w:val="21"/>
                      </w:rPr>
                    </w:pPr>
                    <w:r>
                      <w:rPr>
                        <w:rFonts w:hint="eastAsia"/>
                        <w:szCs w:val="21"/>
                      </w:rPr>
                      <w:t>上年度</w:t>
                    </w:r>
                  </w:p>
                </w:tc>
              </w:sdtContent>
            </w:sdt>
          </w:tr>
          <w:tr w:rsidR="00471D53" w14:paraId="3BC71F7D" w14:textId="77777777" w:rsidTr="00471D53">
            <w:trPr>
              <w:cantSplit/>
            </w:trPr>
            <w:sdt>
              <w:sdtPr>
                <w:tag w:val="_PLD_3790b8d7d129484381d1c2fa2fa8d23c"/>
                <w:id w:val="86816856"/>
                <w:lock w:val="sdtLocked"/>
              </w:sdtPr>
              <w:sdtEndPr/>
              <w:sdtContent>
                <w:tc>
                  <w:tcPr>
                    <w:tcW w:w="1927" w:type="pct"/>
                  </w:tcPr>
                  <w:p w14:paraId="7DBBF55D" w14:textId="77777777" w:rsidR="00471D53" w:rsidRDefault="004F686E">
                    <w:pPr>
                      <w:rPr>
                        <w:szCs w:val="21"/>
                      </w:rPr>
                    </w:pPr>
                    <w:r>
                      <w:rPr>
                        <w:rFonts w:hint="eastAsia"/>
                        <w:szCs w:val="21"/>
                      </w:rPr>
                      <w:t>调整前上期末未分配利润</w:t>
                    </w:r>
                  </w:p>
                </w:tc>
              </w:sdtContent>
            </w:sdt>
            <w:tc>
              <w:tcPr>
                <w:tcW w:w="1560" w:type="pct"/>
                <w:vAlign w:val="center"/>
              </w:tcPr>
              <w:p w14:paraId="0C25E7CA" w14:textId="77777777" w:rsidR="00471D53" w:rsidRDefault="004F686E" w:rsidP="00471D53">
                <w:pPr>
                  <w:jc w:val="right"/>
                  <w:rPr>
                    <w:sz w:val="22"/>
                    <w:szCs w:val="22"/>
                  </w:rPr>
                </w:pPr>
                <w:r w:rsidRPr="009A3EC3">
                  <w:rPr>
                    <w:sz w:val="22"/>
                    <w:szCs w:val="22"/>
                  </w:rPr>
                  <w:t>-664,051,428.89</w:t>
                </w:r>
              </w:p>
            </w:tc>
            <w:tc>
              <w:tcPr>
                <w:tcW w:w="1512" w:type="pct"/>
                <w:vAlign w:val="center"/>
              </w:tcPr>
              <w:p w14:paraId="2539F70B" w14:textId="77777777" w:rsidR="00471D53" w:rsidRDefault="004F686E" w:rsidP="00471D53">
                <w:pPr>
                  <w:jc w:val="right"/>
                  <w:rPr>
                    <w:sz w:val="22"/>
                    <w:szCs w:val="22"/>
                  </w:rPr>
                </w:pPr>
                <w:r>
                  <w:rPr>
                    <w:sz w:val="22"/>
                    <w:szCs w:val="22"/>
                  </w:rPr>
                  <w:t>-820,483,186.46</w:t>
                </w:r>
              </w:p>
            </w:tc>
          </w:tr>
          <w:tr w:rsidR="00471D53" w14:paraId="7EB36E94" w14:textId="77777777" w:rsidTr="00474A51">
            <w:trPr>
              <w:cantSplit/>
            </w:trPr>
            <w:sdt>
              <w:sdtPr>
                <w:tag w:val="_PLD_99b1e9805f3e4b93aa362504b83793b1"/>
                <w:id w:val="1693417226"/>
                <w:lock w:val="sdtLocked"/>
              </w:sdtPr>
              <w:sdtEndPr/>
              <w:sdtContent>
                <w:tc>
                  <w:tcPr>
                    <w:tcW w:w="1927" w:type="pct"/>
                  </w:tcPr>
                  <w:p w14:paraId="610FC49E" w14:textId="77777777" w:rsidR="00471D53" w:rsidRDefault="004F686E">
                    <w:pPr>
                      <w:rPr>
                        <w:szCs w:val="21"/>
                      </w:rPr>
                    </w:pPr>
                    <w:r>
                      <w:rPr>
                        <w:rFonts w:hint="eastAsia"/>
                        <w:szCs w:val="21"/>
                      </w:rPr>
                      <w:t>调整期初未分配利润合计数（调增</w:t>
                    </w:r>
                    <w:r>
                      <w:rPr>
                        <w:szCs w:val="21"/>
                      </w:rPr>
                      <w:t>+</w:t>
                    </w:r>
                    <w:r>
                      <w:rPr>
                        <w:rFonts w:hint="eastAsia"/>
                        <w:szCs w:val="21"/>
                      </w:rPr>
                      <w:t>，调减－）</w:t>
                    </w:r>
                  </w:p>
                </w:tc>
              </w:sdtContent>
            </w:sdt>
            <w:tc>
              <w:tcPr>
                <w:tcW w:w="1560" w:type="pct"/>
              </w:tcPr>
              <w:p w14:paraId="79145FB9" w14:textId="77777777" w:rsidR="00471D53" w:rsidRDefault="00B664AF">
                <w:pPr>
                  <w:ind w:right="6"/>
                  <w:jc w:val="right"/>
                  <w:rPr>
                    <w:szCs w:val="21"/>
                  </w:rPr>
                </w:pPr>
              </w:p>
            </w:tc>
            <w:tc>
              <w:tcPr>
                <w:tcW w:w="1512" w:type="pct"/>
              </w:tcPr>
              <w:p w14:paraId="1DA9306C" w14:textId="77777777" w:rsidR="00471D53" w:rsidRDefault="00B664AF">
                <w:pPr>
                  <w:ind w:right="6"/>
                  <w:jc w:val="right"/>
                  <w:rPr>
                    <w:szCs w:val="21"/>
                  </w:rPr>
                </w:pPr>
              </w:p>
            </w:tc>
          </w:tr>
          <w:tr w:rsidR="00471D53" w14:paraId="2680E438" w14:textId="77777777" w:rsidTr="00471D53">
            <w:trPr>
              <w:cantSplit/>
            </w:trPr>
            <w:sdt>
              <w:sdtPr>
                <w:tag w:val="_PLD_7a98e2bc7c1b48d785851921473e7f5f"/>
                <w:id w:val="-109670224"/>
                <w:lock w:val="sdtLocked"/>
              </w:sdtPr>
              <w:sdtEndPr/>
              <w:sdtContent>
                <w:tc>
                  <w:tcPr>
                    <w:tcW w:w="1927" w:type="pct"/>
                  </w:tcPr>
                  <w:p w14:paraId="44A631AE" w14:textId="77777777" w:rsidR="00471D53" w:rsidRDefault="004F686E">
                    <w:pPr>
                      <w:rPr>
                        <w:szCs w:val="21"/>
                      </w:rPr>
                    </w:pPr>
                    <w:r>
                      <w:rPr>
                        <w:rFonts w:hint="eastAsia"/>
                        <w:szCs w:val="21"/>
                      </w:rPr>
                      <w:t>调整后期初未分配利润</w:t>
                    </w:r>
                  </w:p>
                </w:tc>
              </w:sdtContent>
            </w:sdt>
            <w:tc>
              <w:tcPr>
                <w:tcW w:w="1560" w:type="pct"/>
                <w:vAlign w:val="center"/>
              </w:tcPr>
              <w:p w14:paraId="7707D854" w14:textId="77777777" w:rsidR="00471D53" w:rsidRDefault="004F686E" w:rsidP="00471D53">
                <w:pPr>
                  <w:jc w:val="right"/>
                  <w:rPr>
                    <w:sz w:val="22"/>
                    <w:szCs w:val="22"/>
                  </w:rPr>
                </w:pPr>
                <w:r w:rsidRPr="009A3EC3">
                  <w:rPr>
                    <w:sz w:val="22"/>
                    <w:szCs w:val="22"/>
                  </w:rPr>
                  <w:t>-664,051,428.89</w:t>
                </w:r>
              </w:p>
            </w:tc>
            <w:tc>
              <w:tcPr>
                <w:tcW w:w="1512" w:type="pct"/>
                <w:vAlign w:val="center"/>
              </w:tcPr>
              <w:p w14:paraId="0303091A" w14:textId="77777777" w:rsidR="00471D53" w:rsidRDefault="004F686E" w:rsidP="00471D53">
                <w:pPr>
                  <w:jc w:val="right"/>
                  <w:rPr>
                    <w:sz w:val="22"/>
                    <w:szCs w:val="22"/>
                  </w:rPr>
                </w:pPr>
                <w:r>
                  <w:rPr>
                    <w:sz w:val="22"/>
                    <w:szCs w:val="22"/>
                  </w:rPr>
                  <w:t>-820,483,186.46</w:t>
                </w:r>
              </w:p>
            </w:tc>
          </w:tr>
          <w:tr w:rsidR="00471D53" w14:paraId="5405C78C" w14:textId="77777777" w:rsidTr="00471D53">
            <w:trPr>
              <w:cantSplit/>
            </w:trPr>
            <w:sdt>
              <w:sdtPr>
                <w:tag w:val="_PLD_2a8ba0dc26a946cbb60b0ff473f157c1"/>
                <w:id w:val="288552464"/>
                <w:lock w:val="sdtLocked"/>
              </w:sdtPr>
              <w:sdtEndPr/>
              <w:sdtContent>
                <w:tc>
                  <w:tcPr>
                    <w:tcW w:w="1927" w:type="pct"/>
                  </w:tcPr>
                  <w:p w14:paraId="39BFED8C" w14:textId="77777777" w:rsidR="00471D53" w:rsidRDefault="004F686E">
                    <w:pPr>
                      <w:ind w:right="6"/>
                      <w:rPr>
                        <w:szCs w:val="21"/>
                      </w:rPr>
                    </w:pPr>
                    <w:r>
                      <w:rPr>
                        <w:rFonts w:hint="eastAsia"/>
                        <w:szCs w:val="21"/>
                      </w:rPr>
                      <w:t>加：本期归属于母公司所有者的净利润</w:t>
                    </w:r>
                  </w:p>
                </w:tc>
              </w:sdtContent>
            </w:sdt>
            <w:tc>
              <w:tcPr>
                <w:tcW w:w="1560" w:type="pct"/>
                <w:vAlign w:val="center"/>
              </w:tcPr>
              <w:p w14:paraId="278B17CD" w14:textId="77777777" w:rsidR="00471D53" w:rsidRDefault="004F686E" w:rsidP="00471D53">
                <w:pPr>
                  <w:jc w:val="right"/>
                  <w:rPr>
                    <w:sz w:val="22"/>
                    <w:szCs w:val="22"/>
                  </w:rPr>
                </w:pPr>
                <w:r w:rsidRPr="004A1369">
                  <w:rPr>
                    <w:sz w:val="22"/>
                    <w:szCs w:val="22"/>
                  </w:rPr>
                  <w:t>-1,313,304.91</w:t>
                </w:r>
              </w:p>
            </w:tc>
            <w:tc>
              <w:tcPr>
                <w:tcW w:w="1512" w:type="pct"/>
                <w:vAlign w:val="center"/>
              </w:tcPr>
              <w:p w14:paraId="1E1CDAE2" w14:textId="77777777" w:rsidR="00471D53" w:rsidRDefault="004F686E" w:rsidP="00471D53">
                <w:pPr>
                  <w:jc w:val="right"/>
                  <w:rPr>
                    <w:sz w:val="22"/>
                    <w:szCs w:val="22"/>
                  </w:rPr>
                </w:pPr>
                <w:r>
                  <w:rPr>
                    <w:rFonts w:cs="Calibri" w:hint="eastAsia"/>
                    <w:sz w:val="22"/>
                    <w:szCs w:val="22"/>
                  </w:rPr>
                  <w:t>156,431,757.57</w:t>
                </w:r>
              </w:p>
            </w:tc>
          </w:tr>
          <w:tr w:rsidR="00471D53" w14:paraId="1D13CA4B" w14:textId="77777777" w:rsidTr="00474A51">
            <w:trPr>
              <w:cantSplit/>
            </w:trPr>
            <w:sdt>
              <w:sdtPr>
                <w:tag w:val="_PLD_97aab68ad9b74921a7946fa4d2999e51"/>
                <w:id w:val="859238277"/>
                <w:lock w:val="sdtLocked"/>
              </w:sdtPr>
              <w:sdtEndPr/>
              <w:sdtContent>
                <w:tc>
                  <w:tcPr>
                    <w:tcW w:w="1927" w:type="pct"/>
                  </w:tcPr>
                  <w:p w14:paraId="7CC52F94" w14:textId="77777777" w:rsidR="00471D53" w:rsidRDefault="004F686E">
                    <w:pPr>
                      <w:autoSpaceDE w:val="0"/>
                      <w:autoSpaceDN w:val="0"/>
                      <w:adjustRightInd w:val="0"/>
                      <w:rPr>
                        <w:szCs w:val="21"/>
                      </w:rPr>
                    </w:pPr>
                    <w:r>
                      <w:rPr>
                        <w:rFonts w:hint="eastAsia"/>
                        <w:szCs w:val="21"/>
                      </w:rPr>
                      <w:t>减：提取法定盈余公积</w:t>
                    </w:r>
                  </w:p>
                </w:tc>
              </w:sdtContent>
            </w:sdt>
            <w:tc>
              <w:tcPr>
                <w:tcW w:w="1560" w:type="pct"/>
              </w:tcPr>
              <w:p w14:paraId="068BDCD4" w14:textId="77777777" w:rsidR="00471D53" w:rsidRDefault="00B664AF">
                <w:pPr>
                  <w:jc w:val="right"/>
                  <w:rPr>
                    <w:szCs w:val="21"/>
                  </w:rPr>
                </w:pPr>
              </w:p>
            </w:tc>
            <w:tc>
              <w:tcPr>
                <w:tcW w:w="1512" w:type="pct"/>
              </w:tcPr>
              <w:p w14:paraId="3EA362D8" w14:textId="77777777" w:rsidR="00471D53" w:rsidRDefault="00B664AF">
                <w:pPr>
                  <w:ind w:right="6"/>
                  <w:jc w:val="right"/>
                  <w:rPr>
                    <w:szCs w:val="21"/>
                  </w:rPr>
                </w:pPr>
              </w:p>
            </w:tc>
          </w:tr>
          <w:tr w:rsidR="00471D53" w14:paraId="27B80EBF" w14:textId="77777777" w:rsidTr="00474A51">
            <w:trPr>
              <w:cantSplit/>
            </w:trPr>
            <w:sdt>
              <w:sdtPr>
                <w:tag w:val="_PLD_76ebcf558d244f77a28b1f8b843a2b3a"/>
                <w:id w:val="899329171"/>
                <w:lock w:val="sdtLocked"/>
              </w:sdtPr>
              <w:sdtEndPr/>
              <w:sdtContent>
                <w:tc>
                  <w:tcPr>
                    <w:tcW w:w="1927" w:type="pct"/>
                  </w:tcPr>
                  <w:p w14:paraId="1B446036" w14:textId="77777777" w:rsidR="00471D53" w:rsidRDefault="004F686E">
                    <w:pPr>
                      <w:autoSpaceDE w:val="0"/>
                      <w:autoSpaceDN w:val="0"/>
                      <w:adjustRightInd w:val="0"/>
                      <w:ind w:firstLine="420"/>
                      <w:rPr>
                        <w:szCs w:val="21"/>
                      </w:rPr>
                    </w:pPr>
                    <w:r>
                      <w:rPr>
                        <w:rFonts w:hint="eastAsia"/>
                        <w:szCs w:val="21"/>
                      </w:rPr>
                      <w:t>提取任意盈余公积</w:t>
                    </w:r>
                  </w:p>
                </w:tc>
              </w:sdtContent>
            </w:sdt>
            <w:tc>
              <w:tcPr>
                <w:tcW w:w="1560" w:type="pct"/>
              </w:tcPr>
              <w:p w14:paraId="73DAFA06" w14:textId="77777777" w:rsidR="00471D53" w:rsidRDefault="00B664AF">
                <w:pPr>
                  <w:jc w:val="right"/>
                  <w:rPr>
                    <w:szCs w:val="21"/>
                  </w:rPr>
                </w:pPr>
              </w:p>
            </w:tc>
            <w:tc>
              <w:tcPr>
                <w:tcW w:w="1512" w:type="pct"/>
              </w:tcPr>
              <w:p w14:paraId="32B6BE87" w14:textId="77777777" w:rsidR="00471D53" w:rsidRDefault="00B664AF">
                <w:pPr>
                  <w:ind w:right="6"/>
                  <w:jc w:val="right"/>
                  <w:rPr>
                    <w:szCs w:val="21"/>
                  </w:rPr>
                </w:pPr>
              </w:p>
            </w:tc>
          </w:tr>
          <w:tr w:rsidR="00471D53" w14:paraId="4EEDAF4B" w14:textId="77777777" w:rsidTr="00474A51">
            <w:trPr>
              <w:cantSplit/>
            </w:trPr>
            <w:sdt>
              <w:sdtPr>
                <w:tag w:val="_PLD_c773909db1b34f04acac84ec73864a3f"/>
                <w:id w:val="-315411418"/>
                <w:lock w:val="sdtLocked"/>
              </w:sdtPr>
              <w:sdtEndPr/>
              <w:sdtContent>
                <w:tc>
                  <w:tcPr>
                    <w:tcW w:w="1927" w:type="pct"/>
                  </w:tcPr>
                  <w:p w14:paraId="5B1A76B9" w14:textId="77777777" w:rsidR="00471D53" w:rsidRDefault="004F686E">
                    <w:pPr>
                      <w:autoSpaceDE w:val="0"/>
                      <w:autoSpaceDN w:val="0"/>
                      <w:adjustRightInd w:val="0"/>
                      <w:ind w:firstLine="420"/>
                      <w:rPr>
                        <w:szCs w:val="21"/>
                      </w:rPr>
                    </w:pPr>
                    <w:r>
                      <w:rPr>
                        <w:rFonts w:hint="eastAsia"/>
                        <w:szCs w:val="21"/>
                      </w:rPr>
                      <w:t>提取一般风险准备</w:t>
                    </w:r>
                  </w:p>
                </w:tc>
              </w:sdtContent>
            </w:sdt>
            <w:tc>
              <w:tcPr>
                <w:tcW w:w="1560" w:type="pct"/>
              </w:tcPr>
              <w:p w14:paraId="6BEAE56D" w14:textId="77777777" w:rsidR="00471D53" w:rsidRDefault="00B664AF">
                <w:pPr>
                  <w:jc w:val="right"/>
                  <w:rPr>
                    <w:szCs w:val="21"/>
                  </w:rPr>
                </w:pPr>
              </w:p>
            </w:tc>
            <w:tc>
              <w:tcPr>
                <w:tcW w:w="1512" w:type="pct"/>
              </w:tcPr>
              <w:p w14:paraId="2D707964" w14:textId="77777777" w:rsidR="00471D53" w:rsidRDefault="00B664AF">
                <w:pPr>
                  <w:ind w:right="6"/>
                  <w:jc w:val="right"/>
                  <w:rPr>
                    <w:szCs w:val="21"/>
                  </w:rPr>
                </w:pPr>
              </w:p>
            </w:tc>
          </w:tr>
          <w:tr w:rsidR="00471D53" w14:paraId="0D4E95FD" w14:textId="77777777" w:rsidTr="00474A51">
            <w:trPr>
              <w:cantSplit/>
            </w:trPr>
            <w:sdt>
              <w:sdtPr>
                <w:tag w:val="_PLD_d2ba40ebcadd4931bdef6468fc324069"/>
                <w:id w:val="-390739309"/>
                <w:lock w:val="sdtLocked"/>
              </w:sdtPr>
              <w:sdtEndPr/>
              <w:sdtContent>
                <w:tc>
                  <w:tcPr>
                    <w:tcW w:w="1927" w:type="pct"/>
                  </w:tcPr>
                  <w:p w14:paraId="0F6AB268" w14:textId="77777777" w:rsidR="00471D53" w:rsidRDefault="004F686E">
                    <w:pPr>
                      <w:autoSpaceDE w:val="0"/>
                      <w:autoSpaceDN w:val="0"/>
                      <w:adjustRightInd w:val="0"/>
                      <w:ind w:firstLine="420"/>
                      <w:rPr>
                        <w:szCs w:val="21"/>
                      </w:rPr>
                    </w:pPr>
                    <w:r>
                      <w:rPr>
                        <w:rFonts w:hint="eastAsia"/>
                        <w:szCs w:val="21"/>
                      </w:rPr>
                      <w:t>应付普通股股利</w:t>
                    </w:r>
                  </w:p>
                </w:tc>
              </w:sdtContent>
            </w:sdt>
            <w:tc>
              <w:tcPr>
                <w:tcW w:w="1560" w:type="pct"/>
              </w:tcPr>
              <w:p w14:paraId="1E5C848A" w14:textId="77777777" w:rsidR="00471D53" w:rsidRDefault="00B664AF">
                <w:pPr>
                  <w:jc w:val="right"/>
                  <w:rPr>
                    <w:szCs w:val="21"/>
                  </w:rPr>
                </w:pPr>
              </w:p>
            </w:tc>
            <w:tc>
              <w:tcPr>
                <w:tcW w:w="1512" w:type="pct"/>
              </w:tcPr>
              <w:p w14:paraId="5E55669E" w14:textId="77777777" w:rsidR="00471D53" w:rsidRDefault="00B664AF">
                <w:pPr>
                  <w:ind w:right="6"/>
                  <w:jc w:val="right"/>
                  <w:rPr>
                    <w:szCs w:val="21"/>
                  </w:rPr>
                </w:pPr>
              </w:p>
            </w:tc>
          </w:tr>
          <w:tr w:rsidR="00471D53" w14:paraId="45448C9E" w14:textId="77777777" w:rsidTr="00474A51">
            <w:trPr>
              <w:cantSplit/>
            </w:trPr>
            <w:sdt>
              <w:sdtPr>
                <w:tag w:val="_PLD_d8041f36a4744fe893cd617b9149d704"/>
                <w:id w:val="-1007367802"/>
                <w:lock w:val="sdtLocked"/>
              </w:sdtPr>
              <w:sdtEndPr/>
              <w:sdtContent>
                <w:tc>
                  <w:tcPr>
                    <w:tcW w:w="1927" w:type="pct"/>
                  </w:tcPr>
                  <w:p w14:paraId="1ADCD58B" w14:textId="77777777" w:rsidR="00471D53" w:rsidRDefault="004F686E">
                    <w:pPr>
                      <w:autoSpaceDE w:val="0"/>
                      <w:autoSpaceDN w:val="0"/>
                      <w:adjustRightInd w:val="0"/>
                      <w:ind w:firstLine="420"/>
                      <w:rPr>
                        <w:szCs w:val="21"/>
                      </w:rPr>
                    </w:pPr>
                    <w:r>
                      <w:rPr>
                        <w:rFonts w:hint="eastAsia"/>
                        <w:szCs w:val="21"/>
                      </w:rPr>
                      <w:t>转作股本的普通股股利</w:t>
                    </w:r>
                  </w:p>
                </w:tc>
              </w:sdtContent>
            </w:sdt>
            <w:tc>
              <w:tcPr>
                <w:tcW w:w="1560" w:type="pct"/>
              </w:tcPr>
              <w:p w14:paraId="5BF01A30" w14:textId="77777777" w:rsidR="00471D53" w:rsidRDefault="00B664AF">
                <w:pPr>
                  <w:jc w:val="right"/>
                  <w:rPr>
                    <w:szCs w:val="21"/>
                  </w:rPr>
                </w:pPr>
              </w:p>
            </w:tc>
            <w:tc>
              <w:tcPr>
                <w:tcW w:w="1512" w:type="pct"/>
              </w:tcPr>
              <w:p w14:paraId="2529879E" w14:textId="77777777" w:rsidR="00471D53" w:rsidRDefault="00B664AF">
                <w:pPr>
                  <w:ind w:right="6"/>
                  <w:jc w:val="right"/>
                  <w:rPr>
                    <w:szCs w:val="21"/>
                  </w:rPr>
                </w:pPr>
              </w:p>
            </w:tc>
          </w:tr>
          <w:sdt>
            <w:sdtPr>
              <w:rPr>
                <w:rFonts w:hint="eastAsia"/>
                <w:szCs w:val="21"/>
              </w:rPr>
              <w:alias w:val="本期其他利润分配"/>
              <w:tag w:val="_GBC_7def170558744ebdb1f4975e27e4042b"/>
              <w:id w:val="-442608347"/>
              <w:lock w:val="sdtLocked"/>
            </w:sdtPr>
            <w:sdtEndPr/>
            <w:sdtContent>
              <w:tr w:rsidR="00471D53" w14:paraId="712CE490" w14:textId="77777777" w:rsidTr="00474A51">
                <w:trPr>
                  <w:cantSplit/>
                </w:trPr>
                <w:tc>
                  <w:tcPr>
                    <w:tcW w:w="1927" w:type="pct"/>
                  </w:tcPr>
                  <w:p w14:paraId="71D36987" w14:textId="77777777" w:rsidR="00471D53" w:rsidRDefault="00B664AF">
                    <w:pPr>
                      <w:autoSpaceDE w:val="0"/>
                      <w:autoSpaceDN w:val="0"/>
                      <w:adjustRightInd w:val="0"/>
                      <w:rPr>
                        <w:szCs w:val="21"/>
                      </w:rPr>
                    </w:pPr>
                  </w:p>
                </w:tc>
                <w:tc>
                  <w:tcPr>
                    <w:tcW w:w="1560" w:type="pct"/>
                  </w:tcPr>
                  <w:p w14:paraId="568461F8" w14:textId="77777777" w:rsidR="00471D53" w:rsidRDefault="00B664AF">
                    <w:pPr>
                      <w:ind w:right="6"/>
                      <w:jc w:val="right"/>
                      <w:rPr>
                        <w:szCs w:val="21"/>
                      </w:rPr>
                    </w:pPr>
                  </w:p>
                </w:tc>
                <w:tc>
                  <w:tcPr>
                    <w:tcW w:w="1512" w:type="pct"/>
                  </w:tcPr>
                  <w:p w14:paraId="2FAF3FBC" w14:textId="77777777" w:rsidR="00471D53" w:rsidRDefault="00B664AF">
                    <w:pPr>
                      <w:ind w:right="6"/>
                      <w:jc w:val="right"/>
                      <w:rPr>
                        <w:szCs w:val="21"/>
                      </w:rPr>
                    </w:pPr>
                  </w:p>
                </w:tc>
              </w:tr>
            </w:sdtContent>
          </w:sdt>
          <w:sdt>
            <w:sdtPr>
              <w:rPr>
                <w:rFonts w:hint="eastAsia"/>
                <w:szCs w:val="21"/>
              </w:rPr>
              <w:alias w:val="本期其他利润分配"/>
              <w:tag w:val="_GBC_7def170558744ebdb1f4975e27e4042b"/>
              <w:id w:val="-1246186288"/>
              <w:lock w:val="sdtLocked"/>
            </w:sdtPr>
            <w:sdtEndPr/>
            <w:sdtContent>
              <w:tr w:rsidR="00471D53" w14:paraId="6C804AC2" w14:textId="77777777" w:rsidTr="00474A51">
                <w:trPr>
                  <w:cantSplit/>
                </w:trPr>
                <w:tc>
                  <w:tcPr>
                    <w:tcW w:w="1927" w:type="pct"/>
                  </w:tcPr>
                  <w:p w14:paraId="24DDE4CA" w14:textId="77777777" w:rsidR="00471D53" w:rsidRDefault="00B664AF">
                    <w:pPr>
                      <w:autoSpaceDE w:val="0"/>
                      <w:autoSpaceDN w:val="0"/>
                      <w:adjustRightInd w:val="0"/>
                      <w:rPr>
                        <w:szCs w:val="21"/>
                      </w:rPr>
                    </w:pPr>
                  </w:p>
                </w:tc>
                <w:tc>
                  <w:tcPr>
                    <w:tcW w:w="1560" w:type="pct"/>
                  </w:tcPr>
                  <w:p w14:paraId="6F9ED1A7" w14:textId="77777777" w:rsidR="00471D53" w:rsidRDefault="00B664AF">
                    <w:pPr>
                      <w:ind w:right="6"/>
                      <w:jc w:val="right"/>
                      <w:rPr>
                        <w:szCs w:val="21"/>
                      </w:rPr>
                    </w:pPr>
                  </w:p>
                </w:tc>
                <w:tc>
                  <w:tcPr>
                    <w:tcW w:w="1512" w:type="pct"/>
                  </w:tcPr>
                  <w:p w14:paraId="3ADDDD51" w14:textId="77777777" w:rsidR="00471D53" w:rsidRDefault="00B664AF">
                    <w:pPr>
                      <w:ind w:right="6"/>
                      <w:jc w:val="right"/>
                      <w:rPr>
                        <w:szCs w:val="21"/>
                      </w:rPr>
                    </w:pPr>
                  </w:p>
                </w:tc>
              </w:tr>
            </w:sdtContent>
          </w:sdt>
          <w:tr w:rsidR="00471D53" w14:paraId="3B93B15F" w14:textId="77777777" w:rsidTr="00471D53">
            <w:trPr>
              <w:cantSplit/>
            </w:trPr>
            <w:sdt>
              <w:sdtPr>
                <w:tag w:val="_PLD_0654c3e21e6d4aa0a63a12e93a24988a"/>
                <w:id w:val="-86707225"/>
                <w:lock w:val="sdtLocked"/>
              </w:sdtPr>
              <w:sdtEndPr/>
              <w:sdtContent>
                <w:tc>
                  <w:tcPr>
                    <w:tcW w:w="1927" w:type="pct"/>
                  </w:tcPr>
                  <w:p w14:paraId="0B8846D7" w14:textId="77777777" w:rsidR="00471D53" w:rsidRDefault="004F686E">
                    <w:pPr>
                      <w:autoSpaceDE w:val="0"/>
                      <w:autoSpaceDN w:val="0"/>
                      <w:adjustRightInd w:val="0"/>
                      <w:rPr>
                        <w:szCs w:val="21"/>
                      </w:rPr>
                    </w:pPr>
                    <w:r>
                      <w:rPr>
                        <w:rFonts w:hint="eastAsia"/>
                        <w:szCs w:val="21"/>
                      </w:rPr>
                      <w:t>期末未分配利润</w:t>
                    </w:r>
                  </w:p>
                </w:tc>
              </w:sdtContent>
            </w:sdt>
            <w:tc>
              <w:tcPr>
                <w:tcW w:w="1560" w:type="pct"/>
                <w:vAlign w:val="center"/>
              </w:tcPr>
              <w:p w14:paraId="14E3DCE5" w14:textId="77777777" w:rsidR="00471D53" w:rsidRDefault="004F686E" w:rsidP="00471D53">
                <w:pPr>
                  <w:jc w:val="right"/>
                  <w:rPr>
                    <w:sz w:val="22"/>
                    <w:szCs w:val="22"/>
                  </w:rPr>
                </w:pPr>
                <w:r w:rsidRPr="004A1369">
                  <w:rPr>
                    <w:sz w:val="22"/>
                    <w:szCs w:val="22"/>
                  </w:rPr>
                  <w:t>-665,364,733.80</w:t>
                </w:r>
              </w:p>
            </w:tc>
            <w:tc>
              <w:tcPr>
                <w:tcW w:w="1512" w:type="pct"/>
                <w:vAlign w:val="center"/>
              </w:tcPr>
              <w:p w14:paraId="049DFA30" w14:textId="77777777" w:rsidR="00471D53" w:rsidRDefault="004F686E" w:rsidP="00471D53">
                <w:pPr>
                  <w:jc w:val="right"/>
                  <w:rPr>
                    <w:sz w:val="22"/>
                    <w:szCs w:val="22"/>
                  </w:rPr>
                </w:pPr>
                <w:r>
                  <w:rPr>
                    <w:rFonts w:cs="Calibri" w:hint="eastAsia"/>
                    <w:sz w:val="22"/>
                    <w:szCs w:val="22"/>
                  </w:rPr>
                  <w:t>-664,051,428.89</w:t>
                </w:r>
              </w:p>
            </w:tc>
          </w:tr>
        </w:tbl>
        <w:p w14:paraId="2C084A40" w14:textId="77777777" w:rsidR="00471D53" w:rsidRDefault="004F686E">
          <w:pPr>
            <w:spacing w:before="60" w:after="60"/>
            <w:rPr>
              <w:color w:val="000000" w:themeColor="text1"/>
              <w:szCs w:val="21"/>
            </w:rPr>
          </w:pPr>
          <w:r>
            <w:rPr>
              <w:rFonts w:hint="eastAsia"/>
              <w:color w:val="000000" w:themeColor="text1"/>
              <w:szCs w:val="21"/>
            </w:rPr>
            <w:t>调整期初未分配利润明细：</w:t>
          </w:r>
        </w:p>
        <w:p w14:paraId="551550B1" w14:textId="6F47CBAB" w:rsidR="00471D53" w:rsidRDefault="004F686E">
          <w:pPr>
            <w:rPr>
              <w:szCs w:val="21"/>
            </w:rPr>
          </w:pPr>
          <w:r>
            <w:rPr>
              <w:rFonts w:hint="eastAsia"/>
              <w:szCs w:val="21"/>
            </w:rPr>
            <w:t>1、由于《企业会计准则》及其相关新规定进行追溯调整，影响期初未分配利润</w:t>
          </w:r>
          <w:sdt>
            <w:sdtPr>
              <w:rPr>
                <w:rFonts w:hint="eastAsia"/>
                <w:szCs w:val="21"/>
              </w:rPr>
              <w:alias w:val="依据《企业会计准则》及其相关规定进行追溯调整影响年初未分配利润合计"/>
              <w:tag w:val="_GBC_a54a245e74754754a6239606b5ebbb06"/>
              <w:id w:val="1215616088"/>
              <w:lock w:val="sdtLocked"/>
              <w:placeholder>
                <w:docPart w:val="GBC22222222222222222222222222222"/>
              </w:placeholder>
            </w:sdtPr>
            <w:sdtEndPr/>
            <w:sdtContent>
              <w:r>
                <w:rPr>
                  <w:rFonts w:hint="eastAsia"/>
                  <w:szCs w:val="21"/>
                </w:rPr>
                <w:t>0</w:t>
              </w:r>
            </w:sdtContent>
          </w:sdt>
          <w:r>
            <w:rPr>
              <w:rFonts w:hint="eastAsia"/>
              <w:szCs w:val="21"/>
            </w:rPr>
            <w:t>元。</w:t>
          </w:r>
        </w:p>
        <w:p w14:paraId="4EECCC8F" w14:textId="305D471F" w:rsidR="00471D53" w:rsidRDefault="004F686E">
          <w:pPr>
            <w:rPr>
              <w:szCs w:val="21"/>
            </w:rPr>
          </w:pPr>
          <w:r>
            <w:rPr>
              <w:rFonts w:hint="eastAsia"/>
              <w:szCs w:val="21"/>
            </w:rPr>
            <w:t>2、由于会计政策变更，影响期初未分配利润</w:t>
          </w:r>
          <w:sdt>
            <w:sdtPr>
              <w:rPr>
                <w:rFonts w:hint="eastAsia"/>
                <w:szCs w:val="21"/>
              </w:rPr>
              <w:alias w:val="由于会计政策变更影响年初未分配利润"/>
              <w:tag w:val="_GBC_8295d6891c8842f58b58e4223b4e1700"/>
              <w:id w:val="-1697848595"/>
              <w:lock w:val="sdtLocked"/>
              <w:placeholder>
                <w:docPart w:val="GBC22222222222222222222222222222"/>
              </w:placeholder>
            </w:sdtPr>
            <w:sdtEndPr/>
            <w:sdtContent>
              <w:r>
                <w:rPr>
                  <w:rFonts w:hint="eastAsia"/>
                  <w:szCs w:val="21"/>
                </w:rPr>
                <w:t>0</w:t>
              </w:r>
            </w:sdtContent>
          </w:sdt>
          <w:r>
            <w:rPr>
              <w:rFonts w:hint="eastAsia"/>
              <w:szCs w:val="21"/>
            </w:rPr>
            <w:t>元。</w:t>
          </w:r>
        </w:p>
        <w:p w14:paraId="6AC5D0B2" w14:textId="057E4E9A" w:rsidR="00471D53" w:rsidRDefault="004F686E">
          <w:pPr>
            <w:rPr>
              <w:szCs w:val="21"/>
            </w:rPr>
          </w:pPr>
          <w:r>
            <w:rPr>
              <w:rFonts w:hint="eastAsia"/>
              <w:szCs w:val="21"/>
            </w:rPr>
            <w:t>3、由于重大会计差错更正，影响期初未分配利润</w:t>
          </w:r>
          <w:sdt>
            <w:sdtPr>
              <w:rPr>
                <w:rFonts w:hint="eastAsia"/>
                <w:szCs w:val="21"/>
              </w:rPr>
              <w:alias w:val="由于重大会计差错更正影响年初未分配利润"/>
              <w:tag w:val="_GBC_34728ea6faff41218abab9b8fede268c"/>
              <w:id w:val="280853839"/>
              <w:lock w:val="sdtLocked"/>
              <w:placeholder>
                <w:docPart w:val="GBC22222222222222222222222222222"/>
              </w:placeholder>
            </w:sdtPr>
            <w:sdtEndPr/>
            <w:sdtContent>
              <w:r>
                <w:rPr>
                  <w:rFonts w:hint="eastAsia"/>
                  <w:szCs w:val="21"/>
                </w:rPr>
                <w:t>0</w:t>
              </w:r>
            </w:sdtContent>
          </w:sdt>
          <w:r>
            <w:rPr>
              <w:rFonts w:hint="eastAsia"/>
              <w:szCs w:val="21"/>
            </w:rPr>
            <w:t>元。</w:t>
          </w:r>
        </w:p>
        <w:p w14:paraId="703F5FD6" w14:textId="599A115B" w:rsidR="00471D53" w:rsidRDefault="004F686E">
          <w:pPr>
            <w:rPr>
              <w:szCs w:val="21"/>
            </w:rPr>
          </w:pPr>
          <w:r>
            <w:rPr>
              <w:rFonts w:hint="eastAsia"/>
              <w:szCs w:val="21"/>
            </w:rPr>
            <w:t>4、由于同一控制导致的合并范围变更，影响期初未分配利润</w:t>
          </w:r>
          <w:sdt>
            <w:sdtPr>
              <w:rPr>
                <w:rFonts w:hint="eastAsia"/>
                <w:szCs w:val="21"/>
              </w:rPr>
              <w:alias w:val="同一控制导致的合并范围变更影响年初未分配利润"/>
              <w:tag w:val="_GBC_4d9b7a873cb94aba9044210a45f81108"/>
              <w:id w:val="-1767756234"/>
              <w:lock w:val="sdtLocked"/>
              <w:placeholder>
                <w:docPart w:val="GBC22222222222222222222222222222"/>
              </w:placeholder>
            </w:sdtPr>
            <w:sdtEndPr/>
            <w:sdtContent>
              <w:r>
                <w:rPr>
                  <w:rFonts w:hint="eastAsia"/>
                  <w:szCs w:val="21"/>
                </w:rPr>
                <w:t>0</w:t>
              </w:r>
            </w:sdtContent>
          </w:sdt>
          <w:r>
            <w:rPr>
              <w:rFonts w:hint="eastAsia"/>
              <w:szCs w:val="21"/>
            </w:rPr>
            <w:t>元。</w:t>
          </w:r>
        </w:p>
        <w:p w14:paraId="6716F620" w14:textId="0698BEBB" w:rsidR="00471D53" w:rsidRDefault="004F686E">
          <w:pPr>
            <w:rPr>
              <w:szCs w:val="21"/>
            </w:rPr>
          </w:pPr>
          <w:r>
            <w:rPr>
              <w:rFonts w:hint="eastAsia"/>
              <w:szCs w:val="21"/>
            </w:rPr>
            <w:t>5、其他调整合计影响期初未分配利润</w:t>
          </w:r>
          <w:sdt>
            <w:sdtPr>
              <w:rPr>
                <w:rFonts w:hint="eastAsia"/>
                <w:szCs w:val="21"/>
              </w:rPr>
              <w:alias w:val="其他调整合计影响年初未分配利润"/>
              <w:tag w:val="_GBC_ccd86b3788e04a70a2e6a2167027d7cb"/>
              <w:id w:val="821086868"/>
              <w:lock w:val="sdtLocked"/>
              <w:placeholder>
                <w:docPart w:val="GBC22222222222222222222222222222"/>
              </w:placeholder>
            </w:sdtPr>
            <w:sdtEndPr/>
            <w:sdtContent>
              <w:r>
                <w:rPr>
                  <w:rFonts w:hint="eastAsia"/>
                  <w:szCs w:val="21"/>
                </w:rPr>
                <w:t>0</w:t>
              </w:r>
            </w:sdtContent>
          </w:sdt>
          <w:r>
            <w:rPr>
              <w:rFonts w:hint="eastAsia"/>
              <w:szCs w:val="21"/>
            </w:rPr>
            <w:t>元。</w:t>
          </w:r>
        </w:p>
      </w:sdtContent>
    </w:sdt>
    <w:p w14:paraId="3D8AA317" w14:textId="77777777" w:rsidR="00471D53" w:rsidRDefault="00B664AF">
      <w:pPr>
        <w:rPr>
          <w:szCs w:val="21"/>
        </w:rPr>
      </w:pPr>
    </w:p>
    <w:sdt>
      <w:sdtPr>
        <w:rPr>
          <w:rFonts w:ascii="宋体" w:hAnsi="宋体" w:cs="宋体" w:hint="eastAsia"/>
          <w:b w:val="0"/>
          <w:bCs w:val="0"/>
          <w:kern w:val="0"/>
          <w:szCs w:val="21"/>
        </w:rPr>
        <w:alias w:val="模块:营业收入和营业成本"/>
        <w:tag w:val="_GBC_a3a22662ec3d4fb69e12845051ced996"/>
        <w:id w:val="-305705650"/>
        <w:lock w:val="sdtLocked"/>
        <w:placeholder>
          <w:docPart w:val="GBC22222222222222222222222222222"/>
        </w:placeholder>
      </w:sdtPr>
      <w:sdtEndPr>
        <w:rPr>
          <w:rFonts w:hint="default"/>
        </w:rPr>
      </w:sdtEndPr>
      <w:sdtContent>
        <w:p w14:paraId="0A9F7736" w14:textId="77777777" w:rsidR="00471D53" w:rsidRDefault="004F686E" w:rsidP="004F686E">
          <w:pPr>
            <w:pStyle w:val="afffff7"/>
            <w:numPr>
              <w:ilvl w:val="0"/>
              <w:numId w:val="55"/>
            </w:numPr>
            <w:tabs>
              <w:tab w:val="left" w:pos="504"/>
            </w:tabs>
            <w:rPr>
              <w:rFonts w:ascii="宋体" w:hAnsi="宋体"/>
              <w:szCs w:val="21"/>
            </w:rPr>
          </w:pPr>
          <w:r>
            <w:rPr>
              <w:rFonts w:ascii="宋体" w:hAnsi="宋体"/>
              <w:szCs w:val="21"/>
            </w:rPr>
            <w:t>营业收入和营业成本</w:t>
          </w:r>
        </w:p>
        <w:p w14:paraId="22ACFB88" w14:textId="77777777" w:rsidR="00471D53" w:rsidRDefault="004F686E" w:rsidP="004F686E">
          <w:pPr>
            <w:pStyle w:val="afffff8"/>
            <w:numPr>
              <w:ilvl w:val="0"/>
              <w:numId w:val="87"/>
            </w:numPr>
            <w:ind w:left="426" w:hanging="426"/>
            <w:rPr>
              <w:rFonts w:ascii="宋体" w:hAnsi="宋体"/>
            </w:rPr>
          </w:pPr>
          <w:r>
            <w:rPr>
              <w:rFonts w:ascii="宋体" w:hAnsi="宋体" w:hint="eastAsia"/>
            </w:rPr>
            <w:t>营业收入和营业成本情况</w:t>
          </w:r>
        </w:p>
        <w:sdt>
          <w:sdtPr>
            <w:alias w:val="是否适用：营业收入和营业成本[双击切换]"/>
            <w:tag w:val="_GBC_876680c4ba6b433896b625efff84d599"/>
            <w:id w:val="-1218516392"/>
            <w:lock w:val="sdtLocked"/>
            <w:placeholder>
              <w:docPart w:val="GBC22222222222222222222222222222"/>
            </w:placeholder>
          </w:sdtPr>
          <w:sdtEndPr/>
          <w:sdtContent>
            <w:p w14:paraId="613A4AA0"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5735143" w14:textId="5D299524" w:rsidR="00471D53" w:rsidRDefault="004F686E">
          <w:pPr>
            <w:jc w:val="right"/>
            <w:rPr>
              <w:szCs w:val="21"/>
            </w:rPr>
          </w:pPr>
          <w:r>
            <w:rPr>
              <w:rFonts w:hint="eastAsia"/>
              <w:bCs/>
              <w:szCs w:val="21"/>
            </w:rPr>
            <w:t>单位：</w:t>
          </w:r>
          <w:sdt>
            <w:sdtPr>
              <w:rPr>
                <w:rFonts w:hint="eastAsia"/>
                <w:bCs/>
                <w:szCs w:val="21"/>
              </w:rPr>
              <w:alias w:val="单位：财务附注：营业收入"/>
              <w:tag w:val="_GBC_611ed6dd25a247cf86a0fb98cd86e68f"/>
              <w:id w:val="-16105043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bCs/>
                  <w:szCs w:val="21"/>
                </w:rPr>
                <w:t>元</w:t>
              </w:r>
            </w:sdtContent>
          </w:sdt>
          <w:r>
            <w:rPr>
              <w:rFonts w:hint="eastAsia"/>
              <w:bCs/>
              <w:szCs w:val="21"/>
            </w:rPr>
            <w:t>币种：</w:t>
          </w:r>
          <w:sdt>
            <w:sdtPr>
              <w:rPr>
                <w:rFonts w:hint="eastAsia"/>
                <w:bCs/>
                <w:szCs w:val="21"/>
              </w:rPr>
              <w:alias w:val="币种：财务附注：营业收入"/>
              <w:tag w:val="_GBC_ba5cd3776b804cc291ae4c216c605f02"/>
              <w:id w:val="12159320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bCs/>
                  <w:szCs w:val="21"/>
                </w:rPr>
                <w:t>人民币</w:t>
              </w:r>
            </w:sdtContent>
          </w:sdt>
        </w:p>
        <w:tbl>
          <w:tblPr>
            <w:tblStyle w:val="g4"/>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1"/>
            <w:gridCol w:w="1818"/>
            <w:gridCol w:w="1830"/>
            <w:gridCol w:w="1828"/>
            <w:gridCol w:w="1828"/>
          </w:tblGrid>
          <w:tr w:rsidR="00471D53" w14:paraId="3C53F982" w14:textId="77777777" w:rsidTr="00471D53">
            <w:sdt>
              <w:sdtPr>
                <w:tag w:val="_PLD_d41752618c6a4ee08ca01f5944b34b81"/>
                <w:id w:val="-779644265"/>
                <w:lock w:val="sdtLocked"/>
              </w:sdtPr>
              <w:sdtEndPr/>
              <w:sdtContent>
                <w:tc>
                  <w:tcPr>
                    <w:tcW w:w="805" w:type="pct"/>
                    <w:vMerge w:val="restart"/>
                    <w:tcBorders>
                      <w:top w:val="single" w:sz="4" w:space="0" w:color="auto"/>
                      <w:left w:val="single" w:sz="4" w:space="0" w:color="auto"/>
                      <w:right w:val="single" w:sz="4" w:space="0" w:color="auto"/>
                    </w:tcBorders>
                    <w:shd w:val="clear" w:color="auto" w:fill="auto"/>
                    <w:vAlign w:val="center"/>
                  </w:tcPr>
                  <w:p w14:paraId="487D3F90" w14:textId="77777777" w:rsidR="00471D53" w:rsidRDefault="004F686E">
                    <w:pPr>
                      <w:jc w:val="center"/>
                      <w:rPr>
                        <w:szCs w:val="21"/>
                      </w:rPr>
                    </w:pPr>
                    <w:r>
                      <w:rPr>
                        <w:rFonts w:hint="eastAsia"/>
                        <w:szCs w:val="21"/>
                      </w:rPr>
                      <w:t>项目</w:t>
                    </w:r>
                  </w:p>
                </w:tc>
              </w:sdtContent>
            </w:sdt>
            <w:sdt>
              <w:sdtPr>
                <w:tag w:val="_PLD_f88658ae6cb94ea390736e112b0d5ffc"/>
                <w:id w:val="379064912"/>
                <w:lock w:val="sdtLocked"/>
              </w:sdtPr>
              <w:sdtEndPr/>
              <w:sdtContent>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D01FBA" w14:textId="77777777" w:rsidR="00471D53" w:rsidRDefault="004F686E">
                    <w:pPr>
                      <w:jc w:val="center"/>
                      <w:rPr>
                        <w:szCs w:val="21"/>
                      </w:rPr>
                    </w:pPr>
                    <w:r>
                      <w:rPr>
                        <w:rFonts w:hint="eastAsia"/>
                        <w:szCs w:val="21"/>
                      </w:rPr>
                      <w:t>本期发生额</w:t>
                    </w:r>
                  </w:p>
                </w:tc>
              </w:sdtContent>
            </w:sdt>
            <w:sdt>
              <w:sdtPr>
                <w:tag w:val="_PLD_0840d72efce94f22bdf4d566046b2e87"/>
                <w:id w:val="-606741476"/>
                <w:lock w:val="sdtLocked"/>
              </w:sdtPr>
              <w:sdtEndPr/>
              <w:sdtContent>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CA863C" w14:textId="77777777" w:rsidR="00471D53" w:rsidRDefault="004F686E">
                    <w:pPr>
                      <w:jc w:val="center"/>
                      <w:rPr>
                        <w:szCs w:val="21"/>
                      </w:rPr>
                    </w:pPr>
                    <w:r>
                      <w:rPr>
                        <w:rFonts w:hint="eastAsia"/>
                        <w:szCs w:val="21"/>
                      </w:rPr>
                      <w:t>上期发生额</w:t>
                    </w:r>
                  </w:p>
                </w:tc>
              </w:sdtContent>
            </w:sdt>
          </w:tr>
          <w:tr w:rsidR="00471D53" w14:paraId="781D4C5B" w14:textId="77777777" w:rsidTr="00471D53">
            <w:tc>
              <w:tcPr>
                <w:tcW w:w="805" w:type="pct"/>
                <w:vMerge/>
                <w:tcBorders>
                  <w:left w:val="single" w:sz="4" w:space="0" w:color="auto"/>
                  <w:bottom w:val="single" w:sz="4" w:space="0" w:color="auto"/>
                  <w:right w:val="single" w:sz="4" w:space="0" w:color="auto"/>
                </w:tcBorders>
                <w:shd w:val="clear" w:color="auto" w:fill="auto"/>
              </w:tcPr>
              <w:p w14:paraId="7C97BDA0" w14:textId="77777777" w:rsidR="00471D53" w:rsidRDefault="00B664AF">
                <w:pPr>
                  <w:jc w:val="center"/>
                  <w:rPr>
                    <w:szCs w:val="21"/>
                  </w:rPr>
                </w:pPr>
              </w:p>
            </w:tc>
            <w:sdt>
              <w:sdtPr>
                <w:tag w:val="_PLD_39942ac1f2654fa6bda80d7116d83859"/>
                <w:id w:val="-2093690753"/>
                <w:lock w:val="sdtLocked"/>
              </w:sdtPr>
              <w:sdtEnd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14:paraId="64529550" w14:textId="77777777" w:rsidR="00471D53" w:rsidRDefault="004F686E">
                    <w:pPr>
                      <w:jc w:val="center"/>
                      <w:rPr>
                        <w:szCs w:val="21"/>
                      </w:rPr>
                    </w:pPr>
                    <w:r>
                      <w:rPr>
                        <w:rFonts w:hint="eastAsia"/>
                        <w:szCs w:val="21"/>
                      </w:rPr>
                      <w:t>收入</w:t>
                    </w:r>
                  </w:p>
                </w:tc>
              </w:sdtContent>
            </w:sdt>
            <w:sdt>
              <w:sdtPr>
                <w:tag w:val="_PLD_5075262c52564bf09f90a67ee6a84b17"/>
                <w:id w:val="179631923"/>
                <w:lock w:val="sdtLocked"/>
              </w:sdtPr>
              <w:sdtEndPr/>
              <w:sdtContent>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14:paraId="00E17654" w14:textId="77777777" w:rsidR="00471D53" w:rsidRDefault="004F686E">
                    <w:pPr>
                      <w:jc w:val="center"/>
                      <w:rPr>
                        <w:szCs w:val="21"/>
                      </w:rPr>
                    </w:pPr>
                    <w:r>
                      <w:rPr>
                        <w:rFonts w:hint="eastAsia"/>
                        <w:szCs w:val="21"/>
                      </w:rPr>
                      <w:t>成本</w:t>
                    </w:r>
                  </w:p>
                </w:tc>
              </w:sdtContent>
            </w:sdt>
            <w:sdt>
              <w:sdtPr>
                <w:tag w:val="_PLD_33a1015c666d49cba108bce6aafea1f7"/>
                <w:id w:val="-1078139897"/>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7F14EA07" w14:textId="77777777" w:rsidR="00471D53" w:rsidRDefault="004F686E">
                    <w:pPr>
                      <w:jc w:val="center"/>
                      <w:rPr>
                        <w:szCs w:val="21"/>
                      </w:rPr>
                    </w:pPr>
                    <w:r>
                      <w:rPr>
                        <w:rFonts w:hint="eastAsia"/>
                        <w:szCs w:val="21"/>
                      </w:rPr>
                      <w:t>收入</w:t>
                    </w:r>
                  </w:p>
                </w:tc>
              </w:sdtContent>
            </w:sdt>
            <w:sdt>
              <w:sdtPr>
                <w:tag w:val="_PLD_d09deaa2e4d443459a3584a1d7e92203"/>
                <w:id w:val="1084038179"/>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3A21468E" w14:textId="77777777" w:rsidR="00471D53" w:rsidRDefault="004F686E">
                    <w:pPr>
                      <w:jc w:val="center"/>
                      <w:rPr>
                        <w:szCs w:val="21"/>
                      </w:rPr>
                    </w:pPr>
                    <w:r>
                      <w:rPr>
                        <w:rFonts w:hint="eastAsia"/>
                        <w:szCs w:val="21"/>
                      </w:rPr>
                      <w:t>成本</w:t>
                    </w:r>
                  </w:p>
                </w:tc>
              </w:sdtContent>
            </w:sdt>
          </w:tr>
          <w:tr w:rsidR="00471D53" w14:paraId="1F091C3D" w14:textId="77777777" w:rsidTr="00471D53">
            <w:sdt>
              <w:sdtPr>
                <w:tag w:val="_PLD_b7bfcd00fb124eaf81fd672b23a24a00"/>
                <w:id w:val="-960802509"/>
                <w:lock w:val="sdtLocked"/>
              </w:sdtPr>
              <w:sdtEndPr/>
              <w:sdtContent>
                <w:tc>
                  <w:tcPr>
                    <w:tcW w:w="805" w:type="pct"/>
                    <w:tcBorders>
                      <w:top w:val="single" w:sz="4" w:space="0" w:color="auto"/>
                      <w:left w:val="single" w:sz="4" w:space="0" w:color="auto"/>
                      <w:bottom w:val="single" w:sz="4" w:space="0" w:color="auto"/>
                      <w:right w:val="single" w:sz="4" w:space="0" w:color="auto"/>
                    </w:tcBorders>
                    <w:shd w:val="clear" w:color="auto" w:fill="auto"/>
                  </w:tcPr>
                  <w:p w14:paraId="170745DB" w14:textId="77777777" w:rsidR="00471D53" w:rsidRDefault="004F686E">
                    <w:pPr>
                      <w:rPr>
                        <w:szCs w:val="21"/>
                      </w:rPr>
                    </w:pPr>
                    <w:r>
                      <w:rPr>
                        <w:rFonts w:hint="eastAsia"/>
                        <w:szCs w:val="21"/>
                      </w:rPr>
                      <w:t>主营业务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14:paraId="4B78CBA4" w14:textId="77777777" w:rsidR="00471D53" w:rsidRDefault="004F686E" w:rsidP="00471D53">
                <w:pPr>
                  <w:jc w:val="right"/>
                  <w:rPr>
                    <w:bCs/>
                    <w:sz w:val="20"/>
                    <w:szCs w:val="20"/>
                  </w:rPr>
                </w:pPr>
                <w:r w:rsidRPr="004F4EC3">
                  <w:rPr>
                    <w:bCs/>
                    <w:sz w:val="20"/>
                    <w:szCs w:val="20"/>
                  </w:rPr>
                  <w:t>508,272,446.37</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14:paraId="74294212" w14:textId="77777777" w:rsidR="00471D53" w:rsidRDefault="004F686E" w:rsidP="00471D53">
                <w:pPr>
                  <w:jc w:val="right"/>
                  <w:rPr>
                    <w:bCs/>
                    <w:sz w:val="20"/>
                    <w:szCs w:val="20"/>
                  </w:rPr>
                </w:pPr>
                <w:r w:rsidRPr="00857F82">
                  <w:rPr>
                    <w:bCs/>
                    <w:sz w:val="20"/>
                    <w:szCs w:val="20"/>
                  </w:rPr>
                  <w:t>435,964,995.70</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6DD8912A" w14:textId="296C4EE4" w:rsidR="00471D53" w:rsidRPr="00717089" w:rsidRDefault="004F686E" w:rsidP="00471D53">
                <w:pPr>
                  <w:jc w:val="right"/>
                  <w:rPr>
                    <w:bCs/>
                    <w:sz w:val="20"/>
                    <w:szCs w:val="20"/>
                  </w:rPr>
                </w:pPr>
                <w:r w:rsidRPr="00717089">
                  <w:rPr>
                    <w:rFonts w:hint="eastAsia"/>
                    <w:bCs/>
                    <w:sz w:val="20"/>
                    <w:szCs w:val="20"/>
                  </w:rPr>
                  <w:t>485,274,619.95</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2845F65D" w14:textId="77777777" w:rsidR="00471D53" w:rsidRPr="00717089" w:rsidRDefault="004F686E" w:rsidP="00471D53">
                <w:pPr>
                  <w:jc w:val="right"/>
                  <w:rPr>
                    <w:bCs/>
                    <w:sz w:val="20"/>
                    <w:szCs w:val="20"/>
                  </w:rPr>
                </w:pPr>
                <w:r w:rsidRPr="0053740B">
                  <w:rPr>
                    <w:rFonts w:hint="eastAsia"/>
                    <w:bCs/>
                    <w:sz w:val="20"/>
                    <w:szCs w:val="20"/>
                  </w:rPr>
                  <w:t>417,037,790.15</w:t>
                </w:r>
              </w:p>
            </w:tc>
          </w:tr>
          <w:tr w:rsidR="00471D53" w14:paraId="38401290" w14:textId="77777777" w:rsidTr="00471D53">
            <w:sdt>
              <w:sdtPr>
                <w:tag w:val="_PLD_a17f3dcab1c140c8a4254ddfe38c4d7d"/>
                <w:id w:val="1976019164"/>
                <w:lock w:val="sdtLocked"/>
              </w:sdtPr>
              <w:sdtEndPr/>
              <w:sdtContent>
                <w:tc>
                  <w:tcPr>
                    <w:tcW w:w="805" w:type="pct"/>
                    <w:tcBorders>
                      <w:top w:val="single" w:sz="4" w:space="0" w:color="auto"/>
                      <w:left w:val="single" w:sz="4" w:space="0" w:color="auto"/>
                      <w:bottom w:val="single" w:sz="4" w:space="0" w:color="auto"/>
                      <w:right w:val="single" w:sz="4" w:space="0" w:color="auto"/>
                    </w:tcBorders>
                    <w:shd w:val="clear" w:color="auto" w:fill="auto"/>
                  </w:tcPr>
                  <w:p w14:paraId="3B8D0A74" w14:textId="77777777" w:rsidR="00471D53" w:rsidRDefault="004F686E">
                    <w:pPr>
                      <w:rPr>
                        <w:szCs w:val="21"/>
                      </w:rPr>
                    </w:pPr>
                    <w:r>
                      <w:rPr>
                        <w:rFonts w:hint="eastAsia"/>
                        <w:szCs w:val="21"/>
                      </w:rPr>
                      <w:t>其他业务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14:paraId="7A3F283B" w14:textId="77777777" w:rsidR="00471D53" w:rsidRDefault="004F686E" w:rsidP="00471D53">
                <w:pPr>
                  <w:jc w:val="right"/>
                  <w:rPr>
                    <w:bCs/>
                    <w:sz w:val="20"/>
                    <w:szCs w:val="20"/>
                  </w:rPr>
                </w:pPr>
                <w:r w:rsidRPr="004F4EC3">
                  <w:rPr>
                    <w:bCs/>
                    <w:sz w:val="20"/>
                    <w:szCs w:val="20"/>
                  </w:rPr>
                  <w:t>18,282,074.38</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14:paraId="63F76A59" w14:textId="77777777" w:rsidR="00471D53" w:rsidRDefault="004F686E" w:rsidP="00471D53">
                <w:pPr>
                  <w:jc w:val="right"/>
                  <w:rPr>
                    <w:bCs/>
                    <w:sz w:val="20"/>
                    <w:szCs w:val="20"/>
                  </w:rPr>
                </w:pPr>
                <w:r w:rsidRPr="00857F82">
                  <w:rPr>
                    <w:bCs/>
                    <w:sz w:val="20"/>
                    <w:szCs w:val="20"/>
                  </w:rPr>
                  <w:t>17,254,289.67</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25B7CF8B" w14:textId="1FB7CEBB" w:rsidR="00471D53" w:rsidRPr="00717089" w:rsidRDefault="004F686E" w:rsidP="00471D53">
                <w:pPr>
                  <w:jc w:val="right"/>
                  <w:rPr>
                    <w:bCs/>
                    <w:sz w:val="20"/>
                    <w:szCs w:val="20"/>
                  </w:rPr>
                </w:pPr>
                <w:r w:rsidRPr="00717089">
                  <w:rPr>
                    <w:rFonts w:hint="eastAsia"/>
                    <w:bCs/>
                    <w:sz w:val="20"/>
                    <w:szCs w:val="20"/>
                  </w:rPr>
                  <w:t>38,557,028.82</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17A1E0F7" w14:textId="77777777" w:rsidR="00471D53" w:rsidRPr="00717089" w:rsidRDefault="004F686E" w:rsidP="00471D53">
                <w:pPr>
                  <w:jc w:val="right"/>
                  <w:rPr>
                    <w:bCs/>
                    <w:sz w:val="20"/>
                    <w:szCs w:val="20"/>
                  </w:rPr>
                </w:pPr>
                <w:r w:rsidRPr="0053740B">
                  <w:rPr>
                    <w:rFonts w:hint="eastAsia"/>
                    <w:bCs/>
                    <w:sz w:val="20"/>
                    <w:szCs w:val="20"/>
                  </w:rPr>
                  <w:t>43,615,492.35</w:t>
                </w:r>
              </w:p>
            </w:tc>
          </w:tr>
          <w:tr w:rsidR="00471D53" w14:paraId="051D1C08" w14:textId="77777777" w:rsidTr="00471D53">
            <w:sdt>
              <w:sdtPr>
                <w:tag w:val="_PLD_d6cf597d82bf4ed089aa5592301f1642"/>
                <w:id w:val="1969151948"/>
                <w:lock w:val="sdtLocked"/>
              </w:sdtPr>
              <w:sdtEndPr/>
              <w:sdtContent>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0D14E5F3" w14:textId="77777777" w:rsidR="00471D53" w:rsidRDefault="004F686E">
                    <w:pPr>
                      <w:jc w:val="center"/>
                      <w:rPr>
                        <w:szCs w:val="21"/>
                      </w:rPr>
                    </w:pPr>
                    <w:r>
                      <w:rPr>
                        <w:rFonts w:hint="eastAsia"/>
                        <w:szCs w:val="21"/>
                      </w:rPr>
                      <w:t>合计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14:paraId="34296B3E" w14:textId="77777777" w:rsidR="00471D53" w:rsidRPr="00784F41" w:rsidRDefault="004F686E" w:rsidP="00471D53">
                <w:pPr>
                  <w:jc w:val="right"/>
                  <w:rPr>
                    <w:sz w:val="20"/>
                    <w:szCs w:val="20"/>
                  </w:rPr>
                </w:pPr>
                <w:r w:rsidRPr="00784F41">
                  <w:rPr>
                    <w:sz w:val="20"/>
                    <w:szCs w:val="20"/>
                  </w:rPr>
                  <w:t>526,554,520.75</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14:paraId="3403E89D" w14:textId="77777777" w:rsidR="00471D53" w:rsidRPr="00784F41" w:rsidRDefault="004F686E" w:rsidP="00471D53">
                <w:pPr>
                  <w:jc w:val="right"/>
                  <w:rPr>
                    <w:sz w:val="20"/>
                    <w:szCs w:val="20"/>
                  </w:rPr>
                </w:pPr>
                <w:r w:rsidRPr="00784F41">
                  <w:rPr>
                    <w:sz w:val="20"/>
                    <w:szCs w:val="20"/>
                  </w:rPr>
                  <w:t>453,219,285.37</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14FFA6A1" w14:textId="5484959F" w:rsidR="00471D53" w:rsidRPr="00784F41" w:rsidRDefault="004F686E" w:rsidP="00471D53">
                <w:pPr>
                  <w:jc w:val="right"/>
                  <w:rPr>
                    <w:sz w:val="20"/>
                    <w:szCs w:val="20"/>
                  </w:rPr>
                </w:pPr>
                <w:r w:rsidRPr="00784F41">
                  <w:rPr>
                    <w:rFonts w:hint="eastAsia"/>
                    <w:sz w:val="20"/>
                    <w:szCs w:val="20"/>
                  </w:rPr>
                  <w:t>523,831,648.77</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2EA82EEE" w14:textId="77777777" w:rsidR="00471D53" w:rsidRPr="00784F41" w:rsidRDefault="004F686E" w:rsidP="00471D53">
                <w:pPr>
                  <w:jc w:val="right"/>
                  <w:rPr>
                    <w:sz w:val="20"/>
                    <w:szCs w:val="20"/>
                  </w:rPr>
                </w:pPr>
                <w:r w:rsidRPr="00784F41">
                  <w:rPr>
                    <w:rFonts w:hint="eastAsia"/>
                    <w:sz w:val="20"/>
                    <w:szCs w:val="20"/>
                  </w:rPr>
                  <w:t>460,653,282.50</w:t>
                </w:r>
              </w:p>
            </w:tc>
          </w:tr>
        </w:tbl>
        <w:p w14:paraId="48C921E4" w14:textId="77777777" w:rsidR="00471D53" w:rsidRDefault="00B664AF">
          <w:pPr>
            <w:rPr>
              <w:szCs w:val="21"/>
            </w:rPr>
          </w:pPr>
        </w:p>
      </w:sdtContent>
    </w:sdt>
    <w:bookmarkStart w:id="212" w:name="_Hlk10538044" w:displacedByCustomXml="next"/>
    <w:bookmarkStart w:id="213" w:name="_Hlk10538056" w:displacedByCustomXml="next"/>
    <w:sdt>
      <w:sdtPr>
        <w:rPr>
          <w:rFonts w:ascii="宋体" w:hAnsi="宋体" w:cs="宋体" w:hint="eastAsia"/>
          <w:b w:val="0"/>
          <w:bCs w:val="0"/>
          <w:kern w:val="0"/>
          <w:szCs w:val="24"/>
        </w:rPr>
        <w:alias w:val="模块:合同产生的收入的情况"/>
        <w:tag w:val="_SEC_a8e15093e1ef4b64a05aa66b1647502c"/>
        <w:id w:val="-1499729145"/>
        <w:lock w:val="sdtLocked"/>
        <w:placeholder>
          <w:docPart w:val="GBC22222222222222222222222222222"/>
        </w:placeholder>
      </w:sdtPr>
      <w:sdtEndPr>
        <w:rPr>
          <w:rFonts w:hint="default"/>
          <w:szCs w:val="21"/>
        </w:rPr>
      </w:sdtEndPr>
      <w:sdtContent>
        <w:p w14:paraId="41F2017D" w14:textId="77777777" w:rsidR="00471D53" w:rsidRDefault="004F686E" w:rsidP="004F686E">
          <w:pPr>
            <w:pStyle w:val="afffff8"/>
            <w:numPr>
              <w:ilvl w:val="0"/>
              <w:numId w:val="87"/>
            </w:numPr>
            <w:ind w:left="426" w:hanging="426"/>
            <w:rPr>
              <w:rFonts w:ascii="宋体" w:hAnsi="宋体"/>
            </w:rPr>
          </w:pPr>
          <w:r>
            <w:rPr>
              <w:rFonts w:ascii="宋体" w:hAnsi="宋体" w:hint="eastAsia"/>
            </w:rPr>
            <w:t>合同产生的收入的情况</w:t>
          </w:r>
          <w:bookmarkEnd w:id="212"/>
        </w:p>
        <w:sdt>
          <w:sdtPr>
            <w:rPr>
              <w:rFonts w:ascii="宋体" w:hAnsi="宋体"/>
              <w:szCs w:val="21"/>
            </w:rPr>
            <w:alias w:val="是否适用：合同产生的收入[双击切换]"/>
            <w:tag w:val="_GBC_c21770085a2f4dd3922bd8eb4c58558c"/>
            <w:id w:val="-116687456"/>
            <w:lock w:val="sdtLocked"/>
            <w:placeholder>
              <w:docPart w:val="GBC22222222222222222222222222222"/>
            </w:placeholder>
          </w:sdtPr>
          <w:sdtEndPr/>
          <w:sdtContent>
            <w:p w14:paraId="7C2FE416" w14:textId="77777777" w:rsidR="00471D53" w:rsidRDefault="004F686E">
              <w:pPr>
                <w:pStyle w:val="affffff7"/>
                <w:ind w:firstLineChars="0" w:firstLine="0"/>
                <w:jc w:val="left"/>
                <w:rPr>
                  <w:rFonts w:ascii="宋体" w:hAnsi="宋体"/>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14:paraId="73CAA065" w14:textId="66DBEFB4" w:rsidR="00471D53" w:rsidRDefault="004F686E">
          <w:pPr>
            <w:pStyle w:val="affffff7"/>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合同产生的收入"/>
              <w:tag w:val="_GBC_ad3fa206b47145cea9728c5ff60d9346"/>
              <w:id w:val="-87284073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币种：</w:t>
          </w:r>
          <w:sdt>
            <w:sdtPr>
              <w:rPr>
                <w:rFonts w:ascii="宋体" w:hAnsi="宋体" w:hint="eastAsia"/>
                <w:szCs w:val="21"/>
              </w:rPr>
              <w:alias w:val="币种：合同产生的收入"/>
              <w:tag w:val="_GBC_bbe175f0f61a42949a1146ca1734e362"/>
              <w:id w:val="-12570571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6"/>
            <w:gridCol w:w="2477"/>
            <w:gridCol w:w="2710"/>
          </w:tblGrid>
          <w:tr w:rsidR="00471D53" w14:paraId="788BF459" w14:textId="77777777" w:rsidTr="00471D53">
            <w:sdt>
              <w:sdtPr>
                <w:rPr>
                  <w:rFonts w:hint="eastAsia"/>
                  <w:szCs w:val="21"/>
                </w:rPr>
                <w:tag w:val="_PLD_bf90fdfeb0c2419ba1ce17d060f1056f"/>
                <w:id w:val="639155365"/>
                <w:lock w:val="sdtLocked"/>
              </w:sdtPr>
              <w:sdtEnd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14:paraId="76A39E3E" w14:textId="77777777" w:rsidR="00471D53" w:rsidRDefault="004F686E" w:rsidP="00471D53">
                    <w:pPr>
                      <w:jc w:val="center"/>
                      <w:rPr>
                        <w:szCs w:val="21"/>
                      </w:rPr>
                    </w:pPr>
                    <w:r>
                      <w:rPr>
                        <w:rFonts w:hint="eastAsia"/>
                        <w:szCs w:val="21"/>
                      </w:rPr>
                      <w:t>合同分类</w:t>
                    </w:r>
                  </w:p>
                </w:tc>
              </w:sdtContent>
            </w:sdt>
            <w:sdt>
              <w:sdtPr>
                <w:rPr>
                  <w:rFonts w:hint="eastAsia"/>
                  <w:szCs w:val="21"/>
                </w:rPr>
                <w:alias w:val="合同产生的收入分部名称"/>
                <w:tag w:val="_GBC_6b75b59ddb224134b8ea11484825b0a5"/>
                <w:id w:val="1497219484"/>
                <w:lock w:val="sdtLocked"/>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vAlign w:val="center"/>
                  </w:tcPr>
                  <w:p w14:paraId="7A1560C1" w14:textId="77777777" w:rsidR="00471D53" w:rsidRDefault="004F686E" w:rsidP="00471D53">
                    <w:pPr>
                      <w:jc w:val="center"/>
                      <w:rPr>
                        <w:szCs w:val="21"/>
                      </w:rPr>
                    </w:pPr>
                    <w:r>
                      <w:rPr>
                        <w:rFonts w:hint="eastAsia"/>
                        <w:szCs w:val="21"/>
                      </w:rPr>
                      <w:t>XXX-分部</w:t>
                    </w:r>
                  </w:p>
                </w:tc>
              </w:sdtContent>
            </w:sdt>
            <w:sdt>
              <w:sdtPr>
                <w:rPr>
                  <w:rFonts w:hint="eastAsia"/>
                  <w:szCs w:val="21"/>
                </w:rPr>
                <w:tag w:val="_PLD_db6b6651438f4eec8a8c96f0e8c1dca2"/>
                <w:id w:val="-756825853"/>
                <w:lock w:val="sdtLocked"/>
              </w:sdtPr>
              <w:sdtEndPr/>
              <w:sdtContent>
                <w:tc>
                  <w:tcPr>
                    <w:tcW w:w="1536" w:type="pct"/>
                    <w:tcBorders>
                      <w:top w:val="single" w:sz="4" w:space="0" w:color="auto"/>
                      <w:left w:val="single" w:sz="4" w:space="0" w:color="auto"/>
                      <w:bottom w:val="single" w:sz="4" w:space="0" w:color="auto"/>
                      <w:right w:val="single" w:sz="4" w:space="0" w:color="auto"/>
                    </w:tcBorders>
                    <w:vAlign w:val="center"/>
                  </w:tcPr>
                  <w:p w14:paraId="6525831D" w14:textId="77777777" w:rsidR="00471D53" w:rsidRDefault="004F686E" w:rsidP="00471D53">
                    <w:pPr>
                      <w:jc w:val="center"/>
                      <w:rPr>
                        <w:color w:val="808080"/>
                        <w:szCs w:val="21"/>
                      </w:rPr>
                    </w:pPr>
                    <w:r>
                      <w:rPr>
                        <w:rFonts w:hint="eastAsia"/>
                        <w:szCs w:val="21"/>
                      </w:rPr>
                      <w:t>合计</w:t>
                    </w:r>
                  </w:p>
                </w:tc>
              </w:sdtContent>
            </w:sdt>
          </w:tr>
          <w:tr w:rsidR="00471D53" w14:paraId="0DA7259D" w14:textId="77777777" w:rsidTr="00471D53">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szCs w:val="21"/>
                  </w:rPr>
                  <w:tag w:val="_PLD_b01740e1773145b8849df786a44184de"/>
                  <w:id w:val="-356272852"/>
                  <w:lock w:val="sdtLocked"/>
                </w:sdtPr>
                <w:sdtEndPr/>
                <w:sdtContent>
                  <w:p w14:paraId="2C29FDC2" w14:textId="77777777" w:rsidR="00471D53" w:rsidRDefault="004F686E" w:rsidP="00471D53">
                    <w:pPr>
                      <w:rPr>
                        <w:szCs w:val="21"/>
                      </w:rPr>
                    </w:pPr>
                    <w:r>
                      <w:rPr>
                        <w:rFonts w:hint="eastAsia"/>
                        <w:szCs w:val="21"/>
                      </w:rPr>
                      <w:t>商品类型</w:t>
                    </w:r>
                  </w:p>
                </w:sdtContent>
              </w:sdt>
            </w:tc>
            <w:sdt>
              <w:sdtPr>
                <w:rPr>
                  <w:szCs w:val="21"/>
                </w:rPr>
                <w:alias w:val="分部商品类型合同产生的收入"/>
                <w:tag w:val="_GBC_2b2f7aef2e674442b228005d07274e05"/>
                <w:id w:val="-1323042120"/>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540374C6" w14:textId="77777777" w:rsidR="00471D53" w:rsidRDefault="004F686E" w:rsidP="00471D53">
                    <w:pPr>
                      <w:jc w:val="right"/>
                      <w:rPr>
                        <w:szCs w:val="21"/>
                      </w:rPr>
                    </w:pPr>
                    <w:r>
                      <w:rPr>
                        <w:rFonts w:hint="eastAsia"/>
                      </w:rPr>
                      <w:t xml:space="preserve">　</w:t>
                    </w:r>
                  </w:p>
                </w:tc>
              </w:sdtContent>
            </w:sdt>
            <w:sdt>
              <w:sdtPr>
                <w:rPr>
                  <w:szCs w:val="21"/>
                </w:rPr>
                <w:alias w:val="商品类型合同产生的收入"/>
                <w:tag w:val="_GBC_d7e93835acce452384af33551ba7f585"/>
                <w:id w:val="-946076670"/>
                <w:lock w:val="sdtLocked"/>
                <w:showingPlcHdr/>
              </w:sdtPr>
              <w:sdtEndPr/>
              <w:sdtContent>
                <w:tc>
                  <w:tcPr>
                    <w:tcW w:w="1536" w:type="pct"/>
                    <w:tcBorders>
                      <w:top w:val="single" w:sz="4" w:space="0" w:color="auto"/>
                      <w:left w:val="single" w:sz="4" w:space="0" w:color="auto"/>
                      <w:bottom w:val="single" w:sz="4" w:space="0" w:color="auto"/>
                      <w:right w:val="single" w:sz="4" w:space="0" w:color="auto"/>
                    </w:tcBorders>
                  </w:tcPr>
                  <w:p w14:paraId="29F19C15" w14:textId="77777777" w:rsidR="00471D53" w:rsidRDefault="004F686E" w:rsidP="00471D53">
                    <w:pPr>
                      <w:jc w:val="right"/>
                      <w:rPr>
                        <w:szCs w:val="21"/>
                      </w:rPr>
                    </w:pPr>
                    <w:r>
                      <w:rPr>
                        <w:rFonts w:hint="eastAsia"/>
                      </w:rPr>
                      <w:t xml:space="preserve">　</w:t>
                    </w:r>
                  </w:p>
                </w:tc>
              </w:sdtContent>
            </w:sdt>
          </w:tr>
          <w:tr w:rsidR="00471D53" w14:paraId="49AE2E00" w14:textId="77777777" w:rsidTr="00471D53">
            <w:sdt>
              <w:sdtPr>
                <w:rPr>
                  <w:rFonts w:hint="eastAsia"/>
                  <w:szCs w:val="21"/>
                </w:rPr>
                <w:alias w:val="分部商品类型明细名称"/>
                <w:tag w:val="_GBC_9b24d072ad6f4b69a94ec304db6192c3"/>
                <w:id w:val="-53775307"/>
                <w:lock w:val="sdtLocked"/>
              </w:sdtPr>
              <w:sdtEnd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14:paraId="605AA451" w14:textId="77777777" w:rsidR="00471D53" w:rsidRDefault="004F686E" w:rsidP="00471D53">
                    <w:pPr>
                      <w:ind w:firstLineChars="200" w:firstLine="420"/>
                      <w:rPr>
                        <w:szCs w:val="21"/>
                      </w:rPr>
                    </w:pPr>
                    <w:r>
                      <w:rPr>
                        <w:rFonts w:hint="eastAsia"/>
                        <w:szCs w:val="21"/>
                      </w:rPr>
                      <w:t>其中：钢质无缝气瓶</w:t>
                    </w:r>
                  </w:p>
                </w:tc>
              </w:sdtContent>
            </w:sdt>
            <w:sdt>
              <w:sdtPr>
                <w:rPr>
                  <w:szCs w:val="21"/>
                </w:rPr>
                <w:alias w:val="分部商品类型明细合同产生的收入"/>
                <w:tag w:val="_GBC_5d3d3176f1784cb08da754a9734f9bb2"/>
                <w:id w:val="2046399912"/>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524BD9B1" w14:textId="77777777" w:rsidR="00471D53" w:rsidRDefault="004F686E" w:rsidP="00471D53">
                    <w:pPr>
                      <w:jc w:val="right"/>
                      <w:rPr>
                        <w:szCs w:val="21"/>
                      </w:rPr>
                    </w:pPr>
                    <w:r>
                      <w:rPr>
                        <w:rFonts w:hint="eastAsia"/>
                      </w:rPr>
                      <w:t xml:space="preserve">　</w:t>
                    </w:r>
                  </w:p>
                </w:tc>
              </w:sdtContent>
            </w:sdt>
            <w:sdt>
              <w:sdtPr>
                <w:rPr>
                  <w:szCs w:val="21"/>
                </w:rPr>
                <w:alias w:val="商品类型明细合同产生的收入"/>
                <w:tag w:val="_GBC_4e6bfa20e78f4111b81144120f593c56"/>
                <w:id w:val="-1097786352"/>
                <w:lock w:val="sdtLocked"/>
              </w:sdtPr>
              <w:sdtEndPr/>
              <w:sdtContent>
                <w:tc>
                  <w:tcPr>
                    <w:tcW w:w="1536" w:type="pct"/>
                    <w:tcBorders>
                      <w:top w:val="single" w:sz="4" w:space="0" w:color="auto"/>
                      <w:left w:val="single" w:sz="4" w:space="0" w:color="auto"/>
                      <w:bottom w:val="single" w:sz="4" w:space="0" w:color="auto"/>
                      <w:right w:val="single" w:sz="4" w:space="0" w:color="auto"/>
                    </w:tcBorders>
                  </w:tcPr>
                  <w:p w14:paraId="174F2937" w14:textId="77777777" w:rsidR="00471D53" w:rsidRDefault="004F686E" w:rsidP="00471D53">
                    <w:pPr>
                      <w:jc w:val="right"/>
                      <w:rPr>
                        <w:szCs w:val="21"/>
                      </w:rPr>
                    </w:pPr>
                    <w:r>
                      <w:rPr>
                        <w:szCs w:val="21"/>
                      </w:rPr>
                      <w:t>254,696,194.16</w:t>
                    </w:r>
                  </w:p>
                </w:tc>
              </w:sdtContent>
            </w:sdt>
          </w:tr>
          <w:tr w:rsidR="00471D53" w14:paraId="44C64C5D" w14:textId="77777777" w:rsidTr="00471D53">
            <w:sdt>
              <w:sdtPr>
                <w:rPr>
                  <w:rFonts w:hint="eastAsia"/>
                  <w:szCs w:val="21"/>
                </w:rPr>
                <w:alias w:val="分部商品类型明细名称"/>
                <w:tag w:val="_GBC_9b24d072ad6f4b69a94ec304db6192c3"/>
                <w:id w:val="-693688240"/>
                <w:lock w:val="sdtLocked"/>
              </w:sdtPr>
              <w:sdtEnd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14:paraId="3A279BFA" w14:textId="1E87BBBD" w:rsidR="00471D53" w:rsidRDefault="004F686E" w:rsidP="00471D53">
                    <w:pPr>
                      <w:ind w:firstLineChars="200" w:firstLine="420"/>
                      <w:rPr>
                        <w:szCs w:val="21"/>
                      </w:rPr>
                    </w:pPr>
                    <w:r>
                      <w:rPr>
                        <w:rFonts w:hint="eastAsia"/>
                        <w:szCs w:val="21"/>
                      </w:rPr>
                      <w:t>缠绕瓶</w:t>
                    </w:r>
                  </w:p>
                </w:tc>
              </w:sdtContent>
            </w:sdt>
            <w:sdt>
              <w:sdtPr>
                <w:rPr>
                  <w:szCs w:val="21"/>
                </w:rPr>
                <w:alias w:val="分部商品类型明细合同产生的收入"/>
                <w:tag w:val="_GBC_5d3d3176f1784cb08da754a9734f9bb2"/>
                <w:id w:val="-835456163"/>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19D2C3A6" w14:textId="77777777" w:rsidR="00471D53" w:rsidRDefault="004F686E" w:rsidP="00471D53">
                    <w:pPr>
                      <w:jc w:val="right"/>
                      <w:rPr>
                        <w:szCs w:val="21"/>
                      </w:rPr>
                    </w:pPr>
                    <w:r>
                      <w:rPr>
                        <w:rFonts w:hint="eastAsia"/>
                      </w:rPr>
                      <w:t xml:space="preserve">　</w:t>
                    </w:r>
                  </w:p>
                </w:tc>
              </w:sdtContent>
            </w:sdt>
            <w:sdt>
              <w:sdtPr>
                <w:rPr>
                  <w:szCs w:val="21"/>
                </w:rPr>
                <w:alias w:val="商品类型明细合同产生的收入"/>
                <w:tag w:val="_GBC_4e6bfa20e78f4111b81144120f593c56"/>
                <w:id w:val="-1536266442"/>
                <w:lock w:val="sdtLocked"/>
              </w:sdtPr>
              <w:sdtEndPr/>
              <w:sdtContent>
                <w:tc>
                  <w:tcPr>
                    <w:tcW w:w="1536" w:type="pct"/>
                    <w:tcBorders>
                      <w:top w:val="single" w:sz="4" w:space="0" w:color="auto"/>
                      <w:left w:val="single" w:sz="4" w:space="0" w:color="auto"/>
                      <w:bottom w:val="single" w:sz="4" w:space="0" w:color="auto"/>
                      <w:right w:val="single" w:sz="4" w:space="0" w:color="auto"/>
                    </w:tcBorders>
                  </w:tcPr>
                  <w:p w14:paraId="721C995F" w14:textId="77777777" w:rsidR="00471D53" w:rsidRDefault="004F686E" w:rsidP="00471D53">
                    <w:pPr>
                      <w:jc w:val="right"/>
                      <w:rPr>
                        <w:szCs w:val="21"/>
                      </w:rPr>
                    </w:pPr>
                    <w:r>
                      <w:rPr>
                        <w:szCs w:val="21"/>
                      </w:rPr>
                      <w:t>64,916,143.89</w:t>
                    </w:r>
                  </w:p>
                </w:tc>
              </w:sdtContent>
            </w:sdt>
          </w:tr>
          <w:tr w:rsidR="00471D53" w14:paraId="00A33D53" w14:textId="77777777" w:rsidTr="00471D53">
            <w:sdt>
              <w:sdtPr>
                <w:rPr>
                  <w:rFonts w:hint="eastAsia"/>
                  <w:szCs w:val="21"/>
                </w:rPr>
                <w:alias w:val="分部商品类型明细名称"/>
                <w:tag w:val="_GBC_9b24d072ad6f4b69a94ec304db6192c3"/>
                <w:id w:val="-988781374"/>
                <w:lock w:val="sdtLocked"/>
              </w:sdtPr>
              <w:sdtEnd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14:paraId="066C6EC5" w14:textId="5839F1FD" w:rsidR="00471D53" w:rsidRDefault="004F686E" w:rsidP="00471D53">
                    <w:pPr>
                      <w:ind w:firstLineChars="200" w:firstLine="420"/>
                      <w:rPr>
                        <w:szCs w:val="21"/>
                      </w:rPr>
                    </w:pPr>
                    <w:r>
                      <w:rPr>
                        <w:rFonts w:hint="eastAsia"/>
                        <w:szCs w:val="21"/>
                      </w:rPr>
                      <w:t>低温瓶</w:t>
                    </w:r>
                  </w:p>
                </w:tc>
              </w:sdtContent>
            </w:sdt>
            <w:sdt>
              <w:sdtPr>
                <w:rPr>
                  <w:szCs w:val="21"/>
                </w:rPr>
                <w:alias w:val="分部商品类型明细合同产生的收入"/>
                <w:tag w:val="_GBC_5d3d3176f1784cb08da754a9734f9bb2"/>
                <w:id w:val="-1151367065"/>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7AEE7076" w14:textId="77777777" w:rsidR="00471D53" w:rsidRDefault="004F686E" w:rsidP="00471D53">
                    <w:pPr>
                      <w:jc w:val="right"/>
                      <w:rPr>
                        <w:szCs w:val="21"/>
                      </w:rPr>
                    </w:pPr>
                    <w:r>
                      <w:rPr>
                        <w:rFonts w:hint="eastAsia"/>
                      </w:rPr>
                      <w:t xml:space="preserve">　</w:t>
                    </w:r>
                  </w:p>
                </w:tc>
              </w:sdtContent>
            </w:sdt>
            <w:sdt>
              <w:sdtPr>
                <w:rPr>
                  <w:szCs w:val="21"/>
                </w:rPr>
                <w:alias w:val="商品类型明细合同产生的收入"/>
                <w:tag w:val="_GBC_4e6bfa20e78f4111b81144120f593c56"/>
                <w:id w:val="683473025"/>
                <w:lock w:val="sdtLocked"/>
              </w:sdtPr>
              <w:sdtEndPr/>
              <w:sdtContent>
                <w:tc>
                  <w:tcPr>
                    <w:tcW w:w="1536" w:type="pct"/>
                    <w:tcBorders>
                      <w:top w:val="single" w:sz="4" w:space="0" w:color="auto"/>
                      <w:left w:val="single" w:sz="4" w:space="0" w:color="auto"/>
                      <w:bottom w:val="single" w:sz="4" w:space="0" w:color="auto"/>
                      <w:right w:val="single" w:sz="4" w:space="0" w:color="auto"/>
                    </w:tcBorders>
                  </w:tcPr>
                  <w:p w14:paraId="53016796" w14:textId="77777777" w:rsidR="00471D53" w:rsidRDefault="004F686E" w:rsidP="00471D53">
                    <w:pPr>
                      <w:jc w:val="right"/>
                      <w:rPr>
                        <w:szCs w:val="21"/>
                      </w:rPr>
                    </w:pPr>
                    <w:r>
                      <w:rPr>
                        <w:szCs w:val="21"/>
                      </w:rPr>
                      <w:t>49,708,943.97</w:t>
                    </w:r>
                  </w:p>
                </w:tc>
              </w:sdtContent>
            </w:sdt>
          </w:tr>
          <w:tr w:rsidR="00471D53" w14:paraId="53915A6F" w14:textId="77777777" w:rsidTr="00471D53">
            <w:sdt>
              <w:sdtPr>
                <w:rPr>
                  <w:rFonts w:hint="eastAsia"/>
                  <w:szCs w:val="21"/>
                </w:rPr>
                <w:alias w:val="分部商品类型明细名称"/>
                <w:tag w:val="_GBC_9b24d072ad6f4b69a94ec304db6192c3"/>
                <w:id w:val="-703869387"/>
                <w:lock w:val="sdtLocked"/>
              </w:sdtPr>
              <w:sdtEnd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14:paraId="117446DD" w14:textId="420556D2" w:rsidR="00471D53" w:rsidRDefault="004F686E" w:rsidP="00471D53">
                    <w:pPr>
                      <w:ind w:firstLineChars="200" w:firstLine="420"/>
                      <w:rPr>
                        <w:szCs w:val="21"/>
                      </w:rPr>
                    </w:pPr>
                    <w:r>
                      <w:rPr>
                        <w:rFonts w:hint="eastAsia"/>
                        <w:szCs w:val="21"/>
                      </w:rPr>
                      <w:t>低温储运装备</w:t>
                    </w:r>
                  </w:p>
                </w:tc>
              </w:sdtContent>
            </w:sdt>
            <w:sdt>
              <w:sdtPr>
                <w:rPr>
                  <w:szCs w:val="21"/>
                </w:rPr>
                <w:alias w:val="分部商品类型明细合同产生的收入"/>
                <w:tag w:val="_GBC_5d3d3176f1784cb08da754a9734f9bb2"/>
                <w:id w:val="610558206"/>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41C89F48" w14:textId="77777777" w:rsidR="00471D53" w:rsidRDefault="004F686E" w:rsidP="00471D53">
                    <w:pPr>
                      <w:jc w:val="right"/>
                      <w:rPr>
                        <w:szCs w:val="21"/>
                      </w:rPr>
                    </w:pPr>
                    <w:r>
                      <w:rPr>
                        <w:rFonts w:hint="eastAsia"/>
                      </w:rPr>
                      <w:t xml:space="preserve">　</w:t>
                    </w:r>
                  </w:p>
                </w:tc>
              </w:sdtContent>
            </w:sdt>
            <w:sdt>
              <w:sdtPr>
                <w:rPr>
                  <w:szCs w:val="21"/>
                </w:rPr>
                <w:alias w:val="商品类型明细合同产生的收入"/>
                <w:tag w:val="_GBC_4e6bfa20e78f4111b81144120f593c56"/>
                <w:id w:val="1389993994"/>
                <w:lock w:val="sdtLocked"/>
              </w:sdtPr>
              <w:sdtEndPr/>
              <w:sdtContent>
                <w:tc>
                  <w:tcPr>
                    <w:tcW w:w="1536" w:type="pct"/>
                    <w:tcBorders>
                      <w:top w:val="single" w:sz="4" w:space="0" w:color="auto"/>
                      <w:left w:val="single" w:sz="4" w:space="0" w:color="auto"/>
                      <w:bottom w:val="single" w:sz="4" w:space="0" w:color="auto"/>
                      <w:right w:val="single" w:sz="4" w:space="0" w:color="auto"/>
                    </w:tcBorders>
                  </w:tcPr>
                  <w:p w14:paraId="6E483B47" w14:textId="77777777" w:rsidR="00471D53" w:rsidRDefault="004F686E" w:rsidP="00471D53">
                    <w:pPr>
                      <w:jc w:val="right"/>
                      <w:rPr>
                        <w:szCs w:val="21"/>
                      </w:rPr>
                    </w:pPr>
                    <w:r>
                      <w:rPr>
                        <w:szCs w:val="21"/>
                      </w:rPr>
                      <w:t>79,600,581.96</w:t>
                    </w:r>
                  </w:p>
                </w:tc>
              </w:sdtContent>
            </w:sdt>
          </w:tr>
          <w:tr w:rsidR="00471D53" w14:paraId="47EC699A" w14:textId="77777777" w:rsidTr="00471D53">
            <w:sdt>
              <w:sdtPr>
                <w:rPr>
                  <w:rFonts w:hint="eastAsia"/>
                  <w:szCs w:val="21"/>
                </w:rPr>
                <w:alias w:val="分部商品类型明细名称"/>
                <w:tag w:val="_GBC_9b24d072ad6f4b69a94ec304db6192c3"/>
                <w:id w:val="-33734169"/>
                <w:lock w:val="sdtLocked"/>
              </w:sdtPr>
              <w:sdtEnd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14:paraId="0A4742B2" w14:textId="61E07CF2" w:rsidR="00471D53" w:rsidRDefault="004F686E" w:rsidP="00471D53">
                    <w:pPr>
                      <w:ind w:firstLineChars="200" w:firstLine="420"/>
                      <w:rPr>
                        <w:szCs w:val="21"/>
                      </w:rPr>
                    </w:pPr>
                    <w:r>
                      <w:rPr>
                        <w:rFonts w:hint="eastAsia"/>
                        <w:szCs w:val="21"/>
                      </w:rPr>
                      <w:t>其他</w:t>
                    </w:r>
                  </w:p>
                </w:tc>
              </w:sdtContent>
            </w:sdt>
            <w:sdt>
              <w:sdtPr>
                <w:rPr>
                  <w:szCs w:val="21"/>
                </w:rPr>
                <w:alias w:val="分部商品类型明细合同产生的收入"/>
                <w:tag w:val="_GBC_5d3d3176f1784cb08da754a9734f9bb2"/>
                <w:id w:val="2079237683"/>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31EDCA0E" w14:textId="77777777" w:rsidR="00471D53" w:rsidRDefault="004F686E" w:rsidP="00471D53">
                    <w:pPr>
                      <w:jc w:val="right"/>
                      <w:rPr>
                        <w:szCs w:val="21"/>
                      </w:rPr>
                    </w:pPr>
                    <w:r>
                      <w:rPr>
                        <w:rFonts w:hint="eastAsia"/>
                      </w:rPr>
                      <w:t xml:space="preserve">　</w:t>
                    </w:r>
                  </w:p>
                </w:tc>
              </w:sdtContent>
            </w:sdt>
            <w:sdt>
              <w:sdtPr>
                <w:rPr>
                  <w:szCs w:val="21"/>
                </w:rPr>
                <w:alias w:val="商品类型明细合同产生的收入"/>
                <w:tag w:val="_GBC_4e6bfa20e78f4111b81144120f593c56"/>
                <w:id w:val="1648470555"/>
                <w:lock w:val="sdtLocked"/>
              </w:sdtPr>
              <w:sdtEndPr/>
              <w:sdtContent>
                <w:tc>
                  <w:tcPr>
                    <w:tcW w:w="1536" w:type="pct"/>
                    <w:tcBorders>
                      <w:top w:val="single" w:sz="4" w:space="0" w:color="auto"/>
                      <w:left w:val="single" w:sz="4" w:space="0" w:color="auto"/>
                      <w:bottom w:val="single" w:sz="4" w:space="0" w:color="auto"/>
                      <w:right w:val="single" w:sz="4" w:space="0" w:color="auto"/>
                    </w:tcBorders>
                  </w:tcPr>
                  <w:p w14:paraId="359CA4DF" w14:textId="77777777" w:rsidR="00471D53" w:rsidRDefault="004F686E" w:rsidP="00471D53">
                    <w:pPr>
                      <w:jc w:val="right"/>
                      <w:rPr>
                        <w:szCs w:val="21"/>
                      </w:rPr>
                    </w:pPr>
                    <w:r>
                      <w:rPr>
                        <w:szCs w:val="21"/>
                      </w:rPr>
                      <w:t>59,350,582.39</w:t>
                    </w:r>
                  </w:p>
                </w:tc>
              </w:sdtContent>
            </w:sdt>
          </w:tr>
          <w:tr w:rsidR="00471D53" w14:paraId="1E9D56EE" w14:textId="77777777" w:rsidTr="00471D53">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szCs w:val="21"/>
                  </w:rPr>
                  <w:tag w:val="_PLD_0753f1e3ffaa40ba888fec6a046a67fa"/>
                  <w:id w:val="1073081471"/>
                  <w:lock w:val="sdtLocked"/>
                </w:sdtPr>
                <w:sdtEndPr/>
                <w:sdtContent>
                  <w:p w14:paraId="539C08BE" w14:textId="77777777" w:rsidR="00471D53" w:rsidRDefault="004F686E" w:rsidP="00471D53">
                    <w:pPr>
                      <w:rPr>
                        <w:szCs w:val="21"/>
                      </w:rPr>
                    </w:pPr>
                    <w:r>
                      <w:rPr>
                        <w:rFonts w:hint="eastAsia"/>
                        <w:szCs w:val="21"/>
                      </w:rPr>
                      <w:t>按经营地区分类</w:t>
                    </w:r>
                  </w:p>
                </w:sdtContent>
              </w:sdt>
            </w:tc>
            <w:sdt>
              <w:sdtPr>
                <w:rPr>
                  <w:szCs w:val="21"/>
                </w:rPr>
                <w:alias w:val="分部按经营地区分类合同产生的收入"/>
                <w:tag w:val="_GBC_92d84352ddd14bdf9016c5678cbbdb22"/>
                <w:id w:val="513725747"/>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149FA65C" w14:textId="77777777" w:rsidR="00471D53" w:rsidRDefault="004F686E" w:rsidP="00471D53">
                    <w:pPr>
                      <w:jc w:val="right"/>
                      <w:rPr>
                        <w:szCs w:val="21"/>
                      </w:rPr>
                    </w:pPr>
                    <w:r>
                      <w:rPr>
                        <w:rFonts w:hint="eastAsia"/>
                      </w:rPr>
                      <w:t xml:space="preserve">　</w:t>
                    </w:r>
                  </w:p>
                </w:tc>
              </w:sdtContent>
            </w:sdt>
            <w:sdt>
              <w:sdtPr>
                <w:rPr>
                  <w:szCs w:val="21"/>
                </w:rPr>
                <w:alias w:val="按经营地区分类合同产生的收入"/>
                <w:tag w:val="_GBC_c7c210722fd54724bfc6fc92bceb1fb7"/>
                <w:id w:val="1647545590"/>
                <w:lock w:val="sdtLocked"/>
                <w:showingPlcHdr/>
              </w:sdtPr>
              <w:sdtEndPr/>
              <w:sdtContent>
                <w:tc>
                  <w:tcPr>
                    <w:tcW w:w="1536" w:type="pct"/>
                    <w:tcBorders>
                      <w:top w:val="single" w:sz="4" w:space="0" w:color="auto"/>
                      <w:left w:val="single" w:sz="4" w:space="0" w:color="auto"/>
                      <w:bottom w:val="single" w:sz="4" w:space="0" w:color="auto"/>
                      <w:right w:val="single" w:sz="4" w:space="0" w:color="auto"/>
                    </w:tcBorders>
                  </w:tcPr>
                  <w:p w14:paraId="03716CF6" w14:textId="77777777" w:rsidR="00471D53" w:rsidRDefault="004F686E" w:rsidP="00471D53">
                    <w:pPr>
                      <w:jc w:val="right"/>
                      <w:rPr>
                        <w:szCs w:val="21"/>
                      </w:rPr>
                    </w:pPr>
                    <w:r>
                      <w:rPr>
                        <w:rFonts w:hint="eastAsia"/>
                      </w:rPr>
                      <w:t xml:space="preserve">　</w:t>
                    </w:r>
                  </w:p>
                </w:tc>
              </w:sdtContent>
            </w:sdt>
          </w:tr>
          <w:tr w:rsidR="00471D53" w14:paraId="22A5CF91" w14:textId="77777777" w:rsidTr="00471D53">
            <w:sdt>
              <w:sdtPr>
                <w:rPr>
                  <w:rFonts w:hint="eastAsia"/>
                  <w:szCs w:val="21"/>
                </w:rPr>
                <w:alias w:val="分部按经营地区分类明细名称"/>
                <w:tag w:val="_GBC_2164a57364264b61b1897be5a1ac0855"/>
                <w:id w:val="625736337"/>
                <w:lock w:val="sdtLocked"/>
              </w:sdtPr>
              <w:sdtEnd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14:paraId="151CB3C4" w14:textId="77777777" w:rsidR="00471D53" w:rsidRDefault="004F686E" w:rsidP="00471D53">
                    <w:pPr>
                      <w:ind w:firstLineChars="200" w:firstLine="420"/>
                      <w:rPr>
                        <w:szCs w:val="21"/>
                      </w:rPr>
                    </w:pPr>
                    <w:r>
                      <w:rPr>
                        <w:rFonts w:hint="eastAsia"/>
                        <w:szCs w:val="21"/>
                      </w:rPr>
                      <w:t>其中：国内</w:t>
                    </w:r>
                  </w:p>
                </w:tc>
              </w:sdtContent>
            </w:sdt>
            <w:sdt>
              <w:sdtPr>
                <w:rPr>
                  <w:szCs w:val="21"/>
                </w:rPr>
                <w:alias w:val="分部按经营地区分类明细合同产生的收入"/>
                <w:tag w:val="_GBC_541813ff577a4b7299e84962610e8d5e"/>
                <w:id w:val="-392272023"/>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792B67C4" w14:textId="77777777" w:rsidR="00471D53" w:rsidRDefault="004F686E" w:rsidP="00471D53">
                    <w:pPr>
                      <w:jc w:val="right"/>
                      <w:rPr>
                        <w:szCs w:val="21"/>
                      </w:rPr>
                    </w:pPr>
                    <w:r>
                      <w:rPr>
                        <w:rFonts w:hint="eastAsia"/>
                      </w:rPr>
                      <w:t xml:space="preserve">　</w:t>
                    </w:r>
                  </w:p>
                </w:tc>
              </w:sdtContent>
            </w:sdt>
            <w:sdt>
              <w:sdtPr>
                <w:rPr>
                  <w:szCs w:val="21"/>
                </w:rPr>
                <w:alias w:val="按经营地区分类明细合同产生的收入"/>
                <w:tag w:val="_GBC_74f78b337dec41cb88520f72ad77f2e2"/>
                <w:id w:val="1927216689"/>
                <w:lock w:val="sdtLocked"/>
              </w:sdtPr>
              <w:sdtEndPr/>
              <w:sdtContent>
                <w:tc>
                  <w:tcPr>
                    <w:tcW w:w="1536" w:type="pct"/>
                    <w:tcBorders>
                      <w:top w:val="single" w:sz="4" w:space="0" w:color="auto"/>
                      <w:left w:val="single" w:sz="4" w:space="0" w:color="auto"/>
                      <w:bottom w:val="single" w:sz="4" w:space="0" w:color="auto"/>
                      <w:right w:val="single" w:sz="4" w:space="0" w:color="auto"/>
                    </w:tcBorders>
                  </w:tcPr>
                  <w:p w14:paraId="21CAD3AC" w14:textId="77777777" w:rsidR="00471D53" w:rsidRDefault="004F686E" w:rsidP="00471D53">
                    <w:pPr>
                      <w:jc w:val="right"/>
                      <w:rPr>
                        <w:szCs w:val="21"/>
                      </w:rPr>
                    </w:pPr>
                    <w:r>
                      <w:rPr>
                        <w:szCs w:val="21"/>
                      </w:rPr>
                      <w:t>309,538,264.97</w:t>
                    </w:r>
                  </w:p>
                </w:tc>
              </w:sdtContent>
            </w:sdt>
          </w:tr>
          <w:tr w:rsidR="00471D53" w14:paraId="21808BCE" w14:textId="77777777" w:rsidTr="00471D53">
            <w:sdt>
              <w:sdtPr>
                <w:rPr>
                  <w:rFonts w:hint="eastAsia"/>
                  <w:szCs w:val="21"/>
                </w:rPr>
                <w:alias w:val="分部按经营地区分类明细名称"/>
                <w:tag w:val="_GBC_2164a57364264b61b1897be5a1ac0855"/>
                <w:id w:val="352302615"/>
                <w:lock w:val="sdtLocked"/>
              </w:sdtPr>
              <w:sdtEnd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14:paraId="4E18A2E0" w14:textId="3B0CA069" w:rsidR="00471D53" w:rsidRDefault="004F686E" w:rsidP="00471D53">
                    <w:pPr>
                      <w:ind w:firstLineChars="200" w:firstLine="420"/>
                      <w:rPr>
                        <w:szCs w:val="21"/>
                      </w:rPr>
                    </w:pPr>
                    <w:r>
                      <w:rPr>
                        <w:rFonts w:hint="eastAsia"/>
                        <w:szCs w:val="21"/>
                      </w:rPr>
                      <w:t>国外</w:t>
                    </w:r>
                  </w:p>
                </w:tc>
              </w:sdtContent>
            </w:sdt>
            <w:sdt>
              <w:sdtPr>
                <w:rPr>
                  <w:szCs w:val="21"/>
                </w:rPr>
                <w:alias w:val="分部按经营地区分类明细合同产生的收入"/>
                <w:tag w:val="_GBC_541813ff577a4b7299e84962610e8d5e"/>
                <w:id w:val="-433144"/>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0D8F0E07" w14:textId="77777777" w:rsidR="00471D53" w:rsidRDefault="004F686E" w:rsidP="00471D53">
                    <w:pPr>
                      <w:jc w:val="right"/>
                      <w:rPr>
                        <w:szCs w:val="21"/>
                      </w:rPr>
                    </w:pPr>
                    <w:r>
                      <w:rPr>
                        <w:rFonts w:hint="eastAsia"/>
                      </w:rPr>
                      <w:t xml:space="preserve">　</w:t>
                    </w:r>
                  </w:p>
                </w:tc>
              </w:sdtContent>
            </w:sdt>
            <w:sdt>
              <w:sdtPr>
                <w:rPr>
                  <w:szCs w:val="21"/>
                </w:rPr>
                <w:alias w:val="按经营地区分类明细合同产生的收入"/>
                <w:tag w:val="_GBC_74f78b337dec41cb88520f72ad77f2e2"/>
                <w:id w:val="-615600987"/>
                <w:lock w:val="sdtLocked"/>
              </w:sdtPr>
              <w:sdtEndPr/>
              <w:sdtContent>
                <w:tc>
                  <w:tcPr>
                    <w:tcW w:w="1536" w:type="pct"/>
                    <w:tcBorders>
                      <w:top w:val="single" w:sz="4" w:space="0" w:color="auto"/>
                      <w:left w:val="single" w:sz="4" w:space="0" w:color="auto"/>
                      <w:bottom w:val="single" w:sz="4" w:space="0" w:color="auto"/>
                      <w:right w:val="single" w:sz="4" w:space="0" w:color="auto"/>
                    </w:tcBorders>
                  </w:tcPr>
                  <w:p w14:paraId="2B4AB89C" w14:textId="77777777" w:rsidR="00471D53" w:rsidRDefault="004F686E" w:rsidP="00471D53">
                    <w:pPr>
                      <w:jc w:val="right"/>
                      <w:rPr>
                        <w:szCs w:val="21"/>
                      </w:rPr>
                    </w:pPr>
                    <w:r>
                      <w:rPr>
                        <w:szCs w:val="21"/>
                      </w:rPr>
                      <w:t>198,734,181.40</w:t>
                    </w:r>
                  </w:p>
                </w:tc>
              </w:sdtContent>
            </w:sdt>
          </w:tr>
          <w:tr w:rsidR="00471D53" w14:paraId="0D2D6622" w14:textId="77777777" w:rsidTr="00471D53">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szCs w:val="21"/>
                  </w:rPr>
                  <w:tag w:val="_PLD_f3015d8e4f6f44f98d89060b6c75233c"/>
                  <w:id w:val="-1888861935"/>
                  <w:lock w:val="sdtLocked"/>
                </w:sdtPr>
                <w:sdtEndPr/>
                <w:sdtContent>
                  <w:p w14:paraId="5B8027B7" w14:textId="77777777" w:rsidR="00471D53" w:rsidRDefault="004F686E" w:rsidP="00471D53">
                    <w:pPr>
                      <w:rPr>
                        <w:szCs w:val="21"/>
                      </w:rPr>
                    </w:pPr>
                    <w:r>
                      <w:rPr>
                        <w:rFonts w:hint="eastAsia"/>
                        <w:szCs w:val="21"/>
                      </w:rPr>
                      <w:t>市场或客户类型</w:t>
                    </w:r>
                  </w:p>
                </w:sdtContent>
              </w:sdt>
            </w:tc>
            <w:sdt>
              <w:sdtPr>
                <w:rPr>
                  <w:szCs w:val="21"/>
                </w:rPr>
                <w:alias w:val="分部市场或客户类型合同产生的收入"/>
                <w:tag w:val="_GBC_45395aa7854d48de9016fdbebd64be59"/>
                <w:id w:val="-2096008949"/>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0C45BECB" w14:textId="77777777" w:rsidR="00471D53" w:rsidRDefault="004F686E" w:rsidP="00471D53">
                    <w:pPr>
                      <w:jc w:val="right"/>
                      <w:rPr>
                        <w:szCs w:val="21"/>
                      </w:rPr>
                    </w:pPr>
                    <w:r>
                      <w:rPr>
                        <w:rFonts w:hint="eastAsia"/>
                      </w:rPr>
                      <w:t xml:space="preserve">　</w:t>
                    </w:r>
                  </w:p>
                </w:tc>
              </w:sdtContent>
            </w:sdt>
            <w:sdt>
              <w:sdtPr>
                <w:rPr>
                  <w:szCs w:val="21"/>
                </w:rPr>
                <w:alias w:val="市场或客户类型合同产生的收入"/>
                <w:tag w:val="_GBC_6777bb26db2942879a19d2c08e185734"/>
                <w:id w:val="315607759"/>
                <w:lock w:val="sdtLocked"/>
                <w:showingPlcHdr/>
              </w:sdtPr>
              <w:sdtEndPr/>
              <w:sdtContent>
                <w:tc>
                  <w:tcPr>
                    <w:tcW w:w="1536" w:type="pct"/>
                    <w:tcBorders>
                      <w:top w:val="single" w:sz="4" w:space="0" w:color="auto"/>
                      <w:left w:val="single" w:sz="4" w:space="0" w:color="auto"/>
                      <w:bottom w:val="single" w:sz="4" w:space="0" w:color="auto"/>
                      <w:right w:val="single" w:sz="4" w:space="0" w:color="auto"/>
                    </w:tcBorders>
                  </w:tcPr>
                  <w:p w14:paraId="2AEB636E" w14:textId="77777777" w:rsidR="00471D53" w:rsidRDefault="004F686E" w:rsidP="00471D53">
                    <w:pPr>
                      <w:jc w:val="right"/>
                      <w:rPr>
                        <w:szCs w:val="21"/>
                      </w:rPr>
                    </w:pPr>
                    <w:r>
                      <w:rPr>
                        <w:rFonts w:hint="eastAsia"/>
                      </w:rPr>
                      <w:t xml:space="preserve">　</w:t>
                    </w:r>
                  </w:p>
                </w:tc>
              </w:sdtContent>
            </w:sdt>
          </w:tr>
          <w:tr w:rsidR="00471D53" w14:paraId="083BE7C4" w14:textId="77777777" w:rsidTr="00471D53">
            <w:sdt>
              <w:sdtPr>
                <w:rPr>
                  <w:rFonts w:hint="eastAsia"/>
                  <w:szCs w:val="21"/>
                </w:rPr>
                <w:alias w:val="分部市场或客户类型明细名称"/>
                <w:tag w:val="_GBC_46263ca243a5438eb43ca6bbb6d7b5e0"/>
                <w:id w:val="-1141114472"/>
                <w:lock w:val="sdtLocked"/>
                <w:showingPlcHdr/>
              </w:sdtPr>
              <w:sdtEnd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14:paraId="21B3D350" w14:textId="77777777" w:rsidR="00471D53" w:rsidRDefault="004F686E" w:rsidP="00471D53">
                    <w:pPr>
                      <w:ind w:firstLineChars="200" w:firstLine="420"/>
                      <w:rPr>
                        <w:szCs w:val="21"/>
                      </w:rPr>
                    </w:pPr>
                    <w:r>
                      <w:rPr>
                        <w:rFonts w:hint="eastAsia"/>
                      </w:rPr>
                      <w:t xml:space="preserve">　</w:t>
                    </w:r>
                  </w:p>
                </w:tc>
              </w:sdtContent>
            </w:sdt>
            <w:sdt>
              <w:sdtPr>
                <w:rPr>
                  <w:szCs w:val="21"/>
                </w:rPr>
                <w:alias w:val="分部市场或客户类型明细合同产生的收入"/>
                <w:tag w:val="_GBC_dc6db667ec2c47e09a12ad430142267e"/>
                <w:id w:val="-1559626575"/>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5BAADB19" w14:textId="77777777" w:rsidR="00471D53" w:rsidRDefault="004F686E" w:rsidP="00471D53">
                    <w:pPr>
                      <w:jc w:val="right"/>
                      <w:rPr>
                        <w:szCs w:val="21"/>
                      </w:rPr>
                    </w:pPr>
                    <w:r>
                      <w:rPr>
                        <w:rFonts w:hint="eastAsia"/>
                      </w:rPr>
                      <w:t xml:space="preserve">　</w:t>
                    </w:r>
                  </w:p>
                </w:tc>
              </w:sdtContent>
            </w:sdt>
            <w:sdt>
              <w:sdtPr>
                <w:rPr>
                  <w:szCs w:val="21"/>
                </w:rPr>
                <w:alias w:val="市场或客户类型明细合同产生的收入"/>
                <w:tag w:val="_GBC_d6738395127e4cf2b746f96bafd73a5b"/>
                <w:id w:val="-1860955419"/>
                <w:lock w:val="sdtLocked"/>
                <w:showingPlcHdr/>
              </w:sdtPr>
              <w:sdtEndPr/>
              <w:sdtContent>
                <w:tc>
                  <w:tcPr>
                    <w:tcW w:w="1536" w:type="pct"/>
                    <w:tcBorders>
                      <w:top w:val="single" w:sz="4" w:space="0" w:color="auto"/>
                      <w:left w:val="single" w:sz="4" w:space="0" w:color="auto"/>
                      <w:bottom w:val="single" w:sz="4" w:space="0" w:color="auto"/>
                      <w:right w:val="single" w:sz="4" w:space="0" w:color="auto"/>
                    </w:tcBorders>
                  </w:tcPr>
                  <w:p w14:paraId="5E764082" w14:textId="77777777" w:rsidR="00471D53" w:rsidRDefault="004F686E" w:rsidP="00471D53">
                    <w:pPr>
                      <w:jc w:val="right"/>
                      <w:rPr>
                        <w:szCs w:val="21"/>
                      </w:rPr>
                    </w:pPr>
                    <w:r>
                      <w:rPr>
                        <w:rFonts w:hint="eastAsia"/>
                      </w:rPr>
                      <w:t xml:space="preserve">　</w:t>
                    </w:r>
                  </w:p>
                </w:tc>
              </w:sdtContent>
            </w:sdt>
          </w:tr>
          <w:tr w:rsidR="00471D53" w14:paraId="524C07E4" w14:textId="77777777" w:rsidTr="00471D53">
            <w:sdt>
              <w:sdtPr>
                <w:rPr>
                  <w:rFonts w:hint="eastAsia"/>
                  <w:szCs w:val="21"/>
                </w:rPr>
                <w:alias w:val="分部市场或客户类型明细名称"/>
                <w:tag w:val="_GBC_46263ca243a5438eb43ca6bbb6d7b5e0"/>
                <w:id w:val="387157379"/>
                <w:lock w:val="sdtLocked"/>
                <w:showingPlcHdr/>
              </w:sdtPr>
              <w:sdtEnd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14:paraId="7D36FF79" w14:textId="77777777" w:rsidR="00471D53" w:rsidRDefault="004F686E" w:rsidP="00471D53">
                    <w:pPr>
                      <w:ind w:firstLineChars="200" w:firstLine="420"/>
                      <w:rPr>
                        <w:szCs w:val="21"/>
                      </w:rPr>
                    </w:pPr>
                    <w:r>
                      <w:rPr>
                        <w:rFonts w:hint="eastAsia"/>
                      </w:rPr>
                      <w:t xml:space="preserve">　</w:t>
                    </w:r>
                  </w:p>
                </w:tc>
              </w:sdtContent>
            </w:sdt>
            <w:sdt>
              <w:sdtPr>
                <w:rPr>
                  <w:szCs w:val="21"/>
                </w:rPr>
                <w:alias w:val="分部市场或客户类型明细合同产生的收入"/>
                <w:tag w:val="_GBC_dc6db667ec2c47e09a12ad430142267e"/>
                <w:id w:val="1184253206"/>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4C07649B" w14:textId="77777777" w:rsidR="00471D53" w:rsidRDefault="004F686E" w:rsidP="00471D53">
                    <w:pPr>
                      <w:jc w:val="right"/>
                      <w:rPr>
                        <w:szCs w:val="21"/>
                      </w:rPr>
                    </w:pPr>
                    <w:r>
                      <w:rPr>
                        <w:rFonts w:hint="eastAsia"/>
                      </w:rPr>
                      <w:t xml:space="preserve">　</w:t>
                    </w:r>
                  </w:p>
                </w:tc>
              </w:sdtContent>
            </w:sdt>
            <w:sdt>
              <w:sdtPr>
                <w:rPr>
                  <w:szCs w:val="21"/>
                </w:rPr>
                <w:alias w:val="市场或客户类型明细合同产生的收入"/>
                <w:tag w:val="_GBC_d6738395127e4cf2b746f96bafd73a5b"/>
                <w:id w:val="-1385329089"/>
                <w:lock w:val="sdtLocked"/>
                <w:showingPlcHdr/>
              </w:sdtPr>
              <w:sdtEndPr/>
              <w:sdtContent>
                <w:tc>
                  <w:tcPr>
                    <w:tcW w:w="1536" w:type="pct"/>
                    <w:tcBorders>
                      <w:top w:val="single" w:sz="4" w:space="0" w:color="auto"/>
                      <w:left w:val="single" w:sz="4" w:space="0" w:color="auto"/>
                      <w:bottom w:val="single" w:sz="4" w:space="0" w:color="auto"/>
                      <w:right w:val="single" w:sz="4" w:space="0" w:color="auto"/>
                    </w:tcBorders>
                  </w:tcPr>
                  <w:p w14:paraId="1EE8E0AF" w14:textId="77777777" w:rsidR="00471D53" w:rsidRDefault="004F686E" w:rsidP="00471D53">
                    <w:pPr>
                      <w:jc w:val="right"/>
                      <w:rPr>
                        <w:szCs w:val="21"/>
                      </w:rPr>
                    </w:pPr>
                    <w:r>
                      <w:rPr>
                        <w:rFonts w:hint="eastAsia"/>
                      </w:rPr>
                      <w:t xml:space="preserve">　</w:t>
                    </w:r>
                  </w:p>
                </w:tc>
              </w:sdtContent>
            </w:sdt>
          </w:tr>
          <w:tr w:rsidR="00471D53" w14:paraId="7C347A49" w14:textId="77777777" w:rsidTr="00471D53">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szCs w:val="21"/>
                  </w:rPr>
                  <w:tag w:val="_PLD_ccff2704278f451594422937a2c2e3a6"/>
                  <w:id w:val="1455748364"/>
                  <w:lock w:val="sdtLocked"/>
                </w:sdtPr>
                <w:sdtEndPr/>
                <w:sdtContent>
                  <w:p w14:paraId="49D7A4F2" w14:textId="77777777" w:rsidR="00471D53" w:rsidRDefault="004F686E" w:rsidP="00471D53">
                    <w:pPr>
                      <w:rPr>
                        <w:szCs w:val="21"/>
                      </w:rPr>
                    </w:pPr>
                    <w:r>
                      <w:rPr>
                        <w:rFonts w:hint="eastAsia"/>
                        <w:szCs w:val="21"/>
                      </w:rPr>
                      <w:t>合同类型</w:t>
                    </w:r>
                  </w:p>
                </w:sdtContent>
              </w:sdt>
            </w:tc>
            <w:sdt>
              <w:sdtPr>
                <w:rPr>
                  <w:szCs w:val="21"/>
                </w:rPr>
                <w:alias w:val="分部合同类型合同产生的收入"/>
                <w:tag w:val="_GBC_671c784348ea4c6ea945a3f1c82e1010"/>
                <w:id w:val="1097128608"/>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463A9B9A" w14:textId="77777777" w:rsidR="00471D53" w:rsidRDefault="004F686E" w:rsidP="00471D53">
                    <w:pPr>
                      <w:jc w:val="right"/>
                      <w:rPr>
                        <w:szCs w:val="21"/>
                      </w:rPr>
                    </w:pPr>
                    <w:r>
                      <w:rPr>
                        <w:rFonts w:hint="eastAsia"/>
                      </w:rPr>
                      <w:t xml:space="preserve">　</w:t>
                    </w:r>
                  </w:p>
                </w:tc>
              </w:sdtContent>
            </w:sdt>
            <w:sdt>
              <w:sdtPr>
                <w:rPr>
                  <w:szCs w:val="21"/>
                </w:rPr>
                <w:alias w:val="合同类型合同产生的收入"/>
                <w:tag w:val="_GBC_a97a78c90f714313a04ad4488720c929"/>
                <w:id w:val="-1975514352"/>
                <w:lock w:val="sdtLocked"/>
                <w:showingPlcHdr/>
              </w:sdtPr>
              <w:sdtEndPr/>
              <w:sdtContent>
                <w:tc>
                  <w:tcPr>
                    <w:tcW w:w="1536" w:type="pct"/>
                    <w:tcBorders>
                      <w:top w:val="single" w:sz="4" w:space="0" w:color="auto"/>
                      <w:left w:val="single" w:sz="4" w:space="0" w:color="auto"/>
                      <w:bottom w:val="single" w:sz="4" w:space="0" w:color="auto"/>
                      <w:right w:val="single" w:sz="4" w:space="0" w:color="auto"/>
                    </w:tcBorders>
                  </w:tcPr>
                  <w:p w14:paraId="7CC37C03" w14:textId="77777777" w:rsidR="00471D53" w:rsidRDefault="004F686E" w:rsidP="00471D53">
                    <w:pPr>
                      <w:jc w:val="right"/>
                      <w:rPr>
                        <w:szCs w:val="21"/>
                      </w:rPr>
                    </w:pPr>
                    <w:r>
                      <w:rPr>
                        <w:rFonts w:hint="eastAsia"/>
                      </w:rPr>
                      <w:t xml:space="preserve">　</w:t>
                    </w:r>
                  </w:p>
                </w:tc>
              </w:sdtContent>
            </w:sdt>
          </w:tr>
          <w:tr w:rsidR="00471D53" w14:paraId="72CE190A" w14:textId="77777777" w:rsidTr="00471D53">
            <w:sdt>
              <w:sdtPr>
                <w:rPr>
                  <w:rFonts w:hint="eastAsia"/>
                  <w:szCs w:val="21"/>
                </w:rPr>
                <w:alias w:val="分部合同类型明细名称"/>
                <w:tag w:val="_GBC_a02cc814630948fcb4dd9235544cdf25"/>
                <w:id w:val="-1256974719"/>
                <w:lock w:val="sdtLocked"/>
                <w:showingPlcHdr/>
              </w:sdtPr>
              <w:sdtEnd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14:paraId="04443D68" w14:textId="77777777" w:rsidR="00471D53" w:rsidRDefault="004F686E" w:rsidP="00471D53">
                    <w:pPr>
                      <w:ind w:firstLineChars="200" w:firstLine="420"/>
                      <w:rPr>
                        <w:szCs w:val="21"/>
                      </w:rPr>
                    </w:pPr>
                    <w:r>
                      <w:rPr>
                        <w:rFonts w:hint="eastAsia"/>
                      </w:rPr>
                      <w:t xml:space="preserve">　</w:t>
                    </w:r>
                  </w:p>
                </w:tc>
              </w:sdtContent>
            </w:sdt>
            <w:sdt>
              <w:sdtPr>
                <w:rPr>
                  <w:szCs w:val="21"/>
                </w:rPr>
                <w:alias w:val="分部合同类型明细合同产生的收入"/>
                <w:tag w:val="_GBC_c3662a3e1fe648eb964a3e0a28468a54"/>
                <w:id w:val="-1795512459"/>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7FF3D2D0" w14:textId="77777777" w:rsidR="00471D53" w:rsidRDefault="004F686E" w:rsidP="00471D53">
                    <w:pPr>
                      <w:jc w:val="right"/>
                      <w:rPr>
                        <w:szCs w:val="21"/>
                      </w:rPr>
                    </w:pPr>
                    <w:r>
                      <w:rPr>
                        <w:rFonts w:hint="eastAsia"/>
                      </w:rPr>
                      <w:t xml:space="preserve">　</w:t>
                    </w:r>
                  </w:p>
                </w:tc>
              </w:sdtContent>
            </w:sdt>
            <w:sdt>
              <w:sdtPr>
                <w:rPr>
                  <w:szCs w:val="21"/>
                </w:rPr>
                <w:alias w:val="合同类型明细合同产生的收入"/>
                <w:tag w:val="_GBC_82778718ce4e48d9bebb3ace296a4a51"/>
                <w:id w:val="-1823964349"/>
                <w:lock w:val="sdtLocked"/>
                <w:showingPlcHdr/>
              </w:sdtPr>
              <w:sdtEndPr/>
              <w:sdtContent>
                <w:tc>
                  <w:tcPr>
                    <w:tcW w:w="1536" w:type="pct"/>
                    <w:tcBorders>
                      <w:top w:val="single" w:sz="4" w:space="0" w:color="auto"/>
                      <w:left w:val="single" w:sz="4" w:space="0" w:color="auto"/>
                      <w:bottom w:val="single" w:sz="4" w:space="0" w:color="auto"/>
                      <w:right w:val="single" w:sz="4" w:space="0" w:color="auto"/>
                    </w:tcBorders>
                  </w:tcPr>
                  <w:p w14:paraId="000F915A" w14:textId="77777777" w:rsidR="00471D53" w:rsidRDefault="004F686E" w:rsidP="00471D53">
                    <w:pPr>
                      <w:jc w:val="right"/>
                      <w:rPr>
                        <w:szCs w:val="21"/>
                      </w:rPr>
                    </w:pPr>
                    <w:r>
                      <w:rPr>
                        <w:rFonts w:hint="eastAsia"/>
                      </w:rPr>
                      <w:t xml:space="preserve">　</w:t>
                    </w:r>
                  </w:p>
                </w:tc>
              </w:sdtContent>
            </w:sdt>
          </w:tr>
          <w:tr w:rsidR="00471D53" w14:paraId="3FBE4641" w14:textId="77777777" w:rsidTr="00471D53">
            <w:sdt>
              <w:sdtPr>
                <w:rPr>
                  <w:rFonts w:hint="eastAsia"/>
                  <w:szCs w:val="21"/>
                </w:rPr>
                <w:alias w:val="分部合同类型明细名称"/>
                <w:tag w:val="_GBC_a02cc814630948fcb4dd9235544cdf25"/>
                <w:id w:val="-312494852"/>
                <w:lock w:val="sdtLocked"/>
                <w:showingPlcHdr/>
              </w:sdtPr>
              <w:sdtEnd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14:paraId="67A37C7B" w14:textId="77777777" w:rsidR="00471D53" w:rsidRDefault="004F686E" w:rsidP="00471D53">
                    <w:pPr>
                      <w:ind w:firstLineChars="200" w:firstLine="420"/>
                      <w:rPr>
                        <w:szCs w:val="21"/>
                      </w:rPr>
                    </w:pPr>
                    <w:r>
                      <w:rPr>
                        <w:rFonts w:hint="eastAsia"/>
                      </w:rPr>
                      <w:t xml:space="preserve">　</w:t>
                    </w:r>
                  </w:p>
                </w:tc>
              </w:sdtContent>
            </w:sdt>
            <w:sdt>
              <w:sdtPr>
                <w:rPr>
                  <w:szCs w:val="21"/>
                </w:rPr>
                <w:alias w:val="分部合同类型明细合同产生的收入"/>
                <w:tag w:val="_GBC_c3662a3e1fe648eb964a3e0a28468a54"/>
                <w:id w:val="-1837841859"/>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09B355AA" w14:textId="77777777" w:rsidR="00471D53" w:rsidRDefault="004F686E" w:rsidP="00471D53">
                    <w:pPr>
                      <w:jc w:val="right"/>
                      <w:rPr>
                        <w:szCs w:val="21"/>
                      </w:rPr>
                    </w:pPr>
                    <w:r>
                      <w:rPr>
                        <w:rFonts w:hint="eastAsia"/>
                      </w:rPr>
                      <w:t xml:space="preserve">　</w:t>
                    </w:r>
                  </w:p>
                </w:tc>
              </w:sdtContent>
            </w:sdt>
            <w:sdt>
              <w:sdtPr>
                <w:rPr>
                  <w:szCs w:val="21"/>
                </w:rPr>
                <w:alias w:val="合同类型明细合同产生的收入"/>
                <w:tag w:val="_GBC_82778718ce4e48d9bebb3ace296a4a51"/>
                <w:id w:val="-230926485"/>
                <w:lock w:val="sdtLocked"/>
                <w:showingPlcHdr/>
              </w:sdtPr>
              <w:sdtEndPr/>
              <w:sdtContent>
                <w:tc>
                  <w:tcPr>
                    <w:tcW w:w="1536" w:type="pct"/>
                    <w:tcBorders>
                      <w:top w:val="single" w:sz="4" w:space="0" w:color="auto"/>
                      <w:left w:val="single" w:sz="4" w:space="0" w:color="auto"/>
                      <w:bottom w:val="single" w:sz="4" w:space="0" w:color="auto"/>
                      <w:right w:val="single" w:sz="4" w:space="0" w:color="auto"/>
                    </w:tcBorders>
                  </w:tcPr>
                  <w:p w14:paraId="5E5D04C2" w14:textId="77777777" w:rsidR="00471D53" w:rsidRDefault="004F686E" w:rsidP="00471D53">
                    <w:pPr>
                      <w:jc w:val="right"/>
                      <w:rPr>
                        <w:szCs w:val="21"/>
                      </w:rPr>
                    </w:pPr>
                    <w:r>
                      <w:rPr>
                        <w:rFonts w:hint="eastAsia"/>
                      </w:rPr>
                      <w:t xml:space="preserve">　</w:t>
                    </w:r>
                  </w:p>
                </w:tc>
              </w:sdtContent>
            </w:sdt>
          </w:tr>
          <w:tr w:rsidR="00471D53" w14:paraId="2C3F4373" w14:textId="77777777" w:rsidTr="00471D53">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szCs w:val="21"/>
                  </w:rPr>
                  <w:tag w:val="_PLD_85dc2e765fac44eaa8eca35d3e66ca6e"/>
                  <w:id w:val="-267468688"/>
                  <w:lock w:val="sdtLocked"/>
                </w:sdtPr>
                <w:sdtEndPr/>
                <w:sdtContent>
                  <w:p w14:paraId="019A12A5" w14:textId="77777777" w:rsidR="00471D53" w:rsidRDefault="004F686E" w:rsidP="00471D53">
                    <w:pPr>
                      <w:rPr>
                        <w:szCs w:val="21"/>
                      </w:rPr>
                    </w:pPr>
                    <w:r>
                      <w:rPr>
                        <w:rFonts w:hint="eastAsia"/>
                        <w:szCs w:val="21"/>
                      </w:rPr>
                      <w:t>按商品转让的时间分类</w:t>
                    </w:r>
                  </w:p>
                </w:sdtContent>
              </w:sdt>
            </w:tc>
            <w:sdt>
              <w:sdtPr>
                <w:rPr>
                  <w:szCs w:val="21"/>
                </w:rPr>
                <w:alias w:val="分部按商品转让的时间分类合同产生的收入"/>
                <w:tag w:val="_GBC_aada5a73cae841a0b32866ddce5745fe"/>
                <w:id w:val="-297067585"/>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6585260D" w14:textId="77777777" w:rsidR="00471D53" w:rsidRDefault="004F686E" w:rsidP="00471D53">
                    <w:pPr>
                      <w:jc w:val="right"/>
                      <w:rPr>
                        <w:szCs w:val="21"/>
                      </w:rPr>
                    </w:pPr>
                    <w:r>
                      <w:rPr>
                        <w:rFonts w:hint="eastAsia"/>
                      </w:rPr>
                      <w:t xml:space="preserve">　</w:t>
                    </w:r>
                  </w:p>
                </w:tc>
              </w:sdtContent>
            </w:sdt>
            <w:sdt>
              <w:sdtPr>
                <w:rPr>
                  <w:szCs w:val="21"/>
                </w:rPr>
                <w:alias w:val="按商品转让的时间分类合同产生的收入"/>
                <w:tag w:val="_GBC_3106a8573ba34af395e99aa3da3b88eb"/>
                <w:id w:val="-1452162497"/>
                <w:lock w:val="sdtLocked"/>
                <w:showingPlcHdr/>
              </w:sdtPr>
              <w:sdtEndPr/>
              <w:sdtContent>
                <w:tc>
                  <w:tcPr>
                    <w:tcW w:w="1536" w:type="pct"/>
                    <w:tcBorders>
                      <w:top w:val="single" w:sz="4" w:space="0" w:color="auto"/>
                      <w:left w:val="single" w:sz="4" w:space="0" w:color="auto"/>
                      <w:bottom w:val="single" w:sz="4" w:space="0" w:color="auto"/>
                      <w:right w:val="single" w:sz="4" w:space="0" w:color="auto"/>
                    </w:tcBorders>
                  </w:tcPr>
                  <w:p w14:paraId="4D3937D4" w14:textId="77777777" w:rsidR="00471D53" w:rsidRDefault="004F686E" w:rsidP="00471D53">
                    <w:pPr>
                      <w:jc w:val="right"/>
                      <w:rPr>
                        <w:szCs w:val="21"/>
                      </w:rPr>
                    </w:pPr>
                    <w:r>
                      <w:rPr>
                        <w:rFonts w:hint="eastAsia"/>
                      </w:rPr>
                      <w:t xml:space="preserve">　</w:t>
                    </w:r>
                  </w:p>
                </w:tc>
              </w:sdtContent>
            </w:sdt>
          </w:tr>
          <w:tr w:rsidR="00471D53" w14:paraId="0DFC2264" w14:textId="77777777" w:rsidTr="00471D53">
            <w:sdt>
              <w:sdtPr>
                <w:rPr>
                  <w:rFonts w:hint="eastAsia"/>
                  <w:szCs w:val="21"/>
                </w:rPr>
                <w:alias w:val="分部按商品转让的时间分类明细名称"/>
                <w:tag w:val="_GBC_e7756cba04264ef8a2d621d20a3d8041"/>
                <w:id w:val="1287014107"/>
                <w:lock w:val="sdtLocked"/>
                <w:showingPlcHdr/>
              </w:sdtPr>
              <w:sdtEnd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14:paraId="120B60B5" w14:textId="77777777" w:rsidR="00471D53" w:rsidRDefault="004F686E" w:rsidP="00471D53">
                    <w:pPr>
                      <w:ind w:firstLineChars="200" w:firstLine="420"/>
                      <w:rPr>
                        <w:szCs w:val="21"/>
                      </w:rPr>
                    </w:pPr>
                    <w:r>
                      <w:rPr>
                        <w:rFonts w:hint="eastAsia"/>
                      </w:rPr>
                      <w:t xml:space="preserve">　</w:t>
                    </w:r>
                  </w:p>
                </w:tc>
              </w:sdtContent>
            </w:sdt>
            <w:sdt>
              <w:sdtPr>
                <w:rPr>
                  <w:szCs w:val="21"/>
                </w:rPr>
                <w:alias w:val="分部按商品转让的时间分类明细合同产生的收入"/>
                <w:tag w:val="_GBC_1c8dd9830e434fd99756948161fe5a30"/>
                <w:id w:val="-1959395219"/>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3D86F6E1" w14:textId="77777777" w:rsidR="00471D53" w:rsidRDefault="004F686E" w:rsidP="00471D53">
                    <w:pPr>
                      <w:jc w:val="right"/>
                      <w:rPr>
                        <w:szCs w:val="21"/>
                      </w:rPr>
                    </w:pPr>
                    <w:r>
                      <w:rPr>
                        <w:rFonts w:hint="eastAsia"/>
                      </w:rPr>
                      <w:t xml:space="preserve">　</w:t>
                    </w:r>
                  </w:p>
                </w:tc>
              </w:sdtContent>
            </w:sdt>
            <w:sdt>
              <w:sdtPr>
                <w:rPr>
                  <w:szCs w:val="21"/>
                </w:rPr>
                <w:alias w:val="按商品转让的时间分类明细合同产生的收入"/>
                <w:tag w:val="_GBC_735990eb00f647478a43e2b07fec3bd5"/>
                <w:id w:val="-1575889757"/>
                <w:lock w:val="sdtLocked"/>
                <w:showingPlcHdr/>
              </w:sdtPr>
              <w:sdtEndPr/>
              <w:sdtContent>
                <w:tc>
                  <w:tcPr>
                    <w:tcW w:w="1536" w:type="pct"/>
                    <w:tcBorders>
                      <w:top w:val="single" w:sz="4" w:space="0" w:color="auto"/>
                      <w:left w:val="single" w:sz="4" w:space="0" w:color="auto"/>
                      <w:bottom w:val="single" w:sz="4" w:space="0" w:color="auto"/>
                      <w:right w:val="single" w:sz="4" w:space="0" w:color="auto"/>
                    </w:tcBorders>
                  </w:tcPr>
                  <w:p w14:paraId="6E05E78B" w14:textId="77777777" w:rsidR="00471D53" w:rsidRDefault="004F686E" w:rsidP="00471D53">
                    <w:pPr>
                      <w:jc w:val="right"/>
                      <w:rPr>
                        <w:szCs w:val="21"/>
                      </w:rPr>
                    </w:pPr>
                    <w:r>
                      <w:rPr>
                        <w:rFonts w:hint="eastAsia"/>
                      </w:rPr>
                      <w:t xml:space="preserve">　</w:t>
                    </w:r>
                  </w:p>
                </w:tc>
              </w:sdtContent>
            </w:sdt>
          </w:tr>
          <w:tr w:rsidR="00471D53" w14:paraId="20626BD2" w14:textId="77777777" w:rsidTr="00471D53">
            <w:sdt>
              <w:sdtPr>
                <w:rPr>
                  <w:rFonts w:hint="eastAsia"/>
                  <w:szCs w:val="21"/>
                </w:rPr>
                <w:alias w:val="分部按商品转让的时间分类明细名称"/>
                <w:tag w:val="_GBC_e7756cba04264ef8a2d621d20a3d8041"/>
                <w:id w:val="-753668617"/>
                <w:lock w:val="sdtLocked"/>
                <w:showingPlcHdr/>
              </w:sdtPr>
              <w:sdtEnd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14:paraId="1CC02202" w14:textId="77777777" w:rsidR="00471D53" w:rsidRDefault="004F686E" w:rsidP="00471D53">
                    <w:pPr>
                      <w:ind w:firstLineChars="200" w:firstLine="420"/>
                      <w:rPr>
                        <w:szCs w:val="21"/>
                      </w:rPr>
                    </w:pPr>
                    <w:r>
                      <w:rPr>
                        <w:rFonts w:hint="eastAsia"/>
                      </w:rPr>
                      <w:t xml:space="preserve">　</w:t>
                    </w:r>
                  </w:p>
                </w:tc>
              </w:sdtContent>
            </w:sdt>
            <w:sdt>
              <w:sdtPr>
                <w:rPr>
                  <w:szCs w:val="21"/>
                </w:rPr>
                <w:alias w:val="分部按商品转让的时间分类明细合同产生的收入"/>
                <w:tag w:val="_GBC_1c8dd9830e434fd99756948161fe5a30"/>
                <w:id w:val="2102991367"/>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53A98E1E" w14:textId="77777777" w:rsidR="00471D53" w:rsidRDefault="004F686E" w:rsidP="00471D53">
                    <w:pPr>
                      <w:jc w:val="right"/>
                      <w:rPr>
                        <w:szCs w:val="21"/>
                      </w:rPr>
                    </w:pPr>
                    <w:r>
                      <w:rPr>
                        <w:rFonts w:hint="eastAsia"/>
                      </w:rPr>
                      <w:t xml:space="preserve">　</w:t>
                    </w:r>
                  </w:p>
                </w:tc>
              </w:sdtContent>
            </w:sdt>
            <w:sdt>
              <w:sdtPr>
                <w:rPr>
                  <w:szCs w:val="21"/>
                </w:rPr>
                <w:alias w:val="按商品转让的时间分类明细合同产生的收入"/>
                <w:tag w:val="_GBC_735990eb00f647478a43e2b07fec3bd5"/>
                <w:id w:val="-1040981031"/>
                <w:lock w:val="sdtLocked"/>
                <w:showingPlcHdr/>
              </w:sdtPr>
              <w:sdtEndPr/>
              <w:sdtContent>
                <w:tc>
                  <w:tcPr>
                    <w:tcW w:w="1536" w:type="pct"/>
                    <w:tcBorders>
                      <w:top w:val="single" w:sz="4" w:space="0" w:color="auto"/>
                      <w:left w:val="single" w:sz="4" w:space="0" w:color="auto"/>
                      <w:bottom w:val="single" w:sz="4" w:space="0" w:color="auto"/>
                      <w:right w:val="single" w:sz="4" w:space="0" w:color="auto"/>
                    </w:tcBorders>
                  </w:tcPr>
                  <w:p w14:paraId="0DBFCF41" w14:textId="77777777" w:rsidR="00471D53" w:rsidRDefault="004F686E" w:rsidP="00471D53">
                    <w:pPr>
                      <w:jc w:val="right"/>
                      <w:rPr>
                        <w:szCs w:val="21"/>
                      </w:rPr>
                    </w:pPr>
                    <w:r>
                      <w:rPr>
                        <w:rFonts w:hint="eastAsia"/>
                      </w:rPr>
                      <w:t xml:space="preserve">　</w:t>
                    </w:r>
                  </w:p>
                </w:tc>
              </w:sdtContent>
            </w:sdt>
          </w:tr>
          <w:tr w:rsidR="00471D53" w14:paraId="728C6353" w14:textId="77777777" w:rsidTr="00471D53">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color w:val="000000"/>
                    <w:szCs w:val="21"/>
                    <w:shd w:val="clear" w:color="auto" w:fill="FFFFFF"/>
                  </w:rPr>
                  <w:tag w:val="_PLD_6d3cfe1f5ad9443593e2e5b1d5b8a567"/>
                  <w:id w:val="1806199173"/>
                  <w:lock w:val="sdtLocked"/>
                </w:sdtPr>
                <w:sdtEndPr>
                  <w:rPr>
                    <w:color w:val="auto"/>
                    <w:shd w:val="clear" w:color="auto" w:fill="auto"/>
                  </w:rPr>
                </w:sdtEndPr>
                <w:sdtContent>
                  <w:p w14:paraId="7ACF274F" w14:textId="77777777" w:rsidR="00471D53" w:rsidRDefault="004F686E" w:rsidP="00471D53">
                    <w:pPr>
                      <w:rPr>
                        <w:szCs w:val="21"/>
                      </w:rPr>
                    </w:pPr>
                    <w:r>
                      <w:rPr>
                        <w:rFonts w:hint="eastAsia"/>
                        <w:color w:val="000000"/>
                        <w:szCs w:val="21"/>
                        <w:shd w:val="clear" w:color="auto" w:fill="FFFFFF"/>
                      </w:rPr>
                      <w:t>按</w:t>
                    </w:r>
                    <w:r>
                      <w:rPr>
                        <w:rFonts w:hint="eastAsia"/>
                        <w:szCs w:val="21"/>
                      </w:rPr>
                      <w:t>合同期限分类</w:t>
                    </w:r>
                  </w:p>
                </w:sdtContent>
              </w:sdt>
            </w:tc>
            <w:sdt>
              <w:sdtPr>
                <w:rPr>
                  <w:szCs w:val="21"/>
                </w:rPr>
                <w:alias w:val="分部按合同期限分类合同产生的收入"/>
                <w:tag w:val="_GBC_ee392408f9d24b9bac0c8265eaa743a7"/>
                <w:id w:val="1664273425"/>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74C3CEA0" w14:textId="77777777" w:rsidR="00471D53" w:rsidRDefault="004F686E" w:rsidP="00471D53">
                    <w:pPr>
                      <w:jc w:val="right"/>
                      <w:rPr>
                        <w:szCs w:val="21"/>
                      </w:rPr>
                    </w:pPr>
                    <w:r>
                      <w:rPr>
                        <w:rFonts w:hint="eastAsia"/>
                      </w:rPr>
                      <w:t xml:space="preserve">　</w:t>
                    </w:r>
                  </w:p>
                </w:tc>
              </w:sdtContent>
            </w:sdt>
            <w:sdt>
              <w:sdtPr>
                <w:rPr>
                  <w:szCs w:val="21"/>
                </w:rPr>
                <w:alias w:val="按合同期限分类合同产生的收入"/>
                <w:tag w:val="_GBC_33b3bfe2df1f44958c8eb3172fa9c28e"/>
                <w:id w:val="178779067"/>
                <w:lock w:val="sdtLocked"/>
                <w:showingPlcHdr/>
              </w:sdtPr>
              <w:sdtEndPr/>
              <w:sdtContent>
                <w:tc>
                  <w:tcPr>
                    <w:tcW w:w="1536" w:type="pct"/>
                    <w:tcBorders>
                      <w:top w:val="single" w:sz="4" w:space="0" w:color="auto"/>
                      <w:left w:val="single" w:sz="4" w:space="0" w:color="auto"/>
                      <w:bottom w:val="single" w:sz="4" w:space="0" w:color="auto"/>
                      <w:right w:val="single" w:sz="4" w:space="0" w:color="auto"/>
                    </w:tcBorders>
                  </w:tcPr>
                  <w:p w14:paraId="6273378C" w14:textId="77777777" w:rsidR="00471D53" w:rsidRDefault="004F686E" w:rsidP="00471D53">
                    <w:pPr>
                      <w:jc w:val="right"/>
                      <w:rPr>
                        <w:szCs w:val="21"/>
                      </w:rPr>
                    </w:pPr>
                    <w:r>
                      <w:rPr>
                        <w:rFonts w:hint="eastAsia"/>
                      </w:rPr>
                      <w:t xml:space="preserve">　</w:t>
                    </w:r>
                  </w:p>
                </w:tc>
              </w:sdtContent>
            </w:sdt>
          </w:tr>
          <w:tr w:rsidR="00471D53" w14:paraId="3A216304" w14:textId="77777777" w:rsidTr="00471D53">
            <w:sdt>
              <w:sdtPr>
                <w:rPr>
                  <w:rFonts w:hint="eastAsia"/>
                  <w:szCs w:val="21"/>
                </w:rPr>
                <w:alias w:val="分部按合同期限分类明细名称"/>
                <w:tag w:val="_GBC_264557d9e22748239eb705abd00aea51"/>
                <w:id w:val="-985933250"/>
                <w:lock w:val="sdtLocked"/>
                <w:showingPlcHdr/>
              </w:sdtPr>
              <w:sdtEnd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14:paraId="0ECB511B" w14:textId="77777777" w:rsidR="00471D53" w:rsidRDefault="004F686E" w:rsidP="00471D53">
                    <w:pPr>
                      <w:ind w:firstLineChars="200" w:firstLine="420"/>
                      <w:rPr>
                        <w:szCs w:val="21"/>
                      </w:rPr>
                    </w:pPr>
                    <w:r>
                      <w:rPr>
                        <w:rFonts w:hint="eastAsia"/>
                      </w:rPr>
                      <w:t xml:space="preserve">　</w:t>
                    </w:r>
                  </w:p>
                </w:tc>
              </w:sdtContent>
            </w:sdt>
            <w:sdt>
              <w:sdtPr>
                <w:rPr>
                  <w:szCs w:val="21"/>
                </w:rPr>
                <w:alias w:val="分部按合同期限分类明细合同产生的收入"/>
                <w:tag w:val="_GBC_bba3520df74c4bb88b0bd471375cab8b"/>
                <w:id w:val="-607039010"/>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05EA1FF1" w14:textId="77777777" w:rsidR="00471D53" w:rsidRDefault="004F686E" w:rsidP="00471D53">
                    <w:pPr>
                      <w:jc w:val="right"/>
                      <w:rPr>
                        <w:szCs w:val="21"/>
                      </w:rPr>
                    </w:pPr>
                    <w:r>
                      <w:rPr>
                        <w:rFonts w:hint="eastAsia"/>
                      </w:rPr>
                      <w:t xml:space="preserve">　</w:t>
                    </w:r>
                  </w:p>
                </w:tc>
              </w:sdtContent>
            </w:sdt>
            <w:sdt>
              <w:sdtPr>
                <w:rPr>
                  <w:szCs w:val="21"/>
                </w:rPr>
                <w:alias w:val="按合同期限分类明细合同产生的收入"/>
                <w:tag w:val="_GBC_d94f61bfa5c5407a8cb762ebdebcbd72"/>
                <w:id w:val="371200473"/>
                <w:lock w:val="sdtLocked"/>
                <w:showingPlcHdr/>
              </w:sdtPr>
              <w:sdtEndPr/>
              <w:sdtContent>
                <w:tc>
                  <w:tcPr>
                    <w:tcW w:w="1536" w:type="pct"/>
                    <w:tcBorders>
                      <w:top w:val="single" w:sz="4" w:space="0" w:color="auto"/>
                      <w:left w:val="single" w:sz="4" w:space="0" w:color="auto"/>
                      <w:bottom w:val="single" w:sz="4" w:space="0" w:color="auto"/>
                      <w:right w:val="single" w:sz="4" w:space="0" w:color="auto"/>
                    </w:tcBorders>
                  </w:tcPr>
                  <w:p w14:paraId="5DAAA812" w14:textId="77777777" w:rsidR="00471D53" w:rsidRDefault="004F686E" w:rsidP="00471D53">
                    <w:pPr>
                      <w:jc w:val="right"/>
                      <w:rPr>
                        <w:szCs w:val="21"/>
                      </w:rPr>
                    </w:pPr>
                    <w:r>
                      <w:rPr>
                        <w:rFonts w:hint="eastAsia"/>
                      </w:rPr>
                      <w:t xml:space="preserve">　</w:t>
                    </w:r>
                  </w:p>
                </w:tc>
              </w:sdtContent>
            </w:sdt>
          </w:tr>
          <w:tr w:rsidR="00471D53" w14:paraId="0837B1C2" w14:textId="77777777" w:rsidTr="00471D53">
            <w:sdt>
              <w:sdtPr>
                <w:rPr>
                  <w:rFonts w:hint="eastAsia"/>
                  <w:szCs w:val="21"/>
                </w:rPr>
                <w:alias w:val="分部按合同期限分类明细名称"/>
                <w:tag w:val="_GBC_264557d9e22748239eb705abd00aea51"/>
                <w:id w:val="-150216675"/>
                <w:lock w:val="sdtLocked"/>
                <w:showingPlcHdr/>
              </w:sdtPr>
              <w:sdtEnd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14:paraId="2DE07469" w14:textId="77777777" w:rsidR="00471D53" w:rsidRDefault="004F686E" w:rsidP="00471D53">
                    <w:pPr>
                      <w:ind w:firstLineChars="200" w:firstLine="420"/>
                      <w:rPr>
                        <w:szCs w:val="21"/>
                      </w:rPr>
                    </w:pPr>
                    <w:r>
                      <w:rPr>
                        <w:rFonts w:hint="eastAsia"/>
                      </w:rPr>
                      <w:t xml:space="preserve">　</w:t>
                    </w:r>
                  </w:p>
                </w:tc>
              </w:sdtContent>
            </w:sdt>
            <w:sdt>
              <w:sdtPr>
                <w:rPr>
                  <w:szCs w:val="21"/>
                </w:rPr>
                <w:alias w:val="分部按合同期限分类明细合同产生的收入"/>
                <w:tag w:val="_GBC_bba3520df74c4bb88b0bd471375cab8b"/>
                <w:id w:val="539400428"/>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6BA93270" w14:textId="77777777" w:rsidR="00471D53" w:rsidRDefault="004F686E" w:rsidP="00471D53">
                    <w:pPr>
                      <w:jc w:val="right"/>
                      <w:rPr>
                        <w:szCs w:val="21"/>
                      </w:rPr>
                    </w:pPr>
                    <w:r>
                      <w:rPr>
                        <w:rFonts w:hint="eastAsia"/>
                      </w:rPr>
                      <w:t xml:space="preserve">　</w:t>
                    </w:r>
                  </w:p>
                </w:tc>
              </w:sdtContent>
            </w:sdt>
            <w:sdt>
              <w:sdtPr>
                <w:rPr>
                  <w:szCs w:val="21"/>
                </w:rPr>
                <w:alias w:val="按合同期限分类明细合同产生的收入"/>
                <w:tag w:val="_GBC_d94f61bfa5c5407a8cb762ebdebcbd72"/>
                <w:id w:val="70935777"/>
                <w:lock w:val="sdtLocked"/>
                <w:showingPlcHdr/>
              </w:sdtPr>
              <w:sdtEndPr/>
              <w:sdtContent>
                <w:tc>
                  <w:tcPr>
                    <w:tcW w:w="1536" w:type="pct"/>
                    <w:tcBorders>
                      <w:top w:val="single" w:sz="4" w:space="0" w:color="auto"/>
                      <w:left w:val="single" w:sz="4" w:space="0" w:color="auto"/>
                      <w:bottom w:val="single" w:sz="4" w:space="0" w:color="auto"/>
                      <w:right w:val="single" w:sz="4" w:space="0" w:color="auto"/>
                    </w:tcBorders>
                  </w:tcPr>
                  <w:p w14:paraId="504BF82F" w14:textId="77777777" w:rsidR="00471D53" w:rsidRDefault="004F686E" w:rsidP="00471D53">
                    <w:pPr>
                      <w:jc w:val="right"/>
                      <w:rPr>
                        <w:szCs w:val="21"/>
                      </w:rPr>
                    </w:pPr>
                    <w:r>
                      <w:rPr>
                        <w:rFonts w:hint="eastAsia"/>
                      </w:rPr>
                      <w:t xml:space="preserve">　</w:t>
                    </w:r>
                  </w:p>
                </w:tc>
              </w:sdtContent>
            </w:sdt>
          </w:tr>
          <w:tr w:rsidR="00471D53" w14:paraId="71064113" w14:textId="77777777" w:rsidTr="00471D53">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color w:val="000000"/>
                    <w:szCs w:val="21"/>
                    <w:shd w:val="clear" w:color="auto" w:fill="FFFFFF"/>
                  </w:rPr>
                  <w:tag w:val="_PLD_088d8e12be9a4705973169ff95637f45"/>
                  <w:id w:val="1471859026"/>
                  <w:lock w:val="sdtLocked"/>
                </w:sdtPr>
                <w:sdtEndPr>
                  <w:rPr>
                    <w:color w:val="auto"/>
                    <w:shd w:val="clear" w:color="auto" w:fill="auto"/>
                  </w:rPr>
                </w:sdtEndPr>
                <w:sdtContent>
                  <w:p w14:paraId="5BAB077D" w14:textId="77777777" w:rsidR="00471D53" w:rsidRDefault="004F686E" w:rsidP="00471D53">
                    <w:pPr>
                      <w:rPr>
                        <w:szCs w:val="21"/>
                      </w:rPr>
                    </w:pPr>
                    <w:r>
                      <w:rPr>
                        <w:rFonts w:hint="eastAsia"/>
                        <w:color w:val="000000"/>
                        <w:szCs w:val="21"/>
                        <w:shd w:val="clear" w:color="auto" w:fill="FFFFFF"/>
                      </w:rPr>
                      <w:t>按</w:t>
                    </w:r>
                    <w:r>
                      <w:rPr>
                        <w:rFonts w:hint="eastAsia"/>
                        <w:szCs w:val="21"/>
                      </w:rPr>
                      <w:t>销售渠道分类</w:t>
                    </w:r>
                  </w:p>
                </w:sdtContent>
              </w:sdt>
            </w:tc>
            <w:sdt>
              <w:sdtPr>
                <w:rPr>
                  <w:szCs w:val="21"/>
                </w:rPr>
                <w:alias w:val="分部按销售渠道分类合同产生的收入"/>
                <w:tag w:val="_GBC_99b1a3761d1342c1bdfc233b86bdb847"/>
                <w:id w:val="-1232231482"/>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5DD34B57" w14:textId="77777777" w:rsidR="00471D53" w:rsidRDefault="004F686E" w:rsidP="00471D53">
                    <w:pPr>
                      <w:jc w:val="right"/>
                      <w:rPr>
                        <w:szCs w:val="21"/>
                      </w:rPr>
                    </w:pPr>
                    <w:r>
                      <w:rPr>
                        <w:rFonts w:hint="eastAsia"/>
                      </w:rPr>
                      <w:t xml:space="preserve">　</w:t>
                    </w:r>
                  </w:p>
                </w:tc>
              </w:sdtContent>
            </w:sdt>
            <w:sdt>
              <w:sdtPr>
                <w:rPr>
                  <w:szCs w:val="21"/>
                </w:rPr>
                <w:alias w:val="按销售渠道分类合同产生的收入"/>
                <w:tag w:val="_GBC_9d2cba1cfc5248c989fd290b828270d4"/>
                <w:id w:val="1100523361"/>
                <w:lock w:val="sdtLocked"/>
                <w:showingPlcHdr/>
              </w:sdtPr>
              <w:sdtEndPr/>
              <w:sdtContent>
                <w:tc>
                  <w:tcPr>
                    <w:tcW w:w="1536" w:type="pct"/>
                    <w:tcBorders>
                      <w:top w:val="single" w:sz="4" w:space="0" w:color="auto"/>
                      <w:left w:val="single" w:sz="4" w:space="0" w:color="auto"/>
                      <w:bottom w:val="single" w:sz="4" w:space="0" w:color="auto"/>
                      <w:right w:val="single" w:sz="4" w:space="0" w:color="auto"/>
                    </w:tcBorders>
                  </w:tcPr>
                  <w:p w14:paraId="584B4A71" w14:textId="77777777" w:rsidR="00471D53" w:rsidRDefault="004F686E" w:rsidP="00471D53">
                    <w:pPr>
                      <w:jc w:val="right"/>
                      <w:rPr>
                        <w:szCs w:val="21"/>
                      </w:rPr>
                    </w:pPr>
                    <w:r>
                      <w:rPr>
                        <w:rFonts w:hint="eastAsia"/>
                      </w:rPr>
                      <w:t xml:space="preserve">　</w:t>
                    </w:r>
                  </w:p>
                </w:tc>
              </w:sdtContent>
            </w:sdt>
          </w:tr>
          <w:tr w:rsidR="00471D53" w14:paraId="7649F57D" w14:textId="77777777" w:rsidTr="00471D53">
            <w:sdt>
              <w:sdtPr>
                <w:rPr>
                  <w:rFonts w:hint="eastAsia"/>
                  <w:szCs w:val="21"/>
                </w:rPr>
                <w:alias w:val="分部按销售渠道分类明细名称"/>
                <w:tag w:val="_GBC_01f774d622044391beae4b26ef21c9e7"/>
                <w:id w:val="-1929879730"/>
                <w:lock w:val="sdtLocked"/>
                <w:showingPlcHdr/>
              </w:sdtPr>
              <w:sdtEnd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14:paraId="17FB7B0D" w14:textId="77777777" w:rsidR="00471D53" w:rsidRDefault="004F686E" w:rsidP="00471D53">
                    <w:pPr>
                      <w:ind w:firstLineChars="200" w:firstLine="420"/>
                      <w:rPr>
                        <w:szCs w:val="21"/>
                      </w:rPr>
                    </w:pPr>
                    <w:r>
                      <w:rPr>
                        <w:rFonts w:hint="eastAsia"/>
                      </w:rPr>
                      <w:t xml:space="preserve">　</w:t>
                    </w:r>
                  </w:p>
                </w:tc>
              </w:sdtContent>
            </w:sdt>
            <w:sdt>
              <w:sdtPr>
                <w:rPr>
                  <w:szCs w:val="21"/>
                </w:rPr>
                <w:alias w:val="分部按销售渠道分类明细合同产生的收入"/>
                <w:tag w:val="_GBC_8bc3b3a2733846d0b236678a583fbf9f"/>
                <w:id w:val="-1755280024"/>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268FB967" w14:textId="77777777" w:rsidR="00471D53" w:rsidRDefault="004F686E" w:rsidP="00471D53">
                    <w:pPr>
                      <w:jc w:val="right"/>
                      <w:rPr>
                        <w:szCs w:val="21"/>
                      </w:rPr>
                    </w:pPr>
                    <w:r>
                      <w:rPr>
                        <w:rFonts w:hint="eastAsia"/>
                      </w:rPr>
                      <w:t xml:space="preserve">　</w:t>
                    </w:r>
                  </w:p>
                </w:tc>
              </w:sdtContent>
            </w:sdt>
            <w:sdt>
              <w:sdtPr>
                <w:rPr>
                  <w:szCs w:val="21"/>
                </w:rPr>
                <w:alias w:val="按销售渠道分类明细合同产生的收入"/>
                <w:tag w:val="_GBC_6359bcd7ec8b4a57acdd46bbef587551"/>
                <w:id w:val="967863405"/>
                <w:lock w:val="sdtLocked"/>
                <w:showingPlcHdr/>
              </w:sdtPr>
              <w:sdtEndPr/>
              <w:sdtContent>
                <w:tc>
                  <w:tcPr>
                    <w:tcW w:w="1536" w:type="pct"/>
                    <w:tcBorders>
                      <w:top w:val="single" w:sz="4" w:space="0" w:color="auto"/>
                      <w:left w:val="single" w:sz="4" w:space="0" w:color="auto"/>
                      <w:bottom w:val="single" w:sz="4" w:space="0" w:color="auto"/>
                      <w:right w:val="single" w:sz="4" w:space="0" w:color="auto"/>
                    </w:tcBorders>
                  </w:tcPr>
                  <w:p w14:paraId="355BA3C8" w14:textId="77777777" w:rsidR="00471D53" w:rsidRDefault="004F686E" w:rsidP="00471D53">
                    <w:pPr>
                      <w:jc w:val="right"/>
                      <w:rPr>
                        <w:szCs w:val="21"/>
                      </w:rPr>
                    </w:pPr>
                    <w:r>
                      <w:rPr>
                        <w:rFonts w:hint="eastAsia"/>
                      </w:rPr>
                      <w:t xml:space="preserve">　</w:t>
                    </w:r>
                  </w:p>
                </w:tc>
              </w:sdtContent>
            </w:sdt>
          </w:tr>
          <w:tr w:rsidR="00471D53" w14:paraId="3DBD9D05" w14:textId="77777777" w:rsidTr="00471D53">
            <w:sdt>
              <w:sdtPr>
                <w:rPr>
                  <w:rFonts w:hint="eastAsia"/>
                  <w:szCs w:val="21"/>
                </w:rPr>
                <w:alias w:val="分部按销售渠道分类明细名称"/>
                <w:tag w:val="_GBC_01f774d622044391beae4b26ef21c9e7"/>
                <w:id w:val="-160230258"/>
                <w:lock w:val="sdtLocked"/>
                <w:showingPlcHdr/>
              </w:sdtPr>
              <w:sdtEnd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14:paraId="0E5BAB3C" w14:textId="77777777" w:rsidR="00471D53" w:rsidRDefault="004F686E" w:rsidP="00471D53">
                    <w:pPr>
                      <w:ind w:firstLineChars="200" w:firstLine="420"/>
                      <w:rPr>
                        <w:szCs w:val="21"/>
                      </w:rPr>
                    </w:pPr>
                    <w:r>
                      <w:rPr>
                        <w:rFonts w:hint="eastAsia"/>
                      </w:rPr>
                      <w:t xml:space="preserve">　</w:t>
                    </w:r>
                  </w:p>
                </w:tc>
              </w:sdtContent>
            </w:sdt>
            <w:sdt>
              <w:sdtPr>
                <w:rPr>
                  <w:szCs w:val="21"/>
                </w:rPr>
                <w:alias w:val="分部按销售渠道分类明细合同产生的收入"/>
                <w:tag w:val="_GBC_8bc3b3a2733846d0b236678a583fbf9f"/>
                <w:id w:val="-772557680"/>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0BD74DAB" w14:textId="77777777" w:rsidR="00471D53" w:rsidRDefault="004F686E" w:rsidP="00471D53">
                    <w:pPr>
                      <w:jc w:val="right"/>
                      <w:rPr>
                        <w:szCs w:val="21"/>
                      </w:rPr>
                    </w:pPr>
                    <w:r>
                      <w:rPr>
                        <w:rFonts w:hint="eastAsia"/>
                      </w:rPr>
                      <w:t xml:space="preserve">　</w:t>
                    </w:r>
                  </w:p>
                </w:tc>
              </w:sdtContent>
            </w:sdt>
            <w:sdt>
              <w:sdtPr>
                <w:rPr>
                  <w:szCs w:val="21"/>
                </w:rPr>
                <w:alias w:val="按销售渠道分类明细合同产生的收入"/>
                <w:tag w:val="_GBC_6359bcd7ec8b4a57acdd46bbef587551"/>
                <w:id w:val="559214238"/>
                <w:lock w:val="sdtLocked"/>
                <w:showingPlcHdr/>
              </w:sdtPr>
              <w:sdtEndPr/>
              <w:sdtContent>
                <w:tc>
                  <w:tcPr>
                    <w:tcW w:w="1536" w:type="pct"/>
                    <w:tcBorders>
                      <w:top w:val="single" w:sz="4" w:space="0" w:color="auto"/>
                      <w:left w:val="single" w:sz="4" w:space="0" w:color="auto"/>
                      <w:bottom w:val="single" w:sz="4" w:space="0" w:color="auto"/>
                      <w:right w:val="single" w:sz="4" w:space="0" w:color="auto"/>
                    </w:tcBorders>
                  </w:tcPr>
                  <w:p w14:paraId="79C9C30D" w14:textId="77777777" w:rsidR="00471D53" w:rsidRDefault="004F686E" w:rsidP="00471D53">
                    <w:pPr>
                      <w:jc w:val="right"/>
                      <w:rPr>
                        <w:szCs w:val="21"/>
                      </w:rPr>
                    </w:pPr>
                    <w:r>
                      <w:rPr>
                        <w:rFonts w:hint="eastAsia"/>
                      </w:rPr>
                      <w:t xml:space="preserve">　</w:t>
                    </w:r>
                  </w:p>
                </w:tc>
              </w:sdtContent>
            </w:sdt>
          </w:tr>
          <w:tr w:rsidR="00471D53" w:rsidRPr="00D00116" w14:paraId="465FF9B3" w14:textId="77777777" w:rsidTr="00471D53">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szCs w:val="21"/>
                  </w:rPr>
                  <w:tag w:val="_PLD_61453ad2ba3743f2bbbec0bd3c2e2bce"/>
                  <w:id w:val="-2070644027"/>
                  <w:lock w:val="sdtLocked"/>
                </w:sdtPr>
                <w:sdtEndPr/>
                <w:sdtContent>
                  <w:p w14:paraId="2E3D9505" w14:textId="77777777" w:rsidR="00471D53" w:rsidRDefault="004F686E" w:rsidP="00471D53">
                    <w:pPr>
                      <w:jc w:val="center"/>
                      <w:rPr>
                        <w:szCs w:val="21"/>
                      </w:rPr>
                    </w:pPr>
                    <w:r>
                      <w:rPr>
                        <w:rFonts w:hint="eastAsia"/>
                        <w:szCs w:val="21"/>
                      </w:rPr>
                      <w:t>合计</w:t>
                    </w:r>
                  </w:p>
                </w:sdtContent>
              </w:sdt>
            </w:tc>
            <w:sdt>
              <w:sdtPr>
                <w:rPr>
                  <w:szCs w:val="21"/>
                </w:rPr>
                <w:alias w:val="分部合同产生的收入"/>
                <w:tag w:val="_GBC_fdd22a21fd224e86b18a5661ccb86b4e"/>
                <w:id w:val="795416090"/>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7CABA3F9" w14:textId="77777777" w:rsidR="00471D53" w:rsidRDefault="004F686E" w:rsidP="00471D53">
                    <w:pPr>
                      <w:jc w:val="right"/>
                      <w:rPr>
                        <w:szCs w:val="21"/>
                      </w:rPr>
                    </w:pPr>
                    <w:r>
                      <w:rPr>
                        <w:rFonts w:hint="eastAsia"/>
                      </w:rPr>
                      <w:t xml:space="preserve">　</w:t>
                    </w:r>
                  </w:p>
                </w:tc>
              </w:sdtContent>
            </w:sdt>
            <w:sdt>
              <w:sdtPr>
                <w:rPr>
                  <w:szCs w:val="21"/>
                </w:rPr>
                <w:alias w:val="合同产生的收入"/>
                <w:tag w:val="_GBC_463fdb24770148078bc9ecdf4126a76b"/>
                <w:id w:val="1117101940"/>
                <w:lock w:val="sdtLocked"/>
              </w:sdtPr>
              <w:sdtEndPr/>
              <w:sdtContent>
                <w:tc>
                  <w:tcPr>
                    <w:tcW w:w="1536" w:type="pct"/>
                    <w:tcBorders>
                      <w:top w:val="single" w:sz="4" w:space="0" w:color="auto"/>
                      <w:left w:val="single" w:sz="4" w:space="0" w:color="auto"/>
                      <w:bottom w:val="single" w:sz="4" w:space="0" w:color="auto"/>
                      <w:right w:val="single" w:sz="4" w:space="0" w:color="auto"/>
                    </w:tcBorders>
                  </w:tcPr>
                  <w:p w14:paraId="248AAE6A" w14:textId="77777777" w:rsidR="00471D53" w:rsidRPr="00D00116" w:rsidRDefault="004F686E" w:rsidP="00471D53">
                    <w:pPr>
                      <w:jc w:val="right"/>
                      <w:rPr>
                        <w:szCs w:val="21"/>
                      </w:rPr>
                    </w:pPr>
                    <w:r w:rsidRPr="00D00116">
                      <w:rPr>
                        <w:bCs/>
                        <w:sz w:val="20"/>
                        <w:szCs w:val="20"/>
                      </w:rPr>
                      <w:t>508,272,446.37</w:t>
                    </w:r>
                  </w:p>
                </w:tc>
              </w:sdtContent>
            </w:sdt>
          </w:tr>
        </w:tbl>
        <w:p w14:paraId="6AFB3545" w14:textId="77777777" w:rsidR="00471D53" w:rsidRDefault="00B664AF"/>
        <w:p w14:paraId="423791D3" w14:textId="77777777" w:rsidR="00471D53" w:rsidRDefault="004F686E">
          <w:r>
            <w:rPr>
              <w:rFonts w:hint="eastAsia"/>
            </w:rPr>
            <w:t>合同产生的收入说明：</w:t>
          </w:r>
        </w:p>
        <w:p w14:paraId="68E22BEF" w14:textId="77777777" w:rsidR="00471D53" w:rsidRDefault="00B664AF">
          <w:sdt>
            <w:sdtPr>
              <w:alias w:val="合同产生的收入说明"/>
              <w:tag w:val="_GBC_5df8a240d4764103ad340ee5d91d16d6"/>
              <w:id w:val="1962068099"/>
              <w:lock w:val="sdtLocked"/>
              <w:placeholder>
                <w:docPart w:val="GBC22222222222222222222222222222"/>
              </w:placeholder>
            </w:sdtPr>
            <w:sdtEndPr/>
            <w:sdtContent>
              <w:r w:rsidR="004F686E">
                <w:rPr>
                  <w:rFonts w:hint="eastAsia"/>
                </w:rPr>
                <w:t>无</w:t>
              </w:r>
            </w:sdtContent>
          </w:sdt>
        </w:p>
        <w:p w14:paraId="7A5F587F" w14:textId="77777777" w:rsidR="00471D53" w:rsidRDefault="00B664AF">
          <w:pPr>
            <w:rPr>
              <w:szCs w:val="21"/>
            </w:rPr>
          </w:pPr>
        </w:p>
      </w:sdtContent>
    </w:sdt>
    <w:bookmarkEnd w:id="213" w:displacedByCustomXml="prev"/>
    <w:bookmarkStart w:id="214" w:name="_Hlk10538083" w:displacedByCustomXml="next"/>
    <w:bookmarkStart w:id="215" w:name="_Hlk10538092" w:displacedByCustomXml="next"/>
    <w:sdt>
      <w:sdtPr>
        <w:rPr>
          <w:rFonts w:ascii="宋体" w:hAnsi="宋体" w:cs="宋体" w:hint="eastAsia"/>
          <w:b w:val="0"/>
          <w:bCs w:val="0"/>
          <w:kern w:val="0"/>
          <w:szCs w:val="24"/>
        </w:rPr>
        <w:alias w:val="模块:履约义务的说明"/>
        <w:tag w:val="_SEC_c2d2612c37d449d6b1ff5194855fc52c"/>
        <w:id w:val="-1689433112"/>
        <w:lock w:val="sdtLocked"/>
        <w:placeholder>
          <w:docPart w:val="GBC22222222222222222222222222222"/>
        </w:placeholder>
      </w:sdtPr>
      <w:sdtEndPr>
        <w:rPr>
          <w:rFonts w:hint="default"/>
          <w:szCs w:val="21"/>
        </w:rPr>
      </w:sdtEndPr>
      <w:sdtContent>
        <w:p w14:paraId="63D07EB4" w14:textId="77777777" w:rsidR="00471D53" w:rsidRDefault="004F686E" w:rsidP="004F686E">
          <w:pPr>
            <w:pStyle w:val="afffff8"/>
            <w:numPr>
              <w:ilvl w:val="0"/>
              <w:numId w:val="87"/>
            </w:numPr>
            <w:ind w:left="426" w:hanging="426"/>
            <w:rPr>
              <w:rFonts w:ascii="宋体" w:hAnsi="宋体"/>
            </w:rPr>
          </w:pPr>
          <w:r>
            <w:rPr>
              <w:rFonts w:ascii="宋体" w:hAnsi="宋体" w:hint="eastAsia"/>
            </w:rPr>
            <w:t>履约义务的说明</w:t>
          </w:r>
          <w:bookmarkEnd w:id="214"/>
        </w:p>
        <w:sdt>
          <w:sdtPr>
            <w:alias w:val="是否适用：履约义务的说明[双击切换]"/>
            <w:tag w:val="_GBC_cb7f024e61b74dffae341dc41978348f"/>
            <w:id w:val="-863978375"/>
            <w:lock w:val="sdtLocked"/>
            <w:placeholder>
              <w:docPart w:val="GBC22222222222222222222222222222"/>
            </w:placeholder>
          </w:sdtPr>
          <w:sdtEndPr/>
          <w:sdtContent>
            <w:p w14:paraId="5099A405"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履约义务的说明"/>
            <w:tag w:val="_GBC_6630c6fe771842c38c46817107ddd376"/>
            <w:id w:val="-981230074"/>
            <w:lock w:val="sdtLocked"/>
            <w:placeholder>
              <w:docPart w:val="GBC22222222222222222222222222222"/>
            </w:placeholder>
          </w:sdtPr>
          <w:sdtEndPr/>
          <w:sdtContent>
            <w:p w14:paraId="53716EF3" w14:textId="77777777" w:rsidR="00471D53" w:rsidRDefault="004F686E" w:rsidP="00471D53">
              <w:pPr>
                <w:tabs>
                  <w:tab w:val="left" w:pos="800"/>
                  <w:tab w:val="left" w:pos="1100"/>
                  <w:tab w:val="left" w:pos="1713"/>
                </w:tabs>
                <w:spacing w:beforeLines="50" w:before="120" w:afterLines="50" w:after="120" w:line="360" w:lineRule="exact"/>
                <w:ind w:firstLineChars="200" w:firstLine="420"/>
                <w:jc w:val="both"/>
                <w:rPr>
                  <w:sz w:val="22"/>
                  <w:szCs w:val="22"/>
                </w:rPr>
              </w:pPr>
              <w:r>
                <w:rPr>
                  <w:rFonts w:hint="eastAsia"/>
                  <w:sz w:val="22"/>
                  <w:szCs w:val="22"/>
                </w:rPr>
                <w:t>本集团履约义务通常的履行时间在3个月以内，本集团作为主要责任人直接进行销售。一般在产品送达客户指定地点或在工厂内进行交货，转移对产品的控制权，付款方式通常有以下三种情况：有授信额度的在本集团授信额度内进行发货，无授信额度的客户，在发货前全额收款，或者根据合同相关条款收取一定比例的款项后安排发货，在发货的同时或者将货物送达客户指定的目的地，商品控制权转移给客户，本集团取得无条件收款权利。本集团不承担预期将退还给客户的款项等类似义务，其产品质量保证按照法定的产品质量要求执行。</w:t>
              </w:r>
            </w:p>
            <w:p w14:paraId="41BA4A00" w14:textId="77777777" w:rsidR="00471D53" w:rsidRDefault="00B664AF"/>
          </w:sdtContent>
        </w:sdt>
        <w:p w14:paraId="2624392D" w14:textId="77777777" w:rsidR="00471D53" w:rsidRDefault="00B664AF">
          <w:pPr>
            <w:rPr>
              <w:szCs w:val="21"/>
            </w:rPr>
          </w:pPr>
        </w:p>
      </w:sdtContent>
    </w:sdt>
    <w:bookmarkEnd w:id="215" w:displacedByCustomXml="prev"/>
    <w:bookmarkStart w:id="216" w:name="_Hlk10538107" w:displacedByCustomXml="next"/>
    <w:bookmarkStart w:id="217" w:name="_Hlk10538117" w:displacedByCustomXml="next"/>
    <w:sdt>
      <w:sdtPr>
        <w:rPr>
          <w:rFonts w:ascii="宋体" w:hAnsi="宋体" w:cs="宋体" w:hint="eastAsia"/>
          <w:b w:val="0"/>
          <w:bCs w:val="0"/>
          <w:kern w:val="0"/>
          <w:szCs w:val="24"/>
        </w:rPr>
        <w:alias w:val="模块:分摊至剩余履约义务的说明"/>
        <w:tag w:val="_SEC_52c497559d5c4501875a7b175ab4b1eb"/>
        <w:id w:val="740839133"/>
        <w:lock w:val="sdtLocked"/>
        <w:placeholder>
          <w:docPart w:val="GBC22222222222222222222222222222"/>
        </w:placeholder>
      </w:sdtPr>
      <w:sdtEndPr>
        <w:rPr>
          <w:rFonts w:hint="default"/>
          <w:szCs w:val="21"/>
        </w:rPr>
      </w:sdtEndPr>
      <w:sdtContent>
        <w:p w14:paraId="6D0035EB" w14:textId="77777777" w:rsidR="00471D53" w:rsidRDefault="004F686E" w:rsidP="004F686E">
          <w:pPr>
            <w:pStyle w:val="afffff8"/>
            <w:numPr>
              <w:ilvl w:val="0"/>
              <w:numId w:val="87"/>
            </w:numPr>
            <w:ind w:left="426" w:hanging="426"/>
            <w:rPr>
              <w:rFonts w:ascii="宋体" w:hAnsi="宋体"/>
            </w:rPr>
          </w:pPr>
          <w:r>
            <w:rPr>
              <w:rFonts w:ascii="宋体" w:hAnsi="宋体" w:hint="eastAsia"/>
            </w:rPr>
            <w:t>分摊至剩余履约义务的说明</w:t>
          </w:r>
          <w:bookmarkEnd w:id="216"/>
        </w:p>
        <w:sdt>
          <w:sdtPr>
            <w:alias w:val="是否适用：分摊至剩余履约义务的说明[双击切换]"/>
            <w:tag w:val="_GBC_3e12eb65fc9e4c7b80815a7392be58f2"/>
            <w:id w:val="1759945282"/>
            <w:lock w:val="sdtLocked"/>
            <w:placeholder>
              <w:docPart w:val="GBC22222222222222222222222222222"/>
            </w:placeholder>
          </w:sdtPr>
          <w:sdtEndPr/>
          <w:sdtContent>
            <w:p w14:paraId="3C216791"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1855073" w14:textId="77777777" w:rsidR="00471D53" w:rsidRDefault="00B664AF">
          <w:pPr>
            <w:rPr>
              <w:szCs w:val="21"/>
            </w:rPr>
          </w:pPr>
        </w:p>
      </w:sdtContent>
    </w:sdt>
    <w:bookmarkEnd w:id="217" w:displacedByCustomXml="prev"/>
    <w:p w14:paraId="6207E727" w14:textId="77777777" w:rsidR="00471D53" w:rsidRDefault="00B664AF">
      <w:pPr>
        <w:rPr>
          <w:szCs w:val="21"/>
        </w:rPr>
      </w:pPr>
    </w:p>
    <w:bookmarkStart w:id="218" w:name="_Hlk41487523" w:displacedByCustomXml="next"/>
    <w:sdt>
      <w:sdtPr>
        <w:rPr>
          <w:rFonts w:hint="eastAsia"/>
          <w:szCs w:val="21"/>
        </w:rPr>
        <w:alias w:val="模块:营业收入和营业成本的说明"/>
        <w:tag w:val="_SEC_530aa03318f04819b92848bd4d1e0874"/>
        <w:id w:val="-527570086"/>
        <w:lock w:val="sdtLocked"/>
        <w:placeholder>
          <w:docPart w:val="GBC22222222222222222222222222222"/>
        </w:placeholder>
      </w:sdtPr>
      <w:sdtEndPr/>
      <w:sdtContent>
        <w:bookmarkStart w:id="219" w:name="_Hlk26364697" w:displacedByCustomXml="prev"/>
        <w:bookmarkEnd w:id="219" w:displacedByCustomXml="prev"/>
        <w:p w14:paraId="643BA4DF" w14:textId="77777777" w:rsidR="00471D53" w:rsidRDefault="004F686E">
          <w:pPr>
            <w:spacing w:before="60" w:after="60"/>
            <w:rPr>
              <w:szCs w:val="21"/>
            </w:rPr>
          </w:pPr>
          <w:r>
            <w:rPr>
              <w:rFonts w:hint="eastAsia"/>
              <w:szCs w:val="21"/>
            </w:rPr>
            <w:t>其他说明：</w:t>
          </w:r>
        </w:p>
        <w:sdt>
          <w:sdtPr>
            <w:rPr>
              <w:szCs w:val="21"/>
            </w:rPr>
            <w:alias w:val="主营业务说明"/>
            <w:tag w:val="_GBC_72a96250960e4e188d2fa1097869655e"/>
            <w:id w:val="-646891338"/>
            <w:lock w:val="sdtLocked"/>
            <w:placeholder>
              <w:docPart w:val="GBC22222222222222222222222222222"/>
            </w:placeholder>
          </w:sdtPr>
          <w:sdtEndPr/>
          <w:sdtContent>
            <w:p w14:paraId="5F30F9D1" w14:textId="77777777" w:rsidR="00471D53" w:rsidRDefault="004F686E" w:rsidP="00471D53">
              <w:pPr>
                <w:tabs>
                  <w:tab w:val="left" w:pos="800"/>
                  <w:tab w:val="left" w:pos="1100"/>
                  <w:tab w:val="left" w:pos="1713"/>
                </w:tabs>
                <w:spacing w:beforeLines="50" w:before="120" w:afterLines="50" w:after="120" w:line="360" w:lineRule="exact"/>
                <w:ind w:firstLineChars="200" w:firstLine="420"/>
                <w:jc w:val="both"/>
                <w:rPr>
                  <w:sz w:val="22"/>
                  <w:szCs w:val="22"/>
                </w:rPr>
              </w:pPr>
              <w:r>
                <w:rPr>
                  <w:rFonts w:hint="eastAsia"/>
                  <w:sz w:val="22"/>
                  <w:szCs w:val="22"/>
                </w:rPr>
                <w:t>本集团于合同开始日对合同进行评估，认为向客户转让商品的承诺与合同中其他承诺不可单独区分，应将每个合同整体作为一个单项履约义务。</w:t>
              </w:r>
            </w:p>
            <w:p w14:paraId="74ECBBF6" w14:textId="77777777" w:rsidR="00471D53" w:rsidRDefault="00B664AF">
              <w:pPr>
                <w:rPr>
                  <w:szCs w:val="21"/>
                </w:rPr>
              </w:pPr>
            </w:p>
          </w:sdtContent>
        </w:sdt>
        <w:p w14:paraId="5B2A18E7" w14:textId="77777777" w:rsidR="00471D53" w:rsidRDefault="00B664AF">
          <w:pPr>
            <w:rPr>
              <w:szCs w:val="21"/>
            </w:rPr>
          </w:pPr>
        </w:p>
      </w:sdtContent>
    </w:sdt>
    <w:bookmarkEnd w:id="218" w:displacedByCustomXml="prev"/>
    <w:sdt>
      <w:sdtPr>
        <w:rPr>
          <w:rFonts w:ascii="宋体" w:hAnsi="宋体" w:cs="宋体" w:hint="eastAsia"/>
          <w:b w:val="0"/>
          <w:bCs w:val="0"/>
          <w:kern w:val="0"/>
          <w:szCs w:val="21"/>
        </w:rPr>
        <w:alias w:val="模块:税金及附加"/>
        <w:tag w:val="_GBC_38185835049143dd873ff3e7d0941647"/>
        <w:id w:val="-1613977872"/>
        <w:lock w:val="sdtLocked"/>
        <w:placeholder>
          <w:docPart w:val="GBC22222222222222222222222222222"/>
        </w:placeholder>
      </w:sdtPr>
      <w:sdtEndPr>
        <w:rPr>
          <w:rFonts w:cstheme="minorBidi"/>
          <w:kern w:val="2"/>
        </w:rPr>
      </w:sdtEndPr>
      <w:sdtContent>
        <w:p w14:paraId="1C6F4AFA"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税金及附加</w:t>
          </w:r>
        </w:p>
        <w:sdt>
          <w:sdtPr>
            <w:alias w:val="是否适用：税金及附加[双击切换]"/>
            <w:tag w:val="_GBC_e6e37ca7fd2a435e8e042586945bb4d2"/>
            <w:id w:val="1210925750"/>
            <w:lock w:val="sdtLocked"/>
            <w:placeholder>
              <w:docPart w:val="GBC22222222222222222222222222222"/>
            </w:placeholder>
          </w:sdtPr>
          <w:sdtEndPr/>
          <w:sdtContent>
            <w:p w14:paraId="749C0F37"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A1BF0DD" w14:textId="2BB2F2A6" w:rsidR="00471D53" w:rsidRDefault="004F686E">
          <w:pPr>
            <w:jc w:val="right"/>
            <w:rPr>
              <w:b/>
              <w:szCs w:val="21"/>
            </w:rPr>
          </w:pPr>
          <w:r>
            <w:rPr>
              <w:rFonts w:hint="eastAsia"/>
              <w:szCs w:val="21"/>
            </w:rPr>
            <w:t>单位：</w:t>
          </w:r>
          <w:sdt>
            <w:sdtPr>
              <w:rPr>
                <w:rFonts w:hint="eastAsia"/>
                <w:szCs w:val="21"/>
              </w:rPr>
              <w:alias w:val="单位：财务附注：税金及附加"/>
              <w:tag w:val="_GBC_bdd382ceb0b74413bcc8ce354afae4a8"/>
              <w:id w:val="-171695505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税金及附加"/>
              <w:tag w:val="_GBC_ecf8b53c11ec4336b91007df3f6b5f78"/>
              <w:id w:val="-6149841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833"/>
            <w:gridCol w:w="2992"/>
            <w:gridCol w:w="2992"/>
          </w:tblGrid>
          <w:tr w:rsidR="00471D53" w14:paraId="0BA13DCE" w14:textId="77777777" w:rsidTr="00471D53">
            <w:sdt>
              <w:sdtPr>
                <w:tag w:val="_PLD_444bcf5500dc4f7f9041afd20c147408"/>
                <w:id w:val="-760528032"/>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14:paraId="1A36627E" w14:textId="77777777" w:rsidR="00471D53" w:rsidRDefault="004F686E" w:rsidP="00471D53">
                    <w:pPr>
                      <w:autoSpaceDE w:val="0"/>
                      <w:autoSpaceDN w:val="0"/>
                      <w:adjustRightInd w:val="0"/>
                      <w:snapToGrid w:val="0"/>
                      <w:spacing w:line="240" w:lineRule="atLeast"/>
                      <w:jc w:val="center"/>
                      <w:rPr>
                        <w:szCs w:val="21"/>
                      </w:rPr>
                    </w:pPr>
                    <w:r>
                      <w:rPr>
                        <w:rFonts w:hint="eastAsia"/>
                        <w:szCs w:val="21"/>
                      </w:rPr>
                      <w:t>项目</w:t>
                    </w:r>
                  </w:p>
                </w:tc>
              </w:sdtContent>
            </w:sdt>
            <w:sdt>
              <w:sdtPr>
                <w:tag w:val="_PLD_986496e04f5841889074687e953bf8a9"/>
                <w:id w:val="154808399"/>
                <w:lock w:val="sdtLocked"/>
              </w:sdtPr>
              <w:sdtEndPr/>
              <w:sdtContent>
                <w:tc>
                  <w:tcPr>
                    <w:tcW w:w="1697" w:type="pct"/>
                    <w:tcBorders>
                      <w:top w:val="single" w:sz="6" w:space="0" w:color="auto"/>
                      <w:left w:val="single" w:sz="6" w:space="0" w:color="auto"/>
                      <w:bottom w:val="single" w:sz="6" w:space="0" w:color="auto"/>
                      <w:right w:val="single" w:sz="6" w:space="0" w:color="auto"/>
                    </w:tcBorders>
                  </w:tcPr>
                  <w:p w14:paraId="4CA26E2F" w14:textId="77777777" w:rsidR="00471D53" w:rsidRDefault="004F686E" w:rsidP="00471D53">
                    <w:pPr>
                      <w:jc w:val="center"/>
                      <w:rPr>
                        <w:szCs w:val="21"/>
                      </w:rPr>
                    </w:pPr>
                    <w:r>
                      <w:rPr>
                        <w:rFonts w:hint="eastAsia"/>
                        <w:szCs w:val="21"/>
                      </w:rPr>
                      <w:t>本期发生额</w:t>
                    </w:r>
                  </w:p>
                </w:tc>
              </w:sdtContent>
            </w:sdt>
            <w:sdt>
              <w:sdtPr>
                <w:tag w:val="_PLD_4ab1376344dc484195a5459c78069a64"/>
                <w:id w:val="-1746876905"/>
                <w:lock w:val="sdtLocked"/>
              </w:sdtPr>
              <w:sdtEndPr/>
              <w:sdtContent>
                <w:tc>
                  <w:tcPr>
                    <w:tcW w:w="1697" w:type="pct"/>
                    <w:tcBorders>
                      <w:top w:val="single" w:sz="6" w:space="0" w:color="auto"/>
                      <w:left w:val="single" w:sz="6" w:space="0" w:color="auto"/>
                      <w:bottom w:val="single" w:sz="6" w:space="0" w:color="auto"/>
                      <w:right w:val="single" w:sz="6" w:space="0" w:color="auto"/>
                    </w:tcBorders>
                    <w:vAlign w:val="center"/>
                  </w:tcPr>
                  <w:p w14:paraId="2BB2DC17" w14:textId="77777777" w:rsidR="00471D53" w:rsidRDefault="004F686E" w:rsidP="00471D53">
                    <w:pPr>
                      <w:jc w:val="center"/>
                      <w:rPr>
                        <w:szCs w:val="21"/>
                      </w:rPr>
                    </w:pPr>
                    <w:r>
                      <w:rPr>
                        <w:rFonts w:hint="eastAsia"/>
                        <w:szCs w:val="21"/>
                      </w:rPr>
                      <w:t>上期发生额</w:t>
                    </w:r>
                  </w:p>
                </w:tc>
              </w:sdtContent>
            </w:sdt>
          </w:tr>
          <w:tr w:rsidR="00471D53" w14:paraId="3DB7CBE3" w14:textId="77777777" w:rsidTr="00471D53">
            <w:sdt>
              <w:sdtPr>
                <w:tag w:val="_PLD_8e35b9a5fb67490d9247e452751213f6"/>
                <w:id w:val="-644657609"/>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14:paraId="43CCCC2C" w14:textId="77777777" w:rsidR="00471D53" w:rsidRDefault="004F686E" w:rsidP="00471D53">
                    <w:pPr>
                      <w:autoSpaceDE w:val="0"/>
                      <w:autoSpaceDN w:val="0"/>
                      <w:adjustRightInd w:val="0"/>
                      <w:snapToGrid w:val="0"/>
                      <w:spacing w:line="240" w:lineRule="atLeast"/>
                      <w:rPr>
                        <w:szCs w:val="21"/>
                      </w:rPr>
                    </w:pPr>
                    <w:r>
                      <w:rPr>
                        <w:rFonts w:hint="eastAsia"/>
                        <w:szCs w:val="21"/>
                      </w:rPr>
                      <w:t>消费税</w:t>
                    </w:r>
                  </w:p>
                </w:tc>
              </w:sdtContent>
            </w:sdt>
            <w:tc>
              <w:tcPr>
                <w:tcW w:w="1697" w:type="pct"/>
                <w:tcBorders>
                  <w:top w:val="single" w:sz="6" w:space="0" w:color="auto"/>
                  <w:left w:val="single" w:sz="6" w:space="0" w:color="auto"/>
                  <w:bottom w:val="single" w:sz="6" w:space="0" w:color="auto"/>
                  <w:right w:val="single" w:sz="6" w:space="0" w:color="auto"/>
                </w:tcBorders>
              </w:tcPr>
              <w:p w14:paraId="2485E1C9" w14:textId="77777777" w:rsidR="00471D53" w:rsidRDefault="00B664AF" w:rsidP="00471D53">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14:paraId="3F33B51C" w14:textId="77777777" w:rsidR="00471D53" w:rsidRDefault="00B664AF" w:rsidP="00471D53">
                <w:pPr>
                  <w:jc w:val="right"/>
                  <w:rPr>
                    <w:szCs w:val="21"/>
                  </w:rPr>
                </w:pPr>
              </w:p>
            </w:tc>
          </w:tr>
          <w:tr w:rsidR="00471D53" w14:paraId="39B03B4C" w14:textId="77777777" w:rsidTr="00471D53">
            <w:sdt>
              <w:sdtPr>
                <w:tag w:val="_PLD_96613ba294b7436e815c20ce0acaf4b5"/>
                <w:id w:val="-269005234"/>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14:paraId="4F159FB3" w14:textId="77777777" w:rsidR="00471D53" w:rsidRDefault="004F686E" w:rsidP="00471D53">
                    <w:pPr>
                      <w:autoSpaceDE w:val="0"/>
                      <w:autoSpaceDN w:val="0"/>
                      <w:adjustRightInd w:val="0"/>
                      <w:snapToGrid w:val="0"/>
                      <w:spacing w:line="240" w:lineRule="atLeast"/>
                      <w:rPr>
                        <w:szCs w:val="21"/>
                      </w:rPr>
                    </w:pPr>
                    <w:r>
                      <w:rPr>
                        <w:rFonts w:hint="eastAsia"/>
                        <w:szCs w:val="21"/>
                      </w:rPr>
                      <w:t>营业税</w:t>
                    </w:r>
                  </w:p>
                </w:tc>
              </w:sdtContent>
            </w:sdt>
            <w:tc>
              <w:tcPr>
                <w:tcW w:w="1697" w:type="pct"/>
                <w:tcBorders>
                  <w:top w:val="single" w:sz="6" w:space="0" w:color="auto"/>
                  <w:left w:val="single" w:sz="6" w:space="0" w:color="auto"/>
                  <w:bottom w:val="single" w:sz="6" w:space="0" w:color="auto"/>
                  <w:right w:val="single" w:sz="6" w:space="0" w:color="auto"/>
                </w:tcBorders>
              </w:tcPr>
              <w:p w14:paraId="7D52449C" w14:textId="77777777" w:rsidR="00471D53" w:rsidRDefault="00B664AF" w:rsidP="00471D53">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14:paraId="581F092F" w14:textId="77777777" w:rsidR="00471D53" w:rsidRDefault="00B664AF" w:rsidP="00471D53">
                <w:pPr>
                  <w:jc w:val="right"/>
                  <w:rPr>
                    <w:szCs w:val="21"/>
                  </w:rPr>
                </w:pPr>
              </w:p>
            </w:tc>
          </w:tr>
          <w:tr w:rsidR="00471D53" w14:paraId="397563EF" w14:textId="77777777" w:rsidTr="00471D53">
            <w:sdt>
              <w:sdtPr>
                <w:tag w:val="_PLD_8cf16cf7ff9548dc8b24e9b30e22cdcc"/>
                <w:id w:val="1385604031"/>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14:paraId="38DFA9AD" w14:textId="77777777" w:rsidR="00471D53" w:rsidRDefault="004F686E" w:rsidP="00471D53">
                    <w:pPr>
                      <w:autoSpaceDE w:val="0"/>
                      <w:autoSpaceDN w:val="0"/>
                      <w:adjustRightInd w:val="0"/>
                      <w:snapToGrid w:val="0"/>
                      <w:spacing w:line="240" w:lineRule="atLeast"/>
                      <w:rPr>
                        <w:szCs w:val="21"/>
                      </w:rPr>
                    </w:pPr>
                    <w:r>
                      <w:rPr>
                        <w:rFonts w:hint="eastAsia"/>
                        <w:szCs w:val="21"/>
                      </w:rPr>
                      <w:t>城市维护建设税</w:t>
                    </w:r>
                  </w:p>
                </w:tc>
              </w:sdtContent>
            </w:sdt>
            <w:tc>
              <w:tcPr>
                <w:tcW w:w="1697" w:type="pct"/>
                <w:tcBorders>
                  <w:top w:val="single" w:sz="6" w:space="0" w:color="auto"/>
                  <w:left w:val="single" w:sz="6" w:space="0" w:color="auto"/>
                  <w:bottom w:val="single" w:sz="6" w:space="0" w:color="auto"/>
                  <w:right w:val="single" w:sz="6" w:space="0" w:color="auto"/>
                </w:tcBorders>
                <w:vAlign w:val="center"/>
              </w:tcPr>
              <w:p w14:paraId="3E06DA58" w14:textId="77777777" w:rsidR="00471D53" w:rsidRDefault="004F686E" w:rsidP="00471D53">
                <w:pPr>
                  <w:snapToGrid w:val="0"/>
                  <w:jc w:val="right"/>
                  <w:rPr>
                    <w:sz w:val="22"/>
                  </w:rPr>
                </w:pPr>
                <w:r w:rsidRPr="00593607">
                  <w:rPr>
                    <w:sz w:val="22"/>
                  </w:rPr>
                  <w:t>261,579.93</w:t>
                </w:r>
              </w:p>
            </w:tc>
            <w:tc>
              <w:tcPr>
                <w:tcW w:w="1697" w:type="pct"/>
                <w:tcBorders>
                  <w:top w:val="single" w:sz="6" w:space="0" w:color="auto"/>
                  <w:left w:val="single" w:sz="6" w:space="0" w:color="auto"/>
                  <w:bottom w:val="single" w:sz="6" w:space="0" w:color="auto"/>
                  <w:right w:val="single" w:sz="6" w:space="0" w:color="auto"/>
                </w:tcBorders>
                <w:vAlign w:val="center"/>
              </w:tcPr>
              <w:p w14:paraId="27F33CEF" w14:textId="77777777" w:rsidR="00471D53" w:rsidRDefault="004F686E" w:rsidP="00471D53">
                <w:pPr>
                  <w:snapToGrid w:val="0"/>
                  <w:jc w:val="right"/>
                  <w:rPr>
                    <w:sz w:val="22"/>
                  </w:rPr>
                </w:pPr>
                <w:r w:rsidRPr="0053740B">
                  <w:rPr>
                    <w:sz w:val="22"/>
                  </w:rPr>
                  <w:t>265,324.40</w:t>
                </w:r>
              </w:p>
            </w:tc>
          </w:tr>
          <w:tr w:rsidR="00471D53" w14:paraId="24C4183C" w14:textId="77777777" w:rsidTr="00471D53">
            <w:sdt>
              <w:sdtPr>
                <w:tag w:val="_PLD_a93da99d2b574d26b1c4d61b4ee79236"/>
                <w:id w:val="840737402"/>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14:paraId="678789C2" w14:textId="77777777" w:rsidR="00471D53" w:rsidRDefault="004F686E" w:rsidP="00471D53">
                    <w:pPr>
                      <w:autoSpaceDE w:val="0"/>
                      <w:autoSpaceDN w:val="0"/>
                      <w:adjustRightInd w:val="0"/>
                      <w:snapToGrid w:val="0"/>
                      <w:spacing w:line="240" w:lineRule="atLeast"/>
                      <w:rPr>
                        <w:szCs w:val="21"/>
                      </w:rPr>
                    </w:pPr>
                    <w:r>
                      <w:rPr>
                        <w:rFonts w:hint="eastAsia"/>
                        <w:szCs w:val="21"/>
                      </w:rPr>
                      <w:t>教育费附加</w:t>
                    </w:r>
                  </w:p>
                </w:tc>
              </w:sdtContent>
            </w:sdt>
            <w:tc>
              <w:tcPr>
                <w:tcW w:w="1697" w:type="pct"/>
                <w:tcBorders>
                  <w:top w:val="single" w:sz="6" w:space="0" w:color="auto"/>
                  <w:left w:val="single" w:sz="6" w:space="0" w:color="auto"/>
                  <w:bottom w:val="single" w:sz="6" w:space="0" w:color="auto"/>
                  <w:right w:val="single" w:sz="6" w:space="0" w:color="auto"/>
                </w:tcBorders>
                <w:vAlign w:val="center"/>
              </w:tcPr>
              <w:p w14:paraId="6D26433C" w14:textId="77777777" w:rsidR="00471D53" w:rsidRDefault="004F686E" w:rsidP="00471D53">
                <w:pPr>
                  <w:snapToGrid w:val="0"/>
                  <w:jc w:val="right"/>
                  <w:rPr>
                    <w:sz w:val="22"/>
                  </w:rPr>
                </w:pPr>
                <w:r w:rsidRPr="00593607">
                  <w:rPr>
                    <w:sz w:val="22"/>
                  </w:rPr>
                  <w:t>210,709.15</w:t>
                </w:r>
              </w:p>
            </w:tc>
            <w:tc>
              <w:tcPr>
                <w:tcW w:w="1697" w:type="pct"/>
                <w:tcBorders>
                  <w:top w:val="single" w:sz="6" w:space="0" w:color="auto"/>
                  <w:left w:val="single" w:sz="6" w:space="0" w:color="auto"/>
                  <w:bottom w:val="single" w:sz="6" w:space="0" w:color="auto"/>
                  <w:right w:val="single" w:sz="6" w:space="0" w:color="auto"/>
                </w:tcBorders>
                <w:vAlign w:val="center"/>
              </w:tcPr>
              <w:p w14:paraId="6FEE51C6" w14:textId="77777777" w:rsidR="00471D53" w:rsidRDefault="004F686E" w:rsidP="00471D53">
                <w:pPr>
                  <w:jc w:val="right"/>
                  <w:rPr>
                    <w:sz w:val="22"/>
                  </w:rPr>
                </w:pPr>
                <w:r w:rsidRPr="0053740B">
                  <w:rPr>
                    <w:sz w:val="22"/>
                  </w:rPr>
                  <w:t>209,099.78</w:t>
                </w:r>
              </w:p>
            </w:tc>
          </w:tr>
          <w:tr w:rsidR="00471D53" w14:paraId="417C5D9E" w14:textId="77777777" w:rsidTr="00471D53">
            <w:sdt>
              <w:sdtPr>
                <w:tag w:val="_PLD_dff1a5ad8e734dc1aa2e23b417599ecc"/>
                <w:id w:val="2085718344"/>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14:paraId="11E280A7" w14:textId="77777777" w:rsidR="00471D53" w:rsidRDefault="004F686E" w:rsidP="00471D53">
                    <w:pPr>
                      <w:autoSpaceDE w:val="0"/>
                      <w:autoSpaceDN w:val="0"/>
                      <w:adjustRightInd w:val="0"/>
                      <w:snapToGrid w:val="0"/>
                      <w:spacing w:line="240" w:lineRule="atLeast"/>
                      <w:rPr>
                        <w:szCs w:val="21"/>
                      </w:rPr>
                    </w:pPr>
                    <w:r>
                      <w:rPr>
                        <w:rFonts w:hint="eastAsia"/>
                        <w:szCs w:val="21"/>
                      </w:rPr>
                      <w:t>资源税</w:t>
                    </w:r>
                  </w:p>
                </w:tc>
              </w:sdtContent>
            </w:sdt>
            <w:tc>
              <w:tcPr>
                <w:tcW w:w="1697" w:type="pct"/>
                <w:tcBorders>
                  <w:top w:val="single" w:sz="6" w:space="0" w:color="auto"/>
                  <w:left w:val="single" w:sz="6" w:space="0" w:color="auto"/>
                  <w:bottom w:val="single" w:sz="6" w:space="0" w:color="auto"/>
                  <w:right w:val="single" w:sz="6" w:space="0" w:color="auto"/>
                </w:tcBorders>
                <w:vAlign w:val="center"/>
              </w:tcPr>
              <w:p w14:paraId="238BB93C" w14:textId="77777777" w:rsidR="00471D53" w:rsidRDefault="004F686E" w:rsidP="00471D53">
                <w:pPr>
                  <w:snapToGrid w:val="0"/>
                  <w:jc w:val="right"/>
                  <w:rPr>
                    <w:sz w:val="22"/>
                  </w:rPr>
                </w:pPr>
                <w:r w:rsidRPr="00593607">
                  <w:rPr>
                    <w:sz w:val="22"/>
                  </w:rPr>
                  <w:t>7,418.60</w:t>
                </w:r>
              </w:p>
            </w:tc>
            <w:tc>
              <w:tcPr>
                <w:tcW w:w="1697" w:type="pct"/>
                <w:tcBorders>
                  <w:top w:val="single" w:sz="6" w:space="0" w:color="auto"/>
                  <w:left w:val="single" w:sz="6" w:space="0" w:color="auto"/>
                  <w:bottom w:val="single" w:sz="6" w:space="0" w:color="auto"/>
                  <w:right w:val="single" w:sz="6" w:space="0" w:color="auto"/>
                </w:tcBorders>
                <w:vAlign w:val="center"/>
              </w:tcPr>
              <w:p w14:paraId="424DE5F9" w14:textId="77777777" w:rsidR="00471D53" w:rsidRDefault="004F686E" w:rsidP="00471D53">
                <w:pPr>
                  <w:jc w:val="right"/>
                  <w:rPr>
                    <w:sz w:val="22"/>
                  </w:rPr>
                </w:pPr>
                <w:r w:rsidRPr="0053740B">
                  <w:rPr>
                    <w:sz w:val="22"/>
                  </w:rPr>
                  <w:t>14,851.20</w:t>
                </w:r>
              </w:p>
            </w:tc>
          </w:tr>
          <w:tr w:rsidR="00471D53" w14:paraId="012AB733" w14:textId="77777777" w:rsidTr="00471D53">
            <w:sdt>
              <w:sdtPr>
                <w:tag w:val="_PLD_b9d06144a0444b1fa73f16e038275ef3"/>
                <w:id w:val="-54934037"/>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14:paraId="5B206045" w14:textId="77777777" w:rsidR="00471D53" w:rsidRDefault="004F686E" w:rsidP="00471D53">
                    <w:pPr>
                      <w:autoSpaceDE w:val="0"/>
                      <w:autoSpaceDN w:val="0"/>
                      <w:adjustRightInd w:val="0"/>
                      <w:snapToGrid w:val="0"/>
                      <w:spacing w:line="240" w:lineRule="atLeast"/>
                      <w:rPr>
                        <w:szCs w:val="21"/>
                      </w:rPr>
                    </w:pPr>
                    <w:r>
                      <w:t>房产税</w:t>
                    </w:r>
                  </w:p>
                </w:tc>
              </w:sdtContent>
            </w:sdt>
            <w:tc>
              <w:tcPr>
                <w:tcW w:w="1697" w:type="pct"/>
                <w:tcBorders>
                  <w:top w:val="single" w:sz="6" w:space="0" w:color="auto"/>
                  <w:left w:val="single" w:sz="6" w:space="0" w:color="auto"/>
                  <w:bottom w:val="single" w:sz="6" w:space="0" w:color="auto"/>
                  <w:right w:val="single" w:sz="6" w:space="0" w:color="auto"/>
                </w:tcBorders>
                <w:vAlign w:val="center"/>
              </w:tcPr>
              <w:p w14:paraId="1C908030" w14:textId="77777777" w:rsidR="00471D53" w:rsidRDefault="004F686E" w:rsidP="00471D53">
                <w:pPr>
                  <w:snapToGrid w:val="0"/>
                  <w:jc w:val="right"/>
                  <w:rPr>
                    <w:sz w:val="22"/>
                  </w:rPr>
                </w:pPr>
                <w:r w:rsidRPr="00593607">
                  <w:rPr>
                    <w:sz w:val="22"/>
                  </w:rPr>
                  <w:t>1,112,653.98</w:t>
                </w:r>
              </w:p>
            </w:tc>
            <w:tc>
              <w:tcPr>
                <w:tcW w:w="1697" w:type="pct"/>
                <w:tcBorders>
                  <w:top w:val="single" w:sz="6" w:space="0" w:color="auto"/>
                  <w:left w:val="single" w:sz="6" w:space="0" w:color="auto"/>
                  <w:bottom w:val="single" w:sz="6" w:space="0" w:color="auto"/>
                  <w:right w:val="single" w:sz="6" w:space="0" w:color="auto"/>
                </w:tcBorders>
                <w:vAlign w:val="center"/>
              </w:tcPr>
              <w:p w14:paraId="6E92649C" w14:textId="77777777" w:rsidR="00471D53" w:rsidRDefault="004F686E" w:rsidP="00471D53">
                <w:pPr>
                  <w:jc w:val="right"/>
                  <w:rPr>
                    <w:sz w:val="22"/>
                  </w:rPr>
                </w:pPr>
                <w:r w:rsidRPr="0053740B">
                  <w:rPr>
                    <w:sz w:val="22"/>
                  </w:rPr>
                  <w:t>2,597,765.33</w:t>
                </w:r>
              </w:p>
            </w:tc>
          </w:tr>
          <w:tr w:rsidR="00471D53" w14:paraId="41CD3F87" w14:textId="77777777" w:rsidTr="00471D53">
            <w:sdt>
              <w:sdtPr>
                <w:tag w:val="_PLD_56542612dda549b3b872b8d74818af22"/>
                <w:id w:val="593135798"/>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14:paraId="5EC2E330" w14:textId="77777777" w:rsidR="00471D53" w:rsidRDefault="004F686E" w:rsidP="00471D53">
                    <w:pPr>
                      <w:autoSpaceDE w:val="0"/>
                      <w:autoSpaceDN w:val="0"/>
                      <w:adjustRightInd w:val="0"/>
                      <w:snapToGrid w:val="0"/>
                      <w:spacing w:line="240" w:lineRule="atLeast"/>
                      <w:rPr>
                        <w:szCs w:val="21"/>
                      </w:rPr>
                    </w:pPr>
                    <w:r>
                      <w:t>土地使用税</w:t>
                    </w:r>
                  </w:p>
                </w:tc>
              </w:sdtContent>
            </w:sdt>
            <w:tc>
              <w:tcPr>
                <w:tcW w:w="1697" w:type="pct"/>
                <w:tcBorders>
                  <w:top w:val="single" w:sz="6" w:space="0" w:color="auto"/>
                  <w:left w:val="single" w:sz="6" w:space="0" w:color="auto"/>
                  <w:bottom w:val="single" w:sz="6" w:space="0" w:color="auto"/>
                  <w:right w:val="single" w:sz="6" w:space="0" w:color="auto"/>
                </w:tcBorders>
                <w:vAlign w:val="center"/>
              </w:tcPr>
              <w:p w14:paraId="24C29AC8" w14:textId="77777777" w:rsidR="00471D53" w:rsidRDefault="004F686E" w:rsidP="00471D53">
                <w:pPr>
                  <w:snapToGrid w:val="0"/>
                  <w:jc w:val="right"/>
                  <w:rPr>
                    <w:sz w:val="22"/>
                  </w:rPr>
                </w:pPr>
                <w:r w:rsidRPr="00593607">
                  <w:rPr>
                    <w:sz w:val="22"/>
                  </w:rPr>
                  <w:t>344,287.27</w:t>
                </w:r>
              </w:p>
            </w:tc>
            <w:tc>
              <w:tcPr>
                <w:tcW w:w="1697" w:type="pct"/>
                <w:tcBorders>
                  <w:top w:val="single" w:sz="6" w:space="0" w:color="auto"/>
                  <w:left w:val="single" w:sz="6" w:space="0" w:color="auto"/>
                  <w:bottom w:val="single" w:sz="6" w:space="0" w:color="auto"/>
                  <w:right w:val="single" w:sz="6" w:space="0" w:color="auto"/>
                </w:tcBorders>
                <w:vAlign w:val="center"/>
              </w:tcPr>
              <w:p w14:paraId="58B8BA3B" w14:textId="77777777" w:rsidR="00471D53" w:rsidRDefault="004F686E" w:rsidP="00471D53">
                <w:pPr>
                  <w:jc w:val="right"/>
                  <w:rPr>
                    <w:sz w:val="22"/>
                  </w:rPr>
                </w:pPr>
                <w:r w:rsidRPr="0053740B">
                  <w:rPr>
                    <w:sz w:val="22"/>
                  </w:rPr>
                  <w:t>482,616.13</w:t>
                </w:r>
              </w:p>
            </w:tc>
          </w:tr>
          <w:tr w:rsidR="00471D53" w14:paraId="14244290" w14:textId="77777777" w:rsidTr="00471D53">
            <w:sdt>
              <w:sdtPr>
                <w:tag w:val="_PLD_d9fbd1807768486db09587132cc0eacf"/>
                <w:id w:val="-7219792"/>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14:paraId="7A0AEC91" w14:textId="77777777" w:rsidR="00471D53" w:rsidRDefault="004F686E" w:rsidP="00471D53">
                    <w:pPr>
                      <w:autoSpaceDE w:val="0"/>
                      <w:autoSpaceDN w:val="0"/>
                      <w:adjustRightInd w:val="0"/>
                      <w:snapToGrid w:val="0"/>
                      <w:spacing w:line="240" w:lineRule="atLeast"/>
                      <w:rPr>
                        <w:szCs w:val="21"/>
                      </w:rPr>
                    </w:pPr>
                    <w:r>
                      <w:t>车船使用税</w:t>
                    </w:r>
                  </w:p>
                </w:tc>
              </w:sdtContent>
            </w:sdt>
            <w:tc>
              <w:tcPr>
                <w:tcW w:w="1697" w:type="pct"/>
                <w:tcBorders>
                  <w:top w:val="single" w:sz="6" w:space="0" w:color="auto"/>
                  <w:left w:val="single" w:sz="6" w:space="0" w:color="auto"/>
                  <w:bottom w:val="single" w:sz="6" w:space="0" w:color="auto"/>
                  <w:right w:val="single" w:sz="6" w:space="0" w:color="auto"/>
                </w:tcBorders>
              </w:tcPr>
              <w:p w14:paraId="3F523444" w14:textId="77777777" w:rsidR="00471D53" w:rsidRDefault="00B664AF" w:rsidP="00471D53">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14:paraId="4FABFD61" w14:textId="77777777" w:rsidR="00471D53" w:rsidRDefault="00B664AF" w:rsidP="00471D53">
                <w:pPr>
                  <w:jc w:val="right"/>
                  <w:rPr>
                    <w:szCs w:val="21"/>
                  </w:rPr>
                </w:pPr>
              </w:p>
            </w:tc>
          </w:tr>
          <w:tr w:rsidR="00471D53" w14:paraId="08476296" w14:textId="77777777" w:rsidTr="00471D53">
            <w:sdt>
              <w:sdtPr>
                <w:tag w:val="_PLD_a0bc60e9b74b40a288471dbbe366af2d"/>
                <w:id w:val="536467834"/>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14:paraId="4E1A5D5C" w14:textId="77777777" w:rsidR="00471D53" w:rsidRDefault="004F686E" w:rsidP="00471D53">
                    <w:pPr>
                      <w:autoSpaceDE w:val="0"/>
                      <w:autoSpaceDN w:val="0"/>
                      <w:adjustRightInd w:val="0"/>
                      <w:snapToGrid w:val="0"/>
                      <w:spacing w:line="240" w:lineRule="atLeast"/>
                      <w:rPr>
                        <w:szCs w:val="21"/>
                      </w:rPr>
                    </w:pPr>
                    <w:r>
                      <w:t>印花税</w:t>
                    </w:r>
                  </w:p>
                </w:tc>
              </w:sdtContent>
            </w:sdt>
            <w:tc>
              <w:tcPr>
                <w:tcW w:w="1697" w:type="pct"/>
                <w:tcBorders>
                  <w:top w:val="single" w:sz="6" w:space="0" w:color="auto"/>
                  <w:left w:val="single" w:sz="6" w:space="0" w:color="auto"/>
                  <w:bottom w:val="single" w:sz="6" w:space="0" w:color="auto"/>
                  <w:right w:val="single" w:sz="6" w:space="0" w:color="auto"/>
                </w:tcBorders>
                <w:vAlign w:val="center"/>
              </w:tcPr>
              <w:p w14:paraId="4F479F2A" w14:textId="77777777" w:rsidR="00471D53" w:rsidRDefault="004F686E" w:rsidP="00471D53">
                <w:pPr>
                  <w:snapToGrid w:val="0"/>
                  <w:jc w:val="right"/>
                  <w:rPr>
                    <w:sz w:val="22"/>
                  </w:rPr>
                </w:pPr>
                <w:r w:rsidRPr="00593607">
                  <w:rPr>
                    <w:sz w:val="22"/>
                  </w:rPr>
                  <w:t>107,878.91</w:t>
                </w:r>
              </w:p>
            </w:tc>
            <w:tc>
              <w:tcPr>
                <w:tcW w:w="1697" w:type="pct"/>
                <w:tcBorders>
                  <w:top w:val="single" w:sz="6" w:space="0" w:color="auto"/>
                  <w:left w:val="single" w:sz="6" w:space="0" w:color="auto"/>
                  <w:bottom w:val="single" w:sz="6" w:space="0" w:color="auto"/>
                  <w:right w:val="single" w:sz="6" w:space="0" w:color="auto"/>
                </w:tcBorders>
                <w:vAlign w:val="center"/>
              </w:tcPr>
              <w:p w14:paraId="09B1E268" w14:textId="0AEBF85C" w:rsidR="00471D53" w:rsidRDefault="004F686E" w:rsidP="00471D53">
                <w:pPr>
                  <w:jc w:val="right"/>
                  <w:rPr>
                    <w:sz w:val="22"/>
                  </w:rPr>
                </w:pPr>
                <w:r w:rsidRPr="0053740B">
                  <w:rPr>
                    <w:sz w:val="22"/>
                  </w:rPr>
                  <w:t>169,231.09</w:t>
                </w:r>
              </w:p>
            </w:tc>
          </w:tr>
          <w:tr w:rsidR="00471D53" w14:paraId="19245344" w14:textId="77777777" w:rsidTr="00471D53">
            <w:tc>
              <w:tcPr>
                <w:tcW w:w="1606" w:type="pct"/>
                <w:tcBorders>
                  <w:top w:val="single" w:sz="6" w:space="0" w:color="auto"/>
                  <w:left w:val="single" w:sz="6" w:space="0" w:color="auto"/>
                  <w:bottom w:val="single" w:sz="6" w:space="0" w:color="auto"/>
                  <w:right w:val="single" w:sz="6" w:space="0" w:color="auto"/>
                </w:tcBorders>
                <w:vAlign w:val="center"/>
              </w:tcPr>
              <w:p w14:paraId="359DCDD0" w14:textId="77777777" w:rsidR="00471D53" w:rsidRDefault="004F686E" w:rsidP="00471D53">
                <w:pPr>
                  <w:autoSpaceDE w:val="0"/>
                  <w:autoSpaceDN w:val="0"/>
                  <w:adjustRightInd w:val="0"/>
                  <w:snapToGrid w:val="0"/>
                  <w:spacing w:line="240" w:lineRule="atLeast"/>
                  <w:rPr>
                    <w:szCs w:val="21"/>
                  </w:rPr>
                </w:pPr>
                <w:r>
                  <w:t>残疾人保障金</w:t>
                </w:r>
              </w:p>
            </w:tc>
            <w:tc>
              <w:tcPr>
                <w:tcW w:w="1697" w:type="pct"/>
                <w:tcBorders>
                  <w:top w:val="single" w:sz="6" w:space="0" w:color="auto"/>
                  <w:left w:val="single" w:sz="6" w:space="0" w:color="auto"/>
                  <w:bottom w:val="single" w:sz="6" w:space="0" w:color="auto"/>
                  <w:right w:val="single" w:sz="6" w:space="0" w:color="auto"/>
                </w:tcBorders>
              </w:tcPr>
              <w:p w14:paraId="01ED7CAF" w14:textId="77777777" w:rsidR="00471D53" w:rsidRDefault="004F686E" w:rsidP="00471D53">
                <w:pPr>
                  <w:autoSpaceDE w:val="0"/>
                  <w:autoSpaceDN w:val="0"/>
                  <w:adjustRightInd w:val="0"/>
                  <w:snapToGrid w:val="0"/>
                  <w:spacing w:line="240" w:lineRule="atLeast"/>
                  <w:jc w:val="right"/>
                  <w:rPr>
                    <w:szCs w:val="21"/>
                  </w:rPr>
                </w:pPr>
                <w:r>
                  <w:t>0.00</w:t>
                </w:r>
              </w:p>
            </w:tc>
            <w:tc>
              <w:tcPr>
                <w:tcW w:w="1697" w:type="pct"/>
                <w:tcBorders>
                  <w:top w:val="single" w:sz="6" w:space="0" w:color="auto"/>
                  <w:left w:val="single" w:sz="6" w:space="0" w:color="auto"/>
                  <w:bottom w:val="single" w:sz="6" w:space="0" w:color="auto"/>
                  <w:right w:val="single" w:sz="6" w:space="0" w:color="auto"/>
                </w:tcBorders>
              </w:tcPr>
              <w:p w14:paraId="0ED4EA11" w14:textId="77777777" w:rsidR="00471D53" w:rsidRDefault="004F686E" w:rsidP="00471D53">
                <w:pPr>
                  <w:jc w:val="right"/>
                  <w:rPr>
                    <w:szCs w:val="21"/>
                  </w:rPr>
                </w:pPr>
                <w:r>
                  <w:t>335,000.00</w:t>
                </w:r>
              </w:p>
            </w:tc>
          </w:tr>
          <w:tr w:rsidR="00471D53" w14:paraId="77E1FAFF" w14:textId="77777777" w:rsidTr="00471D53">
            <w:tc>
              <w:tcPr>
                <w:tcW w:w="1606" w:type="pct"/>
                <w:tcBorders>
                  <w:top w:val="single" w:sz="6" w:space="0" w:color="auto"/>
                  <w:left w:val="single" w:sz="6" w:space="0" w:color="auto"/>
                  <w:bottom w:val="single" w:sz="6" w:space="0" w:color="auto"/>
                  <w:right w:val="single" w:sz="6" w:space="0" w:color="auto"/>
                </w:tcBorders>
                <w:vAlign w:val="center"/>
              </w:tcPr>
              <w:p w14:paraId="219B0DF4" w14:textId="77777777" w:rsidR="00471D53" w:rsidRDefault="004F686E" w:rsidP="00471D53">
                <w:pPr>
                  <w:autoSpaceDE w:val="0"/>
                  <w:autoSpaceDN w:val="0"/>
                  <w:adjustRightInd w:val="0"/>
                  <w:snapToGrid w:val="0"/>
                  <w:spacing w:line="240" w:lineRule="atLeast"/>
                  <w:rPr>
                    <w:szCs w:val="21"/>
                  </w:rPr>
                </w:pPr>
                <w:r>
                  <w:t>环境保护税</w:t>
                </w:r>
              </w:p>
            </w:tc>
            <w:tc>
              <w:tcPr>
                <w:tcW w:w="1697" w:type="pct"/>
                <w:tcBorders>
                  <w:top w:val="single" w:sz="6" w:space="0" w:color="auto"/>
                  <w:left w:val="single" w:sz="6" w:space="0" w:color="auto"/>
                  <w:bottom w:val="single" w:sz="6" w:space="0" w:color="auto"/>
                  <w:right w:val="single" w:sz="6" w:space="0" w:color="auto"/>
                </w:tcBorders>
              </w:tcPr>
              <w:p w14:paraId="54731099" w14:textId="77777777" w:rsidR="00471D53" w:rsidRDefault="004F686E" w:rsidP="00471D53">
                <w:pPr>
                  <w:autoSpaceDE w:val="0"/>
                  <w:autoSpaceDN w:val="0"/>
                  <w:adjustRightInd w:val="0"/>
                  <w:snapToGrid w:val="0"/>
                  <w:spacing w:line="240" w:lineRule="atLeast"/>
                  <w:jc w:val="right"/>
                  <w:rPr>
                    <w:szCs w:val="21"/>
                  </w:rPr>
                </w:pPr>
                <w:r>
                  <w:t>88,386.70</w:t>
                </w:r>
              </w:p>
            </w:tc>
            <w:tc>
              <w:tcPr>
                <w:tcW w:w="1697" w:type="pct"/>
                <w:tcBorders>
                  <w:top w:val="single" w:sz="6" w:space="0" w:color="auto"/>
                  <w:left w:val="single" w:sz="6" w:space="0" w:color="auto"/>
                  <w:bottom w:val="single" w:sz="6" w:space="0" w:color="auto"/>
                  <w:right w:val="single" w:sz="6" w:space="0" w:color="auto"/>
                </w:tcBorders>
              </w:tcPr>
              <w:p w14:paraId="5D5097F2" w14:textId="77777777" w:rsidR="00471D53" w:rsidRDefault="004F686E" w:rsidP="00471D53">
                <w:pPr>
                  <w:jc w:val="right"/>
                  <w:rPr>
                    <w:szCs w:val="21"/>
                  </w:rPr>
                </w:pPr>
                <w:r>
                  <w:t>30,037.04</w:t>
                </w:r>
              </w:p>
            </w:tc>
          </w:tr>
          <w:tr w:rsidR="00471D53" w14:paraId="425F4856" w14:textId="77777777" w:rsidTr="00471D53">
            <w:tc>
              <w:tcPr>
                <w:tcW w:w="1606" w:type="pct"/>
                <w:tcBorders>
                  <w:top w:val="single" w:sz="6" w:space="0" w:color="auto"/>
                  <w:left w:val="single" w:sz="6" w:space="0" w:color="auto"/>
                  <w:bottom w:val="single" w:sz="6" w:space="0" w:color="auto"/>
                  <w:right w:val="single" w:sz="6" w:space="0" w:color="auto"/>
                </w:tcBorders>
                <w:vAlign w:val="center"/>
              </w:tcPr>
              <w:p w14:paraId="336711E8" w14:textId="77777777" w:rsidR="00471D53" w:rsidRDefault="004F686E" w:rsidP="00471D53">
                <w:pPr>
                  <w:autoSpaceDE w:val="0"/>
                  <w:autoSpaceDN w:val="0"/>
                  <w:adjustRightInd w:val="0"/>
                  <w:snapToGrid w:val="0"/>
                  <w:spacing w:line="240" w:lineRule="atLeast"/>
                  <w:rPr>
                    <w:szCs w:val="21"/>
                  </w:rPr>
                </w:pPr>
                <w:r>
                  <w:t>其他</w:t>
                </w:r>
              </w:p>
            </w:tc>
            <w:tc>
              <w:tcPr>
                <w:tcW w:w="1697" w:type="pct"/>
                <w:tcBorders>
                  <w:top w:val="single" w:sz="6" w:space="0" w:color="auto"/>
                  <w:left w:val="single" w:sz="6" w:space="0" w:color="auto"/>
                  <w:bottom w:val="single" w:sz="6" w:space="0" w:color="auto"/>
                  <w:right w:val="single" w:sz="6" w:space="0" w:color="auto"/>
                </w:tcBorders>
              </w:tcPr>
              <w:p w14:paraId="1426C222" w14:textId="77777777" w:rsidR="00471D53" w:rsidRDefault="004F686E" w:rsidP="00471D53">
                <w:pPr>
                  <w:autoSpaceDE w:val="0"/>
                  <w:autoSpaceDN w:val="0"/>
                  <w:adjustRightInd w:val="0"/>
                  <w:snapToGrid w:val="0"/>
                  <w:spacing w:line="240" w:lineRule="atLeast"/>
                  <w:jc w:val="right"/>
                  <w:rPr>
                    <w:szCs w:val="21"/>
                  </w:rPr>
                </w:pPr>
                <w:r>
                  <w:t>383,534.75</w:t>
                </w:r>
              </w:p>
            </w:tc>
            <w:tc>
              <w:tcPr>
                <w:tcW w:w="1697" w:type="pct"/>
                <w:tcBorders>
                  <w:top w:val="single" w:sz="6" w:space="0" w:color="auto"/>
                  <w:left w:val="single" w:sz="6" w:space="0" w:color="auto"/>
                  <w:bottom w:val="single" w:sz="6" w:space="0" w:color="auto"/>
                  <w:right w:val="single" w:sz="6" w:space="0" w:color="auto"/>
                </w:tcBorders>
              </w:tcPr>
              <w:p w14:paraId="2DF24574" w14:textId="77777777" w:rsidR="00471D53" w:rsidRDefault="004F686E" w:rsidP="00471D53">
                <w:pPr>
                  <w:jc w:val="right"/>
                  <w:rPr>
                    <w:szCs w:val="21"/>
                  </w:rPr>
                </w:pPr>
                <w:r>
                  <w:t>103,292.00</w:t>
                </w:r>
              </w:p>
            </w:tc>
          </w:tr>
          <w:tr w:rsidR="00471D53" w14:paraId="259AD277" w14:textId="77777777" w:rsidTr="00471D53">
            <w:tc>
              <w:tcPr>
                <w:tcW w:w="1606" w:type="pct"/>
                <w:tcBorders>
                  <w:top w:val="single" w:sz="6" w:space="0" w:color="auto"/>
                  <w:left w:val="single" w:sz="6" w:space="0" w:color="auto"/>
                  <w:bottom w:val="single" w:sz="6" w:space="0" w:color="auto"/>
                  <w:right w:val="single" w:sz="6" w:space="0" w:color="auto"/>
                </w:tcBorders>
                <w:vAlign w:val="center"/>
              </w:tcPr>
              <w:p w14:paraId="5C66D2DF" w14:textId="77777777" w:rsidR="00471D53" w:rsidRDefault="00B664AF" w:rsidP="00471D53">
                <w:pPr>
                  <w:autoSpaceDE w:val="0"/>
                  <w:autoSpaceDN w:val="0"/>
                  <w:adjustRightInd w:val="0"/>
                  <w:snapToGrid w:val="0"/>
                  <w:spacing w:line="240" w:lineRule="atLeast"/>
                  <w:jc w:val="center"/>
                  <w:rPr>
                    <w:szCs w:val="21"/>
                  </w:rPr>
                </w:pPr>
                <w:sdt>
                  <w:sdtPr>
                    <w:tag w:val="_PLD_447085d4b34d4e7e8574b5b78f65bf27"/>
                    <w:id w:val="-1733688851"/>
                    <w:lock w:val="sdtLocked"/>
                  </w:sdtPr>
                  <w:sdtEndPr/>
                  <w:sdtContent>
                    <w:r w:rsidR="004F686E">
                      <w:rPr>
                        <w:rFonts w:hint="eastAsia"/>
                        <w:szCs w:val="21"/>
                      </w:rPr>
                      <w:t>合计</w:t>
                    </w:r>
                  </w:sdtContent>
                </w:sdt>
              </w:p>
            </w:tc>
            <w:tc>
              <w:tcPr>
                <w:tcW w:w="1697" w:type="pct"/>
                <w:tcBorders>
                  <w:top w:val="single" w:sz="6" w:space="0" w:color="auto"/>
                  <w:left w:val="single" w:sz="6" w:space="0" w:color="auto"/>
                  <w:bottom w:val="single" w:sz="6" w:space="0" w:color="auto"/>
                  <w:right w:val="single" w:sz="6" w:space="0" w:color="auto"/>
                </w:tcBorders>
                <w:vAlign w:val="center"/>
              </w:tcPr>
              <w:p w14:paraId="3206FBE4" w14:textId="77777777" w:rsidR="00471D53" w:rsidRPr="0040760E" w:rsidRDefault="004F686E" w:rsidP="00471D53">
                <w:pPr>
                  <w:snapToGrid w:val="0"/>
                  <w:jc w:val="right"/>
                  <w:rPr>
                    <w:sz w:val="22"/>
                    <w:szCs w:val="22"/>
                  </w:rPr>
                </w:pPr>
                <w:r w:rsidRPr="0040760E">
                  <w:rPr>
                    <w:sz w:val="22"/>
                    <w:szCs w:val="22"/>
                  </w:rPr>
                  <w:t>2,516,449.29</w:t>
                </w:r>
              </w:p>
            </w:tc>
            <w:tc>
              <w:tcPr>
                <w:tcW w:w="1697" w:type="pct"/>
                <w:tcBorders>
                  <w:top w:val="single" w:sz="6" w:space="0" w:color="auto"/>
                  <w:left w:val="single" w:sz="6" w:space="0" w:color="auto"/>
                  <w:bottom w:val="single" w:sz="6" w:space="0" w:color="auto"/>
                  <w:right w:val="single" w:sz="6" w:space="0" w:color="auto"/>
                </w:tcBorders>
                <w:vAlign w:val="center"/>
              </w:tcPr>
              <w:p w14:paraId="50FA18EB" w14:textId="77777777" w:rsidR="00471D53" w:rsidRPr="0040760E" w:rsidRDefault="004F686E" w:rsidP="00471D53">
                <w:pPr>
                  <w:jc w:val="right"/>
                  <w:rPr>
                    <w:sz w:val="22"/>
                    <w:szCs w:val="22"/>
                  </w:rPr>
                </w:pPr>
                <w:r w:rsidRPr="0040760E">
                  <w:rPr>
                    <w:sz w:val="22"/>
                    <w:szCs w:val="22"/>
                  </w:rPr>
                  <w:t>4,207,216.97</w:t>
                </w:r>
              </w:p>
            </w:tc>
          </w:tr>
        </w:tbl>
        <w:p w14:paraId="3F88EE5B" w14:textId="77777777" w:rsidR="00471D53" w:rsidRDefault="00B664AF"/>
        <w:p w14:paraId="032CEBB5" w14:textId="77777777" w:rsidR="00471D53" w:rsidRDefault="004F686E">
          <w:pPr>
            <w:spacing w:before="60" w:after="60"/>
            <w:rPr>
              <w:szCs w:val="21"/>
            </w:rPr>
          </w:pPr>
          <w:r>
            <w:rPr>
              <w:rFonts w:hint="eastAsia"/>
              <w:szCs w:val="21"/>
            </w:rPr>
            <w:t>其他说明：</w:t>
          </w:r>
        </w:p>
        <w:sdt>
          <w:sdtPr>
            <w:rPr>
              <w:rFonts w:hint="eastAsia"/>
              <w:szCs w:val="21"/>
            </w:rPr>
            <w:alias w:val="税金及附加说明"/>
            <w:tag w:val="_GBC_f78e413320ad4d20a3dab91dff935491"/>
            <w:id w:val="589443198"/>
            <w:lock w:val="sdtLocked"/>
            <w:placeholder>
              <w:docPart w:val="GBC22222222222222222222222222222"/>
            </w:placeholder>
          </w:sdtPr>
          <w:sdtEndPr/>
          <w:sdtContent>
            <w:p w14:paraId="6D5B3FA4" w14:textId="77777777" w:rsidR="00471D53" w:rsidRDefault="004F686E">
              <w:pPr>
                <w:rPr>
                  <w:szCs w:val="21"/>
                </w:rPr>
              </w:pPr>
              <w:r>
                <w:rPr>
                  <w:rFonts w:hint="eastAsia"/>
                  <w:szCs w:val="21"/>
                </w:rPr>
                <w:t>无</w:t>
              </w:r>
            </w:p>
          </w:sdtContent>
        </w:sdt>
      </w:sdtContent>
    </w:sdt>
    <w:p w14:paraId="46CBC021" w14:textId="77777777" w:rsidR="00471D53" w:rsidRDefault="00B664AF">
      <w:pPr>
        <w:rPr>
          <w:szCs w:val="21"/>
        </w:rPr>
      </w:pPr>
    </w:p>
    <w:sdt>
      <w:sdtPr>
        <w:rPr>
          <w:rFonts w:ascii="宋体" w:hAnsi="宋体" w:cs="宋体" w:hint="eastAsia"/>
          <w:b w:val="0"/>
          <w:bCs w:val="0"/>
          <w:kern w:val="0"/>
          <w:szCs w:val="21"/>
        </w:rPr>
        <w:alias w:val="模块:成本费用"/>
        <w:tag w:val="_GBC_3faa14b862dd44e8a54b6137b70adace"/>
        <w:id w:val="-871293687"/>
        <w:lock w:val="sdtLocked"/>
        <w:placeholder>
          <w:docPart w:val="GBC22222222222222222222222222222"/>
        </w:placeholder>
      </w:sdtPr>
      <w:sdtEndPr>
        <w:rPr>
          <w:rFonts w:cstheme="minorBidi"/>
          <w:kern w:val="2"/>
        </w:rPr>
      </w:sdtEndPr>
      <w:sdtContent>
        <w:p w14:paraId="119681F1" w14:textId="77777777" w:rsidR="00471D53" w:rsidRDefault="004F686E" w:rsidP="004F686E">
          <w:pPr>
            <w:pStyle w:val="afffff7"/>
            <w:numPr>
              <w:ilvl w:val="0"/>
              <w:numId w:val="55"/>
            </w:numPr>
            <w:tabs>
              <w:tab w:val="left" w:pos="504"/>
            </w:tabs>
            <w:rPr>
              <w:rFonts w:ascii="宋体" w:hAnsi="宋体" w:cs="宋体"/>
              <w:bCs w:val="0"/>
              <w:kern w:val="0"/>
              <w:szCs w:val="21"/>
            </w:rPr>
          </w:pPr>
          <w:r>
            <w:rPr>
              <w:rFonts w:ascii="宋体" w:hAnsi="宋体" w:cs="宋体" w:hint="eastAsia"/>
              <w:bCs w:val="0"/>
              <w:kern w:val="0"/>
              <w:szCs w:val="21"/>
            </w:rPr>
            <w:t>销售费用</w:t>
          </w:r>
        </w:p>
        <w:sdt>
          <w:sdtPr>
            <w:alias w:val="是否适用：销售费用[双击切换]"/>
            <w:tag w:val="_GBC_5302d6af48674660a2279c7c8a87bb8c"/>
            <w:id w:val="-1352643015"/>
            <w:lock w:val="sdtLocked"/>
          </w:sdtPr>
          <w:sdtEndPr/>
          <w:sdtContent>
            <w:p w14:paraId="5603A6C2" w14:textId="29859B8C"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80FB611" w14:textId="1FD6998F" w:rsidR="00471D53" w:rsidRDefault="004F686E">
          <w:pPr>
            <w:pStyle w:val="affffff7"/>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893203a5a3df44649aef388407d22c68"/>
              <w:id w:val="1034849341"/>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币种：</w:t>
          </w:r>
          <w:sdt>
            <w:sdtPr>
              <w:rPr>
                <w:rFonts w:ascii="宋体" w:hAnsi="宋体" w:hint="eastAsia"/>
                <w:szCs w:val="21"/>
              </w:rPr>
              <w:alias w:val="币种：销售费用"/>
              <w:tag w:val="_GBC_4954a9fca98d4f279270fb28f987aa6f"/>
              <w:id w:val="1508790280"/>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8"/>
            <w:gridCol w:w="2626"/>
            <w:gridCol w:w="2359"/>
          </w:tblGrid>
          <w:tr w:rsidR="00471D53" w14:paraId="55C73A59" w14:textId="77777777" w:rsidTr="00471D53">
            <w:sdt>
              <w:sdtPr>
                <w:tag w:val="_PLD_16c47970a3b145c98f438f3cb34ff636"/>
                <w:id w:val="-1800375696"/>
                <w:lock w:val="sdtLocked"/>
              </w:sdtPr>
              <w:sdtEnd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3F6D0C70" w14:textId="77777777" w:rsidR="00471D53" w:rsidRDefault="004F686E" w:rsidP="00471D53">
                    <w:pPr>
                      <w:jc w:val="center"/>
                      <w:rPr>
                        <w:szCs w:val="21"/>
                      </w:rPr>
                    </w:pPr>
                    <w:r>
                      <w:rPr>
                        <w:rFonts w:hint="eastAsia"/>
                        <w:szCs w:val="21"/>
                      </w:rPr>
                      <w:t>项目</w:t>
                    </w:r>
                  </w:p>
                </w:tc>
              </w:sdtContent>
            </w:sdt>
            <w:sdt>
              <w:sdtPr>
                <w:tag w:val="_PLD_b3ce435531054240b373e649bc9ae7a1"/>
                <w:id w:val="-1909367674"/>
                <w:lock w:val="sdtLocked"/>
              </w:sdtPr>
              <w:sdtEndPr/>
              <w:sdtContent>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13F6FF97" w14:textId="77777777" w:rsidR="00471D53" w:rsidRDefault="004F686E" w:rsidP="00471D53">
                    <w:pPr>
                      <w:jc w:val="center"/>
                      <w:rPr>
                        <w:szCs w:val="21"/>
                      </w:rPr>
                    </w:pPr>
                    <w:r>
                      <w:rPr>
                        <w:rFonts w:hint="eastAsia"/>
                        <w:szCs w:val="21"/>
                      </w:rPr>
                      <w:t>本期发生额</w:t>
                    </w:r>
                  </w:p>
                </w:tc>
              </w:sdtContent>
            </w:sdt>
            <w:sdt>
              <w:sdtPr>
                <w:tag w:val="_PLD_9480cd5806624557b975b5d0ce06575b"/>
                <w:id w:val="-569971021"/>
                <w:lock w:val="sdtLocked"/>
              </w:sdtPr>
              <w:sdtEndPr/>
              <w:sdtContent>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63B9D92A" w14:textId="77777777" w:rsidR="00471D53" w:rsidRDefault="004F686E" w:rsidP="00471D53">
                    <w:pPr>
                      <w:jc w:val="center"/>
                      <w:rPr>
                        <w:szCs w:val="21"/>
                      </w:rPr>
                    </w:pPr>
                    <w:r>
                      <w:rPr>
                        <w:rFonts w:hint="eastAsia"/>
                        <w:szCs w:val="21"/>
                      </w:rPr>
                      <w:t>上期发生额</w:t>
                    </w:r>
                  </w:p>
                </w:tc>
              </w:sdtContent>
            </w:sdt>
          </w:tr>
          <w:sdt>
            <w:sdtPr>
              <w:rPr>
                <w:szCs w:val="21"/>
              </w:rPr>
              <w:alias w:val="销售费用明细"/>
              <w:tag w:val="_GBC_8b0e6f0534ed42879aaed18b46dbec7d"/>
              <w:id w:val="-1435973914"/>
              <w:lock w:val="sdtLocked"/>
            </w:sdtPr>
            <w:sdtEndPr/>
            <w:sdtContent>
              <w:tr w:rsidR="00471D53" w14:paraId="00039CD3" w14:textId="77777777" w:rsidTr="00471D53">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57165C2C" w14:textId="77777777" w:rsidR="00471D53" w:rsidRDefault="004F686E" w:rsidP="00471D53">
                    <w:pPr>
                      <w:rPr>
                        <w:szCs w:val="21"/>
                      </w:rPr>
                    </w:pPr>
                    <w:r>
                      <w:t>职工薪酬</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0FDAD6C9" w14:textId="77777777" w:rsidR="00471D53" w:rsidRDefault="004F686E" w:rsidP="00471D53">
                    <w:pPr>
                      <w:jc w:val="right"/>
                      <w:rPr>
                        <w:szCs w:val="21"/>
                      </w:rPr>
                    </w:pPr>
                    <w:r>
                      <w:t>11,284,205.17</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596E857B" w14:textId="77777777" w:rsidR="00471D53" w:rsidRDefault="004F686E" w:rsidP="00471D53">
                    <w:pPr>
                      <w:jc w:val="right"/>
                      <w:rPr>
                        <w:szCs w:val="21"/>
                      </w:rPr>
                    </w:pPr>
                    <w:r>
                      <w:t>10,015,063.05</w:t>
                    </w:r>
                  </w:p>
                </w:tc>
              </w:tr>
            </w:sdtContent>
          </w:sdt>
          <w:sdt>
            <w:sdtPr>
              <w:rPr>
                <w:szCs w:val="21"/>
              </w:rPr>
              <w:alias w:val="销售费用明细"/>
              <w:tag w:val="_GBC_8b0e6f0534ed42879aaed18b46dbec7d"/>
              <w:id w:val="-1130703866"/>
              <w:lock w:val="sdtLocked"/>
            </w:sdtPr>
            <w:sdtEndPr/>
            <w:sdtContent>
              <w:tr w:rsidR="00471D53" w14:paraId="6B98BA93" w14:textId="77777777" w:rsidTr="00471D53">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08BFC1F8" w14:textId="77777777" w:rsidR="00471D53" w:rsidRDefault="004F686E" w:rsidP="00471D53">
                    <w:pPr>
                      <w:rPr>
                        <w:szCs w:val="21"/>
                      </w:rPr>
                    </w:pPr>
                    <w:r>
                      <w:t>业务经费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3F80EB79" w14:textId="77777777" w:rsidR="00471D53" w:rsidRDefault="004F686E" w:rsidP="00471D53">
                    <w:pPr>
                      <w:jc w:val="right"/>
                      <w:rPr>
                        <w:szCs w:val="21"/>
                      </w:rPr>
                    </w:pPr>
                    <w:r>
                      <w:t>666,308.04</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4FD64EC5" w14:textId="77777777" w:rsidR="00471D53" w:rsidRDefault="004F686E" w:rsidP="00471D53">
                    <w:pPr>
                      <w:jc w:val="right"/>
                      <w:rPr>
                        <w:szCs w:val="21"/>
                      </w:rPr>
                    </w:pPr>
                    <w:r>
                      <w:t>754,501.81</w:t>
                    </w:r>
                  </w:p>
                </w:tc>
              </w:tr>
            </w:sdtContent>
          </w:sdt>
          <w:sdt>
            <w:sdtPr>
              <w:rPr>
                <w:szCs w:val="21"/>
              </w:rPr>
              <w:alias w:val="销售费用明细"/>
              <w:tag w:val="_GBC_8b0e6f0534ed42879aaed18b46dbec7d"/>
              <w:id w:val="1277061239"/>
              <w:lock w:val="sdtLocked"/>
            </w:sdtPr>
            <w:sdtEndPr/>
            <w:sdtContent>
              <w:tr w:rsidR="00471D53" w14:paraId="1361E16E" w14:textId="77777777" w:rsidTr="00471D53">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062E847F" w14:textId="77777777" w:rsidR="00471D53" w:rsidRDefault="004F686E" w:rsidP="00471D53">
                    <w:pPr>
                      <w:rPr>
                        <w:szCs w:val="21"/>
                      </w:rPr>
                    </w:pPr>
                    <w:r>
                      <w:t>运输费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419DB6F5" w14:textId="77777777" w:rsidR="00471D53" w:rsidRDefault="004F686E" w:rsidP="00471D53">
                    <w:pPr>
                      <w:jc w:val="right"/>
                      <w:rPr>
                        <w:szCs w:val="21"/>
                      </w:rPr>
                    </w:pPr>
                    <w:r>
                      <w:t>700,965.53</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5A809F08" w14:textId="77777777" w:rsidR="00471D53" w:rsidRDefault="004F686E" w:rsidP="00471D53">
                    <w:pPr>
                      <w:jc w:val="right"/>
                      <w:rPr>
                        <w:szCs w:val="21"/>
                      </w:rPr>
                    </w:pPr>
                    <w:r>
                      <w:t>6,472,887.99</w:t>
                    </w:r>
                  </w:p>
                </w:tc>
              </w:tr>
            </w:sdtContent>
          </w:sdt>
          <w:sdt>
            <w:sdtPr>
              <w:rPr>
                <w:szCs w:val="21"/>
              </w:rPr>
              <w:alias w:val="销售费用明细"/>
              <w:tag w:val="_GBC_8b0e6f0534ed42879aaed18b46dbec7d"/>
              <w:id w:val="87587799"/>
              <w:lock w:val="sdtLocked"/>
            </w:sdtPr>
            <w:sdtEndPr/>
            <w:sdtContent>
              <w:tr w:rsidR="00471D53" w14:paraId="2287A65A" w14:textId="77777777" w:rsidTr="00471D53">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5A2A722F" w14:textId="77777777" w:rsidR="00471D53" w:rsidRDefault="004F686E" w:rsidP="00471D53">
                    <w:pPr>
                      <w:rPr>
                        <w:szCs w:val="21"/>
                      </w:rPr>
                    </w:pPr>
                    <w:r>
                      <w:t>仓储保管费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296B4DB7" w14:textId="77777777" w:rsidR="00471D53" w:rsidRDefault="004F686E" w:rsidP="00471D53">
                    <w:pPr>
                      <w:jc w:val="right"/>
                      <w:rPr>
                        <w:szCs w:val="21"/>
                      </w:rPr>
                    </w:pPr>
                    <w:r>
                      <w:t>18,196.27</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14913AC0" w14:textId="77777777" w:rsidR="00471D53" w:rsidRDefault="004F686E" w:rsidP="00471D53">
                    <w:pPr>
                      <w:jc w:val="right"/>
                      <w:rPr>
                        <w:szCs w:val="21"/>
                      </w:rPr>
                    </w:pPr>
                    <w:r>
                      <w:t>77,236.64</w:t>
                    </w:r>
                  </w:p>
                </w:tc>
              </w:tr>
            </w:sdtContent>
          </w:sdt>
          <w:sdt>
            <w:sdtPr>
              <w:rPr>
                <w:szCs w:val="21"/>
              </w:rPr>
              <w:alias w:val="销售费用明细"/>
              <w:tag w:val="_GBC_8b0e6f0534ed42879aaed18b46dbec7d"/>
              <w:id w:val="845280186"/>
              <w:lock w:val="sdtLocked"/>
            </w:sdtPr>
            <w:sdtEndPr/>
            <w:sdtContent>
              <w:tr w:rsidR="00471D53" w14:paraId="21354C9B" w14:textId="77777777" w:rsidTr="00471D53">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0A4FAD23" w14:textId="77777777" w:rsidR="00471D53" w:rsidRDefault="004F686E" w:rsidP="00471D53">
                    <w:pPr>
                      <w:rPr>
                        <w:szCs w:val="21"/>
                      </w:rPr>
                    </w:pPr>
                    <w:r>
                      <w:t>展览费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2DB1DAC7" w14:textId="77777777" w:rsidR="00471D53" w:rsidRDefault="004F686E" w:rsidP="00471D53">
                    <w:pPr>
                      <w:jc w:val="right"/>
                      <w:rPr>
                        <w:szCs w:val="21"/>
                      </w:rPr>
                    </w:pPr>
                    <w:r>
                      <w:t>350,450.21</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1B22CD93" w14:textId="77777777" w:rsidR="00471D53" w:rsidRDefault="004F686E" w:rsidP="00471D53">
                    <w:pPr>
                      <w:jc w:val="right"/>
                      <w:rPr>
                        <w:szCs w:val="21"/>
                      </w:rPr>
                    </w:pPr>
                    <w:r>
                      <w:t>251,618.71</w:t>
                    </w:r>
                  </w:p>
                </w:tc>
              </w:tr>
            </w:sdtContent>
          </w:sdt>
          <w:sdt>
            <w:sdtPr>
              <w:rPr>
                <w:szCs w:val="21"/>
              </w:rPr>
              <w:alias w:val="销售费用明细"/>
              <w:tag w:val="_GBC_8b0e6f0534ed42879aaed18b46dbec7d"/>
              <w:id w:val="-1907757228"/>
              <w:lock w:val="sdtLocked"/>
            </w:sdtPr>
            <w:sdtEndPr/>
            <w:sdtContent>
              <w:tr w:rsidR="00471D53" w14:paraId="695D6FF8" w14:textId="77777777" w:rsidTr="00471D53">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1B9169E9" w14:textId="77777777" w:rsidR="00471D53" w:rsidRDefault="004F686E" w:rsidP="00471D53">
                    <w:pPr>
                      <w:rPr>
                        <w:szCs w:val="21"/>
                      </w:rPr>
                    </w:pPr>
                    <w:r>
                      <w:t>售后服务费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3498D04F" w14:textId="77777777" w:rsidR="00471D53" w:rsidRDefault="004F686E" w:rsidP="00471D53">
                    <w:pPr>
                      <w:jc w:val="right"/>
                      <w:rPr>
                        <w:szCs w:val="21"/>
                      </w:rPr>
                    </w:pPr>
                    <w:r>
                      <w:t>336,208.42</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657C372C" w14:textId="77777777" w:rsidR="00471D53" w:rsidRDefault="004F686E" w:rsidP="00471D53">
                    <w:pPr>
                      <w:jc w:val="right"/>
                      <w:rPr>
                        <w:szCs w:val="21"/>
                      </w:rPr>
                    </w:pPr>
                    <w:r>
                      <w:t>3,391,131.13</w:t>
                    </w:r>
                  </w:p>
                </w:tc>
              </w:tr>
            </w:sdtContent>
          </w:sdt>
          <w:sdt>
            <w:sdtPr>
              <w:rPr>
                <w:szCs w:val="21"/>
              </w:rPr>
              <w:alias w:val="销售费用明细"/>
              <w:tag w:val="_GBC_8b0e6f0534ed42879aaed18b46dbec7d"/>
              <w:id w:val="-923031024"/>
              <w:lock w:val="sdtLocked"/>
            </w:sdtPr>
            <w:sdtEndPr/>
            <w:sdtContent>
              <w:tr w:rsidR="00471D53" w14:paraId="19F18A20" w14:textId="77777777" w:rsidTr="00471D53">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02735C3E" w14:textId="77777777" w:rsidR="00471D53" w:rsidRDefault="004F686E" w:rsidP="00471D53">
                    <w:pPr>
                      <w:rPr>
                        <w:szCs w:val="21"/>
                      </w:rPr>
                    </w:pPr>
                    <w:r>
                      <w:t>修理费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1EA6619C" w14:textId="77777777" w:rsidR="00471D53" w:rsidRDefault="004F686E" w:rsidP="00471D53">
                    <w:pPr>
                      <w:jc w:val="right"/>
                      <w:rPr>
                        <w:szCs w:val="21"/>
                      </w:rPr>
                    </w:pPr>
                    <w:r>
                      <w:t>17,612.09</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6FFB6228" w14:textId="77777777" w:rsidR="00471D53" w:rsidRDefault="004F686E" w:rsidP="00471D53">
                    <w:pPr>
                      <w:jc w:val="right"/>
                      <w:rPr>
                        <w:szCs w:val="21"/>
                      </w:rPr>
                    </w:pPr>
                    <w:r>
                      <w:t>140,190.81</w:t>
                    </w:r>
                  </w:p>
                </w:tc>
              </w:tr>
            </w:sdtContent>
          </w:sdt>
          <w:sdt>
            <w:sdtPr>
              <w:rPr>
                <w:szCs w:val="21"/>
              </w:rPr>
              <w:alias w:val="销售费用明细"/>
              <w:tag w:val="_GBC_8b0e6f0534ed42879aaed18b46dbec7d"/>
              <w:id w:val="2095515602"/>
              <w:lock w:val="sdtLocked"/>
            </w:sdtPr>
            <w:sdtEndPr/>
            <w:sdtContent>
              <w:tr w:rsidR="00471D53" w14:paraId="6961547C" w14:textId="77777777" w:rsidTr="00471D53">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470AFFBC" w14:textId="77777777" w:rsidR="00471D53" w:rsidRDefault="004F686E" w:rsidP="00471D53">
                    <w:pPr>
                      <w:rPr>
                        <w:szCs w:val="21"/>
                      </w:rPr>
                    </w:pPr>
                    <w:r>
                      <w:t>办公费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0C01973B" w14:textId="77777777" w:rsidR="00471D53" w:rsidRDefault="004F686E" w:rsidP="00471D53">
                    <w:pPr>
                      <w:jc w:val="right"/>
                      <w:rPr>
                        <w:szCs w:val="21"/>
                      </w:rPr>
                    </w:pPr>
                    <w:r>
                      <w:t>237,825.78</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3413744C" w14:textId="77777777" w:rsidR="00471D53" w:rsidRDefault="004F686E" w:rsidP="00471D53">
                    <w:pPr>
                      <w:jc w:val="right"/>
                      <w:rPr>
                        <w:szCs w:val="21"/>
                      </w:rPr>
                    </w:pPr>
                    <w:r>
                      <w:t>69,645.70</w:t>
                    </w:r>
                  </w:p>
                </w:tc>
              </w:tr>
            </w:sdtContent>
          </w:sdt>
          <w:sdt>
            <w:sdtPr>
              <w:rPr>
                <w:szCs w:val="21"/>
              </w:rPr>
              <w:alias w:val="销售费用明细"/>
              <w:tag w:val="_GBC_8b0e6f0534ed42879aaed18b46dbec7d"/>
              <w:id w:val="1197272635"/>
              <w:lock w:val="sdtLocked"/>
            </w:sdtPr>
            <w:sdtEndPr/>
            <w:sdtContent>
              <w:tr w:rsidR="00471D53" w14:paraId="2D41E17F" w14:textId="77777777" w:rsidTr="00471D53">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746CC7C4" w14:textId="77777777" w:rsidR="00471D53" w:rsidRDefault="004F686E" w:rsidP="00471D53">
                    <w:pPr>
                      <w:rPr>
                        <w:szCs w:val="21"/>
                      </w:rPr>
                    </w:pPr>
                    <w:r>
                      <w:t>差旅费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0C3897C0" w14:textId="77777777" w:rsidR="00471D53" w:rsidRDefault="004F686E" w:rsidP="00471D53">
                    <w:pPr>
                      <w:jc w:val="right"/>
                      <w:rPr>
                        <w:szCs w:val="21"/>
                      </w:rPr>
                    </w:pPr>
                    <w:r>
                      <w:t>912,170.08</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722269CD" w14:textId="77777777" w:rsidR="00471D53" w:rsidRDefault="004F686E" w:rsidP="00471D53">
                    <w:pPr>
                      <w:jc w:val="right"/>
                      <w:rPr>
                        <w:szCs w:val="21"/>
                      </w:rPr>
                    </w:pPr>
                    <w:r>
                      <w:t>660,825.54</w:t>
                    </w:r>
                  </w:p>
                </w:tc>
              </w:tr>
            </w:sdtContent>
          </w:sdt>
          <w:sdt>
            <w:sdtPr>
              <w:rPr>
                <w:szCs w:val="21"/>
              </w:rPr>
              <w:alias w:val="销售费用明细"/>
              <w:tag w:val="_GBC_8b0e6f0534ed42879aaed18b46dbec7d"/>
              <w:id w:val="-1309481407"/>
              <w:lock w:val="sdtLocked"/>
            </w:sdtPr>
            <w:sdtEndPr/>
            <w:sdtContent>
              <w:tr w:rsidR="00471D53" w14:paraId="382E0BD5" w14:textId="77777777" w:rsidTr="00471D53">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03FD861B" w14:textId="77777777" w:rsidR="00471D53" w:rsidRDefault="004F686E" w:rsidP="00471D53">
                    <w:pPr>
                      <w:rPr>
                        <w:szCs w:val="21"/>
                      </w:rPr>
                    </w:pPr>
                    <w:r>
                      <w:t>包装费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300E6C29" w14:textId="77777777" w:rsidR="00471D53" w:rsidRDefault="004F686E" w:rsidP="00471D53">
                    <w:pPr>
                      <w:jc w:val="right"/>
                      <w:rPr>
                        <w:szCs w:val="21"/>
                      </w:rPr>
                    </w:pPr>
                    <w:r>
                      <w:t>514,823.35</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34583D22" w14:textId="77777777" w:rsidR="00471D53" w:rsidRDefault="004F686E" w:rsidP="00471D53">
                    <w:pPr>
                      <w:jc w:val="right"/>
                      <w:rPr>
                        <w:szCs w:val="21"/>
                      </w:rPr>
                    </w:pPr>
                    <w:r>
                      <w:t>567,118.13</w:t>
                    </w:r>
                  </w:p>
                </w:tc>
              </w:tr>
            </w:sdtContent>
          </w:sdt>
          <w:sdt>
            <w:sdtPr>
              <w:rPr>
                <w:szCs w:val="21"/>
              </w:rPr>
              <w:alias w:val="销售费用明细"/>
              <w:tag w:val="_GBC_8b0e6f0534ed42879aaed18b46dbec7d"/>
              <w:id w:val="-1139810085"/>
              <w:lock w:val="sdtLocked"/>
            </w:sdtPr>
            <w:sdtEndPr/>
            <w:sdtContent>
              <w:tr w:rsidR="00471D53" w14:paraId="29890A42" w14:textId="77777777" w:rsidTr="00471D53">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0598D1FE" w14:textId="77777777" w:rsidR="00471D53" w:rsidRDefault="004F686E" w:rsidP="00471D53">
                    <w:pPr>
                      <w:rPr>
                        <w:szCs w:val="21"/>
                      </w:rPr>
                    </w:pPr>
                    <w:r>
                      <w:t>其他</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52BCC222" w14:textId="77777777" w:rsidR="00471D53" w:rsidRDefault="004F686E" w:rsidP="00471D53">
                    <w:pPr>
                      <w:jc w:val="right"/>
                      <w:rPr>
                        <w:szCs w:val="21"/>
                      </w:rPr>
                    </w:pPr>
                    <w:r>
                      <w:t>11,722.27</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2E70696B" w14:textId="77777777" w:rsidR="00471D53" w:rsidRDefault="004F686E" w:rsidP="00471D53">
                    <w:pPr>
                      <w:jc w:val="right"/>
                      <w:rPr>
                        <w:szCs w:val="21"/>
                      </w:rPr>
                    </w:pPr>
                    <w:r>
                      <w:t>1,219,560.47</w:t>
                    </w:r>
                  </w:p>
                </w:tc>
              </w:tr>
            </w:sdtContent>
          </w:sdt>
          <w:tr w:rsidR="00471D53" w14:paraId="2056B32A" w14:textId="77777777" w:rsidTr="00471D53">
            <w:sdt>
              <w:sdtPr>
                <w:tag w:val="_PLD_bb83cc20a1fb4ed7973343e471dad9ef"/>
                <w:id w:val="-1524629624"/>
                <w:lock w:val="sdtLocked"/>
              </w:sdtPr>
              <w:sdtEnd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0705390D" w14:textId="77777777" w:rsidR="00471D53" w:rsidRDefault="004F686E" w:rsidP="00471D53">
                    <w:pPr>
                      <w:jc w:val="center"/>
                      <w:rPr>
                        <w:szCs w:val="21"/>
                      </w:rPr>
                    </w:pPr>
                    <w:r>
                      <w:rPr>
                        <w:rFonts w:hint="eastAsia"/>
                        <w:szCs w:val="21"/>
                      </w:rPr>
                      <w:t>合计</w:t>
                    </w:r>
                  </w:p>
                </w:tc>
              </w:sdtContent>
            </w:sdt>
            <w:tc>
              <w:tcPr>
                <w:tcW w:w="1488" w:type="pct"/>
                <w:tcBorders>
                  <w:top w:val="single" w:sz="4" w:space="0" w:color="auto"/>
                  <w:left w:val="single" w:sz="4" w:space="0" w:color="auto"/>
                  <w:bottom w:val="single" w:sz="4" w:space="0" w:color="auto"/>
                  <w:right w:val="single" w:sz="4" w:space="0" w:color="auto"/>
                </w:tcBorders>
                <w:shd w:val="clear" w:color="auto" w:fill="auto"/>
              </w:tcPr>
              <w:p w14:paraId="72C82E45" w14:textId="77777777" w:rsidR="00471D53" w:rsidRDefault="004F686E" w:rsidP="00471D53">
                <w:pPr>
                  <w:jc w:val="right"/>
                  <w:rPr>
                    <w:szCs w:val="21"/>
                  </w:rPr>
                </w:pPr>
                <w:r>
                  <w:t>15,050,487.21</w:t>
                </w: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04A3F0BA" w14:textId="77777777" w:rsidR="00471D53" w:rsidRDefault="004F686E" w:rsidP="00471D53">
                <w:pPr>
                  <w:jc w:val="right"/>
                  <w:rPr>
                    <w:szCs w:val="21"/>
                  </w:rPr>
                </w:pPr>
                <w:r>
                  <w:t>23,619,779.98</w:t>
                </w:r>
              </w:p>
            </w:tc>
          </w:tr>
        </w:tbl>
        <w:p w14:paraId="39241073" w14:textId="77777777" w:rsidR="00471D53" w:rsidRDefault="00B664AF"/>
        <w:p w14:paraId="3797DC7A" w14:textId="77777777" w:rsidR="00471D53" w:rsidRDefault="004F686E">
          <w:pPr>
            <w:spacing w:before="60" w:after="60"/>
            <w:rPr>
              <w:szCs w:val="21"/>
            </w:rPr>
          </w:pPr>
          <w:r>
            <w:rPr>
              <w:rFonts w:hint="eastAsia"/>
              <w:szCs w:val="21"/>
            </w:rPr>
            <w:t>其他说明：</w:t>
          </w:r>
        </w:p>
        <w:sdt>
          <w:sdtPr>
            <w:rPr>
              <w:szCs w:val="21"/>
            </w:rPr>
            <w:alias w:val="销售费用的其他说明事项"/>
            <w:tag w:val="_GBC_42921bca5478449e9dd3932a8303975a"/>
            <w:id w:val="1859695403"/>
            <w:lock w:val="sdtLocked"/>
          </w:sdtPr>
          <w:sdtEndPr/>
          <w:sdtContent>
            <w:p w14:paraId="57F1FFD9" w14:textId="77777777" w:rsidR="00471D53" w:rsidRDefault="004F686E">
              <w:pPr>
                <w:rPr>
                  <w:szCs w:val="21"/>
                </w:rPr>
              </w:pPr>
              <w:r>
                <w:rPr>
                  <w:rFonts w:hint="eastAsia"/>
                  <w:szCs w:val="21"/>
                </w:rPr>
                <w:t>无</w:t>
              </w:r>
            </w:p>
          </w:sdtContent>
        </w:sdt>
        <w:p w14:paraId="4AD2B3D2" w14:textId="77777777" w:rsidR="00471D53" w:rsidRDefault="00B664AF">
          <w:pPr>
            <w:rPr>
              <w:szCs w:val="21"/>
            </w:rPr>
          </w:pPr>
        </w:p>
      </w:sdtContent>
    </w:sdt>
    <w:p w14:paraId="2761FD28" w14:textId="77777777" w:rsidR="00471D53" w:rsidRDefault="00B664AF">
      <w:pPr>
        <w:rPr>
          <w:szCs w:val="21"/>
        </w:rPr>
      </w:pPr>
    </w:p>
    <w:sdt>
      <w:sdtPr>
        <w:rPr>
          <w:rFonts w:ascii="宋体" w:hAnsi="宋体" w:cs="宋体" w:hint="eastAsia"/>
          <w:b w:val="0"/>
          <w:bCs w:val="0"/>
          <w:kern w:val="0"/>
          <w:szCs w:val="21"/>
        </w:rPr>
        <w:alias w:val="模块:管理费用"/>
        <w:tag w:val="_GBC_d5a6283bdea64513980a0cc618e2ec60"/>
        <w:id w:val="1703278360"/>
        <w:lock w:val="sdtLocked"/>
        <w:placeholder>
          <w:docPart w:val="GBC22222222222222222222222222222"/>
        </w:placeholder>
      </w:sdtPr>
      <w:sdtEndPr/>
      <w:sdtContent>
        <w:p w14:paraId="7539A831"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管理费用</w:t>
          </w:r>
        </w:p>
        <w:sdt>
          <w:sdtPr>
            <w:alias w:val="是否适用：管理费用[双击切换]"/>
            <w:tag w:val="_GBC_864c9dd9adce435698261f1da02ab8fb"/>
            <w:id w:val="1036551643"/>
            <w:lock w:val="sdtLocked"/>
            <w:placeholder>
              <w:docPart w:val="GBC22222222222222222222222222222"/>
            </w:placeholder>
          </w:sdtPr>
          <w:sdtEndPr/>
          <w:sdtContent>
            <w:p w14:paraId="3FF656A3"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E1A8E0D" w14:textId="506F374E" w:rsidR="00471D53" w:rsidRDefault="004F686E">
          <w:pPr>
            <w:jc w:val="right"/>
          </w:pPr>
          <w:r>
            <w:rPr>
              <w:rFonts w:hint="eastAsia"/>
            </w:rPr>
            <w:t>单位：</w:t>
          </w:r>
          <w:sdt>
            <w:sdtPr>
              <w:rPr>
                <w:rFonts w:hint="eastAsia"/>
              </w:rPr>
              <w:alias w:val="单位：管理费用"/>
              <w:tag w:val="_GBC_b8198aec3f7748d28785c1eebbf02df7"/>
              <w:id w:val="-213524628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管理费用"/>
              <w:tag w:val="_GBC_f92af61f8b3b45ba9ec818ede9725428"/>
              <w:id w:val="-16369451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5"/>
            <w:gridCol w:w="2539"/>
            <w:gridCol w:w="2379"/>
          </w:tblGrid>
          <w:tr w:rsidR="00471D53" w14:paraId="05CF506E" w14:textId="77777777" w:rsidTr="00471D53">
            <w:sdt>
              <w:sdtPr>
                <w:tag w:val="_PLD_249fd0c096ba421285089a0fada9d43a"/>
                <w:id w:val="-880929759"/>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391A222C" w14:textId="77777777" w:rsidR="00471D53" w:rsidRDefault="004F686E" w:rsidP="00471D53">
                    <w:pPr>
                      <w:jc w:val="center"/>
                    </w:pPr>
                    <w:r>
                      <w:rPr>
                        <w:rFonts w:hint="eastAsia"/>
                      </w:rPr>
                      <w:t>项目</w:t>
                    </w:r>
                  </w:p>
                </w:tc>
              </w:sdtContent>
            </w:sdt>
            <w:sdt>
              <w:sdtPr>
                <w:tag w:val="_PLD_acf5bcbf929244268be56ad5d0f3ea18"/>
                <w:id w:val="2022038631"/>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3E1F73D9" w14:textId="77777777" w:rsidR="00471D53" w:rsidRDefault="004F686E" w:rsidP="00471D53">
                    <w:pPr>
                      <w:jc w:val="center"/>
                    </w:pPr>
                    <w:r>
                      <w:rPr>
                        <w:rFonts w:hint="eastAsia"/>
                      </w:rPr>
                      <w:t>本期发生额</w:t>
                    </w:r>
                  </w:p>
                </w:tc>
              </w:sdtContent>
            </w:sdt>
            <w:sdt>
              <w:sdtPr>
                <w:tag w:val="_PLD_d37d8a59d4d74c26ac22dc33983efa29"/>
                <w:id w:val="-939991535"/>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079E0472" w14:textId="77777777" w:rsidR="00471D53" w:rsidRDefault="004F686E" w:rsidP="00471D53">
                    <w:pPr>
                      <w:jc w:val="center"/>
                    </w:pPr>
                    <w:r>
                      <w:rPr>
                        <w:rFonts w:hint="eastAsia"/>
                      </w:rPr>
                      <w:t>上期发生额</w:t>
                    </w:r>
                  </w:p>
                </w:tc>
              </w:sdtContent>
            </w:sdt>
          </w:tr>
          <w:sdt>
            <w:sdtPr>
              <w:rPr>
                <w:rFonts w:hint="eastAsia"/>
              </w:rPr>
              <w:alias w:val="管理费用明细"/>
              <w:tag w:val="_GBC_1330575ab4a44e46920401d3d7599402"/>
              <w:id w:val="-1554841342"/>
            </w:sdtPr>
            <w:sdtEndPr/>
            <w:sdtContent>
              <w:tr w:rsidR="00471D53" w14:paraId="3BB5B0FE" w14:textId="77777777" w:rsidTr="00471D5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7D4D5025" w14:textId="77777777" w:rsidR="00471D53" w:rsidRDefault="004F686E" w:rsidP="00471D53">
                    <w:r>
                      <w:t>办公费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1A089784" w14:textId="77777777" w:rsidR="00471D53" w:rsidRDefault="004F686E" w:rsidP="00471D53">
                    <w:pPr>
                      <w:jc w:val="right"/>
                    </w:pPr>
                    <w:r>
                      <w:t>2,533,879.86</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6A965DD" w14:textId="77777777" w:rsidR="00471D53" w:rsidRDefault="004F686E" w:rsidP="00471D53">
                    <w:pPr>
                      <w:jc w:val="right"/>
                    </w:pPr>
                    <w:r>
                      <w:t>1,231,862.33</w:t>
                    </w:r>
                  </w:p>
                </w:tc>
              </w:tr>
            </w:sdtContent>
          </w:sdt>
          <w:sdt>
            <w:sdtPr>
              <w:rPr>
                <w:rFonts w:hint="eastAsia"/>
              </w:rPr>
              <w:alias w:val="管理费用明细"/>
              <w:tag w:val="_GBC_1330575ab4a44e46920401d3d7599402"/>
              <w:id w:val="-74506860"/>
            </w:sdtPr>
            <w:sdtEndPr/>
            <w:sdtContent>
              <w:tr w:rsidR="00471D53" w14:paraId="731D5C96" w14:textId="77777777" w:rsidTr="00471D5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2C876E84" w14:textId="77777777" w:rsidR="00471D53" w:rsidRDefault="004F686E" w:rsidP="00471D53">
                    <w:r>
                      <w:t>差旅费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62A79791" w14:textId="77777777" w:rsidR="00471D53" w:rsidRDefault="004F686E" w:rsidP="00471D53">
                    <w:pPr>
                      <w:jc w:val="right"/>
                    </w:pPr>
                    <w:r>
                      <w:t>356,154.98</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26E78CE" w14:textId="77777777" w:rsidR="00471D53" w:rsidRDefault="004F686E" w:rsidP="00471D53">
                    <w:pPr>
                      <w:jc w:val="right"/>
                    </w:pPr>
                    <w:r>
                      <w:t>211,179.40</w:t>
                    </w:r>
                  </w:p>
                </w:tc>
              </w:tr>
            </w:sdtContent>
          </w:sdt>
          <w:sdt>
            <w:sdtPr>
              <w:rPr>
                <w:rFonts w:hint="eastAsia"/>
              </w:rPr>
              <w:alias w:val="管理费用明细"/>
              <w:tag w:val="_GBC_1330575ab4a44e46920401d3d7599402"/>
              <w:id w:val="-139580115"/>
            </w:sdtPr>
            <w:sdtEndPr/>
            <w:sdtContent>
              <w:tr w:rsidR="00471D53" w14:paraId="79A1A911" w14:textId="77777777" w:rsidTr="00471D5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23C6A717" w14:textId="77777777" w:rsidR="00471D53" w:rsidRDefault="004F686E" w:rsidP="00471D53">
                    <w:r>
                      <w:t>能源费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1704F480" w14:textId="77777777" w:rsidR="00471D53" w:rsidRDefault="004F686E" w:rsidP="00471D53">
                    <w:pPr>
                      <w:jc w:val="right"/>
                    </w:pPr>
                    <w:r>
                      <w:t>150,369.41</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4248F7E" w14:textId="77777777" w:rsidR="00471D53" w:rsidRDefault="004F686E" w:rsidP="00471D53">
                    <w:pPr>
                      <w:jc w:val="right"/>
                    </w:pPr>
                    <w:r>
                      <w:t>19,427.29</w:t>
                    </w:r>
                  </w:p>
                </w:tc>
              </w:tr>
            </w:sdtContent>
          </w:sdt>
          <w:sdt>
            <w:sdtPr>
              <w:rPr>
                <w:rFonts w:hint="eastAsia"/>
              </w:rPr>
              <w:alias w:val="管理费用明细"/>
              <w:tag w:val="_GBC_1330575ab4a44e46920401d3d7599402"/>
              <w:id w:val="1834883865"/>
            </w:sdtPr>
            <w:sdtEndPr/>
            <w:sdtContent>
              <w:tr w:rsidR="00471D53" w14:paraId="2A0E1A26" w14:textId="77777777" w:rsidTr="00471D5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5A181DA9" w14:textId="77777777" w:rsidR="00471D53" w:rsidRDefault="004F686E" w:rsidP="00471D53">
                    <w:r>
                      <w:t>修理费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6A36C691" w14:textId="77777777" w:rsidR="00471D53" w:rsidRDefault="004F686E" w:rsidP="00471D53">
                    <w:pPr>
                      <w:jc w:val="right"/>
                    </w:pPr>
                    <w:r>
                      <w:t>136,592.92</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26C9146" w14:textId="77777777" w:rsidR="00471D53" w:rsidRDefault="004F686E" w:rsidP="00471D53">
                    <w:pPr>
                      <w:jc w:val="right"/>
                    </w:pPr>
                    <w:r>
                      <w:t>346,939.32</w:t>
                    </w:r>
                  </w:p>
                </w:tc>
              </w:tr>
            </w:sdtContent>
          </w:sdt>
          <w:sdt>
            <w:sdtPr>
              <w:rPr>
                <w:rFonts w:hint="eastAsia"/>
              </w:rPr>
              <w:alias w:val="管理费用明细"/>
              <w:tag w:val="_GBC_1330575ab4a44e46920401d3d7599402"/>
              <w:id w:val="-556089814"/>
            </w:sdtPr>
            <w:sdtEndPr/>
            <w:sdtContent>
              <w:tr w:rsidR="00471D53" w14:paraId="457A004A" w14:textId="77777777" w:rsidTr="00471D5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1FB3B43C" w14:textId="77777777" w:rsidR="00471D53" w:rsidRDefault="004F686E" w:rsidP="00471D53">
                    <w:r>
                      <w:t>折旧费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4C1615A6" w14:textId="77777777" w:rsidR="00471D53" w:rsidRDefault="004F686E" w:rsidP="00471D53">
                    <w:pPr>
                      <w:jc w:val="right"/>
                    </w:pPr>
                    <w:r>
                      <w:t>703,399.46</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6494F75" w14:textId="77777777" w:rsidR="00471D53" w:rsidRDefault="004F686E" w:rsidP="00471D53">
                    <w:pPr>
                      <w:jc w:val="right"/>
                    </w:pPr>
                    <w:r>
                      <w:t>443,047.70</w:t>
                    </w:r>
                  </w:p>
                </w:tc>
              </w:tr>
            </w:sdtContent>
          </w:sdt>
          <w:sdt>
            <w:sdtPr>
              <w:rPr>
                <w:rFonts w:hint="eastAsia"/>
              </w:rPr>
              <w:alias w:val="管理费用明细"/>
              <w:tag w:val="_GBC_1330575ab4a44e46920401d3d7599402"/>
              <w:id w:val="-1453089839"/>
            </w:sdtPr>
            <w:sdtEndPr/>
            <w:sdtContent>
              <w:tr w:rsidR="00471D53" w14:paraId="4307B270" w14:textId="77777777" w:rsidTr="00471D5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2B005D58" w14:textId="77777777" w:rsidR="00471D53" w:rsidRDefault="004F686E" w:rsidP="00471D53">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4809BCDB" w14:textId="77777777" w:rsidR="00471D53" w:rsidRDefault="004F686E" w:rsidP="00471D53">
                    <w:pPr>
                      <w:jc w:val="right"/>
                    </w:pPr>
                    <w:r>
                      <w:t>28,992,930.88</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89EE6C4" w14:textId="77777777" w:rsidR="00471D53" w:rsidRDefault="004F686E" w:rsidP="00471D53">
                    <w:pPr>
                      <w:jc w:val="right"/>
                    </w:pPr>
                    <w:r>
                      <w:t>24,606,625.07</w:t>
                    </w:r>
                  </w:p>
                </w:tc>
              </w:tr>
            </w:sdtContent>
          </w:sdt>
          <w:sdt>
            <w:sdtPr>
              <w:rPr>
                <w:rFonts w:hint="eastAsia"/>
              </w:rPr>
              <w:alias w:val="管理费用明细"/>
              <w:tag w:val="_GBC_1330575ab4a44e46920401d3d7599402"/>
              <w:id w:val="57292478"/>
            </w:sdtPr>
            <w:sdtEndPr/>
            <w:sdtContent>
              <w:tr w:rsidR="00471D53" w14:paraId="6D0167BB" w14:textId="77777777" w:rsidTr="00471D5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FEB8F0E" w14:textId="77777777" w:rsidR="00471D53" w:rsidRDefault="004F686E" w:rsidP="00471D53">
                    <w:r>
                      <w:t>车辆费用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4ADBE147" w14:textId="77777777" w:rsidR="00471D53" w:rsidRDefault="004F686E" w:rsidP="00471D53">
                    <w:pPr>
                      <w:jc w:val="right"/>
                    </w:pPr>
                    <w:r>
                      <w:t>759,027.40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05E4EC9" w14:textId="77777777" w:rsidR="00471D53" w:rsidRDefault="004F686E" w:rsidP="00471D53">
                    <w:pPr>
                      <w:jc w:val="right"/>
                    </w:pPr>
                    <w:r>
                      <w:t>844,773.18</w:t>
                    </w:r>
                  </w:p>
                </w:tc>
              </w:tr>
            </w:sdtContent>
          </w:sdt>
          <w:sdt>
            <w:sdtPr>
              <w:rPr>
                <w:rFonts w:hint="eastAsia"/>
              </w:rPr>
              <w:alias w:val="管理费用明细"/>
              <w:tag w:val="_GBC_1330575ab4a44e46920401d3d7599402"/>
              <w:id w:val="1886053439"/>
            </w:sdtPr>
            <w:sdtEndPr/>
            <w:sdtContent>
              <w:tr w:rsidR="00471D53" w14:paraId="1742D4CA" w14:textId="77777777" w:rsidTr="00471D5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0164F2FB" w14:textId="77777777" w:rsidR="00471D53" w:rsidRDefault="004F686E" w:rsidP="00471D53">
                    <w:r>
                      <w:t>业务宣传费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18CA3CE9" w14:textId="77777777" w:rsidR="00471D53" w:rsidRDefault="004F686E" w:rsidP="00471D53">
                    <w:pPr>
                      <w:jc w:val="right"/>
                    </w:pPr>
                    <w:r>
                      <w:t>18,627.80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18F7331" w14:textId="77777777" w:rsidR="00471D53" w:rsidRDefault="004F686E" w:rsidP="00471D53">
                    <w:pPr>
                      <w:jc w:val="right"/>
                    </w:pPr>
                    <w:r>
                      <w:t>4,055.87</w:t>
                    </w:r>
                  </w:p>
                </w:tc>
              </w:tr>
            </w:sdtContent>
          </w:sdt>
          <w:sdt>
            <w:sdtPr>
              <w:rPr>
                <w:rFonts w:hint="eastAsia"/>
              </w:rPr>
              <w:alias w:val="管理费用明细"/>
              <w:tag w:val="_GBC_1330575ab4a44e46920401d3d7599402"/>
              <w:id w:val="-1253195337"/>
            </w:sdtPr>
            <w:sdtEndPr/>
            <w:sdtContent>
              <w:tr w:rsidR="00471D53" w14:paraId="6F3FDEBB" w14:textId="77777777" w:rsidTr="00471D5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51C44DE4" w14:textId="77777777" w:rsidR="00471D53" w:rsidRDefault="004F686E" w:rsidP="00471D53">
                    <w:r>
                      <w:t>业务招待费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72ED0A54" w14:textId="77777777" w:rsidR="00471D53" w:rsidRDefault="004F686E" w:rsidP="00471D53">
                    <w:pPr>
                      <w:jc w:val="right"/>
                    </w:pPr>
                    <w:r>
                      <w:t>283,854.47</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AB224F1" w14:textId="77777777" w:rsidR="00471D53" w:rsidRDefault="004F686E" w:rsidP="00471D53">
                    <w:pPr>
                      <w:jc w:val="right"/>
                    </w:pPr>
                    <w:r>
                      <w:t>99,967.81</w:t>
                    </w:r>
                  </w:p>
                </w:tc>
              </w:tr>
            </w:sdtContent>
          </w:sdt>
          <w:sdt>
            <w:sdtPr>
              <w:rPr>
                <w:rFonts w:hint="eastAsia"/>
              </w:rPr>
              <w:alias w:val="管理费用明细"/>
              <w:tag w:val="_GBC_1330575ab4a44e46920401d3d7599402"/>
              <w:id w:val="-173739541"/>
            </w:sdtPr>
            <w:sdtEndPr/>
            <w:sdtContent>
              <w:tr w:rsidR="00471D53" w14:paraId="630E0292" w14:textId="77777777" w:rsidTr="00471D5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711A9B72" w14:textId="77777777" w:rsidR="00471D53" w:rsidRDefault="004F686E" w:rsidP="00471D53">
                    <w:r>
                      <w:t>无形资产摊销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24CA5196" w14:textId="77777777" w:rsidR="00471D53" w:rsidRDefault="004F686E" w:rsidP="00471D53">
                    <w:pPr>
                      <w:jc w:val="right"/>
                    </w:pPr>
                    <w:r>
                      <w:t>655,498.89</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0A8B400" w14:textId="77777777" w:rsidR="00471D53" w:rsidRDefault="004F686E" w:rsidP="00471D53">
                    <w:pPr>
                      <w:jc w:val="right"/>
                    </w:pPr>
                    <w:r>
                      <w:t>687,218.24</w:t>
                    </w:r>
                  </w:p>
                </w:tc>
              </w:tr>
            </w:sdtContent>
          </w:sdt>
          <w:sdt>
            <w:sdtPr>
              <w:rPr>
                <w:rFonts w:hint="eastAsia"/>
              </w:rPr>
              <w:alias w:val="管理费用明细"/>
              <w:tag w:val="_GBC_1330575ab4a44e46920401d3d7599402"/>
              <w:id w:val="976333050"/>
            </w:sdtPr>
            <w:sdtEndPr/>
            <w:sdtContent>
              <w:tr w:rsidR="00471D53" w14:paraId="082BBF87" w14:textId="77777777" w:rsidTr="00471D5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42E564A0" w14:textId="77777777" w:rsidR="00471D53" w:rsidRDefault="004F686E" w:rsidP="00471D53">
                    <w:r>
                      <w:t>聘请中介机构费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7552209E" w14:textId="77777777" w:rsidR="00471D53" w:rsidRDefault="00B664AF" w:rsidP="00471D53">
                    <w:pPr>
                      <w:jc w:val="right"/>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ABA4D13" w14:textId="77777777" w:rsidR="00471D53" w:rsidRDefault="00B664AF" w:rsidP="00471D53">
                    <w:pPr>
                      <w:jc w:val="right"/>
                    </w:pPr>
                  </w:p>
                </w:tc>
              </w:tr>
            </w:sdtContent>
          </w:sdt>
          <w:sdt>
            <w:sdtPr>
              <w:rPr>
                <w:rFonts w:hint="eastAsia"/>
              </w:rPr>
              <w:alias w:val="管理费用明细"/>
              <w:tag w:val="_GBC_1330575ab4a44e46920401d3d7599402"/>
              <w:id w:val="-691759841"/>
            </w:sdtPr>
            <w:sdtEndPr/>
            <w:sdtContent>
              <w:tr w:rsidR="00471D53" w14:paraId="02C03674" w14:textId="77777777" w:rsidTr="00471D5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7980BBD7" w14:textId="55A9998E" w:rsidR="00471D53" w:rsidRDefault="004F686E" w:rsidP="00471D53">
                    <w:r>
                      <w:t>-审计服务费用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5AB3103B" w14:textId="77777777" w:rsidR="00471D53" w:rsidRDefault="004F686E" w:rsidP="00471D53">
                    <w:pPr>
                      <w:jc w:val="right"/>
                    </w:pPr>
                    <w:r>
                      <w:t>74,410.25</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2827B48" w14:textId="77777777" w:rsidR="00471D53" w:rsidRDefault="004F686E" w:rsidP="00471D53">
                    <w:pPr>
                      <w:jc w:val="right"/>
                    </w:pPr>
                    <w:r>
                      <w:t>216,775.54</w:t>
                    </w:r>
                  </w:p>
                </w:tc>
              </w:tr>
            </w:sdtContent>
          </w:sdt>
          <w:sdt>
            <w:sdtPr>
              <w:rPr>
                <w:rFonts w:hint="eastAsia"/>
              </w:rPr>
              <w:alias w:val="管理费用明细"/>
              <w:tag w:val="_GBC_1330575ab4a44e46920401d3d7599402"/>
              <w:id w:val="576866347"/>
            </w:sdtPr>
            <w:sdtEndPr/>
            <w:sdtContent>
              <w:tr w:rsidR="00471D53" w14:paraId="4D27868C" w14:textId="77777777" w:rsidTr="00471D5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185FCC55" w14:textId="6674BDD7" w:rsidR="00471D53" w:rsidRDefault="004F686E" w:rsidP="00471D53">
                    <w:r>
                      <w:t>-税务服务费用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2E2E9A98" w14:textId="77777777" w:rsidR="00471D53" w:rsidRDefault="004F686E" w:rsidP="00471D53">
                    <w:pPr>
                      <w:jc w:val="right"/>
                    </w:pPr>
                    <w:r>
                      <w:t>0.00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CED7828" w14:textId="77777777" w:rsidR="00471D53" w:rsidRDefault="004F686E" w:rsidP="00471D53">
                    <w:pPr>
                      <w:jc w:val="right"/>
                    </w:pPr>
                    <w:r>
                      <w:t>0.00</w:t>
                    </w:r>
                  </w:p>
                </w:tc>
              </w:tr>
            </w:sdtContent>
          </w:sdt>
          <w:sdt>
            <w:sdtPr>
              <w:rPr>
                <w:rFonts w:hint="eastAsia"/>
              </w:rPr>
              <w:alias w:val="管理费用明细"/>
              <w:tag w:val="_GBC_1330575ab4a44e46920401d3d7599402"/>
              <w:id w:val="-338621283"/>
            </w:sdtPr>
            <w:sdtEndPr/>
            <w:sdtContent>
              <w:tr w:rsidR="00471D53" w14:paraId="5A22CA40" w14:textId="77777777" w:rsidTr="00471D5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0A46617B" w14:textId="27A3D878" w:rsidR="00471D53" w:rsidRDefault="004F686E" w:rsidP="00471D53">
                    <w:r>
                      <w:t>-其他服务费用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491658DD" w14:textId="77777777" w:rsidR="00471D53" w:rsidRDefault="004F686E" w:rsidP="00471D53">
                    <w:pPr>
                      <w:jc w:val="right"/>
                    </w:pPr>
                    <w:r>
                      <w:t>1,305,883.03</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95C046D" w14:textId="77777777" w:rsidR="00471D53" w:rsidRDefault="004F686E" w:rsidP="00471D53">
                    <w:pPr>
                      <w:jc w:val="right"/>
                    </w:pPr>
                    <w:r>
                      <w:t>805,771.97</w:t>
                    </w:r>
                  </w:p>
                </w:tc>
              </w:tr>
            </w:sdtContent>
          </w:sdt>
          <w:sdt>
            <w:sdtPr>
              <w:rPr>
                <w:rFonts w:hint="eastAsia"/>
              </w:rPr>
              <w:alias w:val="管理费用明细"/>
              <w:tag w:val="_GBC_1330575ab4a44e46920401d3d7599402"/>
              <w:id w:val="857075078"/>
            </w:sdtPr>
            <w:sdtEndPr/>
            <w:sdtContent>
              <w:tr w:rsidR="00471D53" w14:paraId="09D97AFE" w14:textId="77777777" w:rsidTr="00471D5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88A9FB6" w14:textId="53B434A1" w:rsidR="00471D53" w:rsidRDefault="004F686E" w:rsidP="00471D53">
                    <w:r>
                      <w:t>-律师服务费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391DE68E" w14:textId="77777777" w:rsidR="00471D53" w:rsidRDefault="004F686E" w:rsidP="00471D53">
                    <w:pPr>
                      <w:jc w:val="right"/>
                    </w:pPr>
                    <w:r>
                      <w:t>1,277,393.37</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B229C78" w14:textId="77777777" w:rsidR="00471D53" w:rsidRDefault="004F686E" w:rsidP="00471D53">
                    <w:pPr>
                      <w:jc w:val="right"/>
                    </w:pPr>
                    <w:r>
                      <w:t>758,795.56</w:t>
                    </w:r>
                  </w:p>
                </w:tc>
              </w:tr>
            </w:sdtContent>
          </w:sdt>
          <w:sdt>
            <w:sdtPr>
              <w:rPr>
                <w:rFonts w:hint="eastAsia"/>
              </w:rPr>
              <w:alias w:val="管理费用明细"/>
              <w:tag w:val="_GBC_1330575ab4a44e46920401d3d7599402"/>
              <w:id w:val="-1540277519"/>
            </w:sdtPr>
            <w:sdtEndPr/>
            <w:sdtContent>
              <w:tr w:rsidR="00471D53" w14:paraId="38399F01" w14:textId="77777777" w:rsidTr="00471D5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B658968" w14:textId="77777777" w:rsidR="00471D53" w:rsidRDefault="004F686E" w:rsidP="00471D53">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41552975" w14:textId="77777777" w:rsidR="00471D53" w:rsidRDefault="004F686E" w:rsidP="00471D53">
                    <w:pPr>
                      <w:jc w:val="right"/>
                    </w:pPr>
                    <w:r>
                      <w:t>2,668,439.52</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B243CB3" w14:textId="77777777" w:rsidR="00471D53" w:rsidRDefault="004F686E" w:rsidP="00471D53">
                    <w:pPr>
                      <w:jc w:val="right"/>
                    </w:pPr>
                    <w:r>
                      <w:t>2,028,187.69</w:t>
                    </w:r>
                  </w:p>
                </w:tc>
              </w:tr>
            </w:sdtContent>
          </w:sdt>
          <w:tr w:rsidR="00471D53" w14:paraId="200DFF23" w14:textId="77777777" w:rsidTr="00471D53">
            <w:sdt>
              <w:sdtPr>
                <w:tag w:val="_PLD_a1574943c0c74f868555494c72b6afa6"/>
                <w:id w:val="2132124475"/>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6B6F7F24" w14:textId="77777777" w:rsidR="00471D53" w:rsidRDefault="004F686E" w:rsidP="00471D53">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473C448B" w14:textId="77777777" w:rsidR="00471D53" w:rsidRDefault="004F686E" w:rsidP="00471D53">
                <w:pPr>
                  <w:jc w:val="right"/>
                  <w:rPr>
                    <w:sz w:val="24"/>
                  </w:rPr>
                </w:pPr>
                <w:r>
                  <w:t>39,916,462.24</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6E1E6B79" w14:textId="77777777" w:rsidR="00471D53" w:rsidRDefault="004F686E" w:rsidP="00471D53">
                <w:pPr>
                  <w:jc w:val="right"/>
                  <w:rPr>
                    <w:sz w:val="24"/>
                  </w:rPr>
                </w:pPr>
                <w:r>
                  <w:t>32,304,626.97</w:t>
                </w:r>
              </w:p>
            </w:tc>
          </w:tr>
        </w:tbl>
        <w:p w14:paraId="5401B70F" w14:textId="77777777" w:rsidR="00471D53" w:rsidRDefault="00B664AF"/>
        <w:p w14:paraId="60D89004" w14:textId="77777777" w:rsidR="00471D53" w:rsidRDefault="004F686E">
          <w:pPr>
            <w:rPr>
              <w:szCs w:val="21"/>
            </w:rPr>
          </w:pPr>
          <w:r>
            <w:rPr>
              <w:rFonts w:hint="eastAsia"/>
              <w:szCs w:val="21"/>
            </w:rPr>
            <w:t>其他说明：</w:t>
          </w:r>
        </w:p>
        <w:sdt>
          <w:sdtPr>
            <w:rPr>
              <w:szCs w:val="21"/>
            </w:rPr>
            <w:alias w:val="管理费用的其他说明事项"/>
            <w:tag w:val="_GBC_2ddba7c397f842b2a457e4f7fe020aca"/>
            <w:id w:val="1860313598"/>
            <w:lock w:val="sdtLocked"/>
            <w:placeholder>
              <w:docPart w:val="GBC22222222222222222222222222222"/>
            </w:placeholder>
          </w:sdtPr>
          <w:sdtEndPr/>
          <w:sdtContent>
            <w:p w14:paraId="6F19D3EC" w14:textId="77777777" w:rsidR="00471D53" w:rsidRDefault="004F686E">
              <w:pPr>
                <w:rPr>
                  <w:szCs w:val="21"/>
                </w:rPr>
              </w:pPr>
              <w:r>
                <w:rPr>
                  <w:rFonts w:hint="eastAsia"/>
                  <w:szCs w:val="21"/>
                </w:rPr>
                <w:t>无</w:t>
              </w:r>
            </w:p>
          </w:sdtContent>
        </w:sdt>
      </w:sdtContent>
    </w:sdt>
    <w:p w14:paraId="3448DABE" w14:textId="77777777" w:rsidR="00471D53" w:rsidRDefault="00B664AF">
      <w:pPr>
        <w:rPr>
          <w:szCs w:val="21"/>
        </w:rPr>
      </w:pPr>
    </w:p>
    <w:bookmarkStart w:id="220" w:name="_Hlk10538261" w:displacedByCustomXml="next"/>
    <w:sdt>
      <w:sdtPr>
        <w:rPr>
          <w:rFonts w:ascii="宋体" w:hAnsi="宋体" w:cs="宋体" w:hint="eastAsia"/>
          <w:b w:val="0"/>
          <w:bCs w:val="0"/>
          <w:kern w:val="0"/>
          <w:szCs w:val="21"/>
        </w:rPr>
        <w:alias w:val="模块:研发费用"/>
        <w:tag w:val="_SEC_5070ecc0a0324b189a4ec7d6e218c5d7"/>
        <w:id w:val="-937288852"/>
        <w:lock w:val="sdtLocked"/>
        <w:placeholder>
          <w:docPart w:val="GBC22222222222222222222222222222"/>
        </w:placeholder>
      </w:sdtPr>
      <w:sdtEndPr>
        <w:rPr>
          <w:rFonts w:hint="default"/>
        </w:rPr>
      </w:sdtEndPr>
      <w:sdtContent>
        <w:p w14:paraId="69FC8CBA"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研发费用</w:t>
          </w:r>
        </w:p>
        <w:sdt>
          <w:sdtPr>
            <w:rPr>
              <w:szCs w:val="21"/>
            </w:rPr>
            <w:alias w:val="是否适用：研发费用[双击切换]"/>
            <w:tag w:val="_GBC_48b4a6beb6f54c3ba7c01af3727337bb"/>
            <w:id w:val="-994567555"/>
            <w:lock w:val="sdtLocked"/>
            <w:placeholder>
              <w:docPart w:val="GBC22222222222222222222222222222"/>
            </w:placeholder>
          </w:sdtPr>
          <w:sdtEndPr/>
          <w:sdtContent>
            <w:p w14:paraId="18AFB661" w14:textId="77777777" w:rsidR="00471D53" w:rsidRDefault="004F686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3B0A07DE" w14:textId="2DAEDE25" w:rsidR="00471D53" w:rsidRDefault="004F686E">
          <w:pPr>
            <w:pStyle w:val="affffff7"/>
            <w:ind w:left="420"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研发费用"/>
              <w:tag w:val="_GBC_a0292321d82f46b8823ab163b1084fea"/>
              <w:id w:val="20494812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币种：</w:t>
          </w:r>
          <w:sdt>
            <w:sdtPr>
              <w:rPr>
                <w:rFonts w:ascii="宋体" w:hAnsi="宋体" w:hint="eastAsia"/>
                <w:szCs w:val="21"/>
              </w:rPr>
              <w:alias w:val="币种：研发费用"/>
              <w:tag w:val="_GBC_a0b2b92cacc24641a2d69fc025b920ea"/>
              <w:id w:val="175632189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5"/>
            <w:gridCol w:w="2539"/>
            <w:gridCol w:w="2379"/>
          </w:tblGrid>
          <w:tr w:rsidR="00471D53" w14:paraId="2335F3F1" w14:textId="77777777" w:rsidTr="00471D53">
            <w:sdt>
              <w:sdtPr>
                <w:tag w:val="_PLD_878c2bf88dff43e8bf48fe187921cf85"/>
                <w:id w:val="1646469716"/>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22B44A82" w14:textId="77777777" w:rsidR="00471D53" w:rsidRDefault="004F686E" w:rsidP="00471D53">
                    <w:pPr>
                      <w:jc w:val="center"/>
                      <w:rPr>
                        <w:szCs w:val="21"/>
                      </w:rPr>
                    </w:pPr>
                    <w:r>
                      <w:rPr>
                        <w:rFonts w:hint="eastAsia"/>
                        <w:szCs w:val="21"/>
                      </w:rPr>
                      <w:t>项目</w:t>
                    </w:r>
                  </w:p>
                </w:tc>
              </w:sdtContent>
            </w:sdt>
            <w:sdt>
              <w:sdtPr>
                <w:tag w:val="_PLD_043e1c3ae76a497c9be9c1eef3db33c6"/>
                <w:id w:val="762885061"/>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756F6A32" w14:textId="77777777" w:rsidR="00471D53" w:rsidRDefault="004F686E" w:rsidP="00471D53">
                    <w:pPr>
                      <w:jc w:val="center"/>
                      <w:rPr>
                        <w:szCs w:val="21"/>
                      </w:rPr>
                    </w:pPr>
                    <w:r>
                      <w:rPr>
                        <w:rFonts w:hint="eastAsia"/>
                        <w:szCs w:val="21"/>
                      </w:rPr>
                      <w:t>本期发生额</w:t>
                    </w:r>
                  </w:p>
                </w:tc>
              </w:sdtContent>
            </w:sdt>
            <w:sdt>
              <w:sdtPr>
                <w:tag w:val="_PLD_d0588c88282b4dae9e42d7ffd38d27c6"/>
                <w:id w:val="-557940696"/>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4369E312" w14:textId="77777777" w:rsidR="00471D53" w:rsidRDefault="004F686E" w:rsidP="00471D53">
                    <w:pPr>
                      <w:jc w:val="center"/>
                      <w:rPr>
                        <w:szCs w:val="21"/>
                      </w:rPr>
                    </w:pPr>
                    <w:r>
                      <w:rPr>
                        <w:rFonts w:hint="eastAsia"/>
                        <w:szCs w:val="21"/>
                      </w:rPr>
                      <w:t>上期发生额</w:t>
                    </w:r>
                  </w:p>
                </w:tc>
              </w:sdtContent>
            </w:sdt>
          </w:tr>
          <w:sdt>
            <w:sdtPr>
              <w:rPr>
                <w:szCs w:val="21"/>
              </w:rPr>
              <w:alias w:val="研发费用明细"/>
              <w:tag w:val="_TUP_78c47ce77ce942a2a4c5b824fc4daeaa"/>
              <w:id w:val="-742332818"/>
            </w:sdtPr>
            <w:sdtEndPr/>
            <w:sdtContent>
              <w:tr w:rsidR="00471D53" w14:paraId="3057AE44" w14:textId="77777777" w:rsidTr="00471D5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7DC3685" w14:textId="77777777" w:rsidR="00471D53" w:rsidRDefault="004F686E" w:rsidP="00471D53">
                    <w:pPr>
                      <w:rPr>
                        <w:szCs w:val="21"/>
                      </w:rPr>
                    </w:pPr>
                    <w:r>
                      <w:t>研发费用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06248195" w14:textId="77777777" w:rsidR="00471D53" w:rsidRDefault="004F686E" w:rsidP="00471D53">
                    <w:pPr>
                      <w:jc w:val="right"/>
                      <w:rPr>
                        <w:szCs w:val="21"/>
                      </w:rPr>
                    </w:pPr>
                    <w:r>
                      <w:t>10,015,871.43</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18BEEDF" w14:textId="77777777" w:rsidR="00471D53" w:rsidRDefault="004F686E" w:rsidP="00471D53">
                    <w:pPr>
                      <w:jc w:val="right"/>
                      <w:rPr>
                        <w:szCs w:val="21"/>
                      </w:rPr>
                    </w:pPr>
                    <w:r>
                      <w:t>9,163,732.02</w:t>
                    </w:r>
                  </w:p>
                </w:tc>
              </w:tr>
            </w:sdtContent>
          </w:sdt>
          <w:tr w:rsidR="00471D53" w14:paraId="39B2697E" w14:textId="77777777" w:rsidTr="00471D53">
            <w:sdt>
              <w:sdtPr>
                <w:tag w:val="_PLD_5a23b545f4d04be78e814a8fcf71e521"/>
                <w:id w:val="1980026205"/>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1778FCB" w14:textId="77777777" w:rsidR="00471D53" w:rsidRDefault="004F686E" w:rsidP="00471D53">
                    <w:pPr>
                      <w:jc w:val="center"/>
                      <w:rPr>
                        <w:szCs w:val="21"/>
                      </w:rPr>
                    </w:pPr>
                    <w:r>
                      <w:rPr>
                        <w:rFonts w:hint="eastAsia"/>
                        <w:szCs w:val="21"/>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14:paraId="31D94D96" w14:textId="77777777" w:rsidR="00471D53" w:rsidRDefault="004F686E" w:rsidP="00471D53">
                <w:pPr>
                  <w:jc w:val="right"/>
                  <w:rPr>
                    <w:szCs w:val="21"/>
                  </w:rPr>
                </w:pPr>
                <w:r>
                  <w:t>10,015,871.43</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8824C34" w14:textId="77777777" w:rsidR="00471D53" w:rsidRDefault="004F686E" w:rsidP="00471D53">
                <w:pPr>
                  <w:jc w:val="right"/>
                  <w:rPr>
                    <w:szCs w:val="21"/>
                  </w:rPr>
                </w:pPr>
                <w:r>
                  <w:t>9,163,732.02</w:t>
                </w:r>
              </w:p>
            </w:tc>
          </w:tr>
        </w:tbl>
        <w:p w14:paraId="0C85D155" w14:textId="77777777" w:rsidR="00471D53" w:rsidRDefault="00B664AF"/>
        <w:p w14:paraId="04BC5318" w14:textId="77777777" w:rsidR="00471D53" w:rsidRDefault="004F686E">
          <w:pPr>
            <w:rPr>
              <w:szCs w:val="21"/>
            </w:rPr>
          </w:pPr>
          <w:r>
            <w:rPr>
              <w:rFonts w:hint="eastAsia"/>
              <w:szCs w:val="21"/>
            </w:rPr>
            <w:t>其他说明：</w:t>
          </w:r>
        </w:p>
        <w:sdt>
          <w:sdtPr>
            <w:alias w:val="研发费用其他说明"/>
            <w:tag w:val="_GBC_f09ad1e9748e43059f8db34f9454426c"/>
            <w:id w:val="-761911924"/>
            <w:lock w:val="sdtLocked"/>
            <w:placeholder>
              <w:docPart w:val="GBC22222222222222222222222222222"/>
            </w:placeholder>
          </w:sdtPr>
          <w:sdtEndPr/>
          <w:sdtContent>
            <w:p w14:paraId="47CC6F73" w14:textId="77777777" w:rsidR="00471D53" w:rsidRDefault="004F686E">
              <w:r>
                <w:rPr>
                  <w:rFonts w:hint="eastAsia"/>
                </w:rPr>
                <w:t>无</w:t>
              </w:r>
            </w:p>
          </w:sdtContent>
        </w:sdt>
        <w:p w14:paraId="1C78E171" w14:textId="77777777" w:rsidR="00471D53" w:rsidRDefault="00B664AF">
          <w:pPr>
            <w:rPr>
              <w:szCs w:val="21"/>
            </w:rPr>
          </w:pPr>
        </w:p>
      </w:sdtContent>
    </w:sdt>
    <w:bookmarkEnd w:id="220" w:displacedByCustomXml="prev"/>
    <w:sdt>
      <w:sdtPr>
        <w:rPr>
          <w:rFonts w:ascii="宋体" w:hAnsi="宋体" w:cs="宋体" w:hint="eastAsia"/>
          <w:b w:val="0"/>
          <w:bCs w:val="0"/>
          <w:kern w:val="0"/>
          <w:szCs w:val="21"/>
        </w:rPr>
        <w:alias w:val="模块:财务费用"/>
        <w:tag w:val="_GBC_aeeadad5456b4097a79668e5a1cadb17"/>
        <w:id w:val="-1387486859"/>
        <w:lock w:val="sdtLocked"/>
        <w:placeholder>
          <w:docPart w:val="GBC22222222222222222222222222222"/>
        </w:placeholder>
      </w:sdtPr>
      <w:sdtEndPr/>
      <w:sdtContent>
        <w:p w14:paraId="734F6067"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财务费用</w:t>
          </w:r>
        </w:p>
        <w:sdt>
          <w:sdtPr>
            <w:alias w:val="是否适用：财务费用[双击切换]"/>
            <w:tag w:val="_GBC_699d8bdb2f1f4504a0ea4ccbc8889cfa"/>
            <w:id w:val="1448356927"/>
            <w:lock w:val="sdtLocked"/>
          </w:sdtPr>
          <w:sdtEndPr/>
          <w:sdtContent>
            <w:p w14:paraId="4732485A"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90C71F8" w14:textId="2836EC51" w:rsidR="00471D53" w:rsidRDefault="004F686E">
          <w:pPr>
            <w:jc w:val="right"/>
          </w:pPr>
          <w:r>
            <w:rPr>
              <w:rFonts w:hint="eastAsia"/>
            </w:rPr>
            <w:t>单位：</w:t>
          </w:r>
          <w:sdt>
            <w:sdtPr>
              <w:rPr>
                <w:rFonts w:hint="eastAsia"/>
              </w:rPr>
              <w:alias w:val="单位：财务费用"/>
              <w:tag w:val="_GBC_eb9e02dce68144759561a3427fb3099a"/>
              <w:id w:val="-1334294264"/>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费用"/>
              <w:tag w:val="_GBC_8e992a76854b4bd0a3f5cd49b31a4604"/>
              <w:id w:val="210538492"/>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5"/>
            <w:gridCol w:w="2539"/>
            <w:gridCol w:w="2379"/>
          </w:tblGrid>
          <w:tr w:rsidR="00471D53" w14:paraId="34487F17" w14:textId="77777777" w:rsidTr="00471D53">
            <w:sdt>
              <w:sdtPr>
                <w:tag w:val="_PLD_c57c227174f044c4bfa2c0fda1e37156"/>
                <w:id w:val="646013114"/>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02DCCCB2" w14:textId="77777777" w:rsidR="00471D53" w:rsidRDefault="004F686E" w:rsidP="00471D53">
                    <w:pPr>
                      <w:jc w:val="center"/>
                    </w:pPr>
                    <w:r>
                      <w:rPr>
                        <w:rFonts w:hint="eastAsia"/>
                      </w:rPr>
                      <w:t>项目</w:t>
                    </w:r>
                  </w:p>
                </w:tc>
              </w:sdtContent>
            </w:sdt>
            <w:sdt>
              <w:sdtPr>
                <w:tag w:val="_PLD_d7b23aa0bcb6433894875c858270ab7f"/>
                <w:id w:val="412350833"/>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6669B73D" w14:textId="77777777" w:rsidR="00471D53" w:rsidRDefault="004F686E" w:rsidP="00471D53">
                    <w:pPr>
                      <w:jc w:val="center"/>
                    </w:pPr>
                    <w:r>
                      <w:rPr>
                        <w:rFonts w:hint="eastAsia"/>
                      </w:rPr>
                      <w:t>本期发生额</w:t>
                    </w:r>
                  </w:p>
                </w:tc>
              </w:sdtContent>
            </w:sdt>
            <w:sdt>
              <w:sdtPr>
                <w:tag w:val="_PLD_d79245f93e3d475b953b3e44bb1c6425"/>
                <w:id w:val="-723904908"/>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53815710" w14:textId="77777777" w:rsidR="00471D53" w:rsidRDefault="004F686E" w:rsidP="00471D53">
                    <w:pPr>
                      <w:jc w:val="center"/>
                    </w:pPr>
                    <w:r>
                      <w:rPr>
                        <w:rFonts w:hint="eastAsia"/>
                      </w:rPr>
                      <w:t>上期发生额</w:t>
                    </w:r>
                  </w:p>
                </w:tc>
              </w:sdtContent>
            </w:sdt>
          </w:tr>
          <w:sdt>
            <w:sdtPr>
              <w:rPr>
                <w:rFonts w:hint="eastAsia"/>
              </w:rPr>
              <w:alias w:val="财务费用明细"/>
              <w:tag w:val="_GBC_6315cf92135646dfa5694359777c36b0"/>
              <w:id w:val="-1624686465"/>
              <w:lock w:val="sdtLocked"/>
            </w:sdtPr>
            <w:sdtEndPr/>
            <w:sdtContent>
              <w:tr w:rsidR="00471D53" w14:paraId="19D60AEF" w14:textId="77777777" w:rsidTr="00471D5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5C4052DF" w14:textId="77777777" w:rsidR="00471D53" w:rsidRDefault="004F686E" w:rsidP="00471D53">
                    <w:r>
                      <w:t>利息支出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2AB813B9" w14:textId="77777777" w:rsidR="00471D53" w:rsidRDefault="004F686E" w:rsidP="00471D53">
                    <w:pPr>
                      <w:jc w:val="right"/>
                    </w:pPr>
                    <w:r>
                      <w:t>4,698,538.37</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2D96A75" w14:textId="77777777" w:rsidR="00471D53" w:rsidRDefault="004F686E" w:rsidP="00471D53">
                    <w:pPr>
                      <w:jc w:val="right"/>
                    </w:pPr>
                    <w:r>
                      <w:t>9,519,858.78</w:t>
                    </w:r>
                  </w:p>
                </w:tc>
              </w:tr>
            </w:sdtContent>
          </w:sdt>
          <w:sdt>
            <w:sdtPr>
              <w:rPr>
                <w:rFonts w:hint="eastAsia"/>
              </w:rPr>
              <w:alias w:val="财务费用明细"/>
              <w:tag w:val="_GBC_6315cf92135646dfa5694359777c36b0"/>
              <w:id w:val="-1870529026"/>
              <w:lock w:val="sdtLocked"/>
            </w:sdtPr>
            <w:sdtEndPr/>
            <w:sdtContent>
              <w:tr w:rsidR="00471D53" w14:paraId="56C75416" w14:textId="77777777" w:rsidTr="00471D5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45599D86" w14:textId="77777777" w:rsidR="00471D53" w:rsidRDefault="004F686E" w:rsidP="00471D53">
                    <w:r>
                      <w:t>减：利息收入</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19FD060F" w14:textId="77777777" w:rsidR="00471D53" w:rsidRDefault="004F686E" w:rsidP="00471D53">
                    <w:pPr>
                      <w:jc w:val="right"/>
                    </w:pPr>
                    <w:r>
                      <w:rPr>
                        <w:rFonts w:hint="eastAsia"/>
                      </w:rPr>
                      <w:t>-</w:t>
                    </w:r>
                    <w:r>
                      <w:t>880,727.71</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ADE21E7" w14:textId="77777777" w:rsidR="00471D53" w:rsidRDefault="004F686E" w:rsidP="00471D53">
                    <w:pPr>
                      <w:jc w:val="right"/>
                    </w:pPr>
                    <w:r>
                      <w:rPr>
                        <w:rFonts w:hint="eastAsia"/>
                      </w:rPr>
                      <w:t>-</w:t>
                    </w:r>
                    <w:r>
                      <w:t>675,591.55</w:t>
                    </w:r>
                  </w:p>
                </w:tc>
              </w:tr>
            </w:sdtContent>
          </w:sdt>
          <w:sdt>
            <w:sdtPr>
              <w:rPr>
                <w:rFonts w:hint="eastAsia"/>
              </w:rPr>
              <w:alias w:val="财务费用明细"/>
              <w:tag w:val="_GBC_6315cf92135646dfa5694359777c36b0"/>
              <w:id w:val="1853843813"/>
              <w:lock w:val="sdtLocked"/>
            </w:sdtPr>
            <w:sdtEndPr/>
            <w:sdtContent>
              <w:tr w:rsidR="00471D53" w14:paraId="559DCBD9" w14:textId="77777777" w:rsidTr="00471D5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11377AFC" w14:textId="77777777" w:rsidR="00471D53" w:rsidRDefault="004F686E" w:rsidP="00471D53">
                    <w:r>
                      <w:t>加：汇兑损失</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1875E234" w14:textId="77777777" w:rsidR="00471D53" w:rsidRDefault="004F686E" w:rsidP="00471D53">
                    <w:pPr>
                      <w:jc w:val="right"/>
                    </w:pPr>
                    <w:r>
                      <w:t>2,202,510.06</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D739165" w14:textId="77777777" w:rsidR="00471D53" w:rsidRDefault="004F686E" w:rsidP="00471D53">
                    <w:pPr>
                      <w:jc w:val="right"/>
                    </w:pPr>
                    <w:r>
                      <w:t>257,722.14</w:t>
                    </w:r>
                  </w:p>
                </w:tc>
              </w:tr>
            </w:sdtContent>
          </w:sdt>
          <w:sdt>
            <w:sdtPr>
              <w:rPr>
                <w:rFonts w:hint="eastAsia"/>
              </w:rPr>
              <w:alias w:val="财务费用明细"/>
              <w:tag w:val="_GBC_6315cf92135646dfa5694359777c36b0"/>
              <w:id w:val="-1716586918"/>
              <w:lock w:val="sdtLocked"/>
            </w:sdtPr>
            <w:sdtEndPr/>
            <w:sdtContent>
              <w:tr w:rsidR="00471D53" w14:paraId="1125202E" w14:textId="77777777" w:rsidTr="00471D5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1E99B204" w14:textId="77777777" w:rsidR="00471D53" w:rsidRDefault="004F686E" w:rsidP="00471D53">
                    <w:r>
                      <w:t>加：其他支出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094F0DEF" w14:textId="77777777" w:rsidR="00471D53" w:rsidRDefault="004F686E" w:rsidP="00471D53">
                    <w:pPr>
                      <w:jc w:val="right"/>
                    </w:pPr>
                    <w:r>
                      <w:t>169,616.45</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8D6526E" w14:textId="77777777" w:rsidR="00471D53" w:rsidRDefault="004F686E" w:rsidP="00471D53">
                    <w:pPr>
                      <w:jc w:val="right"/>
                    </w:pPr>
                    <w:r>
                      <w:t>622,025.85</w:t>
                    </w:r>
                  </w:p>
                </w:tc>
              </w:tr>
            </w:sdtContent>
          </w:sdt>
          <w:tr w:rsidR="00471D53" w14:paraId="5B0D354E" w14:textId="77777777" w:rsidTr="00471D53">
            <w:sdt>
              <w:sdtPr>
                <w:tag w:val="_PLD_27965316bcaf4972b01a6dd60323d7f4"/>
                <w:id w:val="1255929507"/>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0F33939F" w14:textId="77777777" w:rsidR="00471D53" w:rsidRDefault="004F686E" w:rsidP="00471D53">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14:paraId="361AF004" w14:textId="77777777" w:rsidR="00471D53" w:rsidRDefault="004F686E" w:rsidP="00471D53">
                <w:pPr>
                  <w:jc w:val="right"/>
                </w:pPr>
                <w:r>
                  <w:t>6,189,937.17</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2769A60" w14:textId="77777777" w:rsidR="00471D53" w:rsidRDefault="004F686E" w:rsidP="00471D53">
                <w:pPr>
                  <w:jc w:val="right"/>
                </w:pPr>
                <w:r>
                  <w:t>9,724,015.22</w:t>
                </w:r>
              </w:p>
            </w:tc>
          </w:tr>
        </w:tbl>
        <w:p w14:paraId="24C2E8C6" w14:textId="77777777" w:rsidR="00471D53" w:rsidRDefault="00B664AF"/>
        <w:p w14:paraId="6468BBEF" w14:textId="77777777" w:rsidR="00471D53" w:rsidRDefault="004F686E">
          <w:pPr>
            <w:rPr>
              <w:szCs w:val="21"/>
            </w:rPr>
          </w:pPr>
          <w:r>
            <w:rPr>
              <w:rFonts w:hint="eastAsia"/>
              <w:szCs w:val="21"/>
            </w:rPr>
            <w:t>其他说明：</w:t>
          </w:r>
        </w:p>
        <w:sdt>
          <w:sdtPr>
            <w:rPr>
              <w:szCs w:val="21"/>
            </w:rPr>
            <w:alias w:val="财务费用的其他说明事项"/>
            <w:tag w:val="_GBC_5bd15645edcc4a51b94ddca48ee9be98"/>
            <w:id w:val="1259878894"/>
            <w:lock w:val="sdtLocked"/>
          </w:sdtPr>
          <w:sdtEndPr/>
          <w:sdtContent>
            <w:p w14:paraId="20FEAF05" w14:textId="77777777" w:rsidR="00471D53" w:rsidRDefault="004F686E">
              <w:pPr>
                <w:rPr>
                  <w:szCs w:val="21"/>
                </w:rPr>
              </w:pPr>
              <w:r>
                <w:rPr>
                  <w:rFonts w:hint="eastAsia"/>
                  <w:szCs w:val="21"/>
                </w:rPr>
                <w:t>无</w:t>
              </w:r>
            </w:p>
          </w:sdtContent>
        </w:sdt>
        <w:p w14:paraId="2E4655B6" w14:textId="77777777" w:rsidR="00471D53" w:rsidRDefault="00B664AF">
          <w:pPr>
            <w:rPr>
              <w:szCs w:val="21"/>
            </w:rPr>
          </w:pPr>
        </w:p>
      </w:sdtContent>
    </w:sdt>
    <w:p w14:paraId="033C7FC3" w14:textId="77777777" w:rsidR="00471D53" w:rsidRDefault="00B664AF">
      <w:pPr>
        <w:rPr>
          <w:szCs w:val="21"/>
        </w:rPr>
      </w:pPr>
    </w:p>
    <w:sdt>
      <w:sdtPr>
        <w:rPr>
          <w:rFonts w:ascii="宋体" w:hAnsi="宋体" w:cs="宋体" w:hint="eastAsia"/>
          <w:b w:val="0"/>
          <w:bCs w:val="0"/>
          <w:kern w:val="0"/>
          <w:szCs w:val="24"/>
        </w:rPr>
        <w:alias w:val="模块:其他收益"/>
        <w:tag w:val="_SEC_b7dd1353107541ffa3a1d66fbb85a037"/>
        <w:id w:val="-1618368000"/>
        <w:lock w:val="sdtLocked"/>
        <w:placeholder>
          <w:docPart w:val="GBC22222222222222222222222222222"/>
        </w:placeholder>
      </w:sdtPr>
      <w:sdtEndPr>
        <w:rPr>
          <w:rFonts w:hint="default"/>
        </w:rPr>
      </w:sdtEndPr>
      <w:sdtContent>
        <w:p w14:paraId="42FE11A3" w14:textId="77777777" w:rsidR="00471D53" w:rsidRDefault="004F686E" w:rsidP="004F686E">
          <w:pPr>
            <w:pStyle w:val="afffff7"/>
            <w:numPr>
              <w:ilvl w:val="0"/>
              <w:numId w:val="55"/>
            </w:numPr>
            <w:tabs>
              <w:tab w:val="left" w:pos="504"/>
            </w:tabs>
            <w:rPr>
              <w:rFonts w:ascii="宋体" w:hAnsi="宋体"/>
            </w:rPr>
          </w:pPr>
          <w:r>
            <w:rPr>
              <w:rFonts w:ascii="宋体" w:hAnsi="宋体" w:hint="eastAsia"/>
            </w:rPr>
            <w:t>其他收益</w:t>
          </w:r>
        </w:p>
        <w:sdt>
          <w:sdtPr>
            <w:alias w:val="是否适用：财务报表其他收益[双击切换]"/>
            <w:tag w:val="_GBC_86fde94b0d4e4b1f997adc6f063babf7"/>
            <w:id w:val="1788385106"/>
            <w:lock w:val="sdtLocked"/>
            <w:placeholder>
              <w:docPart w:val="GBC22222222222222222222222222222"/>
            </w:placeholder>
          </w:sdtPr>
          <w:sdtEndPr/>
          <w:sdtContent>
            <w:p w14:paraId="27F78418"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07377B3" w14:textId="5DA3F2C3" w:rsidR="00471D53" w:rsidRDefault="004F686E">
          <w:pPr>
            <w:jc w:val="right"/>
            <w:rPr>
              <w:rFonts w:cstheme="minorBidi"/>
              <w:bCs/>
              <w:szCs w:val="22"/>
            </w:rPr>
          </w:pPr>
          <w:r>
            <w:rPr>
              <w:rFonts w:cstheme="minorBidi"/>
              <w:bCs/>
              <w:szCs w:val="22"/>
            </w:rPr>
            <w:t>单位：</w:t>
          </w:r>
          <w:sdt>
            <w:sdtPr>
              <w:rPr>
                <w:rFonts w:cstheme="minorBidi"/>
                <w:bCs/>
                <w:szCs w:val="22"/>
              </w:rPr>
              <w:alias w:val="单位：财务报表其他收益明细"/>
              <w:tag w:val="_GBC_12755937dc3b48a489abda6cc5cda8d6"/>
              <w:id w:val="-163177270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cstheme="minorBidi"/>
                  <w:bCs/>
                  <w:szCs w:val="22"/>
                </w:rPr>
                <w:t>元</w:t>
              </w:r>
            </w:sdtContent>
          </w:sdt>
          <w:r>
            <w:rPr>
              <w:rFonts w:cstheme="minorBidi"/>
              <w:bCs/>
              <w:szCs w:val="22"/>
            </w:rPr>
            <w:t>币种：</w:t>
          </w:r>
          <w:sdt>
            <w:sdtPr>
              <w:rPr>
                <w:rFonts w:cstheme="minorBidi"/>
                <w:bCs/>
                <w:szCs w:val="22"/>
              </w:rPr>
              <w:alias w:val="币种：财务报表其他收益明细"/>
              <w:tag w:val="_GBC_3daaaf66c73e4201b067378f3d17e13f"/>
              <w:id w:val="214076397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theme="minorBidi"/>
                  <w:bCs/>
                  <w:szCs w:val="22"/>
                </w:rPr>
                <w:t>人民币</w:t>
              </w:r>
            </w:sdtContent>
          </w:sdt>
        </w:p>
        <w:tbl>
          <w:tblPr>
            <w:tblStyle w:val="g5"/>
            <w:tblW w:w="0" w:type="auto"/>
            <w:tblLook w:val="04A0" w:firstRow="1" w:lastRow="0" w:firstColumn="1" w:lastColumn="0" w:noHBand="0" w:noVBand="1"/>
          </w:tblPr>
          <w:tblGrid>
            <w:gridCol w:w="3934"/>
            <w:gridCol w:w="2512"/>
            <w:gridCol w:w="2377"/>
          </w:tblGrid>
          <w:tr w:rsidR="00471D53" w14:paraId="4A5AF4D2" w14:textId="77777777" w:rsidTr="00471D53">
            <w:tc>
              <w:tcPr>
                <w:tcW w:w="4077" w:type="dxa"/>
              </w:tcPr>
              <w:sdt>
                <w:sdtPr>
                  <w:rPr>
                    <w:rFonts w:hint="eastAsia"/>
                  </w:rPr>
                  <w:tag w:val="_PLD_92b33ced889140b7b84894c5f486f4e6"/>
                  <w:id w:val="-1356331248"/>
                  <w:lock w:val="sdtLocked"/>
                </w:sdtPr>
                <w:sdtEndPr/>
                <w:sdtContent>
                  <w:p w14:paraId="4D8CC099" w14:textId="77777777" w:rsidR="00471D53" w:rsidRDefault="004F686E" w:rsidP="00471D53">
                    <w:pPr>
                      <w:jc w:val="center"/>
                    </w:pPr>
                    <w:r>
                      <w:rPr>
                        <w:rFonts w:hint="eastAsia"/>
                      </w:rPr>
                      <w:t>项目</w:t>
                    </w:r>
                  </w:p>
                </w:sdtContent>
              </w:sdt>
            </w:tc>
            <w:tc>
              <w:tcPr>
                <w:tcW w:w="2552" w:type="dxa"/>
              </w:tcPr>
              <w:sdt>
                <w:sdtPr>
                  <w:rPr>
                    <w:rFonts w:hint="eastAsia"/>
                  </w:rPr>
                  <w:tag w:val="_PLD_73b3023fbaed423bbb8ca1ec42a2eaf9"/>
                  <w:id w:val="711458507"/>
                  <w:lock w:val="sdtLocked"/>
                </w:sdtPr>
                <w:sdtEndPr/>
                <w:sdtContent>
                  <w:p w14:paraId="67D27E72" w14:textId="77777777" w:rsidR="00471D53" w:rsidRDefault="004F686E" w:rsidP="00471D53">
                    <w:pPr>
                      <w:jc w:val="center"/>
                    </w:pPr>
                    <w:r>
                      <w:rPr>
                        <w:rFonts w:hint="eastAsia"/>
                      </w:rPr>
                      <w:t>本期发生额</w:t>
                    </w:r>
                  </w:p>
                </w:sdtContent>
              </w:sdt>
            </w:tc>
            <w:tc>
              <w:tcPr>
                <w:tcW w:w="2420" w:type="dxa"/>
              </w:tcPr>
              <w:sdt>
                <w:sdtPr>
                  <w:rPr>
                    <w:rFonts w:hint="eastAsia"/>
                  </w:rPr>
                  <w:tag w:val="_PLD_9f39351a333c497da22a0955aff07b4c"/>
                  <w:id w:val="473107459"/>
                  <w:lock w:val="sdtLocked"/>
                </w:sdtPr>
                <w:sdtEndPr/>
                <w:sdtContent>
                  <w:p w14:paraId="47C0B5C7" w14:textId="77777777" w:rsidR="00471D53" w:rsidRDefault="004F686E" w:rsidP="00471D53">
                    <w:pPr>
                      <w:jc w:val="center"/>
                    </w:pPr>
                    <w:r>
                      <w:rPr>
                        <w:rFonts w:hint="eastAsia"/>
                      </w:rPr>
                      <w:t>上期发生额</w:t>
                    </w:r>
                  </w:p>
                </w:sdtContent>
              </w:sdt>
            </w:tc>
          </w:tr>
          <w:sdt>
            <w:sdtPr>
              <w:rPr>
                <w:rFonts w:asciiTheme="minorHAnsi" w:eastAsiaTheme="minorEastAsia" w:hAnsiTheme="minorHAnsi" w:cstheme="minorBidi"/>
                <w:kern w:val="2"/>
                <w:szCs w:val="22"/>
              </w:rPr>
              <w:alias w:val="财务报表其他收益明细"/>
              <w:tag w:val="_TUP_6fbc2b9298bf4c818dfcc7c62d7fcd6c"/>
              <w:id w:val="212550698"/>
              <w:lock w:val="sdtLocked"/>
            </w:sdtPr>
            <w:sdtEndPr/>
            <w:sdtContent>
              <w:tr w:rsidR="00471D53" w14:paraId="13C5A33E" w14:textId="77777777" w:rsidTr="00471D53">
                <w:tc>
                  <w:tcPr>
                    <w:tcW w:w="4077" w:type="dxa"/>
                  </w:tcPr>
                  <w:p w14:paraId="1E6EF096" w14:textId="77777777" w:rsidR="00471D53" w:rsidRDefault="004F686E" w:rsidP="00471D53">
                    <w:r>
                      <w:t>递延收益转入</w:t>
                    </w:r>
                  </w:p>
                </w:tc>
                <w:tc>
                  <w:tcPr>
                    <w:tcW w:w="2552" w:type="dxa"/>
                  </w:tcPr>
                  <w:p w14:paraId="21106B3C" w14:textId="77777777" w:rsidR="00471D53" w:rsidRDefault="004F686E" w:rsidP="00471D53">
                    <w:pPr>
                      <w:jc w:val="right"/>
                    </w:pPr>
                    <w:r>
                      <w:t>549,644.62</w:t>
                    </w:r>
                  </w:p>
                </w:tc>
                <w:tc>
                  <w:tcPr>
                    <w:tcW w:w="2420" w:type="dxa"/>
                  </w:tcPr>
                  <w:p w14:paraId="0DEE8DE1" w14:textId="77777777" w:rsidR="00471D53" w:rsidRDefault="004F686E" w:rsidP="00471D53">
                    <w:pPr>
                      <w:jc w:val="right"/>
                    </w:pPr>
                    <w:r>
                      <w:t>517,835.88</w:t>
                    </w:r>
                  </w:p>
                </w:tc>
              </w:tr>
            </w:sdtContent>
          </w:sdt>
          <w:sdt>
            <w:sdtPr>
              <w:rPr>
                <w:rFonts w:asciiTheme="minorHAnsi" w:eastAsiaTheme="minorEastAsia" w:hAnsiTheme="minorHAnsi" w:cstheme="minorBidi"/>
                <w:kern w:val="2"/>
                <w:szCs w:val="22"/>
              </w:rPr>
              <w:alias w:val="财务报表其他收益明细"/>
              <w:tag w:val="_TUP_6fbc2b9298bf4c818dfcc7c62d7fcd6c"/>
              <w:id w:val="1611781232"/>
              <w:lock w:val="sdtLocked"/>
            </w:sdtPr>
            <w:sdtEndPr/>
            <w:sdtContent>
              <w:tr w:rsidR="00471D53" w14:paraId="1411FF9D" w14:textId="77777777" w:rsidTr="00471D53">
                <w:tc>
                  <w:tcPr>
                    <w:tcW w:w="4077" w:type="dxa"/>
                  </w:tcPr>
                  <w:p w14:paraId="63C95609" w14:textId="77777777" w:rsidR="00471D53" w:rsidRDefault="004F686E" w:rsidP="00471D53">
                    <w:r>
                      <w:t>政府补助</w:t>
                    </w:r>
                  </w:p>
                </w:tc>
                <w:tc>
                  <w:tcPr>
                    <w:tcW w:w="2552" w:type="dxa"/>
                  </w:tcPr>
                  <w:p w14:paraId="3DF690CE" w14:textId="77777777" w:rsidR="00471D53" w:rsidRDefault="004F686E" w:rsidP="00471D53">
                    <w:pPr>
                      <w:jc w:val="right"/>
                    </w:pPr>
                    <w:r>
                      <w:t>7,204,801.32</w:t>
                    </w:r>
                  </w:p>
                </w:tc>
                <w:tc>
                  <w:tcPr>
                    <w:tcW w:w="2420" w:type="dxa"/>
                  </w:tcPr>
                  <w:p w14:paraId="371DFA24" w14:textId="77777777" w:rsidR="00471D53" w:rsidRDefault="004F686E" w:rsidP="00471D53">
                    <w:pPr>
                      <w:jc w:val="right"/>
                    </w:pPr>
                    <w:r>
                      <w:t>0.00</w:t>
                    </w:r>
                  </w:p>
                </w:tc>
              </w:tr>
            </w:sdtContent>
          </w:sdt>
          <w:tr w:rsidR="00471D53" w14:paraId="268D54EC" w14:textId="77777777" w:rsidTr="00471D53">
            <w:tc>
              <w:tcPr>
                <w:tcW w:w="4077" w:type="dxa"/>
              </w:tcPr>
              <w:sdt>
                <w:sdtPr>
                  <w:rPr>
                    <w:rFonts w:hint="eastAsia"/>
                  </w:rPr>
                  <w:tag w:val="_PLD_895bf64d897b4d94b2d45a7ce9849ec7"/>
                  <w:id w:val="955600884"/>
                  <w:lock w:val="sdtLocked"/>
                </w:sdtPr>
                <w:sdtEndPr/>
                <w:sdtContent>
                  <w:p w14:paraId="5393C95A" w14:textId="77777777" w:rsidR="00471D53" w:rsidRDefault="004F686E" w:rsidP="00471D53">
                    <w:pPr>
                      <w:jc w:val="center"/>
                    </w:pPr>
                    <w:r>
                      <w:rPr>
                        <w:rFonts w:hint="eastAsia"/>
                      </w:rPr>
                      <w:t>合计</w:t>
                    </w:r>
                  </w:p>
                </w:sdtContent>
              </w:sdt>
            </w:tc>
            <w:tc>
              <w:tcPr>
                <w:tcW w:w="2552" w:type="dxa"/>
                <w:vAlign w:val="center"/>
              </w:tcPr>
              <w:p w14:paraId="4DB33B84" w14:textId="77777777" w:rsidR="00471D53" w:rsidRPr="00662965" w:rsidRDefault="004F686E" w:rsidP="00471D53">
                <w:pPr>
                  <w:jc w:val="right"/>
                  <w:textAlignment w:val="center"/>
                  <w:rPr>
                    <w:sz w:val="22"/>
                    <w:szCs w:val="22"/>
                  </w:rPr>
                </w:pPr>
                <w:r w:rsidRPr="00662965">
                  <w:rPr>
                    <w:sz w:val="22"/>
                    <w:szCs w:val="22"/>
                  </w:rPr>
                  <w:t>7,754,445.94</w:t>
                </w:r>
              </w:p>
            </w:tc>
            <w:tc>
              <w:tcPr>
                <w:tcW w:w="2420" w:type="dxa"/>
                <w:vAlign w:val="center"/>
              </w:tcPr>
              <w:p w14:paraId="6FFF0C72" w14:textId="77777777" w:rsidR="00471D53" w:rsidRPr="00662965" w:rsidRDefault="004F686E" w:rsidP="00471D53">
                <w:pPr>
                  <w:snapToGrid w:val="0"/>
                  <w:jc w:val="right"/>
                  <w:rPr>
                    <w:sz w:val="22"/>
                    <w:szCs w:val="22"/>
                  </w:rPr>
                </w:pPr>
                <w:r w:rsidRPr="00662965">
                  <w:rPr>
                    <w:sz w:val="22"/>
                    <w:szCs w:val="22"/>
                  </w:rPr>
                  <w:t>517,835.88</w:t>
                </w:r>
              </w:p>
            </w:tc>
          </w:tr>
        </w:tbl>
        <w:p w14:paraId="16FF9D9B" w14:textId="77777777" w:rsidR="00471D53" w:rsidRDefault="00B664AF"/>
        <w:p w14:paraId="674DFBCD" w14:textId="77777777" w:rsidR="00471D53" w:rsidRDefault="004F686E">
          <w:r>
            <w:rPr>
              <w:rFonts w:hint="eastAsia"/>
            </w:rPr>
            <w:t>其他</w:t>
          </w:r>
          <w:r>
            <w:t>说明：</w:t>
          </w:r>
        </w:p>
        <w:sdt>
          <w:sdtPr>
            <w:alias w:val="财务报表其他收益其他说明"/>
            <w:tag w:val="_GBC_9489a93c45754a9ea78d3a872093a735"/>
            <w:id w:val="-1859500872"/>
            <w:lock w:val="sdtLocked"/>
            <w:placeholder>
              <w:docPart w:val="GBC22222222222222222222222222222"/>
            </w:placeholder>
          </w:sdtPr>
          <w:sdtEndPr/>
          <w:sdtContent>
            <w:p w14:paraId="35C1E607" w14:textId="77777777" w:rsidR="00471D53" w:rsidRDefault="004F686E">
              <w:r>
                <w:rPr>
                  <w:rFonts w:hint="eastAsia"/>
                </w:rPr>
                <w:t>无</w:t>
              </w:r>
            </w:p>
          </w:sdtContent>
        </w:sdt>
      </w:sdtContent>
    </w:sdt>
    <w:p w14:paraId="33D47BF7" w14:textId="77777777" w:rsidR="00471D53" w:rsidRDefault="00B664AF">
      <w:pPr>
        <w:rPr>
          <w:szCs w:val="21"/>
        </w:rPr>
      </w:pPr>
    </w:p>
    <w:bookmarkStart w:id="221" w:name="_Hlk11857276" w:displacedByCustomXml="next"/>
    <w:sdt>
      <w:sdtPr>
        <w:rPr>
          <w:rFonts w:ascii="宋体" w:hAnsi="宋体" w:cs="宋体" w:hint="eastAsia"/>
          <w:b w:val="0"/>
          <w:bCs w:val="0"/>
          <w:kern w:val="0"/>
          <w:szCs w:val="21"/>
        </w:rPr>
        <w:alias w:val="模块:投资收益   单位：元币种：人民币项目本期发生额上期发..."/>
        <w:tag w:val="_SEC_56e74a133dff4dcebe7ed76c1a92a2e5"/>
        <w:id w:val="-462893366"/>
        <w:lock w:val="sdtLocked"/>
        <w:placeholder>
          <w:docPart w:val="GBC22222222222222222222222222222"/>
        </w:placeholder>
      </w:sdtPr>
      <w:sdtEndPr/>
      <w:sdtContent>
        <w:p w14:paraId="79A488AC"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投资收益</w:t>
          </w:r>
        </w:p>
        <w:sdt>
          <w:sdtPr>
            <w:alias w:val="是否适用：投资收益[双击切换]"/>
            <w:tag w:val="_GBC_39356fd9dd9e4f5497d61d781210b2fe"/>
            <w:id w:val="470335327"/>
            <w:lock w:val="sdtLocked"/>
            <w:placeholder>
              <w:docPart w:val="GBC22222222222222222222222222222"/>
            </w:placeholder>
          </w:sdtPr>
          <w:sdtEndPr/>
          <w:sdtContent>
            <w:p w14:paraId="381C1570"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35AE47D" w14:textId="5A2B9F2D" w:rsidR="00471D53" w:rsidRDefault="004F686E">
          <w:pPr>
            <w:jc w:val="right"/>
            <w:rPr>
              <w:b/>
              <w:szCs w:val="21"/>
            </w:rPr>
          </w:pPr>
          <w:bookmarkStart w:id="222" w:name="_Hlk10538462"/>
          <w:r>
            <w:rPr>
              <w:szCs w:val="21"/>
            </w:rPr>
            <w:t>单位</w:t>
          </w:r>
          <w:r>
            <w:rPr>
              <w:rFonts w:hint="eastAsia"/>
              <w:szCs w:val="21"/>
            </w:rPr>
            <w:t>：</w:t>
          </w:r>
          <w:sdt>
            <w:sdtPr>
              <w:rPr>
                <w:rFonts w:hint="eastAsia"/>
                <w:szCs w:val="21"/>
              </w:rPr>
              <w:alias w:val="单位：财务附注：会计报表中的投资收益项目增加"/>
              <w:tag w:val="_GBC_8785b82a02ca4b0db1de3227128775b4"/>
              <w:id w:val="1672192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币种</w:t>
          </w:r>
          <w:r>
            <w:rPr>
              <w:rFonts w:hint="eastAsia"/>
              <w:szCs w:val="21"/>
            </w:rPr>
            <w:t>：</w:t>
          </w:r>
          <w:sdt>
            <w:sdtPr>
              <w:rPr>
                <w:rFonts w:hint="eastAsia"/>
                <w:szCs w:val="21"/>
              </w:rPr>
              <w:alias w:val="币种：财务附注：会计报表中的投资收益项目增加"/>
              <w:tag w:val="_GBC_c4394dc445a94e9a8a4b83889c79fcb1"/>
              <w:id w:val="-4086264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1"/>
            <w:gridCol w:w="2626"/>
            <w:gridCol w:w="2636"/>
          </w:tblGrid>
          <w:tr w:rsidR="00471D53" w14:paraId="4B9BDEA0" w14:textId="77777777" w:rsidTr="00DC1550">
            <w:sdt>
              <w:sdtPr>
                <w:tag w:val="_PLD_2fef67a5db2c453288257a2dfe03fd6e"/>
                <w:id w:val="-776327710"/>
                <w:lock w:val="sdtLocked"/>
              </w:sdtPr>
              <w:sdtEndPr/>
              <w:sdtContent>
                <w:tc>
                  <w:tcPr>
                    <w:tcW w:w="2018" w:type="pct"/>
                    <w:vAlign w:val="center"/>
                  </w:tcPr>
                  <w:p w14:paraId="0E2D7918" w14:textId="77777777" w:rsidR="00471D53" w:rsidRDefault="004F686E">
                    <w:pPr>
                      <w:ind w:left="420" w:hanging="420"/>
                      <w:jc w:val="center"/>
                      <w:rPr>
                        <w:szCs w:val="21"/>
                      </w:rPr>
                    </w:pPr>
                    <w:r>
                      <w:rPr>
                        <w:rFonts w:hint="eastAsia"/>
                        <w:szCs w:val="21"/>
                      </w:rPr>
                      <w:t>项目</w:t>
                    </w:r>
                  </w:p>
                </w:tc>
              </w:sdtContent>
            </w:sdt>
            <w:sdt>
              <w:sdtPr>
                <w:tag w:val="_PLD_3f927d0ff25c47abb0f9b18794554af6"/>
                <w:id w:val="-1795973877"/>
                <w:lock w:val="sdtLocked"/>
              </w:sdtPr>
              <w:sdtEndPr/>
              <w:sdtContent>
                <w:tc>
                  <w:tcPr>
                    <w:tcW w:w="1488" w:type="pct"/>
                    <w:vAlign w:val="center"/>
                  </w:tcPr>
                  <w:p w14:paraId="153408E3" w14:textId="77777777" w:rsidR="00471D53" w:rsidRDefault="004F686E">
                    <w:pPr>
                      <w:jc w:val="center"/>
                      <w:rPr>
                        <w:szCs w:val="21"/>
                      </w:rPr>
                    </w:pPr>
                    <w:r>
                      <w:rPr>
                        <w:rFonts w:hint="eastAsia"/>
                        <w:szCs w:val="21"/>
                      </w:rPr>
                      <w:t>本期发生额</w:t>
                    </w:r>
                  </w:p>
                </w:tc>
              </w:sdtContent>
            </w:sdt>
            <w:sdt>
              <w:sdtPr>
                <w:tag w:val="_PLD_a6cbfed1438f48b7947079a5821a9eba"/>
                <w:id w:val="143322258"/>
                <w:lock w:val="sdtLocked"/>
              </w:sdtPr>
              <w:sdtEndPr/>
              <w:sdtContent>
                <w:tc>
                  <w:tcPr>
                    <w:tcW w:w="1494" w:type="pct"/>
                    <w:vAlign w:val="center"/>
                  </w:tcPr>
                  <w:p w14:paraId="72D5230F" w14:textId="77777777" w:rsidR="00471D53" w:rsidRDefault="004F686E">
                    <w:pPr>
                      <w:jc w:val="center"/>
                      <w:rPr>
                        <w:szCs w:val="21"/>
                      </w:rPr>
                    </w:pPr>
                    <w:r>
                      <w:rPr>
                        <w:rFonts w:hint="eastAsia"/>
                        <w:szCs w:val="21"/>
                      </w:rPr>
                      <w:t>上期发生额</w:t>
                    </w:r>
                  </w:p>
                </w:tc>
              </w:sdtContent>
            </w:sdt>
          </w:tr>
          <w:tr w:rsidR="00471D53" w14:paraId="60F80356" w14:textId="77777777" w:rsidTr="00471D53">
            <w:sdt>
              <w:sdtPr>
                <w:tag w:val="_PLD_095c5821555f4f22a6901c43ff8cf9ed"/>
                <w:id w:val="254791775"/>
                <w:lock w:val="sdtLocked"/>
              </w:sdtPr>
              <w:sdtEndPr/>
              <w:sdtContent>
                <w:tc>
                  <w:tcPr>
                    <w:tcW w:w="2018" w:type="pct"/>
                  </w:tcPr>
                  <w:p w14:paraId="35B88415" w14:textId="77777777" w:rsidR="00471D53" w:rsidRDefault="004F686E">
                    <w:pPr>
                      <w:rPr>
                        <w:szCs w:val="21"/>
                      </w:rPr>
                    </w:pPr>
                    <w:r>
                      <w:rPr>
                        <w:rFonts w:hint="eastAsia"/>
                        <w:szCs w:val="21"/>
                      </w:rPr>
                      <w:t>权益法核算的长期股权投资收益</w:t>
                    </w:r>
                  </w:p>
                </w:tc>
              </w:sdtContent>
            </w:sdt>
            <w:tc>
              <w:tcPr>
                <w:tcW w:w="1488" w:type="pct"/>
                <w:vAlign w:val="center"/>
              </w:tcPr>
              <w:p w14:paraId="59E3E0CD" w14:textId="77777777" w:rsidR="00471D53" w:rsidRDefault="004F686E" w:rsidP="00471D53">
                <w:pPr>
                  <w:jc w:val="right"/>
                  <w:rPr>
                    <w:rFonts w:cs="Calibri"/>
                    <w:sz w:val="22"/>
                    <w:szCs w:val="22"/>
                  </w:rPr>
                </w:pPr>
                <w:r w:rsidRPr="007D6F43">
                  <w:rPr>
                    <w:rFonts w:cs="Calibri"/>
                    <w:sz w:val="22"/>
                    <w:szCs w:val="22"/>
                  </w:rPr>
                  <w:t>3,532,099.11</w:t>
                </w:r>
              </w:p>
            </w:tc>
            <w:tc>
              <w:tcPr>
                <w:tcW w:w="1494" w:type="pct"/>
                <w:vAlign w:val="center"/>
              </w:tcPr>
              <w:p w14:paraId="1633EC2C" w14:textId="77777777" w:rsidR="00471D53" w:rsidRDefault="004F686E" w:rsidP="00471D53">
                <w:pPr>
                  <w:jc w:val="right"/>
                  <w:rPr>
                    <w:sz w:val="22"/>
                    <w:szCs w:val="22"/>
                  </w:rPr>
                </w:pPr>
                <w:r w:rsidRPr="0053740B">
                  <w:rPr>
                    <w:sz w:val="22"/>
                    <w:szCs w:val="22"/>
                  </w:rPr>
                  <w:t>-6,049,911.14</w:t>
                </w:r>
              </w:p>
            </w:tc>
          </w:tr>
          <w:tr w:rsidR="00471D53" w14:paraId="20F45A47" w14:textId="77777777" w:rsidTr="00DC1550">
            <w:sdt>
              <w:sdtPr>
                <w:tag w:val="_PLD_bf1f8f83597a458db5a601500b855dc3"/>
                <w:id w:val="645166280"/>
                <w:lock w:val="sdtLocked"/>
              </w:sdtPr>
              <w:sdtEndPr/>
              <w:sdtContent>
                <w:tc>
                  <w:tcPr>
                    <w:tcW w:w="2018" w:type="pct"/>
                  </w:tcPr>
                  <w:p w14:paraId="25A4F2A7" w14:textId="77777777" w:rsidR="00471D53" w:rsidRDefault="004F686E">
                    <w:pPr>
                      <w:rPr>
                        <w:szCs w:val="21"/>
                      </w:rPr>
                    </w:pPr>
                    <w:r>
                      <w:rPr>
                        <w:rFonts w:hint="eastAsia"/>
                        <w:szCs w:val="21"/>
                      </w:rPr>
                      <w:t>处置长期股权投资产生的投资收益</w:t>
                    </w:r>
                  </w:p>
                </w:tc>
              </w:sdtContent>
            </w:sdt>
            <w:tc>
              <w:tcPr>
                <w:tcW w:w="1488" w:type="pct"/>
              </w:tcPr>
              <w:p w14:paraId="63049ABD" w14:textId="77777777" w:rsidR="00471D53" w:rsidRDefault="00B664AF">
                <w:pPr>
                  <w:jc w:val="right"/>
                  <w:rPr>
                    <w:szCs w:val="21"/>
                  </w:rPr>
                </w:pPr>
              </w:p>
            </w:tc>
            <w:tc>
              <w:tcPr>
                <w:tcW w:w="1494" w:type="pct"/>
              </w:tcPr>
              <w:p w14:paraId="42B12565" w14:textId="77777777" w:rsidR="00471D53" w:rsidRDefault="00B664AF">
                <w:pPr>
                  <w:jc w:val="right"/>
                  <w:rPr>
                    <w:szCs w:val="21"/>
                  </w:rPr>
                </w:pPr>
              </w:p>
            </w:tc>
          </w:tr>
          <w:tr w:rsidR="00471D53" w14:paraId="348352E8" w14:textId="77777777" w:rsidTr="00DC1550">
            <w:tc>
              <w:tcPr>
                <w:tcW w:w="2018" w:type="pct"/>
              </w:tcPr>
              <w:sdt>
                <w:sdtPr>
                  <w:rPr>
                    <w:rFonts w:hint="eastAsia"/>
                  </w:rPr>
                  <w:tag w:val="_PLD_6531b310ca654e5892cc88bec130b5fa"/>
                  <w:id w:val="1912655054"/>
                  <w:lock w:val="sdtLocked"/>
                </w:sdtPr>
                <w:sdtEndPr/>
                <w:sdtContent>
                  <w:p w14:paraId="59380D50" w14:textId="77777777" w:rsidR="00471D53" w:rsidRDefault="004F686E">
                    <w:r>
                      <w:rPr>
                        <w:rFonts w:hint="eastAsia"/>
                      </w:rPr>
                      <w:t>交易性金融资产在持有期间的投资收益</w:t>
                    </w:r>
                  </w:p>
                </w:sdtContent>
              </w:sdt>
            </w:tc>
            <w:tc>
              <w:tcPr>
                <w:tcW w:w="1488" w:type="pct"/>
              </w:tcPr>
              <w:p w14:paraId="6D7B3CE5" w14:textId="77777777" w:rsidR="00471D53" w:rsidRDefault="00B664AF">
                <w:pPr>
                  <w:jc w:val="right"/>
                  <w:rPr>
                    <w:szCs w:val="21"/>
                  </w:rPr>
                </w:pPr>
              </w:p>
            </w:tc>
            <w:tc>
              <w:tcPr>
                <w:tcW w:w="1494" w:type="pct"/>
              </w:tcPr>
              <w:p w14:paraId="2BDC10F5" w14:textId="77777777" w:rsidR="00471D53" w:rsidRDefault="00B664AF">
                <w:pPr>
                  <w:jc w:val="right"/>
                  <w:rPr>
                    <w:szCs w:val="21"/>
                  </w:rPr>
                </w:pPr>
              </w:p>
            </w:tc>
          </w:tr>
          <w:tr w:rsidR="00471D53" w14:paraId="0E7B609D" w14:textId="77777777" w:rsidTr="00DC1550">
            <w:tc>
              <w:tcPr>
                <w:tcW w:w="2018" w:type="pct"/>
              </w:tcPr>
              <w:sdt>
                <w:sdtPr>
                  <w:rPr>
                    <w:rFonts w:hint="eastAsia"/>
                  </w:rPr>
                  <w:tag w:val="_PLD_28dcbb5f7e914848bb4a21be0e982758"/>
                  <w:id w:val="1756704308"/>
                  <w:lock w:val="sdtLocked"/>
                </w:sdtPr>
                <w:sdtEndPr/>
                <w:sdtContent>
                  <w:p w14:paraId="2D106832" w14:textId="77777777" w:rsidR="00471D53" w:rsidRDefault="004F686E">
                    <w:r>
                      <w:rPr>
                        <w:rFonts w:hint="eastAsia"/>
                      </w:rPr>
                      <w:t>其他权益工具投资在持有期间取得的股利收入</w:t>
                    </w:r>
                  </w:p>
                </w:sdtContent>
              </w:sdt>
            </w:tc>
            <w:tc>
              <w:tcPr>
                <w:tcW w:w="1488" w:type="pct"/>
              </w:tcPr>
              <w:p w14:paraId="51B0CC68" w14:textId="77777777" w:rsidR="00471D53" w:rsidRDefault="00B664AF">
                <w:pPr>
                  <w:jc w:val="right"/>
                  <w:rPr>
                    <w:szCs w:val="21"/>
                  </w:rPr>
                </w:pPr>
              </w:p>
            </w:tc>
            <w:tc>
              <w:tcPr>
                <w:tcW w:w="1494" w:type="pct"/>
              </w:tcPr>
              <w:p w14:paraId="069EA061" w14:textId="77777777" w:rsidR="00471D53" w:rsidRDefault="00B664AF">
                <w:pPr>
                  <w:jc w:val="right"/>
                  <w:rPr>
                    <w:szCs w:val="21"/>
                  </w:rPr>
                </w:pPr>
              </w:p>
            </w:tc>
          </w:tr>
          <w:tr w:rsidR="00471D53" w14:paraId="507DCE26" w14:textId="77777777" w:rsidTr="00DC1550">
            <w:tc>
              <w:tcPr>
                <w:tcW w:w="2018" w:type="pct"/>
              </w:tcPr>
              <w:sdt>
                <w:sdtPr>
                  <w:rPr>
                    <w:rFonts w:hint="eastAsia"/>
                  </w:rPr>
                  <w:tag w:val="_PLD_b254e5b9458e464aa9729f2f2c372a99"/>
                  <w:id w:val="-771160035"/>
                  <w:lock w:val="sdtLocked"/>
                </w:sdtPr>
                <w:sdtEndPr/>
                <w:sdtContent>
                  <w:p w14:paraId="2E36236E" w14:textId="77777777" w:rsidR="00471D53" w:rsidRDefault="004F686E">
                    <w:r>
                      <w:rPr>
                        <w:rFonts w:hint="eastAsia"/>
                      </w:rPr>
                      <w:t>债权投资在持有期间取得的利息收入</w:t>
                    </w:r>
                  </w:p>
                </w:sdtContent>
              </w:sdt>
            </w:tc>
            <w:tc>
              <w:tcPr>
                <w:tcW w:w="1488" w:type="pct"/>
              </w:tcPr>
              <w:p w14:paraId="0864604B" w14:textId="77777777" w:rsidR="00471D53" w:rsidRDefault="00B664AF">
                <w:pPr>
                  <w:jc w:val="right"/>
                  <w:rPr>
                    <w:szCs w:val="21"/>
                  </w:rPr>
                </w:pPr>
              </w:p>
            </w:tc>
            <w:tc>
              <w:tcPr>
                <w:tcW w:w="1494" w:type="pct"/>
              </w:tcPr>
              <w:p w14:paraId="0DCEC590" w14:textId="77777777" w:rsidR="00471D53" w:rsidRDefault="00B664AF">
                <w:pPr>
                  <w:jc w:val="right"/>
                  <w:rPr>
                    <w:szCs w:val="21"/>
                  </w:rPr>
                </w:pPr>
              </w:p>
            </w:tc>
          </w:tr>
          <w:tr w:rsidR="00471D53" w14:paraId="783D91D1" w14:textId="77777777" w:rsidTr="00DC1550">
            <w:tc>
              <w:tcPr>
                <w:tcW w:w="2018" w:type="pct"/>
              </w:tcPr>
              <w:sdt>
                <w:sdtPr>
                  <w:rPr>
                    <w:rFonts w:hint="eastAsia"/>
                  </w:rPr>
                  <w:tag w:val="_PLD_ded52f1fb6684e51b89c9ed12a41c791"/>
                  <w:id w:val="-1785177433"/>
                  <w:lock w:val="sdtLocked"/>
                </w:sdtPr>
                <w:sdtEndPr/>
                <w:sdtContent>
                  <w:p w14:paraId="055A616C" w14:textId="77777777" w:rsidR="00471D53" w:rsidRDefault="004F686E">
                    <w:r>
                      <w:rPr>
                        <w:rFonts w:hint="eastAsia"/>
                      </w:rPr>
                      <w:t>其他债权投资在持有期间取得的利息收入</w:t>
                    </w:r>
                  </w:p>
                </w:sdtContent>
              </w:sdt>
            </w:tc>
            <w:tc>
              <w:tcPr>
                <w:tcW w:w="1488" w:type="pct"/>
              </w:tcPr>
              <w:p w14:paraId="3A541B5D" w14:textId="77777777" w:rsidR="00471D53" w:rsidRDefault="00B664AF">
                <w:pPr>
                  <w:jc w:val="right"/>
                  <w:rPr>
                    <w:szCs w:val="21"/>
                  </w:rPr>
                </w:pPr>
              </w:p>
            </w:tc>
            <w:tc>
              <w:tcPr>
                <w:tcW w:w="1494" w:type="pct"/>
              </w:tcPr>
              <w:p w14:paraId="47AAA30A" w14:textId="77777777" w:rsidR="00471D53" w:rsidRDefault="00B664AF">
                <w:pPr>
                  <w:jc w:val="right"/>
                  <w:rPr>
                    <w:szCs w:val="21"/>
                  </w:rPr>
                </w:pPr>
              </w:p>
            </w:tc>
          </w:tr>
          <w:tr w:rsidR="00471D53" w14:paraId="14D7470C" w14:textId="77777777" w:rsidTr="00DC1550">
            <w:tc>
              <w:tcPr>
                <w:tcW w:w="2018" w:type="pct"/>
              </w:tcPr>
              <w:sdt>
                <w:sdtPr>
                  <w:rPr>
                    <w:rFonts w:hint="eastAsia"/>
                  </w:rPr>
                  <w:tag w:val="_PLD_3fb066cc533f4905803faa53dcf2b7bb"/>
                  <w:id w:val="514350882"/>
                  <w:lock w:val="sdtLocked"/>
                </w:sdtPr>
                <w:sdtEndPr/>
                <w:sdtContent>
                  <w:p w14:paraId="6D10014C" w14:textId="77777777" w:rsidR="00471D53" w:rsidRDefault="004F686E">
                    <w:r>
                      <w:rPr>
                        <w:rFonts w:hint="eastAsia"/>
                      </w:rPr>
                      <w:t>处置交易性金融资产取得的投资收益</w:t>
                    </w:r>
                  </w:p>
                </w:sdtContent>
              </w:sdt>
            </w:tc>
            <w:tc>
              <w:tcPr>
                <w:tcW w:w="1488" w:type="pct"/>
              </w:tcPr>
              <w:p w14:paraId="2AA9F4FF" w14:textId="77777777" w:rsidR="00471D53" w:rsidRDefault="00B664AF">
                <w:pPr>
                  <w:jc w:val="right"/>
                  <w:rPr>
                    <w:szCs w:val="21"/>
                  </w:rPr>
                </w:pPr>
              </w:p>
            </w:tc>
            <w:tc>
              <w:tcPr>
                <w:tcW w:w="1494" w:type="pct"/>
              </w:tcPr>
              <w:p w14:paraId="5528AF3B" w14:textId="77777777" w:rsidR="00471D53" w:rsidRDefault="00B664AF">
                <w:pPr>
                  <w:jc w:val="right"/>
                  <w:rPr>
                    <w:szCs w:val="21"/>
                  </w:rPr>
                </w:pPr>
              </w:p>
            </w:tc>
          </w:tr>
          <w:tr w:rsidR="00471D53" w14:paraId="26AF58E0" w14:textId="77777777" w:rsidTr="00DC1550">
            <w:tc>
              <w:tcPr>
                <w:tcW w:w="2018" w:type="pct"/>
              </w:tcPr>
              <w:sdt>
                <w:sdtPr>
                  <w:rPr>
                    <w:rFonts w:hint="eastAsia"/>
                  </w:rPr>
                  <w:tag w:val="_PLD_dcb9706cbed545dd9e65917962412de7"/>
                  <w:id w:val="-131409475"/>
                  <w:lock w:val="sdtLocked"/>
                </w:sdtPr>
                <w:sdtEndPr/>
                <w:sdtContent>
                  <w:p w14:paraId="21CD5E52" w14:textId="77777777" w:rsidR="00471D53" w:rsidRDefault="004F686E">
                    <w:r>
                      <w:rPr>
                        <w:rFonts w:hint="eastAsia"/>
                      </w:rPr>
                      <w:t>处置其他权益工具投资取得的投资收益</w:t>
                    </w:r>
                  </w:p>
                </w:sdtContent>
              </w:sdt>
            </w:tc>
            <w:tc>
              <w:tcPr>
                <w:tcW w:w="1488" w:type="pct"/>
              </w:tcPr>
              <w:p w14:paraId="718A567F" w14:textId="77777777" w:rsidR="00471D53" w:rsidRDefault="00B664AF">
                <w:pPr>
                  <w:jc w:val="right"/>
                  <w:rPr>
                    <w:szCs w:val="21"/>
                  </w:rPr>
                </w:pPr>
              </w:p>
            </w:tc>
            <w:tc>
              <w:tcPr>
                <w:tcW w:w="1494" w:type="pct"/>
              </w:tcPr>
              <w:p w14:paraId="63253D59" w14:textId="77777777" w:rsidR="00471D53" w:rsidRDefault="00B664AF">
                <w:pPr>
                  <w:jc w:val="right"/>
                  <w:rPr>
                    <w:szCs w:val="21"/>
                  </w:rPr>
                </w:pPr>
              </w:p>
            </w:tc>
          </w:tr>
          <w:tr w:rsidR="00471D53" w14:paraId="62EF7CEC" w14:textId="77777777" w:rsidTr="00DC1550">
            <w:tc>
              <w:tcPr>
                <w:tcW w:w="2018" w:type="pct"/>
              </w:tcPr>
              <w:sdt>
                <w:sdtPr>
                  <w:rPr>
                    <w:rFonts w:hint="eastAsia"/>
                  </w:rPr>
                  <w:tag w:val="_PLD_edb592df302047c68b5387ad8d561632"/>
                  <w:id w:val="-2100474807"/>
                  <w:lock w:val="sdtLocked"/>
                </w:sdtPr>
                <w:sdtEndPr/>
                <w:sdtContent>
                  <w:p w14:paraId="2FF13F2D" w14:textId="77777777" w:rsidR="00471D53" w:rsidRDefault="004F686E">
                    <w:r>
                      <w:rPr>
                        <w:rFonts w:hint="eastAsia"/>
                      </w:rPr>
                      <w:t>处置债权投资取得的投资收益</w:t>
                    </w:r>
                  </w:p>
                </w:sdtContent>
              </w:sdt>
            </w:tc>
            <w:tc>
              <w:tcPr>
                <w:tcW w:w="1488" w:type="pct"/>
              </w:tcPr>
              <w:p w14:paraId="03597226" w14:textId="77777777" w:rsidR="00471D53" w:rsidRDefault="00B664AF">
                <w:pPr>
                  <w:jc w:val="right"/>
                  <w:rPr>
                    <w:szCs w:val="21"/>
                  </w:rPr>
                </w:pPr>
              </w:p>
            </w:tc>
            <w:tc>
              <w:tcPr>
                <w:tcW w:w="1494" w:type="pct"/>
              </w:tcPr>
              <w:p w14:paraId="197CC71E" w14:textId="77777777" w:rsidR="00471D53" w:rsidRDefault="00B664AF">
                <w:pPr>
                  <w:jc w:val="right"/>
                  <w:rPr>
                    <w:szCs w:val="21"/>
                  </w:rPr>
                </w:pPr>
              </w:p>
            </w:tc>
          </w:tr>
          <w:tr w:rsidR="00471D53" w14:paraId="2B77C5B2" w14:textId="77777777" w:rsidTr="00DC1550">
            <w:tc>
              <w:tcPr>
                <w:tcW w:w="2018" w:type="pct"/>
              </w:tcPr>
              <w:sdt>
                <w:sdtPr>
                  <w:rPr>
                    <w:rFonts w:hint="eastAsia"/>
                  </w:rPr>
                  <w:tag w:val="_PLD_dc0f3709523f48178820977d785b7da6"/>
                  <w:id w:val="-236941325"/>
                  <w:lock w:val="sdtLocked"/>
                </w:sdtPr>
                <w:sdtEndPr/>
                <w:sdtContent>
                  <w:p w14:paraId="18985E53" w14:textId="77777777" w:rsidR="00471D53" w:rsidRDefault="004F686E">
                    <w:r>
                      <w:rPr>
                        <w:rFonts w:hint="eastAsia"/>
                      </w:rPr>
                      <w:t>处置其他债权投资取得的投资收益</w:t>
                    </w:r>
                  </w:p>
                </w:sdtContent>
              </w:sdt>
            </w:tc>
            <w:tc>
              <w:tcPr>
                <w:tcW w:w="1488" w:type="pct"/>
              </w:tcPr>
              <w:p w14:paraId="75863DDB" w14:textId="77777777" w:rsidR="00471D53" w:rsidRDefault="00B664AF">
                <w:pPr>
                  <w:jc w:val="right"/>
                  <w:rPr>
                    <w:szCs w:val="21"/>
                  </w:rPr>
                </w:pPr>
              </w:p>
            </w:tc>
            <w:tc>
              <w:tcPr>
                <w:tcW w:w="1494" w:type="pct"/>
              </w:tcPr>
              <w:p w14:paraId="39FFF571" w14:textId="77777777" w:rsidR="00471D53" w:rsidRDefault="00B664AF">
                <w:pPr>
                  <w:jc w:val="right"/>
                  <w:rPr>
                    <w:szCs w:val="21"/>
                  </w:rPr>
                </w:pPr>
              </w:p>
            </w:tc>
          </w:tr>
          <w:sdt>
            <w:sdtPr>
              <w:rPr>
                <w:rFonts w:hint="eastAsia"/>
              </w:rPr>
              <w:alias w:val="其他投资收益"/>
              <w:tag w:val="_TUP_1e4670059c8948749cda0c0baf7948f3"/>
              <w:id w:val="-1220897442"/>
              <w:lock w:val="sdtLocked"/>
            </w:sdtPr>
            <w:sdtEndPr>
              <w:rPr>
                <w:rFonts w:hint="default"/>
                <w:szCs w:val="21"/>
              </w:rPr>
            </w:sdtEndPr>
            <w:sdtContent>
              <w:tr w:rsidR="00471D53" w14:paraId="6AABC12C" w14:textId="77777777" w:rsidTr="00DC1550">
                <w:tc>
                  <w:tcPr>
                    <w:tcW w:w="2018" w:type="pct"/>
                  </w:tcPr>
                  <w:p w14:paraId="2CE808BE" w14:textId="77777777" w:rsidR="00471D53" w:rsidRDefault="00B664AF"/>
                </w:tc>
                <w:tc>
                  <w:tcPr>
                    <w:tcW w:w="1488" w:type="pct"/>
                  </w:tcPr>
                  <w:p w14:paraId="5CA43B03" w14:textId="77777777" w:rsidR="00471D53" w:rsidRDefault="00B664AF">
                    <w:pPr>
                      <w:jc w:val="right"/>
                      <w:rPr>
                        <w:szCs w:val="21"/>
                      </w:rPr>
                    </w:pPr>
                  </w:p>
                </w:tc>
                <w:tc>
                  <w:tcPr>
                    <w:tcW w:w="1494" w:type="pct"/>
                  </w:tcPr>
                  <w:p w14:paraId="2378C1B3" w14:textId="77777777" w:rsidR="00471D53" w:rsidRDefault="00B664AF">
                    <w:pPr>
                      <w:jc w:val="right"/>
                      <w:rPr>
                        <w:szCs w:val="21"/>
                      </w:rPr>
                    </w:pPr>
                  </w:p>
                </w:tc>
              </w:tr>
            </w:sdtContent>
          </w:sdt>
          <w:sdt>
            <w:sdtPr>
              <w:rPr>
                <w:rFonts w:hint="eastAsia"/>
              </w:rPr>
              <w:alias w:val="其他投资收益"/>
              <w:tag w:val="_TUP_1e4670059c8948749cda0c0baf7948f3"/>
              <w:id w:val="-1520314154"/>
              <w:lock w:val="sdtLocked"/>
            </w:sdtPr>
            <w:sdtEndPr>
              <w:rPr>
                <w:rFonts w:hint="default"/>
                <w:szCs w:val="21"/>
              </w:rPr>
            </w:sdtEndPr>
            <w:sdtContent>
              <w:tr w:rsidR="00471D53" w14:paraId="2D8FECE1" w14:textId="77777777" w:rsidTr="00DC1550">
                <w:tc>
                  <w:tcPr>
                    <w:tcW w:w="2018" w:type="pct"/>
                  </w:tcPr>
                  <w:p w14:paraId="6CA3456A" w14:textId="77777777" w:rsidR="00471D53" w:rsidRDefault="00B664AF"/>
                </w:tc>
                <w:tc>
                  <w:tcPr>
                    <w:tcW w:w="1488" w:type="pct"/>
                  </w:tcPr>
                  <w:p w14:paraId="4EAAD823" w14:textId="77777777" w:rsidR="00471D53" w:rsidRDefault="00B664AF">
                    <w:pPr>
                      <w:jc w:val="right"/>
                      <w:rPr>
                        <w:szCs w:val="21"/>
                      </w:rPr>
                    </w:pPr>
                  </w:p>
                </w:tc>
                <w:tc>
                  <w:tcPr>
                    <w:tcW w:w="1494" w:type="pct"/>
                  </w:tcPr>
                  <w:p w14:paraId="0B328E76" w14:textId="77777777" w:rsidR="00471D53" w:rsidRDefault="00B664AF">
                    <w:pPr>
                      <w:jc w:val="right"/>
                      <w:rPr>
                        <w:szCs w:val="21"/>
                      </w:rPr>
                    </w:pPr>
                  </w:p>
                </w:tc>
              </w:tr>
            </w:sdtContent>
          </w:sdt>
          <w:tr w:rsidR="00471D53" w14:paraId="04D3B413" w14:textId="77777777" w:rsidTr="00471D53">
            <w:sdt>
              <w:sdtPr>
                <w:tag w:val="_PLD_11e45f17edee4a0fa17110849cf94fad"/>
                <w:id w:val="-383257246"/>
                <w:lock w:val="sdtLocked"/>
              </w:sdtPr>
              <w:sdtEndPr/>
              <w:sdtContent>
                <w:tc>
                  <w:tcPr>
                    <w:tcW w:w="2018" w:type="pct"/>
                    <w:vAlign w:val="center"/>
                  </w:tcPr>
                  <w:p w14:paraId="0BEDE64D" w14:textId="77777777" w:rsidR="00471D53" w:rsidRDefault="004F686E">
                    <w:pPr>
                      <w:jc w:val="center"/>
                      <w:rPr>
                        <w:szCs w:val="21"/>
                      </w:rPr>
                    </w:pPr>
                    <w:r>
                      <w:rPr>
                        <w:rFonts w:hint="eastAsia"/>
                        <w:szCs w:val="21"/>
                      </w:rPr>
                      <w:t>合计</w:t>
                    </w:r>
                  </w:p>
                </w:tc>
              </w:sdtContent>
            </w:sdt>
            <w:tc>
              <w:tcPr>
                <w:tcW w:w="1488" w:type="pct"/>
                <w:vAlign w:val="center"/>
              </w:tcPr>
              <w:p w14:paraId="1D415B1A" w14:textId="77777777" w:rsidR="00471D53" w:rsidRDefault="004F686E" w:rsidP="00471D53">
                <w:pPr>
                  <w:jc w:val="right"/>
                  <w:rPr>
                    <w:rFonts w:cs="Calibri"/>
                    <w:sz w:val="22"/>
                    <w:szCs w:val="22"/>
                  </w:rPr>
                </w:pPr>
                <w:r w:rsidRPr="007D6F43">
                  <w:rPr>
                    <w:rFonts w:cs="Calibri"/>
                    <w:sz w:val="22"/>
                    <w:szCs w:val="22"/>
                  </w:rPr>
                  <w:t>3,532,099.11</w:t>
                </w:r>
              </w:p>
            </w:tc>
            <w:tc>
              <w:tcPr>
                <w:tcW w:w="1494" w:type="pct"/>
                <w:vAlign w:val="center"/>
              </w:tcPr>
              <w:p w14:paraId="6F50AB97" w14:textId="77777777" w:rsidR="00471D53" w:rsidRDefault="004F686E" w:rsidP="00471D53">
                <w:pPr>
                  <w:jc w:val="right"/>
                  <w:rPr>
                    <w:sz w:val="22"/>
                    <w:szCs w:val="22"/>
                  </w:rPr>
                </w:pPr>
                <w:r w:rsidRPr="0053740B">
                  <w:rPr>
                    <w:sz w:val="22"/>
                    <w:szCs w:val="22"/>
                  </w:rPr>
                  <w:t>-6,049,911.14</w:t>
                </w:r>
              </w:p>
            </w:tc>
          </w:tr>
        </w:tbl>
        <w:bookmarkEnd w:id="222"/>
        <w:p w14:paraId="48AFE5E3" w14:textId="77777777" w:rsidR="00471D53" w:rsidRDefault="004F686E">
          <w:pPr>
            <w:spacing w:before="60" w:after="60" w:line="360" w:lineRule="exact"/>
            <w:rPr>
              <w:szCs w:val="21"/>
            </w:rPr>
          </w:pPr>
          <w:r>
            <w:rPr>
              <w:rFonts w:hint="eastAsia"/>
              <w:szCs w:val="21"/>
            </w:rPr>
            <w:t>其他说明：</w:t>
          </w:r>
        </w:p>
        <w:sdt>
          <w:sdtPr>
            <w:rPr>
              <w:rFonts w:hint="eastAsia"/>
              <w:szCs w:val="21"/>
            </w:rPr>
            <w:alias w:val="投资收益说明"/>
            <w:tag w:val="_GBC_911712f239a14e98b4c6c89180ceef27"/>
            <w:id w:val="766972183"/>
            <w:lock w:val="sdtLocked"/>
            <w:placeholder>
              <w:docPart w:val="GBC22222222222222222222222222222"/>
            </w:placeholder>
          </w:sdtPr>
          <w:sdtEndPr/>
          <w:sdtContent>
            <w:p w14:paraId="1F131D05" w14:textId="77777777" w:rsidR="00471D53" w:rsidRDefault="004F686E">
              <w:pPr>
                <w:autoSpaceDE w:val="0"/>
                <w:autoSpaceDN w:val="0"/>
                <w:adjustRightInd w:val="0"/>
                <w:rPr>
                  <w:szCs w:val="21"/>
                </w:rPr>
              </w:pPr>
              <w:r>
                <w:rPr>
                  <w:rFonts w:hint="eastAsia"/>
                  <w:szCs w:val="21"/>
                </w:rPr>
                <w:t>无</w:t>
              </w:r>
            </w:p>
          </w:sdtContent>
        </w:sdt>
      </w:sdtContent>
    </w:sdt>
    <w:bookmarkEnd w:id="221" w:displacedByCustomXml="prev"/>
    <w:p w14:paraId="175C3C3F" w14:textId="77777777" w:rsidR="00471D53" w:rsidRDefault="00B664AF">
      <w:pPr>
        <w:autoSpaceDE w:val="0"/>
        <w:autoSpaceDN w:val="0"/>
        <w:adjustRightInd w:val="0"/>
        <w:rPr>
          <w:szCs w:val="21"/>
        </w:rPr>
      </w:pPr>
    </w:p>
    <w:bookmarkStart w:id="223" w:name="_Hlk10538831" w:displacedByCustomXml="next"/>
    <w:sdt>
      <w:sdtPr>
        <w:rPr>
          <w:rFonts w:ascii="宋体" w:hAnsi="宋体" w:cs="宋体" w:hint="eastAsia"/>
          <w:b w:val="0"/>
          <w:bCs w:val="0"/>
          <w:kern w:val="0"/>
          <w:szCs w:val="21"/>
        </w:rPr>
        <w:alias w:val="模块:净敞口套期收益"/>
        <w:tag w:val="_SEC_cbd8186e9cf3452cab63fa24a69149bc"/>
        <w:id w:val="-1855261004"/>
        <w:lock w:val="sdtLocked"/>
        <w:placeholder>
          <w:docPart w:val="GBC22222222222222222222222222222"/>
        </w:placeholder>
      </w:sdtPr>
      <w:sdtEndPr>
        <w:rPr>
          <w:rFonts w:hint="default"/>
          <w:szCs w:val="24"/>
        </w:rPr>
      </w:sdtEndPr>
      <w:sdtContent>
        <w:p w14:paraId="488002DF"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净敞口套期收益</w:t>
          </w:r>
        </w:p>
        <w:sdt>
          <w:sdtPr>
            <w:alias w:val="是否适用：净敞口套期收益[双击切换]"/>
            <w:tag w:val="_GBC_33e106b71ec640cd9126570421557bda"/>
            <w:id w:val="1998538626"/>
            <w:lock w:val="sdtLocked"/>
            <w:placeholder>
              <w:docPart w:val="GBC22222222222222222222222222222"/>
            </w:placeholder>
          </w:sdtPr>
          <w:sdtEndPr/>
          <w:sdtContent>
            <w:p w14:paraId="71FAF183"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1CCC1C5" w14:textId="77777777" w:rsidR="00471D53" w:rsidRDefault="00B664AF">
          <w:pPr>
            <w:autoSpaceDE w:val="0"/>
            <w:autoSpaceDN w:val="0"/>
            <w:adjustRightInd w:val="0"/>
            <w:rPr>
              <w:szCs w:val="21"/>
            </w:rPr>
          </w:pPr>
        </w:p>
      </w:sdtContent>
    </w:sdt>
    <w:bookmarkEnd w:id="223" w:displacedByCustomXml="prev"/>
    <w:p w14:paraId="473B700B" w14:textId="77777777" w:rsidR="00471D53" w:rsidRDefault="00B664AF"/>
    <w:bookmarkStart w:id="224" w:name="_Hlk10538896" w:displacedByCustomXml="next"/>
    <w:sdt>
      <w:sdtPr>
        <w:rPr>
          <w:rFonts w:ascii="宋体" w:hAnsi="宋体" w:cs="宋体" w:hint="eastAsia"/>
          <w:b w:val="0"/>
          <w:bCs w:val="0"/>
          <w:kern w:val="0"/>
          <w:szCs w:val="21"/>
        </w:rPr>
        <w:alias w:val="模块:公允价值变动收益"/>
        <w:tag w:val="_GBC_66e6cb51ec7740408a31ff233ae3330d"/>
        <w:id w:val="433323938"/>
        <w:lock w:val="sdtLocked"/>
        <w:placeholder>
          <w:docPart w:val="GBC22222222222222222222222222222"/>
        </w:placeholder>
      </w:sdtPr>
      <w:sdtEndPr>
        <w:rPr>
          <w:rFonts w:cstheme="minorBidi"/>
          <w:kern w:val="2"/>
        </w:rPr>
      </w:sdtEndPr>
      <w:sdtContent>
        <w:p w14:paraId="4E461F0D"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21669fdeb74c4273a55facece1a56109"/>
            <w:id w:val="-1216966400"/>
            <w:lock w:val="sdtLocked"/>
            <w:placeholder>
              <w:docPart w:val="GBC22222222222222222222222222222"/>
            </w:placeholder>
          </w:sdtPr>
          <w:sdtEndPr/>
          <w:sdtContent>
            <w:p w14:paraId="73221361"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DE6E3B2" w14:textId="77777777" w:rsidR="00471D53" w:rsidRDefault="00B664AF">
          <w:pPr>
            <w:rPr>
              <w:szCs w:val="21"/>
            </w:rPr>
          </w:pPr>
        </w:p>
      </w:sdtContent>
    </w:sdt>
    <w:bookmarkEnd w:id="224" w:displacedByCustomXml="prev"/>
    <w:p w14:paraId="7BAAFCC1" w14:textId="77777777" w:rsidR="00471D53" w:rsidRDefault="00B664AF">
      <w:pPr>
        <w:rPr>
          <w:szCs w:val="21"/>
        </w:rPr>
      </w:pPr>
    </w:p>
    <w:bookmarkStart w:id="225" w:name="_Hlk72829754" w:displacedByCustomXml="next"/>
    <w:sdt>
      <w:sdtPr>
        <w:rPr>
          <w:rFonts w:ascii="宋体" w:hAnsi="宋体" w:cs="宋体"/>
          <w:b w:val="0"/>
          <w:bCs w:val="0"/>
          <w:kern w:val="0"/>
          <w:szCs w:val="21"/>
        </w:rPr>
        <w:alias w:val="模块:"/>
        <w:tag w:val="_SEC_87edd713957c4f11900f8738aeba1216"/>
        <w:id w:val="-690837285"/>
        <w:lock w:val="sdtLocked"/>
        <w:placeholder>
          <w:docPart w:val="GBC22222222222222222222222222222"/>
        </w:placeholder>
      </w:sdtPr>
      <w:sdtEndPr/>
      <w:sdtContent>
        <w:p w14:paraId="69AF71B8" w14:textId="77777777" w:rsidR="00471D53" w:rsidRDefault="004F686E" w:rsidP="004F686E">
          <w:pPr>
            <w:pStyle w:val="afffff7"/>
            <w:numPr>
              <w:ilvl w:val="0"/>
              <w:numId w:val="55"/>
            </w:numPr>
            <w:tabs>
              <w:tab w:val="left" w:pos="504"/>
            </w:tabs>
            <w:rPr>
              <w:rFonts w:ascii="宋体" w:hAnsi="宋体"/>
            </w:rPr>
          </w:pPr>
          <w:r>
            <w:rPr>
              <w:rFonts w:ascii="宋体" w:hAnsi="宋体" w:hint="eastAsia"/>
            </w:rPr>
            <w:t>信用减值损失</w:t>
          </w:r>
        </w:p>
        <w:sdt>
          <w:sdtPr>
            <w:alias w:val="是否适用：信用减值损失[双击切换]"/>
            <w:tag w:val="_GBC_091d631028b64a0dbabe3c252fdf5712"/>
            <w:id w:val="1516122120"/>
            <w:lock w:val="sdtLocked"/>
            <w:placeholder>
              <w:docPart w:val="GBC22222222222222222222222222222"/>
            </w:placeholder>
          </w:sdtPr>
          <w:sdtEndPr/>
          <w:sdtContent>
            <w:p w14:paraId="0AAA988F"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8A06790" w14:textId="262515A6" w:rsidR="00471D53" w:rsidRDefault="004F686E">
          <w:pPr>
            <w:pStyle w:val="affffff7"/>
            <w:ind w:left="420" w:firstLineChars="0" w:firstLine="0"/>
            <w:jc w:val="right"/>
            <w:rPr>
              <w:rFonts w:ascii="宋体" w:hAnsi="宋体"/>
            </w:rPr>
          </w:pPr>
          <w:r>
            <w:rPr>
              <w:rFonts w:ascii="宋体" w:hAnsi="宋体" w:hint="eastAsia"/>
            </w:rPr>
            <w:t>单位：</w:t>
          </w:r>
          <w:sdt>
            <w:sdtPr>
              <w:rPr>
                <w:rFonts w:ascii="宋体" w:hAnsi="宋体" w:hint="eastAsia"/>
              </w:rPr>
              <w:alias w:val="单位：信用减值损失"/>
              <w:tag w:val="_GBC_be6f29e88d6d4a459d7640ec9d687c98"/>
              <w:id w:val="-2017039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rPr>
                <w:t>元</w:t>
              </w:r>
            </w:sdtContent>
          </w:sdt>
          <w:r>
            <w:rPr>
              <w:rFonts w:ascii="宋体" w:hAnsi="宋体" w:hint="eastAsia"/>
            </w:rPr>
            <w:t>币种：</w:t>
          </w:r>
          <w:sdt>
            <w:sdtPr>
              <w:rPr>
                <w:rFonts w:ascii="宋体" w:hAnsi="宋体" w:hint="eastAsia"/>
              </w:rPr>
              <w:alias w:val="币种：信用减值损失"/>
              <w:tag w:val="_GBC_7bb1c4130f5c47cdbfa091247dbf05dc"/>
              <w:id w:val="3038279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560"/>
            <w:gridCol w:w="2620"/>
            <w:gridCol w:w="2643"/>
          </w:tblGrid>
          <w:tr w:rsidR="00471D53" w14:paraId="5615116E" w14:textId="77777777" w:rsidTr="00471D53">
            <w:sdt>
              <w:sdtPr>
                <w:tag w:val="_PLD_64ee29c5c67448b288248caa86e974a6"/>
                <w:id w:val="1436250234"/>
                <w:lock w:val="sdtLocked"/>
              </w:sdtPr>
              <w:sdtEndPr/>
              <w:sdtContent>
                <w:tc>
                  <w:tcPr>
                    <w:tcW w:w="2017" w:type="pct"/>
                    <w:shd w:val="clear" w:color="auto" w:fill="auto"/>
                    <w:vAlign w:val="center"/>
                  </w:tcPr>
                  <w:p w14:paraId="2E45C831" w14:textId="77777777" w:rsidR="00471D53" w:rsidRDefault="004F686E">
                    <w:pPr>
                      <w:jc w:val="center"/>
                      <w:rPr>
                        <w:szCs w:val="21"/>
                      </w:rPr>
                    </w:pPr>
                    <w:r>
                      <w:rPr>
                        <w:rFonts w:hint="eastAsia"/>
                        <w:szCs w:val="21"/>
                      </w:rPr>
                      <w:t>项目</w:t>
                    </w:r>
                  </w:p>
                </w:tc>
              </w:sdtContent>
            </w:sdt>
            <w:sdt>
              <w:sdtPr>
                <w:tag w:val="_PLD_560d3fc458c74be7aaa6d31bdfb4da69"/>
                <w:id w:val="1516653142"/>
                <w:lock w:val="sdtLocked"/>
              </w:sdtPr>
              <w:sdtEndPr/>
              <w:sdtContent>
                <w:tc>
                  <w:tcPr>
                    <w:tcW w:w="1485" w:type="pct"/>
                    <w:tcBorders>
                      <w:bottom w:val="single" w:sz="6" w:space="0" w:color="auto"/>
                    </w:tcBorders>
                    <w:shd w:val="clear" w:color="auto" w:fill="auto"/>
                    <w:vAlign w:val="center"/>
                  </w:tcPr>
                  <w:p w14:paraId="5588918B" w14:textId="77777777" w:rsidR="00471D53" w:rsidRDefault="004F686E">
                    <w:pPr>
                      <w:jc w:val="center"/>
                      <w:rPr>
                        <w:szCs w:val="21"/>
                      </w:rPr>
                    </w:pPr>
                    <w:r>
                      <w:rPr>
                        <w:rFonts w:hint="eastAsia"/>
                        <w:szCs w:val="21"/>
                      </w:rPr>
                      <w:t>本期发生额</w:t>
                    </w:r>
                  </w:p>
                </w:tc>
              </w:sdtContent>
            </w:sdt>
            <w:sdt>
              <w:sdtPr>
                <w:tag w:val="_PLD_4dbd931f6768425793e565db22a0fbd4"/>
                <w:id w:val="139162473"/>
                <w:lock w:val="sdtLocked"/>
              </w:sdtPr>
              <w:sdtEndPr/>
              <w:sdtContent>
                <w:tc>
                  <w:tcPr>
                    <w:tcW w:w="1498" w:type="pct"/>
                    <w:shd w:val="clear" w:color="auto" w:fill="auto"/>
                    <w:vAlign w:val="center"/>
                  </w:tcPr>
                  <w:p w14:paraId="5401487D" w14:textId="77777777" w:rsidR="00471D53" w:rsidRDefault="004F686E">
                    <w:pPr>
                      <w:jc w:val="center"/>
                      <w:rPr>
                        <w:szCs w:val="21"/>
                      </w:rPr>
                    </w:pPr>
                    <w:r>
                      <w:rPr>
                        <w:rFonts w:hint="eastAsia"/>
                        <w:szCs w:val="21"/>
                      </w:rPr>
                      <w:t>上期发生额</w:t>
                    </w:r>
                  </w:p>
                </w:tc>
              </w:sdtContent>
            </w:sdt>
          </w:tr>
          <w:tr w:rsidR="00471D53" w14:paraId="392EAD71" w14:textId="77777777" w:rsidTr="00471D53">
            <w:tc>
              <w:tcPr>
                <w:tcW w:w="2017" w:type="pct"/>
                <w:shd w:val="clear" w:color="auto" w:fill="auto"/>
                <w:vAlign w:val="center"/>
              </w:tcPr>
              <w:sdt>
                <w:sdtPr>
                  <w:rPr>
                    <w:rFonts w:hint="eastAsia"/>
                    <w:szCs w:val="21"/>
                  </w:rPr>
                  <w:tag w:val="_PLD_ef2c9737ec214e14a40a6f09e2459ccb"/>
                  <w:id w:val="-885484452"/>
                  <w:lock w:val="sdtLocked"/>
                </w:sdtPr>
                <w:sdtEndPr/>
                <w:sdtContent>
                  <w:p w14:paraId="014A9A7B" w14:textId="77777777" w:rsidR="00471D53" w:rsidRDefault="004F686E">
                    <w:pPr>
                      <w:rPr>
                        <w:szCs w:val="21"/>
                      </w:rPr>
                    </w:pPr>
                    <w:r>
                      <w:rPr>
                        <w:rFonts w:hint="eastAsia"/>
                        <w:szCs w:val="21"/>
                      </w:rPr>
                      <w:t>应收票据坏账损失</w:t>
                    </w:r>
                  </w:p>
                </w:sdtContent>
              </w:sdt>
            </w:tc>
            <w:tc>
              <w:tcPr>
                <w:tcW w:w="1485" w:type="pct"/>
                <w:tcBorders>
                  <w:top w:val="single" w:sz="6" w:space="0" w:color="auto"/>
                  <w:bottom w:val="single" w:sz="6" w:space="0" w:color="auto"/>
                </w:tcBorders>
                <w:shd w:val="clear" w:color="auto" w:fill="auto"/>
              </w:tcPr>
              <w:p w14:paraId="0FFBFD2F" w14:textId="77777777" w:rsidR="00471D53" w:rsidRDefault="00B664AF">
                <w:pPr>
                  <w:jc w:val="right"/>
                  <w:rPr>
                    <w:szCs w:val="21"/>
                  </w:rPr>
                </w:pPr>
              </w:p>
            </w:tc>
            <w:tc>
              <w:tcPr>
                <w:tcW w:w="1498" w:type="pct"/>
                <w:shd w:val="clear" w:color="auto" w:fill="auto"/>
              </w:tcPr>
              <w:p w14:paraId="512CA7D0" w14:textId="77777777" w:rsidR="00471D53" w:rsidRDefault="00B664AF">
                <w:pPr>
                  <w:jc w:val="right"/>
                  <w:rPr>
                    <w:szCs w:val="21"/>
                  </w:rPr>
                </w:pPr>
              </w:p>
            </w:tc>
          </w:tr>
          <w:tr w:rsidR="00471D53" w14:paraId="48522AC0" w14:textId="77777777" w:rsidTr="00471D53">
            <w:tc>
              <w:tcPr>
                <w:tcW w:w="2017" w:type="pct"/>
                <w:shd w:val="clear" w:color="auto" w:fill="auto"/>
                <w:vAlign w:val="center"/>
              </w:tcPr>
              <w:sdt>
                <w:sdtPr>
                  <w:rPr>
                    <w:rFonts w:hint="eastAsia"/>
                    <w:szCs w:val="21"/>
                  </w:rPr>
                  <w:tag w:val="_PLD_18ea6a1502d94e719ef09009f3e7b0cc"/>
                  <w:id w:val="-518699478"/>
                  <w:lock w:val="sdtLocked"/>
                </w:sdtPr>
                <w:sdtEndPr/>
                <w:sdtContent>
                  <w:p w14:paraId="4EC0A629" w14:textId="77777777" w:rsidR="00471D53" w:rsidRDefault="004F686E">
                    <w:pPr>
                      <w:rPr>
                        <w:szCs w:val="21"/>
                      </w:rPr>
                    </w:pPr>
                    <w:r>
                      <w:rPr>
                        <w:rFonts w:hint="eastAsia"/>
                        <w:szCs w:val="21"/>
                      </w:rPr>
                      <w:t>应收账款坏账损失</w:t>
                    </w:r>
                  </w:p>
                </w:sdtContent>
              </w:sdt>
            </w:tc>
            <w:tc>
              <w:tcPr>
                <w:tcW w:w="1485" w:type="pct"/>
                <w:tcBorders>
                  <w:top w:val="single" w:sz="6" w:space="0" w:color="auto"/>
                  <w:bottom w:val="single" w:sz="6" w:space="0" w:color="auto"/>
                </w:tcBorders>
                <w:shd w:val="clear" w:color="auto" w:fill="auto"/>
                <w:vAlign w:val="center"/>
              </w:tcPr>
              <w:p w14:paraId="3954609D" w14:textId="77777777" w:rsidR="00471D53" w:rsidRPr="009A3EC3" w:rsidRDefault="004F686E" w:rsidP="00471D53">
                <w:pPr>
                  <w:jc w:val="right"/>
                  <w:rPr>
                    <w:rFonts w:cs="Calibri"/>
                    <w:sz w:val="22"/>
                    <w:szCs w:val="22"/>
                  </w:rPr>
                </w:pPr>
                <w:r>
                  <w:rPr>
                    <w:rFonts w:cs="Calibri" w:hint="eastAsia"/>
                    <w:sz w:val="22"/>
                    <w:szCs w:val="22"/>
                  </w:rPr>
                  <w:t>-</w:t>
                </w:r>
                <w:r w:rsidRPr="00F13069">
                  <w:rPr>
                    <w:rFonts w:cs="Calibri"/>
                    <w:sz w:val="22"/>
                    <w:szCs w:val="22"/>
                  </w:rPr>
                  <w:t>2,925,645.12</w:t>
                </w:r>
              </w:p>
            </w:tc>
            <w:tc>
              <w:tcPr>
                <w:tcW w:w="1498" w:type="pct"/>
                <w:shd w:val="clear" w:color="auto" w:fill="auto"/>
                <w:vAlign w:val="center"/>
              </w:tcPr>
              <w:p w14:paraId="750B29DE" w14:textId="77777777" w:rsidR="00471D53" w:rsidRPr="009A3EC3" w:rsidRDefault="004F686E" w:rsidP="00471D53">
                <w:pPr>
                  <w:jc w:val="right"/>
                  <w:rPr>
                    <w:sz w:val="22"/>
                    <w:szCs w:val="22"/>
                  </w:rPr>
                </w:pPr>
                <w:r w:rsidRPr="0053740B">
                  <w:rPr>
                    <w:sz w:val="22"/>
                    <w:szCs w:val="22"/>
                  </w:rPr>
                  <w:t>-4,673,431.99</w:t>
                </w:r>
              </w:p>
            </w:tc>
          </w:tr>
          <w:tr w:rsidR="00471D53" w14:paraId="6FC1ED2F" w14:textId="77777777" w:rsidTr="00471D53">
            <w:tc>
              <w:tcPr>
                <w:tcW w:w="2017" w:type="pct"/>
                <w:shd w:val="clear" w:color="auto" w:fill="auto"/>
                <w:vAlign w:val="center"/>
              </w:tcPr>
              <w:sdt>
                <w:sdtPr>
                  <w:rPr>
                    <w:rFonts w:hint="eastAsia"/>
                    <w:szCs w:val="21"/>
                  </w:rPr>
                  <w:tag w:val="_PLD_183b461709384c1dad0a5ada5156e0c2"/>
                  <w:id w:val="90906772"/>
                  <w:lock w:val="sdtLocked"/>
                </w:sdtPr>
                <w:sdtEndPr/>
                <w:sdtContent>
                  <w:p w14:paraId="133EE065" w14:textId="77777777" w:rsidR="00471D53" w:rsidRDefault="004F686E">
                    <w:pPr>
                      <w:rPr>
                        <w:szCs w:val="21"/>
                      </w:rPr>
                    </w:pPr>
                    <w:r>
                      <w:rPr>
                        <w:rFonts w:hint="eastAsia"/>
                        <w:szCs w:val="21"/>
                      </w:rPr>
                      <w:t>其他应收款坏账损失</w:t>
                    </w:r>
                  </w:p>
                </w:sdtContent>
              </w:sdt>
            </w:tc>
            <w:tc>
              <w:tcPr>
                <w:tcW w:w="1485" w:type="pct"/>
                <w:tcBorders>
                  <w:top w:val="single" w:sz="6" w:space="0" w:color="auto"/>
                  <w:bottom w:val="single" w:sz="6" w:space="0" w:color="auto"/>
                </w:tcBorders>
                <w:shd w:val="clear" w:color="auto" w:fill="auto"/>
                <w:vAlign w:val="center"/>
              </w:tcPr>
              <w:p w14:paraId="25559862" w14:textId="77777777" w:rsidR="00471D53" w:rsidRPr="009A3EC3" w:rsidRDefault="004F686E" w:rsidP="00471D53">
                <w:pPr>
                  <w:jc w:val="right"/>
                  <w:rPr>
                    <w:rFonts w:cs="Calibri"/>
                    <w:sz w:val="22"/>
                    <w:szCs w:val="22"/>
                  </w:rPr>
                </w:pPr>
                <w:r>
                  <w:rPr>
                    <w:rFonts w:cs="Calibri" w:hint="eastAsia"/>
                    <w:sz w:val="22"/>
                    <w:szCs w:val="22"/>
                  </w:rPr>
                  <w:t>-</w:t>
                </w:r>
                <w:r w:rsidRPr="0082272C">
                  <w:rPr>
                    <w:rFonts w:cs="Calibri"/>
                    <w:sz w:val="22"/>
                    <w:szCs w:val="22"/>
                  </w:rPr>
                  <w:t>91,197.66</w:t>
                </w:r>
              </w:p>
            </w:tc>
            <w:tc>
              <w:tcPr>
                <w:tcW w:w="1498" w:type="pct"/>
                <w:shd w:val="clear" w:color="auto" w:fill="auto"/>
                <w:vAlign w:val="center"/>
              </w:tcPr>
              <w:p w14:paraId="5FC3A5F1" w14:textId="77777777" w:rsidR="00471D53" w:rsidRPr="009A3EC3" w:rsidRDefault="004F686E" w:rsidP="00471D53">
                <w:pPr>
                  <w:jc w:val="right"/>
                  <w:rPr>
                    <w:sz w:val="22"/>
                    <w:szCs w:val="22"/>
                  </w:rPr>
                </w:pPr>
                <w:r w:rsidRPr="0053740B">
                  <w:rPr>
                    <w:sz w:val="22"/>
                    <w:szCs w:val="22"/>
                  </w:rPr>
                  <w:t>-8,070.45</w:t>
                </w:r>
              </w:p>
            </w:tc>
          </w:tr>
          <w:tr w:rsidR="00471D53" w14:paraId="644602D6" w14:textId="77777777" w:rsidTr="00471D53">
            <w:tc>
              <w:tcPr>
                <w:tcW w:w="2017" w:type="pct"/>
                <w:shd w:val="clear" w:color="auto" w:fill="auto"/>
                <w:vAlign w:val="center"/>
              </w:tcPr>
              <w:sdt>
                <w:sdtPr>
                  <w:rPr>
                    <w:rFonts w:hint="eastAsia"/>
                    <w:szCs w:val="21"/>
                  </w:rPr>
                  <w:tag w:val="_PLD_ac8555873eee4a0b8a88028018d33862"/>
                  <w:id w:val="568849470"/>
                  <w:lock w:val="sdtLocked"/>
                </w:sdtPr>
                <w:sdtEndPr/>
                <w:sdtContent>
                  <w:p w14:paraId="7DB50DB8" w14:textId="77777777" w:rsidR="00471D53" w:rsidRDefault="004F686E">
                    <w:pPr>
                      <w:rPr>
                        <w:szCs w:val="21"/>
                      </w:rPr>
                    </w:pPr>
                    <w:r>
                      <w:rPr>
                        <w:rFonts w:hint="eastAsia"/>
                        <w:szCs w:val="21"/>
                      </w:rPr>
                      <w:t>债权投资减值损失</w:t>
                    </w:r>
                  </w:p>
                </w:sdtContent>
              </w:sdt>
            </w:tc>
            <w:tc>
              <w:tcPr>
                <w:tcW w:w="1485" w:type="pct"/>
                <w:tcBorders>
                  <w:top w:val="single" w:sz="6" w:space="0" w:color="auto"/>
                  <w:bottom w:val="single" w:sz="6" w:space="0" w:color="auto"/>
                </w:tcBorders>
                <w:shd w:val="clear" w:color="auto" w:fill="auto"/>
              </w:tcPr>
              <w:p w14:paraId="0568CF9C" w14:textId="77777777" w:rsidR="00471D53" w:rsidRDefault="00B664AF">
                <w:pPr>
                  <w:jc w:val="right"/>
                  <w:rPr>
                    <w:szCs w:val="21"/>
                  </w:rPr>
                </w:pPr>
              </w:p>
            </w:tc>
            <w:tc>
              <w:tcPr>
                <w:tcW w:w="1498" w:type="pct"/>
                <w:shd w:val="clear" w:color="auto" w:fill="auto"/>
              </w:tcPr>
              <w:p w14:paraId="20F14DE5" w14:textId="77777777" w:rsidR="00471D53" w:rsidRDefault="00B664AF">
                <w:pPr>
                  <w:jc w:val="right"/>
                  <w:rPr>
                    <w:szCs w:val="21"/>
                  </w:rPr>
                </w:pPr>
              </w:p>
            </w:tc>
          </w:tr>
          <w:tr w:rsidR="00471D53" w14:paraId="15D0E8C1" w14:textId="77777777" w:rsidTr="00471D53">
            <w:tc>
              <w:tcPr>
                <w:tcW w:w="2017" w:type="pct"/>
                <w:shd w:val="clear" w:color="auto" w:fill="auto"/>
                <w:vAlign w:val="center"/>
              </w:tcPr>
              <w:sdt>
                <w:sdtPr>
                  <w:rPr>
                    <w:rFonts w:hint="eastAsia"/>
                    <w:szCs w:val="21"/>
                  </w:rPr>
                  <w:tag w:val="_PLD_bc847f600d3e4663b17f47f68007ad6e"/>
                  <w:id w:val="1349907249"/>
                  <w:lock w:val="sdtLocked"/>
                </w:sdtPr>
                <w:sdtEndPr/>
                <w:sdtContent>
                  <w:p w14:paraId="6CE7B1DE" w14:textId="77777777" w:rsidR="00471D53" w:rsidRDefault="004F686E">
                    <w:pPr>
                      <w:rPr>
                        <w:szCs w:val="21"/>
                      </w:rPr>
                    </w:pPr>
                    <w:r>
                      <w:rPr>
                        <w:rFonts w:hint="eastAsia"/>
                        <w:szCs w:val="21"/>
                      </w:rPr>
                      <w:t>其他债权投资减值损失</w:t>
                    </w:r>
                  </w:p>
                </w:sdtContent>
              </w:sdt>
            </w:tc>
            <w:tc>
              <w:tcPr>
                <w:tcW w:w="1485" w:type="pct"/>
                <w:tcBorders>
                  <w:top w:val="single" w:sz="6" w:space="0" w:color="auto"/>
                  <w:bottom w:val="single" w:sz="6" w:space="0" w:color="auto"/>
                </w:tcBorders>
                <w:shd w:val="clear" w:color="auto" w:fill="auto"/>
              </w:tcPr>
              <w:p w14:paraId="02C80082" w14:textId="77777777" w:rsidR="00471D53" w:rsidRDefault="00B664AF">
                <w:pPr>
                  <w:jc w:val="right"/>
                  <w:rPr>
                    <w:szCs w:val="21"/>
                  </w:rPr>
                </w:pPr>
              </w:p>
            </w:tc>
            <w:tc>
              <w:tcPr>
                <w:tcW w:w="1498" w:type="pct"/>
                <w:shd w:val="clear" w:color="auto" w:fill="auto"/>
              </w:tcPr>
              <w:p w14:paraId="4DC83CCA" w14:textId="77777777" w:rsidR="00471D53" w:rsidRDefault="00B664AF">
                <w:pPr>
                  <w:jc w:val="right"/>
                  <w:rPr>
                    <w:szCs w:val="21"/>
                  </w:rPr>
                </w:pPr>
              </w:p>
            </w:tc>
          </w:tr>
          <w:tr w:rsidR="00471D53" w14:paraId="21EAC7FF" w14:textId="77777777" w:rsidTr="00471D53">
            <w:tc>
              <w:tcPr>
                <w:tcW w:w="2017" w:type="pct"/>
                <w:shd w:val="clear" w:color="auto" w:fill="auto"/>
                <w:vAlign w:val="center"/>
              </w:tcPr>
              <w:sdt>
                <w:sdtPr>
                  <w:rPr>
                    <w:rFonts w:hint="eastAsia"/>
                    <w:szCs w:val="21"/>
                  </w:rPr>
                  <w:tag w:val="_PLD_2cfae99c64b44f6089efa40a283c1bfc"/>
                  <w:id w:val="201987208"/>
                  <w:lock w:val="sdtLocked"/>
                </w:sdtPr>
                <w:sdtEndPr/>
                <w:sdtContent>
                  <w:p w14:paraId="0A7DF6A7" w14:textId="77777777" w:rsidR="00471D53" w:rsidRDefault="004F686E">
                    <w:pPr>
                      <w:rPr>
                        <w:szCs w:val="21"/>
                      </w:rPr>
                    </w:pPr>
                    <w:r>
                      <w:rPr>
                        <w:rFonts w:hint="eastAsia"/>
                        <w:szCs w:val="21"/>
                      </w:rPr>
                      <w:t>长期应收款坏账损失</w:t>
                    </w:r>
                  </w:p>
                </w:sdtContent>
              </w:sdt>
            </w:tc>
            <w:tc>
              <w:tcPr>
                <w:tcW w:w="1485" w:type="pct"/>
                <w:tcBorders>
                  <w:top w:val="single" w:sz="6" w:space="0" w:color="auto"/>
                  <w:bottom w:val="single" w:sz="6" w:space="0" w:color="auto"/>
                </w:tcBorders>
                <w:shd w:val="clear" w:color="auto" w:fill="auto"/>
              </w:tcPr>
              <w:p w14:paraId="73F0B24D" w14:textId="77777777" w:rsidR="00471D53" w:rsidRDefault="00B664AF">
                <w:pPr>
                  <w:jc w:val="right"/>
                  <w:rPr>
                    <w:szCs w:val="21"/>
                  </w:rPr>
                </w:pPr>
              </w:p>
            </w:tc>
            <w:tc>
              <w:tcPr>
                <w:tcW w:w="1498" w:type="pct"/>
                <w:shd w:val="clear" w:color="auto" w:fill="auto"/>
              </w:tcPr>
              <w:p w14:paraId="73F53B24" w14:textId="77777777" w:rsidR="00471D53" w:rsidRDefault="00B664AF">
                <w:pPr>
                  <w:jc w:val="right"/>
                  <w:rPr>
                    <w:szCs w:val="21"/>
                  </w:rPr>
                </w:pPr>
              </w:p>
            </w:tc>
          </w:tr>
          <w:tr w:rsidR="00471D53" w14:paraId="4F05D6BE" w14:textId="77777777" w:rsidTr="00471D53">
            <w:tc>
              <w:tcPr>
                <w:tcW w:w="2017" w:type="pct"/>
                <w:shd w:val="clear" w:color="auto" w:fill="auto"/>
                <w:vAlign w:val="center"/>
              </w:tcPr>
              <w:sdt>
                <w:sdtPr>
                  <w:rPr>
                    <w:rFonts w:hint="eastAsia"/>
                    <w:szCs w:val="21"/>
                  </w:rPr>
                  <w:tag w:val="_PLD_c9ebf2faffa4479588376e81b1db922b"/>
                  <w:id w:val="-15619373"/>
                  <w:lock w:val="sdtLocked"/>
                </w:sdtPr>
                <w:sdtEndPr/>
                <w:sdtContent>
                  <w:p w14:paraId="4707351D" w14:textId="77777777" w:rsidR="00471D53" w:rsidRDefault="004F686E">
                    <w:pPr>
                      <w:rPr>
                        <w:szCs w:val="21"/>
                      </w:rPr>
                    </w:pPr>
                    <w:r>
                      <w:rPr>
                        <w:rFonts w:hint="eastAsia"/>
                        <w:szCs w:val="21"/>
                      </w:rPr>
                      <w:t>合同资产减值损失</w:t>
                    </w:r>
                  </w:p>
                </w:sdtContent>
              </w:sdt>
            </w:tc>
            <w:tc>
              <w:tcPr>
                <w:tcW w:w="1485" w:type="pct"/>
                <w:tcBorders>
                  <w:top w:val="single" w:sz="6" w:space="0" w:color="auto"/>
                  <w:bottom w:val="single" w:sz="6" w:space="0" w:color="auto"/>
                </w:tcBorders>
                <w:shd w:val="clear" w:color="auto" w:fill="auto"/>
                <w:vAlign w:val="center"/>
              </w:tcPr>
              <w:p w14:paraId="7DB6ED3D" w14:textId="77777777" w:rsidR="00471D53" w:rsidRPr="009A3EC3" w:rsidRDefault="004F686E" w:rsidP="00471D53">
                <w:pPr>
                  <w:jc w:val="right"/>
                  <w:rPr>
                    <w:sz w:val="22"/>
                    <w:szCs w:val="22"/>
                  </w:rPr>
                </w:pPr>
                <w:r>
                  <w:rPr>
                    <w:rFonts w:hint="eastAsia"/>
                    <w:sz w:val="22"/>
                    <w:szCs w:val="22"/>
                  </w:rPr>
                  <w:t>0</w:t>
                </w:r>
                <w:r>
                  <w:rPr>
                    <w:sz w:val="22"/>
                    <w:szCs w:val="22"/>
                  </w:rPr>
                  <w:t>.00</w:t>
                </w:r>
              </w:p>
            </w:tc>
            <w:tc>
              <w:tcPr>
                <w:tcW w:w="1498" w:type="pct"/>
                <w:shd w:val="clear" w:color="auto" w:fill="auto"/>
                <w:vAlign w:val="center"/>
              </w:tcPr>
              <w:p w14:paraId="6DB8363E" w14:textId="77777777" w:rsidR="00471D53" w:rsidRPr="009A3EC3" w:rsidRDefault="004F686E" w:rsidP="00471D53">
                <w:pPr>
                  <w:jc w:val="right"/>
                  <w:rPr>
                    <w:sz w:val="22"/>
                    <w:szCs w:val="22"/>
                  </w:rPr>
                </w:pPr>
                <w:r w:rsidRPr="0053740B">
                  <w:rPr>
                    <w:sz w:val="22"/>
                    <w:szCs w:val="22"/>
                  </w:rPr>
                  <w:t>-225,598.91</w:t>
                </w:r>
              </w:p>
            </w:tc>
          </w:tr>
          <w:sdt>
            <w:sdtPr>
              <w:rPr>
                <w:szCs w:val="21"/>
              </w:rPr>
              <w:alias w:val="信用减值损失明细"/>
              <w:tag w:val="_TUP_5de7ab4c13e84bbeb2f7ffab8e8e017a"/>
              <w:id w:val="-728769825"/>
              <w:lock w:val="sdtLocked"/>
            </w:sdtPr>
            <w:sdtEndPr/>
            <w:sdtContent>
              <w:tr w:rsidR="00471D53" w14:paraId="358C8C32" w14:textId="77777777" w:rsidTr="00471D53">
                <w:tc>
                  <w:tcPr>
                    <w:tcW w:w="2017" w:type="pct"/>
                    <w:shd w:val="clear" w:color="auto" w:fill="auto"/>
                    <w:vAlign w:val="center"/>
                  </w:tcPr>
                  <w:p w14:paraId="2E0C185B" w14:textId="77777777" w:rsidR="00471D53" w:rsidRDefault="00B664AF">
                    <w:pPr>
                      <w:rPr>
                        <w:szCs w:val="21"/>
                      </w:rPr>
                    </w:pPr>
                  </w:p>
                </w:tc>
                <w:tc>
                  <w:tcPr>
                    <w:tcW w:w="1485" w:type="pct"/>
                    <w:tcBorders>
                      <w:top w:val="single" w:sz="6" w:space="0" w:color="auto"/>
                      <w:bottom w:val="single" w:sz="6" w:space="0" w:color="auto"/>
                    </w:tcBorders>
                    <w:shd w:val="clear" w:color="auto" w:fill="auto"/>
                  </w:tcPr>
                  <w:p w14:paraId="210F3307" w14:textId="77777777" w:rsidR="00471D53" w:rsidRDefault="00B664AF">
                    <w:pPr>
                      <w:jc w:val="right"/>
                      <w:rPr>
                        <w:szCs w:val="21"/>
                      </w:rPr>
                    </w:pPr>
                  </w:p>
                </w:tc>
                <w:tc>
                  <w:tcPr>
                    <w:tcW w:w="1498" w:type="pct"/>
                    <w:shd w:val="clear" w:color="auto" w:fill="auto"/>
                  </w:tcPr>
                  <w:p w14:paraId="5F255075" w14:textId="77777777" w:rsidR="00471D53" w:rsidRDefault="00B664AF">
                    <w:pPr>
                      <w:jc w:val="right"/>
                      <w:rPr>
                        <w:szCs w:val="21"/>
                      </w:rPr>
                    </w:pPr>
                  </w:p>
                </w:tc>
              </w:tr>
            </w:sdtContent>
          </w:sdt>
          <w:sdt>
            <w:sdtPr>
              <w:rPr>
                <w:szCs w:val="21"/>
              </w:rPr>
              <w:alias w:val="信用减值损失明细"/>
              <w:tag w:val="_TUP_5de7ab4c13e84bbeb2f7ffab8e8e017a"/>
              <w:id w:val="367573242"/>
              <w:lock w:val="sdtLocked"/>
            </w:sdtPr>
            <w:sdtEndPr/>
            <w:sdtContent>
              <w:tr w:rsidR="00471D53" w14:paraId="70BF0859" w14:textId="77777777" w:rsidTr="00471D53">
                <w:tc>
                  <w:tcPr>
                    <w:tcW w:w="2017" w:type="pct"/>
                    <w:shd w:val="clear" w:color="auto" w:fill="auto"/>
                    <w:vAlign w:val="center"/>
                  </w:tcPr>
                  <w:p w14:paraId="6BA04D6C" w14:textId="77777777" w:rsidR="00471D53" w:rsidRDefault="00B664AF">
                    <w:pPr>
                      <w:rPr>
                        <w:szCs w:val="21"/>
                      </w:rPr>
                    </w:pPr>
                  </w:p>
                </w:tc>
                <w:tc>
                  <w:tcPr>
                    <w:tcW w:w="1485" w:type="pct"/>
                    <w:tcBorders>
                      <w:top w:val="single" w:sz="6" w:space="0" w:color="auto"/>
                      <w:bottom w:val="single" w:sz="6" w:space="0" w:color="auto"/>
                    </w:tcBorders>
                    <w:shd w:val="clear" w:color="auto" w:fill="auto"/>
                  </w:tcPr>
                  <w:p w14:paraId="7FC70E95" w14:textId="77777777" w:rsidR="00471D53" w:rsidRDefault="00B664AF">
                    <w:pPr>
                      <w:jc w:val="right"/>
                      <w:rPr>
                        <w:szCs w:val="21"/>
                      </w:rPr>
                    </w:pPr>
                  </w:p>
                </w:tc>
                <w:tc>
                  <w:tcPr>
                    <w:tcW w:w="1498" w:type="pct"/>
                    <w:shd w:val="clear" w:color="auto" w:fill="auto"/>
                  </w:tcPr>
                  <w:p w14:paraId="12876F21" w14:textId="77777777" w:rsidR="00471D53" w:rsidRDefault="00B664AF">
                    <w:pPr>
                      <w:jc w:val="right"/>
                      <w:rPr>
                        <w:szCs w:val="21"/>
                      </w:rPr>
                    </w:pPr>
                  </w:p>
                </w:tc>
              </w:tr>
            </w:sdtContent>
          </w:sdt>
          <w:tr w:rsidR="00471D53" w14:paraId="2DA67F9F" w14:textId="77777777" w:rsidTr="00471D53">
            <w:sdt>
              <w:sdtPr>
                <w:tag w:val="_PLD_a280344d67cd4d1392e8972abbb82e72"/>
                <w:id w:val="-1356421025"/>
                <w:lock w:val="sdtLocked"/>
              </w:sdtPr>
              <w:sdtEndPr/>
              <w:sdtContent>
                <w:tc>
                  <w:tcPr>
                    <w:tcW w:w="2017" w:type="pct"/>
                    <w:shd w:val="clear" w:color="auto" w:fill="auto"/>
                    <w:vAlign w:val="center"/>
                  </w:tcPr>
                  <w:p w14:paraId="555238BA" w14:textId="77777777" w:rsidR="00471D53" w:rsidRDefault="004F686E">
                    <w:pPr>
                      <w:jc w:val="center"/>
                      <w:rPr>
                        <w:szCs w:val="21"/>
                      </w:rPr>
                    </w:pPr>
                    <w:r>
                      <w:rPr>
                        <w:rFonts w:hint="eastAsia"/>
                        <w:szCs w:val="21"/>
                      </w:rPr>
                      <w:t>合计</w:t>
                    </w:r>
                  </w:p>
                </w:tc>
              </w:sdtContent>
            </w:sdt>
            <w:tc>
              <w:tcPr>
                <w:tcW w:w="1485" w:type="pct"/>
                <w:tcBorders>
                  <w:top w:val="single" w:sz="6" w:space="0" w:color="auto"/>
                  <w:bottom w:val="single" w:sz="4" w:space="0" w:color="auto"/>
                </w:tcBorders>
                <w:shd w:val="clear" w:color="auto" w:fill="auto"/>
                <w:vAlign w:val="center"/>
              </w:tcPr>
              <w:p w14:paraId="3FEA1B8D" w14:textId="77777777" w:rsidR="00471D53" w:rsidRPr="00662965" w:rsidRDefault="004F686E" w:rsidP="00471D53">
                <w:pPr>
                  <w:jc w:val="right"/>
                  <w:rPr>
                    <w:sz w:val="22"/>
                    <w:szCs w:val="22"/>
                  </w:rPr>
                </w:pPr>
                <w:r w:rsidRPr="00662965">
                  <w:rPr>
                    <w:rFonts w:hint="eastAsia"/>
                    <w:sz w:val="22"/>
                    <w:szCs w:val="22"/>
                  </w:rPr>
                  <w:t>-</w:t>
                </w:r>
                <w:r w:rsidRPr="00662965">
                  <w:rPr>
                    <w:sz w:val="22"/>
                    <w:szCs w:val="22"/>
                  </w:rPr>
                  <w:t>3,016,842.78</w:t>
                </w:r>
              </w:p>
            </w:tc>
            <w:tc>
              <w:tcPr>
                <w:tcW w:w="1498" w:type="pct"/>
                <w:shd w:val="clear" w:color="auto" w:fill="auto"/>
                <w:vAlign w:val="center"/>
              </w:tcPr>
              <w:p w14:paraId="132FD90D" w14:textId="77777777" w:rsidR="00471D53" w:rsidRPr="00662965" w:rsidRDefault="004F686E" w:rsidP="00471D53">
                <w:pPr>
                  <w:jc w:val="right"/>
                  <w:rPr>
                    <w:sz w:val="22"/>
                    <w:szCs w:val="22"/>
                  </w:rPr>
                </w:pPr>
                <w:r w:rsidRPr="00662965">
                  <w:rPr>
                    <w:sz w:val="22"/>
                    <w:szCs w:val="22"/>
                  </w:rPr>
                  <w:t>-4,907,101.35</w:t>
                </w:r>
              </w:p>
            </w:tc>
          </w:tr>
        </w:tbl>
        <w:p w14:paraId="677ABD91" w14:textId="77777777" w:rsidR="00471D53" w:rsidRDefault="004F686E">
          <w:r>
            <w:rPr>
              <w:rFonts w:hint="eastAsia"/>
            </w:rPr>
            <w:t>其他</w:t>
          </w:r>
          <w:r>
            <w:t>说明</w:t>
          </w:r>
          <w:r>
            <w:rPr>
              <w:rFonts w:hint="eastAsia"/>
            </w:rPr>
            <w:t>：</w:t>
          </w:r>
        </w:p>
        <w:sdt>
          <w:sdtPr>
            <w:alias w:val="信用减值损失其他说明"/>
            <w:tag w:val="_GBC_bb0ec45413144929857be6dfa37bb50b"/>
            <w:id w:val="-1323504762"/>
            <w:lock w:val="sdtLocked"/>
            <w:placeholder>
              <w:docPart w:val="GBC22222222222222222222222222222"/>
            </w:placeholder>
          </w:sdtPr>
          <w:sdtEndPr/>
          <w:sdtContent>
            <w:p w14:paraId="6AC75677" w14:textId="77777777" w:rsidR="00471D53" w:rsidRDefault="004F686E">
              <w:r>
                <w:rPr>
                  <w:rFonts w:hint="eastAsia"/>
                </w:rPr>
                <w:t>无</w:t>
              </w:r>
            </w:p>
          </w:sdtContent>
        </w:sdt>
        <w:p w14:paraId="4233C2A5" w14:textId="77777777" w:rsidR="00471D53" w:rsidRDefault="00B664AF"/>
      </w:sdtContent>
    </w:sdt>
    <w:bookmarkEnd w:id="225"/>
    <w:p w14:paraId="44C26524" w14:textId="77777777" w:rsidR="00471D53" w:rsidRDefault="00B664AF">
      <w:pPr>
        <w:rPr>
          <w:szCs w:val="21"/>
        </w:rPr>
      </w:pPr>
    </w:p>
    <w:sdt>
      <w:sdtPr>
        <w:rPr>
          <w:rFonts w:ascii="宋体" w:hAnsi="宋体" w:cs="宋体" w:hint="eastAsia"/>
          <w:b w:val="0"/>
          <w:bCs w:val="0"/>
          <w:kern w:val="0"/>
          <w:szCs w:val="21"/>
        </w:rPr>
        <w:alias w:val="模块:资产减值损失"/>
        <w:tag w:val="_GBC_e0187e33fb024605af673daabe2f7861"/>
        <w:id w:val="1255410186"/>
        <w:lock w:val="sdtLocked"/>
        <w:placeholder>
          <w:docPart w:val="GBC22222222222222222222222222222"/>
        </w:placeholder>
      </w:sdtPr>
      <w:sdtEndPr>
        <w:rPr>
          <w:rFonts w:hint="default"/>
          <w:szCs w:val="22"/>
        </w:rPr>
      </w:sdtEndPr>
      <w:sdtContent>
        <w:p w14:paraId="70AEFEE6"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bCs w:val="0"/>
              <w:szCs w:val="21"/>
            </w:rPr>
            <w:t>资</w:t>
          </w:r>
          <w:r>
            <w:rPr>
              <w:rFonts w:ascii="宋体" w:hAnsi="宋体" w:hint="eastAsia"/>
              <w:szCs w:val="21"/>
            </w:rPr>
            <w:t>产减值损失</w:t>
          </w:r>
        </w:p>
        <w:sdt>
          <w:sdtPr>
            <w:alias w:val="是否适用：资产减值损失[双击切换]"/>
            <w:tag w:val="_GBC_7fdc5881d69a48d59383942dbd2c2a3e"/>
            <w:id w:val="925925360"/>
            <w:lock w:val="sdtLocked"/>
            <w:placeholder>
              <w:docPart w:val="GBC22222222222222222222222222222"/>
            </w:placeholder>
          </w:sdtPr>
          <w:sdtEndPr/>
          <w:sdtContent>
            <w:p w14:paraId="0475C22F"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6C2D023" w14:textId="30792AA5" w:rsidR="00471D53" w:rsidRDefault="004F686E">
          <w:pPr>
            <w:jc w:val="right"/>
            <w:rPr>
              <w:szCs w:val="21"/>
            </w:rPr>
          </w:pPr>
          <w:r>
            <w:rPr>
              <w:rFonts w:hint="eastAsia"/>
              <w:szCs w:val="21"/>
            </w:rPr>
            <w:t>单位：</w:t>
          </w:r>
          <w:sdt>
            <w:sdtPr>
              <w:rPr>
                <w:rFonts w:hint="eastAsia"/>
                <w:szCs w:val="21"/>
              </w:rPr>
              <w:alias w:val="单位：财务附注：资产减值损失"/>
              <w:tag w:val="_GBC_40ad6c56ceff460ca35db2135628d01d"/>
              <w:id w:val="17051340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资产减值损失"/>
              <w:tag w:val="_GBC_5e13b42cdca649359964ad50033ab01e"/>
              <w:id w:val="1377803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2509"/>
            <w:gridCol w:w="3000"/>
          </w:tblGrid>
          <w:tr w:rsidR="00471D53" w14:paraId="4F0D4E4C" w14:textId="77777777" w:rsidTr="00973D52">
            <w:sdt>
              <w:sdtPr>
                <w:tag w:val="_PLD_1c1b3ab4db9e4468a28086960eda425b"/>
                <w:id w:val="274909189"/>
                <w:lock w:val="sdtLocked"/>
              </w:sdtPr>
              <w:sdtEndPr/>
              <w:sdtContent>
                <w:tc>
                  <w:tcPr>
                    <w:tcW w:w="1878" w:type="pct"/>
                    <w:tcBorders>
                      <w:top w:val="single" w:sz="4" w:space="0" w:color="auto"/>
                      <w:left w:val="single" w:sz="4" w:space="0" w:color="auto"/>
                      <w:bottom w:val="single" w:sz="4" w:space="0" w:color="auto"/>
                      <w:right w:val="single" w:sz="4" w:space="0" w:color="auto"/>
                    </w:tcBorders>
                    <w:vAlign w:val="center"/>
                  </w:tcPr>
                  <w:p w14:paraId="2C76651D" w14:textId="77777777" w:rsidR="00471D53" w:rsidRDefault="004F686E">
                    <w:pPr>
                      <w:autoSpaceDE w:val="0"/>
                      <w:autoSpaceDN w:val="0"/>
                      <w:adjustRightInd w:val="0"/>
                      <w:jc w:val="center"/>
                      <w:rPr>
                        <w:szCs w:val="21"/>
                      </w:rPr>
                    </w:pPr>
                    <w:r>
                      <w:rPr>
                        <w:rFonts w:hint="eastAsia"/>
                        <w:szCs w:val="21"/>
                      </w:rPr>
                      <w:t>项目</w:t>
                    </w:r>
                  </w:p>
                </w:tc>
              </w:sdtContent>
            </w:sdt>
            <w:sdt>
              <w:sdtPr>
                <w:tag w:val="_PLD_ab926936cf9d4fc39ab4c469d2ff3166"/>
                <w:id w:val="-785036038"/>
                <w:lock w:val="sdtLocked"/>
              </w:sdtPr>
              <w:sdtEndPr/>
              <w:sdtContent>
                <w:tc>
                  <w:tcPr>
                    <w:tcW w:w="1422" w:type="pct"/>
                    <w:tcBorders>
                      <w:top w:val="single" w:sz="4" w:space="0" w:color="auto"/>
                      <w:left w:val="single" w:sz="4" w:space="0" w:color="auto"/>
                      <w:bottom w:val="single" w:sz="4" w:space="0" w:color="auto"/>
                      <w:right w:val="single" w:sz="4" w:space="0" w:color="auto"/>
                    </w:tcBorders>
                    <w:vAlign w:val="center"/>
                  </w:tcPr>
                  <w:p w14:paraId="471AD065" w14:textId="77777777" w:rsidR="00471D53" w:rsidRDefault="004F686E">
                    <w:pPr>
                      <w:autoSpaceDE w:val="0"/>
                      <w:autoSpaceDN w:val="0"/>
                      <w:adjustRightInd w:val="0"/>
                      <w:jc w:val="center"/>
                      <w:rPr>
                        <w:szCs w:val="21"/>
                      </w:rPr>
                    </w:pPr>
                    <w:r>
                      <w:rPr>
                        <w:rFonts w:hint="eastAsia"/>
                        <w:szCs w:val="21"/>
                      </w:rPr>
                      <w:t>本期发生额</w:t>
                    </w:r>
                  </w:p>
                </w:tc>
              </w:sdtContent>
            </w:sdt>
            <w:sdt>
              <w:sdtPr>
                <w:tag w:val="_PLD_8d4d7dadcc9944098ada8da3daaa7668"/>
                <w:id w:val="1454981762"/>
                <w:lock w:val="sdtLocked"/>
              </w:sdtPr>
              <w:sdtEndPr/>
              <w:sdtContent>
                <w:tc>
                  <w:tcPr>
                    <w:tcW w:w="1700" w:type="pct"/>
                    <w:tcBorders>
                      <w:top w:val="single" w:sz="4" w:space="0" w:color="auto"/>
                      <w:left w:val="single" w:sz="4" w:space="0" w:color="auto"/>
                      <w:bottom w:val="single" w:sz="4" w:space="0" w:color="auto"/>
                      <w:right w:val="single" w:sz="4" w:space="0" w:color="auto"/>
                    </w:tcBorders>
                    <w:vAlign w:val="center"/>
                  </w:tcPr>
                  <w:p w14:paraId="2145D867" w14:textId="77777777" w:rsidR="00471D53" w:rsidRDefault="004F686E">
                    <w:pPr>
                      <w:autoSpaceDE w:val="0"/>
                      <w:autoSpaceDN w:val="0"/>
                      <w:adjustRightInd w:val="0"/>
                      <w:jc w:val="center"/>
                      <w:rPr>
                        <w:szCs w:val="21"/>
                      </w:rPr>
                    </w:pPr>
                    <w:r>
                      <w:rPr>
                        <w:rFonts w:hint="eastAsia"/>
                        <w:szCs w:val="21"/>
                      </w:rPr>
                      <w:t>上期发生额</w:t>
                    </w:r>
                  </w:p>
                </w:tc>
              </w:sdtContent>
            </w:sdt>
          </w:tr>
          <w:tr w:rsidR="00471D53" w14:paraId="13D61E35" w14:textId="77777777" w:rsidTr="00973D52">
            <w:sdt>
              <w:sdtPr>
                <w:tag w:val="_PLD_9afc5aaccdc84a4391c2537866204dd5"/>
                <w:id w:val="-886172190"/>
                <w:lock w:val="sdtLocked"/>
              </w:sdtPr>
              <w:sdtEndPr/>
              <w:sdtContent>
                <w:tc>
                  <w:tcPr>
                    <w:tcW w:w="1878" w:type="pct"/>
                    <w:tcBorders>
                      <w:top w:val="single" w:sz="4" w:space="0" w:color="auto"/>
                      <w:left w:val="single" w:sz="4" w:space="0" w:color="auto"/>
                      <w:bottom w:val="single" w:sz="4" w:space="0" w:color="auto"/>
                      <w:right w:val="single" w:sz="4" w:space="0" w:color="auto"/>
                    </w:tcBorders>
                  </w:tcPr>
                  <w:p w14:paraId="4C81A548" w14:textId="77777777" w:rsidR="00471D53" w:rsidRDefault="004F686E">
                    <w:pPr>
                      <w:autoSpaceDE w:val="0"/>
                      <w:autoSpaceDN w:val="0"/>
                      <w:adjustRightInd w:val="0"/>
                      <w:rPr>
                        <w:szCs w:val="21"/>
                      </w:rPr>
                    </w:pPr>
                    <w:r>
                      <w:rPr>
                        <w:rFonts w:hint="eastAsia"/>
                        <w:szCs w:val="21"/>
                      </w:rPr>
                      <w:t>一、坏账损失</w:t>
                    </w:r>
                  </w:p>
                </w:tc>
              </w:sdtContent>
            </w:sdt>
            <w:tc>
              <w:tcPr>
                <w:tcW w:w="1422" w:type="pct"/>
                <w:tcBorders>
                  <w:top w:val="single" w:sz="4" w:space="0" w:color="auto"/>
                  <w:left w:val="single" w:sz="4" w:space="0" w:color="auto"/>
                  <w:bottom w:val="single" w:sz="4" w:space="0" w:color="auto"/>
                  <w:right w:val="single" w:sz="4" w:space="0" w:color="auto"/>
                </w:tcBorders>
              </w:tcPr>
              <w:p w14:paraId="0CA2851C" w14:textId="77777777" w:rsidR="00471D53" w:rsidRDefault="00B664AF">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14:paraId="51D92E68" w14:textId="77777777" w:rsidR="00471D53" w:rsidRDefault="00B664AF">
                <w:pPr>
                  <w:jc w:val="right"/>
                  <w:rPr>
                    <w:szCs w:val="21"/>
                  </w:rPr>
                </w:pPr>
              </w:p>
            </w:tc>
          </w:tr>
          <w:tr w:rsidR="00471D53" w14:paraId="40E2957B" w14:textId="77777777" w:rsidTr="00471D53">
            <w:sdt>
              <w:sdtPr>
                <w:tag w:val="_PLD_48506e29da6e4911867af71e75a78a82"/>
                <w:id w:val="-767609208"/>
                <w:lock w:val="sdtLocked"/>
              </w:sdtPr>
              <w:sdtEndPr/>
              <w:sdtContent>
                <w:tc>
                  <w:tcPr>
                    <w:tcW w:w="1878" w:type="pct"/>
                    <w:tcBorders>
                      <w:top w:val="single" w:sz="4" w:space="0" w:color="auto"/>
                      <w:left w:val="single" w:sz="4" w:space="0" w:color="auto"/>
                      <w:bottom w:val="single" w:sz="4" w:space="0" w:color="auto"/>
                      <w:right w:val="single" w:sz="4" w:space="0" w:color="auto"/>
                    </w:tcBorders>
                  </w:tcPr>
                  <w:p w14:paraId="1851833D" w14:textId="77777777" w:rsidR="00471D53" w:rsidRDefault="004F686E">
                    <w:pPr>
                      <w:autoSpaceDE w:val="0"/>
                      <w:autoSpaceDN w:val="0"/>
                      <w:adjustRightInd w:val="0"/>
                      <w:rPr>
                        <w:szCs w:val="21"/>
                      </w:rPr>
                    </w:pPr>
                    <w:r>
                      <w:rPr>
                        <w:rFonts w:hint="eastAsia"/>
                        <w:szCs w:val="21"/>
                      </w:rPr>
                      <w:t>二、存货跌价损失及合同履约成本减值损失</w:t>
                    </w:r>
                  </w:p>
                </w:tc>
              </w:sdtContent>
            </w:sdt>
            <w:tc>
              <w:tcPr>
                <w:tcW w:w="1422" w:type="pct"/>
                <w:tcBorders>
                  <w:top w:val="single" w:sz="4" w:space="0" w:color="auto"/>
                  <w:left w:val="single" w:sz="4" w:space="0" w:color="auto"/>
                  <w:bottom w:val="single" w:sz="4" w:space="0" w:color="auto"/>
                  <w:right w:val="single" w:sz="4" w:space="0" w:color="auto"/>
                </w:tcBorders>
                <w:vAlign w:val="center"/>
              </w:tcPr>
              <w:p w14:paraId="5678B4FA" w14:textId="77777777" w:rsidR="00471D53" w:rsidRDefault="004F686E" w:rsidP="00471D53">
                <w:pPr>
                  <w:jc w:val="right"/>
                  <w:rPr>
                    <w:rFonts w:cs="Arial Unicode MS"/>
                    <w:sz w:val="22"/>
                    <w:szCs w:val="22"/>
                  </w:rPr>
                </w:pPr>
                <w:r>
                  <w:rPr>
                    <w:rFonts w:cs="Arial Unicode MS" w:hint="eastAsia"/>
                    <w:sz w:val="22"/>
                    <w:szCs w:val="22"/>
                  </w:rPr>
                  <w:t>-</w:t>
                </w:r>
                <w:r w:rsidRPr="0082272C">
                  <w:rPr>
                    <w:rFonts w:cs="Arial Unicode MS"/>
                    <w:sz w:val="22"/>
                    <w:szCs w:val="22"/>
                  </w:rPr>
                  <w:t>7,227,430.91</w:t>
                </w:r>
              </w:p>
            </w:tc>
            <w:tc>
              <w:tcPr>
                <w:tcW w:w="1700" w:type="pct"/>
                <w:tcBorders>
                  <w:top w:val="single" w:sz="4" w:space="0" w:color="auto"/>
                  <w:left w:val="single" w:sz="4" w:space="0" w:color="auto"/>
                  <w:bottom w:val="single" w:sz="4" w:space="0" w:color="auto"/>
                  <w:right w:val="single" w:sz="4" w:space="0" w:color="auto"/>
                </w:tcBorders>
                <w:vAlign w:val="center"/>
              </w:tcPr>
              <w:p w14:paraId="6FC3AD77" w14:textId="77777777" w:rsidR="00471D53" w:rsidRDefault="004F686E" w:rsidP="00471D53">
                <w:pPr>
                  <w:jc w:val="right"/>
                  <w:rPr>
                    <w:sz w:val="22"/>
                    <w:szCs w:val="22"/>
                  </w:rPr>
                </w:pPr>
                <w:r w:rsidRPr="0053740B">
                  <w:rPr>
                    <w:sz w:val="22"/>
                    <w:szCs w:val="22"/>
                  </w:rPr>
                  <w:t>-10,848,486.68</w:t>
                </w:r>
              </w:p>
            </w:tc>
          </w:tr>
          <w:tr w:rsidR="00471D53" w14:paraId="3BE19FAE" w14:textId="77777777" w:rsidTr="00973D52">
            <w:sdt>
              <w:sdtPr>
                <w:tag w:val="_PLD_78eb61ed62e240ad81f4cf85c6ee48fc"/>
                <w:id w:val="1426537747"/>
                <w:lock w:val="sdtLocked"/>
              </w:sdtPr>
              <w:sdtEndPr/>
              <w:sdtContent>
                <w:tc>
                  <w:tcPr>
                    <w:tcW w:w="1878" w:type="pct"/>
                    <w:tcBorders>
                      <w:top w:val="single" w:sz="4" w:space="0" w:color="auto"/>
                      <w:left w:val="single" w:sz="4" w:space="0" w:color="auto"/>
                      <w:bottom w:val="single" w:sz="4" w:space="0" w:color="auto"/>
                      <w:right w:val="single" w:sz="4" w:space="0" w:color="auto"/>
                    </w:tcBorders>
                  </w:tcPr>
                  <w:p w14:paraId="4F8D7536" w14:textId="77777777" w:rsidR="00471D53" w:rsidRDefault="004F686E">
                    <w:pPr>
                      <w:autoSpaceDE w:val="0"/>
                      <w:autoSpaceDN w:val="0"/>
                      <w:adjustRightInd w:val="0"/>
                      <w:rPr>
                        <w:szCs w:val="21"/>
                      </w:rPr>
                    </w:pPr>
                    <w:r>
                      <w:rPr>
                        <w:rFonts w:hint="eastAsia"/>
                      </w:rPr>
                      <w:t>三</w:t>
                    </w:r>
                    <w:r>
                      <w:rPr>
                        <w:rFonts w:hint="eastAsia"/>
                        <w:szCs w:val="21"/>
                      </w:rPr>
                      <w:t>、长期股权投资减值损失</w:t>
                    </w:r>
                  </w:p>
                </w:tc>
              </w:sdtContent>
            </w:sdt>
            <w:tc>
              <w:tcPr>
                <w:tcW w:w="1422" w:type="pct"/>
                <w:tcBorders>
                  <w:top w:val="single" w:sz="4" w:space="0" w:color="auto"/>
                  <w:left w:val="single" w:sz="4" w:space="0" w:color="auto"/>
                  <w:bottom w:val="single" w:sz="4" w:space="0" w:color="auto"/>
                  <w:right w:val="single" w:sz="4" w:space="0" w:color="auto"/>
                </w:tcBorders>
              </w:tcPr>
              <w:p w14:paraId="2253DADA" w14:textId="77777777" w:rsidR="00471D53" w:rsidRDefault="00B664AF">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14:paraId="05FFA821" w14:textId="77777777" w:rsidR="00471D53" w:rsidRDefault="00B664AF">
                <w:pPr>
                  <w:jc w:val="right"/>
                  <w:rPr>
                    <w:szCs w:val="21"/>
                  </w:rPr>
                </w:pPr>
              </w:p>
            </w:tc>
          </w:tr>
          <w:tr w:rsidR="00471D53" w14:paraId="5DB96C51" w14:textId="77777777" w:rsidTr="00973D52">
            <w:sdt>
              <w:sdtPr>
                <w:tag w:val="_PLD_e2e50e9f9bba445ebcfdf8fc0da4e0d0"/>
                <w:id w:val="1599516320"/>
                <w:lock w:val="sdtLocked"/>
              </w:sdtPr>
              <w:sdtEndPr/>
              <w:sdtContent>
                <w:tc>
                  <w:tcPr>
                    <w:tcW w:w="1878" w:type="pct"/>
                    <w:tcBorders>
                      <w:top w:val="single" w:sz="4" w:space="0" w:color="auto"/>
                      <w:left w:val="single" w:sz="4" w:space="0" w:color="auto"/>
                      <w:bottom w:val="single" w:sz="4" w:space="0" w:color="auto"/>
                      <w:right w:val="single" w:sz="4" w:space="0" w:color="auto"/>
                    </w:tcBorders>
                  </w:tcPr>
                  <w:p w14:paraId="59B797B2" w14:textId="77777777" w:rsidR="00471D53" w:rsidRDefault="004F686E">
                    <w:pPr>
                      <w:autoSpaceDE w:val="0"/>
                      <w:autoSpaceDN w:val="0"/>
                      <w:adjustRightInd w:val="0"/>
                      <w:rPr>
                        <w:szCs w:val="21"/>
                      </w:rPr>
                    </w:pPr>
                    <w:r>
                      <w:rPr>
                        <w:rFonts w:hint="eastAsia"/>
                      </w:rPr>
                      <w:t>四</w:t>
                    </w:r>
                    <w:r>
                      <w:rPr>
                        <w:rFonts w:hint="eastAsia"/>
                        <w:szCs w:val="21"/>
                      </w:rPr>
                      <w:t>、投资性房地产减值损失</w:t>
                    </w:r>
                  </w:p>
                </w:tc>
              </w:sdtContent>
            </w:sdt>
            <w:tc>
              <w:tcPr>
                <w:tcW w:w="1422" w:type="pct"/>
                <w:tcBorders>
                  <w:top w:val="single" w:sz="4" w:space="0" w:color="auto"/>
                  <w:left w:val="single" w:sz="4" w:space="0" w:color="auto"/>
                  <w:bottom w:val="single" w:sz="4" w:space="0" w:color="auto"/>
                  <w:right w:val="single" w:sz="4" w:space="0" w:color="auto"/>
                </w:tcBorders>
              </w:tcPr>
              <w:p w14:paraId="1F2301F5" w14:textId="77777777" w:rsidR="00471D53" w:rsidRDefault="00B664AF">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14:paraId="1D0ED977" w14:textId="77777777" w:rsidR="00471D53" w:rsidRDefault="00B664AF">
                <w:pPr>
                  <w:jc w:val="right"/>
                  <w:rPr>
                    <w:szCs w:val="21"/>
                  </w:rPr>
                </w:pPr>
              </w:p>
            </w:tc>
          </w:tr>
          <w:tr w:rsidR="00471D53" w14:paraId="1AE79D0B" w14:textId="77777777" w:rsidTr="00973D52">
            <w:sdt>
              <w:sdtPr>
                <w:tag w:val="_PLD_356b67cd490e4fa38300401350a416fb"/>
                <w:id w:val="-2028783049"/>
                <w:lock w:val="sdtLocked"/>
              </w:sdtPr>
              <w:sdtEndPr/>
              <w:sdtContent>
                <w:tc>
                  <w:tcPr>
                    <w:tcW w:w="1878" w:type="pct"/>
                    <w:tcBorders>
                      <w:top w:val="single" w:sz="4" w:space="0" w:color="auto"/>
                      <w:left w:val="single" w:sz="4" w:space="0" w:color="auto"/>
                      <w:bottom w:val="single" w:sz="4" w:space="0" w:color="auto"/>
                      <w:right w:val="single" w:sz="4" w:space="0" w:color="auto"/>
                    </w:tcBorders>
                  </w:tcPr>
                  <w:p w14:paraId="2D7D4135" w14:textId="77777777" w:rsidR="00471D53" w:rsidRDefault="004F686E">
                    <w:pPr>
                      <w:autoSpaceDE w:val="0"/>
                      <w:autoSpaceDN w:val="0"/>
                      <w:adjustRightInd w:val="0"/>
                      <w:rPr>
                        <w:szCs w:val="21"/>
                      </w:rPr>
                    </w:pPr>
                    <w:r>
                      <w:rPr>
                        <w:rFonts w:hint="eastAsia"/>
                      </w:rPr>
                      <w:t>五</w:t>
                    </w:r>
                    <w:r>
                      <w:rPr>
                        <w:rFonts w:hint="eastAsia"/>
                        <w:szCs w:val="21"/>
                      </w:rPr>
                      <w:t>、固定资产减值损失</w:t>
                    </w:r>
                  </w:p>
                </w:tc>
              </w:sdtContent>
            </w:sdt>
            <w:tc>
              <w:tcPr>
                <w:tcW w:w="1422" w:type="pct"/>
                <w:tcBorders>
                  <w:top w:val="single" w:sz="4" w:space="0" w:color="auto"/>
                  <w:left w:val="single" w:sz="4" w:space="0" w:color="auto"/>
                  <w:bottom w:val="single" w:sz="4" w:space="0" w:color="auto"/>
                  <w:right w:val="single" w:sz="4" w:space="0" w:color="auto"/>
                </w:tcBorders>
              </w:tcPr>
              <w:p w14:paraId="4F01AF6C" w14:textId="77777777" w:rsidR="00471D53" w:rsidRDefault="00B664AF">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14:paraId="0EB39855" w14:textId="77777777" w:rsidR="00471D53" w:rsidRDefault="00B664AF">
                <w:pPr>
                  <w:jc w:val="right"/>
                  <w:rPr>
                    <w:szCs w:val="21"/>
                  </w:rPr>
                </w:pPr>
              </w:p>
            </w:tc>
          </w:tr>
          <w:tr w:rsidR="00471D53" w14:paraId="674611CF" w14:textId="77777777" w:rsidTr="00973D52">
            <w:sdt>
              <w:sdtPr>
                <w:tag w:val="_PLD_bf0e54d642dc47e5aba1659ff4189311"/>
                <w:id w:val="-1477911821"/>
                <w:lock w:val="sdtLocked"/>
              </w:sdtPr>
              <w:sdtEndPr/>
              <w:sdtContent>
                <w:tc>
                  <w:tcPr>
                    <w:tcW w:w="1878" w:type="pct"/>
                    <w:tcBorders>
                      <w:top w:val="single" w:sz="4" w:space="0" w:color="auto"/>
                      <w:left w:val="single" w:sz="4" w:space="0" w:color="auto"/>
                      <w:bottom w:val="single" w:sz="4" w:space="0" w:color="auto"/>
                      <w:right w:val="single" w:sz="4" w:space="0" w:color="auto"/>
                    </w:tcBorders>
                  </w:tcPr>
                  <w:p w14:paraId="42807042" w14:textId="77777777" w:rsidR="00471D53" w:rsidRDefault="004F686E">
                    <w:pPr>
                      <w:autoSpaceDE w:val="0"/>
                      <w:autoSpaceDN w:val="0"/>
                      <w:adjustRightInd w:val="0"/>
                      <w:rPr>
                        <w:szCs w:val="21"/>
                      </w:rPr>
                    </w:pPr>
                    <w:r>
                      <w:rPr>
                        <w:rFonts w:hint="eastAsia"/>
                      </w:rPr>
                      <w:t>六</w:t>
                    </w:r>
                    <w:r>
                      <w:rPr>
                        <w:rFonts w:hint="eastAsia"/>
                        <w:szCs w:val="21"/>
                      </w:rPr>
                      <w:t>、工程物资减值损失</w:t>
                    </w:r>
                  </w:p>
                </w:tc>
              </w:sdtContent>
            </w:sdt>
            <w:tc>
              <w:tcPr>
                <w:tcW w:w="1422" w:type="pct"/>
                <w:tcBorders>
                  <w:top w:val="single" w:sz="4" w:space="0" w:color="auto"/>
                  <w:left w:val="single" w:sz="4" w:space="0" w:color="auto"/>
                  <w:bottom w:val="single" w:sz="4" w:space="0" w:color="auto"/>
                  <w:right w:val="single" w:sz="4" w:space="0" w:color="auto"/>
                </w:tcBorders>
              </w:tcPr>
              <w:p w14:paraId="24325546" w14:textId="77777777" w:rsidR="00471D53" w:rsidRDefault="00B664AF">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14:paraId="39FE2E61" w14:textId="77777777" w:rsidR="00471D53" w:rsidRDefault="00B664AF">
                <w:pPr>
                  <w:jc w:val="right"/>
                  <w:rPr>
                    <w:szCs w:val="21"/>
                  </w:rPr>
                </w:pPr>
              </w:p>
            </w:tc>
          </w:tr>
          <w:tr w:rsidR="00471D53" w14:paraId="78DC35F9" w14:textId="77777777" w:rsidTr="00973D52">
            <w:sdt>
              <w:sdtPr>
                <w:tag w:val="_PLD_97c5c4fa34ed42e7bb896abd5f14a2e2"/>
                <w:id w:val="-171949492"/>
                <w:lock w:val="sdtLocked"/>
              </w:sdtPr>
              <w:sdtEndPr/>
              <w:sdtContent>
                <w:tc>
                  <w:tcPr>
                    <w:tcW w:w="1878" w:type="pct"/>
                    <w:tcBorders>
                      <w:top w:val="single" w:sz="4" w:space="0" w:color="auto"/>
                      <w:left w:val="single" w:sz="4" w:space="0" w:color="auto"/>
                      <w:bottom w:val="single" w:sz="4" w:space="0" w:color="auto"/>
                      <w:right w:val="single" w:sz="4" w:space="0" w:color="auto"/>
                    </w:tcBorders>
                  </w:tcPr>
                  <w:p w14:paraId="0626127C" w14:textId="77777777" w:rsidR="00471D53" w:rsidRDefault="004F686E">
                    <w:pPr>
                      <w:autoSpaceDE w:val="0"/>
                      <w:autoSpaceDN w:val="0"/>
                      <w:adjustRightInd w:val="0"/>
                      <w:rPr>
                        <w:szCs w:val="21"/>
                      </w:rPr>
                    </w:pPr>
                    <w:r>
                      <w:rPr>
                        <w:rFonts w:hint="eastAsia"/>
                      </w:rPr>
                      <w:t>七</w:t>
                    </w:r>
                    <w:r>
                      <w:rPr>
                        <w:rFonts w:hint="eastAsia"/>
                        <w:szCs w:val="21"/>
                      </w:rPr>
                      <w:t>、在建工程减值损失</w:t>
                    </w:r>
                  </w:p>
                </w:tc>
              </w:sdtContent>
            </w:sdt>
            <w:tc>
              <w:tcPr>
                <w:tcW w:w="1422" w:type="pct"/>
                <w:tcBorders>
                  <w:top w:val="single" w:sz="4" w:space="0" w:color="auto"/>
                  <w:left w:val="single" w:sz="4" w:space="0" w:color="auto"/>
                  <w:bottom w:val="single" w:sz="4" w:space="0" w:color="auto"/>
                  <w:right w:val="single" w:sz="4" w:space="0" w:color="auto"/>
                </w:tcBorders>
              </w:tcPr>
              <w:p w14:paraId="2E34394F" w14:textId="77777777" w:rsidR="00471D53" w:rsidRDefault="00B664AF">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14:paraId="2487628B" w14:textId="77777777" w:rsidR="00471D53" w:rsidRDefault="00B664AF">
                <w:pPr>
                  <w:jc w:val="right"/>
                  <w:rPr>
                    <w:szCs w:val="21"/>
                  </w:rPr>
                </w:pPr>
              </w:p>
            </w:tc>
          </w:tr>
          <w:tr w:rsidR="00471D53" w14:paraId="4C8EEA2C" w14:textId="77777777" w:rsidTr="00973D52">
            <w:sdt>
              <w:sdtPr>
                <w:tag w:val="_PLD_8fcdd16d7558415a9069c7db5aa6154b"/>
                <w:id w:val="-1035348535"/>
                <w:lock w:val="sdtLocked"/>
              </w:sdtPr>
              <w:sdtEndPr/>
              <w:sdtContent>
                <w:tc>
                  <w:tcPr>
                    <w:tcW w:w="1878" w:type="pct"/>
                    <w:tcBorders>
                      <w:top w:val="single" w:sz="4" w:space="0" w:color="auto"/>
                      <w:left w:val="single" w:sz="4" w:space="0" w:color="auto"/>
                      <w:bottom w:val="single" w:sz="4" w:space="0" w:color="auto"/>
                      <w:right w:val="single" w:sz="4" w:space="0" w:color="auto"/>
                    </w:tcBorders>
                  </w:tcPr>
                  <w:p w14:paraId="330F9C9A" w14:textId="77777777" w:rsidR="00471D53" w:rsidRDefault="004F686E">
                    <w:pPr>
                      <w:autoSpaceDE w:val="0"/>
                      <w:autoSpaceDN w:val="0"/>
                      <w:adjustRightInd w:val="0"/>
                      <w:rPr>
                        <w:szCs w:val="21"/>
                      </w:rPr>
                    </w:pPr>
                    <w:r>
                      <w:rPr>
                        <w:rFonts w:hint="eastAsia"/>
                      </w:rPr>
                      <w:t>八</w:t>
                    </w:r>
                    <w:r>
                      <w:rPr>
                        <w:rFonts w:hint="eastAsia"/>
                        <w:szCs w:val="21"/>
                      </w:rPr>
                      <w:t>、生产性生物资产减值损失</w:t>
                    </w:r>
                  </w:p>
                </w:tc>
              </w:sdtContent>
            </w:sdt>
            <w:tc>
              <w:tcPr>
                <w:tcW w:w="1422" w:type="pct"/>
                <w:tcBorders>
                  <w:top w:val="single" w:sz="4" w:space="0" w:color="auto"/>
                  <w:left w:val="single" w:sz="4" w:space="0" w:color="auto"/>
                  <w:bottom w:val="single" w:sz="4" w:space="0" w:color="auto"/>
                  <w:right w:val="single" w:sz="4" w:space="0" w:color="auto"/>
                </w:tcBorders>
              </w:tcPr>
              <w:p w14:paraId="495E4365" w14:textId="77777777" w:rsidR="00471D53" w:rsidRDefault="00B664AF">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14:paraId="404C5CBF" w14:textId="77777777" w:rsidR="00471D53" w:rsidRDefault="00B664AF">
                <w:pPr>
                  <w:jc w:val="right"/>
                  <w:rPr>
                    <w:szCs w:val="21"/>
                  </w:rPr>
                </w:pPr>
              </w:p>
            </w:tc>
          </w:tr>
          <w:tr w:rsidR="00471D53" w14:paraId="4A84F4F9" w14:textId="77777777" w:rsidTr="00973D52">
            <w:sdt>
              <w:sdtPr>
                <w:tag w:val="_PLD_67bab86314224f8a9a8b90e4444a371d"/>
                <w:id w:val="-86541029"/>
                <w:lock w:val="sdtLocked"/>
              </w:sdtPr>
              <w:sdtEndPr/>
              <w:sdtContent>
                <w:tc>
                  <w:tcPr>
                    <w:tcW w:w="1878" w:type="pct"/>
                    <w:tcBorders>
                      <w:top w:val="single" w:sz="4" w:space="0" w:color="auto"/>
                      <w:left w:val="single" w:sz="4" w:space="0" w:color="auto"/>
                      <w:bottom w:val="single" w:sz="4" w:space="0" w:color="auto"/>
                      <w:right w:val="single" w:sz="4" w:space="0" w:color="auto"/>
                    </w:tcBorders>
                  </w:tcPr>
                  <w:p w14:paraId="21BA6B35" w14:textId="77777777" w:rsidR="00471D53" w:rsidRDefault="004F686E">
                    <w:pPr>
                      <w:autoSpaceDE w:val="0"/>
                      <w:autoSpaceDN w:val="0"/>
                      <w:adjustRightInd w:val="0"/>
                      <w:rPr>
                        <w:szCs w:val="21"/>
                      </w:rPr>
                    </w:pPr>
                    <w:r>
                      <w:rPr>
                        <w:rFonts w:hint="eastAsia"/>
                        <w:szCs w:val="21"/>
                      </w:rPr>
                      <w:t>九、油气资产减值损失</w:t>
                    </w:r>
                  </w:p>
                </w:tc>
              </w:sdtContent>
            </w:sdt>
            <w:tc>
              <w:tcPr>
                <w:tcW w:w="1422" w:type="pct"/>
                <w:tcBorders>
                  <w:top w:val="single" w:sz="4" w:space="0" w:color="auto"/>
                  <w:left w:val="single" w:sz="4" w:space="0" w:color="auto"/>
                  <w:bottom w:val="single" w:sz="4" w:space="0" w:color="auto"/>
                  <w:right w:val="single" w:sz="4" w:space="0" w:color="auto"/>
                </w:tcBorders>
              </w:tcPr>
              <w:p w14:paraId="08EF4F68" w14:textId="77777777" w:rsidR="00471D53" w:rsidRDefault="00B664AF">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14:paraId="5FC60399" w14:textId="77777777" w:rsidR="00471D53" w:rsidRDefault="00B664AF">
                <w:pPr>
                  <w:jc w:val="right"/>
                  <w:rPr>
                    <w:szCs w:val="21"/>
                  </w:rPr>
                </w:pPr>
              </w:p>
            </w:tc>
          </w:tr>
          <w:tr w:rsidR="00471D53" w14:paraId="3D066F49" w14:textId="77777777" w:rsidTr="00973D52">
            <w:sdt>
              <w:sdtPr>
                <w:tag w:val="_PLD_1c4eeb5f668546ea91f57116a27ec4fa"/>
                <w:id w:val="-605891744"/>
                <w:lock w:val="sdtLocked"/>
              </w:sdtPr>
              <w:sdtEndPr/>
              <w:sdtContent>
                <w:tc>
                  <w:tcPr>
                    <w:tcW w:w="1878" w:type="pct"/>
                    <w:tcBorders>
                      <w:top w:val="single" w:sz="4" w:space="0" w:color="auto"/>
                      <w:left w:val="single" w:sz="4" w:space="0" w:color="auto"/>
                      <w:bottom w:val="single" w:sz="4" w:space="0" w:color="auto"/>
                      <w:right w:val="single" w:sz="4" w:space="0" w:color="auto"/>
                    </w:tcBorders>
                  </w:tcPr>
                  <w:p w14:paraId="69B6DFFA" w14:textId="77777777" w:rsidR="00471D53" w:rsidRDefault="004F686E">
                    <w:pPr>
                      <w:autoSpaceDE w:val="0"/>
                      <w:autoSpaceDN w:val="0"/>
                      <w:adjustRightInd w:val="0"/>
                      <w:rPr>
                        <w:szCs w:val="21"/>
                      </w:rPr>
                    </w:pPr>
                    <w:r>
                      <w:rPr>
                        <w:rFonts w:hint="eastAsia"/>
                        <w:szCs w:val="21"/>
                      </w:rPr>
                      <w:t>十、无形资产减值损失</w:t>
                    </w:r>
                  </w:p>
                </w:tc>
              </w:sdtContent>
            </w:sdt>
            <w:tc>
              <w:tcPr>
                <w:tcW w:w="1422" w:type="pct"/>
                <w:tcBorders>
                  <w:top w:val="single" w:sz="4" w:space="0" w:color="auto"/>
                  <w:left w:val="single" w:sz="4" w:space="0" w:color="auto"/>
                  <w:bottom w:val="single" w:sz="4" w:space="0" w:color="auto"/>
                  <w:right w:val="single" w:sz="4" w:space="0" w:color="auto"/>
                </w:tcBorders>
              </w:tcPr>
              <w:p w14:paraId="5AE892F0" w14:textId="77777777" w:rsidR="00471D53" w:rsidRDefault="00B664AF">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14:paraId="2759D9D4" w14:textId="77777777" w:rsidR="00471D53" w:rsidRDefault="00B664AF">
                <w:pPr>
                  <w:jc w:val="right"/>
                  <w:rPr>
                    <w:szCs w:val="21"/>
                  </w:rPr>
                </w:pPr>
              </w:p>
            </w:tc>
          </w:tr>
          <w:tr w:rsidR="00471D53" w14:paraId="2EB1E91A" w14:textId="77777777" w:rsidTr="00973D52">
            <w:sdt>
              <w:sdtPr>
                <w:tag w:val="_PLD_5cd4d27b7e324eaa967681b9cf35a6e2"/>
                <w:id w:val="-2092149243"/>
                <w:lock w:val="sdtLocked"/>
              </w:sdtPr>
              <w:sdtEndPr/>
              <w:sdtContent>
                <w:tc>
                  <w:tcPr>
                    <w:tcW w:w="1878" w:type="pct"/>
                    <w:tcBorders>
                      <w:top w:val="single" w:sz="4" w:space="0" w:color="auto"/>
                      <w:left w:val="single" w:sz="4" w:space="0" w:color="auto"/>
                      <w:bottom w:val="single" w:sz="4" w:space="0" w:color="auto"/>
                      <w:right w:val="single" w:sz="4" w:space="0" w:color="auto"/>
                    </w:tcBorders>
                  </w:tcPr>
                  <w:p w14:paraId="3AE8121F" w14:textId="77777777" w:rsidR="00471D53" w:rsidRDefault="004F686E">
                    <w:pPr>
                      <w:autoSpaceDE w:val="0"/>
                      <w:autoSpaceDN w:val="0"/>
                      <w:adjustRightInd w:val="0"/>
                      <w:rPr>
                        <w:szCs w:val="21"/>
                      </w:rPr>
                    </w:pPr>
                    <w:r>
                      <w:rPr>
                        <w:rFonts w:hint="eastAsia"/>
                        <w:szCs w:val="21"/>
                      </w:rPr>
                      <w:t>十一、商誉减值损失</w:t>
                    </w:r>
                  </w:p>
                </w:tc>
              </w:sdtContent>
            </w:sdt>
            <w:tc>
              <w:tcPr>
                <w:tcW w:w="1422" w:type="pct"/>
                <w:tcBorders>
                  <w:top w:val="single" w:sz="4" w:space="0" w:color="auto"/>
                  <w:left w:val="single" w:sz="4" w:space="0" w:color="auto"/>
                  <w:bottom w:val="single" w:sz="4" w:space="0" w:color="auto"/>
                  <w:right w:val="single" w:sz="4" w:space="0" w:color="auto"/>
                </w:tcBorders>
              </w:tcPr>
              <w:p w14:paraId="67C2B00E" w14:textId="77777777" w:rsidR="00471D53" w:rsidRDefault="00B664AF">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14:paraId="32E8F954" w14:textId="77777777" w:rsidR="00471D53" w:rsidRDefault="00B664AF">
                <w:pPr>
                  <w:jc w:val="right"/>
                  <w:rPr>
                    <w:szCs w:val="21"/>
                  </w:rPr>
                </w:pPr>
              </w:p>
            </w:tc>
          </w:tr>
          <w:tr w:rsidR="00471D53" w14:paraId="7F2D3621" w14:textId="77777777" w:rsidTr="00973D52">
            <w:sdt>
              <w:sdtPr>
                <w:tag w:val="_PLD_675608fc574f43ab99192f3e67e1ceba"/>
                <w:id w:val="1349759058"/>
                <w:lock w:val="sdtLocked"/>
              </w:sdtPr>
              <w:sdtEndPr/>
              <w:sdtContent>
                <w:tc>
                  <w:tcPr>
                    <w:tcW w:w="1878" w:type="pct"/>
                    <w:tcBorders>
                      <w:top w:val="single" w:sz="4" w:space="0" w:color="auto"/>
                      <w:left w:val="single" w:sz="4" w:space="0" w:color="auto"/>
                      <w:bottom w:val="single" w:sz="4" w:space="0" w:color="auto"/>
                      <w:right w:val="single" w:sz="4" w:space="0" w:color="auto"/>
                    </w:tcBorders>
                  </w:tcPr>
                  <w:p w14:paraId="7A485F43" w14:textId="77777777" w:rsidR="00471D53" w:rsidRDefault="004F686E">
                    <w:pPr>
                      <w:autoSpaceDE w:val="0"/>
                      <w:autoSpaceDN w:val="0"/>
                      <w:adjustRightInd w:val="0"/>
                      <w:rPr>
                        <w:szCs w:val="21"/>
                      </w:rPr>
                    </w:pPr>
                    <w:r>
                      <w:rPr>
                        <w:rFonts w:hint="eastAsia"/>
                        <w:szCs w:val="21"/>
                      </w:rPr>
                      <w:t>十二、其他</w:t>
                    </w:r>
                  </w:p>
                </w:tc>
              </w:sdtContent>
            </w:sdt>
            <w:tc>
              <w:tcPr>
                <w:tcW w:w="1422" w:type="pct"/>
                <w:tcBorders>
                  <w:top w:val="single" w:sz="4" w:space="0" w:color="auto"/>
                  <w:left w:val="single" w:sz="4" w:space="0" w:color="auto"/>
                  <w:bottom w:val="single" w:sz="4" w:space="0" w:color="auto"/>
                  <w:right w:val="single" w:sz="4" w:space="0" w:color="auto"/>
                </w:tcBorders>
              </w:tcPr>
              <w:p w14:paraId="7F251B4F" w14:textId="77777777" w:rsidR="00471D53" w:rsidRDefault="00B664AF">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14:paraId="4D959977" w14:textId="77777777" w:rsidR="00471D53" w:rsidRDefault="00B664AF">
                <w:pPr>
                  <w:jc w:val="right"/>
                  <w:rPr>
                    <w:szCs w:val="21"/>
                  </w:rPr>
                </w:pPr>
              </w:p>
            </w:tc>
          </w:tr>
          <w:tr w:rsidR="00471D53" w14:paraId="58F89A06" w14:textId="77777777" w:rsidTr="00471D53">
            <w:sdt>
              <w:sdtPr>
                <w:tag w:val="_PLD_28808946bb58470a9d59a4302a9117d5"/>
                <w:id w:val="421611713"/>
                <w:lock w:val="sdtLocked"/>
              </w:sdtPr>
              <w:sdtEndPr/>
              <w:sdtContent>
                <w:tc>
                  <w:tcPr>
                    <w:tcW w:w="1878" w:type="pct"/>
                    <w:tcBorders>
                      <w:top w:val="single" w:sz="4" w:space="0" w:color="auto"/>
                      <w:left w:val="single" w:sz="4" w:space="0" w:color="auto"/>
                      <w:bottom w:val="single" w:sz="4" w:space="0" w:color="auto"/>
                      <w:right w:val="single" w:sz="4" w:space="0" w:color="auto"/>
                    </w:tcBorders>
                  </w:tcPr>
                  <w:p w14:paraId="547D7570" w14:textId="77777777" w:rsidR="00471D53" w:rsidRDefault="004F686E">
                    <w:pPr>
                      <w:autoSpaceDE w:val="0"/>
                      <w:autoSpaceDN w:val="0"/>
                      <w:adjustRightInd w:val="0"/>
                      <w:jc w:val="center"/>
                      <w:rPr>
                        <w:szCs w:val="21"/>
                      </w:rPr>
                    </w:pPr>
                    <w:r>
                      <w:rPr>
                        <w:rFonts w:hint="eastAsia"/>
                        <w:szCs w:val="21"/>
                      </w:rPr>
                      <w:t>合计</w:t>
                    </w:r>
                  </w:p>
                </w:tc>
              </w:sdtContent>
            </w:sdt>
            <w:tc>
              <w:tcPr>
                <w:tcW w:w="1422" w:type="pct"/>
                <w:tcBorders>
                  <w:top w:val="single" w:sz="4" w:space="0" w:color="auto"/>
                  <w:left w:val="single" w:sz="4" w:space="0" w:color="auto"/>
                  <w:bottom w:val="single" w:sz="4" w:space="0" w:color="auto"/>
                  <w:right w:val="single" w:sz="4" w:space="0" w:color="auto"/>
                </w:tcBorders>
                <w:vAlign w:val="center"/>
              </w:tcPr>
              <w:p w14:paraId="795ADF37" w14:textId="77777777" w:rsidR="00471D53" w:rsidRDefault="004F686E" w:rsidP="00471D53">
                <w:pPr>
                  <w:jc w:val="right"/>
                  <w:rPr>
                    <w:rFonts w:cs="Arial Unicode MS"/>
                    <w:sz w:val="22"/>
                    <w:szCs w:val="22"/>
                  </w:rPr>
                </w:pPr>
                <w:r>
                  <w:rPr>
                    <w:rFonts w:cs="Arial Unicode MS" w:hint="eastAsia"/>
                    <w:sz w:val="22"/>
                    <w:szCs w:val="22"/>
                  </w:rPr>
                  <w:t>-</w:t>
                </w:r>
                <w:r w:rsidRPr="0082272C">
                  <w:rPr>
                    <w:rFonts w:cs="Arial Unicode MS"/>
                    <w:sz w:val="22"/>
                    <w:szCs w:val="22"/>
                  </w:rPr>
                  <w:t>7,227,430.91</w:t>
                </w:r>
              </w:p>
            </w:tc>
            <w:tc>
              <w:tcPr>
                <w:tcW w:w="1700" w:type="pct"/>
                <w:tcBorders>
                  <w:top w:val="single" w:sz="4" w:space="0" w:color="auto"/>
                  <w:left w:val="single" w:sz="4" w:space="0" w:color="auto"/>
                  <w:bottom w:val="single" w:sz="4" w:space="0" w:color="auto"/>
                  <w:right w:val="single" w:sz="4" w:space="0" w:color="auto"/>
                </w:tcBorders>
                <w:vAlign w:val="center"/>
              </w:tcPr>
              <w:p w14:paraId="2E32411C" w14:textId="77777777" w:rsidR="00471D53" w:rsidRDefault="004F686E" w:rsidP="00471D53">
                <w:pPr>
                  <w:jc w:val="right"/>
                  <w:rPr>
                    <w:sz w:val="22"/>
                    <w:szCs w:val="22"/>
                  </w:rPr>
                </w:pPr>
                <w:r w:rsidRPr="0053740B">
                  <w:rPr>
                    <w:sz w:val="22"/>
                    <w:szCs w:val="22"/>
                  </w:rPr>
                  <w:t>-10,848,486.68</w:t>
                </w:r>
              </w:p>
            </w:tc>
          </w:tr>
        </w:tbl>
        <w:p w14:paraId="5439C3A0" w14:textId="77777777" w:rsidR="00471D53" w:rsidRDefault="004F686E">
          <w:pPr>
            <w:spacing w:before="60" w:after="60"/>
            <w:rPr>
              <w:szCs w:val="21"/>
            </w:rPr>
          </w:pPr>
          <w:r>
            <w:rPr>
              <w:rFonts w:hint="eastAsia"/>
              <w:szCs w:val="21"/>
            </w:rPr>
            <w:t>其他说明：</w:t>
          </w:r>
        </w:p>
        <w:sdt>
          <w:sdtPr>
            <w:alias w:val="资产减值损失的说明"/>
            <w:tag w:val="_GBC_4ebd6f61adb041a3978de7dc7abec263"/>
            <w:id w:val="1820151440"/>
            <w:lock w:val="sdtLocked"/>
            <w:placeholder>
              <w:docPart w:val="GBC22222222222222222222222222222"/>
            </w:placeholder>
          </w:sdtPr>
          <w:sdtEndPr/>
          <w:sdtContent>
            <w:p w14:paraId="4712BD19" w14:textId="77777777" w:rsidR="00471D53" w:rsidRDefault="004F686E">
              <w:r>
                <w:rPr>
                  <w:rFonts w:hint="eastAsia"/>
                </w:rPr>
                <w:t>无</w:t>
              </w:r>
            </w:p>
          </w:sdtContent>
        </w:sdt>
      </w:sdtContent>
    </w:sdt>
    <w:p w14:paraId="3ABEDF1B" w14:textId="77777777" w:rsidR="00471D53" w:rsidRDefault="00B664AF"/>
    <w:sdt>
      <w:sdtPr>
        <w:rPr>
          <w:rFonts w:ascii="宋体" w:hAnsi="宋体" w:cs="宋体" w:hint="eastAsia"/>
          <w:b w:val="0"/>
          <w:bCs w:val="0"/>
          <w:kern w:val="0"/>
          <w:szCs w:val="21"/>
        </w:rPr>
        <w:alias w:val="模块:资产处置收益"/>
        <w:tag w:val="_SEC_32e84127ca0a46b8896ad8e149c91048"/>
        <w:id w:val="-1310242306"/>
        <w:lock w:val="sdtLocked"/>
        <w:placeholder>
          <w:docPart w:val="GBC22222222222222222222222222222"/>
        </w:placeholder>
      </w:sdtPr>
      <w:sdtEndPr>
        <w:rPr>
          <w:rFonts w:hint="default"/>
          <w:szCs w:val="24"/>
        </w:rPr>
      </w:sdtEndPr>
      <w:sdtContent>
        <w:p w14:paraId="4781EFB1"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资产处置收益</w:t>
          </w:r>
        </w:p>
        <w:sdt>
          <w:sdtPr>
            <w:rPr>
              <w:rFonts w:hint="eastAsia"/>
            </w:rPr>
            <w:alias w:val="是否适用：资产处置收益[双击切换]"/>
            <w:tag w:val="_GBC_9e584d6f46c648d195946caa434a4619"/>
            <w:id w:val="1534693808"/>
            <w:lock w:val="sdtLocked"/>
            <w:placeholder>
              <w:docPart w:val="GBC22222222222222222222222222222"/>
            </w:placeholder>
          </w:sdtPr>
          <w:sdtEndPr/>
          <w:sdtContent>
            <w:p w14:paraId="5ED52DD1"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CCD1CE9" w14:textId="1296F1A3" w:rsidR="00471D53" w:rsidRDefault="004F686E">
          <w:pPr>
            <w:jc w:val="right"/>
            <w:rPr>
              <w:bCs/>
            </w:rPr>
          </w:pPr>
          <w:r>
            <w:rPr>
              <w:bCs/>
            </w:rPr>
            <w:t>单位：</w:t>
          </w:r>
          <w:sdt>
            <w:sdtPr>
              <w:rPr>
                <w:bCs/>
              </w:rPr>
              <w:alias w:val="单位：资产处置收益明细"/>
              <w:tag w:val="_GBC_72dc168499e249b988d6753a6df1ce44"/>
              <w:id w:val="162688791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bCs/>
                </w:rPr>
                <w:t>元</w:t>
              </w:r>
            </w:sdtContent>
          </w:sdt>
          <w:r>
            <w:rPr>
              <w:bCs/>
            </w:rPr>
            <w:t>币种：</w:t>
          </w:r>
          <w:sdt>
            <w:sdtPr>
              <w:rPr>
                <w:bCs/>
              </w:rPr>
              <w:alias w:val="币种：资产处置收益明细"/>
              <w:tag w:val="_GBC_d68880ec5b074fdc8846b703ead631e2"/>
              <w:id w:val="-18188684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bCs/>
                </w:rPr>
                <w:t>人民币</w:t>
              </w:r>
            </w:sdtContent>
          </w:sdt>
        </w:p>
        <w:tbl>
          <w:tblPr>
            <w:tblStyle w:val="g5"/>
            <w:tblW w:w="0" w:type="auto"/>
            <w:tblLook w:val="04A0" w:firstRow="1" w:lastRow="0" w:firstColumn="1" w:lastColumn="0" w:noHBand="0" w:noVBand="1"/>
          </w:tblPr>
          <w:tblGrid>
            <w:gridCol w:w="2929"/>
            <w:gridCol w:w="2957"/>
            <w:gridCol w:w="2937"/>
          </w:tblGrid>
          <w:tr w:rsidR="00471D53" w14:paraId="2D3C128E" w14:textId="77777777" w:rsidTr="00471D53">
            <w:tc>
              <w:tcPr>
                <w:tcW w:w="3016" w:type="dxa"/>
              </w:tcPr>
              <w:sdt>
                <w:sdtPr>
                  <w:rPr>
                    <w:rFonts w:hint="eastAsia"/>
                  </w:rPr>
                  <w:tag w:val="_PLD_5ae5d7d7d48342e7bc1da8d90a245459"/>
                  <w:id w:val="466780969"/>
                  <w:lock w:val="sdtLocked"/>
                </w:sdtPr>
                <w:sdtEndPr/>
                <w:sdtContent>
                  <w:p w14:paraId="5DA769C9" w14:textId="77777777" w:rsidR="00471D53" w:rsidRDefault="004F686E" w:rsidP="00471D53">
                    <w:pPr>
                      <w:jc w:val="center"/>
                    </w:pPr>
                    <w:r>
                      <w:rPr>
                        <w:rFonts w:hint="eastAsia"/>
                      </w:rPr>
                      <w:t>项目</w:t>
                    </w:r>
                  </w:p>
                </w:sdtContent>
              </w:sdt>
            </w:tc>
            <w:tc>
              <w:tcPr>
                <w:tcW w:w="3016" w:type="dxa"/>
              </w:tcPr>
              <w:sdt>
                <w:sdtPr>
                  <w:rPr>
                    <w:rFonts w:hint="eastAsia"/>
                  </w:rPr>
                  <w:tag w:val="_PLD_879cf215b86c45c790218e646c831e7d"/>
                  <w:id w:val="574090055"/>
                  <w:lock w:val="sdtLocked"/>
                </w:sdtPr>
                <w:sdtEndPr/>
                <w:sdtContent>
                  <w:p w14:paraId="12CF6CD8" w14:textId="77777777" w:rsidR="00471D53" w:rsidRDefault="004F686E" w:rsidP="00471D53">
                    <w:pPr>
                      <w:jc w:val="center"/>
                    </w:pPr>
                    <w:r>
                      <w:rPr>
                        <w:rFonts w:hint="eastAsia"/>
                      </w:rPr>
                      <w:t>本期发生额</w:t>
                    </w:r>
                  </w:p>
                </w:sdtContent>
              </w:sdt>
            </w:tc>
            <w:tc>
              <w:tcPr>
                <w:tcW w:w="3017" w:type="dxa"/>
              </w:tcPr>
              <w:sdt>
                <w:sdtPr>
                  <w:rPr>
                    <w:rFonts w:hint="eastAsia"/>
                  </w:rPr>
                  <w:tag w:val="_PLD_8860a002ccc44e14bf36aa3e10fb5d70"/>
                  <w:id w:val="1904404511"/>
                  <w:lock w:val="sdtLocked"/>
                </w:sdtPr>
                <w:sdtEndPr/>
                <w:sdtContent>
                  <w:p w14:paraId="54AEFFF0" w14:textId="77777777" w:rsidR="00471D53" w:rsidRDefault="004F686E" w:rsidP="00471D53">
                    <w:pPr>
                      <w:jc w:val="center"/>
                    </w:pPr>
                    <w:r>
                      <w:rPr>
                        <w:rFonts w:hint="eastAsia"/>
                      </w:rPr>
                      <w:t>上期发生额</w:t>
                    </w:r>
                  </w:p>
                </w:sdtContent>
              </w:sdt>
            </w:tc>
          </w:tr>
          <w:sdt>
            <w:sdtPr>
              <w:rPr>
                <w:rFonts w:asciiTheme="minorHAnsi" w:eastAsiaTheme="minorEastAsia" w:hAnsiTheme="minorHAnsi" w:cstheme="minorBidi"/>
                <w:kern w:val="2"/>
                <w:szCs w:val="22"/>
              </w:rPr>
              <w:alias w:val="资产处置收益明细"/>
              <w:tag w:val="_TUP_4fb92e1c2e6d48c3ba0fd0e082ed3be0"/>
              <w:id w:val="1394698273"/>
            </w:sdtPr>
            <w:sdtEndPr/>
            <w:sdtContent>
              <w:tr w:rsidR="00471D53" w14:paraId="3A4FDFD3" w14:textId="77777777" w:rsidTr="00471D53">
                <w:tc>
                  <w:tcPr>
                    <w:tcW w:w="3016" w:type="dxa"/>
                  </w:tcPr>
                  <w:p w14:paraId="74A0A6B4" w14:textId="77777777" w:rsidR="00471D53" w:rsidRDefault="004F686E" w:rsidP="00471D53">
                    <w:r>
                      <w:t>非流动资产处置收益</w:t>
                    </w:r>
                  </w:p>
                </w:tc>
                <w:tc>
                  <w:tcPr>
                    <w:tcW w:w="3016" w:type="dxa"/>
                  </w:tcPr>
                  <w:p w14:paraId="52282E6B" w14:textId="77777777" w:rsidR="00471D53" w:rsidRDefault="004F686E" w:rsidP="00471D53">
                    <w:pPr>
                      <w:jc w:val="right"/>
                    </w:pPr>
                    <w:r>
                      <w:t>122,252.07</w:t>
                    </w:r>
                  </w:p>
                </w:tc>
                <w:tc>
                  <w:tcPr>
                    <w:tcW w:w="3017" w:type="dxa"/>
                  </w:tcPr>
                  <w:p w14:paraId="6A898F6B" w14:textId="77777777" w:rsidR="00471D53" w:rsidRDefault="004F686E" w:rsidP="00471D53">
                    <w:pPr>
                      <w:jc w:val="right"/>
                    </w:pPr>
                    <w:r>
                      <w:t>0.00</w:t>
                    </w:r>
                  </w:p>
                </w:tc>
              </w:tr>
            </w:sdtContent>
          </w:sdt>
          <w:tr w:rsidR="00471D53" w14:paraId="25502A4A" w14:textId="77777777" w:rsidTr="00471D53">
            <w:tc>
              <w:tcPr>
                <w:tcW w:w="3016" w:type="dxa"/>
              </w:tcPr>
              <w:sdt>
                <w:sdtPr>
                  <w:rPr>
                    <w:rFonts w:hint="eastAsia"/>
                  </w:rPr>
                  <w:tag w:val="_PLD_8313ddfe5809449c9ba5acf78ad5340a"/>
                  <w:id w:val="1500151580"/>
                  <w:lock w:val="sdtLocked"/>
                </w:sdtPr>
                <w:sdtEndPr/>
                <w:sdtContent>
                  <w:p w14:paraId="7784E2EC" w14:textId="77777777" w:rsidR="00471D53" w:rsidRDefault="004F686E" w:rsidP="00471D53">
                    <w:pPr>
                      <w:jc w:val="center"/>
                    </w:pPr>
                    <w:r>
                      <w:rPr>
                        <w:rFonts w:hint="eastAsia"/>
                      </w:rPr>
                      <w:t>合计</w:t>
                    </w:r>
                  </w:p>
                </w:sdtContent>
              </w:sdt>
            </w:tc>
            <w:tc>
              <w:tcPr>
                <w:tcW w:w="3016" w:type="dxa"/>
              </w:tcPr>
              <w:p w14:paraId="202476B8" w14:textId="77777777" w:rsidR="00471D53" w:rsidRDefault="004F686E" w:rsidP="00471D53">
                <w:pPr>
                  <w:jc w:val="right"/>
                </w:pPr>
                <w:r>
                  <w:t>122,252.07</w:t>
                </w:r>
              </w:p>
            </w:tc>
            <w:tc>
              <w:tcPr>
                <w:tcW w:w="3017" w:type="dxa"/>
              </w:tcPr>
              <w:p w14:paraId="31EB2751" w14:textId="77777777" w:rsidR="00471D53" w:rsidRDefault="004F686E" w:rsidP="00471D53">
                <w:pPr>
                  <w:jc w:val="right"/>
                </w:pPr>
                <w:r>
                  <w:t>0.00</w:t>
                </w:r>
              </w:p>
            </w:tc>
          </w:tr>
        </w:tbl>
        <w:p w14:paraId="0F7326E3" w14:textId="77777777" w:rsidR="00471D53" w:rsidRDefault="00B664AF"/>
        <w:p w14:paraId="4FA78950" w14:textId="77777777" w:rsidR="00471D53" w:rsidRDefault="004F686E">
          <w:r>
            <w:rPr>
              <w:rFonts w:hint="eastAsia"/>
            </w:rPr>
            <w:t>其他</w:t>
          </w:r>
          <w:r>
            <w:t>说明：</w:t>
          </w:r>
        </w:p>
        <w:sdt>
          <w:sdtPr>
            <w:rPr>
              <w:rFonts w:hint="eastAsia"/>
            </w:rPr>
            <w:alias w:val="是否适用：资产处置收益其他说明[双击切换]"/>
            <w:tag w:val="_GBC_15965d17bc0a4e6788b5c6faf8c51b58"/>
            <w:id w:val="-1030870844"/>
            <w:lock w:val="sdtLocked"/>
            <w:placeholder>
              <w:docPart w:val="GBC22222222222222222222222222222"/>
            </w:placeholder>
          </w:sdtPr>
          <w:sdtEndPr/>
          <w:sdtContent>
            <w:p w14:paraId="694B9A67"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资产处置收益其他说明"/>
            <w:tag w:val="_GBC_8f98405f78134a5d91f9050d99982332"/>
            <w:id w:val="1123578421"/>
            <w:lock w:val="sdtLocked"/>
            <w:placeholder>
              <w:docPart w:val="GBC22222222222222222222222222222"/>
            </w:placeholder>
          </w:sdtPr>
          <w:sdtEndPr/>
          <w:sdtContent>
            <w:p w14:paraId="07E27B0F" w14:textId="77777777" w:rsidR="00471D53" w:rsidRDefault="004F686E" w:rsidP="00471D53">
              <w:pPr>
                <w:tabs>
                  <w:tab w:val="left" w:pos="800"/>
                  <w:tab w:val="left" w:pos="1100"/>
                  <w:tab w:val="left" w:pos="1713"/>
                </w:tabs>
                <w:spacing w:beforeLines="50" w:before="120" w:afterLines="50" w:after="120" w:line="360" w:lineRule="exact"/>
                <w:ind w:firstLineChars="200" w:firstLine="420"/>
                <w:jc w:val="both"/>
                <w:rPr>
                  <w:sz w:val="22"/>
                  <w:szCs w:val="22"/>
                </w:rPr>
              </w:pPr>
              <w:r>
                <w:rPr>
                  <w:rFonts w:hint="eastAsia"/>
                  <w:sz w:val="22"/>
                  <w:szCs w:val="22"/>
                </w:rPr>
                <w:t>本期计入非经常性损益金额为</w:t>
              </w:r>
              <w:r w:rsidRPr="002A1C73">
                <w:rPr>
                  <w:sz w:val="22"/>
                  <w:szCs w:val="22"/>
                </w:rPr>
                <w:t>122,252.07</w:t>
              </w:r>
              <w:r w:rsidRPr="002A1C73">
                <w:rPr>
                  <w:rFonts w:hint="eastAsia"/>
                  <w:sz w:val="22"/>
                  <w:szCs w:val="22"/>
                </w:rPr>
                <w:t>元</w:t>
              </w:r>
              <w:r>
                <w:rPr>
                  <w:rFonts w:hint="eastAsia"/>
                  <w:sz w:val="22"/>
                  <w:szCs w:val="22"/>
                </w:rPr>
                <w:t>（上期：</w:t>
              </w:r>
              <w:r w:rsidRPr="0053740B">
                <w:rPr>
                  <w:rFonts w:hint="eastAsia"/>
                  <w:sz w:val="22"/>
                  <w:szCs w:val="22"/>
                </w:rPr>
                <w:t>0.00元</w:t>
              </w:r>
              <w:r>
                <w:rPr>
                  <w:rFonts w:hint="eastAsia"/>
                  <w:sz w:val="22"/>
                  <w:szCs w:val="22"/>
                </w:rPr>
                <w:t>）。</w:t>
              </w:r>
            </w:p>
            <w:p w14:paraId="1697B3E9" w14:textId="77777777" w:rsidR="00471D53" w:rsidRDefault="00B664AF"/>
          </w:sdtContent>
        </w:sdt>
      </w:sdtContent>
    </w:sdt>
    <w:p w14:paraId="3E9BA2F6" w14:textId="77777777" w:rsidR="00471D53" w:rsidRDefault="00B664AF"/>
    <w:p w14:paraId="73C78D75"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营业外收入</w:t>
      </w:r>
    </w:p>
    <w:sdt>
      <w:sdtPr>
        <w:rPr>
          <w:rFonts w:cstheme="minorBidi" w:hint="eastAsia"/>
          <w:bCs/>
          <w:szCs w:val="22"/>
        </w:rPr>
        <w:alias w:val="是否适用：营业外收入情况 [双击切换]"/>
        <w:tag w:val="_GBC_b6e9df1124844122abb2dde58392c605"/>
        <w:id w:val="-471515680"/>
        <w:lock w:val="sdtContentLocked"/>
        <w:placeholder>
          <w:docPart w:val="GBC22222222222222222222222222222"/>
        </w:placeholder>
      </w:sdtPr>
      <w:sdtEndPr/>
      <w:sdtContent>
        <w:p w14:paraId="498AB664" w14:textId="77777777" w:rsidR="00471D53" w:rsidRDefault="004F686E">
          <w:pPr>
            <w:rPr>
              <w:rFonts w:cstheme="minorBidi"/>
              <w:bCs/>
              <w:szCs w:val="22"/>
            </w:rPr>
          </w:pPr>
          <w:r>
            <w:rPr>
              <w:rFonts w:cstheme="minorBidi"/>
              <w:bCs/>
              <w:szCs w:val="22"/>
            </w:rPr>
            <w:fldChar w:fldCharType="begin"/>
          </w:r>
          <w:r>
            <w:rPr>
              <w:rFonts w:cstheme="minorBidi"/>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Pr>
              <w:rFonts w:cstheme="minorBidi"/>
              <w:bCs/>
              <w:szCs w:val="22"/>
            </w:rPr>
            <w:instrText xml:space="preserve"> MACROBUTTON  SnrToggleCheckbox □不适用 </w:instrText>
          </w:r>
          <w:r>
            <w:rPr>
              <w:rFonts w:cstheme="minorBidi"/>
              <w:bCs/>
              <w:szCs w:val="22"/>
            </w:rPr>
            <w:fldChar w:fldCharType="end"/>
          </w:r>
        </w:p>
      </w:sdtContent>
    </w:sdt>
    <w:sdt>
      <w:sdtPr>
        <w:rPr>
          <w:rFonts w:hint="eastAsia"/>
        </w:rPr>
        <w:alias w:val="模块:单位：元 币种：人民币项目本期发生额上期发生额计入当期非经..."/>
        <w:tag w:val="_SEC_62e5cfd7609742dd8d0ae51a88918288"/>
        <w:id w:val="1814299206"/>
        <w:lock w:val="sdtLocked"/>
        <w:placeholder>
          <w:docPart w:val="GBC22222222222222222222222222222"/>
        </w:placeholder>
      </w:sdtPr>
      <w:sdtEndPr/>
      <w:sdtContent>
        <w:p w14:paraId="5F641D84" w14:textId="7BB87717" w:rsidR="00471D53" w:rsidRDefault="004F686E">
          <w:pPr>
            <w:jc w:val="right"/>
          </w:pPr>
          <w:r>
            <w:rPr>
              <w:rFonts w:hint="eastAsia"/>
            </w:rPr>
            <w:t>单位：</w:t>
          </w:r>
          <w:sdt>
            <w:sdtPr>
              <w:rPr>
                <w:rFonts w:hint="eastAsia"/>
              </w:rPr>
              <w:alias w:val="单位：财务附注：营业外收入"/>
              <w:tag w:val="_GBC_dd93a692e0c045038f9ddf46f86e7289"/>
              <w:id w:val="41050591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营业外收入"/>
              <w:tag w:val="_GBC_598cac7504eb4ef39ddc19fb969bdd53"/>
              <w:id w:val="-17122679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9"/>
            <w:gridCol w:w="2248"/>
            <w:gridCol w:w="2257"/>
            <w:gridCol w:w="2259"/>
          </w:tblGrid>
          <w:tr w:rsidR="00471D53" w14:paraId="78FFB7F0" w14:textId="77777777" w:rsidTr="00471D53">
            <w:sdt>
              <w:sdtPr>
                <w:tag w:val="_PLD_d649e0d07dd047a497e69591bf3e322c"/>
                <w:id w:val="-576594678"/>
                <w:lock w:val="sdtLocked"/>
              </w:sdtPr>
              <w:sdtEndPr/>
              <w:sdtContent>
                <w:tc>
                  <w:tcPr>
                    <w:tcW w:w="1166" w:type="pct"/>
                    <w:tcBorders>
                      <w:top w:val="single" w:sz="4" w:space="0" w:color="auto"/>
                      <w:left w:val="single" w:sz="4" w:space="0" w:color="auto"/>
                      <w:bottom w:val="single" w:sz="4" w:space="0" w:color="auto"/>
                      <w:right w:val="single" w:sz="4" w:space="0" w:color="auto"/>
                    </w:tcBorders>
                    <w:vAlign w:val="center"/>
                  </w:tcPr>
                  <w:p w14:paraId="25E0C3C9" w14:textId="77777777" w:rsidR="00471D53" w:rsidRDefault="004F686E" w:rsidP="00471D53">
                    <w:pPr>
                      <w:autoSpaceDE w:val="0"/>
                      <w:autoSpaceDN w:val="0"/>
                      <w:adjustRightInd w:val="0"/>
                      <w:jc w:val="center"/>
                      <w:rPr>
                        <w:szCs w:val="21"/>
                      </w:rPr>
                    </w:pPr>
                    <w:r>
                      <w:rPr>
                        <w:rFonts w:hint="eastAsia"/>
                        <w:szCs w:val="21"/>
                      </w:rPr>
                      <w:t>项目</w:t>
                    </w:r>
                  </w:p>
                </w:tc>
              </w:sdtContent>
            </w:sdt>
            <w:sdt>
              <w:sdtPr>
                <w:tag w:val="_PLD_eabf358cb2c947a9b4e7bacb394074db"/>
                <w:id w:val="1050500801"/>
                <w:lock w:val="sdtLocked"/>
              </w:sdtPr>
              <w:sdtEndPr/>
              <w:sdtContent>
                <w:tc>
                  <w:tcPr>
                    <w:tcW w:w="1274" w:type="pct"/>
                    <w:tcBorders>
                      <w:top w:val="single" w:sz="4" w:space="0" w:color="auto"/>
                      <w:left w:val="single" w:sz="4" w:space="0" w:color="auto"/>
                      <w:bottom w:val="single" w:sz="4" w:space="0" w:color="auto"/>
                      <w:right w:val="single" w:sz="4" w:space="0" w:color="auto"/>
                    </w:tcBorders>
                    <w:vAlign w:val="center"/>
                  </w:tcPr>
                  <w:p w14:paraId="47F73A9A" w14:textId="77777777" w:rsidR="00471D53" w:rsidRDefault="004F686E" w:rsidP="00471D53">
                    <w:pPr>
                      <w:autoSpaceDE w:val="0"/>
                      <w:autoSpaceDN w:val="0"/>
                      <w:adjustRightInd w:val="0"/>
                      <w:jc w:val="center"/>
                      <w:rPr>
                        <w:szCs w:val="21"/>
                      </w:rPr>
                    </w:pPr>
                    <w:r>
                      <w:rPr>
                        <w:rFonts w:hint="eastAsia"/>
                        <w:szCs w:val="21"/>
                      </w:rPr>
                      <w:t>本期发生额</w:t>
                    </w:r>
                  </w:p>
                </w:tc>
              </w:sdtContent>
            </w:sdt>
            <w:sdt>
              <w:sdtPr>
                <w:tag w:val="_PLD_0469d808d7334ff0ab3460273b0c8f8f"/>
                <w:id w:val="1715075217"/>
                <w:lock w:val="sdtLocked"/>
              </w:sdtPr>
              <w:sdtEndPr/>
              <w:sdtContent>
                <w:tc>
                  <w:tcPr>
                    <w:tcW w:w="1279" w:type="pct"/>
                    <w:tcBorders>
                      <w:top w:val="single" w:sz="4" w:space="0" w:color="auto"/>
                      <w:left w:val="single" w:sz="4" w:space="0" w:color="auto"/>
                      <w:bottom w:val="single" w:sz="4" w:space="0" w:color="auto"/>
                      <w:right w:val="single" w:sz="4" w:space="0" w:color="auto"/>
                    </w:tcBorders>
                    <w:vAlign w:val="center"/>
                  </w:tcPr>
                  <w:p w14:paraId="01AF7FBB" w14:textId="77777777" w:rsidR="00471D53" w:rsidRDefault="004F686E" w:rsidP="00471D53">
                    <w:pPr>
                      <w:autoSpaceDE w:val="0"/>
                      <w:autoSpaceDN w:val="0"/>
                      <w:adjustRightInd w:val="0"/>
                      <w:jc w:val="center"/>
                      <w:rPr>
                        <w:szCs w:val="21"/>
                      </w:rPr>
                    </w:pPr>
                    <w:r>
                      <w:rPr>
                        <w:rFonts w:hint="eastAsia"/>
                        <w:szCs w:val="21"/>
                      </w:rPr>
                      <w:t>上期发生额</w:t>
                    </w:r>
                  </w:p>
                </w:tc>
              </w:sdtContent>
            </w:sdt>
            <w:sdt>
              <w:sdtPr>
                <w:tag w:val="_PLD_121bda757dda46918753fabf9329298f"/>
                <w:id w:val="1113175606"/>
                <w:lock w:val="sdtLocked"/>
              </w:sdtPr>
              <w:sdtEndPr/>
              <w:sdtContent>
                <w:tc>
                  <w:tcPr>
                    <w:tcW w:w="1280" w:type="pct"/>
                    <w:tcBorders>
                      <w:top w:val="single" w:sz="4" w:space="0" w:color="auto"/>
                      <w:left w:val="single" w:sz="4" w:space="0" w:color="auto"/>
                      <w:bottom w:val="single" w:sz="4" w:space="0" w:color="auto"/>
                      <w:right w:val="single" w:sz="4" w:space="0" w:color="auto"/>
                    </w:tcBorders>
                    <w:vAlign w:val="center"/>
                  </w:tcPr>
                  <w:p w14:paraId="56E79EDE" w14:textId="77777777" w:rsidR="00471D53" w:rsidRDefault="004F686E" w:rsidP="00471D53">
                    <w:pPr>
                      <w:autoSpaceDE w:val="0"/>
                      <w:autoSpaceDN w:val="0"/>
                      <w:adjustRightInd w:val="0"/>
                      <w:jc w:val="center"/>
                      <w:rPr>
                        <w:color w:val="FF0000"/>
                        <w:szCs w:val="21"/>
                      </w:rPr>
                    </w:pPr>
                    <w:r>
                      <w:rPr>
                        <w:rFonts w:hint="eastAsia"/>
                        <w:szCs w:val="21"/>
                      </w:rPr>
                      <w:t>计入当期非经常性损益的金额</w:t>
                    </w:r>
                  </w:p>
                </w:tc>
              </w:sdtContent>
            </w:sdt>
          </w:tr>
          <w:tr w:rsidR="00471D53" w14:paraId="07D3178B" w14:textId="77777777" w:rsidTr="00471D53">
            <w:sdt>
              <w:sdtPr>
                <w:tag w:val="_PLD_cb24834fdd0f46c3836c51084196565f"/>
                <w:id w:val="-1775173864"/>
                <w:lock w:val="sdtLocked"/>
              </w:sdtPr>
              <w:sdtEndPr/>
              <w:sdtContent>
                <w:tc>
                  <w:tcPr>
                    <w:tcW w:w="1166" w:type="pct"/>
                    <w:tcBorders>
                      <w:top w:val="single" w:sz="4" w:space="0" w:color="auto"/>
                      <w:left w:val="single" w:sz="4" w:space="0" w:color="auto"/>
                      <w:bottom w:val="single" w:sz="4" w:space="0" w:color="auto"/>
                      <w:right w:val="single" w:sz="4" w:space="0" w:color="auto"/>
                    </w:tcBorders>
                  </w:tcPr>
                  <w:p w14:paraId="05406DE6" w14:textId="77777777" w:rsidR="00471D53" w:rsidRDefault="004F686E" w:rsidP="00471D53">
                    <w:pPr>
                      <w:autoSpaceDE w:val="0"/>
                      <w:autoSpaceDN w:val="0"/>
                      <w:adjustRightInd w:val="0"/>
                      <w:rPr>
                        <w:szCs w:val="21"/>
                      </w:rPr>
                    </w:pPr>
                    <w:r>
                      <w:rPr>
                        <w:rFonts w:hint="eastAsia"/>
                        <w:szCs w:val="21"/>
                      </w:rPr>
                      <w:t>非流动资产处置利得合计</w:t>
                    </w:r>
                  </w:p>
                </w:tc>
              </w:sdtContent>
            </w:sdt>
            <w:tc>
              <w:tcPr>
                <w:tcW w:w="1274" w:type="pct"/>
                <w:tcBorders>
                  <w:top w:val="single" w:sz="4" w:space="0" w:color="auto"/>
                  <w:left w:val="single" w:sz="4" w:space="0" w:color="auto"/>
                  <w:bottom w:val="single" w:sz="4" w:space="0" w:color="auto"/>
                  <w:right w:val="single" w:sz="4" w:space="0" w:color="auto"/>
                </w:tcBorders>
              </w:tcPr>
              <w:p w14:paraId="6A9D3547" w14:textId="77777777" w:rsidR="00471D53" w:rsidRDefault="00B664AF" w:rsidP="00471D53">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14:paraId="2C11C47A" w14:textId="77777777" w:rsidR="00471D53" w:rsidRDefault="00B664AF" w:rsidP="00471D53">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14:paraId="40AB5470" w14:textId="77777777" w:rsidR="00471D53" w:rsidRDefault="00B664AF" w:rsidP="00471D53">
                <w:pPr>
                  <w:autoSpaceDE w:val="0"/>
                  <w:autoSpaceDN w:val="0"/>
                  <w:adjustRightInd w:val="0"/>
                  <w:jc w:val="right"/>
                  <w:rPr>
                    <w:szCs w:val="21"/>
                  </w:rPr>
                </w:pPr>
              </w:p>
            </w:tc>
          </w:tr>
          <w:tr w:rsidR="00471D53" w14:paraId="6B946B85" w14:textId="77777777" w:rsidTr="00471D53">
            <w:sdt>
              <w:sdtPr>
                <w:tag w:val="_PLD_51e6628966d84807a93193ac3fd8a88e"/>
                <w:id w:val="-1545601293"/>
                <w:lock w:val="sdtLocked"/>
              </w:sdtPr>
              <w:sdtEndPr/>
              <w:sdtContent>
                <w:tc>
                  <w:tcPr>
                    <w:tcW w:w="1166" w:type="pct"/>
                    <w:tcBorders>
                      <w:top w:val="single" w:sz="4" w:space="0" w:color="auto"/>
                      <w:left w:val="single" w:sz="4" w:space="0" w:color="auto"/>
                      <w:bottom w:val="single" w:sz="4" w:space="0" w:color="auto"/>
                      <w:right w:val="single" w:sz="4" w:space="0" w:color="auto"/>
                    </w:tcBorders>
                  </w:tcPr>
                  <w:p w14:paraId="483AF494" w14:textId="77777777" w:rsidR="00471D53" w:rsidRDefault="004F686E" w:rsidP="00471D53">
                    <w:pPr>
                      <w:autoSpaceDE w:val="0"/>
                      <w:autoSpaceDN w:val="0"/>
                      <w:adjustRightInd w:val="0"/>
                      <w:rPr>
                        <w:szCs w:val="21"/>
                      </w:rPr>
                    </w:pPr>
                    <w:r>
                      <w:rPr>
                        <w:rFonts w:hint="eastAsia"/>
                        <w:szCs w:val="21"/>
                      </w:rPr>
                      <w:t>其中：固定资产处置利得</w:t>
                    </w:r>
                  </w:p>
                </w:tc>
              </w:sdtContent>
            </w:sdt>
            <w:tc>
              <w:tcPr>
                <w:tcW w:w="1274" w:type="pct"/>
                <w:tcBorders>
                  <w:top w:val="single" w:sz="4" w:space="0" w:color="auto"/>
                  <w:left w:val="single" w:sz="4" w:space="0" w:color="auto"/>
                  <w:bottom w:val="single" w:sz="4" w:space="0" w:color="auto"/>
                  <w:right w:val="single" w:sz="4" w:space="0" w:color="auto"/>
                </w:tcBorders>
              </w:tcPr>
              <w:p w14:paraId="2E0F32F7" w14:textId="77777777" w:rsidR="00471D53" w:rsidRDefault="00B664AF" w:rsidP="00471D53">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14:paraId="1822E75A" w14:textId="77777777" w:rsidR="00471D53" w:rsidRDefault="00B664AF" w:rsidP="00471D53">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14:paraId="0E123553" w14:textId="77777777" w:rsidR="00471D53" w:rsidRDefault="00B664AF" w:rsidP="00471D53">
                <w:pPr>
                  <w:autoSpaceDE w:val="0"/>
                  <w:autoSpaceDN w:val="0"/>
                  <w:adjustRightInd w:val="0"/>
                  <w:jc w:val="right"/>
                  <w:rPr>
                    <w:szCs w:val="21"/>
                  </w:rPr>
                </w:pPr>
              </w:p>
            </w:tc>
          </w:tr>
          <w:tr w:rsidR="00471D53" w14:paraId="1C18C85B" w14:textId="77777777" w:rsidTr="00471D53">
            <w:sdt>
              <w:sdtPr>
                <w:tag w:val="_PLD_7f803529327b4f529b4acbc8b4633c6e"/>
                <w:id w:val="246163546"/>
                <w:lock w:val="sdtLocked"/>
              </w:sdtPr>
              <w:sdtEndPr/>
              <w:sdtContent>
                <w:tc>
                  <w:tcPr>
                    <w:tcW w:w="1166" w:type="pct"/>
                    <w:tcBorders>
                      <w:top w:val="single" w:sz="4" w:space="0" w:color="auto"/>
                      <w:left w:val="single" w:sz="4" w:space="0" w:color="auto"/>
                      <w:bottom w:val="single" w:sz="4" w:space="0" w:color="auto"/>
                      <w:right w:val="single" w:sz="4" w:space="0" w:color="auto"/>
                    </w:tcBorders>
                  </w:tcPr>
                  <w:p w14:paraId="37EDBA43" w14:textId="77777777" w:rsidR="00471D53" w:rsidRDefault="004F686E" w:rsidP="00471D53">
                    <w:pPr>
                      <w:autoSpaceDE w:val="0"/>
                      <w:autoSpaceDN w:val="0"/>
                      <w:adjustRightInd w:val="0"/>
                      <w:ind w:firstLineChars="300" w:firstLine="630"/>
                      <w:rPr>
                        <w:szCs w:val="21"/>
                      </w:rPr>
                    </w:pPr>
                    <w:r>
                      <w:rPr>
                        <w:rFonts w:hint="eastAsia"/>
                        <w:szCs w:val="21"/>
                      </w:rPr>
                      <w:t>无形资产处置利得</w:t>
                    </w:r>
                  </w:p>
                </w:tc>
              </w:sdtContent>
            </w:sdt>
            <w:tc>
              <w:tcPr>
                <w:tcW w:w="1274" w:type="pct"/>
                <w:tcBorders>
                  <w:top w:val="single" w:sz="4" w:space="0" w:color="auto"/>
                  <w:left w:val="single" w:sz="4" w:space="0" w:color="auto"/>
                  <w:bottom w:val="single" w:sz="4" w:space="0" w:color="auto"/>
                  <w:right w:val="single" w:sz="4" w:space="0" w:color="auto"/>
                </w:tcBorders>
              </w:tcPr>
              <w:p w14:paraId="63F176DE" w14:textId="77777777" w:rsidR="00471D53" w:rsidRDefault="00B664AF" w:rsidP="00471D53">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14:paraId="416A05DB" w14:textId="77777777" w:rsidR="00471D53" w:rsidRDefault="00B664AF" w:rsidP="00471D53">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14:paraId="1B6F68EB" w14:textId="77777777" w:rsidR="00471D53" w:rsidRDefault="00B664AF" w:rsidP="00471D53">
                <w:pPr>
                  <w:autoSpaceDE w:val="0"/>
                  <w:autoSpaceDN w:val="0"/>
                  <w:adjustRightInd w:val="0"/>
                  <w:jc w:val="right"/>
                  <w:rPr>
                    <w:szCs w:val="21"/>
                  </w:rPr>
                </w:pPr>
              </w:p>
            </w:tc>
          </w:tr>
          <w:tr w:rsidR="00471D53" w14:paraId="0CCD673C" w14:textId="77777777" w:rsidTr="00471D53">
            <w:sdt>
              <w:sdtPr>
                <w:tag w:val="_PLD_d78c2dfb458d4a20adeaa192d260fc6a"/>
                <w:id w:val="1537308895"/>
                <w:lock w:val="sdtLocked"/>
              </w:sdtPr>
              <w:sdtEndPr/>
              <w:sdtContent>
                <w:tc>
                  <w:tcPr>
                    <w:tcW w:w="1166" w:type="pct"/>
                    <w:tcBorders>
                      <w:top w:val="single" w:sz="4" w:space="0" w:color="auto"/>
                      <w:left w:val="single" w:sz="4" w:space="0" w:color="auto"/>
                      <w:bottom w:val="single" w:sz="4" w:space="0" w:color="auto"/>
                      <w:right w:val="single" w:sz="4" w:space="0" w:color="auto"/>
                    </w:tcBorders>
                  </w:tcPr>
                  <w:p w14:paraId="7DCAFB62" w14:textId="77777777" w:rsidR="00471D53" w:rsidRDefault="004F686E" w:rsidP="00471D53">
                    <w:pPr>
                      <w:autoSpaceDE w:val="0"/>
                      <w:autoSpaceDN w:val="0"/>
                      <w:adjustRightInd w:val="0"/>
                      <w:rPr>
                        <w:szCs w:val="21"/>
                      </w:rPr>
                    </w:pPr>
                    <w:r>
                      <w:rPr>
                        <w:rFonts w:hint="eastAsia"/>
                        <w:szCs w:val="21"/>
                      </w:rPr>
                      <w:t>债务重组利得</w:t>
                    </w:r>
                  </w:p>
                </w:tc>
              </w:sdtContent>
            </w:sdt>
            <w:tc>
              <w:tcPr>
                <w:tcW w:w="1274" w:type="pct"/>
                <w:tcBorders>
                  <w:top w:val="single" w:sz="4" w:space="0" w:color="auto"/>
                  <w:left w:val="single" w:sz="4" w:space="0" w:color="auto"/>
                  <w:bottom w:val="single" w:sz="4" w:space="0" w:color="auto"/>
                  <w:right w:val="single" w:sz="4" w:space="0" w:color="auto"/>
                </w:tcBorders>
              </w:tcPr>
              <w:p w14:paraId="0E6513D7" w14:textId="77777777" w:rsidR="00471D53" w:rsidRDefault="00B664AF" w:rsidP="00471D53">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14:paraId="56B6C5FE" w14:textId="77777777" w:rsidR="00471D53" w:rsidRDefault="00B664AF" w:rsidP="00471D53">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14:paraId="3CD68587" w14:textId="77777777" w:rsidR="00471D53" w:rsidRDefault="00B664AF" w:rsidP="00471D53">
                <w:pPr>
                  <w:autoSpaceDE w:val="0"/>
                  <w:autoSpaceDN w:val="0"/>
                  <w:adjustRightInd w:val="0"/>
                  <w:jc w:val="right"/>
                  <w:rPr>
                    <w:szCs w:val="21"/>
                  </w:rPr>
                </w:pPr>
              </w:p>
            </w:tc>
          </w:tr>
          <w:tr w:rsidR="00471D53" w14:paraId="33546F90" w14:textId="77777777" w:rsidTr="00471D53">
            <w:sdt>
              <w:sdtPr>
                <w:tag w:val="_PLD_addf757476b14e0a866d589088e59325"/>
                <w:id w:val="1355623059"/>
                <w:lock w:val="sdtLocked"/>
              </w:sdtPr>
              <w:sdtEndPr/>
              <w:sdtContent>
                <w:tc>
                  <w:tcPr>
                    <w:tcW w:w="1166" w:type="pct"/>
                    <w:tcBorders>
                      <w:top w:val="single" w:sz="4" w:space="0" w:color="auto"/>
                      <w:left w:val="single" w:sz="4" w:space="0" w:color="auto"/>
                      <w:bottom w:val="single" w:sz="4" w:space="0" w:color="auto"/>
                      <w:right w:val="single" w:sz="4" w:space="0" w:color="auto"/>
                    </w:tcBorders>
                  </w:tcPr>
                  <w:p w14:paraId="3EFE1E72" w14:textId="77777777" w:rsidR="00471D53" w:rsidRDefault="004F686E" w:rsidP="00471D53">
                    <w:pPr>
                      <w:autoSpaceDE w:val="0"/>
                      <w:autoSpaceDN w:val="0"/>
                      <w:adjustRightInd w:val="0"/>
                      <w:rPr>
                        <w:szCs w:val="21"/>
                      </w:rPr>
                    </w:pPr>
                    <w:r>
                      <w:rPr>
                        <w:rFonts w:hint="eastAsia"/>
                        <w:szCs w:val="21"/>
                      </w:rPr>
                      <w:t>非货币性资产交换利得</w:t>
                    </w:r>
                  </w:p>
                </w:tc>
              </w:sdtContent>
            </w:sdt>
            <w:tc>
              <w:tcPr>
                <w:tcW w:w="1274" w:type="pct"/>
                <w:tcBorders>
                  <w:top w:val="single" w:sz="4" w:space="0" w:color="auto"/>
                  <w:left w:val="single" w:sz="4" w:space="0" w:color="auto"/>
                  <w:bottom w:val="single" w:sz="4" w:space="0" w:color="auto"/>
                  <w:right w:val="single" w:sz="4" w:space="0" w:color="auto"/>
                </w:tcBorders>
              </w:tcPr>
              <w:p w14:paraId="0C918EDA" w14:textId="77777777" w:rsidR="00471D53" w:rsidRDefault="00B664AF" w:rsidP="00471D53">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14:paraId="4721F38C" w14:textId="77777777" w:rsidR="00471D53" w:rsidRDefault="00B664AF" w:rsidP="00471D53">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14:paraId="7C891E18" w14:textId="77777777" w:rsidR="00471D53" w:rsidRDefault="00B664AF" w:rsidP="00471D53">
                <w:pPr>
                  <w:autoSpaceDE w:val="0"/>
                  <w:autoSpaceDN w:val="0"/>
                  <w:adjustRightInd w:val="0"/>
                  <w:jc w:val="right"/>
                  <w:rPr>
                    <w:szCs w:val="21"/>
                  </w:rPr>
                </w:pPr>
              </w:p>
            </w:tc>
          </w:tr>
          <w:tr w:rsidR="00471D53" w14:paraId="3FA571D7" w14:textId="77777777" w:rsidTr="00471D53">
            <w:sdt>
              <w:sdtPr>
                <w:tag w:val="_PLD_2039c4d9907c4ef7bb8a71fc4f7dd7fa"/>
                <w:id w:val="-1514299243"/>
                <w:lock w:val="sdtLocked"/>
              </w:sdtPr>
              <w:sdtEndPr/>
              <w:sdtContent>
                <w:tc>
                  <w:tcPr>
                    <w:tcW w:w="1166" w:type="pct"/>
                    <w:tcBorders>
                      <w:top w:val="single" w:sz="4" w:space="0" w:color="auto"/>
                      <w:left w:val="single" w:sz="4" w:space="0" w:color="auto"/>
                      <w:bottom w:val="single" w:sz="4" w:space="0" w:color="auto"/>
                      <w:right w:val="single" w:sz="4" w:space="0" w:color="auto"/>
                    </w:tcBorders>
                  </w:tcPr>
                  <w:p w14:paraId="4948B011" w14:textId="77777777" w:rsidR="00471D53" w:rsidRDefault="004F686E" w:rsidP="00471D53">
                    <w:pPr>
                      <w:autoSpaceDE w:val="0"/>
                      <w:autoSpaceDN w:val="0"/>
                      <w:adjustRightInd w:val="0"/>
                      <w:rPr>
                        <w:szCs w:val="21"/>
                      </w:rPr>
                    </w:pPr>
                    <w:r>
                      <w:rPr>
                        <w:rFonts w:hint="eastAsia"/>
                        <w:szCs w:val="21"/>
                      </w:rPr>
                      <w:t>接受捐赠</w:t>
                    </w:r>
                  </w:p>
                </w:tc>
              </w:sdtContent>
            </w:sdt>
            <w:tc>
              <w:tcPr>
                <w:tcW w:w="1274" w:type="pct"/>
                <w:tcBorders>
                  <w:top w:val="single" w:sz="4" w:space="0" w:color="auto"/>
                  <w:left w:val="single" w:sz="4" w:space="0" w:color="auto"/>
                  <w:bottom w:val="single" w:sz="4" w:space="0" w:color="auto"/>
                  <w:right w:val="single" w:sz="4" w:space="0" w:color="auto"/>
                </w:tcBorders>
              </w:tcPr>
              <w:p w14:paraId="32AD0B22" w14:textId="77777777" w:rsidR="00471D53" w:rsidRDefault="00B664AF" w:rsidP="00471D53">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14:paraId="3390E068" w14:textId="77777777" w:rsidR="00471D53" w:rsidRDefault="00B664AF" w:rsidP="00471D53">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14:paraId="57FDD371" w14:textId="77777777" w:rsidR="00471D53" w:rsidRDefault="00B664AF" w:rsidP="00471D53">
                <w:pPr>
                  <w:autoSpaceDE w:val="0"/>
                  <w:autoSpaceDN w:val="0"/>
                  <w:adjustRightInd w:val="0"/>
                  <w:jc w:val="right"/>
                  <w:rPr>
                    <w:szCs w:val="21"/>
                  </w:rPr>
                </w:pPr>
              </w:p>
            </w:tc>
          </w:tr>
          <w:tr w:rsidR="00471D53" w14:paraId="35A1471C" w14:textId="77777777" w:rsidTr="00471D53">
            <w:sdt>
              <w:sdtPr>
                <w:tag w:val="_PLD_b627183426d3462198209d98f8e60215"/>
                <w:id w:val="-584689917"/>
                <w:lock w:val="sdtLocked"/>
              </w:sdtPr>
              <w:sdtEndPr/>
              <w:sdtContent>
                <w:tc>
                  <w:tcPr>
                    <w:tcW w:w="1166" w:type="pct"/>
                    <w:tcBorders>
                      <w:top w:val="single" w:sz="4" w:space="0" w:color="auto"/>
                      <w:left w:val="single" w:sz="4" w:space="0" w:color="auto"/>
                      <w:bottom w:val="single" w:sz="4" w:space="0" w:color="auto"/>
                      <w:right w:val="single" w:sz="4" w:space="0" w:color="auto"/>
                    </w:tcBorders>
                  </w:tcPr>
                  <w:p w14:paraId="490D0C23" w14:textId="77777777" w:rsidR="00471D53" w:rsidRDefault="004F686E" w:rsidP="00471D53">
                    <w:pPr>
                      <w:ind w:right="6"/>
                      <w:rPr>
                        <w:bCs/>
                        <w:szCs w:val="21"/>
                      </w:rPr>
                    </w:pPr>
                    <w:r>
                      <w:rPr>
                        <w:rFonts w:hint="eastAsia"/>
                        <w:bCs/>
                        <w:szCs w:val="21"/>
                      </w:rPr>
                      <w:t>政府补助</w:t>
                    </w:r>
                  </w:p>
                </w:tc>
              </w:sdtContent>
            </w:sdt>
            <w:tc>
              <w:tcPr>
                <w:tcW w:w="1274" w:type="pct"/>
                <w:tcBorders>
                  <w:top w:val="single" w:sz="4" w:space="0" w:color="auto"/>
                  <w:left w:val="single" w:sz="4" w:space="0" w:color="auto"/>
                  <w:bottom w:val="single" w:sz="4" w:space="0" w:color="auto"/>
                  <w:right w:val="single" w:sz="4" w:space="0" w:color="auto"/>
                </w:tcBorders>
                <w:vAlign w:val="center"/>
              </w:tcPr>
              <w:p w14:paraId="213F436F" w14:textId="77777777" w:rsidR="00471D53" w:rsidRDefault="004F686E" w:rsidP="00471D53">
                <w:pPr>
                  <w:jc w:val="right"/>
                  <w:rPr>
                    <w:sz w:val="22"/>
                  </w:rPr>
                </w:pPr>
                <w:r>
                  <w:rPr>
                    <w:sz w:val="22"/>
                  </w:rPr>
                  <w:t>0.00</w:t>
                </w:r>
              </w:p>
            </w:tc>
            <w:tc>
              <w:tcPr>
                <w:tcW w:w="1279" w:type="pct"/>
                <w:tcBorders>
                  <w:top w:val="single" w:sz="4" w:space="0" w:color="auto"/>
                  <w:left w:val="single" w:sz="4" w:space="0" w:color="auto"/>
                  <w:bottom w:val="single" w:sz="4" w:space="0" w:color="auto"/>
                  <w:right w:val="single" w:sz="4" w:space="0" w:color="auto"/>
                </w:tcBorders>
                <w:vAlign w:val="center"/>
              </w:tcPr>
              <w:p w14:paraId="130AC6A7" w14:textId="77777777" w:rsidR="00471D53" w:rsidRDefault="004F686E" w:rsidP="00471D53">
                <w:pPr>
                  <w:jc w:val="right"/>
                  <w:rPr>
                    <w:sz w:val="22"/>
                  </w:rPr>
                </w:pPr>
                <w:r w:rsidRPr="0053740B">
                  <w:rPr>
                    <w:sz w:val="22"/>
                  </w:rPr>
                  <w:t>1,011,221.00</w:t>
                </w:r>
              </w:p>
            </w:tc>
            <w:tc>
              <w:tcPr>
                <w:tcW w:w="1280" w:type="pct"/>
                <w:tcBorders>
                  <w:top w:val="single" w:sz="4" w:space="0" w:color="auto"/>
                  <w:left w:val="single" w:sz="4" w:space="0" w:color="auto"/>
                  <w:bottom w:val="single" w:sz="4" w:space="0" w:color="auto"/>
                  <w:right w:val="single" w:sz="4" w:space="0" w:color="auto"/>
                </w:tcBorders>
                <w:vAlign w:val="center"/>
              </w:tcPr>
              <w:p w14:paraId="1F73B988" w14:textId="77777777" w:rsidR="00471D53" w:rsidRDefault="004F686E" w:rsidP="00471D53">
                <w:pPr>
                  <w:jc w:val="right"/>
                  <w:rPr>
                    <w:sz w:val="22"/>
                  </w:rPr>
                </w:pPr>
                <w:r>
                  <w:rPr>
                    <w:sz w:val="22"/>
                  </w:rPr>
                  <w:t>0.00</w:t>
                </w:r>
              </w:p>
            </w:tc>
          </w:tr>
          <w:sdt>
            <w:sdtPr>
              <w:rPr>
                <w:rFonts w:hint="eastAsia"/>
                <w:szCs w:val="21"/>
              </w:rPr>
              <w:alias w:val="营业外收入明细"/>
              <w:tag w:val="_GBC_fd02acc867064481b957560afa744c85"/>
              <w:id w:val="1409428100"/>
              <w:lock w:val="sdtLocked"/>
            </w:sdtPr>
            <w:sdtEndPr/>
            <w:sdtContent>
              <w:tr w:rsidR="00471D53" w14:paraId="18C3A7B2" w14:textId="77777777" w:rsidTr="00471D53">
                <w:tc>
                  <w:tcPr>
                    <w:tcW w:w="1166" w:type="pct"/>
                    <w:tcBorders>
                      <w:top w:val="single" w:sz="4" w:space="0" w:color="auto"/>
                      <w:left w:val="single" w:sz="4" w:space="0" w:color="auto"/>
                      <w:bottom w:val="single" w:sz="4" w:space="0" w:color="auto"/>
                      <w:right w:val="single" w:sz="4" w:space="0" w:color="auto"/>
                    </w:tcBorders>
                  </w:tcPr>
                  <w:p w14:paraId="0731D990" w14:textId="77777777" w:rsidR="00471D53" w:rsidRDefault="004F686E" w:rsidP="00471D53">
                    <w:pPr>
                      <w:rPr>
                        <w:szCs w:val="21"/>
                      </w:rPr>
                    </w:pPr>
                    <w:r>
                      <w:t>违约赔偿收入</w:t>
                    </w:r>
                  </w:p>
                </w:tc>
                <w:tc>
                  <w:tcPr>
                    <w:tcW w:w="1274" w:type="pct"/>
                    <w:tcBorders>
                      <w:top w:val="single" w:sz="4" w:space="0" w:color="auto"/>
                      <w:left w:val="single" w:sz="4" w:space="0" w:color="auto"/>
                      <w:bottom w:val="single" w:sz="4" w:space="0" w:color="auto"/>
                      <w:right w:val="single" w:sz="4" w:space="0" w:color="auto"/>
                    </w:tcBorders>
                  </w:tcPr>
                  <w:p w14:paraId="1E741B5E" w14:textId="77777777" w:rsidR="00471D53" w:rsidRDefault="004F686E" w:rsidP="00471D53">
                    <w:pPr>
                      <w:jc w:val="right"/>
                      <w:rPr>
                        <w:szCs w:val="21"/>
                      </w:rPr>
                    </w:pPr>
                    <w:r>
                      <w:t>94,000.00</w:t>
                    </w:r>
                  </w:p>
                </w:tc>
                <w:tc>
                  <w:tcPr>
                    <w:tcW w:w="1279" w:type="pct"/>
                    <w:tcBorders>
                      <w:top w:val="single" w:sz="4" w:space="0" w:color="auto"/>
                      <w:left w:val="single" w:sz="4" w:space="0" w:color="auto"/>
                      <w:bottom w:val="single" w:sz="4" w:space="0" w:color="auto"/>
                      <w:right w:val="single" w:sz="4" w:space="0" w:color="auto"/>
                    </w:tcBorders>
                  </w:tcPr>
                  <w:p w14:paraId="674AA583" w14:textId="77777777" w:rsidR="00471D53" w:rsidRDefault="004F686E" w:rsidP="00471D53">
                    <w:pPr>
                      <w:jc w:val="right"/>
                      <w:rPr>
                        <w:szCs w:val="21"/>
                      </w:rPr>
                    </w:pPr>
                    <w:r>
                      <w:t>172,894.44</w:t>
                    </w:r>
                  </w:p>
                </w:tc>
                <w:tc>
                  <w:tcPr>
                    <w:tcW w:w="1280" w:type="pct"/>
                    <w:tcBorders>
                      <w:top w:val="single" w:sz="4" w:space="0" w:color="auto"/>
                      <w:left w:val="single" w:sz="4" w:space="0" w:color="auto"/>
                      <w:bottom w:val="single" w:sz="4" w:space="0" w:color="auto"/>
                      <w:right w:val="single" w:sz="4" w:space="0" w:color="auto"/>
                    </w:tcBorders>
                  </w:tcPr>
                  <w:p w14:paraId="35BC6D8E" w14:textId="77777777" w:rsidR="00471D53" w:rsidRDefault="004F686E" w:rsidP="00471D53">
                    <w:pPr>
                      <w:jc w:val="right"/>
                      <w:rPr>
                        <w:szCs w:val="21"/>
                      </w:rPr>
                    </w:pPr>
                    <w:r>
                      <w:t>94,000.00</w:t>
                    </w:r>
                  </w:p>
                </w:tc>
              </w:tr>
            </w:sdtContent>
          </w:sdt>
          <w:sdt>
            <w:sdtPr>
              <w:rPr>
                <w:rFonts w:hint="eastAsia"/>
                <w:szCs w:val="21"/>
              </w:rPr>
              <w:alias w:val="营业外收入明细"/>
              <w:tag w:val="_GBC_fd02acc867064481b957560afa744c85"/>
              <w:id w:val="1438263506"/>
              <w:lock w:val="sdtLocked"/>
            </w:sdtPr>
            <w:sdtEndPr/>
            <w:sdtContent>
              <w:tr w:rsidR="00471D53" w14:paraId="26B73C93" w14:textId="77777777" w:rsidTr="00471D53">
                <w:tc>
                  <w:tcPr>
                    <w:tcW w:w="1166" w:type="pct"/>
                    <w:tcBorders>
                      <w:top w:val="single" w:sz="4" w:space="0" w:color="auto"/>
                      <w:left w:val="single" w:sz="4" w:space="0" w:color="auto"/>
                      <w:bottom w:val="single" w:sz="4" w:space="0" w:color="auto"/>
                      <w:right w:val="single" w:sz="4" w:space="0" w:color="auto"/>
                    </w:tcBorders>
                  </w:tcPr>
                  <w:p w14:paraId="46F5B50A" w14:textId="77777777" w:rsidR="00471D53" w:rsidRDefault="004F686E" w:rsidP="00471D53">
                    <w:pPr>
                      <w:rPr>
                        <w:szCs w:val="21"/>
                      </w:rPr>
                    </w:pPr>
                    <w:r>
                      <w:t>其他</w:t>
                    </w:r>
                  </w:p>
                </w:tc>
                <w:tc>
                  <w:tcPr>
                    <w:tcW w:w="1274" w:type="pct"/>
                    <w:tcBorders>
                      <w:top w:val="single" w:sz="4" w:space="0" w:color="auto"/>
                      <w:left w:val="single" w:sz="4" w:space="0" w:color="auto"/>
                      <w:bottom w:val="single" w:sz="4" w:space="0" w:color="auto"/>
                      <w:right w:val="single" w:sz="4" w:space="0" w:color="auto"/>
                    </w:tcBorders>
                  </w:tcPr>
                  <w:p w14:paraId="5B2F0A70" w14:textId="77777777" w:rsidR="00471D53" w:rsidRDefault="004F686E" w:rsidP="00471D53">
                    <w:pPr>
                      <w:jc w:val="right"/>
                      <w:rPr>
                        <w:szCs w:val="21"/>
                      </w:rPr>
                    </w:pPr>
                    <w:r>
                      <w:t>489,967.12</w:t>
                    </w:r>
                  </w:p>
                </w:tc>
                <w:tc>
                  <w:tcPr>
                    <w:tcW w:w="1279" w:type="pct"/>
                    <w:tcBorders>
                      <w:top w:val="single" w:sz="4" w:space="0" w:color="auto"/>
                      <w:left w:val="single" w:sz="4" w:space="0" w:color="auto"/>
                      <w:bottom w:val="single" w:sz="4" w:space="0" w:color="auto"/>
                      <w:right w:val="single" w:sz="4" w:space="0" w:color="auto"/>
                    </w:tcBorders>
                  </w:tcPr>
                  <w:p w14:paraId="36B0414E" w14:textId="77777777" w:rsidR="00471D53" w:rsidRDefault="004F686E" w:rsidP="00471D53">
                    <w:pPr>
                      <w:jc w:val="right"/>
                      <w:rPr>
                        <w:szCs w:val="21"/>
                      </w:rPr>
                    </w:pPr>
                    <w:r>
                      <w:t>78,426.25</w:t>
                    </w:r>
                  </w:p>
                </w:tc>
                <w:tc>
                  <w:tcPr>
                    <w:tcW w:w="1280" w:type="pct"/>
                    <w:tcBorders>
                      <w:top w:val="single" w:sz="4" w:space="0" w:color="auto"/>
                      <w:left w:val="single" w:sz="4" w:space="0" w:color="auto"/>
                      <w:bottom w:val="single" w:sz="4" w:space="0" w:color="auto"/>
                      <w:right w:val="single" w:sz="4" w:space="0" w:color="auto"/>
                    </w:tcBorders>
                  </w:tcPr>
                  <w:p w14:paraId="22C62647" w14:textId="77777777" w:rsidR="00471D53" w:rsidRDefault="004F686E" w:rsidP="00471D53">
                    <w:pPr>
                      <w:jc w:val="right"/>
                      <w:rPr>
                        <w:szCs w:val="21"/>
                      </w:rPr>
                    </w:pPr>
                    <w:r>
                      <w:t>489,967.12</w:t>
                    </w:r>
                  </w:p>
                </w:tc>
              </w:tr>
            </w:sdtContent>
          </w:sdt>
          <w:tr w:rsidR="00471D53" w:rsidRPr="00662965" w14:paraId="51DB5F97" w14:textId="77777777" w:rsidTr="00471D53">
            <w:sdt>
              <w:sdtPr>
                <w:tag w:val="_PLD_25918db321f1404aaddb2a14d0bd05fc"/>
                <w:id w:val="1650945103"/>
                <w:lock w:val="sdtLocked"/>
              </w:sdtPr>
              <w:sdtEndPr/>
              <w:sdtContent>
                <w:tc>
                  <w:tcPr>
                    <w:tcW w:w="1166" w:type="pct"/>
                    <w:tcBorders>
                      <w:top w:val="single" w:sz="4" w:space="0" w:color="auto"/>
                      <w:left w:val="single" w:sz="4" w:space="0" w:color="auto"/>
                      <w:bottom w:val="single" w:sz="4" w:space="0" w:color="auto"/>
                      <w:right w:val="single" w:sz="4" w:space="0" w:color="auto"/>
                    </w:tcBorders>
                    <w:vAlign w:val="center"/>
                  </w:tcPr>
                  <w:p w14:paraId="22734D03" w14:textId="77777777" w:rsidR="00471D53" w:rsidRDefault="004F686E" w:rsidP="00471D53">
                    <w:pPr>
                      <w:jc w:val="center"/>
                      <w:rPr>
                        <w:szCs w:val="21"/>
                      </w:rPr>
                    </w:pPr>
                    <w:r>
                      <w:rPr>
                        <w:rFonts w:hint="eastAsia"/>
                        <w:szCs w:val="21"/>
                      </w:rPr>
                      <w:t>合计</w:t>
                    </w:r>
                  </w:p>
                </w:tc>
              </w:sdtContent>
            </w:sdt>
            <w:tc>
              <w:tcPr>
                <w:tcW w:w="1274" w:type="pct"/>
                <w:tcBorders>
                  <w:top w:val="single" w:sz="4" w:space="0" w:color="auto"/>
                  <w:left w:val="single" w:sz="4" w:space="0" w:color="auto"/>
                  <w:bottom w:val="single" w:sz="4" w:space="0" w:color="auto"/>
                  <w:right w:val="single" w:sz="4" w:space="0" w:color="auto"/>
                </w:tcBorders>
                <w:vAlign w:val="center"/>
              </w:tcPr>
              <w:p w14:paraId="210C2C06" w14:textId="77777777" w:rsidR="00471D53" w:rsidRPr="00662965" w:rsidRDefault="004F686E" w:rsidP="00471D53">
                <w:pPr>
                  <w:jc w:val="right"/>
                  <w:rPr>
                    <w:sz w:val="22"/>
                    <w:szCs w:val="22"/>
                  </w:rPr>
                </w:pPr>
                <w:r w:rsidRPr="00662965">
                  <w:rPr>
                    <w:sz w:val="22"/>
                    <w:szCs w:val="22"/>
                  </w:rPr>
                  <w:t>583,967.12</w:t>
                </w:r>
              </w:p>
            </w:tc>
            <w:tc>
              <w:tcPr>
                <w:tcW w:w="1279" w:type="pct"/>
                <w:tcBorders>
                  <w:top w:val="single" w:sz="4" w:space="0" w:color="auto"/>
                  <w:left w:val="single" w:sz="4" w:space="0" w:color="auto"/>
                  <w:bottom w:val="single" w:sz="4" w:space="0" w:color="auto"/>
                  <w:right w:val="single" w:sz="4" w:space="0" w:color="auto"/>
                </w:tcBorders>
                <w:vAlign w:val="center"/>
              </w:tcPr>
              <w:p w14:paraId="6B019A27" w14:textId="77777777" w:rsidR="00471D53" w:rsidRPr="00662965" w:rsidRDefault="004F686E" w:rsidP="00471D53">
                <w:pPr>
                  <w:jc w:val="right"/>
                  <w:rPr>
                    <w:bCs/>
                    <w:sz w:val="22"/>
                    <w:szCs w:val="22"/>
                  </w:rPr>
                </w:pPr>
                <w:r w:rsidRPr="00662965">
                  <w:rPr>
                    <w:bCs/>
                    <w:sz w:val="22"/>
                    <w:szCs w:val="22"/>
                  </w:rPr>
                  <w:t>1,262,541.69</w:t>
                </w:r>
              </w:p>
            </w:tc>
            <w:tc>
              <w:tcPr>
                <w:tcW w:w="1280" w:type="pct"/>
                <w:tcBorders>
                  <w:top w:val="single" w:sz="4" w:space="0" w:color="auto"/>
                  <w:left w:val="single" w:sz="4" w:space="0" w:color="auto"/>
                  <w:bottom w:val="single" w:sz="4" w:space="0" w:color="auto"/>
                  <w:right w:val="single" w:sz="4" w:space="0" w:color="auto"/>
                </w:tcBorders>
                <w:vAlign w:val="center"/>
              </w:tcPr>
              <w:p w14:paraId="3783AEF3" w14:textId="77777777" w:rsidR="00471D53" w:rsidRPr="00662965" w:rsidRDefault="004F686E" w:rsidP="00471D53">
                <w:pPr>
                  <w:jc w:val="right"/>
                  <w:rPr>
                    <w:sz w:val="22"/>
                    <w:szCs w:val="22"/>
                  </w:rPr>
                </w:pPr>
                <w:r w:rsidRPr="00662965">
                  <w:rPr>
                    <w:sz w:val="22"/>
                    <w:szCs w:val="22"/>
                  </w:rPr>
                  <w:t>583,967.12</w:t>
                </w:r>
              </w:p>
            </w:tc>
          </w:tr>
        </w:tbl>
        <w:p w14:paraId="67EF1059" w14:textId="77777777" w:rsidR="00471D53" w:rsidRPr="00662965" w:rsidRDefault="00B664AF" w:rsidP="00471D53"/>
      </w:sdtContent>
    </w:sdt>
    <w:p w14:paraId="3AFB4291" w14:textId="77777777" w:rsidR="00471D53" w:rsidRDefault="00B664AF">
      <w:pPr>
        <w:rPr>
          <w:szCs w:val="21"/>
        </w:rPr>
      </w:pPr>
    </w:p>
    <w:bookmarkStart w:id="226" w:name="_Hlk79427328" w:displacedByCustomXml="next"/>
    <w:sdt>
      <w:sdtPr>
        <w:rPr>
          <w:rFonts w:hint="eastAsia"/>
          <w:b/>
        </w:rPr>
        <w:alias w:val="模块:计入当期损益的政府补助"/>
        <w:tag w:val="_GBC_941e4c9023f94b758b05afb87d550363"/>
        <w:id w:val="-1052995907"/>
        <w:lock w:val="sdtLocked"/>
        <w:placeholder>
          <w:docPart w:val="GBC22222222222222222222222222222"/>
        </w:placeholder>
      </w:sdtPr>
      <w:sdtEndPr>
        <w:rPr>
          <w:rStyle w:val="affffff"/>
          <w:rFonts w:ascii="Cambria" w:hAnsi="Cambria" w:hint="default"/>
          <w:b w:val="0"/>
          <w:bCs/>
          <w:kern w:val="2"/>
          <w:szCs w:val="21"/>
        </w:rPr>
      </w:sdtEndPr>
      <w:sdtContent>
        <w:p w14:paraId="0BF01C64" w14:textId="77777777" w:rsidR="00D14C1C" w:rsidRDefault="00D14C1C">
          <w:pPr>
            <w:rPr>
              <w:rStyle w:val="40"/>
              <w:rFonts w:ascii="宋体" w:hAnsi="宋体"/>
              <w:b w:val="0"/>
              <w:szCs w:val="21"/>
            </w:rPr>
          </w:pPr>
          <w:r>
            <w:rPr>
              <w:rStyle w:val="40"/>
              <w:rFonts w:ascii="宋体" w:hAnsi="宋体" w:hint="eastAsia"/>
              <w:b w:val="0"/>
              <w:szCs w:val="21"/>
            </w:rPr>
            <w:t>计入当期</w:t>
          </w:r>
          <w:r>
            <w:rPr>
              <w:rFonts w:hint="eastAsia"/>
            </w:rPr>
            <w:t>损益</w:t>
          </w:r>
          <w:r>
            <w:rPr>
              <w:rStyle w:val="40"/>
              <w:rFonts w:ascii="宋体" w:hAnsi="宋体" w:hint="eastAsia"/>
              <w:b w:val="0"/>
              <w:szCs w:val="21"/>
            </w:rPr>
            <w:t>的政府补助</w:t>
          </w:r>
        </w:p>
        <w:sdt>
          <w:sdtPr>
            <w:rPr>
              <w:rStyle w:val="40"/>
              <w:rFonts w:ascii="宋体" w:hAnsi="宋体"/>
              <w:b w:val="0"/>
              <w:szCs w:val="21"/>
            </w:rPr>
            <w:alias w:val="是否适用：计入当期损益的政府补助[双击切换]"/>
            <w:tag w:val="_GBC_c8882fe165a24797aca3c402f799f006"/>
            <w:id w:val="-1364509767"/>
            <w:lock w:val="sdtLocked"/>
          </w:sdtPr>
          <w:sdtEndPr>
            <w:rPr>
              <w:rStyle w:val="40"/>
            </w:rPr>
          </w:sdtEndPr>
          <w:sdtContent>
            <w:p w14:paraId="157DE074" w14:textId="77777777" w:rsidR="00D14C1C" w:rsidRDefault="00D14C1C">
              <w:pPr>
                <w:rPr>
                  <w:rStyle w:val="40"/>
                  <w:rFonts w:ascii="宋体" w:hAnsi="宋体"/>
                  <w:b w:val="0"/>
                  <w:szCs w:val="21"/>
                </w:rPr>
              </w:pPr>
              <w:r>
                <w:rPr>
                  <w:rStyle w:val="40"/>
                  <w:rFonts w:ascii="宋体" w:hAnsi="宋体"/>
                  <w:b w:val="0"/>
                  <w:szCs w:val="21"/>
                </w:rPr>
                <w:fldChar w:fldCharType="begin"/>
              </w:r>
              <w:r>
                <w:rPr>
                  <w:rStyle w:val="40"/>
                  <w:rFonts w:ascii="宋体" w:hAnsi="宋体"/>
                  <w:b w:val="0"/>
                  <w:szCs w:val="21"/>
                </w:rPr>
                <w:instrText xml:space="preserve"> MACROBUTTON SnrToggleCheckbox √适用 </w:instrText>
              </w:r>
              <w:r>
                <w:rPr>
                  <w:rStyle w:val="40"/>
                  <w:rFonts w:ascii="宋体" w:hAnsi="宋体"/>
                  <w:b w:val="0"/>
                  <w:szCs w:val="21"/>
                </w:rPr>
                <w:fldChar w:fldCharType="end"/>
              </w:r>
              <w:r>
                <w:rPr>
                  <w:rStyle w:val="40"/>
                  <w:rFonts w:ascii="宋体" w:hAnsi="宋体"/>
                  <w:b w:val="0"/>
                  <w:szCs w:val="21"/>
                </w:rPr>
                <w:fldChar w:fldCharType="begin"/>
              </w:r>
              <w:r>
                <w:rPr>
                  <w:rStyle w:val="40"/>
                  <w:rFonts w:ascii="宋体" w:hAnsi="宋体"/>
                  <w:b w:val="0"/>
                  <w:szCs w:val="21"/>
                </w:rPr>
                <w:instrText xml:space="preserve">MACROBUTTON  SnrToggleCheckbox □不适用 </w:instrText>
              </w:r>
              <w:r>
                <w:rPr>
                  <w:rStyle w:val="40"/>
                  <w:rFonts w:ascii="宋体" w:hAnsi="宋体"/>
                  <w:b w:val="0"/>
                  <w:szCs w:val="21"/>
                </w:rPr>
                <w:fldChar w:fldCharType="end"/>
              </w:r>
            </w:p>
          </w:sdtContent>
        </w:sdt>
        <w:p w14:paraId="1918777E" w14:textId="77777777" w:rsidR="00D14C1C" w:rsidRDefault="00D14C1C">
          <w:pPr>
            <w:jc w:val="right"/>
            <w:rPr>
              <w:szCs w:val="21"/>
            </w:rPr>
          </w:pPr>
          <w:r>
            <w:rPr>
              <w:rFonts w:hint="eastAsia"/>
              <w:szCs w:val="21"/>
            </w:rPr>
            <w:t xml:space="preserve"> 单位：</w:t>
          </w:r>
          <w:sdt>
            <w:sdtPr>
              <w:rPr>
                <w:rFonts w:hint="eastAsia"/>
                <w:szCs w:val="21"/>
              </w:rPr>
              <w:alias w:val="单位：财务附注：计入当期损益的政府补助"/>
              <w:tag w:val="_GBC_bd00bad38c644e6fa63419d4034ebfd1"/>
              <w:id w:val="-708029491"/>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计入当期损益的政府补助"/>
              <w:tag w:val="_GBC_23bf9a9e0ac34ffd9e7e1d78597a87d0"/>
              <w:id w:val="874277872"/>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562"/>
            <w:gridCol w:w="1740"/>
            <w:gridCol w:w="2259"/>
            <w:gridCol w:w="2262"/>
          </w:tblGrid>
          <w:tr w:rsidR="00D14C1C" w14:paraId="7526A9E3" w14:textId="77777777" w:rsidTr="00D14C1C">
            <w:trPr>
              <w:trHeight w:val="556"/>
              <w:jc w:val="center"/>
            </w:trPr>
            <w:sdt>
              <w:sdtPr>
                <w:tag w:val="_PLD_921b2aed22db42759d12f127db945afe"/>
                <w:id w:val="-34117189"/>
                <w:lock w:val="sdtLocked"/>
              </w:sdtPr>
              <w:sdtEndPr/>
              <w:sdtContent>
                <w:tc>
                  <w:tcPr>
                    <w:tcW w:w="1452" w:type="pct"/>
                    <w:tcBorders>
                      <w:top w:val="single" w:sz="4" w:space="0" w:color="auto"/>
                      <w:left w:val="single" w:sz="4" w:space="0" w:color="auto"/>
                      <w:bottom w:val="single" w:sz="4" w:space="0" w:color="auto"/>
                      <w:right w:val="single" w:sz="4" w:space="0" w:color="auto"/>
                    </w:tcBorders>
                    <w:vAlign w:val="center"/>
                  </w:tcPr>
                  <w:p w14:paraId="78C5D21B" w14:textId="77777777" w:rsidR="00D14C1C" w:rsidRDefault="00D14C1C" w:rsidP="003F7572">
                    <w:pPr>
                      <w:jc w:val="center"/>
                      <w:rPr>
                        <w:szCs w:val="21"/>
                      </w:rPr>
                    </w:pPr>
                    <w:r>
                      <w:rPr>
                        <w:szCs w:val="21"/>
                      </w:rPr>
                      <w:t>补助项目</w:t>
                    </w:r>
                  </w:p>
                </w:tc>
              </w:sdtContent>
            </w:sdt>
            <w:sdt>
              <w:sdtPr>
                <w:tag w:val="_PLD_b153949e35ca47018467de6ef3800cf5"/>
                <w:id w:val="-1816799980"/>
                <w:lock w:val="sdtLocked"/>
              </w:sdtPr>
              <w:sdtEndPr/>
              <w:sdtContent>
                <w:tc>
                  <w:tcPr>
                    <w:tcW w:w="986" w:type="pct"/>
                    <w:tcBorders>
                      <w:top w:val="single" w:sz="4" w:space="0" w:color="auto"/>
                      <w:left w:val="single" w:sz="4" w:space="0" w:color="auto"/>
                      <w:bottom w:val="single" w:sz="4" w:space="0" w:color="auto"/>
                      <w:right w:val="single" w:sz="4" w:space="0" w:color="auto"/>
                    </w:tcBorders>
                    <w:vAlign w:val="center"/>
                  </w:tcPr>
                  <w:p w14:paraId="581A4992" w14:textId="77777777" w:rsidR="00D14C1C" w:rsidRDefault="00D14C1C" w:rsidP="003F7572">
                    <w:pPr>
                      <w:jc w:val="center"/>
                      <w:rPr>
                        <w:szCs w:val="21"/>
                      </w:rPr>
                    </w:pPr>
                    <w:r>
                      <w:rPr>
                        <w:szCs w:val="21"/>
                      </w:rPr>
                      <w:t>本期发生</w:t>
                    </w:r>
                    <w:r>
                      <w:rPr>
                        <w:rFonts w:hint="eastAsia"/>
                        <w:szCs w:val="21"/>
                      </w:rPr>
                      <w:t>金</w:t>
                    </w:r>
                    <w:r>
                      <w:rPr>
                        <w:szCs w:val="21"/>
                      </w:rPr>
                      <w:t>额</w:t>
                    </w:r>
                  </w:p>
                </w:tc>
              </w:sdtContent>
            </w:sdt>
            <w:sdt>
              <w:sdtPr>
                <w:tag w:val="_PLD_bf693dd17f244c38afd88855e4186d7d"/>
                <w:id w:val="-1112821378"/>
                <w:lock w:val="sdtLocked"/>
              </w:sdtPr>
              <w:sdtEndPr/>
              <w:sdtContent>
                <w:tc>
                  <w:tcPr>
                    <w:tcW w:w="1280" w:type="pct"/>
                    <w:tcBorders>
                      <w:top w:val="single" w:sz="4" w:space="0" w:color="auto"/>
                      <w:left w:val="single" w:sz="4" w:space="0" w:color="auto"/>
                      <w:bottom w:val="single" w:sz="4" w:space="0" w:color="auto"/>
                      <w:right w:val="single" w:sz="4" w:space="0" w:color="auto"/>
                    </w:tcBorders>
                    <w:vAlign w:val="center"/>
                  </w:tcPr>
                  <w:p w14:paraId="0385584F" w14:textId="77777777" w:rsidR="00D14C1C" w:rsidRDefault="00D14C1C" w:rsidP="003F7572">
                    <w:pPr>
                      <w:jc w:val="center"/>
                      <w:rPr>
                        <w:szCs w:val="21"/>
                      </w:rPr>
                    </w:pPr>
                    <w:r>
                      <w:rPr>
                        <w:szCs w:val="21"/>
                      </w:rPr>
                      <w:t>上期发生</w:t>
                    </w:r>
                    <w:r>
                      <w:rPr>
                        <w:rFonts w:hint="eastAsia"/>
                        <w:szCs w:val="21"/>
                      </w:rPr>
                      <w:t>金</w:t>
                    </w:r>
                    <w:r>
                      <w:rPr>
                        <w:szCs w:val="21"/>
                      </w:rPr>
                      <w:t>额</w:t>
                    </w:r>
                  </w:p>
                </w:tc>
              </w:sdtContent>
            </w:sdt>
            <w:sdt>
              <w:sdtPr>
                <w:tag w:val="_PLD_532c78ae9a7849fe9994cace73120659"/>
                <w:id w:val="-2135930015"/>
                <w:lock w:val="sdtLocked"/>
              </w:sdtPr>
              <w:sdtEndPr/>
              <w:sdtContent>
                <w:tc>
                  <w:tcPr>
                    <w:tcW w:w="1282" w:type="pct"/>
                    <w:tcBorders>
                      <w:top w:val="single" w:sz="4" w:space="0" w:color="auto"/>
                      <w:left w:val="single" w:sz="4" w:space="0" w:color="auto"/>
                      <w:bottom w:val="single" w:sz="4" w:space="0" w:color="auto"/>
                      <w:right w:val="single" w:sz="4" w:space="0" w:color="auto"/>
                    </w:tcBorders>
                    <w:vAlign w:val="center"/>
                  </w:tcPr>
                  <w:p w14:paraId="2D998240" w14:textId="77777777" w:rsidR="00D14C1C" w:rsidRDefault="00D14C1C" w:rsidP="003F7572">
                    <w:pPr>
                      <w:jc w:val="center"/>
                      <w:rPr>
                        <w:szCs w:val="21"/>
                      </w:rPr>
                    </w:pPr>
                    <w:r>
                      <w:rPr>
                        <w:szCs w:val="21"/>
                      </w:rPr>
                      <w:t>与资产相关/与收益相关</w:t>
                    </w:r>
                  </w:p>
                </w:tc>
              </w:sdtContent>
            </w:sdt>
          </w:tr>
          <w:sdt>
            <w:sdtPr>
              <w:rPr>
                <w:szCs w:val="21"/>
              </w:rPr>
              <w:alias w:val="计入当期损益的政府补助明细"/>
              <w:tag w:val="_GBC_8d8ea3026a664e94a38609c0bcec2101"/>
              <w:id w:val="769666741"/>
              <w:lock w:val="sdtLocked"/>
              <w:placeholder>
                <w:docPart w:val="94D66E61CAAF4383AE6CDCE465418F8B"/>
              </w:placeholder>
            </w:sdtPr>
            <w:sdtEndPr/>
            <w:sdtContent>
              <w:tr w:rsidR="00D14C1C" w14:paraId="58A3AF33" w14:textId="77777777" w:rsidTr="00D14C1C">
                <w:trPr>
                  <w:jc w:val="center"/>
                </w:trPr>
                <w:tc>
                  <w:tcPr>
                    <w:tcW w:w="1452" w:type="pct"/>
                    <w:tcBorders>
                      <w:top w:val="single" w:sz="4" w:space="0" w:color="auto"/>
                      <w:left w:val="single" w:sz="4" w:space="0" w:color="auto"/>
                      <w:bottom w:val="single" w:sz="4" w:space="0" w:color="auto"/>
                      <w:right w:val="single" w:sz="4" w:space="0" w:color="auto"/>
                    </w:tcBorders>
                    <w:vAlign w:val="center"/>
                  </w:tcPr>
                  <w:p w14:paraId="67506518" w14:textId="77777777" w:rsidR="00D14C1C" w:rsidRDefault="00D14C1C" w:rsidP="003F7572">
                    <w:pPr>
                      <w:rPr>
                        <w:szCs w:val="21"/>
                      </w:rPr>
                    </w:pPr>
                    <w:r>
                      <w:t>北京市商委会奖励资金</w:t>
                    </w:r>
                  </w:p>
                </w:tc>
                <w:tc>
                  <w:tcPr>
                    <w:tcW w:w="986" w:type="pct"/>
                    <w:tcBorders>
                      <w:top w:val="single" w:sz="4" w:space="0" w:color="auto"/>
                      <w:left w:val="single" w:sz="4" w:space="0" w:color="auto"/>
                      <w:bottom w:val="single" w:sz="4" w:space="0" w:color="auto"/>
                      <w:right w:val="single" w:sz="4" w:space="0" w:color="auto"/>
                    </w:tcBorders>
                  </w:tcPr>
                  <w:p w14:paraId="12433ED6" w14:textId="77777777" w:rsidR="00D14C1C" w:rsidRDefault="00D14C1C" w:rsidP="003F7572">
                    <w:pPr>
                      <w:jc w:val="right"/>
                      <w:rPr>
                        <w:szCs w:val="21"/>
                      </w:rPr>
                    </w:pPr>
                    <w:r>
                      <w:t>0.00</w:t>
                    </w:r>
                  </w:p>
                </w:tc>
                <w:tc>
                  <w:tcPr>
                    <w:tcW w:w="1280" w:type="pct"/>
                    <w:tcBorders>
                      <w:top w:val="single" w:sz="4" w:space="0" w:color="auto"/>
                      <w:left w:val="single" w:sz="4" w:space="0" w:color="auto"/>
                      <w:bottom w:val="single" w:sz="4" w:space="0" w:color="auto"/>
                      <w:right w:val="single" w:sz="4" w:space="0" w:color="auto"/>
                    </w:tcBorders>
                  </w:tcPr>
                  <w:p w14:paraId="38CE478C" w14:textId="77777777" w:rsidR="00D14C1C" w:rsidRDefault="00D14C1C" w:rsidP="003F7572">
                    <w:pPr>
                      <w:jc w:val="right"/>
                      <w:rPr>
                        <w:szCs w:val="21"/>
                      </w:rPr>
                    </w:pPr>
                    <w:r>
                      <w:t>845,393.00</w:t>
                    </w:r>
                  </w:p>
                </w:tc>
                <w:tc>
                  <w:tcPr>
                    <w:tcW w:w="1282" w:type="pct"/>
                    <w:tcBorders>
                      <w:top w:val="single" w:sz="4" w:space="0" w:color="auto"/>
                      <w:left w:val="single" w:sz="4" w:space="0" w:color="auto"/>
                      <w:bottom w:val="single" w:sz="4" w:space="0" w:color="auto"/>
                      <w:right w:val="single" w:sz="4" w:space="0" w:color="auto"/>
                    </w:tcBorders>
                  </w:tcPr>
                  <w:p w14:paraId="5C9B9B5A" w14:textId="77777777" w:rsidR="00D14C1C" w:rsidRDefault="00D14C1C" w:rsidP="003F7572">
                    <w:pPr>
                      <w:rPr>
                        <w:szCs w:val="21"/>
                      </w:rPr>
                    </w:pPr>
                    <w:r>
                      <w:t>与收益相关</w:t>
                    </w:r>
                  </w:p>
                </w:tc>
              </w:tr>
            </w:sdtContent>
          </w:sdt>
          <w:sdt>
            <w:sdtPr>
              <w:rPr>
                <w:szCs w:val="21"/>
              </w:rPr>
              <w:alias w:val="计入当期损益的政府补助明细"/>
              <w:tag w:val="_GBC_8d8ea3026a664e94a38609c0bcec2101"/>
              <w:id w:val="809290678"/>
              <w:lock w:val="sdtLocked"/>
              <w:placeholder>
                <w:docPart w:val="94D66E61CAAF4383AE6CDCE465418F8B"/>
              </w:placeholder>
            </w:sdtPr>
            <w:sdtEndPr/>
            <w:sdtContent>
              <w:tr w:rsidR="00D14C1C" w14:paraId="621567B6" w14:textId="77777777" w:rsidTr="00D14C1C">
                <w:trPr>
                  <w:jc w:val="center"/>
                </w:trPr>
                <w:tc>
                  <w:tcPr>
                    <w:tcW w:w="1452" w:type="pct"/>
                    <w:tcBorders>
                      <w:top w:val="single" w:sz="4" w:space="0" w:color="auto"/>
                      <w:left w:val="single" w:sz="4" w:space="0" w:color="auto"/>
                      <w:bottom w:val="single" w:sz="4" w:space="0" w:color="auto"/>
                      <w:right w:val="single" w:sz="4" w:space="0" w:color="auto"/>
                    </w:tcBorders>
                    <w:vAlign w:val="center"/>
                  </w:tcPr>
                  <w:p w14:paraId="1A8519C3" w14:textId="77777777" w:rsidR="00D14C1C" w:rsidRDefault="00D14C1C" w:rsidP="003F7572">
                    <w:pPr>
                      <w:rPr>
                        <w:szCs w:val="21"/>
                      </w:rPr>
                    </w:pPr>
                    <w:r>
                      <w:t>北京中关村自主创新专项资金</w:t>
                    </w:r>
                  </w:p>
                </w:tc>
                <w:tc>
                  <w:tcPr>
                    <w:tcW w:w="986" w:type="pct"/>
                    <w:tcBorders>
                      <w:top w:val="single" w:sz="4" w:space="0" w:color="auto"/>
                      <w:left w:val="single" w:sz="4" w:space="0" w:color="auto"/>
                      <w:bottom w:val="single" w:sz="4" w:space="0" w:color="auto"/>
                      <w:right w:val="single" w:sz="4" w:space="0" w:color="auto"/>
                    </w:tcBorders>
                  </w:tcPr>
                  <w:p w14:paraId="7F3A0655" w14:textId="77777777" w:rsidR="00D14C1C" w:rsidRDefault="00D14C1C" w:rsidP="003F7572">
                    <w:pPr>
                      <w:jc w:val="right"/>
                      <w:rPr>
                        <w:szCs w:val="21"/>
                      </w:rPr>
                    </w:pPr>
                    <w:r>
                      <w:t>0.00</w:t>
                    </w:r>
                  </w:p>
                </w:tc>
                <w:tc>
                  <w:tcPr>
                    <w:tcW w:w="1280" w:type="pct"/>
                    <w:tcBorders>
                      <w:top w:val="single" w:sz="4" w:space="0" w:color="auto"/>
                      <w:left w:val="single" w:sz="4" w:space="0" w:color="auto"/>
                      <w:bottom w:val="single" w:sz="4" w:space="0" w:color="auto"/>
                      <w:right w:val="single" w:sz="4" w:space="0" w:color="auto"/>
                    </w:tcBorders>
                  </w:tcPr>
                  <w:p w14:paraId="7011E96E" w14:textId="77777777" w:rsidR="00D14C1C" w:rsidRDefault="00D14C1C" w:rsidP="003F7572">
                    <w:pPr>
                      <w:jc w:val="right"/>
                      <w:rPr>
                        <w:szCs w:val="21"/>
                      </w:rPr>
                    </w:pPr>
                    <w:r>
                      <w:t>7,500.00</w:t>
                    </w:r>
                  </w:p>
                </w:tc>
                <w:tc>
                  <w:tcPr>
                    <w:tcW w:w="1282" w:type="pct"/>
                    <w:tcBorders>
                      <w:top w:val="single" w:sz="4" w:space="0" w:color="auto"/>
                      <w:left w:val="single" w:sz="4" w:space="0" w:color="auto"/>
                      <w:bottom w:val="single" w:sz="4" w:space="0" w:color="auto"/>
                      <w:right w:val="single" w:sz="4" w:space="0" w:color="auto"/>
                    </w:tcBorders>
                  </w:tcPr>
                  <w:p w14:paraId="7A351938" w14:textId="77777777" w:rsidR="00D14C1C" w:rsidRDefault="00D14C1C" w:rsidP="003F7572">
                    <w:pPr>
                      <w:rPr>
                        <w:szCs w:val="21"/>
                      </w:rPr>
                    </w:pPr>
                    <w:r>
                      <w:t>与收益相关</w:t>
                    </w:r>
                  </w:p>
                </w:tc>
              </w:tr>
            </w:sdtContent>
          </w:sdt>
          <w:sdt>
            <w:sdtPr>
              <w:rPr>
                <w:szCs w:val="21"/>
              </w:rPr>
              <w:alias w:val="计入当期损益的政府补助明细"/>
              <w:tag w:val="_GBC_8d8ea3026a664e94a38609c0bcec2101"/>
              <w:id w:val="2113387248"/>
              <w:lock w:val="sdtLocked"/>
              <w:placeholder>
                <w:docPart w:val="894B2C27F02941C3AA52D46327730CD7"/>
              </w:placeholder>
            </w:sdtPr>
            <w:sdtEndPr/>
            <w:sdtContent>
              <w:tr w:rsidR="00D14C1C" w14:paraId="5136EF40" w14:textId="77777777" w:rsidTr="00D14C1C">
                <w:trPr>
                  <w:jc w:val="center"/>
                </w:trPr>
                <w:tc>
                  <w:tcPr>
                    <w:tcW w:w="1452" w:type="pct"/>
                    <w:tcBorders>
                      <w:top w:val="single" w:sz="4" w:space="0" w:color="auto"/>
                      <w:left w:val="single" w:sz="4" w:space="0" w:color="auto"/>
                      <w:bottom w:val="single" w:sz="4" w:space="0" w:color="auto"/>
                      <w:right w:val="single" w:sz="4" w:space="0" w:color="auto"/>
                    </w:tcBorders>
                    <w:vAlign w:val="center"/>
                  </w:tcPr>
                  <w:p w14:paraId="6A38A062" w14:textId="77777777" w:rsidR="00D14C1C" w:rsidRDefault="00D14C1C" w:rsidP="003F7572">
                    <w:pPr>
                      <w:rPr>
                        <w:szCs w:val="21"/>
                      </w:rPr>
                    </w:pPr>
                    <w:r>
                      <w:t>北京市知识产权局专利资助金</w:t>
                    </w:r>
                  </w:p>
                </w:tc>
                <w:tc>
                  <w:tcPr>
                    <w:tcW w:w="986" w:type="pct"/>
                    <w:tcBorders>
                      <w:top w:val="single" w:sz="4" w:space="0" w:color="auto"/>
                      <w:left w:val="single" w:sz="4" w:space="0" w:color="auto"/>
                      <w:bottom w:val="single" w:sz="4" w:space="0" w:color="auto"/>
                      <w:right w:val="single" w:sz="4" w:space="0" w:color="auto"/>
                    </w:tcBorders>
                  </w:tcPr>
                  <w:p w14:paraId="196DC5B1" w14:textId="77777777" w:rsidR="00D14C1C" w:rsidRDefault="00D14C1C" w:rsidP="003F7572">
                    <w:pPr>
                      <w:jc w:val="right"/>
                      <w:rPr>
                        <w:szCs w:val="21"/>
                      </w:rPr>
                    </w:pPr>
                    <w:r>
                      <w:t>0.00</w:t>
                    </w:r>
                  </w:p>
                </w:tc>
                <w:tc>
                  <w:tcPr>
                    <w:tcW w:w="1280" w:type="pct"/>
                    <w:tcBorders>
                      <w:top w:val="single" w:sz="4" w:space="0" w:color="auto"/>
                      <w:left w:val="single" w:sz="4" w:space="0" w:color="auto"/>
                      <w:bottom w:val="single" w:sz="4" w:space="0" w:color="auto"/>
                      <w:right w:val="single" w:sz="4" w:space="0" w:color="auto"/>
                    </w:tcBorders>
                  </w:tcPr>
                  <w:p w14:paraId="2345D4F8" w14:textId="77777777" w:rsidR="00D14C1C" w:rsidRDefault="00D14C1C" w:rsidP="003F7572">
                    <w:pPr>
                      <w:jc w:val="right"/>
                      <w:rPr>
                        <w:szCs w:val="21"/>
                      </w:rPr>
                    </w:pPr>
                    <w:r>
                      <w:t>0.00</w:t>
                    </w:r>
                  </w:p>
                </w:tc>
                <w:tc>
                  <w:tcPr>
                    <w:tcW w:w="1282" w:type="pct"/>
                    <w:tcBorders>
                      <w:top w:val="single" w:sz="4" w:space="0" w:color="auto"/>
                      <w:left w:val="single" w:sz="4" w:space="0" w:color="auto"/>
                      <w:bottom w:val="single" w:sz="4" w:space="0" w:color="auto"/>
                      <w:right w:val="single" w:sz="4" w:space="0" w:color="auto"/>
                    </w:tcBorders>
                  </w:tcPr>
                  <w:p w14:paraId="4907F460" w14:textId="77777777" w:rsidR="00D14C1C" w:rsidRDefault="00D14C1C" w:rsidP="003F7572">
                    <w:pPr>
                      <w:rPr>
                        <w:szCs w:val="21"/>
                      </w:rPr>
                    </w:pPr>
                    <w:r>
                      <w:t>与收益相关</w:t>
                    </w:r>
                  </w:p>
                </w:tc>
              </w:tr>
            </w:sdtContent>
          </w:sdt>
          <w:sdt>
            <w:sdtPr>
              <w:rPr>
                <w:szCs w:val="21"/>
              </w:rPr>
              <w:alias w:val="计入当期损益的政府补助明细"/>
              <w:tag w:val="_GBC_8d8ea3026a664e94a38609c0bcec2101"/>
              <w:id w:val="-404067116"/>
              <w:lock w:val="sdtLocked"/>
              <w:placeholder>
                <w:docPart w:val="894B2C27F02941C3AA52D46327730CD7"/>
              </w:placeholder>
            </w:sdtPr>
            <w:sdtEndPr/>
            <w:sdtContent>
              <w:tr w:rsidR="00D14C1C" w14:paraId="6B111645" w14:textId="77777777" w:rsidTr="00D14C1C">
                <w:trPr>
                  <w:jc w:val="center"/>
                </w:trPr>
                <w:tc>
                  <w:tcPr>
                    <w:tcW w:w="1452" w:type="pct"/>
                    <w:tcBorders>
                      <w:top w:val="single" w:sz="4" w:space="0" w:color="auto"/>
                      <w:left w:val="single" w:sz="4" w:space="0" w:color="auto"/>
                      <w:bottom w:val="single" w:sz="4" w:space="0" w:color="auto"/>
                      <w:right w:val="single" w:sz="4" w:space="0" w:color="auto"/>
                    </w:tcBorders>
                    <w:vAlign w:val="center"/>
                  </w:tcPr>
                  <w:p w14:paraId="43854510" w14:textId="77777777" w:rsidR="00D14C1C" w:rsidRDefault="00D14C1C" w:rsidP="003F7572">
                    <w:pPr>
                      <w:rPr>
                        <w:szCs w:val="21"/>
                      </w:rPr>
                    </w:pPr>
                    <w:r>
                      <w:t>燃气锅炉低氮改造以奖代补资金</w:t>
                    </w:r>
                  </w:p>
                </w:tc>
                <w:tc>
                  <w:tcPr>
                    <w:tcW w:w="986" w:type="pct"/>
                    <w:tcBorders>
                      <w:top w:val="single" w:sz="4" w:space="0" w:color="auto"/>
                      <w:left w:val="single" w:sz="4" w:space="0" w:color="auto"/>
                      <w:bottom w:val="single" w:sz="4" w:space="0" w:color="auto"/>
                      <w:right w:val="single" w:sz="4" w:space="0" w:color="auto"/>
                    </w:tcBorders>
                  </w:tcPr>
                  <w:p w14:paraId="6AB75658" w14:textId="77777777" w:rsidR="00D14C1C" w:rsidRDefault="00D14C1C" w:rsidP="003F7572">
                    <w:pPr>
                      <w:jc w:val="right"/>
                      <w:rPr>
                        <w:szCs w:val="21"/>
                      </w:rPr>
                    </w:pPr>
                    <w:r>
                      <w:t>0.00</w:t>
                    </w:r>
                  </w:p>
                </w:tc>
                <w:tc>
                  <w:tcPr>
                    <w:tcW w:w="1280" w:type="pct"/>
                    <w:tcBorders>
                      <w:top w:val="single" w:sz="4" w:space="0" w:color="auto"/>
                      <w:left w:val="single" w:sz="4" w:space="0" w:color="auto"/>
                      <w:bottom w:val="single" w:sz="4" w:space="0" w:color="auto"/>
                      <w:right w:val="single" w:sz="4" w:space="0" w:color="auto"/>
                    </w:tcBorders>
                  </w:tcPr>
                  <w:p w14:paraId="16785E84" w14:textId="77777777" w:rsidR="00D14C1C" w:rsidRDefault="00D14C1C" w:rsidP="003F7572">
                    <w:pPr>
                      <w:jc w:val="right"/>
                      <w:rPr>
                        <w:szCs w:val="21"/>
                      </w:rPr>
                    </w:pPr>
                    <w:r>
                      <w:t>0.00</w:t>
                    </w:r>
                  </w:p>
                </w:tc>
                <w:tc>
                  <w:tcPr>
                    <w:tcW w:w="1282" w:type="pct"/>
                    <w:tcBorders>
                      <w:top w:val="single" w:sz="4" w:space="0" w:color="auto"/>
                      <w:left w:val="single" w:sz="4" w:space="0" w:color="auto"/>
                      <w:bottom w:val="single" w:sz="4" w:space="0" w:color="auto"/>
                      <w:right w:val="single" w:sz="4" w:space="0" w:color="auto"/>
                    </w:tcBorders>
                  </w:tcPr>
                  <w:p w14:paraId="22CE9AB0" w14:textId="77777777" w:rsidR="00D14C1C" w:rsidRDefault="00D14C1C" w:rsidP="003F7572">
                    <w:pPr>
                      <w:rPr>
                        <w:szCs w:val="21"/>
                      </w:rPr>
                    </w:pPr>
                    <w:r>
                      <w:t>与收益相关</w:t>
                    </w:r>
                  </w:p>
                </w:tc>
              </w:tr>
            </w:sdtContent>
          </w:sdt>
          <w:sdt>
            <w:sdtPr>
              <w:rPr>
                <w:szCs w:val="21"/>
              </w:rPr>
              <w:alias w:val="计入当期损益的政府补助明细"/>
              <w:tag w:val="_GBC_8d8ea3026a664e94a38609c0bcec2101"/>
              <w:id w:val="1396233864"/>
              <w:lock w:val="sdtLocked"/>
              <w:placeholder>
                <w:docPart w:val="894B2C27F02941C3AA52D46327730CD7"/>
              </w:placeholder>
            </w:sdtPr>
            <w:sdtEndPr/>
            <w:sdtContent>
              <w:tr w:rsidR="00D14C1C" w14:paraId="3956AE08" w14:textId="77777777" w:rsidTr="00D14C1C">
                <w:trPr>
                  <w:jc w:val="center"/>
                </w:trPr>
                <w:tc>
                  <w:tcPr>
                    <w:tcW w:w="1452" w:type="pct"/>
                    <w:tcBorders>
                      <w:top w:val="single" w:sz="4" w:space="0" w:color="auto"/>
                      <w:left w:val="single" w:sz="4" w:space="0" w:color="auto"/>
                      <w:bottom w:val="single" w:sz="4" w:space="0" w:color="auto"/>
                      <w:right w:val="single" w:sz="4" w:space="0" w:color="auto"/>
                    </w:tcBorders>
                    <w:vAlign w:val="center"/>
                  </w:tcPr>
                  <w:p w14:paraId="09904816" w14:textId="77777777" w:rsidR="00D14C1C" w:rsidRDefault="00D14C1C" w:rsidP="003F7572">
                    <w:pPr>
                      <w:rPr>
                        <w:szCs w:val="21"/>
                      </w:rPr>
                    </w:pPr>
                    <w:r>
                      <w:t>失业保险费返还</w:t>
                    </w:r>
                  </w:p>
                </w:tc>
                <w:tc>
                  <w:tcPr>
                    <w:tcW w:w="986" w:type="pct"/>
                    <w:tcBorders>
                      <w:top w:val="single" w:sz="4" w:space="0" w:color="auto"/>
                      <w:left w:val="single" w:sz="4" w:space="0" w:color="auto"/>
                      <w:bottom w:val="single" w:sz="4" w:space="0" w:color="auto"/>
                      <w:right w:val="single" w:sz="4" w:space="0" w:color="auto"/>
                    </w:tcBorders>
                  </w:tcPr>
                  <w:p w14:paraId="7F2A2092" w14:textId="77777777" w:rsidR="00D14C1C" w:rsidRDefault="00D14C1C" w:rsidP="003F7572">
                    <w:pPr>
                      <w:jc w:val="right"/>
                      <w:rPr>
                        <w:szCs w:val="21"/>
                      </w:rPr>
                    </w:pPr>
                    <w:r>
                      <w:t>0.00</w:t>
                    </w:r>
                  </w:p>
                </w:tc>
                <w:tc>
                  <w:tcPr>
                    <w:tcW w:w="1280" w:type="pct"/>
                    <w:tcBorders>
                      <w:top w:val="single" w:sz="4" w:space="0" w:color="auto"/>
                      <w:left w:val="single" w:sz="4" w:space="0" w:color="auto"/>
                      <w:bottom w:val="single" w:sz="4" w:space="0" w:color="auto"/>
                      <w:right w:val="single" w:sz="4" w:space="0" w:color="auto"/>
                    </w:tcBorders>
                  </w:tcPr>
                  <w:p w14:paraId="0E30842B" w14:textId="77777777" w:rsidR="00D14C1C" w:rsidRDefault="00D14C1C" w:rsidP="003F7572">
                    <w:pPr>
                      <w:jc w:val="right"/>
                      <w:rPr>
                        <w:szCs w:val="21"/>
                      </w:rPr>
                    </w:pPr>
                    <w:r>
                      <w:t>18,328.00</w:t>
                    </w:r>
                  </w:p>
                </w:tc>
                <w:tc>
                  <w:tcPr>
                    <w:tcW w:w="1282" w:type="pct"/>
                    <w:tcBorders>
                      <w:top w:val="single" w:sz="4" w:space="0" w:color="auto"/>
                      <w:left w:val="single" w:sz="4" w:space="0" w:color="auto"/>
                      <w:bottom w:val="single" w:sz="4" w:space="0" w:color="auto"/>
                      <w:right w:val="single" w:sz="4" w:space="0" w:color="auto"/>
                    </w:tcBorders>
                  </w:tcPr>
                  <w:p w14:paraId="764B144C" w14:textId="77777777" w:rsidR="00D14C1C" w:rsidRDefault="00D14C1C" w:rsidP="003F7572">
                    <w:pPr>
                      <w:rPr>
                        <w:szCs w:val="21"/>
                      </w:rPr>
                    </w:pPr>
                    <w:r>
                      <w:t>与收益相关</w:t>
                    </w:r>
                  </w:p>
                </w:tc>
              </w:tr>
            </w:sdtContent>
          </w:sdt>
          <w:sdt>
            <w:sdtPr>
              <w:rPr>
                <w:szCs w:val="21"/>
              </w:rPr>
              <w:alias w:val="计入当期损益的政府补助明细"/>
              <w:tag w:val="_GBC_8d8ea3026a664e94a38609c0bcec2101"/>
              <w:id w:val="-1916471936"/>
              <w:lock w:val="sdtLocked"/>
              <w:placeholder>
                <w:docPart w:val="894B2C27F02941C3AA52D46327730CD7"/>
              </w:placeholder>
            </w:sdtPr>
            <w:sdtEndPr/>
            <w:sdtContent>
              <w:tr w:rsidR="00D14C1C" w14:paraId="7B9B7089" w14:textId="77777777" w:rsidTr="00D14C1C">
                <w:trPr>
                  <w:jc w:val="center"/>
                </w:trPr>
                <w:tc>
                  <w:tcPr>
                    <w:tcW w:w="1452" w:type="pct"/>
                    <w:tcBorders>
                      <w:top w:val="single" w:sz="4" w:space="0" w:color="auto"/>
                      <w:left w:val="single" w:sz="4" w:space="0" w:color="auto"/>
                      <w:bottom w:val="single" w:sz="4" w:space="0" w:color="auto"/>
                      <w:right w:val="single" w:sz="4" w:space="0" w:color="auto"/>
                    </w:tcBorders>
                    <w:vAlign w:val="center"/>
                  </w:tcPr>
                  <w:p w14:paraId="4D5F3DA6" w14:textId="77777777" w:rsidR="00D14C1C" w:rsidRDefault="00D14C1C" w:rsidP="003F7572">
                    <w:pPr>
                      <w:rPr>
                        <w:szCs w:val="21"/>
                      </w:rPr>
                    </w:pPr>
                    <w:r>
                      <w:t>大气污染防治专项资金</w:t>
                    </w:r>
                  </w:p>
                </w:tc>
                <w:tc>
                  <w:tcPr>
                    <w:tcW w:w="986" w:type="pct"/>
                    <w:tcBorders>
                      <w:top w:val="single" w:sz="4" w:space="0" w:color="auto"/>
                      <w:left w:val="single" w:sz="4" w:space="0" w:color="auto"/>
                      <w:bottom w:val="single" w:sz="4" w:space="0" w:color="auto"/>
                      <w:right w:val="single" w:sz="4" w:space="0" w:color="auto"/>
                    </w:tcBorders>
                  </w:tcPr>
                  <w:p w14:paraId="59CCF3DA" w14:textId="77777777" w:rsidR="00D14C1C" w:rsidRDefault="00D14C1C" w:rsidP="003F7572">
                    <w:pPr>
                      <w:jc w:val="right"/>
                      <w:rPr>
                        <w:szCs w:val="21"/>
                      </w:rPr>
                    </w:pPr>
                    <w:r>
                      <w:t>0.00</w:t>
                    </w:r>
                  </w:p>
                </w:tc>
                <w:tc>
                  <w:tcPr>
                    <w:tcW w:w="1280" w:type="pct"/>
                    <w:tcBorders>
                      <w:top w:val="single" w:sz="4" w:space="0" w:color="auto"/>
                      <w:left w:val="single" w:sz="4" w:space="0" w:color="auto"/>
                      <w:bottom w:val="single" w:sz="4" w:space="0" w:color="auto"/>
                      <w:right w:val="single" w:sz="4" w:space="0" w:color="auto"/>
                    </w:tcBorders>
                  </w:tcPr>
                  <w:p w14:paraId="26B3D747" w14:textId="77777777" w:rsidR="00D14C1C" w:rsidRDefault="00D14C1C" w:rsidP="003F7572">
                    <w:pPr>
                      <w:jc w:val="right"/>
                      <w:rPr>
                        <w:szCs w:val="21"/>
                      </w:rPr>
                    </w:pPr>
                    <w:r>
                      <w:t>140,000.00</w:t>
                    </w:r>
                  </w:p>
                </w:tc>
                <w:tc>
                  <w:tcPr>
                    <w:tcW w:w="1282" w:type="pct"/>
                    <w:tcBorders>
                      <w:top w:val="single" w:sz="4" w:space="0" w:color="auto"/>
                      <w:left w:val="single" w:sz="4" w:space="0" w:color="auto"/>
                      <w:bottom w:val="single" w:sz="4" w:space="0" w:color="auto"/>
                      <w:right w:val="single" w:sz="4" w:space="0" w:color="auto"/>
                    </w:tcBorders>
                  </w:tcPr>
                  <w:p w14:paraId="5C56738B" w14:textId="77777777" w:rsidR="00D14C1C" w:rsidRDefault="00D14C1C" w:rsidP="003F7572">
                    <w:pPr>
                      <w:rPr>
                        <w:szCs w:val="21"/>
                      </w:rPr>
                    </w:pPr>
                    <w:r>
                      <w:t>与收益相关</w:t>
                    </w:r>
                  </w:p>
                </w:tc>
              </w:tr>
            </w:sdtContent>
          </w:sdt>
          <w:sdt>
            <w:sdtPr>
              <w:rPr>
                <w:szCs w:val="21"/>
              </w:rPr>
              <w:alias w:val="计入当期损益的政府补助明细"/>
              <w:tag w:val="_GBC_8d8ea3026a664e94a38609c0bcec2101"/>
              <w:id w:val="-1832060240"/>
              <w:lock w:val="sdtLocked"/>
              <w:placeholder>
                <w:docPart w:val="894B2C27F02941C3AA52D46327730CD7"/>
              </w:placeholder>
            </w:sdtPr>
            <w:sdtEndPr/>
            <w:sdtContent>
              <w:tr w:rsidR="00D14C1C" w14:paraId="79EEA403" w14:textId="77777777" w:rsidTr="00D14C1C">
                <w:trPr>
                  <w:jc w:val="center"/>
                </w:trPr>
                <w:tc>
                  <w:tcPr>
                    <w:tcW w:w="1452" w:type="pct"/>
                    <w:tcBorders>
                      <w:top w:val="single" w:sz="4" w:space="0" w:color="auto"/>
                      <w:left w:val="single" w:sz="4" w:space="0" w:color="auto"/>
                      <w:bottom w:val="single" w:sz="4" w:space="0" w:color="auto"/>
                      <w:right w:val="single" w:sz="4" w:space="0" w:color="auto"/>
                    </w:tcBorders>
                    <w:vAlign w:val="center"/>
                  </w:tcPr>
                  <w:p w14:paraId="15393E32" w14:textId="77777777" w:rsidR="00D14C1C" w:rsidRDefault="00D14C1C" w:rsidP="003F7572">
                    <w:pPr>
                      <w:rPr>
                        <w:szCs w:val="21"/>
                      </w:rPr>
                    </w:pPr>
                    <w:r>
                      <w:t>合计</w:t>
                    </w:r>
                  </w:p>
                </w:tc>
                <w:tc>
                  <w:tcPr>
                    <w:tcW w:w="986" w:type="pct"/>
                    <w:tcBorders>
                      <w:top w:val="single" w:sz="4" w:space="0" w:color="auto"/>
                      <w:left w:val="single" w:sz="4" w:space="0" w:color="auto"/>
                      <w:bottom w:val="single" w:sz="4" w:space="0" w:color="auto"/>
                      <w:right w:val="single" w:sz="4" w:space="0" w:color="auto"/>
                    </w:tcBorders>
                  </w:tcPr>
                  <w:p w14:paraId="5013B28B" w14:textId="77777777" w:rsidR="00D14C1C" w:rsidRDefault="00D14C1C" w:rsidP="003F7572">
                    <w:pPr>
                      <w:jc w:val="right"/>
                      <w:rPr>
                        <w:szCs w:val="21"/>
                      </w:rPr>
                    </w:pPr>
                    <w:r>
                      <w:t>0.00</w:t>
                    </w:r>
                  </w:p>
                </w:tc>
                <w:tc>
                  <w:tcPr>
                    <w:tcW w:w="1280" w:type="pct"/>
                    <w:tcBorders>
                      <w:top w:val="single" w:sz="4" w:space="0" w:color="auto"/>
                      <w:left w:val="single" w:sz="4" w:space="0" w:color="auto"/>
                      <w:bottom w:val="single" w:sz="4" w:space="0" w:color="auto"/>
                      <w:right w:val="single" w:sz="4" w:space="0" w:color="auto"/>
                    </w:tcBorders>
                  </w:tcPr>
                  <w:p w14:paraId="1EB5690C" w14:textId="77777777" w:rsidR="00D14C1C" w:rsidRDefault="00D14C1C" w:rsidP="003F7572">
                    <w:pPr>
                      <w:jc w:val="right"/>
                      <w:rPr>
                        <w:szCs w:val="21"/>
                      </w:rPr>
                    </w:pPr>
                    <w:r>
                      <w:t>1,011,221.00</w:t>
                    </w:r>
                  </w:p>
                </w:tc>
                <w:tc>
                  <w:tcPr>
                    <w:tcW w:w="1282" w:type="pct"/>
                    <w:tcBorders>
                      <w:top w:val="single" w:sz="4" w:space="0" w:color="auto"/>
                      <w:left w:val="single" w:sz="4" w:space="0" w:color="auto"/>
                      <w:bottom w:val="single" w:sz="4" w:space="0" w:color="auto"/>
                      <w:right w:val="single" w:sz="4" w:space="0" w:color="auto"/>
                    </w:tcBorders>
                  </w:tcPr>
                  <w:p w14:paraId="308BB013" w14:textId="77777777" w:rsidR="00D14C1C" w:rsidRDefault="00D14C1C" w:rsidP="003F7572">
                    <w:pPr>
                      <w:rPr>
                        <w:szCs w:val="21"/>
                      </w:rPr>
                    </w:pPr>
                    <w:r>
                      <w:t> </w:t>
                    </w:r>
                  </w:p>
                </w:tc>
              </w:tr>
            </w:sdtContent>
          </w:sdt>
        </w:tbl>
        <w:p w14:paraId="5317027F" w14:textId="77777777" w:rsidR="00D14C1C" w:rsidRDefault="00D14C1C"/>
        <w:p w14:paraId="5F101711" w14:textId="42A6F64F" w:rsidR="00471D53" w:rsidRDefault="00B664AF">
          <w:pPr>
            <w:rPr>
              <w:szCs w:val="21"/>
            </w:rPr>
          </w:pPr>
        </w:p>
      </w:sdtContent>
    </w:sdt>
    <w:bookmarkEnd w:id="226" w:displacedByCustomXml="prev"/>
    <w:sdt>
      <w:sdtPr>
        <w:rPr>
          <w:rFonts w:hint="eastAsia"/>
          <w:szCs w:val="21"/>
        </w:rPr>
        <w:alias w:val="模块:营业外收入说明"/>
        <w:tag w:val="_GBC_613f834d57f34b828d1fb937ee139a13"/>
        <w:id w:val="-1471199383"/>
        <w:lock w:val="sdtLocked"/>
        <w:placeholder>
          <w:docPart w:val="GBC22222222222222222222222222222"/>
        </w:placeholder>
      </w:sdtPr>
      <w:sdtEndPr/>
      <w:sdtContent>
        <w:p w14:paraId="1363F766" w14:textId="77777777" w:rsidR="00471D53" w:rsidRDefault="004F686E">
          <w:pPr>
            <w:spacing w:line="360" w:lineRule="exact"/>
            <w:rPr>
              <w:szCs w:val="21"/>
            </w:rPr>
          </w:pPr>
          <w:r>
            <w:rPr>
              <w:rFonts w:hint="eastAsia"/>
              <w:szCs w:val="21"/>
            </w:rPr>
            <w:t>其他说明：</w:t>
          </w:r>
        </w:p>
        <w:sdt>
          <w:sdtPr>
            <w:rPr>
              <w:szCs w:val="21"/>
            </w:rPr>
            <w:alias w:val="是否适用：营业外收入说明[双击切换]"/>
            <w:tag w:val="_GBC_9bd4fc9f0fcc4e85bee85b3ce60c8b2c"/>
            <w:id w:val="1354228323"/>
            <w:lock w:val="sdtLocked"/>
            <w:placeholder>
              <w:docPart w:val="GBC22222222222222222222222222222"/>
            </w:placeholder>
          </w:sdtPr>
          <w:sdtEndPr/>
          <w:sdtContent>
            <w:p w14:paraId="7D16D01A" w14:textId="77777777" w:rsidR="00471D53" w:rsidRDefault="004F686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营业外收入说明"/>
            <w:tag w:val="_GBC_16317ee6171e4de2aa4eeba65e7b2cae"/>
            <w:id w:val="1794945313"/>
            <w:lock w:val="sdtLocked"/>
            <w:placeholder>
              <w:docPart w:val="GBC22222222222222222222222222222"/>
            </w:placeholder>
          </w:sdtPr>
          <w:sdtEndPr/>
          <w:sdtContent>
            <w:p w14:paraId="65E59394" w14:textId="77777777" w:rsidR="00471D53" w:rsidRDefault="004F686E" w:rsidP="00471D53">
              <w:pPr>
                <w:tabs>
                  <w:tab w:val="left" w:pos="800"/>
                  <w:tab w:val="left" w:pos="1100"/>
                  <w:tab w:val="left" w:pos="1713"/>
                </w:tabs>
                <w:spacing w:beforeLines="50" w:before="120" w:afterLines="50" w:after="120" w:line="360" w:lineRule="exact"/>
                <w:ind w:firstLineChars="200" w:firstLine="420"/>
                <w:rPr>
                  <w:sz w:val="22"/>
                  <w:szCs w:val="22"/>
                </w:rPr>
              </w:pPr>
              <w:r>
                <w:rPr>
                  <w:rFonts w:hint="eastAsia"/>
                  <w:sz w:val="22"/>
                  <w:szCs w:val="22"/>
                </w:rPr>
                <w:t>本期计入非经常性损益金额</w:t>
              </w:r>
              <w:r w:rsidRPr="00276345">
                <w:rPr>
                  <w:rFonts w:hint="eastAsia"/>
                  <w:sz w:val="22"/>
                  <w:szCs w:val="22"/>
                </w:rPr>
                <w:t>为</w:t>
              </w:r>
              <w:r w:rsidRPr="00CA28BE">
                <w:rPr>
                  <w:sz w:val="22"/>
                  <w:szCs w:val="22"/>
                </w:rPr>
                <w:t>583,967.12</w:t>
              </w:r>
              <w:r w:rsidRPr="00276345">
                <w:rPr>
                  <w:rFonts w:hint="eastAsia"/>
                  <w:sz w:val="22"/>
                  <w:szCs w:val="22"/>
                </w:rPr>
                <w:t>元</w:t>
              </w:r>
              <w:r>
                <w:rPr>
                  <w:rFonts w:hint="eastAsia"/>
                  <w:sz w:val="22"/>
                  <w:szCs w:val="22"/>
                </w:rPr>
                <w:t>（上期：</w:t>
              </w:r>
              <w:r w:rsidRPr="009A3EC3">
                <w:rPr>
                  <w:sz w:val="22"/>
                  <w:szCs w:val="22"/>
                </w:rPr>
                <w:t>1,262,541.69</w:t>
              </w:r>
              <w:r>
                <w:rPr>
                  <w:rFonts w:hint="eastAsia"/>
                  <w:sz w:val="22"/>
                  <w:szCs w:val="22"/>
                </w:rPr>
                <w:t>元）。</w:t>
              </w:r>
            </w:p>
            <w:p w14:paraId="335B816A" w14:textId="77777777" w:rsidR="00471D53" w:rsidRDefault="00B664AF">
              <w:pPr>
                <w:rPr>
                  <w:szCs w:val="21"/>
                </w:rPr>
              </w:pPr>
            </w:p>
          </w:sdtContent>
        </w:sdt>
      </w:sdtContent>
    </w:sdt>
    <w:p w14:paraId="12D8C82C" w14:textId="77777777" w:rsidR="00471D53" w:rsidRDefault="00B664AF"/>
    <w:sdt>
      <w:sdtPr>
        <w:rPr>
          <w:rFonts w:ascii="宋体" w:hAnsi="宋体" w:cs="宋体" w:hint="eastAsia"/>
          <w:b w:val="0"/>
          <w:bCs w:val="0"/>
          <w:kern w:val="0"/>
          <w:szCs w:val="21"/>
        </w:rPr>
        <w:alias w:val="模块:营业外支出"/>
        <w:tag w:val="_GBC_7c51aa70be1f405d954dc316ed26b5b4"/>
        <w:id w:val="412208307"/>
        <w:lock w:val="sdtLocked"/>
        <w:placeholder>
          <w:docPart w:val="GBC22222222222222222222222222222"/>
        </w:placeholder>
      </w:sdtPr>
      <w:sdtEndPr>
        <w:rPr>
          <w:rFonts w:cstheme="minorBidi"/>
        </w:rPr>
      </w:sdtEndPr>
      <w:sdtContent>
        <w:p w14:paraId="2183EBE5"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营业外支出</w:t>
          </w:r>
        </w:p>
        <w:sdt>
          <w:sdtPr>
            <w:alias w:val="是否适用：营业外支出[双击切换]"/>
            <w:tag w:val="_GBC_6d4b8ac674ce425b8c798e92aa1fe455"/>
            <w:id w:val="-509762533"/>
            <w:lock w:val="sdtLocked"/>
            <w:placeholder>
              <w:docPart w:val="GBC22222222222222222222222222222"/>
            </w:placeholder>
          </w:sdtPr>
          <w:sdtEndPr/>
          <w:sdtContent>
            <w:p w14:paraId="5CFD8241"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DD01240" w14:textId="0FAECEFA" w:rsidR="00471D53" w:rsidRDefault="004F686E">
          <w:pPr>
            <w:jc w:val="right"/>
            <w:rPr>
              <w:szCs w:val="21"/>
            </w:rPr>
          </w:pPr>
          <w:r>
            <w:rPr>
              <w:rFonts w:hint="eastAsia"/>
              <w:szCs w:val="21"/>
            </w:rPr>
            <w:t>单位：</w:t>
          </w:r>
          <w:sdt>
            <w:sdtPr>
              <w:rPr>
                <w:rFonts w:hint="eastAsia"/>
                <w:szCs w:val="21"/>
              </w:rPr>
              <w:alias w:val="单位：财务附注：营业外支出"/>
              <w:tag w:val="_GBC_f8678a9a1bbf4b0697744c5d21146839"/>
              <w:id w:val="-1685974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营业外支出"/>
              <w:tag w:val="_GBC_61e3e82ad5404a9987623525ac03d95e"/>
              <w:id w:val="17415934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6"/>
            <w:gridCol w:w="2317"/>
            <w:gridCol w:w="2271"/>
            <w:gridCol w:w="2259"/>
          </w:tblGrid>
          <w:tr w:rsidR="00471D53" w14:paraId="3C8DFFCA" w14:textId="77777777" w:rsidTr="00471D53">
            <w:sdt>
              <w:sdtPr>
                <w:tag w:val="_PLD_6abf292cb0a7463788e39d1bdabb85fc"/>
                <w:id w:val="-284047398"/>
                <w:lock w:val="sdtLocked"/>
              </w:sdtPr>
              <w:sdtEndPr/>
              <w:sdtContent>
                <w:tc>
                  <w:tcPr>
                    <w:tcW w:w="1120" w:type="pct"/>
                    <w:tcBorders>
                      <w:top w:val="single" w:sz="4" w:space="0" w:color="auto"/>
                      <w:left w:val="single" w:sz="4" w:space="0" w:color="auto"/>
                      <w:bottom w:val="single" w:sz="4" w:space="0" w:color="auto"/>
                      <w:right w:val="single" w:sz="4" w:space="0" w:color="auto"/>
                    </w:tcBorders>
                    <w:vAlign w:val="center"/>
                  </w:tcPr>
                  <w:p w14:paraId="4266965E" w14:textId="77777777" w:rsidR="00471D53" w:rsidRDefault="004F686E" w:rsidP="00471D53">
                    <w:pPr>
                      <w:autoSpaceDE w:val="0"/>
                      <w:autoSpaceDN w:val="0"/>
                      <w:adjustRightInd w:val="0"/>
                      <w:jc w:val="center"/>
                      <w:rPr>
                        <w:szCs w:val="21"/>
                      </w:rPr>
                    </w:pPr>
                    <w:r>
                      <w:rPr>
                        <w:rFonts w:hint="eastAsia"/>
                        <w:szCs w:val="21"/>
                      </w:rPr>
                      <w:t>项目</w:t>
                    </w:r>
                  </w:p>
                </w:tc>
              </w:sdtContent>
            </w:sdt>
            <w:sdt>
              <w:sdtPr>
                <w:tag w:val="_PLD_36a30142728e41bb9c215b73cfe3204c"/>
                <w:id w:val="1551421789"/>
                <w:lock w:val="sdtLocked"/>
              </w:sdtPr>
              <w:sdtEndPr/>
              <w:sdtContent>
                <w:tc>
                  <w:tcPr>
                    <w:tcW w:w="1313" w:type="pct"/>
                    <w:tcBorders>
                      <w:top w:val="single" w:sz="4" w:space="0" w:color="auto"/>
                      <w:left w:val="single" w:sz="4" w:space="0" w:color="auto"/>
                      <w:bottom w:val="single" w:sz="4" w:space="0" w:color="auto"/>
                      <w:right w:val="single" w:sz="4" w:space="0" w:color="auto"/>
                    </w:tcBorders>
                    <w:vAlign w:val="center"/>
                  </w:tcPr>
                  <w:p w14:paraId="03A756CC" w14:textId="77777777" w:rsidR="00471D53" w:rsidRDefault="004F686E" w:rsidP="00471D53">
                    <w:pPr>
                      <w:autoSpaceDE w:val="0"/>
                      <w:autoSpaceDN w:val="0"/>
                      <w:adjustRightInd w:val="0"/>
                      <w:jc w:val="center"/>
                      <w:rPr>
                        <w:szCs w:val="21"/>
                      </w:rPr>
                    </w:pPr>
                    <w:r>
                      <w:rPr>
                        <w:rFonts w:hint="eastAsia"/>
                        <w:szCs w:val="21"/>
                      </w:rPr>
                      <w:t>本期发生额</w:t>
                    </w:r>
                  </w:p>
                </w:tc>
              </w:sdtContent>
            </w:sdt>
            <w:sdt>
              <w:sdtPr>
                <w:tag w:val="_PLD_16b0936bf8024bdf99cf883b1827419f"/>
                <w:id w:val="913360990"/>
                <w:lock w:val="sdtLocked"/>
              </w:sdtPr>
              <w:sdtEndPr/>
              <w:sdtContent>
                <w:tc>
                  <w:tcPr>
                    <w:tcW w:w="1287" w:type="pct"/>
                    <w:tcBorders>
                      <w:top w:val="single" w:sz="4" w:space="0" w:color="auto"/>
                      <w:left w:val="single" w:sz="4" w:space="0" w:color="auto"/>
                      <w:bottom w:val="single" w:sz="4" w:space="0" w:color="auto"/>
                      <w:right w:val="single" w:sz="4" w:space="0" w:color="auto"/>
                    </w:tcBorders>
                    <w:vAlign w:val="center"/>
                  </w:tcPr>
                  <w:p w14:paraId="2D474903" w14:textId="77777777" w:rsidR="00471D53" w:rsidRDefault="004F686E" w:rsidP="00471D53">
                    <w:pPr>
                      <w:autoSpaceDE w:val="0"/>
                      <w:autoSpaceDN w:val="0"/>
                      <w:adjustRightInd w:val="0"/>
                      <w:jc w:val="center"/>
                      <w:rPr>
                        <w:szCs w:val="21"/>
                      </w:rPr>
                    </w:pPr>
                    <w:r>
                      <w:rPr>
                        <w:rFonts w:hint="eastAsia"/>
                        <w:szCs w:val="21"/>
                      </w:rPr>
                      <w:t>上期发生额</w:t>
                    </w:r>
                  </w:p>
                </w:tc>
              </w:sdtContent>
            </w:sdt>
            <w:sdt>
              <w:sdtPr>
                <w:tag w:val="_PLD_92014506c2824f6fbe79731f91aa61bc"/>
                <w:id w:val="756474709"/>
                <w:lock w:val="sdtLocked"/>
              </w:sdtPr>
              <w:sdtEndPr/>
              <w:sdtContent>
                <w:tc>
                  <w:tcPr>
                    <w:tcW w:w="1280" w:type="pct"/>
                    <w:tcBorders>
                      <w:top w:val="single" w:sz="4" w:space="0" w:color="auto"/>
                      <w:left w:val="single" w:sz="4" w:space="0" w:color="auto"/>
                      <w:bottom w:val="single" w:sz="4" w:space="0" w:color="auto"/>
                      <w:right w:val="single" w:sz="4" w:space="0" w:color="auto"/>
                    </w:tcBorders>
                    <w:vAlign w:val="center"/>
                  </w:tcPr>
                  <w:p w14:paraId="043F947C" w14:textId="77777777" w:rsidR="00471D53" w:rsidRDefault="004F686E" w:rsidP="00471D53">
                    <w:pPr>
                      <w:autoSpaceDE w:val="0"/>
                      <w:autoSpaceDN w:val="0"/>
                      <w:adjustRightInd w:val="0"/>
                      <w:jc w:val="center"/>
                      <w:rPr>
                        <w:szCs w:val="21"/>
                      </w:rPr>
                    </w:pPr>
                    <w:r>
                      <w:rPr>
                        <w:rFonts w:hint="eastAsia"/>
                        <w:szCs w:val="21"/>
                      </w:rPr>
                      <w:t>计入当期非经常性损益的金额</w:t>
                    </w:r>
                  </w:p>
                </w:tc>
              </w:sdtContent>
            </w:sdt>
          </w:tr>
          <w:tr w:rsidR="00471D53" w14:paraId="5F87B63D" w14:textId="77777777" w:rsidTr="00471D53">
            <w:sdt>
              <w:sdtPr>
                <w:tag w:val="_PLD_062273c2b8444b53b1d55cd4655089a0"/>
                <w:id w:val="-1472356932"/>
                <w:lock w:val="sdtLocked"/>
              </w:sdtPr>
              <w:sdtEndPr/>
              <w:sdtContent>
                <w:tc>
                  <w:tcPr>
                    <w:tcW w:w="1120" w:type="pct"/>
                    <w:tcBorders>
                      <w:top w:val="single" w:sz="4" w:space="0" w:color="auto"/>
                      <w:left w:val="single" w:sz="4" w:space="0" w:color="auto"/>
                      <w:bottom w:val="single" w:sz="4" w:space="0" w:color="auto"/>
                      <w:right w:val="single" w:sz="4" w:space="0" w:color="auto"/>
                    </w:tcBorders>
                  </w:tcPr>
                  <w:p w14:paraId="2E9ABE7A" w14:textId="77777777" w:rsidR="00471D53" w:rsidRDefault="004F686E" w:rsidP="00471D53">
                    <w:pPr>
                      <w:autoSpaceDE w:val="0"/>
                      <w:autoSpaceDN w:val="0"/>
                      <w:adjustRightInd w:val="0"/>
                      <w:rPr>
                        <w:szCs w:val="21"/>
                      </w:rPr>
                    </w:pPr>
                    <w:r>
                      <w:rPr>
                        <w:rFonts w:hint="eastAsia"/>
                        <w:szCs w:val="21"/>
                      </w:rPr>
                      <w:t>非流动资产处置损失合计</w:t>
                    </w:r>
                  </w:p>
                </w:tc>
              </w:sdtContent>
            </w:sdt>
            <w:tc>
              <w:tcPr>
                <w:tcW w:w="1313" w:type="pct"/>
                <w:tcBorders>
                  <w:top w:val="single" w:sz="4" w:space="0" w:color="auto"/>
                  <w:left w:val="single" w:sz="4" w:space="0" w:color="auto"/>
                  <w:bottom w:val="single" w:sz="4" w:space="0" w:color="auto"/>
                  <w:right w:val="single" w:sz="4" w:space="0" w:color="auto"/>
                </w:tcBorders>
                <w:vAlign w:val="center"/>
              </w:tcPr>
              <w:p w14:paraId="4302E494" w14:textId="77777777" w:rsidR="00471D53" w:rsidRDefault="004F686E" w:rsidP="00471D53">
                <w:pPr>
                  <w:jc w:val="right"/>
                  <w:rPr>
                    <w:sz w:val="22"/>
                  </w:rPr>
                </w:pPr>
                <w:r w:rsidRPr="00BB7D21">
                  <w:rPr>
                    <w:sz w:val="22"/>
                  </w:rPr>
                  <w:t>164,242.22</w:t>
                </w:r>
              </w:p>
            </w:tc>
            <w:tc>
              <w:tcPr>
                <w:tcW w:w="1287" w:type="pct"/>
                <w:tcBorders>
                  <w:top w:val="single" w:sz="4" w:space="0" w:color="auto"/>
                  <w:left w:val="single" w:sz="4" w:space="0" w:color="auto"/>
                  <w:bottom w:val="single" w:sz="4" w:space="0" w:color="auto"/>
                  <w:right w:val="single" w:sz="4" w:space="0" w:color="auto"/>
                </w:tcBorders>
                <w:vAlign w:val="center"/>
              </w:tcPr>
              <w:p w14:paraId="6107C948" w14:textId="77777777" w:rsidR="00471D53" w:rsidRDefault="004F686E" w:rsidP="00471D53">
                <w:pPr>
                  <w:jc w:val="right"/>
                  <w:rPr>
                    <w:sz w:val="22"/>
                  </w:rPr>
                </w:pPr>
                <w:r w:rsidRPr="0053740B">
                  <w:rPr>
                    <w:sz w:val="22"/>
                  </w:rPr>
                  <w:t>247,284.92</w:t>
                </w:r>
              </w:p>
            </w:tc>
            <w:tc>
              <w:tcPr>
                <w:tcW w:w="1280" w:type="pct"/>
                <w:tcBorders>
                  <w:top w:val="single" w:sz="4" w:space="0" w:color="auto"/>
                  <w:left w:val="single" w:sz="4" w:space="0" w:color="auto"/>
                  <w:bottom w:val="single" w:sz="4" w:space="0" w:color="auto"/>
                  <w:right w:val="single" w:sz="4" w:space="0" w:color="auto"/>
                </w:tcBorders>
                <w:vAlign w:val="center"/>
              </w:tcPr>
              <w:p w14:paraId="02C1CAA4" w14:textId="77777777" w:rsidR="00471D53" w:rsidRDefault="004F686E" w:rsidP="00471D53">
                <w:pPr>
                  <w:jc w:val="right"/>
                  <w:rPr>
                    <w:sz w:val="22"/>
                  </w:rPr>
                </w:pPr>
                <w:r w:rsidRPr="00BB7D21">
                  <w:rPr>
                    <w:sz w:val="22"/>
                  </w:rPr>
                  <w:t>164,242.22</w:t>
                </w:r>
              </w:p>
            </w:tc>
          </w:tr>
          <w:tr w:rsidR="00471D53" w14:paraId="1C352FF4" w14:textId="77777777" w:rsidTr="00471D53">
            <w:sdt>
              <w:sdtPr>
                <w:tag w:val="_PLD_0af592ee0cc24d8e8fa527035897eeb0"/>
                <w:id w:val="-1761287296"/>
                <w:lock w:val="sdtLocked"/>
              </w:sdtPr>
              <w:sdtEndPr/>
              <w:sdtContent>
                <w:tc>
                  <w:tcPr>
                    <w:tcW w:w="1120" w:type="pct"/>
                    <w:tcBorders>
                      <w:top w:val="single" w:sz="4" w:space="0" w:color="auto"/>
                      <w:left w:val="single" w:sz="4" w:space="0" w:color="auto"/>
                      <w:bottom w:val="single" w:sz="4" w:space="0" w:color="auto"/>
                      <w:right w:val="single" w:sz="4" w:space="0" w:color="auto"/>
                    </w:tcBorders>
                  </w:tcPr>
                  <w:p w14:paraId="746738FF" w14:textId="77777777" w:rsidR="00471D53" w:rsidRDefault="004F686E" w:rsidP="00471D53">
                    <w:pPr>
                      <w:autoSpaceDE w:val="0"/>
                      <w:autoSpaceDN w:val="0"/>
                      <w:adjustRightInd w:val="0"/>
                      <w:rPr>
                        <w:szCs w:val="21"/>
                      </w:rPr>
                    </w:pPr>
                    <w:r>
                      <w:rPr>
                        <w:rFonts w:hint="eastAsia"/>
                        <w:szCs w:val="21"/>
                      </w:rPr>
                      <w:t>其中：固定资产处置损失</w:t>
                    </w:r>
                  </w:p>
                </w:tc>
              </w:sdtContent>
            </w:sdt>
            <w:tc>
              <w:tcPr>
                <w:tcW w:w="1313" w:type="pct"/>
                <w:tcBorders>
                  <w:top w:val="single" w:sz="4" w:space="0" w:color="auto"/>
                  <w:left w:val="single" w:sz="4" w:space="0" w:color="auto"/>
                  <w:bottom w:val="single" w:sz="4" w:space="0" w:color="auto"/>
                  <w:right w:val="single" w:sz="4" w:space="0" w:color="auto"/>
                </w:tcBorders>
                <w:vAlign w:val="center"/>
              </w:tcPr>
              <w:p w14:paraId="78DF0280" w14:textId="77777777" w:rsidR="00471D53" w:rsidRDefault="004F686E" w:rsidP="00471D53">
                <w:pPr>
                  <w:jc w:val="right"/>
                  <w:rPr>
                    <w:sz w:val="22"/>
                  </w:rPr>
                </w:pPr>
                <w:r w:rsidRPr="00BB7D21">
                  <w:rPr>
                    <w:sz w:val="22"/>
                  </w:rPr>
                  <w:t>164,242.22</w:t>
                </w:r>
              </w:p>
            </w:tc>
            <w:tc>
              <w:tcPr>
                <w:tcW w:w="1287" w:type="pct"/>
                <w:tcBorders>
                  <w:top w:val="single" w:sz="4" w:space="0" w:color="auto"/>
                  <w:left w:val="single" w:sz="4" w:space="0" w:color="auto"/>
                  <w:bottom w:val="single" w:sz="4" w:space="0" w:color="auto"/>
                  <w:right w:val="single" w:sz="4" w:space="0" w:color="auto"/>
                </w:tcBorders>
                <w:vAlign w:val="center"/>
              </w:tcPr>
              <w:p w14:paraId="1E6FECE7" w14:textId="77777777" w:rsidR="00471D53" w:rsidRDefault="004F686E" w:rsidP="00471D53">
                <w:pPr>
                  <w:jc w:val="right"/>
                  <w:rPr>
                    <w:sz w:val="22"/>
                  </w:rPr>
                </w:pPr>
                <w:r w:rsidRPr="0053740B">
                  <w:rPr>
                    <w:sz w:val="22"/>
                  </w:rPr>
                  <w:t>247,284.92</w:t>
                </w:r>
              </w:p>
            </w:tc>
            <w:tc>
              <w:tcPr>
                <w:tcW w:w="1280" w:type="pct"/>
                <w:tcBorders>
                  <w:top w:val="single" w:sz="4" w:space="0" w:color="auto"/>
                  <w:left w:val="single" w:sz="4" w:space="0" w:color="auto"/>
                  <w:bottom w:val="single" w:sz="4" w:space="0" w:color="auto"/>
                  <w:right w:val="single" w:sz="4" w:space="0" w:color="auto"/>
                </w:tcBorders>
                <w:vAlign w:val="center"/>
              </w:tcPr>
              <w:p w14:paraId="46E00BE5" w14:textId="77777777" w:rsidR="00471D53" w:rsidRDefault="004F686E" w:rsidP="00471D53">
                <w:pPr>
                  <w:jc w:val="right"/>
                  <w:rPr>
                    <w:sz w:val="22"/>
                  </w:rPr>
                </w:pPr>
                <w:r w:rsidRPr="00BB7D21">
                  <w:rPr>
                    <w:sz w:val="22"/>
                  </w:rPr>
                  <w:t>164,242.22</w:t>
                </w:r>
              </w:p>
            </w:tc>
          </w:tr>
          <w:tr w:rsidR="00471D53" w14:paraId="64A848EB" w14:textId="77777777" w:rsidTr="00471D53">
            <w:sdt>
              <w:sdtPr>
                <w:tag w:val="_PLD_043b2a1cd6f242659d5a5fd4529789d4"/>
                <w:id w:val="777500"/>
                <w:lock w:val="sdtLocked"/>
              </w:sdtPr>
              <w:sdtEndPr/>
              <w:sdtContent>
                <w:tc>
                  <w:tcPr>
                    <w:tcW w:w="1120" w:type="pct"/>
                    <w:tcBorders>
                      <w:top w:val="single" w:sz="4" w:space="0" w:color="auto"/>
                      <w:left w:val="single" w:sz="4" w:space="0" w:color="auto"/>
                      <w:bottom w:val="single" w:sz="4" w:space="0" w:color="auto"/>
                      <w:right w:val="single" w:sz="4" w:space="0" w:color="auto"/>
                    </w:tcBorders>
                  </w:tcPr>
                  <w:p w14:paraId="3F7D5C5D" w14:textId="77777777" w:rsidR="00471D53" w:rsidRDefault="004F686E" w:rsidP="00471D53">
                    <w:pPr>
                      <w:autoSpaceDE w:val="0"/>
                      <w:autoSpaceDN w:val="0"/>
                      <w:adjustRightInd w:val="0"/>
                      <w:ind w:firstLineChars="300" w:firstLine="630"/>
                      <w:rPr>
                        <w:szCs w:val="21"/>
                      </w:rPr>
                    </w:pPr>
                    <w:r>
                      <w:rPr>
                        <w:rFonts w:hint="eastAsia"/>
                        <w:szCs w:val="21"/>
                      </w:rPr>
                      <w:t>无形资产处置损失</w:t>
                    </w:r>
                  </w:p>
                </w:tc>
              </w:sdtContent>
            </w:sdt>
            <w:tc>
              <w:tcPr>
                <w:tcW w:w="1313" w:type="pct"/>
                <w:tcBorders>
                  <w:top w:val="single" w:sz="4" w:space="0" w:color="auto"/>
                  <w:left w:val="single" w:sz="4" w:space="0" w:color="auto"/>
                  <w:bottom w:val="single" w:sz="4" w:space="0" w:color="auto"/>
                  <w:right w:val="single" w:sz="4" w:space="0" w:color="auto"/>
                </w:tcBorders>
              </w:tcPr>
              <w:p w14:paraId="1C474D62" w14:textId="77777777" w:rsidR="00471D53" w:rsidRDefault="00B664AF" w:rsidP="00471D53">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14:paraId="7670642B" w14:textId="77777777" w:rsidR="00471D53" w:rsidRDefault="00B664AF" w:rsidP="00471D53">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14:paraId="50BFAEF8" w14:textId="77777777" w:rsidR="00471D53" w:rsidRDefault="00B664AF" w:rsidP="00471D53">
                <w:pPr>
                  <w:autoSpaceDE w:val="0"/>
                  <w:autoSpaceDN w:val="0"/>
                  <w:adjustRightInd w:val="0"/>
                  <w:jc w:val="right"/>
                  <w:rPr>
                    <w:szCs w:val="21"/>
                  </w:rPr>
                </w:pPr>
              </w:p>
            </w:tc>
          </w:tr>
          <w:tr w:rsidR="00471D53" w14:paraId="685CC7A1" w14:textId="77777777" w:rsidTr="00471D53">
            <w:sdt>
              <w:sdtPr>
                <w:tag w:val="_PLD_0f53d1ad8d2b4caaa20b1148cb431ce5"/>
                <w:id w:val="-277644695"/>
                <w:lock w:val="sdtLocked"/>
              </w:sdtPr>
              <w:sdtEndPr/>
              <w:sdtContent>
                <w:tc>
                  <w:tcPr>
                    <w:tcW w:w="1120" w:type="pct"/>
                    <w:tcBorders>
                      <w:top w:val="single" w:sz="4" w:space="0" w:color="auto"/>
                      <w:left w:val="single" w:sz="4" w:space="0" w:color="auto"/>
                      <w:bottom w:val="single" w:sz="4" w:space="0" w:color="auto"/>
                      <w:right w:val="single" w:sz="4" w:space="0" w:color="auto"/>
                    </w:tcBorders>
                  </w:tcPr>
                  <w:p w14:paraId="27023DA2" w14:textId="77777777" w:rsidR="00471D53" w:rsidRDefault="004F686E" w:rsidP="00471D53">
                    <w:pPr>
                      <w:autoSpaceDE w:val="0"/>
                      <w:autoSpaceDN w:val="0"/>
                      <w:adjustRightInd w:val="0"/>
                      <w:rPr>
                        <w:szCs w:val="21"/>
                      </w:rPr>
                    </w:pPr>
                    <w:r>
                      <w:rPr>
                        <w:rFonts w:hint="eastAsia"/>
                        <w:szCs w:val="21"/>
                      </w:rPr>
                      <w:t>债务重组损失</w:t>
                    </w:r>
                  </w:p>
                </w:tc>
              </w:sdtContent>
            </w:sdt>
            <w:tc>
              <w:tcPr>
                <w:tcW w:w="1313" w:type="pct"/>
                <w:tcBorders>
                  <w:top w:val="single" w:sz="4" w:space="0" w:color="auto"/>
                  <w:left w:val="single" w:sz="4" w:space="0" w:color="auto"/>
                  <w:bottom w:val="single" w:sz="4" w:space="0" w:color="auto"/>
                  <w:right w:val="single" w:sz="4" w:space="0" w:color="auto"/>
                </w:tcBorders>
              </w:tcPr>
              <w:p w14:paraId="4803059E" w14:textId="77777777" w:rsidR="00471D53" w:rsidRDefault="00B664AF" w:rsidP="00471D53">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14:paraId="36FB608E" w14:textId="77777777" w:rsidR="00471D53" w:rsidRDefault="00B664AF" w:rsidP="00471D53">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14:paraId="64B3FF7A" w14:textId="77777777" w:rsidR="00471D53" w:rsidRDefault="00B664AF" w:rsidP="00471D53">
                <w:pPr>
                  <w:autoSpaceDE w:val="0"/>
                  <w:autoSpaceDN w:val="0"/>
                  <w:adjustRightInd w:val="0"/>
                  <w:jc w:val="right"/>
                  <w:rPr>
                    <w:szCs w:val="21"/>
                  </w:rPr>
                </w:pPr>
              </w:p>
            </w:tc>
          </w:tr>
          <w:tr w:rsidR="00471D53" w14:paraId="5CE94B3B" w14:textId="77777777" w:rsidTr="00471D53">
            <w:sdt>
              <w:sdtPr>
                <w:tag w:val="_PLD_ff6c8e36ebb64fad860979a13314fa7a"/>
                <w:id w:val="1472337350"/>
                <w:lock w:val="sdtLocked"/>
              </w:sdtPr>
              <w:sdtEndPr/>
              <w:sdtContent>
                <w:tc>
                  <w:tcPr>
                    <w:tcW w:w="1120" w:type="pct"/>
                    <w:tcBorders>
                      <w:top w:val="single" w:sz="4" w:space="0" w:color="auto"/>
                      <w:left w:val="single" w:sz="4" w:space="0" w:color="auto"/>
                      <w:bottom w:val="single" w:sz="4" w:space="0" w:color="auto"/>
                      <w:right w:val="single" w:sz="4" w:space="0" w:color="auto"/>
                    </w:tcBorders>
                  </w:tcPr>
                  <w:p w14:paraId="4A63634C" w14:textId="77777777" w:rsidR="00471D53" w:rsidRDefault="004F686E" w:rsidP="00471D53">
                    <w:pPr>
                      <w:autoSpaceDE w:val="0"/>
                      <w:autoSpaceDN w:val="0"/>
                      <w:adjustRightInd w:val="0"/>
                      <w:rPr>
                        <w:szCs w:val="21"/>
                      </w:rPr>
                    </w:pPr>
                    <w:r>
                      <w:rPr>
                        <w:rFonts w:hint="eastAsia"/>
                        <w:szCs w:val="21"/>
                      </w:rPr>
                      <w:t>非货币性资产交换损失</w:t>
                    </w:r>
                  </w:p>
                </w:tc>
              </w:sdtContent>
            </w:sdt>
            <w:tc>
              <w:tcPr>
                <w:tcW w:w="1313" w:type="pct"/>
                <w:tcBorders>
                  <w:top w:val="single" w:sz="4" w:space="0" w:color="auto"/>
                  <w:left w:val="single" w:sz="4" w:space="0" w:color="auto"/>
                  <w:bottom w:val="single" w:sz="4" w:space="0" w:color="auto"/>
                  <w:right w:val="single" w:sz="4" w:space="0" w:color="auto"/>
                </w:tcBorders>
              </w:tcPr>
              <w:p w14:paraId="13C0875A" w14:textId="77777777" w:rsidR="00471D53" w:rsidRDefault="00B664AF" w:rsidP="00471D53">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14:paraId="5C1537DF" w14:textId="77777777" w:rsidR="00471D53" w:rsidRDefault="00B664AF" w:rsidP="00471D53">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14:paraId="350D5E59" w14:textId="77777777" w:rsidR="00471D53" w:rsidRDefault="00B664AF" w:rsidP="00471D53">
                <w:pPr>
                  <w:autoSpaceDE w:val="0"/>
                  <w:autoSpaceDN w:val="0"/>
                  <w:adjustRightInd w:val="0"/>
                  <w:jc w:val="right"/>
                  <w:rPr>
                    <w:szCs w:val="21"/>
                  </w:rPr>
                </w:pPr>
              </w:p>
            </w:tc>
          </w:tr>
          <w:tr w:rsidR="00471D53" w14:paraId="545C0B9C" w14:textId="77777777" w:rsidTr="00471D53">
            <w:sdt>
              <w:sdtPr>
                <w:tag w:val="_PLD_e707af1f17d74e7e8797d89b47050da8"/>
                <w:id w:val="-1697147763"/>
                <w:lock w:val="sdtLocked"/>
              </w:sdtPr>
              <w:sdtEndPr/>
              <w:sdtContent>
                <w:tc>
                  <w:tcPr>
                    <w:tcW w:w="1120" w:type="pct"/>
                    <w:tcBorders>
                      <w:top w:val="single" w:sz="4" w:space="0" w:color="auto"/>
                      <w:left w:val="single" w:sz="4" w:space="0" w:color="auto"/>
                      <w:bottom w:val="single" w:sz="4" w:space="0" w:color="auto"/>
                      <w:right w:val="single" w:sz="4" w:space="0" w:color="auto"/>
                    </w:tcBorders>
                  </w:tcPr>
                  <w:p w14:paraId="7CF7FA89" w14:textId="77777777" w:rsidR="00471D53" w:rsidRDefault="004F686E" w:rsidP="00471D53">
                    <w:pPr>
                      <w:autoSpaceDE w:val="0"/>
                      <w:autoSpaceDN w:val="0"/>
                      <w:adjustRightInd w:val="0"/>
                      <w:rPr>
                        <w:szCs w:val="21"/>
                      </w:rPr>
                    </w:pPr>
                    <w:r>
                      <w:rPr>
                        <w:rFonts w:hint="eastAsia"/>
                        <w:szCs w:val="21"/>
                      </w:rPr>
                      <w:t>对外捐赠</w:t>
                    </w:r>
                  </w:p>
                </w:tc>
              </w:sdtContent>
            </w:sdt>
            <w:tc>
              <w:tcPr>
                <w:tcW w:w="1313" w:type="pct"/>
                <w:tcBorders>
                  <w:top w:val="single" w:sz="4" w:space="0" w:color="auto"/>
                  <w:left w:val="single" w:sz="4" w:space="0" w:color="auto"/>
                  <w:bottom w:val="single" w:sz="4" w:space="0" w:color="auto"/>
                  <w:right w:val="single" w:sz="4" w:space="0" w:color="auto"/>
                </w:tcBorders>
              </w:tcPr>
              <w:p w14:paraId="1047689F" w14:textId="77777777" w:rsidR="00471D53" w:rsidRDefault="00B664AF" w:rsidP="00471D53">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14:paraId="1E854D4B" w14:textId="77777777" w:rsidR="00471D53" w:rsidRDefault="00B664AF" w:rsidP="00471D53">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14:paraId="7AF2EC31" w14:textId="77777777" w:rsidR="00471D53" w:rsidRDefault="00B664AF" w:rsidP="00471D53">
                <w:pPr>
                  <w:autoSpaceDE w:val="0"/>
                  <w:autoSpaceDN w:val="0"/>
                  <w:adjustRightInd w:val="0"/>
                  <w:jc w:val="right"/>
                  <w:rPr>
                    <w:szCs w:val="21"/>
                  </w:rPr>
                </w:pPr>
              </w:p>
            </w:tc>
          </w:tr>
          <w:sdt>
            <w:sdtPr>
              <w:rPr>
                <w:rFonts w:hint="eastAsia"/>
                <w:szCs w:val="21"/>
              </w:rPr>
              <w:alias w:val="营业外支出明细"/>
              <w:tag w:val="_GBC_5b9df89383994b599a7029fc70bb3881"/>
              <w:id w:val="1378203775"/>
              <w:lock w:val="sdtLocked"/>
            </w:sdtPr>
            <w:sdtEndPr/>
            <w:sdtContent>
              <w:tr w:rsidR="00471D53" w14:paraId="48DCC7C7" w14:textId="77777777" w:rsidTr="00471D53">
                <w:tc>
                  <w:tcPr>
                    <w:tcW w:w="1120" w:type="pct"/>
                    <w:tcBorders>
                      <w:top w:val="single" w:sz="4" w:space="0" w:color="auto"/>
                      <w:left w:val="single" w:sz="4" w:space="0" w:color="auto"/>
                      <w:bottom w:val="single" w:sz="4" w:space="0" w:color="auto"/>
                      <w:right w:val="single" w:sz="4" w:space="0" w:color="auto"/>
                    </w:tcBorders>
                  </w:tcPr>
                  <w:p w14:paraId="6A364A98" w14:textId="77777777" w:rsidR="00471D53" w:rsidRDefault="004F686E" w:rsidP="00471D53">
                    <w:pPr>
                      <w:rPr>
                        <w:szCs w:val="21"/>
                      </w:rPr>
                    </w:pPr>
                    <w:r>
                      <w:t>违约金、罚款、滞纳金等</w:t>
                    </w:r>
                  </w:p>
                </w:tc>
                <w:tc>
                  <w:tcPr>
                    <w:tcW w:w="1313" w:type="pct"/>
                    <w:tcBorders>
                      <w:top w:val="single" w:sz="4" w:space="0" w:color="auto"/>
                      <w:left w:val="single" w:sz="4" w:space="0" w:color="auto"/>
                      <w:bottom w:val="single" w:sz="4" w:space="0" w:color="auto"/>
                      <w:right w:val="single" w:sz="4" w:space="0" w:color="auto"/>
                    </w:tcBorders>
                  </w:tcPr>
                  <w:p w14:paraId="3FD88AC7" w14:textId="77777777" w:rsidR="00471D53" w:rsidRDefault="004F686E" w:rsidP="00471D53">
                    <w:pPr>
                      <w:jc w:val="right"/>
                      <w:rPr>
                        <w:szCs w:val="21"/>
                      </w:rPr>
                    </w:pPr>
                    <w:r>
                      <w:t>200.00</w:t>
                    </w:r>
                  </w:p>
                </w:tc>
                <w:tc>
                  <w:tcPr>
                    <w:tcW w:w="1287" w:type="pct"/>
                    <w:tcBorders>
                      <w:top w:val="single" w:sz="4" w:space="0" w:color="auto"/>
                      <w:left w:val="single" w:sz="4" w:space="0" w:color="auto"/>
                      <w:bottom w:val="single" w:sz="4" w:space="0" w:color="auto"/>
                      <w:right w:val="single" w:sz="4" w:space="0" w:color="auto"/>
                    </w:tcBorders>
                  </w:tcPr>
                  <w:p w14:paraId="7150BACC" w14:textId="77777777" w:rsidR="00471D53" w:rsidRDefault="004F686E" w:rsidP="00471D53">
                    <w:pPr>
                      <w:jc w:val="right"/>
                      <w:rPr>
                        <w:szCs w:val="21"/>
                      </w:rPr>
                    </w:pPr>
                    <w:r>
                      <w:t>0.00</w:t>
                    </w:r>
                  </w:p>
                </w:tc>
                <w:tc>
                  <w:tcPr>
                    <w:tcW w:w="1280" w:type="pct"/>
                    <w:tcBorders>
                      <w:top w:val="single" w:sz="4" w:space="0" w:color="auto"/>
                      <w:left w:val="single" w:sz="4" w:space="0" w:color="auto"/>
                      <w:bottom w:val="single" w:sz="4" w:space="0" w:color="auto"/>
                      <w:right w:val="single" w:sz="4" w:space="0" w:color="auto"/>
                    </w:tcBorders>
                  </w:tcPr>
                  <w:p w14:paraId="411B2164" w14:textId="77777777" w:rsidR="00471D53" w:rsidRDefault="004F686E" w:rsidP="00471D53">
                    <w:pPr>
                      <w:jc w:val="right"/>
                      <w:rPr>
                        <w:szCs w:val="21"/>
                      </w:rPr>
                    </w:pPr>
                    <w:r>
                      <w:t>200.00</w:t>
                    </w:r>
                  </w:p>
                </w:tc>
              </w:tr>
            </w:sdtContent>
          </w:sdt>
          <w:sdt>
            <w:sdtPr>
              <w:rPr>
                <w:rFonts w:hint="eastAsia"/>
                <w:szCs w:val="21"/>
              </w:rPr>
              <w:alias w:val="营业外支出明细"/>
              <w:tag w:val="_GBC_5b9df89383994b599a7029fc70bb3881"/>
              <w:id w:val="1393079768"/>
              <w:lock w:val="sdtLocked"/>
            </w:sdtPr>
            <w:sdtEndPr/>
            <w:sdtContent>
              <w:tr w:rsidR="00471D53" w14:paraId="606918B2" w14:textId="77777777" w:rsidTr="00471D53">
                <w:tc>
                  <w:tcPr>
                    <w:tcW w:w="1120" w:type="pct"/>
                    <w:tcBorders>
                      <w:top w:val="single" w:sz="4" w:space="0" w:color="auto"/>
                      <w:left w:val="single" w:sz="4" w:space="0" w:color="auto"/>
                      <w:bottom w:val="single" w:sz="4" w:space="0" w:color="auto"/>
                      <w:right w:val="single" w:sz="4" w:space="0" w:color="auto"/>
                    </w:tcBorders>
                  </w:tcPr>
                  <w:p w14:paraId="6298549E" w14:textId="77777777" w:rsidR="00471D53" w:rsidRDefault="004F686E" w:rsidP="00471D53">
                    <w:pPr>
                      <w:rPr>
                        <w:szCs w:val="21"/>
                      </w:rPr>
                    </w:pPr>
                    <w:r>
                      <w:t>其他</w:t>
                    </w:r>
                  </w:p>
                </w:tc>
                <w:tc>
                  <w:tcPr>
                    <w:tcW w:w="1313" w:type="pct"/>
                    <w:tcBorders>
                      <w:top w:val="single" w:sz="4" w:space="0" w:color="auto"/>
                      <w:left w:val="single" w:sz="4" w:space="0" w:color="auto"/>
                      <w:bottom w:val="single" w:sz="4" w:space="0" w:color="auto"/>
                      <w:right w:val="single" w:sz="4" w:space="0" w:color="auto"/>
                    </w:tcBorders>
                  </w:tcPr>
                  <w:p w14:paraId="08F321B8" w14:textId="77777777" w:rsidR="00471D53" w:rsidRDefault="004F686E" w:rsidP="00471D53">
                    <w:pPr>
                      <w:jc w:val="right"/>
                      <w:rPr>
                        <w:szCs w:val="21"/>
                      </w:rPr>
                    </w:pPr>
                    <w:r>
                      <w:t>0.00</w:t>
                    </w:r>
                  </w:p>
                </w:tc>
                <w:tc>
                  <w:tcPr>
                    <w:tcW w:w="1287" w:type="pct"/>
                    <w:tcBorders>
                      <w:top w:val="single" w:sz="4" w:space="0" w:color="auto"/>
                      <w:left w:val="single" w:sz="4" w:space="0" w:color="auto"/>
                      <w:bottom w:val="single" w:sz="4" w:space="0" w:color="auto"/>
                      <w:right w:val="single" w:sz="4" w:space="0" w:color="auto"/>
                    </w:tcBorders>
                  </w:tcPr>
                  <w:p w14:paraId="72614E08" w14:textId="77777777" w:rsidR="00471D53" w:rsidRDefault="004F686E" w:rsidP="00471D53">
                    <w:pPr>
                      <w:jc w:val="right"/>
                      <w:rPr>
                        <w:szCs w:val="21"/>
                      </w:rPr>
                    </w:pPr>
                    <w:r>
                      <w:t>341,905.53</w:t>
                    </w:r>
                  </w:p>
                </w:tc>
                <w:tc>
                  <w:tcPr>
                    <w:tcW w:w="1280" w:type="pct"/>
                    <w:tcBorders>
                      <w:top w:val="single" w:sz="4" w:space="0" w:color="auto"/>
                      <w:left w:val="single" w:sz="4" w:space="0" w:color="auto"/>
                      <w:bottom w:val="single" w:sz="4" w:space="0" w:color="auto"/>
                      <w:right w:val="single" w:sz="4" w:space="0" w:color="auto"/>
                    </w:tcBorders>
                  </w:tcPr>
                  <w:p w14:paraId="19FB7FF8" w14:textId="77777777" w:rsidR="00471D53" w:rsidRDefault="004F686E" w:rsidP="00471D53">
                    <w:pPr>
                      <w:jc w:val="right"/>
                      <w:rPr>
                        <w:szCs w:val="21"/>
                      </w:rPr>
                    </w:pPr>
                    <w:r>
                      <w:t>0.00</w:t>
                    </w:r>
                  </w:p>
                </w:tc>
              </w:tr>
            </w:sdtContent>
          </w:sdt>
          <w:tr w:rsidR="00471D53" w14:paraId="29F77D0C" w14:textId="77777777" w:rsidTr="00471D53">
            <w:sdt>
              <w:sdtPr>
                <w:tag w:val="_PLD_c2b9d5e76f4549198980f8ca24fe3112"/>
                <w:id w:val="-1985160661"/>
                <w:lock w:val="sdtLocked"/>
              </w:sdtPr>
              <w:sdtEndPr/>
              <w:sdtContent>
                <w:tc>
                  <w:tcPr>
                    <w:tcW w:w="1120" w:type="pct"/>
                    <w:tcBorders>
                      <w:top w:val="single" w:sz="4" w:space="0" w:color="auto"/>
                      <w:left w:val="single" w:sz="4" w:space="0" w:color="auto"/>
                      <w:bottom w:val="single" w:sz="4" w:space="0" w:color="auto"/>
                      <w:right w:val="single" w:sz="4" w:space="0" w:color="auto"/>
                    </w:tcBorders>
                  </w:tcPr>
                  <w:p w14:paraId="36FF2FBE" w14:textId="77777777" w:rsidR="00471D53" w:rsidRDefault="004F686E" w:rsidP="00471D53">
                    <w:pPr>
                      <w:ind w:right="6"/>
                      <w:jc w:val="center"/>
                      <w:rPr>
                        <w:szCs w:val="21"/>
                      </w:rPr>
                    </w:pPr>
                    <w:r>
                      <w:rPr>
                        <w:rFonts w:hint="eastAsia"/>
                        <w:szCs w:val="21"/>
                      </w:rPr>
                      <w:t>合计</w:t>
                    </w:r>
                  </w:p>
                </w:tc>
              </w:sdtContent>
            </w:sdt>
            <w:tc>
              <w:tcPr>
                <w:tcW w:w="1313" w:type="pct"/>
                <w:tcBorders>
                  <w:top w:val="single" w:sz="4" w:space="0" w:color="auto"/>
                  <w:left w:val="single" w:sz="4" w:space="0" w:color="auto"/>
                  <w:bottom w:val="single" w:sz="4" w:space="0" w:color="auto"/>
                  <w:right w:val="single" w:sz="4" w:space="0" w:color="auto"/>
                </w:tcBorders>
                <w:vAlign w:val="center"/>
              </w:tcPr>
              <w:p w14:paraId="5A7E683D" w14:textId="77777777" w:rsidR="00471D53" w:rsidRPr="00D16924" w:rsidRDefault="004F686E" w:rsidP="00471D53">
                <w:pPr>
                  <w:jc w:val="right"/>
                  <w:rPr>
                    <w:sz w:val="22"/>
                    <w:szCs w:val="22"/>
                    <w:highlight w:val="green"/>
                  </w:rPr>
                </w:pPr>
                <w:r w:rsidRPr="00D16924">
                  <w:rPr>
                    <w:sz w:val="22"/>
                    <w:szCs w:val="22"/>
                  </w:rPr>
                  <w:t>164,442.22</w:t>
                </w:r>
              </w:p>
            </w:tc>
            <w:tc>
              <w:tcPr>
                <w:tcW w:w="1287" w:type="pct"/>
                <w:tcBorders>
                  <w:top w:val="single" w:sz="4" w:space="0" w:color="auto"/>
                  <w:left w:val="single" w:sz="4" w:space="0" w:color="auto"/>
                  <w:bottom w:val="single" w:sz="4" w:space="0" w:color="auto"/>
                  <w:right w:val="single" w:sz="4" w:space="0" w:color="auto"/>
                </w:tcBorders>
                <w:vAlign w:val="center"/>
              </w:tcPr>
              <w:p w14:paraId="3E71C89F" w14:textId="77777777" w:rsidR="00471D53" w:rsidRPr="00D16924" w:rsidRDefault="004F686E" w:rsidP="00471D53">
                <w:pPr>
                  <w:jc w:val="right"/>
                  <w:rPr>
                    <w:sz w:val="22"/>
                    <w:szCs w:val="22"/>
                  </w:rPr>
                </w:pPr>
                <w:r w:rsidRPr="00D16924">
                  <w:rPr>
                    <w:sz w:val="22"/>
                    <w:szCs w:val="22"/>
                  </w:rPr>
                  <w:t>589,190.45</w:t>
                </w:r>
              </w:p>
            </w:tc>
            <w:tc>
              <w:tcPr>
                <w:tcW w:w="1280" w:type="pct"/>
                <w:tcBorders>
                  <w:top w:val="single" w:sz="4" w:space="0" w:color="auto"/>
                  <w:left w:val="single" w:sz="4" w:space="0" w:color="auto"/>
                  <w:bottom w:val="single" w:sz="4" w:space="0" w:color="auto"/>
                  <w:right w:val="single" w:sz="4" w:space="0" w:color="auto"/>
                </w:tcBorders>
                <w:vAlign w:val="center"/>
              </w:tcPr>
              <w:p w14:paraId="2E2A5B26" w14:textId="77777777" w:rsidR="00471D53" w:rsidRPr="00D16924" w:rsidRDefault="004F686E" w:rsidP="00471D53">
                <w:pPr>
                  <w:jc w:val="right"/>
                  <w:rPr>
                    <w:sz w:val="22"/>
                    <w:szCs w:val="22"/>
                    <w:highlight w:val="green"/>
                  </w:rPr>
                </w:pPr>
                <w:r w:rsidRPr="00D16924">
                  <w:rPr>
                    <w:sz w:val="22"/>
                    <w:szCs w:val="22"/>
                  </w:rPr>
                  <w:t>164,442.22</w:t>
                </w:r>
              </w:p>
            </w:tc>
          </w:tr>
        </w:tbl>
        <w:p w14:paraId="168510B3" w14:textId="77777777" w:rsidR="00471D53" w:rsidRDefault="00B664AF"/>
        <w:p w14:paraId="09DE669E" w14:textId="77777777" w:rsidR="00471D53" w:rsidRDefault="004F686E">
          <w:pPr>
            <w:spacing w:before="60" w:after="60"/>
            <w:rPr>
              <w:szCs w:val="21"/>
            </w:rPr>
          </w:pPr>
          <w:r>
            <w:rPr>
              <w:rFonts w:hint="eastAsia"/>
              <w:szCs w:val="21"/>
            </w:rPr>
            <w:t>其他说明：</w:t>
          </w:r>
        </w:p>
        <w:sdt>
          <w:sdtPr>
            <w:rPr>
              <w:rFonts w:hint="eastAsia"/>
              <w:szCs w:val="21"/>
            </w:rPr>
            <w:alias w:val="营业外支出说明"/>
            <w:tag w:val="_GBC_948d4d2c5cfc43b999d968de3476bc75"/>
            <w:id w:val="512428825"/>
            <w:lock w:val="sdtLocked"/>
            <w:placeholder>
              <w:docPart w:val="GBC22222222222222222222222222222"/>
            </w:placeholder>
          </w:sdtPr>
          <w:sdtEndPr/>
          <w:sdtContent>
            <w:p w14:paraId="341368BB" w14:textId="77777777" w:rsidR="00471D53" w:rsidRDefault="004F686E">
              <w:pPr>
                <w:rPr>
                  <w:szCs w:val="21"/>
                </w:rPr>
              </w:pPr>
              <w:r>
                <w:rPr>
                  <w:rFonts w:hint="eastAsia"/>
                  <w:sz w:val="22"/>
                  <w:szCs w:val="22"/>
                </w:rPr>
                <w:t>本期计入非经常性损益金额为</w:t>
              </w:r>
              <w:r w:rsidRPr="00BB7D21">
                <w:rPr>
                  <w:sz w:val="22"/>
                  <w:szCs w:val="22"/>
                </w:rPr>
                <w:t>164,442.22</w:t>
              </w:r>
              <w:r w:rsidRPr="00BB7D21">
                <w:rPr>
                  <w:rFonts w:hint="eastAsia"/>
                  <w:sz w:val="22"/>
                  <w:szCs w:val="22"/>
                </w:rPr>
                <w:t>元</w:t>
              </w:r>
              <w:r>
                <w:rPr>
                  <w:rFonts w:hint="eastAsia"/>
                  <w:sz w:val="22"/>
                  <w:szCs w:val="22"/>
                </w:rPr>
                <w:t>（上年：</w:t>
              </w:r>
              <w:r w:rsidRPr="009A3EC3">
                <w:rPr>
                  <w:bCs/>
                  <w:sz w:val="22"/>
                  <w:szCs w:val="22"/>
                </w:rPr>
                <w:t>589,190.45</w:t>
              </w:r>
              <w:r>
                <w:rPr>
                  <w:rFonts w:hint="eastAsia"/>
                  <w:sz w:val="22"/>
                  <w:szCs w:val="22"/>
                </w:rPr>
                <w:t>元）</w:t>
              </w:r>
            </w:p>
          </w:sdtContent>
        </w:sdt>
      </w:sdtContent>
    </w:sdt>
    <w:p w14:paraId="6444AC0D" w14:textId="77777777" w:rsidR="00471D53" w:rsidRDefault="00B664AF"/>
    <w:sdt>
      <w:sdtPr>
        <w:rPr>
          <w:rFonts w:ascii="宋体" w:hAnsi="宋体" w:cs="宋体" w:hint="eastAsia"/>
          <w:b w:val="0"/>
          <w:bCs w:val="0"/>
          <w:kern w:val="0"/>
          <w:szCs w:val="21"/>
        </w:rPr>
        <w:alias w:val="模块:所得税费用"/>
        <w:tag w:val="_GBC_c8eb4731730a4ca395e992a85b3eafe1"/>
        <w:id w:val="113260843"/>
        <w:lock w:val="sdtLocked"/>
        <w:placeholder>
          <w:docPart w:val="GBC22222222222222222222222222222"/>
        </w:placeholder>
      </w:sdtPr>
      <w:sdtEndPr>
        <w:rPr>
          <w:rFonts w:cstheme="minorBidi" w:hint="default"/>
        </w:rPr>
      </w:sdtEndPr>
      <w:sdtContent>
        <w:p w14:paraId="39894F75"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所得税费用</w:t>
          </w:r>
        </w:p>
        <w:p w14:paraId="63BA0216" w14:textId="77777777" w:rsidR="00471D53" w:rsidRDefault="004F686E" w:rsidP="004F686E">
          <w:pPr>
            <w:pStyle w:val="afffff8"/>
            <w:numPr>
              <w:ilvl w:val="0"/>
              <w:numId w:val="88"/>
            </w:numPr>
            <w:rPr>
              <w:rFonts w:ascii="宋体" w:hAnsi="宋体"/>
            </w:rPr>
          </w:pPr>
          <w:r>
            <w:rPr>
              <w:rFonts w:ascii="宋体" w:hAnsi="宋体" w:hint="eastAsia"/>
            </w:rPr>
            <w:t>所得税费用表</w:t>
          </w:r>
        </w:p>
        <w:sdt>
          <w:sdtPr>
            <w:alias w:val="是否适用：所得税费用表[双击切换]"/>
            <w:tag w:val="_GBC_61ff35087b014685a6e03347957ab922"/>
            <w:id w:val="1549103550"/>
            <w:lock w:val="sdtLocked"/>
            <w:placeholder>
              <w:docPart w:val="GBC22222222222222222222222222222"/>
            </w:placeholder>
          </w:sdtPr>
          <w:sdtEndPr/>
          <w:sdtContent>
            <w:p w14:paraId="71EEE3E0"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95DEDC9" w14:textId="0F96D700" w:rsidR="00471D53" w:rsidRDefault="004F686E">
          <w:pPr>
            <w:wordWrap w:val="0"/>
            <w:jc w:val="right"/>
            <w:rPr>
              <w:szCs w:val="21"/>
            </w:rPr>
          </w:pPr>
          <w:r>
            <w:rPr>
              <w:rFonts w:hint="eastAsia"/>
              <w:szCs w:val="21"/>
            </w:rPr>
            <w:t>单位：</w:t>
          </w:r>
          <w:sdt>
            <w:sdtPr>
              <w:rPr>
                <w:rFonts w:hint="eastAsia"/>
                <w:szCs w:val="21"/>
              </w:rPr>
              <w:alias w:val="单位：财务附注：所得税费用"/>
              <w:tag w:val="_GBC_18ed8ed511fe4791a90ee25fc956bd2b"/>
              <w:id w:val="-58160411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所得税费用"/>
              <w:tag w:val="_GBC_ecc6df02f1744ff084d6c0d30045219a"/>
              <w:id w:val="11789249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33"/>
            <w:gridCol w:w="2853"/>
            <w:gridCol w:w="2837"/>
          </w:tblGrid>
          <w:tr w:rsidR="00471D53" w14:paraId="0E5FD668" w14:textId="77777777" w:rsidTr="00471D53">
            <w:trPr>
              <w:trHeight w:val="87"/>
            </w:trPr>
            <w:sdt>
              <w:sdtPr>
                <w:tag w:val="_PLD_951f380ec376457cb80126c7d6018f65"/>
                <w:id w:val="-1859038469"/>
                <w:lock w:val="sdtLocked"/>
              </w:sdtPr>
              <w:sdtEndPr/>
              <w:sdtContent>
                <w:tc>
                  <w:tcPr>
                    <w:tcW w:w="1775" w:type="pct"/>
                    <w:vAlign w:val="center"/>
                  </w:tcPr>
                  <w:p w14:paraId="2A2CFD5F" w14:textId="77777777" w:rsidR="00471D53" w:rsidRDefault="004F686E">
                    <w:pPr>
                      <w:ind w:right="6"/>
                      <w:jc w:val="center"/>
                      <w:rPr>
                        <w:szCs w:val="21"/>
                      </w:rPr>
                    </w:pPr>
                    <w:r>
                      <w:rPr>
                        <w:rFonts w:hint="eastAsia"/>
                        <w:szCs w:val="21"/>
                      </w:rPr>
                      <w:t>项目</w:t>
                    </w:r>
                  </w:p>
                </w:tc>
              </w:sdtContent>
            </w:sdt>
            <w:sdt>
              <w:sdtPr>
                <w:tag w:val="_PLD_1e59791ce9d340b7b60e63b833f13708"/>
                <w:id w:val="-1069038411"/>
                <w:lock w:val="sdtLocked"/>
              </w:sdtPr>
              <w:sdtEndPr/>
              <w:sdtContent>
                <w:tc>
                  <w:tcPr>
                    <w:tcW w:w="1617" w:type="pct"/>
                    <w:vAlign w:val="center"/>
                  </w:tcPr>
                  <w:p w14:paraId="72D43910" w14:textId="77777777" w:rsidR="00471D53" w:rsidRDefault="004F686E">
                    <w:pPr>
                      <w:ind w:right="6"/>
                      <w:jc w:val="center"/>
                      <w:rPr>
                        <w:szCs w:val="21"/>
                      </w:rPr>
                    </w:pPr>
                    <w:r>
                      <w:rPr>
                        <w:rFonts w:hint="eastAsia"/>
                        <w:szCs w:val="21"/>
                      </w:rPr>
                      <w:t>本期发生额</w:t>
                    </w:r>
                  </w:p>
                </w:tc>
              </w:sdtContent>
            </w:sdt>
            <w:sdt>
              <w:sdtPr>
                <w:tag w:val="_PLD_23c0825dcbc74481a17a7811dee40e02"/>
                <w:id w:val="-963182148"/>
                <w:lock w:val="sdtLocked"/>
              </w:sdtPr>
              <w:sdtEndPr/>
              <w:sdtContent>
                <w:tc>
                  <w:tcPr>
                    <w:tcW w:w="1608" w:type="pct"/>
                    <w:vAlign w:val="center"/>
                  </w:tcPr>
                  <w:p w14:paraId="72D7D05C" w14:textId="77777777" w:rsidR="00471D53" w:rsidRDefault="004F686E">
                    <w:pPr>
                      <w:ind w:right="6"/>
                      <w:jc w:val="center"/>
                      <w:rPr>
                        <w:szCs w:val="21"/>
                      </w:rPr>
                    </w:pPr>
                    <w:r>
                      <w:rPr>
                        <w:rFonts w:hint="eastAsia"/>
                        <w:szCs w:val="21"/>
                      </w:rPr>
                      <w:t>上期发生额</w:t>
                    </w:r>
                  </w:p>
                </w:tc>
              </w:sdtContent>
            </w:sdt>
          </w:tr>
          <w:tr w:rsidR="00471D53" w14:paraId="4C546A65" w14:textId="77777777" w:rsidTr="00471D53">
            <w:sdt>
              <w:sdtPr>
                <w:tag w:val="_PLD_b39e72286fda4bb1bc103f3a09099c07"/>
                <w:id w:val="-462119422"/>
                <w:lock w:val="sdtLocked"/>
              </w:sdtPr>
              <w:sdtEndPr/>
              <w:sdtContent>
                <w:tc>
                  <w:tcPr>
                    <w:tcW w:w="1775" w:type="pct"/>
                  </w:tcPr>
                  <w:p w14:paraId="0DB1163F" w14:textId="77777777" w:rsidR="00471D53" w:rsidRDefault="004F686E">
                    <w:pPr>
                      <w:ind w:right="6"/>
                      <w:rPr>
                        <w:b/>
                        <w:bCs/>
                        <w:szCs w:val="21"/>
                      </w:rPr>
                    </w:pPr>
                    <w:r>
                      <w:rPr>
                        <w:rFonts w:hint="eastAsia"/>
                        <w:szCs w:val="21"/>
                      </w:rPr>
                      <w:t>当期所得税费用</w:t>
                    </w:r>
                  </w:p>
                </w:tc>
              </w:sdtContent>
            </w:sdt>
            <w:tc>
              <w:tcPr>
                <w:tcW w:w="1617" w:type="pct"/>
                <w:vAlign w:val="center"/>
              </w:tcPr>
              <w:p w14:paraId="0F529872" w14:textId="77777777" w:rsidR="00471D53" w:rsidRDefault="004F686E" w:rsidP="00471D53">
                <w:pPr>
                  <w:spacing w:line="300" w:lineRule="exact"/>
                  <w:jc w:val="right"/>
                  <w:rPr>
                    <w:sz w:val="22"/>
                    <w:szCs w:val="22"/>
                  </w:rPr>
                </w:pPr>
                <w:r w:rsidRPr="007D6F43">
                  <w:rPr>
                    <w:sz w:val="22"/>
                    <w:szCs w:val="22"/>
                  </w:rPr>
                  <w:t>1,616,001.45</w:t>
                </w:r>
              </w:p>
            </w:tc>
            <w:tc>
              <w:tcPr>
                <w:tcW w:w="1608" w:type="pct"/>
                <w:vAlign w:val="center"/>
              </w:tcPr>
              <w:p w14:paraId="6EAF0B61" w14:textId="77777777" w:rsidR="00471D53" w:rsidRDefault="004F686E" w:rsidP="00471D53">
                <w:pPr>
                  <w:spacing w:line="300" w:lineRule="exact"/>
                  <w:jc w:val="right"/>
                  <w:rPr>
                    <w:sz w:val="22"/>
                    <w:szCs w:val="22"/>
                  </w:rPr>
                </w:pPr>
                <w:r w:rsidRPr="0053740B">
                  <w:rPr>
                    <w:sz w:val="22"/>
                    <w:szCs w:val="22"/>
                  </w:rPr>
                  <w:t>849,998.08</w:t>
                </w:r>
              </w:p>
            </w:tc>
          </w:tr>
          <w:tr w:rsidR="00471D53" w14:paraId="71371D0B" w14:textId="77777777" w:rsidTr="00471D53">
            <w:sdt>
              <w:sdtPr>
                <w:tag w:val="_PLD_50b3fec6faac445b9c252906a5bcf507"/>
                <w:id w:val="219490330"/>
                <w:lock w:val="sdtLocked"/>
              </w:sdtPr>
              <w:sdtEndPr/>
              <w:sdtContent>
                <w:tc>
                  <w:tcPr>
                    <w:tcW w:w="1775" w:type="pct"/>
                  </w:tcPr>
                  <w:p w14:paraId="5D827CBB" w14:textId="77777777" w:rsidR="00471D53" w:rsidRDefault="004F686E">
                    <w:pPr>
                      <w:ind w:right="6"/>
                      <w:rPr>
                        <w:szCs w:val="21"/>
                      </w:rPr>
                    </w:pPr>
                    <w:r>
                      <w:rPr>
                        <w:rFonts w:hint="eastAsia"/>
                        <w:szCs w:val="21"/>
                      </w:rPr>
                      <w:t>递延所得税费用</w:t>
                    </w:r>
                  </w:p>
                </w:tc>
              </w:sdtContent>
            </w:sdt>
            <w:tc>
              <w:tcPr>
                <w:tcW w:w="1617" w:type="pct"/>
                <w:vAlign w:val="center"/>
              </w:tcPr>
              <w:p w14:paraId="77846F76" w14:textId="77777777" w:rsidR="00471D53" w:rsidRDefault="004F686E" w:rsidP="00471D53">
                <w:pPr>
                  <w:spacing w:line="300" w:lineRule="exact"/>
                  <w:jc w:val="right"/>
                  <w:rPr>
                    <w:sz w:val="22"/>
                    <w:szCs w:val="22"/>
                  </w:rPr>
                </w:pPr>
                <w:r w:rsidRPr="007D6F43">
                  <w:rPr>
                    <w:sz w:val="22"/>
                    <w:szCs w:val="22"/>
                  </w:rPr>
                  <w:t>232,836.29</w:t>
                </w:r>
              </w:p>
            </w:tc>
            <w:tc>
              <w:tcPr>
                <w:tcW w:w="1608" w:type="pct"/>
                <w:vAlign w:val="center"/>
              </w:tcPr>
              <w:p w14:paraId="2EB502BF" w14:textId="77777777" w:rsidR="00471D53" w:rsidRDefault="004F686E" w:rsidP="00471D53">
                <w:pPr>
                  <w:spacing w:line="300" w:lineRule="exact"/>
                  <w:jc w:val="right"/>
                  <w:rPr>
                    <w:sz w:val="22"/>
                    <w:szCs w:val="22"/>
                  </w:rPr>
                </w:pPr>
                <w:r w:rsidRPr="0053740B">
                  <w:rPr>
                    <w:sz w:val="22"/>
                    <w:szCs w:val="22"/>
                  </w:rPr>
                  <w:t>140,697.27</w:t>
                </w:r>
              </w:p>
            </w:tc>
          </w:tr>
          <w:tr w:rsidR="00471D53" w14:paraId="263BA9EE" w14:textId="77777777" w:rsidTr="00471D53">
            <w:sdt>
              <w:sdtPr>
                <w:tag w:val="_PLD_10ad171e28bb4cf3957eba2cca611ce8"/>
                <w:id w:val="-977300090"/>
                <w:lock w:val="sdtLocked"/>
              </w:sdtPr>
              <w:sdtEndPr/>
              <w:sdtContent>
                <w:tc>
                  <w:tcPr>
                    <w:tcW w:w="1775" w:type="pct"/>
                  </w:tcPr>
                  <w:p w14:paraId="6A623005" w14:textId="77777777" w:rsidR="00471D53" w:rsidRDefault="004F686E">
                    <w:pPr>
                      <w:ind w:right="6"/>
                      <w:jc w:val="center"/>
                      <w:rPr>
                        <w:szCs w:val="21"/>
                      </w:rPr>
                    </w:pPr>
                    <w:r>
                      <w:rPr>
                        <w:rFonts w:hint="eastAsia"/>
                        <w:szCs w:val="21"/>
                      </w:rPr>
                      <w:t>合计</w:t>
                    </w:r>
                  </w:p>
                </w:tc>
              </w:sdtContent>
            </w:sdt>
            <w:tc>
              <w:tcPr>
                <w:tcW w:w="1617" w:type="pct"/>
                <w:vAlign w:val="center"/>
              </w:tcPr>
              <w:p w14:paraId="6AD5459B" w14:textId="77777777" w:rsidR="00471D53" w:rsidRPr="0089267A" w:rsidRDefault="004F686E" w:rsidP="00471D53">
                <w:pPr>
                  <w:spacing w:line="300" w:lineRule="exact"/>
                  <w:jc w:val="right"/>
                  <w:rPr>
                    <w:bCs/>
                    <w:sz w:val="22"/>
                    <w:szCs w:val="22"/>
                  </w:rPr>
                </w:pPr>
                <w:r w:rsidRPr="0089267A">
                  <w:rPr>
                    <w:bCs/>
                    <w:sz w:val="22"/>
                    <w:szCs w:val="22"/>
                  </w:rPr>
                  <w:t>1,848,837.74</w:t>
                </w:r>
              </w:p>
            </w:tc>
            <w:tc>
              <w:tcPr>
                <w:tcW w:w="1608" w:type="pct"/>
                <w:vAlign w:val="center"/>
              </w:tcPr>
              <w:p w14:paraId="12DC3DCD" w14:textId="77777777" w:rsidR="00471D53" w:rsidRPr="0089267A" w:rsidRDefault="004F686E" w:rsidP="00471D53">
                <w:pPr>
                  <w:spacing w:line="300" w:lineRule="exact"/>
                  <w:jc w:val="right"/>
                  <w:rPr>
                    <w:sz w:val="22"/>
                    <w:szCs w:val="22"/>
                  </w:rPr>
                </w:pPr>
                <w:r w:rsidRPr="0089267A">
                  <w:rPr>
                    <w:sz w:val="22"/>
                    <w:szCs w:val="22"/>
                  </w:rPr>
                  <w:t>990,695.35</w:t>
                </w:r>
              </w:p>
            </w:tc>
          </w:tr>
        </w:tbl>
        <w:p w14:paraId="59F2DBBD" w14:textId="77777777" w:rsidR="00471D53" w:rsidRDefault="00B664AF">
          <w:pPr>
            <w:rPr>
              <w:szCs w:val="21"/>
            </w:rPr>
          </w:pPr>
        </w:p>
        <w:p w14:paraId="54E4B80D" w14:textId="77777777" w:rsidR="00471D53" w:rsidRDefault="004F686E" w:rsidP="004F686E">
          <w:pPr>
            <w:pStyle w:val="afffff8"/>
            <w:numPr>
              <w:ilvl w:val="0"/>
              <w:numId w:val="88"/>
            </w:numPr>
            <w:rPr>
              <w:rFonts w:ascii="宋体" w:hAnsi="宋体"/>
              <w:szCs w:val="21"/>
            </w:rPr>
          </w:pPr>
          <w:r>
            <w:rPr>
              <w:rFonts w:ascii="宋体" w:hAnsi="宋体" w:hint="eastAsia"/>
              <w:szCs w:val="21"/>
            </w:rPr>
            <w:t>会计利润与</w:t>
          </w:r>
          <w:r>
            <w:rPr>
              <w:rFonts w:ascii="宋体" w:hAnsi="宋体" w:hint="eastAsia"/>
            </w:rPr>
            <w:t>所得税</w:t>
          </w:r>
          <w:r>
            <w:rPr>
              <w:rFonts w:ascii="宋体" w:hAnsi="宋体" w:hint="eastAsia"/>
              <w:szCs w:val="21"/>
            </w:rPr>
            <w:t>费用调整过程</w:t>
          </w:r>
        </w:p>
        <w:sdt>
          <w:sdtPr>
            <w:alias w:val="是否适用：会计利润与所得税费用调整过程[双击切换]"/>
            <w:tag w:val="_GBC_92a49ce6320645cc9101c809f426c9db"/>
            <w:id w:val="-1829901634"/>
            <w:lock w:val="sdtLocked"/>
            <w:placeholder>
              <w:docPart w:val="GBC22222222222222222222222222222"/>
            </w:placeholder>
          </w:sdtPr>
          <w:sdtEndPr/>
          <w:sdtContent>
            <w:p w14:paraId="6575B51E"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59B2F5F" w14:textId="57776D76" w:rsidR="00471D53" w:rsidRDefault="004F686E">
          <w:pPr>
            <w:jc w:val="right"/>
          </w:pPr>
          <w:r>
            <w:rPr>
              <w:rFonts w:hint="eastAsia"/>
            </w:rPr>
            <w:t>单位：</w:t>
          </w:r>
          <w:sdt>
            <w:sdtPr>
              <w:rPr>
                <w:rFonts w:hint="eastAsia"/>
              </w:rPr>
              <w:alias w:val="单位：会计利润与所得税费用调整过程"/>
              <w:tag w:val="_GBC_8b3d0d6296b944dcbc6077158d5eb7ca"/>
              <w:id w:val="-1697935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会计利润与所得税费用调整过程"/>
              <w:tag w:val="_GBC_f07b399def8f4b49bdebcbb56994fb61"/>
              <w:id w:val="-18893235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4A0" w:firstRow="1" w:lastRow="0" w:firstColumn="1" w:lastColumn="0" w:noHBand="0" w:noVBand="1"/>
          </w:tblPr>
          <w:tblGrid>
            <w:gridCol w:w="4267"/>
            <w:gridCol w:w="4552"/>
          </w:tblGrid>
          <w:tr w:rsidR="00471D53" w14:paraId="3F07D6C7" w14:textId="77777777" w:rsidTr="008A1E33">
            <w:sdt>
              <w:sdtPr>
                <w:tag w:val="_PLD_762c770e68ab4734ab4b1455db567f92"/>
                <w:id w:val="210240276"/>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458E0A44" w14:textId="77777777" w:rsidR="00471D53" w:rsidRDefault="004F686E">
                    <w:pPr>
                      <w:jc w:val="center"/>
                    </w:pPr>
                    <w:r>
                      <w:rPr>
                        <w:rFonts w:hint="eastAsia"/>
                      </w:rPr>
                      <w:t>项目</w:t>
                    </w:r>
                  </w:p>
                </w:tc>
              </w:sdtContent>
            </w:sdt>
            <w:sdt>
              <w:sdtPr>
                <w:tag w:val="_PLD_dbffde77b3344828a64e53b9962d0e3a"/>
                <w:id w:val="1879197725"/>
                <w:lock w:val="sdtLocked"/>
              </w:sdtPr>
              <w:sdtEndPr/>
              <w:sdtContent>
                <w:tc>
                  <w:tcPr>
                    <w:tcW w:w="2581" w:type="pct"/>
                    <w:tcBorders>
                      <w:top w:val="single" w:sz="4" w:space="0" w:color="auto"/>
                      <w:left w:val="single" w:sz="4" w:space="0" w:color="auto"/>
                      <w:bottom w:val="single" w:sz="4" w:space="0" w:color="auto"/>
                      <w:right w:val="single" w:sz="4" w:space="0" w:color="auto"/>
                    </w:tcBorders>
                    <w:shd w:val="clear" w:color="auto" w:fill="auto"/>
                    <w:hideMark/>
                  </w:tcPr>
                  <w:p w14:paraId="35F4B9EC" w14:textId="77777777" w:rsidR="00471D53" w:rsidRDefault="004F686E">
                    <w:pPr>
                      <w:jc w:val="center"/>
                    </w:pPr>
                    <w:r>
                      <w:rPr>
                        <w:rFonts w:hint="eastAsia"/>
                      </w:rPr>
                      <w:t>本期发生额</w:t>
                    </w:r>
                  </w:p>
                </w:tc>
              </w:sdtContent>
            </w:sdt>
          </w:tr>
          <w:tr w:rsidR="00471D53" w14:paraId="44F3FBB2" w14:textId="77777777" w:rsidTr="008A1E33">
            <w:sdt>
              <w:sdtPr>
                <w:tag w:val="_PLD_e49aa9df3fa0441889c07b63b32585c5"/>
                <w:id w:val="-1046221991"/>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2AC76723" w14:textId="77777777" w:rsidR="00471D53" w:rsidRDefault="004F686E">
                    <w:pPr>
                      <w:ind w:right="6"/>
                      <w:rPr>
                        <w:b/>
                        <w:bCs/>
                        <w:szCs w:val="21"/>
                      </w:rPr>
                    </w:pPr>
                    <w:r>
                      <w:rPr>
                        <w:rFonts w:hint="eastAsia"/>
                        <w:szCs w:val="21"/>
                      </w:rPr>
                      <w:t>利润总额</w:t>
                    </w:r>
                  </w:p>
                </w:tc>
              </w:sdtContent>
            </w:sdt>
            <w:tc>
              <w:tcPr>
                <w:tcW w:w="2581" w:type="pct"/>
                <w:tcBorders>
                  <w:top w:val="single" w:sz="4" w:space="0" w:color="auto"/>
                  <w:left w:val="single" w:sz="4" w:space="0" w:color="auto"/>
                  <w:bottom w:val="single" w:sz="6" w:space="0" w:color="auto"/>
                  <w:right w:val="single" w:sz="6" w:space="0" w:color="auto"/>
                </w:tcBorders>
                <w:shd w:val="clear" w:color="auto" w:fill="auto"/>
              </w:tcPr>
              <w:p w14:paraId="05165628" w14:textId="77777777" w:rsidR="00471D53" w:rsidRDefault="004F686E">
                <w:pPr>
                  <w:jc w:val="right"/>
                </w:pPr>
                <w:r w:rsidRPr="00C67F26">
                  <w:rPr>
                    <w:sz w:val="22"/>
                    <w:szCs w:val="22"/>
                  </w:rPr>
                  <w:t>1,230,076.37</w:t>
                </w:r>
              </w:p>
            </w:tc>
          </w:tr>
          <w:tr w:rsidR="00471D53" w14:paraId="191F6443" w14:textId="77777777" w:rsidTr="008A1E33">
            <w:sdt>
              <w:sdtPr>
                <w:tag w:val="_PLD_bcfd0d413e444c6f881fc95e048d73ce"/>
                <w:id w:val="386612926"/>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5F0BBA39" w14:textId="77777777" w:rsidR="00471D53" w:rsidRDefault="004F686E">
                    <w:pPr>
                      <w:ind w:right="6"/>
                    </w:pPr>
                    <w:r>
                      <w:rPr>
                        <w:rFonts w:hint="eastAsia"/>
                      </w:rPr>
                      <w:t>按法定</w:t>
                    </w:r>
                    <w:r>
                      <w:t>/</w:t>
                    </w:r>
                    <w:r>
                      <w:rPr>
                        <w:rFonts w:hint="eastAsia"/>
                      </w:rPr>
                      <w:t>适用税率计算的所得税费用</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14:paraId="4C4F4BE5" w14:textId="77777777" w:rsidR="00471D53" w:rsidRDefault="004F686E">
                <w:pPr>
                  <w:jc w:val="right"/>
                </w:pPr>
                <w:r w:rsidRPr="00C67F26">
                  <w:rPr>
                    <w:sz w:val="22"/>
                    <w:szCs w:val="22"/>
                  </w:rPr>
                  <w:t>307,519.09</w:t>
                </w:r>
              </w:p>
            </w:tc>
          </w:tr>
          <w:tr w:rsidR="00471D53" w14:paraId="03FCDE9E" w14:textId="77777777" w:rsidTr="00471D53">
            <w:trPr>
              <w:trHeight w:val="139"/>
            </w:trPr>
            <w:sdt>
              <w:sdtPr>
                <w:tag w:val="_PLD_dc5f6e856113456cb1312b5cf234201d"/>
                <w:id w:val="1290390381"/>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64563089" w14:textId="77777777" w:rsidR="00471D53" w:rsidRDefault="004F686E">
                    <w:pPr>
                      <w:ind w:right="6"/>
                    </w:pPr>
                    <w:r>
                      <w:rPr>
                        <w:rFonts w:hint="eastAsia"/>
                      </w:rPr>
                      <w:t>子公司适用不同税率的影响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vAlign w:val="center"/>
              </w:tcPr>
              <w:p w14:paraId="4D424FD1" w14:textId="77777777" w:rsidR="00471D53" w:rsidRDefault="004F686E" w:rsidP="00471D53">
                <w:pPr>
                  <w:jc w:val="right"/>
                  <w:rPr>
                    <w:sz w:val="22"/>
                    <w:szCs w:val="22"/>
                  </w:rPr>
                </w:pPr>
                <w:r w:rsidRPr="003F7938">
                  <w:rPr>
                    <w:sz w:val="22"/>
                    <w:szCs w:val="22"/>
                  </w:rPr>
                  <w:t>-1,456,346.76</w:t>
                </w:r>
              </w:p>
            </w:tc>
          </w:tr>
          <w:tr w:rsidR="00471D53" w14:paraId="5E799AA5" w14:textId="77777777" w:rsidTr="00471D53">
            <w:sdt>
              <w:sdtPr>
                <w:tag w:val="_PLD_a18b0f1e64674563b277a2e43b991ab6"/>
                <w:id w:val="2044633630"/>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16F51723" w14:textId="77777777" w:rsidR="00471D53" w:rsidRDefault="004F686E">
                    <w:pPr>
                      <w:ind w:right="6"/>
                    </w:pPr>
                    <w:r>
                      <w:rPr>
                        <w:rFonts w:hint="eastAsia"/>
                      </w:rPr>
                      <w:t>调整以前期间所得税的影响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vAlign w:val="center"/>
              </w:tcPr>
              <w:p w14:paraId="2CA559FA" w14:textId="77777777" w:rsidR="00471D53" w:rsidRDefault="004F686E" w:rsidP="00471D53">
                <w:pPr>
                  <w:jc w:val="right"/>
                  <w:rPr>
                    <w:sz w:val="22"/>
                    <w:szCs w:val="22"/>
                  </w:rPr>
                </w:pPr>
                <w:r w:rsidRPr="00C67F26">
                  <w:rPr>
                    <w:sz w:val="22"/>
                    <w:szCs w:val="22"/>
                  </w:rPr>
                  <w:t>205,238.02</w:t>
                </w:r>
              </w:p>
            </w:tc>
          </w:tr>
          <w:tr w:rsidR="00471D53" w14:paraId="7554D6FE" w14:textId="77777777" w:rsidTr="008A1E33">
            <w:sdt>
              <w:sdtPr>
                <w:tag w:val="_PLD_451dd13012144866aaf62c35812344d7"/>
                <w:id w:val="-1048834718"/>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7A2E8913" w14:textId="77777777" w:rsidR="00471D53" w:rsidRDefault="004F686E">
                    <w:pPr>
                      <w:ind w:right="6"/>
                    </w:pPr>
                    <w:r>
                      <w:rPr>
                        <w:rFonts w:hint="eastAsia"/>
                      </w:rPr>
                      <w:t>非应税收入的影响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14:paraId="4695A12B" w14:textId="77777777" w:rsidR="00471D53" w:rsidRDefault="004F686E">
                <w:pPr>
                  <w:jc w:val="right"/>
                </w:pPr>
                <w:r w:rsidRPr="007D6F43">
                  <w:rPr>
                    <w:sz w:val="22"/>
                    <w:szCs w:val="22"/>
                  </w:rPr>
                  <w:t>-529,814.87</w:t>
                </w:r>
              </w:p>
            </w:tc>
          </w:tr>
          <w:tr w:rsidR="00471D53" w14:paraId="53C8A5D6" w14:textId="77777777" w:rsidTr="008A1E33">
            <w:sdt>
              <w:sdtPr>
                <w:tag w:val="_PLD_0906044dc7ff47d6ba8d4be46514c623"/>
                <w:id w:val="-965038207"/>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52C8CF73" w14:textId="77777777" w:rsidR="00471D53" w:rsidRDefault="004F686E">
                    <w:pPr>
                      <w:ind w:right="6"/>
                    </w:pPr>
                    <w:r>
                      <w:rPr>
                        <w:rFonts w:hint="eastAsia"/>
                      </w:rPr>
                      <w:t>不可抵扣的成本、费用和损失的影响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14:paraId="66D6A6C4" w14:textId="77777777" w:rsidR="00471D53" w:rsidRDefault="004F686E">
                <w:pPr>
                  <w:jc w:val="right"/>
                </w:pPr>
                <w:r w:rsidRPr="003F7938">
                  <w:rPr>
                    <w:sz w:val="22"/>
                    <w:szCs w:val="22"/>
                  </w:rPr>
                  <w:t>86,221.10</w:t>
                </w:r>
              </w:p>
            </w:tc>
          </w:tr>
          <w:tr w:rsidR="00471D53" w14:paraId="01D478BD" w14:textId="77777777" w:rsidTr="008A1E33">
            <w:sdt>
              <w:sdtPr>
                <w:tag w:val="_PLD_958280e6456341698f323fb9f71bf973"/>
                <w:id w:val="1064760842"/>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538EED84" w14:textId="77777777" w:rsidR="00471D53" w:rsidRDefault="004F686E">
                    <w:pPr>
                      <w:ind w:right="6"/>
                    </w:pPr>
                    <w:r>
                      <w:rPr>
                        <w:rFonts w:hint="eastAsia"/>
                      </w:rPr>
                      <w:t>使用前期未确认递延所得税资产的可抵扣亏损的影响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14:paraId="4879C056" w14:textId="77777777" w:rsidR="00471D53" w:rsidRDefault="004F686E">
                <w:pPr>
                  <w:jc w:val="right"/>
                </w:pPr>
                <w:r w:rsidRPr="003F7938">
                  <w:rPr>
                    <w:sz w:val="22"/>
                    <w:szCs w:val="22"/>
                  </w:rPr>
                  <w:t>-710,085.89</w:t>
                </w:r>
              </w:p>
            </w:tc>
          </w:tr>
          <w:tr w:rsidR="00471D53" w14:paraId="4B7B014E" w14:textId="77777777" w:rsidTr="008A1E33">
            <w:sdt>
              <w:sdtPr>
                <w:tag w:val="_PLD_ba3d89f087964402b8cb1b2a58f5d0ba"/>
                <w:id w:val="970246148"/>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4F28A7CD" w14:textId="77777777" w:rsidR="00471D53" w:rsidRDefault="004F686E">
                    <w:pPr>
                      <w:ind w:right="6"/>
                    </w:pPr>
                    <w:r>
                      <w:rPr>
                        <w:rFonts w:hint="eastAsia"/>
                      </w:rPr>
                      <w:t>本期未确认递延所得税资产的可抵扣暂时性差异或可抵扣亏损的影响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14:paraId="45438CBD" w14:textId="77777777" w:rsidR="00471D53" w:rsidRDefault="004F686E">
                <w:pPr>
                  <w:jc w:val="right"/>
                </w:pPr>
                <w:r w:rsidRPr="003F7938">
                  <w:rPr>
                    <w:sz w:val="22"/>
                    <w:szCs w:val="22"/>
                  </w:rPr>
                  <w:t>3,946,107.05</w:t>
                </w:r>
              </w:p>
            </w:tc>
          </w:tr>
          <w:sdt>
            <w:sdtPr>
              <w:alias w:val="会计利润与所得税费用调整过程明细"/>
              <w:tag w:val="_GBC_60d81dc4e69b413a8b1a7ba0bc4ad0f0"/>
              <w:id w:val="-1649360784"/>
              <w:lock w:val="sdtLocked"/>
            </w:sdtPr>
            <w:sdtEndPr/>
            <w:sdtContent>
              <w:tr w:rsidR="00471D53" w14:paraId="331A52A3" w14:textId="77777777" w:rsidTr="008A1E33">
                <w:tc>
                  <w:tcPr>
                    <w:tcW w:w="2419" w:type="pct"/>
                    <w:tcBorders>
                      <w:top w:val="single" w:sz="4" w:space="0" w:color="auto"/>
                      <w:left w:val="single" w:sz="6" w:space="0" w:color="auto"/>
                      <w:bottom w:val="single" w:sz="6" w:space="0" w:color="auto"/>
                      <w:right w:val="single" w:sz="6" w:space="0" w:color="auto"/>
                    </w:tcBorders>
                    <w:shd w:val="clear" w:color="auto" w:fill="auto"/>
                    <w:vAlign w:val="center"/>
                    <w:hideMark/>
                  </w:tcPr>
                  <w:p w14:paraId="48EDF496" w14:textId="77777777" w:rsidR="00471D53" w:rsidRDefault="00B664AF"/>
                </w:tc>
                <w:tc>
                  <w:tcPr>
                    <w:tcW w:w="2581" w:type="pct"/>
                    <w:tcBorders>
                      <w:top w:val="single" w:sz="6" w:space="0" w:color="auto"/>
                      <w:left w:val="single" w:sz="6" w:space="0" w:color="auto"/>
                      <w:bottom w:val="single" w:sz="6" w:space="0" w:color="auto"/>
                      <w:right w:val="single" w:sz="6" w:space="0" w:color="auto"/>
                    </w:tcBorders>
                    <w:shd w:val="clear" w:color="auto" w:fill="auto"/>
                  </w:tcPr>
                  <w:p w14:paraId="6BCD03DE" w14:textId="77777777" w:rsidR="00471D53" w:rsidRDefault="00B664AF">
                    <w:pPr>
                      <w:jc w:val="right"/>
                    </w:pPr>
                  </w:p>
                </w:tc>
              </w:tr>
            </w:sdtContent>
          </w:sdt>
          <w:sdt>
            <w:sdtPr>
              <w:alias w:val="会计利润与所得税费用调整过程明细"/>
              <w:tag w:val="_GBC_60d81dc4e69b413a8b1a7ba0bc4ad0f0"/>
              <w:id w:val="-574827374"/>
              <w:lock w:val="sdtLocked"/>
            </w:sdtPr>
            <w:sdtEndPr/>
            <w:sdtContent>
              <w:tr w:rsidR="00471D53" w14:paraId="0740F056" w14:textId="77777777" w:rsidTr="008A1E33">
                <w:tc>
                  <w:tcPr>
                    <w:tcW w:w="2419" w:type="pct"/>
                    <w:tcBorders>
                      <w:top w:val="single" w:sz="4" w:space="0" w:color="auto"/>
                      <w:left w:val="single" w:sz="6" w:space="0" w:color="auto"/>
                      <w:bottom w:val="single" w:sz="6" w:space="0" w:color="auto"/>
                      <w:right w:val="single" w:sz="6" w:space="0" w:color="auto"/>
                    </w:tcBorders>
                    <w:shd w:val="clear" w:color="auto" w:fill="auto"/>
                    <w:vAlign w:val="center"/>
                    <w:hideMark/>
                  </w:tcPr>
                  <w:p w14:paraId="4476CDEB" w14:textId="77777777" w:rsidR="00471D53" w:rsidRDefault="00B664AF"/>
                </w:tc>
                <w:tc>
                  <w:tcPr>
                    <w:tcW w:w="2581" w:type="pct"/>
                    <w:tcBorders>
                      <w:top w:val="single" w:sz="6" w:space="0" w:color="auto"/>
                      <w:left w:val="single" w:sz="6" w:space="0" w:color="auto"/>
                      <w:bottom w:val="single" w:sz="6" w:space="0" w:color="auto"/>
                      <w:right w:val="single" w:sz="6" w:space="0" w:color="auto"/>
                    </w:tcBorders>
                    <w:shd w:val="clear" w:color="auto" w:fill="auto"/>
                  </w:tcPr>
                  <w:p w14:paraId="1CC6874A" w14:textId="77777777" w:rsidR="00471D53" w:rsidRDefault="00B664AF">
                    <w:pPr>
                      <w:jc w:val="right"/>
                    </w:pPr>
                  </w:p>
                </w:tc>
              </w:tr>
            </w:sdtContent>
          </w:sdt>
          <w:tr w:rsidR="00471D53" w:rsidRPr="00D4168B" w14:paraId="5A6D8808" w14:textId="77777777" w:rsidTr="008A1E33">
            <w:sdt>
              <w:sdtPr>
                <w:tag w:val="_PLD_2fe3b63863164c92a5502c41abff42f1"/>
                <w:id w:val="1606236121"/>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6F460F64" w14:textId="77777777" w:rsidR="00471D53" w:rsidRDefault="004F686E">
                    <w:r>
                      <w:rPr>
                        <w:rFonts w:hint="eastAsia"/>
                      </w:rPr>
                      <w:t>所得税费用</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14:paraId="4C7FB5C8" w14:textId="77777777" w:rsidR="00471D53" w:rsidRPr="00D4168B" w:rsidRDefault="004F686E">
                <w:pPr>
                  <w:jc w:val="right"/>
                </w:pPr>
                <w:r w:rsidRPr="00D4168B">
                  <w:rPr>
                    <w:bCs/>
                    <w:sz w:val="22"/>
                    <w:szCs w:val="22"/>
                  </w:rPr>
                  <w:t>1,848,837.74</w:t>
                </w:r>
              </w:p>
            </w:tc>
          </w:tr>
        </w:tbl>
        <w:p w14:paraId="37087499" w14:textId="77777777" w:rsidR="00471D53" w:rsidRDefault="00B664AF">
          <w:pPr>
            <w:rPr>
              <w:szCs w:val="21"/>
            </w:rPr>
          </w:pPr>
        </w:p>
        <w:p w14:paraId="5A6DD551" w14:textId="77777777" w:rsidR="00471D53" w:rsidRDefault="004F686E">
          <w:pPr>
            <w:spacing w:before="60" w:after="60"/>
            <w:rPr>
              <w:szCs w:val="21"/>
            </w:rPr>
          </w:pPr>
          <w:r>
            <w:rPr>
              <w:rFonts w:hint="eastAsia"/>
              <w:szCs w:val="21"/>
            </w:rPr>
            <w:t>其他说明：</w:t>
          </w:r>
        </w:p>
        <w:sdt>
          <w:sdtPr>
            <w:rPr>
              <w:szCs w:val="21"/>
            </w:rPr>
            <w:alias w:val="是否适用：所得税费用的说明[双击切换]"/>
            <w:tag w:val="_GBC_0363d79a647b4d96aa5d7b72c93b1e45"/>
            <w:id w:val="-574355324"/>
            <w:lock w:val="sdtLocked"/>
            <w:placeholder>
              <w:docPart w:val="GBC22222222222222222222222222222"/>
            </w:placeholder>
          </w:sdtPr>
          <w:sdtEndPr/>
          <w:sdtContent>
            <w:p w14:paraId="429D660F" w14:textId="77777777" w:rsidR="00471D53" w:rsidRDefault="004F686E" w:rsidP="00471D53">
              <w:pPr>
                <w:spacing w:before="60" w:after="60"/>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14:paraId="5A09583A" w14:textId="77777777" w:rsidR="00471D53" w:rsidRDefault="00B664AF">
      <w:pPr>
        <w:rPr>
          <w:b/>
        </w:rPr>
      </w:pPr>
    </w:p>
    <w:sdt>
      <w:sdtPr>
        <w:rPr>
          <w:rFonts w:ascii="宋体" w:hAnsi="宋体" w:cs="宋体" w:hint="eastAsia"/>
          <w:b w:val="0"/>
          <w:bCs w:val="0"/>
          <w:kern w:val="0"/>
          <w:szCs w:val="21"/>
        </w:rPr>
        <w:alias w:val="模块:其他综合收益"/>
        <w:tag w:val="_GBC_a490950b62a146d9901e0aeb01787f97"/>
        <w:id w:val="-1285266694"/>
        <w:lock w:val="sdtLocked"/>
        <w:placeholder>
          <w:docPart w:val="GBC22222222222222222222222222222"/>
        </w:placeholder>
      </w:sdtPr>
      <w:sdtEndPr/>
      <w:sdtContent>
        <w:p w14:paraId="338A8CF3"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bef6c47936994e5e94c77d5dd812be30"/>
            <w:id w:val="-2124222290"/>
            <w:lock w:val="sdtLocked"/>
            <w:placeholder>
              <w:docPart w:val="GBC22222222222222222222222222222"/>
            </w:placeholder>
          </w:sdtPr>
          <w:sdtEndPr/>
          <w:sdtContent>
            <w:p w14:paraId="654E24FC"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0E5A95F" w14:textId="77777777" w:rsidR="00471D53" w:rsidRDefault="00B664AF">
          <w:sdt>
            <w:sdtPr>
              <w:rPr>
                <w:rFonts w:hint="eastAsia"/>
                <w:szCs w:val="21"/>
              </w:rPr>
              <w:alias w:val="其他综合收益详见附注"/>
              <w:tag w:val="_GBC_6f59ae7e2b78472ea4fa736cbb8f062d"/>
              <w:id w:val="-1493170753"/>
              <w:lock w:val="sdtLocked"/>
              <w:placeholder>
                <w:docPart w:val="GBC22222222222222222222222222222"/>
              </w:placeholder>
            </w:sdtPr>
            <w:sdtEndPr/>
            <w:sdtContent>
              <w:r w:rsidR="004F686E">
                <w:rPr>
                  <w:rFonts w:hint="eastAsia"/>
                  <w:szCs w:val="21"/>
                </w:rPr>
                <w:t>详见附注</w:t>
              </w:r>
            </w:sdtContent>
          </w:sdt>
        </w:p>
      </w:sdtContent>
    </w:sdt>
    <w:p w14:paraId="7E2CE66E" w14:textId="77777777" w:rsidR="00471D53" w:rsidRDefault="00B664AF"/>
    <w:p w14:paraId="1B90FA81"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现金流量表项目</w:t>
      </w:r>
    </w:p>
    <w:sdt>
      <w:sdtPr>
        <w:rPr>
          <w:rFonts w:ascii="宋体" w:hAnsi="宋体" w:cs="宋体" w:hint="eastAsia"/>
          <w:b w:val="0"/>
          <w:bCs w:val="0"/>
          <w:kern w:val="0"/>
          <w:sz w:val="24"/>
          <w:szCs w:val="21"/>
        </w:rPr>
        <w:alias w:val="模块:收到的其他与经营活动有关的现金"/>
        <w:tag w:val="_GBC_aebbed0d25f14d50b64339a751dec4bd"/>
        <w:id w:val="1486198664"/>
        <w:lock w:val="sdtLocked"/>
        <w:placeholder>
          <w:docPart w:val="GBC22222222222222222222222222222"/>
        </w:placeholder>
      </w:sdtPr>
      <w:sdtEndPr>
        <w:rPr>
          <w:rFonts w:cstheme="minorBidi" w:hint="default"/>
          <w:kern w:val="2"/>
          <w:sz w:val="21"/>
        </w:rPr>
      </w:sdtEndPr>
      <w:sdtContent>
        <w:p w14:paraId="23E6FA1C" w14:textId="77777777" w:rsidR="00471D53" w:rsidRDefault="004F686E" w:rsidP="004F686E">
          <w:pPr>
            <w:pStyle w:val="afffff8"/>
            <w:numPr>
              <w:ilvl w:val="0"/>
              <w:numId w:val="89"/>
            </w:numPr>
            <w:tabs>
              <w:tab w:val="left" w:pos="700"/>
            </w:tabs>
            <w:rPr>
              <w:rFonts w:ascii="宋体" w:hAnsi="宋体"/>
              <w:szCs w:val="21"/>
            </w:rPr>
          </w:pPr>
          <w:r>
            <w:rPr>
              <w:rFonts w:ascii="宋体" w:hAnsi="宋体" w:hint="eastAsia"/>
              <w:szCs w:val="21"/>
            </w:rPr>
            <w:t>收到的其他与经营活动有关的现金</w:t>
          </w:r>
        </w:p>
        <w:sdt>
          <w:sdtPr>
            <w:alias w:val="是否适用：收到的其他与经营活动有关的现金[双击切换]"/>
            <w:tag w:val="_GBC_c5c1fd7856fd40f88e814da378eb1220"/>
            <w:id w:val="1604302685"/>
            <w:lock w:val="sdtLocked"/>
          </w:sdtPr>
          <w:sdtEndPr/>
          <w:sdtContent>
            <w:p w14:paraId="6F15D671"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A6D250C" w14:textId="1BCCDD35" w:rsidR="00471D53" w:rsidRDefault="004F686E">
          <w:pPr>
            <w:jc w:val="right"/>
            <w:rPr>
              <w:szCs w:val="21"/>
            </w:rPr>
          </w:pPr>
          <w:r>
            <w:rPr>
              <w:rFonts w:hint="eastAsia"/>
              <w:szCs w:val="21"/>
            </w:rPr>
            <w:t>单位：</w:t>
          </w:r>
          <w:sdt>
            <w:sdtPr>
              <w:rPr>
                <w:rFonts w:hint="eastAsia"/>
                <w:szCs w:val="21"/>
              </w:rPr>
              <w:alias w:val="单位：财务附注：收到的其他与经营活动有关的现金"/>
              <w:tag w:val="_GBC_5ccae82b68484e708f12fda90762616a"/>
              <w:id w:val="-1051840253"/>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收到的其他与经营活动有关的现金"/>
              <w:tag w:val="_GBC_fab1e143b1314991a3aebb857ed68a09"/>
              <w:id w:val="-1900051019"/>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21"/>
            <w:gridCol w:w="2756"/>
            <w:gridCol w:w="2746"/>
          </w:tblGrid>
          <w:tr w:rsidR="00471D53" w14:paraId="70F13E64" w14:textId="77777777" w:rsidTr="00471D53">
            <w:sdt>
              <w:sdtPr>
                <w:tag w:val="_PLD_37a08d49f8e14506929ae8c9544c259e"/>
                <w:id w:val="-569198271"/>
                <w:lock w:val="sdtLocked"/>
              </w:sdtPr>
              <w:sdtEndPr/>
              <w:sdtContent>
                <w:tc>
                  <w:tcPr>
                    <w:tcW w:w="1882" w:type="pct"/>
                  </w:tcPr>
                  <w:p w14:paraId="0523D6D2" w14:textId="77777777" w:rsidR="00471D53" w:rsidRDefault="004F686E" w:rsidP="00471D53">
                    <w:pPr>
                      <w:autoSpaceDE w:val="0"/>
                      <w:autoSpaceDN w:val="0"/>
                      <w:adjustRightInd w:val="0"/>
                      <w:snapToGrid w:val="0"/>
                      <w:spacing w:line="240" w:lineRule="atLeast"/>
                      <w:jc w:val="center"/>
                      <w:rPr>
                        <w:szCs w:val="21"/>
                      </w:rPr>
                    </w:pPr>
                    <w:r>
                      <w:rPr>
                        <w:rFonts w:hint="eastAsia"/>
                        <w:szCs w:val="21"/>
                      </w:rPr>
                      <w:t>项目</w:t>
                    </w:r>
                  </w:p>
                </w:tc>
              </w:sdtContent>
            </w:sdt>
            <w:sdt>
              <w:sdtPr>
                <w:tag w:val="_PLD_f6cb8d17057e4de79000a7b7c263b07e"/>
                <w:id w:val="1239593021"/>
                <w:lock w:val="sdtLocked"/>
              </w:sdtPr>
              <w:sdtEndPr/>
              <w:sdtContent>
                <w:tc>
                  <w:tcPr>
                    <w:tcW w:w="1562" w:type="pct"/>
                  </w:tcPr>
                  <w:p w14:paraId="772A906E" w14:textId="77777777" w:rsidR="00471D53" w:rsidRDefault="004F686E" w:rsidP="00471D53">
                    <w:pPr>
                      <w:autoSpaceDE w:val="0"/>
                      <w:autoSpaceDN w:val="0"/>
                      <w:adjustRightInd w:val="0"/>
                      <w:snapToGrid w:val="0"/>
                      <w:spacing w:line="240" w:lineRule="atLeast"/>
                      <w:jc w:val="center"/>
                      <w:rPr>
                        <w:szCs w:val="21"/>
                      </w:rPr>
                    </w:pPr>
                    <w:r>
                      <w:rPr>
                        <w:rFonts w:hint="eastAsia"/>
                      </w:rPr>
                      <w:t>本期发生额</w:t>
                    </w:r>
                  </w:p>
                </w:tc>
              </w:sdtContent>
            </w:sdt>
            <w:sdt>
              <w:sdtPr>
                <w:tag w:val="_PLD_28d6db3ec51c43eb8751b53e93c8f270"/>
                <w:id w:val="1736976257"/>
                <w:lock w:val="sdtLocked"/>
              </w:sdtPr>
              <w:sdtEndPr/>
              <w:sdtContent>
                <w:tc>
                  <w:tcPr>
                    <w:tcW w:w="1556" w:type="pct"/>
                  </w:tcPr>
                  <w:p w14:paraId="04A13E0A" w14:textId="77777777" w:rsidR="00471D53" w:rsidRDefault="004F686E" w:rsidP="00471D53">
                    <w:pPr>
                      <w:autoSpaceDE w:val="0"/>
                      <w:autoSpaceDN w:val="0"/>
                      <w:adjustRightInd w:val="0"/>
                      <w:snapToGrid w:val="0"/>
                      <w:spacing w:line="240" w:lineRule="atLeast"/>
                      <w:jc w:val="center"/>
                      <w:rPr>
                        <w:szCs w:val="21"/>
                      </w:rPr>
                    </w:pPr>
                    <w:r>
                      <w:rPr>
                        <w:rFonts w:hint="eastAsia"/>
                      </w:rPr>
                      <w:t>上期发生额</w:t>
                    </w:r>
                  </w:p>
                </w:tc>
              </w:sdtContent>
            </w:sdt>
          </w:tr>
          <w:sdt>
            <w:sdtPr>
              <w:rPr>
                <w:rFonts w:hint="eastAsia"/>
                <w:szCs w:val="21"/>
              </w:rPr>
              <w:alias w:val="收到的其他与经营活动有关的现金明细"/>
              <w:tag w:val="_GBC_339bc885f058400ca0c6b375c3f5b0d5"/>
              <w:id w:val="-1127317931"/>
              <w:lock w:val="sdtLocked"/>
            </w:sdtPr>
            <w:sdtEndPr/>
            <w:sdtContent>
              <w:tr w:rsidR="00471D53" w14:paraId="5647FDAA" w14:textId="77777777" w:rsidTr="00471D53">
                <w:tc>
                  <w:tcPr>
                    <w:tcW w:w="1882" w:type="pct"/>
                  </w:tcPr>
                  <w:p w14:paraId="71F3635C" w14:textId="77777777" w:rsidR="00471D53" w:rsidRDefault="004F686E" w:rsidP="00471D53">
                    <w:pPr>
                      <w:autoSpaceDE w:val="0"/>
                      <w:autoSpaceDN w:val="0"/>
                      <w:adjustRightInd w:val="0"/>
                      <w:snapToGrid w:val="0"/>
                      <w:spacing w:line="240" w:lineRule="atLeast"/>
                      <w:rPr>
                        <w:szCs w:val="21"/>
                      </w:rPr>
                    </w:pPr>
                    <w:r>
                      <w:t>收回保证金、押金及备用金</w:t>
                    </w:r>
                  </w:p>
                </w:tc>
                <w:tc>
                  <w:tcPr>
                    <w:tcW w:w="1562" w:type="pct"/>
                    <w:vAlign w:val="bottom"/>
                  </w:tcPr>
                  <w:p w14:paraId="2137A2F4" w14:textId="77777777" w:rsidR="00471D53" w:rsidRDefault="004F686E" w:rsidP="00471D53">
                    <w:pPr>
                      <w:jc w:val="right"/>
                      <w:rPr>
                        <w:szCs w:val="21"/>
                      </w:rPr>
                    </w:pPr>
                    <w:r>
                      <w:t>2,350,142.87</w:t>
                    </w:r>
                  </w:p>
                </w:tc>
                <w:tc>
                  <w:tcPr>
                    <w:tcW w:w="1556" w:type="pct"/>
                  </w:tcPr>
                  <w:p w14:paraId="6E733F15" w14:textId="77777777" w:rsidR="00471D53" w:rsidRDefault="004F686E" w:rsidP="00471D53">
                    <w:pPr>
                      <w:jc w:val="right"/>
                      <w:rPr>
                        <w:szCs w:val="21"/>
                      </w:rPr>
                    </w:pPr>
                    <w:r>
                      <w:t>5,965,567.85</w:t>
                    </w:r>
                  </w:p>
                </w:tc>
              </w:tr>
            </w:sdtContent>
          </w:sdt>
          <w:sdt>
            <w:sdtPr>
              <w:rPr>
                <w:rFonts w:hint="eastAsia"/>
                <w:szCs w:val="21"/>
              </w:rPr>
              <w:alias w:val="收到的其他与经营活动有关的现金明细"/>
              <w:tag w:val="_GBC_339bc885f058400ca0c6b375c3f5b0d5"/>
              <w:id w:val="-750427812"/>
              <w:lock w:val="sdtLocked"/>
            </w:sdtPr>
            <w:sdtEndPr/>
            <w:sdtContent>
              <w:tr w:rsidR="00471D53" w14:paraId="606AAF58" w14:textId="77777777" w:rsidTr="00471D53">
                <w:tc>
                  <w:tcPr>
                    <w:tcW w:w="1882" w:type="pct"/>
                  </w:tcPr>
                  <w:p w14:paraId="012CF555" w14:textId="77777777" w:rsidR="00471D53" w:rsidRDefault="004F686E" w:rsidP="00471D53">
                    <w:pPr>
                      <w:autoSpaceDE w:val="0"/>
                      <w:autoSpaceDN w:val="0"/>
                      <w:adjustRightInd w:val="0"/>
                      <w:snapToGrid w:val="0"/>
                      <w:spacing w:line="240" w:lineRule="atLeast"/>
                      <w:rPr>
                        <w:szCs w:val="21"/>
                      </w:rPr>
                    </w:pPr>
                    <w:r>
                      <w:t>利息收入</w:t>
                    </w:r>
                  </w:p>
                </w:tc>
                <w:tc>
                  <w:tcPr>
                    <w:tcW w:w="1562" w:type="pct"/>
                    <w:vAlign w:val="bottom"/>
                  </w:tcPr>
                  <w:p w14:paraId="34CC7E05" w14:textId="77777777" w:rsidR="00471D53" w:rsidRDefault="004F686E" w:rsidP="00471D53">
                    <w:pPr>
                      <w:jc w:val="right"/>
                      <w:rPr>
                        <w:szCs w:val="21"/>
                      </w:rPr>
                    </w:pPr>
                    <w:r>
                      <w:t>840,092.61</w:t>
                    </w:r>
                  </w:p>
                </w:tc>
                <w:tc>
                  <w:tcPr>
                    <w:tcW w:w="1556" w:type="pct"/>
                  </w:tcPr>
                  <w:p w14:paraId="240B4BE1" w14:textId="77777777" w:rsidR="00471D53" w:rsidRDefault="004F686E" w:rsidP="00471D53">
                    <w:pPr>
                      <w:jc w:val="right"/>
                      <w:rPr>
                        <w:szCs w:val="21"/>
                      </w:rPr>
                    </w:pPr>
                    <w:r>
                      <w:t>616,082.45</w:t>
                    </w:r>
                  </w:p>
                </w:tc>
              </w:tr>
            </w:sdtContent>
          </w:sdt>
          <w:sdt>
            <w:sdtPr>
              <w:rPr>
                <w:rFonts w:hint="eastAsia"/>
                <w:szCs w:val="21"/>
              </w:rPr>
              <w:alias w:val="收到的其他与经营活动有关的现金明细"/>
              <w:tag w:val="_GBC_339bc885f058400ca0c6b375c3f5b0d5"/>
              <w:id w:val="1494223339"/>
              <w:lock w:val="sdtLocked"/>
            </w:sdtPr>
            <w:sdtEndPr/>
            <w:sdtContent>
              <w:tr w:rsidR="00471D53" w14:paraId="7C13CE49" w14:textId="77777777" w:rsidTr="00471D53">
                <w:tc>
                  <w:tcPr>
                    <w:tcW w:w="1882" w:type="pct"/>
                  </w:tcPr>
                  <w:p w14:paraId="0E7F6CA7" w14:textId="77777777" w:rsidR="00471D53" w:rsidRDefault="004F686E" w:rsidP="00471D53">
                    <w:pPr>
                      <w:autoSpaceDE w:val="0"/>
                      <w:autoSpaceDN w:val="0"/>
                      <w:adjustRightInd w:val="0"/>
                      <w:snapToGrid w:val="0"/>
                      <w:spacing w:line="240" w:lineRule="atLeast"/>
                      <w:rPr>
                        <w:szCs w:val="21"/>
                      </w:rPr>
                    </w:pPr>
                    <w:r>
                      <w:t>政府补助</w:t>
                    </w:r>
                  </w:p>
                </w:tc>
                <w:tc>
                  <w:tcPr>
                    <w:tcW w:w="1562" w:type="pct"/>
                    <w:vAlign w:val="bottom"/>
                  </w:tcPr>
                  <w:p w14:paraId="4977FC10" w14:textId="77777777" w:rsidR="00471D53" w:rsidRDefault="004F686E" w:rsidP="00471D53">
                    <w:pPr>
                      <w:jc w:val="right"/>
                      <w:rPr>
                        <w:szCs w:val="21"/>
                      </w:rPr>
                    </w:pPr>
                    <w:r>
                      <w:t>6,056,712.01</w:t>
                    </w:r>
                  </w:p>
                </w:tc>
                <w:tc>
                  <w:tcPr>
                    <w:tcW w:w="1556" w:type="pct"/>
                  </w:tcPr>
                  <w:p w14:paraId="1B0DD0E6" w14:textId="77777777" w:rsidR="00471D53" w:rsidRDefault="004F686E" w:rsidP="00471D53">
                    <w:pPr>
                      <w:jc w:val="right"/>
                      <w:rPr>
                        <w:szCs w:val="21"/>
                      </w:rPr>
                    </w:pPr>
                    <w:r>
                      <w:t>5,912,883.76</w:t>
                    </w:r>
                  </w:p>
                </w:tc>
              </w:tr>
            </w:sdtContent>
          </w:sdt>
          <w:sdt>
            <w:sdtPr>
              <w:rPr>
                <w:rFonts w:hint="eastAsia"/>
                <w:szCs w:val="21"/>
              </w:rPr>
              <w:alias w:val="收到的其他与经营活动有关的现金明细"/>
              <w:tag w:val="_GBC_339bc885f058400ca0c6b375c3f5b0d5"/>
              <w:id w:val="-670716223"/>
              <w:lock w:val="sdtLocked"/>
            </w:sdtPr>
            <w:sdtEndPr/>
            <w:sdtContent>
              <w:tr w:rsidR="00471D53" w14:paraId="73548B17" w14:textId="77777777" w:rsidTr="00471D53">
                <w:tc>
                  <w:tcPr>
                    <w:tcW w:w="1882" w:type="pct"/>
                  </w:tcPr>
                  <w:p w14:paraId="03E586BE" w14:textId="77777777" w:rsidR="00471D53" w:rsidRDefault="004F686E" w:rsidP="00471D53">
                    <w:pPr>
                      <w:autoSpaceDE w:val="0"/>
                      <w:autoSpaceDN w:val="0"/>
                      <w:adjustRightInd w:val="0"/>
                      <w:snapToGrid w:val="0"/>
                      <w:spacing w:line="240" w:lineRule="atLeast"/>
                      <w:rPr>
                        <w:szCs w:val="21"/>
                      </w:rPr>
                    </w:pPr>
                    <w:r>
                      <w:t>往来款</w:t>
                    </w:r>
                  </w:p>
                </w:tc>
                <w:tc>
                  <w:tcPr>
                    <w:tcW w:w="1562" w:type="pct"/>
                    <w:vAlign w:val="bottom"/>
                  </w:tcPr>
                  <w:p w14:paraId="176ED7F4" w14:textId="77777777" w:rsidR="00471D53" w:rsidRDefault="004F686E" w:rsidP="00471D53">
                    <w:pPr>
                      <w:jc w:val="right"/>
                      <w:rPr>
                        <w:szCs w:val="21"/>
                      </w:rPr>
                    </w:pPr>
                    <w:r>
                      <w:t>2,559,675.75</w:t>
                    </w:r>
                  </w:p>
                </w:tc>
                <w:tc>
                  <w:tcPr>
                    <w:tcW w:w="1556" w:type="pct"/>
                  </w:tcPr>
                  <w:p w14:paraId="125F7692" w14:textId="77777777" w:rsidR="00471D53" w:rsidRDefault="004F686E" w:rsidP="00471D53">
                    <w:pPr>
                      <w:jc w:val="right"/>
                      <w:rPr>
                        <w:szCs w:val="21"/>
                      </w:rPr>
                    </w:pPr>
                    <w:r>
                      <w:t>5,874,539.28</w:t>
                    </w:r>
                  </w:p>
                </w:tc>
              </w:tr>
            </w:sdtContent>
          </w:sdt>
          <w:sdt>
            <w:sdtPr>
              <w:rPr>
                <w:rFonts w:hint="eastAsia"/>
                <w:szCs w:val="21"/>
              </w:rPr>
              <w:alias w:val="收到的其他与经营活动有关的现金明细"/>
              <w:tag w:val="_GBC_339bc885f058400ca0c6b375c3f5b0d5"/>
              <w:id w:val="-1822874832"/>
              <w:lock w:val="sdtLocked"/>
            </w:sdtPr>
            <w:sdtEndPr/>
            <w:sdtContent>
              <w:tr w:rsidR="00471D53" w14:paraId="7A895888" w14:textId="77777777" w:rsidTr="00471D53">
                <w:tc>
                  <w:tcPr>
                    <w:tcW w:w="1882" w:type="pct"/>
                  </w:tcPr>
                  <w:p w14:paraId="5CE31A6D" w14:textId="77777777" w:rsidR="00471D53" w:rsidRDefault="004F686E" w:rsidP="00471D53">
                    <w:pPr>
                      <w:autoSpaceDE w:val="0"/>
                      <w:autoSpaceDN w:val="0"/>
                      <w:adjustRightInd w:val="0"/>
                      <w:snapToGrid w:val="0"/>
                      <w:spacing w:line="240" w:lineRule="atLeast"/>
                      <w:rPr>
                        <w:szCs w:val="21"/>
                      </w:rPr>
                    </w:pPr>
                    <w:r>
                      <w:t>罚款</w:t>
                    </w:r>
                  </w:p>
                </w:tc>
                <w:tc>
                  <w:tcPr>
                    <w:tcW w:w="1562" w:type="pct"/>
                    <w:vAlign w:val="bottom"/>
                  </w:tcPr>
                  <w:p w14:paraId="0F79AD47" w14:textId="77777777" w:rsidR="00471D53" w:rsidRDefault="004F686E" w:rsidP="00471D53">
                    <w:pPr>
                      <w:jc w:val="right"/>
                      <w:rPr>
                        <w:szCs w:val="21"/>
                      </w:rPr>
                    </w:pPr>
                    <w:r>
                      <w:t>31,794.00</w:t>
                    </w:r>
                  </w:p>
                </w:tc>
                <w:tc>
                  <w:tcPr>
                    <w:tcW w:w="1556" w:type="pct"/>
                  </w:tcPr>
                  <w:p w14:paraId="49F942ED" w14:textId="77777777" w:rsidR="00471D53" w:rsidRDefault="004F686E" w:rsidP="00471D53">
                    <w:pPr>
                      <w:jc w:val="right"/>
                      <w:rPr>
                        <w:szCs w:val="21"/>
                      </w:rPr>
                    </w:pPr>
                    <w:r>
                      <w:t>66,116.65</w:t>
                    </w:r>
                  </w:p>
                </w:tc>
              </w:tr>
            </w:sdtContent>
          </w:sdt>
          <w:sdt>
            <w:sdtPr>
              <w:rPr>
                <w:rFonts w:hint="eastAsia"/>
                <w:szCs w:val="21"/>
              </w:rPr>
              <w:alias w:val="收到的其他与经营活动有关的现金明细"/>
              <w:tag w:val="_GBC_339bc885f058400ca0c6b375c3f5b0d5"/>
              <w:id w:val="1130280813"/>
              <w:lock w:val="sdtLocked"/>
            </w:sdtPr>
            <w:sdtEndPr/>
            <w:sdtContent>
              <w:tr w:rsidR="00471D53" w14:paraId="4EB84B2A" w14:textId="77777777" w:rsidTr="00471D53">
                <w:tc>
                  <w:tcPr>
                    <w:tcW w:w="1882" w:type="pct"/>
                  </w:tcPr>
                  <w:p w14:paraId="5CC7B4A7" w14:textId="77777777" w:rsidR="00471D53" w:rsidRDefault="004F686E" w:rsidP="00471D53">
                    <w:pPr>
                      <w:autoSpaceDE w:val="0"/>
                      <w:autoSpaceDN w:val="0"/>
                      <w:adjustRightInd w:val="0"/>
                      <w:snapToGrid w:val="0"/>
                      <w:spacing w:line="240" w:lineRule="atLeast"/>
                      <w:rPr>
                        <w:szCs w:val="21"/>
                      </w:rPr>
                    </w:pPr>
                    <w:r>
                      <w:t>其他</w:t>
                    </w:r>
                  </w:p>
                </w:tc>
                <w:tc>
                  <w:tcPr>
                    <w:tcW w:w="1562" w:type="pct"/>
                    <w:vAlign w:val="bottom"/>
                  </w:tcPr>
                  <w:p w14:paraId="746A4F5E" w14:textId="77777777" w:rsidR="00471D53" w:rsidRDefault="004F686E" w:rsidP="00471D53">
                    <w:pPr>
                      <w:jc w:val="right"/>
                      <w:rPr>
                        <w:szCs w:val="21"/>
                      </w:rPr>
                    </w:pPr>
                    <w:r>
                      <w:t>3,490,213.20</w:t>
                    </w:r>
                  </w:p>
                </w:tc>
                <w:tc>
                  <w:tcPr>
                    <w:tcW w:w="1556" w:type="pct"/>
                  </w:tcPr>
                  <w:p w14:paraId="2D73CE26" w14:textId="77777777" w:rsidR="00471D53" w:rsidRDefault="004F686E" w:rsidP="00471D53">
                    <w:pPr>
                      <w:jc w:val="right"/>
                      <w:rPr>
                        <w:szCs w:val="21"/>
                      </w:rPr>
                    </w:pPr>
                    <w:r>
                      <w:t>2,938,962.63</w:t>
                    </w:r>
                  </w:p>
                </w:tc>
              </w:tr>
            </w:sdtContent>
          </w:sdt>
          <w:tr w:rsidR="00471D53" w14:paraId="62E319D8" w14:textId="77777777" w:rsidTr="00471D53">
            <w:sdt>
              <w:sdtPr>
                <w:tag w:val="_PLD_68684c586fce4c6e95f718cded68b47c"/>
                <w:id w:val="842282159"/>
                <w:lock w:val="sdtLocked"/>
              </w:sdtPr>
              <w:sdtEndPr/>
              <w:sdtContent>
                <w:tc>
                  <w:tcPr>
                    <w:tcW w:w="1882" w:type="pct"/>
                  </w:tcPr>
                  <w:p w14:paraId="45A10EFE" w14:textId="77777777" w:rsidR="00471D53" w:rsidRDefault="004F686E" w:rsidP="00471D53">
                    <w:pPr>
                      <w:autoSpaceDE w:val="0"/>
                      <w:autoSpaceDN w:val="0"/>
                      <w:adjustRightInd w:val="0"/>
                      <w:snapToGrid w:val="0"/>
                      <w:spacing w:line="240" w:lineRule="atLeast"/>
                      <w:jc w:val="center"/>
                      <w:rPr>
                        <w:szCs w:val="21"/>
                      </w:rPr>
                    </w:pPr>
                    <w:r>
                      <w:rPr>
                        <w:rFonts w:hint="eastAsia"/>
                        <w:szCs w:val="21"/>
                      </w:rPr>
                      <w:t>合计</w:t>
                    </w:r>
                  </w:p>
                </w:tc>
              </w:sdtContent>
            </w:sdt>
            <w:tc>
              <w:tcPr>
                <w:tcW w:w="1562" w:type="pct"/>
                <w:vAlign w:val="bottom"/>
              </w:tcPr>
              <w:p w14:paraId="25927306" w14:textId="77777777" w:rsidR="00471D53" w:rsidRDefault="004F686E" w:rsidP="00471D53">
                <w:pPr>
                  <w:jc w:val="right"/>
                  <w:rPr>
                    <w:szCs w:val="21"/>
                  </w:rPr>
                </w:pPr>
                <w:r>
                  <w:t>15,328,630.44</w:t>
                </w:r>
              </w:p>
            </w:tc>
            <w:tc>
              <w:tcPr>
                <w:tcW w:w="1556" w:type="pct"/>
              </w:tcPr>
              <w:p w14:paraId="7E537602" w14:textId="77777777" w:rsidR="00471D53" w:rsidRDefault="004F686E" w:rsidP="00471D53">
                <w:pPr>
                  <w:jc w:val="right"/>
                  <w:rPr>
                    <w:szCs w:val="21"/>
                  </w:rPr>
                </w:pPr>
                <w:r>
                  <w:t>21,374,152.62</w:t>
                </w:r>
              </w:p>
            </w:tc>
          </w:tr>
        </w:tbl>
        <w:p w14:paraId="3D635BB2" w14:textId="77777777" w:rsidR="00471D53" w:rsidRDefault="00B664AF"/>
        <w:p w14:paraId="27C1888B" w14:textId="77777777" w:rsidR="00471D53" w:rsidRDefault="004F686E">
          <w:pPr>
            <w:snapToGrid w:val="0"/>
            <w:spacing w:before="60" w:after="60" w:line="240" w:lineRule="atLeast"/>
            <w:rPr>
              <w:szCs w:val="21"/>
            </w:rPr>
          </w:pPr>
          <w:r>
            <w:rPr>
              <w:rFonts w:hint="eastAsia"/>
              <w:szCs w:val="21"/>
            </w:rPr>
            <w:t>收到的其他与经营活动有关的现金说明：</w:t>
          </w:r>
        </w:p>
        <w:sdt>
          <w:sdtPr>
            <w:rPr>
              <w:szCs w:val="21"/>
            </w:rPr>
            <w:alias w:val="收到的其他与经营活动有关的现金说明"/>
            <w:tag w:val="_GBC_1204b17e37bf4cc187a1ffb6f9463f05"/>
            <w:id w:val="1648318718"/>
            <w:lock w:val="sdtLocked"/>
          </w:sdtPr>
          <w:sdtEndPr/>
          <w:sdtContent>
            <w:p w14:paraId="469FFDE9" w14:textId="77777777" w:rsidR="00471D53" w:rsidRDefault="004F686E">
              <w:pPr>
                <w:rPr>
                  <w:szCs w:val="21"/>
                </w:rPr>
              </w:pPr>
              <w:r>
                <w:rPr>
                  <w:rFonts w:hint="eastAsia"/>
                  <w:szCs w:val="21"/>
                </w:rPr>
                <w:t>无</w:t>
              </w:r>
            </w:p>
          </w:sdtContent>
        </w:sdt>
        <w:p w14:paraId="0674B92F" w14:textId="77777777" w:rsidR="00471D53" w:rsidRDefault="00B664AF">
          <w:pPr>
            <w:rPr>
              <w:szCs w:val="21"/>
            </w:rPr>
          </w:pPr>
        </w:p>
      </w:sdtContent>
    </w:sdt>
    <w:p w14:paraId="484D60B9" w14:textId="77777777" w:rsidR="00471D53" w:rsidRDefault="00B664AF">
      <w:pPr>
        <w:rPr>
          <w:szCs w:val="21"/>
        </w:rPr>
      </w:pPr>
    </w:p>
    <w:sdt>
      <w:sdtPr>
        <w:rPr>
          <w:rFonts w:ascii="宋体" w:hAnsi="宋体" w:cs="宋体" w:hint="eastAsia"/>
          <w:b w:val="0"/>
          <w:bCs w:val="0"/>
          <w:kern w:val="0"/>
          <w:sz w:val="24"/>
          <w:szCs w:val="21"/>
        </w:rPr>
        <w:alias w:val="模块:支付的其他与经营活动有关的现金"/>
        <w:tag w:val="_GBC_3c8453861c4b4e94956633ec6c228388"/>
        <w:id w:val="2142773094"/>
        <w:lock w:val="sdtLocked"/>
        <w:placeholder>
          <w:docPart w:val="GBC22222222222222222222222222222"/>
        </w:placeholder>
      </w:sdtPr>
      <w:sdtEndPr>
        <w:rPr>
          <w:rFonts w:cstheme="minorBidi"/>
          <w:kern w:val="2"/>
          <w:sz w:val="21"/>
        </w:rPr>
      </w:sdtEndPr>
      <w:sdtContent>
        <w:p w14:paraId="5B8485C7" w14:textId="77777777" w:rsidR="00471D53" w:rsidRDefault="004F686E" w:rsidP="004F686E">
          <w:pPr>
            <w:pStyle w:val="afffff8"/>
            <w:numPr>
              <w:ilvl w:val="0"/>
              <w:numId w:val="89"/>
            </w:numPr>
            <w:tabs>
              <w:tab w:val="left" w:pos="700"/>
            </w:tabs>
            <w:rPr>
              <w:rFonts w:ascii="宋体" w:hAnsi="宋体"/>
              <w:szCs w:val="21"/>
            </w:rPr>
          </w:pPr>
          <w:r>
            <w:rPr>
              <w:rFonts w:ascii="宋体" w:hAnsi="宋体" w:hint="eastAsia"/>
              <w:szCs w:val="21"/>
            </w:rPr>
            <w:t>支付的其他与经营活动有关的现金</w:t>
          </w:r>
        </w:p>
        <w:sdt>
          <w:sdtPr>
            <w:alias w:val="是否适用：支付的其他与经营活动有关的现金[双击切换]"/>
            <w:tag w:val="_GBC_73331002c48743d9a4438c6eb4a07c95"/>
            <w:id w:val="-1366832501"/>
            <w:lock w:val="sdtLocked"/>
          </w:sdtPr>
          <w:sdtEndPr/>
          <w:sdtContent>
            <w:p w14:paraId="060D04B4"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25261BF" w14:textId="5970ECAC" w:rsidR="00471D53" w:rsidRDefault="004F686E">
          <w:pPr>
            <w:jc w:val="right"/>
            <w:rPr>
              <w:szCs w:val="21"/>
            </w:rPr>
          </w:pPr>
          <w:r>
            <w:rPr>
              <w:rFonts w:hint="eastAsia"/>
              <w:szCs w:val="21"/>
            </w:rPr>
            <w:t>单位：</w:t>
          </w:r>
          <w:sdt>
            <w:sdtPr>
              <w:rPr>
                <w:rFonts w:hint="eastAsia"/>
                <w:szCs w:val="21"/>
              </w:rPr>
              <w:alias w:val="单位：财务附注：支付的其他与经营活动有关的现金"/>
              <w:tag w:val="_GBC_8252d4ac9be64f04b08b1dc08e270310"/>
              <w:id w:val="-1691061537"/>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支付的其他与经营活动有关的现金"/>
              <w:tag w:val="_GBC_37de812db19b41c8a01d10d8b0365268"/>
              <w:id w:val="705378271"/>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21"/>
            <w:gridCol w:w="2737"/>
            <w:gridCol w:w="2765"/>
          </w:tblGrid>
          <w:tr w:rsidR="00471D53" w14:paraId="7122A9C2" w14:textId="77777777" w:rsidTr="00471D53">
            <w:sdt>
              <w:sdtPr>
                <w:tag w:val="_PLD_164da6d2b96e42688b06fe557d996ac2"/>
                <w:id w:val="-945237853"/>
                <w:lock w:val="sdtLocked"/>
              </w:sdtPr>
              <w:sdtEndPr/>
              <w:sdtContent>
                <w:tc>
                  <w:tcPr>
                    <w:tcW w:w="1882" w:type="pct"/>
                  </w:tcPr>
                  <w:p w14:paraId="6D435076" w14:textId="77777777" w:rsidR="00471D53" w:rsidRDefault="004F686E" w:rsidP="00471D53">
                    <w:pPr>
                      <w:autoSpaceDE w:val="0"/>
                      <w:autoSpaceDN w:val="0"/>
                      <w:adjustRightInd w:val="0"/>
                      <w:snapToGrid w:val="0"/>
                      <w:jc w:val="center"/>
                      <w:rPr>
                        <w:szCs w:val="21"/>
                      </w:rPr>
                    </w:pPr>
                    <w:r>
                      <w:rPr>
                        <w:rFonts w:hint="eastAsia"/>
                        <w:szCs w:val="21"/>
                      </w:rPr>
                      <w:t>项目</w:t>
                    </w:r>
                  </w:p>
                </w:tc>
              </w:sdtContent>
            </w:sdt>
            <w:sdt>
              <w:sdtPr>
                <w:tag w:val="_PLD_69d21b5f023448adbd8c69a7e96e585d"/>
                <w:id w:val="1506785204"/>
                <w:lock w:val="sdtLocked"/>
              </w:sdtPr>
              <w:sdtEndPr/>
              <w:sdtContent>
                <w:tc>
                  <w:tcPr>
                    <w:tcW w:w="1551" w:type="pct"/>
                  </w:tcPr>
                  <w:p w14:paraId="28F6BE46" w14:textId="77777777" w:rsidR="00471D53" w:rsidRDefault="004F686E" w:rsidP="00471D53">
                    <w:pPr>
                      <w:autoSpaceDE w:val="0"/>
                      <w:autoSpaceDN w:val="0"/>
                      <w:adjustRightInd w:val="0"/>
                      <w:snapToGrid w:val="0"/>
                      <w:jc w:val="center"/>
                      <w:rPr>
                        <w:szCs w:val="21"/>
                      </w:rPr>
                    </w:pPr>
                    <w:r>
                      <w:rPr>
                        <w:rFonts w:hint="eastAsia"/>
                      </w:rPr>
                      <w:t>本期发生额</w:t>
                    </w:r>
                  </w:p>
                </w:tc>
              </w:sdtContent>
            </w:sdt>
            <w:sdt>
              <w:sdtPr>
                <w:tag w:val="_PLD_fccf4811cdbb443297a0ce875715525f"/>
                <w:id w:val="-794213026"/>
                <w:lock w:val="sdtLocked"/>
              </w:sdtPr>
              <w:sdtEndPr/>
              <w:sdtContent>
                <w:tc>
                  <w:tcPr>
                    <w:tcW w:w="1567" w:type="pct"/>
                  </w:tcPr>
                  <w:p w14:paraId="65B8400C" w14:textId="77777777" w:rsidR="00471D53" w:rsidRDefault="004F686E" w:rsidP="00471D53">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支付的其他与经营活动有关的现金明细"/>
              <w:tag w:val="_GBC_9880266c0e6f4e6b92c7692ef64ec140"/>
              <w:id w:val="1919516065"/>
              <w:lock w:val="sdtLocked"/>
            </w:sdtPr>
            <w:sdtEndPr/>
            <w:sdtContent>
              <w:tr w:rsidR="00471D53" w14:paraId="09484CE1" w14:textId="77777777" w:rsidTr="00471D53">
                <w:tc>
                  <w:tcPr>
                    <w:tcW w:w="1882" w:type="pct"/>
                  </w:tcPr>
                  <w:p w14:paraId="59D77A4D" w14:textId="77777777" w:rsidR="00471D53" w:rsidRDefault="004F686E" w:rsidP="00471D53">
                    <w:pPr>
                      <w:autoSpaceDE w:val="0"/>
                      <w:autoSpaceDN w:val="0"/>
                      <w:adjustRightInd w:val="0"/>
                      <w:snapToGrid w:val="0"/>
                      <w:rPr>
                        <w:szCs w:val="21"/>
                      </w:rPr>
                    </w:pPr>
                    <w:r>
                      <w:t>各项费用</w:t>
                    </w:r>
                  </w:p>
                </w:tc>
                <w:tc>
                  <w:tcPr>
                    <w:tcW w:w="1551" w:type="pct"/>
                  </w:tcPr>
                  <w:p w14:paraId="3A7BBB82" w14:textId="77777777" w:rsidR="00471D53" w:rsidRDefault="004F686E" w:rsidP="00471D53">
                    <w:pPr>
                      <w:jc w:val="right"/>
                      <w:rPr>
                        <w:szCs w:val="21"/>
                      </w:rPr>
                    </w:pPr>
                    <w:r>
                      <w:t>20,650,304.04</w:t>
                    </w:r>
                  </w:p>
                </w:tc>
                <w:tc>
                  <w:tcPr>
                    <w:tcW w:w="1567" w:type="pct"/>
                  </w:tcPr>
                  <w:p w14:paraId="37D53468" w14:textId="77777777" w:rsidR="00471D53" w:rsidRDefault="004F686E" w:rsidP="00471D53">
                    <w:pPr>
                      <w:jc w:val="right"/>
                      <w:rPr>
                        <w:szCs w:val="21"/>
                      </w:rPr>
                    </w:pPr>
                    <w:r>
                      <w:t>25,749,925.64</w:t>
                    </w:r>
                  </w:p>
                </w:tc>
              </w:tr>
            </w:sdtContent>
          </w:sdt>
          <w:sdt>
            <w:sdtPr>
              <w:rPr>
                <w:rFonts w:hint="eastAsia"/>
                <w:szCs w:val="21"/>
              </w:rPr>
              <w:alias w:val="支付的其他与经营活动有关的现金明细"/>
              <w:tag w:val="_GBC_9880266c0e6f4e6b92c7692ef64ec140"/>
              <w:id w:val="-754278489"/>
              <w:lock w:val="sdtLocked"/>
            </w:sdtPr>
            <w:sdtEndPr/>
            <w:sdtContent>
              <w:tr w:rsidR="00471D53" w14:paraId="3823D4DF" w14:textId="77777777" w:rsidTr="00471D53">
                <w:tc>
                  <w:tcPr>
                    <w:tcW w:w="1882" w:type="pct"/>
                  </w:tcPr>
                  <w:p w14:paraId="3D23E375" w14:textId="77777777" w:rsidR="00471D53" w:rsidRDefault="004F686E" w:rsidP="00471D53">
                    <w:pPr>
                      <w:autoSpaceDE w:val="0"/>
                      <w:autoSpaceDN w:val="0"/>
                      <w:adjustRightInd w:val="0"/>
                      <w:snapToGrid w:val="0"/>
                      <w:rPr>
                        <w:szCs w:val="21"/>
                      </w:rPr>
                    </w:pPr>
                    <w:r>
                      <w:t>保证金、押金</w:t>
                    </w:r>
                  </w:p>
                </w:tc>
                <w:tc>
                  <w:tcPr>
                    <w:tcW w:w="1551" w:type="pct"/>
                  </w:tcPr>
                  <w:p w14:paraId="24D9D54C" w14:textId="77777777" w:rsidR="00471D53" w:rsidRDefault="004F686E" w:rsidP="00471D53">
                    <w:pPr>
                      <w:jc w:val="right"/>
                      <w:rPr>
                        <w:szCs w:val="21"/>
                      </w:rPr>
                    </w:pPr>
                    <w:r>
                      <w:t>10,615,000.00</w:t>
                    </w:r>
                  </w:p>
                </w:tc>
                <w:tc>
                  <w:tcPr>
                    <w:tcW w:w="1567" w:type="pct"/>
                  </w:tcPr>
                  <w:p w14:paraId="53D89DA0" w14:textId="77777777" w:rsidR="00471D53" w:rsidRDefault="004F686E" w:rsidP="00471D53">
                    <w:pPr>
                      <w:jc w:val="right"/>
                      <w:rPr>
                        <w:szCs w:val="21"/>
                      </w:rPr>
                    </w:pPr>
                    <w:r>
                      <w:t>28,859,279.61</w:t>
                    </w:r>
                  </w:p>
                </w:tc>
              </w:tr>
            </w:sdtContent>
          </w:sdt>
          <w:sdt>
            <w:sdtPr>
              <w:rPr>
                <w:rFonts w:hint="eastAsia"/>
                <w:szCs w:val="21"/>
              </w:rPr>
              <w:alias w:val="支付的其他与经营活动有关的现金明细"/>
              <w:tag w:val="_GBC_9880266c0e6f4e6b92c7692ef64ec140"/>
              <w:id w:val="951363986"/>
              <w:lock w:val="sdtLocked"/>
            </w:sdtPr>
            <w:sdtEndPr/>
            <w:sdtContent>
              <w:tr w:rsidR="00471D53" w14:paraId="7E6E3BAF" w14:textId="77777777" w:rsidTr="00471D53">
                <w:tc>
                  <w:tcPr>
                    <w:tcW w:w="1882" w:type="pct"/>
                  </w:tcPr>
                  <w:p w14:paraId="42E4AE87" w14:textId="77777777" w:rsidR="00471D53" w:rsidRDefault="004F686E" w:rsidP="00471D53">
                    <w:pPr>
                      <w:autoSpaceDE w:val="0"/>
                      <w:autoSpaceDN w:val="0"/>
                      <w:adjustRightInd w:val="0"/>
                      <w:snapToGrid w:val="0"/>
                      <w:rPr>
                        <w:szCs w:val="21"/>
                      </w:rPr>
                    </w:pPr>
                    <w:r>
                      <w:t>往来款</w:t>
                    </w:r>
                  </w:p>
                </w:tc>
                <w:tc>
                  <w:tcPr>
                    <w:tcW w:w="1551" w:type="pct"/>
                  </w:tcPr>
                  <w:p w14:paraId="5A08397F" w14:textId="77777777" w:rsidR="00471D53" w:rsidRDefault="004F686E" w:rsidP="00471D53">
                    <w:pPr>
                      <w:jc w:val="right"/>
                      <w:rPr>
                        <w:szCs w:val="21"/>
                      </w:rPr>
                    </w:pPr>
                    <w:r>
                      <w:t>4,756,499.54</w:t>
                    </w:r>
                  </w:p>
                </w:tc>
                <w:tc>
                  <w:tcPr>
                    <w:tcW w:w="1567" w:type="pct"/>
                  </w:tcPr>
                  <w:p w14:paraId="0892AFC8" w14:textId="77777777" w:rsidR="00471D53" w:rsidRDefault="004F686E" w:rsidP="00471D53">
                    <w:pPr>
                      <w:jc w:val="right"/>
                      <w:rPr>
                        <w:szCs w:val="21"/>
                      </w:rPr>
                    </w:pPr>
                    <w:r>
                      <w:t>0.00</w:t>
                    </w:r>
                  </w:p>
                </w:tc>
              </w:tr>
            </w:sdtContent>
          </w:sdt>
          <w:sdt>
            <w:sdtPr>
              <w:rPr>
                <w:rFonts w:hint="eastAsia"/>
                <w:szCs w:val="21"/>
              </w:rPr>
              <w:alias w:val="支付的其他与经营活动有关的现金明细"/>
              <w:tag w:val="_GBC_9880266c0e6f4e6b92c7692ef64ec140"/>
              <w:id w:val="-1690448034"/>
              <w:lock w:val="sdtLocked"/>
            </w:sdtPr>
            <w:sdtEndPr/>
            <w:sdtContent>
              <w:tr w:rsidR="00471D53" w14:paraId="3B61FF1D" w14:textId="77777777" w:rsidTr="00471D53">
                <w:tc>
                  <w:tcPr>
                    <w:tcW w:w="1882" w:type="pct"/>
                  </w:tcPr>
                  <w:p w14:paraId="78F69DEF" w14:textId="77777777" w:rsidR="00471D53" w:rsidRDefault="004F686E" w:rsidP="00471D53">
                    <w:pPr>
                      <w:autoSpaceDE w:val="0"/>
                      <w:autoSpaceDN w:val="0"/>
                      <w:adjustRightInd w:val="0"/>
                      <w:snapToGrid w:val="0"/>
                      <w:rPr>
                        <w:szCs w:val="21"/>
                      </w:rPr>
                    </w:pPr>
                    <w:r>
                      <w:t>手续费</w:t>
                    </w:r>
                  </w:p>
                </w:tc>
                <w:tc>
                  <w:tcPr>
                    <w:tcW w:w="1551" w:type="pct"/>
                  </w:tcPr>
                  <w:p w14:paraId="2815D4A2" w14:textId="77777777" w:rsidR="00471D53" w:rsidRDefault="004F686E" w:rsidP="00471D53">
                    <w:pPr>
                      <w:jc w:val="right"/>
                      <w:rPr>
                        <w:szCs w:val="21"/>
                      </w:rPr>
                    </w:pPr>
                    <w:r>
                      <w:t>156,451.42</w:t>
                    </w:r>
                  </w:p>
                </w:tc>
                <w:tc>
                  <w:tcPr>
                    <w:tcW w:w="1567" w:type="pct"/>
                  </w:tcPr>
                  <w:p w14:paraId="688B1999" w14:textId="77777777" w:rsidR="00471D53" w:rsidRDefault="004F686E" w:rsidP="00471D53">
                    <w:pPr>
                      <w:jc w:val="right"/>
                      <w:rPr>
                        <w:szCs w:val="21"/>
                      </w:rPr>
                    </w:pPr>
                    <w:r>
                      <w:t>688,261.34</w:t>
                    </w:r>
                  </w:p>
                </w:tc>
              </w:tr>
            </w:sdtContent>
          </w:sdt>
          <w:sdt>
            <w:sdtPr>
              <w:rPr>
                <w:rFonts w:hint="eastAsia"/>
                <w:szCs w:val="21"/>
              </w:rPr>
              <w:alias w:val="支付的其他与经营活动有关的现金明细"/>
              <w:tag w:val="_GBC_9880266c0e6f4e6b92c7692ef64ec140"/>
              <w:id w:val="-1604953095"/>
              <w:lock w:val="sdtLocked"/>
            </w:sdtPr>
            <w:sdtEndPr/>
            <w:sdtContent>
              <w:tr w:rsidR="00471D53" w14:paraId="2A1CD64F" w14:textId="77777777" w:rsidTr="00471D53">
                <w:tc>
                  <w:tcPr>
                    <w:tcW w:w="1882" w:type="pct"/>
                  </w:tcPr>
                  <w:p w14:paraId="2753F798" w14:textId="77777777" w:rsidR="00471D53" w:rsidRDefault="004F686E" w:rsidP="00471D53">
                    <w:pPr>
                      <w:autoSpaceDE w:val="0"/>
                      <w:autoSpaceDN w:val="0"/>
                      <w:adjustRightInd w:val="0"/>
                      <w:snapToGrid w:val="0"/>
                      <w:rPr>
                        <w:szCs w:val="21"/>
                      </w:rPr>
                    </w:pPr>
                    <w:r>
                      <w:t>罚款</w:t>
                    </w:r>
                  </w:p>
                </w:tc>
                <w:tc>
                  <w:tcPr>
                    <w:tcW w:w="1551" w:type="pct"/>
                  </w:tcPr>
                  <w:p w14:paraId="5B4E3AB7" w14:textId="77777777" w:rsidR="00471D53" w:rsidRDefault="004F686E" w:rsidP="00471D53">
                    <w:pPr>
                      <w:jc w:val="right"/>
                      <w:rPr>
                        <w:szCs w:val="21"/>
                      </w:rPr>
                    </w:pPr>
                    <w:r>
                      <w:t>200.00</w:t>
                    </w:r>
                  </w:p>
                </w:tc>
                <w:tc>
                  <w:tcPr>
                    <w:tcW w:w="1567" w:type="pct"/>
                  </w:tcPr>
                  <w:p w14:paraId="632F56AB" w14:textId="77777777" w:rsidR="00471D53" w:rsidRDefault="004F686E" w:rsidP="00471D53">
                    <w:pPr>
                      <w:jc w:val="right"/>
                      <w:rPr>
                        <w:szCs w:val="21"/>
                      </w:rPr>
                    </w:pPr>
                    <w:r>
                      <w:t>40,000.00</w:t>
                    </w:r>
                  </w:p>
                </w:tc>
              </w:tr>
            </w:sdtContent>
          </w:sdt>
          <w:sdt>
            <w:sdtPr>
              <w:rPr>
                <w:rFonts w:hint="eastAsia"/>
                <w:szCs w:val="21"/>
              </w:rPr>
              <w:alias w:val="支付的其他与经营活动有关的现金明细"/>
              <w:tag w:val="_GBC_9880266c0e6f4e6b92c7692ef64ec140"/>
              <w:id w:val="-1150364718"/>
              <w:lock w:val="sdtLocked"/>
            </w:sdtPr>
            <w:sdtEndPr/>
            <w:sdtContent>
              <w:tr w:rsidR="00471D53" w14:paraId="70BADDD2" w14:textId="77777777" w:rsidTr="00471D53">
                <w:tc>
                  <w:tcPr>
                    <w:tcW w:w="1882" w:type="pct"/>
                  </w:tcPr>
                  <w:p w14:paraId="77F1E586" w14:textId="77777777" w:rsidR="00471D53" w:rsidRDefault="004F686E" w:rsidP="00471D53">
                    <w:pPr>
                      <w:autoSpaceDE w:val="0"/>
                      <w:autoSpaceDN w:val="0"/>
                      <w:adjustRightInd w:val="0"/>
                      <w:snapToGrid w:val="0"/>
                      <w:rPr>
                        <w:szCs w:val="21"/>
                      </w:rPr>
                    </w:pPr>
                    <w:r>
                      <w:t>其他</w:t>
                    </w:r>
                  </w:p>
                </w:tc>
                <w:tc>
                  <w:tcPr>
                    <w:tcW w:w="1551" w:type="pct"/>
                  </w:tcPr>
                  <w:p w14:paraId="15FF30FB" w14:textId="77777777" w:rsidR="00471D53" w:rsidRDefault="004F686E" w:rsidP="00471D53">
                    <w:pPr>
                      <w:jc w:val="right"/>
                      <w:rPr>
                        <w:szCs w:val="21"/>
                      </w:rPr>
                    </w:pPr>
                    <w:r>
                      <w:t>3,951,693.12</w:t>
                    </w:r>
                  </w:p>
                </w:tc>
                <w:tc>
                  <w:tcPr>
                    <w:tcW w:w="1567" w:type="pct"/>
                  </w:tcPr>
                  <w:p w14:paraId="7A06C4DA" w14:textId="77777777" w:rsidR="00471D53" w:rsidRDefault="004F686E" w:rsidP="00471D53">
                    <w:pPr>
                      <w:jc w:val="right"/>
                      <w:rPr>
                        <w:szCs w:val="21"/>
                      </w:rPr>
                    </w:pPr>
                    <w:r>
                      <w:t>333,676.24</w:t>
                    </w:r>
                  </w:p>
                </w:tc>
              </w:tr>
            </w:sdtContent>
          </w:sdt>
          <w:tr w:rsidR="00471D53" w14:paraId="7FE91656" w14:textId="77777777" w:rsidTr="00471D53">
            <w:sdt>
              <w:sdtPr>
                <w:tag w:val="_PLD_4b68c0729f8e49a4ac82fb1d64daa6dc"/>
                <w:id w:val="-1950154993"/>
                <w:lock w:val="sdtLocked"/>
              </w:sdtPr>
              <w:sdtEndPr/>
              <w:sdtContent>
                <w:tc>
                  <w:tcPr>
                    <w:tcW w:w="1882" w:type="pct"/>
                  </w:tcPr>
                  <w:p w14:paraId="08BA67FD" w14:textId="77777777" w:rsidR="00471D53" w:rsidRDefault="004F686E" w:rsidP="00471D53">
                    <w:pPr>
                      <w:autoSpaceDE w:val="0"/>
                      <w:autoSpaceDN w:val="0"/>
                      <w:adjustRightInd w:val="0"/>
                      <w:snapToGrid w:val="0"/>
                      <w:jc w:val="center"/>
                      <w:rPr>
                        <w:szCs w:val="21"/>
                      </w:rPr>
                    </w:pPr>
                    <w:r>
                      <w:rPr>
                        <w:rFonts w:hint="eastAsia"/>
                        <w:szCs w:val="21"/>
                      </w:rPr>
                      <w:t>合计</w:t>
                    </w:r>
                  </w:p>
                </w:tc>
              </w:sdtContent>
            </w:sdt>
            <w:tc>
              <w:tcPr>
                <w:tcW w:w="1551" w:type="pct"/>
              </w:tcPr>
              <w:p w14:paraId="36DA2714" w14:textId="77777777" w:rsidR="00471D53" w:rsidRDefault="004F686E" w:rsidP="00471D53">
                <w:pPr>
                  <w:jc w:val="right"/>
                  <w:rPr>
                    <w:szCs w:val="21"/>
                  </w:rPr>
                </w:pPr>
                <w:r>
                  <w:t>40,130,148.12</w:t>
                </w:r>
              </w:p>
            </w:tc>
            <w:tc>
              <w:tcPr>
                <w:tcW w:w="1567" w:type="pct"/>
              </w:tcPr>
              <w:p w14:paraId="6A19EEBF" w14:textId="77777777" w:rsidR="00471D53" w:rsidRDefault="004F686E" w:rsidP="00471D53">
                <w:pPr>
                  <w:jc w:val="right"/>
                  <w:rPr>
                    <w:szCs w:val="21"/>
                  </w:rPr>
                </w:pPr>
                <w:r>
                  <w:t>55,671,142.83</w:t>
                </w:r>
              </w:p>
            </w:tc>
          </w:tr>
        </w:tbl>
        <w:p w14:paraId="2C0AD23C" w14:textId="77777777" w:rsidR="00471D53" w:rsidRDefault="00B664AF"/>
        <w:p w14:paraId="36301E57" w14:textId="77777777" w:rsidR="00471D53" w:rsidRDefault="004F686E">
          <w:pPr>
            <w:spacing w:before="60" w:after="60"/>
            <w:rPr>
              <w:szCs w:val="21"/>
            </w:rPr>
          </w:pPr>
          <w:r>
            <w:rPr>
              <w:rFonts w:hint="eastAsia"/>
              <w:szCs w:val="21"/>
            </w:rPr>
            <w:t>支付的其他与经营活动有关的现金说明：</w:t>
          </w:r>
        </w:p>
        <w:sdt>
          <w:sdtPr>
            <w:rPr>
              <w:rFonts w:hint="eastAsia"/>
              <w:szCs w:val="21"/>
            </w:rPr>
            <w:alias w:val="支付的其他与经营活动有关的现金说明"/>
            <w:tag w:val="_GBC_632dc3caefd547b5b57f9340a021af22"/>
            <w:id w:val="1587495806"/>
            <w:lock w:val="sdtLocked"/>
          </w:sdtPr>
          <w:sdtEndPr/>
          <w:sdtContent>
            <w:p w14:paraId="6F08C193" w14:textId="77777777" w:rsidR="00471D53" w:rsidRDefault="004F686E">
              <w:pPr>
                <w:ind w:right="5"/>
                <w:rPr>
                  <w:szCs w:val="21"/>
                </w:rPr>
              </w:pPr>
              <w:r>
                <w:rPr>
                  <w:rFonts w:hint="eastAsia"/>
                  <w:szCs w:val="21"/>
                </w:rPr>
                <w:t>无</w:t>
              </w:r>
            </w:p>
          </w:sdtContent>
        </w:sdt>
        <w:p w14:paraId="65663568" w14:textId="77777777" w:rsidR="00471D53" w:rsidRDefault="00B664AF">
          <w:pPr>
            <w:ind w:right="5"/>
            <w:rPr>
              <w:szCs w:val="21"/>
            </w:rPr>
          </w:pPr>
        </w:p>
      </w:sdtContent>
    </w:sdt>
    <w:p w14:paraId="32B35B88" w14:textId="77777777" w:rsidR="00471D53" w:rsidRDefault="00B664AF">
      <w:pPr>
        <w:spacing w:line="360" w:lineRule="exact"/>
        <w:ind w:right="5"/>
        <w:rPr>
          <w:szCs w:val="21"/>
        </w:rPr>
      </w:pPr>
    </w:p>
    <w:sdt>
      <w:sdtPr>
        <w:rPr>
          <w:rFonts w:ascii="宋体" w:hAnsi="宋体" w:cs="宋体" w:hint="eastAsia"/>
          <w:b w:val="0"/>
          <w:bCs w:val="0"/>
          <w:kern w:val="0"/>
          <w:sz w:val="24"/>
          <w:szCs w:val="21"/>
        </w:rPr>
        <w:alias w:val="模块:收到的其他与投资活动有关的现金"/>
        <w:tag w:val="_GBC_7d29c8348da547cab82786074f1b3249"/>
        <w:id w:val="1863471342"/>
        <w:lock w:val="sdtLocked"/>
        <w:placeholder>
          <w:docPart w:val="GBC22222222222222222222222222222"/>
        </w:placeholder>
      </w:sdtPr>
      <w:sdtEndPr>
        <w:rPr>
          <w:rFonts w:cstheme="minorBidi" w:hint="default"/>
          <w:kern w:val="2"/>
          <w:sz w:val="21"/>
        </w:rPr>
      </w:sdtEndPr>
      <w:sdtContent>
        <w:p w14:paraId="25CB37BD" w14:textId="77777777" w:rsidR="00471D53" w:rsidRDefault="004F686E" w:rsidP="004F686E">
          <w:pPr>
            <w:pStyle w:val="afffff8"/>
            <w:numPr>
              <w:ilvl w:val="0"/>
              <w:numId w:val="89"/>
            </w:numPr>
            <w:tabs>
              <w:tab w:val="left" w:pos="728"/>
            </w:tabs>
            <w:rPr>
              <w:rFonts w:ascii="宋体" w:hAnsi="宋体"/>
              <w:szCs w:val="21"/>
            </w:rPr>
          </w:pPr>
          <w:r>
            <w:rPr>
              <w:rFonts w:ascii="宋体" w:hAnsi="宋体" w:hint="eastAsia"/>
              <w:szCs w:val="21"/>
            </w:rPr>
            <w:t>收到的其他与投资活动有关的现金</w:t>
          </w:r>
        </w:p>
        <w:sdt>
          <w:sdtPr>
            <w:alias w:val="是否适用：收到的其他与投资活动有关的现金[双击切换]"/>
            <w:tag w:val="_GBC_ae3b1cf9e3aa408a8867e76d71769712"/>
            <w:id w:val="-607112137"/>
            <w:lock w:val="sdtLocked"/>
            <w:placeholder>
              <w:docPart w:val="GBC22222222222222222222222222222"/>
            </w:placeholder>
          </w:sdtPr>
          <w:sdtEndPr/>
          <w:sdtContent>
            <w:p w14:paraId="00262482"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05B8761" w14:textId="77777777" w:rsidR="00471D53" w:rsidRDefault="00B664AF">
          <w:pPr>
            <w:snapToGrid w:val="0"/>
            <w:spacing w:line="240" w:lineRule="atLeast"/>
            <w:rPr>
              <w:szCs w:val="21"/>
            </w:rPr>
          </w:pPr>
        </w:p>
      </w:sdtContent>
    </w:sdt>
    <w:p w14:paraId="45B4279D" w14:textId="77777777" w:rsidR="00471D53" w:rsidRDefault="00B664AF">
      <w:pPr>
        <w:rPr>
          <w:szCs w:val="21"/>
        </w:rPr>
      </w:pPr>
    </w:p>
    <w:sdt>
      <w:sdtPr>
        <w:rPr>
          <w:rFonts w:ascii="宋体" w:hAnsi="宋体" w:cs="宋体" w:hint="eastAsia"/>
          <w:b w:val="0"/>
          <w:bCs w:val="0"/>
          <w:kern w:val="0"/>
          <w:sz w:val="24"/>
          <w:szCs w:val="21"/>
        </w:rPr>
        <w:alias w:val="模块:支付的其他与投资活动有关的现金"/>
        <w:tag w:val="_GBC_fa501b3ede254af6bdfad826e328392a"/>
        <w:id w:val="-382484439"/>
        <w:lock w:val="sdtLocked"/>
        <w:placeholder>
          <w:docPart w:val="GBC22222222222222222222222222222"/>
        </w:placeholder>
      </w:sdtPr>
      <w:sdtEndPr>
        <w:rPr>
          <w:rFonts w:cstheme="minorBidi"/>
          <w:kern w:val="2"/>
          <w:sz w:val="21"/>
        </w:rPr>
      </w:sdtEndPr>
      <w:sdtContent>
        <w:p w14:paraId="2B608309" w14:textId="77777777" w:rsidR="00471D53" w:rsidRDefault="004F686E" w:rsidP="004F686E">
          <w:pPr>
            <w:pStyle w:val="afffff8"/>
            <w:numPr>
              <w:ilvl w:val="0"/>
              <w:numId w:val="89"/>
            </w:numPr>
            <w:tabs>
              <w:tab w:val="left" w:pos="728"/>
            </w:tabs>
            <w:rPr>
              <w:rFonts w:ascii="宋体" w:hAnsi="宋体"/>
              <w:szCs w:val="21"/>
            </w:rPr>
          </w:pPr>
          <w:r>
            <w:rPr>
              <w:rFonts w:ascii="宋体" w:hAnsi="宋体" w:hint="eastAsia"/>
              <w:szCs w:val="21"/>
            </w:rPr>
            <w:t>支付的其他与投资活动有关的现金</w:t>
          </w:r>
        </w:p>
        <w:sdt>
          <w:sdtPr>
            <w:alias w:val="是否适用：支付的其他与投资活动有关的现金[双击切换]"/>
            <w:tag w:val="_GBC_8862c0a38548482cb3b55a82757e3e33"/>
            <w:id w:val="246539135"/>
            <w:lock w:val="sdtLocked"/>
            <w:placeholder>
              <w:docPart w:val="GBC22222222222222222222222222222"/>
            </w:placeholder>
          </w:sdtPr>
          <w:sdtEndPr/>
          <w:sdtContent>
            <w:p w14:paraId="308FB14F"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04A5B08" w14:textId="77777777" w:rsidR="00471D53" w:rsidRDefault="00B664AF">
          <w:pPr>
            <w:rPr>
              <w:szCs w:val="21"/>
            </w:rPr>
          </w:pPr>
        </w:p>
      </w:sdtContent>
    </w:sdt>
    <w:p w14:paraId="6ACC11ED" w14:textId="77777777" w:rsidR="00471D53" w:rsidRDefault="00B664AF">
      <w:pPr>
        <w:rPr>
          <w:szCs w:val="21"/>
        </w:rPr>
      </w:pPr>
    </w:p>
    <w:sdt>
      <w:sdtPr>
        <w:rPr>
          <w:rFonts w:ascii="宋体" w:hAnsi="宋体" w:cs="宋体" w:hint="eastAsia"/>
          <w:b w:val="0"/>
          <w:bCs w:val="0"/>
          <w:kern w:val="0"/>
          <w:sz w:val="24"/>
          <w:szCs w:val="21"/>
        </w:rPr>
        <w:alias w:val="模块:收到的其他与筹资活动有关的现金"/>
        <w:tag w:val="_GBC_6e57c618c25c498db37f205341e0c66a"/>
        <w:id w:val="1761563802"/>
        <w:lock w:val="sdtLocked"/>
        <w:placeholder>
          <w:docPart w:val="GBC22222222222222222222222222222"/>
        </w:placeholder>
      </w:sdtPr>
      <w:sdtEndPr>
        <w:rPr>
          <w:rFonts w:cstheme="minorBidi"/>
          <w:kern w:val="2"/>
          <w:sz w:val="21"/>
          <w:szCs w:val="22"/>
        </w:rPr>
      </w:sdtEndPr>
      <w:sdtContent>
        <w:p w14:paraId="31D8B007" w14:textId="77777777" w:rsidR="00471D53" w:rsidRDefault="004F686E" w:rsidP="004F686E">
          <w:pPr>
            <w:pStyle w:val="afffff8"/>
            <w:numPr>
              <w:ilvl w:val="0"/>
              <w:numId w:val="89"/>
            </w:numPr>
            <w:rPr>
              <w:rFonts w:ascii="宋体" w:hAnsi="宋体"/>
              <w:szCs w:val="21"/>
            </w:rPr>
          </w:pPr>
          <w:r>
            <w:rPr>
              <w:rFonts w:ascii="宋体" w:hAnsi="宋体" w:hint="eastAsia"/>
              <w:szCs w:val="21"/>
            </w:rPr>
            <w:t>收到的其他与筹资活动有关的现金</w:t>
          </w:r>
        </w:p>
        <w:sdt>
          <w:sdtPr>
            <w:alias w:val="是否适用：收到的其他与筹资活动有关的现金[双击切换]"/>
            <w:tag w:val="_GBC_6e82da4b55134cf6aacd6132e71f2c27"/>
            <w:id w:val="1182243095"/>
            <w:lock w:val="sdtLocked"/>
            <w:placeholder>
              <w:docPart w:val="GBC22222222222222222222222222222"/>
            </w:placeholder>
          </w:sdtPr>
          <w:sdtEndPr/>
          <w:sdtContent>
            <w:p w14:paraId="60E5CAFE"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F9D5CB2" w14:textId="11465F30" w:rsidR="00471D53" w:rsidRDefault="004F686E" w:rsidP="00471D53">
          <w:pPr>
            <w:jc w:val="right"/>
            <w:rPr>
              <w:szCs w:val="21"/>
            </w:rPr>
          </w:pPr>
          <w:r>
            <w:rPr>
              <w:rFonts w:hint="eastAsia"/>
              <w:szCs w:val="21"/>
            </w:rPr>
            <w:t>单位：</w:t>
          </w:r>
          <w:sdt>
            <w:sdtPr>
              <w:rPr>
                <w:rFonts w:hint="eastAsia"/>
                <w:szCs w:val="21"/>
              </w:rPr>
              <w:alias w:val="单位：财务附注：收到的其他与筹资活动有关的现金"/>
              <w:tag w:val="_GBC_54c629439974499c9df52a114b0272b9"/>
              <w:id w:val="793411158"/>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收到的其他与筹资活动有关的现金"/>
              <w:tag w:val="_GBC_0d3b28d58a83411db264b55c970f7fc6"/>
              <w:id w:val="-160158220"/>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21"/>
            <w:gridCol w:w="2841"/>
            <w:gridCol w:w="2661"/>
          </w:tblGrid>
          <w:tr w:rsidR="00471D53" w14:paraId="58C73DEE" w14:textId="77777777" w:rsidTr="00471D53">
            <w:sdt>
              <w:sdtPr>
                <w:tag w:val="_PLD_45e71f75634d40e399bff943b12676a7"/>
                <w:id w:val="681239197"/>
                <w:lock w:val="sdtLocked"/>
              </w:sdtPr>
              <w:sdtEndPr/>
              <w:sdtContent>
                <w:tc>
                  <w:tcPr>
                    <w:tcW w:w="1882" w:type="pct"/>
                  </w:tcPr>
                  <w:p w14:paraId="16F28A71" w14:textId="77777777" w:rsidR="00471D53" w:rsidRDefault="004F686E" w:rsidP="00471D53">
                    <w:pPr>
                      <w:autoSpaceDE w:val="0"/>
                      <w:autoSpaceDN w:val="0"/>
                      <w:adjustRightInd w:val="0"/>
                      <w:snapToGrid w:val="0"/>
                      <w:jc w:val="center"/>
                      <w:rPr>
                        <w:szCs w:val="21"/>
                      </w:rPr>
                    </w:pPr>
                    <w:r>
                      <w:rPr>
                        <w:rFonts w:hint="eastAsia"/>
                        <w:szCs w:val="21"/>
                      </w:rPr>
                      <w:t>项目</w:t>
                    </w:r>
                  </w:p>
                </w:tc>
              </w:sdtContent>
            </w:sdt>
            <w:sdt>
              <w:sdtPr>
                <w:tag w:val="_PLD_f7b1d7d1151a486eb8533f96d22cda73"/>
                <w:id w:val="-91629014"/>
                <w:lock w:val="sdtLocked"/>
              </w:sdtPr>
              <w:sdtEndPr/>
              <w:sdtContent>
                <w:tc>
                  <w:tcPr>
                    <w:tcW w:w="1610" w:type="pct"/>
                  </w:tcPr>
                  <w:p w14:paraId="42390A79" w14:textId="77777777" w:rsidR="00471D53" w:rsidRDefault="004F686E" w:rsidP="00471D53">
                    <w:pPr>
                      <w:autoSpaceDE w:val="0"/>
                      <w:autoSpaceDN w:val="0"/>
                      <w:adjustRightInd w:val="0"/>
                      <w:snapToGrid w:val="0"/>
                      <w:jc w:val="center"/>
                      <w:rPr>
                        <w:szCs w:val="21"/>
                      </w:rPr>
                    </w:pPr>
                    <w:r>
                      <w:rPr>
                        <w:rFonts w:hint="eastAsia"/>
                      </w:rPr>
                      <w:t>本期发生额</w:t>
                    </w:r>
                  </w:p>
                </w:tc>
              </w:sdtContent>
            </w:sdt>
            <w:sdt>
              <w:sdtPr>
                <w:tag w:val="_PLD_fcd73629839441d485ad661b0568d6af"/>
                <w:id w:val="-375772240"/>
                <w:lock w:val="sdtLocked"/>
              </w:sdtPr>
              <w:sdtEndPr/>
              <w:sdtContent>
                <w:tc>
                  <w:tcPr>
                    <w:tcW w:w="1508" w:type="pct"/>
                  </w:tcPr>
                  <w:p w14:paraId="7F33F7F6" w14:textId="77777777" w:rsidR="00471D53" w:rsidRDefault="004F686E" w:rsidP="00471D53">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收到的其他与筹资活动有关的现金明细"/>
              <w:tag w:val="_GBC_c32e781f55dd414ab2ff5887b711a905"/>
              <w:id w:val="1422071628"/>
            </w:sdtPr>
            <w:sdtEndPr/>
            <w:sdtContent>
              <w:tr w:rsidR="00471D53" w14:paraId="2A37B460" w14:textId="77777777" w:rsidTr="00471D53">
                <w:tc>
                  <w:tcPr>
                    <w:tcW w:w="1882" w:type="pct"/>
                  </w:tcPr>
                  <w:p w14:paraId="6E9FCA38" w14:textId="77777777" w:rsidR="00471D53" w:rsidRDefault="004F686E" w:rsidP="00471D53">
                    <w:pPr>
                      <w:autoSpaceDE w:val="0"/>
                      <w:autoSpaceDN w:val="0"/>
                      <w:adjustRightInd w:val="0"/>
                      <w:snapToGrid w:val="0"/>
                      <w:rPr>
                        <w:szCs w:val="21"/>
                      </w:rPr>
                    </w:pPr>
                    <w:r>
                      <w:t>京城控股借款等</w:t>
                    </w:r>
                  </w:p>
                </w:tc>
                <w:tc>
                  <w:tcPr>
                    <w:tcW w:w="1610" w:type="pct"/>
                    <w:vAlign w:val="bottom"/>
                  </w:tcPr>
                  <w:p w14:paraId="031DC2BB" w14:textId="77777777" w:rsidR="00471D53" w:rsidRDefault="004F686E" w:rsidP="00471D53">
                    <w:pPr>
                      <w:jc w:val="right"/>
                      <w:rPr>
                        <w:szCs w:val="21"/>
                      </w:rPr>
                    </w:pPr>
                    <w:r>
                      <w:t>0.00</w:t>
                    </w:r>
                  </w:p>
                </w:tc>
                <w:tc>
                  <w:tcPr>
                    <w:tcW w:w="1508" w:type="pct"/>
                  </w:tcPr>
                  <w:p w14:paraId="27C42121" w14:textId="77777777" w:rsidR="00471D53" w:rsidRDefault="004F686E" w:rsidP="00471D53">
                    <w:pPr>
                      <w:jc w:val="right"/>
                      <w:rPr>
                        <w:szCs w:val="21"/>
                      </w:rPr>
                    </w:pPr>
                    <w:r>
                      <w:t>40,000,000.00</w:t>
                    </w:r>
                  </w:p>
                </w:tc>
              </w:tr>
            </w:sdtContent>
          </w:sdt>
          <w:tr w:rsidR="00471D53" w14:paraId="164E929E" w14:textId="77777777" w:rsidTr="00471D53">
            <w:sdt>
              <w:sdtPr>
                <w:tag w:val="_PLD_1959febe6b254266b4985c8aadec7ed6"/>
                <w:id w:val="-7908491"/>
                <w:lock w:val="sdtLocked"/>
              </w:sdtPr>
              <w:sdtEndPr/>
              <w:sdtContent>
                <w:tc>
                  <w:tcPr>
                    <w:tcW w:w="1882" w:type="pct"/>
                  </w:tcPr>
                  <w:p w14:paraId="6EF53CD1" w14:textId="77777777" w:rsidR="00471D53" w:rsidRDefault="004F686E" w:rsidP="00471D53">
                    <w:pPr>
                      <w:autoSpaceDE w:val="0"/>
                      <w:autoSpaceDN w:val="0"/>
                      <w:adjustRightInd w:val="0"/>
                      <w:snapToGrid w:val="0"/>
                      <w:jc w:val="center"/>
                      <w:rPr>
                        <w:szCs w:val="21"/>
                      </w:rPr>
                    </w:pPr>
                    <w:r>
                      <w:rPr>
                        <w:rFonts w:hint="eastAsia"/>
                        <w:szCs w:val="21"/>
                      </w:rPr>
                      <w:t>合计</w:t>
                    </w:r>
                  </w:p>
                </w:tc>
              </w:sdtContent>
            </w:sdt>
            <w:tc>
              <w:tcPr>
                <w:tcW w:w="1610" w:type="pct"/>
                <w:vAlign w:val="bottom"/>
              </w:tcPr>
              <w:p w14:paraId="761A16ED" w14:textId="77777777" w:rsidR="00471D53" w:rsidRDefault="004F686E" w:rsidP="00471D53">
                <w:pPr>
                  <w:jc w:val="right"/>
                  <w:rPr>
                    <w:szCs w:val="21"/>
                  </w:rPr>
                </w:pPr>
                <w:r>
                  <w:t>0.00</w:t>
                </w:r>
              </w:p>
            </w:tc>
            <w:tc>
              <w:tcPr>
                <w:tcW w:w="1508" w:type="pct"/>
              </w:tcPr>
              <w:p w14:paraId="61EE8419" w14:textId="77777777" w:rsidR="00471D53" w:rsidRDefault="004F686E" w:rsidP="00471D53">
                <w:pPr>
                  <w:jc w:val="right"/>
                  <w:rPr>
                    <w:szCs w:val="21"/>
                  </w:rPr>
                </w:pPr>
                <w:r>
                  <w:t>40,000,000.00</w:t>
                </w:r>
              </w:p>
            </w:tc>
          </w:tr>
        </w:tbl>
        <w:p w14:paraId="5F5B8193" w14:textId="77777777" w:rsidR="00471D53" w:rsidRDefault="00B664AF"/>
        <w:p w14:paraId="5486DDDC" w14:textId="77777777" w:rsidR="00471D53" w:rsidRDefault="004F686E" w:rsidP="00471D53">
          <w:pPr>
            <w:spacing w:before="60" w:after="60"/>
            <w:rPr>
              <w:szCs w:val="21"/>
            </w:rPr>
          </w:pPr>
          <w:r>
            <w:rPr>
              <w:rFonts w:hint="eastAsia"/>
              <w:szCs w:val="21"/>
            </w:rPr>
            <w:t>收到的其他与筹资活动有关的现金说明：</w:t>
          </w:r>
        </w:p>
        <w:p w14:paraId="54FA2B9E" w14:textId="77777777" w:rsidR="00471D53" w:rsidRDefault="00B664AF" w:rsidP="00471D53">
          <w:sdt>
            <w:sdtPr>
              <w:rPr>
                <w:rFonts w:hint="eastAsia"/>
                <w:szCs w:val="21"/>
              </w:rPr>
              <w:alias w:val="收到的其他与筹资活动有关的现金说明"/>
              <w:tag w:val="_GBC_cf160106b6d34224a1fbd183426812af"/>
              <w:id w:val="262654161"/>
              <w:lock w:val="sdtLocked"/>
            </w:sdtPr>
            <w:sdtEndPr>
              <w:rPr>
                <w:szCs w:val="24"/>
              </w:rPr>
            </w:sdtEndPr>
            <w:sdtContent>
              <w:r w:rsidR="004F686E">
                <w:rPr>
                  <w:rFonts w:hint="eastAsia"/>
                  <w:szCs w:val="21"/>
                </w:rPr>
                <w:t>无</w:t>
              </w:r>
            </w:sdtContent>
          </w:sdt>
        </w:p>
        <w:p w14:paraId="7CC39707" w14:textId="77777777" w:rsidR="00471D53" w:rsidRDefault="00B664AF"/>
      </w:sdtContent>
    </w:sdt>
    <w:p w14:paraId="2689F81E" w14:textId="77777777" w:rsidR="00471D53" w:rsidRDefault="00B664AF"/>
    <w:sdt>
      <w:sdtPr>
        <w:rPr>
          <w:rFonts w:ascii="宋体" w:hAnsi="宋体" w:cs="宋体" w:hint="eastAsia"/>
          <w:b w:val="0"/>
          <w:bCs w:val="0"/>
          <w:kern w:val="0"/>
          <w:sz w:val="24"/>
          <w:szCs w:val="22"/>
        </w:rPr>
        <w:alias w:val="模块:支付的其他与筹资活动有关的现金"/>
        <w:tag w:val="_GBC_96162aa406234e2485524876a03968e7"/>
        <w:id w:val="1453047153"/>
        <w:lock w:val="sdtLocked"/>
        <w:placeholder>
          <w:docPart w:val="GBC22222222222222222222222222222"/>
        </w:placeholder>
      </w:sdtPr>
      <w:sdtEndPr>
        <w:rPr>
          <w:rFonts w:cstheme="minorBidi"/>
          <w:kern w:val="2"/>
          <w:sz w:val="21"/>
        </w:rPr>
      </w:sdtEndPr>
      <w:sdtContent>
        <w:p w14:paraId="160067F9" w14:textId="77777777" w:rsidR="00471D53" w:rsidRDefault="004F686E" w:rsidP="004F686E">
          <w:pPr>
            <w:pStyle w:val="afffff8"/>
            <w:numPr>
              <w:ilvl w:val="0"/>
              <w:numId w:val="89"/>
            </w:numPr>
            <w:rPr>
              <w:rFonts w:ascii="宋体" w:hAnsi="宋体"/>
              <w:szCs w:val="21"/>
            </w:rPr>
          </w:pPr>
          <w:r>
            <w:rPr>
              <w:rFonts w:ascii="宋体" w:hAnsi="宋体" w:hint="eastAsia"/>
              <w:szCs w:val="21"/>
            </w:rPr>
            <w:t>支付的其他与筹资活动有关的现金</w:t>
          </w:r>
        </w:p>
        <w:sdt>
          <w:sdtPr>
            <w:alias w:val="是否适用：支付的其他与筹资活动有关的现金[双击切换]"/>
            <w:tag w:val="_GBC_cf7fd4869f8d4d98a07243e22bf22793"/>
            <w:id w:val="-595792853"/>
            <w:lock w:val="sdtLocked"/>
            <w:placeholder>
              <w:docPart w:val="GBC22222222222222222222222222222"/>
            </w:placeholder>
          </w:sdtPr>
          <w:sdtEndPr/>
          <w:sdtContent>
            <w:p w14:paraId="28A18377"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AA9F5D3" w14:textId="1C284B61" w:rsidR="00471D53" w:rsidRDefault="004F686E">
          <w:pPr>
            <w:jc w:val="right"/>
            <w:rPr>
              <w:szCs w:val="21"/>
            </w:rPr>
          </w:pPr>
          <w:r>
            <w:rPr>
              <w:rFonts w:hint="eastAsia"/>
              <w:szCs w:val="21"/>
            </w:rPr>
            <w:t>单位：</w:t>
          </w:r>
          <w:sdt>
            <w:sdtPr>
              <w:rPr>
                <w:rFonts w:hint="eastAsia"/>
                <w:szCs w:val="21"/>
              </w:rPr>
              <w:alias w:val="单位：财务附注：支付的其他与筹资活动有关的现金"/>
              <w:tag w:val="_GBC_323ca3d874214911880818d387e0c63b"/>
              <w:id w:val="-16169089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支付的其他与筹资活动有关的现金"/>
              <w:tag w:val="_GBC_d6726952256941209f32bac8fffa568d"/>
              <w:id w:val="-10829066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21"/>
            <w:gridCol w:w="2841"/>
            <w:gridCol w:w="2661"/>
          </w:tblGrid>
          <w:tr w:rsidR="00471D53" w14:paraId="033CC3EE" w14:textId="77777777" w:rsidTr="00471D53">
            <w:sdt>
              <w:sdtPr>
                <w:tag w:val="_PLD_2b9da6111f3f4cacb3afcfc0de00e1e9"/>
                <w:id w:val="1160586969"/>
                <w:lock w:val="sdtLocked"/>
              </w:sdtPr>
              <w:sdtEndPr/>
              <w:sdtContent>
                <w:tc>
                  <w:tcPr>
                    <w:tcW w:w="1882" w:type="pct"/>
                  </w:tcPr>
                  <w:p w14:paraId="46B02556" w14:textId="77777777" w:rsidR="00471D53" w:rsidRDefault="004F686E" w:rsidP="00471D53">
                    <w:pPr>
                      <w:autoSpaceDE w:val="0"/>
                      <w:autoSpaceDN w:val="0"/>
                      <w:adjustRightInd w:val="0"/>
                      <w:snapToGrid w:val="0"/>
                      <w:jc w:val="center"/>
                    </w:pPr>
                    <w:r>
                      <w:rPr>
                        <w:rFonts w:hint="eastAsia"/>
                      </w:rPr>
                      <w:t>项目</w:t>
                    </w:r>
                  </w:p>
                </w:tc>
              </w:sdtContent>
            </w:sdt>
            <w:sdt>
              <w:sdtPr>
                <w:tag w:val="_PLD_b6791a7f5c234d80be8964d8fb7b3ce6"/>
                <w:id w:val="-1308153174"/>
                <w:lock w:val="sdtLocked"/>
              </w:sdtPr>
              <w:sdtEndPr/>
              <w:sdtContent>
                <w:tc>
                  <w:tcPr>
                    <w:tcW w:w="1610" w:type="pct"/>
                  </w:tcPr>
                  <w:p w14:paraId="047031E7" w14:textId="77777777" w:rsidR="00471D53" w:rsidRDefault="004F686E" w:rsidP="00471D53">
                    <w:pPr>
                      <w:autoSpaceDE w:val="0"/>
                      <w:autoSpaceDN w:val="0"/>
                      <w:adjustRightInd w:val="0"/>
                      <w:snapToGrid w:val="0"/>
                      <w:jc w:val="center"/>
                    </w:pPr>
                    <w:r>
                      <w:rPr>
                        <w:rFonts w:hint="eastAsia"/>
                      </w:rPr>
                      <w:t>本期发生额</w:t>
                    </w:r>
                  </w:p>
                </w:tc>
              </w:sdtContent>
            </w:sdt>
            <w:sdt>
              <w:sdtPr>
                <w:tag w:val="_PLD_b4a33da4012d47bd8013a6c570bcad87"/>
                <w:id w:val="222722693"/>
                <w:lock w:val="sdtLocked"/>
              </w:sdtPr>
              <w:sdtEndPr/>
              <w:sdtContent>
                <w:tc>
                  <w:tcPr>
                    <w:tcW w:w="1508" w:type="pct"/>
                  </w:tcPr>
                  <w:p w14:paraId="3469FB1F" w14:textId="77777777" w:rsidR="00471D53" w:rsidRDefault="004F686E" w:rsidP="00471D53">
                    <w:pPr>
                      <w:autoSpaceDE w:val="0"/>
                      <w:autoSpaceDN w:val="0"/>
                      <w:adjustRightInd w:val="0"/>
                      <w:snapToGrid w:val="0"/>
                      <w:jc w:val="center"/>
                    </w:pPr>
                    <w:r>
                      <w:rPr>
                        <w:rFonts w:hint="eastAsia"/>
                      </w:rPr>
                      <w:t>上期发生额</w:t>
                    </w:r>
                  </w:p>
                </w:tc>
              </w:sdtContent>
            </w:sdt>
          </w:tr>
          <w:sdt>
            <w:sdtPr>
              <w:rPr>
                <w:rFonts w:hint="eastAsia"/>
              </w:rPr>
              <w:alias w:val="支付的其他与筹资活动有关的现金明细"/>
              <w:tag w:val="_GBC_67ad8c2e4b094cd980237b364226db90"/>
              <w:id w:val="-1786186894"/>
            </w:sdtPr>
            <w:sdtEndPr/>
            <w:sdtContent>
              <w:tr w:rsidR="00471D53" w14:paraId="518154E1" w14:textId="77777777" w:rsidTr="00471D53">
                <w:tc>
                  <w:tcPr>
                    <w:tcW w:w="1882" w:type="pct"/>
                  </w:tcPr>
                  <w:p w14:paraId="4D353217" w14:textId="77777777" w:rsidR="00471D53" w:rsidRDefault="004F686E" w:rsidP="00471D53">
                    <w:pPr>
                      <w:autoSpaceDE w:val="0"/>
                      <w:autoSpaceDN w:val="0"/>
                      <w:adjustRightInd w:val="0"/>
                      <w:snapToGrid w:val="0"/>
                    </w:pPr>
                    <w:r>
                      <w:t>少数股东减资款</w:t>
                    </w:r>
                  </w:p>
                </w:tc>
                <w:tc>
                  <w:tcPr>
                    <w:tcW w:w="1610" w:type="pct"/>
                    <w:vAlign w:val="bottom"/>
                  </w:tcPr>
                  <w:p w14:paraId="0CCF71C8" w14:textId="77777777" w:rsidR="00471D53" w:rsidRDefault="004F686E" w:rsidP="00471D53">
                    <w:pPr>
                      <w:jc w:val="right"/>
                    </w:pPr>
                    <w:r>
                      <w:t>10,864,936.71</w:t>
                    </w:r>
                  </w:p>
                </w:tc>
                <w:tc>
                  <w:tcPr>
                    <w:tcW w:w="1508" w:type="pct"/>
                  </w:tcPr>
                  <w:p w14:paraId="0D4CAC79" w14:textId="77777777" w:rsidR="00471D53" w:rsidRDefault="004F686E" w:rsidP="00471D53">
                    <w:pPr>
                      <w:jc w:val="right"/>
                    </w:pPr>
                    <w:r>
                      <w:t>11,266,908.56</w:t>
                    </w:r>
                  </w:p>
                </w:tc>
              </w:tr>
            </w:sdtContent>
          </w:sdt>
          <w:tr w:rsidR="00471D53" w14:paraId="6E5CEDEE" w14:textId="77777777" w:rsidTr="00471D53">
            <w:sdt>
              <w:sdtPr>
                <w:tag w:val="_PLD_22dc5e1e835f424c922e14021ea4fcda"/>
                <w:id w:val="-696930189"/>
                <w:lock w:val="sdtLocked"/>
              </w:sdtPr>
              <w:sdtEndPr/>
              <w:sdtContent>
                <w:tc>
                  <w:tcPr>
                    <w:tcW w:w="1882" w:type="pct"/>
                  </w:tcPr>
                  <w:p w14:paraId="5F85F418" w14:textId="77777777" w:rsidR="00471D53" w:rsidRDefault="004F686E" w:rsidP="00471D53">
                    <w:pPr>
                      <w:autoSpaceDE w:val="0"/>
                      <w:autoSpaceDN w:val="0"/>
                      <w:adjustRightInd w:val="0"/>
                      <w:snapToGrid w:val="0"/>
                      <w:jc w:val="center"/>
                    </w:pPr>
                    <w:r>
                      <w:rPr>
                        <w:rFonts w:hint="eastAsia"/>
                      </w:rPr>
                      <w:t>合计</w:t>
                    </w:r>
                  </w:p>
                </w:tc>
              </w:sdtContent>
            </w:sdt>
            <w:tc>
              <w:tcPr>
                <w:tcW w:w="1610" w:type="pct"/>
                <w:vAlign w:val="bottom"/>
              </w:tcPr>
              <w:p w14:paraId="1403B332" w14:textId="77777777" w:rsidR="00471D53" w:rsidRDefault="004F686E" w:rsidP="00471D53">
                <w:pPr>
                  <w:jc w:val="right"/>
                </w:pPr>
                <w:r>
                  <w:t>10,864,936.71</w:t>
                </w:r>
              </w:p>
            </w:tc>
            <w:tc>
              <w:tcPr>
                <w:tcW w:w="1508" w:type="pct"/>
              </w:tcPr>
              <w:p w14:paraId="6CFE2EF9" w14:textId="77777777" w:rsidR="00471D53" w:rsidRDefault="004F686E" w:rsidP="00471D53">
                <w:pPr>
                  <w:jc w:val="right"/>
                </w:pPr>
                <w:r>
                  <w:t>11,266,908.56</w:t>
                </w:r>
              </w:p>
            </w:tc>
          </w:tr>
        </w:tbl>
        <w:p w14:paraId="7E20BDD1" w14:textId="77777777" w:rsidR="00471D53" w:rsidRDefault="00B664AF"/>
        <w:p w14:paraId="491EEC97" w14:textId="77777777" w:rsidR="00471D53" w:rsidRDefault="004F686E">
          <w:pPr>
            <w:spacing w:before="60" w:after="60"/>
          </w:pPr>
          <w:r>
            <w:rPr>
              <w:rFonts w:hint="eastAsia"/>
            </w:rPr>
            <w:t>支付的其他与筹资活动有关的现金说明：</w:t>
          </w:r>
        </w:p>
        <w:sdt>
          <w:sdtPr>
            <w:rPr>
              <w:rFonts w:hint="eastAsia"/>
            </w:rPr>
            <w:alias w:val="支付的其他与筹资活动有关的现金说明"/>
            <w:tag w:val="_GBC_7240a9be12a64ca5b011a2561db068a1"/>
            <w:id w:val="-2068632302"/>
            <w:lock w:val="sdtLocked"/>
            <w:placeholder>
              <w:docPart w:val="GBC22222222222222222222222222222"/>
            </w:placeholder>
          </w:sdtPr>
          <w:sdtEndPr/>
          <w:sdtContent>
            <w:p w14:paraId="42674BD3" w14:textId="77777777" w:rsidR="00471D53" w:rsidRDefault="004F686E">
              <w:pPr>
                <w:ind w:right="5"/>
              </w:pPr>
              <w:r>
                <w:rPr>
                  <w:rFonts w:hint="eastAsia"/>
                </w:rPr>
                <w:t>无</w:t>
              </w:r>
            </w:p>
          </w:sdtContent>
        </w:sdt>
        <w:p w14:paraId="53B2B642" w14:textId="77777777" w:rsidR="00471D53" w:rsidRDefault="00B664AF">
          <w:pPr>
            <w:ind w:right="5"/>
          </w:pPr>
        </w:p>
      </w:sdtContent>
    </w:sdt>
    <w:p w14:paraId="383A7EF8" w14:textId="77777777" w:rsidR="00471D53" w:rsidRDefault="004F686E" w:rsidP="004F686E">
      <w:pPr>
        <w:pStyle w:val="afffff7"/>
        <w:numPr>
          <w:ilvl w:val="0"/>
          <w:numId w:val="55"/>
        </w:numPr>
        <w:tabs>
          <w:tab w:val="left" w:pos="504"/>
        </w:tabs>
        <w:rPr>
          <w:rFonts w:ascii="宋体" w:hAnsi="宋体"/>
        </w:rPr>
      </w:pPr>
      <w:r>
        <w:rPr>
          <w:rFonts w:ascii="宋体" w:hAnsi="宋体" w:hint="eastAsia"/>
        </w:rPr>
        <w:t>现金流量表</w:t>
      </w:r>
      <w:r>
        <w:rPr>
          <w:rFonts w:ascii="宋体" w:hAnsi="宋体" w:hint="eastAsia"/>
          <w:szCs w:val="21"/>
        </w:rPr>
        <w:t>补充</w:t>
      </w:r>
      <w:r>
        <w:rPr>
          <w:rFonts w:ascii="宋体" w:hAnsi="宋体" w:hint="eastAsia"/>
        </w:rPr>
        <w:t>资料</w:t>
      </w:r>
    </w:p>
    <w:sdt>
      <w:sdtPr>
        <w:rPr>
          <w:rFonts w:ascii="宋体" w:hAnsi="宋体" w:cs="宋体" w:hint="eastAsia"/>
          <w:b w:val="0"/>
          <w:bCs w:val="0"/>
          <w:kern w:val="0"/>
          <w:szCs w:val="24"/>
        </w:rPr>
        <w:alias w:val="模块:现金流量表补充资料"/>
        <w:tag w:val="_GBC_7c9a174810ac4558be4e54f8019d5a1a"/>
        <w:id w:val="319704979"/>
        <w:lock w:val="sdtLocked"/>
        <w:placeholder>
          <w:docPart w:val="GBC22222222222222222222222222222"/>
        </w:placeholder>
      </w:sdtPr>
      <w:sdtEndPr/>
      <w:sdtContent>
        <w:p w14:paraId="3725B4BB" w14:textId="77777777" w:rsidR="00471D53" w:rsidRDefault="004F686E" w:rsidP="004F686E">
          <w:pPr>
            <w:pStyle w:val="afffff8"/>
            <w:numPr>
              <w:ilvl w:val="0"/>
              <w:numId w:val="90"/>
            </w:numPr>
            <w:rPr>
              <w:rFonts w:ascii="宋体" w:hAnsi="宋体"/>
            </w:rPr>
          </w:pPr>
          <w:r>
            <w:rPr>
              <w:rFonts w:ascii="宋体" w:hAnsi="宋体" w:hint="eastAsia"/>
            </w:rPr>
            <w:t>现金流量表补充资料</w:t>
          </w:r>
        </w:p>
        <w:sdt>
          <w:sdtPr>
            <w:alias w:val="是否适用：现金流量表补充资料[双击切换]"/>
            <w:tag w:val="_GBC_3ee8e178479245ea907bff86e4dcd54a"/>
            <w:id w:val="214323788"/>
            <w:lock w:val="sdtLocked"/>
            <w:placeholder>
              <w:docPart w:val="GBC22222222222222222222222222222"/>
            </w:placeholder>
          </w:sdtPr>
          <w:sdtEndPr/>
          <w:sdtContent>
            <w:p w14:paraId="3C932C19"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3FF3E78" w14:textId="356D5B24" w:rsidR="00471D53" w:rsidRDefault="004F686E">
          <w:pPr>
            <w:jc w:val="right"/>
          </w:pPr>
          <w:r>
            <w:rPr>
              <w:rFonts w:hint="eastAsia"/>
            </w:rPr>
            <w:t>单位：</w:t>
          </w:r>
          <w:sdt>
            <w:sdtPr>
              <w:rPr>
                <w:rFonts w:hint="eastAsia"/>
              </w:rPr>
              <w:alias w:val="单位：财务附注：现金流量表补充资料"/>
              <w:tag w:val="_GBC_ba7cd13a54fa44929e0fd4c276876d0e"/>
              <w:id w:val="-20538373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现金流量表补充资料"/>
              <w:tag w:val="_GBC_715164ef2f2b4f258a0908b254229361"/>
              <w:id w:val="-405936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95"/>
            <w:gridCol w:w="2730"/>
            <w:gridCol w:w="2698"/>
          </w:tblGrid>
          <w:tr w:rsidR="00471D53" w14:paraId="000EA1B2" w14:textId="77777777" w:rsidTr="00C12DCE">
            <w:sdt>
              <w:sdtPr>
                <w:tag w:val="_PLD_a6ea455751354381bc869d5865ef3d8f"/>
                <w:id w:val="-1421565513"/>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14:paraId="0E0BC5FC" w14:textId="77777777" w:rsidR="00471D53" w:rsidRDefault="004F686E">
                    <w:pPr>
                      <w:jc w:val="center"/>
                      <w:rPr>
                        <w:bCs/>
                      </w:rPr>
                    </w:pPr>
                    <w:r>
                      <w:rPr>
                        <w:rFonts w:hint="eastAsia"/>
                        <w:bCs/>
                      </w:rPr>
                      <w:t>补充资料</w:t>
                    </w:r>
                  </w:p>
                </w:tc>
              </w:sdtContent>
            </w:sdt>
            <w:sdt>
              <w:sdtPr>
                <w:tag w:val="_PLD_0687e3743a4e4e2db7b08855f23641e8"/>
                <w:id w:val="1196344006"/>
                <w:lock w:val="sdtLocked"/>
              </w:sdtPr>
              <w:sdtEndPr/>
              <w:sdtContent>
                <w:tc>
                  <w:tcPr>
                    <w:tcW w:w="1547" w:type="pct"/>
                    <w:tcBorders>
                      <w:top w:val="single" w:sz="4" w:space="0" w:color="auto"/>
                      <w:left w:val="single" w:sz="4" w:space="0" w:color="auto"/>
                      <w:bottom w:val="single" w:sz="4" w:space="0" w:color="auto"/>
                      <w:right w:val="single" w:sz="4" w:space="0" w:color="auto"/>
                    </w:tcBorders>
                    <w:shd w:val="clear" w:color="auto" w:fill="auto"/>
                    <w:vAlign w:val="center"/>
                  </w:tcPr>
                  <w:p w14:paraId="46C8FACD" w14:textId="77777777" w:rsidR="00471D53" w:rsidRDefault="004F686E">
                    <w:pPr>
                      <w:jc w:val="center"/>
                    </w:pPr>
                    <w:r>
                      <w:rPr>
                        <w:rFonts w:hint="eastAsia"/>
                      </w:rPr>
                      <w:t>本期金额</w:t>
                    </w:r>
                  </w:p>
                </w:tc>
              </w:sdtContent>
            </w:sdt>
            <w:sdt>
              <w:sdtPr>
                <w:tag w:val="_PLD_f90342638d124edea40aa264bbe65e8e"/>
                <w:id w:val="-1914701953"/>
                <w:lock w:val="sdtLocked"/>
              </w:sdtPr>
              <w:sdtEndPr/>
              <w:sdtContent>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14:paraId="24698ABC" w14:textId="77777777" w:rsidR="00471D53" w:rsidRDefault="004F686E">
                    <w:pPr>
                      <w:jc w:val="center"/>
                    </w:pPr>
                    <w:r>
                      <w:rPr>
                        <w:rFonts w:hint="eastAsia"/>
                      </w:rPr>
                      <w:t>上期金额</w:t>
                    </w:r>
                  </w:p>
                </w:tc>
              </w:sdtContent>
            </w:sdt>
          </w:tr>
          <w:tr w:rsidR="00471D53" w14:paraId="45D11BB1" w14:textId="77777777" w:rsidTr="00C12DCE">
            <w:sdt>
              <w:sdtPr>
                <w:tag w:val="_PLD_0a799a1250f946df9181881c4b1f3829"/>
                <w:id w:val="1128213599"/>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4C5DD7F8" w14:textId="77777777" w:rsidR="00471D53" w:rsidRDefault="004F686E">
                    <w:pPr>
                      <w:rPr>
                        <w:b/>
                        <w:bCs/>
                      </w:rPr>
                    </w:pPr>
                    <w:r>
                      <w:rPr>
                        <w:b/>
                        <w:bCs/>
                      </w:rPr>
                      <w:t>1</w:t>
                    </w:r>
                    <w:r>
                      <w:rPr>
                        <w:rFonts w:hint="eastAsia"/>
                        <w:b/>
                        <w:bCs/>
                      </w:rPr>
                      <w:t>．将净利润调节为经营活动现金流量：</w:t>
                    </w:r>
                  </w:p>
                </w:tc>
              </w:sdtContent>
            </w:sdt>
            <w:tc>
              <w:tcPr>
                <w:tcW w:w="1547" w:type="pct"/>
                <w:tcBorders>
                  <w:top w:val="single" w:sz="4" w:space="0" w:color="auto"/>
                  <w:left w:val="single" w:sz="4" w:space="0" w:color="auto"/>
                  <w:bottom w:val="outset" w:sz="6" w:space="0" w:color="auto"/>
                  <w:right w:val="outset" w:sz="6" w:space="0" w:color="auto"/>
                </w:tcBorders>
                <w:shd w:val="clear" w:color="auto" w:fill="auto"/>
              </w:tcPr>
              <w:p w14:paraId="3BEC37C7" w14:textId="77777777" w:rsidR="00471D53" w:rsidRDefault="00B664AF">
                <w:pPr>
                  <w:jc w:val="both"/>
                </w:pPr>
              </w:p>
            </w:tc>
            <w:tc>
              <w:tcPr>
                <w:tcW w:w="1529" w:type="pct"/>
                <w:tcBorders>
                  <w:top w:val="single" w:sz="4" w:space="0" w:color="auto"/>
                  <w:left w:val="outset" w:sz="6" w:space="0" w:color="auto"/>
                  <w:bottom w:val="outset" w:sz="6" w:space="0" w:color="auto"/>
                  <w:right w:val="outset" w:sz="6" w:space="0" w:color="auto"/>
                </w:tcBorders>
                <w:shd w:val="clear" w:color="auto" w:fill="auto"/>
              </w:tcPr>
              <w:p w14:paraId="702490BA" w14:textId="77777777" w:rsidR="00471D53" w:rsidRDefault="00B664AF">
                <w:pPr>
                  <w:jc w:val="both"/>
                  <w:rPr>
                    <w:b/>
                  </w:rPr>
                </w:pPr>
              </w:p>
            </w:tc>
          </w:tr>
          <w:tr w:rsidR="00471D53" w14:paraId="3B0DA887" w14:textId="77777777" w:rsidTr="00471D53">
            <w:sdt>
              <w:sdtPr>
                <w:tag w:val="_PLD_e8ba8a255d384555b8eb4380916342fb"/>
                <w:id w:val="-1839229571"/>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02203357" w14:textId="77777777" w:rsidR="00471D53" w:rsidRDefault="004F686E">
                    <w:r>
                      <w:rPr>
                        <w:rFonts w:hint="eastAsia"/>
                      </w:rPr>
                      <w:t>净利润</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48FFE9A9" w14:textId="77777777" w:rsidR="00471D53" w:rsidRDefault="004F686E" w:rsidP="00471D53">
                <w:pPr>
                  <w:jc w:val="right"/>
                  <w:textAlignment w:val="center"/>
                  <w:rPr>
                    <w:rFonts w:cs="Calibri"/>
                    <w:sz w:val="20"/>
                    <w:szCs w:val="20"/>
                  </w:rPr>
                </w:pPr>
                <w:r w:rsidRPr="00C67F26">
                  <w:rPr>
                    <w:rFonts w:cs="Calibri"/>
                    <w:sz w:val="20"/>
                    <w:szCs w:val="20"/>
                  </w:rPr>
                  <w:t>-618,761.37</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1CB3DC0D" w14:textId="77777777" w:rsidR="00471D53" w:rsidRDefault="004F686E" w:rsidP="00471D53">
                <w:pPr>
                  <w:jc w:val="right"/>
                  <w:textAlignment w:val="center"/>
                  <w:rPr>
                    <w:rFonts w:cs="Calibri"/>
                    <w:sz w:val="20"/>
                    <w:szCs w:val="20"/>
                  </w:rPr>
                </w:pPr>
                <w:r w:rsidRPr="0053740B">
                  <w:rPr>
                    <w:rFonts w:cs="Calibri"/>
                    <w:sz w:val="20"/>
                    <w:szCs w:val="20"/>
                  </w:rPr>
                  <w:t>-37,446,012.29</w:t>
                </w:r>
              </w:p>
            </w:tc>
          </w:tr>
          <w:tr w:rsidR="00471D53" w14:paraId="55966D41" w14:textId="77777777" w:rsidTr="00471D53">
            <w:sdt>
              <w:sdtPr>
                <w:tag w:val="_PLD_d7814036ec544a08a51db5a353f5adf0"/>
                <w:id w:val="1015507729"/>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160719AA" w14:textId="77777777" w:rsidR="00471D53" w:rsidRDefault="004F686E">
                    <w:r>
                      <w:rPr>
                        <w:rFonts w:hint="eastAsia"/>
                      </w:rPr>
                      <w:t>加：资产减值准备</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2B55E34C" w14:textId="77777777" w:rsidR="00471D53" w:rsidRDefault="004F686E" w:rsidP="00471D53">
                <w:pPr>
                  <w:jc w:val="right"/>
                  <w:textAlignment w:val="center"/>
                  <w:rPr>
                    <w:rFonts w:cs="Calibri"/>
                    <w:sz w:val="20"/>
                    <w:szCs w:val="20"/>
                  </w:rPr>
                </w:pPr>
                <w:r w:rsidRPr="00C67F26">
                  <w:rPr>
                    <w:rFonts w:cs="Calibri"/>
                    <w:sz w:val="20"/>
                    <w:szCs w:val="20"/>
                  </w:rPr>
                  <w:t>7,227,430.91</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18FDA457" w14:textId="77777777" w:rsidR="00471D53" w:rsidRDefault="004F686E" w:rsidP="00471D53">
                <w:pPr>
                  <w:jc w:val="right"/>
                  <w:textAlignment w:val="center"/>
                  <w:rPr>
                    <w:rFonts w:cs="Calibri"/>
                    <w:sz w:val="20"/>
                    <w:szCs w:val="20"/>
                  </w:rPr>
                </w:pPr>
                <w:r w:rsidRPr="0053740B">
                  <w:rPr>
                    <w:rFonts w:cs="Calibri"/>
                    <w:sz w:val="20"/>
                    <w:szCs w:val="20"/>
                  </w:rPr>
                  <w:t>10,848,486.68</w:t>
                </w:r>
              </w:p>
            </w:tc>
          </w:tr>
          <w:tr w:rsidR="00471D53" w14:paraId="4BC53D5F" w14:textId="77777777" w:rsidTr="00471D53">
            <w:tc>
              <w:tcPr>
                <w:tcW w:w="1924"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0f91129fab43498ab9fd68a182c3fe1b"/>
                  <w:id w:val="-1200470691"/>
                  <w:lock w:val="sdtLocked"/>
                </w:sdtPr>
                <w:sdtEndPr/>
                <w:sdtContent>
                  <w:p w14:paraId="06EA33AE" w14:textId="77777777" w:rsidR="00471D53" w:rsidRDefault="004F686E">
                    <w:r>
                      <w:rPr>
                        <w:rFonts w:hint="eastAsia"/>
                      </w:rPr>
                      <w:t>信用减值损失</w:t>
                    </w:r>
                  </w:p>
                </w:sdtContent>
              </w:sdt>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5C084695" w14:textId="77777777" w:rsidR="00471D53" w:rsidRDefault="004F686E" w:rsidP="00471D53">
                <w:pPr>
                  <w:jc w:val="right"/>
                  <w:textAlignment w:val="center"/>
                  <w:rPr>
                    <w:rFonts w:cs="Calibri"/>
                    <w:sz w:val="20"/>
                    <w:szCs w:val="20"/>
                  </w:rPr>
                </w:pPr>
                <w:r w:rsidRPr="00C67F26">
                  <w:rPr>
                    <w:rFonts w:cs="Calibri"/>
                    <w:sz w:val="20"/>
                    <w:szCs w:val="20"/>
                  </w:rPr>
                  <w:t>3,016,842.78</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4488B645" w14:textId="77777777" w:rsidR="00471D53" w:rsidRDefault="004F686E" w:rsidP="00471D53">
                <w:pPr>
                  <w:jc w:val="right"/>
                  <w:textAlignment w:val="center"/>
                  <w:rPr>
                    <w:rFonts w:cs="Calibri"/>
                    <w:sz w:val="20"/>
                    <w:szCs w:val="20"/>
                  </w:rPr>
                </w:pPr>
                <w:r w:rsidRPr="0053740B">
                  <w:rPr>
                    <w:rFonts w:cs="Calibri"/>
                    <w:sz w:val="20"/>
                    <w:szCs w:val="20"/>
                  </w:rPr>
                  <w:t>4,907,101.35</w:t>
                </w:r>
              </w:p>
            </w:tc>
          </w:tr>
          <w:tr w:rsidR="00471D53" w14:paraId="74252E6E" w14:textId="77777777" w:rsidTr="00471D53">
            <w:sdt>
              <w:sdtPr>
                <w:tag w:val="_PLD_874496ee98ed44629fd0638816a4a7d0"/>
                <w:id w:val="1290702630"/>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68D04A37" w14:textId="77777777" w:rsidR="00471D53" w:rsidRDefault="004F686E">
                    <w:r>
                      <w:rPr>
                        <w:rFonts w:hint="eastAsia"/>
                      </w:rPr>
                      <w:t>固定资产折旧、油气资产折耗、生产性生物资产折旧</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612435C2" w14:textId="77777777" w:rsidR="00471D53" w:rsidRDefault="004F686E" w:rsidP="00471D53">
                <w:pPr>
                  <w:jc w:val="right"/>
                  <w:textAlignment w:val="center"/>
                  <w:rPr>
                    <w:rFonts w:cs="Calibri"/>
                    <w:sz w:val="20"/>
                    <w:szCs w:val="20"/>
                  </w:rPr>
                </w:pPr>
                <w:r w:rsidRPr="00C67F26">
                  <w:rPr>
                    <w:rFonts w:cs="Calibri"/>
                    <w:sz w:val="20"/>
                    <w:szCs w:val="20"/>
                  </w:rPr>
                  <w:t>24,914,195.22</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452F39AE" w14:textId="3F4E3A70" w:rsidR="00471D53" w:rsidRPr="00066B9E" w:rsidRDefault="004F686E" w:rsidP="00471D53">
                <w:pPr>
                  <w:jc w:val="right"/>
                  <w:rPr>
                    <w:color w:val="000000"/>
                    <w:sz w:val="20"/>
                    <w:szCs w:val="20"/>
                  </w:rPr>
                </w:pPr>
                <w:r w:rsidRPr="00066B9E">
                  <w:rPr>
                    <w:rFonts w:hint="eastAsia"/>
                    <w:color w:val="000000"/>
                    <w:sz w:val="20"/>
                    <w:szCs w:val="20"/>
                  </w:rPr>
                  <w:t>25,705,559.28</w:t>
                </w:r>
              </w:p>
              <w:p w14:paraId="3FC498C2" w14:textId="77777777" w:rsidR="00471D53" w:rsidRDefault="00B664AF" w:rsidP="00471D53">
                <w:pPr>
                  <w:jc w:val="right"/>
                  <w:textAlignment w:val="center"/>
                  <w:rPr>
                    <w:rFonts w:cs="Calibri"/>
                    <w:sz w:val="20"/>
                    <w:szCs w:val="20"/>
                  </w:rPr>
                </w:pPr>
              </w:p>
            </w:tc>
          </w:tr>
          <w:tr w:rsidR="00471D53" w14:paraId="099C9061" w14:textId="77777777" w:rsidTr="006409BE">
            <w:tc>
              <w:tcPr>
                <w:tcW w:w="1924"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721d42c6411f4a4db89c85694880a730"/>
                  <w:id w:val="-76740985"/>
                  <w:lock w:val="sdtLocked"/>
                </w:sdtPr>
                <w:sdtEndPr/>
                <w:sdtContent>
                  <w:p w14:paraId="517317A3" w14:textId="77777777" w:rsidR="00471D53" w:rsidRDefault="004F686E">
                    <w:r>
                      <w:rPr>
                        <w:rFonts w:hint="eastAsia"/>
                      </w:rPr>
                      <w:t>使用权资产摊销</w:t>
                    </w:r>
                  </w:p>
                </w:sdtContent>
              </w:sdt>
            </w:tc>
            <w:tc>
              <w:tcPr>
                <w:tcW w:w="1547" w:type="pct"/>
                <w:tcBorders>
                  <w:top w:val="outset" w:sz="6" w:space="0" w:color="auto"/>
                  <w:left w:val="single" w:sz="4" w:space="0" w:color="auto"/>
                  <w:bottom w:val="outset" w:sz="6" w:space="0" w:color="auto"/>
                  <w:right w:val="outset" w:sz="6" w:space="0" w:color="auto"/>
                </w:tcBorders>
                <w:shd w:val="clear" w:color="auto" w:fill="auto"/>
              </w:tcPr>
              <w:p w14:paraId="1BFB8889" w14:textId="77777777" w:rsidR="00471D53" w:rsidRDefault="00B664AF">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1BB1A891" w14:textId="77777777" w:rsidR="00471D53" w:rsidRDefault="00B664AF">
                <w:pPr>
                  <w:jc w:val="right"/>
                </w:pPr>
              </w:p>
            </w:tc>
          </w:tr>
          <w:tr w:rsidR="00471D53" w14:paraId="78BED80E" w14:textId="77777777" w:rsidTr="00471D53">
            <w:sdt>
              <w:sdtPr>
                <w:tag w:val="_PLD_7d21857dddff4f46b0472ee6fc927660"/>
                <w:id w:val="-1204636258"/>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565B9A93" w14:textId="77777777" w:rsidR="00471D53" w:rsidRDefault="004F686E">
                    <w:r>
                      <w:rPr>
                        <w:rFonts w:hint="eastAsia"/>
                      </w:rPr>
                      <w:t>无形资产摊销</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7CE0E8AF" w14:textId="77777777" w:rsidR="00471D53" w:rsidRDefault="004F686E" w:rsidP="00471D53">
                <w:pPr>
                  <w:jc w:val="right"/>
                  <w:textAlignment w:val="center"/>
                  <w:rPr>
                    <w:rFonts w:cs="Calibri"/>
                    <w:sz w:val="20"/>
                    <w:szCs w:val="20"/>
                  </w:rPr>
                </w:pPr>
                <w:r w:rsidRPr="00C67F26">
                  <w:rPr>
                    <w:rFonts w:cs="Calibri"/>
                    <w:sz w:val="20"/>
                    <w:szCs w:val="20"/>
                  </w:rPr>
                  <w:t>1,624,585.47</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5B4B7470" w14:textId="77777777" w:rsidR="00471D53" w:rsidRDefault="004F686E" w:rsidP="00471D53">
                <w:pPr>
                  <w:jc w:val="right"/>
                  <w:textAlignment w:val="center"/>
                  <w:rPr>
                    <w:rFonts w:cs="Calibri"/>
                    <w:sz w:val="20"/>
                    <w:szCs w:val="20"/>
                  </w:rPr>
                </w:pPr>
                <w:r w:rsidRPr="0053740B">
                  <w:rPr>
                    <w:rFonts w:cs="Calibri"/>
                    <w:sz w:val="20"/>
                    <w:szCs w:val="20"/>
                  </w:rPr>
                  <w:t>1,642,525.29</w:t>
                </w:r>
              </w:p>
            </w:tc>
          </w:tr>
          <w:tr w:rsidR="00471D53" w14:paraId="30DCBF93" w14:textId="77777777" w:rsidTr="00471D53">
            <w:sdt>
              <w:sdtPr>
                <w:tag w:val="_PLD_088800a12fe645aeab959c7549cf4ee3"/>
                <w:id w:val="-532960716"/>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4C739C74" w14:textId="77777777" w:rsidR="00471D53" w:rsidRDefault="004F686E">
                    <w:r>
                      <w:rPr>
                        <w:rFonts w:hint="eastAsia"/>
                      </w:rPr>
                      <w:t>长期待摊费用摊销</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41599042" w14:textId="77777777" w:rsidR="00471D53" w:rsidRDefault="004F686E" w:rsidP="00471D53">
                <w:pPr>
                  <w:jc w:val="right"/>
                  <w:textAlignment w:val="center"/>
                  <w:rPr>
                    <w:rFonts w:cs="Calibri"/>
                    <w:sz w:val="20"/>
                    <w:szCs w:val="20"/>
                  </w:rPr>
                </w:pPr>
                <w:r w:rsidRPr="00C67F26">
                  <w:rPr>
                    <w:rFonts w:cs="Calibri"/>
                    <w:sz w:val="20"/>
                    <w:szCs w:val="20"/>
                  </w:rPr>
                  <w:t>2,060,364.39</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24000C18" w14:textId="77777777" w:rsidR="00471D53" w:rsidRDefault="004F686E" w:rsidP="00471D53">
                <w:pPr>
                  <w:jc w:val="right"/>
                  <w:textAlignment w:val="center"/>
                  <w:rPr>
                    <w:rFonts w:cs="Calibri"/>
                    <w:sz w:val="20"/>
                    <w:szCs w:val="20"/>
                  </w:rPr>
                </w:pPr>
                <w:r w:rsidRPr="0053740B">
                  <w:rPr>
                    <w:rFonts w:cs="Calibri"/>
                    <w:sz w:val="20"/>
                    <w:szCs w:val="20"/>
                  </w:rPr>
                  <w:t>2,221,991.16</w:t>
                </w:r>
              </w:p>
            </w:tc>
          </w:tr>
          <w:tr w:rsidR="00471D53" w14:paraId="754C4551" w14:textId="77777777" w:rsidTr="00471D53">
            <w:sdt>
              <w:sdtPr>
                <w:tag w:val="_PLD_8d8cb21251d34ba1815e334e49c1f773"/>
                <w:id w:val="-346645030"/>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1FAE2F7D" w14:textId="77777777" w:rsidR="00471D53" w:rsidRDefault="004F686E">
                    <w:r>
                      <w:rPr>
                        <w:rFonts w:hint="eastAsia"/>
                      </w:rPr>
                      <w:t>处置固定资产、无形资产和其他长期资产的损失（收益以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2F6C38A5" w14:textId="77777777" w:rsidR="00471D53" w:rsidRDefault="004F686E" w:rsidP="00471D53">
                <w:pPr>
                  <w:jc w:val="right"/>
                  <w:textAlignment w:val="center"/>
                  <w:rPr>
                    <w:rFonts w:cs="Calibri"/>
                    <w:sz w:val="20"/>
                    <w:szCs w:val="20"/>
                  </w:rPr>
                </w:pPr>
                <w:r w:rsidRPr="007E73F4">
                  <w:rPr>
                    <w:rFonts w:cs="Calibri"/>
                    <w:sz w:val="20"/>
                    <w:szCs w:val="20"/>
                  </w:rPr>
                  <w:t>-122,252.07</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65C5EE1A" w14:textId="77777777" w:rsidR="00471D53" w:rsidRDefault="00B664AF" w:rsidP="00471D53">
                <w:pPr>
                  <w:jc w:val="right"/>
                  <w:textAlignment w:val="center"/>
                  <w:rPr>
                    <w:rFonts w:cs="Calibri"/>
                    <w:sz w:val="20"/>
                    <w:szCs w:val="20"/>
                  </w:rPr>
                </w:pPr>
              </w:p>
            </w:tc>
          </w:tr>
          <w:tr w:rsidR="00471D53" w14:paraId="49D52D6E" w14:textId="77777777" w:rsidTr="00471D53">
            <w:sdt>
              <w:sdtPr>
                <w:tag w:val="_PLD_b85deb2045874a498f408bd31aa1c639"/>
                <w:id w:val="574553899"/>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0A0C2785" w14:textId="77777777" w:rsidR="00471D53" w:rsidRDefault="004F686E">
                    <w:r>
                      <w:rPr>
                        <w:rFonts w:hint="eastAsia"/>
                      </w:rPr>
                      <w:t>固定资产报废损失（收益以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3D103743" w14:textId="77777777" w:rsidR="00471D53" w:rsidRPr="00BF4535" w:rsidRDefault="004F686E" w:rsidP="00471D53">
                <w:pPr>
                  <w:jc w:val="right"/>
                  <w:textAlignment w:val="center"/>
                  <w:rPr>
                    <w:rFonts w:cs="Calibri"/>
                    <w:sz w:val="20"/>
                    <w:szCs w:val="20"/>
                  </w:rPr>
                </w:pPr>
                <w:r w:rsidRPr="00BF4535">
                  <w:rPr>
                    <w:rFonts w:cs="Calibri"/>
                    <w:sz w:val="20"/>
                    <w:szCs w:val="20"/>
                  </w:rPr>
                  <w:t>164,242.22</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3224D391" w14:textId="77777777" w:rsidR="00471D53" w:rsidRDefault="004F686E" w:rsidP="00471D53">
                <w:pPr>
                  <w:jc w:val="right"/>
                  <w:textAlignment w:val="center"/>
                  <w:rPr>
                    <w:rFonts w:cs="Calibri"/>
                    <w:sz w:val="20"/>
                    <w:szCs w:val="20"/>
                  </w:rPr>
                </w:pPr>
                <w:r w:rsidRPr="0053740B">
                  <w:rPr>
                    <w:rFonts w:cs="Calibri"/>
                    <w:sz w:val="20"/>
                    <w:szCs w:val="20"/>
                  </w:rPr>
                  <w:t>247,284.92</w:t>
                </w:r>
              </w:p>
            </w:tc>
          </w:tr>
          <w:tr w:rsidR="00471D53" w14:paraId="5A57FB19" w14:textId="77777777" w:rsidTr="006409BE">
            <w:sdt>
              <w:sdtPr>
                <w:tag w:val="_PLD_f5daedcccfe54756bef02f32552a8b7b"/>
                <w:id w:val="-1833667332"/>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123CA0F1" w14:textId="77777777" w:rsidR="00471D53" w:rsidRDefault="004F686E">
                    <w:r>
                      <w:rPr>
                        <w:rFonts w:hint="eastAsia"/>
                      </w:rPr>
                      <w:t>公允价值变动损失（收益以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14:paraId="66BDD817" w14:textId="77777777" w:rsidR="00471D53" w:rsidRDefault="00B664AF">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1C17DBCD" w14:textId="77777777" w:rsidR="00471D53" w:rsidRDefault="00B664AF">
                <w:pPr>
                  <w:jc w:val="right"/>
                </w:pPr>
              </w:p>
            </w:tc>
          </w:tr>
          <w:tr w:rsidR="00471D53" w14:paraId="7804CA8F" w14:textId="77777777" w:rsidTr="00471D53">
            <w:sdt>
              <w:sdtPr>
                <w:tag w:val="_PLD_1e4c1f4478ea4e41a213ed937b2d2949"/>
                <w:id w:val="1227188105"/>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7C48CDB0" w14:textId="77777777" w:rsidR="00471D53" w:rsidRDefault="004F686E">
                    <w:r>
                      <w:rPr>
                        <w:rFonts w:hint="eastAsia"/>
                      </w:rPr>
                      <w:t>财务费用（收益以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754482B1" w14:textId="77777777" w:rsidR="00471D53" w:rsidRDefault="004F686E" w:rsidP="00471D53">
                <w:pPr>
                  <w:jc w:val="right"/>
                  <w:textAlignment w:val="center"/>
                  <w:rPr>
                    <w:rFonts w:cs="Calibri"/>
                    <w:sz w:val="20"/>
                    <w:szCs w:val="20"/>
                  </w:rPr>
                </w:pPr>
                <w:r w:rsidRPr="00BF4535">
                  <w:rPr>
                    <w:rFonts w:cs="Calibri"/>
                    <w:sz w:val="20"/>
                    <w:szCs w:val="20"/>
                  </w:rPr>
                  <w:t>6,346,879.89</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6056ABAC" w14:textId="77777777" w:rsidR="00471D53" w:rsidRDefault="004F686E" w:rsidP="00471D53">
                <w:pPr>
                  <w:jc w:val="right"/>
                  <w:textAlignment w:val="center"/>
                  <w:rPr>
                    <w:rFonts w:cs="Calibri"/>
                    <w:sz w:val="20"/>
                    <w:szCs w:val="20"/>
                  </w:rPr>
                </w:pPr>
                <w:r w:rsidRPr="0053740B">
                  <w:rPr>
                    <w:rFonts w:cs="Calibri"/>
                    <w:sz w:val="20"/>
                    <w:szCs w:val="20"/>
                  </w:rPr>
                  <w:t>9,199,065.05</w:t>
                </w:r>
              </w:p>
            </w:tc>
          </w:tr>
          <w:tr w:rsidR="00471D53" w14:paraId="6B510EB8" w14:textId="77777777" w:rsidTr="00471D53">
            <w:sdt>
              <w:sdtPr>
                <w:tag w:val="_PLD_fbd860cf427540b4a431128ef763534d"/>
                <w:id w:val="1029068642"/>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6ADBD16C" w14:textId="77777777" w:rsidR="00471D53" w:rsidRDefault="004F686E">
                    <w:r>
                      <w:rPr>
                        <w:rFonts w:hint="eastAsia"/>
                      </w:rPr>
                      <w:t>投资损失（收益以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434FF7AE" w14:textId="77777777" w:rsidR="00471D53" w:rsidRDefault="004F686E" w:rsidP="00471D53">
                <w:pPr>
                  <w:jc w:val="right"/>
                  <w:textAlignment w:val="center"/>
                  <w:rPr>
                    <w:rFonts w:cs="Calibri"/>
                    <w:sz w:val="20"/>
                    <w:szCs w:val="20"/>
                  </w:rPr>
                </w:pPr>
                <w:r w:rsidRPr="00134E90">
                  <w:rPr>
                    <w:rFonts w:cs="Calibri"/>
                    <w:sz w:val="20"/>
                    <w:szCs w:val="20"/>
                  </w:rPr>
                  <w:t>-3,532,099.11</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6DDDA6B3" w14:textId="77777777" w:rsidR="00471D53" w:rsidRDefault="004F686E" w:rsidP="00471D53">
                <w:pPr>
                  <w:jc w:val="right"/>
                  <w:textAlignment w:val="center"/>
                  <w:rPr>
                    <w:rFonts w:cs="Calibri"/>
                    <w:sz w:val="20"/>
                    <w:szCs w:val="20"/>
                  </w:rPr>
                </w:pPr>
                <w:r w:rsidRPr="0053740B">
                  <w:rPr>
                    <w:rFonts w:cs="Calibri"/>
                    <w:sz w:val="20"/>
                    <w:szCs w:val="20"/>
                  </w:rPr>
                  <w:t>6,049,911.14</w:t>
                </w:r>
              </w:p>
            </w:tc>
          </w:tr>
          <w:tr w:rsidR="00471D53" w14:paraId="1F01A83A" w14:textId="77777777" w:rsidTr="00471D53">
            <w:sdt>
              <w:sdtPr>
                <w:tag w:val="_PLD_03270151a6684c629b53007cc62dad45"/>
                <w:id w:val="-1466585632"/>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1FAEA60D" w14:textId="77777777" w:rsidR="00471D53" w:rsidRDefault="004F686E">
                    <w:r>
                      <w:rPr>
                        <w:rFonts w:hint="eastAsia"/>
                      </w:rPr>
                      <w:t>递延所得税资产减少（增加以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37E5CA9E" w14:textId="77777777" w:rsidR="00471D53" w:rsidRPr="00BF4535" w:rsidRDefault="004F686E" w:rsidP="00471D53">
                <w:pPr>
                  <w:jc w:val="right"/>
                  <w:textAlignment w:val="center"/>
                  <w:rPr>
                    <w:rFonts w:cs="Calibri"/>
                    <w:sz w:val="20"/>
                    <w:szCs w:val="20"/>
                  </w:rPr>
                </w:pPr>
                <w:r w:rsidRPr="00BF4535">
                  <w:rPr>
                    <w:rFonts w:cs="Calibri"/>
                    <w:sz w:val="20"/>
                    <w:szCs w:val="20"/>
                  </w:rPr>
                  <w:t>232,836.29</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059ACEF1" w14:textId="77777777" w:rsidR="00471D53" w:rsidRDefault="004F686E" w:rsidP="00471D53">
                <w:pPr>
                  <w:jc w:val="right"/>
                  <w:textAlignment w:val="center"/>
                  <w:rPr>
                    <w:rFonts w:cs="Calibri"/>
                    <w:sz w:val="20"/>
                    <w:szCs w:val="20"/>
                  </w:rPr>
                </w:pPr>
                <w:r w:rsidRPr="0053740B">
                  <w:rPr>
                    <w:rFonts w:cs="Calibri"/>
                    <w:sz w:val="20"/>
                    <w:szCs w:val="20"/>
                  </w:rPr>
                  <w:t>140,697.27</w:t>
                </w:r>
              </w:p>
            </w:tc>
          </w:tr>
          <w:tr w:rsidR="00471D53" w14:paraId="16A3EA46" w14:textId="77777777" w:rsidTr="006409BE">
            <w:sdt>
              <w:sdtPr>
                <w:tag w:val="_PLD_100ead502e934b2fbc5c4c2289a4d701"/>
                <w:id w:val="-929655774"/>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1D9F8726" w14:textId="77777777" w:rsidR="00471D53" w:rsidRDefault="004F686E">
                    <w:r>
                      <w:rPr>
                        <w:rFonts w:hint="eastAsia"/>
                      </w:rPr>
                      <w:t>递延所得税负债增加（减少以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14:paraId="114EF252" w14:textId="77777777" w:rsidR="00471D53" w:rsidRDefault="00B664AF">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1CB2E911" w14:textId="77777777" w:rsidR="00471D53" w:rsidRDefault="00B664AF">
                <w:pPr>
                  <w:jc w:val="right"/>
                </w:pPr>
              </w:p>
            </w:tc>
          </w:tr>
          <w:tr w:rsidR="00471D53" w14:paraId="79735823" w14:textId="77777777" w:rsidTr="00471D53">
            <w:sdt>
              <w:sdtPr>
                <w:tag w:val="_PLD_75c37a3f209d4b1fb608b47efbf0f17b"/>
                <w:id w:val="1131444315"/>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295F42A4" w14:textId="77777777" w:rsidR="00471D53" w:rsidRDefault="004F686E">
                    <w:r>
                      <w:rPr>
                        <w:rFonts w:hint="eastAsia"/>
                      </w:rPr>
                      <w:t>存货的减少（增加以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0EA044B7" w14:textId="77777777" w:rsidR="00471D53" w:rsidRDefault="004F686E" w:rsidP="00471D53">
                <w:pPr>
                  <w:jc w:val="right"/>
                  <w:textAlignment w:val="center"/>
                  <w:rPr>
                    <w:rFonts w:cs="Calibri"/>
                    <w:sz w:val="20"/>
                    <w:szCs w:val="20"/>
                  </w:rPr>
                </w:pPr>
                <w:r w:rsidRPr="00C67F26">
                  <w:rPr>
                    <w:rFonts w:cs="Calibri"/>
                    <w:sz w:val="20"/>
                    <w:szCs w:val="20"/>
                  </w:rPr>
                  <w:t>-63,523,695.99</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3578E198" w14:textId="77777777" w:rsidR="00471D53" w:rsidRDefault="004F686E" w:rsidP="00471D53">
                <w:pPr>
                  <w:jc w:val="right"/>
                  <w:textAlignment w:val="center"/>
                  <w:rPr>
                    <w:rFonts w:cs="Calibri"/>
                    <w:sz w:val="20"/>
                    <w:szCs w:val="20"/>
                  </w:rPr>
                </w:pPr>
                <w:r w:rsidRPr="0053740B">
                  <w:rPr>
                    <w:rFonts w:cs="Calibri"/>
                    <w:sz w:val="20"/>
                    <w:szCs w:val="20"/>
                  </w:rPr>
                  <w:t>7,707,364.68</w:t>
                </w:r>
              </w:p>
            </w:tc>
          </w:tr>
          <w:tr w:rsidR="00471D53" w14:paraId="2187F2E1" w14:textId="77777777" w:rsidTr="00471D53">
            <w:sdt>
              <w:sdtPr>
                <w:tag w:val="_PLD_6dd2e6fa25164f14ae03eb5c47cfeb92"/>
                <w:id w:val="-1470274573"/>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59092156" w14:textId="77777777" w:rsidR="00471D53" w:rsidRDefault="004F686E">
                    <w:r>
                      <w:rPr>
                        <w:rFonts w:hint="eastAsia"/>
                      </w:rPr>
                      <w:t>经营性应收项目的减少（增加以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466015AF" w14:textId="77777777" w:rsidR="00471D53" w:rsidRDefault="004F686E" w:rsidP="00471D53">
                <w:pPr>
                  <w:jc w:val="right"/>
                  <w:textAlignment w:val="center"/>
                  <w:rPr>
                    <w:rFonts w:cs="Calibri"/>
                    <w:sz w:val="20"/>
                    <w:szCs w:val="20"/>
                  </w:rPr>
                </w:pPr>
                <w:r w:rsidRPr="00134E90">
                  <w:rPr>
                    <w:rFonts w:cs="Calibri"/>
                    <w:sz w:val="20"/>
                    <w:szCs w:val="20"/>
                  </w:rPr>
                  <w:t>17,855,691.35</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6F2CB77C" w14:textId="77777777" w:rsidR="00471D53" w:rsidRDefault="004F686E" w:rsidP="00471D53">
                <w:pPr>
                  <w:jc w:val="right"/>
                  <w:textAlignment w:val="center"/>
                  <w:rPr>
                    <w:rFonts w:cs="Calibri"/>
                    <w:sz w:val="20"/>
                    <w:szCs w:val="20"/>
                  </w:rPr>
                </w:pPr>
                <w:r w:rsidRPr="0053740B">
                  <w:rPr>
                    <w:rFonts w:cs="Calibri"/>
                    <w:sz w:val="20"/>
                    <w:szCs w:val="20"/>
                  </w:rPr>
                  <w:t>-32,452,862.68</w:t>
                </w:r>
              </w:p>
            </w:tc>
          </w:tr>
          <w:tr w:rsidR="00471D53" w14:paraId="47C94543" w14:textId="77777777" w:rsidTr="00471D53">
            <w:sdt>
              <w:sdtPr>
                <w:tag w:val="_PLD_b77e5d0637ca424ea3521e9194452268"/>
                <w:id w:val="-933123505"/>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777D6BB0" w14:textId="77777777" w:rsidR="00471D53" w:rsidRDefault="004F686E">
                    <w:r>
                      <w:rPr>
                        <w:rFonts w:hint="eastAsia"/>
                      </w:rPr>
                      <w:t>经营性应付项目的增加（减少以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43FB9A3F" w14:textId="77777777" w:rsidR="00471D53" w:rsidRDefault="004F686E" w:rsidP="00471D53">
                <w:pPr>
                  <w:jc w:val="right"/>
                  <w:textAlignment w:val="center"/>
                  <w:rPr>
                    <w:rFonts w:cs="Calibri"/>
                    <w:sz w:val="20"/>
                    <w:szCs w:val="20"/>
                  </w:rPr>
                </w:pPr>
                <w:r w:rsidRPr="00C67F26">
                  <w:rPr>
                    <w:rFonts w:cs="Calibri"/>
                    <w:sz w:val="20"/>
                    <w:szCs w:val="20"/>
                  </w:rPr>
                  <w:t>-37,694,458.11</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26593815" w14:textId="77777777" w:rsidR="00471D53" w:rsidRDefault="004F686E" w:rsidP="00471D53">
                <w:pPr>
                  <w:jc w:val="right"/>
                  <w:textAlignment w:val="center"/>
                  <w:rPr>
                    <w:rFonts w:cs="Calibri"/>
                    <w:sz w:val="20"/>
                    <w:szCs w:val="20"/>
                  </w:rPr>
                </w:pPr>
                <w:r w:rsidRPr="0053740B">
                  <w:rPr>
                    <w:rFonts w:cs="Calibri"/>
                    <w:sz w:val="20"/>
                    <w:szCs w:val="20"/>
                  </w:rPr>
                  <w:t>27,867,135.00</w:t>
                </w:r>
              </w:p>
            </w:tc>
          </w:tr>
          <w:tr w:rsidR="00471D53" w14:paraId="0233AD6F" w14:textId="77777777" w:rsidTr="006409BE">
            <w:sdt>
              <w:sdtPr>
                <w:tag w:val="_PLD_5e18d37458f0499f93803040a145120b"/>
                <w:id w:val="-132095306"/>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0F72E7B2" w14:textId="77777777" w:rsidR="00471D53" w:rsidRDefault="004F686E">
                    <w:r>
                      <w:rPr>
                        <w:rFonts w:hint="eastAsia"/>
                      </w:rPr>
                      <w:t>其他</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14:paraId="5E399100" w14:textId="77777777" w:rsidR="00471D53" w:rsidRDefault="00B664AF">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617C8CD5" w14:textId="77777777" w:rsidR="00471D53" w:rsidRDefault="00B664AF">
                <w:pPr>
                  <w:jc w:val="right"/>
                </w:pPr>
              </w:p>
            </w:tc>
          </w:tr>
          <w:tr w:rsidR="00471D53" w14:paraId="0AADCE25" w14:textId="77777777" w:rsidTr="00471D53">
            <w:sdt>
              <w:sdtPr>
                <w:tag w:val="_PLD_cbbe2315982347e89e355315dde12742"/>
                <w:id w:val="944036243"/>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13913DF0" w14:textId="77777777" w:rsidR="00471D53" w:rsidRDefault="004F686E">
                    <w:r>
                      <w:rPr>
                        <w:rFonts w:hint="eastAsia"/>
                      </w:rPr>
                      <w:t>经营活动产生的现金流量净额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71340EDB" w14:textId="77777777" w:rsidR="00471D53" w:rsidRDefault="004F686E" w:rsidP="00471D53">
                <w:pPr>
                  <w:jc w:val="right"/>
                  <w:textAlignment w:val="center"/>
                  <w:rPr>
                    <w:rFonts w:cs="Calibri"/>
                    <w:sz w:val="20"/>
                    <w:szCs w:val="20"/>
                  </w:rPr>
                </w:pPr>
                <w:r w:rsidRPr="007E73F4">
                  <w:rPr>
                    <w:rFonts w:cs="Calibri"/>
                    <w:sz w:val="20"/>
                    <w:szCs w:val="20"/>
                  </w:rPr>
                  <w:t>-42,048,198.13</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752AEC07" w14:textId="77777777" w:rsidR="00471D53" w:rsidRDefault="004F686E" w:rsidP="00471D53">
                <w:pPr>
                  <w:jc w:val="right"/>
                  <w:textAlignment w:val="center"/>
                  <w:rPr>
                    <w:rFonts w:cs="Calibri"/>
                    <w:sz w:val="20"/>
                    <w:szCs w:val="20"/>
                  </w:rPr>
                </w:pPr>
                <w:r w:rsidRPr="0053740B">
                  <w:rPr>
                    <w:rFonts w:cs="Calibri"/>
                    <w:sz w:val="20"/>
                    <w:szCs w:val="20"/>
                  </w:rPr>
                  <w:t>26,638,246.85</w:t>
                </w:r>
              </w:p>
            </w:tc>
          </w:tr>
          <w:tr w:rsidR="00471D53" w14:paraId="4F5E20ED" w14:textId="77777777" w:rsidTr="006409BE">
            <w:sdt>
              <w:sdtPr>
                <w:tag w:val="_PLD_db693429a97d44a2848da029ca6a724c"/>
                <w:id w:val="1434165572"/>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48CA0FD2" w14:textId="77777777" w:rsidR="00471D53" w:rsidRDefault="004F686E">
                    <w:pPr>
                      <w:rPr>
                        <w:b/>
                        <w:bCs/>
                      </w:rPr>
                    </w:pPr>
                    <w:r>
                      <w:rPr>
                        <w:b/>
                        <w:bCs/>
                      </w:rPr>
                      <w:t>2</w:t>
                    </w:r>
                    <w:r>
                      <w:rPr>
                        <w:rFonts w:hint="eastAsia"/>
                        <w:b/>
                        <w:bCs/>
                      </w:rPr>
                      <w:t>．不涉及现金收支的重大投资和筹资活动：</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03E2EE68" w14:textId="77777777" w:rsidR="00471D53" w:rsidRDefault="00B664AF">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33E0BA76" w14:textId="77777777" w:rsidR="00471D53" w:rsidRDefault="00B664AF">
                <w:pPr>
                  <w:jc w:val="right"/>
                </w:pPr>
              </w:p>
            </w:tc>
          </w:tr>
          <w:tr w:rsidR="00471D53" w14:paraId="657FC07B" w14:textId="77777777" w:rsidTr="006409BE">
            <w:sdt>
              <w:sdtPr>
                <w:tag w:val="_PLD_e0d4eb4cfadc41e79028384d476793f6"/>
                <w:id w:val="218259965"/>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6921F8B1" w14:textId="77777777" w:rsidR="00471D53" w:rsidRDefault="004F686E">
                    <w:r>
                      <w:rPr>
                        <w:rFonts w:hint="eastAsia"/>
                      </w:rPr>
                      <w:t>债务转为资本</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14:paraId="182CC319" w14:textId="77777777" w:rsidR="00471D53" w:rsidRDefault="00B664AF">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08454BF6" w14:textId="77777777" w:rsidR="00471D53" w:rsidRDefault="00B664AF">
                <w:pPr>
                  <w:jc w:val="right"/>
                </w:pPr>
              </w:p>
            </w:tc>
          </w:tr>
          <w:tr w:rsidR="00471D53" w14:paraId="79CDB46A" w14:textId="77777777" w:rsidTr="006409BE">
            <w:sdt>
              <w:sdtPr>
                <w:tag w:val="_PLD_4a6d0c6705c84302bf83bbc5e9c2e85e"/>
                <w:id w:val="-2116513527"/>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71081DA6" w14:textId="77777777" w:rsidR="00471D53" w:rsidRDefault="004F686E">
                    <w:r>
                      <w:rPr>
                        <w:rFonts w:hint="eastAsia"/>
                      </w:rPr>
                      <w:t>一年内到期的可转换公司债券</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14:paraId="42806F66" w14:textId="77777777" w:rsidR="00471D53" w:rsidRDefault="00B664AF">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543E6C4D" w14:textId="77777777" w:rsidR="00471D53" w:rsidRDefault="00B664AF">
                <w:pPr>
                  <w:jc w:val="right"/>
                </w:pPr>
              </w:p>
            </w:tc>
          </w:tr>
          <w:tr w:rsidR="00471D53" w14:paraId="27BBE568" w14:textId="77777777" w:rsidTr="006409BE">
            <w:sdt>
              <w:sdtPr>
                <w:tag w:val="_PLD_4eb4a0a5a3e944b293d87cc004adc11f"/>
                <w:id w:val="1753083196"/>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638F3CAB" w14:textId="77777777" w:rsidR="00471D53" w:rsidRDefault="004F686E">
                    <w:r>
                      <w:rPr>
                        <w:rFonts w:hint="eastAsia"/>
                      </w:rPr>
                      <w:t>融资租入固定资产</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14:paraId="3B8E3BE0" w14:textId="77777777" w:rsidR="00471D53" w:rsidRDefault="00B664AF">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5A9BD80A" w14:textId="77777777" w:rsidR="00471D53" w:rsidRDefault="00B664AF">
                <w:pPr>
                  <w:jc w:val="right"/>
                </w:pPr>
              </w:p>
            </w:tc>
          </w:tr>
          <w:tr w:rsidR="00471D53" w14:paraId="3C5C303E" w14:textId="77777777" w:rsidTr="006409BE">
            <w:sdt>
              <w:sdtPr>
                <w:tag w:val="_PLD_1294459fe7ee46638b8d4b78b8d8c436"/>
                <w:id w:val="-1873763990"/>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6E5C7E3A" w14:textId="77777777" w:rsidR="00471D53" w:rsidRDefault="004F686E">
                    <w:pPr>
                      <w:rPr>
                        <w:b/>
                        <w:bCs/>
                      </w:rPr>
                    </w:pPr>
                    <w:r>
                      <w:rPr>
                        <w:b/>
                        <w:bCs/>
                      </w:rPr>
                      <w:t>3</w:t>
                    </w:r>
                    <w:r>
                      <w:rPr>
                        <w:rFonts w:hint="eastAsia"/>
                        <w:b/>
                        <w:bCs/>
                      </w:rPr>
                      <w:t>．现金及现金等价物净变动情况：</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48B4A995" w14:textId="77777777" w:rsidR="00471D53" w:rsidRDefault="00B664AF">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55DA8CE6" w14:textId="77777777" w:rsidR="00471D53" w:rsidRDefault="00B664AF">
                <w:pPr>
                  <w:jc w:val="right"/>
                </w:pPr>
              </w:p>
            </w:tc>
          </w:tr>
          <w:tr w:rsidR="00471D53" w14:paraId="28CFE0C3" w14:textId="77777777" w:rsidTr="00471D53">
            <w:sdt>
              <w:sdtPr>
                <w:tag w:val="_PLD_2082c840cddc45338520bd3516ed16c9"/>
                <w:id w:val="-892035270"/>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37B38873" w14:textId="77777777" w:rsidR="00471D53" w:rsidRDefault="004F686E">
                    <w:r>
                      <w:rPr>
                        <w:rFonts w:hint="eastAsia"/>
                      </w:rPr>
                      <w:t>现金的期末余额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50D8F953" w14:textId="77777777" w:rsidR="00471D53" w:rsidRDefault="004F686E" w:rsidP="00471D53">
                <w:pPr>
                  <w:jc w:val="right"/>
                  <w:textAlignment w:val="center"/>
                  <w:rPr>
                    <w:rFonts w:cs="Calibri"/>
                    <w:sz w:val="20"/>
                    <w:szCs w:val="20"/>
                  </w:rPr>
                </w:pPr>
                <w:r w:rsidRPr="0086341D">
                  <w:rPr>
                    <w:rFonts w:cs="Calibri"/>
                    <w:sz w:val="20"/>
                    <w:szCs w:val="20"/>
                  </w:rPr>
                  <w:t>94,546,205.59</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2EE1D5B2" w14:textId="77777777" w:rsidR="00471D53" w:rsidRDefault="004F686E" w:rsidP="00471D53">
                <w:pPr>
                  <w:jc w:val="right"/>
                  <w:textAlignment w:val="center"/>
                  <w:rPr>
                    <w:rFonts w:cs="Calibri"/>
                    <w:sz w:val="20"/>
                    <w:szCs w:val="20"/>
                  </w:rPr>
                </w:pPr>
                <w:r w:rsidRPr="0053740B">
                  <w:rPr>
                    <w:rFonts w:cs="Calibri"/>
                    <w:sz w:val="20"/>
                    <w:szCs w:val="20"/>
                  </w:rPr>
                  <w:t>261,518,221.63</w:t>
                </w:r>
              </w:p>
            </w:tc>
          </w:tr>
          <w:tr w:rsidR="00471D53" w14:paraId="60F2E5F1" w14:textId="77777777" w:rsidTr="006409BE">
            <w:sdt>
              <w:sdtPr>
                <w:tag w:val="_PLD_a8039ff8828d402facebab3f2e19fcc0"/>
                <w:id w:val="-448165298"/>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49EE5D2D" w14:textId="77777777" w:rsidR="00471D53" w:rsidRDefault="004F686E">
                    <w:r>
                      <w:rPr>
                        <w:rFonts w:hint="eastAsia"/>
                      </w:rPr>
                      <w:t>减：现金的期初余额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0C497ECF" w14:textId="77777777" w:rsidR="00471D53" w:rsidRDefault="004F686E" w:rsidP="00471D53">
                <w:pPr>
                  <w:jc w:val="right"/>
                  <w:textAlignment w:val="center"/>
                  <w:rPr>
                    <w:rFonts w:cs="Calibri"/>
                    <w:sz w:val="20"/>
                    <w:szCs w:val="20"/>
                  </w:rPr>
                </w:pPr>
                <w:r w:rsidRPr="0086341D">
                  <w:rPr>
                    <w:rFonts w:cs="Calibri"/>
                    <w:sz w:val="20"/>
                    <w:szCs w:val="20"/>
                  </w:rPr>
                  <w:t>246,146,097.89</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7A927DD9" w14:textId="77777777" w:rsidR="00471D53" w:rsidRDefault="004F686E" w:rsidP="00471D53">
                <w:pPr>
                  <w:jc w:val="right"/>
                  <w:textAlignment w:val="center"/>
                  <w:rPr>
                    <w:rFonts w:cs="Calibri"/>
                    <w:sz w:val="20"/>
                    <w:szCs w:val="20"/>
                  </w:rPr>
                </w:pPr>
                <w:r w:rsidRPr="0053740B">
                  <w:rPr>
                    <w:rFonts w:cs="Calibri"/>
                    <w:sz w:val="20"/>
                    <w:szCs w:val="20"/>
                  </w:rPr>
                  <w:t>78,887,242.25</w:t>
                </w:r>
              </w:p>
            </w:tc>
          </w:tr>
          <w:tr w:rsidR="00471D53" w14:paraId="3745C95A" w14:textId="77777777" w:rsidTr="006409BE">
            <w:sdt>
              <w:sdtPr>
                <w:tag w:val="_PLD_2b870bd2bf7a4a1c8f0ef717c730f23e"/>
                <w:id w:val="919142558"/>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616C2EFB" w14:textId="77777777" w:rsidR="00471D53" w:rsidRDefault="004F686E">
                    <w:r>
                      <w:rPr>
                        <w:rFonts w:hint="eastAsia"/>
                      </w:rPr>
                      <w:t>加：现金等价物的期末余额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14:paraId="597FB765" w14:textId="77777777" w:rsidR="00471D53" w:rsidRDefault="00B664AF">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13AB8CD0" w14:textId="77777777" w:rsidR="00471D53" w:rsidRDefault="00B664AF">
                <w:pPr>
                  <w:jc w:val="right"/>
                </w:pPr>
              </w:p>
            </w:tc>
          </w:tr>
          <w:tr w:rsidR="00471D53" w14:paraId="324D8977" w14:textId="77777777" w:rsidTr="006409BE">
            <w:sdt>
              <w:sdtPr>
                <w:tag w:val="_PLD_ad568407cb3c454d95c72fc52ac36fe9"/>
                <w:id w:val="-37972121"/>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0B4A479B" w14:textId="77777777" w:rsidR="00471D53" w:rsidRDefault="004F686E">
                    <w:r>
                      <w:rPr>
                        <w:rFonts w:hint="eastAsia"/>
                      </w:rPr>
                      <w:t>减：现金等价物的期初余额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16C3B758" w14:textId="77777777" w:rsidR="00471D53" w:rsidRDefault="00B664AF">
                <w:pPr>
                  <w:jc w:val="right"/>
                  <w:rPr>
                    <w:bCs/>
                  </w:rPr>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6D5D608A" w14:textId="77777777" w:rsidR="00471D53" w:rsidRDefault="00B664AF">
                <w:pPr>
                  <w:jc w:val="right"/>
                  <w:rPr>
                    <w:bCs/>
                  </w:rPr>
                </w:pPr>
              </w:p>
            </w:tc>
          </w:tr>
          <w:tr w:rsidR="00471D53" w14:paraId="5287F44F" w14:textId="77777777" w:rsidTr="00471D53">
            <w:sdt>
              <w:sdtPr>
                <w:tag w:val="_PLD_2dd0b4fbd20a49c1991e732523abf0b3"/>
                <w:id w:val="-1159468506"/>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639F7378" w14:textId="77777777" w:rsidR="00471D53" w:rsidRDefault="004F686E">
                    <w:r>
                      <w:rPr>
                        <w:rFonts w:hint="eastAsia"/>
                      </w:rPr>
                      <w:t>现金及现金等价物净增加额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436C0E68" w14:textId="77777777" w:rsidR="00471D53" w:rsidRDefault="004F686E" w:rsidP="00471D53">
                <w:pPr>
                  <w:jc w:val="right"/>
                  <w:textAlignment w:val="center"/>
                  <w:rPr>
                    <w:rFonts w:cs="Calibri"/>
                    <w:sz w:val="20"/>
                    <w:szCs w:val="20"/>
                  </w:rPr>
                </w:pPr>
                <w:r w:rsidRPr="009D50E3">
                  <w:rPr>
                    <w:rFonts w:cs="Calibri"/>
                    <w:sz w:val="20"/>
                    <w:szCs w:val="20"/>
                  </w:rPr>
                  <w:t>-151,599,892.30</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23717450" w14:textId="77777777" w:rsidR="00471D53" w:rsidRDefault="004F686E" w:rsidP="00471D53">
                <w:pPr>
                  <w:jc w:val="right"/>
                  <w:textAlignment w:val="center"/>
                  <w:rPr>
                    <w:rFonts w:cs="Calibri"/>
                    <w:sz w:val="20"/>
                    <w:szCs w:val="20"/>
                  </w:rPr>
                </w:pPr>
                <w:r w:rsidRPr="0053740B">
                  <w:rPr>
                    <w:rFonts w:cs="Calibri"/>
                    <w:sz w:val="20"/>
                    <w:szCs w:val="20"/>
                  </w:rPr>
                  <w:t>182,630,979.38</w:t>
                </w:r>
              </w:p>
            </w:tc>
          </w:tr>
        </w:tbl>
        <w:p w14:paraId="44B44CF8" w14:textId="77777777" w:rsidR="00471D53" w:rsidRDefault="00B664AF"/>
      </w:sdtContent>
    </w:sdt>
    <w:sdt>
      <w:sdtPr>
        <w:rPr>
          <w:rFonts w:ascii="宋体" w:hAnsi="宋体" w:cs="宋体" w:hint="eastAsia"/>
          <w:b w:val="0"/>
          <w:bCs w:val="0"/>
          <w:kern w:val="0"/>
          <w:szCs w:val="21"/>
        </w:rPr>
        <w:alias w:val="模块:取得子公司支付的现金净额"/>
        <w:tag w:val="_GBC_4161b069f3a54b4a9ab95be67b841c16"/>
        <w:id w:val="-182288618"/>
        <w:lock w:val="sdtLocked"/>
        <w:placeholder>
          <w:docPart w:val="GBC22222222222222222222222222222"/>
        </w:placeholder>
      </w:sdtPr>
      <w:sdtEndPr/>
      <w:sdtContent>
        <w:p w14:paraId="68610DD0" w14:textId="77777777" w:rsidR="00471D53" w:rsidRDefault="004F686E" w:rsidP="004F686E">
          <w:pPr>
            <w:pStyle w:val="afffff8"/>
            <w:numPr>
              <w:ilvl w:val="0"/>
              <w:numId w:val="90"/>
            </w:numPr>
            <w:rPr>
              <w:rFonts w:ascii="宋体" w:hAnsi="宋体"/>
              <w:szCs w:val="21"/>
            </w:rPr>
          </w:pPr>
          <w:r>
            <w:rPr>
              <w:rFonts w:ascii="宋体" w:hAnsi="宋体" w:cs="宋体" w:hint="eastAsia"/>
              <w:bCs w:val="0"/>
              <w:kern w:val="0"/>
              <w:szCs w:val="21"/>
            </w:rPr>
            <w:t>本期支付的</w:t>
          </w:r>
          <w:r>
            <w:rPr>
              <w:rFonts w:ascii="宋体" w:hAnsi="宋体" w:hint="eastAsia"/>
              <w:szCs w:val="21"/>
            </w:rPr>
            <w:t>取得子公司的现金净额</w:t>
          </w:r>
        </w:p>
        <w:sdt>
          <w:sdtPr>
            <w:alias w:val="是否适用：本期支付的取得子公司的现金净额[双击切换]"/>
            <w:tag w:val="_GBC_903abae67cad448caac446eb8c11fd79"/>
            <w:id w:val="351074354"/>
            <w:lock w:val="sdtLocked"/>
            <w:placeholder>
              <w:docPart w:val="GBC22222222222222222222222222222"/>
            </w:placeholder>
          </w:sdtPr>
          <w:sdtEndPr/>
          <w:sdtContent>
            <w:p w14:paraId="6E5BE117"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4A5595D" w14:textId="77777777" w:rsidR="00471D53" w:rsidRDefault="00B664AF"/>
      </w:sdtContent>
    </w:sdt>
    <w:p w14:paraId="1E27AF30" w14:textId="77777777" w:rsidR="00471D53" w:rsidRDefault="00B664AF"/>
    <w:sdt>
      <w:sdtPr>
        <w:rPr>
          <w:rFonts w:ascii="宋体" w:hAnsi="宋体" w:cs="宋体" w:hint="eastAsia"/>
          <w:b w:val="0"/>
          <w:bCs w:val="0"/>
          <w:kern w:val="0"/>
          <w:szCs w:val="24"/>
        </w:rPr>
        <w:alias w:val="模块:处置子公司收到的现金净额"/>
        <w:tag w:val="_GBC_2b15b115b2104b8ba327581d943203fc"/>
        <w:id w:val="-1229061973"/>
        <w:lock w:val="sdtLocked"/>
        <w:placeholder>
          <w:docPart w:val="GBC22222222222222222222222222222"/>
        </w:placeholder>
      </w:sdtPr>
      <w:sdtEndPr/>
      <w:sdtContent>
        <w:p w14:paraId="7378973B" w14:textId="77777777" w:rsidR="00471D53" w:rsidRDefault="004F686E" w:rsidP="004F686E">
          <w:pPr>
            <w:pStyle w:val="afffff8"/>
            <w:numPr>
              <w:ilvl w:val="0"/>
              <w:numId w:val="90"/>
            </w:numPr>
            <w:rPr>
              <w:rFonts w:ascii="宋体" w:hAnsi="宋体"/>
            </w:rPr>
          </w:pPr>
          <w:r>
            <w:rPr>
              <w:rFonts w:ascii="宋体" w:hAnsi="宋体" w:cs="宋体" w:hint="eastAsia"/>
              <w:bCs w:val="0"/>
              <w:kern w:val="0"/>
              <w:szCs w:val="24"/>
            </w:rPr>
            <w:t>本期收到的</w:t>
          </w:r>
          <w:r>
            <w:rPr>
              <w:rFonts w:ascii="宋体" w:hAnsi="宋体" w:hint="eastAsia"/>
            </w:rPr>
            <w:t>处置子公司的现金净额</w:t>
          </w:r>
        </w:p>
        <w:sdt>
          <w:sdtPr>
            <w:alias w:val="是否适用：本期收到的处置子公司的现金净额[双击切换]"/>
            <w:tag w:val="_GBC_2b4b13c85bb94d13bb7b7edebe0a9f5a"/>
            <w:id w:val="-900435383"/>
            <w:lock w:val="sdtLocked"/>
            <w:placeholder>
              <w:docPart w:val="GBC22222222222222222222222222222"/>
            </w:placeholder>
          </w:sdtPr>
          <w:sdtEndPr/>
          <w:sdtContent>
            <w:p w14:paraId="744EA79E"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2CFE2DA" w14:textId="77777777" w:rsidR="00471D53" w:rsidRDefault="00B664AF"/>
      </w:sdtContent>
    </w:sdt>
    <w:sdt>
      <w:sdtPr>
        <w:rPr>
          <w:rFonts w:ascii="宋体" w:hAnsi="宋体" w:cs="宋体" w:hint="eastAsia"/>
          <w:b w:val="0"/>
          <w:bCs w:val="0"/>
          <w:kern w:val="0"/>
          <w:szCs w:val="21"/>
        </w:rPr>
        <w:alias w:val="模块:现金和现金等价物的构成"/>
        <w:tag w:val="_GBC_b19766ead83d4bb4825af61147af6138"/>
        <w:id w:val="243615301"/>
        <w:lock w:val="sdtLocked"/>
        <w:placeholder>
          <w:docPart w:val="GBC22222222222222222222222222222"/>
        </w:placeholder>
      </w:sdtPr>
      <w:sdtEndPr>
        <w:rPr>
          <w:rFonts w:hint="default"/>
          <w:szCs w:val="22"/>
        </w:rPr>
      </w:sdtEndPr>
      <w:sdtContent>
        <w:p w14:paraId="050C6AD5" w14:textId="77777777" w:rsidR="00471D53" w:rsidRDefault="004F686E" w:rsidP="004F686E">
          <w:pPr>
            <w:pStyle w:val="afffff8"/>
            <w:numPr>
              <w:ilvl w:val="0"/>
              <w:numId w:val="90"/>
            </w:numPr>
            <w:rPr>
              <w:rFonts w:ascii="宋体" w:hAnsi="宋体"/>
              <w:szCs w:val="21"/>
            </w:rPr>
          </w:pPr>
          <w:r>
            <w:rPr>
              <w:rFonts w:ascii="宋体" w:hAnsi="宋体" w:hint="eastAsia"/>
              <w:szCs w:val="21"/>
            </w:rPr>
            <w:t>现金和现金</w:t>
          </w:r>
          <w:r>
            <w:rPr>
              <w:rFonts w:ascii="宋体" w:hAnsi="宋体" w:hint="eastAsia"/>
            </w:rPr>
            <w:t>等价物</w:t>
          </w:r>
          <w:r>
            <w:rPr>
              <w:rFonts w:ascii="宋体" w:hAnsi="宋体" w:hint="eastAsia"/>
              <w:szCs w:val="21"/>
            </w:rPr>
            <w:t>的构成</w:t>
          </w:r>
        </w:p>
        <w:sdt>
          <w:sdtPr>
            <w:alias w:val="是否适用：现金和现金等价物的构成[双击切换]"/>
            <w:tag w:val="_GBC_4f1d477972634410a6ea7bdfaf766947"/>
            <w:id w:val="-431661537"/>
            <w:lock w:val="sdtLocked"/>
            <w:placeholder>
              <w:docPart w:val="GBC22222222222222222222222222222"/>
            </w:placeholder>
          </w:sdtPr>
          <w:sdtEndPr/>
          <w:sdtContent>
            <w:p w14:paraId="486B18FD"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0241296" w14:textId="73777F03" w:rsidR="00471D53" w:rsidRDefault="004F686E">
          <w:pPr>
            <w:jc w:val="right"/>
            <w:rPr>
              <w:b/>
              <w:szCs w:val="21"/>
            </w:rPr>
          </w:pPr>
          <w:r>
            <w:rPr>
              <w:rFonts w:hint="eastAsia"/>
            </w:rPr>
            <w:t>单位：</w:t>
          </w:r>
          <w:sdt>
            <w:sdtPr>
              <w:rPr>
                <w:rFonts w:hint="eastAsia"/>
              </w:rPr>
              <w:alias w:val="单位：财务附注：现金和现金等价物的构成"/>
              <w:tag w:val="_GBC_b65333ba6aec402382c4acbbb6696560"/>
              <w:id w:val="55359179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现金和现金等价物的构成"/>
              <w:tag w:val="_GBC_15cada3a52264083942ef83a40fa25a0"/>
              <w:id w:val="-18177917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9"/>
            <w:gridCol w:w="2848"/>
            <w:gridCol w:w="2666"/>
          </w:tblGrid>
          <w:tr w:rsidR="00471D53" w14:paraId="0009E54D" w14:textId="77777777" w:rsidTr="00D84D13">
            <w:trPr>
              <w:trHeight w:val="285"/>
            </w:trPr>
            <w:sdt>
              <w:sdtPr>
                <w:tag w:val="_PLD_d5bf85e9303e4843a7623f09eae933c6"/>
                <w:id w:val="1498690562"/>
                <w:lock w:val="sdtLocked"/>
              </w:sdtPr>
              <w:sdtEndPr/>
              <w:sdtContent>
                <w:tc>
                  <w:tcPr>
                    <w:tcW w:w="1875" w:type="pct"/>
                    <w:tcBorders>
                      <w:bottom w:val="single" w:sz="4" w:space="0" w:color="auto"/>
                    </w:tcBorders>
                    <w:shd w:val="clear" w:color="auto" w:fill="auto"/>
                    <w:vAlign w:val="center"/>
                  </w:tcPr>
                  <w:p w14:paraId="56C495CA" w14:textId="77777777" w:rsidR="00471D53" w:rsidRDefault="004F686E" w:rsidP="00471D53">
                    <w:pPr>
                      <w:ind w:leftChars="-51" w:left="-107"/>
                      <w:jc w:val="center"/>
                      <w:rPr>
                        <w:szCs w:val="21"/>
                      </w:rPr>
                    </w:pPr>
                    <w:r>
                      <w:rPr>
                        <w:rFonts w:hint="eastAsia"/>
                        <w:szCs w:val="21"/>
                      </w:rPr>
                      <w:t>项目</w:t>
                    </w:r>
                  </w:p>
                </w:tc>
              </w:sdtContent>
            </w:sdt>
            <w:sdt>
              <w:sdtPr>
                <w:tag w:val="_PLD_e3a960d2f6474687b9cbaec3f1075e19"/>
                <w:id w:val="2072689616"/>
                <w:lock w:val="sdtLocked"/>
              </w:sdtPr>
              <w:sdtEndPr/>
              <w:sdtContent>
                <w:tc>
                  <w:tcPr>
                    <w:tcW w:w="1614" w:type="pct"/>
                    <w:shd w:val="clear" w:color="auto" w:fill="auto"/>
                    <w:vAlign w:val="center"/>
                  </w:tcPr>
                  <w:p w14:paraId="31E80A00" w14:textId="77777777" w:rsidR="00471D53" w:rsidRDefault="004F686E">
                    <w:pPr>
                      <w:jc w:val="center"/>
                      <w:rPr>
                        <w:szCs w:val="21"/>
                      </w:rPr>
                    </w:pPr>
                    <w:r>
                      <w:rPr>
                        <w:rFonts w:hint="eastAsia"/>
                        <w:szCs w:val="21"/>
                      </w:rPr>
                      <w:t>期末余额</w:t>
                    </w:r>
                  </w:p>
                </w:tc>
              </w:sdtContent>
            </w:sdt>
            <w:sdt>
              <w:sdtPr>
                <w:tag w:val="_PLD_0d0909eba9344c8ab96c7fb88f0b117a"/>
                <w:id w:val="2108146925"/>
                <w:lock w:val="sdtLocked"/>
              </w:sdtPr>
              <w:sdtEndPr/>
              <w:sdtContent>
                <w:tc>
                  <w:tcPr>
                    <w:tcW w:w="1511" w:type="pct"/>
                    <w:shd w:val="clear" w:color="auto" w:fill="auto"/>
                  </w:tcPr>
                  <w:p w14:paraId="12AB1782" w14:textId="77777777" w:rsidR="00471D53" w:rsidRDefault="004F686E">
                    <w:pPr>
                      <w:jc w:val="center"/>
                      <w:rPr>
                        <w:szCs w:val="21"/>
                      </w:rPr>
                    </w:pPr>
                    <w:r>
                      <w:rPr>
                        <w:rFonts w:hint="eastAsia"/>
                        <w:szCs w:val="21"/>
                      </w:rPr>
                      <w:t>期初余额</w:t>
                    </w:r>
                  </w:p>
                </w:tc>
              </w:sdtContent>
            </w:sdt>
          </w:tr>
          <w:tr w:rsidR="00471D53" w14:paraId="1E913645" w14:textId="77777777" w:rsidTr="00471D53">
            <w:trPr>
              <w:trHeight w:val="285"/>
            </w:trPr>
            <w:sdt>
              <w:sdtPr>
                <w:tag w:val="_PLD_6a173ce99a864661a21d726eff0af5b3"/>
                <w:id w:val="368034005"/>
                <w:lock w:val="sdtLocked"/>
              </w:sdtPr>
              <w:sdtEndPr/>
              <w:sdtContent>
                <w:tc>
                  <w:tcPr>
                    <w:tcW w:w="1875" w:type="pct"/>
                    <w:shd w:val="clear" w:color="auto" w:fill="auto"/>
                    <w:vAlign w:val="center"/>
                  </w:tcPr>
                  <w:p w14:paraId="16AE7711" w14:textId="77777777" w:rsidR="00471D53" w:rsidRDefault="004F686E">
                    <w:pPr>
                      <w:rPr>
                        <w:szCs w:val="21"/>
                      </w:rPr>
                    </w:pPr>
                    <w:r>
                      <w:rPr>
                        <w:rFonts w:hint="eastAsia"/>
                        <w:szCs w:val="21"/>
                      </w:rPr>
                      <w:t>一、现金</w:t>
                    </w:r>
                  </w:p>
                </w:tc>
              </w:sdtContent>
            </w:sdt>
            <w:tc>
              <w:tcPr>
                <w:tcW w:w="1614" w:type="pct"/>
                <w:shd w:val="clear" w:color="auto" w:fill="auto"/>
                <w:vAlign w:val="center"/>
              </w:tcPr>
              <w:p w14:paraId="77FC2393" w14:textId="77777777" w:rsidR="00471D53" w:rsidRPr="007E73F4" w:rsidRDefault="004F686E" w:rsidP="00471D53">
                <w:pPr>
                  <w:jc w:val="right"/>
                  <w:rPr>
                    <w:rFonts w:cs="Calibri"/>
                    <w:sz w:val="22"/>
                    <w:szCs w:val="22"/>
                  </w:rPr>
                </w:pPr>
                <w:r w:rsidRPr="007E73F4">
                  <w:rPr>
                    <w:rFonts w:cs="Calibri"/>
                    <w:sz w:val="22"/>
                    <w:szCs w:val="22"/>
                  </w:rPr>
                  <w:t>94,546,205.59</w:t>
                </w:r>
              </w:p>
            </w:tc>
            <w:tc>
              <w:tcPr>
                <w:tcW w:w="1511" w:type="pct"/>
                <w:shd w:val="clear" w:color="auto" w:fill="auto"/>
                <w:vAlign w:val="center"/>
              </w:tcPr>
              <w:p w14:paraId="1EEDA9A1" w14:textId="2CDE0E8C" w:rsidR="00471D53" w:rsidRPr="007E73F4" w:rsidRDefault="004F686E" w:rsidP="00471D53">
                <w:pPr>
                  <w:jc w:val="right"/>
                  <w:rPr>
                    <w:rFonts w:cs="Calibri"/>
                    <w:sz w:val="22"/>
                    <w:szCs w:val="22"/>
                  </w:rPr>
                </w:pPr>
                <w:r w:rsidRPr="002F1F8C">
                  <w:rPr>
                    <w:rFonts w:cs="Calibri"/>
                    <w:sz w:val="22"/>
                    <w:szCs w:val="22"/>
                  </w:rPr>
                  <w:t>246,146,097.89</w:t>
                </w:r>
              </w:p>
            </w:tc>
          </w:tr>
          <w:tr w:rsidR="002F1F8C" w14:paraId="43B522AD" w14:textId="77777777" w:rsidTr="00471D53">
            <w:trPr>
              <w:trHeight w:val="285"/>
            </w:trPr>
            <w:sdt>
              <w:sdtPr>
                <w:tag w:val="_PLD_00026e2b0a3d4b39803714a078a9949d"/>
                <w:id w:val="312225029"/>
                <w:lock w:val="sdtLocked"/>
              </w:sdtPr>
              <w:sdtEndPr/>
              <w:sdtContent>
                <w:tc>
                  <w:tcPr>
                    <w:tcW w:w="1875" w:type="pct"/>
                    <w:shd w:val="clear" w:color="auto" w:fill="auto"/>
                    <w:vAlign w:val="center"/>
                  </w:tcPr>
                  <w:p w14:paraId="43DBB20F" w14:textId="77777777" w:rsidR="002F1F8C" w:rsidRDefault="004F686E" w:rsidP="002F1F8C">
                    <w:pPr>
                      <w:rPr>
                        <w:szCs w:val="21"/>
                      </w:rPr>
                    </w:pPr>
                    <w:r>
                      <w:rPr>
                        <w:rFonts w:hint="eastAsia"/>
                        <w:szCs w:val="21"/>
                      </w:rPr>
                      <w:t>其中：库存现金</w:t>
                    </w:r>
                  </w:p>
                </w:tc>
              </w:sdtContent>
            </w:sdt>
            <w:tc>
              <w:tcPr>
                <w:tcW w:w="1614" w:type="pct"/>
                <w:shd w:val="clear" w:color="auto" w:fill="auto"/>
                <w:vAlign w:val="center"/>
              </w:tcPr>
              <w:p w14:paraId="5690E811" w14:textId="77777777" w:rsidR="002F1F8C" w:rsidRPr="007E73F4" w:rsidRDefault="004F686E" w:rsidP="002F1F8C">
                <w:pPr>
                  <w:jc w:val="right"/>
                  <w:rPr>
                    <w:rFonts w:cs="Calibri"/>
                    <w:sz w:val="22"/>
                    <w:szCs w:val="22"/>
                  </w:rPr>
                </w:pPr>
                <w:r w:rsidRPr="007E73F4">
                  <w:rPr>
                    <w:rFonts w:cs="Calibri"/>
                    <w:sz w:val="22"/>
                    <w:szCs w:val="22"/>
                  </w:rPr>
                  <w:t>159,034.95</w:t>
                </w:r>
              </w:p>
            </w:tc>
            <w:tc>
              <w:tcPr>
                <w:tcW w:w="1511" w:type="pct"/>
                <w:shd w:val="clear" w:color="auto" w:fill="auto"/>
                <w:vAlign w:val="center"/>
              </w:tcPr>
              <w:p w14:paraId="1023AD1E" w14:textId="12001626" w:rsidR="002F1F8C" w:rsidRPr="007E73F4" w:rsidRDefault="004F686E" w:rsidP="002F1F8C">
                <w:pPr>
                  <w:jc w:val="right"/>
                  <w:rPr>
                    <w:rFonts w:cs="Calibri"/>
                    <w:sz w:val="22"/>
                    <w:szCs w:val="22"/>
                  </w:rPr>
                </w:pPr>
                <w:r>
                  <w:t>125,049.92</w:t>
                </w:r>
              </w:p>
            </w:tc>
          </w:tr>
          <w:tr w:rsidR="002F1F8C" w14:paraId="3F1DDE6B" w14:textId="77777777" w:rsidTr="00471D53">
            <w:trPr>
              <w:trHeight w:val="285"/>
            </w:trPr>
            <w:sdt>
              <w:sdtPr>
                <w:tag w:val="_PLD_703c5ac82ddb4fd7bf9d7372c95ca92f"/>
                <w:id w:val="1537534036"/>
                <w:lock w:val="sdtLocked"/>
              </w:sdtPr>
              <w:sdtEndPr/>
              <w:sdtContent>
                <w:tc>
                  <w:tcPr>
                    <w:tcW w:w="1875" w:type="pct"/>
                    <w:shd w:val="clear" w:color="auto" w:fill="auto"/>
                    <w:vAlign w:val="center"/>
                  </w:tcPr>
                  <w:p w14:paraId="17002B54" w14:textId="77777777" w:rsidR="002F1F8C" w:rsidRDefault="004F686E" w:rsidP="002F1F8C">
                    <w:pPr>
                      <w:rPr>
                        <w:szCs w:val="21"/>
                      </w:rPr>
                    </w:pPr>
                    <w:r>
                      <w:rPr>
                        <w:rFonts w:hint="eastAsia"/>
                        <w:szCs w:val="21"/>
                      </w:rPr>
                      <w:t xml:space="preserve">　　可随时用于支付的银行存款</w:t>
                    </w:r>
                  </w:p>
                </w:tc>
              </w:sdtContent>
            </w:sdt>
            <w:tc>
              <w:tcPr>
                <w:tcW w:w="1614" w:type="pct"/>
                <w:shd w:val="clear" w:color="auto" w:fill="auto"/>
                <w:vAlign w:val="center"/>
              </w:tcPr>
              <w:p w14:paraId="681BDBE7" w14:textId="77777777" w:rsidR="002F1F8C" w:rsidRPr="007E73F4" w:rsidRDefault="004F686E" w:rsidP="002F1F8C">
                <w:pPr>
                  <w:jc w:val="right"/>
                  <w:rPr>
                    <w:rFonts w:cs="Calibri"/>
                    <w:sz w:val="22"/>
                    <w:szCs w:val="22"/>
                  </w:rPr>
                </w:pPr>
                <w:r w:rsidRPr="007E73F4">
                  <w:rPr>
                    <w:rFonts w:cs="Calibri"/>
                    <w:sz w:val="22"/>
                    <w:szCs w:val="22"/>
                  </w:rPr>
                  <w:t>94,387,170.64</w:t>
                </w:r>
              </w:p>
            </w:tc>
            <w:tc>
              <w:tcPr>
                <w:tcW w:w="1511" w:type="pct"/>
                <w:shd w:val="clear" w:color="auto" w:fill="auto"/>
                <w:vAlign w:val="center"/>
              </w:tcPr>
              <w:p w14:paraId="0FD024BB" w14:textId="49A600B9" w:rsidR="002F1F8C" w:rsidRPr="007E73F4" w:rsidRDefault="004F686E" w:rsidP="002F1F8C">
                <w:pPr>
                  <w:jc w:val="right"/>
                  <w:rPr>
                    <w:rFonts w:cs="Calibri"/>
                    <w:sz w:val="22"/>
                    <w:szCs w:val="22"/>
                  </w:rPr>
                </w:pPr>
                <w:r>
                  <w:t>246,146,097.89</w:t>
                </w:r>
              </w:p>
            </w:tc>
          </w:tr>
          <w:tr w:rsidR="002F1F8C" w14:paraId="01DB3FEC" w14:textId="77777777" w:rsidTr="007D6174">
            <w:trPr>
              <w:trHeight w:val="285"/>
            </w:trPr>
            <w:sdt>
              <w:sdtPr>
                <w:tag w:val="_PLD_39dc74346d4643c0b32e781621749a55"/>
                <w:id w:val="960458445"/>
                <w:lock w:val="sdtLocked"/>
              </w:sdtPr>
              <w:sdtEndPr/>
              <w:sdtContent>
                <w:tc>
                  <w:tcPr>
                    <w:tcW w:w="1875" w:type="pct"/>
                    <w:shd w:val="clear" w:color="auto" w:fill="auto"/>
                    <w:vAlign w:val="center"/>
                  </w:tcPr>
                  <w:p w14:paraId="77EA8975" w14:textId="77777777" w:rsidR="002F1F8C" w:rsidRDefault="004F686E" w:rsidP="002F1F8C">
                    <w:pPr>
                      <w:rPr>
                        <w:szCs w:val="21"/>
                      </w:rPr>
                    </w:pPr>
                    <w:r>
                      <w:rPr>
                        <w:rFonts w:hint="eastAsia"/>
                        <w:szCs w:val="21"/>
                      </w:rPr>
                      <w:t xml:space="preserve">　　可随时用于支付的其他货币资金</w:t>
                    </w:r>
                  </w:p>
                </w:tc>
              </w:sdtContent>
            </w:sdt>
            <w:tc>
              <w:tcPr>
                <w:tcW w:w="1614" w:type="pct"/>
                <w:shd w:val="clear" w:color="auto" w:fill="auto"/>
              </w:tcPr>
              <w:p w14:paraId="3F8D3942" w14:textId="77777777" w:rsidR="002F1F8C" w:rsidRDefault="00B664AF" w:rsidP="002F1F8C">
                <w:pPr>
                  <w:jc w:val="right"/>
                  <w:rPr>
                    <w:szCs w:val="21"/>
                  </w:rPr>
                </w:pPr>
              </w:p>
            </w:tc>
            <w:tc>
              <w:tcPr>
                <w:tcW w:w="1511" w:type="pct"/>
                <w:shd w:val="clear" w:color="auto" w:fill="auto"/>
                <w:vAlign w:val="center"/>
              </w:tcPr>
              <w:p w14:paraId="27DA6ED9" w14:textId="0508C928" w:rsidR="002F1F8C" w:rsidRDefault="00B664AF" w:rsidP="002F1F8C">
                <w:pPr>
                  <w:jc w:val="right"/>
                  <w:rPr>
                    <w:szCs w:val="21"/>
                  </w:rPr>
                </w:pPr>
              </w:p>
            </w:tc>
          </w:tr>
          <w:tr w:rsidR="002F1F8C" w14:paraId="40033B4B" w14:textId="77777777" w:rsidTr="007D6174">
            <w:trPr>
              <w:trHeight w:val="285"/>
            </w:trPr>
            <w:sdt>
              <w:sdtPr>
                <w:tag w:val="_PLD_7097f486896a4d4b9e7684bc82f808ad"/>
                <w:id w:val="326177980"/>
                <w:lock w:val="sdtLocked"/>
              </w:sdtPr>
              <w:sdtEndPr/>
              <w:sdtContent>
                <w:tc>
                  <w:tcPr>
                    <w:tcW w:w="1875" w:type="pct"/>
                    <w:shd w:val="clear" w:color="auto" w:fill="auto"/>
                    <w:vAlign w:val="center"/>
                  </w:tcPr>
                  <w:p w14:paraId="532FDFFB" w14:textId="77777777" w:rsidR="002F1F8C" w:rsidRDefault="004F686E" w:rsidP="002F1F8C">
                    <w:pPr>
                      <w:rPr>
                        <w:szCs w:val="21"/>
                      </w:rPr>
                    </w:pPr>
                    <w:r>
                      <w:rPr>
                        <w:rFonts w:hint="eastAsia"/>
                        <w:szCs w:val="21"/>
                      </w:rPr>
                      <w:t xml:space="preserve">　　可用于支付的存放中央银行款项</w:t>
                    </w:r>
                  </w:p>
                </w:tc>
              </w:sdtContent>
            </w:sdt>
            <w:tc>
              <w:tcPr>
                <w:tcW w:w="1614" w:type="pct"/>
                <w:shd w:val="clear" w:color="auto" w:fill="auto"/>
              </w:tcPr>
              <w:p w14:paraId="465F125B" w14:textId="77777777" w:rsidR="002F1F8C" w:rsidRDefault="00B664AF" w:rsidP="002F1F8C">
                <w:pPr>
                  <w:jc w:val="right"/>
                  <w:rPr>
                    <w:szCs w:val="21"/>
                  </w:rPr>
                </w:pPr>
              </w:p>
            </w:tc>
            <w:tc>
              <w:tcPr>
                <w:tcW w:w="1511" w:type="pct"/>
                <w:shd w:val="clear" w:color="auto" w:fill="auto"/>
                <w:vAlign w:val="center"/>
              </w:tcPr>
              <w:p w14:paraId="484FFF55" w14:textId="33D9A51E" w:rsidR="002F1F8C" w:rsidRDefault="00B664AF" w:rsidP="002F1F8C">
                <w:pPr>
                  <w:jc w:val="right"/>
                  <w:rPr>
                    <w:szCs w:val="21"/>
                  </w:rPr>
                </w:pPr>
              </w:p>
            </w:tc>
          </w:tr>
          <w:tr w:rsidR="002F1F8C" w14:paraId="4054EE75" w14:textId="77777777" w:rsidTr="00D84D13">
            <w:trPr>
              <w:trHeight w:val="285"/>
            </w:trPr>
            <w:sdt>
              <w:sdtPr>
                <w:tag w:val="_PLD_8fe90894e50c435a91887b8f6baf82f7"/>
                <w:id w:val="-1440296449"/>
                <w:lock w:val="sdtLocked"/>
              </w:sdtPr>
              <w:sdtEndPr/>
              <w:sdtContent>
                <w:tc>
                  <w:tcPr>
                    <w:tcW w:w="1875" w:type="pct"/>
                    <w:shd w:val="clear" w:color="auto" w:fill="auto"/>
                    <w:vAlign w:val="center"/>
                  </w:tcPr>
                  <w:p w14:paraId="570676CC" w14:textId="77777777" w:rsidR="002F1F8C" w:rsidRDefault="004F686E" w:rsidP="002F1F8C">
                    <w:pPr>
                      <w:rPr>
                        <w:szCs w:val="21"/>
                      </w:rPr>
                    </w:pPr>
                    <w:r>
                      <w:rPr>
                        <w:rFonts w:hint="eastAsia"/>
                        <w:szCs w:val="21"/>
                      </w:rPr>
                      <w:t xml:space="preserve">　　存放同业款项</w:t>
                    </w:r>
                  </w:p>
                </w:tc>
              </w:sdtContent>
            </w:sdt>
            <w:tc>
              <w:tcPr>
                <w:tcW w:w="1614" w:type="pct"/>
                <w:shd w:val="clear" w:color="auto" w:fill="auto"/>
              </w:tcPr>
              <w:p w14:paraId="0D6120AB" w14:textId="77777777" w:rsidR="002F1F8C" w:rsidRDefault="00B664AF" w:rsidP="002F1F8C">
                <w:pPr>
                  <w:jc w:val="right"/>
                  <w:rPr>
                    <w:szCs w:val="21"/>
                  </w:rPr>
                </w:pPr>
              </w:p>
            </w:tc>
            <w:tc>
              <w:tcPr>
                <w:tcW w:w="1511" w:type="pct"/>
                <w:shd w:val="clear" w:color="auto" w:fill="auto"/>
              </w:tcPr>
              <w:p w14:paraId="622F0162" w14:textId="77777777" w:rsidR="002F1F8C" w:rsidRDefault="00B664AF" w:rsidP="002F1F8C">
                <w:pPr>
                  <w:jc w:val="right"/>
                  <w:rPr>
                    <w:szCs w:val="21"/>
                  </w:rPr>
                </w:pPr>
              </w:p>
            </w:tc>
          </w:tr>
          <w:tr w:rsidR="002F1F8C" w14:paraId="25BAA9CF" w14:textId="77777777" w:rsidTr="00D84D13">
            <w:trPr>
              <w:trHeight w:val="285"/>
            </w:trPr>
            <w:sdt>
              <w:sdtPr>
                <w:tag w:val="_PLD_5808644810d54676897d0089359a83b2"/>
                <w:id w:val="-1684745121"/>
                <w:lock w:val="sdtLocked"/>
              </w:sdtPr>
              <w:sdtEndPr/>
              <w:sdtContent>
                <w:tc>
                  <w:tcPr>
                    <w:tcW w:w="1875" w:type="pct"/>
                    <w:shd w:val="clear" w:color="auto" w:fill="auto"/>
                    <w:vAlign w:val="center"/>
                  </w:tcPr>
                  <w:p w14:paraId="154CE0E3" w14:textId="77777777" w:rsidR="002F1F8C" w:rsidRDefault="004F686E" w:rsidP="002F1F8C">
                    <w:pPr>
                      <w:rPr>
                        <w:szCs w:val="21"/>
                      </w:rPr>
                    </w:pPr>
                    <w:r>
                      <w:rPr>
                        <w:rFonts w:hint="eastAsia"/>
                        <w:szCs w:val="21"/>
                      </w:rPr>
                      <w:t xml:space="preserve">　　拆放同业款项</w:t>
                    </w:r>
                  </w:p>
                </w:tc>
              </w:sdtContent>
            </w:sdt>
            <w:tc>
              <w:tcPr>
                <w:tcW w:w="1614" w:type="pct"/>
                <w:shd w:val="clear" w:color="auto" w:fill="auto"/>
              </w:tcPr>
              <w:p w14:paraId="3235EC6F" w14:textId="77777777" w:rsidR="002F1F8C" w:rsidRDefault="00B664AF" w:rsidP="002F1F8C">
                <w:pPr>
                  <w:jc w:val="right"/>
                  <w:rPr>
                    <w:szCs w:val="21"/>
                  </w:rPr>
                </w:pPr>
              </w:p>
            </w:tc>
            <w:tc>
              <w:tcPr>
                <w:tcW w:w="1511" w:type="pct"/>
                <w:shd w:val="clear" w:color="auto" w:fill="auto"/>
              </w:tcPr>
              <w:p w14:paraId="59BC3E9B" w14:textId="77777777" w:rsidR="002F1F8C" w:rsidRDefault="00B664AF" w:rsidP="002F1F8C">
                <w:pPr>
                  <w:jc w:val="right"/>
                  <w:rPr>
                    <w:szCs w:val="21"/>
                  </w:rPr>
                </w:pPr>
              </w:p>
            </w:tc>
          </w:tr>
          <w:tr w:rsidR="002F1F8C" w14:paraId="53B1A273" w14:textId="77777777" w:rsidTr="00D84D13">
            <w:trPr>
              <w:trHeight w:val="285"/>
            </w:trPr>
            <w:sdt>
              <w:sdtPr>
                <w:tag w:val="_PLD_908c5e073add4fa8a13ed054455379d9"/>
                <w:id w:val="-1135487841"/>
                <w:lock w:val="sdtLocked"/>
              </w:sdtPr>
              <w:sdtEndPr/>
              <w:sdtContent>
                <w:tc>
                  <w:tcPr>
                    <w:tcW w:w="1875" w:type="pct"/>
                    <w:shd w:val="clear" w:color="auto" w:fill="auto"/>
                    <w:vAlign w:val="center"/>
                  </w:tcPr>
                  <w:p w14:paraId="05113A74" w14:textId="77777777" w:rsidR="002F1F8C" w:rsidRDefault="004F686E" w:rsidP="002F1F8C">
                    <w:pPr>
                      <w:rPr>
                        <w:szCs w:val="21"/>
                      </w:rPr>
                    </w:pPr>
                    <w:r>
                      <w:rPr>
                        <w:rFonts w:hint="eastAsia"/>
                        <w:szCs w:val="21"/>
                      </w:rPr>
                      <w:t>二、现金等价物</w:t>
                    </w:r>
                  </w:p>
                </w:tc>
              </w:sdtContent>
            </w:sdt>
            <w:tc>
              <w:tcPr>
                <w:tcW w:w="1614" w:type="pct"/>
                <w:shd w:val="clear" w:color="auto" w:fill="auto"/>
              </w:tcPr>
              <w:p w14:paraId="52C145D7" w14:textId="77777777" w:rsidR="002F1F8C" w:rsidRDefault="00B664AF" w:rsidP="002F1F8C">
                <w:pPr>
                  <w:jc w:val="right"/>
                  <w:rPr>
                    <w:szCs w:val="21"/>
                  </w:rPr>
                </w:pPr>
              </w:p>
            </w:tc>
            <w:tc>
              <w:tcPr>
                <w:tcW w:w="1511" w:type="pct"/>
                <w:shd w:val="clear" w:color="auto" w:fill="auto"/>
              </w:tcPr>
              <w:p w14:paraId="5BA13D18" w14:textId="77777777" w:rsidR="002F1F8C" w:rsidRDefault="00B664AF" w:rsidP="002F1F8C">
                <w:pPr>
                  <w:jc w:val="right"/>
                  <w:rPr>
                    <w:szCs w:val="21"/>
                  </w:rPr>
                </w:pPr>
              </w:p>
            </w:tc>
          </w:tr>
          <w:tr w:rsidR="002F1F8C" w14:paraId="274F7792" w14:textId="77777777" w:rsidTr="00D84D13">
            <w:trPr>
              <w:trHeight w:val="285"/>
            </w:trPr>
            <w:sdt>
              <w:sdtPr>
                <w:tag w:val="_PLD_652a861f17ac4cdd9702ff63844d42cc"/>
                <w:id w:val="1324321510"/>
                <w:lock w:val="sdtLocked"/>
              </w:sdtPr>
              <w:sdtEndPr/>
              <w:sdtContent>
                <w:tc>
                  <w:tcPr>
                    <w:tcW w:w="1875" w:type="pct"/>
                    <w:tcBorders>
                      <w:bottom w:val="single" w:sz="4" w:space="0" w:color="auto"/>
                    </w:tcBorders>
                    <w:shd w:val="clear" w:color="auto" w:fill="auto"/>
                    <w:vAlign w:val="center"/>
                  </w:tcPr>
                  <w:p w14:paraId="60B202B9" w14:textId="77777777" w:rsidR="002F1F8C" w:rsidRDefault="004F686E" w:rsidP="002F1F8C">
                    <w:pPr>
                      <w:rPr>
                        <w:szCs w:val="21"/>
                      </w:rPr>
                    </w:pPr>
                    <w:r>
                      <w:rPr>
                        <w:rFonts w:hint="eastAsia"/>
                        <w:szCs w:val="21"/>
                      </w:rPr>
                      <w:t>其中：三个月内到期的债券投资</w:t>
                    </w:r>
                  </w:p>
                </w:tc>
              </w:sdtContent>
            </w:sdt>
            <w:tc>
              <w:tcPr>
                <w:tcW w:w="1614" w:type="pct"/>
                <w:tcBorders>
                  <w:bottom w:val="single" w:sz="4" w:space="0" w:color="auto"/>
                </w:tcBorders>
                <w:shd w:val="clear" w:color="auto" w:fill="auto"/>
              </w:tcPr>
              <w:p w14:paraId="6D183D64" w14:textId="77777777" w:rsidR="002F1F8C" w:rsidRDefault="00B664AF" w:rsidP="002F1F8C">
                <w:pPr>
                  <w:jc w:val="right"/>
                  <w:rPr>
                    <w:szCs w:val="21"/>
                  </w:rPr>
                </w:pPr>
              </w:p>
            </w:tc>
            <w:tc>
              <w:tcPr>
                <w:tcW w:w="1511" w:type="pct"/>
                <w:tcBorders>
                  <w:bottom w:val="single" w:sz="4" w:space="0" w:color="auto"/>
                </w:tcBorders>
                <w:shd w:val="clear" w:color="auto" w:fill="auto"/>
              </w:tcPr>
              <w:p w14:paraId="55F807C8" w14:textId="77777777" w:rsidR="002F1F8C" w:rsidRDefault="00B664AF" w:rsidP="002F1F8C">
                <w:pPr>
                  <w:jc w:val="right"/>
                  <w:rPr>
                    <w:szCs w:val="21"/>
                  </w:rPr>
                </w:pPr>
              </w:p>
            </w:tc>
          </w:tr>
          <w:sdt>
            <w:sdtPr>
              <w:rPr>
                <w:szCs w:val="21"/>
              </w:rPr>
              <w:alias w:val="现金等价物明细"/>
              <w:tag w:val="_GBC_bf462c693b1047ea944cb9d373647912"/>
              <w:id w:val="10967752"/>
              <w:lock w:val="sdtLocked"/>
            </w:sdtPr>
            <w:sdtEndPr>
              <w:rPr>
                <w:rFonts w:hint="eastAsia"/>
              </w:rPr>
            </w:sdtEndPr>
            <w:sdtContent>
              <w:tr w:rsidR="002F1F8C" w14:paraId="00C280CC" w14:textId="77777777" w:rsidTr="00D84D13">
                <w:trPr>
                  <w:trHeight w:val="285"/>
                </w:trPr>
                <w:tc>
                  <w:tcPr>
                    <w:tcW w:w="1875" w:type="pct"/>
                    <w:shd w:val="clear" w:color="auto" w:fill="auto"/>
                    <w:vAlign w:val="center"/>
                  </w:tcPr>
                  <w:p w14:paraId="2EAAF5CE" w14:textId="77777777" w:rsidR="002F1F8C" w:rsidRDefault="00B664AF" w:rsidP="002F1F8C">
                    <w:pPr>
                      <w:rPr>
                        <w:szCs w:val="21"/>
                      </w:rPr>
                    </w:pPr>
                  </w:p>
                </w:tc>
                <w:tc>
                  <w:tcPr>
                    <w:tcW w:w="1614" w:type="pct"/>
                    <w:shd w:val="clear" w:color="auto" w:fill="auto"/>
                  </w:tcPr>
                  <w:p w14:paraId="6FA4AA89" w14:textId="77777777" w:rsidR="002F1F8C" w:rsidRDefault="00B664AF" w:rsidP="002F1F8C">
                    <w:pPr>
                      <w:jc w:val="right"/>
                      <w:rPr>
                        <w:szCs w:val="21"/>
                      </w:rPr>
                    </w:pPr>
                  </w:p>
                </w:tc>
                <w:tc>
                  <w:tcPr>
                    <w:tcW w:w="1511" w:type="pct"/>
                    <w:shd w:val="clear" w:color="auto" w:fill="auto"/>
                  </w:tcPr>
                  <w:p w14:paraId="1B2F4DA5" w14:textId="77777777" w:rsidR="002F1F8C" w:rsidRDefault="00B664AF" w:rsidP="002F1F8C">
                    <w:pPr>
                      <w:jc w:val="right"/>
                      <w:rPr>
                        <w:szCs w:val="21"/>
                      </w:rPr>
                    </w:pPr>
                  </w:p>
                </w:tc>
              </w:tr>
            </w:sdtContent>
          </w:sdt>
          <w:sdt>
            <w:sdtPr>
              <w:rPr>
                <w:szCs w:val="21"/>
              </w:rPr>
              <w:alias w:val="现金等价物明细"/>
              <w:tag w:val="_GBC_bf462c693b1047ea944cb9d373647912"/>
              <w:id w:val="97683571"/>
              <w:lock w:val="sdtLocked"/>
            </w:sdtPr>
            <w:sdtEndPr>
              <w:rPr>
                <w:rFonts w:hint="eastAsia"/>
              </w:rPr>
            </w:sdtEndPr>
            <w:sdtContent>
              <w:tr w:rsidR="002F1F8C" w14:paraId="60C11E16" w14:textId="77777777" w:rsidTr="00D84D13">
                <w:trPr>
                  <w:trHeight w:val="285"/>
                </w:trPr>
                <w:tc>
                  <w:tcPr>
                    <w:tcW w:w="1875" w:type="pct"/>
                    <w:shd w:val="clear" w:color="auto" w:fill="auto"/>
                    <w:vAlign w:val="center"/>
                  </w:tcPr>
                  <w:p w14:paraId="311C2687" w14:textId="77777777" w:rsidR="002F1F8C" w:rsidRDefault="00B664AF" w:rsidP="002F1F8C">
                    <w:pPr>
                      <w:rPr>
                        <w:szCs w:val="21"/>
                      </w:rPr>
                    </w:pPr>
                  </w:p>
                </w:tc>
                <w:tc>
                  <w:tcPr>
                    <w:tcW w:w="1614" w:type="pct"/>
                    <w:shd w:val="clear" w:color="auto" w:fill="auto"/>
                  </w:tcPr>
                  <w:p w14:paraId="1FFEE728" w14:textId="77777777" w:rsidR="002F1F8C" w:rsidRDefault="00B664AF" w:rsidP="002F1F8C">
                    <w:pPr>
                      <w:jc w:val="right"/>
                      <w:rPr>
                        <w:szCs w:val="21"/>
                      </w:rPr>
                    </w:pPr>
                  </w:p>
                </w:tc>
                <w:tc>
                  <w:tcPr>
                    <w:tcW w:w="1511" w:type="pct"/>
                    <w:shd w:val="clear" w:color="auto" w:fill="auto"/>
                  </w:tcPr>
                  <w:p w14:paraId="10F6A268" w14:textId="77777777" w:rsidR="002F1F8C" w:rsidRDefault="00B664AF" w:rsidP="002F1F8C">
                    <w:pPr>
                      <w:jc w:val="right"/>
                      <w:rPr>
                        <w:szCs w:val="21"/>
                      </w:rPr>
                    </w:pPr>
                  </w:p>
                </w:tc>
              </w:tr>
            </w:sdtContent>
          </w:sdt>
          <w:tr w:rsidR="002F1F8C" w14:paraId="6C29B0E1" w14:textId="77777777" w:rsidTr="00471D53">
            <w:trPr>
              <w:trHeight w:val="285"/>
            </w:trPr>
            <w:sdt>
              <w:sdtPr>
                <w:tag w:val="_PLD_4d07bfc591df4d5483e486621c246fa5"/>
                <w:id w:val="285239639"/>
                <w:lock w:val="sdtLocked"/>
              </w:sdtPr>
              <w:sdtEndPr/>
              <w:sdtContent>
                <w:tc>
                  <w:tcPr>
                    <w:tcW w:w="1875" w:type="pct"/>
                    <w:shd w:val="clear" w:color="auto" w:fill="auto"/>
                    <w:vAlign w:val="center"/>
                  </w:tcPr>
                  <w:p w14:paraId="6152DDE6" w14:textId="77777777" w:rsidR="002F1F8C" w:rsidRDefault="004F686E" w:rsidP="002F1F8C">
                    <w:pPr>
                      <w:rPr>
                        <w:szCs w:val="21"/>
                      </w:rPr>
                    </w:pPr>
                    <w:r>
                      <w:rPr>
                        <w:rFonts w:hint="eastAsia"/>
                        <w:szCs w:val="21"/>
                      </w:rPr>
                      <w:t>三、期末现金及现金等价物余额</w:t>
                    </w:r>
                  </w:p>
                </w:tc>
              </w:sdtContent>
            </w:sdt>
            <w:tc>
              <w:tcPr>
                <w:tcW w:w="1614" w:type="pct"/>
                <w:shd w:val="clear" w:color="auto" w:fill="auto"/>
                <w:vAlign w:val="center"/>
              </w:tcPr>
              <w:p w14:paraId="48074F08" w14:textId="77777777" w:rsidR="002F1F8C" w:rsidRPr="007E73F4" w:rsidRDefault="004F686E" w:rsidP="002F1F8C">
                <w:pPr>
                  <w:jc w:val="right"/>
                  <w:rPr>
                    <w:rFonts w:cs="Calibri"/>
                    <w:sz w:val="22"/>
                    <w:szCs w:val="22"/>
                  </w:rPr>
                </w:pPr>
                <w:r w:rsidRPr="007E73F4">
                  <w:rPr>
                    <w:rFonts w:cs="Calibri"/>
                    <w:sz w:val="22"/>
                    <w:szCs w:val="22"/>
                  </w:rPr>
                  <w:t>94,546,205.59</w:t>
                </w:r>
              </w:p>
            </w:tc>
            <w:tc>
              <w:tcPr>
                <w:tcW w:w="1511" w:type="pct"/>
                <w:shd w:val="clear" w:color="auto" w:fill="auto"/>
                <w:vAlign w:val="center"/>
              </w:tcPr>
              <w:p w14:paraId="5B6FD420" w14:textId="65553B5C" w:rsidR="002F1F8C" w:rsidRPr="007E73F4" w:rsidRDefault="004F686E" w:rsidP="002F1F8C">
                <w:pPr>
                  <w:jc w:val="right"/>
                  <w:rPr>
                    <w:rFonts w:cs="Calibri"/>
                    <w:sz w:val="22"/>
                    <w:szCs w:val="22"/>
                  </w:rPr>
                </w:pPr>
                <w:r w:rsidRPr="002F1F8C">
                  <w:rPr>
                    <w:rFonts w:cs="Calibri"/>
                    <w:sz w:val="22"/>
                    <w:szCs w:val="22"/>
                  </w:rPr>
                  <w:t>246,146,097.89</w:t>
                </w:r>
              </w:p>
            </w:tc>
          </w:tr>
          <w:tr w:rsidR="002F1F8C" w14:paraId="140F6B88" w14:textId="77777777" w:rsidTr="00D84D13">
            <w:trPr>
              <w:trHeight w:val="285"/>
            </w:trPr>
            <w:sdt>
              <w:sdtPr>
                <w:tag w:val="_PLD_a7dfcdf890714f1c879ddf8d09d45801"/>
                <w:id w:val="-2055227164"/>
                <w:lock w:val="sdtLocked"/>
              </w:sdtPr>
              <w:sdtEndPr/>
              <w:sdtContent>
                <w:tc>
                  <w:tcPr>
                    <w:tcW w:w="1875" w:type="pct"/>
                    <w:shd w:val="clear" w:color="auto" w:fill="auto"/>
                    <w:vAlign w:val="center"/>
                  </w:tcPr>
                  <w:p w14:paraId="16739F1A" w14:textId="77777777" w:rsidR="002F1F8C" w:rsidRDefault="004F686E" w:rsidP="002F1F8C">
                    <w:pPr>
                      <w:rPr>
                        <w:szCs w:val="21"/>
                      </w:rPr>
                    </w:pPr>
                    <w:r>
                      <w:rPr>
                        <w:rFonts w:hint="eastAsia"/>
                        <w:szCs w:val="21"/>
                      </w:rPr>
                      <w:t>其中：母公司或集团内子公司使用受限制的现金和现金等价物</w:t>
                    </w:r>
                  </w:p>
                </w:tc>
              </w:sdtContent>
            </w:sdt>
            <w:tc>
              <w:tcPr>
                <w:tcW w:w="1614" w:type="pct"/>
                <w:shd w:val="clear" w:color="auto" w:fill="auto"/>
              </w:tcPr>
              <w:p w14:paraId="42603D46" w14:textId="77777777" w:rsidR="002F1F8C" w:rsidRDefault="00B664AF" w:rsidP="002F1F8C">
                <w:pPr>
                  <w:jc w:val="right"/>
                  <w:rPr>
                    <w:szCs w:val="21"/>
                  </w:rPr>
                </w:pPr>
              </w:p>
            </w:tc>
            <w:tc>
              <w:tcPr>
                <w:tcW w:w="1511" w:type="pct"/>
                <w:shd w:val="clear" w:color="auto" w:fill="auto"/>
              </w:tcPr>
              <w:p w14:paraId="011B6C1E" w14:textId="77777777" w:rsidR="002F1F8C" w:rsidRDefault="00B664AF" w:rsidP="002F1F8C">
                <w:pPr>
                  <w:jc w:val="right"/>
                  <w:rPr>
                    <w:szCs w:val="21"/>
                  </w:rPr>
                </w:pPr>
              </w:p>
            </w:tc>
          </w:tr>
        </w:tbl>
        <w:p w14:paraId="2E9CEF77" w14:textId="77777777" w:rsidR="00471D53" w:rsidRDefault="00B664AF">
          <w:pPr>
            <w:spacing w:before="60" w:after="60"/>
            <w:rPr>
              <w:szCs w:val="21"/>
            </w:rPr>
          </w:pPr>
        </w:p>
        <w:p w14:paraId="559B69E7" w14:textId="77777777" w:rsidR="00471D53" w:rsidRDefault="004F686E">
          <w:pPr>
            <w:spacing w:before="60" w:after="60"/>
            <w:rPr>
              <w:szCs w:val="21"/>
            </w:rPr>
          </w:pPr>
          <w:r>
            <w:rPr>
              <w:rFonts w:hint="eastAsia"/>
              <w:szCs w:val="21"/>
            </w:rPr>
            <w:t>其他说明：</w:t>
          </w:r>
        </w:p>
        <w:sdt>
          <w:sdtPr>
            <w:rPr>
              <w:szCs w:val="21"/>
            </w:rPr>
            <w:alias w:val="是否适用：现金流量表补充资料的说明[双击切换]"/>
            <w:tag w:val="_GBC_2212775a699e4804b260767f3ce34d12"/>
            <w:id w:val="1821999305"/>
            <w:lock w:val="sdtLocked"/>
            <w:placeholder>
              <w:docPart w:val="GBC22222222222222222222222222222"/>
            </w:placeholder>
          </w:sdtPr>
          <w:sdtEndPr/>
          <w:sdtContent>
            <w:p w14:paraId="463AB7EB" w14:textId="77777777" w:rsidR="00471D53" w:rsidRDefault="004F686E" w:rsidP="00471D53">
              <w:pPr>
                <w:spacing w:before="60" w:after="60"/>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14:paraId="3C16DE82" w14:textId="77777777" w:rsidR="00471D53" w:rsidRDefault="00B664AF"/>
    <w:sdt>
      <w:sdtPr>
        <w:rPr>
          <w:rFonts w:ascii="宋体" w:hAnsi="宋体" w:cs="宋体" w:hint="eastAsia"/>
          <w:b w:val="0"/>
          <w:bCs w:val="0"/>
          <w:kern w:val="0"/>
          <w:szCs w:val="21"/>
        </w:rPr>
        <w:alias w:val="模块:所有者权益变动表项目注释"/>
        <w:tag w:val="_GBC_f67b410d6123403caa2cee84fe191372"/>
        <w:id w:val="-1225987183"/>
        <w:lock w:val="sdtLocked"/>
        <w:placeholder>
          <w:docPart w:val="GBC22222222222222222222222222222"/>
        </w:placeholder>
      </w:sdtPr>
      <w:sdtEndPr>
        <w:rPr>
          <w:rFonts w:cstheme="minorBidi" w:hint="default"/>
          <w:color w:val="FF00FF"/>
        </w:rPr>
      </w:sdtEndPr>
      <w:sdtContent>
        <w:p w14:paraId="5462FC1D"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所有者权益变动表项目注释</w:t>
          </w:r>
        </w:p>
        <w:p w14:paraId="746ECB09" w14:textId="77777777" w:rsidR="00471D53" w:rsidRDefault="004F686E">
          <w:r>
            <w:rPr>
              <w:rFonts w:hint="eastAsia"/>
            </w:rPr>
            <w:t>说明对上年期末余额进行调整的“其他”项目名称及调整金额等事项：</w:t>
          </w:r>
        </w:p>
        <w:sdt>
          <w:sdtPr>
            <w:alias w:val="是否适用：所有者权益变动表项目注释[双击切换]"/>
            <w:tag w:val="_GBC_61e84760a3fd4a58bb2421e95114d9b8"/>
            <w:id w:val="509331380"/>
            <w:lock w:val="sdtLocked"/>
            <w:placeholder>
              <w:docPart w:val="GBC22222222222222222222222222222"/>
            </w:placeholder>
          </w:sdtPr>
          <w:sdtEndPr/>
          <w:sdtContent>
            <w:p w14:paraId="597004B1" w14:textId="77777777" w:rsidR="00471D53" w:rsidRDefault="004F686E" w:rsidP="00471D53">
              <w:pPr>
                <w:rPr>
                  <w:color w:val="FF00FF"/>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34855118" w14:textId="77777777" w:rsidR="00471D53" w:rsidRDefault="00B664AF">
      <w:pPr>
        <w:rPr>
          <w:szCs w:val="21"/>
        </w:rPr>
      </w:pPr>
    </w:p>
    <w:sdt>
      <w:sdtPr>
        <w:rPr>
          <w:rFonts w:ascii="宋体" w:hAnsi="宋体" w:cs="宋体" w:hint="eastAsia"/>
          <w:b w:val="0"/>
          <w:bCs w:val="0"/>
          <w:kern w:val="0"/>
          <w:szCs w:val="21"/>
        </w:rPr>
        <w:alias w:val="模块:所有权或使用权受到限制的资产"/>
        <w:tag w:val="_GBC_5707fab016f94974bd447e81a88f0183"/>
        <w:id w:val="998007463"/>
        <w:lock w:val="sdtLocked"/>
        <w:placeholder>
          <w:docPart w:val="GBC22222222222222222222222222222"/>
        </w:placeholder>
      </w:sdtPr>
      <w:sdtEndPr/>
      <w:sdtContent>
        <w:p w14:paraId="7984D630"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52ae2d0e78d54772b7a0dc510205909b"/>
            <w:id w:val="-2003575663"/>
            <w:lock w:val="sdtLocked"/>
            <w:placeholder>
              <w:docPart w:val="GBC22222222222222222222222222222"/>
            </w:placeholder>
          </w:sdtPr>
          <w:sdtEndPr/>
          <w:sdtContent>
            <w:p w14:paraId="7819F2C9"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EE17C15" w14:textId="02013628" w:rsidR="00471D53" w:rsidRDefault="004F686E">
          <w:pPr>
            <w:pStyle w:val="affffff7"/>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所有权或使用权受到限制的资产"/>
              <w:tag w:val="_GBC_41b1006bd71a4064aa99aa2d8750f726"/>
              <w:id w:val="2309023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币种：</w:t>
          </w:r>
          <w:sdt>
            <w:sdtPr>
              <w:rPr>
                <w:rFonts w:ascii="宋体" w:hAnsi="宋体" w:hint="eastAsia"/>
                <w:szCs w:val="21"/>
              </w:rPr>
              <w:alias w:val="币种：财务附注：所有权或使用权受到限制的资产"/>
              <w:tag w:val="_GBC_065bcf44f5b34330834a869f23aa83bc"/>
              <w:id w:val="291486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4"/>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3130"/>
            <w:gridCol w:w="3021"/>
            <w:gridCol w:w="2672"/>
          </w:tblGrid>
          <w:tr w:rsidR="00471D53" w14:paraId="60CB0598" w14:textId="77777777" w:rsidTr="00D84D13">
            <w:sdt>
              <w:sdtPr>
                <w:tag w:val="_PLD_e7174293a57c4a70b40b8a0fb698e34e"/>
                <w:id w:val="-2029330339"/>
                <w:lock w:val="sdtLocked"/>
              </w:sdtPr>
              <w:sdtEnd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14:paraId="49F2FB27" w14:textId="77777777" w:rsidR="00471D53" w:rsidRDefault="004F686E">
                    <w:pPr>
                      <w:jc w:val="center"/>
                      <w:rPr>
                        <w:szCs w:val="21"/>
                      </w:rPr>
                    </w:pPr>
                    <w:r>
                      <w:rPr>
                        <w:rFonts w:hint="eastAsia"/>
                        <w:szCs w:val="21"/>
                      </w:rPr>
                      <w:t>项目</w:t>
                    </w:r>
                  </w:p>
                </w:tc>
              </w:sdtContent>
            </w:sdt>
            <w:sdt>
              <w:sdtPr>
                <w:tag w:val="_PLD_67814dca9df1416c87e0ce7ca03c3bf6"/>
                <w:id w:val="-887945542"/>
                <w:lock w:val="sdtLocked"/>
              </w:sdtPr>
              <w:sdtEndPr/>
              <w:sdtContent>
                <w:tc>
                  <w:tcPr>
                    <w:tcW w:w="1712" w:type="pct"/>
                    <w:tcBorders>
                      <w:top w:val="single" w:sz="4" w:space="0" w:color="auto"/>
                      <w:left w:val="single" w:sz="4" w:space="0" w:color="auto"/>
                      <w:bottom w:val="single" w:sz="4" w:space="0" w:color="auto"/>
                      <w:right w:val="single" w:sz="4" w:space="0" w:color="auto"/>
                    </w:tcBorders>
                    <w:shd w:val="clear" w:color="auto" w:fill="auto"/>
                  </w:tcPr>
                  <w:p w14:paraId="287A5EDD" w14:textId="77777777" w:rsidR="00471D53" w:rsidRDefault="004F686E">
                    <w:pPr>
                      <w:jc w:val="center"/>
                      <w:rPr>
                        <w:szCs w:val="21"/>
                      </w:rPr>
                    </w:pPr>
                    <w:r>
                      <w:rPr>
                        <w:rFonts w:hint="eastAsia"/>
                        <w:szCs w:val="21"/>
                      </w:rPr>
                      <w:t>期末账面价值</w:t>
                    </w:r>
                  </w:p>
                </w:tc>
              </w:sdtContent>
            </w:sdt>
            <w:sdt>
              <w:sdtPr>
                <w:tag w:val="_PLD_874205b57d36493284671995a440c448"/>
                <w:id w:val="1679309162"/>
                <w:lock w:val="sdtLocked"/>
              </w:sdtPr>
              <w:sdtEndPr/>
              <w:sdtContent>
                <w:tc>
                  <w:tcPr>
                    <w:tcW w:w="1514" w:type="pct"/>
                    <w:tcBorders>
                      <w:top w:val="single" w:sz="4" w:space="0" w:color="auto"/>
                      <w:left w:val="single" w:sz="4" w:space="0" w:color="auto"/>
                      <w:bottom w:val="single" w:sz="4" w:space="0" w:color="auto"/>
                      <w:right w:val="single" w:sz="4" w:space="0" w:color="auto"/>
                    </w:tcBorders>
                    <w:shd w:val="clear" w:color="auto" w:fill="auto"/>
                  </w:tcPr>
                  <w:p w14:paraId="5317E232" w14:textId="77777777" w:rsidR="00471D53" w:rsidRDefault="004F686E">
                    <w:pPr>
                      <w:jc w:val="center"/>
                      <w:rPr>
                        <w:szCs w:val="21"/>
                      </w:rPr>
                    </w:pPr>
                    <w:r>
                      <w:rPr>
                        <w:rFonts w:hint="eastAsia"/>
                        <w:szCs w:val="21"/>
                      </w:rPr>
                      <w:t>受限原因</w:t>
                    </w:r>
                  </w:p>
                </w:tc>
              </w:sdtContent>
            </w:sdt>
          </w:tr>
          <w:tr w:rsidR="00471D53" w14:paraId="114D9C85" w14:textId="77777777" w:rsidTr="00471D53">
            <w:sdt>
              <w:sdtPr>
                <w:tag w:val="_PLD_ea504ac4c8814083a63e01e1e73c7bb1"/>
                <w:id w:val="-396205560"/>
                <w:lock w:val="sdtLocked"/>
              </w:sdtPr>
              <w:sdtEnd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14:paraId="67A2725B" w14:textId="77777777" w:rsidR="00471D53" w:rsidRDefault="004F686E">
                    <w:pPr>
                      <w:rPr>
                        <w:szCs w:val="21"/>
                      </w:rPr>
                    </w:pPr>
                    <w:r>
                      <w:rPr>
                        <w:rFonts w:hint="eastAsia"/>
                        <w:szCs w:val="21"/>
                      </w:rPr>
                      <w:t>货币资金</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vAlign w:val="center"/>
              </w:tcPr>
              <w:p w14:paraId="09036EB5" w14:textId="77777777" w:rsidR="00471D53" w:rsidRDefault="004F686E" w:rsidP="00471D53">
                <w:pPr>
                  <w:jc w:val="right"/>
                  <w:rPr>
                    <w:sz w:val="22"/>
                    <w:szCs w:val="22"/>
                  </w:rPr>
                </w:pPr>
                <w:r w:rsidRPr="007E73F4">
                  <w:rPr>
                    <w:sz w:val="22"/>
                    <w:szCs w:val="22"/>
                  </w:rPr>
                  <w:t>15,350,166.73</w:t>
                </w:r>
              </w:p>
            </w:tc>
            <w:tc>
              <w:tcPr>
                <w:tcW w:w="1514" w:type="pct"/>
                <w:tcBorders>
                  <w:top w:val="single" w:sz="4" w:space="0" w:color="auto"/>
                  <w:left w:val="single" w:sz="4" w:space="0" w:color="auto"/>
                  <w:bottom w:val="single" w:sz="4" w:space="0" w:color="auto"/>
                  <w:right w:val="single" w:sz="4" w:space="0" w:color="auto"/>
                </w:tcBorders>
                <w:shd w:val="clear" w:color="auto" w:fill="auto"/>
                <w:vAlign w:val="center"/>
              </w:tcPr>
              <w:p w14:paraId="63BAD36B" w14:textId="77777777" w:rsidR="00471D53" w:rsidRDefault="004F686E" w:rsidP="00471D53">
                <w:pPr>
                  <w:jc w:val="center"/>
                  <w:rPr>
                    <w:sz w:val="22"/>
                    <w:szCs w:val="22"/>
                  </w:rPr>
                </w:pPr>
                <w:r>
                  <w:rPr>
                    <w:rFonts w:hint="eastAsia"/>
                    <w:sz w:val="22"/>
                    <w:szCs w:val="22"/>
                  </w:rPr>
                  <w:t>银行承兑汇票保证金、保函保证金、诉讼冻结</w:t>
                </w:r>
              </w:p>
            </w:tc>
          </w:tr>
          <w:tr w:rsidR="00471D53" w14:paraId="1D2FC1CA" w14:textId="77777777" w:rsidTr="00D84D13">
            <w:sdt>
              <w:sdtPr>
                <w:tag w:val="_PLD_29d7ce9d4f0e46dc8162a37d33a610d9"/>
                <w:id w:val="468483230"/>
                <w:lock w:val="sdtLocked"/>
              </w:sdtPr>
              <w:sdtEnd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14:paraId="697A5C53" w14:textId="77777777" w:rsidR="00471D53" w:rsidRDefault="004F686E">
                    <w:pPr>
                      <w:rPr>
                        <w:szCs w:val="21"/>
                      </w:rPr>
                    </w:pPr>
                    <w:r>
                      <w:rPr>
                        <w:rFonts w:hint="eastAsia"/>
                        <w:szCs w:val="21"/>
                      </w:rPr>
                      <w:t>应收票据</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14:paraId="147D1FE8" w14:textId="77777777" w:rsidR="00471D53" w:rsidRDefault="00B664AF">
                <w:pPr>
                  <w:jc w:val="right"/>
                  <w:rPr>
                    <w:szCs w:val="21"/>
                  </w:rPr>
                </w:pPr>
              </w:p>
            </w:tc>
            <w:tc>
              <w:tcPr>
                <w:tcW w:w="1514" w:type="pct"/>
                <w:tcBorders>
                  <w:top w:val="single" w:sz="4" w:space="0" w:color="auto"/>
                  <w:left w:val="single" w:sz="4" w:space="0" w:color="auto"/>
                  <w:bottom w:val="single" w:sz="4" w:space="0" w:color="auto"/>
                  <w:right w:val="single" w:sz="4" w:space="0" w:color="auto"/>
                </w:tcBorders>
                <w:shd w:val="clear" w:color="auto" w:fill="auto"/>
              </w:tcPr>
              <w:p w14:paraId="1F3DB404" w14:textId="77777777" w:rsidR="00471D53" w:rsidRDefault="00B664AF">
                <w:pPr>
                  <w:rPr>
                    <w:szCs w:val="21"/>
                  </w:rPr>
                </w:pPr>
              </w:p>
            </w:tc>
          </w:tr>
          <w:tr w:rsidR="00471D53" w14:paraId="061F923F" w14:textId="77777777" w:rsidTr="00D84D13">
            <w:sdt>
              <w:sdtPr>
                <w:tag w:val="_PLD_afab4a544bf94c1a837389ec2ede9565"/>
                <w:id w:val="152881718"/>
                <w:lock w:val="sdtLocked"/>
              </w:sdtPr>
              <w:sdtEnd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14:paraId="4C2A2F09" w14:textId="77777777" w:rsidR="00471D53" w:rsidRDefault="004F686E">
                    <w:pPr>
                      <w:rPr>
                        <w:szCs w:val="21"/>
                      </w:rPr>
                    </w:pPr>
                    <w:r>
                      <w:rPr>
                        <w:rFonts w:hint="eastAsia"/>
                        <w:szCs w:val="21"/>
                      </w:rPr>
                      <w:t>存货</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14:paraId="5C90CD06" w14:textId="77777777" w:rsidR="00471D53" w:rsidRDefault="00B664AF">
                <w:pPr>
                  <w:jc w:val="right"/>
                  <w:rPr>
                    <w:szCs w:val="21"/>
                  </w:rPr>
                </w:pPr>
              </w:p>
            </w:tc>
            <w:tc>
              <w:tcPr>
                <w:tcW w:w="1514" w:type="pct"/>
                <w:tcBorders>
                  <w:top w:val="single" w:sz="4" w:space="0" w:color="auto"/>
                  <w:left w:val="single" w:sz="4" w:space="0" w:color="auto"/>
                  <w:bottom w:val="single" w:sz="4" w:space="0" w:color="auto"/>
                  <w:right w:val="single" w:sz="4" w:space="0" w:color="auto"/>
                </w:tcBorders>
                <w:shd w:val="clear" w:color="auto" w:fill="auto"/>
              </w:tcPr>
              <w:p w14:paraId="3A16574A" w14:textId="77777777" w:rsidR="00471D53" w:rsidRDefault="00B664AF">
                <w:pPr>
                  <w:rPr>
                    <w:szCs w:val="21"/>
                  </w:rPr>
                </w:pPr>
              </w:p>
            </w:tc>
          </w:tr>
          <w:tr w:rsidR="00471D53" w14:paraId="3D984AC0" w14:textId="77777777" w:rsidTr="00D84D13">
            <w:sdt>
              <w:sdtPr>
                <w:tag w:val="_PLD_366d52197ef54558981550776d6d004d"/>
                <w:id w:val="-833064266"/>
                <w:lock w:val="sdtLocked"/>
              </w:sdtPr>
              <w:sdtEnd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14:paraId="043A1EA2" w14:textId="77777777" w:rsidR="00471D53" w:rsidRDefault="004F686E">
                    <w:pPr>
                      <w:rPr>
                        <w:szCs w:val="21"/>
                      </w:rPr>
                    </w:pPr>
                    <w:r>
                      <w:rPr>
                        <w:rFonts w:hint="eastAsia"/>
                        <w:szCs w:val="21"/>
                      </w:rPr>
                      <w:t>固定资产</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14:paraId="3D9600D6" w14:textId="77777777" w:rsidR="00471D53" w:rsidRDefault="00B664AF">
                <w:pPr>
                  <w:jc w:val="right"/>
                  <w:rPr>
                    <w:szCs w:val="21"/>
                  </w:rPr>
                </w:pPr>
              </w:p>
            </w:tc>
            <w:tc>
              <w:tcPr>
                <w:tcW w:w="1514" w:type="pct"/>
                <w:tcBorders>
                  <w:top w:val="single" w:sz="4" w:space="0" w:color="auto"/>
                  <w:left w:val="single" w:sz="4" w:space="0" w:color="auto"/>
                  <w:bottom w:val="single" w:sz="4" w:space="0" w:color="auto"/>
                  <w:right w:val="single" w:sz="4" w:space="0" w:color="auto"/>
                </w:tcBorders>
                <w:shd w:val="clear" w:color="auto" w:fill="auto"/>
              </w:tcPr>
              <w:p w14:paraId="3EAAE823" w14:textId="77777777" w:rsidR="00471D53" w:rsidRDefault="00B664AF">
                <w:pPr>
                  <w:rPr>
                    <w:szCs w:val="21"/>
                  </w:rPr>
                </w:pPr>
              </w:p>
            </w:tc>
          </w:tr>
          <w:tr w:rsidR="00471D53" w14:paraId="6757692A" w14:textId="77777777" w:rsidTr="00D84D13">
            <w:sdt>
              <w:sdtPr>
                <w:tag w:val="_PLD_3eaf386fa309448faa19910851d581a5"/>
                <w:id w:val="187953212"/>
                <w:lock w:val="sdtLocked"/>
              </w:sdtPr>
              <w:sdtEnd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14:paraId="16787EE5" w14:textId="77777777" w:rsidR="00471D53" w:rsidRDefault="004F686E">
                    <w:pPr>
                      <w:rPr>
                        <w:szCs w:val="21"/>
                      </w:rPr>
                    </w:pPr>
                    <w:r>
                      <w:rPr>
                        <w:rFonts w:hint="eastAsia"/>
                        <w:szCs w:val="21"/>
                      </w:rPr>
                      <w:t>无形资产</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14:paraId="587F7440" w14:textId="77777777" w:rsidR="00471D53" w:rsidRDefault="00B664AF">
                <w:pPr>
                  <w:jc w:val="right"/>
                  <w:rPr>
                    <w:szCs w:val="21"/>
                  </w:rPr>
                </w:pPr>
              </w:p>
            </w:tc>
            <w:tc>
              <w:tcPr>
                <w:tcW w:w="1514" w:type="pct"/>
                <w:tcBorders>
                  <w:top w:val="single" w:sz="4" w:space="0" w:color="auto"/>
                  <w:left w:val="single" w:sz="4" w:space="0" w:color="auto"/>
                  <w:bottom w:val="single" w:sz="4" w:space="0" w:color="auto"/>
                  <w:right w:val="single" w:sz="4" w:space="0" w:color="auto"/>
                </w:tcBorders>
                <w:shd w:val="clear" w:color="auto" w:fill="auto"/>
              </w:tcPr>
              <w:p w14:paraId="2C9B92B1" w14:textId="77777777" w:rsidR="00471D53" w:rsidRDefault="00B664AF">
                <w:pPr>
                  <w:rPr>
                    <w:szCs w:val="21"/>
                  </w:rPr>
                </w:pPr>
              </w:p>
            </w:tc>
          </w:tr>
          <w:sdt>
            <w:sdtPr>
              <w:rPr>
                <w:szCs w:val="21"/>
              </w:rPr>
              <w:alias w:val="所有权或使用权受到限制的资产明细"/>
              <w:tag w:val="_GBC_b386bbb44d7a46daaa4b82f327a68c3f"/>
              <w:id w:val="-1517847414"/>
              <w:lock w:val="sdtLocked"/>
            </w:sdtPr>
            <w:sdtEndPr>
              <w:rPr>
                <w:rFonts w:hint="eastAsia"/>
              </w:rPr>
            </w:sdtEndPr>
            <w:sdtContent>
              <w:tr w:rsidR="00471D53" w14:paraId="0ABB824C" w14:textId="77777777" w:rsidTr="00D84D13">
                <w:tc>
                  <w:tcPr>
                    <w:tcW w:w="1774" w:type="pct"/>
                    <w:tcBorders>
                      <w:top w:val="single" w:sz="6" w:space="0" w:color="auto"/>
                      <w:left w:val="single" w:sz="6" w:space="0" w:color="auto"/>
                      <w:bottom w:val="single" w:sz="4" w:space="0" w:color="auto"/>
                      <w:right w:val="single" w:sz="6" w:space="0" w:color="auto"/>
                    </w:tcBorders>
                    <w:shd w:val="clear" w:color="auto" w:fill="auto"/>
                  </w:tcPr>
                  <w:p w14:paraId="1F6A5A6F" w14:textId="77777777" w:rsidR="00471D53" w:rsidRDefault="00B664AF">
                    <w:pPr>
                      <w:rPr>
                        <w:szCs w:val="21"/>
                      </w:rPr>
                    </w:pPr>
                  </w:p>
                </w:tc>
                <w:tc>
                  <w:tcPr>
                    <w:tcW w:w="1712" w:type="pct"/>
                    <w:tcBorders>
                      <w:top w:val="single" w:sz="6" w:space="0" w:color="auto"/>
                      <w:left w:val="single" w:sz="6" w:space="0" w:color="auto"/>
                      <w:bottom w:val="single" w:sz="6" w:space="0" w:color="auto"/>
                      <w:right w:val="single" w:sz="6" w:space="0" w:color="auto"/>
                    </w:tcBorders>
                    <w:shd w:val="clear" w:color="auto" w:fill="auto"/>
                  </w:tcPr>
                  <w:p w14:paraId="4E1C168F" w14:textId="77777777" w:rsidR="00471D53" w:rsidRDefault="00B664AF">
                    <w:pPr>
                      <w:jc w:val="right"/>
                      <w:rPr>
                        <w:szCs w:val="21"/>
                      </w:rPr>
                    </w:pPr>
                  </w:p>
                </w:tc>
                <w:tc>
                  <w:tcPr>
                    <w:tcW w:w="1514" w:type="pct"/>
                    <w:tcBorders>
                      <w:top w:val="single" w:sz="6" w:space="0" w:color="auto"/>
                      <w:left w:val="single" w:sz="6" w:space="0" w:color="auto"/>
                      <w:bottom w:val="single" w:sz="6" w:space="0" w:color="auto"/>
                      <w:right w:val="single" w:sz="6" w:space="0" w:color="auto"/>
                    </w:tcBorders>
                    <w:shd w:val="clear" w:color="auto" w:fill="auto"/>
                  </w:tcPr>
                  <w:p w14:paraId="269A5BAB" w14:textId="77777777" w:rsidR="00471D53" w:rsidRDefault="00B664AF">
                    <w:pPr>
                      <w:rPr>
                        <w:szCs w:val="21"/>
                      </w:rPr>
                    </w:pPr>
                  </w:p>
                </w:tc>
              </w:tr>
            </w:sdtContent>
          </w:sdt>
          <w:sdt>
            <w:sdtPr>
              <w:rPr>
                <w:szCs w:val="21"/>
              </w:rPr>
              <w:alias w:val="所有权或使用权受到限制的资产明细"/>
              <w:tag w:val="_GBC_b386bbb44d7a46daaa4b82f327a68c3f"/>
              <w:id w:val="116185841"/>
              <w:lock w:val="sdtLocked"/>
            </w:sdtPr>
            <w:sdtEndPr>
              <w:rPr>
                <w:rFonts w:hint="eastAsia"/>
              </w:rPr>
            </w:sdtEndPr>
            <w:sdtContent>
              <w:tr w:rsidR="00471D53" w14:paraId="7D027A85" w14:textId="77777777" w:rsidTr="00D84D13">
                <w:tc>
                  <w:tcPr>
                    <w:tcW w:w="1774" w:type="pct"/>
                    <w:tcBorders>
                      <w:top w:val="single" w:sz="6" w:space="0" w:color="auto"/>
                      <w:left w:val="single" w:sz="6" w:space="0" w:color="auto"/>
                      <w:bottom w:val="single" w:sz="4" w:space="0" w:color="auto"/>
                      <w:right w:val="single" w:sz="6" w:space="0" w:color="auto"/>
                    </w:tcBorders>
                    <w:shd w:val="clear" w:color="auto" w:fill="auto"/>
                  </w:tcPr>
                  <w:p w14:paraId="5411365C" w14:textId="77777777" w:rsidR="00471D53" w:rsidRDefault="00B664AF">
                    <w:pPr>
                      <w:rPr>
                        <w:szCs w:val="21"/>
                      </w:rPr>
                    </w:pPr>
                  </w:p>
                </w:tc>
                <w:tc>
                  <w:tcPr>
                    <w:tcW w:w="1712" w:type="pct"/>
                    <w:tcBorders>
                      <w:top w:val="single" w:sz="6" w:space="0" w:color="auto"/>
                      <w:left w:val="single" w:sz="6" w:space="0" w:color="auto"/>
                      <w:bottom w:val="single" w:sz="6" w:space="0" w:color="auto"/>
                      <w:right w:val="single" w:sz="6" w:space="0" w:color="auto"/>
                    </w:tcBorders>
                    <w:shd w:val="clear" w:color="auto" w:fill="auto"/>
                  </w:tcPr>
                  <w:p w14:paraId="335F39B2" w14:textId="77777777" w:rsidR="00471D53" w:rsidRDefault="00B664AF">
                    <w:pPr>
                      <w:jc w:val="right"/>
                      <w:rPr>
                        <w:szCs w:val="21"/>
                      </w:rPr>
                    </w:pPr>
                  </w:p>
                </w:tc>
                <w:tc>
                  <w:tcPr>
                    <w:tcW w:w="1514" w:type="pct"/>
                    <w:tcBorders>
                      <w:top w:val="single" w:sz="6" w:space="0" w:color="auto"/>
                      <w:left w:val="single" w:sz="6" w:space="0" w:color="auto"/>
                      <w:bottom w:val="single" w:sz="6" w:space="0" w:color="auto"/>
                      <w:right w:val="single" w:sz="6" w:space="0" w:color="auto"/>
                    </w:tcBorders>
                    <w:shd w:val="clear" w:color="auto" w:fill="auto"/>
                  </w:tcPr>
                  <w:p w14:paraId="67352612" w14:textId="77777777" w:rsidR="00471D53" w:rsidRDefault="00B664AF">
                    <w:pPr>
                      <w:rPr>
                        <w:szCs w:val="21"/>
                      </w:rPr>
                    </w:pPr>
                  </w:p>
                </w:tc>
              </w:tr>
            </w:sdtContent>
          </w:sdt>
          <w:tr w:rsidR="00471D53" w14:paraId="13F815D1" w14:textId="77777777" w:rsidTr="00BD1B09">
            <w:sdt>
              <w:sdtPr>
                <w:tag w:val="_PLD_82f734ac5ef74ac0a808bf747f7a4e5a"/>
                <w:id w:val="-916624287"/>
                <w:lock w:val="sdtLocked"/>
              </w:sdtPr>
              <w:sdtEndPr/>
              <w:sdtContent>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14:paraId="2EAD0E5B" w14:textId="77777777" w:rsidR="00471D53" w:rsidRDefault="004F686E">
                    <w:pPr>
                      <w:jc w:val="center"/>
                      <w:rPr>
                        <w:szCs w:val="21"/>
                      </w:rPr>
                    </w:pPr>
                    <w:r>
                      <w:rPr>
                        <w:rFonts w:hint="eastAsia"/>
                        <w:szCs w:val="21"/>
                      </w:rPr>
                      <w:t>合计</w:t>
                    </w:r>
                  </w:p>
                </w:tc>
              </w:sdtContent>
            </w:sdt>
            <w:tc>
              <w:tcPr>
                <w:tcW w:w="1712" w:type="pct"/>
                <w:tcBorders>
                  <w:top w:val="single" w:sz="6" w:space="0" w:color="auto"/>
                  <w:left w:val="single" w:sz="4" w:space="0" w:color="auto"/>
                  <w:bottom w:val="single" w:sz="6" w:space="0" w:color="auto"/>
                  <w:right w:val="single" w:sz="4" w:space="0" w:color="auto"/>
                </w:tcBorders>
                <w:shd w:val="clear" w:color="auto" w:fill="auto"/>
              </w:tcPr>
              <w:p w14:paraId="382FF8FD" w14:textId="77777777" w:rsidR="00471D53" w:rsidRDefault="004F686E">
                <w:pPr>
                  <w:jc w:val="right"/>
                  <w:rPr>
                    <w:szCs w:val="21"/>
                  </w:rPr>
                </w:pPr>
                <w:r w:rsidRPr="007E73F4">
                  <w:rPr>
                    <w:sz w:val="22"/>
                    <w:szCs w:val="22"/>
                  </w:rPr>
                  <w:t>15,350,166.73</w:t>
                </w:r>
              </w:p>
            </w:tc>
            <w:tc>
              <w:tcPr>
                <w:tcW w:w="1514" w:type="pct"/>
                <w:tcBorders>
                  <w:top w:val="single" w:sz="6" w:space="0" w:color="auto"/>
                  <w:left w:val="single" w:sz="4" w:space="0" w:color="auto"/>
                  <w:bottom w:val="single" w:sz="6" w:space="0" w:color="auto"/>
                  <w:right w:val="single" w:sz="4" w:space="0" w:color="auto"/>
                </w:tcBorders>
                <w:shd w:val="clear" w:color="auto" w:fill="auto"/>
              </w:tcPr>
              <w:p w14:paraId="236FD2D6" w14:textId="77777777" w:rsidR="00471D53" w:rsidRDefault="004F686E">
                <w:pPr>
                  <w:jc w:val="center"/>
                  <w:rPr>
                    <w:szCs w:val="21"/>
                  </w:rPr>
                </w:pPr>
                <w:r>
                  <w:rPr>
                    <w:rFonts w:hint="eastAsia"/>
                    <w:szCs w:val="21"/>
                  </w:rPr>
                  <w:t>/</w:t>
                </w:r>
              </w:p>
            </w:tc>
          </w:tr>
        </w:tbl>
        <w:p w14:paraId="2F699DA3" w14:textId="77777777" w:rsidR="00471D53" w:rsidRDefault="004F686E">
          <w:pPr>
            <w:spacing w:before="60" w:after="60"/>
            <w:rPr>
              <w:szCs w:val="21"/>
            </w:rPr>
          </w:pPr>
          <w:r>
            <w:rPr>
              <w:rFonts w:hint="eastAsia"/>
              <w:szCs w:val="21"/>
            </w:rPr>
            <w:t>其他说明：</w:t>
          </w:r>
        </w:p>
        <w:sdt>
          <w:sdtPr>
            <w:rPr>
              <w:szCs w:val="21"/>
            </w:rPr>
            <w:alias w:val="所有权或使用权受到限制的资产的其他说明"/>
            <w:tag w:val="_GBC_8c900f9a43384e3baa58823305552176"/>
            <w:id w:val="324941661"/>
            <w:lock w:val="sdtLocked"/>
            <w:placeholder>
              <w:docPart w:val="GBC22222222222222222222222222222"/>
            </w:placeholder>
          </w:sdtPr>
          <w:sdtEndPr/>
          <w:sdtContent>
            <w:p w14:paraId="01D13E3A" w14:textId="77777777" w:rsidR="00471D53" w:rsidRDefault="004F686E">
              <w:pPr>
                <w:rPr>
                  <w:szCs w:val="21"/>
                </w:rPr>
              </w:pPr>
              <w:r>
                <w:rPr>
                  <w:rFonts w:hint="eastAsia"/>
                  <w:szCs w:val="21"/>
                </w:rPr>
                <w:t>无</w:t>
              </w:r>
            </w:p>
          </w:sdtContent>
        </w:sdt>
      </w:sdtContent>
    </w:sdt>
    <w:p w14:paraId="29D022AB" w14:textId="77777777" w:rsidR="00471D53" w:rsidRDefault="00B664AF">
      <w:pPr>
        <w:rPr>
          <w:szCs w:val="21"/>
        </w:rPr>
      </w:pPr>
    </w:p>
    <w:bookmarkStart w:id="227" w:name="_Hlk42158948" w:displacedByCustomXml="next"/>
    <w:sdt>
      <w:sdtPr>
        <w:rPr>
          <w:rFonts w:ascii="宋体" w:hAnsi="宋体" w:cs="宋体" w:hint="eastAsia"/>
          <w:b w:val="0"/>
          <w:bCs w:val="0"/>
          <w:kern w:val="0"/>
          <w:szCs w:val="21"/>
        </w:rPr>
        <w:alias w:val="模块:外币货币性项目"/>
        <w:tag w:val="_GBC_7a80c9b78caf4e6686905c555fe61f9a"/>
        <w:id w:val="798342521"/>
        <w:lock w:val="sdtLocked"/>
        <w:placeholder>
          <w:docPart w:val="GBC22222222222222222222222222222"/>
        </w:placeholder>
      </w:sdtPr>
      <w:sdtEndPr>
        <w:rPr>
          <w:rFonts w:hint="default"/>
        </w:rPr>
      </w:sdtEndPr>
      <w:sdtContent>
        <w:p w14:paraId="30CEC31A" w14:textId="77777777" w:rsidR="00471D53" w:rsidRDefault="004F686E" w:rsidP="004F686E">
          <w:pPr>
            <w:pStyle w:val="afffff7"/>
            <w:numPr>
              <w:ilvl w:val="0"/>
              <w:numId w:val="55"/>
            </w:numPr>
            <w:tabs>
              <w:tab w:val="left" w:pos="504"/>
            </w:tabs>
            <w:rPr>
              <w:rFonts w:ascii="宋体" w:hAnsi="宋体"/>
              <w:szCs w:val="21"/>
            </w:rPr>
          </w:pPr>
          <w:r>
            <w:rPr>
              <w:rFonts w:ascii="宋体" w:hAnsi="宋体" w:hint="eastAsia"/>
              <w:szCs w:val="21"/>
            </w:rPr>
            <w:t>外币货币性项目</w:t>
          </w:r>
        </w:p>
        <w:p w14:paraId="071F9324" w14:textId="77777777" w:rsidR="00471D53" w:rsidRDefault="004F686E" w:rsidP="004F686E">
          <w:pPr>
            <w:pStyle w:val="affffff7"/>
            <w:numPr>
              <w:ilvl w:val="0"/>
              <w:numId w:val="91"/>
            </w:numPr>
            <w:tabs>
              <w:tab w:val="left" w:pos="700"/>
            </w:tabs>
            <w:spacing w:before="60" w:after="60"/>
            <w:ind w:firstLineChars="0"/>
            <w:jc w:val="left"/>
            <w:rPr>
              <w:rFonts w:ascii="宋体" w:hAnsi="宋体"/>
              <w:szCs w:val="21"/>
            </w:rPr>
          </w:pPr>
          <w:r>
            <w:rPr>
              <w:rStyle w:val="affffff"/>
              <w:rFonts w:ascii="宋体" w:hAnsi="宋体" w:hint="eastAsia"/>
              <w:szCs w:val="21"/>
            </w:rPr>
            <w:t>外币货币性项目</w:t>
          </w:r>
        </w:p>
        <w:sdt>
          <w:sdtPr>
            <w:alias w:val="是否适用：外币货币性项目[双击切换]"/>
            <w:tag w:val="_GBC_7b0870ec262840d78495babcff3639aa"/>
            <w:id w:val="-143965366"/>
            <w:lock w:val="sdtLocked"/>
            <w:placeholder>
              <w:docPart w:val="GBC22222222222222222222222222222"/>
            </w:placeholder>
          </w:sdtPr>
          <w:sdtEndPr/>
          <w:sdtContent>
            <w:p w14:paraId="615C859F"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5D209CC" w14:textId="77777777" w:rsidR="00471D53" w:rsidRDefault="004F686E">
          <w:pPr>
            <w:pStyle w:val="affffff7"/>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外币货币性项目"/>
              <w:tag w:val="_GBC_52ed5330bd884651892991446f0f1ae0"/>
              <w:id w:val="193979044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5"/>
            <w:gridCol w:w="1998"/>
            <w:gridCol w:w="2006"/>
            <w:gridCol w:w="1994"/>
          </w:tblGrid>
          <w:tr w:rsidR="00471D53" w14:paraId="75B3DE50" w14:textId="77777777" w:rsidTr="00471D53">
            <w:sdt>
              <w:sdtPr>
                <w:tag w:val="_PLD_28ce5153e9cf4914a550a6d253e7c465"/>
                <w:id w:val="962237844"/>
                <w:lock w:val="sdtLocked"/>
              </w:sdtPr>
              <w:sdtEndPr/>
              <w:sdtContent>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14:paraId="33D5A9B3" w14:textId="77777777" w:rsidR="00471D53" w:rsidRDefault="004F686E" w:rsidP="00471D53">
                    <w:pPr>
                      <w:jc w:val="center"/>
                      <w:rPr>
                        <w:szCs w:val="21"/>
                      </w:rPr>
                    </w:pPr>
                    <w:r>
                      <w:rPr>
                        <w:rFonts w:hint="eastAsia"/>
                        <w:szCs w:val="21"/>
                      </w:rPr>
                      <w:t>项目</w:t>
                    </w:r>
                  </w:p>
                </w:tc>
              </w:sdtContent>
            </w:sdt>
            <w:sdt>
              <w:sdtPr>
                <w:tag w:val="_PLD_295b6f310e534b62bde0e2c632482ed9"/>
                <w:id w:val="-1349020256"/>
                <w:lock w:val="sdtLocked"/>
              </w:sdtPr>
              <w:sdtEndPr/>
              <w:sdtContent>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4376EFB9" w14:textId="77777777" w:rsidR="00471D53" w:rsidRDefault="004F686E" w:rsidP="00471D53">
                    <w:pPr>
                      <w:jc w:val="center"/>
                      <w:rPr>
                        <w:szCs w:val="21"/>
                      </w:rPr>
                    </w:pPr>
                    <w:r>
                      <w:rPr>
                        <w:rFonts w:hint="eastAsia"/>
                        <w:szCs w:val="21"/>
                      </w:rPr>
                      <w:t>期末外币余额</w:t>
                    </w:r>
                  </w:p>
                </w:tc>
              </w:sdtContent>
            </w:sdt>
            <w:sdt>
              <w:sdtPr>
                <w:tag w:val="_PLD_aa43af2545cb40668f2670b6f1569a92"/>
                <w:id w:val="1877740290"/>
                <w:lock w:val="sdtLocked"/>
              </w:sdtPr>
              <w:sdtEndPr/>
              <w:sdtContent>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738B7EFB" w14:textId="77777777" w:rsidR="00471D53" w:rsidRDefault="004F686E" w:rsidP="00471D53">
                    <w:pPr>
                      <w:jc w:val="center"/>
                      <w:rPr>
                        <w:szCs w:val="21"/>
                      </w:rPr>
                    </w:pPr>
                    <w:r>
                      <w:rPr>
                        <w:rFonts w:hint="eastAsia"/>
                        <w:szCs w:val="21"/>
                      </w:rPr>
                      <w:t>折算汇率</w:t>
                    </w:r>
                  </w:p>
                </w:tc>
              </w:sdtContent>
            </w:sdt>
            <w:sdt>
              <w:sdtPr>
                <w:tag w:val="_PLD_8cdd9579b3964f01966c0b0c4cbacb2f"/>
                <w:id w:val="-1488010194"/>
                <w:lock w:val="sdtLocked"/>
              </w:sdtPr>
              <w:sdtEndPr/>
              <w:sdtContent>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14A960FF" w14:textId="77777777" w:rsidR="00471D53" w:rsidRDefault="004F686E" w:rsidP="00471D53">
                    <w:pPr>
                      <w:jc w:val="center"/>
                      <w:rPr>
                        <w:szCs w:val="21"/>
                      </w:rPr>
                    </w:pPr>
                    <w:r>
                      <w:rPr>
                        <w:rFonts w:hint="eastAsia"/>
                        <w:szCs w:val="21"/>
                      </w:rPr>
                      <w:t>期末折算人民币</w:t>
                    </w:r>
                  </w:p>
                  <w:p w14:paraId="40FAC145" w14:textId="77777777" w:rsidR="00471D53" w:rsidRDefault="004F686E" w:rsidP="00471D53">
                    <w:pPr>
                      <w:jc w:val="center"/>
                      <w:rPr>
                        <w:szCs w:val="21"/>
                      </w:rPr>
                    </w:pPr>
                    <w:r>
                      <w:rPr>
                        <w:rFonts w:hint="eastAsia"/>
                        <w:szCs w:val="21"/>
                      </w:rPr>
                      <w:t>余额</w:t>
                    </w:r>
                  </w:p>
                </w:tc>
              </w:sdtContent>
            </w:sdt>
          </w:tr>
          <w:tr w:rsidR="00471D53" w14:paraId="41940F93" w14:textId="77777777" w:rsidTr="00471D53">
            <w:tc>
              <w:tcPr>
                <w:tcW w:w="1601" w:type="pct"/>
                <w:tcBorders>
                  <w:top w:val="single" w:sz="4" w:space="0" w:color="auto"/>
                  <w:left w:val="single" w:sz="4" w:space="0" w:color="auto"/>
                  <w:bottom w:val="single" w:sz="4" w:space="0" w:color="auto"/>
                  <w:right w:val="single" w:sz="4" w:space="0" w:color="auto"/>
                </w:tcBorders>
                <w:shd w:val="clear" w:color="auto" w:fill="auto"/>
              </w:tcPr>
              <w:p w14:paraId="106495B5" w14:textId="77777777" w:rsidR="00471D53" w:rsidRDefault="004F686E" w:rsidP="00471D53">
                <w:pPr>
                  <w:rPr>
                    <w:szCs w:val="21"/>
                  </w:rPr>
                </w:pPr>
                <w:r>
                  <w:rPr>
                    <w:szCs w:val="21"/>
                  </w:rPr>
                  <w:lastRenderedPageBreak/>
                  <w:t>货币资金</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7DCFF0EE" w14:textId="77777777" w:rsidR="00471D53" w:rsidRDefault="004F686E" w:rsidP="00471D53">
                <w:pPr>
                  <w:jc w:val="right"/>
                  <w:rPr>
                    <w:szCs w:val="21"/>
                  </w:rPr>
                </w:pPr>
                <w:r>
                  <w:rPr>
                    <w:rFonts w:hint="eastAsia"/>
                    <w:szCs w:val="2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2D5AD2CC" w14:textId="77777777" w:rsidR="00471D53" w:rsidRDefault="004F686E" w:rsidP="00471D53">
                <w:pPr>
                  <w:jc w:val="right"/>
                  <w:rPr>
                    <w:szCs w:val="21"/>
                  </w:rPr>
                </w:pPr>
                <w:r>
                  <w:rPr>
                    <w:rFonts w:hint="eastAsia"/>
                    <w:szCs w:val="2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1055AB29" w14:textId="77777777" w:rsidR="00471D53" w:rsidRPr="00873AD5" w:rsidRDefault="004F686E" w:rsidP="00471D53">
                <w:pPr>
                  <w:jc w:val="right"/>
                  <w:rPr>
                    <w:szCs w:val="21"/>
                  </w:rPr>
                </w:pPr>
                <w:r w:rsidRPr="00873AD5">
                  <w:rPr>
                    <w:rFonts w:cs="Arial"/>
                    <w:bCs/>
                    <w:sz w:val="22"/>
                  </w:rPr>
                  <w:t>14,745,096.25</w:t>
                </w:r>
              </w:p>
            </w:tc>
          </w:tr>
          <w:tr w:rsidR="00471D53" w14:paraId="7FB0F75C" w14:textId="77777777" w:rsidTr="00471D53">
            <w:tc>
              <w:tcPr>
                <w:tcW w:w="1601" w:type="pct"/>
                <w:tcBorders>
                  <w:top w:val="single" w:sz="4" w:space="0" w:color="auto"/>
                  <w:left w:val="single" w:sz="4" w:space="0" w:color="auto"/>
                  <w:bottom w:val="single" w:sz="4" w:space="0" w:color="auto"/>
                  <w:right w:val="single" w:sz="4" w:space="0" w:color="auto"/>
                </w:tcBorders>
                <w:shd w:val="clear" w:color="auto" w:fill="auto"/>
              </w:tcPr>
              <w:p w14:paraId="68263F69" w14:textId="77777777" w:rsidR="00471D53" w:rsidRDefault="004F686E" w:rsidP="00471D53">
                <w:pPr>
                  <w:rPr>
                    <w:szCs w:val="21"/>
                  </w:rPr>
                </w:pPr>
                <w:r>
                  <w:rPr>
                    <w:rFonts w:hint="eastAsia"/>
                    <w:szCs w:val="21"/>
                  </w:rPr>
                  <w:t>其中：</w:t>
                </w:r>
                <w:sdt>
                  <w:sdtPr>
                    <w:rPr>
                      <w:szCs w:val="21"/>
                    </w:rPr>
                    <w:alias w:val="以外币核算的币种明细-币种名称"/>
                    <w:tag w:val="_GBC_21765b5e64364f62971250478e4ff572"/>
                    <w:id w:val="-2011443438"/>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Pr>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12F83872" w14:textId="77777777" w:rsidR="00471D53" w:rsidRDefault="004F686E" w:rsidP="00471D53">
                <w:pPr>
                  <w:jc w:val="right"/>
                  <w:rPr>
                    <w:rFonts w:cs="Arial"/>
                    <w:sz w:val="22"/>
                  </w:rPr>
                </w:pPr>
                <w:r w:rsidRPr="00065E8D">
                  <w:rPr>
                    <w:rFonts w:cs="Arial"/>
                    <w:sz w:val="22"/>
                  </w:rPr>
                  <w:t>2,258,794.26</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579A26BC" w14:textId="77777777" w:rsidR="00471D53" w:rsidRDefault="004F686E" w:rsidP="00471D53">
                <w:pPr>
                  <w:jc w:val="right"/>
                  <w:rPr>
                    <w:rFonts w:cs="Arial"/>
                    <w:sz w:val="22"/>
                  </w:rPr>
                </w:pPr>
                <w:r w:rsidRPr="00065E8D">
                  <w:rPr>
                    <w:rFonts w:cs="Arial"/>
                    <w:sz w:val="22"/>
                  </w:rPr>
                  <w:t>6.4601</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4FCCD269" w14:textId="77777777" w:rsidR="00471D53" w:rsidRDefault="004F686E" w:rsidP="00471D53">
                <w:pPr>
                  <w:jc w:val="right"/>
                  <w:rPr>
                    <w:rFonts w:cs="Arial"/>
                    <w:sz w:val="22"/>
                  </w:rPr>
                </w:pPr>
                <w:r w:rsidRPr="001033A3">
                  <w:rPr>
                    <w:rFonts w:cs="Arial"/>
                    <w:sz w:val="22"/>
                  </w:rPr>
                  <w:t>14,592,036.81</w:t>
                </w:r>
              </w:p>
            </w:tc>
          </w:tr>
          <w:tr w:rsidR="00471D53" w14:paraId="3CBF00CA" w14:textId="77777777" w:rsidTr="00471D53">
            <w:tc>
              <w:tcPr>
                <w:tcW w:w="1601" w:type="pct"/>
                <w:tcBorders>
                  <w:top w:val="single" w:sz="4" w:space="0" w:color="auto"/>
                  <w:left w:val="single" w:sz="4" w:space="0" w:color="auto"/>
                  <w:bottom w:val="single" w:sz="4" w:space="0" w:color="auto"/>
                  <w:right w:val="single" w:sz="4" w:space="0" w:color="auto"/>
                </w:tcBorders>
                <w:shd w:val="clear" w:color="auto" w:fill="auto"/>
              </w:tcPr>
              <w:p w14:paraId="430E6FDF" w14:textId="77777777" w:rsidR="00471D53" w:rsidRDefault="004F686E" w:rsidP="00471D53">
                <w:pPr>
                  <w:rPr>
                    <w:szCs w:val="21"/>
                  </w:rPr>
                </w:pPr>
                <w:r>
                  <w:t xml:space="preserve">　　　</w:t>
                </w:r>
                <w:sdt>
                  <w:sdtPr>
                    <w:rPr>
                      <w:szCs w:val="21"/>
                    </w:rPr>
                    <w:alias w:val="以外币核算的币种明细-币种名称"/>
                    <w:tag w:val="_GBC_21765b5e64364f62971250478e4ff572"/>
                    <w:id w:val="1513031440"/>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Pr>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17ECDE58" w14:textId="77777777" w:rsidR="00471D53" w:rsidRDefault="004F686E" w:rsidP="00471D53">
                <w:pPr>
                  <w:jc w:val="right"/>
                  <w:rPr>
                    <w:rFonts w:cs="Arial"/>
                    <w:sz w:val="22"/>
                  </w:rPr>
                </w:pPr>
                <w:r w:rsidRPr="00065E8D">
                  <w:rPr>
                    <w:rFonts w:cs="Arial"/>
                    <w:sz w:val="22"/>
                  </w:rPr>
                  <w:t>19,913.36</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751A8C97" w14:textId="77777777" w:rsidR="00471D53" w:rsidRDefault="004F686E" w:rsidP="00471D53">
                <w:pPr>
                  <w:jc w:val="right"/>
                  <w:rPr>
                    <w:rFonts w:cs="Arial"/>
                    <w:sz w:val="22"/>
                  </w:rPr>
                </w:pPr>
                <w:r w:rsidRPr="00065E8D">
                  <w:rPr>
                    <w:rFonts w:cs="Arial"/>
                    <w:sz w:val="22"/>
                  </w:rPr>
                  <w:t>7.6862</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169066A8" w14:textId="77777777" w:rsidR="00471D53" w:rsidRDefault="004F686E" w:rsidP="00471D53">
                <w:pPr>
                  <w:jc w:val="right"/>
                  <w:rPr>
                    <w:rFonts w:cs="Arial"/>
                    <w:sz w:val="22"/>
                  </w:rPr>
                </w:pPr>
                <w:r w:rsidRPr="001033A3">
                  <w:rPr>
                    <w:rFonts w:cs="Arial"/>
                    <w:sz w:val="22"/>
                  </w:rPr>
                  <w:t>153,058.03</w:t>
                </w:r>
              </w:p>
            </w:tc>
          </w:tr>
          <w:tr w:rsidR="00471D53" w14:paraId="6297259A" w14:textId="77777777" w:rsidTr="00471D53">
            <w:tc>
              <w:tcPr>
                <w:tcW w:w="1601" w:type="pct"/>
                <w:tcBorders>
                  <w:top w:val="single" w:sz="4" w:space="0" w:color="auto"/>
                  <w:left w:val="single" w:sz="4" w:space="0" w:color="auto"/>
                  <w:bottom w:val="single" w:sz="4" w:space="0" w:color="auto"/>
                  <w:right w:val="single" w:sz="4" w:space="0" w:color="auto"/>
                </w:tcBorders>
                <w:shd w:val="clear" w:color="auto" w:fill="auto"/>
              </w:tcPr>
              <w:p w14:paraId="068E2359" w14:textId="77777777" w:rsidR="00471D53" w:rsidRDefault="004F686E" w:rsidP="00471D53">
                <w:pPr>
                  <w:rPr>
                    <w:szCs w:val="21"/>
                  </w:rPr>
                </w:pPr>
                <w:r>
                  <w:t xml:space="preserve">　　　</w:t>
                </w:r>
                <w:sdt>
                  <w:sdtPr>
                    <w:rPr>
                      <w:szCs w:val="21"/>
                    </w:rPr>
                    <w:alias w:val="以外币核算的币种明细-币种名称"/>
                    <w:tag w:val="_GBC_21765b5e64364f62971250478e4ff572"/>
                    <w:id w:val="762270610"/>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Pr>
                        <w:szCs w:val="2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1CB89ADE" w14:textId="77777777" w:rsidR="00471D53" w:rsidRDefault="004F686E" w:rsidP="00471D53">
                <w:pPr>
                  <w:jc w:val="right"/>
                  <w:rPr>
                    <w:rFonts w:cs="Arial"/>
                    <w:sz w:val="22"/>
                    <w:highlight w:val="green"/>
                  </w:rPr>
                </w:pPr>
                <w:r w:rsidRPr="00065E8D">
                  <w:rPr>
                    <w:rFonts w:cs="Arial"/>
                    <w:sz w:val="22"/>
                  </w:rPr>
                  <w:t>1.69</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711A0087" w14:textId="77777777" w:rsidR="00471D53" w:rsidRDefault="004F686E" w:rsidP="00471D53">
                <w:pPr>
                  <w:jc w:val="right"/>
                  <w:rPr>
                    <w:rFonts w:cs="Arial"/>
                    <w:sz w:val="22"/>
                  </w:rPr>
                </w:pPr>
                <w:r w:rsidRPr="00065E8D">
                  <w:rPr>
                    <w:rFonts w:cs="Arial"/>
                    <w:sz w:val="22"/>
                  </w:rPr>
                  <w:t>0.8321</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0D932FA3" w14:textId="77777777" w:rsidR="00471D53" w:rsidRDefault="004F686E" w:rsidP="00471D53">
                <w:pPr>
                  <w:jc w:val="right"/>
                  <w:rPr>
                    <w:rFonts w:cs="Arial"/>
                    <w:sz w:val="22"/>
                  </w:rPr>
                </w:pPr>
                <w:r w:rsidRPr="001033A3">
                  <w:rPr>
                    <w:rFonts w:cs="Arial"/>
                    <w:sz w:val="22"/>
                  </w:rPr>
                  <w:t>1.41</w:t>
                </w:r>
              </w:p>
            </w:tc>
          </w:tr>
          <w:tr w:rsidR="00471D53" w14:paraId="1581A976" w14:textId="77777777" w:rsidTr="00471D53">
            <w:tc>
              <w:tcPr>
                <w:tcW w:w="1601" w:type="pct"/>
                <w:tcBorders>
                  <w:top w:val="single" w:sz="4" w:space="0" w:color="auto"/>
                  <w:left w:val="single" w:sz="4" w:space="0" w:color="auto"/>
                  <w:bottom w:val="single" w:sz="4" w:space="0" w:color="auto"/>
                  <w:right w:val="single" w:sz="4" w:space="0" w:color="auto"/>
                </w:tcBorders>
                <w:shd w:val="clear" w:color="auto" w:fill="auto"/>
              </w:tcPr>
              <w:p w14:paraId="5B8A7749" w14:textId="77777777" w:rsidR="00471D53" w:rsidRDefault="004F686E" w:rsidP="00471D53">
                <w:pPr>
                  <w:rPr>
                    <w:szCs w:val="21"/>
                  </w:rPr>
                </w:pPr>
                <w:r>
                  <w:rPr>
                    <w:szCs w:val="21"/>
                  </w:rPr>
                  <w:t>应收账款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6A0F0C66" w14:textId="77777777" w:rsidR="00471D53" w:rsidRDefault="004F686E" w:rsidP="00471D53">
                <w:pPr>
                  <w:jc w:val="right"/>
                  <w:rPr>
                    <w:szCs w:val="21"/>
                  </w:rPr>
                </w:pPr>
                <w:r>
                  <w:rPr>
                    <w:rFonts w:hint="eastAsia"/>
                    <w:szCs w:val="2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5E5B9FF0" w14:textId="77777777" w:rsidR="00471D53" w:rsidRDefault="004F686E" w:rsidP="00471D53">
                <w:pPr>
                  <w:jc w:val="right"/>
                  <w:rPr>
                    <w:szCs w:val="21"/>
                  </w:rPr>
                </w:pPr>
                <w:r>
                  <w:rPr>
                    <w:rFonts w:hint="eastAsia"/>
                    <w:szCs w:val="2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7C138FD4" w14:textId="77777777" w:rsidR="00471D53" w:rsidRPr="00873AD5" w:rsidRDefault="004F686E" w:rsidP="00471D53">
                <w:pPr>
                  <w:jc w:val="right"/>
                  <w:rPr>
                    <w:szCs w:val="21"/>
                  </w:rPr>
                </w:pPr>
                <w:r w:rsidRPr="00873AD5">
                  <w:rPr>
                    <w:rFonts w:cs="Arial"/>
                    <w:bCs/>
                    <w:sz w:val="22"/>
                  </w:rPr>
                  <w:t>67,986,253.75</w:t>
                </w:r>
              </w:p>
            </w:tc>
          </w:tr>
          <w:tr w:rsidR="00471D53" w14:paraId="6C870074" w14:textId="77777777" w:rsidTr="00471D53">
            <w:tc>
              <w:tcPr>
                <w:tcW w:w="1601" w:type="pct"/>
                <w:tcBorders>
                  <w:top w:val="single" w:sz="4" w:space="0" w:color="auto"/>
                  <w:left w:val="single" w:sz="4" w:space="0" w:color="auto"/>
                  <w:bottom w:val="single" w:sz="4" w:space="0" w:color="auto"/>
                  <w:right w:val="single" w:sz="4" w:space="0" w:color="auto"/>
                </w:tcBorders>
                <w:shd w:val="clear" w:color="auto" w:fill="auto"/>
              </w:tcPr>
              <w:p w14:paraId="2A4EC7A5" w14:textId="77777777" w:rsidR="00471D53" w:rsidRDefault="004F686E" w:rsidP="00471D53">
                <w:pPr>
                  <w:rPr>
                    <w:szCs w:val="21"/>
                  </w:rPr>
                </w:pPr>
                <w:r>
                  <w:rPr>
                    <w:rFonts w:hint="eastAsia"/>
                    <w:szCs w:val="21"/>
                  </w:rPr>
                  <w:t>其中：</w:t>
                </w:r>
                <w:sdt>
                  <w:sdtPr>
                    <w:rPr>
                      <w:szCs w:val="21"/>
                    </w:rPr>
                    <w:alias w:val="以外币核算的币种明细-币种名称"/>
                    <w:tag w:val="_GBC_21765b5e64364f62971250478e4ff572"/>
                    <w:id w:val="1849131659"/>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Pr>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302D2122" w14:textId="77777777" w:rsidR="00471D53" w:rsidRDefault="004F686E" w:rsidP="00471D53">
                <w:pPr>
                  <w:jc w:val="right"/>
                  <w:rPr>
                    <w:rFonts w:cs="Arial"/>
                    <w:sz w:val="22"/>
                  </w:rPr>
                </w:pPr>
                <w:r w:rsidRPr="001033A3">
                  <w:rPr>
                    <w:rFonts w:cs="Arial"/>
                    <w:sz w:val="22"/>
                  </w:rPr>
                  <w:t>6,506,637.25</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4E5CD304" w14:textId="77777777" w:rsidR="00471D53" w:rsidRDefault="004F686E" w:rsidP="00471D53">
                <w:pPr>
                  <w:jc w:val="right"/>
                  <w:rPr>
                    <w:rFonts w:cs="Arial"/>
                    <w:sz w:val="22"/>
                  </w:rPr>
                </w:pPr>
                <w:r w:rsidRPr="00065E8D">
                  <w:rPr>
                    <w:rFonts w:cs="Arial"/>
                    <w:sz w:val="22"/>
                  </w:rPr>
                  <w:t>6.4601</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5A182D19" w14:textId="77777777" w:rsidR="00471D53" w:rsidRDefault="004F686E" w:rsidP="00471D53">
                <w:pPr>
                  <w:jc w:val="right"/>
                  <w:rPr>
                    <w:rFonts w:cs="Arial"/>
                    <w:sz w:val="22"/>
                  </w:rPr>
                </w:pPr>
                <w:r w:rsidRPr="001033A3">
                  <w:rPr>
                    <w:rFonts w:cs="Arial"/>
                    <w:sz w:val="22"/>
                  </w:rPr>
                  <w:t>42,033,527.28</w:t>
                </w:r>
              </w:p>
            </w:tc>
          </w:tr>
          <w:tr w:rsidR="00471D53" w14:paraId="098AE4DA" w14:textId="77777777" w:rsidTr="00471D53">
            <w:tc>
              <w:tcPr>
                <w:tcW w:w="1601" w:type="pct"/>
                <w:tcBorders>
                  <w:top w:val="single" w:sz="4" w:space="0" w:color="auto"/>
                  <w:left w:val="single" w:sz="4" w:space="0" w:color="auto"/>
                  <w:bottom w:val="single" w:sz="4" w:space="0" w:color="auto"/>
                  <w:right w:val="single" w:sz="4" w:space="0" w:color="auto"/>
                </w:tcBorders>
                <w:shd w:val="clear" w:color="auto" w:fill="auto"/>
              </w:tcPr>
              <w:p w14:paraId="12296352" w14:textId="77777777" w:rsidR="00471D53" w:rsidRDefault="004F686E" w:rsidP="00471D53">
                <w:pPr>
                  <w:rPr>
                    <w:szCs w:val="21"/>
                  </w:rPr>
                </w:pPr>
                <w:r>
                  <w:t xml:space="preserve">　　　</w:t>
                </w:r>
                <w:sdt>
                  <w:sdtPr>
                    <w:rPr>
                      <w:szCs w:val="21"/>
                    </w:rPr>
                    <w:alias w:val="以外币核算的币种明细-币种名称"/>
                    <w:tag w:val="_GBC_21765b5e64364f62971250478e4ff572"/>
                    <w:id w:val="1827094320"/>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Pr>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5F38F9F4" w14:textId="77777777" w:rsidR="00471D53" w:rsidRDefault="004F686E" w:rsidP="00471D53">
                <w:pPr>
                  <w:jc w:val="right"/>
                  <w:rPr>
                    <w:rFonts w:cs="Arial"/>
                    <w:sz w:val="22"/>
                  </w:rPr>
                </w:pPr>
                <w:r w:rsidRPr="001033A3">
                  <w:rPr>
                    <w:rFonts w:cs="Arial"/>
                    <w:sz w:val="22"/>
                  </w:rPr>
                  <w:t>3,376,535.41</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27D9F057" w14:textId="77777777" w:rsidR="00471D53" w:rsidRDefault="004F686E" w:rsidP="00471D53">
                <w:pPr>
                  <w:jc w:val="right"/>
                  <w:rPr>
                    <w:rFonts w:cs="Arial"/>
                    <w:sz w:val="22"/>
                  </w:rPr>
                </w:pPr>
                <w:r w:rsidRPr="00065E8D">
                  <w:rPr>
                    <w:rFonts w:cs="Arial"/>
                    <w:sz w:val="22"/>
                  </w:rPr>
                  <w:t>7.6862</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6EE60641" w14:textId="77777777" w:rsidR="00471D53" w:rsidRDefault="004F686E" w:rsidP="00471D53">
                <w:pPr>
                  <w:jc w:val="right"/>
                  <w:rPr>
                    <w:rFonts w:cs="Arial"/>
                    <w:sz w:val="22"/>
                  </w:rPr>
                </w:pPr>
                <w:r w:rsidRPr="001033A3">
                  <w:rPr>
                    <w:rFonts w:cs="Arial"/>
                    <w:sz w:val="22"/>
                  </w:rPr>
                  <w:t>25,952,726.47</w:t>
                </w:r>
              </w:p>
            </w:tc>
          </w:tr>
          <w:tr w:rsidR="00471D53" w14:paraId="1412B304" w14:textId="77777777" w:rsidTr="00471D53">
            <w:tc>
              <w:tcPr>
                <w:tcW w:w="1601" w:type="pct"/>
                <w:tcBorders>
                  <w:top w:val="single" w:sz="4" w:space="0" w:color="auto"/>
                  <w:left w:val="single" w:sz="4" w:space="0" w:color="auto"/>
                  <w:bottom w:val="single" w:sz="4" w:space="0" w:color="auto"/>
                  <w:right w:val="single" w:sz="4" w:space="0" w:color="auto"/>
                </w:tcBorders>
                <w:shd w:val="clear" w:color="auto" w:fill="auto"/>
              </w:tcPr>
              <w:p w14:paraId="307A2EC7" w14:textId="77777777" w:rsidR="00471D53" w:rsidRDefault="004F686E" w:rsidP="00471D53">
                <w:pPr>
                  <w:rPr>
                    <w:szCs w:val="21"/>
                  </w:rPr>
                </w:pPr>
                <w:r>
                  <w:t xml:space="preserve">　　　</w:t>
                </w:r>
                <w:sdt>
                  <w:sdtPr>
                    <w:rPr>
                      <w:szCs w:val="21"/>
                    </w:rPr>
                    <w:alias w:val="以外币核算的币种明细-币种名称"/>
                    <w:tag w:val="_GBC_21765b5e64364f62971250478e4ff572"/>
                    <w:id w:val="1594198189"/>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Pr>
                        <w:szCs w:val="2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686A4E6A" w14:textId="77777777" w:rsidR="00471D53" w:rsidRDefault="00B664AF" w:rsidP="00471D53">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514F21EE" w14:textId="77777777" w:rsidR="00471D53" w:rsidRDefault="00B664AF" w:rsidP="00471D53">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63D5971A" w14:textId="77777777" w:rsidR="00471D53" w:rsidRDefault="00B664AF" w:rsidP="00471D53">
                <w:pPr>
                  <w:jc w:val="right"/>
                  <w:rPr>
                    <w:szCs w:val="21"/>
                  </w:rPr>
                </w:pPr>
              </w:p>
            </w:tc>
          </w:tr>
          <w:tr w:rsidR="00471D53" w14:paraId="5652A5B6" w14:textId="77777777" w:rsidTr="00471D53">
            <w:tc>
              <w:tcPr>
                <w:tcW w:w="1601" w:type="pct"/>
                <w:tcBorders>
                  <w:top w:val="single" w:sz="4" w:space="0" w:color="auto"/>
                  <w:left w:val="single" w:sz="4" w:space="0" w:color="auto"/>
                  <w:bottom w:val="single" w:sz="4" w:space="0" w:color="auto"/>
                  <w:right w:val="single" w:sz="4" w:space="0" w:color="auto"/>
                </w:tcBorders>
                <w:shd w:val="clear" w:color="auto" w:fill="auto"/>
              </w:tcPr>
              <w:p w14:paraId="2C6A4984" w14:textId="77777777" w:rsidR="00471D53" w:rsidRPr="000F01F3" w:rsidRDefault="004F686E" w:rsidP="00471D53">
                <w:pPr>
                  <w:rPr>
                    <w:szCs w:val="21"/>
                  </w:rPr>
                </w:pPr>
                <w:r w:rsidRPr="000F01F3">
                  <w:rPr>
                    <w:rFonts w:cs="Arial" w:hint="eastAsia"/>
                    <w:bCs/>
                    <w:sz w:val="22"/>
                  </w:rPr>
                  <w:t>其他应收款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0493151D" w14:textId="77777777" w:rsidR="00471D53" w:rsidRDefault="004F686E" w:rsidP="00471D53">
                <w:pPr>
                  <w:jc w:val="right"/>
                  <w:rPr>
                    <w:szCs w:val="21"/>
                  </w:rPr>
                </w:pPr>
                <w:r>
                  <w:rPr>
                    <w:rFonts w:hint="eastAsia"/>
                    <w:szCs w:val="2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199DA9F1" w14:textId="77777777" w:rsidR="00471D53" w:rsidRDefault="004F686E" w:rsidP="00471D53">
                <w:pPr>
                  <w:jc w:val="right"/>
                  <w:rPr>
                    <w:szCs w:val="21"/>
                  </w:rPr>
                </w:pPr>
                <w:r>
                  <w:rPr>
                    <w:rFonts w:hint="eastAsia"/>
                    <w:szCs w:val="2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508D4310" w14:textId="77777777" w:rsidR="00471D53" w:rsidRDefault="004F686E" w:rsidP="00471D53">
                <w:pPr>
                  <w:jc w:val="right"/>
                  <w:rPr>
                    <w:szCs w:val="21"/>
                  </w:rPr>
                </w:pPr>
                <w:r w:rsidRPr="001033A3">
                  <w:rPr>
                    <w:rFonts w:cs="Arial"/>
                    <w:sz w:val="22"/>
                  </w:rPr>
                  <w:t>969,015.00</w:t>
                </w:r>
              </w:p>
            </w:tc>
          </w:tr>
          <w:tr w:rsidR="00471D53" w14:paraId="6D02D7A5" w14:textId="77777777" w:rsidTr="00471D53">
            <w:tc>
              <w:tcPr>
                <w:tcW w:w="1601" w:type="pct"/>
                <w:tcBorders>
                  <w:top w:val="single" w:sz="4" w:space="0" w:color="auto"/>
                  <w:left w:val="single" w:sz="4" w:space="0" w:color="auto"/>
                  <w:bottom w:val="single" w:sz="4" w:space="0" w:color="auto"/>
                  <w:right w:val="single" w:sz="4" w:space="0" w:color="auto"/>
                </w:tcBorders>
                <w:shd w:val="clear" w:color="auto" w:fill="auto"/>
              </w:tcPr>
              <w:p w14:paraId="3BAC1C59" w14:textId="77777777" w:rsidR="00471D53" w:rsidRDefault="004F686E" w:rsidP="00471D53">
                <w:pPr>
                  <w:rPr>
                    <w:szCs w:val="21"/>
                  </w:rPr>
                </w:pPr>
                <w:r>
                  <w:rPr>
                    <w:rFonts w:hint="eastAsia"/>
                    <w:szCs w:val="21"/>
                  </w:rPr>
                  <w:t>其中：</w:t>
                </w:r>
                <w:sdt>
                  <w:sdtPr>
                    <w:rPr>
                      <w:szCs w:val="21"/>
                    </w:rPr>
                    <w:alias w:val="以外币核算的币种明细-币种名称"/>
                    <w:tag w:val="_GBC_21765b5e64364f62971250478e4ff572"/>
                    <w:id w:val="-1401753619"/>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Pr>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59079734" w14:textId="77777777" w:rsidR="00471D53" w:rsidRDefault="004F686E" w:rsidP="00471D53">
                <w:pPr>
                  <w:jc w:val="right"/>
                  <w:rPr>
                    <w:rFonts w:cs="Arial"/>
                    <w:sz w:val="22"/>
                  </w:rPr>
                </w:pPr>
                <w:r w:rsidRPr="001033A3">
                  <w:rPr>
                    <w:rFonts w:cs="Arial"/>
                    <w:sz w:val="22"/>
                  </w:rPr>
                  <w:t>150,000.00</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134099CF" w14:textId="77777777" w:rsidR="00471D53" w:rsidRDefault="004F686E" w:rsidP="00471D53">
                <w:pPr>
                  <w:jc w:val="right"/>
                  <w:rPr>
                    <w:rFonts w:cs="Arial"/>
                    <w:sz w:val="22"/>
                  </w:rPr>
                </w:pPr>
                <w:r w:rsidRPr="00065E8D">
                  <w:rPr>
                    <w:rFonts w:cs="Arial"/>
                    <w:sz w:val="22"/>
                  </w:rPr>
                  <w:t>6.4601</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30594D9A" w14:textId="77777777" w:rsidR="00471D53" w:rsidRDefault="004F686E" w:rsidP="00471D53">
                <w:pPr>
                  <w:jc w:val="right"/>
                  <w:rPr>
                    <w:rFonts w:cs="Arial"/>
                    <w:sz w:val="22"/>
                  </w:rPr>
                </w:pPr>
                <w:r w:rsidRPr="001033A3">
                  <w:rPr>
                    <w:rFonts w:cs="Arial"/>
                    <w:sz w:val="22"/>
                  </w:rPr>
                  <w:t>969,015.00</w:t>
                </w:r>
              </w:p>
            </w:tc>
          </w:tr>
          <w:tr w:rsidR="00471D53" w14:paraId="0B86B06E" w14:textId="77777777" w:rsidTr="00471D53">
            <w:tc>
              <w:tcPr>
                <w:tcW w:w="1601" w:type="pct"/>
                <w:tcBorders>
                  <w:top w:val="single" w:sz="4" w:space="0" w:color="auto"/>
                  <w:left w:val="single" w:sz="4" w:space="0" w:color="auto"/>
                  <w:bottom w:val="single" w:sz="4" w:space="0" w:color="auto"/>
                  <w:right w:val="single" w:sz="4" w:space="0" w:color="auto"/>
                </w:tcBorders>
                <w:shd w:val="clear" w:color="auto" w:fill="auto"/>
              </w:tcPr>
              <w:p w14:paraId="2117D8D1" w14:textId="77777777" w:rsidR="00471D53" w:rsidRDefault="004F686E" w:rsidP="00471D53">
                <w:pPr>
                  <w:rPr>
                    <w:szCs w:val="21"/>
                  </w:rPr>
                </w:pPr>
                <w:r>
                  <w:t xml:space="preserve">　　　</w:t>
                </w:r>
                <w:sdt>
                  <w:sdtPr>
                    <w:rPr>
                      <w:szCs w:val="21"/>
                    </w:rPr>
                    <w:alias w:val="以外币核算的币种明细-币种名称"/>
                    <w:tag w:val="_GBC_21765b5e64364f62971250478e4ff572"/>
                    <w:id w:val="-1123071310"/>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Pr>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2543A743" w14:textId="77777777" w:rsidR="00471D53" w:rsidRDefault="00B664AF" w:rsidP="00471D53">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2F746DFD" w14:textId="77777777" w:rsidR="00471D53" w:rsidRDefault="00B664AF" w:rsidP="00471D53">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20AC42AD" w14:textId="77777777" w:rsidR="00471D53" w:rsidRDefault="00B664AF" w:rsidP="00471D53">
                <w:pPr>
                  <w:jc w:val="right"/>
                  <w:rPr>
                    <w:szCs w:val="21"/>
                  </w:rPr>
                </w:pPr>
              </w:p>
            </w:tc>
          </w:tr>
          <w:tr w:rsidR="00471D53" w14:paraId="492AB788" w14:textId="77777777" w:rsidTr="00471D53">
            <w:tc>
              <w:tcPr>
                <w:tcW w:w="1601" w:type="pct"/>
                <w:tcBorders>
                  <w:top w:val="single" w:sz="4" w:space="0" w:color="auto"/>
                  <w:left w:val="single" w:sz="4" w:space="0" w:color="auto"/>
                  <w:bottom w:val="single" w:sz="4" w:space="0" w:color="auto"/>
                  <w:right w:val="single" w:sz="4" w:space="0" w:color="auto"/>
                </w:tcBorders>
                <w:shd w:val="clear" w:color="auto" w:fill="auto"/>
              </w:tcPr>
              <w:p w14:paraId="492B2DAC" w14:textId="77777777" w:rsidR="00471D53" w:rsidRDefault="004F686E" w:rsidP="00471D53">
                <w:pPr>
                  <w:rPr>
                    <w:szCs w:val="21"/>
                  </w:rPr>
                </w:pPr>
                <w:r>
                  <w:t xml:space="preserve">　　　</w:t>
                </w:r>
                <w:sdt>
                  <w:sdtPr>
                    <w:rPr>
                      <w:szCs w:val="21"/>
                    </w:rPr>
                    <w:alias w:val="以外币核算的币种明细-币种名称"/>
                    <w:tag w:val="_GBC_21765b5e64364f62971250478e4ff572"/>
                    <w:id w:val="-289199000"/>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Pr>
                        <w:szCs w:val="2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1087DF51" w14:textId="77777777" w:rsidR="00471D53" w:rsidRDefault="00B664AF" w:rsidP="00471D53">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478EE13F" w14:textId="77777777" w:rsidR="00471D53" w:rsidRDefault="00B664AF" w:rsidP="00471D53">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4F63F7EA" w14:textId="77777777" w:rsidR="00471D53" w:rsidRDefault="00B664AF" w:rsidP="00471D53">
                <w:pPr>
                  <w:jc w:val="right"/>
                  <w:rPr>
                    <w:szCs w:val="21"/>
                  </w:rPr>
                </w:pPr>
              </w:p>
            </w:tc>
          </w:tr>
          <w:tr w:rsidR="00471D53" w14:paraId="7C6688E4" w14:textId="77777777" w:rsidTr="00471D53">
            <w:tc>
              <w:tcPr>
                <w:tcW w:w="1601" w:type="pct"/>
                <w:tcBorders>
                  <w:top w:val="single" w:sz="4" w:space="0" w:color="auto"/>
                  <w:left w:val="single" w:sz="4" w:space="0" w:color="auto"/>
                  <w:bottom w:val="single" w:sz="4" w:space="0" w:color="auto"/>
                  <w:right w:val="single" w:sz="4" w:space="0" w:color="auto"/>
                </w:tcBorders>
                <w:shd w:val="clear" w:color="auto" w:fill="auto"/>
              </w:tcPr>
              <w:p w14:paraId="06CFA8FD" w14:textId="77777777" w:rsidR="00471D53" w:rsidRPr="000F01F3" w:rsidRDefault="004F686E" w:rsidP="00471D53">
                <w:pPr>
                  <w:rPr>
                    <w:szCs w:val="21"/>
                  </w:rPr>
                </w:pPr>
                <w:r w:rsidRPr="000F01F3">
                  <w:rPr>
                    <w:rFonts w:cs="Arial" w:hint="eastAsia"/>
                    <w:bCs/>
                    <w:sz w:val="22"/>
                    <w:szCs w:val="22"/>
                  </w:rPr>
                  <w:t>应付账款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67929772" w14:textId="77777777" w:rsidR="00471D53" w:rsidRDefault="004F686E" w:rsidP="00471D53">
                <w:pPr>
                  <w:jc w:val="right"/>
                  <w:rPr>
                    <w:szCs w:val="21"/>
                  </w:rPr>
                </w:pPr>
                <w:r>
                  <w:rPr>
                    <w:rFonts w:hint="eastAsia"/>
                    <w:szCs w:val="2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7DC8F0B0" w14:textId="77777777" w:rsidR="00471D53" w:rsidRDefault="004F686E" w:rsidP="00471D53">
                <w:pPr>
                  <w:jc w:val="right"/>
                  <w:rPr>
                    <w:szCs w:val="21"/>
                  </w:rPr>
                </w:pPr>
                <w:r>
                  <w:rPr>
                    <w:rFonts w:hint="eastAsia"/>
                    <w:szCs w:val="2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20C68EF1" w14:textId="77777777" w:rsidR="00471D53" w:rsidRPr="000F01F3" w:rsidRDefault="004F686E" w:rsidP="00471D53">
                <w:pPr>
                  <w:jc w:val="right"/>
                  <w:rPr>
                    <w:sz w:val="22"/>
                    <w:szCs w:val="22"/>
                  </w:rPr>
                </w:pPr>
                <w:r w:rsidRPr="000F01F3">
                  <w:rPr>
                    <w:sz w:val="22"/>
                    <w:szCs w:val="22"/>
                  </w:rPr>
                  <w:t>15,522,798.32</w:t>
                </w:r>
              </w:p>
            </w:tc>
          </w:tr>
          <w:tr w:rsidR="00471D53" w14:paraId="631BAF6C" w14:textId="77777777" w:rsidTr="00471D53">
            <w:tc>
              <w:tcPr>
                <w:tcW w:w="1601" w:type="pct"/>
                <w:tcBorders>
                  <w:top w:val="single" w:sz="4" w:space="0" w:color="auto"/>
                  <w:left w:val="single" w:sz="4" w:space="0" w:color="auto"/>
                  <w:bottom w:val="single" w:sz="4" w:space="0" w:color="auto"/>
                  <w:right w:val="single" w:sz="4" w:space="0" w:color="auto"/>
                </w:tcBorders>
                <w:shd w:val="clear" w:color="auto" w:fill="auto"/>
              </w:tcPr>
              <w:p w14:paraId="049E8EC3" w14:textId="77777777" w:rsidR="00471D53" w:rsidRDefault="004F686E" w:rsidP="00471D53">
                <w:pPr>
                  <w:rPr>
                    <w:szCs w:val="21"/>
                  </w:rPr>
                </w:pPr>
                <w:r>
                  <w:rPr>
                    <w:rFonts w:hint="eastAsia"/>
                    <w:szCs w:val="21"/>
                  </w:rPr>
                  <w:t>其中：</w:t>
                </w:r>
                <w:sdt>
                  <w:sdtPr>
                    <w:rPr>
                      <w:szCs w:val="21"/>
                    </w:rPr>
                    <w:alias w:val="以外币核算的币种明细-币种名称"/>
                    <w:tag w:val="_GBC_21765b5e64364f62971250478e4ff572"/>
                    <w:id w:val="-243416472"/>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Pr>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004B52FC" w14:textId="77777777" w:rsidR="00471D53" w:rsidRDefault="004F686E" w:rsidP="00471D53">
                <w:pPr>
                  <w:jc w:val="right"/>
                  <w:rPr>
                    <w:rFonts w:cs="Arial"/>
                    <w:sz w:val="22"/>
                    <w:szCs w:val="22"/>
                  </w:rPr>
                </w:pPr>
                <w:r w:rsidRPr="001033A3">
                  <w:rPr>
                    <w:rFonts w:cs="Arial"/>
                    <w:sz w:val="22"/>
                    <w:szCs w:val="22"/>
                  </w:rPr>
                  <w:t>2,402,872.76</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64BB3C9A" w14:textId="77777777" w:rsidR="00471D53" w:rsidRDefault="004F686E" w:rsidP="00471D53">
                <w:pPr>
                  <w:jc w:val="right"/>
                  <w:rPr>
                    <w:rFonts w:cs="Arial"/>
                    <w:sz w:val="22"/>
                    <w:szCs w:val="22"/>
                  </w:rPr>
                </w:pPr>
                <w:r w:rsidRPr="00065E8D">
                  <w:rPr>
                    <w:rFonts w:cs="Arial"/>
                    <w:sz w:val="22"/>
                    <w:szCs w:val="22"/>
                  </w:rPr>
                  <w:t>6.4601</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7E10BC7B" w14:textId="77777777" w:rsidR="00471D53" w:rsidRPr="000F01F3" w:rsidRDefault="004F686E" w:rsidP="00471D53">
                <w:pPr>
                  <w:jc w:val="right"/>
                  <w:rPr>
                    <w:rFonts w:cs="Arial"/>
                    <w:sz w:val="22"/>
                    <w:szCs w:val="22"/>
                  </w:rPr>
                </w:pPr>
                <w:r w:rsidRPr="000F01F3">
                  <w:rPr>
                    <w:rFonts w:cs="Arial"/>
                    <w:sz w:val="22"/>
                    <w:szCs w:val="22"/>
                  </w:rPr>
                  <w:t>15,522,798.32</w:t>
                </w:r>
              </w:p>
            </w:tc>
          </w:tr>
          <w:tr w:rsidR="00471D53" w14:paraId="71E58263" w14:textId="77777777" w:rsidTr="00471D53">
            <w:tc>
              <w:tcPr>
                <w:tcW w:w="1601" w:type="pct"/>
                <w:tcBorders>
                  <w:top w:val="single" w:sz="4" w:space="0" w:color="auto"/>
                  <w:left w:val="single" w:sz="4" w:space="0" w:color="auto"/>
                  <w:bottom w:val="single" w:sz="4" w:space="0" w:color="auto"/>
                  <w:right w:val="single" w:sz="4" w:space="0" w:color="auto"/>
                </w:tcBorders>
                <w:shd w:val="clear" w:color="auto" w:fill="auto"/>
              </w:tcPr>
              <w:p w14:paraId="38259C13" w14:textId="77777777" w:rsidR="00471D53" w:rsidRDefault="004F686E" w:rsidP="00471D53">
                <w:pPr>
                  <w:rPr>
                    <w:szCs w:val="21"/>
                  </w:rPr>
                </w:pPr>
                <w:r>
                  <w:t xml:space="preserve">　　　</w:t>
                </w:r>
                <w:sdt>
                  <w:sdtPr>
                    <w:rPr>
                      <w:szCs w:val="21"/>
                    </w:rPr>
                    <w:alias w:val="以外币核算的币种明细-币种名称"/>
                    <w:tag w:val="_GBC_21765b5e64364f62971250478e4ff572"/>
                    <w:id w:val="1877114045"/>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Pr>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8811FF8" w14:textId="77777777" w:rsidR="00471D53" w:rsidRDefault="00B664AF" w:rsidP="00471D53">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6CB45F35" w14:textId="77777777" w:rsidR="00471D53" w:rsidRDefault="00B664AF" w:rsidP="00471D53">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5EB5720F" w14:textId="77777777" w:rsidR="00471D53" w:rsidRDefault="00B664AF" w:rsidP="00471D53">
                <w:pPr>
                  <w:jc w:val="right"/>
                  <w:rPr>
                    <w:szCs w:val="21"/>
                  </w:rPr>
                </w:pPr>
              </w:p>
            </w:tc>
          </w:tr>
          <w:tr w:rsidR="00471D53" w14:paraId="16F6935D" w14:textId="77777777" w:rsidTr="00471D53">
            <w:tc>
              <w:tcPr>
                <w:tcW w:w="1601" w:type="pct"/>
                <w:tcBorders>
                  <w:top w:val="single" w:sz="4" w:space="0" w:color="auto"/>
                  <w:left w:val="single" w:sz="4" w:space="0" w:color="auto"/>
                  <w:bottom w:val="single" w:sz="4" w:space="0" w:color="auto"/>
                  <w:right w:val="single" w:sz="4" w:space="0" w:color="auto"/>
                </w:tcBorders>
                <w:shd w:val="clear" w:color="auto" w:fill="auto"/>
              </w:tcPr>
              <w:p w14:paraId="0CC8011C" w14:textId="77777777" w:rsidR="00471D53" w:rsidRDefault="004F686E" w:rsidP="00471D53">
                <w:pPr>
                  <w:rPr>
                    <w:szCs w:val="21"/>
                  </w:rPr>
                </w:pPr>
                <w:r>
                  <w:t xml:space="preserve">　　　</w:t>
                </w:r>
                <w:sdt>
                  <w:sdtPr>
                    <w:rPr>
                      <w:szCs w:val="21"/>
                    </w:rPr>
                    <w:alias w:val="以外币核算的币种明细-币种名称"/>
                    <w:tag w:val="_GBC_21765b5e64364f62971250478e4ff572"/>
                    <w:id w:val="-927108370"/>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Pr>
                        <w:szCs w:val="2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7FC9FF9D" w14:textId="77777777" w:rsidR="00471D53" w:rsidRDefault="00B664AF" w:rsidP="00471D53">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036015C9" w14:textId="77777777" w:rsidR="00471D53" w:rsidRDefault="00B664AF" w:rsidP="00471D53">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18307B4A" w14:textId="77777777" w:rsidR="00471D53" w:rsidRDefault="00B664AF" w:rsidP="00471D53">
                <w:pPr>
                  <w:jc w:val="right"/>
                  <w:rPr>
                    <w:szCs w:val="21"/>
                  </w:rPr>
                </w:pPr>
              </w:p>
            </w:tc>
          </w:tr>
          <w:tr w:rsidR="00471D53" w14:paraId="1BCE8FB7" w14:textId="77777777" w:rsidTr="00471D53">
            <w:tc>
              <w:tcPr>
                <w:tcW w:w="1601" w:type="pct"/>
                <w:tcBorders>
                  <w:top w:val="single" w:sz="4" w:space="0" w:color="auto"/>
                  <w:left w:val="single" w:sz="4" w:space="0" w:color="auto"/>
                  <w:bottom w:val="single" w:sz="4" w:space="0" w:color="auto"/>
                  <w:right w:val="single" w:sz="4" w:space="0" w:color="auto"/>
                </w:tcBorders>
                <w:shd w:val="clear" w:color="auto" w:fill="auto"/>
              </w:tcPr>
              <w:p w14:paraId="0C800339" w14:textId="77777777" w:rsidR="00471D53" w:rsidRPr="000F01F3" w:rsidRDefault="004F686E" w:rsidP="00471D53">
                <w:pPr>
                  <w:rPr>
                    <w:szCs w:val="21"/>
                  </w:rPr>
                </w:pPr>
                <w:r w:rsidRPr="000F01F3">
                  <w:rPr>
                    <w:rFonts w:cs="Arial" w:hint="eastAsia"/>
                    <w:bCs/>
                    <w:sz w:val="22"/>
                    <w:szCs w:val="22"/>
                  </w:rPr>
                  <w:t>其他应付款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26084A2C" w14:textId="77777777" w:rsidR="00471D53" w:rsidRDefault="004F686E" w:rsidP="00471D53">
                <w:pPr>
                  <w:jc w:val="right"/>
                  <w:rPr>
                    <w:szCs w:val="21"/>
                  </w:rPr>
                </w:pPr>
                <w:r>
                  <w:rPr>
                    <w:rFonts w:hint="eastAsia"/>
                    <w:szCs w:val="2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271230C2" w14:textId="77777777" w:rsidR="00471D53" w:rsidRDefault="004F686E" w:rsidP="00471D53">
                <w:pPr>
                  <w:jc w:val="right"/>
                  <w:rPr>
                    <w:szCs w:val="21"/>
                  </w:rPr>
                </w:pPr>
                <w:r>
                  <w:rPr>
                    <w:rFonts w:hint="eastAsia"/>
                    <w:szCs w:val="2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7FE553D8" w14:textId="77777777" w:rsidR="00471D53" w:rsidRPr="000F01F3" w:rsidRDefault="004F686E" w:rsidP="00471D53">
                <w:pPr>
                  <w:jc w:val="right"/>
                  <w:rPr>
                    <w:sz w:val="22"/>
                    <w:szCs w:val="22"/>
                  </w:rPr>
                </w:pPr>
                <w:r w:rsidRPr="000F01F3">
                  <w:rPr>
                    <w:sz w:val="22"/>
                    <w:szCs w:val="22"/>
                  </w:rPr>
                  <w:t>50,046.53</w:t>
                </w:r>
              </w:p>
            </w:tc>
          </w:tr>
          <w:tr w:rsidR="00471D53" w14:paraId="07B6CC92" w14:textId="77777777" w:rsidTr="00471D53">
            <w:tc>
              <w:tcPr>
                <w:tcW w:w="1601" w:type="pct"/>
                <w:tcBorders>
                  <w:top w:val="single" w:sz="4" w:space="0" w:color="auto"/>
                  <w:left w:val="single" w:sz="4" w:space="0" w:color="auto"/>
                  <w:bottom w:val="single" w:sz="4" w:space="0" w:color="auto"/>
                  <w:right w:val="single" w:sz="4" w:space="0" w:color="auto"/>
                </w:tcBorders>
                <w:shd w:val="clear" w:color="auto" w:fill="auto"/>
              </w:tcPr>
              <w:p w14:paraId="5E6C17E6" w14:textId="77777777" w:rsidR="00471D53" w:rsidRDefault="004F686E" w:rsidP="00471D53">
                <w:pPr>
                  <w:rPr>
                    <w:szCs w:val="21"/>
                  </w:rPr>
                </w:pPr>
                <w:r>
                  <w:rPr>
                    <w:rFonts w:hint="eastAsia"/>
                    <w:szCs w:val="21"/>
                  </w:rPr>
                  <w:t>其中：</w:t>
                </w:r>
                <w:sdt>
                  <w:sdtPr>
                    <w:rPr>
                      <w:szCs w:val="21"/>
                    </w:rPr>
                    <w:alias w:val="以外币核算的币种明细-币种名称"/>
                    <w:tag w:val="_GBC_21765b5e64364f62971250478e4ff572"/>
                    <w:id w:val="1672526713"/>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Pr>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12B4AFD9" w14:textId="77777777" w:rsidR="00471D53" w:rsidRDefault="004F686E" w:rsidP="00471D53">
                <w:pPr>
                  <w:jc w:val="right"/>
                  <w:rPr>
                    <w:rFonts w:cs="Arial"/>
                    <w:sz w:val="22"/>
                    <w:szCs w:val="22"/>
                  </w:rPr>
                </w:pPr>
                <w:r w:rsidRPr="001033A3">
                  <w:rPr>
                    <w:rFonts w:cs="Arial"/>
                    <w:sz w:val="22"/>
                    <w:szCs w:val="22"/>
                  </w:rPr>
                  <w:t>7,747.02</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38CAC1F1" w14:textId="77777777" w:rsidR="00471D53" w:rsidRDefault="004F686E" w:rsidP="00471D53">
                <w:pPr>
                  <w:jc w:val="right"/>
                  <w:rPr>
                    <w:rFonts w:cs="Arial"/>
                    <w:sz w:val="22"/>
                    <w:szCs w:val="22"/>
                  </w:rPr>
                </w:pPr>
                <w:r w:rsidRPr="001033A3">
                  <w:rPr>
                    <w:rFonts w:cs="Arial"/>
                    <w:sz w:val="22"/>
                    <w:szCs w:val="22"/>
                  </w:rPr>
                  <w:t>6.4601</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557F1789" w14:textId="77777777" w:rsidR="00471D53" w:rsidRDefault="004F686E" w:rsidP="00471D53">
                <w:pPr>
                  <w:jc w:val="right"/>
                  <w:rPr>
                    <w:rFonts w:cs="Arial"/>
                    <w:sz w:val="22"/>
                    <w:szCs w:val="22"/>
                  </w:rPr>
                </w:pPr>
                <w:r w:rsidRPr="001033A3">
                  <w:rPr>
                    <w:rFonts w:cs="Arial"/>
                    <w:sz w:val="22"/>
                    <w:szCs w:val="22"/>
                  </w:rPr>
                  <w:t>50,046.53</w:t>
                </w:r>
              </w:p>
            </w:tc>
          </w:tr>
          <w:tr w:rsidR="00471D53" w14:paraId="1E2F8AB2" w14:textId="77777777" w:rsidTr="00471D53">
            <w:tc>
              <w:tcPr>
                <w:tcW w:w="1601" w:type="pct"/>
                <w:tcBorders>
                  <w:top w:val="single" w:sz="4" w:space="0" w:color="auto"/>
                  <w:left w:val="single" w:sz="4" w:space="0" w:color="auto"/>
                  <w:bottom w:val="single" w:sz="4" w:space="0" w:color="auto"/>
                  <w:right w:val="single" w:sz="4" w:space="0" w:color="auto"/>
                </w:tcBorders>
                <w:shd w:val="clear" w:color="auto" w:fill="auto"/>
              </w:tcPr>
              <w:p w14:paraId="0AD2C2CD" w14:textId="77777777" w:rsidR="00471D53" w:rsidRDefault="004F686E" w:rsidP="00471D53">
                <w:pPr>
                  <w:rPr>
                    <w:szCs w:val="21"/>
                  </w:rPr>
                </w:pPr>
                <w:r>
                  <w:t xml:space="preserve">　　　</w:t>
                </w:r>
                <w:sdt>
                  <w:sdtPr>
                    <w:rPr>
                      <w:szCs w:val="21"/>
                    </w:rPr>
                    <w:alias w:val="以外币核算的币种明细-币种名称"/>
                    <w:tag w:val="_GBC_21765b5e64364f62971250478e4ff572"/>
                    <w:id w:val="-2115126651"/>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Pr>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77BA3FA6" w14:textId="77777777" w:rsidR="00471D53" w:rsidRDefault="00B664AF" w:rsidP="00471D53">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3F28CC80" w14:textId="77777777" w:rsidR="00471D53" w:rsidRDefault="00B664AF" w:rsidP="00471D53">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1B3A1475" w14:textId="77777777" w:rsidR="00471D53" w:rsidRDefault="00B664AF" w:rsidP="00471D53">
                <w:pPr>
                  <w:jc w:val="right"/>
                  <w:rPr>
                    <w:szCs w:val="21"/>
                  </w:rPr>
                </w:pPr>
              </w:p>
            </w:tc>
          </w:tr>
          <w:tr w:rsidR="00471D53" w14:paraId="1A95BA01" w14:textId="77777777" w:rsidTr="00471D53">
            <w:tc>
              <w:tcPr>
                <w:tcW w:w="1601" w:type="pct"/>
                <w:tcBorders>
                  <w:top w:val="single" w:sz="4" w:space="0" w:color="auto"/>
                  <w:left w:val="single" w:sz="4" w:space="0" w:color="auto"/>
                  <w:bottom w:val="single" w:sz="4" w:space="0" w:color="auto"/>
                  <w:right w:val="single" w:sz="4" w:space="0" w:color="auto"/>
                </w:tcBorders>
                <w:shd w:val="clear" w:color="auto" w:fill="auto"/>
              </w:tcPr>
              <w:p w14:paraId="20E89F5D" w14:textId="77777777" w:rsidR="00471D53" w:rsidRDefault="004F686E" w:rsidP="00471D53">
                <w:pPr>
                  <w:rPr>
                    <w:szCs w:val="21"/>
                  </w:rPr>
                </w:pPr>
                <w:r>
                  <w:t xml:space="preserve">　　　</w:t>
                </w:r>
                <w:sdt>
                  <w:sdtPr>
                    <w:rPr>
                      <w:szCs w:val="21"/>
                    </w:rPr>
                    <w:alias w:val="以外币核算的币种明细-币种名称"/>
                    <w:tag w:val="_GBC_21765b5e64364f62971250478e4ff572"/>
                    <w:id w:val="-341787993"/>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Pr>
                        <w:szCs w:val="2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1A521563" w14:textId="77777777" w:rsidR="00471D53" w:rsidRDefault="00B664AF" w:rsidP="00471D53">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5A0B23FF" w14:textId="77777777" w:rsidR="00471D53" w:rsidRDefault="00B664AF" w:rsidP="00471D53">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7870CDD7" w14:textId="77777777" w:rsidR="00471D53" w:rsidRDefault="00B664AF" w:rsidP="00471D53">
                <w:pPr>
                  <w:jc w:val="right"/>
                  <w:rPr>
                    <w:szCs w:val="21"/>
                  </w:rPr>
                </w:pPr>
              </w:p>
            </w:tc>
          </w:tr>
        </w:tbl>
        <w:p w14:paraId="7D0D6671" w14:textId="77777777" w:rsidR="00471D53" w:rsidRDefault="00B664AF"/>
        <w:p w14:paraId="061FF218" w14:textId="77777777" w:rsidR="00471D53" w:rsidRDefault="004F686E">
          <w:pPr>
            <w:spacing w:before="60" w:after="60"/>
            <w:rPr>
              <w:szCs w:val="21"/>
            </w:rPr>
          </w:pPr>
          <w:r>
            <w:rPr>
              <w:rFonts w:hint="eastAsia"/>
              <w:szCs w:val="21"/>
            </w:rPr>
            <w:t>其他说明：</w:t>
          </w:r>
        </w:p>
        <w:sdt>
          <w:sdtPr>
            <w:rPr>
              <w:szCs w:val="21"/>
            </w:rPr>
            <w:alias w:val="外币货币性项目的其他说明"/>
            <w:tag w:val="_GBC_a16b850d98e24762adbee5a1d5628893"/>
            <w:id w:val="132764344"/>
            <w:lock w:val="sdtLocked"/>
            <w:placeholder>
              <w:docPart w:val="GBC22222222222222222222222222222"/>
            </w:placeholder>
          </w:sdtPr>
          <w:sdtEndPr/>
          <w:sdtContent>
            <w:p w14:paraId="12972BB5" w14:textId="77777777" w:rsidR="00471D53" w:rsidRDefault="004F686E">
              <w:pPr>
                <w:rPr>
                  <w:szCs w:val="21"/>
                </w:rPr>
              </w:pPr>
              <w:r>
                <w:rPr>
                  <w:rFonts w:hint="eastAsia"/>
                  <w:szCs w:val="21"/>
                </w:rPr>
                <w:t>无</w:t>
              </w:r>
            </w:p>
          </w:sdtContent>
        </w:sdt>
        <w:p w14:paraId="0AF27E31" w14:textId="77777777" w:rsidR="00471D53" w:rsidRDefault="00B664AF">
          <w:pPr>
            <w:rPr>
              <w:szCs w:val="21"/>
            </w:rPr>
          </w:pPr>
        </w:p>
        <w:p w14:paraId="13DFE3DD" w14:textId="77777777" w:rsidR="00471D53" w:rsidRDefault="004F686E" w:rsidP="004F686E">
          <w:pPr>
            <w:pStyle w:val="affffff7"/>
            <w:numPr>
              <w:ilvl w:val="0"/>
              <w:numId w:val="91"/>
            </w:numPr>
            <w:tabs>
              <w:tab w:val="left" w:pos="700"/>
            </w:tabs>
            <w:spacing w:before="60" w:after="60"/>
            <w:ind w:firstLineChars="0"/>
            <w:jc w:val="left"/>
            <w:rPr>
              <w:rFonts w:ascii="宋体" w:hAnsi="宋体"/>
              <w:b/>
              <w:szCs w:val="21"/>
            </w:rPr>
          </w:pPr>
          <w:r>
            <w:rPr>
              <w:rStyle w:val="affffff"/>
              <w:rFonts w:ascii="宋体" w:hAnsi="宋体" w:hint="eastAsia"/>
              <w:szCs w:val="21"/>
            </w:rPr>
            <w:t>境外</w:t>
          </w:r>
          <w:r>
            <w:rPr>
              <w:rFonts w:ascii="宋体" w:hAnsi="宋体" w:hint="eastAsia"/>
              <w:b/>
              <w:szCs w:val="21"/>
            </w:rPr>
            <w:t>经营实体说明，包括对于重要的境外经营实体，应披露其境外主要经营地、记账本位币及选择依据，记账本位币发生变化的还应披露原因</w:t>
          </w:r>
        </w:p>
        <w:p w14:paraId="0F354265" w14:textId="77777777" w:rsidR="00471D53" w:rsidRDefault="00B664AF">
          <w:pPr>
            <w:rPr>
              <w:szCs w:val="21"/>
            </w:rPr>
          </w:pPr>
          <w:sdt>
            <w:sdtPr>
              <w:rPr>
                <w:szCs w:val="21"/>
              </w:rPr>
              <w:alias w:val="是否适用：境外经营实体主要报表项目的折算汇率[双击切换]"/>
              <w:tag w:val="_GBC_4ad16f5c306d4c6ead144dfd007fb925"/>
              <w:id w:val="1355766802"/>
              <w:lock w:val="sdtLocked"/>
              <w:placeholder>
                <w:docPart w:val="GBC22222222222222222222222222222"/>
              </w:placeholder>
            </w:sdtPr>
            <w:sdtEndPr/>
            <w:sdtContent>
              <w:r w:rsidR="004F686E">
                <w:rPr>
                  <w:szCs w:val="21"/>
                </w:rPr>
                <w:fldChar w:fldCharType="begin"/>
              </w:r>
              <w:r w:rsidR="004F686E">
                <w:rPr>
                  <w:szCs w:val="21"/>
                </w:rPr>
                <w:instrText xml:space="preserve"> MACROBUTTON  SnrToggleCheckbox √适用 </w:instrText>
              </w:r>
              <w:r w:rsidR="004F686E">
                <w:rPr>
                  <w:szCs w:val="21"/>
                </w:rPr>
                <w:fldChar w:fldCharType="end"/>
              </w:r>
              <w:r w:rsidR="004F686E">
                <w:rPr>
                  <w:szCs w:val="21"/>
                </w:rPr>
                <w:fldChar w:fldCharType="begin"/>
              </w:r>
              <w:r w:rsidR="004F686E">
                <w:rPr>
                  <w:szCs w:val="21"/>
                </w:rPr>
                <w:instrText xml:space="preserve"> MACROBUTTON  SnrToggleCheckbox □不适用 </w:instrText>
              </w:r>
              <w:r w:rsidR="004F686E">
                <w:rPr>
                  <w:szCs w:val="21"/>
                </w:rPr>
                <w:fldChar w:fldCharType="end"/>
              </w:r>
            </w:sdtContent>
          </w:sdt>
        </w:p>
        <w:sdt>
          <w:sdtPr>
            <w:rPr>
              <w:szCs w:val="21"/>
            </w:rPr>
            <w:alias w:val="境外经营实体主要报表项目的折算汇率"/>
            <w:tag w:val="_GBC_4148864437ea4c5bb9934a188232a73c"/>
            <w:id w:val="1666816785"/>
            <w:lock w:val="sdtLocked"/>
            <w:placeholder>
              <w:docPart w:val="GBC22222222222222222222222222222"/>
            </w:placeholder>
          </w:sdtPr>
          <w:sdtEndPr/>
          <w:sdtContent>
            <w:p w14:paraId="47725E2C" w14:textId="77777777" w:rsidR="00471D53" w:rsidRDefault="004F686E" w:rsidP="00471D53">
              <w:pPr>
                <w:tabs>
                  <w:tab w:val="left" w:pos="1100"/>
                </w:tabs>
                <w:spacing w:beforeLines="50" w:before="120" w:afterLines="50" w:after="120" w:line="360" w:lineRule="exact"/>
                <w:ind w:firstLineChars="200" w:firstLine="420"/>
                <w:jc w:val="both"/>
                <w:rPr>
                  <w:sz w:val="22"/>
                  <w:szCs w:val="22"/>
                </w:rPr>
              </w:pPr>
              <w:r>
                <w:rPr>
                  <w:rFonts w:hint="eastAsia"/>
                  <w:sz w:val="22"/>
                  <w:szCs w:val="22"/>
                </w:rPr>
                <w:t>本公司之下属公司天海美洲公司注册地为美国休斯顿，公司以美元为记账本位币。本公司之子公司京城控股（香港）有限公司注册地为香港，公司以美元为记账本位币。</w:t>
              </w:r>
            </w:p>
            <w:p w14:paraId="0993A889" w14:textId="77777777" w:rsidR="00471D53" w:rsidRDefault="00B664AF">
              <w:pPr>
                <w:rPr>
                  <w:szCs w:val="21"/>
                </w:rPr>
              </w:pPr>
            </w:p>
          </w:sdtContent>
        </w:sdt>
      </w:sdtContent>
    </w:sdt>
    <w:bookmarkEnd w:id="227" w:displacedByCustomXml="prev"/>
    <w:p w14:paraId="75B48BB1" w14:textId="77777777" w:rsidR="00471D53" w:rsidRDefault="00B664AF"/>
    <w:sdt>
      <w:sdtPr>
        <w:rPr>
          <w:rFonts w:ascii="宋体" w:hAnsi="宋体" w:cs="宋体" w:hint="eastAsia"/>
          <w:b w:val="0"/>
          <w:bCs w:val="0"/>
          <w:kern w:val="0"/>
          <w:szCs w:val="24"/>
        </w:rPr>
        <w:alias w:val="模块:按照套期类别披露套期及相关套期工具、被套期风险的相关的定性定"/>
        <w:tag w:val="_GBC_e37f7bfcfa2f4a9e92bdd5e8593a6fd8"/>
        <w:id w:val="1367878743"/>
        <w:lock w:val="sdtLocked"/>
        <w:placeholder>
          <w:docPart w:val="GBC22222222222222222222222222222"/>
        </w:placeholder>
      </w:sdtPr>
      <w:sdtEndPr>
        <w:rPr>
          <w:rFonts w:hint="default"/>
        </w:rPr>
      </w:sdtEndPr>
      <w:sdtContent>
        <w:p w14:paraId="2A5FF791" w14:textId="77777777" w:rsidR="00471D53" w:rsidRDefault="004F686E" w:rsidP="004F686E">
          <w:pPr>
            <w:pStyle w:val="afffff7"/>
            <w:numPr>
              <w:ilvl w:val="0"/>
              <w:numId w:val="55"/>
            </w:numPr>
            <w:tabs>
              <w:tab w:val="left" w:pos="504"/>
            </w:tabs>
            <w:rPr>
              <w:rFonts w:ascii="宋体" w:hAnsi="宋体" w:cs="宋体"/>
              <w:bCs w:val="0"/>
              <w:kern w:val="0"/>
              <w:szCs w:val="24"/>
            </w:rPr>
          </w:pPr>
          <w:r>
            <w:rPr>
              <w:rFonts w:ascii="宋体" w:hAnsi="宋体" w:cs="宋体" w:hint="eastAsia"/>
              <w:bCs w:val="0"/>
              <w:kern w:val="0"/>
              <w:szCs w:val="24"/>
            </w:rPr>
            <w:t>套期</w:t>
          </w:r>
        </w:p>
        <w:sdt>
          <w:sdtPr>
            <w:alias w:val="是否适用：套期[双击切换]"/>
            <w:tag w:val="_GBC_bca8fe779ada470c87241e7b3e12387a"/>
            <w:id w:val="663518634"/>
            <w:lock w:val="sdtLocked"/>
            <w:placeholder>
              <w:docPart w:val="GBC22222222222222222222222222222"/>
            </w:placeholder>
          </w:sdtPr>
          <w:sdtEndPr/>
          <w:sdtContent>
            <w:p w14:paraId="3EA94FAA"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5FF8997" w14:textId="77777777" w:rsidR="00471D53" w:rsidRDefault="00B664AF"/>
      </w:sdtContent>
    </w:sdt>
    <w:p w14:paraId="0583F775" w14:textId="77777777" w:rsidR="00471D53" w:rsidRDefault="00B664AF"/>
    <w:sdt>
      <w:sdtPr>
        <w:rPr>
          <w:rFonts w:ascii="宋体" w:hAnsi="宋体" w:cs="宋体" w:hint="eastAsia"/>
          <w:b w:val="0"/>
          <w:bCs w:val="0"/>
          <w:kern w:val="0"/>
          <w:szCs w:val="24"/>
        </w:rPr>
        <w:alias w:val="模块:政府补助"/>
        <w:tag w:val="_SEC_8b247fe8025b433290c47017eb23d965"/>
        <w:id w:val="2031833501"/>
        <w:lock w:val="sdtLocked"/>
        <w:placeholder>
          <w:docPart w:val="GBC22222222222222222222222222222"/>
        </w:placeholder>
      </w:sdtPr>
      <w:sdtEndPr/>
      <w:sdtContent>
        <w:p w14:paraId="617936E3" w14:textId="0D7E59D5" w:rsidR="00E72B34" w:rsidRDefault="004F686E" w:rsidP="004F686E">
          <w:pPr>
            <w:pStyle w:val="3"/>
            <w:numPr>
              <w:ilvl w:val="0"/>
              <w:numId w:val="55"/>
            </w:numPr>
            <w:tabs>
              <w:tab w:val="left" w:pos="504"/>
            </w:tabs>
            <w:rPr>
              <w:rFonts w:ascii="宋体" w:hAnsi="宋体"/>
            </w:rPr>
          </w:pPr>
          <w:r>
            <w:rPr>
              <w:rFonts w:ascii="宋体" w:hAnsi="宋体" w:hint="eastAsia"/>
            </w:rPr>
            <w:t>政府</w:t>
          </w:r>
          <w:r>
            <w:rPr>
              <w:rFonts w:ascii="宋体" w:hAnsi="宋体" w:cs="宋体" w:hint="eastAsia"/>
              <w:bCs w:val="0"/>
              <w:kern w:val="0"/>
              <w:szCs w:val="24"/>
            </w:rPr>
            <w:t>补助</w:t>
          </w:r>
        </w:p>
        <w:p w14:paraId="023B88F9" w14:textId="77777777" w:rsidR="00E72B34" w:rsidRDefault="004F686E" w:rsidP="004F686E">
          <w:pPr>
            <w:pStyle w:val="4"/>
            <w:numPr>
              <w:ilvl w:val="0"/>
              <w:numId w:val="92"/>
            </w:numPr>
            <w:rPr>
              <w:rFonts w:ascii="宋体" w:hAnsi="宋体"/>
            </w:rPr>
          </w:pPr>
          <w:r>
            <w:rPr>
              <w:rFonts w:ascii="宋体" w:hAnsi="宋体" w:hint="eastAsia"/>
            </w:rPr>
            <w:t>政府补助基本情况</w:t>
          </w:r>
        </w:p>
        <w:sdt>
          <w:sdtPr>
            <w:rPr>
              <w:rFonts w:hint="eastAsia"/>
            </w:rPr>
            <w:alias w:val="是否适用：政府补助基本情况[双击切换]"/>
            <w:tag w:val="_GBC_8a025998848a4a4d930f199d57736e15"/>
            <w:id w:val="1126350605"/>
            <w:lock w:val="sdtLocked"/>
          </w:sdtPr>
          <w:sdtEndPr/>
          <w:sdtContent>
            <w:p w14:paraId="246CFB1B" w14:textId="46032D91" w:rsidR="00E72B34" w:rsidRDefault="004F686E" w:rsidP="00DB3009">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3EA0451" w14:textId="77777777" w:rsidR="00E72B34" w:rsidRDefault="004F686E" w:rsidP="004F686E">
          <w:pPr>
            <w:pStyle w:val="4"/>
            <w:numPr>
              <w:ilvl w:val="0"/>
              <w:numId w:val="92"/>
            </w:numPr>
            <w:rPr>
              <w:rFonts w:ascii="宋体" w:hAnsi="宋体"/>
            </w:rPr>
          </w:pPr>
          <w:r>
            <w:rPr>
              <w:rFonts w:ascii="宋体" w:hAnsi="宋体" w:hint="eastAsia"/>
            </w:rPr>
            <w:t>政府补助退回情况</w:t>
          </w:r>
        </w:p>
        <w:sdt>
          <w:sdtPr>
            <w:alias w:val="是否适用：政府补助退回情况[双击切换]"/>
            <w:tag w:val="_GBC_d6d1c427ffcb427184f1234527bb5b16"/>
            <w:id w:val="-1333291529"/>
            <w:lock w:val="sdtLocked"/>
          </w:sdtPr>
          <w:sdtEndPr/>
          <w:sdtContent>
            <w:p w14:paraId="6D208669" w14:textId="1223DEEE" w:rsidR="00E72B34" w:rsidRDefault="004F686E" w:rsidP="00E72B34">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3D15106" w14:textId="77777777" w:rsidR="00E72B34" w:rsidRDefault="004F686E">
          <w:r>
            <w:rPr>
              <w:rFonts w:hint="eastAsia"/>
            </w:rPr>
            <w:t>其他说明</w:t>
          </w:r>
        </w:p>
        <w:sdt>
          <w:sdtPr>
            <w:alias w:val="政府补助说明"/>
            <w:tag w:val="_GBC_f71d7a3695a84c0c9e67640c00a61dad"/>
            <w:id w:val="2101365310"/>
            <w:lock w:val="sdtLocked"/>
          </w:sdtPr>
          <w:sdtEndPr/>
          <w:sdtContent>
            <w:p w14:paraId="601E15CA" w14:textId="7B143B82" w:rsidR="00E72B34" w:rsidRDefault="004F686E">
              <w:r>
                <w:rPr>
                  <w:rFonts w:hint="eastAsia"/>
                </w:rPr>
                <w:t>无</w:t>
              </w:r>
            </w:p>
          </w:sdtContent>
        </w:sdt>
        <w:p w14:paraId="3AE1EB9F" w14:textId="503BDE04" w:rsidR="00471D53" w:rsidRDefault="00B664AF"/>
      </w:sdtContent>
    </w:sdt>
    <w:sdt>
      <w:sdtPr>
        <w:rPr>
          <w:rFonts w:ascii="宋体" w:hAnsi="宋体" w:cs="宋体"/>
          <w:b w:val="0"/>
          <w:bCs w:val="0"/>
          <w:kern w:val="0"/>
          <w:szCs w:val="24"/>
        </w:rPr>
        <w:alias w:val="模块:合并财务报表项目注释其他需要说明的事项"/>
        <w:tag w:val="_GBC_f027b70d30154df58ffdc310123f3e1f"/>
        <w:id w:val="-433821508"/>
        <w:lock w:val="sdtLocked"/>
        <w:placeholder>
          <w:docPart w:val="GBC22222222222222222222222222222"/>
        </w:placeholder>
      </w:sdtPr>
      <w:sdtEndPr/>
      <w:sdtContent>
        <w:p w14:paraId="0123C6C5" w14:textId="77777777" w:rsidR="00471D53" w:rsidRDefault="004F686E" w:rsidP="004F686E">
          <w:pPr>
            <w:pStyle w:val="afffff7"/>
            <w:numPr>
              <w:ilvl w:val="0"/>
              <w:numId w:val="55"/>
            </w:numPr>
            <w:tabs>
              <w:tab w:val="left" w:pos="504"/>
            </w:tabs>
            <w:rPr>
              <w:rFonts w:ascii="宋体" w:hAnsi="宋体"/>
            </w:rPr>
          </w:pPr>
          <w:r>
            <w:rPr>
              <w:rFonts w:ascii="宋体" w:hAnsi="宋体" w:hint="eastAsia"/>
            </w:rPr>
            <w:t>其他</w:t>
          </w:r>
        </w:p>
        <w:sdt>
          <w:sdtPr>
            <w:alias w:val="是否适用：合并财务报表项目注释其他需要说明的事项[双击切换]"/>
            <w:tag w:val="_GBC_d9335575f6594653aa8718dc633c644c"/>
            <w:id w:val="978106606"/>
            <w:lock w:val="sdtLocked"/>
            <w:placeholder>
              <w:docPart w:val="GBC22222222222222222222222222222"/>
            </w:placeholder>
          </w:sdtPr>
          <w:sdtEndPr/>
          <w:sdtContent>
            <w:p w14:paraId="548D20AC"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EE1C1CB" w14:textId="77777777" w:rsidR="00471D53" w:rsidRDefault="00B664AF"/>
      </w:sdtContent>
    </w:sdt>
    <w:p w14:paraId="4248B2A6" w14:textId="77777777" w:rsidR="00471D53" w:rsidRDefault="004F686E" w:rsidP="004F686E">
      <w:pPr>
        <w:pStyle w:val="afffff6"/>
        <w:numPr>
          <w:ilvl w:val="0"/>
          <w:numId w:val="35"/>
        </w:numPr>
        <w:ind w:left="422" w:hanging="422"/>
        <w:rPr>
          <w:rFonts w:ascii="宋体" w:hAnsi="宋体"/>
        </w:rPr>
      </w:pPr>
      <w:r>
        <w:rPr>
          <w:rFonts w:ascii="宋体" w:hAnsi="宋体" w:hint="eastAsia"/>
        </w:rPr>
        <w:t>合并范围的变更</w:t>
      </w:r>
    </w:p>
    <w:p w14:paraId="79FA5887" w14:textId="77777777" w:rsidR="00471D53" w:rsidRDefault="004F686E" w:rsidP="004F686E">
      <w:pPr>
        <w:pStyle w:val="afffff7"/>
        <w:numPr>
          <w:ilvl w:val="0"/>
          <w:numId w:val="93"/>
        </w:numPr>
        <w:rPr>
          <w:rFonts w:ascii="宋体" w:hAnsi="宋体" w:cs="Arial"/>
          <w:szCs w:val="21"/>
        </w:rPr>
      </w:pPr>
      <w:r>
        <w:rPr>
          <w:rFonts w:ascii="宋体" w:hAnsi="宋体" w:cs="Arial" w:hint="eastAsia"/>
          <w:szCs w:val="21"/>
        </w:rPr>
        <w:t>非同一控制下企业合并</w:t>
      </w:r>
    </w:p>
    <w:sdt>
      <w:sdtPr>
        <w:alias w:val="是否适用：非同一控制下企业合并[双击切换]"/>
        <w:tag w:val="_GBC_2f9a65b0b4644b14ab5af1407e6467f1"/>
        <w:id w:val="1324624793"/>
        <w:lock w:val="sdtLocked"/>
        <w:placeholder>
          <w:docPart w:val="GBC22222222222222222222222222222"/>
        </w:placeholder>
      </w:sdtPr>
      <w:sdtEndPr/>
      <w:sdtContent>
        <w:p w14:paraId="14232529" w14:textId="77777777" w:rsidR="00471D53" w:rsidRDefault="004F686E" w:rsidP="00471D53">
          <w:pPr>
            <w:rPr>
              <w:rFonts w:cstheme="minorBidi"/>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E0EF799" w14:textId="77777777" w:rsidR="00471D53" w:rsidRDefault="00B664AF">
      <w:pPr>
        <w:rPr>
          <w:rFonts w:cstheme="minorBidi"/>
          <w:szCs w:val="21"/>
        </w:rPr>
      </w:pPr>
    </w:p>
    <w:p w14:paraId="4F3DA4F6" w14:textId="77777777" w:rsidR="00471D53" w:rsidRDefault="00B664AF">
      <w:pPr>
        <w:rPr>
          <w:szCs w:val="21"/>
        </w:rPr>
      </w:pPr>
    </w:p>
    <w:p w14:paraId="0AEE5F4A" w14:textId="77777777" w:rsidR="00471D53" w:rsidRDefault="004F686E" w:rsidP="004F686E">
      <w:pPr>
        <w:pStyle w:val="afffff7"/>
        <w:numPr>
          <w:ilvl w:val="0"/>
          <w:numId w:val="93"/>
        </w:numPr>
        <w:rPr>
          <w:rFonts w:ascii="宋体" w:hAnsi="宋体" w:cs="Arial"/>
          <w:szCs w:val="21"/>
        </w:rPr>
      </w:pPr>
      <w:r>
        <w:rPr>
          <w:rFonts w:ascii="宋体" w:hAnsi="宋体" w:cs="Arial" w:hint="eastAsia"/>
          <w:szCs w:val="21"/>
        </w:rPr>
        <w:t>同一控制下企业合并</w:t>
      </w:r>
    </w:p>
    <w:sdt>
      <w:sdtPr>
        <w:alias w:val="是否适用：同一控制下企业合并[双击切换]"/>
        <w:tag w:val="_GBC_cde296136a1d4f2094eb79d21291eae2"/>
        <w:id w:val="-582678329"/>
        <w:lock w:val="sdtLocked"/>
        <w:placeholder>
          <w:docPart w:val="GBC22222222222222222222222222222"/>
        </w:placeholder>
      </w:sdtPr>
      <w:sdtEndPr/>
      <w:sdtContent>
        <w:p w14:paraId="75CA5F43" w14:textId="77777777" w:rsidR="00471D53" w:rsidRDefault="004F686E" w:rsidP="00471D53">
          <w:pPr>
            <w:rPr>
              <w:rFonts w:cs="Arial"/>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6A65ECD" w14:textId="77777777" w:rsidR="00471D53" w:rsidRDefault="00B664AF">
      <w:pPr>
        <w:rPr>
          <w:rFonts w:cs="Arial"/>
          <w:szCs w:val="21"/>
        </w:rPr>
      </w:pPr>
    </w:p>
    <w:p w14:paraId="478FD5C2" w14:textId="77777777" w:rsidR="00471D53" w:rsidRDefault="00B664AF">
      <w:pPr>
        <w:rPr>
          <w:szCs w:val="21"/>
        </w:rPr>
      </w:pPr>
    </w:p>
    <w:sdt>
      <w:sdtPr>
        <w:rPr>
          <w:rFonts w:ascii="宋体" w:hAnsi="宋体" w:cs="Arial" w:hint="eastAsia"/>
          <w:b w:val="0"/>
          <w:bCs w:val="0"/>
          <w:kern w:val="0"/>
          <w:szCs w:val="21"/>
        </w:rPr>
        <w:alias w:val="模块:反向购买"/>
        <w:tag w:val="_SEC_e0818786830d42ce99957d3ef113691a"/>
        <w:id w:val="-991869145"/>
        <w:lock w:val="sdtLocked"/>
        <w:placeholder>
          <w:docPart w:val="GBC22222222222222222222222222222"/>
        </w:placeholder>
      </w:sdtPr>
      <w:sdtEndPr>
        <w:rPr>
          <w:rFonts w:hint="default"/>
        </w:rPr>
      </w:sdtEndPr>
      <w:sdtContent>
        <w:p w14:paraId="740853E8" w14:textId="77777777" w:rsidR="00471D53" w:rsidRDefault="004F686E" w:rsidP="004F686E">
          <w:pPr>
            <w:pStyle w:val="afffff7"/>
            <w:numPr>
              <w:ilvl w:val="0"/>
              <w:numId w:val="93"/>
            </w:numPr>
            <w:rPr>
              <w:rFonts w:ascii="宋体" w:hAnsi="宋体" w:cs="Arial"/>
              <w:szCs w:val="21"/>
            </w:rPr>
          </w:pPr>
          <w:r>
            <w:rPr>
              <w:rFonts w:ascii="宋体" w:hAnsi="宋体" w:cs="Arial" w:hint="eastAsia"/>
              <w:szCs w:val="21"/>
            </w:rPr>
            <w:t>反向购买</w:t>
          </w:r>
        </w:p>
        <w:sdt>
          <w:sdtPr>
            <w:alias w:val="是否适用：反向购买[双击切换]"/>
            <w:tag w:val="_GBC_973cde3cea5d460790de47cc49169bde"/>
            <w:id w:val="-52930804"/>
            <w:lock w:val="sdtLocked"/>
            <w:placeholder>
              <w:docPart w:val="GBC22222222222222222222222222222"/>
            </w:placeholder>
          </w:sdtPr>
          <w:sdtEndPr/>
          <w:sdtContent>
            <w:p w14:paraId="7E87E2B7"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0B0C0F3" w14:textId="77777777" w:rsidR="00471D53" w:rsidRDefault="00B664AF">
          <w:pPr>
            <w:rPr>
              <w:rFonts w:cs="Arial"/>
              <w:szCs w:val="21"/>
            </w:rPr>
          </w:pPr>
        </w:p>
      </w:sdtContent>
    </w:sdt>
    <w:p w14:paraId="74CB5276" w14:textId="77777777" w:rsidR="00471D53" w:rsidRDefault="00B664AF">
      <w:pPr>
        <w:rPr>
          <w:rFonts w:cs="Arial"/>
          <w:color w:val="808080"/>
          <w:szCs w:val="21"/>
          <w:lang w:val="en-GB"/>
        </w:rPr>
        <w:sectPr w:rsidR="00471D53" w:rsidSect="00770E20">
          <w:pgSz w:w="11906" w:h="16838"/>
          <w:pgMar w:top="1525" w:right="1276" w:bottom="1440" w:left="1797" w:header="856" w:footer="992" w:gutter="0"/>
          <w:cols w:space="425"/>
          <w:docGrid w:linePitch="312"/>
        </w:sectPr>
      </w:pPr>
    </w:p>
    <w:sdt>
      <w:sdtPr>
        <w:rPr>
          <w:rFonts w:ascii="宋体" w:hAnsi="宋体" w:cs="Arial" w:hint="eastAsia"/>
          <w:b w:val="0"/>
          <w:bCs w:val="0"/>
          <w:kern w:val="0"/>
          <w:szCs w:val="21"/>
        </w:rPr>
        <w:alias w:val="模块:处置子公司"/>
        <w:tag w:val="_GBC_cc6d41993eca4369a3cdb3c33d4f3299"/>
        <w:id w:val="406496823"/>
        <w:lock w:val="sdtLocked"/>
        <w:placeholder>
          <w:docPart w:val="GBC22222222222222222222222222222"/>
        </w:placeholder>
      </w:sdtPr>
      <w:sdtEndPr>
        <w:rPr>
          <w:rFonts w:cs="宋体"/>
          <w:color w:val="000000"/>
        </w:rPr>
      </w:sdtEndPr>
      <w:sdtContent>
        <w:p w14:paraId="37277DCA" w14:textId="77777777" w:rsidR="00471D53" w:rsidRDefault="004F686E" w:rsidP="004F686E">
          <w:pPr>
            <w:pStyle w:val="afffff7"/>
            <w:numPr>
              <w:ilvl w:val="0"/>
              <w:numId w:val="93"/>
            </w:numPr>
            <w:rPr>
              <w:rFonts w:ascii="宋体" w:hAnsi="宋体" w:cs="Arial"/>
              <w:szCs w:val="21"/>
            </w:rPr>
          </w:pPr>
          <w:r>
            <w:rPr>
              <w:rFonts w:ascii="宋体" w:hAnsi="宋体" w:cs="Arial" w:hint="eastAsia"/>
              <w:szCs w:val="21"/>
            </w:rPr>
            <w:t>处置子公司</w:t>
          </w:r>
        </w:p>
        <w:p w14:paraId="01119138" w14:textId="77777777" w:rsidR="00471D53" w:rsidRDefault="004F686E">
          <w:r>
            <w:rPr>
              <w:rFonts w:hint="eastAsia"/>
            </w:rPr>
            <w:t>是否存在单次处置</w:t>
          </w:r>
          <w:r>
            <w:t>对子公司投资即丧失控制权的情形</w:t>
          </w:r>
        </w:p>
        <w:sdt>
          <w:sdtPr>
            <w:rPr>
              <w:rFonts w:cs="Arial" w:hint="eastAsia"/>
              <w:szCs w:val="21"/>
            </w:rPr>
            <w:alias w:val="是否存在单次交易处置对子公司投资即丧失控制权的情形[双击切换]"/>
            <w:tag w:val="_GBC_a2b81d1c138141d5bea164d8b7f9ce19"/>
            <w:id w:val="-309866145"/>
            <w:lock w:val="sdtLocked"/>
            <w:placeholder>
              <w:docPart w:val="GBC22222222222222222222222222222"/>
            </w:placeholder>
          </w:sdtPr>
          <w:sdtEndPr/>
          <w:sdtContent>
            <w:p w14:paraId="19FCB4DD" w14:textId="77777777" w:rsidR="00471D53" w:rsidRDefault="004F686E" w:rsidP="00471D53">
              <w:pPr>
                <w:rPr>
                  <w:rFonts w:cs="Arial"/>
                  <w:color w:val="000000"/>
                  <w:szCs w:val="21"/>
                </w:rPr>
              </w:pPr>
              <w:r>
                <w:rPr>
                  <w:rFonts w:cs="Arial"/>
                  <w:szCs w:val="21"/>
                </w:rPr>
                <w:fldChar w:fldCharType="begin"/>
              </w:r>
              <w:r>
                <w:rPr>
                  <w:rFonts w:cs="Arial"/>
                  <w:szCs w:val="21"/>
                </w:rPr>
                <w:instrText>MACROBUTTON  SnrToggleCheckbox □适用</w:instrText>
              </w:r>
              <w:r>
                <w:rPr>
                  <w:rFonts w:cs="Arial"/>
                  <w:szCs w:val="21"/>
                </w:rPr>
                <w:fldChar w:fldCharType="end"/>
              </w:r>
              <w:r>
                <w:rPr>
                  <w:rFonts w:cs="Arial"/>
                  <w:szCs w:val="21"/>
                </w:rPr>
                <w:fldChar w:fldCharType="begin"/>
              </w:r>
              <w:r>
                <w:rPr>
                  <w:rFonts w:cs="Arial"/>
                  <w:szCs w:val="21"/>
                </w:rPr>
                <w:instrText xml:space="preserve"> MACROBUTTON  SnrToggleCheckbox √不适用 </w:instrText>
              </w:r>
              <w:r>
                <w:rPr>
                  <w:rFonts w:cs="Arial"/>
                  <w:szCs w:val="21"/>
                </w:rPr>
                <w:fldChar w:fldCharType="end"/>
              </w:r>
            </w:p>
          </w:sdtContent>
        </w:sdt>
        <w:p w14:paraId="2631A4AA" w14:textId="77777777" w:rsidR="00471D53" w:rsidRDefault="004F686E">
          <w:pPr>
            <w:rPr>
              <w:rFonts w:cs="Arial"/>
              <w:color w:val="000000"/>
              <w:szCs w:val="21"/>
            </w:rPr>
          </w:pPr>
          <w:r>
            <w:rPr>
              <w:rFonts w:cs="Arial" w:hint="eastAsia"/>
              <w:color w:val="000000"/>
              <w:szCs w:val="21"/>
            </w:rPr>
            <w:t>其他说明：</w:t>
          </w:r>
        </w:p>
        <w:sdt>
          <w:sdtPr>
            <w:rPr>
              <w:rFonts w:cs="Arial"/>
              <w:color w:val="000000"/>
              <w:szCs w:val="21"/>
            </w:rPr>
            <w:alias w:val="是否适用：单次交易处置对子公司投资即丧失控制权的情形的说明[双击切换]"/>
            <w:tag w:val="_GBC_28bcdbd3ff45497eb8fc02428c0c76e4"/>
            <w:id w:val="-1719500124"/>
            <w:lock w:val="sdtLocked"/>
            <w:placeholder>
              <w:docPart w:val="GBC22222222222222222222222222222"/>
            </w:placeholder>
          </w:sdtPr>
          <w:sdtEndPr/>
          <w:sdtContent>
            <w:p w14:paraId="5986C8C3" w14:textId="77777777" w:rsidR="00471D53" w:rsidRDefault="004F686E" w:rsidP="00471D53">
              <w:pPr>
                <w:rPr>
                  <w:color w:val="000000"/>
                  <w:szCs w:val="21"/>
                </w:rPr>
              </w:pPr>
              <w:r>
                <w:rPr>
                  <w:rFonts w:cs="Arial"/>
                  <w:color w:val="000000"/>
                  <w:szCs w:val="21"/>
                </w:rPr>
                <w:fldChar w:fldCharType="begin"/>
              </w:r>
              <w:r>
                <w:rPr>
                  <w:rFonts w:cs="Arial"/>
                  <w:color w:val="000000"/>
                  <w:szCs w:val="21"/>
                </w:rPr>
                <w:instrText xml:space="preserve"> MACROBUTTON  SnrToggleCheckbox □适用 </w:instrText>
              </w:r>
              <w:r>
                <w:rPr>
                  <w:rFonts w:cs="Arial"/>
                  <w:color w:val="000000"/>
                  <w:szCs w:val="21"/>
                </w:rPr>
                <w:fldChar w:fldCharType="end"/>
              </w:r>
              <w:r>
                <w:rPr>
                  <w:rFonts w:cs="Arial"/>
                  <w:color w:val="000000"/>
                  <w:szCs w:val="21"/>
                </w:rPr>
                <w:fldChar w:fldCharType="begin"/>
              </w:r>
              <w:r>
                <w:rPr>
                  <w:rFonts w:cs="Arial"/>
                  <w:color w:val="000000"/>
                  <w:szCs w:val="21"/>
                </w:rPr>
                <w:instrText xml:space="preserve"> MACROBUTTON  SnrToggleCheckbox √不适用 </w:instrText>
              </w:r>
              <w:r>
                <w:rPr>
                  <w:rFonts w:cs="Arial"/>
                  <w:color w:val="000000"/>
                  <w:szCs w:val="21"/>
                </w:rPr>
                <w:fldChar w:fldCharType="end"/>
              </w:r>
            </w:p>
          </w:sdtContent>
        </w:sdt>
      </w:sdtContent>
    </w:sdt>
    <w:p w14:paraId="759855BF" w14:textId="77777777" w:rsidR="00471D53" w:rsidRDefault="00B664AF">
      <w:pPr>
        <w:rPr>
          <w:rFonts w:cs="Arial"/>
          <w:color w:val="000000"/>
          <w:szCs w:val="21"/>
        </w:rPr>
      </w:pPr>
    </w:p>
    <w:p w14:paraId="701E824F" w14:textId="77777777" w:rsidR="00471D53" w:rsidRDefault="00B664AF" w:rsidP="00471D53">
      <w:pPr>
        <w:rPr>
          <w:rFonts w:cs="Arial"/>
          <w:color w:val="000000"/>
        </w:rPr>
      </w:pPr>
    </w:p>
    <w:sdt>
      <w:sdtPr>
        <w:rPr>
          <w:rFonts w:ascii="宋体" w:hAnsi="宋体" w:cs="Arial" w:hint="eastAsia"/>
          <w:b w:val="0"/>
          <w:bCs w:val="0"/>
          <w:color w:val="000000"/>
          <w:kern w:val="0"/>
          <w:szCs w:val="24"/>
        </w:rPr>
        <w:alias w:val="模块:其他原因的合并范围变动"/>
        <w:tag w:val="_GBC_c61d869cb31c439992bb2118c8eaac1e"/>
        <w:id w:val="537320558"/>
        <w:lock w:val="sdtLocked"/>
        <w:placeholder>
          <w:docPart w:val="GBC22222222222222222222222222222"/>
        </w:placeholder>
      </w:sdtPr>
      <w:sdtEndPr/>
      <w:sdtContent>
        <w:p w14:paraId="5D7A0FB4" w14:textId="77777777" w:rsidR="00471D53" w:rsidRDefault="004F686E" w:rsidP="004F686E">
          <w:pPr>
            <w:pStyle w:val="afffff7"/>
            <w:numPr>
              <w:ilvl w:val="0"/>
              <w:numId w:val="93"/>
            </w:numPr>
            <w:rPr>
              <w:rFonts w:ascii="宋体" w:hAnsi="宋体" w:cs="Arial"/>
              <w:color w:val="000000"/>
            </w:rPr>
          </w:pPr>
          <w:r>
            <w:rPr>
              <w:rFonts w:ascii="宋体" w:hAnsi="宋体" w:cs="Arial" w:hint="eastAsia"/>
              <w:color w:val="000000"/>
            </w:rPr>
            <w:t>其他原因的合并范围变动</w:t>
          </w:r>
        </w:p>
        <w:p w14:paraId="2EB941BC" w14:textId="77777777" w:rsidR="00471D53" w:rsidRDefault="004F686E">
          <w:r>
            <w:rPr>
              <w:rFonts w:hint="eastAsia"/>
            </w:rPr>
            <w:t>说明其他原因导致的合并范围变动（如，新设子公司、清算子公司等）及其相关情况：</w:t>
          </w:r>
        </w:p>
        <w:sdt>
          <w:sdtPr>
            <w:alias w:val="是否适用：其他原因导致的合并范围变动及其相关情况[双击切换]"/>
            <w:tag w:val="_GBC_55cbf4f78793498cb1532f08bfbb61f4"/>
            <w:id w:val="-605424006"/>
            <w:lock w:val="sdtLocked"/>
            <w:placeholder>
              <w:docPart w:val="GBC22222222222222222222222222222"/>
            </w:placeholder>
          </w:sdtPr>
          <w:sdtEndPr/>
          <w:sdtContent>
            <w:p w14:paraId="141B9EDE" w14:textId="77777777" w:rsidR="00471D53" w:rsidRDefault="004F686E" w:rsidP="00471D53">
              <w:pPr>
                <w:rPr>
                  <w:rFonts w:cs="Arial"/>
                  <w:color w:val="000000"/>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70374309" w14:textId="77777777" w:rsidR="00471D53" w:rsidRDefault="00B664AF">
      <w:pPr>
        <w:rPr>
          <w:rFonts w:cs="Arial"/>
          <w:color w:val="000000"/>
        </w:rPr>
      </w:pPr>
    </w:p>
    <w:sdt>
      <w:sdtPr>
        <w:rPr>
          <w:rFonts w:ascii="宋体" w:hAnsi="宋体" w:cs="Arial" w:hint="eastAsia"/>
          <w:b w:val="0"/>
          <w:bCs w:val="0"/>
          <w:color w:val="000000"/>
          <w:kern w:val="0"/>
          <w:szCs w:val="24"/>
        </w:rPr>
        <w:alias w:val="模块:同一控制下企业合并其他"/>
        <w:tag w:val="_GBC_8ddcb59af8af49d295c61727d65b8301"/>
        <w:id w:val="-1919782597"/>
        <w:lock w:val="sdtLocked"/>
        <w:placeholder>
          <w:docPart w:val="GBC22222222222222222222222222222"/>
        </w:placeholder>
      </w:sdtPr>
      <w:sdtEndPr/>
      <w:sdtContent>
        <w:p w14:paraId="13139A4C" w14:textId="77777777" w:rsidR="00471D53" w:rsidRDefault="004F686E" w:rsidP="004F686E">
          <w:pPr>
            <w:pStyle w:val="afffff7"/>
            <w:numPr>
              <w:ilvl w:val="0"/>
              <w:numId w:val="93"/>
            </w:numPr>
            <w:rPr>
              <w:rFonts w:ascii="宋体" w:hAnsi="宋体" w:cs="Arial"/>
              <w:color w:val="000000"/>
            </w:rPr>
          </w:pPr>
          <w:r>
            <w:rPr>
              <w:rFonts w:ascii="宋体" w:hAnsi="宋体" w:cs="Arial" w:hint="eastAsia"/>
              <w:color w:val="000000"/>
            </w:rPr>
            <w:t>其他</w:t>
          </w:r>
        </w:p>
        <w:sdt>
          <w:sdtPr>
            <w:alias w:val="是否适用：合并范围的变更-其他说明[双击切换]"/>
            <w:tag w:val="_GBC_cca0ea12df6c44878cdcbeced06ed993"/>
            <w:id w:val="-545917675"/>
            <w:lock w:val="sdtLocked"/>
            <w:placeholder>
              <w:docPart w:val="GBC22222222222222222222222222222"/>
            </w:placeholder>
          </w:sdtPr>
          <w:sdtEndPr/>
          <w:sdtContent>
            <w:p w14:paraId="721309FB" w14:textId="77777777" w:rsidR="00471D53" w:rsidRDefault="004F686E" w:rsidP="00471D53">
              <w:pPr>
                <w:rPr>
                  <w:rFonts w:cs="Arial"/>
                  <w:color w:val="000000"/>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21FF49A8" w14:textId="77777777" w:rsidR="00471D53" w:rsidRDefault="00B664AF">
      <w:pPr>
        <w:sectPr w:rsidR="00471D53" w:rsidSect="008E732D">
          <w:pgSz w:w="16838" w:h="11906" w:orient="landscape"/>
          <w:pgMar w:top="1797" w:right="1525" w:bottom="1276" w:left="1440" w:header="856" w:footer="992" w:gutter="0"/>
          <w:cols w:space="425"/>
          <w:docGrid w:linePitch="312"/>
        </w:sectPr>
      </w:pPr>
    </w:p>
    <w:p w14:paraId="59B97BFC" w14:textId="77777777" w:rsidR="00471D53" w:rsidRDefault="004F686E" w:rsidP="004F686E">
      <w:pPr>
        <w:pStyle w:val="afffff6"/>
        <w:numPr>
          <w:ilvl w:val="0"/>
          <w:numId w:val="35"/>
        </w:numPr>
        <w:ind w:left="422" w:hanging="422"/>
        <w:rPr>
          <w:rFonts w:ascii="宋体" w:hAnsi="宋体"/>
        </w:rPr>
      </w:pPr>
      <w:r>
        <w:rPr>
          <w:rFonts w:ascii="宋体" w:hAnsi="宋体" w:hint="eastAsia"/>
        </w:rPr>
        <w:lastRenderedPageBreak/>
        <w:t>在其他主体中的权益</w:t>
      </w:r>
    </w:p>
    <w:p w14:paraId="3BD6571A" w14:textId="77777777" w:rsidR="00471D53" w:rsidRDefault="004F686E" w:rsidP="004F686E">
      <w:pPr>
        <w:pStyle w:val="afffff7"/>
        <w:numPr>
          <w:ilvl w:val="2"/>
          <w:numId w:val="94"/>
        </w:numPr>
        <w:rPr>
          <w:rFonts w:ascii="宋体" w:hAnsi="宋体"/>
        </w:rPr>
      </w:pPr>
      <w:r>
        <w:rPr>
          <w:rFonts w:ascii="宋体" w:hAnsi="宋体" w:hint="eastAsia"/>
        </w:rPr>
        <w:t>在子公司中的权益</w:t>
      </w:r>
    </w:p>
    <w:bookmarkStart w:id="228" w:name="_Hlk79427399" w:displacedByCustomXml="next"/>
    <w:bookmarkStart w:id="229" w:name="_Hlk79427387" w:displacedByCustomXml="next"/>
    <w:sdt>
      <w:sdtPr>
        <w:rPr>
          <w:rFonts w:ascii="宋体" w:hAnsi="宋体" w:cs="宋体" w:hint="eastAsia"/>
          <w:b w:val="0"/>
          <w:bCs w:val="0"/>
          <w:kern w:val="0"/>
          <w:szCs w:val="24"/>
        </w:rPr>
        <w:alias w:val="模块:企业集团的构成"/>
        <w:tag w:val="_GBC_47f8b786d9024ebb977349f022d18c1c"/>
        <w:id w:val="-1715037866"/>
        <w:lock w:val="sdtLocked"/>
        <w:placeholder>
          <w:docPart w:val="GBC22222222222222222222222222222"/>
        </w:placeholder>
      </w:sdtPr>
      <w:sdtEndPr>
        <w:rPr>
          <w:rFonts w:cstheme="minorBidi" w:hint="default"/>
          <w:szCs w:val="21"/>
        </w:rPr>
      </w:sdtEndPr>
      <w:sdtContent>
        <w:p w14:paraId="0681FE68" w14:textId="77777777" w:rsidR="00D14C1C" w:rsidRDefault="00D14C1C" w:rsidP="00D14C1C">
          <w:pPr>
            <w:pStyle w:val="4"/>
            <w:numPr>
              <w:ilvl w:val="3"/>
              <w:numId w:val="95"/>
            </w:numPr>
            <w:tabs>
              <w:tab w:val="left" w:pos="644"/>
            </w:tabs>
            <w:rPr>
              <w:rFonts w:ascii="宋体" w:hAnsi="宋体"/>
            </w:rPr>
          </w:pPr>
          <w:r>
            <w:rPr>
              <w:rFonts w:ascii="宋体" w:hAnsi="宋体" w:hint="eastAsia"/>
            </w:rPr>
            <w:t>企业集团的构成</w:t>
          </w:r>
        </w:p>
        <w:sdt>
          <w:sdtPr>
            <w:alias w:val="是否适用：企业集团的构成[双击切换]"/>
            <w:tag w:val="_GBC_34a27c9c622e483cb4651d6ff3bc0d5a"/>
            <w:id w:val="-573051268"/>
            <w:lock w:val="sdtLocked"/>
          </w:sdtPr>
          <w:sdtEndPr/>
          <w:sdtContent>
            <w:p w14:paraId="44098A50" w14:textId="77777777" w:rsidR="00D14C1C" w:rsidRDefault="00D14C1C">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4"/>
            <w:gridCol w:w="969"/>
            <w:gridCol w:w="1519"/>
            <w:gridCol w:w="1105"/>
            <w:gridCol w:w="1106"/>
            <w:gridCol w:w="978"/>
            <w:gridCol w:w="1382"/>
          </w:tblGrid>
          <w:tr w:rsidR="00D14C1C" w14:paraId="53B1CDCF" w14:textId="77777777" w:rsidTr="00D14C1C">
            <w:trPr>
              <w:trHeight w:val="247"/>
            </w:trPr>
            <w:sdt>
              <w:sdtPr>
                <w:tag w:val="_PLD_e6e24505838941c88a7f70e573a1261c"/>
                <w:id w:val="-1786189897"/>
                <w:lock w:val="sdtLocked"/>
              </w:sdtPr>
              <w:sdtEndPr/>
              <w:sdtContent>
                <w:tc>
                  <w:tcPr>
                    <w:tcW w:w="1000" w:type="pct"/>
                    <w:vMerge w:val="restart"/>
                    <w:shd w:val="clear" w:color="auto" w:fill="auto"/>
                    <w:vAlign w:val="center"/>
                  </w:tcPr>
                  <w:p w14:paraId="34842500" w14:textId="77777777" w:rsidR="00D14C1C" w:rsidRDefault="00D14C1C" w:rsidP="007B1A28">
                    <w:pPr>
                      <w:jc w:val="center"/>
                      <w:rPr>
                        <w:rFonts w:cs="Arial"/>
                        <w:szCs w:val="21"/>
                        <w:lang w:val="en-GB"/>
                      </w:rPr>
                    </w:pPr>
                    <w:r>
                      <w:rPr>
                        <w:rFonts w:cs="Arial" w:hint="eastAsia"/>
                        <w:szCs w:val="21"/>
                        <w:lang w:val="en-GB"/>
                      </w:rPr>
                      <w:t>子公司</w:t>
                    </w:r>
                  </w:p>
                  <w:p w14:paraId="4C8C4931" w14:textId="77777777" w:rsidR="00D14C1C" w:rsidRDefault="00D14C1C" w:rsidP="007B1A28">
                    <w:pPr>
                      <w:jc w:val="center"/>
                      <w:rPr>
                        <w:rFonts w:cs="Arial"/>
                        <w:szCs w:val="21"/>
                      </w:rPr>
                    </w:pPr>
                    <w:r>
                      <w:rPr>
                        <w:rFonts w:cs="Arial" w:hint="eastAsia"/>
                        <w:szCs w:val="21"/>
                        <w:lang w:val="en-GB"/>
                      </w:rPr>
                      <w:t>名称</w:t>
                    </w:r>
                  </w:p>
                </w:tc>
              </w:sdtContent>
            </w:sdt>
            <w:sdt>
              <w:sdtPr>
                <w:tag w:val="_PLD_056e18f052024978add90fe8aacf887d"/>
                <w:id w:val="-804392962"/>
                <w:lock w:val="sdtLocked"/>
              </w:sdtPr>
              <w:sdtEndPr/>
              <w:sdtContent>
                <w:tc>
                  <w:tcPr>
                    <w:tcW w:w="549" w:type="pct"/>
                    <w:vMerge w:val="restart"/>
                    <w:shd w:val="clear" w:color="auto" w:fill="auto"/>
                    <w:vAlign w:val="center"/>
                  </w:tcPr>
                  <w:p w14:paraId="3CE0AE9F" w14:textId="77777777" w:rsidR="00D14C1C" w:rsidRDefault="00D14C1C" w:rsidP="007B1A28">
                    <w:pPr>
                      <w:jc w:val="center"/>
                      <w:rPr>
                        <w:rFonts w:cs="Arial"/>
                        <w:szCs w:val="21"/>
                      </w:rPr>
                    </w:pPr>
                    <w:r>
                      <w:rPr>
                        <w:rFonts w:cs="Arial" w:hint="eastAsia"/>
                        <w:szCs w:val="21"/>
                        <w:lang w:val="en-GB"/>
                      </w:rPr>
                      <w:t>主要经营地</w:t>
                    </w:r>
                  </w:p>
                </w:tc>
              </w:sdtContent>
            </w:sdt>
            <w:sdt>
              <w:sdtPr>
                <w:tag w:val="_PLD_591af8ff23104790a7ac5dbb3278e185"/>
                <w:id w:val="1524826503"/>
                <w:lock w:val="sdtLocked"/>
              </w:sdtPr>
              <w:sdtEndPr/>
              <w:sdtContent>
                <w:tc>
                  <w:tcPr>
                    <w:tcW w:w="861" w:type="pct"/>
                    <w:vMerge w:val="restart"/>
                    <w:shd w:val="clear" w:color="auto" w:fill="auto"/>
                    <w:vAlign w:val="center"/>
                  </w:tcPr>
                  <w:p w14:paraId="1297F117" w14:textId="77777777" w:rsidR="00D14C1C" w:rsidRDefault="00D14C1C" w:rsidP="007B1A28">
                    <w:pPr>
                      <w:jc w:val="center"/>
                      <w:rPr>
                        <w:rFonts w:cs="Arial"/>
                        <w:szCs w:val="21"/>
                      </w:rPr>
                    </w:pPr>
                    <w:r>
                      <w:rPr>
                        <w:rFonts w:cs="Arial" w:hint="eastAsia"/>
                        <w:szCs w:val="21"/>
                        <w:lang w:val="en-GB"/>
                      </w:rPr>
                      <w:t>注册地</w:t>
                    </w:r>
                  </w:p>
                </w:tc>
              </w:sdtContent>
            </w:sdt>
            <w:sdt>
              <w:sdtPr>
                <w:tag w:val="_PLD_00f166f7d07d4fab80fa91c95fb5d089"/>
                <w:id w:val="-601416456"/>
                <w:lock w:val="sdtLocked"/>
              </w:sdtPr>
              <w:sdtEndPr/>
              <w:sdtContent>
                <w:tc>
                  <w:tcPr>
                    <w:tcW w:w="626" w:type="pct"/>
                    <w:vMerge w:val="restart"/>
                    <w:shd w:val="clear" w:color="auto" w:fill="auto"/>
                    <w:vAlign w:val="center"/>
                  </w:tcPr>
                  <w:p w14:paraId="6A08C556" w14:textId="77777777" w:rsidR="00D14C1C" w:rsidRDefault="00D14C1C" w:rsidP="007B1A28">
                    <w:pPr>
                      <w:jc w:val="center"/>
                      <w:rPr>
                        <w:rFonts w:cs="Arial"/>
                        <w:szCs w:val="21"/>
                      </w:rPr>
                    </w:pPr>
                    <w:r>
                      <w:rPr>
                        <w:rFonts w:cs="Arial" w:hint="eastAsia"/>
                        <w:szCs w:val="21"/>
                        <w:lang w:val="en-GB"/>
                      </w:rPr>
                      <w:t>业务性质</w:t>
                    </w:r>
                  </w:p>
                </w:tc>
              </w:sdtContent>
            </w:sdt>
            <w:sdt>
              <w:sdtPr>
                <w:tag w:val="_PLD_312b40f444994b628fc2b8c3e4c90fdc"/>
                <w:id w:val="-1624073339"/>
                <w:lock w:val="sdtLocked"/>
              </w:sdtPr>
              <w:sdtEndPr/>
              <w:sdtContent>
                <w:tc>
                  <w:tcPr>
                    <w:tcW w:w="1181" w:type="pct"/>
                    <w:gridSpan w:val="2"/>
                    <w:shd w:val="clear" w:color="auto" w:fill="auto"/>
                    <w:vAlign w:val="center"/>
                  </w:tcPr>
                  <w:p w14:paraId="6D87671B" w14:textId="77777777" w:rsidR="00D14C1C" w:rsidRDefault="00D14C1C" w:rsidP="007B1A28">
                    <w:pPr>
                      <w:jc w:val="center"/>
                      <w:rPr>
                        <w:rFonts w:cs="Arial"/>
                        <w:szCs w:val="21"/>
                      </w:rPr>
                    </w:pPr>
                    <w:r>
                      <w:rPr>
                        <w:rFonts w:cs="Arial" w:hint="eastAsia"/>
                        <w:szCs w:val="21"/>
                        <w:lang w:val="en-GB"/>
                      </w:rPr>
                      <w:t>持股比例</w:t>
                    </w:r>
                    <w:r>
                      <w:rPr>
                        <w:rFonts w:cs="Arial"/>
                        <w:szCs w:val="21"/>
                      </w:rPr>
                      <w:t>(%)</w:t>
                    </w:r>
                  </w:p>
                </w:tc>
              </w:sdtContent>
            </w:sdt>
            <w:sdt>
              <w:sdtPr>
                <w:tag w:val="_PLD_7955b51c085a48948cb5518baa55ee50"/>
                <w:id w:val="-1487625014"/>
                <w:lock w:val="sdtLocked"/>
              </w:sdtPr>
              <w:sdtEndPr/>
              <w:sdtContent>
                <w:tc>
                  <w:tcPr>
                    <w:tcW w:w="783" w:type="pct"/>
                    <w:vMerge w:val="restart"/>
                    <w:shd w:val="clear" w:color="auto" w:fill="auto"/>
                    <w:vAlign w:val="center"/>
                  </w:tcPr>
                  <w:p w14:paraId="7E8B621A" w14:textId="77777777" w:rsidR="00D14C1C" w:rsidRDefault="00D14C1C" w:rsidP="007B1A28">
                    <w:pPr>
                      <w:jc w:val="center"/>
                      <w:rPr>
                        <w:rFonts w:cs="Arial"/>
                        <w:szCs w:val="21"/>
                        <w:lang w:val="en-GB"/>
                      </w:rPr>
                    </w:pPr>
                    <w:r>
                      <w:rPr>
                        <w:rFonts w:cs="Arial" w:hint="eastAsia"/>
                        <w:szCs w:val="21"/>
                        <w:lang w:val="en-GB"/>
                      </w:rPr>
                      <w:t>取得</w:t>
                    </w:r>
                  </w:p>
                  <w:p w14:paraId="443F83D8" w14:textId="77777777" w:rsidR="00D14C1C" w:rsidRDefault="00D14C1C" w:rsidP="007B1A28">
                    <w:pPr>
                      <w:jc w:val="center"/>
                      <w:rPr>
                        <w:rFonts w:cs="Arial"/>
                        <w:szCs w:val="21"/>
                        <w:lang w:val="en-GB"/>
                      </w:rPr>
                    </w:pPr>
                    <w:r>
                      <w:rPr>
                        <w:rFonts w:cs="Arial" w:hint="eastAsia"/>
                        <w:szCs w:val="21"/>
                        <w:lang w:val="en-GB"/>
                      </w:rPr>
                      <w:t>方式</w:t>
                    </w:r>
                  </w:p>
                </w:tc>
              </w:sdtContent>
            </w:sdt>
          </w:tr>
          <w:tr w:rsidR="00D14C1C" w14:paraId="308AACEF" w14:textId="77777777" w:rsidTr="00D14C1C">
            <w:trPr>
              <w:trHeight w:val="278"/>
            </w:trPr>
            <w:tc>
              <w:tcPr>
                <w:tcW w:w="1000" w:type="pct"/>
                <w:vMerge/>
                <w:shd w:val="clear" w:color="auto" w:fill="auto"/>
                <w:vAlign w:val="center"/>
              </w:tcPr>
              <w:p w14:paraId="67315DF5" w14:textId="77777777" w:rsidR="00D14C1C" w:rsidRDefault="00D14C1C" w:rsidP="007B1A28">
                <w:pPr>
                  <w:rPr>
                    <w:rFonts w:cs="Arial"/>
                    <w:szCs w:val="21"/>
                  </w:rPr>
                </w:pPr>
              </w:p>
            </w:tc>
            <w:tc>
              <w:tcPr>
                <w:tcW w:w="549" w:type="pct"/>
                <w:vMerge/>
                <w:shd w:val="clear" w:color="auto" w:fill="auto"/>
                <w:vAlign w:val="center"/>
              </w:tcPr>
              <w:p w14:paraId="6BEE5F16" w14:textId="77777777" w:rsidR="00D14C1C" w:rsidRDefault="00D14C1C" w:rsidP="007B1A28">
                <w:pPr>
                  <w:rPr>
                    <w:rFonts w:cs="Arial"/>
                    <w:szCs w:val="21"/>
                  </w:rPr>
                </w:pPr>
              </w:p>
            </w:tc>
            <w:tc>
              <w:tcPr>
                <w:tcW w:w="861" w:type="pct"/>
                <w:vMerge/>
                <w:shd w:val="clear" w:color="auto" w:fill="auto"/>
                <w:vAlign w:val="center"/>
              </w:tcPr>
              <w:p w14:paraId="32C2BC17" w14:textId="77777777" w:rsidR="00D14C1C" w:rsidRDefault="00D14C1C" w:rsidP="007B1A28">
                <w:pPr>
                  <w:rPr>
                    <w:rFonts w:cs="Arial"/>
                    <w:szCs w:val="21"/>
                  </w:rPr>
                </w:pPr>
              </w:p>
            </w:tc>
            <w:tc>
              <w:tcPr>
                <w:tcW w:w="626" w:type="pct"/>
                <w:vMerge/>
                <w:shd w:val="clear" w:color="auto" w:fill="auto"/>
                <w:vAlign w:val="center"/>
              </w:tcPr>
              <w:p w14:paraId="73B683D0" w14:textId="77777777" w:rsidR="00D14C1C" w:rsidRDefault="00D14C1C" w:rsidP="007B1A28">
                <w:pPr>
                  <w:rPr>
                    <w:rFonts w:cs="Arial"/>
                    <w:szCs w:val="21"/>
                  </w:rPr>
                </w:pPr>
              </w:p>
            </w:tc>
            <w:sdt>
              <w:sdtPr>
                <w:tag w:val="_PLD_ab045acafe9d4890848568705ddd5475"/>
                <w:id w:val="865793315"/>
                <w:lock w:val="sdtLocked"/>
              </w:sdtPr>
              <w:sdtEndPr/>
              <w:sdtContent>
                <w:tc>
                  <w:tcPr>
                    <w:tcW w:w="627" w:type="pct"/>
                    <w:shd w:val="clear" w:color="auto" w:fill="auto"/>
                    <w:vAlign w:val="center"/>
                  </w:tcPr>
                  <w:p w14:paraId="3BEBAB03" w14:textId="77777777" w:rsidR="00D14C1C" w:rsidRDefault="00D14C1C" w:rsidP="007B1A28">
                    <w:pPr>
                      <w:jc w:val="center"/>
                      <w:rPr>
                        <w:rFonts w:cs="Arial"/>
                        <w:szCs w:val="21"/>
                      </w:rPr>
                    </w:pPr>
                    <w:r>
                      <w:rPr>
                        <w:rFonts w:cs="Arial" w:hint="eastAsia"/>
                        <w:szCs w:val="21"/>
                        <w:lang w:val="en-GB"/>
                      </w:rPr>
                      <w:t>直接</w:t>
                    </w:r>
                  </w:p>
                </w:tc>
              </w:sdtContent>
            </w:sdt>
            <w:sdt>
              <w:sdtPr>
                <w:tag w:val="_PLD_78e5db032e5044cba22bc40c16ee940a"/>
                <w:id w:val="-1643106375"/>
                <w:lock w:val="sdtLocked"/>
              </w:sdtPr>
              <w:sdtEndPr/>
              <w:sdtContent>
                <w:tc>
                  <w:tcPr>
                    <w:tcW w:w="554" w:type="pct"/>
                    <w:shd w:val="clear" w:color="auto" w:fill="auto"/>
                    <w:vAlign w:val="center"/>
                  </w:tcPr>
                  <w:p w14:paraId="5B0C7405" w14:textId="77777777" w:rsidR="00D14C1C" w:rsidRDefault="00D14C1C" w:rsidP="007B1A28">
                    <w:pPr>
                      <w:jc w:val="center"/>
                      <w:rPr>
                        <w:rFonts w:cs="Arial"/>
                        <w:szCs w:val="21"/>
                      </w:rPr>
                    </w:pPr>
                    <w:r>
                      <w:rPr>
                        <w:rFonts w:cs="Arial" w:hint="eastAsia"/>
                        <w:szCs w:val="21"/>
                        <w:lang w:val="en-GB"/>
                      </w:rPr>
                      <w:t>间接</w:t>
                    </w:r>
                  </w:p>
                </w:tc>
              </w:sdtContent>
            </w:sdt>
            <w:tc>
              <w:tcPr>
                <w:tcW w:w="783" w:type="pct"/>
                <w:vMerge/>
              </w:tcPr>
              <w:p w14:paraId="07CBCD2B" w14:textId="77777777" w:rsidR="00D14C1C" w:rsidRDefault="00D14C1C" w:rsidP="007B1A28">
                <w:pPr>
                  <w:rPr>
                    <w:rFonts w:cs="Arial"/>
                    <w:szCs w:val="21"/>
                  </w:rPr>
                </w:pPr>
              </w:p>
            </w:tc>
          </w:tr>
          <w:sdt>
            <w:sdtPr>
              <w:rPr>
                <w:szCs w:val="21"/>
              </w:rPr>
              <w:alias w:val="企业合并及合并财务报表明细"/>
              <w:tag w:val="_GBC_986bfe326d834fea9d2920637e286f21"/>
              <w:id w:val="512117756"/>
              <w:lock w:val="sdtLocked"/>
              <w:placeholder>
                <w:docPart w:val="638AED0DC5AC4958B423F8867C68076A"/>
              </w:placeholder>
            </w:sdtPr>
            <w:sdtEndPr/>
            <w:sdtContent>
              <w:tr w:rsidR="00D14C1C" w14:paraId="4028061E" w14:textId="77777777" w:rsidTr="00D14C1C">
                <w:tc>
                  <w:tcPr>
                    <w:tcW w:w="1000" w:type="pct"/>
                  </w:tcPr>
                  <w:p w14:paraId="53191D26" w14:textId="77777777" w:rsidR="00D14C1C" w:rsidRDefault="00D14C1C" w:rsidP="007B1A28">
                    <w:pPr>
                      <w:rPr>
                        <w:szCs w:val="21"/>
                      </w:rPr>
                    </w:pPr>
                    <w:r>
                      <w:t>北京天海工业有限公司</w:t>
                    </w:r>
                  </w:p>
                </w:tc>
                <w:tc>
                  <w:tcPr>
                    <w:tcW w:w="549" w:type="pct"/>
                  </w:tcPr>
                  <w:p w14:paraId="058009DC" w14:textId="77777777" w:rsidR="00D14C1C" w:rsidRDefault="00D14C1C" w:rsidP="007B1A28">
                    <w:pPr>
                      <w:rPr>
                        <w:szCs w:val="21"/>
                      </w:rPr>
                    </w:pPr>
                    <w:r>
                      <w:t>北京市朝阳区</w:t>
                    </w:r>
                  </w:p>
                </w:tc>
                <w:tc>
                  <w:tcPr>
                    <w:tcW w:w="861" w:type="pct"/>
                  </w:tcPr>
                  <w:p w14:paraId="1C06E23D" w14:textId="77777777" w:rsidR="00D14C1C" w:rsidRDefault="00D14C1C" w:rsidP="007B1A28">
                    <w:pPr>
                      <w:rPr>
                        <w:szCs w:val="21"/>
                      </w:rPr>
                    </w:pPr>
                    <w:r>
                      <w:t>北京市朝阳区</w:t>
                    </w:r>
                  </w:p>
                </w:tc>
                <w:tc>
                  <w:tcPr>
                    <w:tcW w:w="626" w:type="pct"/>
                  </w:tcPr>
                  <w:p w14:paraId="4F22032B" w14:textId="77777777" w:rsidR="00D14C1C" w:rsidRDefault="00D14C1C" w:rsidP="007B1A28">
                    <w:pPr>
                      <w:rPr>
                        <w:szCs w:val="21"/>
                      </w:rPr>
                    </w:pPr>
                    <w:r>
                      <w:t>生产</w:t>
                    </w:r>
                  </w:p>
                </w:tc>
                <w:tc>
                  <w:tcPr>
                    <w:tcW w:w="627" w:type="pct"/>
                  </w:tcPr>
                  <w:p w14:paraId="66E06D9F" w14:textId="77777777" w:rsidR="00D14C1C" w:rsidRDefault="00D14C1C" w:rsidP="007B1A28">
                    <w:pPr>
                      <w:jc w:val="right"/>
                      <w:rPr>
                        <w:szCs w:val="21"/>
                      </w:rPr>
                    </w:pPr>
                    <w:r>
                      <w:t>100.00</w:t>
                    </w:r>
                  </w:p>
                </w:tc>
                <w:tc>
                  <w:tcPr>
                    <w:tcW w:w="554" w:type="pct"/>
                  </w:tcPr>
                  <w:p w14:paraId="4ADA6745" w14:textId="77777777" w:rsidR="00D14C1C" w:rsidRDefault="00D14C1C" w:rsidP="007B1A28">
                    <w:pPr>
                      <w:jc w:val="right"/>
                      <w:rPr>
                        <w:szCs w:val="21"/>
                      </w:rPr>
                    </w:pPr>
                  </w:p>
                </w:tc>
                <w:tc>
                  <w:tcPr>
                    <w:tcW w:w="783" w:type="pct"/>
                  </w:tcPr>
                  <w:p w14:paraId="37B89B3B" w14:textId="77777777" w:rsidR="00D14C1C" w:rsidRDefault="00D14C1C" w:rsidP="007B1A28">
                    <w:pPr>
                      <w:rPr>
                        <w:szCs w:val="21"/>
                      </w:rPr>
                    </w:pPr>
                    <w:r>
                      <w:t>同一控制下企业合并</w:t>
                    </w:r>
                  </w:p>
                </w:tc>
              </w:tr>
            </w:sdtContent>
          </w:sdt>
          <w:sdt>
            <w:sdtPr>
              <w:rPr>
                <w:szCs w:val="21"/>
              </w:rPr>
              <w:alias w:val="企业合并及合并财务报表明细"/>
              <w:tag w:val="_GBC_986bfe326d834fea9d2920637e286f21"/>
              <w:id w:val="1521661401"/>
              <w:lock w:val="sdtLocked"/>
              <w:placeholder>
                <w:docPart w:val="638AED0DC5AC4958B423F8867C68076A"/>
              </w:placeholder>
            </w:sdtPr>
            <w:sdtEndPr/>
            <w:sdtContent>
              <w:tr w:rsidR="00D14C1C" w14:paraId="061204AF" w14:textId="77777777" w:rsidTr="00D14C1C">
                <w:tc>
                  <w:tcPr>
                    <w:tcW w:w="1000" w:type="pct"/>
                  </w:tcPr>
                  <w:p w14:paraId="5A7F8503" w14:textId="77777777" w:rsidR="00D14C1C" w:rsidRDefault="00D14C1C" w:rsidP="007B1A28">
                    <w:pPr>
                      <w:rPr>
                        <w:szCs w:val="21"/>
                      </w:rPr>
                    </w:pPr>
                    <w:r>
                      <w:t>天津天海高压容器有限责任公司</w:t>
                    </w:r>
                  </w:p>
                </w:tc>
                <w:tc>
                  <w:tcPr>
                    <w:tcW w:w="549" w:type="pct"/>
                  </w:tcPr>
                  <w:p w14:paraId="691EB54E" w14:textId="77777777" w:rsidR="00D14C1C" w:rsidRDefault="00D14C1C" w:rsidP="007B1A28">
                    <w:pPr>
                      <w:rPr>
                        <w:szCs w:val="21"/>
                      </w:rPr>
                    </w:pPr>
                    <w:r>
                      <w:t>天津港保税区</w:t>
                    </w:r>
                  </w:p>
                </w:tc>
                <w:tc>
                  <w:tcPr>
                    <w:tcW w:w="861" w:type="pct"/>
                  </w:tcPr>
                  <w:p w14:paraId="5A1E5CC8" w14:textId="77777777" w:rsidR="00D14C1C" w:rsidRDefault="00D14C1C" w:rsidP="007B1A28">
                    <w:pPr>
                      <w:rPr>
                        <w:szCs w:val="21"/>
                      </w:rPr>
                    </w:pPr>
                    <w:r>
                      <w:t>天津港保税区</w:t>
                    </w:r>
                  </w:p>
                </w:tc>
                <w:tc>
                  <w:tcPr>
                    <w:tcW w:w="626" w:type="pct"/>
                  </w:tcPr>
                  <w:p w14:paraId="59DA50A0" w14:textId="77777777" w:rsidR="00D14C1C" w:rsidRDefault="00D14C1C" w:rsidP="007B1A28">
                    <w:pPr>
                      <w:rPr>
                        <w:szCs w:val="21"/>
                      </w:rPr>
                    </w:pPr>
                    <w:r>
                      <w:t>生产</w:t>
                    </w:r>
                  </w:p>
                </w:tc>
                <w:tc>
                  <w:tcPr>
                    <w:tcW w:w="627" w:type="pct"/>
                  </w:tcPr>
                  <w:p w14:paraId="27540083" w14:textId="77777777" w:rsidR="00D14C1C" w:rsidRDefault="00D14C1C" w:rsidP="007B1A28">
                    <w:pPr>
                      <w:jc w:val="right"/>
                      <w:rPr>
                        <w:szCs w:val="21"/>
                      </w:rPr>
                    </w:pPr>
                  </w:p>
                </w:tc>
                <w:tc>
                  <w:tcPr>
                    <w:tcW w:w="554" w:type="pct"/>
                  </w:tcPr>
                  <w:p w14:paraId="5CA47B21" w14:textId="77777777" w:rsidR="00D14C1C" w:rsidRDefault="00D14C1C" w:rsidP="007B1A28">
                    <w:pPr>
                      <w:jc w:val="right"/>
                      <w:rPr>
                        <w:szCs w:val="21"/>
                      </w:rPr>
                    </w:pPr>
                    <w:r>
                      <w:t>55.00</w:t>
                    </w:r>
                  </w:p>
                </w:tc>
                <w:tc>
                  <w:tcPr>
                    <w:tcW w:w="783" w:type="pct"/>
                  </w:tcPr>
                  <w:p w14:paraId="2D147D27" w14:textId="77777777" w:rsidR="00D14C1C" w:rsidRDefault="00D14C1C" w:rsidP="007B1A28">
                    <w:pPr>
                      <w:rPr>
                        <w:szCs w:val="21"/>
                      </w:rPr>
                    </w:pPr>
                    <w:r>
                      <w:t>设立</w:t>
                    </w:r>
                  </w:p>
                </w:tc>
              </w:tr>
            </w:sdtContent>
          </w:sdt>
          <w:sdt>
            <w:sdtPr>
              <w:rPr>
                <w:szCs w:val="21"/>
              </w:rPr>
              <w:alias w:val="企业合并及合并财务报表明细"/>
              <w:tag w:val="_GBC_986bfe326d834fea9d2920637e286f21"/>
              <w:id w:val="-1435665678"/>
              <w:lock w:val="sdtLocked"/>
              <w:placeholder>
                <w:docPart w:val="32E2895EA715427F98F6AC8C5F4938E6"/>
              </w:placeholder>
            </w:sdtPr>
            <w:sdtEndPr/>
            <w:sdtContent>
              <w:tr w:rsidR="00D14C1C" w14:paraId="142C33D7" w14:textId="77777777" w:rsidTr="00D14C1C">
                <w:tc>
                  <w:tcPr>
                    <w:tcW w:w="1000" w:type="pct"/>
                  </w:tcPr>
                  <w:p w14:paraId="7C4A53EF" w14:textId="77777777" w:rsidR="00D14C1C" w:rsidRDefault="00D14C1C" w:rsidP="007B1A28">
                    <w:pPr>
                      <w:rPr>
                        <w:szCs w:val="21"/>
                      </w:rPr>
                    </w:pPr>
                    <w:r>
                      <w:t>上海天海复合气瓶有限公司</w:t>
                    </w:r>
                  </w:p>
                </w:tc>
                <w:tc>
                  <w:tcPr>
                    <w:tcW w:w="549" w:type="pct"/>
                  </w:tcPr>
                  <w:p w14:paraId="4A82F807" w14:textId="77777777" w:rsidR="00D14C1C" w:rsidRDefault="00D14C1C" w:rsidP="007B1A28">
                    <w:pPr>
                      <w:rPr>
                        <w:szCs w:val="21"/>
                      </w:rPr>
                    </w:pPr>
                    <w:r>
                      <w:t>上海市松江区</w:t>
                    </w:r>
                  </w:p>
                </w:tc>
                <w:tc>
                  <w:tcPr>
                    <w:tcW w:w="861" w:type="pct"/>
                  </w:tcPr>
                  <w:p w14:paraId="1D71F64B" w14:textId="77777777" w:rsidR="00D14C1C" w:rsidRDefault="00D14C1C" w:rsidP="007B1A28">
                    <w:pPr>
                      <w:rPr>
                        <w:szCs w:val="21"/>
                      </w:rPr>
                    </w:pPr>
                    <w:r>
                      <w:t>上海市松江区</w:t>
                    </w:r>
                  </w:p>
                </w:tc>
                <w:tc>
                  <w:tcPr>
                    <w:tcW w:w="626" w:type="pct"/>
                  </w:tcPr>
                  <w:p w14:paraId="3802553E" w14:textId="77777777" w:rsidR="00D14C1C" w:rsidRDefault="00D14C1C" w:rsidP="007B1A28">
                    <w:pPr>
                      <w:rPr>
                        <w:szCs w:val="21"/>
                      </w:rPr>
                    </w:pPr>
                    <w:r>
                      <w:t>生产</w:t>
                    </w:r>
                  </w:p>
                </w:tc>
                <w:tc>
                  <w:tcPr>
                    <w:tcW w:w="627" w:type="pct"/>
                  </w:tcPr>
                  <w:p w14:paraId="4C8CF5A1" w14:textId="77777777" w:rsidR="00D14C1C" w:rsidRDefault="00D14C1C" w:rsidP="007B1A28">
                    <w:pPr>
                      <w:jc w:val="right"/>
                      <w:rPr>
                        <w:szCs w:val="21"/>
                      </w:rPr>
                    </w:pPr>
                  </w:p>
                </w:tc>
                <w:tc>
                  <w:tcPr>
                    <w:tcW w:w="554" w:type="pct"/>
                  </w:tcPr>
                  <w:p w14:paraId="56B7ED9D" w14:textId="77777777" w:rsidR="00D14C1C" w:rsidRDefault="00D14C1C" w:rsidP="007B1A28">
                    <w:pPr>
                      <w:jc w:val="right"/>
                      <w:rPr>
                        <w:szCs w:val="21"/>
                      </w:rPr>
                    </w:pPr>
                    <w:r>
                      <w:t>87.84</w:t>
                    </w:r>
                  </w:p>
                </w:tc>
                <w:tc>
                  <w:tcPr>
                    <w:tcW w:w="783" w:type="pct"/>
                  </w:tcPr>
                  <w:p w14:paraId="69238EDA" w14:textId="77777777" w:rsidR="00D14C1C" w:rsidRDefault="00D14C1C" w:rsidP="007B1A28">
                    <w:pPr>
                      <w:rPr>
                        <w:szCs w:val="21"/>
                      </w:rPr>
                    </w:pPr>
                    <w:r>
                      <w:t>同一控制下企业合并</w:t>
                    </w:r>
                  </w:p>
                </w:tc>
              </w:tr>
            </w:sdtContent>
          </w:sdt>
          <w:sdt>
            <w:sdtPr>
              <w:rPr>
                <w:szCs w:val="21"/>
              </w:rPr>
              <w:alias w:val="企业合并及合并财务报表明细"/>
              <w:tag w:val="_GBC_986bfe326d834fea9d2920637e286f21"/>
              <w:id w:val="-136110651"/>
              <w:lock w:val="sdtLocked"/>
              <w:placeholder>
                <w:docPart w:val="32E2895EA715427F98F6AC8C5F4938E6"/>
              </w:placeholder>
            </w:sdtPr>
            <w:sdtEndPr/>
            <w:sdtContent>
              <w:tr w:rsidR="00D14C1C" w14:paraId="51D57C2A" w14:textId="77777777" w:rsidTr="00D14C1C">
                <w:tc>
                  <w:tcPr>
                    <w:tcW w:w="1000" w:type="pct"/>
                  </w:tcPr>
                  <w:p w14:paraId="7ECD6F22" w14:textId="77777777" w:rsidR="00D14C1C" w:rsidRDefault="00D14C1C" w:rsidP="007B1A28">
                    <w:pPr>
                      <w:rPr>
                        <w:szCs w:val="21"/>
                      </w:rPr>
                    </w:pPr>
                    <w:r>
                      <w:t>北京天海低温设备有限公司</w:t>
                    </w:r>
                  </w:p>
                </w:tc>
                <w:tc>
                  <w:tcPr>
                    <w:tcW w:w="549" w:type="pct"/>
                  </w:tcPr>
                  <w:p w14:paraId="2A2D55C0" w14:textId="77777777" w:rsidR="00D14C1C" w:rsidRDefault="00D14C1C" w:rsidP="007B1A28">
                    <w:pPr>
                      <w:rPr>
                        <w:szCs w:val="21"/>
                      </w:rPr>
                    </w:pPr>
                    <w:r>
                      <w:t>北京市通州区</w:t>
                    </w:r>
                  </w:p>
                </w:tc>
                <w:tc>
                  <w:tcPr>
                    <w:tcW w:w="861" w:type="pct"/>
                  </w:tcPr>
                  <w:p w14:paraId="283F7DE5" w14:textId="77777777" w:rsidR="00D14C1C" w:rsidRDefault="00D14C1C" w:rsidP="007B1A28">
                    <w:pPr>
                      <w:rPr>
                        <w:szCs w:val="21"/>
                      </w:rPr>
                    </w:pPr>
                    <w:r>
                      <w:t>北京市通州区</w:t>
                    </w:r>
                  </w:p>
                </w:tc>
                <w:tc>
                  <w:tcPr>
                    <w:tcW w:w="626" w:type="pct"/>
                  </w:tcPr>
                  <w:p w14:paraId="26CD772F" w14:textId="77777777" w:rsidR="00D14C1C" w:rsidRDefault="00D14C1C" w:rsidP="007B1A28">
                    <w:pPr>
                      <w:rPr>
                        <w:szCs w:val="21"/>
                      </w:rPr>
                    </w:pPr>
                    <w:r>
                      <w:t>生产</w:t>
                    </w:r>
                  </w:p>
                </w:tc>
                <w:tc>
                  <w:tcPr>
                    <w:tcW w:w="627" w:type="pct"/>
                  </w:tcPr>
                  <w:p w14:paraId="33621A5F" w14:textId="77777777" w:rsidR="00D14C1C" w:rsidRDefault="00D14C1C" w:rsidP="007B1A28">
                    <w:pPr>
                      <w:jc w:val="right"/>
                      <w:rPr>
                        <w:szCs w:val="21"/>
                      </w:rPr>
                    </w:pPr>
                  </w:p>
                </w:tc>
                <w:tc>
                  <w:tcPr>
                    <w:tcW w:w="554" w:type="pct"/>
                  </w:tcPr>
                  <w:p w14:paraId="559A6F40" w14:textId="77777777" w:rsidR="00D14C1C" w:rsidRDefault="00D14C1C" w:rsidP="007B1A28">
                    <w:pPr>
                      <w:jc w:val="right"/>
                      <w:rPr>
                        <w:szCs w:val="21"/>
                      </w:rPr>
                    </w:pPr>
                    <w:r>
                      <w:t>75.00</w:t>
                    </w:r>
                  </w:p>
                </w:tc>
                <w:tc>
                  <w:tcPr>
                    <w:tcW w:w="783" w:type="pct"/>
                  </w:tcPr>
                  <w:p w14:paraId="20AAC1B2" w14:textId="77777777" w:rsidR="00D14C1C" w:rsidRDefault="00D14C1C" w:rsidP="007B1A28">
                    <w:pPr>
                      <w:rPr>
                        <w:szCs w:val="21"/>
                      </w:rPr>
                    </w:pPr>
                    <w:r>
                      <w:t>设立</w:t>
                    </w:r>
                  </w:p>
                </w:tc>
              </w:tr>
            </w:sdtContent>
          </w:sdt>
          <w:sdt>
            <w:sdtPr>
              <w:rPr>
                <w:szCs w:val="21"/>
              </w:rPr>
              <w:alias w:val="企业合并及合并财务报表明细"/>
              <w:tag w:val="_GBC_986bfe326d834fea9d2920637e286f21"/>
              <w:id w:val="1804276029"/>
              <w:lock w:val="sdtLocked"/>
              <w:placeholder>
                <w:docPart w:val="32E2895EA715427F98F6AC8C5F4938E6"/>
              </w:placeholder>
            </w:sdtPr>
            <w:sdtEndPr/>
            <w:sdtContent>
              <w:tr w:rsidR="00D14C1C" w14:paraId="27B12CB2" w14:textId="77777777" w:rsidTr="00D14C1C">
                <w:tc>
                  <w:tcPr>
                    <w:tcW w:w="1000" w:type="pct"/>
                  </w:tcPr>
                  <w:p w14:paraId="0609416F" w14:textId="77777777" w:rsidR="00D14C1C" w:rsidRDefault="00D14C1C" w:rsidP="007B1A28">
                    <w:pPr>
                      <w:rPr>
                        <w:szCs w:val="21"/>
                      </w:rPr>
                    </w:pPr>
                    <w:r>
                      <w:t>北京天海氢能装备有限公司</w:t>
                    </w:r>
                  </w:p>
                </w:tc>
                <w:tc>
                  <w:tcPr>
                    <w:tcW w:w="549" w:type="pct"/>
                  </w:tcPr>
                  <w:p w14:paraId="2C200190" w14:textId="77777777" w:rsidR="00D14C1C" w:rsidRDefault="00D14C1C" w:rsidP="007B1A28">
                    <w:pPr>
                      <w:rPr>
                        <w:szCs w:val="21"/>
                      </w:rPr>
                    </w:pPr>
                    <w:r>
                      <w:t>北京市通州区</w:t>
                    </w:r>
                  </w:p>
                </w:tc>
                <w:tc>
                  <w:tcPr>
                    <w:tcW w:w="861" w:type="pct"/>
                  </w:tcPr>
                  <w:p w14:paraId="62E8BAAA" w14:textId="77777777" w:rsidR="00D14C1C" w:rsidRDefault="00D14C1C" w:rsidP="007B1A28">
                    <w:pPr>
                      <w:rPr>
                        <w:szCs w:val="21"/>
                      </w:rPr>
                    </w:pPr>
                    <w:r>
                      <w:t>北京市通州区</w:t>
                    </w:r>
                  </w:p>
                </w:tc>
                <w:tc>
                  <w:tcPr>
                    <w:tcW w:w="626" w:type="pct"/>
                  </w:tcPr>
                  <w:p w14:paraId="154E054B" w14:textId="77777777" w:rsidR="00D14C1C" w:rsidRDefault="00D14C1C" w:rsidP="007B1A28">
                    <w:pPr>
                      <w:rPr>
                        <w:szCs w:val="21"/>
                      </w:rPr>
                    </w:pPr>
                    <w:r>
                      <w:t>生产</w:t>
                    </w:r>
                  </w:p>
                </w:tc>
                <w:tc>
                  <w:tcPr>
                    <w:tcW w:w="627" w:type="pct"/>
                  </w:tcPr>
                  <w:p w14:paraId="6D2DD98C" w14:textId="77777777" w:rsidR="00D14C1C" w:rsidRDefault="00D14C1C" w:rsidP="007B1A28">
                    <w:pPr>
                      <w:jc w:val="right"/>
                      <w:rPr>
                        <w:szCs w:val="21"/>
                      </w:rPr>
                    </w:pPr>
                  </w:p>
                </w:tc>
                <w:tc>
                  <w:tcPr>
                    <w:tcW w:w="554" w:type="pct"/>
                  </w:tcPr>
                  <w:p w14:paraId="12FFBEC2" w14:textId="77777777" w:rsidR="00D14C1C" w:rsidRDefault="00D14C1C" w:rsidP="007B1A28">
                    <w:pPr>
                      <w:jc w:val="right"/>
                      <w:rPr>
                        <w:szCs w:val="21"/>
                      </w:rPr>
                    </w:pPr>
                    <w:r>
                      <w:t>100.00</w:t>
                    </w:r>
                  </w:p>
                </w:tc>
                <w:tc>
                  <w:tcPr>
                    <w:tcW w:w="783" w:type="pct"/>
                  </w:tcPr>
                  <w:p w14:paraId="7845C55B" w14:textId="77777777" w:rsidR="00D14C1C" w:rsidRDefault="00D14C1C" w:rsidP="007B1A28">
                    <w:pPr>
                      <w:rPr>
                        <w:szCs w:val="21"/>
                      </w:rPr>
                    </w:pPr>
                    <w:r>
                      <w:t>同一控制下企业合并</w:t>
                    </w:r>
                  </w:p>
                </w:tc>
              </w:tr>
            </w:sdtContent>
          </w:sdt>
          <w:sdt>
            <w:sdtPr>
              <w:rPr>
                <w:szCs w:val="21"/>
              </w:rPr>
              <w:alias w:val="企业合并及合并财务报表明细"/>
              <w:tag w:val="_GBC_986bfe326d834fea9d2920637e286f21"/>
              <w:id w:val="-1487088152"/>
              <w:lock w:val="sdtLocked"/>
              <w:placeholder>
                <w:docPart w:val="32E2895EA715427F98F6AC8C5F4938E6"/>
              </w:placeholder>
            </w:sdtPr>
            <w:sdtEndPr/>
            <w:sdtContent>
              <w:tr w:rsidR="00D14C1C" w14:paraId="2A58DAD4" w14:textId="77777777" w:rsidTr="00D14C1C">
                <w:tc>
                  <w:tcPr>
                    <w:tcW w:w="1000" w:type="pct"/>
                  </w:tcPr>
                  <w:p w14:paraId="530C6D39" w14:textId="77777777" w:rsidR="00D14C1C" w:rsidRDefault="00D14C1C" w:rsidP="007B1A28">
                    <w:pPr>
                      <w:rPr>
                        <w:szCs w:val="21"/>
                      </w:rPr>
                    </w:pPr>
                    <w:r>
                      <w:t>北京明晖天海气体储运装备销售有限公司</w:t>
                    </w:r>
                  </w:p>
                </w:tc>
                <w:tc>
                  <w:tcPr>
                    <w:tcW w:w="549" w:type="pct"/>
                  </w:tcPr>
                  <w:p w14:paraId="1EC70544" w14:textId="77777777" w:rsidR="00D14C1C" w:rsidRDefault="00D14C1C" w:rsidP="007B1A28">
                    <w:pPr>
                      <w:rPr>
                        <w:szCs w:val="21"/>
                      </w:rPr>
                    </w:pPr>
                    <w:r>
                      <w:t>北京市通州区</w:t>
                    </w:r>
                  </w:p>
                </w:tc>
                <w:tc>
                  <w:tcPr>
                    <w:tcW w:w="861" w:type="pct"/>
                  </w:tcPr>
                  <w:p w14:paraId="5421C836" w14:textId="77777777" w:rsidR="00D14C1C" w:rsidRDefault="00D14C1C" w:rsidP="007B1A28">
                    <w:pPr>
                      <w:rPr>
                        <w:szCs w:val="21"/>
                      </w:rPr>
                    </w:pPr>
                    <w:r>
                      <w:t>北京市通州区</w:t>
                    </w:r>
                  </w:p>
                </w:tc>
                <w:tc>
                  <w:tcPr>
                    <w:tcW w:w="626" w:type="pct"/>
                  </w:tcPr>
                  <w:p w14:paraId="2F0A9689" w14:textId="77777777" w:rsidR="00D14C1C" w:rsidRDefault="00D14C1C" w:rsidP="007B1A28">
                    <w:pPr>
                      <w:rPr>
                        <w:szCs w:val="21"/>
                      </w:rPr>
                    </w:pPr>
                    <w:r>
                      <w:t>生产</w:t>
                    </w:r>
                  </w:p>
                </w:tc>
                <w:tc>
                  <w:tcPr>
                    <w:tcW w:w="627" w:type="pct"/>
                  </w:tcPr>
                  <w:p w14:paraId="443DD438" w14:textId="77777777" w:rsidR="00D14C1C" w:rsidRDefault="00D14C1C" w:rsidP="007B1A28">
                    <w:pPr>
                      <w:jc w:val="right"/>
                      <w:rPr>
                        <w:szCs w:val="21"/>
                      </w:rPr>
                    </w:pPr>
                  </w:p>
                </w:tc>
                <w:tc>
                  <w:tcPr>
                    <w:tcW w:w="554" w:type="pct"/>
                  </w:tcPr>
                  <w:p w14:paraId="13034901" w14:textId="77777777" w:rsidR="00D14C1C" w:rsidRDefault="00D14C1C" w:rsidP="007B1A28">
                    <w:pPr>
                      <w:jc w:val="right"/>
                      <w:rPr>
                        <w:szCs w:val="21"/>
                      </w:rPr>
                    </w:pPr>
                    <w:r>
                      <w:t>38.51</w:t>
                    </w:r>
                  </w:p>
                </w:tc>
                <w:tc>
                  <w:tcPr>
                    <w:tcW w:w="783" w:type="pct"/>
                  </w:tcPr>
                  <w:p w14:paraId="00146AFB" w14:textId="77777777" w:rsidR="00D14C1C" w:rsidRDefault="00D14C1C" w:rsidP="007B1A28">
                    <w:pPr>
                      <w:rPr>
                        <w:szCs w:val="21"/>
                      </w:rPr>
                    </w:pPr>
                    <w:r>
                      <w:t>设立</w:t>
                    </w:r>
                  </w:p>
                </w:tc>
              </w:tr>
            </w:sdtContent>
          </w:sdt>
          <w:sdt>
            <w:sdtPr>
              <w:rPr>
                <w:szCs w:val="21"/>
              </w:rPr>
              <w:alias w:val="企业合并及合并财务报表明细"/>
              <w:tag w:val="_GBC_986bfe326d834fea9d2920637e286f21"/>
              <w:id w:val="-1622596660"/>
              <w:lock w:val="sdtLocked"/>
              <w:placeholder>
                <w:docPart w:val="32E2895EA715427F98F6AC8C5F4938E6"/>
              </w:placeholder>
            </w:sdtPr>
            <w:sdtEndPr/>
            <w:sdtContent>
              <w:tr w:rsidR="00D14C1C" w14:paraId="15B54CC9" w14:textId="77777777" w:rsidTr="00D14C1C">
                <w:tc>
                  <w:tcPr>
                    <w:tcW w:w="1000" w:type="pct"/>
                  </w:tcPr>
                  <w:p w14:paraId="2DCFC0F9" w14:textId="77777777" w:rsidR="00D14C1C" w:rsidRDefault="00D14C1C" w:rsidP="007B1A28">
                    <w:pPr>
                      <w:rPr>
                        <w:szCs w:val="21"/>
                      </w:rPr>
                    </w:pPr>
                    <w:r>
                      <w:t>天海美洲公司</w:t>
                    </w:r>
                  </w:p>
                </w:tc>
                <w:tc>
                  <w:tcPr>
                    <w:tcW w:w="549" w:type="pct"/>
                  </w:tcPr>
                  <w:p w14:paraId="162ADC4A" w14:textId="77777777" w:rsidR="00D14C1C" w:rsidRDefault="00D14C1C" w:rsidP="007B1A28">
                    <w:pPr>
                      <w:rPr>
                        <w:szCs w:val="21"/>
                      </w:rPr>
                    </w:pPr>
                    <w:r>
                      <w:t>美国休斯顿</w:t>
                    </w:r>
                  </w:p>
                </w:tc>
                <w:tc>
                  <w:tcPr>
                    <w:tcW w:w="861" w:type="pct"/>
                  </w:tcPr>
                  <w:p w14:paraId="0551AF78" w14:textId="77777777" w:rsidR="00D14C1C" w:rsidRDefault="00D14C1C" w:rsidP="007B1A28">
                    <w:pPr>
                      <w:rPr>
                        <w:szCs w:val="21"/>
                      </w:rPr>
                    </w:pPr>
                    <w:r>
                      <w:t>美国休斯顿</w:t>
                    </w:r>
                  </w:p>
                </w:tc>
                <w:tc>
                  <w:tcPr>
                    <w:tcW w:w="626" w:type="pct"/>
                  </w:tcPr>
                  <w:p w14:paraId="29C544FE" w14:textId="77777777" w:rsidR="00D14C1C" w:rsidRDefault="00D14C1C" w:rsidP="007B1A28">
                    <w:pPr>
                      <w:rPr>
                        <w:szCs w:val="21"/>
                      </w:rPr>
                    </w:pPr>
                    <w:r>
                      <w:t>销售</w:t>
                    </w:r>
                  </w:p>
                </w:tc>
                <w:tc>
                  <w:tcPr>
                    <w:tcW w:w="627" w:type="pct"/>
                  </w:tcPr>
                  <w:p w14:paraId="0FF4992C" w14:textId="77777777" w:rsidR="00D14C1C" w:rsidRDefault="00D14C1C" w:rsidP="007B1A28">
                    <w:pPr>
                      <w:jc w:val="right"/>
                      <w:rPr>
                        <w:szCs w:val="21"/>
                      </w:rPr>
                    </w:pPr>
                  </w:p>
                </w:tc>
                <w:tc>
                  <w:tcPr>
                    <w:tcW w:w="554" w:type="pct"/>
                  </w:tcPr>
                  <w:p w14:paraId="35A4D8BE" w14:textId="77777777" w:rsidR="00D14C1C" w:rsidRDefault="00D14C1C" w:rsidP="007B1A28">
                    <w:pPr>
                      <w:jc w:val="right"/>
                      <w:rPr>
                        <w:szCs w:val="21"/>
                      </w:rPr>
                    </w:pPr>
                    <w:r>
                      <w:t>90.00</w:t>
                    </w:r>
                  </w:p>
                </w:tc>
                <w:tc>
                  <w:tcPr>
                    <w:tcW w:w="783" w:type="pct"/>
                  </w:tcPr>
                  <w:p w14:paraId="101BCDDD" w14:textId="77777777" w:rsidR="00D14C1C" w:rsidRDefault="00D14C1C" w:rsidP="007B1A28">
                    <w:pPr>
                      <w:rPr>
                        <w:szCs w:val="21"/>
                      </w:rPr>
                    </w:pPr>
                    <w:r>
                      <w:t>非同一控制下企业合并</w:t>
                    </w:r>
                  </w:p>
                </w:tc>
              </w:tr>
            </w:sdtContent>
          </w:sdt>
          <w:sdt>
            <w:sdtPr>
              <w:rPr>
                <w:szCs w:val="21"/>
              </w:rPr>
              <w:alias w:val="企业合并及合并财务报表明细"/>
              <w:tag w:val="_GBC_986bfe326d834fea9d2920637e286f21"/>
              <w:id w:val="-1432041955"/>
              <w:lock w:val="sdtLocked"/>
              <w:placeholder>
                <w:docPart w:val="32E2895EA715427F98F6AC8C5F4938E6"/>
              </w:placeholder>
            </w:sdtPr>
            <w:sdtEndPr/>
            <w:sdtContent>
              <w:tr w:rsidR="00D14C1C" w14:paraId="15B71823" w14:textId="77777777" w:rsidTr="00D14C1C">
                <w:tc>
                  <w:tcPr>
                    <w:tcW w:w="1000" w:type="pct"/>
                  </w:tcPr>
                  <w:p w14:paraId="674F8905" w14:textId="77777777" w:rsidR="00D14C1C" w:rsidRDefault="00D14C1C" w:rsidP="007B1A28">
                    <w:pPr>
                      <w:rPr>
                        <w:szCs w:val="21"/>
                      </w:rPr>
                    </w:pPr>
                    <w:r>
                      <w:t>宽城天海压力容器有限公司</w:t>
                    </w:r>
                  </w:p>
                </w:tc>
                <w:tc>
                  <w:tcPr>
                    <w:tcW w:w="549" w:type="pct"/>
                  </w:tcPr>
                  <w:p w14:paraId="71486206" w14:textId="77777777" w:rsidR="00D14C1C" w:rsidRDefault="00D14C1C" w:rsidP="007B1A28">
                    <w:pPr>
                      <w:rPr>
                        <w:szCs w:val="21"/>
                      </w:rPr>
                    </w:pPr>
                    <w:r>
                      <w:t>河北省承德市</w:t>
                    </w:r>
                  </w:p>
                </w:tc>
                <w:tc>
                  <w:tcPr>
                    <w:tcW w:w="861" w:type="pct"/>
                  </w:tcPr>
                  <w:p w14:paraId="00E57EE3" w14:textId="77777777" w:rsidR="00D14C1C" w:rsidRDefault="00D14C1C" w:rsidP="007B1A28">
                    <w:pPr>
                      <w:rPr>
                        <w:szCs w:val="21"/>
                      </w:rPr>
                    </w:pPr>
                    <w:r>
                      <w:t>河北省承德市</w:t>
                    </w:r>
                  </w:p>
                </w:tc>
                <w:tc>
                  <w:tcPr>
                    <w:tcW w:w="626" w:type="pct"/>
                  </w:tcPr>
                  <w:p w14:paraId="7F4183EE" w14:textId="77777777" w:rsidR="00D14C1C" w:rsidRDefault="00D14C1C" w:rsidP="007B1A28">
                    <w:pPr>
                      <w:rPr>
                        <w:szCs w:val="21"/>
                      </w:rPr>
                    </w:pPr>
                    <w:r>
                      <w:t>生产</w:t>
                    </w:r>
                  </w:p>
                </w:tc>
                <w:tc>
                  <w:tcPr>
                    <w:tcW w:w="627" w:type="pct"/>
                  </w:tcPr>
                  <w:p w14:paraId="0F6F4DE2" w14:textId="77777777" w:rsidR="00D14C1C" w:rsidRDefault="00D14C1C" w:rsidP="007B1A28">
                    <w:pPr>
                      <w:jc w:val="right"/>
                      <w:rPr>
                        <w:szCs w:val="21"/>
                      </w:rPr>
                    </w:pPr>
                  </w:p>
                </w:tc>
                <w:tc>
                  <w:tcPr>
                    <w:tcW w:w="554" w:type="pct"/>
                  </w:tcPr>
                  <w:p w14:paraId="3C0B7EE4" w14:textId="77777777" w:rsidR="00D14C1C" w:rsidRDefault="00D14C1C" w:rsidP="007B1A28">
                    <w:pPr>
                      <w:jc w:val="right"/>
                      <w:rPr>
                        <w:szCs w:val="21"/>
                      </w:rPr>
                    </w:pPr>
                    <w:r>
                      <w:t>61.10</w:t>
                    </w:r>
                  </w:p>
                </w:tc>
                <w:tc>
                  <w:tcPr>
                    <w:tcW w:w="783" w:type="pct"/>
                  </w:tcPr>
                  <w:p w14:paraId="200FB59D" w14:textId="77777777" w:rsidR="00D14C1C" w:rsidRDefault="00D14C1C" w:rsidP="007B1A28">
                    <w:pPr>
                      <w:rPr>
                        <w:szCs w:val="21"/>
                      </w:rPr>
                    </w:pPr>
                    <w:r>
                      <w:t>设立</w:t>
                    </w:r>
                  </w:p>
                </w:tc>
              </w:tr>
            </w:sdtContent>
          </w:sdt>
          <w:sdt>
            <w:sdtPr>
              <w:rPr>
                <w:szCs w:val="21"/>
              </w:rPr>
              <w:alias w:val="企业合并及合并财务报表明细"/>
              <w:tag w:val="_GBC_986bfe326d834fea9d2920637e286f21"/>
              <w:id w:val="-1090082685"/>
              <w:lock w:val="sdtLocked"/>
              <w:placeholder>
                <w:docPart w:val="32E2895EA715427F98F6AC8C5F4938E6"/>
              </w:placeholder>
            </w:sdtPr>
            <w:sdtEndPr/>
            <w:sdtContent>
              <w:tr w:rsidR="00D14C1C" w14:paraId="227F6095" w14:textId="77777777" w:rsidTr="00D14C1C">
                <w:tc>
                  <w:tcPr>
                    <w:tcW w:w="1000" w:type="pct"/>
                  </w:tcPr>
                  <w:p w14:paraId="2C25B0DC" w14:textId="77777777" w:rsidR="00D14C1C" w:rsidRDefault="00D14C1C" w:rsidP="007B1A28">
                    <w:pPr>
                      <w:rPr>
                        <w:szCs w:val="21"/>
                      </w:rPr>
                    </w:pPr>
                    <w:r>
                      <w:t>京城控股（香港）有限公司</w:t>
                    </w:r>
                  </w:p>
                </w:tc>
                <w:tc>
                  <w:tcPr>
                    <w:tcW w:w="549" w:type="pct"/>
                  </w:tcPr>
                  <w:p w14:paraId="3CFEBFF7" w14:textId="77777777" w:rsidR="00D14C1C" w:rsidRDefault="00D14C1C" w:rsidP="007B1A28">
                    <w:pPr>
                      <w:rPr>
                        <w:szCs w:val="21"/>
                      </w:rPr>
                    </w:pPr>
                    <w:r>
                      <w:t>香港</w:t>
                    </w:r>
                  </w:p>
                </w:tc>
                <w:tc>
                  <w:tcPr>
                    <w:tcW w:w="861" w:type="pct"/>
                  </w:tcPr>
                  <w:p w14:paraId="14172A9E" w14:textId="77777777" w:rsidR="00D14C1C" w:rsidRDefault="00D14C1C" w:rsidP="007B1A28">
                    <w:pPr>
                      <w:rPr>
                        <w:szCs w:val="21"/>
                      </w:rPr>
                    </w:pPr>
                    <w:r>
                      <w:t>香港</w:t>
                    </w:r>
                  </w:p>
                </w:tc>
                <w:tc>
                  <w:tcPr>
                    <w:tcW w:w="626" w:type="pct"/>
                  </w:tcPr>
                  <w:p w14:paraId="57CAB89A" w14:textId="77777777" w:rsidR="00D14C1C" w:rsidRDefault="00D14C1C" w:rsidP="007B1A28">
                    <w:pPr>
                      <w:rPr>
                        <w:szCs w:val="21"/>
                      </w:rPr>
                    </w:pPr>
                    <w:r>
                      <w:t>贸易、投资</w:t>
                    </w:r>
                  </w:p>
                </w:tc>
                <w:tc>
                  <w:tcPr>
                    <w:tcW w:w="627" w:type="pct"/>
                  </w:tcPr>
                  <w:p w14:paraId="1718D78C" w14:textId="77777777" w:rsidR="00D14C1C" w:rsidRDefault="00D14C1C" w:rsidP="007B1A28">
                    <w:pPr>
                      <w:jc w:val="right"/>
                      <w:rPr>
                        <w:szCs w:val="21"/>
                      </w:rPr>
                    </w:pPr>
                    <w:r>
                      <w:t>100.00</w:t>
                    </w:r>
                  </w:p>
                </w:tc>
                <w:tc>
                  <w:tcPr>
                    <w:tcW w:w="554" w:type="pct"/>
                  </w:tcPr>
                  <w:p w14:paraId="2F11C30B" w14:textId="77777777" w:rsidR="00D14C1C" w:rsidRDefault="00D14C1C" w:rsidP="007B1A28">
                    <w:pPr>
                      <w:jc w:val="right"/>
                      <w:rPr>
                        <w:szCs w:val="21"/>
                      </w:rPr>
                    </w:pPr>
                  </w:p>
                </w:tc>
                <w:tc>
                  <w:tcPr>
                    <w:tcW w:w="783" w:type="pct"/>
                  </w:tcPr>
                  <w:p w14:paraId="577444C7" w14:textId="77777777" w:rsidR="00D14C1C" w:rsidRDefault="00D14C1C" w:rsidP="007B1A28">
                    <w:pPr>
                      <w:rPr>
                        <w:szCs w:val="21"/>
                      </w:rPr>
                    </w:pPr>
                    <w:r>
                      <w:t>同一控制下企业合并</w:t>
                    </w:r>
                  </w:p>
                </w:tc>
              </w:tr>
            </w:sdtContent>
          </w:sdt>
        </w:tbl>
        <w:p w14:paraId="0BA90940" w14:textId="77777777" w:rsidR="00D14C1C" w:rsidRDefault="00D14C1C"/>
        <w:p w14:paraId="7B7C9060" w14:textId="77777777" w:rsidR="00D14C1C" w:rsidRDefault="00D14C1C">
          <w:pPr>
            <w:rPr>
              <w:rFonts w:cs="Arial"/>
              <w:szCs w:val="21"/>
            </w:rPr>
          </w:pPr>
          <w:r>
            <w:rPr>
              <w:rFonts w:cs="Arial" w:hint="eastAsia"/>
              <w:szCs w:val="21"/>
            </w:rPr>
            <w:t>在子公司的持股比例不同于表决权比例的说明：</w:t>
          </w:r>
        </w:p>
        <w:p w14:paraId="74BBBAA4" w14:textId="77777777" w:rsidR="00D14C1C" w:rsidRDefault="00B664AF">
          <w:pPr>
            <w:rPr>
              <w:rFonts w:cs="Arial"/>
              <w:szCs w:val="21"/>
            </w:rPr>
          </w:pPr>
          <w:sdt>
            <w:sdtPr>
              <w:rPr>
                <w:rFonts w:cs="Arial"/>
                <w:szCs w:val="21"/>
              </w:rPr>
              <w:alias w:val="在子公司的持股比例不同于表决权比例的说明"/>
              <w:tag w:val="_GBC_b7be591163dc47e4b00f98006e6fbb0b"/>
              <w:id w:val="-1695373105"/>
              <w:lock w:val="sdtLocked"/>
            </w:sdtPr>
            <w:sdtEndPr/>
            <w:sdtContent>
              <w:r w:rsidR="00D14C1C">
                <w:rPr>
                  <w:rFonts w:cs="Arial"/>
                  <w:szCs w:val="21"/>
                </w:rPr>
                <w:t>无</w:t>
              </w:r>
            </w:sdtContent>
          </w:sdt>
        </w:p>
        <w:p w14:paraId="60F42AE0" w14:textId="77777777" w:rsidR="00D14C1C" w:rsidRDefault="00D14C1C">
          <w:pPr>
            <w:rPr>
              <w:rFonts w:cs="Arial"/>
              <w:szCs w:val="21"/>
            </w:rPr>
          </w:pPr>
        </w:p>
        <w:p w14:paraId="121DB29D" w14:textId="77777777" w:rsidR="00D14C1C" w:rsidRDefault="00D14C1C">
          <w:pPr>
            <w:rPr>
              <w:rFonts w:cs="Arial"/>
              <w:szCs w:val="21"/>
            </w:rPr>
          </w:pPr>
          <w:r>
            <w:rPr>
              <w:rFonts w:cs="Arial" w:hint="eastAsia"/>
              <w:szCs w:val="21"/>
            </w:rPr>
            <w:t>持有半数或以下表决权但仍控制被投资单位、以及持有半数以上表决权但不控制被投资单位的依据：</w:t>
          </w:r>
        </w:p>
        <w:sdt>
          <w:sdtPr>
            <w:rPr>
              <w:rFonts w:cs="Arial"/>
              <w:szCs w:val="21"/>
            </w:rPr>
            <w:alias w:val="持有半数或以下表决权但仍控制被投资单位、以及持有半数以上表决权但不控制被投资单位的依据"/>
            <w:tag w:val="_GBC_e9c6ba07b58c4f8e9e3004170d14542b"/>
            <w:id w:val="798114468"/>
            <w:lock w:val="sdtLocked"/>
          </w:sdtPr>
          <w:sdtEndPr/>
          <w:sdtContent>
            <w:p w14:paraId="1859DF58" w14:textId="77777777" w:rsidR="00D14C1C" w:rsidRDefault="00D14C1C">
              <w:pPr>
                <w:rPr>
                  <w:rFonts w:cs="Arial"/>
                  <w:szCs w:val="21"/>
                </w:rPr>
              </w:pPr>
              <w:r>
                <w:rPr>
                  <w:rFonts w:cs="Arial"/>
                  <w:szCs w:val="21"/>
                </w:rPr>
                <w:t>无</w:t>
              </w:r>
            </w:p>
          </w:sdtContent>
        </w:sdt>
        <w:p w14:paraId="4AD9F02F" w14:textId="77777777" w:rsidR="00D14C1C" w:rsidRDefault="00D14C1C">
          <w:pPr>
            <w:rPr>
              <w:rFonts w:cs="Arial"/>
              <w:szCs w:val="21"/>
            </w:rPr>
          </w:pPr>
        </w:p>
        <w:p w14:paraId="25E02447" w14:textId="77777777" w:rsidR="00D14C1C" w:rsidRDefault="00D14C1C">
          <w:pPr>
            <w:rPr>
              <w:rFonts w:cs="Arial"/>
              <w:szCs w:val="21"/>
            </w:rPr>
          </w:pPr>
          <w:r>
            <w:rPr>
              <w:rFonts w:cs="Arial" w:hint="eastAsia"/>
              <w:szCs w:val="21"/>
            </w:rPr>
            <w:t>对于纳入合并范围的重要的结构化主体，控制的依据：</w:t>
          </w:r>
        </w:p>
        <w:sdt>
          <w:sdtPr>
            <w:rPr>
              <w:rFonts w:cs="Arial" w:hint="eastAsia"/>
              <w:szCs w:val="21"/>
            </w:rPr>
            <w:alias w:val="对于纳入合并范围的重要的结构化主体，控制的依据"/>
            <w:tag w:val="_GBC_254d83ec47cd4003902f2d0f6017d432"/>
            <w:id w:val="-1140342897"/>
            <w:lock w:val="sdtLocked"/>
          </w:sdtPr>
          <w:sdtEndPr/>
          <w:sdtContent>
            <w:p w14:paraId="22DC6C2C" w14:textId="77777777" w:rsidR="00D14C1C" w:rsidRDefault="00D14C1C">
              <w:pPr>
                <w:rPr>
                  <w:rFonts w:cs="Arial"/>
                  <w:szCs w:val="21"/>
                </w:rPr>
              </w:pPr>
              <w:r>
                <w:rPr>
                  <w:rFonts w:cs="Arial" w:hint="eastAsia"/>
                  <w:szCs w:val="21"/>
                </w:rPr>
                <w:t>无</w:t>
              </w:r>
            </w:p>
          </w:sdtContent>
        </w:sdt>
        <w:p w14:paraId="7D2E862F" w14:textId="77777777" w:rsidR="00D14C1C" w:rsidRDefault="00D14C1C">
          <w:pPr>
            <w:rPr>
              <w:rFonts w:cs="Arial"/>
              <w:szCs w:val="21"/>
            </w:rPr>
          </w:pPr>
        </w:p>
        <w:p w14:paraId="7CDEADBC" w14:textId="77777777" w:rsidR="00D14C1C" w:rsidRDefault="00D14C1C">
          <w:pPr>
            <w:rPr>
              <w:rFonts w:cs="Arial"/>
              <w:szCs w:val="21"/>
            </w:rPr>
          </w:pPr>
          <w:r>
            <w:rPr>
              <w:rFonts w:cs="Arial" w:hint="eastAsia"/>
              <w:szCs w:val="21"/>
            </w:rPr>
            <w:t>确定公司是代理人还是委托人的依据：</w:t>
          </w:r>
        </w:p>
        <w:sdt>
          <w:sdtPr>
            <w:rPr>
              <w:rFonts w:cs="Arial" w:hint="eastAsia"/>
              <w:szCs w:val="21"/>
            </w:rPr>
            <w:alias w:val="确定公司是代理人还是委托人的依据"/>
            <w:tag w:val="_GBC_f515cb0c8a654271b5991b0accabe800"/>
            <w:id w:val="1540173455"/>
            <w:lock w:val="sdtLocked"/>
          </w:sdtPr>
          <w:sdtEndPr/>
          <w:sdtContent>
            <w:p w14:paraId="05BBFE76" w14:textId="77777777" w:rsidR="00D14C1C" w:rsidRDefault="00D14C1C">
              <w:pPr>
                <w:rPr>
                  <w:rFonts w:cs="Arial"/>
                  <w:szCs w:val="21"/>
                </w:rPr>
              </w:pPr>
              <w:r>
                <w:rPr>
                  <w:rFonts w:cs="Arial" w:hint="eastAsia"/>
                  <w:szCs w:val="21"/>
                </w:rPr>
                <w:t>无</w:t>
              </w:r>
            </w:p>
          </w:sdtContent>
        </w:sdt>
        <w:p w14:paraId="181D9D68" w14:textId="77777777" w:rsidR="00D14C1C" w:rsidRDefault="00D14C1C">
          <w:pPr>
            <w:rPr>
              <w:rFonts w:cs="Arial"/>
              <w:szCs w:val="21"/>
            </w:rPr>
          </w:pPr>
        </w:p>
        <w:p w14:paraId="432C5C86" w14:textId="77777777" w:rsidR="00D14C1C" w:rsidRDefault="00D14C1C">
          <w:pPr>
            <w:rPr>
              <w:rFonts w:cs="Arial"/>
              <w:szCs w:val="21"/>
            </w:rPr>
          </w:pPr>
          <w:r>
            <w:rPr>
              <w:rFonts w:cs="Arial" w:hint="eastAsia"/>
              <w:szCs w:val="21"/>
            </w:rPr>
            <w:t>其他说明：</w:t>
          </w:r>
        </w:p>
        <w:sdt>
          <w:sdtPr>
            <w:rPr>
              <w:rFonts w:cs="Arial"/>
              <w:szCs w:val="21"/>
            </w:rPr>
            <w:alias w:val="企业集团的构成的其他需要说明的事项"/>
            <w:tag w:val="_GBC_7dc3099f920f4546b2a983c0eb4c2ce0"/>
            <w:id w:val="1846123991"/>
            <w:lock w:val="sdtLocked"/>
          </w:sdtPr>
          <w:sdtEndPr/>
          <w:sdtContent>
            <w:p w14:paraId="17E64DEF" w14:textId="77777777" w:rsidR="00D14C1C" w:rsidRDefault="00D14C1C">
              <w:pPr>
                <w:rPr>
                  <w:rFonts w:cstheme="minorBidi"/>
                  <w:szCs w:val="21"/>
                </w:rPr>
              </w:pPr>
              <w:r>
                <w:rPr>
                  <w:rFonts w:cs="Arial"/>
                  <w:szCs w:val="21"/>
                </w:rPr>
                <w:t>无</w:t>
              </w:r>
            </w:p>
          </w:sdtContent>
        </w:sdt>
        <w:p w14:paraId="31480724" w14:textId="794887B6" w:rsidR="00471D53" w:rsidRDefault="00B664AF">
          <w:pPr>
            <w:rPr>
              <w:rFonts w:cstheme="minorBidi"/>
              <w:szCs w:val="21"/>
            </w:rPr>
          </w:pPr>
        </w:p>
      </w:sdtContent>
    </w:sdt>
    <w:bookmarkEnd w:id="228" w:displacedByCustomXml="prev"/>
    <w:bookmarkEnd w:id="229"/>
    <w:p w14:paraId="2CE8B391" w14:textId="77777777" w:rsidR="00471D53" w:rsidRDefault="00B664AF">
      <w:pPr>
        <w:rPr>
          <w:rFonts w:cs="Arial"/>
          <w:szCs w:val="21"/>
        </w:rPr>
      </w:pPr>
    </w:p>
    <w:bookmarkStart w:id="230" w:name="_Hlk79427546" w:displacedByCustomXml="next"/>
    <w:bookmarkStart w:id="231" w:name="_Hlk79427488" w:displacedByCustomXml="next"/>
    <w:sdt>
      <w:sdtPr>
        <w:rPr>
          <w:rFonts w:ascii="宋体" w:hAnsi="宋体" w:cs="Arial" w:hint="eastAsia"/>
          <w:b w:val="0"/>
          <w:bCs w:val="0"/>
          <w:kern w:val="0"/>
          <w:szCs w:val="21"/>
        </w:rPr>
        <w:alias w:val="模块:重要的非全资子公司"/>
        <w:tag w:val="_GBC_a2ec6e05ebd34d2fa14b1ba6b3ba8eb1"/>
        <w:id w:val="1222945539"/>
        <w:lock w:val="sdtLocked"/>
        <w:placeholder>
          <w:docPart w:val="GBC22222222222222222222222222222"/>
        </w:placeholder>
      </w:sdtPr>
      <w:sdtEndPr>
        <w:rPr>
          <w:rFonts w:hint="default"/>
        </w:rPr>
      </w:sdtEndPr>
      <w:sdtContent>
        <w:p w14:paraId="72F387C6" w14:textId="77777777" w:rsidR="00D14C1C" w:rsidRDefault="00D14C1C" w:rsidP="00D14C1C">
          <w:pPr>
            <w:pStyle w:val="4"/>
            <w:numPr>
              <w:ilvl w:val="3"/>
              <w:numId w:val="95"/>
            </w:numPr>
            <w:tabs>
              <w:tab w:val="left" w:pos="644"/>
            </w:tabs>
            <w:rPr>
              <w:rFonts w:ascii="宋体" w:hAnsi="宋体" w:cs="Arial"/>
              <w:szCs w:val="21"/>
            </w:rPr>
          </w:pPr>
          <w:r>
            <w:rPr>
              <w:rFonts w:ascii="宋体" w:hAnsi="宋体" w:cs="Arial" w:hint="eastAsia"/>
              <w:szCs w:val="21"/>
            </w:rPr>
            <w:t>重要的非全资子公司</w:t>
          </w:r>
        </w:p>
        <w:sdt>
          <w:sdtPr>
            <w:alias w:val="是否适用：重要的非全资子公司[双击切换]"/>
            <w:tag w:val="_GBC_b83f349d0d754e2d93b12d2112b4c3ec"/>
            <w:id w:val="-1240483959"/>
            <w:lock w:val="sdtLocked"/>
          </w:sdtPr>
          <w:sdtEndPr/>
          <w:sdtContent>
            <w:p w14:paraId="03ACB3C4" w14:textId="77777777" w:rsidR="00D14C1C" w:rsidRDefault="00D14C1C">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p w14:paraId="13790AFF" w14:textId="77777777" w:rsidR="00D14C1C" w:rsidRDefault="00D14C1C">
          <w:pPr>
            <w:jc w:val="right"/>
          </w:pPr>
          <w:r>
            <w:rPr>
              <w:rFonts w:hint="eastAsia"/>
            </w:rPr>
            <w:t>单位：</w:t>
          </w:r>
          <w:sdt>
            <w:sdtPr>
              <w:rPr>
                <w:rFonts w:hint="eastAsia"/>
              </w:rPr>
              <w:alias w:val="单位：财务附注：重要的非全资子公司"/>
              <w:tag w:val="_GBC_e5936e9952394755bacf71d437afcd44"/>
              <w:id w:val="24216220"/>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重要的非全资子公司"/>
              <w:tag w:val="_GBC_5ffac6aa0e464031b94de604fccc76c7"/>
              <w:id w:val="-1232619538"/>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571"/>
            <w:gridCol w:w="1769"/>
            <w:gridCol w:w="1889"/>
            <w:gridCol w:w="1894"/>
            <w:gridCol w:w="1700"/>
          </w:tblGrid>
          <w:tr w:rsidR="00D14C1C" w14:paraId="1590D77E" w14:textId="77777777" w:rsidTr="00250DBA">
            <w:trPr>
              <w:trHeight w:val="241"/>
            </w:trPr>
            <w:sdt>
              <w:sdtPr>
                <w:tag w:val="_PLD_214f5d23d0ff4cd08577f444026e3bf2"/>
                <w:id w:val="1376504595"/>
                <w:lock w:val="sdtLocked"/>
              </w:sdtPr>
              <w:sdtEndPr/>
              <w:sdtContent>
                <w:tc>
                  <w:tcPr>
                    <w:tcW w:w="890" w:type="pct"/>
                    <w:tcBorders>
                      <w:top w:val="single" w:sz="4" w:space="0" w:color="auto"/>
                      <w:left w:val="single" w:sz="4" w:space="0" w:color="auto"/>
                      <w:bottom w:val="single" w:sz="6" w:space="0" w:color="auto"/>
                      <w:right w:val="single" w:sz="6" w:space="0" w:color="auto"/>
                    </w:tcBorders>
                    <w:shd w:val="clear" w:color="auto" w:fill="auto"/>
                    <w:vAlign w:val="center"/>
                  </w:tcPr>
                  <w:p w14:paraId="339775E6" w14:textId="77777777" w:rsidR="00D14C1C" w:rsidRDefault="00D14C1C" w:rsidP="00250DBA">
                    <w:pPr>
                      <w:jc w:val="center"/>
                      <w:rPr>
                        <w:rFonts w:cs="Arial"/>
                        <w:szCs w:val="21"/>
                      </w:rPr>
                    </w:pPr>
                    <w:r>
                      <w:rPr>
                        <w:rFonts w:cs="Arial" w:hint="eastAsia"/>
                        <w:szCs w:val="21"/>
                        <w:lang w:val="en-GB"/>
                      </w:rPr>
                      <w:t>子公司名称</w:t>
                    </w:r>
                  </w:p>
                </w:tc>
              </w:sdtContent>
            </w:sdt>
            <w:sdt>
              <w:sdtPr>
                <w:tag w:val="_PLD_8f337a5f047e4f5eb2e03caf3b5ce2bb"/>
                <w:id w:val="-5435012"/>
                <w:lock w:val="sdtLocked"/>
              </w:sdtPr>
              <w:sdtEndPr/>
              <w:sdtContent>
                <w:tc>
                  <w:tcPr>
                    <w:tcW w:w="1002" w:type="pct"/>
                    <w:tcBorders>
                      <w:top w:val="single" w:sz="4" w:space="0" w:color="auto"/>
                      <w:left w:val="single" w:sz="6" w:space="0" w:color="auto"/>
                      <w:bottom w:val="single" w:sz="6" w:space="0" w:color="auto"/>
                      <w:right w:val="single" w:sz="6" w:space="0" w:color="auto"/>
                    </w:tcBorders>
                    <w:shd w:val="clear" w:color="auto" w:fill="auto"/>
                    <w:vAlign w:val="center"/>
                  </w:tcPr>
                  <w:p w14:paraId="5492C129" w14:textId="77777777" w:rsidR="00D14C1C" w:rsidRDefault="00D14C1C" w:rsidP="00250DBA">
                    <w:pPr>
                      <w:jc w:val="center"/>
                      <w:rPr>
                        <w:rFonts w:cs="Arial"/>
                        <w:bCs/>
                        <w:szCs w:val="21"/>
                        <w:lang w:val="en-GB"/>
                      </w:rPr>
                    </w:pPr>
                    <w:r>
                      <w:rPr>
                        <w:rFonts w:cs="Arial" w:hint="eastAsia"/>
                        <w:bCs/>
                        <w:szCs w:val="21"/>
                        <w:lang w:val="en-GB"/>
                      </w:rPr>
                      <w:t>少数股东持股</w:t>
                    </w:r>
                  </w:p>
                  <w:p w14:paraId="1D091C1C" w14:textId="77777777" w:rsidR="00D14C1C" w:rsidRDefault="00D14C1C" w:rsidP="00250DBA">
                    <w:pPr>
                      <w:jc w:val="center"/>
                      <w:rPr>
                        <w:rFonts w:cs="Arial"/>
                        <w:szCs w:val="21"/>
                      </w:rPr>
                    </w:pPr>
                    <w:r>
                      <w:rPr>
                        <w:rFonts w:cs="Arial" w:hint="eastAsia"/>
                        <w:bCs/>
                        <w:szCs w:val="21"/>
                        <w:lang w:val="en-GB"/>
                      </w:rPr>
                      <w:t>比例</w:t>
                    </w:r>
                    <w:r>
                      <w:rPr>
                        <w:rFonts w:hint="eastAsia"/>
                      </w:rPr>
                      <w:t>（%）</w:t>
                    </w:r>
                  </w:p>
                </w:tc>
              </w:sdtContent>
            </w:sdt>
            <w:sdt>
              <w:sdtPr>
                <w:tag w:val="_PLD_70aca7c8f09a4a579e632e06c25a6ab5"/>
                <w:id w:val="235677833"/>
                <w:lock w:val="sdtLocked"/>
              </w:sdtPr>
              <w:sdtEndPr/>
              <w:sdtContent>
                <w:tc>
                  <w:tcPr>
                    <w:tcW w:w="1070" w:type="pct"/>
                    <w:tcBorders>
                      <w:top w:val="single" w:sz="4" w:space="0" w:color="auto"/>
                      <w:left w:val="single" w:sz="6" w:space="0" w:color="auto"/>
                      <w:bottom w:val="single" w:sz="6" w:space="0" w:color="auto"/>
                      <w:right w:val="single" w:sz="6" w:space="0" w:color="auto"/>
                    </w:tcBorders>
                    <w:shd w:val="clear" w:color="auto" w:fill="auto"/>
                    <w:vAlign w:val="center"/>
                  </w:tcPr>
                  <w:p w14:paraId="01882C54" w14:textId="77777777" w:rsidR="00D14C1C" w:rsidRDefault="00D14C1C" w:rsidP="00250DBA">
                    <w:pPr>
                      <w:jc w:val="center"/>
                      <w:rPr>
                        <w:rFonts w:cs="Arial"/>
                        <w:szCs w:val="21"/>
                      </w:rPr>
                    </w:pPr>
                    <w:r>
                      <w:rPr>
                        <w:rFonts w:cs="Arial" w:hint="eastAsia"/>
                        <w:bCs/>
                        <w:szCs w:val="21"/>
                        <w:lang w:val="en-GB"/>
                      </w:rPr>
                      <w:t>本期归属于少数股东的损益</w:t>
                    </w:r>
                  </w:p>
                </w:tc>
              </w:sdtContent>
            </w:sdt>
            <w:sdt>
              <w:sdtPr>
                <w:tag w:val="_PLD_4154a89239e54416bb4c7ab182b0ae5a"/>
                <w:id w:val="1540858931"/>
                <w:lock w:val="sdtLocked"/>
              </w:sdtPr>
              <w:sdtEndPr/>
              <w:sdtContent>
                <w:tc>
                  <w:tcPr>
                    <w:tcW w:w="1073" w:type="pct"/>
                    <w:tcBorders>
                      <w:top w:val="single" w:sz="4" w:space="0" w:color="auto"/>
                      <w:left w:val="single" w:sz="6" w:space="0" w:color="auto"/>
                      <w:bottom w:val="single" w:sz="6" w:space="0" w:color="auto"/>
                      <w:right w:val="single" w:sz="6" w:space="0" w:color="auto"/>
                    </w:tcBorders>
                    <w:shd w:val="clear" w:color="auto" w:fill="auto"/>
                    <w:vAlign w:val="center"/>
                  </w:tcPr>
                  <w:p w14:paraId="601930EF" w14:textId="77777777" w:rsidR="00D14C1C" w:rsidRDefault="00D14C1C" w:rsidP="00250DBA">
                    <w:pPr>
                      <w:jc w:val="center"/>
                      <w:rPr>
                        <w:rFonts w:cs="Arial"/>
                        <w:szCs w:val="21"/>
                      </w:rPr>
                    </w:pPr>
                    <w:r>
                      <w:rPr>
                        <w:rFonts w:cs="Arial" w:hint="eastAsia"/>
                        <w:bCs/>
                        <w:szCs w:val="21"/>
                        <w:lang w:val="en-GB"/>
                      </w:rPr>
                      <w:t>本期向少数股东宣告分派的股利</w:t>
                    </w:r>
                  </w:p>
                </w:tc>
              </w:sdtContent>
            </w:sdt>
            <w:sdt>
              <w:sdtPr>
                <w:tag w:val="_PLD_cea34ef7af164cc8816d90890b528f36"/>
                <w:id w:val="-1812313597"/>
                <w:lock w:val="sdtLocked"/>
              </w:sdtPr>
              <w:sdtEndPr/>
              <w:sdtContent>
                <w:tc>
                  <w:tcPr>
                    <w:tcW w:w="963" w:type="pct"/>
                    <w:tcBorders>
                      <w:top w:val="single" w:sz="4" w:space="0" w:color="auto"/>
                      <w:left w:val="single" w:sz="6" w:space="0" w:color="auto"/>
                      <w:bottom w:val="single" w:sz="6" w:space="0" w:color="auto"/>
                      <w:right w:val="single" w:sz="4" w:space="0" w:color="auto"/>
                    </w:tcBorders>
                    <w:shd w:val="clear" w:color="auto" w:fill="auto"/>
                    <w:vAlign w:val="center"/>
                  </w:tcPr>
                  <w:p w14:paraId="4177374A" w14:textId="77777777" w:rsidR="00D14C1C" w:rsidRDefault="00D14C1C" w:rsidP="00250DBA">
                    <w:pPr>
                      <w:ind w:right="-16"/>
                      <w:jc w:val="center"/>
                      <w:rPr>
                        <w:rFonts w:cs="Arial"/>
                        <w:bCs/>
                        <w:szCs w:val="21"/>
                      </w:rPr>
                    </w:pPr>
                    <w:r>
                      <w:rPr>
                        <w:rFonts w:cs="Arial" w:hint="eastAsia"/>
                        <w:bCs/>
                        <w:szCs w:val="21"/>
                        <w:lang w:val="en-GB"/>
                      </w:rPr>
                      <w:t>期末少数股东权益余额</w:t>
                    </w:r>
                  </w:p>
                </w:tc>
              </w:sdtContent>
            </w:sdt>
          </w:tr>
          <w:sdt>
            <w:sdtPr>
              <w:rPr>
                <w:szCs w:val="21"/>
              </w:rPr>
              <w:alias w:val="重要的非全资子公司明细"/>
              <w:tag w:val="_GBC_786318b12f804986888adc0492796ebd"/>
              <w:id w:val="-1605115938"/>
              <w:lock w:val="sdtLocked"/>
              <w:placeholder>
                <w:docPart w:val="0CA56487021F4366A71982D1A3108141"/>
              </w:placeholder>
            </w:sdtPr>
            <w:sdtEndPr/>
            <w:sdtContent>
              <w:tr w:rsidR="00D14C1C" w14:paraId="0B504D94" w14:textId="77777777" w:rsidTr="00250DBA">
                <w:tc>
                  <w:tcPr>
                    <w:tcW w:w="890" w:type="pct"/>
                    <w:tcBorders>
                      <w:top w:val="single" w:sz="6" w:space="0" w:color="auto"/>
                      <w:left w:val="single" w:sz="4" w:space="0" w:color="auto"/>
                      <w:bottom w:val="single" w:sz="4" w:space="0" w:color="auto"/>
                      <w:right w:val="single" w:sz="6" w:space="0" w:color="auto"/>
                    </w:tcBorders>
                  </w:tcPr>
                  <w:p w14:paraId="70A7CCCB" w14:textId="77777777" w:rsidR="00D14C1C" w:rsidRDefault="00D14C1C" w:rsidP="00250DBA">
                    <w:pPr>
                      <w:rPr>
                        <w:szCs w:val="21"/>
                      </w:rPr>
                    </w:pPr>
                    <w:r>
                      <w:t>北京明晖天海气体储运装备销售有限公司</w:t>
                    </w:r>
                  </w:p>
                </w:tc>
                <w:tc>
                  <w:tcPr>
                    <w:tcW w:w="1002" w:type="pct"/>
                    <w:tcBorders>
                      <w:top w:val="single" w:sz="6" w:space="0" w:color="auto"/>
                      <w:left w:val="single" w:sz="6" w:space="0" w:color="auto"/>
                      <w:bottom w:val="single" w:sz="4" w:space="0" w:color="auto"/>
                      <w:right w:val="single" w:sz="6" w:space="0" w:color="auto"/>
                    </w:tcBorders>
                  </w:tcPr>
                  <w:p w14:paraId="706887A5" w14:textId="77777777" w:rsidR="00D14C1C" w:rsidRDefault="00D14C1C" w:rsidP="00250DBA">
                    <w:pPr>
                      <w:jc w:val="right"/>
                      <w:rPr>
                        <w:szCs w:val="21"/>
                      </w:rPr>
                    </w:pPr>
                    <w:r>
                      <w:t>61.49</w:t>
                    </w:r>
                  </w:p>
                </w:tc>
                <w:tc>
                  <w:tcPr>
                    <w:tcW w:w="1070" w:type="pct"/>
                    <w:tcBorders>
                      <w:top w:val="single" w:sz="6" w:space="0" w:color="auto"/>
                      <w:left w:val="single" w:sz="6" w:space="0" w:color="auto"/>
                      <w:bottom w:val="single" w:sz="4" w:space="0" w:color="auto"/>
                      <w:right w:val="single" w:sz="6" w:space="0" w:color="auto"/>
                    </w:tcBorders>
                  </w:tcPr>
                  <w:p w14:paraId="7528C78A" w14:textId="77777777" w:rsidR="00D14C1C" w:rsidRDefault="00D14C1C" w:rsidP="00250DBA">
                    <w:pPr>
                      <w:jc w:val="right"/>
                      <w:rPr>
                        <w:szCs w:val="21"/>
                      </w:rPr>
                    </w:pPr>
                    <w:r>
                      <w:t>-102,665.29</w:t>
                    </w:r>
                  </w:p>
                </w:tc>
                <w:tc>
                  <w:tcPr>
                    <w:tcW w:w="1073" w:type="pct"/>
                    <w:tcBorders>
                      <w:top w:val="single" w:sz="6" w:space="0" w:color="auto"/>
                      <w:left w:val="single" w:sz="6" w:space="0" w:color="auto"/>
                      <w:bottom w:val="single" w:sz="4" w:space="0" w:color="auto"/>
                      <w:right w:val="single" w:sz="6" w:space="0" w:color="auto"/>
                    </w:tcBorders>
                  </w:tcPr>
                  <w:p w14:paraId="387BEA0D" w14:textId="77777777" w:rsidR="00D14C1C" w:rsidRDefault="00D14C1C" w:rsidP="00250DBA">
                    <w:pPr>
                      <w:jc w:val="right"/>
                      <w:rPr>
                        <w:szCs w:val="21"/>
                      </w:rPr>
                    </w:pPr>
                  </w:p>
                </w:tc>
                <w:tc>
                  <w:tcPr>
                    <w:tcW w:w="963" w:type="pct"/>
                    <w:tcBorders>
                      <w:top w:val="single" w:sz="6" w:space="0" w:color="auto"/>
                      <w:left w:val="single" w:sz="6" w:space="0" w:color="auto"/>
                      <w:bottom w:val="single" w:sz="4" w:space="0" w:color="auto"/>
                      <w:right w:val="single" w:sz="4" w:space="0" w:color="auto"/>
                    </w:tcBorders>
                  </w:tcPr>
                  <w:p w14:paraId="04CEC460" w14:textId="77777777" w:rsidR="00D14C1C" w:rsidRDefault="00D14C1C" w:rsidP="00250DBA">
                    <w:pPr>
                      <w:jc w:val="right"/>
                      <w:rPr>
                        <w:szCs w:val="21"/>
                      </w:rPr>
                    </w:pPr>
                    <w:r>
                      <w:t>200,260,721.03</w:t>
                    </w:r>
                  </w:p>
                </w:tc>
              </w:tr>
            </w:sdtContent>
          </w:sdt>
          <w:sdt>
            <w:sdtPr>
              <w:rPr>
                <w:szCs w:val="21"/>
              </w:rPr>
              <w:alias w:val="重要的非全资子公司明细"/>
              <w:tag w:val="_GBC_786318b12f804986888adc0492796ebd"/>
              <w:id w:val="-1581136449"/>
              <w:lock w:val="sdtLocked"/>
              <w:placeholder>
                <w:docPart w:val="43EBC70C8F6D47029DD90B93C55A14C4"/>
              </w:placeholder>
            </w:sdtPr>
            <w:sdtEndPr/>
            <w:sdtContent>
              <w:tr w:rsidR="00D14C1C" w14:paraId="0851B1AE" w14:textId="77777777" w:rsidTr="00250DBA">
                <w:tc>
                  <w:tcPr>
                    <w:tcW w:w="890" w:type="pct"/>
                    <w:tcBorders>
                      <w:top w:val="single" w:sz="6" w:space="0" w:color="auto"/>
                      <w:left w:val="single" w:sz="4" w:space="0" w:color="auto"/>
                      <w:bottom w:val="single" w:sz="4" w:space="0" w:color="auto"/>
                      <w:right w:val="single" w:sz="6" w:space="0" w:color="auto"/>
                    </w:tcBorders>
                  </w:tcPr>
                  <w:p w14:paraId="22BCCACF" w14:textId="77777777" w:rsidR="00D14C1C" w:rsidRDefault="00D14C1C" w:rsidP="00250DBA">
                    <w:pPr>
                      <w:rPr>
                        <w:szCs w:val="21"/>
                      </w:rPr>
                    </w:pPr>
                    <w:r>
                      <w:t>北京天海低温设备有限公司</w:t>
                    </w:r>
                  </w:p>
                </w:tc>
                <w:tc>
                  <w:tcPr>
                    <w:tcW w:w="1002" w:type="pct"/>
                    <w:tcBorders>
                      <w:top w:val="single" w:sz="6" w:space="0" w:color="auto"/>
                      <w:left w:val="single" w:sz="6" w:space="0" w:color="auto"/>
                      <w:bottom w:val="single" w:sz="4" w:space="0" w:color="auto"/>
                      <w:right w:val="single" w:sz="6" w:space="0" w:color="auto"/>
                    </w:tcBorders>
                  </w:tcPr>
                  <w:p w14:paraId="3FBD28D6" w14:textId="77777777" w:rsidR="00D14C1C" w:rsidRDefault="00D14C1C" w:rsidP="00250DBA">
                    <w:pPr>
                      <w:jc w:val="right"/>
                      <w:rPr>
                        <w:szCs w:val="21"/>
                      </w:rPr>
                    </w:pPr>
                    <w:r>
                      <w:t>25.00</w:t>
                    </w:r>
                  </w:p>
                </w:tc>
                <w:tc>
                  <w:tcPr>
                    <w:tcW w:w="1070" w:type="pct"/>
                    <w:tcBorders>
                      <w:top w:val="single" w:sz="6" w:space="0" w:color="auto"/>
                      <w:left w:val="single" w:sz="6" w:space="0" w:color="auto"/>
                      <w:bottom w:val="single" w:sz="4" w:space="0" w:color="auto"/>
                      <w:right w:val="single" w:sz="6" w:space="0" w:color="auto"/>
                    </w:tcBorders>
                  </w:tcPr>
                  <w:p w14:paraId="56D47813" w14:textId="77777777" w:rsidR="00D14C1C" w:rsidRDefault="00D14C1C" w:rsidP="00250DBA">
                    <w:pPr>
                      <w:jc w:val="right"/>
                      <w:rPr>
                        <w:szCs w:val="21"/>
                      </w:rPr>
                    </w:pPr>
                    <w:r>
                      <w:t>-148,255.71</w:t>
                    </w:r>
                  </w:p>
                </w:tc>
                <w:tc>
                  <w:tcPr>
                    <w:tcW w:w="1073" w:type="pct"/>
                    <w:tcBorders>
                      <w:top w:val="single" w:sz="6" w:space="0" w:color="auto"/>
                      <w:left w:val="single" w:sz="6" w:space="0" w:color="auto"/>
                      <w:bottom w:val="single" w:sz="4" w:space="0" w:color="auto"/>
                      <w:right w:val="single" w:sz="6" w:space="0" w:color="auto"/>
                    </w:tcBorders>
                  </w:tcPr>
                  <w:p w14:paraId="300F650B" w14:textId="77777777" w:rsidR="00D14C1C" w:rsidRDefault="00D14C1C" w:rsidP="00250DBA">
                    <w:pPr>
                      <w:jc w:val="right"/>
                      <w:rPr>
                        <w:szCs w:val="21"/>
                      </w:rPr>
                    </w:pPr>
                  </w:p>
                </w:tc>
                <w:tc>
                  <w:tcPr>
                    <w:tcW w:w="963" w:type="pct"/>
                    <w:tcBorders>
                      <w:top w:val="single" w:sz="6" w:space="0" w:color="auto"/>
                      <w:left w:val="single" w:sz="6" w:space="0" w:color="auto"/>
                      <w:bottom w:val="single" w:sz="4" w:space="0" w:color="auto"/>
                      <w:right w:val="single" w:sz="4" w:space="0" w:color="auto"/>
                    </w:tcBorders>
                  </w:tcPr>
                  <w:p w14:paraId="59A41F4D" w14:textId="77777777" w:rsidR="00D14C1C" w:rsidRDefault="00D14C1C" w:rsidP="00250DBA">
                    <w:pPr>
                      <w:jc w:val="right"/>
                      <w:rPr>
                        <w:szCs w:val="21"/>
                      </w:rPr>
                    </w:pPr>
                    <w:r>
                      <w:t>-11,564,519.74</w:t>
                    </w:r>
                  </w:p>
                </w:tc>
              </w:tr>
            </w:sdtContent>
          </w:sdt>
          <w:sdt>
            <w:sdtPr>
              <w:rPr>
                <w:szCs w:val="21"/>
              </w:rPr>
              <w:alias w:val="重要的非全资子公司明细"/>
              <w:tag w:val="_GBC_786318b12f804986888adc0492796ebd"/>
              <w:id w:val="-1935891364"/>
              <w:lock w:val="sdtLocked"/>
              <w:placeholder>
                <w:docPart w:val="43EBC70C8F6D47029DD90B93C55A14C4"/>
              </w:placeholder>
            </w:sdtPr>
            <w:sdtEndPr/>
            <w:sdtContent>
              <w:tr w:rsidR="00D14C1C" w14:paraId="742628F4" w14:textId="77777777" w:rsidTr="00250DBA">
                <w:tc>
                  <w:tcPr>
                    <w:tcW w:w="890" w:type="pct"/>
                    <w:tcBorders>
                      <w:top w:val="single" w:sz="6" w:space="0" w:color="auto"/>
                      <w:left w:val="single" w:sz="4" w:space="0" w:color="auto"/>
                      <w:bottom w:val="single" w:sz="4" w:space="0" w:color="auto"/>
                      <w:right w:val="single" w:sz="6" w:space="0" w:color="auto"/>
                    </w:tcBorders>
                  </w:tcPr>
                  <w:p w14:paraId="411A187B" w14:textId="77777777" w:rsidR="00D14C1C" w:rsidRDefault="00D14C1C" w:rsidP="00250DBA">
                    <w:pPr>
                      <w:rPr>
                        <w:szCs w:val="21"/>
                      </w:rPr>
                    </w:pPr>
                    <w:r>
                      <w:t>天海美洲公司</w:t>
                    </w:r>
                  </w:p>
                </w:tc>
                <w:tc>
                  <w:tcPr>
                    <w:tcW w:w="1002" w:type="pct"/>
                    <w:tcBorders>
                      <w:top w:val="single" w:sz="6" w:space="0" w:color="auto"/>
                      <w:left w:val="single" w:sz="6" w:space="0" w:color="auto"/>
                      <w:bottom w:val="single" w:sz="4" w:space="0" w:color="auto"/>
                      <w:right w:val="single" w:sz="6" w:space="0" w:color="auto"/>
                    </w:tcBorders>
                  </w:tcPr>
                  <w:p w14:paraId="212A1056" w14:textId="77777777" w:rsidR="00D14C1C" w:rsidRDefault="00D14C1C" w:rsidP="00250DBA">
                    <w:pPr>
                      <w:jc w:val="right"/>
                      <w:rPr>
                        <w:szCs w:val="21"/>
                      </w:rPr>
                    </w:pPr>
                    <w:r>
                      <w:t>10.00</w:t>
                    </w:r>
                  </w:p>
                </w:tc>
                <w:tc>
                  <w:tcPr>
                    <w:tcW w:w="1070" w:type="pct"/>
                    <w:tcBorders>
                      <w:top w:val="single" w:sz="6" w:space="0" w:color="auto"/>
                      <w:left w:val="single" w:sz="6" w:space="0" w:color="auto"/>
                      <w:bottom w:val="single" w:sz="4" w:space="0" w:color="auto"/>
                      <w:right w:val="single" w:sz="6" w:space="0" w:color="auto"/>
                    </w:tcBorders>
                  </w:tcPr>
                  <w:p w14:paraId="65C16B10" w14:textId="77777777" w:rsidR="00D14C1C" w:rsidRDefault="00D14C1C" w:rsidP="00250DBA">
                    <w:pPr>
                      <w:jc w:val="right"/>
                      <w:rPr>
                        <w:szCs w:val="21"/>
                      </w:rPr>
                    </w:pPr>
                    <w:r>
                      <w:t>338,145.61</w:t>
                    </w:r>
                  </w:p>
                </w:tc>
                <w:tc>
                  <w:tcPr>
                    <w:tcW w:w="1073" w:type="pct"/>
                    <w:tcBorders>
                      <w:top w:val="single" w:sz="6" w:space="0" w:color="auto"/>
                      <w:left w:val="single" w:sz="6" w:space="0" w:color="auto"/>
                      <w:bottom w:val="single" w:sz="4" w:space="0" w:color="auto"/>
                      <w:right w:val="single" w:sz="6" w:space="0" w:color="auto"/>
                    </w:tcBorders>
                  </w:tcPr>
                  <w:p w14:paraId="48352B04" w14:textId="77777777" w:rsidR="00D14C1C" w:rsidRDefault="00D14C1C" w:rsidP="00250DBA">
                    <w:pPr>
                      <w:jc w:val="right"/>
                      <w:rPr>
                        <w:szCs w:val="21"/>
                      </w:rPr>
                    </w:pPr>
                  </w:p>
                </w:tc>
                <w:tc>
                  <w:tcPr>
                    <w:tcW w:w="963" w:type="pct"/>
                    <w:tcBorders>
                      <w:top w:val="single" w:sz="6" w:space="0" w:color="auto"/>
                      <w:left w:val="single" w:sz="6" w:space="0" w:color="auto"/>
                      <w:bottom w:val="single" w:sz="4" w:space="0" w:color="auto"/>
                      <w:right w:val="single" w:sz="4" w:space="0" w:color="auto"/>
                    </w:tcBorders>
                  </w:tcPr>
                  <w:p w14:paraId="3AC00900" w14:textId="77777777" w:rsidR="00D14C1C" w:rsidRDefault="00D14C1C" w:rsidP="00250DBA">
                    <w:pPr>
                      <w:jc w:val="right"/>
                      <w:rPr>
                        <w:szCs w:val="21"/>
                      </w:rPr>
                    </w:pPr>
                    <w:r>
                      <w:t>2,600,789.41</w:t>
                    </w:r>
                  </w:p>
                </w:tc>
              </w:tr>
            </w:sdtContent>
          </w:sdt>
          <w:sdt>
            <w:sdtPr>
              <w:rPr>
                <w:szCs w:val="21"/>
              </w:rPr>
              <w:alias w:val="重要的非全资子公司明细"/>
              <w:tag w:val="_GBC_786318b12f804986888adc0492796ebd"/>
              <w:id w:val="-1011303018"/>
              <w:lock w:val="sdtLocked"/>
              <w:placeholder>
                <w:docPart w:val="43EBC70C8F6D47029DD90B93C55A14C4"/>
              </w:placeholder>
            </w:sdtPr>
            <w:sdtEndPr/>
            <w:sdtContent>
              <w:tr w:rsidR="00D14C1C" w14:paraId="482C37AA" w14:textId="77777777" w:rsidTr="00250DBA">
                <w:tc>
                  <w:tcPr>
                    <w:tcW w:w="890" w:type="pct"/>
                    <w:tcBorders>
                      <w:top w:val="single" w:sz="6" w:space="0" w:color="auto"/>
                      <w:left w:val="single" w:sz="4" w:space="0" w:color="auto"/>
                      <w:bottom w:val="single" w:sz="4" w:space="0" w:color="auto"/>
                      <w:right w:val="single" w:sz="6" w:space="0" w:color="auto"/>
                    </w:tcBorders>
                  </w:tcPr>
                  <w:p w14:paraId="76FDFE51" w14:textId="77777777" w:rsidR="00D14C1C" w:rsidRDefault="00D14C1C" w:rsidP="00250DBA">
                    <w:pPr>
                      <w:rPr>
                        <w:szCs w:val="21"/>
                      </w:rPr>
                    </w:pPr>
                    <w:r>
                      <w:t>上海天海复合气瓶有限公司</w:t>
                    </w:r>
                  </w:p>
                </w:tc>
                <w:tc>
                  <w:tcPr>
                    <w:tcW w:w="1002" w:type="pct"/>
                    <w:tcBorders>
                      <w:top w:val="single" w:sz="6" w:space="0" w:color="auto"/>
                      <w:left w:val="single" w:sz="6" w:space="0" w:color="auto"/>
                      <w:bottom w:val="single" w:sz="4" w:space="0" w:color="auto"/>
                      <w:right w:val="single" w:sz="6" w:space="0" w:color="auto"/>
                    </w:tcBorders>
                  </w:tcPr>
                  <w:p w14:paraId="09125600" w14:textId="77777777" w:rsidR="00D14C1C" w:rsidRDefault="00D14C1C" w:rsidP="00250DBA">
                    <w:pPr>
                      <w:jc w:val="right"/>
                      <w:rPr>
                        <w:szCs w:val="21"/>
                      </w:rPr>
                    </w:pPr>
                    <w:r>
                      <w:t>12.16</w:t>
                    </w:r>
                  </w:p>
                </w:tc>
                <w:tc>
                  <w:tcPr>
                    <w:tcW w:w="1070" w:type="pct"/>
                    <w:tcBorders>
                      <w:top w:val="single" w:sz="6" w:space="0" w:color="auto"/>
                      <w:left w:val="single" w:sz="6" w:space="0" w:color="auto"/>
                      <w:bottom w:val="single" w:sz="4" w:space="0" w:color="auto"/>
                      <w:right w:val="single" w:sz="6" w:space="0" w:color="auto"/>
                    </w:tcBorders>
                  </w:tcPr>
                  <w:p w14:paraId="1F79F91F" w14:textId="77777777" w:rsidR="00D14C1C" w:rsidRDefault="00D14C1C" w:rsidP="00250DBA">
                    <w:pPr>
                      <w:jc w:val="right"/>
                      <w:rPr>
                        <w:szCs w:val="21"/>
                      </w:rPr>
                    </w:pPr>
                    <w:r>
                      <w:t>233,860.68</w:t>
                    </w:r>
                  </w:p>
                </w:tc>
                <w:tc>
                  <w:tcPr>
                    <w:tcW w:w="1073" w:type="pct"/>
                    <w:tcBorders>
                      <w:top w:val="single" w:sz="6" w:space="0" w:color="auto"/>
                      <w:left w:val="single" w:sz="6" w:space="0" w:color="auto"/>
                      <w:bottom w:val="single" w:sz="4" w:space="0" w:color="auto"/>
                      <w:right w:val="single" w:sz="6" w:space="0" w:color="auto"/>
                    </w:tcBorders>
                  </w:tcPr>
                  <w:p w14:paraId="2556D9CE" w14:textId="77777777" w:rsidR="00D14C1C" w:rsidRDefault="00D14C1C" w:rsidP="00250DBA">
                    <w:pPr>
                      <w:jc w:val="right"/>
                      <w:rPr>
                        <w:szCs w:val="21"/>
                      </w:rPr>
                    </w:pPr>
                  </w:p>
                </w:tc>
                <w:tc>
                  <w:tcPr>
                    <w:tcW w:w="963" w:type="pct"/>
                    <w:tcBorders>
                      <w:top w:val="single" w:sz="6" w:space="0" w:color="auto"/>
                      <w:left w:val="single" w:sz="6" w:space="0" w:color="auto"/>
                      <w:bottom w:val="single" w:sz="4" w:space="0" w:color="auto"/>
                      <w:right w:val="single" w:sz="4" w:space="0" w:color="auto"/>
                    </w:tcBorders>
                  </w:tcPr>
                  <w:p w14:paraId="0FEE6884" w14:textId="77777777" w:rsidR="00D14C1C" w:rsidRDefault="00D14C1C" w:rsidP="00250DBA">
                    <w:pPr>
                      <w:jc w:val="right"/>
                      <w:rPr>
                        <w:szCs w:val="21"/>
                      </w:rPr>
                    </w:pPr>
                    <w:r>
                      <w:t>6,950,105.21</w:t>
                    </w:r>
                  </w:p>
                </w:tc>
              </w:tr>
            </w:sdtContent>
          </w:sdt>
          <w:sdt>
            <w:sdtPr>
              <w:rPr>
                <w:szCs w:val="21"/>
              </w:rPr>
              <w:alias w:val="重要的非全资子公司明细"/>
              <w:tag w:val="_GBC_786318b12f804986888adc0492796ebd"/>
              <w:id w:val="-1947537240"/>
              <w:lock w:val="sdtLocked"/>
              <w:placeholder>
                <w:docPart w:val="43EBC70C8F6D47029DD90B93C55A14C4"/>
              </w:placeholder>
            </w:sdtPr>
            <w:sdtEndPr/>
            <w:sdtContent>
              <w:tr w:rsidR="00D14C1C" w14:paraId="66CD4205" w14:textId="77777777" w:rsidTr="00250DBA">
                <w:tc>
                  <w:tcPr>
                    <w:tcW w:w="890" w:type="pct"/>
                    <w:tcBorders>
                      <w:top w:val="single" w:sz="6" w:space="0" w:color="auto"/>
                      <w:left w:val="single" w:sz="4" w:space="0" w:color="auto"/>
                      <w:bottom w:val="single" w:sz="4" w:space="0" w:color="auto"/>
                      <w:right w:val="single" w:sz="6" w:space="0" w:color="auto"/>
                    </w:tcBorders>
                  </w:tcPr>
                  <w:p w14:paraId="636058EF" w14:textId="77777777" w:rsidR="00D14C1C" w:rsidRDefault="00D14C1C" w:rsidP="00250DBA">
                    <w:pPr>
                      <w:rPr>
                        <w:szCs w:val="21"/>
                      </w:rPr>
                    </w:pPr>
                    <w:r>
                      <w:t>天津天海高压容器有限责任公司</w:t>
                    </w:r>
                  </w:p>
                </w:tc>
                <w:tc>
                  <w:tcPr>
                    <w:tcW w:w="1002" w:type="pct"/>
                    <w:tcBorders>
                      <w:top w:val="single" w:sz="6" w:space="0" w:color="auto"/>
                      <w:left w:val="single" w:sz="6" w:space="0" w:color="auto"/>
                      <w:bottom w:val="single" w:sz="4" w:space="0" w:color="auto"/>
                      <w:right w:val="single" w:sz="6" w:space="0" w:color="auto"/>
                    </w:tcBorders>
                  </w:tcPr>
                  <w:p w14:paraId="0240C369" w14:textId="77777777" w:rsidR="00D14C1C" w:rsidRDefault="00D14C1C" w:rsidP="00250DBA">
                    <w:pPr>
                      <w:jc w:val="right"/>
                      <w:rPr>
                        <w:szCs w:val="21"/>
                      </w:rPr>
                    </w:pPr>
                    <w:r>
                      <w:t>45.00</w:t>
                    </w:r>
                  </w:p>
                </w:tc>
                <w:tc>
                  <w:tcPr>
                    <w:tcW w:w="1070" w:type="pct"/>
                    <w:tcBorders>
                      <w:top w:val="single" w:sz="6" w:space="0" w:color="auto"/>
                      <w:left w:val="single" w:sz="6" w:space="0" w:color="auto"/>
                      <w:bottom w:val="single" w:sz="4" w:space="0" w:color="auto"/>
                      <w:right w:val="single" w:sz="6" w:space="0" w:color="auto"/>
                    </w:tcBorders>
                  </w:tcPr>
                  <w:p w14:paraId="09954CEB" w14:textId="77777777" w:rsidR="00D14C1C" w:rsidRDefault="00D14C1C" w:rsidP="00250DBA">
                    <w:pPr>
                      <w:jc w:val="right"/>
                      <w:rPr>
                        <w:szCs w:val="21"/>
                      </w:rPr>
                    </w:pPr>
                    <w:r>
                      <w:t>1,832,340.74</w:t>
                    </w:r>
                  </w:p>
                </w:tc>
                <w:tc>
                  <w:tcPr>
                    <w:tcW w:w="1073" w:type="pct"/>
                    <w:tcBorders>
                      <w:top w:val="single" w:sz="6" w:space="0" w:color="auto"/>
                      <w:left w:val="single" w:sz="6" w:space="0" w:color="auto"/>
                      <w:bottom w:val="single" w:sz="4" w:space="0" w:color="auto"/>
                      <w:right w:val="single" w:sz="6" w:space="0" w:color="auto"/>
                    </w:tcBorders>
                  </w:tcPr>
                  <w:p w14:paraId="3FB48893" w14:textId="77777777" w:rsidR="00D14C1C" w:rsidRDefault="00D14C1C" w:rsidP="00250DBA">
                    <w:pPr>
                      <w:jc w:val="right"/>
                      <w:rPr>
                        <w:szCs w:val="21"/>
                      </w:rPr>
                    </w:pPr>
                  </w:p>
                </w:tc>
                <w:tc>
                  <w:tcPr>
                    <w:tcW w:w="963" w:type="pct"/>
                    <w:tcBorders>
                      <w:top w:val="single" w:sz="6" w:space="0" w:color="auto"/>
                      <w:left w:val="single" w:sz="6" w:space="0" w:color="auto"/>
                      <w:bottom w:val="single" w:sz="4" w:space="0" w:color="auto"/>
                      <w:right w:val="single" w:sz="4" w:space="0" w:color="auto"/>
                    </w:tcBorders>
                  </w:tcPr>
                  <w:p w14:paraId="0BE83887" w14:textId="77777777" w:rsidR="00D14C1C" w:rsidRDefault="00D14C1C" w:rsidP="00250DBA">
                    <w:pPr>
                      <w:jc w:val="right"/>
                      <w:rPr>
                        <w:szCs w:val="21"/>
                      </w:rPr>
                    </w:pPr>
                    <w:r>
                      <w:t>84,192,536.99</w:t>
                    </w:r>
                  </w:p>
                </w:tc>
              </w:tr>
            </w:sdtContent>
          </w:sdt>
          <w:sdt>
            <w:sdtPr>
              <w:rPr>
                <w:szCs w:val="21"/>
              </w:rPr>
              <w:alias w:val="重要的非全资子公司明细"/>
              <w:tag w:val="_GBC_786318b12f804986888adc0492796ebd"/>
              <w:id w:val="-996423376"/>
              <w:lock w:val="sdtLocked"/>
              <w:placeholder>
                <w:docPart w:val="43EBC70C8F6D47029DD90B93C55A14C4"/>
              </w:placeholder>
            </w:sdtPr>
            <w:sdtEndPr/>
            <w:sdtContent>
              <w:tr w:rsidR="00D14C1C" w14:paraId="36F9AC10" w14:textId="77777777" w:rsidTr="00250DBA">
                <w:tc>
                  <w:tcPr>
                    <w:tcW w:w="890" w:type="pct"/>
                    <w:tcBorders>
                      <w:top w:val="single" w:sz="6" w:space="0" w:color="auto"/>
                      <w:left w:val="single" w:sz="4" w:space="0" w:color="auto"/>
                      <w:bottom w:val="single" w:sz="4" w:space="0" w:color="auto"/>
                      <w:right w:val="single" w:sz="6" w:space="0" w:color="auto"/>
                    </w:tcBorders>
                  </w:tcPr>
                  <w:p w14:paraId="6B6AB5BF" w14:textId="77777777" w:rsidR="00D14C1C" w:rsidRDefault="00D14C1C" w:rsidP="00250DBA">
                    <w:pPr>
                      <w:rPr>
                        <w:szCs w:val="21"/>
                      </w:rPr>
                    </w:pPr>
                    <w:r>
                      <w:t>宽城天海压力容器有限公司</w:t>
                    </w:r>
                  </w:p>
                </w:tc>
                <w:tc>
                  <w:tcPr>
                    <w:tcW w:w="1002" w:type="pct"/>
                    <w:tcBorders>
                      <w:top w:val="single" w:sz="6" w:space="0" w:color="auto"/>
                      <w:left w:val="single" w:sz="6" w:space="0" w:color="auto"/>
                      <w:bottom w:val="single" w:sz="4" w:space="0" w:color="auto"/>
                      <w:right w:val="single" w:sz="6" w:space="0" w:color="auto"/>
                    </w:tcBorders>
                  </w:tcPr>
                  <w:p w14:paraId="77CB4ADB" w14:textId="77777777" w:rsidR="00D14C1C" w:rsidRDefault="00D14C1C" w:rsidP="00250DBA">
                    <w:pPr>
                      <w:jc w:val="right"/>
                      <w:rPr>
                        <w:szCs w:val="21"/>
                      </w:rPr>
                    </w:pPr>
                    <w:r>
                      <w:t>38.90</w:t>
                    </w:r>
                  </w:p>
                </w:tc>
                <w:tc>
                  <w:tcPr>
                    <w:tcW w:w="1070" w:type="pct"/>
                    <w:tcBorders>
                      <w:top w:val="single" w:sz="6" w:space="0" w:color="auto"/>
                      <w:left w:val="single" w:sz="6" w:space="0" w:color="auto"/>
                      <w:bottom w:val="single" w:sz="4" w:space="0" w:color="auto"/>
                      <w:right w:val="single" w:sz="6" w:space="0" w:color="auto"/>
                    </w:tcBorders>
                  </w:tcPr>
                  <w:p w14:paraId="4D03B81B" w14:textId="77777777" w:rsidR="00D14C1C" w:rsidRDefault="00D14C1C" w:rsidP="00250DBA">
                    <w:pPr>
                      <w:jc w:val="right"/>
                      <w:rPr>
                        <w:szCs w:val="21"/>
                      </w:rPr>
                    </w:pPr>
                    <w:r>
                      <w:t>-1,458,882.49</w:t>
                    </w:r>
                  </w:p>
                </w:tc>
                <w:tc>
                  <w:tcPr>
                    <w:tcW w:w="1073" w:type="pct"/>
                    <w:tcBorders>
                      <w:top w:val="single" w:sz="6" w:space="0" w:color="auto"/>
                      <w:left w:val="single" w:sz="6" w:space="0" w:color="auto"/>
                      <w:bottom w:val="single" w:sz="4" w:space="0" w:color="auto"/>
                      <w:right w:val="single" w:sz="6" w:space="0" w:color="auto"/>
                    </w:tcBorders>
                  </w:tcPr>
                  <w:p w14:paraId="22BACA16" w14:textId="77777777" w:rsidR="00D14C1C" w:rsidRDefault="00D14C1C" w:rsidP="00250DBA">
                    <w:pPr>
                      <w:jc w:val="right"/>
                      <w:rPr>
                        <w:szCs w:val="21"/>
                      </w:rPr>
                    </w:pPr>
                  </w:p>
                </w:tc>
                <w:tc>
                  <w:tcPr>
                    <w:tcW w:w="963" w:type="pct"/>
                    <w:tcBorders>
                      <w:top w:val="single" w:sz="6" w:space="0" w:color="auto"/>
                      <w:left w:val="single" w:sz="6" w:space="0" w:color="auto"/>
                      <w:bottom w:val="single" w:sz="4" w:space="0" w:color="auto"/>
                      <w:right w:val="single" w:sz="4" w:space="0" w:color="auto"/>
                    </w:tcBorders>
                  </w:tcPr>
                  <w:p w14:paraId="72E78581" w14:textId="77777777" w:rsidR="00D14C1C" w:rsidRDefault="00D14C1C" w:rsidP="00250DBA">
                    <w:pPr>
                      <w:jc w:val="right"/>
                      <w:rPr>
                        <w:szCs w:val="21"/>
                      </w:rPr>
                    </w:pPr>
                    <w:r>
                      <w:t>20,357,715.46</w:t>
                    </w:r>
                  </w:p>
                </w:tc>
              </w:tr>
            </w:sdtContent>
          </w:sdt>
          <w:sdt>
            <w:sdtPr>
              <w:rPr>
                <w:szCs w:val="21"/>
              </w:rPr>
              <w:alias w:val="重要的非全资子公司明细"/>
              <w:tag w:val="_GBC_786318b12f804986888adc0492796ebd"/>
              <w:id w:val="-1450542946"/>
              <w:lock w:val="sdtLocked"/>
              <w:placeholder>
                <w:docPart w:val="0CA56487021F4366A71982D1A3108141"/>
              </w:placeholder>
            </w:sdtPr>
            <w:sdtEndPr/>
            <w:sdtContent>
              <w:tr w:rsidR="00D14C1C" w14:paraId="74929B6D" w14:textId="77777777" w:rsidTr="00250DBA">
                <w:tc>
                  <w:tcPr>
                    <w:tcW w:w="890" w:type="pct"/>
                    <w:tcBorders>
                      <w:top w:val="single" w:sz="6" w:space="0" w:color="auto"/>
                      <w:left w:val="single" w:sz="4" w:space="0" w:color="auto"/>
                      <w:bottom w:val="single" w:sz="4" w:space="0" w:color="auto"/>
                      <w:right w:val="single" w:sz="6" w:space="0" w:color="auto"/>
                    </w:tcBorders>
                  </w:tcPr>
                  <w:p w14:paraId="234AA194" w14:textId="77777777" w:rsidR="00D14C1C" w:rsidRDefault="00D14C1C" w:rsidP="00250DBA">
                    <w:pPr>
                      <w:rPr>
                        <w:szCs w:val="21"/>
                      </w:rPr>
                    </w:pPr>
                    <w:r>
                      <w:t>合计</w:t>
                    </w:r>
                  </w:p>
                </w:tc>
                <w:tc>
                  <w:tcPr>
                    <w:tcW w:w="1002" w:type="pct"/>
                    <w:tcBorders>
                      <w:top w:val="single" w:sz="6" w:space="0" w:color="auto"/>
                      <w:left w:val="single" w:sz="6" w:space="0" w:color="auto"/>
                      <w:bottom w:val="single" w:sz="4" w:space="0" w:color="auto"/>
                      <w:right w:val="single" w:sz="6" w:space="0" w:color="auto"/>
                    </w:tcBorders>
                  </w:tcPr>
                  <w:p w14:paraId="01257459" w14:textId="77777777" w:rsidR="00D14C1C" w:rsidRDefault="00D14C1C" w:rsidP="00250DBA">
                    <w:pPr>
                      <w:jc w:val="right"/>
                      <w:rPr>
                        <w:szCs w:val="21"/>
                      </w:rPr>
                    </w:pPr>
                  </w:p>
                </w:tc>
                <w:tc>
                  <w:tcPr>
                    <w:tcW w:w="1070" w:type="pct"/>
                    <w:tcBorders>
                      <w:top w:val="single" w:sz="6" w:space="0" w:color="auto"/>
                      <w:left w:val="single" w:sz="6" w:space="0" w:color="auto"/>
                      <w:bottom w:val="single" w:sz="4" w:space="0" w:color="auto"/>
                      <w:right w:val="single" w:sz="6" w:space="0" w:color="auto"/>
                    </w:tcBorders>
                  </w:tcPr>
                  <w:p w14:paraId="14ED3C0C" w14:textId="77777777" w:rsidR="00D14C1C" w:rsidRDefault="00D14C1C" w:rsidP="00250DBA">
                    <w:pPr>
                      <w:jc w:val="right"/>
                      <w:rPr>
                        <w:szCs w:val="21"/>
                      </w:rPr>
                    </w:pPr>
                    <w:r>
                      <w:t>694,543.54</w:t>
                    </w:r>
                  </w:p>
                </w:tc>
                <w:tc>
                  <w:tcPr>
                    <w:tcW w:w="1073" w:type="pct"/>
                    <w:tcBorders>
                      <w:top w:val="single" w:sz="6" w:space="0" w:color="auto"/>
                      <w:left w:val="single" w:sz="6" w:space="0" w:color="auto"/>
                      <w:bottom w:val="single" w:sz="4" w:space="0" w:color="auto"/>
                      <w:right w:val="single" w:sz="6" w:space="0" w:color="auto"/>
                    </w:tcBorders>
                  </w:tcPr>
                  <w:p w14:paraId="6C25574C" w14:textId="77777777" w:rsidR="00D14C1C" w:rsidRDefault="00D14C1C" w:rsidP="00250DBA">
                    <w:pPr>
                      <w:jc w:val="right"/>
                      <w:rPr>
                        <w:szCs w:val="21"/>
                      </w:rPr>
                    </w:pPr>
                  </w:p>
                </w:tc>
                <w:tc>
                  <w:tcPr>
                    <w:tcW w:w="963" w:type="pct"/>
                    <w:tcBorders>
                      <w:top w:val="single" w:sz="6" w:space="0" w:color="auto"/>
                      <w:left w:val="single" w:sz="6" w:space="0" w:color="auto"/>
                      <w:bottom w:val="single" w:sz="4" w:space="0" w:color="auto"/>
                      <w:right w:val="single" w:sz="4" w:space="0" w:color="auto"/>
                    </w:tcBorders>
                  </w:tcPr>
                  <w:p w14:paraId="6F92FA20" w14:textId="77777777" w:rsidR="00D14C1C" w:rsidRDefault="00D14C1C" w:rsidP="00250DBA">
                    <w:pPr>
                      <w:jc w:val="right"/>
                      <w:rPr>
                        <w:szCs w:val="21"/>
                      </w:rPr>
                    </w:pPr>
                    <w:r>
                      <w:t>302,797,348.36</w:t>
                    </w:r>
                  </w:p>
                </w:tc>
              </w:tr>
            </w:sdtContent>
          </w:sdt>
        </w:tbl>
        <w:p w14:paraId="3761A3E7" w14:textId="77777777" w:rsidR="00D14C1C" w:rsidRDefault="00D14C1C"/>
        <w:p w14:paraId="675B9E3C" w14:textId="77777777" w:rsidR="00D14C1C" w:rsidRDefault="00D14C1C">
          <w:pPr>
            <w:rPr>
              <w:rFonts w:cs="Arial"/>
              <w:szCs w:val="21"/>
            </w:rPr>
          </w:pPr>
          <w:r>
            <w:rPr>
              <w:rFonts w:cs="Arial" w:hint="eastAsia"/>
              <w:szCs w:val="21"/>
            </w:rPr>
            <w:t>子公司少数股东的持股比例不同于表决权比例的说明：</w:t>
          </w:r>
        </w:p>
        <w:sdt>
          <w:sdtPr>
            <w:rPr>
              <w:rFonts w:cs="Arial"/>
              <w:szCs w:val="21"/>
            </w:rPr>
            <w:alias w:val="是否适用：子公司少数股东的持股比例不同于表决权比例的说明[双击切换]"/>
            <w:tag w:val="_GBC_8bf91d6e05c644d1b37f5d88e434cb9e"/>
            <w:id w:val="490446999"/>
            <w:lock w:val="sdtLocked"/>
          </w:sdtPr>
          <w:sdtEndPr/>
          <w:sdtContent>
            <w:p w14:paraId="40D24222" w14:textId="77777777" w:rsidR="00D14C1C" w:rsidRDefault="00D14C1C">
              <w:pPr>
                <w:rPr>
                  <w:rFonts w:cs="Arial"/>
                  <w:szCs w:val="21"/>
                </w:rPr>
              </w:pPr>
              <w:r>
                <w:rPr>
                  <w:rFonts w:cs="Arial"/>
                  <w:szCs w:val="21"/>
                </w:rPr>
                <w:fldChar w:fldCharType="begin"/>
              </w:r>
              <w:r>
                <w:rPr>
                  <w:rFonts w:cs="Arial"/>
                  <w:szCs w:val="21"/>
                </w:rPr>
                <w:instrText xml:space="preserve"> MACROBUTTON SnrToggleCheckbox √适用 </w:instrText>
              </w:r>
              <w:r>
                <w:rPr>
                  <w:rFonts w:cs="Arial"/>
                  <w:szCs w:val="21"/>
                </w:rPr>
                <w:fldChar w:fldCharType="end"/>
              </w:r>
              <w:r>
                <w:rPr>
                  <w:rFonts w:cs="Arial"/>
                  <w:szCs w:val="21"/>
                </w:rPr>
                <w:fldChar w:fldCharType="begin"/>
              </w:r>
              <w:r>
                <w:rPr>
                  <w:rFonts w:cs="Arial"/>
                  <w:szCs w:val="21"/>
                </w:rPr>
                <w:instrText xml:space="preserve">MACROBUTTON  SnrToggleCheckbox □不适用 </w:instrText>
              </w:r>
              <w:r>
                <w:rPr>
                  <w:rFonts w:cs="Arial"/>
                  <w:szCs w:val="21"/>
                </w:rPr>
                <w:fldChar w:fldCharType="end"/>
              </w:r>
            </w:p>
          </w:sdtContent>
        </w:sdt>
        <w:sdt>
          <w:sdtPr>
            <w:rPr>
              <w:rFonts w:cs="Arial"/>
              <w:szCs w:val="21"/>
            </w:rPr>
            <w:alias w:val="子公司少数股东的持股比例不同于表决权比例的原因说明"/>
            <w:tag w:val="_GBC_fbc604c8ca7f4a248fbf762126693e45"/>
            <w:id w:val="-1609806030"/>
            <w:lock w:val="sdtLocked"/>
          </w:sdtPr>
          <w:sdtEndPr/>
          <w:sdtContent>
            <w:p w14:paraId="5D3FE020" w14:textId="77777777" w:rsidR="00D14C1C" w:rsidRDefault="00D14C1C">
              <w:pPr>
                <w:rPr>
                  <w:rFonts w:cs="Arial"/>
                  <w:szCs w:val="21"/>
                </w:rPr>
              </w:pPr>
              <w:r>
                <w:rPr>
                  <w:rFonts w:cs="Arial"/>
                  <w:szCs w:val="21"/>
                </w:rPr>
                <w:t>北京明晖天海气体储运装备销售有限公司成立于2012年11月27日，成立时注册资本为1,000万元，全部由北京天海工业有限公司出资。经过两次增资，截止2018年6月30日北京明晖天海气体储运装备销售有限公司注册资本为54,522.52万元，其中北京天海工业有限公司出资210,000,000元，占注册资本的38.51%，北京京国发股权投资基金(有限合伙)出资170,412,703.00元，占注册资本的31.26%，北京巴士传媒股份有限公司出资164,812,525.00元，占注册资本的30.23%。</w:t>
              </w:r>
            </w:p>
            <w:p w14:paraId="76861A4B" w14:textId="77777777" w:rsidR="00D14C1C" w:rsidRDefault="00D14C1C">
              <w:pPr>
                <w:rPr>
                  <w:rFonts w:cs="Arial"/>
                  <w:szCs w:val="21"/>
                </w:rPr>
              </w:pPr>
              <w:r>
                <w:rPr>
                  <w:rFonts w:cs="Arial"/>
                  <w:szCs w:val="21"/>
                </w:rPr>
                <w:t>根据北京明晖天海气体储运装备销售有限公司的公司章程规定：北京明晖天海气体储运装备销售有限公司共有5名董事，其中北京天海工业有限公司提名3名，北京京国发股权投资基金(有限合伙)和北京巴士传媒股份有限公司各提名1名，除出售公司全部资产等重大事项需要董事会三分之二以上表决外，审定公司的经营计划和投资方案、决定公司内部管理机构的设置等事项由全体董事中过半数的董事同意。管理层也均由北京天海工业有限公司派出。北京天海工业有限公司可以对北京明晖天海气体储运装备销售有限公司实施控制，因此将其纳入合并报表范围。</w:t>
              </w:r>
            </w:p>
          </w:sdtContent>
        </w:sdt>
        <w:p w14:paraId="11AB93F4" w14:textId="77777777" w:rsidR="00D14C1C" w:rsidRDefault="00D14C1C">
          <w:pPr>
            <w:rPr>
              <w:rFonts w:cs="Arial"/>
              <w:szCs w:val="21"/>
            </w:rPr>
          </w:pPr>
        </w:p>
        <w:p w14:paraId="7E57AFE9" w14:textId="77777777" w:rsidR="00D14C1C" w:rsidRDefault="00D14C1C">
          <w:pPr>
            <w:rPr>
              <w:rFonts w:cs="Arial"/>
              <w:szCs w:val="21"/>
            </w:rPr>
          </w:pPr>
          <w:r>
            <w:rPr>
              <w:rFonts w:cs="Arial" w:hint="eastAsia"/>
              <w:szCs w:val="21"/>
            </w:rPr>
            <w:t>其他说明：</w:t>
          </w:r>
        </w:p>
        <w:sdt>
          <w:sdtPr>
            <w:rPr>
              <w:rFonts w:cs="Arial"/>
              <w:szCs w:val="21"/>
            </w:rPr>
            <w:alias w:val="是否适用：重要的非全资子公司其他说明[双击切换]"/>
            <w:tag w:val="_GBC_c511ac7f8f1f42bfa9130e28b68d1f19"/>
            <w:id w:val="-57321386"/>
            <w:lock w:val="sdtLocked"/>
          </w:sdtPr>
          <w:sdtEndPr/>
          <w:sdtContent>
            <w:p w14:paraId="14FB8695" w14:textId="7D160612" w:rsidR="00D14C1C" w:rsidRDefault="00D14C1C" w:rsidP="00FB364D">
              <w:pPr>
                <w:rPr>
                  <w:rFonts w:cs="Arial"/>
                  <w:szCs w:val="21"/>
                </w:rPr>
              </w:pPr>
              <w:r>
                <w:rPr>
                  <w:rFonts w:cs="Arial"/>
                  <w:szCs w:val="21"/>
                </w:rPr>
                <w:fldChar w:fldCharType="begin"/>
              </w:r>
              <w:r w:rsidR="00FB364D">
                <w:rPr>
                  <w:rFonts w:cs="Arial"/>
                  <w:szCs w:val="21"/>
                </w:rPr>
                <w:instrText xml:space="preserve"> MACROBUTTON SnrToggleCheckbox □适用 </w:instrText>
              </w:r>
              <w:r>
                <w:rPr>
                  <w:rFonts w:cs="Arial"/>
                  <w:szCs w:val="21"/>
                </w:rPr>
                <w:fldChar w:fldCharType="end"/>
              </w:r>
              <w:r>
                <w:rPr>
                  <w:rFonts w:cs="Arial"/>
                  <w:szCs w:val="21"/>
                </w:rPr>
                <w:fldChar w:fldCharType="begin"/>
              </w:r>
              <w:r w:rsidR="00FB364D">
                <w:rPr>
                  <w:rFonts w:cs="Arial"/>
                  <w:szCs w:val="21"/>
                </w:rPr>
                <w:instrText xml:space="preserve">MACROBUTTON  SnrToggleCheckbox √不适用 </w:instrText>
              </w:r>
              <w:r>
                <w:rPr>
                  <w:rFonts w:cs="Arial"/>
                  <w:szCs w:val="21"/>
                </w:rPr>
                <w:fldChar w:fldCharType="end"/>
              </w:r>
            </w:p>
          </w:sdtContent>
        </w:sdt>
        <w:p w14:paraId="5B18E793" w14:textId="1066CFE8" w:rsidR="00471D53" w:rsidRDefault="00B664AF" w:rsidP="00471D53">
          <w:pPr>
            <w:rPr>
              <w:rFonts w:cs="Arial"/>
              <w:szCs w:val="21"/>
            </w:rPr>
          </w:pPr>
        </w:p>
      </w:sdtContent>
    </w:sdt>
    <w:bookmarkEnd w:id="230" w:displacedByCustomXml="prev"/>
    <w:bookmarkEnd w:id="231"/>
    <w:p w14:paraId="759239A0" w14:textId="77777777" w:rsidR="00471D53" w:rsidRDefault="00B664AF">
      <w:pPr>
        <w:rPr>
          <w:rFonts w:cs="Arial"/>
          <w:szCs w:val="21"/>
        </w:rPr>
      </w:pPr>
    </w:p>
    <w:bookmarkStart w:id="232" w:name="_Hlk79427712" w:displacedByCustomXml="next"/>
    <w:bookmarkStart w:id="233" w:name="_Hlk79427699" w:displacedByCustomXml="next"/>
    <w:sdt>
      <w:sdtPr>
        <w:rPr>
          <w:rFonts w:ascii="宋体" w:hAnsi="宋体" w:cs="Arial" w:hint="eastAsia"/>
          <w:b w:val="0"/>
          <w:bCs w:val="0"/>
          <w:kern w:val="0"/>
          <w:szCs w:val="21"/>
        </w:rPr>
        <w:alias w:val="模块:重要非全资子公司的主要财务信息"/>
        <w:tag w:val="_GBC_501222dd8f884fabbdeaec6fe7e79709"/>
        <w:id w:val="-1993172286"/>
        <w:lock w:val="sdtLocked"/>
        <w:placeholder>
          <w:docPart w:val="GBC22222222222222222222222222222"/>
        </w:placeholder>
      </w:sdtPr>
      <w:sdtEndPr>
        <w:rPr>
          <w:rFonts w:hint="default"/>
        </w:rPr>
      </w:sdtEndPr>
      <w:sdtContent>
        <w:p w14:paraId="4EEB3C7E" w14:textId="77777777" w:rsidR="00D14C1C" w:rsidRDefault="00D14C1C" w:rsidP="00D14C1C">
          <w:pPr>
            <w:pStyle w:val="4"/>
            <w:numPr>
              <w:ilvl w:val="3"/>
              <w:numId w:val="95"/>
            </w:numPr>
            <w:tabs>
              <w:tab w:val="left" w:pos="644"/>
            </w:tabs>
            <w:rPr>
              <w:rFonts w:ascii="宋体" w:hAnsi="宋体" w:cs="Arial"/>
              <w:szCs w:val="21"/>
            </w:rPr>
          </w:pPr>
          <w:r>
            <w:rPr>
              <w:rFonts w:ascii="宋体" w:hAnsi="宋体" w:cs="Arial" w:hint="eastAsia"/>
              <w:szCs w:val="21"/>
            </w:rPr>
            <w:t>重要非全资子公司的主要财务信息</w:t>
          </w:r>
        </w:p>
        <w:sdt>
          <w:sdtPr>
            <w:alias w:val="是否适用：重要非全资子公司的主要财务信息[双击切换]"/>
            <w:tag w:val="_GBC_c10a7c42e39b4ac9a711e2e9d367799e"/>
            <w:id w:val="1621873110"/>
            <w:lock w:val="sdtLocked"/>
          </w:sdtPr>
          <w:sdtEndPr/>
          <w:sdtContent>
            <w:p w14:paraId="317C96F9" w14:textId="77777777" w:rsidR="00D14C1C" w:rsidRDefault="00D14C1C">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p w14:paraId="13B8A933" w14:textId="77777777" w:rsidR="00D14C1C" w:rsidRDefault="00D14C1C">
          <w:pPr>
            <w:jc w:val="right"/>
          </w:pPr>
          <w:r>
            <w:rPr>
              <w:rFonts w:hint="eastAsia"/>
            </w:rPr>
            <w:t>单位：</w:t>
          </w:r>
          <w:sdt>
            <w:sdtPr>
              <w:rPr>
                <w:rFonts w:hint="eastAsia"/>
              </w:rPr>
              <w:alias w:val="单位：财务附注：重要非全资子公司的主要财务信息"/>
              <w:tag w:val="_GBC_ba918360b15748859fb63cacad1f617d"/>
              <w:id w:val="642396472"/>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重要非全资子公司的主要财务信息"/>
              <w:tag w:val="_GBC_af5cc4f1e7a74e3d8f9c9fea25fdf05f"/>
              <w:id w:val="-1272470349"/>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796" w:type="pct"/>
            <w:tblInd w:w="-102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08"/>
            <w:gridCol w:w="969"/>
            <w:gridCol w:w="829"/>
            <w:gridCol w:w="691"/>
            <w:gridCol w:w="691"/>
            <w:gridCol w:w="828"/>
            <w:gridCol w:w="691"/>
            <w:gridCol w:w="828"/>
            <w:gridCol w:w="831"/>
            <w:gridCol w:w="691"/>
            <w:gridCol w:w="689"/>
            <w:gridCol w:w="693"/>
            <w:gridCol w:w="689"/>
          </w:tblGrid>
          <w:tr w:rsidR="00D14C1C" w14:paraId="24D6612D" w14:textId="77777777" w:rsidTr="00753A4B">
            <w:trPr>
              <w:trHeight w:val="241"/>
            </w:trPr>
            <w:sdt>
              <w:sdtPr>
                <w:rPr>
                  <w:sz w:val="18"/>
                  <w:szCs w:val="18"/>
                </w:rPr>
                <w:tag w:val="_PLD_e65ae60c1beb4e5aa4e9c5250ffb188a"/>
                <w:id w:val="1153562126"/>
                <w:lock w:val="sdtLocked"/>
              </w:sdtPr>
              <w:sdtEndPr/>
              <w:sdtContent>
                <w:tc>
                  <w:tcPr>
                    <w:tcW w:w="541"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2E3FBBBB" w14:textId="77777777" w:rsidR="00D14C1C" w:rsidRPr="00753A4B" w:rsidRDefault="00D14C1C">
                    <w:pPr>
                      <w:ind w:right="-16"/>
                      <w:jc w:val="center"/>
                      <w:rPr>
                        <w:rFonts w:cs="Arial"/>
                        <w:bCs/>
                        <w:sz w:val="18"/>
                        <w:szCs w:val="18"/>
                      </w:rPr>
                    </w:pPr>
                    <w:r w:rsidRPr="00753A4B">
                      <w:rPr>
                        <w:rFonts w:cs="Arial" w:hint="eastAsia"/>
                        <w:bCs/>
                        <w:sz w:val="18"/>
                        <w:szCs w:val="18"/>
                        <w:lang w:val="en-GB"/>
                      </w:rPr>
                      <w:t>子公司名称</w:t>
                    </w:r>
                  </w:p>
                </w:tc>
              </w:sdtContent>
            </w:sdt>
            <w:sdt>
              <w:sdtPr>
                <w:rPr>
                  <w:sz w:val="18"/>
                  <w:szCs w:val="18"/>
                </w:rPr>
                <w:tag w:val="_PLD_878e21e6ce5e466eb427e7200cc9e5bb"/>
                <w:id w:val="-580140985"/>
                <w:lock w:val="sdtLocked"/>
              </w:sdtPr>
              <w:sdtEndPr/>
              <w:sdtContent>
                <w:tc>
                  <w:tcPr>
                    <w:tcW w:w="2297" w:type="pct"/>
                    <w:gridSpan w:val="6"/>
                    <w:tcBorders>
                      <w:top w:val="single" w:sz="4" w:space="0" w:color="auto"/>
                      <w:left w:val="single" w:sz="6" w:space="0" w:color="auto"/>
                      <w:bottom w:val="single" w:sz="6" w:space="0" w:color="auto"/>
                      <w:right w:val="single" w:sz="6" w:space="0" w:color="auto"/>
                    </w:tcBorders>
                    <w:shd w:val="clear" w:color="auto" w:fill="auto"/>
                    <w:vAlign w:val="center"/>
                  </w:tcPr>
                  <w:p w14:paraId="5E11C33B" w14:textId="77777777" w:rsidR="00D14C1C" w:rsidRPr="00753A4B" w:rsidRDefault="00D14C1C">
                    <w:pPr>
                      <w:ind w:right="-16"/>
                      <w:jc w:val="center"/>
                      <w:rPr>
                        <w:rFonts w:cs="Arial"/>
                        <w:bCs/>
                        <w:sz w:val="18"/>
                        <w:szCs w:val="18"/>
                      </w:rPr>
                    </w:pPr>
                    <w:r w:rsidRPr="00753A4B">
                      <w:rPr>
                        <w:rFonts w:cs="Arial" w:hint="eastAsia"/>
                        <w:bCs/>
                        <w:sz w:val="18"/>
                        <w:szCs w:val="18"/>
                        <w:lang w:val="en-GB"/>
                      </w:rPr>
                      <w:t>期末余额</w:t>
                    </w:r>
                  </w:p>
                </w:tc>
              </w:sdtContent>
            </w:sdt>
            <w:sdt>
              <w:sdtPr>
                <w:rPr>
                  <w:sz w:val="18"/>
                  <w:szCs w:val="18"/>
                </w:rPr>
                <w:tag w:val="_PLD_86b93e4e78424106874bd84d54fb24df"/>
                <w:id w:val="-1018316717"/>
                <w:lock w:val="sdtLocked"/>
              </w:sdtPr>
              <w:sdtEndPr/>
              <w:sdtContent>
                <w:tc>
                  <w:tcPr>
                    <w:tcW w:w="2162" w:type="pct"/>
                    <w:gridSpan w:val="6"/>
                    <w:tcBorders>
                      <w:top w:val="single" w:sz="4" w:space="0" w:color="auto"/>
                      <w:left w:val="single" w:sz="6" w:space="0" w:color="auto"/>
                      <w:bottom w:val="single" w:sz="6" w:space="0" w:color="auto"/>
                      <w:right w:val="single" w:sz="4" w:space="0" w:color="auto"/>
                    </w:tcBorders>
                    <w:shd w:val="clear" w:color="auto" w:fill="auto"/>
                    <w:vAlign w:val="center"/>
                  </w:tcPr>
                  <w:p w14:paraId="6A7BA784" w14:textId="77777777" w:rsidR="00D14C1C" w:rsidRPr="00753A4B" w:rsidRDefault="00D14C1C">
                    <w:pPr>
                      <w:ind w:right="-16"/>
                      <w:jc w:val="center"/>
                      <w:rPr>
                        <w:rFonts w:cs="Arial"/>
                        <w:bCs/>
                        <w:sz w:val="18"/>
                        <w:szCs w:val="18"/>
                      </w:rPr>
                    </w:pPr>
                    <w:r w:rsidRPr="00753A4B">
                      <w:rPr>
                        <w:rFonts w:cs="Arial" w:hint="eastAsia"/>
                        <w:bCs/>
                        <w:sz w:val="18"/>
                        <w:szCs w:val="18"/>
                        <w:lang w:val="en-GB"/>
                      </w:rPr>
                      <w:t>期初余额</w:t>
                    </w:r>
                  </w:p>
                </w:tc>
              </w:sdtContent>
            </w:sdt>
          </w:tr>
          <w:tr w:rsidR="00753A4B" w14:paraId="019E32F2" w14:textId="77777777" w:rsidTr="00753A4B">
            <w:trPr>
              <w:trHeight w:val="241"/>
            </w:trPr>
            <w:tc>
              <w:tcPr>
                <w:tcW w:w="541" w:type="pct"/>
                <w:vMerge/>
                <w:tcBorders>
                  <w:top w:val="single" w:sz="4" w:space="0" w:color="auto"/>
                  <w:left w:val="single" w:sz="4" w:space="0" w:color="auto"/>
                  <w:bottom w:val="single" w:sz="6" w:space="0" w:color="auto"/>
                  <w:right w:val="single" w:sz="6" w:space="0" w:color="auto"/>
                </w:tcBorders>
                <w:shd w:val="clear" w:color="auto" w:fill="auto"/>
                <w:vAlign w:val="center"/>
              </w:tcPr>
              <w:p w14:paraId="4F5AB63E" w14:textId="77777777" w:rsidR="00D14C1C" w:rsidRPr="00753A4B" w:rsidRDefault="00D14C1C">
                <w:pPr>
                  <w:rPr>
                    <w:rFonts w:cs="Arial"/>
                    <w:bCs/>
                    <w:sz w:val="18"/>
                    <w:szCs w:val="18"/>
                  </w:rPr>
                </w:pPr>
              </w:p>
            </w:tc>
            <w:sdt>
              <w:sdtPr>
                <w:rPr>
                  <w:sz w:val="18"/>
                  <w:szCs w:val="18"/>
                </w:rPr>
                <w:tag w:val="_PLD_0154d63f3f2c482ebe0cf00460d87fbd"/>
                <w:id w:val="-1417784232"/>
                <w:lock w:val="sdtLocked"/>
              </w:sdtPr>
              <w:sdtEndPr/>
              <w:sdtContent>
                <w:tc>
                  <w:tcPr>
                    <w:tcW w:w="473" w:type="pct"/>
                    <w:tcBorders>
                      <w:top w:val="single" w:sz="6" w:space="0" w:color="auto"/>
                      <w:left w:val="single" w:sz="6" w:space="0" w:color="auto"/>
                      <w:bottom w:val="single" w:sz="6" w:space="0" w:color="auto"/>
                      <w:right w:val="single" w:sz="6" w:space="0" w:color="auto"/>
                    </w:tcBorders>
                    <w:shd w:val="clear" w:color="auto" w:fill="auto"/>
                    <w:vAlign w:val="center"/>
                  </w:tcPr>
                  <w:p w14:paraId="660E3985" w14:textId="77777777" w:rsidR="00D14C1C" w:rsidRPr="00753A4B" w:rsidRDefault="00D14C1C">
                    <w:pPr>
                      <w:jc w:val="center"/>
                      <w:rPr>
                        <w:rFonts w:cs="Arial"/>
                        <w:sz w:val="18"/>
                        <w:szCs w:val="18"/>
                      </w:rPr>
                    </w:pPr>
                    <w:r w:rsidRPr="00753A4B">
                      <w:rPr>
                        <w:rFonts w:cs="Arial" w:hint="eastAsia"/>
                        <w:sz w:val="18"/>
                        <w:szCs w:val="18"/>
                        <w:lang w:val="en-GB"/>
                      </w:rPr>
                      <w:t>流动资产</w:t>
                    </w:r>
                  </w:p>
                </w:tc>
              </w:sdtContent>
            </w:sdt>
            <w:sdt>
              <w:sdtPr>
                <w:rPr>
                  <w:sz w:val="18"/>
                  <w:szCs w:val="18"/>
                </w:rPr>
                <w:tag w:val="_PLD_0f817c02730447aca042c6a931d447e8"/>
                <w:id w:val="49200882"/>
                <w:lock w:val="sdtLocked"/>
              </w:sdtPr>
              <w:sdtEndPr/>
              <w:sdtContent>
                <w:tc>
                  <w:tcPr>
                    <w:tcW w:w="405" w:type="pct"/>
                    <w:tcBorders>
                      <w:top w:val="single" w:sz="6" w:space="0" w:color="auto"/>
                      <w:left w:val="single" w:sz="6" w:space="0" w:color="auto"/>
                      <w:bottom w:val="single" w:sz="6" w:space="0" w:color="auto"/>
                      <w:right w:val="single" w:sz="6" w:space="0" w:color="auto"/>
                    </w:tcBorders>
                    <w:shd w:val="clear" w:color="auto" w:fill="auto"/>
                    <w:vAlign w:val="center"/>
                  </w:tcPr>
                  <w:p w14:paraId="4AC18AB8" w14:textId="77777777" w:rsidR="00D14C1C" w:rsidRPr="00753A4B" w:rsidRDefault="00D14C1C">
                    <w:pPr>
                      <w:ind w:left="-40" w:right="-97"/>
                      <w:jc w:val="center"/>
                      <w:rPr>
                        <w:rFonts w:cs="Arial"/>
                        <w:sz w:val="18"/>
                        <w:szCs w:val="18"/>
                      </w:rPr>
                    </w:pPr>
                    <w:r w:rsidRPr="00753A4B">
                      <w:rPr>
                        <w:rFonts w:cs="Arial" w:hint="eastAsia"/>
                        <w:sz w:val="18"/>
                        <w:szCs w:val="18"/>
                        <w:lang w:val="en-GB"/>
                      </w:rPr>
                      <w:t>非流动资产</w:t>
                    </w:r>
                  </w:p>
                </w:tc>
              </w:sdtContent>
            </w:sdt>
            <w:sdt>
              <w:sdtPr>
                <w:rPr>
                  <w:sz w:val="18"/>
                  <w:szCs w:val="18"/>
                </w:rPr>
                <w:tag w:val="_PLD_553e0814e94f491784b88cc5aa7d6adb"/>
                <w:id w:val="-1275478972"/>
                <w:lock w:val="sdtLocked"/>
              </w:sdtPr>
              <w:sdtEndPr/>
              <w:sdtContent>
                <w:tc>
                  <w:tcPr>
                    <w:tcW w:w="338" w:type="pct"/>
                    <w:tcBorders>
                      <w:top w:val="single" w:sz="6" w:space="0" w:color="auto"/>
                      <w:left w:val="single" w:sz="6" w:space="0" w:color="auto"/>
                      <w:bottom w:val="single" w:sz="6" w:space="0" w:color="auto"/>
                      <w:right w:val="single" w:sz="6" w:space="0" w:color="auto"/>
                    </w:tcBorders>
                    <w:shd w:val="clear" w:color="auto" w:fill="auto"/>
                    <w:vAlign w:val="center"/>
                  </w:tcPr>
                  <w:p w14:paraId="7DF381CB" w14:textId="77777777" w:rsidR="00D14C1C" w:rsidRPr="00753A4B" w:rsidRDefault="00D14C1C">
                    <w:pPr>
                      <w:jc w:val="center"/>
                      <w:rPr>
                        <w:rFonts w:cs="Arial"/>
                        <w:sz w:val="18"/>
                        <w:szCs w:val="18"/>
                      </w:rPr>
                    </w:pPr>
                    <w:r w:rsidRPr="00753A4B">
                      <w:rPr>
                        <w:rFonts w:cs="Arial" w:hint="eastAsia"/>
                        <w:sz w:val="18"/>
                        <w:szCs w:val="18"/>
                        <w:lang w:val="en-GB"/>
                      </w:rPr>
                      <w:t>资产合计</w:t>
                    </w:r>
                  </w:p>
                </w:tc>
              </w:sdtContent>
            </w:sdt>
            <w:sdt>
              <w:sdtPr>
                <w:rPr>
                  <w:sz w:val="18"/>
                  <w:szCs w:val="18"/>
                </w:rPr>
                <w:tag w:val="_PLD_3db84901ffa544afb174531f0384a82f"/>
                <w:id w:val="-490634526"/>
                <w:lock w:val="sdtLocked"/>
              </w:sdtPr>
              <w:sdtEndPr/>
              <w:sdtContent>
                <w:tc>
                  <w:tcPr>
                    <w:tcW w:w="338" w:type="pct"/>
                    <w:tcBorders>
                      <w:top w:val="single" w:sz="6" w:space="0" w:color="auto"/>
                      <w:left w:val="single" w:sz="6" w:space="0" w:color="auto"/>
                      <w:bottom w:val="single" w:sz="6" w:space="0" w:color="auto"/>
                      <w:right w:val="single" w:sz="6" w:space="0" w:color="auto"/>
                    </w:tcBorders>
                    <w:shd w:val="clear" w:color="auto" w:fill="auto"/>
                    <w:vAlign w:val="center"/>
                  </w:tcPr>
                  <w:p w14:paraId="01C7377F" w14:textId="77777777" w:rsidR="00D14C1C" w:rsidRPr="00753A4B" w:rsidRDefault="00D14C1C">
                    <w:pPr>
                      <w:jc w:val="center"/>
                      <w:rPr>
                        <w:rFonts w:cs="Arial"/>
                        <w:sz w:val="18"/>
                        <w:szCs w:val="18"/>
                      </w:rPr>
                    </w:pPr>
                    <w:r w:rsidRPr="00753A4B">
                      <w:rPr>
                        <w:rFonts w:cs="Arial" w:hint="eastAsia"/>
                        <w:sz w:val="18"/>
                        <w:szCs w:val="18"/>
                        <w:lang w:val="en-GB"/>
                      </w:rPr>
                      <w:t>流动负债</w:t>
                    </w:r>
                  </w:p>
                </w:tc>
              </w:sdtContent>
            </w:sdt>
            <w:sdt>
              <w:sdtPr>
                <w:rPr>
                  <w:sz w:val="18"/>
                  <w:szCs w:val="18"/>
                </w:rPr>
                <w:tag w:val="_PLD_50c217cc437b4c3496e1aab622fba053"/>
                <w:id w:val="2086719940"/>
                <w:lock w:val="sdtLocked"/>
              </w:sdtPr>
              <w:sdtEndPr/>
              <w:sdtContent>
                <w:tc>
                  <w:tcPr>
                    <w:tcW w:w="405" w:type="pct"/>
                    <w:tcBorders>
                      <w:top w:val="single" w:sz="6" w:space="0" w:color="auto"/>
                      <w:left w:val="single" w:sz="6" w:space="0" w:color="auto"/>
                      <w:bottom w:val="single" w:sz="6" w:space="0" w:color="auto"/>
                      <w:right w:val="single" w:sz="6" w:space="0" w:color="auto"/>
                    </w:tcBorders>
                    <w:shd w:val="clear" w:color="auto" w:fill="auto"/>
                    <w:vAlign w:val="center"/>
                  </w:tcPr>
                  <w:p w14:paraId="52A8A23B" w14:textId="77777777" w:rsidR="00D14C1C" w:rsidRPr="00753A4B" w:rsidRDefault="00D14C1C">
                    <w:pPr>
                      <w:ind w:left="-40" w:right="-97"/>
                      <w:jc w:val="center"/>
                      <w:rPr>
                        <w:rFonts w:cs="Arial"/>
                        <w:sz w:val="18"/>
                        <w:szCs w:val="18"/>
                      </w:rPr>
                    </w:pPr>
                    <w:r w:rsidRPr="00753A4B">
                      <w:rPr>
                        <w:rFonts w:cs="Arial" w:hint="eastAsia"/>
                        <w:sz w:val="18"/>
                        <w:szCs w:val="18"/>
                        <w:lang w:val="en-GB"/>
                      </w:rPr>
                      <w:t>非流动负债</w:t>
                    </w:r>
                  </w:p>
                </w:tc>
              </w:sdtContent>
            </w:sdt>
            <w:sdt>
              <w:sdtPr>
                <w:rPr>
                  <w:sz w:val="18"/>
                  <w:szCs w:val="18"/>
                </w:rPr>
                <w:tag w:val="_PLD_ccd9a8d3652e4485a763cfb37eb6fa37"/>
                <w:id w:val="-1500103875"/>
                <w:lock w:val="sdtLocked"/>
              </w:sdtPr>
              <w:sdtEndPr/>
              <w:sdtContent>
                <w:tc>
                  <w:tcPr>
                    <w:tcW w:w="338" w:type="pct"/>
                    <w:tcBorders>
                      <w:top w:val="single" w:sz="6" w:space="0" w:color="auto"/>
                      <w:left w:val="single" w:sz="6" w:space="0" w:color="auto"/>
                      <w:bottom w:val="single" w:sz="6" w:space="0" w:color="auto"/>
                      <w:right w:val="single" w:sz="6" w:space="0" w:color="auto"/>
                    </w:tcBorders>
                    <w:shd w:val="clear" w:color="auto" w:fill="auto"/>
                    <w:vAlign w:val="center"/>
                  </w:tcPr>
                  <w:p w14:paraId="2A6499E3" w14:textId="77777777" w:rsidR="00D14C1C" w:rsidRPr="00753A4B" w:rsidRDefault="00D14C1C">
                    <w:pPr>
                      <w:jc w:val="center"/>
                      <w:rPr>
                        <w:rFonts w:cs="Arial"/>
                        <w:sz w:val="18"/>
                        <w:szCs w:val="18"/>
                      </w:rPr>
                    </w:pPr>
                    <w:r w:rsidRPr="00753A4B">
                      <w:rPr>
                        <w:rFonts w:cs="Arial" w:hint="eastAsia"/>
                        <w:sz w:val="18"/>
                        <w:szCs w:val="18"/>
                        <w:lang w:val="en-GB"/>
                      </w:rPr>
                      <w:t>负债合计</w:t>
                    </w:r>
                  </w:p>
                </w:tc>
              </w:sdtContent>
            </w:sdt>
            <w:sdt>
              <w:sdtPr>
                <w:rPr>
                  <w:sz w:val="18"/>
                  <w:szCs w:val="18"/>
                </w:rPr>
                <w:tag w:val="_PLD_ec07cd6513b74d49b586125d4b66dd0a"/>
                <w:id w:val="-305242611"/>
                <w:lock w:val="sdtLocked"/>
              </w:sdtPr>
              <w:sdtEndPr/>
              <w:sdtContent>
                <w:tc>
                  <w:tcPr>
                    <w:tcW w:w="405" w:type="pct"/>
                    <w:tcBorders>
                      <w:top w:val="single" w:sz="6" w:space="0" w:color="auto"/>
                      <w:left w:val="single" w:sz="6" w:space="0" w:color="auto"/>
                      <w:bottom w:val="single" w:sz="6" w:space="0" w:color="auto"/>
                      <w:right w:val="single" w:sz="6" w:space="0" w:color="auto"/>
                    </w:tcBorders>
                    <w:shd w:val="clear" w:color="auto" w:fill="auto"/>
                    <w:vAlign w:val="center"/>
                  </w:tcPr>
                  <w:p w14:paraId="70706BE2" w14:textId="77777777" w:rsidR="00D14C1C" w:rsidRPr="00753A4B" w:rsidRDefault="00D14C1C">
                    <w:pPr>
                      <w:jc w:val="center"/>
                      <w:rPr>
                        <w:rFonts w:cs="Arial"/>
                        <w:sz w:val="18"/>
                        <w:szCs w:val="18"/>
                      </w:rPr>
                    </w:pPr>
                    <w:r w:rsidRPr="00753A4B">
                      <w:rPr>
                        <w:rFonts w:cs="Arial" w:hint="eastAsia"/>
                        <w:sz w:val="18"/>
                        <w:szCs w:val="18"/>
                        <w:lang w:val="en-GB"/>
                      </w:rPr>
                      <w:t>流动资产</w:t>
                    </w:r>
                  </w:p>
                </w:tc>
              </w:sdtContent>
            </w:sdt>
            <w:sdt>
              <w:sdtPr>
                <w:rPr>
                  <w:sz w:val="18"/>
                  <w:szCs w:val="18"/>
                </w:rPr>
                <w:tag w:val="_PLD_fb97ce65ab144768b4fb9978546fce37"/>
                <w:id w:val="1563747991"/>
                <w:lock w:val="sdtLocked"/>
              </w:sdtPr>
              <w:sdtEndPr/>
              <w:sdtContent>
                <w:tc>
                  <w:tcPr>
                    <w:tcW w:w="406" w:type="pct"/>
                    <w:tcBorders>
                      <w:top w:val="single" w:sz="6" w:space="0" w:color="auto"/>
                      <w:left w:val="single" w:sz="6" w:space="0" w:color="auto"/>
                      <w:bottom w:val="single" w:sz="6" w:space="0" w:color="auto"/>
                      <w:right w:val="single" w:sz="6" w:space="0" w:color="auto"/>
                    </w:tcBorders>
                    <w:shd w:val="clear" w:color="auto" w:fill="auto"/>
                    <w:vAlign w:val="center"/>
                  </w:tcPr>
                  <w:p w14:paraId="23E7B5D0" w14:textId="77777777" w:rsidR="00D14C1C" w:rsidRPr="00753A4B" w:rsidRDefault="00D14C1C">
                    <w:pPr>
                      <w:ind w:left="-40" w:right="-97"/>
                      <w:jc w:val="center"/>
                      <w:rPr>
                        <w:rFonts w:cs="Arial"/>
                        <w:sz w:val="18"/>
                        <w:szCs w:val="18"/>
                      </w:rPr>
                    </w:pPr>
                    <w:r w:rsidRPr="00753A4B">
                      <w:rPr>
                        <w:rFonts w:cs="Arial" w:hint="eastAsia"/>
                        <w:sz w:val="18"/>
                        <w:szCs w:val="18"/>
                        <w:lang w:val="en-GB"/>
                      </w:rPr>
                      <w:t>非流动资产</w:t>
                    </w:r>
                  </w:p>
                </w:tc>
              </w:sdtContent>
            </w:sdt>
            <w:sdt>
              <w:sdtPr>
                <w:rPr>
                  <w:sz w:val="18"/>
                  <w:szCs w:val="18"/>
                </w:rPr>
                <w:tag w:val="_PLD_412845ecfd2e45e8ae03b43cf8ca32f4"/>
                <w:id w:val="-1603492971"/>
                <w:lock w:val="sdtLocked"/>
              </w:sdtPr>
              <w:sdtEndPr/>
              <w:sdtContent>
                <w:tc>
                  <w:tcPr>
                    <w:tcW w:w="338" w:type="pct"/>
                    <w:tcBorders>
                      <w:top w:val="single" w:sz="6" w:space="0" w:color="auto"/>
                      <w:left w:val="single" w:sz="6" w:space="0" w:color="auto"/>
                      <w:bottom w:val="single" w:sz="6" w:space="0" w:color="auto"/>
                      <w:right w:val="single" w:sz="6" w:space="0" w:color="auto"/>
                    </w:tcBorders>
                    <w:shd w:val="clear" w:color="auto" w:fill="auto"/>
                    <w:vAlign w:val="center"/>
                  </w:tcPr>
                  <w:p w14:paraId="0B36B805" w14:textId="77777777" w:rsidR="00D14C1C" w:rsidRPr="00753A4B" w:rsidRDefault="00D14C1C">
                    <w:pPr>
                      <w:jc w:val="center"/>
                      <w:rPr>
                        <w:rFonts w:cs="Arial"/>
                        <w:sz w:val="18"/>
                        <w:szCs w:val="18"/>
                      </w:rPr>
                    </w:pPr>
                    <w:r w:rsidRPr="00753A4B">
                      <w:rPr>
                        <w:rFonts w:cs="Arial" w:hint="eastAsia"/>
                        <w:sz w:val="18"/>
                        <w:szCs w:val="18"/>
                        <w:lang w:val="en-GB"/>
                      </w:rPr>
                      <w:t>资产合计</w:t>
                    </w:r>
                  </w:p>
                </w:tc>
              </w:sdtContent>
            </w:sdt>
            <w:sdt>
              <w:sdtPr>
                <w:rPr>
                  <w:sz w:val="18"/>
                  <w:szCs w:val="18"/>
                </w:rPr>
                <w:tag w:val="_PLD_2a24724c66b442e994f401266a55d5df"/>
                <w:id w:val="-62875105"/>
                <w:lock w:val="sdtLocked"/>
              </w:sdtPr>
              <w:sdtEndPr/>
              <w:sdtContent>
                <w:tc>
                  <w:tcPr>
                    <w:tcW w:w="337" w:type="pct"/>
                    <w:tcBorders>
                      <w:top w:val="single" w:sz="6" w:space="0" w:color="auto"/>
                      <w:left w:val="single" w:sz="6" w:space="0" w:color="auto"/>
                      <w:bottom w:val="single" w:sz="6" w:space="0" w:color="auto"/>
                      <w:right w:val="single" w:sz="6" w:space="0" w:color="auto"/>
                    </w:tcBorders>
                    <w:shd w:val="clear" w:color="auto" w:fill="auto"/>
                    <w:vAlign w:val="center"/>
                  </w:tcPr>
                  <w:p w14:paraId="4D3E47EB" w14:textId="77777777" w:rsidR="00D14C1C" w:rsidRPr="00753A4B" w:rsidRDefault="00D14C1C">
                    <w:pPr>
                      <w:jc w:val="center"/>
                      <w:rPr>
                        <w:rFonts w:cs="Arial"/>
                        <w:sz w:val="18"/>
                        <w:szCs w:val="18"/>
                      </w:rPr>
                    </w:pPr>
                    <w:r w:rsidRPr="00753A4B">
                      <w:rPr>
                        <w:rFonts w:cs="Arial" w:hint="eastAsia"/>
                        <w:sz w:val="18"/>
                        <w:szCs w:val="18"/>
                        <w:lang w:val="en-GB"/>
                      </w:rPr>
                      <w:t>流动负债</w:t>
                    </w:r>
                  </w:p>
                </w:tc>
              </w:sdtContent>
            </w:sdt>
            <w:sdt>
              <w:sdtPr>
                <w:rPr>
                  <w:sz w:val="18"/>
                  <w:szCs w:val="18"/>
                </w:rPr>
                <w:tag w:val="_PLD_937f557a5cdb4ea99a0a914e755f781f"/>
                <w:id w:val="-207032776"/>
                <w:lock w:val="sdtLocked"/>
              </w:sdtPr>
              <w:sdtEndPr/>
              <w:sdtContent>
                <w:tc>
                  <w:tcPr>
                    <w:tcW w:w="339" w:type="pct"/>
                    <w:tcBorders>
                      <w:top w:val="single" w:sz="6" w:space="0" w:color="auto"/>
                      <w:left w:val="single" w:sz="6" w:space="0" w:color="auto"/>
                      <w:bottom w:val="single" w:sz="6" w:space="0" w:color="auto"/>
                      <w:right w:val="single" w:sz="6" w:space="0" w:color="auto"/>
                    </w:tcBorders>
                    <w:shd w:val="clear" w:color="auto" w:fill="auto"/>
                    <w:vAlign w:val="center"/>
                  </w:tcPr>
                  <w:p w14:paraId="6959F3BC" w14:textId="77777777" w:rsidR="00D14C1C" w:rsidRPr="00753A4B" w:rsidRDefault="00D14C1C">
                    <w:pPr>
                      <w:ind w:left="-40" w:right="-97"/>
                      <w:jc w:val="center"/>
                      <w:rPr>
                        <w:rFonts w:cs="Arial"/>
                        <w:sz w:val="18"/>
                        <w:szCs w:val="18"/>
                      </w:rPr>
                    </w:pPr>
                    <w:r w:rsidRPr="00753A4B">
                      <w:rPr>
                        <w:rFonts w:cs="Arial" w:hint="eastAsia"/>
                        <w:sz w:val="18"/>
                        <w:szCs w:val="18"/>
                        <w:lang w:val="en-GB"/>
                      </w:rPr>
                      <w:t>非流动负债</w:t>
                    </w:r>
                  </w:p>
                </w:tc>
              </w:sdtContent>
            </w:sdt>
            <w:sdt>
              <w:sdtPr>
                <w:rPr>
                  <w:sz w:val="18"/>
                  <w:szCs w:val="18"/>
                </w:rPr>
                <w:tag w:val="_PLD_c4b998a44f394e1eb0924a4f19409ff8"/>
                <w:id w:val="1067759223"/>
                <w:lock w:val="sdtLocked"/>
              </w:sdtPr>
              <w:sdtEndPr/>
              <w:sdtContent>
                <w:tc>
                  <w:tcPr>
                    <w:tcW w:w="337" w:type="pct"/>
                    <w:tcBorders>
                      <w:top w:val="single" w:sz="6" w:space="0" w:color="auto"/>
                      <w:left w:val="single" w:sz="6" w:space="0" w:color="auto"/>
                      <w:bottom w:val="single" w:sz="6" w:space="0" w:color="auto"/>
                      <w:right w:val="single" w:sz="4" w:space="0" w:color="auto"/>
                    </w:tcBorders>
                    <w:shd w:val="clear" w:color="auto" w:fill="auto"/>
                    <w:vAlign w:val="center"/>
                  </w:tcPr>
                  <w:p w14:paraId="3AE86CAE" w14:textId="77777777" w:rsidR="00D14C1C" w:rsidRPr="00753A4B" w:rsidRDefault="00D14C1C">
                    <w:pPr>
                      <w:jc w:val="center"/>
                      <w:rPr>
                        <w:rFonts w:cs="Arial"/>
                        <w:sz w:val="18"/>
                        <w:szCs w:val="18"/>
                      </w:rPr>
                    </w:pPr>
                    <w:r w:rsidRPr="00753A4B">
                      <w:rPr>
                        <w:rFonts w:cs="Arial" w:hint="eastAsia"/>
                        <w:sz w:val="18"/>
                        <w:szCs w:val="18"/>
                        <w:lang w:val="en-GB"/>
                      </w:rPr>
                      <w:t>负债合计</w:t>
                    </w:r>
                  </w:p>
                </w:tc>
              </w:sdtContent>
            </w:sdt>
          </w:tr>
          <w:sdt>
            <w:sdtPr>
              <w:rPr>
                <w:sz w:val="18"/>
                <w:szCs w:val="18"/>
              </w:rPr>
              <w:alias w:val="重要非全资子公司的主要财务信息明细"/>
              <w:tag w:val="_GBC_feef0d2d67a84217a9099e634bb2d3df"/>
              <w:id w:val="-1232141933"/>
              <w:lock w:val="sdtLocked"/>
              <w:placeholder>
                <w:docPart w:val="EA9900C070584A7E84C0B1E5FEC31324"/>
              </w:placeholder>
            </w:sdtPr>
            <w:sdtEndPr/>
            <w:sdtContent>
              <w:tr w:rsidR="00753A4B" w14:paraId="0FE99127" w14:textId="77777777" w:rsidTr="00753A4B">
                <w:tc>
                  <w:tcPr>
                    <w:tcW w:w="541" w:type="pct"/>
                    <w:tcBorders>
                      <w:top w:val="single" w:sz="6" w:space="0" w:color="auto"/>
                      <w:left w:val="single" w:sz="4" w:space="0" w:color="auto"/>
                      <w:bottom w:val="single" w:sz="4" w:space="0" w:color="auto"/>
                      <w:right w:val="single" w:sz="6" w:space="0" w:color="auto"/>
                    </w:tcBorders>
                  </w:tcPr>
                  <w:p w14:paraId="2D151853" w14:textId="77777777" w:rsidR="00D14C1C" w:rsidRPr="00753A4B" w:rsidRDefault="00D14C1C">
                    <w:pPr>
                      <w:rPr>
                        <w:sz w:val="18"/>
                        <w:szCs w:val="18"/>
                      </w:rPr>
                    </w:pPr>
                    <w:r w:rsidRPr="00753A4B">
                      <w:rPr>
                        <w:rFonts w:hint="eastAsia"/>
                        <w:sz w:val="18"/>
                        <w:szCs w:val="18"/>
                      </w:rPr>
                      <w:t>北京明晖天海气体储运装备销售有限公司</w:t>
                    </w:r>
                  </w:p>
                </w:tc>
                <w:tc>
                  <w:tcPr>
                    <w:tcW w:w="473" w:type="pct"/>
                    <w:tcBorders>
                      <w:top w:val="single" w:sz="6" w:space="0" w:color="auto"/>
                      <w:left w:val="single" w:sz="6" w:space="0" w:color="auto"/>
                      <w:bottom w:val="single" w:sz="4" w:space="0" w:color="auto"/>
                      <w:right w:val="single" w:sz="6" w:space="0" w:color="auto"/>
                    </w:tcBorders>
                  </w:tcPr>
                  <w:p w14:paraId="1D52FAA7" w14:textId="77777777" w:rsidR="00D14C1C" w:rsidRPr="00753A4B" w:rsidRDefault="00D14C1C">
                    <w:pPr>
                      <w:jc w:val="right"/>
                      <w:rPr>
                        <w:sz w:val="18"/>
                        <w:szCs w:val="18"/>
                      </w:rPr>
                    </w:pPr>
                    <w:r w:rsidRPr="00753A4B">
                      <w:rPr>
                        <w:rFonts w:hint="eastAsia"/>
                        <w:sz w:val="18"/>
                        <w:szCs w:val="18"/>
                      </w:rPr>
                      <w:t>152,422,677.04</w:t>
                    </w:r>
                  </w:p>
                </w:tc>
                <w:tc>
                  <w:tcPr>
                    <w:tcW w:w="405" w:type="pct"/>
                    <w:tcBorders>
                      <w:top w:val="single" w:sz="6" w:space="0" w:color="auto"/>
                      <w:left w:val="single" w:sz="6" w:space="0" w:color="auto"/>
                      <w:bottom w:val="single" w:sz="4" w:space="0" w:color="auto"/>
                      <w:right w:val="single" w:sz="6" w:space="0" w:color="auto"/>
                    </w:tcBorders>
                  </w:tcPr>
                  <w:p w14:paraId="13669720" w14:textId="77777777" w:rsidR="00D14C1C" w:rsidRPr="00753A4B" w:rsidRDefault="00D14C1C">
                    <w:pPr>
                      <w:jc w:val="right"/>
                      <w:rPr>
                        <w:sz w:val="18"/>
                        <w:szCs w:val="18"/>
                      </w:rPr>
                    </w:pPr>
                    <w:r w:rsidRPr="00753A4B">
                      <w:rPr>
                        <w:rFonts w:hint="eastAsia"/>
                        <w:sz w:val="18"/>
                        <w:szCs w:val="18"/>
                      </w:rPr>
                      <w:t>405,529,323.26</w:t>
                    </w:r>
                  </w:p>
                </w:tc>
                <w:tc>
                  <w:tcPr>
                    <w:tcW w:w="338" w:type="pct"/>
                    <w:tcBorders>
                      <w:top w:val="single" w:sz="6" w:space="0" w:color="auto"/>
                      <w:left w:val="single" w:sz="6" w:space="0" w:color="auto"/>
                      <w:bottom w:val="single" w:sz="4" w:space="0" w:color="auto"/>
                      <w:right w:val="single" w:sz="6" w:space="0" w:color="auto"/>
                    </w:tcBorders>
                  </w:tcPr>
                  <w:p w14:paraId="61C0562A" w14:textId="77777777" w:rsidR="00D14C1C" w:rsidRPr="00753A4B" w:rsidRDefault="00D14C1C">
                    <w:pPr>
                      <w:jc w:val="right"/>
                      <w:rPr>
                        <w:sz w:val="18"/>
                        <w:szCs w:val="18"/>
                      </w:rPr>
                    </w:pPr>
                    <w:r w:rsidRPr="00753A4B">
                      <w:rPr>
                        <w:rFonts w:hint="eastAsia"/>
                        <w:sz w:val="18"/>
                        <w:szCs w:val="18"/>
                      </w:rPr>
                      <w:t>557,952,000.30</w:t>
                    </w:r>
                  </w:p>
                </w:tc>
                <w:tc>
                  <w:tcPr>
                    <w:tcW w:w="338" w:type="pct"/>
                    <w:tcBorders>
                      <w:top w:val="single" w:sz="6" w:space="0" w:color="auto"/>
                      <w:left w:val="single" w:sz="6" w:space="0" w:color="auto"/>
                      <w:bottom w:val="single" w:sz="4" w:space="0" w:color="auto"/>
                      <w:right w:val="single" w:sz="6" w:space="0" w:color="auto"/>
                    </w:tcBorders>
                  </w:tcPr>
                  <w:p w14:paraId="2AB67FE9" w14:textId="77777777" w:rsidR="00D14C1C" w:rsidRPr="00753A4B" w:rsidRDefault="00D14C1C">
                    <w:pPr>
                      <w:jc w:val="right"/>
                      <w:rPr>
                        <w:sz w:val="18"/>
                        <w:szCs w:val="18"/>
                      </w:rPr>
                    </w:pPr>
                    <w:r w:rsidRPr="00753A4B">
                      <w:rPr>
                        <w:rFonts w:hint="eastAsia"/>
                        <w:sz w:val="18"/>
                        <w:szCs w:val="18"/>
                      </w:rPr>
                      <w:t>224,284,775.22</w:t>
                    </w:r>
                  </w:p>
                </w:tc>
                <w:tc>
                  <w:tcPr>
                    <w:tcW w:w="405" w:type="pct"/>
                    <w:tcBorders>
                      <w:top w:val="single" w:sz="6" w:space="0" w:color="auto"/>
                      <w:left w:val="single" w:sz="6" w:space="0" w:color="auto"/>
                      <w:bottom w:val="single" w:sz="4" w:space="0" w:color="auto"/>
                      <w:right w:val="single" w:sz="6" w:space="0" w:color="auto"/>
                    </w:tcBorders>
                  </w:tcPr>
                  <w:p w14:paraId="3655C5FE" w14:textId="77777777" w:rsidR="00D14C1C" w:rsidRPr="00753A4B" w:rsidRDefault="00D14C1C">
                    <w:pPr>
                      <w:jc w:val="right"/>
                      <w:rPr>
                        <w:sz w:val="18"/>
                        <w:szCs w:val="18"/>
                      </w:rPr>
                    </w:pPr>
                    <w:r w:rsidRPr="00753A4B">
                      <w:rPr>
                        <w:rFonts w:hint="eastAsia"/>
                        <w:sz w:val="18"/>
                        <w:szCs w:val="18"/>
                      </w:rPr>
                      <w:t>11,022,930.81</w:t>
                    </w:r>
                  </w:p>
                </w:tc>
                <w:tc>
                  <w:tcPr>
                    <w:tcW w:w="338" w:type="pct"/>
                    <w:tcBorders>
                      <w:top w:val="single" w:sz="6" w:space="0" w:color="auto"/>
                      <w:left w:val="single" w:sz="6" w:space="0" w:color="auto"/>
                      <w:bottom w:val="single" w:sz="4" w:space="0" w:color="auto"/>
                      <w:right w:val="single" w:sz="6" w:space="0" w:color="auto"/>
                    </w:tcBorders>
                  </w:tcPr>
                  <w:p w14:paraId="13996B88" w14:textId="77777777" w:rsidR="00D14C1C" w:rsidRPr="00753A4B" w:rsidRDefault="00D14C1C">
                    <w:pPr>
                      <w:jc w:val="right"/>
                      <w:rPr>
                        <w:sz w:val="18"/>
                        <w:szCs w:val="18"/>
                      </w:rPr>
                    </w:pPr>
                    <w:r w:rsidRPr="00753A4B">
                      <w:rPr>
                        <w:rFonts w:hint="eastAsia"/>
                        <w:sz w:val="18"/>
                        <w:szCs w:val="18"/>
                      </w:rPr>
                      <w:t>235,307,706.03</w:t>
                    </w:r>
                  </w:p>
                </w:tc>
                <w:tc>
                  <w:tcPr>
                    <w:tcW w:w="405" w:type="pct"/>
                    <w:tcBorders>
                      <w:top w:val="single" w:sz="6" w:space="0" w:color="auto"/>
                      <w:left w:val="single" w:sz="6" w:space="0" w:color="auto"/>
                      <w:bottom w:val="single" w:sz="4" w:space="0" w:color="auto"/>
                      <w:right w:val="single" w:sz="6" w:space="0" w:color="auto"/>
                    </w:tcBorders>
                  </w:tcPr>
                  <w:p w14:paraId="7FBEF41A" w14:textId="77777777" w:rsidR="00D14C1C" w:rsidRPr="00753A4B" w:rsidRDefault="00D14C1C">
                    <w:pPr>
                      <w:jc w:val="right"/>
                      <w:rPr>
                        <w:sz w:val="18"/>
                        <w:szCs w:val="18"/>
                      </w:rPr>
                    </w:pPr>
                    <w:r w:rsidRPr="00753A4B">
                      <w:rPr>
                        <w:rFonts w:hint="eastAsia"/>
                        <w:sz w:val="18"/>
                        <w:szCs w:val="18"/>
                      </w:rPr>
                      <w:t>146,627,419.57</w:t>
                    </w:r>
                  </w:p>
                </w:tc>
                <w:tc>
                  <w:tcPr>
                    <w:tcW w:w="406" w:type="pct"/>
                    <w:tcBorders>
                      <w:top w:val="single" w:sz="6" w:space="0" w:color="auto"/>
                      <w:left w:val="single" w:sz="6" w:space="0" w:color="auto"/>
                      <w:bottom w:val="single" w:sz="4" w:space="0" w:color="auto"/>
                      <w:right w:val="single" w:sz="6" w:space="0" w:color="auto"/>
                    </w:tcBorders>
                  </w:tcPr>
                  <w:p w14:paraId="5BA79662" w14:textId="77777777" w:rsidR="00D14C1C" w:rsidRPr="00753A4B" w:rsidRDefault="00D14C1C">
                    <w:pPr>
                      <w:jc w:val="right"/>
                      <w:rPr>
                        <w:sz w:val="18"/>
                        <w:szCs w:val="18"/>
                      </w:rPr>
                    </w:pPr>
                    <w:r w:rsidRPr="00753A4B">
                      <w:rPr>
                        <w:rFonts w:hint="eastAsia"/>
                        <w:sz w:val="18"/>
                        <w:szCs w:val="18"/>
                      </w:rPr>
                      <w:t>415,906,048.06</w:t>
                    </w:r>
                  </w:p>
                </w:tc>
                <w:tc>
                  <w:tcPr>
                    <w:tcW w:w="338" w:type="pct"/>
                    <w:tcBorders>
                      <w:top w:val="single" w:sz="6" w:space="0" w:color="auto"/>
                      <w:left w:val="single" w:sz="6" w:space="0" w:color="auto"/>
                      <w:bottom w:val="single" w:sz="4" w:space="0" w:color="auto"/>
                      <w:right w:val="single" w:sz="6" w:space="0" w:color="auto"/>
                    </w:tcBorders>
                  </w:tcPr>
                  <w:p w14:paraId="47412111" w14:textId="77777777" w:rsidR="00D14C1C" w:rsidRPr="00753A4B" w:rsidRDefault="00D14C1C">
                    <w:pPr>
                      <w:jc w:val="right"/>
                      <w:rPr>
                        <w:sz w:val="18"/>
                        <w:szCs w:val="18"/>
                      </w:rPr>
                    </w:pPr>
                    <w:r w:rsidRPr="00753A4B">
                      <w:rPr>
                        <w:rFonts w:hint="eastAsia"/>
                        <w:sz w:val="18"/>
                        <w:szCs w:val="18"/>
                      </w:rPr>
                      <w:t>562,533,467.63</w:t>
                    </w:r>
                  </w:p>
                </w:tc>
                <w:tc>
                  <w:tcPr>
                    <w:tcW w:w="337" w:type="pct"/>
                    <w:tcBorders>
                      <w:top w:val="single" w:sz="6" w:space="0" w:color="auto"/>
                      <w:left w:val="single" w:sz="6" w:space="0" w:color="auto"/>
                      <w:bottom w:val="single" w:sz="4" w:space="0" w:color="auto"/>
                      <w:right w:val="single" w:sz="6" w:space="0" w:color="auto"/>
                    </w:tcBorders>
                  </w:tcPr>
                  <w:p w14:paraId="289E5F7F" w14:textId="77777777" w:rsidR="00D14C1C" w:rsidRPr="00753A4B" w:rsidRDefault="00D14C1C">
                    <w:pPr>
                      <w:jc w:val="right"/>
                      <w:rPr>
                        <w:sz w:val="18"/>
                        <w:szCs w:val="18"/>
                      </w:rPr>
                    </w:pPr>
                    <w:r w:rsidRPr="00753A4B">
                      <w:rPr>
                        <w:rFonts w:hint="eastAsia"/>
                        <w:sz w:val="18"/>
                        <w:szCs w:val="18"/>
                      </w:rPr>
                      <w:t>228,699,279.97</w:t>
                    </w:r>
                  </w:p>
                </w:tc>
                <w:tc>
                  <w:tcPr>
                    <w:tcW w:w="339" w:type="pct"/>
                    <w:tcBorders>
                      <w:top w:val="single" w:sz="6" w:space="0" w:color="auto"/>
                      <w:left w:val="single" w:sz="6" w:space="0" w:color="auto"/>
                      <w:bottom w:val="single" w:sz="4" w:space="0" w:color="auto"/>
                      <w:right w:val="single" w:sz="6" w:space="0" w:color="auto"/>
                    </w:tcBorders>
                  </w:tcPr>
                  <w:p w14:paraId="5EC24834" w14:textId="77777777" w:rsidR="00D14C1C" w:rsidRPr="00753A4B" w:rsidRDefault="00D14C1C">
                    <w:pPr>
                      <w:jc w:val="right"/>
                      <w:rPr>
                        <w:sz w:val="18"/>
                        <w:szCs w:val="18"/>
                      </w:rPr>
                    </w:pPr>
                    <w:r w:rsidRPr="00753A4B">
                      <w:rPr>
                        <w:rFonts w:hint="eastAsia"/>
                        <w:sz w:val="18"/>
                        <w:szCs w:val="18"/>
                      </w:rPr>
                      <w:t>11,022,930.81</w:t>
                    </w:r>
                  </w:p>
                </w:tc>
                <w:tc>
                  <w:tcPr>
                    <w:tcW w:w="337" w:type="pct"/>
                    <w:tcBorders>
                      <w:top w:val="single" w:sz="6" w:space="0" w:color="auto"/>
                      <w:left w:val="single" w:sz="6" w:space="0" w:color="auto"/>
                      <w:bottom w:val="single" w:sz="4" w:space="0" w:color="auto"/>
                      <w:right w:val="single" w:sz="4" w:space="0" w:color="auto"/>
                    </w:tcBorders>
                  </w:tcPr>
                  <w:p w14:paraId="5E58CE27" w14:textId="77777777" w:rsidR="00D14C1C" w:rsidRPr="00753A4B" w:rsidRDefault="00D14C1C">
                    <w:pPr>
                      <w:jc w:val="right"/>
                      <w:rPr>
                        <w:sz w:val="18"/>
                        <w:szCs w:val="18"/>
                      </w:rPr>
                    </w:pPr>
                    <w:r w:rsidRPr="00753A4B">
                      <w:rPr>
                        <w:rFonts w:hint="eastAsia"/>
                        <w:sz w:val="18"/>
                        <w:szCs w:val="18"/>
                      </w:rPr>
                      <w:t>239,722,210.78</w:t>
                    </w:r>
                  </w:p>
                </w:tc>
              </w:tr>
            </w:sdtContent>
          </w:sdt>
          <w:sdt>
            <w:sdtPr>
              <w:rPr>
                <w:sz w:val="18"/>
                <w:szCs w:val="18"/>
              </w:rPr>
              <w:alias w:val="重要非全资子公司的主要财务信息明细"/>
              <w:tag w:val="_GBC_feef0d2d67a84217a9099e634bb2d3df"/>
              <w:id w:val="-1762211976"/>
              <w:lock w:val="sdtLocked"/>
              <w:placeholder>
                <w:docPart w:val="EA9900C070584A7E84C0B1E5FEC31324"/>
              </w:placeholder>
            </w:sdtPr>
            <w:sdtEndPr/>
            <w:sdtContent>
              <w:tr w:rsidR="00753A4B" w14:paraId="0F99AC5B" w14:textId="77777777" w:rsidTr="00753A4B">
                <w:tc>
                  <w:tcPr>
                    <w:tcW w:w="541" w:type="pct"/>
                    <w:tcBorders>
                      <w:top w:val="single" w:sz="6" w:space="0" w:color="auto"/>
                      <w:left w:val="single" w:sz="4" w:space="0" w:color="auto"/>
                      <w:bottom w:val="single" w:sz="4" w:space="0" w:color="auto"/>
                      <w:right w:val="single" w:sz="6" w:space="0" w:color="auto"/>
                    </w:tcBorders>
                  </w:tcPr>
                  <w:p w14:paraId="0E7236A0" w14:textId="77777777" w:rsidR="00D14C1C" w:rsidRPr="00753A4B" w:rsidRDefault="00D14C1C">
                    <w:pPr>
                      <w:rPr>
                        <w:sz w:val="18"/>
                        <w:szCs w:val="18"/>
                      </w:rPr>
                    </w:pPr>
                    <w:r w:rsidRPr="00753A4B">
                      <w:rPr>
                        <w:rFonts w:hint="eastAsia"/>
                        <w:sz w:val="18"/>
                        <w:szCs w:val="18"/>
                      </w:rPr>
                      <w:t>北京天海低温设备有限公司</w:t>
                    </w:r>
                  </w:p>
                </w:tc>
                <w:tc>
                  <w:tcPr>
                    <w:tcW w:w="473" w:type="pct"/>
                    <w:tcBorders>
                      <w:top w:val="single" w:sz="6" w:space="0" w:color="auto"/>
                      <w:left w:val="single" w:sz="6" w:space="0" w:color="auto"/>
                      <w:bottom w:val="single" w:sz="4" w:space="0" w:color="auto"/>
                      <w:right w:val="single" w:sz="6" w:space="0" w:color="auto"/>
                    </w:tcBorders>
                  </w:tcPr>
                  <w:p w14:paraId="4EA6471B" w14:textId="77777777" w:rsidR="00D14C1C" w:rsidRPr="00753A4B" w:rsidRDefault="00D14C1C">
                    <w:pPr>
                      <w:jc w:val="right"/>
                      <w:rPr>
                        <w:sz w:val="18"/>
                        <w:szCs w:val="18"/>
                      </w:rPr>
                    </w:pPr>
                    <w:r w:rsidRPr="00753A4B">
                      <w:rPr>
                        <w:rFonts w:hint="eastAsia"/>
                        <w:sz w:val="18"/>
                        <w:szCs w:val="18"/>
                      </w:rPr>
                      <w:t>136,219,089.19</w:t>
                    </w:r>
                  </w:p>
                </w:tc>
                <w:tc>
                  <w:tcPr>
                    <w:tcW w:w="405" w:type="pct"/>
                    <w:tcBorders>
                      <w:top w:val="single" w:sz="6" w:space="0" w:color="auto"/>
                      <w:left w:val="single" w:sz="6" w:space="0" w:color="auto"/>
                      <w:bottom w:val="single" w:sz="4" w:space="0" w:color="auto"/>
                      <w:right w:val="single" w:sz="6" w:space="0" w:color="auto"/>
                    </w:tcBorders>
                  </w:tcPr>
                  <w:p w14:paraId="5C02AC60" w14:textId="77777777" w:rsidR="00D14C1C" w:rsidRPr="00753A4B" w:rsidRDefault="00D14C1C">
                    <w:pPr>
                      <w:jc w:val="right"/>
                      <w:rPr>
                        <w:sz w:val="18"/>
                        <w:szCs w:val="18"/>
                      </w:rPr>
                    </w:pPr>
                    <w:r w:rsidRPr="00753A4B">
                      <w:rPr>
                        <w:rFonts w:hint="eastAsia"/>
                        <w:sz w:val="18"/>
                        <w:szCs w:val="18"/>
                      </w:rPr>
                      <w:t>18,953,511.86</w:t>
                    </w:r>
                  </w:p>
                </w:tc>
                <w:tc>
                  <w:tcPr>
                    <w:tcW w:w="338" w:type="pct"/>
                    <w:tcBorders>
                      <w:top w:val="single" w:sz="6" w:space="0" w:color="auto"/>
                      <w:left w:val="single" w:sz="6" w:space="0" w:color="auto"/>
                      <w:bottom w:val="single" w:sz="4" w:space="0" w:color="auto"/>
                      <w:right w:val="single" w:sz="6" w:space="0" w:color="auto"/>
                    </w:tcBorders>
                  </w:tcPr>
                  <w:p w14:paraId="6D9BC958" w14:textId="77777777" w:rsidR="00D14C1C" w:rsidRPr="00753A4B" w:rsidRDefault="00D14C1C">
                    <w:pPr>
                      <w:jc w:val="right"/>
                      <w:rPr>
                        <w:sz w:val="18"/>
                        <w:szCs w:val="18"/>
                      </w:rPr>
                    </w:pPr>
                    <w:r w:rsidRPr="00753A4B">
                      <w:rPr>
                        <w:rFonts w:hint="eastAsia"/>
                        <w:sz w:val="18"/>
                        <w:szCs w:val="18"/>
                      </w:rPr>
                      <w:t>155,172,601.05</w:t>
                    </w:r>
                  </w:p>
                </w:tc>
                <w:tc>
                  <w:tcPr>
                    <w:tcW w:w="338" w:type="pct"/>
                    <w:tcBorders>
                      <w:top w:val="single" w:sz="6" w:space="0" w:color="auto"/>
                      <w:left w:val="single" w:sz="6" w:space="0" w:color="auto"/>
                      <w:bottom w:val="single" w:sz="4" w:space="0" w:color="auto"/>
                      <w:right w:val="single" w:sz="6" w:space="0" w:color="auto"/>
                    </w:tcBorders>
                  </w:tcPr>
                  <w:p w14:paraId="0C883972" w14:textId="77777777" w:rsidR="00D14C1C" w:rsidRPr="00753A4B" w:rsidRDefault="00D14C1C">
                    <w:pPr>
                      <w:jc w:val="right"/>
                      <w:rPr>
                        <w:sz w:val="18"/>
                        <w:szCs w:val="18"/>
                      </w:rPr>
                    </w:pPr>
                    <w:r w:rsidRPr="00753A4B">
                      <w:rPr>
                        <w:rFonts w:hint="eastAsia"/>
                        <w:sz w:val="18"/>
                        <w:szCs w:val="18"/>
                      </w:rPr>
                      <w:t>196,584,716.96</w:t>
                    </w:r>
                  </w:p>
                </w:tc>
                <w:tc>
                  <w:tcPr>
                    <w:tcW w:w="405" w:type="pct"/>
                    <w:tcBorders>
                      <w:top w:val="single" w:sz="6" w:space="0" w:color="auto"/>
                      <w:left w:val="single" w:sz="6" w:space="0" w:color="auto"/>
                      <w:bottom w:val="single" w:sz="4" w:space="0" w:color="auto"/>
                      <w:right w:val="single" w:sz="6" w:space="0" w:color="auto"/>
                    </w:tcBorders>
                  </w:tcPr>
                  <w:p w14:paraId="61108348" w14:textId="77777777" w:rsidR="00D14C1C" w:rsidRPr="00753A4B" w:rsidRDefault="00D14C1C">
                    <w:pPr>
                      <w:jc w:val="right"/>
                      <w:rPr>
                        <w:sz w:val="18"/>
                        <w:szCs w:val="18"/>
                      </w:rPr>
                    </w:pPr>
                    <w:r w:rsidRPr="00753A4B">
                      <w:rPr>
                        <w:rFonts w:hint="eastAsia"/>
                        <w:sz w:val="18"/>
                        <w:szCs w:val="18"/>
                      </w:rPr>
                      <w:t>4,845,963.03</w:t>
                    </w:r>
                  </w:p>
                </w:tc>
                <w:tc>
                  <w:tcPr>
                    <w:tcW w:w="338" w:type="pct"/>
                    <w:tcBorders>
                      <w:top w:val="single" w:sz="6" w:space="0" w:color="auto"/>
                      <w:left w:val="single" w:sz="6" w:space="0" w:color="auto"/>
                      <w:bottom w:val="single" w:sz="4" w:space="0" w:color="auto"/>
                      <w:right w:val="single" w:sz="6" w:space="0" w:color="auto"/>
                    </w:tcBorders>
                  </w:tcPr>
                  <w:p w14:paraId="51895C30" w14:textId="77777777" w:rsidR="00D14C1C" w:rsidRPr="00753A4B" w:rsidRDefault="00D14C1C">
                    <w:pPr>
                      <w:jc w:val="right"/>
                      <w:rPr>
                        <w:sz w:val="18"/>
                        <w:szCs w:val="18"/>
                      </w:rPr>
                    </w:pPr>
                    <w:r w:rsidRPr="00753A4B">
                      <w:rPr>
                        <w:rFonts w:hint="eastAsia"/>
                        <w:sz w:val="18"/>
                        <w:szCs w:val="18"/>
                      </w:rPr>
                      <w:t>201,430,679.99</w:t>
                    </w:r>
                  </w:p>
                </w:tc>
                <w:tc>
                  <w:tcPr>
                    <w:tcW w:w="405" w:type="pct"/>
                    <w:tcBorders>
                      <w:top w:val="single" w:sz="6" w:space="0" w:color="auto"/>
                      <w:left w:val="single" w:sz="6" w:space="0" w:color="auto"/>
                      <w:bottom w:val="single" w:sz="4" w:space="0" w:color="auto"/>
                      <w:right w:val="single" w:sz="6" w:space="0" w:color="auto"/>
                    </w:tcBorders>
                  </w:tcPr>
                  <w:p w14:paraId="1DA28105" w14:textId="77777777" w:rsidR="00D14C1C" w:rsidRPr="00753A4B" w:rsidRDefault="00D14C1C">
                    <w:pPr>
                      <w:jc w:val="right"/>
                      <w:rPr>
                        <w:sz w:val="18"/>
                        <w:szCs w:val="18"/>
                      </w:rPr>
                    </w:pPr>
                    <w:r w:rsidRPr="00753A4B">
                      <w:rPr>
                        <w:rFonts w:hint="eastAsia"/>
                        <w:sz w:val="18"/>
                        <w:szCs w:val="18"/>
                      </w:rPr>
                      <w:t>145,262,193.46</w:t>
                    </w:r>
                  </w:p>
                </w:tc>
                <w:tc>
                  <w:tcPr>
                    <w:tcW w:w="406" w:type="pct"/>
                    <w:tcBorders>
                      <w:top w:val="single" w:sz="6" w:space="0" w:color="auto"/>
                      <w:left w:val="single" w:sz="6" w:space="0" w:color="auto"/>
                      <w:bottom w:val="single" w:sz="4" w:space="0" w:color="auto"/>
                      <w:right w:val="single" w:sz="6" w:space="0" w:color="auto"/>
                    </w:tcBorders>
                  </w:tcPr>
                  <w:p w14:paraId="7E3C5FA6" w14:textId="77777777" w:rsidR="00D14C1C" w:rsidRPr="00753A4B" w:rsidRDefault="00D14C1C">
                    <w:pPr>
                      <w:jc w:val="right"/>
                      <w:rPr>
                        <w:sz w:val="18"/>
                        <w:szCs w:val="18"/>
                      </w:rPr>
                    </w:pPr>
                    <w:r w:rsidRPr="00753A4B">
                      <w:rPr>
                        <w:rFonts w:hint="eastAsia"/>
                        <w:sz w:val="18"/>
                        <w:szCs w:val="18"/>
                      </w:rPr>
                      <w:t>24,803,580.57</w:t>
                    </w:r>
                  </w:p>
                </w:tc>
                <w:tc>
                  <w:tcPr>
                    <w:tcW w:w="338" w:type="pct"/>
                    <w:tcBorders>
                      <w:top w:val="single" w:sz="6" w:space="0" w:color="auto"/>
                      <w:left w:val="single" w:sz="6" w:space="0" w:color="auto"/>
                      <w:bottom w:val="single" w:sz="4" w:space="0" w:color="auto"/>
                      <w:right w:val="single" w:sz="6" w:space="0" w:color="auto"/>
                    </w:tcBorders>
                  </w:tcPr>
                  <w:p w14:paraId="6D2E6467" w14:textId="77777777" w:rsidR="00D14C1C" w:rsidRPr="00753A4B" w:rsidRDefault="00D14C1C">
                    <w:pPr>
                      <w:jc w:val="right"/>
                      <w:rPr>
                        <w:sz w:val="18"/>
                        <w:szCs w:val="18"/>
                      </w:rPr>
                    </w:pPr>
                    <w:r w:rsidRPr="00753A4B">
                      <w:rPr>
                        <w:rFonts w:hint="eastAsia"/>
                        <w:sz w:val="18"/>
                        <w:szCs w:val="18"/>
                      </w:rPr>
                      <w:t>170,065,774.03</w:t>
                    </w:r>
                  </w:p>
                </w:tc>
                <w:tc>
                  <w:tcPr>
                    <w:tcW w:w="337" w:type="pct"/>
                    <w:tcBorders>
                      <w:top w:val="single" w:sz="6" w:space="0" w:color="auto"/>
                      <w:left w:val="single" w:sz="6" w:space="0" w:color="auto"/>
                      <w:bottom w:val="single" w:sz="4" w:space="0" w:color="auto"/>
                      <w:right w:val="single" w:sz="6" w:space="0" w:color="auto"/>
                    </w:tcBorders>
                  </w:tcPr>
                  <w:p w14:paraId="27CEC26C" w14:textId="77777777" w:rsidR="00D14C1C" w:rsidRPr="00753A4B" w:rsidRDefault="00D14C1C">
                    <w:pPr>
                      <w:jc w:val="right"/>
                      <w:rPr>
                        <w:sz w:val="18"/>
                        <w:szCs w:val="18"/>
                      </w:rPr>
                    </w:pPr>
                    <w:r w:rsidRPr="00753A4B">
                      <w:rPr>
                        <w:rFonts w:hint="eastAsia"/>
                        <w:sz w:val="18"/>
                        <w:szCs w:val="18"/>
                      </w:rPr>
                      <w:t>210,884,867.09</w:t>
                    </w:r>
                  </w:p>
                </w:tc>
                <w:tc>
                  <w:tcPr>
                    <w:tcW w:w="339" w:type="pct"/>
                    <w:tcBorders>
                      <w:top w:val="single" w:sz="6" w:space="0" w:color="auto"/>
                      <w:left w:val="single" w:sz="6" w:space="0" w:color="auto"/>
                      <w:bottom w:val="single" w:sz="4" w:space="0" w:color="auto"/>
                      <w:right w:val="single" w:sz="6" w:space="0" w:color="auto"/>
                    </w:tcBorders>
                  </w:tcPr>
                  <w:p w14:paraId="42057E94" w14:textId="77777777" w:rsidR="00D14C1C" w:rsidRPr="00753A4B" w:rsidRDefault="00D14C1C">
                    <w:pPr>
                      <w:jc w:val="right"/>
                      <w:rPr>
                        <w:sz w:val="18"/>
                        <w:szCs w:val="18"/>
                      </w:rPr>
                    </w:pPr>
                    <w:r w:rsidRPr="00753A4B">
                      <w:rPr>
                        <w:rFonts w:hint="eastAsia"/>
                        <w:sz w:val="18"/>
                        <w:szCs w:val="18"/>
                      </w:rPr>
                      <w:t>4,845,963.03</w:t>
                    </w:r>
                  </w:p>
                </w:tc>
                <w:tc>
                  <w:tcPr>
                    <w:tcW w:w="337" w:type="pct"/>
                    <w:tcBorders>
                      <w:top w:val="single" w:sz="6" w:space="0" w:color="auto"/>
                      <w:left w:val="single" w:sz="6" w:space="0" w:color="auto"/>
                      <w:bottom w:val="single" w:sz="4" w:space="0" w:color="auto"/>
                      <w:right w:val="single" w:sz="4" w:space="0" w:color="auto"/>
                    </w:tcBorders>
                  </w:tcPr>
                  <w:p w14:paraId="67D5C955" w14:textId="77777777" w:rsidR="00D14C1C" w:rsidRPr="00753A4B" w:rsidRDefault="00D14C1C">
                    <w:pPr>
                      <w:jc w:val="right"/>
                      <w:rPr>
                        <w:sz w:val="18"/>
                        <w:szCs w:val="18"/>
                      </w:rPr>
                    </w:pPr>
                    <w:r w:rsidRPr="00753A4B">
                      <w:rPr>
                        <w:rFonts w:hint="eastAsia"/>
                        <w:sz w:val="18"/>
                        <w:szCs w:val="18"/>
                      </w:rPr>
                      <w:t>215,730,830.12</w:t>
                    </w:r>
                  </w:p>
                </w:tc>
              </w:tr>
            </w:sdtContent>
          </w:sdt>
          <w:sdt>
            <w:sdtPr>
              <w:rPr>
                <w:sz w:val="18"/>
                <w:szCs w:val="18"/>
              </w:rPr>
              <w:alias w:val="重要非全资子公司的主要财务信息明细"/>
              <w:tag w:val="_GBC_feef0d2d67a84217a9099e634bb2d3df"/>
              <w:id w:val="-1202777156"/>
              <w:lock w:val="sdtLocked"/>
              <w:placeholder>
                <w:docPart w:val="EA9900C070584A7E84C0B1E5FEC31324"/>
              </w:placeholder>
            </w:sdtPr>
            <w:sdtEndPr/>
            <w:sdtContent>
              <w:tr w:rsidR="00753A4B" w14:paraId="52EE30AD" w14:textId="77777777" w:rsidTr="00753A4B">
                <w:tc>
                  <w:tcPr>
                    <w:tcW w:w="541" w:type="pct"/>
                    <w:tcBorders>
                      <w:top w:val="single" w:sz="6" w:space="0" w:color="auto"/>
                      <w:left w:val="single" w:sz="4" w:space="0" w:color="auto"/>
                      <w:bottom w:val="single" w:sz="4" w:space="0" w:color="auto"/>
                      <w:right w:val="single" w:sz="6" w:space="0" w:color="auto"/>
                    </w:tcBorders>
                  </w:tcPr>
                  <w:p w14:paraId="1575D6CF" w14:textId="77777777" w:rsidR="00D14C1C" w:rsidRPr="00753A4B" w:rsidRDefault="00D14C1C">
                    <w:pPr>
                      <w:rPr>
                        <w:sz w:val="18"/>
                        <w:szCs w:val="18"/>
                      </w:rPr>
                    </w:pPr>
                    <w:r w:rsidRPr="00753A4B">
                      <w:rPr>
                        <w:rFonts w:hint="eastAsia"/>
                        <w:sz w:val="18"/>
                        <w:szCs w:val="18"/>
                      </w:rPr>
                      <w:t>天海美洲公司</w:t>
                    </w:r>
                  </w:p>
                </w:tc>
                <w:tc>
                  <w:tcPr>
                    <w:tcW w:w="473" w:type="pct"/>
                    <w:tcBorders>
                      <w:top w:val="single" w:sz="6" w:space="0" w:color="auto"/>
                      <w:left w:val="single" w:sz="6" w:space="0" w:color="auto"/>
                      <w:bottom w:val="single" w:sz="4" w:space="0" w:color="auto"/>
                      <w:right w:val="single" w:sz="6" w:space="0" w:color="auto"/>
                    </w:tcBorders>
                  </w:tcPr>
                  <w:p w14:paraId="64BE7C11" w14:textId="77777777" w:rsidR="00D14C1C" w:rsidRPr="00753A4B" w:rsidRDefault="00D14C1C">
                    <w:pPr>
                      <w:jc w:val="right"/>
                      <w:rPr>
                        <w:sz w:val="18"/>
                        <w:szCs w:val="18"/>
                      </w:rPr>
                    </w:pPr>
                    <w:r w:rsidRPr="00753A4B">
                      <w:rPr>
                        <w:rFonts w:hint="eastAsia"/>
                        <w:sz w:val="18"/>
                        <w:szCs w:val="18"/>
                      </w:rPr>
                      <w:t>44,817,281.35</w:t>
                    </w:r>
                  </w:p>
                </w:tc>
                <w:tc>
                  <w:tcPr>
                    <w:tcW w:w="405" w:type="pct"/>
                    <w:tcBorders>
                      <w:top w:val="single" w:sz="6" w:space="0" w:color="auto"/>
                      <w:left w:val="single" w:sz="6" w:space="0" w:color="auto"/>
                      <w:bottom w:val="single" w:sz="4" w:space="0" w:color="auto"/>
                      <w:right w:val="single" w:sz="6" w:space="0" w:color="auto"/>
                    </w:tcBorders>
                  </w:tcPr>
                  <w:p w14:paraId="7AAA9334" w14:textId="77777777" w:rsidR="00D14C1C" w:rsidRPr="00753A4B" w:rsidRDefault="00D14C1C">
                    <w:pPr>
                      <w:jc w:val="right"/>
                      <w:rPr>
                        <w:sz w:val="18"/>
                        <w:szCs w:val="18"/>
                      </w:rPr>
                    </w:pPr>
                    <w:r w:rsidRPr="00753A4B">
                      <w:rPr>
                        <w:rFonts w:hint="eastAsia"/>
                        <w:sz w:val="18"/>
                        <w:szCs w:val="18"/>
                      </w:rPr>
                      <w:t>44,542.39</w:t>
                    </w:r>
                  </w:p>
                </w:tc>
                <w:tc>
                  <w:tcPr>
                    <w:tcW w:w="338" w:type="pct"/>
                    <w:tcBorders>
                      <w:top w:val="single" w:sz="6" w:space="0" w:color="auto"/>
                      <w:left w:val="single" w:sz="6" w:space="0" w:color="auto"/>
                      <w:bottom w:val="single" w:sz="4" w:space="0" w:color="auto"/>
                      <w:right w:val="single" w:sz="6" w:space="0" w:color="auto"/>
                    </w:tcBorders>
                  </w:tcPr>
                  <w:p w14:paraId="7CDE3BD5" w14:textId="77777777" w:rsidR="00D14C1C" w:rsidRPr="00753A4B" w:rsidRDefault="00D14C1C">
                    <w:pPr>
                      <w:jc w:val="right"/>
                      <w:rPr>
                        <w:sz w:val="18"/>
                        <w:szCs w:val="18"/>
                      </w:rPr>
                    </w:pPr>
                    <w:r w:rsidRPr="00753A4B">
                      <w:rPr>
                        <w:rFonts w:hint="eastAsia"/>
                        <w:sz w:val="18"/>
                        <w:szCs w:val="18"/>
                      </w:rPr>
                      <w:t>44,861,823.74</w:t>
                    </w:r>
                  </w:p>
                </w:tc>
                <w:tc>
                  <w:tcPr>
                    <w:tcW w:w="338" w:type="pct"/>
                    <w:tcBorders>
                      <w:top w:val="single" w:sz="6" w:space="0" w:color="auto"/>
                      <w:left w:val="single" w:sz="6" w:space="0" w:color="auto"/>
                      <w:bottom w:val="single" w:sz="4" w:space="0" w:color="auto"/>
                      <w:right w:val="single" w:sz="6" w:space="0" w:color="auto"/>
                    </w:tcBorders>
                  </w:tcPr>
                  <w:p w14:paraId="74AA43A6" w14:textId="77777777" w:rsidR="00D14C1C" w:rsidRPr="00753A4B" w:rsidRDefault="00D14C1C">
                    <w:pPr>
                      <w:jc w:val="right"/>
                      <w:rPr>
                        <w:sz w:val="18"/>
                        <w:szCs w:val="18"/>
                      </w:rPr>
                    </w:pPr>
                    <w:r w:rsidRPr="00753A4B">
                      <w:rPr>
                        <w:rFonts w:hint="eastAsia"/>
                        <w:sz w:val="18"/>
                        <w:szCs w:val="18"/>
                      </w:rPr>
                      <w:t>13,771,531.88</w:t>
                    </w:r>
                  </w:p>
                </w:tc>
                <w:tc>
                  <w:tcPr>
                    <w:tcW w:w="405" w:type="pct"/>
                    <w:tcBorders>
                      <w:top w:val="single" w:sz="6" w:space="0" w:color="auto"/>
                      <w:left w:val="single" w:sz="6" w:space="0" w:color="auto"/>
                      <w:bottom w:val="single" w:sz="4" w:space="0" w:color="auto"/>
                      <w:right w:val="single" w:sz="6" w:space="0" w:color="auto"/>
                    </w:tcBorders>
                  </w:tcPr>
                  <w:p w14:paraId="42F23F73" w14:textId="77777777" w:rsidR="00D14C1C" w:rsidRPr="00753A4B" w:rsidRDefault="00D14C1C">
                    <w:pPr>
                      <w:jc w:val="right"/>
                      <w:rPr>
                        <w:sz w:val="18"/>
                        <w:szCs w:val="18"/>
                      </w:rPr>
                    </w:pPr>
                    <w:r w:rsidRPr="00753A4B">
                      <w:rPr>
                        <w:rFonts w:hint="eastAsia"/>
                        <w:sz w:val="18"/>
                        <w:szCs w:val="18"/>
                      </w:rPr>
                      <w:t>0.00</w:t>
                    </w:r>
                  </w:p>
                </w:tc>
                <w:tc>
                  <w:tcPr>
                    <w:tcW w:w="338" w:type="pct"/>
                    <w:tcBorders>
                      <w:top w:val="single" w:sz="6" w:space="0" w:color="auto"/>
                      <w:left w:val="single" w:sz="6" w:space="0" w:color="auto"/>
                      <w:bottom w:val="single" w:sz="4" w:space="0" w:color="auto"/>
                      <w:right w:val="single" w:sz="6" w:space="0" w:color="auto"/>
                    </w:tcBorders>
                  </w:tcPr>
                  <w:p w14:paraId="6278FA43" w14:textId="77777777" w:rsidR="00D14C1C" w:rsidRPr="00753A4B" w:rsidRDefault="00D14C1C">
                    <w:pPr>
                      <w:jc w:val="right"/>
                      <w:rPr>
                        <w:sz w:val="18"/>
                        <w:szCs w:val="18"/>
                      </w:rPr>
                    </w:pPr>
                    <w:r w:rsidRPr="00753A4B">
                      <w:rPr>
                        <w:rFonts w:hint="eastAsia"/>
                        <w:sz w:val="18"/>
                        <w:szCs w:val="18"/>
                      </w:rPr>
                      <w:t>13,771,531.88</w:t>
                    </w:r>
                  </w:p>
                </w:tc>
                <w:tc>
                  <w:tcPr>
                    <w:tcW w:w="405" w:type="pct"/>
                    <w:tcBorders>
                      <w:top w:val="single" w:sz="6" w:space="0" w:color="auto"/>
                      <w:left w:val="single" w:sz="6" w:space="0" w:color="auto"/>
                      <w:bottom w:val="single" w:sz="4" w:space="0" w:color="auto"/>
                      <w:right w:val="single" w:sz="6" w:space="0" w:color="auto"/>
                    </w:tcBorders>
                  </w:tcPr>
                  <w:p w14:paraId="5625D439" w14:textId="77777777" w:rsidR="00D14C1C" w:rsidRPr="00753A4B" w:rsidRDefault="00D14C1C">
                    <w:pPr>
                      <w:jc w:val="right"/>
                      <w:rPr>
                        <w:sz w:val="18"/>
                        <w:szCs w:val="18"/>
                      </w:rPr>
                    </w:pPr>
                    <w:r w:rsidRPr="00753A4B">
                      <w:rPr>
                        <w:rFonts w:hint="eastAsia"/>
                        <w:sz w:val="18"/>
                        <w:szCs w:val="18"/>
                      </w:rPr>
                      <w:t>53,556,685.68</w:t>
                    </w:r>
                  </w:p>
                </w:tc>
                <w:tc>
                  <w:tcPr>
                    <w:tcW w:w="406" w:type="pct"/>
                    <w:tcBorders>
                      <w:top w:val="single" w:sz="6" w:space="0" w:color="auto"/>
                      <w:left w:val="single" w:sz="6" w:space="0" w:color="auto"/>
                      <w:bottom w:val="single" w:sz="4" w:space="0" w:color="auto"/>
                      <w:right w:val="single" w:sz="6" w:space="0" w:color="auto"/>
                    </w:tcBorders>
                  </w:tcPr>
                  <w:p w14:paraId="044B8087" w14:textId="77777777" w:rsidR="00D14C1C" w:rsidRPr="00753A4B" w:rsidRDefault="00D14C1C">
                    <w:pPr>
                      <w:jc w:val="right"/>
                      <w:rPr>
                        <w:sz w:val="18"/>
                        <w:szCs w:val="18"/>
                      </w:rPr>
                    </w:pPr>
                    <w:r w:rsidRPr="00753A4B">
                      <w:rPr>
                        <w:rFonts w:hint="eastAsia"/>
                        <w:sz w:val="18"/>
                        <w:szCs w:val="18"/>
                      </w:rPr>
                      <w:t>44,560.89</w:t>
                    </w:r>
                  </w:p>
                </w:tc>
                <w:tc>
                  <w:tcPr>
                    <w:tcW w:w="338" w:type="pct"/>
                    <w:tcBorders>
                      <w:top w:val="single" w:sz="6" w:space="0" w:color="auto"/>
                      <w:left w:val="single" w:sz="6" w:space="0" w:color="auto"/>
                      <w:bottom w:val="single" w:sz="4" w:space="0" w:color="auto"/>
                      <w:right w:val="single" w:sz="6" w:space="0" w:color="auto"/>
                    </w:tcBorders>
                  </w:tcPr>
                  <w:p w14:paraId="5F8E6B25" w14:textId="77777777" w:rsidR="00D14C1C" w:rsidRPr="00753A4B" w:rsidRDefault="00D14C1C">
                    <w:pPr>
                      <w:jc w:val="right"/>
                      <w:rPr>
                        <w:sz w:val="18"/>
                        <w:szCs w:val="18"/>
                      </w:rPr>
                    </w:pPr>
                    <w:r w:rsidRPr="00753A4B">
                      <w:rPr>
                        <w:rFonts w:hint="eastAsia"/>
                        <w:sz w:val="18"/>
                        <w:szCs w:val="18"/>
                      </w:rPr>
                      <w:t>53,601,246.57</w:t>
                    </w:r>
                  </w:p>
                </w:tc>
                <w:tc>
                  <w:tcPr>
                    <w:tcW w:w="337" w:type="pct"/>
                    <w:tcBorders>
                      <w:top w:val="single" w:sz="6" w:space="0" w:color="auto"/>
                      <w:left w:val="single" w:sz="6" w:space="0" w:color="auto"/>
                      <w:bottom w:val="single" w:sz="4" w:space="0" w:color="auto"/>
                      <w:right w:val="single" w:sz="6" w:space="0" w:color="auto"/>
                    </w:tcBorders>
                  </w:tcPr>
                  <w:p w14:paraId="75B15BCE" w14:textId="77777777" w:rsidR="00D14C1C" w:rsidRPr="00753A4B" w:rsidRDefault="00D14C1C">
                    <w:pPr>
                      <w:jc w:val="right"/>
                      <w:rPr>
                        <w:sz w:val="18"/>
                        <w:szCs w:val="18"/>
                      </w:rPr>
                    </w:pPr>
                    <w:r w:rsidRPr="00753A4B">
                      <w:rPr>
                        <w:rFonts w:hint="eastAsia"/>
                        <w:sz w:val="18"/>
                        <w:szCs w:val="18"/>
                      </w:rPr>
                      <w:t>24,442,517.59</w:t>
                    </w:r>
                  </w:p>
                </w:tc>
                <w:tc>
                  <w:tcPr>
                    <w:tcW w:w="339" w:type="pct"/>
                    <w:tcBorders>
                      <w:top w:val="single" w:sz="6" w:space="0" w:color="auto"/>
                      <w:left w:val="single" w:sz="6" w:space="0" w:color="auto"/>
                      <w:bottom w:val="single" w:sz="4" w:space="0" w:color="auto"/>
                      <w:right w:val="single" w:sz="6" w:space="0" w:color="auto"/>
                    </w:tcBorders>
                  </w:tcPr>
                  <w:p w14:paraId="301BE739" w14:textId="77777777" w:rsidR="00D14C1C" w:rsidRPr="00753A4B" w:rsidRDefault="00D14C1C">
                    <w:pPr>
                      <w:jc w:val="right"/>
                      <w:rPr>
                        <w:sz w:val="18"/>
                        <w:szCs w:val="18"/>
                      </w:rPr>
                    </w:pPr>
                    <w:r w:rsidRPr="00753A4B">
                      <w:rPr>
                        <w:rFonts w:hint="eastAsia"/>
                        <w:sz w:val="18"/>
                        <w:szCs w:val="18"/>
                      </w:rPr>
                      <w:t>1,154,907.30</w:t>
                    </w:r>
                  </w:p>
                </w:tc>
                <w:tc>
                  <w:tcPr>
                    <w:tcW w:w="337" w:type="pct"/>
                    <w:tcBorders>
                      <w:top w:val="single" w:sz="6" w:space="0" w:color="auto"/>
                      <w:left w:val="single" w:sz="6" w:space="0" w:color="auto"/>
                      <w:bottom w:val="single" w:sz="4" w:space="0" w:color="auto"/>
                      <w:right w:val="single" w:sz="4" w:space="0" w:color="auto"/>
                    </w:tcBorders>
                  </w:tcPr>
                  <w:p w14:paraId="39823313" w14:textId="77777777" w:rsidR="00D14C1C" w:rsidRPr="00753A4B" w:rsidRDefault="00D14C1C">
                    <w:pPr>
                      <w:jc w:val="right"/>
                      <w:rPr>
                        <w:sz w:val="18"/>
                        <w:szCs w:val="18"/>
                      </w:rPr>
                    </w:pPr>
                    <w:r w:rsidRPr="00753A4B">
                      <w:rPr>
                        <w:rFonts w:hint="eastAsia"/>
                        <w:sz w:val="18"/>
                        <w:szCs w:val="18"/>
                      </w:rPr>
                      <w:t>25,597,424.89</w:t>
                    </w:r>
                  </w:p>
                </w:tc>
              </w:tr>
            </w:sdtContent>
          </w:sdt>
          <w:sdt>
            <w:sdtPr>
              <w:rPr>
                <w:sz w:val="18"/>
                <w:szCs w:val="18"/>
              </w:rPr>
              <w:alias w:val="重要非全资子公司的主要财务信息明细"/>
              <w:tag w:val="_GBC_feef0d2d67a84217a9099e634bb2d3df"/>
              <w:id w:val="-1544435496"/>
              <w:lock w:val="sdtLocked"/>
              <w:placeholder>
                <w:docPart w:val="EA9900C070584A7E84C0B1E5FEC31324"/>
              </w:placeholder>
            </w:sdtPr>
            <w:sdtEndPr/>
            <w:sdtContent>
              <w:tr w:rsidR="00753A4B" w14:paraId="3A248EDA" w14:textId="77777777" w:rsidTr="00753A4B">
                <w:tc>
                  <w:tcPr>
                    <w:tcW w:w="541" w:type="pct"/>
                    <w:tcBorders>
                      <w:top w:val="single" w:sz="6" w:space="0" w:color="auto"/>
                      <w:left w:val="single" w:sz="4" w:space="0" w:color="auto"/>
                      <w:bottom w:val="single" w:sz="4" w:space="0" w:color="auto"/>
                      <w:right w:val="single" w:sz="6" w:space="0" w:color="auto"/>
                    </w:tcBorders>
                  </w:tcPr>
                  <w:p w14:paraId="16CE2F59" w14:textId="77777777" w:rsidR="00D14C1C" w:rsidRPr="00753A4B" w:rsidRDefault="00D14C1C">
                    <w:pPr>
                      <w:rPr>
                        <w:sz w:val="18"/>
                        <w:szCs w:val="18"/>
                      </w:rPr>
                    </w:pPr>
                    <w:r w:rsidRPr="00753A4B">
                      <w:rPr>
                        <w:rFonts w:hint="eastAsia"/>
                        <w:sz w:val="18"/>
                        <w:szCs w:val="18"/>
                      </w:rPr>
                      <w:t>上海天海复合气瓶有限公司</w:t>
                    </w:r>
                  </w:p>
                </w:tc>
                <w:tc>
                  <w:tcPr>
                    <w:tcW w:w="473" w:type="pct"/>
                    <w:tcBorders>
                      <w:top w:val="single" w:sz="6" w:space="0" w:color="auto"/>
                      <w:left w:val="single" w:sz="6" w:space="0" w:color="auto"/>
                      <w:bottom w:val="single" w:sz="4" w:space="0" w:color="auto"/>
                      <w:right w:val="single" w:sz="6" w:space="0" w:color="auto"/>
                    </w:tcBorders>
                  </w:tcPr>
                  <w:p w14:paraId="7EFB1C48" w14:textId="77777777" w:rsidR="00D14C1C" w:rsidRPr="00753A4B" w:rsidRDefault="00D14C1C">
                    <w:pPr>
                      <w:jc w:val="right"/>
                      <w:rPr>
                        <w:sz w:val="18"/>
                        <w:szCs w:val="18"/>
                      </w:rPr>
                    </w:pPr>
                    <w:r w:rsidRPr="00753A4B">
                      <w:rPr>
                        <w:rFonts w:hint="eastAsia"/>
                        <w:sz w:val="18"/>
                        <w:szCs w:val="18"/>
                      </w:rPr>
                      <w:t>40,059,213.08</w:t>
                    </w:r>
                  </w:p>
                </w:tc>
                <w:tc>
                  <w:tcPr>
                    <w:tcW w:w="405" w:type="pct"/>
                    <w:tcBorders>
                      <w:top w:val="single" w:sz="6" w:space="0" w:color="auto"/>
                      <w:left w:val="single" w:sz="6" w:space="0" w:color="auto"/>
                      <w:bottom w:val="single" w:sz="4" w:space="0" w:color="auto"/>
                      <w:right w:val="single" w:sz="6" w:space="0" w:color="auto"/>
                    </w:tcBorders>
                  </w:tcPr>
                  <w:p w14:paraId="0278E3C8" w14:textId="77777777" w:rsidR="00D14C1C" w:rsidRPr="00753A4B" w:rsidRDefault="00D14C1C">
                    <w:pPr>
                      <w:jc w:val="right"/>
                      <w:rPr>
                        <w:sz w:val="18"/>
                        <w:szCs w:val="18"/>
                      </w:rPr>
                    </w:pPr>
                    <w:r w:rsidRPr="00753A4B">
                      <w:rPr>
                        <w:rFonts w:hint="eastAsia"/>
                        <w:sz w:val="18"/>
                        <w:szCs w:val="18"/>
                      </w:rPr>
                      <w:t>16,697,271.58</w:t>
                    </w:r>
                  </w:p>
                </w:tc>
                <w:tc>
                  <w:tcPr>
                    <w:tcW w:w="338" w:type="pct"/>
                    <w:tcBorders>
                      <w:top w:val="single" w:sz="6" w:space="0" w:color="auto"/>
                      <w:left w:val="single" w:sz="6" w:space="0" w:color="auto"/>
                      <w:bottom w:val="single" w:sz="4" w:space="0" w:color="auto"/>
                      <w:right w:val="single" w:sz="6" w:space="0" w:color="auto"/>
                    </w:tcBorders>
                  </w:tcPr>
                  <w:p w14:paraId="72C7193D" w14:textId="77777777" w:rsidR="00D14C1C" w:rsidRPr="00753A4B" w:rsidRDefault="00D14C1C">
                    <w:pPr>
                      <w:jc w:val="right"/>
                      <w:rPr>
                        <w:sz w:val="18"/>
                        <w:szCs w:val="18"/>
                      </w:rPr>
                    </w:pPr>
                    <w:r w:rsidRPr="00753A4B">
                      <w:rPr>
                        <w:rFonts w:hint="eastAsia"/>
                        <w:sz w:val="18"/>
                        <w:szCs w:val="18"/>
                      </w:rPr>
                      <w:t>56,756,484.66</w:t>
                    </w:r>
                  </w:p>
                </w:tc>
                <w:tc>
                  <w:tcPr>
                    <w:tcW w:w="338" w:type="pct"/>
                    <w:tcBorders>
                      <w:top w:val="single" w:sz="6" w:space="0" w:color="auto"/>
                      <w:left w:val="single" w:sz="6" w:space="0" w:color="auto"/>
                      <w:bottom w:val="single" w:sz="4" w:space="0" w:color="auto"/>
                      <w:right w:val="single" w:sz="6" w:space="0" w:color="auto"/>
                    </w:tcBorders>
                  </w:tcPr>
                  <w:p w14:paraId="5B203218" w14:textId="77777777" w:rsidR="00D14C1C" w:rsidRPr="00753A4B" w:rsidRDefault="00D14C1C">
                    <w:pPr>
                      <w:jc w:val="right"/>
                      <w:rPr>
                        <w:sz w:val="18"/>
                        <w:szCs w:val="18"/>
                      </w:rPr>
                    </w:pPr>
                    <w:r w:rsidRPr="00753A4B">
                      <w:rPr>
                        <w:rFonts w:hint="eastAsia"/>
                        <w:sz w:val="18"/>
                        <w:szCs w:val="18"/>
                      </w:rPr>
                      <w:t>3,575,769.95</w:t>
                    </w:r>
                  </w:p>
                </w:tc>
                <w:tc>
                  <w:tcPr>
                    <w:tcW w:w="405" w:type="pct"/>
                    <w:tcBorders>
                      <w:top w:val="single" w:sz="6" w:space="0" w:color="auto"/>
                      <w:left w:val="single" w:sz="6" w:space="0" w:color="auto"/>
                      <w:bottom w:val="single" w:sz="4" w:space="0" w:color="auto"/>
                      <w:right w:val="single" w:sz="6" w:space="0" w:color="auto"/>
                    </w:tcBorders>
                  </w:tcPr>
                  <w:p w14:paraId="7D2EBA13" w14:textId="77777777" w:rsidR="00D14C1C" w:rsidRPr="00753A4B" w:rsidRDefault="00D14C1C">
                    <w:pPr>
                      <w:jc w:val="right"/>
                      <w:rPr>
                        <w:sz w:val="18"/>
                        <w:szCs w:val="18"/>
                      </w:rPr>
                    </w:pPr>
                    <w:r w:rsidRPr="00753A4B">
                      <w:rPr>
                        <w:rFonts w:hint="eastAsia"/>
                        <w:sz w:val="18"/>
                        <w:szCs w:val="18"/>
                      </w:rPr>
                      <w:t>0.00</w:t>
                    </w:r>
                  </w:p>
                </w:tc>
                <w:tc>
                  <w:tcPr>
                    <w:tcW w:w="338" w:type="pct"/>
                    <w:tcBorders>
                      <w:top w:val="single" w:sz="6" w:space="0" w:color="auto"/>
                      <w:left w:val="single" w:sz="6" w:space="0" w:color="auto"/>
                      <w:bottom w:val="single" w:sz="4" w:space="0" w:color="auto"/>
                      <w:right w:val="single" w:sz="6" w:space="0" w:color="auto"/>
                    </w:tcBorders>
                  </w:tcPr>
                  <w:p w14:paraId="04A578AC" w14:textId="77777777" w:rsidR="00D14C1C" w:rsidRPr="00753A4B" w:rsidRDefault="00D14C1C">
                    <w:pPr>
                      <w:jc w:val="right"/>
                      <w:rPr>
                        <w:sz w:val="18"/>
                        <w:szCs w:val="18"/>
                      </w:rPr>
                    </w:pPr>
                    <w:r w:rsidRPr="00753A4B">
                      <w:rPr>
                        <w:rFonts w:hint="eastAsia"/>
                        <w:sz w:val="18"/>
                        <w:szCs w:val="18"/>
                      </w:rPr>
                      <w:t>3,575,769.95</w:t>
                    </w:r>
                  </w:p>
                </w:tc>
                <w:tc>
                  <w:tcPr>
                    <w:tcW w:w="405" w:type="pct"/>
                    <w:tcBorders>
                      <w:top w:val="single" w:sz="6" w:space="0" w:color="auto"/>
                      <w:left w:val="single" w:sz="6" w:space="0" w:color="auto"/>
                      <w:bottom w:val="single" w:sz="4" w:space="0" w:color="auto"/>
                      <w:right w:val="single" w:sz="6" w:space="0" w:color="auto"/>
                    </w:tcBorders>
                  </w:tcPr>
                  <w:p w14:paraId="5B130512" w14:textId="77777777" w:rsidR="00D14C1C" w:rsidRPr="00753A4B" w:rsidRDefault="00D14C1C">
                    <w:pPr>
                      <w:jc w:val="right"/>
                      <w:rPr>
                        <w:sz w:val="18"/>
                        <w:szCs w:val="18"/>
                      </w:rPr>
                    </w:pPr>
                    <w:r w:rsidRPr="00753A4B">
                      <w:rPr>
                        <w:rFonts w:hint="eastAsia"/>
                        <w:sz w:val="18"/>
                        <w:szCs w:val="18"/>
                      </w:rPr>
                      <w:t>39,980,911.40</w:t>
                    </w:r>
                  </w:p>
                </w:tc>
                <w:tc>
                  <w:tcPr>
                    <w:tcW w:w="406" w:type="pct"/>
                    <w:tcBorders>
                      <w:top w:val="single" w:sz="6" w:space="0" w:color="auto"/>
                      <w:left w:val="single" w:sz="6" w:space="0" w:color="auto"/>
                      <w:bottom w:val="single" w:sz="4" w:space="0" w:color="auto"/>
                      <w:right w:val="single" w:sz="6" w:space="0" w:color="auto"/>
                    </w:tcBorders>
                  </w:tcPr>
                  <w:p w14:paraId="03B67249" w14:textId="77777777" w:rsidR="00D14C1C" w:rsidRPr="00753A4B" w:rsidRDefault="00D14C1C">
                    <w:pPr>
                      <w:jc w:val="right"/>
                      <w:rPr>
                        <w:sz w:val="18"/>
                        <w:szCs w:val="18"/>
                      </w:rPr>
                    </w:pPr>
                    <w:r w:rsidRPr="00753A4B">
                      <w:rPr>
                        <w:rFonts w:hint="eastAsia"/>
                        <w:sz w:val="18"/>
                        <w:szCs w:val="18"/>
                      </w:rPr>
                      <w:t>16,538,763.92</w:t>
                    </w:r>
                  </w:p>
                </w:tc>
                <w:tc>
                  <w:tcPr>
                    <w:tcW w:w="338" w:type="pct"/>
                    <w:tcBorders>
                      <w:top w:val="single" w:sz="6" w:space="0" w:color="auto"/>
                      <w:left w:val="single" w:sz="6" w:space="0" w:color="auto"/>
                      <w:bottom w:val="single" w:sz="4" w:space="0" w:color="auto"/>
                      <w:right w:val="single" w:sz="6" w:space="0" w:color="auto"/>
                    </w:tcBorders>
                  </w:tcPr>
                  <w:p w14:paraId="094B1FD5" w14:textId="77777777" w:rsidR="00D14C1C" w:rsidRPr="00753A4B" w:rsidRDefault="00D14C1C">
                    <w:pPr>
                      <w:jc w:val="right"/>
                      <w:rPr>
                        <w:sz w:val="18"/>
                        <w:szCs w:val="18"/>
                      </w:rPr>
                    </w:pPr>
                    <w:r w:rsidRPr="00753A4B">
                      <w:rPr>
                        <w:rFonts w:hint="eastAsia"/>
                        <w:sz w:val="18"/>
                        <w:szCs w:val="18"/>
                      </w:rPr>
                      <w:t>56,519,675.32</w:t>
                    </w:r>
                  </w:p>
                </w:tc>
                <w:tc>
                  <w:tcPr>
                    <w:tcW w:w="337" w:type="pct"/>
                    <w:tcBorders>
                      <w:top w:val="single" w:sz="6" w:space="0" w:color="auto"/>
                      <w:left w:val="single" w:sz="6" w:space="0" w:color="auto"/>
                      <w:bottom w:val="single" w:sz="4" w:space="0" w:color="auto"/>
                      <w:right w:val="single" w:sz="6" w:space="0" w:color="auto"/>
                    </w:tcBorders>
                  </w:tcPr>
                  <w:p w14:paraId="2210E288" w14:textId="77777777" w:rsidR="00D14C1C" w:rsidRPr="00753A4B" w:rsidRDefault="00D14C1C">
                    <w:pPr>
                      <w:jc w:val="right"/>
                      <w:rPr>
                        <w:sz w:val="18"/>
                        <w:szCs w:val="18"/>
                      </w:rPr>
                    </w:pPr>
                    <w:r w:rsidRPr="00753A4B">
                      <w:rPr>
                        <w:rFonts w:hint="eastAsia"/>
                        <w:sz w:val="18"/>
                        <w:szCs w:val="18"/>
                      </w:rPr>
                      <w:t>5,262,156.97</w:t>
                    </w:r>
                  </w:p>
                </w:tc>
                <w:tc>
                  <w:tcPr>
                    <w:tcW w:w="339" w:type="pct"/>
                    <w:tcBorders>
                      <w:top w:val="single" w:sz="6" w:space="0" w:color="auto"/>
                      <w:left w:val="single" w:sz="6" w:space="0" w:color="auto"/>
                      <w:bottom w:val="single" w:sz="4" w:space="0" w:color="auto"/>
                      <w:right w:val="single" w:sz="6" w:space="0" w:color="auto"/>
                    </w:tcBorders>
                  </w:tcPr>
                  <w:p w14:paraId="7CCF3F10" w14:textId="77777777" w:rsidR="00D14C1C" w:rsidRPr="00753A4B" w:rsidRDefault="00D14C1C">
                    <w:pPr>
                      <w:jc w:val="right"/>
                      <w:rPr>
                        <w:sz w:val="18"/>
                        <w:szCs w:val="18"/>
                      </w:rPr>
                    </w:pPr>
                    <w:r w:rsidRPr="00753A4B">
                      <w:rPr>
                        <w:rFonts w:hint="eastAsia"/>
                        <w:sz w:val="18"/>
                        <w:szCs w:val="18"/>
                      </w:rPr>
                      <w:t>0.00</w:t>
                    </w:r>
                  </w:p>
                </w:tc>
                <w:tc>
                  <w:tcPr>
                    <w:tcW w:w="337" w:type="pct"/>
                    <w:tcBorders>
                      <w:top w:val="single" w:sz="6" w:space="0" w:color="auto"/>
                      <w:left w:val="single" w:sz="6" w:space="0" w:color="auto"/>
                      <w:bottom w:val="single" w:sz="4" w:space="0" w:color="auto"/>
                      <w:right w:val="single" w:sz="4" w:space="0" w:color="auto"/>
                    </w:tcBorders>
                  </w:tcPr>
                  <w:p w14:paraId="35B349D7" w14:textId="77777777" w:rsidR="00D14C1C" w:rsidRPr="00753A4B" w:rsidRDefault="00D14C1C">
                    <w:pPr>
                      <w:jc w:val="right"/>
                      <w:rPr>
                        <w:sz w:val="18"/>
                        <w:szCs w:val="18"/>
                      </w:rPr>
                    </w:pPr>
                    <w:r w:rsidRPr="00753A4B">
                      <w:rPr>
                        <w:rFonts w:hint="eastAsia"/>
                        <w:sz w:val="18"/>
                        <w:szCs w:val="18"/>
                      </w:rPr>
                      <w:t>5,262,156.97</w:t>
                    </w:r>
                  </w:p>
                </w:tc>
              </w:tr>
            </w:sdtContent>
          </w:sdt>
          <w:sdt>
            <w:sdtPr>
              <w:rPr>
                <w:sz w:val="18"/>
                <w:szCs w:val="18"/>
              </w:rPr>
              <w:alias w:val="重要非全资子公司的主要财务信息明细"/>
              <w:tag w:val="_GBC_feef0d2d67a84217a9099e634bb2d3df"/>
              <w:id w:val="1302348537"/>
              <w:lock w:val="sdtLocked"/>
              <w:placeholder>
                <w:docPart w:val="EA9900C070584A7E84C0B1E5FEC31324"/>
              </w:placeholder>
            </w:sdtPr>
            <w:sdtEndPr/>
            <w:sdtContent>
              <w:tr w:rsidR="00753A4B" w14:paraId="188CFE20" w14:textId="77777777" w:rsidTr="00753A4B">
                <w:tc>
                  <w:tcPr>
                    <w:tcW w:w="541" w:type="pct"/>
                    <w:tcBorders>
                      <w:top w:val="single" w:sz="6" w:space="0" w:color="auto"/>
                      <w:left w:val="single" w:sz="4" w:space="0" w:color="auto"/>
                      <w:bottom w:val="single" w:sz="4" w:space="0" w:color="auto"/>
                      <w:right w:val="single" w:sz="6" w:space="0" w:color="auto"/>
                    </w:tcBorders>
                  </w:tcPr>
                  <w:p w14:paraId="2789218E" w14:textId="77777777" w:rsidR="00D14C1C" w:rsidRPr="00753A4B" w:rsidRDefault="00D14C1C">
                    <w:pPr>
                      <w:rPr>
                        <w:sz w:val="18"/>
                        <w:szCs w:val="18"/>
                      </w:rPr>
                    </w:pPr>
                    <w:r w:rsidRPr="00753A4B">
                      <w:rPr>
                        <w:rFonts w:hint="eastAsia"/>
                        <w:sz w:val="18"/>
                        <w:szCs w:val="18"/>
                      </w:rPr>
                      <w:t>天津天海高压容器有限责任公司</w:t>
                    </w:r>
                  </w:p>
                </w:tc>
                <w:tc>
                  <w:tcPr>
                    <w:tcW w:w="473" w:type="pct"/>
                    <w:tcBorders>
                      <w:top w:val="single" w:sz="6" w:space="0" w:color="auto"/>
                      <w:left w:val="single" w:sz="6" w:space="0" w:color="auto"/>
                      <w:bottom w:val="single" w:sz="4" w:space="0" w:color="auto"/>
                      <w:right w:val="single" w:sz="6" w:space="0" w:color="auto"/>
                    </w:tcBorders>
                  </w:tcPr>
                  <w:p w14:paraId="52D90EB0" w14:textId="77777777" w:rsidR="00D14C1C" w:rsidRPr="00753A4B" w:rsidRDefault="00D14C1C">
                    <w:pPr>
                      <w:jc w:val="right"/>
                      <w:rPr>
                        <w:sz w:val="18"/>
                        <w:szCs w:val="18"/>
                      </w:rPr>
                    </w:pPr>
                    <w:r w:rsidRPr="00753A4B">
                      <w:rPr>
                        <w:rFonts w:hint="eastAsia"/>
                        <w:sz w:val="18"/>
                        <w:szCs w:val="18"/>
                      </w:rPr>
                      <w:t>144,197,020.34</w:t>
                    </w:r>
                  </w:p>
                </w:tc>
                <w:tc>
                  <w:tcPr>
                    <w:tcW w:w="405" w:type="pct"/>
                    <w:tcBorders>
                      <w:top w:val="single" w:sz="6" w:space="0" w:color="auto"/>
                      <w:left w:val="single" w:sz="6" w:space="0" w:color="auto"/>
                      <w:bottom w:val="single" w:sz="4" w:space="0" w:color="auto"/>
                      <w:right w:val="single" w:sz="6" w:space="0" w:color="auto"/>
                    </w:tcBorders>
                  </w:tcPr>
                  <w:p w14:paraId="6C15686D" w14:textId="77777777" w:rsidR="00D14C1C" w:rsidRPr="00753A4B" w:rsidRDefault="00D14C1C">
                    <w:pPr>
                      <w:jc w:val="right"/>
                      <w:rPr>
                        <w:sz w:val="18"/>
                        <w:szCs w:val="18"/>
                      </w:rPr>
                    </w:pPr>
                    <w:r w:rsidRPr="00753A4B">
                      <w:rPr>
                        <w:rFonts w:hint="eastAsia"/>
                        <w:sz w:val="18"/>
                        <w:szCs w:val="18"/>
                      </w:rPr>
                      <w:t>167,234,440.58</w:t>
                    </w:r>
                  </w:p>
                </w:tc>
                <w:tc>
                  <w:tcPr>
                    <w:tcW w:w="338" w:type="pct"/>
                    <w:tcBorders>
                      <w:top w:val="single" w:sz="6" w:space="0" w:color="auto"/>
                      <w:left w:val="single" w:sz="6" w:space="0" w:color="auto"/>
                      <w:bottom w:val="single" w:sz="4" w:space="0" w:color="auto"/>
                      <w:right w:val="single" w:sz="6" w:space="0" w:color="auto"/>
                    </w:tcBorders>
                  </w:tcPr>
                  <w:p w14:paraId="0C540C6C" w14:textId="77777777" w:rsidR="00D14C1C" w:rsidRPr="00753A4B" w:rsidRDefault="00D14C1C">
                    <w:pPr>
                      <w:jc w:val="right"/>
                      <w:rPr>
                        <w:sz w:val="18"/>
                        <w:szCs w:val="18"/>
                      </w:rPr>
                    </w:pPr>
                    <w:r w:rsidRPr="00753A4B">
                      <w:rPr>
                        <w:rFonts w:hint="eastAsia"/>
                        <w:sz w:val="18"/>
                        <w:szCs w:val="18"/>
                      </w:rPr>
                      <w:t>311,431,460.92</w:t>
                    </w:r>
                  </w:p>
                </w:tc>
                <w:tc>
                  <w:tcPr>
                    <w:tcW w:w="338" w:type="pct"/>
                    <w:tcBorders>
                      <w:top w:val="single" w:sz="6" w:space="0" w:color="auto"/>
                      <w:left w:val="single" w:sz="6" w:space="0" w:color="auto"/>
                      <w:bottom w:val="single" w:sz="4" w:space="0" w:color="auto"/>
                      <w:right w:val="single" w:sz="6" w:space="0" w:color="auto"/>
                    </w:tcBorders>
                  </w:tcPr>
                  <w:p w14:paraId="0F6D313A" w14:textId="77777777" w:rsidR="00D14C1C" w:rsidRPr="00753A4B" w:rsidRDefault="00D14C1C">
                    <w:pPr>
                      <w:jc w:val="right"/>
                      <w:rPr>
                        <w:sz w:val="18"/>
                        <w:szCs w:val="18"/>
                      </w:rPr>
                    </w:pPr>
                    <w:r w:rsidRPr="00753A4B">
                      <w:rPr>
                        <w:rFonts w:hint="eastAsia"/>
                        <w:sz w:val="18"/>
                        <w:szCs w:val="18"/>
                      </w:rPr>
                      <w:t>126,636,407.63</w:t>
                    </w:r>
                  </w:p>
                </w:tc>
                <w:tc>
                  <w:tcPr>
                    <w:tcW w:w="405" w:type="pct"/>
                    <w:tcBorders>
                      <w:top w:val="single" w:sz="6" w:space="0" w:color="auto"/>
                      <w:left w:val="single" w:sz="6" w:space="0" w:color="auto"/>
                      <w:bottom w:val="single" w:sz="4" w:space="0" w:color="auto"/>
                      <w:right w:val="single" w:sz="6" w:space="0" w:color="auto"/>
                    </w:tcBorders>
                  </w:tcPr>
                  <w:p w14:paraId="6B063511" w14:textId="77777777" w:rsidR="00D14C1C" w:rsidRPr="00753A4B" w:rsidRDefault="00D14C1C">
                    <w:pPr>
                      <w:jc w:val="right"/>
                      <w:rPr>
                        <w:sz w:val="18"/>
                        <w:szCs w:val="18"/>
                      </w:rPr>
                    </w:pPr>
                    <w:r w:rsidRPr="00753A4B">
                      <w:rPr>
                        <w:rFonts w:hint="eastAsia"/>
                        <w:sz w:val="18"/>
                        <w:szCs w:val="18"/>
                      </w:rPr>
                      <w:t>0.00</w:t>
                    </w:r>
                  </w:p>
                </w:tc>
                <w:tc>
                  <w:tcPr>
                    <w:tcW w:w="338" w:type="pct"/>
                    <w:tcBorders>
                      <w:top w:val="single" w:sz="6" w:space="0" w:color="auto"/>
                      <w:left w:val="single" w:sz="6" w:space="0" w:color="auto"/>
                      <w:bottom w:val="single" w:sz="4" w:space="0" w:color="auto"/>
                      <w:right w:val="single" w:sz="6" w:space="0" w:color="auto"/>
                    </w:tcBorders>
                  </w:tcPr>
                  <w:p w14:paraId="682EB373" w14:textId="77777777" w:rsidR="00D14C1C" w:rsidRPr="00753A4B" w:rsidRDefault="00D14C1C">
                    <w:pPr>
                      <w:jc w:val="right"/>
                      <w:rPr>
                        <w:sz w:val="18"/>
                        <w:szCs w:val="18"/>
                      </w:rPr>
                    </w:pPr>
                    <w:r w:rsidRPr="00753A4B">
                      <w:rPr>
                        <w:rFonts w:hint="eastAsia"/>
                        <w:sz w:val="18"/>
                        <w:szCs w:val="18"/>
                      </w:rPr>
                      <w:t>126,636,407.63</w:t>
                    </w:r>
                  </w:p>
                </w:tc>
                <w:tc>
                  <w:tcPr>
                    <w:tcW w:w="405" w:type="pct"/>
                    <w:tcBorders>
                      <w:top w:val="single" w:sz="6" w:space="0" w:color="auto"/>
                      <w:left w:val="single" w:sz="6" w:space="0" w:color="auto"/>
                      <w:bottom w:val="single" w:sz="4" w:space="0" w:color="auto"/>
                      <w:right w:val="single" w:sz="6" w:space="0" w:color="auto"/>
                    </w:tcBorders>
                  </w:tcPr>
                  <w:p w14:paraId="62A740BB" w14:textId="77777777" w:rsidR="00D14C1C" w:rsidRPr="00753A4B" w:rsidRDefault="00D14C1C">
                    <w:pPr>
                      <w:jc w:val="right"/>
                      <w:rPr>
                        <w:sz w:val="18"/>
                        <w:szCs w:val="18"/>
                      </w:rPr>
                    </w:pPr>
                    <w:r w:rsidRPr="00753A4B">
                      <w:rPr>
                        <w:rFonts w:hint="eastAsia"/>
                        <w:sz w:val="18"/>
                        <w:szCs w:val="18"/>
                      </w:rPr>
                      <w:t>162,680,925.61</w:t>
                    </w:r>
                  </w:p>
                </w:tc>
                <w:tc>
                  <w:tcPr>
                    <w:tcW w:w="406" w:type="pct"/>
                    <w:tcBorders>
                      <w:top w:val="single" w:sz="6" w:space="0" w:color="auto"/>
                      <w:left w:val="single" w:sz="6" w:space="0" w:color="auto"/>
                      <w:bottom w:val="single" w:sz="4" w:space="0" w:color="auto"/>
                      <w:right w:val="single" w:sz="6" w:space="0" w:color="auto"/>
                    </w:tcBorders>
                  </w:tcPr>
                  <w:p w14:paraId="456B2CBC" w14:textId="77777777" w:rsidR="00D14C1C" w:rsidRPr="00753A4B" w:rsidRDefault="00D14C1C">
                    <w:pPr>
                      <w:jc w:val="right"/>
                      <w:rPr>
                        <w:sz w:val="18"/>
                        <w:szCs w:val="18"/>
                      </w:rPr>
                    </w:pPr>
                    <w:r w:rsidRPr="00753A4B">
                      <w:rPr>
                        <w:rFonts w:hint="eastAsia"/>
                        <w:sz w:val="18"/>
                        <w:szCs w:val="18"/>
                      </w:rPr>
                      <w:t>171,675,129.32</w:t>
                    </w:r>
                  </w:p>
                </w:tc>
                <w:tc>
                  <w:tcPr>
                    <w:tcW w:w="338" w:type="pct"/>
                    <w:tcBorders>
                      <w:top w:val="single" w:sz="6" w:space="0" w:color="auto"/>
                      <w:left w:val="single" w:sz="6" w:space="0" w:color="auto"/>
                      <w:bottom w:val="single" w:sz="4" w:space="0" w:color="auto"/>
                      <w:right w:val="single" w:sz="6" w:space="0" w:color="auto"/>
                    </w:tcBorders>
                  </w:tcPr>
                  <w:p w14:paraId="3BA00A3B" w14:textId="77777777" w:rsidR="00D14C1C" w:rsidRPr="00753A4B" w:rsidRDefault="00D14C1C">
                    <w:pPr>
                      <w:jc w:val="right"/>
                      <w:rPr>
                        <w:sz w:val="18"/>
                        <w:szCs w:val="18"/>
                      </w:rPr>
                    </w:pPr>
                    <w:r w:rsidRPr="00753A4B">
                      <w:rPr>
                        <w:rFonts w:hint="eastAsia"/>
                        <w:sz w:val="18"/>
                        <w:szCs w:val="18"/>
                      </w:rPr>
                      <w:t>334,356,054.93</w:t>
                    </w:r>
                  </w:p>
                </w:tc>
                <w:tc>
                  <w:tcPr>
                    <w:tcW w:w="337" w:type="pct"/>
                    <w:tcBorders>
                      <w:top w:val="single" w:sz="6" w:space="0" w:color="auto"/>
                      <w:left w:val="single" w:sz="6" w:space="0" w:color="auto"/>
                      <w:bottom w:val="single" w:sz="4" w:space="0" w:color="auto"/>
                      <w:right w:val="single" w:sz="6" w:space="0" w:color="auto"/>
                    </w:tcBorders>
                  </w:tcPr>
                  <w:p w14:paraId="05B53C6C" w14:textId="77777777" w:rsidR="00D14C1C" w:rsidRPr="00753A4B" w:rsidRDefault="00D14C1C">
                    <w:pPr>
                      <w:jc w:val="right"/>
                      <w:rPr>
                        <w:sz w:val="18"/>
                        <w:szCs w:val="18"/>
                      </w:rPr>
                    </w:pPr>
                    <w:r w:rsidRPr="00753A4B">
                      <w:rPr>
                        <w:rFonts w:hint="eastAsia"/>
                        <w:sz w:val="18"/>
                        <w:szCs w:val="18"/>
                      </w:rPr>
                      <w:t>153,632,869.95</w:t>
                    </w:r>
                  </w:p>
                </w:tc>
                <w:tc>
                  <w:tcPr>
                    <w:tcW w:w="339" w:type="pct"/>
                    <w:tcBorders>
                      <w:top w:val="single" w:sz="6" w:space="0" w:color="auto"/>
                      <w:left w:val="single" w:sz="6" w:space="0" w:color="auto"/>
                      <w:bottom w:val="single" w:sz="4" w:space="0" w:color="auto"/>
                      <w:right w:val="single" w:sz="6" w:space="0" w:color="auto"/>
                    </w:tcBorders>
                  </w:tcPr>
                  <w:p w14:paraId="14DBBD8D" w14:textId="77777777" w:rsidR="00D14C1C" w:rsidRPr="00753A4B" w:rsidRDefault="00D14C1C">
                    <w:pPr>
                      <w:jc w:val="right"/>
                      <w:rPr>
                        <w:sz w:val="18"/>
                        <w:szCs w:val="18"/>
                      </w:rPr>
                    </w:pPr>
                    <w:r w:rsidRPr="00753A4B">
                      <w:rPr>
                        <w:rFonts w:hint="eastAsia"/>
                        <w:sz w:val="18"/>
                        <w:szCs w:val="18"/>
                      </w:rPr>
                      <w:t>0.00</w:t>
                    </w:r>
                  </w:p>
                </w:tc>
                <w:tc>
                  <w:tcPr>
                    <w:tcW w:w="337" w:type="pct"/>
                    <w:tcBorders>
                      <w:top w:val="single" w:sz="6" w:space="0" w:color="auto"/>
                      <w:left w:val="single" w:sz="6" w:space="0" w:color="auto"/>
                      <w:bottom w:val="single" w:sz="4" w:space="0" w:color="auto"/>
                      <w:right w:val="single" w:sz="4" w:space="0" w:color="auto"/>
                    </w:tcBorders>
                  </w:tcPr>
                  <w:p w14:paraId="4D03742F" w14:textId="77777777" w:rsidR="00D14C1C" w:rsidRPr="00753A4B" w:rsidRDefault="00D14C1C">
                    <w:pPr>
                      <w:jc w:val="right"/>
                      <w:rPr>
                        <w:sz w:val="18"/>
                        <w:szCs w:val="18"/>
                      </w:rPr>
                    </w:pPr>
                    <w:r w:rsidRPr="00753A4B">
                      <w:rPr>
                        <w:rFonts w:hint="eastAsia"/>
                        <w:sz w:val="18"/>
                        <w:szCs w:val="18"/>
                      </w:rPr>
                      <w:t>153,632,869.95</w:t>
                    </w:r>
                  </w:p>
                </w:tc>
              </w:tr>
            </w:sdtContent>
          </w:sdt>
          <w:sdt>
            <w:sdtPr>
              <w:rPr>
                <w:sz w:val="18"/>
                <w:szCs w:val="18"/>
              </w:rPr>
              <w:alias w:val="重要非全资子公司的主要财务信息明细"/>
              <w:tag w:val="_GBC_feef0d2d67a84217a9099e634bb2d3df"/>
              <w:id w:val="866100882"/>
              <w:lock w:val="sdtLocked"/>
              <w:placeholder>
                <w:docPart w:val="EA9900C070584A7E84C0B1E5FEC31324"/>
              </w:placeholder>
            </w:sdtPr>
            <w:sdtEndPr/>
            <w:sdtContent>
              <w:tr w:rsidR="00753A4B" w14:paraId="3EC1433C" w14:textId="77777777" w:rsidTr="00753A4B">
                <w:tc>
                  <w:tcPr>
                    <w:tcW w:w="541" w:type="pct"/>
                    <w:tcBorders>
                      <w:top w:val="single" w:sz="6" w:space="0" w:color="auto"/>
                      <w:left w:val="single" w:sz="4" w:space="0" w:color="auto"/>
                      <w:bottom w:val="single" w:sz="4" w:space="0" w:color="auto"/>
                      <w:right w:val="single" w:sz="6" w:space="0" w:color="auto"/>
                    </w:tcBorders>
                  </w:tcPr>
                  <w:p w14:paraId="73FDDD4D" w14:textId="77777777" w:rsidR="00D14C1C" w:rsidRPr="00753A4B" w:rsidRDefault="00D14C1C">
                    <w:pPr>
                      <w:rPr>
                        <w:sz w:val="18"/>
                        <w:szCs w:val="18"/>
                      </w:rPr>
                    </w:pPr>
                    <w:r w:rsidRPr="00753A4B">
                      <w:rPr>
                        <w:rFonts w:hint="eastAsia"/>
                        <w:sz w:val="18"/>
                        <w:szCs w:val="18"/>
                      </w:rPr>
                      <w:t>宽城天海压力容器有限公司</w:t>
                    </w:r>
                  </w:p>
                </w:tc>
                <w:tc>
                  <w:tcPr>
                    <w:tcW w:w="473" w:type="pct"/>
                    <w:tcBorders>
                      <w:top w:val="single" w:sz="6" w:space="0" w:color="auto"/>
                      <w:left w:val="single" w:sz="6" w:space="0" w:color="auto"/>
                      <w:bottom w:val="single" w:sz="4" w:space="0" w:color="auto"/>
                      <w:right w:val="single" w:sz="6" w:space="0" w:color="auto"/>
                    </w:tcBorders>
                  </w:tcPr>
                  <w:p w14:paraId="6D1FBE58" w14:textId="77777777" w:rsidR="00D14C1C" w:rsidRPr="00753A4B" w:rsidRDefault="00D14C1C">
                    <w:pPr>
                      <w:jc w:val="right"/>
                      <w:rPr>
                        <w:sz w:val="18"/>
                        <w:szCs w:val="18"/>
                      </w:rPr>
                    </w:pPr>
                    <w:r w:rsidRPr="00753A4B">
                      <w:rPr>
                        <w:rFonts w:hint="eastAsia"/>
                        <w:sz w:val="18"/>
                        <w:szCs w:val="18"/>
                      </w:rPr>
                      <w:t>44,160,181.65</w:t>
                    </w:r>
                  </w:p>
                </w:tc>
                <w:tc>
                  <w:tcPr>
                    <w:tcW w:w="405" w:type="pct"/>
                    <w:tcBorders>
                      <w:top w:val="single" w:sz="6" w:space="0" w:color="auto"/>
                      <w:left w:val="single" w:sz="6" w:space="0" w:color="auto"/>
                      <w:bottom w:val="single" w:sz="4" w:space="0" w:color="auto"/>
                      <w:right w:val="single" w:sz="6" w:space="0" w:color="auto"/>
                    </w:tcBorders>
                  </w:tcPr>
                  <w:p w14:paraId="75D61B0B" w14:textId="77777777" w:rsidR="00D14C1C" w:rsidRPr="00753A4B" w:rsidRDefault="00D14C1C">
                    <w:pPr>
                      <w:jc w:val="right"/>
                      <w:rPr>
                        <w:sz w:val="18"/>
                        <w:szCs w:val="18"/>
                      </w:rPr>
                    </w:pPr>
                    <w:r w:rsidRPr="00753A4B">
                      <w:rPr>
                        <w:rFonts w:hint="eastAsia"/>
                        <w:sz w:val="18"/>
                        <w:szCs w:val="18"/>
                      </w:rPr>
                      <w:t>101,539,066.18</w:t>
                    </w:r>
                  </w:p>
                </w:tc>
                <w:tc>
                  <w:tcPr>
                    <w:tcW w:w="338" w:type="pct"/>
                    <w:tcBorders>
                      <w:top w:val="single" w:sz="6" w:space="0" w:color="auto"/>
                      <w:left w:val="single" w:sz="6" w:space="0" w:color="auto"/>
                      <w:bottom w:val="single" w:sz="4" w:space="0" w:color="auto"/>
                      <w:right w:val="single" w:sz="6" w:space="0" w:color="auto"/>
                    </w:tcBorders>
                  </w:tcPr>
                  <w:p w14:paraId="31D8768C" w14:textId="77777777" w:rsidR="00D14C1C" w:rsidRPr="00753A4B" w:rsidRDefault="00D14C1C">
                    <w:pPr>
                      <w:jc w:val="right"/>
                      <w:rPr>
                        <w:sz w:val="18"/>
                        <w:szCs w:val="18"/>
                      </w:rPr>
                    </w:pPr>
                    <w:r w:rsidRPr="00753A4B">
                      <w:rPr>
                        <w:rFonts w:hint="eastAsia"/>
                        <w:sz w:val="18"/>
                        <w:szCs w:val="18"/>
                      </w:rPr>
                      <w:t>145,699,247.83</w:t>
                    </w:r>
                  </w:p>
                </w:tc>
                <w:tc>
                  <w:tcPr>
                    <w:tcW w:w="338" w:type="pct"/>
                    <w:tcBorders>
                      <w:top w:val="single" w:sz="6" w:space="0" w:color="auto"/>
                      <w:left w:val="single" w:sz="6" w:space="0" w:color="auto"/>
                      <w:bottom w:val="single" w:sz="4" w:space="0" w:color="auto"/>
                      <w:right w:val="single" w:sz="6" w:space="0" w:color="auto"/>
                    </w:tcBorders>
                  </w:tcPr>
                  <w:p w14:paraId="5848B4F2" w14:textId="77777777" w:rsidR="00D14C1C" w:rsidRPr="00753A4B" w:rsidRDefault="00D14C1C">
                    <w:pPr>
                      <w:jc w:val="right"/>
                      <w:rPr>
                        <w:sz w:val="18"/>
                        <w:szCs w:val="18"/>
                      </w:rPr>
                    </w:pPr>
                    <w:r w:rsidRPr="00753A4B">
                      <w:rPr>
                        <w:rFonts w:hint="eastAsia"/>
                        <w:sz w:val="18"/>
                        <w:szCs w:val="18"/>
                      </w:rPr>
                      <w:t>93,480,599.35</w:t>
                    </w:r>
                  </w:p>
                </w:tc>
                <w:tc>
                  <w:tcPr>
                    <w:tcW w:w="405" w:type="pct"/>
                    <w:tcBorders>
                      <w:top w:val="single" w:sz="6" w:space="0" w:color="auto"/>
                      <w:left w:val="single" w:sz="6" w:space="0" w:color="auto"/>
                      <w:bottom w:val="single" w:sz="4" w:space="0" w:color="auto"/>
                      <w:right w:val="single" w:sz="6" w:space="0" w:color="auto"/>
                    </w:tcBorders>
                  </w:tcPr>
                  <w:p w14:paraId="78528AD1" w14:textId="77777777" w:rsidR="00D14C1C" w:rsidRPr="00753A4B" w:rsidRDefault="00D14C1C">
                    <w:pPr>
                      <w:jc w:val="right"/>
                      <w:rPr>
                        <w:sz w:val="18"/>
                        <w:szCs w:val="18"/>
                      </w:rPr>
                    </w:pPr>
                    <w:r w:rsidRPr="00753A4B">
                      <w:rPr>
                        <w:rFonts w:hint="eastAsia"/>
                        <w:sz w:val="18"/>
                        <w:szCs w:val="18"/>
                      </w:rPr>
                      <w:t>111,835.57</w:t>
                    </w:r>
                  </w:p>
                </w:tc>
                <w:tc>
                  <w:tcPr>
                    <w:tcW w:w="338" w:type="pct"/>
                    <w:tcBorders>
                      <w:top w:val="single" w:sz="6" w:space="0" w:color="auto"/>
                      <w:left w:val="single" w:sz="6" w:space="0" w:color="auto"/>
                      <w:bottom w:val="single" w:sz="4" w:space="0" w:color="auto"/>
                      <w:right w:val="single" w:sz="6" w:space="0" w:color="auto"/>
                    </w:tcBorders>
                  </w:tcPr>
                  <w:p w14:paraId="11A46B24" w14:textId="77777777" w:rsidR="00D14C1C" w:rsidRPr="00753A4B" w:rsidRDefault="00D14C1C">
                    <w:pPr>
                      <w:jc w:val="right"/>
                      <w:rPr>
                        <w:sz w:val="18"/>
                        <w:szCs w:val="18"/>
                      </w:rPr>
                    </w:pPr>
                    <w:r w:rsidRPr="00753A4B">
                      <w:rPr>
                        <w:rFonts w:hint="eastAsia"/>
                        <w:sz w:val="18"/>
                        <w:szCs w:val="18"/>
                      </w:rPr>
                      <w:t>93,592,434.92</w:t>
                    </w:r>
                  </w:p>
                </w:tc>
                <w:tc>
                  <w:tcPr>
                    <w:tcW w:w="405" w:type="pct"/>
                    <w:tcBorders>
                      <w:top w:val="single" w:sz="6" w:space="0" w:color="auto"/>
                      <w:left w:val="single" w:sz="6" w:space="0" w:color="auto"/>
                      <w:bottom w:val="single" w:sz="4" w:space="0" w:color="auto"/>
                      <w:right w:val="single" w:sz="6" w:space="0" w:color="auto"/>
                    </w:tcBorders>
                  </w:tcPr>
                  <w:p w14:paraId="6BAEF740" w14:textId="77777777" w:rsidR="00D14C1C" w:rsidRPr="00753A4B" w:rsidRDefault="00D14C1C">
                    <w:pPr>
                      <w:jc w:val="right"/>
                      <w:rPr>
                        <w:sz w:val="18"/>
                        <w:szCs w:val="18"/>
                      </w:rPr>
                    </w:pPr>
                    <w:r w:rsidRPr="00753A4B">
                      <w:rPr>
                        <w:rFonts w:hint="eastAsia"/>
                        <w:sz w:val="18"/>
                        <w:szCs w:val="18"/>
                      </w:rPr>
                      <w:t>34,544,173.40</w:t>
                    </w:r>
                  </w:p>
                </w:tc>
                <w:tc>
                  <w:tcPr>
                    <w:tcW w:w="406" w:type="pct"/>
                    <w:tcBorders>
                      <w:top w:val="single" w:sz="6" w:space="0" w:color="auto"/>
                      <w:left w:val="single" w:sz="6" w:space="0" w:color="auto"/>
                      <w:bottom w:val="single" w:sz="4" w:space="0" w:color="auto"/>
                      <w:right w:val="single" w:sz="6" w:space="0" w:color="auto"/>
                    </w:tcBorders>
                  </w:tcPr>
                  <w:p w14:paraId="325054C7" w14:textId="77777777" w:rsidR="00D14C1C" w:rsidRPr="00753A4B" w:rsidRDefault="00D14C1C">
                    <w:pPr>
                      <w:jc w:val="right"/>
                      <w:rPr>
                        <w:sz w:val="18"/>
                        <w:szCs w:val="18"/>
                      </w:rPr>
                    </w:pPr>
                    <w:r w:rsidRPr="00753A4B">
                      <w:rPr>
                        <w:rFonts w:hint="eastAsia"/>
                        <w:sz w:val="18"/>
                        <w:szCs w:val="18"/>
                      </w:rPr>
                      <w:t>107,172,629.07</w:t>
                    </w:r>
                  </w:p>
                </w:tc>
                <w:tc>
                  <w:tcPr>
                    <w:tcW w:w="338" w:type="pct"/>
                    <w:tcBorders>
                      <w:top w:val="single" w:sz="6" w:space="0" w:color="auto"/>
                      <w:left w:val="single" w:sz="6" w:space="0" w:color="auto"/>
                      <w:bottom w:val="single" w:sz="4" w:space="0" w:color="auto"/>
                      <w:right w:val="single" w:sz="6" w:space="0" w:color="auto"/>
                    </w:tcBorders>
                  </w:tcPr>
                  <w:p w14:paraId="4ED119F4" w14:textId="77777777" w:rsidR="00D14C1C" w:rsidRPr="00753A4B" w:rsidRDefault="00D14C1C">
                    <w:pPr>
                      <w:jc w:val="right"/>
                      <w:rPr>
                        <w:sz w:val="18"/>
                        <w:szCs w:val="18"/>
                      </w:rPr>
                    </w:pPr>
                    <w:r w:rsidRPr="00753A4B">
                      <w:rPr>
                        <w:rFonts w:hint="eastAsia"/>
                        <w:sz w:val="18"/>
                        <w:szCs w:val="18"/>
                      </w:rPr>
                      <w:t>141,716,802.47</w:t>
                    </w:r>
                  </w:p>
                </w:tc>
                <w:tc>
                  <w:tcPr>
                    <w:tcW w:w="337" w:type="pct"/>
                    <w:tcBorders>
                      <w:top w:val="single" w:sz="6" w:space="0" w:color="auto"/>
                      <w:left w:val="single" w:sz="6" w:space="0" w:color="auto"/>
                      <w:bottom w:val="single" w:sz="4" w:space="0" w:color="auto"/>
                      <w:right w:val="single" w:sz="6" w:space="0" w:color="auto"/>
                    </w:tcBorders>
                  </w:tcPr>
                  <w:p w14:paraId="46DD804E" w14:textId="77777777" w:rsidR="00D14C1C" w:rsidRPr="00753A4B" w:rsidRDefault="00D14C1C">
                    <w:pPr>
                      <w:jc w:val="right"/>
                      <w:rPr>
                        <w:sz w:val="18"/>
                        <w:szCs w:val="18"/>
                      </w:rPr>
                    </w:pPr>
                    <w:r w:rsidRPr="00753A4B">
                      <w:rPr>
                        <w:rFonts w:hint="eastAsia"/>
                        <w:sz w:val="18"/>
                        <w:szCs w:val="18"/>
                      </w:rPr>
                      <w:t>85,203,478.51</w:t>
                    </w:r>
                  </w:p>
                </w:tc>
                <w:tc>
                  <w:tcPr>
                    <w:tcW w:w="339" w:type="pct"/>
                    <w:tcBorders>
                      <w:top w:val="single" w:sz="6" w:space="0" w:color="auto"/>
                      <w:left w:val="single" w:sz="6" w:space="0" w:color="auto"/>
                      <w:bottom w:val="single" w:sz="4" w:space="0" w:color="auto"/>
                      <w:right w:val="single" w:sz="6" w:space="0" w:color="auto"/>
                    </w:tcBorders>
                  </w:tcPr>
                  <w:p w14:paraId="3A9001EF" w14:textId="77777777" w:rsidR="00D14C1C" w:rsidRPr="00753A4B" w:rsidRDefault="00D14C1C">
                    <w:pPr>
                      <w:jc w:val="right"/>
                      <w:rPr>
                        <w:sz w:val="18"/>
                        <w:szCs w:val="18"/>
                      </w:rPr>
                    </w:pPr>
                    <w:r w:rsidRPr="00753A4B">
                      <w:rPr>
                        <w:rFonts w:hint="eastAsia"/>
                        <w:sz w:val="18"/>
                        <w:szCs w:val="18"/>
                      </w:rPr>
                      <w:t>656,170.45</w:t>
                    </w:r>
                  </w:p>
                </w:tc>
                <w:tc>
                  <w:tcPr>
                    <w:tcW w:w="337" w:type="pct"/>
                    <w:tcBorders>
                      <w:top w:val="single" w:sz="6" w:space="0" w:color="auto"/>
                      <w:left w:val="single" w:sz="6" w:space="0" w:color="auto"/>
                      <w:bottom w:val="single" w:sz="4" w:space="0" w:color="auto"/>
                      <w:right w:val="single" w:sz="4" w:space="0" w:color="auto"/>
                    </w:tcBorders>
                  </w:tcPr>
                  <w:p w14:paraId="41A7003F" w14:textId="77777777" w:rsidR="00D14C1C" w:rsidRPr="00753A4B" w:rsidRDefault="00D14C1C">
                    <w:pPr>
                      <w:jc w:val="right"/>
                      <w:rPr>
                        <w:sz w:val="18"/>
                        <w:szCs w:val="18"/>
                      </w:rPr>
                    </w:pPr>
                    <w:r w:rsidRPr="00753A4B">
                      <w:rPr>
                        <w:rFonts w:hint="eastAsia"/>
                        <w:sz w:val="18"/>
                        <w:szCs w:val="18"/>
                      </w:rPr>
                      <w:t>85,859,648.96</w:t>
                    </w:r>
                  </w:p>
                </w:tc>
              </w:tr>
            </w:sdtContent>
          </w:sdt>
        </w:tbl>
        <w:p w14:paraId="173D202D" w14:textId="77777777" w:rsidR="00D14C1C" w:rsidRDefault="00D14C1C">
          <w:pPr>
            <w:rPr>
              <w:rFonts w:cs="Arial"/>
              <w:szCs w:val="21"/>
            </w:rPr>
          </w:pPr>
        </w:p>
        <w:tbl>
          <w:tblPr>
            <w:tblW w:w="5567" w:type="pct"/>
            <w:tblInd w:w="-102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935"/>
            <w:gridCol w:w="1385"/>
            <w:gridCol w:w="1108"/>
            <w:gridCol w:w="829"/>
            <w:gridCol w:w="969"/>
            <w:gridCol w:w="829"/>
            <w:gridCol w:w="829"/>
            <w:gridCol w:w="798"/>
            <w:gridCol w:w="1142"/>
          </w:tblGrid>
          <w:tr w:rsidR="00753A4B" w14:paraId="01F6AAAB" w14:textId="77777777" w:rsidTr="00753A4B">
            <w:trPr>
              <w:trHeight w:val="241"/>
            </w:trPr>
            <w:sdt>
              <w:sdtPr>
                <w:rPr>
                  <w:sz w:val="18"/>
                  <w:szCs w:val="18"/>
                </w:rPr>
                <w:tag w:val="_PLD_87ab97227e5642b988e110c5a28abb39"/>
                <w:id w:val="1268346677"/>
                <w:lock w:val="sdtLocked"/>
              </w:sdtPr>
              <w:sdtEndPr/>
              <w:sdtContent>
                <w:tc>
                  <w:tcPr>
                    <w:tcW w:w="985"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06AF2EEA" w14:textId="77777777" w:rsidR="00753A4B" w:rsidRPr="00753A4B" w:rsidRDefault="00753A4B" w:rsidP="0005572F">
                    <w:pPr>
                      <w:spacing w:line="276" w:lineRule="auto"/>
                      <w:ind w:right="-16"/>
                      <w:jc w:val="center"/>
                      <w:rPr>
                        <w:rFonts w:cs="Arial"/>
                        <w:bCs/>
                        <w:sz w:val="18"/>
                        <w:szCs w:val="18"/>
                      </w:rPr>
                    </w:pPr>
                    <w:r w:rsidRPr="00753A4B">
                      <w:rPr>
                        <w:rFonts w:cs="Arial" w:hint="eastAsia"/>
                        <w:bCs/>
                        <w:sz w:val="18"/>
                        <w:szCs w:val="18"/>
                        <w:lang w:val="en-GB"/>
                      </w:rPr>
                      <w:t>子公司名称</w:t>
                    </w:r>
                  </w:p>
                </w:tc>
              </w:sdtContent>
            </w:sdt>
            <w:sdt>
              <w:sdtPr>
                <w:rPr>
                  <w:sz w:val="18"/>
                  <w:szCs w:val="18"/>
                </w:rPr>
                <w:tag w:val="_PLD_85f8737cebf641b2aa266052f4118ba8"/>
                <w:id w:val="-1765907683"/>
                <w:lock w:val="sdtLocked"/>
              </w:sdtPr>
              <w:sdtEndPr/>
              <w:sdtContent>
                <w:tc>
                  <w:tcPr>
                    <w:tcW w:w="2183" w:type="pct"/>
                    <w:gridSpan w:val="4"/>
                    <w:tcBorders>
                      <w:top w:val="single" w:sz="4" w:space="0" w:color="auto"/>
                      <w:left w:val="single" w:sz="6" w:space="0" w:color="auto"/>
                      <w:bottom w:val="single" w:sz="6" w:space="0" w:color="auto"/>
                      <w:right w:val="single" w:sz="6" w:space="0" w:color="auto"/>
                    </w:tcBorders>
                    <w:shd w:val="clear" w:color="auto" w:fill="auto"/>
                    <w:vAlign w:val="center"/>
                  </w:tcPr>
                  <w:p w14:paraId="09A77099" w14:textId="77777777" w:rsidR="00753A4B" w:rsidRPr="00753A4B" w:rsidRDefault="00753A4B" w:rsidP="0005572F">
                    <w:pPr>
                      <w:spacing w:line="276" w:lineRule="auto"/>
                      <w:ind w:right="-16"/>
                      <w:jc w:val="center"/>
                      <w:rPr>
                        <w:rFonts w:cs="Arial"/>
                        <w:bCs/>
                        <w:sz w:val="18"/>
                        <w:szCs w:val="18"/>
                      </w:rPr>
                    </w:pPr>
                    <w:r w:rsidRPr="00753A4B">
                      <w:rPr>
                        <w:rFonts w:cs="Arial" w:hint="eastAsia"/>
                        <w:bCs/>
                        <w:sz w:val="18"/>
                        <w:szCs w:val="18"/>
                        <w:lang w:val="en-GB"/>
                      </w:rPr>
                      <w:t>本期发生额</w:t>
                    </w:r>
                  </w:p>
                </w:tc>
              </w:sdtContent>
            </w:sdt>
            <w:sdt>
              <w:sdtPr>
                <w:rPr>
                  <w:sz w:val="18"/>
                  <w:szCs w:val="18"/>
                </w:rPr>
                <w:tag w:val="_PLD_32dac50c80854f268b3afdebef20332e"/>
                <w:id w:val="-1255741814"/>
                <w:lock w:val="sdtLocked"/>
              </w:sdtPr>
              <w:sdtEndPr/>
              <w:sdtContent>
                <w:tc>
                  <w:tcPr>
                    <w:tcW w:w="1832" w:type="pct"/>
                    <w:gridSpan w:val="4"/>
                    <w:tcBorders>
                      <w:top w:val="single" w:sz="4" w:space="0" w:color="auto"/>
                      <w:left w:val="single" w:sz="6" w:space="0" w:color="auto"/>
                      <w:bottom w:val="single" w:sz="6" w:space="0" w:color="auto"/>
                      <w:right w:val="single" w:sz="4" w:space="0" w:color="auto"/>
                    </w:tcBorders>
                    <w:shd w:val="clear" w:color="auto" w:fill="auto"/>
                    <w:vAlign w:val="center"/>
                  </w:tcPr>
                  <w:p w14:paraId="779749C9" w14:textId="77777777" w:rsidR="00753A4B" w:rsidRPr="00753A4B" w:rsidRDefault="00753A4B" w:rsidP="0005572F">
                    <w:pPr>
                      <w:spacing w:line="276" w:lineRule="auto"/>
                      <w:ind w:right="-16"/>
                      <w:jc w:val="center"/>
                      <w:rPr>
                        <w:rFonts w:cs="Arial"/>
                        <w:bCs/>
                        <w:sz w:val="18"/>
                        <w:szCs w:val="18"/>
                      </w:rPr>
                    </w:pPr>
                    <w:r w:rsidRPr="00753A4B">
                      <w:rPr>
                        <w:rFonts w:cs="Arial" w:hint="eastAsia"/>
                        <w:bCs/>
                        <w:sz w:val="18"/>
                        <w:szCs w:val="18"/>
                        <w:lang w:val="en-GB"/>
                      </w:rPr>
                      <w:t>上期发生额</w:t>
                    </w:r>
                  </w:p>
                </w:tc>
              </w:sdtContent>
            </w:sdt>
          </w:tr>
          <w:tr w:rsidR="00753A4B" w14:paraId="277E8089" w14:textId="77777777" w:rsidTr="00753A4B">
            <w:trPr>
              <w:trHeight w:val="241"/>
            </w:trPr>
            <w:tc>
              <w:tcPr>
                <w:tcW w:w="985" w:type="pct"/>
                <w:vMerge/>
                <w:tcBorders>
                  <w:top w:val="single" w:sz="4" w:space="0" w:color="auto"/>
                  <w:left w:val="single" w:sz="4" w:space="0" w:color="auto"/>
                  <w:bottom w:val="single" w:sz="6" w:space="0" w:color="auto"/>
                  <w:right w:val="single" w:sz="6" w:space="0" w:color="auto"/>
                </w:tcBorders>
                <w:shd w:val="clear" w:color="auto" w:fill="auto"/>
                <w:vAlign w:val="center"/>
              </w:tcPr>
              <w:p w14:paraId="6EFE2554" w14:textId="77777777" w:rsidR="00753A4B" w:rsidRPr="00753A4B" w:rsidRDefault="00753A4B" w:rsidP="0005572F">
                <w:pPr>
                  <w:jc w:val="center"/>
                  <w:rPr>
                    <w:rFonts w:cs="Arial"/>
                    <w:bCs/>
                    <w:sz w:val="18"/>
                    <w:szCs w:val="18"/>
                  </w:rPr>
                </w:pPr>
              </w:p>
            </w:tc>
            <w:sdt>
              <w:sdtPr>
                <w:rPr>
                  <w:sz w:val="18"/>
                  <w:szCs w:val="18"/>
                </w:rPr>
                <w:tag w:val="_PLD_29407a86c6924579a6442f5b24e6decd"/>
                <w:id w:val="-1785259585"/>
                <w:lock w:val="sdtLocked"/>
              </w:sdtPr>
              <w:sdtEndPr/>
              <w:sdtContent>
                <w:tc>
                  <w:tcPr>
                    <w:tcW w:w="705" w:type="pct"/>
                    <w:tcBorders>
                      <w:top w:val="single" w:sz="6" w:space="0" w:color="auto"/>
                      <w:left w:val="single" w:sz="6" w:space="0" w:color="auto"/>
                      <w:bottom w:val="single" w:sz="6" w:space="0" w:color="auto"/>
                      <w:right w:val="single" w:sz="6" w:space="0" w:color="auto"/>
                    </w:tcBorders>
                    <w:shd w:val="clear" w:color="auto" w:fill="auto"/>
                    <w:vAlign w:val="center"/>
                  </w:tcPr>
                  <w:p w14:paraId="26EB051A" w14:textId="77777777" w:rsidR="00753A4B" w:rsidRPr="00753A4B" w:rsidRDefault="00753A4B" w:rsidP="0005572F">
                    <w:pPr>
                      <w:spacing w:line="276" w:lineRule="auto"/>
                      <w:jc w:val="center"/>
                      <w:rPr>
                        <w:rFonts w:cs="Arial"/>
                        <w:sz w:val="18"/>
                        <w:szCs w:val="18"/>
                      </w:rPr>
                    </w:pPr>
                    <w:r w:rsidRPr="00753A4B">
                      <w:rPr>
                        <w:rFonts w:cs="Arial" w:hint="eastAsia"/>
                        <w:sz w:val="18"/>
                        <w:szCs w:val="18"/>
                        <w:lang w:val="en-GB"/>
                      </w:rPr>
                      <w:t>营业收入</w:t>
                    </w:r>
                  </w:p>
                </w:tc>
              </w:sdtContent>
            </w:sdt>
            <w:sdt>
              <w:sdtPr>
                <w:rPr>
                  <w:sz w:val="18"/>
                  <w:szCs w:val="18"/>
                </w:rPr>
                <w:tag w:val="_PLD_bc59f1076f2243f8984efa8df921ad2c"/>
                <w:id w:val="265350915"/>
                <w:lock w:val="sdtLocked"/>
              </w:sdtPr>
              <w:sdtEndPr/>
              <w:sdtContent>
                <w:tc>
                  <w:tcPr>
                    <w:tcW w:w="564" w:type="pct"/>
                    <w:tcBorders>
                      <w:top w:val="single" w:sz="6" w:space="0" w:color="auto"/>
                      <w:left w:val="single" w:sz="6" w:space="0" w:color="auto"/>
                      <w:bottom w:val="single" w:sz="6" w:space="0" w:color="auto"/>
                      <w:right w:val="single" w:sz="6" w:space="0" w:color="auto"/>
                    </w:tcBorders>
                    <w:shd w:val="clear" w:color="auto" w:fill="auto"/>
                    <w:vAlign w:val="center"/>
                  </w:tcPr>
                  <w:p w14:paraId="212F6B1F" w14:textId="77777777" w:rsidR="00753A4B" w:rsidRPr="00753A4B" w:rsidRDefault="00753A4B" w:rsidP="0005572F">
                    <w:pPr>
                      <w:spacing w:line="276" w:lineRule="auto"/>
                      <w:jc w:val="center"/>
                      <w:rPr>
                        <w:rFonts w:cs="Arial"/>
                        <w:sz w:val="18"/>
                        <w:szCs w:val="18"/>
                      </w:rPr>
                    </w:pPr>
                    <w:r w:rsidRPr="00753A4B">
                      <w:rPr>
                        <w:rFonts w:cs="Arial" w:hint="eastAsia"/>
                        <w:sz w:val="18"/>
                        <w:szCs w:val="18"/>
                        <w:lang w:val="en-GB"/>
                      </w:rPr>
                      <w:t>净利润</w:t>
                    </w:r>
                  </w:p>
                </w:tc>
              </w:sdtContent>
            </w:sdt>
            <w:sdt>
              <w:sdtPr>
                <w:rPr>
                  <w:sz w:val="18"/>
                  <w:szCs w:val="18"/>
                </w:rPr>
                <w:tag w:val="_PLD_90f87c27e3fb4843892cceb85599a3b1"/>
                <w:id w:val="-1307230762"/>
                <w:lock w:val="sdtLocked"/>
              </w:sdtPr>
              <w:sdtEndPr/>
              <w:sdtContent>
                <w:tc>
                  <w:tcPr>
                    <w:tcW w:w="422" w:type="pct"/>
                    <w:tcBorders>
                      <w:top w:val="single" w:sz="6" w:space="0" w:color="auto"/>
                      <w:left w:val="single" w:sz="6" w:space="0" w:color="auto"/>
                      <w:bottom w:val="single" w:sz="6" w:space="0" w:color="auto"/>
                      <w:right w:val="single" w:sz="6" w:space="0" w:color="auto"/>
                    </w:tcBorders>
                    <w:shd w:val="clear" w:color="auto" w:fill="auto"/>
                    <w:vAlign w:val="center"/>
                  </w:tcPr>
                  <w:p w14:paraId="332D5257" w14:textId="77777777" w:rsidR="00753A4B" w:rsidRPr="00753A4B" w:rsidRDefault="00753A4B" w:rsidP="0005572F">
                    <w:pPr>
                      <w:spacing w:line="276" w:lineRule="auto"/>
                      <w:jc w:val="center"/>
                      <w:rPr>
                        <w:rFonts w:cs="Arial"/>
                        <w:sz w:val="18"/>
                        <w:szCs w:val="18"/>
                      </w:rPr>
                    </w:pPr>
                    <w:r w:rsidRPr="00753A4B">
                      <w:rPr>
                        <w:rFonts w:cs="Arial" w:hint="eastAsia"/>
                        <w:sz w:val="18"/>
                        <w:szCs w:val="18"/>
                        <w:lang w:val="en-GB"/>
                      </w:rPr>
                      <w:t>综合收益总额</w:t>
                    </w:r>
                  </w:p>
                </w:tc>
              </w:sdtContent>
            </w:sdt>
            <w:sdt>
              <w:sdtPr>
                <w:rPr>
                  <w:sz w:val="18"/>
                  <w:szCs w:val="18"/>
                </w:rPr>
                <w:tag w:val="_PLD_3126fb1798f346de95a39458603c4301"/>
                <w:id w:val="-2002659109"/>
                <w:lock w:val="sdtLocked"/>
              </w:sdtPr>
              <w:sdtEndPr/>
              <w:sdtContent>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14:paraId="6CBC916B" w14:textId="77777777" w:rsidR="00753A4B" w:rsidRPr="00753A4B" w:rsidRDefault="00753A4B" w:rsidP="0005572F">
                    <w:pPr>
                      <w:spacing w:line="276" w:lineRule="auto"/>
                      <w:jc w:val="center"/>
                      <w:rPr>
                        <w:rFonts w:cs="Arial"/>
                        <w:sz w:val="18"/>
                        <w:szCs w:val="18"/>
                      </w:rPr>
                    </w:pPr>
                    <w:r w:rsidRPr="00753A4B">
                      <w:rPr>
                        <w:rFonts w:cs="Arial" w:hint="eastAsia"/>
                        <w:sz w:val="18"/>
                        <w:szCs w:val="18"/>
                        <w:lang w:val="en-GB"/>
                      </w:rPr>
                      <w:t>经营活动现金流量</w:t>
                    </w:r>
                  </w:p>
                </w:tc>
              </w:sdtContent>
            </w:sdt>
            <w:sdt>
              <w:sdtPr>
                <w:rPr>
                  <w:sz w:val="18"/>
                  <w:szCs w:val="18"/>
                </w:rPr>
                <w:tag w:val="_PLD_44ccfb27fc6943ac84654ba7c7bef20e"/>
                <w:id w:val="-1053697959"/>
                <w:lock w:val="sdtLocked"/>
              </w:sdtPr>
              <w:sdtEndPr/>
              <w:sdtContent>
                <w:tc>
                  <w:tcPr>
                    <w:tcW w:w="422" w:type="pct"/>
                    <w:tcBorders>
                      <w:top w:val="single" w:sz="6" w:space="0" w:color="auto"/>
                      <w:left w:val="single" w:sz="6" w:space="0" w:color="auto"/>
                      <w:bottom w:val="single" w:sz="6" w:space="0" w:color="auto"/>
                      <w:right w:val="single" w:sz="6" w:space="0" w:color="auto"/>
                    </w:tcBorders>
                    <w:shd w:val="clear" w:color="auto" w:fill="auto"/>
                    <w:vAlign w:val="center"/>
                  </w:tcPr>
                  <w:p w14:paraId="1923B075" w14:textId="77777777" w:rsidR="00753A4B" w:rsidRPr="00753A4B" w:rsidRDefault="00753A4B" w:rsidP="0005572F">
                    <w:pPr>
                      <w:spacing w:line="276" w:lineRule="auto"/>
                      <w:jc w:val="center"/>
                      <w:rPr>
                        <w:rFonts w:cs="Arial"/>
                        <w:sz w:val="18"/>
                        <w:szCs w:val="18"/>
                      </w:rPr>
                    </w:pPr>
                    <w:r w:rsidRPr="00753A4B">
                      <w:rPr>
                        <w:rFonts w:cs="Arial" w:hint="eastAsia"/>
                        <w:sz w:val="18"/>
                        <w:szCs w:val="18"/>
                        <w:lang w:val="en-GB"/>
                      </w:rPr>
                      <w:t>营业收入</w:t>
                    </w:r>
                  </w:p>
                </w:tc>
              </w:sdtContent>
            </w:sdt>
            <w:sdt>
              <w:sdtPr>
                <w:rPr>
                  <w:sz w:val="18"/>
                  <w:szCs w:val="18"/>
                </w:rPr>
                <w:tag w:val="_PLD_c08aebbf24fa4b1aa2c4f79232c7c630"/>
                <w:id w:val="1125667576"/>
                <w:lock w:val="sdtLocked"/>
              </w:sdtPr>
              <w:sdtEndPr/>
              <w:sdtContent>
                <w:tc>
                  <w:tcPr>
                    <w:tcW w:w="422" w:type="pct"/>
                    <w:tcBorders>
                      <w:top w:val="single" w:sz="6" w:space="0" w:color="auto"/>
                      <w:left w:val="single" w:sz="6" w:space="0" w:color="auto"/>
                      <w:bottom w:val="single" w:sz="6" w:space="0" w:color="auto"/>
                      <w:right w:val="single" w:sz="6" w:space="0" w:color="auto"/>
                    </w:tcBorders>
                    <w:shd w:val="clear" w:color="auto" w:fill="auto"/>
                    <w:vAlign w:val="center"/>
                  </w:tcPr>
                  <w:p w14:paraId="09353247" w14:textId="77777777" w:rsidR="00753A4B" w:rsidRPr="00753A4B" w:rsidRDefault="00753A4B" w:rsidP="0005572F">
                    <w:pPr>
                      <w:spacing w:line="276" w:lineRule="auto"/>
                      <w:jc w:val="center"/>
                      <w:rPr>
                        <w:rFonts w:cs="Arial"/>
                        <w:sz w:val="18"/>
                        <w:szCs w:val="18"/>
                      </w:rPr>
                    </w:pPr>
                    <w:r w:rsidRPr="00753A4B">
                      <w:rPr>
                        <w:rFonts w:cs="Arial" w:hint="eastAsia"/>
                        <w:sz w:val="18"/>
                        <w:szCs w:val="18"/>
                        <w:lang w:val="en-GB"/>
                      </w:rPr>
                      <w:t>净利润</w:t>
                    </w:r>
                  </w:p>
                </w:tc>
              </w:sdtContent>
            </w:sdt>
            <w:sdt>
              <w:sdtPr>
                <w:rPr>
                  <w:sz w:val="18"/>
                  <w:szCs w:val="18"/>
                </w:rPr>
                <w:tag w:val="_PLD_0a377a03553f4d909179190a153a31b7"/>
                <w:id w:val="1193651683"/>
                <w:lock w:val="sdtLocked"/>
              </w:sdtPr>
              <w:sdtEndPr/>
              <w:sdtContent>
                <w:tc>
                  <w:tcPr>
                    <w:tcW w:w="406" w:type="pct"/>
                    <w:tcBorders>
                      <w:top w:val="single" w:sz="6" w:space="0" w:color="auto"/>
                      <w:left w:val="single" w:sz="6" w:space="0" w:color="auto"/>
                      <w:bottom w:val="single" w:sz="6" w:space="0" w:color="auto"/>
                      <w:right w:val="single" w:sz="6" w:space="0" w:color="auto"/>
                    </w:tcBorders>
                    <w:shd w:val="clear" w:color="auto" w:fill="auto"/>
                    <w:vAlign w:val="center"/>
                  </w:tcPr>
                  <w:p w14:paraId="58D682FE" w14:textId="77777777" w:rsidR="00753A4B" w:rsidRPr="00753A4B" w:rsidRDefault="00753A4B" w:rsidP="0005572F">
                    <w:pPr>
                      <w:spacing w:line="276" w:lineRule="auto"/>
                      <w:jc w:val="center"/>
                      <w:rPr>
                        <w:rFonts w:cs="Arial"/>
                        <w:sz w:val="18"/>
                        <w:szCs w:val="18"/>
                      </w:rPr>
                    </w:pPr>
                    <w:r w:rsidRPr="00753A4B">
                      <w:rPr>
                        <w:rFonts w:cs="Arial" w:hint="eastAsia"/>
                        <w:sz w:val="18"/>
                        <w:szCs w:val="18"/>
                        <w:lang w:val="en-GB"/>
                      </w:rPr>
                      <w:t>综合收益总额</w:t>
                    </w:r>
                  </w:p>
                </w:tc>
              </w:sdtContent>
            </w:sdt>
            <w:sdt>
              <w:sdtPr>
                <w:rPr>
                  <w:sz w:val="18"/>
                  <w:szCs w:val="18"/>
                </w:rPr>
                <w:tag w:val="_PLD_400ec1e5e2cf42e5a9eea23ddbdbd572"/>
                <w:id w:val="1373505398"/>
                <w:lock w:val="sdtLocked"/>
              </w:sdtPr>
              <w:sdtEndPr/>
              <w:sdtContent>
                <w:tc>
                  <w:tcPr>
                    <w:tcW w:w="582" w:type="pct"/>
                    <w:tcBorders>
                      <w:top w:val="single" w:sz="6" w:space="0" w:color="auto"/>
                      <w:left w:val="single" w:sz="6" w:space="0" w:color="auto"/>
                      <w:bottom w:val="single" w:sz="6" w:space="0" w:color="auto"/>
                      <w:right w:val="single" w:sz="4" w:space="0" w:color="auto"/>
                    </w:tcBorders>
                    <w:shd w:val="clear" w:color="auto" w:fill="auto"/>
                    <w:vAlign w:val="center"/>
                  </w:tcPr>
                  <w:p w14:paraId="386C22C4" w14:textId="77777777" w:rsidR="00753A4B" w:rsidRPr="00753A4B" w:rsidRDefault="00753A4B" w:rsidP="0005572F">
                    <w:pPr>
                      <w:spacing w:line="276" w:lineRule="auto"/>
                      <w:jc w:val="center"/>
                      <w:rPr>
                        <w:rFonts w:cs="Arial"/>
                        <w:sz w:val="18"/>
                        <w:szCs w:val="18"/>
                      </w:rPr>
                    </w:pPr>
                    <w:r w:rsidRPr="00753A4B">
                      <w:rPr>
                        <w:rFonts w:cs="Arial" w:hint="eastAsia"/>
                        <w:sz w:val="18"/>
                        <w:szCs w:val="18"/>
                        <w:lang w:val="en-GB"/>
                      </w:rPr>
                      <w:t>经营活动现金流量</w:t>
                    </w:r>
                  </w:p>
                </w:tc>
              </w:sdtContent>
            </w:sdt>
          </w:tr>
          <w:sdt>
            <w:sdtPr>
              <w:rPr>
                <w:sz w:val="18"/>
                <w:szCs w:val="18"/>
              </w:rPr>
              <w:alias w:val="重要非全资子公司的主要财务信息明细"/>
              <w:tag w:val="_GBC_330f4405d49345f7b8f69770f6eb8b4a"/>
              <w:id w:val="-1998333152"/>
              <w:lock w:val="sdtLocked"/>
              <w:placeholder>
                <w:docPart w:val="F8AC5B48B5EE44A38D772465DA394D82"/>
              </w:placeholder>
            </w:sdtPr>
            <w:sdtEndPr/>
            <w:sdtContent>
              <w:tr w:rsidR="00753A4B" w14:paraId="0E1E41D5" w14:textId="77777777" w:rsidTr="00753A4B">
                <w:tc>
                  <w:tcPr>
                    <w:tcW w:w="985" w:type="pct"/>
                    <w:tcBorders>
                      <w:top w:val="single" w:sz="6" w:space="0" w:color="auto"/>
                      <w:left w:val="single" w:sz="4" w:space="0" w:color="auto"/>
                      <w:bottom w:val="single" w:sz="4" w:space="0" w:color="auto"/>
                      <w:right w:val="single" w:sz="6" w:space="0" w:color="auto"/>
                    </w:tcBorders>
                  </w:tcPr>
                  <w:p w14:paraId="3B15DE9D" w14:textId="77777777" w:rsidR="00753A4B" w:rsidRPr="00753A4B" w:rsidRDefault="00753A4B" w:rsidP="0005572F">
                    <w:pPr>
                      <w:spacing w:line="276" w:lineRule="auto"/>
                      <w:rPr>
                        <w:sz w:val="18"/>
                        <w:szCs w:val="18"/>
                      </w:rPr>
                    </w:pPr>
                    <w:r w:rsidRPr="00753A4B">
                      <w:rPr>
                        <w:rFonts w:hint="eastAsia"/>
                        <w:sz w:val="18"/>
                        <w:szCs w:val="18"/>
                      </w:rPr>
                      <w:t>北京明晖天海气体储运装备销售有限公司</w:t>
                    </w:r>
                  </w:p>
                </w:tc>
                <w:tc>
                  <w:tcPr>
                    <w:tcW w:w="705" w:type="pct"/>
                    <w:tcBorders>
                      <w:top w:val="single" w:sz="6" w:space="0" w:color="auto"/>
                      <w:left w:val="single" w:sz="6" w:space="0" w:color="auto"/>
                      <w:bottom w:val="single" w:sz="4" w:space="0" w:color="auto"/>
                      <w:right w:val="single" w:sz="6" w:space="0" w:color="auto"/>
                    </w:tcBorders>
                  </w:tcPr>
                  <w:p w14:paraId="5109F484" w14:textId="77777777" w:rsidR="00753A4B" w:rsidRPr="00753A4B" w:rsidRDefault="00753A4B" w:rsidP="0005572F">
                    <w:pPr>
                      <w:spacing w:line="276" w:lineRule="auto"/>
                      <w:jc w:val="right"/>
                      <w:rPr>
                        <w:sz w:val="18"/>
                        <w:szCs w:val="18"/>
                      </w:rPr>
                    </w:pPr>
                    <w:r w:rsidRPr="00753A4B">
                      <w:rPr>
                        <w:sz w:val="18"/>
                        <w:szCs w:val="18"/>
                      </w:rPr>
                      <w:t>94,914,576.76</w:t>
                    </w:r>
                  </w:p>
                </w:tc>
                <w:tc>
                  <w:tcPr>
                    <w:tcW w:w="564" w:type="pct"/>
                    <w:tcBorders>
                      <w:top w:val="single" w:sz="6" w:space="0" w:color="auto"/>
                      <w:left w:val="single" w:sz="6" w:space="0" w:color="auto"/>
                      <w:bottom w:val="single" w:sz="4" w:space="0" w:color="auto"/>
                      <w:right w:val="single" w:sz="6" w:space="0" w:color="auto"/>
                    </w:tcBorders>
                  </w:tcPr>
                  <w:p w14:paraId="05F650BC" w14:textId="77777777" w:rsidR="00753A4B" w:rsidRPr="00753A4B" w:rsidRDefault="00753A4B" w:rsidP="0005572F">
                    <w:pPr>
                      <w:spacing w:line="276" w:lineRule="auto"/>
                      <w:jc w:val="right"/>
                      <w:rPr>
                        <w:sz w:val="18"/>
                        <w:szCs w:val="18"/>
                      </w:rPr>
                    </w:pPr>
                    <w:r w:rsidRPr="00753A4B">
                      <w:rPr>
                        <w:sz w:val="18"/>
                        <w:szCs w:val="18"/>
                      </w:rPr>
                      <w:t>-166,962.58</w:t>
                    </w:r>
                  </w:p>
                </w:tc>
                <w:tc>
                  <w:tcPr>
                    <w:tcW w:w="422" w:type="pct"/>
                    <w:tcBorders>
                      <w:top w:val="single" w:sz="6" w:space="0" w:color="auto"/>
                      <w:left w:val="single" w:sz="6" w:space="0" w:color="auto"/>
                      <w:bottom w:val="single" w:sz="4" w:space="0" w:color="auto"/>
                      <w:right w:val="single" w:sz="6" w:space="0" w:color="auto"/>
                    </w:tcBorders>
                  </w:tcPr>
                  <w:p w14:paraId="5583FB89" w14:textId="77777777" w:rsidR="00753A4B" w:rsidRPr="00753A4B" w:rsidRDefault="00753A4B" w:rsidP="0005572F">
                    <w:pPr>
                      <w:spacing w:line="276" w:lineRule="auto"/>
                      <w:jc w:val="right"/>
                      <w:rPr>
                        <w:sz w:val="18"/>
                        <w:szCs w:val="18"/>
                      </w:rPr>
                    </w:pPr>
                    <w:r w:rsidRPr="00753A4B">
                      <w:rPr>
                        <w:sz w:val="18"/>
                        <w:szCs w:val="18"/>
                      </w:rPr>
                      <w:t>-166,962.58</w:t>
                    </w:r>
                  </w:p>
                </w:tc>
                <w:tc>
                  <w:tcPr>
                    <w:tcW w:w="493" w:type="pct"/>
                    <w:tcBorders>
                      <w:top w:val="single" w:sz="6" w:space="0" w:color="auto"/>
                      <w:left w:val="single" w:sz="6" w:space="0" w:color="auto"/>
                      <w:bottom w:val="single" w:sz="4" w:space="0" w:color="auto"/>
                      <w:right w:val="single" w:sz="6" w:space="0" w:color="auto"/>
                    </w:tcBorders>
                  </w:tcPr>
                  <w:p w14:paraId="43559C4C" w14:textId="77777777" w:rsidR="00753A4B" w:rsidRPr="00753A4B" w:rsidRDefault="00753A4B" w:rsidP="0005572F">
                    <w:pPr>
                      <w:spacing w:line="276" w:lineRule="auto"/>
                      <w:jc w:val="right"/>
                      <w:rPr>
                        <w:sz w:val="18"/>
                        <w:szCs w:val="18"/>
                      </w:rPr>
                    </w:pPr>
                    <w:r w:rsidRPr="00753A4B">
                      <w:rPr>
                        <w:sz w:val="18"/>
                        <w:szCs w:val="18"/>
                      </w:rPr>
                      <w:t>1,157,810.40</w:t>
                    </w:r>
                  </w:p>
                </w:tc>
                <w:tc>
                  <w:tcPr>
                    <w:tcW w:w="422" w:type="pct"/>
                    <w:tcBorders>
                      <w:top w:val="single" w:sz="6" w:space="0" w:color="auto"/>
                      <w:left w:val="single" w:sz="6" w:space="0" w:color="auto"/>
                      <w:bottom w:val="single" w:sz="4" w:space="0" w:color="auto"/>
                      <w:right w:val="single" w:sz="6" w:space="0" w:color="auto"/>
                    </w:tcBorders>
                  </w:tcPr>
                  <w:p w14:paraId="4659EE2B" w14:textId="77777777" w:rsidR="00753A4B" w:rsidRPr="00753A4B" w:rsidRDefault="00753A4B" w:rsidP="0005572F">
                    <w:pPr>
                      <w:spacing w:line="276" w:lineRule="auto"/>
                      <w:jc w:val="right"/>
                      <w:rPr>
                        <w:sz w:val="18"/>
                        <w:szCs w:val="18"/>
                      </w:rPr>
                    </w:pPr>
                    <w:r w:rsidRPr="00753A4B">
                      <w:rPr>
                        <w:sz w:val="18"/>
                        <w:szCs w:val="18"/>
                      </w:rPr>
                      <w:t>96,924,975.62</w:t>
                    </w:r>
                  </w:p>
                </w:tc>
                <w:tc>
                  <w:tcPr>
                    <w:tcW w:w="422" w:type="pct"/>
                    <w:tcBorders>
                      <w:top w:val="single" w:sz="6" w:space="0" w:color="auto"/>
                      <w:left w:val="single" w:sz="6" w:space="0" w:color="auto"/>
                      <w:bottom w:val="single" w:sz="4" w:space="0" w:color="auto"/>
                      <w:right w:val="single" w:sz="6" w:space="0" w:color="auto"/>
                    </w:tcBorders>
                  </w:tcPr>
                  <w:p w14:paraId="0312CA4E" w14:textId="77777777" w:rsidR="00753A4B" w:rsidRPr="00753A4B" w:rsidRDefault="00753A4B" w:rsidP="0005572F">
                    <w:pPr>
                      <w:spacing w:line="276" w:lineRule="auto"/>
                      <w:jc w:val="right"/>
                      <w:rPr>
                        <w:sz w:val="18"/>
                        <w:szCs w:val="18"/>
                      </w:rPr>
                    </w:pPr>
                    <w:r w:rsidRPr="00753A4B">
                      <w:rPr>
                        <w:sz w:val="18"/>
                        <w:szCs w:val="18"/>
                      </w:rPr>
                      <w:t>-8,282,568.83</w:t>
                    </w:r>
                  </w:p>
                </w:tc>
                <w:tc>
                  <w:tcPr>
                    <w:tcW w:w="406" w:type="pct"/>
                    <w:tcBorders>
                      <w:top w:val="single" w:sz="6" w:space="0" w:color="auto"/>
                      <w:left w:val="single" w:sz="6" w:space="0" w:color="auto"/>
                      <w:bottom w:val="single" w:sz="4" w:space="0" w:color="auto"/>
                      <w:right w:val="single" w:sz="6" w:space="0" w:color="auto"/>
                    </w:tcBorders>
                  </w:tcPr>
                  <w:p w14:paraId="02E7CE48" w14:textId="77777777" w:rsidR="00753A4B" w:rsidRPr="00753A4B" w:rsidRDefault="00753A4B" w:rsidP="0005572F">
                    <w:pPr>
                      <w:spacing w:line="276" w:lineRule="auto"/>
                      <w:jc w:val="right"/>
                      <w:rPr>
                        <w:sz w:val="18"/>
                        <w:szCs w:val="18"/>
                      </w:rPr>
                    </w:pPr>
                    <w:r w:rsidRPr="00753A4B">
                      <w:rPr>
                        <w:sz w:val="18"/>
                        <w:szCs w:val="18"/>
                      </w:rPr>
                      <w:t>-8,282,568.83</w:t>
                    </w:r>
                  </w:p>
                </w:tc>
                <w:tc>
                  <w:tcPr>
                    <w:tcW w:w="582" w:type="pct"/>
                    <w:tcBorders>
                      <w:top w:val="single" w:sz="6" w:space="0" w:color="auto"/>
                      <w:left w:val="single" w:sz="6" w:space="0" w:color="auto"/>
                      <w:bottom w:val="single" w:sz="4" w:space="0" w:color="auto"/>
                      <w:right w:val="single" w:sz="4" w:space="0" w:color="auto"/>
                    </w:tcBorders>
                  </w:tcPr>
                  <w:p w14:paraId="11E15FA0" w14:textId="77777777" w:rsidR="00753A4B" w:rsidRPr="00753A4B" w:rsidRDefault="00753A4B" w:rsidP="0005572F">
                    <w:pPr>
                      <w:spacing w:line="276" w:lineRule="auto"/>
                      <w:jc w:val="right"/>
                      <w:rPr>
                        <w:sz w:val="18"/>
                        <w:szCs w:val="18"/>
                      </w:rPr>
                    </w:pPr>
                    <w:r w:rsidRPr="00753A4B">
                      <w:rPr>
                        <w:sz w:val="18"/>
                        <w:szCs w:val="18"/>
                      </w:rPr>
                      <w:t>264,960.22</w:t>
                    </w:r>
                  </w:p>
                </w:tc>
              </w:tr>
            </w:sdtContent>
          </w:sdt>
          <w:sdt>
            <w:sdtPr>
              <w:rPr>
                <w:sz w:val="18"/>
                <w:szCs w:val="18"/>
              </w:rPr>
              <w:alias w:val="重要非全资子公司的主要财务信息明细"/>
              <w:tag w:val="_GBC_330f4405d49345f7b8f69770f6eb8b4a"/>
              <w:id w:val="-704024395"/>
              <w:lock w:val="sdtLocked"/>
              <w:placeholder>
                <w:docPart w:val="F8AC5B48B5EE44A38D772465DA394D82"/>
              </w:placeholder>
            </w:sdtPr>
            <w:sdtEndPr/>
            <w:sdtContent>
              <w:tr w:rsidR="00753A4B" w14:paraId="6DBFFB66" w14:textId="77777777" w:rsidTr="00753A4B">
                <w:tc>
                  <w:tcPr>
                    <w:tcW w:w="985" w:type="pct"/>
                    <w:tcBorders>
                      <w:top w:val="single" w:sz="6" w:space="0" w:color="auto"/>
                      <w:left w:val="single" w:sz="4" w:space="0" w:color="auto"/>
                      <w:bottom w:val="single" w:sz="4" w:space="0" w:color="auto"/>
                      <w:right w:val="single" w:sz="6" w:space="0" w:color="auto"/>
                    </w:tcBorders>
                  </w:tcPr>
                  <w:p w14:paraId="39D049E3" w14:textId="77777777" w:rsidR="00753A4B" w:rsidRPr="00753A4B" w:rsidRDefault="00753A4B" w:rsidP="0005572F">
                    <w:pPr>
                      <w:spacing w:line="276" w:lineRule="auto"/>
                      <w:rPr>
                        <w:sz w:val="18"/>
                        <w:szCs w:val="18"/>
                      </w:rPr>
                    </w:pPr>
                    <w:r w:rsidRPr="00753A4B">
                      <w:rPr>
                        <w:rFonts w:hint="eastAsia"/>
                        <w:sz w:val="18"/>
                        <w:szCs w:val="18"/>
                      </w:rPr>
                      <w:t>北京天海低温设备有限公司</w:t>
                    </w:r>
                  </w:p>
                </w:tc>
                <w:tc>
                  <w:tcPr>
                    <w:tcW w:w="705" w:type="pct"/>
                    <w:tcBorders>
                      <w:top w:val="single" w:sz="6" w:space="0" w:color="auto"/>
                      <w:left w:val="single" w:sz="6" w:space="0" w:color="auto"/>
                      <w:bottom w:val="single" w:sz="4" w:space="0" w:color="auto"/>
                      <w:right w:val="single" w:sz="6" w:space="0" w:color="auto"/>
                    </w:tcBorders>
                  </w:tcPr>
                  <w:p w14:paraId="06AF5205" w14:textId="77777777" w:rsidR="00753A4B" w:rsidRPr="00753A4B" w:rsidRDefault="00753A4B" w:rsidP="0005572F">
                    <w:pPr>
                      <w:spacing w:line="276" w:lineRule="auto"/>
                      <w:jc w:val="right"/>
                      <w:rPr>
                        <w:sz w:val="18"/>
                        <w:szCs w:val="18"/>
                      </w:rPr>
                    </w:pPr>
                    <w:r w:rsidRPr="00753A4B">
                      <w:rPr>
                        <w:sz w:val="18"/>
                        <w:szCs w:val="18"/>
                      </w:rPr>
                      <w:t>95,771,711.05</w:t>
                    </w:r>
                  </w:p>
                </w:tc>
                <w:tc>
                  <w:tcPr>
                    <w:tcW w:w="564" w:type="pct"/>
                    <w:tcBorders>
                      <w:top w:val="single" w:sz="6" w:space="0" w:color="auto"/>
                      <w:left w:val="single" w:sz="6" w:space="0" w:color="auto"/>
                      <w:bottom w:val="single" w:sz="4" w:space="0" w:color="auto"/>
                      <w:right w:val="single" w:sz="6" w:space="0" w:color="auto"/>
                    </w:tcBorders>
                  </w:tcPr>
                  <w:p w14:paraId="0EEA2ED6" w14:textId="77777777" w:rsidR="00753A4B" w:rsidRPr="00753A4B" w:rsidRDefault="00753A4B" w:rsidP="0005572F">
                    <w:pPr>
                      <w:spacing w:line="276" w:lineRule="auto"/>
                      <w:jc w:val="right"/>
                      <w:rPr>
                        <w:sz w:val="18"/>
                        <w:szCs w:val="18"/>
                      </w:rPr>
                    </w:pPr>
                    <w:r w:rsidRPr="00753A4B">
                      <w:rPr>
                        <w:sz w:val="18"/>
                        <w:szCs w:val="18"/>
                      </w:rPr>
                      <w:t>-593,022.85</w:t>
                    </w:r>
                  </w:p>
                </w:tc>
                <w:tc>
                  <w:tcPr>
                    <w:tcW w:w="422" w:type="pct"/>
                    <w:tcBorders>
                      <w:top w:val="single" w:sz="6" w:space="0" w:color="auto"/>
                      <w:left w:val="single" w:sz="6" w:space="0" w:color="auto"/>
                      <w:bottom w:val="single" w:sz="4" w:space="0" w:color="auto"/>
                      <w:right w:val="single" w:sz="6" w:space="0" w:color="auto"/>
                    </w:tcBorders>
                  </w:tcPr>
                  <w:p w14:paraId="491370E1" w14:textId="77777777" w:rsidR="00753A4B" w:rsidRPr="00753A4B" w:rsidRDefault="00753A4B" w:rsidP="0005572F">
                    <w:pPr>
                      <w:spacing w:line="276" w:lineRule="auto"/>
                      <w:jc w:val="right"/>
                      <w:rPr>
                        <w:sz w:val="18"/>
                        <w:szCs w:val="18"/>
                      </w:rPr>
                    </w:pPr>
                    <w:r w:rsidRPr="00753A4B">
                      <w:rPr>
                        <w:sz w:val="18"/>
                        <w:szCs w:val="18"/>
                      </w:rPr>
                      <w:t>-593,022.85</w:t>
                    </w:r>
                  </w:p>
                </w:tc>
                <w:tc>
                  <w:tcPr>
                    <w:tcW w:w="493" w:type="pct"/>
                    <w:tcBorders>
                      <w:top w:val="single" w:sz="6" w:space="0" w:color="auto"/>
                      <w:left w:val="single" w:sz="6" w:space="0" w:color="auto"/>
                      <w:bottom w:val="single" w:sz="4" w:space="0" w:color="auto"/>
                      <w:right w:val="single" w:sz="6" w:space="0" w:color="auto"/>
                    </w:tcBorders>
                  </w:tcPr>
                  <w:p w14:paraId="09DE36DE" w14:textId="77777777" w:rsidR="00753A4B" w:rsidRPr="00753A4B" w:rsidRDefault="00753A4B" w:rsidP="0005572F">
                    <w:pPr>
                      <w:spacing w:line="276" w:lineRule="auto"/>
                      <w:jc w:val="right"/>
                      <w:rPr>
                        <w:sz w:val="18"/>
                        <w:szCs w:val="18"/>
                      </w:rPr>
                    </w:pPr>
                    <w:r w:rsidRPr="00753A4B">
                      <w:rPr>
                        <w:sz w:val="18"/>
                        <w:szCs w:val="18"/>
                      </w:rPr>
                      <w:t>7,764,746.68</w:t>
                    </w:r>
                  </w:p>
                </w:tc>
                <w:tc>
                  <w:tcPr>
                    <w:tcW w:w="422" w:type="pct"/>
                    <w:tcBorders>
                      <w:top w:val="single" w:sz="6" w:space="0" w:color="auto"/>
                      <w:left w:val="single" w:sz="6" w:space="0" w:color="auto"/>
                      <w:bottom w:val="single" w:sz="4" w:space="0" w:color="auto"/>
                      <w:right w:val="single" w:sz="6" w:space="0" w:color="auto"/>
                    </w:tcBorders>
                  </w:tcPr>
                  <w:p w14:paraId="2CEB8EEF" w14:textId="77777777" w:rsidR="00753A4B" w:rsidRPr="00753A4B" w:rsidRDefault="00753A4B" w:rsidP="0005572F">
                    <w:pPr>
                      <w:spacing w:line="276" w:lineRule="auto"/>
                      <w:jc w:val="right"/>
                      <w:rPr>
                        <w:sz w:val="18"/>
                        <w:szCs w:val="18"/>
                      </w:rPr>
                    </w:pPr>
                    <w:r w:rsidRPr="00753A4B">
                      <w:rPr>
                        <w:sz w:val="18"/>
                        <w:szCs w:val="18"/>
                      </w:rPr>
                      <w:t>77,174,213.79</w:t>
                    </w:r>
                  </w:p>
                </w:tc>
                <w:tc>
                  <w:tcPr>
                    <w:tcW w:w="422" w:type="pct"/>
                    <w:tcBorders>
                      <w:top w:val="single" w:sz="6" w:space="0" w:color="auto"/>
                      <w:left w:val="single" w:sz="6" w:space="0" w:color="auto"/>
                      <w:bottom w:val="single" w:sz="4" w:space="0" w:color="auto"/>
                      <w:right w:val="single" w:sz="6" w:space="0" w:color="auto"/>
                    </w:tcBorders>
                  </w:tcPr>
                  <w:p w14:paraId="63D727B6" w14:textId="77777777" w:rsidR="00753A4B" w:rsidRPr="00753A4B" w:rsidRDefault="00753A4B" w:rsidP="0005572F">
                    <w:pPr>
                      <w:spacing w:line="276" w:lineRule="auto"/>
                      <w:jc w:val="right"/>
                      <w:rPr>
                        <w:sz w:val="18"/>
                        <w:szCs w:val="18"/>
                      </w:rPr>
                    </w:pPr>
                    <w:r w:rsidRPr="00753A4B">
                      <w:rPr>
                        <w:sz w:val="18"/>
                        <w:szCs w:val="18"/>
                      </w:rPr>
                      <w:t>-9,466,522.59</w:t>
                    </w:r>
                  </w:p>
                </w:tc>
                <w:tc>
                  <w:tcPr>
                    <w:tcW w:w="406" w:type="pct"/>
                    <w:tcBorders>
                      <w:top w:val="single" w:sz="6" w:space="0" w:color="auto"/>
                      <w:left w:val="single" w:sz="6" w:space="0" w:color="auto"/>
                      <w:bottom w:val="single" w:sz="4" w:space="0" w:color="auto"/>
                      <w:right w:val="single" w:sz="6" w:space="0" w:color="auto"/>
                    </w:tcBorders>
                  </w:tcPr>
                  <w:p w14:paraId="501B567F" w14:textId="77777777" w:rsidR="00753A4B" w:rsidRPr="00753A4B" w:rsidRDefault="00753A4B" w:rsidP="0005572F">
                    <w:pPr>
                      <w:spacing w:line="276" w:lineRule="auto"/>
                      <w:jc w:val="right"/>
                      <w:rPr>
                        <w:sz w:val="18"/>
                        <w:szCs w:val="18"/>
                      </w:rPr>
                    </w:pPr>
                    <w:r w:rsidRPr="00753A4B">
                      <w:rPr>
                        <w:sz w:val="18"/>
                        <w:szCs w:val="18"/>
                      </w:rPr>
                      <w:t>-9,466,522.59</w:t>
                    </w:r>
                  </w:p>
                </w:tc>
                <w:tc>
                  <w:tcPr>
                    <w:tcW w:w="582" w:type="pct"/>
                    <w:tcBorders>
                      <w:top w:val="single" w:sz="6" w:space="0" w:color="auto"/>
                      <w:left w:val="single" w:sz="6" w:space="0" w:color="auto"/>
                      <w:bottom w:val="single" w:sz="4" w:space="0" w:color="auto"/>
                      <w:right w:val="single" w:sz="4" w:space="0" w:color="auto"/>
                    </w:tcBorders>
                  </w:tcPr>
                  <w:p w14:paraId="43D216C2" w14:textId="77777777" w:rsidR="00753A4B" w:rsidRPr="00753A4B" w:rsidRDefault="00753A4B" w:rsidP="0005572F">
                    <w:pPr>
                      <w:spacing w:line="276" w:lineRule="auto"/>
                      <w:jc w:val="right"/>
                      <w:rPr>
                        <w:sz w:val="18"/>
                        <w:szCs w:val="18"/>
                      </w:rPr>
                    </w:pPr>
                    <w:r w:rsidRPr="00753A4B">
                      <w:rPr>
                        <w:sz w:val="18"/>
                        <w:szCs w:val="18"/>
                      </w:rPr>
                      <w:t>-5,577,389.63</w:t>
                    </w:r>
                  </w:p>
                </w:tc>
              </w:tr>
            </w:sdtContent>
          </w:sdt>
          <w:sdt>
            <w:sdtPr>
              <w:rPr>
                <w:sz w:val="18"/>
                <w:szCs w:val="18"/>
              </w:rPr>
              <w:alias w:val="重要非全资子公司的主要财务信息明细"/>
              <w:tag w:val="_GBC_330f4405d49345f7b8f69770f6eb8b4a"/>
              <w:id w:val="774604375"/>
              <w:lock w:val="sdtLocked"/>
              <w:placeholder>
                <w:docPart w:val="F8AC5B48B5EE44A38D772465DA394D82"/>
              </w:placeholder>
            </w:sdtPr>
            <w:sdtEndPr/>
            <w:sdtContent>
              <w:tr w:rsidR="00753A4B" w14:paraId="786206FA" w14:textId="77777777" w:rsidTr="00753A4B">
                <w:tc>
                  <w:tcPr>
                    <w:tcW w:w="985" w:type="pct"/>
                    <w:tcBorders>
                      <w:top w:val="single" w:sz="6" w:space="0" w:color="auto"/>
                      <w:left w:val="single" w:sz="4" w:space="0" w:color="auto"/>
                      <w:bottom w:val="single" w:sz="4" w:space="0" w:color="auto"/>
                      <w:right w:val="single" w:sz="6" w:space="0" w:color="auto"/>
                    </w:tcBorders>
                  </w:tcPr>
                  <w:p w14:paraId="791C599C" w14:textId="77777777" w:rsidR="00753A4B" w:rsidRPr="00753A4B" w:rsidRDefault="00753A4B" w:rsidP="0005572F">
                    <w:pPr>
                      <w:spacing w:line="276" w:lineRule="auto"/>
                      <w:rPr>
                        <w:sz w:val="18"/>
                        <w:szCs w:val="18"/>
                      </w:rPr>
                    </w:pPr>
                    <w:r w:rsidRPr="00753A4B">
                      <w:rPr>
                        <w:rFonts w:hint="eastAsia"/>
                        <w:sz w:val="18"/>
                        <w:szCs w:val="18"/>
                      </w:rPr>
                      <w:t>天海美洲公司</w:t>
                    </w:r>
                  </w:p>
                </w:tc>
                <w:tc>
                  <w:tcPr>
                    <w:tcW w:w="705" w:type="pct"/>
                    <w:tcBorders>
                      <w:top w:val="single" w:sz="6" w:space="0" w:color="auto"/>
                      <w:left w:val="single" w:sz="6" w:space="0" w:color="auto"/>
                      <w:bottom w:val="single" w:sz="4" w:space="0" w:color="auto"/>
                      <w:right w:val="single" w:sz="6" w:space="0" w:color="auto"/>
                    </w:tcBorders>
                  </w:tcPr>
                  <w:p w14:paraId="4FA6A2B1" w14:textId="77777777" w:rsidR="00753A4B" w:rsidRPr="00753A4B" w:rsidRDefault="00753A4B" w:rsidP="0005572F">
                    <w:pPr>
                      <w:spacing w:line="276" w:lineRule="auto"/>
                      <w:jc w:val="right"/>
                      <w:rPr>
                        <w:sz w:val="18"/>
                        <w:szCs w:val="18"/>
                      </w:rPr>
                    </w:pPr>
                    <w:r w:rsidRPr="00753A4B">
                      <w:rPr>
                        <w:sz w:val="18"/>
                        <w:szCs w:val="18"/>
                      </w:rPr>
                      <w:t>68,996,926.48</w:t>
                    </w:r>
                  </w:p>
                </w:tc>
                <w:tc>
                  <w:tcPr>
                    <w:tcW w:w="564" w:type="pct"/>
                    <w:tcBorders>
                      <w:top w:val="single" w:sz="6" w:space="0" w:color="auto"/>
                      <w:left w:val="single" w:sz="6" w:space="0" w:color="auto"/>
                      <w:bottom w:val="single" w:sz="4" w:space="0" w:color="auto"/>
                      <w:right w:val="single" w:sz="6" w:space="0" w:color="auto"/>
                    </w:tcBorders>
                  </w:tcPr>
                  <w:p w14:paraId="46BC453B" w14:textId="77777777" w:rsidR="00753A4B" w:rsidRPr="00753A4B" w:rsidRDefault="00753A4B" w:rsidP="0005572F">
                    <w:pPr>
                      <w:spacing w:line="276" w:lineRule="auto"/>
                      <w:jc w:val="right"/>
                      <w:rPr>
                        <w:sz w:val="18"/>
                        <w:szCs w:val="18"/>
                      </w:rPr>
                    </w:pPr>
                    <w:r w:rsidRPr="00753A4B">
                      <w:rPr>
                        <w:sz w:val="18"/>
                        <w:szCs w:val="18"/>
                      </w:rPr>
                      <w:t>3,381,456.11</w:t>
                    </w:r>
                  </w:p>
                </w:tc>
                <w:tc>
                  <w:tcPr>
                    <w:tcW w:w="422" w:type="pct"/>
                    <w:tcBorders>
                      <w:top w:val="single" w:sz="6" w:space="0" w:color="auto"/>
                      <w:left w:val="single" w:sz="6" w:space="0" w:color="auto"/>
                      <w:bottom w:val="single" w:sz="4" w:space="0" w:color="auto"/>
                      <w:right w:val="single" w:sz="6" w:space="0" w:color="auto"/>
                    </w:tcBorders>
                  </w:tcPr>
                  <w:p w14:paraId="3FB8B59C" w14:textId="77777777" w:rsidR="00753A4B" w:rsidRPr="00753A4B" w:rsidRDefault="00753A4B" w:rsidP="0005572F">
                    <w:pPr>
                      <w:spacing w:line="276" w:lineRule="auto"/>
                      <w:jc w:val="right"/>
                      <w:rPr>
                        <w:sz w:val="18"/>
                        <w:szCs w:val="18"/>
                      </w:rPr>
                    </w:pPr>
                    <w:r w:rsidRPr="00753A4B">
                      <w:rPr>
                        <w:sz w:val="18"/>
                        <w:szCs w:val="18"/>
                      </w:rPr>
                      <w:t>3,086,470.18</w:t>
                    </w:r>
                  </w:p>
                </w:tc>
                <w:tc>
                  <w:tcPr>
                    <w:tcW w:w="493" w:type="pct"/>
                    <w:tcBorders>
                      <w:top w:val="single" w:sz="6" w:space="0" w:color="auto"/>
                      <w:left w:val="single" w:sz="6" w:space="0" w:color="auto"/>
                      <w:bottom w:val="single" w:sz="4" w:space="0" w:color="auto"/>
                      <w:right w:val="single" w:sz="6" w:space="0" w:color="auto"/>
                    </w:tcBorders>
                  </w:tcPr>
                  <w:p w14:paraId="2C1BFEF6" w14:textId="77777777" w:rsidR="00753A4B" w:rsidRPr="00753A4B" w:rsidRDefault="00753A4B" w:rsidP="0005572F">
                    <w:pPr>
                      <w:spacing w:line="276" w:lineRule="auto"/>
                      <w:jc w:val="right"/>
                      <w:rPr>
                        <w:sz w:val="18"/>
                        <w:szCs w:val="18"/>
                      </w:rPr>
                    </w:pPr>
                    <w:r w:rsidRPr="00753A4B">
                      <w:rPr>
                        <w:sz w:val="18"/>
                        <w:szCs w:val="18"/>
                      </w:rPr>
                      <w:t>-7,204,909.55</w:t>
                    </w:r>
                  </w:p>
                </w:tc>
                <w:tc>
                  <w:tcPr>
                    <w:tcW w:w="422" w:type="pct"/>
                    <w:tcBorders>
                      <w:top w:val="single" w:sz="6" w:space="0" w:color="auto"/>
                      <w:left w:val="single" w:sz="6" w:space="0" w:color="auto"/>
                      <w:bottom w:val="single" w:sz="4" w:space="0" w:color="auto"/>
                      <w:right w:val="single" w:sz="6" w:space="0" w:color="auto"/>
                    </w:tcBorders>
                  </w:tcPr>
                  <w:p w14:paraId="4910DC50" w14:textId="77777777" w:rsidR="00753A4B" w:rsidRPr="00753A4B" w:rsidRDefault="00753A4B" w:rsidP="0005572F">
                    <w:pPr>
                      <w:spacing w:line="276" w:lineRule="auto"/>
                      <w:jc w:val="right"/>
                      <w:rPr>
                        <w:sz w:val="18"/>
                        <w:szCs w:val="18"/>
                      </w:rPr>
                    </w:pPr>
                    <w:r w:rsidRPr="00753A4B">
                      <w:rPr>
                        <w:sz w:val="18"/>
                        <w:szCs w:val="18"/>
                      </w:rPr>
                      <w:t>62,114,181.08</w:t>
                    </w:r>
                  </w:p>
                </w:tc>
                <w:tc>
                  <w:tcPr>
                    <w:tcW w:w="422" w:type="pct"/>
                    <w:tcBorders>
                      <w:top w:val="single" w:sz="6" w:space="0" w:color="auto"/>
                      <w:left w:val="single" w:sz="6" w:space="0" w:color="auto"/>
                      <w:bottom w:val="single" w:sz="4" w:space="0" w:color="auto"/>
                      <w:right w:val="single" w:sz="6" w:space="0" w:color="auto"/>
                    </w:tcBorders>
                  </w:tcPr>
                  <w:p w14:paraId="26E0C4B4" w14:textId="77777777" w:rsidR="00753A4B" w:rsidRPr="00753A4B" w:rsidRDefault="00753A4B" w:rsidP="0005572F">
                    <w:pPr>
                      <w:spacing w:line="276" w:lineRule="auto"/>
                      <w:jc w:val="right"/>
                      <w:rPr>
                        <w:sz w:val="18"/>
                        <w:szCs w:val="18"/>
                      </w:rPr>
                    </w:pPr>
                    <w:r w:rsidRPr="00753A4B">
                      <w:rPr>
                        <w:sz w:val="18"/>
                        <w:szCs w:val="18"/>
                      </w:rPr>
                      <w:t>788,879.68</w:t>
                    </w:r>
                  </w:p>
                </w:tc>
                <w:tc>
                  <w:tcPr>
                    <w:tcW w:w="406" w:type="pct"/>
                    <w:tcBorders>
                      <w:top w:val="single" w:sz="6" w:space="0" w:color="auto"/>
                      <w:left w:val="single" w:sz="6" w:space="0" w:color="auto"/>
                      <w:bottom w:val="single" w:sz="4" w:space="0" w:color="auto"/>
                      <w:right w:val="single" w:sz="6" w:space="0" w:color="auto"/>
                    </w:tcBorders>
                  </w:tcPr>
                  <w:p w14:paraId="17E6E67D" w14:textId="77777777" w:rsidR="00753A4B" w:rsidRPr="00753A4B" w:rsidRDefault="00753A4B" w:rsidP="0005572F">
                    <w:pPr>
                      <w:spacing w:line="276" w:lineRule="auto"/>
                      <w:jc w:val="right"/>
                      <w:rPr>
                        <w:sz w:val="18"/>
                        <w:szCs w:val="18"/>
                      </w:rPr>
                    </w:pPr>
                    <w:r w:rsidRPr="00753A4B">
                      <w:rPr>
                        <w:sz w:val="18"/>
                        <w:szCs w:val="18"/>
                      </w:rPr>
                      <w:t>1,117,258.99</w:t>
                    </w:r>
                  </w:p>
                </w:tc>
                <w:tc>
                  <w:tcPr>
                    <w:tcW w:w="582" w:type="pct"/>
                    <w:tcBorders>
                      <w:top w:val="single" w:sz="6" w:space="0" w:color="auto"/>
                      <w:left w:val="single" w:sz="6" w:space="0" w:color="auto"/>
                      <w:bottom w:val="single" w:sz="4" w:space="0" w:color="auto"/>
                      <w:right w:val="single" w:sz="4" w:space="0" w:color="auto"/>
                    </w:tcBorders>
                  </w:tcPr>
                  <w:p w14:paraId="10250CA0" w14:textId="77777777" w:rsidR="00753A4B" w:rsidRPr="00753A4B" w:rsidRDefault="00753A4B" w:rsidP="0005572F">
                    <w:pPr>
                      <w:spacing w:line="276" w:lineRule="auto"/>
                      <w:jc w:val="right"/>
                      <w:rPr>
                        <w:sz w:val="18"/>
                        <w:szCs w:val="18"/>
                      </w:rPr>
                    </w:pPr>
                    <w:r w:rsidRPr="00753A4B">
                      <w:rPr>
                        <w:sz w:val="18"/>
                        <w:szCs w:val="18"/>
                      </w:rPr>
                      <w:t>-6,226,157.92</w:t>
                    </w:r>
                  </w:p>
                </w:tc>
              </w:tr>
            </w:sdtContent>
          </w:sdt>
          <w:sdt>
            <w:sdtPr>
              <w:rPr>
                <w:sz w:val="18"/>
                <w:szCs w:val="18"/>
              </w:rPr>
              <w:alias w:val="重要非全资子公司的主要财务信息明细"/>
              <w:tag w:val="_GBC_330f4405d49345f7b8f69770f6eb8b4a"/>
              <w:id w:val="418145301"/>
              <w:lock w:val="sdtLocked"/>
              <w:placeholder>
                <w:docPart w:val="F8AC5B48B5EE44A38D772465DA394D82"/>
              </w:placeholder>
            </w:sdtPr>
            <w:sdtEndPr/>
            <w:sdtContent>
              <w:tr w:rsidR="00753A4B" w14:paraId="086AD063" w14:textId="77777777" w:rsidTr="00753A4B">
                <w:tc>
                  <w:tcPr>
                    <w:tcW w:w="985" w:type="pct"/>
                    <w:tcBorders>
                      <w:top w:val="single" w:sz="6" w:space="0" w:color="auto"/>
                      <w:left w:val="single" w:sz="4" w:space="0" w:color="auto"/>
                      <w:bottom w:val="single" w:sz="4" w:space="0" w:color="auto"/>
                      <w:right w:val="single" w:sz="6" w:space="0" w:color="auto"/>
                    </w:tcBorders>
                  </w:tcPr>
                  <w:p w14:paraId="63B28F24" w14:textId="77777777" w:rsidR="00753A4B" w:rsidRPr="00753A4B" w:rsidRDefault="00753A4B" w:rsidP="0005572F">
                    <w:pPr>
                      <w:spacing w:line="276" w:lineRule="auto"/>
                      <w:rPr>
                        <w:sz w:val="18"/>
                        <w:szCs w:val="18"/>
                      </w:rPr>
                    </w:pPr>
                    <w:r w:rsidRPr="00753A4B">
                      <w:rPr>
                        <w:rFonts w:hint="eastAsia"/>
                        <w:sz w:val="18"/>
                        <w:szCs w:val="18"/>
                      </w:rPr>
                      <w:t>上海天海复合气瓶有限公司</w:t>
                    </w:r>
                  </w:p>
                </w:tc>
                <w:tc>
                  <w:tcPr>
                    <w:tcW w:w="705" w:type="pct"/>
                    <w:tcBorders>
                      <w:top w:val="single" w:sz="6" w:space="0" w:color="auto"/>
                      <w:left w:val="single" w:sz="6" w:space="0" w:color="auto"/>
                      <w:bottom w:val="single" w:sz="4" w:space="0" w:color="auto"/>
                      <w:right w:val="single" w:sz="6" w:space="0" w:color="auto"/>
                    </w:tcBorders>
                  </w:tcPr>
                  <w:p w14:paraId="542A4EB0" w14:textId="77777777" w:rsidR="00753A4B" w:rsidRPr="00753A4B" w:rsidRDefault="00753A4B" w:rsidP="0005572F">
                    <w:pPr>
                      <w:spacing w:line="276" w:lineRule="auto"/>
                      <w:jc w:val="right"/>
                      <w:rPr>
                        <w:sz w:val="18"/>
                        <w:szCs w:val="18"/>
                      </w:rPr>
                    </w:pPr>
                    <w:r w:rsidRPr="00753A4B">
                      <w:rPr>
                        <w:sz w:val="18"/>
                        <w:szCs w:val="18"/>
                      </w:rPr>
                      <w:t>26,287,687.33</w:t>
                    </w:r>
                  </w:p>
                </w:tc>
                <w:tc>
                  <w:tcPr>
                    <w:tcW w:w="564" w:type="pct"/>
                    <w:tcBorders>
                      <w:top w:val="single" w:sz="6" w:space="0" w:color="auto"/>
                      <w:left w:val="single" w:sz="6" w:space="0" w:color="auto"/>
                      <w:bottom w:val="single" w:sz="4" w:space="0" w:color="auto"/>
                      <w:right w:val="single" w:sz="6" w:space="0" w:color="auto"/>
                    </w:tcBorders>
                  </w:tcPr>
                  <w:p w14:paraId="7619A461" w14:textId="77777777" w:rsidR="00753A4B" w:rsidRPr="00753A4B" w:rsidRDefault="00753A4B" w:rsidP="0005572F">
                    <w:pPr>
                      <w:spacing w:line="276" w:lineRule="auto"/>
                      <w:jc w:val="right"/>
                      <w:rPr>
                        <w:sz w:val="18"/>
                        <w:szCs w:val="18"/>
                      </w:rPr>
                    </w:pPr>
                    <w:r w:rsidRPr="00753A4B">
                      <w:rPr>
                        <w:sz w:val="18"/>
                        <w:szCs w:val="18"/>
                      </w:rPr>
                      <w:t>1,923,196.36</w:t>
                    </w:r>
                  </w:p>
                </w:tc>
                <w:tc>
                  <w:tcPr>
                    <w:tcW w:w="422" w:type="pct"/>
                    <w:tcBorders>
                      <w:top w:val="single" w:sz="6" w:space="0" w:color="auto"/>
                      <w:left w:val="single" w:sz="6" w:space="0" w:color="auto"/>
                      <w:bottom w:val="single" w:sz="4" w:space="0" w:color="auto"/>
                      <w:right w:val="single" w:sz="6" w:space="0" w:color="auto"/>
                    </w:tcBorders>
                  </w:tcPr>
                  <w:p w14:paraId="50C41366" w14:textId="77777777" w:rsidR="00753A4B" w:rsidRPr="00753A4B" w:rsidRDefault="00753A4B" w:rsidP="0005572F">
                    <w:pPr>
                      <w:spacing w:line="276" w:lineRule="auto"/>
                      <w:jc w:val="right"/>
                      <w:rPr>
                        <w:sz w:val="18"/>
                        <w:szCs w:val="18"/>
                      </w:rPr>
                    </w:pPr>
                    <w:r w:rsidRPr="00753A4B">
                      <w:rPr>
                        <w:sz w:val="18"/>
                        <w:szCs w:val="18"/>
                      </w:rPr>
                      <w:t>1,923,196.36</w:t>
                    </w:r>
                  </w:p>
                </w:tc>
                <w:tc>
                  <w:tcPr>
                    <w:tcW w:w="493" w:type="pct"/>
                    <w:tcBorders>
                      <w:top w:val="single" w:sz="6" w:space="0" w:color="auto"/>
                      <w:left w:val="single" w:sz="6" w:space="0" w:color="auto"/>
                      <w:bottom w:val="single" w:sz="4" w:space="0" w:color="auto"/>
                      <w:right w:val="single" w:sz="6" w:space="0" w:color="auto"/>
                    </w:tcBorders>
                  </w:tcPr>
                  <w:p w14:paraId="0D291B21" w14:textId="77777777" w:rsidR="00753A4B" w:rsidRPr="00753A4B" w:rsidRDefault="00753A4B" w:rsidP="0005572F">
                    <w:pPr>
                      <w:spacing w:line="276" w:lineRule="auto"/>
                      <w:jc w:val="right"/>
                      <w:rPr>
                        <w:sz w:val="18"/>
                        <w:szCs w:val="18"/>
                      </w:rPr>
                    </w:pPr>
                    <w:r w:rsidRPr="00753A4B">
                      <w:rPr>
                        <w:sz w:val="18"/>
                        <w:szCs w:val="18"/>
                      </w:rPr>
                      <w:t>-1,266,950.48</w:t>
                    </w:r>
                  </w:p>
                </w:tc>
                <w:tc>
                  <w:tcPr>
                    <w:tcW w:w="422" w:type="pct"/>
                    <w:tcBorders>
                      <w:top w:val="single" w:sz="6" w:space="0" w:color="auto"/>
                      <w:left w:val="single" w:sz="6" w:space="0" w:color="auto"/>
                      <w:bottom w:val="single" w:sz="4" w:space="0" w:color="auto"/>
                      <w:right w:val="single" w:sz="6" w:space="0" w:color="auto"/>
                    </w:tcBorders>
                  </w:tcPr>
                  <w:p w14:paraId="7D028A1D" w14:textId="77777777" w:rsidR="00753A4B" w:rsidRPr="00753A4B" w:rsidRDefault="00753A4B" w:rsidP="0005572F">
                    <w:pPr>
                      <w:spacing w:line="276" w:lineRule="auto"/>
                      <w:jc w:val="right"/>
                      <w:rPr>
                        <w:sz w:val="18"/>
                        <w:szCs w:val="18"/>
                      </w:rPr>
                    </w:pPr>
                    <w:r w:rsidRPr="00753A4B">
                      <w:rPr>
                        <w:sz w:val="18"/>
                        <w:szCs w:val="18"/>
                      </w:rPr>
                      <w:t>26,869,567.44</w:t>
                    </w:r>
                  </w:p>
                </w:tc>
                <w:tc>
                  <w:tcPr>
                    <w:tcW w:w="422" w:type="pct"/>
                    <w:tcBorders>
                      <w:top w:val="single" w:sz="6" w:space="0" w:color="auto"/>
                      <w:left w:val="single" w:sz="6" w:space="0" w:color="auto"/>
                      <w:bottom w:val="single" w:sz="4" w:space="0" w:color="auto"/>
                      <w:right w:val="single" w:sz="6" w:space="0" w:color="auto"/>
                    </w:tcBorders>
                  </w:tcPr>
                  <w:p w14:paraId="65798586" w14:textId="77777777" w:rsidR="00753A4B" w:rsidRPr="00753A4B" w:rsidRDefault="00753A4B" w:rsidP="0005572F">
                    <w:pPr>
                      <w:spacing w:line="276" w:lineRule="auto"/>
                      <w:jc w:val="right"/>
                      <w:rPr>
                        <w:sz w:val="18"/>
                        <w:szCs w:val="18"/>
                      </w:rPr>
                    </w:pPr>
                    <w:r w:rsidRPr="00753A4B">
                      <w:rPr>
                        <w:sz w:val="18"/>
                        <w:szCs w:val="18"/>
                      </w:rPr>
                      <w:t>2,207,080.14</w:t>
                    </w:r>
                  </w:p>
                </w:tc>
                <w:tc>
                  <w:tcPr>
                    <w:tcW w:w="406" w:type="pct"/>
                    <w:tcBorders>
                      <w:top w:val="single" w:sz="6" w:space="0" w:color="auto"/>
                      <w:left w:val="single" w:sz="6" w:space="0" w:color="auto"/>
                      <w:bottom w:val="single" w:sz="4" w:space="0" w:color="auto"/>
                      <w:right w:val="single" w:sz="6" w:space="0" w:color="auto"/>
                    </w:tcBorders>
                  </w:tcPr>
                  <w:p w14:paraId="020463CA" w14:textId="77777777" w:rsidR="00753A4B" w:rsidRPr="00753A4B" w:rsidRDefault="00753A4B" w:rsidP="0005572F">
                    <w:pPr>
                      <w:spacing w:line="276" w:lineRule="auto"/>
                      <w:jc w:val="right"/>
                      <w:rPr>
                        <w:sz w:val="18"/>
                        <w:szCs w:val="18"/>
                      </w:rPr>
                    </w:pPr>
                    <w:r w:rsidRPr="00753A4B">
                      <w:rPr>
                        <w:sz w:val="18"/>
                        <w:szCs w:val="18"/>
                      </w:rPr>
                      <w:t>2,207,080.14</w:t>
                    </w:r>
                  </w:p>
                </w:tc>
                <w:tc>
                  <w:tcPr>
                    <w:tcW w:w="582" w:type="pct"/>
                    <w:tcBorders>
                      <w:top w:val="single" w:sz="6" w:space="0" w:color="auto"/>
                      <w:left w:val="single" w:sz="6" w:space="0" w:color="auto"/>
                      <w:bottom w:val="single" w:sz="4" w:space="0" w:color="auto"/>
                      <w:right w:val="single" w:sz="4" w:space="0" w:color="auto"/>
                    </w:tcBorders>
                  </w:tcPr>
                  <w:p w14:paraId="7D74E464" w14:textId="77777777" w:rsidR="00753A4B" w:rsidRPr="00753A4B" w:rsidRDefault="00753A4B" w:rsidP="0005572F">
                    <w:pPr>
                      <w:spacing w:line="276" w:lineRule="auto"/>
                      <w:jc w:val="right"/>
                      <w:rPr>
                        <w:sz w:val="18"/>
                        <w:szCs w:val="18"/>
                      </w:rPr>
                    </w:pPr>
                    <w:r w:rsidRPr="00753A4B">
                      <w:rPr>
                        <w:sz w:val="18"/>
                        <w:szCs w:val="18"/>
                      </w:rPr>
                      <w:t>-393,821.08</w:t>
                    </w:r>
                  </w:p>
                </w:tc>
              </w:tr>
            </w:sdtContent>
          </w:sdt>
          <w:sdt>
            <w:sdtPr>
              <w:rPr>
                <w:sz w:val="18"/>
                <w:szCs w:val="18"/>
              </w:rPr>
              <w:alias w:val="重要非全资子公司的主要财务信息明细"/>
              <w:tag w:val="_GBC_330f4405d49345f7b8f69770f6eb8b4a"/>
              <w:id w:val="-736173404"/>
              <w:lock w:val="sdtLocked"/>
              <w:placeholder>
                <w:docPart w:val="F8AC5B48B5EE44A38D772465DA394D82"/>
              </w:placeholder>
            </w:sdtPr>
            <w:sdtEndPr/>
            <w:sdtContent>
              <w:tr w:rsidR="00753A4B" w14:paraId="75F445EC" w14:textId="77777777" w:rsidTr="00753A4B">
                <w:tc>
                  <w:tcPr>
                    <w:tcW w:w="985" w:type="pct"/>
                    <w:tcBorders>
                      <w:top w:val="single" w:sz="6" w:space="0" w:color="auto"/>
                      <w:left w:val="single" w:sz="4" w:space="0" w:color="auto"/>
                      <w:bottom w:val="single" w:sz="4" w:space="0" w:color="auto"/>
                      <w:right w:val="single" w:sz="6" w:space="0" w:color="auto"/>
                    </w:tcBorders>
                  </w:tcPr>
                  <w:p w14:paraId="04C91A58" w14:textId="77777777" w:rsidR="00753A4B" w:rsidRPr="00753A4B" w:rsidRDefault="00753A4B" w:rsidP="0005572F">
                    <w:pPr>
                      <w:spacing w:line="276" w:lineRule="auto"/>
                      <w:rPr>
                        <w:sz w:val="18"/>
                        <w:szCs w:val="18"/>
                      </w:rPr>
                    </w:pPr>
                    <w:r w:rsidRPr="00753A4B">
                      <w:rPr>
                        <w:rFonts w:hint="eastAsia"/>
                        <w:sz w:val="18"/>
                        <w:szCs w:val="18"/>
                      </w:rPr>
                      <w:t>天津天海高压容器有限责任公司</w:t>
                    </w:r>
                  </w:p>
                </w:tc>
                <w:tc>
                  <w:tcPr>
                    <w:tcW w:w="705" w:type="pct"/>
                    <w:tcBorders>
                      <w:top w:val="single" w:sz="6" w:space="0" w:color="auto"/>
                      <w:left w:val="single" w:sz="6" w:space="0" w:color="auto"/>
                      <w:bottom w:val="single" w:sz="4" w:space="0" w:color="auto"/>
                      <w:right w:val="single" w:sz="6" w:space="0" w:color="auto"/>
                    </w:tcBorders>
                  </w:tcPr>
                  <w:p w14:paraId="3204542C" w14:textId="77777777" w:rsidR="00753A4B" w:rsidRPr="00753A4B" w:rsidRDefault="00753A4B" w:rsidP="0005572F">
                    <w:pPr>
                      <w:spacing w:line="276" w:lineRule="auto"/>
                      <w:jc w:val="right"/>
                      <w:rPr>
                        <w:sz w:val="18"/>
                        <w:szCs w:val="18"/>
                      </w:rPr>
                    </w:pPr>
                    <w:r w:rsidRPr="00753A4B">
                      <w:rPr>
                        <w:sz w:val="18"/>
                        <w:szCs w:val="18"/>
                      </w:rPr>
                      <w:t>210,337,008.45</w:t>
                    </w:r>
                  </w:p>
                </w:tc>
                <w:tc>
                  <w:tcPr>
                    <w:tcW w:w="564" w:type="pct"/>
                    <w:tcBorders>
                      <w:top w:val="single" w:sz="6" w:space="0" w:color="auto"/>
                      <w:left w:val="single" w:sz="6" w:space="0" w:color="auto"/>
                      <w:bottom w:val="single" w:sz="4" w:space="0" w:color="auto"/>
                      <w:right w:val="single" w:sz="6" w:space="0" w:color="auto"/>
                    </w:tcBorders>
                  </w:tcPr>
                  <w:p w14:paraId="6B1DEA48" w14:textId="77777777" w:rsidR="00753A4B" w:rsidRPr="00753A4B" w:rsidRDefault="00753A4B" w:rsidP="0005572F">
                    <w:pPr>
                      <w:spacing w:line="276" w:lineRule="auto"/>
                      <w:jc w:val="right"/>
                      <w:rPr>
                        <w:sz w:val="18"/>
                        <w:szCs w:val="18"/>
                      </w:rPr>
                    </w:pPr>
                    <w:r w:rsidRPr="00753A4B">
                      <w:rPr>
                        <w:sz w:val="18"/>
                        <w:szCs w:val="18"/>
                      </w:rPr>
                      <w:t>4,071,868.31</w:t>
                    </w:r>
                  </w:p>
                </w:tc>
                <w:tc>
                  <w:tcPr>
                    <w:tcW w:w="422" w:type="pct"/>
                    <w:tcBorders>
                      <w:top w:val="single" w:sz="6" w:space="0" w:color="auto"/>
                      <w:left w:val="single" w:sz="6" w:space="0" w:color="auto"/>
                      <w:bottom w:val="single" w:sz="4" w:space="0" w:color="auto"/>
                      <w:right w:val="single" w:sz="6" w:space="0" w:color="auto"/>
                    </w:tcBorders>
                  </w:tcPr>
                  <w:p w14:paraId="75B1C53D" w14:textId="77777777" w:rsidR="00753A4B" w:rsidRPr="00753A4B" w:rsidRDefault="00753A4B" w:rsidP="0005572F">
                    <w:pPr>
                      <w:spacing w:line="276" w:lineRule="auto"/>
                      <w:jc w:val="right"/>
                      <w:rPr>
                        <w:sz w:val="18"/>
                        <w:szCs w:val="18"/>
                      </w:rPr>
                    </w:pPr>
                    <w:r w:rsidRPr="00753A4B">
                      <w:rPr>
                        <w:sz w:val="18"/>
                        <w:szCs w:val="18"/>
                      </w:rPr>
                      <w:t>4,071,868.31</w:t>
                    </w:r>
                  </w:p>
                </w:tc>
                <w:tc>
                  <w:tcPr>
                    <w:tcW w:w="493" w:type="pct"/>
                    <w:tcBorders>
                      <w:top w:val="single" w:sz="6" w:space="0" w:color="auto"/>
                      <w:left w:val="single" w:sz="6" w:space="0" w:color="auto"/>
                      <w:bottom w:val="single" w:sz="4" w:space="0" w:color="auto"/>
                      <w:right w:val="single" w:sz="6" w:space="0" w:color="auto"/>
                    </w:tcBorders>
                  </w:tcPr>
                  <w:p w14:paraId="3FE8A361" w14:textId="77777777" w:rsidR="00753A4B" w:rsidRPr="00753A4B" w:rsidRDefault="00753A4B" w:rsidP="0005572F">
                    <w:pPr>
                      <w:spacing w:line="276" w:lineRule="auto"/>
                      <w:jc w:val="right"/>
                      <w:rPr>
                        <w:sz w:val="18"/>
                        <w:szCs w:val="18"/>
                      </w:rPr>
                    </w:pPr>
                    <w:r w:rsidRPr="00753A4B">
                      <w:rPr>
                        <w:sz w:val="18"/>
                        <w:szCs w:val="18"/>
                      </w:rPr>
                      <w:t>-1,594,743.59</w:t>
                    </w:r>
                  </w:p>
                </w:tc>
                <w:tc>
                  <w:tcPr>
                    <w:tcW w:w="422" w:type="pct"/>
                    <w:tcBorders>
                      <w:top w:val="single" w:sz="6" w:space="0" w:color="auto"/>
                      <w:left w:val="single" w:sz="6" w:space="0" w:color="auto"/>
                      <w:bottom w:val="single" w:sz="4" w:space="0" w:color="auto"/>
                      <w:right w:val="single" w:sz="6" w:space="0" w:color="auto"/>
                    </w:tcBorders>
                  </w:tcPr>
                  <w:p w14:paraId="5AD0A192" w14:textId="77777777" w:rsidR="00753A4B" w:rsidRPr="00753A4B" w:rsidRDefault="00753A4B" w:rsidP="0005572F">
                    <w:pPr>
                      <w:spacing w:line="276" w:lineRule="auto"/>
                      <w:jc w:val="right"/>
                      <w:rPr>
                        <w:sz w:val="18"/>
                        <w:szCs w:val="18"/>
                      </w:rPr>
                    </w:pPr>
                    <w:r w:rsidRPr="00753A4B">
                      <w:rPr>
                        <w:sz w:val="18"/>
                        <w:szCs w:val="18"/>
                      </w:rPr>
                      <w:t>179,016,368.95</w:t>
                    </w:r>
                  </w:p>
                </w:tc>
                <w:tc>
                  <w:tcPr>
                    <w:tcW w:w="422" w:type="pct"/>
                    <w:tcBorders>
                      <w:top w:val="single" w:sz="6" w:space="0" w:color="auto"/>
                      <w:left w:val="single" w:sz="6" w:space="0" w:color="auto"/>
                      <w:bottom w:val="single" w:sz="4" w:space="0" w:color="auto"/>
                      <w:right w:val="single" w:sz="6" w:space="0" w:color="auto"/>
                    </w:tcBorders>
                  </w:tcPr>
                  <w:p w14:paraId="10D33602" w14:textId="77777777" w:rsidR="00753A4B" w:rsidRPr="00753A4B" w:rsidRDefault="00753A4B" w:rsidP="0005572F">
                    <w:pPr>
                      <w:spacing w:line="276" w:lineRule="auto"/>
                      <w:jc w:val="right"/>
                      <w:rPr>
                        <w:sz w:val="18"/>
                        <w:szCs w:val="18"/>
                      </w:rPr>
                    </w:pPr>
                    <w:r w:rsidRPr="00753A4B">
                      <w:rPr>
                        <w:sz w:val="18"/>
                        <w:szCs w:val="18"/>
                      </w:rPr>
                      <w:t>-10,564,975.50</w:t>
                    </w:r>
                  </w:p>
                </w:tc>
                <w:tc>
                  <w:tcPr>
                    <w:tcW w:w="406" w:type="pct"/>
                    <w:tcBorders>
                      <w:top w:val="single" w:sz="6" w:space="0" w:color="auto"/>
                      <w:left w:val="single" w:sz="6" w:space="0" w:color="auto"/>
                      <w:bottom w:val="single" w:sz="4" w:space="0" w:color="auto"/>
                      <w:right w:val="single" w:sz="6" w:space="0" w:color="auto"/>
                    </w:tcBorders>
                  </w:tcPr>
                  <w:p w14:paraId="11CBA7A5" w14:textId="77777777" w:rsidR="00753A4B" w:rsidRPr="00753A4B" w:rsidRDefault="00753A4B" w:rsidP="0005572F">
                    <w:pPr>
                      <w:spacing w:line="276" w:lineRule="auto"/>
                      <w:jc w:val="right"/>
                      <w:rPr>
                        <w:sz w:val="18"/>
                        <w:szCs w:val="18"/>
                      </w:rPr>
                    </w:pPr>
                    <w:r w:rsidRPr="00753A4B">
                      <w:rPr>
                        <w:sz w:val="18"/>
                        <w:szCs w:val="18"/>
                      </w:rPr>
                      <w:t>-10,564,975.50</w:t>
                    </w:r>
                  </w:p>
                </w:tc>
                <w:tc>
                  <w:tcPr>
                    <w:tcW w:w="582" w:type="pct"/>
                    <w:tcBorders>
                      <w:top w:val="single" w:sz="6" w:space="0" w:color="auto"/>
                      <w:left w:val="single" w:sz="6" w:space="0" w:color="auto"/>
                      <w:bottom w:val="single" w:sz="4" w:space="0" w:color="auto"/>
                      <w:right w:val="single" w:sz="4" w:space="0" w:color="auto"/>
                    </w:tcBorders>
                  </w:tcPr>
                  <w:p w14:paraId="4CEB3244" w14:textId="77777777" w:rsidR="00753A4B" w:rsidRPr="00753A4B" w:rsidRDefault="00753A4B" w:rsidP="0005572F">
                    <w:pPr>
                      <w:spacing w:line="276" w:lineRule="auto"/>
                      <w:jc w:val="right"/>
                      <w:rPr>
                        <w:sz w:val="18"/>
                        <w:szCs w:val="18"/>
                      </w:rPr>
                    </w:pPr>
                    <w:r w:rsidRPr="00753A4B">
                      <w:rPr>
                        <w:sz w:val="18"/>
                        <w:szCs w:val="18"/>
                      </w:rPr>
                      <w:t>-1,038,171.52</w:t>
                    </w:r>
                  </w:p>
                </w:tc>
              </w:tr>
            </w:sdtContent>
          </w:sdt>
          <w:sdt>
            <w:sdtPr>
              <w:rPr>
                <w:sz w:val="18"/>
                <w:szCs w:val="18"/>
              </w:rPr>
              <w:alias w:val="重要非全资子公司的主要财务信息明细"/>
              <w:tag w:val="_GBC_330f4405d49345f7b8f69770f6eb8b4a"/>
              <w:id w:val="622661584"/>
              <w:lock w:val="sdtLocked"/>
              <w:placeholder>
                <w:docPart w:val="F8AC5B48B5EE44A38D772465DA394D82"/>
              </w:placeholder>
            </w:sdtPr>
            <w:sdtEndPr/>
            <w:sdtContent>
              <w:tr w:rsidR="00753A4B" w14:paraId="527754DF" w14:textId="77777777" w:rsidTr="00753A4B">
                <w:tc>
                  <w:tcPr>
                    <w:tcW w:w="985" w:type="pct"/>
                    <w:tcBorders>
                      <w:top w:val="single" w:sz="6" w:space="0" w:color="auto"/>
                      <w:left w:val="single" w:sz="4" w:space="0" w:color="auto"/>
                      <w:bottom w:val="single" w:sz="4" w:space="0" w:color="auto"/>
                      <w:right w:val="single" w:sz="6" w:space="0" w:color="auto"/>
                    </w:tcBorders>
                  </w:tcPr>
                  <w:p w14:paraId="372B6C2A" w14:textId="77777777" w:rsidR="00753A4B" w:rsidRPr="00753A4B" w:rsidRDefault="00753A4B" w:rsidP="0005572F">
                    <w:pPr>
                      <w:spacing w:line="276" w:lineRule="auto"/>
                      <w:rPr>
                        <w:sz w:val="18"/>
                        <w:szCs w:val="18"/>
                      </w:rPr>
                    </w:pPr>
                    <w:r w:rsidRPr="00753A4B">
                      <w:rPr>
                        <w:rFonts w:hint="eastAsia"/>
                        <w:sz w:val="18"/>
                        <w:szCs w:val="18"/>
                      </w:rPr>
                      <w:t>宽城天海压力容器有限公司</w:t>
                    </w:r>
                  </w:p>
                </w:tc>
                <w:tc>
                  <w:tcPr>
                    <w:tcW w:w="705" w:type="pct"/>
                    <w:tcBorders>
                      <w:top w:val="single" w:sz="6" w:space="0" w:color="auto"/>
                      <w:left w:val="single" w:sz="6" w:space="0" w:color="auto"/>
                      <w:bottom w:val="single" w:sz="4" w:space="0" w:color="auto"/>
                      <w:right w:val="single" w:sz="6" w:space="0" w:color="auto"/>
                    </w:tcBorders>
                  </w:tcPr>
                  <w:p w14:paraId="17E163CC" w14:textId="77777777" w:rsidR="00753A4B" w:rsidRPr="00753A4B" w:rsidRDefault="00753A4B" w:rsidP="0005572F">
                    <w:pPr>
                      <w:spacing w:line="276" w:lineRule="auto"/>
                      <w:jc w:val="right"/>
                      <w:rPr>
                        <w:sz w:val="18"/>
                        <w:szCs w:val="18"/>
                      </w:rPr>
                    </w:pPr>
                    <w:r w:rsidRPr="00753A4B">
                      <w:rPr>
                        <w:sz w:val="18"/>
                        <w:szCs w:val="18"/>
                      </w:rPr>
                      <w:t>76,109,565.28</w:t>
                    </w:r>
                  </w:p>
                </w:tc>
                <w:tc>
                  <w:tcPr>
                    <w:tcW w:w="564" w:type="pct"/>
                    <w:tcBorders>
                      <w:top w:val="single" w:sz="6" w:space="0" w:color="auto"/>
                      <w:left w:val="single" w:sz="6" w:space="0" w:color="auto"/>
                      <w:bottom w:val="single" w:sz="4" w:space="0" w:color="auto"/>
                      <w:right w:val="single" w:sz="6" w:space="0" w:color="auto"/>
                    </w:tcBorders>
                  </w:tcPr>
                  <w:p w14:paraId="3CBE4919" w14:textId="77777777" w:rsidR="00753A4B" w:rsidRPr="00753A4B" w:rsidRDefault="00753A4B" w:rsidP="0005572F">
                    <w:pPr>
                      <w:spacing w:line="276" w:lineRule="auto"/>
                      <w:jc w:val="right"/>
                      <w:rPr>
                        <w:sz w:val="18"/>
                        <w:szCs w:val="18"/>
                      </w:rPr>
                    </w:pPr>
                    <w:r w:rsidRPr="00753A4B">
                      <w:rPr>
                        <w:sz w:val="18"/>
                        <w:szCs w:val="18"/>
                      </w:rPr>
                      <w:t>-3,750,340.60</w:t>
                    </w:r>
                  </w:p>
                </w:tc>
                <w:tc>
                  <w:tcPr>
                    <w:tcW w:w="422" w:type="pct"/>
                    <w:tcBorders>
                      <w:top w:val="single" w:sz="6" w:space="0" w:color="auto"/>
                      <w:left w:val="single" w:sz="6" w:space="0" w:color="auto"/>
                      <w:bottom w:val="single" w:sz="4" w:space="0" w:color="auto"/>
                      <w:right w:val="single" w:sz="6" w:space="0" w:color="auto"/>
                    </w:tcBorders>
                  </w:tcPr>
                  <w:p w14:paraId="6B072290" w14:textId="77777777" w:rsidR="00753A4B" w:rsidRPr="00753A4B" w:rsidRDefault="00753A4B" w:rsidP="0005572F">
                    <w:pPr>
                      <w:spacing w:line="276" w:lineRule="auto"/>
                      <w:jc w:val="right"/>
                      <w:rPr>
                        <w:sz w:val="18"/>
                        <w:szCs w:val="18"/>
                      </w:rPr>
                    </w:pPr>
                    <w:r w:rsidRPr="00753A4B">
                      <w:rPr>
                        <w:sz w:val="18"/>
                        <w:szCs w:val="18"/>
                      </w:rPr>
                      <w:t>-3,750,340.60</w:t>
                    </w:r>
                  </w:p>
                </w:tc>
                <w:tc>
                  <w:tcPr>
                    <w:tcW w:w="493" w:type="pct"/>
                    <w:tcBorders>
                      <w:top w:val="single" w:sz="6" w:space="0" w:color="auto"/>
                      <w:left w:val="single" w:sz="6" w:space="0" w:color="auto"/>
                      <w:bottom w:val="single" w:sz="4" w:space="0" w:color="auto"/>
                      <w:right w:val="single" w:sz="6" w:space="0" w:color="auto"/>
                    </w:tcBorders>
                  </w:tcPr>
                  <w:p w14:paraId="0BC5F064" w14:textId="77777777" w:rsidR="00753A4B" w:rsidRPr="00753A4B" w:rsidRDefault="00753A4B" w:rsidP="0005572F">
                    <w:pPr>
                      <w:spacing w:line="276" w:lineRule="auto"/>
                      <w:jc w:val="right"/>
                      <w:rPr>
                        <w:sz w:val="18"/>
                        <w:szCs w:val="18"/>
                      </w:rPr>
                    </w:pPr>
                    <w:r w:rsidRPr="00753A4B">
                      <w:rPr>
                        <w:sz w:val="18"/>
                        <w:szCs w:val="18"/>
                      </w:rPr>
                      <w:t>-243,603.43</w:t>
                    </w:r>
                  </w:p>
                </w:tc>
                <w:tc>
                  <w:tcPr>
                    <w:tcW w:w="422" w:type="pct"/>
                    <w:tcBorders>
                      <w:top w:val="single" w:sz="6" w:space="0" w:color="auto"/>
                      <w:left w:val="single" w:sz="6" w:space="0" w:color="auto"/>
                      <w:bottom w:val="single" w:sz="4" w:space="0" w:color="auto"/>
                      <w:right w:val="single" w:sz="6" w:space="0" w:color="auto"/>
                    </w:tcBorders>
                  </w:tcPr>
                  <w:p w14:paraId="43A3EC64" w14:textId="77777777" w:rsidR="00753A4B" w:rsidRPr="00753A4B" w:rsidRDefault="00753A4B" w:rsidP="0005572F">
                    <w:pPr>
                      <w:spacing w:line="276" w:lineRule="auto"/>
                      <w:jc w:val="right"/>
                      <w:rPr>
                        <w:sz w:val="18"/>
                        <w:szCs w:val="18"/>
                      </w:rPr>
                    </w:pPr>
                    <w:r w:rsidRPr="00753A4B">
                      <w:rPr>
                        <w:sz w:val="18"/>
                        <w:szCs w:val="18"/>
                      </w:rPr>
                      <w:t>78,217,559.49</w:t>
                    </w:r>
                  </w:p>
                </w:tc>
                <w:tc>
                  <w:tcPr>
                    <w:tcW w:w="422" w:type="pct"/>
                    <w:tcBorders>
                      <w:top w:val="single" w:sz="6" w:space="0" w:color="auto"/>
                      <w:left w:val="single" w:sz="6" w:space="0" w:color="auto"/>
                      <w:bottom w:val="single" w:sz="4" w:space="0" w:color="auto"/>
                      <w:right w:val="single" w:sz="6" w:space="0" w:color="auto"/>
                    </w:tcBorders>
                  </w:tcPr>
                  <w:p w14:paraId="02B09DC9" w14:textId="77777777" w:rsidR="00753A4B" w:rsidRPr="00753A4B" w:rsidRDefault="00753A4B" w:rsidP="0005572F">
                    <w:pPr>
                      <w:spacing w:line="276" w:lineRule="auto"/>
                      <w:jc w:val="right"/>
                      <w:rPr>
                        <w:sz w:val="18"/>
                        <w:szCs w:val="18"/>
                      </w:rPr>
                    </w:pPr>
                    <w:r w:rsidRPr="00753A4B">
                      <w:rPr>
                        <w:sz w:val="18"/>
                        <w:szCs w:val="18"/>
                      </w:rPr>
                      <w:t>-3,275,733.00</w:t>
                    </w:r>
                  </w:p>
                </w:tc>
                <w:tc>
                  <w:tcPr>
                    <w:tcW w:w="406" w:type="pct"/>
                    <w:tcBorders>
                      <w:top w:val="single" w:sz="6" w:space="0" w:color="auto"/>
                      <w:left w:val="single" w:sz="6" w:space="0" w:color="auto"/>
                      <w:bottom w:val="single" w:sz="4" w:space="0" w:color="auto"/>
                      <w:right w:val="single" w:sz="6" w:space="0" w:color="auto"/>
                    </w:tcBorders>
                  </w:tcPr>
                  <w:p w14:paraId="4CA1D93F" w14:textId="77777777" w:rsidR="00753A4B" w:rsidRPr="00753A4B" w:rsidRDefault="00753A4B" w:rsidP="0005572F">
                    <w:pPr>
                      <w:spacing w:line="276" w:lineRule="auto"/>
                      <w:jc w:val="right"/>
                      <w:rPr>
                        <w:sz w:val="18"/>
                        <w:szCs w:val="18"/>
                      </w:rPr>
                    </w:pPr>
                    <w:r w:rsidRPr="00753A4B">
                      <w:rPr>
                        <w:sz w:val="18"/>
                        <w:szCs w:val="18"/>
                      </w:rPr>
                      <w:t>-3,275,733.00</w:t>
                    </w:r>
                  </w:p>
                </w:tc>
                <w:tc>
                  <w:tcPr>
                    <w:tcW w:w="582" w:type="pct"/>
                    <w:tcBorders>
                      <w:top w:val="single" w:sz="6" w:space="0" w:color="auto"/>
                      <w:left w:val="single" w:sz="6" w:space="0" w:color="auto"/>
                      <w:bottom w:val="single" w:sz="4" w:space="0" w:color="auto"/>
                      <w:right w:val="single" w:sz="4" w:space="0" w:color="auto"/>
                    </w:tcBorders>
                  </w:tcPr>
                  <w:p w14:paraId="78182CB0" w14:textId="77777777" w:rsidR="00753A4B" w:rsidRPr="00753A4B" w:rsidRDefault="00753A4B" w:rsidP="0005572F">
                    <w:pPr>
                      <w:spacing w:line="276" w:lineRule="auto"/>
                      <w:jc w:val="right"/>
                      <w:rPr>
                        <w:sz w:val="18"/>
                        <w:szCs w:val="18"/>
                      </w:rPr>
                    </w:pPr>
                    <w:r w:rsidRPr="00753A4B">
                      <w:rPr>
                        <w:sz w:val="18"/>
                        <w:szCs w:val="18"/>
                      </w:rPr>
                      <w:t>7,206,679.25</w:t>
                    </w:r>
                  </w:p>
                </w:tc>
              </w:tr>
            </w:sdtContent>
          </w:sdt>
        </w:tbl>
        <w:p w14:paraId="46FFCF72" w14:textId="77777777" w:rsidR="00753A4B" w:rsidRDefault="00753A4B"/>
        <w:p w14:paraId="39775D53" w14:textId="77777777" w:rsidR="00D14C1C" w:rsidRDefault="00D14C1C">
          <w:pPr>
            <w:rPr>
              <w:rFonts w:cs="Arial"/>
              <w:szCs w:val="21"/>
            </w:rPr>
          </w:pPr>
          <w:r>
            <w:rPr>
              <w:rFonts w:cs="Arial" w:hint="eastAsia"/>
              <w:szCs w:val="21"/>
            </w:rPr>
            <w:t>其他说明：</w:t>
          </w:r>
        </w:p>
        <w:sdt>
          <w:sdtPr>
            <w:rPr>
              <w:rFonts w:cs="Arial"/>
              <w:szCs w:val="21"/>
            </w:rPr>
            <w:alias w:val="重要非全资子公司的主要财务信息的其他说明"/>
            <w:tag w:val="_GBC_c6413d961dad488aae6fcf0fda2bf33a"/>
            <w:id w:val="1966543380"/>
            <w:lock w:val="sdtLocked"/>
          </w:sdtPr>
          <w:sdtEndPr/>
          <w:sdtContent>
            <w:p w14:paraId="33441DDB" w14:textId="77777777" w:rsidR="00D14C1C" w:rsidRDefault="00D14C1C">
              <w:pPr>
                <w:rPr>
                  <w:rFonts w:cs="Arial"/>
                  <w:szCs w:val="21"/>
                </w:rPr>
              </w:pPr>
              <w:r>
                <w:rPr>
                  <w:rFonts w:cs="Arial"/>
                  <w:szCs w:val="21"/>
                </w:rPr>
                <w:t>无</w:t>
              </w:r>
            </w:p>
          </w:sdtContent>
        </w:sdt>
        <w:p w14:paraId="2EFE007B" w14:textId="573A3931" w:rsidR="00471D53" w:rsidRDefault="00B664AF">
          <w:pPr>
            <w:rPr>
              <w:rFonts w:cs="Arial"/>
              <w:szCs w:val="21"/>
            </w:rPr>
          </w:pPr>
        </w:p>
      </w:sdtContent>
    </w:sdt>
    <w:bookmarkEnd w:id="232" w:displacedByCustomXml="prev"/>
    <w:bookmarkEnd w:id="233"/>
    <w:p w14:paraId="6695D38C" w14:textId="77777777" w:rsidR="00471D53" w:rsidRDefault="00B664AF">
      <w:pPr>
        <w:rPr>
          <w:rFonts w:cs="Arial"/>
          <w:szCs w:val="21"/>
        </w:rPr>
      </w:pPr>
    </w:p>
    <w:sdt>
      <w:sdtPr>
        <w:rPr>
          <w:rFonts w:ascii="宋体" w:hAnsi="宋体" w:cs="Arial" w:hint="eastAsia"/>
          <w:b w:val="0"/>
          <w:bCs w:val="0"/>
          <w:kern w:val="0"/>
          <w:szCs w:val="21"/>
        </w:rPr>
        <w:alias w:val="模块:使用企业集团资产和清偿企业集团债务的重大限制"/>
        <w:tag w:val="_GBC_573fe5c9daf0401da00d8fc5198daf66"/>
        <w:id w:val="771128222"/>
        <w:lock w:val="sdtLocked"/>
        <w:placeholder>
          <w:docPart w:val="GBC22222222222222222222222222222"/>
        </w:placeholder>
      </w:sdtPr>
      <w:sdtEndPr>
        <w:rPr>
          <w:b/>
        </w:rPr>
      </w:sdtEndPr>
      <w:sdtContent>
        <w:p w14:paraId="1CE19E51" w14:textId="77777777" w:rsidR="00471D53" w:rsidRDefault="004F686E" w:rsidP="004F686E">
          <w:pPr>
            <w:pStyle w:val="afffff8"/>
            <w:numPr>
              <w:ilvl w:val="3"/>
              <w:numId w:val="95"/>
            </w:numPr>
            <w:tabs>
              <w:tab w:val="left" w:pos="644"/>
            </w:tabs>
            <w:rPr>
              <w:rFonts w:ascii="宋体" w:hAnsi="宋体" w:cs="Arial"/>
              <w:szCs w:val="21"/>
            </w:rPr>
          </w:pPr>
          <w:r>
            <w:rPr>
              <w:rFonts w:ascii="宋体" w:hAnsi="宋体" w:cs="Arial" w:hint="eastAsia"/>
              <w:szCs w:val="21"/>
            </w:rPr>
            <w:t>使用企业集团资产和清偿企业集团债务的重大限制：</w:t>
          </w:r>
        </w:p>
        <w:sdt>
          <w:sdtPr>
            <w:alias w:val="是否适用：使用企业集团资产和清偿企业集团债务的重大限制[双击切换]"/>
            <w:tag w:val="_GBC_d4aaeca51c634ffea892b86812441771"/>
            <w:id w:val="1543331953"/>
            <w:lock w:val="sdtLocked"/>
            <w:placeholder>
              <w:docPart w:val="GBC22222222222222222222222222222"/>
            </w:placeholder>
          </w:sdtPr>
          <w:sdtEndPr/>
          <w:sdtContent>
            <w:p w14:paraId="168357F4" w14:textId="77777777" w:rsidR="00471D53" w:rsidRDefault="004F686E" w:rsidP="00471D53">
              <w:pPr>
                <w:rPr>
                  <w:rFonts w:cs="Arial"/>
                  <w:b/>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39CB5416" w14:textId="77777777" w:rsidR="00471D53" w:rsidRDefault="00B664AF">
      <w:pPr>
        <w:rPr>
          <w:rFonts w:cs="Arial"/>
          <w:szCs w:val="21"/>
        </w:rPr>
      </w:pPr>
    </w:p>
    <w:sdt>
      <w:sdtPr>
        <w:rPr>
          <w:rFonts w:ascii="宋体" w:hAnsi="宋体" w:cs="Arial" w:hint="eastAsia"/>
          <w:b w:val="0"/>
          <w:bCs w:val="0"/>
          <w:kern w:val="0"/>
          <w:szCs w:val="21"/>
        </w:rPr>
        <w:alias w:val="模块:向纳入合并财务报表范围的结构化主体提供的财务支持或其他支持"/>
        <w:tag w:val="_GBC_114877d69a2e4b56b15fb618155127e3"/>
        <w:id w:val="-1096396229"/>
        <w:lock w:val="sdtLocked"/>
        <w:placeholder>
          <w:docPart w:val="GBC22222222222222222222222222222"/>
        </w:placeholder>
      </w:sdtPr>
      <w:sdtEndPr/>
      <w:sdtContent>
        <w:p w14:paraId="4865A290" w14:textId="77777777" w:rsidR="00471D53" w:rsidRDefault="004F686E" w:rsidP="004F686E">
          <w:pPr>
            <w:pStyle w:val="afffff8"/>
            <w:numPr>
              <w:ilvl w:val="3"/>
              <w:numId w:val="95"/>
            </w:numPr>
            <w:tabs>
              <w:tab w:val="left" w:pos="644"/>
            </w:tabs>
            <w:rPr>
              <w:rFonts w:ascii="宋体" w:hAnsi="宋体" w:cs="Arial"/>
              <w:szCs w:val="21"/>
            </w:rPr>
          </w:pPr>
          <w:r>
            <w:rPr>
              <w:rFonts w:ascii="宋体" w:hAnsi="宋体" w:cs="Arial" w:hint="eastAsia"/>
              <w:szCs w:val="21"/>
            </w:rPr>
            <w:t>向纳入合并财务报表范围的结构化主体提供的财务支持或其他支持：</w:t>
          </w:r>
        </w:p>
        <w:sdt>
          <w:sdtPr>
            <w:alias w:val="是否适用：向纳入合并财务报表范围的结构化主体提供的财务支持或其他支持[双击切换]"/>
            <w:tag w:val="_GBC_3ee0b326ed544ace8060843f29d4cd3a"/>
            <w:id w:val="-1147820050"/>
            <w:lock w:val="sdtLocked"/>
            <w:placeholder>
              <w:docPart w:val="GBC22222222222222222222222222222"/>
            </w:placeholder>
          </w:sdtPr>
          <w:sdtEndPr/>
          <w:sdtContent>
            <w:p w14:paraId="7E1A4E98" w14:textId="77777777" w:rsidR="00471D53" w:rsidRDefault="004F686E" w:rsidP="00471D53">
              <w:pPr>
                <w:rPr>
                  <w:rFonts w:cs="Arial"/>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2C89DF11" w14:textId="77777777" w:rsidR="00471D53" w:rsidRDefault="00B664AF">
      <w:pPr>
        <w:rPr>
          <w:rFonts w:cs="Arial"/>
          <w:b/>
          <w:szCs w:val="21"/>
        </w:rPr>
      </w:pPr>
    </w:p>
    <w:sdt>
      <w:sdtPr>
        <w:rPr>
          <w:szCs w:val="21"/>
        </w:rPr>
        <w:alias w:val="模块:在子公司中的权益其他说明"/>
        <w:tag w:val="_GBC_a0f68dc0a3a24efaa431a8c8d768eb0f"/>
        <w:id w:val="-1103501520"/>
        <w:lock w:val="sdtLocked"/>
        <w:placeholder>
          <w:docPart w:val="GBC22222222222222222222222222222"/>
        </w:placeholder>
      </w:sdtPr>
      <w:sdtEndPr/>
      <w:sdtContent>
        <w:p w14:paraId="403F5156" w14:textId="77777777" w:rsidR="00471D53" w:rsidRDefault="004F686E">
          <w:pPr>
            <w:rPr>
              <w:szCs w:val="21"/>
            </w:rPr>
          </w:pPr>
          <w:r>
            <w:rPr>
              <w:rFonts w:hint="eastAsia"/>
              <w:szCs w:val="21"/>
            </w:rPr>
            <w:t>其他说明：</w:t>
          </w:r>
        </w:p>
        <w:sdt>
          <w:sdtPr>
            <w:rPr>
              <w:szCs w:val="21"/>
            </w:rPr>
            <w:alias w:val="是否适用：在子公司中的权益其他说明[双击切换]"/>
            <w:tag w:val="_GBC_e4c33fb40d7a42bc88681a9facbf5ba5"/>
            <w:id w:val="117422944"/>
            <w:lock w:val="sdtLocked"/>
            <w:placeholder>
              <w:docPart w:val="GBC22222222222222222222222222222"/>
            </w:placeholder>
          </w:sdtPr>
          <w:sdtEndPr/>
          <w:sdtContent>
            <w:p w14:paraId="582038FE" w14:textId="77777777" w:rsidR="00471D53" w:rsidRDefault="004F686E" w:rsidP="00471D5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14:paraId="48CE58FA" w14:textId="77777777" w:rsidR="00471D53" w:rsidRDefault="00B664AF">
      <w:pPr>
        <w:rPr>
          <w:szCs w:val="21"/>
        </w:rPr>
      </w:pPr>
    </w:p>
    <w:p w14:paraId="2F3852DA" w14:textId="77777777" w:rsidR="00471D53" w:rsidRDefault="004F686E" w:rsidP="004F686E">
      <w:pPr>
        <w:pStyle w:val="afffff7"/>
        <w:numPr>
          <w:ilvl w:val="2"/>
          <w:numId w:val="94"/>
        </w:numPr>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51b903d8f50944dc91e91048eba723cd"/>
        <w:id w:val="-1705547239"/>
        <w:lock w:val="sdtLocked"/>
        <w:placeholder>
          <w:docPart w:val="GBC22222222222222222222222222222"/>
        </w:placeholder>
      </w:sdtPr>
      <w:sdtEndPr/>
      <w:sdtContent>
        <w:p w14:paraId="1ECF3B7B" w14:textId="77777777" w:rsidR="00471D53" w:rsidRDefault="004F686E" w:rsidP="00471D53">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99609DB" w14:textId="77777777" w:rsidR="00471D53" w:rsidRDefault="00B664AF">
      <w:pPr>
        <w:rPr>
          <w:szCs w:val="21"/>
        </w:rPr>
      </w:pPr>
    </w:p>
    <w:p w14:paraId="2C04E0BD" w14:textId="77777777" w:rsidR="00471D53" w:rsidRDefault="004F686E" w:rsidP="004F686E">
      <w:pPr>
        <w:pStyle w:val="afffff7"/>
        <w:numPr>
          <w:ilvl w:val="2"/>
          <w:numId w:val="94"/>
        </w:numPr>
        <w:rPr>
          <w:rFonts w:ascii="宋体" w:hAnsi="宋体" w:cs="Arial"/>
          <w:szCs w:val="21"/>
        </w:rPr>
      </w:pPr>
      <w:r>
        <w:rPr>
          <w:rFonts w:ascii="宋体" w:hAnsi="宋体" w:cs="Arial" w:hint="eastAsia"/>
          <w:szCs w:val="21"/>
        </w:rPr>
        <w:lastRenderedPageBreak/>
        <w:t>在合营企业或联营企业中的权益</w:t>
      </w:r>
    </w:p>
    <w:sdt>
      <w:sdtPr>
        <w:alias w:val="是否适用：在合营企业或联营企业中的权益[双击切换]"/>
        <w:tag w:val="_GBC_31c0fe2068fd4a898e4269df4925aa76"/>
        <w:id w:val="-1864662543"/>
        <w:lock w:val="sdtLocked"/>
        <w:placeholder>
          <w:docPart w:val="GBC22222222222222222222222222222"/>
        </w:placeholder>
      </w:sdtPr>
      <w:sdtEndPr/>
      <w:sdtContent>
        <w:p w14:paraId="522E85C1"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Start w:id="234" w:name="_Hlk79428045" w:displacedByCustomXml="next"/>
    <w:sdt>
      <w:sdtPr>
        <w:rPr>
          <w:rFonts w:ascii="宋体" w:hAnsi="宋体" w:cs="宋体" w:hint="eastAsia"/>
          <w:b w:val="0"/>
          <w:bCs w:val="0"/>
          <w:kern w:val="0"/>
          <w:szCs w:val="24"/>
        </w:rPr>
        <w:alias w:val="模块:重要的合营企业或联营企业"/>
        <w:tag w:val="_GBC_49e4a749316a464e89485cda5774fc07"/>
        <w:id w:val="150796740"/>
        <w:lock w:val="sdtLocked"/>
        <w:placeholder>
          <w:docPart w:val="GBC22222222222222222222222222222"/>
        </w:placeholder>
      </w:sdtPr>
      <w:sdtEndPr>
        <w:rPr>
          <w:rFonts w:ascii="Cambria" w:hAnsi="Cambria" w:cstheme="minorBidi" w:hint="default"/>
          <w:b/>
          <w:bCs/>
          <w:kern w:val="2"/>
          <w:szCs w:val="21"/>
        </w:rPr>
      </w:sdtEndPr>
      <w:sdtContent>
        <w:p w14:paraId="4EC07E8F" w14:textId="77777777" w:rsidR="0014424C" w:rsidRDefault="0014424C" w:rsidP="0014424C">
          <w:pPr>
            <w:pStyle w:val="4"/>
            <w:numPr>
              <w:ilvl w:val="3"/>
              <w:numId w:val="96"/>
            </w:numPr>
            <w:tabs>
              <w:tab w:val="left" w:pos="630"/>
            </w:tabs>
            <w:rPr>
              <w:rFonts w:ascii="宋体" w:hAnsi="宋体"/>
            </w:rPr>
          </w:pPr>
          <w:r>
            <w:rPr>
              <w:rFonts w:ascii="宋体" w:hAnsi="宋体" w:hint="eastAsia"/>
            </w:rPr>
            <w:t>重要的合营企业或联营企业</w:t>
          </w:r>
        </w:p>
        <w:sdt>
          <w:sdtPr>
            <w:alias w:val="是否适用：重要的合营企业或联营企业[双击切换]"/>
            <w:tag w:val="_GBC_9973f58b324442d5879a5d16db0cd410"/>
            <w:id w:val="154573885"/>
            <w:lock w:val="sdtLocked"/>
          </w:sdtPr>
          <w:sdtEndPr/>
          <w:sdtContent>
            <w:p w14:paraId="49C424A4" w14:textId="77777777" w:rsidR="0014424C" w:rsidRDefault="0014424C">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p w14:paraId="04BE889D" w14:textId="77777777" w:rsidR="0014424C" w:rsidRDefault="0014424C">
          <w:pPr>
            <w:jc w:val="right"/>
          </w:pPr>
          <w:r>
            <w:rPr>
              <w:rFonts w:hint="eastAsia"/>
            </w:rPr>
            <w:t>单位：</w:t>
          </w:r>
          <w:sdt>
            <w:sdtPr>
              <w:rPr>
                <w:rFonts w:hint="eastAsia"/>
              </w:rPr>
              <w:alias w:val="单位：财务附注：重要的合营企业或联营企业"/>
              <w:tag w:val="_GBC_fc95ad35f9984b0c84fb2b12ebeb41db"/>
              <w:id w:val="-1783945150"/>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重要的合营企业或联营企业"/>
              <w:tag w:val="_GBC_95704750d12047c58739551fa2558d6f"/>
              <w:id w:val="771058259"/>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192"/>
            <w:gridCol w:w="1309"/>
            <w:gridCol w:w="1235"/>
            <w:gridCol w:w="1276"/>
            <w:gridCol w:w="1085"/>
            <w:gridCol w:w="1078"/>
            <w:gridCol w:w="1648"/>
          </w:tblGrid>
          <w:tr w:rsidR="0014424C" w14:paraId="0E2E85C3" w14:textId="77777777" w:rsidTr="00A57004">
            <w:trPr>
              <w:trHeight w:val="451"/>
            </w:trPr>
            <w:sdt>
              <w:sdtPr>
                <w:tag w:val="_PLD_bb6c91c88e754a5da79068d0b040e152"/>
                <w:id w:val="-1716189433"/>
                <w:lock w:val="sdtLocked"/>
              </w:sdtPr>
              <w:sdtEndPr/>
              <w:sdtContent>
                <w:tc>
                  <w:tcPr>
                    <w:tcW w:w="675"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33713406" w14:textId="77777777" w:rsidR="0014424C" w:rsidRDefault="0014424C" w:rsidP="00A57004">
                    <w:pPr>
                      <w:jc w:val="center"/>
                      <w:rPr>
                        <w:rFonts w:cs="Arial"/>
                        <w:szCs w:val="21"/>
                      </w:rPr>
                    </w:pPr>
                    <w:r>
                      <w:rPr>
                        <w:rFonts w:cs="Arial" w:hint="eastAsia"/>
                        <w:szCs w:val="21"/>
                        <w:lang w:val="en-GB"/>
                      </w:rPr>
                      <w:t>合营企业或联营企业名称</w:t>
                    </w:r>
                  </w:p>
                </w:tc>
              </w:sdtContent>
            </w:sdt>
            <w:sdt>
              <w:sdtPr>
                <w:tag w:val="_PLD_4c91d89257574ee1a96260d900b3fdde"/>
                <w:id w:val="-788817203"/>
                <w:lock w:val="sdtLocked"/>
              </w:sdtPr>
              <w:sdtEndPr/>
              <w:sdtContent>
                <w:tc>
                  <w:tcPr>
                    <w:tcW w:w="742"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14:paraId="18E58EE4" w14:textId="77777777" w:rsidR="0014424C" w:rsidRDefault="0014424C" w:rsidP="00A57004">
                    <w:pPr>
                      <w:jc w:val="center"/>
                      <w:rPr>
                        <w:rFonts w:cs="Arial"/>
                        <w:szCs w:val="21"/>
                      </w:rPr>
                    </w:pPr>
                    <w:r>
                      <w:rPr>
                        <w:rFonts w:cs="Arial" w:hint="eastAsia"/>
                        <w:szCs w:val="21"/>
                        <w:lang w:val="en-GB"/>
                      </w:rPr>
                      <w:t>主要经营地</w:t>
                    </w:r>
                  </w:p>
                </w:tc>
              </w:sdtContent>
            </w:sdt>
            <w:sdt>
              <w:sdtPr>
                <w:tag w:val="_PLD_4a3c73442b1947fdae2c0b554e7271a4"/>
                <w:id w:val="263044283"/>
                <w:lock w:val="sdtLocked"/>
              </w:sdtPr>
              <w:sdtEndPr/>
              <w:sdtContent>
                <w:tc>
                  <w:tcPr>
                    <w:tcW w:w="700"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14:paraId="39A789F5" w14:textId="77777777" w:rsidR="0014424C" w:rsidRDefault="0014424C" w:rsidP="00A57004">
                    <w:pPr>
                      <w:jc w:val="center"/>
                      <w:rPr>
                        <w:rFonts w:cs="Arial"/>
                        <w:szCs w:val="21"/>
                      </w:rPr>
                    </w:pPr>
                    <w:r>
                      <w:rPr>
                        <w:rFonts w:cs="Arial" w:hint="eastAsia"/>
                        <w:szCs w:val="21"/>
                        <w:lang w:val="en-GB"/>
                      </w:rPr>
                      <w:t>注册地</w:t>
                    </w:r>
                  </w:p>
                </w:tc>
              </w:sdtContent>
            </w:sdt>
            <w:sdt>
              <w:sdtPr>
                <w:tag w:val="_PLD_07a3d19678c44b0db85c15fb74bf76d2"/>
                <w:id w:val="-1092851982"/>
                <w:lock w:val="sdtLocked"/>
              </w:sdtPr>
              <w:sdtEndPr/>
              <w:sdtContent>
                <w:tc>
                  <w:tcPr>
                    <w:tcW w:w="723"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14:paraId="6B6460A1" w14:textId="77777777" w:rsidR="0014424C" w:rsidRDefault="0014424C" w:rsidP="00A57004">
                    <w:pPr>
                      <w:jc w:val="center"/>
                      <w:rPr>
                        <w:rFonts w:cs="Arial"/>
                        <w:szCs w:val="21"/>
                      </w:rPr>
                    </w:pPr>
                    <w:r>
                      <w:rPr>
                        <w:rFonts w:cs="Arial" w:hint="eastAsia"/>
                        <w:szCs w:val="21"/>
                        <w:lang w:val="en-GB"/>
                      </w:rPr>
                      <w:t>业务性质</w:t>
                    </w:r>
                  </w:p>
                </w:tc>
              </w:sdtContent>
            </w:sdt>
            <w:sdt>
              <w:sdtPr>
                <w:tag w:val="_PLD_cb67afe7283245a29754ca96c69b89fc"/>
                <w:id w:val="-1311251893"/>
                <w:lock w:val="sdtLocked"/>
              </w:sdtPr>
              <w:sdtEndPr/>
              <w:sdtContent>
                <w:tc>
                  <w:tcPr>
                    <w:tcW w:w="1226" w:type="pct"/>
                    <w:gridSpan w:val="2"/>
                    <w:tcBorders>
                      <w:top w:val="single" w:sz="4" w:space="0" w:color="auto"/>
                      <w:left w:val="single" w:sz="6" w:space="0" w:color="auto"/>
                      <w:bottom w:val="single" w:sz="6" w:space="0" w:color="auto"/>
                      <w:right w:val="single" w:sz="6" w:space="0" w:color="auto"/>
                    </w:tcBorders>
                    <w:shd w:val="clear" w:color="auto" w:fill="auto"/>
                    <w:vAlign w:val="center"/>
                  </w:tcPr>
                  <w:p w14:paraId="04DBFE86" w14:textId="77777777" w:rsidR="0014424C" w:rsidRDefault="0014424C" w:rsidP="00A57004">
                    <w:pPr>
                      <w:jc w:val="center"/>
                      <w:rPr>
                        <w:rFonts w:cs="Arial"/>
                        <w:szCs w:val="21"/>
                      </w:rPr>
                    </w:pPr>
                    <w:r>
                      <w:rPr>
                        <w:rFonts w:cs="Arial" w:hint="eastAsia"/>
                        <w:szCs w:val="21"/>
                        <w:lang w:val="en-GB"/>
                      </w:rPr>
                      <w:t>持股比例</w:t>
                    </w:r>
                    <w:r>
                      <w:rPr>
                        <w:rFonts w:cs="Arial"/>
                        <w:szCs w:val="21"/>
                      </w:rPr>
                      <w:t>(%)</w:t>
                    </w:r>
                  </w:p>
                </w:tc>
              </w:sdtContent>
            </w:sdt>
            <w:sdt>
              <w:sdtPr>
                <w:tag w:val="_PLD_0fddec4e9b2a4b3aa0f9a08859cf498e"/>
                <w:id w:val="-1128550471"/>
                <w:lock w:val="sdtLocked"/>
              </w:sdtPr>
              <w:sdtEndPr/>
              <w:sdtContent>
                <w:tc>
                  <w:tcPr>
                    <w:tcW w:w="934" w:type="pct"/>
                    <w:vMerge w:val="restart"/>
                    <w:tcBorders>
                      <w:top w:val="single" w:sz="4" w:space="0" w:color="auto"/>
                      <w:left w:val="single" w:sz="6" w:space="0" w:color="auto"/>
                      <w:bottom w:val="single" w:sz="6" w:space="0" w:color="auto"/>
                      <w:right w:val="single" w:sz="4" w:space="0" w:color="auto"/>
                    </w:tcBorders>
                    <w:shd w:val="clear" w:color="auto" w:fill="auto"/>
                    <w:vAlign w:val="center"/>
                  </w:tcPr>
                  <w:p w14:paraId="06BFFBE0" w14:textId="77777777" w:rsidR="0014424C" w:rsidRDefault="0014424C" w:rsidP="00A57004">
                    <w:pPr>
                      <w:jc w:val="center"/>
                      <w:rPr>
                        <w:rFonts w:cs="Arial"/>
                        <w:szCs w:val="21"/>
                      </w:rPr>
                    </w:pPr>
                    <w:r>
                      <w:rPr>
                        <w:rFonts w:cs="Arial" w:hint="eastAsia"/>
                        <w:szCs w:val="21"/>
                        <w:lang w:val="en-GB"/>
                      </w:rPr>
                      <w:t>对合营企业或联营企业投资的会计处理方法</w:t>
                    </w:r>
                  </w:p>
                </w:tc>
              </w:sdtContent>
            </w:sdt>
          </w:tr>
          <w:tr w:rsidR="0014424C" w14:paraId="64CC8418" w14:textId="77777777" w:rsidTr="00A57004">
            <w:trPr>
              <w:trHeight w:val="278"/>
            </w:trPr>
            <w:tc>
              <w:tcPr>
                <w:tcW w:w="675" w:type="pct"/>
                <w:vMerge/>
                <w:tcBorders>
                  <w:top w:val="single" w:sz="4" w:space="0" w:color="auto"/>
                  <w:left w:val="single" w:sz="4" w:space="0" w:color="auto"/>
                  <w:bottom w:val="single" w:sz="6" w:space="0" w:color="auto"/>
                  <w:right w:val="single" w:sz="6" w:space="0" w:color="auto"/>
                </w:tcBorders>
                <w:shd w:val="clear" w:color="auto" w:fill="auto"/>
                <w:vAlign w:val="center"/>
              </w:tcPr>
              <w:p w14:paraId="29CE44F6" w14:textId="77777777" w:rsidR="0014424C" w:rsidRDefault="0014424C" w:rsidP="00A57004">
                <w:pPr>
                  <w:rPr>
                    <w:rFonts w:cs="Arial"/>
                    <w:szCs w:val="21"/>
                  </w:rPr>
                </w:pPr>
              </w:p>
            </w:tc>
            <w:tc>
              <w:tcPr>
                <w:tcW w:w="742" w:type="pct"/>
                <w:vMerge/>
                <w:tcBorders>
                  <w:top w:val="single" w:sz="4" w:space="0" w:color="auto"/>
                  <w:left w:val="single" w:sz="6" w:space="0" w:color="auto"/>
                  <w:bottom w:val="single" w:sz="6" w:space="0" w:color="auto"/>
                  <w:right w:val="single" w:sz="6" w:space="0" w:color="auto"/>
                </w:tcBorders>
                <w:shd w:val="clear" w:color="auto" w:fill="auto"/>
                <w:vAlign w:val="center"/>
              </w:tcPr>
              <w:p w14:paraId="693850E7" w14:textId="77777777" w:rsidR="0014424C" w:rsidRDefault="0014424C" w:rsidP="00A57004">
                <w:pPr>
                  <w:rPr>
                    <w:rFonts w:cs="Arial"/>
                    <w:szCs w:val="21"/>
                  </w:rPr>
                </w:pPr>
              </w:p>
            </w:tc>
            <w:tc>
              <w:tcPr>
                <w:tcW w:w="700" w:type="pct"/>
                <w:vMerge/>
                <w:tcBorders>
                  <w:top w:val="single" w:sz="4" w:space="0" w:color="auto"/>
                  <w:left w:val="single" w:sz="6" w:space="0" w:color="auto"/>
                  <w:bottom w:val="single" w:sz="6" w:space="0" w:color="auto"/>
                  <w:right w:val="single" w:sz="6" w:space="0" w:color="auto"/>
                </w:tcBorders>
                <w:shd w:val="clear" w:color="auto" w:fill="auto"/>
                <w:vAlign w:val="center"/>
              </w:tcPr>
              <w:p w14:paraId="3084AF52" w14:textId="77777777" w:rsidR="0014424C" w:rsidRDefault="0014424C" w:rsidP="00A57004">
                <w:pPr>
                  <w:rPr>
                    <w:rFonts w:cs="Arial"/>
                    <w:szCs w:val="21"/>
                  </w:rPr>
                </w:pPr>
              </w:p>
            </w:tc>
            <w:tc>
              <w:tcPr>
                <w:tcW w:w="723" w:type="pct"/>
                <w:vMerge/>
                <w:tcBorders>
                  <w:top w:val="single" w:sz="4" w:space="0" w:color="auto"/>
                  <w:left w:val="single" w:sz="6" w:space="0" w:color="auto"/>
                  <w:bottom w:val="single" w:sz="6" w:space="0" w:color="auto"/>
                  <w:right w:val="single" w:sz="6" w:space="0" w:color="auto"/>
                </w:tcBorders>
                <w:shd w:val="clear" w:color="auto" w:fill="auto"/>
                <w:vAlign w:val="center"/>
              </w:tcPr>
              <w:p w14:paraId="6D46AADD" w14:textId="77777777" w:rsidR="0014424C" w:rsidRDefault="0014424C" w:rsidP="00A57004">
                <w:pPr>
                  <w:rPr>
                    <w:rFonts w:cs="Arial"/>
                    <w:szCs w:val="21"/>
                  </w:rPr>
                </w:pPr>
              </w:p>
            </w:tc>
            <w:sdt>
              <w:sdtPr>
                <w:tag w:val="_PLD_42f14f52720a4c87819c9bd5211ded18"/>
                <w:id w:val="-1067806125"/>
                <w:lock w:val="sdtLocked"/>
              </w:sdtPr>
              <w:sdtEndPr/>
              <w:sdtContent>
                <w:tc>
                  <w:tcPr>
                    <w:tcW w:w="615" w:type="pct"/>
                    <w:tcBorders>
                      <w:top w:val="single" w:sz="4" w:space="0" w:color="auto"/>
                      <w:left w:val="single" w:sz="6" w:space="0" w:color="auto"/>
                      <w:bottom w:val="single" w:sz="6" w:space="0" w:color="auto"/>
                      <w:right w:val="single" w:sz="6" w:space="0" w:color="auto"/>
                    </w:tcBorders>
                    <w:shd w:val="clear" w:color="auto" w:fill="auto"/>
                    <w:vAlign w:val="center"/>
                  </w:tcPr>
                  <w:p w14:paraId="4B15C477" w14:textId="77777777" w:rsidR="0014424C" w:rsidRDefault="0014424C" w:rsidP="00A57004">
                    <w:pPr>
                      <w:jc w:val="center"/>
                      <w:rPr>
                        <w:rFonts w:cs="Arial"/>
                        <w:szCs w:val="21"/>
                      </w:rPr>
                    </w:pPr>
                    <w:r>
                      <w:rPr>
                        <w:rFonts w:cs="Arial" w:hint="eastAsia"/>
                        <w:szCs w:val="21"/>
                        <w:lang w:val="en-GB"/>
                      </w:rPr>
                      <w:t>直接</w:t>
                    </w:r>
                  </w:p>
                </w:tc>
              </w:sdtContent>
            </w:sdt>
            <w:sdt>
              <w:sdtPr>
                <w:tag w:val="_PLD_e87318e11f6c4411aa17083e3a10cd90"/>
                <w:id w:val="-968809476"/>
                <w:lock w:val="sdtLocked"/>
              </w:sdtPr>
              <w:sdtEndPr/>
              <w:sdtContent>
                <w:tc>
                  <w:tcPr>
                    <w:tcW w:w="611" w:type="pct"/>
                    <w:tcBorders>
                      <w:top w:val="single" w:sz="4" w:space="0" w:color="auto"/>
                      <w:left w:val="single" w:sz="6" w:space="0" w:color="auto"/>
                      <w:bottom w:val="single" w:sz="6" w:space="0" w:color="auto"/>
                      <w:right w:val="single" w:sz="6" w:space="0" w:color="auto"/>
                    </w:tcBorders>
                    <w:shd w:val="clear" w:color="auto" w:fill="auto"/>
                    <w:vAlign w:val="center"/>
                  </w:tcPr>
                  <w:p w14:paraId="1D1EDD87" w14:textId="77777777" w:rsidR="0014424C" w:rsidRDefault="0014424C" w:rsidP="00A57004">
                    <w:pPr>
                      <w:jc w:val="center"/>
                      <w:rPr>
                        <w:rFonts w:cs="Arial"/>
                        <w:szCs w:val="21"/>
                      </w:rPr>
                    </w:pPr>
                    <w:r>
                      <w:rPr>
                        <w:rFonts w:cs="Arial" w:hint="eastAsia"/>
                        <w:szCs w:val="21"/>
                        <w:lang w:val="en-GB"/>
                      </w:rPr>
                      <w:t>间接</w:t>
                    </w:r>
                  </w:p>
                </w:tc>
              </w:sdtContent>
            </w:sdt>
            <w:tc>
              <w:tcPr>
                <w:tcW w:w="934" w:type="pct"/>
                <w:vMerge/>
                <w:tcBorders>
                  <w:top w:val="single" w:sz="4" w:space="0" w:color="auto"/>
                  <w:left w:val="single" w:sz="6" w:space="0" w:color="auto"/>
                  <w:bottom w:val="single" w:sz="6" w:space="0" w:color="auto"/>
                  <w:right w:val="single" w:sz="4" w:space="0" w:color="auto"/>
                </w:tcBorders>
                <w:vAlign w:val="center"/>
              </w:tcPr>
              <w:p w14:paraId="442544C8" w14:textId="77777777" w:rsidR="0014424C" w:rsidRDefault="0014424C" w:rsidP="00A57004">
                <w:pPr>
                  <w:rPr>
                    <w:rFonts w:cs="Arial"/>
                    <w:szCs w:val="21"/>
                  </w:rPr>
                </w:pPr>
              </w:p>
            </w:tc>
          </w:tr>
          <w:sdt>
            <w:sdtPr>
              <w:rPr>
                <w:szCs w:val="21"/>
              </w:rPr>
              <w:alias w:val="重要的合营企业或联营企业明细"/>
              <w:tag w:val="_GBC_a1baed559822472c8c78b05cadceb35a"/>
              <w:id w:val="-888185871"/>
              <w:lock w:val="sdtLocked"/>
              <w:placeholder>
                <w:docPart w:val="DEAAABCA1C974778BA2A38A4ECBA805F"/>
              </w:placeholder>
            </w:sdtPr>
            <w:sdtEndPr/>
            <w:sdtContent>
              <w:tr w:rsidR="0014424C" w14:paraId="7F02D8B5" w14:textId="77777777" w:rsidTr="00A57004">
                <w:tc>
                  <w:tcPr>
                    <w:tcW w:w="675" w:type="pct"/>
                    <w:tcBorders>
                      <w:top w:val="single" w:sz="6" w:space="0" w:color="auto"/>
                      <w:left w:val="single" w:sz="4" w:space="0" w:color="auto"/>
                      <w:bottom w:val="single" w:sz="4" w:space="0" w:color="auto"/>
                      <w:right w:val="single" w:sz="6" w:space="0" w:color="auto"/>
                    </w:tcBorders>
                  </w:tcPr>
                  <w:p w14:paraId="14F48BF3" w14:textId="77777777" w:rsidR="0014424C" w:rsidRDefault="0014424C" w:rsidP="00A57004">
                    <w:pPr>
                      <w:rPr>
                        <w:szCs w:val="21"/>
                      </w:rPr>
                    </w:pPr>
                    <w:r>
                      <w:t>江苏天海特种装备有限公司</w:t>
                    </w:r>
                  </w:p>
                </w:tc>
                <w:tc>
                  <w:tcPr>
                    <w:tcW w:w="742" w:type="pct"/>
                    <w:tcBorders>
                      <w:top w:val="single" w:sz="6" w:space="0" w:color="auto"/>
                      <w:left w:val="single" w:sz="6" w:space="0" w:color="auto"/>
                      <w:bottom w:val="single" w:sz="4" w:space="0" w:color="auto"/>
                      <w:right w:val="single" w:sz="6" w:space="0" w:color="auto"/>
                    </w:tcBorders>
                  </w:tcPr>
                  <w:p w14:paraId="04A9AD17" w14:textId="77777777" w:rsidR="0014424C" w:rsidRDefault="0014424C" w:rsidP="00A57004">
                    <w:pPr>
                      <w:rPr>
                        <w:szCs w:val="21"/>
                      </w:rPr>
                    </w:pPr>
                    <w:r>
                      <w:t>江苏省镇江市</w:t>
                    </w:r>
                  </w:p>
                </w:tc>
                <w:tc>
                  <w:tcPr>
                    <w:tcW w:w="700" w:type="pct"/>
                    <w:tcBorders>
                      <w:top w:val="single" w:sz="6" w:space="0" w:color="auto"/>
                      <w:left w:val="single" w:sz="6" w:space="0" w:color="auto"/>
                      <w:bottom w:val="single" w:sz="4" w:space="0" w:color="auto"/>
                      <w:right w:val="single" w:sz="6" w:space="0" w:color="auto"/>
                    </w:tcBorders>
                  </w:tcPr>
                  <w:p w14:paraId="7C620D97" w14:textId="77777777" w:rsidR="0014424C" w:rsidRDefault="0014424C" w:rsidP="00A57004">
                    <w:pPr>
                      <w:rPr>
                        <w:szCs w:val="21"/>
                      </w:rPr>
                    </w:pPr>
                    <w:r>
                      <w:t>江苏省镇江市</w:t>
                    </w:r>
                  </w:p>
                </w:tc>
                <w:tc>
                  <w:tcPr>
                    <w:tcW w:w="723" w:type="pct"/>
                    <w:tcBorders>
                      <w:top w:val="single" w:sz="6" w:space="0" w:color="auto"/>
                      <w:left w:val="single" w:sz="6" w:space="0" w:color="auto"/>
                      <w:bottom w:val="single" w:sz="4" w:space="0" w:color="auto"/>
                      <w:right w:val="single" w:sz="6" w:space="0" w:color="auto"/>
                    </w:tcBorders>
                  </w:tcPr>
                  <w:p w14:paraId="58B04993" w14:textId="77777777" w:rsidR="0014424C" w:rsidRDefault="0014424C" w:rsidP="00A57004">
                    <w:pPr>
                      <w:rPr>
                        <w:szCs w:val="21"/>
                      </w:rPr>
                    </w:pPr>
                    <w:r>
                      <w:t>生产</w:t>
                    </w:r>
                  </w:p>
                </w:tc>
                <w:tc>
                  <w:tcPr>
                    <w:tcW w:w="615" w:type="pct"/>
                    <w:tcBorders>
                      <w:top w:val="single" w:sz="6" w:space="0" w:color="auto"/>
                      <w:left w:val="single" w:sz="6" w:space="0" w:color="auto"/>
                      <w:bottom w:val="single" w:sz="4" w:space="0" w:color="auto"/>
                      <w:right w:val="single" w:sz="6" w:space="0" w:color="auto"/>
                    </w:tcBorders>
                  </w:tcPr>
                  <w:p w14:paraId="7E035FA5" w14:textId="77777777" w:rsidR="0014424C" w:rsidRDefault="0014424C" w:rsidP="00A57004">
                    <w:pPr>
                      <w:jc w:val="right"/>
                      <w:rPr>
                        <w:szCs w:val="21"/>
                      </w:rPr>
                    </w:pPr>
                  </w:p>
                </w:tc>
                <w:tc>
                  <w:tcPr>
                    <w:tcW w:w="611" w:type="pct"/>
                    <w:tcBorders>
                      <w:top w:val="single" w:sz="6" w:space="0" w:color="auto"/>
                      <w:left w:val="single" w:sz="6" w:space="0" w:color="auto"/>
                      <w:bottom w:val="single" w:sz="4" w:space="0" w:color="auto"/>
                      <w:right w:val="single" w:sz="6" w:space="0" w:color="auto"/>
                    </w:tcBorders>
                  </w:tcPr>
                  <w:p w14:paraId="62793593" w14:textId="77777777" w:rsidR="0014424C" w:rsidRDefault="0014424C" w:rsidP="00A57004">
                    <w:pPr>
                      <w:jc w:val="right"/>
                      <w:rPr>
                        <w:szCs w:val="21"/>
                      </w:rPr>
                    </w:pPr>
                    <w:r>
                      <w:t>35.00</w:t>
                    </w:r>
                  </w:p>
                </w:tc>
                <w:tc>
                  <w:tcPr>
                    <w:tcW w:w="934" w:type="pct"/>
                    <w:tcBorders>
                      <w:top w:val="single" w:sz="6" w:space="0" w:color="auto"/>
                      <w:left w:val="single" w:sz="6" w:space="0" w:color="auto"/>
                      <w:bottom w:val="single" w:sz="4" w:space="0" w:color="auto"/>
                      <w:right w:val="single" w:sz="4" w:space="0" w:color="auto"/>
                    </w:tcBorders>
                  </w:tcPr>
                  <w:p w14:paraId="5F093353" w14:textId="77777777" w:rsidR="0014424C" w:rsidRDefault="0014424C" w:rsidP="00A57004">
                    <w:pPr>
                      <w:rPr>
                        <w:szCs w:val="21"/>
                      </w:rPr>
                    </w:pPr>
                    <w:r>
                      <w:t>权益法</w:t>
                    </w:r>
                  </w:p>
                </w:tc>
              </w:tr>
            </w:sdtContent>
          </w:sdt>
          <w:sdt>
            <w:sdtPr>
              <w:rPr>
                <w:szCs w:val="21"/>
              </w:rPr>
              <w:alias w:val="重要的合营企业或联营企业明细"/>
              <w:tag w:val="_GBC_a1baed559822472c8c78b05cadceb35a"/>
              <w:id w:val="2137216327"/>
              <w:lock w:val="sdtLocked"/>
              <w:placeholder>
                <w:docPart w:val="DEAAABCA1C974778BA2A38A4ECBA805F"/>
              </w:placeholder>
            </w:sdtPr>
            <w:sdtEndPr/>
            <w:sdtContent>
              <w:tr w:rsidR="0014424C" w14:paraId="38456CA9" w14:textId="77777777" w:rsidTr="00A57004">
                <w:tc>
                  <w:tcPr>
                    <w:tcW w:w="675" w:type="pct"/>
                    <w:tcBorders>
                      <w:top w:val="single" w:sz="6" w:space="0" w:color="auto"/>
                      <w:left w:val="single" w:sz="4" w:space="0" w:color="auto"/>
                      <w:bottom w:val="single" w:sz="6" w:space="0" w:color="auto"/>
                      <w:right w:val="single" w:sz="6" w:space="0" w:color="auto"/>
                    </w:tcBorders>
                  </w:tcPr>
                  <w:p w14:paraId="2B4084A0" w14:textId="77777777" w:rsidR="0014424C" w:rsidRDefault="0014424C" w:rsidP="00A57004">
                    <w:pPr>
                      <w:rPr>
                        <w:szCs w:val="21"/>
                      </w:rPr>
                    </w:pPr>
                    <w:r>
                      <w:t>北京伯肯节能科技股份有限公司</w:t>
                    </w:r>
                  </w:p>
                </w:tc>
                <w:tc>
                  <w:tcPr>
                    <w:tcW w:w="742" w:type="pct"/>
                    <w:tcBorders>
                      <w:top w:val="single" w:sz="6" w:space="0" w:color="auto"/>
                      <w:left w:val="single" w:sz="6" w:space="0" w:color="auto"/>
                      <w:bottom w:val="single" w:sz="6" w:space="0" w:color="auto"/>
                      <w:right w:val="single" w:sz="6" w:space="0" w:color="auto"/>
                    </w:tcBorders>
                  </w:tcPr>
                  <w:p w14:paraId="652CC51D" w14:textId="77777777" w:rsidR="0014424C" w:rsidRDefault="0014424C" w:rsidP="00A57004">
                    <w:pPr>
                      <w:rPr>
                        <w:szCs w:val="21"/>
                      </w:rPr>
                    </w:pPr>
                    <w:r>
                      <w:t>北京市</w:t>
                    </w:r>
                  </w:p>
                </w:tc>
                <w:tc>
                  <w:tcPr>
                    <w:tcW w:w="700" w:type="pct"/>
                    <w:tcBorders>
                      <w:top w:val="single" w:sz="6" w:space="0" w:color="auto"/>
                      <w:left w:val="single" w:sz="6" w:space="0" w:color="auto"/>
                      <w:bottom w:val="single" w:sz="6" w:space="0" w:color="auto"/>
                      <w:right w:val="single" w:sz="6" w:space="0" w:color="auto"/>
                    </w:tcBorders>
                  </w:tcPr>
                  <w:p w14:paraId="0192E552" w14:textId="77777777" w:rsidR="0014424C" w:rsidRDefault="0014424C" w:rsidP="00A57004">
                    <w:pPr>
                      <w:rPr>
                        <w:szCs w:val="21"/>
                      </w:rPr>
                    </w:pPr>
                    <w:r>
                      <w:t>北京市</w:t>
                    </w:r>
                  </w:p>
                </w:tc>
                <w:tc>
                  <w:tcPr>
                    <w:tcW w:w="723" w:type="pct"/>
                    <w:tcBorders>
                      <w:top w:val="single" w:sz="6" w:space="0" w:color="auto"/>
                      <w:left w:val="single" w:sz="6" w:space="0" w:color="auto"/>
                      <w:bottom w:val="single" w:sz="6" w:space="0" w:color="auto"/>
                      <w:right w:val="single" w:sz="6" w:space="0" w:color="auto"/>
                    </w:tcBorders>
                  </w:tcPr>
                  <w:p w14:paraId="7B7430F5" w14:textId="77777777" w:rsidR="0014424C" w:rsidRDefault="0014424C" w:rsidP="00A57004">
                    <w:pPr>
                      <w:rPr>
                        <w:szCs w:val="21"/>
                      </w:rPr>
                    </w:pPr>
                    <w:r>
                      <w:t>生产</w:t>
                    </w:r>
                  </w:p>
                </w:tc>
                <w:tc>
                  <w:tcPr>
                    <w:tcW w:w="615" w:type="pct"/>
                    <w:tcBorders>
                      <w:top w:val="single" w:sz="6" w:space="0" w:color="auto"/>
                      <w:left w:val="single" w:sz="6" w:space="0" w:color="auto"/>
                      <w:bottom w:val="single" w:sz="6" w:space="0" w:color="auto"/>
                      <w:right w:val="single" w:sz="6" w:space="0" w:color="auto"/>
                    </w:tcBorders>
                  </w:tcPr>
                  <w:p w14:paraId="338733B9" w14:textId="77777777" w:rsidR="0014424C" w:rsidRDefault="0014424C" w:rsidP="00A57004">
                    <w:pPr>
                      <w:jc w:val="right"/>
                      <w:rPr>
                        <w:szCs w:val="21"/>
                      </w:rPr>
                    </w:pPr>
                  </w:p>
                </w:tc>
                <w:tc>
                  <w:tcPr>
                    <w:tcW w:w="611" w:type="pct"/>
                    <w:tcBorders>
                      <w:top w:val="single" w:sz="6" w:space="0" w:color="auto"/>
                      <w:left w:val="single" w:sz="6" w:space="0" w:color="auto"/>
                      <w:bottom w:val="single" w:sz="6" w:space="0" w:color="auto"/>
                      <w:right w:val="single" w:sz="6" w:space="0" w:color="auto"/>
                    </w:tcBorders>
                  </w:tcPr>
                  <w:p w14:paraId="64D803DE" w14:textId="77777777" w:rsidR="0014424C" w:rsidRDefault="0014424C" w:rsidP="00A57004">
                    <w:pPr>
                      <w:jc w:val="right"/>
                      <w:rPr>
                        <w:szCs w:val="21"/>
                      </w:rPr>
                    </w:pPr>
                    <w:r>
                      <w:t>10.91</w:t>
                    </w:r>
                  </w:p>
                </w:tc>
                <w:tc>
                  <w:tcPr>
                    <w:tcW w:w="934" w:type="pct"/>
                    <w:tcBorders>
                      <w:top w:val="single" w:sz="6" w:space="0" w:color="auto"/>
                      <w:left w:val="single" w:sz="6" w:space="0" w:color="auto"/>
                      <w:bottom w:val="single" w:sz="6" w:space="0" w:color="auto"/>
                      <w:right w:val="single" w:sz="4" w:space="0" w:color="auto"/>
                    </w:tcBorders>
                  </w:tcPr>
                  <w:p w14:paraId="4E193650" w14:textId="77777777" w:rsidR="0014424C" w:rsidRDefault="0014424C" w:rsidP="00A57004">
                    <w:pPr>
                      <w:rPr>
                        <w:szCs w:val="21"/>
                      </w:rPr>
                    </w:pPr>
                    <w:r>
                      <w:t>权益法</w:t>
                    </w:r>
                  </w:p>
                </w:tc>
              </w:tr>
            </w:sdtContent>
          </w:sdt>
          <w:sdt>
            <w:sdtPr>
              <w:rPr>
                <w:szCs w:val="21"/>
              </w:rPr>
              <w:alias w:val="重要的合营企业或联营企业明细"/>
              <w:tag w:val="_GBC_a1baed559822472c8c78b05cadceb35a"/>
              <w:id w:val="-943836625"/>
              <w:lock w:val="sdtLocked"/>
              <w:placeholder>
                <w:docPart w:val="7A12F8DF15724B62A6ACA095EF8DD699"/>
              </w:placeholder>
            </w:sdtPr>
            <w:sdtEndPr/>
            <w:sdtContent>
              <w:tr w:rsidR="0014424C" w14:paraId="150CC425" w14:textId="77777777" w:rsidTr="00A57004">
                <w:tc>
                  <w:tcPr>
                    <w:tcW w:w="675" w:type="pct"/>
                    <w:tcBorders>
                      <w:top w:val="single" w:sz="6" w:space="0" w:color="auto"/>
                      <w:left w:val="single" w:sz="4" w:space="0" w:color="auto"/>
                      <w:bottom w:val="single" w:sz="6" w:space="0" w:color="auto"/>
                      <w:right w:val="single" w:sz="6" w:space="0" w:color="auto"/>
                    </w:tcBorders>
                  </w:tcPr>
                  <w:p w14:paraId="5A6661D0" w14:textId="77777777" w:rsidR="0014424C" w:rsidRDefault="0014424C" w:rsidP="00A57004">
                    <w:pPr>
                      <w:rPr>
                        <w:szCs w:val="21"/>
                      </w:rPr>
                    </w:pPr>
                    <w:r>
                      <w:t>北京京城海通科技文化发展有限公司</w:t>
                    </w:r>
                  </w:p>
                </w:tc>
                <w:tc>
                  <w:tcPr>
                    <w:tcW w:w="742" w:type="pct"/>
                    <w:tcBorders>
                      <w:top w:val="single" w:sz="6" w:space="0" w:color="auto"/>
                      <w:left w:val="single" w:sz="6" w:space="0" w:color="auto"/>
                      <w:bottom w:val="single" w:sz="6" w:space="0" w:color="auto"/>
                      <w:right w:val="single" w:sz="6" w:space="0" w:color="auto"/>
                    </w:tcBorders>
                  </w:tcPr>
                  <w:p w14:paraId="24C36146" w14:textId="77777777" w:rsidR="0014424C" w:rsidRDefault="0014424C" w:rsidP="00A57004">
                    <w:pPr>
                      <w:rPr>
                        <w:szCs w:val="21"/>
                      </w:rPr>
                    </w:pPr>
                    <w:r>
                      <w:t>北京市</w:t>
                    </w:r>
                  </w:p>
                </w:tc>
                <w:tc>
                  <w:tcPr>
                    <w:tcW w:w="700" w:type="pct"/>
                    <w:tcBorders>
                      <w:top w:val="single" w:sz="6" w:space="0" w:color="auto"/>
                      <w:left w:val="single" w:sz="6" w:space="0" w:color="auto"/>
                      <w:bottom w:val="single" w:sz="6" w:space="0" w:color="auto"/>
                      <w:right w:val="single" w:sz="6" w:space="0" w:color="auto"/>
                    </w:tcBorders>
                  </w:tcPr>
                  <w:p w14:paraId="767785CE" w14:textId="77777777" w:rsidR="0014424C" w:rsidRDefault="0014424C" w:rsidP="00A57004">
                    <w:pPr>
                      <w:rPr>
                        <w:szCs w:val="21"/>
                      </w:rPr>
                    </w:pPr>
                    <w:r>
                      <w:t>北京市</w:t>
                    </w:r>
                  </w:p>
                </w:tc>
                <w:tc>
                  <w:tcPr>
                    <w:tcW w:w="723" w:type="pct"/>
                    <w:tcBorders>
                      <w:top w:val="single" w:sz="6" w:space="0" w:color="auto"/>
                      <w:left w:val="single" w:sz="6" w:space="0" w:color="auto"/>
                      <w:bottom w:val="single" w:sz="6" w:space="0" w:color="auto"/>
                      <w:right w:val="single" w:sz="6" w:space="0" w:color="auto"/>
                    </w:tcBorders>
                  </w:tcPr>
                  <w:p w14:paraId="625525B2" w14:textId="77777777" w:rsidR="0014424C" w:rsidRDefault="0014424C" w:rsidP="00A57004">
                    <w:pPr>
                      <w:rPr>
                        <w:szCs w:val="21"/>
                      </w:rPr>
                    </w:pPr>
                    <w:r>
                      <w:t>租赁</w:t>
                    </w:r>
                  </w:p>
                </w:tc>
                <w:tc>
                  <w:tcPr>
                    <w:tcW w:w="615" w:type="pct"/>
                    <w:tcBorders>
                      <w:top w:val="single" w:sz="6" w:space="0" w:color="auto"/>
                      <w:left w:val="single" w:sz="6" w:space="0" w:color="auto"/>
                      <w:bottom w:val="single" w:sz="6" w:space="0" w:color="auto"/>
                      <w:right w:val="single" w:sz="6" w:space="0" w:color="auto"/>
                    </w:tcBorders>
                  </w:tcPr>
                  <w:p w14:paraId="77941339" w14:textId="77777777" w:rsidR="0014424C" w:rsidRDefault="0014424C" w:rsidP="00A57004">
                    <w:pPr>
                      <w:jc w:val="right"/>
                      <w:rPr>
                        <w:szCs w:val="21"/>
                      </w:rPr>
                    </w:pPr>
                  </w:p>
                </w:tc>
                <w:tc>
                  <w:tcPr>
                    <w:tcW w:w="611" w:type="pct"/>
                    <w:tcBorders>
                      <w:top w:val="single" w:sz="6" w:space="0" w:color="auto"/>
                      <w:left w:val="single" w:sz="6" w:space="0" w:color="auto"/>
                      <w:bottom w:val="single" w:sz="6" w:space="0" w:color="auto"/>
                      <w:right w:val="single" w:sz="6" w:space="0" w:color="auto"/>
                    </w:tcBorders>
                  </w:tcPr>
                  <w:p w14:paraId="06B271B0" w14:textId="77777777" w:rsidR="0014424C" w:rsidRDefault="0014424C" w:rsidP="00A57004">
                    <w:pPr>
                      <w:jc w:val="right"/>
                      <w:rPr>
                        <w:szCs w:val="21"/>
                      </w:rPr>
                    </w:pPr>
                    <w:r>
                      <w:t>49.00</w:t>
                    </w:r>
                  </w:p>
                </w:tc>
                <w:tc>
                  <w:tcPr>
                    <w:tcW w:w="934" w:type="pct"/>
                    <w:tcBorders>
                      <w:top w:val="single" w:sz="6" w:space="0" w:color="auto"/>
                      <w:left w:val="single" w:sz="6" w:space="0" w:color="auto"/>
                      <w:bottom w:val="single" w:sz="6" w:space="0" w:color="auto"/>
                      <w:right w:val="single" w:sz="4" w:space="0" w:color="auto"/>
                    </w:tcBorders>
                  </w:tcPr>
                  <w:p w14:paraId="06C029B5" w14:textId="77777777" w:rsidR="0014424C" w:rsidRDefault="0014424C" w:rsidP="00A57004">
                    <w:pPr>
                      <w:rPr>
                        <w:szCs w:val="21"/>
                      </w:rPr>
                    </w:pPr>
                    <w:r>
                      <w:t>权益法</w:t>
                    </w:r>
                  </w:p>
                </w:tc>
              </w:tr>
            </w:sdtContent>
          </w:sdt>
          <w:sdt>
            <w:sdtPr>
              <w:rPr>
                <w:szCs w:val="21"/>
              </w:rPr>
              <w:alias w:val="重要的合营企业或联营企业明细"/>
              <w:tag w:val="_GBC_a1baed559822472c8c78b05cadceb35a"/>
              <w:id w:val="-2075344645"/>
              <w:lock w:val="sdtLocked"/>
              <w:placeholder>
                <w:docPart w:val="7A12F8DF15724B62A6ACA095EF8DD699"/>
              </w:placeholder>
            </w:sdtPr>
            <w:sdtEndPr/>
            <w:sdtContent>
              <w:tr w:rsidR="0014424C" w14:paraId="39B22363" w14:textId="77777777" w:rsidTr="00A57004">
                <w:tc>
                  <w:tcPr>
                    <w:tcW w:w="675" w:type="pct"/>
                    <w:tcBorders>
                      <w:top w:val="single" w:sz="6" w:space="0" w:color="auto"/>
                      <w:left w:val="single" w:sz="4" w:space="0" w:color="auto"/>
                      <w:bottom w:val="single" w:sz="4" w:space="0" w:color="auto"/>
                      <w:right w:val="single" w:sz="6" w:space="0" w:color="auto"/>
                    </w:tcBorders>
                  </w:tcPr>
                  <w:p w14:paraId="25CD8C8B" w14:textId="77777777" w:rsidR="0014424C" w:rsidRDefault="0014424C" w:rsidP="00A57004">
                    <w:pPr>
                      <w:rPr>
                        <w:szCs w:val="21"/>
                      </w:rPr>
                    </w:pPr>
                    <w:r>
                      <w:t>北清智创（北京）新能源汽车科技有限公司</w:t>
                    </w:r>
                  </w:p>
                </w:tc>
                <w:tc>
                  <w:tcPr>
                    <w:tcW w:w="742" w:type="pct"/>
                    <w:tcBorders>
                      <w:top w:val="single" w:sz="6" w:space="0" w:color="auto"/>
                      <w:left w:val="single" w:sz="6" w:space="0" w:color="auto"/>
                      <w:bottom w:val="single" w:sz="4" w:space="0" w:color="auto"/>
                      <w:right w:val="single" w:sz="6" w:space="0" w:color="auto"/>
                    </w:tcBorders>
                  </w:tcPr>
                  <w:p w14:paraId="599586D0" w14:textId="77777777" w:rsidR="0014424C" w:rsidRDefault="0014424C" w:rsidP="00A57004">
                    <w:pPr>
                      <w:rPr>
                        <w:szCs w:val="21"/>
                      </w:rPr>
                    </w:pPr>
                    <w:r>
                      <w:t>北京市</w:t>
                    </w:r>
                  </w:p>
                </w:tc>
                <w:tc>
                  <w:tcPr>
                    <w:tcW w:w="700" w:type="pct"/>
                    <w:tcBorders>
                      <w:top w:val="single" w:sz="6" w:space="0" w:color="auto"/>
                      <w:left w:val="single" w:sz="6" w:space="0" w:color="auto"/>
                      <w:bottom w:val="single" w:sz="4" w:space="0" w:color="auto"/>
                      <w:right w:val="single" w:sz="6" w:space="0" w:color="auto"/>
                    </w:tcBorders>
                  </w:tcPr>
                  <w:p w14:paraId="5861BCFE" w14:textId="77777777" w:rsidR="0014424C" w:rsidRDefault="0014424C" w:rsidP="00A57004">
                    <w:pPr>
                      <w:rPr>
                        <w:szCs w:val="21"/>
                      </w:rPr>
                    </w:pPr>
                    <w:r>
                      <w:t>北京市</w:t>
                    </w:r>
                  </w:p>
                </w:tc>
                <w:tc>
                  <w:tcPr>
                    <w:tcW w:w="723" w:type="pct"/>
                    <w:tcBorders>
                      <w:top w:val="single" w:sz="6" w:space="0" w:color="auto"/>
                      <w:left w:val="single" w:sz="6" w:space="0" w:color="auto"/>
                      <w:bottom w:val="single" w:sz="4" w:space="0" w:color="auto"/>
                      <w:right w:val="single" w:sz="6" w:space="0" w:color="auto"/>
                    </w:tcBorders>
                  </w:tcPr>
                  <w:p w14:paraId="389C3789" w14:textId="77777777" w:rsidR="0014424C" w:rsidRDefault="0014424C" w:rsidP="00A57004">
                    <w:pPr>
                      <w:rPr>
                        <w:szCs w:val="21"/>
                      </w:rPr>
                    </w:pPr>
                    <w:r>
                      <w:t>生产</w:t>
                    </w:r>
                  </w:p>
                </w:tc>
                <w:tc>
                  <w:tcPr>
                    <w:tcW w:w="615" w:type="pct"/>
                    <w:tcBorders>
                      <w:top w:val="single" w:sz="6" w:space="0" w:color="auto"/>
                      <w:left w:val="single" w:sz="6" w:space="0" w:color="auto"/>
                      <w:bottom w:val="single" w:sz="4" w:space="0" w:color="auto"/>
                      <w:right w:val="single" w:sz="6" w:space="0" w:color="auto"/>
                    </w:tcBorders>
                  </w:tcPr>
                  <w:p w14:paraId="5C0B65C0" w14:textId="77777777" w:rsidR="0014424C" w:rsidRDefault="0014424C" w:rsidP="00A57004">
                    <w:pPr>
                      <w:jc w:val="right"/>
                      <w:rPr>
                        <w:szCs w:val="21"/>
                      </w:rPr>
                    </w:pPr>
                  </w:p>
                </w:tc>
                <w:tc>
                  <w:tcPr>
                    <w:tcW w:w="611" w:type="pct"/>
                    <w:tcBorders>
                      <w:top w:val="single" w:sz="6" w:space="0" w:color="auto"/>
                      <w:left w:val="single" w:sz="6" w:space="0" w:color="auto"/>
                      <w:bottom w:val="single" w:sz="4" w:space="0" w:color="auto"/>
                      <w:right w:val="single" w:sz="6" w:space="0" w:color="auto"/>
                    </w:tcBorders>
                  </w:tcPr>
                  <w:p w14:paraId="3C4B4E91" w14:textId="77777777" w:rsidR="0014424C" w:rsidRDefault="0014424C" w:rsidP="00A57004">
                    <w:pPr>
                      <w:jc w:val="right"/>
                      <w:rPr>
                        <w:szCs w:val="21"/>
                      </w:rPr>
                    </w:pPr>
                    <w:r>
                      <w:t>10.00</w:t>
                    </w:r>
                  </w:p>
                </w:tc>
                <w:tc>
                  <w:tcPr>
                    <w:tcW w:w="934" w:type="pct"/>
                    <w:tcBorders>
                      <w:top w:val="single" w:sz="6" w:space="0" w:color="auto"/>
                      <w:left w:val="single" w:sz="6" w:space="0" w:color="auto"/>
                      <w:bottom w:val="single" w:sz="4" w:space="0" w:color="auto"/>
                      <w:right w:val="single" w:sz="4" w:space="0" w:color="auto"/>
                    </w:tcBorders>
                  </w:tcPr>
                  <w:p w14:paraId="3011E605" w14:textId="77777777" w:rsidR="0014424C" w:rsidRDefault="0014424C" w:rsidP="00A57004">
                    <w:pPr>
                      <w:rPr>
                        <w:szCs w:val="21"/>
                      </w:rPr>
                    </w:pPr>
                    <w:r>
                      <w:t>权益法</w:t>
                    </w:r>
                  </w:p>
                </w:tc>
              </w:tr>
            </w:sdtContent>
          </w:sdt>
        </w:tbl>
        <w:p w14:paraId="02045114" w14:textId="77777777" w:rsidR="0014424C" w:rsidRDefault="0014424C"/>
        <w:p w14:paraId="5E0F2F1F" w14:textId="77777777" w:rsidR="0014424C" w:rsidRDefault="0014424C">
          <w:pPr>
            <w:rPr>
              <w:rFonts w:cs="Arial"/>
              <w:szCs w:val="21"/>
            </w:rPr>
          </w:pPr>
          <w:r>
            <w:rPr>
              <w:rFonts w:cs="Arial" w:hint="eastAsia"/>
              <w:szCs w:val="21"/>
            </w:rPr>
            <w:t>在合营企业或联营企业的持股比例不同于表决权比例的说明：</w:t>
          </w:r>
        </w:p>
        <w:p w14:paraId="078FA6EF" w14:textId="77777777" w:rsidR="0014424C" w:rsidRDefault="00B664AF">
          <w:pPr>
            <w:rPr>
              <w:rFonts w:cs="Arial"/>
              <w:szCs w:val="21"/>
            </w:rPr>
          </w:pPr>
          <w:sdt>
            <w:sdtPr>
              <w:rPr>
                <w:rFonts w:cs="Arial"/>
                <w:szCs w:val="21"/>
              </w:rPr>
              <w:alias w:val="在合营企业或联营企业的持股比例不同于表决权比例的说明"/>
              <w:tag w:val="_GBC_b18385c11aff4424b360bd0cb4f81376"/>
              <w:id w:val="-88852347"/>
              <w:lock w:val="sdtLocked"/>
            </w:sdtPr>
            <w:sdtEndPr/>
            <w:sdtContent>
              <w:r w:rsidR="0014424C">
                <w:rPr>
                  <w:rFonts w:cs="Arial"/>
                  <w:szCs w:val="21"/>
                </w:rPr>
                <w:t>无</w:t>
              </w:r>
            </w:sdtContent>
          </w:sdt>
        </w:p>
        <w:p w14:paraId="2D03DD2B" w14:textId="77777777" w:rsidR="0014424C" w:rsidRDefault="0014424C">
          <w:pPr>
            <w:rPr>
              <w:rFonts w:cs="Arial"/>
              <w:szCs w:val="21"/>
            </w:rPr>
          </w:pPr>
        </w:p>
        <w:p w14:paraId="084872E5" w14:textId="77777777" w:rsidR="0014424C" w:rsidRDefault="0014424C">
          <w:pPr>
            <w:rPr>
              <w:rFonts w:cs="Arial"/>
              <w:szCs w:val="21"/>
            </w:rPr>
          </w:pPr>
          <w:r>
            <w:rPr>
              <w:rFonts w:cs="Arial" w:hint="eastAsia"/>
              <w:szCs w:val="21"/>
            </w:rPr>
            <w:t>持有</w:t>
          </w:r>
          <w:r>
            <w:rPr>
              <w:rFonts w:cs="Arial"/>
              <w:szCs w:val="21"/>
            </w:rPr>
            <w:t>20%以下表决权但具有重大影响，或者持有20%或以上表决权但不具有重大影响的依据：</w:t>
          </w:r>
        </w:p>
        <w:p w14:paraId="5E6C7E7A" w14:textId="77777777" w:rsidR="0014424C" w:rsidRDefault="00B664AF">
          <w:pPr>
            <w:rPr>
              <w:rFonts w:cs="Arial"/>
              <w:szCs w:val="21"/>
            </w:rPr>
          </w:pPr>
          <w:sdt>
            <w:sdtPr>
              <w:rPr>
                <w:rFonts w:cs="Arial"/>
                <w:szCs w:val="21"/>
              </w:rPr>
              <w:alias w:val="持有20%以下表决权但具有重大影响，或者持有20%或以上表决权但不具有重大影响的依据"/>
              <w:tag w:val="_GBC_08a71a8c491f4c758da0748f7570fb28"/>
              <w:id w:val="-1909532094"/>
              <w:lock w:val="sdtLocked"/>
            </w:sdtPr>
            <w:sdtEndPr/>
            <w:sdtContent>
              <w:r w:rsidR="0014424C">
                <w:rPr>
                  <w:rFonts w:cs="Arial"/>
                  <w:szCs w:val="21"/>
                </w:rPr>
                <w:t>无</w:t>
              </w:r>
            </w:sdtContent>
          </w:sdt>
        </w:p>
        <w:p w14:paraId="033CEC82" w14:textId="77777777" w:rsidR="0014424C" w:rsidRDefault="0014424C">
          <w:pPr>
            <w:rPr>
              <w:rFonts w:cstheme="minorBidi"/>
              <w:szCs w:val="21"/>
            </w:rPr>
          </w:pPr>
        </w:p>
        <w:p w14:paraId="372B058D" w14:textId="5349F711" w:rsidR="00471D53" w:rsidRDefault="00B664AF" w:rsidP="0014424C">
          <w:pPr>
            <w:pStyle w:val="afffff8"/>
            <w:tabs>
              <w:tab w:val="left" w:pos="630"/>
            </w:tabs>
            <w:rPr>
              <w:rFonts w:cstheme="minorBidi"/>
              <w:szCs w:val="21"/>
            </w:rPr>
          </w:pPr>
        </w:p>
      </w:sdtContent>
    </w:sdt>
    <w:bookmarkEnd w:id="234" w:displacedByCustomXml="prev"/>
    <w:p w14:paraId="7ACF2DF0" w14:textId="77777777" w:rsidR="00471D53" w:rsidRDefault="004F686E" w:rsidP="004F686E">
      <w:pPr>
        <w:pStyle w:val="afffff8"/>
        <w:numPr>
          <w:ilvl w:val="3"/>
          <w:numId w:val="96"/>
        </w:numPr>
        <w:tabs>
          <w:tab w:val="left" w:pos="630"/>
        </w:tabs>
        <w:rPr>
          <w:rFonts w:ascii="宋体" w:hAnsi="宋体" w:cs="Arial"/>
          <w:szCs w:val="21"/>
        </w:rPr>
      </w:pPr>
      <w:r>
        <w:rPr>
          <w:rFonts w:ascii="宋体" w:hAnsi="宋体" w:cs="Arial" w:hint="eastAsia"/>
          <w:szCs w:val="21"/>
        </w:rPr>
        <w:t>重要合营企业的主要财务信息</w:t>
      </w:r>
    </w:p>
    <w:p w14:paraId="79224F56" w14:textId="77777777" w:rsidR="00471D53" w:rsidRDefault="00B664AF">
      <w:sdt>
        <w:sdtPr>
          <w:rPr>
            <w:rFonts w:hint="eastAsia"/>
            <w:b/>
          </w:rPr>
          <w:alias w:val="是否适用：重要合营企业的主要财务信息[双击切换]"/>
          <w:tag w:val="_GBC_6241cde567c342139ae6186afeea9fb4"/>
          <w:id w:val="867411436"/>
          <w:lock w:val="sdtContentLocked"/>
          <w:placeholder>
            <w:docPart w:val="GBC22222222222222222222222222222"/>
          </w:placeholder>
        </w:sdtPr>
        <w:sdtEndPr>
          <w:rPr>
            <w:b w:val="0"/>
          </w:rPr>
        </w:sdtEndPr>
        <w:sdtContent>
          <w:r w:rsidR="004F686E">
            <w:fldChar w:fldCharType="begin"/>
          </w:r>
          <w:r w:rsidR="004F686E">
            <w:instrText xml:space="preserve"> MACROBUTTON  SnrToggleCheckbox √适用 </w:instrText>
          </w:r>
          <w:r w:rsidR="004F686E">
            <w:fldChar w:fldCharType="end"/>
          </w:r>
          <w:r w:rsidR="004F686E">
            <w:fldChar w:fldCharType="begin"/>
          </w:r>
          <w:r w:rsidR="004F686E">
            <w:instrText xml:space="preserve"> MACROBUTTON  SnrToggleCheckbox □不适用 </w:instrText>
          </w:r>
          <w:r w:rsidR="004F686E">
            <w:fldChar w:fldCharType="end"/>
          </w:r>
        </w:sdtContent>
      </w:sdt>
    </w:p>
    <w:p w14:paraId="352FD47A" w14:textId="17DD1B6E" w:rsidR="00471D53" w:rsidRDefault="004F686E">
      <w:pPr>
        <w:jc w:val="right"/>
      </w:pPr>
      <w:r>
        <w:rPr>
          <w:rFonts w:hint="eastAsia"/>
        </w:rPr>
        <w:t>单位：</w:t>
      </w:r>
      <w:sdt>
        <w:sdtPr>
          <w:rPr>
            <w:rFonts w:hint="eastAsia"/>
          </w:rPr>
          <w:alias w:val="单位：财务附注：重要合营企业的主要财务信息"/>
          <w:tag w:val="_GBC_c3e62c0d62494c0bb865a164a263a4c4"/>
          <w:id w:val="-10220101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重要合营企业的主要财务信息"/>
          <w:tag w:val="_GBC_dbf325e8ec10449ba127b878292f7bb1"/>
          <w:id w:val="98767008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sdt>
      <w:sdtPr>
        <w:alias w:val="模块:重要合营企业的主要财务信息"/>
        <w:tag w:val="_GBC_10d60417c84d41c1b3386073557d9d05"/>
        <w:id w:val="-2057150484"/>
        <w:lock w:val="sdtLocked"/>
        <w:placeholder>
          <w:docPart w:val="GBC22222222222222222222222222222"/>
        </w:placeholder>
      </w:sdtPr>
      <w:sdtEndPr/>
      <w:sdtContent>
        <w:tbl>
          <w:tblPr>
            <w:tblStyle w:val="g4"/>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16"/>
            <w:gridCol w:w="1756"/>
            <w:gridCol w:w="1646"/>
            <w:gridCol w:w="1756"/>
            <w:gridCol w:w="1646"/>
          </w:tblGrid>
          <w:tr w:rsidR="00471D53" w14:paraId="65879916" w14:textId="77777777" w:rsidTr="00471D53">
            <w:trPr>
              <w:trHeight w:val="120"/>
            </w:trPr>
            <w:tc>
              <w:tcPr>
                <w:tcW w:w="1475" w:type="pct"/>
                <w:vMerge w:val="restart"/>
                <w:tcBorders>
                  <w:top w:val="single" w:sz="4" w:space="0" w:color="auto"/>
                  <w:left w:val="single" w:sz="4" w:space="0" w:color="auto"/>
                  <w:bottom w:val="single" w:sz="6" w:space="0" w:color="auto"/>
                  <w:right w:val="single" w:sz="6" w:space="0" w:color="auto"/>
                </w:tcBorders>
                <w:shd w:val="clear" w:color="auto" w:fill="auto"/>
              </w:tcPr>
              <w:p w14:paraId="10478F3A" w14:textId="77777777" w:rsidR="00471D53" w:rsidRDefault="00B664AF" w:rsidP="00471D53">
                <w:pPr>
                  <w:jc w:val="center"/>
                  <w:rPr>
                    <w:rFonts w:cs="Arial"/>
                    <w:szCs w:val="21"/>
                  </w:rPr>
                </w:pPr>
              </w:p>
            </w:tc>
            <w:sdt>
              <w:sdtPr>
                <w:rPr>
                  <w:rFonts w:cs="Arial" w:hint="eastAsia"/>
                  <w:szCs w:val="21"/>
                  <w:lang w:val="en-GB"/>
                </w:rPr>
                <w:alias w:val="重要合营企业的主要财务信息-发生期间"/>
                <w:tag w:val="_GBC_da11830a5c6b42c39530416552c12c01"/>
                <w:id w:val="-1967659062"/>
                <w:lock w:val="sdtLocked"/>
              </w:sdtPr>
              <w:sdtEndPr/>
              <w:sdtContent>
                <w:tc>
                  <w:tcPr>
                    <w:tcW w:w="1880" w:type="pct"/>
                    <w:gridSpan w:val="2"/>
                    <w:tcBorders>
                      <w:top w:val="single" w:sz="4" w:space="0" w:color="auto"/>
                      <w:left w:val="single" w:sz="6" w:space="0" w:color="auto"/>
                      <w:bottom w:val="single" w:sz="6" w:space="0" w:color="auto"/>
                      <w:right w:val="single" w:sz="6" w:space="0" w:color="auto"/>
                    </w:tcBorders>
                    <w:shd w:val="clear" w:color="auto" w:fill="auto"/>
                    <w:vAlign w:val="center"/>
                  </w:tcPr>
                  <w:p w14:paraId="244E5992" w14:textId="187208A1" w:rsidR="00471D53" w:rsidRDefault="004F686E" w:rsidP="00471D53">
                    <w:pPr>
                      <w:jc w:val="center"/>
                      <w:rPr>
                        <w:rFonts w:cs="Arial"/>
                        <w:szCs w:val="21"/>
                        <w:lang w:val="en-GB"/>
                      </w:rPr>
                    </w:pPr>
                    <w:r>
                      <w:rPr>
                        <w:rFonts w:cs="Arial" w:hint="eastAsia"/>
                        <w:szCs w:val="21"/>
                        <w:lang w:val="en-GB"/>
                      </w:rPr>
                      <w:t>期末余额</w:t>
                    </w:r>
                    <w:r>
                      <w:rPr>
                        <w:rFonts w:cs="Arial"/>
                        <w:szCs w:val="21"/>
                      </w:rPr>
                      <w:t>/</w:t>
                    </w:r>
                    <w:r>
                      <w:rPr>
                        <w:rFonts w:cs="Arial" w:hint="eastAsia"/>
                        <w:szCs w:val="21"/>
                        <w:lang w:val="en-GB"/>
                      </w:rPr>
                      <w:t>本期发生额</w:t>
                    </w:r>
                  </w:p>
                </w:tc>
              </w:sdtContent>
            </w:sdt>
            <w:sdt>
              <w:sdtPr>
                <w:rPr>
                  <w:rFonts w:cs="Arial" w:hint="eastAsia"/>
                  <w:szCs w:val="21"/>
                  <w:lang w:val="en-GB"/>
                </w:rPr>
                <w:alias w:val="重要合营企业的主要财务信息-发生期间"/>
                <w:tag w:val="_GBC_8b48c7a93d07464a88248f7e552371a3"/>
                <w:id w:val="-1615900751"/>
                <w:lock w:val="sdtLocked"/>
              </w:sdtPr>
              <w:sdtEndPr/>
              <w:sdtContent>
                <w:tc>
                  <w:tcPr>
                    <w:tcW w:w="1644" w:type="pct"/>
                    <w:gridSpan w:val="2"/>
                    <w:tcBorders>
                      <w:top w:val="single" w:sz="4" w:space="0" w:color="auto"/>
                      <w:left w:val="single" w:sz="6" w:space="0" w:color="auto"/>
                      <w:bottom w:val="single" w:sz="6" w:space="0" w:color="auto"/>
                      <w:right w:val="single" w:sz="6" w:space="0" w:color="auto"/>
                    </w:tcBorders>
                    <w:shd w:val="clear" w:color="auto" w:fill="auto"/>
                    <w:vAlign w:val="center"/>
                  </w:tcPr>
                  <w:p w14:paraId="518AC6CF" w14:textId="69C1CEC5" w:rsidR="00471D53" w:rsidRDefault="004F686E" w:rsidP="00471D53">
                    <w:pPr>
                      <w:jc w:val="center"/>
                      <w:rPr>
                        <w:rFonts w:cs="Arial"/>
                        <w:szCs w:val="21"/>
                        <w:lang w:val="en-GB"/>
                      </w:rPr>
                    </w:pPr>
                    <w:r>
                      <w:rPr>
                        <w:rFonts w:cs="Arial" w:hint="eastAsia"/>
                        <w:szCs w:val="21"/>
                        <w:lang w:val="en-GB"/>
                      </w:rPr>
                      <w:t>期初余额</w:t>
                    </w:r>
                    <w:r>
                      <w:rPr>
                        <w:rFonts w:cs="Arial"/>
                        <w:szCs w:val="21"/>
                      </w:rPr>
                      <w:t>/</w:t>
                    </w:r>
                    <w:r>
                      <w:rPr>
                        <w:rFonts w:cs="Arial" w:hint="eastAsia"/>
                        <w:szCs w:val="21"/>
                        <w:lang w:val="en-GB"/>
                      </w:rPr>
                      <w:t>上期发生额</w:t>
                    </w:r>
                  </w:p>
                </w:tc>
              </w:sdtContent>
            </w:sdt>
          </w:tr>
          <w:tr w:rsidR="00471D53" w14:paraId="5B431761" w14:textId="77777777" w:rsidTr="00471D53">
            <w:trPr>
              <w:trHeight w:val="120"/>
            </w:trPr>
            <w:tc>
              <w:tcPr>
                <w:tcW w:w="1475" w:type="pct"/>
                <w:vMerge/>
                <w:tcBorders>
                  <w:top w:val="single" w:sz="4" w:space="0" w:color="auto"/>
                  <w:left w:val="single" w:sz="4" w:space="0" w:color="auto"/>
                  <w:bottom w:val="single" w:sz="6" w:space="0" w:color="auto"/>
                  <w:right w:val="single" w:sz="6" w:space="0" w:color="auto"/>
                </w:tcBorders>
                <w:shd w:val="clear" w:color="auto" w:fill="auto"/>
                <w:vAlign w:val="center"/>
              </w:tcPr>
              <w:p w14:paraId="1E08CCD1" w14:textId="77777777" w:rsidR="00471D53" w:rsidRDefault="00B664AF" w:rsidP="00471D53">
                <w:pPr>
                  <w:rPr>
                    <w:rFonts w:cs="Arial"/>
                    <w:szCs w:val="21"/>
                  </w:rPr>
                </w:pPr>
              </w:p>
            </w:tc>
            <w:sdt>
              <w:sdtPr>
                <w:rPr>
                  <w:rFonts w:hint="eastAsia"/>
                  <w:szCs w:val="21"/>
                </w:rPr>
                <w:alias w:val="重要合营企业的主要财务信息明细-企业名称"/>
                <w:tag w:val="_GBC_e077e2339b1f4658bf544e31ba3de781"/>
                <w:id w:val="-1833362049"/>
                <w:lock w:val="sdtLocked"/>
              </w:sdtPr>
              <w:sdtEndPr/>
              <w:sdtContent>
                <w:tc>
                  <w:tcPr>
                    <w:tcW w:w="970" w:type="pct"/>
                    <w:tcBorders>
                      <w:top w:val="single" w:sz="6" w:space="0" w:color="auto"/>
                      <w:left w:val="single" w:sz="6" w:space="0" w:color="auto"/>
                      <w:bottom w:val="single" w:sz="4" w:space="0" w:color="auto"/>
                      <w:right w:val="single" w:sz="6" w:space="0" w:color="auto"/>
                    </w:tcBorders>
                  </w:tcPr>
                  <w:p w14:paraId="52A63003" w14:textId="77777777" w:rsidR="00471D53" w:rsidRDefault="004F686E" w:rsidP="00471D53">
                    <w:pPr>
                      <w:jc w:val="center"/>
                      <w:rPr>
                        <w:szCs w:val="21"/>
                      </w:rPr>
                    </w:pPr>
                    <w:r>
                      <w:rPr>
                        <w:rFonts w:hint="eastAsia"/>
                        <w:szCs w:val="21"/>
                      </w:rPr>
                      <w:t>京城海通公司</w:t>
                    </w:r>
                  </w:p>
                </w:tc>
              </w:sdtContent>
            </w:sdt>
            <w:sdt>
              <w:sdtPr>
                <w:rPr>
                  <w:rFonts w:hint="eastAsia"/>
                  <w:szCs w:val="21"/>
                </w:rPr>
                <w:alias w:val="重要合营企业的主要财务信息明细-企业名称"/>
                <w:tag w:val="_GBC_e077e2339b1f4658bf544e31ba3de781"/>
                <w:id w:val="-696231678"/>
                <w:lock w:val="sdtLocked"/>
              </w:sdtPr>
              <w:sdtEndPr/>
              <w:sdtContent>
                <w:tc>
                  <w:tcPr>
                    <w:tcW w:w="910" w:type="pct"/>
                    <w:tcBorders>
                      <w:top w:val="single" w:sz="6" w:space="0" w:color="auto"/>
                      <w:left w:val="single" w:sz="6" w:space="0" w:color="auto"/>
                      <w:bottom w:val="single" w:sz="4" w:space="0" w:color="auto"/>
                      <w:right w:val="single" w:sz="6" w:space="0" w:color="auto"/>
                    </w:tcBorders>
                  </w:tcPr>
                  <w:p w14:paraId="1C8A7227" w14:textId="77777777" w:rsidR="00471D53" w:rsidRDefault="004F686E" w:rsidP="00471D53">
                    <w:pPr>
                      <w:jc w:val="center"/>
                      <w:rPr>
                        <w:szCs w:val="21"/>
                      </w:rPr>
                    </w:pPr>
                    <w:r w:rsidRPr="00DC2267">
                      <w:rPr>
                        <w:rFonts w:hint="eastAsia"/>
                        <w:szCs w:val="21"/>
                      </w:rPr>
                      <w:t>京城海通</w:t>
                    </w:r>
                    <w:r>
                      <w:rPr>
                        <w:rFonts w:hint="eastAsia"/>
                        <w:szCs w:val="21"/>
                      </w:rPr>
                      <w:t>公司</w:t>
                    </w:r>
                  </w:p>
                </w:tc>
              </w:sdtContent>
            </w:sdt>
            <w:sdt>
              <w:sdtPr>
                <w:rPr>
                  <w:rFonts w:hint="eastAsia"/>
                  <w:szCs w:val="21"/>
                </w:rPr>
                <w:alias w:val="重要合营企业的主要财务信息明细-企业名称"/>
                <w:tag w:val="_GBC_91821fbf821f4c84aab1cef27fefc9c3"/>
                <w:id w:val="10891851"/>
                <w:lock w:val="sdtLocked"/>
              </w:sdtPr>
              <w:sdtEndPr/>
              <w:sdtContent>
                <w:tc>
                  <w:tcPr>
                    <w:tcW w:w="970" w:type="pct"/>
                    <w:tcBorders>
                      <w:top w:val="single" w:sz="6" w:space="0" w:color="auto"/>
                      <w:left w:val="single" w:sz="6" w:space="0" w:color="auto"/>
                      <w:bottom w:val="single" w:sz="6" w:space="0" w:color="auto"/>
                      <w:right w:val="single" w:sz="6" w:space="0" w:color="auto"/>
                    </w:tcBorders>
                  </w:tcPr>
                  <w:p w14:paraId="6881596C" w14:textId="77777777" w:rsidR="00471D53" w:rsidRDefault="004F686E" w:rsidP="00471D53">
                    <w:pPr>
                      <w:jc w:val="center"/>
                      <w:rPr>
                        <w:szCs w:val="21"/>
                      </w:rPr>
                    </w:pPr>
                    <w:r w:rsidRPr="00DC2267">
                      <w:rPr>
                        <w:rFonts w:hint="eastAsia"/>
                        <w:szCs w:val="21"/>
                      </w:rPr>
                      <w:t>京城海通</w:t>
                    </w:r>
                    <w:r>
                      <w:rPr>
                        <w:rFonts w:hint="eastAsia"/>
                        <w:szCs w:val="21"/>
                      </w:rPr>
                      <w:t>公司</w:t>
                    </w:r>
                  </w:p>
                </w:tc>
              </w:sdtContent>
            </w:sdt>
            <w:sdt>
              <w:sdtPr>
                <w:rPr>
                  <w:rFonts w:hint="eastAsia"/>
                  <w:szCs w:val="21"/>
                </w:rPr>
                <w:alias w:val="重要合营企业的主要财务信息明细-企业名称"/>
                <w:tag w:val="_GBC_91821fbf821f4c84aab1cef27fefc9c3"/>
                <w:id w:val="-1449158946"/>
                <w:lock w:val="sdtLocked"/>
              </w:sdtPr>
              <w:sdtEndPr/>
              <w:sdtContent>
                <w:tc>
                  <w:tcPr>
                    <w:tcW w:w="674" w:type="pct"/>
                    <w:tcBorders>
                      <w:top w:val="single" w:sz="6" w:space="0" w:color="auto"/>
                      <w:left w:val="single" w:sz="6" w:space="0" w:color="auto"/>
                      <w:bottom w:val="single" w:sz="6" w:space="0" w:color="auto"/>
                      <w:right w:val="single" w:sz="6" w:space="0" w:color="auto"/>
                    </w:tcBorders>
                  </w:tcPr>
                  <w:p w14:paraId="692B8CAC" w14:textId="77777777" w:rsidR="00471D53" w:rsidRDefault="004F686E" w:rsidP="00471D53">
                    <w:pPr>
                      <w:jc w:val="center"/>
                      <w:rPr>
                        <w:szCs w:val="21"/>
                      </w:rPr>
                    </w:pPr>
                    <w:r w:rsidRPr="00DC2267">
                      <w:rPr>
                        <w:rFonts w:hint="eastAsia"/>
                        <w:szCs w:val="21"/>
                      </w:rPr>
                      <w:t>京城海通</w:t>
                    </w:r>
                    <w:r>
                      <w:rPr>
                        <w:rFonts w:hint="eastAsia"/>
                        <w:szCs w:val="21"/>
                      </w:rPr>
                      <w:t>公司</w:t>
                    </w:r>
                  </w:p>
                </w:tc>
              </w:sdtContent>
            </w:sdt>
          </w:tr>
          <w:tr w:rsidR="00471D53" w14:paraId="7BA0086E" w14:textId="77777777" w:rsidTr="00471D53">
            <w:sdt>
              <w:sdtPr>
                <w:tag w:val="_PLD_9ffd789dbb7c4e31a572484ad2a45296"/>
                <w:id w:val="496705105"/>
                <w:lock w:val="sdtLocked"/>
              </w:sdtPr>
              <w:sdtEndPr/>
              <w:sdtContent>
                <w:tc>
                  <w:tcPr>
                    <w:tcW w:w="1475" w:type="pct"/>
                    <w:tcBorders>
                      <w:top w:val="single" w:sz="6" w:space="0" w:color="auto"/>
                      <w:left w:val="single" w:sz="4" w:space="0" w:color="auto"/>
                      <w:bottom w:val="single" w:sz="6" w:space="0" w:color="auto"/>
                      <w:right w:val="single" w:sz="6" w:space="0" w:color="auto"/>
                    </w:tcBorders>
                    <w:shd w:val="clear" w:color="auto" w:fill="auto"/>
                    <w:vAlign w:val="bottom"/>
                  </w:tcPr>
                  <w:p w14:paraId="37E4C486" w14:textId="77777777" w:rsidR="00471D53" w:rsidRDefault="004F686E" w:rsidP="00471D53">
                    <w:pPr>
                      <w:rPr>
                        <w:rFonts w:cs="Arial"/>
                        <w:color w:val="000000"/>
                        <w:szCs w:val="21"/>
                      </w:rPr>
                    </w:pPr>
                    <w:r>
                      <w:rPr>
                        <w:rFonts w:cs="Arial" w:hint="eastAsia"/>
                        <w:color w:val="000000"/>
                        <w:szCs w:val="21"/>
                        <w:lang w:val="en-GB"/>
                      </w:rPr>
                      <w:t>流动资产</w:t>
                    </w:r>
                  </w:p>
                </w:tc>
              </w:sdtContent>
            </w:sdt>
            <w:tc>
              <w:tcPr>
                <w:tcW w:w="970" w:type="pct"/>
                <w:tcBorders>
                  <w:top w:val="single" w:sz="6" w:space="0" w:color="auto"/>
                  <w:left w:val="single" w:sz="6" w:space="0" w:color="auto"/>
                  <w:bottom w:val="single" w:sz="4" w:space="0" w:color="auto"/>
                  <w:right w:val="single" w:sz="6" w:space="0" w:color="auto"/>
                </w:tcBorders>
                <w:vAlign w:val="center"/>
              </w:tcPr>
              <w:p w14:paraId="5843836D" w14:textId="77777777" w:rsidR="00471D53" w:rsidRDefault="004F686E" w:rsidP="00471D53">
                <w:pPr>
                  <w:jc w:val="right"/>
                  <w:rPr>
                    <w:rFonts w:cs="Calibri"/>
                    <w:sz w:val="22"/>
                  </w:rPr>
                </w:pPr>
                <w:r w:rsidRPr="000B6F60">
                  <w:rPr>
                    <w:rFonts w:cs="Calibri"/>
                    <w:sz w:val="22"/>
                  </w:rPr>
                  <w:t>48,650,011.85</w:t>
                </w:r>
              </w:p>
            </w:tc>
            <w:tc>
              <w:tcPr>
                <w:tcW w:w="910" w:type="pct"/>
                <w:tcBorders>
                  <w:top w:val="single" w:sz="6" w:space="0" w:color="auto"/>
                  <w:left w:val="single" w:sz="6" w:space="0" w:color="auto"/>
                  <w:bottom w:val="single" w:sz="4" w:space="0" w:color="auto"/>
                  <w:right w:val="single" w:sz="6" w:space="0" w:color="auto"/>
                </w:tcBorders>
              </w:tcPr>
              <w:p w14:paraId="3115E2C3" w14:textId="77777777" w:rsidR="00471D53" w:rsidRDefault="00B664AF" w:rsidP="00471D53">
                <w:pPr>
                  <w:jc w:val="right"/>
                  <w:rPr>
                    <w:szCs w:val="21"/>
                  </w:rPr>
                </w:pPr>
              </w:p>
            </w:tc>
            <w:tc>
              <w:tcPr>
                <w:tcW w:w="970" w:type="pct"/>
                <w:tcBorders>
                  <w:top w:val="single" w:sz="6" w:space="0" w:color="auto"/>
                  <w:left w:val="single" w:sz="6" w:space="0" w:color="auto"/>
                  <w:bottom w:val="single" w:sz="6" w:space="0" w:color="auto"/>
                  <w:right w:val="single" w:sz="6" w:space="0" w:color="auto"/>
                </w:tcBorders>
                <w:vAlign w:val="center"/>
              </w:tcPr>
              <w:p w14:paraId="2FA9177A" w14:textId="77777777" w:rsidR="00471D53" w:rsidRDefault="004F686E" w:rsidP="00471D53">
                <w:pPr>
                  <w:jc w:val="right"/>
                  <w:rPr>
                    <w:rFonts w:cs="Calibri"/>
                    <w:sz w:val="22"/>
                  </w:rPr>
                </w:pPr>
                <w:r>
                  <w:rPr>
                    <w:rFonts w:hint="eastAsia"/>
                    <w:sz w:val="22"/>
                  </w:rPr>
                  <w:t>20,009,148.51</w:t>
                </w:r>
              </w:p>
            </w:tc>
            <w:tc>
              <w:tcPr>
                <w:tcW w:w="674" w:type="pct"/>
                <w:tcBorders>
                  <w:top w:val="single" w:sz="6" w:space="0" w:color="auto"/>
                  <w:left w:val="single" w:sz="6" w:space="0" w:color="auto"/>
                  <w:bottom w:val="single" w:sz="6" w:space="0" w:color="auto"/>
                  <w:right w:val="single" w:sz="6" w:space="0" w:color="auto"/>
                </w:tcBorders>
              </w:tcPr>
              <w:p w14:paraId="04F6657C" w14:textId="77777777" w:rsidR="00471D53" w:rsidRDefault="00B664AF" w:rsidP="00471D53">
                <w:pPr>
                  <w:jc w:val="right"/>
                  <w:rPr>
                    <w:szCs w:val="21"/>
                  </w:rPr>
                </w:pPr>
              </w:p>
            </w:tc>
          </w:tr>
          <w:tr w:rsidR="00471D53" w14:paraId="0D1123A0" w14:textId="77777777" w:rsidTr="00471D53">
            <w:sdt>
              <w:sdtPr>
                <w:tag w:val="_PLD_4a1cb8726d22436e8ba85b1197592f0a"/>
                <w:id w:val="1419441979"/>
                <w:lock w:val="sdtLocked"/>
              </w:sdtPr>
              <w:sdtEndPr/>
              <w:sdtContent>
                <w:tc>
                  <w:tcPr>
                    <w:tcW w:w="1475" w:type="pct"/>
                    <w:tcBorders>
                      <w:top w:val="single" w:sz="6" w:space="0" w:color="auto"/>
                      <w:left w:val="single" w:sz="4" w:space="0" w:color="auto"/>
                      <w:bottom w:val="single" w:sz="6" w:space="0" w:color="auto"/>
                      <w:right w:val="single" w:sz="6" w:space="0" w:color="auto"/>
                    </w:tcBorders>
                    <w:shd w:val="clear" w:color="auto" w:fill="auto"/>
                    <w:vAlign w:val="bottom"/>
                  </w:tcPr>
                  <w:p w14:paraId="4570619E" w14:textId="77777777" w:rsidR="00471D53" w:rsidRDefault="004F686E" w:rsidP="00471D53">
                    <w:pPr>
                      <w:ind w:firstLineChars="200" w:firstLine="420"/>
                    </w:pPr>
                    <w:r>
                      <w:rPr>
                        <w:rFonts w:hint="eastAsia"/>
                      </w:rPr>
                      <w:t>其中：现金和现金等价物</w:t>
                    </w:r>
                  </w:p>
                </w:tc>
              </w:sdtContent>
            </w:sdt>
            <w:tc>
              <w:tcPr>
                <w:tcW w:w="970" w:type="pct"/>
                <w:tcBorders>
                  <w:top w:val="single" w:sz="6" w:space="0" w:color="auto"/>
                  <w:left w:val="single" w:sz="6" w:space="0" w:color="auto"/>
                  <w:bottom w:val="single" w:sz="4" w:space="0" w:color="auto"/>
                  <w:right w:val="single" w:sz="6" w:space="0" w:color="auto"/>
                </w:tcBorders>
                <w:vAlign w:val="center"/>
              </w:tcPr>
              <w:p w14:paraId="0461C36C" w14:textId="77777777" w:rsidR="00471D53" w:rsidRDefault="004F686E" w:rsidP="00471D53">
                <w:pPr>
                  <w:jc w:val="right"/>
                  <w:rPr>
                    <w:rFonts w:cs="Calibri"/>
                    <w:sz w:val="22"/>
                  </w:rPr>
                </w:pPr>
                <w:r w:rsidRPr="000B6F60">
                  <w:rPr>
                    <w:rFonts w:cs="Calibri"/>
                    <w:sz w:val="22"/>
                  </w:rPr>
                  <w:t>41,920,332.20</w:t>
                </w:r>
              </w:p>
            </w:tc>
            <w:tc>
              <w:tcPr>
                <w:tcW w:w="910" w:type="pct"/>
                <w:tcBorders>
                  <w:top w:val="single" w:sz="6" w:space="0" w:color="auto"/>
                  <w:left w:val="single" w:sz="6" w:space="0" w:color="auto"/>
                  <w:bottom w:val="single" w:sz="4" w:space="0" w:color="auto"/>
                  <w:right w:val="single" w:sz="6" w:space="0" w:color="auto"/>
                </w:tcBorders>
              </w:tcPr>
              <w:p w14:paraId="3592B0A5" w14:textId="77777777" w:rsidR="00471D53" w:rsidRDefault="00B664AF" w:rsidP="00471D53">
                <w:pPr>
                  <w:jc w:val="right"/>
                  <w:rPr>
                    <w:szCs w:val="21"/>
                  </w:rPr>
                </w:pPr>
              </w:p>
            </w:tc>
            <w:tc>
              <w:tcPr>
                <w:tcW w:w="970" w:type="pct"/>
                <w:tcBorders>
                  <w:top w:val="single" w:sz="6" w:space="0" w:color="auto"/>
                  <w:left w:val="single" w:sz="6" w:space="0" w:color="auto"/>
                  <w:bottom w:val="single" w:sz="6" w:space="0" w:color="auto"/>
                  <w:right w:val="single" w:sz="6" w:space="0" w:color="auto"/>
                </w:tcBorders>
                <w:vAlign w:val="center"/>
              </w:tcPr>
              <w:p w14:paraId="578F7C70" w14:textId="77777777" w:rsidR="00471D53" w:rsidRDefault="004F686E" w:rsidP="00471D53">
                <w:pPr>
                  <w:jc w:val="right"/>
                  <w:rPr>
                    <w:rFonts w:cs="Calibri"/>
                    <w:sz w:val="22"/>
                  </w:rPr>
                </w:pPr>
                <w:r>
                  <w:rPr>
                    <w:rFonts w:hint="eastAsia"/>
                    <w:sz w:val="22"/>
                  </w:rPr>
                  <w:t>10,686,538.63</w:t>
                </w:r>
              </w:p>
            </w:tc>
            <w:tc>
              <w:tcPr>
                <w:tcW w:w="674" w:type="pct"/>
                <w:tcBorders>
                  <w:top w:val="single" w:sz="6" w:space="0" w:color="auto"/>
                  <w:left w:val="single" w:sz="6" w:space="0" w:color="auto"/>
                  <w:bottom w:val="single" w:sz="6" w:space="0" w:color="auto"/>
                  <w:right w:val="single" w:sz="6" w:space="0" w:color="auto"/>
                </w:tcBorders>
              </w:tcPr>
              <w:p w14:paraId="36A5AE01" w14:textId="77777777" w:rsidR="00471D53" w:rsidRDefault="00B664AF" w:rsidP="00471D53">
                <w:pPr>
                  <w:jc w:val="right"/>
                  <w:rPr>
                    <w:szCs w:val="21"/>
                  </w:rPr>
                </w:pPr>
              </w:p>
            </w:tc>
          </w:tr>
          <w:tr w:rsidR="00471D53" w14:paraId="38FB8479" w14:textId="77777777" w:rsidTr="00471D53">
            <w:sdt>
              <w:sdtPr>
                <w:tag w:val="_PLD_8daba09b5ed94a8aa6505b7dca05cf2d"/>
                <w:id w:val="278075808"/>
                <w:lock w:val="sdtLocked"/>
              </w:sdtPr>
              <w:sdtEndPr/>
              <w:sdtContent>
                <w:tc>
                  <w:tcPr>
                    <w:tcW w:w="1475" w:type="pct"/>
                    <w:tcBorders>
                      <w:top w:val="single" w:sz="6" w:space="0" w:color="auto"/>
                      <w:left w:val="single" w:sz="4" w:space="0" w:color="auto"/>
                      <w:bottom w:val="single" w:sz="6" w:space="0" w:color="auto"/>
                      <w:right w:val="single" w:sz="6" w:space="0" w:color="auto"/>
                    </w:tcBorders>
                    <w:shd w:val="clear" w:color="auto" w:fill="auto"/>
                    <w:vAlign w:val="bottom"/>
                  </w:tcPr>
                  <w:p w14:paraId="65905AA2" w14:textId="77777777" w:rsidR="00471D53" w:rsidRDefault="004F686E" w:rsidP="00471D53">
                    <w:pPr>
                      <w:rPr>
                        <w:rFonts w:cs="Arial"/>
                        <w:color w:val="000000"/>
                        <w:szCs w:val="21"/>
                      </w:rPr>
                    </w:pPr>
                    <w:r>
                      <w:rPr>
                        <w:rFonts w:cs="Arial" w:hint="eastAsia"/>
                        <w:color w:val="000000"/>
                        <w:szCs w:val="21"/>
                        <w:lang w:val="en-GB"/>
                      </w:rPr>
                      <w:t>非流动资产</w:t>
                    </w:r>
                  </w:p>
                </w:tc>
              </w:sdtContent>
            </w:sdt>
            <w:tc>
              <w:tcPr>
                <w:tcW w:w="970" w:type="pct"/>
                <w:tcBorders>
                  <w:top w:val="single" w:sz="6" w:space="0" w:color="auto"/>
                  <w:left w:val="single" w:sz="6" w:space="0" w:color="auto"/>
                  <w:bottom w:val="single" w:sz="4" w:space="0" w:color="auto"/>
                  <w:right w:val="single" w:sz="6" w:space="0" w:color="auto"/>
                </w:tcBorders>
                <w:vAlign w:val="center"/>
              </w:tcPr>
              <w:p w14:paraId="0CDFD7A5" w14:textId="77777777" w:rsidR="00471D53" w:rsidRDefault="004F686E" w:rsidP="00471D53">
                <w:pPr>
                  <w:jc w:val="right"/>
                  <w:rPr>
                    <w:rFonts w:cs="Calibri"/>
                    <w:sz w:val="22"/>
                  </w:rPr>
                </w:pPr>
                <w:r w:rsidRPr="000B6F60">
                  <w:rPr>
                    <w:rFonts w:cs="Calibri"/>
                    <w:sz w:val="22"/>
                  </w:rPr>
                  <w:t>386,757,221.62</w:t>
                </w:r>
              </w:p>
            </w:tc>
            <w:tc>
              <w:tcPr>
                <w:tcW w:w="910" w:type="pct"/>
                <w:tcBorders>
                  <w:top w:val="single" w:sz="6" w:space="0" w:color="auto"/>
                  <w:left w:val="single" w:sz="6" w:space="0" w:color="auto"/>
                  <w:bottom w:val="single" w:sz="4" w:space="0" w:color="auto"/>
                  <w:right w:val="single" w:sz="6" w:space="0" w:color="auto"/>
                </w:tcBorders>
              </w:tcPr>
              <w:p w14:paraId="0260826D" w14:textId="77777777" w:rsidR="00471D53" w:rsidRDefault="00B664AF" w:rsidP="00471D53">
                <w:pPr>
                  <w:jc w:val="right"/>
                  <w:rPr>
                    <w:szCs w:val="21"/>
                  </w:rPr>
                </w:pPr>
              </w:p>
            </w:tc>
            <w:tc>
              <w:tcPr>
                <w:tcW w:w="970" w:type="pct"/>
                <w:tcBorders>
                  <w:top w:val="single" w:sz="6" w:space="0" w:color="auto"/>
                  <w:left w:val="single" w:sz="6" w:space="0" w:color="auto"/>
                  <w:bottom w:val="single" w:sz="6" w:space="0" w:color="auto"/>
                  <w:right w:val="single" w:sz="6" w:space="0" w:color="auto"/>
                </w:tcBorders>
                <w:vAlign w:val="center"/>
              </w:tcPr>
              <w:p w14:paraId="4B784CE3" w14:textId="77777777" w:rsidR="00471D53" w:rsidRDefault="004F686E" w:rsidP="00471D53">
                <w:pPr>
                  <w:jc w:val="right"/>
                  <w:rPr>
                    <w:rFonts w:cs="Calibri"/>
                    <w:sz w:val="22"/>
                  </w:rPr>
                </w:pPr>
                <w:r>
                  <w:rPr>
                    <w:rFonts w:hint="eastAsia"/>
                    <w:sz w:val="22"/>
                  </w:rPr>
                  <w:t>398,853,966.29</w:t>
                </w:r>
              </w:p>
            </w:tc>
            <w:tc>
              <w:tcPr>
                <w:tcW w:w="674" w:type="pct"/>
                <w:tcBorders>
                  <w:top w:val="single" w:sz="6" w:space="0" w:color="auto"/>
                  <w:left w:val="single" w:sz="6" w:space="0" w:color="auto"/>
                  <w:bottom w:val="single" w:sz="6" w:space="0" w:color="auto"/>
                  <w:right w:val="single" w:sz="6" w:space="0" w:color="auto"/>
                </w:tcBorders>
              </w:tcPr>
              <w:p w14:paraId="612A90A2" w14:textId="77777777" w:rsidR="00471D53" w:rsidRDefault="00B664AF" w:rsidP="00471D53">
                <w:pPr>
                  <w:jc w:val="right"/>
                  <w:rPr>
                    <w:szCs w:val="21"/>
                  </w:rPr>
                </w:pPr>
              </w:p>
            </w:tc>
          </w:tr>
          <w:tr w:rsidR="00471D53" w14:paraId="2AEA0650" w14:textId="77777777" w:rsidTr="00471D53">
            <w:sdt>
              <w:sdtPr>
                <w:tag w:val="_PLD_209fecb4fe724c6b82edb31261c6cd74"/>
                <w:id w:val="1563518370"/>
                <w:lock w:val="sdtLocked"/>
              </w:sdtPr>
              <w:sdtEndPr/>
              <w:sdtContent>
                <w:tc>
                  <w:tcPr>
                    <w:tcW w:w="1475" w:type="pct"/>
                    <w:tcBorders>
                      <w:top w:val="single" w:sz="6" w:space="0" w:color="auto"/>
                      <w:left w:val="single" w:sz="4" w:space="0" w:color="auto"/>
                      <w:bottom w:val="single" w:sz="6" w:space="0" w:color="auto"/>
                      <w:right w:val="single" w:sz="6" w:space="0" w:color="auto"/>
                    </w:tcBorders>
                    <w:shd w:val="clear" w:color="auto" w:fill="auto"/>
                    <w:vAlign w:val="bottom"/>
                  </w:tcPr>
                  <w:p w14:paraId="2415E5D5" w14:textId="77777777" w:rsidR="00471D53" w:rsidRDefault="004F686E" w:rsidP="00471D53">
                    <w:pPr>
                      <w:rPr>
                        <w:rFonts w:cs="Arial"/>
                        <w:color w:val="000000"/>
                        <w:szCs w:val="21"/>
                      </w:rPr>
                    </w:pPr>
                    <w:r>
                      <w:rPr>
                        <w:rFonts w:cs="Arial" w:hint="eastAsia"/>
                        <w:color w:val="000000"/>
                        <w:szCs w:val="21"/>
                        <w:lang w:val="en-GB"/>
                      </w:rPr>
                      <w:t>资产合计</w:t>
                    </w:r>
                  </w:p>
                </w:tc>
              </w:sdtContent>
            </w:sdt>
            <w:tc>
              <w:tcPr>
                <w:tcW w:w="970" w:type="pct"/>
                <w:tcBorders>
                  <w:top w:val="single" w:sz="6" w:space="0" w:color="auto"/>
                  <w:left w:val="single" w:sz="6" w:space="0" w:color="auto"/>
                  <w:bottom w:val="single" w:sz="4" w:space="0" w:color="auto"/>
                  <w:right w:val="single" w:sz="6" w:space="0" w:color="auto"/>
                </w:tcBorders>
                <w:vAlign w:val="center"/>
              </w:tcPr>
              <w:p w14:paraId="2C709F9E" w14:textId="77777777" w:rsidR="00471D53" w:rsidRDefault="004F686E" w:rsidP="00471D53">
                <w:pPr>
                  <w:jc w:val="right"/>
                  <w:rPr>
                    <w:rFonts w:cs="Calibri"/>
                    <w:sz w:val="22"/>
                  </w:rPr>
                </w:pPr>
                <w:r w:rsidRPr="000B6F60">
                  <w:rPr>
                    <w:rFonts w:cs="Calibri"/>
                    <w:sz w:val="22"/>
                  </w:rPr>
                  <w:t>435,407,233.47</w:t>
                </w:r>
              </w:p>
            </w:tc>
            <w:tc>
              <w:tcPr>
                <w:tcW w:w="910" w:type="pct"/>
                <w:tcBorders>
                  <w:top w:val="single" w:sz="6" w:space="0" w:color="auto"/>
                  <w:left w:val="single" w:sz="6" w:space="0" w:color="auto"/>
                  <w:bottom w:val="single" w:sz="4" w:space="0" w:color="auto"/>
                  <w:right w:val="single" w:sz="6" w:space="0" w:color="auto"/>
                </w:tcBorders>
              </w:tcPr>
              <w:p w14:paraId="77A8443D" w14:textId="77777777" w:rsidR="00471D53" w:rsidRDefault="00B664AF" w:rsidP="00471D53">
                <w:pPr>
                  <w:jc w:val="right"/>
                  <w:rPr>
                    <w:szCs w:val="21"/>
                  </w:rPr>
                </w:pPr>
              </w:p>
            </w:tc>
            <w:tc>
              <w:tcPr>
                <w:tcW w:w="970" w:type="pct"/>
                <w:tcBorders>
                  <w:top w:val="single" w:sz="6" w:space="0" w:color="auto"/>
                  <w:left w:val="single" w:sz="6" w:space="0" w:color="auto"/>
                  <w:bottom w:val="single" w:sz="6" w:space="0" w:color="auto"/>
                  <w:right w:val="single" w:sz="6" w:space="0" w:color="auto"/>
                </w:tcBorders>
                <w:vAlign w:val="center"/>
              </w:tcPr>
              <w:p w14:paraId="0D4EE22E" w14:textId="77777777" w:rsidR="00471D53" w:rsidRDefault="004F686E" w:rsidP="00471D53">
                <w:pPr>
                  <w:jc w:val="right"/>
                  <w:rPr>
                    <w:rFonts w:cs="Calibri"/>
                    <w:sz w:val="22"/>
                  </w:rPr>
                </w:pPr>
                <w:r>
                  <w:rPr>
                    <w:rFonts w:hint="eastAsia"/>
                    <w:sz w:val="22"/>
                  </w:rPr>
                  <w:t>418,863,114.80</w:t>
                </w:r>
              </w:p>
            </w:tc>
            <w:tc>
              <w:tcPr>
                <w:tcW w:w="674" w:type="pct"/>
                <w:tcBorders>
                  <w:top w:val="single" w:sz="6" w:space="0" w:color="auto"/>
                  <w:left w:val="single" w:sz="6" w:space="0" w:color="auto"/>
                  <w:bottom w:val="single" w:sz="6" w:space="0" w:color="auto"/>
                  <w:right w:val="single" w:sz="6" w:space="0" w:color="auto"/>
                </w:tcBorders>
              </w:tcPr>
              <w:p w14:paraId="2647C8AB" w14:textId="77777777" w:rsidR="00471D53" w:rsidRDefault="00B664AF" w:rsidP="00471D53">
                <w:pPr>
                  <w:jc w:val="right"/>
                  <w:rPr>
                    <w:szCs w:val="21"/>
                  </w:rPr>
                </w:pPr>
              </w:p>
            </w:tc>
          </w:tr>
          <w:tr w:rsidR="00471D53" w14:paraId="5C2D4046" w14:textId="77777777" w:rsidTr="00471D53">
            <w:tc>
              <w:tcPr>
                <w:tcW w:w="1475" w:type="pct"/>
                <w:tcBorders>
                  <w:top w:val="single" w:sz="6" w:space="0" w:color="auto"/>
                  <w:left w:val="single" w:sz="4" w:space="0" w:color="auto"/>
                  <w:bottom w:val="single" w:sz="6" w:space="0" w:color="auto"/>
                  <w:right w:val="single" w:sz="6" w:space="0" w:color="auto"/>
                </w:tcBorders>
                <w:shd w:val="clear" w:color="auto" w:fill="auto"/>
                <w:vAlign w:val="bottom"/>
              </w:tcPr>
              <w:p w14:paraId="6F00FBC2" w14:textId="77777777" w:rsidR="00471D53" w:rsidRDefault="00B664AF" w:rsidP="00471D53">
                <w:pPr>
                  <w:rPr>
                    <w:rFonts w:cs="Arial"/>
                    <w:color w:val="000000"/>
                    <w:szCs w:val="21"/>
                    <w:lang w:val="en-GB"/>
                  </w:rPr>
                </w:pPr>
              </w:p>
            </w:tc>
            <w:tc>
              <w:tcPr>
                <w:tcW w:w="970" w:type="pct"/>
                <w:tcBorders>
                  <w:top w:val="single" w:sz="6" w:space="0" w:color="auto"/>
                  <w:left w:val="single" w:sz="6" w:space="0" w:color="auto"/>
                  <w:bottom w:val="single" w:sz="4" w:space="0" w:color="auto"/>
                  <w:right w:val="single" w:sz="6" w:space="0" w:color="auto"/>
                </w:tcBorders>
              </w:tcPr>
              <w:p w14:paraId="13C7335F" w14:textId="77777777" w:rsidR="00471D53" w:rsidRDefault="00B664AF" w:rsidP="00471D53">
                <w:pPr>
                  <w:jc w:val="right"/>
                  <w:rPr>
                    <w:szCs w:val="21"/>
                  </w:rPr>
                </w:pPr>
              </w:p>
            </w:tc>
            <w:tc>
              <w:tcPr>
                <w:tcW w:w="910" w:type="pct"/>
                <w:tcBorders>
                  <w:top w:val="single" w:sz="6" w:space="0" w:color="auto"/>
                  <w:left w:val="single" w:sz="6" w:space="0" w:color="auto"/>
                  <w:bottom w:val="single" w:sz="4" w:space="0" w:color="auto"/>
                  <w:right w:val="single" w:sz="6" w:space="0" w:color="auto"/>
                </w:tcBorders>
              </w:tcPr>
              <w:p w14:paraId="5C0A7A95" w14:textId="77777777" w:rsidR="00471D53" w:rsidRDefault="00B664AF" w:rsidP="00471D53">
                <w:pPr>
                  <w:jc w:val="right"/>
                  <w:rPr>
                    <w:szCs w:val="21"/>
                  </w:rPr>
                </w:pPr>
              </w:p>
            </w:tc>
            <w:tc>
              <w:tcPr>
                <w:tcW w:w="970" w:type="pct"/>
                <w:tcBorders>
                  <w:top w:val="single" w:sz="6" w:space="0" w:color="auto"/>
                  <w:left w:val="single" w:sz="6" w:space="0" w:color="auto"/>
                  <w:bottom w:val="single" w:sz="6" w:space="0" w:color="auto"/>
                  <w:right w:val="single" w:sz="6" w:space="0" w:color="auto"/>
                </w:tcBorders>
              </w:tcPr>
              <w:p w14:paraId="190D9361" w14:textId="77777777" w:rsidR="00471D53" w:rsidRDefault="00B664AF" w:rsidP="00471D53">
                <w:pPr>
                  <w:jc w:val="right"/>
                  <w:rPr>
                    <w:szCs w:val="21"/>
                  </w:rPr>
                </w:pPr>
              </w:p>
            </w:tc>
            <w:tc>
              <w:tcPr>
                <w:tcW w:w="674" w:type="pct"/>
                <w:tcBorders>
                  <w:top w:val="single" w:sz="6" w:space="0" w:color="auto"/>
                  <w:left w:val="single" w:sz="6" w:space="0" w:color="auto"/>
                  <w:bottom w:val="single" w:sz="6" w:space="0" w:color="auto"/>
                  <w:right w:val="single" w:sz="6" w:space="0" w:color="auto"/>
                </w:tcBorders>
              </w:tcPr>
              <w:p w14:paraId="38DB9D45" w14:textId="77777777" w:rsidR="00471D53" w:rsidRDefault="00B664AF" w:rsidP="00471D53">
                <w:pPr>
                  <w:jc w:val="right"/>
                  <w:rPr>
                    <w:szCs w:val="21"/>
                  </w:rPr>
                </w:pPr>
              </w:p>
            </w:tc>
          </w:tr>
          <w:tr w:rsidR="00471D53" w14:paraId="66791383" w14:textId="77777777" w:rsidTr="00471D53">
            <w:sdt>
              <w:sdtPr>
                <w:tag w:val="_PLD_291f61d225924e5da921a8e369c7fcde"/>
                <w:id w:val="1306203704"/>
                <w:lock w:val="sdtLocked"/>
              </w:sdtPr>
              <w:sdtEndPr/>
              <w:sdtContent>
                <w:tc>
                  <w:tcPr>
                    <w:tcW w:w="1475" w:type="pct"/>
                    <w:tcBorders>
                      <w:top w:val="single" w:sz="6" w:space="0" w:color="auto"/>
                      <w:left w:val="single" w:sz="4" w:space="0" w:color="auto"/>
                      <w:bottom w:val="single" w:sz="6" w:space="0" w:color="auto"/>
                      <w:right w:val="single" w:sz="6" w:space="0" w:color="auto"/>
                    </w:tcBorders>
                    <w:shd w:val="clear" w:color="auto" w:fill="auto"/>
                    <w:vAlign w:val="bottom"/>
                  </w:tcPr>
                  <w:p w14:paraId="4F079FF6" w14:textId="77777777" w:rsidR="00471D53" w:rsidRDefault="004F686E" w:rsidP="00471D53">
                    <w:pPr>
                      <w:rPr>
                        <w:rFonts w:cs="Arial"/>
                        <w:color w:val="000000"/>
                        <w:szCs w:val="21"/>
                      </w:rPr>
                    </w:pPr>
                    <w:r>
                      <w:rPr>
                        <w:rFonts w:cs="Arial" w:hint="eastAsia"/>
                        <w:color w:val="000000"/>
                        <w:szCs w:val="21"/>
                        <w:lang w:val="en-GB"/>
                      </w:rPr>
                      <w:t>流动负债</w:t>
                    </w:r>
                  </w:p>
                </w:tc>
              </w:sdtContent>
            </w:sdt>
            <w:tc>
              <w:tcPr>
                <w:tcW w:w="970" w:type="pct"/>
                <w:tcBorders>
                  <w:top w:val="single" w:sz="6" w:space="0" w:color="auto"/>
                  <w:left w:val="single" w:sz="6" w:space="0" w:color="auto"/>
                  <w:bottom w:val="single" w:sz="4" w:space="0" w:color="auto"/>
                  <w:right w:val="single" w:sz="6" w:space="0" w:color="auto"/>
                </w:tcBorders>
                <w:vAlign w:val="center"/>
              </w:tcPr>
              <w:p w14:paraId="37F46F8B" w14:textId="77777777" w:rsidR="00471D53" w:rsidRDefault="004F686E" w:rsidP="00471D53">
                <w:pPr>
                  <w:jc w:val="right"/>
                  <w:rPr>
                    <w:rFonts w:cs="Calibri"/>
                    <w:sz w:val="22"/>
                  </w:rPr>
                </w:pPr>
                <w:r w:rsidRPr="000B6F60">
                  <w:rPr>
                    <w:rFonts w:cs="Calibri"/>
                    <w:sz w:val="22"/>
                  </w:rPr>
                  <w:t>55,970,743.53</w:t>
                </w:r>
              </w:p>
            </w:tc>
            <w:tc>
              <w:tcPr>
                <w:tcW w:w="910" w:type="pct"/>
                <w:tcBorders>
                  <w:top w:val="single" w:sz="6" w:space="0" w:color="auto"/>
                  <w:left w:val="single" w:sz="6" w:space="0" w:color="auto"/>
                  <w:bottom w:val="single" w:sz="4" w:space="0" w:color="auto"/>
                  <w:right w:val="single" w:sz="6" w:space="0" w:color="auto"/>
                </w:tcBorders>
              </w:tcPr>
              <w:p w14:paraId="376807B4" w14:textId="77777777" w:rsidR="00471D53" w:rsidRDefault="00B664AF" w:rsidP="00471D53">
                <w:pPr>
                  <w:jc w:val="right"/>
                  <w:rPr>
                    <w:szCs w:val="21"/>
                  </w:rPr>
                </w:pPr>
              </w:p>
            </w:tc>
            <w:tc>
              <w:tcPr>
                <w:tcW w:w="970" w:type="pct"/>
                <w:tcBorders>
                  <w:top w:val="single" w:sz="6" w:space="0" w:color="auto"/>
                  <w:left w:val="single" w:sz="6" w:space="0" w:color="auto"/>
                  <w:bottom w:val="single" w:sz="6" w:space="0" w:color="auto"/>
                  <w:right w:val="single" w:sz="6" w:space="0" w:color="auto"/>
                </w:tcBorders>
                <w:vAlign w:val="center"/>
              </w:tcPr>
              <w:p w14:paraId="2CFC66EC" w14:textId="77777777" w:rsidR="00471D53" w:rsidRDefault="004F686E" w:rsidP="00471D53">
                <w:pPr>
                  <w:jc w:val="right"/>
                  <w:rPr>
                    <w:rFonts w:cs="Calibri"/>
                    <w:sz w:val="22"/>
                  </w:rPr>
                </w:pPr>
                <w:r>
                  <w:rPr>
                    <w:rFonts w:hint="eastAsia"/>
                    <w:sz w:val="22"/>
                  </w:rPr>
                  <w:t>52,406,201.68</w:t>
                </w:r>
              </w:p>
            </w:tc>
            <w:tc>
              <w:tcPr>
                <w:tcW w:w="674" w:type="pct"/>
                <w:tcBorders>
                  <w:top w:val="single" w:sz="6" w:space="0" w:color="auto"/>
                  <w:left w:val="single" w:sz="6" w:space="0" w:color="auto"/>
                  <w:bottom w:val="single" w:sz="6" w:space="0" w:color="auto"/>
                  <w:right w:val="single" w:sz="6" w:space="0" w:color="auto"/>
                </w:tcBorders>
              </w:tcPr>
              <w:p w14:paraId="6A05401A" w14:textId="77777777" w:rsidR="00471D53" w:rsidRDefault="00B664AF" w:rsidP="00471D53">
                <w:pPr>
                  <w:jc w:val="right"/>
                  <w:rPr>
                    <w:szCs w:val="21"/>
                  </w:rPr>
                </w:pPr>
              </w:p>
            </w:tc>
          </w:tr>
          <w:tr w:rsidR="00471D53" w14:paraId="40E7269E" w14:textId="77777777" w:rsidTr="00471D53">
            <w:sdt>
              <w:sdtPr>
                <w:tag w:val="_PLD_643910084d97437289ebe011c14a7740"/>
                <w:id w:val="-1221211256"/>
                <w:lock w:val="sdtLocked"/>
              </w:sdtPr>
              <w:sdtEndPr/>
              <w:sdtContent>
                <w:tc>
                  <w:tcPr>
                    <w:tcW w:w="1475" w:type="pct"/>
                    <w:tcBorders>
                      <w:top w:val="single" w:sz="6" w:space="0" w:color="auto"/>
                      <w:left w:val="single" w:sz="4" w:space="0" w:color="auto"/>
                      <w:bottom w:val="single" w:sz="6" w:space="0" w:color="auto"/>
                      <w:right w:val="single" w:sz="6" w:space="0" w:color="auto"/>
                    </w:tcBorders>
                    <w:shd w:val="clear" w:color="auto" w:fill="auto"/>
                    <w:vAlign w:val="bottom"/>
                  </w:tcPr>
                  <w:p w14:paraId="4DEE8246" w14:textId="77777777" w:rsidR="00471D53" w:rsidRDefault="004F686E" w:rsidP="00471D53">
                    <w:pPr>
                      <w:rPr>
                        <w:rFonts w:cs="Arial"/>
                        <w:color w:val="000000"/>
                        <w:szCs w:val="21"/>
                      </w:rPr>
                    </w:pPr>
                    <w:r>
                      <w:rPr>
                        <w:rFonts w:cs="Arial" w:hint="eastAsia"/>
                        <w:color w:val="000000"/>
                        <w:szCs w:val="21"/>
                        <w:lang w:val="en-GB"/>
                      </w:rPr>
                      <w:t>非流动负债</w:t>
                    </w:r>
                  </w:p>
                </w:tc>
              </w:sdtContent>
            </w:sdt>
            <w:tc>
              <w:tcPr>
                <w:tcW w:w="970" w:type="pct"/>
                <w:tcBorders>
                  <w:top w:val="single" w:sz="6" w:space="0" w:color="auto"/>
                  <w:left w:val="single" w:sz="6" w:space="0" w:color="auto"/>
                  <w:bottom w:val="single" w:sz="4" w:space="0" w:color="auto"/>
                  <w:right w:val="single" w:sz="6" w:space="0" w:color="auto"/>
                </w:tcBorders>
                <w:vAlign w:val="center"/>
              </w:tcPr>
              <w:p w14:paraId="5B163DEC" w14:textId="77777777" w:rsidR="00471D53" w:rsidRDefault="004F686E" w:rsidP="00471D53">
                <w:pPr>
                  <w:jc w:val="right"/>
                  <w:rPr>
                    <w:rFonts w:cs="Calibri"/>
                    <w:sz w:val="22"/>
                  </w:rPr>
                </w:pPr>
                <w:r>
                  <w:rPr>
                    <w:rFonts w:cs="Calibri" w:hint="eastAsia"/>
                    <w:sz w:val="22"/>
                  </w:rPr>
                  <w:t>373,278,294.36</w:t>
                </w:r>
              </w:p>
            </w:tc>
            <w:tc>
              <w:tcPr>
                <w:tcW w:w="910" w:type="pct"/>
                <w:tcBorders>
                  <w:top w:val="single" w:sz="6" w:space="0" w:color="auto"/>
                  <w:left w:val="single" w:sz="6" w:space="0" w:color="auto"/>
                  <w:bottom w:val="single" w:sz="4" w:space="0" w:color="auto"/>
                  <w:right w:val="single" w:sz="6" w:space="0" w:color="auto"/>
                </w:tcBorders>
              </w:tcPr>
              <w:p w14:paraId="7F527852" w14:textId="77777777" w:rsidR="00471D53" w:rsidRDefault="00B664AF" w:rsidP="00471D53">
                <w:pPr>
                  <w:jc w:val="right"/>
                  <w:rPr>
                    <w:szCs w:val="21"/>
                  </w:rPr>
                </w:pPr>
              </w:p>
            </w:tc>
            <w:tc>
              <w:tcPr>
                <w:tcW w:w="970" w:type="pct"/>
                <w:tcBorders>
                  <w:top w:val="single" w:sz="6" w:space="0" w:color="auto"/>
                  <w:left w:val="single" w:sz="6" w:space="0" w:color="auto"/>
                  <w:bottom w:val="single" w:sz="6" w:space="0" w:color="auto"/>
                  <w:right w:val="single" w:sz="6" w:space="0" w:color="auto"/>
                </w:tcBorders>
                <w:vAlign w:val="center"/>
              </w:tcPr>
              <w:p w14:paraId="19DEF015" w14:textId="77777777" w:rsidR="00471D53" w:rsidRDefault="004F686E" w:rsidP="00471D53">
                <w:pPr>
                  <w:jc w:val="right"/>
                  <w:rPr>
                    <w:rFonts w:cs="Calibri"/>
                    <w:sz w:val="22"/>
                  </w:rPr>
                </w:pPr>
                <w:r>
                  <w:rPr>
                    <w:rFonts w:hint="eastAsia"/>
                    <w:sz w:val="22"/>
                  </w:rPr>
                  <w:t>385,502,690.90</w:t>
                </w:r>
              </w:p>
            </w:tc>
            <w:tc>
              <w:tcPr>
                <w:tcW w:w="674" w:type="pct"/>
                <w:tcBorders>
                  <w:top w:val="single" w:sz="6" w:space="0" w:color="auto"/>
                  <w:left w:val="single" w:sz="6" w:space="0" w:color="auto"/>
                  <w:bottom w:val="single" w:sz="6" w:space="0" w:color="auto"/>
                  <w:right w:val="single" w:sz="6" w:space="0" w:color="auto"/>
                </w:tcBorders>
              </w:tcPr>
              <w:p w14:paraId="18AD06B6" w14:textId="77777777" w:rsidR="00471D53" w:rsidRDefault="00B664AF" w:rsidP="00471D53">
                <w:pPr>
                  <w:jc w:val="right"/>
                  <w:rPr>
                    <w:szCs w:val="21"/>
                  </w:rPr>
                </w:pPr>
              </w:p>
            </w:tc>
          </w:tr>
          <w:tr w:rsidR="00471D53" w14:paraId="37F33FA6" w14:textId="77777777" w:rsidTr="00471D53">
            <w:sdt>
              <w:sdtPr>
                <w:tag w:val="_PLD_be9244ec1126466da3e10cb989b74143"/>
                <w:id w:val="-1936134298"/>
                <w:lock w:val="sdtLocked"/>
              </w:sdtPr>
              <w:sdtEndPr/>
              <w:sdtContent>
                <w:tc>
                  <w:tcPr>
                    <w:tcW w:w="1475" w:type="pct"/>
                    <w:tcBorders>
                      <w:top w:val="single" w:sz="6" w:space="0" w:color="auto"/>
                      <w:left w:val="single" w:sz="4" w:space="0" w:color="auto"/>
                      <w:bottom w:val="single" w:sz="6" w:space="0" w:color="auto"/>
                      <w:right w:val="single" w:sz="6" w:space="0" w:color="auto"/>
                    </w:tcBorders>
                    <w:shd w:val="clear" w:color="auto" w:fill="auto"/>
                    <w:vAlign w:val="bottom"/>
                  </w:tcPr>
                  <w:p w14:paraId="7EC16591" w14:textId="77777777" w:rsidR="00471D53" w:rsidRDefault="004F686E" w:rsidP="00471D53">
                    <w:pPr>
                      <w:rPr>
                        <w:rFonts w:cs="Arial"/>
                        <w:color w:val="000000"/>
                        <w:szCs w:val="21"/>
                      </w:rPr>
                    </w:pPr>
                    <w:r>
                      <w:rPr>
                        <w:rFonts w:cs="Arial" w:hint="eastAsia"/>
                        <w:color w:val="000000"/>
                        <w:szCs w:val="21"/>
                        <w:lang w:val="en-GB"/>
                      </w:rPr>
                      <w:t>负债合计</w:t>
                    </w:r>
                  </w:p>
                </w:tc>
              </w:sdtContent>
            </w:sdt>
            <w:tc>
              <w:tcPr>
                <w:tcW w:w="970" w:type="pct"/>
                <w:tcBorders>
                  <w:top w:val="single" w:sz="6" w:space="0" w:color="auto"/>
                  <w:left w:val="single" w:sz="6" w:space="0" w:color="auto"/>
                  <w:bottom w:val="single" w:sz="4" w:space="0" w:color="auto"/>
                  <w:right w:val="single" w:sz="6" w:space="0" w:color="auto"/>
                </w:tcBorders>
                <w:vAlign w:val="center"/>
              </w:tcPr>
              <w:p w14:paraId="46CED9FF" w14:textId="77777777" w:rsidR="00471D53" w:rsidRDefault="004F686E" w:rsidP="00471D53">
                <w:pPr>
                  <w:jc w:val="right"/>
                  <w:rPr>
                    <w:rFonts w:cs="Calibri"/>
                    <w:sz w:val="22"/>
                  </w:rPr>
                </w:pPr>
                <w:r w:rsidRPr="000B6F60">
                  <w:rPr>
                    <w:rFonts w:cs="Calibri"/>
                    <w:sz w:val="22"/>
                  </w:rPr>
                  <w:t>429,249,037.89</w:t>
                </w:r>
              </w:p>
            </w:tc>
            <w:tc>
              <w:tcPr>
                <w:tcW w:w="910" w:type="pct"/>
                <w:tcBorders>
                  <w:top w:val="single" w:sz="6" w:space="0" w:color="auto"/>
                  <w:left w:val="single" w:sz="6" w:space="0" w:color="auto"/>
                  <w:bottom w:val="single" w:sz="4" w:space="0" w:color="auto"/>
                  <w:right w:val="single" w:sz="6" w:space="0" w:color="auto"/>
                </w:tcBorders>
              </w:tcPr>
              <w:p w14:paraId="088DD6F2" w14:textId="77777777" w:rsidR="00471D53" w:rsidRDefault="00B664AF" w:rsidP="00471D53">
                <w:pPr>
                  <w:jc w:val="right"/>
                  <w:rPr>
                    <w:szCs w:val="21"/>
                  </w:rPr>
                </w:pPr>
              </w:p>
            </w:tc>
            <w:tc>
              <w:tcPr>
                <w:tcW w:w="970" w:type="pct"/>
                <w:tcBorders>
                  <w:top w:val="single" w:sz="6" w:space="0" w:color="auto"/>
                  <w:left w:val="single" w:sz="6" w:space="0" w:color="auto"/>
                  <w:bottom w:val="single" w:sz="6" w:space="0" w:color="auto"/>
                  <w:right w:val="single" w:sz="6" w:space="0" w:color="auto"/>
                </w:tcBorders>
                <w:vAlign w:val="center"/>
              </w:tcPr>
              <w:p w14:paraId="447BA415" w14:textId="77777777" w:rsidR="00471D53" w:rsidRDefault="004F686E" w:rsidP="00471D53">
                <w:pPr>
                  <w:jc w:val="right"/>
                  <w:rPr>
                    <w:rFonts w:cs="Calibri"/>
                    <w:sz w:val="22"/>
                  </w:rPr>
                </w:pPr>
                <w:r>
                  <w:rPr>
                    <w:rFonts w:hint="eastAsia"/>
                    <w:sz w:val="22"/>
                  </w:rPr>
                  <w:t>437,908,892.58</w:t>
                </w:r>
              </w:p>
            </w:tc>
            <w:tc>
              <w:tcPr>
                <w:tcW w:w="674" w:type="pct"/>
                <w:tcBorders>
                  <w:top w:val="single" w:sz="6" w:space="0" w:color="auto"/>
                  <w:left w:val="single" w:sz="6" w:space="0" w:color="auto"/>
                  <w:bottom w:val="single" w:sz="6" w:space="0" w:color="auto"/>
                  <w:right w:val="single" w:sz="6" w:space="0" w:color="auto"/>
                </w:tcBorders>
              </w:tcPr>
              <w:p w14:paraId="56528CE0" w14:textId="77777777" w:rsidR="00471D53" w:rsidRDefault="00B664AF" w:rsidP="00471D53">
                <w:pPr>
                  <w:jc w:val="right"/>
                  <w:rPr>
                    <w:szCs w:val="21"/>
                  </w:rPr>
                </w:pPr>
              </w:p>
            </w:tc>
          </w:tr>
          <w:tr w:rsidR="00471D53" w14:paraId="10DA9CC3" w14:textId="77777777" w:rsidTr="00471D53">
            <w:tc>
              <w:tcPr>
                <w:tcW w:w="1475" w:type="pct"/>
                <w:tcBorders>
                  <w:top w:val="single" w:sz="6" w:space="0" w:color="auto"/>
                  <w:left w:val="single" w:sz="4" w:space="0" w:color="auto"/>
                  <w:bottom w:val="single" w:sz="6" w:space="0" w:color="auto"/>
                  <w:right w:val="single" w:sz="6" w:space="0" w:color="auto"/>
                </w:tcBorders>
                <w:shd w:val="clear" w:color="auto" w:fill="auto"/>
                <w:vAlign w:val="bottom"/>
              </w:tcPr>
              <w:p w14:paraId="09DD87B8" w14:textId="77777777" w:rsidR="00471D53" w:rsidRDefault="00B664AF" w:rsidP="00471D53">
                <w:pPr>
                  <w:rPr>
                    <w:rFonts w:cs="Arial"/>
                    <w:color w:val="000000"/>
                    <w:szCs w:val="21"/>
                    <w:lang w:val="en-GB"/>
                  </w:rPr>
                </w:pPr>
              </w:p>
            </w:tc>
            <w:tc>
              <w:tcPr>
                <w:tcW w:w="970" w:type="pct"/>
                <w:tcBorders>
                  <w:top w:val="single" w:sz="6" w:space="0" w:color="auto"/>
                  <w:left w:val="single" w:sz="6" w:space="0" w:color="auto"/>
                  <w:bottom w:val="single" w:sz="4" w:space="0" w:color="auto"/>
                  <w:right w:val="single" w:sz="6" w:space="0" w:color="auto"/>
                </w:tcBorders>
              </w:tcPr>
              <w:p w14:paraId="12AC4B1B" w14:textId="77777777" w:rsidR="00471D53" w:rsidRDefault="00B664AF" w:rsidP="00471D53">
                <w:pPr>
                  <w:jc w:val="right"/>
                  <w:rPr>
                    <w:szCs w:val="21"/>
                  </w:rPr>
                </w:pPr>
              </w:p>
            </w:tc>
            <w:tc>
              <w:tcPr>
                <w:tcW w:w="910" w:type="pct"/>
                <w:tcBorders>
                  <w:top w:val="single" w:sz="6" w:space="0" w:color="auto"/>
                  <w:left w:val="single" w:sz="6" w:space="0" w:color="auto"/>
                  <w:bottom w:val="single" w:sz="4" w:space="0" w:color="auto"/>
                  <w:right w:val="single" w:sz="6" w:space="0" w:color="auto"/>
                </w:tcBorders>
              </w:tcPr>
              <w:p w14:paraId="76C9F331" w14:textId="77777777" w:rsidR="00471D53" w:rsidRDefault="00B664AF" w:rsidP="00471D53">
                <w:pPr>
                  <w:jc w:val="right"/>
                  <w:rPr>
                    <w:szCs w:val="21"/>
                  </w:rPr>
                </w:pPr>
              </w:p>
            </w:tc>
            <w:tc>
              <w:tcPr>
                <w:tcW w:w="970" w:type="pct"/>
                <w:tcBorders>
                  <w:top w:val="single" w:sz="6" w:space="0" w:color="auto"/>
                  <w:left w:val="single" w:sz="6" w:space="0" w:color="auto"/>
                  <w:bottom w:val="single" w:sz="6" w:space="0" w:color="auto"/>
                  <w:right w:val="single" w:sz="6" w:space="0" w:color="auto"/>
                </w:tcBorders>
              </w:tcPr>
              <w:p w14:paraId="3C839B55" w14:textId="77777777" w:rsidR="00471D53" w:rsidRDefault="00B664AF" w:rsidP="00471D53">
                <w:pPr>
                  <w:jc w:val="right"/>
                  <w:rPr>
                    <w:szCs w:val="21"/>
                  </w:rPr>
                </w:pPr>
              </w:p>
            </w:tc>
            <w:tc>
              <w:tcPr>
                <w:tcW w:w="674" w:type="pct"/>
                <w:tcBorders>
                  <w:top w:val="single" w:sz="6" w:space="0" w:color="auto"/>
                  <w:left w:val="single" w:sz="6" w:space="0" w:color="auto"/>
                  <w:bottom w:val="single" w:sz="6" w:space="0" w:color="auto"/>
                  <w:right w:val="single" w:sz="6" w:space="0" w:color="auto"/>
                </w:tcBorders>
              </w:tcPr>
              <w:p w14:paraId="1FEAE186" w14:textId="77777777" w:rsidR="00471D53" w:rsidRDefault="00B664AF" w:rsidP="00471D53">
                <w:pPr>
                  <w:jc w:val="right"/>
                  <w:rPr>
                    <w:szCs w:val="21"/>
                  </w:rPr>
                </w:pPr>
              </w:p>
            </w:tc>
          </w:tr>
          <w:tr w:rsidR="00471D53" w14:paraId="734F6EC9" w14:textId="77777777" w:rsidTr="00471D53">
            <w:sdt>
              <w:sdtPr>
                <w:tag w:val="_PLD_6bb24344915e4616893091f1510047ca"/>
                <w:id w:val="-1725288085"/>
                <w:lock w:val="sdtLocked"/>
              </w:sdtPr>
              <w:sdtEndPr/>
              <w:sdtContent>
                <w:tc>
                  <w:tcPr>
                    <w:tcW w:w="1475" w:type="pct"/>
                    <w:tcBorders>
                      <w:top w:val="single" w:sz="6" w:space="0" w:color="auto"/>
                      <w:left w:val="single" w:sz="4" w:space="0" w:color="auto"/>
                      <w:bottom w:val="single" w:sz="6" w:space="0" w:color="auto"/>
                      <w:right w:val="single" w:sz="6" w:space="0" w:color="auto"/>
                    </w:tcBorders>
                    <w:shd w:val="clear" w:color="auto" w:fill="auto"/>
                    <w:vAlign w:val="bottom"/>
                  </w:tcPr>
                  <w:p w14:paraId="2DBC9878" w14:textId="77777777" w:rsidR="00471D53" w:rsidRDefault="004F686E" w:rsidP="00471D53">
                    <w:pPr>
                      <w:rPr>
                        <w:rFonts w:cs="Arial"/>
                        <w:color w:val="000000"/>
                        <w:szCs w:val="21"/>
                      </w:rPr>
                    </w:pPr>
                    <w:r>
                      <w:rPr>
                        <w:rFonts w:cs="Arial" w:hint="eastAsia"/>
                        <w:color w:val="000000"/>
                        <w:szCs w:val="21"/>
                        <w:lang w:val="en-GB"/>
                      </w:rPr>
                      <w:t>少数股东权益</w:t>
                    </w:r>
                  </w:p>
                </w:tc>
              </w:sdtContent>
            </w:sdt>
            <w:tc>
              <w:tcPr>
                <w:tcW w:w="970" w:type="pct"/>
                <w:tcBorders>
                  <w:top w:val="single" w:sz="6" w:space="0" w:color="auto"/>
                  <w:left w:val="single" w:sz="6" w:space="0" w:color="auto"/>
                  <w:bottom w:val="single" w:sz="4" w:space="0" w:color="auto"/>
                  <w:right w:val="single" w:sz="6" w:space="0" w:color="auto"/>
                </w:tcBorders>
              </w:tcPr>
              <w:p w14:paraId="6F371D96" w14:textId="77777777" w:rsidR="00471D53" w:rsidRDefault="00B664AF" w:rsidP="00471D53">
                <w:pPr>
                  <w:jc w:val="right"/>
                  <w:rPr>
                    <w:szCs w:val="21"/>
                  </w:rPr>
                </w:pPr>
              </w:p>
            </w:tc>
            <w:tc>
              <w:tcPr>
                <w:tcW w:w="910" w:type="pct"/>
                <w:tcBorders>
                  <w:top w:val="single" w:sz="6" w:space="0" w:color="auto"/>
                  <w:left w:val="single" w:sz="6" w:space="0" w:color="auto"/>
                  <w:bottom w:val="single" w:sz="4" w:space="0" w:color="auto"/>
                  <w:right w:val="single" w:sz="6" w:space="0" w:color="auto"/>
                </w:tcBorders>
              </w:tcPr>
              <w:p w14:paraId="3076EE91" w14:textId="77777777" w:rsidR="00471D53" w:rsidRDefault="00B664AF" w:rsidP="00471D53">
                <w:pPr>
                  <w:jc w:val="right"/>
                  <w:rPr>
                    <w:szCs w:val="21"/>
                  </w:rPr>
                </w:pPr>
              </w:p>
            </w:tc>
            <w:tc>
              <w:tcPr>
                <w:tcW w:w="970" w:type="pct"/>
                <w:tcBorders>
                  <w:top w:val="single" w:sz="6" w:space="0" w:color="auto"/>
                  <w:left w:val="single" w:sz="6" w:space="0" w:color="auto"/>
                  <w:bottom w:val="single" w:sz="6" w:space="0" w:color="auto"/>
                  <w:right w:val="single" w:sz="6" w:space="0" w:color="auto"/>
                </w:tcBorders>
              </w:tcPr>
              <w:p w14:paraId="5DAAF9E1" w14:textId="77777777" w:rsidR="00471D53" w:rsidRDefault="00B664AF" w:rsidP="00471D53">
                <w:pPr>
                  <w:jc w:val="right"/>
                  <w:rPr>
                    <w:szCs w:val="21"/>
                  </w:rPr>
                </w:pPr>
              </w:p>
            </w:tc>
            <w:tc>
              <w:tcPr>
                <w:tcW w:w="674" w:type="pct"/>
                <w:tcBorders>
                  <w:top w:val="single" w:sz="6" w:space="0" w:color="auto"/>
                  <w:left w:val="single" w:sz="6" w:space="0" w:color="auto"/>
                  <w:bottom w:val="single" w:sz="6" w:space="0" w:color="auto"/>
                  <w:right w:val="single" w:sz="6" w:space="0" w:color="auto"/>
                </w:tcBorders>
              </w:tcPr>
              <w:p w14:paraId="03411857" w14:textId="77777777" w:rsidR="00471D53" w:rsidRDefault="00B664AF" w:rsidP="00471D53">
                <w:pPr>
                  <w:jc w:val="right"/>
                  <w:rPr>
                    <w:szCs w:val="21"/>
                  </w:rPr>
                </w:pPr>
              </w:p>
            </w:tc>
          </w:tr>
          <w:tr w:rsidR="00471D53" w14:paraId="5395E730" w14:textId="77777777" w:rsidTr="00471D53">
            <w:sdt>
              <w:sdtPr>
                <w:tag w:val="_PLD_78dbb2bbc4344f2bb85c89b981e5b2df"/>
                <w:id w:val="919519119"/>
                <w:lock w:val="sdtLocked"/>
              </w:sdtPr>
              <w:sdtEndPr/>
              <w:sdtContent>
                <w:tc>
                  <w:tcPr>
                    <w:tcW w:w="1475" w:type="pct"/>
                    <w:tcBorders>
                      <w:top w:val="single" w:sz="6" w:space="0" w:color="auto"/>
                      <w:left w:val="single" w:sz="4" w:space="0" w:color="auto"/>
                      <w:bottom w:val="single" w:sz="6" w:space="0" w:color="auto"/>
                      <w:right w:val="single" w:sz="6" w:space="0" w:color="auto"/>
                    </w:tcBorders>
                    <w:shd w:val="clear" w:color="auto" w:fill="auto"/>
                    <w:vAlign w:val="bottom"/>
                  </w:tcPr>
                  <w:p w14:paraId="495A032B" w14:textId="77777777" w:rsidR="00471D53" w:rsidRDefault="004F686E" w:rsidP="00471D53">
                    <w:pPr>
                      <w:rPr>
                        <w:rFonts w:cs="Arial"/>
                        <w:color w:val="000000"/>
                        <w:szCs w:val="21"/>
                      </w:rPr>
                    </w:pPr>
                    <w:r>
                      <w:rPr>
                        <w:rFonts w:cs="Arial" w:hint="eastAsia"/>
                        <w:color w:val="000000"/>
                        <w:szCs w:val="21"/>
                        <w:lang w:val="en-GB"/>
                      </w:rPr>
                      <w:t>归属于母公司股东权益</w:t>
                    </w:r>
                  </w:p>
                </w:tc>
              </w:sdtContent>
            </w:sdt>
            <w:tc>
              <w:tcPr>
                <w:tcW w:w="970" w:type="pct"/>
                <w:tcBorders>
                  <w:top w:val="single" w:sz="6" w:space="0" w:color="auto"/>
                  <w:left w:val="single" w:sz="6" w:space="0" w:color="auto"/>
                  <w:bottom w:val="single" w:sz="4" w:space="0" w:color="auto"/>
                  <w:right w:val="single" w:sz="6" w:space="0" w:color="auto"/>
                </w:tcBorders>
              </w:tcPr>
              <w:p w14:paraId="615F132B" w14:textId="77777777" w:rsidR="00471D53" w:rsidRDefault="004F686E" w:rsidP="00471D53">
                <w:pPr>
                  <w:jc w:val="right"/>
                  <w:rPr>
                    <w:szCs w:val="21"/>
                  </w:rPr>
                </w:pPr>
                <w:r w:rsidRPr="00DC2267">
                  <w:rPr>
                    <w:szCs w:val="21"/>
                  </w:rPr>
                  <w:t>6,158,195.58</w:t>
                </w:r>
              </w:p>
            </w:tc>
            <w:tc>
              <w:tcPr>
                <w:tcW w:w="910" w:type="pct"/>
                <w:tcBorders>
                  <w:top w:val="single" w:sz="6" w:space="0" w:color="auto"/>
                  <w:left w:val="single" w:sz="6" w:space="0" w:color="auto"/>
                  <w:bottom w:val="single" w:sz="4" w:space="0" w:color="auto"/>
                  <w:right w:val="single" w:sz="6" w:space="0" w:color="auto"/>
                </w:tcBorders>
              </w:tcPr>
              <w:p w14:paraId="176F4FC3" w14:textId="77777777" w:rsidR="00471D53" w:rsidRDefault="00B664AF" w:rsidP="00471D53">
                <w:pPr>
                  <w:jc w:val="right"/>
                  <w:rPr>
                    <w:szCs w:val="21"/>
                  </w:rPr>
                </w:pPr>
              </w:p>
            </w:tc>
            <w:tc>
              <w:tcPr>
                <w:tcW w:w="970" w:type="pct"/>
                <w:tcBorders>
                  <w:top w:val="single" w:sz="6" w:space="0" w:color="auto"/>
                  <w:left w:val="single" w:sz="6" w:space="0" w:color="auto"/>
                  <w:bottom w:val="single" w:sz="6" w:space="0" w:color="auto"/>
                  <w:right w:val="single" w:sz="6" w:space="0" w:color="auto"/>
                </w:tcBorders>
              </w:tcPr>
              <w:p w14:paraId="245397FA" w14:textId="77777777" w:rsidR="00471D53" w:rsidRDefault="004F686E" w:rsidP="00471D53">
                <w:pPr>
                  <w:jc w:val="right"/>
                  <w:rPr>
                    <w:szCs w:val="21"/>
                  </w:rPr>
                </w:pPr>
                <w:r w:rsidRPr="00DC2267">
                  <w:rPr>
                    <w:szCs w:val="21"/>
                  </w:rPr>
                  <w:t>-19,045,777.78</w:t>
                </w:r>
              </w:p>
            </w:tc>
            <w:tc>
              <w:tcPr>
                <w:tcW w:w="674" w:type="pct"/>
                <w:tcBorders>
                  <w:top w:val="single" w:sz="6" w:space="0" w:color="auto"/>
                  <w:left w:val="single" w:sz="6" w:space="0" w:color="auto"/>
                  <w:bottom w:val="single" w:sz="6" w:space="0" w:color="auto"/>
                  <w:right w:val="single" w:sz="6" w:space="0" w:color="auto"/>
                </w:tcBorders>
              </w:tcPr>
              <w:p w14:paraId="35FA04C6" w14:textId="77777777" w:rsidR="00471D53" w:rsidRDefault="00B664AF" w:rsidP="00471D53">
                <w:pPr>
                  <w:jc w:val="right"/>
                  <w:rPr>
                    <w:szCs w:val="21"/>
                  </w:rPr>
                </w:pPr>
              </w:p>
            </w:tc>
          </w:tr>
          <w:tr w:rsidR="00471D53" w14:paraId="33A7562E" w14:textId="77777777" w:rsidTr="00471D53">
            <w:tc>
              <w:tcPr>
                <w:tcW w:w="1475" w:type="pct"/>
                <w:tcBorders>
                  <w:top w:val="single" w:sz="6" w:space="0" w:color="auto"/>
                  <w:left w:val="single" w:sz="4" w:space="0" w:color="auto"/>
                  <w:bottom w:val="single" w:sz="6" w:space="0" w:color="auto"/>
                  <w:right w:val="single" w:sz="6" w:space="0" w:color="auto"/>
                </w:tcBorders>
                <w:shd w:val="clear" w:color="auto" w:fill="auto"/>
                <w:vAlign w:val="bottom"/>
              </w:tcPr>
              <w:p w14:paraId="38D2EC50" w14:textId="77777777" w:rsidR="00471D53" w:rsidRDefault="00B664AF" w:rsidP="00471D53">
                <w:pPr>
                  <w:rPr>
                    <w:rFonts w:cs="Arial"/>
                    <w:color w:val="000000"/>
                    <w:szCs w:val="21"/>
                    <w:lang w:val="en-GB"/>
                  </w:rPr>
                </w:pPr>
              </w:p>
            </w:tc>
            <w:tc>
              <w:tcPr>
                <w:tcW w:w="970" w:type="pct"/>
                <w:tcBorders>
                  <w:top w:val="single" w:sz="6" w:space="0" w:color="auto"/>
                  <w:left w:val="single" w:sz="6" w:space="0" w:color="auto"/>
                  <w:bottom w:val="single" w:sz="4" w:space="0" w:color="auto"/>
                  <w:right w:val="single" w:sz="6" w:space="0" w:color="auto"/>
                </w:tcBorders>
              </w:tcPr>
              <w:p w14:paraId="0EC084AB" w14:textId="77777777" w:rsidR="00471D53" w:rsidRDefault="00B664AF" w:rsidP="00471D53">
                <w:pPr>
                  <w:jc w:val="right"/>
                  <w:rPr>
                    <w:szCs w:val="21"/>
                  </w:rPr>
                </w:pPr>
              </w:p>
            </w:tc>
            <w:tc>
              <w:tcPr>
                <w:tcW w:w="910" w:type="pct"/>
                <w:tcBorders>
                  <w:top w:val="single" w:sz="6" w:space="0" w:color="auto"/>
                  <w:left w:val="single" w:sz="6" w:space="0" w:color="auto"/>
                  <w:bottom w:val="single" w:sz="4" w:space="0" w:color="auto"/>
                  <w:right w:val="single" w:sz="6" w:space="0" w:color="auto"/>
                </w:tcBorders>
              </w:tcPr>
              <w:p w14:paraId="0AAE522A" w14:textId="77777777" w:rsidR="00471D53" w:rsidRDefault="00B664AF" w:rsidP="00471D53">
                <w:pPr>
                  <w:jc w:val="right"/>
                  <w:rPr>
                    <w:szCs w:val="21"/>
                  </w:rPr>
                </w:pPr>
              </w:p>
            </w:tc>
            <w:tc>
              <w:tcPr>
                <w:tcW w:w="970" w:type="pct"/>
                <w:tcBorders>
                  <w:top w:val="single" w:sz="6" w:space="0" w:color="auto"/>
                  <w:left w:val="single" w:sz="6" w:space="0" w:color="auto"/>
                  <w:bottom w:val="single" w:sz="6" w:space="0" w:color="auto"/>
                  <w:right w:val="single" w:sz="6" w:space="0" w:color="auto"/>
                </w:tcBorders>
              </w:tcPr>
              <w:p w14:paraId="5C92D804" w14:textId="77777777" w:rsidR="00471D53" w:rsidRDefault="00B664AF" w:rsidP="00471D53">
                <w:pPr>
                  <w:jc w:val="right"/>
                  <w:rPr>
                    <w:szCs w:val="21"/>
                  </w:rPr>
                </w:pPr>
              </w:p>
            </w:tc>
            <w:tc>
              <w:tcPr>
                <w:tcW w:w="674" w:type="pct"/>
                <w:tcBorders>
                  <w:top w:val="single" w:sz="6" w:space="0" w:color="auto"/>
                  <w:left w:val="single" w:sz="6" w:space="0" w:color="auto"/>
                  <w:bottom w:val="single" w:sz="6" w:space="0" w:color="auto"/>
                  <w:right w:val="single" w:sz="6" w:space="0" w:color="auto"/>
                </w:tcBorders>
              </w:tcPr>
              <w:p w14:paraId="08760B97" w14:textId="77777777" w:rsidR="00471D53" w:rsidRDefault="00B664AF" w:rsidP="00471D53">
                <w:pPr>
                  <w:jc w:val="right"/>
                  <w:rPr>
                    <w:szCs w:val="21"/>
                  </w:rPr>
                </w:pPr>
              </w:p>
            </w:tc>
          </w:tr>
          <w:tr w:rsidR="00471D53" w14:paraId="79ED0158" w14:textId="77777777" w:rsidTr="00471D53">
            <w:sdt>
              <w:sdtPr>
                <w:tag w:val="_PLD_e5e5729910924035948ea1a5c54ad11d"/>
                <w:id w:val="999464938"/>
                <w:lock w:val="sdtLocked"/>
              </w:sdtPr>
              <w:sdtEndPr/>
              <w:sdtContent>
                <w:tc>
                  <w:tcPr>
                    <w:tcW w:w="1475" w:type="pct"/>
                    <w:tcBorders>
                      <w:top w:val="single" w:sz="6" w:space="0" w:color="auto"/>
                      <w:left w:val="single" w:sz="4" w:space="0" w:color="auto"/>
                      <w:bottom w:val="single" w:sz="6" w:space="0" w:color="auto"/>
                      <w:right w:val="single" w:sz="6" w:space="0" w:color="auto"/>
                    </w:tcBorders>
                    <w:shd w:val="clear" w:color="auto" w:fill="auto"/>
                    <w:vAlign w:val="bottom"/>
                  </w:tcPr>
                  <w:p w14:paraId="35A1F0A3" w14:textId="77777777" w:rsidR="00471D53" w:rsidRDefault="004F686E" w:rsidP="00471D53">
                    <w:pPr>
                      <w:rPr>
                        <w:rFonts w:cs="Arial"/>
                        <w:color w:val="000000"/>
                        <w:szCs w:val="21"/>
                      </w:rPr>
                    </w:pPr>
                    <w:r>
                      <w:rPr>
                        <w:rFonts w:cs="Arial" w:hint="eastAsia"/>
                        <w:color w:val="000000"/>
                        <w:szCs w:val="21"/>
                        <w:lang w:val="en-GB"/>
                      </w:rPr>
                      <w:t>按持股比例计算的净资产份额</w:t>
                    </w:r>
                  </w:p>
                </w:tc>
              </w:sdtContent>
            </w:sdt>
            <w:tc>
              <w:tcPr>
                <w:tcW w:w="970" w:type="pct"/>
                <w:tcBorders>
                  <w:top w:val="single" w:sz="6" w:space="0" w:color="auto"/>
                  <w:left w:val="single" w:sz="6" w:space="0" w:color="auto"/>
                  <w:bottom w:val="single" w:sz="4" w:space="0" w:color="auto"/>
                  <w:right w:val="single" w:sz="6" w:space="0" w:color="auto"/>
                </w:tcBorders>
              </w:tcPr>
              <w:p w14:paraId="2776821E" w14:textId="77777777" w:rsidR="00471D53" w:rsidRDefault="004F686E" w:rsidP="00471D53">
                <w:pPr>
                  <w:jc w:val="right"/>
                  <w:rPr>
                    <w:szCs w:val="21"/>
                  </w:rPr>
                </w:pPr>
                <w:r w:rsidRPr="00DC2267">
                  <w:rPr>
                    <w:szCs w:val="21"/>
                  </w:rPr>
                  <w:t>3,017,515.83</w:t>
                </w:r>
              </w:p>
            </w:tc>
            <w:tc>
              <w:tcPr>
                <w:tcW w:w="910" w:type="pct"/>
                <w:tcBorders>
                  <w:top w:val="single" w:sz="6" w:space="0" w:color="auto"/>
                  <w:left w:val="single" w:sz="6" w:space="0" w:color="auto"/>
                  <w:bottom w:val="single" w:sz="4" w:space="0" w:color="auto"/>
                  <w:right w:val="single" w:sz="6" w:space="0" w:color="auto"/>
                </w:tcBorders>
              </w:tcPr>
              <w:p w14:paraId="086A7525" w14:textId="77777777" w:rsidR="00471D53" w:rsidRDefault="00B664AF" w:rsidP="00471D53">
                <w:pPr>
                  <w:jc w:val="right"/>
                  <w:rPr>
                    <w:szCs w:val="21"/>
                  </w:rPr>
                </w:pPr>
              </w:p>
            </w:tc>
            <w:tc>
              <w:tcPr>
                <w:tcW w:w="970" w:type="pct"/>
                <w:tcBorders>
                  <w:top w:val="single" w:sz="6" w:space="0" w:color="auto"/>
                  <w:left w:val="single" w:sz="6" w:space="0" w:color="auto"/>
                  <w:bottom w:val="single" w:sz="6" w:space="0" w:color="auto"/>
                  <w:right w:val="single" w:sz="6" w:space="0" w:color="auto"/>
                </w:tcBorders>
              </w:tcPr>
              <w:p w14:paraId="771CC16A" w14:textId="77777777" w:rsidR="00471D53" w:rsidRDefault="004F686E" w:rsidP="00471D53">
                <w:pPr>
                  <w:jc w:val="right"/>
                  <w:rPr>
                    <w:szCs w:val="21"/>
                  </w:rPr>
                </w:pPr>
                <w:r w:rsidRPr="00DC2267">
                  <w:rPr>
                    <w:szCs w:val="21"/>
                  </w:rPr>
                  <w:t>-9,332,431.11</w:t>
                </w:r>
              </w:p>
            </w:tc>
            <w:tc>
              <w:tcPr>
                <w:tcW w:w="674" w:type="pct"/>
                <w:tcBorders>
                  <w:top w:val="single" w:sz="6" w:space="0" w:color="auto"/>
                  <w:left w:val="single" w:sz="6" w:space="0" w:color="auto"/>
                  <w:bottom w:val="single" w:sz="6" w:space="0" w:color="auto"/>
                  <w:right w:val="single" w:sz="6" w:space="0" w:color="auto"/>
                </w:tcBorders>
              </w:tcPr>
              <w:p w14:paraId="2534E975" w14:textId="77777777" w:rsidR="00471D53" w:rsidRDefault="00B664AF" w:rsidP="00471D53">
                <w:pPr>
                  <w:jc w:val="right"/>
                  <w:rPr>
                    <w:szCs w:val="21"/>
                  </w:rPr>
                </w:pPr>
              </w:p>
            </w:tc>
          </w:tr>
          <w:tr w:rsidR="00471D53" w14:paraId="29085341" w14:textId="77777777" w:rsidTr="00471D53">
            <w:sdt>
              <w:sdtPr>
                <w:tag w:val="_PLD_87081b99a5224e8aae8c08980f703430"/>
                <w:id w:val="690340317"/>
                <w:lock w:val="sdtLocked"/>
              </w:sdtPr>
              <w:sdtEndPr/>
              <w:sdtContent>
                <w:tc>
                  <w:tcPr>
                    <w:tcW w:w="1475" w:type="pct"/>
                    <w:tcBorders>
                      <w:top w:val="single" w:sz="6" w:space="0" w:color="auto"/>
                      <w:left w:val="single" w:sz="4" w:space="0" w:color="auto"/>
                      <w:bottom w:val="single" w:sz="6" w:space="0" w:color="auto"/>
                      <w:right w:val="single" w:sz="6" w:space="0" w:color="auto"/>
                    </w:tcBorders>
                    <w:shd w:val="clear" w:color="auto" w:fill="auto"/>
                    <w:vAlign w:val="bottom"/>
                  </w:tcPr>
                  <w:p w14:paraId="145996FD" w14:textId="77777777" w:rsidR="00471D53" w:rsidRDefault="004F686E" w:rsidP="00471D53">
                    <w:pPr>
                      <w:rPr>
                        <w:rFonts w:cs="Arial"/>
                        <w:color w:val="000000"/>
                        <w:szCs w:val="21"/>
                      </w:rPr>
                    </w:pPr>
                    <w:r>
                      <w:rPr>
                        <w:rFonts w:cs="Arial" w:hint="eastAsia"/>
                        <w:color w:val="000000"/>
                        <w:szCs w:val="21"/>
                        <w:lang w:val="en-GB"/>
                      </w:rPr>
                      <w:t>调整事项</w:t>
                    </w:r>
                  </w:p>
                </w:tc>
              </w:sdtContent>
            </w:sdt>
            <w:tc>
              <w:tcPr>
                <w:tcW w:w="970" w:type="pct"/>
                <w:tcBorders>
                  <w:top w:val="single" w:sz="6" w:space="0" w:color="auto"/>
                  <w:left w:val="single" w:sz="6" w:space="0" w:color="auto"/>
                  <w:bottom w:val="single" w:sz="4" w:space="0" w:color="auto"/>
                  <w:right w:val="single" w:sz="6" w:space="0" w:color="auto"/>
                </w:tcBorders>
              </w:tcPr>
              <w:p w14:paraId="2A153BCE" w14:textId="77777777" w:rsidR="00471D53" w:rsidRDefault="00B664AF" w:rsidP="00471D53">
                <w:pPr>
                  <w:jc w:val="right"/>
                  <w:rPr>
                    <w:szCs w:val="21"/>
                  </w:rPr>
                </w:pPr>
              </w:p>
            </w:tc>
            <w:tc>
              <w:tcPr>
                <w:tcW w:w="910" w:type="pct"/>
                <w:tcBorders>
                  <w:top w:val="single" w:sz="6" w:space="0" w:color="auto"/>
                  <w:left w:val="single" w:sz="6" w:space="0" w:color="auto"/>
                  <w:bottom w:val="single" w:sz="4" w:space="0" w:color="auto"/>
                  <w:right w:val="single" w:sz="6" w:space="0" w:color="auto"/>
                </w:tcBorders>
              </w:tcPr>
              <w:p w14:paraId="0BA4195E" w14:textId="77777777" w:rsidR="00471D53" w:rsidRDefault="00B664AF" w:rsidP="00471D53">
                <w:pPr>
                  <w:jc w:val="right"/>
                  <w:rPr>
                    <w:szCs w:val="21"/>
                  </w:rPr>
                </w:pPr>
              </w:p>
            </w:tc>
            <w:tc>
              <w:tcPr>
                <w:tcW w:w="970" w:type="pct"/>
                <w:tcBorders>
                  <w:top w:val="single" w:sz="6" w:space="0" w:color="auto"/>
                  <w:left w:val="single" w:sz="6" w:space="0" w:color="auto"/>
                  <w:bottom w:val="single" w:sz="6" w:space="0" w:color="auto"/>
                  <w:right w:val="single" w:sz="6" w:space="0" w:color="auto"/>
                </w:tcBorders>
              </w:tcPr>
              <w:p w14:paraId="316DE239" w14:textId="77777777" w:rsidR="00471D53" w:rsidRDefault="004F686E" w:rsidP="00471D53">
                <w:pPr>
                  <w:jc w:val="right"/>
                  <w:rPr>
                    <w:szCs w:val="21"/>
                  </w:rPr>
                </w:pPr>
                <w:r w:rsidRPr="00DC2267">
                  <w:rPr>
                    <w:szCs w:val="21"/>
                  </w:rPr>
                  <w:t>9,332,431.11</w:t>
                </w:r>
              </w:p>
            </w:tc>
            <w:tc>
              <w:tcPr>
                <w:tcW w:w="674" w:type="pct"/>
                <w:tcBorders>
                  <w:top w:val="single" w:sz="6" w:space="0" w:color="auto"/>
                  <w:left w:val="single" w:sz="6" w:space="0" w:color="auto"/>
                  <w:bottom w:val="single" w:sz="6" w:space="0" w:color="auto"/>
                  <w:right w:val="single" w:sz="6" w:space="0" w:color="auto"/>
                </w:tcBorders>
              </w:tcPr>
              <w:p w14:paraId="5F8C6B96" w14:textId="77777777" w:rsidR="00471D53" w:rsidRDefault="00B664AF" w:rsidP="00471D53">
                <w:pPr>
                  <w:jc w:val="right"/>
                  <w:rPr>
                    <w:szCs w:val="21"/>
                  </w:rPr>
                </w:pPr>
              </w:p>
            </w:tc>
          </w:tr>
          <w:tr w:rsidR="00471D53" w14:paraId="575DF6F8" w14:textId="77777777" w:rsidTr="00471D53">
            <w:sdt>
              <w:sdtPr>
                <w:tag w:val="_PLD_b0dd15e8ca4f40a2b270d8c2f895a375"/>
                <w:id w:val="-1611579962"/>
                <w:lock w:val="sdtLocked"/>
              </w:sdtPr>
              <w:sdtEndPr/>
              <w:sdtContent>
                <w:tc>
                  <w:tcPr>
                    <w:tcW w:w="1475" w:type="pct"/>
                    <w:tcBorders>
                      <w:top w:val="single" w:sz="6" w:space="0" w:color="auto"/>
                      <w:left w:val="single" w:sz="4" w:space="0" w:color="auto"/>
                      <w:bottom w:val="single" w:sz="6" w:space="0" w:color="auto"/>
                      <w:right w:val="single" w:sz="6" w:space="0" w:color="auto"/>
                    </w:tcBorders>
                    <w:shd w:val="clear" w:color="auto" w:fill="auto"/>
                    <w:vAlign w:val="bottom"/>
                  </w:tcPr>
                  <w:p w14:paraId="3F6E9E75" w14:textId="77777777" w:rsidR="00471D53" w:rsidRDefault="004F686E" w:rsidP="00471D53">
                    <w:pPr>
                      <w:rPr>
                        <w:rFonts w:cs="Arial"/>
                        <w:color w:val="000000"/>
                        <w:szCs w:val="21"/>
                      </w:rPr>
                    </w:pPr>
                    <w:r>
                      <w:rPr>
                        <w:rFonts w:cs="Arial"/>
                        <w:color w:val="000000"/>
                        <w:szCs w:val="21"/>
                      </w:rPr>
                      <w:t>--</w:t>
                    </w:r>
                    <w:r>
                      <w:rPr>
                        <w:rFonts w:cs="Arial" w:hint="eastAsia"/>
                        <w:color w:val="000000"/>
                        <w:szCs w:val="21"/>
                        <w:lang w:val="en-GB"/>
                      </w:rPr>
                      <w:t>商誉</w:t>
                    </w:r>
                  </w:p>
                </w:tc>
              </w:sdtContent>
            </w:sdt>
            <w:tc>
              <w:tcPr>
                <w:tcW w:w="970" w:type="pct"/>
                <w:tcBorders>
                  <w:top w:val="single" w:sz="6" w:space="0" w:color="auto"/>
                  <w:left w:val="single" w:sz="6" w:space="0" w:color="auto"/>
                  <w:bottom w:val="single" w:sz="4" w:space="0" w:color="auto"/>
                  <w:right w:val="single" w:sz="6" w:space="0" w:color="auto"/>
                </w:tcBorders>
              </w:tcPr>
              <w:p w14:paraId="0173CD4A" w14:textId="77777777" w:rsidR="00471D53" w:rsidRDefault="00B664AF" w:rsidP="00471D53">
                <w:pPr>
                  <w:jc w:val="right"/>
                  <w:rPr>
                    <w:szCs w:val="21"/>
                  </w:rPr>
                </w:pPr>
              </w:p>
            </w:tc>
            <w:tc>
              <w:tcPr>
                <w:tcW w:w="910" w:type="pct"/>
                <w:tcBorders>
                  <w:top w:val="single" w:sz="6" w:space="0" w:color="auto"/>
                  <w:left w:val="single" w:sz="6" w:space="0" w:color="auto"/>
                  <w:bottom w:val="single" w:sz="4" w:space="0" w:color="auto"/>
                  <w:right w:val="single" w:sz="6" w:space="0" w:color="auto"/>
                </w:tcBorders>
              </w:tcPr>
              <w:p w14:paraId="52973CD7" w14:textId="77777777" w:rsidR="00471D53" w:rsidRDefault="00B664AF" w:rsidP="00471D53">
                <w:pPr>
                  <w:jc w:val="right"/>
                  <w:rPr>
                    <w:szCs w:val="21"/>
                  </w:rPr>
                </w:pPr>
              </w:p>
            </w:tc>
            <w:tc>
              <w:tcPr>
                <w:tcW w:w="970" w:type="pct"/>
                <w:tcBorders>
                  <w:top w:val="single" w:sz="6" w:space="0" w:color="auto"/>
                  <w:left w:val="single" w:sz="6" w:space="0" w:color="auto"/>
                  <w:bottom w:val="single" w:sz="6" w:space="0" w:color="auto"/>
                  <w:right w:val="single" w:sz="6" w:space="0" w:color="auto"/>
                </w:tcBorders>
              </w:tcPr>
              <w:p w14:paraId="0F05DD59" w14:textId="77777777" w:rsidR="00471D53" w:rsidRDefault="00B664AF" w:rsidP="00471D53">
                <w:pPr>
                  <w:jc w:val="right"/>
                  <w:rPr>
                    <w:szCs w:val="21"/>
                  </w:rPr>
                </w:pPr>
              </w:p>
            </w:tc>
            <w:tc>
              <w:tcPr>
                <w:tcW w:w="674" w:type="pct"/>
                <w:tcBorders>
                  <w:top w:val="single" w:sz="6" w:space="0" w:color="auto"/>
                  <w:left w:val="single" w:sz="6" w:space="0" w:color="auto"/>
                  <w:bottom w:val="single" w:sz="6" w:space="0" w:color="auto"/>
                  <w:right w:val="single" w:sz="6" w:space="0" w:color="auto"/>
                </w:tcBorders>
              </w:tcPr>
              <w:p w14:paraId="6F096B15" w14:textId="77777777" w:rsidR="00471D53" w:rsidRDefault="00B664AF" w:rsidP="00471D53">
                <w:pPr>
                  <w:jc w:val="right"/>
                  <w:rPr>
                    <w:szCs w:val="21"/>
                  </w:rPr>
                </w:pPr>
              </w:p>
            </w:tc>
          </w:tr>
          <w:tr w:rsidR="00471D53" w14:paraId="33EEC36A" w14:textId="77777777" w:rsidTr="00471D53">
            <w:sdt>
              <w:sdtPr>
                <w:tag w:val="_PLD_eae342256b83445e90d37ce603db15dc"/>
                <w:id w:val="702137892"/>
                <w:lock w:val="sdtLocked"/>
              </w:sdtPr>
              <w:sdtEndPr/>
              <w:sdtContent>
                <w:tc>
                  <w:tcPr>
                    <w:tcW w:w="1475" w:type="pct"/>
                    <w:tcBorders>
                      <w:top w:val="single" w:sz="6" w:space="0" w:color="auto"/>
                      <w:left w:val="single" w:sz="4" w:space="0" w:color="auto"/>
                      <w:bottom w:val="single" w:sz="6" w:space="0" w:color="auto"/>
                      <w:right w:val="single" w:sz="6" w:space="0" w:color="auto"/>
                    </w:tcBorders>
                    <w:shd w:val="clear" w:color="auto" w:fill="auto"/>
                    <w:vAlign w:val="bottom"/>
                  </w:tcPr>
                  <w:p w14:paraId="4AD86920" w14:textId="77777777" w:rsidR="00471D53" w:rsidRDefault="004F686E" w:rsidP="00471D53">
                    <w:pPr>
                      <w:rPr>
                        <w:rFonts w:cs="Arial"/>
                        <w:color w:val="000000"/>
                        <w:szCs w:val="21"/>
                      </w:rPr>
                    </w:pPr>
                    <w:r>
                      <w:rPr>
                        <w:rFonts w:cs="Arial"/>
                        <w:color w:val="000000"/>
                        <w:szCs w:val="21"/>
                      </w:rPr>
                      <w:t>--</w:t>
                    </w:r>
                    <w:r>
                      <w:rPr>
                        <w:rFonts w:cs="Arial" w:hint="eastAsia"/>
                        <w:color w:val="000000"/>
                        <w:szCs w:val="21"/>
                        <w:lang w:val="en-GB"/>
                      </w:rPr>
                      <w:t>内部交易未实现利润</w:t>
                    </w:r>
                  </w:p>
                </w:tc>
              </w:sdtContent>
            </w:sdt>
            <w:tc>
              <w:tcPr>
                <w:tcW w:w="970" w:type="pct"/>
                <w:tcBorders>
                  <w:top w:val="single" w:sz="6" w:space="0" w:color="auto"/>
                  <w:left w:val="single" w:sz="6" w:space="0" w:color="auto"/>
                  <w:bottom w:val="single" w:sz="4" w:space="0" w:color="auto"/>
                  <w:right w:val="single" w:sz="6" w:space="0" w:color="auto"/>
                </w:tcBorders>
              </w:tcPr>
              <w:p w14:paraId="0184F0D0" w14:textId="77777777" w:rsidR="00471D53" w:rsidRDefault="00B664AF" w:rsidP="00471D53">
                <w:pPr>
                  <w:jc w:val="right"/>
                  <w:rPr>
                    <w:szCs w:val="21"/>
                  </w:rPr>
                </w:pPr>
              </w:p>
            </w:tc>
            <w:tc>
              <w:tcPr>
                <w:tcW w:w="910" w:type="pct"/>
                <w:tcBorders>
                  <w:top w:val="single" w:sz="6" w:space="0" w:color="auto"/>
                  <w:left w:val="single" w:sz="6" w:space="0" w:color="auto"/>
                  <w:bottom w:val="single" w:sz="4" w:space="0" w:color="auto"/>
                  <w:right w:val="single" w:sz="6" w:space="0" w:color="auto"/>
                </w:tcBorders>
              </w:tcPr>
              <w:p w14:paraId="64170F30" w14:textId="77777777" w:rsidR="00471D53" w:rsidRDefault="00B664AF" w:rsidP="00471D53">
                <w:pPr>
                  <w:jc w:val="right"/>
                  <w:rPr>
                    <w:szCs w:val="21"/>
                  </w:rPr>
                </w:pPr>
              </w:p>
            </w:tc>
            <w:tc>
              <w:tcPr>
                <w:tcW w:w="970" w:type="pct"/>
                <w:tcBorders>
                  <w:top w:val="single" w:sz="6" w:space="0" w:color="auto"/>
                  <w:left w:val="single" w:sz="6" w:space="0" w:color="auto"/>
                  <w:bottom w:val="single" w:sz="6" w:space="0" w:color="auto"/>
                  <w:right w:val="single" w:sz="6" w:space="0" w:color="auto"/>
                </w:tcBorders>
              </w:tcPr>
              <w:p w14:paraId="63AE840C" w14:textId="77777777" w:rsidR="00471D53" w:rsidRDefault="00B664AF" w:rsidP="00471D53">
                <w:pPr>
                  <w:jc w:val="right"/>
                  <w:rPr>
                    <w:szCs w:val="21"/>
                  </w:rPr>
                </w:pPr>
              </w:p>
            </w:tc>
            <w:tc>
              <w:tcPr>
                <w:tcW w:w="674" w:type="pct"/>
                <w:tcBorders>
                  <w:top w:val="single" w:sz="6" w:space="0" w:color="auto"/>
                  <w:left w:val="single" w:sz="6" w:space="0" w:color="auto"/>
                  <w:bottom w:val="single" w:sz="6" w:space="0" w:color="auto"/>
                  <w:right w:val="single" w:sz="6" w:space="0" w:color="auto"/>
                </w:tcBorders>
              </w:tcPr>
              <w:p w14:paraId="390C9CF9" w14:textId="77777777" w:rsidR="00471D53" w:rsidRDefault="00B664AF" w:rsidP="00471D53">
                <w:pPr>
                  <w:jc w:val="right"/>
                  <w:rPr>
                    <w:szCs w:val="21"/>
                  </w:rPr>
                </w:pPr>
              </w:p>
            </w:tc>
          </w:tr>
          <w:tr w:rsidR="00471D53" w14:paraId="5509752B" w14:textId="77777777" w:rsidTr="00471D53">
            <w:sdt>
              <w:sdtPr>
                <w:tag w:val="_PLD_0ad459b52a86446d9d6ad4a22cc4f4a1"/>
                <w:id w:val="-1105645492"/>
                <w:lock w:val="sdtLocked"/>
              </w:sdtPr>
              <w:sdtEndPr/>
              <w:sdtContent>
                <w:tc>
                  <w:tcPr>
                    <w:tcW w:w="1475" w:type="pct"/>
                    <w:tcBorders>
                      <w:top w:val="single" w:sz="6" w:space="0" w:color="auto"/>
                      <w:left w:val="single" w:sz="4" w:space="0" w:color="auto"/>
                      <w:bottom w:val="single" w:sz="6" w:space="0" w:color="auto"/>
                      <w:right w:val="single" w:sz="6" w:space="0" w:color="auto"/>
                    </w:tcBorders>
                    <w:shd w:val="clear" w:color="auto" w:fill="auto"/>
                    <w:vAlign w:val="bottom"/>
                  </w:tcPr>
                  <w:p w14:paraId="69CB93DE" w14:textId="77777777" w:rsidR="00471D53" w:rsidRDefault="004F686E" w:rsidP="00471D53">
                    <w:pPr>
                      <w:rPr>
                        <w:rFonts w:cs="Arial"/>
                        <w:color w:val="000000"/>
                        <w:szCs w:val="21"/>
                      </w:rPr>
                    </w:pPr>
                    <w:r>
                      <w:rPr>
                        <w:rFonts w:cs="Arial"/>
                        <w:color w:val="000000"/>
                        <w:szCs w:val="21"/>
                      </w:rPr>
                      <w:t>--</w:t>
                    </w:r>
                    <w:r>
                      <w:rPr>
                        <w:rFonts w:cs="Arial" w:hint="eastAsia"/>
                        <w:color w:val="000000"/>
                        <w:szCs w:val="21"/>
                        <w:lang w:val="en-GB"/>
                      </w:rPr>
                      <w:t>其他</w:t>
                    </w:r>
                  </w:p>
                </w:tc>
              </w:sdtContent>
            </w:sdt>
            <w:tc>
              <w:tcPr>
                <w:tcW w:w="970" w:type="pct"/>
                <w:tcBorders>
                  <w:top w:val="single" w:sz="6" w:space="0" w:color="auto"/>
                  <w:left w:val="single" w:sz="6" w:space="0" w:color="auto"/>
                  <w:bottom w:val="single" w:sz="4" w:space="0" w:color="auto"/>
                  <w:right w:val="single" w:sz="6" w:space="0" w:color="auto"/>
                </w:tcBorders>
              </w:tcPr>
              <w:p w14:paraId="27B5D5C2" w14:textId="77777777" w:rsidR="00471D53" w:rsidRDefault="00B664AF" w:rsidP="00471D53">
                <w:pPr>
                  <w:jc w:val="right"/>
                  <w:rPr>
                    <w:szCs w:val="21"/>
                  </w:rPr>
                </w:pPr>
              </w:p>
            </w:tc>
            <w:tc>
              <w:tcPr>
                <w:tcW w:w="910" w:type="pct"/>
                <w:tcBorders>
                  <w:top w:val="single" w:sz="6" w:space="0" w:color="auto"/>
                  <w:left w:val="single" w:sz="6" w:space="0" w:color="auto"/>
                  <w:bottom w:val="single" w:sz="4" w:space="0" w:color="auto"/>
                  <w:right w:val="single" w:sz="6" w:space="0" w:color="auto"/>
                </w:tcBorders>
              </w:tcPr>
              <w:p w14:paraId="05D64CF2" w14:textId="77777777" w:rsidR="00471D53" w:rsidRDefault="00B664AF" w:rsidP="00471D53">
                <w:pPr>
                  <w:jc w:val="right"/>
                  <w:rPr>
                    <w:szCs w:val="21"/>
                  </w:rPr>
                </w:pPr>
              </w:p>
            </w:tc>
            <w:tc>
              <w:tcPr>
                <w:tcW w:w="970" w:type="pct"/>
                <w:tcBorders>
                  <w:top w:val="single" w:sz="6" w:space="0" w:color="auto"/>
                  <w:left w:val="single" w:sz="6" w:space="0" w:color="auto"/>
                  <w:bottom w:val="single" w:sz="6" w:space="0" w:color="auto"/>
                  <w:right w:val="single" w:sz="6" w:space="0" w:color="auto"/>
                </w:tcBorders>
              </w:tcPr>
              <w:p w14:paraId="09528EBF" w14:textId="77777777" w:rsidR="00471D53" w:rsidRDefault="004F686E" w:rsidP="00471D53">
                <w:pPr>
                  <w:jc w:val="right"/>
                  <w:rPr>
                    <w:szCs w:val="21"/>
                  </w:rPr>
                </w:pPr>
                <w:r w:rsidRPr="00DC2267">
                  <w:rPr>
                    <w:szCs w:val="21"/>
                  </w:rPr>
                  <w:t>9,332,431.11</w:t>
                </w:r>
              </w:p>
            </w:tc>
            <w:tc>
              <w:tcPr>
                <w:tcW w:w="674" w:type="pct"/>
                <w:tcBorders>
                  <w:top w:val="single" w:sz="6" w:space="0" w:color="auto"/>
                  <w:left w:val="single" w:sz="6" w:space="0" w:color="auto"/>
                  <w:bottom w:val="single" w:sz="6" w:space="0" w:color="auto"/>
                  <w:right w:val="single" w:sz="6" w:space="0" w:color="auto"/>
                </w:tcBorders>
              </w:tcPr>
              <w:p w14:paraId="3F3AFD05" w14:textId="77777777" w:rsidR="00471D53" w:rsidRDefault="00B664AF" w:rsidP="00471D53">
                <w:pPr>
                  <w:jc w:val="right"/>
                  <w:rPr>
                    <w:szCs w:val="21"/>
                  </w:rPr>
                </w:pPr>
              </w:p>
            </w:tc>
          </w:tr>
          <w:tr w:rsidR="00471D53" w14:paraId="125A1C79" w14:textId="77777777" w:rsidTr="00471D53">
            <w:sdt>
              <w:sdtPr>
                <w:tag w:val="_PLD_f78fb3279ec849b0916e018a989f4c0b"/>
                <w:id w:val="502409146"/>
                <w:lock w:val="sdtLocked"/>
              </w:sdtPr>
              <w:sdtEndPr/>
              <w:sdtContent>
                <w:tc>
                  <w:tcPr>
                    <w:tcW w:w="1475" w:type="pct"/>
                    <w:tcBorders>
                      <w:top w:val="single" w:sz="6" w:space="0" w:color="auto"/>
                      <w:left w:val="single" w:sz="4" w:space="0" w:color="auto"/>
                      <w:bottom w:val="single" w:sz="6" w:space="0" w:color="auto"/>
                      <w:right w:val="single" w:sz="6" w:space="0" w:color="auto"/>
                    </w:tcBorders>
                    <w:shd w:val="clear" w:color="auto" w:fill="auto"/>
                    <w:vAlign w:val="bottom"/>
                  </w:tcPr>
                  <w:p w14:paraId="66E0CFFB" w14:textId="77777777" w:rsidR="00471D53" w:rsidRDefault="004F686E" w:rsidP="00471D53">
                    <w:pPr>
                      <w:rPr>
                        <w:rFonts w:cs="Arial"/>
                        <w:color w:val="000000"/>
                        <w:szCs w:val="21"/>
                      </w:rPr>
                    </w:pPr>
                    <w:r>
                      <w:rPr>
                        <w:rFonts w:cs="Arial" w:hint="eastAsia"/>
                        <w:color w:val="000000"/>
                        <w:szCs w:val="21"/>
                        <w:lang w:val="en-GB"/>
                      </w:rPr>
                      <w:t>对合营企业权益投资的账面价值</w:t>
                    </w:r>
                  </w:p>
                </w:tc>
              </w:sdtContent>
            </w:sdt>
            <w:tc>
              <w:tcPr>
                <w:tcW w:w="970" w:type="pct"/>
                <w:tcBorders>
                  <w:top w:val="single" w:sz="6" w:space="0" w:color="auto"/>
                  <w:left w:val="single" w:sz="6" w:space="0" w:color="auto"/>
                  <w:bottom w:val="single" w:sz="4" w:space="0" w:color="auto"/>
                  <w:right w:val="single" w:sz="6" w:space="0" w:color="auto"/>
                </w:tcBorders>
              </w:tcPr>
              <w:p w14:paraId="20922370" w14:textId="77777777" w:rsidR="00471D53" w:rsidRDefault="004F686E" w:rsidP="00471D53">
                <w:pPr>
                  <w:jc w:val="right"/>
                  <w:rPr>
                    <w:szCs w:val="21"/>
                  </w:rPr>
                </w:pPr>
                <w:r w:rsidRPr="00DC2267">
                  <w:rPr>
                    <w:szCs w:val="21"/>
                  </w:rPr>
                  <w:t>3,017,515.83</w:t>
                </w:r>
              </w:p>
            </w:tc>
            <w:tc>
              <w:tcPr>
                <w:tcW w:w="910" w:type="pct"/>
                <w:tcBorders>
                  <w:top w:val="single" w:sz="6" w:space="0" w:color="auto"/>
                  <w:left w:val="single" w:sz="6" w:space="0" w:color="auto"/>
                  <w:bottom w:val="single" w:sz="4" w:space="0" w:color="auto"/>
                  <w:right w:val="single" w:sz="6" w:space="0" w:color="auto"/>
                </w:tcBorders>
              </w:tcPr>
              <w:p w14:paraId="21663F61" w14:textId="77777777" w:rsidR="00471D53" w:rsidRDefault="00B664AF" w:rsidP="00471D53">
                <w:pPr>
                  <w:jc w:val="right"/>
                  <w:rPr>
                    <w:szCs w:val="21"/>
                  </w:rPr>
                </w:pPr>
              </w:p>
            </w:tc>
            <w:tc>
              <w:tcPr>
                <w:tcW w:w="970" w:type="pct"/>
                <w:tcBorders>
                  <w:top w:val="single" w:sz="6" w:space="0" w:color="auto"/>
                  <w:left w:val="single" w:sz="6" w:space="0" w:color="auto"/>
                  <w:bottom w:val="single" w:sz="6" w:space="0" w:color="auto"/>
                  <w:right w:val="single" w:sz="6" w:space="0" w:color="auto"/>
                </w:tcBorders>
              </w:tcPr>
              <w:p w14:paraId="6A9A2ED9" w14:textId="77777777" w:rsidR="00471D53" w:rsidRDefault="004F686E" w:rsidP="00471D53">
                <w:pPr>
                  <w:jc w:val="right"/>
                  <w:rPr>
                    <w:szCs w:val="21"/>
                  </w:rPr>
                </w:pPr>
                <w:r w:rsidRPr="00DC2267">
                  <w:rPr>
                    <w:szCs w:val="21"/>
                  </w:rPr>
                  <w:t>0.00</w:t>
                </w:r>
              </w:p>
            </w:tc>
            <w:tc>
              <w:tcPr>
                <w:tcW w:w="674" w:type="pct"/>
                <w:tcBorders>
                  <w:top w:val="single" w:sz="6" w:space="0" w:color="auto"/>
                  <w:left w:val="single" w:sz="6" w:space="0" w:color="auto"/>
                  <w:bottom w:val="single" w:sz="6" w:space="0" w:color="auto"/>
                  <w:right w:val="single" w:sz="6" w:space="0" w:color="auto"/>
                </w:tcBorders>
              </w:tcPr>
              <w:p w14:paraId="38042707" w14:textId="77777777" w:rsidR="00471D53" w:rsidRDefault="00B664AF" w:rsidP="00471D53">
                <w:pPr>
                  <w:jc w:val="right"/>
                  <w:rPr>
                    <w:szCs w:val="21"/>
                  </w:rPr>
                </w:pPr>
              </w:p>
            </w:tc>
          </w:tr>
          <w:tr w:rsidR="00471D53" w14:paraId="6CA771AC" w14:textId="77777777" w:rsidTr="00471D53">
            <w:tc>
              <w:tcPr>
                <w:tcW w:w="1475" w:type="pct"/>
                <w:tcBorders>
                  <w:top w:val="single" w:sz="6" w:space="0" w:color="auto"/>
                  <w:left w:val="single" w:sz="4" w:space="0" w:color="auto"/>
                  <w:bottom w:val="single" w:sz="6" w:space="0" w:color="auto"/>
                  <w:right w:val="single" w:sz="6" w:space="0" w:color="auto"/>
                </w:tcBorders>
                <w:shd w:val="clear" w:color="auto" w:fill="auto"/>
                <w:vAlign w:val="bottom"/>
              </w:tcPr>
              <w:p w14:paraId="26031B23" w14:textId="77777777" w:rsidR="00471D53" w:rsidRDefault="00B664AF" w:rsidP="00471D53">
                <w:pPr>
                  <w:rPr>
                    <w:rFonts w:cs="Arial"/>
                    <w:color w:val="000000"/>
                    <w:szCs w:val="21"/>
                    <w:lang w:val="en-GB"/>
                  </w:rPr>
                </w:pPr>
              </w:p>
            </w:tc>
            <w:tc>
              <w:tcPr>
                <w:tcW w:w="970" w:type="pct"/>
                <w:tcBorders>
                  <w:top w:val="single" w:sz="6" w:space="0" w:color="auto"/>
                  <w:left w:val="single" w:sz="6" w:space="0" w:color="auto"/>
                  <w:bottom w:val="single" w:sz="4" w:space="0" w:color="auto"/>
                  <w:right w:val="single" w:sz="6" w:space="0" w:color="auto"/>
                </w:tcBorders>
              </w:tcPr>
              <w:p w14:paraId="6034C4A3" w14:textId="77777777" w:rsidR="00471D53" w:rsidRDefault="00B664AF" w:rsidP="00471D53">
                <w:pPr>
                  <w:jc w:val="right"/>
                  <w:rPr>
                    <w:szCs w:val="21"/>
                  </w:rPr>
                </w:pPr>
              </w:p>
            </w:tc>
            <w:tc>
              <w:tcPr>
                <w:tcW w:w="910" w:type="pct"/>
                <w:tcBorders>
                  <w:top w:val="single" w:sz="6" w:space="0" w:color="auto"/>
                  <w:left w:val="single" w:sz="6" w:space="0" w:color="auto"/>
                  <w:bottom w:val="single" w:sz="4" w:space="0" w:color="auto"/>
                  <w:right w:val="single" w:sz="6" w:space="0" w:color="auto"/>
                </w:tcBorders>
              </w:tcPr>
              <w:p w14:paraId="63688086" w14:textId="77777777" w:rsidR="00471D53" w:rsidRDefault="00B664AF" w:rsidP="00471D53">
                <w:pPr>
                  <w:jc w:val="right"/>
                  <w:rPr>
                    <w:szCs w:val="21"/>
                  </w:rPr>
                </w:pPr>
              </w:p>
            </w:tc>
            <w:tc>
              <w:tcPr>
                <w:tcW w:w="970" w:type="pct"/>
                <w:tcBorders>
                  <w:top w:val="single" w:sz="6" w:space="0" w:color="auto"/>
                  <w:left w:val="single" w:sz="6" w:space="0" w:color="auto"/>
                  <w:bottom w:val="single" w:sz="6" w:space="0" w:color="auto"/>
                  <w:right w:val="single" w:sz="6" w:space="0" w:color="auto"/>
                </w:tcBorders>
              </w:tcPr>
              <w:p w14:paraId="3B177051" w14:textId="77777777" w:rsidR="00471D53" w:rsidRDefault="00B664AF" w:rsidP="00471D53">
                <w:pPr>
                  <w:jc w:val="right"/>
                  <w:rPr>
                    <w:szCs w:val="21"/>
                  </w:rPr>
                </w:pPr>
              </w:p>
            </w:tc>
            <w:tc>
              <w:tcPr>
                <w:tcW w:w="674" w:type="pct"/>
                <w:tcBorders>
                  <w:top w:val="single" w:sz="6" w:space="0" w:color="auto"/>
                  <w:left w:val="single" w:sz="6" w:space="0" w:color="auto"/>
                  <w:bottom w:val="single" w:sz="6" w:space="0" w:color="auto"/>
                  <w:right w:val="single" w:sz="6" w:space="0" w:color="auto"/>
                </w:tcBorders>
              </w:tcPr>
              <w:p w14:paraId="0D3CB2E3" w14:textId="77777777" w:rsidR="00471D53" w:rsidRDefault="00B664AF" w:rsidP="00471D53">
                <w:pPr>
                  <w:jc w:val="right"/>
                  <w:rPr>
                    <w:szCs w:val="21"/>
                  </w:rPr>
                </w:pPr>
              </w:p>
            </w:tc>
          </w:tr>
          <w:tr w:rsidR="00471D53" w14:paraId="768CEAC5" w14:textId="77777777" w:rsidTr="00471D53">
            <w:sdt>
              <w:sdtPr>
                <w:tag w:val="_PLD_d5ba41b43763490f82ea9f2e3274b855"/>
                <w:id w:val="1193346935"/>
                <w:lock w:val="sdtLocked"/>
              </w:sdtPr>
              <w:sdtEndPr/>
              <w:sdtContent>
                <w:tc>
                  <w:tcPr>
                    <w:tcW w:w="1475" w:type="pct"/>
                    <w:tcBorders>
                      <w:top w:val="single" w:sz="6" w:space="0" w:color="auto"/>
                      <w:left w:val="single" w:sz="4" w:space="0" w:color="auto"/>
                      <w:bottom w:val="single" w:sz="6" w:space="0" w:color="auto"/>
                      <w:right w:val="single" w:sz="6" w:space="0" w:color="auto"/>
                    </w:tcBorders>
                    <w:shd w:val="clear" w:color="auto" w:fill="auto"/>
                    <w:vAlign w:val="bottom"/>
                  </w:tcPr>
                  <w:p w14:paraId="6EC0D110" w14:textId="77777777" w:rsidR="00471D53" w:rsidRDefault="004F686E" w:rsidP="00471D53">
                    <w:pPr>
                      <w:rPr>
                        <w:rFonts w:cs="Arial"/>
                        <w:color w:val="000000"/>
                        <w:szCs w:val="21"/>
                      </w:rPr>
                    </w:pPr>
                    <w:r>
                      <w:rPr>
                        <w:rFonts w:cs="Arial" w:hint="eastAsia"/>
                        <w:color w:val="000000"/>
                        <w:szCs w:val="21"/>
                        <w:lang w:val="en-GB"/>
                      </w:rPr>
                      <w:t>存在公开报价的合营企业权益投资的公允价值</w:t>
                    </w:r>
                  </w:p>
                </w:tc>
              </w:sdtContent>
            </w:sdt>
            <w:tc>
              <w:tcPr>
                <w:tcW w:w="970" w:type="pct"/>
                <w:tcBorders>
                  <w:top w:val="single" w:sz="6" w:space="0" w:color="auto"/>
                  <w:left w:val="single" w:sz="6" w:space="0" w:color="auto"/>
                  <w:bottom w:val="single" w:sz="4" w:space="0" w:color="auto"/>
                  <w:right w:val="single" w:sz="6" w:space="0" w:color="auto"/>
                </w:tcBorders>
              </w:tcPr>
              <w:p w14:paraId="6BF6C6E2" w14:textId="77777777" w:rsidR="00471D53" w:rsidRDefault="00B664AF" w:rsidP="00471D53">
                <w:pPr>
                  <w:jc w:val="right"/>
                  <w:rPr>
                    <w:szCs w:val="21"/>
                  </w:rPr>
                </w:pPr>
              </w:p>
            </w:tc>
            <w:tc>
              <w:tcPr>
                <w:tcW w:w="910" w:type="pct"/>
                <w:tcBorders>
                  <w:top w:val="single" w:sz="6" w:space="0" w:color="auto"/>
                  <w:left w:val="single" w:sz="6" w:space="0" w:color="auto"/>
                  <w:bottom w:val="single" w:sz="4" w:space="0" w:color="auto"/>
                  <w:right w:val="single" w:sz="6" w:space="0" w:color="auto"/>
                </w:tcBorders>
              </w:tcPr>
              <w:p w14:paraId="7538C94E" w14:textId="77777777" w:rsidR="00471D53" w:rsidRDefault="00B664AF" w:rsidP="00471D53">
                <w:pPr>
                  <w:jc w:val="right"/>
                  <w:rPr>
                    <w:szCs w:val="21"/>
                  </w:rPr>
                </w:pPr>
              </w:p>
            </w:tc>
            <w:tc>
              <w:tcPr>
                <w:tcW w:w="970" w:type="pct"/>
                <w:tcBorders>
                  <w:top w:val="single" w:sz="6" w:space="0" w:color="auto"/>
                  <w:left w:val="single" w:sz="6" w:space="0" w:color="auto"/>
                  <w:bottom w:val="single" w:sz="6" w:space="0" w:color="auto"/>
                  <w:right w:val="single" w:sz="6" w:space="0" w:color="auto"/>
                </w:tcBorders>
              </w:tcPr>
              <w:p w14:paraId="1E8FA342" w14:textId="77777777" w:rsidR="00471D53" w:rsidRDefault="00B664AF" w:rsidP="00471D53">
                <w:pPr>
                  <w:jc w:val="right"/>
                  <w:rPr>
                    <w:szCs w:val="21"/>
                  </w:rPr>
                </w:pPr>
              </w:p>
            </w:tc>
            <w:tc>
              <w:tcPr>
                <w:tcW w:w="674" w:type="pct"/>
                <w:tcBorders>
                  <w:top w:val="single" w:sz="6" w:space="0" w:color="auto"/>
                  <w:left w:val="single" w:sz="6" w:space="0" w:color="auto"/>
                  <w:bottom w:val="single" w:sz="6" w:space="0" w:color="auto"/>
                  <w:right w:val="single" w:sz="6" w:space="0" w:color="auto"/>
                </w:tcBorders>
              </w:tcPr>
              <w:p w14:paraId="0776E070" w14:textId="77777777" w:rsidR="00471D53" w:rsidRDefault="00B664AF" w:rsidP="00471D53">
                <w:pPr>
                  <w:jc w:val="right"/>
                  <w:rPr>
                    <w:szCs w:val="21"/>
                  </w:rPr>
                </w:pPr>
              </w:p>
            </w:tc>
          </w:tr>
          <w:tr w:rsidR="00471D53" w14:paraId="53B7DDD6" w14:textId="77777777" w:rsidTr="00471D53">
            <w:tc>
              <w:tcPr>
                <w:tcW w:w="1475" w:type="pct"/>
                <w:tcBorders>
                  <w:top w:val="single" w:sz="6" w:space="0" w:color="auto"/>
                  <w:left w:val="single" w:sz="4" w:space="0" w:color="auto"/>
                  <w:bottom w:val="single" w:sz="6" w:space="0" w:color="auto"/>
                  <w:right w:val="single" w:sz="6" w:space="0" w:color="auto"/>
                </w:tcBorders>
                <w:shd w:val="clear" w:color="auto" w:fill="auto"/>
                <w:vAlign w:val="bottom"/>
              </w:tcPr>
              <w:p w14:paraId="17178FB7" w14:textId="77777777" w:rsidR="00471D53" w:rsidRDefault="00B664AF" w:rsidP="00471D53">
                <w:pPr>
                  <w:rPr>
                    <w:rFonts w:cs="Arial"/>
                    <w:color w:val="000000"/>
                    <w:szCs w:val="21"/>
                    <w:lang w:val="en-GB"/>
                  </w:rPr>
                </w:pPr>
              </w:p>
            </w:tc>
            <w:tc>
              <w:tcPr>
                <w:tcW w:w="970" w:type="pct"/>
                <w:tcBorders>
                  <w:top w:val="single" w:sz="6" w:space="0" w:color="auto"/>
                  <w:left w:val="single" w:sz="6" w:space="0" w:color="auto"/>
                  <w:bottom w:val="single" w:sz="4" w:space="0" w:color="auto"/>
                  <w:right w:val="single" w:sz="6" w:space="0" w:color="auto"/>
                </w:tcBorders>
              </w:tcPr>
              <w:p w14:paraId="7DF1149A" w14:textId="77777777" w:rsidR="00471D53" w:rsidRDefault="00B664AF" w:rsidP="00471D53">
                <w:pPr>
                  <w:jc w:val="right"/>
                  <w:rPr>
                    <w:szCs w:val="21"/>
                  </w:rPr>
                </w:pPr>
              </w:p>
            </w:tc>
            <w:tc>
              <w:tcPr>
                <w:tcW w:w="910" w:type="pct"/>
                <w:tcBorders>
                  <w:top w:val="single" w:sz="6" w:space="0" w:color="auto"/>
                  <w:left w:val="single" w:sz="6" w:space="0" w:color="auto"/>
                  <w:bottom w:val="single" w:sz="4" w:space="0" w:color="auto"/>
                  <w:right w:val="single" w:sz="6" w:space="0" w:color="auto"/>
                </w:tcBorders>
              </w:tcPr>
              <w:p w14:paraId="24B04FD5" w14:textId="77777777" w:rsidR="00471D53" w:rsidRDefault="00B664AF" w:rsidP="00471D53">
                <w:pPr>
                  <w:jc w:val="right"/>
                  <w:rPr>
                    <w:szCs w:val="21"/>
                  </w:rPr>
                </w:pPr>
              </w:p>
            </w:tc>
            <w:tc>
              <w:tcPr>
                <w:tcW w:w="970" w:type="pct"/>
                <w:tcBorders>
                  <w:top w:val="single" w:sz="6" w:space="0" w:color="auto"/>
                  <w:left w:val="single" w:sz="6" w:space="0" w:color="auto"/>
                  <w:bottom w:val="single" w:sz="6" w:space="0" w:color="auto"/>
                  <w:right w:val="single" w:sz="6" w:space="0" w:color="auto"/>
                </w:tcBorders>
              </w:tcPr>
              <w:p w14:paraId="1AF369D6" w14:textId="77777777" w:rsidR="00471D53" w:rsidRDefault="00B664AF" w:rsidP="00471D53">
                <w:pPr>
                  <w:jc w:val="right"/>
                  <w:rPr>
                    <w:szCs w:val="21"/>
                  </w:rPr>
                </w:pPr>
              </w:p>
            </w:tc>
            <w:tc>
              <w:tcPr>
                <w:tcW w:w="674" w:type="pct"/>
                <w:tcBorders>
                  <w:top w:val="single" w:sz="6" w:space="0" w:color="auto"/>
                  <w:left w:val="single" w:sz="6" w:space="0" w:color="auto"/>
                  <w:bottom w:val="single" w:sz="6" w:space="0" w:color="auto"/>
                  <w:right w:val="single" w:sz="6" w:space="0" w:color="auto"/>
                </w:tcBorders>
              </w:tcPr>
              <w:p w14:paraId="072FE6DA" w14:textId="77777777" w:rsidR="00471D53" w:rsidRDefault="00B664AF" w:rsidP="00471D53">
                <w:pPr>
                  <w:jc w:val="right"/>
                  <w:rPr>
                    <w:szCs w:val="21"/>
                  </w:rPr>
                </w:pPr>
              </w:p>
            </w:tc>
          </w:tr>
          <w:tr w:rsidR="00471D53" w14:paraId="00F5EFA7" w14:textId="77777777" w:rsidTr="00471D53">
            <w:sdt>
              <w:sdtPr>
                <w:tag w:val="_PLD_7681be0032f74e06af113991cdcbcc6f"/>
                <w:id w:val="-1136557569"/>
                <w:lock w:val="sdtLocked"/>
              </w:sdtPr>
              <w:sdtEndPr/>
              <w:sdtContent>
                <w:tc>
                  <w:tcPr>
                    <w:tcW w:w="1475" w:type="pct"/>
                    <w:tcBorders>
                      <w:top w:val="single" w:sz="6" w:space="0" w:color="auto"/>
                      <w:left w:val="single" w:sz="4" w:space="0" w:color="auto"/>
                      <w:bottom w:val="single" w:sz="6" w:space="0" w:color="auto"/>
                      <w:right w:val="single" w:sz="6" w:space="0" w:color="auto"/>
                    </w:tcBorders>
                    <w:shd w:val="clear" w:color="auto" w:fill="auto"/>
                    <w:vAlign w:val="bottom"/>
                  </w:tcPr>
                  <w:p w14:paraId="4FC62DC3" w14:textId="77777777" w:rsidR="00471D53" w:rsidRDefault="004F686E" w:rsidP="00471D53">
                    <w:pPr>
                      <w:rPr>
                        <w:rFonts w:cs="Arial"/>
                        <w:color w:val="000000"/>
                        <w:szCs w:val="21"/>
                      </w:rPr>
                    </w:pPr>
                    <w:r>
                      <w:rPr>
                        <w:rFonts w:cs="Arial" w:hint="eastAsia"/>
                        <w:color w:val="000000"/>
                        <w:szCs w:val="21"/>
                        <w:lang w:val="en-GB"/>
                      </w:rPr>
                      <w:t>营业收入</w:t>
                    </w:r>
                  </w:p>
                </w:tc>
              </w:sdtContent>
            </w:sdt>
            <w:tc>
              <w:tcPr>
                <w:tcW w:w="970" w:type="pct"/>
                <w:tcBorders>
                  <w:top w:val="single" w:sz="6" w:space="0" w:color="auto"/>
                  <w:left w:val="single" w:sz="6" w:space="0" w:color="auto"/>
                  <w:bottom w:val="single" w:sz="4" w:space="0" w:color="auto"/>
                  <w:right w:val="single" w:sz="6" w:space="0" w:color="auto"/>
                </w:tcBorders>
              </w:tcPr>
              <w:p w14:paraId="64CF280F" w14:textId="77777777" w:rsidR="00471D53" w:rsidRDefault="00B664AF" w:rsidP="00471D53">
                <w:pPr>
                  <w:jc w:val="right"/>
                  <w:rPr>
                    <w:szCs w:val="21"/>
                  </w:rPr>
                </w:pPr>
              </w:p>
            </w:tc>
            <w:tc>
              <w:tcPr>
                <w:tcW w:w="910" w:type="pct"/>
                <w:tcBorders>
                  <w:top w:val="single" w:sz="6" w:space="0" w:color="auto"/>
                  <w:left w:val="single" w:sz="6" w:space="0" w:color="auto"/>
                  <w:bottom w:val="single" w:sz="4" w:space="0" w:color="auto"/>
                  <w:right w:val="single" w:sz="6" w:space="0" w:color="auto"/>
                </w:tcBorders>
                <w:vAlign w:val="center"/>
              </w:tcPr>
              <w:p w14:paraId="7A40AC39" w14:textId="77777777" w:rsidR="00471D53" w:rsidRDefault="004F686E" w:rsidP="00471D53">
                <w:pPr>
                  <w:jc w:val="right"/>
                  <w:rPr>
                    <w:rFonts w:cs="Calibri"/>
                    <w:sz w:val="22"/>
                  </w:rPr>
                </w:pPr>
                <w:r w:rsidRPr="000B6F60">
                  <w:rPr>
                    <w:rFonts w:cs="Calibri"/>
                    <w:sz w:val="22"/>
                  </w:rPr>
                  <w:t>24,898,023.32</w:t>
                </w:r>
              </w:p>
            </w:tc>
            <w:tc>
              <w:tcPr>
                <w:tcW w:w="970" w:type="pct"/>
                <w:tcBorders>
                  <w:top w:val="single" w:sz="6" w:space="0" w:color="auto"/>
                  <w:left w:val="single" w:sz="6" w:space="0" w:color="auto"/>
                  <w:bottom w:val="single" w:sz="6" w:space="0" w:color="auto"/>
                  <w:right w:val="single" w:sz="6" w:space="0" w:color="auto"/>
                </w:tcBorders>
              </w:tcPr>
              <w:p w14:paraId="1E1C12AD" w14:textId="77777777" w:rsidR="00471D53" w:rsidRDefault="00B664AF" w:rsidP="00471D53">
                <w:pPr>
                  <w:jc w:val="right"/>
                  <w:rPr>
                    <w:szCs w:val="21"/>
                  </w:rPr>
                </w:pPr>
              </w:p>
            </w:tc>
            <w:tc>
              <w:tcPr>
                <w:tcW w:w="674" w:type="pct"/>
                <w:tcBorders>
                  <w:top w:val="single" w:sz="6" w:space="0" w:color="auto"/>
                  <w:left w:val="single" w:sz="6" w:space="0" w:color="auto"/>
                  <w:bottom w:val="single" w:sz="6" w:space="0" w:color="auto"/>
                  <w:right w:val="single" w:sz="6" w:space="0" w:color="auto"/>
                </w:tcBorders>
                <w:vAlign w:val="center"/>
              </w:tcPr>
              <w:p w14:paraId="36053603" w14:textId="77777777" w:rsidR="00471D53" w:rsidRDefault="004F686E" w:rsidP="00471D53">
                <w:pPr>
                  <w:jc w:val="right"/>
                  <w:rPr>
                    <w:sz w:val="22"/>
                  </w:rPr>
                </w:pPr>
                <w:r w:rsidRPr="002E2C92">
                  <w:rPr>
                    <w:sz w:val="22"/>
                  </w:rPr>
                  <w:t>14,237.61</w:t>
                </w:r>
              </w:p>
            </w:tc>
          </w:tr>
          <w:tr w:rsidR="00471D53" w14:paraId="120B20F6" w14:textId="77777777" w:rsidTr="00471D53">
            <w:sdt>
              <w:sdtPr>
                <w:tag w:val="_PLD_efb10239f1f246c0b37959f181152094"/>
                <w:id w:val="1578940738"/>
                <w:lock w:val="sdtLocked"/>
              </w:sdtPr>
              <w:sdtEndPr/>
              <w:sdtContent>
                <w:tc>
                  <w:tcPr>
                    <w:tcW w:w="1475" w:type="pct"/>
                    <w:tcBorders>
                      <w:top w:val="single" w:sz="6" w:space="0" w:color="auto"/>
                      <w:left w:val="single" w:sz="4" w:space="0" w:color="auto"/>
                      <w:bottom w:val="single" w:sz="6" w:space="0" w:color="auto"/>
                      <w:right w:val="single" w:sz="6" w:space="0" w:color="auto"/>
                    </w:tcBorders>
                    <w:shd w:val="clear" w:color="auto" w:fill="auto"/>
                    <w:vAlign w:val="bottom"/>
                  </w:tcPr>
                  <w:p w14:paraId="75F795FB" w14:textId="77777777" w:rsidR="00471D53" w:rsidRDefault="004F686E" w:rsidP="00471D53">
                    <w:pPr>
                      <w:rPr>
                        <w:rFonts w:cs="Arial"/>
                        <w:color w:val="000000"/>
                        <w:szCs w:val="21"/>
                      </w:rPr>
                    </w:pPr>
                    <w:r>
                      <w:rPr>
                        <w:rFonts w:cs="Arial" w:hint="eastAsia"/>
                        <w:color w:val="000000"/>
                        <w:szCs w:val="21"/>
                        <w:lang w:val="en-GB"/>
                      </w:rPr>
                      <w:t>财务费用</w:t>
                    </w:r>
                  </w:p>
                </w:tc>
              </w:sdtContent>
            </w:sdt>
            <w:tc>
              <w:tcPr>
                <w:tcW w:w="970" w:type="pct"/>
                <w:tcBorders>
                  <w:top w:val="single" w:sz="6" w:space="0" w:color="auto"/>
                  <w:left w:val="single" w:sz="6" w:space="0" w:color="auto"/>
                  <w:bottom w:val="single" w:sz="4" w:space="0" w:color="auto"/>
                  <w:right w:val="single" w:sz="6" w:space="0" w:color="auto"/>
                </w:tcBorders>
              </w:tcPr>
              <w:p w14:paraId="22AE8956" w14:textId="77777777" w:rsidR="00471D53" w:rsidRDefault="00B664AF" w:rsidP="00471D53">
                <w:pPr>
                  <w:jc w:val="right"/>
                  <w:rPr>
                    <w:szCs w:val="21"/>
                  </w:rPr>
                </w:pPr>
              </w:p>
            </w:tc>
            <w:tc>
              <w:tcPr>
                <w:tcW w:w="910" w:type="pct"/>
                <w:tcBorders>
                  <w:top w:val="single" w:sz="6" w:space="0" w:color="auto"/>
                  <w:left w:val="single" w:sz="6" w:space="0" w:color="auto"/>
                  <w:bottom w:val="single" w:sz="4" w:space="0" w:color="auto"/>
                  <w:right w:val="single" w:sz="6" w:space="0" w:color="auto"/>
                </w:tcBorders>
                <w:vAlign w:val="center"/>
              </w:tcPr>
              <w:p w14:paraId="1CD7659C" w14:textId="77777777" w:rsidR="00471D53" w:rsidRDefault="004F686E" w:rsidP="00471D53">
                <w:pPr>
                  <w:jc w:val="right"/>
                  <w:rPr>
                    <w:rFonts w:cs="Calibri"/>
                    <w:sz w:val="22"/>
                  </w:rPr>
                </w:pPr>
                <w:r w:rsidRPr="000B6F60">
                  <w:rPr>
                    <w:rFonts w:cs="Calibri"/>
                    <w:sz w:val="22"/>
                  </w:rPr>
                  <w:t>238,168.12</w:t>
                </w:r>
              </w:p>
            </w:tc>
            <w:tc>
              <w:tcPr>
                <w:tcW w:w="970" w:type="pct"/>
                <w:tcBorders>
                  <w:top w:val="single" w:sz="6" w:space="0" w:color="auto"/>
                  <w:left w:val="single" w:sz="6" w:space="0" w:color="auto"/>
                  <w:bottom w:val="single" w:sz="6" w:space="0" w:color="auto"/>
                  <w:right w:val="single" w:sz="6" w:space="0" w:color="auto"/>
                </w:tcBorders>
              </w:tcPr>
              <w:p w14:paraId="0E61E273" w14:textId="77777777" w:rsidR="00471D53" w:rsidRDefault="00B664AF" w:rsidP="00471D53">
                <w:pPr>
                  <w:jc w:val="right"/>
                  <w:rPr>
                    <w:szCs w:val="21"/>
                  </w:rPr>
                </w:pPr>
              </w:p>
            </w:tc>
            <w:tc>
              <w:tcPr>
                <w:tcW w:w="674" w:type="pct"/>
                <w:tcBorders>
                  <w:top w:val="single" w:sz="6" w:space="0" w:color="auto"/>
                  <w:left w:val="single" w:sz="6" w:space="0" w:color="auto"/>
                  <w:bottom w:val="single" w:sz="6" w:space="0" w:color="auto"/>
                  <w:right w:val="single" w:sz="6" w:space="0" w:color="auto"/>
                </w:tcBorders>
                <w:vAlign w:val="center"/>
              </w:tcPr>
              <w:p w14:paraId="5C3901E9" w14:textId="77777777" w:rsidR="00471D53" w:rsidRDefault="004F686E" w:rsidP="00471D53">
                <w:pPr>
                  <w:jc w:val="right"/>
                  <w:rPr>
                    <w:sz w:val="22"/>
                  </w:rPr>
                </w:pPr>
                <w:r w:rsidRPr="002E2C92">
                  <w:rPr>
                    <w:sz w:val="22"/>
                  </w:rPr>
                  <w:t>65,334.67</w:t>
                </w:r>
              </w:p>
            </w:tc>
          </w:tr>
          <w:tr w:rsidR="00471D53" w14:paraId="28DD41D4" w14:textId="77777777" w:rsidTr="00471D53">
            <w:sdt>
              <w:sdtPr>
                <w:tag w:val="_PLD_ec95d25137b44045a46788915c35288d"/>
                <w:id w:val="1954974001"/>
                <w:lock w:val="sdtLocked"/>
              </w:sdtPr>
              <w:sdtEndPr/>
              <w:sdtContent>
                <w:tc>
                  <w:tcPr>
                    <w:tcW w:w="1475" w:type="pct"/>
                    <w:tcBorders>
                      <w:top w:val="single" w:sz="6" w:space="0" w:color="auto"/>
                      <w:left w:val="single" w:sz="4" w:space="0" w:color="auto"/>
                      <w:bottom w:val="single" w:sz="6" w:space="0" w:color="auto"/>
                      <w:right w:val="single" w:sz="6" w:space="0" w:color="auto"/>
                    </w:tcBorders>
                    <w:shd w:val="clear" w:color="auto" w:fill="auto"/>
                    <w:vAlign w:val="bottom"/>
                  </w:tcPr>
                  <w:p w14:paraId="4FFC44A0" w14:textId="77777777" w:rsidR="00471D53" w:rsidRDefault="004F686E" w:rsidP="00471D53">
                    <w:pPr>
                      <w:rPr>
                        <w:rFonts w:cs="Arial"/>
                        <w:color w:val="000000"/>
                        <w:szCs w:val="21"/>
                      </w:rPr>
                    </w:pPr>
                    <w:r>
                      <w:rPr>
                        <w:rFonts w:cs="Arial" w:hint="eastAsia"/>
                        <w:color w:val="000000"/>
                        <w:szCs w:val="21"/>
                        <w:lang w:val="en-GB"/>
                      </w:rPr>
                      <w:t>所得税费用</w:t>
                    </w:r>
                  </w:p>
                </w:tc>
              </w:sdtContent>
            </w:sdt>
            <w:tc>
              <w:tcPr>
                <w:tcW w:w="970" w:type="pct"/>
                <w:tcBorders>
                  <w:top w:val="single" w:sz="6" w:space="0" w:color="auto"/>
                  <w:left w:val="single" w:sz="6" w:space="0" w:color="auto"/>
                  <w:bottom w:val="single" w:sz="4" w:space="0" w:color="auto"/>
                  <w:right w:val="single" w:sz="6" w:space="0" w:color="auto"/>
                </w:tcBorders>
              </w:tcPr>
              <w:p w14:paraId="34FDA55A" w14:textId="77777777" w:rsidR="00471D53" w:rsidRDefault="00B664AF" w:rsidP="00471D53">
                <w:pPr>
                  <w:jc w:val="right"/>
                  <w:rPr>
                    <w:szCs w:val="21"/>
                  </w:rPr>
                </w:pPr>
              </w:p>
            </w:tc>
            <w:tc>
              <w:tcPr>
                <w:tcW w:w="910" w:type="pct"/>
                <w:tcBorders>
                  <w:top w:val="single" w:sz="6" w:space="0" w:color="auto"/>
                  <w:left w:val="single" w:sz="6" w:space="0" w:color="auto"/>
                  <w:bottom w:val="single" w:sz="4" w:space="0" w:color="auto"/>
                  <w:right w:val="single" w:sz="6" w:space="0" w:color="auto"/>
                </w:tcBorders>
                <w:vAlign w:val="center"/>
              </w:tcPr>
              <w:p w14:paraId="01BD3076" w14:textId="77777777" w:rsidR="00471D53" w:rsidRDefault="004F686E" w:rsidP="00471D53">
                <w:pPr>
                  <w:jc w:val="right"/>
                  <w:rPr>
                    <w:rFonts w:cs="Calibri"/>
                    <w:sz w:val="22"/>
                  </w:rPr>
                </w:pPr>
                <w:r>
                  <w:rPr>
                    <w:sz w:val="22"/>
                  </w:rPr>
                  <w:t>0.00</w:t>
                </w:r>
              </w:p>
            </w:tc>
            <w:tc>
              <w:tcPr>
                <w:tcW w:w="970" w:type="pct"/>
                <w:tcBorders>
                  <w:top w:val="single" w:sz="6" w:space="0" w:color="auto"/>
                  <w:left w:val="single" w:sz="6" w:space="0" w:color="auto"/>
                  <w:bottom w:val="single" w:sz="6" w:space="0" w:color="auto"/>
                  <w:right w:val="single" w:sz="6" w:space="0" w:color="auto"/>
                </w:tcBorders>
              </w:tcPr>
              <w:p w14:paraId="51F8CC46" w14:textId="77777777" w:rsidR="00471D53" w:rsidRDefault="00B664AF" w:rsidP="00471D53">
                <w:pPr>
                  <w:jc w:val="right"/>
                  <w:rPr>
                    <w:szCs w:val="21"/>
                  </w:rPr>
                </w:pPr>
              </w:p>
            </w:tc>
            <w:tc>
              <w:tcPr>
                <w:tcW w:w="674" w:type="pct"/>
                <w:tcBorders>
                  <w:top w:val="single" w:sz="6" w:space="0" w:color="auto"/>
                  <w:left w:val="single" w:sz="6" w:space="0" w:color="auto"/>
                  <w:bottom w:val="single" w:sz="6" w:space="0" w:color="auto"/>
                  <w:right w:val="single" w:sz="6" w:space="0" w:color="auto"/>
                </w:tcBorders>
                <w:vAlign w:val="center"/>
              </w:tcPr>
              <w:p w14:paraId="50C1761E" w14:textId="16094F5E" w:rsidR="00471D53" w:rsidRDefault="004F686E" w:rsidP="00471D53">
                <w:pPr>
                  <w:jc w:val="right"/>
                  <w:rPr>
                    <w:sz w:val="22"/>
                  </w:rPr>
                </w:pPr>
                <w:r w:rsidRPr="002E2C92">
                  <w:rPr>
                    <w:sz w:val="22"/>
                  </w:rPr>
                  <w:t>0.00</w:t>
                </w:r>
              </w:p>
            </w:tc>
          </w:tr>
          <w:tr w:rsidR="00471D53" w14:paraId="47C3835E" w14:textId="77777777" w:rsidTr="00471D53">
            <w:sdt>
              <w:sdtPr>
                <w:tag w:val="_PLD_e6233a8b7eec48fbbde96bc4d4dfb8a6"/>
                <w:id w:val="1967768424"/>
                <w:lock w:val="sdtLocked"/>
              </w:sdtPr>
              <w:sdtEndPr/>
              <w:sdtContent>
                <w:tc>
                  <w:tcPr>
                    <w:tcW w:w="1475" w:type="pct"/>
                    <w:tcBorders>
                      <w:top w:val="single" w:sz="6" w:space="0" w:color="auto"/>
                      <w:left w:val="single" w:sz="4" w:space="0" w:color="auto"/>
                      <w:bottom w:val="single" w:sz="6" w:space="0" w:color="auto"/>
                      <w:right w:val="single" w:sz="6" w:space="0" w:color="auto"/>
                    </w:tcBorders>
                    <w:shd w:val="clear" w:color="auto" w:fill="auto"/>
                    <w:vAlign w:val="bottom"/>
                  </w:tcPr>
                  <w:p w14:paraId="4B332F31" w14:textId="77777777" w:rsidR="00471D53" w:rsidRDefault="004F686E" w:rsidP="00471D53">
                    <w:pPr>
                      <w:rPr>
                        <w:rFonts w:cs="Arial"/>
                        <w:color w:val="000000"/>
                        <w:szCs w:val="21"/>
                      </w:rPr>
                    </w:pPr>
                    <w:r>
                      <w:rPr>
                        <w:rFonts w:cs="Arial" w:hint="eastAsia"/>
                        <w:color w:val="000000"/>
                        <w:szCs w:val="21"/>
                        <w:lang w:val="en-GB"/>
                      </w:rPr>
                      <w:t>净利润</w:t>
                    </w:r>
                  </w:p>
                </w:tc>
              </w:sdtContent>
            </w:sdt>
            <w:tc>
              <w:tcPr>
                <w:tcW w:w="970" w:type="pct"/>
                <w:tcBorders>
                  <w:top w:val="single" w:sz="6" w:space="0" w:color="auto"/>
                  <w:left w:val="single" w:sz="6" w:space="0" w:color="auto"/>
                  <w:bottom w:val="single" w:sz="4" w:space="0" w:color="auto"/>
                  <w:right w:val="single" w:sz="6" w:space="0" w:color="auto"/>
                </w:tcBorders>
              </w:tcPr>
              <w:p w14:paraId="41108C9C" w14:textId="77777777" w:rsidR="00471D53" w:rsidRDefault="00B664AF" w:rsidP="00471D53">
                <w:pPr>
                  <w:jc w:val="right"/>
                  <w:rPr>
                    <w:szCs w:val="21"/>
                  </w:rPr>
                </w:pPr>
              </w:p>
            </w:tc>
            <w:tc>
              <w:tcPr>
                <w:tcW w:w="910" w:type="pct"/>
                <w:tcBorders>
                  <w:top w:val="single" w:sz="6" w:space="0" w:color="auto"/>
                  <w:left w:val="single" w:sz="6" w:space="0" w:color="auto"/>
                  <w:bottom w:val="single" w:sz="4" w:space="0" w:color="auto"/>
                  <w:right w:val="single" w:sz="6" w:space="0" w:color="auto"/>
                </w:tcBorders>
                <w:vAlign w:val="center"/>
              </w:tcPr>
              <w:p w14:paraId="32EF1C22" w14:textId="77777777" w:rsidR="00471D53" w:rsidRDefault="004F686E" w:rsidP="00471D53">
                <w:pPr>
                  <w:jc w:val="right"/>
                  <w:rPr>
                    <w:rFonts w:cs="Calibri"/>
                    <w:sz w:val="22"/>
                  </w:rPr>
                </w:pPr>
                <w:r w:rsidRPr="000B6F60">
                  <w:rPr>
                    <w:rFonts w:cs="Calibri"/>
                    <w:sz w:val="22"/>
                  </w:rPr>
                  <w:t>9,663,518.90</w:t>
                </w:r>
              </w:p>
            </w:tc>
            <w:tc>
              <w:tcPr>
                <w:tcW w:w="970" w:type="pct"/>
                <w:tcBorders>
                  <w:top w:val="single" w:sz="6" w:space="0" w:color="auto"/>
                  <w:left w:val="single" w:sz="6" w:space="0" w:color="auto"/>
                  <w:bottom w:val="single" w:sz="6" w:space="0" w:color="auto"/>
                  <w:right w:val="single" w:sz="6" w:space="0" w:color="auto"/>
                </w:tcBorders>
              </w:tcPr>
              <w:p w14:paraId="1A170791" w14:textId="77777777" w:rsidR="00471D53" w:rsidRDefault="00B664AF" w:rsidP="00471D53">
                <w:pPr>
                  <w:jc w:val="right"/>
                  <w:rPr>
                    <w:szCs w:val="21"/>
                  </w:rPr>
                </w:pPr>
              </w:p>
            </w:tc>
            <w:tc>
              <w:tcPr>
                <w:tcW w:w="674" w:type="pct"/>
                <w:tcBorders>
                  <w:top w:val="single" w:sz="6" w:space="0" w:color="auto"/>
                  <w:left w:val="single" w:sz="6" w:space="0" w:color="auto"/>
                  <w:bottom w:val="single" w:sz="6" w:space="0" w:color="auto"/>
                  <w:right w:val="single" w:sz="6" w:space="0" w:color="auto"/>
                </w:tcBorders>
                <w:vAlign w:val="center"/>
              </w:tcPr>
              <w:p w14:paraId="0089F689" w14:textId="77777777" w:rsidR="00471D53" w:rsidRDefault="004F686E" w:rsidP="00471D53">
                <w:pPr>
                  <w:jc w:val="right"/>
                  <w:rPr>
                    <w:sz w:val="22"/>
                  </w:rPr>
                </w:pPr>
                <w:r w:rsidRPr="002E2C92">
                  <w:rPr>
                    <w:sz w:val="22"/>
                  </w:rPr>
                  <w:t>-14,144,978.75</w:t>
                </w:r>
              </w:p>
            </w:tc>
          </w:tr>
          <w:tr w:rsidR="00471D53" w14:paraId="34FC518C" w14:textId="77777777" w:rsidTr="00471D53">
            <w:sdt>
              <w:sdtPr>
                <w:tag w:val="_PLD_8841bd6dee6e4d83926ea592c6cb4c8b"/>
                <w:id w:val="-587455670"/>
                <w:lock w:val="sdtLocked"/>
              </w:sdtPr>
              <w:sdtEndPr/>
              <w:sdtContent>
                <w:tc>
                  <w:tcPr>
                    <w:tcW w:w="1475" w:type="pct"/>
                    <w:tcBorders>
                      <w:top w:val="single" w:sz="6" w:space="0" w:color="auto"/>
                      <w:left w:val="single" w:sz="4" w:space="0" w:color="auto"/>
                      <w:bottom w:val="single" w:sz="6" w:space="0" w:color="auto"/>
                      <w:right w:val="single" w:sz="6" w:space="0" w:color="auto"/>
                    </w:tcBorders>
                    <w:shd w:val="clear" w:color="auto" w:fill="auto"/>
                    <w:vAlign w:val="bottom"/>
                  </w:tcPr>
                  <w:p w14:paraId="32937D53" w14:textId="77777777" w:rsidR="00471D53" w:rsidRDefault="004F686E" w:rsidP="00471D53">
                    <w:pPr>
                      <w:rPr>
                        <w:rFonts w:cs="Arial"/>
                        <w:color w:val="000000"/>
                        <w:szCs w:val="21"/>
                        <w:lang w:val="en-GB"/>
                      </w:rPr>
                    </w:pPr>
                    <w:r>
                      <w:rPr>
                        <w:rFonts w:cs="Arial" w:hint="eastAsia"/>
                        <w:color w:val="000000"/>
                        <w:szCs w:val="21"/>
                        <w:lang w:val="en-GB"/>
                      </w:rPr>
                      <w:t>终止经营的净利润</w:t>
                    </w:r>
                  </w:p>
                </w:tc>
              </w:sdtContent>
            </w:sdt>
            <w:tc>
              <w:tcPr>
                <w:tcW w:w="970" w:type="pct"/>
                <w:tcBorders>
                  <w:top w:val="single" w:sz="6" w:space="0" w:color="auto"/>
                  <w:left w:val="single" w:sz="6" w:space="0" w:color="auto"/>
                  <w:bottom w:val="single" w:sz="4" w:space="0" w:color="auto"/>
                  <w:right w:val="single" w:sz="6" w:space="0" w:color="auto"/>
                </w:tcBorders>
              </w:tcPr>
              <w:p w14:paraId="71AC65A7" w14:textId="77777777" w:rsidR="00471D53" w:rsidRDefault="00B664AF" w:rsidP="00471D53">
                <w:pPr>
                  <w:jc w:val="right"/>
                  <w:rPr>
                    <w:szCs w:val="21"/>
                  </w:rPr>
                </w:pPr>
              </w:p>
            </w:tc>
            <w:tc>
              <w:tcPr>
                <w:tcW w:w="910" w:type="pct"/>
                <w:tcBorders>
                  <w:top w:val="single" w:sz="6" w:space="0" w:color="auto"/>
                  <w:left w:val="single" w:sz="6" w:space="0" w:color="auto"/>
                  <w:bottom w:val="single" w:sz="4" w:space="0" w:color="auto"/>
                  <w:right w:val="single" w:sz="6" w:space="0" w:color="auto"/>
                </w:tcBorders>
                <w:vAlign w:val="center"/>
              </w:tcPr>
              <w:p w14:paraId="7DC4B6AB" w14:textId="77777777" w:rsidR="00471D53" w:rsidRDefault="004F686E" w:rsidP="00471D53">
                <w:pPr>
                  <w:jc w:val="right"/>
                  <w:rPr>
                    <w:rFonts w:cs="Calibri"/>
                    <w:sz w:val="22"/>
                  </w:rPr>
                </w:pPr>
                <w:r>
                  <w:rPr>
                    <w:sz w:val="22"/>
                  </w:rPr>
                  <w:t>0.00</w:t>
                </w:r>
              </w:p>
            </w:tc>
            <w:tc>
              <w:tcPr>
                <w:tcW w:w="970" w:type="pct"/>
                <w:tcBorders>
                  <w:top w:val="single" w:sz="6" w:space="0" w:color="auto"/>
                  <w:left w:val="single" w:sz="6" w:space="0" w:color="auto"/>
                  <w:bottom w:val="single" w:sz="6" w:space="0" w:color="auto"/>
                  <w:right w:val="single" w:sz="6" w:space="0" w:color="auto"/>
                </w:tcBorders>
              </w:tcPr>
              <w:p w14:paraId="7EA0B9D3" w14:textId="77777777" w:rsidR="00471D53" w:rsidRDefault="00B664AF" w:rsidP="00471D53">
                <w:pPr>
                  <w:jc w:val="right"/>
                  <w:rPr>
                    <w:szCs w:val="21"/>
                  </w:rPr>
                </w:pPr>
              </w:p>
            </w:tc>
            <w:tc>
              <w:tcPr>
                <w:tcW w:w="674" w:type="pct"/>
                <w:tcBorders>
                  <w:top w:val="single" w:sz="6" w:space="0" w:color="auto"/>
                  <w:left w:val="single" w:sz="6" w:space="0" w:color="auto"/>
                  <w:bottom w:val="single" w:sz="6" w:space="0" w:color="auto"/>
                  <w:right w:val="single" w:sz="6" w:space="0" w:color="auto"/>
                </w:tcBorders>
                <w:vAlign w:val="center"/>
              </w:tcPr>
              <w:p w14:paraId="7705CFA8" w14:textId="77777777" w:rsidR="00471D53" w:rsidRPr="00717089" w:rsidRDefault="004F686E" w:rsidP="00471D53">
                <w:pPr>
                  <w:jc w:val="right"/>
                  <w:rPr>
                    <w:rFonts w:cs="Calibri"/>
                    <w:color w:val="000000"/>
                    <w:sz w:val="22"/>
                  </w:rPr>
                </w:pPr>
                <w:r w:rsidRPr="00717089">
                  <w:rPr>
                    <w:rFonts w:cs="Calibri" w:hint="eastAsia"/>
                    <w:color w:val="000000"/>
                    <w:sz w:val="22"/>
                  </w:rPr>
                  <w:t>0.00</w:t>
                </w:r>
              </w:p>
            </w:tc>
          </w:tr>
          <w:tr w:rsidR="00471D53" w14:paraId="0EC76674" w14:textId="77777777" w:rsidTr="00471D53">
            <w:sdt>
              <w:sdtPr>
                <w:tag w:val="_PLD_1434b71e3c6f4ca6ad287048a1dea2c2"/>
                <w:id w:val="226576254"/>
                <w:lock w:val="sdtLocked"/>
              </w:sdtPr>
              <w:sdtEndPr/>
              <w:sdtContent>
                <w:tc>
                  <w:tcPr>
                    <w:tcW w:w="1475" w:type="pct"/>
                    <w:tcBorders>
                      <w:top w:val="single" w:sz="6" w:space="0" w:color="auto"/>
                      <w:left w:val="single" w:sz="4" w:space="0" w:color="auto"/>
                      <w:bottom w:val="single" w:sz="6" w:space="0" w:color="auto"/>
                      <w:right w:val="single" w:sz="6" w:space="0" w:color="auto"/>
                    </w:tcBorders>
                    <w:shd w:val="clear" w:color="auto" w:fill="auto"/>
                    <w:vAlign w:val="bottom"/>
                  </w:tcPr>
                  <w:p w14:paraId="4ED148E4" w14:textId="77777777" w:rsidR="00471D53" w:rsidRDefault="004F686E" w:rsidP="00471D53">
                    <w:pPr>
                      <w:rPr>
                        <w:rFonts w:cs="Arial"/>
                        <w:color w:val="000000"/>
                        <w:szCs w:val="21"/>
                      </w:rPr>
                    </w:pPr>
                    <w:r>
                      <w:rPr>
                        <w:rFonts w:cs="Arial" w:hint="eastAsia"/>
                        <w:color w:val="000000"/>
                        <w:szCs w:val="21"/>
                        <w:lang w:val="en-GB"/>
                      </w:rPr>
                      <w:t>其他综合收益</w:t>
                    </w:r>
                  </w:p>
                </w:tc>
              </w:sdtContent>
            </w:sdt>
            <w:tc>
              <w:tcPr>
                <w:tcW w:w="970" w:type="pct"/>
                <w:tcBorders>
                  <w:top w:val="single" w:sz="6" w:space="0" w:color="auto"/>
                  <w:left w:val="single" w:sz="6" w:space="0" w:color="auto"/>
                  <w:bottom w:val="single" w:sz="4" w:space="0" w:color="auto"/>
                  <w:right w:val="single" w:sz="6" w:space="0" w:color="auto"/>
                </w:tcBorders>
              </w:tcPr>
              <w:p w14:paraId="22BE6F90" w14:textId="77777777" w:rsidR="00471D53" w:rsidRDefault="00B664AF" w:rsidP="00471D53">
                <w:pPr>
                  <w:jc w:val="right"/>
                  <w:rPr>
                    <w:szCs w:val="21"/>
                  </w:rPr>
                </w:pPr>
              </w:p>
            </w:tc>
            <w:tc>
              <w:tcPr>
                <w:tcW w:w="910" w:type="pct"/>
                <w:tcBorders>
                  <w:top w:val="single" w:sz="6" w:space="0" w:color="auto"/>
                  <w:left w:val="single" w:sz="6" w:space="0" w:color="auto"/>
                  <w:bottom w:val="single" w:sz="4" w:space="0" w:color="auto"/>
                  <w:right w:val="single" w:sz="6" w:space="0" w:color="auto"/>
                </w:tcBorders>
                <w:vAlign w:val="center"/>
              </w:tcPr>
              <w:p w14:paraId="7ECABA41" w14:textId="77777777" w:rsidR="00471D53" w:rsidRDefault="004F686E" w:rsidP="00471D53">
                <w:pPr>
                  <w:jc w:val="right"/>
                  <w:rPr>
                    <w:rFonts w:cs="Calibri"/>
                    <w:sz w:val="22"/>
                  </w:rPr>
                </w:pPr>
                <w:r>
                  <w:rPr>
                    <w:sz w:val="22"/>
                  </w:rPr>
                  <w:t>0.00</w:t>
                </w:r>
              </w:p>
            </w:tc>
            <w:tc>
              <w:tcPr>
                <w:tcW w:w="970" w:type="pct"/>
                <w:tcBorders>
                  <w:top w:val="single" w:sz="6" w:space="0" w:color="auto"/>
                  <w:left w:val="single" w:sz="6" w:space="0" w:color="auto"/>
                  <w:bottom w:val="single" w:sz="6" w:space="0" w:color="auto"/>
                  <w:right w:val="single" w:sz="6" w:space="0" w:color="auto"/>
                </w:tcBorders>
              </w:tcPr>
              <w:p w14:paraId="425852BD" w14:textId="77777777" w:rsidR="00471D53" w:rsidRDefault="00B664AF" w:rsidP="00471D53">
                <w:pPr>
                  <w:jc w:val="right"/>
                  <w:rPr>
                    <w:szCs w:val="21"/>
                  </w:rPr>
                </w:pPr>
              </w:p>
            </w:tc>
            <w:tc>
              <w:tcPr>
                <w:tcW w:w="674" w:type="pct"/>
                <w:tcBorders>
                  <w:top w:val="single" w:sz="6" w:space="0" w:color="auto"/>
                  <w:left w:val="single" w:sz="6" w:space="0" w:color="auto"/>
                  <w:bottom w:val="single" w:sz="6" w:space="0" w:color="auto"/>
                  <w:right w:val="single" w:sz="6" w:space="0" w:color="auto"/>
                </w:tcBorders>
                <w:vAlign w:val="center"/>
              </w:tcPr>
              <w:p w14:paraId="516AF1B4" w14:textId="77777777" w:rsidR="00471D53" w:rsidRPr="00717089" w:rsidRDefault="004F686E" w:rsidP="00471D53">
                <w:pPr>
                  <w:jc w:val="right"/>
                  <w:rPr>
                    <w:rFonts w:cs="Calibri"/>
                    <w:color w:val="000000"/>
                    <w:sz w:val="22"/>
                  </w:rPr>
                </w:pPr>
                <w:r w:rsidRPr="00717089">
                  <w:rPr>
                    <w:rFonts w:cs="Calibri" w:hint="eastAsia"/>
                    <w:color w:val="000000"/>
                    <w:sz w:val="22"/>
                  </w:rPr>
                  <w:t>0.00</w:t>
                </w:r>
              </w:p>
            </w:tc>
          </w:tr>
          <w:tr w:rsidR="00471D53" w14:paraId="724192BF" w14:textId="77777777" w:rsidTr="00471D53">
            <w:sdt>
              <w:sdtPr>
                <w:tag w:val="_PLD_b138005ba76446bda2b20395dbec27f3"/>
                <w:id w:val="-285041403"/>
                <w:lock w:val="sdtLocked"/>
              </w:sdtPr>
              <w:sdtEndPr/>
              <w:sdtContent>
                <w:tc>
                  <w:tcPr>
                    <w:tcW w:w="1475" w:type="pct"/>
                    <w:tcBorders>
                      <w:top w:val="single" w:sz="6" w:space="0" w:color="auto"/>
                      <w:left w:val="single" w:sz="4" w:space="0" w:color="auto"/>
                      <w:bottom w:val="single" w:sz="6" w:space="0" w:color="auto"/>
                      <w:right w:val="single" w:sz="6" w:space="0" w:color="auto"/>
                    </w:tcBorders>
                    <w:shd w:val="clear" w:color="auto" w:fill="auto"/>
                    <w:vAlign w:val="bottom"/>
                  </w:tcPr>
                  <w:p w14:paraId="12B21E60" w14:textId="77777777" w:rsidR="00471D53" w:rsidRDefault="004F686E" w:rsidP="00471D53">
                    <w:pPr>
                      <w:rPr>
                        <w:rFonts w:cs="Arial"/>
                        <w:color w:val="000000"/>
                        <w:szCs w:val="21"/>
                      </w:rPr>
                    </w:pPr>
                    <w:r>
                      <w:rPr>
                        <w:rFonts w:cs="Arial" w:hint="eastAsia"/>
                        <w:color w:val="000000"/>
                        <w:szCs w:val="21"/>
                        <w:lang w:val="en-GB"/>
                      </w:rPr>
                      <w:t>综合收益总额</w:t>
                    </w:r>
                  </w:p>
                </w:tc>
              </w:sdtContent>
            </w:sdt>
            <w:tc>
              <w:tcPr>
                <w:tcW w:w="970" w:type="pct"/>
                <w:tcBorders>
                  <w:top w:val="single" w:sz="6" w:space="0" w:color="auto"/>
                  <w:left w:val="single" w:sz="6" w:space="0" w:color="auto"/>
                  <w:bottom w:val="single" w:sz="4" w:space="0" w:color="auto"/>
                  <w:right w:val="single" w:sz="6" w:space="0" w:color="auto"/>
                </w:tcBorders>
              </w:tcPr>
              <w:p w14:paraId="3BD76F7E" w14:textId="77777777" w:rsidR="00471D53" w:rsidRDefault="00B664AF" w:rsidP="00471D53">
                <w:pPr>
                  <w:jc w:val="right"/>
                  <w:rPr>
                    <w:szCs w:val="21"/>
                  </w:rPr>
                </w:pPr>
              </w:p>
            </w:tc>
            <w:tc>
              <w:tcPr>
                <w:tcW w:w="910" w:type="pct"/>
                <w:tcBorders>
                  <w:top w:val="single" w:sz="6" w:space="0" w:color="auto"/>
                  <w:left w:val="single" w:sz="6" w:space="0" w:color="auto"/>
                  <w:bottom w:val="single" w:sz="4" w:space="0" w:color="auto"/>
                  <w:right w:val="single" w:sz="6" w:space="0" w:color="auto"/>
                </w:tcBorders>
                <w:vAlign w:val="center"/>
              </w:tcPr>
              <w:p w14:paraId="52DD10DC" w14:textId="77777777" w:rsidR="00471D53" w:rsidRDefault="004F686E" w:rsidP="00471D53">
                <w:pPr>
                  <w:jc w:val="right"/>
                  <w:rPr>
                    <w:rFonts w:cs="Calibri"/>
                    <w:sz w:val="22"/>
                  </w:rPr>
                </w:pPr>
                <w:r w:rsidRPr="000B6F60">
                  <w:rPr>
                    <w:rFonts w:cs="Calibri"/>
                    <w:sz w:val="22"/>
                  </w:rPr>
                  <w:t>9,663,518.90</w:t>
                </w:r>
              </w:p>
            </w:tc>
            <w:tc>
              <w:tcPr>
                <w:tcW w:w="970" w:type="pct"/>
                <w:tcBorders>
                  <w:top w:val="single" w:sz="6" w:space="0" w:color="auto"/>
                  <w:left w:val="single" w:sz="6" w:space="0" w:color="auto"/>
                  <w:bottom w:val="single" w:sz="6" w:space="0" w:color="auto"/>
                  <w:right w:val="single" w:sz="6" w:space="0" w:color="auto"/>
                </w:tcBorders>
              </w:tcPr>
              <w:p w14:paraId="05DCAAD5" w14:textId="77777777" w:rsidR="00471D53" w:rsidRDefault="00B664AF" w:rsidP="00471D53">
                <w:pPr>
                  <w:jc w:val="right"/>
                  <w:rPr>
                    <w:szCs w:val="21"/>
                  </w:rPr>
                </w:pPr>
              </w:p>
            </w:tc>
            <w:tc>
              <w:tcPr>
                <w:tcW w:w="674" w:type="pct"/>
                <w:tcBorders>
                  <w:top w:val="single" w:sz="6" w:space="0" w:color="auto"/>
                  <w:left w:val="single" w:sz="6" w:space="0" w:color="auto"/>
                  <w:bottom w:val="single" w:sz="6" w:space="0" w:color="auto"/>
                  <w:right w:val="single" w:sz="6" w:space="0" w:color="auto"/>
                </w:tcBorders>
                <w:vAlign w:val="center"/>
              </w:tcPr>
              <w:p w14:paraId="7D9257DC" w14:textId="77777777" w:rsidR="00471D53" w:rsidRDefault="004F686E" w:rsidP="00471D53">
                <w:pPr>
                  <w:jc w:val="right"/>
                  <w:rPr>
                    <w:sz w:val="22"/>
                  </w:rPr>
                </w:pPr>
                <w:r w:rsidRPr="002E2C92">
                  <w:rPr>
                    <w:sz w:val="22"/>
                  </w:rPr>
                  <w:t>-14,144,978.75</w:t>
                </w:r>
              </w:p>
            </w:tc>
          </w:tr>
          <w:tr w:rsidR="00471D53" w14:paraId="3B6A02C8" w14:textId="77777777" w:rsidTr="00471D53">
            <w:tc>
              <w:tcPr>
                <w:tcW w:w="1475" w:type="pct"/>
                <w:tcBorders>
                  <w:top w:val="single" w:sz="6" w:space="0" w:color="auto"/>
                  <w:left w:val="single" w:sz="4" w:space="0" w:color="auto"/>
                  <w:bottom w:val="single" w:sz="4" w:space="0" w:color="auto"/>
                  <w:right w:val="single" w:sz="6" w:space="0" w:color="auto"/>
                </w:tcBorders>
                <w:shd w:val="clear" w:color="auto" w:fill="auto"/>
                <w:vAlign w:val="bottom"/>
              </w:tcPr>
              <w:p w14:paraId="58A7A518" w14:textId="77777777" w:rsidR="00471D53" w:rsidRDefault="00B664AF" w:rsidP="00471D53">
                <w:pPr>
                  <w:rPr>
                    <w:rFonts w:cs="Arial"/>
                    <w:color w:val="000000"/>
                    <w:szCs w:val="21"/>
                    <w:lang w:val="en-GB"/>
                  </w:rPr>
                </w:pPr>
              </w:p>
            </w:tc>
            <w:tc>
              <w:tcPr>
                <w:tcW w:w="970" w:type="pct"/>
                <w:tcBorders>
                  <w:top w:val="single" w:sz="6" w:space="0" w:color="auto"/>
                  <w:left w:val="single" w:sz="6" w:space="0" w:color="auto"/>
                  <w:bottom w:val="single" w:sz="4" w:space="0" w:color="auto"/>
                  <w:right w:val="single" w:sz="6" w:space="0" w:color="auto"/>
                </w:tcBorders>
              </w:tcPr>
              <w:p w14:paraId="32755F5D" w14:textId="77777777" w:rsidR="00471D53" w:rsidRDefault="00B664AF" w:rsidP="00471D53">
                <w:pPr>
                  <w:jc w:val="right"/>
                  <w:rPr>
                    <w:szCs w:val="21"/>
                  </w:rPr>
                </w:pPr>
              </w:p>
            </w:tc>
            <w:tc>
              <w:tcPr>
                <w:tcW w:w="910" w:type="pct"/>
                <w:tcBorders>
                  <w:top w:val="single" w:sz="6" w:space="0" w:color="auto"/>
                  <w:left w:val="single" w:sz="6" w:space="0" w:color="auto"/>
                  <w:bottom w:val="single" w:sz="4" w:space="0" w:color="auto"/>
                  <w:right w:val="single" w:sz="6" w:space="0" w:color="auto"/>
                </w:tcBorders>
              </w:tcPr>
              <w:p w14:paraId="5BD83DDD" w14:textId="77777777" w:rsidR="00471D53" w:rsidRDefault="00B664AF" w:rsidP="00471D53">
                <w:pPr>
                  <w:jc w:val="right"/>
                  <w:rPr>
                    <w:szCs w:val="21"/>
                  </w:rPr>
                </w:pPr>
              </w:p>
            </w:tc>
            <w:tc>
              <w:tcPr>
                <w:tcW w:w="970" w:type="pct"/>
                <w:tcBorders>
                  <w:top w:val="single" w:sz="6" w:space="0" w:color="auto"/>
                  <w:left w:val="single" w:sz="6" w:space="0" w:color="auto"/>
                  <w:bottom w:val="single" w:sz="4" w:space="0" w:color="auto"/>
                  <w:right w:val="single" w:sz="6" w:space="0" w:color="auto"/>
                </w:tcBorders>
              </w:tcPr>
              <w:p w14:paraId="11CA2147" w14:textId="77777777" w:rsidR="00471D53" w:rsidRDefault="00B664AF" w:rsidP="00471D53">
                <w:pPr>
                  <w:jc w:val="right"/>
                  <w:rPr>
                    <w:szCs w:val="21"/>
                  </w:rPr>
                </w:pPr>
              </w:p>
            </w:tc>
            <w:tc>
              <w:tcPr>
                <w:tcW w:w="674" w:type="pct"/>
                <w:tcBorders>
                  <w:top w:val="single" w:sz="6" w:space="0" w:color="auto"/>
                  <w:left w:val="single" w:sz="6" w:space="0" w:color="auto"/>
                  <w:bottom w:val="single" w:sz="4" w:space="0" w:color="auto"/>
                  <w:right w:val="single" w:sz="6" w:space="0" w:color="auto"/>
                </w:tcBorders>
              </w:tcPr>
              <w:p w14:paraId="126B5A0B" w14:textId="77777777" w:rsidR="00471D53" w:rsidRDefault="00B664AF" w:rsidP="00471D53">
                <w:pPr>
                  <w:jc w:val="right"/>
                  <w:rPr>
                    <w:szCs w:val="21"/>
                  </w:rPr>
                </w:pPr>
              </w:p>
            </w:tc>
          </w:tr>
          <w:tr w:rsidR="00471D53" w:rsidRPr="00083834" w14:paraId="27C935E2" w14:textId="77777777" w:rsidTr="00471D53">
            <w:sdt>
              <w:sdtPr>
                <w:tag w:val="_PLD_825923176f594b0db521bb7b5e85a1f2"/>
                <w:id w:val="677768722"/>
                <w:lock w:val="sdtLocked"/>
              </w:sdtPr>
              <w:sdtEndPr/>
              <w:sdtContent>
                <w:tc>
                  <w:tcPr>
                    <w:tcW w:w="1475" w:type="pct"/>
                    <w:tcBorders>
                      <w:top w:val="single" w:sz="6" w:space="0" w:color="auto"/>
                      <w:left w:val="single" w:sz="4" w:space="0" w:color="auto"/>
                      <w:bottom w:val="single" w:sz="4" w:space="0" w:color="auto"/>
                      <w:right w:val="single" w:sz="6" w:space="0" w:color="auto"/>
                    </w:tcBorders>
                    <w:shd w:val="clear" w:color="auto" w:fill="auto"/>
                    <w:vAlign w:val="bottom"/>
                  </w:tcPr>
                  <w:p w14:paraId="6CF981A1" w14:textId="77777777" w:rsidR="00471D53" w:rsidRDefault="004F686E" w:rsidP="00471D53">
                    <w:pPr>
                      <w:rPr>
                        <w:rFonts w:cs="Arial"/>
                        <w:color w:val="000000"/>
                        <w:szCs w:val="21"/>
                      </w:rPr>
                    </w:pPr>
                    <w:r>
                      <w:rPr>
                        <w:rFonts w:cs="Arial" w:hint="eastAsia"/>
                        <w:color w:val="000000"/>
                        <w:szCs w:val="21"/>
                        <w:lang w:val="en-GB"/>
                      </w:rPr>
                      <w:t>本年度收到的来自合营企业的股利</w:t>
                    </w:r>
                  </w:p>
                </w:tc>
              </w:sdtContent>
            </w:sdt>
            <w:tc>
              <w:tcPr>
                <w:tcW w:w="970" w:type="pct"/>
                <w:tcBorders>
                  <w:top w:val="single" w:sz="6" w:space="0" w:color="auto"/>
                  <w:left w:val="single" w:sz="6" w:space="0" w:color="auto"/>
                  <w:bottom w:val="single" w:sz="4" w:space="0" w:color="auto"/>
                  <w:right w:val="single" w:sz="6" w:space="0" w:color="auto"/>
                </w:tcBorders>
              </w:tcPr>
              <w:p w14:paraId="4F46A48D" w14:textId="77777777" w:rsidR="00471D53" w:rsidRPr="00083834" w:rsidRDefault="00B664AF" w:rsidP="00471D53"/>
            </w:tc>
            <w:tc>
              <w:tcPr>
                <w:tcW w:w="910" w:type="pct"/>
                <w:tcBorders>
                  <w:top w:val="single" w:sz="6" w:space="0" w:color="auto"/>
                  <w:left w:val="single" w:sz="6" w:space="0" w:color="auto"/>
                  <w:bottom w:val="single" w:sz="4" w:space="0" w:color="auto"/>
                  <w:right w:val="single" w:sz="6" w:space="0" w:color="auto"/>
                </w:tcBorders>
              </w:tcPr>
              <w:p w14:paraId="642388C4" w14:textId="77777777" w:rsidR="00471D53" w:rsidRPr="00083834" w:rsidRDefault="00B664AF" w:rsidP="00471D53"/>
            </w:tc>
            <w:tc>
              <w:tcPr>
                <w:tcW w:w="970" w:type="pct"/>
                <w:tcBorders>
                  <w:top w:val="single" w:sz="6" w:space="0" w:color="auto"/>
                  <w:left w:val="single" w:sz="6" w:space="0" w:color="auto"/>
                  <w:bottom w:val="single" w:sz="4" w:space="0" w:color="auto"/>
                  <w:right w:val="single" w:sz="6" w:space="0" w:color="auto"/>
                </w:tcBorders>
              </w:tcPr>
              <w:p w14:paraId="4242B559" w14:textId="77777777" w:rsidR="00471D53" w:rsidRPr="00083834" w:rsidRDefault="00B664AF" w:rsidP="00471D53"/>
            </w:tc>
            <w:tc>
              <w:tcPr>
                <w:tcW w:w="674" w:type="pct"/>
                <w:tcBorders>
                  <w:top w:val="single" w:sz="6" w:space="0" w:color="auto"/>
                  <w:left w:val="single" w:sz="6" w:space="0" w:color="auto"/>
                  <w:bottom w:val="single" w:sz="4" w:space="0" w:color="auto"/>
                  <w:right w:val="single" w:sz="6" w:space="0" w:color="auto"/>
                </w:tcBorders>
              </w:tcPr>
              <w:p w14:paraId="1433F1A0" w14:textId="77777777" w:rsidR="00471D53" w:rsidRPr="00083834" w:rsidRDefault="00B664AF" w:rsidP="00471D53"/>
            </w:tc>
          </w:tr>
        </w:tbl>
        <w:p w14:paraId="6D24DFC3" w14:textId="77777777" w:rsidR="00471D53" w:rsidRPr="00083834" w:rsidRDefault="00B664AF" w:rsidP="00471D53"/>
      </w:sdtContent>
    </w:sdt>
    <w:p w14:paraId="00E1DBEC" w14:textId="77777777" w:rsidR="00471D53" w:rsidRDefault="00B664AF">
      <w:pPr>
        <w:rPr>
          <w:rFonts w:cstheme="minorBidi"/>
          <w:szCs w:val="21"/>
        </w:rPr>
      </w:pPr>
    </w:p>
    <w:sdt>
      <w:sdtPr>
        <w:rPr>
          <w:rFonts w:cstheme="minorBidi"/>
          <w:szCs w:val="21"/>
        </w:rPr>
        <w:alias w:val="模块:重要合营企业的主要财务信息其他说明方法"/>
        <w:tag w:val="_SEC_0483769c9bcc4791905aa1394ee961e5"/>
        <w:id w:val="-119452208"/>
        <w:lock w:val="sdtLocked"/>
        <w:placeholder>
          <w:docPart w:val="GBC22222222222222222222222222222"/>
        </w:placeholder>
      </w:sdtPr>
      <w:sdtEndPr/>
      <w:sdtContent>
        <w:p w14:paraId="73BEAA3F" w14:textId="77777777" w:rsidR="00471D53" w:rsidRDefault="004F686E">
          <w:pPr>
            <w:rPr>
              <w:rFonts w:cs="Arial"/>
              <w:szCs w:val="21"/>
            </w:rPr>
          </w:pPr>
          <w:r>
            <w:rPr>
              <w:rFonts w:cs="Arial" w:hint="eastAsia"/>
              <w:szCs w:val="21"/>
            </w:rPr>
            <w:t>其他说明</w:t>
          </w:r>
        </w:p>
        <w:sdt>
          <w:sdtPr>
            <w:rPr>
              <w:rFonts w:cs="Arial"/>
              <w:szCs w:val="21"/>
            </w:rPr>
            <w:alias w:val="重要合营企业的主要财务信息其他说明方法"/>
            <w:tag w:val="_GBC_2eee1d37a6f94778acc1b70493f48755"/>
            <w:id w:val="672987573"/>
            <w:lock w:val="sdtLocked"/>
            <w:placeholder>
              <w:docPart w:val="GBC22222222222222222222222222222"/>
            </w:placeholder>
          </w:sdtPr>
          <w:sdtEndPr/>
          <w:sdtContent>
            <w:p w14:paraId="749637F5" w14:textId="77777777" w:rsidR="00471D53" w:rsidRDefault="004F686E" w:rsidP="00471D53">
              <w:pPr>
                <w:spacing w:beforeLines="50" w:before="120" w:afterLines="50" w:after="120" w:line="360" w:lineRule="exact"/>
                <w:ind w:firstLineChars="200" w:firstLine="420"/>
                <w:jc w:val="both"/>
                <w:rPr>
                  <w:sz w:val="22"/>
                  <w:szCs w:val="22"/>
                </w:rPr>
              </w:pPr>
              <w:r>
                <w:rPr>
                  <w:rFonts w:hint="eastAsia"/>
                  <w:sz w:val="22"/>
                  <w:szCs w:val="22"/>
                </w:rPr>
                <w:t>京城海通注册资本8,000万元，北京天海以货币形式认缴3,920万元，持股49%，认缴出资日期为2021年9月1日前。北京能通租赁公司以货币形式认缴4,080万元，持股51%，认缴出资日期为2018年10月15日2,040万元、2019年3月1日2,010万元。截至报告日，北京能通租赁公司已履行了全部出资义务。</w:t>
              </w:r>
            </w:p>
            <w:p w14:paraId="41EDAE29" w14:textId="77777777" w:rsidR="00471D53" w:rsidRDefault="004F686E" w:rsidP="00471D53">
              <w:pPr>
                <w:ind w:firstLineChars="200" w:firstLine="440"/>
                <w:rPr>
                  <w:rFonts w:cs="Arial"/>
                  <w:szCs w:val="21"/>
                </w:rPr>
              </w:pPr>
              <w:r>
                <w:rPr>
                  <w:rFonts w:hint="eastAsia"/>
                  <w:sz w:val="22"/>
                  <w:szCs w:val="22"/>
                </w:rPr>
                <w:t>京城海通股东合作协议第5.5条约定：“公司成立初期及运营阶段如出现亏损，由各方按照各自股权比例予以承担”、“公司盈利，股东按照股权比例进行利润分配”。北京天海按承诺认缴出资确认长期股权投资和长期应付款，并按照认缴持股比例确认应享有京城海通的净利润。</w:t>
              </w:r>
            </w:p>
          </w:sdtContent>
        </w:sdt>
        <w:p w14:paraId="6CE79D93" w14:textId="77777777" w:rsidR="00471D53" w:rsidRDefault="00B664AF">
          <w:pPr>
            <w:rPr>
              <w:rFonts w:cstheme="minorBidi"/>
              <w:szCs w:val="21"/>
            </w:rPr>
          </w:pPr>
        </w:p>
      </w:sdtContent>
    </w:sdt>
    <w:p w14:paraId="6068F9BA" w14:textId="77777777" w:rsidR="00471D53" w:rsidRDefault="004F686E" w:rsidP="004F686E">
      <w:pPr>
        <w:pStyle w:val="afffff8"/>
        <w:numPr>
          <w:ilvl w:val="3"/>
          <w:numId w:val="96"/>
        </w:numPr>
        <w:tabs>
          <w:tab w:val="left" w:pos="630"/>
        </w:tabs>
        <w:rPr>
          <w:rFonts w:ascii="宋体" w:hAnsi="宋体" w:cs="Arial"/>
          <w:szCs w:val="21"/>
        </w:rPr>
      </w:pPr>
      <w:r>
        <w:rPr>
          <w:rFonts w:ascii="宋体" w:hAnsi="宋体" w:cs="Arial" w:hint="eastAsia"/>
          <w:szCs w:val="21"/>
        </w:rPr>
        <w:t>重要联营企业的主要财务信息</w:t>
      </w:r>
    </w:p>
    <w:p w14:paraId="364140D8" w14:textId="77777777" w:rsidR="00471D53" w:rsidRDefault="00B664AF">
      <w:sdt>
        <w:sdtPr>
          <w:rPr>
            <w:rFonts w:hint="eastAsia"/>
            <w:b/>
          </w:rPr>
          <w:alias w:val="是否适用：重要联营企业的主要财务信息[双击切换]"/>
          <w:tag w:val="_GBC_e304b69adb6f449495c3916754024763"/>
          <w:id w:val="1882745051"/>
          <w:lock w:val="sdtContentLocked"/>
          <w:placeholder>
            <w:docPart w:val="GBC22222222222222222222222222222"/>
          </w:placeholder>
        </w:sdtPr>
        <w:sdtEndPr>
          <w:rPr>
            <w:b w:val="0"/>
          </w:rPr>
        </w:sdtEndPr>
        <w:sdtContent>
          <w:r w:rsidR="004F686E">
            <w:fldChar w:fldCharType="begin"/>
          </w:r>
          <w:r w:rsidR="004F686E">
            <w:instrText xml:space="preserve"> MACROBUTTON  SnrToggleCheckbox √适用 </w:instrText>
          </w:r>
          <w:r w:rsidR="004F686E">
            <w:fldChar w:fldCharType="end"/>
          </w:r>
          <w:r w:rsidR="004F686E">
            <w:fldChar w:fldCharType="begin"/>
          </w:r>
          <w:r w:rsidR="004F686E">
            <w:instrText xml:space="preserve"> MACROBUTTON  SnrToggleCheckbox □不适用 </w:instrText>
          </w:r>
          <w:r w:rsidR="004F686E">
            <w:fldChar w:fldCharType="end"/>
          </w:r>
        </w:sdtContent>
      </w:sdt>
    </w:p>
    <w:p w14:paraId="29953D89" w14:textId="0F345FA8" w:rsidR="00471D53" w:rsidRDefault="004F686E">
      <w:pPr>
        <w:jc w:val="right"/>
      </w:pPr>
      <w:r>
        <w:rPr>
          <w:rFonts w:hint="eastAsia"/>
        </w:rPr>
        <w:t>单位：</w:t>
      </w:r>
      <w:sdt>
        <w:sdtPr>
          <w:rPr>
            <w:rFonts w:hint="eastAsia"/>
          </w:rPr>
          <w:alias w:val="单位：财务附注：重要联营企业的主要财务信息"/>
          <w:tag w:val="_GBC_0306b30be35040cd86d2b964142011d4"/>
          <w:id w:val="-2862830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重要联营企业的主要财务信息"/>
          <w:tag w:val="_GBC_a2e655bae21746219bfd958c6f5b8be9"/>
          <w:id w:val="-19648003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sdt>
      <w:sdtPr>
        <w:rPr>
          <w:rFonts w:cs="Arial" w:hint="eastAsia"/>
          <w:b/>
          <w:bCs/>
          <w:szCs w:val="21"/>
        </w:rPr>
        <w:alias w:val="模块:重要联营企业的主要财务信息"/>
        <w:tag w:val="_GBC_ac3eed998bbd4658ab651a88daefefb1"/>
        <w:id w:val="1476026631"/>
        <w:lock w:val="sdtLocked"/>
        <w:placeholder>
          <w:docPart w:val="GBC22222222222222222222222222222"/>
        </w:placeholder>
      </w:sdtPr>
      <w:sdtEndPr>
        <w:rPr>
          <w:rFonts w:cstheme="minorBidi" w:hint="default"/>
          <w:b w:val="0"/>
          <w:bCs w:val="0"/>
        </w:rPr>
      </w:sdtEndPr>
      <w:sdtContent>
        <w:tbl>
          <w:tblPr>
            <w:tblStyle w:val="g4"/>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216"/>
            <w:gridCol w:w="1756"/>
            <w:gridCol w:w="1581"/>
            <w:gridCol w:w="1686"/>
            <w:gridCol w:w="1581"/>
          </w:tblGrid>
          <w:tr w:rsidR="00471D53" w14:paraId="14EFCCA0" w14:textId="77777777" w:rsidTr="00471D53">
            <w:trPr>
              <w:trHeight w:val="120"/>
            </w:trPr>
            <w:tc>
              <w:tcPr>
                <w:tcW w:w="1564" w:type="pct"/>
                <w:vMerge w:val="restart"/>
                <w:tcBorders>
                  <w:top w:val="single" w:sz="4" w:space="0" w:color="auto"/>
                  <w:left w:val="single" w:sz="4" w:space="0" w:color="auto"/>
                  <w:bottom w:val="single" w:sz="6" w:space="0" w:color="auto"/>
                  <w:right w:val="single" w:sz="6" w:space="0" w:color="auto"/>
                </w:tcBorders>
                <w:shd w:val="clear" w:color="auto" w:fill="auto"/>
              </w:tcPr>
              <w:p w14:paraId="4798E593" w14:textId="77777777" w:rsidR="00471D53" w:rsidRDefault="00B664AF">
                <w:pPr>
                  <w:jc w:val="center"/>
                  <w:rPr>
                    <w:rFonts w:cs="Arial"/>
                    <w:szCs w:val="21"/>
                  </w:rPr>
                </w:pPr>
              </w:p>
            </w:tc>
            <w:sdt>
              <w:sdtPr>
                <w:rPr>
                  <w:rFonts w:cs="Arial" w:hint="eastAsia"/>
                  <w:szCs w:val="21"/>
                  <w:lang w:val="en-GB"/>
                </w:rPr>
                <w:alias w:val="重要联营企业的主要财务信息-发生期间"/>
                <w:tag w:val="_GBC_3985273c74d84e5d9e0004348ff54fc3"/>
                <w:id w:val="201911477"/>
                <w:lock w:val="sdtLocked"/>
              </w:sdtPr>
              <w:sdtEndPr/>
              <w:sdtContent>
                <w:tc>
                  <w:tcPr>
                    <w:tcW w:w="1712" w:type="pct"/>
                    <w:gridSpan w:val="2"/>
                    <w:tcBorders>
                      <w:top w:val="single" w:sz="4" w:space="0" w:color="auto"/>
                      <w:left w:val="single" w:sz="6" w:space="0" w:color="auto"/>
                      <w:bottom w:val="single" w:sz="6" w:space="0" w:color="auto"/>
                      <w:right w:val="single" w:sz="6" w:space="0" w:color="auto"/>
                    </w:tcBorders>
                    <w:shd w:val="clear" w:color="auto" w:fill="auto"/>
                    <w:vAlign w:val="center"/>
                  </w:tcPr>
                  <w:p w14:paraId="4FAC00EF" w14:textId="6746617B" w:rsidR="00471D53" w:rsidRDefault="004F686E">
                    <w:pPr>
                      <w:jc w:val="center"/>
                      <w:rPr>
                        <w:rFonts w:cs="Arial"/>
                        <w:szCs w:val="21"/>
                      </w:rPr>
                    </w:pPr>
                    <w:r>
                      <w:rPr>
                        <w:rFonts w:cs="Arial" w:hint="eastAsia"/>
                        <w:szCs w:val="21"/>
                        <w:lang w:val="en-GB"/>
                      </w:rPr>
                      <w:t>期末余额</w:t>
                    </w:r>
                    <w:r>
                      <w:rPr>
                        <w:rFonts w:cs="Arial"/>
                        <w:szCs w:val="21"/>
                      </w:rPr>
                      <w:t>/</w:t>
                    </w:r>
                    <w:r>
                      <w:rPr>
                        <w:rFonts w:cs="Arial" w:hint="eastAsia"/>
                        <w:szCs w:val="21"/>
                        <w:lang w:val="en-GB"/>
                      </w:rPr>
                      <w:t>本期发生额</w:t>
                    </w:r>
                  </w:p>
                </w:tc>
              </w:sdtContent>
            </w:sdt>
            <w:sdt>
              <w:sdtPr>
                <w:rPr>
                  <w:rFonts w:cs="Arial" w:hint="eastAsia"/>
                  <w:szCs w:val="21"/>
                  <w:lang w:val="en-GB"/>
                </w:rPr>
                <w:alias w:val="重要联营企业的主要财务信息-发生期间"/>
                <w:tag w:val="_GBC_c59f213bf9cc43468db35ae8e45286d0"/>
                <w:id w:val="1440792691"/>
                <w:lock w:val="sdtLocked"/>
              </w:sdtPr>
              <w:sdtEndPr/>
              <w:sdtContent>
                <w:tc>
                  <w:tcPr>
                    <w:tcW w:w="1724" w:type="pct"/>
                    <w:gridSpan w:val="2"/>
                    <w:tcBorders>
                      <w:top w:val="single" w:sz="4" w:space="0" w:color="auto"/>
                      <w:left w:val="single" w:sz="6" w:space="0" w:color="auto"/>
                      <w:bottom w:val="single" w:sz="6" w:space="0" w:color="auto"/>
                      <w:right w:val="single" w:sz="6" w:space="0" w:color="auto"/>
                    </w:tcBorders>
                    <w:shd w:val="clear" w:color="auto" w:fill="auto"/>
                    <w:vAlign w:val="center"/>
                  </w:tcPr>
                  <w:p w14:paraId="4A07A7F9" w14:textId="1216A765" w:rsidR="00471D53" w:rsidRDefault="004F686E">
                    <w:pPr>
                      <w:jc w:val="center"/>
                      <w:rPr>
                        <w:rFonts w:cs="Arial"/>
                        <w:szCs w:val="21"/>
                        <w:lang w:val="en-GB"/>
                      </w:rPr>
                    </w:pPr>
                    <w:r>
                      <w:rPr>
                        <w:rFonts w:cs="Arial" w:hint="eastAsia"/>
                        <w:szCs w:val="21"/>
                        <w:lang w:val="en-GB"/>
                      </w:rPr>
                      <w:t>期初余额</w:t>
                    </w:r>
                    <w:r>
                      <w:rPr>
                        <w:rFonts w:cs="Arial"/>
                        <w:szCs w:val="21"/>
                      </w:rPr>
                      <w:t>/</w:t>
                    </w:r>
                    <w:r>
                      <w:rPr>
                        <w:rFonts w:cs="Arial" w:hint="eastAsia"/>
                        <w:szCs w:val="21"/>
                        <w:lang w:val="en-GB"/>
                      </w:rPr>
                      <w:t>上期发生额</w:t>
                    </w:r>
                  </w:p>
                </w:tc>
              </w:sdtContent>
            </w:sdt>
          </w:tr>
          <w:tr w:rsidR="00471D53" w14:paraId="41004381" w14:textId="77777777" w:rsidTr="00471D53">
            <w:trPr>
              <w:trHeight w:val="120"/>
            </w:trPr>
            <w:tc>
              <w:tcPr>
                <w:tcW w:w="1564" w:type="pct"/>
                <w:vMerge/>
                <w:tcBorders>
                  <w:top w:val="single" w:sz="4" w:space="0" w:color="auto"/>
                  <w:left w:val="single" w:sz="4" w:space="0" w:color="auto"/>
                  <w:bottom w:val="single" w:sz="6" w:space="0" w:color="auto"/>
                  <w:right w:val="single" w:sz="6" w:space="0" w:color="auto"/>
                </w:tcBorders>
                <w:shd w:val="clear" w:color="auto" w:fill="auto"/>
                <w:vAlign w:val="center"/>
              </w:tcPr>
              <w:p w14:paraId="4E89C541" w14:textId="77777777" w:rsidR="00471D53" w:rsidRDefault="00B664AF">
                <w:pPr>
                  <w:rPr>
                    <w:rFonts w:cs="Arial"/>
                    <w:szCs w:val="21"/>
                  </w:rPr>
                </w:pPr>
              </w:p>
            </w:tc>
            <w:sdt>
              <w:sdtPr>
                <w:rPr>
                  <w:rFonts w:hint="eastAsia"/>
                  <w:szCs w:val="21"/>
                </w:rPr>
                <w:alias w:val="重要联营企业的主要财务信息明细-企业名称"/>
                <w:tag w:val="_GBC_0cae03adb6fc417da51f1e06cc077a6b"/>
                <w:id w:val="1732124929"/>
                <w:lock w:val="sdtLocked"/>
              </w:sdtPr>
              <w:sdtEndPr/>
              <w:sdtContent>
                <w:tc>
                  <w:tcPr>
                    <w:tcW w:w="932" w:type="pct"/>
                    <w:tcBorders>
                      <w:top w:val="single" w:sz="6" w:space="0" w:color="auto"/>
                      <w:left w:val="single" w:sz="6" w:space="0" w:color="auto"/>
                      <w:right w:val="single" w:sz="6" w:space="0" w:color="auto"/>
                    </w:tcBorders>
                    <w:shd w:val="clear" w:color="auto" w:fill="auto"/>
                  </w:tcPr>
                  <w:p w14:paraId="1661321F" w14:textId="77777777" w:rsidR="00471D53" w:rsidRDefault="004F686E">
                    <w:pPr>
                      <w:jc w:val="center"/>
                      <w:rPr>
                        <w:szCs w:val="21"/>
                      </w:rPr>
                    </w:pPr>
                    <w:r>
                      <w:rPr>
                        <w:rFonts w:hint="eastAsia"/>
                        <w:szCs w:val="21"/>
                      </w:rPr>
                      <w:t>江苏天海公司</w:t>
                    </w:r>
                  </w:p>
                </w:tc>
              </w:sdtContent>
            </w:sdt>
            <w:sdt>
              <w:sdtPr>
                <w:rPr>
                  <w:rFonts w:hint="eastAsia"/>
                  <w:szCs w:val="21"/>
                </w:rPr>
                <w:alias w:val="重要联营企业的主要财务信息明细-企业名称"/>
                <w:tag w:val="_GBC_0cae03adb6fc417da51f1e06cc077a6b"/>
                <w:id w:val="1663271288"/>
                <w:lock w:val="sdtLocked"/>
              </w:sdtPr>
              <w:sdtEndPr/>
              <w:sdtContent>
                <w:tc>
                  <w:tcPr>
                    <w:tcW w:w="780" w:type="pct"/>
                    <w:tcBorders>
                      <w:top w:val="single" w:sz="6" w:space="0" w:color="auto"/>
                      <w:left w:val="single" w:sz="6" w:space="0" w:color="auto"/>
                      <w:right w:val="single" w:sz="6" w:space="0" w:color="auto"/>
                    </w:tcBorders>
                    <w:shd w:val="clear" w:color="auto" w:fill="auto"/>
                  </w:tcPr>
                  <w:p w14:paraId="1EBE1006" w14:textId="77777777" w:rsidR="00471D53" w:rsidRDefault="004F686E">
                    <w:pPr>
                      <w:jc w:val="center"/>
                      <w:rPr>
                        <w:szCs w:val="21"/>
                      </w:rPr>
                    </w:pPr>
                    <w:r w:rsidRPr="00C8317A">
                      <w:rPr>
                        <w:rFonts w:hint="eastAsia"/>
                        <w:szCs w:val="21"/>
                      </w:rPr>
                      <w:t>江苏天海公司</w:t>
                    </w:r>
                    <w:r>
                      <w:rPr>
                        <w:rFonts w:hint="eastAsia"/>
                        <w:szCs w:val="21"/>
                      </w:rPr>
                      <w:t>公司</w:t>
                    </w:r>
                  </w:p>
                </w:tc>
              </w:sdtContent>
            </w:sdt>
            <w:sdt>
              <w:sdtPr>
                <w:rPr>
                  <w:rFonts w:hint="eastAsia"/>
                  <w:szCs w:val="21"/>
                </w:rPr>
                <w:alias w:val="重要联营企业的主要财务信息明细-企业名称"/>
                <w:tag w:val="_GBC_dabfa87f0eff42149952cca99a0db3a2"/>
                <w:id w:val="1171444895"/>
                <w:lock w:val="sdtLocked"/>
              </w:sdtPr>
              <w:sdtEndPr/>
              <w:sdtContent>
                <w:tc>
                  <w:tcPr>
                    <w:tcW w:w="932" w:type="pct"/>
                    <w:tcBorders>
                      <w:top w:val="single" w:sz="6" w:space="0" w:color="auto"/>
                      <w:left w:val="single" w:sz="6" w:space="0" w:color="auto"/>
                      <w:bottom w:val="single" w:sz="6" w:space="0" w:color="auto"/>
                      <w:right w:val="single" w:sz="6" w:space="0" w:color="auto"/>
                    </w:tcBorders>
                    <w:shd w:val="clear" w:color="auto" w:fill="auto"/>
                  </w:tcPr>
                  <w:p w14:paraId="45E70F93" w14:textId="77777777" w:rsidR="00471D53" w:rsidRDefault="004F686E">
                    <w:pPr>
                      <w:jc w:val="center"/>
                      <w:rPr>
                        <w:szCs w:val="21"/>
                      </w:rPr>
                    </w:pPr>
                    <w:r w:rsidRPr="00C8317A">
                      <w:rPr>
                        <w:rFonts w:hint="eastAsia"/>
                        <w:szCs w:val="21"/>
                      </w:rPr>
                      <w:t>江苏天海公司</w:t>
                    </w:r>
                    <w:r>
                      <w:rPr>
                        <w:rFonts w:hint="eastAsia"/>
                        <w:szCs w:val="21"/>
                      </w:rPr>
                      <w:t>公司</w:t>
                    </w:r>
                  </w:p>
                </w:tc>
              </w:sdtContent>
            </w:sdt>
            <w:sdt>
              <w:sdtPr>
                <w:rPr>
                  <w:rFonts w:hint="eastAsia"/>
                  <w:szCs w:val="21"/>
                </w:rPr>
                <w:alias w:val="重要联营企业的主要财务信息明细-企业名称"/>
                <w:tag w:val="_GBC_dabfa87f0eff42149952cca99a0db3a2"/>
                <w:id w:val="1052886184"/>
                <w:lock w:val="sdtLocked"/>
              </w:sdtPr>
              <w:sdtEndPr/>
              <w:sdtContent>
                <w:tc>
                  <w:tcPr>
                    <w:tcW w:w="792" w:type="pct"/>
                    <w:tcBorders>
                      <w:top w:val="single" w:sz="6" w:space="0" w:color="auto"/>
                      <w:left w:val="single" w:sz="6" w:space="0" w:color="auto"/>
                      <w:bottom w:val="single" w:sz="6" w:space="0" w:color="auto"/>
                      <w:right w:val="single" w:sz="6" w:space="0" w:color="auto"/>
                    </w:tcBorders>
                    <w:shd w:val="clear" w:color="auto" w:fill="auto"/>
                  </w:tcPr>
                  <w:p w14:paraId="489E4ED9" w14:textId="77777777" w:rsidR="00471D53" w:rsidRDefault="004F686E">
                    <w:pPr>
                      <w:jc w:val="center"/>
                      <w:rPr>
                        <w:szCs w:val="21"/>
                      </w:rPr>
                    </w:pPr>
                    <w:r w:rsidRPr="00C8317A">
                      <w:rPr>
                        <w:rFonts w:hint="eastAsia"/>
                        <w:szCs w:val="21"/>
                      </w:rPr>
                      <w:t>江苏天海公司</w:t>
                    </w:r>
                    <w:r>
                      <w:rPr>
                        <w:rFonts w:hint="eastAsia"/>
                        <w:szCs w:val="21"/>
                      </w:rPr>
                      <w:t>公司</w:t>
                    </w:r>
                  </w:p>
                </w:tc>
              </w:sdtContent>
            </w:sdt>
          </w:tr>
          <w:tr w:rsidR="00471D53" w14:paraId="1A20B06F" w14:textId="77777777" w:rsidTr="00471D53">
            <w:sdt>
              <w:sdtPr>
                <w:tag w:val="_PLD_fef15ffbfdea4cb5a3d708c5ea8068c9"/>
                <w:id w:val="-1026562373"/>
                <w:lock w:val="sdtLocked"/>
              </w:sdtPr>
              <w:sdtEndPr/>
              <w:sdtContent>
                <w:tc>
                  <w:tcPr>
                    <w:tcW w:w="1564" w:type="pct"/>
                    <w:tcBorders>
                      <w:top w:val="single" w:sz="6" w:space="0" w:color="auto"/>
                      <w:left w:val="single" w:sz="4" w:space="0" w:color="auto"/>
                      <w:bottom w:val="single" w:sz="6" w:space="0" w:color="auto"/>
                      <w:right w:val="single" w:sz="6" w:space="0" w:color="auto"/>
                    </w:tcBorders>
                    <w:shd w:val="clear" w:color="auto" w:fill="auto"/>
                    <w:vAlign w:val="bottom"/>
                  </w:tcPr>
                  <w:p w14:paraId="422A94EA" w14:textId="77777777" w:rsidR="00471D53" w:rsidRDefault="004F686E">
                    <w:pPr>
                      <w:rPr>
                        <w:rFonts w:cs="Arial"/>
                        <w:color w:val="000000"/>
                        <w:szCs w:val="21"/>
                      </w:rPr>
                    </w:pPr>
                    <w:r>
                      <w:rPr>
                        <w:rFonts w:cs="Arial" w:hint="eastAsia"/>
                        <w:color w:val="000000"/>
                        <w:szCs w:val="21"/>
                        <w:lang w:val="en-GB"/>
                      </w:rPr>
                      <w:t>流动资产</w:t>
                    </w:r>
                  </w:p>
                </w:tc>
              </w:sdtContent>
            </w:sdt>
            <w:tc>
              <w:tcPr>
                <w:tcW w:w="932" w:type="pct"/>
                <w:tcBorders>
                  <w:left w:val="single" w:sz="6" w:space="0" w:color="auto"/>
                  <w:right w:val="single" w:sz="6" w:space="0" w:color="auto"/>
                </w:tcBorders>
                <w:shd w:val="clear" w:color="auto" w:fill="auto"/>
              </w:tcPr>
              <w:p w14:paraId="1A561148" w14:textId="77777777" w:rsidR="00471D53" w:rsidRDefault="004F686E">
                <w:pPr>
                  <w:jc w:val="right"/>
                  <w:rPr>
                    <w:szCs w:val="21"/>
                  </w:rPr>
                </w:pPr>
                <w:r w:rsidRPr="00C8317A">
                  <w:rPr>
                    <w:szCs w:val="21"/>
                  </w:rPr>
                  <w:t>75,142,033.39</w:t>
                </w:r>
              </w:p>
            </w:tc>
            <w:tc>
              <w:tcPr>
                <w:tcW w:w="780" w:type="pct"/>
                <w:tcBorders>
                  <w:left w:val="single" w:sz="6" w:space="0" w:color="auto"/>
                  <w:right w:val="single" w:sz="6" w:space="0" w:color="auto"/>
                </w:tcBorders>
                <w:shd w:val="clear" w:color="auto" w:fill="auto"/>
              </w:tcPr>
              <w:p w14:paraId="72E1AA8E" w14:textId="77777777" w:rsidR="00471D53" w:rsidRDefault="00B664AF">
                <w:pPr>
                  <w:jc w:val="right"/>
                  <w:rPr>
                    <w:szCs w:val="21"/>
                  </w:rPr>
                </w:pPr>
              </w:p>
            </w:tc>
            <w:tc>
              <w:tcPr>
                <w:tcW w:w="932" w:type="pct"/>
                <w:tcBorders>
                  <w:top w:val="single" w:sz="6" w:space="0" w:color="auto"/>
                  <w:left w:val="single" w:sz="6" w:space="0" w:color="auto"/>
                  <w:bottom w:val="single" w:sz="6" w:space="0" w:color="auto"/>
                  <w:right w:val="single" w:sz="6" w:space="0" w:color="auto"/>
                </w:tcBorders>
              </w:tcPr>
              <w:p w14:paraId="5658FAA7" w14:textId="77777777" w:rsidR="00471D53" w:rsidRDefault="004F686E">
                <w:pPr>
                  <w:jc w:val="right"/>
                  <w:rPr>
                    <w:szCs w:val="21"/>
                  </w:rPr>
                </w:pPr>
                <w:r w:rsidRPr="00C8317A">
                  <w:rPr>
                    <w:szCs w:val="21"/>
                  </w:rPr>
                  <w:t>62,665,378.44</w:t>
                </w:r>
              </w:p>
            </w:tc>
            <w:tc>
              <w:tcPr>
                <w:tcW w:w="792" w:type="pct"/>
                <w:tcBorders>
                  <w:top w:val="single" w:sz="6" w:space="0" w:color="auto"/>
                  <w:left w:val="single" w:sz="6" w:space="0" w:color="auto"/>
                  <w:bottom w:val="single" w:sz="6" w:space="0" w:color="auto"/>
                  <w:right w:val="single" w:sz="6" w:space="0" w:color="auto"/>
                </w:tcBorders>
              </w:tcPr>
              <w:p w14:paraId="2E94B641" w14:textId="77777777" w:rsidR="00471D53" w:rsidRDefault="00B664AF">
                <w:pPr>
                  <w:jc w:val="right"/>
                  <w:rPr>
                    <w:szCs w:val="21"/>
                  </w:rPr>
                </w:pPr>
              </w:p>
            </w:tc>
          </w:tr>
          <w:tr w:rsidR="00471D53" w14:paraId="478723BC" w14:textId="77777777" w:rsidTr="00471D53">
            <w:sdt>
              <w:sdtPr>
                <w:tag w:val="_PLD_f31bdbdda3c24ef0ad64c4480cfaf1eb"/>
                <w:id w:val="316160415"/>
                <w:lock w:val="sdtLocked"/>
              </w:sdtPr>
              <w:sdtEndPr/>
              <w:sdtContent>
                <w:tc>
                  <w:tcPr>
                    <w:tcW w:w="1564" w:type="pct"/>
                    <w:tcBorders>
                      <w:top w:val="single" w:sz="6" w:space="0" w:color="auto"/>
                      <w:left w:val="single" w:sz="4" w:space="0" w:color="auto"/>
                      <w:bottom w:val="single" w:sz="6" w:space="0" w:color="auto"/>
                      <w:right w:val="single" w:sz="6" w:space="0" w:color="auto"/>
                    </w:tcBorders>
                    <w:shd w:val="clear" w:color="auto" w:fill="auto"/>
                    <w:vAlign w:val="bottom"/>
                  </w:tcPr>
                  <w:p w14:paraId="731D5D79" w14:textId="77777777" w:rsidR="00471D53" w:rsidRDefault="004F686E">
                    <w:pPr>
                      <w:rPr>
                        <w:rFonts w:cs="Arial"/>
                        <w:color w:val="000000"/>
                        <w:szCs w:val="21"/>
                      </w:rPr>
                    </w:pPr>
                    <w:r>
                      <w:rPr>
                        <w:rFonts w:cs="Arial" w:hint="eastAsia"/>
                        <w:color w:val="000000"/>
                        <w:szCs w:val="21"/>
                        <w:lang w:val="en-GB"/>
                      </w:rPr>
                      <w:t>非流动资产</w:t>
                    </w:r>
                  </w:p>
                </w:tc>
              </w:sdtContent>
            </w:sdt>
            <w:tc>
              <w:tcPr>
                <w:tcW w:w="932" w:type="pct"/>
                <w:tcBorders>
                  <w:left w:val="single" w:sz="6" w:space="0" w:color="auto"/>
                  <w:right w:val="single" w:sz="6" w:space="0" w:color="auto"/>
                </w:tcBorders>
                <w:shd w:val="clear" w:color="auto" w:fill="auto"/>
                <w:vAlign w:val="center"/>
              </w:tcPr>
              <w:p w14:paraId="2A77806C" w14:textId="77777777" w:rsidR="00471D53" w:rsidRDefault="004F686E">
                <w:pPr>
                  <w:rPr>
                    <w:sz w:val="24"/>
                  </w:rPr>
                </w:pPr>
                <w:r>
                  <w:t>78,057,260.81</w:t>
                </w:r>
              </w:p>
            </w:tc>
            <w:tc>
              <w:tcPr>
                <w:tcW w:w="780" w:type="pct"/>
                <w:tcBorders>
                  <w:left w:val="single" w:sz="6" w:space="0" w:color="auto"/>
                  <w:right w:val="single" w:sz="6" w:space="0" w:color="auto"/>
                </w:tcBorders>
                <w:shd w:val="clear" w:color="auto" w:fill="auto"/>
              </w:tcPr>
              <w:p w14:paraId="45867272" w14:textId="77777777" w:rsidR="00471D53" w:rsidRDefault="00B664AF">
                <w:pPr>
                  <w:jc w:val="right"/>
                  <w:rPr>
                    <w:szCs w:val="21"/>
                  </w:rPr>
                </w:pPr>
              </w:p>
            </w:tc>
            <w:tc>
              <w:tcPr>
                <w:tcW w:w="932" w:type="pct"/>
                <w:tcBorders>
                  <w:top w:val="single" w:sz="6" w:space="0" w:color="auto"/>
                  <w:left w:val="single" w:sz="6" w:space="0" w:color="auto"/>
                  <w:bottom w:val="single" w:sz="6" w:space="0" w:color="auto"/>
                  <w:right w:val="single" w:sz="6" w:space="0" w:color="auto"/>
                </w:tcBorders>
                <w:vAlign w:val="center"/>
              </w:tcPr>
              <w:p w14:paraId="51E156A1" w14:textId="77777777" w:rsidR="00471D53" w:rsidRDefault="004F686E">
                <w:pPr>
                  <w:rPr>
                    <w:sz w:val="24"/>
                  </w:rPr>
                </w:pPr>
                <w:r>
                  <w:t>80,469,336.06</w:t>
                </w:r>
              </w:p>
            </w:tc>
            <w:tc>
              <w:tcPr>
                <w:tcW w:w="792" w:type="pct"/>
                <w:tcBorders>
                  <w:top w:val="single" w:sz="6" w:space="0" w:color="auto"/>
                  <w:left w:val="single" w:sz="6" w:space="0" w:color="auto"/>
                  <w:bottom w:val="single" w:sz="6" w:space="0" w:color="auto"/>
                  <w:right w:val="single" w:sz="6" w:space="0" w:color="auto"/>
                </w:tcBorders>
              </w:tcPr>
              <w:p w14:paraId="4CC548D0" w14:textId="77777777" w:rsidR="00471D53" w:rsidRDefault="00B664AF">
                <w:pPr>
                  <w:jc w:val="right"/>
                  <w:rPr>
                    <w:szCs w:val="21"/>
                  </w:rPr>
                </w:pPr>
              </w:p>
            </w:tc>
          </w:tr>
          <w:tr w:rsidR="00471D53" w14:paraId="79F50EAF" w14:textId="77777777" w:rsidTr="00471D53">
            <w:sdt>
              <w:sdtPr>
                <w:tag w:val="_PLD_d1755220e8944b638b853a5090d054ac"/>
                <w:id w:val="-493036810"/>
                <w:lock w:val="sdtLocked"/>
              </w:sdtPr>
              <w:sdtEndPr/>
              <w:sdtContent>
                <w:tc>
                  <w:tcPr>
                    <w:tcW w:w="1564" w:type="pct"/>
                    <w:tcBorders>
                      <w:top w:val="single" w:sz="6" w:space="0" w:color="auto"/>
                      <w:left w:val="single" w:sz="4" w:space="0" w:color="auto"/>
                      <w:bottom w:val="single" w:sz="6" w:space="0" w:color="auto"/>
                      <w:right w:val="single" w:sz="6" w:space="0" w:color="auto"/>
                    </w:tcBorders>
                    <w:shd w:val="clear" w:color="auto" w:fill="auto"/>
                    <w:vAlign w:val="bottom"/>
                  </w:tcPr>
                  <w:p w14:paraId="2672CAC6" w14:textId="77777777" w:rsidR="00471D53" w:rsidRDefault="004F686E">
                    <w:pPr>
                      <w:rPr>
                        <w:rFonts w:cs="Arial"/>
                        <w:color w:val="000000"/>
                        <w:szCs w:val="21"/>
                      </w:rPr>
                    </w:pPr>
                    <w:r>
                      <w:rPr>
                        <w:rFonts w:cs="Arial" w:hint="eastAsia"/>
                        <w:color w:val="000000"/>
                        <w:szCs w:val="21"/>
                        <w:lang w:val="en-GB"/>
                      </w:rPr>
                      <w:t>资产合计</w:t>
                    </w:r>
                  </w:p>
                </w:tc>
              </w:sdtContent>
            </w:sdt>
            <w:tc>
              <w:tcPr>
                <w:tcW w:w="932" w:type="pct"/>
                <w:tcBorders>
                  <w:left w:val="single" w:sz="6" w:space="0" w:color="auto"/>
                  <w:right w:val="single" w:sz="6" w:space="0" w:color="auto"/>
                </w:tcBorders>
                <w:shd w:val="clear" w:color="auto" w:fill="auto"/>
                <w:vAlign w:val="center"/>
              </w:tcPr>
              <w:p w14:paraId="1A484A31" w14:textId="77777777" w:rsidR="00471D53" w:rsidRDefault="004F686E">
                <w:pPr>
                  <w:rPr>
                    <w:sz w:val="24"/>
                  </w:rPr>
                </w:pPr>
                <w:r>
                  <w:t>153,199,294.20</w:t>
                </w:r>
              </w:p>
            </w:tc>
            <w:tc>
              <w:tcPr>
                <w:tcW w:w="780" w:type="pct"/>
                <w:tcBorders>
                  <w:left w:val="single" w:sz="6" w:space="0" w:color="auto"/>
                  <w:right w:val="single" w:sz="6" w:space="0" w:color="auto"/>
                </w:tcBorders>
                <w:shd w:val="clear" w:color="auto" w:fill="auto"/>
              </w:tcPr>
              <w:p w14:paraId="6252EA94" w14:textId="77777777" w:rsidR="00471D53" w:rsidRDefault="00B664AF">
                <w:pPr>
                  <w:jc w:val="right"/>
                  <w:rPr>
                    <w:szCs w:val="21"/>
                  </w:rPr>
                </w:pPr>
              </w:p>
            </w:tc>
            <w:tc>
              <w:tcPr>
                <w:tcW w:w="932" w:type="pct"/>
                <w:tcBorders>
                  <w:top w:val="single" w:sz="6" w:space="0" w:color="auto"/>
                  <w:left w:val="single" w:sz="6" w:space="0" w:color="auto"/>
                  <w:bottom w:val="single" w:sz="6" w:space="0" w:color="auto"/>
                  <w:right w:val="single" w:sz="6" w:space="0" w:color="auto"/>
                </w:tcBorders>
                <w:vAlign w:val="center"/>
              </w:tcPr>
              <w:p w14:paraId="21FE131F" w14:textId="77777777" w:rsidR="00471D53" w:rsidRDefault="004F686E">
                <w:pPr>
                  <w:rPr>
                    <w:sz w:val="24"/>
                  </w:rPr>
                </w:pPr>
                <w:r>
                  <w:t>143,134,714.50</w:t>
                </w:r>
              </w:p>
            </w:tc>
            <w:tc>
              <w:tcPr>
                <w:tcW w:w="792" w:type="pct"/>
                <w:tcBorders>
                  <w:top w:val="single" w:sz="6" w:space="0" w:color="auto"/>
                  <w:left w:val="single" w:sz="6" w:space="0" w:color="auto"/>
                  <w:bottom w:val="single" w:sz="6" w:space="0" w:color="auto"/>
                  <w:right w:val="single" w:sz="6" w:space="0" w:color="auto"/>
                </w:tcBorders>
              </w:tcPr>
              <w:p w14:paraId="2B30608F" w14:textId="77777777" w:rsidR="00471D53" w:rsidRDefault="00B664AF">
                <w:pPr>
                  <w:jc w:val="right"/>
                  <w:rPr>
                    <w:szCs w:val="21"/>
                  </w:rPr>
                </w:pPr>
              </w:p>
            </w:tc>
          </w:tr>
          <w:tr w:rsidR="00471D53" w14:paraId="5F836E99" w14:textId="77777777" w:rsidTr="00471D53">
            <w:tc>
              <w:tcPr>
                <w:tcW w:w="1564" w:type="pct"/>
                <w:tcBorders>
                  <w:top w:val="single" w:sz="6" w:space="0" w:color="auto"/>
                  <w:left w:val="single" w:sz="4" w:space="0" w:color="auto"/>
                  <w:bottom w:val="single" w:sz="6" w:space="0" w:color="auto"/>
                  <w:right w:val="single" w:sz="6" w:space="0" w:color="auto"/>
                </w:tcBorders>
                <w:shd w:val="clear" w:color="auto" w:fill="auto"/>
                <w:vAlign w:val="bottom"/>
              </w:tcPr>
              <w:p w14:paraId="49414D61" w14:textId="77777777" w:rsidR="00471D53" w:rsidRDefault="00B664AF">
                <w:pPr>
                  <w:rPr>
                    <w:rFonts w:cs="Arial"/>
                    <w:color w:val="000000"/>
                    <w:szCs w:val="21"/>
                    <w:lang w:val="en-GB"/>
                  </w:rPr>
                </w:pPr>
              </w:p>
            </w:tc>
            <w:tc>
              <w:tcPr>
                <w:tcW w:w="932" w:type="pct"/>
                <w:tcBorders>
                  <w:left w:val="single" w:sz="6" w:space="0" w:color="auto"/>
                  <w:right w:val="single" w:sz="6" w:space="0" w:color="auto"/>
                </w:tcBorders>
                <w:shd w:val="clear" w:color="auto" w:fill="auto"/>
              </w:tcPr>
              <w:p w14:paraId="69425B2D" w14:textId="77777777" w:rsidR="00471D53" w:rsidRDefault="00B664AF">
                <w:pPr>
                  <w:jc w:val="right"/>
                  <w:rPr>
                    <w:szCs w:val="21"/>
                  </w:rPr>
                </w:pPr>
              </w:p>
            </w:tc>
            <w:tc>
              <w:tcPr>
                <w:tcW w:w="780" w:type="pct"/>
                <w:tcBorders>
                  <w:left w:val="single" w:sz="6" w:space="0" w:color="auto"/>
                  <w:right w:val="single" w:sz="6" w:space="0" w:color="auto"/>
                </w:tcBorders>
                <w:shd w:val="clear" w:color="auto" w:fill="auto"/>
              </w:tcPr>
              <w:p w14:paraId="31B0BE7E" w14:textId="77777777" w:rsidR="00471D53" w:rsidRDefault="00B664AF">
                <w:pPr>
                  <w:jc w:val="right"/>
                  <w:rPr>
                    <w:szCs w:val="21"/>
                  </w:rPr>
                </w:pPr>
              </w:p>
            </w:tc>
            <w:tc>
              <w:tcPr>
                <w:tcW w:w="932" w:type="pct"/>
                <w:tcBorders>
                  <w:top w:val="single" w:sz="6" w:space="0" w:color="auto"/>
                  <w:left w:val="single" w:sz="6" w:space="0" w:color="auto"/>
                  <w:bottom w:val="single" w:sz="6" w:space="0" w:color="auto"/>
                  <w:right w:val="single" w:sz="6" w:space="0" w:color="auto"/>
                </w:tcBorders>
              </w:tcPr>
              <w:p w14:paraId="6488A5E3" w14:textId="77777777" w:rsidR="00471D53" w:rsidRDefault="00B664AF">
                <w:pPr>
                  <w:jc w:val="right"/>
                  <w:rPr>
                    <w:szCs w:val="21"/>
                  </w:rPr>
                </w:pPr>
              </w:p>
            </w:tc>
            <w:tc>
              <w:tcPr>
                <w:tcW w:w="792" w:type="pct"/>
                <w:tcBorders>
                  <w:top w:val="single" w:sz="6" w:space="0" w:color="auto"/>
                  <w:left w:val="single" w:sz="6" w:space="0" w:color="auto"/>
                  <w:bottom w:val="single" w:sz="6" w:space="0" w:color="auto"/>
                  <w:right w:val="single" w:sz="6" w:space="0" w:color="auto"/>
                </w:tcBorders>
              </w:tcPr>
              <w:p w14:paraId="6950E58E" w14:textId="77777777" w:rsidR="00471D53" w:rsidRDefault="00B664AF">
                <w:pPr>
                  <w:jc w:val="right"/>
                  <w:rPr>
                    <w:szCs w:val="21"/>
                  </w:rPr>
                </w:pPr>
              </w:p>
            </w:tc>
          </w:tr>
          <w:tr w:rsidR="00471D53" w14:paraId="708416F5" w14:textId="77777777" w:rsidTr="00471D53">
            <w:sdt>
              <w:sdtPr>
                <w:tag w:val="_PLD_da177c33d2a4452285f3e4329499be2b"/>
                <w:id w:val="1805503614"/>
                <w:lock w:val="sdtLocked"/>
              </w:sdtPr>
              <w:sdtEndPr/>
              <w:sdtContent>
                <w:tc>
                  <w:tcPr>
                    <w:tcW w:w="1564" w:type="pct"/>
                    <w:tcBorders>
                      <w:top w:val="single" w:sz="6" w:space="0" w:color="auto"/>
                      <w:left w:val="single" w:sz="4" w:space="0" w:color="auto"/>
                      <w:bottom w:val="single" w:sz="6" w:space="0" w:color="auto"/>
                      <w:right w:val="single" w:sz="6" w:space="0" w:color="auto"/>
                    </w:tcBorders>
                    <w:shd w:val="clear" w:color="auto" w:fill="auto"/>
                    <w:vAlign w:val="bottom"/>
                  </w:tcPr>
                  <w:p w14:paraId="5036C0A4" w14:textId="77777777" w:rsidR="00471D53" w:rsidRDefault="004F686E">
                    <w:pPr>
                      <w:rPr>
                        <w:rFonts w:cs="Arial"/>
                        <w:color w:val="000000"/>
                        <w:szCs w:val="21"/>
                      </w:rPr>
                    </w:pPr>
                    <w:r>
                      <w:rPr>
                        <w:rFonts w:cs="Arial" w:hint="eastAsia"/>
                        <w:color w:val="000000"/>
                        <w:szCs w:val="21"/>
                        <w:lang w:val="en-GB"/>
                      </w:rPr>
                      <w:t>流动负债</w:t>
                    </w:r>
                  </w:p>
                </w:tc>
              </w:sdtContent>
            </w:sdt>
            <w:tc>
              <w:tcPr>
                <w:tcW w:w="932" w:type="pct"/>
                <w:tcBorders>
                  <w:left w:val="single" w:sz="6" w:space="0" w:color="auto"/>
                  <w:right w:val="single" w:sz="6" w:space="0" w:color="auto"/>
                </w:tcBorders>
                <w:shd w:val="clear" w:color="auto" w:fill="auto"/>
                <w:vAlign w:val="center"/>
              </w:tcPr>
              <w:p w14:paraId="6910C76D" w14:textId="77777777" w:rsidR="00471D53" w:rsidRDefault="004F686E" w:rsidP="00471D53">
                <w:pPr>
                  <w:jc w:val="right"/>
                  <w:rPr>
                    <w:sz w:val="22"/>
                    <w:szCs w:val="22"/>
                  </w:rPr>
                </w:pPr>
                <w:r w:rsidRPr="000B6F60">
                  <w:rPr>
                    <w:sz w:val="22"/>
                    <w:szCs w:val="22"/>
                  </w:rPr>
                  <w:t>41,609,686.67</w:t>
                </w:r>
              </w:p>
            </w:tc>
            <w:tc>
              <w:tcPr>
                <w:tcW w:w="780" w:type="pct"/>
                <w:tcBorders>
                  <w:left w:val="single" w:sz="6" w:space="0" w:color="auto"/>
                  <w:right w:val="single" w:sz="6" w:space="0" w:color="auto"/>
                </w:tcBorders>
                <w:shd w:val="clear" w:color="auto" w:fill="auto"/>
              </w:tcPr>
              <w:p w14:paraId="43BF94BD" w14:textId="77777777" w:rsidR="00471D53" w:rsidRDefault="00B664AF">
                <w:pPr>
                  <w:jc w:val="right"/>
                  <w:rPr>
                    <w:szCs w:val="21"/>
                  </w:rPr>
                </w:pPr>
              </w:p>
            </w:tc>
            <w:tc>
              <w:tcPr>
                <w:tcW w:w="932" w:type="pct"/>
                <w:tcBorders>
                  <w:top w:val="single" w:sz="6" w:space="0" w:color="auto"/>
                  <w:left w:val="single" w:sz="6" w:space="0" w:color="auto"/>
                  <w:bottom w:val="single" w:sz="6" w:space="0" w:color="auto"/>
                  <w:right w:val="single" w:sz="6" w:space="0" w:color="auto"/>
                </w:tcBorders>
                <w:vAlign w:val="center"/>
              </w:tcPr>
              <w:p w14:paraId="27B9DEF8" w14:textId="77777777" w:rsidR="00471D53" w:rsidRDefault="004F686E" w:rsidP="00471D53">
                <w:pPr>
                  <w:jc w:val="right"/>
                  <w:rPr>
                    <w:sz w:val="22"/>
                    <w:szCs w:val="22"/>
                  </w:rPr>
                </w:pPr>
                <w:r>
                  <w:rPr>
                    <w:rFonts w:hint="eastAsia"/>
                    <w:sz w:val="22"/>
                    <w:szCs w:val="22"/>
                  </w:rPr>
                  <w:t>34,243,055.34</w:t>
                </w:r>
              </w:p>
            </w:tc>
            <w:tc>
              <w:tcPr>
                <w:tcW w:w="792" w:type="pct"/>
                <w:tcBorders>
                  <w:top w:val="single" w:sz="6" w:space="0" w:color="auto"/>
                  <w:left w:val="single" w:sz="6" w:space="0" w:color="auto"/>
                  <w:bottom w:val="single" w:sz="6" w:space="0" w:color="auto"/>
                  <w:right w:val="single" w:sz="6" w:space="0" w:color="auto"/>
                </w:tcBorders>
              </w:tcPr>
              <w:p w14:paraId="20AB8E70" w14:textId="77777777" w:rsidR="00471D53" w:rsidRDefault="00B664AF">
                <w:pPr>
                  <w:jc w:val="right"/>
                  <w:rPr>
                    <w:szCs w:val="21"/>
                  </w:rPr>
                </w:pPr>
              </w:p>
            </w:tc>
          </w:tr>
          <w:tr w:rsidR="00471D53" w14:paraId="05FD4E4E" w14:textId="77777777" w:rsidTr="00471D53">
            <w:sdt>
              <w:sdtPr>
                <w:tag w:val="_PLD_69db2a7507214ff988c587702b84292a"/>
                <w:id w:val="1646771526"/>
                <w:lock w:val="sdtLocked"/>
              </w:sdtPr>
              <w:sdtEndPr/>
              <w:sdtContent>
                <w:tc>
                  <w:tcPr>
                    <w:tcW w:w="1564" w:type="pct"/>
                    <w:tcBorders>
                      <w:top w:val="single" w:sz="6" w:space="0" w:color="auto"/>
                      <w:left w:val="single" w:sz="4" w:space="0" w:color="auto"/>
                      <w:bottom w:val="single" w:sz="6" w:space="0" w:color="auto"/>
                      <w:right w:val="single" w:sz="6" w:space="0" w:color="auto"/>
                    </w:tcBorders>
                    <w:shd w:val="clear" w:color="auto" w:fill="auto"/>
                    <w:vAlign w:val="bottom"/>
                  </w:tcPr>
                  <w:p w14:paraId="16719EA8" w14:textId="77777777" w:rsidR="00471D53" w:rsidRDefault="004F686E">
                    <w:pPr>
                      <w:rPr>
                        <w:rFonts w:cs="Arial"/>
                        <w:color w:val="000000"/>
                        <w:szCs w:val="21"/>
                      </w:rPr>
                    </w:pPr>
                    <w:r>
                      <w:rPr>
                        <w:rFonts w:cs="Arial" w:hint="eastAsia"/>
                        <w:color w:val="000000"/>
                        <w:szCs w:val="21"/>
                        <w:lang w:val="en-GB"/>
                      </w:rPr>
                      <w:t>非流动负债</w:t>
                    </w:r>
                  </w:p>
                </w:tc>
              </w:sdtContent>
            </w:sdt>
            <w:tc>
              <w:tcPr>
                <w:tcW w:w="932" w:type="pct"/>
                <w:tcBorders>
                  <w:left w:val="single" w:sz="6" w:space="0" w:color="auto"/>
                  <w:right w:val="single" w:sz="6" w:space="0" w:color="auto"/>
                </w:tcBorders>
                <w:shd w:val="clear" w:color="auto" w:fill="auto"/>
                <w:vAlign w:val="center"/>
              </w:tcPr>
              <w:p w14:paraId="6E78B462" w14:textId="77777777" w:rsidR="00471D53" w:rsidRDefault="00B664AF" w:rsidP="00471D53">
                <w:pPr>
                  <w:jc w:val="right"/>
                  <w:rPr>
                    <w:sz w:val="22"/>
                    <w:szCs w:val="22"/>
                  </w:rPr>
                </w:pPr>
              </w:p>
            </w:tc>
            <w:tc>
              <w:tcPr>
                <w:tcW w:w="780" w:type="pct"/>
                <w:tcBorders>
                  <w:left w:val="single" w:sz="6" w:space="0" w:color="auto"/>
                  <w:right w:val="single" w:sz="6" w:space="0" w:color="auto"/>
                </w:tcBorders>
                <w:shd w:val="clear" w:color="auto" w:fill="auto"/>
              </w:tcPr>
              <w:p w14:paraId="27ACF862" w14:textId="77777777" w:rsidR="00471D53" w:rsidRDefault="00B664AF">
                <w:pPr>
                  <w:jc w:val="right"/>
                  <w:rPr>
                    <w:szCs w:val="21"/>
                  </w:rPr>
                </w:pPr>
              </w:p>
            </w:tc>
            <w:tc>
              <w:tcPr>
                <w:tcW w:w="932" w:type="pct"/>
                <w:tcBorders>
                  <w:top w:val="single" w:sz="6" w:space="0" w:color="auto"/>
                  <w:left w:val="single" w:sz="6" w:space="0" w:color="auto"/>
                  <w:bottom w:val="single" w:sz="6" w:space="0" w:color="auto"/>
                  <w:right w:val="single" w:sz="6" w:space="0" w:color="auto"/>
                </w:tcBorders>
                <w:vAlign w:val="center"/>
              </w:tcPr>
              <w:p w14:paraId="31C186EB" w14:textId="77777777" w:rsidR="00471D53" w:rsidRDefault="00B664AF" w:rsidP="00471D53">
                <w:pPr>
                  <w:jc w:val="right"/>
                  <w:rPr>
                    <w:sz w:val="22"/>
                    <w:szCs w:val="22"/>
                  </w:rPr>
                </w:pPr>
              </w:p>
            </w:tc>
            <w:tc>
              <w:tcPr>
                <w:tcW w:w="792" w:type="pct"/>
                <w:tcBorders>
                  <w:top w:val="single" w:sz="6" w:space="0" w:color="auto"/>
                  <w:left w:val="single" w:sz="6" w:space="0" w:color="auto"/>
                  <w:bottom w:val="single" w:sz="6" w:space="0" w:color="auto"/>
                  <w:right w:val="single" w:sz="6" w:space="0" w:color="auto"/>
                </w:tcBorders>
              </w:tcPr>
              <w:p w14:paraId="6861AB80" w14:textId="77777777" w:rsidR="00471D53" w:rsidRDefault="00B664AF">
                <w:pPr>
                  <w:jc w:val="right"/>
                  <w:rPr>
                    <w:szCs w:val="21"/>
                  </w:rPr>
                </w:pPr>
              </w:p>
            </w:tc>
          </w:tr>
          <w:tr w:rsidR="00471D53" w14:paraId="01B00138" w14:textId="77777777" w:rsidTr="00471D53">
            <w:sdt>
              <w:sdtPr>
                <w:tag w:val="_PLD_93196651961549cc968f034a6735b70d"/>
                <w:id w:val="-1993326274"/>
                <w:lock w:val="sdtLocked"/>
              </w:sdtPr>
              <w:sdtEndPr/>
              <w:sdtContent>
                <w:tc>
                  <w:tcPr>
                    <w:tcW w:w="1564" w:type="pct"/>
                    <w:tcBorders>
                      <w:top w:val="single" w:sz="6" w:space="0" w:color="auto"/>
                      <w:left w:val="single" w:sz="4" w:space="0" w:color="auto"/>
                      <w:bottom w:val="single" w:sz="6" w:space="0" w:color="auto"/>
                      <w:right w:val="single" w:sz="6" w:space="0" w:color="auto"/>
                    </w:tcBorders>
                    <w:shd w:val="clear" w:color="auto" w:fill="auto"/>
                    <w:vAlign w:val="bottom"/>
                  </w:tcPr>
                  <w:p w14:paraId="61B1C307" w14:textId="77777777" w:rsidR="00471D53" w:rsidRDefault="004F686E">
                    <w:pPr>
                      <w:rPr>
                        <w:rFonts w:cs="Arial"/>
                        <w:color w:val="000000"/>
                        <w:szCs w:val="21"/>
                      </w:rPr>
                    </w:pPr>
                    <w:r>
                      <w:rPr>
                        <w:rFonts w:cs="Arial" w:hint="eastAsia"/>
                        <w:color w:val="000000"/>
                        <w:szCs w:val="21"/>
                        <w:lang w:val="en-GB"/>
                      </w:rPr>
                      <w:t>负债合计</w:t>
                    </w:r>
                  </w:p>
                </w:tc>
              </w:sdtContent>
            </w:sdt>
            <w:tc>
              <w:tcPr>
                <w:tcW w:w="932" w:type="pct"/>
                <w:tcBorders>
                  <w:left w:val="single" w:sz="6" w:space="0" w:color="auto"/>
                  <w:right w:val="single" w:sz="6" w:space="0" w:color="auto"/>
                </w:tcBorders>
                <w:shd w:val="clear" w:color="auto" w:fill="auto"/>
                <w:vAlign w:val="center"/>
              </w:tcPr>
              <w:p w14:paraId="13EAE59B" w14:textId="77777777" w:rsidR="00471D53" w:rsidRDefault="004F686E" w:rsidP="00471D53">
                <w:pPr>
                  <w:jc w:val="right"/>
                  <w:rPr>
                    <w:sz w:val="22"/>
                    <w:szCs w:val="22"/>
                  </w:rPr>
                </w:pPr>
                <w:r w:rsidRPr="000B6F60">
                  <w:rPr>
                    <w:sz w:val="22"/>
                    <w:szCs w:val="22"/>
                  </w:rPr>
                  <w:t>41,609,686.67</w:t>
                </w:r>
              </w:p>
            </w:tc>
            <w:tc>
              <w:tcPr>
                <w:tcW w:w="780" w:type="pct"/>
                <w:tcBorders>
                  <w:left w:val="single" w:sz="6" w:space="0" w:color="auto"/>
                  <w:right w:val="single" w:sz="6" w:space="0" w:color="auto"/>
                </w:tcBorders>
                <w:shd w:val="clear" w:color="auto" w:fill="auto"/>
              </w:tcPr>
              <w:p w14:paraId="35772BF9" w14:textId="77777777" w:rsidR="00471D53" w:rsidRDefault="00B664AF">
                <w:pPr>
                  <w:jc w:val="right"/>
                  <w:rPr>
                    <w:szCs w:val="21"/>
                  </w:rPr>
                </w:pPr>
              </w:p>
            </w:tc>
            <w:tc>
              <w:tcPr>
                <w:tcW w:w="932" w:type="pct"/>
                <w:tcBorders>
                  <w:top w:val="single" w:sz="6" w:space="0" w:color="auto"/>
                  <w:left w:val="single" w:sz="6" w:space="0" w:color="auto"/>
                  <w:bottom w:val="single" w:sz="6" w:space="0" w:color="auto"/>
                  <w:right w:val="single" w:sz="6" w:space="0" w:color="auto"/>
                </w:tcBorders>
                <w:vAlign w:val="center"/>
              </w:tcPr>
              <w:p w14:paraId="37DEBFEE" w14:textId="77777777" w:rsidR="00471D53" w:rsidRDefault="004F686E" w:rsidP="00471D53">
                <w:pPr>
                  <w:jc w:val="right"/>
                  <w:rPr>
                    <w:sz w:val="22"/>
                    <w:szCs w:val="22"/>
                  </w:rPr>
                </w:pPr>
                <w:r>
                  <w:rPr>
                    <w:rFonts w:hint="eastAsia"/>
                    <w:sz w:val="22"/>
                    <w:szCs w:val="22"/>
                  </w:rPr>
                  <w:t>34,243,055.34</w:t>
                </w:r>
              </w:p>
            </w:tc>
            <w:tc>
              <w:tcPr>
                <w:tcW w:w="792" w:type="pct"/>
                <w:tcBorders>
                  <w:top w:val="single" w:sz="6" w:space="0" w:color="auto"/>
                  <w:left w:val="single" w:sz="6" w:space="0" w:color="auto"/>
                  <w:bottom w:val="single" w:sz="6" w:space="0" w:color="auto"/>
                  <w:right w:val="single" w:sz="6" w:space="0" w:color="auto"/>
                </w:tcBorders>
              </w:tcPr>
              <w:p w14:paraId="7775EA72" w14:textId="77777777" w:rsidR="00471D53" w:rsidRDefault="00B664AF">
                <w:pPr>
                  <w:jc w:val="right"/>
                  <w:rPr>
                    <w:szCs w:val="21"/>
                  </w:rPr>
                </w:pPr>
              </w:p>
            </w:tc>
          </w:tr>
          <w:tr w:rsidR="00471D53" w14:paraId="4996569D" w14:textId="77777777" w:rsidTr="00471D53">
            <w:tc>
              <w:tcPr>
                <w:tcW w:w="1564" w:type="pct"/>
                <w:tcBorders>
                  <w:top w:val="single" w:sz="6" w:space="0" w:color="auto"/>
                  <w:left w:val="single" w:sz="4" w:space="0" w:color="auto"/>
                  <w:bottom w:val="single" w:sz="6" w:space="0" w:color="auto"/>
                  <w:right w:val="single" w:sz="6" w:space="0" w:color="auto"/>
                </w:tcBorders>
                <w:shd w:val="clear" w:color="auto" w:fill="auto"/>
                <w:vAlign w:val="bottom"/>
              </w:tcPr>
              <w:p w14:paraId="582B60BD" w14:textId="77777777" w:rsidR="00471D53" w:rsidRDefault="00B664AF">
                <w:pPr>
                  <w:rPr>
                    <w:rFonts w:cs="Arial"/>
                    <w:color w:val="000000"/>
                    <w:szCs w:val="21"/>
                    <w:lang w:val="en-GB"/>
                  </w:rPr>
                </w:pPr>
              </w:p>
            </w:tc>
            <w:tc>
              <w:tcPr>
                <w:tcW w:w="932" w:type="pct"/>
                <w:tcBorders>
                  <w:left w:val="single" w:sz="6" w:space="0" w:color="auto"/>
                  <w:right w:val="single" w:sz="6" w:space="0" w:color="auto"/>
                </w:tcBorders>
                <w:shd w:val="clear" w:color="auto" w:fill="auto"/>
              </w:tcPr>
              <w:p w14:paraId="132B10A0" w14:textId="77777777" w:rsidR="00471D53" w:rsidRDefault="00B664AF">
                <w:pPr>
                  <w:jc w:val="right"/>
                  <w:rPr>
                    <w:szCs w:val="21"/>
                  </w:rPr>
                </w:pPr>
              </w:p>
            </w:tc>
            <w:tc>
              <w:tcPr>
                <w:tcW w:w="780" w:type="pct"/>
                <w:tcBorders>
                  <w:left w:val="single" w:sz="6" w:space="0" w:color="auto"/>
                  <w:right w:val="single" w:sz="6" w:space="0" w:color="auto"/>
                </w:tcBorders>
                <w:shd w:val="clear" w:color="auto" w:fill="auto"/>
              </w:tcPr>
              <w:p w14:paraId="76298C0F" w14:textId="77777777" w:rsidR="00471D53" w:rsidRDefault="00B664AF">
                <w:pPr>
                  <w:jc w:val="right"/>
                  <w:rPr>
                    <w:szCs w:val="21"/>
                  </w:rPr>
                </w:pPr>
              </w:p>
            </w:tc>
            <w:tc>
              <w:tcPr>
                <w:tcW w:w="932" w:type="pct"/>
                <w:tcBorders>
                  <w:top w:val="single" w:sz="6" w:space="0" w:color="auto"/>
                  <w:left w:val="single" w:sz="6" w:space="0" w:color="auto"/>
                  <w:bottom w:val="single" w:sz="6" w:space="0" w:color="auto"/>
                  <w:right w:val="single" w:sz="6" w:space="0" w:color="auto"/>
                </w:tcBorders>
              </w:tcPr>
              <w:p w14:paraId="32EF15A9" w14:textId="77777777" w:rsidR="00471D53" w:rsidRDefault="00B664AF">
                <w:pPr>
                  <w:jc w:val="right"/>
                  <w:rPr>
                    <w:szCs w:val="21"/>
                  </w:rPr>
                </w:pPr>
              </w:p>
            </w:tc>
            <w:tc>
              <w:tcPr>
                <w:tcW w:w="792" w:type="pct"/>
                <w:tcBorders>
                  <w:top w:val="single" w:sz="6" w:space="0" w:color="auto"/>
                  <w:left w:val="single" w:sz="6" w:space="0" w:color="auto"/>
                  <w:bottom w:val="single" w:sz="6" w:space="0" w:color="auto"/>
                  <w:right w:val="single" w:sz="6" w:space="0" w:color="auto"/>
                </w:tcBorders>
              </w:tcPr>
              <w:p w14:paraId="191EB1C3" w14:textId="77777777" w:rsidR="00471D53" w:rsidRDefault="00B664AF">
                <w:pPr>
                  <w:jc w:val="right"/>
                  <w:rPr>
                    <w:szCs w:val="21"/>
                  </w:rPr>
                </w:pPr>
              </w:p>
            </w:tc>
          </w:tr>
          <w:tr w:rsidR="00471D53" w14:paraId="67ED2351" w14:textId="77777777" w:rsidTr="00471D53">
            <w:sdt>
              <w:sdtPr>
                <w:tag w:val="_PLD_f8ce7c22e39a4e18a87552ab1793dbb8"/>
                <w:id w:val="1118568825"/>
                <w:lock w:val="sdtLocked"/>
              </w:sdtPr>
              <w:sdtEndPr/>
              <w:sdtContent>
                <w:tc>
                  <w:tcPr>
                    <w:tcW w:w="1564" w:type="pct"/>
                    <w:tcBorders>
                      <w:top w:val="single" w:sz="6" w:space="0" w:color="auto"/>
                      <w:left w:val="single" w:sz="4" w:space="0" w:color="auto"/>
                      <w:bottom w:val="single" w:sz="6" w:space="0" w:color="auto"/>
                      <w:right w:val="single" w:sz="6" w:space="0" w:color="auto"/>
                    </w:tcBorders>
                    <w:shd w:val="clear" w:color="auto" w:fill="auto"/>
                    <w:vAlign w:val="bottom"/>
                  </w:tcPr>
                  <w:p w14:paraId="27859788" w14:textId="77777777" w:rsidR="00471D53" w:rsidRDefault="004F686E">
                    <w:pPr>
                      <w:rPr>
                        <w:rFonts w:cs="Arial"/>
                        <w:color w:val="000000"/>
                        <w:szCs w:val="21"/>
                      </w:rPr>
                    </w:pPr>
                    <w:r>
                      <w:rPr>
                        <w:rFonts w:cs="Arial" w:hint="eastAsia"/>
                        <w:color w:val="000000"/>
                        <w:szCs w:val="21"/>
                        <w:lang w:val="en-GB"/>
                      </w:rPr>
                      <w:t>少数股东权益</w:t>
                    </w:r>
                  </w:p>
                </w:tc>
              </w:sdtContent>
            </w:sdt>
            <w:tc>
              <w:tcPr>
                <w:tcW w:w="932" w:type="pct"/>
                <w:tcBorders>
                  <w:left w:val="single" w:sz="6" w:space="0" w:color="auto"/>
                  <w:right w:val="single" w:sz="6" w:space="0" w:color="auto"/>
                </w:tcBorders>
                <w:shd w:val="clear" w:color="auto" w:fill="auto"/>
              </w:tcPr>
              <w:p w14:paraId="2F51A21B" w14:textId="77777777" w:rsidR="00471D53" w:rsidRDefault="00B664AF">
                <w:pPr>
                  <w:jc w:val="right"/>
                  <w:rPr>
                    <w:szCs w:val="21"/>
                  </w:rPr>
                </w:pPr>
              </w:p>
            </w:tc>
            <w:tc>
              <w:tcPr>
                <w:tcW w:w="780" w:type="pct"/>
                <w:tcBorders>
                  <w:left w:val="single" w:sz="6" w:space="0" w:color="auto"/>
                  <w:right w:val="single" w:sz="6" w:space="0" w:color="auto"/>
                </w:tcBorders>
                <w:shd w:val="clear" w:color="auto" w:fill="auto"/>
              </w:tcPr>
              <w:p w14:paraId="69C4B169" w14:textId="77777777" w:rsidR="00471D53" w:rsidRDefault="00B664AF">
                <w:pPr>
                  <w:jc w:val="right"/>
                  <w:rPr>
                    <w:szCs w:val="21"/>
                  </w:rPr>
                </w:pPr>
              </w:p>
            </w:tc>
            <w:tc>
              <w:tcPr>
                <w:tcW w:w="932" w:type="pct"/>
                <w:tcBorders>
                  <w:top w:val="single" w:sz="6" w:space="0" w:color="auto"/>
                  <w:left w:val="single" w:sz="6" w:space="0" w:color="auto"/>
                  <w:bottom w:val="single" w:sz="6" w:space="0" w:color="auto"/>
                  <w:right w:val="single" w:sz="6" w:space="0" w:color="auto"/>
                </w:tcBorders>
              </w:tcPr>
              <w:p w14:paraId="39D6ED8D" w14:textId="77777777" w:rsidR="00471D53" w:rsidRDefault="00B664AF">
                <w:pPr>
                  <w:jc w:val="right"/>
                  <w:rPr>
                    <w:szCs w:val="21"/>
                  </w:rPr>
                </w:pPr>
              </w:p>
            </w:tc>
            <w:tc>
              <w:tcPr>
                <w:tcW w:w="792" w:type="pct"/>
                <w:tcBorders>
                  <w:top w:val="single" w:sz="6" w:space="0" w:color="auto"/>
                  <w:left w:val="single" w:sz="6" w:space="0" w:color="auto"/>
                  <w:bottom w:val="single" w:sz="6" w:space="0" w:color="auto"/>
                  <w:right w:val="single" w:sz="6" w:space="0" w:color="auto"/>
                </w:tcBorders>
              </w:tcPr>
              <w:p w14:paraId="0563FCFD" w14:textId="77777777" w:rsidR="00471D53" w:rsidRDefault="00B664AF">
                <w:pPr>
                  <w:jc w:val="right"/>
                  <w:rPr>
                    <w:szCs w:val="21"/>
                  </w:rPr>
                </w:pPr>
              </w:p>
            </w:tc>
          </w:tr>
          <w:tr w:rsidR="00471D53" w14:paraId="73514936" w14:textId="77777777" w:rsidTr="00471D53">
            <w:sdt>
              <w:sdtPr>
                <w:tag w:val="_PLD_5a7b4c15f9cc46f796db15ddf6bdcb12"/>
                <w:id w:val="-1163155833"/>
                <w:lock w:val="sdtLocked"/>
              </w:sdtPr>
              <w:sdtEndPr/>
              <w:sdtContent>
                <w:tc>
                  <w:tcPr>
                    <w:tcW w:w="1564" w:type="pct"/>
                    <w:tcBorders>
                      <w:top w:val="single" w:sz="6" w:space="0" w:color="auto"/>
                      <w:left w:val="single" w:sz="4" w:space="0" w:color="auto"/>
                      <w:bottom w:val="single" w:sz="6" w:space="0" w:color="auto"/>
                      <w:right w:val="single" w:sz="6" w:space="0" w:color="auto"/>
                    </w:tcBorders>
                    <w:shd w:val="clear" w:color="auto" w:fill="auto"/>
                    <w:vAlign w:val="bottom"/>
                  </w:tcPr>
                  <w:p w14:paraId="0F70B71E" w14:textId="77777777" w:rsidR="00471D53" w:rsidRDefault="004F686E">
                    <w:pPr>
                      <w:rPr>
                        <w:rFonts w:cs="Arial"/>
                        <w:color w:val="000000"/>
                        <w:szCs w:val="21"/>
                      </w:rPr>
                    </w:pPr>
                    <w:r>
                      <w:rPr>
                        <w:rFonts w:cs="Arial" w:hint="eastAsia"/>
                        <w:color w:val="000000"/>
                        <w:szCs w:val="21"/>
                        <w:lang w:val="en-GB"/>
                      </w:rPr>
                      <w:t>归属于母公司股东权益</w:t>
                    </w:r>
                  </w:p>
                </w:tc>
              </w:sdtContent>
            </w:sdt>
            <w:tc>
              <w:tcPr>
                <w:tcW w:w="932" w:type="pct"/>
                <w:tcBorders>
                  <w:left w:val="single" w:sz="6" w:space="0" w:color="auto"/>
                  <w:right w:val="single" w:sz="6" w:space="0" w:color="auto"/>
                </w:tcBorders>
                <w:shd w:val="clear" w:color="auto" w:fill="auto"/>
              </w:tcPr>
              <w:p w14:paraId="7195C8B5" w14:textId="77777777" w:rsidR="00471D53" w:rsidRDefault="004F686E">
                <w:pPr>
                  <w:jc w:val="right"/>
                  <w:rPr>
                    <w:szCs w:val="21"/>
                  </w:rPr>
                </w:pPr>
                <w:r w:rsidRPr="000B6F60">
                  <w:rPr>
                    <w:sz w:val="22"/>
                    <w:szCs w:val="22"/>
                  </w:rPr>
                  <w:t>111,589,607.53</w:t>
                </w:r>
              </w:p>
            </w:tc>
            <w:tc>
              <w:tcPr>
                <w:tcW w:w="780" w:type="pct"/>
                <w:tcBorders>
                  <w:left w:val="single" w:sz="6" w:space="0" w:color="auto"/>
                  <w:right w:val="single" w:sz="6" w:space="0" w:color="auto"/>
                </w:tcBorders>
                <w:shd w:val="clear" w:color="auto" w:fill="auto"/>
              </w:tcPr>
              <w:p w14:paraId="1A41AE1C" w14:textId="77777777" w:rsidR="00471D53" w:rsidRDefault="00B664AF">
                <w:pPr>
                  <w:jc w:val="right"/>
                  <w:rPr>
                    <w:szCs w:val="21"/>
                  </w:rPr>
                </w:pPr>
              </w:p>
            </w:tc>
            <w:tc>
              <w:tcPr>
                <w:tcW w:w="932" w:type="pct"/>
                <w:tcBorders>
                  <w:top w:val="single" w:sz="6" w:space="0" w:color="auto"/>
                  <w:left w:val="single" w:sz="6" w:space="0" w:color="auto"/>
                  <w:bottom w:val="single" w:sz="6" w:space="0" w:color="auto"/>
                  <w:right w:val="single" w:sz="6" w:space="0" w:color="auto"/>
                </w:tcBorders>
              </w:tcPr>
              <w:p w14:paraId="64C12071" w14:textId="77777777" w:rsidR="00471D53" w:rsidRDefault="004F686E">
                <w:pPr>
                  <w:jc w:val="right"/>
                  <w:rPr>
                    <w:szCs w:val="21"/>
                  </w:rPr>
                </w:pPr>
                <w:r w:rsidRPr="00C8317A">
                  <w:rPr>
                    <w:szCs w:val="21"/>
                  </w:rPr>
                  <w:t>108,891,659.16</w:t>
                </w:r>
              </w:p>
            </w:tc>
            <w:tc>
              <w:tcPr>
                <w:tcW w:w="792" w:type="pct"/>
                <w:tcBorders>
                  <w:top w:val="single" w:sz="6" w:space="0" w:color="auto"/>
                  <w:left w:val="single" w:sz="6" w:space="0" w:color="auto"/>
                  <w:bottom w:val="single" w:sz="6" w:space="0" w:color="auto"/>
                  <w:right w:val="single" w:sz="6" w:space="0" w:color="auto"/>
                </w:tcBorders>
              </w:tcPr>
              <w:p w14:paraId="600678B3" w14:textId="77777777" w:rsidR="00471D53" w:rsidRDefault="00B664AF">
                <w:pPr>
                  <w:jc w:val="right"/>
                  <w:rPr>
                    <w:szCs w:val="21"/>
                  </w:rPr>
                </w:pPr>
              </w:p>
            </w:tc>
          </w:tr>
          <w:tr w:rsidR="00471D53" w14:paraId="08C38AC2" w14:textId="77777777" w:rsidTr="00471D53">
            <w:tc>
              <w:tcPr>
                <w:tcW w:w="1564" w:type="pct"/>
                <w:tcBorders>
                  <w:top w:val="single" w:sz="6" w:space="0" w:color="auto"/>
                  <w:left w:val="single" w:sz="4" w:space="0" w:color="auto"/>
                  <w:bottom w:val="single" w:sz="6" w:space="0" w:color="auto"/>
                  <w:right w:val="single" w:sz="6" w:space="0" w:color="auto"/>
                </w:tcBorders>
                <w:shd w:val="clear" w:color="auto" w:fill="auto"/>
                <w:vAlign w:val="bottom"/>
              </w:tcPr>
              <w:p w14:paraId="107282D3" w14:textId="77777777" w:rsidR="00471D53" w:rsidRDefault="00B664AF">
                <w:pPr>
                  <w:rPr>
                    <w:rFonts w:cs="Arial"/>
                    <w:color w:val="000000"/>
                    <w:szCs w:val="21"/>
                    <w:lang w:val="en-GB"/>
                  </w:rPr>
                </w:pPr>
              </w:p>
            </w:tc>
            <w:tc>
              <w:tcPr>
                <w:tcW w:w="932" w:type="pct"/>
                <w:tcBorders>
                  <w:left w:val="single" w:sz="6" w:space="0" w:color="auto"/>
                  <w:right w:val="single" w:sz="6" w:space="0" w:color="auto"/>
                </w:tcBorders>
                <w:shd w:val="clear" w:color="auto" w:fill="auto"/>
              </w:tcPr>
              <w:p w14:paraId="141182D7" w14:textId="77777777" w:rsidR="00471D53" w:rsidRDefault="00B664AF">
                <w:pPr>
                  <w:jc w:val="right"/>
                  <w:rPr>
                    <w:szCs w:val="21"/>
                  </w:rPr>
                </w:pPr>
              </w:p>
            </w:tc>
            <w:tc>
              <w:tcPr>
                <w:tcW w:w="780" w:type="pct"/>
                <w:tcBorders>
                  <w:left w:val="single" w:sz="6" w:space="0" w:color="auto"/>
                  <w:right w:val="single" w:sz="6" w:space="0" w:color="auto"/>
                </w:tcBorders>
                <w:shd w:val="clear" w:color="auto" w:fill="auto"/>
              </w:tcPr>
              <w:p w14:paraId="7ED52FB1" w14:textId="77777777" w:rsidR="00471D53" w:rsidRDefault="00B664AF">
                <w:pPr>
                  <w:jc w:val="right"/>
                  <w:rPr>
                    <w:szCs w:val="21"/>
                  </w:rPr>
                </w:pPr>
              </w:p>
            </w:tc>
            <w:tc>
              <w:tcPr>
                <w:tcW w:w="932" w:type="pct"/>
                <w:tcBorders>
                  <w:top w:val="single" w:sz="6" w:space="0" w:color="auto"/>
                  <w:left w:val="single" w:sz="6" w:space="0" w:color="auto"/>
                  <w:bottom w:val="single" w:sz="6" w:space="0" w:color="auto"/>
                  <w:right w:val="single" w:sz="6" w:space="0" w:color="auto"/>
                </w:tcBorders>
              </w:tcPr>
              <w:p w14:paraId="5393A557" w14:textId="77777777" w:rsidR="00471D53" w:rsidRDefault="00B664AF">
                <w:pPr>
                  <w:jc w:val="right"/>
                  <w:rPr>
                    <w:szCs w:val="21"/>
                  </w:rPr>
                </w:pPr>
              </w:p>
            </w:tc>
            <w:tc>
              <w:tcPr>
                <w:tcW w:w="792" w:type="pct"/>
                <w:tcBorders>
                  <w:top w:val="single" w:sz="6" w:space="0" w:color="auto"/>
                  <w:left w:val="single" w:sz="6" w:space="0" w:color="auto"/>
                  <w:bottom w:val="single" w:sz="6" w:space="0" w:color="auto"/>
                  <w:right w:val="single" w:sz="6" w:space="0" w:color="auto"/>
                </w:tcBorders>
              </w:tcPr>
              <w:p w14:paraId="623AE72D" w14:textId="77777777" w:rsidR="00471D53" w:rsidRDefault="00B664AF">
                <w:pPr>
                  <w:jc w:val="right"/>
                  <w:rPr>
                    <w:szCs w:val="21"/>
                  </w:rPr>
                </w:pPr>
              </w:p>
            </w:tc>
          </w:tr>
          <w:tr w:rsidR="00471D53" w14:paraId="700D2EEE" w14:textId="77777777" w:rsidTr="00471D53">
            <w:sdt>
              <w:sdtPr>
                <w:tag w:val="_PLD_8582e33fffa94878a3ba47a9591f38b8"/>
                <w:id w:val="-352346773"/>
                <w:lock w:val="sdtLocked"/>
              </w:sdtPr>
              <w:sdtEndPr/>
              <w:sdtContent>
                <w:tc>
                  <w:tcPr>
                    <w:tcW w:w="1564" w:type="pct"/>
                    <w:tcBorders>
                      <w:top w:val="single" w:sz="6" w:space="0" w:color="auto"/>
                      <w:left w:val="single" w:sz="4" w:space="0" w:color="auto"/>
                      <w:bottom w:val="single" w:sz="6" w:space="0" w:color="auto"/>
                      <w:right w:val="single" w:sz="6" w:space="0" w:color="auto"/>
                    </w:tcBorders>
                    <w:shd w:val="clear" w:color="auto" w:fill="auto"/>
                    <w:vAlign w:val="bottom"/>
                  </w:tcPr>
                  <w:p w14:paraId="50AEED0C" w14:textId="77777777" w:rsidR="00471D53" w:rsidRDefault="004F686E">
                    <w:pPr>
                      <w:rPr>
                        <w:rFonts w:cs="Arial"/>
                        <w:color w:val="000000"/>
                        <w:szCs w:val="21"/>
                      </w:rPr>
                    </w:pPr>
                    <w:r>
                      <w:rPr>
                        <w:rFonts w:cs="Arial" w:hint="eastAsia"/>
                        <w:color w:val="000000"/>
                        <w:szCs w:val="21"/>
                        <w:lang w:val="en-GB"/>
                      </w:rPr>
                      <w:t>按持股比例计算的净资产份额</w:t>
                    </w:r>
                  </w:p>
                </w:tc>
              </w:sdtContent>
            </w:sdt>
            <w:tc>
              <w:tcPr>
                <w:tcW w:w="932" w:type="pct"/>
                <w:tcBorders>
                  <w:left w:val="single" w:sz="6" w:space="0" w:color="auto"/>
                  <w:right w:val="single" w:sz="6" w:space="0" w:color="auto"/>
                </w:tcBorders>
                <w:shd w:val="clear" w:color="auto" w:fill="auto"/>
              </w:tcPr>
              <w:p w14:paraId="0D2FB128" w14:textId="77777777" w:rsidR="00471D53" w:rsidRDefault="004F686E">
                <w:pPr>
                  <w:jc w:val="right"/>
                  <w:rPr>
                    <w:szCs w:val="21"/>
                  </w:rPr>
                </w:pPr>
                <w:r w:rsidRPr="00C8317A">
                  <w:rPr>
                    <w:szCs w:val="21"/>
                  </w:rPr>
                  <w:t>39,056,362.64</w:t>
                </w:r>
              </w:p>
            </w:tc>
            <w:tc>
              <w:tcPr>
                <w:tcW w:w="780" w:type="pct"/>
                <w:tcBorders>
                  <w:left w:val="single" w:sz="6" w:space="0" w:color="auto"/>
                  <w:right w:val="single" w:sz="6" w:space="0" w:color="auto"/>
                </w:tcBorders>
                <w:shd w:val="clear" w:color="auto" w:fill="auto"/>
              </w:tcPr>
              <w:p w14:paraId="79AC0DFD" w14:textId="77777777" w:rsidR="00471D53" w:rsidRDefault="00B664AF">
                <w:pPr>
                  <w:jc w:val="right"/>
                  <w:rPr>
                    <w:szCs w:val="21"/>
                  </w:rPr>
                </w:pPr>
              </w:p>
            </w:tc>
            <w:tc>
              <w:tcPr>
                <w:tcW w:w="932" w:type="pct"/>
                <w:tcBorders>
                  <w:top w:val="single" w:sz="6" w:space="0" w:color="auto"/>
                  <w:left w:val="single" w:sz="6" w:space="0" w:color="auto"/>
                  <w:bottom w:val="single" w:sz="6" w:space="0" w:color="auto"/>
                  <w:right w:val="single" w:sz="6" w:space="0" w:color="auto"/>
                </w:tcBorders>
              </w:tcPr>
              <w:p w14:paraId="58A1A788" w14:textId="77777777" w:rsidR="00471D53" w:rsidRDefault="004F686E">
                <w:pPr>
                  <w:jc w:val="right"/>
                  <w:rPr>
                    <w:szCs w:val="21"/>
                  </w:rPr>
                </w:pPr>
                <w:r w:rsidRPr="00C8317A">
                  <w:rPr>
                    <w:szCs w:val="21"/>
                  </w:rPr>
                  <w:t>38,112,080.71</w:t>
                </w:r>
              </w:p>
            </w:tc>
            <w:tc>
              <w:tcPr>
                <w:tcW w:w="792" w:type="pct"/>
                <w:tcBorders>
                  <w:top w:val="single" w:sz="6" w:space="0" w:color="auto"/>
                  <w:left w:val="single" w:sz="6" w:space="0" w:color="auto"/>
                  <w:bottom w:val="single" w:sz="6" w:space="0" w:color="auto"/>
                  <w:right w:val="single" w:sz="6" w:space="0" w:color="auto"/>
                </w:tcBorders>
              </w:tcPr>
              <w:p w14:paraId="4CA4F9BA" w14:textId="77777777" w:rsidR="00471D53" w:rsidRDefault="00B664AF">
                <w:pPr>
                  <w:jc w:val="right"/>
                  <w:rPr>
                    <w:szCs w:val="21"/>
                  </w:rPr>
                </w:pPr>
              </w:p>
            </w:tc>
          </w:tr>
          <w:tr w:rsidR="00471D53" w14:paraId="04A07526" w14:textId="77777777" w:rsidTr="00471D53">
            <w:sdt>
              <w:sdtPr>
                <w:tag w:val="_PLD_4155423a13664f79a1deecda99eb64f1"/>
                <w:id w:val="-2056392080"/>
                <w:lock w:val="sdtLocked"/>
              </w:sdtPr>
              <w:sdtEndPr/>
              <w:sdtContent>
                <w:tc>
                  <w:tcPr>
                    <w:tcW w:w="1564" w:type="pct"/>
                    <w:tcBorders>
                      <w:top w:val="single" w:sz="6" w:space="0" w:color="auto"/>
                      <w:left w:val="single" w:sz="4" w:space="0" w:color="auto"/>
                      <w:bottom w:val="single" w:sz="6" w:space="0" w:color="auto"/>
                      <w:right w:val="single" w:sz="6" w:space="0" w:color="auto"/>
                    </w:tcBorders>
                    <w:shd w:val="clear" w:color="auto" w:fill="auto"/>
                    <w:vAlign w:val="bottom"/>
                  </w:tcPr>
                  <w:p w14:paraId="44CE62E9" w14:textId="77777777" w:rsidR="00471D53" w:rsidRDefault="004F686E">
                    <w:pPr>
                      <w:rPr>
                        <w:rFonts w:cs="Arial"/>
                        <w:color w:val="000000"/>
                        <w:szCs w:val="21"/>
                      </w:rPr>
                    </w:pPr>
                    <w:r>
                      <w:rPr>
                        <w:rFonts w:cs="Arial" w:hint="eastAsia"/>
                        <w:color w:val="000000"/>
                        <w:szCs w:val="21"/>
                        <w:lang w:val="en-GB"/>
                      </w:rPr>
                      <w:t>调整事项</w:t>
                    </w:r>
                  </w:p>
                </w:tc>
              </w:sdtContent>
            </w:sdt>
            <w:tc>
              <w:tcPr>
                <w:tcW w:w="932" w:type="pct"/>
                <w:tcBorders>
                  <w:left w:val="single" w:sz="6" w:space="0" w:color="auto"/>
                  <w:right w:val="single" w:sz="6" w:space="0" w:color="auto"/>
                </w:tcBorders>
                <w:shd w:val="clear" w:color="auto" w:fill="auto"/>
              </w:tcPr>
              <w:p w14:paraId="5F0FBEE4" w14:textId="77777777" w:rsidR="00471D53" w:rsidRDefault="004F686E">
                <w:pPr>
                  <w:jc w:val="right"/>
                  <w:rPr>
                    <w:szCs w:val="21"/>
                  </w:rPr>
                </w:pPr>
                <w:r w:rsidRPr="00C8317A">
                  <w:rPr>
                    <w:szCs w:val="21"/>
                  </w:rPr>
                  <w:t>-6,093,733.70</w:t>
                </w:r>
              </w:p>
            </w:tc>
            <w:tc>
              <w:tcPr>
                <w:tcW w:w="780" w:type="pct"/>
                <w:tcBorders>
                  <w:left w:val="single" w:sz="6" w:space="0" w:color="auto"/>
                  <w:right w:val="single" w:sz="6" w:space="0" w:color="auto"/>
                </w:tcBorders>
                <w:shd w:val="clear" w:color="auto" w:fill="auto"/>
              </w:tcPr>
              <w:p w14:paraId="7A1B2CC2" w14:textId="77777777" w:rsidR="00471D53" w:rsidRDefault="00B664AF">
                <w:pPr>
                  <w:jc w:val="right"/>
                  <w:rPr>
                    <w:szCs w:val="21"/>
                  </w:rPr>
                </w:pPr>
              </w:p>
            </w:tc>
            <w:tc>
              <w:tcPr>
                <w:tcW w:w="932" w:type="pct"/>
                <w:tcBorders>
                  <w:top w:val="single" w:sz="6" w:space="0" w:color="auto"/>
                  <w:left w:val="single" w:sz="6" w:space="0" w:color="auto"/>
                  <w:bottom w:val="single" w:sz="6" w:space="0" w:color="auto"/>
                  <w:right w:val="single" w:sz="6" w:space="0" w:color="auto"/>
                </w:tcBorders>
              </w:tcPr>
              <w:p w14:paraId="7F90F8F2" w14:textId="77777777" w:rsidR="00471D53" w:rsidRDefault="004F686E">
                <w:pPr>
                  <w:jc w:val="right"/>
                  <w:rPr>
                    <w:szCs w:val="21"/>
                  </w:rPr>
                </w:pPr>
                <w:r w:rsidRPr="00C8317A">
                  <w:rPr>
                    <w:szCs w:val="21"/>
                  </w:rPr>
                  <w:t>-6,413,928.00</w:t>
                </w:r>
              </w:p>
            </w:tc>
            <w:tc>
              <w:tcPr>
                <w:tcW w:w="792" w:type="pct"/>
                <w:tcBorders>
                  <w:top w:val="single" w:sz="6" w:space="0" w:color="auto"/>
                  <w:left w:val="single" w:sz="6" w:space="0" w:color="auto"/>
                  <w:bottom w:val="single" w:sz="6" w:space="0" w:color="auto"/>
                  <w:right w:val="single" w:sz="6" w:space="0" w:color="auto"/>
                </w:tcBorders>
              </w:tcPr>
              <w:p w14:paraId="77AB6076" w14:textId="77777777" w:rsidR="00471D53" w:rsidRDefault="00B664AF">
                <w:pPr>
                  <w:jc w:val="right"/>
                  <w:rPr>
                    <w:szCs w:val="21"/>
                  </w:rPr>
                </w:pPr>
              </w:p>
            </w:tc>
          </w:tr>
          <w:tr w:rsidR="00471D53" w14:paraId="187F059F" w14:textId="77777777" w:rsidTr="00471D53">
            <w:sdt>
              <w:sdtPr>
                <w:tag w:val="_PLD_bac24ebdbd9b48db9964fa3d371a3d1a"/>
                <w:id w:val="826412904"/>
                <w:lock w:val="sdtLocked"/>
              </w:sdtPr>
              <w:sdtEndPr/>
              <w:sdtContent>
                <w:tc>
                  <w:tcPr>
                    <w:tcW w:w="1564" w:type="pct"/>
                    <w:tcBorders>
                      <w:top w:val="single" w:sz="6" w:space="0" w:color="auto"/>
                      <w:left w:val="single" w:sz="4" w:space="0" w:color="auto"/>
                      <w:bottom w:val="single" w:sz="6" w:space="0" w:color="auto"/>
                      <w:right w:val="single" w:sz="6" w:space="0" w:color="auto"/>
                    </w:tcBorders>
                    <w:shd w:val="clear" w:color="auto" w:fill="auto"/>
                    <w:vAlign w:val="bottom"/>
                  </w:tcPr>
                  <w:p w14:paraId="1ABAE409" w14:textId="77777777" w:rsidR="00471D53" w:rsidRDefault="004F686E">
                    <w:pPr>
                      <w:rPr>
                        <w:rFonts w:cs="Arial"/>
                        <w:color w:val="000000"/>
                        <w:szCs w:val="21"/>
                      </w:rPr>
                    </w:pPr>
                    <w:r>
                      <w:rPr>
                        <w:rFonts w:cs="Arial"/>
                        <w:color w:val="000000"/>
                        <w:szCs w:val="21"/>
                      </w:rPr>
                      <w:t>--</w:t>
                    </w:r>
                    <w:r>
                      <w:rPr>
                        <w:rFonts w:cs="Arial" w:hint="eastAsia"/>
                        <w:color w:val="000000"/>
                        <w:szCs w:val="21"/>
                        <w:lang w:val="en-GB"/>
                      </w:rPr>
                      <w:t>商誉</w:t>
                    </w:r>
                  </w:p>
                </w:tc>
              </w:sdtContent>
            </w:sdt>
            <w:tc>
              <w:tcPr>
                <w:tcW w:w="932" w:type="pct"/>
                <w:tcBorders>
                  <w:left w:val="single" w:sz="6" w:space="0" w:color="auto"/>
                  <w:right w:val="single" w:sz="6" w:space="0" w:color="auto"/>
                </w:tcBorders>
                <w:shd w:val="clear" w:color="auto" w:fill="auto"/>
              </w:tcPr>
              <w:p w14:paraId="2A2294ED" w14:textId="77777777" w:rsidR="00471D53" w:rsidRDefault="00B664AF">
                <w:pPr>
                  <w:jc w:val="right"/>
                  <w:rPr>
                    <w:szCs w:val="21"/>
                  </w:rPr>
                </w:pPr>
              </w:p>
            </w:tc>
            <w:tc>
              <w:tcPr>
                <w:tcW w:w="780" w:type="pct"/>
                <w:tcBorders>
                  <w:left w:val="single" w:sz="6" w:space="0" w:color="auto"/>
                  <w:right w:val="single" w:sz="6" w:space="0" w:color="auto"/>
                </w:tcBorders>
                <w:shd w:val="clear" w:color="auto" w:fill="auto"/>
              </w:tcPr>
              <w:p w14:paraId="0BB80A6A" w14:textId="77777777" w:rsidR="00471D53" w:rsidRDefault="00B664AF">
                <w:pPr>
                  <w:jc w:val="right"/>
                  <w:rPr>
                    <w:szCs w:val="21"/>
                  </w:rPr>
                </w:pPr>
              </w:p>
            </w:tc>
            <w:tc>
              <w:tcPr>
                <w:tcW w:w="932" w:type="pct"/>
                <w:tcBorders>
                  <w:top w:val="single" w:sz="6" w:space="0" w:color="auto"/>
                  <w:left w:val="single" w:sz="6" w:space="0" w:color="auto"/>
                  <w:bottom w:val="single" w:sz="6" w:space="0" w:color="auto"/>
                  <w:right w:val="single" w:sz="6" w:space="0" w:color="auto"/>
                </w:tcBorders>
              </w:tcPr>
              <w:p w14:paraId="2E742E78" w14:textId="77777777" w:rsidR="00471D53" w:rsidRDefault="00B664AF">
                <w:pPr>
                  <w:jc w:val="right"/>
                  <w:rPr>
                    <w:szCs w:val="21"/>
                  </w:rPr>
                </w:pPr>
              </w:p>
            </w:tc>
            <w:tc>
              <w:tcPr>
                <w:tcW w:w="792" w:type="pct"/>
                <w:tcBorders>
                  <w:top w:val="single" w:sz="6" w:space="0" w:color="auto"/>
                  <w:left w:val="single" w:sz="6" w:space="0" w:color="auto"/>
                  <w:bottom w:val="single" w:sz="6" w:space="0" w:color="auto"/>
                  <w:right w:val="single" w:sz="6" w:space="0" w:color="auto"/>
                </w:tcBorders>
              </w:tcPr>
              <w:p w14:paraId="3A2780A5" w14:textId="77777777" w:rsidR="00471D53" w:rsidRDefault="00B664AF">
                <w:pPr>
                  <w:jc w:val="right"/>
                  <w:rPr>
                    <w:szCs w:val="21"/>
                  </w:rPr>
                </w:pPr>
              </w:p>
            </w:tc>
          </w:tr>
          <w:tr w:rsidR="00471D53" w14:paraId="18DFB74F" w14:textId="77777777" w:rsidTr="00471D53">
            <w:sdt>
              <w:sdtPr>
                <w:tag w:val="_PLD_975fd21cf7f04f898ba9a18af77d6240"/>
                <w:id w:val="1213849486"/>
                <w:lock w:val="sdtLocked"/>
              </w:sdtPr>
              <w:sdtEndPr/>
              <w:sdtContent>
                <w:tc>
                  <w:tcPr>
                    <w:tcW w:w="1564" w:type="pct"/>
                    <w:tcBorders>
                      <w:top w:val="single" w:sz="6" w:space="0" w:color="auto"/>
                      <w:left w:val="single" w:sz="4" w:space="0" w:color="auto"/>
                      <w:bottom w:val="single" w:sz="6" w:space="0" w:color="auto"/>
                      <w:right w:val="single" w:sz="6" w:space="0" w:color="auto"/>
                    </w:tcBorders>
                    <w:shd w:val="clear" w:color="auto" w:fill="auto"/>
                    <w:vAlign w:val="bottom"/>
                  </w:tcPr>
                  <w:p w14:paraId="5C0769C5" w14:textId="77777777" w:rsidR="00471D53" w:rsidRDefault="004F686E">
                    <w:pPr>
                      <w:rPr>
                        <w:rFonts w:cs="Arial"/>
                        <w:color w:val="000000"/>
                        <w:szCs w:val="21"/>
                      </w:rPr>
                    </w:pPr>
                    <w:r>
                      <w:rPr>
                        <w:rFonts w:cs="Arial"/>
                        <w:color w:val="000000"/>
                        <w:szCs w:val="21"/>
                      </w:rPr>
                      <w:t>--</w:t>
                    </w:r>
                    <w:r>
                      <w:rPr>
                        <w:rFonts w:cs="Arial" w:hint="eastAsia"/>
                        <w:color w:val="000000"/>
                        <w:szCs w:val="21"/>
                        <w:lang w:val="en-GB"/>
                      </w:rPr>
                      <w:t>内部交易未实现利润</w:t>
                    </w:r>
                  </w:p>
                </w:tc>
              </w:sdtContent>
            </w:sdt>
            <w:tc>
              <w:tcPr>
                <w:tcW w:w="932" w:type="pct"/>
                <w:tcBorders>
                  <w:left w:val="single" w:sz="6" w:space="0" w:color="auto"/>
                  <w:right w:val="single" w:sz="6" w:space="0" w:color="auto"/>
                </w:tcBorders>
                <w:shd w:val="clear" w:color="auto" w:fill="auto"/>
              </w:tcPr>
              <w:p w14:paraId="7949EC3C" w14:textId="77777777" w:rsidR="00471D53" w:rsidRDefault="004F686E">
                <w:pPr>
                  <w:jc w:val="right"/>
                  <w:rPr>
                    <w:szCs w:val="21"/>
                  </w:rPr>
                </w:pPr>
                <w:r w:rsidRPr="00C8317A">
                  <w:rPr>
                    <w:szCs w:val="21"/>
                  </w:rPr>
                  <w:t>-6,093,733.70</w:t>
                </w:r>
              </w:p>
            </w:tc>
            <w:tc>
              <w:tcPr>
                <w:tcW w:w="780" w:type="pct"/>
                <w:tcBorders>
                  <w:left w:val="single" w:sz="6" w:space="0" w:color="auto"/>
                  <w:right w:val="single" w:sz="6" w:space="0" w:color="auto"/>
                </w:tcBorders>
                <w:shd w:val="clear" w:color="auto" w:fill="auto"/>
              </w:tcPr>
              <w:p w14:paraId="23F8BFD8" w14:textId="77777777" w:rsidR="00471D53" w:rsidRDefault="00B664AF">
                <w:pPr>
                  <w:jc w:val="right"/>
                  <w:rPr>
                    <w:szCs w:val="21"/>
                  </w:rPr>
                </w:pPr>
              </w:p>
            </w:tc>
            <w:tc>
              <w:tcPr>
                <w:tcW w:w="932" w:type="pct"/>
                <w:tcBorders>
                  <w:top w:val="single" w:sz="6" w:space="0" w:color="auto"/>
                  <w:left w:val="single" w:sz="6" w:space="0" w:color="auto"/>
                  <w:bottom w:val="single" w:sz="6" w:space="0" w:color="auto"/>
                  <w:right w:val="single" w:sz="6" w:space="0" w:color="auto"/>
                </w:tcBorders>
              </w:tcPr>
              <w:p w14:paraId="18E499A9" w14:textId="77777777" w:rsidR="00471D53" w:rsidRDefault="004F686E">
                <w:pPr>
                  <w:jc w:val="right"/>
                  <w:rPr>
                    <w:szCs w:val="21"/>
                  </w:rPr>
                </w:pPr>
                <w:r w:rsidRPr="00C8317A">
                  <w:rPr>
                    <w:szCs w:val="21"/>
                  </w:rPr>
                  <w:t>-6,413,928.00</w:t>
                </w:r>
              </w:p>
            </w:tc>
            <w:tc>
              <w:tcPr>
                <w:tcW w:w="792" w:type="pct"/>
                <w:tcBorders>
                  <w:top w:val="single" w:sz="6" w:space="0" w:color="auto"/>
                  <w:left w:val="single" w:sz="6" w:space="0" w:color="auto"/>
                  <w:bottom w:val="single" w:sz="6" w:space="0" w:color="auto"/>
                  <w:right w:val="single" w:sz="6" w:space="0" w:color="auto"/>
                </w:tcBorders>
              </w:tcPr>
              <w:p w14:paraId="14E7BA38" w14:textId="77777777" w:rsidR="00471D53" w:rsidRDefault="00B664AF">
                <w:pPr>
                  <w:jc w:val="right"/>
                  <w:rPr>
                    <w:szCs w:val="21"/>
                  </w:rPr>
                </w:pPr>
              </w:p>
            </w:tc>
          </w:tr>
          <w:tr w:rsidR="00471D53" w14:paraId="6351551A" w14:textId="77777777" w:rsidTr="00471D53">
            <w:sdt>
              <w:sdtPr>
                <w:tag w:val="_PLD_24a86660be95444c9447cafd3bbfe1ca"/>
                <w:id w:val="-1525242382"/>
                <w:lock w:val="sdtLocked"/>
              </w:sdtPr>
              <w:sdtEndPr/>
              <w:sdtContent>
                <w:tc>
                  <w:tcPr>
                    <w:tcW w:w="1564" w:type="pct"/>
                    <w:tcBorders>
                      <w:top w:val="single" w:sz="6" w:space="0" w:color="auto"/>
                      <w:left w:val="single" w:sz="4" w:space="0" w:color="auto"/>
                      <w:bottom w:val="single" w:sz="6" w:space="0" w:color="auto"/>
                      <w:right w:val="single" w:sz="6" w:space="0" w:color="auto"/>
                    </w:tcBorders>
                    <w:shd w:val="clear" w:color="auto" w:fill="auto"/>
                    <w:vAlign w:val="bottom"/>
                  </w:tcPr>
                  <w:p w14:paraId="598817AE" w14:textId="77777777" w:rsidR="00471D53" w:rsidRDefault="004F686E">
                    <w:pPr>
                      <w:rPr>
                        <w:rFonts w:cs="Arial"/>
                        <w:color w:val="000000"/>
                        <w:szCs w:val="21"/>
                      </w:rPr>
                    </w:pPr>
                    <w:r>
                      <w:rPr>
                        <w:rFonts w:cs="Arial"/>
                        <w:color w:val="000000"/>
                        <w:szCs w:val="21"/>
                      </w:rPr>
                      <w:t>--</w:t>
                    </w:r>
                    <w:r>
                      <w:rPr>
                        <w:rFonts w:cs="Arial" w:hint="eastAsia"/>
                        <w:color w:val="000000"/>
                        <w:szCs w:val="21"/>
                        <w:lang w:val="en-GB"/>
                      </w:rPr>
                      <w:t>其他</w:t>
                    </w:r>
                  </w:p>
                </w:tc>
              </w:sdtContent>
            </w:sdt>
            <w:tc>
              <w:tcPr>
                <w:tcW w:w="932" w:type="pct"/>
                <w:tcBorders>
                  <w:left w:val="single" w:sz="6" w:space="0" w:color="auto"/>
                  <w:right w:val="single" w:sz="6" w:space="0" w:color="auto"/>
                </w:tcBorders>
                <w:shd w:val="clear" w:color="auto" w:fill="auto"/>
              </w:tcPr>
              <w:p w14:paraId="6898DF8F" w14:textId="77777777" w:rsidR="00471D53" w:rsidRDefault="00B664AF">
                <w:pPr>
                  <w:jc w:val="right"/>
                  <w:rPr>
                    <w:szCs w:val="21"/>
                  </w:rPr>
                </w:pPr>
              </w:p>
            </w:tc>
            <w:tc>
              <w:tcPr>
                <w:tcW w:w="780" w:type="pct"/>
                <w:tcBorders>
                  <w:left w:val="single" w:sz="6" w:space="0" w:color="auto"/>
                  <w:right w:val="single" w:sz="6" w:space="0" w:color="auto"/>
                </w:tcBorders>
                <w:shd w:val="clear" w:color="auto" w:fill="auto"/>
              </w:tcPr>
              <w:p w14:paraId="4BC56F94" w14:textId="77777777" w:rsidR="00471D53" w:rsidRDefault="00B664AF">
                <w:pPr>
                  <w:jc w:val="right"/>
                  <w:rPr>
                    <w:szCs w:val="21"/>
                  </w:rPr>
                </w:pPr>
              </w:p>
            </w:tc>
            <w:tc>
              <w:tcPr>
                <w:tcW w:w="932" w:type="pct"/>
                <w:tcBorders>
                  <w:top w:val="single" w:sz="6" w:space="0" w:color="auto"/>
                  <w:left w:val="single" w:sz="6" w:space="0" w:color="auto"/>
                  <w:bottom w:val="single" w:sz="6" w:space="0" w:color="auto"/>
                  <w:right w:val="single" w:sz="6" w:space="0" w:color="auto"/>
                </w:tcBorders>
              </w:tcPr>
              <w:p w14:paraId="7056598E" w14:textId="77777777" w:rsidR="00471D53" w:rsidRDefault="00B664AF">
                <w:pPr>
                  <w:jc w:val="right"/>
                  <w:rPr>
                    <w:szCs w:val="21"/>
                  </w:rPr>
                </w:pPr>
              </w:p>
            </w:tc>
            <w:tc>
              <w:tcPr>
                <w:tcW w:w="792" w:type="pct"/>
                <w:tcBorders>
                  <w:top w:val="single" w:sz="6" w:space="0" w:color="auto"/>
                  <w:left w:val="single" w:sz="6" w:space="0" w:color="auto"/>
                  <w:bottom w:val="single" w:sz="6" w:space="0" w:color="auto"/>
                  <w:right w:val="single" w:sz="6" w:space="0" w:color="auto"/>
                </w:tcBorders>
              </w:tcPr>
              <w:p w14:paraId="3BB67FCB" w14:textId="77777777" w:rsidR="00471D53" w:rsidRDefault="00B664AF">
                <w:pPr>
                  <w:jc w:val="right"/>
                  <w:rPr>
                    <w:szCs w:val="21"/>
                  </w:rPr>
                </w:pPr>
              </w:p>
            </w:tc>
          </w:tr>
          <w:tr w:rsidR="00471D53" w14:paraId="5C48B753" w14:textId="77777777" w:rsidTr="00471D53">
            <w:sdt>
              <w:sdtPr>
                <w:tag w:val="_PLD_2be4185c2e6a44dfb7339347b64720df"/>
                <w:id w:val="-1621302362"/>
                <w:lock w:val="sdtLocked"/>
              </w:sdtPr>
              <w:sdtEndPr/>
              <w:sdtContent>
                <w:tc>
                  <w:tcPr>
                    <w:tcW w:w="1564" w:type="pct"/>
                    <w:tcBorders>
                      <w:top w:val="single" w:sz="6" w:space="0" w:color="auto"/>
                      <w:left w:val="single" w:sz="4" w:space="0" w:color="auto"/>
                      <w:bottom w:val="single" w:sz="6" w:space="0" w:color="auto"/>
                      <w:right w:val="single" w:sz="6" w:space="0" w:color="auto"/>
                    </w:tcBorders>
                    <w:shd w:val="clear" w:color="auto" w:fill="auto"/>
                    <w:vAlign w:val="bottom"/>
                  </w:tcPr>
                  <w:p w14:paraId="423AB5CA" w14:textId="77777777" w:rsidR="00471D53" w:rsidRDefault="004F686E">
                    <w:pPr>
                      <w:rPr>
                        <w:rFonts w:cs="Arial"/>
                        <w:color w:val="000000"/>
                        <w:szCs w:val="21"/>
                      </w:rPr>
                    </w:pPr>
                    <w:r>
                      <w:rPr>
                        <w:rFonts w:cs="Arial" w:hint="eastAsia"/>
                        <w:color w:val="000000"/>
                        <w:szCs w:val="21"/>
                        <w:lang w:val="en-GB"/>
                      </w:rPr>
                      <w:t>对联营企业权益投资的账面价值</w:t>
                    </w:r>
                  </w:p>
                </w:tc>
              </w:sdtContent>
            </w:sdt>
            <w:tc>
              <w:tcPr>
                <w:tcW w:w="932" w:type="pct"/>
                <w:tcBorders>
                  <w:left w:val="single" w:sz="6" w:space="0" w:color="auto"/>
                  <w:right w:val="single" w:sz="6" w:space="0" w:color="auto"/>
                </w:tcBorders>
                <w:shd w:val="clear" w:color="auto" w:fill="auto"/>
              </w:tcPr>
              <w:p w14:paraId="29444F39" w14:textId="77777777" w:rsidR="00471D53" w:rsidRDefault="004F686E">
                <w:pPr>
                  <w:jc w:val="right"/>
                  <w:rPr>
                    <w:szCs w:val="21"/>
                  </w:rPr>
                </w:pPr>
                <w:r w:rsidRPr="00C8317A">
                  <w:rPr>
                    <w:szCs w:val="21"/>
                  </w:rPr>
                  <w:t>32,962,628.94</w:t>
                </w:r>
              </w:p>
            </w:tc>
            <w:tc>
              <w:tcPr>
                <w:tcW w:w="780" w:type="pct"/>
                <w:tcBorders>
                  <w:left w:val="single" w:sz="6" w:space="0" w:color="auto"/>
                  <w:right w:val="single" w:sz="6" w:space="0" w:color="auto"/>
                </w:tcBorders>
                <w:shd w:val="clear" w:color="auto" w:fill="auto"/>
              </w:tcPr>
              <w:p w14:paraId="3C9FFC33" w14:textId="77777777" w:rsidR="00471D53" w:rsidRDefault="00B664AF">
                <w:pPr>
                  <w:jc w:val="right"/>
                  <w:rPr>
                    <w:szCs w:val="21"/>
                  </w:rPr>
                </w:pPr>
              </w:p>
            </w:tc>
            <w:tc>
              <w:tcPr>
                <w:tcW w:w="932" w:type="pct"/>
                <w:tcBorders>
                  <w:top w:val="single" w:sz="6" w:space="0" w:color="auto"/>
                  <w:left w:val="single" w:sz="6" w:space="0" w:color="auto"/>
                  <w:bottom w:val="single" w:sz="6" w:space="0" w:color="auto"/>
                  <w:right w:val="single" w:sz="6" w:space="0" w:color="auto"/>
                </w:tcBorders>
              </w:tcPr>
              <w:p w14:paraId="609AF6BC" w14:textId="77777777" w:rsidR="00471D53" w:rsidRDefault="004F686E">
                <w:pPr>
                  <w:jc w:val="right"/>
                  <w:rPr>
                    <w:szCs w:val="21"/>
                  </w:rPr>
                </w:pPr>
                <w:r w:rsidRPr="00C8317A">
                  <w:rPr>
                    <w:szCs w:val="21"/>
                  </w:rPr>
                  <w:t>31,698,152.71</w:t>
                </w:r>
              </w:p>
            </w:tc>
            <w:tc>
              <w:tcPr>
                <w:tcW w:w="792" w:type="pct"/>
                <w:tcBorders>
                  <w:top w:val="single" w:sz="6" w:space="0" w:color="auto"/>
                  <w:left w:val="single" w:sz="6" w:space="0" w:color="auto"/>
                  <w:bottom w:val="single" w:sz="6" w:space="0" w:color="auto"/>
                  <w:right w:val="single" w:sz="6" w:space="0" w:color="auto"/>
                </w:tcBorders>
              </w:tcPr>
              <w:p w14:paraId="33F86BB4" w14:textId="77777777" w:rsidR="00471D53" w:rsidRDefault="00B664AF">
                <w:pPr>
                  <w:jc w:val="right"/>
                  <w:rPr>
                    <w:szCs w:val="21"/>
                  </w:rPr>
                </w:pPr>
              </w:p>
            </w:tc>
          </w:tr>
          <w:tr w:rsidR="00471D53" w14:paraId="2AC0B06E" w14:textId="77777777" w:rsidTr="00471D53">
            <w:sdt>
              <w:sdtPr>
                <w:tag w:val="_PLD_89f7288bf5124b4794da7c1329ad7dff"/>
                <w:id w:val="-861971162"/>
                <w:lock w:val="sdtLocked"/>
              </w:sdtPr>
              <w:sdtEndPr/>
              <w:sdtContent>
                <w:tc>
                  <w:tcPr>
                    <w:tcW w:w="1564" w:type="pct"/>
                    <w:tcBorders>
                      <w:top w:val="single" w:sz="6" w:space="0" w:color="auto"/>
                      <w:left w:val="single" w:sz="4" w:space="0" w:color="auto"/>
                      <w:bottom w:val="single" w:sz="6" w:space="0" w:color="auto"/>
                      <w:right w:val="single" w:sz="6" w:space="0" w:color="auto"/>
                    </w:tcBorders>
                    <w:shd w:val="clear" w:color="auto" w:fill="auto"/>
                    <w:vAlign w:val="bottom"/>
                  </w:tcPr>
                  <w:p w14:paraId="6CADCA4F" w14:textId="77777777" w:rsidR="00471D53" w:rsidRDefault="004F686E">
                    <w:pPr>
                      <w:rPr>
                        <w:rFonts w:cs="Arial"/>
                        <w:color w:val="000000"/>
                        <w:szCs w:val="21"/>
                      </w:rPr>
                    </w:pPr>
                    <w:r>
                      <w:rPr>
                        <w:rFonts w:cs="Arial" w:hint="eastAsia"/>
                        <w:color w:val="000000"/>
                        <w:szCs w:val="21"/>
                        <w:lang w:val="en-GB"/>
                      </w:rPr>
                      <w:t>存在公开报价的联营企业权益投资的公允价值</w:t>
                    </w:r>
                  </w:p>
                </w:tc>
              </w:sdtContent>
            </w:sdt>
            <w:tc>
              <w:tcPr>
                <w:tcW w:w="932" w:type="pct"/>
                <w:tcBorders>
                  <w:left w:val="single" w:sz="6" w:space="0" w:color="auto"/>
                  <w:right w:val="single" w:sz="6" w:space="0" w:color="auto"/>
                </w:tcBorders>
                <w:shd w:val="clear" w:color="auto" w:fill="auto"/>
              </w:tcPr>
              <w:p w14:paraId="66FFA2D3" w14:textId="77777777" w:rsidR="00471D53" w:rsidRDefault="00B664AF">
                <w:pPr>
                  <w:jc w:val="right"/>
                  <w:rPr>
                    <w:szCs w:val="21"/>
                  </w:rPr>
                </w:pPr>
              </w:p>
            </w:tc>
            <w:tc>
              <w:tcPr>
                <w:tcW w:w="780" w:type="pct"/>
                <w:tcBorders>
                  <w:left w:val="single" w:sz="6" w:space="0" w:color="auto"/>
                  <w:right w:val="single" w:sz="6" w:space="0" w:color="auto"/>
                </w:tcBorders>
                <w:shd w:val="clear" w:color="auto" w:fill="auto"/>
              </w:tcPr>
              <w:p w14:paraId="78167927" w14:textId="77777777" w:rsidR="00471D53" w:rsidRDefault="00B664AF">
                <w:pPr>
                  <w:jc w:val="right"/>
                  <w:rPr>
                    <w:szCs w:val="21"/>
                  </w:rPr>
                </w:pPr>
              </w:p>
            </w:tc>
            <w:tc>
              <w:tcPr>
                <w:tcW w:w="932" w:type="pct"/>
                <w:tcBorders>
                  <w:top w:val="single" w:sz="6" w:space="0" w:color="auto"/>
                  <w:left w:val="single" w:sz="6" w:space="0" w:color="auto"/>
                  <w:bottom w:val="single" w:sz="6" w:space="0" w:color="auto"/>
                  <w:right w:val="single" w:sz="6" w:space="0" w:color="auto"/>
                </w:tcBorders>
              </w:tcPr>
              <w:p w14:paraId="1132BAB7" w14:textId="77777777" w:rsidR="00471D53" w:rsidRDefault="00B664AF">
                <w:pPr>
                  <w:jc w:val="right"/>
                  <w:rPr>
                    <w:szCs w:val="21"/>
                  </w:rPr>
                </w:pPr>
              </w:p>
            </w:tc>
            <w:tc>
              <w:tcPr>
                <w:tcW w:w="792" w:type="pct"/>
                <w:tcBorders>
                  <w:top w:val="single" w:sz="6" w:space="0" w:color="auto"/>
                  <w:left w:val="single" w:sz="6" w:space="0" w:color="auto"/>
                  <w:bottom w:val="single" w:sz="6" w:space="0" w:color="auto"/>
                  <w:right w:val="single" w:sz="6" w:space="0" w:color="auto"/>
                </w:tcBorders>
              </w:tcPr>
              <w:p w14:paraId="6231C789" w14:textId="77777777" w:rsidR="00471D53" w:rsidRDefault="00B664AF">
                <w:pPr>
                  <w:jc w:val="right"/>
                  <w:rPr>
                    <w:szCs w:val="21"/>
                  </w:rPr>
                </w:pPr>
              </w:p>
            </w:tc>
          </w:tr>
          <w:tr w:rsidR="00471D53" w14:paraId="555A351E" w14:textId="77777777" w:rsidTr="00471D53">
            <w:tc>
              <w:tcPr>
                <w:tcW w:w="1564" w:type="pct"/>
                <w:tcBorders>
                  <w:top w:val="single" w:sz="6" w:space="0" w:color="auto"/>
                  <w:left w:val="single" w:sz="4" w:space="0" w:color="auto"/>
                  <w:bottom w:val="single" w:sz="6" w:space="0" w:color="auto"/>
                  <w:right w:val="single" w:sz="6" w:space="0" w:color="auto"/>
                </w:tcBorders>
                <w:shd w:val="clear" w:color="auto" w:fill="auto"/>
                <w:vAlign w:val="bottom"/>
              </w:tcPr>
              <w:p w14:paraId="3D3D47C0" w14:textId="77777777" w:rsidR="00471D53" w:rsidRDefault="00B664AF">
                <w:pPr>
                  <w:rPr>
                    <w:rFonts w:cs="Arial"/>
                    <w:color w:val="000000"/>
                    <w:szCs w:val="21"/>
                    <w:lang w:val="en-GB"/>
                  </w:rPr>
                </w:pPr>
              </w:p>
            </w:tc>
            <w:tc>
              <w:tcPr>
                <w:tcW w:w="932" w:type="pct"/>
                <w:tcBorders>
                  <w:left w:val="single" w:sz="6" w:space="0" w:color="auto"/>
                  <w:right w:val="single" w:sz="6" w:space="0" w:color="auto"/>
                </w:tcBorders>
                <w:shd w:val="clear" w:color="auto" w:fill="auto"/>
              </w:tcPr>
              <w:p w14:paraId="72F657C7" w14:textId="77777777" w:rsidR="00471D53" w:rsidRDefault="00B664AF">
                <w:pPr>
                  <w:jc w:val="right"/>
                  <w:rPr>
                    <w:szCs w:val="21"/>
                  </w:rPr>
                </w:pPr>
              </w:p>
            </w:tc>
            <w:tc>
              <w:tcPr>
                <w:tcW w:w="780" w:type="pct"/>
                <w:tcBorders>
                  <w:left w:val="single" w:sz="6" w:space="0" w:color="auto"/>
                  <w:right w:val="single" w:sz="6" w:space="0" w:color="auto"/>
                </w:tcBorders>
                <w:shd w:val="clear" w:color="auto" w:fill="auto"/>
              </w:tcPr>
              <w:p w14:paraId="6F9274FC" w14:textId="77777777" w:rsidR="00471D53" w:rsidRDefault="00B664AF">
                <w:pPr>
                  <w:jc w:val="right"/>
                  <w:rPr>
                    <w:szCs w:val="21"/>
                  </w:rPr>
                </w:pPr>
              </w:p>
            </w:tc>
            <w:tc>
              <w:tcPr>
                <w:tcW w:w="932" w:type="pct"/>
                <w:tcBorders>
                  <w:top w:val="single" w:sz="6" w:space="0" w:color="auto"/>
                  <w:left w:val="single" w:sz="6" w:space="0" w:color="auto"/>
                  <w:bottom w:val="single" w:sz="6" w:space="0" w:color="auto"/>
                  <w:right w:val="single" w:sz="6" w:space="0" w:color="auto"/>
                </w:tcBorders>
              </w:tcPr>
              <w:p w14:paraId="609EE5F3" w14:textId="77777777" w:rsidR="00471D53" w:rsidRDefault="00B664AF">
                <w:pPr>
                  <w:jc w:val="right"/>
                  <w:rPr>
                    <w:szCs w:val="21"/>
                  </w:rPr>
                </w:pPr>
              </w:p>
            </w:tc>
            <w:tc>
              <w:tcPr>
                <w:tcW w:w="792" w:type="pct"/>
                <w:tcBorders>
                  <w:top w:val="single" w:sz="6" w:space="0" w:color="auto"/>
                  <w:left w:val="single" w:sz="6" w:space="0" w:color="auto"/>
                  <w:bottom w:val="single" w:sz="6" w:space="0" w:color="auto"/>
                  <w:right w:val="single" w:sz="6" w:space="0" w:color="auto"/>
                </w:tcBorders>
              </w:tcPr>
              <w:p w14:paraId="4AE8859A" w14:textId="77777777" w:rsidR="00471D53" w:rsidRDefault="00B664AF">
                <w:pPr>
                  <w:jc w:val="right"/>
                  <w:rPr>
                    <w:szCs w:val="21"/>
                  </w:rPr>
                </w:pPr>
              </w:p>
            </w:tc>
          </w:tr>
          <w:tr w:rsidR="00471D53" w14:paraId="556B6500" w14:textId="77777777" w:rsidTr="00471D53">
            <w:sdt>
              <w:sdtPr>
                <w:tag w:val="_PLD_3dda32d2f0f749c2b0d95dc4c3753c29"/>
                <w:id w:val="-872535154"/>
                <w:lock w:val="sdtLocked"/>
              </w:sdtPr>
              <w:sdtEndPr/>
              <w:sdtContent>
                <w:tc>
                  <w:tcPr>
                    <w:tcW w:w="1564" w:type="pct"/>
                    <w:tcBorders>
                      <w:top w:val="single" w:sz="6" w:space="0" w:color="auto"/>
                      <w:left w:val="single" w:sz="4" w:space="0" w:color="auto"/>
                      <w:bottom w:val="single" w:sz="6" w:space="0" w:color="auto"/>
                      <w:right w:val="single" w:sz="6" w:space="0" w:color="auto"/>
                    </w:tcBorders>
                    <w:shd w:val="clear" w:color="auto" w:fill="auto"/>
                    <w:vAlign w:val="bottom"/>
                  </w:tcPr>
                  <w:p w14:paraId="00B4A761" w14:textId="77777777" w:rsidR="00471D53" w:rsidRDefault="004F686E">
                    <w:pPr>
                      <w:rPr>
                        <w:rFonts w:cs="Arial"/>
                        <w:color w:val="000000"/>
                        <w:szCs w:val="21"/>
                      </w:rPr>
                    </w:pPr>
                    <w:r>
                      <w:rPr>
                        <w:rFonts w:cs="Arial" w:hint="eastAsia"/>
                        <w:color w:val="000000"/>
                        <w:szCs w:val="21"/>
                        <w:lang w:val="en-GB"/>
                      </w:rPr>
                      <w:t>营业收入</w:t>
                    </w:r>
                  </w:p>
                </w:tc>
              </w:sdtContent>
            </w:sdt>
            <w:tc>
              <w:tcPr>
                <w:tcW w:w="932" w:type="pct"/>
                <w:tcBorders>
                  <w:left w:val="single" w:sz="6" w:space="0" w:color="auto"/>
                  <w:right w:val="single" w:sz="6" w:space="0" w:color="auto"/>
                </w:tcBorders>
                <w:shd w:val="clear" w:color="auto" w:fill="auto"/>
              </w:tcPr>
              <w:p w14:paraId="5CD7F4B2" w14:textId="77777777" w:rsidR="00471D53" w:rsidRDefault="00B664AF">
                <w:pPr>
                  <w:jc w:val="right"/>
                  <w:rPr>
                    <w:szCs w:val="21"/>
                  </w:rPr>
                </w:pPr>
              </w:p>
            </w:tc>
            <w:tc>
              <w:tcPr>
                <w:tcW w:w="780" w:type="pct"/>
                <w:tcBorders>
                  <w:left w:val="single" w:sz="6" w:space="0" w:color="auto"/>
                  <w:right w:val="single" w:sz="6" w:space="0" w:color="auto"/>
                </w:tcBorders>
                <w:shd w:val="clear" w:color="auto" w:fill="auto"/>
              </w:tcPr>
              <w:p w14:paraId="63D3364D" w14:textId="77777777" w:rsidR="00471D53" w:rsidRDefault="004F686E">
                <w:pPr>
                  <w:jc w:val="right"/>
                  <w:rPr>
                    <w:szCs w:val="21"/>
                  </w:rPr>
                </w:pPr>
                <w:r w:rsidRPr="00C8317A">
                  <w:rPr>
                    <w:szCs w:val="21"/>
                  </w:rPr>
                  <w:t>61,011,298.64</w:t>
                </w:r>
              </w:p>
            </w:tc>
            <w:tc>
              <w:tcPr>
                <w:tcW w:w="932" w:type="pct"/>
                <w:tcBorders>
                  <w:top w:val="single" w:sz="6" w:space="0" w:color="auto"/>
                  <w:left w:val="single" w:sz="6" w:space="0" w:color="auto"/>
                  <w:bottom w:val="single" w:sz="6" w:space="0" w:color="auto"/>
                  <w:right w:val="single" w:sz="6" w:space="0" w:color="auto"/>
                </w:tcBorders>
              </w:tcPr>
              <w:p w14:paraId="38D72434" w14:textId="77777777" w:rsidR="00471D53" w:rsidRDefault="00B664AF">
                <w:pPr>
                  <w:jc w:val="right"/>
                  <w:rPr>
                    <w:szCs w:val="21"/>
                  </w:rPr>
                </w:pPr>
              </w:p>
            </w:tc>
            <w:tc>
              <w:tcPr>
                <w:tcW w:w="792" w:type="pct"/>
                <w:tcBorders>
                  <w:top w:val="single" w:sz="6" w:space="0" w:color="auto"/>
                  <w:left w:val="single" w:sz="6" w:space="0" w:color="auto"/>
                  <w:bottom w:val="single" w:sz="6" w:space="0" w:color="auto"/>
                  <w:right w:val="single" w:sz="6" w:space="0" w:color="auto"/>
                </w:tcBorders>
              </w:tcPr>
              <w:p w14:paraId="3094BEE0" w14:textId="77777777" w:rsidR="00471D53" w:rsidRDefault="004F686E">
                <w:pPr>
                  <w:jc w:val="right"/>
                  <w:rPr>
                    <w:szCs w:val="21"/>
                  </w:rPr>
                </w:pPr>
                <w:r w:rsidRPr="00714CF7">
                  <w:rPr>
                    <w:szCs w:val="21"/>
                  </w:rPr>
                  <w:t>54,485,834.31</w:t>
                </w:r>
              </w:p>
            </w:tc>
          </w:tr>
          <w:tr w:rsidR="00471D53" w14:paraId="0C9DDDF4" w14:textId="77777777" w:rsidTr="00471D53">
            <w:sdt>
              <w:sdtPr>
                <w:tag w:val="_PLD_2700e40e30734ccda4fc19f6731bfd23"/>
                <w:id w:val="935946297"/>
                <w:lock w:val="sdtLocked"/>
              </w:sdtPr>
              <w:sdtEndPr/>
              <w:sdtContent>
                <w:tc>
                  <w:tcPr>
                    <w:tcW w:w="1564" w:type="pct"/>
                    <w:tcBorders>
                      <w:top w:val="single" w:sz="6" w:space="0" w:color="auto"/>
                      <w:left w:val="single" w:sz="4" w:space="0" w:color="auto"/>
                      <w:bottom w:val="single" w:sz="6" w:space="0" w:color="auto"/>
                      <w:right w:val="single" w:sz="6" w:space="0" w:color="auto"/>
                    </w:tcBorders>
                    <w:shd w:val="clear" w:color="auto" w:fill="auto"/>
                    <w:vAlign w:val="bottom"/>
                  </w:tcPr>
                  <w:p w14:paraId="140E91BC" w14:textId="77777777" w:rsidR="00471D53" w:rsidRDefault="004F686E">
                    <w:pPr>
                      <w:rPr>
                        <w:rFonts w:cs="Arial"/>
                        <w:color w:val="000000"/>
                        <w:szCs w:val="21"/>
                      </w:rPr>
                    </w:pPr>
                    <w:r>
                      <w:rPr>
                        <w:rFonts w:cs="Arial" w:hint="eastAsia"/>
                        <w:color w:val="000000"/>
                        <w:szCs w:val="21"/>
                        <w:lang w:val="en-GB"/>
                      </w:rPr>
                      <w:t>净利润</w:t>
                    </w:r>
                  </w:p>
                </w:tc>
              </w:sdtContent>
            </w:sdt>
            <w:tc>
              <w:tcPr>
                <w:tcW w:w="932" w:type="pct"/>
                <w:tcBorders>
                  <w:left w:val="single" w:sz="6" w:space="0" w:color="auto"/>
                  <w:right w:val="single" w:sz="6" w:space="0" w:color="auto"/>
                </w:tcBorders>
                <w:shd w:val="clear" w:color="auto" w:fill="auto"/>
              </w:tcPr>
              <w:p w14:paraId="2215B6C8" w14:textId="77777777" w:rsidR="00471D53" w:rsidRDefault="00B664AF">
                <w:pPr>
                  <w:jc w:val="right"/>
                  <w:rPr>
                    <w:szCs w:val="21"/>
                  </w:rPr>
                </w:pPr>
              </w:p>
            </w:tc>
            <w:tc>
              <w:tcPr>
                <w:tcW w:w="780" w:type="pct"/>
                <w:tcBorders>
                  <w:left w:val="single" w:sz="6" w:space="0" w:color="auto"/>
                  <w:right w:val="single" w:sz="6" w:space="0" w:color="auto"/>
                </w:tcBorders>
                <w:shd w:val="clear" w:color="auto" w:fill="auto"/>
              </w:tcPr>
              <w:p w14:paraId="3611E794" w14:textId="77777777" w:rsidR="00471D53" w:rsidRDefault="004F686E">
                <w:pPr>
                  <w:jc w:val="right"/>
                  <w:rPr>
                    <w:szCs w:val="21"/>
                  </w:rPr>
                </w:pPr>
                <w:r w:rsidRPr="00C8317A">
                  <w:rPr>
                    <w:szCs w:val="21"/>
                  </w:rPr>
                  <w:t>3,612,789.22</w:t>
                </w:r>
              </w:p>
            </w:tc>
            <w:tc>
              <w:tcPr>
                <w:tcW w:w="932" w:type="pct"/>
                <w:tcBorders>
                  <w:top w:val="single" w:sz="6" w:space="0" w:color="auto"/>
                  <w:left w:val="single" w:sz="6" w:space="0" w:color="auto"/>
                  <w:bottom w:val="single" w:sz="6" w:space="0" w:color="auto"/>
                  <w:right w:val="single" w:sz="6" w:space="0" w:color="auto"/>
                </w:tcBorders>
              </w:tcPr>
              <w:p w14:paraId="67EDF932" w14:textId="77777777" w:rsidR="00471D53" w:rsidRDefault="00B664AF">
                <w:pPr>
                  <w:jc w:val="right"/>
                  <w:rPr>
                    <w:szCs w:val="21"/>
                  </w:rPr>
                </w:pPr>
              </w:p>
            </w:tc>
            <w:tc>
              <w:tcPr>
                <w:tcW w:w="792" w:type="pct"/>
                <w:tcBorders>
                  <w:top w:val="single" w:sz="6" w:space="0" w:color="auto"/>
                  <w:left w:val="single" w:sz="6" w:space="0" w:color="auto"/>
                  <w:bottom w:val="single" w:sz="6" w:space="0" w:color="auto"/>
                  <w:right w:val="single" w:sz="6" w:space="0" w:color="auto"/>
                </w:tcBorders>
              </w:tcPr>
              <w:p w14:paraId="2F7DEA9A" w14:textId="77777777" w:rsidR="00471D53" w:rsidRDefault="004F686E">
                <w:pPr>
                  <w:jc w:val="right"/>
                  <w:rPr>
                    <w:szCs w:val="21"/>
                  </w:rPr>
                </w:pPr>
                <w:r w:rsidRPr="00714CF7">
                  <w:rPr>
                    <w:szCs w:val="21"/>
                  </w:rPr>
                  <w:t>2,229,924.17</w:t>
                </w:r>
              </w:p>
            </w:tc>
          </w:tr>
          <w:tr w:rsidR="00471D53" w14:paraId="307FD628" w14:textId="77777777" w:rsidTr="00471D53">
            <w:sdt>
              <w:sdtPr>
                <w:tag w:val="_PLD_7123283d145f4e83a026dd1ab301c96a"/>
                <w:id w:val="-1573738285"/>
                <w:lock w:val="sdtLocked"/>
              </w:sdtPr>
              <w:sdtEndPr/>
              <w:sdtContent>
                <w:tc>
                  <w:tcPr>
                    <w:tcW w:w="1564" w:type="pct"/>
                    <w:tcBorders>
                      <w:top w:val="single" w:sz="6" w:space="0" w:color="auto"/>
                      <w:left w:val="single" w:sz="4" w:space="0" w:color="auto"/>
                      <w:bottom w:val="single" w:sz="6" w:space="0" w:color="auto"/>
                      <w:right w:val="single" w:sz="6" w:space="0" w:color="auto"/>
                    </w:tcBorders>
                    <w:shd w:val="clear" w:color="auto" w:fill="auto"/>
                    <w:vAlign w:val="bottom"/>
                  </w:tcPr>
                  <w:p w14:paraId="1F58A279" w14:textId="77777777" w:rsidR="00471D53" w:rsidRDefault="004F686E">
                    <w:pPr>
                      <w:rPr>
                        <w:rFonts w:cs="Arial"/>
                        <w:color w:val="000000"/>
                        <w:szCs w:val="21"/>
                        <w:lang w:val="en-GB"/>
                      </w:rPr>
                    </w:pPr>
                    <w:r>
                      <w:rPr>
                        <w:rFonts w:cs="Arial" w:hint="eastAsia"/>
                        <w:color w:val="000000"/>
                        <w:szCs w:val="21"/>
                        <w:lang w:val="en-GB"/>
                      </w:rPr>
                      <w:t>终止经营的净利润</w:t>
                    </w:r>
                  </w:p>
                </w:tc>
              </w:sdtContent>
            </w:sdt>
            <w:tc>
              <w:tcPr>
                <w:tcW w:w="932" w:type="pct"/>
                <w:tcBorders>
                  <w:left w:val="single" w:sz="6" w:space="0" w:color="auto"/>
                  <w:right w:val="single" w:sz="6" w:space="0" w:color="auto"/>
                </w:tcBorders>
                <w:shd w:val="clear" w:color="auto" w:fill="auto"/>
              </w:tcPr>
              <w:p w14:paraId="04D6B6FA" w14:textId="77777777" w:rsidR="00471D53" w:rsidRDefault="00B664AF">
                <w:pPr>
                  <w:jc w:val="right"/>
                  <w:rPr>
                    <w:szCs w:val="21"/>
                  </w:rPr>
                </w:pPr>
              </w:p>
            </w:tc>
            <w:tc>
              <w:tcPr>
                <w:tcW w:w="780" w:type="pct"/>
                <w:tcBorders>
                  <w:left w:val="single" w:sz="6" w:space="0" w:color="auto"/>
                  <w:right w:val="single" w:sz="6" w:space="0" w:color="auto"/>
                </w:tcBorders>
                <w:shd w:val="clear" w:color="auto" w:fill="auto"/>
              </w:tcPr>
              <w:p w14:paraId="3C365A6E" w14:textId="77777777" w:rsidR="00471D53" w:rsidRDefault="00B664AF">
                <w:pPr>
                  <w:jc w:val="right"/>
                  <w:rPr>
                    <w:szCs w:val="21"/>
                  </w:rPr>
                </w:pPr>
              </w:p>
            </w:tc>
            <w:tc>
              <w:tcPr>
                <w:tcW w:w="932" w:type="pct"/>
                <w:tcBorders>
                  <w:top w:val="single" w:sz="6" w:space="0" w:color="auto"/>
                  <w:left w:val="single" w:sz="6" w:space="0" w:color="auto"/>
                  <w:bottom w:val="single" w:sz="6" w:space="0" w:color="auto"/>
                  <w:right w:val="single" w:sz="6" w:space="0" w:color="auto"/>
                </w:tcBorders>
              </w:tcPr>
              <w:p w14:paraId="0C37FDFD" w14:textId="77777777" w:rsidR="00471D53" w:rsidRDefault="00B664AF">
                <w:pPr>
                  <w:jc w:val="right"/>
                  <w:rPr>
                    <w:szCs w:val="21"/>
                  </w:rPr>
                </w:pPr>
              </w:p>
            </w:tc>
            <w:tc>
              <w:tcPr>
                <w:tcW w:w="792" w:type="pct"/>
                <w:tcBorders>
                  <w:top w:val="single" w:sz="6" w:space="0" w:color="auto"/>
                  <w:left w:val="single" w:sz="6" w:space="0" w:color="auto"/>
                  <w:bottom w:val="single" w:sz="6" w:space="0" w:color="auto"/>
                  <w:right w:val="single" w:sz="6" w:space="0" w:color="auto"/>
                </w:tcBorders>
              </w:tcPr>
              <w:p w14:paraId="5B178616" w14:textId="77777777" w:rsidR="00471D53" w:rsidRDefault="00B664AF">
                <w:pPr>
                  <w:jc w:val="right"/>
                  <w:rPr>
                    <w:szCs w:val="21"/>
                  </w:rPr>
                </w:pPr>
              </w:p>
            </w:tc>
          </w:tr>
          <w:tr w:rsidR="00471D53" w14:paraId="2C778931" w14:textId="77777777" w:rsidTr="00471D53">
            <w:sdt>
              <w:sdtPr>
                <w:tag w:val="_PLD_45e6a45abde34643910c58dce10e37dd"/>
                <w:id w:val="76184194"/>
                <w:lock w:val="sdtLocked"/>
              </w:sdtPr>
              <w:sdtEndPr/>
              <w:sdtContent>
                <w:tc>
                  <w:tcPr>
                    <w:tcW w:w="1564" w:type="pct"/>
                    <w:tcBorders>
                      <w:top w:val="single" w:sz="6" w:space="0" w:color="auto"/>
                      <w:left w:val="single" w:sz="4" w:space="0" w:color="auto"/>
                      <w:bottom w:val="single" w:sz="6" w:space="0" w:color="auto"/>
                      <w:right w:val="single" w:sz="6" w:space="0" w:color="auto"/>
                    </w:tcBorders>
                    <w:shd w:val="clear" w:color="auto" w:fill="auto"/>
                    <w:vAlign w:val="bottom"/>
                  </w:tcPr>
                  <w:p w14:paraId="3347800B" w14:textId="77777777" w:rsidR="00471D53" w:rsidRDefault="004F686E">
                    <w:pPr>
                      <w:rPr>
                        <w:rFonts w:cs="Arial"/>
                        <w:color w:val="000000"/>
                        <w:szCs w:val="21"/>
                      </w:rPr>
                    </w:pPr>
                    <w:r>
                      <w:rPr>
                        <w:rFonts w:cs="Arial" w:hint="eastAsia"/>
                        <w:color w:val="000000"/>
                        <w:szCs w:val="21"/>
                        <w:lang w:val="en-GB"/>
                      </w:rPr>
                      <w:t>其他综合收益</w:t>
                    </w:r>
                  </w:p>
                </w:tc>
              </w:sdtContent>
            </w:sdt>
            <w:tc>
              <w:tcPr>
                <w:tcW w:w="932" w:type="pct"/>
                <w:tcBorders>
                  <w:left w:val="single" w:sz="6" w:space="0" w:color="auto"/>
                  <w:right w:val="single" w:sz="6" w:space="0" w:color="auto"/>
                </w:tcBorders>
                <w:shd w:val="clear" w:color="auto" w:fill="auto"/>
              </w:tcPr>
              <w:p w14:paraId="51850708" w14:textId="77777777" w:rsidR="00471D53" w:rsidRDefault="00B664AF">
                <w:pPr>
                  <w:jc w:val="right"/>
                  <w:rPr>
                    <w:szCs w:val="21"/>
                  </w:rPr>
                </w:pPr>
              </w:p>
            </w:tc>
            <w:tc>
              <w:tcPr>
                <w:tcW w:w="780" w:type="pct"/>
                <w:tcBorders>
                  <w:left w:val="single" w:sz="6" w:space="0" w:color="auto"/>
                  <w:right w:val="single" w:sz="6" w:space="0" w:color="auto"/>
                </w:tcBorders>
                <w:shd w:val="clear" w:color="auto" w:fill="auto"/>
              </w:tcPr>
              <w:p w14:paraId="776B974B" w14:textId="77777777" w:rsidR="00471D53" w:rsidRDefault="00B664AF">
                <w:pPr>
                  <w:jc w:val="right"/>
                  <w:rPr>
                    <w:szCs w:val="21"/>
                  </w:rPr>
                </w:pPr>
              </w:p>
            </w:tc>
            <w:tc>
              <w:tcPr>
                <w:tcW w:w="932" w:type="pct"/>
                <w:tcBorders>
                  <w:top w:val="single" w:sz="6" w:space="0" w:color="auto"/>
                  <w:left w:val="single" w:sz="6" w:space="0" w:color="auto"/>
                  <w:bottom w:val="single" w:sz="6" w:space="0" w:color="auto"/>
                  <w:right w:val="single" w:sz="6" w:space="0" w:color="auto"/>
                </w:tcBorders>
              </w:tcPr>
              <w:p w14:paraId="75980CD5" w14:textId="77777777" w:rsidR="00471D53" w:rsidRDefault="00B664AF">
                <w:pPr>
                  <w:jc w:val="right"/>
                  <w:rPr>
                    <w:szCs w:val="21"/>
                  </w:rPr>
                </w:pPr>
              </w:p>
            </w:tc>
            <w:tc>
              <w:tcPr>
                <w:tcW w:w="792" w:type="pct"/>
                <w:tcBorders>
                  <w:top w:val="single" w:sz="6" w:space="0" w:color="auto"/>
                  <w:left w:val="single" w:sz="6" w:space="0" w:color="auto"/>
                  <w:bottom w:val="single" w:sz="6" w:space="0" w:color="auto"/>
                  <w:right w:val="single" w:sz="6" w:space="0" w:color="auto"/>
                </w:tcBorders>
              </w:tcPr>
              <w:p w14:paraId="6531397E" w14:textId="77777777" w:rsidR="00471D53" w:rsidRDefault="00B664AF">
                <w:pPr>
                  <w:jc w:val="right"/>
                  <w:rPr>
                    <w:szCs w:val="21"/>
                  </w:rPr>
                </w:pPr>
              </w:p>
            </w:tc>
          </w:tr>
          <w:tr w:rsidR="00471D53" w14:paraId="02EEF40D" w14:textId="77777777" w:rsidTr="00471D53">
            <w:sdt>
              <w:sdtPr>
                <w:tag w:val="_PLD_46271de88b51495b853f579968062473"/>
                <w:id w:val="809745603"/>
                <w:lock w:val="sdtLocked"/>
              </w:sdtPr>
              <w:sdtEndPr/>
              <w:sdtContent>
                <w:tc>
                  <w:tcPr>
                    <w:tcW w:w="1564" w:type="pct"/>
                    <w:tcBorders>
                      <w:top w:val="single" w:sz="6" w:space="0" w:color="auto"/>
                      <w:left w:val="single" w:sz="4" w:space="0" w:color="auto"/>
                      <w:bottom w:val="single" w:sz="6" w:space="0" w:color="auto"/>
                      <w:right w:val="single" w:sz="6" w:space="0" w:color="auto"/>
                    </w:tcBorders>
                    <w:shd w:val="clear" w:color="auto" w:fill="auto"/>
                    <w:vAlign w:val="bottom"/>
                  </w:tcPr>
                  <w:p w14:paraId="00D6DE4B" w14:textId="77777777" w:rsidR="00471D53" w:rsidRDefault="004F686E">
                    <w:pPr>
                      <w:rPr>
                        <w:rFonts w:cs="Arial"/>
                        <w:color w:val="000000"/>
                        <w:szCs w:val="21"/>
                      </w:rPr>
                    </w:pPr>
                    <w:r>
                      <w:rPr>
                        <w:rFonts w:cs="Arial" w:hint="eastAsia"/>
                        <w:color w:val="000000"/>
                        <w:szCs w:val="21"/>
                        <w:lang w:val="en-GB"/>
                      </w:rPr>
                      <w:t>综合收益总额</w:t>
                    </w:r>
                  </w:p>
                </w:tc>
              </w:sdtContent>
            </w:sdt>
            <w:tc>
              <w:tcPr>
                <w:tcW w:w="932" w:type="pct"/>
                <w:tcBorders>
                  <w:left w:val="single" w:sz="6" w:space="0" w:color="auto"/>
                  <w:right w:val="single" w:sz="6" w:space="0" w:color="auto"/>
                </w:tcBorders>
                <w:shd w:val="clear" w:color="auto" w:fill="auto"/>
              </w:tcPr>
              <w:p w14:paraId="145A665F" w14:textId="77777777" w:rsidR="00471D53" w:rsidRDefault="00B664AF">
                <w:pPr>
                  <w:jc w:val="right"/>
                  <w:rPr>
                    <w:szCs w:val="21"/>
                  </w:rPr>
                </w:pPr>
              </w:p>
            </w:tc>
            <w:tc>
              <w:tcPr>
                <w:tcW w:w="780" w:type="pct"/>
                <w:tcBorders>
                  <w:left w:val="single" w:sz="6" w:space="0" w:color="auto"/>
                  <w:right w:val="single" w:sz="6" w:space="0" w:color="auto"/>
                </w:tcBorders>
                <w:shd w:val="clear" w:color="auto" w:fill="auto"/>
              </w:tcPr>
              <w:p w14:paraId="6B1607E0" w14:textId="77777777" w:rsidR="00471D53" w:rsidRDefault="004F686E">
                <w:pPr>
                  <w:jc w:val="right"/>
                  <w:rPr>
                    <w:szCs w:val="21"/>
                  </w:rPr>
                </w:pPr>
                <w:r w:rsidRPr="00C8317A">
                  <w:rPr>
                    <w:szCs w:val="21"/>
                  </w:rPr>
                  <w:t>3,612,789.22</w:t>
                </w:r>
              </w:p>
            </w:tc>
            <w:tc>
              <w:tcPr>
                <w:tcW w:w="932" w:type="pct"/>
                <w:tcBorders>
                  <w:top w:val="single" w:sz="6" w:space="0" w:color="auto"/>
                  <w:left w:val="single" w:sz="6" w:space="0" w:color="auto"/>
                  <w:bottom w:val="single" w:sz="6" w:space="0" w:color="auto"/>
                  <w:right w:val="single" w:sz="6" w:space="0" w:color="auto"/>
                </w:tcBorders>
              </w:tcPr>
              <w:p w14:paraId="47391383" w14:textId="77777777" w:rsidR="00471D53" w:rsidRDefault="00B664AF">
                <w:pPr>
                  <w:jc w:val="right"/>
                  <w:rPr>
                    <w:szCs w:val="21"/>
                  </w:rPr>
                </w:pPr>
              </w:p>
            </w:tc>
            <w:tc>
              <w:tcPr>
                <w:tcW w:w="792" w:type="pct"/>
                <w:tcBorders>
                  <w:top w:val="single" w:sz="6" w:space="0" w:color="auto"/>
                  <w:left w:val="single" w:sz="6" w:space="0" w:color="auto"/>
                  <w:bottom w:val="single" w:sz="6" w:space="0" w:color="auto"/>
                  <w:right w:val="single" w:sz="6" w:space="0" w:color="auto"/>
                </w:tcBorders>
              </w:tcPr>
              <w:p w14:paraId="73AE5B3C" w14:textId="77777777" w:rsidR="00471D53" w:rsidRDefault="004F686E">
                <w:pPr>
                  <w:jc w:val="right"/>
                  <w:rPr>
                    <w:szCs w:val="21"/>
                  </w:rPr>
                </w:pPr>
                <w:r w:rsidRPr="00714CF7">
                  <w:rPr>
                    <w:szCs w:val="21"/>
                  </w:rPr>
                  <w:t>2,229,924.17</w:t>
                </w:r>
              </w:p>
            </w:tc>
          </w:tr>
          <w:tr w:rsidR="00471D53" w14:paraId="5C10EDBE" w14:textId="77777777" w:rsidTr="00471D53">
            <w:tc>
              <w:tcPr>
                <w:tcW w:w="1564" w:type="pct"/>
                <w:tcBorders>
                  <w:top w:val="single" w:sz="6" w:space="0" w:color="auto"/>
                  <w:left w:val="single" w:sz="4" w:space="0" w:color="auto"/>
                  <w:bottom w:val="single" w:sz="4" w:space="0" w:color="auto"/>
                  <w:right w:val="single" w:sz="6" w:space="0" w:color="auto"/>
                </w:tcBorders>
                <w:shd w:val="clear" w:color="auto" w:fill="auto"/>
                <w:vAlign w:val="bottom"/>
              </w:tcPr>
              <w:p w14:paraId="241555E4" w14:textId="77777777" w:rsidR="00471D53" w:rsidRDefault="00B664AF">
                <w:pPr>
                  <w:rPr>
                    <w:rFonts w:cs="Arial"/>
                    <w:color w:val="000000"/>
                    <w:szCs w:val="21"/>
                    <w:lang w:val="en-GB"/>
                  </w:rPr>
                </w:pPr>
              </w:p>
            </w:tc>
            <w:tc>
              <w:tcPr>
                <w:tcW w:w="932" w:type="pct"/>
                <w:tcBorders>
                  <w:left w:val="single" w:sz="6" w:space="0" w:color="auto"/>
                  <w:bottom w:val="single" w:sz="4" w:space="0" w:color="auto"/>
                  <w:right w:val="single" w:sz="6" w:space="0" w:color="auto"/>
                </w:tcBorders>
                <w:shd w:val="clear" w:color="auto" w:fill="auto"/>
              </w:tcPr>
              <w:p w14:paraId="618CC406" w14:textId="77777777" w:rsidR="00471D53" w:rsidRDefault="00B664AF">
                <w:pPr>
                  <w:jc w:val="right"/>
                  <w:rPr>
                    <w:szCs w:val="21"/>
                  </w:rPr>
                </w:pPr>
              </w:p>
            </w:tc>
            <w:tc>
              <w:tcPr>
                <w:tcW w:w="780" w:type="pct"/>
                <w:tcBorders>
                  <w:left w:val="single" w:sz="6" w:space="0" w:color="auto"/>
                  <w:bottom w:val="single" w:sz="4" w:space="0" w:color="auto"/>
                  <w:right w:val="single" w:sz="6" w:space="0" w:color="auto"/>
                </w:tcBorders>
                <w:shd w:val="clear" w:color="auto" w:fill="auto"/>
              </w:tcPr>
              <w:p w14:paraId="704913DC" w14:textId="77777777" w:rsidR="00471D53" w:rsidRDefault="00B664AF">
                <w:pPr>
                  <w:jc w:val="right"/>
                  <w:rPr>
                    <w:szCs w:val="21"/>
                  </w:rPr>
                </w:pPr>
              </w:p>
            </w:tc>
            <w:tc>
              <w:tcPr>
                <w:tcW w:w="932" w:type="pct"/>
                <w:tcBorders>
                  <w:top w:val="single" w:sz="6" w:space="0" w:color="auto"/>
                  <w:left w:val="single" w:sz="6" w:space="0" w:color="auto"/>
                  <w:bottom w:val="single" w:sz="4" w:space="0" w:color="auto"/>
                  <w:right w:val="single" w:sz="6" w:space="0" w:color="auto"/>
                </w:tcBorders>
              </w:tcPr>
              <w:p w14:paraId="3E8BDE86" w14:textId="77777777" w:rsidR="00471D53" w:rsidRDefault="00B664AF">
                <w:pPr>
                  <w:jc w:val="right"/>
                  <w:rPr>
                    <w:szCs w:val="21"/>
                  </w:rPr>
                </w:pPr>
              </w:p>
            </w:tc>
            <w:tc>
              <w:tcPr>
                <w:tcW w:w="792" w:type="pct"/>
                <w:tcBorders>
                  <w:top w:val="single" w:sz="6" w:space="0" w:color="auto"/>
                  <w:left w:val="single" w:sz="6" w:space="0" w:color="auto"/>
                  <w:bottom w:val="single" w:sz="4" w:space="0" w:color="auto"/>
                  <w:right w:val="single" w:sz="6" w:space="0" w:color="auto"/>
                </w:tcBorders>
              </w:tcPr>
              <w:p w14:paraId="16E4A169" w14:textId="77777777" w:rsidR="00471D53" w:rsidRDefault="00B664AF">
                <w:pPr>
                  <w:jc w:val="right"/>
                  <w:rPr>
                    <w:szCs w:val="21"/>
                  </w:rPr>
                </w:pPr>
              </w:p>
            </w:tc>
          </w:tr>
          <w:tr w:rsidR="00471D53" w14:paraId="0E0E3364" w14:textId="77777777" w:rsidTr="00471D53">
            <w:sdt>
              <w:sdtPr>
                <w:tag w:val="_PLD_45708a7f3d4a4100b1e84bcc428b4104"/>
                <w:id w:val="-529878486"/>
                <w:lock w:val="sdtLocked"/>
              </w:sdtPr>
              <w:sdtEndPr/>
              <w:sdtContent>
                <w:tc>
                  <w:tcPr>
                    <w:tcW w:w="1564" w:type="pct"/>
                    <w:tcBorders>
                      <w:top w:val="single" w:sz="6" w:space="0" w:color="auto"/>
                      <w:left w:val="single" w:sz="4" w:space="0" w:color="auto"/>
                      <w:bottom w:val="single" w:sz="4" w:space="0" w:color="auto"/>
                      <w:right w:val="single" w:sz="6" w:space="0" w:color="auto"/>
                    </w:tcBorders>
                    <w:shd w:val="clear" w:color="auto" w:fill="auto"/>
                    <w:vAlign w:val="bottom"/>
                  </w:tcPr>
                  <w:p w14:paraId="107D7F7F" w14:textId="77777777" w:rsidR="00471D53" w:rsidRDefault="004F686E">
                    <w:pPr>
                      <w:rPr>
                        <w:rFonts w:cs="Arial"/>
                        <w:color w:val="000000"/>
                        <w:szCs w:val="21"/>
                      </w:rPr>
                    </w:pPr>
                    <w:r>
                      <w:rPr>
                        <w:rFonts w:cs="Arial" w:hint="eastAsia"/>
                        <w:color w:val="000000"/>
                        <w:szCs w:val="21"/>
                        <w:lang w:val="en-GB"/>
                      </w:rPr>
                      <w:t>本年度收到的来自联营企业的股利</w:t>
                    </w:r>
                  </w:p>
                </w:tc>
              </w:sdtContent>
            </w:sdt>
            <w:tc>
              <w:tcPr>
                <w:tcW w:w="932" w:type="pct"/>
                <w:tcBorders>
                  <w:left w:val="single" w:sz="6" w:space="0" w:color="auto"/>
                  <w:bottom w:val="single" w:sz="4" w:space="0" w:color="auto"/>
                  <w:right w:val="single" w:sz="6" w:space="0" w:color="auto"/>
                </w:tcBorders>
                <w:shd w:val="clear" w:color="auto" w:fill="auto"/>
              </w:tcPr>
              <w:p w14:paraId="4826140B" w14:textId="77777777" w:rsidR="00471D53" w:rsidRDefault="00B664AF">
                <w:pPr>
                  <w:jc w:val="right"/>
                  <w:rPr>
                    <w:szCs w:val="21"/>
                  </w:rPr>
                </w:pPr>
              </w:p>
            </w:tc>
            <w:tc>
              <w:tcPr>
                <w:tcW w:w="780" w:type="pct"/>
                <w:tcBorders>
                  <w:left w:val="single" w:sz="6" w:space="0" w:color="auto"/>
                  <w:bottom w:val="single" w:sz="4" w:space="0" w:color="auto"/>
                  <w:right w:val="single" w:sz="6" w:space="0" w:color="auto"/>
                </w:tcBorders>
                <w:shd w:val="clear" w:color="auto" w:fill="auto"/>
              </w:tcPr>
              <w:p w14:paraId="77DBB3CC" w14:textId="77777777" w:rsidR="00471D53" w:rsidRDefault="00B664AF">
                <w:pPr>
                  <w:jc w:val="right"/>
                  <w:rPr>
                    <w:szCs w:val="21"/>
                  </w:rPr>
                </w:pPr>
              </w:p>
            </w:tc>
            <w:tc>
              <w:tcPr>
                <w:tcW w:w="932" w:type="pct"/>
                <w:tcBorders>
                  <w:top w:val="single" w:sz="6" w:space="0" w:color="auto"/>
                  <w:left w:val="single" w:sz="6" w:space="0" w:color="auto"/>
                  <w:bottom w:val="single" w:sz="4" w:space="0" w:color="auto"/>
                  <w:right w:val="single" w:sz="6" w:space="0" w:color="auto"/>
                </w:tcBorders>
              </w:tcPr>
              <w:p w14:paraId="428D9617" w14:textId="77777777" w:rsidR="00471D53" w:rsidRDefault="00B664AF">
                <w:pPr>
                  <w:jc w:val="right"/>
                  <w:rPr>
                    <w:szCs w:val="21"/>
                  </w:rPr>
                </w:pPr>
              </w:p>
            </w:tc>
            <w:tc>
              <w:tcPr>
                <w:tcW w:w="792" w:type="pct"/>
                <w:tcBorders>
                  <w:top w:val="single" w:sz="6" w:space="0" w:color="auto"/>
                  <w:left w:val="single" w:sz="6" w:space="0" w:color="auto"/>
                  <w:bottom w:val="single" w:sz="4" w:space="0" w:color="auto"/>
                  <w:right w:val="single" w:sz="6" w:space="0" w:color="auto"/>
                </w:tcBorders>
              </w:tcPr>
              <w:p w14:paraId="4CC3C94B" w14:textId="77777777" w:rsidR="00471D53" w:rsidRDefault="00B664AF">
                <w:pPr>
                  <w:jc w:val="right"/>
                  <w:rPr>
                    <w:szCs w:val="21"/>
                  </w:rPr>
                </w:pPr>
              </w:p>
            </w:tc>
          </w:tr>
        </w:tbl>
        <w:p w14:paraId="51D64171" w14:textId="77777777" w:rsidR="00471D53" w:rsidRDefault="00B664AF">
          <w:pPr>
            <w:rPr>
              <w:rFonts w:cstheme="minorBidi"/>
              <w:szCs w:val="21"/>
            </w:rPr>
          </w:pPr>
        </w:p>
      </w:sdtContent>
    </w:sdt>
    <w:p w14:paraId="724BBA6A" w14:textId="77777777" w:rsidR="00471D53" w:rsidRDefault="00B664AF">
      <w:pPr>
        <w:rPr>
          <w:rFonts w:cs="Arial"/>
          <w:szCs w:val="21"/>
        </w:rPr>
      </w:pPr>
    </w:p>
    <w:sdt>
      <w:sdtPr>
        <w:rPr>
          <w:rFonts w:cs="Arial"/>
          <w:szCs w:val="21"/>
        </w:rPr>
        <w:alias w:val="模块:重要联营企业的主要财务信息其他说明的方法"/>
        <w:tag w:val="_SEC_3191928276884aa0be18ac148aa436b7"/>
        <w:id w:val="1778527613"/>
        <w:lock w:val="sdtLocked"/>
        <w:placeholder>
          <w:docPart w:val="GBC22222222222222222222222222222"/>
        </w:placeholder>
      </w:sdtPr>
      <w:sdtEndPr/>
      <w:sdtContent>
        <w:p w14:paraId="5E3B6546" w14:textId="77777777" w:rsidR="00471D53" w:rsidRDefault="004F686E">
          <w:pPr>
            <w:rPr>
              <w:rFonts w:cs="Arial"/>
              <w:szCs w:val="21"/>
            </w:rPr>
          </w:pPr>
          <w:r>
            <w:rPr>
              <w:rFonts w:cs="Arial" w:hint="eastAsia"/>
              <w:szCs w:val="21"/>
            </w:rPr>
            <w:t>其他说明</w:t>
          </w:r>
        </w:p>
        <w:sdt>
          <w:sdtPr>
            <w:rPr>
              <w:rFonts w:cs="Arial" w:hint="eastAsia"/>
              <w:szCs w:val="21"/>
            </w:rPr>
            <w:alias w:val="重要联营企业的主要财务信息其他说明的方法"/>
            <w:tag w:val="_GBC_49602fee37fb4c848eee594868d16caa"/>
            <w:id w:val="-1652978273"/>
            <w:lock w:val="sdtLocked"/>
            <w:placeholder>
              <w:docPart w:val="GBC22222222222222222222222222222"/>
            </w:placeholder>
          </w:sdtPr>
          <w:sdtEndPr/>
          <w:sdtContent>
            <w:p w14:paraId="27A91682" w14:textId="77777777" w:rsidR="00471D53" w:rsidRDefault="004F686E" w:rsidP="00471D53">
              <w:pPr>
                <w:spacing w:beforeLines="50" w:before="120" w:afterLines="50" w:after="120" w:line="360" w:lineRule="exact"/>
                <w:ind w:firstLineChars="200" w:firstLine="420"/>
                <w:jc w:val="both"/>
                <w:rPr>
                  <w:sz w:val="22"/>
                  <w:szCs w:val="22"/>
                </w:rPr>
              </w:pPr>
              <w:r>
                <w:rPr>
                  <w:sz w:val="22"/>
                  <w:szCs w:val="22"/>
                </w:rPr>
                <w:t>江苏天海</w:t>
              </w:r>
              <w:r>
                <w:rPr>
                  <w:rFonts w:hint="eastAsia"/>
                  <w:sz w:val="22"/>
                  <w:szCs w:val="22"/>
                </w:rPr>
                <w:t>成立于2015年4月27日。注册资本8</w:t>
              </w:r>
              <w:r>
                <w:rPr>
                  <w:sz w:val="22"/>
                  <w:szCs w:val="22"/>
                </w:rPr>
                <w:t>,</w:t>
              </w:r>
              <w:r>
                <w:rPr>
                  <w:rFonts w:hint="eastAsia"/>
                  <w:sz w:val="22"/>
                  <w:szCs w:val="22"/>
                </w:rPr>
                <w:t>000万元人民币，由北京天海与南京毕博工贸实业有限公司（以下简称南京毕博）合资设立，其中北京天海出资2</w:t>
              </w:r>
              <w:r>
                <w:rPr>
                  <w:sz w:val="22"/>
                  <w:szCs w:val="22"/>
                </w:rPr>
                <w:t>,</w:t>
              </w:r>
              <w:r>
                <w:rPr>
                  <w:rFonts w:hint="eastAsia"/>
                  <w:sz w:val="22"/>
                  <w:szCs w:val="22"/>
                </w:rPr>
                <w:t>800万元，持有其35%股权。</w:t>
              </w:r>
            </w:p>
            <w:p w14:paraId="1CD1382B"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北京天海以价值985.58万元的焊接瓶和乙炔瓶设备投资（以北京方信资产评估有限公司方评报字第2015011号《北京天海工业有限公司机器设备投资项目资产评估报告书》设备评估值985.58万元为参考）及作价1</w:t>
              </w:r>
              <w:r>
                <w:rPr>
                  <w:sz w:val="22"/>
                  <w:szCs w:val="22"/>
                </w:rPr>
                <w:t>,</w:t>
              </w:r>
              <w:r>
                <w:rPr>
                  <w:rFonts w:hint="eastAsia"/>
                  <w:sz w:val="22"/>
                  <w:szCs w:val="22"/>
                </w:rPr>
                <w:t>814.42万元的焊接瓶和乙炔瓶专利、专有技术使用权（以北京方信资产评估有限公司方评报字第2015010号《北京天海工业有限公司对外投资无形资</w:t>
              </w:r>
              <w:r>
                <w:rPr>
                  <w:rFonts w:hint="eastAsia"/>
                  <w:sz w:val="22"/>
                  <w:szCs w:val="22"/>
                </w:rPr>
                <w:lastRenderedPageBreak/>
                <w:t>产项目资产评估报告书》为参考）共计2</w:t>
              </w:r>
              <w:r>
                <w:rPr>
                  <w:sz w:val="22"/>
                  <w:szCs w:val="22"/>
                </w:rPr>
                <w:t>,</w:t>
              </w:r>
              <w:r>
                <w:rPr>
                  <w:rFonts w:hint="eastAsia"/>
                  <w:sz w:val="22"/>
                  <w:szCs w:val="22"/>
                </w:rPr>
                <w:t>800万元出资，占股35%，南京毕博以现金5</w:t>
              </w:r>
              <w:r>
                <w:rPr>
                  <w:sz w:val="22"/>
                  <w:szCs w:val="22"/>
                </w:rPr>
                <w:t>,</w:t>
              </w:r>
              <w:r>
                <w:rPr>
                  <w:rFonts w:hint="eastAsia"/>
                  <w:sz w:val="22"/>
                  <w:szCs w:val="22"/>
                </w:rPr>
                <w:t>200万元出资，占股65%。</w:t>
              </w:r>
            </w:p>
            <w:p w14:paraId="21649347"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江苏天海董事会由5名董事组成，其中：北京天海提名2名，南京毕博提名3名；江苏天海不设监事会，设2名监事，其中：北京天海和南京毕博各提名1名；江苏天海设总经理1名，由南京毕博提名；行政和人事负责人1名，由南京毕博提名；财务负责人1名，由北京天海提名；技术及质量负责人1名，由北京天海提名。江苏天海的日常管理主要由南京毕博派出的人员负责，达到对江苏天海施加重大影响，采用权益法核算。</w:t>
              </w:r>
            </w:p>
            <w:p w14:paraId="2A72D37A" w14:textId="77777777" w:rsidR="00471D53" w:rsidRDefault="00B664AF">
              <w:pPr>
                <w:rPr>
                  <w:rFonts w:cs="Arial"/>
                  <w:szCs w:val="21"/>
                </w:rPr>
              </w:pPr>
            </w:p>
          </w:sdtContent>
        </w:sdt>
        <w:p w14:paraId="034C8456" w14:textId="77777777" w:rsidR="00471D53" w:rsidRDefault="00B664AF">
          <w:pPr>
            <w:rPr>
              <w:rFonts w:cs="Arial"/>
              <w:szCs w:val="21"/>
            </w:rPr>
          </w:pPr>
        </w:p>
      </w:sdtContent>
    </w:sdt>
    <w:sdt>
      <w:sdtPr>
        <w:rPr>
          <w:rFonts w:ascii="宋体" w:hAnsi="宋体" w:cs="Arial" w:hint="eastAsia"/>
          <w:b w:val="0"/>
          <w:bCs w:val="0"/>
          <w:kern w:val="0"/>
          <w:szCs w:val="21"/>
        </w:rPr>
        <w:alias w:val="模块:不重要的合营企业和联营企业的汇总财务信息"/>
        <w:tag w:val="_GBC_7592afe8201c4b36a34fa177ca124037"/>
        <w:id w:val="-224063628"/>
        <w:lock w:val="sdtLocked"/>
        <w:placeholder>
          <w:docPart w:val="GBC22222222222222222222222222222"/>
        </w:placeholder>
      </w:sdtPr>
      <w:sdtEndPr>
        <w:rPr>
          <w:rFonts w:hint="default"/>
        </w:rPr>
      </w:sdtEndPr>
      <w:sdtContent>
        <w:p w14:paraId="71692FB2" w14:textId="77777777" w:rsidR="00471D53" w:rsidRDefault="004F686E" w:rsidP="004F686E">
          <w:pPr>
            <w:pStyle w:val="afffff8"/>
            <w:numPr>
              <w:ilvl w:val="3"/>
              <w:numId w:val="96"/>
            </w:numPr>
            <w:tabs>
              <w:tab w:val="left" w:pos="630"/>
            </w:tabs>
            <w:rPr>
              <w:rFonts w:ascii="宋体" w:hAnsi="宋体" w:cs="Arial"/>
              <w:szCs w:val="21"/>
            </w:rPr>
          </w:pPr>
          <w:r>
            <w:rPr>
              <w:rFonts w:ascii="宋体" w:hAnsi="宋体" w:cs="Arial" w:hint="eastAsia"/>
              <w:szCs w:val="21"/>
            </w:rPr>
            <w:t>不重要的合营企业和联营企业的汇总财务信息</w:t>
          </w:r>
        </w:p>
        <w:sdt>
          <w:sdtPr>
            <w:alias w:val="是否适用：不重要的合营企业和联营企业的汇总财务信息[双击切换]"/>
            <w:tag w:val="_GBC_eb809f81680b42f794ba04df499e52dc"/>
            <w:id w:val="1377054545"/>
            <w:lock w:val="sdtLocked"/>
            <w:placeholder>
              <w:docPart w:val="GBC22222222222222222222222222222"/>
            </w:placeholder>
          </w:sdtPr>
          <w:sdtEndPr/>
          <w:sdtContent>
            <w:p w14:paraId="6B57B599"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17C32D0" w14:textId="2A20F796" w:rsidR="00471D53" w:rsidRDefault="004F686E">
          <w:pPr>
            <w:jc w:val="right"/>
          </w:pPr>
          <w:r>
            <w:rPr>
              <w:rFonts w:hint="eastAsia"/>
            </w:rPr>
            <w:t>单位：</w:t>
          </w:r>
          <w:sdt>
            <w:sdtPr>
              <w:rPr>
                <w:rFonts w:hint="eastAsia"/>
              </w:rPr>
              <w:alias w:val="单位：财务附注：不重要的合营企业和联营企业的汇总财务信息"/>
              <w:tag w:val="_GBC_d02efd9c85904b029b5a51b02d9519e8"/>
              <w:id w:val="202382099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不重要的合营企业和联营企业的汇总财务信息"/>
              <w:tag w:val="_GBC_a6fa35df627e4d9584fb9c311eb6a4b5"/>
              <w:id w:val="-15799802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830"/>
            <w:gridCol w:w="2995"/>
            <w:gridCol w:w="2998"/>
          </w:tblGrid>
          <w:tr w:rsidR="00471D53" w14:paraId="02827179" w14:textId="77777777" w:rsidTr="00A77D13">
            <w:trPr>
              <w:trHeight w:val="241"/>
              <w:jc w:val="center"/>
            </w:trPr>
            <w:tc>
              <w:tcPr>
                <w:tcW w:w="1604" w:type="pct"/>
                <w:tcBorders>
                  <w:top w:val="single" w:sz="4" w:space="0" w:color="auto"/>
                  <w:left w:val="single" w:sz="4" w:space="0" w:color="auto"/>
                  <w:bottom w:val="single" w:sz="6" w:space="0" w:color="auto"/>
                  <w:right w:val="single" w:sz="6" w:space="0" w:color="auto"/>
                </w:tcBorders>
                <w:shd w:val="clear" w:color="auto" w:fill="auto"/>
              </w:tcPr>
              <w:p w14:paraId="17C8DEBE" w14:textId="77777777" w:rsidR="00471D53" w:rsidRDefault="00B664AF">
                <w:pPr>
                  <w:jc w:val="center"/>
                  <w:rPr>
                    <w:rFonts w:cs="Arial"/>
                    <w:szCs w:val="21"/>
                  </w:rPr>
                </w:pPr>
              </w:p>
            </w:tc>
            <w:sdt>
              <w:sdtPr>
                <w:tag w:val="_PLD_7dc69fc7f68243e6b4f46db3a94dd47f"/>
                <w:id w:val="-1507596377"/>
                <w:lock w:val="sdtLocked"/>
              </w:sdtPr>
              <w:sdtEndPr/>
              <w:sdtContent>
                <w:tc>
                  <w:tcPr>
                    <w:tcW w:w="1697" w:type="pct"/>
                    <w:tcBorders>
                      <w:top w:val="single" w:sz="4" w:space="0" w:color="auto"/>
                      <w:left w:val="single" w:sz="6" w:space="0" w:color="auto"/>
                      <w:bottom w:val="single" w:sz="6" w:space="0" w:color="auto"/>
                      <w:right w:val="single" w:sz="6" w:space="0" w:color="auto"/>
                    </w:tcBorders>
                    <w:shd w:val="clear" w:color="auto" w:fill="auto"/>
                  </w:tcPr>
                  <w:p w14:paraId="1015DF77" w14:textId="4DC6F1F5" w:rsidR="00471D53" w:rsidRDefault="004F686E">
                    <w:pPr>
                      <w:jc w:val="center"/>
                      <w:rPr>
                        <w:rFonts w:cs="Arial"/>
                        <w:szCs w:val="21"/>
                      </w:rPr>
                    </w:pPr>
                    <w:r>
                      <w:rPr>
                        <w:rFonts w:cs="Arial" w:hint="eastAsia"/>
                        <w:szCs w:val="21"/>
                        <w:lang w:val="en-GB"/>
                      </w:rPr>
                      <w:t>期末余额</w:t>
                    </w:r>
                    <w:r>
                      <w:rPr>
                        <w:rFonts w:cs="Arial"/>
                        <w:szCs w:val="21"/>
                      </w:rPr>
                      <w:t>/</w:t>
                    </w:r>
                    <w:r>
                      <w:rPr>
                        <w:rFonts w:cs="Arial" w:hint="eastAsia"/>
                        <w:szCs w:val="21"/>
                        <w:lang w:val="en-GB"/>
                      </w:rPr>
                      <w:t>本期发生额</w:t>
                    </w:r>
                  </w:p>
                </w:tc>
              </w:sdtContent>
            </w:sdt>
            <w:sdt>
              <w:sdtPr>
                <w:tag w:val="_PLD_ffe9f9922ada461388adfb92ed1e3072"/>
                <w:id w:val="1699895797"/>
                <w:lock w:val="sdtLocked"/>
              </w:sdtPr>
              <w:sdtEndPr/>
              <w:sdtContent>
                <w:tc>
                  <w:tcPr>
                    <w:tcW w:w="1699" w:type="pct"/>
                    <w:tcBorders>
                      <w:top w:val="single" w:sz="4" w:space="0" w:color="auto"/>
                      <w:left w:val="single" w:sz="6" w:space="0" w:color="auto"/>
                      <w:bottom w:val="single" w:sz="6" w:space="0" w:color="auto"/>
                      <w:right w:val="single" w:sz="4" w:space="0" w:color="auto"/>
                    </w:tcBorders>
                    <w:shd w:val="clear" w:color="auto" w:fill="auto"/>
                  </w:tcPr>
                  <w:p w14:paraId="6D208B2D" w14:textId="643D343F" w:rsidR="00471D53" w:rsidRDefault="004F686E">
                    <w:pPr>
                      <w:jc w:val="center"/>
                      <w:rPr>
                        <w:rFonts w:cs="Arial"/>
                        <w:szCs w:val="21"/>
                      </w:rPr>
                    </w:pPr>
                    <w:r>
                      <w:rPr>
                        <w:rFonts w:cs="Arial" w:hint="eastAsia"/>
                        <w:szCs w:val="21"/>
                        <w:lang w:val="en-GB"/>
                      </w:rPr>
                      <w:t>期初余额</w:t>
                    </w:r>
                    <w:r>
                      <w:rPr>
                        <w:rFonts w:cs="Arial"/>
                        <w:szCs w:val="21"/>
                      </w:rPr>
                      <w:t>/</w:t>
                    </w:r>
                    <w:r>
                      <w:rPr>
                        <w:rFonts w:cs="Arial" w:hint="eastAsia"/>
                        <w:szCs w:val="21"/>
                        <w:lang w:val="en-GB"/>
                      </w:rPr>
                      <w:t>上期发生额</w:t>
                    </w:r>
                  </w:p>
                </w:tc>
              </w:sdtContent>
            </w:sdt>
          </w:tr>
          <w:tr w:rsidR="00471D53" w14:paraId="298BBFB3" w14:textId="77777777" w:rsidTr="00AD7A3A">
            <w:trPr>
              <w:jc w:val="center"/>
            </w:trPr>
            <w:sdt>
              <w:sdtPr>
                <w:tag w:val="_PLD_01c0860c93244a3f94a1c91bec25150e"/>
                <w:id w:val="1669218835"/>
                <w:lock w:val="sdtLocked"/>
              </w:sdtPr>
              <w:sdtEndPr/>
              <w:sdtContent>
                <w:tc>
                  <w:tcPr>
                    <w:tcW w:w="5000" w:type="pct"/>
                    <w:gridSpan w:val="3"/>
                    <w:tcBorders>
                      <w:top w:val="single" w:sz="6" w:space="0" w:color="auto"/>
                      <w:left w:val="single" w:sz="4" w:space="0" w:color="auto"/>
                      <w:bottom w:val="single" w:sz="6" w:space="0" w:color="auto"/>
                      <w:right w:val="single" w:sz="4" w:space="0" w:color="auto"/>
                    </w:tcBorders>
                    <w:shd w:val="clear" w:color="auto" w:fill="auto"/>
                  </w:tcPr>
                  <w:p w14:paraId="6147CD9A" w14:textId="77777777" w:rsidR="00471D53" w:rsidRDefault="004F686E">
                    <w:pPr>
                      <w:rPr>
                        <w:szCs w:val="21"/>
                      </w:rPr>
                    </w:pPr>
                    <w:r>
                      <w:rPr>
                        <w:rFonts w:cs="Arial" w:hint="eastAsia"/>
                        <w:szCs w:val="21"/>
                        <w:lang w:val="en-GB"/>
                      </w:rPr>
                      <w:t>合营企业：</w:t>
                    </w:r>
                  </w:p>
                </w:tc>
              </w:sdtContent>
            </w:sdt>
          </w:tr>
          <w:tr w:rsidR="00471D53" w14:paraId="381D300C" w14:textId="77777777" w:rsidTr="00A77D13">
            <w:trPr>
              <w:jc w:val="center"/>
            </w:trPr>
            <w:sdt>
              <w:sdtPr>
                <w:tag w:val="_PLD_01912ad1144f412393cdaeb8d4f1f35b"/>
                <w:id w:val="852690773"/>
                <w:lock w:val="sdtLocked"/>
              </w:sdtPr>
              <w:sdtEndPr/>
              <w:sdtContent>
                <w:tc>
                  <w:tcPr>
                    <w:tcW w:w="1604" w:type="pct"/>
                    <w:tcBorders>
                      <w:top w:val="single" w:sz="6" w:space="0" w:color="auto"/>
                      <w:left w:val="single" w:sz="4" w:space="0" w:color="auto"/>
                      <w:bottom w:val="single" w:sz="6" w:space="0" w:color="auto"/>
                      <w:right w:val="single" w:sz="6" w:space="0" w:color="auto"/>
                    </w:tcBorders>
                    <w:shd w:val="clear" w:color="auto" w:fill="auto"/>
                    <w:vAlign w:val="center"/>
                  </w:tcPr>
                  <w:p w14:paraId="7145F02B" w14:textId="77777777" w:rsidR="00471D53" w:rsidRDefault="004F686E">
                    <w:pPr>
                      <w:rPr>
                        <w:rFonts w:cs="Arial"/>
                        <w:color w:val="000000"/>
                        <w:szCs w:val="21"/>
                      </w:rPr>
                    </w:pPr>
                    <w:r>
                      <w:rPr>
                        <w:rFonts w:cs="Arial" w:hint="eastAsia"/>
                        <w:color w:val="000000"/>
                        <w:szCs w:val="21"/>
                        <w:lang w:val="en-GB"/>
                      </w:rPr>
                      <w:t>投资账面价值合计</w:t>
                    </w:r>
                  </w:p>
                </w:tc>
              </w:sdtContent>
            </w:sdt>
            <w:tc>
              <w:tcPr>
                <w:tcW w:w="1697" w:type="pct"/>
                <w:tcBorders>
                  <w:top w:val="single" w:sz="6" w:space="0" w:color="auto"/>
                  <w:left w:val="single" w:sz="6" w:space="0" w:color="auto"/>
                  <w:bottom w:val="single" w:sz="6" w:space="0" w:color="auto"/>
                  <w:right w:val="single" w:sz="6" w:space="0" w:color="auto"/>
                </w:tcBorders>
              </w:tcPr>
              <w:p w14:paraId="51D55509" w14:textId="77777777" w:rsidR="00471D53" w:rsidRDefault="00B664AF">
                <w:pPr>
                  <w:jc w:val="right"/>
                  <w:rPr>
                    <w:szCs w:val="21"/>
                  </w:rPr>
                </w:pPr>
              </w:p>
            </w:tc>
            <w:tc>
              <w:tcPr>
                <w:tcW w:w="1699" w:type="pct"/>
                <w:tcBorders>
                  <w:top w:val="single" w:sz="6" w:space="0" w:color="auto"/>
                  <w:left w:val="single" w:sz="6" w:space="0" w:color="auto"/>
                  <w:bottom w:val="single" w:sz="6" w:space="0" w:color="auto"/>
                  <w:right w:val="single" w:sz="4" w:space="0" w:color="auto"/>
                </w:tcBorders>
              </w:tcPr>
              <w:p w14:paraId="002C21E6" w14:textId="77777777" w:rsidR="00471D53" w:rsidRDefault="00B664AF">
                <w:pPr>
                  <w:jc w:val="right"/>
                  <w:rPr>
                    <w:szCs w:val="21"/>
                  </w:rPr>
                </w:pPr>
              </w:p>
            </w:tc>
          </w:tr>
          <w:tr w:rsidR="00471D53" w14:paraId="6A46A4B7" w14:textId="77777777" w:rsidTr="00AD7A3A">
            <w:trPr>
              <w:jc w:val="center"/>
            </w:trPr>
            <w:sdt>
              <w:sdtPr>
                <w:tag w:val="_PLD_d574603998c340988b76ed4abbb39d0f"/>
                <w:id w:val="-2127309279"/>
                <w:lock w:val="sdtLocked"/>
              </w:sdtPr>
              <w:sdtEndPr/>
              <w:sdtContent>
                <w:tc>
                  <w:tcPr>
                    <w:tcW w:w="5000" w:type="pct"/>
                    <w:gridSpan w:val="3"/>
                    <w:tcBorders>
                      <w:top w:val="single" w:sz="6" w:space="0" w:color="auto"/>
                      <w:left w:val="single" w:sz="4" w:space="0" w:color="auto"/>
                      <w:bottom w:val="single" w:sz="6" w:space="0" w:color="auto"/>
                      <w:right w:val="single" w:sz="4" w:space="0" w:color="auto"/>
                    </w:tcBorders>
                    <w:shd w:val="clear" w:color="auto" w:fill="auto"/>
                    <w:vAlign w:val="center"/>
                  </w:tcPr>
                  <w:p w14:paraId="52C91EBE" w14:textId="77777777" w:rsidR="00471D53" w:rsidRDefault="004F686E">
                    <w:pPr>
                      <w:rPr>
                        <w:szCs w:val="21"/>
                      </w:rPr>
                    </w:pPr>
                    <w:r>
                      <w:rPr>
                        <w:rFonts w:cs="Arial" w:hint="eastAsia"/>
                        <w:color w:val="000000"/>
                        <w:szCs w:val="21"/>
                        <w:lang w:val="en-GB"/>
                      </w:rPr>
                      <w:t>下列各项按持股比例计算的合计数</w:t>
                    </w:r>
                  </w:p>
                </w:tc>
              </w:sdtContent>
            </w:sdt>
          </w:tr>
          <w:tr w:rsidR="00471D53" w14:paraId="318DCAAA" w14:textId="77777777" w:rsidTr="00A77D13">
            <w:trPr>
              <w:jc w:val="center"/>
            </w:trPr>
            <w:sdt>
              <w:sdtPr>
                <w:tag w:val="_PLD_6a9719a93a5947a99f4faab9ddfeb484"/>
                <w:id w:val="133769656"/>
                <w:lock w:val="sdtLocked"/>
              </w:sdtPr>
              <w:sdtEndPr/>
              <w:sdtContent>
                <w:tc>
                  <w:tcPr>
                    <w:tcW w:w="1604" w:type="pct"/>
                    <w:tcBorders>
                      <w:top w:val="single" w:sz="6" w:space="0" w:color="auto"/>
                      <w:left w:val="single" w:sz="4" w:space="0" w:color="auto"/>
                      <w:bottom w:val="single" w:sz="6" w:space="0" w:color="auto"/>
                      <w:right w:val="single" w:sz="6" w:space="0" w:color="auto"/>
                    </w:tcBorders>
                    <w:shd w:val="clear" w:color="auto" w:fill="auto"/>
                    <w:vAlign w:val="center"/>
                  </w:tcPr>
                  <w:p w14:paraId="332A027B" w14:textId="77777777" w:rsidR="00471D53" w:rsidRDefault="004F686E">
                    <w:pPr>
                      <w:rPr>
                        <w:rFonts w:cs="Arial"/>
                        <w:color w:val="000000"/>
                        <w:szCs w:val="21"/>
                      </w:rPr>
                    </w:pPr>
                    <w:r>
                      <w:rPr>
                        <w:rFonts w:cs="Arial"/>
                        <w:color w:val="000000"/>
                        <w:szCs w:val="21"/>
                      </w:rPr>
                      <w:t>--</w:t>
                    </w:r>
                    <w:r>
                      <w:rPr>
                        <w:rFonts w:cs="Arial" w:hint="eastAsia"/>
                        <w:color w:val="000000"/>
                        <w:szCs w:val="21"/>
                        <w:lang w:val="en-GB"/>
                      </w:rPr>
                      <w:t>净利润</w:t>
                    </w:r>
                  </w:p>
                </w:tc>
              </w:sdtContent>
            </w:sdt>
            <w:tc>
              <w:tcPr>
                <w:tcW w:w="1697" w:type="pct"/>
                <w:tcBorders>
                  <w:top w:val="single" w:sz="6" w:space="0" w:color="auto"/>
                  <w:left w:val="single" w:sz="6" w:space="0" w:color="auto"/>
                  <w:bottom w:val="single" w:sz="6" w:space="0" w:color="auto"/>
                  <w:right w:val="single" w:sz="6" w:space="0" w:color="auto"/>
                </w:tcBorders>
              </w:tcPr>
              <w:p w14:paraId="39EC7BF6" w14:textId="77777777" w:rsidR="00471D53" w:rsidRDefault="00B664AF">
                <w:pPr>
                  <w:jc w:val="right"/>
                  <w:rPr>
                    <w:szCs w:val="21"/>
                  </w:rPr>
                </w:pPr>
              </w:p>
            </w:tc>
            <w:tc>
              <w:tcPr>
                <w:tcW w:w="1699" w:type="pct"/>
                <w:tcBorders>
                  <w:top w:val="single" w:sz="6" w:space="0" w:color="auto"/>
                  <w:left w:val="single" w:sz="6" w:space="0" w:color="auto"/>
                  <w:bottom w:val="single" w:sz="6" w:space="0" w:color="auto"/>
                  <w:right w:val="single" w:sz="4" w:space="0" w:color="auto"/>
                </w:tcBorders>
              </w:tcPr>
              <w:p w14:paraId="405C574C" w14:textId="77777777" w:rsidR="00471D53" w:rsidRDefault="00B664AF">
                <w:pPr>
                  <w:jc w:val="right"/>
                  <w:rPr>
                    <w:szCs w:val="21"/>
                  </w:rPr>
                </w:pPr>
              </w:p>
            </w:tc>
          </w:tr>
          <w:tr w:rsidR="00471D53" w14:paraId="635F7F34" w14:textId="77777777" w:rsidTr="00A77D13">
            <w:trPr>
              <w:jc w:val="center"/>
            </w:trPr>
            <w:sdt>
              <w:sdtPr>
                <w:tag w:val="_PLD_cee08c7e01b746408c5d373112665e6e"/>
                <w:id w:val="-987089694"/>
                <w:lock w:val="sdtLocked"/>
              </w:sdtPr>
              <w:sdtEndPr/>
              <w:sdtContent>
                <w:tc>
                  <w:tcPr>
                    <w:tcW w:w="1604" w:type="pct"/>
                    <w:tcBorders>
                      <w:top w:val="single" w:sz="6" w:space="0" w:color="auto"/>
                      <w:left w:val="single" w:sz="4" w:space="0" w:color="auto"/>
                      <w:bottom w:val="single" w:sz="6" w:space="0" w:color="auto"/>
                      <w:right w:val="single" w:sz="6" w:space="0" w:color="auto"/>
                    </w:tcBorders>
                    <w:shd w:val="clear" w:color="auto" w:fill="auto"/>
                    <w:vAlign w:val="center"/>
                  </w:tcPr>
                  <w:p w14:paraId="27A49D3F" w14:textId="77777777" w:rsidR="00471D53" w:rsidRDefault="004F686E">
                    <w:pPr>
                      <w:rPr>
                        <w:rFonts w:cs="Arial"/>
                        <w:color w:val="000000"/>
                        <w:szCs w:val="21"/>
                      </w:rPr>
                    </w:pPr>
                    <w:r>
                      <w:rPr>
                        <w:rFonts w:cs="Arial"/>
                        <w:color w:val="000000"/>
                        <w:szCs w:val="21"/>
                      </w:rPr>
                      <w:t>--</w:t>
                    </w:r>
                    <w:r>
                      <w:rPr>
                        <w:rFonts w:cs="Arial" w:hint="eastAsia"/>
                        <w:color w:val="000000"/>
                        <w:szCs w:val="21"/>
                        <w:lang w:val="en-GB"/>
                      </w:rPr>
                      <w:t>其他综合收益</w:t>
                    </w:r>
                  </w:p>
                </w:tc>
              </w:sdtContent>
            </w:sdt>
            <w:tc>
              <w:tcPr>
                <w:tcW w:w="1697" w:type="pct"/>
                <w:tcBorders>
                  <w:top w:val="single" w:sz="6" w:space="0" w:color="auto"/>
                  <w:left w:val="single" w:sz="6" w:space="0" w:color="auto"/>
                  <w:bottom w:val="single" w:sz="6" w:space="0" w:color="auto"/>
                  <w:right w:val="single" w:sz="6" w:space="0" w:color="auto"/>
                </w:tcBorders>
              </w:tcPr>
              <w:p w14:paraId="737D7DB0" w14:textId="77777777" w:rsidR="00471D53" w:rsidRDefault="00B664AF">
                <w:pPr>
                  <w:jc w:val="right"/>
                  <w:rPr>
                    <w:szCs w:val="21"/>
                  </w:rPr>
                </w:pPr>
              </w:p>
            </w:tc>
            <w:tc>
              <w:tcPr>
                <w:tcW w:w="1699" w:type="pct"/>
                <w:tcBorders>
                  <w:top w:val="single" w:sz="6" w:space="0" w:color="auto"/>
                  <w:left w:val="single" w:sz="6" w:space="0" w:color="auto"/>
                  <w:bottom w:val="single" w:sz="6" w:space="0" w:color="auto"/>
                  <w:right w:val="single" w:sz="4" w:space="0" w:color="auto"/>
                </w:tcBorders>
              </w:tcPr>
              <w:p w14:paraId="304BB4B0" w14:textId="77777777" w:rsidR="00471D53" w:rsidRDefault="00B664AF">
                <w:pPr>
                  <w:jc w:val="right"/>
                  <w:rPr>
                    <w:szCs w:val="21"/>
                  </w:rPr>
                </w:pPr>
              </w:p>
            </w:tc>
          </w:tr>
          <w:tr w:rsidR="00471D53" w14:paraId="73ABE1CF" w14:textId="77777777" w:rsidTr="00A77D13">
            <w:trPr>
              <w:jc w:val="center"/>
            </w:trPr>
            <w:sdt>
              <w:sdtPr>
                <w:tag w:val="_PLD_f3f65d3b731f4b4ca71b1e3491b1154d"/>
                <w:id w:val="259417275"/>
                <w:lock w:val="sdtLocked"/>
              </w:sdtPr>
              <w:sdtEndPr/>
              <w:sdtContent>
                <w:tc>
                  <w:tcPr>
                    <w:tcW w:w="1604" w:type="pct"/>
                    <w:tcBorders>
                      <w:top w:val="single" w:sz="6" w:space="0" w:color="auto"/>
                      <w:left w:val="single" w:sz="4" w:space="0" w:color="auto"/>
                      <w:bottom w:val="single" w:sz="6" w:space="0" w:color="auto"/>
                      <w:right w:val="single" w:sz="6" w:space="0" w:color="auto"/>
                    </w:tcBorders>
                    <w:shd w:val="clear" w:color="auto" w:fill="auto"/>
                    <w:vAlign w:val="center"/>
                  </w:tcPr>
                  <w:p w14:paraId="619FE1BA" w14:textId="77777777" w:rsidR="00471D53" w:rsidRDefault="004F686E">
                    <w:pPr>
                      <w:rPr>
                        <w:rFonts w:cs="Arial"/>
                        <w:color w:val="000000"/>
                        <w:szCs w:val="21"/>
                      </w:rPr>
                    </w:pPr>
                    <w:r>
                      <w:rPr>
                        <w:rFonts w:cs="Arial"/>
                        <w:color w:val="000000"/>
                        <w:szCs w:val="21"/>
                      </w:rPr>
                      <w:t>--</w:t>
                    </w:r>
                    <w:r>
                      <w:rPr>
                        <w:rFonts w:cs="Arial" w:hint="eastAsia"/>
                        <w:color w:val="000000"/>
                        <w:szCs w:val="21"/>
                        <w:lang w:val="en-GB"/>
                      </w:rPr>
                      <w:t>综合收益总额</w:t>
                    </w:r>
                  </w:p>
                </w:tc>
              </w:sdtContent>
            </w:sdt>
            <w:tc>
              <w:tcPr>
                <w:tcW w:w="1697" w:type="pct"/>
                <w:tcBorders>
                  <w:top w:val="single" w:sz="6" w:space="0" w:color="auto"/>
                  <w:left w:val="single" w:sz="6" w:space="0" w:color="auto"/>
                  <w:bottom w:val="single" w:sz="6" w:space="0" w:color="auto"/>
                  <w:right w:val="single" w:sz="6" w:space="0" w:color="auto"/>
                </w:tcBorders>
              </w:tcPr>
              <w:p w14:paraId="6DE7F09C" w14:textId="77777777" w:rsidR="00471D53" w:rsidRDefault="00B664AF">
                <w:pPr>
                  <w:jc w:val="right"/>
                  <w:rPr>
                    <w:szCs w:val="21"/>
                  </w:rPr>
                </w:pPr>
              </w:p>
            </w:tc>
            <w:tc>
              <w:tcPr>
                <w:tcW w:w="1699" w:type="pct"/>
                <w:tcBorders>
                  <w:top w:val="single" w:sz="6" w:space="0" w:color="auto"/>
                  <w:left w:val="single" w:sz="6" w:space="0" w:color="auto"/>
                  <w:bottom w:val="single" w:sz="6" w:space="0" w:color="auto"/>
                  <w:right w:val="single" w:sz="4" w:space="0" w:color="auto"/>
                </w:tcBorders>
              </w:tcPr>
              <w:p w14:paraId="76068868" w14:textId="77777777" w:rsidR="00471D53" w:rsidRDefault="00B664AF">
                <w:pPr>
                  <w:jc w:val="right"/>
                  <w:rPr>
                    <w:szCs w:val="21"/>
                  </w:rPr>
                </w:pPr>
              </w:p>
            </w:tc>
          </w:tr>
          <w:tr w:rsidR="00471D53" w14:paraId="55C574C8" w14:textId="77777777" w:rsidTr="00A77D13">
            <w:trPr>
              <w:jc w:val="center"/>
            </w:trPr>
            <w:tc>
              <w:tcPr>
                <w:tcW w:w="1604" w:type="pct"/>
                <w:tcBorders>
                  <w:top w:val="single" w:sz="6" w:space="0" w:color="auto"/>
                  <w:left w:val="single" w:sz="4" w:space="0" w:color="auto"/>
                  <w:bottom w:val="single" w:sz="6" w:space="0" w:color="auto"/>
                  <w:right w:val="single" w:sz="6" w:space="0" w:color="auto"/>
                </w:tcBorders>
                <w:shd w:val="clear" w:color="auto" w:fill="auto"/>
              </w:tcPr>
              <w:p w14:paraId="2402AEEC" w14:textId="77777777" w:rsidR="00471D53" w:rsidRDefault="00B664AF">
                <w:pPr>
                  <w:rPr>
                    <w:rFonts w:cs="Arial"/>
                    <w:szCs w:val="21"/>
                    <w:lang w:val="en-GB"/>
                  </w:rPr>
                </w:pPr>
              </w:p>
            </w:tc>
            <w:tc>
              <w:tcPr>
                <w:tcW w:w="1697" w:type="pct"/>
                <w:tcBorders>
                  <w:top w:val="single" w:sz="6" w:space="0" w:color="auto"/>
                  <w:left w:val="single" w:sz="6" w:space="0" w:color="auto"/>
                  <w:bottom w:val="single" w:sz="6" w:space="0" w:color="auto"/>
                  <w:right w:val="single" w:sz="6" w:space="0" w:color="auto"/>
                </w:tcBorders>
              </w:tcPr>
              <w:p w14:paraId="15FD5CCB" w14:textId="77777777" w:rsidR="00471D53" w:rsidRDefault="00B664AF">
                <w:pPr>
                  <w:jc w:val="right"/>
                  <w:rPr>
                    <w:szCs w:val="21"/>
                  </w:rPr>
                </w:pPr>
              </w:p>
            </w:tc>
            <w:tc>
              <w:tcPr>
                <w:tcW w:w="1699" w:type="pct"/>
                <w:tcBorders>
                  <w:top w:val="single" w:sz="6" w:space="0" w:color="auto"/>
                  <w:left w:val="single" w:sz="6" w:space="0" w:color="auto"/>
                  <w:bottom w:val="single" w:sz="6" w:space="0" w:color="auto"/>
                  <w:right w:val="single" w:sz="4" w:space="0" w:color="auto"/>
                </w:tcBorders>
              </w:tcPr>
              <w:p w14:paraId="33DD8F0B" w14:textId="77777777" w:rsidR="00471D53" w:rsidRDefault="00B664AF">
                <w:pPr>
                  <w:jc w:val="right"/>
                  <w:rPr>
                    <w:szCs w:val="21"/>
                  </w:rPr>
                </w:pPr>
              </w:p>
            </w:tc>
          </w:tr>
          <w:tr w:rsidR="00471D53" w14:paraId="19D10902" w14:textId="77777777" w:rsidTr="00AD7A3A">
            <w:trPr>
              <w:jc w:val="center"/>
            </w:trPr>
            <w:sdt>
              <w:sdtPr>
                <w:tag w:val="_PLD_1bd24e2b6e8f4bddad27bea53e1b1b0a"/>
                <w:id w:val="-1347249371"/>
                <w:lock w:val="sdtLocked"/>
              </w:sdtPr>
              <w:sdtEndPr/>
              <w:sdtContent>
                <w:tc>
                  <w:tcPr>
                    <w:tcW w:w="5000" w:type="pct"/>
                    <w:gridSpan w:val="3"/>
                    <w:tcBorders>
                      <w:top w:val="single" w:sz="6" w:space="0" w:color="auto"/>
                      <w:left w:val="single" w:sz="4" w:space="0" w:color="auto"/>
                      <w:bottom w:val="single" w:sz="6" w:space="0" w:color="auto"/>
                      <w:right w:val="single" w:sz="4" w:space="0" w:color="auto"/>
                    </w:tcBorders>
                    <w:shd w:val="clear" w:color="auto" w:fill="auto"/>
                  </w:tcPr>
                  <w:p w14:paraId="131E0A0E" w14:textId="77777777" w:rsidR="00471D53" w:rsidRDefault="004F686E">
                    <w:pPr>
                      <w:rPr>
                        <w:szCs w:val="21"/>
                      </w:rPr>
                    </w:pPr>
                    <w:r>
                      <w:rPr>
                        <w:rFonts w:cs="Arial" w:hint="eastAsia"/>
                        <w:szCs w:val="21"/>
                        <w:lang w:val="en-GB"/>
                      </w:rPr>
                      <w:t>联营企业：</w:t>
                    </w:r>
                  </w:p>
                </w:tc>
              </w:sdtContent>
            </w:sdt>
          </w:tr>
          <w:tr w:rsidR="00471D53" w14:paraId="2BFAC97B" w14:textId="77777777" w:rsidTr="00471D53">
            <w:trPr>
              <w:jc w:val="center"/>
            </w:trPr>
            <w:sdt>
              <w:sdtPr>
                <w:tag w:val="_PLD_96f92a97765344699f3fe74a7c29502b"/>
                <w:id w:val="1308441599"/>
                <w:lock w:val="sdtLocked"/>
              </w:sdtPr>
              <w:sdtEndPr/>
              <w:sdtContent>
                <w:tc>
                  <w:tcPr>
                    <w:tcW w:w="1604" w:type="pct"/>
                    <w:tcBorders>
                      <w:top w:val="single" w:sz="6" w:space="0" w:color="auto"/>
                      <w:left w:val="single" w:sz="4" w:space="0" w:color="auto"/>
                      <w:bottom w:val="single" w:sz="6" w:space="0" w:color="auto"/>
                      <w:right w:val="single" w:sz="6" w:space="0" w:color="auto"/>
                    </w:tcBorders>
                    <w:shd w:val="clear" w:color="auto" w:fill="auto"/>
                    <w:vAlign w:val="center"/>
                  </w:tcPr>
                  <w:p w14:paraId="03534FB2" w14:textId="77777777" w:rsidR="00471D53" w:rsidRDefault="004F686E">
                    <w:pPr>
                      <w:rPr>
                        <w:rFonts w:cs="Arial"/>
                        <w:color w:val="000000"/>
                        <w:szCs w:val="21"/>
                      </w:rPr>
                    </w:pPr>
                    <w:r>
                      <w:rPr>
                        <w:rFonts w:cs="Arial" w:hint="eastAsia"/>
                        <w:color w:val="000000"/>
                        <w:szCs w:val="21"/>
                        <w:lang w:val="en-GB"/>
                      </w:rPr>
                      <w:t>投资账面价值合计</w:t>
                    </w:r>
                  </w:p>
                </w:tc>
              </w:sdtContent>
            </w:sdt>
            <w:tc>
              <w:tcPr>
                <w:tcW w:w="1697" w:type="pct"/>
                <w:tcBorders>
                  <w:top w:val="single" w:sz="6" w:space="0" w:color="auto"/>
                  <w:left w:val="single" w:sz="6" w:space="0" w:color="auto"/>
                  <w:bottom w:val="single" w:sz="6" w:space="0" w:color="auto"/>
                  <w:right w:val="single" w:sz="6" w:space="0" w:color="auto"/>
                </w:tcBorders>
                <w:vAlign w:val="center"/>
              </w:tcPr>
              <w:p w14:paraId="3C762902" w14:textId="77777777" w:rsidR="00471D53" w:rsidRDefault="004F686E" w:rsidP="00471D53">
                <w:pPr>
                  <w:jc w:val="right"/>
                  <w:textAlignment w:val="center"/>
                  <w:rPr>
                    <w:sz w:val="22"/>
                    <w:szCs w:val="22"/>
                    <w:lang w:bidi="ar"/>
                  </w:rPr>
                </w:pPr>
                <w:r w:rsidRPr="00BF4535">
                  <w:rPr>
                    <w:sz w:val="22"/>
                    <w:szCs w:val="22"/>
                    <w:lang w:bidi="ar"/>
                  </w:rPr>
                  <w:t>16,744,232.90</w:t>
                </w:r>
              </w:p>
            </w:tc>
            <w:tc>
              <w:tcPr>
                <w:tcW w:w="1699" w:type="pct"/>
                <w:tcBorders>
                  <w:top w:val="single" w:sz="6" w:space="0" w:color="auto"/>
                  <w:left w:val="single" w:sz="6" w:space="0" w:color="auto"/>
                  <w:bottom w:val="single" w:sz="6" w:space="0" w:color="auto"/>
                  <w:right w:val="single" w:sz="4" w:space="0" w:color="auto"/>
                </w:tcBorders>
                <w:vAlign w:val="center"/>
              </w:tcPr>
              <w:p w14:paraId="1C0FFA1C" w14:textId="77777777" w:rsidR="00471D53" w:rsidRDefault="004F686E" w:rsidP="00471D53">
                <w:pPr>
                  <w:jc w:val="right"/>
                  <w:textAlignment w:val="center"/>
                  <w:rPr>
                    <w:sz w:val="22"/>
                    <w:szCs w:val="22"/>
                    <w:lang w:bidi="ar"/>
                  </w:rPr>
                </w:pPr>
                <w:r>
                  <w:rPr>
                    <w:rFonts w:hint="eastAsia"/>
                    <w:sz w:val="22"/>
                    <w:szCs w:val="22"/>
                  </w:rPr>
                  <w:t>17,822,953.97</w:t>
                </w:r>
              </w:p>
            </w:tc>
          </w:tr>
          <w:tr w:rsidR="00471D53" w14:paraId="6930410A" w14:textId="77777777" w:rsidTr="00AD7A3A">
            <w:trPr>
              <w:jc w:val="center"/>
            </w:trPr>
            <w:sdt>
              <w:sdtPr>
                <w:tag w:val="_PLD_31587dee61f14709a752f002668255e6"/>
                <w:id w:val="-289590578"/>
                <w:lock w:val="sdtLocked"/>
              </w:sdtPr>
              <w:sdtEndPr/>
              <w:sdtContent>
                <w:tc>
                  <w:tcPr>
                    <w:tcW w:w="5000" w:type="pct"/>
                    <w:gridSpan w:val="3"/>
                    <w:tcBorders>
                      <w:top w:val="single" w:sz="6" w:space="0" w:color="auto"/>
                      <w:left w:val="single" w:sz="4" w:space="0" w:color="auto"/>
                      <w:bottom w:val="single" w:sz="6" w:space="0" w:color="auto"/>
                      <w:right w:val="single" w:sz="4" w:space="0" w:color="auto"/>
                    </w:tcBorders>
                    <w:shd w:val="clear" w:color="auto" w:fill="auto"/>
                    <w:vAlign w:val="center"/>
                  </w:tcPr>
                  <w:p w14:paraId="4F104E32" w14:textId="77777777" w:rsidR="00471D53" w:rsidRDefault="004F686E">
                    <w:pPr>
                      <w:rPr>
                        <w:szCs w:val="21"/>
                      </w:rPr>
                    </w:pPr>
                    <w:r>
                      <w:rPr>
                        <w:rFonts w:cs="Arial" w:hint="eastAsia"/>
                        <w:color w:val="000000"/>
                        <w:szCs w:val="21"/>
                        <w:lang w:val="en-GB"/>
                      </w:rPr>
                      <w:t>下列各项按持股比例计算的合计数</w:t>
                    </w:r>
                  </w:p>
                </w:tc>
              </w:sdtContent>
            </w:sdt>
          </w:tr>
          <w:tr w:rsidR="00471D53" w14:paraId="0C643F97" w14:textId="77777777" w:rsidTr="00471D53">
            <w:trPr>
              <w:jc w:val="center"/>
            </w:trPr>
            <w:sdt>
              <w:sdtPr>
                <w:tag w:val="_PLD_4bb9c04db78d44db8ec834da9e330d51"/>
                <w:id w:val="1630660519"/>
                <w:lock w:val="sdtLocked"/>
              </w:sdtPr>
              <w:sdtEndPr/>
              <w:sdtContent>
                <w:tc>
                  <w:tcPr>
                    <w:tcW w:w="1604" w:type="pct"/>
                    <w:tcBorders>
                      <w:top w:val="single" w:sz="6" w:space="0" w:color="auto"/>
                      <w:left w:val="single" w:sz="4" w:space="0" w:color="auto"/>
                      <w:bottom w:val="single" w:sz="6" w:space="0" w:color="auto"/>
                      <w:right w:val="single" w:sz="6" w:space="0" w:color="auto"/>
                    </w:tcBorders>
                    <w:shd w:val="clear" w:color="auto" w:fill="auto"/>
                    <w:vAlign w:val="center"/>
                  </w:tcPr>
                  <w:p w14:paraId="7B3C156A" w14:textId="77777777" w:rsidR="00471D53" w:rsidRDefault="004F686E">
                    <w:pPr>
                      <w:rPr>
                        <w:rFonts w:cs="Arial"/>
                        <w:color w:val="000000"/>
                        <w:szCs w:val="21"/>
                      </w:rPr>
                    </w:pPr>
                    <w:r>
                      <w:rPr>
                        <w:rFonts w:cs="Arial"/>
                        <w:color w:val="000000"/>
                        <w:szCs w:val="21"/>
                      </w:rPr>
                      <w:t>--</w:t>
                    </w:r>
                    <w:r>
                      <w:rPr>
                        <w:rFonts w:cs="Arial" w:hint="eastAsia"/>
                        <w:color w:val="000000"/>
                        <w:szCs w:val="21"/>
                        <w:lang w:val="en-GB"/>
                      </w:rPr>
                      <w:t>净利润</w:t>
                    </w:r>
                  </w:p>
                </w:tc>
              </w:sdtContent>
            </w:sdt>
            <w:tc>
              <w:tcPr>
                <w:tcW w:w="1697" w:type="pct"/>
                <w:tcBorders>
                  <w:top w:val="single" w:sz="6" w:space="0" w:color="auto"/>
                  <w:left w:val="single" w:sz="6" w:space="0" w:color="auto"/>
                  <w:bottom w:val="single" w:sz="6" w:space="0" w:color="auto"/>
                  <w:right w:val="single" w:sz="6" w:space="0" w:color="auto"/>
                </w:tcBorders>
                <w:vAlign w:val="center"/>
              </w:tcPr>
              <w:p w14:paraId="3AC2D794" w14:textId="77777777" w:rsidR="00471D53" w:rsidRDefault="004F686E" w:rsidP="00471D53">
                <w:pPr>
                  <w:jc w:val="right"/>
                  <w:textAlignment w:val="center"/>
                  <w:rPr>
                    <w:sz w:val="22"/>
                    <w:szCs w:val="22"/>
                  </w:rPr>
                </w:pPr>
                <w:r w:rsidRPr="00BF4535">
                  <w:rPr>
                    <w:sz w:val="22"/>
                    <w:szCs w:val="22"/>
                  </w:rPr>
                  <w:t>-179,947.94</w:t>
                </w:r>
              </w:p>
            </w:tc>
            <w:tc>
              <w:tcPr>
                <w:tcW w:w="1699" w:type="pct"/>
                <w:tcBorders>
                  <w:top w:val="single" w:sz="6" w:space="0" w:color="auto"/>
                  <w:left w:val="single" w:sz="6" w:space="0" w:color="auto"/>
                  <w:bottom w:val="single" w:sz="6" w:space="0" w:color="auto"/>
                  <w:right w:val="single" w:sz="4" w:space="0" w:color="auto"/>
                </w:tcBorders>
                <w:vAlign w:val="center"/>
              </w:tcPr>
              <w:p w14:paraId="5FD513C4" w14:textId="77777777" w:rsidR="00471D53" w:rsidRDefault="004F686E" w:rsidP="00471D53">
                <w:pPr>
                  <w:jc w:val="right"/>
                  <w:rPr>
                    <w:sz w:val="22"/>
                    <w:szCs w:val="22"/>
                  </w:rPr>
                </w:pPr>
                <w:r w:rsidRPr="002E2C92">
                  <w:rPr>
                    <w:sz w:val="22"/>
                    <w:szCs w:val="22"/>
                  </w:rPr>
                  <w:t>100,654.99</w:t>
                </w:r>
              </w:p>
            </w:tc>
          </w:tr>
          <w:tr w:rsidR="00471D53" w14:paraId="035924CC" w14:textId="77777777" w:rsidTr="00471D53">
            <w:trPr>
              <w:jc w:val="center"/>
            </w:trPr>
            <w:sdt>
              <w:sdtPr>
                <w:tag w:val="_PLD_861ee8b21c034bf6a2fe80950a41eead"/>
                <w:id w:val="1426150670"/>
                <w:lock w:val="sdtLocked"/>
              </w:sdtPr>
              <w:sdtEndPr/>
              <w:sdtContent>
                <w:tc>
                  <w:tcPr>
                    <w:tcW w:w="1604" w:type="pct"/>
                    <w:tcBorders>
                      <w:top w:val="single" w:sz="6" w:space="0" w:color="auto"/>
                      <w:left w:val="single" w:sz="4" w:space="0" w:color="auto"/>
                      <w:bottom w:val="single" w:sz="6" w:space="0" w:color="auto"/>
                      <w:right w:val="single" w:sz="6" w:space="0" w:color="auto"/>
                    </w:tcBorders>
                    <w:shd w:val="clear" w:color="auto" w:fill="auto"/>
                    <w:vAlign w:val="center"/>
                  </w:tcPr>
                  <w:p w14:paraId="7CE84138" w14:textId="77777777" w:rsidR="00471D53" w:rsidRDefault="004F686E">
                    <w:pPr>
                      <w:rPr>
                        <w:rFonts w:cs="Arial"/>
                        <w:color w:val="000000"/>
                        <w:szCs w:val="21"/>
                      </w:rPr>
                    </w:pPr>
                    <w:r>
                      <w:rPr>
                        <w:rFonts w:cs="Arial"/>
                        <w:color w:val="000000"/>
                        <w:szCs w:val="21"/>
                      </w:rPr>
                      <w:t>--</w:t>
                    </w:r>
                    <w:r>
                      <w:rPr>
                        <w:rFonts w:cs="Arial" w:hint="eastAsia"/>
                        <w:color w:val="000000"/>
                        <w:szCs w:val="21"/>
                        <w:lang w:val="en-GB"/>
                      </w:rPr>
                      <w:t>其他综合收益</w:t>
                    </w:r>
                  </w:p>
                </w:tc>
              </w:sdtContent>
            </w:sdt>
            <w:tc>
              <w:tcPr>
                <w:tcW w:w="1697" w:type="pct"/>
                <w:tcBorders>
                  <w:top w:val="single" w:sz="6" w:space="0" w:color="auto"/>
                  <w:left w:val="single" w:sz="6" w:space="0" w:color="auto"/>
                  <w:bottom w:val="single" w:sz="6" w:space="0" w:color="auto"/>
                  <w:right w:val="single" w:sz="6" w:space="0" w:color="auto"/>
                </w:tcBorders>
                <w:vAlign w:val="center"/>
              </w:tcPr>
              <w:p w14:paraId="7C5ED2D7" w14:textId="77777777" w:rsidR="00471D53" w:rsidRDefault="004F686E" w:rsidP="00471D53">
                <w:pPr>
                  <w:jc w:val="right"/>
                  <w:textAlignment w:val="center"/>
                  <w:rPr>
                    <w:sz w:val="22"/>
                    <w:szCs w:val="22"/>
                    <w:lang w:bidi="ar"/>
                  </w:rPr>
                </w:pPr>
                <w:r w:rsidRPr="00BF4535">
                  <w:rPr>
                    <w:sz w:val="22"/>
                    <w:szCs w:val="22"/>
                    <w:lang w:bidi="ar"/>
                  </w:rPr>
                  <w:t>-1,117.81</w:t>
                </w:r>
              </w:p>
            </w:tc>
            <w:tc>
              <w:tcPr>
                <w:tcW w:w="1699" w:type="pct"/>
                <w:tcBorders>
                  <w:top w:val="single" w:sz="6" w:space="0" w:color="auto"/>
                  <w:left w:val="single" w:sz="6" w:space="0" w:color="auto"/>
                  <w:bottom w:val="single" w:sz="6" w:space="0" w:color="auto"/>
                  <w:right w:val="single" w:sz="4" w:space="0" w:color="auto"/>
                </w:tcBorders>
                <w:vAlign w:val="center"/>
              </w:tcPr>
              <w:p w14:paraId="5CCB6E73" w14:textId="77777777" w:rsidR="00471D53" w:rsidRDefault="004F686E" w:rsidP="00471D53">
                <w:pPr>
                  <w:jc w:val="right"/>
                  <w:textAlignment w:val="center"/>
                  <w:rPr>
                    <w:sz w:val="22"/>
                    <w:szCs w:val="22"/>
                    <w:lang w:bidi="ar"/>
                  </w:rPr>
                </w:pPr>
                <w:r>
                  <w:rPr>
                    <w:rFonts w:hint="eastAsia"/>
                    <w:sz w:val="22"/>
                    <w:szCs w:val="22"/>
                    <w:lang w:bidi="ar"/>
                  </w:rPr>
                  <w:t>0.00</w:t>
                </w:r>
              </w:p>
            </w:tc>
          </w:tr>
          <w:tr w:rsidR="00471D53" w14:paraId="5547BEB9" w14:textId="77777777" w:rsidTr="00471D53">
            <w:trPr>
              <w:jc w:val="center"/>
            </w:trPr>
            <w:sdt>
              <w:sdtPr>
                <w:tag w:val="_PLD_53750ad8db9448d19b3096748652d9bc"/>
                <w:id w:val="1541556369"/>
                <w:lock w:val="sdtLocked"/>
              </w:sdtPr>
              <w:sdtEndPr/>
              <w:sdtContent>
                <w:tc>
                  <w:tcPr>
                    <w:tcW w:w="1604" w:type="pct"/>
                    <w:tcBorders>
                      <w:top w:val="single" w:sz="6" w:space="0" w:color="auto"/>
                      <w:left w:val="single" w:sz="4" w:space="0" w:color="auto"/>
                      <w:bottom w:val="single" w:sz="4" w:space="0" w:color="auto"/>
                      <w:right w:val="single" w:sz="6" w:space="0" w:color="auto"/>
                    </w:tcBorders>
                    <w:shd w:val="clear" w:color="auto" w:fill="auto"/>
                    <w:vAlign w:val="center"/>
                  </w:tcPr>
                  <w:p w14:paraId="0DE5529F" w14:textId="77777777" w:rsidR="00471D53" w:rsidRDefault="004F686E">
                    <w:pPr>
                      <w:rPr>
                        <w:rFonts w:cs="Arial"/>
                        <w:color w:val="000000"/>
                        <w:szCs w:val="21"/>
                      </w:rPr>
                    </w:pPr>
                    <w:r>
                      <w:rPr>
                        <w:rFonts w:cs="Arial"/>
                        <w:color w:val="000000"/>
                        <w:szCs w:val="21"/>
                      </w:rPr>
                      <w:t>--</w:t>
                    </w:r>
                    <w:r>
                      <w:rPr>
                        <w:rFonts w:cs="Arial" w:hint="eastAsia"/>
                        <w:color w:val="000000"/>
                        <w:szCs w:val="21"/>
                        <w:lang w:val="en-GB"/>
                      </w:rPr>
                      <w:t>综合收益总额</w:t>
                    </w:r>
                  </w:p>
                </w:tc>
              </w:sdtContent>
            </w:sdt>
            <w:tc>
              <w:tcPr>
                <w:tcW w:w="1697" w:type="pct"/>
                <w:tcBorders>
                  <w:top w:val="single" w:sz="6" w:space="0" w:color="auto"/>
                  <w:left w:val="single" w:sz="6" w:space="0" w:color="auto"/>
                  <w:bottom w:val="single" w:sz="4" w:space="0" w:color="auto"/>
                  <w:right w:val="single" w:sz="6" w:space="0" w:color="auto"/>
                </w:tcBorders>
                <w:vAlign w:val="center"/>
              </w:tcPr>
              <w:p w14:paraId="758E08AB" w14:textId="77777777" w:rsidR="00471D53" w:rsidRDefault="004F686E" w:rsidP="00471D53">
                <w:pPr>
                  <w:jc w:val="right"/>
                  <w:textAlignment w:val="center"/>
                  <w:rPr>
                    <w:sz w:val="22"/>
                    <w:szCs w:val="22"/>
                  </w:rPr>
                </w:pPr>
                <w:r w:rsidRPr="00BF4535">
                  <w:rPr>
                    <w:sz w:val="22"/>
                    <w:szCs w:val="22"/>
                  </w:rPr>
                  <w:t>-181,065.75</w:t>
                </w:r>
              </w:p>
            </w:tc>
            <w:tc>
              <w:tcPr>
                <w:tcW w:w="1699" w:type="pct"/>
                <w:tcBorders>
                  <w:top w:val="single" w:sz="6" w:space="0" w:color="auto"/>
                  <w:left w:val="single" w:sz="6" w:space="0" w:color="auto"/>
                  <w:bottom w:val="single" w:sz="4" w:space="0" w:color="auto"/>
                  <w:right w:val="single" w:sz="4" w:space="0" w:color="auto"/>
                </w:tcBorders>
                <w:vAlign w:val="center"/>
              </w:tcPr>
              <w:p w14:paraId="64EF8ED7" w14:textId="77777777" w:rsidR="00471D53" w:rsidRDefault="004F686E" w:rsidP="00471D53">
                <w:pPr>
                  <w:jc w:val="right"/>
                  <w:rPr>
                    <w:sz w:val="22"/>
                    <w:szCs w:val="22"/>
                  </w:rPr>
                </w:pPr>
                <w:r w:rsidRPr="002E2C92">
                  <w:rPr>
                    <w:sz w:val="22"/>
                    <w:szCs w:val="22"/>
                  </w:rPr>
                  <w:t>100,654.99</w:t>
                </w:r>
              </w:p>
            </w:tc>
          </w:tr>
        </w:tbl>
        <w:p w14:paraId="3C6C9945" w14:textId="77777777" w:rsidR="00471D53" w:rsidRDefault="004F686E">
          <w:pPr>
            <w:rPr>
              <w:rFonts w:cs="Arial"/>
              <w:szCs w:val="21"/>
            </w:rPr>
          </w:pPr>
          <w:r>
            <w:rPr>
              <w:rFonts w:cs="Arial" w:hint="eastAsia"/>
              <w:szCs w:val="21"/>
            </w:rPr>
            <w:t>其他说明</w:t>
          </w:r>
        </w:p>
        <w:p w14:paraId="2D40D2A5" w14:textId="1B0A327A" w:rsidR="00471D53" w:rsidRDefault="00B664AF">
          <w:pPr>
            <w:rPr>
              <w:rFonts w:cs="Arial"/>
              <w:szCs w:val="21"/>
            </w:rPr>
          </w:pPr>
          <w:sdt>
            <w:sdtPr>
              <w:rPr>
                <w:szCs w:val="21"/>
              </w:rPr>
              <w:alias w:val="不重要的合营企业和联营企业的汇总财务信息其他说明"/>
              <w:tag w:val="_GBC_78096995ca9848409e6780ab5f1386f8"/>
              <w:id w:val="937648860"/>
              <w:lock w:val="sdtLocked"/>
              <w:placeholder>
                <w:docPart w:val="GBC22222222222222222222222222222"/>
              </w:placeholder>
            </w:sdtPr>
            <w:sdtEndPr/>
            <w:sdtContent>
              <w:r w:rsidR="004F686E">
                <w:rPr>
                  <w:rFonts w:hint="eastAsia"/>
                  <w:szCs w:val="21"/>
                </w:rPr>
                <w:t>无</w:t>
              </w:r>
            </w:sdtContent>
          </w:sdt>
        </w:p>
      </w:sdtContent>
    </w:sdt>
    <w:p w14:paraId="5341FAE2" w14:textId="77777777" w:rsidR="00471D53" w:rsidRDefault="00B664AF">
      <w:pPr>
        <w:rPr>
          <w:rFonts w:cs="Arial"/>
          <w:szCs w:val="21"/>
        </w:rPr>
      </w:pPr>
    </w:p>
    <w:sdt>
      <w:sdtPr>
        <w:rPr>
          <w:rFonts w:ascii="宋体" w:hAnsi="宋体" w:cs="Arial" w:hint="eastAsia"/>
          <w:b w:val="0"/>
          <w:bCs w:val="0"/>
          <w:kern w:val="0"/>
          <w:szCs w:val="21"/>
        </w:rPr>
        <w:alias w:val="模块:合营企业或联营企业向公司转移资金的能力存在重大限制的说明"/>
        <w:tag w:val="_GBC_2874973c28b34357bf81a60947721baa"/>
        <w:id w:val="-454019878"/>
        <w:lock w:val="sdtLocked"/>
        <w:placeholder>
          <w:docPart w:val="GBC22222222222222222222222222222"/>
        </w:placeholder>
      </w:sdtPr>
      <w:sdtEndPr/>
      <w:sdtContent>
        <w:p w14:paraId="25428D3D" w14:textId="77777777" w:rsidR="00471D53" w:rsidRDefault="004F686E" w:rsidP="004F686E">
          <w:pPr>
            <w:pStyle w:val="afffff8"/>
            <w:numPr>
              <w:ilvl w:val="3"/>
              <w:numId w:val="96"/>
            </w:numPr>
            <w:tabs>
              <w:tab w:val="left" w:pos="630"/>
            </w:tabs>
            <w:rPr>
              <w:rFonts w:ascii="宋体" w:hAnsi="宋体" w:cs="Arial"/>
              <w:szCs w:val="21"/>
            </w:rPr>
          </w:pPr>
          <w:r>
            <w:rPr>
              <w:rFonts w:ascii="宋体" w:hAnsi="宋体" w:cs="Arial" w:hint="eastAsia"/>
              <w:szCs w:val="21"/>
            </w:rPr>
            <w:t>合营企业或联营企业向本公司转移资金的能力存在重大限制的说明</w:t>
          </w:r>
        </w:p>
        <w:sdt>
          <w:sdtPr>
            <w:alias w:val="是否适用：合营企业或联营企业向本公司转移资金的能力存在重大限制的说明[双击切换]"/>
            <w:tag w:val="_GBC_73dfba3df3e24fc2a5b5ede5fa8d6f09"/>
            <w:id w:val="663443673"/>
            <w:lock w:val="sdtLocked"/>
            <w:placeholder>
              <w:docPart w:val="GBC22222222222222222222222222222"/>
            </w:placeholder>
          </w:sdtPr>
          <w:sdtEndPr/>
          <w:sdtContent>
            <w:p w14:paraId="05312E89"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36BE7B0" w14:textId="77777777" w:rsidR="00471D53" w:rsidRDefault="00B664AF">
          <w:pPr>
            <w:rPr>
              <w:rFonts w:cs="Arial"/>
              <w:szCs w:val="21"/>
            </w:rPr>
          </w:pPr>
        </w:p>
      </w:sdtContent>
    </w:sdt>
    <w:sdt>
      <w:sdtPr>
        <w:rPr>
          <w:rFonts w:ascii="宋体" w:hAnsi="宋体" w:cs="Arial" w:hint="eastAsia"/>
          <w:b w:val="0"/>
          <w:bCs w:val="0"/>
          <w:kern w:val="0"/>
          <w:szCs w:val="21"/>
        </w:rPr>
        <w:alias w:val="模块:合营企业或联营企业发生的超额亏损"/>
        <w:tag w:val="_GBC_a9980062c82d44acae24fae7368ea42f"/>
        <w:id w:val="-1256596469"/>
        <w:lock w:val="sdtLocked"/>
        <w:placeholder>
          <w:docPart w:val="GBC22222222222222222222222222222"/>
        </w:placeholder>
      </w:sdtPr>
      <w:sdtEndPr>
        <w:rPr>
          <w:rFonts w:cstheme="minorBidi" w:hint="default"/>
        </w:rPr>
      </w:sdtEndPr>
      <w:sdtContent>
        <w:p w14:paraId="692895CA" w14:textId="77777777" w:rsidR="00471D53" w:rsidRDefault="004F686E" w:rsidP="004F686E">
          <w:pPr>
            <w:pStyle w:val="afffff8"/>
            <w:numPr>
              <w:ilvl w:val="3"/>
              <w:numId w:val="96"/>
            </w:numPr>
            <w:tabs>
              <w:tab w:val="left" w:pos="630"/>
            </w:tabs>
            <w:rPr>
              <w:rFonts w:ascii="宋体" w:hAnsi="宋体" w:cs="Arial"/>
              <w:szCs w:val="21"/>
            </w:rPr>
          </w:pPr>
          <w:r>
            <w:rPr>
              <w:rFonts w:ascii="宋体" w:hAnsi="宋体" w:cs="Arial" w:hint="eastAsia"/>
              <w:szCs w:val="21"/>
            </w:rPr>
            <w:t>合营企业或联营企业发生的超额亏损</w:t>
          </w:r>
        </w:p>
        <w:sdt>
          <w:sdtPr>
            <w:alias w:val="是否适用：合营企业或联营企业发生的超额亏损[双击切换]"/>
            <w:tag w:val="_GBC_c30af0beca864d788c2fe12f47f13428"/>
            <w:id w:val="-701858827"/>
            <w:lock w:val="sdtLocked"/>
            <w:placeholder>
              <w:docPart w:val="GBC22222222222222222222222222222"/>
            </w:placeholder>
          </w:sdtPr>
          <w:sdtEndPr/>
          <w:sdtContent>
            <w:p w14:paraId="55075C18"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F5D9025" w14:textId="77777777" w:rsidR="00471D53" w:rsidRDefault="00B664AF">
          <w:pPr>
            <w:rPr>
              <w:rFonts w:cs="Arial"/>
              <w:szCs w:val="21"/>
            </w:rPr>
          </w:pPr>
        </w:p>
      </w:sdtContent>
    </w:sdt>
    <w:p w14:paraId="017AD746" w14:textId="77777777" w:rsidR="00471D53" w:rsidRDefault="00B664AF">
      <w:pPr>
        <w:rPr>
          <w:rFonts w:cs="Arial"/>
          <w:szCs w:val="21"/>
        </w:rPr>
      </w:pPr>
    </w:p>
    <w:sdt>
      <w:sdtPr>
        <w:rPr>
          <w:rFonts w:ascii="宋体" w:hAnsi="宋体" w:cs="Arial" w:hint="eastAsia"/>
          <w:b w:val="0"/>
          <w:bCs w:val="0"/>
          <w:kern w:val="0"/>
          <w:szCs w:val="21"/>
        </w:rPr>
        <w:alias w:val="模块:与合营企业投资相关的未确认承诺"/>
        <w:tag w:val="_GBC_da055842bf8c4e9598b87bd760d969ec"/>
        <w:id w:val="-220220156"/>
        <w:lock w:val="sdtLocked"/>
        <w:placeholder>
          <w:docPart w:val="GBC22222222222222222222222222222"/>
        </w:placeholder>
      </w:sdtPr>
      <w:sdtEndPr/>
      <w:sdtContent>
        <w:p w14:paraId="60A15079" w14:textId="77777777" w:rsidR="00471D53" w:rsidRDefault="004F686E" w:rsidP="004F686E">
          <w:pPr>
            <w:pStyle w:val="afffff8"/>
            <w:numPr>
              <w:ilvl w:val="3"/>
              <w:numId w:val="96"/>
            </w:numPr>
            <w:tabs>
              <w:tab w:val="left" w:pos="630"/>
            </w:tabs>
            <w:rPr>
              <w:rFonts w:ascii="宋体" w:hAnsi="宋体" w:cs="Arial"/>
              <w:szCs w:val="21"/>
            </w:rPr>
          </w:pPr>
          <w:r>
            <w:rPr>
              <w:rFonts w:ascii="宋体" w:hAnsi="宋体" w:cs="Arial" w:hint="eastAsia"/>
              <w:szCs w:val="21"/>
            </w:rPr>
            <w:t>与合营企业投资相关的未确认承诺</w:t>
          </w:r>
        </w:p>
        <w:sdt>
          <w:sdtPr>
            <w:alias w:val="是否适用：与合营企业投资相关的未确认承诺[双击切换]"/>
            <w:tag w:val="_GBC_9d014d8b476148b59476808a5cda81d8"/>
            <w:id w:val="94601764"/>
            <w:lock w:val="sdtLocked"/>
            <w:placeholder>
              <w:docPart w:val="GBC22222222222222222222222222222"/>
            </w:placeholder>
          </w:sdtPr>
          <w:sdtEndPr/>
          <w:sdtContent>
            <w:p w14:paraId="27992D11" w14:textId="77777777" w:rsidR="00471D53" w:rsidRDefault="004F686E" w:rsidP="00471D53">
              <w:pPr>
                <w:rPr>
                  <w:rFonts w:cs="Arial"/>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42DD52A7" w14:textId="77777777" w:rsidR="00471D53" w:rsidRDefault="00B664AF">
      <w:pPr>
        <w:rPr>
          <w:rFonts w:cs="Arial"/>
          <w:szCs w:val="21"/>
        </w:rPr>
      </w:pPr>
    </w:p>
    <w:sdt>
      <w:sdtPr>
        <w:rPr>
          <w:rFonts w:ascii="宋体" w:hAnsi="宋体" w:cs="Arial" w:hint="eastAsia"/>
          <w:b w:val="0"/>
          <w:bCs w:val="0"/>
          <w:kern w:val="0"/>
          <w:szCs w:val="21"/>
        </w:rPr>
        <w:alias w:val="模块:与合营企业或联营企业投资相关的或有负债"/>
        <w:tag w:val="_GBC_1f803def681a42ba91cdde709a067b3f"/>
        <w:id w:val="-1676793907"/>
        <w:lock w:val="sdtLocked"/>
        <w:placeholder>
          <w:docPart w:val="GBC22222222222222222222222222222"/>
        </w:placeholder>
      </w:sdtPr>
      <w:sdtEndPr/>
      <w:sdtContent>
        <w:p w14:paraId="3FB89A53" w14:textId="77777777" w:rsidR="00471D53" w:rsidRDefault="004F686E" w:rsidP="004F686E">
          <w:pPr>
            <w:pStyle w:val="afffff8"/>
            <w:numPr>
              <w:ilvl w:val="3"/>
              <w:numId w:val="96"/>
            </w:numPr>
            <w:tabs>
              <w:tab w:val="left" w:pos="630"/>
            </w:tabs>
            <w:rPr>
              <w:rFonts w:ascii="宋体" w:hAnsi="宋体" w:cs="Arial"/>
              <w:szCs w:val="21"/>
            </w:rPr>
          </w:pPr>
          <w:r>
            <w:rPr>
              <w:rFonts w:ascii="宋体" w:hAnsi="宋体" w:cs="Arial" w:hint="eastAsia"/>
              <w:szCs w:val="21"/>
            </w:rPr>
            <w:t>与合营企业或联营企业投资相关的或有负债</w:t>
          </w:r>
        </w:p>
        <w:sdt>
          <w:sdtPr>
            <w:alias w:val="是否适用：与合营企业或联营企业投资相关的或有负债[双击切换]"/>
            <w:tag w:val="_GBC_caba618be81b4cb1acf89073549a456a"/>
            <w:id w:val="-1239172484"/>
            <w:lock w:val="sdtLocked"/>
            <w:placeholder>
              <w:docPart w:val="GBC22222222222222222222222222222"/>
            </w:placeholder>
          </w:sdtPr>
          <w:sdtEndPr/>
          <w:sdtContent>
            <w:p w14:paraId="28052AD6" w14:textId="77777777" w:rsidR="00471D53" w:rsidRDefault="004F686E" w:rsidP="00471D53">
              <w:pPr>
                <w:rPr>
                  <w:rFonts w:cs="Arial"/>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436D2D94" w14:textId="77777777" w:rsidR="00471D53" w:rsidRDefault="00B664AF">
      <w:pPr>
        <w:rPr>
          <w:rFonts w:cs="Arial"/>
          <w:szCs w:val="21"/>
        </w:rPr>
      </w:pPr>
    </w:p>
    <w:sdt>
      <w:sdtPr>
        <w:rPr>
          <w:rFonts w:ascii="宋体" w:hAnsi="宋体" w:cs="Arial" w:hint="eastAsia"/>
          <w:b w:val="0"/>
          <w:bCs w:val="0"/>
          <w:kern w:val="0"/>
          <w:szCs w:val="21"/>
        </w:rPr>
        <w:alias w:val="模块:重要的共同经营"/>
        <w:tag w:val="_GBC_90d44eb1222944759107483908112493"/>
        <w:id w:val="755477764"/>
        <w:lock w:val="sdtLocked"/>
        <w:placeholder>
          <w:docPart w:val="GBC22222222222222222222222222222"/>
        </w:placeholder>
      </w:sdtPr>
      <w:sdtEndPr>
        <w:rPr>
          <w:rFonts w:cstheme="minorBidi" w:hint="default"/>
        </w:rPr>
      </w:sdtEndPr>
      <w:sdtContent>
        <w:p w14:paraId="4E7A60AE" w14:textId="77777777" w:rsidR="00471D53" w:rsidRDefault="004F686E" w:rsidP="004F686E">
          <w:pPr>
            <w:pStyle w:val="afffff7"/>
            <w:numPr>
              <w:ilvl w:val="2"/>
              <w:numId w:val="94"/>
            </w:numPr>
            <w:rPr>
              <w:rFonts w:ascii="宋体" w:hAnsi="宋体" w:cs="Arial"/>
              <w:szCs w:val="21"/>
            </w:rPr>
          </w:pPr>
          <w:r>
            <w:rPr>
              <w:rFonts w:ascii="宋体" w:hAnsi="宋体" w:cs="Arial" w:hint="eastAsia"/>
              <w:szCs w:val="21"/>
            </w:rPr>
            <w:t>重要的共同经营</w:t>
          </w:r>
        </w:p>
        <w:sdt>
          <w:sdtPr>
            <w:alias w:val="是否适用：重要的共同经营[双击切换]"/>
            <w:tag w:val="_GBC_7911b1c8195d4c20b2800b1c5ac94a93"/>
            <w:id w:val="615651489"/>
            <w:lock w:val="sdtLocked"/>
            <w:placeholder>
              <w:docPart w:val="GBC22222222222222222222222222222"/>
            </w:placeholder>
          </w:sdtPr>
          <w:sdtEndPr/>
          <w:sdtContent>
            <w:p w14:paraId="47DBCBDA"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E9C619C" w14:textId="77777777" w:rsidR="00471D53" w:rsidRDefault="00B664AF">
          <w:pPr>
            <w:rPr>
              <w:rFonts w:cs="Arial"/>
              <w:szCs w:val="21"/>
            </w:rPr>
          </w:pPr>
        </w:p>
      </w:sdtContent>
    </w:sdt>
    <w:p w14:paraId="79599C0A" w14:textId="77777777" w:rsidR="00471D53" w:rsidRDefault="00B664AF">
      <w:pPr>
        <w:rPr>
          <w:rFonts w:cs="Arial"/>
          <w:szCs w:val="21"/>
        </w:rPr>
      </w:pPr>
    </w:p>
    <w:sdt>
      <w:sdtPr>
        <w:rPr>
          <w:rFonts w:ascii="宋体" w:hAnsi="宋体" w:cs="Arial" w:hint="eastAsia"/>
          <w:b w:val="0"/>
          <w:bCs w:val="0"/>
          <w:kern w:val="0"/>
          <w:szCs w:val="21"/>
        </w:rPr>
        <w:alias w:val="模块:在未纳入合并财务报表范围的结构化主体中的权益"/>
        <w:tag w:val="_GBC_5cfea65e45c44f1b9fdec762be35880d"/>
        <w:id w:val="-1203936972"/>
        <w:lock w:val="sdtLocked"/>
        <w:placeholder>
          <w:docPart w:val="GBC22222222222222222222222222222"/>
        </w:placeholder>
      </w:sdtPr>
      <w:sdtEndPr/>
      <w:sdtContent>
        <w:p w14:paraId="7DC433C6" w14:textId="77777777" w:rsidR="00471D53" w:rsidRDefault="004F686E" w:rsidP="004F686E">
          <w:pPr>
            <w:pStyle w:val="afffff7"/>
            <w:numPr>
              <w:ilvl w:val="2"/>
              <w:numId w:val="94"/>
            </w:numPr>
            <w:rPr>
              <w:rFonts w:ascii="宋体" w:hAnsi="宋体" w:cs="Arial"/>
              <w:szCs w:val="21"/>
            </w:rPr>
          </w:pPr>
          <w:r>
            <w:rPr>
              <w:rFonts w:ascii="宋体" w:hAnsi="宋体" w:cs="Arial" w:hint="eastAsia"/>
              <w:szCs w:val="21"/>
            </w:rPr>
            <w:t>在未纳入合并财务报表范围的结构化主体中的权益</w:t>
          </w:r>
        </w:p>
        <w:p w14:paraId="6B0334C7" w14:textId="77777777" w:rsidR="00471D53" w:rsidRDefault="004F686E">
          <w:pPr>
            <w:rPr>
              <w:rFonts w:cs="Arial"/>
              <w:szCs w:val="21"/>
            </w:rPr>
          </w:pPr>
          <w:r>
            <w:rPr>
              <w:rFonts w:cs="Arial" w:hint="eastAsia"/>
              <w:szCs w:val="21"/>
            </w:rPr>
            <w:t>未纳入合并财务报表范围的结构化主体的相关说明：</w:t>
          </w:r>
        </w:p>
        <w:sdt>
          <w:sdtPr>
            <w:rPr>
              <w:rFonts w:cs="Arial"/>
              <w:szCs w:val="21"/>
            </w:rPr>
            <w:alias w:val="是否适用：未纳入合并财务报表范围的结构化主体的相关说明[双击切换]"/>
            <w:tag w:val="_GBC_48eb6d215e5341c694f98d18f5889902"/>
            <w:id w:val="-830901787"/>
            <w:lock w:val="sdtLocked"/>
            <w:placeholder>
              <w:docPart w:val="GBC22222222222222222222222222222"/>
            </w:placeholder>
          </w:sdtPr>
          <w:sdtEndPr/>
          <w:sdtContent>
            <w:p w14:paraId="750CAE40" w14:textId="77777777" w:rsidR="00471D53" w:rsidRDefault="004F686E" w:rsidP="00471D53">
              <w:pPr>
                <w:rPr>
                  <w:rFonts w:cs="Arial"/>
                  <w:szCs w:val="21"/>
                </w:rPr>
              </w:pPr>
              <w:r>
                <w:rPr>
                  <w:rFonts w:cs="Arial"/>
                  <w:szCs w:val="21"/>
                </w:rPr>
                <w:fldChar w:fldCharType="begin"/>
              </w:r>
              <w:r>
                <w:rPr>
                  <w:rFonts w:cs="Arial"/>
                  <w:szCs w:val="21"/>
                </w:rPr>
                <w:instrText xml:space="preserve"> MACROBUTTON  SnrToggleCheckbox □适用 </w:instrText>
              </w:r>
              <w:r>
                <w:rPr>
                  <w:rFonts w:cs="Arial"/>
                  <w:szCs w:val="21"/>
                </w:rPr>
                <w:fldChar w:fldCharType="end"/>
              </w:r>
              <w:r>
                <w:rPr>
                  <w:rFonts w:cs="Arial"/>
                  <w:szCs w:val="21"/>
                </w:rPr>
                <w:fldChar w:fldCharType="begin"/>
              </w:r>
              <w:r>
                <w:rPr>
                  <w:rFonts w:cs="Arial"/>
                  <w:szCs w:val="21"/>
                </w:rPr>
                <w:instrText xml:space="preserve"> MACROBUTTON  SnrToggleCheckbox √不适用 </w:instrText>
              </w:r>
              <w:r>
                <w:rPr>
                  <w:rFonts w:cs="Arial"/>
                  <w:szCs w:val="21"/>
                </w:rPr>
                <w:fldChar w:fldCharType="end"/>
              </w:r>
            </w:p>
          </w:sdtContent>
        </w:sdt>
        <w:p w14:paraId="702BD78A" w14:textId="77777777" w:rsidR="00471D53" w:rsidRDefault="00B664AF">
          <w:pPr>
            <w:rPr>
              <w:rFonts w:cs="Arial"/>
              <w:szCs w:val="21"/>
            </w:rPr>
          </w:pPr>
        </w:p>
      </w:sdtContent>
    </w:sdt>
    <w:sdt>
      <w:sdtPr>
        <w:rPr>
          <w:rFonts w:ascii="宋体" w:hAnsi="宋体" w:cs="Arial" w:hint="eastAsia"/>
          <w:b w:val="0"/>
          <w:bCs w:val="0"/>
          <w:kern w:val="0"/>
          <w:szCs w:val="21"/>
        </w:rPr>
        <w:alias w:val="模块:在其他主体中的权益其他需要说明的事项"/>
        <w:tag w:val="_GBC_b24eb633f5244c748225389f3b3cedd1"/>
        <w:id w:val="1968158890"/>
        <w:lock w:val="sdtLocked"/>
        <w:placeholder>
          <w:docPart w:val="GBC22222222222222222222222222222"/>
        </w:placeholder>
      </w:sdtPr>
      <w:sdtEndPr/>
      <w:sdtContent>
        <w:p w14:paraId="1CE6501C" w14:textId="77777777" w:rsidR="00471D53" w:rsidRDefault="004F686E" w:rsidP="004F686E">
          <w:pPr>
            <w:pStyle w:val="afffff7"/>
            <w:numPr>
              <w:ilvl w:val="2"/>
              <w:numId w:val="94"/>
            </w:numPr>
            <w:rPr>
              <w:rFonts w:ascii="宋体" w:hAnsi="宋体" w:cs="Arial"/>
              <w:szCs w:val="21"/>
            </w:rPr>
          </w:pPr>
          <w:r>
            <w:rPr>
              <w:rFonts w:ascii="宋体" w:hAnsi="宋体" w:cs="Arial" w:hint="eastAsia"/>
              <w:szCs w:val="21"/>
            </w:rPr>
            <w:t>其他</w:t>
          </w:r>
        </w:p>
        <w:sdt>
          <w:sdtPr>
            <w:alias w:val="是否适用：在其他主体中的权益其他需要说明的事项[双击切换]"/>
            <w:tag w:val="_GBC_ad8b7a7df0724efaa681a931c91befff"/>
            <w:id w:val="1686713993"/>
            <w:lock w:val="sdtLocked"/>
            <w:placeholder>
              <w:docPart w:val="GBC22222222222222222222222222222"/>
            </w:placeholder>
          </w:sdtPr>
          <w:sdtEndPr/>
          <w:sdtContent>
            <w:p w14:paraId="4A9C0E60"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在其他主体中的权益其他需要说明的事项"/>
            <w:tag w:val="_GBC_136deac01881418db7cb9600cfb86de9"/>
            <w:id w:val="-1994017187"/>
            <w:lock w:val="sdtLocked"/>
            <w:placeholder>
              <w:docPart w:val="GBC22222222222222222222222222222"/>
            </w:placeholder>
          </w:sdtPr>
          <w:sdtEndPr/>
          <w:sdtContent>
            <w:p w14:paraId="23541AC2" w14:textId="77777777" w:rsidR="00471D53" w:rsidRDefault="004F686E" w:rsidP="00471D53">
              <w:pPr>
                <w:spacing w:beforeLines="50" w:before="120" w:afterLines="50" w:after="120" w:line="360" w:lineRule="exact"/>
                <w:ind w:firstLineChars="200" w:firstLine="420"/>
                <w:jc w:val="both"/>
                <w:rPr>
                  <w:sz w:val="22"/>
                  <w:szCs w:val="22"/>
                </w:rPr>
              </w:pPr>
              <w:r>
                <w:rPr>
                  <w:rFonts w:hint="eastAsia"/>
                  <w:sz w:val="22"/>
                  <w:szCs w:val="22"/>
                </w:rPr>
                <w:t>伯肯节能成立于2005年3月，注册资本6,300万元，2015年7月29日在全国中小企业股份转让系统挂牌，代码833077。2018年8月15日，陕西航天科技集团有限公司（简称航天科技）将其持有的伯肯节能10.91%股权（6,876,000股）挂牌转让，2018年9月6日，北京天海通过协议转让的方式受让了上述股权，并于10月30日支付了全部价款。2018年11月7日，在中国证券登记结算有限公司完成股权变更登记，2019年2月22日完成工商变更登记手续。</w:t>
              </w:r>
            </w:p>
            <w:p w14:paraId="6C9344FD" w14:textId="77777777" w:rsidR="00471D53" w:rsidRDefault="004F686E" w:rsidP="00471D53">
              <w:pPr>
                <w:spacing w:beforeLines="50" w:before="120" w:afterLines="50" w:after="120" w:line="360" w:lineRule="exact"/>
                <w:ind w:firstLineChars="200" w:firstLine="440"/>
                <w:jc w:val="both"/>
                <w:rPr>
                  <w:sz w:val="22"/>
                  <w:szCs w:val="22"/>
                </w:rPr>
              </w:pPr>
              <w:r>
                <w:rPr>
                  <w:rFonts w:hint="eastAsia"/>
                  <w:sz w:val="22"/>
                  <w:szCs w:val="22"/>
                </w:rPr>
                <w:t>北京天海于2018年12月7日在伯肯节能董事会中派驻代表，参与伯肯节能财务和经营政策的制定，达到对伯肯节能施加重大影响，采用权益法核算。</w:t>
              </w:r>
            </w:p>
            <w:p w14:paraId="68CA86CF" w14:textId="77777777" w:rsidR="00471D53" w:rsidRDefault="00B664AF"/>
          </w:sdtContent>
        </w:sdt>
      </w:sdtContent>
    </w:sdt>
    <w:p w14:paraId="0D8859F4" w14:textId="77777777" w:rsidR="00471D53" w:rsidRDefault="00B664AF"/>
    <w:sdt>
      <w:sdtPr>
        <w:rPr>
          <w:rFonts w:ascii="宋体" w:hAnsi="宋体" w:cs="宋体" w:hint="eastAsia"/>
          <w:b w:val="0"/>
          <w:bCs w:val="0"/>
          <w:kern w:val="0"/>
          <w:szCs w:val="24"/>
        </w:rPr>
        <w:alias w:val="模块:与金融工具相关的风险"/>
        <w:tag w:val="_GBC_815d628fea814e7191d23a3fcbe2783c"/>
        <w:id w:val="588515373"/>
        <w:lock w:val="sdtLocked"/>
        <w:placeholder>
          <w:docPart w:val="GBC22222222222222222222222222222"/>
        </w:placeholder>
      </w:sdtPr>
      <w:sdtEndPr/>
      <w:sdtContent>
        <w:p w14:paraId="42EF990B" w14:textId="77777777" w:rsidR="00471D53" w:rsidRDefault="004F686E" w:rsidP="004F686E">
          <w:pPr>
            <w:pStyle w:val="afffff6"/>
            <w:numPr>
              <w:ilvl w:val="0"/>
              <w:numId w:val="35"/>
            </w:numPr>
            <w:ind w:left="420" w:hanging="420"/>
            <w:rPr>
              <w:rFonts w:ascii="宋体" w:hAnsi="宋体"/>
            </w:rPr>
          </w:pPr>
          <w:r>
            <w:rPr>
              <w:rFonts w:ascii="宋体" w:hAnsi="宋体" w:hint="eastAsia"/>
            </w:rPr>
            <w:t>与金融工具相关的风险</w:t>
          </w:r>
        </w:p>
        <w:sdt>
          <w:sdtPr>
            <w:alias w:val="是否适用：与金融工具相关的风险[双击切换]"/>
            <w:tag w:val="_GBC_c64d1e82474c4f20aebea3bef4cc2f0f"/>
            <w:id w:val="-1369213030"/>
            <w:lock w:val="sdtLocked"/>
            <w:placeholder>
              <w:docPart w:val="GBC22222222222222222222222222222"/>
            </w:placeholder>
          </w:sdtPr>
          <w:sdtEndPr/>
          <w:sdtContent>
            <w:p w14:paraId="7CCF05B2"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szCs w:val="21"/>
            </w:rPr>
            <w:alias w:val="与金融工具相关的风险"/>
            <w:tag w:val="_GBC_f6714dfdbb554edeb7e7fde71c65346d"/>
            <w:id w:val="-1531649632"/>
            <w:lock w:val="sdtLocked"/>
            <w:placeholder>
              <w:docPart w:val="GBC22222222222222222222222222222"/>
            </w:placeholder>
          </w:sdtPr>
          <w:sdtEndPr>
            <w:rPr>
              <w:b/>
            </w:rPr>
          </w:sdtEndPr>
          <w:sdtContent>
            <w:p w14:paraId="28AA8AD3" w14:textId="77777777" w:rsidR="00471D53" w:rsidRDefault="004F686E" w:rsidP="00471D53">
              <w:pPr>
                <w:autoSpaceDE w:val="0"/>
                <w:autoSpaceDN w:val="0"/>
                <w:adjustRightInd w:val="0"/>
                <w:spacing w:beforeLines="50" w:before="120" w:afterLines="50" w:after="120" w:line="360" w:lineRule="exact"/>
                <w:ind w:firstLineChars="200" w:firstLine="420"/>
                <w:jc w:val="both"/>
                <w:rPr>
                  <w:rFonts w:cs="MHei-Light-Identity-H"/>
                  <w:sz w:val="22"/>
                  <w:szCs w:val="22"/>
                </w:rPr>
              </w:pPr>
              <w:r>
                <w:rPr>
                  <w:rFonts w:cs="MHei-Light-Identity-H" w:hint="eastAsia"/>
                  <w:sz w:val="22"/>
                  <w:szCs w:val="22"/>
                </w:rPr>
                <w:t>本集团的主要金融工具包括借款、应收款项、应付款项等，各项金融工具的详细情况说明见本附注六。与这些金融工具有关的风险，以及本集团为降低这些风险所采取的风险管理政策如下所述。本集团管理层对这些风险敞口进行管理和监控以确保将上述风险控制在限定的范围之内。</w:t>
              </w:r>
            </w:p>
            <w:p w14:paraId="319C7B06" w14:textId="77777777" w:rsidR="00471D53" w:rsidRPr="00FB6D17" w:rsidRDefault="004F686E" w:rsidP="004F686E">
              <w:pPr>
                <w:pStyle w:val="afffff7"/>
                <w:numPr>
                  <w:ilvl w:val="0"/>
                  <w:numId w:val="97"/>
                </w:numPr>
                <w:spacing w:beforeLines="50" w:before="120" w:afterLines="50" w:after="120" w:line="360" w:lineRule="exact"/>
                <w:ind w:left="380" w:firstLine="40"/>
                <w:rPr>
                  <w:b w:val="0"/>
                  <w:sz w:val="22"/>
                </w:rPr>
              </w:pPr>
              <w:r w:rsidRPr="00FB6D17">
                <w:rPr>
                  <w:rFonts w:hint="eastAsia"/>
                  <w:b w:val="0"/>
                  <w:sz w:val="22"/>
                </w:rPr>
                <w:t>各类风险管理目标和政策</w:t>
              </w:r>
            </w:p>
            <w:p w14:paraId="5B285BC3" w14:textId="77777777" w:rsidR="00471D53" w:rsidRDefault="004F686E" w:rsidP="00471D53">
              <w:pPr>
                <w:autoSpaceDE w:val="0"/>
                <w:autoSpaceDN w:val="0"/>
                <w:adjustRightInd w:val="0"/>
                <w:spacing w:beforeLines="50" w:before="120" w:afterLines="50" w:after="120" w:line="360" w:lineRule="exact"/>
                <w:ind w:firstLineChars="200" w:firstLine="440"/>
                <w:jc w:val="both"/>
                <w:rPr>
                  <w:rFonts w:cs="MHei-Light-Identity-H"/>
                  <w:sz w:val="22"/>
                  <w:szCs w:val="22"/>
                </w:rPr>
              </w:pPr>
              <w:r>
                <w:rPr>
                  <w:rFonts w:cs="MHei-Light-Identity-H" w:hint="eastAsia"/>
                  <w:sz w:val="22"/>
                  <w:szCs w:val="22"/>
                </w:rPr>
                <w:t>本集团从事风险管理的目标是在风险和收益之间取得适当的平衡，将风险对本集团经营业绩的负面影响降低到最低水平，使股东及其它权益投资者的利益最大化。基于该风险管理目标，本集团风险管理的基本策略是确定和分析本集团所面临的各种风险，建立适当的风险承受底线并进行风险管理，并及时可靠地对各种风险进行监督，将风险控制在限定的范围之内。</w:t>
              </w:r>
            </w:p>
            <w:p w14:paraId="365525BA" w14:textId="77777777" w:rsidR="00471D53" w:rsidRPr="00FB6D17" w:rsidRDefault="004F686E" w:rsidP="004F686E">
              <w:pPr>
                <w:numPr>
                  <w:ilvl w:val="0"/>
                  <w:numId w:val="98"/>
                </w:numPr>
                <w:tabs>
                  <w:tab w:val="clear" w:pos="1160"/>
                  <w:tab w:val="num" w:pos="420"/>
                  <w:tab w:val="left" w:pos="720"/>
                  <w:tab w:val="left" w:pos="993"/>
                </w:tabs>
                <w:spacing w:beforeLines="50" w:before="120" w:afterLines="50" w:after="120" w:line="360" w:lineRule="exact"/>
                <w:ind w:leftChars="200" w:left="972" w:hangingChars="251" w:hanging="552"/>
                <w:outlineLvl w:val="2"/>
                <w:rPr>
                  <w:rFonts w:cs="Times New Roman"/>
                  <w:sz w:val="22"/>
                  <w:szCs w:val="22"/>
                </w:rPr>
              </w:pPr>
              <w:r w:rsidRPr="00FB6D17">
                <w:rPr>
                  <w:rFonts w:cs="Times New Roman" w:hint="eastAsia"/>
                  <w:sz w:val="22"/>
                  <w:szCs w:val="22"/>
                </w:rPr>
                <w:t>市场风险</w:t>
              </w:r>
            </w:p>
            <w:p w14:paraId="7B951AE5" w14:textId="77777777" w:rsidR="00471D53" w:rsidRDefault="004F686E" w:rsidP="00471D53">
              <w:pPr>
                <w:autoSpaceDE w:val="0"/>
                <w:autoSpaceDN w:val="0"/>
                <w:adjustRightInd w:val="0"/>
                <w:spacing w:beforeLines="50" w:before="120" w:afterLines="50" w:after="120" w:line="360" w:lineRule="exact"/>
                <w:ind w:left="440"/>
                <w:jc w:val="both"/>
                <w:rPr>
                  <w:rFonts w:cs="MHei-Light-Identity-H"/>
                  <w:sz w:val="22"/>
                  <w:szCs w:val="22"/>
                </w:rPr>
              </w:pPr>
              <w:r>
                <w:rPr>
                  <w:rFonts w:cs="MHei-Light-Identity-H" w:hint="eastAsia"/>
                  <w:sz w:val="22"/>
                  <w:szCs w:val="22"/>
                </w:rPr>
                <w:t>1）汇率风险</w:t>
              </w:r>
            </w:p>
            <w:p w14:paraId="2235CA97" w14:textId="77777777" w:rsidR="00471D53" w:rsidRDefault="004F686E" w:rsidP="00471D53">
              <w:pPr>
                <w:autoSpaceDE w:val="0"/>
                <w:autoSpaceDN w:val="0"/>
                <w:adjustRightInd w:val="0"/>
                <w:spacing w:beforeLines="50" w:before="120" w:afterLines="50" w:after="120" w:line="360" w:lineRule="exact"/>
                <w:ind w:firstLineChars="200" w:firstLine="440"/>
                <w:jc w:val="both"/>
                <w:rPr>
                  <w:rFonts w:cs="MHei-Light-Identity-H"/>
                  <w:sz w:val="22"/>
                  <w:szCs w:val="22"/>
                </w:rPr>
              </w:pPr>
              <w:r>
                <w:rPr>
                  <w:rFonts w:cs="MHei-Light-Identity-H" w:hint="eastAsia"/>
                  <w:sz w:val="22"/>
                  <w:szCs w:val="22"/>
                </w:rPr>
                <w:t>外汇风险指因汇率变动产生损失的风险。本集团承受外汇风险主要与美元有关，除本公司的下属子公司天海美洲公司、京城控股（香港）有限公司以美元进行采购和销售外，本集团的其它主要业务活动以人民币计价结算。于</w:t>
              </w:r>
              <w:r>
                <w:rPr>
                  <w:rFonts w:cs="MHei-Light-Identity-H"/>
                  <w:sz w:val="22"/>
                  <w:szCs w:val="22"/>
                </w:rPr>
                <w:t>20</w:t>
              </w:r>
              <w:r>
                <w:rPr>
                  <w:rFonts w:cs="MHei-Light-Identity-H" w:hint="eastAsia"/>
                  <w:sz w:val="22"/>
                  <w:szCs w:val="22"/>
                </w:rPr>
                <w:t>21年6月30日，除下表所述资产及负债的美元余额和零星的欧元、港币余额外，本集团的资产及负债均为人民币余额。该等外币余额的资产和负债产生的外汇风险可能对本集团的经营业绩产生影响。</w:t>
              </w:r>
            </w:p>
            <w:p w14:paraId="04A9BF07" w14:textId="77777777" w:rsidR="00471D53" w:rsidRDefault="00B664AF" w:rsidP="00471D53">
              <w:pPr>
                <w:autoSpaceDE w:val="0"/>
                <w:autoSpaceDN w:val="0"/>
                <w:adjustRightInd w:val="0"/>
                <w:spacing w:beforeLines="50" w:before="120" w:afterLines="50" w:after="120" w:line="360" w:lineRule="exact"/>
                <w:ind w:firstLineChars="200" w:firstLine="440"/>
                <w:jc w:val="both"/>
                <w:rPr>
                  <w:rFonts w:cs="MHei-Light-Identity-H"/>
                  <w:sz w:val="22"/>
                  <w:szCs w:val="22"/>
                </w:rPr>
              </w:pPr>
            </w:p>
            <w:tbl>
              <w:tblPr>
                <w:tblStyle w:val="g4"/>
                <w:tblW w:w="5000" w:type="pct"/>
                <w:tblBorders>
                  <w:top w:val="double" w:sz="4" w:space="0" w:color="auto"/>
                  <w:bottom w:val="double" w:sz="4" w:space="0" w:color="auto"/>
                  <w:insideH w:val="single" w:sz="2" w:space="0" w:color="auto"/>
                  <w:insideV w:val="single" w:sz="2" w:space="0" w:color="auto"/>
                </w:tblBorders>
                <w:tblLook w:val="0000" w:firstRow="0" w:lastRow="0" w:firstColumn="0" w:lastColumn="0" w:noHBand="0" w:noVBand="0"/>
              </w:tblPr>
              <w:tblGrid>
                <w:gridCol w:w="1687"/>
                <w:gridCol w:w="1687"/>
                <w:gridCol w:w="1767"/>
                <w:gridCol w:w="1786"/>
                <w:gridCol w:w="1906"/>
              </w:tblGrid>
              <w:tr w:rsidR="00471D53" w:rsidRPr="002E2C92" w14:paraId="2542D3D8" w14:textId="77777777" w:rsidTr="00471D53">
                <w:trPr>
                  <w:trHeight w:val="340"/>
                  <w:tblHeader/>
                </w:trPr>
                <w:tc>
                  <w:tcPr>
                    <w:tcW w:w="955" w:type="pct"/>
                    <w:vMerge w:val="restart"/>
                    <w:vAlign w:val="center"/>
                  </w:tcPr>
                  <w:p w14:paraId="7F121D8C" w14:textId="77777777" w:rsidR="00471D53" w:rsidRPr="002E2C92" w:rsidRDefault="004F686E" w:rsidP="00471D53">
                    <w:pPr>
                      <w:rPr>
                        <w:rFonts w:cs="Calibri"/>
                        <w:b/>
                        <w:bCs/>
                        <w:sz w:val="22"/>
                        <w:szCs w:val="22"/>
                      </w:rPr>
                    </w:pPr>
                    <w:r w:rsidRPr="002E2C92">
                      <w:rPr>
                        <w:rFonts w:cs="MHei-Light-Identity-H" w:hint="eastAsia"/>
                        <w:b/>
                        <w:bCs/>
                        <w:sz w:val="22"/>
                        <w:szCs w:val="22"/>
                      </w:rPr>
                      <w:t>项目</w:t>
                    </w:r>
                  </w:p>
                </w:tc>
                <w:tc>
                  <w:tcPr>
                    <w:tcW w:w="1955" w:type="pct"/>
                    <w:gridSpan w:val="2"/>
                    <w:vAlign w:val="center"/>
                  </w:tcPr>
                  <w:p w14:paraId="750471ED" w14:textId="77777777" w:rsidR="00471D53" w:rsidRPr="002E2C92" w:rsidRDefault="004F686E" w:rsidP="00471D53">
                    <w:pPr>
                      <w:jc w:val="center"/>
                      <w:rPr>
                        <w:rFonts w:cs="Calibri"/>
                        <w:b/>
                        <w:bCs/>
                        <w:color w:val="000000"/>
                        <w:sz w:val="22"/>
                        <w:szCs w:val="22"/>
                      </w:rPr>
                    </w:pPr>
                    <w:r w:rsidRPr="002E2C92">
                      <w:rPr>
                        <w:rFonts w:cs="Calibri" w:hint="eastAsia"/>
                        <w:b/>
                        <w:bCs/>
                        <w:color w:val="000000"/>
                        <w:sz w:val="22"/>
                        <w:szCs w:val="22"/>
                      </w:rPr>
                      <w:t>20</w:t>
                    </w:r>
                    <w:r w:rsidRPr="002E2C92">
                      <w:rPr>
                        <w:rFonts w:cs="Calibri"/>
                        <w:b/>
                        <w:bCs/>
                        <w:color w:val="000000"/>
                        <w:sz w:val="22"/>
                        <w:szCs w:val="22"/>
                      </w:rPr>
                      <w:t>2</w:t>
                    </w:r>
                    <w:r w:rsidRPr="002E2C92">
                      <w:rPr>
                        <w:rFonts w:cs="Calibri" w:hint="eastAsia"/>
                        <w:b/>
                        <w:bCs/>
                        <w:color w:val="000000"/>
                        <w:sz w:val="22"/>
                        <w:szCs w:val="22"/>
                      </w:rPr>
                      <w:t>1年</w:t>
                    </w:r>
                    <w:r w:rsidRPr="002E2C92">
                      <w:rPr>
                        <w:rFonts w:cs="Calibri"/>
                        <w:b/>
                        <w:bCs/>
                        <w:color w:val="000000"/>
                        <w:sz w:val="22"/>
                        <w:szCs w:val="22"/>
                      </w:rPr>
                      <w:t>06</w:t>
                    </w:r>
                    <w:r w:rsidRPr="002E2C92">
                      <w:rPr>
                        <w:rFonts w:cs="Calibri" w:hint="eastAsia"/>
                        <w:b/>
                        <w:bCs/>
                        <w:color w:val="000000"/>
                        <w:sz w:val="22"/>
                        <w:szCs w:val="22"/>
                      </w:rPr>
                      <w:t>月3</w:t>
                    </w:r>
                    <w:r w:rsidRPr="002E2C92">
                      <w:rPr>
                        <w:rFonts w:cs="Calibri"/>
                        <w:b/>
                        <w:bCs/>
                        <w:color w:val="000000"/>
                        <w:sz w:val="22"/>
                        <w:szCs w:val="22"/>
                      </w:rPr>
                      <w:t>0</w:t>
                    </w:r>
                    <w:r w:rsidRPr="002E2C92">
                      <w:rPr>
                        <w:rFonts w:cs="Calibri" w:hint="eastAsia"/>
                        <w:b/>
                        <w:bCs/>
                        <w:color w:val="000000"/>
                        <w:sz w:val="22"/>
                        <w:szCs w:val="22"/>
                      </w:rPr>
                      <w:t>日</w:t>
                    </w:r>
                  </w:p>
                </w:tc>
                <w:tc>
                  <w:tcPr>
                    <w:tcW w:w="2090" w:type="pct"/>
                    <w:gridSpan w:val="2"/>
                    <w:vAlign w:val="center"/>
                  </w:tcPr>
                  <w:p w14:paraId="46938ADB" w14:textId="77777777" w:rsidR="00471D53" w:rsidRPr="002E2C92" w:rsidRDefault="004F686E" w:rsidP="00471D53">
                    <w:pPr>
                      <w:jc w:val="center"/>
                      <w:rPr>
                        <w:rFonts w:cs="Calibri"/>
                        <w:b/>
                        <w:bCs/>
                        <w:color w:val="000000"/>
                        <w:sz w:val="22"/>
                        <w:szCs w:val="22"/>
                      </w:rPr>
                    </w:pPr>
                    <w:r w:rsidRPr="002E2C92">
                      <w:rPr>
                        <w:rFonts w:cs="Calibri" w:hint="eastAsia"/>
                        <w:b/>
                        <w:bCs/>
                        <w:color w:val="000000"/>
                        <w:sz w:val="22"/>
                        <w:szCs w:val="22"/>
                      </w:rPr>
                      <w:t>2020年12月31日</w:t>
                    </w:r>
                  </w:p>
                </w:tc>
              </w:tr>
              <w:tr w:rsidR="00471D53" w:rsidRPr="002E2C92" w14:paraId="6D35645C" w14:textId="77777777" w:rsidTr="00471D53">
                <w:trPr>
                  <w:trHeight w:val="340"/>
                  <w:tblHeader/>
                </w:trPr>
                <w:tc>
                  <w:tcPr>
                    <w:tcW w:w="955" w:type="pct"/>
                    <w:vMerge/>
                    <w:vAlign w:val="center"/>
                  </w:tcPr>
                  <w:p w14:paraId="0FC5C89C" w14:textId="77777777" w:rsidR="00471D53" w:rsidRPr="002E2C92" w:rsidRDefault="00B664AF" w:rsidP="00471D53">
                    <w:pPr>
                      <w:rPr>
                        <w:rFonts w:cs="Calibri"/>
                        <w:b/>
                        <w:bCs/>
                        <w:sz w:val="22"/>
                        <w:szCs w:val="22"/>
                      </w:rPr>
                    </w:pPr>
                  </w:p>
                </w:tc>
                <w:tc>
                  <w:tcPr>
                    <w:tcW w:w="955" w:type="pct"/>
                    <w:vAlign w:val="center"/>
                  </w:tcPr>
                  <w:p w14:paraId="31ADB28F" w14:textId="77777777" w:rsidR="00471D53" w:rsidRPr="002E2C92" w:rsidRDefault="004F686E" w:rsidP="00471D53">
                    <w:pPr>
                      <w:jc w:val="center"/>
                      <w:rPr>
                        <w:rFonts w:cs="Calibri"/>
                        <w:b/>
                        <w:bCs/>
                        <w:sz w:val="22"/>
                        <w:szCs w:val="22"/>
                      </w:rPr>
                    </w:pPr>
                    <w:r w:rsidRPr="002E2C92">
                      <w:rPr>
                        <w:rFonts w:cs="MHei-Light-Identity-H" w:hint="eastAsia"/>
                        <w:b/>
                        <w:bCs/>
                        <w:sz w:val="22"/>
                        <w:szCs w:val="22"/>
                      </w:rPr>
                      <w:t>原币</w:t>
                    </w:r>
                  </w:p>
                </w:tc>
                <w:tc>
                  <w:tcPr>
                    <w:tcW w:w="1000" w:type="pct"/>
                    <w:vAlign w:val="center"/>
                  </w:tcPr>
                  <w:p w14:paraId="6FA7E007" w14:textId="77777777" w:rsidR="00471D53" w:rsidRPr="002E2C92" w:rsidRDefault="004F686E" w:rsidP="00471D53">
                    <w:pPr>
                      <w:jc w:val="center"/>
                      <w:rPr>
                        <w:rFonts w:cs="Calibri"/>
                        <w:b/>
                        <w:bCs/>
                        <w:sz w:val="22"/>
                        <w:szCs w:val="22"/>
                      </w:rPr>
                    </w:pPr>
                    <w:r w:rsidRPr="002E2C92">
                      <w:rPr>
                        <w:rFonts w:cs="MHei-Light-Identity-H" w:hint="eastAsia"/>
                        <w:b/>
                        <w:bCs/>
                        <w:sz w:val="22"/>
                        <w:szCs w:val="22"/>
                      </w:rPr>
                      <w:t>折合人民币</w:t>
                    </w:r>
                  </w:p>
                </w:tc>
                <w:tc>
                  <w:tcPr>
                    <w:tcW w:w="1011" w:type="pct"/>
                    <w:vAlign w:val="center"/>
                  </w:tcPr>
                  <w:p w14:paraId="164A62B5" w14:textId="77777777" w:rsidR="00471D53" w:rsidRPr="002E2C92" w:rsidRDefault="004F686E" w:rsidP="00471D53">
                    <w:pPr>
                      <w:jc w:val="center"/>
                      <w:rPr>
                        <w:rFonts w:cs="Calibri"/>
                        <w:b/>
                        <w:bCs/>
                        <w:sz w:val="22"/>
                        <w:szCs w:val="22"/>
                      </w:rPr>
                    </w:pPr>
                    <w:r w:rsidRPr="002E2C92">
                      <w:rPr>
                        <w:rFonts w:cs="MHei-Light-Identity-H" w:hint="eastAsia"/>
                        <w:b/>
                        <w:bCs/>
                        <w:sz w:val="22"/>
                        <w:szCs w:val="22"/>
                      </w:rPr>
                      <w:t>原币</w:t>
                    </w:r>
                  </w:p>
                </w:tc>
                <w:tc>
                  <w:tcPr>
                    <w:tcW w:w="1079" w:type="pct"/>
                    <w:vAlign w:val="center"/>
                  </w:tcPr>
                  <w:p w14:paraId="3EB97E77" w14:textId="77777777" w:rsidR="00471D53" w:rsidRPr="002E2C92" w:rsidRDefault="004F686E" w:rsidP="00471D53">
                    <w:pPr>
                      <w:jc w:val="center"/>
                      <w:rPr>
                        <w:rFonts w:cs="Calibri"/>
                        <w:b/>
                        <w:bCs/>
                        <w:sz w:val="22"/>
                        <w:szCs w:val="22"/>
                      </w:rPr>
                    </w:pPr>
                    <w:r w:rsidRPr="002E2C92">
                      <w:rPr>
                        <w:rFonts w:cs="MHei-Light-Identity-H" w:hint="eastAsia"/>
                        <w:b/>
                        <w:bCs/>
                        <w:sz w:val="22"/>
                        <w:szCs w:val="22"/>
                      </w:rPr>
                      <w:t>折合人民币</w:t>
                    </w:r>
                  </w:p>
                </w:tc>
              </w:tr>
              <w:tr w:rsidR="00471D53" w:rsidRPr="002E2C92" w14:paraId="3F118BEE" w14:textId="77777777" w:rsidTr="00471D53">
                <w:trPr>
                  <w:trHeight w:val="340"/>
                </w:trPr>
                <w:tc>
                  <w:tcPr>
                    <w:tcW w:w="955" w:type="pct"/>
                    <w:vAlign w:val="center"/>
                  </w:tcPr>
                  <w:p w14:paraId="3458020D" w14:textId="77777777" w:rsidR="00471D53" w:rsidRPr="002E2C92" w:rsidRDefault="004F686E" w:rsidP="00471D53">
                    <w:pPr>
                      <w:rPr>
                        <w:rFonts w:cs="Calibri"/>
                        <w:b/>
                        <w:bCs/>
                        <w:sz w:val="22"/>
                        <w:szCs w:val="22"/>
                      </w:rPr>
                    </w:pPr>
                    <w:r w:rsidRPr="002E2C92">
                      <w:rPr>
                        <w:rFonts w:cs="Calibri" w:hint="eastAsia"/>
                        <w:b/>
                        <w:bCs/>
                        <w:sz w:val="22"/>
                        <w:szCs w:val="22"/>
                      </w:rPr>
                      <w:t>货币资金</w:t>
                    </w:r>
                  </w:p>
                </w:tc>
                <w:tc>
                  <w:tcPr>
                    <w:tcW w:w="955" w:type="pct"/>
                    <w:vAlign w:val="center"/>
                  </w:tcPr>
                  <w:p w14:paraId="2F538477" w14:textId="77777777" w:rsidR="00471D53" w:rsidRPr="002E2C92" w:rsidRDefault="004F686E" w:rsidP="00471D53">
                    <w:pPr>
                      <w:jc w:val="center"/>
                      <w:rPr>
                        <w:rFonts w:cs="Calibri"/>
                        <w:b/>
                        <w:bCs/>
                        <w:sz w:val="22"/>
                        <w:szCs w:val="22"/>
                      </w:rPr>
                    </w:pPr>
                    <w:r w:rsidRPr="002E2C92">
                      <w:rPr>
                        <w:rFonts w:cs="Calibri" w:hint="eastAsia"/>
                        <w:b/>
                        <w:bCs/>
                        <w:sz w:val="22"/>
                        <w:szCs w:val="22"/>
                      </w:rPr>
                      <w:t>—</w:t>
                    </w:r>
                  </w:p>
                </w:tc>
                <w:tc>
                  <w:tcPr>
                    <w:tcW w:w="1000" w:type="pct"/>
                    <w:vAlign w:val="center"/>
                  </w:tcPr>
                  <w:p w14:paraId="320D979B" w14:textId="77777777" w:rsidR="00471D53" w:rsidRPr="002E2C92" w:rsidRDefault="004F686E" w:rsidP="00471D53">
                    <w:pPr>
                      <w:jc w:val="right"/>
                      <w:rPr>
                        <w:rFonts w:cs="Calibri"/>
                        <w:b/>
                        <w:bCs/>
                        <w:sz w:val="22"/>
                        <w:szCs w:val="22"/>
                      </w:rPr>
                    </w:pPr>
                    <w:r w:rsidRPr="000E6D9F">
                      <w:rPr>
                        <w:rFonts w:cs="Calibri"/>
                        <w:b/>
                        <w:bCs/>
                        <w:sz w:val="22"/>
                        <w:szCs w:val="22"/>
                      </w:rPr>
                      <w:t>14,745,096.25</w:t>
                    </w:r>
                  </w:p>
                </w:tc>
                <w:tc>
                  <w:tcPr>
                    <w:tcW w:w="1011" w:type="pct"/>
                    <w:vAlign w:val="center"/>
                  </w:tcPr>
                  <w:p w14:paraId="4E7DEEFF" w14:textId="77777777" w:rsidR="00471D53" w:rsidRPr="002E2C92" w:rsidRDefault="004F686E" w:rsidP="00471D53">
                    <w:pPr>
                      <w:jc w:val="center"/>
                      <w:rPr>
                        <w:rFonts w:cs="Calibri"/>
                        <w:b/>
                        <w:bCs/>
                        <w:sz w:val="22"/>
                        <w:szCs w:val="22"/>
                      </w:rPr>
                    </w:pPr>
                    <w:r w:rsidRPr="002E2C92">
                      <w:rPr>
                        <w:rFonts w:cs="Calibri" w:hint="eastAsia"/>
                        <w:b/>
                        <w:bCs/>
                        <w:sz w:val="22"/>
                        <w:szCs w:val="22"/>
                      </w:rPr>
                      <w:t>—</w:t>
                    </w:r>
                  </w:p>
                </w:tc>
                <w:tc>
                  <w:tcPr>
                    <w:tcW w:w="1079" w:type="pct"/>
                    <w:vAlign w:val="center"/>
                  </w:tcPr>
                  <w:p w14:paraId="504696BC" w14:textId="77777777" w:rsidR="00471D53" w:rsidRPr="002E2C92" w:rsidRDefault="004F686E" w:rsidP="00471D53">
                    <w:pPr>
                      <w:jc w:val="right"/>
                      <w:rPr>
                        <w:rFonts w:cs="Calibri"/>
                        <w:b/>
                        <w:bCs/>
                        <w:sz w:val="22"/>
                        <w:szCs w:val="22"/>
                      </w:rPr>
                    </w:pPr>
                    <w:r w:rsidRPr="002E2C92">
                      <w:rPr>
                        <w:rFonts w:cs="Calibri"/>
                        <w:b/>
                        <w:bCs/>
                        <w:sz w:val="22"/>
                        <w:szCs w:val="22"/>
                      </w:rPr>
                      <w:t>30,631,164.15</w:t>
                    </w:r>
                  </w:p>
                </w:tc>
              </w:tr>
              <w:tr w:rsidR="00471D53" w:rsidRPr="002E2C92" w14:paraId="1A826FBB" w14:textId="77777777" w:rsidTr="00471D53">
                <w:trPr>
                  <w:trHeight w:val="340"/>
                </w:trPr>
                <w:tc>
                  <w:tcPr>
                    <w:tcW w:w="955" w:type="pct"/>
                    <w:vAlign w:val="center"/>
                  </w:tcPr>
                  <w:p w14:paraId="1F31F6F0" w14:textId="77777777" w:rsidR="00471D53" w:rsidRPr="002E2C92" w:rsidRDefault="004F686E" w:rsidP="00471D53">
                    <w:pPr>
                      <w:rPr>
                        <w:rFonts w:cs="Calibri"/>
                        <w:sz w:val="22"/>
                        <w:szCs w:val="22"/>
                      </w:rPr>
                    </w:pPr>
                    <w:r w:rsidRPr="002E2C92">
                      <w:rPr>
                        <w:rFonts w:cs="Calibri" w:hint="eastAsia"/>
                        <w:bCs/>
                        <w:sz w:val="22"/>
                        <w:szCs w:val="22"/>
                      </w:rPr>
                      <w:t>美元</w:t>
                    </w:r>
                  </w:p>
                </w:tc>
                <w:tc>
                  <w:tcPr>
                    <w:tcW w:w="955" w:type="pct"/>
                    <w:vAlign w:val="center"/>
                  </w:tcPr>
                  <w:p w14:paraId="5ADB27FB" w14:textId="77777777" w:rsidR="00471D53" w:rsidRPr="002E2C92" w:rsidRDefault="004F686E" w:rsidP="00471D53">
                    <w:pPr>
                      <w:jc w:val="right"/>
                      <w:rPr>
                        <w:rFonts w:cs="Calibri"/>
                        <w:sz w:val="22"/>
                        <w:szCs w:val="22"/>
                      </w:rPr>
                    </w:pPr>
                    <w:r w:rsidRPr="001033A3">
                      <w:rPr>
                        <w:rFonts w:cs="Calibri"/>
                        <w:sz w:val="22"/>
                        <w:szCs w:val="22"/>
                      </w:rPr>
                      <w:t>2,258,794.26</w:t>
                    </w:r>
                  </w:p>
                </w:tc>
                <w:tc>
                  <w:tcPr>
                    <w:tcW w:w="1000" w:type="pct"/>
                    <w:vAlign w:val="center"/>
                  </w:tcPr>
                  <w:p w14:paraId="2499BD60" w14:textId="77777777" w:rsidR="00471D53" w:rsidRPr="002E2C92" w:rsidRDefault="004F686E" w:rsidP="00471D53">
                    <w:pPr>
                      <w:jc w:val="right"/>
                      <w:rPr>
                        <w:rFonts w:cs="Calibri"/>
                        <w:sz w:val="22"/>
                        <w:szCs w:val="22"/>
                      </w:rPr>
                    </w:pPr>
                    <w:r w:rsidRPr="000E6D9F">
                      <w:rPr>
                        <w:rFonts w:cs="Calibri"/>
                        <w:sz w:val="22"/>
                        <w:szCs w:val="22"/>
                      </w:rPr>
                      <w:t>14,592,036.81</w:t>
                    </w:r>
                  </w:p>
                </w:tc>
                <w:tc>
                  <w:tcPr>
                    <w:tcW w:w="1011" w:type="pct"/>
                    <w:vAlign w:val="center"/>
                  </w:tcPr>
                  <w:p w14:paraId="3902C2A6" w14:textId="77777777" w:rsidR="00471D53" w:rsidRPr="002E2C92" w:rsidRDefault="004F686E" w:rsidP="00471D53">
                    <w:pPr>
                      <w:jc w:val="right"/>
                      <w:rPr>
                        <w:rFonts w:cs="Calibri"/>
                        <w:sz w:val="22"/>
                        <w:szCs w:val="22"/>
                      </w:rPr>
                    </w:pPr>
                    <w:r w:rsidRPr="002E2C92">
                      <w:rPr>
                        <w:rFonts w:cs="Calibri" w:hint="eastAsia"/>
                        <w:sz w:val="22"/>
                        <w:szCs w:val="22"/>
                      </w:rPr>
                      <w:t>4,560,398.88</w:t>
                    </w:r>
                  </w:p>
                </w:tc>
                <w:tc>
                  <w:tcPr>
                    <w:tcW w:w="1079" w:type="pct"/>
                    <w:vAlign w:val="center"/>
                  </w:tcPr>
                  <w:p w14:paraId="39F22BAD" w14:textId="77777777" w:rsidR="00471D53" w:rsidRPr="002E2C92" w:rsidRDefault="004F686E" w:rsidP="00471D53">
                    <w:pPr>
                      <w:jc w:val="right"/>
                      <w:rPr>
                        <w:rFonts w:cs="Calibri"/>
                        <w:sz w:val="22"/>
                        <w:szCs w:val="22"/>
                      </w:rPr>
                    </w:pPr>
                    <w:r w:rsidRPr="002E2C92">
                      <w:rPr>
                        <w:rFonts w:cs="Calibri" w:hint="eastAsia"/>
                        <w:sz w:val="22"/>
                        <w:szCs w:val="22"/>
                      </w:rPr>
                      <w:t>29,756,146.65</w:t>
                    </w:r>
                  </w:p>
                </w:tc>
              </w:tr>
              <w:tr w:rsidR="00471D53" w:rsidRPr="002E2C92" w14:paraId="13075EEA" w14:textId="77777777" w:rsidTr="00471D53">
                <w:trPr>
                  <w:trHeight w:val="340"/>
                </w:trPr>
                <w:tc>
                  <w:tcPr>
                    <w:tcW w:w="955" w:type="pct"/>
                    <w:vAlign w:val="center"/>
                  </w:tcPr>
                  <w:p w14:paraId="19051148" w14:textId="77777777" w:rsidR="00471D53" w:rsidRPr="002E2C92" w:rsidRDefault="004F686E" w:rsidP="00471D53">
                    <w:pPr>
                      <w:rPr>
                        <w:rFonts w:cs="Calibri"/>
                        <w:sz w:val="22"/>
                        <w:szCs w:val="22"/>
                      </w:rPr>
                    </w:pPr>
                    <w:r w:rsidRPr="002E2C92">
                      <w:rPr>
                        <w:rFonts w:cs="Calibri" w:hint="eastAsia"/>
                        <w:bCs/>
                        <w:sz w:val="22"/>
                        <w:szCs w:val="22"/>
                      </w:rPr>
                      <w:t>欧元</w:t>
                    </w:r>
                  </w:p>
                </w:tc>
                <w:tc>
                  <w:tcPr>
                    <w:tcW w:w="955" w:type="pct"/>
                    <w:vAlign w:val="center"/>
                  </w:tcPr>
                  <w:p w14:paraId="7274C168" w14:textId="77777777" w:rsidR="00471D53" w:rsidRPr="002E2C92" w:rsidRDefault="004F686E" w:rsidP="00471D53">
                    <w:pPr>
                      <w:jc w:val="right"/>
                      <w:rPr>
                        <w:rFonts w:cs="Calibri"/>
                        <w:sz w:val="22"/>
                        <w:szCs w:val="22"/>
                      </w:rPr>
                    </w:pPr>
                    <w:r w:rsidRPr="001033A3">
                      <w:rPr>
                        <w:rFonts w:cs="Calibri"/>
                        <w:sz w:val="22"/>
                        <w:szCs w:val="22"/>
                      </w:rPr>
                      <w:t>19,913.36</w:t>
                    </w:r>
                  </w:p>
                </w:tc>
                <w:tc>
                  <w:tcPr>
                    <w:tcW w:w="1000" w:type="pct"/>
                    <w:vAlign w:val="center"/>
                  </w:tcPr>
                  <w:p w14:paraId="042CB336" w14:textId="77777777" w:rsidR="00471D53" w:rsidRPr="002E2C92" w:rsidRDefault="004F686E" w:rsidP="00471D53">
                    <w:pPr>
                      <w:jc w:val="right"/>
                      <w:rPr>
                        <w:rFonts w:cs="Calibri"/>
                        <w:sz w:val="22"/>
                        <w:szCs w:val="22"/>
                      </w:rPr>
                    </w:pPr>
                    <w:r w:rsidRPr="000E6D9F">
                      <w:rPr>
                        <w:rFonts w:cs="Calibri"/>
                        <w:sz w:val="22"/>
                        <w:szCs w:val="22"/>
                      </w:rPr>
                      <w:t>153,058.03</w:t>
                    </w:r>
                  </w:p>
                </w:tc>
                <w:tc>
                  <w:tcPr>
                    <w:tcW w:w="1011" w:type="pct"/>
                    <w:vAlign w:val="center"/>
                  </w:tcPr>
                  <w:p w14:paraId="41E3DEFB" w14:textId="77777777" w:rsidR="00471D53" w:rsidRPr="002E2C92" w:rsidRDefault="004F686E" w:rsidP="00471D53">
                    <w:pPr>
                      <w:jc w:val="right"/>
                      <w:rPr>
                        <w:rFonts w:cs="Calibri"/>
                        <w:sz w:val="22"/>
                        <w:szCs w:val="22"/>
                      </w:rPr>
                    </w:pPr>
                    <w:r w:rsidRPr="002E2C92">
                      <w:rPr>
                        <w:rFonts w:cs="Calibri" w:hint="eastAsia"/>
                        <w:sz w:val="22"/>
                        <w:szCs w:val="22"/>
                      </w:rPr>
                      <w:t>107,381.38</w:t>
                    </w:r>
                  </w:p>
                </w:tc>
                <w:tc>
                  <w:tcPr>
                    <w:tcW w:w="1079" w:type="pct"/>
                    <w:vAlign w:val="center"/>
                  </w:tcPr>
                  <w:p w14:paraId="5DEE1E25" w14:textId="77777777" w:rsidR="00471D53" w:rsidRPr="002E2C92" w:rsidRDefault="004F686E" w:rsidP="00471D53">
                    <w:pPr>
                      <w:jc w:val="right"/>
                      <w:rPr>
                        <w:rFonts w:cs="Calibri"/>
                        <w:sz w:val="22"/>
                        <w:szCs w:val="22"/>
                      </w:rPr>
                    </w:pPr>
                    <w:r w:rsidRPr="002E2C92">
                      <w:rPr>
                        <w:rFonts w:cs="Calibri" w:hint="eastAsia"/>
                        <w:sz w:val="22"/>
                        <w:szCs w:val="22"/>
                      </w:rPr>
                      <w:t>861,735.58</w:t>
                    </w:r>
                  </w:p>
                </w:tc>
              </w:tr>
              <w:tr w:rsidR="00471D53" w:rsidRPr="002E2C92" w14:paraId="68588ABE" w14:textId="77777777" w:rsidTr="00471D53">
                <w:trPr>
                  <w:trHeight w:val="340"/>
                </w:trPr>
                <w:tc>
                  <w:tcPr>
                    <w:tcW w:w="955" w:type="pct"/>
                    <w:vAlign w:val="center"/>
                  </w:tcPr>
                  <w:p w14:paraId="1CD0F8F2" w14:textId="77777777" w:rsidR="00471D53" w:rsidRPr="002E2C92" w:rsidRDefault="004F686E" w:rsidP="00471D53">
                    <w:pPr>
                      <w:rPr>
                        <w:rFonts w:cs="Calibri"/>
                        <w:sz w:val="22"/>
                        <w:szCs w:val="22"/>
                      </w:rPr>
                    </w:pPr>
                    <w:r w:rsidRPr="002E2C92">
                      <w:rPr>
                        <w:rFonts w:cs="Calibri" w:hint="eastAsia"/>
                        <w:bCs/>
                        <w:sz w:val="22"/>
                        <w:szCs w:val="22"/>
                      </w:rPr>
                      <w:t>港币</w:t>
                    </w:r>
                  </w:p>
                </w:tc>
                <w:tc>
                  <w:tcPr>
                    <w:tcW w:w="955" w:type="pct"/>
                    <w:vAlign w:val="center"/>
                  </w:tcPr>
                  <w:p w14:paraId="17EB2FC3" w14:textId="77777777" w:rsidR="00471D53" w:rsidRPr="002E2C92" w:rsidRDefault="004F686E" w:rsidP="00471D53">
                    <w:pPr>
                      <w:jc w:val="right"/>
                      <w:rPr>
                        <w:rFonts w:cs="Calibri"/>
                        <w:sz w:val="22"/>
                        <w:szCs w:val="22"/>
                      </w:rPr>
                    </w:pPr>
                    <w:r w:rsidRPr="001033A3">
                      <w:rPr>
                        <w:rFonts w:cs="Calibri"/>
                        <w:sz w:val="22"/>
                        <w:szCs w:val="22"/>
                      </w:rPr>
                      <w:t>1.69</w:t>
                    </w:r>
                  </w:p>
                </w:tc>
                <w:tc>
                  <w:tcPr>
                    <w:tcW w:w="1000" w:type="pct"/>
                    <w:vAlign w:val="center"/>
                  </w:tcPr>
                  <w:p w14:paraId="34940922" w14:textId="77777777" w:rsidR="00471D53" w:rsidRPr="002E2C92" w:rsidRDefault="004F686E" w:rsidP="00471D53">
                    <w:pPr>
                      <w:jc w:val="right"/>
                      <w:rPr>
                        <w:rFonts w:cs="Calibri"/>
                        <w:sz w:val="22"/>
                        <w:szCs w:val="22"/>
                      </w:rPr>
                    </w:pPr>
                    <w:r w:rsidRPr="000E6D9F">
                      <w:rPr>
                        <w:rFonts w:cs="Calibri"/>
                        <w:sz w:val="22"/>
                        <w:szCs w:val="22"/>
                      </w:rPr>
                      <w:t>1.41</w:t>
                    </w:r>
                  </w:p>
                </w:tc>
                <w:tc>
                  <w:tcPr>
                    <w:tcW w:w="1011" w:type="pct"/>
                    <w:vAlign w:val="center"/>
                  </w:tcPr>
                  <w:p w14:paraId="2E2F2728" w14:textId="77777777" w:rsidR="00471D53" w:rsidRPr="002E2C92" w:rsidRDefault="004F686E" w:rsidP="00471D53">
                    <w:pPr>
                      <w:jc w:val="right"/>
                      <w:rPr>
                        <w:rFonts w:cs="Calibri"/>
                        <w:sz w:val="22"/>
                        <w:szCs w:val="22"/>
                      </w:rPr>
                    </w:pPr>
                    <w:r w:rsidRPr="002E2C92">
                      <w:rPr>
                        <w:rFonts w:cs="Calibri"/>
                        <w:sz w:val="22"/>
                        <w:szCs w:val="22"/>
                      </w:rPr>
                      <w:t>15,781.76</w:t>
                    </w:r>
                  </w:p>
                </w:tc>
                <w:tc>
                  <w:tcPr>
                    <w:tcW w:w="1079" w:type="pct"/>
                    <w:vAlign w:val="center"/>
                  </w:tcPr>
                  <w:p w14:paraId="61FE0026" w14:textId="77777777" w:rsidR="00471D53" w:rsidRPr="002E2C92" w:rsidRDefault="004F686E" w:rsidP="00471D53">
                    <w:pPr>
                      <w:jc w:val="right"/>
                      <w:rPr>
                        <w:rFonts w:cs="Calibri"/>
                        <w:sz w:val="22"/>
                        <w:szCs w:val="22"/>
                      </w:rPr>
                    </w:pPr>
                    <w:r w:rsidRPr="002E2C92">
                      <w:rPr>
                        <w:rFonts w:cs="Calibri"/>
                        <w:sz w:val="22"/>
                        <w:szCs w:val="22"/>
                      </w:rPr>
                      <w:t>13,281.93</w:t>
                    </w:r>
                  </w:p>
                </w:tc>
              </w:tr>
              <w:tr w:rsidR="00471D53" w:rsidRPr="002E2C92" w14:paraId="11AEB982" w14:textId="77777777" w:rsidTr="00471D53">
                <w:trPr>
                  <w:trHeight w:val="340"/>
                </w:trPr>
                <w:tc>
                  <w:tcPr>
                    <w:tcW w:w="955" w:type="pct"/>
                    <w:vAlign w:val="center"/>
                  </w:tcPr>
                  <w:p w14:paraId="27CF8C2B" w14:textId="77777777" w:rsidR="00471D53" w:rsidRPr="002E2C92" w:rsidRDefault="004F686E" w:rsidP="00471D53">
                    <w:pPr>
                      <w:rPr>
                        <w:rFonts w:cs="Calibri"/>
                        <w:b/>
                        <w:bCs/>
                        <w:sz w:val="22"/>
                        <w:szCs w:val="22"/>
                      </w:rPr>
                    </w:pPr>
                    <w:r w:rsidRPr="002E2C92">
                      <w:rPr>
                        <w:rFonts w:cs="Calibri" w:hint="eastAsia"/>
                        <w:b/>
                        <w:bCs/>
                        <w:sz w:val="22"/>
                        <w:szCs w:val="22"/>
                      </w:rPr>
                      <w:t>应收账款</w:t>
                    </w:r>
                  </w:p>
                </w:tc>
                <w:tc>
                  <w:tcPr>
                    <w:tcW w:w="955" w:type="pct"/>
                    <w:vAlign w:val="center"/>
                  </w:tcPr>
                  <w:p w14:paraId="60410BBC" w14:textId="77777777" w:rsidR="00471D53" w:rsidRPr="002E2C92" w:rsidRDefault="004F686E" w:rsidP="00471D53">
                    <w:pPr>
                      <w:jc w:val="center"/>
                      <w:rPr>
                        <w:rFonts w:cs="Calibri"/>
                        <w:b/>
                        <w:bCs/>
                        <w:sz w:val="22"/>
                        <w:szCs w:val="22"/>
                      </w:rPr>
                    </w:pPr>
                    <w:r w:rsidRPr="002E2C92">
                      <w:rPr>
                        <w:rFonts w:cs="Calibri" w:hint="eastAsia"/>
                        <w:b/>
                        <w:bCs/>
                        <w:sz w:val="22"/>
                        <w:szCs w:val="22"/>
                      </w:rPr>
                      <w:t>—</w:t>
                    </w:r>
                  </w:p>
                </w:tc>
                <w:tc>
                  <w:tcPr>
                    <w:tcW w:w="1000" w:type="pct"/>
                    <w:vAlign w:val="center"/>
                  </w:tcPr>
                  <w:p w14:paraId="3A6C1B64" w14:textId="77777777" w:rsidR="00471D53" w:rsidRPr="002E2C92" w:rsidRDefault="004F686E" w:rsidP="00471D53">
                    <w:pPr>
                      <w:jc w:val="right"/>
                      <w:rPr>
                        <w:rFonts w:cs="Calibri"/>
                        <w:b/>
                        <w:bCs/>
                        <w:sz w:val="22"/>
                        <w:szCs w:val="22"/>
                      </w:rPr>
                    </w:pPr>
                    <w:r w:rsidRPr="000E6D9F">
                      <w:rPr>
                        <w:rFonts w:cs="Calibri"/>
                        <w:b/>
                        <w:bCs/>
                        <w:sz w:val="22"/>
                        <w:szCs w:val="22"/>
                      </w:rPr>
                      <w:t>67,986,253.75</w:t>
                    </w:r>
                  </w:p>
                </w:tc>
                <w:tc>
                  <w:tcPr>
                    <w:tcW w:w="1011" w:type="pct"/>
                    <w:vAlign w:val="center"/>
                  </w:tcPr>
                  <w:p w14:paraId="60639AFA" w14:textId="77777777" w:rsidR="00471D53" w:rsidRPr="002E2C92" w:rsidRDefault="004F686E" w:rsidP="00471D53">
                    <w:pPr>
                      <w:jc w:val="center"/>
                      <w:rPr>
                        <w:rFonts w:cs="Calibri"/>
                        <w:b/>
                        <w:bCs/>
                        <w:sz w:val="22"/>
                        <w:szCs w:val="22"/>
                      </w:rPr>
                    </w:pPr>
                    <w:r w:rsidRPr="002E2C92">
                      <w:rPr>
                        <w:rFonts w:cs="Calibri" w:hint="eastAsia"/>
                        <w:b/>
                        <w:bCs/>
                        <w:sz w:val="22"/>
                        <w:szCs w:val="22"/>
                      </w:rPr>
                      <w:t>—</w:t>
                    </w:r>
                  </w:p>
                </w:tc>
                <w:tc>
                  <w:tcPr>
                    <w:tcW w:w="1079" w:type="pct"/>
                    <w:vAlign w:val="center"/>
                  </w:tcPr>
                  <w:p w14:paraId="683D45E1" w14:textId="77777777" w:rsidR="00471D53" w:rsidRPr="002E2C92" w:rsidRDefault="004F686E" w:rsidP="00471D53">
                    <w:pPr>
                      <w:jc w:val="right"/>
                      <w:rPr>
                        <w:rFonts w:cs="Calibri"/>
                        <w:b/>
                        <w:bCs/>
                        <w:sz w:val="22"/>
                        <w:szCs w:val="22"/>
                      </w:rPr>
                    </w:pPr>
                    <w:r w:rsidRPr="002E2C92">
                      <w:rPr>
                        <w:rFonts w:cs="Calibri" w:hint="eastAsia"/>
                        <w:b/>
                        <w:bCs/>
                        <w:sz w:val="22"/>
                        <w:szCs w:val="22"/>
                      </w:rPr>
                      <w:t>97,588,607.99</w:t>
                    </w:r>
                  </w:p>
                </w:tc>
              </w:tr>
              <w:tr w:rsidR="00471D53" w:rsidRPr="002E2C92" w14:paraId="52FCE7E8" w14:textId="77777777" w:rsidTr="00471D53">
                <w:trPr>
                  <w:trHeight w:val="340"/>
                </w:trPr>
                <w:tc>
                  <w:tcPr>
                    <w:tcW w:w="955" w:type="pct"/>
                    <w:vAlign w:val="center"/>
                  </w:tcPr>
                  <w:p w14:paraId="770F71DC" w14:textId="77777777" w:rsidR="00471D53" w:rsidRPr="002E2C92" w:rsidRDefault="004F686E" w:rsidP="00471D53">
                    <w:pPr>
                      <w:rPr>
                        <w:rFonts w:cs="Calibri"/>
                        <w:sz w:val="22"/>
                        <w:szCs w:val="22"/>
                      </w:rPr>
                    </w:pPr>
                    <w:r w:rsidRPr="002E2C92">
                      <w:rPr>
                        <w:rFonts w:cs="Calibri" w:hint="eastAsia"/>
                        <w:bCs/>
                        <w:sz w:val="22"/>
                        <w:szCs w:val="22"/>
                      </w:rPr>
                      <w:t>美元</w:t>
                    </w:r>
                  </w:p>
                </w:tc>
                <w:tc>
                  <w:tcPr>
                    <w:tcW w:w="955" w:type="pct"/>
                    <w:vAlign w:val="center"/>
                  </w:tcPr>
                  <w:p w14:paraId="2690099F" w14:textId="77777777" w:rsidR="00471D53" w:rsidRPr="002E2C92" w:rsidRDefault="004F686E" w:rsidP="00471D53">
                    <w:pPr>
                      <w:jc w:val="right"/>
                      <w:rPr>
                        <w:rFonts w:cs="Calibri"/>
                        <w:sz w:val="22"/>
                        <w:szCs w:val="22"/>
                      </w:rPr>
                    </w:pPr>
                    <w:r w:rsidRPr="000E6D9F">
                      <w:rPr>
                        <w:rFonts w:cs="Calibri"/>
                        <w:sz w:val="22"/>
                        <w:szCs w:val="22"/>
                      </w:rPr>
                      <w:t>6,506,637.25</w:t>
                    </w:r>
                  </w:p>
                </w:tc>
                <w:tc>
                  <w:tcPr>
                    <w:tcW w:w="1000" w:type="pct"/>
                    <w:vAlign w:val="center"/>
                  </w:tcPr>
                  <w:p w14:paraId="7ECDE69C" w14:textId="77777777" w:rsidR="00471D53" w:rsidRPr="002E2C92" w:rsidRDefault="004F686E" w:rsidP="00471D53">
                    <w:pPr>
                      <w:jc w:val="right"/>
                      <w:rPr>
                        <w:rFonts w:cs="Calibri"/>
                        <w:sz w:val="22"/>
                        <w:szCs w:val="22"/>
                      </w:rPr>
                    </w:pPr>
                    <w:r w:rsidRPr="000E6D9F">
                      <w:rPr>
                        <w:rFonts w:cs="Calibri"/>
                        <w:sz w:val="22"/>
                        <w:szCs w:val="22"/>
                      </w:rPr>
                      <w:t>42,033,527.28</w:t>
                    </w:r>
                  </w:p>
                </w:tc>
                <w:tc>
                  <w:tcPr>
                    <w:tcW w:w="1011" w:type="pct"/>
                    <w:vAlign w:val="center"/>
                  </w:tcPr>
                  <w:p w14:paraId="3C14E44F" w14:textId="77777777" w:rsidR="00471D53" w:rsidRPr="002E2C92" w:rsidRDefault="004F686E" w:rsidP="00471D53">
                    <w:pPr>
                      <w:jc w:val="right"/>
                      <w:rPr>
                        <w:rFonts w:cs="Calibri"/>
                        <w:sz w:val="22"/>
                        <w:szCs w:val="22"/>
                      </w:rPr>
                    </w:pPr>
                    <w:r w:rsidRPr="002E2C92">
                      <w:rPr>
                        <w:rFonts w:cs="Calibri" w:hint="eastAsia"/>
                        <w:sz w:val="22"/>
                        <w:szCs w:val="22"/>
                      </w:rPr>
                      <w:t>3,661,668.48</w:t>
                    </w:r>
                  </w:p>
                </w:tc>
                <w:tc>
                  <w:tcPr>
                    <w:tcW w:w="1079" w:type="pct"/>
                    <w:vAlign w:val="center"/>
                  </w:tcPr>
                  <w:p w14:paraId="08878B6F" w14:textId="77777777" w:rsidR="00471D53" w:rsidRPr="002E2C92" w:rsidRDefault="004F686E" w:rsidP="00471D53">
                    <w:pPr>
                      <w:jc w:val="right"/>
                      <w:rPr>
                        <w:rFonts w:cs="Calibri"/>
                        <w:sz w:val="22"/>
                        <w:szCs w:val="22"/>
                      </w:rPr>
                    </w:pPr>
                    <w:r w:rsidRPr="002E2C92">
                      <w:rPr>
                        <w:rFonts w:cs="Calibri" w:hint="eastAsia"/>
                        <w:sz w:val="22"/>
                        <w:szCs w:val="22"/>
                      </w:rPr>
                      <w:t>23,892,020.65</w:t>
                    </w:r>
                  </w:p>
                </w:tc>
              </w:tr>
              <w:tr w:rsidR="00471D53" w:rsidRPr="002E2C92" w14:paraId="3796C7BA" w14:textId="77777777" w:rsidTr="00471D53">
                <w:trPr>
                  <w:trHeight w:val="340"/>
                </w:trPr>
                <w:tc>
                  <w:tcPr>
                    <w:tcW w:w="955" w:type="pct"/>
                    <w:vAlign w:val="center"/>
                  </w:tcPr>
                  <w:p w14:paraId="4B598D2B" w14:textId="77777777" w:rsidR="00471D53" w:rsidRPr="002E2C92" w:rsidRDefault="004F686E" w:rsidP="00471D53">
                    <w:pPr>
                      <w:rPr>
                        <w:rFonts w:cs="Calibri"/>
                        <w:sz w:val="22"/>
                        <w:szCs w:val="22"/>
                      </w:rPr>
                    </w:pPr>
                    <w:r w:rsidRPr="002E2C92">
                      <w:rPr>
                        <w:rFonts w:cs="Calibri" w:hint="eastAsia"/>
                        <w:bCs/>
                        <w:sz w:val="22"/>
                        <w:szCs w:val="22"/>
                      </w:rPr>
                      <w:t>欧元</w:t>
                    </w:r>
                  </w:p>
                </w:tc>
                <w:tc>
                  <w:tcPr>
                    <w:tcW w:w="955" w:type="pct"/>
                    <w:vAlign w:val="center"/>
                  </w:tcPr>
                  <w:p w14:paraId="458974F3" w14:textId="77777777" w:rsidR="00471D53" w:rsidRPr="002E2C92" w:rsidRDefault="004F686E" w:rsidP="00471D53">
                    <w:pPr>
                      <w:jc w:val="right"/>
                      <w:rPr>
                        <w:rFonts w:cs="Calibri"/>
                        <w:sz w:val="22"/>
                        <w:szCs w:val="22"/>
                      </w:rPr>
                    </w:pPr>
                    <w:r w:rsidRPr="000E6D9F">
                      <w:rPr>
                        <w:rFonts w:cs="Calibri"/>
                        <w:sz w:val="22"/>
                        <w:szCs w:val="22"/>
                      </w:rPr>
                      <w:t>3,376,535.41</w:t>
                    </w:r>
                  </w:p>
                </w:tc>
                <w:tc>
                  <w:tcPr>
                    <w:tcW w:w="1000" w:type="pct"/>
                    <w:vAlign w:val="center"/>
                  </w:tcPr>
                  <w:p w14:paraId="45586F4F" w14:textId="77777777" w:rsidR="00471D53" w:rsidRPr="002E2C92" w:rsidRDefault="004F686E" w:rsidP="00471D53">
                    <w:pPr>
                      <w:jc w:val="right"/>
                      <w:rPr>
                        <w:rFonts w:cs="Calibri"/>
                        <w:sz w:val="22"/>
                        <w:szCs w:val="22"/>
                      </w:rPr>
                    </w:pPr>
                    <w:r w:rsidRPr="000E6D9F">
                      <w:rPr>
                        <w:rFonts w:cs="Calibri"/>
                        <w:sz w:val="22"/>
                        <w:szCs w:val="22"/>
                      </w:rPr>
                      <w:t>25,952,726.47</w:t>
                    </w:r>
                  </w:p>
                </w:tc>
                <w:tc>
                  <w:tcPr>
                    <w:tcW w:w="1011" w:type="pct"/>
                    <w:vAlign w:val="center"/>
                  </w:tcPr>
                  <w:p w14:paraId="6CB30C27" w14:textId="77777777" w:rsidR="00471D53" w:rsidRPr="002E2C92" w:rsidRDefault="004F686E" w:rsidP="00471D53">
                    <w:pPr>
                      <w:jc w:val="right"/>
                      <w:rPr>
                        <w:rFonts w:cs="Calibri"/>
                        <w:sz w:val="22"/>
                        <w:szCs w:val="22"/>
                      </w:rPr>
                    </w:pPr>
                    <w:r w:rsidRPr="002E2C92">
                      <w:rPr>
                        <w:rFonts w:cs="Calibri" w:hint="eastAsia"/>
                        <w:sz w:val="22"/>
                        <w:szCs w:val="22"/>
                      </w:rPr>
                      <w:t>9,183,375.37</w:t>
                    </w:r>
                  </w:p>
                </w:tc>
                <w:tc>
                  <w:tcPr>
                    <w:tcW w:w="1079" w:type="pct"/>
                    <w:vAlign w:val="center"/>
                  </w:tcPr>
                  <w:p w14:paraId="2BE627EF" w14:textId="77777777" w:rsidR="00471D53" w:rsidRPr="002E2C92" w:rsidRDefault="004F686E" w:rsidP="00471D53">
                    <w:pPr>
                      <w:jc w:val="right"/>
                      <w:rPr>
                        <w:rFonts w:cs="Calibri"/>
                        <w:sz w:val="22"/>
                        <w:szCs w:val="22"/>
                      </w:rPr>
                    </w:pPr>
                    <w:r w:rsidRPr="002E2C92">
                      <w:rPr>
                        <w:rFonts w:cs="Calibri" w:hint="eastAsia"/>
                        <w:sz w:val="22"/>
                        <w:szCs w:val="22"/>
                      </w:rPr>
                      <w:t>73,696,587.34</w:t>
                    </w:r>
                  </w:p>
                </w:tc>
              </w:tr>
              <w:tr w:rsidR="00471D53" w:rsidRPr="002E2C92" w14:paraId="0FF61CC6" w14:textId="77777777" w:rsidTr="00471D53">
                <w:trPr>
                  <w:trHeight w:val="340"/>
                </w:trPr>
                <w:tc>
                  <w:tcPr>
                    <w:tcW w:w="955" w:type="pct"/>
                    <w:vAlign w:val="center"/>
                  </w:tcPr>
                  <w:p w14:paraId="2E79047C" w14:textId="77777777" w:rsidR="00471D53" w:rsidRPr="002E2C92" w:rsidRDefault="004F686E" w:rsidP="00471D53">
                    <w:pPr>
                      <w:rPr>
                        <w:rFonts w:cs="Calibri"/>
                        <w:b/>
                        <w:bCs/>
                        <w:sz w:val="22"/>
                        <w:szCs w:val="22"/>
                      </w:rPr>
                    </w:pPr>
                    <w:r w:rsidRPr="002E2C92">
                      <w:rPr>
                        <w:rFonts w:cs="Calibri" w:hint="eastAsia"/>
                        <w:b/>
                        <w:bCs/>
                        <w:sz w:val="22"/>
                        <w:szCs w:val="22"/>
                      </w:rPr>
                      <w:t>预付款项</w:t>
                    </w:r>
                  </w:p>
                </w:tc>
                <w:tc>
                  <w:tcPr>
                    <w:tcW w:w="955" w:type="pct"/>
                    <w:vAlign w:val="center"/>
                  </w:tcPr>
                  <w:p w14:paraId="73ADE1AF" w14:textId="77777777" w:rsidR="00471D53" w:rsidRPr="002E2C92" w:rsidRDefault="004F686E" w:rsidP="00471D53">
                    <w:pPr>
                      <w:jc w:val="center"/>
                      <w:rPr>
                        <w:rFonts w:cs="Calibri"/>
                        <w:b/>
                        <w:bCs/>
                        <w:sz w:val="22"/>
                        <w:szCs w:val="22"/>
                      </w:rPr>
                    </w:pPr>
                    <w:r w:rsidRPr="002E2C92">
                      <w:rPr>
                        <w:rFonts w:cs="Calibri" w:hint="eastAsia"/>
                        <w:b/>
                        <w:bCs/>
                        <w:sz w:val="22"/>
                        <w:szCs w:val="22"/>
                      </w:rPr>
                      <w:t>—</w:t>
                    </w:r>
                  </w:p>
                </w:tc>
                <w:tc>
                  <w:tcPr>
                    <w:tcW w:w="1000" w:type="pct"/>
                    <w:vAlign w:val="center"/>
                  </w:tcPr>
                  <w:p w14:paraId="70B7F234" w14:textId="77777777" w:rsidR="00471D53" w:rsidRPr="002E2C92" w:rsidRDefault="004F686E" w:rsidP="00471D53">
                    <w:pPr>
                      <w:jc w:val="right"/>
                      <w:rPr>
                        <w:rFonts w:cs="Calibri"/>
                        <w:b/>
                        <w:bCs/>
                        <w:sz w:val="22"/>
                        <w:szCs w:val="22"/>
                      </w:rPr>
                    </w:pPr>
                    <w:r w:rsidRPr="000E6D9F">
                      <w:rPr>
                        <w:rFonts w:cs="Calibri"/>
                        <w:b/>
                        <w:bCs/>
                        <w:sz w:val="22"/>
                        <w:szCs w:val="22"/>
                      </w:rPr>
                      <w:t>3,436,831.85</w:t>
                    </w:r>
                  </w:p>
                </w:tc>
                <w:tc>
                  <w:tcPr>
                    <w:tcW w:w="1011" w:type="pct"/>
                    <w:vAlign w:val="center"/>
                  </w:tcPr>
                  <w:p w14:paraId="5BD3AA01" w14:textId="77777777" w:rsidR="00471D53" w:rsidRPr="002E2C92" w:rsidRDefault="004F686E" w:rsidP="00471D53">
                    <w:pPr>
                      <w:jc w:val="center"/>
                      <w:rPr>
                        <w:rFonts w:cs="Calibri"/>
                        <w:b/>
                        <w:bCs/>
                        <w:sz w:val="22"/>
                        <w:szCs w:val="22"/>
                      </w:rPr>
                    </w:pPr>
                    <w:r w:rsidRPr="002E2C92">
                      <w:rPr>
                        <w:rFonts w:cs="Calibri" w:hint="eastAsia"/>
                        <w:b/>
                        <w:bCs/>
                        <w:sz w:val="22"/>
                        <w:szCs w:val="22"/>
                      </w:rPr>
                      <w:t>—</w:t>
                    </w:r>
                  </w:p>
                </w:tc>
                <w:tc>
                  <w:tcPr>
                    <w:tcW w:w="1079" w:type="pct"/>
                    <w:vAlign w:val="center"/>
                  </w:tcPr>
                  <w:p w14:paraId="622DBE9B" w14:textId="77777777" w:rsidR="00471D53" w:rsidRPr="002E2C92" w:rsidRDefault="004F686E" w:rsidP="00471D53">
                    <w:pPr>
                      <w:jc w:val="right"/>
                      <w:rPr>
                        <w:rFonts w:cs="Calibri"/>
                        <w:b/>
                        <w:bCs/>
                        <w:sz w:val="22"/>
                        <w:szCs w:val="22"/>
                      </w:rPr>
                    </w:pPr>
                    <w:r w:rsidRPr="002E2C92">
                      <w:rPr>
                        <w:rFonts w:cs="Calibri" w:hint="eastAsia"/>
                        <w:b/>
                        <w:bCs/>
                        <w:sz w:val="22"/>
                        <w:szCs w:val="22"/>
                      </w:rPr>
                      <w:t>15,507,218.53</w:t>
                    </w:r>
                  </w:p>
                </w:tc>
              </w:tr>
              <w:tr w:rsidR="00471D53" w:rsidRPr="002E2C92" w14:paraId="61AEBB70" w14:textId="77777777" w:rsidTr="00471D53">
                <w:trPr>
                  <w:trHeight w:val="340"/>
                </w:trPr>
                <w:tc>
                  <w:tcPr>
                    <w:tcW w:w="955" w:type="pct"/>
                    <w:vAlign w:val="center"/>
                  </w:tcPr>
                  <w:p w14:paraId="6FBA90F3" w14:textId="77777777" w:rsidR="00471D53" w:rsidRPr="002E2C92" w:rsidRDefault="004F686E" w:rsidP="00471D53">
                    <w:pPr>
                      <w:rPr>
                        <w:rFonts w:cs="Calibri"/>
                        <w:sz w:val="22"/>
                        <w:szCs w:val="22"/>
                      </w:rPr>
                    </w:pPr>
                    <w:r w:rsidRPr="002E2C92">
                      <w:rPr>
                        <w:rFonts w:cs="Calibri" w:hint="eastAsia"/>
                        <w:bCs/>
                        <w:sz w:val="22"/>
                        <w:szCs w:val="22"/>
                      </w:rPr>
                      <w:t>美元</w:t>
                    </w:r>
                  </w:p>
                </w:tc>
                <w:tc>
                  <w:tcPr>
                    <w:tcW w:w="955" w:type="pct"/>
                    <w:vAlign w:val="center"/>
                  </w:tcPr>
                  <w:p w14:paraId="63579CE2" w14:textId="77777777" w:rsidR="00471D53" w:rsidRPr="002E2C92" w:rsidRDefault="004F686E" w:rsidP="00471D53">
                    <w:pPr>
                      <w:jc w:val="right"/>
                      <w:rPr>
                        <w:rFonts w:cs="Calibri"/>
                        <w:sz w:val="22"/>
                        <w:szCs w:val="22"/>
                      </w:rPr>
                    </w:pPr>
                    <w:r w:rsidRPr="000E6D9F">
                      <w:rPr>
                        <w:rFonts w:cs="Calibri"/>
                        <w:sz w:val="22"/>
                        <w:szCs w:val="22"/>
                      </w:rPr>
                      <w:t>481,536.42</w:t>
                    </w:r>
                  </w:p>
                </w:tc>
                <w:tc>
                  <w:tcPr>
                    <w:tcW w:w="1000" w:type="pct"/>
                    <w:vAlign w:val="center"/>
                  </w:tcPr>
                  <w:p w14:paraId="332A6571" w14:textId="77777777" w:rsidR="00471D53" w:rsidRPr="002E2C92" w:rsidRDefault="004F686E" w:rsidP="00471D53">
                    <w:pPr>
                      <w:jc w:val="right"/>
                      <w:rPr>
                        <w:rFonts w:cs="Calibri"/>
                        <w:sz w:val="22"/>
                        <w:szCs w:val="22"/>
                      </w:rPr>
                    </w:pPr>
                    <w:r w:rsidRPr="000E6D9F">
                      <w:rPr>
                        <w:rFonts w:cs="Calibri"/>
                        <w:sz w:val="22"/>
                        <w:szCs w:val="22"/>
                      </w:rPr>
                      <w:t>3,110,773.42</w:t>
                    </w:r>
                  </w:p>
                </w:tc>
                <w:tc>
                  <w:tcPr>
                    <w:tcW w:w="1011" w:type="pct"/>
                    <w:vAlign w:val="center"/>
                  </w:tcPr>
                  <w:p w14:paraId="7C8263A2" w14:textId="77777777" w:rsidR="00471D53" w:rsidRPr="002E2C92" w:rsidRDefault="004F686E" w:rsidP="00471D53">
                    <w:pPr>
                      <w:jc w:val="right"/>
                      <w:rPr>
                        <w:rFonts w:cs="Calibri"/>
                        <w:sz w:val="22"/>
                        <w:szCs w:val="22"/>
                      </w:rPr>
                    </w:pPr>
                    <w:r w:rsidRPr="002E2C92">
                      <w:rPr>
                        <w:rFonts w:cs="Calibri" w:hint="eastAsia"/>
                        <w:sz w:val="22"/>
                        <w:szCs w:val="22"/>
                      </w:rPr>
                      <w:t>2,376,351.06</w:t>
                    </w:r>
                  </w:p>
                </w:tc>
                <w:tc>
                  <w:tcPr>
                    <w:tcW w:w="1079" w:type="pct"/>
                    <w:vAlign w:val="center"/>
                  </w:tcPr>
                  <w:p w14:paraId="313537E9" w14:textId="77777777" w:rsidR="00471D53" w:rsidRPr="002E2C92" w:rsidRDefault="004F686E" w:rsidP="00471D53">
                    <w:pPr>
                      <w:jc w:val="right"/>
                      <w:rPr>
                        <w:rFonts w:cs="Calibri"/>
                        <w:sz w:val="22"/>
                        <w:szCs w:val="22"/>
                      </w:rPr>
                    </w:pPr>
                    <w:r w:rsidRPr="002E2C92">
                      <w:rPr>
                        <w:rFonts w:cs="Calibri" w:hint="eastAsia"/>
                        <w:sz w:val="22"/>
                        <w:szCs w:val="22"/>
                      </w:rPr>
                      <w:t>15,505,453.03</w:t>
                    </w:r>
                  </w:p>
                </w:tc>
              </w:tr>
              <w:tr w:rsidR="00471D53" w:rsidRPr="002E2C92" w14:paraId="0683F305" w14:textId="77777777" w:rsidTr="00471D53">
                <w:trPr>
                  <w:trHeight w:val="340"/>
                </w:trPr>
                <w:tc>
                  <w:tcPr>
                    <w:tcW w:w="955" w:type="pct"/>
                    <w:vAlign w:val="center"/>
                  </w:tcPr>
                  <w:p w14:paraId="075990B5" w14:textId="77777777" w:rsidR="00471D53" w:rsidRPr="002E2C92" w:rsidRDefault="004F686E" w:rsidP="00471D53">
                    <w:pPr>
                      <w:rPr>
                        <w:rFonts w:cs="Calibri"/>
                        <w:sz w:val="22"/>
                        <w:szCs w:val="22"/>
                      </w:rPr>
                    </w:pPr>
                    <w:r w:rsidRPr="002E2C92">
                      <w:rPr>
                        <w:rFonts w:cs="Calibri" w:hint="eastAsia"/>
                        <w:bCs/>
                        <w:sz w:val="22"/>
                        <w:szCs w:val="22"/>
                      </w:rPr>
                      <w:t>欧元</w:t>
                    </w:r>
                  </w:p>
                </w:tc>
                <w:tc>
                  <w:tcPr>
                    <w:tcW w:w="955" w:type="pct"/>
                    <w:vAlign w:val="center"/>
                  </w:tcPr>
                  <w:p w14:paraId="12111B24" w14:textId="77777777" w:rsidR="00471D53" w:rsidRPr="002E2C92" w:rsidRDefault="004F686E" w:rsidP="00471D53">
                    <w:pPr>
                      <w:jc w:val="right"/>
                      <w:rPr>
                        <w:rFonts w:cs="Calibri"/>
                        <w:sz w:val="22"/>
                        <w:szCs w:val="22"/>
                      </w:rPr>
                    </w:pPr>
                    <w:r w:rsidRPr="000E6D9F">
                      <w:rPr>
                        <w:rFonts w:cs="Calibri"/>
                        <w:sz w:val="22"/>
                        <w:szCs w:val="22"/>
                      </w:rPr>
                      <w:t>42,421.28</w:t>
                    </w:r>
                  </w:p>
                </w:tc>
                <w:tc>
                  <w:tcPr>
                    <w:tcW w:w="1000" w:type="pct"/>
                    <w:vAlign w:val="center"/>
                  </w:tcPr>
                  <w:p w14:paraId="354AEE13" w14:textId="77777777" w:rsidR="00471D53" w:rsidRPr="002E2C92" w:rsidRDefault="004F686E" w:rsidP="00471D53">
                    <w:pPr>
                      <w:jc w:val="right"/>
                      <w:rPr>
                        <w:rFonts w:cs="Calibri"/>
                        <w:sz w:val="22"/>
                        <w:szCs w:val="22"/>
                      </w:rPr>
                    </w:pPr>
                    <w:r w:rsidRPr="000E6D9F">
                      <w:rPr>
                        <w:rFonts w:cs="Calibri"/>
                        <w:sz w:val="22"/>
                        <w:szCs w:val="22"/>
                      </w:rPr>
                      <w:t>326,058.43</w:t>
                    </w:r>
                  </w:p>
                </w:tc>
                <w:tc>
                  <w:tcPr>
                    <w:tcW w:w="1011" w:type="pct"/>
                    <w:vAlign w:val="center"/>
                  </w:tcPr>
                  <w:p w14:paraId="169C1902" w14:textId="77777777" w:rsidR="00471D53" w:rsidRPr="002E2C92" w:rsidRDefault="004F686E" w:rsidP="00471D53">
                    <w:pPr>
                      <w:jc w:val="right"/>
                      <w:rPr>
                        <w:rFonts w:cs="Calibri"/>
                        <w:sz w:val="22"/>
                        <w:szCs w:val="22"/>
                      </w:rPr>
                    </w:pPr>
                    <w:r w:rsidRPr="002E2C92">
                      <w:rPr>
                        <w:rFonts w:cs="Calibri" w:hint="eastAsia"/>
                        <w:sz w:val="22"/>
                        <w:szCs w:val="22"/>
                      </w:rPr>
                      <w:t>220.00</w:t>
                    </w:r>
                  </w:p>
                </w:tc>
                <w:tc>
                  <w:tcPr>
                    <w:tcW w:w="1079" w:type="pct"/>
                    <w:vAlign w:val="center"/>
                  </w:tcPr>
                  <w:p w14:paraId="7D782DDA" w14:textId="77777777" w:rsidR="00471D53" w:rsidRPr="002E2C92" w:rsidRDefault="004F686E" w:rsidP="00471D53">
                    <w:pPr>
                      <w:jc w:val="right"/>
                      <w:rPr>
                        <w:rFonts w:cs="Calibri"/>
                        <w:sz w:val="22"/>
                        <w:szCs w:val="22"/>
                      </w:rPr>
                    </w:pPr>
                    <w:r w:rsidRPr="002E2C92">
                      <w:rPr>
                        <w:rFonts w:cs="Calibri" w:hint="eastAsia"/>
                        <w:sz w:val="22"/>
                        <w:szCs w:val="22"/>
                      </w:rPr>
                      <w:t>1,765.50</w:t>
                    </w:r>
                  </w:p>
                </w:tc>
              </w:tr>
              <w:tr w:rsidR="00471D53" w:rsidRPr="002E2C92" w14:paraId="60E07547" w14:textId="77777777" w:rsidTr="00471D53">
                <w:trPr>
                  <w:trHeight w:val="340"/>
                </w:trPr>
                <w:tc>
                  <w:tcPr>
                    <w:tcW w:w="955" w:type="pct"/>
                    <w:vAlign w:val="center"/>
                  </w:tcPr>
                  <w:p w14:paraId="0F0EACCF" w14:textId="77777777" w:rsidR="00471D53" w:rsidRPr="002E2C92" w:rsidRDefault="004F686E" w:rsidP="00471D53">
                    <w:pPr>
                      <w:rPr>
                        <w:rFonts w:cs="Calibri"/>
                        <w:b/>
                        <w:bCs/>
                        <w:sz w:val="22"/>
                        <w:szCs w:val="22"/>
                      </w:rPr>
                    </w:pPr>
                    <w:r w:rsidRPr="002E2C92">
                      <w:rPr>
                        <w:rFonts w:cs="Calibri" w:hint="eastAsia"/>
                        <w:b/>
                        <w:bCs/>
                        <w:sz w:val="22"/>
                        <w:szCs w:val="22"/>
                      </w:rPr>
                      <w:t>其他应收款</w:t>
                    </w:r>
                  </w:p>
                </w:tc>
                <w:tc>
                  <w:tcPr>
                    <w:tcW w:w="955" w:type="pct"/>
                    <w:vAlign w:val="center"/>
                  </w:tcPr>
                  <w:p w14:paraId="41083832" w14:textId="77777777" w:rsidR="00471D53" w:rsidRPr="002E2C92" w:rsidRDefault="004F686E" w:rsidP="00471D53">
                    <w:pPr>
                      <w:jc w:val="right"/>
                      <w:rPr>
                        <w:rFonts w:cs="Calibri"/>
                        <w:sz w:val="22"/>
                        <w:szCs w:val="22"/>
                      </w:rPr>
                    </w:pPr>
                    <w:r w:rsidRPr="002E2C92">
                      <w:rPr>
                        <w:rFonts w:cs="Calibri" w:hint="eastAsia"/>
                        <w:sz w:val="22"/>
                        <w:szCs w:val="22"/>
                      </w:rPr>
                      <w:t>—</w:t>
                    </w:r>
                  </w:p>
                </w:tc>
                <w:tc>
                  <w:tcPr>
                    <w:tcW w:w="1000" w:type="pct"/>
                    <w:vAlign w:val="center"/>
                  </w:tcPr>
                  <w:p w14:paraId="7360BC70" w14:textId="77777777" w:rsidR="00471D53" w:rsidRPr="000E6D9F" w:rsidRDefault="004F686E" w:rsidP="00471D53">
                    <w:pPr>
                      <w:jc w:val="right"/>
                      <w:rPr>
                        <w:rFonts w:cs="Calibri"/>
                        <w:b/>
                        <w:sz w:val="22"/>
                        <w:szCs w:val="22"/>
                      </w:rPr>
                    </w:pPr>
                    <w:r w:rsidRPr="000E6D9F">
                      <w:rPr>
                        <w:rFonts w:cs="Calibri"/>
                        <w:b/>
                        <w:sz w:val="22"/>
                        <w:szCs w:val="22"/>
                      </w:rPr>
                      <w:t>969,015.00</w:t>
                    </w:r>
                  </w:p>
                </w:tc>
                <w:tc>
                  <w:tcPr>
                    <w:tcW w:w="1011" w:type="pct"/>
                    <w:vAlign w:val="center"/>
                  </w:tcPr>
                  <w:p w14:paraId="612A1291" w14:textId="77777777" w:rsidR="00471D53" w:rsidRPr="002E2C92" w:rsidRDefault="004F686E" w:rsidP="00471D53">
                    <w:pPr>
                      <w:jc w:val="right"/>
                      <w:rPr>
                        <w:rFonts w:cs="Calibri"/>
                        <w:sz w:val="22"/>
                        <w:szCs w:val="22"/>
                      </w:rPr>
                    </w:pPr>
                    <w:r w:rsidRPr="002E2C92">
                      <w:rPr>
                        <w:rFonts w:cs="Calibri" w:hint="eastAsia"/>
                        <w:sz w:val="22"/>
                        <w:szCs w:val="22"/>
                      </w:rPr>
                      <w:t>—</w:t>
                    </w:r>
                  </w:p>
                </w:tc>
                <w:tc>
                  <w:tcPr>
                    <w:tcW w:w="1079" w:type="pct"/>
                    <w:vAlign w:val="center"/>
                  </w:tcPr>
                  <w:p w14:paraId="26172483" w14:textId="77777777" w:rsidR="00471D53" w:rsidRPr="002E2C92" w:rsidRDefault="004F686E" w:rsidP="00471D53">
                    <w:pPr>
                      <w:jc w:val="right"/>
                      <w:rPr>
                        <w:rFonts w:cs="Calibri"/>
                        <w:sz w:val="22"/>
                        <w:szCs w:val="22"/>
                      </w:rPr>
                    </w:pPr>
                    <w:r w:rsidRPr="002E2C92">
                      <w:rPr>
                        <w:rFonts w:cs="Calibri" w:hint="eastAsia"/>
                        <w:b/>
                        <w:bCs/>
                        <w:sz w:val="22"/>
                        <w:szCs w:val="22"/>
                      </w:rPr>
                      <w:t>978,735.00</w:t>
                    </w:r>
                  </w:p>
                </w:tc>
              </w:tr>
              <w:tr w:rsidR="00471D53" w:rsidRPr="002E2C92" w14:paraId="7A989084" w14:textId="77777777" w:rsidTr="00471D53">
                <w:trPr>
                  <w:trHeight w:val="340"/>
                </w:trPr>
                <w:tc>
                  <w:tcPr>
                    <w:tcW w:w="955" w:type="pct"/>
                    <w:vAlign w:val="center"/>
                  </w:tcPr>
                  <w:p w14:paraId="1E000DC5" w14:textId="77777777" w:rsidR="00471D53" w:rsidRPr="002E2C92" w:rsidRDefault="004F686E" w:rsidP="00471D53">
                    <w:pPr>
                      <w:rPr>
                        <w:rFonts w:cs="Calibri"/>
                        <w:sz w:val="22"/>
                        <w:szCs w:val="22"/>
                      </w:rPr>
                    </w:pPr>
                    <w:r w:rsidRPr="002E2C92">
                      <w:rPr>
                        <w:rFonts w:cs="Calibri" w:hint="eastAsia"/>
                        <w:sz w:val="22"/>
                        <w:szCs w:val="22"/>
                      </w:rPr>
                      <w:t>美元</w:t>
                    </w:r>
                  </w:p>
                </w:tc>
                <w:tc>
                  <w:tcPr>
                    <w:tcW w:w="955" w:type="pct"/>
                    <w:vAlign w:val="center"/>
                  </w:tcPr>
                  <w:p w14:paraId="031D0467" w14:textId="77777777" w:rsidR="00471D53" w:rsidRPr="002E2C92" w:rsidRDefault="004F686E" w:rsidP="00471D53">
                    <w:pPr>
                      <w:jc w:val="right"/>
                      <w:rPr>
                        <w:rFonts w:cs="Calibri"/>
                        <w:sz w:val="22"/>
                        <w:szCs w:val="22"/>
                      </w:rPr>
                    </w:pPr>
                    <w:r w:rsidRPr="000E6D9F">
                      <w:rPr>
                        <w:rFonts w:cs="Calibri"/>
                        <w:sz w:val="22"/>
                        <w:szCs w:val="22"/>
                      </w:rPr>
                      <w:t>150,000.00</w:t>
                    </w:r>
                  </w:p>
                </w:tc>
                <w:tc>
                  <w:tcPr>
                    <w:tcW w:w="1000" w:type="pct"/>
                    <w:vAlign w:val="center"/>
                  </w:tcPr>
                  <w:p w14:paraId="0B3EA1FD" w14:textId="77777777" w:rsidR="00471D53" w:rsidRPr="002E2C92" w:rsidRDefault="004F686E" w:rsidP="00471D53">
                    <w:pPr>
                      <w:jc w:val="right"/>
                      <w:rPr>
                        <w:rFonts w:cs="Calibri"/>
                        <w:sz w:val="22"/>
                        <w:szCs w:val="22"/>
                      </w:rPr>
                    </w:pPr>
                    <w:r w:rsidRPr="000E6D9F">
                      <w:rPr>
                        <w:rFonts w:cs="Calibri"/>
                        <w:sz w:val="22"/>
                        <w:szCs w:val="22"/>
                      </w:rPr>
                      <w:t>969,015.00</w:t>
                    </w:r>
                  </w:p>
                </w:tc>
                <w:tc>
                  <w:tcPr>
                    <w:tcW w:w="1011" w:type="pct"/>
                    <w:vAlign w:val="center"/>
                  </w:tcPr>
                  <w:p w14:paraId="7CD90DB9" w14:textId="77777777" w:rsidR="00471D53" w:rsidRPr="002E2C92" w:rsidRDefault="004F686E" w:rsidP="00471D53">
                    <w:pPr>
                      <w:jc w:val="right"/>
                      <w:rPr>
                        <w:rFonts w:cs="Calibri"/>
                        <w:sz w:val="22"/>
                        <w:szCs w:val="22"/>
                      </w:rPr>
                    </w:pPr>
                    <w:r w:rsidRPr="002E2C92">
                      <w:rPr>
                        <w:rFonts w:cs="Calibri" w:hint="eastAsia"/>
                        <w:sz w:val="22"/>
                        <w:szCs w:val="22"/>
                      </w:rPr>
                      <w:t>150,000.00</w:t>
                    </w:r>
                  </w:p>
                </w:tc>
                <w:tc>
                  <w:tcPr>
                    <w:tcW w:w="1079" w:type="pct"/>
                    <w:vAlign w:val="center"/>
                  </w:tcPr>
                  <w:p w14:paraId="2DF0667D" w14:textId="77777777" w:rsidR="00471D53" w:rsidRPr="002E2C92" w:rsidRDefault="004F686E" w:rsidP="00471D53">
                    <w:pPr>
                      <w:jc w:val="right"/>
                      <w:rPr>
                        <w:rFonts w:cs="Calibri"/>
                        <w:sz w:val="22"/>
                        <w:szCs w:val="22"/>
                      </w:rPr>
                    </w:pPr>
                    <w:r w:rsidRPr="002E2C92">
                      <w:rPr>
                        <w:rFonts w:cs="Calibri" w:hint="eastAsia"/>
                        <w:sz w:val="22"/>
                        <w:szCs w:val="22"/>
                      </w:rPr>
                      <w:t>978,735.00</w:t>
                    </w:r>
                  </w:p>
                </w:tc>
              </w:tr>
              <w:tr w:rsidR="00471D53" w:rsidRPr="002E2C92" w14:paraId="475B52E2" w14:textId="77777777" w:rsidTr="00471D53">
                <w:trPr>
                  <w:trHeight w:val="340"/>
                </w:trPr>
                <w:tc>
                  <w:tcPr>
                    <w:tcW w:w="955" w:type="pct"/>
                    <w:vAlign w:val="center"/>
                  </w:tcPr>
                  <w:p w14:paraId="49ED0041" w14:textId="77777777" w:rsidR="00471D53" w:rsidRPr="002E2C92" w:rsidRDefault="004F686E" w:rsidP="00471D53">
                    <w:pPr>
                      <w:rPr>
                        <w:rFonts w:cs="Calibri"/>
                        <w:b/>
                        <w:bCs/>
                        <w:sz w:val="22"/>
                        <w:szCs w:val="22"/>
                      </w:rPr>
                    </w:pPr>
                    <w:r w:rsidRPr="002E2C92">
                      <w:rPr>
                        <w:rFonts w:cs="Calibri" w:hint="eastAsia"/>
                        <w:b/>
                        <w:bCs/>
                        <w:sz w:val="22"/>
                        <w:szCs w:val="22"/>
                      </w:rPr>
                      <w:t>应付账款</w:t>
                    </w:r>
                  </w:p>
                </w:tc>
                <w:tc>
                  <w:tcPr>
                    <w:tcW w:w="955" w:type="pct"/>
                    <w:vAlign w:val="center"/>
                  </w:tcPr>
                  <w:p w14:paraId="242F9176" w14:textId="77777777" w:rsidR="00471D53" w:rsidRPr="002E2C92" w:rsidRDefault="004F686E" w:rsidP="00471D53">
                    <w:pPr>
                      <w:jc w:val="center"/>
                      <w:rPr>
                        <w:rFonts w:cs="Calibri"/>
                        <w:b/>
                        <w:bCs/>
                        <w:sz w:val="22"/>
                        <w:szCs w:val="22"/>
                      </w:rPr>
                    </w:pPr>
                    <w:r w:rsidRPr="002E2C92">
                      <w:rPr>
                        <w:rFonts w:cs="Calibri" w:hint="eastAsia"/>
                        <w:b/>
                        <w:bCs/>
                        <w:sz w:val="22"/>
                        <w:szCs w:val="22"/>
                      </w:rPr>
                      <w:t>—</w:t>
                    </w:r>
                  </w:p>
                </w:tc>
                <w:tc>
                  <w:tcPr>
                    <w:tcW w:w="1000" w:type="pct"/>
                    <w:vAlign w:val="center"/>
                  </w:tcPr>
                  <w:p w14:paraId="4FEC1928" w14:textId="77777777" w:rsidR="00471D53" w:rsidRPr="002E2C92" w:rsidRDefault="004F686E" w:rsidP="00471D53">
                    <w:pPr>
                      <w:jc w:val="right"/>
                      <w:rPr>
                        <w:rFonts w:cs="Calibri"/>
                        <w:b/>
                        <w:bCs/>
                        <w:sz w:val="22"/>
                        <w:szCs w:val="22"/>
                      </w:rPr>
                    </w:pPr>
                    <w:r w:rsidRPr="000E6D9F">
                      <w:rPr>
                        <w:rFonts w:cs="Calibri"/>
                        <w:b/>
                        <w:bCs/>
                        <w:sz w:val="22"/>
                        <w:szCs w:val="22"/>
                      </w:rPr>
                      <w:t>15,522,798.32</w:t>
                    </w:r>
                  </w:p>
                </w:tc>
                <w:tc>
                  <w:tcPr>
                    <w:tcW w:w="1011" w:type="pct"/>
                    <w:vAlign w:val="center"/>
                  </w:tcPr>
                  <w:p w14:paraId="2F8E03B3" w14:textId="77777777" w:rsidR="00471D53" w:rsidRPr="002E2C92" w:rsidRDefault="004F686E" w:rsidP="00471D53">
                    <w:pPr>
                      <w:jc w:val="center"/>
                      <w:rPr>
                        <w:rFonts w:cs="Calibri"/>
                        <w:b/>
                        <w:bCs/>
                        <w:sz w:val="22"/>
                        <w:szCs w:val="22"/>
                      </w:rPr>
                    </w:pPr>
                    <w:r w:rsidRPr="002E2C92">
                      <w:rPr>
                        <w:rFonts w:cs="Calibri" w:hint="eastAsia"/>
                        <w:b/>
                        <w:bCs/>
                        <w:sz w:val="22"/>
                        <w:szCs w:val="22"/>
                      </w:rPr>
                      <w:t>—</w:t>
                    </w:r>
                  </w:p>
                </w:tc>
                <w:tc>
                  <w:tcPr>
                    <w:tcW w:w="1079" w:type="pct"/>
                    <w:vAlign w:val="center"/>
                  </w:tcPr>
                  <w:p w14:paraId="7630C0A4" w14:textId="77777777" w:rsidR="00471D53" w:rsidRPr="002E2C92" w:rsidRDefault="004F686E" w:rsidP="00471D53">
                    <w:pPr>
                      <w:jc w:val="right"/>
                      <w:rPr>
                        <w:rFonts w:cs="Calibri"/>
                        <w:b/>
                        <w:bCs/>
                        <w:sz w:val="22"/>
                        <w:szCs w:val="22"/>
                      </w:rPr>
                    </w:pPr>
                    <w:r w:rsidRPr="002E2C92">
                      <w:rPr>
                        <w:rFonts w:cs="Calibri" w:hint="eastAsia"/>
                        <w:b/>
                        <w:bCs/>
                        <w:sz w:val="22"/>
                        <w:szCs w:val="22"/>
                      </w:rPr>
                      <w:t>15,089,635.23</w:t>
                    </w:r>
                  </w:p>
                </w:tc>
              </w:tr>
              <w:tr w:rsidR="00471D53" w:rsidRPr="002E2C92" w14:paraId="4225F7E8" w14:textId="77777777" w:rsidTr="00471D53">
                <w:trPr>
                  <w:trHeight w:val="340"/>
                </w:trPr>
                <w:tc>
                  <w:tcPr>
                    <w:tcW w:w="955" w:type="pct"/>
                    <w:vAlign w:val="center"/>
                  </w:tcPr>
                  <w:p w14:paraId="158772F5" w14:textId="77777777" w:rsidR="00471D53" w:rsidRPr="002E2C92" w:rsidRDefault="004F686E" w:rsidP="00471D53">
                    <w:pPr>
                      <w:rPr>
                        <w:rFonts w:cs="Calibri"/>
                        <w:sz w:val="22"/>
                        <w:szCs w:val="22"/>
                      </w:rPr>
                    </w:pPr>
                    <w:r w:rsidRPr="002E2C92">
                      <w:rPr>
                        <w:rFonts w:cs="Calibri" w:hint="eastAsia"/>
                        <w:bCs/>
                        <w:sz w:val="22"/>
                        <w:szCs w:val="22"/>
                      </w:rPr>
                      <w:t>美元</w:t>
                    </w:r>
                  </w:p>
                </w:tc>
                <w:tc>
                  <w:tcPr>
                    <w:tcW w:w="955" w:type="pct"/>
                    <w:vAlign w:val="center"/>
                  </w:tcPr>
                  <w:p w14:paraId="0851E617" w14:textId="77777777" w:rsidR="00471D53" w:rsidRPr="002E2C92" w:rsidRDefault="004F686E" w:rsidP="00471D53">
                    <w:pPr>
                      <w:jc w:val="right"/>
                      <w:rPr>
                        <w:rFonts w:cs="Calibri"/>
                        <w:sz w:val="22"/>
                        <w:szCs w:val="22"/>
                      </w:rPr>
                    </w:pPr>
                    <w:r w:rsidRPr="000E6D9F">
                      <w:rPr>
                        <w:rFonts w:cs="Calibri"/>
                        <w:sz w:val="22"/>
                        <w:szCs w:val="22"/>
                      </w:rPr>
                      <w:t>2,402,872.76</w:t>
                    </w:r>
                  </w:p>
                </w:tc>
                <w:tc>
                  <w:tcPr>
                    <w:tcW w:w="1000" w:type="pct"/>
                    <w:vAlign w:val="center"/>
                  </w:tcPr>
                  <w:p w14:paraId="48F4C5F7" w14:textId="77777777" w:rsidR="00471D53" w:rsidRPr="002E2C92" w:rsidRDefault="004F686E" w:rsidP="00471D53">
                    <w:pPr>
                      <w:jc w:val="right"/>
                      <w:rPr>
                        <w:rFonts w:cs="Calibri"/>
                        <w:sz w:val="22"/>
                        <w:szCs w:val="22"/>
                      </w:rPr>
                    </w:pPr>
                    <w:r w:rsidRPr="000E6D9F">
                      <w:rPr>
                        <w:rFonts w:cs="Calibri"/>
                        <w:sz w:val="22"/>
                        <w:szCs w:val="22"/>
                      </w:rPr>
                      <w:t>15,522,798.32</w:t>
                    </w:r>
                  </w:p>
                </w:tc>
                <w:tc>
                  <w:tcPr>
                    <w:tcW w:w="1011" w:type="pct"/>
                    <w:vAlign w:val="center"/>
                  </w:tcPr>
                  <w:p w14:paraId="715B64C0" w14:textId="77777777" w:rsidR="00471D53" w:rsidRPr="002E2C92" w:rsidRDefault="004F686E" w:rsidP="00471D53">
                    <w:pPr>
                      <w:jc w:val="right"/>
                      <w:rPr>
                        <w:rFonts w:cs="Calibri"/>
                        <w:sz w:val="22"/>
                        <w:szCs w:val="22"/>
                      </w:rPr>
                    </w:pPr>
                    <w:r w:rsidRPr="002E2C92">
                      <w:rPr>
                        <w:rFonts w:cs="Calibri" w:hint="eastAsia"/>
                        <w:sz w:val="22"/>
                        <w:szCs w:val="22"/>
                      </w:rPr>
                      <w:t>2,112,148.88</w:t>
                    </w:r>
                  </w:p>
                </w:tc>
                <w:tc>
                  <w:tcPr>
                    <w:tcW w:w="1079" w:type="pct"/>
                    <w:vAlign w:val="center"/>
                  </w:tcPr>
                  <w:p w14:paraId="5A3519A7" w14:textId="77777777" w:rsidR="00471D53" w:rsidRPr="002E2C92" w:rsidRDefault="004F686E" w:rsidP="00471D53">
                    <w:pPr>
                      <w:jc w:val="right"/>
                      <w:rPr>
                        <w:rFonts w:cs="Calibri"/>
                        <w:sz w:val="22"/>
                        <w:szCs w:val="22"/>
                      </w:rPr>
                    </w:pPr>
                    <w:r w:rsidRPr="002E2C92">
                      <w:rPr>
                        <w:rFonts w:cs="Calibri" w:hint="eastAsia"/>
                        <w:sz w:val="22"/>
                        <w:szCs w:val="22"/>
                      </w:rPr>
                      <w:t>13,781,560.23</w:t>
                    </w:r>
                  </w:p>
                </w:tc>
              </w:tr>
              <w:tr w:rsidR="00471D53" w:rsidRPr="002E2C92" w14:paraId="0023A6E3" w14:textId="77777777" w:rsidTr="00471D53">
                <w:trPr>
                  <w:trHeight w:val="340"/>
                </w:trPr>
                <w:tc>
                  <w:tcPr>
                    <w:tcW w:w="955" w:type="pct"/>
                    <w:vAlign w:val="center"/>
                  </w:tcPr>
                  <w:p w14:paraId="45A449C3" w14:textId="77777777" w:rsidR="00471D53" w:rsidRPr="002E2C92" w:rsidRDefault="004F686E" w:rsidP="00471D53">
                    <w:pPr>
                      <w:rPr>
                        <w:rFonts w:cs="Calibri"/>
                        <w:sz w:val="22"/>
                        <w:szCs w:val="22"/>
                      </w:rPr>
                    </w:pPr>
                    <w:r w:rsidRPr="002E2C92">
                      <w:rPr>
                        <w:rFonts w:cs="Calibri" w:hint="eastAsia"/>
                        <w:bCs/>
                        <w:sz w:val="22"/>
                        <w:szCs w:val="22"/>
                      </w:rPr>
                      <w:t>欧元</w:t>
                    </w:r>
                  </w:p>
                </w:tc>
                <w:tc>
                  <w:tcPr>
                    <w:tcW w:w="955" w:type="pct"/>
                    <w:vAlign w:val="center"/>
                  </w:tcPr>
                  <w:p w14:paraId="4AAE8672" w14:textId="77777777" w:rsidR="00471D53" w:rsidRPr="002E2C92" w:rsidRDefault="004F686E" w:rsidP="00471D53">
                    <w:pPr>
                      <w:jc w:val="right"/>
                      <w:rPr>
                        <w:rFonts w:cs="Calibri"/>
                        <w:sz w:val="22"/>
                        <w:szCs w:val="22"/>
                      </w:rPr>
                    </w:pPr>
                    <w:r>
                      <w:rPr>
                        <w:rFonts w:cs="Calibri" w:hint="eastAsia"/>
                        <w:sz w:val="22"/>
                        <w:szCs w:val="22"/>
                      </w:rPr>
                      <w:t>0</w:t>
                    </w:r>
                    <w:r>
                      <w:rPr>
                        <w:rFonts w:cs="Calibri"/>
                        <w:sz w:val="22"/>
                        <w:szCs w:val="22"/>
                      </w:rPr>
                      <w:t>.00</w:t>
                    </w:r>
                  </w:p>
                </w:tc>
                <w:tc>
                  <w:tcPr>
                    <w:tcW w:w="1000" w:type="pct"/>
                    <w:vAlign w:val="center"/>
                  </w:tcPr>
                  <w:p w14:paraId="24689DA1" w14:textId="77777777" w:rsidR="00471D53" w:rsidRPr="002E2C92" w:rsidRDefault="004F686E" w:rsidP="00471D53">
                    <w:pPr>
                      <w:jc w:val="right"/>
                      <w:rPr>
                        <w:rFonts w:cs="Calibri"/>
                        <w:sz w:val="22"/>
                        <w:szCs w:val="22"/>
                      </w:rPr>
                    </w:pPr>
                    <w:r>
                      <w:rPr>
                        <w:rFonts w:cs="Calibri" w:hint="eastAsia"/>
                        <w:sz w:val="22"/>
                        <w:szCs w:val="22"/>
                      </w:rPr>
                      <w:t>0</w:t>
                    </w:r>
                    <w:r>
                      <w:rPr>
                        <w:rFonts w:cs="Calibri"/>
                        <w:sz w:val="22"/>
                        <w:szCs w:val="22"/>
                      </w:rPr>
                      <w:t>.00</w:t>
                    </w:r>
                  </w:p>
                </w:tc>
                <w:tc>
                  <w:tcPr>
                    <w:tcW w:w="1011" w:type="pct"/>
                    <w:vAlign w:val="center"/>
                  </w:tcPr>
                  <w:p w14:paraId="5C73F7A3" w14:textId="77777777" w:rsidR="00471D53" w:rsidRPr="002E2C92" w:rsidRDefault="004F686E" w:rsidP="00471D53">
                    <w:pPr>
                      <w:jc w:val="right"/>
                      <w:rPr>
                        <w:rFonts w:cs="Calibri"/>
                        <w:sz w:val="22"/>
                        <w:szCs w:val="22"/>
                      </w:rPr>
                    </w:pPr>
                    <w:r w:rsidRPr="002E2C92">
                      <w:rPr>
                        <w:rFonts w:cs="Calibri" w:hint="eastAsia"/>
                        <w:sz w:val="22"/>
                        <w:szCs w:val="22"/>
                      </w:rPr>
                      <w:t>163,000.00</w:t>
                    </w:r>
                  </w:p>
                </w:tc>
                <w:tc>
                  <w:tcPr>
                    <w:tcW w:w="1079" w:type="pct"/>
                    <w:vAlign w:val="center"/>
                  </w:tcPr>
                  <w:p w14:paraId="67F0135C" w14:textId="77777777" w:rsidR="00471D53" w:rsidRPr="002E2C92" w:rsidRDefault="004F686E" w:rsidP="00471D53">
                    <w:pPr>
                      <w:jc w:val="right"/>
                      <w:rPr>
                        <w:rFonts w:cs="Calibri"/>
                        <w:sz w:val="22"/>
                        <w:szCs w:val="22"/>
                      </w:rPr>
                    </w:pPr>
                    <w:r w:rsidRPr="002E2C92">
                      <w:rPr>
                        <w:rFonts w:cs="Calibri" w:hint="eastAsia"/>
                        <w:sz w:val="22"/>
                        <w:szCs w:val="22"/>
                      </w:rPr>
                      <w:t>1,308,075.00</w:t>
                    </w:r>
                  </w:p>
                </w:tc>
              </w:tr>
              <w:tr w:rsidR="00471D53" w:rsidRPr="002E2C92" w14:paraId="6DF02AEC" w14:textId="77777777" w:rsidTr="00471D53">
                <w:trPr>
                  <w:trHeight w:val="340"/>
                </w:trPr>
                <w:tc>
                  <w:tcPr>
                    <w:tcW w:w="955" w:type="pct"/>
                    <w:vAlign w:val="center"/>
                  </w:tcPr>
                  <w:p w14:paraId="72C60C9B" w14:textId="77777777" w:rsidR="00471D53" w:rsidRPr="002E2C92" w:rsidRDefault="004F686E" w:rsidP="00471D53">
                    <w:pPr>
                      <w:rPr>
                        <w:rFonts w:cs="Calibri"/>
                        <w:b/>
                        <w:bCs/>
                        <w:sz w:val="22"/>
                        <w:szCs w:val="22"/>
                      </w:rPr>
                    </w:pPr>
                    <w:r w:rsidRPr="002E2C92">
                      <w:rPr>
                        <w:rFonts w:cs="Calibri" w:hint="eastAsia"/>
                        <w:b/>
                        <w:bCs/>
                        <w:sz w:val="22"/>
                        <w:szCs w:val="22"/>
                      </w:rPr>
                      <w:t>预收款项</w:t>
                    </w:r>
                  </w:p>
                </w:tc>
                <w:tc>
                  <w:tcPr>
                    <w:tcW w:w="955" w:type="pct"/>
                    <w:vAlign w:val="center"/>
                  </w:tcPr>
                  <w:p w14:paraId="32DE94B7" w14:textId="77777777" w:rsidR="00471D53" w:rsidRPr="002E2C92" w:rsidRDefault="004F686E" w:rsidP="00471D53">
                    <w:pPr>
                      <w:jc w:val="center"/>
                      <w:rPr>
                        <w:rFonts w:cs="Calibri"/>
                        <w:b/>
                        <w:bCs/>
                        <w:sz w:val="22"/>
                        <w:szCs w:val="22"/>
                      </w:rPr>
                    </w:pPr>
                    <w:r w:rsidRPr="002E2C92">
                      <w:rPr>
                        <w:rFonts w:cs="Calibri" w:hint="eastAsia"/>
                        <w:b/>
                        <w:bCs/>
                        <w:sz w:val="22"/>
                        <w:szCs w:val="22"/>
                      </w:rPr>
                      <w:t>—</w:t>
                    </w:r>
                  </w:p>
                </w:tc>
                <w:tc>
                  <w:tcPr>
                    <w:tcW w:w="1000" w:type="pct"/>
                    <w:vAlign w:val="center"/>
                  </w:tcPr>
                  <w:p w14:paraId="1FFC02D4" w14:textId="77777777" w:rsidR="00471D53" w:rsidRPr="002E2C92" w:rsidRDefault="004F686E" w:rsidP="00471D53">
                    <w:pPr>
                      <w:jc w:val="right"/>
                      <w:rPr>
                        <w:rFonts w:cs="Calibri"/>
                        <w:b/>
                        <w:bCs/>
                        <w:sz w:val="22"/>
                        <w:szCs w:val="22"/>
                      </w:rPr>
                    </w:pPr>
                    <w:r w:rsidRPr="000E6D9F">
                      <w:rPr>
                        <w:rFonts w:cs="Calibri"/>
                        <w:b/>
                        <w:bCs/>
                        <w:sz w:val="22"/>
                        <w:szCs w:val="22"/>
                      </w:rPr>
                      <w:t>56,318,876.33</w:t>
                    </w:r>
                  </w:p>
                </w:tc>
                <w:tc>
                  <w:tcPr>
                    <w:tcW w:w="1011" w:type="pct"/>
                    <w:vAlign w:val="center"/>
                  </w:tcPr>
                  <w:p w14:paraId="22054A65" w14:textId="77777777" w:rsidR="00471D53" w:rsidRPr="002E2C92" w:rsidRDefault="004F686E" w:rsidP="00471D53">
                    <w:pPr>
                      <w:jc w:val="center"/>
                      <w:rPr>
                        <w:rFonts w:cs="Calibri"/>
                        <w:b/>
                        <w:bCs/>
                        <w:sz w:val="22"/>
                        <w:szCs w:val="22"/>
                      </w:rPr>
                    </w:pPr>
                    <w:r w:rsidRPr="002E2C92">
                      <w:rPr>
                        <w:rFonts w:cs="Calibri" w:hint="eastAsia"/>
                        <w:b/>
                        <w:bCs/>
                        <w:sz w:val="22"/>
                        <w:szCs w:val="22"/>
                      </w:rPr>
                      <w:t>—</w:t>
                    </w:r>
                  </w:p>
                </w:tc>
                <w:tc>
                  <w:tcPr>
                    <w:tcW w:w="1079" w:type="pct"/>
                    <w:vAlign w:val="center"/>
                  </w:tcPr>
                  <w:p w14:paraId="4003D431" w14:textId="77777777" w:rsidR="00471D53" w:rsidRPr="002E2C92" w:rsidRDefault="004F686E" w:rsidP="00471D53">
                    <w:pPr>
                      <w:jc w:val="right"/>
                      <w:rPr>
                        <w:rFonts w:cs="Calibri"/>
                        <w:b/>
                        <w:bCs/>
                        <w:sz w:val="22"/>
                        <w:szCs w:val="22"/>
                      </w:rPr>
                    </w:pPr>
                    <w:r w:rsidRPr="002E2C92">
                      <w:rPr>
                        <w:rFonts w:cs="Calibri" w:hint="eastAsia"/>
                        <w:b/>
                        <w:bCs/>
                        <w:sz w:val="22"/>
                        <w:szCs w:val="22"/>
                      </w:rPr>
                      <w:t>36,969,229.69</w:t>
                    </w:r>
                  </w:p>
                </w:tc>
              </w:tr>
              <w:tr w:rsidR="00471D53" w:rsidRPr="002E2C92" w14:paraId="681B068A" w14:textId="77777777" w:rsidTr="00471D53">
                <w:trPr>
                  <w:trHeight w:val="340"/>
                </w:trPr>
                <w:tc>
                  <w:tcPr>
                    <w:tcW w:w="955" w:type="pct"/>
                    <w:vAlign w:val="center"/>
                  </w:tcPr>
                  <w:p w14:paraId="31AB98BF" w14:textId="77777777" w:rsidR="00471D53" w:rsidRPr="002E2C92" w:rsidRDefault="004F686E" w:rsidP="00471D53">
                    <w:pPr>
                      <w:rPr>
                        <w:rFonts w:cs="Calibri"/>
                        <w:sz w:val="22"/>
                        <w:szCs w:val="22"/>
                      </w:rPr>
                    </w:pPr>
                    <w:r w:rsidRPr="002E2C92">
                      <w:rPr>
                        <w:rFonts w:cs="Calibri" w:hint="eastAsia"/>
                        <w:bCs/>
                        <w:sz w:val="22"/>
                        <w:szCs w:val="22"/>
                      </w:rPr>
                      <w:t>美元</w:t>
                    </w:r>
                  </w:p>
                </w:tc>
                <w:tc>
                  <w:tcPr>
                    <w:tcW w:w="955" w:type="pct"/>
                    <w:vAlign w:val="center"/>
                  </w:tcPr>
                  <w:p w14:paraId="1F0F985A" w14:textId="77777777" w:rsidR="00471D53" w:rsidRPr="002E2C92" w:rsidRDefault="004F686E" w:rsidP="00471D53">
                    <w:pPr>
                      <w:jc w:val="right"/>
                      <w:rPr>
                        <w:rFonts w:cs="Calibri"/>
                        <w:sz w:val="22"/>
                        <w:szCs w:val="22"/>
                      </w:rPr>
                    </w:pPr>
                    <w:r w:rsidRPr="000E6D9F">
                      <w:rPr>
                        <w:rFonts w:cs="Calibri"/>
                        <w:sz w:val="22"/>
                        <w:szCs w:val="22"/>
                      </w:rPr>
                      <w:t>6,745,534.29</w:t>
                    </w:r>
                  </w:p>
                </w:tc>
                <w:tc>
                  <w:tcPr>
                    <w:tcW w:w="1000" w:type="pct"/>
                    <w:vAlign w:val="center"/>
                  </w:tcPr>
                  <w:p w14:paraId="34547AAE" w14:textId="77777777" w:rsidR="00471D53" w:rsidRPr="002E2C92" w:rsidRDefault="004F686E" w:rsidP="00471D53">
                    <w:pPr>
                      <w:jc w:val="right"/>
                      <w:rPr>
                        <w:rFonts w:cs="Calibri"/>
                        <w:sz w:val="22"/>
                        <w:szCs w:val="22"/>
                      </w:rPr>
                    </w:pPr>
                    <w:r w:rsidRPr="000E6D9F">
                      <w:rPr>
                        <w:rFonts w:cs="Calibri"/>
                        <w:sz w:val="22"/>
                        <w:szCs w:val="22"/>
                      </w:rPr>
                      <w:t>43,576,826.03</w:t>
                    </w:r>
                  </w:p>
                </w:tc>
                <w:tc>
                  <w:tcPr>
                    <w:tcW w:w="1011" w:type="pct"/>
                    <w:vAlign w:val="center"/>
                  </w:tcPr>
                  <w:p w14:paraId="27F331B7" w14:textId="77777777" w:rsidR="00471D53" w:rsidRPr="002E2C92" w:rsidRDefault="004F686E" w:rsidP="00471D53">
                    <w:pPr>
                      <w:jc w:val="right"/>
                      <w:rPr>
                        <w:rFonts w:cs="Calibri"/>
                        <w:sz w:val="22"/>
                        <w:szCs w:val="22"/>
                      </w:rPr>
                    </w:pPr>
                    <w:r w:rsidRPr="002E2C92">
                      <w:rPr>
                        <w:rFonts w:cs="Calibri" w:hint="eastAsia"/>
                        <w:sz w:val="22"/>
                        <w:szCs w:val="22"/>
                      </w:rPr>
                      <w:t>5,650,558.37</w:t>
                    </w:r>
                  </w:p>
                </w:tc>
                <w:tc>
                  <w:tcPr>
                    <w:tcW w:w="1079" w:type="pct"/>
                    <w:vAlign w:val="center"/>
                  </w:tcPr>
                  <w:p w14:paraId="37C6FE6A" w14:textId="77777777" w:rsidR="00471D53" w:rsidRPr="002E2C92" w:rsidRDefault="004F686E" w:rsidP="00471D53">
                    <w:pPr>
                      <w:jc w:val="right"/>
                      <w:rPr>
                        <w:rFonts w:cs="Calibri"/>
                        <w:sz w:val="22"/>
                        <w:szCs w:val="22"/>
                      </w:rPr>
                    </w:pPr>
                    <w:r w:rsidRPr="002E2C92">
                      <w:rPr>
                        <w:rFonts w:cs="Calibri" w:hint="eastAsia"/>
                        <w:sz w:val="22"/>
                        <w:szCs w:val="22"/>
                      </w:rPr>
                      <w:t>36,869,328.31</w:t>
                    </w:r>
                  </w:p>
                </w:tc>
              </w:tr>
              <w:tr w:rsidR="00471D53" w:rsidRPr="002E2C92" w14:paraId="5C71EBCA" w14:textId="77777777" w:rsidTr="00471D53">
                <w:trPr>
                  <w:trHeight w:val="340"/>
                </w:trPr>
                <w:tc>
                  <w:tcPr>
                    <w:tcW w:w="955" w:type="pct"/>
                    <w:vAlign w:val="center"/>
                  </w:tcPr>
                  <w:p w14:paraId="6FD6DAC2" w14:textId="77777777" w:rsidR="00471D53" w:rsidRPr="002E2C92" w:rsidRDefault="004F686E" w:rsidP="00471D53">
                    <w:pPr>
                      <w:rPr>
                        <w:rFonts w:cs="Calibri"/>
                        <w:sz w:val="22"/>
                        <w:szCs w:val="22"/>
                      </w:rPr>
                    </w:pPr>
                    <w:r w:rsidRPr="002E2C92">
                      <w:rPr>
                        <w:rFonts w:cs="Calibri" w:hint="eastAsia"/>
                        <w:sz w:val="22"/>
                        <w:szCs w:val="22"/>
                      </w:rPr>
                      <w:t>欧元</w:t>
                    </w:r>
                  </w:p>
                </w:tc>
                <w:tc>
                  <w:tcPr>
                    <w:tcW w:w="955" w:type="pct"/>
                    <w:vAlign w:val="center"/>
                  </w:tcPr>
                  <w:p w14:paraId="209343A2" w14:textId="77777777" w:rsidR="00471D53" w:rsidRPr="002E2C92" w:rsidRDefault="004F686E" w:rsidP="00471D53">
                    <w:pPr>
                      <w:jc w:val="right"/>
                      <w:rPr>
                        <w:rFonts w:cs="Calibri"/>
                        <w:sz w:val="22"/>
                        <w:szCs w:val="22"/>
                      </w:rPr>
                    </w:pPr>
                    <w:r w:rsidRPr="000E6D9F">
                      <w:rPr>
                        <w:rFonts w:cs="Calibri"/>
                        <w:sz w:val="22"/>
                        <w:szCs w:val="22"/>
                      </w:rPr>
                      <w:t>1,657,782.82</w:t>
                    </w:r>
                  </w:p>
                </w:tc>
                <w:tc>
                  <w:tcPr>
                    <w:tcW w:w="1000" w:type="pct"/>
                    <w:vAlign w:val="center"/>
                  </w:tcPr>
                  <w:p w14:paraId="4C965AC5" w14:textId="77777777" w:rsidR="00471D53" w:rsidRPr="002E2C92" w:rsidRDefault="004F686E" w:rsidP="00471D53">
                    <w:pPr>
                      <w:jc w:val="right"/>
                      <w:rPr>
                        <w:rFonts w:cs="Calibri"/>
                        <w:sz w:val="22"/>
                        <w:szCs w:val="22"/>
                      </w:rPr>
                    </w:pPr>
                    <w:r w:rsidRPr="000E6D9F">
                      <w:rPr>
                        <w:rFonts w:cs="Calibri"/>
                        <w:sz w:val="22"/>
                        <w:szCs w:val="22"/>
                      </w:rPr>
                      <w:t>12,742,050.30</w:t>
                    </w:r>
                  </w:p>
                </w:tc>
                <w:tc>
                  <w:tcPr>
                    <w:tcW w:w="1011" w:type="pct"/>
                    <w:vAlign w:val="center"/>
                  </w:tcPr>
                  <w:p w14:paraId="3F2504E5" w14:textId="77777777" w:rsidR="00471D53" w:rsidRPr="002E2C92" w:rsidRDefault="004F686E" w:rsidP="00471D53">
                    <w:pPr>
                      <w:jc w:val="right"/>
                      <w:rPr>
                        <w:rFonts w:cs="Calibri"/>
                        <w:sz w:val="22"/>
                        <w:szCs w:val="22"/>
                      </w:rPr>
                    </w:pPr>
                    <w:r w:rsidRPr="002E2C92">
                      <w:rPr>
                        <w:rFonts w:cs="Calibri" w:hint="eastAsia"/>
                        <w:sz w:val="22"/>
                        <w:szCs w:val="22"/>
                      </w:rPr>
                      <w:t>12,448.77</w:t>
                    </w:r>
                  </w:p>
                </w:tc>
                <w:tc>
                  <w:tcPr>
                    <w:tcW w:w="1079" w:type="pct"/>
                    <w:vAlign w:val="center"/>
                  </w:tcPr>
                  <w:p w14:paraId="0A398A0E" w14:textId="77777777" w:rsidR="00471D53" w:rsidRPr="002E2C92" w:rsidRDefault="004F686E" w:rsidP="00471D53">
                    <w:pPr>
                      <w:jc w:val="right"/>
                      <w:rPr>
                        <w:rFonts w:cs="Calibri"/>
                        <w:sz w:val="22"/>
                        <w:szCs w:val="22"/>
                      </w:rPr>
                    </w:pPr>
                    <w:r w:rsidRPr="002E2C92">
                      <w:rPr>
                        <w:rFonts w:cs="Calibri" w:hint="eastAsia"/>
                        <w:sz w:val="22"/>
                        <w:szCs w:val="22"/>
                      </w:rPr>
                      <w:t>99,901.38</w:t>
                    </w:r>
                  </w:p>
                </w:tc>
              </w:tr>
              <w:tr w:rsidR="00471D53" w:rsidRPr="002E2C92" w14:paraId="2B988E98" w14:textId="77777777" w:rsidTr="00471D53">
                <w:trPr>
                  <w:trHeight w:val="340"/>
                </w:trPr>
                <w:tc>
                  <w:tcPr>
                    <w:tcW w:w="955" w:type="pct"/>
                    <w:vAlign w:val="center"/>
                  </w:tcPr>
                  <w:p w14:paraId="196F80C6" w14:textId="77777777" w:rsidR="00471D53" w:rsidRPr="002E2C92" w:rsidRDefault="004F686E" w:rsidP="00471D53">
                    <w:pPr>
                      <w:rPr>
                        <w:rFonts w:cs="Calibri"/>
                        <w:b/>
                        <w:bCs/>
                        <w:sz w:val="22"/>
                        <w:szCs w:val="22"/>
                      </w:rPr>
                    </w:pPr>
                    <w:r w:rsidRPr="002E2C92">
                      <w:rPr>
                        <w:rFonts w:cs="Calibri" w:hint="eastAsia"/>
                        <w:b/>
                        <w:bCs/>
                        <w:sz w:val="22"/>
                        <w:szCs w:val="22"/>
                      </w:rPr>
                      <w:t>其他应付款</w:t>
                    </w:r>
                  </w:p>
                </w:tc>
                <w:tc>
                  <w:tcPr>
                    <w:tcW w:w="955" w:type="pct"/>
                    <w:vAlign w:val="center"/>
                  </w:tcPr>
                  <w:p w14:paraId="65ABDDFB" w14:textId="77777777" w:rsidR="00471D53" w:rsidRPr="002E2C92" w:rsidRDefault="004F686E" w:rsidP="00471D53">
                    <w:pPr>
                      <w:jc w:val="center"/>
                      <w:rPr>
                        <w:rFonts w:cs="Calibri"/>
                        <w:sz w:val="22"/>
                        <w:szCs w:val="22"/>
                      </w:rPr>
                    </w:pPr>
                    <w:r w:rsidRPr="002E2C92">
                      <w:rPr>
                        <w:rFonts w:cs="Calibri" w:hint="eastAsia"/>
                        <w:sz w:val="22"/>
                        <w:szCs w:val="22"/>
                      </w:rPr>
                      <w:t>—</w:t>
                    </w:r>
                  </w:p>
                </w:tc>
                <w:tc>
                  <w:tcPr>
                    <w:tcW w:w="1000" w:type="pct"/>
                    <w:vAlign w:val="center"/>
                  </w:tcPr>
                  <w:p w14:paraId="0D6FCCEA" w14:textId="77777777" w:rsidR="00471D53" w:rsidRPr="002E2C92" w:rsidRDefault="004F686E" w:rsidP="00471D53">
                    <w:pPr>
                      <w:jc w:val="right"/>
                      <w:rPr>
                        <w:rFonts w:cs="Calibri"/>
                        <w:b/>
                        <w:bCs/>
                        <w:sz w:val="22"/>
                        <w:szCs w:val="22"/>
                      </w:rPr>
                    </w:pPr>
                    <w:r w:rsidRPr="000E6D9F">
                      <w:rPr>
                        <w:rFonts w:cs="Calibri"/>
                        <w:b/>
                        <w:bCs/>
                        <w:sz w:val="22"/>
                        <w:szCs w:val="22"/>
                      </w:rPr>
                      <w:t>50,046.53</w:t>
                    </w:r>
                  </w:p>
                </w:tc>
                <w:tc>
                  <w:tcPr>
                    <w:tcW w:w="1011" w:type="pct"/>
                    <w:vAlign w:val="center"/>
                  </w:tcPr>
                  <w:p w14:paraId="1514E19C" w14:textId="77777777" w:rsidR="00471D53" w:rsidRPr="002E2C92" w:rsidRDefault="004F686E" w:rsidP="00471D53">
                    <w:pPr>
                      <w:jc w:val="center"/>
                      <w:rPr>
                        <w:rFonts w:cs="Calibri"/>
                        <w:sz w:val="22"/>
                        <w:szCs w:val="22"/>
                      </w:rPr>
                    </w:pPr>
                    <w:r w:rsidRPr="002E2C92">
                      <w:rPr>
                        <w:rFonts w:cs="Calibri" w:hint="eastAsia"/>
                        <w:sz w:val="22"/>
                        <w:szCs w:val="22"/>
                      </w:rPr>
                      <w:t>—</w:t>
                    </w:r>
                  </w:p>
                </w:tc>
                <w:tc>
                  <w:tcPr>
                    <w:tcW w:w="1079" w:type="pct"/>
                    <w:vAlign w:val="center"/>
                  </w:tcPr>
                  <w:p w14:paraId="5D1FE4C7" w14:textId="77777777" w:rsidR="00471D53" w:rsidRPr="002E2C92" w:rsidRDefault="004F686E" w:rsidP="00471D53">
                    <w:pPr>
                      <w:jc w:val="right"/>
                      <w:rPr>
                        <w:rFonts w:cs="Calibri"/>
                        <w:b/>
                        <w:bCs/>
                        <w:sz w:val="22"/>
                        <w:szCs w:val="22"/>
                      </w:rPr>
                    </w:pPr>
                    <w:r w:rsidRPr="002E2C92">
                      <w:rPr>
                        <w:rFonts w:cs="Calibri" w:hint="eastAsia"/>
                        <w:b/>
                        <w:bCs/>
                        <w:sz w:val="22"/>
                        <w:szCs w:val="22"/>
                      </w:rPr>
                      <w:t>11,168,276.64</w:t>
                    </w:r>
                  </w:p>
                </w:tc>
              </w:tr>
              <w:tr w:rsidR="00471D53" w:rsidRPr="002E2C92" w14:paraId="4A220960" w14:textId="77777777" w:rsidTr="00471D53">
                <w:trPr>
                  <w:trHeight w:val="340"/>
                </w:trPr>
                <w:tc>
                  <w:tcPr>
                    <w:tcW w:w="955" w:type="pct"/>
                    <w:vAlign w:val="center"/>
                  </w:tcPr>
                  <w:p w14:paraId="16A33111" w14:textId="77777777" w:rsidR="00471D53" w:rsidRPr="002E2C92" w:rsidRDefault="004F686E" w:rsidP="00471D53">
                    <w:pPr>
                      <w:rPr>
                        <w:rFonts w:cs="Calibri"/>
                        <w:sz w:val="22"/>
                        <w:szCs w:val="22"/>
                      </w:rPr>
                    </w:pPr>
                    <w:r w:rsidRPr="002E2C92">
                      <w:rPr>
                        <w:rFonts w:cs="Calibri" w:hint="eastAsia"/>
                        <w:sz w:val="22"/>
                        <w:szCs w:val="22"/>
                      </w:rPr>
                      <w:t>美元</w:t>
                    </w:r>
                  </w:p>
                </w:tc>
                <w:tc>
                  <w:tcPr>
                    <w:tcW w:w="955" w:type="pct"/>
                    <w:vAlign w:val="center"/>
                  </w:tcPr>
                  <w:p w14:paraId="0D9E1678" w14:textId="77777777" w:rsidR="00471D53" w:rsidRPr="002E2C92" w:rsidRDefault="004F686E" w:rsidP="00471D53">
                    <w:pPr>
                      <w:jc w:val="right"/>
                      <w:rPr>
                        <w:rFonts w:cs="Calibri"/>
                        <w:sz w:val="22"/>
                        <w:szCs w:val="22"/>
                      </w:rPr>
                    </w:pPr>
                    <w:r w:rsidRPr="000E6D9F">
                      <w:rPr>
                        <w:rFonts w:cs="Calibri"/>
                        <w:sz w:val="22"/>
                        <w:szCs w:val="22"/>
                      </w:rPr>
                      <w:t>7,747.02</w:t>
                    </w:r>
                  </w:p>
                </w:tc>
                <w:tc>
                  <w:tcPr>
                    <w:tcW w:w="1000" w:type="pct"/>
                    <w:vAlign w:val="center"/>
                  </w:tcPr>
                  <w:p w14:paraId="04D0C367" w14:textId="77777777" w:rsidR="00471D53" w:rsidRPr="002E2C92" w:rsidRDefault="004F686E" w:rsidP="00471D53">
                    <w:pPr>
                      <w:jc w:val="right"/>
                      <w:rPr>
                        <w:rFonts w:cs="Calibri"/>
                        <w:sz w:val="22"/>
                        <w:szCs w:val="22"/>
                      </w:rPr>
                    </w:pPr>
                    <w:r w:rsidRPr="000E6D9F">
                      <w:rPr>
                        <w:rFonts w:cs="Calibri"/>
                        <w:sz w:val="22"/>
                        <w:szCs w:val="22"/>
                      </w:rPr>
                      <w:t>50,046.53</w:t>
                    </w:r>
                  </w:p>
                </w:tc>
                <w:tc>
                  <w:tcPr>
                    <w:tcW w:w="1011" w:type="pct"/>
                    <w:vAlign w:val="center"/>
                  </w:tcPr>
                  <w:p w14:paraId="57E4F6AC" w14:textId="77777777" w:rsidR="00471D53" w:rsidRPr="002E2C92" w:rsidRDefault="004F686E" w:rsidP="00471D53">
                    <w:pPr>
                      <w:jc w:val="right"/>
                      <w:rPr>
                        <w:rFonts w:cs="Calibri"/>
                        <w:sz w:val="22"/>
                        <w:szCs w:val="22"/>
                      </w:rPr>
                    </w:pPr>
                    <w:r w:rsidRPr="002E2C92">
                      <w:rPr>
                        <w:rFonts w:cs="Calibri" w:hint="eastAsia"/>
                        <w:sz w:val="22"/>
                        <w:szCs w:val="22"/>
                      </w:rPr>
                      <w:t>1,711,639.51</w:t>
                    </w:r>
                  </w:p>
                </w:tc>
                <w:tc>
                  <w:tcPr>
                    <w:tcW w:w="1079" w:type="pct"/>
                    <w:vAlign w:val="center"/>
                  </w:tcPr>
                  <w:p w14:paraId="05D7FD6E" w14:textId="77777777" w:rsidR="00471D53" w:rsidRPr="002E2C92" w:rsidRDefault="004F686E" w:rsidP="00471D53">
                    <w:pPr>
                      <w:jc w:val="right"/>
                      <w:rPr>
                        <w:rFonts w:cs="Calibri"/>
                        <w:sz w:val="22"/>
                        <w:szCs w:val="22"/>
                      </w:rPr>
                    </w:pPr>
                    <w:r w:rsidRPr="002E2C92">
                      <w:rPr>
                        <w:rFonts w:cs="Calibri" w:hint="eastAsia"/>
                        <w:sz w:val="22"/>
                        <w:szCs w:val="22"/>
                      </w:rPr>
                      <w:t>11,168,276.64</w:t>
                    </w:r>
                  </w:p>
                </w:tc>
              </w:tr>
              <w:tr w:rsidR="00471D53" w:rsidRPr="002E2C92" w14:paraId="6BE78C36" w14:textId="77777777" w:rsidTr="00471D53">
                <w:trPr>
                  <w:trHeight w:val="340"/>
                </w:trPr>
                <w:tc>
                  <w:tcPr>
                    <w:tcW w:w="955" w:type="pct"/>
                    <w:vAlign w:val="center"/>
                  </w:tcPr>
                  <w:p w14:paraId="16CE8C5B" w14:textId="77777777" w:rsidR="00471D53" w:rsidRPr="002E2C92" w:rsidRDefault="004F686E" w:rsidP="00471D53">
                    <w:pPr>
                      <w:rPr>
                        <w:rFonts w:cs="Calibri"/>
                        <w:b/>
                        <w:bCs/>
                        <w:sz w:val="22"/>
                        <w:szCs w:val="22"/>
                      </w:rPr>
                    </w:pPr>
                    <w:r w:rsidRPr="002E2C92">
                      <w:rPr>
                        <w:rFonts w:cs="Calibri" w:hint="eastAsia"/>
                        <w:b/>
                        <w:bCs/>
                        <w:sz w:val="22"/>
                        <w:szCs w:val="22"/>
                      </w:rPr>
                      <w:t>长期借款</w:t>
                    </w:r>
                  </w:p>
                </w:tc>
                <w:tc>
                  <w:tcPr>
                    <w:tcW w:w="955" w:type="pct"/>
                    <w:vAlign w:val="center"/>
                  </w:tcPr>
                  <w:p w14:paraId="0CEB48CB" w14:textId="77777777" w:rsidR="00471D53" w:rsidRPr="002E2C92" w:rsidRDefault="004F686E" w:rsidP="00471D53">
                    <w:pPr>
                      <w:jc w:val="right"/>
                      <w:rPr>
                        <w:rFonts w:cs="Calibri"/>
                        <w:sz w:val="22"/>
                        <w:szCs w:val="22"/>
                      </w:rPr>
                    </w:pPr>
                    <w:r w:rsidRPr="002E2C92">
                      <w:rPr>
                        <w:rFonts w:cs="Calibri" w:hint="eastAsia"/>
                        <w:sz w:val="22"/>
                        <w:szCs w:val="22"/>
                      </w:rPr>
                      <w:t>—</w:t>
                    </w:r>
                  </w:p>
                </w:tc>
                <w:tc>
                  <w:tcPr>
                    <w:tcW w:w="1000" w:type="pct"/>
                    <w:vAlign w:val="center"/>
                  </w:tcPr>
                  <w:p w14:paraId="39543D08" w14:textId="77777777" w:rsidR="00471D53" w:rsidRPr="000E6D9F" w:rsidRDefault="004F686E" w:rsidP="00471D53">
                    <w:pPr>
                      <w:wordWrap w:val="0"/>
                      <w:jc w:val="right"/>
                      <w:rPr>
                        <w:rFonts w:cs="Calibri"/>
                        <w:b/>
                        <w:sz w:val="22"/>
                        <w:szCs w:val="22"/>
                      </w:rPr>
                    </w:pPr>
                    <w:r>
                      <w:rPr>
                        <w:rFonts w:cs="Calibri"/>
                        <w:b/>
                        <w:sz w:val="22"/>
                        <w:szCs w:val="22"/>
                      </w:rPr>
                      <w:t>0.00</w:t>
                    </w:r>
                  </w:p>
                </w:tc>
                <w:tc>
                  <w:tcPr>
                    <w:tcW w:w="1011" w:type="pct"/>
                    <w:vAlign w:val="center"/>
                  </w:tcPr>
                  <w:p w14:paraId="6FB638F7" w14:textId="77777777" w:rsidR="00471D53" w:rsidRPr="002E2C92" w:rsidRDefault="004F686E" w:rsidP="00471D53">
                    <w:pPr>
                      <w:jc w:val="right"/>
                      <w:rPr>
                        <w:rFonts w:cs="Calibri"/>
                        <w:sz w:val="22"/>
                        <w:szCs w:val="22"/>
                      </w:rPr>
                    </w:pPr>
                    <w:r w:rsidRPr="002E2C92">
                      <w:rPr>
                        <w:rFonts w:cs="Calibri" w:hint="eastAsia"/>
                        <w:sz w:val="22"/>
                        <w:szCs w:val="22"/>
                      </w:rPr>
                      <w:t>—</w:t>
                    </w:r>
                  </w:p>
                </w:tc>
                <w:tc>
                  <w:tcPr>
                    <w:tcW w:w="1079" w:type="pct"/>
                    <w:vAlign w:val="center"/>
                  </w:tcPr>
                  <w:p w14:paraId="3CB44C80" w14:textId="77777777" w:rsidR="00471D53" w:rsidRPr="002E2C92" w:rsidRDefault="004F686E" w:rsidP="00471D53">
                    <w:pPr>
                      <w:jc w:val="right"/>
                      <w:rPr>
                        <w:rFonts w:cs="Calibri"/>
                        <w:sz w:val="22"/>
                        <w:szCs w:val="22"/>
                      </w:rPr>
                    </w:pPr>
                    <w:r w:rsidRPr="002E2C92">
                      <w:rPr>
                        <w:rFonts w:cs="Calibri" w:hint="eastAsia"/>
                        <w:b/>
                        <w:bCs/>
                        <w:sz w:val="22"/>
                        <w:szCs w:val="22"/>
                      </w:rPr>
                      <w:t>1,154,907.30</w:t>
                    </w:r>
                  </w:p>
                </w:tc>
              </w:tr>
              <w:tr w:rsidR="00471D53" w14:paraId="50121301" w14:textId="77777777" w:rsidTr="00471D53">
                <w:trPr>
                  <w:trHeight w:val="340"/>
                </w:trPr>
                <w:tc>
                  <w:tcPr>
                    <w:tcW w:w="955" w:type="pct"/>
                    <w:vAlign w:val="center"/>
                  </w:tcPr>
                  <w:p w14:paraId="2CFAD8EC" w14:textId="77777777" w:rsidR="00471D53" w:rsidRPr="002E2C92" w:rsidRDefault="004F686E" w:rsidP="00471D53">
                    <w:pPr>
                      <w:rPr>
                        <w:rFonts w:cs="Calibri"/>
                        <w:sz w:val="22"/>
                        <w:szCs w:val="22"/>
                      </w:rPr>
                    </w:pPr>
                    <w:r w:rsidRPr="002E2C92">
                      <w:rPr>
                        <w:rFonts w:cs="Calibri" w:hint="eastAsia"/>
                        <w:sz w:val="22"/>
                        <w:szCs w:val="22"/>
                      </w:rPr>
                      <w:t>美元</w:t>
                    </w:r>
                  </w:p>
                </w:tc>
                <w:tc>
                  <w:tcPr>
                    <w:tcW w:w="955" w:type="pct"/>
                    <w:vAlign w:val="center"/>
                  </w:tcPr>
                  <w:p w14:paraId="2E609F64" w14:textId="77777777" w:rsidR="00471D53" w:rsidRPr="002E2C92" w:rsidRDefault="004F686E" w:rsidP="00471D53">
                    <w:pPr>
                      <w:jc w:val="right"/>
                      <w:rPr>
                        <w:rFonts w:cs="Calibri"/>
                        <w:sz w:val="22"/>
                        <w:szCs w:val="22"/>
                      </w:rPr>
                    </w:pPr>
                    <w:r>
                      <w:rPr>
                        <w:rFonts w:cs="Calibri" w:hint="eastAsia"/>
                        <w:sz w:val="22"/>
                        <w:szCs w:val="22"/>
                      </w:rPr>
                      <w:t>0</w:t>
                    </w:r>
                    <w:r>
                      <w:rPr>
                        <w:rFonts w:cs="Calibri"/>
                        <w:sz w:val="22"/>
                        <w:szCs w:val="22"/>
                      </w:rPr>
                      <w:t>.00</w:t>
                    </w:r>
                  </w:p>
                </w:tc>
                <w:tc>
                  <w:tcPr>
                    <w:tcW w:w="1000" w:type="pct"/>
                    <w:vAlign w:val="center"/>
                  </w:tcPr>
                  <w:p w14:paraId="4BCF8802" w14:textId="77777777" w:rsidR="00471D53" w:rsidRPr="002E2C92" w:rsidRDefault="004F686E" w:rsidP="00471D53">
                    <w:pPr>
                      <w:jc w:val="right"/>
                      <w:rPr>
                        <w:rFonts w:cs="Calibri"/>
                        <w:sz w:val="22"/>
                        <w:szCs w:val="22"/>
                      </w:rPr>
                    </w:pPr>
                    <w:r>
                      <w:rPr>
                        <w:rFonts w:cs="Calibri" w:hint="eastAsia"/>
                        <w:sz w:val="22"/>
                        <w:szCs w:val="22"/>
                      </w:rPr>
                      <w:t>0</w:t>
                    </w:r>
                    <w:r>
                      <w:rPr>
                        <w:rFonts w:cs="Calibri"/>
                        <w:sz w:val="22"/>
                        <w:szCs w:val="22"/>
                      </w:rPr>
                      <w:t>.00</w:t>
                    </w:r>
                  </w:p>
                </w:tc>
                <w:tc>
                  <w:tcPr>
                    <w:tcW w:w="1011" w:type="pct"/>
                    <w:vAlign w:val="center"/>
                  </w:tcPr>
                  <w:p w14:paraId="73A195E8" w14:textId="77777777" w:rsidR="00471D53" w:rsidRPr="002E2C92" w:rsidRDefault="004F686E" w:rsidP="00471D53">
                    <w:pPr>
                      <w:jc w:val="right"/>
                      <w:rPr>
                        <w:rFonts w:cs="Calibri"/>
                        <w:sz w:val="22"/>
                        <w:szCs w:val="22"/>
                      </w:rPr>
                    </w:pPr>
                    <w:r w:rsidRPr="002E2C92">
                      <w:rPr>
                        <w:rFonts w:cs="Calibri" w:hint="eastAsia"/>
                        <w:sz w:val="22"/>
                        <w:szCs w:val="22"/>
                      </w:rPr>
                      <w:t>177,000.00</w:t>
                    </w:r>
                  </w:p>
                </w:tc>
                <w:tc>
                  <w:tcPr>
                    <w:tcW w:w="1079" w:type="pct"/>
                    <w:vAlign w:val="center"/>
                  </w:tcPr>
                  <w:p w14:paraId="1900D5AD" w14:textId="77777777" w:rsidR="00471D53" w:rsidRDefault="004F686E" w:rsidP="00471D53">
                    <w:pPr>
                      <w:jc w:val="right"/>
                      <w:rPr>
                        <w:rFonts w:cs="Calibri"/>
                        <w:sz w:val="22"/>
                        <w:szCs w:val="22"/>
                      </w:rPr>
                    </w:pPr>
                    <w:r w:rsidRPr="002E2C92">
                      <w:rPr>
                        <w:rFonts w:cs="Calibri" w:hint="eastAsia"/>
                        <w:sz w:val="22"/>
                        <w:szCs w:val="22"/>
                      </w:rPr>
                      <w:t>1,154,907.30</w:t>
                    </w:r>
                  </w:p>
                </w:tc>
              </w:tr>
            </w:tbl>
            <w:p w14:paraId="6070004D" w14:textId="77777777" w:rsidR="00471D53" w:rsidRDefault="004F686E" w:rsidP="00471D53">
              <w:pPr>
                <w:autoSpaceDE w:val="0"/>
                <w:autoSpaceDN w:val="0"/>
                <w:adjustRightInd w:val="0"/>
                <w:spacing w:beforeLines="50" w:before="120" w:afterLines="50" w:after="120" w:line="360" w:lineRule="exact"/>
                <w:ind w:firstLineChars="200" w:firstLine="440"/>
                <w:jc w:val="both"/>
                <w:rPr>
                  <w:rFonts w:cs="MHei-Light-Identity-H"/>
                  <w:sz w:val="22"/>
                  <w:szCs w:val="22"/>
                </w:rPr>
              </w:pPr>
              <w:r>
                <w:rPr>
                  <w:rFonts w:cs="MHei-Light-Identity-H" w:hint="eastAsia"/>
                  <w:sz w:val="22"/>
                  <w:szCs w:val="22"/>
                </w:rPr>
                <w:t>本集团密切关注汇率变动对本集团的影响。</w:t>
              </w:r>
            </w:p>
            <w:p w14:paraId="43C87C3D" w14:textId="77777777" w:rsidR="00471D53" w:rsidRDefault="004F686E" w:rsidP="00471D53">
              <w:pPr>
                <w:autoSpaceDE w:val="0"/>
                <w:autoSpaceDN w:val="0"/>
                <w:adjustRightInd w:val="0"/>
                <w:spacing w:beforeLines="50" w:before="120" w:afterLines="50" w:after="120" w:line="360" w:lineRule="exact"/>
                <w:ind w:firstLineChars="200" w:firstLine="440"/>
                <w:jc w:val="both"/>
                <w:rPr>
                  <w:rFonts w:cs="MHei-Light-Identity-H"/>
                  <w:sz w:val="22"/>
                  <w:szCs w:val="22"/>
                </w:rPr>
              </w:pPr>
              <w:r>
                <w:rPr>
                  <w:rFonts w:cs="MHei-Light-Identity-H" w:hint="eastAsia"/>
                  <w:sz w:val="22"/>
                  <w:szCs w:val="22"/>
                </w:rPr>
                <w:t>2）利率风险</w:t>
              </w:r>
            </w:p>
            <w:p w14:paraId="7D530A12" w14:textId="77777777" w:rsidR="00471D53" w:rsidRDefault="004F686E" w:rsidP="00471D53">
              <w:pPr>
                <w:autoSpaceDE w:val="0"/>
                <w:autoSpaceDN w:val="0"/>
                <w:adjustRightInd w:val="0"/>
                <w:spacing w:beforeLines="50" w:before="120" w:afterLines="50" w:after="120" w:line="360" w:lineRule="exact"/>
                <w:ind w:firstLineChars="200" w:firstLine="440"/>
                <w:jc w:val="both"/>
                <w:rPr>
                  <w:rFonts w:cs="MHei-Light-Identity-H"/>
                  <w:sz w:val="22"/>
                  <w:szCs w:val="22"/>
                </w:rPr>
              </w:pPr>
              <w:r>
                <w:rPr>
                  <w:rFonts w:cs="MHei-Light-Identity-H" w:hint="eastAsia"/>
                  <w:sz w:val="22"/>
                  <w:szCs w:val="22"/>
                </w:rPr>
                <w:t>本集团全部为固定利率借款。</w:t>
              </w:r>
            </w:p>
            <w:p w14:paraId="75B6538A" w14:textId="77777777" w:rsidR="00471D53" w:rsidRDefault="004F686E" w:rsidP="00471D53">
              <w:pPr>
                <w:autoSpaceDE w:val="0"/>
                <w:autoSpaceDN w:val="0"/>
                <w:adjustRightInd w:val="0"/>
                <w:spacing w:beforeLines="50" w:before="120" w:afterLines="50" w:after="120" w:line="360" w:lineRule="exact"/>
                <w:ind w:firstLineChars="200" w:firstLine="440"/>
                <w:jc w:val="both"/>
                <w:rPr>
                  <w:rFonts w:cs="MHei-Light-Identity-H"/>
                  <w:sz w:val="22"/>
                  <w:szCs w:val="22"/>
                </w:rPr>
              </w:pPr>
              <w:r>
                <w:rPr>
                  <w:rFonts w:cs="MHei-Light-Identity-H" w:hint="eastAsia"/>
                  <w:sz w:val="22"/>
                  <w:szCs w:val="22"/>
                </w:rPr>
                <w:t>3）价格风险</w:t>
              </w:r>
            </w:p>
            <w:p w14:paraId="6EAFD0D6" w14:textId="77777777" w:rsidR="00471D53" w:rsidRDefault="004F686E" w:rsidP="00471D53">
              <w:pPr>
                <w:autoSpaceDE w:val="0"/>
                <w:autoSpaceDN w:val="0"/>
                <w:adjustRightInd w:val="0"/>
                <w:spacing w:beforeLines="50" w:before="120" w:afterLines="50" w:after="120" w:line="360" w:lineRule="exact"/>
                <w:ind w:firstLineChars="200" w:firstLine="440"/>
                <w:jc w:val="both"/>
                <w:rPr>
                  <w:rFonts w:cs="MHei-Light-Identity-H"/>
                  <w:sz w:val="22"/>
                  <w:szCs w:val="22"/>
                </w:rPr>
              </w:pPr>
              <w:r>
                <w:rPr>
                  <w:rFonts w:cs="MHei-Light-Identity-H" w:hint="eastAsia"/>
                  <w:sz w:val="22"/>
                  <w:szCs w:val="22"/>
                </w:rPr>
                <w:t>本集团以市场价格销售产品，因此受到此等价格波动的影响。</w:t>
              </w:r>
            </w:p>
            <w:p w14:paraId="69EB9DBF" w14:textId="77777777" w:rsidR="00471D53" w:rsidRPr="00FB6D17" w:rsidRDefault="004F686E" w:rsidP="004F686E">
              <w:pPr>
                <w:numPr>
                  <w:ilvl w:val="0"/>
                  <w:numId w:val="98"/>
                </w:numPr>
                <w:tabs>
                  <w:tab w:val="clear" w:pos="1160"/>
                  <w:tab w:val="num" w:pos="420"/>
                  <w:tab w:val="left" w:pos="720"/>
                  <w:tab w:val="left" w:pos="993"/>
                </w:tabs>
                <w:spacing w:beforeLines="50" w:before="120" w:afterLines="50" w:after="120" w:line="360" w:lineRule="exact"/>
                <w:ind w:leftChars="200" w:left="972" w:hangingChars="251" w:hanging="552"/>
                <w:outlineLvl w:val="2"/>
                <w:rPr>
                  <w:rFonts w:cs="Times New Roman"/>
                  <w:sz w:val="22"/>
                  <w:szCs w:val="22"/>
                </w:rPr>
              </w:pPr>
              <w:r w:rsidRPr="00FB6D17">
                <w:rPr>
                  <w:rFonts w:cs="Times New Roman" w:hint="eastAsia"/>
                  <w:sz w:val="22"/>
                  <w:szCs w:val="22"/>
                </w:rPr>
                <w:t>信用风险</w:t>
              </w:r>
            </w:p>
            <w:p w14:paraId="0F0F99E8" w14:textId="77777777" w:rsidR="00471D53" w:rsidRDefault="004F686E" w:rsidP="00471D53">
              <w:pPr>
                <w:autoSpaceDE w:val="0"/>
                <w:autoSpaceDN w:val="0"/>
                <w:adjustRightInd w:val="0"/>
                <w:spacing w:beforeLines="50" w:before="120" w:afterLines="50" w:after="120" w:line="360" w:lineRule="exact"/>
                <w:ind w:firstLineChars="200" w:firstLine="440"/>
                <w:jc w:val="both"/>
                <w:rPr>
                  <w:rFonts w:cs="MHei-Light-Identity-H"/>
                  <w:sz w:val="22"/>
                  <w:szCs w:val="22"/>
                </w:rPr>
              </w:pPr>
              <w:r>
                <w:rPr>
                  <w:rFonts w:cs="MHei-Light-Identity-H" w:hint="eastAsia"/>
                  <w:sz w:val="22"/>
                  <w:szCs w:val="22"/>
                </w:rPr>
                <w:t>于2021年6月30日，可能引起本集团财务损失的最大信用风险敞口主要来自于合同另一方未能履行义务而导致本集团金融资产产生的损失。</w:t>
              </w:r>
            </w:p>
            <w:p w14:paraId="649013E0" w14:textId="77777777" w:rsidR="00471D53" w:rsidRDefault="004F686E" w:rsidP="00471D53">
              <w:pPr>
                <w:autoSpaceDE w:val="0"/>
                <w:autoSpaceDN w:val="0"/>
                <w:adjustRightInd w:val="0"/>
                <w:spacing w:beforeLines="50" w:before="120" w:afterLines="50" w:after="120" w:line="360" w:lineRule="exact"/>
                <w:ind w:firstLineChars="200" w:firstLine="440"/>
                <w:jc w:val="both"/>
                <w:rPr>
                  <w:rFonts w:cs="MHei-Light-Identity-H"/>
                  <w:sz w:val="22"/>
                  <w:szCs w:val="22"/>
                </w:rPr>
              </w:pPr>
              <w:r>
                <w:rPr>
                  <w:rFonts w:cs="MHei-Light-Identity-H" w:hint="eastAsia"/>
                  <w:sz w:val="22"/>
                  <w:szCs w:val="22"/>
                </w:rPr>
                <w:t>合并资产负债表中已确认的金融资产的账面金额；对于以公允价值计量的金融工具而言，账面价值反映了其风险敞口，但并非最大风险敞口，其最大风险敞口将随着未来公允价值的变化而改变。</w:t>
              </w:r>
            </w:p>
            <w:p w14:paraId="065753DE" w14:textId="77777777" w:rsidR="00471D53" w:rsidRDefault="004F686E" w:rsidP="00471D53">
              <w:pPr>
                <w:autoSpaceDE w:val="0"/>
                <w:autoSpaceDN w:val="0"/>
                <w:adjustRightInd w:val="0"/>
                <w:spacing w:beforeLines="50" w:before="120" w:afterLines="50" w:after="120" w:line="360" w:lineRule="exact"/>
                <w:ind w:firstLineChars="200" w:firstLine="440"/>
                <w:jc w:val="both"/>
                <w:rPr>
                  <w:rFonts w:cs="MHei-Light-Identity-H"/>
                  <w:sz w:val="22"/>
                  <w:szCs w:val="22"/>
                </w:rPr>
              </w:pPr>
              <w:r>
                <w:rPr>
                  <w:rFonts w:cs="MHei-Light-Identity-H" w:hint="eastAsia"/>
                  <w:sz w:val="22"/>
                  <w:szCs w:val="22"/>
                </w:rPr>
                <w:lastRenderedPageBreak/>
                <w:t>为降低信用风险，本集团成立专门部门确定信用额度、进行信用审批，并执行其它监控程序以确保采取必要的措施回收过期债权。此外，本集团于每个资产负债表日审核每一单项应收款的回收情况，以确保就无法回收的款项计提充分的坏账准备。因此，本集团管理层认为本集团所承担的信用风险已经大为降低。</w:t>
              </w:r>
            </w:p>
            <w:p w14:paraId="5F3916CE" w14:textId="77777777" w:rsidR="00471D53" w:rsidRDefault="004F686E" w:rsidP="00471D53">
              <w:pPr>
                <w:autoSpaceDE w:val="0"/>
                <w:autoSpaceDN w:val="0"/>
                <w:adjustRightInd w:val="0"/>
                <w:spacing w:beforeLines="50" w:before="120" w:afterLines="50" w:after="120" w:line="360" w:lineRule="exact"/>
                <w:ind w:firstLineChars="200" w:firstLine="440"/>
                <w:jc w:val="both"/>
                <w:rPr>
                  <w:rFonts w:cs="MHei-Light-Identity-H"/>
                  <w:sz w:val="22"/>
                  <w:szCs w:val="22"/>
                </w:rPr>
              </w:pPr>
              <w:r>
                <w:rPr>
                  <w:rFonts w:cs="MHei-Light-Identity-H" w:hint="eastAsia"/>
                  <w:sz w:val="22"/>
                  <w:szCs w:val="22"/>
                </w:rPr>
                <w:t>本集团的流动资金存放在信用评级较高的银行，故流动资金的信用风险较低。</w:t>
              </w:r>
            </w:p>
            <w:p w14:paraId="2C2CCEA7" w14:textId="567DC724" w:rsidR="00471D53" w:rsidRDefault="004F686E" w:rsidP="00471D53">
              <w:pPr>
                <w:autoSpaceDE w:val="0"/>
                <w:autoSpaceDN w:val="0"/>
                <w:adjustRightInd w:val="0"/>
                <w:spacing w:beforeLines="50" w:before="120" w:afterLines="50" w:after="120" w:line="360" w:lineRule="exact"/>
                <w:ind w:firstLineChars="200" w:firstLine="440"/>
                <w:jc w:val="both"/>
                <w:rPr>
                  <w:rFonts w:cs="MHei-Light-Identity-H"/>
                  <w:sz w:val="22"/>
                  <w:szCs w:val="22"/>
                </w:rPr>
              </w:pPr>
              <w:r>
                <w:rPr>
                  <w:rFonts w:cs="MHei-Light-Identity-H" w:hint="eastAsia"/>
                  <w:sz w:val="22"/>
                  <w:szCs w:val="22"/>
                </w:rPr>
                <w:t>由于本集团的风险敞口分布在多个合同方和多个客户，于期末，本集团</w:t>
              </w:r>
              <w:r>
                <w:rPr>
                  <w:rFonts w:hint="eastAsia"/>
                  <w:sz w:val="22"/>
                  <w:szCs w:val="22"/>
                  <w:lang w:bidi="ar"/>
                </w:rPr>
                <w:t>8.87</w:t>
              </w:r>
              <w:r w:rsidRPr="008F4B8D">
                <w:rPr>
                  <w:rFonts w:cs="MHei-Light-Identity-H" w:hint="eastAsia"/>
                  <w:sz w:val="22"/>
                  <w:szCs w:val="22"/>
                </w:rPr>
                <w:t>%</w:t>
              </w:r>
              <w:r>
                <w:rPr>
                  <w:rFonts w:cs="MHei-Light-Identity-H" w:hint="eastAsia"/>
                  <w:sz w:val="22"/>
                  <w:szCs w:val="22"/>
                </w:rPr>
                <w:t>（上年：</w:t>
              </w:r>
              <w:r w:rsidRPr="005C0D1D">
                <w:rPr>
                  <w:rFonts w:cs="MHei-Light-Identity-H"/>
                  <w:sz w:val="22"/>
                  <w:szCs w:val="22"/>
                </w:rPr>
                <w:t>12.59%</w:t>
              </w:r>
              <w:r>
                <w:rPr>
                  <w:rFonts w:cs="MHei-Light-Identity-H" w:hint="eastAsia"/>
                  <w:sz w:val="22"/>
                  <w:szCs w:val="22"/>
                </w:rPr>
                <w:t>）和</w:t>
              </w:r>
              <w:r w:rsidRPr="00BF4535">
                <w:rPr>
                  <w:rFonts w:cs="MHei-Light-Identity-H"/>
                  <w:sz w:val="22"/>
                  <w:szCs w:val="22"/>
                </w:rPr>
                <w:t>26.21</w:t>
              </w:r>
              <w:r w:rsidRPr="008F4B8D">
                <w:rPr>
                  <w:rFonts w:cs="MHei-Light-Identity-H" w:hint="eastAsia"/>
                  <w:sz w:val="22"/>
                  <w:szCs w:val="22"/>
                </w:rPr>
                <w:t>%</w:t>
              </w:r>
              <w:r>
                <w:rPr>
                  <w:rFonts w:cs="MHei-Light-Identity-H" w:hint="eastAsia"/>
                  <w:sz w:val="22"/>
                  <w:szCs w:val="22"/>
                </w:rPr>
                <w:t>（上年：35.22%）应收账款余额分别来自本集团最大的客户和前五大客户。期末应收账款余额最大客户</w:t>
              </w:r>
              <w:r w:rsidRPr="008F4B8D">
                <w:rPr>
                  <w:sz w:val="20"/>
                  <w:lang w:bidi="ar"/>
                </w:rPr>
                <w:t>WESTPORTPOWERInc.-Italy</w:t>
              </w:r>
              <w:r>
                <w:rPr>
                  <w:rFonts w:cs="MHei-Light-Identity-H" w:hint="eastAsia"/>
                  <w:sz w:val="22"/>
                  <w:szCs w:val="22"/>
                </w:rPr>
                <w:t>，客户质量优质，因此本集团没有重大的信用风险。</w:t>
              </w:r>
            </w:p>
            <w:p w14:paraId="4E00B322" w14:textId="77777777" w:rsidR="00471D53" w:rsidRDefault="004F686E" w:rsidP="00471D53">
              <w:pPr>
                <w:autoSpaceDE w:val="0"/>
                <w:autoSpaceDN w:val="0"/>
                <w:adjustRightInd w:val="0"/>
                <w:spacing w:beforeLines="50" w:before="120" w:afterLines="50" w:after="120" w:line="360" w:lineRule="exact"/>
                <w:ind w:firstLineChars="200" w:firstLine="440"/>
                <w:jc w:val="both"/>
                <w:rPr>
                  <w:rFonts w:cs="MHei-Light-Identity-H"/>
                  <w:sz w:val="22"/>
                  <w:szCs w:val="22"/>
                </w:rPr>
              </w:pPr>
              <w:r>
                <w:rPr>
                  <w:rFonts w:cs="MHei-Light-Identity-H" w:hint="eastAsia"/>
                  <w:sz w:val="22"/>
                  <w:szCs w:val="22"/>
                </w:rPr>
                <w:t>应收账款前五名金额合计：</w:t>
              </w:r>
              <w:r w:rsidRPr="001E6981">
                <w:rPr>
                  <w:rFonts w:cs="MHei-Light-Identity-H"/>
                  <w:sz w:val="22"/>
                  <w:szCs w:val="22"/>
                </w:rPr>
                <w:t>62,552,786.73</w:t>
              </w:r>
              <w:r w:rsidRPr="008B1E4A">
                <w:rPr>
                  <w:rFonts w:cs="MHei-Light-Identity-H" w:hint="eastAsia"/>
                  <w:sz w:val="22"/>
                  <w:szCs w:val="22"/>
                </w:rPr>
                <w:t>元</w:t>
              </w:r>
              <w:r>
                <w:rPr>
                  <w:rFonts w:cs="MHei-Light-Identity-H" w:hint="eastAsia"/>
                  <w:sz w:val="22"/>
                  <w:szCs w:val="22"/>
                </w:rPr>
                <w:t>。</w:t>
              </w:r>
            </w:p>
            <w:p w14:paraId="0BE510B9" w14:textId="77777777" w:rsidR="00471D53" w:rsidRPr="00FB6D17" w:rsidRDefault="004F686E" w:rsidP="004F686E">
              <w:pPr>
                <w:numPr>
                  <w:ilvl w:val="0"/>
                  <w:numId w:val="98"/>
                </w:numPr>
                <w:tabs>
                  <w:tab w:val="clear" w:pos="1160"/>
                  <w:tab w:val="num" w:pos="420"/>
                  <w:tab w:val="left" w:pos="720"/>
                  <w:tab w:val="left" w:pos="993"/>
                </w:tabs>
                <w:spacing w:beforeLines="50" w:before="120" w:afterLines="50" w:after="120" w:line="360" w:lineRule="exact"/>
                <w:ind w:leftChars="200" w:left="972" w:hangingChars="251" w:hanging="552"/>
                <w:outlineLvl w:val="2"/>
                <w:rPr>
                  <w:rFonts w:cs="Times New Roman"/>
                  <w:sz w:val="22"/>
                  <w:szCs w:val="22"/>
                </w:rPr>
              </w:pPr>
              <w:r w:rsidRPr="00FB6D17">
                <w:rPr>
                  <w:rFonts w:cs="Times New Roman" w:hint="eastAsia"/>
                  <w:sz w:val="22"/>
                  <w:szCs w:val="22"/>
                </w:rPr>
                <w:t>流动风险</w:t>
              </w:r>
            </w:p>
            <w:p w14:paraId="6DBF35DD" w14:textId="77777777" w:rsidR="00471D53" w:rsidRDefault="004F686E" w:rsidP="00471D53">
              <w:pPr>
                <w:autoSpaceDE w:val="0"/>
                <w:autoSpaceDN w:val="0"/>
                <w:adjustRightInd w:val="0"/>
                <w:spacing w:beforeLines="50" w:before="120" w:afterLines="50" w:after="120" w:line="360" w:lineRule="exact"/>
                <w:ind w:firstLineChars="200" w:firstLine="440"/>
                <w:jc w:val="both"/>
                <w:rPr>
                  <w:rFonts w:cs="MHei-Light-Identity-H"/>
                  <w:sz w:val="22"/>
                  <w:szCs w:val="22"/>
                </w:rPr>
              </w:pPr>
              <w:r>
                <w:rPr>
                  <w:rFonts w:cs="MHei-Light-Identity-H" w:hint="eastAsia"/>
                  <w:sz w:val="22"/>
                  <w:szCs w:val="22"/>
                </w:rPr>
                <w:t>本集团管理流动性风险的方法是确保有足够的资金流动性来履行到期债务，而不至于造成不可接受的损失或对企业信誉造成损害。本集团定期分析负债结构和期限，以确保有充裕的资金。本集团管理层对银行借款的使用情况进行监控并确保遵守借款协议。同时与金融机构进行融资磋商，以保持一定的授信额度，减低流动性风险</w:t>
              </w:r>
              <w:r w:rsidRPr="007833BC">
                <w:rPr>
                  <w:rFonts w:cs="MHei-Light-Identity-H" w:hint="eastAsia"/>
                  <w:sz w:val="22"/>
                  <w:szCs w:val="22"/>
                </w:rPr>
                <w:t>。</w:t>
              </w:r>
            </w:p>
            <w:p w14:paraId="5B824303" w14:textId="77777777" w:rsidR="00471D53" w:rsidRPr="007833BC" w:rsidRDefault="004F686E" w:rsidP="00471D53">
              <w:pPr>
                <w:jc w:val="both"/>
                <w:rPr>
                  <w:color w:val="000000"/>
                  <w:sz w:val="22"/>
                  <w:szCs w:val="22"/>
                </w:rPr>
              </w:pPr>
              <w:r>
                <w:rPr>
                  <w:rFonts w:cs="MHei-Light-Identity-H" w:hint="eastAsia"/>
                  <w:sz w:val="22"/>
                  <w:szCs w:val="22"/>
                </w:rPr>
                <w:t>本集团将银行借款作为主要资金来源。于2021年6月30日，本集团尚未使用的银行借款及银行承兑汇票的额度为</w:t>
              </w:r>
              <w:r>
                <w:rPr>
                  <w:rFonts w:hint="eastAsia"/>
                  <w:color w:val="000000"/>
                  <w:sz w:val="22"/>
                  <w:szCs w:val="22"/>
                </w:rPr>
                <w:t>14,400</w:t>
              </w:r>
              <w:r w:rsidRPr="007833BC">
                <w:rPr>
                  <w:rFonts w:hint="eastAsia"/>
                  <w:color w:val="000000"/>
                  <w:sz w:val="22"/>
                  <w:szCs w:val="22"/>
                </w:rPr>
                <w:t>.00</w:t>
              </w:r>
              <w:r w:rsidRPr="007833BC">
                <w:rPr>
                  <w:rFonts w:cs="MHei-Light-Identity-H" w:hint="eastAsia"/>
                  <w:sz w:val="22"/>
                  <w:szCs w:val="22"/>
                </w:rPr>
                <w:t>万元（</w:t>
              </w:r>
              <w:r w:rsidRPr="007833BC">
                <w:rPr>
                  <w:rFonts w:cs="MHei-Light-Identity-H"/>
                  <w:sz w:val="22"/>
                  <w:szCs w:val="22"/>
                </w:rPr>
                <w:t>2</w:t>
              </w:r>
              <w:r>
                <w:rPr>
                  <w:rFonts w:cs="MHei-Light-Identity-H"/>
                  <w:sz w:val="22"/>
                  <w:szCs w:val="22"/>
                </w:rPr>
                <w:t>0</w:t>
              </w:r>
              <w:r>
                <w:rPr>
                  <w:rFonts w:cs="MHei-Light-Identity-H" w:hint="eastAsia"/>
                  <w:sz w:val="22"/>
                  <w:szCs w:val="22"/>
                </w:rPr>
                <w:t>20年12月31日：5</w:t>
              </w:r>
              <w:r>
                <w:rPr>
                  <w:rFonts w:cs="MHei-Light-Identity-H"/>
                  <w:sz w:val="22"/>
                  <w:szCs w:val="22"/>
                </w:rPr>
                <w:t>,</w:t>
              </w:r>
              <w:r>
                <w:rPr>
                  <w:rFonts w:cs="MHei-Light-Identity-H" w:hint="eastAsia"/>
                  <w:sz w:val="22"/>
                  <w:szCs w:val="22"/>
                </w:rPr>
                <w:t>600.00万元）。</w:t>
              </w:r>
            </w:p>
            <w:p w14:paraId="2F51C14D" w14:textId="77777777" w:rsidR="00471D53" w:rsidRDefault="004F686E" w:rsidP="00471D53">
              <w:pPr>
                <w:autoSpaceDE w:val="0"/>
                <w:autoSpaceDN w:val="0"/>
                <w:adjustRightInd w:val="0"/>
                <w:spacing w:beforeLines="50" w:before="120" w:afterLines="50" w:after="120" w:line="360" w:lineRule="exact"/>
                <w:ind w:firstLineChars="200" w:firstLine="440"/>
                <w:jc w:val="both"/>
                <w:rPr>
                  <w:rFonts w:cs="MHei-Light-Identity-H"/>
                  <w:sz w:val="22"/>
                  <w:szCs w:val="22"/>
                </w:rPr>
              </w:pPr>
              <w:r>
                <w:rPr>
                  <w:rFonts w:cs="MHei-Light-Identity-H" w:hint="eastAsia"/>
                  <w:sz w:val="22"/>
                  <w:szCs w:val="22"/>
                </w:rPr>
                <w:t>本集团持有的金融资产和金融负债按未折现剩余合同义务的到期期限分析如下：</w:t>
              </w:r>
            </w:p>
            <w:p w14:paraId="6E71806F" w14:textId="77777777" w:rsidR="00471D53" w:rsidRDefault="004F686E" w:rsidP="00471D53">
              <w:pPr>
                <w:autoSpaceDE w:val="0"/>
                <w:autoSpaceDN w:val="0"/>
                <w:adjustRightInd w:val="0"/>
                <w:spacing w:beforeLines="50" w:before="120" w:afterLines="50" w:after="120" w:line="360" w:lineRule="exact"/>
                <w:ind w:firstLineChars="200" w:firstLine="440"/>
                <w:jc w:val="both"/>
                <w:rPr>
                  <w:rFonts w:cs="MHei-Light-Identity-H"/>
                  <w:sz w:val="22"/>
                  <w:szCs w:val="22"/>
                </w:rPr>
              </w:pPr>
              <w:r>
                <w:rPr>
                  <w:rFonts w:cs="MHei-Light-Identity-H" w:hint="eastAsia"/>
                  <w:sz w:val="22"/>
                  <w:szCs w:val="22"/>
                </w:rPr>
                <w:t>2021年6月30日金额：</w:t>
              </w:r>
            </w:p>
            <w:tbl>
              <w:tblPr>
                <w:tblStyle w:val="g4"/>
                <w:tblW w:w="5000" w:type="pct"/>
                <w:tblBorders>
                  <w:top w:val="double" w:sz="4" w:space="0" w:color="auto"/>
                  <w:bottom w:val="double" w:sz="4" w:space="0" w:color="auto"/>
                  <w:insideH w:val="single" w:sz="2" w:space="0" w:color="auto"/>
                  <w:insideV w:val="single" w:sz="2" w:space="0" w:color="auto"/>
                </w:tblBorders>
                <w:tblLook w:val="0000" w:firstRow="0" w:lastRow="0" w:firstColumn="0" w:lastColumn="0" w:noHBand="0" w:noVBand="0"/>
              </w:tblPr>
              <w:tblGrid>
                <w:gridCol w:w="1520"/>
                <w:gridCol w:w="1695"/>
                <w:gridCol w:w="1552"/>
                <w:gridCol w:w="1266"/>
                <w:gridCol w:w="1184"/>
                <w:gridCol w:w="1616"/>
              </w:tblGrid>
              <w:tr w:rsidR="00471D53" w:rsidRPr="0006203F" w14:paraId="7917D0D5" w14:textId="77777777" w:rsidTr="00471D53">
                <w:trPr>
                  <w:trHeight w:val="340"/>
                  <w:tblHeader/>
                </w:trPr>
                <w:tc>
                  <w:tcPr>
                    <w:tcW w:w="861" w:type="pct"/>
                    <w:vAlign w:val="center"/>
                  </w:tcPr>
                  <w:p w14:paraId="13591DE2" w14:textId="77777777" w:rsidR="00471D53" w:rsidRPr="0006203F" w:rsidRDefault="004F686E" w:rsidP="00471D53">
                    <w:pPr>
                      <w:jc w:val="both"/>
                      <w:rPr>
                        <w:b/>
                        <w:sz w:val="20"/>
                        <w:szCs w:val="20"/>
                      </w:rPr>
                    </w:pPr>
                    <w:r w:rsidRPr="0006203F">
                      <w:rPr>
                        <w:rFonts w:hint="eastAsia"/>
                        <w:b/>
                        <w:sz w:val="20"/>
                        <w:szCs w:val="20"/>
                      </w:rPr>
                      <w:t>项目</w:t>
                    </w:r>
                  </w:p>
                </w:tc>
                <w:tc>
                  <w:tcPr>
                    <w:tcW w:w="960" w:type="pct"/>
                    <w:vAlign w:val="center"/>
                  </w:tcPr>
                  <w:p w14:paraId="5CDC2ECE" w14:textId="77777777" w:rsidR="00471D53" w:rsidRPr="0006203F" w:rsidRDefault="004F686E" w:rsidP="00471D53">
                    <w:pPr>
                      <w:jc w:val="center"/>
                      <w:rPr>
                        <w:b/>
                        <w:sz w:val="20"/>
                        <w:szCs w:val="20"/>
                      </w:rPr>
                    </w:pPr>
                    <w:r w:rsidRPr="0006203F">
                      <w:rPr>
                        <w:rFonts w:hint="eastAsia"/>
                        <w:b/>
                        <w:sz w:val="20"/>
                        <w:szCs w:val="20"/>
                      </w:rPr>
                      <w:t>一年以内</w:t>
                    </w:r>
                  </w:p>
                </w:tc>
                <w:tc>
                  <w:tcPr>
                    <w:tcW w:w="879" w:type="pct"/>
                    <w:vAlign w:val="center"/>
                  </w:tcPr>
                  <w:p w14:paraId="05FC8E86" w14:textId="77777777" w:rsidR="00471D53" w:rsidRPr="0006203F" w:rsidRDefault="004F686E" w:rsidP="00471D53">
                    <w:pPr>
                      <w:jc w:val="center"/>
                      <w:rPr>
                        <w:b/>
                        <w:sz w:val="20"/>
                        <w:szCs w:val="20"/>
                      </w:rPr>
                    </w:pPr>
                    <w:r w:rsidRPr="0006203F">
                      <w:rPr>
                        <w:rFonts w:hint="eastAsia"/>
                        <w:b/>
                        <w:sz w:val="20"/>
                        <w:szCs w:val="20"/>
                      </w:rPr>
                      <w:t>一到二年</w:t>
                    </w:r>
                  </w:p>
                </w:tc>
                <w:tc>
                  <w:tcPr>
                    <w:tcW w:w="717" w:type="pct"/>
                    <w:vAlign w:val="center"/>
                  </w:tcPr>
                  <w:p w14:paraId="44F45D8E" w14:textId="77777777" w:rsidR="00471D53" w:rsidRPr="0006203F" w:rsidRDefault="004F686E" w:rsidP="00471D53">
                    <w:pPr>
                      <w:jc w:val="center"/>
                      <w:rPr>
                        <w:b/>
                        <w:sz w:val="20"/>
                        <w:szCs w:val="20"/>
                      </w:rPr>
                    </w:pPr>
                    <w:r w:rsidRPr="0006203F">
                      <w:rPr>
                        <w:rFonts w:hint="eastAsia"/>
                        <w:b/>
                        <w:sz w:val="20"/>
                        <w:szCs w:val="20"/>
                      </w:rPr>
                      <w:t>二到五年</w:t>
                    </w:r>
                  </w:p>
                </w:tc>
                <w:tc>
                  <w:tcPr>
                    <w:tcW w:w="671" w:type="pct"/>
                    <w:vAlign w:val="center"/>
                  </w:tcPr>
                  <w:p w14:paraId="6DB5F73C" w14:textId="77777777" w:rsidR="00471D53" w:rsidRPr="0006203F" w:rsidRDefault="004F686E" w:rsidP="00471D53">
                    <w:pPr>
                      <w:jc w:val="center"/>
                      <w:rPr>
                        <w:b/>
                        <w:sz w:val="20"/>
                        <w:szCs w:val="20"/>
                      </w:rPr>
                    </w:pPr>
                    <w:r w:rsidRPr="0006203F">
                      <w:rPr>
                        <w:rFonts w:hint="eastAsia"/>
                        <w:b/>
                        <w:sz w:val="20"/>
                        <w:szCs w:val="20"/>
                      </w:rPr>
                      <w:t>五年以上</w:t>
                    </w:r>
                  </w:p>
                </w:tc>
                <w:tc>
                  <w:tcPr>
                    <w:tcW w:w="912" w:type="pct"/>
                    <w:vAlign w:val="center"/>
                  </w:tcPr>
                  <w:p w14:paraId="78DAB327" w14:textId="77777777" w:rsidR="00471D53" w:rsidRPr="0006203F" w:rsidRDefault="004F686E" w:rsidP="00471D53">
                    <w:pPr>
                      <w:jc w:val="center"/>
                      <w:rPr>
                        <w:b/>
                        <w:sz w:val="20"/>
                        <w:szCs w:val="20"/>
                      </w:rPr>
                    </w:pPr>
                    <w:r w:rsidRPr="0006203F">
                      <w:rPr>
                        <w:rFonts w:hint="eastAsia"/>
                        <w:b/>
                        <w:sz w:val="20"/>
                        <w:szCs w:val="20"/>
                      </w:rPr>
                      <w:t>合计</w:t>
                    </w:r>
                  </w:p>
                </w:tc>
              </w:tr>
              <w:tr w:rsidR="00471D53" w:rsidRPr="0006203F" w14:paraId="6EEDC92D" w14:textId="77777777" w:rsidTr="00471D53">
                <w:trPr>
                  <w:trHeight w:val="340"/>
                </w:trPr>
                <w:tc>
                  <w:tcPr>
                    <w:tcW w:w="861" w:type="pct"/>
                    <w:vAlign w:val="center"/>
                  </w:tcPr>
                  <w:p w14:paraId="21B36A5A" w14:textId="77777777" w:rsidR="00471D53" w:rsidRPr="0006203F" w:rsidRDefault="004F686E" w:rsidP="00471D53">
                    <w:pPr>
                      <w:jc w:val="both"/>
                      <w:rPr>
                        <w:b/>
                        <w:sz w:val="20"/>
                        <w:szCs w:val="20"/>
                      </w:rPr>
                    </w:pPr>
                    <w:r w:rsidRPr="0006203F">
                      <w:rPr>
                        <w:rFonts w:hint="eastAsia"/>
                        <w:b/>
                        <w:sz w:val="20"/>
                        <w:szCs w:val="20"/>
                      </w:rPr>
                      <w:t>金融资产</w:t>
                    </w:r>
                  </w:p>
                </w:tc>
                <w:tc>
                  <w:tcPr>
                    <w:tcW w:w="960" w:type="pct"/>
                    <w:vAlign w:val="center"/>
                  </w:tcPr>
                  <w:p w14:paraId="7B03B29E" w14:textId="77777777" w:rsidR="00471D53" w:rsidRPr="0006203F" w:rsidRDefault="00B664AF" w:rsidP="00471D53">
                    <w:pPr>
                      <w:jc w:val="right"/>
                      <w:rPr>
                        <w:sz w:val="20"/>
                        <w:szCs w:val="20"/>
                      </w:rPr>
                    </w:pPr>
                  </w:p>
                </w:tc>
                <w:tc>
                  <w:tcPr>
                    <w:tcW w:w="879" w:type="pct"/>
                    <w:vAlign w:val="center"/>
                  </w:tcPr>
                  <w:p w14:paraId="57E852E1" w14:textId="77777777" w:rsidR="00471D53" w:rsidRPr="0006203F" w:rsidRDefault="00B664AF" w:rsidP="00471D53">
                    <w:pPr>
                      <w:jc w:val="right"/>
                      <w:rPr>
                        <w:sz w:val="20"/>
                        <w:szCs w:val="20"/>
                      </w:rPr>
                    </w:pPr>
                  </w:p>
                </w:tc>
                <w:tc>
                  <w:tcPr>
                    <w:tcW w:w="717" w:type="pct"/>
                    <w:vAlign w:val="center"/>
                  </w:tcPr>
                  <w:p w14:paraId="06C068C5" w14:textId="77777777" w:rsidR="00471D53" w:rsidRPr="0006203F" w:rsidRDefault="00B664AF" w:rsidP="00471D53">
                    <w:pPr>
                      <w:jc w:val="right"/>
                      <w:rPr>
                        <w:sz w:val="20"/>
                        <w:szCs w:val="20"/>
                      </w:rPr>
                    </w:pPr>
                  </w:p>
                </w:tc>
                <w:tc>
                  <w:tcPr>
                    <w:tcW w:w="671" w:type="pct"/>
                    <w:vAlign w:val="center"/>
                  </w:tcPr>
                  <w:p w14:paraId="1E7FF7AE" w14:textId="77777777" w:rsidR="00471D53" w:rsidRPr="0006203F" w:rsidRDefault="00B664AF" w:rsidP="00471D53">
                    <w:pPr>
                      <w:jc w:val="right"/>
                      <w:rPr>
                        <w:sz w:val="20"/>
                        <w:szCs w:val="20"/>
                      </w:rPr>
                    </w:pPr>
                  </w:p>
                </w:tc>
                <w:tc>
                  <w:tcPr>
                    <w:tcW w:w="912" w:type="pct"/>
                    <w:vAlign w:val="center"/>
                  </w:tcPr>
                  <w:p w14:paraId="2E4D84D6" w14:textId="77777777" w:rsidR="00471D53" w:rsidRPr="0006203F" w:rsidRDefault="00B664AF" w:rsidP="00471D53">
                    <w:pPr>
                      <w:jc w:val="right"/>
                      <w:rPr>
                        <w:sz w:val="20"/>
                        <w:szCs w:val="20"/>
                      </w:rPr>
                    </w:pPr>
                  </w:p>
                </w:tc>
              </w:tr>
              <w:tr w:rsidR="00471D53" w:rsidRPr="0006203F" w14:paraId="26A26B02" w14:textId="77777777" w:rsidTr="00471D53">
                <w:trPr>
                  <w:trHeight w:val="340"/>
                </w:trPr>
                <w:tc>
                  <w:tcPr>
                    <w:tcW w:w="861" w:type="pct"/>
                    <w:vAlign w:val="center"/>
                  </w:tcPr>
                  <w:p w14:paraId="334BAF78" w14:textId="77777777" w:rsidR="00471D53" w:rsidRPr="0006203F" w:rsidRDefault="004F686E" w:rsidP="00471D53">
                    <w:pPr>
                      <w:jc w:val="both"/>
                      <w:rPr>
                        <w:i/>
                        <w:sz w:val="20"/>
                        <w:szCs w:val="20"/>
                      </w:rPr>
                    </w:pPr>
                    <w:r w:rsidRPr="0006203F">
                      <w:rPr>
                        <w:rFonts w:hint="eastAsia"/>
                        <w:iCs/>
                        <w:sz w:val="20"/>
                        <w:szCs w:val="20"/>
                      </w:rPr>
                      <w:t>货币资金</w:t>
                    </w:r>
                  </w:p>
                </w:tc>
                <w:tc>
                  <w:tcPr>
                    <w:tcW w:w="960" w:type="pct"/>
                    <w:vAlign w:val="center"/>
                  </w:tcPr>
                  <w:p w14:paraId="79976CA0" w14:textId="77777777" w:rsidR="00471D53" w:rsidRPr="0006203F" w:rsidRDefault="004F686E" w:rsidP="00471D53">
                    <w:pPr>
                      <w:jc w:val="right"/>
                      <w:rPr>
                        <w:sz w:val="20"/>
                        <w:szCs w:val="20"/>
                      </w:rPr>
                    </w:pPr>
                    <w:r w:rsidRPr="00CC1093">
                      <w:rPr>
                        <w:sz w:val="20"/>
                        <w:szCs w:val="20"/>
                      </w:rPr>
                      <w:t>109,896,372.32</w:t>
                    </w:r>
                  </w:p>
                </w:tc>
                <w:tc>
                  <w:tcPr>
                    <w:tcW w:w="879" w:type="pct"/>
                    <w:vAlign w:val="center"/>
                  </w:tcPr>
                  <w:p w14:paraId="412F34C1" w14:textId="77777777" w:rsidR="00471D53" w:rsidRPr="0006203F" w:rsidRDefault="004F686E" w:rsidP="00471D53">
                    <w:pPr>
                      <w:jc w:val="right"/>
                      <w:rPr>
                        <w:sz w:val="20"/>
                        <w:szCs w:val="20"/>
                      </w:rPr>
                    </w:pPr>
                    <w:r>
                      <w:rPr>
                        <w:rFonts w:hint="eastAsia"/>
                        <w:sz w:val="20"/>
                        <w:szCs w:val="20"/>
                      </w:rPr>
                      <w:t>0</w:t>
                    </w:r>
                    <w:r>
                      <w:rPr>
                        <w:sz w:val="20"/>
                        <w:szCs w:val="20"/>
                      </w:rPr>
                      <w:t>.00</w:t>
                    </w:r>
                  </w:p>
                </w:tc>
                <w:tc>
                  <w:tcPr>
                    <w:tcW w:w="717" w:type="pct"/>
                    <w:vAlign w:val="center"/>
                  </w:tcPr>
                  <w:p w14:paraId="4B07A90E" w14:textId="77777777" w:rsidR="00471D53" w:rsidRPr="0006203F" w:rsidRDefault="004F686E" w:rsidP="00471D53">
                    <w:pPr>
                      <w:jc w:val="right"/>
                      <w:rPr>
                        <w:sz w:val="20"/>
                        <w:szCs w:val="20"/>
                      </w:rPr>
                    </w:pPr>
                    <w:r>
                      <w:rPr>
                        <w:rFonts w:hint="eastAsia"/>
                        <w:sz w:val="20"/>
                        <w:szCs w:val="20"/>
                      </w:rPr>
                      <w:t>0</w:t>
                    </w:r>
                    <w:r>
                      <w:rPr>
                        <w:sz w:val="20"/>
                        <w:szCs w:val="20"/>
                      </w:rPr>
                      <w:t>.00</w:t>
                    </w:r>
                  </w:p>
                </w:tc>
                <w:tc>
                  <w:tcPr>
                    <w:tcW w:w="671" w:type="pct"/>
                    <w:vAlign w:val="center"/>
                  </w:tcPr>
                  <w:p w14:paraId="7FED48DC" w14:textId="77777777" w:rsidR="00471D53" w:rsidRPr="0006203F" w:rsidRDefault="004F686E" w:rsidP="00471D53">
                    <w:pPr>
                      <w:jc w:val="right"/>
                      <w:rPr>
                        <w:sz w:val="20"/>
                        <w:szCs w:val="20"/>
                      </w:rPr>
                    </w:pPr>
                    <w:r>
                      <w:rPr>
                        <w:rFonts w:hint="eastAsia"/>
                        <w:sz w:val="20"/>
                        <w:szCs w:val="20"/>
                      </w:rPr>
                      <w:t>0</w:t>
                    </w:r>
                    <w:r>
                      <w:rPr>
                        <w:sz w:val="20"/>
                        <w:szCs w:val="20"/>
                      </w:rPr>
                      <w:t>.00</w:t>
                    </w:r>
                  </w:p>
                </w:tc>
                <w:tc>
                  <w:tcPr>
                    <w:tcW w:w="912" w:type="pct"/>
                    <w:vAlign w:val="center"/>
                  </w:tcPr>
                  <w:p w14:paraId="4D112AC3" w14:textId="77777777" w:rsidR="00471D53" w:rsidRPr="0006203F" w:rsidRDefault="004F686E" w:rsidP="00471D53">
                    <w:pPr>
                      <w:jc w:val="right"/>
                      <w:rPr>
                        <w:sz w:val="20"/>
                        <w:szCs w:val="20"/>
                      </w:rPr>
                    </w:pPr>
                    <w:r w:rsidRPr="005262CF">
                      <w:rPr>
                        <w:sz w:val="20"/>
                        <w:szCs w:val="20"/>
                      </w:rPr>
                      <w:t>109,896,372.32</w:t>
                    </w:r>
                  </w:p>
                </w:tc>
              </w:tr>
              <w:tr w:rsidR="00471D53" w:rsidRPr="0006203F" w14:paraId="39407CE9" w14:textId="77777777" w:rsidTr="00471D53">
                <w:trPr>
                  <w:trHeight w:val="340"/>
                </w:trPr>
                <w:tc>
                  <w:tcPr>
                    <w:tcW w:w="861" w:type="pct"/>
                    <w:vAlign w:val="center"/>
                  </w:tcPr>
                  <w:p w14:paraId="3FF00258" w14:textId="77777777" w:rsidR="00471D53" w:rsidRPr="0006203F" w:rsidRDefault="004F686E" w:rsidP="00471D53">
                    <w:pPr>
                      <w:jc w:val="both"/>
                      <w:rPr>
                        <w:i/>
                        <w:sz w:val="20"/>
                        <w:szCs w:val="20"/>
                      </w:rPr>
                    </w:pPr>
                    <w:r w:rsidRPr="0006203F">
                      <w:rPr>
                        <w:rFonts w:hint="eastAsia"/>
                        <w:iCs/>
                        <w:sz w:val="20"/>
                        <w:szCs w:val="20"/>
                      </w:rPr>
                      <w:t>应收账款</w:t>
                    </w:r>
                  </w:p>
                </w:tc>
                <w:tc>
                  <w:tcPr>
                    <w:tcW w:w="960" w:type="pct"/>
                    <w:vAlign w:val="center"/>
                  </w:tcPr>
                  <w:p w14:paraId="7596C2E8" w14:textId="77777777" w:rsidR="00471D53" w:rsidRPr="0006203F" w:rsidRDefault="004F686E" w:rsidP="00471D53">
                    <w:pPr>
                      <w:jc w:val="right"/>
                      <w:rPr>
                        <w:sz w:val="20"/>
                        <w:szCs w:val="20"/>
                      </w:rPr>
                    </w:pPr>
                    <w:r w:rsidRPr="005262CF">
                      <w:rPr>
                        <w:sz w:val="20"/>
                        <w:szCs w:val="20"/>
                      </w:rPr>
                      <w:t>173,126,754.38</w:t>
                    </w:r>
                  </w:p>
                </w:tc>
                <w:tc>
                  <w:tcPr>
                    <w:tcW w:w="879" w:type="pct"/>
                    <w:vAlign w:val="center"/>
                  </w:tcPr>
                  <w:p w14:paraId="33C02F6D" w14:textId="77777777" w:rsidR="00471D53" w:rsidRPr="0006203F" w:rsidRDefault="004F686E" w:rsidP="00471D53">
                    <w:pPr>
                      <w:jc w:val="right"/>
                      <w:rPr>
                        <w:sz w:val="20"/>
                        <w:szCs w:val="20"/>
                      </w:rPr>
                    </w:pPr>
                    <w:r>
                      <w:rPr>
                        <w:rFonts w:hint="eastAsia"/>
                        <w:sz w:val="20"/>
                        <w:szCs w:val="20"/>
                      </w:rPr>
                      <w:t>0</w:t>
                    </w:r>
                    <w:r>
                      <w:rPr>
                        <w:sz w:val="20"/>
                        <w:szCs w:val="20"/>
                      </w:rPr>
                      <w:t>.00</w:t>
                    </w:r>
                  </w:p>
                </w:tc>
                <w:tc>
                  <w:tcPr>
                    <w:tcW w:w="717" w:type="pct"/>
                    <w:vAlign w:val="center"/>
                  </w:tcPr>
                  <w:p w14:paraId="6EE826DC" w14:textId="77777777" w:rsidR="00471D53" w:rsidRPr="0006203F" w:rsidRDefault="004F686E" w:rsidP="00471D53">
                    <w:pPr>
                      <w:jc w:val="right"/>
                      <w:rPr>
                        <w:sz w:val="20"/>
                        <w:szCs w:val="20"/>
                      </w:rPr>
                    </w:pPr>
                    <w:r>
                      <w:rPr>
                        <w:rFonts w:hint="eastAsia"/>
                        <w:sz w:val="20"/>
                        <w:szCs w:val="20"/>
                      </w:rPr>
                      <w:t>0</w:t>
                    </w:r>
                    <w:r>
                      <w:rPr>
                        <w:sz w:val="20"/>
                        <w:szCs w:val="20"/>
                      </w:rPr>
                      <w:t>.00</w:t>
                    </w:r>
                  </w:p>
                </w:tc>
                <w:tc>
                  <w:tcPr>
                    <w:tcW w:w="671" w:type="pct"/>
                    <w:vAlign w:val="center"/>
                  </w:tcPr>
                  <w:p w14:paraId="5B27C3F3" w14:textId="77777777" w:rsidR="00471D53" w:rsidRPr="0006203F" w:rsidRDefault="004F686E" w:rsidP="00471D53">
                    <w:pPr>
                      <w:jc w:val="right"/>
                      <w:rPr>
                        <w:sz w:val="20"/>
                        <w:szCs w:val="20"/>
                      </w:rPr>
                    </w:pPr>
                    <w:r>
                      <w:rPr>
                        <w:rFonts w:hint="eastAsia"/>
                        <w:sz w:val="20"/>
                        <w:szCs w:val="20"/>
                      </w:rPr>
                      <w:t>0</w:t>
                    </w:r>
                    <w:r>
                      <w:rPr>
                        <w:sz w:val="20"/>
                        <w:szCs w:val="20"/>
                      </w:rPr>
                      <w:t>.00</w:t>
                    </w:r>
                  </w:p>
                </w:tc>
                <w:tc>
                  <w:tcPr>
                    <w:tcW w:w="912" w:type="pct"/>
                    <w:vAlign w:val="center"/>
                  </w:tcPr>
                  <w:p w14:paraId="1F952F33" w14:textId="77777777" w:rsidR="00471D53" w:rsidRPr="0006203F" w:rsidRDefault="004F686E" w:rsidP="00471D53">
                    <w:pPr>
                      <w:jc w:val="right"/>
                      <w:rPr>
                        <w:sz w:val="20"/>
                        <w:szCs w:val="20"/>
                      </w:rPr>
                    </w:pPr>
                    <w:r w:rsidRPr="005262CF">
                      <w:rPr>
                        <w:sz w:val="20"/>
                        <w:szCs w:val="20"/>
                      </w:rPr>
                      <w:t>173,126,754.38</w:t>
                    </w:r>
                  </w:p>
                </w:tc>
              </w:tr>
              <w:tr w:rsidR="00471D53" w:rsidRPr="0006203F" w14:paraId="2A6393FB" w14:textId="77777777" w:rsidTr="00471D53">
                <w:trPr>
                  <w:trHeight w:val="340"/>
                </w:trPr>
                <w:tc>
                  <w:tcPr>
                    <w:tcW w:w="861" w:type="pct"/>
                    <w:vAlign w:val="center"/>
                  </w:tcPr>
                  <w:p w14:paraId="7A04D81F" w14:textId="77777777" w:rsidR="00471D53" w:rsidRPr="0006203F" w:rsidRDefault="004F686E" w:rsidP="00471D53">
                    <w:pPr>
                      <w:jc w:val="both"/>
                      <w:rPr>
                        <w:i/>
                        <w:sz w:val="20"/>
                        <w:szCs w:val="20"/>
                      </w:rPr>
                    </w:pPr>
                    <w:r w:rsidRPr="0006203F">
                      <w:rPr>
                        <w:rFonts w:hint="eastAsia"/>
                        <w:iCs/>
                        <w:sz w:val="20"/>
                        <w:szCs w:val="20"/>
                      </w:rPr>
                      <w:t>应收款项融资</w:t>
                    </w:r>
                  </w:p>
                </w:tc>
                <w:tc>
                  <w:tcPr>
                    <w:tcW w:w="960" w:type="pct"/>
                    <w:vAlign w:val="center"/>
                  </w:tcPr>
                  <w:p w14:paraId="26E42988" w14:textId="77777777" w:rsidR="00471D53" w:rsidRPr="0006203F" w:rsidRDefault="004F686E" w:rsidP="00471D53">
                    <w:pPr>
                      <w:jc w:val="right"/>
                      <w:rPr>
                        <w:sz w:val="20"/>
                        <w:szCs w:val="20"/>
                      </w:rPr>
                    </w:pPr>
                    <w:r w:rsidRPr="005262CF">
                      <w:rPr>
                        <w:sz w:val="20"/>
                        <w:szCs w:val="20"/>
                      </w:rPr>
                      <w:t>5,234,897.48</w:t>
                    </w:r>
                  </w:p>
                </w:tc>
                <w:tc>
                  <w:tcPr>
                    <w:tcW w:w="879" w:type="pct"/>
                    <w:vAlign w:val="center"/>
                  </w:tcPr>
                  <w:p w14:paraId="1A19FB15" w14:textId="77777777" w:rsidR="00471D53" w:rsidRPr="0006203F" w:rsidRDefault="004F686E" w:rsidP="00471D53">
                    <w:pPr>
                      <w:jc w:val="right"/>
                      <w:rPr>
                        <w:sz w:val="20"/>
                        <w:szCs w:val="20"/>
                      </w:rPr>
                    </w:pPr>
                    <w:r>
                      <w:rPr>
                        <w:rFonts w:hint="eastAsia"/>
                        <w:sz w:val="20"/>
                        <w:szCs w:val="20"/>
                      </w:rPr>
                      <w:t>0</w:t>
                    </w:r>
                    <w:r>
                      <w:rPr>
                        <w:sz w:val="20"/>
                        <w:szCs w:val="20"/>
                      </w:rPr>
                      <w:t>.00</w:t>
                    </w:r>
                  </w:p>
                </w:tc>
                <w:tc>
                  <w:tcPr>
                    <w:tcW w:w="717" w:type="pct"/>
                    <w:vAlign w:val="center"/>
                  </w:tcPr>
                  <w:p w14:paraId="71C222B4" w14:textId="77777777" w:rsidR="00471D53" w:rsidRPr="0006203F" w:rsidRDefault="004F686E" w:rsidP="00471D53">
                    <w:pPr>
                      <w:jc w:val="right"/>
                      <w:rPr>
                        <w:sz w:val="20"/>
                        <w:szCs w:val="20"/>
                      </w:rPr>
                    </w:pPr>
                    <w:r>
                      <w:rPr>
                        <w:rFonts w:hint="eastAsia"/>
                        <w:sz w:val="20"/>
                        <w:szCs w:val="20"/>
                      </w:rPr>
                      <w:t>0</w:t>
                    </w:r>
                    <w:r>
                      <w:rPr>
                        <w:sz w:val="20"/>
                        <w:szCs w:val="20"/>
                      </w:rPr>
                      <w:t>.00</w:t>
                    </w:r>
                  </w:p>
                </w:tc>
                <w:tc>
                  <w:tcPr>
                    <w:tcW w:w="671" w:type="pct"/>
                    <w:vAlign w:val="center"/>
                  </w:tcPr>
                  <w:p w14:paraId="3FBA3792" w14:textId="77777777" w:rsidR="00471D53" w:rsidRPr="0006203F" w:rsidRDefault="004F686E" w:rsidP="00471D53">
                    <w:pPr>
                      <w:jc w:val="right"/>
                      <w:rPr>
                        <w:sz w:val="20"/>
                        <w:szCs w:val="20"/>
                      </w:rPr>
                    </w:pPr>
                    <w:r>
                      <w:rPr>
                        <w:rFonts w:hint="eastAsia"/>
                        <w:sz w:val="20"/>
                        <w:szCs w:val="20"/>
                      </w:rPr>
                      <w:t>0</w:t>
                    </w:r>
                    <w:r>
                      <w:rPr>
                        <w:sz w:val="20"/>
                        <w:szCs w:val="20"/>
                      </w:rPr>
                      <w:t>.00</w:t>
                    </w:r>
                  </w:p>
                </w:tc>
                <w:tc>
                  <w:tcPr>
                    <w:tcW w:w="912" w:type="pct"/>
                    <w:vAlign w:val="center"/>
                  </w:tcPr>
                  <w:p w14:paraId="65F2B055" w14:textId="77777777" w:rsidR="00471D53" w:rsidRPr="0006203F" w:rsidRDefault="004F686E" w:rsidP="00471D53">
                    <w:pPr>
                      <w:jc w:val="right"/>
                      <w:rPr>
                        <w:sz w:val="20"/>
                        <w:szCs w:val="20"/>
                      </w:rPr>
                    </w:pPr>
                    <w:r w:rsidRPr="005262CF">
                      <w:rPr>
                        <w:sz w:val="20"/>
                        <w:szCs w:val="20"/>
                      </w:rPr>
                      <w:t>5,234,897.48</w:t>
                    </w:r>
                  </w:p>
                </w:tc>
              </w:tr>
              <w:tr w:rsidR="00471D53" w:rsidRPr="0006203F" w14:paraId="47CFE217" w14:textId="77777777" w:rsidTr="00471D53">
                <w:trPr>
                  <w:trHeight w:val="340"/>
                </w:trPr>
                <w:tc>
                  <w:tcPr>
                    <w:tcW w:w="861" w:type="pct"/>
                    <w:vAlign w:val="center"/>
                  </w:tcPr>
                  <w:p w14:paraId="4930DBA0" w14:textId="77777777" w:rsidR="00471D53" w:rsidRPr="0006203F" w:rsidRDefault="004F686E" w:rsidP="00471D53">
                    <w:pPr>
                      <w:jc w:val="both"/>
                      <w:rPr>
                        <w:i/>
                        <w:sz w:val="20"/>
                        <w:szCs w:val="20"/>
                      </w:rPr>
                    </w:pPr>
                    <w:r w:rsidRPr="0006203F">
                      <w:rPr>
                        <w:rFonts w:hint="eastAsia"/>
                        <w:iCs/>
                        <w:sz w:val="20"/>
                        <w:szCs w:val="20"/>
                      </w:rPr>
                      <w:t>其他应收款</w:t>
                    </w:r>
                  </w:p>
                </w:tc>
                <w:tc>
                  <w:tcPr>
                    <w:tcW w:w="960" w:type="pct"/>
                    <w:vAlign w:val="center"/>
                  </w:tcPr>
                  <w:p w14:paraId="726661FD" w14:textId="77777777" w:rsidR="00471D53" w:rsidRPr="0006203F" w:rsidRDefault="004F686E" w:rsidP="00471D53">
                    <w:pPr>
                      <w:jc w:val="right"/>
                      <w:rPr>
                        <w:sz w:val="20"/>
                        <w:szCs w:val="20"/>
                      </w:rPr>
                    </w:pPr>
                    <w:r w:rsidRPr="005262CF">
                      <w:rPr>
                        <w:sz w:val="20"/>
                        <w:szCs w:val="20"/>
                      </w:rPr>
                      <w:t>11,743,941.07</w:t>
                    </w:r>
                  </w:p>
                </w:tc>
                <w:tc>
                  <w:tcPr>
                    <w:tcW w:w="879" w:type="pct"/>
                    <w:vAlign w:val="center"/>
                  </w:tcPr>
                  <w:p w14:paraId="5CCA1115" w14:textId="77777777" w:rsidR="00471D53" w:rsidRPr="0006203F" w:rsidRDefault="004F686E" w:rsidP="00471D53">
                    <w:pPr>
                      <w:jc w:val="right"/>
                      <w:rPr>
                        <w:sz w:val="20"/>
                        <w:szCs w:val="20"/>
                      </w:rPr>
                    </w:pPr>
                    <w:r>
                      <w:rPr>
                        <w:rFonts w:hint="eastAsia"/>
                        <w:sz w:val="20"/>
                        <w:szCs w:val="20"/>
                      </w:rPr>
                      <w:t>0</w:t>
                    </w:r>
                    <w:r>
                      <w:rPr>
                        <w:sz w:val="20"/>
                        <w:szCs w:val="20"/>
                      </w:rPr>
                      <w:t>.00</w:t>
                    </w:r>
                  </w:p>
                </w:tc>
                <w:tc>
                  <w:tcPr>
                    <w:tcW w:w="717" w:type="pct"/>
                    <w:vAlign w:val="center"/>
                  </w:tcPr>
                  <w:p w14:paraId="4EFE3B4E" w14:textId="77777777" w:rsidR="00471D53" w:rsidRPr="0006203F" w:rsidRDefault="004F686E" w:rsidP="00471D53">
                    <w:pPr>
                      <w:jc w:val="right"/>
                      <w:rPr>
                        <w:sz w:val="20"/>
                        <w:szCs w:val="20"/>
                      </w:rPr>
                    </w:pPr>
                    <w:r>
                      <w:rPr>
                        <w:rFonts w:hint="eastAsia"/>
                        <w:sz w:val="20"/>
                        <w:szCs w:val="20"/>
                      </w:rPr>
                      <w:t>0</w:t>
                    </w:r>
                    <w:r>
                      <w:rPr>
                        <w:sz w:val="20"/>
                        <w:szCs w:val="20"/>
                      </w:rPr>
                      <w:t>.00</w:t>
                    </w:r>
                  </w:p>
                </w:tc>
                <w:tc>
                  <w:tcPr>
                    <w:tcW w:w="671" w:type="pct"/>
                    <w:vAlign w:val="center"/>
                  </w:tcPr>
                  <w:p w14:paraId="0A35EFAA" w14:textId="77777777" w:rsidR="00471D53" w:rsidRPr="0006203F" w:rsidRDefault="004F686E" w:rsidP="00471D53">
                    <w:pPr>
                      <w:jc w:val="right"/>
                      <w:rPr>
                        <w:sz w:val="20"/>
                        <w:szCs w:val="20"/>
                      </w:rPr>
                    </w:pPr>
                    <w:r>
                      <w:rPr>
                        <w:rFonts w:hint="eastAsia"/>
                        <w:sz w:val="20"/>
                        <w:szCs w:val="20"/>
                      </w:rPr>
                      <w:t>0</w:t>
                    </w:r>
                    <w:r>
                      <w:rPr>
                        <w:sz w:val="20"/>
                        <w:szCs w:val="20"/>
                      </w:rPr>
                      <w:t>.00</w:t>
                    </w:r>
                  </w:p>
                </w:tc>
                <w:tc>
                  <w:tcPr>
                    <w:tcW w:w="912" w:type="pct"/>
                    <w:vAlign w:val="center"/>
                  </w:tcPr>
                  <w:p w14:paraId="5237F571" w14:textId="77777777" w:rsidR="00471D53" w:rsidRPr="0006203F" w:rsidRDefault="004F686E" w:rsidP="00471D53">
                    <w:pPr>
                      <w:jc w:val="right"/>
                      <w:rPr>
                        <w:sz w:val="20"/>
                        <w:szCs w:val="20"/>
                      </w:rPr>
                    </w:pPr>
                    <w:r w:rsidRPr="005262CF">
                      <w:rPr>
                        <w:sz w:val="20"/>
                        <w:szCs w:val="20"/>
                      </w:rPr>
                      <w:t>11,743,941.07</w:t>
                    </w:r>
                  </w:p>
                </w:tc>
              </w:tr>
              <w:tr w:rsidR="00471D53" w:rsidRPr="0006203F" w14:paraId="08104746" w14:textId="77777777" w:rsidTr="00471D53">
                <w:trPr>
                  <w:trHeight w:val="340"/>
                </w:trPr>
                <w:tc>
                  <w:tcPr>
                    <w:tcW w:w="861" w:type="pct"/>
                    <w:vAlign w:val="center"/>
                  </w:tcPr>
                  <w:p w14:paraId="0D2177BB" w14:textId="77777777" w:rsidR="00471D53" w:rsidRPr="0006203F" w:rsidRDefault="004F686E" w:rsidP="00471D53">
                    <w:pPr>
                      <w:jc w:val="both"/>
                      <w:rPr>
                        <w:i/>
                        <w:sz w:val="20"/>
                        <w:szCs w:val="20"/>
                      </w:rPr>
                    </w:pPr>
                    <w:r w:rsidRPr="0006203F">
                      <w:rPr>
                        <w:rFonts w:hint="eastAsia"/>
                        <w:b/>
                        <w:bCs/>
                        <w:iCs/>
                        <w:sz w:val="20"/>
                        <w:szCs w:val="20"/>
                      </w:rPr>
                      <w:t>金融负债</w:t>
                    </w:r>
                  </w:p>
                </w:tc>
                <w:tc>
                  <w:tcPr>
                    <w:tcW w:w="960" w:type="pct"/>
                    <w:vAlign w:val="center"/>
                  </w:tcPr>
                  <w:p w14:paraId="57FAFF93" w14:textId="324D8D37" w:rsidR="00471D53" w:rsidRPr="0006203F" w:rsidRDefault="00B664AF" w:rsidP="00471D53">
                    <w:pPr>
                      <w:jc w:val="right"/>
                      <w:rPr>
                        <w:sz w:val="20"/>
                        <w:szCs w:val="20"/>
                      </w:rPr>
                    </w:pPr>
                  </w:p>
                </w:tc>
                <w:tc>
                  <w:tcPr>
                    <w:tcW w:w="879" w:type="pct"/>
                    <w:vAlign w:val="center"/>
                  </w:tcPr>
                  <w:p w14:paraId="532B7E8C" w14:textId="77777777" w:rsidR="00471D53" w:rsidRPr="0006203F" w:rsidRDefault="00B664AF" w:rsidP="00471D53">
                    <w:pPr>
                      <w:jc w:val="right"/>
                      <w:rPr>
                        <w:sz w:val="20"/>
                        <w:szCs w:val="20"/>
                      </w:rPr>
                    </w:pPr>
                  </w:p>
                </w:tc>
                <w:tc>
                  <w:tcPr>
                    <w:tcW w:w="717" w:type="pct"/>
                    <w:vAlign w:val="center"/>
                  </w:tcPr>
                  <w:p w14:paraId="46A29A06" w14:textId="77777777" w:rsidR="00471D53" w:rsidRPr="0006203F" w:rsidRDefault="00B664AF" w:rsidP="00471D53">
                    <w:pPr>
                      <w:jc w:val="right"/>
                      <w:rPr>
                        <w:sz w:val="20"/>
                        <w:szCs w:val="20"/>
                      </w:rPr>
                    </w:pPr>
                  </w:p>
                </w:tc>
                <w:tc>
                  <w:tcPr>
                    <w:tcW w:w="671" w:type="pct"/>
                    <w:vAlign w:val="center"/>
                  </w:tcPr>
                  <w:p w14:paraId="66FBB7DC" w14:textId="77777777" w:rsidR="00471D53" w:rsidRPr="0006203F" w:rsidRDefault="00B664AF" w:rsidP="00471D53">
                    <w:pPr>
                      <w:jc w:val="right"/>
                      <w:rPr>
                        <w:sz w:val="20"/>
                        <w:szCs w:val="20"/>
                      </w:rPr>
                    </w:pPr>
                  </w:p>
                </w:tc>
                <w:tc>
                  <w:tcPr>
                    <w:tcW w:w="912" w:type="pct"/>
                    <w:vAlign w:val="center"/>
                  </w:tcPr>
                  <w:p w14:paraId="61C97166" w14:textId="642F485A" w:rsidR="00471D53" w:rsidRPr="0006203F" w:rsidRDefault="00B664AF" w:rsidP="00471D53">
                    <w:pPr>
                      <w:jc w:val="right"/>
                      <w:rPr>
                        <w:sz w:val="20"/>
                        <w:szCs w:val="20"/>
                      </w:rPr>
                    </w:pPr>
                  </w:p>
                </w:tc>
              </w:tr>
              <w:tr w:rsidR="00471D53" w:rsidRPr="0006203F" w14:paraId="23475D92" w14:textId="77777777" w:rsidTr="00471D53">
                <w:trPr>
                  <w:trHeight w:val="340"/>
                </w:trPr>
                <w:tc>
                  <w:tcPr>
                    <w:tcW w:w="861" w:type="pct"/>
                    <w:vAlign w:val="center"/>
                  </w:tcPr>
                  <w:p w14:paraId="738B0D83" w14:textId="77777777" w:rsidR="00471D53" w:rsidRPr="0006203F" w:rsidRDefault="004F686E" w:rsidP="00471D53">
                    <w:pPr>
                      <w:jc w:val="both"/>
                      <w:rPr>
                        <w:i/>
                        <w:sz w:val="20"/>
                        <w:szCs w:val="20"/>
                      </w:rPr>
                    </w:pPr>
                    <w:r w:rsidRPr="0006203F">
                      <w:rPr>
                        <w:rFonts w:hint="eastAsia"/>
                        <w:iCs/>
                        <w:sz w:val="20"/>
                        <w:szCs w:val="20"/>
                      </w:rPr>
                      <w:t>短期借款</w:t>
                    </w:r>
                  </w:p>
                </w:tc>
                <w:tc>
                  <w:tcPr>
                    <w:tcW w:w="960" w:type="pct"/>
                    <w:vAlign w:val="center"/>
                  </w:tcPr>
                  <w:p w14:paraId="38924690" w14:textId="77777777" w:rsidR="00471D53" w:rsidRPr="0006203F" w:rsidRDefault="004F686E" w:rsidP="00471D53">
                    <w:pPr>
                      <w:jc w:val="right"/>
                      <w:rPr>
                        <w:sz w:val="20"/>
                        <w:szCs w:val="20"/>
                      </w:rPr>
                    </w:pPr>
                    <w:r w:rsidRPr="005262CF">
                      <w:rPr>
                        <w:sz w:val="20"/>
                        <w:szCs w:val="20"/>
                      </w:rPr>
                      <w:t>108,000,000.00</w:t>
                    </w:r>
                  </w:p>
                </w:tc>
                <w:tc>
                  <w:tcPr>
                    <w:tcW w:w="879" w:type="pct"/>
                    <w:vAlign w:val="center"/>
                  </w:tcPr>
                  <w:p w14:paraId="5EA9D269" w14:textId="77777777" w:rsidR="00471D53" w:rsidRPr="0006203F" w:rsidRDefault="004F686E" w:rsidP="00471D53">
                    <w:pPr>
                      <w:jc w:val="right"/>
                      <w:rPr>
                        <w:sz w:val="20"/>
                        <w:szCs w:val="20"/>
                      </w:rPr>
                    </w:pPr>
                    <w:r>
                      <w:rPr>
                        <w:rFonts w:hint="eastAsia"/>
                        <w:sz w:val="20"/>
                        <w:szCs w:val="20"/>
                      </w:rPr>
                      <w:t>0</w:t>
                    </w:r>
                    <w:r>
                      <w:rPr>
                        <w:sz w:val="20"/>
                        <w:szCs w:val="20"/>
                      </w:rPr>
                      <w:t>.00</w:t>
                    </w:r>
                  </w:p>
                </w:tc>
                <w:tc>
                  <w:tcPr>
                    <w:tcW w:w="717" w:type="pct"/>
                    <w:vAlign w:val="center"/>
                  </w:tcPr>
                  <w:p w14:paraId="33F9E6A7" w14:textId="77777777" w:rsidR="00471D53" w:rsidRPr="0006203F" w:rsidRDefault="004F686E" w:rsidP="00471D53">
                    <w:pPr>
                      <w:jc w:val="right"/>
                      <w:rPr>
                        <w:sz w:val="20"/>
                        <w:szCs w:val="20"/>
                      </w:rPr>
                    </w:pPr>
                    <w:r>
                      <w:rPr>
                        <w:rFonts w:hint="eastAsia"/>
                        <w:sz w:val="20"/>
                        <w:szCs w:val="20"/>
                      </w:rPr>
                      <w:t>0</w:t>
                    </w:r>
                    <w:r>
                      <w:rPr>
                        <w:sz w:val="20"/>
                        <w:szCs w:val="20"/>
                      </w:rPr>
                      <w:t>.00</w:t>
                    </w:r>
                  </w:p>
                </w:tc>
                <w:tc>
                  <w:tcPr>
                    <w:tcW w:w="671" w:type="pct"/>
                    <w:vAlign w:val="center"/>
                  </w:tcPr>
                  <w:p w14:paraId="15126CB6" w14:textId="77777777" w:rsidR="00471D53" w:rsidRPr="0006203F" w:rsidRDefault="004F686E" w:rsidP="00471D53">
                    <w:pPr>
                      <w:jc w:val="right"/>
                      <w:rPr>
                        <w:sz w:val="20"/>
                        <w:szCs w:val="20"/>
                      </w:rPr>
                    </w:pPr>
                    <w:r>
                      <w:rPr>
                        <w:rFonts w:hint="eastAsia"/>
                        <w:sz w:val="20"/>
                        <w:szCs w:val="20"/>
                      </w:rPr>
                      <w:t>0</w:t>
                    </w:r>
                    <w:r>
                      <w:rPr>
                        <w:sz w:val="20"/>
                        <w:szCs w:val="20"/>
                      </w:rPr>
                      <w:t>.00</w:t>
                    </w:r>
                  </w:p>
                </w:tc>
                <w:tc>
                  <w:tcPr>
                    <w:tcW w:w="912" w:type="pct"/>
                    <w:vAlign w:val="center"/>
                  </w:tcPr>
                  <w:p w14:paraId="7EE14600" w14:textId="77777777" w:rsidR="00471D53" w:rsidRPr="0006203F" w:rsidRDefault="004F686E" w:rsidP="00471D53">
                    <w:pPr>
                      <w:jc w:val="right"/>
                      <w:rPr>
                        <w:sz w:val="20"/>
                        <w:szCs w:val="20"/>
                      </w:rPr>
                    </w:pPr>
                    <w:r w:rsidRPr="005262CF">
                      <w:rPr>
                        <w:sz w:val="20"/>
                        <w:szCs w:val="20"/>
                      </w:rPr>
                      <w:t>108,000,000.00</w:t>
                    </w:r>
                  </w:p>
                </w:tc>
              </w:tr>
              <w:tr w:rsidR="00471D53" w:rsidRPr="0006203F" w14:paraId="1B4B0EE6" w14:textId="77777777" w:rsidTr="00471D53">
                <w:trPr>
                  <w:trHeight w:val="340"/>
                </w:trPr>
                <w:tc>
                  <w:tcPr>
                    <w:tcW w:w="861" w:type="pct"/>
                    <w:vAlign w:val="center"/>
                  </w:tcPr>
                  <w:p w14:paraId="03DD6F5A" w14:textId="77777777" w:rsidR="00471D53" w:rsidRPr="0006203F" w:rsidRDefault="004F686E" w:rsidP="00471D53">
                    <w:pPr>
                      <w:jc w:val="both"/>
                      <w:rPr>
                        <w:iCs/>
                        <w:sz w:val="20"/>
                        <w:szCs w:val="20"/>
                      </w:rPr>
                    </w:pPr>
                    <w:r w:rsidRPr="0006203F">
                      <w:rPr>
                        <w:rFonts w:hint="eastAsia"/>
                        <w:iCs/>
                        <w:sz w:val="20"/>
                        <w:szCs w:val="20"/>
                      </w:rPr>
                      <w:t>应付票据</w:t>
                    </w:r>
                  </w:p>
                </w:tc>
                <w:tc>
                  <w:tcPr>
                    <w:tcW w:w="960" w:type="pct"/>
                    <w:vAlign w:val="center"/>
                  </w:tcPr>
                  <w:p w14:paraId="610583D8" w14:textId="77777777" w:rsidR="00471D53" w:rsidRPr="0006203F" w:rsidRDefault="004F686E" w:rsidP="00471D53">
                    <w:pPr>
                      <w:jc w:val="right"/>
                      <w:rPr>
                        <w:rFonts w:cs="Calibri"/>
                        <w:sz w:val="20"/>
                        <w:szCs w:val="20"/>
                      </w:rPr>
                    </w:pPr>
                    <w:r w:rsidRPr="005262CF">
                      <w:rPr>
                        <w:rFonts w:cs="Calibri"/>
                        <w:sz w:val="20"/>
                        <w:szCs w:val="20"/>
                      </w:rPr>
                      <w:t>20,000,000.00</w:t>
                    </w:r>
                  </w:p>
                </w:tc>
                <w:tc>
                  <w:tcPr>
                    <w:tcW w:w="879" w:type="pct"/>
                    <w:vAlign w:val="center"/>
                  </w:tcPr>
                  <w:p w14:paraId="2B9FDF7E" w14:textId="77777777" w:rsidR="00471D53" w:rsidRPr="0006203F" w:rsidRDefault="004F686E" w:rsidP="00471D53">
                    <w:pPr>
                      <w:jc w:val="right"/>
                      <w:rPr>
                        <w:sz w:val="20"/>
                        <w:szCs w:val="20"/>
                      </w:rPr>
                    </w:pPr>
                    <w:r>
                      <w:rPr>
                        <w:rFonts w:hint="eastAsia"/>
                        <w:sz w:val="20"/>
                        <w:szCs w:val="20"/>
                      </w:rPr>
                      <w:t>0</w:t>
                    </w:r>
                    <w:r>
                      <w:rPr>
                        <w:sz w:val="20"/>
                        <w:szCs w:val="20"/>
                      </w:rPr>
                      <w:t>.00</w:t>
                    </w:r>
                  </w:p>
                </w:tc>
                <w:tc>
                  <w:tcPr>
                    <w:tcW w:w="717" w:type="pct"/>
                    <w:vAlign w:val="center"/>
                  </w:tcPr>
                  <w:p w14:paraId="2F4DBF70" w14:textId="77777777" w:rsidR="00471D53" w:rsidRPr="0006203F" w:rsidRDefault="004F686E" w:rsidP="00471D53">
                    <w:pPr>
                      <w:jc w:val="right"/>
                      <w:rPr>
                        <w:sz w:val="20"/>
                        <w:szCs w:val="20"/>
                      </w:rPr>
                    </w:pPr>
                    <w:r>
                      <w:rPr>
                        <w:rFonts w:hint="eastAsia"/>
                        <w:sz w:val="20"/>
                        <w:szCs w:val="20"/>
                      </w:rPr>
                      <w:t>0</w:t>
                    </w:r>
                    <w:r>
                      <w:rPr>
                        <w:sz w:val="20"/>
                        <w:szCs w:val="20"/>
                      </w:rPr>
                      <w:t>.00</w:t>
                    </w:r>
                  </w:p>
                </w:tc>
                <w:tc>
                  <w:tcPr>
                    <w:tcW w:w="671" w:type="pct"/>
                    <w:vAlign w:val="center"/>
                  </w:tcPr>
                  <w:p w14:paraId="54B5FD49" w14:textId="77777777" w:rsidR="00471D53" w:rsidRPr="0006203F" w:rsidRDefault="004F686E" w:rsidP="00471D53">
                    <w:pPr>
                      <w:jc w:val="right"/>
                      <w:rPr>
                        <w:sz w:val="20"/>
                        <w:szCs w:val="20"/>
                      </w:rPr>
                    </w:pPr>
                    <w:r>
                      <w:rPr>
                        <w:rFonts w:hint="eastAsia"/>
                        <w:sz w:val="20"/>
                        <w:szCs w:val="20"/>
                      </w:rPr>
                      <w:t>0</w:t>
                    </w:r>
                    <w:r>
                      <w:rPr>
                        <w:sz w:val="20"/>
                        <w:szCs w:val="20"/>
                      </w:rPr>
                      <w:t>.00</w:t>
                    </w:r>
                  </w:p>
                </w:tc>
                <w:tc>
                  <w:tcPr>
                    <w:tcW w:w="912" w:type="pct"/>
                    <w:vAlign w:val="center"/>
                  </w:tcPr>
                  <w:p w14:paraId="64C2ABF0" w14:textId="77777777" w:rsidR="00471D53" w:rsidRPr="0006203F" w:rsidRDefault="004F686E" w:rsidP="00471D53">
                    <w:pPr>
                      <w:jc w:val="right"/>
                      <w:rPr>
                        <w:rFonts w:cs="Calibri"/>
                        <w:sz w:val="20"/>
                        <w:szCs w:val="20"/>
                      </w:rPr>
                    </w:pPr>
                    <w:r w:rsidRPr="005262CF">
                      <w:rPr>
                        <w:rFonts w:cs="Calibri"/>
                        <w:sz w:val="20"/>
                        <w:szCs w:val="20"/>
                      </w:rPr>
                      <w:t>20,000,000.00</w:t>
                    </w:r>
                  </w:p>
                </w:tc>
              </w:tr>
              <w:tr w:rsidR="00471D53" w:rsidRPr="0006203F" w14:paraId="26E2534D" w14:textId="77777777" w:rsidTr="00471D53">
                <w:trPr>
                  <w:trHeight w:val="340"/>
                </w:trPr>
                <w:tc>
                  <w:tcPr>
                    <w:tcW w:w="861" w:type="pct"/>
                    <w:vAlign w:val="center"/>
                  </w:tcPr>
                  <w:p w14:paraId="298758EF" w14:textId="77777777" w:rsidR="00471D53" w:rsidRPr="0006203F" w:rsidRDefault="004F686E" w:rsidP="00471D53">
                    <w:pPr>
                      <w:jc w:val="both"/>
                      <w:rPr>
                        <w:i/>
                        <w:sz w:val="20"/>
                        <w:szCs w:val="20"/>
                      </w:rPr>
                    </w:pPr>
                    <w:r w:rsidRPr="0006203F">
                      <w:rPr>
                        <w:rFonts w:hint="eastAsia"/>
                        <w:iCs/>
                        <w:sz w:val="20"/>
                        <w:szCs w:val="20"/>
                      </w:rPr>
                      <w:t>应付账款</w:t>
                    </w:r>
                  </w:p>
                </w:tc>
                <w:tc>
                  <w:tcPr>
                    <w:tcW w:w="960" w:type="pct"/>
                    <w:vAlign w:val="center"/>
                  </w:tcPr>
                  <w:p w14:paraId="486B9853" w14:textId="77777777" w:rsidR="00471D53" w:rsidRPr="0006203F" w:rsidRDefault="004F686E" w:rsidP="00471D53">
                    <w:pPr>
                      <w:jc w:val="right"/>
                      <w:rPr>
                        <w:sz w:val="20"/>
                        <w:szCs w:val="20"/>
                      </w:rPr>
                    </w:pPr>
                    <w:r w:rsidRPr="005262CF">
                      <w:rPr>
                        <w:sz w:val="20"/>
                        <w:szCs w:val="20"/>
                      </w:rPr>
                      <w:t>273,725,142.77</w:t>
                    </w:r>
                  </w:p>
                </w:tc>
                <w:tc>
                  <w:tcPr>
                    <w:tcW w:w="879" w:type="pct"/>
                    <w:vAlign w:val="center"/>
                  </w:tcPr>
                  <w:p w14:paraId="62BF7746" w14:textId="77777777" w:rsidR="00471D53" w:rsidRPr="0006203F" w:rsidRDefault="004F686E" w:rsidP="00471D53">
                    <w:pPr>
                      <w:jc w:val="right"/>
                      <w:rPr>
                        <w:sz w:val="20"/>
                        <w:szCs w:val="20"/>
                      </w:rPr>
                    </w:pPr>
                    <w:r>
                      <w:rPr>
                        <w:rFonts w:hint="eastAsia"/>
                        <w:sz w:val="20"/>
                        <w:szCs w:val="20"/>
                      </w:rPr>
                      <w:t>0</w:t>
                    </w:r>
                    <w:r>
                      <w:rPr>
                        <w:sz w:val="20"/>
                        <w:szCs w:val="20"/>
                      </w:rPr>
                      <w:t>.00</w:t>
                    </w:r>
                  </w:p>
                </w:tc>
                <w:tc>
                  <w:tcPr>
                    <w:tcW w:w="717" w:type="pct"/>
                    <w:vAlign w:val="center"/>
                  </w:tcPr>
                  <w:p w14:paraId="664FB170" w14:textId="77777777" w:rsidR="00471D53" w:rsidRPr="0006203F" w:rsidRDefault="004F686E" w:rsidP="00471D53">
                    <w:pPr>
                      <w:jc w:val="right"/>
                      <w:rPr>
                        <w:sz w:val="20"/>
                        <w:szCs w:val="20"/>
                      </w:rPr>
                    </w:pPr>
                    <w:r>
                      <w:rPr>
                        <w:rFonts w:hint="eastAsia"/>
                        <w:sz w:val="20"/>
                        <w:szCs w:val="20"/>
                      </w:rPr>
                      <w:t>0</w:t>
                    </w:r>
                    <w:r>
                      <w:rPr>
                        <w:sz w:val="20"/>
                        <w:szCs w:val="20"/>
                      </w:rPr>
                      <w:t>.00</w:t>
                    </w:r>
                  </w:p>
                </w:tc>
                <w:tc>
                  <w:tcPr>
                    <w:tcW w:w="671" w:type="pct"/>
                    <w:vAlign w:val="center"/>
                  </w:tcPr>
                  <w:p w14:paraId="1A56FCF1" w14:textId="77777777" w:rsidR="00471D53" w:rsidRPr="0006203F" w:rsidRDefault="004F686E" w:rsidP="00471D53">
                    <w:pPr>
                      <w:jc w:val="right"/>
                      <w:rPr>
                        <w:sz w:val="20"/>
                        <w:szCs w:val="20"/>
                      </w:rPr>
                    </w:pPr>
                    <w:r>
                      <w:rPr>
                        <w:rFonts w:hint="eastAsia"/>
                        <w:sz w:val="20"/>
                        <w:szCs w:val="20"/>
                      </w:rPr>
                      <w:t>0</w:t>
                    </w:r>
                    <w:r>
                      <w:rPr>
                        <w:sz w:val="20"/>
                        <w:szCs w:val="20"/>
                      </w:rPr>
                      <w:t>.00</w:t>
                    </w:r>
                  </w:p>
                </w:tc>
                <w:tc>
                  <w:tcPr>
                    <w:tcW w:w="912" w:type="pct"/>
                    <w:vAlign w:val="center"/>
                  </w:tcPr>
                  <w:p w14:paraId="16326891" w14:textId="77777777" w:rsidR="00471D53" w:rsidRPr="0006203F" w:rsidRDefault="004F686E" w:rsidP="00471D53">
                    <w:pPr>
                      <w:jc w:val="right"/>
                      <w:rPr>
                        <w:sz w:val="20"/>
                        <w:szCs w:val="20"/>
                      </w:rPr>
                    </w:pPr>
                    <w:r w:rsidRPr="005262CF">
                      <w:rPr>
                        <w:sz w:val="20"/>
                        <w:szCs w:val="20"/>
                      </w:rPr>
                      <w:t>273,725,142.77</w:t>
                    </w:r>
                  </w:p>
                </w:tc>
              </w:tr>
              <w:tr w:rsidR="00471D53" w:rsidRPr="0006203F" w14:paraId="3A894A90" w14:textId="77777777" w:rsidTr="00471D53">
                <w:trPr>
                  <w:trHeight w:val="340"/>
                </w:trPr>
                <w:tc>
                  <w:tcPr>
                    <w:tcW w:w="861" w:type="pct"/>
                    <w:vAlign w:val="center"/>
                  </w:tcPr>
                  <w:p w14:paraId="53A27588" w14:textId="77777777" w:rsidR="00471D53" w:rsidRPr="0006203F" w:rsidRDefault="004F686E" w:rsidP="00471D53">
                    <w:pPr>
                      <w:jc w:val="both"/>
                      <w:rPr>
                        <w:b/>
                        <w:sz w:val="20"/>
                        <w:szCs w:val="20"/>
                      </w:rPr>
                    </w:pPr>
                    <w:r w:rsidRPr="0006203F">
                      <w:rPr>
                        <w:rFonts w:hint="eastAsia"/>
                        <w:iCs/>
                        <w:sz w:val="20"/>
                        <w:szCs w:val="20"/>
                      </w:rPr>
                      <w:t>其他应付款</w:t>
                    </w:r>
                  </w:p>
                </w:tc>
                <w:tc>
                  <w:tcPr>
                    <w:tcW w:w="960" w:type="pct"/>
                    <w:vAlign w:val="center"/>
                  </w:tcPr>
                  <w:p w14:paraId="1A83C3F7" w14:textId="77777777" w:rsidR="00471D53" w:rsidRPr="0006203F" w:rsidRDefault="004F686E" w:rsidP="00471D53">
                    <w:pPr>
                      <w:jc w:val="right"/>
                      <w:rPr>
                        <w:sz w:val="20"/>
                        <w:szCs w:val="20"/>
                      </w:rPr>
                    </w:pPr>
                    <w:r w:rsidRPr="005262CF">
                      <w:rPr>
                        <w:sz w:val="20"/>
                        <w:szCs w:val="20"/>
                      </w:rPr>
                      <w:t>23,455,283.64</w:t>
                    </w:r>
                  </w:p>
                </w:tc>
                <w:tc>
                  <w:tcPr>
                    <w:tcW w:w="879" w:type="pct"/>
                    <w:vAlign w:val="center"/>
                  </w:tcPr>
                  <w:p w14:paraId="4C01A13D" w14:textId="77777777" w:rsidR="00471D53" w:rsidRPr="0006203F" w:rsidRDefault="004F686E" w:rsidP="00471D53">
                    <w:pPr>
                      <w:jc w:val="right"/>
                      <w:rPr>
                        <w:sz w:val="20"/>
                        <w:szCs w:val="20"/>
                      </w:rPr>
                    </w:pPr>
                    <w:r>
                      <w:rPr>
                        <w:rFonts w:hint="eastAsia"/>
                        <w:sz w:val="20"/>
                        <w:szCs w:val="20"/>
                      </w:rPr>
                      <w:t>0</w:t>
                    </w:r>
                    <w:r>
                      <w:rPr>
                        <w:sz w:val="20"/>
                        <w:szCs w:val="20"/>
                      </w:rPr>
                      <w:t>.00</w:t>
                    </w:r>
                  </w:p>
                </w:tc>
                <w:tc>
                  <w:tcPr>
                    <w:tcW w:w="717" w:type="pct"/>
                    <w:vAlign w:val="center"/>
                  </w:tcPr>
                  <w:p w14:paraId="75937813" w14:textId="77777777" w:rsidR="00471D53" w:rsidRPr="0006203F" w:rsidRDefault="004F686E" w:rsidP="00471D53">
                    <w:pPr>
                      <w:jc w:val="right"/>
                      <w:rPr>
                        <w:sz w:val="20"/>
                        <w:szCs w:val="20"/>
                      </w:rPr>
                    </w:pPr>
                    <w:r>
                      <w:rPr>
                        <w:rFonts w:hint="eastAsia"/>
                        <w:sz w:val="20"/>
                        <w:szCs w:val="20"/>
                      </w:rPr>
                      <w:t>0</w:t>
                    </w:r>
                    <w:r>
                      <w:rPr>
                        <w:sz w:val="20"/>
                        <w:szCs w:val="20"/>
                      </w:rPr>
                      <w:t>.00</w:t>
                    </w:r>
                  </w:p>
                </w:tc>
                <w:tc>
                  <w:tcPr>
                    <w:tcW w:w="671" w:type="pct"/>
                    <w:vAlign w:val="center"/>
                  </w:tcPr>
                  <w:p w14:paraId="357265B7" w14:textId="77777777" w:rsidR="00471D53" w:rsidRPr="0006203F" w:rsidRDefault="004F686E" w:rsidP="00471D53">
                    <w:pPr>
                      <w:jc w:val="right"/>
                      <w:rPr>
                        <w:sz w:val="20"/>
                        <w:szCs w:val="20"/>
                      </w:rPr>
                    </w:pPr>
                    <w:r>
                      <w:rPr>
                        <w:rFonts w:hint="eastAsia"/>
                        <w:sz w:val="20"/>
                        <w:szCs w:val="20"/>
                      </w:rPr>
                      <w:t>0</w:t>
                    </w:r>
                    <w:r>
                      <w:rPr>
                        <w:sz w:val="20"/>
                        <w:szCs w:val="20"/>
                      </w:rPr>
                      <w:t>.00</w:t>
                    </w:r>
                  </w:p>
                </w:tc>
                <w:tc>
                  <w:tcPr>
                    <w:tcW w:w="912" w:type="pct"/>
                    <w:vAlign w:val="center"/>
                  </w:tcPr>
                  <w:p w14:paraId="00B4FE38" w14:textId="77777777" w:rsidR="00471D53" w:rsidRPr="0006203F" w:rsidRDefault="004F686E" w:rsidP="00471D53">
                    <w:pPr>
                      <w:jc w:val="right"/>
                      <w:rPr>
                        <w:sz w:val="20"/>
                        <w:szCs w:val="20"/>
                      </w:rPr>
                    </w:pPr>
                    <w:r w:rsidRPr="005262CF">
                      <w:rPr>
                        <w:sz w:val="20"/>
                        <w:szCs w:val="20"/>
                      </w:rPr>
                      <w:t>23,455,283.64</w:t>
                    </w:r>
                  </w:p>
                </w:tc>
              </w:tr>
              <w:tr w:rsidR="00471D53" w:rsidRPr="0006203F" w14:paraId="008A1116" w14:textId="77777777" w:rsidTr="00471D53">
                <w:trPr>
                  <w:trHeight w:val="340"/>
                </w:trPr>
                <w:tc>
                  <w:tcPr>
                    <w:tcW w:w="861" w:type="pct"/>
                    <w:vAlign w:val="center"/>
                  </w:tcPr>
                  <w:p w14:paraId="3FFE5433" w14:textId="77777777" w:rsidR="00471D53" w:rsidRPr="0006203F" w:rsidRDefault="004F686E" w:rsidP="00471D53">
                    <w:pPr>
                      <w:jc w:val="both"/>
                      <w:rPr>
                        <w:i/>
                        <w:sz w:val="20"/>
                        <w:szCs w:val="20"/>
                      </w:rPr>
                    </w:pPr>
                    <w:r w:rsidRPr="0006203F">
                      <w:rPr>
                        <w:rFonts w:hint="eastAsia"/>
                        <w:iCs/>
                        <w:sz w:val="20"/>
                        <w:szCs w:val="20"/>
                      </w:rPr>
                      <w:t>应付职工薪酬</w:t>
                    </w:r>
                  </w:p>
                </w:tc>
                <w:tc>
                  <w:tcPr>
                    <w:tcW w:w="960" w:type="pct"/>
                    <w:vAlign w:val="center"/>
                  </w:tcPr>
                  <w:p w14:paraId="1AF0FE53" w14:textId="77777777" w:rsidR="00471D53" w:rsidRPr="0006203F" w:rsidRDefault="004F686E" w:rsidP="00471D53">
                    <w:pPr>
                      <w:jc w:val="right"/>
                      <w:rPr>
                        <w:sz w:val="20"/>
                        <w:szCs w:val="20"/>
                      </w:rPr>
                    </w:pPr>
                    <w:r w:rsidRPr="005262CF">
                      <w:rPr>
                        <w:sz w:val="20"/>
                        <w:szCs w:val="20"/>
                      </w:rPr>
                      <w:t>17,239,837.40</w:t>
                    </w:r>
                  </w:p>
                </w:tc>
                <w:tc>
                  <w:tcPr>
                    <w:tcW w:w="879" w:type="pct"/>
                    <w:vAlign w:val="center"/>
                  </w:tcPr>
                  <w:p w14:paraId="2A5968CE" w14:textId="77777777" w:rsidR="00471D53" w:rsidRPr="0006203F" w:rsidRDefault="004F686E" w:rsidP="00471D53">
                    <w:pPr>
                      <w:jc w:val="right"/>
                      <w:rPr>
                        <w:sz w:val="20"/>
                        <w:szCs w:val="20"/>
                      </w:rPr>
                    </w:pPr>
                    <w:r>
                      <w:rPr>
                        <w:rFonts w:hint="eastAsia"/>
                        <w:sz w:val="20"/>
                        <w:szCs w:val="20"/>
                      </w:rPr>
                      <w:t>0</w:t>
                    </w:r>
                    <w:r>
                      <w:rPr>
                        <w:sz w:val="20"/>
                        <w:szCs w:val="20"/>
                      </w:rPr>
                      <w:t>.00</w:t>
                    </w:r>
                  </w:p>
                </w:tc>
                <w:tc>
                  <w:tcPr>
                    <w:tcW w:w="717" w:type="pct"/>
                    <w:vAlign w:val="center"/>
                  </w:tcPr>
                  <w:p w14:paraId="43167895" w14:textId="77777777" w:rsidR="00471D53" w:rsidRDefault="004F686E" w:rsidP="00471D53">
                    <w:pPr>
                      <w:jc w:val="right"/>
                    </w:pPr>
                    <w:r w:rsidRPr="00566CAB">
                      <w:rPr>
                        <w:rFonts w:hint="eastAsia"/>
                        <w:sz w:val="20"/>
                        <w:szCs w:val="20"/>
                      </w:rPr>
                      <w:t>0</w:t>
                    </w:r>
                    <w:r w:rsidRPr="00566CAB">
                      <w:rPr>
                        <w:sz w:val="20"/>
                        <w:szCs w:val="20"/>
                      </w:rPr>
                      <w:t>.00</w:t>
                    </w:r>
                  </w:p>
                </w:tc>
                <w:tc>
                  <w:tcPr>
                    <w:tcW w:w="671" w:type="pct"/>
                    <w:vAlign w:val="center"/>
                  </w:tcPr>
                  <w:p w14:paraId="501CCC7C" w14:textId="77777777" w:rsidR="00471D53" w:rsidRDefault="004F686E" w:rsidP="00471D53">
                    <w:pPr>
                      <w:jc w:val="right"/>
                    </w:pPr>
                    <w:r w:rsidRPr="00566CAB">
                      <w:rPr>
                        <w:rFonts w:hint="eastAsia"/>
                        <w:sz w:val="20"/>
                        <w:szCs w:val="20"/>
                      </w:rPr>
                      <w:t>0</w:t>
                    </w:r>
                    <w:r w:rsidRPr="00566CAB">
                      <w:rPr>
                        <w:sz w:val="20"/>
                        <w:szCs w:val="20"/>
                      </w:rPr>
                      <w:t>.00</w:t>
                    </w:r>
                  </w:p>
                </w:tc>
                <w:tc>
                  <w:tcPr>
                    <w:tcW w:w="912" w:type="pct"/>
                    <w:vAlign w:val="center"/>
                  </w:tcPr>
                  <w:p w14:paraId="7BDDA183" w14:textId="77777777" w:rsidR="00471D53" w:rsidRPr="0006203F" w:rsidRDefault="004F686E" w:rsidP="00471D53">
                    <w:pPr>
                      <w:jc w:val="right"/>
                      <w:rPr>
                        <w:sz w:val="20"/>
                        <w:szCs w:val="20"/>
                      </w:rPr>
                    </w:pPr>
                    <w:r w:rsidRPr="005262CF">
                      <w:rPr>
                        <w:sz w:val="20"/>
                        <w:szCs w:val="20"/>
                      </w:rPr>
                      <w:t>17,239,837.40</w:t>
                    </w:r>
                  </w:p>
                </w:tc>
              </w:tr>
              <w:tr w:rsidR="00471D53" w14:paraId="3B3173AA" w14:textId="77777777" w:rsidTr="00471D53">
                <w:trPr>
                  <w:trHeight w:val="340"/>
                </w:trPr>
                <w:tc>
                  <w:tcPr>
                    <w:tcW w:w="861" w:type="pct"/>
                    <w:vAlign w:val="center"/>
                  </w:tcPr>
                  <w:p w14:paraId="4BBE1B16" w14:textId="77777777" w:rsidR="00471D53" w:rsidRPr="0006203F" w:rsidRDefault="004F686E" w:rsidP="00471D53">
                    <w:pPr>
                      <w:jc w:val="both"/>
                      <w:rPr>
                        <w:iCs/>
                        <w:sz w:val="20"/>
                        <w:szCs w:val="20"/>
                      </w:rPr>
                    </w:pPr>
                    <w:r w:rsidRPr="0006203F">
                      <w:rPr>
                        <w:rFonts w:hint="eastAsia"/>
                        <w:iCs/>
                        <w:sz w:val="20"/>
                        <w:szCs w:val="20"/>
                      </w:rPr>
                      <w:t>长期应付款</w:t>
                    </w:r>
                  </w:p>
                </w:tc>
                <w:tc>
                  <w:tcPr>
                    <w:tcW w:w="960" w:type="pct"/>
                    <w:vAlign w:val="center"/>
                  </w:tcPr>
                  <w:p w14:paraId="5721E745" w14:textId="77777777" w:rsidR="00471D53" w:rsidRPr="0006203F" w:rsidRDefault="004F686E" w:rsidP="00471D53">
                    <w:pPr>
                      <w:jc w:val="right"/>
                      <w:rPr>
                        <w:sz w:val="20"/>
                        <w:szCs w:val="20"/>
                      </w:rPr>
                    </w:pPr>
                    <w:r>
                      <w:rPr>
                        <w:rFonts w:hint="eastAsia"/>
                        <w:sz w:val="20"/>
                        <w:szCs w:val="20"/>
                      </w:rPr>
                      <w:t>0</w:t>
                    </w:r>
                    <w:r>
                      <w:rPr>
                        <w:sz w:val="20"/>
                        <w:szCs w:val="20"/>
                      </w:rPr>
                      <w:t>.00</w:t>
                    </w:r>
                  </w:p>
                </w:tc>
                <w:tc>
                  <w:tcPr>
                    <w:tcW w:w="879" w:type="pct"/>
                    <w:vAlign w:val="center"/>
                  </w:tcPr>
                  <w:p w14:paraId="4AB223EC" w14:textId="77777777" w:rsidR="00471D53" w:rsidRPr="0006203F" w:rsidRDefault="004F686E" w:rsidP="00471D53">
                    <w:pPr>
                      <w:jc w:val="right"/>
                      <w:rPr>
                        <w:sz w:val="20"/>
                        <w:szCs w:val="20"/>
                      </w:rPr>
                    </w:pPr>
                    <w:r w:rsidRPr="005262CF">
                      <w:rPr>
                        <w:sz w:val="20"/>
                        <w:szCs w:val="20"/>
                      </w:rPr>
                      <w:t>7,000,000.00</w:t>
                    </w:r>
                  </w:p>
                </w:tc>
                <w:tc>
                  <w:tcPr>
                    <w:tcW w:w="717" w:type="pct"/>
                    <w:vAlign w:val="center"/>
                  </w:tcPr>
                  <w:p w14:paraId="2F18F71E" w14:textId="77777777" w:rsidR="00471D53" w:rsidRDefault="004F686E" w:rsidP="00471D53">
                    <w:pPr>
                      <w:jc w:val="right"/>
                    </w:pPr>
                    <w:r w:rsidRPr="00073563">
                      <w:rPr>
                        <w:rFonts w:hint="eastAsia"/>
                        <w:sz w:val="20"/>
                        <w:szCs w:val="20"/>
                      </w:rPr>
                      <w:t>0</w:t>
                    </w:r>
                    <w:r w:rsidRPr="00073563">
                      <w:rPr>
                        <w:sz w:val="20"/>
                        <w:szCs w:val="20"/>
                      </w:rPr>
                      <w:t>.00</w:t>
                    </w:r>
                  </w:p>
                </w:tc>
                <w:tc>
                  <w:tcPr>
                    <w:tcW w:w="671" w:type="pct"/>
                    <w:vAlign w:val="center"/>
                  </w:tcPr>
                  <w:p w14:paraId="6BCD0054" w14:textId="77777777" w:rsidR="00471D53" w:rsidRDefault="004F686E" w:rsidP="00471D53">
                    <w:pPr>
                      <w:jc w:val="right"/>
                    </w:pPr>
                    <w:r w:rsidRPr="00073563">
                      <w:rPr>
                        <w:rFonts w:hint="eastAsia"/>
                        <w:sz w:val="20"/>
                        <w:szCs w:val="20"/>
                      </w:rPr>
                      <w:t>0</w:t>
                    </w:r>
                    <w:r w:rsidRPr="00073563">
                      <w:rPr>
                        <w:sz w:val="20"/>
                        <w:szCs w:val="20"/>
                      </w:rPr>
                      <w:t>.00</w:t>
                    </w:r>
                  </w:p>
                </w:tc>
                <w:tc>
                  <w:tcPr>
                    <w:tcW w:w="912" w:type="pct"/>
                    <w:vAlign w:val="center"/>
                  </w:tcPr>
                  <w:p w14:paraId="32928CD4" w14:textId="77777777" w:rsidR="00471D53" w:rsidRDefault="004F686E" w:rsidP="00471D53">
                    <w:pPr>
                      <w:jc w:val="right"/>
                      <w:rPr>
                        <w:sz w:val="20"/>
                        <w:szCs w:val="20"/>
                      </w:rPr>
                    </w:pPr>
                    <w:r w:rsidRPr="005262CF">
                      <w:rPr>
                        <w:sz w:val="20"/>
                        <w:szCs w:val="20"/>
                      </w:rPr>
                      <w:t>7,000,000.00</w:t>
                    </w:r>
                  </w:p>
                </w:tc>
              </w:tr>
            </w:tbl>
            <w:p w14:paraId="732F01A5" w14:textId="77777777" w:rsidR="00471D53" w:rsidRDefault="00B664AF">
              <w:pPr>
                <w:rPr>
                  <w:b/>
                  <w:szCs w:val="21"/>
                </w:rPr>
              </w:pPr>
            </w:p>
          </w:sdtContent>
        </w:sdt>
        <w:p w14:paraId="30B9D504" w14:textId="77777777" w:rsidR="00471D53" w:rsidRDefault="00B664AF">
          <w:pPr>
            <w:rPr>
              <w:color w:val="808080"/>
              <w:szCs w:val="21"/>
            </w:rPr>
          </w:pPr>
        </w:p>
      </w:sdtContent>
    </w:sdt>
    <w:p w14:paraId="4CBB8F37" w14:textId="77777777" w:rsidR="00471D53" w:rsidRDefault="004F686E" w:rsidP="004F686E">
      <w:pPr>
        <w:pStyle w:val="afffff6"/>
        <w:numPr>
          <w:ilvl w:val="0"/>
          <w:numId w:val="35"/>
        </w:numPr>
        <w:ind w:left="422" w:hanging="422"/>
        <w:rPr>
          <w:rFonts w:ascii="宋体" w:hAnsi="宋体"/>
        </w:rPr>
      </w:pPr>
      <w:r>
        <w:rPr>
          <w:rFonts w:ascii="宋体" w:hAnsi="宋体" w:hint="eastAsia"/>
        </w:rPr>
        <w:t>公允价值的披露</w:t>
      </w:r>
    </w:p>
    <w:bookmarkStart w:id="235" w:name="_Hlk10539195" w:displacedByCustomXml="next"/>
    <w:sdt>
      <w:sdtPr>
        <w:rPr>
          <w:rFonts w:ascii="宋体" w:hAnsi="宋体" w:cs="宋体" w:hint="eastAsia"/>
          <w:b w:val="0"/>
          <w:bCs w:val="0"/>
          <w:kern w:val="0"/>
          <w:szCs w:val="24"/>
        </w:rPr>
        <w:alias w:val="模块:以公允价值计量的资产和负债的期末公允价值"/>
        <w:tag w:val="_GBC_b5067cea5bbf475388ac2623e2c669d7"/>
        <w:id w:val="133299129"/>
        <w:lock w:val="sdtLocked"/>
        <w:placeholder>
          <w:docPart w:val="GBC22222222222222222222222222222"/>
        </w:placeholder>
      </w:sdtPr>
      <w:sdtEndPr>
        <w:rPr>
          <w:rFonts w:cstheme="minorBidi"/>
          <w:szCs w:val="21"/>
        </w:rPr>
      </w:sdtEndPr>
      <w:sdtContent>
        <w:p w14:paraId="52720E0A" w14:textId="77777777" w:rsidR="00471D53" w:rsidRDefault="004F686E" w:rsidP="004F686E">
          <w:pPr>
            <w:pStyle w:val="afffff7"/>
            <w:numPr>
              <w:ilvl w:val="0"/>
              <w:numId w:val="99"/>
            </w:numPr>
            <w:rPr>
              <w:rFonts w:ascii="宋体" w:hAnsi="宋体"/>
            </w:rPr>
          </w:pPr>
          <w:r>
            <w:rPr>
              <w:rFonts w:ascii="宋体" w:hAnsi="宋体" w:hint="eastAsia"/>
            </w:rPr>
            <w:t>以公允价值计量的资产和负债的期末公允价值</w:t>
          </w:r>
        </w:p>
        <w:sdt>
          <w:sdtPr>
            <w:alias w:val="是否适用：以公允价值计量的资产和负债的期末公允价值[双击切换]"/>
            <w:tag w:val="_GBC_291486261b6a4e8092eea55d961b7664"/>
            <w:id w:val="-14921592"/>
            <w:lock w:val="sdtLocked"/>
            <w:placeholder>
              <w:docPart w:val="GBC22222222222222222222222222222"/>
            </w:placeholder>
          </w:sdtPr>
          <w:sdtEndPr/>
          <w:sdtContent>
            <w:p w14:paraId="7C918666"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20DCF15" w14:textId="4F636F31" w:rsidR="00471D53" w:rsidRDefault="004F686E">
          <w:pPr>
            <w:jc w:val="right"/>
          </w:pPr>
          <w:r>
            <w:rPr>
              <w:rFonts w:hint="eastAsia"/>
            </w:rPr>
            <w:lastRenderedPageBreak/>
            <w:t>单位：</w:t>
          </w:r>
          <w:sdt>
            <w:sdtPr>
              <w:rPr>
                <w:rFonts w:hint="eastAsia"/>
              </w:rPr>
              <w:alias w:val="单位：财务附注：以公允价值计量的资产和负债的期末公允价值"/>
              <w:tag w:val="_GBC_4b785696cde44d3f8a4a7d28ab963e38"/>
              <w:id w:val="-7746374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以公允价值计量的资产和负债的期末公允价值"/>
              <w:tag w:val="_GBC_3bb5670d72804a4b8298edc3e439955a"/>
              <w:id w:val="-2237572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63"/>
            <w:gridCol w:w="1666"/>
            <w:gridCol w:w="1627"/>
            <w:gridCol w:w="1692"/>
            <w:gridCol w:w="1475"/>
          </w:tblGrid>
          <w:tr w:rsidR="00471D53" w14:paraId="2ADCA37D" w14:textId="77777777" w:rsidTr="00471D53">
            <w:trPr>
              <w:trHeight w:val="145"/>
            </w:trPr>
            <w:sdt>
              <w:sdtPr>
                <w:tag w:val="_PLD_25e2bb7801744f08a089c0e6a2b31b9b"/>
                <w:id w:val="1216243736"/>
                <w:lock w:val="sdtLocked"/>
              </w:sdtPr>
              <w:sdtEndPr/>
              <w:sdtContent>
                <w:tc>
                  <w:tcPr>
                    <w:tcW w:w="1339" w:type="pct"/>
                    <w:vMerge w:val="restart"/>
                    <w:tcBorders>
                      <w:top w:val="single" w:sz="4" w:space="0" w:color="auto"/>
                      <w:left w:val="single" w:sz="4" w:space="0" w:color="auto"/>
                      <w:right w:val="single" w:sz="4" w:space="0" w:color="auto"/>
                    </w:tcBorders>
                    <w:shd w:val="clear" w:color="auto" w:fill="auto"/>
                    <w:vAlign w:val="center"/>
                  </w:tcPr>
                  <w:p w14:paraId="4B11E8A3" w14:textId="77777777" w:rsidR="00471D53" w:rsidRDefault="004F686E" w:rsidP="00471D53">
                    <w:pPr>
                      <w:jc w:val="center"/>
                      <w:outlineLvl w:val="2"/>
                      <w:rPr>
                        <w:rFonts w:cs="Cambria"/>
                        <w:szCs w:val="21"/>
                      </w:rPr>
                    </w:pPr>
                    <w:r>
                      <w:rPr>
                        <w:rFonts w:cs="Cambria" w:hint="eastAsia"/>
                        <w:szCs w:val="21"/>
                      </w:rPr>
                      <w:t>项目</w:t>
                    </w:r>
                  </w:p>
                </w:tc>
              </w:sdtContent>
            </w:sdt>
            <w:sdt>
              <w:sdtPr>
                <w:tag w:val="_PLD_ad919f08ba5040a28e31328eb66da0bf"/>
                <w:id w:val="-1392032015"/>
                <w:lock w:val="sdtLocked"/>
              </w:sdtPr>
              <w:sdtEndPr/>
              <w:sdtContent>
                <w:tc>
                  <w:tcPr>
                    <w:tcW w:w="366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7143ED" w14:textId="77777777" w:rsidR="00471D53" w:rsidRDefault="004F686E" w:rsidP="00471D53">
                    <w:pPr>
                      <w:jc w:val="center"/>
                      <w:outlineLvl w:val="2"/>
                      <w:rPr>
                        <w:rFonts w:cs="Cambria"/>
                        <w:szCs w:val="21"/>
                      </w:rPr>
                    </w:pPr>
                    <w:r>
                      <w:rPr>
                        <w:rFonts w:cs="Cambria" w:hint="eastAsia"/>
                        <w:szCs w:val="21"/>
                      </w:rPr>
                      <w:t>期末公允价值</w:t>
                    </w:r>
                  </w:p>
                </w:tc>
              </w:sdtContent>
            </w:sdt>
          </w:tr>
          <w:tr w:rsidR="00471D53" w14:paraId="4BAAF52E" w14:textId="77777777" w:rsidTr="00471D53">
            <w:trPr>
              <w:trHeight w:val="145"/>
            </w:trPr>
            <w:tc>
              <w:tcPr>
                <w:tcW w:w="1339" w:type="pct"/>
                <w:vMerge/>
                <w:tcBorders>
                  <w:left w:val="single" w:sz="4" w:space="0" w:color="auto"/>
                  <w:bottom w:val="single" w:sz="4" w:space="0" w:color="auto"/>
                  <w:right w:val="single" w:sz="4" w:space="0" w:color="auto"/>
                </w:tcBorders>
                <w:shd w:val="clear" w:color="auto" w:fill="auto"/>
                <w:vAlign w:val="center"/>
              </w:tcPr>
              <w:p w14:paraId="6D78CC52" w14:textId="77777777" w:rsidR="00471D53" w:rsidRDefault="00B664AF" w:rsidP="00471D53">
                <w:pPr>
                  <w:jc w:val="center"/>
                  <w:outlineLvl w:val="2"/>
                  <w:rPr>
                    <w:rFonts w:cs="Cambria"/>
                    <w:szCs w:val="21"/>
                  </w:rPr>
                </w:pPr>
              </w:p>
            </w:tc>
            <w:sdt>
              <w:sdtPr>
                <w:tag w:val="_PLD_4bb34c3d92bf450fb80f7c0c95977a2b"/>
                <w:id w:val="-406147944"/>
                <w:lock w:val="sdtLocked"/>
              </w:sdtPr>
              <w:sdtEndPr/>
              <w:sdtContent>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E4364CB" w14:textId="77777777" w:rsidR="00471D53" w:rsidRDefault="004F686E" w:rsidP="00471D53">
                    <w:pPr>
                      <w:jc w:val="center"/>
                      <w:outlineLvl w:val="2"/>
                      <w:rPr>
                        <w:rFonts w:cs="Cambria"/>
                        <w:szCs w:val="21"/>
                      </w:rPr>
                    </w:pPr>
                    <w:r>
                      <w:rPr>
                        <w:rFonts w:cs="Cambria" w:hint="eastAsia"/>
                        <w:szCs w:val="21"/>
                      </w:rPr>
                      <w:t>第一层次公允价值计量</w:t>
                    </w:r>
                  </w:p>
                </w:tc>
              </w:sdtContent>
            </w:sdt>
            <w:sdt>
              <w:sdtPr>
                <w:tag w:val="_PLD_08753059c9e04a10af2918fbc1559bed"/>
                <w:id w:val="-1822428634"/>
                <w:lock w:val="sdtLocked"/>
              </w:sdtPr>
              <w:sdtEndPr/>
              <w:sdtContent>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14:paraId="37081035" w14:textId="77777777" w:rsidR="00471D53" w:rsidRDefault="004F686E" w:rsidP="00471D53">
                    <w:pPr>
                      <w:jc w:val="center"/>
                      <w:outlineLvl w:val="2"/>
                      <w:rPr>
                        <w:rFonts w:cs="Cambria"/>
                        <w:szCs w:val="21"/>
                      </w:rPr>
                    </w:pPr>
                    <w:r>
                      <w:rPr>
                        <w:rFonts w:cs="Cambria" w:hint="eastAsia"/>
                        <w:szCs w:val="21"/>
                      </w:rPr>
                      <w:t>第二层次公允价值计量</w:t>
                    </w:r>
                  </w:p>
                </w:tc>
              </w:sdtContent>
            </w:sdt>
            <w:sdt>
              <w:sdtPr>
                <w:tag w:val="_PLD_b263de838c9c4afa9fddb6dee6409a62"/>
                <w:id w:val="165612480"/>
                <w:lock w:val="sdtLocked"/>
              </w:sdtPr>
              <w:sdtEndPr/>
              <w:sdtContent>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14:paraId="0F569E7D" w14:textId="77777777" w:rsidR="00471D53" w:rsidRDefault="004F686E" w:rsidP="00471D53">
                    <w:pPr>
                      <w:jc w:val="center"/>
                      <w:outlineLvl w:val="2"/>
                      <w:rPr>
                        <w:rFonts w:cs="Cambria"/>
                        <w:szCs w:val="21"/>
                      </w:rPr>
                    </w:pPr>
                    <w:r>
                      <w:rPr>
                        <w:rFonts w:cs="Cambria" w:hint="eastAsia"/>
                        <w:szCs w:val="21"/>
                      </w:rPr>
                      <w:t>第三层次公允价值计量</w:t>
                    </w:r>
                  </w:p>
                </w:tc>
              </w:sdtContent>
            </w:sdt>
            <w:sdt>
              <w:sdtPr>
                <w:tag w:val="_PLD_50eba344a451417c8072228a7a4959c5"/>
                <w:id w:val="362876140"/>
                <w:lock w:val="sdtLocked"/>
              </w:sdtPr>
              <w:sdtEndPr/>
              <w:sdtContent>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32A00FE4" w14:textId="77777777" w:rsidR="00471D53" w:rsidRDefault="004F686E" w:rsidP="00471D53">
                    <w:pPr>
                      <w:jc w:val="center"/>
                      <w:outlineLvl w:val="2"/>
                      <w:rPr>
                        <w:rFonts w:cs="Cambria"/>
                        <w:szCs w:val="21"/>
                      </w:rPr>
                    </w:pPr>
                    <w:r>
                      <w:rPr>
                        <w:rFonts w:cs="Cambria" w:hint="eastAsia"/>
                        <w:szCs w:val="21"/>
                      </w:rPr>
                      <w:t>合计</w:t>
                    </w:r>
                  </w:p>
                </w:tc>
              </w:sdtContent>
            </w:sdt>
          </w:tr>
          <w:tr w:rsidR="00471D53" w14:paraId="090EDB8F" w14:textId="77777777" w:rsidTr="00471D53">
            <w:trPr>
              <w:trHeight w:val="227"/>
            </w:trPr>
            <w:sdt>
              <w:sdtPr>
                <w:tag w:val="_PLD_0df07aa5429843d5898a68994e53f99c"/>
                <w:id w:val="-66502052"/>
                <w:lock w:val="sdtLocked"/>
              </w:sdtPr>
              <w:sdtEnd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788CC4A4" w14:textId="77777777" w:rsidR="00471D53" w:rsidRDefault="004F686E" w:rsidP="00471D53">
                    <w:pPr>
                      <w:outlineLvl w:val="2"/>
                      <w:rPr>
                        <w:rFonts w:cs="Cambria"/>
                        <w:b/>
                        <w:szCs w:val="21"/>
                      </w:rPr>
                    </w:pPr>
                    <w:r>
                      <w:rPr>
                        <w:rFonts w:cs="Cambria" w:hint="eastAsia"/>
                        <w:b/>
                        <w:szCs w:val="21"/>
                      </w:rPr>
                      <w:t>一、持续的公允价值计量</w:t>
                    </w:r>
                  </w:p>
                </w:tc>
              </w:sdtContent>
            </w:sdt>
            <w:tc>
              <w:tcPr>
                <w:tcW w:w="944" w:type="pct"/>
                <w:tcBorders>
                  <w:top w:val="single" w:sz="4" w:space="0" w:color="auto"/>
                  <w:left w:val="single" w:sz="4" w:space="0" w:color="auto"/>
                  <w:bottom w:val="single" w:sz="4" w:space="0" w:color="auto"/>
                  <w:right w:val="single" w:sz="4" w:space="0" w:color="auto"/>
                </w:tcBorders>
              </w:tcPr>
              <w:p w14:paraId="04152EE3" w14:textId="77777777" w:rsidR="00471D53" w:rsidRDefault="00B664AF" w:rsidP="00471D53">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14:paraId="3BB474AF" w14:textId="77777777" w:rsidR="00471D53" w:rsidRDefault="00B664AF" w:rsidP="00471D53">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14:paraId="14ED3C96" w14:textId="77777777" w:rsidR="00471D53" w:rsidRDefault="00B664AF" w:rsidP="00471D53">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14:paraId="6C3A0641" w14:textId="77777777" w:rsidR="00471D53" w:rsidRDefault="00B664AF" w:rsidP="00471D53">
                <w:pPr>
                  <w:jc w:val="right"/>
                  <w:outlineLvl w:val="2"/>
                  <w:rPr>
                    <w:rFonts w:cs="Cambria"/>
                    <w:szCs w:val="21"/>
                  </w:rPr>
                </w:pPr>
              </w:p>
            </w:tc>
          </w:tr>
          <w:tr w:rsidR="00471D53" w14:paraId="65F328D5" w14:textId="77777777" w:rsidTr="00471D53">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8e41e2365fb54f2a8e82acb6d5327c25"/>
                  <w:id w:val="173388820"/>
                  <w:lock w:val="sdtLocked"/>
                </w:sdtPr>
                <w:sdtEndPr>
                  <w:rPr>
                    <w:shd w:val="solid" w:color="FFFFFF" w:fill="auto"/>
                  </w:rPr>
                </w:sdtEndPr>
                <w:sdtContent>
                  <w:p w14:paraId="1A09BED0" w14:textId="77777777" w:rsidR="00471D53" w:rsidRDefault="004F686E" w:rsidP="00471D53">
                    <w:pPr>
                      <w:outlineLvl w:val="2"/>
                    </w:pPr>
                    <w:r>
                      <w:rPr>
                        <w:rFonts w:hint="eastAsia"/>
                      </w:rPr>
                      <w:t>（一）</w:t>
                    </w:r>
                    <w:r>
                      <w:rPr>
                        <w:rFonts w:hint="eastAsia"/>
                        <w:shd w:val="solid" w:color="FFFFFF" w:fill="auto"/>
                      </w:rPr>
                      <w:t>交易性金融资产</w:t>
                    </w:r>
                  </w:p>
                </w:sdtContent>
              </w:sdt>
            </w:tc>
            <w:tc>
              <w:tcPr>
                <w:tcW w:w="944" w:type="pct"/>
                <w:tcBorders>
                  <w:top w:val="single" w:sz="4" w:space="0" w:color="auto"/>
                  <w:left w:val="single" w:sz="4" w:space="0" w:color="auto"/>
                  <w:bottom w:val="single" w:sz="4" w:space="0" w:color="auto"/>
                  <w:right w:val="single" w:sz="4" w:space="0" w:color="auto"/>
                </w:tcBorders>
              </w:tcPr>
              <w:p w14:paraId="6945FCA9" w14:textId="77777777" w:rsidR="00471D53" w:rsidRDefault="00B664AF" w:rsidP="00471D53">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14:paraId="3CFAD089" w14:textId="77777777" w:rsidR="00471D53" w:rsidRDefault="00B664AF" w:rsidP="00471D53">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14:paraId="7D1EFC3F" w14:textId="77777777" w:rsidR="00471D53" w:rsidRDefault="00B664AF" w:rsidP="00471D53">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14:paraId="28BFECFB" w14:textId="77777777" w:rsidR="00471D53" w:rsidRDefault="00B664AF" w:rsidP="00471D53">
                <w:pPr>
                  <w:jc w:val="right"/>
                  <w:outlineLvl w:val="2"/>
                  <w:rPr>
                    <w:rFonts w:cs="Cambria"/>
                    <w:szCs w:val="21"/>
                  </w:rPr>
                </w:pPr>
              </w:p>
            </w:tc>
          </w:tr>
          <w:tr w:rsidR="00471D53" w14:paraId="44C6D6B1" w14:textId="77777777" w:rsidTr="00471D53">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tag w:val="_PLD_ec78ce9b24c54617a7a100b54d80834e"/>
                  <w:id w:val="-841082684"/>
                  <w:lock w:val="sdtLocked"/>
                </w:sdtPr>
                <w:sdtEndPr/>
                <w:sdtContent>
                  <w:p w14:paraId="3C725071" w14:textId="77777777" w:rsidR="00471D53" w:rsidRDefault="004F686E" w:rsidP="00471D53">
                    <w:pPr>
                      <w:outlineLvl w:val="2"/>
                    </w:pPr>
                    <w:r>
                      <w:t>1.以公允价值计量且变动计入当期损益的金融资产</w:t>
                    </w:r>
                  </w:p>
                </w:sdtContent>
              </w:sdt>
            </w:tc>
            <w:tc>
              <w:tcPr>
                <w:tcW w:w="944" w:type="pct"/>
                <w:tcBorders>
                  <w:top w:val="single" w:sz="4" w:space="0" w:color="auto"/>
                  <w:left w:val="single" w:sz="4" w:space="0" w:color="auto"/>
                  <w:bottom w:val="single" w:sz="4" w:space="0" w:color="auto"/>
                  <w:right w:val="single" w:sz="4" w:space="0" w:color="auto"/>
                </w:tcBorders>
              </w:tcPr>
              <w:p w14:paraId="23B5F66A" w14:textId="77777777" w:rsidR="00471D53" w:rsidRDefault="00B664AF" w:rsidP="00471D53">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14:paraId="16BB0E49" w14:textId="77777777" w:rsidR="00471D53" w:rsidRDefault="00B664AF" w:rsidP="00471D53">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14:paraId="211FCED4" w14:textId="77777777" w:rsidR="00471D53" w:rsidRDefault="00B664AF" w:rsidP="00471D53">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14:paraId="5C4E595B" w14:textId="77777777" w:rsidR="00471D53" w:rsidRDefault="00B664AF" w:rsidP="00471D53">
                <w:pPr>
                  <w:jc w:val="right"/>
                  <w:outlineLvl w:val="2"/>
                  <w:rPr>
                    <w:rFonts w:cs="Cambria"/>
                    <w:szCs w:val="21"/>
                  </w:rPr>
                </w:pPr>
              </w:p>
            </w:tc>
          </w:tr>
          <w:tr w:rsidR="00471D53" w14:paraId="5A5E4922" w14:textId="77777777" w:rsidTr="00471D53">
            <w:trPr>
              <w:trHeight w:val="240"/>
            </w:trPr>
            <w:sdt>
              <w:sdtPr>
                <w:tag w:val="_PLD_1978a795a85148b4b91da91d8626cc66"/>
                <w:id w:val="1414968684"/>
                <w:lock w:val="sdtLocked"/>
              </w:sdtPr>
              <w:sdtEnd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1B272DF4" w14:textId="77777777" w:rsidR="00471D53" w:rsidRDefault="004F686E" w:rsidP="00471D53">
                    <w:pPr>
                      <w:outlineLvl w:val="2"/>
                      <w:rPr>
                        <w:rFonts w:cs="Cambria"/>
                        <w:szCs w:val="21"/>
                      </w:rPr>
                    </w:pPr>
                    <w:r>
                      <w:rPr>
                        <w:rFonts w:cs="Cambria" w:hint="eastAsia"/>
                        <w:szCs w:val="21"/>
                      </w:rPr>
                      <w:t>（</w:t>
                    </w:r>
                    <w:r>
                      <w:rPr>
                        <w:rFonts w:cs="Cambria"/>
                        <w:szCs w:val="21"/>
                      </w:rPr>
                      <w:t>1</w:t>
                    </w:r>
                    <w:r>
                      <w:rPr>
                        <w:rFonts w:cs="Cambria" w:hint="eastAsia"/>
                        <w:szCs w:val="21"/>
                      </w:rPr>
                      <w:t>）债务工具投资</w:t>
                    </w:r>
                  </w:p>
                </w:tc>
              </w:sdtContent>
            </w:sdt>
            <w:tc>
              <w:tcPr>
                <w:tcW w:w="944" w:type="pct"/>
                <w:tcBorders>
                  <w:top w:val="single" w:sz="4" w:space="0" w:color="auto"/>
                  <w:left w:val="single" w:sz="4" w:space="0" w:color="auto"/>
                  <w:bottom w:val="single" w:sz="4" w:space="0" w:color="auto"/>
                  <w:right w:val="single" w:sz="4" w:space="0" w:color="auto"/>
                </w:tcBorders>
              </w:tcPr>
              <w:p w14:paraId="2D0F0D17" w14:textId="77777777" w:rsidR="00471D53" w:rsidRDefault="00B664AF" w:rsidP="00471D53">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14:paraId="3575E8F3" w14:textId="77777777" w:rsidR="00471D53" w:rsidRDefault="00B664AF" w:rsidP="00471D53">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14:paraId="07767198" w14:textId="77777777" w:rsidR="00471D53" w:rsidRDefault="00B664AF" w:rsidP="00471D53">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14:paraId="65F09A5A" w14:textId="77777777" w:rsidR="00471D53" w:rsidRDefault="00B664AF" w:rsidP="00471D53">
                <w:pPr>
                  <w:jc w:val="right"/>
                  <w:outlineLvl w:val="2"/>
                  <w:rPr>
                    <w:rFonts w:cs="Cambria"/>
                    <w:szCs w:val="21"/>
                  </w:rPr>
                </w:pPr>
              </w:p>
            </w:tc>
          </w:tr>
          <w:tr w:rsidR="00471D53" w14:paraId="2A786BE0" w14:textId="77777777" w:rsidTr="00471D53">
            <w:trPr>
              <w:trHeight w:val="240"/>
            </w:trPr>
            <w:sdt>
              <w:sdtPr>
                <w:tag w:val="_PLD_77996810365c481083bed5a411822288"/>
                <w:id w:val="1190725292"/>
                <w:lock w:val="sdtLocked"/>
              </w:sdtPr>
              <w:sdtEnd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6E288067" w14:textId="77777777" w:rsidR="00471D53" w:rsidRDefault="004F686E" w:rsidP="00471D53">
                    <w:pPr>
                      <w:outlineLvl w:val="2"/>
                      <w:rPr>
                        <w:rFonts w:cs="Cambria"/>
                        <w:szCs w:val="21"/>
                      </w:rPr>
                    </w:pPr>
                    <w:r>
                      <w:rPr>
                        <w:rFonts w:cs="Cambria" w:hint="eastAsia"/>
                        <w:szCs w:val="21"/>
                      </w:rPr>
                      <w:t>（</w:t>
                    </w:r>
                    <w:r>
                      <w:rPr>
                        <w:rFonts w:cs="Cambria"/>
                        <w:szCs w:val="21"/>
                      </w:rPr>
                      <w:t>2</w:t>
                    </w:r>
                    <w:r>
                      <w:rPr>
                        <w:rFonts w:cs="Cambria" w:hint="eastAsia"/>
                        <w:szCs w:val="21"/>
                      </w:rPr>
                      <w:t>）权益工具投资</w:t>
                    </w:r>
                  </w:p>
                </w:tc>
              </w:sdtContent>
            </w:sdt>
            <w:tc>
              <w:tcPr>
                <w:tcW w:w="944" w:type="pct"/>
                <w:tcBorders>
                  <w:top w:val="single" w:sz="4" w:space="0" w:color="auto"/>
                  <w:left w:val="single" w:sz="4" w:space="0" w:color="auto"/>
                  <w:bottom w:val="single" w:sz="4" w:space="0" w:color="auto"/>
                  <w:right w:val="single" w:sz="4" w:space="0" w:color="auto"/>
                </w:tcBorders>
              </w:tcPr>
              <w:p w14:paraId="3926405E" w14:textId="77777777" w:rsidR="00471D53" w:rsidRDefault="00B664AF" w:rsidP="00471D53">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14:paraId="0B8038FB" w14:textId="77777777" w:rsidR="00471D53" w:rsidRDefault="00B664AF" w:rsidP="00471D53">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14:paraId="5116BF10" w14:textId="77777777" w:rsidR="00471D53" w:rsidRDefault="00B664AF" w:rsidP="00471D53">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14:paraId="70ACA665" w14:textId="77777777" w:rsidR="00471D53" w:rsidRDefault="00B664AF" w:rsidP="00471D53">
                <w:pPr>
                  <w:jc w:val="right"/>
                  <w:outlineLvl w:val="2"/>
                  <w:rPr>
                    <w:rFonts w:cs="Cambria"/>
                    <w:szCs w:val="21"/>
                  </w:rPr>
                </w:pPr>
              </w:p>
            </w:tc>
          </w:tr>
          <w:tr w:rsidR="00471D53" w14:paraId="63F8AF5B" w14:textId="77777777" w:rsidTr="00471D53">
            <w:trPr>
              <w:trHeight w:val="240"/>
            </w:trPr>
            <w:sdt>
              <w:sdtPr>
                <w:tag w:val="_PLD_7417bbdf88f74ca7abe6826af039046b"/>
                <w:id w:val="1177773836"/>
                <w:lock w:val="sdtLocked"/>
              </w:sdtPr>
              <w:sdtEnd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68CF3B87" w14:textId="77777777" w:rsidR="00471D53" w:rsidRDefault="004F686E" w:rsidP="00471D53">
                    <w:pPr>
                      <w:outlineLvl w:val="2"/>
                      <w:rPr>
                        <w:rFonts w:cs="Cambria"/>
                        <w:szCs w:val="21"/>
                      </w:rPr>
                    </w:pPr>
                    <w:r>
                      <w:rPr>
                        <w:rFonts w:cs="Cambria" w:hint="eastAsia"/>
                        <w:szCs w:val="21"/>
                      </w:rPr>
                      <w:t>（</w:t>
                    </w:r>
                    <w:r>
                      <w:rPr>
                        <w:rFonts w:cs="Cambria"/>
                        <w:szCs w:val="21"/>
                      </w:rPr>
                      <w:t>3</w:t>
                    </w:r>
                    <w:r>
                      <w:rPr>
                        <w:rFonts w:cs="Cambria" w:hint="eastAsia"/>
                        <w:szCs w:val="21"/>
                      </w:rPr>
                      <w:t>）衍生金融资产</w:t>
                    </w:r>
                  </w:p>
                </w:tc>
              </w:sdtContent>
            </w:sdt>
            <w:tc>
              <w:tcPr>
                <w:tcW w:w="944" w:type="pct"/>
                <w:tcBorders>
                  <w:top w:val="single" w:sz="4" w:space="0" w:color="auto"/>
                  <w:left w:val="single" w:sz="4" w:space="0" w:color="auto"/>
                  <w:bottom w:val="single" w:sz="4" w:space="0" w:color="auto"/>
                  <w:right w:val="single" w:sz="4" w:space="0" w:color="auto"/>
                </w:tcBorders>
              </w:tcPr>
              <w:p w14:paraId="0D1C3F03" w14:textId="77777777" w:rsidR="00471D53" w:rsidRDefault="00B664AF" w:rsidP="00471D53">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14:paraId="0FAA0227" w14:textId="77777777" w:rsidR="00471D53" w:rsidRDefault="00B664AF" w:rsidP="00471D53">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14:paraId="08213E28" w14:textId="77777777" w:rsidR="00471D53" w:rsidRDefault="00B664AF" w:rsidP="00471D53">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14:paraId="7E5A298B" w14:textId="77777777" w:rsidR="00471D53" w:rsidRDefault="00B664AF" w:rsidP="00471D53">
                <w:pPr>
                  <w:jc w:val="right"/>
                  <w:outlineLvl w:val="2"/>
                  <w:rPr>
                    <w:rFonts w:cs="Cambria"/>
                    <w:szCs w:val="21"/>
                  </w:rPr>
                </w:pPr>
              </w:p>
            </w:tc>
          </w:tr>
          <w:tr w:rsidR="00471D53" w14:paraId="0F5D62D3" w14:textId="77777777" w:rsidTr="00471D53">
            <w:trPr>
              <w:trHeight w:val="799"/>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cs="Cambria"/>
                    <w:szCs w:val="21"/>
                  </w:rPr>
                  <w:tag w:val="_PLD_8f2dd6e8cd7d4b6f8a25ea84b5be71b1"/>
                  <w:id w:val="-1624370170"/>
                  <w:lock w:val="sdtLocked"/>
                </w:sdtPr>
                <w:sdtEndPr>
                  <w:rPr>
                    <w:rFonts w:hint="eastAsia"/>
                  </w:rPr>
                </w:sdtEndPr>
                <w:sdtContent>
                  <w:p w14:paraId="566C2B9F" w14:textId="34AD95B9" w:rsidR="00471D53" w:rsidRDefault="004F686E" w:rsidP="00471D53">
                    <w:pPr>
                      <w:outlineLvl w:val="2"/>
                      <w:rPr>
                        <w:rFonts w:cs="Cambria"/>
                        <w:szCs w:val="21"/>
                      </w:rPr>
                    </w:pPr>
                    <w:r>
                      <w:rPr>
                        <w:rFonts w:cs="Cambria"/>
                        <w:szCs w:val="21"/>
                      </w:rPr>
                      <w:t>2.</w:t>
                    </w:r>
                    <w:r>
                      <w:rPr>
                        <w:rFonts w:cs="Cambria" w:hint="eastAsia"/>
                        <w:szCs w:val="21"/>
                      </w:rPr>
                      <w:t>指定以公允价值计量且其变动计入当期损益的金融资产</w:t>
                    </w:r>
                  </w:p>
                </w:sdtContent>
              </w:sdt>
            </w:tc>
            <w:tc>
              <w:tcPr>
                <w:tcW w:w="944" w:type="pct"/>
                <w:tcBorders>
                  <w:top w:val="single" w:sz="4" w:space="0" w:color="auto"/>
                  <w:left w:val="single" w:sz="4" w:space="0" w:color="auto"/>
                  <w:bottom w:val="single" w:sz="4" w:space="0" w:color="auto"/>
                  <w:right w:val="single" w:sz="4" w:space="0" w:color="auto"/>
                </w:tcBorders>
              </w:tcPr>
              <w:p w14:paraId="1993261E" w14:textId="77777777" w:rsidR="00471D53" w:rsidRDefault="00B664AF" w:rsidP="00471D53">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14:paraId="3D2A1A00" w14:textId="77777777" w:rsidR="00471D53" w:rsidRDefault="00B664AF" w:rsidP="00471D53">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14:paraId="13344852" w14:textId="77777777" w:rsidR="00471D53" w:rsidRDefault="00B664AF" w:rsidP="00471D53">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14:paraId="57C72EDB" w14:textId="77777777" w:rsidR="00471D53" w:rsidRDefault="00B664AF" w:rsidP="00471D53">
                <w:pPr>
                  <w:jc w:val="right"/>
                  <w:outlineLvl w:val="2"/>
                  <w:rPr>
                    <w:rFonts w:cs="Cambria"/>
                    <w:szCs w:val="21"/>
                  </w:rPr>
                </w:pPr>
              </w:p>
            </w:tc>
          </w:tr>
          <w:tr w:rsidR="00471D53" w14:paraId="674E23BB" w14:textId="77777777" w:rsidTr="00471D53">
            <w:trPr>
              <w:trHeight w:val="240"/>
            </w:trPr>
            <w:sdt>
              <w:sdtPr>
                <w:tag w:val="_PLD_bd6d0cf9e96e4bebb25f8dcdf55d029f"/>
                <w:id w:val="1820223867"/>
                <w:lock w:val="sdtLocked"/>
              </w:sdtPr>
              <w:sdtEnd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0CA4F546" w14:textId="77777777" w:rsidR="00471D53" w:rsidRDefault="004F686E" w:rsidP="00471D53">
                    <w:pPr>
                      <w:outlineLvl w:val="2"/>
                      <w:rPr>
                        <w:rFonts w:cs="Cambria"/>
                        <w:szCs w:val="21"/>
                      </w:rPr>
                    </w:pPr>
                    <w:r>
                      <w:rPr>
                        <w:rFonts w:cs="Cambria" w:hint="eastAsia"/>
                        <w:szCs w:val="21"/>
                      </w:rPr>
                      <w:t>（</w:t>
                    </w:r>
                    <w:r>
                      <w:rPr>
                        <w:rFonts w:cs="Cambria"/>
                        <w:szCs w:val="21"/>
                      </w:rPr>
                      <w:t>1</w:t>
                    </w:r>
                    <w:r>
                      <w:rPr>
                        <w:rFonts w:cs="Cambria" w:hint="eastAsia"/>
                        <w:szCs w:val="21"/>
                      </w:rPr>
                      <w:t>）债务工具投资</w:t>
                    </w:r>
                  </w:p>
                </w:tc>
              </w:sdtContent>
            </w:sdt>
            <w:tc>
              <w:tcPr>
                <w:tcW w:w="944" w:type="pct"/>
                <w:tcBorders>
                  <w:top w:val="single" w:sz="4" w:space="0" w:color="auto"/>
                  <w:left w:val="single" w:sz="4" w:space="0" w:color="auto"/>
                  <w:bottom w:val="single" w:sz="4" w:space="0" w:color="auto"/>
                  <w:right w:val="single" w:sz="4" w:space="0" w:color="auto"/>
                </w:tcBorders>
              </w:tcPr>
              <w:p w14:paraId="2B70D8FC" w14:textId="77777777" w:rsidR="00471D53" w:rsidRDefault="00B664AF" w:rsidP="00471D53">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14:paraId="2340FFA9" w14:textId="77777777" w:rsidR="00471D53" w:rsidRDefault="00B664AF" w:rsidP="00471D53">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14:paraId="0F9CAE25" w14:textId="77777777" w:rsidR="00471D53" w:rsidRDefault="00B664AF" w:rsidP="00471D53">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14:paraId="08D17A51" w14:textId="77777777" w:rsidR="00471D53" w:rsidRDefault="00B664AF" w:rsidP="00471D53">
                <w:pPr>
                  <w:jc w:val="right"/>
                  <w:outlineLvl w:val="2"/>
                  <w:rPr>
                    <w:rFonts w:cs="Cambria"/>
                    <w:szCs w:val="21"/>
                  </w:rPr>
                </w:pPr>
              </w:p>
            </w:tc>
          </w:tr>
          <w:tr w:rsidR="00471D53" w14:paraId="7F9B4D04" w14:textId="77777777" w:rsidTr="00471D53">
            <w:trPr>
              <w:trHeight w:val="240"/>
            </w:trPr>
            <w:sdt>
              <w:sdtPr>
                <w:tag w:val="_PLD_9cde8bbc3a5e4a2a8e2cc318e0a0d8d4"/>
                <w:id w:val="-77983145"/>
                <w:lock w:val="sdtLocked"/>
              </w:sdtPr>
              <w:sdtEnd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3BBDA084" w14:textId="77777777" w:rsidR="00471D53" w:rsidRDefault="004F686E" w:rsidP="00471D53">
                    <w:pPr>
                      <w:outlineLvl w:val="2"/>
                      <w:rPr>
                        <w:rFonts w:cs="Cambria"/>
                        <w:szCs w:val="21"/>
                      </w:rPr>
                    </w:pPr>
                    <w:r>
                      <w:rPr>
                        <w:rFonts w:cs="Cambria" w:hint="eastAsia"/>
                        <w:szCs w:val="21"/>
                      </w:rPr>
                      <w:t>（</w:t>
                    </w:r>
                    <w:r>
                      <w:rPr>
                        <w:rFonts w:cs="Cambria"/>
                        <w:szCs w:val="21"/>
                      </w:rPr>
                      <w:t>2</w:t>
                    </w:r>
                    <w:r>
                      <w:rPr>
                        <w:rFonts w:cs="Cambria" w:hint="eastAsia"/>
                        <w:szCs w:val="21"/>
                      </w:rPr>
                      <w:t>）权益工具投资</w:t>
                    </w:r>
                  </w:p>
                </w:tc>
              </w:sdtContent>
            </w:sdt>
            <w:tc>
              <w:tcPr>
                <w:tcW w:w="944" w:type="pct"/>
                <w:tcBorders>
                  <w:top w:val="single" w:sz="4" w:space="0" w:color="auto"/>
                  <w:left w:val="single" w:sz="4" w:space="0" w:color="auto"/>
                  <w:bottom w:val="single" w:sz="4" w:space="0" w:color="auto"/>
                  <w:right w:val="single" w:sz="4" w:space="0" w:color="auto"/>
                </w:tcBorders>
              </w:tcPr>
              <w:p w14:paraId="589E97E7" w14:textId="77777777" w:rsidR="00471D53" w:rsidRDefault="00B664AF" w:rsidP="00471D53">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14:paraId="57364E2F" w14:textId="77777777" w:rsidR="00471D53" w:rsidRDefault="00B664AF" w:rsidP="00471D53">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14:paraId="59625609" w14:textId="77777777" w:rsidR="00471D53" w:rsidRDefault="00B664AF" w:rsidP="00471D53">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14:paraId="2C8B85DD" w14:textId="77777777" w:rsidR="00471D53" w:rsidRDefault="00B664AF" w:rsidP="00471D53">
                <w:pPr>
                  <w:jc w:val="right"/>
                  <w:outlineLvl w:val="2"/>
                  <w:rPr>
                    <w:rFonts w:cs="Cambria"/>
                    <w:szCs w:val="21"/>
                  </w:rPr>
                </w:pPr>
              </w:p>
            </w:tc>
          </w:tr>
          <w:tr w:rsidR="00471D53" w14:paraId="698EEF58" w14:textId="77777777" w:rsidTr="00471D53">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0ef7eb1654ce4d2395b91be52c1c05a7"/>
                  <w:id w:val="-339941418"/>
                  <w:lock w:val="sdtLocked"/>
                </w:sdtPr>
                <w:sdtEndPr>
                  <w:rPr>
                    <w:shd w:val="solid" w:color="FFFFFF" w:fill="auto"/>
                  </w:rPr>
                </w:sdtEndPr>
                <w:sdtContent>
                  <w:p w14:paraId="03E69B93" w14:textId="77777777" w:rsidR="00471D53" w:rsidRDefault="004F686E" w:rsidP="00471D53">
                    <w:pPr>
                      <w:outlineLvl w:val="2"/>
                    </w:pPr>
                    <w:r>
                      <w:rPr>
                        <w:rFonts w:hint="eastAsia"/>
                      </w:rPr>
                      <w:t>（二）</w:t>
                    </w:r>
                    <w:r>
                      <w:rPr>
                        <w:rFonts w:hint="eastAsia"/>
                        <w:shd w:val="solid" w:color="FFFFFF" w:fill="auto"/>
                      </w:rPr>
                      <w:t>其他债权投资</w:t>
                    </w:r>
                  </w:p>
                </w:sdtContent>
              </w:sdt>
            </w:tc>
            <w:tc>
              <w:tcPr>
                <w:tcW w:w="944" w:type="pct"/>
                <w:tcBorders>
                  <w:top w:val="single" w:sz="4" w:space="0" w:color="auto"/>
                  <w:left w:val="single" w:sz="4" w:space="0" w:color="auto"/>
                  <w:bottom w:val="single" w:sz="4" w:space="0" w:color="auto"/>
                  <w:right w:val="single" w:sz="4" w:space="0" w:color="auto"/>
                </w:tcBorders>
              </w:tcPr>
              <w:p w14:paraId="31BF74CB" w14:textId="77777777" w:rsidR="00471D53" w:rsidRDefault="00B664AF" w:rsidP="00471D53">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14:paraId="18F05F2C" w14:textId="77777777" w:rsidR="00471D53" w:rsidRDefault="00B664AF" w:rsidP="00471D53">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14:paraId="587FE324" w14:textId="77777777" w:rsidR="00471D53" w:rsidRDefault="00B664AF" w:rsidP="00471D53">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14:paraId="3D39B2D8" w14:textId="77777777" w:rsidR="00471D53" w:rsidRDefault="00B664AF" w:rsidP="00471D53">
                <w:pPr>
                  <w:jc w:val="right"/>
                  <w:outlineLvl w:val="2"/>
                  <w:rPr>
                    <w:rFonts w:cs="Cambria"/>
                    <w:szCs w:val="21"/>
                  </w:rPr>
                </w:pPr>
              </w:p>
            </w:tc>
          </w:tr>
          <w:tr w:rsidR="00471D53" w14:paraId="30C14122" w14:textId="77777777" w:rsidTr="00471D53">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26c080e935a648bda25a9c513fb13567"/>
                  <w:id w:val="1722488847"/>
                  <w:lock w:val="sdtLocked"/>
                </w:sdtPr>
                <w:sdtEndPr>
                  <w:rPr>
                    <w:shd w:val="solid" w:color="FFFFFF" w:fill="auto"/>
                  </w:rPr>
                </w:sdtEndPr>
                <w:sdtContent>
                  <w:p w14:paraId="2B80EBDF" w14:textId="77777777" w:rsidR="00471D53" w:rsidRDefault="004F686E" w:rsidP="00471D53">
                    <w:pPr>
                      <w:outlineLvl w:val="2"/>
                    </w:pPr>
                    <w:r>
                      <w:rPr>
                        <w:rFonts w:hint="eastAsia"/>
                      </w:rPr>
                      <w:t>（三）</w:t>
                    </w:r>
                    <w:r>
                      <w:rPr>
                        <w:rFonts w:hint="eastAsia"/>
                        <w:shd w:val="solid" w:color="FFFFFF" w:fill="auto"/>
                      </w:rPr>
                      <w:t>其他权益工具投资</w:t>
                    </w:r>
                  </w:p>
                </w:sdtContent>
              </w:sdt>
            </w:tc>
            <w:tc>
              <w:tcPr>
                <w:tcW w:w="944" w:type="pct"/>
                <w:tcBorders>
                  <w:top w:val="single" w:sz="4" w:space="0" w:color="auto"/>
                  <w:left w:val="single" w:sz="4" w:space="0" w:color="auto"/>
                  <w:bottom w:val="single" w:sz="4" w:space="0" w:color="auto"/>
                  <w:right w:val="single" w:sz="4" w:space="0" w:color="auto"/>
                </w:tcBorders>
              </w:tcPr>
              <w:p w14:paraId="25BB3C67" w14:textId="77777777" w:rsidR="00471D53" w:rsidRDefault="00B664AF" w:rsidP="00471D53">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14:paraId="1B08F5F1" w14:textId="77777777" w:rsidR="00471D53" w:rsidRDefault="00B664AF" w:rsidP="00471D53">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14:paraId="41CFCCB5" w14:textId="77777777" w:rsidR="00471D53" w:rsidRDefault="00B664AF" w:rsidP="00471D53">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14:paraId="5BED1165" w14:textId="77777777" w:rsidR="00471D53" w:rsidRDefault="00B664AF" w:rsidP="00471D53">
                <w:pPr>
                  <w:jc w:val="right"/>
                  <w:outlineLvl w:val="2"/>
                  <w:rPr>
                    <w:rFonts w:cs="Cambria"/>
                    <w:szCs w:val="21"/>
                  </w:rPr>
                </w:pPr>
              </w:p>
            </w:tc>
          </w:tr>
          <w:tr w:rsidR="00471D53" w14:paraId="3064D89C" w14:textId="77777777" w:rsidTr="00471D53">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szCs w:val="21"/>
                  </w:rPr>
                  <w:tag w:val="_PLD_e521af2dbeb842efa65b7582d9470c19"/>
                  <w:id w:val="837811454"/>
                  <w:lock w:val="sdtLocked"/>
                </w:sdtPr>
                <w:sdtEndPr>
                  <w:rPr>
                    <w:shd w:val="solid" w:color="FFFFFF" w:fill="auto"/>
                  </w:rPr>
                </w:sdtEndPr>
                <w:sdtContent>
                  <w:p w14:paraId="00EC8F58" w14:textId="77777777" w:rsidR="00471D53" w:rsidRDefault="004F686E" w:rsidP="00471D53">
                    <w:pPr>
                      <w:outlineLvl w:val="2"/>
                      <w:rPr>
                        <w:rFonts w:cs="Cambria"/>
                        <w:szCs w:val="21"/>
                      </w:rPr>
                    </w:pPr>
                    <w:r>
                      <w:rPr>
                        <w:rFonts w:cs="Cambria" w:hint="eastAsia"/>
                        <w:szCs w:val="21"/>
                      </w:rPr>
                      <w:t>（四）</w:t>
                    </w:r>
                    <w:r>
                      <w:rPr>
                        <w:rFonts w:cs="Cambria" w:hint="eastAsia"/>
                        <w:szCs w:val="21"/>
                        <w:shd w:val="solid" w:color="FFFFFF" w:fill="auto"/>
                      </w:rPr>
                      <w:t>投资性房地产</w:t>
                    </w:r>
                  </w:p>
                </w:sdtContent>
              </w:sdt>
            </w:tc>
            <w:tc>
              <w:tcPr>
                <w:tcW w:w="944" w:type="pct"/>
                <w:tcBorders>
                  <w:top w:val="single" w:sz="4" w:space="0" w:color="auto"/>
                  <w:left w:val="single" w:sz="4" w:space="0" w:color="auto"/>
                  <w:bottom w:val="single" w:sz="4" w:space="0" w:color="auto"/>
                  <w:right w:val="single" w:sz="4" w:space="0" w:color="auto"/>
                </w:tcBorders>
              </w:tcPr>
              <w:p w14:paraId="02A5FB78" w14:textId="77777777" w:rsidR="00471D53" w:rsidRDefault="00B664AF" w:rsidP="00471D53">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14:paraId="34ACD78D" w14:textId="77777777" w:rsidR="00471D53" w:rsidRDefault="00B664AF" w:rsidP="00471D53">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14:paraId="65D61576" w14:textId="77777777" w:rsidR="00471D53" w:rsidRDefault="00B664AF" w:rsidP="00471D53">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14:paraId="61024D85" w14:textId="77777777" w:rsidR="00471D53" w:rsidRDefault="00B664AF" w:rsidP="00471D53">
                <w:pPr>
                  <w:jc w:val="right"/>
                  <w:outlineLvl w:val="2"/>
                  <w:rPr>
                    <w:rFonts w:cs="Cambria"/>
                    <w:szCs w:val="21"/>
                  </w:rPr>
                </w:pPr>
              </w:p>
            </w:tc>
          </w:tr>
          <w:tr w:rsidR="00471D53" w14:paraId="2F7FCCAC" w14:textId="77777777" w:rsidTr="00471D53">
            <w:trPr>
              <w:trHeight w:val="240"/>
            </w:trPr>
            <w:sdt>
              <w:sdtPr>
                <w:tag w:val="_PLD_57edf64645394a44a2d92d5afc4d538a"/>
                <w:id w:val="-82459526"/>
                <w:lock w:val="sdtLocked"/>
              </w:sdtPr>
              <w:sdtEnd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27D6A4BA" w14:textId="77777777" w:rsidR="00471D53" w:rsidRDefault="004F686E" w:rsidP="00471D53">
                    <w:pPr>
                      <w:outlineLvl w:val="2"/>
                      <w:rPr>
                        <w:rFonts w:cs="Cambria"/>
                        <w:szCs w:val="21"/>
                      </w:rPr>
                    </w:pPr>
                    <w:r>
                      <w:rPr>
                        <w:rFonts w:cs="Cambria"/>
                        <w:szCs w:val="21"/>
                      </w:rPr>
                      <w:t>1.</w:t>
                    </w:r>
                    <w:r>
                      <w:rPr>
                        <w:rFonts w:cs="Cambria" w:hint="eastAsia"/>
                        <w:szCs w:val="21"/>
                      </w:rPr>
                      <w:t>出租用的土地使用权</w:t>
                    </w:r>
                  </w:p>
                </w:tc>
              </w:sdtContent>
            </w:sdt>
            <w:tc>
              <w:tcPr>
                <w:tcW w:w="944" w:type="pct"/>
                <w:tcBorders>
                  <w:top w:val="single" w:sz="4" w:space="0" w:color="auto"/>
                  <w:left w:val="single" w:sz="4" w:space="0" w:color="auto"/>
                  <w:bottom w:val="single" w:sz="4" w:space="0" w:color="auto"/>
                  <w:right w:val="single" w:sz="4" w:space="0" w:color="auto"/>
                </w:tcBorders>
              </w:tcPr>
              <w:p w14:paraId="3FF46AED" w14:textId="77777777" w:rsidR="00471D53" w:rsidRDefault="00B664AF" w:rsidP="00471D53">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14:paraId="1EB6D4A0" w14:textId="77777777" w:rsidR="00471D53" w:rsidRDefault="00B664AF" w:rsidP="00471D53">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14:paraId="6707BF63" w14:textId="77777777" w:rsidR="00471D53" w:rsidRDefault="00B664AF" w:rsidP="00471D53">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14:paraId="2F461AD3" w14:textId="77777777" w:rsidR="00471D53" w:rsidRDefault="00B664AF" w:rsidP="00471D53">
                <w:pPr>
                  <w:jc w:val="right"/>
                  <w:outlineLvl w:val="2"/>
                  <w:rPr>
                    <w:rFonts w:cs="Cambria"/>
                    <w:szCs w:val="21"/>
                  </w:rPr>
                </w:pPr>
              </w:p>
            </w:tc>
          </w:tr>
          <w:tr w:rsidR="00471D53" w14:paraId="22B84A22" w14:textId="77777777" w:rsidTr="00471D53">
            <w:trPr>
              <w:trHeight w:val="240"/>
            </w:trPr>
            <w:sdt>
              <w:sdtPr>
                <w:tag w:val="_PLD_6d74812087eb4d618df7ab958a1a93e7"/>
                <w:id w:val="-799301033"/>
                <w:lock w:val="sdtLocked"/>
              </w:sdtPr>
              <w:sdtEnd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54DBA8EB" w14:textId="77777777" w:rsidR="00471D53" w:rsidRDefault="004F686E" w:rsidP="00471D53">
                    <w:pPr>
                      <w:outlineLvl w:val="2"/>
                      <w:rPr>
                        <w:rFonts w:cs="Cambria"/>
                        <w:szCs w:val="21"/>
                      </w:rPr>
                    </w:pPr>
                    <w:r>
                      <w:rPr>
                        <w:rFonts w:cs="Cambria"/>
                        <w:szCs w:val="21"/>
                      </w:rPr>
                      <w:t>2.</w:t>
                    </w:r>
                    <w:r>
                      <w:rPr>
                        <w:rFonts w:cs="Cambria" w:hint="eastAsia"/>
                        <w:szCs w:val="21"/>
                      </w:rPr>
                      <w:t>出租的建筑物</w:t>
                    </w:r>
                  </w:p>
                </w:tc>
              </w:sdtContent>
            </w:sdt>
            <w:tc>
              <w:tcPr>
                <w:tcW w:w="944" w:type="pct"/>
                <w:tcBorders>
                  <w:top w:val="single" w:sz="4" w:space="0" w:color="auto"/>
                  <w:left w:val="single" w:sz="4" w:space="0" w:color="auto"/>
                  <w:bottom w:val="single" w:sz="4" w:space="0" w:color="auto"/>
                  <w:right w:val="single" w:sz="4" w:space="0" w:color="auto"/>
                </w:tcBorders>
              </w:tcPr>
              <w:p w14:paraId="6FCC9CB4" w14:textId="77777777" w:rsidR="00471D53" w:rsidRDefault="00B664AF" w:rsidP="00471D53">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14:paraId="17A48EE4" w14:textId="77777777" w:rsidR="00471D53" w:rsidRDefault="00B664AF" w:rsidP="00471D53">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14:paraId="1F0A9114" w14:textId="77777777" w:rsidR="00471D53" w:rsidRDefault="00B664AF" w:rsidP="00471D53">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14:paraId="736C7458" w14:textId="77777777" w:rsidR="00471D53" w:rsidRDefault="00B664AF" w:rsidP="00471D53">
                <w:pPr>
                  <w:jc w:val="right"/>
                  <w:outlineLvl w:val="2"/>
                  <w:rPr>
                    <w:rFonts w:cs="Cambria"/>
                    <w:szCs w:val="21"/>
                  </w:rPr>
                </w:pPr>
              </w:p>
            </w:tc>
          </w:tr>
          <w:tr w:rsidR="00471D53" w14:paraId="6CB8382F" w14:textId="77777777" w:rsidTr="00471D53">
            <w:trPr>
              <w:trHeight w:val="468"/>
            </w:trPr>
            <w:sdt>
              <w:sdtPr>
                <w:tag w:val="_PLD_cd8170692aa8491292e4c34925248dd8"/>
                <w:id w:val="1300730228"/>
                <w:lock w:val="sdtLocked"/>
              </w:sdtPr>
              <w:sdtEnd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1300BF10" w14:textId="77777777" w:rsidR="00471D53" w:rsidRDefault="004F686E" w:rsidP="00471D53">
                    <w:pPr>
                      <w:outlineLvl w:val="2"/>
                      <w:rPr>
                        <w:rFonts w:cs="Cambria"/>
                        <w:szCs w:val="21"/>
                      </w:rPr>
                    </w:pPr>
                    <w:r>
                      <w:rPr>
                        <w:rFonts w:cs="Cambria"/>
                        <w:szCs w:val="21"/>
                      </w:rPr>
                      <w:t>3.</w:t>
                    </w:r>
                    <w:r>
                      <w:rPr>
                        <w:rFonts w:cs="Cambria" w:hint="eastAsia"/>
                        <w:szCs w:val="21"/>
                      </w:rPr>
                      <w:t>持有并准备增值后转让的土地使用权</w:t>
                    </w:r>
                  </w:p>
                </w:tc>
              </w:sdtContent>
            </w:sdt>
            <w:tc>
              <w:tcPr>
                <w:tcW w:w="944" w:type="pct"/>
                <w:tcBorders>
                  <w:top w:val="single" w:sz="4" w:space="0" w:color="auto"/>
                  <w:left w:val="single" w:sz="4" w:space="0" w:color="auto"/>
                  <w:bottom w:val="single" w:sz="4" w:space="0" w:color="auto"/>
                  <w:right w:val="single" w:sz="4" w:space="0" w:color="auto"/>
                </w:tcBorders>
              </w:tcPr>
              <w:p w14:paraId="694A4F60" w14:textId="77777777" w:rsidR="00471D53" w:rsidRDefault="00B664AF" w:rsidP="00471D53">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14:paraId="62D403A5" w14:textId="77777777" w:rsidR="00471D53" w:rsidRDefault="00B664AF" w:rsidP="00471D53">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14:paraId="7A9CAEC0" w14:textId="77777777" w:rsidR="00471D53" w:rsidRDefault="00B664AF" w:rsidP="00471D53">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14:paraId="67E8E579" w14:textId="77777777" w:rsidR="00471D53" w:rsidRDefault="00B664AF" w:rsidP="00471D53">
                <w:pPr>
                  <w:jc w:val="right"/>
                  <w:outlineLvl w:val="2"/>
                  <w:rPr>
                    <w:rFonts w:cs="Cambria"/>
                    <w:szCs w:val="21"/>
                  </w:rPr>
                </w:pPr>
              </w:p>
            </w:tc>
          </w:tr>
          <w:tr w:rsidR="00471D53" w14:paraId="304F4535" w14:textId="77777777" w:rsidTr="00471D53">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szCs w:val="21"/>
                  </w:rPr>
                  <w:tag w:val="_PLD_17df5add0fe54a5e960e67a648bdf930"/>
                  <w:id w:val="1743054790"/>
                  <w:lock w:val="sdtLocked"/>
                </w:sdtPr>
                <w:sdtEndPr>
                  <w:rPr>
                    <w:shd w:val="solid" w:color="FFFFFF" w:fill="auto"/>
                  </w:rPr>
                </w:sdtEndPr>
                <w:sdtContent>
                  <w:p w14:paraId="72504C1F" w14:textId="77777777" w:rsidR="00471D53" w:rsidRDefault="004F686E" w:rsidP="00471D53">
                    <w:pPr>
                      <w:outlineLvl w:val="2"/>
                      <w:rPr>
                        <w:rFonts w:cs="Cambria"/>
                        <w:szCs w:val="21"/>
                      </w:rPr>
                    </w:pPr>
                    <w:r>
                      <w:rPr>
                        <w:rFonts w:cs="Cambria" w:hint="eastAsia"/>
                        <w:szCs w:val="21"/>
                      </w:rPr>
                      <w:t>（五）</w:t>
                    </w:r>
                    <w:r>
                      <w:rPr>
                        <w:rFonts w:cs="Cambria" w:hint="eastAsia"/>
                        <w:szCs w:val="21"/>
                        <w:shd w:val="solid" w:color="FFFFFF" w:fill="auto"/>
                      </w:rPr>
                      <w:t>生物资产</w:t>
                    </w:r>
                  </w:p>
                </w:sdtContent>
              </w:sdt>
            </w:tc>
            <w:tc>
              <w:tcPr>
                <w:tcW w:w="944" w:type="pct"/>
                <w:tcBorders>
                  <w:top w:val="single" w:sz="4" w:space="0" w:color="auto"/>
                  <w:left w:val="single" w:sz="4" w:space="0" w:color="auto"/>
                  <w:bottom w:val="single" w:sz="4" w:space="0" w:color="auto"/>
                  <w:right w:val="single" w:sz="4" w:space="0" w:color="auto"/>
                </w:tcBorders>
              </w:tcPr>
              <w:p w14:paraId="684688FB" w14:textId="77777777" w:rsidR="00471D53" w:rsidRDefault="00B664AF" w:rsidP="00471D53">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14:paraId="750201F0" w14:textId="77777777" w:rsidR="00471D53" w:rsidRDefault="00B664AF" w:rsidP="00471D53">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14:paraId="69113E95" w14:textId="77777777" w:rsidR="00471D53" w:rsidRDefault="00B664AF" w:rsidP="00471D53">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14:paraId="559AD7A2" w14:textId="77777777" w:rsidR="00471D53" w:rsidRDefault="00B664AF" w:rsidP="00471D53">
                <w:pPr>
                  <w:jc w:val="right"/>
                  <w:outlineLvl w:val="2"/>
                  <w:rPr>
                    <w:rFonts w:cs="Cambria"/>
                    <w:szCs w:val="21"/>
                  </w:rPr>
                </w:pPr>
              </w:p>
            </w:tc>
          </w:tr>
          <w:tr w:rsidR="00471D53" w14:paraId="767C7E6E" w14:textId="77777777" w:rsidTr="00471D53">
            <w:trPr>
              <w:trHeight w:val="240"/>
            </w:trPr>
            <w:sdt>
              <w:sdtPr>
                <w:tag w:val="_PLD_a56923a5772c443c8378f09a59e35325"/>
                <w:id w:val="42339193"/>
                <w:lock w:val="sdtLocked"/>
              </w:sdtPr>
              <w:sdtEnd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6C1ED68C" w14:textId="77777777" w:rsidR="00471D53" w:rsidRDefault="004F686E" w:rsidP="00471D53">
                    <w:pPr>
                      <w:outlineLvl w:val="2"/>
                      <w:rPr>
                        <w:rFonts w:cs="Cambria"/>
                        <w:szCs w:val="21"/>
                      </w:rPr>
                    </w:pPr>
                    <w:r>
                      <w:rPr>
                        <w:rFonts w:cs="Cambria"/>
                        <w:szCs w:val="21"/>
                      </w:rPr>
                      <w:t>1.</w:t>
                    </w:r>
                    <w:r>
                      <w:rPr>
                        <w:rFonts w:cs="Cambria" w:hint="eastAsia"/>
                        <w:szCs w:val="21"/>
                      </w:rPr>
                      <w:t>消耗性生物资产</w:t>
                    </w:r>
                  </w:p>
                </w:tc>
              </w:sdtContent>
            </w:sdt>
            <w:tc>
              <w:tcPr>
                <w:tcW w:w="944" w:type="pct"/>
                <w:tcBorders>
                  <w:top w:val="single" w:sz="4" w:space="0" w:color="auto"/>
                  <w:left w:val="single" w:sz="4" w:space="0" w:color="auto"/>
                  <w:bottom w:val="single" w:sz="4" w:space="0" w:color="auto"/>
                  <w:right w:val="single" w:sz="4" w:space="0" w:color="auto"/>
                </w:tcBorders>
              </w:tcPr>
              <w:p w14:paraId="22731924" w14:textId="77777777" w:rsidR="00471D53" w:rsidRDefault="00B664AF" w:rsidP="00471D53">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14:paraId="349844DC" w14:textId="77777777" w:rsidR="00471D53" w:rsidRDefault="00B664AF" w:rsidP="00471D53">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14:paraId="50966A09" w14:textId="77777777" w:rsidR="00471D53" w:rsidRDefault="00B664AF" w:rsidP="00471D53">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14:paraId="356ECB5D" w14:textId="77777777" w:rsidR="00471D53" w:rsidRDefault="00B664AF" w:rsidP="00471D53">
                <w:pPr>
                  <w:jc w:val="right"/>
                  <w:outlineLvl w:val="2"/>
                  <w:rPr>
                    <w:rFonts w:cs="Cambria"/>
                    <w:szCs w:val="21"/>
                  </w:rPr>
                </w:pPr>
              </w:p>
            </w:tc>
          </w:tr>
          <w:tr w:rsidR="00471D53" w14:paraId="6A131CDA" w14:textId="77777777" w:rsidTr="00471D53">
            <w:trPr>
              <w:trHeight w:val="240"/>
            </w:trPr>
            <w:sdt>
              <w:sdtPr>
                <w:tag w:val="_PLD_255f970805f24da69438fbd6d7d1a094"/>
                <w:id w:val="1875958356"/>
                <w:lock w:val="sdtLocked"/>
              </w:sdtPr>
              <w:sdtEnd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210B4563" w14:textId="77777777" w:rsidR="00471D53" w:rsidRDefault="004F686E" w:rsidP="00471D53">
                    <w:pPr>
                      <w:outlineLvl w:val="2"/>
                      <w:rPr>
                        <w:rFonts w:cs="Cambria"/>
                        <w:szCs w:val="21"/>
                      </w:rPr>
                    </w:pPr>
                    <w:r>
                      <w:rPr>
                        <w:rFonts w:cs="Cambria"/>
                        <w:szCs w:val="21"/>
                      </w:rPr>
                      <w:t>2.</w:t>
                    </w:r>
                    <w:r>
                      <w:rPr>
                        <w:rFonts w:cs="Cambria" w:hint="eastAsia"/>
                        <w:szCs w:val="21"/>
                      </w:rPr>
                      <w:t>生产性生物资产</w:t>
                    </w:r>
                  </w:p>
                </w:tc>
              </w:sdtContent>
            </w:sdt>
            <w:tc>
              <w:tcPr>
                <w:tcW w:w="944" w:type="pct"/>
                <w:tcBorders>
                  <w:top w:val="single" w:sz="4" w:space="0" w:color="auto"/>
                  <w:left w:val="single" w:sz="4" w:space="0" w:color="auto"/>
                  <w:bottom w:val="single" w:sz="4" w:space="0" w:color="auto"/>
                  <w:right w:val="single" w:sz="4" w:space="0" w:color="auto"/>
                </w:tcBorders>
              </w:tcPr>
              <w:p w14:paraId="3212A2EC" w14:textId="77777777" w:rsidR="00471D53" w:rsidRDefault="00B664AF" w:rsidP="00471D53">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14:paraId="10010643" w14:textId="77777777" w:rsidR="00471D53" w:rsidRDefault="00B664AF" w:rsidP="00471D53">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14:paraId="1259F99B" w14:textId="77777777" w:rsidR="00471D53" w:rsidRDefault="00B664AF" w:rsidP="00471D53">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14:paraId="20C96ACE" w14:textId="77777777" w:rsidR="00471D53" w:rsidRDefault="00B664AF" w:rsidP="00471D53">
                <w:pPr>
                  <w:jc w:val="right"/>
                  <w:outlineLvl w:val="2"/>
                  <w:rPr>
                    <w:rFonts w:cs="Cambria"/>
                    <w:szCs w:val="21"/>
                  </w:rPr>
                </w:pPr>
              </w:p>
            </w:tc>
          </w:tr>
          <w:sdt>
            <w:sdtPr>
              <w:rPr>
                <w:rFonts w:cs="Cambria"/>
                <w:szCs w:val="21"/>
              </w:rPr>
              <w:alias w:val="持续以公允价值计量的资产总额明细"/>
              <w:tag w:val="_TUP_e78f47dfe89a44bda0f59b05bd53aa70"/>
              <w:id w:val="1095744214"/>
              <w:lock w:val="sdtLocked"/>
            </w:sdtPr>
            <w:sdtEndPr/>
            <w:sdtContent>
              <w:tr w:rsidR="00471D53" w14:paraId="284AE5DF" w14:textId="77777777" w:rsidTr="00471D53">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7A46C3FD" w14:textId="77777777" w:rsidR="00471D53" w:rsidRDefault="004F686E" w:rsidP="00471D53">
                    <w:pPr>
                      <w:outlineLvl w:val="2"/>
                      <w:rPr>
                        <w:rFonts w:cs="Cambria"/>
                        <w:szCs w:val="21"/>
                      </w:rPr>
                    </w:pPr>
                    <w:r>
                      <w:t>应收款项融资</w:t>
                    </w:r>
                  </w:p>
                </w:tc>
                <w:tc>
                  <w:tcPr>
                    <w:tcW w:w="944" w:type="pct"/>
                    <w:tcBorders>
                      <w:top w:val="single" w:sz="4" w:space="0" w:color="auto"/>
                      <w:left w:val="single" w:sz="4" w:space="0" w:color="auto"/>
                      <w:bottom w:val="single" w:sz="4" w:space="0" w:color="auto"/>
                      <w:right w:val="single" w:sz="4" w:space="0" w:color="auto"/>
                    </w:tcBorders>
                  </w:tcPr>
                  <w:p w14:paraId="07D9B73A" w14:textId="77777777" w:rsidR="00471D53" w:rsidRDefault="004F686E" w:rsidP="00471D53">
                    <w:pPr>
                      <w:jc w:val="right"/>
                      <w:outlineLvl w:val="2"/>
                      <w:rPr>
                        <w:rFonts w:cs="Cambria"/>
                        <w:szCs w:val="21"/>
                      </w:rPr>
                    </w:pPr>
                    <w:r>
                      <w:t>0.00</w:t>
                    </w:r>
                  </w:p>
                </w:tc>
                <w:tc>
                  <w:tcPr>
                    <w:tcW w:w="922" w:type="pct"/>
                    <w:tcBorders>
                      <w:top w:val="single" w:sz="4" w:space="0" w:color="auto"/>
                      <w:left w:val="single" w:sz="4" w:space="0" w:color="auto"/>
                      <w:bottom w:val="single" w:sz="4" w:space="0" w:color="auto"/>
                      <w:right w:val="single" w:sz="4" w:space="0" w:color="auto"/>
                    </w:tcBorders>
                  </w:tcPr>
                  <w:p w14:paraId="4656D85A" w14:textId="77777777" w:rsidR="00471D53" w:rsidRDefault="004F686E" w:rsidP="00471D53">
                    <w:pPr>
                      <w:jc w:val="right"/>
                      <w:outlineLvl w:val="2"/>
                      <w:rPr>
                        <w:rFonts w:cs="Cambria"/>
                        <w:szCs w:val="21"/>
                      </w:rPr>
                    </w:pPr>
                    <w:r>
                      <w:t>0.00</w:t>
                    </w:r>
                  </w:p>
                </w:tc>
                <w:tc>
                  <w:tcPr>
                    <w:tcW w:w="959" w:type="pct"/>
                    <w:tcBorders>
                      <w:top w:val="single" w:sz="4" w:space="0" w:color="auto"/>
                      <w:left w:val="single" w:sz="4" w:space="0" w:color="auto"/>
                      <w:bottom w:val="single" w:sz="4" w:space="0" w:color="auto"/>
                      <w:right w:val="single" w:sz="4" w:space="0" w:color="auto"/>
                    </w:tcBorders>
                  </w:tcPr>
                  <w:p w14:paraId="0CB6DBF3" w14:textId="77777777" w:rsidR="00471D53" w:rsidRDefault="004F686E" w:rsidP="00471D53">
                    <w:pPr>
                      <w:jc w:val="right"/>
                      <w:outlineLvl w:val="2"/>
                      <w:rPr>
                        <w:rFonts w:cs="Cambria"/>
                        <w:szCs w:val="21"/>
                      </w:rPr>
                    </w:pPr>
                    <w:r>
                      <w:t>5,234,897.48</w:t>
                    </w:r>
                  </w:p>
                </w:tc>
                <w:tc>
                  <w:tcPr>
                    <w:tcW w:w="836" w:type="pct"/>
                    <w:tcBorders>
                      <w:top w:val="single" w:sz="4" w:space="0" w:color="auto"/>
                      <w:left w:val="single" w:sz="4" w:space="0" w:color="auto"/>
                      <w:bottom w:val="single" w:sz="4" w:space="0" w:color="auto"/>
                      <w:right w:val="single" w:sz="4" w:space="0" w:color="auto"/>
                    </w:tcBorders>
                  </w:tcPr>
                  <w:p w14:paraId="5E20B84A" w14:textId="77777777" w:rsidR="00471D53" w:rsidRDefault="004F686E" w:rsidP="00471D53">
                    <w:pPr>
                      <w:jc w:val="right"/>
                      <w:outlineLvl w:val="2"/>
                      <w:rPr>
                        <w:rFonts w:cs="Cambria"/>
                        <w:szCs w:val="21"/>
                      </w:rPr>
                    </w:pPr>
                    <w:r>
                      <w:t>5,234,897.48</w:t>
                    </w:r>
                  </w:p>
                </w:tc>
              </w:tr>
            </w:sdtContent>
          </w:sdt>
          <w:sdt>
            <w:sdtPr>
              <w:rPr>
                <w:rFonts w:cs="Cambria"/>
                <w:szCs w:val="21"/>
              </w:rPr>
              <w:alias w:val="持续以公允价值计量的资产总额明细"/>
              <w:tag w:val="_TUP_e78f47dfe89a44bda0f59b05bd53aa70"/>
              <w:id w:val="190813531"/>
              <w:lock w:val="sdtLocked"/>
            </w:sdtPr>
            <w:sdtEndPr/>
            <w:sdtContent>
              <w:tr w:rsidR="00471D53" w14:paraId="012FC064" w14:textId="77777777" w:rsidTr="00471D53">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2BE48E17" w14:textId="77777777" w:rsidR="00471D53" w:rsidRDefault="00B664AF" w:rsidP="00471D53">
                    <w:pPr>
                      <w:outlineLvl w:val="2"/>
                      <w:rPr>
                        <w:rFonts w:cs="Cambria"/>
                        <w:szCs w:val="21"/>
                      </w:rPr>
                    </w:pPr>
                  </w:p>
                </w:tc>
                <w:tc>
                  <w:tcPr>
                    <w:tcW w:w="944" w:type="pct"/>
                    <w:tcBorders>
                      <w:top w:val="single" w:sz="4" w:space="0" w:color="auto"/>
                      <w:left w:val="single" w:sz="4" w:space="0" w:color="auto"/>
                      <w:bottom w:val="single" w:sz="4" w:space="0" w:color="auto"/>
                      <w:right w:val="single" w:sz="4" w:space="0" w:color="auto"/>
                    </w:tcBorders>
                  </w:tcPr>
                  <w:p w14:paraId="7A2BDF45" w14:textId="77777777" w:rsidR="00471D53" w:rsidRDefault="00B664AF" w:rsidP="00471D53">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14:paraId="00214EE2" w14:textId="77777777" w:rsidR="00471D53" w:rsidRDefault="00B664AF" w:rsidP="00471D53">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14:paraId="18DBEE79" w14:textId="77777777" w:rsidR="00471D53" w:rsidRDefault="00B664AF" w:rsidP="00471D53">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14:paraId="48585E8A" w14:textId="77777777" w:rsidR="00471D53" w:rsidRDefault="00B664AF" w:rsidP="00471D53">
                    <w:pPr>
                      <w:jc w:val="right"/>
                      <w:outlineLvl w:val="2"/>
                      <w:rPr>
                        <w:rFonts w:cs="Cambria"/>
                        <w:szCs w:val="21"/>
                      </w:rPr>
                    </w:pPr>
                  </w:p>
                </w:tc>
              </w:tr>
            </w:sdtContent>
          </w:sdt>
          <w:tr w:rsidR="00471D53" w14:paraId="2B33F546" w14:textId="77777777" w:rsidTr="00471D53">
            <w:trPr>
              <w:trHeight w:val="468"/>
            </w:trPr>
            <w:sdt>
              <w:sdtPr>
                <w:tag w:val="_PLD_5f085d8452914c828c6cb5c210cfc97c"/>
                <w:id w:val="528225641"/>
                <w:lock w:val="sdtLocked"/>
              </w:sdtPr>
              <w:sdtEnd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5254CD44" w14:textId="77777777" w:rsidR="00471D53" w:rsidRDefault="004F686E" w:rsidP="00471D53">
                    <w:pPr>
                      <w:outlineLvl w:val="2"/>
                      <w:rPr>
                        <w:rFonts w:cs="Cambria"/>
                        <w:b/>
                        <w:szCs w:val="21"/>
                      </w:rPr>
                    </w:pPr>
                    <w:r>
                      <w:rPr>
                        <w:rFonts w:cs="Cambria" w:hint="eastAsia"/>
                        <w:b/>
                        <w:szCs w:val="21"/>
                      </w:rPr>
                      <w:t>持续以公允价值计量的资产总额</w:t>
                    </w:r>
                  </w:p>
                </w:tc>
              </w:sdtContent>
            </w:sdt>
            <w:tc>
              <w:tcPr>
                <w:tcW w:w="944" w:type="pct"/>
                <w:tcBorders>
                  <w:top w:val="single" w:sz="4" w:space="0" w:color="auto"/>
                  <w:left w:val="single" w:sz="4" w:space="0" w:color="auto"/>
                  <w:bottom w:val="single" w:sz="4" w:space="0" w:color="auto"/>
                  <w:right w:val="single" w:sz="4" w:space="0" w:color="auto"/>
                </w:tcBorders>
                <w:vAlign w:val="center"/>
              </w:tcPr>
              <w:p w14:paraId="2E231235" w14:textId="77777777" w:rsidR="00471D53" w:rsidRDefault="00B664AF" w:rsidP="00471D53">
                <w:pPr>
                  <w:jc w:val="right"/>
                  <w:rPr>
                    <w:sz w:val="24"/>
                  </w:rPr>
                </w:pPr>
              </w:p>
            </w:tc>
            <w:tc>
              <w:tcPr>
                <w:tcW w:w="922" w:type="pct"/>
                <w:tcBorders>
                  <w:top w:val="single" w:sz="4" w:space="0" w:color="auto"/>
                  <w:left w:val="single" w:sz="4" w:space="0" w:color="auto"/>
                  <w:bottom w:val="single" w:sz="4" w:space="0" w:color="auto"/>
                  <w:right w:val="single" w:sz="4" w:space="0" w:color="auto"/>
                </w:tcBorders>
                <w:vAlign w:val="center"/>
              </w:tcPr>
              <w:p w14:paraId="127E552C" w14:textId="77777777" w:rsidR="00471D53" w:rsidRDefault="00B664AF" w:rsidP="00471D53">
                <w:pPr>
                  <w:jc w:val="right"/>
                  <w:rPr>
                    <w:sz w:val="24"/>
                  </w:rPr>
                </w:pPr>
              </w:p>
            </w:tc>
            <w:tc>
              <w:tcPr>
                <w:tcW w:w="959" w:type="pct"/>
                <w:tcBorders>
                  <w:top w:val="single" w:sz="4" w:space="0" w:color="auto"/>
                  <w:left w:val="single" w:sz="4" w:space="0" w:color="auto"/>
                  <w:bottom w:val="single" w:sz="4" w:space="0" w:color="auto"/>
                  <w:right w:val="single" w:sz="4" w:space="0" w:color="auto"/>
                </w:tcBorders>
                <w:vAlign w:val="center"/>
              </w:tcPr>
              <w:p w14:paraId="13962B44" w14:textId="77777777" w:rsidR="00471D53" w:rsidRDefault="004F686E" w:rsidP="00471D53">
                <w:pPr>
                  <w:jc w:val="right"/>
                  <w:rPr>
                    <w:sz w:val="24"/>
                  </w:rPr>
                </w:pPr>
                <w:r>
                  <w:t>5,234,897.48</w:t>
                </w:r>
              </w:p>
            </w:tc>
            <w:tc>
              <w:tcPr>
                <w:tcW w:w="836" w:type="pct"/>
                <w:tcBorders>
                  <w:top w:val="single" w:sz="4" w:space="0" w:color="auto"/>
                  <w:left w:val="single" w:sz="4" w:space="0" w:color="auto"/>
                  <w:bottom w:val="single" w:sz="4" w:space="0" w:color="auto"/>
                  <w:right w:val="single" w:sz="4" w:space="0" w:color="auto"/>
                </w:tcBorders>
                <w:vAlign w:val="center"/>
              </w:tcPr>
              <w:p w14:paraId="03067E9D" w14:textId="77777777" w:rsidR="00471D53" w:rsidRDefault="004F686E" w:rsidP="00471D53">
                <w:pPr>
                  <w:jc w:val="right"/>
                  <w:rPr>
                    <w:sz w:val="24"/>
                  </w:rPr>
                </w:pPr>
                <w:r>
                  <w:t>5,234,897.48</w:t>
                </w:r>
              </w:p>
            </w:tc>
          </w:tr>
          <w:tr w:rsidR="00471D53" w14:paraId="4E5AFF0A" w14:textId="77777777" w:rsidTr="00471D53">
            <w:trPr>
              <w:trHeight w:val="296"/>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szCs w:val="21"/>
                  </w:rPr>
                  <w:tag w:val="_PLD_cc157d5ce186429f9c96a03dc3e4daa5"/>
                  <w:id w:val="-1333131922"/>
                  <w:lock w:val="sdtLocked"/>
                </w:sdtPr>
                <w:sdtEndPr>
                  <w:rPr>
                    <w:shd w:val="solid" w:color="FFFFFF" w:fill="auto"/>
                  </w:rPr>
                </w:sdtEndPr>
                <w:sdtContent>
                  <w:p w14:paraId="035546AB" w14:textId="77777777" w:rsidR="00471D53" w:rsidRDefault="004F686E" w:rsidP="00471D53">
                    <w:pPr>
                      <w:outlineLvl w:val="2"/>
                      <w:rPr>
                        <w:rFonts w:cs="Cambria"/>
                        <w:szCs w:val="21"/>
                      </w:rPr>
                    </w:pPr>
                    <w:r>
                      <w:rPr>
                        <w:rFonts w:cs="Cambria" w:hint="eastAsia"/>
                        <w:szCs w:val="21"/>
                      </w:rPr>
                      <w:t>（六）</w:t>
                    </w:r>
                    <w:r>
                      <w:rPr>
                        <w:rFonts w:cs="Cambria" w:hint="eastAsia"/>
                        <w:szCs w:val="21"/>
                        <w:shd w:val="solid" w:color="FFFFFF" w:fill="auto"/>
                      </w:rPr>
                      <w:t>交易性金融负债</w:t>
                    </w:r>
                  </w:p>
                </w:sdtContent>
              </w:sdt>
            </w:tc>
            <w:tc>
              <w:tcPr>
                <w:tcW w:w="944" w:type="pct"/>
                <w:tcBorders>
                  <w:top w:val="single" w:sz="4" w:space="0" w:color="auto"/>
                  <w:left w:val="single" w:sz="4" w:space="0" w:color="auto"/>
                  <w:bottom w:val="single" w:sz="4" w:space="0" w:color="auto"/>
                  <w:right w:val="single" w:sz="4" w:space="0" w:color="auto"/>
                </w:tcBorders>
              </w:tcPr>
              <w:p w14:paraId="481050BC" w14:textId="77777777" w:rsidR="00471D53" w:rsidRDefault="00B664AF" w:rsidP="00471D53">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14:paraId="34F614F0" w14:textId="77777777" w:rsidR="00471D53" w:rsidRDefault="00B664AF" w:rsidP="00471D53">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14:paraId="5F8E1074" w14:textId="77777777" w:rsidR="00471D53" w:rsidRDefault="00B664AF" w:rsidP="00471D53">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14:paraId="681A271A" w14:textId="77777777" w:rsidR="00471D53" w:rsidRDefault="00B664AF" w:rsidP="00471D53">
                <w:pPr>
                  <w:jc w:val="right"/>
                  <w:outlineLvl w:val="2"/>
                  <w:rPr>
                    <w:rFonts w:cs="Cambria"/>
                    <w:szCs w:val="21"/>
                  </w:rPr>
                </w:pPr>
              </w:p>
            </w:tc>
          </w:tr>
          <w:tr w:rsidR="00471D53" w14:paraId="11CB5A56" w14:textId="77777777" w:rsidTr="00471D53">
            <w:trPr>
              <w:trHeight w:val="296"/>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cs="Cambria"/>
                    <w:szCs w:val="21"/>
                  </w:rPr>
                  <w:tag w:val="_PLD_eb6384ebff854706abc6b9d2b2078934"/>
                  <w:id w:val="-2080971773"/>
                  <w:lock w:val="sdtLocked"/>
                </w:sdtPr>
                <w:sdtEndPr/>
                <w:sdtContent>
                  <w:p w14:paraId="13F7005F" w14:textId="77777777" w:rsidR="00471D53" w:rsidRDefault="004F686E" w:rsidP="00471D53">
                    <w:pPr>
                      <w:outlineLvl w:val="2"/>
                      <w:rPr>
                        <w:rFonts w:cs="Cambria"/>
                        <w:szCs w:val="21"/>
                      </w:rPr>
                    </w:pPr>
                    <w:r>
                      <w:rPr>
                        <w:rFonts w:cs="Cambria"/>
                        <w:szCs w:val="21"/>
                      </w:rPr>
                      <w:t>1.以公允价值计量且变动计入当期损益的金融负债</w:t>
                    </w:r>
                  </w:p>
                </w:sdtContent>
              </w:sdt>
            </w:tc>
            <w:tc>
              <w:tcPr>
                <w:tcW w:w="944" w:type="pct"/>
                <w:tcBorders>
                  <w:top w:val="single" w:sz="4" w:space="0" w:color="auto"/>
                  <w:left w:val="single" w:sz="4" w:space="0" w:color="auto"/>
                  <w:bottom w:val="single" w:sz="4" w:space="0" w:color="auto"/>
                  <w:right w:val="single" w:sz="4" w:space="0" w:color="auto"/>
                </w:tcBorders>
              </w:tcPr>
              <w:p w14:paraId="1E79FC82" w14:textId="77777777" w:rsidR="00471D53" w:rsidRDefault="00B664AF" w:rsidP="00471D53">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14:paraId="48D8DBAC" w14:textId="77777777" w:rsidR="00471D53" w:rsidRDefault="00B664AF" w:rsidP="00471D53">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14:paraId="42702429" w14:textId="77777777" w:rsidR="00471D53" w:rsidRDefault="00B664AF" w:rsidP="00471D53">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14:paraId="63280818" w14:textId="77777777" w:rsidR="00471D53" w:rsidRDefault="00B664AF" w:rsidP="00471D53">
                <w:pPr>
                  <w:jc w:val="right"/>
                  <w:outlineLvl w:val="2"/>
                  <w:rPr>
                    <w:rFonts w:cs="Cambria"/>
                    <w:szCs w:val="21"/>
                  </w:rPr>
                </w:pPr>
              </w:p>
            </w:tc>
          </w:tr>
          <w:tr w:rsidR="00471D53" w14:paraId="2F939DFD" w14:textId="77777777" w:rsidTr="00471D53">
            <w:trPr>
              <w:trHeight w:val="240"/>
            </w:trPr>
            <w:sdt>
              <w:sdtPr>
                <w:tag w:val="_PLD_ab3489e8472645f1a23a90c81a64fec3"/>
                <w:id w:val="-1288583102"/>
                <w:lock w:val="sdtLocked"/>
              </w:sdtPr>
              <w:sdtEnd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41555202" w14:textId="77777777" w:rsidR="00471D53" w:rsidRDefault="004F686E" w:rsidP="00471D53">
                    <w:pPr>
                      <w:outlineLvl w:val="2"/>
                      <w:rPr>
                        <w:rFonts w:cs="Cambria"/>
                        <w:szCs w:val="21"/>
                      </w:rPr>
                    </w:pPr>
                    <w:r>
                      <w:rPr>
                        <w:rFonts w:cs="Cambria" w:hint="eastAsia"/>
                        <w:szCs w:val="21"/>
                      </w:rPr>
                      <w:t>其中：发行的交易性债券</w:t>
                    </w:r>
                  </w:p>
                </w:tc>
              </w:sdtContent>
            </w:sdt>
            <w:tc>
              <w:tcPr>
                <w:tcW w:w="944" w:type="pct"/>
                <w:tcBorders>
                  <w:top w:val="single" w:sz="4" w:space="0" w:color="auto"/>
                  <w:left w:val="single" w:sz="4" w:space="0" w:color="auto"/>
                  <w:bottom w:val="single" w:sz="4" w:space="0" w:color="auto"/>
                  <w:right w:val="single" w:sz="4" w:space="0" w:color="auto"/>
                </w:tcBorders>
              </w:tcPr>
              <w:p w14:paraId="66464056" w14:textId="77777777" w:rsidR="00471D53" w:rsidRDefault="00B664AF" w:rsidP="00471D53">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14:paraId="301F1223" w14:textId="77777777" w:rsidR="00471D53" w:rsidRDefault="00B664AF" w:rsidP="00471D53">
                <w:pPr>
                  <w:jc w:val="right"/>
                </w:pPr>
              </w:p>
            </w:tc>
            <w:tc>
              <w:tcPr>
                <w:tcW w:w="959" w:type="pct"/>
                <w:tcBorders>
                  <w:top w:val="single" w:sz="4" w:space="0" w:color="auto"/>
                  <w:left w:val="single" w:sz="4" w:space="0" w:color="auto"/>
                  <w:bottom w:val="single" w:sz="4" w:space="0" w:color="auto"/>
                  <w:right w:val="single" w:sz="4" w:space="0" w:color="auto"/>
                </w:tcBorders>
              </w:tcPr>
              <w:p w14:paraId="33079BF6" w14:textId="77777777" w:rsidR="00471D53" w:rsidRDefault="00B664AF" w:rsidP="00471D53">
                <w:pPr>
                  <w:jc w:val="right"/>
                </w:pPr>
              </w:p>
            </w:tc>
            <w:tc>
              <w:tcPr>
                <w:tcW w:w="836" w:type="pct"/>
                <w:tcBorders>
                  <w:top w:val="single" w:sz="4" w:space="0" w:color="auto"/>
                  <w:left w:val="single" w:sz="4" w:space="0" w:color="auto"/>
                  <w:bottom w:val="single" w:sz="4" w:space="0" w:color="auto"/>
                  <w:right w:val="single" w:sz="4" w:space="0" w:color="auto"/>
                </w:tcBorders>
              </w:tcPr>
              <w:p w14:paraId="45F6FEA3" w14:textId="77777777" w:rsidR="00471D53" w:rsidRDefault="00B664AF" w:rsidP="00471D53">
                <w:pPr>
                  <w:jc w:val="right"/>
                </w:pPr>
              </w:p>
            </w:tc>
          </w:tr>
          <w:tr w:rsidR="00471D53" w14:paraId="23FCD747" w14:textId="77777777" w:rsidTr="00471D53">
            <w:trPr>
              <w:trHeight w:val="286"/>
            </w:trPr>
            <w:sdt>
              <w:sdtPr>
                <w:tag w:val="_PLD_78b2b3a16d0b40e8b29ab580ecc53877"/>
                <w:id w:val="-230309905"/>
                <w:lock w:val="sdtLocked"/>
              </w:sdtPr>
              <w:sdtEnd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4D20C688" w14:textId="77777777" w:rsidR="00471D53" w:rsidRDefault="004F686E" w:rsidP="00471D53">
                    <w:pPr>
                      <w:tabs>
                        <w:tab w:val="left" w:pos="432"/>
                        <w:tab w:val="center" w:pos="5630"/>
                        <w:tab w:val="center" w:pos="7430"/>
                      </w:tabs>
                      <w:ind w:firstLineChars="300" w:firstLine="630"/>
                      <w:rPr>
                        <w:rFonts w:cs="Cambria"/>
                        <w:szCs w:val="21"/>
                      </w:rPr>
                    </w:pPr>
                    <w:r>
                      <w:rPr>
                        <w:rFonts w:cs="Cambria" w:hint="eastAsia"/>
                        <w:szCs w:val="21"/>
                      </w:rPr>
                      <w:t>衍生金融负债</w:t>
                    </w:r>
                  </w:p>
                </w:tc>
              </w:sdtContent>
            </w:sdt>
            <w:tc>
              <w:tcPr>
                <w:tcW w:w="944" w:type="pct"/>
                <w:tcBorders>
                  <w:top w:val="single" w:sz="4" w:space="0" w:color="auto"/>
                  <w:left w:val="single" w:sz="4" w:space="0" w:color="auto"/>
                  <w:bottom w:val="single" w:sz="4" w:space="0" w:color="auto"/>
                  <w:right w:val="single" w:sz="4" w:space="0" w:color="auto"/>
                </w:tcBorders>
              </w:tcPr>
              <w:p w14:paraId="28493AAC" w14:textId="77777777" w:rsidR="00471D53" w:rsidRDefault="00B664AF" w:rsidP="00471D53">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14:paraId="1C5CA391" w14:textId="77777777" w:rsidR="00471D53" w:rsidRDefault="00B664AF" w:rsidP="00471D53">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14:paraId="28FBA54E" w14:textId="77777777" w:rsidR="00471D53" w:rsidRDefault="00B664AF" w:rsidP="00471D53">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14:paraId="59015A94" w14:textId="77777777" w:rsidR="00471D53" w:rsidRDefault="00B664AF" w:rsidP="00471D53">
                <w:pPr>
                  <w:jc w:val="right"/>
                  <w:outlineLvl w:val="2"/>
                  <w:rPr>
                    <w:rFonts w:cs="Cambria"/>
                    <w:szCs w:val="21"/>
                  </w:rPr>
                </w:pPr>
              </w:p>
            </w:tc>
          </w:tr>
          <w:tr w:rsidR="00471D53" w14:paraId="24B992A1" w14:textId="77777777" w:rsidTr="00471D53">
            <w:trPr>
              <w:trHeight w:val="284"/>
            </w:trPr>
            <w:sdt>
              <w:sdtPr>
                <w:tag w:val="_PLD_6e5dd1c748b04c09b7a17c31799de512"/>
                <w:id w:val="-1811464231"/>
                <w:lock w:val="sdtLocked"/>
              </w:sdtPr>
              <w:sdtEnd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35DB8DC5" w14:textId="77777777" w:rsidR="00471D53" w:rsidRDefault="004F686E" w:rsidP="00471D53">
                    <w:pPr>
                      <w:tabs>
                        <w:tab w:val="left" w:pos="432"/>
                        <w:tab w:val="center" w:pos="5630"/>
                        <w:tab w:val="center" w:pos="7430"/>
                      </w:tabs>
                      <w:ind w:firstLineChars="300" w:firstLine="630"/>
                      <w:rPr>
                        <w:rFonts w:cs="Cambria"/>
                        <w:szCs w:val="21"/>
                      </w:rPr>
                    </w:pPr>
                    <w:r>
                      <w:rPr>
                        <w:rFonts w:cs="Cambria" w:hint="eastAsia"/>
                        <w:szCs w:val="21"/>
                      </w:rPr>
                      <w:t>其他</w:t>
                    </w:r>
                  </w:p>
                </w:tc>
              </w:sdtContent>
            </w:sdt>
            <w:tc>
              <w:tcPr>
                <w:tcW w:w="944" w:type="pct"/>
                <w:tcBorders>
                  <w:top w:val="single" w:sz="4" w:space="0" w:color="auto"/>
                  <w:left w:val="single" w:sz="4" w:space="0" w:color="auto"/>
                  <w:bottom w:val="single" w:sz="4" w:space="0" w:color="auto"/>
                  <w:right w:val="single" w:sz="4" w:space="0" w:color="auto"/>
                </w:tcBorders>
              </w:tcPr>
              <w:p w14:paraId="7A02595C" w14:textId="77777777" w:rsidR="00471D53" w:rsidRDefault="00B664AF" w:rsidP="00471D53">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14:paraId="472B1C73" w14:textId="77777777" w:rsidR="00471D53" w:rsidRDefault="00B664AF" w:rsidP="00471D53">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14:paraId="5BEF55B2" w14:textId="77777777" w:rsidR="00471D53" w:rsidRDefault="00B664AF" w:rsidP="00471D53">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14:paraId="07B7796A" w14:textId="77777777" w:rsidR="00471D53" w:rsidRDefault="00B664AF" w:rsidP="00471D53">
                <w:pPr>
                  <w:jc w:val="right"/>
                  <w:outlineLvl w:val="2"/>
                  <w:rPr>
                    <w:rFonts w:cs="Cambria"/>
                    <w:szCs w:val="21"/>
                  </w:rPr>
                </w:pPr>
              </w:p>
            </w:tc>
          </w:tr>
          <w:tr w:rsidR="00471D53" w14:paraId="67059F31" w14:textId="77777777" w:rsidTr="00471D53">
            <w:trPr>
              <w:trHeight w:val="468"/>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7E3AEA06" w14:textId="77777777" w:rsidR="00471D53" w:rsidRDefault="00B664AF" w:rsidP="00471D53">
                <w:pPr>
                  <w:outlineLvl w:val="2"/>
                  <w:rPr>
                    <w:rFonts w:cs="Cambria"/>
                    <w:szCs w:val="21"/>
                  </w:rPr>
                </w:pPr>
                <w:sdt>
                  <w:sdtPr>
                    <w:rPr>
                      <w:rFonts w:cs="Cambria" w:hint="eastAsia"/>
                      <w:szCs w:val="21"/>
                    </w:rPr>
                    <w:tag w:val="_PLD_0b3835804c874ab6ada0c339f3ba564e"/>
                    <w:id w:val="-1082516834"/>
                    <w:lock w:val="sdtLocked"/>
                  </w:sdtPr>
                  <w:sdtEndPr/>
                  <w:sdtContent>
                    <w:r w:rsidR="004F686E">
                      <w:rPr>
                        <w:rFonts w:cs="Cambria" w:hint="eastAsia"/>
                        <w:szCs w:val="21"/>
                      </w:rPr>
                      <w:t>2.指定为以公允价值计量且变动计入当期损益的金融负债</w:t>
                    </w:r>
                  </w:sdtContent>
                </w:sdt>
              </w:p>
            </w:tc>
            <w:tc>
              <w:tcPr>
                <w:tcW w:w="944" w:type="pct"/>
                <w:tcBorders>
                  <w:top w:val="single" w:sz="4" w:space="0" w:color="auto"/>
                  <w:left w:val="single" w:sz="4" w:space="0" w:color="auto"/>
                  <w:bottom w:val="single" w:sz="4" w:space="0" w:color="auto"/>
                  <w:right w:val="single" w:sz="4" w:space="0" w:color="auto"/>
                </w:tcBorders>
              </w:tcPr>
              <w:p w14:paraId="6452D9F0" w14:textId="77777777" w:rsidR="00471D53" w:rsidRDefault="00B664AF" w:rsidP="00471D53">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14:paraId="597FC2A6" w14:textId="77777777" w:rsidR="00471D53" w:rsidRDefault="00B664AF" w:rsidP="00471D53">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14:paraId="155B3AD1" w14:textId="77777777" w:rsidR="00471D53" w:rsidRDefault="00B664AF" w:rsidP="00471D53">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14:paraId="67EC159A" w14:textId="77777777" w:rsidR="00471D53" w:rsidRDefault="00B664AF" w:rsidP="00471D53">
                <w:pPr>
                  <w:jc w:val="right"/>
                  <w:outlineLvl w:val="2"/>
                  <w:rPr>
                    <w:rFonts w:cs="Cambria"/>
                    <w:szCs w:val="21"/>
                  </w:rPr>
                </w:pPr>
              </w:p>
            </w:tc>
          </w:tr>
          <w:sdt>
            <w:sdtPr>
              <w:rPr>
                <w:rFonts w:cs="Cambria"/>
                <w:szCs w:val="21"/>
              </w:rPr>
              <w:alias w:val="持续以公允价值计量的负债总额明细"/>
              <w:tag w:val="_TUP_172ed93d1efa4937b93762fbf0b55638"/>
              <w:id w:val="2097741575"/>
              <w:lock w:val="sdtLocked"/>
            </w:sdtPr>
            <w:sdtEndPr/>
            <w:sdtContent>
              <w:tr w:rsidR="00471D53" w14:paraId="648EABB3" w14:textId="77777777" w:rsidTr="00471D53">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5DB90A5E" w14:textId="77777777" w:rsidR="00471D53" w:rsidRDefault="00B664AF" w:rsidP="00471D53">
                    <w:pPr>
                      <w:outlineLvl w:val="2"/>
                      <w:rPr>
                        <w:rFonts w:cs="Cambria"/>
                        <w:szCs w:val="21"/>
                      </w:rPr>
                    </w:pPr>
                  </w:p>
                </w:tc>
                <w:tc>
                  <w:tcPr>
                    <w:tcW w:w="944" w:type="pct"/>
                    <w:tcBorders>
                      <w:top w:val="single" w:sz="4" w:space="0" w:color="auto"/>
                      <w:left w:val="single" w:sz="4" w:space="0" w:color="auto"/>
                      <w:bottom w:val="single" w:sz="4" w:space="0" w:color="auto"/>
                      <w:right w:val="single" w:sz="4" w:space="0" w:color="auto"/>
                    </w:tcBorders>
                  </w:tcPr>
                  <w:p w14:paraId="1ECFA3BF" w14:textId="77777777" w:rsidR="00471D53" w:rsidRDefault="00B664AF" w:rsidP="00471D53">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14:paraId="1EC9A9EF" w14:textId="77777777" w:rsidR="00471D53" w:rsidRDefault="00B664AF" w:rsidP="00471D53">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14:paraId="3988FD9B" w14:textId="77777777" w:rsidR="00471D53" w:rsidRDefault="00B664AF" w:rsidP="00471D53">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14:paraId="5775FD99" w14:textId="77777777" w:rsidR="00471D53" w:rsidRDefault="00B664AF" w:rsidP="00471D53">
                    <w:pPr>
                      <w:jc w:val="right"/>
                      <w:outlineLvl w:val="2"/>
                      <w:rPr>
                        <w:rFonts w:cs="Cambria"/>
                        <w:szCs w:val="21"/>
                      </w:rPr>
                    </w:pPr>
                  </w:p>
                </w:tc>
              </w:tr>
            </w:sdtContent>
          </w:sdt>
          <w:sdt>
            <w:sdtPr>
              <w:rPr>
                <w:rFonts w:cs="Cambria"/>
                <w:szCs w:val="21"/>
              </w:rPr>
              <w:alias w:val="持续以公允价值计量的负债总额明细"/>
              <w:tag w:val="_TUP_172ed93d1efa4937b93762fbf0b55638"/>
              <w:id w:val="283545162"/>
              <w:lock w:val="sdtLocked"/>
            </w:sdtPr>
            <w:sdtEndPr/>
            <w:sdtContent>
              <w:tr w:rsidR="00471D53" w14:paraId="7B524B14" w14:textId="77777777" w:rsidTr="00471D53">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700750EF" w14:textId="77777777" w:rsidR="00471D53" w:rsidRDefault="00B664AF" w:rsidP="00471D53">
                    <w:pPr>
                      <w:outlineLvl w:val="2"/>
                      <w:rPr>
                        <w:rFonts w:cs="Cambria"/>
                        <w:szCs w:val="21"/>
                      </w:rPr>
                    </w:pPr>
                  </w:p>
                </w:tc>
                <w:tc>
                  <w:tcPr>
                    <w:tcW w:w="944" w:type="pct"/>
                    <w:tcBorders>
                      <w:top w:val="single" w:sz="4" w:space="0" w:color="auto"/>
                      <w:left w:val="single" w:sz="4" w:space="0" w:color="auto"/>
                      <w:bottom w:val="single" w:sz="4" w:space="0" w:color="auto"/>
                      <w:right w:val="single" w:sz="4" w:space="0" w:color="auto"/>
                    </w:tcBorders>
                  </w:tcPr>
                  <w:p w14:paraId="63B8CA9F" w14:textId="77777777" w:rsidR="00471D53" w:rsidRDefault="00B664AF" w:rsidP="00471D53">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14:paraId="434221E2" w14:textId="77777777" w:rsidR="00471D53" w:rsidRDefault="00B664AF" w:rsidP="00471D53">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14:paraId="5B1AB90F" w14:textId="77777777" w:rsidR="00471D53" w:rsidRDefault="00B664AF" w:rsidP="00471D53">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14:paraId="2B3A6C1C" w14:textId="77777777" w:rsidR="00471D53" w:rsidRDefault="00B664AF" w:rsidP="00471D53">
                    <w:pPr>
                      <w:jc w:val="right"/>
                      <w:outlineLvl w:val="2"/>
                      <w:rPr>
                        <w:rFonts w:cs="Cambria"/>
                        <w:szCs w:val="21"/>
                      </w:rPr>
                    </w:pPr>
                  </w:p>
                </w:tc>
              </w:tr>
            </w:sdtContent>
          </w:sdt>
          <w:tr w:rsidR="00471D53" w14:paraId="521BD41E" w14:textId="77777777" w:rsidTr="00471D53">
            <w:trPr>
              <w:trHeight w:val="468"/>
            </w:trPr>
            <w:sdt>
              <w:sdtPr>
                <w:tag w:val="_PLD_55f0f867d07f4493bbf5709a51eefe65"/>
                <w:id w:val="177243549"/>
                <w:lock w:val="sdtLocked"/>
              </w:sdtPr>
              <w:sdtEnd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0CBFB3D9" w14:textId="77777777" w:rsidR="00471D53" w:rsidRDefault="004F686E" w:rsidP="00471D53">
                    <w:pPr>
                      <w:outlineLvl w:val="2"/>
                      <w:rPr>
                        <w:rFonts w:cs="Cambria"/>
                        <w:b/>
                        <w:szCs w:val="21"/>
                      </w:rPr>
                    </w:pPr>
                    <w:r>
                      <w:rPr>
                        <w:rFonts w:cs="Cambria" w:hint="eastAsia"/>
                        <w:b/>
                        <w:szCs w:val="21"/>
                      </w:rPr>
                      <w:t>持续以公允价值计量的负债总额</w:t>
                    </w:r>
                  </w:p>
                </w:tc>
              </w:sdtContent>
            </w:sdt>
            <w:tc>
              <w:tcPr>
                <w:tcW w:w="944" w:type="pct"/>
                <w:tcBorders>
                  <w:top w:val="single" w:sz="4" w:space="0" w:color="auto"/>
                  <w:left w:val="single" w:sz="4" w:space="0" w:color="auto"/>
                  <w:bottom w:val="single" w:sz="4" w:space="0" w:color="auto"/>
                  <w:right w:val="single" w:sz="4" w:space="0" w:color="auto"/>
                </w:tcBorders>
              </w:tcPr>
              <w:p w14:paraId="1BE11E3E" w14:textId="77777777" w:rsidR="00471D53" w:rsidRDefault="00B664AF" w:rsidP="00471D53">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14:paraId="2651F768" w14:textId="77777777" w:rsidR="00471D53" w:rsidRDefault="00B664AF" w:rsidP="00471D53">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14:paraId="318D242D" w14:textId="77777777" w:rsidR="00471D53" w:rsidRDefault="00B664AF" w:rsidP="00471D53">
                <w:pPr>
                  <w:tabs>
                    <w:tab w:val="center" w:pos="824"/>
                    <w:tab w:val="right" w:pos="1649"/>
                  </w:tabs>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14:paraId="0EB1B28F" w14:textId="77777777" w:rsidR="00471D53" w:rsidRDefault="00B664AF" w:rsidP="00471D53">
                <w:pPr>
                  <w:jc w:val="right"/>
                  <w:outlineLvl w:val="2"/>
                  <w:rPr>
                    <w:rFonts w:cs="Cambria"/>
                    <w:szCs w:val="21"/>
                  </w:rPr>
                </w:pPr>
              </w:p>
            </w:tc>
          </w:tr>
          <w:tr w:rsidR="00471D53" w14:paraId="7E731CB9" w14:textId="77777777" w:rsidTr="00471D53">
            <w:trPr>
              <w:trHeight w:val="240"/>
            </w:trPr>
            <w:sdt>
              <w:sdtPr>
                <w:tag w:val="_PLD_4459ed4c85024af2b9f72ebfc4538cf7"/>
                <w:id w:val="917677906"/>
                <w:lock w:val="sdtLocked"/>
              </w:sdtPr>
              <w:sdtEnd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10A55745" w14:textId="77777777" w:rsidR="00471D53" w:rsidRDefault="004F686E" w:rsidP="00471D53">
                    <w:pPr>
                      <w:outlineLvl w:val="2"/>
                      <w:rPr>
                        <w:rFonts w:cs="Cambria"/>
                        <w:b/>
                        <w:szCs w:val="21"/>
                      </w:rPr>
                    </w:pPr>
                    <w:r>
                      <w:rPr>
                        <w:rFonts w:cs="Cambria" w:hint="eastAsia"/>
                        <w:b/>
                        <w:szCs w:val="21"/>
                      </w:rPr>
                      <w:t>二、非持续的公允价值计量</w:t>
                    </w:r>
                  </w:p>
                </w:tc>
              </w:sdtContent>
            </w:sdt>
            <w:tc>
              <w:tcPr>
                <w:tcW w:w="944" w:type="pct"/>
                <w:tcBorders>
                  <w:top w:val="single" w:sz="4" w:space="0" w:color="auto"/>
                  <w:left w:val="single" w:sz="4" w:space="0" w:color="auto"/>
                  <w:bottom w:val="single" w:sz="4" w:space="0" w:color="auto"/>
                  <w:right w:val="single" w:sz="4" w:space="0" w:color="auto"/>
                </w:tcBorders>
              </w:tcPr>
              <w:p w14:paraId="34DFD47E" w14:textId="77777777" w:rsidR="00471D53" w:rsidRDefault="00B664AF" w:rsidP="00471D53">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14:paraId="09E7A624" w14:textId="77777777" w:rsidR="00471D53" w:rsidRDefault="00B664AF" w:rsidP="00471D53">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14:paraId="16DD67AE" w14:textId="77777777" w:rsidR="00471D53" w:rsidRDefault="00B664AF" w:rsidP="00471D53">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14:paraId="46DF4551" w14:textId="77777777" w:rsidR="00471D53" w:rsidRDefault="00B664AF" w:rsidP="00471D53">
                <w:pPr>
                  <w:jc w:val="right"/>
                  <w:outlineLvl w:val="2"/>
                  <w:rPr>
                    <w:rFonts w:cs="Cambria"/>
                    <w:szCs w:val="21"/>
                  </w:rPr>
                </w:pPr>
              </w:p>
            </w:tc>
          </w:tr>
          <w:tr w:rsidR="00471D53" w14:paraId="1334FC46" w14:textId="77777777" w:rsidTr="00471D53">
            <w:trPr>
              <w:trHeight w:val="240"/>
            </w:trPr>
            <w:sdt>
              <w:sdtPr>
                <w:tag w:val="_PLD_17836ddde96f42d9960d4a0147639c54"/>
                <w:id w:val="1190493494"/>
                <w:lock w:val="sdtLocked"/>
              </w:sdtPr>
              <w:sdtEnd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2121DF6B" w14:textId="77777777" w:rsidR="00471D53" w:rsidRDefault="004F686E" w:rsidP="00471D53">
                    <w:pPr>
                      <w:outlineLvl w:val="2"/>
                      <w:rPr>
                        <w:rFonts w:cs="Cambria"/>
                        <w:szCs w:val="21"/>
                      </w:rPr>
                    </w:pPr>
                    <w:r>
                      <w:rPr>
                        <w:rFonts w:cs="Cambria" w:hint="eastAsia"/>
                        <w:szCs w:val="21"/>
                      </w:rPr>
                      <w:t>（一）持有待售资产</w:t>
                    </w:r>
                  </w:p>
                </w:tc>
              </w:sdtContent>
            </w:sdt>
            <w:tc>
              <w:tcPr>
                <w:tcW w:w="944" w:type="pct"/>
                <w:tcBorders>
                  <w:top w:val="single" w:sz="4" w:space="0" w:color="auto"/>
                  <w:left w:val="single" w:sz="4" w:space="0" w:color="auto"/>
                  <w:bottom w:val="single" w:sz="4" w:space="0" w:color="auto"/>
                  <w:right w:val="single" w:sz="4" w:space="0" w:color="auto"/>
                </w:tcBorders>
              </w:tcPr>
              <w:p w14:paraId="5F091852" w14:textId="77777777" w:rsidR="00471D53" w:rsidRDefault="00B664AF" w:rsidP="00471D53">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14:paraId="7AF6DB1A" w14:textId="77777777" w:rsidR="00471D53" w:rsidRDefault="00B664AF" w:rsidP="00471D53">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14:paraId="6B406210" w14:textId="77777777" w:rsidR="00471D53" w:rsidRDefault="00B664AF" w:rsidP="00471D53">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14:paraId="1FFEF620" w14:textId="77777777" w:rsidR="00471D53" w:rsidRDefault="00B664AF" w:rsidP="00471D53">
                <w:pPr>
                  <w:jc w:val="right"/>
                  <w:outlineLvl w:val="2"/>
                  <w:rPr>
                    <w:rFonts w:cs="Cambria"/>
                    <w:szCs w:val="21"/>
                  </w:rPr>
                </w:pPr>
              </w:p>
            </w:tc>
          </w:tr>
          <w:sdt>
            <w:sdtPr>
              <w:rPr>
                <w:rFonts w:cs="Cambria"/>
                <w:szCs w:val="21"/>
              </w:rPr>
              <w:alias w:val="非持续以公允价值计量的资产总额明细"/>
              <w:tag w:val="_TUP_03808ad2d95243fa986b48559b276876"/>
              <w:id w:val="-479841888"/>
              <w:lock w:val="sdtLocked"/>
            </w:sdtPr>
            <w:sdtEndPr/>
            <w:sdtContent>
              <w:tr w:rsidR="00471D53" w14:paraId="1B285052" w14:textId="77777777" w:rsidTr="00471D53">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72BECA51" w14:textId="77777777" w:rsidR="00471D53" w:rsidRDefault="00B664AF" w:rsidP="00471D53">
                    <w:pPr>
                      <w:outlineLvl w:val="2"/>
                      <w:rPr>
                        <w:rFonts w:cs="Cambria"/>
                        <w:szCs w:val="21"/>
                      </w:rPr>
                    </w:pPr>
                  </w:p>
                </w:tc>
                <w:tc>
                  <w:tcPr>
                    <w:tcW w:w="944" w:type="pct"/>
                    <w:tcBorders>
                      <w:top w:val="single" w:sz="4" w:space="0" w:color="auto"/>
                      <w:left w:val="single" w:sz="4" w:space="0" w:color="auto"/>
                      <w:bottom w:val="single" w:sz="4" w:space="0" w:color="auto"/>
                      <w:right w:val="single" w:sz="4" w:space="0" w:color="auto"/>
                    </w:tcBorders>
                  </w:tcPr>
                  <w:p w14:paraId="1C646ACE" w14:textId="77777777" w:rsidR="00471D53" w:rsidRDefault="00B664AF" w:rsidP="00471D53">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14:paraId="53623188" w14:textId="77777777" w:rsidR="00471D53" w:rsidRDefault="00B664AF" w:rsidP="00471D53">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14:paraId="7913204B" w14:textId="77777777" w:rsidR="00471D53" w:rsidRDefault="00B664AF" w:rsidP="00471D53">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14:paraId="6DCAE10B" w14:textId="77777777" w:rsidR="00471D53" w:rsidRDefault="00B664AF" w:rsidP="00471D53">
                    <w:pPr>
                      <w:jc w:val="right"/>
                      <w:outlineLvl w:val="2"/>
                      <w:rPr>
                        <w:rFonts w:cs="Cambria"/>
                        <w:szCs w:val="21"/>
                      </w:rPr>
                    </w:pPr>
                  </w:p>
                </w:tc>
              </w:tr>
            </w:sdtContent>
          </w:sdt>
          <w:sdt>
            <w:sdtPr>
              <w:rPr>
                <w:rFonts w:cs="Cambria"/>
                <w:szCs w:val="21"/>
              </w:rPr>
              <w:alias w:val="非持续以公允价值计量的资产总额明细"/>
              <w:tag w:val="_TUP_03808ad2d95243fa986b48559b276876"/>
              <w:id w:val="510646398"/>
              <w:lock w:val="sdtLocked"/>
            </w:sdtPr>
            <w:sdtEndPr/>
            <w:sdtContent>
              <w:tr w:rsidR="00471D53" w14:paraId="26EA048D" w14:textId="77777777" w:rsidTr="00471D53">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41A77A8A" w14:textId="77777777" w:rsidR="00471D53" w:rsidRDefault="00B664AF" w:rsidP="00471D53">
                    <w:pPr>
                      <w:outlineLvl w:val="2"/>
                      <w:rPr>
                        <w:rFonts w:cs="Cambria"/>
                        <w:szCs w:val="21"/>
                      </w:rPr>
                    </w:pPr>
                  </w:p>
                </w:tc>
                <w:tc>
                  <w:tcPr>
                    <w:tcW w:w="944" w:type="pct"/>
                    <w:tcBorders>
                      <w:top w:val="single" w:sz="4" w:space="0" w:color="auto"/>
                      <w:left w:val="single" w:sz="4" w:space="0" w:color="auto"/>
                      <w:bottom w:val="single" w:sz="4" w:space="0" w:color="auto"/>
                      <w:right w:val="single" w:sz="4" w:space="0" w:color="auto"/>
                    </w:tcBorders>
                  </w:tcPr>
                  <w:p w14:paraId="5114DF5E" w14:textId="77777777" w:rsidR="00471D53" w:rsidRDefault="00B664AF" w:rsidP="00471D53">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14:paraId="28C9EDD2" w14:textId="77777777" w:rsidR="00471D53" w:rsidRDefault="00B664AF" w:rsidP="00471D53">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14:paraId="65B54E81" w14:textId="77777777" w:rsidR="00471D53" w:rsidRDefault="00B664AF" w:rsidP="00471D53">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14:paraId="7791940F" w14:textId="77777777" w:rsidR="00471D53" w:rsidRDefault="00B664AF" w:rsidP="00471D53">
                    <w:pPr>
                      <w:jc w:val="right"/>
                      <w:outlineLvl w:val="2"/>
                      <w:rPr>
                        <w:rFonts w:cs="Cambria"/>
                        <w:szCs w:val="21"/>
                      </w:rPr>
                    </w:pPr>
                  </w:p>
                </w:tc>
              </w:tr>
            </w:sdtContent>
          </w:sdt>
          <w:tr w:rsidR="00471D53" w14:paraId="23C643E6" w14:textId="77777777" w:rsidTr="00471D53">
            <w:trPr>
              <w:trHeight w:val="468"/>
            </w:trPr>
            <w:sdt>
              <w:sdtPr>
                <w:tag w:val="_PLD_5606f89679c6406591acd746a38b1e22"/>
                <w:id w:val="-1323349148"/>
                <w:lock w:val="sdtLocked"/>
              </w:sdtPr>
              <w:sdtEnd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5818F256" w14:textId="77777777" w:rsidR="00471D53" w:rsidRDefault="004F686E" w:rsidP="00471D53">
                    <w:pPr>
                      <w:outlineLvl w:val="2"/>
                      <w:rPr>
                        <w:rFonts w:cs="Cambria"/>
                        <w:b/>
                        <w:szCs w:val="21"/>
                      </w:rPr>
                    </w:pPr>
                    <w:r>
                      <w:rPr>
                        <w:rFonts w:cs="Cambria" w:hint="eastAsia"/>
                        <w:b/>
                        <w:szCs w:val="21"/>
                      </w:rPr>
                      <w:t>非持续以公允价值计量的资产总额</w:t>
                    </w:r>
                  </w:p>
                </w:tc>
              </w:sdtContent>
            </w:sdt>
            <w:tc>
              <w:tcPr>
                <w:tcW w:w="944" w:type="pct"/>
                <w:tcBorders>
                  <w:top w:val="single" w:sz="4" w:space="0" w:color="auto"/>
                  <w:left w:val="single" w:sz="4" w:space="0" w:color="auto"/>
                  <w:bottom w:val="single" w:sz="4" w:space="0" w:color="auto"/>
                  <w:right w:val="single" w:sz="4" w:space="0" w:color="auto"/>
                </w:tcBorders>
              </w:tcPr>
              <w:p w14:paraId="295FF8B9" w14:textId="77777777" w:rsidR="00471D53" w:rsidRDefault="00B664AF" w:rsidP="00471D53">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14:paraId="61D58D13" w14:textId="77777777" w:rsidR="00471D53" w:rsidRDefault="00B664AF" w:rsidP="00471D53">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14:paraId="5891F0C3" w14:textId="77777777" w:rsidR="00471D53" w:rsidRDefault="00B664AF" w:rsidP="00471D53">
                <w:pPr>
                  <w:jc w:val="right"/>
                  <w:outlineLvl w:val="2"/>
                  <w:rPr>
                    <w:rFonts w:cs="Cambria"/>
                    <w:szCs w:val="21"/>
                  </w:rPr>
                </w:pPr>
              </w:p>
              <w:p w14:paraId="71CE4107" w14:textId="77777777" w:rsidR="00471D53" w:rsidRDefault="00B664AF" w:rsidP="00471D53">
                <w:pPr>
                  <w:jc w:val="center"/>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14:paraId="10A1A1BB" w14:textId="77777777" w:rsidR="00471D53" w:rsidRDefault="00B664AF" w:rsidP="00471D53">
                <w:pPr>
                  <w:jc w:val="right"/>
                  <w:outlineLvl w:val="2"/>
                  <w:rPr>
                    <w:rFonts w:cs="Cambria"/>
                    <w:szCs w:val="21"/>
                  </w:rPr>
                </w:pPr>
              </w:p>
            </w:tc>
          </w:tr>
          <w:sdt>
            <w:sdtPr>
              <w:rPr>
                <w:rFonts w:cs="Cambria"/>
                <w:szCs w:val="21"/>
              </w:rPr>
              <w:alias w:val="非持续以公允价值计量的负债总额明细"/>
              <w:tag w:val="_TUP_4425d7aee7f44bc08cf8906bad5b10f3"/>
              <w:id w:val="-1938741271"/>
              <w:lock w:val="sdtLocked"/>
            </w:sdtPr>
            <w:sdtEndPr/>
            <w:sdtContent>
              <w:tr w:rsidR="00471D53" w14:paraId="318AA42C" w14:textId="77777777" w:rsidTr="00471D53">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0827948B" w14:textId="77777777" w:rsidR="00471D53" w:rsidRDefault="00B664AF" w:rsidP="00471D53">
                    <w:pPr>
                      <w:outlineLvl w:val="2"/>
                      <w:rPr>
                        <w:rFonts w:cs="Cambria"/>
                        <w:szCs w:val="21"/>
                      </w:rPr>
                    </w:pPr>
                  </w:p>
                </w:tc>
                <w:tc>
                  <w:tcPr>
                    <w:tcW w:w="944" w:type="pct"/>
                    <w:tcBorders>
                      <w:top w:val="single" w:sz="4" w:space="0" w:color="auto"/>
                      <w:left w:val="single" w:sz="4" w:space="0" w:color="auto"/>
                      <w:bottom w:val="single" w:sz="4" w:space="0" w:color="auto"/>
                      <w:right w:val="single" w:sz="4" w:space="0" w:color="auto"/>
                    </w:tcBorders>
                  </w:tcPr>
                  <w:p w14:paraId="717A3EA2" w14:textId="77777777" w:rsidR="00471D53" w:rsidRDefault="00B664AF" w:rsidP="00471D53">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14:paraId="79C1B825" w14:textId="77777777" w:rsidR="00471D53" w:rsidRDefault="00B664AF" w:rsidP="00471D53">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14:paraId="17C267D8" w14:textId="77777777" w:rsidR="00471D53" w:rsidRDefault="00B664AF" w:rsidP="00471D53">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14:paraId="18167B73" w14:textId="77777777" w:rsidR="00471D53" w:rsidRDefault="00B664AF" w:rsidP="00471D53">
                    <w:pPr>
                      <w:jc w:val="right"/>
                      <w:outlineLvl w:val="2"/>
                      <w:rPr>
                        <w:rFonts w:cs="Cambria"/>
                        <w:szCs w:val="21"/>
                      </w:rPr>
                    </w:pPr>
                  </w:p>
                </w:tc>
              </w:tr>
            </w:sdtContent>
          </w:sdt>
          <w:sdt>
            <w:sdtPr>
              <w:rPr>
                <w:rFonts w:cs="Cambria"/>
                <w:szCs w:val="21"/>
              </w:rPr>
              <w:alias w:val="非持续以公允价值计量的负债总额明细"/>
              <w:tag w:val="_TUP_4425d7aee7f44bc08cf8906bad5b10f3"/>
              <w:id w:val="1576088310"/>
              <w:lock w:val="sdtLocked"/>
            </w:sdtPr>
            <w:sdtEndPr/>
            <w:sdtContent>
              <w:tr w:rsidR="00471D53" w14:paraId="7AA6C491" w14:textId="77777777" w:rsidTr="00471D53">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19A4DAE4" w14:textId="77777777" w:rsidR="00471D53" w:rsidRDefault="00B664AF" w:rsidP="00471D53">
                    <w:pPr>
                      <w:outlineLvl w:val="2"/>
                      <w:rPr>
                        <w:rFonts w:cs="Cambria"/>
                        <w:szCs w:val="21"/>
                      </w:rPr>
                    </w:pPr>
                  </w:p>
                </w:tc>
                <w:tc>
                  <w:tcPr>
                    <w:tcW w:w="944" w:type="pct"/>
                    <w:tcBorders>
                      <w:top w:val="single" w:sz="4" w:space="0" w:color="auto"/>
                      <w:left w:val="single" w:sz="4" w:space="0" w:color="auto"/>
                      <w:bottom w:val="single" w:sz="4" w:space="0" w:color="auto"/>
                      <w:right w:val="single" w:sz="4" w:space="0" w:color="auto"/>
                    </w:tcBorders>
                  </w:tcPr>
                  <w:p w14:paraId="646E1EFD" w14:textId="77777777" w:rsidR="00471D53" w:rsidRDefault="00B664AF" w:rsidP="00471D53">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14:paraId="6FA7B8A8" w14:textId="77777777" w:rsidR="00471D53" w:rsidRDefault="00B664AF" w:rsidP="00471D53">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14:paraId="106402B0" w14:textId="77777777" w:rsidR="00471D53" w:rsidRDefault="00B664AF" w:rsidP="00471D53">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14:paraId="67C7E4F0" w14:textId="77777777" w:rsidR="00471D53" w:rsidRDefault="00B664AF" w:rsidP="00471D53">
                    <w:pPr>
                      <w:jc w:val="right"/>
                      <w:outlineLvl w:val="2"/>
                      <w:rPr>
                        <w:rFonts w:cs="Cambria"/>
                        <w:szCs w:val="21"/>
                      </w:rPr>
                    </w:pPr>
                  </w:p>
                </w:tc>
              </w:tr>
            </w:sdtContent>
          </w:sdt>
          <w:tr w:rsidR="00471D53" w14:paraId="38496962" w14:textId="77777777" w:rsidTr="00471D53">
            <w:trPr>
              <w:trHeight w:val="481"/>
            </w:trPr>
            <w:sdt>
              <w:sdtPr>
                <w:tag w:val="_PLD_2ad2f17c0f784900bcd5d8acb5d78381"/>
                <w:id w:val="1215239785"/>
                <w:lock w:val="sdtLocked"/>
              </w:sdtPr>
              <w:sdtEnd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31A3B20C" w14:textId="77777777" w:rsidR="00471D53" w:rsidRDefault="004F686E" w:rsidP="00471D53">
                    <w:pPr>
                      <w:outlineLvl w:val="2"/>
                      <w:rPr>
                        <w:rFonts w:cs="Cambria"/>
                        <w:b/>
                        <w:szCs w:val="21"/>
                      </w:rPr>
                    </w:pPr>
                    <w:r>
                      <w:rPr>
                        <w:rFonts w:cs="Cambria" w:hint="eastAsia"/>
                        <w:b/>
                        <w:szCs w:val="21"/>
                      </w:rPr>
                      <w:t>非持续以公允价值计量的负债总额</w:t>
                    </w:r>
                  </w:p>
                </w:tc>
              </w:sdtContent>
            </w:sdt>
            <w:tc>
              <w:tcPr>
                <w:tcW w:w="944" w:type="pct"/>
                <w:tcBorders>
                  <w:top w:val="single" w:sz="4" w:space="0" w:color="auto"/>
                  <w:left w:val="single" w:sz="4" w:space="0" w:color="auto"/>
                  <w:bottom w:val="single" w:sz="4" w:space="0" w:color="auto"/>
                  <w:right w:val="single" w:sz="4" w:space="0" w:color="auto"/>
                </w:tcBorders>
              </w:tcPr>
              <w:p w14:paraId="4FDEFE9A" w14:textId="77777777" w:rsidR="00471D53" w:rsidRDefault="00B664AF" w:rsidP="00471D53">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14:paraId="38DA3AC1" w14:textId="77777777" w:rsidR="00471D53" w:rsidRDefault="00B664AF" w:rsidP="00471D53">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14:paraId="270CCBAA" w14:textId="77777777" w:rsidR="00471D53" w:rsidRDefault="00B664AF" w:rsidP="00471D53">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14:paraId="30EE1286" w14:textId="77777777" w:rsidR="00471D53" w:rsidRDefault="00B664AF" w:rsidP="00471D53">
                <w:pPr>
                  <w:jc w:val="right"/>
                  <w:outlineLvl w:val="2"/>
                  <w:rPr>
                    <w:rFonts w:cs="Cambria"/>
                    <w:szCs w:val="21"/>
                  </w:rPr>
                </w:pPr>
              </w:p>
            </w:tc>
          </w:tr>
        </w:tbl>
        <w:p w14:paraId="735CB21C" w14:textId="77777777" w:rsidR="00471D53" w:rsidRDefault="00B664AF"/>
        <w:p w14:paraId="4629D063" w14:textId="77777777" w:rsidR="00471D53" w:rsidRDefault="00B664AF">
          <w:pPr>
            <w:tabs>
              <w:tab w:val="left" w:pos="1134"/>
            </w:tabs>
            <w:rPr>
              <w:rFonts w:cs="Cambria"/>
              <w:b/>
              <w:szCs w:val="21"/>
            </w:rPr>
          </w:pPr>
        </w:p>
      </w:sdtContent>
    </w:sdt>
    <w:bookmarkEnd w:id="235" w:displacedByCustomXml="prev"/>
    <w:sdt>
      <w:sdtPr>
        <w:rPr>
          <w:rFonts w:ascii="宋体" w:hAnsi="宋体" w:cs="Arial" w:hint="eastAsia"/>
          <w:b w:val="0"/>
          <w:bCs w:val="0"/>
          <w:kern w:val="0"/>
          <w:szCs w:val="21"/>
        </w:rPr>
        <w:alias w:val="模块:持续和非持续第一层次公允价值计量项目市价的确定依据"/>
        <w:tag w:val="_GBC_9cf59ced96b14247921100dffef5784f"/>
        <w:id w:val="-1873836020"/>
        <w:lock w:val="sdtLocked"/>
        <w:placeholder>
          <w:docPart w:val="GBC22222222222222222222222222222"/>
        </w:placeholder>
      </w:sdtPr>
      <w:sdtEndPr>
        <w:rPr>
          <w:rFonts w:cs="Cambria"/>
          <w:b/>
        </w:rPr>
      </w:sdtEndPr>
      <w:sdtContent>
        <w:p w14:paraId="6ADDD2EC" w14:textId="77777777" w:rsidR="00471D53" w:rsidRDefault="004F686E" w:rsidP="004F686E">
          <w:pPr>
            <w:pStyle w:val="afffff7"/>
            <w:numPr>
              <w:ilvl w:val="0"/>
              <w:numId w:val="99"/>
            </w:numPr>
            <w:rPr>
              <w:rFonts w:ascii="宋体" w:hAnsi="宋体" w:cs="Arial"/>
              <w:szCs w:val="21"/>
            </w:rPr>
          </w:pPr>
          <w:r>
            <w:rPr>
              <w:rFonts w:ascii="宋体" w:hAnsi="宋体" w:cs="Arial" w:hint="eastAsia"/>
              <w:szCs w:val="21"/>
            </w:rPr>
            <w:t>持续和非持续第一层次公允价值计量项目市价的确定依据</w:t>
          </w:r>
        </w:p>
        <w:sdt>
          <w:sdtPr>
            <w:alias w:val="是否适用：持续和非持续第一层次公允价值计量项目市价的确定依据[双击切换]"/>
            <w:tag w:val="_GBC_699178e78c6743f697df07ed34d59216"/>
            <w:id w:val="1654104752"/>
            <w:lock w:val="sdtLocked"/>
            <w:placeholder>
              <w:docPart w:val="GBC22222222222222222222222222222"/>
            </w:placeholder>
          </w:sdtPr>
          <w:sdtEndPr/>
          <w:sdtContent>
            <w:p w14:paraId="5AF18E3C" w14:textId="77777777" w:rsidR="00471D53" w:rsidRDefault="004F686E" w:rsidP="00471D53">
              <w:pPr>
                <w:rPr>
                  <w:rFonts w:cs="Arial"/>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7A98DE4" w14:textId="77777777" w:rsidR="00471D53" w:rsidRDefault="00B664AF">
          <w:pPr>
            <w:tabs>
              <w:tab w:val="left" w:pos="1134"/>
            </w:tabs>
            <w:rPr>
              <w:rFonts w:cs="Cambria"/>
              <w:b/>
              <w:szCs w:val="21"/>
            </w:rPr>
          </w:pPr>
        </w:p>
      </w:sdtContent>
    </w:sdt>
    <w:sdt>
      <w:sdtPr>
        <w:rPr>
          <w:rFonts w:ascii="宋体" w:hAnsi="宋体" w:cs="Arial" w:hint="eastAsia"/>
          <w:b w:val="0"/>
          <w:bCs w:val="0"/>
          <w:kern w:val="0"/>
          <w:szCs w:val="21"/>
        </w:rPr>
        <w:alias w:val="模块:持续和非持续第二层次公允价值计量项目，采用的估值技术和重要参数的定性及定量信息"/>
        <w:tag w:val="_GBC_8e00be36ed6245f895b032b3059a4854"/>
        <w:id w:val="-992867434"/>
        <w:lock w:val="sdtLocked"/>
        <w:placeholder>
          <w:docPart w:val="GBC22222222222222222222222222222"/>
        </w:placeholder>
      </w:sdtPr>
      <w:sdtEndPr>
        <w:rPr>
          <w:rFonts w:cs="Cambria" w:hint="default"/>
        </w:rPr>
      </w:sdtEndPr>
      <w:sdtContent>
        <w:p w14:paraId="035A9A1D" w14:textId="77777777" w:rsidR="00471D53" w:rsidRDefault="004F686E" w:rsidP="004F686E">
          <w:pPr>
            <w:pStyle w:val="afffff7"/>
            <w:numPr>
              <w:ilvl w:val="0"/>
              <w:numId w:val="99"/>
            </w:numPr>
            <w:rPr>
              <w:rFonts w:ascii="宋体" w:hAnsi="宋体"/>
            </w:rPr>
          </w:pPr>
          <w:r>
            <w:rPr>
              <w:rFonts w:ascii="宋体" w:hAnsi="宋体" w:cs="Arial" w:hint="eastAsia"/>
              <w:szCs w:val="21"/>
            </w:rPr>
            <w:t>持续和非持续第二层次公允价值计量项目，采用的估值技术和重要参数的定性及定量信息</w:t>
          </w:r>
        </w:p>
        <w:sdt>
          <w:sdtPr>
            <w:rPr>
              <w:rFonts w:cs="Cambria" w:hint="eastAsia"/>
              <w:szCs w:val="21"/>
            </w:rPr>
            <w:alias w:val="是否适用：持续和非持续第二层次公允价值计量项目，采用的估值技术和重要参数的定性及定量信息[双击切换]"/>
            <w:tag w:val="_GBC_8bee9b1c9bf241d5ae1f2c4578fc3b6c"/>
            <w:id w:val="-1812087988"/>
            <w:lock w:val="sdtLocked"/>
            <w:placeholder>
              <w:docPart w:val="GBC22222222222222222222222222222"/>
            </w:placeholder>
          </w:sdtPr>
          <w:sdtEndPr/>
          <w:sdtContent>
            <w:p w14:paraId="45D70235" w14:textId="77777777" w:rsidR="00471D53" w:rsidRDefault="004F686E" w:rsidP="00471D53">
              <w:pPr>
                <w:tabs>
                  <w:tab w:val="left" w:pos="1134"/>
                </w:tabs>
                <w:rPr>
                  <w:rFonts w:cs="Cambria"/>
                  <w:szCs w:val="21"/>
                </w:rPr>
              </w:pPr>
              <w:r>
                <w:rPr>
                  <w:rFonts w:cs="Cambria"/>
                  <w:szCs w:val="21"/>
                </w:rPr>
                <w:fldChar w:fldCharType="begin"/>
              </w:r>
              <w:r>
                <w:rPr>
                  <w:rFonts w:cs="Cambria"/>
                  <w:szCs w:val="21"/>
                </w:rPr>
                <w:instrText xml:space="preserve"> MACROBUTTON  SnrToggleCheckbox □适用 </w:instrText>
              </w:r>
              <w:r>
                <w:rPr>
                  <w:rFonts w:cs="Cambria"/>
                  <w:szCs w:val="21"/>
                </w:rPr>
                <w:fldChar w:fldCharType="end"/>
              </w:r>
              <w:r>
                <w:rPr>
                  <w:rFonts w:cs="Cambria"/>
                  <w:szCs w:val="21"/>
                </w:rPr>
                <w:fldChar w:fldCharType="begin"/>
              </w:r>
              <w:r>
                <w:rPr>
                  <w:rFonts w:cs="Cambria"/>
                  <w:szCs w:val="21"/>
                </w:rPr>
                <w:instrText xml:space="preserve"> MACROBUTTON  SnrToggleCheckbox √不适用 </w:instrText>
              </w:r>
              <w:r>
                <w:rPr>
                  <w:rFonts w:cs="Cambria"/>
                  <w:szCs w:val="21"/>
                </w:rPr>
                <w:fldChar w:fldCharType="end"/>
              </w:r>
            </w:p>
          </w:sdtContent>
        </w:sdt>
      </w:sdtContent>
    </w:sdt>
    <w:p w14:paraId="2757F48B" w14:textId="77777777" w:rsidR="00471D53" w:rsidRDefault="00B664AF">
      <w:pPr>
        <w:rPr>
          <w:szCs w:val="21"/>
        </w:rPr>
      </w:pPr>
    </w:p>
    <w:sdt>
      <w:sdtPr>
        <w:rPr>
          <w:rFonts w:ascii="宋体" w:hAnsi="宋体" w:cs="Arial" w:hint="eastAsia"/>
          <w:b w:val="0"/>
          <w:bCs w:val="0"/>
          <w:kern w:val="0"/>
          <w:szCs w:val="21"/>
        </w:rPr>
        <w:alias w:val="模块:持续和非持续第三层次公允价值计量项目，采用的估值技术和重要参数的定性及定量信息"/>
        <w:tag w:val="_GBC_5d389bac3ad747a292eb45fd87ce5896"/>
        <w:id w:val="951901914"/>
        <w:lock w:val="sdtLocked"/>
        <w:placeholder>
          <w:docPart w:val="GBC22222222222222222222222222222"/>
        </w:placeholder>
      </w:sdtPr>
      <w:sdtEndPr>
        <w:rPr>
          <w:rFonts w:cs="Cambria"/>
          <w:color w:val="808080"/>
        </w:rPr>
      </w:sdtEndPr>
      <w:sdtContent>
        <w:p w14:paraId="744D4F2F" w14:textId="77777777" w:rsidR="00471D53" w:rsidRDefault="004F686E" w:rsidP="004F686E">
          <w:pPr>
            <w:pStyle w:val="afffff7"/>
            <w:numPr>
              <w:ilvl w:val="0"/>
              <w:numId w:val="99"/>
            </w:numPr>
            <w:rPr>
              <w:rFonts w:ascii="宋体" w:hAnsi="宋体"/>
            </w:rPr>
          </w:pPr>
          <w:r>
            <w:rPr>
              <w:rFonts w:ascii="宋体" w:hAnsi="宋体" w:cs="Arial" w:hint="eastAsia"/>
              <w:szCs w:val="21"/>
            </w:rPr>
            <w:t>持续和非持续第三层次公允价值计量项目，采用的估值技术和重要参数的定性及定量信息</w:t>
          </w:r>
        </w:p>
        <w:sdt>
          <w:sdtPr>
            <w:rPr>
              <w:rFonts w:hint="eastAsia"/>
              <w:szCs w:val="21"/>
            </w:rPr>
            <w:alias w:val="是否适用：持续和非持续第三层次公允价值计量项目，采用的估值技术和重要参数的定性及定量信息[双击切换]"/>
            <w:tag w:val="_GBC_4feedb18bf344f2ebff0035f82f30e3c"/>
            <w:id w:val="-701396248"/>
            <w:lock w:val="sdtLocked"/>
            <w:placeholder>
              <w:docPart w:val="GBC22222222222222222222222222222"/>
            </w:placeholder>
          </w:sdtPr>
          <w:sdtEndPr/>
          <w:sdtContent>
            <w:p w14:paraId="54E3C458" w14:textId="77777777" w:rsidR="00471D53" w:rsidRDefault="004F686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持续和非持续第三层次公允价值计量项目，采用的估值技术和重要参数的定性及定量信息"/>
            <w:tag w:val="_GBC_db2fdcfb26ce4ca9ac1e8da23b16aaaa"/>
            <w:id w:val="850375269"/>
            <w:lock w:val="sdtLocked"/>
            <w:placeholder>
              <w:docPart w:val="GBC22222222222222222222222222222"/>
            </w:placeholder>
          </w:sdtPr>
          <w:sdtEndPr/>
          <w:sdtContent>
            <w:p w14:paraId="1EF1CB6A" w14:textId="77777777" w:rsidR="00471D53" w:rsidRDefault="004F686E" w:rsidP="00471D53">
              <w:pPr>
                <w:widowControl w:val="0"/>
                <w:autoSpaceDE w:val="0"/>
                <w:autoSpaceDN w:val="0"/>
                <w:adjustRightInd w:val="0"/>
                <w:spacing w:beforeLines="50" w:before="120" w:afterLines="50" w:after="120" w:line="360" w:lineRule="exact"/>
                <w:ind w:firstLineChars="200" w:firstLine="420"/>
                <w:rPr>
                  <w:sz w:val="22"/>
                  <w:szCs w:val="22"/>
                </w:rPr>
              </w:pPr>
              <w:r>
                <w:rPr>
                  <w:rFonts w:hint="eastAsia"/>
                  <w:sz w:val="22"/>
                  <w:szCs w:val="22"/>
                </w:rPr>
                <w:t>应收款项融资以贴现率（期限超过一年）或相当于整个存续期内预期信用损失的金额代表该类金融资产公允价值的最佳估计。</w:t>
              </w:r>
            </w:p>
            <w:p w14:paraId="3D155C8D" w14:textId="77777777" w:rsidR="00471D53" w:rsidRDefault="00B664AF">
              <w:pPr>
                <w:rPr>
                  <w:szCs w:val="21"/>
                </w:rPr>
              </w:pPr>
            </w:p>
          </w:sdtContent>
        </w:sdt>
        <w:p w14:paraId="5ACC6926" w14:textId="77777777" w:rsidR="00471D53" w:rsidRDefault="00B664AF">
          <w:pPr>
            <w:tabs>
              <w:tab w:val="left" w:pos="1134"/>
            </w:tabs>
            <w:rPr>
              <w:rFonts w:cs="Cambria"/>
              <w:b/>
              <w:szCs w:val="21"/>
            </w:rPr>
          </w:pPr>
        </w:p>
      </w:sdtContent>
    </w:sdt>
    <w:sdt>
      <w:sdtPr>
        <w:rPr>
          <w:rFonts w:ascii="宋体" w:hAnsi="宋体" w:cs="宋体" w:hint="eastAsia"/>
          <w:b w:val="0"/>
          <w:bCs w:val="0"/>
          <w:kern w:val="0"/>
          <w:szCs w:val="24"/>
        </w:rPr>
        <w:alias w:val="模块:持续的第三层次公允价值计量的项目期初与期末账面价值之间的调节信息及不可观察参数的敏感性分析"/>
        <w:tag w:val="_GBC_353ab3e0cb19455ab2c2c2a397421afe"/>
        <w:id w:val="1298648259"/>
        <w:lock w:val="sdtLocked"/>
        <w:placeholder>
          <w:docPart w:val="GBC22222222222222222222222222222"/>
        </w:placeholder>
      </w:sdtPr>
      <w:sdtEndPr>
        <w:rPr>
          <w:rFonts w:cs="Cambria"/>
          <w:color w:val="808080"/>
          <w:szCs w:val="21"/>
        </w:rPr>
      </w:sdtEndPr>
      <w:sdtContent>
        <w:p w14:paraId="04A984F1" w14:textId="77777777" w:rsidR="00471D53" w:rsidRDefault="004F686E" w:rsidP="004F686E">
          <w:pPr>
            <w:pStyle w:val="afffff7"/>
            <w:numPr>
              <w:ilvl w:val="0"/>
              <w:numId w:val="99"/>
            </w:numPr>
            <w:rPr>
              <w:rFonts w:ascii="宋体" w:hAnsi="宋体"/>
            </w:rPr>
          </w:pPr>
          <w:r>
            <w:rPr>
              <w:rFonts w:ascii="宋体" w:hAnsi="宋体" w:hint="eastAsia"/>
            </w:rPr>
            <w:t>持续的第三层次公允价值计量项目，期初与期末账面价值间的调节信息及不可观察参数敏感性分析</w:t>
          </w:r>
        </w:p>
        <w:sdt>
          <w:sdtPr>
            <w:rPr>
              <w:rFonts w:hint="eastAsia"/>
              <w:szCs w:val="21"/>
            </w:rPr>
            <w:alias w:val="是否适用：持续的第三层次公允价值计量项目，期初与期末账面价值间的调节信息及不可观察参数敏感性分析[双击切换]"/>
            <w:tag w:val="_GBC_fbb80659fa8c4cbba85b32b2b514495c"/>
            <w:id w:val="-856197491"/>
            <w:lock w:val="sdtLocked"/>
            <w:placeholder>
              <w:docPart w:val="GBC22222222222222222222222222222"/>
            </w:placeholder>
          </w:sdtPr>
          <w:sdtEndPr/>
          <w:sdtContent>
            <w:p w14:paraId="765DB1EB" w14:textId="77777777" w:rsidR="00471D53" w:rsidRDefault="004F686E" w:rsidP="00471D5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70D0F946" w14:textId="77777777" w:rsidR="00471D53" w:rsidRDefault="00B664AF">
          <w:pPr>
            <w:tabs>
              <w:tab w:val="left" w:pos="1134"/>
            </w:tabs>
            <w:rPr>
              <w:rFonts w:cs="Cambria"/>
              <w:b/>
              <w:szCs w:val="21"/>
            </w:rPr>
          </w:pPr>
        </w:p>
      </w:sdtContent>
    </w:sdt>
    <w:sdt>
      <w:sdtPr>
        <w:rPr>
          <w:rFonts w:ascii="宋体" w:hAnsi="宋体" w:cs="宋体" w:hint="eastAsia"/>
          <w:b w:val="0"/>
          <w:bCs w:val="0"/>
          <w:kern w:val="0"/>
          <w:szCs w:val="24"/>
        </w:rPr>
        <w:alias w:val="模块:持续的公允价值计量项目，本期内发生各层级之间转换的，转换的原因及确定转换时点的政策"/>
        <w:tag w:val="_GBC_a9200ec73b8d485e80b76f1a9ee34c49"/>
        <w:id w:val="-646747470"/>
        <w:lock w:val="sdtLocked"/>
        <w:placeholder>
          <w:docPart w:val="GBC22222222222222222222222222222"/>
        </w:placeholder>
      </w:sdtPr>
      <w:sdtEndPr>
        <w:rPr>
          <w:rFonts w:cs="Cambria"/>
          <w:szCs w:val="21"/>
        </w:rPr>
      </w:sdtEndPr>
      <w:sdtContent>
        <w:p w14:paraId="015C8B13" w14:textId="77777777" w:rsidR="00471D53" w:rsidRDefault="004F686E" w:rsidP="004F686E">
          <w:pPr>
            <w:pStyle w:val="afffff7"/>
            <w:numPr>
              <w:ilvl w:val="0"/>
              <w:numId w:val="99"/>
            </w:numPr>
            <w:rPr>
              <w:rFonts w:ascii="宋体" w:hAnsi="宋体"/>
            </w:rPr>
          </w:pPr>
          <w:r>
            <w:rPr>
              <w:rFonts w:ascii="宋体" w:hAnsi="宋体" w:hint="eastAsia"/>
            </w:rPr>
            <w:t>持续的公允价值计量项目，本期内发生各层级之间转换的，转换的原因及确定转换时点的政策</w:t>
          </w:r>
        </w:p>
        <w:sdt>
          <w:sdtPr>
            <w:rPr>
              <w:rFonts w:hint="eastAsia"/>
              <w:szCs w:val="21"/>
            </w:rPr>
            <w:alias w:val="是否适用：持续的公允价值计量项目，本期内发生各层级之间转换的，转换的原因及确定转换时点的政策[双击切换]"/>
            <w:tag w:val="_GBC_e3d16a79a58242bc9c7be1f3a6f00898"/>
            <w:id w:val="-1088621723"/>
            <w:lock w:val="sdtLocked"/>
            <w:placeholder>
              <w:docPart w:val="GBC22222222222222222222222222222"/>
            </w:placeholder>
          </w:sdtPr>
          <w:sdtEndPr/>
          <w:sdtContent>
            <w:p w14:paraId="56500CBA" w14:textId="77777777" w:rsidR="00471D53" w:rsidRDefault="004F686E" w:rsidP="00471D5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38A9AC5C" w14:textId="77777777" w:rsidR="00471D53" w:rsidRDefault="00B664AF">
          <w:pPr>
            <w:tabs>
              <w:tab w:val="left" w:pos="1134"/>
            </w:tabs>
            <w:rPr>
              <w:rFonts w:cs="Cambria"/>
              <w:b/>
              <w:szCs w:val="21"/>
            </w:rPr>
          </w:pPr>
        </w:p>
      </w:sdtContent>
    </w:sdt>
    <w:sdt>
      <w:sdtPr>
        <w:rPr>
          <w:rFonts w:ascii="宋体" w:hAnsi="宋体" w:cs="宋体" w:hint="eastAsia"/>
          <w:b w:val="0"/>
          <w:bCs w:val="0"/>
          <w:kern w:val="0"/>
          <w:szCs w:val="24"/>
        </w:rPr>
        <w:alias w:val="模块:本期内发生的估值技术变更及变更原因"/>
        <w:tag w:val="_GBC_8e563310a4b84a5d9dfe74fdbc178926"/>
        <w:id w:val="132456098"/>
        <w:lock w:val="sdtLocked"/>
        <w:placeholder>
          <w:docPart w:val="GBC22222222222222222222222222222"/>
        </w:placeholder>
      </w:sdtPr>
      <w:sdtEndPr>
        <w:rPr>
          <w:rFonts w:cstheme="minorBidi"/>
          <w:szCs w:val="21"/>
        </w:rPr>
      </w:sdtEndPr>
      <w:sdtContent>
        <w:p w14:paraId="75DE2EF4" w14:textId="77777777" w:rsidR="00471D53" w:rsidRDefault="004F686E" w:rsidP="004F686E">
          <w:pPr>
            <w:pStyle w:val="afffff7"/>
            <w:numPr>
              <w:ilvl w:val="0"/>
              <w:numId w:val="99"/>
            </w:numPr>
            <w:rPr>
              <w:rFonts w:ascii="宋体" w:hAnsi="宋体"/>
            </w:rPr>
          </w:pPr>
          <w:r>
            <w:rPr>
              <w:rFonts w:ascii="宋体" w:hAnsi="宋体" w:hint="eastAsia"/>
            </w:rPr>
            <w:t>本期内发生的估值技术变更及变更原因</w:t>
          </w:r>
        </w:p>
        <w:sdt>
          <w:sdtPr>
            <w:alias w:val="是否适用：本期内发生的估值技术变更及变更原因[双击切换]"/>
            <w:tag w:val="_GBC_b070160060a9485c87417fe5a8b5e02f"/>
            <w:id w:val="-1848545173"/>
            <w:lock w:val="sdtLocked"/>
            <w:placeholder>
              <w:docPart w:val="GBC22222222222222222222222222222"/>
            </w:placeholder>
          </w:sdtPr>
          <w:sdtEndPr/>
          <w:sdtContent>
            <w:p w14:paraId="67BC30A9" w14:textId="77777777" w:rsidR="00471D53" w:rsidRDefault="004F686E" w:rsidP="00471D53">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6450BB2" w14:textId="77777777" w:rsidR="00471D53" w:rsidRDefault="00B664AF">
          <w:pPr>
            <w:rPr>
              <w:rFonts w:cstheme="minorBidi"/>
              <w:szCs w:val="21"/>
            </w:rPr>
          </w:pPr>
        </w:p>
      </w:sdtContent>
    </w:sdt>
    <w:sdt>
      <w:sdtPr>
        <w:rPr>
          <w:rFonts w:ascii="宋体" w:hAnsi="宋体" w:cstheme="minorBidi" w:hint="eastAsia"/>
          <w:b w:val="0"/>
          <w:bCs w:val="0"/>
          <w:kern w:val="0"/>
          <w:szCs w:val="21"/>
        </w:rPr>
        <w:alias w:val="模块:不以公允价值计量的金融资产和金融负债的公允价值情况"/>
        <w:tag w:val="_GBC_e354e1f41f824854b8f3345d52a9cfab"/>
        <w:id w:val="-1056623174"/>
        <w:lock w:val="sdtLocked"/>
        <w:placeholder>
          <w:docPart w:val="GBC22222222222222222222222222222"/>
        </w:placeholder>
      </w:sdtPr>
      <w:sdtEndPr/>
      <w:sdtContent>
        <w:p w14:paraId="2D65889A" w14:textId="77777777" w:rsidR="00471D53" w:rsidRDefault="004F686E" w:rsidP="004F686E">
          <w:pPr>
            <w:pStyle w:val="afffff7"/>
            <w:numPr>
              <w:ilvl w:val="0"/>
              <w:numId w:val="99"/>
            </w:numPr>
            <w:rPr>
              <w:rFonts w:ascii="宋体" w:hAnsi="宋体" w:cstheme="minorBidi"/>
              <w:szCs w:val="21"/>
            </w:rPr>
          </w:pPr>
          <w:r>
            <w:rPr>
              <w:rFonts w:ascii="宋体" w:hAnsi="宋体" w:cstheme="minorBidi" w:hint="eastAsia"/>
              <w:szCs w:val="21"/>
            </w:rPr>
            <w:t>不以公允价值计量的</w:t>
          </w:r>
          <w:r>
            <w:rPr>
              <w:rFonts w:ascii="宋体" w:hAnsi="宋体" w:hint="eastAsia"/>
            </w:rPr>
            <w:t>金融资产</w:t>
          </w:r>
          <w:r>
            <w:rPr>
              <w:rFonts w:ascii="宋体" w:hAnsi="宋体" w:cstheme="minorBidi" w:hint="eastAsia"/>
              <w:szCs w:val="21"/>
            </w:rPr>
            <w:t>和金融负债的公允价值情况</w:t>
          </w:r>
        </w:p>
        <w:sdt>
          <w:sdtPr>
            <w:rPr>
              <w:rFonts w:cstheme="minorBidi" w:hint="eastAsia"/>
              <w:szCs w:val="21"/>
            </w:rPr>
            <w:alias w:val="是否适用：不以公允价值计量的金融资产和金融负债的公允价值情况[双击切换]"/>
            <w:tag w:val="_GBC_848a058035fb408c922e66294e86defb"/>
            <w:id w:val="1866398238"/>
            <w:lock w:val="sdtLocked"/>
            <w:placeholder>
              <w:docPart w:val="GBC22222222222222222222222222222"/>
            </w:placeholder>
          </w:sdtPr>
          <w:sdtEndPr/>
          <w:sdtContent>
            <w:p w14:paraId="2B3653FD" w14:textId="77777777" w:rsidR="00471D53" w:rsidRDefault="004F686E" w:rsidP="00471D53">
              <w:pPr>
                <w:rPr>
                  <w:rFonts w:cstheme="minorBidi"/>
                  <w:szCs w:val="21"/>
                </w:rPr>
              </w:pPr>
              <w:r>
                <w:rPr>
                  <w:rFonts w:cstheme="minorBidi"/>
                  <w:szCs w:val="21"/>
                </w:rPr>
                <w:fldChar w:fldCharType="begin"/>
              </w:r>
              <w:r>
                <w:rPr>
                  <w:rFonts w:cstheme="minorBidi"/>
                  <w:szCs w:val="21"/>
                </w:rPr>
                <w:instrText xml:space="preserve"> MACROBUTTON  SnrToggleCheckbox □适用 </w:instrText>
              </w:r>
              <w:r>
                <w:rPr>
                  <w:rFonts w:cstheme="minorBidi"/>
                  <w:szCs w:val="21"/>
                </w:rPr>
                <w:fldChar w:fldCharType="end"/>
              </w:r>
              <w:r>
                <w:rPr>
                  <w:rFonts w:cstheme="minorBidi"/>
                  <w:szCs w:val="21"/>
                </w:rPr>
                <w:fldChar w:fldCharType="begin"/>
              </w:r>
              <w:r>
                <w:rPr>
                  <w:rFonts w:cstheme="minorBidi"/>
                  <w:szCs w:val="21"/>
                </w:rPr>
                <w:instrText xml:space="preserve"> MACROBUTTON  SnrToggleCheckbox √不适用 </w:instrText>
              </w:r>
              <w:r>
                <w:rPr>
                  <w:rFonts w:cstheme="minorBidi"/>
                  <w:szCs w:val="21"/>
                </w:rPr>
                <w:fldChar w:fldCharType="end"/>
              </w:r>
            </w:p>
          </w:sdtContent>
        </w:sdt>
      </w:sdtContent>
    </w:sdt>
    <w:p w14:paraId="53B0B668" w14:textId="77777777" w:rsidR="00471D53" w:rsidRDefault="00B664AF">
      <w:pPr>
        <w:rPr>
          <w:rFonts w:cstheme="minorBidi"/>
          <w:szCs w:val="21"/>
        </w:rPr>
      </w:pPr>
    </w:p>
    <w:sdt>
      <w:sdtPr>
        <w:rPr>
          <w:rFonts w:ascii="宋体" w:hAnsi="宋体" w:cs="宋体"/>
          <w:b w:val="0"/>
          <w:bCs w:val="0"/>
          <w:kern w:val="0"/>
          <w:szCs w:val="21"/>
        </w:rPr>
        <w:alias w:val="模块:公允价值其他需要披露的事项"/>
        <w:tag w:val="_GBC_1551c1b4fedc4ac0ae859b67b4b79904"/>
        <w:id w:val="-676733848"/>
        <w:lock w:val="sdtLocked"/>
        <w:placeholder>
          <w:docPart w:val="GBC22222222222222222222222222222"/>
        </w:placeholder>
      </w:sdtPr>
      <w:sdtEndPr/>
      <w:sdtContent>
        <w:p w14:paraId="3D52950A" w14:textId="77777777" w:rsidR="00471D53" w:rsidRDefault="004F686E" w:rsidP="004F686E">
          <w:pPr>
            <w:pStyle w:val="afffff7"/>
            <w:numPr>
              <w:ilvl w:val="0"/>
              <w:numId w:val="99"/>
            </w:numPr>
            <w:rPr>
              <w:rFonts w:ascii="宋体" w:hAnsi="宋体"/>
              <w:szCs w:val="21"/>
            </w:rPr>
          </w:pPr>
          <w:r>
            <w:rPr>
              <w:rFonts w:ascii="宋体" w:hAnsi="宋体" w:hint="eastAsia"/>
              <w:szCs w:val="21"/>
            </w:rPr>
            <w:t>其他</w:t>
          </w:r>
        </w:p>
        <w:sdt>
          <w:sdtPr>
            <w:rPr>
              <w:rFonts w:hint="eastAsia"/>
              <w:szCs w:val="21"/>
            </w:rPr>
            <w:alias w:val="是否适用：公允价值其他需要披露的事项[双击切换]"/>
            <w:tag w:val="_GBC_9174a0e7dec04e80924ee384dabe783a"/>
            <w:id w:val="2066671143"/>
            <w:lock w:val="sdtLocked"/>
            <w:placeholder>
              <w:docPart w:val="GBC22222222222222222222222222222"/>
            </w:placeholder>
          </w:sdtPr>
          <w:sdtEndPr/>
          <w:sdtContent>
            <w:p w14:paraId="242C71A2" w14:textId="77777777" w:rsidR="00471D53" w:rsidRDefault="004F686E" w:rsidP="00471D5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63483009" w14:textId="77777777" w:rsidR="00471D53" w:rsidRDefault="00B664AF">
          <w:pPr>
            <w:rPr>
              <w:szCs w:val="21"/>
            </w:rPr>
          </w:pPr>
        </w:p>
      </w:sdtContent>
    </w:sdt>
    <w:p w14:paraId="05868F9F" w14:textId="77777777" w:rsidR="00471D53" w:rsidRDefault="004F686E" w:rsidP="004F686E">
      <w:pPr>
        <w:pStyle w:val="afffff6"/>
        <w:numPr>
          <w:ilvl w:val="0"/>
          <w:numId w:val="35"/>
        </w:numPr>
        <w:ind w:left="422" w:hanging="422"/>
        <w:rPr>
          <w:rFonts w:ascii="宋体" w:hAnsi="宋体"/>
        </w:rPr>
      </w:pPr>
      <w:r>
        <w:rPr>
          <w:rFonts w:ascii="宋体" w:hAnsi="宋体" w:hint="eastAsia"/>
        </w:rPr>
        <w:lastRenderedPageBreak/>
        <w:t>关联方及关联交易</w:t>
      </w:r>
    </w:p>
    <w:sdt>
      <w:sdtPr>
        <w:rPr>
          <w:rFonts w:ascii="宋体" w:hAnsi="宋体" w:cs="宋体" w:hint="eastAsia"/>
          <w:b w:val="0"/>
          <w:bCs w:val="0"/>
          <w:kern w:val="0"/>
          <w:szCs w:val="24"/>
        </w:rPr>
        <w:alias w:val="模块:本企业的母公司情况"/>
        <w:tag w:val="_GBC_29e1f7491caa4c3e96eef8c84532de84"/>
        <w:id w:val="764732479"/>
        <w:lock w:val="sdtLocked"/>
        <w:placeholder>
          <w:docPart w:val="GBC22222222222222222222222222222"/>
        </w:placeholder>
      </w:sdtPr>
      <w:sdtEndPr>
        <w:rPr>
          <w:rFonts w:cs="Cambria"/>
          <w:szCs w:val="21"/>
        </w:rPr>
      </w:sdtEndPr>
      <w:sdtContent>
        <w:p w14:paraId="16407BD0" w14:textId="77777777" w:rsidR="00471D53" w:rsidRDefault="004F686E" w:rsidP="004F686E">
          <w:pPr>
            <w:pStyle w:val="afffff7"/>
            <w:numPr>
              <w:ilvl w:val="0"/>
              <w:numId w:val="100"/>
            </w:numPr>
            <w:rPr>
              <w:rFonts w:ascii="宋体" w:hAnsi="宋体"/>
            </w:rPr>
          </w:pPr>
          <w:r>
            <w:rPr>
              <w:rFonts w:ascii="宋体" w:hAnsi="宋体" w:hint="eastAsia"/>
            </w:rPr>
            <w:t>本企业的母公司情况</w:t>
          </w:r>
        </w:p>
        <w:sdt>
          <w:sdtPr>
            <w:alias w:val="是否适用：本企业的母公司情况[双击切换]"/>
            <w:tag w:val="_GBC_ead7e4ec9cc847adb62aa8efd8005802"/>
            <w:id w:val="-1251651774"/>
            <w:lock w:val="sdtLocked"/>
            <w:placeholder>
              <w:docPart w:val="GBC22222222222222222222222222222"/>
            </w:placeholder>
          </w:sdtPr>
          <w:sdtEndPr/>
          <w:sdtContent>
            <w:p w14:paraId="42DAA51E" w14:textId="5236C2DA"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578503F" w14:textId="50E82CB3" w:rsidR="00471D53" w:rsidRDefault="004F686E">
          <w:pPr>
            <w:jc w:val="right"/>
          </w:pPr>
          <w:r>
            <w:rPr>
              <w:rFonts w:hint="eastAsia"/>
            </w:rPr>
            <w:t>单位：</w:t>
          </w:r>
          <w:sdt>
            <w:sdtPr>
              <w:rPr>
                <w:rFonts w:hint="eastAsia"/>
              </w:rPr>
              <w:alias w:val="单位：本企业的母公司情况"/>
              <w:tag w:val="_GBC_6deea75122314a599b3383585a0f5cfe"/>
              <w:id w:val="-6037341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万元</w:t>
              </w:r>
            </w:sdtContent>
          </w:sdt>
          <w:r>
            <w:rPr>
              <w:rFonts w:hint="eastAsia"/>
            </w:rPr>
            <w:t>币种：</w:t>
          </w:r>
          <w:sdt>
            <w:sdtPr>
              <w:rPr>
                <w:rFonts w:hint="eastAsia"/>
              </w:rPr>
              <w:alias w:val="币种：本企业的母公司情况"/>
              <w:tag w:val="_GBC_3d5eae3a190749288b0c0bc9b1b1a3a3"/>
              <w:id w:val="7560311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7"/>
            <w:gridCol w:w="1242"/>
            <w:gridCol w:w="1246"/>
            <w:gridCol w:w="1657"/>
            <w:gridCol w:w="1327"/>
            <w:gridCol w:w="1724"/>
          </w:tblGrid>
          <w:tr w:rsidR="00471D53" w14:paraId="70CE81EA" w14:textId="77777777" w:rsidTr="00471D53">
            <w:trPr>
              <w:trHeight w:val="842"/>
            </w:trPr>
            <w:sdt>
              <w:sdtPr>
                <w:tag w:val="_PLD_19f86fac20c44d648212d3b573ca4c90"/>
                <w:id w:val="-1523323002"/>
                <w:lock w:val="sdtLocked"/>
              </w:sdtPr>
              <w:sdtEndPr/>
              <w:sdtContent>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14:paraId="4897E251" w14:textId="77777777" w:rsidR="00471D53" w:rsidRDefault="004F686E" w:rsidP="00471D53">
                    <w:pPr>
                      <w:jc w:val="center"/>
                      <w:rPr>
                        <w:rFonts w:cs="Cambria"/>
                        <w:szCs w:val="21"/>
                      </w:rPr>
                    </w:pPr>
                    <w:r>
                      <w:rPr>
                        <w:rFonts w:cs="Cambria" w:hint="eastAsia"/>
                        <w:szCs w:val="21"/>
                      </w:rPr>
                      <w:t>母公司名称</w:t>
                    </w:r>
                  </w:p>
                </w:tc>
              </w:sdtContent>
            </w:sdt>
            <w:sdt>
              <w:sdtPr>
                <w:tag w:val="_PLD_d0e9e84346084d4db76e60afa87cf85a"/>
                <w:id w:val="1318460916"/>
                <w:lock w:val="sdtLocked"/>
              </w:sdtPr>
              <w:sdtEndPr/>
              <w:sdtContent>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38E325E2" w14:textId="77777777" w:rsidR="00471D53" w:rsidRDefault="004F686E" w:rsidP="00471D53">
                    <w:pPr>
                      <w:jc w:val="center"/>
                      <w:rPr>
                        <w:rFonts w:cs="Cambria"/>
                        <w:szCs w:val="21"/>
                      </w:rPr>
                    </w:pPr>
                    <w:r>
                      <w:rPr>
                        <w:rFonts w:cs="Cambria" w:hint="eastAsia"/>
                        <w:szCs w:val="21"/>
                      </w:rPr>
                      <w:t>注册地</w:t>
                    </w:r>
                  </w:p>
                </w:tc>
              </w:sdtContent>
            </w:sdt>
            <w:sdt>
              <w:sdtPr>
                <w:tag w:val="_PLD_862851f8ff08431ea28c3420f555e42d"/>
                <w:id w:val="1717466941"/>
                <w:lock w:val="sdtLocked"/>
              </w:sdtPr>
              <w:sdtEndPr/>
              <w:sdtContent>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14:paraId="2171B542" w14:textId="77777777" w:rsidR="00471D53" w:rsidRDefault="004F686E" w:rsidP="00471D53">
                    <w:pPr>
                      <w:jc w:val="center"/>
                      <w:rPr>
                        <w:rFonts w:cs="Cambria"/>
                        <w:szCs w:val="21"/>
                      </w:rPr>
                    </w:pPr>
                    <w:r>
                      <w:rPr>
                        <w:rFonts w:cs="Cambria" w:hint="eastAsia"/>
                        <w:szCs w:val="21"/>
                      </w:rPr>
                      <w:t>业务性质</w:t>
                    </w:r>
                  </w:p>
                </w:tc>
              </w:sdtContent>
            </w:sdt>
            <w:sdt>
              <w:sdtPr>
                <w:tag w:val="_PLD_77ed8bc59084448aa6eced74a15c106f"/>
                <w:id w:val="-1014298319"/>
                <w:lock w:val="sdtLocked"/>
              </w:sdtPr>
              <w:sdtEndPr/>
              <w:sdtContent>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14:paraId="3994A520" w14:textId="77777777" w:rsidR="00471D53" w:rsidRDefault="004F686E" w:rsidP="00471D53">
                    <w:pPr>
                      <w:jc w:val="center"/>
                      <w:rPr>
                        <w:rFonts w:cs="Cambria"/>
                        <w:szCs w:val="21"/>
                      </w:rPr>
                    </w:pPr>
                    <w:r>
                      <w:rPr>
                        <w:rFonts w:cs="Cambria" w:hint="eastAsia"/>
                        <w:szCs w:val="21"/>
                      </w:rPr>
                      <w:t>注册资本</w:t>
                    </w:r>
                  </w:p>
                </w:tc>
              </w:sdtContent>
            </w:sdt>
            <w:sdt>
              <w:sdtPr>
                <w:tag w:val="_PLD_360f61c4c6c14f0abe6480ef7f30e958"/>
                <w:id w:val="-369305566"/>
                <w:lock w:val="sdtLocked"/>
              </w:sdtPr>
              <w:sdtEndPr/>
              <w:sdtContent>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9EC741B" w14:textId="77777777" w:rsidR="00471D53" w:rsidRDefault="004F686E" w:rsidP="00471D53">
                    <w:pPr>
                      <w:jc w:val="center"/>
                      <w:rPr>
                        <w:rFonts w:cs="Cambria"/>
                        <w:szCs w:val="21"/>
                      </w:rPr>
                    </w:pPr>
                    <w:r>
                      <w:rPr>
                        <w:rFonts w:cs="Cambria" w:hint="eastAsia"/>
                        <w:szCs w:val="21"/>
                      </w:rPr>
                      <w:t>母公司对本企业的持股比例</w:t>
                    </w:r>
                    <w:r>
                      <w:rPr>
                        <w:rFonts w:cs="Cambria"/>
                        <w:szCs w:val="21"/>
                      </w:rPr>
                      <w:t>(%)</w:t>
                    </w:r>
                  </w:p>
                </w:tc>
              </w:sdtContent>
            </w:sdt>
            <w:sdt>
              <w:sdtPr>
                <w:tag w:val="_PLD_3ef945e24ca64fc394d2e6b861604fcf"/>
                <w:id w:val="-332838861"/>
                <w:lock w:val="sdtLocked"/>
              </w:sdtPr>
              <w:sdtEndPr/>
              <w:sdtContent>
                <w:tc>
                  <w:tcPr>
                    <w:tcW w:w="977" w:type="pct"/>
                    <w:tcBorders>
                      <w:top w:val="single" w:sz="4" w:space="0" w:color="auto"/>
                      <w:left w:val="single" w:sz="4" w:space="0" w:color="auto"/>
                      <w:bottom w:val="single" w:sz="4" w:space="0" w:color="auto"/>
                      <w:right w:val="single" w:sz="4" w:space="0" w:color="auto"/>
                    </w:tcBorders>
                    <w:shd w:val="clear" w:color="auto" w:fill="auto"/>
                    <w:vAlign w:val="center"/>
                  </w:tcPr>
                  <w:p w14:paraId="56D53D3D" w14:textId="77777777" w:rsidR="00471D53" w:rsidRDefault="004F686E" w:rsidP="00471D53">
                    <w:pPr>
                      <w:jc w:val="center"/>
                      <w:rPr>
                        <w:rFonts w:cs="Cambria"/>
                        <w:szCs w:val="21"/>
                      </w:rPr>
                    </w:pPr>
                    <w:r>
                      <w:rPr>
                        <w:rFonts w:cs="Cambria" w:hint="eastAsia"/>
                        <w:szCs w:val="21"/>
                      </w:rPr>
                      <w:t>母公司对本企业的表决权比例</w:t>
                    </w:r>
                    <w:r>
                      <w:rPr>
                        <w:rFonts w:cs="Cambria"/>
                        <w:szCs w:val="21"/>
                      </w:rPr>
                      <w:t>(%)</w:t>
                    </w:r>
                  </w:p>
                </w:tc>
              </w:sdtContent>
            </w:sdt>
          </w:tr>
          <w:sdt>
            <w:sdtPr>
              <w:rPr>
                <w:rFonts w:cs="Cambria"/>
                <w:szCs w:val="21"/>
              </w:rPr>
              <w:alias w:val="本企业的母公司情况明细"/>
              <w:tag w:val="_GBC_e3a0ec4880544cc4ad472a056e28a2a2"/>
              <w:id w:val="352926308"/>
              <w:lock w:val="sdtLocked"/>
            </w:sdtPr>
            <w:sdtEndPr/>
            <w:sdtContent>
              <w:tr w:rsidR="00471D53" w14:paraId="1115BFD4" w14:textId="77777777" w:rsidTr="00471D53">
                <w:trPr>
                  <w:trHeight w:val="255"/>
                </w:trPr>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14:paraId="3D5AD629" w14:textId="77777777" w:rsidR="00471D53" w:rsidRDefault="004F686E" w:rsidP="00471D53">
                    <w:pPr>
                      <w:rPr>
                        <w:rFonts w:cs="Cambria"/>
                        <w:szCs w:val="21"/>
                      </w:rPr>
                    </w:pPr>
                    <w:r>
                      <w:t>北京京城机电控股有限责任公司</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60D6A8F3" w14:textId="4E408CBA" w:rsidR="00471D53" w:rsidRDefault="00D774C0" w:rsidP="00471D53">
                    <w:pPr>
                      <w:rPr>
                        <w:rFonts w:cs="Cambria"/>
                        <w:szCs w:val="21"/>
                      </w:rPr>
                    </w:pPr>
                    <w:r w:rsidRPr="00D774C0">
                      <w:rPr>
                        <w:rFonts w:hint="eastAsia"/>
                      </w:rPr>
                      <w:t>北京市北京经济技术开发区</w:t>
                    </w:r>
                  </w:p>
                </w:tc>
                <w:tc>
                  <w:tcPr>
                    <w:tcW w:w="706" w:type="pct"/>
                    <w:tcBorders>
                      <w:top w:val="single" w:sz="4" w:space="0" w:color="auto"/>
                      <w:left w:val="single" w:sz="4" w:space="0" w:color="auto"/>
                      <w:bottom w:val="single" w:sz="4" w:space="0" w:color="auto"/>
                      <w:right w:val="single" w:sz="4" w:space="0" w:color="auto"/>
                    </w:tcBorders>
                    <w:shd w:val="clear" w:color="auto" w:fill="auto"/>
                  </w:tcPr>
                  <w:p w14:paraId="261C6C1D" w14:textId="77777777" w:rsidR="00471D53" w:rsidRDefault="004F686E" w:rsidP="00471D53">
                    <w:pPr>
                      <w:rPr>
                        <w:rFonts w:cs="Cambria"/>
                        <w:szCs w:val="21"/>
                      </w:rPr>
                    </w:pPr>
                    <w:r>
                      <w:t>国有资产</w:t>
                    </w:r>
                  </w:p>
                </w:tc>
                <w:tc>
                  <w:tcPr>
                    <w:tcW w:w="939" w:type="pct"/>
                    <w:tcBorders>
                      <w:top w:val="single" w:sz="4" w:space="0" w:color="auto"/>
                      <w:left w:val="single" w:sz="4" w:space="0" w:color="auto"/>
                      <w:bottom w:val="single" w:sz="4" w:space="0" w:color="auto"/>
                      <w:right w:val="single" w:sz="4" w:space="0" w:color="auto"/>
                    </w:tcBorders>
                    <w:shd w:val="clear" w:color="auto" w:fill="auto"/>
                  </w:tcPr>
                  <w:p w14:paraId="2B6C555A" w14:textId="77777777" w:rsidR="00471D53" w:rsidRDefault="004F686E" w:rsidP="00471D53">
                    <w:pPr>
                      <w:jc w:val="right"/>
                      <w:rPr>
                        <w:rFonts w:cs="Cambria"/>
                        <w:szCs w:val="21"/>
                      </w:rPr>
                    </w:pPr>
                    <w:r>
                      <w:t>235,563.7</w:t>
                    </w:r>
                    <w:r>
                      <w:rPr>
                        <w:rFonts w:hint="eastAsia"/>
                      </w:rPr>
                      <w:t>1万元</w:t>
                    </w:r>
                  </w:p>
                </w:tc>
                <w:tc>
                  <w:tcPr>
                    <w:tcW w:w="752" w:type="pct"/>
                    <w:tcBorders>
                      <w:top w:val="single" w:sz="4" w:space="0" w:color="auto"/>
                      <w:left w:val="single" w:sz="4" w:space="0" w:color="auto"/>
                      <w:bottom w:val="single" w:sz="4" w:space="0" w:color="auto"/>
                      <w:right w:val="single" w:sz="4" w:space="0" w:color="auto"/>
                    </w:tcBorders>
                    <w:shd w:val="clear" w:color="auto" w:fill="auto"/>
                  </w:tcPr>
                  <w:p w14:paraId="761315BD" w14:textId="77777777" w:rsidR="00471D53" w:rsidRDefault="004F686E" w:rsidP="00471D53">
                    <w:pPr>
                      <w:jc w:val="right"/>
                      <w:rPr>
                        <w:rFonts w:cs="Cambria"/>
                        <w:szCs w:val="21"/>
                      </w:rPr>
                    </w:pPr>
                    <w:r>
                      <w:t>50.67</w:t>
                    </w:r>
                  </w:p>
                </w:tc>
                <w:tc>
                  <w:tcPr>
                    <w:tcW w:w="977" w:type="pct"/>
                    <w:tcBorders>
                      <w:top w:val="single" w:sz="4" w:space="0" w:color="auto"/>
                      <w:left w:val="single" w:sz="4" w:space="0" w:color="auto"/>
                      <w:bottom w:val="single" w:sz="4" w:space="0" w:color="auto"/>
                      <w:right w:val="single" w:sz="4" w:space="0" w:color="auto"/>
                    </w:tcBorders>
                    <w:shd w:val="clear" w:color="auto" w:fill="auto"/>
                  </w:tcPr>
                  <w:p w14:paraId="5535EEC4" w14:textId="77777777" w:rsidR="00471D53" w:rsidRDefault="004F686E" w:rsidP="00471D53">
                    <w:pPr>
                      <w:jc w:val="right"/>
                      <w:rPr>
                        <w:rFonts w:cs="Cambria"/>
                        <w:szCs w:val="21"/>
                      </w:rPr>
                    </w:pPr>
                    <w:r>
                      <w:t>50.67</w:t>
                    </w:r>
                  </w:p>
                </w:tc>
              </w:tr>
            </w:sdtContent>
          </w:sdt>
        </w:tbl>
        <w:p w14:paraId="49316C3C" w14:textId="77777777" w:rsidR="00471D53" w:rsidRDefault="00B664AF"/>
        <w:p w14:paraId="08121656" w14:textId="77777777" w:rsidR="00471D53" w:rsidRDefault="004F686E">
          <w:pPr>
            <w:tabs>
              <w:tab w:val="left" w:pos="1134"/>
            </w:tabs>
            <w:rPr>
              <w:rFonts w:cs="Cambria"/>
              <w:szCs w:val="21"/>
            </w:rPr>
          </w:pPr>
          <w:r>
            <w:rPr>
              <w:rFonts w:cs="Cambria" w:hint="eastAsia"/>
              <w:szCs w:val="21"/>
            </w:rPr>
            <w:t>本企业的母公司情况的说明</w:t>
          </w:r>
        </w:p>
        <w:sdt>
          <w:sdtPr>
            <w:rPr>
              <w:rFonts w:cs="Cambria"/>
              <w:szCs w:val="21"/>
            </w:rPr>
            <w:alias w:val="本企业的母公司情况的说明"/>
            <w:tag w:val="_GBC_23f67537c1df4d9d9ede9fbc78ad06a4"/>
            <w:id w:val="1395787453"/>
            <w:lock w:val="sdtLocked"/>
            <w:placeholder>
              <w:docPart w:val="GBC22222222222222222222222222222"/>
            </w:placeholder>
          </w:sdtPr>
          <w:sdtEndPr/>
          <w:sdtContent>
            <w:p w14:paraId="38EFA13B" w14:textId="77777777" w:rsidR="00471D53" w:rsidRPr="00FB6D17" w:rsidRDefault="004F686E" w:rsidP="004F686E">
              <w:pPr>
                <w:numPr>
                  <w:ilvl w:val="0"/>
                  <w:numId w:val="101"/>
                </w:numPr>
                <w:tabs>
                  <w:tab w:val="clear" w:pos="1160"/>
                  <w:tab w:val="num" w:pos="420"/>
                  <w:tab w:val="left" w:pos="720"/>
                  <w:tab w:val="left" w:pos="993"/>
                </w:tabs>
                <w:spacing w:beforeLines="50" w:before="120" w:afterLines="50" w:after="120" w:line="360" w:lineRule="exact"/>
                <w:ind w:leftChars="200" w:left="947" w:hangingChars="251" w:hanging="527"/>
                <w:outlineLvl w:val="2"/>
                <w:rPr>
                  <w:rFonts w:cs="Times New Roman"/>
                  <w:sz w:val="22"/>
                  <w:szCs w:val="22"/>
                </w:rPr>
              </w:pPr>
              <w:r w:rsidRPr="00FB6D17">
                <w:rPr>
                  <w:rFonts w:cs="Times New Roman" w:hint="eastAsia"/>
                  <w:sz w:val="22"/>
                  <w:szCs w:val="22"/>
                </w:rPr>
                <w:t>控股股东及最终控制方</w:t>
              </w:r>
            </w:p>
            <w:tbl>
              <w:tblPr>
                <w:tblStyle w:val="g4"/>
                <w:tblW w:w="5000" w:type="pct"/>
                <w:jc w:val="center"/>
                <w:tblBorders>
                  <w:top w:val="double" w:sz="4" w:space="0" w:color="auto"/>
                  <w:bottom w:val="double" w:sz="4" w:space="0" w:color="auto"/>
                  <w:insideH w:val="single" w:sz="2" w:space="0" w:color="auto"/>
                  <w:insideV w:val="single" w:sz="2" w:space="0" w:color="auto"/>
                </w:tblBorders>
                <w:tblLook w:val="0000" w:firstRow="0" w:lastRow="0" w:firstColumn="0" w:lastColumn="0" w:noHBand="0" w:noVBand="0"/>
              </w:tblPr>
              <w:tblGrid>
                <w:gridCol w:w="1850"/>
                <w:gridCol w:w="1026"/>
                <w:gridCol w:w="1173"/>
                <w:gridCol w:w="1710"/>
                <w:gridCol w:w="1555"/>
                <w:gridCol w:w="1519"/>
              </w:tblGrid>
              <w:tr w:rsidR="00471D53" w14:paraId="495D14C9" w14:textId="77777777" w:rsidTr="00471D53">
                <w:trPr>
                  <w:trHeight w:val="340"/>
                  <w:tblHeader/>
                  <w:jc w:val="center"/>
                </w:trPr>
                <w:tc>
                  <w:tcPr>
                    <w:tcW w:w="1047" w:type="pct"/>
                    <w:tcMar>
                      <w:left w:w="28" w:type="dxa"/>
                      <w:right w:w="28" w:type="dxa"/>
                    </w:tcMar>
                    <w:vAlign w:val="center"/>
                  </w:tcPr>
                  <w:p w14:paraId="5C0932EB" w14:textId="77777777" w:rsidR="00471D53" w:rsidRDefault="004F686E" w:rsidP="00471D53">
                    <w:pPr>
                      <w:jc w:val="both"/>
                      <w:rPr>
                        <w:b/>
                        <w:sz w:val="22"/>
                        <w:szCs w:val="22"/>
                      </w:rPr>
                    </w:pPr>
                    <w:r>
                      <w:rPr>
                        <w:rFonts w:hint="eastAsia"/>
                        <w:b/>
                        <w:sz w:val="22"/>
                        <w:szCs w:val="22"/>
                      </w:rPr>
                      <w:t>控股股东及最终控制方名称</w:t>
                    </w:r>
                  </w:p>
                </w:tc>
                <w:tc>
                  <w:tcPr>
                    <w:tcW w:w="581" w:type="pct"/>
                    <w:tcMar>
                      <w:left w:w="28" w:type="dxa"/>
                      <w:right w:w="28" w:type="dxa"/>
                    </w:tcMar>
                    <w:vAlign w:val="center"/>
                  </w:tcPr>
                  <w:p w14:paraId="67F33D15" w14:textId="77777777" w:rsidR="00471D53" w:rsidRDefault="004F686E" w:rsidP="00471D53">
                    <w:pPr>
                      <w:jc w:val="center"/>
                      <w:rPr>
                        <w:b/>
                        <w:sz w:val="22"/>
                        <w:szCs w:val="22"/>
                      </w:rPr>
                    </w:pPr>
                    <w:r>
                      <w:rPr>
                        <w:rFonts w:hint="eastAsia"/>
                        <w:b/>
                        <w:sz w:val="22"/>
                        <w:szCs w:val="22"/>
                      </w:rPr>
                      <w:t>注册地</w:t>
                    </w:r>
                  </w:p>
                </w:tc>
                <w:tc>
                  <w:tcPr>
                    <w:tcW w:w="664" w:type="pct"/>
                    <w:tcMar>
                      <w:left w:w="28" w:type="dxa"/>
                      <w:right w:w="28" w:type="dxa"/>
                    </w:tcMar>
                    <w:vAlign w:val="center"/>
                  </w:tcPr>
                  <w:p w14:paraId="797B350D" w14:textId="77777777" w:rsidR="00471D53" w:rsidRDefault="004F686E" w:rsidP="00471D53">
                    <w:pPr>
                      <w:jc w:val="center"/>
                      <w:rPr>
                        <w:b/>
                        <w:sz w:val="22"/>
                        <w:szCs w:val="22"/>
                      </w:rPr>
                    </w:pPr>
                    <w:r>
                      <w:rPr>
                        <w:rFonts w:hint="eastAsia"/>
                        <w:b/>
                        <w:sz w:val="22"/>
                        <w:szCs w:val="22"/>
                      </w:rPr>
                      <w:t>业务性质</w:t>
                    </w:r>
                  </w:p>
                </w:tc>
                <w:tc>
                  <w:tcPr>
                    <w:tcW w:w="968" w:type="pct"/>
                    <w:tcMar>
                      <w:left w:w="28" w:type="dxa"/>
                      <w:right w:w="28" w:type="dxa"/>
                    </w:tcMar>
                    <w:vAlign w:val="center"/>
                  </w:tcPr>
                  <w:p w14:paraId="06AF3F8B" w14:textId="77777777" w:rsidR="00471D53" w:rsidRDefault="004F686E" w:rsidP="00471D53">
                    <w:pPr>
                      <w:jc w:val="center"/>
                      <w:rPr>
                        <w:b/>
                        <w:sz w:val="22"/>
                        <w:szCs w:val="22"/>
                      </w:rPr>
                    </w:pPr>
                    <w:r>
                      <w:rPr>
                        <w:rFonts w:hint="eastAsia"/>
                        <w:b/>
                        <w:sz w:val="22"/>
                        <w:szCs w:val="22"/>
                      </w:rPr>
                      <w:t>注册资本</w:t>
                    </w:r>
                  </w:p>
                  <w:p w14:paraId="0C2568E1" w14:textId="77777777" w:rsidR="00471D53" w:rsidRDefault="004F686E" w:rsidP="00471D53">
                    <w:pPr>
                      <w:jc w:val="center"/>
                      <w:rPr>
                        <w:b/>
                        <w:sz w:val="22"/>
                        <w:szCs w:val="22"/>
                      </w:rPr>
                    </w:pPr>
                    <w:r>
                      <w:rPr>
                        <w:rFonts w:hint="eastAsia"/>
                        <w:b/>
                        <w:sz w:val="22"/>
                        <w:szCs w:val="22"/>
                      </w:rPr>
                      <w:t>（万元）</w:t>
                    </w:r>
                  </w:p>
                </w:tc>
                <w:tc>
                  <w:tcPr>
                    <w:tcW w:w="880" w:type="pct"/>
                    <w:tcMar>
                      <w:left w:w="28" w:type="dxa"/>
                      <w:right w:w="28" w:type="dxa"/>
                    </w:tcMar>
                    <w:vAlign w:val="center"/>
                  </w:tcPr>
                  <w:p w14:paraId="123527C1" w14:textId="77777777" w:rsidR="00471D53" w:rsidRDefault="004F686E" w:rsidP="00471D53">
                    <w:pPr>
                      <w:jc w:val="center"/>
                      <w:rPr>
                        <w:b/>
                        <w:sz w:val="22"/>
                        <w:szCs w:val="22"/>
                      </w:rPr>
                    </w:pPr>
                    <w:r>
                      <w:rPr>
                        <w:rFonts w:cs="Cambria" w:hint="eastAsia"/>
                        <w:b/>
                        <w:sz w:val="22"/>
                        <w:szCs w:val="22"/>
                      </w:rPr>
                      <w:t>对本公司的持股比例</w:t>
                    </w:r>
                    <w:r>
                      <w:rPr>
                        <w:rFonts w:cs="Cambria"/>
                        <w:b/>
                        <w:sz w:val="22"/>
                        <w:szCs w:val="22"/>
                      </w:rPr>
                      <w:t>(%)</w:t>
                    </w:r>
                  </w:p>
                </w:tc>
                <w:tc>
                  <w:tcPr>
                    <w:tcW w:w="860" w:type="pct"/>
                    <w:tcMar>
                      <w:left w:w="28" w:type="dxa"/>
                      <w:right w:w="28" w:type="dxa"/>
                    </w:tcMar>
                    <w:vAlign w:val="center"/>
                  </w:tcPr>
                  <w:p w14:paraId="1C42CA71" w14:textId="77777777" w:rsidR="00471D53" w:rsidRDefault="004F686E" w:rsidP="00471D53">
                    <w:pPr>
                      <w:jc w:val="center"/>
                      <w:rPr>
                        <w:b/>
                        <w:sz w:val="22"/>
                        <w:szCs w:val="22"/>
                      </w:rPr>
                    </w:pPr>
                    <w:r>
                      <w:rPr>
                        <w:rFonts w:cs="Cambria" w:hint="eastAsia"/>
                        <w:b/>
                        <w:sz w:val="22"/>
                        <w:szCs w:val="22"/>
                      </w:rPr>
                      <w:t>对本公司的表决权比例</w:t>
                    </w:r>
                    <w:r>
                      <w:rPr>
                        <w:rFonts w:cs="Cambria"/>
                        <w:b/>
                        <w:sz w:val="22"/>
                        <w:szCs w:val="22"/>
                      </w:rPr>
                      <w:t>(%)</w:t>
                    </w:r>
                  </w:p>
                </w:tc>
              </w:tr>
              <w:tr w:rsidR="00471D53" w14:paraId="15C0C9CC" w14:textId="77777777" w:rsidTr="00471D53">
                <w:trPr>
                  <w:trHeight w:val="340"/>
                  <w:jc w:val="center"/>
                </w:trPr>
                <w:tc>
                  <w:tcPr>
                    <w:tcW w:w="1047" w:type="pct"/>
                    <w:tcMar>
                      <w:left w:w="28" w:type="dxa"/>
                      <w:right w:w="28" w:type="dxa"/>
                    </w:tcMar>
                    <w:vAlign w:val="center"/>
                  </w:tcPr>
                  <w:p w14:paraId="12F344A7" w14:textId="77777777" w:rsidR="00471D53" w:rsidRDefault="004F686E" w:rsidP="00471D53">
                    <w:pPr>
                      <w:tabs>
                        <w:tab w:val="left" w:pos="2160"/>
                        <w:tab w:val="left" w:pos="3510"/>
                        <w:tab w:val="left" w:pos="5400"/>
                        <w:tab w:val="left" w:pos="6300"/>
                        <w:tab w:val="right" w:pos="7805"/>
                      </w:tabs>
                      <w:snapToGrid w:val="0"/>
                      <w:jc w:val="both"/>
                      <w:rPr>
                        <w:sz w:val="22"/>
                        <w:szCs w:val="22"/>
                      </w:rPr>
                    </w:pPr>
                    <w:r>
                      <w:rPr>
                        <w:rFonts w:hint="eastAsia"/>
                        <w:sz w:val="22"/>
                        <w:szCs w:val="22"/>
                      </w:rPr>
                      <w:t>北京京城机电控股有限责任公司</w:t>
                    </w:r>
                  </w:p>
                </w:tc>
                <w:tc>
                  <w:tcPr>
                    <w:tcW w:w="581" w:type="pct"/>
                    <w:tcMar>
                      <w:left w:w="28" w:type="dxa"/>
                      <w:right w:w="28" w:type="dxa"/>
                    </w:tcMar>
                    <w:vAlign w:val="center"/>
                  </w:tcPr>
                  <w:p w14:paraId="199D8826" w14:textId="4CA5420F" w:rsidR="00471D53" w:rsidRDefault="00D774C0" w:rsidP="00471D53">
                    <w:pPr>
                      <w:tabs>
                        <w:tab w:val="left" w:pos="2160"/>
                        <w:tab w:val="left" w:pos="3510"/>
                        <w:tab w:val="left" w:pos="5400"/>
                        <w:tab w:val="left" w:pos="6300"/>
                        <w:tab w:val="right" w:pos="7805"/>
                      </w:tabs>
                      <w:snapToGrid w:val="0"/>
                      <w:jc w:val="center"/>
                      <w:rPr>
                        <w:sz w:val="22"/>
                        <w:szCs w:val="22"/>
                      </w:rPr>
                    </w:pPr>
                    <w:r w:rsidRPr="00D774C0">
                      <w:rPr>
                        <w:rFonts w:hint="eastAsia"/>
                        <w:sz w:val="22"/>
                        <w:szCs w:val="22"/>
                      </w:rPr>
                      <w:t>北京市北京经济技术开发区</w:t>
                    </w:r>
                  </w:p>
                </w:tc>
                <w:tc>
                  <w:tcPr>
                    <w:tcW w:w="664" w:type="pct"/>
                    <w:tcMar>
                      <w:left w:w="28" w:type="dxa"/>
                      <w:right w:w="28" w:type="dxa"/>
                    </w:tcMar>
                    <w:vAlign w:val="center"/>
                  </w:tcPr>
                  <w:p w14:paraId="4B7CC63D" w14:textId="77777777" w:rsidR="00471D53" w:rsidRDefault="004F686E" w:rsidP="00471D53">
                    <w:pPr>
                      <w:tabs>
                        <w:tab w:val="left" w:pos="2160"/>
                        <w:tab w:val="left" w:pos="3510"/>
                        <w:tab w:val="left" w:pos="5400"/>
                        <w:tab w:val="left" w:pos="6300"/>
                        <w:tab w:val="right" w:pos="7805"/>
                      </w:tabs>
                      <w:snapToGrid w:val="0"/>
                      <w:jc w:val="center"/>
                      <w:rPr>
                        <w:sz w:val="22"/>
                        <w:szCs w:val="22"/>
                      </w:rPr>
                    </w:pPr>
                    <w:r>
                      <w:rPr>
                        <w:rFonts w:hint="eastAsia"/>
                        <w:sz w:val="22"/>
                        <w:szCs w:val="22"/>
                      </w:rPr>
                      <w:t>国有资产</w:t>
                    </w:r>
                  </w:p>
                </w:tc>
                <w:tc>
                  <w:tcPr>
                    <w:tcW w:w="968" w:type="pct"/>
                    <w:tcMar>
                      <w:left w:w="28" w:type="dxa"/>
                      <w:right w:w="28" w:type="dxa"/>
                    </w:tcMar>
                    <w:vAlign w:val="center"/>
                  </w:tcPr>
                  <w:p w14:paraId="0CCDE0FD" w14:textId="76079EF9" w:rsidR="00471D53" w:rsidRDefault="004F686E" w:rsidP="00471D53">
                    <w:pPr>
                      <w:tabs>
                        <w:tab w:val="left" w:pos="2160"/>
                        <w:tab w:val="left" w:pos="3510"/>
                        <w:tab w:val="left" w:pos="5400"/>
                        <w:tab w:val="left" w:pos="6300"/>
                        <w:tab w:val="right" w:pos="7805"/>
                      </w:tabs>
                      <w:snapToGrid w:val="0"/>
                      <w:jc w:val="right"/>
                      <w:rPr>
                        <w:sz w:val="22"/>
                        <w:szCs w:val="22"/>
                      </w:rPr>
                    </w:pPr>
                    <w:r>
                      <w:rPr>
                        <w:rFonts w:hint="eastAsia"/>
                        <w:sz w:val="22"/>
                        <w:szCs w:val="22"/>
                      </w:rPr>
                      <w:t>235,563.</w:t>
                    </w:r>
                    <w:r>
                      <w:rPr>
                        <w:sz w:val="22"/>
                        <w:szCs w:val="22"/>
                      </w:rPr>
                      <w:t>7</w:t>
                    </w:r>
                    <w:r>
                      <w:rPr>
                        <w:rFonts w:hint="eastAsia"/>
                        <w:sz w:val="22"/>
                        <w:szCs w:val="22"/>
                      </w:rPr>
                      <w:t>1</w:t>
                    </w:r>
                  </w:p>
                </w:tc>
                <w:tc>
                  <w:tcPr>
                    <w:tcW w:w="880" w:type="pct"/>
                    <w:tcMar>
                      <w:left w:w="28" w:type="dxa"/>
                      <w:right w:w="28" w:type="dxa"/>
                    </w:tcMar>
                    <w:vAlign w:val="center"/>
                  </w:tcPr>
                  <w:p w14:paraId="513D00AF" w14:textId="77777777" w:rsidR="00471D53" w:rsidRDefault="004F686E" w:rsidP="00471D53">
                    <w:pPr>
                      <w:tabs>
                        <w:tab w:val="left" w:pos="2160"/>
                        <w:tab w:val="left" w:pos="3510"/>
                        <w:tab w:val="left" w:pos="5400"/>
                        <w:tab w:val="left" w:pos="6300"/>
                        <w:tab w:val="right" w:pos="7805"/>
                      </w:tabs>
                      <w:snapToGrid w:val="0"/>
                      <w:jc w:val="right"/>
                      <w:rPr>
                        <w:sz w:val="22"/>
                        <w:szCs w:val="22"/>
                      </w:rPr>
                    </w:pPr>
                    <w:r>
                      <w:rPr>
                        <w:rFonts w:hint="eastAsia"/>
                        <w:sz w:val="22"/>
                        <w:szCs w:val="22"/>
                      </w:rPr>
                      <w:t>50.67</w:t>
                    </w:r>
                  </w:p>
                </w:tc>
                <w:tc>
                  <w:tcPr>
                    <w:tcW w:w="860" w:type="pct"/>
                    <w:tcMar>
                      <w:left w:w="28" w:type="dxa"/>
                      <w:right w:w="28" w:type="dxa"/>
                    </w:tcMar>
                    <w:vAlign w:val="center"/>
                  </w:tcPr>
                  <w:p w14:paraId="2C500AF3" w14:textId="77777777" w:rsidR="00471D53" w:rsidRDefault="004F686E" w:rsidP="00471D53">
                    <w:pPr>
                      <w:tabs>
                        <w:tab w:val="left" w:pos="2160"/>
                        <w:tab w:val="left" w:pos="3510"/>
                        <w:tab w:val="left" w:pos="5400"/>
                        <w:tab w:val="left" w:pos="6300"/>
                        <w:tab w:val="right" w:pos="7805"/>
                      </w:tabs>
                      <w:snapToGrid w:val="0"/>
                      <w:jc w:val="right"/>
                      <w:rPr>
                        <w:sz w:val="22"/>
                        <w:szCs w:val="22"/>
                      </w:rPr>
                    </w:pPr>
                    <w:r>
                      <w:rPr>
                        <w:rFonts w:hint="eastAsia"/>
                        <w:sz w:val="22"/>
                        <w:szCs w:val="22"/>
                      </w:rPr>
                      <w:t>50.67</w:t>
                    </w:r>
                  </w:p>
                </w:tc>
              </w:tr>
            </w:tbl>
            <w:p w14:paraId="200A4F75" w14:textId="77777777" w:rsidR="00471D53" w:rsidRPr="00FB6D17" w:rsidRDefault="004F686E" w:rsidP="004F686E">
              <w:pPr>
                <w:numPr>
                  <w:ilvl w:val="0"/>
                  <w:numId w:val="101"/>
                </w:numPr>
                <w:tabs>
                  <w:tab w:val="clear" w:pos="1160"/>
                  <w:tab w:val="num" w:pos="420"/>
                  <w:tab w:val="left" w:pos="720"/>
                  <w:tab w:val="left" w:pos="993"/>
                </w:tabs>
                <w:spacing w:beforeLines="50" w:before="120" w:afterLines="50" w:after="120" w:line="360" w:lineRule="exact"/>
                <w:ind w:leftChars="200" w:left="972" w:hangingChars="251" w:hanging="552"/>
                <w:outlineLvl w:val="2"/>
                <w:rPr>
                  <w:rFonts w:cs="Times New Roman"/>
                  <w:sz w:val="22"/>
                  <w:szCs w:val="22"/>
                </w:rPr>
              </w:pPr>
              <w:r w:rsidRPr="00FB6D17">
                <w:rPr>
                  <w:rFonts w:cs="Times New Roman" w:hint="eastAsia"/>
                  <w:sz w:val="22"/>
                  <w:szCs w:val="22"/>
                </w:rPr>
                <w:t>控股股东的注册资本及其变化（单位：万元）</w:t>
              </w:r>
            </w:p>
            <w:tbl>
              <w:tblPr>
                <w:tblStyle w:val="g4"/>
                <w:tblW w:w="5000" w:type="pct"/>
                <w:jc w:val="center"/>
                <w:tblBorders>
                  <w:top w:val="double" w:sz="4" w:space="0" w:color="auto"/>
                  <w:bottom w:val="double" w:sz="4" w:space="0" w:color="auto"/>
                  <w:insideH w:val="single" w:sz="2" w:space="0" w:color="auto"/>
                  <w:insideV w:val="single" w:sz="2" w:space="0" w:color="auto"/>
                </w:tblBorders>
                <w:tblLook w:val="0000" w:firstRow="0" w:lastRow="0" w:firstColumn="0" w:lastColumn="0" w:noHBand="0" w:noVBand="0"/>
              </w:tblPr>
              <w:tblGrid>
                <w:gridCol w:w="3316"/>
                <w:gridCol w:w="1618"/>
                <w:gridCol w:w="1249"/>
                <w:gridCol w:w="1101"/>
                <w:gridCol w:w="1549"/>
              </w:tblGrid>
              <w:tr w:rsidR="00471D53" w14:paraId="31A0FAEF" w14:textId="77777777" w:rsidTr="00471D53">
                <w:trPr>
                  <w:trHeight w:val="340"/>
                  <w:tblHeader/>
                  <w:jc w:val="center"/>
                </w:trPr>
                <w:tc>
                  <w:tcPr>
                    <w:tcW w:w="1877" w:type="pct"/>
                    <w:vAlign w:val="center"/>
                  </w:tcPr>
                  <w:p w14:paraId="469705C2" w14:textId="77777777" w:rsidR="00471D53" w:rsidRDefault="004F686E" w:rsidP="00471D53">
                    <w:pPr>
                      <w:rPr>
                        <w:b/>
                        <w:sz w:val="22"/>
                        <w:szCs w:val="22"/>
                      </w:rPr>
                    </w:pPr>
                    <w:r>
                      <w:rPr>
                        <w:rFonts w:hint="eastAsia"/>
                        <w:b/>
                        <w:sz w:val="22"/>
                        <w:szCs w:val="22"/>
                      </w:rPr>
                      <w:t>控股股东</w:t>
                    </w:r>
                  </w:p>
                </w:tc>
                <w:tc>
                  <w:tcPr>
                    <w:tcW w:w="916" w:type="pct"/>
                    <w:vAlign w:val="center"/>
                  </w:tcPr>
                  <w:p w14:paraId="2AC4BD8B" w14:textId="77777777" w:rsidR="00471D53" w:rsidRDefault="004F686E" w:rsidP="00471D53">
                    <w:pPr>
                      <w:jc w:val="center"/>
                      <w:rPr>
                        <w:b/>
                        <w:sz w:val="22"/>
                        <w:szCs w:val="22"/>
                      </w:rPr>
                    </w:pPr>
                    <w:r>
                      <w:rPr>
                        <w:rFonts w:hint="eastAsia"/>
                        <w:b/>
                        <w:sz w:val="22"/>
                        <w:szCs w:val="22"/>
                      </w:rPr>
                      <w:t>期初余额</w:t>
                    </w:r>
                  </w:p>
                </w:tc>
                <w:tc>
                  <w:tcPr>
                    <w:tcW w:w="707" w:type="pct"/>
                    <w:vAlign w:val="center"/>
                  </w:tcPr>
                  <w:p w14:paraId="58A83DB5" w14:textId="77777777" w:rsidR="00471D53" w:rsidRDefault="004F686E" w:rsidP="00471D53">
                    <w:pPr>
                      <w:jc w:val="center"/>
                      <w:rPr>
                        <w:b/>
                        <w:sz w:val="22"/>
                        <w:szCs w:val="22"/>
                      </w:rPr>
                    </w:pPr>
                    <w:r>
                      <w:rPr>
                        <w:rFonts w:hint="eastAsia"/>
                        <w:b/>
                        <w:sz w:val="22"/>
                        <w:szCs w:val="22"/>
                      </w:rPr>
                      <w:t>本期增加</w:t>
                    </w:r>
                  </w:p>
                </w:tc>
                <w:tc>
                  <w:tcPr>
                    <w:tcW w:w="623" w:type="pct"/>
                    <w:vAlign w:val="center"/>
                  </w:tcPr>
                  <w:p w14:paraId="49543C25" w14:textId="77777777" w:rsidR="00471D53" w:rsidRDefault="004F686E" w:rsidP="00471D53">
                    <w:pPr>
                      <w:jc w:val="center"/>
                      <w:rPr>
                        <w:b/>
                        <w:sz w:val="22"/>
                        <w:szCs w:val="22"/>
                      </w:rPr>
                    </w:pPr>
                    <w:r>
                      <w:rPr>
                        <w:rFonts w:hint="eastAsia"/>
                        <w:b/>
                        <w:sz w:val="22"/>
                        <w:szCs w:val="22"/>
                      </w:rPr>
                      <w:t>本期减少</w:t>
                    </w:r>
                  </w:p>
                </w:tc>
                <w:tc>
                  <w:tcPr>
                    <w:tcW w:w="877" w:type="pct"/>
                    <w:vAlign w:val="center"/>
                  </w:tcPr>
                  <w:p w14:paraId="3F9426CA" w14:textId="77777777" w:rsidR="00471D53" w:rsidRDefault="004F686E" w:rsidP="00471D53">
                    <w:pPr>
                      <w:jc w:val="center"/>
                      <w:rPr>
                        <w:b/>
                        <w:sz w:val="22"/>
                        <w:szCs w:val="22"/>
                      </w:rPr>
                    </w:pPr>
                    <w:r>
                      <w:rPr>
                        <w:rFonts w:hint="eastAsia"/>
                        <w:b/>
                        <w:sz w:val="22"/>
                        <w:szCs w:val="22"/>
                      </w:rPr>
                      <w:t>期末余额</w:t>
                    </w:r>
                  </w:p>
                </w:tc>
              </w:tr>
              <w:tr w:rsidR="00471D53" w14:paraId="6BBADF13" w14:textId="77777777" w:rsidTr="00471D53">
                <w:trPr>
                  <w:trHeight w:val="340"/>
                  <w:jc w:val="center"/>
                </w:trPr>
                <w:tc>
                  <w:tcPr>
                    <w:tcW w:w="1877" w:type="pct"/>
                    <w:vAlign w:val="center"/>
                  </w:tcPr>
                  <w:p w14:paraId="07C77DB7" w14:textId="77777777" w:rsidR="00471D53" w:rsidRDefault="004F686E" w:rsidP="00471D53">
                    <w:pPr>
                      <w:tabs>
                        <w:tab w:val="left" w:pos="2160"/>
                        <w:tab w:val="left" w:pos="3510"/>
                        <w:tab w:val="left" w:pos="5400"/>
                        <w:tab w:val="left" w:pos="6300"/>
                        <w:tab w:val="right" w:pos="7805"/>
                      </w:tabs>
                      <w:snapToGrid w:val="0"/>
                      <w:rPr>
                        <w:sz w:val="22"/>
                        <w:szCs w:val="22"/>
                      </w:rPr>
                    </w:pPr>
                    <w:r>
                      <w:rPr>
                        <w:rFonts w:hint="eastAsia"/>
                        <w:sz w:val="22"/>
                        <w:szCs w:val="22"/>
                      </w:rPr>
                      <w:t>北京京城机电控股有限责任公司</w:t>
                    </w:r>
                  </w:p>
                </w:tc>
                <w:tc>
                  <w:tcPr>
                    <w:tcW w:w="916" w:type="pct"/>
                    <w:vAlign w:val="center"/>
                  </w:tcPr>
                  <w:p w14:paraId="0B2E959F" w14:textId="77777777" w:rsidR="00471D53" w:rsidRDefault="004F686E" w:rsidP="00471D53">
                    <w:pPr>
                      <w:tabs>
                        <w:tab w:val="left" w:pos="2160"/>
                        <w:tab w:val="left" w:pos="3510"/>
                        <w:tab w:val="left" w:pos="5400"/>
                        <w:tab w:val="left" w:pos="6300"/>
                        <w:tab w:val="right" w:pos="7805"/>
                      </w:tabs>
                      <w:snapToGrid w:val="0"/>
                      <w:jc w:val="right"/>
                      <w:rPr>
                        <w:sz w:val="22"/>
                        <w:szCs w:val="22"/>
                      </w:rPr>
                    </w:pPr>
                    <w:r>
                      <w:rPr>
                        <w:rFonts w:hint="eastAsia"/>
                        <w:sz w:val="22"/>
                        <w:szCs w:val="22"/>
                      </w:rPr>
                      <w:t>235,563.71</w:t>
                    </w:r>
                  </w:p>
                </w:tc>
                <w:tc>
                  <w:tcPr>
                    <w:tcW w:w="707" w:type="pct"/>
                    <w:vAlign w:val="center"/>
                  </w:tcPr>
                  <w:p w14:paraId="152EBAD3" w14:textId="77777777" w:rsidR="00471D53" w:rsidRDefault="004F686E" w:rsidP="00471D53">
                    <w:pPr>
                      <w:tabs>
                        <w:tab w:val="left" w:pos="2160"/>
                        <w:tab w:val="left" w:pos="3510"/>
                        <w:tab w:val="left" w:pos="5400"/>
                        <w:tab w:val="left" w:pos="6300"/>
                        <w:tab w:val="right" w:pos="7805"/>
                      </w:tabs>
                      <w:snapToGrid w:val="0"/>
                      <w:jc w:val="right"/>
                      <w:rPr>
                        <w:sz w:val="22"/>
                        <w:szCs w:val="22"/>
                      </w:rPr>
                    </w:pPr>
                    <w:r>
                      <w:rPr>
                        <w:rFonts w:hint="eastAsia"/>
                        <w:sz w:val="22"/>
                        <w:szCs w:val="22"/>
                      </w:rPr>
                      <w:t>0.00</w:t>
                    </w:r>
                  </w:p>
                </w:tc>
                <w:tc>
                  <w:tcPr>
                    <w:tcW w:w="623" w:type="pct"/>
                    <w:vAlign w:val="center"/>
                  </w:tcPr>
                  <w:p w14:paraId="3CC1DDC2" w14:textId="77777777" w:rsidR="00471D53" w:rsidRDefault="004F686E" w:rsidP="00471D53">
                    <w:pPr>
                      <w:tabs>
                        <w:tab w:val="left" w:pos="2160"/>
                        <w:tab w:val="left" w:pos="3510"/>
                        <w:tab w:val="left" w:pos="5400"/>
                        <w:tab w:val="left" w:pos="6300"/>
                        <w:tab w:val="right" w:pos="7805"/>
                      </w:tabs>
                      <w:snapToGrid w:val="0"/>
                      <w:jc w:val="right"/>
                      <w:rPr>
                        <w:sz w:val="22"/>
                        <w:szCs w:val="22"/>
                      </w:rPr>
                    </w:pPr>
                    <w:r>
                      <w:rPr>
                        <w:rFonts w:hint="eastAsia"/>
                        <w:sz w:val="22"/>
                        <w:szCs w:val="22"/>
                      </w:rPr>
                      <w:t>0.00</w:t>
                    </w:r>
                  </w:p>
                </w:tc>
                <w:tc>
                  <w:tcPr>
                    <w:tcW w:w="877" w:type="pct"/>
                    <w:vAlign w:val="center"/>
                  </w:tcPr>
                  <w:p w14:paraId="746542A6" w14:textId="77777777" w:rsidR="00471D53" w:rsidRDefault="004F686E" w:rsidP="00471D53">
                    <w:pPr>
                      <w:tabs>
                        <w:tab w:val="left" w:pos="2160"/>
                        <w:tab w:val="left" w:pos="3510"/>
                        <w:tab w:val="left" w:pos="5400"/>
                        <w:tab w:val="left" w:pos="6300"/>
                        <w:tab w:val="right" w:pos="7805"/>
                      </w:tabs>
                      <w:snapToGrid w:val="0"/>
                      <w:jc w:val="right"/>
                      <w:rPr>
                        <w:sz w:val="22"/>
                        <w:szCs w:val="22"/>
                      </w:rPr>
                    </w:pPr>
                    <w:r>
                      <w:rPr>
                        <w:rFonts w:hint="eastAsia"/>
                        <w:sz w:val="22"/>
                        <w:szCs w:val="22"/>
                      </w:rPr>
                      <w:t>235,563.71</w:t>
                    </w:r>
                  </w:p>
                </w:tc>
              </w:tr>
            </w:tbl>
            <w:p w14:paraId="7B0CD702" w14:textId="77777777" w:rsidR="00471D53" w:rsidRPr="00FB6D17" w:rsidRDefault="004F686E" w:rsidP="004F686E">
              <w:pPr>
                <w:numPr>
                  <w:ilvl w:val="0"/>
                  <w:numId w:val="101"/>
                </w:numPr>
                <w:tabs>
                  <w:tab w:val="clear" w:pos="1160"/>
                  <w:tab w:val="num" w:pos="420"/>
                  <w:tab w:val="left" w:pos="720"/>
                  <w:tab w:val="left" w:pos="993"/>
                </w:tabs>
                <w:spacing w:beforeLines="50" w:before="120" w:afterLines="50" w:after="120" w:line="360" w:lineRule="exact"/>
                <w:ind w:leftChars="200" w:left="972" w:hangingChars="251" w:hanging="552"/>
                <w:outlineLvl w:val="2"/>
                <w:rPr>
                  <w:rFonts w:cs="Times New Roman"/>
                  <w:sz w:val="22"/>
                  <w:szCs w:val="22"/>
                </w:rPr>
              </w:pPr>
              <w:r w:rsidRPr="00FB6D17">
                <w:rPr>
                  <w:rFonts w:cs="Times New Roman" w:hint="eastAsia"/>
                  <w:sz w:val="22"/>
                  <w:szCs w:val="22"/>
                </w:rPr>
                <w:t>控股股东的所持股份或权益及其变化（单位：万元）</w:t>
              </w:r>
            </w:p>
            <w:tbl>
              <w:tblPr>
                <w:tblStyle w:val="g4"/>
                <w:tblW w:w="0" w:type="auto"/>
                <w:jc w:val="center"/>
                <w:tblBorders>
                  <w:top w:val="double" w:sz="4" w:space="0" w:color="auto"/>
                  <w:bottom w:val="double" w:sz="4" w:space="0" w:color="auto"/>
                  <w:insideH w:val="single" w:sz="2" w:space="0" w:color="auto"/>
                  <w:insideV w:val="single" w:sz="2" w:space="0" w:color="auto"/>
                </w:tblBorders>
                <w:tblLayout w:type="fixed"/>
                <w:tblLook w:val="0000" w:firstRow="0" w:lastRow="0" w:firstColumn="0" w:lastColumn="0" w:noHBand="0" w:noVBand="0"/>
              </w:tblPr>
              <w:tblGrid>
                <w:gridCol w:w="1951"/>
                <w:gridCol w:w="1865"/>
                <w:gridCol w:w="1760"/>
                <w:gridCol w:w="1578"/>
                <w:gridCol w:w="1709"/>
              </w:tblGrid>
              <w:tr w:rsidR="00471D53" w14:paraId="0A1C62BF" w14:textId="77777777" w:rsidTr="00471D53">
                <w:trPr>
                  <w:trHeight w:val="340"/>
                  <w:tblHeader/>
                  <w:jc w:val="center"/>
                </w:trPr>
                <w:tc>
                  <w:tcPr>
                    <w:tcW w:w="1951" w:type="dxa"/>
                    <w:vMerge w:val="restart"/>
                    <w:vAlign w:val="center"/>
                  </w:tcPr>
                  <w:p w14:paraId="36A1525A" w14:textId="77777777" w:rsidR="00471D53" w:rsidRDefault="004F686E" w:rsidP="00471D53">
                    <w:pPr>
                      <w:jc w:val="both"/>
                      <w:rPr>
                        <w:b/>
                        <w:sz w:val="22"/>
                        <w:szCs w:val="22"/>
                      </w:rPr>
                    </w:pPr>
                    <w:r>
                      <w:rPr>
                        <w:rFonts w:hint="eastAsia"/>
                        <w:b/>
                        <w:sz w:val="22"/>
                        <w:szCs w:val="22"/>
                      </w:rPr>
                      <w:t>控股股东</w:t>
                    </w:r>
                  </w:p>
                </w:tc>
                <w:tc>
                  <w:tcPr>
                    <w:tcW w:w="3625" w:type="dxa"/>
                    <w:gridSpan w:val="2"/>
                    <w:vAlign w:val="center"/>
                  </w:tcPr>
                  <w:p w14:paraId="65E10C74" w14:textId="77777777" w:rsidR="00471D53" w:rsidRDefault="004F686E" w:rsidP="00471D53">
                    <w:pPr>
                      <w:jc w:val="center"/>
                      <w:rPr>
                        <w:b/>
                        <w:sz w:val="22"/>
                        <w:szCs w:val="22"/>
                      </w:rPr>
                    </w:pPr>
                    <w:r>
                      <w:rPr>
                        <w:rFonts w:hint="eastAsia"/>
                        <w:b/>
                        <w:sz w:val="22"/>
                        <w:szCs w:val="22"/>
                      </w:rPr>
                      <w:t>持股金额</w:t>
                    </w:r>
                  </w:p>
                </w:tc>
                <w:tc>
                  <w:tcPr>
                    <w:tcW w:w="3287" w:type="dxa"/>
                    <w:gridSpan w:val="2"/>
                    <w:vAlign w:val="center"/>
                  </w:tcPr>
                  <w:p w14:paraId="05A79C1B" w14:textId="77777777" w:rsidR="00471D53" w:rsidRDefault="004F686E" w:rsidP="00471D53">
                    <w:pPr>
                      <w:jc w:val="center"/>
                      <w:rPr>
                        <w:b/>
                        <w:sz w:val="22"/>
                        <w:szCs w:val="22"/>
                      </w:rPr>
                    </w:pPr>
                    <w:r>
                      <w:rPr>
                        <w:rFonts w:hint="eastAsia"/>
                        <w:b/>
                        <w:sz w:val="22"/>
                        <w:szCs w:val="22"/>
                      </w:rPr>
                      <w:t>持股比例（%）</w:t>
                    </w:r>
                  </w:p>
                </w:tc>
              </w:tr>
              <w:tr w:rsidR="00471D53" w14:paraId="5CC090F8" w14:textId="77777777" w:rsidTr="00471D53">
                <w:trPr>
                  <w:trHeight w:val="340"/>
                  <w:tblHeader/>
                  <w:jc w:val="center"/>
                </w:trPr>
                <w:tc>
                  <w:tcPr>
                    <w:tcW w:w="1951" w:type="dxa"/>
                    <w:vMerge/>
                    <w:vAlign w:val="center"/>
                  </w:tcPr>
                  <w:p w14:paraId="7E04EFEE" w14:textId="77777777" w:rsidR="00471D53" w:rsidRDefault="00B664AF" w:rsidP="00471D53">
                    <w:pPr>
                      <w:tabs>
                        <w:tab w:val="left" w:pos="2160"/>
                        <w:tab w:val="left" w:pos="3510"/>
                        <w:tab w:val="left" w:pos="5400"/>
                        <w:tab w:val="left" w:pos="6300"/>
                        <w:tab w:val="right" w:pos="7805"/>
                      </w:tabs>
                      <w:jc w:val="both"/>
                      <w:rPr>
                        <w:b/>
                        <w:sz w:val="22"/>
                        <w:szCs w:val="22"/>
                      </w:rPr>
                    </w:pPr>
                  </w:p>
                </w:tc>
                <w:tc>
                  <w:tcPr>
                    <w:tcW w:w="1865" w:type="dxa"/>
                    <w:vAlign w:val="center"/>
                  </w:tcPr>
                  <w:p w14:paraId="1E7586A8" w14:textId="77777777" w:rsidR="00471D53" w:rsidRDefault="004F686E" w:rsidP="00471D53">
                    <w:pPr>
                      <w:tabs>
                        <w:tab w:val="left" w:pos="2160"/>
                        <w:tab w:val="left" w:pos="3510"/>
                        <w:tab w:val="left" w:pos="5400"/>
                        <w:tab w:val="left" w:pos="6300"/>
                        <w:tab w:val="right" w:pos="7805"/>
                      </w:tabs>
                      <w:jc w:val="center"/>
                      <w:rPr>
                        <w:b/>
                        <w:sz w:val="22"/>
                        <w:szCs w:val="22"/>
                      </w:rPr>
                    </w:pPr>
                    <w:r>
                      <w:rPr>
                        <w:rFonts w:hint="eastAsia"/>
                        <w:b/>
                        <w:sz w:val="22"/>
                        <w:szCs w:val="22"/>
                      </w:rPr>
                      <w:t>期末余额</w:t>
                    </w:r>
                  </w:p>
                </w:tc>
                <w:tc>
                  <w:tcPr>
                    <w:tcW w:w="1760" w:type="dxa"/>
                    <w:vAlign w:val="center"/>
                  </w:tcPr>
                  <w:p w14:paraId="1DBBA4FD" w14:textId="77777777" w:rsidR="00471D53" w:rsidRDefault="004F686E" w:rsidP="00471D53">
                    <w:pPr>
                      <w:tabs>
                        <w:tab w:val="left" w:pos="2160"/>
                        <w:tab w:val="left" w:pos="3510"/>
                        <w:tab w:val="left" w:pos="5400"/>
                        <w:tab w:val="left" w:pos="6300"/>
                        <w:tab w:val="right" w:pos="7805"/>
                      </w:tabs>
                      <w:jc w:val="center"/>
                      <w:rPr>
                        <w:b/>
                        <w:sz w:val="22"/>
                        <w:szCs w:val="22"/>
                      </w:rPr>
                    </w:pPr>
                    <w:r>
                      <w:rPr>
                        <w:rFonts w:hint="eastAsia"/>
                        <w:b/>
                        <w:sz w:val="22"/>
                        <w:szCs w:val="22"/>
                      </w:rPr>
                      <w:t>期初余额</w:t>
                    </w:r>
                  </w:p>
                </w:tc>
                <w:tc>
                  <w:tcPr>
                    <w:tcW w:w="1578" w:type="dxa"/>
                    <w:vAlign w:val="center"/>
                  </w:tcPr>
                  <w:p w14:paraId="42B53C1A" w14:textId="77777777" w:rsidR="00471D53" w:rsidRDefault="004F686E" w:rsidP="00471D53">
                    <w:pPr>
                      <w:tabs>
                        <w:tab w:val="left" w:pos="2160"/>
                        <w:tab w:val="left" w:pos="3510"/>
                        <w:tab w:val="left" w:pos="5400"/>
                        <w:tab w:val="left" w:pos="6300"/>
                        <w:tab w:val="right" w:pos="7805"/>
                      </w:tabs>
                      <w:jc w:val="center"/>
                      <w:rPr>
                        <w:b/>
                        <w:sz w:val="22"/>
                        <w:szCs w:val="22"/>
                      </w:rPr>
                    </w:pPr>
                    <w:r>
                      <w:rPr>
                        <w:rFonts w:hint="eastAsia"/>
                        <w:b/>
                        <w:sz w:val="22"/>
                        <w:szCs w:val="22"/>
                      </w:rPr>
                      <w:t>期末比例</w:t>
                    </w:r>
                  </w:p>
                </w:tc>
                <w:tc>
                  <w:tcPr>
                    <w:tcW w:w="1709" w:type="dxa"/>
                    <w:vAlign w:val="center"/>
                  </w:tcPr>
                  <w:p w14:paraId="3DCF8225" w14:textId="77777777" w:rsidR="00471D53" w:rsidRDefault="004F686E" w:rsidP="00471D53">
                    <w:pPr>
                      <w:tabs>
                        <w:tab w:val="left" w:pos="2160"/>
                        <w:tab w:val="left" w:pos="3510"/>
                        <w:tab w:val="left" w:pos="5400"/>
                        <w:tab w:val="left" w:pos="6300"/>
                        <w:tab w:val="right" w:pos="7805"/>
                      </w:tabs>
                      <w:jc w:val="center"/>
                      <w:rPr>
                        <w:b/>
                        <w:sz w:val="22"/>
                        <w:szCs w:val="22"/>
                      </w:rPr>
                    </w:pPr>
                    <w:r>
                      <w:rPr>
                        <w:rFonts w:hint="eastAsia"/>
                        <w:b/>
                        <w:sz w:val="22"/>
                        <w:szCs w:val="22"/>
                      </w:rPr>
                      <w:t>期初比例</w:t>
                    </w:r>
                  </w:p>
                </w:tc>
              </w:tr>
              <w:tr w:rsidR="00471D53" w14:paraId="07F9B8C7" w14:textId="77777777" w:rsidTr="00471D53">
                <w:trPr>
                  <w:trHeight w:val="340"/>
                  <w:jc w:val="center"/>
                </w:trPr>
                <w:tc>
                  <w:tcPr>
                    <w:tcW w:w="1951" w:type="dxa"/>
                    <w:vAlign w:val="center"/>
                  </w:tcPr>
                  <w:p w14:paraId="62865787" w14:textId="77777777" w:rsidR="00471D53" w:rsidRDefault="004F686E" w:rsidP="00471D53">
                    <w:pPr>
                      <w:tabs>
                        <w:tab w:val="left" w:pos="2160"/>
                        <w:tab w:val="left" w:pos="3510"/>
                        <w:tab w:val="left" w:pos="5400"/>
                        <w:tab w:val="left" w:pos="6300"/>
                        <w:tab w:val="right" w:pos="7805"/>
                      </w:tabs>
                      <w:snapToGrid w:val="0"/>
                      <w:jc w:val="both"/>
                      <w:rPr>
                        <w:sz w:val="22"/>
                        <w:szCs w:val="22"/>
                      </w:rPr>
                    </w:pPr>
                    <w:r>
                      <w:rPr>
                        <w:rFonts w:hint="eastAsia"/>
                        <w:sz w:val="22"/>
                        <w:szCs w:val="22"/>
                      </w:rPr>
                      <w:t>北京京城机电控股有限责任公司</w:t>
                    </w:r>
                  </w:p>
                </w:tc>
                <w:tc>
                  <w:tcPr>
                    <w:tcW w:w="1865" w:type="dxa"/>
                    <w:vAlign w:val="center"/>
                  </w:tcPr>
                  <w:p w14:paraId="56D8C34A" w14:textId="77777777" w:rsidR="00471D53" w:rsidRDefault="004F686E" w:rsidP="00471D53">
                    <w:pPr>
                      <w:tabs>
                        <w:tab w:val="left" w:pos="2160"/>
                        <w:tab w:val="left" w:pos="3510"/>
                        <w:tab w:val="left" w:pos="5400"/>
                        <w:tab w:val="left" w:pos="6300"/>
                        <w:tab w:val="right" w:pos="7805"/>
                      </w:tabs>
                      <w:snapToGrid w:val="0"/>
                      <w:jc w:val="right"/>
                      <w:rPr>
                        <w:sz w:val="22"/>
                        <w:szCs w:val="22"/>
                      </w:rPr>
                    </w:pPr>
                    <w:r>
                      <w:rPr>
                        <w:rFonts w:hint="eastAsia"/>
                        <w:sz w:val="22"/>
                        <w:szCs w:val="22"/>
                      </w:rPr>
                      <w:t>24,573.5052</w:t>
                    </w:r>
                  </w:p>
                </w:tc>
                <w:tc>
                  <w:tcPr>
                    <w:tcW w:w="1760" w:type="dxa"/>
                    <w:vAlign w:val="center"/>
                  </w:tcPr>
                  <w:p w14:paraId="54C8C147" w14:textId="77777777" w:rsidR="00471D53" w:rsidRDefault="004F686E" w:rsidP="00471D53">
                    <w:pPr>
                      <w:tabs>
                        <w:tab w:val="left" w:pos="2160"/>
                        <w:tab w:val="left" w:pos="3510"/>
                        <w:tab w:val="left" w:pos="5400"/>
                        <w:tab w:val="left" w:pos="6300"/>
                        <w:tab w:val="right" w:pos="7805"/>
                      </w:tabs>
                      <w:snapToGrid w:val="0"/>
                      <w:jc w:val="right"/>
                      <w:rPr>
                        <w:sz w:val="22"/>
                        <w:szCs w:val="22"/>
                      </w:rPr>
                    </w:pPr>
                    <w:r>
                      <w:rPr>
                        <w:rFonts w:hint="eastAsia"/>
                        <w:sz w:val="22"/>
                        <w:szCs w:val="22"/>
                      </w:rPr>
                      <w:t>24,573.5052</w:t>
                    </w:r>
                  </w:p>
                </w:tc>
                <w:tc>
                  <w:tcPr>
                    <w:tcW w:w="1578" w:type="dxa"/>
                    <w:vAlign w:val="center"/>
                  </w:tcPr>
                  <w:p w14:paraId="34ABA100" w14:textId="77777777" w:rsidR="00471D53" w:rsidRDefault="004F686E" w:rsidP="00471D53">
                    <w:pPr>
                      <w:tabs>
                        <w:tab w:val="left" w:pos="2160"/>
                        <w:tab w:val="left" w:pos="3510"/>
                        <w:tab w:val="left" w:pos="5400"/>
                        <w:tab w:val="left" w:pos="6300"/>
                        <w:tab w:val="right" w:pos="7805"/>
                      </w:tabs>
                      <w:snapToGrid w:val="0"/>
                      <w:jc w:val="right"/>
                      <w:rPr>
                        <w:sz w:val="22"/>
                        <w:szCs w:val="22"/>
                      </w:rPr>
                    </w:pPr>
                    <w:r>
                      <w:rPr>
                        <w:rFonts w:hint="eastAsia"/>
                        <w:sz w:val="22"/>
                        <w:szCs w:val="22"/>
                      </w:rPr>
                      <w:t>50.67</w:t>
                    </w:r>
                  </w:p>
                </w:tc>
                <w:tc>
                  <w:tcPr>
                    <w:tcW w:w="1709" w:type="dxa"/>
                    <w:vAlign w:val="center"/>
                  </w:tcPr>
                  <w:p w14:paraId="374C5F88" w14:textId="77777777" w:rsidR="00471D53" w:rsidRDefault="004F686E" w:rsidP="00471D53">
                    <w:pPr>
                      <w:tabs>
                        <w:tab w:val="left" w:pos="2160"/>
                        <w:tab w:val="left" w:pos="3510"/>
                        <w:tab w:val="left" w:pos="5400"/>
                        <w:tab w:val="left" w:pos="6300"/>
                        <w:tab w:val="right" w:pos="7805"/>
                      </w:tabs>
                      <w:snapToGrid w:val="0"/>
                      <w:jc w:val="right"/>
                      <w:rPr>
                        <w:sz w:val="22"/>
                        <w:szCs w:val="22"/>
                      </w:rPr>
                    </w:pPr>
                    <w:r>
                      <w:rPr>
                        <w:rFonts w:hint="eastAsia"/>
                        <w:sz w:val="22"/>
                        <w:szCs w:val="22"/>
                      </w:rPr>
                      <w:t>50.67</w:t>
                    </w:r>
                  </w:p>
                </w:tc>
              </w:tr>
            </w:tbl>
            <w:p w14:paraId="12327201" w14:textId="77777777" w:rsidR="00471D53" w:rsidRDefault="00B664AF">
              <w:pPr>
                <w:tabs>
                  <w:tab w:val="left" w:pos="1134"/>
                </w:tabs>
                <w:rPr>
                  <w:rFonts w:cs="Cambria"/>
                  <w:szCs w:val="21"/>
                </w:rPr>
              </w:pPr>
            </w:p>
          </w:sdtContent>
        </w:sdt>
        <w:p w14:paraId="0A468F33" w14:textId="77777777" w:rsidR="00471D53" w:rsidRDefault="004F686E">
          <w:pPr>
            <w:rPr>
              <w:szCs w:val="21"/>
            </w:rPr>
          </w:pPr>
          <w:r>
            <w:rPr>
              <w:rFonts w:hint="eastAsia"/>
              <w:szCs w:val="21"/>
            </w:rPr>
            <w:t>本企业最终控制方是</w:t>
          </w:r>
          <w:sdt>
            <w:sdtPr>
              <w:rPr>
                <w:rFonts w:hint="eastAsia"/>
                <w:szCs w:val="21"/>
              </w:rPr>
              <w:alias w:val="本企业最终控制方"/>
              <w:tag w:val="_GBC_951a676520994ab7a3822c5f58c20b7d"/>
              <w:id w:val="-580370323"/>
              <w:lock w:val="sdtLocked"/>
              <w:placeholder>
                <w:docPart w:val="GBC22222222222222222222222222222"/>
              </w:placeholder>
            </w:sdtPr>
            <w:sdtEndPr/>
            <w:sdtContent>
              <w:r>
                <w:rPr>
                  <w:rFonts w:hint="eastAsia"/>
                  <w:sz w:val="22"/>
                  <w:szCs w:val="22"/>
                </w:rPr>
                <w:t>北京京城机电控股有限责任公司</w:t>
              </w:r>
            </w:sdtContent>
          </w:sdt>
        </w:p>
        <w:p w14:paraId="3EB6BDF8" w14:textId="77777777" w:rsidR="00471D53" w:rsidRDefault="004F686E">
          <w:pPr>
            <w:rPr>
              <w:szCs w:val="21"/>
            </w:rPr>
          </w:pPr>
          <w:r>
            <w:rPr>
              <w:rFonts w:hint="eastAsia"/>
              <w:szCs w:val="21"/>
            </w:rPr>
            <w:t>其他说明：</w:t>
          </w:r>
        </w:p>
        <w:sdt>
          <w:sdtPr>
            <w:rPr>
              <w:szCs w:val="21"/>
            </w:rPr>
            <w:alias w:val="本企业的母公司情况的其他说明"/>
            <w:tag w:val="_GBC_72b4ca7a02944263a74be4174baff4cf"/>
            <w:id w:val="-558936739"/>
            <w:lock w:val="sdtLocked"/>
            <w:placeholder>
              <w:docPart w:val="GBC22222222222222222222222222222"/>
            </w:placeholder>
          </w:sdtPr>
          <w:sdtEndPr/>
          <w:sdtContent>
            <w:p w14:paraId="03A2AB37" w14:textId="77777777" w:rsidR="00471D53" w:rsidRDefault="004F686E">
              <w:pPr>
                <w:rPr>
                  <w:szCs w:val="21"/>
                </w:rPr>
              </w:pPr>
              <w:r>
                <w:rPr>
                  <w:rFonts w:hint="eastAsia"/>
                  <w:szCs w:val="21"/>
                </w:rPr>
                <w:t>无</w:t>
              </w:r>
            </w:p>
          </w:sdtContent>
        </w:sdt>
        <w:p w14:paraId="70971F9A" w14:textId="77777777" w:rsidR="00471D53" w:rsidRDefault="00B664AF">
          <w:pPr>
            <w:rPr>
              <w:szCs w:val="21"/>
            </w:rPr>
          </w:pPr>
        </w:p>
      </w:sdtContent>
    </w:sdt>
    <w:sdt>
      <w:sdtPr>
        <w:rPr>
          <w:rFonts w:ascii="宋体" w:hAnsi="宋体" w:cs="Arial" w:hint="eastAsia"/>
          <w:b w:val="0"/>
          <w:bCs w:val="0"/>
          <w:kern w:val="0"/>
          <w:szCs w:val="21"/>
        </w:rPr>
        <w:alias w:val="模块:本企业的子公司情况"/>
        <w:tag w:val="_GBC_244a434a920446c1838410fee0ac8ba8"/>
        <w:id w:val="347371413"/>
        <w:lock w:val="sdtLocked"/>
        <w:placeholder>
          <w:docPart w:val="GBC22222222222222222222222222222"/>
        </w:placeholder>
      </w:sdtPr>
      <w:sdtEndPr>
        <w:rPr>
          <w:rFonts w:cs="Cambria"/>
        </w:rPr>
      </w:sdtEndPr>
      <w:sdtContent>
        <w:p w14:paraId="7085D81B" w14:textId="77777777" w:rsidR="00471D53" w:rsidRDefault="004F686E" w:rsidP="004F686E">
          <w:pPr>
            <w:pStyle w:val="afffff7"/>
            <w:numPr>
              <w:ilvl w:val="0"/>
              <w:numId w:val="100"/>
            </w:numPr>
            <w:rPr>
              <w:rFonts w:ascii="宋体" w:hAnsi="宋体" w:cs="Arial"/>
              <w:szCs w:val="21"/>
            </w:rPr>
          </w:pPr>
          <w:r>
            <w:rPr>
              <w:rFonts w:ascii="宋体" w:hAnsi="宋体" w:cs="Arial" w:hint="eastAsia"/>
              <w:szCs w:val="21"/>
            </w:rPr>
            <w:t>本企业的子公司情况</w:t>
          </w:r>
        </w:p>
        <w:p w14:paraId="59C074A6" w14:textId="77777777" w:rsidR="00471D53" w:rsidRDefault="004F686E">
          <w:pPr>
            <w:rPr>
              <w:szCs w:val="21"/>
            </w:rPr>
          </w:pPr>
          <w:r>
            <w:rPr>
              <w:rFonts w:hint="eastAsia"/>
              <w:szCs w:val="21"/>
            </w:rPr>
            <w:t>本企业子公司的情况详见附注</w:t>
          </w:r>
        </w:p>
        <w:sdt>
          <w:sdtPr>
            <w:rPr>
              <w:szCs w:val="21"/>
            </w:rPr>
            <w:alias w:val="是否适用：本公司的子公司情况详见附注[双击切换]"/>
            <w:tag w:val="_GBC_a8d551b9f62149d3bf9322adae2c671f"/>
            <w:id w:val="-1597249327"/>
            <w:lock w:val="sdtLocked"/>
            <w:placeholder>
              <w:docPart w:val="GBC22222222222222222222222222222"/>
            </w:placeholder>
          </w:sdtPr>
          <w:sdtEndPr/>
          <w:sdtContent>
            <w:p w14:paraId="4747F36C" w14:textId="77777777" w:rsidR="00471D53" w:rsidRDefault="004F686E" w:rsidP="00471D5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5D4973E8" w14:textId="77777777" w:rsidR="00471D53" w:rsidRDefault="00B664AF">
          <w:pPr>
            <w:tabs>
              <w:tab w:val="left" w:pos="1134"/>
            </w:tabs>
            <w:rPr>
              <w:rFonts w:cs="Cambria"/>
              <w:szCs w:val="21"/>
            </w:rPr>
          </w:pPr>
        </w:p>
      </w:sdtContent>
    </w:sdt>
    <w:bookmarkStart w:id="236" w:name="_Hlk79428093" w:displacedByCustomXml="next"/>
    <w:sdt>
      <w:sdtPr>
        <w:rPr>
          <w:rFonts w:ascii="宋体" w:hAnsi="宋体" w:cs="宋体" w:hint="eastAsia"/>
          <w:b w:val="0"/>
          <w:bCs w:val="0"/>
          <w:kern w:val="0"/>
          <w:szCs w:val="24"/>
        </w:rPr>
        <w:alias w:val="模块:存在关联方交易或余额的合营和联营企业情况"/>
        <w:tag w:val="_GBC_a5638b7fd6a848a19564209060b6909a"/>
        <w:id w:val="-946308322"/>
        <w:lock w:val="sdtLocked"/>
        <w:placeholder>
          <w:docPart w:val="GBC22222222222222222222222222222"/>
        </w:placeholder>
      </w:sdtPr>
      <w:sdtEndPr>
        <w:rPr>
          <w:rFonts w:ascii="Calibri" w:hAnsi="Calibri" w:cs="Cambria"/>
          <w:b/>
          <w:bCs/>
          <w:kern w:val="2"/>
          <w:szCs w:val="21"/>
        </w:rPr>
      </w:sdtEndPr>
      <w:sdtContent>
        <w:p w14:paraId="558873E0" w14:textId="77777777" w:rsidR="0014424C" w:rsidRDefault="0014424C" w:rsidP="0014424C">
          <w:pPr>
            <w:pStyle w:val="3"/>
            <w:numPr>
              <w:ilvl w:val="0"/>
              <w:numId w:val="100"/>
            </w:numPr>
            <w:rPr>
              <w:rFonts w:ascii="宋体" w:hAnsi="宋体"/>
            </w:rPr>
          </w:pPr>
          <w:r>
            <w:rPr>
              <w:rFonts w:ascii="宋体" w:hAnsi="宋体" w:hint="eastAsia"/>
            </w:rPr>
            <w:t>本企业合营和联营企业情况</w:t>
          </w:r>
        </w:p>
        <w:p w14:paraId="6ED24398" w14:textId="77777777" w:rsidR="0014424C" w:rsidRDefault="0014424C">
          <w:r>
            <w:rPr>
              <w:rFonts w:hint="eastAsia"/>
            </w:rPr>
            <w:t>本企业重要的合营或联营企业详见附注</w:t>
          </w:r>
        </w:p>
        <w:sdt>
          <w:sdtPr>
            <w:alias w:val="是否适用：本企业重要的合营或联营企业详见附注[双击切换]"/>
            <w:tag w:val="_GBC_2a369d3377e94598b2a744dfe59973e2"/>
            <w:id w:val="-871382951"/>
            <w:lock w:val="sdtLocked"/>
          </w:sdtPr>
          <w:sdtEndPr/>
          <w:sdtContent>
            <w:p w14:paraId="01C98BD8" w14:textId="72FA743A" w:rsidR="0014424C" w:rsidRDefault="0014424C" w:rsidP="00FB364D">
              <w:r>
                <w:fldChar w:fldCharType="begin"/>
              </w:r>
              <w:r w:rsidR="00FB364D">
                <w:instrText xml:space="preserve"> MACROBUTTON SnrToggleCheckbox □适用 </w:instrText>
              </w:r>
              <w:r>
                <w:fldChar w:fldCharType="end"/>
              </w:r>
              <w:r>
                <w:fldChar w:fldCharType="begin"/>
              </w:r>
              <w:r w:rsidR="00FB364D">
                <w:instrText xml:space="preserve">MACROBUTTON  SnrToggleCheckbox √不适用 </w:instrText>
              </w:r>
              <w:r>
                <w:fldChar w:fldCharType="end"/>
              </w:r>
            </w:p>
          </w:sdtContent>
        </w:sdt>
        <w:p w14:paraId="2C069D76" w14:textId="77777777" w:rsidR="0014424C" w:rsidRDefault="0014424C"/>
        <w:p w14:paraId="14D36FFE" w14:textId="77777777" w:rsidR="0014424C" w:rsidRDefault="0014424C">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cab97913a7cc4573b25c34077eadbc4c"/>
            <w:id w:val="-395742942"/>
            <w:lock w:val="sdtLocked"/>
          </w:sdtPr>
          <w:sdtEndPr/>
          <w:sdtContent>
            <w:p w14:paraId="0E7C2FA1" w14:textId="77777777" w:rsidR="0014424C" w:rsidRDefault="0014424C">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3"/>
            <w:gridCol w:w="4710"/>
          </w:tblGrid>
          <w:tr w:rsidR="0014424C" w14:paraId="6A23298F" w14:textId="77777777" w:rsidTr="0014424C">
            <w:trPr>
              <w:trHeight w:val="284"/>
            </w:trPr>
            <w:sdt>
              <w:sdtPr>
                <w:tag w:val="_PLD_e5c009b9730d40bc93f36e5e672cbe84"/>
                <w:id w:val="-1459255604"/>
                <w:lock w:val="sdtLocked"/>
              </w:sdtPr>
              <w:sdtEndPr/>
              <w:sdtContent>
                <w:tc>
                  <w:tcPr>
                    <w:tcW w:w="2331" w:type="pct"/>
                    <w:tcBorders>
                      <w:top w:val="single" w:sz="4" w:space="0" w:color="auto"/>
                      <w:left w:val="single" w:sz="4" w:space="0" w:color="auto"/>
                      <w:bottom w:val="single" w:sz="4" w:space="0" w:color="auto"/>
                      <w:right w:val="single" w:sz="4" w:space="0" w:color="auto"/>
                    </w:tcBorders>
                    <w:shd w:val="clear" w:color="auto" w:fill="auto"/>
                  </w:tcPr>
                  <w:p w14:paraId="55ECBD94" w14:textId="77777777" w:rsidR="0014424C" w:rsidRDefault="0014424C" w:rsidP="002727B2">
                    <w:pPr>
                      <w:jc w:val="center"/>
                      <w:rPr>
                        <w:rFonts w:cs="Cambria"/>
                        <w:szCs w:val="21"/>
                      </w:rPr>
                    </w:pPr>
                    <w:r>
                      <w:rPr>
                        <w:rFonts w:cs="Cambria" w:hint="eastAsia"/>
                        <w:szCs w:val="21"/>
                      </w:rPr>
                      <w:t>合营或联营企业名称</w:t>
                    </w:r>
                  </w:p>
                </w:tc>
              </w:sdtContent>
            </w:sdt>
            <w:sdt>
              <w:sdtPr>
                <w:tag w:val="_PLD_84c60036e8b849288542661d1d1b9890"/>
                <w:id w:val="-1456943980"/>
                <w:lock w:val="sdtLocked"/>
              </w:sdtPr>
              <w:sdtEndPr/>
              <w:sdtContent>
                <w:tc>
                  <w:tcPr>
                    <w:tcW w:w="2669" w:type="pct"/>
                    <w:tcBorders>
                      <w:top w:val="single" w:sz="4" w:space="0" w:color="auto"/>
                      <w:left w:val="single" w:sz="4" w:space="0" w:color="auto"/>
                      <w:bottom w:val="single" w:sz="4" w:space="0" w:color="auto"/>
                      <w:right w:val="single" w:sz="4" w:space="0" w:color="auto"/>
                    </w:tcBorders>
                    <w:shd w:val="clear" w:color="auto" w:fill="auto"/>
                  </w:tcPr>
                  <w:p w14:paraId="7631A8BC" w14:textId="77777777" w:rsidR="0014424C" w:rsidRDefault="0014424C" w:rsidP="002727B2">
                    <w:pPr>
                      <w:jc w:val="center"/>
                      <w:rPr>
                        <w:rFonts w:cs="Cambria"/>
                        <w:szCs w:val="21"/>
                      </w:rPr>
                    </w:pPr>
                    <w:r>
                      <w:rPr>
                        <w:rFonts w:cs="Cambria" w:hint="eastAsia"/>
                        <w:szCs w:val="21"/>
                      </w:rPr>
                      <w:t>与本企业关系</w:t>
                    </w:r>
                  </w:p>
                </w:tc>
              </w:sdtContent>
            </w:sdt>
          </w:tr>
          <w:sdt>
            <w:sdtPr>
              <w:rPr>
                <w:szCs w:val="21"/>
              </w:rPr>
              <w:alias w:val="存在关联方交易或余额的合营和联营企业情况明细"/>
              <w:tag w:val="_GBC_ef970ecfd5a24d47a5d96098bbd65e25"/>
              <w:id w:val="-1343612736"/>
              <w:lock w:val="sdtLocked"/>
              <w:placeholder>
                <w:docPart w:val="6C717FBFACA347DAB100EF85504E657C"/>
              </w:placeholder>
            </w:sdtPr>
            <w:sdtEndPr/>
            <w:sdtContent>
              <w:tr w:rsidR="0014424C" w14:paraId="3C21EE63" w14:textId="77777777" w:rsidTr="0014424C">
                <w:trPr>
                  <w:trHeight w:val="250"/>
                </w:trPr>
                <w:tc>
                  <w:tcPr>
                    <w:tcW w:w="2331" w:type="pct"/>
                    <w:tcBorders>
                      <w:top w:val="single" w:sz="4" w:space="0" w:color="auto"/>
                      <w:left w:val="single" w:sz="4" w:space="0" w:color="auto"/>
                      <w:bottom w:val="single" w:sz="4" w:space="0" w:color="auto"/>
                      <w:right w:val="single" w:sz="4" w:space="0" w:color="auto"/>
                    </w:tcBorders>
                  </w:tcPr>
                  <w:p w14:paraId="61FE3720" w14:textId="77777777" w:rsidR="0014424C" w:rsidRDefault="0014424C" w:rsidP="002727B2">
                    <w:pPr>
                      <w:rPr>
                        <w:szCs w:val="21"/>
                      </w:rPr>
                    </w:pPr>
                    <w:r>
                      <w:t>江苏天海特种装备有限公司</w:t>
                    </w:r>
                  </w:p>
                </w:tc>
                <w:tc>
                  <w:tcPr>
                    <w:tcW w:w="2669" w:type="pct"/>
                    <w:tcBorders>
                      <w:top w:val="single" w:sz="4" w:space="0" w:color="auto"/>
                      <w:left w:val="single" w:sz="4" w:space="0" w:color="auto"/>
                      <w:bottom w:val="single" w:sz="4" w:space="0" w:color="auto"/>
                      <w:right w:val="single" w:sz="4" w:space="0" w:color="auto"/>
                    </w:tcBorders>
                  </w:tcPr>
                  <w:p w14:paraId="7095C134" w14:textId="77777777" w:rsidR="0014424C" w:rsidRDefault="0014424C" w:rsidP="002727B2">
                    <w:pPr>
                      <w:rPr>
                        <w:szCs w:val="21"/>
                      </w:rPr>
                    </w:pPr>
                    <w:r>
                      <w:t>联营企业</w:t>
                    </w:r>
                  </w:p>
                </w:tc>
              </w:tr>
            </w:sdtContent>
          </w:sdt>
          <w:sdt>
            <w:sdtPr>
              <w:rPr>
                <w:szCs w:val="21"/>
              </w:rPr>
              <w:alias w:val="存在关联方交易或余额的合营和联营企业情况明细"/>
              <w:tag w:val="_GBC_ef970ecfd5a24d47a5d96098bbd65e25"/>
              <w:id w:val="-688683002"/>
              <w:lock w:val="sdtLocked"/>
              <w:placeholder>
                <w:docPart w:val="21CDE798C933497B8E065BB733A8B089"/>
              </w:placeholder>
            </w:sdtPr>
            <w:sdtEndPr/>
            <w:sdtContent>
              <w:tr w:rsidR="0014424C" w14:paraId="6F423F24" w14:textId="77777777" w:rsidTr="0014424C">
                <w:trPr>
                  <w:trHeight w:val="250"/>
                </w:trPr>
                <w:tc>
                  <w:tcPr>
                    <w:tcW w:w="2331" w:type="pct"/>
                    <w:tcBorders>
                      <w:top w:val="single" w:sz="4" w:space="0" w:color="auto"/>
                      <w:left w:val="single" w:sz="4" w:space="0" w:color="auto"/>
                      <w:bottom w:val="single" w:sz="4" w:space="0" w:color="auto"/>
                      <w:right w:val="single" w:sz="4" w:space="0" w:color="auto"/>
                    </w:tcBorders>
                  </w:tcPr>
                  <w:p w14:paraId="7CC32799" w14:textId="77777777" w:rsidR="0014424C" w:rsidRDefault="0014424C" w:rsidP="002727B2">
                    <w:pPr>
                      <w:rPr>
                        <w:szCs w:val="21"/>
                      </w:rPr>
                    </w:pPr>
                    <w:r>
                      <w:t>北京伯肯节能科技股份有限公司</w:t>
                    </w:r>
                  </w:p>
                </w:tc>
                <w:tc>
                  <w:tcPr>
                    <w:tcW w:w="2669" w:type="pct"/>
                    <w:tcBorders>
                      <w:top w:val="single" w:sz="4" w:space="0" w:color="auto"/>
                      <w:left w:val="single" w:sz="4" w:space="0" w:color="auto"/>
                      <w:bottom w:val="single" w:sz="4" w:space="0" w:color="auto"/>
                      <w:right w:val="single" w:sz="4" w:space="0" w:color="auto"/>
                    </w:tcBorders>
                  </w:tcPr>
                  <w:p w14:paraId="65D31E67" w14:textId="77777777" w:rsidR="0014424C" w:rsidRDefault="0014424C" w:rsidP="002727B2">
                    <w:pPr>
                      <w:rPr>
                        <w:szCs w:val="21"/>
                      </w:rPr>
                    </w:pPr>
                    <w:r>
                      <w:t>联营企业</w:t>
                    </w:r>
                  </w:p>
                </w:tc>
              </w:tr>
            </w:sdtContent>
          </w:sdt>
          <w:sdt>
            <w:sdtPr>
              <w:rPr>
                <w:szCs w:val="21"/>
              </w:rPr>
              <w:alias w:val="存在关联方交易或余额的合营和联营企业情况明细"/>
              <w:tag w:val="_GBC_ef970ecfd5a24d47a5d96098bbd65e25"/>
              <w:id w:val="-1410148710"/>
              <w:lock w:val="sdtLocked"/>
              <w:placeholder>
                <w:docPart w:val="6C717FBFACA347DAB100EF85504E657C"/>
              </w:placeholder>
            </w:sdtPr>
            <w:sdtEndPr/>
            <w:sdtContent>
              <w:tr w:rsidR="0014424C" w14:paraId="7E01E29D" w14:textId="77777777" w:rsidTr="0014424C">
                <w:trPr>
                  <w:trHeight w:val="250"/>
                </w:trPr>
                <w:tc>
                  <w:tcPr>
                    <w:tcW w:w="2331" w:type="pct"/>
                    <w:tcBorders>
                      <w:top w:val="single" w:sz="4" w:space="0" w:color="auto"/>
                      <w:left w:val="single" w:sz="4" w:space="0" w:color="auto"/>
                      <w:bottom w:val="single" w:sz="4" w:space="0" w:color="auto"/>
                      <w:right w:val="single" w:sz="4" w:space="0" w:color="auto"/>
                    </w:tcBorders>
                  </w:tcPr>
                  <w:p w14:paraId="5B7D2D3B" w14:textId="77777777" w:rsidR="0014424C" w:rsidRDefault="0014424C" w:rsidP="002727B2">
                    <w:pPr>
                      <w:rPr>
                        <w:szCs w:val="21"/>
                      </w:rPr>
                    </w:pPr>
                    <w:r>
                      <w:t>北京京城海通科技文化发展有限公司</w:t>
                    </w:r>
                  </w:p>
                </w:tc>
                <w:tc>
                  <w:tcPr>
                    <w:tcW w:w="2669" w:type="pct"/>
                    <w:tcBorders>
                      <w:top w:val="single" w:sz="4" w:space="0" w:color="auto"/>
                      <w:left w:val="single" w:sz="4" w:space="0" w:color="auto"/>
                      <w:bottom w:val="single" w:sz="4" w:space="0" w:color="auto"/>
                      <w:right w:val="single" w:sz="4" w:space="0" w:color="auto"/>
                    </w:tcBorders>
                  </w:tcPr>
                  <w:p w14:paraId="6C3D12AA" w14:textId="77777777" w:rsidR="0014424C" w:rsidRDefault="0014424C" w:rsidP="002727B2">
                    <w:pPr>
                      <w:rPr>
                        <w:szCs w:val="21"/>
                      </w:rPr>
                    </w:pPr>
                    <w:r>
                      <w:t>合营企业</w:t>
                    </w:r>
                  </w:p>
                </w:tc>
              </w:tr>
            </w:sdtContent>
          </w:sdt>
          <w:sdt>
            <w:sdtPr>
              <w:rPr>
                <w:szCs w:val="21"/>
              </w:rPr>
              <w:alias w:val="存在关联方交易或余额的合营和联营企业情况明细"/>
              <w:tag w:val="_GBC_ef970ecfd5a24d47a5d96098bbd65e25"/>
              <w:id w:val="1228033162"/>
              <w:lock w:val="sdtLocked"/>
              <w:placeholder>
                <w:docPart w:val="6C717FBFACA347DAB100EF85504E657C"/>
              </w:placeholder>
            </w:sdtPr>
            <w:sdtEndPr/>
            <w:sdtContent>
              <w:tr w:rsidR="0014424C" w14:paraId="4BF9C8D3" w14:textId="77777777" w:rsidTr="0014424C">
                <w:trPr>
                  <w:trHeight w:val="250"/>
                </w:trPr>
                <w:tc>
                  <w:tcPr>
                    <w:tcW w:w="2331" w:type="pct"/>
                    <w:tcBorders>
                      <w:top w:val="single" w:sz="4" w:space="0" w:color="auto"/>
                      <w:left w:val="single" w:sz="4" w:space="0" w:color="auto"/>
                      <w:bottom w:val="single" w:sz="4" w:space="0" w:color="auto"/>
                      <w:right w:val="single" w:sz="4" w:space="0" w:color="auto"/>
                    </w:tcBorders>
                  </w:tcPr>
                  <w:p w14:paraId="295F9FBE" w14:textId="77777777" w:rsidR="0014424C" w:rsidRDefault="0014424C" w:rsidP="002727B2">
                    <w:pPr>
                      <w:rPr>
                        <w:szCs w:val="21"/>
                      </w:rPr>
                    </w:pPr>
                    <w:r>
                      <w:t>北清智创(北京)新能源汽车科技有限公司</w:t>
                    </w:r>
                  </w:p>
                </w:tc>
                <w:tc>
                  <w:tcPr>
                    <w:tcW w:w="2669" w:type="pct"/>
                    <w:tcBorders>
                      <w:top w:val="single" w:sz="4" w:space="0" w:color="auto"/>
                      <w:left w:val="single" w:sz="4" w:space="0" w:color="auto"/>
                      <w:bottom w:val="single" w:sz="4" w:space="0" w:color="auto"/>
                      <w:right w:val="single" w:sz="4" w:space="0" w:color="auto"/>
                    </w:tcBorders>
                  </w:tcPr>
                  <w:p w14:paraId="547FF57E" w14:textId="77777777" w:rsidR="0014424C" w:rsidRDefault="0014424C" w:rsidP="002727B2">
                    <w:pPr>
                      <w:rPr>
                        <w:szCs w:val="21"/>
                      </w:rPr>
                    </w:pPr>
                    <w:r>
                      <w:t>联营企业</w:t>
                    </w:r>
                  </w:p>
                </w:tc>
              </w:tr>
            </w:sdtContent>
          </w:sdt>
        </w:tbl>
        <w:p w14:paraId="489A2FA0" w14:textId="77777777" w:rsidR="0014424C" w:rsidRDefault="0014424C"/>
        <w:p w14:paraId="6E294A22" w14:textId="77777777" w:rsidR="0014424C" w:rsidRDefault="0014424C">
          <w:pPr>
            <w:tabs>
              <w:tab w:val="left" w:pos="1134"/>
            </w:tabs>
            <w:rPr>
              <w:rFonts w:cs="Cambria"/>
              <w:szCs w:val="21"/>
            </w:rPr>
          </w:pPr>
          <w:r>
            <w:rPr>
              <w:rFonts w:cs="Cambria" w:hint="eastAsia"/>
              <w:szCs w:val="21"/>
            </w:rPr>
            <w:t>其他说明</w:t>
          </w:r>
        </w:p>
        <w:sdt>
          <w:sdtPr>
            <w:rPr>
              <w:rFonts w:cs="Cambria"/>
              <w:szCs w:val="21"/>
            </w:rPr>
            <w:alias w:val="是否适用：存在关联方交易或余额的合营和联营企业情况说明[双击切换]"/>
            <w:tag w:val="_GBC_6d56e8a9eaca4f499d758b2eb96268bf"/>
            <w:id w:val="221030179"/>
            <w:lock w:val="sdtLocked"/>
          </w:sdtPr>
          <w:sdtEndPr/>
          <w:sdtContent>
            <w:p w14:paraId="4C6C7822" w14:textId="4FDA8805" w:rsidR="0014424C" w:rsidRDefault="0014424C" w:rsidP="00FB364D">
              <w:pPr>
                <w:tabs>
                  <w:tab w:val="left" w:pos="1134"/>
                </w:tabs>
                <w:rPr>
                  <w:rFonts w:cs="Cambria"/>
                  <w:szCs w:val="21"/>
                </w:rPr>
              </w:pPr>
              <w:r>
                <w:rPr>
                  <w:rFonts w:cs="Cambria"/>
                  <w:szCs w:val="21"/>
                </w:rPr>
                <w:fldChar w:fldCharType="begin"/>
              </w:r>
              <w:r w:rsidR="00FB364D">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FB364D">
                <w:rPr>
                  <w:rFonts w:cs="Cambria"/>
                  <w:szCs w:val="21"/>
                </w:rPr>
                <w:instrText xml:space="preserve">MACROBUTTON  SnrToggleCheckbox √不适用 </w:instrText>
              </w:r>
              <w:r>
                <w:rPr>
                  <w:rFonts w:cs="Cambria"/>
                  <w:szCs w:val="21"/>
                </w:rPr>
                <w:fldChar w:fldCharType="end"/>
              </w:r>
            </w:p>
          </w:sdtContent>
        </w:sdt>
        <w:p w14:paraId="7849944E" w14:textId="77777777" w:rsidR="0014424C" w:rsidRDefault="0014424C">
          <w:pPr>
            <w:tabs>
              <w:tab w:val="left" w:pos="1134"/>
            </w:tabs>
            <w:rPr>
              <w:rFonts w:cs="Cambria"/>
              <w:szCs w:val="21"/>
            </w:rPr>
          </w:pPr>
        </w:p>
        <w:p w14:paraId="70DE2B80" w14:textId="39CB5A04" w:rsidR="00471D53" w:rsidRDefault="00B664AF" w:rsidP="0014424C">
          <w:pPr>
            <w:pStyle w:val="afffff7"/>
            <w:rPr>
              <w:rFonts w:cs="Cambria"/>
              <w:szCs w:val="21"/>
            </w:rPr>
          </w:pPr>
        </w:p>
      </w:sdtContent>
    </w:sdt>
    <w:bookmarkEnd w:id="236" w:displacedByCustomXml="prev"/>
    <w:sdt>
      <w:sdtPr>
        <w:rPr>
          <w:rFonts w:ascii="宋体" w:hAnsi="宋体" w:cs="宋体" w:hint="eastAsia"/>
          <w:b w:val="0"/>
          <w:bCs w:val="0"/>
          <w:kern w:val="0"/>
          <w:szCs w:val="24"/>
        </w:rPr>
        <w:alias w:val="模块:其他关联方情况"/>
        <w:tag w:val="_GBC_047a0ce3dc594d779db6d4cbc1623727"/>
        <w:id w:val="1840960066"/>
        <w:lock w:val="sdtLocked"/>
        <w:placeholder>
          <w:docPart w:val="GBC22222222222222222222222222222"/>
        </w:placeholder>
      </w:sdtPr>
      <w:sdtEndPr>
        <w:rPr>
          <w:rFonts w:cs="Cambria"/>
          <w:szCs w:val="21"/>
        </w:rPr>
      </w:sdtEndPr>
      <w:sdtContent>
        <w:p w14:paraId="03D99CDD" w14:textId="77777777" w:rsidR="00471D53" w:rsidRDefault="004F686E" w:rsidP="004F686E">
          <w:pPr>
            <w:pStyle w:val="afffff7"/>
            <w:numPr>
              <w:ilvl w:val="0"/>
              <w:numId w:val="100"/>
            </w:numPr>
            <w:rPr>
              <w:rFonts w:ascii="宋体" w:hAnsi="宋体"/>
            </w:rPr>
          </w:pPr>
          <w:r>
            <w:rPr>
              <w:rFonts w:ascii="宋体" w:hAnsi="宋体" w:hint="eastAsia"/>
            </w:rPr>
            <w:t>其他关联方情况</w:t>
          </w:r>
        </w:p>
        <w:sdt>
          <w:sdtPr>
            <w:alias w:val="是否适用：其他关联方情况[双击切换]"/>
            <w:tag w:val="_GBC_f9c029ef57734babb6375a74af1e3736"/>
            <w:id w:val="-1676031051"/>
            <w:lock w:val="sdtLocked"/>
            <w:placeholder>
              <w:docPart w:val="GBC22222222222222222222222222222"/>
            </w:placeholder>
          </w:sdtPr>
          <w:sdtEndPr/>
          <w:sdtContent>
            <w:p w14:paraId="4E638DF2"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4944"/>
          </w:tblGrid>
          <w:tr w:rsidR="00471D53" w14:paraId="6D740BA7" w14:textId="77777777" w:rsidTr="00471D53">
            <w:trPr>
              <w:trHeight w:val="267"/>
            </w:trPr>
            <w:sdt>
              <w:sdtPr>
                <w:tag w:val="_PLD_8fe00abbc9b249a98b2e3ac6b12f12db"/>
                <w:id w:val="1504311592"/>
                <w:lock w:val="sdtLocked"/>
              </w:sdtPr>
              <w:sdtEndPr/>
              <w:sdtContent>
                <w:tc>
                  <w:tcPr>
                    <w:tcW w:w="2198" w:type="pct"/>
                    <w:tcBorders>
                      <w:top w:val="single" w:sz="4" w:space="0" w:color="auto"/>
                      <w:left w:val="single" w:sz="4" w:space="0" w:color="auto"/>
                      <w:bottom w:val="single" w:sz="4" w:space="0" w:color="auto"/>
                      <w:right w:val="single" w:sz="4" w:space="0" w:color="auto"/>
                    </w:tcBorders>
                    <w:shd w:val="clear" w:color="auto" w:fill="auto"/>
                  </w:tcPr>
                  <w:p w14:paraId="2C7BB435" w14:textId="77777777" w:rsidR="00471D53" w:rsidRDefault="004F686E" w:rsidP="00471D53">
                    <w:pPr>
                      <w:jc w:val="center"/>
                      <w:rPr>
                        <w:rFonts w:cs="Cambria"/>
                        <w:szCs w:val="21"/>
                      </w:rPr>
                    </w:pPr>
                    <w:r>
                      <w:rPr>
                        <w:rFonts w:cs="Cambria" w:hint="eastAsia"/>
                        <w:szCs w:val="21"/>
                      </w:rPr>
                      <w:t>其他关联方名称</w:t>
                    </w:r>
                  </w:p>
                </w:tc>
              </w:sdtContent>
            </w:sdt>
            <w:sdt>
              <w:sdtPr>
                <w:tag w:val="_PLD_c1304840da1e482f80286e0c7ca19002"/>
                <w:id w:val="-583612885"/>
                <w:lock w:val="sdtLocked"/>
              </w:sdtPr>
              <w:sdtEndPr/>
              <w:sdtContent>
                <w:tc>
                  <w:tcPr>
                    <w:tcW w:w="2802" w:type="pct"/>
                    <w:tcBorders>
                      <w:top w:val="single" w:sz="4" w:space="0" w:color="auto"/>
                      <w:left w:val="single" w:sz="4" w:space="0" w:color="auto"/>
                      <w:bottom w:val="single" w:sz="4" w:space="0" w:color="auto"/>
                      <w:right w:val="single" w:sz="4" w:space="0" w:color="auto"/>
                    </w:tcBorders>
                    <w:shd w:val="clear" w:color="auto" w:fill="auto"/>
                  </w:tcPr>
                  <w:p w14:paraId="3D89E1A7" w14:textId="77777777" w:rsidR="00471D53" w:rsidRDefault="004F686E" w:rsidP="00471D53">
                    <w:pPr>
                      <w:jc w:val="center"/>
                      <w:rPr>
                        <w:rFonts w:cs="Cambria"/>
                        <w:szCs w:val="21"/>
                      </w:rPr>
                    </w:pPr>
                    <w:r>
                      <w:rPr>
                        <w:rFonts w:cs="Cambria" w:hint="eastAsia"/>
                        <w:szCs w:val="21"/>
                      </w:rPr>
                      <w:t>其他关联方与本企业关系</w:t>
                    </w:r>
                  </w:p>
                </w:tc>
              </w:sdtContent>
            </w:sdt>
          </w:tr>
          <w:sdt>
            <w:sdtPr>
              <w:rPr>
                <w:rFonts w:cs="Cambria"/>
                <w:szCs w:val="21"/>
              </w:rPr>
              <w:alias w:val="本企业的其他关联方情况明细"/>
              <w:tag w:val="_GBC_2ec4adf7a1ce48faaeba9536b2bf6d81"/>
              <w:id w:val="-412548488"/>
              <w:lock w:val="sdtLocked"/>
            </w:sdtPr>
            <w:sdtEndPr/>
            <w:sdtContent>
              <w:tr w:rsidR="00471D53" w14:paraId="7B254231" w14:textId="77777777" w:rsidTr="00471D53">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17EFF204" w14:textId="77777777" w:rsidR="00471D53" w:rsidRDefault="004F686E" w:rsidP="00471D53">
                    <w:pPr>
                      <w:rPr>
                        <w:rFonts w:cs="Cambria"/>
                        <w:szCs w:val="21"/>
                      </w:rPr>
                    </w:pPr>
                    <w:r>
                      <w:t>北京市机电研究院有限责任公司</w:t>
                    </w:r>
                  </w:p>
                </w:tc>
                <w:sdt>
                  <w:sdtPr>
                    <w:rPr>
                      <w:rFonts w:cs="Cambria"/>
                      <w:szCs w:val="21"/>
                    </w:rPr>
                    <w:alias w:val="本企业的其他关联方情况明细－其他关联方与本公司关系"/>
                    <w:tag w:val="_GBC_2205fb8ea5f648b5a0c9e8e3f8499f9f"/>
                    <w:id w:val="-78603619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14:paraId="6B24501A" w14:textId="77777777" w:rsidR="00471D53" w:rsidRDefault="004F686E" w:rsidP="00471D53">
                        <w:pPr>
                          <w:rPr>
                            <w:rFonts w:cs="Cambria"/>
                            <w:szCs w:val="21"/>
                          </w:rPr>
                        </w:pPr>
                        <w:r>
                          <w:rPr>
                            <w:rFonts w:cs="Cambria"/>
                            <w:szCs w:val="21"/>
                          </w:rPr>
                          <w:t>受同一控股股东及最终控制方控制的其他企业</w:t>
                        </w:r>
                      </w:p>
                    </w:tc>
                  </w:sdtContent>
                </w:sdt>
              </w:tr>
            </w:sdtContent>
          </w:sdt>
          <w:sdt>
            <w:sdtPr>
              <w:rPr>
                <w:rFonts w:cs="Cambria"/>
                <w:szCs w:val="21"/>
              </w:rPr>
              <w:alias w:val="本企业的其他关联方情况明细"/>
              <w:tag w:val="_GBC_2ec4adf7a1ce48faaeba9536b2bf6d81"/>
              <w:id w:val="-1157992548"/>
              <w:lock w:val="sdtLocked"/>
            </w:sdtPr>
            <w:sdtEndPr/>
            <w:sdtContent>
              <w:tr w:rsidR="00471D53" w14:paraId="6DEC8CD9" w14:textId="77777777" w:rsidTr="00471D53">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5C73B811" w14:textId="77777777" w:rsidR="00471D53" w:rsidRDefault="004F686E" w:rsidP="00471D53">
                    <w:pPr>
                      <w:rPr>
                        <w:rFonts w:cs="Cambria"/>
                        <w:szCs w:val="21"/>
                      </w:rPr>
                    </w:pPr>
                    <w:r>
                      <w:t>北京第一机床厂</w:t>
                    </w:r>
                  </w:p>
                </w:tc>
                <w:sdt>
                  <w:sdtPr>
                    <w:rPr>
                      <w:rFonts w:cs="Cambria"/>
                      <w:szCs w:val="21"/>
                    </w:rPr>
                    <w:alias w:val="本企业的其他关联方情况明细－其他关联方与本公司关系"/>
                    <w:tag w:val="_GBC_2205fb8ea5f648b5a0c9e8e3f8499f9f"/>
                    <w:id w:val="-19253866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14:paraId="5E69480E" w14:textId="77777777" w:rsidR="00471D53" w:rsidRDefault="004F686E" w:rsidP="00471D53">
                        <w:pPr>
                          <w:rPr>
                            <w:rFonts w:cs="Cambria"/>
                            <w:szCs w:val="21"/>
                          </w:rPr>
                        </w:pPr>
                        <w:r>
                          <w:rPr>
                            <w:rFonts w:cs="Cambria"/>
                            <w:szCs w:val="21"/>
                          </w:rPr>
                          <w:t>受同一控股股东及最终控制方控制的其他企业</w:t>
                        </w:r>
                      </w:p>
                    </w:tc>
                  </w:sdtContent>
                </w:sdt>
              </w:tr>
            </w:sdtContent>
          </w:sdt>
          <w:sdt>
            <w:sdtPr>
              <w:rPr>
                <w:rFonts w:cs="Cambria"/>
                <w:szCs w:val="21"/>
              </w:rPr>
              <w:alias w:val="本企业的其他关联方情况明细"/>
              <w:tag w:val="_GBC_2ec4adf7a1ce48faaeba9536b2bf6d81"/>
              <w:id w:val="-550533939"/>
              <w:lock w:val="sdtLocked"/>
            </w:sdtPr>
            <w:sdtEndPr/>
            <w:sdtContent>
              <w:tr w:rsidR="00471D53" w14:paraId="77581FF2" w14:textId="77777777" w:rsidTr="00471D53">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3B70CB34" w14:textId="77777777" w:rsidR="00471D53" w:rsidRDefault="004F686E" w:rsidP="00471D53">
                    <w:pPr>
                      <w:rPr>
                        <w:rFonts w:cs="Cambria"/>
                        <w:szCs w:val="21"/>
                      </w:rPr>
                    </w:pPr>
                    <w:r>
                      <w:t>北京京城工业物流有限公司</w:t>
                    </w:r>
                  </w:p>
                </w:tc>
                <w:sdt>
                  <w:sdtPr>
                    <w:rPr>
                      <w:rFonts w:cs="Cambria"/>
                      <w:szCs w:val="21"/>
                    </w:rPr>
                    <w:alias w:val="本企业的其他关联方情况明细－其他关联方与本公司关系"/>
                    <w:tag w:val="_GBC_2205fb8ea5f648b5a0c9e8e3f8499f9f"/>
                    <w:id w:val="16521846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14:paraId="71306D51" w14:textId="77777777" w:rsidR="00471D53" w:rsidRDefault="004F686E" w:rsidP="00471D53">
                        <w:pPr>
                          <w:rPr>
                            <w:rFonts w:cs="Cambria"/>
                            <w:szCs w:val="21"/>
                          </w:rPr>
                        </w:pPr>
                        <w:r>
                          <w:rPr>
                            <w:rFonts w:cs="Cambria"/>
                            <w:szCs w:val="21"/>
                          </w:rPr>
                          <w:t>受同一控股股东及最终控制方控制的其他企业</w:t>
                        </w:r>
                      </w:p>
                    </w:tc>
                  </w:sdtContent>
                </w:sdt>
              </w:tr>
            </w:sdtContent>
          </w:sdt>
          <w:sdt>
            <w:sdtPr>
              <w:rPr>
                <w:rFonts w:cs="Cambria"/>
                <w:szCs w:val="21"/>
              </w:rPr>
              <w:alias w:val="本企业的其他关联方情况明细"/>
              <w:tag w:val="_GBC_2ec4adf7a1ce48faaeba9536b2bf6d81"/>
              <w:id w:val="-1134954024"/>
              <w:lock w:val="sdtLocked"/>
            </w:sdtPr>
            <w:sdtEndPr/>
            <w:sdtContent>
              <w:tr w:rsidR="00471D53" w14:paraId="1D41ACB8" w14:textId="77777777" w:rsidTr="00471D53">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766057E2" w14:textId="77777777" w:rsidR="00471D53" w:rsidRDefault="004F686E" w:rsidP="00471D53">
                    <w:pPr>
                      <w:rPr>
                        <w:rFonts w:cs="Cambria"/>
                        <w:szCs w:val="21"/>
                      </w:rPr>
                    </w:pPr>
                    <w:r>
                      <w:t>天津大无缝投资有限公司</w:t>
                    </w:r>
                  </w:p>
                </w:tc>
                <w:sdt>
                  <w:sdtPr>
                    <w:rPr>
                      <w:rFonts w:cs="Cambria"/>
                      <w:szCs w:val="21"/>
                    </w:rPr>
                    <w:alias w:val="本企业的其他关联方情况明细－其他关联方与本公司关系"/>
                    <w:tag w:val="_GBC_2205fb8ea5f648b5a0c9e8e3f8499f9f"/>
                    <w:id w:val="27776677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14:paraId="6918769B" w14:textId="77777777" w:rsidR="00471D53" w:rsidRDefault="004F686E" w:rsidP="00471D53">
                        <w:pPr>
                          <w:rPr>
                            <w:rFonts w:cs="Cambria"/>
                            <w:szCs w:val="21"/>
                          </w:rPr>
                        </w:pPr>
                        <w:r>
                          <w:rPr>
                            <w:rFonts w:cs="Cambria"/>
                            <w:szCs w:val="21"/>
                          </w:rPr>
                          <w:t>子公司的少数股东</w:t>
                        </w:r>
                      </w:p>
                    </w:tc>
                  </w:sdtContent>
                </w:sdt>
              </w:tr>
            </w:sdtContent>
          </w:sdt>
          <w:sdt>
            <w:sdtPr>
              <w:rPr>
                <w:rFonts w:cs="Cambria"/>
                <w:szCs w:val="21"/>
              </w:rPr>
              <w:alias w:val="本企业的其他关联方情况明细"/>
              <w:tag w:val="_GBC_2ec4adf7a1ce48faaeba9536b2bf6d81"/>
              <w:id w:val="-350338605"/>
              <w:lock w:val="sdtLocked"/>
            </w:sdtPr>
            <w:sdtEndPr/>
            <w:sdtContent>
              <w:tr w:rsidR="00471D53" w14:paraId="16DA1E3E" w14:textId="77777777" w:rsidTr="00471D53">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670DE819" w14:textId="77777777" w:rsidR="00471D53" w:rsidRDefault="004F686E" w:rsidP="00471D53">
                    <w:pPr>
                      <w:rPr>
                        <w:rFonts w:cs="Cambria"/>
                        <w:szCs w:val="21"/>
                      </w:rPr>
                    </w:pPr>
                    <w:r>
                      <w:t>宽城升华压力容器制造有限责任公司</w:t>
                    </w:r>
                  </w:p>
                </w:tc>
                <w:sdt>
                  <w:sdtPr>
                    <w:rPr>
                      <w:rFonts w:cs="Cambria"/>
                      <w:szCs w:val="21"/>
                    </w:rPr>
                    <w:alias w:val="本企业的其他关联方情况明细－其他关联方与本公司关系"/>
                    <w:tag w:val="_GBC_2205fb8ea5f648b5a0c9e8e3f8499f9f"/>
                    <w:id w:val="122764826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14:paraId="1B8DF1EF" w14:textId="77777777" w:rsidR="00471D53" w:rsidRDefault="004F686E" w:rsidP="00471D53">
                        <w:pPr>
                          <w:rPr>
                            <w:rFonts w:cs="Cambria"/>
                            <w:szCs w:val="21"/>
                          </w:rPr>
                        </w:pPr>
                        <w:r>
                          <w:rPr>
                            <w:rFonts w:cs="Cambria"/>
                            <w:szCs w:val="21"/>
                          </w:rPr>
                          <w:t>子公司的少数股东</w:t>
                        </w:r>
                      </w:p>
                    </w:tc>
                  </w:sdtContent>
                </w:sdt>
              </w:tr>
            </w:sdtContent>
          </w:sdt>
          <w:sdt>
            <w:sdtPr>
              <w:rPr>
                <w:rFonts w:cs="Cambria"/>
                <w:szCs w:val="21"/>
              </w:rPr>
              <w:alias w:val="本企业的其他关联方情况明细"/>
              <w:tag w:val="_GBC_2ec4adf7a1ce48faaeba9536b2bf6d81"/>
              <w:id w:val="1322396785"/>
              <w:lock w:val="sdtLocked"/>
            </w:sdtPr>
            <w:sdtEndPr/>
            <w:sdtContent>
              <w:tr w:rsidR="00471D53" w14:paraId="54113C2E" w14:textId="77777777" w:rsidTr="00471D53">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1FB68C3F" w14:textId="77777777" w:rsidR="00471D53" w:rsidRDefault="004F686E" w:rsidP="00471D53">
                    <w:pPr>
                      <w:rPr>
                        <w:rFonts w:cs="Cambria"/>
                        <w:szCs w:val="21"/>
                      </w:rPr>
                    </w:pPr>
                    <w:r>
                      <w:t>郑国祥</w:t>
                    </w:r>
                  </w:p>
                </w:tc>
                <w:sdt>
                  <w:sdtPr>
                    <w:rPr>
                      <w:rFonts w:cs="Cambria"/>
                      <w:szCs w:val="21"/>
                    </w:rPr>
                    <w:alias w:val="本企业的其他关联方情况明细－其他关联方与本公司关系"/>
                    <w:tag w:val="_GBC_2205fb8ea5f648b5a0c9e8e3f8499f9f"/>
                    <w:id w:val="-190598998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14:paraId="392F1A83" w14:textId="77777777" w:rsidR="00471D53" w:rsidRDefault="004F686E" w:rsidP="00471D53">
                        <w:pPr>
                          <w:rPr>
                            <w:rFonts w:cs="Cambria"/>
                            <w:szCs w:val="21"/>
                          </w:rPr>
                        </w:pPr>
                        <w:r>
                          <w:rPr>
                            <w:rFonts w:cs="Cambria"/>
                            <w:szCs w:val="21"/>
                          </w:rPr>
                          <w:t>子公司的少数股东</w:t>
                        </w:r>
                      </w:p>
                    </w:tc>
                  </w:sdtContent>
                </w:sdt>
              </w:tr>
            </w:sdtContent>
          </w:sdt>
          <w:sdt>
            <w:sdtPr>
              <w:rPr>
                <w:rFonts w:cs="Cambria"/>
                <w:szCs w:val="21"/>
              </w:rPr>
              <w:alias w:val="本企业的其他关联方情况明细"/>
              <w:tag w:val="_GBC_2ec4adf7a1ce48faaeba9536b2bf6d81"/>
              <w:id w:val="1502928361"/>
              <w:lock w:val="sdtLocked"/>
            </w:sdtPr>
            <w:sdtEndPr/>
            <w:sdtContent>
              <w:tr w:rsidR="00471D53" w14:paraId="117B0F21" w14:textId="77777777" w:rsidTr="00471D53">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0950973D" w14:textId="77777777" w:rsidR="00471D53" w:rsidRDefault="004F686E" w:rsidP="00471D53">
                    <w:pPr>
                      <w:rPr>
                        <w:rFonts w:cs="Cambria"/>
                        <w:szCs w:val="21"/>
                      </w:rPr>
                    </w:pPr>
                    <w:r>
                      <w:t>郭志红</w:t>
                    </w:r>
                  </w:p>
                </w:tc>
                <w:sdt>
                  <w:sdtPr>
                    <w:rPr>
                      <w:rFonts w:cs="Cambria"/>
                      <w:szCs w:val="21"/>
                    </w:rPr>
                    <w:alias w:val="本企业的其他关联方情况明细－其他关联方与本公司关系"/>
                    <w:tag w:val="_GBC_2205fb8ea5f648b5a0c9e8e3f8499f9f"/>
                    <w:id w:val="107795129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14:paraId="73C6A632" w14:textId="77777777" w:rsidR="00471D53" w:rsidRDefault="004F686E" w:rsidP="00471D53">
                        <w:pPr>
                          <w:rPr>
                            <w:rFonts w:cs="Cambria"/>
                            <w:szCs w:val="21"/>
                          </w:rPr>
                        </w:pPr>
                        <w:r>
                          <w:rPr>
                            <w:rFonts w:cs="Cambria"/>
                            <w:szCs w:val="21"/>
                          </w:rPr>
                          <w:t>子公司的少数股东</w:t>
                        </w:r>
                      </w:p>
                    </w:tc>
                  </w:sdtContent>
                </w:sdt>
              </w:tr>
            </w:sdtContent>
          </w:sdt>
          <w:sdt>
            <w:sdtPr>
              <w:rPr>
                <w:rFonts w:cs="Cambria"/>
                <w:szCs w:val="21"/>
              </w:rPr>
              <w:alias w:val="本企业的其他关联方情况明细"/>
              <w:tag w:val="_GBC_2ec4adf7a1ce48faaeba9536b2bf6d81"/>
              <w:id w:val="-1017468185"/>
              <w:lock w:val="sdtLocked"/>
            </w:sdtPr>
            <w:sdtEndPr/>
            <w:sdtContent>
              <w:tr w:rsidR="00471D53" w14:paraId="1F2F91AD" w14:textId="77777777" w:rsidTr="00471D53">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4E995086" w14:textId="77777777" w:rsidR="00471D53" w:rsidRDefault="004F686E" w:rsidP="00471D53">
                    <w:pPr>
                      <w:rPr>
                        <w:rFonts w:cs="Cambria"/>
                        <w:szCs w:val="21"/>
                      </w:rPr>
                    </w:pPr>
                    <w:r>
                      <w:t>北京兰天达汽车清洁燃料技术有限公司</w:t>
                    </w:r>
                  </w:p>
                </w:tc>
                <w:sdt>
                  <w:sdtPr>
                    <w:rPr>
                      <w:rFonts w:cs="Cambria"/>
                      <w:szCs w:val="21"/>
                    </w:rPr>
                    <w:alias w:val="本企业的其他关联方情况明细－其他关联方与本公司关系"/>
                    <w:tag w:val="_GBC_2205fb8ea5f648b5a0c9e8e3f8499f9f"/>
                    <w:id w:val="-161211575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14:paraId="6AB3008A" w14:textId="77777777" w:rsidR="00471D53" w:rsidRDefault="004F686E" w:rsidP="00471D53">
                        <w:pPr>
                          <w:rPr>
                            <w:rFonts w:cs="Cambria"/>
                            <w:szCs w:val="21"/>
                          </w:rPr>
                        </w:pPr>
                        <w:r>
                          <w:rPr>
                            <w:rFonts w:cs="Cambria"/>
                            <w:szCs w:val="21"/>
                          </w:rPr>
                          <w:t>联营企业的全资子公司</w:t>
                        </w:r>
                      </w:p>
                    </w:tc>
                  </w:sdtContent>
                </w:sdt>
              </w:tr>
            </w:sdtContent>
          </w:sdt>
        </w:tbl>
        <w:p w14:paraId="3863377B" w14:textId="77777777" w:rsidR="00471D53" w:rsidRDefault="00B664AF"/>
        <w:p w14:paraId="5154362F" w14:textId="77777777" w:rsidR="00471D53" w:rsidRDefault="004F686E">
          <w:pPr>
            <w:tabs>
              <w:tab w:val="left" w:pos="1134"/>
            </w:tabs>
            <w:rPr>
              <w:rFonts w:cs="Cambria"/>
              <w:szCs w:val="21"/>
            </w:rPr>
          </w:pPr>
          <w:r>
            <w:rPr>
              <w:rFonts w:cs="Cambria" w:hint="eastAsia"/>
              <w:szCs w:val="21"/>
            </w:rPr>
            <w:t>其他说明</w:t>
          </w:r>
        </w:p>
        <w:sdt>
          <w:sdtPr>
            <w:rPr>
              <w:rFonts w:cs="Cambria"/>
              <w:szCs w:val="21"/>
            </w:rPr>
            <w:alias w:val="本企业的其他关联方情况的说明"/>
            <w:tag w:val="_GBC_214bcb1375e347c4be22006f5cc854a9"/>
            <w:id w:val="-964039084"/>
            <w:lock w:val="sdtLocked"/>
            <w:placeholder>
              <w:docPart w:val="GBC22222222222222222222222222222"/>
            </w:placeholder>
          </w:sdtPr>
          <w:sdtEndPr/>
          <w:sdtContent>
            <w:p w14:paraId="26AF9460" w14:textId="77777777" w:rsidR="00471D53" w:rsidRDefault="004F686E">
              <w:pPr>
                <w:tabs>
                  <w:tab w:val="left" w:pos="1134"/>
                </w:tabs>
                <w:rPr>
                  <w:rFonts w:cs="Cambria"/>
                  <w:szCs w:val="21"/>
                </w:rPr>
              </w:pPr>
              <w:r>
                <w:rPr>
                  <w:rFonts w:cs="Cambria" w:hint="eastAsia"/>
                  <w:szCs w:val="21"/>
                </w:rPr>
                <w:t>无</w:t>
              </w:r>
            </w:p>
          </w:sdtContent>
        </w:sdt>
        <w:p w14:paraId="1534996B" w14:textId="77777777" w:rsidR="00471D53" w:rsidRDefault="00B664AF">
          <w:pPr>
            <w:tabs>
              <w:tab w:val="left" w:pos="1134"/>
            </w:tabs>
            <w:rPr>
              <w:rFonts w:cs="Cambria"/>
              <w:b/>
              <w:szCs w:val="21"/>
            </w:rPr>
          </w:pPr>
        </w:p>
      </w:sdtContent>
    </w:sdt>
    <w:p w14:paraId="0EC9D517" w14:textId="77777777" w:rsidR="00471D53" w:rsidRDefault="004F686E" w:rsidP="004F686E">
      <w:pPr>
        <w:pStyle w:val="afffff7"/>
        <w:numPr>
          <w:ilvl w:val="0"/>
          <w:numId w:val="100"/>
        </w:numPr>
        <w:rPr>
          <w:rFonts w:ascii="宋体" w:hAnsi="宋体"/>
        </w:rPr>
      </w:pPr>
      <w:bookmarkStart w:id="237" w:name="_Hlk78829872"/>
      <w:r>
        <w:rPr>
          <w:rFonts w:ascii="宋体" w:hAnsi="宋体" w:hint="eastAsia"/>
        </w:rPr>
        <w:t>关联交易情况</w:t>
      </w:r>
    </w:p>
    <w:p w14:paraId="700083AE" w14:textId="77777777" w:rsidR="00471D53" w:rsidRDefault="004F686E" w:rsidP="004F686E">
      <w:pPr>
        <w:pStyle w:val="afffff8"/>
        <w:numPr>
          <w:ilvl w:val="0"/>
          <w:numId w:val="102"/>
        </w:numPr>
        <w:tabs>
          <w:tab w:val="left" w:pos="616"/>
        </w:tabs>
        <w:rPr>
          <w:rFonts w:ascii="宋体" w:hAnsi="宋体"/>
        </w:rPr>
      </w:pPr>
      <w:r>
        <w:rPr>
          <w:rFonts w:ascii="宋体" w:hAnsi="宋体" w:hint="eastAsia"/>
        </w:rPr>
        <w:t>购销商品、提供和接受劳务的关联交易</w:t>
      </w:r>
    </w:p>
    <w:sdt>
      <w:sdtPr>
        <w:rPr>
          <w:rFonts w:hint="eastAsia"/>
        </w:rPr>
        <w:alias w:val="模块:采购商品/接受劳务情况表"/>
        <w:tag w:val="_GBC_dbf08b5679414647a0fbf4c088d641de"/>
        <w:id w:val="-1776155179"/>
        <w:lock w:val="sdtLocked"/>
        <w:placeholder>
          <w:docPart w:val="GBC22222222222222222222222222222"/>
        </w:placeholder>
      </w:sdtPr>
      <w:sdtEndPr>
        <w:rPr>
          <w:rFonts w:hint="default"/>
        </w:rPr>
      </w:sdtEndPr>
      <w:sdtContent>
        <w:p w14:paraId="5EC8B07B" w14:textId="77777777" w:rsidR="00471D53" w:rsidRDefault="004F686E">
          <w:r>
            <w:rPr>
              <w:rFonts w:hint="eastAsia"/>
            </w:rPr>
            <w:t>采购商品/接受劳务情况表</w:t>
          </w:r>
        </w:p>
        <w:sdt>
          <w:sdtPr>
            <w:alias w:val="是否适用：采购商品或接受劳务情况表[双击切换]"/>
            <w:tag w:val="_GBC_ba304c7536f34a3f9d88448fb11ca349"/>
            <w:id w:val="-1463034789"/>
            <w:lock w:val="sdtLocked"/>
            <w:placeholder>
              <w:docPart w:val="GBC22222222222222222222222222222"/>
            </w:placeholder>
          </w:sdtPr>
          <w:sdtEndPr/>
          <w:sdtContent>
            <w:p w14:paraId="54274BB4"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9DC3A21" w14:textId="01163572" w:rsidR="00471D53" w:rsidRDefault="004F686E">
          <w:pPr>
            <w:jc w:val="right"/>
            <w:rPr>
              <w:rFonts w:cs="Cambria"/>
              <w:b/>
              <w:bCs/>
              <w:szCs w:val="21"/>
            </w:rPr>
          </w:pPr>
          <w:r>
            <w:rPr>
              <w:rFonts w:cs="Cambria" w:hint="eastAsia"/>
              <w:szCs w:val="21"/>
            </w:rPr>
            <w:t>单位：</w:t>
          </w:r>
          <w:sdt>
            <w:sdtPr>
              <w:rPr>
                <w:rFonts w:cs="Cambria" w:hint="eastAsia"/>
                <w:szCs w:val="21"/>
              </w:rPr>
              <w:alias w:val="单位：采购商品接受劳务情况表"/>
              <w:tag w:val="_GBC_e8711f0989ee42659555a9f5631abd88"/>
              <w:id w:val="-20225529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cs="Cambria" w:hint="eastAsia"/>
                  <w:szCs w:val="21"/>
                </w:rPr>
                <w:t>元</w:t>
              </w:r>
            </w:sdtContent>
          </w:sdt>
          <w:r>
            <w:rPr>
              <w:rFonts w:cs="Cambria" w:hint="eastAsia"/>
              <w:szCs w:val="21"/>
            </w:rPr>
            <w:t>币种：</w:t>
          </w:r>
          <w:sdt>
            <w:sdtPr>
              <w:rPr>
                <w:rFonts w:cs="Cambria" w:hint="eastAsia"/>
                <w:szCs w:val="21"/>
              </w:rPr>
              <w:alias w:val="币种：采购商品接受劳务情况表"/>
              <w:tag w:val="_GBC_dc28b68caa744ea9a5230887b822319a"/>
              <w:id w:val="-8699075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Cambria"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2404"/>
            <w:gridCol w:w="2126"/>
            <w:gridCol w:w="2153"/>
            <w:gridCol w:w="2140"/>
          </w:tblGrid>
          <w:tr w:rsidR="00471D53" w14:paraId="2EBB42AB" w14:textId="77777777" w:rsidTr="00471D53">
            <w:trPr>
              <w:cantSplit/>
              <w:trHeight w:val="295"/>
            </w:trPr>
            <w:sdt>
              <w:sdtPr>
                <w:tag w:val="_PLD_5b37ccbdc11a45c3bbc2cf6527561c9d"/>
                <w:id w:val="166523950"/>
                <w:lock w:val="sdtLocked"/>
              </w:sdtPr>
              <w:sdtEndPr/>
              <w:sdtContent>
                <w:tc>
                  <w:tcPr>
                    <w:tcW w:w="1362" w:type="pct"/>
                    <w:tcBorders>
                      <w:top w:val="single" w:sz="4" w:space="0" w:color="auto"/>
                      <w:left w:val="single" w:sz="4" w:space="0" w:color="auto"/>
                      <w:bottom w:val="single" w:sz="4" w:space="0" w:color="auto"/>
                      <w:right w:val="single" w:sz="4" w:space="0" w:color="auto"/>
                    </w:tcBorders>
                    <w:shd w:val="clear" w:color="auto" w:fill="auto"/>
                    <w:vAlign w:val="center"/>
                  </w:tcPr>
                  <w:p w14:paraId="29682A77" w14:textId="77777777" w:rsidR="00471D53" w:rsidRDefault="004F686E" w:rsidP="00471D53">
                    <w:pPr>
                      <w:jc w:val="center"/>
                      <w:rPr>
                        <w:rFonts w:cs="Cambria"/>
                        <w:szCs w:val="21"/>
                      </w:rPr>
                    </w:pPr>
                    <w:r>
                      <w:rPr>
                        <w:rFonts w:cs="Cambria" w:hint="eastAsia"/>
                        <w:szCs w:val="21"/>
                      </w:rPr>
                      <w:t>关联方</w:t>
                    </w:r>
                  </w:p>
                </w:tc>
              </w:sdtContent>
            </w:sdt>
            <w:sdt>
              <w:sdtPr>
                <w:tag w:val="_PLD_2d7b095c1f35485da0de73d655b7a571"/>
                <w:id w:val="-43844486"/>
                <w:lock w:val="sdtLocked"/>
              </w:sdtPr>
              <w:sdtEndPr/>
              <w:sdtContent>
                <w:tc>
                  <w:tcPr>
                    <w:tcW w:w="1205" w:type="pct"/>
                    <w:tcBorders>
                      <w:top w:val="single" w:sz="4" w:space="0" w:color="auto"/>
                      <w:left w:val="single" w:sz="4" w:space="0" w:color="auto"/>
                      <w:bottom w:val="single" w:sz="4" w:space="0" w:color="auto"/>
                      <w:right w:val="single" w:sz="4" w:space="0" w:color="auto"/>
                    </w:tcBorders>
                    <w:shd w:val="clear" w:color="auto" w:fill="auto"/>
                    <w:vAlign w:val="center"/>
                  </w:tcPr>
                  <w:p w14:paraId="0309C5A1" w14:textId="77777777" w:rsidR="00471D53" w:rsidRDefault="004F686E" w:rsidP="00471D53">
                    <w:pPr>
                      <w:jc w:val="center"/>
                      <w:rPr>
                        <w:rFonts w:cs="Cambria"/>
                        <w:szCs w:val="21"/>
                      </w:rPr>
                    </w:pPr>
                    <w:r>
                      <w:rPr>
                        <w:rFonts w:cs="Cambria" w:hint="eastAsia"/>
                        <w:szCs w:val="21"/>
                      </w:rPr>
                      <w:t>关联交易内容</w:t>
                    </w:r>
                  </w:p>
                </w:tc>
              </w:sdtContent>
            </w:sdt>
            <w:sdt>
              <w:sdtPr>
                <w:tag w:val="_PLD_2d255188abfa41f4af0fad1a74ac6d6d"/>
                <w:id w:val="930321088"/>
                <w:lock w:val="sdtLocked"/>
              </w:sdtPr>
              <w:sdtEndPr/>
              <w:sdtContent>
                <w:tc>
                  <w:tcPr>
                    <w:tcW w:w="1220" w:type="pct"/>
                    <w:tcBorders>
                      <w:top w:val="single" w:sz="4" w:space="0" w:color="auto"/>
                      <w:left w:val="single" w:sz="4" w:space="0" w:color="auto"/>
                      <w:right w:val="single" w:sz="4" w:space="0" w:color="auto"/>
                    </w:tcBorders>
                    <w:shd w:val="clear" w:color="auto" w:fill="auto"/>
                    <w:vAlign w:val="center"/>
                  </w:tcPr>
                  <w:p w14:paraId="7A94FDE1" w14:textId="77777777" w:rsidR="00471D53" w:rsidRDefault="004F686E" w:rsidP="00471D53">
                    <w:pPr>
                      <w:jc w:val="center"/>
                      <w:rPr>
                        <w:rFonts w:cs="Cambria"/>
                        <w:szCs w:val="21"/>
                      </w:rPr>
                    </w:pPr>
                    <w:r>
                      <w:rPr>
                        <w:rFonts w:cs="Cambria" w:hint="eastAsia"/>
                        <w:szCs w:val="21"/>
                      </w:rPr>
                      <w:t>本期发生额</w:t>
                    </w:r>
                  </w:p>
                </w:tc>
              </w:sdtContent>
            </w:sdt>
            <w:sdt>
              <w:sdtPr>
                <w:tag w:val="_PLD_60fc9f0737164f9694363f102a4420bb"/>
                <w:id w:val="725265735"/>
                <w:lock w:val="sdtLocked"/>
              </w:sdtPr>
              <w:sdtEndPr/>
              <w:sdtContent>
                <w:tc>
                  <w:tcPr>
                    <w:tcW w:w="1213" w:type="pct"/>
                    <w:tcBorders>
                      <w:top w:val="single" w:sz="4" w:space="0" w:color="auto"/>
                      <w:left w:val="single" w:sz="4" w:space="0" w:color="auto"/>
                      <w:right w:val="single" w:sz="4" w:space="0" w:color="auto"/>
                    </w:tcBorders>
                    <w:shd w:val="clear" w:color="auto" w:fill="auto"/>
                    <w:vAlign w:val="center"/>
                  </w:tcPr>
                  <w:p w14:paraId="31F986BF" w14:textId="77777777" w:rsidR="00471D53" w:rsidRDefault="004F686E" w:rsidP="00471D53">
                    <w:pPr>
                      <w:jc w:val="center"/>
                      <w:rPr>
                        <w:rFonts w:cs="Cambria"/>
                        <w:szCs w:val="21"/>
                      </w:rPr>
                    </w:pPr>
                    <w:r>
                      <w:rPr>
                        <w:rFonts w:cs="Cambria" w:hint="eastAsia"/>
                        <w:szCs w:val="21"/>
                      </w:rPr>
                      <w:t>上期发生额</w:t>
                    </w:r>
                  </w:p>
                </w:tc>
              </w:sdtContent>
            </w:sdt>
          </w:tr>
          <w:sdt>
            <w:sdtPr>
              <w:rPr>
                <w:szCs w:val="21"/>
              </w:rPr>
              <w:alias w:val="采购商品接受劳务情况明细"/>
              <w:tag w:val="_GBC_0c9767805cb8416eaba14f759181aa29"/>
              <w:id w:val="-397129306"/>
            </w:sdtPr>
            <w:sdtEndPr/>
            <w:sdtContent>
              <w:tr w:rsidR="00471D53" w14:paraId="49A35516" w14:textId="77777777" w:rsidTr="00471D53">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14:paraId="60F95FF4" w14:textId="77777777" w:rsidR="00471D53" w:rsidRDefault="004F686E" w:rsidP="00471D53">
                    <w:pPr>
                      <w:rPr>
                        <w:szCs w:val="21"/>
                      </w:rPr>
                    </w:pPr>
                    <w:r>
                      <w:t>天津钢管钢铁贸易有限公司</w:t>
                    </w:r>
                  </w:p>
                </w:tc>
                <w:tc>
                  <w:tcPr>
                    <w:tcW w:w="1205" w:type="pct"/>
                    <w:tcBorders>
                      <w:top w:val="single" w:sz="4" w:space="0" w:color="auto"/>
                      <w:left w:val="single" w:sz="4" w:space="0" w:color="auto"/>
                      <w:bottom w:val="single" w:sz="4" w:space="0" w:color="auto"/>
                      <w:right w:val="single" w:sz="4" w:space="0" w:color="auto"/>
                    </w:tcBorders>
                    <w:shd w:val="clear" w:color="auto" w:fill="auto"/>
                  </w:tcPr>
                  <w:p w14:paraId="59E2F891" w14:textId="77777777" w:rsidR="00471D53" w:rsidRDefault="004F686E" w:rsidP="00471D53">
                    <w:pPr>
                      <w:rPr>
                        <w:szCs w:val="21"/>
                      </w:rPr>
                    </w:pPr>
                    <w:r>
                      <w:t>采购商品</w:t>
                    </w:r>
                  </w:p>
                </w:tc>
                <w:tc>
                  <w:tcPr>
                    <w:tcW w:w="1220" w:type="pct"/>
                    <w:tcBorders>
                      <w:top w:val="single" w:sz="4" w:space="0" w:color="auto"/>
                      <w:left w:val="single" w:sz="4" w:space="0" w:color="auto"/>
                      <w:bottom w:val="single" w:sz="4" w:space="0" w:color="auto"/>
                      <w:right w:val="single" w:sz="4" w:space="0" w:color="auto"/>
                    </w:tcBorders>
                    <w:shd w:val="clear" w:color="auto" w:fill="auto"/>
                  </w:tcPr>
                  <w:p w14:paraId="7366C636" w14:textId="77777777" w:rsidR="00471D53" w:rsidRDefault="004F686E" w:rsidP="00471D53">
                    <w:pPr>
                      <w:jc w:val="right"/>
                      <w:rPr>
                        <w:szCs w:val="21"/>
                      </w:rPr>
                    </w:pPr>
                    <w:r>
                      <w:t>—</w:t>
                    </w:r>
                  </w:p>
                </w:tc>
                <w:tc>
                  <w:tcPr>
                    <w:tcW w:w="1213" w:type="pct"/>
                    <w:tcBorders>
                      <w:top w:val="single" w:sz="4" w:space="0" w:color="auto"/>
                      <w:left w:val="single" w:sz="4" w:space="0" w:color="auto"/>
                      <w:bottom w:val="single" w:sz="4" w:space="0" w:color="auto"/>
                      <w:right w:val="single" w:sz="4" w:space="0" w:color="auto"/>
                    </w:tcBorders>
                    <w:shd w:val="clear" w:color="auto" w:fill="auto"/>
                  </w:tcPr>
                  <w:p w14:paraId="48CF0944" w14:textId="77777777" w:rsidR="00471D53" w:rsidRDefault="004F686E" w:rsidP="00471D53">
                    <w:pPr>
                      <w:jc w:val="right"/>
                      <w:rPr>
                        <w:szCs w:val="21"/>
                      </w:rPr>
                    </w:pPr>
                    <w:r>
                      <w:t>52,301,463.09</w:t>
                    </w:r>
                  </w:p>
                </w:tc>
              </w:tr>
            </w:sdtContent>
          </w:sdt>
          <w:sdt>
            <w:sdtPr>
              <w:rPr>
                <w:szCs w:val="21"/>
              </w:rPr>
              <w:alias w:val="采购商品接受劳务情况明细"/>
              <w:tag w:val="_GBC_0c9767805cb8416eaba14f759181aa29"/>
              <w:id w:val="-1237316068"/>
            </w:sdtPr>
            <w:sdtEndPr/>
            <w:sdtContent>
              <w:tr w:rsidR="00471D53" w14:paraId="04E9951F" w14:textId="77777777" w:rsidTr="00471D53">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14:paraId="64229051" w14:textId="77777777" w:rsidR="00471D53" w:rsidRDefault="004F686E" w:rsidP="00471D53">
                    <w:pPr>
                      <w:rPr>
                        <w:szCs w:val="21"/>
                      </w:rPr>
                    </w:pPr>
                    <w:r>
                      <w:t>江苏天海特种装备有限公司</w:t>
                    </w:r>
                  </w:p>
                </w:tc>
                <w:tc>
                  <w:tcPr>
                    <w:tcW w:w="1205" w:type="pct"/>
                    <w:tcBorders>
                      <w:top w:val="single" w:sz="4" w:space="0" w:color="auto"/>
                      <w:left w:val="single" w:sz="4" w:space="0" w:color="auto"/>
                      <w:bottom w:val="single" w:sz="4" w:space="0" w:color="auto"/>
                      <w:right w:val="single" w:sz="4" w:space="0" w:color="auto"/>
                    </w:tcBorders>
                    <w:shd w:val="clear" w:color="auto" w:fill="auto"/>
                  </w:tcPr>
                  <w:p w14:paraId="1D076D7D" w14:textId="77777777" w:rsidR="00471D53" w:rsidRDefault="004F686E" w:rsidP="00471D53">
                    <w:pPr>
                      <w:rPr>
                        <w:szCs w:val="21"/>
                      </w:rPr>
                    </w:pPr>
                    <w:r>
                      <w:t>采购商品</w:t>
                    </w:r>
                  </w:p>
                </w:tc>
                <w:tc>
                  <w:tcPr>
                    <w:tcW w:w="1220" w:type="pct"/>
                    <w:tcBorders>
                      <w:top w:val="single" w:sz="4" w:space="0" w:color="auto"/>
                      <w:left w:val="single" w:sz="4" w:space="0" w:color="auto"/>
                      <w:bottom w:val="single" w:sz="4" w:space="0" w:color="auto"/>
                      <w:right w:val="single" w:sz="4" w:space="0" w:color="auto"/>
                    </w:tcBorders>
                    <w:shd w:val="clear" w:color="auto" w:fill="auto"/>
                  </w:tcPr>
                  <w:p w14:paraId="410003C4" w14:textId="77777777" w:rsidR="00471D53" w:rsidRDefault="004F686E" w:rsidP="00471D53">
                    <w:pPr>
                      <w:jc w:val="right"/>
                      <w:rPr>
                        <w:szCs w:val="21"/>
                      </w:rPr>
                    </w:pPr>
                    <w:r>
                      <w:t>30,755,424.59</w:t>
                    </w:r>
                  </w:p>
                </w:tc>
                <w:tc>
                  <w:tcPr>
                    <w:tcW w:w="1213" w:type="pct"/>
                    <w:tcBorders>
                      <w:top w:val="single" w:sz="4" w:space="0" w:color="auto"/>
                      <w:left w:val="single" w:sz="4" w:space="0" w:color="auto"/>
                      <w:bottom w:val="single" w:sz="4" w:space="0" w:color="auto"/>
                      <w:right w:val="single" w:sz="4" w:space="0" w:color="auto"/>
                    </w:tcBorders>
                    <w:shd w:val="clear" w:color="auto" w:fill="auto"/>
                  </w:tcPr>
                  <w:p w14:paraId="389D4840" w14:textId="77777777" w:rsidR="00471D53" w:rsidRDefault="004F686E" w:rsidP="00471D53">
                    <w:pPr>
                      <w:jc w:val="right"/>
                      <w:rPr>
                        <w:szCs w:val="21"/>
                      </w:rPr>
                    </w:pPr>
                    <w:r>
                      <w:t>21,133,455.91</w:t>
                    </w:r>
                  </w:p>
                </w:tc>
              </w:tr>
            </w:sdtContent>
          </w:sdt>
          <w:tr w:rsidR="00471D53" w14:paraId="0C9E94C3" w14:textId="77777777" w:rsidTr="00471D53">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vAlign w:val="center"/>
              </w:tcPr>
              <w:p w14:paraId="017F964F" w14:textId="77777777" w:rsidR="00471D53" w:rsidRPr="00722788" w:rsidRDefault="004F686E" w:rsidP="00471D53">
                <w:pPr>
                  <w:autoSpaceDE w:val="0"/>
                  <w:autoSpaceDN w:val="0"/>
                  <w:jc w:val="both"/>
                  <w:rPr>
                    <w:sz w:val="22"/>
                    <w:szCs w:val="22"/>
                  </w:rPr>
                </w:pPr>
                <w:r w:rsidRPr="00722788">
                  <w:rPr>
                    <w:rFonts w:hint="eastAsia"/>
                    <w:sz w:val="22"/>
                    <w:szCs w:val="22"/>
                  </w:rPr>
                  <w:t>合计</w:t>
                </w:r>
              </w:p>
            </w:tc>
            <w:tc>
              <w:tcPr>
                <w:tcW w:w="1205" w:type="pct"/>
                <w:tcBorders>
                  <w:top w:val="single" w:sz="4" w:space="0" w:color="auto"/>
                  <w:left w:val="single" w:sz="4" w:space="0" w:color="auto"/>
                  <w:bottom w:val="single" w:sz="4" w:space="0" w:color="auto"/>
                  <w:right w:val="single" w:sz="4" w:space="0" w:color="auto"/>
                </w:tcBorders>
                <w:shd w:val="clear" w:color="auto" w:fill="auto"/>
                <w:vAlign w:val="center"/>
              </w:tcPr>
              <w:p w14:paraId="16B5F4FF" w14:textId="77777777" w:rsidR="00471D53" w:rsidRPr="00722788" w:rsidRDefault="004F686E" w:rsidP="00471D53">
                <w:pPr>
                  <w:autoSpaceDE w:val="0"/>
                  <w:autoSpaceDN w:val="0"/>
                  <w:snapToGrid w:val="0"/>
                  <w:jc w:val="center"/>
                  <w:rPr>
                    <w:sz w:val="22"/>
                    <w:szCs w:val="22"/>
                  </w:rPr>
                </w:pPr>
                <w:r w:rsidRPr="00722788">
                  <w:rPr>
                    <w:rFonts w:hint="eastAsia"/>
                    <w:sz w:val="22"/>
                    <w:szCs w:val="22"/>
                  </w:rPr>
                  <w:t>—</w:t>
                </w:r>
              </w:p>
            </w:tc>
            <w:tc>
              <w:tcPr>
                <w:tcW w:w="1220" w:type="pct"/>
                <w:tcBorders>
                  <w:top w:val="single" w:sz="4" w:space="0" w:color="auto"/>
                  <w:left w:val="single" w:sz="4" w:space="0" w:color="auto"/>
                  <w:bottom w:val="single" w:sz="4" w:space="0" w:color="auto"/>
                  <w:right w:val="single" w:sz="4" w:space="0" w:color="auto"/>
                </w:tcBorders>
                <w:shd w:val="clear" w:color="auto" w:fill="auto"/>
                <w:vAlign w:val="center"/>
              </w:tcPr>
              <w:p w14:paraId="5D849920" w14:textId="77777777" w:rsidR="00471D53" w:rsidRPr="00722788" w:rsidRDefault="004F686E" w:rsidP="00471D53">
                <w:pPr>
                  <w:jc w:val="right"/>
                  <w:rPr>
                    <w:bCs/>
                    <w:sz w:val="22"/>
                    <w:szCs w:val="22"/>
                  </w:rPr>
                </w:pPr>
                <w:r w:rsidRPr="00722788">
                  <w:rPr>
                    <w:bCs/>
                    <w:sz w:val="22"/>
                    <w:szCs w:val="22"/>
                  </w:rPr>
                  <w:t>30,755,424.59</w:t>
                </w:r>
              </w:p>
            </w:tc>
            <w:tc>
              <w:tcPr>
                <w:tcW w:w="1213" w:type="pct"/>
                <w:tcBorders>
                  <w:top w:val="single" w:sz="4" w:space="0" w:color="auto"/>
                  <w:left w:val="single" w:sz="4" w:space="0" w:color="auto"/>
                  <w:bottom w:val="single" w:sz="4" w:space="0" w:color="auto"/>
                  <w:right w:val="single" w:sz="4" w:space="0" w:color="auto"/>
                </w:tcBorders>
                <w:shd w:val="clear" w:color="auto" w:fill="auto"/>
                <w:vAlign w:val="center"/>
              </w:tcPr>
              <w:p w14:paraId="42F358B3" w14:textId="77777777" w:rsidR="00471D53" w:rsidRPr="00722788" w:rsidRDefault="004F686E" w:rsidP="00471D53">
                <w:pPr>
                  <w:jc w:val="right"/>
                  <w:textAlignment w:val="center"/>
                  <w:rPr>
                    <w:sz w:val="22"/>
                    <w:szCs w:val="22"/>
                    <w:lang w:bidi="ar"/>
                  </w:rPr>
                </w:pPr>
                <w:r w:rsidRPr="00722788">
                  <w:rPr>
                    <w:sz w:val="22"/>
                    <w:szCs w:val="22"/>
                    <w:lang w:bidi="ar"/>
                  </w:rPr>
                  <w:t>73,434,919.00</w:t>
                </w:r>
              </w:p>
            </w:tc>
          </w:tr>
        </w:tbl>
        <w:p w14:paraId="3ABDA620" w14:textId="77777777" w:rsidR="00471D53" w:rsidRDefault="00B664AF"/>
        <w:p w14:paraId="189AF6B0" w14:textId="77777777" w:rsidR="00471D53" w:rsidRDefault="00B664AF"/>
      </w:sdtContent>
    </w:sdt>
    <w:sdt>
      <w:sdtPr>
        <w:rPr>
          <w:rFonts w:hint="eastAsia"/>
          <w:szCs w:val="21"/>
        </w:rPr>
        <w:alias w:val="模块:出售商品/提供劳务情况"/>
        <w:tag w:val="_GBC_a4e1c0efe9f741ecbb648a33c9afb8fd"/>
        <w:id w:val="1185325099"/>
        <w:lock w:val="sdtLocked"/>
        <w:placeholder>
          <w:docPart w:val="GBC22222222222222222222222222222"/>
        </w:placeholder>
      </w:sdtPr>
      <w:sdtEndPr>
        <w:rPr>
          <w:rFonts w:cs="Cambria"/>
        </w:rPr>
      </w:sdtEndPr>
      <w:sdtContent>
        <w:p w14:paraId="2C4F6DA5" w14:textId="77777777" w:rsidR="00471D53" w:rsidRDefault="004F686E" w:rsidP="00471D53">
          <w:pPr>
            <w:ind w:rightChars="-369" w:right="-775"/>
            <w:rPr>
              <w:szCs w:val="21"/>
            </w:rPr>
          </w:pPr>
          <w:r>
            <w:rPr>
              <w:rFonts w:hint="eastAsia"/>
              <w:szCs w:val="21"/>
            </w:rPr>
            <w:t>出售商品/提供劳务情况表</w:t>
          </w:r>
        </w:p>
        <w:sdt>
          <w:sdtPr>
            <w:rPr>
              <w:szCs w:val="21"/>
            </w:rPr>
            <w:alias w:val="是否适用：出售商品或提供劳务情况表[双击切换]"/>
            <w:tag w:val="_GBC_18ae630e2f3641959d3a9fc1a3f3ccf3"/>
            <w:id w:val="265359006"/>
            <w:lock w:val="sdtLocked"/>
            <w:placeholder>
              <w:docPart w:val="GBC22222222222222222222222222222"/>
            </w:placeholder>
          </w:sdtPr>
          <w:sdtEndPr/>
          <w:sdtContent>
            <w:p w14:paraId="7E2E20B7" w14:textId="77777777" w:rsidR="00471D53" w:rsidRDefault="004F686E" w:rsidP="00471D53">
              <w:pPr>
                <w:ind w:rightChars="-369" w:right="-775"/>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15ECCABC" w14:textId="28FF7B7F" w:rsidR="00471D53" w:rsidRDefault="004F686E">
          <w:pPr>
            <w:tabs>
              <w:tab w:val="left" w:pos="3870"/>
            </w:tabs>
            <w:jc w:val="right"/>
            <w:rPr>
              <w:rFonts w:cs="Cambria"/>
              <w:szCs w:val="21"/>
            </w:rPr>
          </w:pPr>
          <w:r>
            <w:rPr>
              <w:szCs w:val="21"/>
            </w:rPr>
            <w:t>单位</w:t>
          </w:r>
          <w:r>
            <w:rPr>
              <w:rFonts w:hint="eastAsia"/>
              <w:szCs w:val="21"/>
            </w:rPr>
            <w:t>：</w:t>
          </w:r>
          <w:sdt>
            <w:sdtPr>
              <w:rPr>
                <w:szCs w:val="21"/>
              </w:rPr>
              <w:alias w:val="单位：出售商品提供劳务情况表"/>
              <w:tag w:val="_GBC_d53494f853ed4767a511f9c2c780c566"/>
              <w:id w:val="-321212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元</w:t>
              </w:r>
            </w:sdtContent>
          </w:sdt>
          <w:r>
            <w:rPr>
              <w:szCs w:val="21"/>
            </w:rPr>
            <w:t>币种：</w:t>
          </w:r>
          <w:sdt>
            <w:sdtPr>
              <w:rPr>
                <w:szCs w:val="21"/>
              </w:rPr>
              <w:alias w:val="币种：出售商品提供劳务情况表"/>
              <w:tag w:val="_GBC_d298f57687684d2eafef1d8c13d51722"/>
              <w:id w:val="-9297357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2396"/>
            <w:gridCol w:w="2105"/>
            <w:gridCol w:w="2160"/>
            <w:gridCol w:w="2162"/>
          </w:tblGrid>
          <w:tr w:rsidR="00471D53" w14:paraId="71B543B0" w14:textId="77777777" w:rsidTr="00471D53">
            <w:trPr>
              <w:cantSplit/>
              <w:trHeight w:val="273"/>
            </w:trPr>
            <w:sdt>
              <w:sdtPr>
                <w:tag w:val="_PLD_70510986aab647e99b00ba57c32e64cd"/>
                <w:id w:val="1217237156"/>
                <w:lock w:val="sdtLocked"/>
              </w:sdtPr>
              <w:sdtEndPr/>
              <w:sdtContent>
                <w:tc>
                  <w:tcPr>
                    <w:tcW w:w="1358" w:type="pct"/>
                    <w:tcBorders>
                      <w:top w:val="single" w:sz="4" w:space="0" w:color="auto"/>
                      <w:left w:val="single" w:sz="4" w:space="0" w:color="auto"/>
                      <w:bottom w:val="single" w:sz="4" w:space="0" w:color="auto"/>
                      <w:right w:val="single" w:sz="4" w:space="0" w:color="auto"/>
                    </w:tcBorders>
                    <w:shd w:val="clear" w:color="auto" w:fill="auto"/>
                    <w:vAlign w:val="center"/>
                  </w:tcPr>
                  <w:p w14:paraId="310DE8E9" w14:textId="77777777" w:rsidR="00471D53" w:rsidRDefault="004F686E" w:rsidP="00471D53">
                    <w:pPr>
                      <w:jc w:val="center"/>
                      <w:rPr>
                        <w:rFonts w:cs="Cambria"/>
                        <w:szCs w:val="21"/>
                      </w:rPr>
                    </w:pPr>
                    <w:r>
                      <w:rPr>
                        <w:rFonts w:cs="Cambria" w:hint="eastAsia"/>
                        <w:szCs w:val="21"/>
                      </w:rPr>
                      <w:t>关联方</w:t>
                    </w:r>
                  </w:p>
                </w:tc>
              </w:sdtContent>
            </w:sdt>
            <w:sdt>
              <w:sdtPr>
                <w:tag w:val="_PLD_66da90262f3d401c8151235b4c6f5e93"/>
                <w:id w:val="1122507784"/>
                <w:lock w:val="sdtLocked"/>
              </w:sdtPr>
              <w:sdtEndPr/>
              <w:sdtContent>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14:paraId="448776B1" w14:textId="77777777" w:rsidR="00471D53" w:rsidRDefault="004F686E" w:rsidP="00471D53">
                    <w:pPr>
                      <w:jc w:val="center"/>
                      <w:rPr>
                        <w:rFonts w:cs="Cambria"/>
                        <w:szCs w:val="21"/>
                      </w:rPr>
                    </w:pPr>
                    <w:r>
                      <w:rPr>
                        <w:rFonts w:cs="Cambria" w:hint="eastAsia"/>
                        <w:szCs w:val="21"/>
                      </w:rPr>
                      <w:t>关联交易内容</w:t>
                    </w:r>
                  </w:p>
                </w:tc>
              </w:sdtContent>
            </w:sdt>
            <w:sdt>
              <w:sdtPr>
                <w:tag w:val="_PLD_09c424bd80324eb49dafea569ce1931b"/>
                <w:id w:val="-1449235255"/>
                <w:lock w:val="sdtLocked"/>
              </w:sdtPr>
              <w:sdtEndPr/>
              <w:sdtContent>
                <w:tc>
                  <w:tcPr>
                    <w:tcW w:w="1224" w:type="pct"/>
                    <w:tcBorders>
                      <w:top w:val="single" w:sz="4" w:space="0" w:color="auto"/>
                      <w:left w:val="single" w:sz="4" w:space="0" w:color="auto"/>
                      <w:right w:val="single" w:sz="4" w:space="0" w:color="auto"/>
                    </w:tcBorders>
                    <w:shd w:val="clear" w:color="auto" w:fill="auto"/>
                    <w:vAlign w:val="center"/>
                  </w:tcPr>
                  <w:p w14:paraId="3A86C135" w14:textId="77777777" w:rsidR="00471D53" w:rsidRDefault="004F686E" w:rsidP="00471D53">
                    <w:pPr>
                      <w:jc w:val="center"/>
                      <w:rPr>
                        <w:rFonts w:cs="Cambria"/>
                        <w:szCs w:val="21"/>
                      </w:rPr>
                    </w:pPr>
                    <w:r>
                      <w:rPr>
                        <w:rFonts w:cs="Cambria" w:hint="eastAsia"/>
                        <w:szCs w:val="21"/>
                      </w:rPr>
                      <w:t>本期发生额</w:t>
                    </w:r>
                  </w:p>
                </w:tc>
              </w:sdtContent>
            </w:sdt>
            <w:sdt>
              <w:sdtPr>
                <w:tag w:val="_PLD_fd0f9e0691744db49d5ceaf95d42197c"/>
                <w:id w:val="-1221902531"/>
                <w:lock w:val="sdtLocked"/>
              </w:sdtPr>
              <w:sdtEndPr/>
              <w:sdtContent>
                <w:tc>
                  <w:tcPr>
                    <w:tcW w:w="1225" w:type="pct"/>
                    <w:tcBorders>
                      <w:top w:val="single" w:sz="4" w:space="0" w:color="auto"/>
                      <w:left w:val="single" w:sz="4" w:space="0" w:color="auto"/>
                      <w:right w:val="single" w:sz="4" w:space="0" w:color="auto"/>
                    </w:tcBorders>
                    <w:shd w:val="clear" w:color="auto" w:fill="auto"/>
                    <w:vAlign w:val="center"/>
                  </w:tcPr>
                  <w:p w14:paraId="587FC8FD" w14:textId="77777777" w:rsidR="00471D53" w:rsidRDefault="004F686E" w:rsidP="00471D53">
                    <w:pPr>
                      <w:jc w:val="center"/>
                      <w:rPr>
                        <w:rFonts w:cs="Cambria"/>
                        <w:szCs w:val="21"/>
                      </w:rPr>
                    </w:pPr>
                    <w:r>
                      <w:rPr>
                        <w:rFonts w:cs="Cambria" w:hint="eastAsia"/>
                        <w:szCs w:val="21"/>
                      </w:rPr>
                      <w:t>上期发生额</w:t>
                    </w:r>
                  </w:p>
                </w:tc>
              </w:sdtContent>
            </w:sdt>
          </w:tr>
          <w:sdt>
            <w:sdtPr>
              <w:rPr>
                <w:szCs w:val="21"/>
              </w:rPr>
              <w:alias w:val="出售商品提供劳务情况明细"/>
              <w:tag w:val="_GBC_d6e24b6ca62645f180ecf5d4621afdc6"/>
              <w:id w:val="1670292515"/>
              <w:lock w:val="sdtLocked"/>
            </w:sdtPr>
            <w:sdtEndPr/>
            <w:sdtContent>
              <w:tr w:rsidR="00471D53" w14:paraId="32BED078" w14:textId="77777777" w:rsidTr="00471D53">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51F2AAA0" w14:textId="77777777" w:rsidR="00471D53" w:rsidRDefault="004F686E" w:rsidP="00471D53">
                    <w:pPr>
                      <w:rPr>
                        <w:szCs w:val="21"/>
                      </w:rPr>
                    </w:pPr>
                    <w:r>
                      <w:t>江苏天海特种装备有限公司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6588A758" w14:textId="77777777" w:rsidR="00471D53" w:rsidRDefault="004F686E" w:rsidP="00471D53">
                    <w:pPr>
                      <w:rPr>
                        <w:szCs w:val="21"/>
                      </w:rPr>
                    </w:pPr>
                    <w:r>
                      <w:t>销售商品、提供劳务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4688D866" w14:textId="77777777" w:rsidR="00471D53" w:rsidRDefault="004F686E" w:rsidP="00471D53">
                    <w:pPr>
                      <w:jc w:val="right"/>
                      <w:rPr>
                        <w:szCs w:val="21"/>
                      </w:rPr>
                    </w:pPr>
                    <w:r>
                      <w:t>19,108,555.99</w:t>
                    </w:r>
                  </w:p>
                </w:tc>
                <w:tc>
                  <w:tcPr>
                    <w:tcW w:w="1225" w:type="pct"/>
                    <w:tcBorders>
                      <w:top w:val="single" w:sz="4" w:space="0" w:color="auto"/>
                      <w:left w:val="single" w:sz="4" w:space="0" w:color="auto"/>
                      <w:bottom w:val="single" w:sz="4" w:space="0" w:color="auto"/>
                      <w:right w:val="single" w:sz="4" w:space="0" w:color="auto"/>
                    </w:tcBorders>
                    <w:shd w:val="clear" w:color="auto" w:fill="auto"/>
                  </w:tcPr>
                  <w:p w14:paraId="0AE29D72" w14:textId="77777777" w:rsidR="00471D53" w:rsidRDefault="004F686E" w:rsidP="00471D53">
                    <w:pPr>
                      <w:jc w:val="right"/>
                      <w:rPr>
                        <w:szCs w:val="21"/>
                      </w:rPr>
                    </w:pPr>
                    <w:r>
                      <w:t>27,203,779.35</w:t>
                    </w:r>
                  </w:p>
                </w:tc>
              </w:tr>
            </w:sdtContent>
          </w:sdt>
          <w:sdt>
            <w:sdtPr>
              <w:rPr>
                <w:szCs w:val="21"/>
              </w:rPr>
              <w:alias w:val="出售商品提供劳务情况明细"/>
              <w:tag w:val="_GBC_d6e24b6ca62645f180ecf5d4621afdc6"/>
              <w:id w:val="732817410"/>
              <w:lock w:val="sdtLocked"/>
            </w:sdtPr>
            <w:sdtEndPr/>
            <w:sdtContent>
              <w:tr w:rsidR="00471D53" w14:paraId="4D7F3BC6" w14:textId="77777777" w:rsidTr="00471D53">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58238133" w14:textId="77777777" w:rsidR="00471D53" w:rsidRDefault="004F686E" w:rsidP="00471D53">
                    <w:pPr>
                      <w:rPr>
                        <w:szCs w:val="21"/>
                      </w:rPr>
                    </w:pPr>
                    <w:r>
                      <w:t>北京兰天达汽车清洁燃料技术有限公司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652069E7" w14:textId="77777777" w:rsidR="00471D53" w:rsidRDefault="004F686E" w:rsidP="00471D53">
                    <w:pPr>
                      <w:rPr>
                        <w:szCs w:val="21"/>
                      </w:rPr>
                    </w:pPr>
                    <w:r>
                      <w:t>销售商品</w:t>
                    </w: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278B9DBC" w14:textId="77777777" w:rsidR="00471D53" w:rsidRDefault="004F686E" w:rsidP="00471D53">
                    <w:pPr>
                      <w:jc w:val="right"/>
                      <w:rPr>
                        <w:szCs w:val="21"/>
                      </w:rPr>
                    </w:pPr>
                    <w:r>
                      <w:t>360,357.52</w:t>
                    </w:r>
                  </w:p>
                </w:tc>
                <w:tc>
                  <w:tcPr>
                    <w:tcW w:w="1225" w:type="pct"/>
                    <w:tcBorders>
                      <w:top w:val="single" w:sz="4" w:space="0" w:color="auto"/>
                      <w:left w:val="single" w:sz="4" w:space="0" w:color="auto"/>
                      <w:bottom w:val="single" w:sz="4" w:space="0" w:color="auto"/>
                      <w:right w:val="single" w:sz="4" w:space="0" w:color="auto"/>
                    </w:tcBorders>
                    <w:shd w:val="clear" w:color="auto" w:fill="auto"/>
                  </w:tcPr>
                  <w:p w14:paraId="322EEE78" w14:textId="77777777" w:rsidR="00471D53" w:rsidRDefault="004F686E" w:rsidP="00471D53">
                    <w:pPr>
                      <w:jc w:val="right"/>
                      <w:rPr>
                        <w:szCs w:val="21"/>
                      </w:rPr>
                    </w:pPr>
                    <w:r>
                      <w:t>0.00</w:t>
                    </w:r>
                  </w:p>
                </w:tc>
              </w:tr>
            </w:sdtContent>
          </w:sdt>
          <w:sdt>
            <w:sdtPr>
              <w:rPr>
                <w:szCs w:val="21"/>
              </w:rPr>
              <w:alias w:val="出售商品提供劳务情况明细"/>
              <w:tag w:val="_GBC_d6e24b6ca62645f180ecf5d4621afdc6"/>
              <w:id w:val="-260680538"/>
              <w:lock w:val="sdtLocked"/>
            </w:sdtPr>
            <w:sdtEndPr/>
            <w:sdtContent>
              <w:tr w:rsidR="00471D53" w14:paraId="10E94584" w14:textId="77777777" w:rsidTr="00471D53">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7BC7F263" w14:textId="77777777" w:rsidR="00471D53" w:rsidRDefault="004F686E" w:rsidP="00471D53">
                    <w:pPr>
                      <w:rPr>
                        <w:szCs w:val="21"/>
                      </w:rPr>
                    </w:pPr>
                    <w:r>
                      <w:t>合计</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40AAB933" w14:textId="77777777" w:rsidR="00471D53" w:rsidRDefault="00B664AF" w:rsidP="00471D53">
                    <w:pPr>
                      <w:rPr>
                        <w:szCs w:val="21"/>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708FAF78" w14:textId="77777777" w:rsidR="00471D53" w:rsidRDefault="004F686E" w:rsidP="00471D53">
                    <w:pPr>
                      <w:jc w:val="right"/>
                      <w:rPr>
                        <w:szCs w:val="21"/>
                      </w:rPr>
                    </w:pPr>
                    <w:r>
                      <w:t>19,468,913.51</w:t>
                    </w:r>
                  </w:p>
                </w:tc>
                <w:tc>
                  <w:tcPr>
                    <w:tcW w:w="1225" w:type="pct"/>
                    <w:tcBorders>
                      <w:top w:val="single" w:sz="4" w:space="0" w:color="auto"/>
                      <w:left w:val="single" w:sz="4" w:space="0" w:color="auto"/>
                      <w:bottom w:val="single" w:sz="4" w:space="0" w:color="auto"/>
                      <w:right w:val="single" w:sz="4" w:space="0" w:color="auto"/>
                    </w:tcBorders>
                    <w:shd w:val="clear" w:color="auto" w:fill="auto"/>
                  </w:tcPr>
                  <w:p w14:paraId="534B758B" w14:textId="77777777" w:rsidR="00471D53" w:rsidRDefault="004F686E" w:rsidP="00471D53">
                    <w:pPr>
                      <w:jc w:val="right"/>
                      <w:rPr>
                        <w:szCs w:val="21"/>
                      </w:rPr>
                    </w:pPr>
                    <w:r>
                      <w:t>27,203,779.35</w:t>
                    </w:r>
                  </w:p>
                </w:tc>
              </w:tr>
            </w:sdtContent>
          </w:sdt>
        </w:tbl>
        <w:p w14:paraId="33D5144D" w14:textId="77777777" w:rsidR="00471D53" w:rsidRDefault="00B664AF"/>
        <w:p w14:paraId="10789322" w14:textId="77777777" w:rsidR="00471D53" w:rsidRDefault="004F686E">
          <w:pPr>
            <w:rPr>
              <w:rFonts w:cs="Cambria"/>
              <w:szCs w:val="21"/>
            </w:rPr>
          </w:pPr>
          <w:r>
            <w:rPr>
              <w:rFonts w:cs="Cambria" w:hint="eastAsia"/>
              <w:szCs w:val="21"/>
            </w:rPr>
            <w:t>购销商品、提供和接受劳务的关联交易说明</w:t>
          </w:r>
        </w:p>
        <w:sdt>
          <w:sdtPr>
            <w:rPr>
              <w:rFonts w:cs="Cambria"/>
              <w:szCs w:val="21"/>
            </w:rPr>
            <w:alias w:val="是否适用：购销商品、提供和接受劳务的关联交易说明[双击切换]"/>
            <w:tag w:val="_GBC_9ec9e1b38e7f48d89bb7f6441bed1bd1"/>
            <w:id w:val="-1143423263"/>
            <w:lock w:val="sdtLocked"/>
            <w:placeholder>
              <w:docPart w:val="GBC22222222222222222222222222222"/>
            </w:placeholder>
          </w:sdtPr>
          <w:sdtEndPr/>
          <w:sdtContent>
            <w:p w14:paraId="7CB14BED" w14:textId="77777777" w:rsidR="00471D53" w:rsidRDefault="004F686E" w:rsidP="00471D53">
              <w:pPr>
                <w:rPr>
                  <w:rFonts w:cs="Cambria"/>
                  <w:szCs w:val="21"/>
                </w:rPr>
              </w:pPr>
              <w:r>
                <w:rPr>
                  <w:rFonts w:cs="Cambria"/>
                  <w:szCs w:val="21"/>
                </w:rPr>
                <w:fldChar w:fldCharType="begin"/>
              </w:r>
              <w:r>
                <w:rPr>
                  <w:rFonts w:cs="Cambria"/>
                  <w:szCs w:val="21"/>
                </w:rPr>
                <w:instrText xml:space="preserve"> MACROBUTTON  SnrToggleCheckbox √适用 </w:instrText>
              </w:r>
              <w:r>
                <w:rPr>
                  <w:rFonts w:cs="Cambria"/>
                  <w:szCs w:val="21"/>
                </w:rPr>
                <w:fldChar w:fldCharType="end"/>
              </w:r>
              <w:r>
                <w:rPr>
                  <w:rFonts w:cs="Cambria"/>
                  <w:szCs w:val="21"/>
                </w:rPr>
                <w:fldChar w:fldCharType="begin"/>
              </w:r>
              <w:r>
                <w:rPr>
                  <w:rFonts w:cs="Cambria"/>
                  <w:szCs w:val="21"/>
                </w:rPr>
                <w:instrText xml:space="preserve"> MACROBUTTON  SnrToggleCheckbox □不适用 </w:instrText>
              </w:r>
              <w:r>
                <w:rPr>
                  <w:rFonts w:cs="Cambria"/>
                  <w:szCs w:val="21"/>
                </w:rPr>
                <w:fldChar w:fldCharType="end"/>
              </w:r>
            </w:p>
          </w:sdtContent>
        </w:sdt>
        <w:sdt>
          <w:sdtPr>
            <w:rPr>
              <w:rFonts w:cs="Cambria"/>
              <w:szCs w:val="21"/>
            </w:rPr>
            <w:alias w:val="购销商品、提供和接受劳务的关联交易说明"/>
            <w:tag w:val="_GBC_b40d5cc82ee746028d6efa52b270cc25"/>
            <w:id w:val="463629931"/>
            <w:lock w:val="sdtLocked"/>
          </w:sdtPr>
          <w:sdtEndPr/>
          <w:sdtContent>
            <w:p w14:paraId="5AF4AD89" w14:textId="77777777" w:rsidR="00471D53" w:rsidRDefault="004F686E" w:rsidP="00471D53">
              <w:r w:rsidRPr="002E2C92">
                <w:rPr>
                  <w:rFonts w:hint="eastAsia"/>
                  <w:sz w:val="22"/>
                  <w:szCs w:val="22"/>
                </w:rPr>
                <w:t>天津钢管钢铁贸易有限公司与天津天海高压容器有限责任公司在</w:t>
              </w:r>
              <w:r>
                <w:rPr>
                  <w:rFonts w:hint="eastAsia"/>
                  <w:sz w:val="22"/>
                  <w:szCs w:val="22"/>
                </w:rPr>
                <w:t>上年末</w:t>
              </w:r>
              <w:r w:rsidRPr="002E2C92">
                <w:rPr>
                  <w:rFonts w:hint="eastAsia"/>
                  <w:sz w:val="22"/>
                  <w:szCs w:val="22"/>
                </w:rPr>
                <w:t>已不存在关联关系。</w:t>
              </w:r>
            </w:p>
          </w:sdtContent>
        </w:sdt>
        <w:p w14:paraId="41598A36" w14:textId="77777777" w:rsidR="00471D53" w:rsidRDefault="00B664AF">
          <w:pPr>
            <w:rPr>
              <w:rFonts w:cs="Cambria"/>
              <w:szCs w:val="21"/>
            </w:rPr>
          </w:pPr>
        </w:p>
      </w:sdtContent>
    </w:sdt>
    <w:sdt>
      <w:sdtPr>
        <w:rPr>
          <w:rFonts w:ascii="宋体" w:hAnsi="宋体" w:cs="宋体" w:hint="eastAsia"/>
          <w:b w:val="0"/>
          <w:bCs w:val="0"/>
          <w:kern w:val="0"/>
          <w:szCs w:val="24"/>
        </w:rPr>
        <w:alias w:val="模块:关联受托管理/承包及委托管理/出包情况"/>
        <w:tag w:val="_GBC_41e9e66a2ab04304a0db7b9e032817c5"/>
        <w:id w:val="124357329"/>
        <w:lock w:val="sdtLocked"/>
        <w:placeholder>
          <w:docPart w:val="GBC22222222222222222222222222222"/>
        </w:placeholder>
      </w:sdtPr>
      <w:sdtEndPr>
        <w:rPr>
          <w:rFonts w:cs="Cambria" w:hint="default"/>
          <w:szCs w:val="21"/>
        </w:rPr>
      </w:sdtEndPr>
      <w:sdtContent>
        <w:p w14:paraId="0736E6C9" w14:textId="77777777" w:rsidR="00471D53" w:rsidRDefault="004F686E" w:rsidP="004F686E">
          <w:pPr>
            <w:pStyle w:val="afffff8"/>
            <w:numPr>
              <w:ilvl w:val="0"/>
              <w:numId w:val="102"/>
            </w:numPr>
            <w:tabs>
              <w:tab w:val="left" w:pos="616"/>
            </w:tabs>
            <w:rPr>
              <w:rFonts w:ascii="宋体" w:hAnsi="宋体"/>
            </w:rPr>
          </w:pPr>
          <w:r>
            <w:rPr>
              <w:rFonts w:ascii="宋体" w:hAnsi="宋体" w:hint="eastAsia"/>
            </w:rPr>
            <w:t>关联受托管理/承包及委托管理/出包情况</w:t>
          </w:r>
        </w:p>
        <w:p w14:paraId="60406D62" w14:textId="77777777" w:rsidR="00471D53" w:rsidRDefault="004F686E">
          <w:pPr>
            <w:rPr>
              <w:szCs w:val="21"/>
            </w:rPr>
          </w:pPr>
          <w:r>
            <w:rPr>
              <w:rFonts w:hint="eastAsia"/>
              <w:szCs w:val="21"/>
            </w:rPr>
            <w:t>本公司受托管理/承包情况表：</w:t>
          </w:r>
        </w:p>
        <w:sdt>
          <w:sdtPr>
            <w:rPr>
              <w:rFonts w:cs="Cambria"/>
              <w:szCs w:val="21"/>
            </w:rPr>
            <w:alias w:val="是否适用：本公司受托管理或承包情况表[双击切换]"/>
            <w:tag w:val="_GBC_3810b3cad54c4b2f9754e7d6be3e9480"/>
            <w:id w:val="-398525200"/>
            <w:lock w:val="sdtLocked"/>
            <w:placeholder>
              <w:docPart w:val="GBC22222222222222222222222222222"/>
            </w:placeholder>
          </w:sdtPr>
          <w:sdtEndPr/>
          <w:sdtContent>
            <w:p w14:paraId="22B12391" w14:textId="77777777" w:rsidR="00471D53" w:rsidRDefault="004F686E" w:rsidP="00471D53">
              <w:pPr>
                <w:rPr>
                  <w:rFonts w:cs="Cambria"/>
                  <w:szCs w:val="21"/>
                </w:rPr>
              </w:pPr>
              <w:r>
                <w:rPr>
                  <w:rFonts w:cs="Cambria"/>
                  <w:szCs w:val="21"/>
                </w:rPr>
                <w:fldChar w:fldCharType="begin"/>
              </w:r>
              <w:r>
                <w:rPr>
                  <w:rFonts w:cs="Cambria"/>
                  <w:szCs w:val="21"/>
                </w:rPr>
                <w:instrText xml:space="preserve"> MACROBUTTON  SnrToggleCheckbox □适用 </w:instrText>
              </w:r>
              <w:r>
                <w:rPr>
                  <w:rFonts w:cs="Cambria"/>
                  <w:szCs w:val="21"/>
                </w:rPr>
                <w:fldChar w:fldCharType="end"/>
              </w:r>
              <w:r>
                <w:rPr>
                  <w:rFonts w:cs="Cambria"/>
                  <w:szCs w:val="21"/>
                </w:rPr>
                <w:fldChar w:fldCharType="begin"/>
              </w:r>
              <w:r>
                <w:rPr>
                  <w:rFonts w:cs="Cambria"/>
                  <w:szCs w:val="21"/>
                </w:rPr>
                <w:instrText xml:space="preserve"> MACROBUTTON  SnrToggleCheckbox √不适用 </w:instrText>
              </w:r>
              <w:r>
                <w:rPr>
                  <w:rFonts w:cs="Cambria"/>
                  <w:szCs w:val="21"/>
                </w:rPr>
                <w:fldChar w:fldCharType="end"/>
              </w:r>
            </w:p>
          </w:sdtContent>
        </w:sdt>
        <w:p w14:paraId="4726E2DA" w14:textId="77777777" w:rsidR="00471D53" w:rsidRDefault="004F686E">
          <w:pPr>
            <w:rPr>
              <w:rFonts w:cs="Cambria"/>
              <w:szCs w:val="21"/>
            </w:rPr>
          </w:pPr>
          <w:r>
            <w:rPr>
              <w:rFonts w:cs="Cambria" w:hint="eastAsia"/>
              <w:szCs w:val="21"/>
            </w:rPr>
            <w:t>关联托管/承包情况说明</w:t>
          </w:r>
        </w:p>
        <w:sdt>
          <w:sdtPr>
            <w:rPr>
              <w:rFonts w:cs="Cambria"/>
              <w:szCs w:val="21"/>
            </w:rPr>
            <w:alias w:val="是否适用：关联托管或承包情况说明[双击切换]"/>
            <w:tag w:val="_GBC_42ec6e3170b04610899c528ce7bda003"/>
            <w:id w:val="-246111370"/>
            <w:lock w:val="sdtLocked"/>
            <w:placeholder>
              <w:docPart w:val="GBC22222222222222222222222222222"/>
            </w:placeholder>
          </w:sdtPr>
          <w:sdtEndPr/>
          <w:sdtContent>
            <w:p w14:paraId="39D98DF4" w14:textId="77777777" w:rsidR="00471D53" w:rsidRDefault="004F686E" w:rsidP="00471D53">
              <w:pPr>
                <w:rPr>
                  <w:rFonts w:cs="Cambria"/>
                  <w:szCs w:val="21"/>
                </w:rPr>
              </w:pPr>
              <w:r>
                <w:rPr>
                  <w:rFonts w:cs="Cambria"/>
                  <w:szCs w:val="21"/>
                </w:rPr>
                <w:fldChar w:fldCharType="begin"/>
              </w:r>
              <w:r>
                <w:rPr>
                  <w:rFonts w:cs="Cambria"/>
                  <w:szCs w:val="21"/>
                </w:rPr>
                <w:instrText xml:space="preserve"> MACROBUTTON  SnrToggleCheckbox □适用 </w:instrText>
              </w:r>
              <w:r>
                <w:rPr>
                  <w:rFonts w:cs="Cambria"/>
                  <w:szCs w:val="21"/>
                </w:rPr>
                <w:fldChar w:fldCharType="end"/>
              </w:r>
              <w:r>
                <w:rPr>
                  <w:rFonts w:cs="Cambria"/>
                  <w:szCs w:val="21"/>
                </w:rPr>
                <w:fldChar w:fldCharType="begin"/>
              </w:r>
              <w:r>
                <w:rPr>
                  <w:rFonts w:cs="Cambria"/>
                  <w:szCs w:val="21"/>
                </w:rPr>
                <w:instrText xml:space="preserve"> MACROBUTTON  SnrToggleCheckbox √不适用 </w:instrText>
              </w:r>
              <w:r>
                <w:rPr>
                  <w:rFonts w:cs="Cambria"/>
                  <w:szCs w:val="21"/>
                </w:rPr>
                <w:fldChar w:fldCharType="end"/>
              </w:r>
            </w:p>
          </w:sdtContent>
        </w:sdt>
        <w:p w14:paraId="0C1FF08C" w14:textId="77777777" w:rsidR="00471D53" w:rsidRDefault="00B664AF">
          <w:pPr>
            <w:rPr>
              <w:rFonts w:cs="Cambria"/>
              <w:szCs w:val="21"/>
            </w:rPr>
          </w:pPr>
        </w:p>
        <w:p w14:paraId="405BF3EA" w14:textId="77777777" w:rsidR="00471D53" w:rsidRDefault="004F686E">
          <w:pPr>
            <w:rPr>
              <w:rFonts w:cs="Cambria"/>
              <w:bCs/>
              <w:szCs w:val="21"/>
            </w:rPr>
          </w:pPr>
          <w:r>
            <w:rPr>
              <w:rFonts w:hint="eastAsia"/>
              <w:szCs w:val="21"/>
            </w:rPr>
            <w:t>本公司</w:t>
          </w:r>
          <w:r>
            <w:rPr>
              <w:rFonts w:cs="Cambria" w:hint="eastAsia"/>
              <w:bCs/>
              <w:szCs w:val="21"/>
            </w:rPr>
            <w:t>委托管理/出包情况表：</w:t>
          </w:r>
        </w:p>
        <w:sdt>
          <w:sdtPr>
            <w:rPr>
              <w:rFonts w:cs="Cambria"/>
              <w:bCs/>
              <w:szCs w:val="21"/>
            </w:rPr>
            <w:alias w:val="是否适用：本公司委托管理或出包情况表[双击切换]"/>
            <w:tag w:val="_GBC_37bf111a27194665b76f71bb5418d53c"/>
            <w:id w:val="968162894"/>
            <w:lock w:val="sdtLocked"/>
            <w:placeholder>
              <w:docPart w:val="GBC22222222222222222222222222222"/>
            </w:placeholder>
          </w:sdtPr>
          <w:sdtEndPr/>
          <w:sdtContent>
            <w:p w14:paraId="22A935AC" w14:textId="77777777" w:rsidR="00471D53" w:rsidRDefault="004F686E" w:rsidP="00471D53">
              <w:pPr>
                <w:rPr>
                  <w:rFonts w:cs="Cambria"/>
                  <w:bCs/>
                  <w:szCs w:val="21"/>
                </w:rPr>
              </w:pPr>
              <w:r>
                <w:rPr>
                  <w:rFonts w:cs="Cambria"/>
                  <w:bCs/>
                  <w:szCs w:val="21"/>
                </w:rPr>
                <w:fldChar w:fldCharType="begin"/>
              </w:r>
              <w:r>
                <w:rPr>
                  <w:rFonts w:cs="Cambria"/>
                  <w:bCs/>
                  <w:szCs w:val="21"/>
                </w:rPr>
                <w:instrText xml:space="preserve"> MACROBUTTON  SnrToggleCheckbox □适用 </w:instrText>
              </w:r>
              <w:r>
                <w:rPr>
                  <w:rFonts w:cs="Cambria"/>
                  <w:bCs/>
                  <w:szCs w:val="21"/>
                </w:rPr>
                <w:fldChar w:fldCharType="end"/>
              </w:r>
              <w:r>
                <w:rPr>
                  <w:rFonts w:cs="Cambria"/>
                  <w:bCs/>
                  <w:szCs w:val="21"/>
                </w:rPr>
                <w:fldChar w:fldCharType="begin"/>
              </w:r>
              <w:r>
                <w:rPr>
                  <w:rFonts w:cs="Cambria"/>
                  <w:bCs/>
                  <w:szCs w:val="21"/>
                </w:rPr>
                <w:instrText xml:space="preserve"> MACROBUTTON  SnrToggleCheckbox √不适用 </w:instrText>
              </w:r>
              <w:r>
                <w:rPr>
                  <w:rFonts w:cs="Cambria"/>
                  <w:bCs/>
                  <w:szCs w:val="21"/>
                </w:rPr>
                <w:fldChar w:fldCharType="end"/>
              </w:r>
            </w:p>
          </w:sdtContent>
        </w:sdt>
        <w:p w14:paraId="1C7BB72F" w14:textId="77777777" w:rsidR="00471D53" w:rsidRDefault="004F686E">
          <w:pPr>
            <w:rPr>
              <w:rFonts w:cs="Cambria"/>
              <w:bCs/>
              <w:szCs w:val="21"/>
            </w:rPr>
          </w:pPr>
          <w:r>
            <w:rPr>
              <w:rFonts w:cs="Cambria" w:hint="eastAsia"/>
              <w:bCs/>
              <w:szCs w:val="21"/>
            </w:rPr>
            <w:t>关联管理/出包情况说明</w:t>
          </w:r>
        </w:p>
        <w:sdt>
          <w:sdtPr>
            <w:rPr>
              <w:rFonts w:cs="Cambria"/>
              <w:bCs/>
              <w:szCs w:val="21"/>
            </w:rPr>
            <w:alias w:val="是否适用：关联管理或出包情况说明[双击切换]"/>
            <w:tag w:val="_GBC_0b0339c118c542eb8a6e3a68fab8e375"/>
            <w:id w:val="1896163783"/>
            <w:lock w:val="sdtLocked"/>
            <w:placeholder>
              <w:docPart w:val="GBC22222222222222222222222222222"/>
            </w:placeholder>
          </w:sdtPr>
          <w:sdtEndPr/>
          <w:sdtContent>
            <w:p w14:paraId="512F37AD" w14:textId="77777777" w:rsidR="00471D53" w:rsidRDefault="004F686E" w:rsidP="00471D53">
              <w:pPr>
                <w:rPr>
                  <w:rFonts w:cs="Cambria"/>
                  <w:bCs/>
                  <w:szCs w:val="21"/>
                </w:rPr>
              </w:pPr>
              <w:r>
                <w:rPr>
                  <w:rFonts w:cs="Cambria"/>
                  <w:bCs/>
                  <w:szCs w:val="21"/>
                </w:rPr>
                <w:fldChar w:fldCharType="begin"/>
              </w:r>
              <w:r>
                <w:rPr>
                  <w:rFonts w:cs="Cambria"/>
                  <w:bCs/>
                  <w:szCs w:val="21"/>
                </w:rPr>
                <w:instrText xml:space="preserve"> MACROBUTTON  SnrToggleCheckbox □适用 </w:instrText>
              </w:r>
              <w:r>
                <w:rPr>
                  <w:rFonts w:cs="Cambria"/>
                  <w:bCs/>
                  <w:szCs w:val="21"/>
                </w:rPr>
                <w:fldChar w:fldCharType="end"/>
              </w:r>
              <w:r>
                <w:rPr>
                  <w:rFonts w:cs="Cambria"/>
                  <w:bCs/>
                  <w:szCs w:val="21"/>
                </w:rPr>
                <w:fldChar w:fldCharType="begin"/>
              </w:r>
              <w:r>
                <w:rPr>
                  <w:rFonts w:cs="Cambria"/>
                  <w:bCs/>
                  <w:szCs w:val="21"/>
                </w:rPr>
                <w:instrText xml:space="preserve"> MACROBUTTON  SnrToggleCheckbox √不适用 </w:instrText>
              </w:r>
              <w:r>
                <w:rPr>
                  <w:rFonts w:cs="Cambria"/>
                  <w:bCs/>
                  <w:szCs w:val="21"/>
                </w:rPr>
                <w:fldChar w:fldCharType="end"/>
              </w:r>
            </w:p>
          </w:sdtContent>
        </w:sdt>
        <w:p w14:paraId="09D2AE4A" w14:textId="77777777" w:rsidR="00471D53" w:rsidRDefault="00B664AF">
          <w:pPr>
            <w:rPr>
              <w:rFonts w:cs="Cambria"/>
              <w:szCs w:val="21"/>
            </w:rPr>
          </w:pPr>
        </w:p>
      </w:sdtContent>
    </w:sdt>
    <w:bookmarkStart w:id="238" w:name="_Hlk79428160" w:displacedByCustomXml="next"/>
    <w:sdt>
      <w:sdtPr>
        <w:rPr>
          <w:rFonts w:ascii="宋体" w:hAnsi="宋体" w:cs="宋体" w:hint="eastAsia"/>
          <w:b w:val="0"/>
          <w:bCs w:val="0"/>
          <w:kern w:val="0"/>
          <w:szCs w:val="24"/>
        </w:rPr>
        <w:alias w:val="模块:关联租赁情况"/>
        <w:tag w:val="_GBC_17f3281299e640aa88ca71463490c054"/>
        <w:id w:val="-1138797629"/>
        <w:lock w:val="sdtLocked"/>
        <w:placeholder>
          <w:docPart w:val="GBC22222222222222222222222222222"/>
        </w:placeholder>
      </w:sdtPr>
      <w:sdtEndPr>
        <w:rPr>
          <w:rFonts w:ascii="Cambria" w:hAnsi="Cambria" w:cs="Times New Roman"/>
          <w:b/>
          <w:bCs/>
          <w:kern w:val="2"/>
          <w:szCs w:val="28"/>
        </w:rPr>
      </w:sdtEndPr>
      <w:sdtContent>
        <w:p w14:paraId="67A86D91" w14:textId="77777777" w:rsidR="0014424C" w:rsidRDefault="0014424C" w:rsidP="0014424C">
          <w:pPr>
            <w:pStyle w:val="4"/>
            <w:numPr>
              <w:ilvl w:val="0"/>
              <w:numId w:val="102"/>
            </w:numPr>
            <w:tabs>
              <w:tab w:val="left" w:pos="616"/>
            </w:tabs>
            <w:rPr>
              <w:rFonts w:ascii="宋体" w:hAnsi="宋体"/>
            </w:rPr>
          </w:pPr>
          <w:r>
            <w:rPr>
              <w:rFonts w:ascii="宋体" w:hAnsi="宋体" w:hint="eastAsia"/>
            </w:rPr>
            <w:t>关联租赁情况</w:t>
          </w:r>
        </w:p>
        <w:p w14:paraId="4380396E" w14:textId="77777777" w:rsidR="0014424C" w:rsidRDefault="0014424C">
          <w:pPr>
            <w:rPr>
              <w:szCs w:val="21"/>
            </w:rPr>
          </w:pPr>
          <w:r>
            <w:rPr>
              <w:rFonts w:hint="eastAsia"/>
              <w:szCs w:val="21"/>
            </w:rPr>
            <w:t>本公司作为出租方：</w:t>
          </w:r>
        </w:p>
        <w:sdt>
          <w:sdtPr>
            <w:rPr>
              <w:szCs w:val="21"/>
            </w:rPr>
            <w:alias w:val="是否适用：本公司作为出租方的租赁情况表[双击切换]"/>
            <w:tag w:val="_GBC_f12cb8266cbd482b93c6a4bba1b05fb7"/>
            <w:id w:val="556829171"/>
            <w:lock w:val="sdtLocked"/>
          </w:sdtPr>
          <w:sdtEndPr/>
          <w:sdtContent>
            <w:p w14:paraId="2927FE10" w14:textId="77777777" w:rsidR="0014424C" w:rsidRDefault="0014424C">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MACROBUTTON  SnrToggleCheckbox □不适用 </w:instrText>
              </w:r>
              <w:r>
                <w:rPr>
                  <w:szCs w:val="21"/>
                </w:rPr>
                <w:fldChar w:fldCharType="end"/>
              </w:r>
            </w:p>
          </w:sdtContent>
        </w:sdt>
        <w:p w14:paraId="7E4A8220" w14:textId="77777777" w:rsidR="0014424C" w:rsidRDefault="0014424C">
          <w:pPr>
            <w:jc w:val="right"/>
            <w:rPr>
              <w:szCs w:val="21"/>
            </w:rPr>
          </w:pPr>
          <w:r>
            <w:rPr>
              <w:rFonts w:hint="eastAsia"/>
              <w:szCs w:val="21"/>
            </w:rPr>
            <w:t>单位：</w:t>
          </w:r>
          <w:sdt>
            <w:sdtPr>
              <w:rPr>
                <w:rFonts w:hint="eastAsia"/>
                <w:szCs w:val="21"/>
              </w:rPr>
              <w:alias w:val="单位：关联租赁情况"/>
              <w:tag w:val="_GBC_b6ac4f0274e84bf2bac59898fb55e11d"/>
              <w:id w:val="-97410485"/>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关联租赁情况"/>
              <w:tag w:val="_GBC_268dafb121cf40fdbb2bbe55df2badf0"/>
              <w:id w:val="2117859916"/>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280"/>
            <w:gridCol w:w="1687"/>
            <w:gridCol w:w="2204"/>
            <w:gridCol w:w="2652"/>
          </w:tblGrid>
          <w:tr w:rsidR="0014424C" w14:paraId="598E1FF8" w14:textId="77777777" w:rsidTr="0014424C">
            <w:trPr>
              <w:trHeight w:val="338"/>
            </w:trPr>
            <w:sdt>
              <w:sdtPr>
                <w:tag w:val="_PLD_d0bc662d818f4cea8a5953be241f0994"/>
                <w:id w:val="-1612351949"/>
                <w:lock w:val="sdtLocked"/>
              </w:sdtPr>
              <w:sdtEndPr/>
              <w:sdtContent>
                <w:tc>
                  <w:tcPr>
                    <w:tcW w:w="1292" w:type="pct"/>
                    <w:tcBorders>
                      <w:top w:val="single" w:sz="4" w:space="0" w:color="auto"/>
                      <w:left w:val="single" w:sz="4" w:space="0" w:color="auto"/>
                      <w:right w:val="single" w:sz="4" w:space="0" w:color="auto"/>
                    </w:tcBorders>
                    <w:shd w:val="clear" w:color="auto" w:fill="auto"/>
                    <w:vAlign w:val="center"/>
                  </w:tcPr>
                  <w:p w14:paraId="4867EC94" w14:textId="77777777" w:rsidR="0014424C" w:rsidRDefault="0014424C" w:rsidP="00794E15">
                    <w:pPr>
                      <w:jc w:val="center"/>
                      <w:rPr>
                        <w:szCs w:val="21"/>
                      </w:rPr>
                    </w:pPr>
                    <w:r>
                      <w:rPr>
                        <w:rFonts w:hint="eastAsia"/>
                        <w:szCs w:val="21"/>
                      </w:rPr>
                      <w:t>承租方名称</w:t>
                    </w:r>
                  </w:p>
                </w:tc>
              </w:sdtContent>
            </w:sdt>
            <w:sdt>
              <w:sdtPr>
                <w:tag w:val="_PLD_b201e1ba80ff4620b34885e088e03080"/>
                <w:id w:val="-476454441"/>
                <w:lock w:val="sdtLocked"/>
              </w:sdtPr>
              <w:sdtEndPr/>
              <w:sdtContent>
                <w:tc>
                  <w:tcPr>
                    <w:tcW w:w="956" w:type="pct"/>
                    <w:tcBorders>
                      <w:top w:val="single" w:sz="4" w:space="0" w:color="auto"/>
                      <w:left w:val="single" w:sz="4" w:space="0" w:color="auto"/>
                      <w:right w:val="single" w:sz="4" w:space="0" w:color="auto"/>
                    </w:tcBorders>
                    <w:shd w:val="clear" w:color="auto" w:fill="auto"/>
                    <w:vAlign w:val="center"/>
                  </w:tcPr>
                  <w:p w14:paraId="55EBC76D" w14:textId="77777777" w:rsidR="0014424C" w:rsidRDefault="0014424C" w:rsidP="00794E15">
                    <w:pPr>
                      <w:jc w:val="center"/>
                      <w:rPr>
                        <w:szCs w:val="21"/>
                      </w:rPr>
                    </w:pPr>
                    <w:r>
                      <w:rPr>
                        <w:rFonts w:hint="eastAsia"/>
                        <w:szCs w:val="21"/>
                      </w:rPr>
                      <w:t>租赁资产种类</w:t>
                    </w:r>
                  </w:p>
                </w:tc>
              </w:sdtContent>
            </w:sdt>
            <w:sdt>
              <w:sdtPr>
                <w:tag w:val="_PLD_2247dbd372c64f6bb229457f3849c03a"/>
                <w:id w:val="1417281070"/>
                <w:lock w:val="sdtLocked"/>
              </w:sdtPr>
              <w:sdtEndPr/>
              <w:sdtContent>
                <w:tc>
                  <w:tcPr>
                    <w:tcW w:w="1249" w:type="pct"/>
                    <w:tcBorders>
                      <w:top w:val="single" w:sz="4" w:space="0" w:color="auto"/>
                      <w:left w:val="single" w:sz="4" w:space="0" w:color="auto"/>
                      <w:right w:val="single" w:sz="4" w:space="0" w:color="auto"/>
                    </w:tcBorders>
                    <w:shd w:val="clear" w:color="auto" w:fill="auto"/>
                    <w:vAlign w:val="center"/>
                  </w:tcPr>
                  <w:p w14:paraId="514E7C62" w14:textId="77777777" w:rsidR="0014424C" w:rsidRDefault="0014424C" w:rsidP="00794E15">
                    <w:pPr>
                      <w:jc w:val="center"/>
                      <w:rPr>
                        <w:szCs w:val="21"/>
                      </w:rPr>
                    </w:pPr>
                    <w:r>
                      <w:rPr>
                        <w:rFonts w:hint="eastAsia"/>
                        <w:szCs w:val="21"/>
                      </w:rPr>
                      <w:t>本期确认的租赁收入</w:t>
                    </w:r>
                  </w:p>
                </w:tc>
              </w:sdtContent>
            </w:sdt>
            <w:sdt>
              <w:sdtPr>
                <w:tag w:val="_PLD_94eb47eaf858403e8c39eab08f54efb9"/>
                <w:id w:val="-1849168602"/>
                <w:lock w:val="sdtLocked"/>
              </w:sdtPr>
              <w:sdtEndPr/>
              <w:sdtContent>
                <w:tc>
                  <w:tcPr>
                    <w:tcW w:w="1503" w:type="pct"/>
                    <w:tcBorders>
                      <w:top w:val="single" w:sz="4" w:space="0" w:color="auto"/>
                      <w:left w:val="single" w:sz="4" w:space="0" w:color="auto"/>
                      <w:right w:val="single" w:sz="4" w:space="0" w:color="auto"/>
                    </w:tcBorders>
                    <w:shd w:val="clear" w:color="auto" w:fill="auto"/>
                    <w:vAlign w:val="center"/>
                  </w:tcPr>
                  <w:p w14:paraId="4B06A8FF" w14:textId="77777777" w:rsidR="0014424C" w:rsidRDefault="0014424C" w:rsidP="00794E15">
                    <w:pPr>
                      <w:jc w:val="center"/>
                      <w:rPr>
                        <w:szCs w:val="21"/>
                      </w:rPr>
                    </w:pPr>
                    <w:r>
                      <w:rPr>
                        <w:rFonts w:hint="eastAsia"/>
                        <w:szCs w:val="21"/>
                      </w:rPr>
                      <w:t>上期确认的租赁收入</w:t>
                    </w:r>
                  </w:p>
                </w:tc>
              </w:sdtContent>
            </w:sdt>
          </w:tr>
          <w:sdt>
            <w:sdtPr>
              <w:rPr>
                <w:szCs w:val="21"/>
              </w:rPr>
              <w:alias w:val="关联租赁情况"/>
              <w:tag w:val="_GBC_b0112b4dc9284dc5a94109344af1edea"/>
              <w:id w:val="1055964912"/>
              <w:lock w:val="sdtLocked"/>
              <w:placeholder>
                <w:docPart w:val="38F40DA0E9944BE9B766DE9A5D10E715"/>
              </w:placeholder>
            </w:sdtPr>
            <w:sdtEndPr/>
            <w:sdtContent>
              <w:tr w:rsidR="0014424C" w14:paraId="04C05899" w14:textId="77777777" w:rsidTr="0014424C">
                <w:tc>
                  <w:tcPr>
                    <w:tcW w:w="1292" w:type="pct"/>
                    <w:tcBorders>
                      <w:top w:val="single" w:sz="4" w:space="0" w:color="auto"/>
                      <w:left w:val="single" w:sz="4" w:space="0" w:color="auto"/>
                      <w:bottom w:val="single" w:sz="4" w:space="0" w:color="auto"/>
                      <w:right w:val="single" w:sz="4" w:space="0" w:color="auto"/>
                    </w:tcBorders>
                  </w:tcPr>
                  <w:p w14:paraId="3C6D450F" w14:textId="77777777" w:rsidR="0014424C" w:rsidRDefault="0014424C" w:rsidP="00794E15">
                    <w:pPr>
                      <w:rPr>
                        <w:szCs w:val="21"/>
                      </w:rPr>
                    </w:pPr>
                    <w:r>
                      <w:t>北京天海工业有限公司</w:t>
                    </w:r>
                  </w:p>
                </w:tc>
                <w:tc>
                  <w:tcPr>
                    <w:tcW w:w="956" w:type="pct"/>
                    <w:tcBorders>
                      <w:top w:val="single" w:sz="4" w:space="0" w:color="auto"/>
                      <w:left w:val="single" w:sz="4" w:space="0" w:color="auto"/>
                      <w:bottom w:val="single" w:sz="4" w:space="0" w:color="auto"/>
                      <w:right w:val="single" w:sz="4" w:space="0" w:color="auto"/>
                    </w:tcBorders>
                  </w:tcPr>
                  <w:p w14:paraId="46FF33BB" w14:textId="77777777" w:rsidR="0014424C" w:rsidRDefault="0014424C" w:rsidP="00794E15">
                    <w:pPr>
                      <w:rPr>
                        <w:szCs w:val="21"/>
                      </w:rPr>
                    </w:pPr>
                    <w:r>
                      <w:t>土地、房屋</w:t>
                    </w:r>
                  </w:p>
                </w:tc>
                <w:tc>
                  <w:tcPr>
                    <w:tcW w:w="1249" w:type="pct"/>
                    <w:tcBorders>
                      <w:top w:val="single" w:sz="4" w:space="0" w:color="auto"/>
                      <w:left w:val="single" w:sz="4" w:space="0" w:color="auto"/>
                      <w:bottom w:val="single" w:sz="4" w:space="0" w:color="auto"/>
                      <w:right w:val="single" w:sz="4" w:space="0" w:color="auto"/>
                    </w:tcBorders>
                  </w:tcPr>
                  <w:p w14:paraId="47705A42" w14:textId="77777777" w:rsidR="0014424C" w:rsidRDefault="0014424C" w:rsidP="00794E15">
                    <w:pPr>
                      <w:jc w:val="right"/>
                      <w:rPr>
                        <w:szCs w:val="21"/>
                      </w:rPr>
                    </w:pPr>
                    <w:r>
                      <w:t>0.00</w:t>
                    </w:r>
                  </w:p>
                </w:tc>
                <w:tc>
                  <w:tcPr>
                    <w:tcW w:w="1503" w:type="pct"/>
                    <w:tcBorders>
                      <w:top w:val="single" w:sz="4" w:space="0" w:color="auto"/>
                      <w:left w:val="single" w:sz="4" w:space="0" w:color="auto"/>
                      <w:bottom w:val="single" w:sz="4" w:space="0" w:color="auto"/>
                      <w:right w:val="single" w:sz="4" w:space="0" w:color="auto"/>
                    </w:tcBorders>
                  </w:tcPr>
                  <w:p w14:paraId="3C438133" w14:textId="77777777" w:rsidR="0014424C" w:rsidRDefault="0014424C" w:rsidP="00794E15">
                    <w:pPr>
                      <w:jc w:val="right"/>
                      <w:rPr>
                        <w:szCs w:val="21"/>
                      </w:rPr>
                    </w:pPr>
                    <w:r>
                      <w:t>12,382,834.66</w:t>
                    </w:r>
                  </w:p>
                </w:tc>
              </w:tr>
            </w:sdtContent>
          </w:sdt>
        </w:tbl>
        <w:p w14:paraId="02B44E75" w14:textId="77777777" w:rsidR="0014424C" w:rsidRDefault="0014424C"/>
        <w:p w14:paraId="0910B069" w14:textId="77777777" w:rsidR="0014424C" w:rsidRDefault="0014424C">
          <w:pPr>
            <w:rPr>
              <w:szCs w:val="21"/>
            </w:rPr>
          </w:pPr>
          <w:r>
            <w:rPr>
              <w:rFonts w:hint="eastAsia"/>
              <w:szCs w:val="21"/>
            </w:rPr>
            <w:t>本公司作为承租方：</w:t>
          </w:r>
        </w:p>
        <w:sdt>
          <w:sdtPr>
            <w:rPr>
              <w:szCs w:val="21"/>
            </w:rPr>
            <w:alias w:val="是否适用：本公司作为承租方的租赁情况表[双击切换]"/>
            <w:tag w:val="_GBC_e3319fb4cbb04bb0ab5516046d7e77a4"/>
            <w:id w:val="-1791808626"/>
            <w:lock w:val="sdtLocked"/>
          </w:sdtPr>
          <w:sdtEndPr/>
          <w:sdtContent>
            <w:p w14:paraId="604C58E0" w14:textId="77777777" w:rsidR="0014424C" w:rsidRDefault="0014424C">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MACROBUTTON  SnrToggleCheckbox □不适用 </w:instrText>
              </w:r>
              <w:r>
                <w:rPr>
                  <w:szCs w:val="21"/>
                </w:rPr>
                <w:fldChar w:fldCharType="end"/>
              </w:r>
            </w:p>
          </w:sdtContent>
        </w:sdt>
        <w:p w14:paraId="6BFA7412" w14:textId="77777777" w:rsidR="0014424C" w:rsidRDefault="0014424C">
          <w:pPr>
            <w:jc w:val="right"/>
            <w:rPr>
              <w:szCs w:val="21"/>
            </w:rPr>
          </w:pPr>
          <w:r>
            <w:rPr>
              <w:rFonts w:hint="eastAsia"/>
              <w:szCs w:val="21"/>
            </w:rPr>
            <w:t>单位：</w:t>
          </w:r>
          <w:sdt>
            <w:sdtPr>
              <w:rPr>
                <w:rFonts w:hint="eastAsia"/>
                <w:szCs w:val="21"/>
              </w:rPr>
              <w:alias w:val="单位：公司承租情况表"/>
              <w:tag w:val="_GBC_c4f9d2e7743f429a85c30d009abea834"/>
              <w:id w:val="-1361041462"/>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公司承租情况表"/>
              <w:tag w:val="_GBC_bad2c4d4779f4dc2bace6d7ca19d4585"/>
              <w:id w:val="-928735231"/>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752"/>
            <w:gridCol w:w="1987"/>
            <w:gridCol w:w="2442"/>
            <w:gridCol w:w="2642"/>
          </w:tblGrid>
          <w:tr w:rsidR="0014424C" w14:paraId="440AA93E" w14:textId="77777777" w:rsidTr="00C965B2">
            <w:trPr>
              <w:trHeight w:val="310"/>
            </w:trPr>
            <w:sdt>
              <w:sdtPr>
                <w:tag w:val="_PLD_0a09d4d001e74fe3a6d865aeb5fab910"/>
                <w:id w:val="1446120369"/>
                <w:lock w:val="sdtLocked"/>
              </w:sdtPr>
              <w:sdtEndPr/>
              <w:sdtContent>
                <w:tc>
                  <w:tcPr>
                    <w:tcW w:w="993" w:type="pct"/>
                    <w:tcBorders>
                      <w:top w:val="single" w:sz="4" w:space="0" w:color="auto"/>
                      <w:left w:val="single" w:sz="4" w:space="0" w:color="auto"/>
                      <w:right w:val="single" w:sz="4" w:space="0" w:color="auto"/>
                    </w:tcBorders>
                    <w:shd w:val="clear" w:color="auto" w:fill="auto"/>
                    <w:vAlign w:val="center"/>
                  </w:tcPr>
                  <w:p w14:paraId="0243C98F" w14:textId="77777777" w:rsidR="0014424C" w:rsidRDefault="0014424C">
                    <w:pPr>
                      <w:jc w:val="center"/>
                      <w:rPr>
                        <w:szCs w:val="21"/>
                      </w:rPr>
                    </w:pPr>
                    <w:r>
                      <w:rPr>
                        <w:rFonts w:hint="eastAsia"/>
                        <w:szCs w:val="21"/>
                      </w:rPr>
                      <w:t>出租方名称</w:t>
                    </w:r>
                  </w:p>
                </w:tc>
              </w:sdtContent>
            </w:sdt>
            <w:sdt>
              <w:sdtPr>
                <w:tag w:val="_PLD_8f2b6c0b27fc41c19bc3ddb5e8c23d38"/>
                <w:id w:val="-969363905"/>
                <w:lock w:val="sdtLocked"/>
              </w:sdtPr>
              <w:sdtEndPr/>
              <w:sdtContent>
                <w:tc>
                  <w:tcPr>
                    <w:tcW w:w="1126" w:type="pct"/>
                    <w:tcBorders>
                      <w:top w:val="single" w:sz="4" w:space="0" w:color="auto"/>
                      <w:left w:val="single" w:sz="4" w:space="0" w:color="auto"/>
                      <w:right w:val="single" w:sz="4" w:space="0" w:color="auto"/>
                    </w:tcBorders>
                    <w:shd w:val="clear" w:color="auto" w:fill="auto"/>
                    <w:vAlign w:val="center"/>
                  </w:tcPr>
                  <w:p w14:paraId="7D981F87" w14:textId="77777777" w:rsidR="0014424C" w:rsidRDefault="0014424C">
                    <w:pPr>
                      <w:jc w:val="center"/>
                      <w:rPr>
                        <w:szCs w:val="21"/>
                      </w:rPr>
                    </w:pPr>
                    <w:r>
                      <w:rPr>
                        <w:rFonts w:hint="eastAsia"/>
                        <w:szCs w:val="21"/>
                      </w:rPr>
                      <w:t>租赁资产种类</w:t>
                    </w:r>
                  </w:p>
                </w:tc>
              </w:sdtContent>
            </w:sdt>
            <w:sdt>
              <w:sdtPr>
                <w:tag w:val="_PLD_1a07095594554b409b72dea609345e26"/>
                <w:id w:val="213167347"/>
                <w:lock w:val="sdtLocked"/>
              </w:sdtPr>
              <w:sdtEndPr/>
              <w:sdtContent>
                <w:tc>
                  <w:tcPr>
                    <w:tcW w:w="1384" w:type="pct"/>
                    <w:tcBorders>
                      <w:top w:val="single" w:sz="4" w:space="0" w:color="auto"/>
                      <w:left w:val="single" w:sz="4" w:space="0" w:color="auto"/>
                      <w:right w:val="single" w:sz="4" w:space="0" w:color="auto"/>
                    </w:tcBorders>
                    <w:shd w:val="clear" w:color="auto" w:fill="auto"/>
                    <w:vAlign w:val="center"/>
                  </w:tcPr>
                  <w:p w14:paraId="4FFE812B" w14:textId="77777777" w:rsidR="0014424C" w:rsidRDefault="0014424C">
                    <w:pPr>
                      <w:jc w:val="center"/>
                      <w:rPr>
                        <w:szCs w:val="21"/>
                      </w:rPr>
                    </w:pPr>
                    <w:r>
                      <w:rPr>
                        <w:rFonts w:hint="eastAsia"/>
                        <w:szCs w:val="21"/>
                      </w:rPr>
                      <w:t>本期确认的租赁费</w:t>
                    </w:r>
                  </w:p>
                </w:tc>
              </w:sdtContent>
            </w:sdt>
            <w:sdt>
              <w:sdtPr>
                <w:tag w:val="_PLD_719d99d0e51d4f5eb9d74441d044bfe5"/>
                <w:id w:val="1240443315"/>
                <w:lock w:val="sdtLocked"/>
              </w:sdtPr>
              <w:sdtEndPr/>
              <w:sdtContent>
                <w:tc>
                  <w:tcPr>
                    <w:tcW w:w="1497" w:type="pct"/>
                    <w:tcBorders>
                      <w:top w:val="single" w:sz="4" w:space="0" w:color="auto"/>
                      <w:left w:val="single" w:sz="4" w:space="0" w:color="auto"/>
                      <w:right w:val="single" w:sz="4" w:space="0" w:color="auto"/>
                    </w:tcBorders>
                    <w:shd w:val="clear" w:color="auto" w:fill="auto"/>
                    <w:vAlign w:val="center"/>
                  </w:tcPr>
                  <w:p w14:paraId="71AE3A97" w14:textId="77777777" w:rsidR="0014424C" w:rsidRDefault="0014424C">
                    <w:pPr>
                      <w:jc w:val="center"/>
                      <w:rPr>
                        <w:szCs w:val="21"/>
                      </w:rPr>
                    </w:pPr>
                    <w:r>
                      <w:rPr>
                        <w:rFonts w:hint="eastAsia"/>
                        <w:szCs w:val="21"/>
                      </w:rPr>
                      <w:t>上期确认的租赁费</w:t>
                    </w:r>
                  </w:p>
                </w:tc>
              </w:sdtContent>
            </w:sdt>
          </w:tr>
          <w:sdt>
            <w:sdtPr>
              <w:rPr>
                <w:szCs w:val="21"/>
              </w:rPr>
              <w:alias w:val="公司承租情况明细"/>
              <w:tag w:val="_GBC_2cb90c924bac4d8690c03cd1fa4f690b"/>
              <w:id w:val="-1699382987"/>
              <w:lock w:val="sdtLocked"/>
              <w:placeholder>
                <w:docPart w:val="DB4BB52DFD974F2C9C95F6828E44501D"/>
              </w:placeholder>
            </w:sdtPr>
            <w:sdtEndPr/>
            <w:sdtContent>
              <w:tr w:rsidR="0014424C" w14:paraId="2DA08126" w14:textId="77777777" w:rsidTr="00C965B2">
                <w:tc>
                  <w:tcPr>
                    <w:tcW w:w="993" w:type="pct"/>
                    <w:tcBorders>
                      <w:top w:val="single" w:sz="4" w:space="0" w:color="auto"/>
                      <w:left w:val="single" w:sz="4" w:space="0" w:color="auto"/>
                      <w:bottom w:val="single" w:sz="4" w:space="0" w:color="auto"/>
                      <w:right w:val="single" w:sz="4" w:space="0" w:color="auto"/>
                    </w:tcBorders>
                  </w:tcPr>
                  <w:p w14:paraId="680B8910" w14:textId="77777777" w:rsidR="0014424C" w:rsidRDefault="0014424C">
                    <w:pPr>
                      <w:rPr>
                        <w:szCs w:val="21"/>
                      </w:rPr>
                    </w:pPr>
                    <w:r>
                      <w:rPr>
                        <w:rFonts w:hint="eastAsia"/>
                      </w:rPr>
                      <w:t>北京第一机床厂</w:t>
                    </w:r>
                  </w:p>
                </w:tc>
                <w:tc>
                  <w:tcPr>
                    <w:tcW w:w="1126" w:type="pct"/>
                    <w:tcBorders>
                      <w:top w:val="single" w:sz="4" w:space="0" w:color="auto"/>
                      <w:left w:val="single" w:sz="4" w:space="0" w:color="auto"/>
                      <w:bottom w:val="single" w:sz="4" w:space="0" w:color="auto"/>
                      <w:right w:val="single" w:sz="4" w:space="0" w:color="auto"/>
                    </w:tcBorders>
                  </w:tcPr>
                  <w:p w14:paraId="1D9606FA" w14:textId="77777777" w:rsidR="0014424C" w:rsidRDefault="0014424C">
                    <w:pPr>
                      <w:rPr>
                        <w:szCs w:val="21"/>
                      </w:rPr>
                    </w:pPr>
                    <w:r>
                      <w:rPr>
                        <w:rFonts w:hint="eastAsia"/>
                      </w:rPr>
                      <w:t>房屋</w:t>
                    </w:r>
                  </w:p>
                </w:tc>
                <w:tc>
                  <w:tcPr>
                    <w:tcW w:w="1384" w:type="pct"/>
                    <w:tcBorders>
                      <w:top w:val="single" w:sz="4" w:space="0" w:color="auto"/>
                      <w:left w:val="single" w:sz="4" w:space="0" w:color="auto"/>
                      <w:bottom w:val="single" w:sz="4" w:space="0" w:color="auto"/>
                      <w:right w:val="single" w:sz="4" w:space="0" w:color="auto"/>
                    </w:tcBorders>
                  </w:tcPr>
                  <w:p w14:paraId="1F966855" w14:textId="77777777" w:rsidR="0014424C" w:rsidRDefault="0014424C">
                    <w:pPr>
                      <w:jc w:val="right"/>
                      <w:rPr>
                        <w:szCs w:val="21"/>
                      </w:rPr>
                    </w:pPr>
                    <w:r>
                      <w:rPr>
                        <w:rFonts w:hint="eastAsia"/>
                      </w:rPr>
                      <w:t>0.00</w:t>
                    </w:r>
                  </w:p>
                </w:tc>
                <w:tc>
                  <w:tcPr>
                    <w:tcW w:w="1497" w:type="pct"/>
                    <w:tcBorders>
                      <w:top w:val="single" w:sz="4" w:space="0" w:color="auto"/>
                      <w:left w:val="single" w:sz="4" w:space="0" w:color="auto"/>
                      <w:bottom w:val="single" w:sz="4" w:space="0" w:color="auto"/>
                      <w:right w:val="single" w:sz="4" w:space="0" w:color="auto"/>
                    </w:tcBorders>
                  </w:tcPr>
                  <w:p w14:paraId="682D519A" w14:textId="77777777" w:rsidR="0014424C" w:rsidRDefault="0014424C">
                    <w:pPr>
                      <w:jc w:val="right"/>
                      <w:rPr>
                        <w:szCs w:val="21"/>
                      </w:rPr>
                    </w:pPr>
                    <w:r>
                      <w:rPr>
                        <w:rFonts w:hint="eastAsia"/>
                      </w:rPr>
                      <w:t>90,000.00</w:t>
                    </w:r>
                  </w:p>
                </w:tc>
              </w:tr>
            </w:sdtContent>
          </w:sdt>
          <w:sdt>
            <w:sdtPr>
              <w:rPr>
                <w:szCs w:val="21"/>
              </w:rPr>
              <w:alias w:val="公司承租情况明细"/>
              <w:tag w:val="_GBC_2cb90c924bac4d8690c03cd1fa4f690b"/>
              <w:id w:val="-866050441"/>
              <w:lock w:val="sdtLocked"/>
              <w:placeholder>
                <w:docPart w:val="DB4BB52DFD974F2C9C95F6828E44501D"/>
              </w:placeholder>
            </w:sdtPr>
            <w:sdtEndPr/>
            <w:sdtContent>
              <w:tr w:rsidR="0014424C" w14:paraId="69573965" w14:textId="77777777" w:rsidTr="00C965B2">
                <w:tc>
                  <w:tcPr>
                    <w:tcW w:w="993" w:type="pct"/>
                    <w:tcBorders>
                      <w:top w:val="single" w:sz="4" w:space="0" w:color="auto"/>
                      <w:left w:val="single" w:sz="4" w:space="0" w:color="auto"/>
                      <w:bottom w:val="single" w:sz="4" w:space="0" w:color="auto"/>
                      <w:right w:val="single" w:sz="4" w:space="0" w:color="auto"/>
                    </w:tcBorders>
                  </w:tcPr>
                  <w:p w14:paraId="0187607B" w14:textId="77777777" w:rsidR="0014424C" w:rsidRDefault="0014424C">
                    <w:pPr>
                      <w:rPr>
                        <w:szCs w:val="21"/>
                      </w:rPr>
                    </w:pPr>
                    <w:r>
                      <w:rPr>
                        <w:rFonts w:hint="eastAsia"/>
                      </w:rPr>
                      <w:t>北京京城机电控股有限责任公司</w:t>
                    </w:r>
                  </w:p>
                </w:tc>
                <w:tc>
                  <w:tcPr>
                    <w:tcW w:w="1126" w:type="pct"/>
                    <w:tcBorders>
                      <w:top w:val="single" w:sz="4" w:space="0" w:color="auto"/>
                      <w:left w:val="single" w:sz="4" w:space="0" w:color="auto"/>
                      <w:bottom w:val="single" w:sz="4" w:space="0" w:color="auto"/>
                      <w:right w:val="single" w:sz="4" w:space="0" w:color="auto"/>
                    </w:tcBorders>
                  </w:tcPr>
                  <w:p w14:paraId="418D01B6" w14:textId="77777777" w:rsidR="0014424C" w:rsidRDefault="0014424C">
                    <w:pPr>
                      <w:rPr>
                        <w:szCs w:val="21"/>
                      </w:rPr>
                    </w:pPr>
                    <w:r>
                      <w:rPr>
                        <w:rFonts w:hint="eastAsia"/>
                      </w:rPr>
                      <w:t>房屋</w:t>
                    </w:r>
                  </w:p>
                </w:tc>
                <w:tc>
                  <w:tcPr>
                    <w:tcW w:w="1384" w:type="pct"/>
                    <w:tcBorders>
                      <w:top w:val="single" w:sz="4" w:space="0" w:color="auto"/>
                      <w:left w:val="single" w:sz="4" w:space="0" w:color="auto"/>
                      <w:bottom w:val="single" w:sz="4" w:space="0" w:color="auto"/>
                      <w:right w:val="single" w:sz="4" w:space="0" w:color="auto"/>
                    </w:tcBorders>
                  </w:tcPr>
                  <w:p w14:paraId="59877158" w14:textId="77777777" w:rsidR="0014424C" w:rsidRDefault="0014424C">
                    <w:pPr>
                      <w:jc w:val="right"/>
                      <w:rPr>
                        <w:szCs w:val="21"/>
                      </w:rPr>
                    </w:pPr>
                    <w:r>
                      <w:rPr>
                        <w:rFonts w:hint="eastAsia"/>
                      </w:rPr>
                      <w:t>274,650.00</w:t>
                    </w:r>
                  </w:p>
                </w:tc>
                <w:tc>
                  <w:tcPr>
                    <w:tcW w:w="1497" w:type="pct"/>
                    <w:tcBorders>
                      <w:top w:val="single" w:sz="4" w:space="0" w:color="auto"/>
                      <w:left w:val="single" w:sz="4" w:space="0" w:color="auto"/>
                      <w:bottom w:val="single" w:sz="4" w:space="0" w:color="auto"/>
                      <w:right w:val="single" w:sz="4" w:space="0" w:color="auto"/>
                    </w:tcBorders>
                  </w:tcPr>
                  <w:p w14:paraId="3C141430" w14:textId="77777777" w:rsidR="0014424C" w:rsidRDefault="0014424C">
                    <w:pPr>
                      <w:jc w:val="right"/>
                      <w:rPr>
                        <w:szCs w:val="21"/>
                      </w:rPr>
                    </w:pPr>
                    <w:r>
                      <w:rPr>
                        <w:rFonts w:hint="eastAsia"/>
                      </w:rPr>
                      <w:t>258,976.19</w:t>
                    </w:r>
                  </w:p>
                </w:tc>
              </w:tr>
            </w:sdtContent>
          </w:sdt>
          <w:sdt>
            <w:sdtPr>
              <w:rPr>
                <w:szCs w:val="21"/>
              </w:rPr>
              <w:alias w:val="公司承租情况明细"/>
              <w:tag w:val="_GBC_2cb90c924bac4d8690c03cd1fa4f690b"/>
              <w:id w:val="1819225881"/>
              <w:lock w:val="sdtLocked"/>
              <w:placeholder>
                <w:docPart w:val="DB4BB52DFD974F2C9C95F6828E44501D"/>
              </w:placeholder>
            </w:sdtPr>
            <w:sdtEndPr/>
            <w:sdtContent>
              <w:tr w:rsidR="0014424C" w14:paraId="56062D0E" w14:textId="77777777" w:rsidTr="00C965B2">
                <w:tc>
                  <w:tcPr>
                    <w:tcW w:w="993" w:type="pct"/>
                    <w:tcBorders>
                      <w:top w:val="single" w:sz="4" w:space="0" w:color="auto"/>
                      <w:left w:val="single" w:sz="4" w:space="0" w:color="auto"/>
                      <w:bottom w:val="single" w:sz="4" w:space="0" w:color="auto"/>
                      <w:right w:val="single" w:sz="4" w:space="0" w:color="auto"/>
                    </w:tcBorders>
                  </w:tcPr>
                  <w:p w14:paraId="5241CE3A" w14:textId="77777777" w:rsidR="0014424C" w:rsidRDefault="0014424C">
                    <w:pPr>
                      <w:rPr>
                        <w:szCs w:val="21"/>
                      </w:rPr>
                    </w:pPr>
                    <w:r>
                      <w:rPr>
                        <w:rFonts w:hint="eastAsia"/>
                      </w:rPr>
                      <w:t>合计</w:t>
                    </w:r>
                  </w:p>
                </w:tc>
                <w:tc>
                  <w:tcPr>
                    <w:tcW w:w="1126" w:type="pct"/>
                    <w:tcBorders>
                      <w:top w:val="single" w:sz="4" w:space="0" w:color="auto"/>
                      <w:left w:val="single" w:sz="4" w:space="0" w:color="auto"/>
                      <w:bottom w:val="single" w:sz="4" w:space="0" w:color="auto"/>
                      <w:right w:val="single" w:sz="4" w:space="0" w:color="auto"/>
                    </w:tcBorders>
                  </w:tcPr>
                  <w:p w14:paraId="41916E8C" w14:textId="77777777" w:rsidR="0014424C" w:rsidRDefault="0014424C">
                    <w:pPr>
                      <w:rPr>
                        <w:szCs w:val="21"/>
                      </w:rPr>
                    </w:pPr>
                    <w:r>
                      <w:rPr>
                        <w:rFonts w:hint="eastAsia"/>
                      </w:rPr>
                      <w:t>—</w:t>
                    </w:r>
                  </w:p>
                </w:tc>
                <w:tc>
                  <w:tcPr>
                    <w:tcW w:w="1384" w:type="pct"/>
                    <w:tcBorders>
                      <w:top w:val="single" w:sz="4" w:space="0" w:color="auto"/>
                      <w:left w:val="single" w:sz="4" w:space="0" w:color="auto"/>
                      <w:bottom w:val="single" w:sz="4" w:space="0" w:color="auto"/>
                      <w:right w:val="single" w:sz="4" w:space="0" w:color="auto"/>
                    </w:tcBorders>
                  </w:tcPr>
                  <w:p w14:paraId="034AC4C8" w14:textId="77777777" w:rsidR="0014424C" w:rsidRDefault="0014424C">
                    <w:pPr>
                      <w:jc w:val="right"/>
                      <w:rPr>
                        <w:szCs w:val="21"/>
                      </w:rPr>
                    </w:pPr>
                    <w:r>
                      <w:rPr>
                        <w:rFonts w:hint="eastAsia"/>
                      </w:rPr>
                      <w:t>274,650.00</w:t>
                    </w:r>
                  </w:p>
                </w:tc>
                <w:tc>
                  <w:tcPr>
                    <w:tcW w:w="1497" w:type="pct"/>
                    <w:tcBorders>
                      <w:top w:val="single" w:sz="4" w:space="0" w:color="auto"/>
                      <w:left w:val="single" w:sz="4" w:space="0" w:color="auto"/>
                      <w:bottom w:val="single" w:sz="4" w:space="0" w:color="auto"/>
                      <w:right w:val="single" w:sz="4" w:space="0" w:color="auto"/>
                    </w:tcBorders>
                  </w:tcPr>
                  <w:p w14:paraId="666BF0EA" w14:textId="77777777" w:rsidR="0014424C" w:rsidRDefault="0014424C">
                    <w:pPr>
                      <w:jc w:val="right"/>
                      <w:rPr>
                        <w:szCs w:val="21"/>
                      </w:rPr>
                    </w:pPr>
                    <w:r>
                      <w:rPr>
                        <w:rFonts w:hint="eastAsia"/>
                      </w:rPr>
                      <w:t>348,976.19</w:t>
                    </w:r>
                  </w:p>
                </w:tc>
              </w:tr>
            </w:sdtContent>
          </w:sdt>
        </w:tbl>
        <w:p w14:paraId="45FB6015" w14:textId="77777777" w:rsidR="0014424C" w:rsidRDefault="0014424C"/>
        <w:p w14:paraId="57A1D1FB" w14:textId="77777777" w:rsidR="0014424C" w:rsidRDefault="0014424C">
          <w:pPr>
            <w:rPr>
              <w:szCs w:val="21"/>
            </w:rPr>
          </w:pPr>
          <w:r>
            <w:rPr>
              <w:rFonts w:hint="eastAsia"/>
              <w:szCs w:val="21"/>
            </w:rPr>
            <w:t>关联租赁情况说明</w:t>
          </w:r>
        </w:p>
        <w:sdt>
          <w:sdtPr>
            <w:rPr>
              <w:szCs w:val="21"/>
            </w:rPr>
            <w:alias w:val="是否适用：关联租赁情况说明[双击切换]"/>
            <w:tag w:val="_GBC_a8d25c1a27d24bbeb9dd0063be85a310"/>
            <w:id w:val="-1566184594"/>
            <w:lock w:val="sdtLocked"/>
          </w:sdtPr>
          <w:sdtEndPr/>
          <w:sdtContent>
            <w:p w14:paraId="2EEE25C6" w14:textId="0DF387EA" w:rsidR="0014424C" w:rsidRDefault="0014424C" w:rsidP="00FB364D">
              <w:pPr>
                <w:rPr>
                  <w:szCs w:val="21"/>
                </w:rPr>
              </w:pPr>
              <w:r>
                <w:rPr>
                  <w:szCs w:val="21"/>
                </w:rPr>
                <w:fldChar w:fldCharType="begin"/>
              </w:r>
              <w:r w:rsidR="00FB364D">
                <w:rPr>
                  <w:szCs w:val="21"/>
                </w:rPr>
                <w:instrText xml:space="preserve"> MACROBUTTON SnrToggleCheckbox □适用 </w:instrText>
              </w:r>
              <w:r>
                <w:rPr>
                  <w:szCs w:val="21"/>
                </w:rPr>
                <w:fldChar w:fldCharType="end"/>
              </w:r>
              <w:r>
                <w:rPr>
                  <w:szCs w:val="21"/>
                </w:rPr>
                <w:fldChar w:fldCharType="begin"/>
              </w:r>
              <w:r w:rsidR="00FB364D">
                <w:rPr>
                  <w:szCs w:val="21"/>
                </w:rPr>
                <w:instrText xml:space="preserve">MACROBUTTON  SnrToggleCheckbox √不适用 </w:instrText>
              </w:r>
              <w:r>
                <w:rPr>
                  <w:szCs w:val="21"/>
                </w:rPr>
                <w:fldChar w:fldCharType="end"/>
              </w:r>
            </w:p>
          </w:sdtContent>
        </w:sdt>
        <w:p w14:paraId="012BF486" w14:textId="77777777" w:rsidR="0014424C" w:rsidRDefault="0014424C"/>
        <w:p w14:paraId="06089FCE" w14:textId="0E50791F" w:rsidR="00471D53" w:rsidRDefault="00B664AF" w:rsidP="0014424C">
          <w:pPr>
            <w:pStyle w:val="afffff8"/>
            <w:tabs>
              <w:tab w:val="left" w:pos="616"/>
            </w:tabs>
          </w:pPr>
        </w:p>
      </w:sdtContent>
    </w:sdt>
    <w:bookmarkEnd w:id="238" w:displacedByCustomXml="prev"/>
    <w:sdt>
      <w:sdtPr>
        <w:rPr>
          <w:rFonts w:ascii="宋体" w:hAnsi="宋体" w:cs="Arial" w:hint="eastAsia"/>
          <w:b w:val="0"/>
          <w:bCs w:val="0"/>
          <w:kern w:val="0"/>
          <w:szCs w:val="21"/>
        </w:rPr>
        <w:alias w:val="模块:关联担保情况"/>
        <w:tag w:val="_GBC_a87b2e666bc14a67817d2d3189396350"/>
        <w:id w:val="9342968"/>
        <w:lock w:val="sdtLocked"/>
        <w:placeholder>
          <w:docPart w:val="GBC22222222222222222222222222222"/>
        </w:placeholder>
      </w:sdtPr>
      <w:sdtEndPr>
        <w:rPr>
          <w:rFonts w:cs="Cambria" w:hint="default"/>
          <w:sz w:val="20"/>
          <w:szCs w:val="20"/>
        </w:rPr>
      </w:sdtEndPr>
      <w:sdtContent>
        <w:p w14:paraId="579C51B4" w14:textId="77777777" w:rsidR="00471D53" w:rsidRDefault="004F686E" w:rsidP="004F686E">
          <w:pPr>
            <w:pStyle w:val="afffff8"/>
            <w:numPr>
              <w:ilvl w:val="0"/>
              <w:numId w:val="102"/>
            </w:numPr>
            <w:tabs>
              <w:tab w:val="left" w:pos="616"/>
            </w:tabs>
            <w:rPr>
              <w:rFonts w:ascii="宋体" w:hAnsi="宋体" w:cs="Arial"/>
              <w:szCs w:val="21"/>
            </w:rPr>
          </w:pPr>
          <w:r>
            <w:rPr>
              <w:rFonts w:ascii="宋体" w:hAnsi="宋体" w:cs="Arial" w:hint="eastAsia"/>
              <w:szCs w:val="21"/>
            </w:rPr>
            <w:t>关联</w:t>
          </w:r>
          <w:r>
            <w:rPr>
              <w:rFonts w:ascii="宋体" w:hAnsi="宋体" w:hint="eastAsia"/>
            </w:rPr>
            <w:t>担保</w:t>
          </w:r>
          <w:r>
            <w:rPr>
              <w:rFonts w:ascii="宋体" w:hAnsi="宋体" w:cs="Arial" w:hint="eastAsia"/>
              <w:szCs w:val="21"/>
            </w:rPr>
            <w:t>情况</w:t>
          </w:r>
        </w:p>
        <w:p w14:paraId="22F737FD" w14:textId="77777777" w:rsidR="00471D53" w:rsidRDefault="004F686E">
          <w:r>
            <w:rPr>
              <w:rFonts w:hint="eastAsia"/>
            </w:rPr>
            <w:t>本公司作为担保方</w:t>
          </w:r>
        </w:p>
        <w:sdt>
          <w:sdtPr>
            <w:alias w:val="是否适用：本公司作为担保方的担保情况表[双击切换]"/>
            <w:tag w:val="_GBC_f0150417f8ec4c5281b86683570391cb"/>
            <w:id w:val="-1501035308"/>
            <w:lock w:val="sdtLocked"/>
            <w:placeholder>
              <w:docPart w:val="GBC22222222222222222222222222222"/>
            </w:placeholder>
          </w:sdtPr>
          <w:sdtEndPr/>
          <w:sdtContent>
            <w:p w14:paraId="012BB756"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BD534C3" w14:textId="68DE9040" w:rsidR="00471D53" w:rsidRDefault="004F686E">
          <w:pPr>
            <w:jc w:val="right"/>
            <w:rPr>
              <w:rFonts w:cs="Cambria"/>
              <w:b/>
              <w:bCs/>
            </w:rPr>
          </w:pPr>
          <w:r>
            <w:rPr>
              <w:rFonts w:cs="Cambria" w:hint="eastAsia"/>
            </w:rPr>
            <w:t>单位：</w:t>
          </w:r>
          <w:sdt>
            <w:sdtPr>
              <w:rPr>
                <w:rFonts w:cs="Cambria" w:hint="eastAsia"/>
              </w:rPr>
              <w:alias w:val="单位：关联担保情况"/>
              <w:tag w:val="_GBC_379c49ecfda94d10a0dbf6a25b30832b"/>
              <w:id w:val="-19388130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cs="Cambria" w:hint="eastAsia"/>
                </w:rPr>
                <w:t>元</w:t>
              </w:r>
            </w:sdtContent>
          </w:sdt>
          <w:r>
            <w:rPr>
              <w:rFonts w:cs="Cambria" w:hint="eastAsia"/>
            </w:rPr>
            <w:t>币种：</w:t>
          </w:r>
          <w:sdt>
            <w:sdtPr>
              <w:rPr>
                <w:rFonts w:cs="Cambria" w:hint="eastAsia"/>
              </w:rPr>
              <w:alias w:val="币种：关联担保情况"/>
              <w:tag w:val="_GBC_30ef1648c7d34b02b08d4b5c5e962498"/>
              <w:id w:val="-11535209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Cambria" w:hint="eastAsia"/>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563"/>
            <w:gridCol w:w="1641"/>
            <w:gridCol w:w="1786"/>
            <w:gridCol w:w="1777"/>
            <w:gridCol w:w="2056"/>
          </w:tblGrid>
          <w:tr w:rsidR="00471D53" w14:paraId="2BF6454D" w14:textId="77777777" w:rsidTr="00471D53">
            <w:sdt>
              <w:sdtPr>
                <w:tag w:val="_PLD_7fb310b8c01a472093d9d29e302daa4b"/>
                <w:id w:val="-314102497"/>
                <w:lock w:val="sdtLocked"/>
              </w:sdtPr>
              <w:sdtEndPr/>
              <w:sdtContent>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14:paraId="629BB61F" w14:textId="77777777" w:rsidR="00471D53" w:rsidRDefault="004F686E" w:rsidP="00471D53">
                    <w:pPr>
                      <w:jc w:val="center"/>
                      <w:rPr>
                        <w:rFonts w:cs="Cambria"/>
                      </w:rPr>
                    </w:pPr>
                    <w:r>
                      <w:rPr>
                        <w:rFonts w:cs="Cambria" w:hint="eastAsia"/>
                      </w:rPr>
                      <w:t>被担保方</w:t>
                    </w:r>
                  </w:p>
                </w:tc>
              </w:sdtContent>
            </w:sdt>
            <w:sdt>
              <w:sdtPr>
                <w:tag w:val="_PLD_cd6852cb7c5a4dea84a100ea01b8219f"/>
                <w:id w:val="1416276476"/>
                <w:lock w:val="sdtLocked"/>
              </w:sdtPr>
              <w:sdtEndPr/>
              <w:sdtContent>
                <w:tc>
                  <w:tcPr>
                    <w:tcW w:w="930" w:type="pct"/>
                    <w:tcBorders>
                      <w:top w:val="single" w:sz="4" w:space="0" w:color="auto"/>
                      <w:left w:val="single" w:sz="4" w:space="0" w:color="auto"/>
                      <w:bottom w:val="single" w:sz="4" w:space="0" w:color="auto"/>
                      <w:right w:val="single" w:sz="4" w:space="0" w:color="auto"/>
                    </w:tcBorders>
                    <w:shd w:val="clear" w:color="auto" w:fill="auto"/>
                    <w:vAlign w:val="center"/>
                  </w:tcPr>
                  <w:p w14:paraId="2A0EA516" w14:textId="77777777" w:rsidR="00471D53" w:rsidRDefault="004F686E" w:rsidP="00471D53">
                    <w:pPr>
                      <w:jc w:val="center"/>
                      <w:rPr>
                        <w:rFonts w:cs="Cambria"/>
                      </w:rPr>
                    </w:pPr>
                    <w:r>
                      <w:rPr>
                        <w:rFonts w:cs="Cambria" w:hint="eastAsia"/>
                      </w:rPr>
                      <w:t>担保金额</w:t>
                    </w:r>
                  </w:p>
                </w:tc>
              </w:sdtContent>
            </w:sdt>
            <w:sdt>
              <w:sdtPr>
                <w:tag w:val="_PLD_bb272624fc77442486c7a9b0b734043e"/>
                <w:id w:val="2123575996"/>
                <w:lock w:val="sdtLocked"/>
              </w:sdtPr>
              <w:sdtEndPr/>
              <w:sdtContent>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14:paraId="130B5E0D" w14:textId="77777777" w:rsidR="00471D53" w:rsidRDefault="004F686E" w:rsidP="00471D53">
                    <w:pPr>
                      <w:jc w:val="center"/>
                      <w:rPr>
                        <w:rFonts w:cs="Cambria"/>
                      </w:rPr>
                    </w:pPr>
                    <w:r>
                      <w:rPr>
                        <w:rFonts w:cs="Cambria" w:hint="eastAsia"/>
                      </w:rPr>
                      <w:t>担保起始日</w:t>
                    </w:r>
                  </w:p>
                </w:tc>
              </w:sdtContent>
            </w:sdt>
            <w:sdt>
              <w:sdtPr>
                <w:tag w:val="_PLD_a35eb33b3ab1461794f97ed15e18ee6a"/>
                <w:id w:val="-1269539459"/>
                <w:lock w:val="sdtLocked"/>
              </w:sdtPr>
              <w:sdtEndPr/>
              <w:sdtContent>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14:paraId="0569618E" w14:textId="77777777" w:rsidR="00471D53" w:rsidRDefault="004F686E" w:rsidP="00471D53">
                    <w:pPr>
                      <w:jc w:val="center"/>
                      <w:rPr>
                        <w:rFonts w:cs="Cambria"/>
                      </w:rPr>
                    </w:pPr>
                    <w:r>
                      <w:rPr>
                        <w:rFonts w:cs="Cambria" w:hint="eastAsia"/>
                      </w:rPr>
                      <w:t>担保到期日</w:t>
                    </w:r>
                  </w:p>
                </w:tc>
              </w:sdtContent>
            </w:sdt>
            <w:sdt>
              <w:sdtPr>
                <w:tag w:val="_PLD_4d5bb53717184afaad59a41f21a18bd1"/>
                <w:id w:val="-468985280"/>
                <w:lock w:val="sdtLocked"/>
              </w:sdtPr>
              <w:sdtEndPr/>
              <w:sdtContent>
                <w:tc>
                  <w:tcPr>
                    <w:tcW w:w="1165" w:type="pct"/>
                    <w:tcBorders>
                      <w:top w:val="single" w:sz="4" w:space="0" w:color="auto"/>
                      <w:left w:val="single" w:sz="4" w:space="0" w:color="auto"/>
                      <w:bottom w:val="single" w:sz="4" w:space="0" w:color="auto"/>
                      <w:right w:val="single" w:sz="4" w:space="0" w:color="auto"/>
                    </w:tcBorders>
                    <w:shd w:val="clear" w:color="auto" w:fill="auto"/>
                    <w:vAlign w:val="center"/>
                  </w:tcPr>
                  <w:p w14:paraId="1300149A" w14:textId="77777777" w:rsidR="00471D53" w:rsidRDefault="004F686E" w:rsidP="00471D53">
                    <w:pPr>
                      <w:jc w:val="center"/>
                      <w:rPr>
                        <w:rFonts w:cs="Cambria"/>
                      </w:rPr>
                    </w:pPr>
                    <w:r>
                      <w:rPr>
                        <w:rFonts w:cs="Cambria" w:hint="eastAsia"/>
                      </w:rPr>
                      <w:t>担保是否已经履行完毕</w:t>
                    </w:r>
                  </w:p>
                </w:tc>
              </w:sdtContent>
            </w:sdt>
          </w:tr>
          <w:sdt>
            <w:sdtPr>
              <w:rPr>
                <w:rFonts w:cs="Cambria"/>
              </w:rPr>
              <w:alias w:val="本公司作为担保方的关联担保情况明细"/>
              <w:tag w:val="_GBC_26ae64a16be64ca7926417c455e176fc"/>
              <w:id w:val="-2091447365"/>
              <w:lock w:val="sdtLocked"/>
            </w:sdtPr>
            <w:sdtEndPr/>
            <w:sdtContent>
              <w:tr w:rsidR="00471D53" w14:paraId="2822F6FA" w14:textId="77777777" w:rsidTr="00471D53">
                <w:tc>
                  <w:tcPr>
                    <w:tcW w:w="885" w:type="pct"/>
                    <w:tcBorders>
                      <w:top w:val="single" w:sz="4" w:space="0" w:color="auto"/>
                      <w:left w:val="single" w:sz="4" w:space="0" w:color="auto"/>
                      <w:bottom w:val="single" w:sz="4" w:space="0" w:color="auto"/>
                      <w:right w:val="single" w:sz="4" w:space="0" w:color="auto"/>
                    </w:tcBorders>
                    <w:shd w:val="clear" w:color="auto" w:fill="auto"/>
                  </w:tcPr>
                  <w:p w14:paraId="21CD69CD" w14:textId="77777777" w:rsidR="00471D53" w:rsidRDefault="004F686E" w:rsidP="00471D53">
                    <w:pPr>
                      <w:rPr>
                        <w:rFonts w:cs="Cambria"/>
                      </w:rPr>
                    </w:pPr>
                    <w:r>
                      <w:t>北京京城机电控股有限责任公司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14:paraId="6060943E" w14:textId="77777777" w:rsidR="00471D53" w:rsidRDefault="004F686E" w:rsidP="00471D53">
                    <w:pPr>
                      <w:jc w:val="right"/>
                      <w:rPr>
                        <w:rFonts w:cs="Cambria"/>
                      </w:rPr>
                    </w:pPr>
                    <w:r>
                      <w:t>20,000,000.00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14:paraId="74240642" w14:textId="77777777" w:rsidR="00471D53" w:rsidRDefault="004F686E" w:rsidP="00471D53">
                    <w:pPr>
                      <w:rPr>
                        <w:rFonts w:cs="Cambria"/>
                      </w:rPr>
                    </w:pPr>
                    <w:r>
                      <w:t>2020-8-12</w:t>
                    </w:r>
                  </w:p>
                </w:tc>
                <w:tc>
                  <w:tcPr>
                    <w:tcW w:w="1007" w:type="pct"/>
                    <w:tcBorders>
                      <w:top w:val="single" w:sz="4" w:space="0" w:color="auto"/>
                      <w:left w:val="single" w:sz="4" w:space="0" w:color="auto"/>
                      <w:bottom w:val="single" w:sz="4" w:space="0" w:color="auto"/>
                      <w:right w:val="single" w:sz="4" w:space="0" w:color="auto"/>
                    </w:tcBorders>
                    <w:shd w:val="clear" w:color="auto" w:fill="auto"/>
                  </w:tcPr>
                  <w:p w14:paraId="2510F5DC" w14:textId="77777777" w:rsidR="00471D53" w:rsidRDefault="004F686E" w:rsidP="00471D53">
                    <w:pPr>
                      <w:rPr>
                        <w:rFonts w:cs="Cambria"/>
                      </w:rPr>
                    </w:pPr>
                    <w:r>
                      <w:t>2021-8-12</w:t>
                    </w:r>
                  </w:p>
                </w:tc>
                <w:sdt>
                  <w:sdtPr>
                    <w:rPr>
                      <w:rFonts w:cs="Cambria"/>
                    </w:rPr>
                    <w:alias w:val="本公司作为担保方的关联担保情况明细-担保是否已经履行完毕"/>
                    <w:tag w:val="_GBC_4d8807e0244c4281aa68d5aba3d78918"/>
                    <w:id w:val="662906691"/>
                    <w:lock w:val="sdtLocked"/>
                    <w:comboBox>
                      <w:listItem w:displayText="是" w:value="true"/>
                      <w:listItem w:displayText="否" w:value="false"/>
                    </w:comboBox>
                  </w:sdtPr>
                  <w:sdtEnd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14:paraId="16B4B159" w14:textId="77777777" w:rsidR="00471D53" w:rsidRDefault="004F686E" w:rsidP="00471D53">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1504967433"/>
              <w:lock w:val="sdtLocked"/>
            </w:sdtPr>
            <w:sdtEndPr/>
            <w:sdtContent>
              <w:tr w:rsidR="00471D53" w14:paraId="1943D58F" w14:textId="77777777" w:rsidTr="00471D53">
                <w:tc>
                  <w:tcPr>
                    <w:tcW w:w="885" w:type="pct"/>
                    <w:tcBorders>
                      <w:top w:val="single" w:sz="4" w:space="0" w:color="auto"/>
                      <w:left w:val="single" w:sz="4" w:space="0" w:color="auto"/>
                      <w:bottom w:val="single" w:sz="4" w:space="0" w:color="auto"/>
                      <w:right w:val="single" w:sz="4" w:space="0" w:color="auto"/>
                    </w:tcBorders>
                    <w:shd w:val="clear" w:color="auto" w:fill="auto"/>
                  </w:tcPr>
                  <w:p w14:paraId="43E24867" w14:textId="77777777" w:rsidR="00471D53" w:rsidRDefault="004F686E" w:rsidP="00471D53">
                    <w:pPr>
                      <w:rPr>
                        <w:rFonts w:cs="Cambria"/>
                      </w:rPr>
                    </w:pPr>
                    <w:r>
                      <w:t>北京京城机电控股有限责任公司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14:paraId="5B0060B2" w14:textId="77777777" w:rsidR="00471D53" w:rsidRDefault="004F686E" w:rsidP="00471D53">
                    <w:pPr>
                      <w:jc w:val="right"/>
                      <w:rPr>
                        <w:rFonts w:cs="Cambria"/>
                      </w:rPr>
                    </w:pPr>
                    <w:r>
                      <w:t>30,000,000.00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14:paraId="388A7F3B" w14:textId="77777777" w:rsidR="00471D53" w:rsidRDefault="004F686E" w:rsidP="00471D53">
                    <w:pPr>
                      <w:rPr>
                        <w:rFonts w:cs="Cambria"/>
                      </w:rPr>
                    </w:pPr>
                    <w:r>
                      <w:t>2020-9-16</w:t>
                    </w:r>
                  </w:p>
                </w:tc>
                <w:tc>
                  <w:tcPr>
                    <w:tcW w:w="1007" w:type="pct"/>
                    <w:tcBorders>
                      <w:top w:val="single" w:sz="4" w:space="0" w:color="auto"/>
                      <w:left w:val="single" w:sz="4" w:space="0" w:color="auto"/>
                      <w:bottom w:val="single" w:sz="4" w:space="0" w:color="auto"/>
                      <w:right w:val="single" w:sz="4" w:space="0" w:color="auto"/>
                    </w:tcBorders>
                    <w:shd w:val="clear" w:color="auto" w:fill="auto"/>
                  </w:tcPr>
                  <w:p w14:paraId="343FC9DC" w14:textId="77777777" w:rsidR="00471D53" w:rsidRDefault="004F686E" w:rsidP="00471D53">
                    <w:pPr>
                      <w:rPr>
                        <w:rFonts w:cs="Cambria"/>
                      </w:rPr>
                    </w:pPr>
                    <w:r>
                      <w:t>2021-9-16</w:t>
                    </w:r>
                  </w:p>
                </w:tc>
                <w:sdt>
                  <w:sdtPr>
                    <w:rPr>
                      <w:rFonts w:cs="Cambria"/>
                    </w:rPr>
                    <w:alias w:val="本公司作为担保方的关联担保情况明细-担保是否已经履行完毕"/>
                    <w:tag w:val="_GBC_4d8807e0244c4281aa68d5aba3d78918"/>
                    <w:id w:val="-1790197837"/>
                    <w:lock w:val="sdtLocked"/>
                    <w:comboBox>
                      <w:listItem w:displayText="是" w:value="true"/>
                      <w:listItem w:displayText="否" w:value="false"/>
                    </w:comboBox>
                  </w:sdtPr>
                  <w:sdtEnd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14:paraId="0E2FC515" w14:textId="77777777" w:rsidR="00471D53" w:rsidRDefault="004F686E" w:rsidP="00471D53">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469057038"/>
              <w:lock w:val="sdtLocked"/>
            </w:sdtPr>
            <w:sdtEndPr/>
            <w:sdtContent>
              <w:tr w:rsidR="00471D53" w14:paraId="7A932428" w14:textId="77777777" w:rsidTr="00471D53">
                <w:tc>
                  <w:tcPr>
                    <w:tcW w:w="885" w:type="pct"/>
                    <w:tcBorders>
                      <w:top w:val="single" w:sz="4" w:space="0" w:color="auto"/>
                      <w:left w:val="single" w:sz="4" w:space="0" w:color="auto"/>
                      <w:bottom w:val="single" w:sz="4" w:space="0" w:color="auto"/>
                      <w:right w:val="single" w:sz="4" w:space="0" w:color="auto"/>
                    </w:tcBorders>
                    <w:shd w:val="clear" w:color="auto" w:fill="auto"/>
                  </w:tcPr>
                  <w:p w14:paraId="6D2B4CD6" w14:textId="77777777" w:rsidR="00471D53" w:rsidRDefault="004F686E" w:rsidP="00471D53">
                    <w:pPr>
                      <w:rPr>
                        <w:rFonts w:cs="Cambria"/>
                      </w:rPr>
                    </w:pPr>
                    <w:r>
                      <w:t>北京京城机电控股有限责任公司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14:paraId="312F8E8D" w14:textId="77777777" w:rsidR="00471D53" w:rsidRDefault="004F686E" w:rsidP="00471D53">
                    <w:pPr>
                      <w:jc w:val="right"/>
                      <w:rPr>
                        <w:rFonts w:cs="Cambria"/>
                      </w:rPr>
                    </w:pPr>
                    <w:r>
                      <w:t>28,000,000.00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14:paraId="087C84C7" w14:textId="77777777" w:rsidR="00471D53" w:rsidRDefault="004F686E" w:rsidP="00471D53">
                    <w:pPr>
                      <w:rPr>
                        <w:rFonts w:cs="Cambria"/>
                      </w:rPr>
                    </w:pPr>
                    <w:r>
                      <w:t>2020-9-27</w:t>
                    </w:r>
                  </w:p>
                </w:tc>
                <w:tc>
                  <w:tcPr>
                    <w:tcW w:w="1007" w:type="pct"/>
                    <w:tcBorders>
                      <w:top w:val="single" w:sz="4" w:space="0" w:color="auto"/>
                      <w:left w:val="single" w:sz="4" w:space="0" w:color="auto"/>
                      <w:bottom w:val="single" w:sz="4" w:space="0" w:color="auto"/>
                      <w:right w:val="single" w:sz="4" w:space="0" w:color="auto"/>
                    </w:tcBorders>
                    <w:shd w:val="clear" w:color="auto" w:fill="auto"/>
                  </w:tcPr>
                  <w:p w14:paraId="2BFE79B2" w14:textId="77777777" w:rsidR="00471D53" w:rsidRDefault="004F686E" w:rsidP="00471D53">
                    <w:pPr>
                      <w:rPr>
                        <w:rFonts w:cs="Cambria"/>
                      </w:rPr>
                    </w:pPr>
                    <w:r>
                      <w:t>2021-9-27</w:t>
                    </w:r>
                  </w:p>
                </w:tc>
                <w:sdt>
                  <w:sdtPr>
                    <w:rPr>
                      <w:rFonts w:cs="Cambria"/>
                    </w:rPr>
                    <w:alias w:val="本公司作为担保方的关联担保情况明细-担保是否已经履行完毕"/>
                    <w:tag w:val="_GBC_4d8807e0244c4281aa68d5aba3d78918"/>
                    <w:id w:val="-983855576"/>
                    <w:lock w:val="sdtLocked"/>
                    <w:comboBox>
                      <w:listItem w:displayText="是" w:value="true"/>
                      <w:listItem w:displayText="否" w:value="false"/>
                    </w:comboBox>
                  </w:sdtPr>
                  <w:sdtEnd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14:paraId="5C8F6C5E" w14:textId="77777777" w:rsidR="00471D53" w:rsidRDefault="004F686E" w:rsidP="00471D53">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1600442013"/>
              <w:lock w:val="sdtLocked"/>
            </w:sdtPr>
            <w:sdtEndPr/>
            <w:sdtContent>
              <w:tr w:rsidR="00471D53" w14:paraId="57576014" w14:textId="77777777" w:rsidTr="00471D53">
                <w:tc>
                  <w:tcPr>
                    <w:tcW w:w="885" w:type="pct"/>
                    <w:tcBorders>
                      <w:top w:val="single" w:sz="4" w:space="0" w:color="auto"/>
                      <w:left w:val="single" w:sz="4" w:space="0" w:color="auto"/>
                      <w:bottom w:val="single" w:sz="4" w:space="0" w:color="auto"/>
                      <w:right w:val="single" w:sz="4" w:space="0" w:color="auto"/>
                    </w:tcBorders>
                    <w:shd w:val="clear" w:color="auto" w:fill="auto"/>
                  </w:tcPr>
                  <w:p w14:paraId="21D72897" w14:textId="77777777" w:rsidR="00471D53" w:rsidRDefault="004F686E" w:rsidP="00471D53">
                    <w:pPr>
                      <w:rPr>
                        <w:rFonts w:cs="Cambria"/>
                      </w:rPr>
                    </w:pPr>
                    <w:r>
                      <w:t>北京京城机电控股有限责任公司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14:paraId="563CF55B" w14:textId="77777777" w:rsidR="00471D53" w:rsidRDefault="004F686E" w:rsidP="00471D53">
                    <w:pPr>
                      <w:jc w:val="right"/>
                      <w:rPr>
                        <w:rFonts w:cs="Cambria"/>
                      </w:rPr>
                    </w:pPr>
                    <w:r>
                      <w:t>30,000,000.00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14:paraId="7B9D8F5A" w14:textId="77777777" w:rsidR="00471D53" w:rsidRDefault="004F686E" w:rsidP="00471D53">
                    <w:pPr>
                      <w:rPr>
                        <w:rFonts w:cs="Cambria"/>
                      </w:rPr>
                    </w:pPr>
                    <w:r>
                      <w:t>2020-10-12</w:t>
                    </w:r>
                  </w:p>
                </w:tc>
                <w:tc>
                  <w:tcPr>
                    <w:tcW w:w="1007" w:type="pct"/>
                    <w:tcBorders>
                      <w:top w:val="single" w:sz="4" w:space="0" w:color="auto"/>
                      <w:left w:val="single" w:sz="4" w:space="0" w:color="auto"/>
                      <w:bottom w:val="single" w:sz="4" w:space="0" w:color="auto"/>
                      <w:right w:val="single" w:sz="4" w:space="0" w:color="auto"/>
                    </w:tcBorders>
                    <w:shd w:val="clear" w:color="auto" w:fill="auto"/>
                  </w:tcPr>
                  <w:p w14:paraId="66917417" w14:textId="77777777" w:rsidR="00471D53" w:rsidRDefault="004F686E" w:rsidP="00471D53">
                    <w:pPr>
                      <w:rPr>
                        <w:rFonts w:cs="Cambria"/>
                      </w:rPr>
                    </w:pPr>
                    <w:r>
                      <w:t>2021-10-12</w:t>
                    </w:r>
                  </w:p>
                </w:tc>
                <w:sdt>
                  <w:sdtPr>
                    <w:rPr>
                      <w:rFonts w:cs="Cambria"/>
                    </w:rPr>
                    <w:alias w:val="本公司作为担保方的关联担保情况明细-担保是否已经履行完毕"/>
                    <w:tag w:val="_GBC_4d8807e0244c4281aa68d5aba3d78918"/>
                    <w:id w:val="-748964006"/>
                    <w:lock w:val="sdtLocked"/>
                    <w:comboBox>
                      <w:listItem w:displayText="是" w:value="true"/>
                      <w:listItem w:displayText="否" w:value="false"/>
                    </w:comboBox>
                  </w:sdtPr>
                  <w:sdtEnd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14:paraId="751F950E" w14:textId="77777777" w:rsidR="00471D53" w:rsidRDefault="004F686E" w:rsidP="00471D53">
                        <w:pPr>
                          <w:rPr>
                            <w:rFonts w:cs="Cambria"/>
                          </w:rPr>
                        </w:pPr>
                        <w:r>
                          <w:rPr>
                            <w:rFonts w:cs="Cambria"/>
                          </w:rPr>
                          <w:t>否</w:t>
                        </w:r>
                      </w:p>
                    </w:tc>
                  </w:sdtContent>
                </w:sdt>
              </w:tr>
            </w:sdtContent>
          </w:sdt>
        </w:tbl>
        <w:p w14:paraId="622A97DC" w14:textId="77777777" w:rsidR="00471D53" w:rsidRDefault="00B664AF"/>
        <w:p w14:paraId="1710AB7E" w14:textId="77777777" w:rsidR="00471D53" w:rsidRDefault="004F686E">
          <w:pPr>
            <w:rPr>
              <w:rFonts w:cs="Cambria"/>
            </w:rPr>
          </w:pPr>
          <w:r>
            <w:rPr>
              <w:rFonts w:cs="Cambria" w:hint="eastAsia"/>
            </w:rPr>
            <w:t>本公司作为被担保方</w:t>
          </w:r>
        </w:p>
        <w:sdt>
          <w:sdtPr>
            <w:rPr>
              <w:rFonts w:cs="Cambria"/>
            </w:rPr>
            <w:alias w:val="是否适用：本公司作为被担保方的担保情况表[双击切换]"/>
            <w:tag w:val="_GBC_3686094d29c941dd91bd168e3ef88833"/>
            <w:id w:val="-953711325"/>
            <w:lock w:val="sdtLocked"/>
            <w:placeholder>
              <w:docPart w:val="GBC22222222222222222222222222222"/>
            </w:placeholder>
          </w:sdtPr>
          <w:sdtEndPr/>
          <w:sdtContent>
            <w:p w14:paraId="758FB42C" w14:textId="77777777" w:rsidR="00471D53" w:rsidRDefault="004F686E" w:rsidP="00471D53">
              <w:r>
                <w:rPr>
                  <w:rFonts w:cs="Cambria"/>
                </w:rPr>
                <w:fldChar w:fldCharType="begin"/>
              </w:r>
              <w:r>
                <w:rPr>
                  <w:rFonts w:cs="Cambria"/>
                </w:rPr>
                <w:instrText xml:space="preserve"> MACROBUTTON  SnrToggleCheckbox □适用 </w:instrText>
              </w:r>
              <w:r>
                <w:rPr>
                  <w:rFonts w:cs="Cambria"/>
                </w:rPr>
                <w:fldChar w:fldCharType="end"/>
              </w:r>
              <w:r>
                <w:rPr>
                  <w:rFonts w:cs="Cambria"/>
                </w:rPr>
                <w:fldChar w:fldCharType="begin"/>
              </w:r>
              <w:r>
                <w:rPr>
                  <w:rFonts w:cs="Cambria"/>
                </w:rPr>
                <w:instrText xml:space="preserve"> MACROBUTTON  SnrToggleCheckbox √不适用 </w:instrText>
              </w:r>
              <w:r>
                <w:rPr>
                  <w:rFonts w:cs="Cambria"/>
                </w:rPr>
                <w:fldChar w:fldCharType="end"/>
              </w:r>
            </w:p>
          </w:sdtContent>
        </w:sdt>
        <w:p w14:paraId="74445084" w14:textId="77777777" w:rsidR="00471D53" w:rsidRDefault="004F686E">
          <w:pPr>
            <w:rPr>
              <w:rFonts w:cs="Cambria"/>
            </w:rPr>
          </w:pPr>
          <w:r>
            <w:rPr>
              <w:rFonts w:cs="Cambria" w:hint="eastAsia"/>
            </w:rPr>
            <w:t>关联担保情况说明</w:t>
          </w:r>
        </w:p>
        <w:sdt>
          <w:sdtPr>
            <w:rPr>
              <w:rFonts w:cs="Cambria"/>
            </w:rPr>
            <w:alias w:val="是否适用：关联担保情况说明[双击切换]"/>
            <w:tag w:val="_GBC_9a5a4769e8804b779ae17adb041890d7"/>
            <w:id w:val="-397981653"/>
            <w:lock w:val="sdtLocked"/>
            <w:placeholder>
              <w:docPart w:val="GBC22222222222222222222222222222"/>
            </w:placeholder>
          </w:sdtPr>
          <w:sdtEndPr/>
          <w:sdtContent>
            <w:p w14:paraId="7BD1C977" w14:textId="77777777" w:rsidR="00471D53" w:rsidRDefault="004F686E" w:rsidP="00471D53">
              <w:pPr>
                <w:rPr>
                  <w:rFonts w:cs="Cambria"/>
                </w:rPr>
              </w:pPr>
              <w:r>
                <w:rPr>
                  <w:rFonts w:cs="Cambria"/>
                </w:rPr>
                <w:fldChar w:fldCharType="begin"/>
              </w:r>
              <w:r>
                <w:rPr>
                  <w:rFonts w:cs="Cambria"/>
                </w:rPr>
                <w:instrText xml:space="preserve"> MACROBUTTON  SnrToggleCheckbox □适用 </w:instrText>
              </w:r>
              <w:r>
                <w:rPr>
                  <w:rFonts w:cs="Cambria"/>
                </w:rPr>
                <w:fldChar w:fldCharType="end"/>
              </w:r>
              <w:r>
                <w:rPr>
                  <w:rFonts w:cs="Cambria"/>
                </w:rPr>
                <w:fldChar w:fldCharType="begin"/>
              </w:r>
              <w:r>
                <w:rPr>
                  <w:rFonts w:cs="Cambria"/>
                </w:rPr>
                <w:instrText xml:space="preserve"> MACROBUTTON  SnrToggleCheckbox √不适用 </w:instrText>
              </w:r>
              <w:r>
                <w:rPr>
                  <w:rFonts w:cs="Cambria"/>
                </w:rPr>
                <w:fldChar w:fldCharType="end"/>
              </w:r>
            </w:p>
          </w:sdtContent>
        </w:sdt>
        <w:p w14:paraId="22F99667" w14:textId="77777777" w:rsidR="00471D53" w:rsidRDefault="00B664AF">
          <w:pPr>
            <w:rPr>
              <w:rFonts w:cs="Cambria"/>
              <w:sz w:val="20"/>
              <w:szCs w:val="20"/>
            </w:rPr>
          </w:pPr>
        </w:p>
      </w:sdtContent>
    </w:sdt>
    <w:bookmarkStart w:id="239" w:name="_Hlk72829984" w:displacedByCustomXml="next"/>
    <w:sdt>
      <w:sdtPr>
        <w:rPr>
          <w:rFonts w:ascii="宋体" w:hAnsi="宋体" w:cs="Arial"/>
          <w:b w:val="0"/>
          <w:bCs w:val="0"/>
          <w:kern w:val="0"/>
          <w:szCs w:val="21"/>
        </w:rPr>
        <w:alias w:val="模块:"/>
        <w:tag w:val="_SEC_b82cc4dd84264685b7f47657a2755690"/>
        <w:id w:val="2052489098"/>
        <w:lock w:val="sdtLocked"/>
        <w:placeholder>
          <w:docPart w:val="GBC22222222222222222222222222222"/>
        </w:placeholder>
      </w:sdtPr>
      <w:sdtEndPr>
        <w:rPr>
          <w:rFonts w:cs="Times New Roman"/>
          <w:kern w:val="2"/>
        </w:rPr>
      </w:sdtEndPr>
      <w:sdtContent>
        <w:p w14:paraId="02DDA028" w14:textId="77777777" w:rsidR="00471D53" w:rsidRDefault="004F686E" w:rsidP="004F686E">
          <w:pPr>
            <w:pStyle w:val="afffff8"/>
            <w:numPr>
              <w:ilvl w:val="0"/>
              <w:numId w:val="102"/>
            </w:numPr>
            <w:tabs>
              <w:tab w:val="num" w:pos="360"/>
              <w:tab w:val="left" w:pos="616"/>
            </w:tabs>
            <w:rPr>
              <w:rFonts w:ascii="宋体" w:hAnsi="宋体" w:cs="Arial"/>
              <w:kern w:val="0"/>
              <w:szCs w:val="21"/>
            </w:rPr>
          </w:pPr>
          <w:r>
            <w:rPr>
              <w:rFonts w:ascii="宋体" w:hAnsi="宋体" w:cs="Arial" w:hint="eastAsia"/>
              <w:kern w:val="0"/>
              <w:szCs w:val="21"/>
            </w:rPr>
            <w:t>关联方资金拆借</w:t>
          </w:r>
        </w:p>
        <w:sdt>
          <w:sdtPr>
            <w:alias w:val="是否适用：关联方资金拆借[双击切换]"/>
            <w:tag w:val="_GBC_4b2d20ddab104a06a9007945a55a3da5"/>
            <w:id w:val="1869326076"/>
            <w:lock w:val="sdtLocked"/>
            <w:placeholder>
              <w:docPart w:val="GBC22222222222222222222222222222"/>
            </w:placeholder>
          </w:sdtPr>
          <w:sdtEndPr/>
          <w:sdtContent>
            <w:p w14:paraId="480649AC" w14:textId="5AD158D0" w:rsidR="00471D53" w:rsidRDefault="004F686E" w:rsidP="0014424C">
              <w:r>
                <w:fldChar w:fldCharType="begin"/>
              </w:r>
              <w:r w:rsidR="0014424C">
                <w:instrText xml:space="preserve">MACROBUTTON  SnrToggleCheckbox □适用 </w:instrText>
              </w:r>
              <w:r>
                <w:fldChar w:fldCharType="end"/>
              </w:r>
              <w:r>
                <w:fldChar w:fldCharType="begin"/>
              </w:r>
              <w:r w:rsidR="0014424C">
                <w:instrText xml:space="preserve"> MACROBUTTON  SnrToggleCheckbox √不适用 </w:instrText>
              </w:r>
              <w:r>
                <w:fldChar w:fldCharType="end"/>
              </w:r>
            </w:p>
          </w:sdtContent>
        </w:sdt>
        <w:p w14:paraId="34452254" w14:textId="77777777" w:rsidR="00471D53" w:rsidRDefault="00B664AF">
          <w:pPr>
            <w:rPr>
              <w:rFonts w:cstheme="minorBidi"/>
              <w:szCs w:val="21"/>
            </w:rPr>
          </w:pPr>
        </w:p>
      </w:sdtContent>
    </w:sdt>
    <w:bookmarkEnd w:id="239" w:displacedByCustomXml="next"/>
    <w:sdt>
      <w:sdtPr>
        <w:rPr>
          <w:rFonts w:ascii="宋体" w:hAnsi="宋体" w:cs="宋体" w:hint="eastAsia"/>
          <w:b w:val="0"/>
          <w:bCs w:val="0"/>
          <w:kern w:val="0"/>
          <w:szCs w:val="24"/>
        </w:rPr>
        <w:alias w:val="模块:关联方资产转让、债务重组情况"/>
        <w:tag w:val="_GBC_9319584d30f7446b9ff3e2a3d50022d5"/>
        <w:id w:val="1979804698"/>
        <w:lock w:val="sdtLocked"/>
        <w:placeholder>
          <w:docPart w:val="GBC22222222222222222222222222222"/>
        </w:placeholder>
      </w:sdtPr>
      <w:sdtEndPr>
        <w:rPr>
          <w:rFonts w:hint="default"/>
        </w:rPr>
      </w:sdtEndPr>
      <w:sdtContent>
        <w:p w14:paraId="042C461D" w14:textId="77777777" w:rsidR="00471D53" w:rsidRDefault="004F686E" w:rsidP="004F686E">
          <w:pPr>
            <w:pStyle w:val="afffff8"/>
            <w:numPr>
              <w:ilvl w:val="0"/>
              <w:numId w:val="102"/>
            </w:numPr>
            <w:tabs>
              <w:tab w:val="left" w:pos="616"/>
            </w:tabs>
            <w:rPr>
              <w:rFonts w:ascii="宋体" w:hAnsi="宋体"/>
            </w:rPr>
          </w:pPr>
          <w:r>
            <w:rPr>
              <w:rFonts w:ascii="宋体" w:hAnsi="宋体" w:hint="eastAsia"/>
            </w:rPr>
            <w:t>关联方资产转让、债务重组情况</w:t>
          </w:r>
        </w:p>
        <w:sdt>
          <w:sdtPr>
            <w:alias w:val="是否适用：关联方资产转让、债务重组情况[双击切换]"/>
            <w:tag w:val="_GBC_c590c66abdbe454e89c4c55269fb6adf"/>
            <w:id w:val="973107256"/>
            <w:lock w:val="sdtLocked"/>
            <w:placeholder>
              <w:docPart w:val="GBC22222222222222222222222222222"/>
            </w:placeholder>
          </w:sdtPr>
          <w:sdtEndPr/>
          <w:sdtContent>
            <w:p w14:paraId="318A85B3" w14:textId="77777777" w:rsidR="00471D53" w:rsidRDefault="004F686E" w:rsidP="00471D53">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3B83E330" w14:textId="77777777" w:rsidR="00471D53" w:rsidRDefault="00B664AF"/>
    <w:sdt>
      <w:sdtPr>
        <w:rPr>
          <w:rFonts w:ascii="宋体" w:hAnsi="宋体" w:cs="宋体" w:hint="eastAsia"/>
          <w:b w:val="0"/>
          <w:bCs w:val="0"/>
          <w:kern w:val="0"/>
          <w:szCs w:val="24"/>
        </w:rPr>
        <w:alias w:val="模块:关键管理人员报酬"/>
        <w:tag w:val="_GBC_16da1beac91f4544809058bfda2ad3bf"/>
        <w:id w:val="1956752509"/>
        <w:lock w:val="sdtLocked"/>
        <w:placeholder>
          <w:docPart w:val="GBC22222222222222222222222222222"/>
        </w:placeholder>
      </w:sdtPr>
      <w:sdtEndPr>
        <w:rPr>
          <w:rFonts w:cs="Cambria"/>
          <w:szCs w:val="22"/>
        </w:rPr>
      </w:sdtEndPr>
      <w:sdtContent>
        <w:p w14:paraId="4DAF7AA2" w14:textId="77777777" w:rsidR="00471D53" w:rsidRDefault="004F686E" w:rsidP="004F686E">
          <w:pPr>
            <w:pStyle w:val="afffff8"/>
            <w:numPr>
              <w:ilvl w:val="0"/>
              <w:numId w:val="102"/>
            </w:numPr>
            <w:tabs>
              <w:tab w:val="left" w:pos="616"/>
            </w:tabs>
            <w:rPr>
              <w:rFonts w:ascii="宋体" w:hAnsi="宋体"/>
            </w:rPr>
          </w:pPr>
          <w:r>
            <w:rPr>
              <w:rFonts w:ascii="宋体" w:hAnsi="宋体" w:hint="eastAsia"/>
            </w:rPr>
            <w:t>关键管理人员报酬</w:t>
          </w:r>
        </w:p>
        <w:sdt>
          <w:sdtPr>
            <w:alias w:val="是否适用：关键管理人员报酬[双击切换]"/>
            <w:tag w:val="_GBC_48379e9c7f5743bb916ac1cb044f4057"/>
            <w:id w:val="1899164932"/>
            <w:lock w:val="sdtLocked"/>
            <w:placeholder>
              <w:docPart w:val="GBC22222222222222222222222222222"/>
            </w:placeholder>
          </w:sdtPr>
          <w:sdtEndPr/>
          <w:sdtContent>
            <w:p w14:paraId="60007CA8"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A526C07" w14:textId="61690945" w:rsidR="00471D53" w:rsidRDefault="004F686E">
          <w:pPr>
            <w:jc w:val="right"/>
            <w:rPr>
              <w:rFonts w:cs="Cambria"/>
            </w:rPr>
          </w:pPr>
          <w:r>
            <w:rPr>
              <w:rFonts w:cs="Cambria" w:hint="eastAsia"/>
            </w:rPr>
            <w:t>单位：</w:t>
          </w:r>
          <w:sdt>
            <w:sdtPr>
              <w:rPr>
                <w:rFonts w:cs="Cambria" w:hint="eastAsia"/>
              </w:rPr>
              <w:alias w:val="单位：财务附注：关键管理人员报酬"/>
              <w:tag w:val="_GBC_ce83ed5df8424f9a845da83f15361f10"/>
              <w:id w:val="3380478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cs="Cambria" w:hint="eastAsia"/>
                </w:rPr>
                <w:t>万元</w:t>
              </w:r>
            </w:sdtContent>
          </w:sdt>
          <w:r>
            <w:rPr>
              <w:rFonts w:cs="Cambria" w:hint="eastAsia"/>
            </w:rPr>
            <w:t>币种：</w:t>
          </w:r>
          <w:sdt>
            <w:sdtPr>
              <w:rPr>
                <w:rFonts w:cs="Cambria" w:hint="eastAsia"/>
              </w:rPr>
              <w:alias w:val="币种：财务附注：关键管理人员报酬"/>
              <w:tag w:val="_GBC_f493c9ef199846639115d5bc3032a26e"/>
              <w:id w:val="19713025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Cambria" w:hint="eastAsia"/>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2"/>
            <w:gridCol w:w="3192"/>
            <w:gridCol w:w="2439"/>
          </w:tblGrid>
          <w:tr w:rsidR="00471D53" w14:paraId="388172AA" w14:textId="77777777" w:rsidTr="00A6733E">
            <w:sdt>
              <w:sdtPr>
                <w:tag w:val="_PLD_67f843efe3664c9fbe7a215b63622ea0"/>
                <w:id w:val="335502982"/>
                <w:lock w:val="sdtLocked"/>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25E4A0EE" w14:textId="77777777" w:rsidR="00471D53" w:rsidRDefault="004F686E">
                    <w:pPr>
                      <w:jc w:val="center"/>
                      <w:rPr>
                        <w:rFonts w:cs="Cambria"/>
                      </w:rPr>
                    </w:pPr>
                    <w:r>
                      <w:rPr>
                        <w:rFonts w:cs="Cambria" w:hint="eastAsia"/>
                      </w:rPr>
                      <w:t>项目</w:t>
                    </w:r>
                  </w:p>
                </w:tc>
              </w:sdtContent>
            </w:sdt>
            <w:sdt>
              <w:sdtPr>
                <w:tag w:val="_PLD_30a169af324e457e93d304c688a55945"/>
                <w:id w:val="-1751109177"/>
                <w:lock w:val="sdtLocked"/>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685E4954" w14:textId="77777777" w:rsidR="00471D53" w:rsidRDefault="004F686E">
                    <w:pPr>
                      <w:jc w:val="center"/>
                      <w:rPr>
                        <w:rFonts w:cs="Cambria"/>
                      </w:rPr>
                    </w:pPr>
                    <w:r>
                      <w:rPr>
                        <w:rFonts w:cs="Cambria" w:hint="eastAsia"/>
                      </w:rPr>
                      <w:t>本期发生额</w:t>
                    </w:r>
                  </w:p>
                </w:tc>
              </w:sdtContent>
            </w:sdt>
            <w:sdt>
              <w:sdtPr>
                <w:tag w:val="_PLD_bf5a91780f544d6eade38e70db331a30"/>
                <w:id w:val="-429131872"/>
                <w:lock w:val="sdtLocked"/>
              </w:sdtPr>
              <w:sdtEndPr/>
              <w:sdtContent>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14:paraId="2B4C9A60" w14:textId="77777777" w:rsidR="00471D53" w:rsidRDefault="004F686E">
                    <w:pPr>
                      <w:jc w:val="center"/>
                      <w:rPr>
                        <w:rFonts w:cs="Cambria"/>
                      </w:rPr>
                    </w:pPr>
                    <w:r>
                      <w:rPr>
                        <w:rFonts w:cs="Cambria" w:hint="eastAsia"/>
                      </w:rPr>
                      <w:t>上期发生额</w:t>
                    </w:r>
                  </w:p>
                </w:tc>
              </w:sdtContent>
            </w:sdt>
          </w:tr>
          <w:tr w:rsidR="00471D53" w14:paraId="484634A8" w14:textId="77777777" w:rsidTr="00A77D13">
            <w:sdt>
              <w:sdtPr>
                <w:tag w:val="_PLD_bc4e2a2d92044454966304594fcd32da"/>
                <w:id w:val="403884422"/>
                <w:lock w:val="sdtLocked"/>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tcPr>
                  <w:p w14:paraId="5918BFFE" w14:textId="77777777" w:rsidR="00471D53" w:rsidRDefault="004F686E">
                    <w:pPr>
                      <w:rPr>
                        <w:rFonts w:cs="Cambria"/>
                      </w:rPr>
                    </w:pPr>
                    <w:r>
                      <w:rPr>
                        <w:rFonts w:cs="Cambria" w:hint="eastAsia"/>
                      </w:rPr>
                      <w:t>关键管理人员报酬</w:t>
                    </w:r>
                  </w:p>
                </w:tc>
              </w:sdtContent>
            </w:sdt>
            <w:tc>
              <w:tcPr>
                <w:tcW w:w="1809" w:type="pct"/>
                <w:tcBorders>
                  <w:top w:val="single" w:sz="4" w:space="0" w:color="auto"/>
                  <w:left w:val="single" w:sz="4" w:space="0" w:color="auto"/>
                  <w:bottom w:val="single" w:sz="4" w:space="0" w:color="auto"/>
                  <w:right w:val="single" w:sz="4" w:space="0" w:color="auto"/>
                </w:tcBorders>
                <w:shd w:val="clear" w:color="auto" w:fill="auto"/>
              </w:tcPr>
              <w:p w14:paraId="426D7E14" w14:textId="77777777" w:rsidR="00471D53" w:rsidRDefault="004F686E">
                <w:pPr>
                  <w:jc w:val="right"/>
                  <w:rPr>
                    <w:rFonts w:cs="Cambria"/>
                  </w:rPr>
                </w:pPr>
                <w:r w:rsidRPr="00890725">
                  <w:rPr>
                    <w:rFonts w:cs="Cambria" w:hint="eastAsia"/>
                  </w:rPr>
                  <w:t>219.73</w:t>
                </w:r>
              </w:p>
            </w:tc>
            <w:tc>
              <w:tcPr>
                <w:tcW w:w="1382" w:type="pct"/>
                <w:tcBorders>
                  <w:top w:val="single" w:sz="4" w:space="0" w:color="auto"/>
                  <w:left w:val="single" w:sz="4" w:space="0" w:color="auto"/>
                  <w:bottom w:val="single" w:sz="4" w:space="0" w:color="auto"/>
                  <w:right w:val="single" w:sz="4" w:space="0" w:color="auto"/>
                </w:tcBorders>
                <w:shd w:val="clear" w:color="auto" w:fill="auto"/>
              </w:tcPr>
              <w:p w14:paraId="7D8A936A" w14:textId="77777777" w:rsidR="00471D53" w:rsidRDefault="004F686E">
                <w:pPr>
                  <w:jc w:val="right"/>
                  <w:rPr>
                    <w:rFonts w:cs="Cambria"/>
                  </w:rPr>
                </w:pPr>
                <w:r>
                  <w:rPr>
                    <w:rFonts w:cs="Cambria" w:hint="eastAsia"/>
                  </w:rPr>
                  <w:t>156.53</w:t>
                </w:r>
              </w:p>
            </w:tc>
          </w:tr>
        </w:tbl>
      </w:sdtContent>
    </w:sdt>
    <w:p w14:paraId="2FEDA6F6" w14:textId="77777777" w:rsidR="00471D53" w:rsidRDefault="00B664AF">
      <w:pPr>
        <w:rPr>
          <w:szCs w:val="21"/>
        </w:rPr>
      </w:pPr>
    </w:p>
    <w:sdt>
      <w:sdtPr>
        <w:rPr>
          <w:rFonts w:ascii="宋体" w:hAnsi="宋体" w:cs="宋体" w:hint="eastAsia"/>
          <w:b w:val="0"/>
          <w:bCs w:val="0"/>
          <w:kern w:val="0"/>
          <w:szCs w:val="24"/>
        </w:rPr>
        <w:alias w:val="模块:其他关联交易"/>
        <w:tag w:val="_GBC_45e2e59b0d6145b48f7cfd576edaa9e6"/>
        <w:id w:val="1826931132"/>
        <w:lock w:val="sdtLocked"/>
        <w:placeholder>
          <w:docPart w:val="GBC22222222222222222222222222222"/>
        </w:placeholder>
      </w:sdtPr>
      <w:sdtEndPr>
        <w:rPr>
          <w:rFonts w:cstheme="minorBidi" w:hint="default"/>
          <w:szCs w:val="21"/>
        </w:rPr>
      </w:sdtEndPr>
      <w:sdtContent>
        <w:p w14:paraId="4B2AF013" w14:textId="77777777" w:rsidR="00471D53" w:rsidRDefault="004F686E" w:rsidP="004F686E">
          <w:pPr>
            <w:pStyle w:val="afffff8"/>
            <w:numPr>
              <w:ilvl w:val="0"/>
              <w:numId w:val="102"/>
            </w:numPr>
            <w:tabs>
              <w:tab w:val="left" w:pos="616"/>
            </w:tabs>
            <w:rPr>
              <w:rFonts w:ascii="宋体" w:hAnsi="宋体"/>
            </w:rPr>
          </w:pPr>
          <w:r>
            <w:rPr>
              <w:rFonts w:ascii="宋体" w:hAnsi="宋体" w:hint="eastAsia"/>
            </w:rPr>
            <w:t>其他关联交易</w:t>
          </w:r>
        </w:p>
        <w:sdt>
          <w:sdtPr>
            <w:alias w:val="是否适用：其他关联交易[双击切换]"/>
            <w:tag w:val="_GBC_9768a300838a499089a7b814ff3d817d"/>
            <w:id w:val="-1867593119"/>
            <w:lock w:val="sdtLocked"/>
            <w:placeholder>
              <w:docPart w:val="GBC22222222222222222222222222222"/>
            </w:placeholder>
          </w:sdtPr>
          <w:sdtEndPr/>
          <w:sdtContent>
            <w:p w14:paraId="4948F865"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hAnsi="宋体" w:cs="宋体"/>
              <w:b w:val="0"/>
              <w:bCs w:val="0"/>
              <w:kern w:val="0"/>
              <w:szCs w:val="21"/>
            </w:rPr>
            <w:alias w:val="其他关联交易的情况"/>
            <w:tag w:val="_GBC_6032ff15164341538a97d5ac05a80e23"/>
            <w:id w:val="1609781428"/>
            <w:lock w:val="sdtLocked"/>
            <w:placeholder>
              <w:docPart w:val="GBC22222222222222222222222222222"/>
            </w:placeholder>
          </w:sdtPr>
          <w:sdtEndPr/>
          <w:sdtContent>
            <w:p w14:paraId="397EA3E9" w14:textId="77777777" w:rsidR="00471D53" w:rsidRPr="00BF4535" w:rsidRDefault="004F686E" w:rsidP="00471D53">
              <w:pPr>
                <w:pStyle w:val="afffff7"/>
                <w:spacing w:beforeLines="50" w:before="120" w:afterLines="50" w:after="120" w:line="360" w:lineRule="exact"/>
                <w:ind w:left="420"/>
                <w:rPr>
                  <w:b w:val="0"/>
                  <w:sz w:val="22"/>
                </w:rPr>
              </w:pPr>
              <w:r w:rsidRPr="00BF4535">
                <w:rPr>
                  <w:rFonts w:hint="eastAsia"/>
                  <w:b w:val="0"/>
                  <w:sz w:val="22"/>
                </w:rPr>
                <w:t>关联方利息费用</w:t>
              </w:r>
              <w:r w:rsidRPr="00BF4535">
                <w:rPr>
                  <w:rFonts w:hint="eastAsia"/>
                  <w:b w:val="0"/>
                  <w:sz w:val="22"/>
                </w:rPr>
                <w:t>/</w:t>
              </w:r>
              <w:r w:rsidRPr="00BF4535">
                <w:rPr>
                  <w:rFonts w:hint="eastAsia"/>
                  <w:b w:val="0"/>
                  <w:sz w:val="22"/>
                </w:rPr>
                <w:t>利息收入</w:t>
              </w:r>
            </w:p>
            <w:tbl>
              <w:tblPr>
                <w:tblStyle w:val="g4"/>
                <w:tblW w:w="5000" w:type="pct"/>
                <w:jc w:val="center"/>
                <w:tblBorders>
                  <w:top w:val="double" w:sz="4" w:space="0" w:color="auto"/>
                  <w:bottom w:val="double" w:sz="4" w:space="0" w:color="auto"/>
                  <w:insideH w:val="single" w:sz="2" w:space="0" w:color="auto"/>
                  <w:insideV w:val="single" w:sz="2" w:space="0" w:color="auto"/>
                </w:tblBorders>
                <w:tblCellMar>
                  <w:left w:w="30" w:type="dxa"/>
                  <w:right w:w="30" w:type="dxa"/>
                </w:tblCellMar>
                <w:tblLook w:val="0000" w:firstRow="0" w:lastRow="0" w:firstColumn="0" w:lastColumn="0" w:noHBand="0" w:noVBand="0"/>
              </w:tblPr>
              <w:tblGrid>
                <w:gridCol w:w="5065"/>
                <w:gridCol w:w="1883"/>
                <w:gridCol w:w="1885"/>
              </w:tblGrid>
              <w:tr w:rsidR="00471D53" w14:paraId="64959FC4" w14:textId="77777777" w:rsidTr="00471D53">
                <w:trPr>
                  <w:trHeight w:val="340"/>
                  <w:tblHeader/>
                  <w:jc w:val="center"/>
                </w:trPr>
                <w:tc>
                  <w:tcPr>
                    <w:tcW w:w="2867" w:type="pct"/>
                    <w:vAlign w:val="center"/>
                  </w:tcPr>
                  <w:p w14:paraId="4A62FF74" w14:textId="77777777" w:rsidR="00471D53" w:rsidRDefault="004F686E" w:rsidP="00471D53">
                    <w:pPr>
                      <w:autoSpaceDE w:val="0"/>
                      <w:autoSpaceDN w:val="0"/>
                      <w:snapToGrid w:val="0"/>
                      <w:rPr>
                        <w:b/>
                        <w:sz w:val="22"/>
                        <w:szCs w:val="22"/>
                      </w:rPr>
                    </w:pPr>
                    <w:r>
                      <w:rPr>
                        <w:rFonts w:hint="eastAsia"/>
                        <w:b/>
                        <w:sz w:val="22"/>
                        <w:szCs w:val="22"/>
                      </w:rPr>
                      <w:t>关联方名称</w:t>
                    </w:r>
                  </w:p>
                </w:tc>
                <w:tc>
                  <w:tcPr>
                    <w:tcW w:w="1066" w:type="pct"/>
                    <w:vAlign w:val="center"/>
                  </w:tcPr>
                  <w:p w14:paraId="52EEEEDD" w14:textId="77777777" w:rsidR="00471D53" w:rsidRDefault="004F686E" w:rsidP="00471D53">
                    <w:pPr>
                      <w:autoSpaceDE w:val="0"/>
                      <w:autoSpaceDN w:val="0"/>
                      <w:jc w:val="center"/>
                      <w:rPr>
                        <w:b/>
                        <w:sz w:val="22"/>
                        <w:szCs w:val="22"/>
                      </w:rPr>
                    </w:pPr>
                    <w:r>
                      <w:rPr>
                        <w:rFonts w:hint="eastAsia"/>
                        <w:b/>
                        <w:sz w:val="22"/>
                        <w:szCs w:val="22"/>
                      </w:rPr>
                      <w:t>本期发生额</w:t>
                    </w:r>
                  </w:p>
                </w:tc>
                <w:tc>
                  <w:tcPr>
                    <w:tcW w:w="1067" w:type="pct"/>
                    <w:vAlign w:val="center"/>
                  </w:tcPr>
                  <w:p w14:paraId="334E7970" w14:textId="77777777" w:rsidR="00471D53" w:rsidRDefault="004F686E" w:rsidP="00471D53">
                    <w:pPr>
                      <w:autoSpaceDE w:val="0"/>
                      <w:autoSpaceDN w:val="0"/>
                      <w:jc w:val="center"/>
                      <w:rPr>
                        <w:b/>
                        <w:sz w:val="22"/>
                        <w:szCs w:val="22"/>
                      </w:rPr>
                    </w:pPr>
                    <w:r>
                      <w:rPr>
                        <w:rFonts w:hint="eastAsia"/>
                        <w:b/>
                        <w:sz w:val="22"/>
                        <w:szCs w:val="22"/>
                      </w:rPr>
                      <w:t>上期发生额</w:t>
                    </w:r>
                  </w:p>
                </w:tc>
              </w:tr>
              <w:tr w:rsidR="00471D53" w14:paraId="23E8DF81" w14:textId="77777777" w:rsidTr="00471D53">
                <w:trPr>
                  <w:trHeight w:val="340"/>
                  <w:jc w:val="center"/>
                </w:trPr>
                <w:tc>
                  <w:tcPr>
                    <w:tcW w:w="2867" w:type="pct"/>
                    <w:vAlign w:val="center"/>
                  </w:tcPr>
                  <w:p w14:paraId="5B1F197D" w14:textId="77777777" w:rsidR="00471D53" w:rsidRDefault="004F686E" w:rsidP="00471D53">
                    <w:pPr>
                      <w:snapToGrid w:val="0"/>
                      <w:rPr>
                        <w:sz w:val="22"/>
                        <w:szCs w:val="22"/>
                      </w:rPr>
                    </w:pPr>
                    <w:r>
                      <w:rPr>
                        <w:rFonts w:hint="eastAsia"/>
                        <w:sz w:val="22"/>
                        <w:szCs w:val="22"/>
                      </w:rPr>
                      <w:t>北京京城机电控股有限责任公司（利息支出）</w:t>
                    </w:r>
                  </w:p>
                </w:tc>
                <w:tc>
                  <w:tcPr>
                    <w:tcW w:w="1066" w:type="pct"/>
                    <w:vAlign w:val="center"/>
                  </w:tcPr>
                  <w:p w14:paraId="5321B0D8" w14:textId="77777777" w:rsidR="00471D53" w:rsidRDefault="004F686E" w:rsidP="00471D53">
                    <w:pPr>
                      <w:jc w:val="right"/>
                      <w:textAlignment w:val="center"/>
                      <w:rPr>
                        <w:sz w:val="22"/>
                        <w:szCs w:val="22"/>
                      </w:rPr>
                    </w:pPr>
                    <w:r>
                      <w:rPr>
                        <w:rFonts w:hint="eastAsia"/>
                        <w:sz w:val="22"/>
                        <w:szCs w:val="22"/>
                      </w:rPr>
                      <w:t>0</w:t>
                    </w:r>
                    <w:r>
                      <w:rPr>
                        <w:sz w:val="22"/>
                        <w:szCs w:val="22"/>
                      </w:rPr>
                      <w:t>.00</w:t>
                    </w:r>
                  </w:p>
                </w:tc>
                <w:tc>
                  <w:tcPr>
                    <w:tcW w:w="1067" w:type="pct"/>
                    <w:vAlign w:val="center"/>
                  </w:tcPr>
                  <w:p w14:paraId="4E8A1F8A" w14:textId="77777777" w:rsidR="00471D53" w:rsidRDefault="004F686E" w:rsidP="00471D53">
                    <w:pPr>
                      <w:snapToGrid w:val="0"/>
                      <w:jc w:val="right"/>
                      <w:rPr>
                        <w:sz w:val="22"/>
                        <w:szCs w:val="22"/>
                      </w:rPr>
                    </w:pPr>
                    <w:r w:rsidRPr="002E2C92">
                      <w:rPr>
                        <w:sz w:val="22"/>
                        <w:szCs w:val="22"/>
                      </w:rPr>
                      <w:t>1,265,930.76</w:t>
                    </w:r>
                  </w:p>
                </w:tc>
              </w:tr>
              <w:tr w:rsidR="00471D53" w:rsidRPr="002E2C92" w14:paraId="66D2B616" w14:textId="77777777" w:rsidTr="00471D53">
                <w:trPr>
                  <w:trHeight w:val="340"/>
                  <w:jc w:val="center"/>
                </w:trPr>
                <w:tc>
                  <w:tcPr>
                    <w:tcW w:w="2867" w:type="pct"/>
                    <w:vAlign w:val="center"/>
                  </w:tcPr>
                  <w:p w14:paraId="37D320B2" w14:textId="77777777" w:rsidR="00471D53" w:rsidRPr="007C7BBB" w:rsidRDefault="004F686E" w:rsidP="00471D53">
                    <w:pPr>
                      <w:snapToGrid w:val="0"/>
                      <w:rPr>
                        <w:sz w:val="22"/>
                        <w:szCs w:val="22"/>
                      </w:rPr>
                    </w:pPr>
                    <w:r w:rsidRPr="007C7BBB">
                      <w:rPr>
                        <w:rFonts w:hint="eastAsia"/>
                        <w:sz w:val="22"/>
                        <w:szCs w:val="22"/>
                      </w:rPr>
                      <w:t>郑国祥（利息支出）</w:t>
                    </w:r>
                  </w:p>
                </w:tc>
                <w:tc>
                  <w:tcPr>
                    <w:tcW w:w="1066" w:type="pct"/>
                    <w:vAlign w:val="center"/>
                  </w:tcPr>
                  <w:p w14:paraId="399A156C" w14:textId="77777777" w:rsidR="00471D53" w:rsidRPr="002E2C92" w:rsidRDefault="004F686E" w:rsidP="00471D53">
                    <w:pPr>
                      <w:jc w:val="right"/>
                      <w:textAlignment w:val="center"/>
                      <w:rPr>
                        <w:sz w:val="22"/>
                        <w:szCs w:val="22"/>
                        <w:highlight w:val="yellow"/>
                        <w:lang w:bidi="ar"/>
                      </w:rPr>
                    </w:pPr>
                    <w:r w:rsidRPr="007C7BBB">
                      <w:rPr>
                        <w:sz w:val="22"/>
                        <w:szCs w:val="22"/>
                        <w:lang w:bidi="ar"/>
                      </w:rPr>
                      <w:t>219,641.57</w:t>
                    </w:r>
                  </w:p>
                </w:tc>
                <w:tc>
                  <w:tcPr>
                    <w:tcW w:w="1067" w:type="pct"/>
                    <w:vAlign w:val="center"/>
                  </w:tcPr>
                  <w:p w14:paraId="67349205" w14:textId="77777777" w:rsidR="00471D53" w:rsidRPr="007C7BBB" w:rsidRDefault="004F686E" w:rsidP="00471D53">
                    <w:pPr>
                      <w:snapToGrid w:val="0"/>
                      <w:jc w:val="right"/>
                      <w:rPr>
                        <w:sz w:val="22"/>
                        <w:szCs w:val="22"/>
                        <w:lang w:bidi="ar"/>
                      </w:rPr>
                    </w:pPr>
                    <w:r w:rsidRPr="007C7BBB">
                      <w:rPr>
                        <w:rFonts w:hint="eastAsia"/>
                        <w:sz w:val="22"/>
                        <w:szCs w:val="22"/>
                        <w:lang w:bidi="ar"/>
                      </w:rPr>
                      <w:t>0.00</w:t>
                    </w:r>
                  </w:p>
                </w:tc>
              </w:tr>
              <w:tr w:rsidR="00471D53" w14:paraId="39B377C7" w14:textId="77777777" w:rsidTr="00471D53">
                <w:trPr>
                  <w:trHeight w:val="340"/>
                  <w:jc w:val="center"/>
                </w:trPr>
                <w:tc>
                  <w:tcPr>
                    <w:tcW w:w="2867" w:type="pct"/>
                    <w:vAlign w:val="center"/>
                  </w:tcPr>
                  <w:p w14:paraId="3CA055E4" w14:textId="77777777" w:rsidR="00471D53" w:rsidRPr="007C7BBB" w:rsidRDefault="004F686E" w:rsidP="00471D53">
                    <w:pPr>
                      <w:snapToGrid w:val="0"/>
                      <w:rPr>
                        <w:sz w:val="22"/>
                        <w:szCs w:val="22"/>
                      </w:rPr>
                    </w:pPr>
                    <w:r w:rsidRPr="007C7BBB">
                      <w:rPr>
                        <w:rFonts w:hint="eastAsia"/>
                        <w:sz w:val="22"/>
                        <w:szCs w:val="22"/>
                      </w:rPr>
                      <w:t>郭志红（利息支出）</w:t>
                    </w:r>
                  </w:p>
                </w:tc>
                <w:tc>
                  <w:tcPr>
                    <w:tcW w:w="1066" w:type="pct"/>
                    <w:vAlign w:val="center"/>
                  </w:tcPr>
                  <w:p w14:paraId="6E0BD4E1" w14:textId="77777777" w:rsidR="00471D53" w:rsidRPr="002E2C92" w:rsidRDefault="004F686E" w:rsidP="00471D53">
                    <w:pPr>
                      <w:jc w:val="right"/>
                      <w:textAlignment w:val="center"/>
                      <w:rPr>
                        <w:sz w:val="22"/>
                        <w:szCs w:val="22"/>
                        <w:highlight w:val="yellow"/>
                        <w:lang w:bidi="ar"/>
                      </w:rPr>
                    </w:pPr>
                    <w:r w:rsidRPr="007C7BBB">
                      <w:rPr>
                        <w:sz w:val="22"/>
                        <w:szCs w:val="22"/>
                        <w:lang w:bidi="ar"/>
                      </w:rPr>
                      <w:t>219,641.57</w:t>
                    </w:r>
                  </w:p>
                </w:tc>
                <w:tc>
                  <w:tcPr>
                    <w:tcW w:w="1067" w:type="pct"/>
                    <w:vAlign w:val="center"/>
                  </w:tcPr>
                  <w:p w14:paraId="56F2BFC3" w14:textId="77777777" w:rsidR="00471D53" w:rsidRPr="007C7BBB" w:rsidRDefault="004F686E" w:rsidP="00471D53">
                    <w:pPr>
                      <w:snapToGrid w:val="0"/>
                      <w:jc w:val="right"/>
                      <w:rPr>
                        <w:sz w:val="22"/>
                        <w:szCs w:val="22"/>
                        <w:lang w:bidi="ar"/>
                      </w:rPr>
                    </w:pPr>
                    <w:r w:rsidRPr="007C7BBB">
                      <w:rPr>
                        <w:rFonts w:hint="eastAsia"/>
                        <w:sz w:val="22"/>
                        <w:szCs w:val="22"/>
                        <w:lang w:bidi="ar"/>
                      </w:rPr>
                      <w:t>0.00</w:t>
                    </w:r>
                  </w:p>
                </w:tc>
              </w:tr>
              <w:tr w:rsidR="00471D53" w14:paraId="0687F217" w14:textId="77777777" w:rsidTr="00471D53">
                <w:trPr>
                  <w:trHeight w:val="340"/>
                  <w:jc w:val="center"/>
                </w:trPr>
                <w:tc>
                  <w:tcPr>
                    <w:tcW w:w="2867" w:type="pct"/>
                    <w:vAlign w:val="center"/>
                  </w:tcPr>
                  <w:p w14:paraId="3506E243" w14:textId="77777777" w:rsidR="00471D53" w:rsidRDefault="004F686E" w:rsidP="00471D53">
                    <w:pPr>
                      <w:snapToGrid w:val="0"/>
                      <w:rPr>
                        <w:sz w:val="22"/>
                        <w:szCs w:val="22"/>
                      </w:rPr>
                    </w:pPr>
                    <w:r>
                      <w:rPr>
                        <w:rFonts w:hint="eastAsia"/>
                        <w:sz w:val="22"/>
                        <w:szCs w:val="22"/>
                      </w:rPr>
                      <w:t>北京京城海通科技文化发展有限公司（利息收入）</w:t>
                    </w:r>
                  </w:p>
                </w:tc>
                <w:tc>
                  <w:tcPr>
                    <w:tcW w:w="1066" w:type="pct"/>
                    <w:vAlign w:val="center"/>
                  </w:tcPr>
                  <w:p w14:paraId="6422FD6D" w14:textId="77777777" w:rsidR="00471D53" w:rsidRDefault="004F686E" w:rsidP="00471D53">
                    <w:pPr>
                      <w:jc w:val="right"/>
                      <w:textAlignment w:val="center"/>
                      <w:rPr>
                        <w:sz w:val="22"/>
                        <w:szCs w:val="22"/>
                      </w:rPr>
                    </w:pPr>
                    <w:r w:rsidRPr="0055477D">
                      <w:rPr>
                        <w:sz w:val="22"/>
                        <w:szCs w:val="22"/>
                      </w:rPr>
                      <w:t>70,664.39</w:t>
                    </w:r>
                  </w:p>
                </w:tc>
                <w:tc>
                  <w:tcPr>
                    <w:tcW w:w="1067" w:type="pct"/>
                    <w:vAlign w:val="center"/>
                  </w:tcPr>
                  <w:p w14:paraId="2D613DAD" w14:textId="77777777" w:rsidR="00471D53" w:rsidRDefault="004F686E" w:rsidP="00471D53">
                    <w:pPr>
                      <w:snapToGrid w:val="0"/>
                      <w:jc w:val="right"/>
                      <w:rPr>
                        <w:sz w:val="22"/>
                        <w:szCs w:val="22"/>
                      </w:rPr>
                    </w:pPr>
                    <w:r w:rsidRPr="002E2C92">
                      <w:rPr>
                        <w:sz w:val="22"/>
                        <w:szCs w:val="22"/>
                      </w:rPr>
                      <w:t>71,054.80</w:t>
                    </w:r>
                  </w:p>
                </w:tc>
              </w:tr>
            </w:tbl>
            <w:p w14:paraId="285F0079" w14:textId="77777777" w:rsidR="00471D53" w:rsidRDefault="00B664AF">
              <w:pPr>
                <w:rPr>
                  <w:szCs w:val="21"/>
                </w:rPr>
              </w:pPr>
            </w:p>
          </w:sdtContent>
        </w:sdt>
      </w:sdtContent>
    </w:sdt>
    <w:p w14:paraId="6AE07560" w14:textId="77777777" w:rsidR="00471D53" w:rsidRDefault="00B664AF">
      <w:pPr>
        <w:rPr>
          <w:szCs w:val="21"/>
        </w:rPr>
      </w:pPr>
    </w:p>
    <w:p w14:paraId="4003C462" w14:textId="77777777" w:rsidR="00471D53" w:rsidRDefault="004F686E" w:rsidP="004F686E">
      <w:pPr>
        <w:pStyle w:val="afffff7"/>
        <w:numPr>
          <w:ilvl w:val="0"/>
          <w:numId w:val="100"/>
        </w:numPr>
        <w:rPr>
          <w:rFonts w:ascii="宋体" w:hAnsi="宋体" w:cs="Arial"/>
          <w:szCs w:val="21"/>
        </w:rPr>
      </w:pPr>
      <w:r>
        <w:rPr>
          <w:rFonts w:ascii="宋体" w:hAnsi="宋体" w:cs="Arial" w:hint="eastAsia"/>
          <w:szCs w:val="21"/>
        </w:rPr>
        <w:t>关联方应收应付款项</w:t>
      </w:r>
    </w:p>
    <w:bookmarkStart w:id="240" w:name="_Hlk79428231" w:displacedByCustomXml="next"/>
    <w:sdt>
      <w:sdtPr>
        <w:rPr>
          <w:rFonts w:ascii="宋体" w:hAnsi="宋体" w:cs="Arial" w:hint="eastAsia"/>
          <w:b w:val="0"/>
          <w:bCs w:val="0"/>
          <w:kern w:val="0"/>
          <w:szCs w:val="21"/>
        </w:rPr>
        <w:alias w:val="模块:上市公司应收关联方款项"/>
        <w:tag w:val="_GBC_a8ddb53cf3424889a48a1749b5a1d910"/>
        <w:id w:val="501634612"/>
        <w:lock w:val="sdtLocked"/>
        <w:placeholder>
          <w:docPart w:val="GBC22222222222222222222222222222"/>
        </w:placeholder>
      </w:sdtPr>
      <w:sdtEndPr>
        <w:rPr>
          <w:rFonts w:ascii="Cambria" w:hAnsi="Cambria" w:cstheme="minorBidi"/>
          <w:b/>
          <w:bCs/>
          <w:kern w:val="2"/>
        </w:rPr>
      </w:sdtEndPr>
      <w:sdtContent>
        <w:p w14:paraId="2339D3DC" w14:textId="77777777" w:rsidR="00C5658A" w:rsidRDefault="00C5658A" w:rsidP="00C5658A">
          <w:pPr>
            <w:pStyle w:val="4"/>
            <w:numPr>
              <w:ilvl w:val="0"/>
              <w:numId w:val="103"/>
            </w:numPr>
            <w:tabs>
              <w:tab w:val="left" w:pos="616"/>
            </w:tabs>
            <w:rPr>
              <w:rFonts w:ascii="宋体" w:hAnsi="宋体"/>
            </w:rPr>
          </w:pPr>
          <w:r>
            <w:rPr>
              <w:rFonts w:ascii="宋体" w:hAnsi="宋体" w:hint="eastAsia"/>
            </w:rPr>
            <w:t>应收项目</w:t>
          </w:r>
        </w:p>
        <w:sdt>
          <w:sdtPr>
            <w:alias w:val="是否适用：应收项目[双击切换]"/>
            <w:tag w:val="_GBC_e5475e28b21641f6895ac4770b2631b5"/>
            <w:id w:val="1822307200"/>
            <w:lock w:val="sdtLocked"/>
          </w:sdtPr>
          <w:sdtEndPr/>
          <w:sdtContent>
            <w:p w14:paraId="7C816534" w14:textId="77777777" w:rsidR="00C5658A" w:rsidRDefault="00C5658A">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p w14:paraId="0B146445" w14:textId="77777777" w:rsidR="00C5658A" w:rsidRDefault="00C5658A">
          <w:pPr>
            <w:jc w:val="right"/>
            <w:rPr>
              <w:szCs w:val="21"/>
            </w:rPr>
          </w:pPr>
          <w:r>
            <w:rPr>
              <w:rFonts w:hint="eastAsia"/>
              <w:szCs w:val="21"/>
            </w:rPr>
            <w:t>单位：</w:t>
          </w:r>
          <w:sdt>
            <w:sdtPr>
              <w:rPr>
                <w:rFonts w:hint="eastAsia"/>
                <w:szCs w:val="21"/>
              </w:rPr>
              <w:alias w:val="单位：上市公司应收关联方款项"/>
              <w:tag w:val="_GBC_04d0c208b4494e01aba7984c41905093"/>
              <w:id w:val="-1192288222"/>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上市公司应收关联方款项"/>
              <w:tag w:val="_GBC_b106fdd467084a62837eebe1d06bbbee"/>
              <w:id w:val="-118602774"/>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434"/>
            <w:gridCol w:w="1353"/>
            <w:gridCol w:w="1604"/>
            <w:gridCol w:w="1546"/>
            <w:gridCol w:w="1406"/>
            <w:gridCol w:w="1480"/>
          </w:tblGrid>
          <w:tr w:rsidR="00C5658A" w14:paraId="2EE8F2B0" w14:textId="77777777" w:rsidTr="00C5658A">
            <w:sdt>
              <w:sdtPr>
                <w:tag w:val="_PLD_75750bc8ac464afa98573c85adea097c"/>
                <w:id w:val="698202393"/>
                <w:lock w:val="sdtLocked"/>
              </w:sdtPr>
              <w:sdtEndPr/>
              <w:sdtContent>
                <w:tc>
                  <w:tcPr>
                    <w:tcW w:w="812" w:type="pct"/>
                    <w:vMerge w:val="restart"/>
                    <w:tcBorders>
                      <w:top w:val="single" w:sz="4" w:space="0" w:color="auto"/>
                      <w:left w:val="single" w:sz="4" w:space="0" w:color="auto"/>
                      <w:right w:val="single" w:sz="4" w:space="0" w:color="auto"/>
                    </w:tcBorders>
                    <w:vAlign w:val="center"/>
                  </w:tcPr>
                  <w:p w14:paraId="6C4073B0" w14:textId="77777777" w:rsidR="00C5658A" w:rsidRDefault="00C5658A" w:rsidP="00D76F84">
                    <w:pPr>
                      <w:jc w:val="center"/>
                      <w:rPr>
                        <w:szCs w:val="21"/>
                      </w:rPr>
                    </w:pPr>
                    <w:r>
                      <w:rPr>
                        <w:rFonts w:hint="eastAsia"/>
                        <w:szCs w:val="21"/>
                      </w:rPr>
                      <w:t>项目名称</w:t>
                    </w:r>
                  </w:p>
                </w:tc>
              </w:sdtContent>
            </w:sdt>
            <w:sdt>
              <w:sdtPr>
                <w:tag w:val="_PLD_5006be842c534839b3dabcf833329dd5"/>
                <w:id w:val="1241293045"/>
                <w:lock w:val="sdtLocked"/>
              </w:sdtPr>
              <w:sdtEndPr/>
              <w:sdtContent>
                <w:tc>
                  <w:tcPr>
                    <w:tcW w:w="767" w:type="pct"/>
                    <w:vMerge w:val="restart"/>
                    <w:tcBorders>
                      <w:top w:val="single" w:sz="4" w:space="0" w:color="auto"/>
                      <w:left w:val="single" w:sz="4" w:space="0" w:color="auto"/>
                      <w:right w:val="single" w:sz="4" w:space="0" w:color="auto"/>
                    </w:tcBorders>
                    <w:vAlign w:val="center"/>
                  </w:tcPr>
                  <w:p w14:paraId="7FA30738" w14:textId="77777777" w:rsidR="00C5658A" w:rsidRDefault="00C5658A" w:rsidP="00D76F84">
                    <w:pPr>
                      <w:jc w:val="center"/>
                      <w:rPr>
                        <w:szCs w:val="21"/>
                      </w:rPr>
                    </w:pPr>
                    <w:r>
                      <w:rPr>
                        <w:rFonts w:hint="eastAsia"/>
                        <w:szCs w:val="21"/>
                      </w:rPr>
                      <w:t>关联方</w:t>
                    </w:r>
                  </w:p>
                </w:tc>
              </w:sdtContent>
            </w:sdt>
            <w:sdt>
              <w:sdtPr>
                <w:tag w:val="_PLD_f8f3c28b2f064090a27f319875eb1b52"/>
                <w:id w:val="930480797"/>
                <w:lock w:val="sdtLocked"/>
              </w:sdtPr>
              <w:sdtEndPr/>
              <w:sdtContent>
                <w:tc>
                  <w:tcPr>
                    <w:tcW w:w="1785" w:type="pct"/>
                    <w:gridSpan w:val="2"/>
                    <w:tcBorders>
                      <w:top w:val="single" w:sz="4" w:space="0" w:color="auto"/>
                      <w:left w:val="single" w:sz="4" w:space="0" w:color="auto"/>
                      <w:bottom w:val="single" w:sz="4" w:space="0" w:color="auto"/>
                      <w:right w:val="single" w:sz="4" w:space="0" w:color="auto"/>
                    </w:tcBorders>
                    <w:vAlign w:val="center"/>
                  </w:tcPr>
                  <w:p w14:paraId="2C58D8EB" w14:textId="77777777" w:rsidR="00C5658A" w:rsidRDefault="00C5658A" w:rsidP="00D76F84">
                    <w:pPr>
                      <w:jc w:val="center"/>
                      <w:rPr>
                        <w:szCs w:val="21"/>
                      </w:rPr>
                    </w:pPr>
                    <w:r>
                      <w:rPr>
                        <w:rFonts w:hint="eastAsia"/>
                        <w:szCs w:val="21"/>
                      </w:rPr>
                      <w:t>期末余额</w:t>
                    </w:r>
                  </w:p>
                </w:tc>
              </w:sdtContent>
            </w:sdt>
            <w:sdt>
              <w:sdtPr>
                <w:tag w:val="_PLD_fdab8cbff0b74f19a916d61075f629a0"/>
                <w:id w:val="-1684967650"/>
                <w:lock w:val="sdtLocked"/>
              </w:sdtPr>
              <w:sdtEndPr/>
              <w:sdtContent>
                <w:tc>
                  <w:tcPr>
                    <w:tcW w:w="1636" w:type="pct"/>
                    <w:gridSpan w:val="2"/>
                    <w:tcBorders>
                      <w:top w:val="single" w:sz="4" w:space="0" w:color="auto"/>
                      <w:left w:val="single" w:sz="4" w:space="0" w:color="auto"/>
                      <w:bottom w:val="single" w:sz="4" w:space="0" w:color="auto"/>
                      <w:right w:val="single" w:sz="4" w:space="0" w:color="auto"/>
                    </w:tcBorders>
                    <w:vAlign w:val="center"/>
                  </w:tcPr>
                  <w:p w14:paraId="678686A9" w14:textId="77777777" w:rsidR="00C5658A" w:rsidRDefault="00C5658A" w:rsidP="00D76F84">
                    <w:pPr>
                      <w:jc w:val="center"/>
                      <w:rPr>
                        <w:szCs w:val="21"/>
                      </w:rPr>
                    </w:pPr>
                    <w:r>
                      <w:rPr>
                        <w:rFonts w:hint="eastAsia"/>
                        <w:szCs w:val="21"/>
                      </w:rPr>
                      <w:t>期初余额</w:t>
                    </w:r>
                  </w:p>
                </w:tc>
              </w:sdtContent>
            </w:sdt>
          </w:tr>
          <w:tr w:rsidR="00C5658A" w14:paraId="0EDC1A43" w14:textId="77777777" w:rsidTr="00C5658A">
            <w:tc>
              <w:tcPr>
                <w:tcW w:w="812" w:type="pct"/>
                <w:vMerge/>
                <w:tcBorders>
                  <w:left w:val="single" w:sz="4" w:space="0" w:color="auto"/>
                  <w:bottom w:val="single" w:sz="4" w:space="0" w:color="auto"/>
                  <w:right w:val="single" w:sz="4" w:space="0" w:color="auto"/>
                </w:tcBorders>
                <w:vAlign w:val="center"/>
              </w:tcPr>
              <w:p w14:paraId="39B315FE" w14:textId="77777777" w:rsidR="00C5658A" w:rsidRDefault="00C5658A" w:rsidP="00D76F84">
                <w:pPr>
                  <w:jc w:val="center"/>
                  <w:rPr>
                    <w:szCs w:val="21"/>
                  </w:rPr>
                </w:pPr>
              </w:p>
            </w:tc>
            <w:tc>
              <w:tcPr>
                <w:tcW w:w="767" w:type="pct"/>
                <w:vMerge/>
                <w:tcBorders>
                  <w:left w:val="single" w:sz="4" w:space="0" w:color="auto"/>
                  <w:bottom w:val="single" w:sz="4" w:space="0" w:color="auto"/>
                  <w:right w:val="single" w:sz="4" w:space="0" w:color="auto"/>
                </w:tcBorders>
                <w:vAlign w:val="center"/>
              </w:tcPr>
              <w:p w14:paraId="265F72C3" w14:textId="77777777" w:rsidR="00C5658A" w:rsidRDefault="00C5658A" w:rsidP="00D76F84">
                <w:pPr>
                  <w:jc w:val="center"/>
                  <w:rPr>
                    <w:szCs w:val="21"/>
                  </w:rPr>
                </w:pPr>
              </w:p>
            </w:tc>
            <w:sdt>
              <w:sdtPr>
                <w:tag w:val="_PLD_5c085d18049644c9860a00b248b7c0ba"/>
                <w:id w:val="915206364"/>
                <w:lock w:val="sdtLocked"/>
              </w:sdtPr>
              <w:sdtEndPr/>
              <w:sdtContent>
                <w:tc>
                  <w:tcPr>
                    <w:tcW w:w="909" w:type="pct"/>
                    <w:tcBorders>
                      <w:top w:val="single" w:sz="4" w:space="0" w:color="auto"/>
                      <w:left w:val="single" w:sz="4" w:space="0" w:color="auto"/>
                      <w:bottom w:val="single" w:sz="4" w:space="0" w:color="auto"/>
                      <w:right w:val="single" w:sz="4" w:space="0" w:color="auto"/>
                    </w:tcBorders>
                    <w:vAlign w:val="center"/>
                  </w:tcPr>
                  <w:p w14:paraId="36C2733D" w14:textId="77777777" w:rsidR="00C5658A" w:rsidRDefault="00C5658A" w:rsidP="00D76F84">
                    <w:pPr>
                      <w:jc w:val="center"/>
                      <w:rPr>
                        <w:szCs w:val="21"/>
                      </w:rPr>
                    </w:pPr>
                    <w:r>
                      <w:rPr>
                        <w:rFonts w:hint="eastAsia"/>
                        <w:szCs w:val="21"/>
                      </w:rPr>
                      <w:t>账面余额</w:t>
                    </w:r>
                  </w:p>
                </w:tc>
              </w:sdtContent>
            </w:sdt>
            <w:sdt>
              <w:sdtPr>
                <w:tag w:val="_PLD_8262489c05a6417a883e2c877ded6170"/>
                <w:id w:val="-1597548113"/>
                <w:lock w:val="sdtLocked"/>
              </w:sdtPr>
              <w:sdtEndPr/>
              <w:sdtContent>
                <w:tc>
                  <w:tcPr>
                    <w:tcW w:w="876" w:type="pct"/>
                    <w:tcBorders>
                      <w:top w:val="single" w:sz="4" w:space="0" w:color="auto"/>
                      <w:left w:val="single" w:sz="4" w:space="0" w:color="auto"/>
                      <w:bottom w:val="single" w:sz="4" w:space="0" w:color="auto"/>
                      <w:right w:val="single" w:sz="4" w:space="0" w:color="auto"/>
                    </w:tcBorders>
                    <w:vAlign w:val="center"/>
                  </w:tcPr>
                  <w:p w14:paraId="5CCBC12D" w14:textId="77777777" w:rsidR="00C5658A" w:rsidRDefault="00C5658A" w:rsidP="00D76F84">
                    <w:pPr>
                      <w:jc w:val="center"/>
                      <w:rPr>
                        <w:szCs w:val="21"/>
                      </w:rPr>
                    </w:pPr>
                    <w:r>
                      <w:rPr>
                        <w:rFonts w:hint="eastAsia"/>
                        <w:szCs w:val="21"/>
                      </w:rPr>
                      <w:t>坏账准备</w:t>
                    </w:r>
                  </w:p>
                </w:tc>
              </w:sdtContent>
            </w:sdt>
            <w:sdt>
              <w:sdtPr>
                <w:tag w:val="_PLD_46c6d827df3f47a3bc83a6dd8718f17e"/>
                <w:id w:val="-367995662"/>
                <w:lock w:val="sdtLocked"/>
              </w:sdtPr>
              <w:sdtEndPr/>
              <w:sdtContent>
                <w:tc>
                  <w:tcPr>
                    <w:tcW w:w="797" w:type="pct"/>
                    <w:tcBorders>
                      <w:top w:val="single" w:sz="4" w:space="0" w:color="auto"/>
                      <w:left w:val="single" w:sz="4" w:space="0" w:color="auto"/>
                      <w:bottom w:val="single" w:sz="4" w:space="0" w:color="auto"/>
                      <w:right w:val="single" w:sz="4" w:space="0" w:color="auto"/>
                    </w:tcBorders>
                    <w:vAlign w:val="center"/>
                  </w:tcPr>
                  <w:p w14:paraId="0FBEC945" w14:textId="77777777" w:rsidR="00C5658A" w:rsidRDefault="00C5658A" w:rsidP="00D76F84">
                    <w:pPr>
                      <w:jc w:val="center"/>
                      <w:rPr>
                        <w:szCs w:val="21"/>
                      </w:rPr>
                    </w:pPr>
                    <w:r>
                      <w:rPr>
                        <w:rFonts w:hint="eastAsia"/>
                        <w:szCs w:val="21"/>
                      </w:rPr>
                      <w:t>账面余额</w:t>
                    </w:r>
                  </w:p>
                </w:tc>
              </w:sdtContent>
            </w:sdt>
            <w:sdt>
              <w:sdtPr>
                <w:tag w:val="_PLD_fca2aa8baf8a48a7a4cdc730d7420d47"/>
                <w:id w:val="-1538118142"/>
                <w:lock w:val="sdtLocked"/>
              </w:sdtPr>
              <w:sdtEndPr/>
              <w:sdtContent>
                <w:tc>
                  <w:tcPr>
                    <w:tcW w:w="839" w:type="pct"/>
                    <w:tcBorders>
                      <w:top w:val="single" w:sz="4" w:space="0" w:color="auto"/>
                      <w:left w:val="single" w:sz="4" w:space="0" w:color="auto"/>
                      <w:bottom w:val="single" w:sz="4" w:space="0" w:color="auto"/>
                      <w:right w:val="single" w:sz="4" w:space="0" w:color="auto"/>
                    </w:tcBorders>
                    <w:vAlign w:val="center"/>
                  </w:tcPr>
                  <w:p w14:paraId="253C2174" w14:textId="77777777" w:rsidR="00C5658A" w:rsidRDefault="00C5658A" w:rsidP="00D76F84">
                    <w:pPr>
                      <w:jc w:val="center"/>
                      <w:rPr>
                        <w:szCs w:val="21"/>
                      </w:rPr>
                    </w:pPr>
                    <w:r>
                      <w:rPr>
                        <w:rFonts w:hint="eastAsia"/>
                        <w:szCs w:val="21"/>
                      </w:rPr>
                      <w:t>坏账准备</w:t>
                    </w:r>
                  </w:p>
                </w:tc>
              </w:sdtContent>
            </w:sdt>
          </w:tr>
          <w:sdt>
            <w:sdtPr>
              <w:rPr>
                <w:rFonts w:hint="eastAsia"/>
                <w:szCs w:val="21"/>
              </w:rPr>
              <w:alias w:val="上市公司应收关联方款项明细"/>
              <w:tag w:val="_GBC_203fd12dc6be4a978fe2a9d9f5ad1070"/>
              <w:id w:val="1558742759"/>
              <w:lock w:val="sdtLocked"/>
              <w:placeholder>
                <w:docPart w:val="4319CD69E25549FD90DEE902259FC074"/>
              </w:placeholder>
            </w:sdtPr>
            <w:sdtEndPr/>
            <w:sdtContent>
              <w:tr w:rsidR="00C5658A" w14:paraId="00FB5C87" w14:textId="77777777" w:rsidTr="00C5658A">
                <w:tc>
                  <w:tcPr>
                    <w:tcW w:w="812" w:type="pct"/>
                    <w:tcBorders>
                      <w:top w:val="single" w:sz="4" w:space="0" w:color="auto"/>
                      <w:left w:val="single" w:sz="4" w:space="0" w:color="auto"/>
                      <w:bottom w:val="single" w:sz="4" w:space="0" w:color="auto"/>
                      <w:right w:val="single" w:sz="4" w:space="0" w:color="auto"/>
                    </w:tcBorders>
                    <w:vAlign w:val="center"/>
                  </w:tcPr>
                  <w:p w14:paraId="2CE83BE1" w14:textId="77777777" w:rsidR="00C5658A" w:rsidRDefault="00C5658A" w:rsidP="00D76F84">
                    <w:pPr>
                      <w:autoSpaceDE w:val="0"/>
                      <w:autoSpaceDN w:val="0"/>
                      <w:adjustRightInd w:val="0"/>
                      <w:rPr>
                        <w:szCs w:val="21"/>
                      </w:rPr>
                    </w:pPr>
                    <w:r>
                      <w:t>应收账款</w:t>
                    </w:r>
                  </w:p>
                </w:tc>
                <w:tc>
                  <w:tcPr>
                    <w:tcW w:w="767" w:type="pct"/>
                    <w:tcBorders>
                      <w:top w:val="single" w:sz="4" w:space="0" w:color="auto"/>
                      <w:left w:val="single" w:sz="4" w:space="0" w:color="auto"/>
                      <w:bottom w:val="single" w:sz="4" w:space="0" w:color="auto"/>
                      <w:right w:val="single" w:sz="4" w:space="0" w:color="auto"/>
                    </w:tcBorders>
                  </w:tcPr>
                  <w:p w14:paraId="644E01C6" w14:textId="77777777" w:rsidR="00C5658A" w:rsidRDefault="00C5658A" w:rsidP="00D76F84">
                    <w:pPr>
                      <w:autoSpaceDE w:val="0"/>
                      <w:autoSpaceDN w:val="0"/>
                      <w:adjustRightInd w:val="0"/>
                      <w:rPr>
                        <w:szCs w:val="21"/>
                      </w:rPr>
                    </w:pPr>
                    <w:r>
                      <w:t>江苏天海特种装备有限公司</w:t>
                    </w:r>
                  </w:p>
                </w:tc>
                <w:tc>
                  <w:tcPr>
                    <w:tcW w:w="909" w:type="pct"/>
                    <w:tcBorders>
                      <w:top w:val="single" w:sz="4" w:space="0" w:color="auto"/>
                      <w:left w:val="single" w:sz="4" w:space="0" w:color="auto"/>
                      <w:bottom w:val="single" w:sz="4" w:space="0" w:color="auto"/>
                      <w:right w:val="single" w:sz="4" w:space="0" w:color="auto"/>
                    </w:tcBorders>
                  </w:tcPr>
                  <w:p w14:paraId="1FA6FD5F" w14:textId="77777777" w:rsidR="00C5658A" w:rsidRDefault="00C5658A" w:rsidP="00D76F84">
                    <w:pPr>
                      <w:autoSpaceDE w:val="0"/>
                      <w:autoSpaceDN w:val="0"/>
                      <w:adjustRightInd w:val="0"/>
                      <w:jc w:val="right"/>
                      <w:rPr>
                        <w:szCs w:val="21"/>
                      </w:rPr>
                    </w:pPr>
                    <w:r>
                      <w:t>2,614,701.85</w:t>
                    </w:r>
                  </w:p>
                </w:tc>
                <w:tc>
                  <w:tcPr>
                    <w:tcW w:w="876" w:type="pct"/>
                    <w:tcBorders>
                      <w:top w:val="single" w:sz="4" w:space="0" w:color="auto"/>
                      <w:left w:val="single" w:sz="4" w:space="0" w:color="auto"/>
                      <w:bottom w:val="single" w:sz="4" w:space="0" w:color="auto"/>
                      <w:right w:val="single" w:sz="4" w:space="0" w:color="auto"/>
                    </w:tcBorders>
                  </w:tcPr>
                  <w:p w14:paraId="6452E353" w14:textId="77777777" w:rsidR="00C5658A" w:rsidRDefault="00C5658A" w:rsidP="00D76F84">
                    <w:pPr>
                      <w:autoSpaceDE w:val="0"/>
                      <w:autoSpaceDN w:val="0"/>
                      <w:adjustRightInd w:val="0"/>
                      <w:jc w:val="right"/>
                      <w:rPr>
                        <w:szCs w:val="21"/>
                      </w:rPr>
                    </w:pPr>
                    <w:r>
                      <w:t>42,096.70</w:t>
                    </w:r>
                  </w:p>
                </w:tc>
                <w:tc>
                  <w:tcPr>
                    <w:tcW w:w="797" w:type="pct"/>
                    <w:tcBorders>
                      <w:top w:val="single" w:sz="4" w:space="0" w:color="auto"/>
                      <w:left w:val="single" w:sz="4" w:space="0" w:color="auto"/>
                      <w:bottom w:val="single" w:sz="4" w:space="0" w:color="auto"/>
                      <w:right w:val="single" w:sz="4" w:space="0" w:color="auto"/>
                    </w:tcBorders>
                  </w:tcPr>
                  <w:p w14:paraId="5AE7E1BC" w14:textId="77777777" w:rsidR="00C5658A" w:rsidRDefault="00C5658A" w:rsidP="00D76F84">
                    <w:pPr>
                      <w:autoSpaceDE w:val="0"/>
                      <w:autoSpaceDN w:val="0"/>
                      <w:adjustRightInd w:val="0"/>
                      <w:jc w:val="right"/>
                      <w:rPr>
                        <w:szCs w:val="21"/>
                      </w:rPr>
                    </w:pPr>
                    <w:r>
                      <w:t>107,985.42</w:t>
                    </w:r>
                  </w:p>
                </w:tc>
                <w:tc>
                  <w:tcPr>
                    <w:tcW w:w="839" w:type="pct"/>
                    <w:tcBorders>
                      <w:top w:val="single" w:sz="4" w:space="0" w:color="auto"/>
                      <w:left w:val="single" w:sz="4" w:space="0" w:color="auto"/>
                      <w:bottom w:val="single" w:sz="4" w:space="0" w:color="auto"/>
                      <w:right w:val="single" w:sz="4" w:space="0" w:color="auto"/>
                    </w:tcBorders>
                  </w:tcPr>
                  <w:p w14:paraId="0CCBC96F" w14:textId="77777777" w:rsidR="00C5658A" w:rsidRDefault="00C5658A" w:rsidP="00D76F84">
                    <w:pPr>
                      <w:autoSpaceDE w:val="0"/>
                      <w:autoSpaceDN w:val="0"/>
                      <w:adjustRightInd w:val="0"/>
                      <w:jc w:val="right"/>
                      <w:rPr>
                        <w:szCs w:val="21"/>
                      </w:rPr>
                    </w:pPr>
                    <w:r>
                      <w:t>1,738.57</w:t>
                    </w:r>
                  </w:p>
                </w:tc>
              </w:tr>
            </w:sdtContent>
          </w:sdt>
          <w:sdt>
            <w:sdtPr>
              <w:rPr>
                <w:rFonts w:hint="eastAsia"/>
                <w:szCs w:val="21"/>
              </w:rPr>
              <w:alias w:val="上市公司应收关联方款项明细"/>
              <w:tag w:val="_GBC_203fd12dc6be4a978fe2a9d9f5ad1070"/>
              <w:id w:val="-1489470771"/>
              <w:lock w:val="sdtLocked"/>
              <w:placeholder>
                <w:docPart w:val="4319CD69E25549FD90DEE902259FC074"/>
              </w:placeholder>
            </w:sdtPr>
            <w:sdtEndPr/>
            <w:sdtContent>
              <w:tr w:rsidR="00C5658A" w14:paraId="5DE38DCD" w14:textId="77777777" w:rsidTr="00C5658A">
                <w:tc>
                  <w:tcPr>
                    <w:tcW w:w="812" w:type="pct"/>
                    <w:tcBorders>
                      <w:top w:val="single" w:sz="4" w:space="0" w:color="auto"/>
                      <w:left w:val="single" w:sz="4" w:space="0" w:color="auto"/>
                      <w:bottom w:val="single" w:sz="4" w:space="0" w:color="auto"/>
                      <w:right w:val="single" w:sz="4" w:space="0" w:color="auto"/>
                    </w:tcBorders>
                    <w:vAlign w:val="center"/>
                  </w:tcPr>
                  <w:p w14:paraId="4619592C" w14:textId="77777777" w:rsidR="00C5658A" w:rsidRDefault="00C5658A" w:rsidP="00D76F84">
                    <w:pPr>
                      <w:autoSpaceDE w:val="0"/>
                      <w:autoSpaceDN w:val="0"/>
                      <w:adjustRightInd w:val="0"/>
                      <w:rPr>
                        <w:szCs w:val="21"/>
                      </w:rPr>
                    </w:pPr>
                    <w:r>
                      <w:t>应收账款</w:t>
                    </w:r>
                  </w:p>
                </w:tc>
                <w:tc>
                  <w:tcPr>
                    <w:tcW w:w="767" w:type="pct"/>
                    <w:tcBorders>
                      <w:top w:val="single" w:sz="4" w:space="0" w:color="auto"/>
                      <w:left w:val="single" w:sz="4" w:space="0" w:color="auto"/>
                      <w:bottom w:val="single" w:sz="4" w:space="0" w:color="auto"/>
                      <w:right w:val="single" w:sz="4" w:space="0" w:color="auto"/>
                    </w:tcBorders>
                  </w:tcPr>
                  <w:p w14:paraId="557EB451" w14:textId="77777777" w:rsidR="00C5658A" w:rsidRDefault="00C5658A" w:rsidP="00D76F84">
                    <w:pPr>
                      <w:autoSpaceDE w:val="0"/>
                      <w:autoSpaceDN w:val="0"/>
                      <w:adjustRightInd w:val="0"/>
                      <w:rPr>
                        <w:szCs w:val="21"/>
                      </w:rPr>
                    </w:pPr>
                    <w:r>
                      <w:t>北京兰天达汽车清洁燃料技术有限公司</w:t>
                    </w:r>
                  </w:p>
                </w:tc>
                <w:tc>
                  <w:tcPr>
                    <w:tcW w:w="909" w:type="pct"/>
                    <w:tcBorders>
                      <w:top w:val="single" w:sz="4" w:space="0" w:color="auto"/>
                      <w:left w:val="single" w:sz="4" w:space="0" w:color="auto"/>
                      <w:bottom w:val="single" w:sz="4" w:space="0" w:color="auto"/>
                      <w:right w:val="single" w:sz="4" w:space="0" w:color="auto"/>
                    </w:tcBorders>
                  </w:tcPr>
                  <w:p w14:paraId="78D869BB" w14:textId="77777777" w:rsidR="00C5658A" w:rsidRDefault="00C5658A" w:rsidP="00D76F84">
                    <w:pPr>
                      <w:autoSpaceDE w:val="0"/>
                      <w:autoSpaceDN w:val="0"/>
                      <w:adjustRightInd w:val="0"/>
                      <w:jc w:val="right"/>
                      <w:rPr>
                        <w:szCs w:val="21"/>
                      </w:rPr>
                    </w:pPr>
                    <w:r>
                      <w:t>884,000.00</w:t>
                    </w:r>
                  </w:p>
                </w:tc>
                <w:tc>
                  <w:tcPr>
                    <w:tcW w:w="876" w:type="pct"/>
                    <w:tcBorders>
                      <w:top w:val="single" w:sz="4" w:space="0" w:color="auto"/>
                      <w:left w:val="single" w:sz="4" w:space="0" w:color="auto"/>
                      <w:bottom w:val="single" w:sz="4" w:space="0" w:color="auto"/>
                      <w:right w:val="single" w:sz="4" w:space="0" w:color="auto"/>
                    </w:tcBorders>
                  </w:tcPr>
                  <w:p w14:paraId="215D10C3" w14:textId="77777777" w:rsidR="00C5658A" w:rsidRDefault="00C5658A" w:rsidP="00D76F84">
                    <w:pPr>
                      <w:autoSpaceDE w:val="0"/>
                      <w:autoSpaceDN w:val="0"/>
                      <w:adjustRightInd w:val="0"/>
                      <w:jc w:val="right"/>
                      <w:rPr>
                        <w:szCs w:val="21"/>
                      </w:rPr>
                    </w:pPr>
                    <w:r>
                      <w:t>158,324.40</w:t>
                    </w:r>
                  </w:p>
                </w:tc>
                <w:tc>
                  <w:tcPr>
                    <w:tcW w:w="797" w:type="pct"/>
                    <w:tcBorders>
                      <w:top w:val="single" w:sz="4" w:space="0" w:color="auto"/>
                      <w:left w:val="single" w:sz="4" w:space="0" w:color="auto"/>
                      <w:bottom w:val="single" w:sz="4" w:space="0" w:color="auto"/>
                      <w:right w:val="single" w:sz="4" w:space="0" w:color="auto"/>
                    </w:tcBorders>
                  </w:tcPr>
                  <w:p w14:paraId="0A58DCFD" w14:textId="77777777" w:rsidR="00C5658A" w:rsidRDefault="00C5658A" w:rsidP="00D76F84">
                    <w:pPr>
                      <w:autoSpaceDE w:val="0"/>
                      <w:autoSpaceDN w:val="0"/>
                      <w:adjustRightInd w:val="0"/>
                      <w:jc w:val="right"/>
                      <w:rPr>
                        <w:szCs w:val="21"/>
                      </w:rPr>
                    </w:pPr>
                    <w:r>
                      <w:t>3,270,914.89</w:t>
                    </w:r>
                  </w:p>
                </w:tc>
                <w:tc>
                  <w:tcPr>
                    <w:tcW w:w="839" w:type="pct"/>
                    <w:tcBorders>
                      <w:top w:val="single" w:sz="4" w:space="0" w:color="auto"/>
                      <w:left w:val="single" w:sz="4" w:space="0" w:color="auto"/>
                      <w:bottom w:val="single" w:sz="4" w:space="0" w:color="auto"/>
                      <w:right w:val="single" w:sz="4" w:space="0" w:color="auto"/>
                    </w:tcBorders>
                  </w:tcPr>
                  <w:p w14:paraId="0E2288B7" w14:textId="77777777" w:rsidR="00C5658A" w:rsidRDefault="00C5658A" w:rsidP="00D76F84">
                    <w:pPr>
                      <w:autoSpaceDE w:val="0"/>
                      <w:autoSpaceDN w:val="0"/>
                      <w:adjustRightInd w:val="0"/>
                      <w:jc w:val="right"/>
                      <w:rPr>
                        <w:szCs w:val="21"/>
                      </w:rPr>
                    </w:pPr>
                    <w:r>
                      <w:t>37,778.89</w:t>
                    </w:r>
                  </w:p>
                </w:tc>
              </w:tr>
            </w:sdtContent>
          </w:sdt>
          <w:sdt>
            <w:sdtPr>
              <w:rPr>
                <w:rFonts w:hint="eastAsia"/>
                <w:szCs w:val="21"/>
              </w:rPr>
              <w:alias w:val="上市公司应收关联方款项明细"/>
              <w:tag w:val="_GBC_203fd12dc6be4a978fe2a9d9f5ad1070"/>
              <w:id w:val="1837491962"/>
              <w:lock w:val="sdtLocked"/>
              <w:placeholder>
                <w:docPart w:val="9AD69D3097E34AACB99696021DA17334"/>
              </w:placeholder>
            </w:sdtPr>
            <w:sdtEndPr/>
            <w:sdtContent>
              <w:tr w:rsidR="00C5658A" w14:paraId="3E034ACE" w14:textId="77777777" w:rsidTr="00C5658A">
                <w:tc>
                  <w:tcPr>
                    <w:tcW w:w="812" w:type="pct"/>
                    <w:tcBorders>
                      <w:top w:val="single" w:sz="4" w:space="0" w:color="auto"/>
                      <w:left w:val="single" w:sz="4" w:space="0" w:color="auto"/>
                      <w:bottom w:val="single" w:sz="4" w:space="0" w:color="auto"/>
                      <w:right w:val="single" w:sz="4" w:space="0" w:color="auto"/>
                    </w:tcBorders>
                    <w:vAlign w:val="center"/>
                  </w:tcPr>
                  <w:p w14:paraId="7DC3C996" w14:textId="77777777" w:rsidR="00C5658A" w:rsidRDefault="00C5658A" w:rsidP="00D76F84">
                    <w:pPr>
                      <w:autoSpaceDE w:val="0"/>
                      <w:autoSpaceDN w:val="0"/>
                      <w:adjustRightInd w:val="0"/>
                      <w:rPr>
                        <w:szCs w:val="21"/>
                      </w:rPr>
                    </w:pPr>
                    <w:r>
                      <w:t>应收账款</w:t>
                    </w:r>
                  </w:p>
                </w:tc>
                <w:tc>
                  <w:tcPr>
                    <w:tcW w:w="767" w:type="pct"/>
                    <w:tcBorders>
                      <w:top w:val="single" w:sz="4" w:space="0" w:color="auto"/>
                      <w:left w:val="single" w:sz="4" w:space="0" w:color="auto"/>
                      <w:bottom w:val="single" w:sz="4" w:space="0" w:color="auto"/>
                      <w:right w:val="single" w:sz="4" w:space="0" w:color="auto"/>
                    </w:tcBorders>
                  </w:tcPr>
                  <w:p w14:paraId="5B1970B5" w14:textId="77777777" w:rsidR="00C5658A" w:rsidRDefault="00C5658A" w:rsidP="00D76F84">
                    <w:pPr>
                      <w:autoSpaceDE w:val="0"/>
                      <w:autoSpaceDN w:val="0"/>
                      <w:adjustRightInd w:val="0"/>
                      <w:rPr>
                        <w:szCs w:val="21"/>
                      </w:rPr>
                    </w:pPr>
                    <w:r>
                      <w:t>宽城升华压力容器制造有限责任公司</w:t>
                    </w:r>
                  </w:p>
                </w:tc>
                <w:tc>
                  <w:tcPr>
                    <w:tcW w:w="909" w:type="pct"/>
                    <w:tcBorders>
                      <w:top w:val="single" w:sz="4" w:space="0" w:color="auto"/>
                      <w:left w:val="single" w:sz="4" w:space="0" w:color="auto"/>
                      <w:bottom w:val="single" w:sz="4" w:space="0" w:color="auto"/>
                      <w:right w:val="single" w:sz="4" w:space="0" w:color="auto"/>
                    </w:tcBorders>
                  </w:tcPr>
                  <w:p w14:paraId="7A05BB46" w14:textId="77777777" w:rsidR="00C5658A" w:rsidRDefault="00C5658A" w:rsidP="00D76F84">
                    <w:pPr>
                      <w:autoSpaceDE w:val="0"/>
                      <w:autoSpaceDN w:val="0"/>
                      <w:adjustRightInd w:val="0"/>
                      <w:jc w:val="right"/>
                      <w:rPr>
                        <w:szCs w:val="21"/>
                      </w:rPr>
                    </w:pPr>
                    <w:r>
                      <w:t>317,438.00</w:t>
                    </w:r>
                  </w:p>
                </w:tc>
                <w:tc>
                  <w:tcPr>
                    <w:tcW w:w="876" w:type="pct"/>
                    <w:tcBorders>
                      <w:top w:val="single" w:sz="4" w:space="0" w:color="auto"/>
                      <w:left w:val="single" w:sz="4" w:space="0" w:color="auto"/>
                      <w:bottom w:val="single" w:sz="4" w:space="0" w:color="auto"/>
                      <w:right w:val="single" w:sz="4" w:space="0" w:color="auto"/>
                    </w:tcBorders>
                  </w:tcPr>
                  <w:p w14:paraId="48EE5F5F" w14:textId="77777777" w:rsidR="00C5658A" w:rsidRDefault="00C5658A" w:rsidP="00D76F84">
                    <w:pPr>
                      <w:autoSpaceDE w:val="0"/>
                      <w:autoSpaceDN w:val="0"/>
                      <w:adjustRightInd w:val="0"/>
                      <w:jc w:val="right"/>
                      <w:rPr>
                        <w:szCs w:val="21"/>
                      </w:rPr>
                    </w:pPr>
                    <w:r>
                      <w:t>5,110.75</w:t>
                    </w:r>
                  </w:p>
                </w:tc>
                <w:tc>
                  <w:tcPr>
                    <w:tcW w:w="797" w:type="pct"/>
                    <w:tcBorders>
                      <w:top w:val="single" w:sz="4" w:space="0" w:color="auto"/>
                      <w:left w:val="single" w:sz="4" w:space="0" w:color="auto"/>
                      <w:bottom w:val="single" w:sz="4" w:space="0" w:color="auto"/>
                      <w:right w:val="single" w:sz="4" w:space="0" w:color="auto"/>
                    </w:tcBorders>
                  </w:tcPr>
                  <w:p w14:paraId="7BCD8B90" w14:textId="77777777" w:rsidR="00C5658A" w:rsidRDefault="00C5658A" w:rsidP="00D76F84">
                    <w:pPr>
                      <w:autoSpaceDE w:val="0"/>
                      <w:autoSpaceDN w:val="0"/>
                      <w:adjustRightInd w:val="0"/>
                      <w:jc w:val="right"/>
                      <w:rPr>
                        <w:szCs w:val="21"/>
                      </w:rPr>
                    </w:pPr>
                    <w:r>
                      <w:t>0.00</w:t>
                    </w:r>
                  </w:p>
                </w:tc>
                <w:tc>
                  <w:tcPr>
                    <w:tcW w:w="839" w:type="pct"/>
                    <w:tcBorders>
                      <w:top w:val="single" w:sz="4" w:space="0" w:color="auto"/>
                      <w:left w:val="single" w:sz="4" w:space="0" w:color="auto"/>
                      <w:bottom w:val="single" w:sz="4" w:space="0" w:color="auto"/>
                      <w:right w:val="single" w:sz="4" w:space="0" w:color="auto"/>
                    </w:tcBorders>
                  </w:tcPr>
                  <w:p w14:paraId="176FFB2A" w14:textId="77777777" w:rsidR="00C5658A" w:rsidRDefault="00C5658A" w:rsidP="00D76F84">
                    <w:pPr>
                      <w:autoSpaceDE w:val="0"/>
                      <w:autoSpaceDN w:val="0"/>
                      <w:adjustRightInd w:val="0"/>
                      <w:jc w:val="right"/>
                      <w:rPr>
                        <w:szCs w:val="21"/>
                      </w:rPr>
                    </w:pPr>
                    <w:r>
                      <w:t>0.00</w:t>
                    </w:r>
                  </w:p>
                </w:tc>
              </w:tr>
            </w:sdtContent>
          </w:sdt>
          <w:sdt>
            <w:sdtPr>
              <w:rPr>
                <w:rFonts w:hint="eastAsia"/>
                <w:szCs w:val="21"/>
              </w:rPr>
              <w:alias w:val="上市公司应收关联方款项明细"/>
              <w:tag w:val="_GBC_203fd12dc6be4a978fe2a9d9f5ad1070"/>
              <w:id w:val="1988442439"/>
              <w:lock w:val="sdtLocked"/>
              <w:placeholder>
                <w:docPart w:val="9AD69D3097E34AACB99696021DA17334"/>
              </w:placeholder>
            </w:sdtPr>
            <w:sdtEndPr/>
            <w:sdtContent>
              <w:tr w:rsidR="00C5658A" w14:paraId="291207FE" w14:textId="77777777" w:rsidTr="00C5658A">
                <w:tc>
                  <w:tcPr>
                    <w:tcW w:w="812" w:type="pct"/>
                    <w:tcBorders>
                      <w:top w:val="single" w:sz="4" w:space="0" w:color="auto"/>
                      <w:left w:val="single" w:sz="4" w:space="0" w:color="auto"/>
                      <w:bottom w:val="single" w:sz="4" w:space="0" w:color="auto"/>
                      <w:right w:val="single" w:sz="4" w:space="0" w:color="auto"/>
                    </w:tcBorders>
                    <w:vAlign w:val="center"/>
                  </w:tcPr>
                  <w:p w14:paraId="1F59A4CB" w14:textId="77777777" w:rsidR="00C5658A" w:rsidRDefault="00C5658A" w:rsidP="00D76F84">
                    <w:pPr>
                      <w:autoSpaceDE w:val="0"/>
                      <w:autoSpaceDN w:val="0"/>
                      <w:adjustRightInd w:val="0"/>
                      <w:rPr>
                        <w:szCs w:val="21"/>
                      </w:rPr>
                    </w:pPr>
                    <w:r>
                      <w:t>其他应收款</w:t>
                    </w:r>
                  </w:p>
                </w:tc>
                <w:tc>
                  <w:tcPr>
                    <w:tcW w:w="767" w:type="pct"/>
                    <w:tcBorders>
                      <w:top w:val="single" w:sz="4" w:space="0" w:color="auto"/>
                      <w:left w:val="single" w:sz="4" w:space="0" w:color="auto"/>
                      <w:bottom w:val="single" w:sz="4" w:space="0" w:color="auto"/>
                      <w:right w:val="single" w:sz="4" w:space="0" w:color="auto"/>
                    </w:tcBorders>
                  </w:tcPr>
                  <w:p w14:paraId="4D13BF0F" w14:textId="77777777" w:rsidR="00C5658A" w:rsidRDefault="00C5658A" w:rsidP="00D76F84">
                    <w:pPr>
                      <w:autoSpaceDE w:val="0"/>
                      <w:autoSpaceDN w:val="0"/>
                      <w:adjustRightInd w:val="0"/>
                      <w:rPr>
                        <w:szCs w:val="21"/>
                      </w:rPr>
                    </w:pPr>
                    <w:r>
                      <w:t>江苏天海特种装备有限公司</w:t>
                    </w:r>
                  </w:p>
                </w:tc>
                <w:tc>
                  <w:tcPr>
                    <w:tcW w:w="909" w:type="pct"/>
                    <w:tcBorders>
                      <w:top w:val="single" w:sz="4" w:space="0" w:color="auto"/>
                      <w:left w:val="single" w:sz="4" w:space="0" w:color="auto"/>
                      <w:bottom w:val="single" w:sz="4" w:space="0" w:color="auto"/>
                      <w:right w:val="single" w:sz="4" w:space="0" w:color="auto"/>
                    </w:tcBorders>
                  </w:tcPr>
                  <w:p w14:paraId="09958EF3" w14:textId="77777777" w:rsidR="00C5658A" w:rsidRDefault="00C5658A" w:rsidP="00D76F84">
                    <w:pPr>
                      <w:autoSpaceDE w:val="0"/>
                      <w:autoSpaceDN w:val="0"/>
                      <w:adjustRightInd w:val="0"/>
                      <w:jc w:val="right"/>
                      <w:rPr>
                        <w:szCs w:val="21"/>
                      </w:rPr>
                    </w:pPr>
                    <w:r>
                      <w:t>238,034.18</w:t>
                    </w:r>
                  </w:p>
                </w:tc>
                <w:tc>
                  <w:tcPr>
                    <w:tcW w:w="876" w:type="pct"/>
                    <w:tcBorders>
                      <w:top w:val="single" w:sz="4" w:space="0" w:color="auto"/>
                      <w:left w:val="single" w:sz="4" w:space="0" w:color="auto"/>
                      <w:bottom w:val="single" w:sz="4" w:space="0" w:color="auto"/>
                      <w:right w:val="single" w:sz="4" w:space="0" w:color="auto"/>
                    </w:tcBorders>
                  </w:tcPr>
                  <w:p w14:paraId="4999B45A" w14:textId="77777777" w:rsidR="00C5658A" w:rsidRDefault="00C5658A" w:rsidP="00D76F84">
                    <w:pPr>
                      <w:autoSpaceDE w:val="0"/>
                      <w:autoSpaceDN w:val="0"/>
                      <w:adjustRightInd w:val="0"/>
                      <w:jc w:val="right"/>
                      <w:rPr>
                        <w:szCs w:val="21"/>
                      </w:rPr>
                    </w:pPr>
                    <w:r>
                      <w:t>6,965.87</w:t>
                    </w:r>
                  </w:p>
                </w:tc>
                <w:tc>
                  <w:tcPr>
                    <w:tcW w:w="797" w:type="pct"/>
                    <w:tcBorders>
                      <w:top w:val="single" w:sz="4" w:space="0" w:color="auto"/>
                      <w:left w:val="single" w:sz="4" w:space="0" w:color="auto"/>
                      <w:bottom w:val="single" w:sz="4" w:space="0" w:color="auto"/>
                      <w:right w:val="single" w:sz="4" w:space="0" w:color="auto"/>
                    </w:tcBorders>
                  </w:tcPr>
                  <w:p w14:paraId="28A8C3C1" w14:textId="77777777" w:rsidR="00C5658A" w:rsidRDefault="00C5658A" w:rsidP="00D76F84">
                    <w:pPr>
                      <w:autoSpaceDE w:val="0"/>
                      <w:autoSpaceDN w:val="0"/>
                      <w:adjustRightInd w:val="0"/>
                      <w:jc w:val="right"/>
                      <w:rPr>
                        <w:szCs w:val="21"/>
                      </w:rPr>
                    </w:pPr>
                    <w:r>
                      <w:t>19,224.06</w:t>
                    </w:r>
                  </w:p>
                </w:tc>
                <w:tc>
                  <w:tcPr>
                    <w:tcW w:w="839" w:type="pct"/>
                    <w:tcBorders>
                      <w:top w:val="single" w:sz="4" w:space="0" w:color="auto"/>
                      <w:left w:val="single" w:sz="4" w:space="0" w:color="auto"/>
                      <w:bottom w:val="single" w:sz="4" w:space="0" w:color="auto"/>
                      <w:right w:val="single" w:sz="4" w:space="0" w:color="auto"/>
                    </w:tcBorders>
                  </w:tcPr>
                  <w:p w14:paraId="6D6A7B88" w14:textId="77777777" w:rsidR="00C5658A" w:rsidRDefault="00C5658A" w:rsidP="00D76F84">
                    <w:pPr>
                      <w:autoSpaceDE w:val="0"/>
                      <w:autoSpaceDN w:val="0"/>
                      <w:adjustRightInd w:val="0"/>
                      <w:jc w:val="right"/>
                      <w:rPr>
                        <w:szCs w:val="21"/>
                      </w:rPr>
                    </w:pPr>
                    <w:r>
                      <w:t>161.48</w:t>
                    </w:r>
                  </w:p>
                </w:tc>
              </w:tr>
            </w:sdtContent>
          </w:sdt>
          <w:sdt>
            <w:sdtPr>
              <w:rPr>
                <w:rFonts w:hint="eastAsia"/>
                <w:szCs w:val="21"/>
              </w:rPr>
              <w:alias w:val="上市公司应收关联方款项明细"/>
              <w:tag w:val="_GBC_203fd12dc6be4a978fe2a9d9f5ad1070"/>
              <w:id w:val="-1738240582"/>
              <w:lock w:val="sdtLocked"/>
              <w:placeholder>
                <w:docPart w:val="9AD69D3097E34AACB99696021DA17334"/>
              </w:placeholder>
            </w:sdtPr>
            <w:sdtEndPr/>
            <w:sdtContent>
              <w:tr w:rsidR="00C5658A" w14:paraId="5D83DFEA" w14:textId="77777777" w:rsidTr="00C5658A">
                <w:tc>
                  <w:tcPr>
                    <w:tcW w:w="812" w:type="pct"/>
                    <w:tcBorders>
                      <w:top w:val="single" w:sz="4" w:space="0" w:color="auto"/>
                      <w:left w:val="single" w:sz="4" w:space="0" w:color="auto"/>
                      <w:bottom w:val="single" w:sz="4" w:space="0" w:color="auto"/>
                      <w:right w:val="single" w:sz="4" w:space="0" w:color="auto"/>
                    </w:tcBorders>
                    <w:vAlign w:val="center"/>
                  </w:tcPr>
                  <w:p w14:paraId="33C97138" w14:textId="77777777" w:rsidR="00C5658A" w:rsidRDefault="00C5658A" w:rsidP="00D76F84">
                    <w:pPr>
                      <w:autoSpaceDE w:val="0"/>
                      <w:autoSpaceDN w:val="0"/>
                      <w:adjustRightInd w:val="0"/>
                      <w:rPr>
                        <w:szCs w:val="21"/>
                      </w:rPr>
                    </w:pPr>
                    <w:r>
                      <w:t>其他应收款</w:t>
                    </w:r>
                  </w:p>
                </w:tc>
                <w:tc>
                  <w:tcPr>
                    <w:tcW w:w="767" w:type="pct"/>
                    <w:tcBorders>
                      <w:top w:val="single" w:sz="4" w:space="0" w:color="auto"/>
                      <w:left w:val="single" w:sz="4" w:space="0" w:color="auto"/>
                      <w:bottom w:val="single" w:sz="4" w:space="0" w:color="auto"/>
                      <w:right w:val="single" w:sz="4" w:space="0" w:color="auto"/>
                    </w:tcBorders>
                  </w:tcPr>
                  <w:p w14:paraId="520931EE" w14:textId="77777777" w:rsidR="00C5658A" w:rsidRDefault="00C5658A" w:rsidP="00D76F84">
                    <w:pPr>
                      <w:autoSpaceDE w:val="0"/>
                      <w:autoSpaceDN w:val="0"/>
                      <w:adjustRightInd w:val="0"/>
                      <w:rPr>
                        <w:szCs w:val="21"/>
                      </w:rPr>
                    </w:pPr>
                    <w:r>
                      <w:t>北京京城海通科技文化发展有限公司</w:t>
                    </w:r>
                  </w:p>
                </w:tc>
                <w:tc>
                  <w:tcPr>
                    <w:tcW w:w="909" w:type="pct"/>
                    <w:tcBorders>
                      <w:top w:val="single" w:sz="4" w:space="0" w:color="auto"/>
                      <w:left w:val="single" w:sz="4" w:space="0" w:color="auto"/>
                      <w:bottom w:val="single" w:sz="4" w:space="0" w:color="auto"/>
                      <w:right w:val="single" w:sz="4" w:space="0" w:color="auto"/>
                    </w:tcBorders>
                  </w:tcPr>
                  <w:p w14:paraId="45CD6754" w14:textId="77777777" w:rsidR="00C5658A" w:rsidRDefault="00C5658A" w:rsidP="00D76F84">
                    <w:pPr>
                      <w:autoSpaceDE w:val="0"/>
                      <w:autoSpaceDN w:val="0"/>
                      <w:adjustRightInd w:val="0"/>
                      <w:jc w:val="right"/>
                      <w:rPr>
                        <w:szCs w:val="21"/>
                      </w:rPr>
                    </w:pPr>
                    <w:r>
                      <w:t>3,495,832.62</w:t>
                    </w:r>
                  </w:p>
                </w:tc>
                <w:tc>
                  <w:tcPr>
                    <w:tcW w:w="876" w:type="pct"/>
                    <w:tcBorders>
                      <w:top w:val="single" w:sz="4" w:space="0" w:color="auto"/>
                      <w:left w:val="single" w:sz="4" w:space="0" w:color="auto"/>
                      <w:bottom w:val="single" w:sz="4" w:space="0" w:color="auto"/>
                      <w:right w:val="single" w:sz="4" w:space="0" w:color="auto"/>
                    </w:tcBorders>
                  </w:tcPr>
                  <w:p w14:paraId="7401E29F" w14:textId="77777777" w:rsidR="00C5658A" w:rsidRDefault="00C5658A" w:rsidP="00D76F84">
                    <w:pPr>
                      <w:autoSpaceDE w:val="0"/>
                      <w:autoSpaceDN w:val="0"/>
                      <w:adjustRightInd w:val="0"/>
                      <w:jc w:val="right"/>
                      <w:rPr>
                        <w:szCs w:val="21"/>
                      </w:rPr>
                    </w:pPr>
                    <w:r>
                      <w:t>81,801.53</w:t>
                    </w:r>
                  </w:p>
                </w:tc>
                <w:tc>
                  <w:tcPr>
                    <w:tcW w:w="797" w:type="pct"/>
                    <w:tcBorders>
                      <w:top w:val="single" w:sz="4" w:space="0" w:color="auto"/>
                      <w:left w:val="single" w:sz="4" w:space="0" w:color="auto"/>
                      <w:bottom w:val="single" w:sz="4" w:space="0" w:color="auto"/>
                      <w:right w:val="single" w:sz="4" w:space="0" w:color="auto"/>
                    </w:tcBorders>
                  </w:tcPr>
                  <w:p w14:paraId="075FD731" w14:textId="77777777" w:rsidR="00C5658A" w:rsidRDefault="00C5658A" w:rsidP="00D76F84">
                    <w:pPr>
                      <w:autoSpaceDE w:val="0"/>
                      <w:autoSpaceDN w:val="0"/>
                      <w:adjustRightInd w:val="0"/>
                      <w:jc w:val="right"/>
                      <w:rPr>
                        <w:szCs w:val="21"/>
                      </w:rPr>
                    </w:pPr>
                    <w:r>
                      <w:t>3,457,570.47</w:t>
                    </w:r>
                  </w:p>
                </w:tc>
                <w:tc>
                  <w:tcPr>
                    <w:tcW w:w="839" w:type="pct"/>
                    <w:tcBorders>
                      <w:top w:val="single" w:sz="4" w:space="0" w:color="auto"/>
                      <w:left w:val="single" w:sz="4" w:space="0" w:color="auto"/>
                      <w:bottom w:val="single" w:sz="4" w:space="0" w:color="auto"/>
                      <w:right w:val="single" w:sz="4" w:space="0" w:color="auto"/>
                    </w:tcBorders>
                  </w:tcPr>
                  <w:p w14:paraId="02CF15CC" w14:textId="77777777" w:rsidR="00C5658A" w:rsidRDefault="00C5658A" w:rsidP="00D76F84">
                    <w:pPr>
                      <w:autoSpaceDE w:val="0"/>
                      <w:autoSpaceDN w:val="0"/>
                      <w:adjustRightInd w:val="0"/>
                      <w:jc w:val="right"/>
                      <w:rPr>
                        <w:szCs w:val="21"/>
                      </w:rPr>
                    </w:pPr>
                    <w:r>
                      <w:t>29,043.59</w:t>
                    </w:r>
                  </w:p>
                </w:tc>
              </w:tr>
            </w:sdtContent>
          </w:sdt>
          <w:sdt>
            <w:sdtPr>
              <w:rPr>
                <w:rFonts w:hint="eastAsia"/>
                <w:szCs w:val="21"/>
              </w:rPr>
              <w:alias w:val="上市公司应收关联方款项明细"/>
              <w:tag w:val="_GBC_203fd12dc6be4a978fe2a9d9f5ad1070"/>
              <w:id w:val="1958983210"/>
              <w:lock w:val="sdtLocked"/>
              <w:placeholder>
                <w:docPart w:val="9AD69D3097E34AACB99696021DA17334"/>
              </w:placeholder>
            </w:sdtPr>
            <w:sdtEndPr/>
            <w:sdtContent>
              <w:tr w:rsidR="00C5658A" w14:paraId="45197FD5" w14:textId="77777777" w:rsidTr="00C5658A">
                <w:tc>
                  <w:tcPr>
                    <w:tcW w:w="812" w:type="pct"/>
                    <w:tcBorders>
                      <w:top w:val="single" w:sz="4" w:space="0" w:color="auto"/>
                      <w:left w:val="single" w:sz="4" w:space="0" w:color="auto"/>
                      <w:bottom w:val="single" w:sz="4" w:space="0" w:color="auto"/>
                      <w:right w:val="single" w:sz="4" w:space="0" w:color="auto"/>
                    </w:tcBorders>
                    <w:vAlign w:val="center"/>
                  </w:tcPr>
                  <w:p w14:paraId="273205AE" w14:textId="77777777" w:rsidR="00C5658A" w:rsidRDefault="00C5658A" w:rsidP="00D76F84">
                    <w:pPr>
                      <w:autoSpaceDE w:val="0"/>
                      <w:autoSpaceDN w:val="0"/>
                      <w:adjustRightInd w:val="0"/>
                      <w:rPr>
                        <w:szCs w:val="21"/>
                      </w:rPr>
                    </w:pPr>
                    <w:r>
                      <w:t>其他应收款</w:t>
                    </w:r>
                  </w:p>
                </w:tc>
                <w:tc>
                  <w:tcPr>
                    <w:tcW w:w="767" w:type="pct"/>
                    <w:tcBorders>
                      <w:top w:val="single" w:sz="4" w:space="0" w:color="auto"/>
                      <w:left w:val="single" w:sz="4" w:space="0" w:color="auto"/>
                      <w:bottom w:val="single" w:sz="4" w:space="0" w:color="auto"/>
                      <w:right w:val="single" w:sz="4" w:space="0" w:color="auto"/>
                    </w:tcBorders>
                  </w:tcPr>
                  <w:p w14:paraId="45109D62" w14:textId="77777777" w:rsidR="00C5658A" w:rsidRDefault="00C5658A" w:rsidP="00D76F84">
                    <w:pPr>
                      <w:autoSpaceDE w:val="0"/>
                      <w:autoSpaceDN w:val="0"/>
                      <w:adjustRightInd w:val="0"/>
                      <w:rPr>
                        <w:szCs w:val="21"/>
                      </w:rPr>
                    </w:pPr>
                    <w:r>
                      <w:t>宽城升华压力容器制造有限责任公司</w:t>
                    </w:r>
                  </w:p>
                </w:tc>
                <w:tc>
                  <w:tcPr>
                    <w:tcW w:w="909" w:type="pct"/>
                    <w:tcBorders>
                      <w:top w:val="single" w:sz="4" w:space="0" w:color="auto"/>
                      <w:left w:val="single" w:sz="4" w:space="0" w:color="auto"/>
                      <w:bottom w:val="single" w:sz="4" w:space="0" w:color="auto"/>
                      <w:right w:val="single" w:sz="4" w:space="0" w:color="auto"/>
                    </w:tcBorders>
                  </w:tcPr>
                  <w:p w14:paraId="297282C8" w14:textId="77777777" w:rsidR="00C5658A" w:rsidRDefault="00C5658A" w:rsidP="00D76F84">
                    <w:pPr>
                      <w:autoSpaceDE w:val="0"/>
                      <w:autoSpaceDN w:val="0"/>
                      <w:adjustRightInd w:val="0"/>
                      <w:jc w:val="right"/>
                      <w:rPr>
                        <w:szCs w:val="21"/>
                      </w:rPr>
                    </w:pPr>
                    <w:r>
                      <w:t>38,400.00</w:t>
                    </w:r>
                  </w:p>
                </w:tc>
                <w:tc>
                  <w:tcPr>
                    <w:tcW w:w="876" w:type="pct"/>
                    <w:tcBorders>
                      <w:top w:val="single" w:sz="4" w:space="0" w:color="auto"/>
                      <w:left w:val="single" w:sz="4" w:space="0" w:color="auto"/>
                      <w:bottom w:val="single" w:sz="4" w:space="0" w:color="auto"/>
                      <w:right w:val="single" w:sz="4" w:space="0" w:color="auto"/>
                    </w:tcBorders>
                  </w:tcPr>
                  <w:p w14:paraId="291005C1" w14:textId="77777777" w:rsidR="00C5658A" w:rsidRDefault="00C5658A" w:rsidP="00D76F84">
                    <w:pPr>
                      <w:autoSpaceDE w:val="0"/>
                      <w:autoSpaceDN w:val="0"/>
                      <w:adjustRightInd w:val="0"/>
                      <w:jc w:val="right"/>
                      <w:rPr>
                        <w:szCs w:val="21"/>
                      </w:rPr>
                    </w:pPr>
                    <w:r>
                      <w:t>11,646.72</w:t>
                    </w:r>
                  </w:p>
                </w:tc>
                <w:tc>
                  <w:tcPr>
                    <w:tcW w:w="797" w:type="pct"/>
                    <w:tcBorders>
                      <w:top w:val="single" w:sz="4" w:space="0" w:color="auto"/>
                      <w:left w:val="single" w:sz="4" w:space="0" w:color="auto"/>
                      <w:bottom w:val="single" w:sz="4" w:space="0" w:color="auto"/>
                      <w:right w:val="single" w:sz="4" w:space="0" w:color="auto"/>
                    </w:tcBorders>
                  </w:tcPr>
                  <w:p w14:paraId="66B98172" w14:textId="77777777" w:rsidR="00C5658A" w:rsidRDefault="00C5658A" w:rsidP="00D76F84">
                    <w:pPr>
                      <w:autoSpaceDE w:val="0"/>
                      <w:autoSpaceDN w:val="0"/>
                      <w:adjustRightInd w:val="0"/>
                      <w:jc w:val="right"/>
                      <w:rPr>
                        <w:szCs w:val="21"/>
                      </w:rPr>
                    </w:pPr>
                    <w:r>
                      <w:t>0.00</w:t>
                    </w:r>
                  </w:p>
                </w:tc>
                <w:tc>
                  <w:tcPr>
                    <w:tcW w:w="839" w:type="pct"/>
                    <w:tcBorders>
                      <w:top w:val="single" w:sz="4" w:space="0" w:color="auto"/>
                      <w:left w:val="single" w:sz="4" w:space="0" w:color="auto"/>
                      <w:bottom w:val="single" w:sz="4" w:space="0" w:color="auto"/>
                      <w:right w:val="single" w:sz="4" w:space="0" w:color="auto"/>
                    </w:tcBorders>
                  </w:tcPr>
                  <w:p w14:paraId="75A7E56D" w14:textId="77777777" w:rsidR="00C5658A" w:rsidRDefault="00C5658A" w:rsidP="00D76F84">
                    <w:pPr>
                      <w:autoSpaceDE w:val="0"/>
                      <w:autoSpaceDN w:val="0"/>
                      <w:adjustRightInd w:val="0"/>
                      <w:jc w:val="right"/>
                      <w:rPr>
                        <w:szCs w:val="21"/>
                      </w:rPr>
                    </w:pPr>
                    <w:r>
                      <w:t>0.00</w:t>
                    </w:r>
                  </w:p>
                </w:tc>
              </w:tr>
            </w:sdtContent>
          </w:sdt>
          <w:sdt>
            <w:sdtPr>
              <w:rPr>
                <w:rFonts w:hint="eastAsia"/>
                <w:szCs w:val="21"/>
              </w:rPr>
              <w:alias w:val="上市公司应收关联方款项明细"/>
              <w:tag w:val="_GBC_203fd12dc6be4a978fe2a9d9f5ad1070"/>
              <w:id w:val="-842243762"/>
              <w:lock w:val="sdtLocked"/>
              <w:placeholder>
                <w:docPart w:val="9AD69D3097E34AACB99696021DA17334"/>
              </w:placeholder>
            </w:sdtPr>
            <w:sdtEndPr/>
            <w:sdtContent>
              <w:tr w:rsidR="00C5658A" w14:paraId="6699A4EB" w14:textId="77777777" w:rsidTr="00C5658A">
                <w:tc>
                  <w:tcPr>
                    <w:tcW w:w="812" w:type="pct"/>
                    <w:tcBorders>
                      <w:top w:val="single" w:sz="4" w:space="0" w:color="auto"/>
                      <w:left w:val="single" w:sz="4" w:space="0" w:color="auto"/>
                      <w:bottom w:val="single" w:sz="4" w:space="0" w:color="auto"/>
                      <w:right w:val="single" w:sz="4" w:space="0" w:color="auto"/>
                    </w:tcBorders>
                    <w:vAlign w:val="center"/>
                  </w:tcPr>
                  <w:p w14:paraId="7E49E451" w14:textId="77777777" w:rsidR="00C5658A" w:rsidRDefault="00C5658A" w:rsidP="00D76F84">
                    <w:pPr>
                      <w:autoSpaceDE w:val="0"/>
                      <w:autoSpaceDN w:val="0"/>
                      <w:adjustRightInd w:val="0"/>
                      <w:rPr>
                        <w:szCs w:val="21"/>
                      </w:rPr>
                    </w:pPr>
                    <w:r>
                      <w:t>其他应收款</w:t>
                    </w:r>
                  </w:p>
                </w:tc>
                <w:tc>
                  <w:tcPr>
                    <w:tcW w:w="767" w:type="pct"/>
                    <w:tcBorders>
                      <w:top w:val="single" w:sz="4" w:space="0" w:color="auto"/>
                      <w:left w:val="single" w:sz="4" w:space="0" w:color="auto"/>
                      <w:bottom w:val="single" w:sz="4" w:space="0" w:color="auto"/>
                      <w:right w:val="single" w:sz="4" w:space="0" w:color="auto"/>
                    </w:tcBorders>
                  </w:tcPr>
                  <w:p w14:paraId="73C904BD" w14:textId="77777777" w:rsidR="00C5658A" w:rsidRDefault="00C5658A" w:rsidP="00D76F84">
                    <w:pPr>
                      <w:autoSpaceDE w:val="0"/>
                      <w:autoSpaceDN w:val="0"/>
                      <w:adjustRightInd w:val="0"/>
                      <w:rPr>
                        <w:szCs w:val="21"/>
                      </w:rPr>
                    </w:pPr>
                    <w:r>
                      <w:t>北京兰天达汽车清洁燃料技术有限公司</w:t>
                    </w:r>
                  </w:p>
                </w:tc>
                <w:tc>
                  <w:tcPr>
                    <w:tcW w:w="909" w:type="pct"/>
                    <w:tcBorders>
                      <w:top w:val="single" w:sz="4" w:space="0" w:color="auto"/>
                      <w:left w:val="single" w:sz="4" w:space="0" w:color="auto"/>
                      <w:bottom w:val="single" w:sz="4" w:space="0" w:color="auto"/>
                      <w:right w:val="single" w:sz="4" w:space="0" w:color="auto"/>
                    </w:tcBorders>
                  </w:tcPr>
                  <w:p w14:paraId="01C7B6AF" w14:textId="77777777" w:rsidR="00C5658A" w:rsidRDefault="00C5658A" w:rsidP="00D76F84">
                    <w:pPr>
                      <w:autoSpaceDE w:val="0"/>
                      <w:autoSpaceDN w:val="0"/>
                      <w:adjustRightInd w:val="0"/>
                      <w:jc w:val="right"/>
                      <w:rPr>
                        <w:szCs w:val="21"/>
                      </w:rPr>
                    </w:pPr>
                    <w:r>
                      <w:t>724,400.00</w:t>
                    </w:r>
                  </w:p>
                </w:tc>
                <w:tc>
                  <w:tcPr>
                    <w:tcW w:w="876" w:type="pct"/>
                    <w:tcBorders>
                      <w:top w:val="single" w:sz="4" w:space="0" w:color="auto"/>
                      <w:left w:val="single" w:sz="4" w:space="0" w:color="auto"/>
                      <w:bottom w:val="single" w:sz="4" w:space="0" w:color="auto"/>
                      <w:right w:val="single" w:sz="4" w:space="0" w:color="auto"/>
                    </w:tcBorders>
                  </w:tcPr>
                  <w:p w14:paraId="65B7F9F7" w14:textId="77777777" w:rsidR="00C5658A" w:rsidRDefault="00C5658A" w:rsidP="00D76F84">
                    <w:pPr>
                      <w:autoSpaceDE w:val="0"/>
                      <w:autoSpaceDN w:val="0"/>
                      <w:adjustRightInd w:val="0"/>
                      <w:jc w:val="right"/>
                      <w:rPr>
                        <w:szCs w:val="21"/>
                      </w:rPr>
                    </w:pPr>
                    <w:r>
                      <w:t>6,084.96</w:t>
                    </w:r>
                  </w:p>
                </w:tc>
                <w:tc>
                  <w:tcPr>
                    <w:tcW w:w="797" w:type="pct"/>
                    <w:tcBorders>
                      <w:top w:val="single" w:sz="4" w:space="0" w:color="auto"/>
                      <w:left w:val="single" w:sz="4" w:space="0" w:color="auto"/>
                      <w:bottom w:val="single" w:sz="4" w:space="0" w:color="auto"/>
                      <w:right w:val="single" w:sz="4" w:space="0" w:color="auto"/>
                    </w:tcBorders>
                  </w:tcPr>
                  <w:p w14:paraId="5DFD60E2" w14:textId="77777777" w:rsidR="00C5658A" w:rsidRDefault="00C5658A" w:rsidP="00D76F84">
                    <w:pPr>
                      <w:autoSpaceDE w:val="0"/>
                      <w:autoSpaceDN w:val="0"/>
                      <w:adjustRightInd w:val="0"/>
                      <w:jc w:val="right"/>
                      <w:rPr>
                        <w:szCs w:val="21"/>
                      </w:rPr>
                    </w:pPr>
                    <w:r>
                      <w:t>0.00</w:t>
                    </w:r>
                  </w:p>
                </w:tc>
                <w:tc>
                  <w:tcPr>
                    <w:tcW w:w="839" w:type="pct"/>
                    <w:tcBorders>
                      <w:top w:val="single" w:sz="4" w:space="0" w:color="auto"/>
                      <w:left w:val="single" w:sz="4" w:space="0" w:color="auto"/>
                      <w:bottom w:val="single" w:sz="4" w:space="0" w:color="auto"/>
                      <w:right w:val="single" w:sz="4" w:space="0" w:color="auto"/>
                    </w:tcBorders>
                  </w:tcPr>
                  <w:p w14:paraId="5C7A9B03" w14:textId="77777777" w:rsidR="00C5658A" w:rsidRDefault="00C5658A" w:rsidP="00D76F84">
                    <w:pPr>
                      <w:autoSpaceDE w:val="0"/>
                      <w:autoSpaceDN w:val="0"/>
                      <w:adjustRightInd w:val="0"/>
                      <w:jc w:val="right"/>
                      <w:rPr>
                        <w:szCs w:val="21"/>
                      </w:rPr>
                    </w:pPr>
                    <w:r>
                      <w:t>0.00</w:t>
                    </w:r>
                  </w:p>
                </w:tc>
              </w:tr>
            </w:sdtContent>
          </w:sdt>
          <w:sdt>
            <w:sdtPr>
              <w:rPr>
                <w:rFonts w:hint="eastAsia"/>
                <w:szCs w:val="21"/>
              </w:rPr>
              <w:alias w:val="上市公司应收关联方款项明细"/>
              <w:tag w:val="_GBC_203fd12dc6be4a978fe2a9d9f5ad1070"/>
              <w:id w:val="851682013"/>
              <w:lock w:val="sdtLocked"/>
              <w:placeholder>
                <w:docPart w:val="9AD69D3097E34AACB99696021DA17334"/>
              </w:placeholder>
            </w:sdtPr>
            <w:sdtEndPr/>
            <w:sdtContent>
              <w:tr w:rsidR="00C5658A" w14:paraId="700178B4" w14:textId="77777777" w:rsidTr="00C5658A">
                <w:tc>
                  <w:tcPr>
                    <w:tcW w:w="812" w:type="pct"/>
                    <w:tcBorders>
                      <w:top w:val="single" w:sz="4" w:space="0" w:color="auto"/>
                      <w:left w:val="single" w:sz="4" w:space="0" w:color="auto"/>
                      <w:bottom w:val="single" w:sz="4" w:space="0" w:color="auto"/>
                      <w:right w:val="single" w:sz="4" w:space="0" w:color="auto"/>
                    </w:tcBorders>
                    <w:vAlign w:val="center"/>
                  </w:tcPr>
                  <w:p w14:paraId="2F58BB9D" w14:textId="77777777" w:rsidR="00C5658A" w:rsidRDefault="00C5658A" w:rsidP="00D76F84">
                    <w:pPr>
                      <w:autoSpaceDE w:val="0"/>
                      <w:autoSpaceDN w:val="0"/>
                      <w:adjustRightInd w:val="0"/>
                      <w:rPr>
                        <w:szCs w:val="21"/>
                      </w:rPr>
                    </w:pPr>
                    <w:r>
                      <w:t>预付账款</w:t>
                    </w:r>
                  </w:p>
                </w:tc>
                <w:tc>
                  <w:tcPr>
                    <w:tcW w:w="767" w:type="pct"/>
                    <w:tcBorders>
                      <w:top w:val="single" w:sz="4" w:space="0" w:color="auto"/>
                      <w:left w:val="single" w:sz="4" w:space="0" w:color="auto"/>
                      <w:bottom w:val="single" w:sz="4" w:space="0" w:color="auto"/>
                      <w:right w:val="single" w:sz="4" w:space="0" w:color="auto"/>
                    </w:tcBorders>
                  </w:tcPr>
                  <w:p w14:paraId="7A22539E" w14:textId="77777777" w:rsidR="00C5658A" w:rsidRDefault="00C5658A" w:rsidP="00D76F84">
                    <w:pPr>
                      <w:autoSpaceDE w:val="0"/>
                      <w:autoSpaceDN w:val="0"/>
                      <w:adjustRightInd w:val="0"/>
                      <w:rPr>
                        <w:szCs w:val="21"/>
                      </w:rPr>
                    </w:pPr>
                    <w:r>
                      <w:t>江苏天海特种装备有限公司</w:t>
                    </w:r>
                  </w:p>
                </w:tc>
                <w:tc>
                  <w:tcPr>
                    <w:tcW w:w="909" w:type="pct"/>
                    <w:tcBorders>
                      <w:top w:val="single" w:sz="4" w:space="0" w:color="auto"/>
                      <w:left w:val="single" w:sz="4" w:space="0" w:color="auto"/>
                      <w:bottom w:val="single" w:sz="4" w:space="0" w:color="auto"/>
                      <w:right w:val="single" w:sz="4" w:space="0" w:color="auto"/>
                    </w:tcBorders>
                  </w:tcPr>
                  <w:p w14:paraId="11EECF95" w14:textId="77777777" w:rsidR="00C5658A" w:rsidRDefault="00C5658A" w:rsidP="00D76F84">
                    <w:pPr>
                      <w:autoSpaceDE w:val="0"/>
                      <w:autoSpaceDN w:val="0"/>
                      <w:adjustRightInd w:val="0"/>
                      <w:jc w:val="right"/>
                      <w:rPr>
                        <w:szCs w:val="21"/>
                      </w:rPr>
                    </w:pPr>
                    <w:r>
                      <w:t>0.00</w:t>
                    </w:r>
                  </w:p>
                </w:tc>
                <w:tc>
                  <w:tcPr>
                    <w:tcW w:w="876" w:type="pct"/>
                    <w:tcBorders>
                      <w:top w:val="single" w:sz="4" w:space="0" w:color="auto"/>
                      <w:left w:val="single" w:sz="4" w:space="0" w:color="auto"/>
                      <w:bottom w:val="single" w:sz="4" w:space="0" w:color="auto"/>
                      <w:right w:val="single" w:sz="4" w:space="0" w:color="auto"/>
                    </w:tcBorders>
                  </w:tcPr>
                  <w:p w14:paraId="119E5249" w14:textId="77777777" w:rsidR="00C5658A" w:rsidRDefault="00C5658A" w:rsidP="00D76F84">
                    <w:pPr>
                      <w:autoSpaceDE w:val="0"/>
                      <w:autoSpaceDN w:val="0"/>
                      <w:adjustRightInd w:val="0"/>
                      <w:jc w:val="right"/>
                      <w:rPr>
                        <w:szCs w:val="21"/>
                      </w:rPr>
                    </w:pPr>
                    <w:r>
                      <w:t>0.00</w:t>
                    </w:r>
                  </w:p>
                </w:tc>
                <w:tc>
                  <w:tcPr>
                    <w:tcW w:w="797" w:type="pct"/>
                    <w:tcBorders>
                      <w:top w:val="single" w:sz="4" w:space="0" w:color="auto"/>
                      <w:left w:val="single" w:sz="4" w:space="0" w:color="auto"/>
                      <w:bottom w:val="single" w:sz="4" w:space="0" w:color="auto"/>
                      <w:right w:val="single" w:sz="4" w:space="0" w:color="auto"/>
                    </w:tcBorders>
                  </w:tcPr>
                  <w:p w14:paraId="01C7751E" w14:textId="77777777" w:rsidR="00C5658A" w:rsidRDefault="00C5658A" w:rsidP="00D76F84">
                    <w:pPr>
                      <w:autoSpaceDE w:val="0"/>
                      <w:autoSpaceDN w:val="0"/>
                      <w:adjustRightInd w:val="0"/>
                      <w:jc w:val="right"/>
                      <w:rPr>
                        <w:szCs w:val="21"/>
                      </w:rPr>
                    </w:pPr>
                    <w:r>
                      <w:t>1,519,122.52</w:t>
                    </w:r>
                  </w:p>
                </w:tc>
                <w:tc>
                  <w:tcPr>
                    <w:tcW w:w="839" w:type="pct"/>
                    <w:tcBorders>
                      <w:top w:val="single" w:sz="4" w:space="0" w:color="auto"/>
                      <w:left w:val="single" w:sz="4" w:space="0" w:color="auto"/>
                      <w:bottom w:val="single" w:sz="4" w:space="0" w:color="auto"/>
                      <w:right w:val="single" w:sz="4" w:space="0" w:color="auto"/>
                    </w:tcBorders>
                  </w:tcPr>
                  <w:p w14:paraId="5BE4B505" w14:textId="77777777" w:rsidR="00C5658A" w:rsidRDefault="00C5658A" w:rsidP="00D76F84">
                    <w:pPr>
                      <w:autoSpaceDE w:val="0"/>
                      <w:autoSpaceDN w:val="0"/>
                      <w:adjustRightInd w:val="0"/>
                      <w:jc w:val="right"/>
                      <w:rPr>
                        <w:szCs w:val="21"/>
                      </w:rPr>
                    </w:pPr>
                    <w:r>
                      <w:t>0.00</w:t>
                    </w:r>
                  </w:p>
                </w:tc>
              </w:tr>
            </w:sdtContent>
          </w:sdt>
          <w:sdt>
            <w:sdtPr>
              <w:rPr>
                <w:rFonts w:hint="eastAsia"/>
                <w:szCs w:val="21"/>
              </w:rPr>
              <w:alias w:val="上市公司应收关联方款项明细"/>
              <w:tag w:val="_GBC_203fd12dc6be4a978fe2a9d9f5ad1070"/>
              <w:id w:val="1711149585"/>
              <w:lock w:val="sdtLocked"/>
              <w:placeholder>
                <w:docPart w:val="9AD69D3097E34AACB99696021DA17334"/>
              </w:placeholder>
            </w:sdtPr>
            <w:sdtEndPr/>
            <w:sdtContent>
              <w:tr w:rsidR="00C5658A" w14:paraId="75DBE8FC" w14:textId="77777777" w:rsidTr="00C5658A">
                <w:tc>
                  <w:tcPr>
                    <w:tcW w:w="812" w:type="pct"/>
                    <w:tcBorders>
                      <w:top w:val="single" w:sz="4" w:space="0" w:color="auto"/>
                      <w:left w:val="single" w:sz="4" w:space="0" w:color="auto"/>
                      <w:bottom w:val="single" w:sz="4" w:space="0" w:color="auto"/>
                      <w:right w:val="single" w:sz="4" w:space="0" w:color="auto"/>
                    </w:tcBorders>
                    <w:vAlign w:val="center"/>
                  </w:tcPr>
                  <w:p w14:paraId="038073DA" w14:textId="77777777" w:rsidR="00C5658A" w:rsidRDefault="00C5658A" w:rsidP="00D76F84">
                    <w:pPr>
                      <w:autoSpaceDE w:val="0"/>
                      <w:autoSpaceDN w:val="0"/>
                      <w:adjustRightInd w:val="0"/>
                      <w:rPr>
                        <w:szCs w:val="21"/>
                      </w:rPr>
                    </w:pPr>
                    <w:r>
                      <w:t>预付账款</w:t>
                    </w:r>
                  </w:p>
                </w:tc>
                <w:tc>
                  <w:tcPr>
                    <w:tcW w:w="767" w:type="pct"/>
                    <w:tcBorders>
                      <w:top w:val="single" w:sz="4" w:space="0" w:color="auto"/>
                      <w:left w:val="single" w:sz="4" w:space="0" w:color="auto"/>
                      <w:bottom w:val="single" w:sz="4" w:space="0" w:color="auto"/>
                      <w:right w:val="single" w:sz="4" w:space="0" w:color="auto"/>
                    </w:tcBorders>
                  </w:tcPr>
                  <w:p w14:paraId="71E91961" w14:textId="77777777" w:rsidR="00C5658A" w:rsidRDefault="00C5658A" w:rsidP="00D76F84">
                    <w:pPr>
                      <w:autoSpaceDE w:val="0"/>
                      <w:autoSpaceDN w:val="0"/>
                      <w:adjustRightInd w:val="0"/>
                      <w:rPr>
                        <w:szCs w:val="21"/>
                      </w:rPr>
                    </w:pPr>
                    <w:r>
                      <w:t>北京京城机电控股有限责任公司</w:t>
                    </w:r>
                  </w:p>
                </w:tc>
                <w:tc>
                  <w:tcPr>
                    <w:tcW w:w="909" w:type="pct"/>
                    <w:tcBorders>
                      <w:top w:val="single" w:sz="4" w:space="0" w:color="auto"/>
                      <w:left w:val="single" w:sz="4" w:space="0" w:color="auto"/>
                      <w:bottom w:val="single" w:sz="4" w:space="0" w:color="auto"/>
                      <w:right w:val="single" w:sz="4" w:space="0" w:color="auto"/>
                    </w:tcBorders>
                  </w:tcPr>
                  <w:p w14:paraId="167F9E5E" w14:textId="77777777" w:rsidR="00C5658A" w:rsidRDefault="00C5658A" w:rsidP="00D76F84">
                    <w:pPr>
                      <w:autoSpaceDE w:val="0"/>
                      <w:autoSpaceDN w:val="0"/>
                      <w:adjustRightInd w:val="0"/>
                      <w:jc w:val="right"/>
                      <w:rPr>
                        <w:szCs w:val="21"/>
                      </w:rPr>
                    </w:pPr>
                    <w:r>
                      <w:t>0.00</w:t>
                    </w:r>
                  </w:p>
                </w:tc>
                <w:tc>
                  <w:tcPr>
                    <w:tcW w:w="876" w:type="pct"/>
                    <w:tcBorders>
                      <w:top w:val="single" w:sz="4" w:space="0" w:color="auto"/>
                      <w:left w:val="single" w:sz="4" w:space="0" w:color="auto"/>
                      <w:bottom w:val="single" w:sz="4" w:space="0" w:color="auto"/>
                      <w:right w:val="single" w:sz="4" w:space="0" w:color="auto"/>
                    </w:tcBorders>
                  </w:tcPr>
                  <w:p w14:paraId="38EB4701" w14:textId="77777777" w:rsidR="00C5658A" w:rsidRDefault="00C5658A" w:rsidP="00D76F84">
                    <w:pPr>
                      <w:autoSpaceDE w:val="0"/>
                      <w:autoSpaceDN w:val="0"/>
                      <w:adjustRightInd w:val="0"/>
                      <w:jc w:val="right"/>
                      <w:rPr>
                        <w:szCs w:val="21"/>
                      </w:rPr>
                    </w:pPr>
                    <w:r>
                      <w:t>0.00</w:t>
                    </w:r>
                  </w:p>
                </w:tc>
                <w:tc>
                  <w:tcPr>
                    <w:tcW w:w="797" w:type="pct"/>
                    <w:tcBorders>
                      <w:top w:val="single" w:sz="4" w:space="0" w:color="auto"/>
                      <w:left w:val="single" w:sz="4" w:space="0" w:color="auto"/>
                      <w:bottom w:val="single" w:sz="4" w:space="0" w:color="auto"/>
                      <w:right w:val="single" w:sz="4" w:space="0" w:color="auto"/>
                    </w:tcBorders>
                  </w:tcPr>
                  <w:p w14:paraId="350FB673" w14:textId="77777777" w:rsidR="00C5658A" w:rsidRDefault="00C5658A" w:rsidP="00D76F84">
                    <w:pPr>
                      <w:autoSpaceDE w:val="0"/>
                      <w:autoSpaceDN w:val="0"/>
                      <w:adjustRightInd w:val="0"/>
                      <w:jc w:val="right"/>
                      <w:rPr>
                        <w:szCs w:val="21"/>
                      </w:rPr>
                    </w:pPr>
                    <w:r>
                      <w:t>273,750.00</w:t>
                    </w:r>
                  </w:p>
                </w:tc>
                <w:tc>
                  <w:tcPr>
                    <w:tcW w:w="839" w:type="pct"/>
                    <w:tcBorders>
                      <w:top w:val="single" w:sz="4" w:space="0" w:color="auto"/>
                      <w:left w:val="single" w:sz="4" w:space="0" w:color="auto"/>
                      <w:bottom w:val="single" w:sz="4" w:space="0" w:color="auto"/>
                      <w:right w:val="single" w:sz="4" w:space="0" w:color="auto"/>
                    </w:tcBorders>
                  </w:tcPr>
                  <w:p w14:paraId="36D71F63" w14:textId="77777777" w:rsidR="00C5658A" w:rsidRDefault="00C5658A" w:rsidP="00D76F84">
                    <w:pPr>
                      <w:autoSpaceDE w:val="0"/>
                      <w:autoSpaceDN w:val="0"/>
                      <w:adjustRightInd w:val="0"/>
                      <w:jc w:val="right"/>
                      <w:rPr>
                        <w:szCs w:val="21"/>
                      </w:rPr>
                    </w:pPr>
                    <w:r>
                      <w:t>0.00</w:t>
                    </w:r>
                  </w:p>
                </w:tc>
              </w:tr>
            </w:sdtContent>
          </w:sdt>
        </w:tbl>
        <w:p w14:paraId="10860B74" w14:textId="77777777" w:rsidR="00C5658A" w:rsidRDefault="00C5658A"/>
        <w:p w14:paraId="1CCCEBE4" w14:textId="0BAF7E1A" w:rsidR="00471D53" w:rsidRDefault="00B664AF" w:rsidP="00C5658A">
          <w:pPr>
            <w:pStyle w:val="afffff8"/>
            <w:tabs>
              <w:tab w:val="left" w:pos="616"/>
            </w:tabs>
            <w:rPr>
              <w:szCs w:val="21"/>
            </w:rPr>
          </w:pPr>
        </w:p>
      </w:sdtContent>
    </w:sdt>
    <w:bookmarkEnd w:id="240" w:displacedByCustomXml="prev"/>
    <w:bookmarkStart w:id="241" w:name="_Hlk79428291" w:displacedByCustomXml="next"/>
    <w:bookmarkStart w:id="242" w:name="_Hlk79428300" w:displacedByCustomXml="next"/>
    <w:sdt>
      <w:sdtPr>
        <w:rPr>
          <w:rFonts w:ascii="宋体" w:hAnsi="宋体" w:cs="宋体" w:hint="eastAsia"/>
          <w:b w:val="0"/>
          <w:bCs w:val="0"/>
          <w:kern w:val="0"/>
          <w:szCs w:val="24"/>
        </w:rPr>
        <w:alias w:val="模块:上市公司应付关联方款项"/>
        <w:tag w:val="_GBC_e7a5511f50dd4f05a897cdfaeac4023f"/>
        <w:id w:val="-517164110"/>
        <w:lock w:val="sdtLocked"/>
        <w:placeholder>
          <w:docPart w:val="GBC22222222222222222222222222222"/>
        </w:placeholder>
      </w:sdtPr>
      <w:sdtEndPr>
        <w:rPr>
          <w:rFonts w:ascii="Cambria" w:hAnsi="Cambria" w:cstheme="minorBidi"/>
          <w:b/>
          <w:bCs/>
          <w:kern w:val="2"/>
          <w:szCs w:val="21"/>
        </w:rPr>
      </w:sdtEndPr>
      <w:sdtContent>
        <w:bookmarkEnd w:id="241" w:displacedByCustomXml="prev"/>
        <w:p w14:paraId="686F9034" w14:textId="77777777" w:rsidR="00C5658A" w:rsidRDefault="00C5658A" w:rsidP="00C5658A">
          <w:pPr>
            <w:pStyle w:val="4"/>
            <w:numPr>
              <w:ilvl w:val="0"/>
              <w:numId w:val="103"/>
            </w:numPr>
            <w:tabs>
              <w:tab w:val="left" w:pos="616"/>
            </w:tabs>
            <w:rPr>
              <w:rFonts w:ascii="宋体" w:hAnsi="宋体"/>
            </w:rPr>
          </w:pPr>
          <w:r>
            <w:rPr>
              <w:rFonts w:ascii="宋体" w:hAnsi="宋体" w:hint="eastAsia"/>
            </w:rPr>
            <w:t>应付项目</w:t>
          </w:r>
        </w:p>
        <w:p w14:paraId="1AFC03B8" w14:textId="77777777" w:rsidR="00C5658A" w:rsidRDefault="00B664AF">
          <w:sdt>
            <w:sdtPr>
              <w:rPr>
                <w:rFonts w:hint="eastAsia"/>
                <w:szCs w:val="21"/>
              </w:rPr>
              <w:alias w:val="是否适用：应付项目[双击切换]"/>
              <w:tag w:val="_GBC_9dbefb51b716471b878d2e2863524a53"/>
              <w:id w:val="-733623323"/>
              <w:lock w:val="sdtLocked"/>
            </w:sdtPr>
            <w:sdtEndPr/>
            <w:sdtContent>
              <w:r w:rsidR="00C5658A">
                <w:rPr>
                  <w:rFonts w:hint="eastAsia"/>
                  <w:szCs w:val="21"/>
                </w:rPr>
                <w:fldChar w:fldCharType="begin"/>
              </w:r>
              <w:r w:rsidR="00C5658A">
                <w:rPr>
                  <w:rFonts w:hint="eastAsia"/>
                  <w:szCs w:val="21"/>
                </w:rPr>
                <w:instrText xml:space="preserve"> MACROBUTTON SnrToggleCheckbox √适用 </w:instrText>
              </w:r>
              <w:r w:rsidR="00C5658A">
                <w:rPr>
                  <w:rFonts w:hint="eastAsia"/>
                  <w:szCs w:val="21"/>
                </w:rPr>
                <w:fldChar w:fldCharType="end"/>
              </w:r>
              <w:r w:rsidR="00C5658A">
                <w:rPr>
                  <w:rFonts w:hint="eastAsia"/>
                  <w:szCs w:val="21"/>
                </w:rPr>
                <w:fldChar w:fldCharType="begin"/>
              </w:r>
              <w:r w:rsidR="00C5658A">
                <w:rPr>
                  <w:rFonts w:hint="eastAsia"/>
                  <w:szCs w:val="21"/>
                </w:rPr>
                <w:instrText xml:space="preserve">MACROBUTTON  SnrToggleCheckbox □不适用 </w:instrText>
              </w:r>
              <w:r w:rsidR="00C5658A">
                <w:rPr>
                  <w:rFonts w:hint="eastAsia"/>
                  <w:szCs w:val="21"/>
                </w:rPr>
                <w:fldChar w:fldCharType="end"/>
              </w:r>
            </w:sdtContent>
          </w:sdt>
        </w:p>
        <w:p w14:paraId="512761BD" w14:textId="77777777" w:rsidR="00C5658A" w:rsidRDefault="00C5658A">
          <w:pPr>
            <w:jc w:val="right"/>
            <w:rPr>
              <w:szCs w:val="21"/>
            </w:rPr>
          </w:pPr>
          <w:r>
            <w:rPr>
              <w:rFonts w:hint="eastAsia"/>
              <w:szCs w:val="21"/>
            </w:rPr>
            <w:t>单位：</w:t>
          </w:r>
          <w:sdt>
            <w:sdtPr>
              <w:rPr>
                <w:rFonts w:hint="eastAsia"/>
                <w:szCs w:val="21"/>
              </w:rPr>
              <w:alias w:val="单位：上市公司应付关联方款项"/>
              <w:tag w:val="_GBC_08d04faee6a64768877db8f6ab14663e"/>
              <w:id w:val="307299863"/>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上市公司应付关联方款项"/>
              <w:tag w:val="_GBC_124ea57c07fc4e23931a125a103e711c"/>
              <w:id w:val="-119540387"/>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110"/>
            <w:gridCol w:w="2031"/>
            <w:gridCol w:w="2033"/>
            <w:gridCol w:w="2649"/>
          </w:tblGrid>
          <w:tr w:rsidR="00C5658A" w14:paraId="0FE2D3AD" w14:textId="77777777" w:rsidTr="00FF5C69">
            <w:sdt>
              <w:sdtPr>
                <w:tag w:val="_PLD_cf838d28f8e94c899328f1b9cd175b08"/>
                <w:id w:val="304677604"/>
                <w:lock w:val="sdtLocked"/>
              </w:sdtPr>
              <w:sdtEndPr/>
              <w:sdtContent>
                <w:tc>
                  <w:tcPr>
                    <w:tcW w:w="1196" w:type="pct"/>
                    <w:tcBorders>
                      <w:top w:val="single" w:sz="4" w:space="0" w:color="auto"/>
                      <w:left w:val="single" w:sz="4" w:space="0" w:color="auto"/>
                      <w:right w:val="single" w:sz="4" w:space="0" w:color="auto"/>
                    </w:tcBorders>
                  </w:tcPr>
                  <w:p w14:paraId="09BAE113" w14:textId="77777777" w:rsidR="00C5658A" w:rsidRDefault="00C5658A" w:rsidP="00FF5C69">
                    <w:pPr>
                      <w:jc w:val="center"/>
                      <w:rPr>
                        <w:szCs w:val="21"/>
                      </w:rPr>
                    </w:pPr>
                    <w:r>
                      <w:rPr>
                        <w:rFonts w:hint="eastAsia"/>
                        <w:szCs w:val="21"/>
                      </w:rPr>
                      <w:t>项目名称</w:t>
                    </w:r>
                  </w:p>
                </w:tc>
              </w:sdtContent>
            </w:sdt>
            <w:sdt>
              <w:sdtPr>
                <w:tag w:val="_PLD_25173a15407f4af6adbf91389dcc2257"/>
                <w:id w:val="580417406"/>
                <w:lock w:val="sdtLocked"/>
              </w:sdtPr>
              <w:sdtEndPr/>
              <w:sdtContent>
                <w:tc>
                  <w:tcPr>
                    <w:tcW w:w="1151" w:type="pct"/>
                    <w:tcBorders>
                      <w:top w:val="single" w:sz="4" w:space="0" w:color="auto"/>
                      <w:left w:val="single" w:sz="4" w:space="0" w:color="auto"/>
                      <w:right w:val="single" w:sz="4" w:space="0" w:color="auto"/>
                    </w:tcBorders>
                  </w:tcPr>
                  <w:p w14:paraId="61593DFD" w14:textId="77777777" w:rsidR="00C5658A" w:rsidRDefault="00C5658A" w:rsidP="00FF5C69">
                    <w:pPr>
                      <w:jc w:val="center"/>
                      <w:rPr>
                        <w:szCs w:val="21"/>
                      </w:rPr>
                    </w:pPr>
                    <w:r>
                      <w:rPr>
                        <w:rFonts w:hint="eastAsia"/>
                        <w:szCs w:val="21"/>
                      </w:rPr>
                      <w:t>关联方</w:t>
                    </w:r>
                  </w:p>
                </w:tc>
              </w:sdtContent>
            </w:sdt>
            <w:sdt>
              <w:sdtPr>
                <w:tag w:val="_PLD_a8551739db0f47cab1b1a6ea0e700367"/>
                <w:id w:val="1792937364"/>
                <w:lock w:val="sdtLocked"/>
              </w:sdtPr>
              <w:sdtEndPr/>
              <w:sdtContent>
                <w:tc>
                  <w:tcPr>
                    <w:tcW w:w="1152" w:type="pct"/>
                    <w:tcBorders>
                      <w:top w:val="single" w:sz="4" w:space="0" w:color="auto"/>
                      <w:left w:val="single" w:sz="4" w:space="0" w:color="auto"/>
                      <w:bottom w:val="single" w:sz="4" w:space="0" w:color="auto"/>
                      <w:right w:val="single" w:sz="4" w:space="0" w:color="auto"/>
                    </w:tcBorders>
                  </w:tcPr>
                  <w:p w14:paraId="37ABF392" w14:textId="77777777" w:rsidR="00C5658A" w:rsidRDefault="00C5658A" w:rsidP="00FF5C69">
                    <w:pPr>
                      <w:jc w:val="center"/>
                      <w:rPr>
                        <w:szCs w:val="21"/>
                      </w:rPr>
                    </w:pPr>
                    <w:r>
                      <w:rPr>
                        <w:rFonts w:hint="eastAsia"/>
                        <w:szCs w:val="21"/>
                      </w:rPr>
                      <w:t>期末账面余额</w:t>
                    </w:r>
                  </w:p>
                </w:tc>
              </w:sdtContent>
            </w:sdt>
            <w:sdt>
              <w:sdtPr>
                <w:tag w:val="_PLD_83bc027cb7f1401db7a26beffe77ce00"/>
                <w:id w:val="986358339"/>
                <w:lock w:val="sdtLocked"/>
              </w:sdtPr>
              <w:sdtEndPr/>
              <w:sdtContent>
                <w:tc>
                  <w:tcPr>
                    <w:tcW w:w="1501" w:type="pct"/>
                    <w:tcBorders>
                      <w:top w:val="single" w:sz="4" w:space="0" w:color="auto"/>
                      <w:left w:val="single" w:sz="4" w:space="0" w:color="auto"/>
                      <w:bottom w:val="single" w:sz="4" w:space="0" w:color="auto"/>
                      <w:right w:val="single" w:sz="4" w:space="0" w:color="auto"/>
                    </w:tcBorders>
                  </w:tcPr>
                  <w:p w14:paraId="5AABE7A7" w14:textId="77777777" w:rsidR="00C5658A" w:rsidRDefault="00C5658A" w:rsidP="00FF5C69">
                    <w:pPr>
                      <w:jc w:val="center"/>
                      <w:rPr>
                        <w:szCs w:val="21"/>
                      </w:rPr>
                    </w:pPr>
                    <w:r>
                      <w:rPr>
                        <w:rFonts w:hint="eastAsia"/>
                        <w:szCs w:val="21"/>
                      </w:rPr>
                      <w:t>期初账面余额</w:t>
                    </w:r>
                  </w:p>
                </w:tc>
              </w:sdtContent>
            </w:sdt>
          </w:tr>
          <w:sdt>
            <w:sdtPr>
              <w:rPr>
                <w:rFonts w:hint="eastAsia"/>
                <w:szCs w:val="21"/>
              </w:rPr>
              <w:alias w:val="上市公司应付关联方款项明细"/>
              <w:tag w:val="_GBC_bb3d19486f2b460b856a135056bd0897"/>
              <w:id w:val="872801211"/>
              <w:lock w:val="sdtLocked"/>
              <w:placeholder>
                <w:docPart w:val="D611CADFD00C4C4C927E3171764D8985"/>
              </w:placeholder>
            </w:sdtPr>
            <w:sdtEndPr/>
            <w:sdtContent>
              <w:tr w:rsidR="00C5658A" w14:paraId="47AC5128" w14:textId="77777777" w:rsidTr="00FF5C69">
                <w:tc>
                  <w:tcPr>
                    <w:tcW w:w="1196" w:type="pct"/>
                    <w:tcBorders>
                      <w:top w:val="single" w:sz="4" w:space="0" w:color="auto"/>
                      <w:left w:val="single" w:sz="4" w:space="0" w:color="auto"/>
                      <w:bottom w:val="single" w:sz="4" w:space="0" w:color="auto"/>
                      <w:right w:val="single" w:sz="4" w:space="0" w:color="auto"/>
                    </w:tcBorders>
                    <w:vAlign w:val="center"/>
                  </w:tcPr>
                  <w:p w14:paraId="0BDF5DCE" w14:textId="77777777" w:rsidR="00C5658A" w:rsidRDefault="00C5658A" w:rsidP="00FF5C69">
                    <w:pPr>
                      <w:autoSpaceDE w:val="0"/>
                      <w:autoSpaceDN w:val="0"/>
                      <w:adjustRightInd w:val="0"/>
                      <w:rPr>
                        <w:szCs w:val="21"/>
                      </w:rPr>
                    </w:pPr>
                    <w:r>
                      <w:t>应付账款</w:t>
                    </w:r>
                  </w:p>
                </w:tc>
                <w:tc>
                  <w:tcPr>
                    <w:tcW w:w="1151" w:type="pct"/>
                    <w:tcBorders>
                      <w:top w:val="single" w:sz="4" w:space="0" w:color="auto"/>
                      <w:left w:val="single" w:sz="4" w:space="0" w:color="auto"/>
                      <w:bottom w:val="single" w:sz="4" w:space="0" w:color="auto"/>
                      <w:right w:val="single" w:sz="4" w:space="0" w:color="auto"/>
                    </w:tcBorders>
                  </w:tcPr>
                  <w:p w14:paraId="131E6608" w14:textId="77777777" w:rsidR="00C5658A" w:rsidRDefault="00C5658A" w:rsidP="00FF5C69">
                    <w:pPr>
                      <w:autoSpaceDE w:val="0"/>
                      <w:autoSpaceDN w:val="0"/>
                      <w:adjustRightInd w:val="0"/>
                      <w:rPr>
                        <w:szCs w:val="21"/>
                      </w:rPr>
                    </w:pPr>
                    <w:r>
                      <w:t>北京京城工业物流有限公司</w:t>
                    </w:r>
                  </w:p>
                </w:tc>
                <w:tc>
                  <w:tcPr>
                    <w:tcW w:w="1152" w:type="pct"/>
                    <w:tcBorders>
                      <w:top w:val="single" w:sz="4" w:space="0" w:color="auto"/>
                      <w:left w:val="single" w:sz="4" w:space="0" w:color="auto"/>
                      <w:bottom w:val="single" w:sz="4" w:space="0" w:color="auto"/>
                      <w:right w:val="single" w:sz="4" w:space="0" w:color="auto"/>
                    </w:tcBorders>
                  </w:tcPr>
                  <w:p w14:paraId="103CEB3E" w14:textId="77777777" w:rsidR="00C5658A" w:rsidRDefault="00C5658A" w:rsidP="00FF5C69">
                    <w:pPr>
                      <w:autoSpaceDE w:val="0"/>
                      <w:autoSpaceDN w:val="0"/>
                      <w:adjustRightInd w:val="0"/>
                      <w:jc w:val="right"/>
                      <w:rPr>
                        <w:szCs w:val="21"/>
                      </w:rPr>
                    </w:pPr>
                    <w:r>
                      <w:t>902,227.27</w:t>
                    </w:r>
                  </w:p>
                </w:tc>
                <w:tc>
                  <w:tcPr>
                    <w:tcW w:w="1501" w:type="pct"/>
                    <w:tcBorders>
                      <w:top w:val="single" w:sz="4" w:space="0" w:color="auto"/>
                      <w:left w:val="single" w:sz="4" w:space="0" w:color="auto"/>
                      <w:bottom w:val="single" w:sz="4" w:space="0" w:color="auto"/>
                      <w:right w:val="single" w:sz="4" w:space="0" w:color="auto"/>
                    </w:tcBorders>
                  </w:tcPr>
                  <w:p w14:paraId="0C19750E" w14:textId="77777777" w:rsidR="00C5658A" w:rsidRDefault="00C5658A" w:rsidP="00FF5C69">
                    <w:pPr>
                      <w:autoSpaceDE w:val="0"/>
                      <w:autoSpaceDN w:val="0"/>
                      <w:adjustRightInd w:val="0"/>
                      <w:jc w:val="right"/>
                      <w:rPr>
                        <w:szCs w:val="21"/>
                      </w:rPr>
                    </w:pPr>
                    <w:r>
                      <w:t>902,227.27</w:t>
                    </w:r>
                  </w:p>
                </w:tc>
              </w:tr>
            </w:sdtContent>
          </w:sdt>
          <w:sdt>
            <w:sdtPr>
              <w:rPr>
                <w:rFonts w:hint="eastAsia"/>
                <w:szCs w:val="21"/>
              </w:rPr>
              <w:alias w:val="上市公司应付关联方款项明细"/>
              <w:tag w:val="_GBC_bb3d19486f2b460b856a135056bd0897"/>
              <w:id w:val="-669024814"/>
              <w:lock w:val="sdtLocked"/>
              <w:placeholder>
                <w:docPart w:val="D611CADFD00C4C4C927E3171764D8985"/>
              </w:placeholder>
            </w:sdtPr>
            <w:sdtEndPr/>
            <w:sdtContent>
              <w:tr w:rsidR="00C5658A" w14:paraId="1BE20ED4" w14:textId="77777777" w:rsidTr="00FF5C69">
                <w:tc>
                  <w:tcPr>
                    <w:tcW w:w="1196" w:type="pct"/>
                    <w:tcBorders>
                      <w:top w:val="single" w:sz="4" w:space="0" w:color="auto"/>
                      <w:left w:val="single" w:sz="4" w:space="0" w:color="auto"/>
                      <w:bottom w:val="single" w:sz="4" w:space="0" w:color="auto"/>
                      <w:right w:val="single" w:sz="4" w:space="0" w:color="auto"/>
                    </w:tcBorders>
                    <w:vAlign w:val="center"/>
                  </w:tcPr>
                  <w:p w14:paraId="38B258C7" w14:textId="77777777" w:rsidR="00C5658A" w:rsidRDefault="00C5658A" w:rsidP="00FF5C69">
                    <w:pPr>
                      <w:autoSpaceDE w:val="0"/>
                      <w:autoSpaceDN w:val="0"/>
                      <w:adjustRightInd w:val="0"/>
                      <w:rPr>
                        <w:szCs w:val="21"/>
                      </w:rPr>
                    </w:pPr>
                    <w:r>
                      <w:t>应付账款</w:t>
                    </w:r>
                  </w:p>
                </w:tc>
                <w:tc>
                  <w:tcPr>
                    <w:tcW w:w="1151" w:type="pct"/>
                    <w:tcBorders>
                      <w:top w:val="single" w:sz="4" w:space="0" w:color="auto"/>
                      <w:left w:val="single" w:sz="4" w:space="0" w:color="auto"/>
                      <w:bottom w:val="single" w:sz="4" w:space="0" w:color="auto"/>
                      <w:right w:val="single" w:sz="4" w:space="0" w:color="auto"/>
                    </w:tcBorders>
                  </w:tcPr>
                  <w:p w14:paraId="2D049DB1" w14:textId="77777777" w:rsidR="00C5658A" w:rsidRDefault="00C5658A" w:rsidP="00FF5C69">
                    <w:pPr>
                      <w:autoSpaceDE w:val="0"/>
                      <w:autoSpaceDN w:val="0"/>
                      <w:adjustRightInd w:val="0"/>
                      <w:rPr>
                        <w:szCs w:val="21"/>
                      </w:rPr>
                    </w:pPr>
                    <w:r>
                      <w:t>江苏天海特种装备有限公司</w:t>
                    </w:r>
                  </w:p>
                </w:tc>
                <w:tc>
                  <w:tcPr>
                    <w:tcW w:w="1152" w:type="pct"/>
                    <w:tcBorders>
                      <w:top w:val="single" w:sz="4" w:space="0" w:color="auto"/>
                      <w:left w:val="single" w:sz="4" w:space="0" w:color="auto"/>
                      <w:bottom w:val="single" w:sz="4" w:space="0" w:color="auto"/>
                      <w:right w:val="single" w:sz="4" w:space="0" w:color="auto"/>
                    </w:tcBorders>
                  </w:tcPr>
                  <w:p w14:paraId="25224926" w14:textId="77777777" w:rsidR="00C5658A" w:rsidRDefault="00C5658A" w:rsidP="00FF5C69">
                    <w:pPr>
                      <w:autoSpaceDE w:val="0"/>
                      <w:autoSpaceDN w:val="0"/>
                      <w:adjustRightInd w:val="0"/>
                      <w:jc w:val="right"/>
                      <w:rPr>
                        <w:szCs w:val="21"/>
                      </w:rPr>
                    </w:pPr>
                    <w:r>
                      <w:t>4,934,656.77</w:t>
                    </w:r>
                  </w:p>
                </w:tc>
                <w:tc>
                  <w:tcPr>
                    <w:tcW w:w="1501" w:type="pct"/>
                    <w:tcBorders>
                      <w:top w:val="single" w:sz="4" w:space="0" w:color="auto"/>
                      <w:left w:val="single" w:sz="4" w:space="0" w:color="auto"/>
                      <w:bottom w:val="single" w:sz="4" w:space="0" w:color="auto"/>
                      <w:right w:val="single" w:sz="4" w:space="0" w:color="auto"/>
                    </w:tcBorders>
                  </w:tcPr>
                  <w:p w14:paraId="2F5CF2F9" w14:textId="77777777" w:rsidR="00C5658A" w:rsidRDefault="00C5658A" w:rsidP="00FF5C69">
                    <w:pPr>
                      <w:autoSpaceDE w:val="0"/>
                      <w:autoSpaceDN w:val="0"/>
                      <w:adjustRightInd w:val="0"/>
                      <w:jc w:val="right"/>
                      <w:rPr>
                        <w:szCs w:val="21"/>
                      </w:rPr>
                    </w:pPr>
                    <w:r>
                      <w:t>4,879,030.65</w:t>
                    </w:r>
                  </w:p>
                </w:tc>
              </w:tr>
            </w:sdtContent>
          </w:sdt>
          <w:sdt>
            <w:sdtPr>
              <w:rPr>
                <w:rFonts w:hint="eastAsia"/>
                <w:szCs w:val="21"/>
              </w:rPr>
              <w:alias w:val="上市公司应付关联方款项明细"/>
              <w:tag w:val="_GBC_bb3d19486f2b460b856a135056bd0897"/>
              <w:id w:val="-1305545423"/>
              <w:lock w:val="sdtLocked"/>
              <w:placeholder>
                <w:docPart w:val="771E34BCC1394A20BE1174FE796E9E06"/>
              </w:placeholder>
            </w:sdtPr>
            <w:sdtEndPr/>
            <w:sdtContent>
              <w:tr w:rsidR="00C5658A" w14:paraId="270F7B32" w14:textId="77777777" w:rsidTr="00FF5C69">
                <w:tc>
                  <w:tcPr>
                    <w:tcW w:w="1196" w:type="pct"/>
                    <w:tcBorders>
                      <w:top w:val="single" w:sz="4" w:space="0" w:color="auto"/>
                      <w:left w:val="single" w:sz="4" w:space="0" w:color="auto"/>
                      <w:bottom w:val="single" w:sz="4" w:space="0" w:color="auto"/>
                      <w:right w:val="single" w:sz="4" w:space="0" w:color="auto"/>
                    </w:tcBorders>
                    <w:vAlign w:val="center"/>
                  </w:tcPr>
                  <w:p w14:paraId="4A5FA2B9" w14:textId="77777777" w:rsidR="00C5658A" w:rsidRDefault="00C5658A" w:rsidP="00FF5C69">
                    <w:pPr>
                      <w:autoSpaceDE w:val="0"/>
                      <w:autoSpaceDN w:val="0"/>
                      <w:adjustRightInd w:val="0"/>
                      <w:rPr>
                        <w:szCs w:val="21"/>
                      </w:rPr>
                    </w:pPr>
                    <w:r>
                      <w:t>应付账款</w:t>
                    </w:r>
                  </w:p>
                </w:tc>
                <w:tc>
                  <w:tcPr>
                    <w:tcW w:w="1151" w:type="pct"/>
                    <w:tcBorders>
                      <w:top w:val="single" w:sz="4" w:space="0" w:color="auto"/>
                      <w:left w:val="single" w:sz="4" w:space="0" w:color="auto"/>
                      <w:bottom w:val="single" w:sz="4" w:space="0" w:color="auto"/>
                      <w:right w:val="single" w:sz="4" w:space="0" w:color="auto"/>
                    </w:tcBorders>
                  </w:tcPr>
                  <w:p w14:paraId="51F26687" w14:textId="77777777" w:rsidR="00C5658A" w:rsidRDefault="00C5658A" w:rsidP="00FF5C69">
                    <w:pPr>
                      <w:autoSpaceDE w:val="0"/>
                      <w:autoSpaceDN w:val="0"/>
                      <w:adjustRightInd w:val="0"/>
                      <w:rPr>
                        <w:szCs w:val="21"/>
                      </w:rPr>
                    </w:pPr>
                    <w:r>
                      <w:t>天津大无缝投资有限公司</w:t>
                    </w:r>
                  </w:p>
                </w:tc>
                <w:tc>
                  <w:tcPr>
                    <w:tcW w:w="1152" w:type="pct"/>
                    <w:tcBorders>
                      <w:top w:val="single" w:sz="4" w:space="0" w:color="auto"/>
                      <w:left w:val="single" w:sz="4" w:space="0" w:color="auto"/>
                      <w:bottom w:val="single" w:sz="4" w:space="0" w:color="auto"/>
                      <w:right w:val="single" w:sz="4" w:space="0" w:color="auto"/>
                    </w:tcBorders>
                  </w:tcPr>
                  <w:p w14:paraId="5B542248" w14:textId="77777777" w:rsidR="00C5658A" w:rsidRDefault="00C5658A" w:rsidP="00FF5C69">
                    <w:pPr>
                      <w:autoSpaceDE w:val="0"/>
                      <w:autoSpaceDN w:val="0"/>
                      <w:adjustRightInd w:val="0"/>
                      <w:jc w:val="right"/>
                      <w:rPr>
                        <w:szCs w:val="21"/>
                      </w:rPr>
                    </w:pPr>
                    <w:r>
                      <w:t>2,925,832.73</w:t>
                    </w:r>
                  </w:p>
                </w:tc>
                <w:tc>
                  <w:tcPr>
                    <w:tcW w:w="1501" w:type="pct"/>
                    <w:tcBorders>
                      <w:top w:val="single" w:sz="4" w:space="0" w:color="auto"/>
                      <w:left w:val="single" w:sz="4" w:space="0" w:color="auto"/>
                      <w:bottom w:val="single" w:sz="4" w:space="0" w:color="auto"/>
                      <w:right w:val="single" w:sz="4" w:space="0" w:color="auto"/>
                    </w:tcBorders>
                  </w:tcPr>
                  <w:p w14:paraId="45B40ACF" w14:textId="77777777" w:rsidR="00C5658A" w:rsidRDefault="00C5658A" w:rsidP="00FF5C69">
                    <w:pPr>
                      <w:autoSpaceDE w:val="0"/>
                      <w:autoSpaceDN w:val="0"/>
                      <w:adjustRightInd w:val="0"/>
                      <w:jc w:val="right"/>
                      <w:rPr>
                        <w:szCs w:val="21"/>
                      </w:rPr>
                    </w:pPr>
                    <w:r>
                      <w:t>2,590,165.89</w:t>
                    </w:r>
                  </w:p>
                </w:tc>
              </w:tr>
            </w:sdtContent>
          </w:sdt>
          <w:sdt>
            <w:sdtPr>
              <w:rPr>
                <w:rFonts w:hint="eastAsia"/>
                <w:szCs w:val="21"/>
              </w:rPr>
              <w:alias w:val="上市公司应付关联方款项明细"/>
              <w:tag w:val="_GBC_bb3d19486f2b460b856a135056bd0897"/>
              <w:id w:val="-748800972"/>
              <w:lock w:val="sdtLocked"/>
              <w:placeholder>
                <w:docPart w:val="771E34BCC1394A20BE1174FE796E9E06"/>
              </w:placeholder>
            </w:sdtPr>
            <w:sdtEndPr/>
            <w:sdtContent>
              <w:tr w:rsidR="00C5658A" w14:paraId="191D6090" w14:textId="77777777" w:rsidTr="00FF5C69">
                <w:tc>
                  <w:tcPr>
                    <w:tcW w:w="1196" w:type="pct"/>
                    <w:tcBorders>
                      <w:top w:val="single" w:sz="4" w:space="0" w:color="auto"/>
                      <w:left w:val="single" w:sz="4" w:space="0" w:color="auto"/>
                      <w:bottom w:val="single" w:sz="4" w:space="0" w:color="auto"/>
                      <w:right w:val="single" w:sz="4" w:space="0" w:color="auto"/>
                    </w:tcBorders>
                    <w:vAlign w:val="center"/>
                  </w:tcPr>
                  <w:p w14:paraId="17F5F865" w14:textId="77777777" w:rsidR="00C5658A" w:rsidRDefault="00C5658A" w:rsidP="00FF5C69">
                    <w:pPr>
                      <w:autoSpaceDE w:val="0"/>
                      <w:autoSpaceDN w:val="0"/>
                      <w:adjustRightInd w:val="0"/>
                      <w:rPr>
                        <w:szCs w:val="21"/>
                      </w:rPr>
                    </w:pPr>
                    <w:r>
                      <w:t>应付账款</w:t>
                    </w:r>
                  </w:p>
                </w:tc>
                <w:tc>
                  <w:tcPr>
                    <w:tcW w:w="1151" w:type="pct"/>
                    <w:tcBorders>
                      <w:top w:val="single" w:sz="4" w:space="0" w:color="auto"/>
                      <w:left w:val="single" w:sz="4" w:space="0" w:color="auto"/>
                      <w:bottom w:val="single" w:sz="4" w:space="0" w:color="auto"/>
                      <w:right w:val="single" w:sz="4" w:space="0" w:color="auto"/>
                    </w:tcBorders>
                  </w:tcPr>
                  <w:p w14:paraId="5246FC41" w14:textId="77777777" w:rsidR="00C5658A" w:rsidRDefault="00C5658A" w:rsidP="00FF5C69">
                    <w:pPr>
                      <w:autoSpaceDE w:val="0"/>
                      <w:autoSpaceDN w:val="0"/>
                      <w:adjustRightInd w:val="0"/>
                      <w:rPr>
                        <w:szCs w:val="21"/>
                      </w:rPr>
                    </w:pPr>
                    <w:r>
                      <w:t>北京第一机床厂</w:t>
                    </w:r>
                  </w:p>
                </w:tc>
                <w:tc>
                  <w:tcPr>
                    <w:tcW w:w="1152" w:type="pct"/>
                    <w:tcBorders>
                      <w:top w:val="single" w:sz="4" w:space="0" w:color="auto"/>
                      <w:left w:val="single" w:sz="4" w:space="0" w:color="auto"/>
                      <w:bottom w:val="single" w:sz="4" w:space="0" w:color="auto"/>
                      <w:right w:val="single" w:sz="4" w:space="0" w:color="auto"/>
                    </w:tcBorders>
                  </w:tcPr>
                  <w:p w14:paraId="084820FC" w14:textId="77777777" w:rsidR="00C5658A" w:rsidRDefault="00C5658A" w:rsidP="00FF5C69">
                    <w:pPr>
                      <w:autoSpaceDE w:val="0"/>
                      <w:autoSpaceDN w:val="0"/>
                      <w:adjustRightInd w:val="0"/>
                      <w:jc w:val="right"/>
                      <w:rPr>
                        <w:szCs w:val="21"/>
                      </w:rPr>
                    </w:pPr>
                    <w:r>
                      <w:t>478,800.00</w:t>
                    </w:r>
                  </w:p>
                </w:tc>
                <w:tc>
                  <w:tcPr>
                    <w:tcW w:w="1501" w:type="pct"/>
                    <w:tcBorders>
                      <w:top w:val="single" w:sz="4" w:space="0" w:color="auto"/>
                      <w:left w:val="single" w:sz="4" w:space="0" w:color="auto"/>
                      <w:bottom w:val="single" w:sz="4" w:space="0" w:color="auto"/>
                      <w:right w:val="single" w:sz="4" w:space="0" w:color="auto"/>
                    </w:tcBorders>
                  </w:tcPr>
                  <w:p w14:paraId="52260F14" w14:textId="77777777" w:rsidR="00C5658A" w:rsidRDefault="00C5658A" w:rsidP="00FF5C69">
                    <w:pPr>
                      <w:autoSpaceDE w:val="0"/>
                      <w:autoSpaceDN w:val="0"/>
                      <w:adjustRightInd w:val="0"/>
                      <w:jc w:val="right"/>
                      <w:rPr>
                        <w:szCs w:val="21"/>
                      </w:rPr>
                    </w:pPr>
                    <w:r>
                      <w:t>478,800.00</w:t>
                    </w:r>
                  </w:p>
                </w:tc>
              </w:tr>
            </w:sdtContent>
          </w:sdt>
          <w:sdt>
            <w:sdtPr>
              <w:rPr>
                <w:rFonts w:hint="eastAsia"/>
                <w:szCs w:val="21"/>
              </w:rPr>
              <w:alias w:val="上市公司应付关联方款项明细"/>
              <w:tag w:val="_GBC_bb3d19486f2b460b856a135056bd0897"/>
              <w:id w:val="212777969"/>
              <w:lock w:val="sdtLocked"/>
              <w:placeholder>
                <w:docPart w:val="771E34BCC1394A20BE1174FE796E9E06"/>
              </w:placeholder>
            </w:sdtPr>
            <w:sdtEndPr/>
            <w:sdtContent>
              <w:tr w:rsidR="00C5658A" w14:paraId="6BC69775" w14:textId="77777777" w:rsidTr="00FF5C69">
                <w:tc>
                  <w:tcPr>
                    <w:tcW w:w="1196" w:type="pct"/>
                    <w:tcBorders>
                      <w:top w:val="single" w:sz="4" w:space="0" w:color="auto"/>
                      <w:left w:val="single" w:sz="4" w:space="0" w:color="auto"/>
                      <w:bottom w:val="single" w:sz="4" w:space="0" w:color="auto"/>
                      <w:right w:val="single" w:sz="4" w:space="0" w:color="auto"/>
                    </w:tcBorders>
                    <w:vAlign w:val="center"/>
                  </w:tcPr>
                  <w:p w14:paraId="170E362D" w14:textId="77777777" w:rsidR="00C5658A" w:rsidRDefault="00C5658A" w:rsidP="00FF5C69">
                    <w:pPr>
                      <w:autoSpaceDE w:val="0"/>
                      <w:autoSpaceDN w:val="0"/>
                      <w:adjustRightInd w:val="0"/>
                      <w:rPr>
                        <w:szCs w:val="21"/>
                      </w:rPr>
                    </w:pPr>
                    <w:r>
                      <w:t>应付账款</w:t>
                    </w:r>
                  </w:p>
                </w:tc>
                <w:tc>
                  <w:tcPr>
                    <w:tcW w:w="1151" w:type="pct"/>
                    <w:tcBorders>
                      <w:top w:val="single" w:sz="4" w:space="0" w:color="auto"/>
                      <w:left w:val="single" w:sz="4" w:space="0" w:color="auto"/>
                      <w:bottom w:val="single" w:sz="4" w:space="0" w:color="auto"/>
                      <w:right w:val="single" w:sz="4" w:space="0" w:color="auto"/>
                    </w:tcBorders>
                  </w:tcPr>
                  <w:p w14:paraId="1741293A" w14:textId="77777777" w:rsidR="00C5658A" w:rsidRDefault="00C5658A" w:rsidP="00FF5C69">
                    <w:pPr>
                      <w:autoSpaceDE w:val="0"/>
                      <w:autoSpaceDN w:val="0"/>
                      <w:adjustRightInd w:val="0"/>
                      <w:rPr>
                        <w:szCs w:val="21"/>
                      </w:rPr>
                    </w:pPr>
                    <w:r>
                      <w:t>北京兰天达汽车清洁燃料技术有限公司</w:t>
                    </w:r>
                  </w:p>
                </w:tc>
                <w:tc>
                  <w:tcPr>
                    <w:tcW w:w="1152" w:type="pct"/>
                    <w:tcBorders>
                      <w:top w:val="single" w:sz="4" w:space="0" w:color="auto"/>
                      <w:left w:val="single" w:sz="4" w:space="0" w:color="auto"/>
                      <w:bottom w:val="single" w:sz="4" w:space="0" w:color="auto"/>
                      <w:right w:val="single" w:sz="4" w:space="0" w:color="auto"/>
                    </w:tcBorders>
                  </w:tcPr>
                  <w:p w14:paraId="39D7577C" w14:textId="77777777" w:rsidR="00C5658A" w:rsidRDefault="00C5658A" w:rsidP="00FF5C69">
                    <w:pPr>
                      <w:autoSpaceDE w:val="0"/>
                      <w:autoSpaceDN w:val="0"/>
                      <w:adjustRightInd w:val="0"/>
                      <w:jc w:val="right"/>
                      <w:rPr>
                        <w:szCs w:val="21"/>
                      </w:rPr>
                    </w:pPr>
                    <w:r>
                      <w:t>0.00</w:t>
                    </w:r>
                  </w:p>
                </w:tc>
                <w:tc>
                  <w:tcPr>
                    <w:tcW w:w="1501" w:type="pct"/>
                    <w:tcBorders>
                      <w:top w:val="single" w:sz="4" w:space="0" w:color="auto"/>
                      <w:left w:val="single" w:sz="4" w:space="0" w:color="auto"/>
                      <w:bottom w:val="single" w:sz="4" w:space="0" w:color="auto"/>
                      <w:right w:val="single" w:sz="4" w:space="0" w:color="auto"/>
                    </w:tcBorders>
                  </w:tcPr>
                  <w:p w14:paraId="1543F97B" w14:textId="77777777" w:rsidR="00C5658A" w:rsidRDefault="00C5658A" w:rsidP="00FF5C69">
                    <w:pPr>
                      <w:autoSpaceDE w:val="0"/>
                      <w:autoSpaceDN w:val="0"/>
                      <w:adjustRightInd w:val="0"/>
                      <w:jc w:val="right"/>
                      <w:rPr>
                        <w:szCs w:val="21"/>
                      </w:rPr>
                    </w:pPr>
                    <w:r>
                      <w:t>5,299.15</w:t>
                    </w:r>
                  </w:p>
                </w:tc>
              </w:tr>
            </w:sdtContent>
          </w:sdt>
          <w:sdt>
            <w:sdtPr>
              <w:rPr>
                <w:rFonts w:hint="eastAsia"/>
                <w:szCs w:val="21"/>
              </w:rPr>
              <w:alias w:val="上市公司应付关联方款项明细"/>
              <w:tag w:val="_GBC_bb3d19486f2b460b856a135056bd0897"/>
              <w:id w:val="1983956663"/>
              <w:lock w:val="sdtLocked"/>
              <w:placeholder>
                <w:docPart w:val="771E34BCC1394A20BE1174FE796E9E06"/>
              </w:placeholder>
            </w:sdtPr>
            <w:sdtEndPr/>
            <w:sdtContent>
              <w:tr w:rsidR="00C5658A" w14:paraId="4A47ADFE" w14:textId="77777777" w:rsidTr="00FF5C69">
                <w:tc>
                  <w:tcPr>
                    <w:tcW w:w="1196" w:type="pct"/>
                    <w:tcBorders>
                      <w:top w:val="single" w:sz="4" w:space="0" w:color="auto"/>
                      <w:left w:val="single" w:sz="4" w:space="0" w:color="auto"/>
                      <w:bottom w:val="single" w:sz="4" w:space="0" w:color="auto"/>
                      <w:right w:val="single" w:sz="4" w:space="0" w:color="auto"/>
                    </w:tcBorders>
                    <w:vAlign w:val="center"/>
                  </w:tcPr>
                  <w:p w14:paraId="3CAD510D" w14:textId="77777777" w:rsidR="00C5658A" w:rsidRDefault="00C5658A" w:rsidP="00FF5C69">
                    <w:pPr>
                      <w:autoSpaceDE w:val="0"/>
                      <w:autoSpaceDN w:val="0"/>
                      <w:adjustRightInd w:val="0"/>
                      <w:rPr>
                        <w:szCs w:val="21"/>
                      </w:rPr>
                    </w:pPr>
                    <w:r>
                      <w:t>合同负债</w:t>
                    </w:r>
                  </w:p>
                </w:tc>
                <w:tc>
                  <w:tcPr>
                    <w:tcW w:w="1151" w:type="pct"/>
                    <w:tcBorders>
                      <w:top w:val="single" w:sz="4" w:space="0" w:color="auto"/>
                      <w:left w:val="single" w:sz="4" w:space="0" w:color="auto"/>
                      <w:bottom w:val="single" w:sz="4" w:space="0" w:color="auto"/>
                      <w:right w:val="single" w:sz="4" w:space="0" w:color="auto"/>
                    </w:tcBorders>
                  </w:tcPr>
                  <w:p w14:paraId="600B28C7" w14:textId="77777777" w:rsidR="00C5658A" w:rsidRDefault="00C5658A" w:rsidP="00FF5C69">
                    <w:pPr>
                      <w:autoSpaceDE w:val="0"/>
                      <w:autoSpaceDN w:val="0"/>
                      <w:adjustRightInd w:val="0"/>
                      <w:rPr>
                        <w:szCs w:val="21"/>
                      </w:rPr>
                    </w:pPr>
                    <w:r>
                      <w:t>江苏天海特种装备有限公司</w:t>
                    </w:r>
                  </w:p>
                </w:tc>
                <w:tc>
                  <w:tcPr>
                    <w:tcW w:w="1152" w:type="pct"/>
                    <w:tcBorders>
                      <w:top w:val="single" w:sz="4" w:space="0" w:color="auto"/>
                      <w:left w:val="single" w:sz="4" w:space="0" w:color="auto"/>
                      <w:bottom w:val="single" w:sz="4" w:space="0" w:color="auto"/>
                      <w:right w:val="single" w:sz="4" w:space="0" w:color="auto"/>
                    </w:tcBorders>
                  </w:tcPr>
                  <w:p w14:paraId="272837F5" w14:textId="77777777" w:rsidR="00C5658A" w:rsidRDefault="00C5658A" w:rsidP="00FF5C69">
                    <w:pPr>
                      <w:autoSpaceDE w:val="0"/>
                      <w:autoSpaceDN w:val="0"/>
                      <w:adjustRightInd w:val="0"/>
                      <w:jc w:val="right"/>
                      <w:rPr>
                        <w:szCs w:val="21"/>
                      </w:rPr>
                    </w:pPr>
                    <w:r>
                      <w:t>155,400.54</w:t>
                    </w:r>
                  </w:p>
                </w:tc>
                <w:tc>
                  <w:tcPr>
                    <w:tcW w:w="1501" w:type="pct"/>
                    <w:tcBorders>
                      <w:top w:val="single" w:sz="4" w:space="0" w:color="auto"/>
                      <w:left w:val="single" w:sz="4" w:space="0" w:color="auto"/>
                      <w:bottom w:val="single" w:sz="4" w:space="0" w:color="auto"/>
                      <w:right w:val="single" w:sz="4" w:space="0" w:color="auto"/>
                    </w:tcBorders>
                  </w:tcPr>
                  <w:p w14:paraId="4CF7676D" w14:textId="77777777" w:rsidR="00C5658A" w:rsidRDefault="00C5658A" w:rsidP="00FF5C69">
                    <w:pPr>
                      <w:autoSpaceDE w:val="0"/>
                      <w:autoSpaceDN w:val="0"/>
                      <w:adjustRightInd w:val="0"/>
                      <w:jc w:val="right"/>
                      <w:rPr>
                        <w:szCs w:val="21"/>
                      </w:rPr>
                    </w:pPr>
                    <w:r>
                      <w:t>133,780.66</w:t>
                    </w:r>
                  </w:p>
                </w:tc>
              </w:tr>
            </w:sdtContent>
          </w:sdt>
          <w:sdt>
            <w:sdtPr>
              <w:rPr>
                <w:rFonts w:hint="eastAsia"/>
                <w:szCs w:val="21"/>
              </w:rPr>
              <w:alias w:val="上市公司应付关联方款项明细"/>
              <w:tag w:val="_GBC_bb3d19486f2b460b856a135056bd0897"/>
              <w:id w:val="-1179116601"/>
              <w:lock w:val="sdtLocked"/>
              <w:placeholder>
                <w:docPart w:val="771E34BCC1394A20BE1174FE796E9E06"/>
              </w:placeholder>
            </w:sdtPr>
            <w:sdtEndPr/>
            <w:sdtContent>
              <w:tr w:rsidR="00C5658A" w14:paraId="6F726545" w14:textId="77777777" w:rsidTr="00FF5C69">
                <w:tc>
                  <w:tcPr>
                    <w:tcW w:w="1196" w:type="pct"/>
                    <w:tcBorders>
                      <w:top w:val="single" w:sz="4" w:space="0" w:color="auto"/>
                      <w:left w:val="single" w:sz="4" w:space="0" w:color="auto"/>
                      <w:bottom w:val="single" w:sz="4" w:space="0" w:color="auto"/>
                      <w:right w:val="single" w:sz="4" w:space="0" w:color="auto"/>
                    </w:tcBorders>
                    <w:vAlign w:val="center"/>
                  </w:tcPr>
                  <w:p w14:paraId="3AEACA9B" w14:textId="77777777" w:rsidR="00C5658A" w:rsidRDefault="00C5658A" w:rsidP="00FF5C69">
                    <w:pPr>
                      <w:autoSpaceDE w:val="0"/>
                      <w:autoSpaceDN w:val="0"/>
                      <w:adjustRightInd w:val="0"/>
                      <w:rPr>
                        <w:szCs w:val="21"/>
                      </w:rPr>
                    </w:pPr>
                    <w:r>
                      <w:t>合同负债</w:t>
                    </w:r>
                  </w:p>
                </w:tc>
                <w:tc>
                  <w:tcPr>
                    <w:tcW w:w="1151" w:type="pct"/>
                    <w:tcBorders>
                      <w:top w:val="single" w:sz="4" w:space="0" w:color="auto"/>
                      <w:left w:val="single" w:sz="4" w:space="0" w:color="auto"/>
                      <w:bottom w:val="single" w:sz="4" w:space="0" w:color="auto"/>
                      <w:right w:val="single" w:sz="4" w:space="0" w:color="auto"/>
                    </w:tcBorders>
                  </w:tcPr>
                  <w:p w14:paraId="5C6B7446" w14:textId="77777777" w:rsidR="00C5658A" w:rsidRDefault="00C5658A" w:rsidP="00FF5C69">
                    <w:pPr>
                      <w:autoSpaceDE w:val="0"/>
                      <w:autoSpaceDN w:val="0"/>
                      <w:adjustRightInd w:val="0"/>
                      <w:rPr>
                        <w:szCs w:val="21"/>
                      </w:rPr>
                    </w:pPr>
                    <w:r>
                      <w:t>宽城升华压力容器制造有限责任公司</w:t>
                    </w:r>
                  </w:p>
                </w:tc>
                <w:tc>
                  <w:tcPr>
                    <w:tcW w:w="1152" w:type="pct"/>
                    <w:tcBorders>
                      <w:top w:val="single" w:sz="4" w:space="0" w:color="auto"/>
                      <w:left w:val="single" w:sz="4" w:space="0" w:color="auto"/>
                      <w:bottom w:val="single" w:sz="4" w:space="0" w:color="auto"/>
                      <w:right w:val="single" w:sz="4" w:space="0" w:color="auto"/>
                    </w:tcBorders>
                  </w:tcPr>
                  <w:p w14:paraId="215884B6" w14:textId="77777777" w:rsidR="00C5658A" w:rsidRDefault="00C5658A" w:rsidP="00FF5C69">
                    <w:pPr>
                      <w:autoSpaceDE w:val="0"/>
                      <w:autoSpaceDN w:val="0"/>
                      <w:adjustRightInd w:val="0"/>
                      <w:jc w:val="right"/>
                      <w:rPr>
                        <w:szCs w:val="21"/>
                      </w:rPr>
                    </w:pPr>
                    <w:r>
                      <w:t>0.00</w:t>
                    </w:r>
                  </w:p>
                </w:tc>
                <w:tc>
                  <w:tcPr>
                    <w:tcW w:w="1501" w:type="pct"/>
                    <w:tcBorders>
                      <w:top w:val="single" w:sz="4" w:space="0" w:color="auto"/>
                      <w:left w:val="single" w:sz="4" w:space="0" w:color="auto"/>
                      <w:bottom w:val="single" w:sz="4" w:space="0" w:color="auto"/>
                      <w:right w:val="single" w:sz="4" w:space="0" w:color="auto"/>
                    </w:tcBorders>
                  </w:tcPr>
                  <w:p w14:paraId="5BE80771" w14:textId="77777777" w:rsidR="00C5658A" w:rsidRDefault="00C5658A" w:rsidP="00FF5C69">
                    <w:pPr>
                      <w:autoSpaceDE w:val="0"/>
                      <w:autoSpaceDN w:val="0"/>
                      <w:adjustRightInd w:val="0"/>
                      <w:jc w:val="right"/>
                      <w:rPr>
                        <w:szCs w:val="21"/>
                      </w:rPr>
                    </w:pPr>
                    <w:r>
                      <w:t>428.00</w:t>
                    </w:r>
                  </w:p>
                </w:tc>
              </w:tr>
            </w:sdtContent>
          </w:sdt>
          <w:sdt>
            <w:sdtPr>
              <w:rPr>
                <w:rFonts w:hint="eastAsia"/>
                <w:szCs w:val="21"/>
              </w:rPr>
              <w:alias w:val="上市公司应付关联方款项明细"/>
              <w:tag w:val="_GBC_bb3d19486f2b460b856a135056bd0897"/>
              <w:id w:val="-245657201"/>
              <w:lock w:val="sdtLocked"/>
              <w:placeholder>
                <w:docPart w:val="771E34BCC1394A20BE1174FE796E9E06"/>
              </w:placeholder>
            </w:sdtPr>
            <w:sdtEndPr/>
            <w:sdtContent>
              <w:tr w:rsidR="00C5658A" w14:paraId="0C0C51C9" w14:textId="77777777" w:rsidTr="00FF5C69">
                <w:tc>
                  <w:tcPr>
                    <w:tcW w:w="1196" w:type="pct"/>
                    <w:tcBorders>
                      <w:top w:val="single" w:sz="4" w:space="0" w:color="auto"/>
                      <w:left w:val="single" w:sz="4" w:space="0" w:color="auto"/>
                      <w:bottom w:val="single" w:sz="4" w:space="0" w:color="auto"/>
                      <w:right w:val="single" w:sz="4" w:space="0" w:color="auto"/>
                    </w:tcBorders>
                    <w:vAlign w:val="center"/>
                  </w:tcPr>
                  <w:p w14:paraId="12A40580" w14:textId="77777777" w:rsidR="00C5658A" w:rsidRDefault="00C5658A" w:rsidP="00FF5C69">
                    <w:pPr>
                      <w:autoSpaceDE w:val="0"/>
                      <w:autoSpaceDN w:val="0"/>
                      <w:adjustRightInd w:val="0"/>
                      <w:rPr>
                        <w:szCs w:val="21"/>
                      </w:rPr>
                    </w:pPr>
                    <w:r>
                      <w:t>其他应付款</w:t>
                    </w:r>
                  </w:p>
                </w:tc>
                <w:tc>
                  <w:tcPr>
                    <w:tcW w:w="1151" w:type="pct"/>
                    <w:tcBorders>
                      <w:top w:val="single" w:sz="4" w:space="0" w:color="auto"/>
                      <w:left w:val="single" w:sz="4" w:space="0" w:color="auto"/>
                      <w:bottom w:val="single" w:sz="4" w:space="0" w:color="auto"/>
                      <w:right w:val="single" w:sz="4" w:space="0" w:color="auto"/>
                    </w:tcBorders>
                  </w:tcPr>
                  <w:p w14:paraId="3973B5AD" w14:textId="77777777" w:rsidR="00C5658A" w:rsidRDefault="00C5658A" w:rsidP="00FF5C69">
                    <w:pPr>
                      <w:autoSpaceDE w:val="0"/>
                      <w:autoSpaceDN w:val="0"/>
                      <w:adjustRightInd w:val="0"/>
                      <w:rPr>
                        <w:szCs w:val="21"/>
                      </w:rPr>
                    </w:pPr>
                    <w:r>
                      <w:t>北京京城机电控股有限责任公司</w:t>
                    </w:r>
                  </w:p>
                </w:tc>
                <w:tc>
                  <w:tcPr>
                    <w:tcW w:w="1152" w:type="pct"/>
                    <w:tcBorders>
                      <w:top w:val="single" w:sz="4" w:space="0" w:color="auto"/>
                      <w:left w:val="single" w:sz="4" w:space="0" w:color="auto"/>
                      <w:bottom w:val="single" w:sz="4" w:space="0" w:color="auto"/>
                      <w:right w:val="single" w:sz="4" w:space="0" w:color="auto"/>
                    </w:tcBorders>
                  </w:tcPr>
                  <w:p w14:paraId="270D6DD7" w14:textId="77777777" w:rsidR="00C5658A" w:rsidRDefault="00C5658A" w:rsidP="00FF5C69">
                    <w:pPr>
                      <w:autoSpaceDE w:val="0"/>
                      <w:autoSpaceDN w:val="0"/>
                      <w:adjustRightInd w:val="0"/>
                      <w:jc w:val="right"/>
                      <w:rPr>
                        <w:szCs w:val="21"/>
                      </w:rPr>
                    </w:pPr>
                    <w:r>
                      <w:t>7,499.08</w:t>
                    </w:r>
                  </w:p>
                </w:tc>
                <w:tc>
                  <w:tcPr>
                    <w:tcW w:w="1501" w:type="pct"/>
                    <w:tcBorders>
                      <w:top w:val="single" w:sz="4" w:space="0" w:color="auto"/>
                      <w:left w:val="single" w:sz="4" w:space="0" w:color="auto"/>
                      <w:bottom w:val="single" w:sz="4" w:space="0" w:color="auto"/>
                      <w:right w:val="single" w:sz="4" w:space="0" w:color="auto"/>
                    </w:tcBorders>
                  </w:tcPr>
                  <w:p w14:paraId="493B893A" w14:textId="77777777" w:rsidR="00C5658A" w:rsidRDefault="00C5658A" w:rsidP="00FF5C69">
                    <w:pPr>
                      <w:autoSpaceDE w:val="0"/>
                      <w:autoSpaceDN w:val="0"/>
                      <w:adjustRightInd w:val="0"/>
                      <w:jc w:val="right"/>
                      <w:rPr>
                        <w:szCs w:val="21"/>
                      </w:rPr>
                    </w:pPr>
                    <w:r>
                      <w:t>7,574.30</w:t>
                    </w:r>
                  </w:p>
                </w:tc>
              </w:tr>
            </w:sdtContent>
          </w:sdt>
          <w:sdt>
            <w:sdtPr>
              <w:rPr>
                <w:rFonts w:hint="eastAsia"/>
                <w:szCs w:val="21"/>
              </w:rPr>
              <w:alias w:val="上市公司应付关联方款项明细"/>
              <w:tag w:val="_GBC_bb3d19486f2b460b856a135056bd0897"/>
              <w:id w:val="2040921023"/>
              <w:lock w:val="sdtLocked"/>
              <w:placeholder>
                <w:docPart w:val="771E34BCC1394A20BE1174FE796E9E06"/>
              </w:placeholder>
            </w:sdtPr>
            <w:sdtEndPr/>
            <w:sdtContent>
              <w:tr w:rsidR="00C5658A" w14:paraId="1ACB9460" w14:textId="77777777" w:rsidTr="00FF5C69">
                <w:tc>
                  <w:tcPr>
                    <w:tcW w:w="1196" w:type="pct"/>
                    <w:tcBorders>
                      <w:top w:val="single" w:sz="4" w:space="0" w:color="auto"/>
                      <w:left w:val="single" w:sz="4" w:space="0" w:color="auto"/>
                      <w:bottom w:val="single" w:sz="4" w:space="0" w:color="auto"/>
                      <w:right w:val="single" w:sz="4" w:space="0" w:color="auto"/>
                    </w:tcBorders>
                    <w:vAlign w:val="center"/>
                  </w:tcPr>
                  <w:p w14:paraId="4FAA4C15" w14:textId="77777777" w:rsidR="00C5658A" w:rsidRDefault="00C5658A" w:rsidP="00FF5C69">
                    <w:pPr>
                      <w:autoSpaceDE w:val="0"/>
                      <w:autoSpaceDN w:val="0"/>
                      <w:adjustRightInd w:val="0"/>
                      <w:rPr>
                        <w:szCs w:val="21"/>
                      </w:rPr>
                    </w:pPr>
                    <w:r>
                      <w:t>其他应付款</w:t>
                    </w:r>
                  </w:p>
                </w:tc>
                <w:tc>
                  <w:tcPr>
                    <w:tcW w:w="1151" w:type="pct"/>
                    <w:tcBorders>
                      <w:top w:val="single" w:sz="4" w:space="0" w:color="auto"/>
                      <w:left w:val="single" w:sz="4" w:space="0" w:color="auto"/>
                      <w:bottom w:val="single" w:sz="4" w:space="0" w:color="auto"/>
                      <w:right w:val="single" w:sz="4" w:space="0" w:color="auto"/>
                    </w:tcBorders>
                  </w:tcPr>
                  <w:p w14:paraId="5335A715" w14:textId="77777777" w:rsidR="00C5658A" w:rsidRDefault="00C5658A" w:rsidP="00FF5C69">
                    <w:pPr>
                      <w:autoSpaceDE w:val="0"/>
                      <w:autoSpaceDN w:val="0"/>
                      <w:adjustRightInd w:val="0"/>
                      <w:rPr>
                        <w:szCs w:val="21"/>
                      </w:rPr>
                    </w:pPr>
                    <w:r>
                      <w:t>北京第一机床厂</w:t>
                    </w:r>
                  </w:p>
                </w:tc>
                <w:tc>
                  <w:tcPr>
                    <w:tcW w:w="1152" w:type="pct"/>
                    <w:tcBorders>
                      <w:top w:val="single" w:sz="4" w:space="0" w:color="auto"/>
                      <w:left w:val="single" w:sz="4" w:space="0" w:color="auto"/>
                      <w:bottom w:val="single" w:sz="4" w:space="0" w:color="auto"/>
                      <w:right w:val="single" w:sz="4" w:space="0" w:color="auto"/>
                    </w:tcBorders>
                  </w:tcPr>
                  <w:p w14:paraId="4C57A838" w14:textId="77777777" w:rsidR="00C5658A" w:rsidRDefault="00C5658A" w:rsidP="00FF5C69">
                    <w:pPr>
                      <w:autoSpaceDE w:val="0"/>
                      <w:autoSpaceDN w:val="0"/>
                      <w:adjustRightInd w:val="0"/>
                      <w:jc w:val="right"/>
                      <w:rPr>
                        <w:szCs w:val="21"/>
                      </w:rPr>
                    </w:pPr>
                    <w:r>
                      <w:t>7,359.09</w:t>
                    </w:r>
                  </w:p>
                </w:tc>
                <w:tc>
                  <w:tcPr>
                    <w:tcW w:w="1501" w:type="pct"/>
                    <w:tcBorders>
                      <w:top w:val="single" w:sz="4" w:space="0" w:color="auto"/>
                      <w:left w:val="single" w:sz="4" w:space="0" w:color="auto"/>
                      <w:bottom w:val="single" w:sz="4" w:space="0" w:color="auto"/>
                      <w:right w:val="single" w:sz="4" w:space="0" w:color="auto"/>
                    </w:tcBorders>
                  </w:tcPr>
                  <w:p w14:paraId="59DD5325" w14:textId="77777777" w:rsidR="00C5658A" w:rsidRDefault="00C5658A" w:rsidP="00FF5C69">
                    <w:pPr>
                      <w:autoSpaceDE w:val="0"/>
                      <w:autoSpaceDN w:val="0"/>
                      <w:adjustRightInd w:val="0"/>
                      <w:jc w:val="right"/>
                      <w:rPr>
                        <w:szCs w:val="21"/>
                      </w:rPr>
                    </w:pPr>
                    <w:r>
                      <w:t>7,359.09</w:t>
                    </w:r>
                  </w:p>
                </w:tc>
              </w:tr>
            </w:sdtContent>
          </w:sdt>
          <w:sdt>
            <w:sdtPr>
              <w:rPr>
                <w:rFonts w:hint="eastAsia"/>
                <w:szCs w:val="21"/>
              </w:rPr>
              <w:alias w:val="上市公司应付关联方款项明细"/>
              <w:tag w:val="_GBC_bb3d19486f2b460b856a135056bd0897"/>
              <w:id w:val="1144165223"/>
              <w:lock w:val="sdtLocked"/>
              <w:placeholder>
                <w:docPart w:val="771E34BCC1394A20BE1174FE796E9E06"/>
              </w:placeholder>
            </w:sdtPr>
            <w:sdtEndPr/>
            <w:sdtContent>
              <w:tr w:rsidR="00C5658A" w14:paraId="52E5ED8E" w14:textId="77777777" w:rsidTr="00FF5C69">
                <w:tc>
                  <w:tcPr>
                    <w:tcW w:w="1196" w:type="pct"/>
                    <w:tcBorders>
                      <w:top w:val="single" w:sz="4" w:space="0" w:color="auto"/>
                      <w:left w:val="single" w:sz="4" w:space="0" w:color="auto"/>
                      <w:bottom w:val="single" w:sz="4" w:space="0" w:color="auto"/>
                      <w:right w:val="single" w:sz="4" w:space="0" w:color="auto"/>
                    </w:tcBorders>
                    <w:vAlign w:val="center"/>
                  </w:tcPr>
                  <w:p w14:paraId="0F07E9DD" w14:textId="77777777" w:rsidR="00C5658A" w:rsidRDefault="00C5658A" w:rsidP="00FF5C69">
                    <w:pPr>
                      <w:autoSpaceDE w:val="0"/>
                      <w:autoSpaceDN w:val="0"/>
                      <w:adjustRightInd w:val="0"/>
                      <w:rPr>
                        <w:szCs w:val="21"/>
                      </w:rPr>
                    </w:pPr>
                    <w:r>
                      <w:t>其他应付款</w:t>
                    </w:r>
                  </w:p>
                </w:tc>
                <w:tc>
                  <w:tcPr>
                    <w:tcW w:w="1151" w:type="pct"/>
                    <w:tcBorders>
                      <w:top w:val="single" w:sz="4" w:space="0" w:color="auto"/>
                      <w:left w:val="single" w:sz="4" w:space="0" w:color="auto"/>
                      <w:bottom w:val="single" w:sz="4" w:space="0" w:color="auto"/>
                      <w:right w:val="single" w:sz="4" w:space="0" w:color="auto"/>
                    </w:tcBorders>
                  </w:tcPr>
                  <w:p w14:paraId="3DA38599" w14:textId="77777777" w:rsidR="00C5658A" w:rsidRDefault="00C5658A" w:rsidP="00FF5C69">
                    <w:pPr>
                      <w:autoSpaceDE w:val="0"/>
                      <w:autoSpaceDN w:val="0"/>
                      <w:adjustRightInd w:val="0"/>
                      <w:rPr>
                        <w:szCs w:val="21"/>
                      </w:rPr>
                    </w:pPr>
                    <w:r>
                      <w:t>天津大无缝投资有限公司</w:t>
                    </w:r>
                  </w:p>
                </w:tc>
                <w:tc>
                  <w:tcPr>
                    <w:tcW w:w="1152" w:type="pct"/>
                    <w:tcBorders>
                      <w:top w:val="single" w:sz="4" w:space="0" w:color="auto"/>
                      <w:left w:val="single" w:sz="4" w:space="0" w:color="auto"/>
                      <w:bottom w:val="single" w:sz="4" w:space="0" w:color="auto"/>
                      <w:right w:val="single" w:sz="4" w:space="0" w:color="auto"/>
                    </w:tcBorders>
                  </w:tcPr>
                  <w:p w14:paraId="45490EE8" w14:textId="77777777" w:rsidR="00C5658A" w:rsidRDefault="00C5658A" w:rsidP="00FF5C69">
                    <w:pPr>
                      <w:autoSpaceDE w:val="0"/>
                      <w:autoSpaceDN w:val="0"/>
                      <w:adjustRightInd w:val="0"/>
                      <w:jc w:val="right"/>
                      <w:rPr>
                        <w:szCs w:val="21"/>
                      </w:rPr>
                    </w:pPr>
                    <w:r>
                      <w:t>2,915,235.54</w:t>
                    </w:r>
                  </w:p>
                </w:tc>
                <w:tc>
                  <w:tcPr>
                    <w:tcW w:w="1501" w:type="pct"/>
                    <w:tcBorders>
                      <w:top w:val="single" w:sz="4" w:space="0" w:color="auto"/>
                      <w:left w:val="single" w:sz="4" w:space="0" w:color="auto"/>
                      <w:bottom w:val="single" w:sz="4" w:space="0" w:color="auto"/>
                      <w:right w:val="single" w:sz="4" w:space="0" w:color="auto"/>
                    </w:tcBorders>
                  </w:tcPr>
                  <w:p w14:paraId="1ECDA955" w14:textId="77777777" w:rsidR="00C5658A" w:rsidRDefault="00C5658A" w:rsidP="00FF5C69">
                    <w:pPr>
                      <w:autoSpaceDE w:val="0"/>
                      <w:autoSpaceDN w:val="0"/>
                      <w:adjustRightInd w:val="0"/>
                      <w:jc w:val="right"/>
                      <w:rPr>
                        <w:szCs w:val="21"/>
                      </w:rPr>
                    </w:pPr>
                    <w:r>
                      <w:t>1,704,203.53</w:t>
                    </w:r>
                  </w:p>
                </w:tc>
              </w:tr>
            </w:sdtContent>
          </w:sdt>
          <w:sdt>
            <w:sdtPr>
              <w:rPr>
                <w:rFonts w:hint="eastAsia"/>
                <w:szCs w:val="21"/>
              </w:rPr>
              <w:alias w:val="上市公司应付关联方款项明细"/>
              <w:tag w:val="_GBC_bb3d19486f2b460b856a135056bd0897"/>
              <w:id w:val="1193340958"/>
              <w:lock w:val="sdtLocked"/>
              <w:placeholder>
                <w:docPart w:val="771E34BCC1394A20BE1174FE796E9E06"/>
              </w:placeholder>
            </w:sdtPr>
            <w:sdtEndPr/>
            <w:sdtContent>
              <w:tr w:rsidR="00C5658A" w14:paraId="5CB1B908" w14:textId="77777777" w:rsidTr="00FF5C69">
                <w:tc>
                  <w:tcPr>
                    <w:tcW w:w="1196" w:type="pct"/>
                    <w:tcBorders>
                      <w:top w:val="single" w:sz="4" w:space="0" w:color="auto"/>
                      <w:left w:val="single" w:sz="4" w:space="0" w:color="auto"/>
                      <w:bottom w:val="single" w:sz="4" w:space="0" w:color="auto"/>
                      <w:right w:val="single" w:sz="4" w:space="0" w:color="auto"/>
                    </w:tcBorders>
                    <w:vAlign w:val="center"/>
                  </w:tcPr>
                  <w:p w14:paraId="59D74BF5" w14:textId="77777777" w:rsidR="00C5658A" w:rsidRDefault="00C5658A" w:rsidP="00FF5C69">
                    <w:pPr>
                      <w:autoSpaceDE w:val="0"/>
                      <w:autoSpaceDN w:val="0"/>
                      <w:adjustRightInd w:val="0"/>
                      <w:rPr>
                        <w:szCs w:val="21"/>
                      </w:rPr>
                    </w:pPr>
                    <w:r>
                      <w:t>其他应付款</w:t>
                    </w:r>
                  </w:p>
                </w:tc>
                <w:tc>
                  <w:tcPr>
                    <w:tcW w:w="1151" w:type="pct"/>
                    <w:tcBorders>
                      <w:top w:val="single" w:sz="4" w:space="0" w:color="auto"/>
                      <w:left w:val="single" w:sz="4" w:space="0" w:color="auto"/>
                      <w:bottom w:val="single" w:sz="4" w:space="0" w:color="auto"/>
                      <w:right w:val="single" w:sz="4" w:space="0" w:color="auto"/>
                    </w:tcBorders>
                  </w:tcPr>
                  <w:p w14:paraId="3389DB02" w14:textId="77777777" w:rsidR="00C5658A" w:rsidRDefault="00C5658A" w:rsidP="00FF5C69">
                    <w:pPr>
                      <w:autoSpaceDE w:val="0"/>
                      <w:autoSpaceDN w:val="0"/>
                      <w:adjustRightInd w:val="0"/>
                      <w:rPr>
                        <w:szCs w:val="21"/>
                      </w:rPr>
                    </w:pPr>
                    <w:r>
                      <w:t>郑国祥</w:t>
                    </w:r>
                  </w:p>
                </w:tc>
                <w:tc>
                  <w:tcPr>
                    <w:tcW w:w="1152" w:type="pct"/>
                    <w:tcBorders>
                      <w:top w:val="single" w:sz="4" w:space="0" w:color="auto"/>
                      <w:left w:val="single" w:sz="4" w:space="0" w:color="auto"/>
                      <w:bottom w:val="single" w:sz="4" w:space="0" w:color="auto"/>
                      <w:right w:val="single" w:sz="4" w:space="0" w:color="auto"/>
                    </w:tcBorders>
                  </w:tcPr>
                  <w:p w14:paraId="4AA3AFDF" w14:textId="77777777" w:rsidR="00C5658A" w:rsidRDefault="00C5658A" w:rsidP="00FF5C69">
                    <w:pPr>
                      <w:autoSpaceDE w:val="0"/>
                      <w:autoSpaceDN w:val="0"/>
                      <w:adjustRightInd w:val="0"/>
                      <w:jc w:val="right"/>
                      <w:rPr>
                        <w:szCs w:val="21"/>
                      </w:rPr>
                    </w:pPr>
                    <w:r>
                      <w:t>0.00</w:t>
                    </w:r>
                  </w:p>
                </w:tc>
                <w:tc>
                  <w:tcPr>
                    <w:tcW w:w="1501" w:type="pct"/>
                    <w:tcBorders>
                      <w:top w:val="single" w:sz="4" w:space="0" w:color="auto"/>
                      <w:left w:val="single" w:sz="4" w:space="0" w:color="auto"/>
                      <w:bottom w:val="single" w:sz="4" w:space="0" w:color="auto"/>
                      <w:right w:val="single" w:sz="4" w:space="0" w:color="auto"/>
                    </w:tcBorders>
                  </w:tcPr>
                  <w:p w14:paraId="049ED72E" w14:textId="77777777" w:rsidR="00C5658A" w:rsidRDefault="00C5658A" w:rsidP="00FF5C69">
                    <w:pPr>
                      <w:autoSpaceDE w:val="0"/>
                      <w:autoSpaceDN w:val="0"/>
                      <w:adjustRightInd w:val="0"/>
                      <w:jc w:val="right"/>
                      <w:rPr>
                        <w:szCs w:val="21"/>
                      </w:rPr>
                    </w:pPr>
                    <w:r>
                      <w:t>5,230,294.59</w:t>
                    </w:r>
                  </w:p>
                </w:tc>
              </w:tr>
            </w:sdtContent>
          </w:sdt>
          <w:sdt>
            <w:sdtPr>
              <w:rPr>
                <w:rFonts w:hint="eastAsia"/>
                <w:szCs w:val="21"/>
              </w:rPr>
              <w:alias w:val="上市公司应付关联方款项明细"/>
              <w:tag w:val="_GBC_bb3d19486f2b460b856a135056bd0897"/>
              <w:id w:val="368032603"/>
              <w:lock w:val="sdtLocked"/>
              <w:placeholder>
                <w:docPart w:val="771E34BCC1394A20BE1174FE796E9E06"/>
              </w:placeholder>
            </w:sdtPr>
            <w:sdtEndPr/>
            <w:sdtContent>
              <w:tr w:rsidR="00C5658A" w14:paraId="373E7B38" w14:textId="77777777" w:rsidTr="00FF5C69">
                <w:tc>
                  <w:tcPr>
                    <w:tcW w:w="1196" w:type="pct"/>
                    <w:tcBorders>
                      <w:top w:val="single" w:sz="4" w:space="0" w:color="auto"/>
                      <w:left w:val="single" w:sz="4" w:space="0" w:color="auto"/>
                      <w:bottom w:val="single" w:sz="4" w:space="0" w:color="auto"/>
                      <w:right w:val="single" w:sz="4" w:space="0" w:color="auto"/>
                    </w:tcBorders>
                    <w:vAlign w:val="center"/>
                  </w:tcPr>
                  <w:p w14:paraId="29144006" w14:textId="77777777" w:rsidR="00C5658A" w:rsidRDefault="00C5658A" w:rsidP="00FF5C69">
                    <w:pPr>
                      <w:autoSpaceDE w:val="0"/>
                      <w:autoSpaceDN w:val="0"/>
                      <w:adjustRightInd w:val="0"/>
                      <w:rPr>
                        <w:szCs w:val="21"/>
                      </w:rPr>
                    </w:pPr>
                    <w:r>
                      <w:t>其他应付款</w:t>
                    </w:r>
                  </w:p>
                </w:tc>
                <w:tc>
                  <w:tcPr>
                    <w:tcW w:w="1151" w:type="pct"/>
                    <w:tcBorders>
                      <w:top w:val="single" w:sz="4" w:space="0" w:color="auto"/>
                      <w:left w:val="single" w:sz="4" w:space="0" w:color="auto"/>
                      <w:bottom w:val="single" w:sz="4" w:space="0" w:color="auto"/>
                      <w:right w:val="single" w:sz="4" w:space="0" w:color="auto"/>
                    </w:tcBorders>
                  </w:tcPr>
                  <w:p w14:paraId="08E8F109" w14:textId="77777777" w:rsidR="00C5658A" w:rsidRDefault="00C5658A" w:rsidP="00FF5C69">
                    <w:pPr>
                      <w:autoSpaceDE w:val="0"/>
                      <w:autoSpaceDN w:val="0"/>
                      <w:adjustRightInd w:val="0"/>
                      <w:rPr>
                        <w:szCs w:val="21"/>
                      </w:rPr>
                    </w:pPr>
                    <w:r>
                      <w:t>郭志红</w:t>
                    </w:r>
                  </w:p>
                </w:tc>
                <w:tc>
                  <w:tcPr>
                    <w:tcW w:w="1152" w:type="pct"/>
                    <w:tcBorders>
                      <w:top w:val="single" w:sz="4" w:space="0" w:color="auto"/>
                      <w:left w:val="single" w:sz="4" w:space="0" w:color="auto"/>
                      <w:bottom w:val="single" w:sz="4" w:space="0" w:color="auto"/>
                      <w:right w:val="single" w:sz="4" w:space="0" w:color="auto"/>
                    </w:tcBorders>
                  </w:tcPr>
                  <w:p w14:paraId="6B73AB5A" w14:textId="77777777" w:rsidR="00C5658A" w:rsidRDefault="00C5658A" w:rsidP="00FF5C69">
                    <w:pPr>
                      <w:autoSpaceDE w:val="0"/>
                      <w:autoSpaceDN w:val="0"/>
                      <w:adjustRightInd w:val="0"/>
                      <w:jc w:val="right"/>
                      <w:rPr>
                        <w:szCs w:val="21"/>
                      </w:rPr>
                    </w:pPr>
                    <w:r>
                      <w:t>0.00</w:t>
                    </w:r>
                  </w:p>
                </w:tc>
                <w:tc>
                  <w:tcPr>
                    <w:tcW w:w="1501" w:type="pct"/>
                    <w:tcBorders>
                      <w:top w:val="single" w:sz="4" w:space="0" w:color="auto"/>
                      <w:left w:val="single" w:sz="4" w:space="0" w:color="auto"/>
                      <w:bottom w:val="single" w:sz="4" w:space="0" w:color="auto"/>
                      <w:right w:val="single" w:sz="4" w:space="0" w:color="auto"/>
                    </w:tcBorders>
                  </w:tcPr>
                  <w:p w14:paraId="4F8187AB" w14:textId="77777777" w:rsidR="00C5658A" w:rsidRDefault="00C5658A" w:rsidP="00FF5C69">
                    <w:pPr>
                      <w:autoSpaceDE w:val="0"/>
                      <w:autoSpaceDN w:val="0"/>
                      <w:adjustRightInd w:val="0"/>
                      <w:jc w:val="right"/>
                      <w:rPr>
                        <w:szCs w:val="21"/>
                      </w:rPr>
                    </w:pPr>
                    <w:r>
                      <w:t>5,230,294.59</w:t>
                    </w:r>
                  </w:p>
                </w:tc>
              </w:tr>
            </w:sdtContent>
          </w:sdt>
          <w:sdt>
            <w:sdtPr>
              <w:rPr>
                <w:rFonts w:hint="eastAsia"/>
                <w:szCs w:val="21"/>
              </w:rPr>
              <w:alias w:val="上市公司应付关联方款项明细"/>
              <w:tag w:val="_GBC_bb3d19486f2b460b856a135056bd0897"/>
              <w:id w:val="-255130728"/>
              <w:lock w:val="sdtLocked"/>
              <w:placeholder>
                <w:docPart w:val="771E34BCC1394A20BE1174FE796E9E06"/>
              </w:placeholder>
            </w:sdtPr>
            <w:sdtEndPr/>
            <w:sdtContent>
              <w:tr w:rsidR="00C5658A" w14:paraId="6B6E24CC" w14:textId="77777777" w:rsidTr="00FF5C69">
                <w:tc>
                  <w:tcPr>
                    <w:tcW w:w="1196" w:type="pct"/>
                    <w:tcBorders>
                      <w:top w:val="single" w:sz="4" w:space="0" w:color="auto"/>
                      <w:left w:val="single" w:sz="4" w:space="0" w:color="auto"/>
                      <w:bottom w:val="single" w:sz="4" w:space="0" w:color="auto"/>
                      <w:right w:val="single" w:sz="4" w:space="0" w:color="auto"/>
                    </w:tcBorders>
                    <w:vAlign w:val="center"/>
                  </w:tcPr>
                  <w:p w14:paraId="7309F3D9" w14:textId="77777777" w:rsidR="00C5658A" w:rsidRDefault="00C5658A" w:rsidP="00FF5C69">
                    <w:pPr>
                      <w:autoSpaceDE w:val="0"/>
                      <w:autoSpaceDN w:val="0"/>
                      <w:adjustRightInd w:val="0"/>
                      <w:rPr>
                        <w:szCs w:val="21"/>
                      </w:rPr>
                    </w:pPr>
                    <w:r>
                      <w:t>应付利息</w:t>
                    </w:r>
                  </w:p>
                </w:tc>
                <w:tc>
                  <w:tcPr>
                    <w:tcW w:w="1151" w:type="pct"/>
                    <w:tcBorders>
                      <w:top w:val="single" w:sz="4" w:space="0" w:color="auto"/>
                      <w:left w:val="single" w:sz="4" w:space="0" w:color="auto"/>
                      <w:bottom w:val="single" w:sz="4" w:space="0" w:color="auto"/>
                      <w:right w:val="single" w:sz="4" w:space="0" w:color="auto"/>
                    </w:tcBorders>
                  </w:tcPr>
                  <w:p w14:paraId="5FDCCA3C" w14:textId="77777777" w:rsidR="00C5658A" w:rsidRDefault="00C5658A" w:rsidP="00FF5C69">
                    <w:pPr>
                      <w:autoSpaceDE w:val="0"/>
                      <w:autoSpaceDN w:val="0"/>
                      <w:adjustRightInd w:val="0"/>
                      <w:rPr>
                        <w:szCs w:val="21"/>
                      </w:rPr>
                    </w:pPr>
                    <w:r>
                      <w:t>郑国祥</w:t>
                    </w:r>
                  </w:p>
                </w:tc>
                <w:tc>
                  <w:tcPr>
                    <w:tcW w:w="1152" w:type="pct"/>
                    <w:tcBorders>
                      <w:top w:val="single" w:sz="4" w:space="0" w:color="auto"/>
                      <w:left w:val="single" w:sz="4" w:space="0" w:color="auto"/>
                      <w:bottom w:val="single" w:sz="4" w:space="0" w:color="auto"/>
                      <w:right w:val="single" w:sz="4" w:space="0" w:color="auto"/>
                    </w:tcBorders>
                  </w:tcPr>
                  <w:p w14:paraId="34474A1F" w14:textId="77777777" w:rsidR="00C5658A" w:rsidRDefault="00C5658A" w:rsidP="00FF5C69">
                    <w:pPr>
                      <w:autoSpaceDE w:val="0"/>
                      <w:autoSpaceDN w:val="0"/>
                      <w:adjustRightInd w:val="0"/>
                      <w:jc w:val="right"/>
                      <w:rPr>
                        <w:szCs w:val="21"/>
                      </w:rPr>
                    </w:pPr>
                    <w:r>
                      <w:t>0.00</w:t>
                    </w:r>
                  </w:p>
                </w:tc>
                <w:tc>
                  <w:tcPr>
                    <w:tcW w:w="1501" w:type="pct"/>
                    <w:tcBorders>
                      <w:top w:val="single" w:sz="4" w:space="0" w:color="auto"/>
                      <w:left w:val="single" w:sz="4" w:space="0" w:color="auto"/>
                      <w:bottom w:val="single" w:sz="4" w:space="0" w:color="auto"/>
                      <w:right w:val="single" w:sz="4" w:space="0" w:color="auto"/>
                    </w:tcBorders>
                  </w:tcPr>
                  <w:p w14:paraId="2DF35770" w14:textId="77777777" w:rsidR="00C5658A" w:rsidRDefault="00C5658A" w:rsidP="00FF5C69">
                    <w:pPr>
                      <w:autoSpaceDE w:val="0"/>
                      <w:autoSpaceDN w:val="0"/>
                      <w:adjustRightInd w:val="0"/>
                      <w:jc w:val="right"/>
                      <w:rPr>
                        <w:szCs w:val="21"/>
                      </w:rPr>
                    </w:pPr>
                    <w:r>
                      <w:t>212,299.62</w:t>
                    </w:r>
                  </w:p>
                </w:tc>
              </w:tr>
            </w:sdtContent>
          </w:sdt>
          <w:sdt>
            <w:sdtPr>
              <w:rPr>
                <w:rFonts w:hint="eastAsia"/>
                <w:szCs w:val="21"/>
              </w:rPr>
              <w:alias w:val="上市公司应付关联方款项明细"/>
              <w:tag w:val="_GBC_bb3d19486f2b460b856a135056bd0897"/>
              <w:id w:val="620492707"/>
              <w:lock w:val="sdtLocked"/>
              <w:placeholder>
                <w:docPart w:val="771E34BCC1394A20BE1174FE796E9E06"/>
              </w:placeholder>
            </w:sdtPr>
            <w:sdtEndPr/>
            <w:sdtContent>
              <w:tr w:rsidR="00C5658A" w14:paraId="7AD3199E" w14:textId="77777777" w:rsidTr="00FF5C69">
                <w:tc>
                  <w:tcPr>
                    <w:tcW w:w="1196" w:type="pct"/>
                    <w:tcBorders>
                      <w:top w:val="single" w:sz="4" w:space="0" w:color="auto"/>
                      <w:left w:val="single" w:sz="4" w:space="0" w:color="auto"/>
                      <w:bottom w:val="single" w:sz="4" w:space="0" w:color="auto"/>
                      <w:right w:val="single" w:sz="4" w:space="0" w:color="auto"/>
                    </w:tcBorders>
                    <w:vAlign w:val="center"/>
                  </w:tcPr>
                  <w:p w14:paraId="7B86A064" w14:textId="77777777" w:rsidR="00C5658A" w:rsidRDefault="00C5658A" w:rsidP="00FF5C69">
                    <w:pPr>
                      <w:autoSpaceDE w:val="0"/>
                      <w:autoSpaceDN w:val="0"/>
                      <w:adjustRightInd w:val="0"/>
                      <w:rPr>
                        <w:szCs w:val="21"/>
                      </w:rPr>
                    </w:pPr>
                    <w:r>
                      <w:t>应付利息</w:t>
                    </w:r>
                  </w:p>
                </w:tc>
                <w:tc>
                  <w:tcPr>
                    <w:tcW w:w="1151" w:type="pct"/>
                    <w:tcBorders>
                      <w:top w:val="single" w:sz="4" w:space="0" w:color="auto"/>
                      <w:left w:val="single" w:sz="4" w:space="0" w:color="auto"/>
                      <w:bottom w:val="single" w:sz="4" w:space="0" w:color="auto"/>
                      <w:right w:val="single" w:sz="4" w:space="0" w:color="auto"/>
                    </w:tcBorders>
                  </w:tcPr>
                  <w:p w14:paraId="76C406F3" w14:textId="77777777" w:rsidR="00C5658A" w:rsidRDefault="00C5658A" w:rsidP="00FF5C69">
                    <w:pPr>
                      <w:autoSpaceDE w:val="0"/>
                      <w:autoSpaceDN w:val="0"/>
                      <w:adjustRightInd w:val="0"/>
                      <w:rPr>
                        <w:szCs w:val="21"/>
                      </w:rPr>
                    </w:pPr>
                    <w:r>
                      <w:t>郭志红</w:t>
                    </w:r>
                  </w:p>
                </w:tc>
                <w:tc>
                  <w:tcPr>
                    <w:tcW w:w="1152" w:type="pct"/>
                    <w:tcBorders>
                      <w:top w:val="single" w:sz="4" w:space="0" w:color="auto"/>
                      <w:left w:val="single" w:sz="4" w:space="0" w:color="auto"/>
                      <w:bottom w:val="single" w:sz="4" w:space="0" w:color="auto"/>
                      <w:right w:val="single" w:sz="4" w:space="0" w:color="auto"/>
                    </w:tcBorders>
                  </w:tcPr>
                  <w:p w14:paraId="594B8466" w14:textId="77777777" w:rsidR="00C5658A" w:rsidRDefault="00C5658A" w:rsidP="00FF5C69">
                    <w:pPr>
                      <w:autoSpaceDE w:val="0"/>
                      <w:autoSpaceDN w:val="0"/>
                      <w:adjustRightInd w:val="0"/>
                      <w:jc w:val="right"/>
                      <w:rPr>
                        <w:szCs w:val="21"/>
                      </w:rPr>
                    </w:pPr>
                    <w:r>
                      <w:t>0.00</w:t>
                    </w:r>
                  </w:p>
                </w:tc>
                <w:tc>
                  <w:tcPr>
                    <w:tcW w:w="1501" w:type="pct"/>
                    <w:tcBorders>
                      <w:top w:val="single" w:sz="4" w:space="0" w:color="auto"/>
                      <w:left w:val="single" w:sz="4" w:space="0" w:color="auto"/>
                      <w:bottom w:val="single" w:sz="4" w:space="0" w:color="auto"/>
                      <w:right w:val="single" w:sz="4" w:space="0" w:color="auto"/>
                    </w:tcBorders>
                  </w:tcPr>
                  <w:p w14:paraId="41231B17" w14:textId="77777777" w:rsidR="00C5658A" w:rsidRDefault="00C5658A" w:rsidP="00FF5C69">
                    <w:pPr>
                      <w:autoSpaceDE w:val="0"/>
                      <w:autoSpaceDN w:val="0"/>
                      <w:adjustRightInd w:val="0"/>
                      <w:jc w:val="right"/>
                      <w:rPr>
                        <w:szCs w:val="21"/>
                      </w:rPr>
                    </w:pPr>
                    <w:r>
                      <w:t>212,299.63</w:t>
                    </w:r>
                  </w:p>
                </w:tc>
              </w:tr>
            </w:sdtContent>
          </w:sdt>
          <w:sdt>
            <w:sdtPr>
              <w:rPr>
                <w:rFonts w:hint="eastAsia"/>
                <w:szCs w:val="21"/>
              </w:rPr>
              <w:alias w:val="上市公司应付关联方款项明细"/>
              <w:tag w:val="_GBC_bb3d19486f2b460b856a135056bd0897"/>
              <w:id w:val="-1670088762"/>
              <w:lock w:val="sdtLocked"/>
              <w:placeholder>
                <w:docPart w:val="771E34BCC1394A20BE1174FE796E9E06"/>
              </w:placeholder>
            </w:sdtPr>
            <w:sdtEndPr/>
            <w:sdtContent>
              <w:tr w:rsidR="00C5658A" w14:paraId="5BA9AD76" w14:textId="77777777" w:rsidTr="00FF5C69">
                <w:tc>
                  <w:tcPr>
                    <w:tcW w:w="1196" w:type="pct"/>
                    <w:tcBorders>
                      <w:top w:val="single" w:sz="4" w:space="0" w:color="auto"/>
                      <w:left w:val="single" w:sz="4" w:space="0" w:color="auto"/>
                      <w:bottom w:val="single" w:sz="4" w:space="0" w:color="auto"/>
                      <w:right w:val="single" w:sz="4" w:space="0" w:color="auto"/>
                    </w:tcBorders>
                    <w:vAlign w:val="center"/>
                  </w:tcPr>
                  <w:p w14:paraId="0F8AC18E" w14:textId="77777777" w:rsidR="00C5658A" w:rsidRDefault="00C5658A" w:rsidP="00FF5C69">
                    <w:pPr>
                      <w:autoSpaceDE w:val="0"/>
                      <w:autoSpaceDN w:val="0"/>
                      <w:adjustRightInd w:val="0"/>
                      <w:rPr>
                        <w:szCs w:val="21"/>
                      </w:rPr>
                    </w:pPr>
                    <w:r>
                      <w:t>一年内到期的非流动负债</w:t>
                    </w:r>
                  </w:p>
                </w:tc>
                <w:tc>
                  <w:tcPr>
                    <w:tcW w:w="1151" w:type="pct"/>
                    <w:tcBorders>
                      <w:top w:val="single" w:sz="4" w:space="0" w:color="auto"/>
                      <w:left w:val="single" w:sz="4" w:space="0" w:color="auto"/>
                      <w:bottom w:val="single" w:sz="4" w:space="0" w:color="auto"/>
                      <w:right w:val="single" w:sz="4" w:space="0" w:color="auto"/>
                    </w:tcBorders>
                  </w:tcPr>
                  <w:p w14:paraId="59302180" w14:textId="77777777" w:rsidR="00C5658A" w:rsidRDefault="00C5658A" w:rsidP="00FF5C69">
                    <w:pPr>
                      <w:autoSpaceDE w:val="0"/>
                      <w:autoSpaceDN w:val="0"/>
                      <w:adjustRightInd w:val="0"/>
                      <w:rPr>
                        <w:szCs w:val="21"/>
                      </w:rPr>
                    </w:pPr>
                    <w:r>
                      <w:t>北京京城海通科技文化发展有限公司</w:t>
                    </w:r>
                  </w:p>
                </w:tc>
                <w:tc>
                  <w:tcPr>
                    <w:tcW w:w="1152" w:type="pct"/>
                    <w:tcBorders>
                      <w:top w:val="single" w:sz="4" w:space="0" w:color="auto"/>
                      <w:left w:val="single" w:sz="4" w:space="0" w:color="auto"/>
                      <w:bottom w:val="single" w:sz="4" w:space="0" w:color="auto"/>
                      <w:right w:val="single" w:sz="4" w:space="0" w:color="auto"/>
                    </w:tcBorders>
                  </w:tcPr>
                  <w:p w14:paraId="26821F31" w14:textId="77777777" w:rsidR="00C5658A" w:rsidRDefault="00C5658A" w:rsidP="00FF5C69">
                    <w:pPr>
                      <w:autoSpaceDE w:val="0"/>
                      <w:autoSpaceDN w:val="0"/>
                      <w:adjustRightInd w:val="0"/>
                      <w:jc w:val="right"/>
                      <w:rPr>
                        <w:szCs w:val="21"/>
                      </w:rPr>
                    </w:pPr>
                    <w:r>
                      <w:t>0.00</w:t>
                    </w:r>
                  </w:p>
                </w:tc>
                <w:tc>
                  <w:tcPr>
                    <w:tcW w:w="1501" w:type="pct"/>
                    <w:tcBorders>
                      <w:top w:val="single" w:sz="4" w:space="0" w:color="auto"/>
                      <w:left w:val="single" w:sz="4" w:space="0" w:color="auto"/>
                      <w:bottom w:val="single" w:sz="4" w:space="0" w:color="auto"/>
                      <w:right w:val="single" w:sz="4" w:space="0" w:color="auto"/>
                    </w:tcBorders>
                  </w:tcPr>
                  <w:p w14:paraId="68F35FA8" w14:textId="77777777" w:rsidR="00C5658A" w:rsidRDefault="00C5658A" w:rsidP="00FF5C69">
                    <w:pPr>
                      <w:autoSpaceDE w:val="0"/>
                      <w:autoSpaceDN w:val="0"/>
                      <w:adjustRightInd w:val="0"/>
                      <w:jc w:val="right"/>
                      <w:rPr>
                        <w:szCs w:val="21"/>
                      </w:rPr>
                    </w:pPr>
                    <w:r>
                      <w:t>15,540,454.46</w:t>
                    </w:r>
                  </w:p>
                </w:tc>
              </w:tr>
            </w:sdtContent>
          </w:sdt>
          <w:sdt>
            <w:sdtPr>
              <w:rPr>
                <w:rFonts w:hint="eastAsia"/>
                <w:szCs w:val="21"/>
              </w:rPr>
              <w:alias w:val="上市公司应付关联方款项明细"/>
              <w:tag w:val="_GBC_bb3d19486f2b460b856a135056bd0897"/>
              <w:id w:val="970331095"/>
              <w:lock w:val="sdtLocked"/>
              <w:placeholder>
                <w:docPart w:val="771E34BCC1394A20BE1174FE796E9E06"/>
              </w:placeholder>
            </w:sdtPr>
            <w:sdtEndPr/>
            <w:sdtContent>
              <w:tr w:rsidR="00C5658A" w14:paraId="64E08103" w14:textId="77777777" w:rsidTr="00FF5C69">
                <w:tc>
                  <w:tcPr>
                    <w:tcW w:w="1196" w:type="pct"/>
                    <w:tcBorders>
                      <w:top w:val="single" w:sz="4" w:space="0" w:color="auto"/>
                      <w:left w:val="single" w:sz="4" w:space="0" w:color="auto"/>
                      <w:bottom w:val="single" w:sz="4" w:space="0" w:color="auto"/>
                      <w:right w:val="single" w:sz="4" w:space="0" w:color="auto"/>
                    </w:tcBorders>
                    <w:vAlign w:val="center"/>
                  </w:tcPr>
                  <w:p w14:paraId="17706442" w14:textId="77777777" w:rsidR="00C5658A" w:rsidRDefault="00C5658A" w:rsidP="00FF5C69">
                    <w:pPr>
                      <w:autoSpaceDE w:val="0"/>
                      <w:autoSpaceDN w:val="0"/>
                      <w:adjustRightInd w:val="0"/>
                      <w:rPr>
                        <w:szCs w:val="21"/>
                      </w:rPr>
                    </w:pPr>
                    <w:r>
                      <w:t>长期应付款</w:t>
                    </w:r>
                  </w:p>
                </w:tc>
                <w:tc>
                  <w:tcPr>
                    <w:tcW w:w="1151" w:type="pct"/>
                    <w:tcBorders>
                      <w:top w:val="single" w:sz="4" w:space="0" w:color="auto"/>
                      <w:left w:val="single" w:sz="4" w:space="0" w:color="auto"/>
                      <w:bottom w:val="single" w:sz="4" w:space="0" w:color="auto"/>
                      <w:right w:val="single" w:sz="4" w:space="0" w:color="auto"/>
                    </w:tcBorders>
                  </w:tcPr>
                  <w:p w14:paraId="4DC2EA07" w14:textId="77777777" w:rsidR="00C5658A" w:rsidRDefault="00C5658A" w:rsidP="00FF5C69">
                    <w:pPr>
                      <w:autoSpaceDE w:val="0"/>
                      <w:autoSpaceDN w:val="0"/>
                      <w:adjustRightInd w:val="0"/>
                      <w:rPr>
                        <w:szCs w:val="21"/>
                      </w:rPr>
                    </w:pPr>
                    <w:r>
                      <w:t>北清智创（北京）新能源汽车科技有限公司</w:t>
                    </w:r>
                  </w:p>
                </w:tc>
                <w:tc>
                  <w:tcPr>
                    <w:tcW w:w="1152" w:type="pct"/>
                    <w:tcBorders>
                      <w:top w:val="single" w:sz="4" w:space="0" w:color="auto"/>
                      <w:left w:val="single" w:sz="4" w:space="0" w:color="auto"/>
                      <w:bottom w:val="single" w:sz="4" w:space="0" w:color="auto"/>
                      <w:right w:val="single" w:sz="4" w:space="0" w:color="auto"/>
                    </w:tcBorders>
                  </w:tcPr>
                  <w:p w14:paraId="4998F545" w14:textId="77777777" w:rsidR="00C5658A" w:rsidRDefault="00C5658A" w:rsidP="00FF5C69">
                    <w:pPr>
                      <w:autoSpaceDE w:val="0"/>
                      <w:autoSpaceDN w:val="0"/>
                      <w:adjustRightInd w:val="0"/>
                      <w:jc w:val="right"/>
                      <w:rPr>
                        <w:szCs w:val="21"/>
                      </w:rPr>
                    </w:pPr>
                    <w:r>
                      <w:t>7,000,000.00</w:t>
                    </w:r>
                  </w:p>
                </w:tc>
                <w:tc>
                  <w:tcPr>
                    <w:tcW w:w="1501" w:type="pct"/>
                    <w:tcBorders>
                      <w:top w:val="single" w:sz="4" w:space="0" w:color="auto"/>
                      <w:left w:val="single" w:sz="4" w:space="0" w:color="auto"/>
                      <w:bottom w:val="single" w:sz="4" w:space="0" w:color="auto"/>
                      <w:right w:val="single" w:sz="4" w:space="0" w:color="auto"/>
                    </w:tcBorders>
                  </w:tcPr>
                  <w:p w14:paraId="0C063308" w14:textId="77777777" w:rsidR="00C5658A" w:rsidRDefault="00C5658A" w:rsidP="00FF5C69">
                    <w:pPr>
                      <w:autoSpaceDE w:val="0"/>
                      <w:autoSpaceDN w:val="0"/>
                      <w:adjustRightInd w:val="0"/>
                      <w:jc w:val="right"/>
                      <w:rPr>
                        <w:szCs w:val="21"/>
                      </w:rPr>
                    </w:pPr>
                    <w:r>
                      <w:t>10,000,000.00</w:t>
                    </w:r>
                  </w:p>
                </w:tc>
              </w:tr>
            </w:sdtContent>
          </w:sdt>
        </w:tbl>
        <w:p w14:paraId="13C23865" w14:textId="77777777" w:rsidR="00C5658A" w:rsidRDefault="00C5658A"/>
        <w:p w14:paraId="62CC7F46" w14:textId="34CCD5CA" w:rsidR="00471D53" w:rsidRDefault="00B664AF" w:rsidP="00C5658A">
          <w:pPr>
            <w:pStyle w:val="afffff8"/>
            <w:tabs>
              <w:tab w:val="left" w:pos="616"/>
            </w:tabs>
            <w:rPr>
              <w:szCs w:val="21"/>
            </w:rPr>
          </w:pPr>
        </w:p>
      </w:sdtContent>
    </w:sdt>
    <w:bookmarkEnd w:id="242" w:displacedByCustomXml="prev"/>
    <w:sdt>
      <w:sdtPr>
        <w:rPr>
          <w:rFonts w:ascii="宋体" w:hAnsi="宋体" w:cs="宋体" w:hint="eastAsia"/>
          <w:b w:val="0"/>
          <w:bCs w:val="0"/>
          <w:kern w:val="0"/>
          <w:szCs w:val="24"/>
        </w:rPr>
        <w:alias w:val="模块:关联方承诺"/>
        <w:tag w:val="_GBC_945a5f0033de4c9786bb7245eedc88e3"/>
        <w:id w:val="-617065945"/>
        <w:lock w:val="sdtLocked"/>
        <w:placeholder>
          <w:docPart w:val="GBC22222222222222222222222222222"/>
        </w:placeholder>
      </w:sdtPr>
      <w:sdtEndPr>
        <w:rPr>
          <w:rFonts w:cs="Cambria"/>
          <w:sz w:val="20"/>
          <w:szCs w:val="20"/>
        </w:rPr>
      </w:sdtEndPr>
      <w:sdtContent>
        <w:p w14:paraId="62E4B12F" w14:textId="77777777" w:rsidR="00471D53" w:rsidRDefault="004F686E" w:rsidP="004F686E">
          <w:pPr>
            <w:pStyle w:val="afffff7"/>
            <w:numPr>
              <w:ilvl w:val="0"/>
              <w:numId w:val="100"/>
            </w:numPr>
            <w:rPr>
              <w:rFonts w:ascii="宋体" w:hAnsi="宋体" w:cs="Arial"/>
              <w:szCs w:val="21"/>
            </w:rPr>
          </w:pPr>
          <w:r>
            <w:rPr>
              <w:rFonts w:ascii="宋体" w:hAnsi="宋体" w:hint="eastAsia"/>
            </w:rPr>
            <w:t>关联方</w:t>
          </w:r>
          <w:r>
            <w:rPr>
              <w:rFonts w:ascii="宋体" w:hAnsi="宋体" w:cs="Arial" w:hint="eastAsia"/>
              <w:szCs w:val="21"/>
            </w:rPr>
            <w:t>承诺</w:t>
          </w:r>
        </w:p>
        <w:sdt>
          <w:sdtPr>
            <w:alias w:val="是否适用：关联方承诺[双击切换]"/>
            <w:tag w:val="_GBC_b906cacab2e94825966fa70e345656b5"/>
            <w:id w:val="88196694"/>
            <w:lock w:val="sdtLocked"/>
            <w:placeholder>
              <w:docPart w:val="GBC22222222222222222222222222222"/>
            </w:placeholder>
          </w:sdtPr>
          <w:sdtEndPr/>
          <w:sdtContent>
            <w:p w14:paraId="7A6E3C7A"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szCs w:val="21"/>
            </w:rPr>
            <w:alias w:val="关联方相关承诺"/>
            <w:tag w:val="_GBC_07be2fbf22ab46319cf1aeac8c65a417"/>
            <w:id w:val="653339612"/>
            <w:lock w:val="sdtLocked"/>
            <w:placeholder>
              <w:docPart w:val="GBC22222222222222222222222222222"/>
            </w:placeholder>
          </w:sdtPr>
          <w:sdtEndPr/>
          <w:sdtContent>
            <w:p w14:paraId="3E3C11B5" w14:textId="77777777" w:rsidR="00471D53" w:rsidRPr="009106BD" w:rsidRDefault="004F686E" w:rsidP="00471D53">
              <w:pPr>
                <w:spacing w:beforeLines="50" w:before="120" w:afterLines="50" w:after="120" w:line="360" w:lineRule="exact"/>
                <w:ind w:firstLineChars="200" w:firstLine="420"/>
                <w:rPr>
                  <w:sz w:val="22"/>
                  <w:szCs w:val="22"/>
                </w:rPr>
              </w:pPr>
              <w:r w:rsidRPr="009106BD">
                <w:rPr>
                  <w:rFonts w:hint="eastAsia"/>
                  <w:sz w:val="22"/>
                  <w:szCs w:val="22"/>
                </w:rPr>
                <w:t>本公司之子公司北京天海的联营公司北清智创注册资本</w:t>
              </w:r>
              <w:r w:rsidRPr="009106BD">
                <w:rPr>
                  <w:sz w:val="22"/>
                  <w:szCs w:val="22"/>
                </w:rPr>
                <w:t>10,000.00万元，其中北京天海认缴出资1,000.00万元，持股10%，认缴出资日期为2022年12月31日前。</w:t>
              </w:r>
              <w:r w:rsidRPr="009106BD">
                <w:rPr>
                  <w:rFonts w:hint="eastAsia"/>
                  <w:sz w:val="22"/>
                  <w:szCs w:val="22"/>
                </w:rPr>
                <w:t>截止202</w:t>
              </w:r>
              <w:r>
                <w:rPr>
                  <w:rFonts w:hint="eastAsia"/>
                  <w:sz w:val="22"/>
                  <w:szCs w:val="22"/>
                </w:rPr>
                <w:t>1</w:t>
              </w:r>
              <w:r w:rsidRPr="009106BD">
                <w:rPr>
                  <w:rFonts w:hint="eastAsia"/>
                  <w:sz w:val="22"/>
                  <w:szCs w:val="22"/>
                </w:rPr>
                <w:t>年</w:t>
              </w:r>
              <w:r>
                <w:rPr>
                  <w:rFonts w:hint="eastAsia"/>
                  <w:sz w:val="22"/>
                  <w:szCs w:val="22"/>
                </w:rPr>
                <w:t>6</w:t>
              </w:r>
              <w:r w:rsidRPr="009106BD">
                <w:rPr>
                  <w:rFonts w:hint="eastAsia"/>
                  <w:sz w:val="22"/>
                  <w:szCs w:val="22"/>
                </w:rPr>
                <w:t>月3</w:t>
              </w:r>
              <w:r>
                <w:rPr>
                  <w:rFonts w:hint="eastAsia"/>
                  <w:sz w:val="22"/>
                  <w:szCs w:val="22"/>
                </w:rPr>
                <w:t>0</w:t>
              </w:r>
              <w:r w:rsidRPr="009106BD">
                <w:rPr>
                  <w:rFonts w:hint="eastAsia"/>
                  <w:sz w:val="22"/>
                  <w:szCs w:val="22"/>
                </w:rPr>
                <w:t>日，未实缴出资</w:t>
              </w:r>
              <w:r>
                <w:rPr>
                  <w:rFonts w:hint="eastAsia"/>
                  <w:sz w:val="22"/>
                  <w:szCs w:val="22"/>
                </w:rPr>
                <w:t>7</w:t>
              </w:r>
              <w:r w:rsidRPr="009106BD">
                <w:rPr>
                  <w:sz w:val="22"/>
                  <w:szCs w:val="22"/>
                </w:rPr>
                <w:t>00.00万元</w:t>
              </w:r>
              <w:r w:rsidRPr="009106BD">
                <w:rPr>
                  <w:rFonts w:hint="eastAsia"/>
                  <w:sz w:val="22"/>
                  <w:szCs w:val="22"/>
                </w:rPr>
                <w:t>。</w:t>
              </w:r>
            </w:p>
            <w:p w14:paraId="21801D87" w14:textId="77777777" w:rsidR="00471D53" w:rsidRDefault="00B664AF">
              <w:pPr>
                <w:rPr>
                  <w:szCs w:val="21"/>
                </w:rPr>
              </w:pPr>
            </w:p>
          </w:sdtContent>
        </w:sdt>
        <w:p w14:paraId="7C0AD408" w14:textId="77777777" w:rsidR="00471D53" w:rsidRDefault="00B664AF">
          <w:pPr>
            <w:tabs>
              <w:tab w:val="left" w:pos="1134"/>
            </w:tabs>
            <w:rPr>
              <w:rFonts w:cs="Cambria"/>
              <w:sz w:val="20"/>
              <w:szCs w:val="20"/>
            </w:rPr>
          </w:pPr>
        </w:p>
      </w:sdtContent>
    </w:sdt>
    <w:sdt>
      <w:sdtPr>
        <w:rPr>
          <w:rFonts w:ascii="宋体" w:hAnsi="宋体" w:cs="Arial" w:hint="eastAsia"/>
          <w:b w:val="0"/>
          <w:bCs w:val="0"/>
          <w:kern w:val="0"/>
          <w:szCs w:val="21"/>
        </w:rPr>
        <w:alias w:val="模块:关联方及关联情况的其他说明"/>
        <w:tag w:val="_GBC_f467d909644e4ab6b08e0abfbea78eb8"/>
        <w:id w:val="1000625519"/>
        <w:lock w:val="sdtLocked"/>
        <w:placeholder>
          <w:docPart w:val="GBC22222222222222222222222222222"/>
        </w:placeholder>
      </w:sdtPr>
      <w:sdtEndPr>
        <w:rPr>
          <w:rFonts w:cs="Cambria"/>
          <w:sz w:val="20"/>
          <w:szCs w:val="20"/>
        </w:rPr>
      </w:sdtEndPr>
      <w:sdtContent>
        <w:p w14:paraId="10E13A25" w14:textId="77777777" w:rsidR="00471D53" w:rsidRDefault="004F686E" w:rsidP="004F686E">
          <w:pPr>
            <w:pStyle w:val="afffff7"/>
            <w:numPr>
              <w:ilvl w:val="0"/>
              <w:numId w:val="100"/>
            </w:numPr>
            <w:rPr>
              <w:rFonts w:ascii="宋体" w:hAnsi="宋体" w:cs="Arial"/>
              <w:szCs w:val="21"/>
            </w:rPr>
          </w:pPr>
          <w:r>
            <w:rPr>
              <w:rFonts w:ascii="宋体" w:hAnsi="宋体" w:cs="Arial" w:hint="eastAsia"/>
              <w:szCs w:val="21"/>
            </w:rPr>
            <w:t>其他</w:t>
          </w:r>
        </w:p>
        <w:sdt>
          <w:sdtPr>
            <w:alias w:val="是否适用：关联方及关联情况的其他说明[双击切换]"/>
            <w:tag w:val="_GBC_87161343db8b4a0b9e041c62c0df5e87"/>
            <w:id w:val="-102036160"/>
            <w:lock w:val="sdtLocked"/>
            <w:placeholder>
              <w:docPart w:val="GBC22222222222222222222222222222"/>
            </w:placeholder>
          </w:sdtPr>
          <w:sdtEndPr/>
          <w:sdtContent>
            <w:p w14:paraId="2B8057F6"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hAnsi="宋体" w:cs="Cambria"/>
              <w:b w:val="0"/>
              <w:bCs w:val="0"/>
              <w:kern w:val="0"/>
              <w:sz w:val="20"/>
              <w:szCs w:val="20"/>
            </w:rPr>
            <w:alias w:val="关联方及关联情况的其他说明"/>
            <w:tag w:val="_GBC_6845e44cf1734e368534cfc0fc2ba9a1"/>
            <w:id w:val="-1669317885"/>
            <w:lock w:val="sdtLocked"/>
            <w:placeholder>
              <w:docPart w:val="GBC22222222222222222222222222222"/>
            </w:placeholder>
          </w:sdtPr>
          <w:sdtEndPr>
            <w:rPr>
              <w:b/>
            </w:rPr>
          </w:sdtEndPr>
          <w:sdtContent>
            <w:p w14:paraId="5A9CDB53" w14:textId="77777777" w:rsidR="00471D53" w:rsidRPr="0021434D" w:rsidRDefault="004F686E" w:rsidP="00471D53">
              <w:pPr>
                <w:pStyle w:val="afffff7"/>
                <w:spacing w:beforeLines="50" w:before="120" w:afterLines="50" w:after="120" w:line="360" w:lineRule="exact"/>
                <w:ind w:left="420"/>
                <w:rPr>
                  <w:b w:val="0"/>
                  <w:sz w:val="22"/>
                </w:rPr>
              </w:pPr>
              <w:r w:rsidRPr="00BF4535">
                <w:rPr>
                  <w:b w:val="0"/>
                  <w:sz w:val="22"/>
                </w:rPr>
                <w:t>持续关连交易</w:t>
              </w:r>
            </w:p>
            <w:p w14:paraId="4E96E01C" w14:textId="77777777" w:rsidR="00471D53" w:rsidRDefault="004F686E" w:rsidP="00471D53">
              <w:pPr>
                <w:tabs>
                  <w:tab w:val="left" w:pos="1134"/>
                </w:tabs>
                <w:ind w:firstLineChars="200" w:firstLine="440"/>
                <w:rPr>
                  <w:rFonts w:cs="Cambria"/>
                  <w:b/>
                  <w:sz w:val="20"/>
                  <w:szCs w:val="20"/>
                </w:rPr>
              </w:pPr>
              <w:r>
                <w:rPr>
                  <w:rFonts w:hint="eastAsia"/>
                  <w:sz w:val="22"/>
                  <w:szCs w:val="22"/>
                </w:rPr>
                <w:t>于本公司</w:t>
              </w:r>
              <w:r>
                <w:rPr>
                  <w:sz w:val="22"/>
                  <w:szCs w:val="22"/>
                </w:rPr>
                <w:t>20</w:t>
              </w:r>
              <w:r>
                <w:rPr>
                  <w:rFonts w:hint="eastAsia"/>
                  <w:sz w:val="22"/>
                  <w:szCs w:val="22"/>
                </w:rPr>
                <w:t>21年半年度报告“第七节重要事项”之“第十四条重大关联交易”之“第五项其他”披露的关连交易也构成《香港上市规则》第</w:t>
              </w:r>
              <w:r>
                <w:rPr>
                  <w:sz w:val="22"/>
                  <w:szCs w:val="22"/>
                </w:rPr>
                <w:t>14A</w:t>
              </w:r>
              <w:r>
                <w:rPr>
                  <w:rFonts w:hint="eastAsia"/>
                  <w:sz w:val="22"/>
                  <w:szCs w:val="22"/>
                </w:rPr>
                <w:t>章中定义的关连交易或持续关连交易。</w:t>
              </w:r>
            </w:p>
          </w:sdtContent>
        </w:sdt>
      </w:sdtContent>
    </w:sdt>
    <w:bookmarkEnd w:id="237"/>
    <w:p w14:paraId="3EF43444" w14:textId="77777777" w:rsidR="00471D53" w:rsidRDefault="004F686E" w:rsidP="004F686E">
      <w:pPr>
        <w:pStyle w:val="afffff6"/>
        <w:numPr>
          <w:ilvl w:val="0"/>
          <w:numId w:val="35"/>
        </w:numPr>
        <w:ind w:left="422" w:hanging="422"/>
        <w:rPr>
          <w:rFonts w:ascii="宋体" w:hAnsi="宋体"/>
        </w:rPr>
      </w:pPr>
      <w:r>
        <w:rPr>
          <w:rFonts w:ascii="宋体" w:hAnsi="宋体" w:hint="eastAsia"/>
        </w:rPr>
        <w:t>股份支付</w:t>
      </w:r>
    </w:p>
    <w:sdt>
      <w:sdtPr>
        <w:rPr>
          <w:rFonts w:ascii="宋体" w:hAnsi="宋体" w:cs="宋体" w:hint="eastAsia"/>
          <w:b w:val="0"/>
          <w:bCs w:val="0"/>
          <w:kern w:val="0"/>
          <w:szCs w:val="24"/>
        </w:rPr>
        <w:alias w:val="模块:股份支付总体情况"/>
        <w:tag w:val="_GBC_07972b1f6b5c4904b730c6b344e432ee"/>
        <w:id w:val="766042884"/>
        <w:lock w:val="sdtLocked"/>
        <w:placeholder>
          <w:docPart w:val="GBC22222222222222222222222222222"/>
        </w:placeholder>
      </w:sdtPr>
      <w:sdtEndPr>
        <w:rPr>
          <w:rFonts w:cstheme="minorBidi"/>
          <w:szCs w:val="21"/>
        </w:rPr>
      </w:sdtEndPr>
      <w:sdtContent>
        <w:p w14:paraId="3985E7B9" w14:textId="77777777" w:rsidR="00471D53" w:rsidRDefault="004F686E" w:rsidP="004F686E">
          <w:pPr>
            <w:pStyle w:val="afffff7"/>
            <w:numPr>
              <w:ilvl w:val="0"/>
              <w:numId w:val="104"/>
            </w:numPr>
            <w:rPr>
              <w:rFonts w:ascii="宋体" w:hAnsi="宋体"/>
            </w:rPr>
          </w:pPr>
          <w:r>
            <w:rPr>
              <w:rFonts w:ascii="宋体" w:hAnsi="宋体" w:hint="eastAsia"/>
            </w:rPr>
            <w:t>股份支付总体情况</w:t>
          </w:r>
        </w:p>
        <w:sdt>
          <w:sdtPr>
            <w:alias w:val="是否适用：股份支付总体情况[双击切换]"/>
            <w:tag w:val="_GBC_7d36569622d040fb870ad46d99420cd2"/>
            <w:id w:val="-524715096"/>
            <w:lock w:val="sdtLocked"/>
            <w:placeholder>
              <w:docPart w:val="GBC22222222222222222222222222222"/>
            </w:placeholder>
          </w:sdtPr>
          <w:sdtEndPr/>
          <w:sdtContent>
            <w:p w14:paraId="611787EF"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D596C9A" w14:textId="77777777" w:rsidR="00471D53" w:rsidRDefault="00B664AF">
          <w:pPr>
            <w:rPr>
              <w:szCs w:val="21"/>
            </w:rPr>
          </w:pPr>
        </w:p>
      </w:sdtContent>
    </w:sdt>
    <w:sdt>
      <w:sdtPr>
        <w:rPr>
          <w:rFonts w:ascii="宋体" w:hAnsi="宋体" w:cs="宋体" w:hint="eastAsia"/>
          <w:b w:val="0"/>
          <w:bCs w:val="0"/>
          <w:kern w:val="0"/>
          <w:szCs w:val="24"/>
        </w:rPr>
        <w:alias w:val="模块:以权益结算的股份支付情况"/>
        <w:tag w:val="_GBC_a6f090c303de426580c058a0a463c95f"/>
        <w:id w:val="-1349721705"/>
        <w:lock w:val="sdtLocked"/>
        <w:placeholder>
          <w:docPart w:val="GBC22222222222222222222222222222"/>
        </w:placeholder>
      </w:sdtPr>
      <w:sdtEndPr>
        <w:rPr>
          <w:rFonts w:cstheme="minorBidi"/>
          <w:szCs w:val="21"/>
        </w:rPr>
      </w:sdtEndPr>
      <w:sdtContent>
        <w:p w14:paraId="40772BCE" w14:textId="77777777" w:rsidR="00471D53" w:rsidRDefault="004F686E" w:rsidP="004F686E">
          <w:pPr>
            <w:pStyle w:val="afffff7"/>
            <w:numPr>
              <w:ilvl w:val="0"/>
              <w:numId w:val="104"/>
            </w:numPr>
            <w:rPr>
              <w:rFonts w:ascii="宋体" w:hAnsi="宋体"/>
            </w:rPr>
          </w:pPr>
          <w:r>
            <w:rPr>
              <w:rFonts w:ascii="宋体" w:hAnsi="宋体" w:hint="eastAsia"/>
            </w:rPr>
            <w:t>以权益结算的股份支付情况</w:t>
          </w:r>
        </w:p>
        <w:sdt>
          <w:sdtPr>
            <w:alias w:val="是否适用：以权益结算的股份支付情况[双击切换]"/>
            <w:tag w:val="_GBC_5d901e3b36be4331aac030c8e4b9b1a5"/>
            <w:id w:val="1900170579"/>
            <w:lock w:val="sdtLocked"/>
            <w:placeholder>
              <w:docPart w:val="GBC22222222222222222222222222222"/>
            </w:placeholder>
          </w:sdtPr>
          <w:sdtEndPr/>
          <w:sdtContent>
            <w:p w14:paraId="36D8623E"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D854692" w14:textId="77777777" w:rsidR="00471D53" w:rsidRDefault="00B664AF">
          <w:pPr>
            <w:rPr>
              <w:szCs w:val="21"/>
            </w:rPr>
          </w:pPr>
        </w:p>
      </w:sdtContent>
    </w:sdt>
    <w:p w14:paraId="017EFDEC" w14:textId="77777777" w:rsidR="00471D53" w:rsidRDefault="00B664AF">
      <w:pPr>
        <w:rPr>
          <w:szCs w:val="21"/>
        </w:rPr>
      </w:pPr>
    </w:p>
    <w:sdt>
      <w:sdtPr>
        <w:rPr>
          <w:rFonts w:ascii="宋体" w:hAnsi="宋体" w:cs="宋体" w:hint="eastAsia"/>
          <w:b w:val="0"/>
          <w:bCs w:val="0"/>
          <w:kern w:val="0"/>
          <w:szCs w:val="24"/>
        </w:rPr>
        <w:alias w:val="模块:以现金结算的股份支付情况"/>
        <w:tag w:val="_GBC_e8a0c7296300463994744e877be96129"/>
        <w:id w:val="-1991625685"/>
        <w:lock w:val="sdtLocked"/>
        <w:placeholder>
          <w:docPart w:val="GBC22222222222222222222222222222"/>
        </w:placeholder>
      </w:sdtPr>
      <w:sdtEndPr>
        <w:rPr>
          <w:rFonts w:cstheme="minorBidi"/>
          <w:szCs w:val="21"/>
        </w:rPr>
      </w:sdtEndPr>
      <w:sdtContent>
        <w:p w14:paraId="7FDFFFC0" w14:textId="77777777" w:rsidR="00471D53" w:rsidRDefault="004F686E" w:rsidP="004F686E">
          <w:pPr>
            <w:pStyle w:val="afffff7"/>
            <w:numPr>
              <w:ilvl w:val="0"/>
              <w:numId w:val="104"/>
            </w:numPr>
            <w:rPr>
              <w:rFonts w:ascii="宋体" w:hAnsi="宋体"/>
            </w:rPr>
          </w:pPr>
          <w:r>
            <w:rPr>
              <w:rFonts w:ascii="宋体" w:hAnsi="宋体" w:hint="eastAsia"/>
            </w:rPr>
            <w:t>以现金结算的股份支付情况</w:t>
          </w:r>
        </w:p>
        <w:sdt>
          <w:sdtPr>
            <w:alias w:val="是否适用：以现金结算的股份支付情况[双击切换]"/>
            <w:tag w:val="_GBC_aa134f611909486bb3a2d6258058f88d"/>
            <w:id w:val="-836925315"/>
            <w:lock w:val="sdtLocked"/>
            <w:placeholder>
              <w:docPart w:val="GBC22222222222222222222222222222"/>
            </w:placeholder>
          </w:sdtPr>
          <w:sdtEndPr/>
          <w:sdtContent>
            <w:p w14:paraId="4F6371B8"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6754340" w14:textId="77777777" w:rsidR="00471D53" w:rsidRDefault="00B664AF">
          <w:pPr>
            <w:rPr>
              <w:szCs w:val="21"/>
            </w:rPr>
          </w:pPr>
        </w:p>
      </w:sdtContent>
    </w:sdt>
    <w:p w14:paraId="769299CF" w14:textId="77777777" w:rsidR="00471D53" w:rsidRDefault="00B664AF">
      <w:pPr>
        <w:rPr>
          <w:szCs w:val="21"/>
        </w:rPr>
      </w:pPr>
    </w:p>
    <w:sdt>
      <w:sdtPr>
        <w:rPr>
          <w:rFonts w:ascii="宋体" w:hAnsi="宋体" w:cs="宋体" w:hint="eastAsia"/>
          <w:b w:val="0"/>
          <w:bCs w:val="0"/>
          <w:kern w:val="0"/>
          <w:szCs w:val="24"/>
        </w:rPr>
        <w:alias w:val="模块:股份支付的修改、终止情况"/>
        <w:tag w:val="_GBC_ae153862caea4ff5a57470b6f594f167"/>
        <w:id w:val="1117417827"/>
        <w:lock w:val="sdtLocked"/>
        <w:placeholder>
          <w:docPart w:val="GBC22222222222222222222222222222"/>
        </w:placeholder>
      </w:sdtPr>
      <w:sdtEndPr>
        <w:rPr>
          <w:rFonts w:cstheme="minorBidi" w:hint="default"/>
          <w:szCs w:val="21"/>
        </w:rPr>
      </w:sdtEndPr>
      <w:sdtContent>
        <w:p w14:paraId="71239514" w14:textId="77777777" w:rsidR="00471D53" w:rsidRDefault="004F686E" w:rsidP="004F686E">
          <w:pPr>
            <w:pStyle w:val="afffff7"/>
            <w:numPr>
              <w:ilvl w:val="0"/>
              <w:numId w:val="104"/>
            </w:numPr>
            <w:rPr>
              <w:rFonts w:ascii="宋体" w:hAnsi="宋体"/>
            </w:rPr>
          </w:pPr>
          <w:r>
            <w:rPr>
              <w:rFonts w:ascii="宋体" w:hAnsi="宋体" w:hint="eastAsia"/>
            </w:rPr>
            <w:t>股份支付的修改、终止情况</w:t>
          </w:r>
        </w:p>
        <w:sdt>
          <w:sdtPr>
            <w:alias w:val="是否适用：股份支付的修改、终止情况[双击切换]"/>
            <w:tag w:val="_GBC_794cdee9be3b4b478fa83b914d22ea66"/>
            <w:id w:val="-1764761277"/>
            <w:lock w:val="sdtLocked"/>
            <w:placeholder>
              <w:docPart w:val="GBC22222222222222222222222222222"/>
            </w:placeholder>
          </w:sdtPr>
          <w:sdtEndPr/>
          <w:sdtContent>
            <w:p w14:paraId="7D1B1C45" w14:textId="77777777" w:rsidR="00471D53" w:rsidRDefault="004F686E" w:rsidP="00471D53">
              <w:pPr>
                <w:rPr>
                  <w:rFonts w:cstheme="minorBidi"/>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586FA8E9" w14:textId="77777777" w:rsidR="00471D53" w:rsidRDefault="00B664AF" w:rsidP="00471D53">
      <w:pPr>
        <w:ind w:firstLineChars="100" w:firstLine="210"/>
        <w:rPr>
          <w:szCs w:val="21"/>
        </w:rPr>
      </w:pPr>
    </w:p>
    <w:sdt>
      <w:sdtPr>
        <w:rPr>
          <w:rFonts w:ascii="宋体" w:hAnsi="宋体" w:cs="宋体"/>
          <w:b w:val="0"/>
          <w:bCs w:val="0"/>
          <w:kern w:val="0"/>
          <w:szCs w:val="21"/>
        </w:rPr>
        <w:alias w:val="模块:股份支付的其他情况说明"/>
        <w:tag w:val="_GBC_d9554f13d811474eab6fe8ab0c5c8811"/>
        <w:id w:val="817688383"/>
        <w:lock w:val="sdtLocked"/>
        <w:placeholder>
          <w:docPart w:val="GBC22222222222222222222222222222"/>
        </w:placeholder>
      </w:sdtPr>
      <w:sdtEndPr/>
      <w:sdtContent>
        <w:p w14:paraId="4EAFC597" w14:textId="77777777" w:rsidR="00471D53" w:rsidRDefault="004F686E" w:rsidP="004F686E">
          <w:pPr>
            <w:pStyle w:val="afffff7"/>
            <w:numPr>
              <w:ilvl w:val="0"/>
              <w:numId w:val="104"/>
            </w:numPr>
            <w:rPr>
              <w:rFonts w:ascii="宋体" w:hAnsi="宋体"/>
              <w:szCs w:val="21"/>
            </w:rPr>
          </w:pPr>
          <w:r>
            <w:rPr>
              <w:rFonts w:ascii="宋体" w:hAnsi="宋体" w:hint="eastAsia"/>
              <w:szCs w:val="21"/>
            </w:rPr>
            <w:t>其他</w:t>
          </w:r>
        </w:p>
        <w:sdt>
          <w:sdtPr>
            <w:alias w:val="是否适用：股份支付的其他情况说明[双击切换]"/>
            <w:tag w:val="_GBC_b8be1a19715949cab94dc673580d61a2"/>
            <w:id w:val="864562722"/>
            <w:lock w:val="sdtLocked"/>
            <w:placeholder>
              <w:docPart w:val="GBC22222222222222222222222222222"/>
            </w:placeholder>
          </w:sdtPr>
          <w:sdtEndPr/>
          <w:sdtContent>
            <w:p w14:paraId="483C0E9E" w14:textId="77777777" w:rsidR="00471D53" w:rsidRDefault="004F686E" w:rsidP="00471D53">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0219B226" w14:textId="77777777" w:rsidR="00471D53" w:rsidRDefault="00B664AF">
      <w:pPr>
        <w:rPr>
          <w:szCs w:val="21"/>
        </w:rPr>
      </w:pPr>
    </w:p>
    <w:p w14:paraId="2ED412A7" w14:textId="77777777" w:rsidR="00471D53" w:rsidRDefault="004F686E" w:rsidP="004F686E">
      <w:pPr>
        <w:pStyle w:val="afffff6"/>
        <w:numPr>
          <w:ilvl w:val="0"/>
          <w:numId w:val="35"/>
        </w:numPr>
        <w:ind w:left="422" w:hanging="422"/>
        <w:rPr>
          <w:rFonts w:ascii="宋体" w:hAnsi="宋体"/>
        </w:rPr>
      </w:pPr>
      <w:r>
        <w:rPr>
          <w:rFonts w:ascii="宋体" w:hAnsi="宋体" w:hint="eastAsia"/>
        </w:rPr>
        <w:t>承诺及或有事项</w:t>
      </w:r>
    </w:p>
    <w:p w14:paraId="18DC6903" w14:textId="77777777" w:rsidR="00471D53" w:rsidRDefault="004F686E" w:rsidP="004F686E">
      <w:pPr>
        <w:pStyle w:val="afffff7"/>
        <w:numPr>
          <w:ilvl w:val="0"/>
          <w:numId w:val="105"/>
        </w:numPr>
        <w:rPr>
          <w:rFonts w:ascii="宋体" w:hAnsi="宋体"/>
        </w:rPr>
      </w:pPr>
      <w:r>
        <w:rPr>
          <w:rFonts w:ascii="宋体" w:hAnsi="宋体" w:hint="eastAsia"/>
        </w:rPr>
        <w:t>重要承诺事项</w:t>
      </w:r>
    </w:p>
    <w:sdt>
      <w:sdtPr>
        <w:alias w:val="是否适用：重要承诺事项[双击切换]"/>
        <w:tag w:val="_GBC_3ee02d2bff5e4dd69f75cc6148bdda8f"/>
        <w:id w:val="-1093310750"/>
        <w:lock w:val="sdtLocked"/>
        <w:placeholder>
          <w:docPart w:val="GBC22222222222222222222222222222"/>
        </w:placeholder>
      </w:sdtPr>
      <w:sdtEndPr/>
      <w:sdtContent>
        <w:p w14:paraId="5AB5687D"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C54EBC6" w14:textId="77777777" w:rsidR="00471D53" w:rsidRDefault="00B664AF"/>
    <w:p w14:paraId="70E5F361" w14:textId="77777777" w:rsidR="00471D53" w:rsidRDefault="004F686E" w:rsidP="004F686E">
      <w:pPr>
        <w:pStyle w:val="afffff7"/>
        <w:numPr>
          <w:ilvl w:val="0"/>
          <w:numId w:val="105"/>
        </w:numPr>
        <w:rPr>
          <w:rFonts w:ascii="宋体" w:hAnsi="宋体"/>
        </w:rPr>
      </w:pPr>
      <w:r>
        <w:rPr>
          <w:rFonts w:ascii="宋体" w:hAnsi="宋体" w:hint="eastAsia"/>
        </w:rPr>
        <w:t>或有事项</w:t>
      </w:r>
    </w:p>
    <w:sdt>
      <w:sdtPr>
        <w:rPr>
          <w:rFonts w:ascii="宋体" w:hAnsi="宋体" w:cs="宋体" w:hint="eastAsia"/>
          <w:b w:val="0"/>
          <w:bCs w:val="0"/>
          <w:kern w:val="0"/>
          <w:szCs w:val="24"/>
        </w:rPr>
        <w:alias w:val="模块:资产负债表日存在的或有事项"/>
        <w:tag w:val="_GBC_c667d796bd114ba58f4592903a5601f3"/>
        <w:id w:val="1927068536"/>
        <w:lock w:val="sdtLocked"/>
        <w:placeholder>
          <w:docPart w:val="GBC22222222222222222222222222222"/>
        </w:placeholder>
      </w:sdtPr>
      <w:sdtEndPr>
        <w:rPr>
          <w:rFonts w:cstheme="minorBidi"/>
        </w:rPr>
      </w:sdtEndPr>
      <w:sdtContent>
        <w:p w14:paraId="40B6B205" w14:textId="77777777" w:rsidR="00471D53" w:rsidRDefault="004F686E" w:rsidP="004F686E">
          <w:pPr>
            <w:pStyle w:val="afffff8"/>
            <w:numPr>
              <w:ilvl w:val="0"/>
              <w:numId w:val="106"/>
            </w:numPr>
            <w:tabs>
              <w:tab w:val="left" w:pos="616"/>
            </w:tabs>
            <w:rPr>
              <w:rFonts w:ascii="宋体" w:hAnsi="宋体"/>
            </w:rPr>
          </w:pPr>
          <w:r>
            <w:rPr>
              <w:rFonts w:ascii="宋体" w:hAnsi="宋体" w:hint="eastAsia"/>
            </w:rPr>
            <w:t>资产负债表日存在的重要或有事项</w:t>
          </w:r>
        </w:p>
        <w:sdt>
          <w:sdtPr>
            <w:alias w:val="是否适用：资产负债表日存在的重要或有事项[双击切换]"/>
            <w:tag w:val="_GBC_dea854a30b4642f6b78351afe6791c32"/>
            <w:id w:val="1013340968"/>
            <w:lock w:val="sdtLocked"/>
            <w:placeholder>
              <w:docPart w:val="GBC22222222222222222222222222222"/>
            </w:placeholder>
          </w:sdtPr>
          <w:sdtEndPr/>
          <w:sdtContent>
            <w:p w14:paraId="3BD8454E"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248B26A" w14:textId="77777777" w:rsidR="00471D53" w:rsidRDefault="00B664AF"/>
      </w:sdtContent>
    </w:sdt>
    <w:sdt>
      <w:sdtPr>
        <w:rPr>
          <w:rFonts w:ascii="宋体" w:hAnsi="宋体" w:cs="宋体" w:hint="eastAsia"/>
          <w:b w:val="0"/>
          <w:bCs w:val="0"/>
          <w:kern w:val="0"/>
          <w:szCs w:val="24"/>
        </w:rPr>
        <w:alias w:val="模块:公司没有需要披露的或有事项，也应予以说明"/>
        <w:tag w:val="_GBC_428b07d001974f7390d8bb4142377be9"/>
        <w:id w:val="-1364750917"/>
        <w:lock w:val="sdtLocked"/>
        <w:placeholder>
          <w:docPart w:val="GBC22222222222222222222222222222"/>
        </w:placeholder>
      </w:sdtPr>
      <w:sdtEndPr>
        <w:rPr>
          <w:rFonts w:cstheme="minorBidi"/>
        </w:rPr>
      </w:sdtEndPr>
      <w:sdtContent>
        <w:p w14:paraId="5846F740" w14:textId="77777777" w:rsidR="00471D53" w:rsidRDefault="004F686E" w:rsidP="004F686E">
          <w:pPr>
            <w:pStyle w:val="afffff8"/>
            <w:numPr>
              <w:ilvl w:val="0"/>
              <w:numId w:val="106"/>
            </w:numPr>
            <w:tabs>
              <w:tab w:val="left" w:pos="616"/>
            </w:tabs>
            <w:rPr>
              <w:rFonts w:ascii="宋体" w:hAnsi="宋体"/>
            </w:rPr>
          </w:pPr>
          <w:r>
            <w:rPr>
              <w:rFonts w:ascii="宋体" w:hAnsi="宋体" w:hint="eastAsia"/>
            </w:rPr>
            <w:t>公司没有需要披露的重要或有事项，也应予以说明：</w:t>
          </w:r>
        </w:p>
        <w:sdt>
          <w:sdtPr>
            <w:alias w:val="是否适用：公司没有需要披露的重要或有事项，也应予以说明[双击切换]"/>
            <w:tag w:val="_GBC_a0545390a9694adcaaee8509e290303c"/>
            <w:id w:val="1254933284"/>
            <w:lock w:val="sdtLocked"/>
            <w:placeholder>
              <w:docPart w:val="GBC22222222222222222222222222222"/>
            </w:placeholder>
          </w:sdtPr>
          <w:sdtEndPr/>
          <w:sdtContent>
            <w:p w14:paraId="358845DE"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DC8D5CE" w14:textId="77777777" w:rsidR="00471D53" w:rsidRDefault="00B664AF">
          <w:pPr>
            <w:rPr>
              <w:rFonts w:cstheme="minorBidi"/>
            </w:rPr>
          </w:pPr>
        </w:p>
      </w:sdtContent>
    </w:sdt>
    <w:sdt>
      <w:sdtPr>
        <w:rPr>
          <w:rFonts w:ascii="宋体" w:hAnsi="宋体" w:cs="宋体"/>
          <w:b w:val="0"/>
          <w:bCs w:val="0"/>
          <w:kern w:val="0"/>
          <w:szCs w:val="24"/>
        </w:rPr>
        <w:alias w:val="模块:承诺及或有事项的其他情况说明"/>
        <w:tag w:val="_GBC_7967de77d1eb4fa3968e072c7d0d24ca"/>
        <w:id w:val="858630520"/>
        <w:lock w:val="sdtLocked"/>
        <w:placeholder>
          <w:docPart w:val="GBC22222222222222222222222222222"/>
        </w:placeholder>
      </w:sdtPr>
      <w:sdtEndPr/>
      <w:sdtContent>
        <w:p w14:paraId="29C73BA0" w14:textId="77777777" w:rsidR="00471D53" w:rsidRDefault="004F686E" w:rsidP="004F686E">
          <w:pPr>
            <w:pStyle w:val="afffff7"/>
            <w:numPr>
              <w:ilvl w:val="0"/>
              <w:numId w:val="105"/>
            </w:numPr>
            <w:rPr>
              <w:rFonts w:ascii="宋体" w:hAnsi="宋体"/>
            </w:rPr>
          </w:pPr>
          <w:r>
            <w:rPr>
              <w:rFonts w:ascii="宋体" w:hAnsi="宋体" w:hint="eastAsia"/>
            </w:rPr>
            <w:t>其他</w:t>
          </w:r>
        </w:p>
        <w:sdt>
          <w:sdtPr>
            <w:alias w:val="是否适用：承诺及或有事项的其他情况说明[双击切换]"/>
            <w:tag w:val="_GBC_ff33b21a56eb4d3291f2b4875be5a2b2"/>
            <w:id w:val="-1926556835"/>
            <w:lock w:val="sdtLocked"/>
            <w:placeholder>
              <w:docPart w:val="GBC22222222222222222222222222222"/>
            </w:placeholder>
          </w:sdtPr>
          <w:sdtEndPr/>
          <w:sdtContent>
            <w:p w14:paraId="5B4741D7"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30694BF3" w14:textId="77777777" w:rsidR="00471D53" w:rsidRDefault="00B664AF"/>
    <w:p w14:paraId="529369F1" w14:textId="77777777" w:rsidR="00471D53" w:rsidRDefault="004F686E" w:rsidP="004F686E">
      <w:pPr>
        <w:pStyle w:val="afffff6"/>
        <w:numPr>
          <w:ilvl w:val="0"/>
          <w:numId w:val="35"/>
        </w:numPr>
        <w:ind w:left="422" w:hanging="422"/>
        <w:rPr>
          <w:rFonts w:ascii="宋体" w:hAnsi="宋体"/>
        </w:rPr>
      </w:pPr>
      <w:r>
        <w:rPr>
          <w:rFonts w:ascii="宋体" w:hAnsi="宋体" w:hint="eastAsia"/>
        </w:rPr>
        <w:t>资产负债表日后事项</w:t>
      </w:r>
    </w:p>
    <w:sdt>
      <w:sdtPr>
        <w:rPr>
          <w:rFonts w:ascii="宋体" w:hAnsi="宋体" w:cs="宋体" w:hint="eastAsia"/>
          <w:b w:val="0"/>
          <w:bCs w:val="0"/>
          <w:kern w:val="0"/>
          <w:szCs w:val="24"/>
        </w:rPr>
        <w:alias w:val="模块:重要的非调整事项"/>
        <w:tag w:val="_GBC_5d1bcf8f61b9443ba6ffa54897c724fc"/>
        <w:id w:val="259179543"/>
        <w:lock w:val="sdtLocked"/>
        <w:placeholder>
          <w:docPart w:val="GBC22222222222222222222222222222"/>
        </w:placeholder>
      </w:sdtPr>
      <w:sdtEndPr>
        <w:rPr>
          <w:rFonts w:cstheme="minorBidi"/>
          <w:szCs w:val="22"/>
        </w:rPr>
      </w:sdtEndPr>
      <w:sdtContent>
        <w:p w14:paraId="7C541305" w14:textId="77777777" w:rsidR="00471D53" w:rsidRDefault="004F686E" w:rsidP="004F686E">
          <w:pPr>
            <w:pStyle w:val="afffff7"/>
            <w:numPr>
              <w:ilvl w:val="0"/>
              <w:numId w:val="107"/>
            </w:numPr>
            <w:rPr>
              <w:rFonts w:ascii="宋体" w:hAnsi="宋体"/>
            </w:rPr>
          </w:pPr>
          <w:r>
            <w:rPr>
              <w:rFonts w:ascii="宋体" w:hAnsi="宋体" w:hint="eastAsia"/>
            </w:rPr>
            <w:t>重要的非调整事项</w:t>
          </w:r>
        </w:p>
        <w:sdt>
          <w:sdtPr>
            <w:alias w:val="是否适用：重要的非调整事项[双击切换]"/>
            <w:tag w:val="_GBC_ab366a8fb12748d6aa2a8401b360857c"/>
            <w:id w:val="-1316794964"/>
            <w:lock w:val="sdtLocked"/>
            <w:placeholder>
              <w:docPart w:val="GBC22222222222222222222222222222"/>
            </w:placeholder>
          </w:sdtPr>
          <w:sdtEndPr/>
          <w:sdtContent>
            <w:p w14:paraId="406AAA2A"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资产负债表日后利润分配情况说明"/>
        <w:tag w:val="_GBC_0fa3d44599d34674894cec144baccd50"/>
        <w:id w:val="-1935122917"/>
        <w:lock w:val="sdtLocked"/>
        <w:placeholder>
          <w:docPart w:val="GBC22222222222222222222222222222"/>
        </w:placeholder>
      </w:sdtPr>
      <w:sdtEndPr>
        <w:rPr>
          <w:rFonts w:hint="default"/>
        </w:rPr>
      </w:sdtEndPr>
      <w:sdtContent>
        <w:p w14:paraId="0490F1F3" w14:textId="77777777" w:rsidR="00471D53" w:rsidRDefault="004F686E" w:rsidP="004F686E">
          <w:pPr>
            <w:pStyle w:val="afffff7"/>
            <w:numPr>
              <w:ilvl w:val="0"/>
              <w:numId w:val="107"/>
            </w:numPr>
            <w:rPr>
              <w:rFonts w:ascii="宋体" w:hAnsi="宋体"/>
            </w:rPr>
          </w:pPr>
          <w:r>
            <w:rPr>
              <w:rFonts w:ascii="宋体" w:hAnsi="宋体" w:hint="eastAsia"/>
            </w:rPr>
            <w:t>利润分配情况</w:t>
          </w:r>
        </w:p>
        <w:sdt>
          <w:sdtPr>
            <w:alias w:val="是否适用：利润分配情况[双击切换]"/>
            <w:tag w:val="_GBC_a2ea8cd0604f474db0e7e62eb7fc0435"/>
            <w:id w:val="456459770"/>
            <w:lock w:val="sdtLocked"/>
            <w:placeholder>
              <w:docPart w:val="GBC22222222222222222222222222222"/>
            </w:placeholder>
          </w:sdtPr>
          <w:sdtEndPr/>
          <w:sdtContent>
            <w:p w14:paraId="479E9B05" w14:textId="77777777" w:rsidR="00471D53" w:rsidRDefault="004F686E" w:rsidP="00471D53">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5CF0E354" w14:textId="77777777" w:rsidR="00471D53" w:rsidRDefault="00B664AF">
      <w:pPr>
        <w:rPr>
          <w:szCs w:val="21"/>
        </w:rPr>
      </w:pPr>
    </w:p>
    <w:sdt>
      <w:sdtPr>
        <w:rPr>
          <w:rFonts w:ascii="宋体" w:hAnsi="宋体" w:cs="宋体"/>
          <w:b w:val="0"/>
          <w:bCs w:val="0"/>
          <w:kern w:val="0"/>
          <w:szCs w:val="21"/>
        </w:rPr>
        <w:alias w:val="模块:资产负债表日后事项-销售退回说明"/>
        <w:tag w:val="_GBC_189c429afb95427192d478a4da4061cd"/>
        <w:id w:val="2033460493"/>
        <w:lock w:val="sdtLocked"/>
        <w:placeholder>
          <w:docPart w:val="GBC22222222222222222222222222222"/>
        </w:placeholder>
      </w:sdtPr>
      <w:sdtEndPr/>
      <w:sdtContent>
        <w:bookmarkStart w:id="243" w:name="_Toc241636515" w:displacedByCustomXml="prev"/>
        <w:p w14:paraId="204DE4A9" w14:textId="77777777" w:rsidR="00471D53" w:rsidRDefault="004F686E" w:rsidP="004F686E">
          <w:pPr>
            <w:pStyle w:val="afffff7"/>
            <w:numPr>
              <w:ilvl w:val="0"/>
              <w:numId w:val="107"/>
            </w:numPr>
            <w:rPr>
              <w:rFonts w:ascii="宋体" w:hAnsi="宋体"/>
            </w:rPr>
          </w:pPr>
          <w:r>
            <w:rPr>
              <w:rFonts w:ascii="宋体" w:hAnsi="宋体" w:hint="eastAsia"/>
              <w:szCs w:val="21"/>
            </w:rPr>
            <w:t>销售</w:t>
          </w:r>
          <w:r>
            <w:rPr>
              <w:rFonts w:ascii="宋体" w:hAnsi="宋体" w:hint="eastAsia"/>
            </w:rPr>
            <w:t>退回</w:t>
          </w:r>
        </w:p>
        <w:sdt>
          <w:sdtPr>
            <w:alias w:val="是否适用：销售退回[双击切换]"/>
            <w:tag w:val="_GBC_4175c0e820fa43cd98dd2d05c0dea8a8"/>
            <w:id w:val="-1825809136"/>
            <w:lock w:val="sdtLocked"/>
            <w:placeholder>
              <w:docPart w:val="GBC22222222222222222222222222222"/>
            </w:placeholder>
          </w:sdtPr>
          <w:sdtEndPr/>
          <w:sdtContent>
            <w:p w14:paraId="6749E462" w14:textId="77777777" w:rsidR="00471D53" w:rsidRDefault="004F686E" w:rsidP="00471D53">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06C48A93" w14:textId="77777777" w:rsidR="00471D53" w:rsidRDefault="00B664AF">
      <w:pPr>
        <w:rPr>
          <w:szCs w:val="21"/>
        </w:rPr>
      </w:pPr>
    </w:p>
    <w:sdt>
      <w:sdtPr>
        <w:rPr>
          <w:rFonts w:ascii="宋体" w:hAnsi="宋体" w:cs="宋体" w:hint="eastAsia"/>
          <w:b w:val="0"/>
          <w:bCs w:val="0"/>
          <w:kern w:val="0"/>
          <w:szCs w:val="24"/>
        </w:rPr>
        <w:alias w:val="模块:其他资产负债表日后事项说明"/>
        <w:tag w:val="_GBC_90d185c72bfe452398767dd3a98447a5"/>
        <w:id w:val="1898857557"/>
        <w:lock w:val="sdtLocked"/>
        <w:placeholder>
          <w:docPart w:val="GBC22222222222222222222222222222"/>
        </w:placeholder>
      </w:sdtPr>
      <w:sdtEndPr/>
      <w:sdtContent>
        <w:p w14:paraId="3D04EBA4" w14:textId="77777777" w:rsidR="00471D53" w:rsidRDefault="004F686E" w:rsidP="004F686E">
          <w:pPr>
            <w:pStyle w:val="afffff7"/>
            <w:numPr>
              <w:ilvl w:val="0"/>
              <w:numId w:val="107"/>
            </w:numPr>
            <w:rPr>
              <w:rFonts w:ascii="宋体" w:hAnsi="宋体"/>
            </w:rPr>
          </w:pPr>
          <w:r>
            <w:rPr>
              <w:rFonts w:ascii="宋体" w:hAnsi="宋体" w:hint="eastAsia"/>
            </w:rPr>
            <w:t>其他资产负债表日后事项说明</w:t>
          </w:r>
          <w:bookmarkEnd w:id="243"/>
        </w:p>
        <w:sdt>
          <w:sdtPr>
            <w:alias w:val="是否适用：其他资产负债表日后事项说明[双击切换]"/>
            <w:tag w:val="_GBC_3da0e7092a0048ed9e147e2e860785f5"/>
            <w:id w:val="-1528329475"/>
            <w:lock w:val="sdtLocked"/>
            <w:placeholder>
              <w:docPart w:val="GBC22222222222222222222222222222"/>
            </w:placeholder>
          </w:sdtPr>
          <w:sdtEndPr/>
          <w:sdtContent>
            <w:p w14:paraId="00D0BBF0"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71C86603" w14:textId="77777777" w:rsidR="00471D53" w:rsidRDefault="00B664AF">
      <w:pPr>
        <w:rPr>
          <w:szCs w:val="21"/>
        </w:rPr>
      </w:pPr>
    </w:p>
    <w:p w14:paraId="2FFE7887" w14:textId="77777777" w:rsidR="00471D53" w:rsidRDefault="004F686E" w:rsidP="004F686E">
      <w:pPr>
        <w:pStyle w:val="afffff6"/>
        <w:numPr>
          <w:ilvl w:val="0"/>
          <w:numId w:val="35"/>
        </w:numPr>
        <w:ind w:left="422" w:hanging="422"/>
        <w:rPr>
          <w:rFonts w:ascii="宋体" w:hAnsi="宋体"/>
        </w:rPr>
      </w:pPr>
      <w:r>
        <w:rPr>
          <w:rFonts w:ascii="宋体" w:hAnsi="宋体" w:hint="eastAsia"/>
        </w:rPr>
        <w:t>其他重要事项</w:t>
      </w:r>
    </w:p>
    <w:p w14:paraId="50629B33" w14:textId="77777777" w:rsidR="00471D53" w:rsidRDefault="004F686E" w:rsidP="004F686E">
      <w:pPr>
        <w:pStyle w:val="afffff7"/>
        <w:numPr>
          <w:ilvl w:val="0"/>
          <w:numId w:val="108"/>
        </w:numPr>
        <w:rPr>
          <w:rFonts w:ascii="宋体" w:hAnsi="宋体"/>
        </w:rPr>
      </w:pPr>
      <w:r>
        <w:rPr>
          <w:rFonts w:ascii="宋体" w:hAnsi="宋体" w:hint="eastAsia"/>
        </w:rPr>
        <w:t>前期会计差错更正</w:t>
      </w:r>
    </w:p>
    <w:sdt>
      <w:sdtPr>
        <w:rPr>
          <w:rFonts w:ascii="宋体" w:hAnsi="宋体" w:cs="宋体" w:hint="eastAsia"/>
          <w:b w:val="0"/>
          <w:bCs w:val="0"/>
          <w:kern w:val="0"/>
          <w:szCs w:val="21"/>
        </w:rPr>
        <w:alias w:val="模块:会计差错更正(追溯重述)"/>
        <w:tag w:val="_GBC_cb1f61a36a2a43b0ad30697c25cce450"/>
        <w:id w:val="2082868025"/>
        <w:lock w:val="sdtLocked"/>
        <w:placeholder>
          <w:docPart w:val="GBC22222222222222222222222222222"/>
        </w:placeholder>
      </w:sdtPr>
      <w:sdtEndPr/>
      <w:sdtContent>
        <w:p w14:paraId="71E8CA4B" w14:textId="77777777" w:rsidR="00471D53" w:rsidRDefault="004F686E" w:rsidP="004F686E">
          <w:pPr>
            <w:pStyle w:val="afffff8"/>
            <w:numPr>
              <w:ilvl w:val="0"/>
              <w:numId w:val="109"/>
            </w:numPr>
            <w:tabs>
              <w:tab w:val="left" w:pos="602"/>
            </w:tabs>
            <w:rPr>
              <w:rFonts w:ascii="宋体" w:hAnsi="宋体"/>
            </w:rPr>
          </w:pPr>
          <w:r>
            <w:rPr>
              <w:rFonts w:ascii="宋体" w:hAnsi="宋体" w:hint="eastAsia"/>
            </w:rPr>
            <w:t>追溯重述法</w:t>
          </w:r>
        </w:p>
        <w:sdt>
          <w:sdtPr>
            <w:rPr>
              <w:rFonts w:hint="eastAsia"/>
              <w:szCs w:val="21"/>
            </w:rPr>
            <w:alias w:val="是否适用：追溯重述法[双击切换]"/>
            <w:tag w:val="_GBC_9d59987ec8f64e568cc0874cd76bb5ce"/>
            <w:id w:val="-1140109351"/>
            <w:lock w:val="sdtLocked"/>
            <w:placeholder>
              <w:docPart w:val="GBC22222222222222222222222222222"/>
            </w:placeholder>
          </w:sdtPr>
          <w:sdtEndPr/>
          <w:sdtContent>
            <w:p w14:paraId="0AA58620" w14:textId="77777777" w:rsidR="00471D53" w:rsidRDefault="004F686E" w:rsidP="00471D5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14:paraId="5C8F8776" w14:textId="77777777" w:rsidR="00471D53" w:rsidRDefault="00B664AF">
      <w:pPr>
        <w:rPr>
          <w:szCs w:val="21"/>
        </w:rPr>
      </w:pPr>
    </w:p>
    <w:sdt>
      <w:sdtPr>
        <w:rPr>
          <w:rFonts w:ascii="宋体" w:hAnsi="宋体" w:cs="宋体" w:hint="eastAsia"/>
          <w:b w:val="0"/>
          <w:bCs w:val="0"/>
          <w:kern w:val="0"/>
          <w:szCs w:val="24"/>
        </w:rPr>
        <w:alias w:val="模块:未来适用法本报告期是否发现采用未来适用法的前期会计差错：（..."/>
        <w:tag w:val="_GBC_6bd40de18d9047e48f182803eefc5581"/>
        <w:id w:val="284783940"/>
        <w:lock w:val="sdtLocked"/>
        <w:placeholder>
          <w:docPart w:val="GBC22222222222222222222222222222"/>
        </w:placeholder>
      </w:sdtPr>
      <w:sdtEndPr>
        <w:rPr>
          <w:rFonts w:hint="default"/>
        </w:rPr>
      </w:sdtEndPr>
      <w:sdtContent>
        <w:p w14:paraId="094C992E" w14:textId="77777777" w:rsidR="00471D53" w:rsidRDefault="004F686E" w:rsidP="004F686E">
          <w:pPr>
            <w:pStyle w:val="afffff8"/>
            <w:numPr>
              <w:ilvl w:val="0"/>
              <w:numId w:val="109"/>
            </w:numPr>
            <w:tabs>
              <w:tab w:val="left" w:pos="602"/>
            </w:tabs>
            <w:rPr>
              <w:rFonts w:ascii="宋体" w:hAnsi="宋体" w:cs="Cambria"/>
              <w:bCs w:val="0"/>
            </w:rPr>
          </w:pPr>
          <w:r>
            <w:rPr>
              <w:rFonts w:ascii="宋体" w:hAnsi="宋体" w:hint="eastAsia"/>
            </w:rPr>
            <w:t>未来</w:t>
          </w:r>
          <w:r>
            <w:rPr>
              <w:rFonts w:ascii="宋体" w:hAnsi="宋体" w:cs="Cambria" w:hint="eastAsia"/>
              <w:bCs w:val="0"/>
            </w:rPr>
            <w:t>适用法</w:t>
          </w:r>
        </w:p>
        <w:sdt>
          <w:sdtPr>
            <w:alias w:val="是否适用：未来适用法[双击切换]"/>
            <w:tag w:val="_GBC_add0977272ee43e7938e3e96c6aaa92d"/>
            <w:id w:val="-896968078"/>
            <w:lock w:val="sdtLocked"/>
            <w:placeholder>
              <w:docPart w:val="GBC22222222222222222222222222222"/>
            </w:placeholder>
          </w:sdtPr>
          <w:sdtEndPr/>
          <w:sdtContent>
            <w:p w14:paraId="5A9D2EFC"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Start w:id="244" w:name="_Toc241636518" w:displacedByCustomXml="next"/>
    <w:sdt>
      <w:sdtPr>
        <w:rPr>
          <w:rFonts w:ascii="宋体" w:hAnsi="宋体" w:cs="宋体" w:hint="eastAsia"/>
          <w:b w:val="0"/>
          <w:bCs w:val="0"/>
          <w:kern w:val="0"/>
          <w:szCs w:val="24"/>
        </w:rPr>
        <w:alias w:val="模块:债务重组"/>
        <w:tag w:val="_GBC_998fd0c3432a41e5b98f1c74ffeda751"/>
        <w:id w:val="-275410682"/>
        <w:lock w:val="sdtLocked"/>
        <w:placeholder>
          <w:docPart w:val="GBC22222222222222222222222222222"/>
        </w:placeholder>
      </w:sdtPr>
      <w:sdtEndPr>
        <w:rPr>
          <w:rFonts w:cstheme="minorBidi"/>
          <w:szCs w:val="21"/>
        </w:rPr>
      </w:sdtEndPr>
      <w:sdtContent>
        <w:p w14:paraId="5E446733" w14:textId="77777777" w:rsidR="00471D53" w:rsidRDefault="004F686E" w:rsidP="004F686E">
          <w:pPr>
            <w:pStyle w:val="afffff7"/>
            <w:numPr>
              <w:ilvl w:val="0"/>
              <w:numId w:val="108"/>
            </w:numPr>
            <w:rPr>
              <w:rFonts w:ascii="宋体" w:hAnsi="宋体"/>
            </w:rPr>
          </w:pPr>
          <w:r>
            <w:rPr>
              <w:rFonts w:ascii="宋体" w:hAnsi="宋体" w:hint="eastAsia"/>
            </w:rPr>
            <w:t>债务重组</w:t>
          </w:r>
          <w:bookmarkEnd w:id="244"/>
        </w:p>
        <w:sdt>
          <w:sdtPr>
            <w:alias w:val="是否适用：债务重组[双击切换]"/>
            <w:tag w:val="_GBC_a39e02df9c5d42f2bd7e116f823b8615"/>
            <w:id w:val="19825341"/>
            <w:lock w:val="sdtLocked"/>
            <w:placeholder>
              <w:docPart w:val="GBC22222222222222222222222222222"/>
            </w:placeholder>
          </w:sdtPr>
          <w:sdtEndPr/>
          <w:sdtContent>
            <w:p w14:paraId="0137EDF1" w14:textId="77777777" w:rsidR="00471D53" w:rsidRDefault="004F686E" w:rsidP="00471D53">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31D74398" w14:textId="77777777" w:rsidR="00471D53" w:rsidRDefault="00B664AF">
      <w:pPr>
        <w:rPr>
          <w:szCs w:val="21"/>
        </w:rPr>
      </w:pPr>
    </w:p>
    <w:p w14:paraId="2A48EADF" w14:textId="77777777" w:rsidR="00471D53" w:rsidRDefault="004F686E" w:rsidP="004F686E">
      <w:pPr>
        <w:pStyle w:val="afffff7"/>
        <w:numPr>
          <w:ilvl w:val="0"/>
          <w:numId w:val="108"/>
        </w:numPr>
        <w:rPr>
          <w:rFonts w:ascii="宋体" w:hAnsi="宋体"/>
        </w:rPr>
      </w:pPr>
      <w:r>
        <w:rPr>
          <w:rFonts w:ascii="宋体" w:hAnsi="宋体" w:hint="eastAsia"/>
        </w:rPr>
        <w:t>资产置换</w:t>
      </w:r>
    </w:p>
    <w:bookmarkStart w:id="245" w:name="_Toc241636517" w:displacedByCustomXml="next"/>
    <w:bookmarkStart w:id="246" w:name="_Toc161412438" w:displacedByCustomXml="next"/>
    <w:sdt>
      <w:sdtPr>
        <w:rPr>
          <w:rFonts w:ascii="宋体" w:hAnsi="宋体" w:cs="宋体" w:hint="eastAsia"/>
          <w:b w:val="0"/>
          <w:bCs w:val="0"/>
          <w:kern w:val="0"/>
          <w:szCs w:val="24"/>
        </w:rPr>
        <w:alias w:val="模块:非货币性资产交换"/>
        <w:tag w:val="_GBC_c8e7bc701c4e40cea43130c65dd24cdf"/>
        <w:id w:val="-796517061"/>
        <w:lock w:val="sdtLocked"/>
        <w:placeholder>
          <w:docPart w:val="GBC22222222222222222222222222222"/>
        </w:placeholder>
      </w:sdtPr>
      <w:sdtEndPr>
        <w:rPr>
          <w:rFonts w:cstheme="minorBidi"/>
          <w:szCs w:val="21"/>
        </w:rPr>
      </w:sdtEndPr>
      <w:sdtContent>
        <w:p w14:paraId="4A673FE2" w14:textId="77777777" w:rsidR="00471D53" w:rsidRDefault="004F686E" w:rsidP="004F686E">
          <w:pPr>
            <w:pStyle w:val="afffff8"/>
            <w:numPr>
              <w:ilvl w:val="0"/>
              <w:numId w:val="110"/>
            </w:numPr>
            <w:tabs>
              <w:tab w:val="left" w:pos="644"/>
            </w:tabs>
            <w:rPr>
              <w:rFonts w:ascii="宋体" w:hAnsi="宋体"/>
            </w:rPr>
          </w:pPr>
          <w:r>
            <w:rPr>
              <w:rFonts w:ascii="宋体" w:hAnsi="宋体" w:hint="eastAsia"/>
            </w:rPr>
            <w:t>非货币性资产交换</w:t>
          </w:r>
          <w:bookmarkEnd w:id="246"/>
          <w:bookmarkEnd w:id="245"/>
        </w:p>
        <w:sdt>
          <w:sdtPr>
            <w:alias w:val="是否适用：非货币性资产交换[双击切换]"/>
            <w:tag w:val="_GBC_1e8378570c9a4db08ad001118944af2e"/>
            <w:id w:val="-329365368"/>
            <w:lock w:val="sdtLocked"/>
            <w:placeholder>
              <w:docPart w:val="GBC22222222222222222222222222222"/>
            </w:placeholder>
          </w:sdtPr>
          <w:sdtEndPr/>
          <w:sdtContent>
            <w:p w14:paraId="760A96E4" w14:textId="77777777" w:rsidR="00471D53" w:rsidRDefault="004F686E" w:rsidP="00471D53">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2A32452C" w14:textId="77777777" w:rsidR="00471D53" w:rsidRDefault="00B664AF">
      <w:pPr>
        <w:rPr>
          <w:szCs w:val="21"/>
        </w:rPr>
      </w:pPr>
    </w:p>
    <w:sdt>
      <w:sdtPr>
        <w:rPr>
          <w:rFonts w:ascii="宋体" w:hAnsi="宋体" w:cs="宋体" w:hint="eastAsia"/>
          <w:b w:val="0"/>
          <w:bCs w:val="0"/>
          <w:kern w:val="0"/>
          <w:szCs w:val="24"/>
        </w:rPr>
        <w:alias w:val="模块:其他资产置换资产说明"/>
        <w:tag w:val="_GBC_a7d8a797c78a4fb398d42fc923a0a5dc"/>
        <w:id w:val="-392883570"/>
        <w:lock w:val="sdtLocked"/>
        <w:placeholder>
          <w:docPart w:val="GBC22222222222222222222222222222"/>
        </w:placeholder>
      </w:sdtPr>
      <w:sdtEndPr>
        <w:rPr>
          <w:rFonts w:cstheme="minorBidi"/>
        </w:rPr>
      </w:sdtEndPr>
      <w:sdtContent>
        <w:p w14:paraId="65947170" w14:textId="77777777" w:rsidR="00471D53" w:rsidRDefault="004F686E" w:rsidP="004F686E">
          <w:pPr>
            <w:pStyle w:val="afffff8"/>
            <w:numPr>
              <w:ilvl w:val="0"/>
              <w:numId w:val="110"/>
            </w:numPr>
            <w:tabs>
              <w:tab w:val="left" w:pos="644"/>
            </w:tabs>
            <w:rPr>
              <w:rFonts w:ascii="宋体" w:hAnsi="宋体"/>
            </w:rPr>
          </w:pPr>
          <w:r>
            <w:rPr>
              <w:rFonts w:ascii="宋体" w:hAnsi="宋体" w:hint="eastAsia"/>
            </w:rPr>
            <w:t>其他资产置换</w:t>
          </w:r>
        </w:p>
        <w:sdt>
          <w:sdtPr>
            <w:alias w:val="是否适用：其他资产置换[双击切换]"/>
            <w:tag w:val="_GBC_e20be5fc12b94f43a4090c14cc3aec63"/>
            <w:id w:val="-288661132"/>
            <w:lock w:val="sdtLocked"/>
            <w:placeholder>
              <w:docPart w:val="GBC22222222222222222222222222222"/>
            </w:placeholder>
          </w:sdtPr>
          <w:sdtEndPr/>
          <w:sdtContent>
            <w:p w14:paraId="0AD0C855" w14:textId="77777777" w:rsidR="00471D53" w:rsidRDefault="004F686E" w:rsidP="00471D53">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952D45A" w14:textId="77777777" w:rsidR="00471D53" w:rsidRDefault="00B664AF"/>
      </w:sdtContent>
    </w:sdt>
    <w:bookmarkStart w:id="247" w:name="_Toc247371936" w:displacedByCustomXml="next"/>
    <w:sdt>
      <w:sdtPr>
        <w:rPr>
          <w:rFonts w:ascii="宋体" w:hAnsi="宋体" w:cs="宋体" w:hint="eastAsia"/>
          <w:b w:val="0"/>
          <w:bCs w:val="0"/>
          <w:kern w:val="0"/>
          <w:szCs w:val="24"/>
        </w:rPr>
        <w:alias w:val="模块:年金计划主要内容及重大变化"/>
        <w:tag w:val="_GBC_868ef73c1ce14e36a7c8c41a6c9d1268"/>
        <w:id w:val="1217014196"/>
        <w:lock w:val="sdtLocked"/>
        <w:placeholder>
          <w:docPart w:val="GBC22222222222222222222222222222"/>
        </w:placeholder>
      </w:sdtPr>
      <w:sdtEndPr>
        <w:rPr>
          <w:rFonts w:cstheme="minorBidi"/>
          <w:szCs w:val="21"/>
        </w:rPr>
      </w:sdtEndPr>
      <w:sdtContent>
        <w:p w14:paraId="31C94F8E" w14:textId="77777777" w:rsidR="00471D53" w:rsidRDefault="004F686E" w:rsidP="004F686E">
          <w:pPr>
            <w:pStyle w:val="afffff7"/>
            <w:numPr>
              <w:ilvl w:val="0"/>
              <w:numId w:val="108"/>
            </w:numPr>
            <w:rPr>
              <w:rFonts w:ascii="宋体" w:hAnsi="宋体"/>
            </w:rPr>
          </w:pPr>
          <w:r>
            <w:rPr>
              <w:rFonts w:ascii="宋体" w:hAnsi="宋体" w:hint="eastAsia"/>
            </w:rPr>
            <w:t>年金计划</w:t>
          </w:r>
          <w:bookmarkEnd w:id="247"/>
        </w:p>
        <w:sdt>
          <w:sdtPr>
            <w:alias w:val="是否适用：年金计划[双击切换]"/>
            <w:tag w:val="_GBC_f69a163f78f74a54a6443aaa7388f0dd"/>
            <w:id w:val="726735717"/>
            <w:lock w:val="sdtLocked"/>
            <w:placeholder>
              <w:docPart w:val="GBC22222222222222222222222222222"/>
            </w:placeholder>
          </w:sdtPr>
          <w:sdtEndPr/>
          <w:sdtContent>
            <w:p w14:paraId="12FDD208" w14:textId="77777777" w:rsidR="00471D53" w:rsidRDefault="004F686E" w:rsidP="00471D53">
              <w:pPr>
                <w:rPr>
                  <w:rFonts w:cstheme="minorBidi"/>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5CA74CE8" w14:textId="77777777" w:rsidR="00471D53" w:rsidRDefault="00B664AF">
      <w:pPr>
        <w:rPr>
          <w:szCs w:val="21"/>
        </w:rPr>
      </w:pPr>
    </w:p>
    <w:sdt>
      <w:sdtPr>
        <w:rPr>
          <w:rFonts w:ascii="宋体" w:hAnsi="宋体" w:cs="宋体" w:hint="eastAsia"/>
          <w:b w:val="0"/>
          <w:bCs w:val="0"/>
          <w:kern w:val="0"/>
          <w:szCs w:val="21"/>
        </w:rPr>
        <w:alias w:val="模块:终止经营"/>
        <w:tag w:val="_GBC_eb9f713a39454ce1a2b0b09086ca70cc"/>
        <w:id w:val="-18394271"/>
        <w:lock w:val="sdtLocked"/>
        <w:placeholder>
          <w:docPart w:val="GBC22222222222222222222222222222"/>
        </w:placeholder>
      </w:sdtPr>
      <w:sdtEndPr>
        <w:rPr>
          <w:rFonts w:cstheme="minorBidi"/>
          <w:kern w:val="2"/>
        </w:rPr>
      </w:sdtEndPr>
      <w:sdtContent>
        <w:p w14:paraId="193E51F3" w14:textId="77777777" w:rsidR="00471D53" w:rsidRDefault="004F686E" w:rsidP="004F686E">
          <w:pPr>
            <w:pStyle w:val="afffff7"/>
            <w:numPr>
              <w:ilvl w:val="0"/>
              <w:numId w:val="108"/>
            </w:numPr>
            <w:rPr>
              <w:rFonts w:ascii="宋体" w:hAnsi="宋体"/>
              <w:szCs w:val="21"/>
            </w:rPr>
          </w:pPr>
          <w:r>
            <w:rPr>
              <w:rFonts w:ascii="宋体" w:hAnsi="宋体" w:hint="eastAsia"/>
              <w:szCs w:val="21"/>
            </w:rPr>
            <w:t>终止经营</w:t>
          </w:r>
        </w:p>
        <w:sdt>
          <w:sdtPr>
            <w:alias w:val="是否适用：终止经营[双击切换]"/>
            <w:tag w:val="_GBC_8e88002e405543f593111633f63e4d8b"/>
            <w:id w:val="589124949"/>
            <w:lock w:val="sdtLocked"/>
            <w:placeholder>
              <w:docPart w:val="GBC22222222222222222222222222222"/>
            </w:placeholder>
          </w:sdtPr>
          <w:sdtEndPr/>
          <w:sdtContent>
            <w:p w14:paraId="06DA9FD0"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CAFC259" w14:textId="77777777" w:rsidR="00471D53" w:rsidRDefault="00B664AF">
          <w:pPr>
            <w:rPr>
              <w:rFonts w:cstheme="minorBidi"/>
              <w:kern w:val="2"/>
              <w:szCs w:val="21"/>
            </w:rPr>
          </w:pPr>
        </w:p>
      </w:sdtContent>
    </w:sdt>
    <w:p w14:paraId="63F3507E" w14:textId="77777777" w:rsidR="00471D53" w:rsidRDefault="00B664AF">
      <w:pPr>
        <w:rPr>
          <w:szCs w:val="21"/>
        </w:rPr>
      </w:pPr>
    </w:p>
    <w:p w14:paraId="0863EDC9" w14:textId="77777777" w:rsidR="00471D53" w:rsidRDefault="004F686E" w:rsidP="004F686E">
      <w:pPr>
        <w:pStyle w:val="afffff7"/>
        <w:numPr>
          <w:ilvl w:val="0"/>
          <w:numId w:val="108"/>
        </w:numPr>
        <w:rPr>
          <w:rFonts w:ascii="宋体" w:hAnsi="宋体"/>
          <w:szCs w:val="21"/>
        </w:rPr>
      </w:pPr>
      <w:r>
        <w:rPr>
          <w:rFonts w:ascii="宋体" w:hAnsi="宋体" w:hint="eastAsia"/>
          <w:szCs w:val="21"/>
        </w:rPr>
        <w:t>分部信息</w:t>
      </w:r>
    </w:p>
    <w:sdt>
      <w:sdtPr>
        <w:rPr>
          <w:rFonts w:ascii="宋体" w:hAnsi="宋体" w:cs="宋体" w:hint="eastAsia"/>
          <w:b w:val="0"/>
          <w:bCs w:val="0"/>
          <w:kern w:val="0"/>
          <w:szCs w:val="21"/>
        </w:rPr>
        <w:alias w:val="模块:分部信息报告分部的确定依据与会计政策"/>
        <w:tag w:val="_GBC_a659f5b3817d4a3394d1850cd82bbbab"/>
        <w:id w:val="131983718"/>
        <w:lock w:val="sdtLocked"/>
        <w:placeholder>
          <w:docPart w:val="GBC22222222222222222222222222222"/>
        </w:placeholder>
      </w:sdtPr>
      <w:sdtEndPr>
        <w:rPr>
          <w:rFonts w:hint="default"/>
        </w:rPr>
      </w:sdtEndPr>
      <w:sdtContent>
        <w:p w14:paraId="7CA5DCBB" w14:textId="77777777" w:rsidR="00471D53" w:rsidRDefault="004F686E" w:rsidP="004F686E">
          <w:pPr>
            <w:pStyle w:val="afffff8"/>
            <w:numPr>
              <w:ilvl w:val="1"/>
              <w:numId w:val="111"/>
            </w:numPr>
            <w:tabs>
              <w:tab w:val="left" w:pos="644"/>
            </w:tabs>
            <w:ind w:left="420"/>
            <w:rPr>
              <w:rFonts w:ascii="宋体" w:hAnsi="宋体"/>
              <w:szCs w:val="21"/>
            </w:rPr>
          </w:pPr>
          <w:r>
            <w:rPr>
              <w:rFonts w:ascii="宋体" w:hAnsi="宋体" w:hint="eastAsia"/>
              <w:szCs w:val="21"/>
            </w:rPr>
            <w:t>报告分部的确定依据与会计政策</w:t>
          </w:r>
        </w:p>
        <w:sdt>
          <w:sdtPr>
            <w:alias w:val="是否适用：报告分部的确定依据与会计政策[双击切换]"/>
            <w:tag w:val="_GBC_3684a11ce06644529eba619783a75583"/>
            <w:id w:val="154193607"/>
            <w:lock w:val="sdtLocked"/>
            <w:placeholder>
              <w:docPart w:val="GBC22222222222222222222222222222"/>
            </w:placeholder>
          </w:sdtPr>
          <w:sdtEndPr/>
          <w:sdtContent>
            <w:p w14:paraId="0211F24A" w14:textId="77777777" w:rsidR="00471D53" w:rsidRDefault="004F686E" w:rsidP="00471D53">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16A6F94" w14:textId="77777777" w:rsidR="00471D53" w:rsidRDefault="00B664AF">
          <w:pPr>
            <w:rPr>
              <w:szCs w:val="21"/>
            </w:rPr>
          </w:pPr>
        </w:p>
      </w:sdtContent>
    </w:sdt>
    <w:sdt>
      <w:sdtPr>
        <w:rPr>
          <w:rFonts w:ascii="宋体" w:hAnsi="宋体" w:cs="宋体" w:hint="eastAsia"/>
          <w:b w:val="0"/>
          <w:bCs w:val="0"/>
          <w:kern w:val="0"/>
          <w:szCs w:val="24"/>
        </w:rPr>
        <w:alias w:val="模块:报告分部的财务信息"/>
        <w:tag w:val="_GBC_7bcfc6b35dea4597b05ae9db882c542b"/>
        <w:id w:val="1020049385"/>
        <w:lock w:val="sdtLocked"/>
        <w:placeholder>
          <w:docPart w:val="GBC22222222222222222222222222222"/>
        </w:placeholder>
      </w:sdtPr>
      <w:sdtEndPr>
        <w:rPr>
          <w:rFonts w:hint="default"/>
          <w:szCs w:val="21"/>
        </w:rPr>
      </w:sdtEndPr>
      <w:sdtContent>
        <w:p w14:paraId="5DCF1D64" w14:textId="77777777" w:rsidR="00471D53" w:rsidRDefault="004F686E" w:rsidP="004F686E">
          <w:pPr>
            <w:pStyle w:val="afffff8"/>
            <w:numPr>
              <w:ilvl w:val="1"/>
              <w:numId w:val="111"/>
            </w:numPr>
            <w:tabs>
              <w:tab w:val="left" w:pos="644"/>
            </w:tabs>
            <w:ind w:left="420"/>
            <w:rPr>
              <w:rFonts w:ascii="宋体" w:hAnsi="宋体"/>
            </w:rPr>
          </w:pPr>
          <w:r>
            <w:rPr>
              <w:rFonts w:ascii="宋体" w:hAnsi="宋体" w:hint="eastAsia"/>
            </w:rPr>
            <w:t>报告分部的财务信息</w:t>
          </w:r>
        </w:p>
        <w:sdt>
          <w:sdtPr>
            <w:alias w:val="是否适用：报告分部的财务信息[双击切换]"/>
            <w:tag w:val="_GBC_25e6ee3686524d959ae273bb5aaa9cfb"/>
            <w:id w:val="1320306086"/>
            <w:lock w:val="sdtLocked"/>
            <w:placeholder>
              <w:docPart w:val="GBC22222222222222222222222222222"/>
            </w:placeholder>
          </w:sdtPr>
          <w:sdtEndPr/>
          <w:sdtContent>
            <w:p w14:paraId="6DA77E8F"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公司无报告分部的，或者不能披露各报告分部的资产总额和负债总额的，应说明原因"/>
        <w:tag w:val="_GBC_0a73290869524182a42675dee97eaa48"/>
        <w:id w:val="-222601801"/>
        <w:lock w:val="sdtLocked"/>
        <w:placeholder>
          <w:docPart w:val="GBC22222222222222222222222222222"/>
        </w:placeholder>
      </w:sdtPr>
      <w:sdtEndPr/>
      <w:sdtContent>
        <w:p w14:paraId="681875D0" w14:textId="77777777" w:rsidR="00471D53" w:rsidRDefault="004F686E" w:rsidP="004F686E">
          <w:pPr>
            <w:pStyle w:val="afffff8"/>
            <w:numPr>
              <w:ilvl w:val="1"/>
              <w:numId w:val="111"/>
            </w:numPr>
            <w:tabs>
              <w:tab w:val="left" w:pos="644"/>
            </w:tabs>
            <w:ind w:left="420"/>
            <w:rPr>
              <w:rFonts w:ascii="宋体" w:hAnsi="宋体"/>
              <w:szCs w:val="21"/>
            </w:rPr>
          </w:pPr>
          <w:r>
            <w:rPr>
              <w:rFonts w:ascii="宋体" w:hAnsi="宋体"/>
              <w:szCs w:val="21"/>
            </w:rPr>
            <w:t>公司无报告分部的，或者不能披露各报告分部的资产总额和负债总额的，应说明原因</w:t>
          </w:r>
        </w:p>
        <w:sdt>
          <w:sdtPr>
            <w:rPr>
              <w:rFonts w:hint="eastAsia"/>
              <w:szCs w:val="21"/>
            </w:rPr>
            <w:alias w:val="是否适用：公司无报告分部的，或者不能披露各报告分部的资产总额和负债总额的，应说明原因[双击切换]"/>
            <w:tag w:val="_GBC_de327191b263431db97d3ba75838aba8"/>
            <w:id w:val="-833062759"/>
            <w:lock w:val="sdtLocked"/>
            <w:placeholder>
              <w:docPart w:val="GBC22222222222222222222222222222"/>
            </w:placeholder>
          </w:sdtPr>
          <w:sdtEndPr/>
          <w:sdtContent>
            <w:p w14:paraId="0D6C9B89" w14:textId="77777777" w:rsidR="00471D53" w:rsidRDefault="004F686E" w:rsidP="00471D5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14:paraId="3F2FB9FA" w14:textId="77777777" w:rsidR="00471D53" w:rsidRDefault="00B664AF">
      <w:pPr>
        <w:rPr>
          <w:szCs w:val="21"/>
        </w:rPr>
      </w:pPr>
    </w:p>
    <w:sdt>
      <w:sdtPr>
        <w:rPr>
          <w:rFonts w:ascii="宋体" w:hAnsi="宋体" w:cs="宋体" w:hint="eastAsia"/>
          <w:b w:val="0"/>
          <w:bCs w:val="0"/>
          <w:kern w:val="0"/>
          <w:szCs w:val="21"/>
        </w:rPr>
        <w:alias w:val="模块:分部信息其他说明"/>
        <w:tag w:val="_GBC_bf8b759cb5b84035861b501b67f52f53"/>
        <w:id w:val="-663778995"/>
        <w:lock w:val="sdtLocked"/>
        <w:placeholder>
          <w:docPart w:val="GBC22222222222222222222222222222"/>
        </w:placeholder>
      </w:sdtPr>
      <w:sdtEndPr/>
      <w:sdtContent>
        <w:p w14:paraId="24FE83DD" w14:textId="77777777" w:rsidR="00471D53" w:rsidRDefault="004F686E" w:rsidP="004F686E">
          <w:pPr>
            <w:pStyle w:val="afffff8"/>
            <w:numPr>
              <w:ilvl w:val="1"/>
              <w:numId w:val="111"/>
            </w:numPr>
            <w:tabs>
              <w:tab w:val="left" w:pos="644"/>
            </w:tabs>
            <w:ind w:left="420"/>
            <w:rPr>
              <w:rFonts w:ascii="宋体" w:hAnsi="宋体"/>
              <w:szCs w:val="21"/>
            </w:rPr>
          </w:pPr>
          <w:r>
            <w:rPr>
              <w:rFonts w:ascii="宋体" w:hAnsi="宋体" w:hint="eastAsia"/>
              <w:szCs w:val="21"/>
            </w:rPr>
            <w:t>其他</w:t>
          </w:r>
          <w:r>
            <w:rPr>
              <w:rFonts w:ascii="宋体" w:hAnsi="宋体" w:hint="eastAsia"/>
            </w:rPr>
            <w:t>说明</w:t>
          </w:r>
        </w:p>
        <w:sdt>
          <w:sdtPr>
            <w:alias w:val="是否适用：分部信息的其他说明[双击切换]"/>
            <w:tag w:val="_GBC_d4186588d0fd49e5b2642a9422c2353f"/>
            <w:id w:val="-1689059712"/>
            <w:lock w:val="sdtLocked"/>
            <w:placeholder>
              <w:docPart w:val="GBC22222222222222222222222222222"/>
            </w:placeholder>
          </w:sdtPr>
          <w:sdtEndPr/>
          <w:sdtContent>
            <w:p w14:paraId="5315792B" w14:textId="77777777" w:rsidR="00471D53" w:rsidRDefault="004F686E" w:rsidP="00471D53">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E723BD0" w14:textId="77777777" w:rsidR="00471D53" w:rsidRDefault="00B664AF">
          <w:pPr>
            <w:rPr>
              <w:szCs w:val="21"/>
            </w:rPr>
          </w:pPr>
        </w:p>
      </w:sdtContent>
    </w:sdt>
    <w:bookmarkStart w:id="248" w:name="_Toc241636520" w:displacedByCustomXml="next"/>
    <w:sdt>
      <w:sdtPr>
        <w:rPr>
          <w:rFonts w:ascii="宋体" w:hAnsi="宋体" w:cs="宋体" w:hint="eastAsia"/>
          <w:b w:val="0"/>
          <w:bCs w:val="0"/>
          <w:kern w:val="0"/>
          <w:szCs w:val="21"/>
        </w:rPr>
        <w:alias w:val="模块:其他重要事项说明"/>
        <w:tag w:val="_GBC_0e2af5e32a53408bb340218a0c352be0"/>
        <w:id w:val="-68189816"/>
        <w:lock w:val="sdtLocked"/>
        <w:placeholder>
          <w:docPart w:val="GBC22222222222222222222222222222"/>
        </w:placeholder>
      </w:sdtPr>
      <w:sdtEndPr>
        <w:rPr>
          <w:rFonts w:cstheme="minorBidi"/>
          <w:kern w:val="2"/>
        </w:rPr>
      </w:sdtEndPr>
      <w:sdtContent>
        <w:bookmarkEnd w:id="248" w:displacedByCustomXml="prev"/>
        <w:p w14:paraId="4A1DD4EE" w14:textId="77777777" w:rsidR="00471D53" w:rsidRDefault="004F686E" w:rsidP="004F686E">
          <w:pPr>
            <w:pStyle w:val="afffff7"/>
            <w:numPr>
              <w:ilvl w:val="0"/>
              <w:numId w:val="108"/>
            </w:numPr>
            <w:rPr>
              <w:rFonts w:ascii="宋体" w:hAnsi="宋体" w:cs="宋体"/>
              <w:bCs w:val="0"/>
              <w:kern w:val="0"/>
              <w:szCs w:val="21"/>
            </w:rPr>
          </w:pPr>
          <w:r>
            <w:rPr>
              <w:rFonts w:ascii="宋体" w:hAnsi="宋体" w:cs="宋体" w:hint="eastAsia"/>
              <w:bCs w:val="0"/>
              <w:kern w:val="0"/>
              <w:szCs w:val="21"/>
            </w:rPr>
            <w:t>其他对投资者决策有影响的重要交易和事项</w:t>
          </w:r>
        </w:p>
        <w:sdt>
          <w:sdtPr>
            <w:alias w:val="是否适用：其他对投资者决策有影响的重要交易和事项[双击切换]"/>
            <w:tag w:val="_GBC_6bb0ea1e73f644b99b2bccc9d2ea19e9"/>
            <w:id w:val="-1699086726"/>
            <w:lock w:val="sdtLocked"/>
            <w:placeholder>
              <w:docPart w:val="GBC22222222222222222222222222222"/>
            </w:placeholder>
          </w:sdtPr>
          <w:sdtEndPr/>
          <w:sdtContent>
            <w:p w14:paraId="757E9436" w14:textId="77777777" w:rsidR="00471D53" w:rsidRDefault="004F686E" w:rsidP="00471D53">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3BBE8EB1" w14:textId="77777777" w:rsidR="00471D53" w:rsidRDefault="00B664AF">
      <w:pPr>
        <w:rPr>
          <w:szCs w:val="21"/>
        </w:rPr>
      </w:pPr>
    </w:p>
    <w:sdt>
      <w:sdtPr>
        <w:rPr>
          <w:rFonts w:ascii="宋体" w:hAnsi="宋体" w:cs="宋体"/>
          <w:b w:val="0"/>
          <w:bCs w:val="0"/>
          <w:kern w:val="0"/>
          <w:szCs w:val="21"/>
        </w:rPr>
        <w:alias w:val="模块:其他重要事项的说明"/>
        <w:tag w:val="_GBC_a9d998641356411784b3ec54387f322d"/>
        <w:id w:val="1268422872"/>
        <w:lock w:val="sdtLocked"/>
        <w:placeholder>
          <w:docPart w:val="GBC22222222222222222222222222222"/>
        </w:placeholder>
      </w:sdtPr>
      <w:sdtEndPr/>
      <w:sdtContent>
        <w:p w14:paraId="1874F791" w14:textId="77777777" w:rsidR="00471D53" w:rsidRDefault="004F686E" w:rsidP="004F686E">
          <w:pPr>
            <w:pStyle w:val="afffff7"/>
            <w:numPr>
              <w:ilvl w:val="0"/>
              <w:numId w:val="108"/>
            </w:numPr>
            <w:rPr>
              <w:rFonts w:ascii="宋体" w:hAnsi="宋体"/>
              <w:szCs w:val="21"/>
            </w:rPr>
          </w:pPr>
          <w:r>
            <w:rPr>
              <w:rFonts w:ascii="宋体" w:hAnsi="宋体" w:hint="eastAsia"/>
              <w:szCs w:val="21"/>
            </w:rPr>
            <w:t>其他</w:t>
          </w:r>
        </w:p>
        <w:sdt>
          <w:sdtPr>
            <w:alias w:val="是否适用：其他重要事项的说明[双击切换]"/>
            <w:tag w:val="_GBC_518cb9b615c44ff597f57c3bba95c7fa"/>
            <w:id w:val="-1564636829"/>
            <w:lock w:val="sdtLocked"/>
            <w:placeholder>
              <w:docPart w:val="GBC22222222222222222222222222222"/>
            </w:placeholder>
          </w:sdtPr>
          <w:sdtEndPr/>
          <w:sdtContent>
            <w:p w14:paraId="5A4A324B"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szCs w:val="21"/>
            </w:rPr>
            <w:alias w:val="其他重要事项的说明"/>
            <w:tag w:val="_GBC_3a09ecc703144c23b6afd2a11890c0c6"/>
            <w:id w:val="-251193249"/>
            <w:lock w:val="sdtLocked"/>
            <w:placeholder>
              <w:docPart w:val="GBC22222222222222222222222222222"/>
            </w:placeholder>
          </w:sdtPr>
          <w:sdtEndPr/>
          <w:sdtContent>
            <w:p w14:paraId="5B49BA2C" w14:textId="77777777" w:rsidR="00471D53" w:rsidRDefault="004F686E" w:rsidP="004F686E">
              <w:pPr>
                <w:numPr>
                  <w:ilvl w:val="1"/>
                  <w:numId w:val="37"/>
                </w:numPr>
                <w:tabs>
                  <w:tab w:val="left" w:pos="800"/>
                  <w:tab w:val="left" w:pos="1290"/>
                </w:tabs>
                <w:spacing w:beforeLines="50" w:before="120" w:afterLines="50" w:after="120" w:line="360" w:lineRule="exact"/>
                <w:ind w:left="0" w:firstLine="499"/>
                <w:jc w:val="both"/>
                <w:outlineLvl w:val="1"/>
                <w:rPr>
                  <w:sz w:val="22"/>
                  <w:szCs w:val="22"/>
                </w:rPr>
              </w:pPr>
              <w:r>
                <w:rPr>
                  <w:rFonts w:hint="eastAsia"/>
                  <w:sz w:val="22"/>
                  <w:szCs w:val="22"/>
                </w:rPr>
                <w:t>发行股份及支付现金购买资产和募集配套资金事项</w:t>
              </w:r>
            </w:p>
            <w:p w14:paraId="36781B80" w14:textId="77777777" w:rsidR="00471D53" w:rsidRPr="0063660C" w:rsidRDefault="004F686E" w:rsidP="00471D53">
              <w:pPr>
                <w:spacing w:beforeLines="50" w:before="120" w:afterLines="50" w:after="120" w:line="360" w:lineRule="exact"/>
                <w:ind w:firstLineChars="200" w:firstLine="440"/>
                <w:jc w:val="both"/>
                <w:rPr>
                  <w:sz w:val="22"/>
                  <w:szCs w:val="22"/>
                </w:rPr>
              </w:pPr>
              <w:r w:rsidRPr="0063660C">
                <w:rPr>
                  <w:rFonts w:hint="eastAsia"/>
                  <w:sz w:val="22"/>
                  <w:szCs w:val="22"/>
                </w:rPr>
                <w:t>本公司拟向李红等</w:t>
              </w:r>
              <w:r w:rsidRPr="0063660C">
                <w:rPr>
                  <w:sz w:val="22"/>
                  <w:szCs w:val="22"/>
                </w:rPr>
                <w:t>17名自然人及青岛艾特诺发行股份及支付现金购买青岛北洋天青数联智能股份有限公司（以下简称北洋天青）80%的股份，并向不超过35名特定对象以非公开发行股份的方式募集配套资金。</w:t>
              </w:r>
            </w:p>
            <w:p w14:paraId="38C3DE75" w14:textId="77777777" w:rsidR="00471D53" w:rsidRPr="0063660C" w:rsidRDefault="004F686E" w:rsidP="00471D53">
              <w:pPr>
                <w:spacing w:beforeLines="50" w:before="120" w:afterLines="50" w:after="120" w:line="360" w:lineRule="exact"/>
                <w:ind w:firstLineChars="200" w:firstLine="440"/>
                <w:jc w:val="both"/>
                <w:rPr>
                  <w:sz w:val="22"/>
                  <w:szCs w:val="22"/>
                </w:rPr>
              </w:pPr>
              <w:r w:rsidRPr="0063660C">
                <w:rPr>
                  <w:sz w:val="22"/>
                  <w:szCs w:val="22"/>
                </w:rPr>
                <w:t>2021年6月9日本公司收到中国证券监督管理委员会核发的《关于不予核准北京京城机电股份有限公司发行股份购买资产并募集配套资金申请的决定》（证监许可〔2021〕1879号），对本公司发行股份及支付现金购买资产和募集配套资金的申请作出不予核准的决定。</w:t>
              </w:r>
            </w:p>
            <w:p w14:paraId="4D3A09FE" w14:textId="77777777" w:rsidR="00471D53" w:rsidRPr="0063660C" w:rsidRDefault="004F686E" w:rsidP="00471D53">
              <w:pPr>
                <w:spacing w:beforeLines="50" w:before="120" w:afterLines="50" w:after="120" w:line="360" w:lineRule="exact"/>
                <w:ind w:firstLineChars="200" w:firstLine="440"/>
                <w:jc w:val="both"/>
                <w:rPr>
                  <w:sz w:val="22"/>
                  <w:szCs w:val="22"/>
                </w:rPr>
              </w:pPr>
              <w:r w:rsidRPr="0063660C">
                <w:rPr>
                  <w:rFonts w:hint="eastAsia"/>
                  <w:sz w:val="22"/>
                  <w:szCs w:val="22"/>
                </w:rPr>
                <w:t>鉴于本公司本次资产重组方案的实施有助于增强本公司经营的核心竞争力，有利于提高资产质量、改善财务状况、增强持续盈利能力，符合本公司和全体股东的利益。本公司董事会决定继续推进本次资产重组事项，并已于</w:t>
              </w:r>
              <w:r w:rsidRPr="0063660C">
                <w:rPr>
                  <w:sz w:val="22"/>
                  <w:szCs w:val="22"/>
                </w:rPr>
                <w:t>2021年6月11日召开了第十届董事会第十一次临时会议，审议通过了《关于北京京城机电股份有限公司继续推进发行股份及支付现金购买资产并募集配套资金事项的议案》。</w:t>
              </w:r>
            </w:p>
            <w:p w14:paraId="469E26CC" w14:textId="77777777" w:rsidR="00471D53" w:rsidRPr="0063660C" w:rsidRDefault="004F686E" w:rsidP="00471D53">
              <w:pPr>
                <w:spacing w:beforeLines="50" w:before="120" w:afterLines="50" w:after="120" w:line="360" w:lineRule="exact"/>
                <w:ind w:firstLineChars="200" w:firstLine="440"/>
                <w:jc w:val="both"/>
                <w:rPr>
                  <w:sz w:val="22"/>
                  <w:szCs w:val="22"/>
                </w:rPr>
              </w:pPr>
              <w:r w:rsidRPr="0063660C">
                <w:rPr>
                  <w:rFonts w:hint="eastAsia"/>
                  <w:sz w:val="22"/>
                  <w:szCs w:val="22"/>
                </w:rPr>
                <w:t>本公司将根据中国证监会并购重组委的审核意见并结合本公司实际情况，协同相关中介机构，进一步修改、补充、完善本次交易方案及相关申报材料。</w:t>
              </w:r>
            </w:p>
            <w:p w14:paraId="3C432B90" w14:textId="77777777" w:rsidR="00471D53" w:rsidRPr="0063660C" w:rsidRDefault="004F686E" w:rsidP="00471D53">
              <w:pPr>
                <w:spacing w:beforeLines="50" w:before="120" w:afterLines="50" w:after="120" w:line="360" w:lineRule="exact"/>
                <w:ind w:firstLineChars="200" w:firstLine="440"/>
                <w:jc w:val="both"/>
                <w:rPr>
                  <w:sz w:val="22"/>
                  <w:szCs w:val="22"/>
                </w:rPr>
              </w:pPr>
              <w:r w:rsidRPr="0063660C">
                <w:rPr>
                  <w:rFonts w:hint="eastAsia"/>
                  <w:sz w:val="22"/>
                  <w:szCs w:val="22"/>
                </w:rPr>
                <w:t>本次交易前，本集团主要从事压力容器的研发、生产加工及销售业务。通过本次交易，本集团将获得北洋天青的控股权，业务范围将增加智能化生产线建设、升级、改造等整体解决方案业务。</w:t>
              </w:r>
            </w:p>
            <w:p w14:paraId="77EB09C7" w14:textId="77777777" w:rsidR="00471D53" w:rsidRDefault="004F686E" w:rsidP="00471D53">
              <w:pPr>
                <w:spacing w:beforeLines="50" w:before="120" w:afterLines="50" w:after="120" w:line="360" w:lineRule="exact"/>
                <w:ind w:firstLineChars="200" w:firstLine="440"/>
                <w:jc w:val="both"/>
                <w:rPr>
                  <w:sz w:val="22"/>
                  <w:szCs w:val="22"/>
                </w:rPr>
              </w:pPr>
              <w:r w:rsidRPr="0063660C">
                <w:rPr>
                  <w:rFonts w:hint="eastAsia"/>
                  <w:sz w:val="22"/>
                  <w:szCs w:val="22"/>
                </w:rPr>
                <w:t>本次交易将优质资产注入本集团，有利于智能化、信息化生产线建设、升级改造行业整体解决方案业务与本集团原有的压力容器业务协同发展，优化产业布局，强化持续经营能力。通过本次交易，本集团将充分分享北洋天青在智能制造领域的技术积累及优势资源，助力本集团推进产业转型。</w:t>
              </w:r>
            </w:p>
            <w:p w14:paraId="0EE308AA" w14:textId="77777777" w:rsidR="00471D53" w:rsidRPr="005A7E04" w:rsidRDefault="00B664AF" w:rsidP="00471D53">
              <w:pPr>
                <w:tabs>
                  <w:tab w:val="left" w:pos="800"/>
                </w:tabs>
                <w:spacing w:beforeLines="50" w:before="120" w:afterLines="50" w:after="120" w:line="360" w:lineRule="exact"/>
                <w:outlineLvl w:val="1"/>
                <w:rPr>
                  <w:szCs w:val="21"/>
                </w:rPr>
              </w:pPr>
            </w:p>
            <w:p w14:paraId="36D00E7E" w14:textId="77777777" w:rsidR="00471D53" w:rsidRDefault="004F686E" w:rsidP="00471D53">
              <w:pPr>
                <w:tabs>
                  <w:tab w:val="left" w:pos="800"/>
                </w:tabs>
                <w:spacing w:beforeLines="50" w:before="120" w:afterLines="50" w:after="120" w:line="360" w:lineRule="exact"/>
                <w:ind w:firstLineChars="200" w:firstLine="520"/>
                <w:outlineLvl w:val="1"/>
                <w:rPr>
                  <w:spacing w:val="20"/>
                  <w:sz w:val="22"/>
                  <w:szCs w:val="22"/>
                </w:rPr>
              </w:pPr>
              <w:r>
                <w:rPr>
                  <w:rFonts w:hint="eastAsia"/>
                  <w:spacing w:val="20"/>
                  <w:sz w:val="22"/>
                  <w:szCs w:val="22"/>
                </w:rPr>
                <w:t>2．</w:t>
              </w:r>
              <w:r w:rsidRPr="00BF4535">
                <w:rPr>
                  <w:spacing w:val="20"/>
                  <w:sz w:val="22"/>
                  <w:szCs w:val="22"/>
                </w:rPr>
                <w:t>天海低温诉讼事项进展情况</w:t>
              </w:r>
            </w:p>
            <w:p w14:paraId="66C8BC1B" w14:textId="77777777" w:rsidR="00471D53" w:rsidRPr="00BF4535" w:rsidRDefault="004F686E" w:rsidP="00471D53">
              <w:pPr>
                <w:spacing w:beforeLines="50" w:before="120" w:afterLines="50" w:after="120" w:line="360" w:lineRule="exact"/>
                <w:ind w:firstLineChars="200" w:firstLine="440"/>
                <w:jc w:val="both"/>
                <w:rPr>
                  <w:sz w:val="22"/>
                  <w:szCs w:val="22"/>
                </w:rPr>
              </w:pPr>
              <w:r w:rsidRPr="00BF4535">
                <w:rPr>
                  <w:rFonts w:hint="eastAsia"/>
                  <w:sz w:val="22"/>
                  <w:szCs w:val="22"/>
                </w:rPr>
                <w:lastRenderedPageBreak/>
                <w:t>本公司之下属公司北京天海低温设备有限公司（以下简称天海低温）于</w:t>
              </w:r>
              <w:r w:rsidRPr="00BF4535">
                <w:rPr>
                  <w:sz w:val="22"/>
                  <w:szCs w:val="22"/>
                </w:rPr>
                <w:t>2020年5月收到上海君正物流有限公司（以下简称君正公司）的《民事起诉状》。要求天海低温向君正公司退还合同价款、资金占用损失、差旅费、车辆租赁费、公证费等共计66,035,037.20元；天海低温承担保全费、保险费及全部诉讼费用。天海低温随即进行了反诉。</w:t>
              </w:r>
            </w:p>
            <w:p w14:paraId="3DE54AD3" w14:textId="3DB5EDC1" w:rsidR="00471D53" w:rsidRPr="005567DA" w:rsidRDefault="004F686E" w:rsidP="00471D53">
              <w:pPr>
                <w:spacing w:beforeLines="50" w:before="120" w:afterLines="50" w:after="120" w:line="360" w:lineRule="exact"/>
                <w:ind w:firstLineChars="200" w:firstLine="440"/>
                <w:jc w:val="both"/>
                <w:rPr>
                  <w:sz w:val="22"/>
                  <w:szCs w:val="22"/>
                </w:rPr>
              </w:pPr>
              <w:r w:rsidRPr="00BF4535">
                <w:rPr>
                  <w:sz w:val="22"/>
                  <w:szCs w:val="22"/>
                </w:rPr>
                <w:t>2021年5月13日，天海低温收到上海市第一中级人民法院民事判决书，一审判决君</w:t>
              </w:r>
              <w:r w:rsidRPr="005567DA">
                <w:rPr>
                  <w:sz w:val="22"/>
                  <w:szCs w:val="22"/>
                </w:rPr>
                <w:t>正公司败诉，并支付反诉方天海低温仓储费180万元。</w:t>
              </w:r>
            </w:p>
            <w:p w14:paraId="29B51179" w14:textId="02FFCEF0" w:rsidR="00471D53" w:rsidRDefault="00D774C0" w:rsidP="00D774C0">
              <w:pPr>
                <w:ind w:firstLineChars="200" w:firstLine="440"/>
                <w:rPr>
                  <w:szCs w:val="21"/>
                </w:rPr>
              </w:pPr>
              <w:r w:rsidRPr="00D774C0">
                <w:rPr>
                  <w:rFonts w:hint="eastAsia"/>
                  <w:sz w:val="22"/>
                  <w:szCs w:val="22"/>
                </w:rPr>
                <w:t>君正公司不服判决提起上诉，上海市高院立案后，依法组成合议庭，将于</w:t>
              </w:r>
              <w:r w:rsidRPr="00D774C0">
                <w:rPr>
                  <w:sz w:val="22"/>
                  <w:szCs w:val="22"/>
                </w:rPr>
                <w:t>2021年8月24日开庭审理。</w:t>
              </w:r>
            </w:p>
          </w:sdtContent>
        </w:sdt>
      </w:sdtContent>
    </w:sdt>
    <w:p w14:paraId="15A27030" w14:textId="77777777" w:rsidR="00471D53" w:rsidRDefault="00B664AF">
      <w:pPr>
        <w:rPr>
          <w:szCs w:val="21"/>
        </w:rPr>
      </w:pPr>
    </w:p>
    <w:p w14:paraId="13B6A9E5" w14:textId="77777777" w:rsidR="00471D53" w:rsidRDefault="004F686E" w:rsidP="004F686E">
      <w:pPr>
        <w:pStyle w:val="afffff6"/>
        <w:numPr>
          <w:ilvl w:val="0"/>
          <w:numId w:val="35"/>
        </w:numPr>
        <w:ind w:left="422" w:hanging="422"/>
        <w:rPr>
          <w:rFonts w:ascii="宋体" w:hAnsi="宋体"/>
        </w:rPr>
      </w:pPr>
      <w:r>
        <w:rPr>
          <w:rFonts w:ascii="宋体" w:hAnsi="宋体" w:hint="eastAsia"/>
        </w:rPr>
        <w:t>母公司财务报表主要项目注释</w:t>
      </w:r>
    </w:p>
    <w:p w14:paraId="61A08277" w14:textId="77777777" w:rsidR="00471D53" w:rsidRDefault="004F686E" w:rsidP="004F686E">
      <w:pPr>
        <w:pStyle w:val="afffff7"/>
        <w:numPr>
          <w:ilvl w:val="0"/>
          <w:numId w:val="112"/>
        </w:numPr>
        <w:rPr>
          <w:rFonts w:ascii="宋体" w:hAnsi="宋体"/>
          <w:szCs w:val="21"/>
        </w:rPr>
      </w:pPr>
      <w:r>
        <w:rPr>
          <w:rFonts w:ascii="宋体" w:hAnsi="宋体" w:hint="eastAsia"/>
          <w:szCs w:val="21"/>
        </w:rPr>
        <w:t>应收账款</w:t>
      </w:r>
    </w:p>
    <w:sdt>
      <w:sdtPr>
        <w:rPr>
          <w:rFonts w:ascii="宋体" w:hAnsi="宋体" w:cs="宋体" w:hint="eastAsia"/>
          <w:b w:val="0"/>
          <w:bCs w:val="0"/>
          <w:kern w:val="0"/>
          <w:szCs w:val="21"/>
        </w:rPr>
        <w:alias w:val="模块:组合中，按账龄分析法计提坏账准备的应收账款"/>
        <w:tag w:val="_GBC_f44cec1af5094a96a29dd8e92ee27b70"/>
        <w:id w:val="-419796345"/>
        <w:lock w:val="sdtLocked"/>
        <w:placeholder>
          <w:docPart w:val="GBC22222222222222222222222222222"/>
        </w:placeholder>
      </w:sdtPr>
      <w:sdtEndPr>
        <w:rPr>
          <w:rFonts w:hint="default"/>
        </w:rPr>
      </w:sdtEndPr>
      <w:sdtContent>
        <w:p w14:paraId="65BA0BFC" w14:textId="77777777" w:rsidR="00471D53" w:rsidRDefault="004F686E" w:rsidP="004F686E">
          <w:pPr>
            <w:pStyle w:val="afffff8"/>
            <w:numPr>
              <w:ilvl w:val="0"/>
              <w:numId w:val="113"/>
            </w:numPr>
            <w:tabs>
              <w:tab w:val="left" w:pos="644"/>
            </w:tabs>
            <w:ind w:left="0" w:firstLine="0"/>
            <w:rPr>
              <w:rFonts w:ascii="宋体" w:hAnsi="宋体"/>
              <w:szCs w:val="21"/>
            </w:rPr>
          </w:pPr>
          <w:r>
            <w:rPr>
              <w:rFonts w:ascii="宋体" w:hAnsi="宋体" w:hint="eastAsia"/>
              <w:szCs w:val="21"/>
            </w:rPr>
            <w:t>按账龄披露</w:t>
          </w:r>
        </w:p>
        <w:sdt>
          <w:sdtPr>
            <w:rPr>
              <w:szCs w:val="21"/>
            </w:rPr>
            <w:alias w:val="是否适用：母公司组合中，按账龄分析法计提坏账准备的应收账款[双击切换]"/>
            <w:tag w:val="_GBC_0a11a3bd15dd4fa882e7b9f16b5e3b07"/>
            <w:id w:val="92524190"/>
            <w:lock w:val="sdtLocked"/>
            <w:placeholder>
              <w:docPart w:val="GBC22222222222222222222222222222"/>
            </w:placeholder>
          </w:sdtPr>
          <w:sdtEndPr/>
          <w:sdtContent>
            <w:p w14:paraId="2D6AACF2" w14:textId="77777777" w:rsidR="00471D53" w:rsidRDefault="004F686E" w:rsidP="00471D5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14:paraId="7F0606C2" w14:textId="77777777" w:rsidR="00471D53" w:rsidRDefault="00B664AF">
      <w:pPr>
        <w:snapToGrid w:val="0"/>
        <w:spacing w:line="240" w:lineRule="atLeast"/>
        <w:rPr>
          <w:szCs w:val="21"/>
        </w:rPr>
      </w:pPr>
    </w:p>
    <w:p w14:paraId="253E4075" w14:textId="77777777" w:rsidR="00471D53" w:rsidRDefault="004F686E" w:rsidP="004F686E">
      <w:pPr>
        <w:pStyle w:val="afffff8"/>
        <w:numPr>
          <w:ilvl w:val="0"/>
          <w:numId w:val="113"/>
        </w:numPr>
        <w:tabs>
          <w:tab w:val="left" w:pos="644"/>
        </w:tabs>
        <w:ind w:left="0" w:firstLine="0"/>
        <w:rPr>
          <w:rFonts w:ascii="宋体" w:hAnsi="宋体"/>
          <w:szCs w:val="21"/>
        </w:rPr>
      </w:pPr>
      <w:bookmarkStart w:id="249" w:name="_Hlk10540024"/>
      <w:r>
        <w:rPr>
          <w:rFonts w:ascii="宋体" w:hAnsi="宋体" w:hint="eastAsia"/>
          <w:szCs w:val="21"/>
        </w:rPr>
        <w:t>按坏账计提方法分类披露</w:t>
      </w:r>
    </w:p>
    <w:sdt>
      <w:sdtPr>
        <w:alias w:val="是否适用：母公司应收账款按坏账计提方法分类披露[双击切换]"/>
        <w:tag w:val="_GBC_bd7fb52eb7f647d5aa6c10677b261ee1"/>
        <w:id w:val="573403437"/>
        <w:lock w:val="sdtLocked"/>
        <w:placeholder>
          <w:docPart w:val="GBC22222222222222222222222222222"/>
        </w:placeholder>
      </w:sdtPr>
      <w:sdtEndPr/>
      <w:sdtContent>
        <w:p w14:paraId="603B8545" w14:textId="77777777" w:rsidR="00471D53" w:rsidRDefault="004F686E" w:rsidP="00471D53">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249" w:displacedByCustomXml="prev"/>
    <w:p w14:paraId="3D0A98A5" w14:textId="77777777" w:rsidR="00471D53" w:rsidRDefault="00B664AF">
      <w:pPr>
        <w:rPr>
          <w:szCs w:val="21"/>
        </w:rPr>
      </w:pPr>
    </w:p>
    <w:p w14:paraId="5A8ED55F" w14:textId="77777777" w:rsidR="00471D53" w:rsidRDefault="004F686E" w:rsidP="004F686E">
      <w:pPr>
        <w:pStyle w:val="afffff8"/>
        <w:numPr>
          <w:ilvl w:val="0"/>
          <w:numId w:val="113"/>
        </w:numPr>
        <w:tabs>
          <w:tab w:val="left" w:pos="644"/>
        </w:tabs>
        <w:ind w:left="0" w:firstLine="0"/>
        <w:rPr>
          <w:rFonts w:ascii="宋体" w:hAnsi="宋体"/>
          <w:szCs w:val="21"/>
        </w:rPr>
      </w:pPr>
      <w:bookmarkStart w:id="250" w:name="_Hlk10540190"/>
      <w:bookmarkStart w:id="251" w:name="_Hlk10540207"/>
      <w:r>
        <w:rPr>
          <w:rFonts w:ascii="宋体" w:hAnsi="宋体" w:hint="eastAsia"/>
          <w:szCs w:val="21"/>
        </w:rPr>
        <w:t>坏账准备的情况</w:t>
      </w:r>
      <w:bookmarkEnd w:id="250"/>
    </w:p>
    <w:sdt>
      <w:sdtPr>
        <w:alias w:val="是否适用：母公司应收账款坏账准备情况[双击切换]"/>
        <w:tag w:val="_GBC_f73789de2ecf49c4bad380c8767c93cf"/>
        <w:id w:val="783540071"/>
        <w:lock w:val="sdtLocked"/>
        <w:placeholder>
          <w:docPart w:val="GBC22222222222222222222222222222"/>
        </w:placeholder>
      </w:sdtPr>
      <w:sdtEndPr/>
      <w:sdtContent>
        <w:p w14:paraId="349C78C7" w14:textId="77777777" w:rsidR="00471D53" w:rsidRDefault="004F686E" w:rsidP="00471D53">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051D435" w14:textId="77777777" w:rsidR="00471D53" w:rsidRDefault="00B664AF">
      <w:pPr>
        <w:pStyle w:val="affffff7"/>
        <w:snapToGrid w:val="0"/>
        <w:spacing w:line="240" w:lineRule="atLeast"/>
        <w:ind w:left="425" w:firstLineChars="0" w:firstLine="0"/>
        <w:jc w:val="left"/>
        <w:rPr>
          <w:rFonts w:ascii="宋体" w:hAnsi="宋体"/>
          <w:szCs w:val="21"/>
        </w:rPr>
      </w:pPr>
    </w:p>
    <w:bookmarkEnd w:id="251"/>
    <w:p w14:paraId="0E46F130" w14:textId="77777777" w:rsidR="00471D53" w:rsidRDefault="00B664AF">
      <w:pPr>
        <w:rPr>
          <w:szCs w:val="21"/>
        </w:rPr>
      </w:pPr>
    </w:p>
    <w:bookmarkStart w:id="252" w:name="_Hlk10540223" w:displacedByCustomXml="next"/>
    <w:bookmarkStart w:id="253" w:name="_Hlk10540234" w:displacedByCustomXml="next"/>
    <w:sdt>
      <w:sdtPr>
        <w:rPr>
          <w:rFonts w:hint="eastAsia"/>
        </w:rPr>
        <w:alias w:val="模块:其中本期坏账准备收回或转回金额重要的："/>
        <w:tag w:val="_SEC_cfbe6c51f19042a4ad507f8066423e41"/>
        <w:id w:val="-892188559"/>
        <w:lock w:val="sdtLocked"/>
        <w:placeholder>
          <w:docPart w:val="GBC22222222222222222222222222222"/>
        </w:placeholder>
      </w:sdtPr>
      <w:sdtEndPr>
        <w:rPr>
          <w:rFonts w:hint="default"/>
        </w:rPr>
      </w:sdtEndPr>
      <w:sdtContent>
        <w:p w14:paraId="529F82B2" w14:textId="77777777" w:rsidR="00471D53" w:rsidRDefault="004F686E">
          <w:r>
            <w:rPr>
              <w:rFonts w:hint="eastAsia"/>
            </w:rPr>
            <w:t>其中本期坏账准备收回或转回金额重要的：</w:t>
          </w:r>
          <w:bookmarkEnd w:id="252"/>
        </w:p>
        <w:sdt>
          <w:sdtPr>
            <w:alias w:val="是否适用：母公司其中本期坏账准备收回或转回金额重要的[双击切换]"/>
            <w:tag w:val="_GBC_a6aa75dceb1749caaf0ac8239ed005c1"/>
            <w:id w:val="-281041674"/>
            <w:lock w:val="sdtLocked"/>
            <w:placeholder>
              <w:docPart w:val="GBC22222222222222222222222222222"/>
            </w:placeholder>
          </w:sdtPr>
          <w:sdtEndPr/>
          <w:sdtContent>
            <w:p w14:paraId="4C65D2B6" w14:textId="77777777" w:rsidR="00471D53" w:rsidRDefault="004F686E" w:rsidP="00471D5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2A51E765" w14:textId="77777777" w:rsidR="00471D53" w:rsidRDefault="00B664AF" w:rsidP="00471D53">
          <w:pPr>
            <w:ind w:rightChars="-759" w:right="-1594"/>
            <w:rPr>
              <w:szCs w:val="21"/>
            </w:rPr>
          </w:pPr>
        </w:p>
      </w:sdtContent>
    </w:sdt>
    <w:bookmarkEnd w:id="253" w:displacedByCustomXml="prev"/>
    <w:p w14:paraId="71E30A60" w14:textId="77777777" w:rsidR="00471D53" w:rsidRDefault="00B664AF"/>
    <w:sdt>
      <w:sdtPr>
        <w:rPr>
          <w:rFonts w:ascii="宋体" w:hAnsi="宋体" w:cs="宋体" w:hint="eastAsia"/>
          <w:b w:val="0"/>
          <w:bCs w:val="0"/>
          <w:kern w:val="0"/>
          <w:szCs w:val="24"/>
        </w:rPr>
        <w:alias w:val="模块:本报告期实际核销的应收账款情况"/>
        <w:tag w:val="_GBC_72fe1bcd09e2470f910107f1e159af49"/>
        <w:id w:val="501935883"/>
        <w:lock w:val="sdtLocked"/>
        <w:placeholder>
          <w:docPart w:val="GBC22222222222222222222222222222"/>
        </w:placeholder>
      </w:sdtPr>
      <w:sdtEndPr>
        <w:rPr>
          <w:rFonts w:hint="default"/>
        </w:rPr>
      </w:sdtEndPr>
      <w:sdtContent>
        <w:p w14:paraId="2E11EB4E" w14:textId="77777777" w:rsidR="00471D53" w:rsidRDefault="004F686E" w:rsidP="004F686E">
          <w:pPr>
            <w:pStyle w:val="afffff8"/>
            <w:numPr>
              <w:ilvl w:val="0"/>
              <w:numId w:val="113"/>
            </w:numPr>
            <w:tabs>
              <w:tab w:val="left" w:pos="630"/>
            </w:tabs>
            <w:ind w:left="0" w:firstLine="0"/>
            <w:rPr>
              <w:rFonts w:ascii="宋体" w:hAnsi="宋体"/>
            </w:rPr>
          </w:pPr>
          <w:r>
            <w:rPr>
              <w:rFonts w:ascii="宋体" w:hAnsi="宋体"/>
            </w:rPr>
            <w:t>本期实际核销的应收</w:t>
          </w:r>
          <w:r>
            <w:rPr>
              <w:rFonts w:ascii="宋体" w:hAnsi="宋体" w:hint="eastAsia"/>
            </w:rPr>
            <w:t>账款</w:t>
          </w:r>
          <w:r>
            <w:rPr>
              <w:rFonts w:ascii="宋体" w:hAnsi="宋体"/>
            </w:rPr>
            <w:t>情况</w:t>
          </w:r>
        </w:p>
        <w:sdt>
          <w:sdtPr>
            <w:alias w:val="是否适用：母公司本期实际核销的应收账款情况[双击切换]"/>
            <w:tag w:val="_GBC_a8b9861b74fa43bdb4a98d13449f8f5e"/>
            <w:id w:val="1903404700"/>
            <w:lock w:val="sdtLocked"/>
            <w:placeholder>
              <w:docPart w:val="GBC22222222222222222222222222222"/>
            </w:placeholder>
          </w:sdtPr>
          <w:sdtEndPr/>
          <w:sdtContent>
            <w:p w14:paraId="007CCE81"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4C074C3" w14:textId="77777777" w:rsidR="00471D53" w:rsidRDefault="00B664AF"/>
      </w:sdtContent>
    </w:sdt>
    <w:p w14:paraId="73E27F90" w14:textId="77777777" w:rsidR="00471D53" w:rsidRDefault="00B664AF" w:rsidP="00471D53">
      <w:pPr>
        <w:snapToGrid w:val="0"/>
        <w:spacing w:line="240" w:lineRule="atLeast"/>
        <w:ind w:leftChars="-50" w:left="-105"/>
        <w:rPr>
          <w:szCs w:val="21"/>
        </w:rPr>
      </w:pPr>
    </w:p>
    <w:sdt>
      <w:sdtPr>
        <w:rPr>
          <w:rFonts w:ascii="宋体" w:hAnsi="宋体" w:cs="宋体" w:hint="eastAsia"/>
          <w:b w:val="0"/>
          <w:bCs w:val="0"/>
          <w:kern w:val="0"/>
          <w:szCs w:val="24"/>
        </w:rPr>
        <w:alias w:val="模块:按欠款方归集的期末余额前五名的应收账款情况"/>
        <w:tag w:val="_GBC_60192a235b1d4a9bb5f69fafe3ab6f87"/>
        <w:id w:val="928322702"/>
        <w:lock w:val="sdtLocked"/>
        <w:placeholder>
          <w:docPart w:val="GBC22222222222222222222222222222"/>
        </w:placeholder>
      </w:sdtPr>
      <w:sdtEndPr>
        <w:rPr>
          <w:rFonts w:hint="default"/>
          <w:szCs w:val="21"/>
        </w:rPr>
      </w:sdtEndPr>
      <w:sdtContent>
        <w:p w14:paraId="5344C021" w14:textId="77777777" w:rsidR="00471D53" w:rsidRDefault="004F686E" w:rsidP="004F686E">
          <w:pPr>
            <w:pStyle w:val="afffff8"/>
            <w:numPr>
              <w:ilvl w:val="0"/>
              <w:numId w:val="113"/>
            </w:numPr>
            <w:tabs>
              <w:tab w:val="left" w:pos="630"/>
            </w:tabs>
            <w:ind w:left="0" w:firstLine="0"/>
            <w:rPr>
              <w:rFonts w:ascii="宋体" w:hAnsi="宋体"/>
            </w:rPr>
          </w:pPr>
          <w:r>
            <w:rPr>
              <w:rFonts w:ascii="宋体" w:hAnsi="宋体" w:hint="eastAsia"/>
            </w:rPr>
            <w:t>按欠款方归集的期末余额前五名的应收账款情况</w:t>
          </w:r>
        </w:p>
        <w:sdt>
          <w:sdtPr>
            <w:alias w:val="是否适用：母公司按欠款方归集的期末余额前五名的应收账款情况[双击切换]"/>
            <w:tag w:val="_GBC_6ebf56800d554857af86eb226ac98f28"/>
            <w:id w:val="-408463194"/>
            <w:lock w:val="sdtLocked"/>
            <w:placeholder>
              <w:docPart w:val="GBC22222222222222222222222222222"/>
            </w:placeholder>
          </w:sdtPr>
          <w:sdtEndPr/>
          <w:sdtContent>
            <w:p w14:paraId="0F8BA5E8" w14:textId="77777777" w:rsidR="00471D53" w:rsidRDefault="004F686E" w:rsidP="00471D53">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49D9D61" w14:textId="77777777" w:rsidR="00471D53" w:rsidRDefault="00B664AF">
          <w:pPr>
            <w:snapToGrid w:val="0"/>
            <w:spacing w:line="240" w:lineRule="atLeast"/>
            <w:rPr>
              <w:szCs w:val="21"/>
            </w:rPr>
          </w:pPr>
        </w:p>
      </w:sdtContent>
    </w:sdt>
    <w:sdt>
      <w:sdtPr>
        <w:rPr>
          <w:rFonts w:ascii="宋体" w:hAnsi="宋体" w:cs="宋体" w:hint="eastAsia"/>
          <w:b w:val="0"/>
          <w:bCs w:val="0"/>
          <w:kern w:val="0"/>
          <w:szCs w:val="24"/>
        </w:rPr>
        <w:alias w:val="模块:因金融资产转移而终止确认的应收账款"/>
        <w:tag w:val="_GBC_ab73666b561d47cbb383aa21715b406f"/>
        <w:id w:val="1349062750"/>
        <w:lock w:val="sdtLocked"/>
        <w:placeholder>
          <w:docPart w:val="GBC22222222222222222222222222222"/>
        </w:placeholder>
      </w:sdtPr>
      <w:sdtEndPr/>
      <w:sdtContent>
        <w:p w14:paraId="68FBDFCB" w14:textId="77777777" w:rsidR="00471D53" w:rsidRDefault="004F686E" w:rsidP="004F686E">
          <w:pPr>
            <w:pStyle w:val="afffff8"/>
            <w:numPr>
              <w:ilvl w:val="0"/>
              <w:numId w:val="113"/>
            </w:numPr>
            <w:tabs>
              <w:tab w:val="left" w:pos="630"/>
            </w:tabs>
            <w:ind w:left="0" w:firstLine="0"/>
            <w:rPr>
              <w:rFonts w:ascii="宋体" w:hAnsi="宋体"/>
              <w:kern w:val="0"/>
            </w:rPr>
          </w:pPr>
          <w:r>
            <w:rPr>
              <w:rFonts w:ascii="宋体" w:hAnsi="宋体" w:hint="eastAsia"/>
              <w:kern w:val="0"/>
            </w:rPr>
            <w:t>因</w:t>
          </w:r>
          <w:r>
            <w:rPr>
              <w:rFonts w:ascii="宋体" w:hAnsi="宋体" w:hint="eastAsia"/>
            </w:rPr>
            <w:t>金融资产转移</w:t>
          </w:r>
          <w:r>
            <w:rPr>
              <w:rFonts w:ascii="宋体" w:hAnsi="宋体" w:hint="eastAsia"/>
              <w:kern w:val="0"/>
            </w:rPr>
            <w:t>而终止确认的应收账款</w:t>
          </w:r>
        </w:p>
        <w:sdt>
          <w:sdtPr>
            <w:rPr>
              <w:rFonts w:hint="eastAsia"/>
              <w:szCs w:val="21"/>
            </w:rPr>
            <w:alias w:val="是否适用：母公司因金融资产转移而终止确认的应收账款[双击切换]"/>
            <w:tag w:val="_GBC_452701102453497e8ab0df8e4c523df9"/>
            <w:id w:val="-892666224"/>
            <w:lock w:val="sdtLocked"/>
            <w:placeholder>
              <w:docPart w:val="GBC22222222222222222222222222222"/>
            </w:placeholder>
          </w:sdtPr>
          <w:sdtEndPr/>
          <w:sdtContent>
            <w:p w14:paraId="21C54AAF" w14:textId="77777777" w:rsidR="00471D53" w:rsidRDefault="004F686E" w:rsidP="00471D53">
              <w:pPr>
                <w:snapToGrid w:val="0"/>
                <w:spacing w:line="240" w:lineRule="atLeast"/>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57B79C35" w14:textId="77777777" w:rsidR="00471D53" w:rsidRDefault="00B664AF">
          <w:pPr>
            <w:snapToGrid w:val="0"/>
            <w:spacing w:line="240" w:lineRule="atLeast"/>
          </w:pPr>
        </w:p>
      </w:sdtContent>
    </w:sdt>
    <w:sdt>
      <w:sdtPr>
        <w:rPr>
          <w:rFonts w:ascii="宋体" w:hAnsi="宋体" w:cs="宋体" w:hint="eastAsia"/>
          <w:b w:val="0"/>
          <w:bCs w:val="0"/>
          <w:kern w:val="0"/>
          <w:szCs w:val="24"/>
        </w:rPr>
        <w:alias w:val="模块:转移应收账款且继续涉入的，分项列示继续涉入形成的资产、负债的金额"/>
        <w:tag w:val="_GBC_0fefb2630375419f8e496c310f6ec9ee"/>
        <w:id w:val="1850371030"/>
        <w:lock w:val="sdtLocked"/>
        <w:placeholder>
          <w:docPart w:val="GBC22222222222222222222222222222"/>
        </w:placeholder>
      </w:sdtPr>
      <w:sdtEndPr/>
      <w:sdtContent>
        <w:p w14:paraId="77440337" w14:textId="77777777" w:rsidR="00471D53" w:rsidRDefault="004F686E" w:rsidP="004F686E">
          <w:pPr>
            <w:pStyle w:val="afffff8"/>
            <w:numPr>
              <w:ilvl w:val="0"/>
              <w:numId w:val="113"/>
            </w:numPr>
            <w:tabs>
              <w:tab w:val="left" w:pos="630"/>
            </w:tabs>
            <w:ind w:left="0" w:firstLine="0"/>
            <w:rPr>
              <w:rFonts w:ascii="宋体" w:hAnsi="宋体"/>
            </w:rPr>
          </w:pPr>
          <w:r>
            <w:rPr>
              <w:rFonts w:ascii="宋体" w:hAnsi="宋体" w:hint="eastAsia"/>
              <w:kern w:val="0"/>
              <w:szCs w:val="21"/>
            </w:rPr>
            <w:t>转移应收账款且</w:t>
          </w:r>
          <w:r>
            <w:rPr>
              <w:rFonts w:ascii="宋体" w:hAnsi="宋体" w:hint="eastAsia"/>
            </w:rPr>
            <w:t>继续</w:t>
          </w:r>
          <w:r>
            <w:rPr>
              <w:rFonts w:ascii="宋体" w:hAnsi="宋体" w:hint="eastAsia"/>
              <w:kern w:val="0"/>
              <w:szCs w:val="21"/>
            </w:rPr>
            <w:t>涉入形成的资产、负债金额</w:t>
          </w:r>
        </w:p>
        <w:sdt>
          <w:sdtPr>
            <w:rPr>
              <w:rFonts w:hint="eastAsia"/>
            </w:rPr>
            <w:alias w:val="是否适用：母公司转移应收账款且继续涉入形成的资产、负债金额[双击切换]"/>
            <w:tag w:val="_GBC_18ab0f336ea34b009b496f240cc35a39"/>
            <w:id w:val="866338095"/>
            <w:lock w:val="sdtLocked"/>
            <w:placeholder>
              <w:docPart w:val="GBC22222222222222222222222222222"/>
            </w:placeholder>
          </w:sdtPr>
          <w:sdtEndPr/>
          <w:sdtContent>
            <w:p w14:paraId="073C5590" w14:textId="77777777" w:rsidR="00471D53" w:rsidRDefault="004F686E" w:rsidP="00471D53">
              <w:pPr>
                <w:snapToGrid w:val="0"/>
                <w:spacing w:line="240" w:lineRule="atLeast"/>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1DB6A40D" w14:textId="77777777" w:rsidR="00471D53" w:rsidRDefault="00B664AF" w:rsidP="00471D53">
      <w:pPr>
        <w:snapToGrid w:val="0"/>
        <w:spacing w:line="240" w:lineRule="atLeast"/>
        <w:ind w:leftChars="-50" w:left="-105"/>
      </w:pPr>
    </w:p>
    <w:sdt>
      <w:sdtPr>
        <w:rPr>
          <w:rFonts w:hint="eastAsia"/>
          <w:b/>
          <w:bCs/>
        </w:rPr>
        <w:alias w:val="模块:其他说明："/>
        <w:tag w:val="_GBC_eac4abdf299a4312a10e680c5fc79ef9"/>
        <w:id w:val="-1463960443"/>
        <w:lock w:val="sdtLocked"/>
        <w:placeholder>
          <w:docPart w:val="GBC22222222222222222222222222222"/>
        </w:placeholder>
      </w:sdtPr>
      <w:sdtEndPr>
        <w:rPr>
          <w:rFonts w:hint="default"/>
          <w:b w:val="0"/>
          <w:bCs w:val="0"/>
        </w:rPr>
      </w:sdtEndPr>
      <w:sdtContent>
        <w:p w14:paraId="02C04A9D" w14:textId="77777777" w:rsidR="00471D53" w:rsidRDefault="004F686E">
          <w:r>
            <w:rPr>
              <w:rFonts w:hint="eastAsia"/>
            </w:rPr>
            <w:t>其他</w:t>
          </w:r>
          <w:r>
            <w:t>说明：</w:t>
          </w:r>
        </w:p>
        <w:sdt>
          <w:sdtPr>
            <w:rPr>
              <w:rFonts w:hint="eastAsia"/>
            </w:rPr>
            <w:alias w:val="是否适用：母公司应收账款其他说明[双击切换]"/>
            <w:tag w:val="_GBC_22a2c0a255e04aacadf1c076323bc980"/>
            <w:id w:val="1391455989"/>
            <w:lock w:val="sdtLocked"/>
            <w:placeholder>
              <w:docPart w:val="GBC22222222222222222222222222222"/>
            </w:placeholder>
          </w:sdtPr>
          <w:sdtEndPr/>
          <w:sdtContent>
            <w:p w14:paraId="25FB0BE1" w14:textId="77777777" w:rsidR="00471D53" w:rsidRDefault="004F686E" w:rsidP="00471D53">
              <w:pPr>
                <w:snapToGrid w:val="0"/>
                <w:spacing w:line="240" w:lineRule="atLeast"/>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D990D72" w14:textId="77777777" w:rsidR="00471D53" w:rsidRDefault="00B664AF">
          <w:pPr>
            <w:snapToGrid w:val="0"/>
            <w:spacing w:line="240" w:lineRule="atLeast"/>
          </w:pPr>
        </w:p>
      </w:sdtContent>
    </w:sdt>
    <w:p w14:paraId="5375E508" w14:textId="77777777" w:rsidR="00471D53" w:rsidRDefault="004F686E" w:rsidP="004F686E">
      <w:pPr>
        <w:pStyle w:val="afffff7"/>
        <w:numPr>
          <w:ilvl w:val="0"/>
          <w:numId w:val="112"/>
        </w:numPr>
        <w:rPr>
          <w:rFonts w:ascii="宋体" w:hAnsi="宋体"/>
          <w:szCs w:val="21"/>
        </w:rPr>
      </w:pPr>
      <w:r>
        <w:rPr>
          <w:rFonts w:ascii="宋体" w:hAnsi="宋体" w:hint="eastAsia"/>
          <w:szCs w:val="21"/>
        </w:rPr>
        <w:lastRenderedPageBreak/>
        <w:t>其他应收款</w:t>
      </w:r>
    </w:p>
    <w:bookmarkStart w:id="254" w:name="_Hlk10546944" w:displacedByCustomXml="next"/>
    <w:sdt>
      <w:sdtPr>
        <w:rPr>
          <w:rFonts w:ascii="宋体" w:hAnsi="宋体" w:cs="宋体" w:hint="eastAsia"/>
          <w:b w:val="0"/>
          <w:bCs w:val="0"/>
          <w:kern w:val="0"/>
          <w:szCs w:val="24"/>
        </w:rPr>
        <w:alias w:val="模块:项目列示"/>
        <w:tag w:val="_SEC_e2f0b728ae404babbb57dfbc1fafed13"/>
        <w:id w:val="-593165888"/>
        <w:lock w:val="sdtLocked"/>
        <w:placeholder>
          <w:docPart w:val="GBC22222222222222222222222222222"/>
        </w:placeholder>
      </w:sdtPr>
      <w:sdtEndPr/>
      <w:sdtContent>
        <w:p w14:paraId="6CE0387F" w14:textId="77777777" w:rsidR="00471D53" w:rsidRDefault="004F686E">
          <w:pPr>
            <w:pStyle w:val="afffff8"/>
            <w:rPr>
              <w:rFonts w:ascii="宋体" w:hAnsi="宋体"/>
            </w:rPr>
          </w:pPr>
          <w:r>
            <w:rPr>
              <w:rFonts w:ascii="宋体" w:hAnsi="宋体" w:hint="eastAsia"/>
            </w:rPr>
            <w:t>项目列示</w:t>
          </w:r>
        </w:p>
        <w:sdt>
          <w:sdtPr>
            <w:alias w:val="是否适用：母公司其他应收款分类列示[双击切换]"/>
            <w:tag w:val="_GBC_529e259f053b47d993fd4e3216204522"/>
            <w:id w:val="-1498646516"/>
            <w:lock w:val="sdtLocked"/>
            <w:placeholder>
              <w:docPart w:val="GBC22222222222222222222222222222"/>
            </w:placeholder>
          </w:sdtPr>
          <w:sdtEndPr/>
          <w:sdtContent>
            <w:p w14:paraId="70E4631C" w14:textId="57513C7B"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BA68CAC" w14:textId="49D4BC5F" w:rsidR="00471D53" w:rsidRDefault="004F686E">
          <w:pPr>
            <w:jc w:val="right"/>
            <w:rPr>
              <w:szCs w:val="21"/>
            </w:rPr>
          </w:pPr>
          <w:r>
            <w:rPr>
              <w:rFonts w:hint="eastAsia"/>
              <w:szCs w:val="21"/>
            </w:rPr>
            <w:t>单位：</w:t>
          </w:r>
          <w:sdt>
            <w:sdtPr>
              <w:rPr>
                <w:rFonts w:hint="eastAsia"/>
                <w:szCs w:val="21"/>
              </w:rPr>
              <w:alias w:val="单位：母公司其他应收款分类列示"/>
              <w:tag w:val="_GBC_306e86db57e64b00a9602dc7cbf81457"/>
              <w:id w:val="-100766348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母公司其他应收款分类列示"/>
              <w:tag w:val="_GBC_cd5866350ae3491e87e9f82a7ed2a7c3"/>
              <w:id w:val="-5180137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13"/>
            <w:gridCol w:w="2862"/>
            <w:gridCol w:w="2848"/>
          </w:tblGrid>
          <w:tr w:rsidR="00471D53" w14:paraId="1DF98EF4" w14:textId="77777777" w:rsidTr="0094106C">
            <w:trPr>
              <w:cantSplit/>
            </w:trPr>
            <w:sdt>
              <w:sdtPr>
                <w:tag w:val="_PLD_9b14d51b79194bdea749a527966a0a2e"/>
                <w:id w:val="525294569"/>
                <w:lock w:val="sdtLocked"/>
              </w:sdtPr>
              <w:sdtEndPr/>
              <w:sdtContent>
                <w:tc>
                  <w:tcPr>
                    <w:tcW w:w="1764" w:type="pct"/>
                    <w:vAlign w:val="center"/>
                  </w:tcPr>
                  <w:p w14:paraId="184873E9" w14:textId="77777777" w:rsidR="00471D53" w:rsidRDefault="004F686E">
                    <w:pPr>
                      <w:jc w:val="center"/>
                      <w:rPr>
                        <w:szCs w:val="21"/>
                      </w:rPr>
                    </w:pPr>
                    <w:r>
                      <w:rPr>
                        <w:rFonts w:hint="eastAsia"/>
                        <w:szCs w:val="21"/>
                      </w:rPr>
                      <w:t>项目</w:t>
                    </w:r>
                  </w:p>
                </w:tc>
              </w:sdtContent>
            </w:sdt>
            <w:sdt>
              <w:sdtPr>
                <w:tag w:val="_PLD_1dd12447c07a4bf5b8eef82f2f9f5577"/>
                <w:id w:val="1535384884"/>
                <w:lock w:val="sdtLocked"/>
              </w:sdtPr>
              <w:sdtEndPr/>
              <w:sdtContent>
                <w:tc>
                  <w:tcPr>
                    <w:tcW w:w="1622" w:type="pct"/>
                    <w:vAlign w:val="center"/>
                  </w:tcPr>
                  <w:p w14:paraId="77789532" w14:textId="77777777" w:rsidR="00471D53" w:rsidRDefault="004F686E">
                    <w:pPr>
                      <w:jc w:val="center"/>
                      <w:rPr>
                        <w:szCs w:val="21"/>
                      </w:rPr>
                    </w:pPr>
                    <w:r>
                      <w:rPr>
                        <w:rFonts w:hint="eastAsia"/>
                        <w:szCs w:val="21"/>
                      </w:rPr>
                      <w:t>期末余额</w:t>
                    </w:r>
                  </w:p>
                </w:tc>
              </w:sdtContent>
            </w:sdt>
            <w:sdt>
              <w:sdtPr>
                <w:tag w:val="_PLD_2701e42352ac4ea1ae4d64adf5d28e89"/>
                <w:id w:val="-1515449695"/>
                <w:lock w:val="sdtLocked"/>
              </w:sdtPr>
              <w:sdtEndPr/>
              <w:sdtContent>
                <w:tc>
                  <w:tcPr>
                    <w:tcW w:w="1614" w:type="pct"/>
                    <w:vAlign w:val="center"/>
                  </w:tcPr>
                  <w:p w14:paraId="6220966D" w14:textId="77777777" w:rsidR="00471D53" w:rsidRDefault="004F686E">
                    <w:pPr>
                      <w:jc w:val="center"/>
                      <w:rPr>
                        <w:szCs w:val="21"/>
                      </w:rPr>
                    </w:pPr>
                    <w:r>
                      <w:rPr>
                        <w:rFonts w:hint="eastAsia"/>
                        <w:szCs w:val="21"/>
                      </w:rPr>
                      <w:t>期初余额</w:t>
                    </w:r>
                  </w:p>
                </w:tc>
              </w:sdtContent>
            </w:sdt>
          </w:tr>
          <w:tr w:rsidR="00471D53" w14:paraId="2C98187C" w14:textId="77777777" w:rsidTr="00471D53">
            <w:trPr>
              <w:cantSplit/>
            </w:trPr>
            <w:sdt>
              <w:sdtPr>
                <w:tag w:val="_PLD_e88397c1546740a1aa89497da3258f71"/>
                <w:id w:val="-104656101"/>
                <w:lock w:val="sdtLocked"/>
              </w:sdtPr>
              <w:sdtEndPr/>
              <w:sdtContent>
                <w:tc>
                  <w:tcPr>
                    <w:tcW w:w="1764" w:type="pct"/>
                  </w:tcPr>
                  <w:p w14:paraId="09EDEE47" w14:textId="77777777" w:rsidR="00471D53" w:rsidRDefault="004F686E">
                    <w:pPr>
                      <w:ind w:right="5"/>
                      <w:rPr>
                        <w:szCs w:val="21"/>
                      </w:rPr>
                    </w:pPr>
                    <w:r>
                      <w:rPr>
                        <w:rFonts w:hint="eastAsia"/>
                        <w:szCs w:val="21"/>
                      </w:rPr>
                      <w:t>应收利息</w:t>
                    </w:r>
                  </w:p>
                </w:tc>
              </w:sdtContent>
            </w:sdt>
            <w:tc>
              <w:tcPr>
                <w:tcW w:w="1622" w:type="pct"/>
                <w:vAlign w:val="center"/>
              </w:tcPr>
              <w:p w14:paraId="002434BC" w14:textId="77777777" w:rsidR="00471D53" w:rsidRDefault="004F686E" w:rsidP="00471D53">
                <w:pPr>
                  <w:jc w:val="right"/>
                  <w:rPr>
                    <w:sz w:val="22"/>
                    <w:szCs w:val="22"/>
                  </w:rPr>
                </w:pPr>
                <w:r w:rsidRPr="001A23E1">
                  <w:rPr>
                    <w:sz w:val="22"/>
                    <w:szCs w:val="22"/>
                  </w:rPr>
                  <w:t>35,353,312.81</w:t>
                </w:r>
              </w:p>
            </w:tc>
            <w:tc>
              <w:tcPr>
                <w:tcW w:w="1614" w:type="pct"/>
                <w:vAlign w:val="center"/>
              </w:tcPr>
              <w:p w14:paraId="0807C187" w14:textId="014B5E4F" w:rsidR="00471D53" w:rsidRDefault="004F686E" w:rsidP="00471D53">
                <w:pPr>
                  <w:jc w:val="right"/>
                  <w:rPr>
                    <w:sz w:val="22"/>
                    <w:szCs w:val="22"/>
                  </w:rPr>
                </w:pPr>
                <w:r>
                  <w:rPr>
                    <w:rFonts w:hint="eastAsia"/>
                    <w:sz w:val="22"/>
                    <w:szCs w:val="22"/>
                  </w:rPr>
                  <w:t>35,353,312.81</w:t>
                </w:r>
              </w:p>
            </w:tc>
          </w:tr>
          <w:tr w:rsidR="00471D53" w14:paraId="7B46BBA6" w14:textId="77777777" w:rsidTr="0094106C">
            <w:trPr>
              <w:cantSplit/>
            </w:trPr>
            <w:sdt>
              <w:sdtPr>
                <w:tag w:val="_PLD_11d00ac8309b4e85ac5c0ecfc4e39fdf"/>
                <w:id w:val="1194731989"/>
                <w:lock w:val="sdtLocked"/>
              </w:sdtPr>
              <w:sdtEndPr/>
              <w:sdtContent>
                <w:tc>
                  <w:tcPr>
                    <w:tcW w:w="1764" w:type="pct"/>
                  </w:tcPr>
                  <w:p w14:paraId="61F016FD" w14:textId="77777777" w:rsidR="00471D53" w:rsidRDefault="004F686E">
                    <w:pPr>
                      <w:ind w:right="5"/>
                      <w:rPr>
                        <w:szCs w:val="21"/>
                      </w:rPr>
                    </w:pPr>
                    <w:r>
                      <w:rPr>
                        <w:rFonts w:hint="eastAsia"/>
                        <w:szCs w:val="21"/>
                      </w:rPr>
                      <w:t>应收股利</w:t>
                    </w:r>
                  </w:p>
                </w:tc>
              </w:sdtContent>
            </w:sdt>
            <w:tc>
              <w:tcPr>
                <w:tcW w:w="1622" w:type="pct"/>
              </w:tcPr>
              <w:p w14:paraId="11869E32" w14:textId="77777777" w:rsidR="00471D53" w:rsidRDefault="00B664AF">
                <w:pPr>
                  <w:ind w:right="5"/>
                  <w:jc w:val="right"/>
                  <w:rPr>
                    <w:szCs w:val="21"/>
                  </w:rPr>
                </w:pPr>
              </w:p>
            </w:tc>
            <w:tc>
              <w:tcPr>
                <w:tcW w:w="1614" w:type="pct"/>
              </w:tcPr>
              <w:p w14:paraId="746FACD7" w14:textId="77777777" w:rsidR="00471D53" w:rsidRDefault="00B664AF">
                <w:pPr>
                  <w:ind w:right="5"/>
                  <w:jc w:val="right"/>
                  <w:rPr>
                    <w:szCs w:val="21"/>
                  </w:rPr>
                </w:pPr>
              </w:p>
            </w:tc>
          </w:tr>
          <w:tr w:rsidR="00471D53" w14:paraId="36415D3F" w14:textId="77777777" w:rsidTr="00471D53">
            <w:trPr>
              <w:cantSplit/>
            </w:trPr>
            <w:sdt>
              <w:sdtPr>
                <w:tag w:val="_PLD_42c4df4453344bc0910f3b3e20b096a2"/>
                <w:id w:val="694428592"/>
                <w:lock w:val="sdtLocked"/>
              </w:sdtPr>
              <w:sdtEndPr/>
              <w:sdtContent>
                <w:tc>
                  <w:tcPr>
                    <w:tcW w:w="1764" w:type="pct"/>
                  </w:tcPr>
                  <w:p w14:paraId="6399BFC5" w14:textId="77777777" w:rsidR="00471D53" w:rsidRDefault="004F686E">
                    <w:pPr>
                      <w:ind w:right="5"/>
                      <w:rPr>
                        <w:szCs w:val="21"/>
                      </w:rPr>
                    </w:pPr>
                    <w:r>
                      <w:rPr>
                        <w:rFonts w:hint="eastAsia"/>
                        <w:szCs w:val="21"/>
                      </w:rPr>
                      <w:t>其他应收款</w:t>
                    </w:r>
                  </w:p>
                </w:tc>
              </w:sdtContent>
            </w:sdt>
            <w:tc>
              <w:tcPr>
                <w:tcW w:w="1622" w:type="pct"/>
                <w:vAlign w:val="center"/>
              </w:tcPr>
              <w:p w14:paraId="4C1E7873" w14:textId="77777777" w:rsidR="00471D53" w:rsidRDefault="004F686E" w:rsidP="00471D53">
                <w:pPr>
                  <w:jc w:val="right"/>
                  <w:rPr>
                    <w:sz w:val="22"/>
                    <w:szCs w:val="22"/>
                  </w:rPr>
                </w:pPr>
                <w:r w:rsidRPr="001A23E1">
                  <w:rPr>
                    <w:sz w:val="22"/>
                    <w:szCs w:val="22"/>
                  </w:rPr>
                  <w:t>340,000,000.00</w:t>
                </w:r>
              </w:p>
            </w:tc>
            <w:tc>
              <w:tcPr>
                <w:tcW w:w="1614" w:type="pct"/>
                <w:vAlign w:val="center"/>
              </w:tcPr>
              <w:p w14:paraId="47FFAA9E" w14:textId="77777777" w:rsidR="00471D53" w:rsidRDefault="004F686E" w:rsidP="00471D53">
                <w:pPr>
                  <w:jc w:val="right"/>
                  <w:rPr>
                    <w:sz w:val="22"/>
                    <w:szCs w:val="22"/>
                  </w:rPr>
                </w:pPr>
                <w:r>
                  <w:rPr>
                    <w:sz w:val="22"/>
                    <w:szCs w:val="22"/>
                  </w:rPr>
                  <w:t>346,000,000.00</w:t>
                </w:r>
              </w:p>
            </w:tc>
          </w:tr>
          <w:tr w:rsidR="00471D53" w14:paraId="79509255" w14:textId="77777777" w:rsidTr="00471D53">
            <w:trPr>
              <w:cantSplit/>
            </w:trPr>
            <w:sdt>
              <w:sdtPr>
                <w:tag w:val="_PLD_657f57c42bdf4019ba2e4df3e8e8d440"/>
                <w:id w:val="1906488907"/>
                <w:lock w:val="sdtLocked"/>
              </w:sdtPr>
              <w:sdtEndPr/>
              <w:sdtContent>
                <w:tc>
                  <w:tcPr>
                    <w:tcW w:w="1764" w:type="pct"/>
                    <w:vAlign w:val="center"/>
                  </w:tcPr>
                  <w:p w14:paraId="04A2F84E" w14:textId="77777777" w:rsidR="00471D53" w:rsidRDefault="004F686E">
                    <w:pPr>
                      <w:autoSpaceDE w:val="0"/>
                      <w:autoSpaceDN w:val="0"/>
                      <w:adjustRightInd w:val="0"/>
                      <w:jc w:val="center"/>
                      <w:rPr>
                        <w:szCs w:val="21"/>
                      </w:rPr>
                    </w:pPr>
                    <w:r>
                      <w:rPr>
                        <w:rFonts w:hint="eastAsia"/>
                        <w:szCs w:val="21"/>
                      </w:rPr>
                      <w:t>合计</w:t>
                    </w:r>
                  </w:p>
                </w:tc>
              </w:sdtContent>
            </w:sdt>
            <w:tc>
              <w:tcPr>
                <w:tcW w:w="1622" w:type="pct"/>
                <w:vAlign w:val="center"/>
              </w:tcPr>
              <w:p w14:paraId="17F94419" w14:textId="77777777" w:rsidR="00471D53" w:rsidRPr="005A7E04" w:rsidRDefault="004F686E" w:rsidP="00471D53">
                <w:pPr>
                  <w:jc w:val="right"/>
                  <w:rPr>
                    <w:bCs/>
                    <w:sz w:val="22"/>
                    <w:szCs w:val="22"/>
                  </w:rPr>
                </w:pPr>
                <w:r w:rsidRPr="005A7E04">
                  <w:rPr>
                    <w:bCs/>
                    <w:sz w:val="22"/>
                    <w:szCs w:val="22"/>
                  </w:rPr>
                  <w:t>375,353,312.81</w:t>
                </w:r>
              </w:p>
            </w:tc>
            <w:tc>
              <w:tcPr>
                <w:tcW w:w="1614" w:type="pct"/>
                <w:vAlign w:val="center"/>
              </w:tcPr>
              <w:p w14:paraId="50B6365E" w14:textId="436DAF5A" w:rsidR="00471D53" w:rsidRPr="005A7E04" w:rsidRDefault="004F686E" w:rsidP="00471D53">
                <w:pPr>
                  <w:jc w:val="right"/>
                  <w:rPr>
                    <w:bCs/>
                    <w:sz w:val="22"/>
                    <w:szCs w:val="22"/>
                  </w:rPr>
                </w:pPr>
                <w:r w:rsidRPr="005A7E04">
                  <w:rPr>
                    <w:rFonts w:hint="eastAsia"/>
                    <w:bCs/>
                    <w:sz w:val="22"/>
                    <w:szCs w:val="22"/>
                  </w:rPr>
                  <w:t>381,353,312.81</w:t>
                </w:r>
              </w:p>
            </w:tc>
          </w:tr>
        </w:tbl>
        <w:p w14:paraId="230AAD15" w14:textId="77777777" w:rsidR="00471D53" w:rsidRDefault="00B664AF"/>
        <w:p w14:paraId="6B9ECF2D" w14:textId="77777777" w:rsidR="00471D53" w:rsidRDefault="004F686E">
          <w:pPr>
            <w:rPr>
              <w:szCs w:val="21"/>
            </w:rPr>
          </w:pPr>
          <w:bookmarkStart w:id="255" w:name="_Hlk533797002"/>
          <w:r>
            <w:rPr>
              <w:rFonts w:hint="eastAsia"/>
              <w:szCs w:val="21"/>
            </w:rPr>
            <w:t>其他说明：</w:t>
          </w:r>
        </w:p>
        <w:sdt>
          <w:sdtPr>
            <w:rPr>
              <w:szCs w:val="21"/>
            </w:rPr>
            <w:alias w:val="是否适用：母公司其他应收款分类列示其他说明[双击切换]"/>
            <w:tag w:val="_GBC_87c9afe4c5c54a4b93c9b78663bd8bf3"/>
            <w:id w:val="-1144203871"/>
            <w:lock w:val="sdtLocked"/>
            <w:placeholder>
              <w:docPart w:val="GBC22222222222222222222222222222"/>
            </w:placeholder>
          </w:sdtPr>
          <w:sdtEndPr/>
          <w:sdtContent>
            <w:p w14:paraId="467ED54D" w14:textId="77777777" w:rsidR="00471D53" w:rsidRDefault="004F686E" w:rsidP="00471D5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17BFD2B2" w14:textId="77777777" w:rsidR="00471D53" w:rsidRDefault="00B664AF"/>
        <w:bookmarkEnd w:id="255" w:displacedByCustomXml="next"/>
      </w:sdtContent>
    </w:sdt>
    <w:bookmarkEnd w:id="254" w:displacedByCustomXml="prev"/>
    <w:p w14:paraId="4A40247D" w14:textId="77777777" w:rsidR="00471D53" w:rsidRDefault="004F686E">
      <w:pPr>
        <w:pStyle w:val="afffff8"/>
        <w:rPr>
          <w:rFonts w:ascii="宋体" w:hAnsi="宋体"/>
        </w:rPr>
      </w:pPr>
      <w:r>
        <w:rPr>
          <w:rFonts w:ascii="宋体" w:hAnsi="宋体" w:hint="eastAsia"/>
        </w:rPr>
        <w:t>应收利息</w:t>
      </w:r>
    </w:p>
    <w:bookmarkStart w:id="256" w:name="_Hlk10547023" w:displacedByCustomXml="next"/>
    <w:bookmarkStart w:id="257" w:name="_Hlk10547033" w:displacedByCustomXml="next"/>
    <w:sdt>
      <w:sdtPr>
        <w:rPr>
          <w:rFonts w:ascii="宋体" w:hAnsi="宋体" w:cs="宋体" w:hint="eastAsia"/>
          <w:b w:val="0"/>
          <w:bCs w:val="0"/>
          <w:kern w:val="0"/>
          <w:szCs w:val="24"/>
        </w:rPr>
        <w:alias w:val="模块:应收利息分类"/>
        <w:tag w:val="_SEC_91e08163b2464f8cb5d135fd131f631f"/>
        <w:id w:val="-310558895"/>
        <w:lock w:val="sdtLocked"/>
        <w:placeholder>
          <w:docPart w:val="GBC22222222222222222222222222222"/>
        </w:placeholder>
      </w:sdtPr>
      <w:sdtEndPr/>
      <w:sdtContent>
        <w:p w14:paraId="19C4A97A" w14:textId="77777777" w:rsidR="00471D53" w:rsidRDefault="004F686E" w:rsidP="004F686E">
          <w:pPr>
            <w:pStyle w:val="afffff8"/>
            <w:numPr>
              <w:ilvl w:val="3"/>
              <w:numId w:val="114"/>
            </w:numPr>
            <w:ind w:left="426" w:hanging="426"/>
            <w:rPr>
              <w:rFonts w:ascii="宋体" w:hAnsi="宋体"/>
            </w:rPr>
          </w:pPr>
          <w:r>
            <w:rPr>
              <w:rFonts w:ascii="宋体" w:hAnsi="宋体" w:hint="eastAsia"/>
            </w:rPr>
            <w:t>应收利息分类</w:t>
          </w:r>
          <w:bookmarkEnd w:id="256"/>
        </w:p>
        <w:sdt>
          <w:sdtPr>
            <w:alias w:val="是否适用：母公司应收利息分类[双击切换]"/>
            <w:tag w:val="_GBC_7b29d5fc39c94a909c39eedf47c8008f"/>
            <w:id w:val="1965771774"/>
            <w:lock w:val="sdtLocked"/>
            <w:placeholder>
              <w:docPart w:val="GBC22222222222222222222222222222"/>
            </w:placeholder>
          </w:sdtPr>
          <w:sdtEndPr/>
          <w:sdtContent>
            <w:p w14:paraId="28A66D89"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5DDC20F" w14:textId="03168ABE" w:rsidR="00471D53" w:rsidRDefault="004F686E">
          <w:pPr>
            <w:jc w:val="right"/>
          </w:pPr>
          <w:r>
            <w:rPr>
              <w:rFonts w:hint="eastAsia"/>
            </w:rPr>
            <w:t>单位：</w:t>
          </w:r>
          <w:sdt>
            <w:sdtPr>
              <w:rPr>
                <w:rFonts w:hint="eastAsia"/>
              </w:rPr>
              <w:alias w:val="单位：母公司应收利息分类"/>
              <w:tag w:val="_GBC_408b4f91762b4062b2ff33bf6cd2f04a"/>
              <w:id w:val="-14788396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母公司应收利息分类"/>
              <w:tag w:val="_GBC_d9e4522b2a3a4b999e2ea654ffe832f2"/>
              <w:id w:val="-14409865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756"/>
            <w:gridCol w:w="3025"/>
            <w:gridCol w:w="3042"/>
          </w:tblGrid>
          <w:tr w:rsidR="00471D53" w14:paraId="4C5F844C" w14:textId="77777777" w:rsidTr="00471D53">
            <w:sdt>
              <w:sdtPr>
                <w:tag w:val="_PLD_8f65ffa073004814b7588e5d550e6d55"/>
                <w:id w:val="-1671402557"/>
                <w:lock w:val="sdtLocked"/>
              </w:sdtPr>
              <w:sdtEndPr/>
              <w:sdtContent>
                <w:tc>
                  <w:tcPr>
                    <w:tcW w:w="1562" w:type="pct"/>
                  </w:tcPr>
                  <w:p w14:paraId="68F65E5A" w14:textId="77777777" w:rsidR="00471D53" w:rsidRDefault="004F686E" w:rsidP="00471D53">
                    <w:pPr>
                      <w:autoSpaceDE w:val="0"/>
                      <w:autoSpaceDN w:val="0"/>
                      <w:adjustRightInd w:val="0"/>
                      <w:snapToGrid w:val="0"/>
                      <w:spacing w:line="240" w:lineRule="atLeast"/>
                      <w:jc w:val="center"/>
                      <w:rPr>
                        <w:szCs w:val="21"/>
                      </w:rPr>
                    </w:pPr>
                    <w:r>
                      <w:rPr>
                        <w:rFonts w:hint="eastAsia"/>
                        <w:szCs w:val="21"/>
                      </w:rPr>
                      <w:t>项目</w:t>
                    </w:r>
                  </w:p>
                </w:tc>
              </w:sdtContent>
            </w:sdt>
            <w:sdt>
              <w:sdtPr>
                <w:tag w:val="_PLD_8d7c73e7970a4d649b30978c67eac30e"/>
                <w:id w:val="2144081012"/>
                <w:lock w:val="sdtLocked"/>
              </w:sdtPr>
              <w:sdtEndPr/>
              <w:sdtContent>
                <w:tc>
                  <w:tcPr>
                    <w:tcW w:w="1714" w:type="pct"/>
                  </w:tcPr>
                  <w:p w14:paraId="01EA1EAA" w14:textId="77777777" w:rsidR="00471D53" w:rsidRDefault="004F686E" w:rsidP="00471D53">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8e50ae20c9bb42bab157bb221e1a1d60"/>
                <w:id w:val="-444229496"/>
                <w:lock w:val="sdtLocked"/>
              </w:sdtPr>
              <w:sdtEndPr/>
              <w:sdtContent>
                <w:tc>
                  <w:tcPr>
                    <w:tcW w:w="1724" w:type="pct"/>
                  </w:tcPr>
                  <w:p w14:paraId="319C270A" w14:textId="77777777" w:rsidR="00471D53" w:rsidRDefault="004F686E" w:rsidP="00471D53">
                    <w:pPr>
                      <w:autoSpaceDE w:val="0"/>
                      <w:autoSpaceDN w:val="0"/>
                      <w:adjustRightInd w:val="0"/>
                      <w:snapToGrid w:val="0"/>
                      <w:spacing w:line="240" w:lineRule="atLeast"/>
                      <w:jc w:val="center"/>
                      <w:rPr>
                        <w:szCs w:val="21"/>
                      </w:rPr>
                    </w:pPr>
                    <w:r>
                      <w:rPr>
                        <w:rFonts w:hint="eastAsia"/>
                        <w:szCs w:val="21"/>
                      </w:rPr>
                      <w:t>期初余额</w:t>
                    </w:r>
                  </w:p>
                </w:tc>
              </w:sdtContent>
            </w:sdt>
          </w:tr>
          <w:tr w:rsidR="00471D53" w14:paraId="704F8126" w14:textId="77777777" w:rsidTr="00471D53">
            <w:sdt>
              <w:sdtPr>
                <w:tag w:val="_PLD_993322770b68461a9a05d819496be75e"/>
                <w:id w:val="-30190977"/>
                <w:lock w:val="sdtLocked"/>
              </w:sdtPr>
              <w:sdtEndPr/>
              <w:sdtContent>
                <w:tc>
                  <w:tcPr>
                    <w:tcW w:w="1562" w:type="pct"/>
                  </w:tcPr>
                  <w:p w14:paraId="07634755" w14:textId="77777777" w:rsidR="00471D53" w:rsidRDefault="004F686E" w:rsidP="00471D53">
                    <w:pPr>
                      <w:autoSpaceDE w:val="0"/>
                      <w:autoSpaceDN w:val="0"/>
                      <w:adjustRightInd w:val="0"/>
                      <w:snapToGrid w:val="0"/>
                      <w:spacing w:line="240" w:lineRule="atLeast"/>
                      <w:rPr>
                        <w:szCs w:val="21"/>
                      </w:rPr>
                    </w:pPr>
                    <w:r>
                      <w:rPr>
                        <w:rFonts w:hint="eastAsia"/>
                        <w:szCs w:val="21"/>
                      </w:rPr>
                      <w:t>定期存款</w:t>
                    </w:r>
                  </w:p>
                </w:tc>
              </w:sdtContent>
            </w:sdt>
            <w:tc>
              <w:tcPr>
                <w:tcW w:w="1714" w:type="pct"/>
              </w:tcPr>
              <w:p w14:paraId="6293860D" w14:textId="77777777" w:rsidR="00471D53" w:rsidRDefault="00B664AF" w:rsidP="00471D53">
                <w:pPr>
                  <w:ind w:rightChars="50" w:right="105"/>
                  <w:jc w:val="right"/>
                  <w:rPr>
                    <w:szCs w:val="21"/>
                  </w:rPr>
                </w:pPr>
              </w:p>
            </w:tc>
            <w:tc>
              <w:tcPr>
                <w:tcW w:w="1724" w:type="pct"/>
              </w:tcPr>
              <w:p w14:paraId="508A9A55" w14:textId="77777777" w:rsidR="00471D53" w:rsidRDefault="00B664AF" w:rsidP="00471D53">
                <w:pPr>
                  <w:ind w:rightChars="50" w:right="105"/>
                  <w:jc w:val="right"/>
                  <w:rPr>
                    <w:szCs w:val="21"/>
                  </w:rPr>
                </w:pPr>
              </w:p>
            </w:tc>
          </w:tr>
          <w:tr w:rsidR="00471D53" w14:paraId="61B5E9FB" w14:textId="77777777" w:rsidTr="00471D53">
            <w:sdt>
              <w:sdtPr>
                <w:tag w:val="_PLD_5c80041458084005ba79799c069b6a80"/>
                <w:id w:val="563068667"/>
                <w:lock w:val="sdtLocked"/>
              </w:sdtPr>
              <w:sdtEndPr/>
              <w:sdtContent>
                <w:tc>
                  <w:tcPr>
                    <w:tcW w:w="1562" w:type="pct"/>
                  </w:tcPr>
                  <w:p w14:paraId="351A7994" w14:textId="77777777" w:rsidR="00471D53" w:rsidRDefault="004F686E" w:rsidP="00471D53">
                    <w:pPr>
                      <w:autoSpaceDE w:val="0"/>
                      <w:autoSpaceDN w:val="0"/>
                      <w:adjustRightInd w:val="0"/>
                      <w:snapToGrid w:val="0"/>
                      <w:spacing w:line="240" w:lineRule="atLeast"/>
                      <w:rPr>
                        <w:szCs w:val="21"/>
                      </w:rPr>
                    </w:pPr>
                    <w:r>
                      <w:rPr>
                        <w:rFonts w:hint="eastAsia"/>
                        <w:szCs w:val="21"/>
                      </w:rPr>
                      <w:t>委托贷款</w:t>
                    </w:r>
                  </w:p>
                </w:tc>
              </w:sdtContent>
            </w:sdt>
            <w:tc>
              <w:tcPr>
                <w:tcW w:w="1714" w:type="pct"/>
              </w:tcPr>
              <w:p w14:paraId="5516668A" w14:textId="77777777" w:rsidR="00471D53" w:rsidRDefault="00B664AF" w:rsidP="00471D53">
                <w:pPr>
                  <w:ind w:rightChars="50" w:right="105"/>
                  <w:jc w:val="right"/>
                  <w:rPr>
                    <w:szCs w:val="21"/>
                  </w:rPr>
                </w:pPr>
              </w:p>
            </w:tc>
            <w:tc>
              <w:tcPr>
                <w:tcW w:w="1724" w:type="pct"/>
              </w:tcPr>
              <w:p w14:paraId="57689200" w14:textId="77777777" w:rsidR="00471D53" w:rsidRDefault="00B664AF" w:rsidP="00471D53">
                <w:pPr>
                  <w:ind w:rightChars="50" w:right="105"/>
                  <w:jc w:val="right"/>
                  <w:rPr>
                    <w:szCs w:val="21"/>
                  </w:rPr>
                </w:pPr>
              </w:p>
            </w:tc>
          </w:tr>
          <w:tr w:rsidR="00471D53" w14:paraId="1F0D84E9" w14:textId="77777777" w:rsidTr="00471D53">
            <w:sdt>
              <w:sdtPr>
                <w:tag w:val="_PLD_98c8decfd4f147f1ab3cfcfb4dd4f63a"/>
                <w:id w:val="-20480790"/>
                <w:lock w:val="sdtLocked"/>
              </w:sdtPr>
              <w:sdtEndPr/>
              <w:sdtContent>
                <w:tc>
                  <w:tcPr>
                    <w:tcW w:w="1562" w:type="pct"/>
                  </w:tcPr>
                  <w:p w14:paraId="1ADE362D" w14:textId="77777777" w:rsidR="00471D53" w:rsidRDefault="004F686E" w:rsidP="00471D53">
                    <w:pPr>
                      <w:autoSpaceDE w:val="0"/>
                      <w:autoSpaceDN w:val="0"/>
                      <w:adjustRightInd w:val="0"/>
                      <w:snapToGrid w:val="0"/>
                      <w:spacing w:line="240" w:lineRule="atLeast"/>
                      <w:rPr>
                        <w:szCs w:val="21"/>
                      </w:rPr>
                    </w:pPr>
                    <w:r>
                      <w:rPr>
                        <w:rFonts w:hint="eastAsia"/>
                        <w:szCs w:val="21"/>
                      </w:rPr>
                      <w:t>债券投资</w:t>
                    </w:r>
                  </w:p>
                </w:tc>
              </w:sdtContent>
            </w:sdt>
            <w:tc>
              <w:tcPr>
                <w:tcW w:w="1714" w:type="pct"/>
              </w:tcPr>
              <w:p w14:paraId="4263CE7C" w14:textId="77777777" w:rsidR="00471D53" w:rsidRDefault="00B664AF" w:rsidP="00471D53">
                <w:pPr>
                  <w:ind w:rightChars="50" w:right="105"/>
                  <w:jc w:val="right"/>
                  <w:rPr>
                    <w:szCs w:val="21"/>
                  </w:rPr>
                </w:pPr>
              </w:p>
            </w:tc>
            <w:tc>
              <w:tcPr>
                <w:tcW w:w="1724" w:type="pct"/>
              </w:tcPr>
              <w:p w14:paraId="09F53561" w14:textId="77777777" w:rsidR="00471D53" w:rsidRDefault="00B664AF" w:rsidP="00471D53">
                <w:pPr>
                  <w:ind w:rightChars="50" w:right="105"/>
                  <w:jc w:val="right"/>
                  <w:rPr>
                    <w:szCs w:val="21"/>
                  </w:rPr>
                </w:pPr>
              </w:p>
            </w:tc>
          </w:tr>
          <w:sdt>
            <w:sdtPr>
              <w:rPr>
                <w:rFonts w:hint="eastAsia"/>
                <w:szCs w:val="21"/>
              </w:rPr>
              <w:alias w:val="应收利息明细"/>
              <w:tag w:val="_TUP_982ca42804af4c67affad02172ac76ee"/>
              <w:id w:val="1735205912"/>
              <w:lock w:val="sdtLocked"/>
            </w:sdtPr>
            <w:sdtEndPr/>
            <w:sdtContent>
              <w:tr w:rsidR="00471D53" w14:paraId="1E9D5587" w14:textId="77777777" w:rsidTr="00471D53">
                <w:tc>
                  <w:tcPr>
                    <w:tcW w:w="1562" w:type="pct"/>
                  </w:tcPr>
                  <w:p w14:paraId="64B09ABC" w14:textId="77777777" w:rsidR="00471D53" w:rsidRDefault="004F686E" w:rsidP="00471D53">
                    <w:pPr>
                      <w:autoSpaceDE w:val="0"/>
                      <w:autoSpaceDN w:val="0"/>
                      <w:adjustRightInd w:val="0"/>
                      <w:snapToGrid w:val="0"/>
                      <w:spacing w:line="240" w:lineRule="atLeast"/>
                      <w:rPr>
                        <w:szCs w:val="21"/>
                      </w:rPr>
                    </w:pPr>
                    <w:r>
                      <w:t>关联公司间的往来借款利息</w:t>
                    </w:r>
                  </w:p>
                </w:tc>
                <w:tc>
                  <w:tcPr>
                    <w:tcW w:w="1714" w:type="pct"/>
                  </w:tcPr>
                  <w:p w14:paraId="662D120F" w14:textId="77777777" w:rsidR="00471D53" w:rsidRDefault="004F686E" w:rsidP="00471D53">
                    <w:pPr>
                      <w:ind w:rightChars="50" w:right="105"/>
                      <w:jc w:val="right"/>
                      <w:rPr>
                        <w:szCs w:val="21"/>
                      </w:rPr>
                    </w:pPr>
                    <w:r>
                      <w:t>35,353,312.81</w:t>
                    </w:r>
                  </w:p>
                </w:tc>
                <w:tc>
                  <w:tcPr>
                    <w:tcW w:w="1724" w:type="pct"/>
                  </w:tcPr>
                  <w:p w14:paraId="6A1ABBA3" w14:textId="77777777" w:rsidR="00471D53" w:rsidRDefault="004F686E" w:rsidP="00471D53">
                    <w:pPr>
                      <w:ind w:rightChars="50" w:right="105"/>
                      <w:jc w:val="right"/>
                      <w:rPr>
                        <w:szCs w:val="21"/>
                      </w:rPr>
                    </w:pPr>
                    <w:r>
                      <w:t>35,353,312.81</w:t>
                    </w:r>
                  </w:p>
                </w:tc>
              </w:tr>
            </w:sdtContent>
          </w:sdt>
          <w:sdt>
            <w:sdtPr>
              <w:rPr>
                <w:rFonts w:hint="eastAsia"/>
                <w:szCs w:val="21"/>
              </w:rPr>
              <w:alias w:val="应收利息明细"/>
              <w:tag w:val="_TUP_982ca42804af4c67affad02172ac76ee"/>
              <w:id w:val="-308250834"/>
              <w:lock w:val="sdtLocked"/>
            </w:sdtPr>
            <w:sdtEndPr/>
            <w:sdtContent>
              <w:tr w:rsidR="00471D53" w14:paraId="1069F07D" w14:textId="77777777" w:rsidTr="00471D53">
                <w:tc>
                  <w:tcPr>
                    <w:tcW w:w="1562" w:type="pct"/>
                  </w:tcPr>
                  <w:p w14:paraId="6037CF09" w14:textId="77777777" w:rsidR="00471D53" w:rsidRDefault="00B664AF" w:rsidP="00471D53">
                    <w:pPr>
                      <w:autoSpaceDE w:val="0"/>
                      <w:autoSpaceDN w:val="0"/>
                      <w:adjustRightInd w:val="0"/>
                      <w:snapToGrid w:val="0"/>
                      <w:spacing w:line="240" w:lineRule="atLeast"/>
                      <w:rPr>
                        <w:szCs w:val="21"/>
                      </w:rPr>
                    </w:pPr>
                  </w:p>
                </w:tc>
                <w:tc>
                  <w:tcPr>
                    <w:tcW w:w="1714" w:type="pct"/>
                  </w:tcPr>
                  <w:p w14:paraId="580E691B" w14:textId="77777777" w:rsidR="00471D53" w:rsidRDefault="00B664AF" w:rsidP="00471D53">
                    <w:pPr>
                      <w:ind w:rightChars="50" w:right="105"/>
                      <w:jc w:val="right"/>
                      <w:rPr>
                        <w:szCs w:val="21"/>
                      </w:rPr>
                    </w:pPr>
                  </w:p>
                </w:tc>
                <w:tc>
                  <w:tcPr>
                    <w:tcW w:w="1724" w:type="pct"/>
                  </w:tcPr>
                  <w:p w14:paraId="3BE30CAC" w14:textId="77777777" w:rsidR="00471D53" w:rsidRDefault="00B664AF" w:rsidP="00471D53">
                    <w:pPr>
                      <w:ind w:rightChars="50" w:right="105"/>
                      <w:jc w:val="right"/>
                      <w:rPr>
                        <w:szCs w:val="21"/>
                      </w:rPr>
                    </w:pPr>
                  </w:p>
                </w:tc>
              </w:tr>
            </w:sdtContent>
          </w:sdt>
          <w:tr w:rsidR="00471D53" w14:paraId="6A1DA890" w14:textId="77777777" w:rsidTr="00471D53">
            <w:sdt>
              <w:sdtPr>
                <w:tag w:val="_PLD_6b8d66cbd97048a6ac7807011ad94717"/>
                <w:id w:val="1796953843"/>
                <w:lock w:val="sdtLocked"/>
              </w:sdtPr>
              <w:sdtEndPr/>
              <w:sdtContent>
                <w:tc>
                  <w:tcPr>
                    <w:tcW w:w="1562" w:type="pct"/>
                  </w:tcPr>
                  <w:p w14:paraId="48AF812F" w14:textId="77777777" w:rsidR="00471D53" w:rsidRDefault="004F686E" w:rsidP="00471D53">
                    <w:pPr>
                      <w:autoSpaceDE w:val="0"/>
                      <w:autoSpaceDN w:val="0"/>
                      <w:adjustRightInd w:val="0"/>
                      <w:snapToGrid w:val="0"/>
                      <w:spacing w:line="240" w:lineRule="atLeast"/>
                      <w:jc w:val="center"/>
                      <w:rPr>
                        <w:szCs w:val="21"/>
                      </w:rPr>
                    </w:pPr>
                    <w:r>
                      <w:rPr>
                        <w:rFonts w:hint="eastAsia"/>
                        <w:szCs w:val="21"/>
                      </w:rPr>
                      <w:t>合计</w:t>
                    </w:r>
                  </w:p>
                </w:tc>
              </w:sdtContent>
            </w:sdt>
            <w:tc>
              <w:tcPr>
                <w:tcW w:w="1714" w:type="pct"/>
              </w:tcPr>
              <w:p w14:paraId="278083F3" w14:textId="77777777" w:rsidR="00471D53" w:rsidRDefault="004F686E" w:rsidP="00471D53">
                <w:pPr>
                  <w:ind w:rightChars="50" w:right="105"/>
                  <w:jc w:val="right"/>
                  <w:rPr>
                    <w:szCs w:val="21"/>
                  </w:rPr>
                </w:pPr>
                <w:r>
                  <w:t>35,353,312.81</w:t>
                </w:r>
              </w:p>
            </w:tc>
            <w:tc>
              <w:tcPr>
                <w:tcW w:w="1724" w:type="pct"/>
              </w:tcPr>
              <w:p w14:paraId="0852C35E" w14:textId="77777777" w:rsidR="00471D53" w:rsidRDefault="004F686E" w:rsidP="00471D53">
                <w:pPr>
                  <w:ind w:rightChars="50" w:right="105"/>
                  <w:jc w:val="right"/>
                  <w:rPr>
                    <w:szCs w:val="21"/>
                  </w:rPr>
                </w:pPr>
                <w:r>
                  <w:t>35,353,312.81</w:t>
                </w:r>
              </w:p>
            </w:tc>
          </w:tr>
        </w:tbl>
        <w:p w14:paraId="0ED89E17" w14:textId="77777777" w:rsidR="00471D53" w:rsidRDefault="00B664AF"/>
        <w:p w14:paraId="2735A2E9" w14:textId="77777777" w:rsidR="00471D53" w:rsidRDefault="00B664AF"/>
      </w:sdtContent>
    </w:sdt>
    <w:bookmarkEnd w:id="257" w:displacedByCustomXml="prev"/>
    <w:bookmarkStart w:id="258" w:name="_Hlk10547054" w:displacedByCustomXml="next"/>
    <w:bookmarkStart w:id="259" w:name="_Hlk10547064" w:displacedByCustomXml="next"/>
    <w:sdt>
      <w:sdtPr>
        <w:rPr>
          <w:rFonts w:ascii="宋体" w:hAnsi="宋体" w:cs="宋体" w:hint="eastAsia"/>
          <w:b w:val="0"/>
          <w:bCs w:val="0"/>
          <w:kern w:val="0"/>
          <w:szCs w:val="24"/>
        </w:rPr>
        <w:alias w:val="模块:重要逾期利息"/>
        <w:tag w:val="_SEC_e80bd789f30b40de829902e04129ef49"/>
        <w:id w:val="2052806871"/>
        <w:lock w:val="sdtLocked"/>
        <w:placeholder>
          <w:docPart w:val="GBC22222222222222222222222222222"/>
        </w:placeholder>
      </w:sdtPr>
      <w:sdtEndPr>
        <w:rPr>
          <w:rFonts w:hint="default"/>
        </w:rPr>
      </w:sdtEndPr>
      <w:sdtContent>
        <w:p w14:paraId="23D6DD37" w14:textId="77777777" w:rsidR="00471D53" w:rsidRDefault="004F686E" w:rsidP="004F686E">
          <w:pPr>
            <w:pStyle w:val="afffff8"/>
            <w:numPr>
              <w:ilvl w:val="3"/>
              <w:numId w:val="114"/>
            </w:numPr>
            <w:ind w:left="426" w:hanging="426"/>
            <w:rPr>
              <w:rFonts w:ascii="宋体" w:hAnsi="宋体"/>
            </w:rPr>
          </w:pPr>
          <w:r>
            <w:rPr>
              <w:rFonts w:ascii="宋体" w:hAnsi="宋体" w:hint="eastAsia"/>
            </w:rPr>
            <w:t>重要逾期利息</w:t>
          </w:r>
          <w:bookmarkEnd w:id="258"/>
        </w:p>
        <w:sdt>
          <w:sdtPr>
            <w:alias w:val="是否适用：母公司重要逾期利息[双击切换]"/>
            <w:tag w:val="_GBC_2527ddfc737d4b8c8fa3ca7d6387408d"/>
            <w:id w:val="1787775123"/>
            <w:lock w:val="sdtLocked"/>
            <w:placeholder>
              <w:docPart w:val="GBC22222222222222222222222222222"/>
            </w:placeholder>
          </w:sdtPr>
          <w:sdtEndPr/>
          <w:sdtContent>
            <w:p w14:paraId="04F1483F"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259" w:displacedByCustomXml="prev"/>
    <w:bookmarkStart w:id="260" w:name="_Hlk10547083" w:displacedByCustomXml="next"/>
    <w:bookmarkStart w:id="261" w:name="_Hlk10547096" w:displacedByCustomXml="next"/>
    <w:sdt>
      <w:sdtPr>
        <w:rPr>
          <w:rFonts w:ascii="宋体" w:hAnsi="宋体" w:cs="宋体" w:hint="eastAsia"/>
          <w:b w:val="0"/>
          <w:bCs w:val="0"/>
          <w:kern w:val="0"/>
          <w:szCs w:val="24"/>
        </w:rPr>
        <w:alias w:val="模块:坏账准备计提情况"/>
        <w:tag w:val="_SEC_ce38368754b54030878f7a4b3d48648e"/>
        <w:id w:val="-10677009"/>
        <w:lock w:val="sdtLocked"/>
        <w:placeholder>
          <w:docPart w:val="GBC22222222222222222222222222222"/>
        </w:placeholder>
      </w:sdtPr>
      <w:sdtEndPr>
        <w:rPr>
          <w:rFonts w:hint="default"/>
        </w:rPr>
      </w:sdtEndPr>
      <w:sdtContent>
        <w:p w14:paraId="11A3162F" w14:textId="77777777" w:rsidR="00471D53" w:rsidRDefault="004F686E" w:rsidP="004F686E">
          <w:pPr>
            <w:pStyle w:val="afffff8"/>
            <w:numPr>
              <w:ilvl w:val="3"/>
              <w:numId w:val="114"/>
            </w:numPr>
            <w:ind w:left="426" w:hanging="426"/>
            <w:rPr>
              <w:rFonts w:ascii="宋体" w:hAnsi="宋体"/>
            </w:rPr>
          </w:pPr>
          <w:r>
            <w:rPr>
              <w:rFonts w:ascii="宋体" w:hAnsi="宋体" w:cs="宋体" w:hint="eastAsia"/>
              <w:bCs w:val="0"/>
              <w:kern w:val="0"/>
              <w:szCs w:val="24"/>
            </w:rPr>
            <w:t>坏账准备计提情况</w:t>
          </w:r>
          <w:bookmarkEnd w:id="260"/>
        </w:p>
        <w:sdt>
          <w:sdtPr>
            <w:rPr>
              <w:szCs w:val="21"/>
            </w:rPr>
            <w:alias w:val="是否适用：母公司应收利息坏账准备调节表[双击切换]"/>
            <w:tag w:val="_GBC_051d1f4329834464b99226954bb8040d"/>
            <w:id w:val="-1738777805"/>
            <w:lock w:val="sdtLocked"/>
            <w:placeholder>
              <w:docPart w:val="GBC22222222222222222222222222222"/>
            </w:placeholder>
          </w:sdtPr>
          <w:sdtEndPr/>
          <w:sdtContent>
            <w:p w14:paraId="3896CA0A" w14:textId="77777777" w:rsidR="00471D53" w:rsidRDefault="004F686E" w:rsidP="00471D53">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0A4C76DB" w14:textId="77777777" w:rsidR="00471D53" w:rsidRDefault="00B664AF"/>
        <w:p w14:paraId="3278673B" w14:textId="77777777" w:rsidR="00471D53" w:rsidRDefault="00B664AF"/>
      </w:sdtContent>
    </w:sdt>
    <w:bookmarkEnd w:id="261" w:displacedByCustomXml="prev"/>
    <w:bookmarkStart w:id="262" w:name="_Hlk10547119" w:displacedByCustomXml="next"/>
    <w:bookmarkStart w:id="263" w:name="_Hlk10547128" w:displacedByCustomXml="next"/>
    <w:sdt>
      <w:sdtPr>
        <w:rPr>
          <w:rFonts w:hint="eastAsia"/>
        </w:rPr>
        <w:alias w:val="模块:其他说明："/>
        <w:tag w:val="_SEC_ad2b0daa52af481d8a56e5f8f2ccc52e"/>
        <w:id w:val="-1026476969"/>
        <w:lock w:val="sdtLocked"/>
        <w:placeholder>
          <w:docPart w:val="GBC22222222222222222222222222222"/>
        </w:placeholder>
      </w:sdtPr>
      <w:sdtEndPr>
        <w:rPr>
          <w:rFonts w:hint="default"/>
        </w:rPr>
      </w:sdtEndPr>
      <w:sdtContent>
        <w:p w14:paraId="2502BE22" w14:textId="77777777" w:rsidR="00471D53" w:rsidRDefault="004F686E">
          <w:r>
            <w:rPr>
              <w:rFonts w:hint="eastAsia"/>
            </w:rPr>
            <w:t>其他说明：</w:t>
          </w:r>
          <w:bookmarkEnd w:id="262"/>
        </w:p>
        <w:sdt>
          <w:sdtPr>
            <w:rPr>
              <w:szCs w:val="21"/>
            </w:rPr>
            <w:alias w:val="是否适用：母公司应收利息其他说明[双击切换]"/>
            <w:tag w:val="_GBC_936c374258514f469f2c9bb36b889c43"/>
            <w:id w:val="1814597495"/>
            <w:lock w:val="sdtLocked"/>
            <w:placeholder>
              <w:docPart w:val="GBC22222222222222222222222222222"/>
            </w:placeholder>
          </w:sdtPr>
          <w:sdtEndPr/>
          <w:sdtContent>
            <w:p w14:paraId="7544E4B5" w14:textId="77777777" w:rsidR="00471D53" w:rsidRDefault="004F686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应收利息的说明"/>
            <w:tag w:val="_GBC_615220208d82476ba953310e879c18bb"/>
            <w:id w:val="484522318"/>
            <w:lock w:val="sdtLocked"/>
            <w:placeholder>
              <w:docPart w:val="GBC22222222222222222222222222222"/>
            </w:placeholder>
          </w:sdtPr>
          <w:sdtEndPr/>
          <w:sdtContent>
            <w:p w14:paraId="0553A7A8" w14:textId="77777777" w:rsidR="00471D53" w:rsidRDefault="004F686E" w:rsidP="00471D53">
              <w:pPr>
                <w:autoSpaceDE w:val="0"/>
                <w:autoSpaceDN w:val="0"/>
                <w:adjustRightInd w:val="0"/>
                <w:spacing w:beforeLines="50" w:before="120" w:afterLines="50" w:after="120" w:line="360" w:lineRule="exact"/>
                <w:ind w:firstLineChars="200" w:firstLine="420"/>
                <w:jc w:val="both"/>
                <w:rPr>
                  <w:rFonts w:cs="MHei-Light-Identity-H"/>
                  <w:sz w:val="22"/>
                  <w:szCs w:val="22"/>
                </w:rPr>
              </w:pPr>
              <w:r>
                <w:rPr>
                  <w:rFonts w:cs="MHei-Light-Identity-H" w:hint="eastAsia"/>
                  <w:sz w:val="22"/>
                  <w:szCs w:val="22"/>
                </w:rPr>
                <w:t>本期应收利息为合并范围内关联方借款利息，未发生信用减值，未计提坏账准备的。</w:t>
              </w:r>
            </w:p>
            <w:p w14:paraId="75539D7D" w14:textId="77777777" w:rsidR="00471D53" w:rsidRDefault="00B664AF">
              <w:pPr>
                <w:rPr>
                  <w:szCs w:val="21"/>
                </w:rPr>
              </w:pPr>
            </w:p>
          </w:sdtContent>
        </w:sdt>
        <w:p w14:paraId="1183758C" w14:textId="77777777" w:rsidR="00471D53" w:rsidRDefault="00B664AF"/>
      </w:sdtContent>
    </w:sdt>
    <w:bookmarkEnd w:id="263" w:displacedByCustomXml="prev"/>
    <w:p w14:paraId="05951BC1" w14:textId="77777777" w:rsidR="00471D53" w:rsidRDefault="004F686E">
      <w:pPr>
        <w:pStyle w:val="afffff8"/>
        <w:rPr>
          <w:rFonts w:ascii="宋体" w:hAnsi="宋体"/>
        </w:rPr>
      </w:pPr>
      <w:r>
        <w:rPr>
          <w:rFonts w:ascii="宋体" w:hAnsi="宋体" w:hint="eastAsia"/>
        </w:rPr>
        <w:t>应收股利</w:t>
      </w:r>
    </w:p>
    <w:bookmarkStart w:id="264" w:name="_Hlk10547160" w:displacedByCustomXml="next"/>
    <w:bookmarkStart w:id="265" w:name="_Hlk10547171" w:displacedByCustomXml="next"/>
    <w:sdt>
      <w:sdtPr>
        <w:rPr>
          <w:rFonts w:ascii="宋体" w:hAnsi="宋体" w:cs="宋体" w:hint="eastAsia"/>
          <w:b w:val="0"/>
          <w:bCs w:val="0"/>
          <w:kern w:val="0"/>
          <w:szCs w:val="24"/>
        </w:rPr>
        <w:alias w:val="模块:应收股利"/>
        <w:tag w:val="_SEC_18f0cc3557ff45749d07d7a27d7c9620"/>
        <w:id w:val="-433899069"/>
        <w:lock w:val="sdtLocked"/>
        <w:placeholder>
          <w:docPart w:val="GBC22222222222222222222222222222"/>
        </w:placeholder>
      </w:sdtPr>
      <w:sdtEndPr/>
      <w:sdtContent>
        <w:p w14:paraId="4456606D" w14:textId="77777777" w:rsidR="00471D53" w:rsidRDefault="004F686E" w:rsidP="004F686E">
          <w:pPr>
            <w:pStyle w:val="afffff8"/>
            <w:numPr>
              <w:ilvl w:val="3"/>
              <w:numId w:val="114"/>
            </w:numPr>
            <w:ind w:left="426" w:hanging="426"/>
            <w:rPr>
              <w:rFonts w:ascii="宋体" w:hAnsi="宋体"/>
            </w:rPr>
          </w:pPr>
          <w:r>
            <w:rPr>
              <w:rFonts w:ascii="宋体" w:hAnsi="宋体" w:hint="eastAsia"/>
            </w:rPr>
            <w:t>应收股利</w:t>
          </w:r>
          <w:bookmarkEnd w:id="264"/>
        </w:p>
        <w:sdt>
          <w:sdtPr>
            <w:alias w:val="是否适用：母公司应收股利[双击切换]"/>
            <w:tag w:val="_GBC_3f36acb68ddd426b990a146c5c14da80"/>
            <w:id w:val="1373493148"/>
            <w:lock w:val="sdtLocked"/>
            <w:placeholder>
              <w:docPart w:val="GBC22222222222222222222222222222"/>
            </w:placeholder>
          </w:sdtPr>
          <w:sdtEndPr/>
          <w:sdtContent>
            <w:p w14:paraId="40BE20F8"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265" w:displacedByCustomXml="prev"/>
    <w:bookmarkStart w:id="266" w:name="_Hlk10547188" w:displacedByCustomXml="next"/>
    <w:bookmarkStart w:id="267" w:name="_Hlk10547199" w:displacedByCustomXml="next"/>
    <w:sdt>
      <w:sdtPr>
        <w:rPr>
          <w:rFonts w:ascii="宋体" w:hAnsi="宋体" w:cs="宋体" w:hint="eastAsia"/>
          <w:b w:val="0"/>
          <w:bCs w:val="0"/>
          <w:kern w:val="0"/>
          <w:szCs w:val="24"/>
        </w:rPr>
        <w:alias w:val="模块:重要的账龄超过1年的应收股利"/>
        <w:tag w:val="_SEC_ccfd129beeb14f31b282a062cd845e5e"/>
        <w:id w:val="525138202"/>
        <w:lock w:val="sdtLocked"/>
        <w:placeholder>
          <w:docPart w:val="GBC22222222222222222222222222222"/>
        </w:placeholder>
      </w:sdtPr>
      <w:sdtEndPr>
        <w:rPr>
          <w:rFonts w:hint="default"/>
        </w:rPr>
      </w:sdtEndPr>
      <w:sdtContent>
        <w:p w14:paraId="7C45678A" w14:textId="77777777" w:rsidR="00471D53" w:rsidRDefault="004F686E" w:rsidP="004F686E">
          <w:pPr>
            <w:pStyle w:val="afffff8"/>
            <w:numPr>
              <w:ilvl w:val="3"/>
              <w:numId w:val="114"/>
            </w:numPr>
            <w:ind w:left="426" w:hanging="426"/>
            <w:rPr>
              <w:rFonts w:ascii="宋体" w:hAnsi="宋体"/>
            </w:rPr>
          </w:pPr>
          <w:r>
            <w:rPr>
              <w:rFonts w:ascii="宋体" w:hAnsi="宋体" w:hint="eastAsia"/>
            </w:rPr>
            <w:t>重要的账龄超过1年的应收股利</w:t>
          </w:r>
          <w:bookmarkEnd w:id="266"/>
        </w:p>
        <w:sdt>
          <w:sdtPr>
            <w:rPr>
              <w:szCs w:val="21"/>
            </w:rPr>
            <w:alias w:val="是否适用：母公司重要的账龄超过1年的应收股利[双击切换]"/>
            <w:tag w:val="_GBC_5ce593c40926400393bed620009e5006"/>
            <w:id w:val="1109477667"/>
            <w:lock w:val="sdtLocked"/>
            <w:placeholder>
              <w:docPart w:val="GBC22222222222222222222222222222"/>
            </w:placeholder>
          </w:sdtPr>
          <w:sdtEndPr/>
          <w:sdtContent>
            <w:p w14:paraId="0DA2021C" w14:textId="77777777" w:rsidR="00471D53" w:rsidRDefault="004F686E" w:rsidP="00471D53">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bookmarkEnd w:id="267" w:displacedByCustomXml="prev"/>
    <w:bookmarkStart w:id="268" w:name="_Hlk10547212" w:displacedByCustomXml="next"/>
    <w:bookmarkStart w:id="269" w:name="_Hlk10547224" w:displacedByCustomXml="next"/>
    <w:sdt>
      <w:sdtPr>
        <w:rPr>
          <w:rFonts w:ascii="宋体" w:hAnsi="宋体" w:cs="宋体" w:hint="eastAsia"/>
          <w:b w:val="0"/>
          <w:bCs w:val="0"/>
          <w:kern w:val="0"/>
          <w:szCs w:val="24"/>
        </w:rPr>
        <w:alias w:val="模块:坏账准备计提情况"/>
        <w:tag w:val="_SEC_3d41530a7b3d408cbfe627f818ea914c"/>
        <w:id w:val="112266870"/>
        <w:lock w:val="sdtLocked"/>
        <w:placeholder>
          <w:docPart w:val="GBC22222222222222222222222222222"/>
        </w:placeholder>
      </w:sdtPr>
      <w:sdtEndPr>
        <w:rPr>
          <w:rFonts w:hint="default"/>
        </w:rPr>
      </w:sdtEndPr>
      <w:sdtContent>
        <w:p w14:paraId="704863FE" w14:textId="77777777" w:rsidR="00471D53" w:rsidRDefault="004F686E" w:rsidP="004F686E">
          <w:pPr>
            <w:pStyle w:val="afffff8"/>
            <w:numPr>
              <w:ilvl w:val="3"/>
              <w:numId w:val="114"/>
            </w:numPr>
            <w:ind w:left="426" w:hanging="426"/>
            <w:rPr>
              <w:rFonts w:ascii="宋体" w:hAnsi="宋体"/>
            </w:rPr>
          </w:pPr>
          <w:r>
            <w:rPr>
              <w:rFonts w:ascii="宋体" w:hAnsi="宋体" w:cs="宋体" w:hint="eastAsia"/>
              <w:bCs w:val="0"/>
              <w:kern w:val="0"/>
              <w:szCs w:val="24"/>
            </w:rPr>
            <w:t>坏账准备计提情况</w:t>
          </w:r>
          <w:bookmarkEnd w:id="268"/>
        </w:p>
        <w:sdt>
          <w:sdtPr>
            <w:alias w:val="是否适用：母公司应收股利坏账准备调节表[双击切换]"/>
            <w:tag w:val="_GBC_9d130aecb6cb4874ac083fcdce5ee739"/>
            <w:id w:val="-889573861"/>
            <w:lock w:val="sdtLocked"/>
            <w:placeholder>
              <w:docPart w:val="GBC22222222222222222222222222222"/>
            </w:placeholder>
          </w:sdtPr>
          <w:sdtEndPr/>
          <w:sdtContent>
            <w:p w14:paraId="2430F4AC"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EB50E16" w14:textId="77777777" w:rsidR="00471D53" w:rsidRDefault="00B664AF"/>
        <w:p w14:paraId="02EA55AF" w14:textId="77777777" w:rsidR="00471D53" w:rsidRDefault="00B664AF"/>
      </w:sdtContent>
    </w:sdt>
    <w:bookmarkEnd w:id="269" w:displacedByCustomXml="prev"/>
    <w:bookmarkStart w:id="270" w:name="_Hlk10547234" w:displacedByCustomXml="next"/>
    <w:bookmarkStart w:id="271" w:name="_Hlk10547244" w:displacedByCustomXml="next"/>
    <w:sdt>
      <w:sdtPr>
        <w:rPr>
          <w:rFonts w:hint="eastAsia"/>
          <w:szCs w:val="21"/>
        </w:rPr>
        <w:alias w:val="模块:其他说明："/>
        <w:tag w:val="_SEC_2b03a6eb53a24c76a6dc28f0478009f2"/>
        <w:id w:val="-1567095401"/>
        <w:lock w:val="sdtLocked"/>
        <w:placeholder>
          <w:docPart w:val="GBC22222222222222222222222222222"/>
        </w:placeholder>
      </w:sdtPr>
      <w:sdtEndPr>
        <w:rPr>
          <w:rFonts w:hint="default"/>
          <w:szCs w:val="24"/>
        </w:rPr>
      </w:sdtEndPr>
      <w:sdtContent>
        <w:p w14:paraId="21E5FBCB" w14:textId="77777777" w:rsidR="00471D53" w:rsidRDefault="004F686E">
          <w:pPr>
            <w:rPr>
              <w:szCs w:val="21"/>
            </w:rPr>
          </w:pPr>
          <w:r>
            <w:rPr>
              <w:rFonts w:hint="eastAsia"/>
              <w:szCs w:val="21"/>
            </w:rPr>
            <w:t>其他说明：</w:t>
          </w:r>
          <w:bookmarkEnd w:id="270"/>
        </w:p>
        <w:sdt>
          <w:sdtPr>
            <w:rPr>
              <w:szCs w:val="21"/>
            </w:rPr>
            <w:alias w:val="是否适用：母公司应收股利其他说明[双击切换]"/>
            <w:tag w:val="_GBC_79a2eb8844e84fe3b78bb5ffcf2a57d5"/>
            <w:id w:val="357787878"/>
            <w:lock w:val="sdtLocked"/>
            <w:placeholder>
              <w:docPart w:val="GBC22222222222222222222222222222"/>
            </w:placeholder>
          </w:sdtPr>
          <w:sdtEndPr/>
          <w:sdtContent>
            <w:p w14:paraId="0EF97124" w14:textId="77777777" w:rsidR="00471D53" w:rsidRDefault="004F686E" w:rsidP="00471D5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0C0D4935" w14:textId="77777777" w:rsidR="00471D53" w:rsidRDefault="00B664AF"/>
      </w:sdtContent>
    </w:sdt>
    <w:bookmarkEnd w:id="271" w:displacedByCustomXml="prev"/>
    <w:p w14:paraId="4D1CC3CA" w14:textId="77777777" w:rsidR="00471D53" w:rsidRDefault="004F686E">
      <w:pPr>
        <w:pStyle w:val="afffff8"/>
        <w:rPr>
          <w:rFonts w:ascii="宋体" w:hAnsi="宋体"/>
        </w:rPr>
      </w:pPr>
      <w:r>
        <w:rPr>
          <w:rFonts w:ascii="宋体" w:hAnsi="宋体" w:hint="eastAsia"/>
        </w:rPr>
        <w:t>其他应收款</w:t>
      </w:r>
    </w:p>
    <w:sdt>
      <w:sdtPr>
        <w:rPr>
          <w:rFonts w:ascii="宋体" w:hAnsi="宋体" w:cs="宋体"/>
          <w:b w:val="0"/>
          <w:bCs w:val="0"/>
          <w:kern w:val="0"/>
          <w:szCs w:val="21"/>
        </w:rPr>
        <w:alias w:val="模块:组合中，按账龄分析法计提坏账准备的其他应收款"/>
        <w:tag w:val="_GBC_7633445fb4f445e9a99e716971900a22"/>
        <w:id w:val="-1600706049"/>
        <w:lock w:val="sdtLocked"/>
        <w:placeholder>
          <w:docPart w:val="GBC22222222222222222222222222222"/>
        </w:placeholder>
      </w:sdtPr>
      <w:sdtEndPr/>
      <w:sdtContent>
        <w:p w14:paraId="638FF53F" w14:textId="77777777" w:rsidR="00471D53" w:rsidRDefault="004F686E" w:rsidP="004F686E">
          <w:pPr>
            <w:pStyle w:val="afffff8"/>
            <w:numPr>
              <w:ilvl w:val="3"/>
              <w:numId w:val="114"/>
            </w:numPr>
            <w:ind w:left="426" w:hanging="426"/>
            <w:rPr>
              <w:rFonts w:ascii="宋体" w:hAnsi="宋体"/>
              <w:szCs w:val="21"/>
            </w:rPr>
          </w:pPr>
          <w:r>
            <w:rPr>
              <w:rFonts w:ascii="宋体" w:hAnsi="宋体" w:hint="eastAsia"/>
              <w:szCs w:val="21"/>
            </w:rPr>
            <w:t>按账龄披露</w:t>
          </w:r>
        </w:p>
        <w:p w14:paraId="24C05C10" w14:textId="77777777" w:rsidR="00471D53" w:rsidRDefault="00B664AF" w:rsidP="00471D53">
          <w:pPr>
            <w:tabs>
              <w:tab w:val="left" w:pos="9720"/>
            </w:tabs>
            <w:ind w:rightChars="-673" w:right="-1413"/>
            <w:rPr>
              <w:b/>
              <w:szCs w:val="21"/>
            </w:rPr>
          </w:pPr>
          <w:sdt>
            <w:sdtPr>
              <w:rPr>
                <w:rFonts w:hint="eastAsia"/>
                <w:szCs w:val="21"/>
              </w:rPr>
              <w:alias w:val="是否适用：母公司组合中，按账龄分析法计提坏账准备的其他应收账款[双击切换]"/>
              <w:tag w:val="_GBC_b8ebebf3180a48e4b61282a3ad0f26ab"/>
              <w:id w:val="-1127151442"/>
              <w:lock w:val="sdtLocked"/>
              <w:placeholder>
                <w:docPart w:val="GBC22222222222222222222222222222"/>
              </w:placeholder>
            </w:sdtPr>
            <w:sdtEndPr/>
            <w:sdtContent>
              <w:r w:rsidR="004F686E">
                <w:rPr>
                  <w:szCs w:val="21"/>
                </w:rPr>
                <w:fldChar w:fldCharType="begin"/>
              </w:r>
              <w:r w:rsidR="004F686E">
                <w:rPr>
                  <w:szCs w:val="21"/>
                </w:rPr>
                <w:instrText>MACROBUTTON  SnrToggleCheckbox √适用</w:instrText>
              </w:r>
              <w:r w:rsidR="004F686E">
                <w:rPr>
                  <w:szCs w:val="21"/>
                </w:rPr>
                <w:fldChar w:fldCharType="end"/>
              </w:r>
              <w:r w:rsidR="004F686E">
                <w:rPr>
                  <w:szCs w:val="21"/>
                </w:rPr>
                <w:fldChar w:fldCharType="begin"/>
              </w:r>
              <w:r w:rsidR="004F686E">
                <w:rPr>
                  <w:szCs w:val="21"/>
                </w:rPr>
                <w:instrText xml:space="preserve"> MACROBUTTON  SnrToggleCheckbox □不适用 </w:instrText>
              </w:r>
              <w:r w:rsidR="004F686E">
                <w:rPr>
                  <w:szCs w:val="21"/>
                </w:rPr>
                <w:fldChar w:fldCharType="end"/>
              </w:r>
            </w:sdtContent>
          </w:sdt>
        </w:p>
        <w:p w14:paraId="3A625270" w14:textId="15D2F3BA" w:rsidR="00471D53" w:rsidRDefault="004F686E">
          <w:pPr>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其他应收账款"/>
              <w:tag w:val="_GBC_ede5d9b4f8594f95a95f3ab6c9f60baf"/>
              <w:id w:val="13369565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母公司财务附注：单项金额不重大但按信用风险特征组合后该组合的风险较大的其他应收账款"/>
              <w:tag w:val="_GBC_f568e72906c2467eaad01f9cc2c58e38"/>
              <w:id w:val="17482232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6"/>
            <w:gridCol w:w="3557"/>
          </w:tblGrid>
          <w:tr w:rsidR="00471D53" w14:paraId="1D34567E" w14:textId="77777777" w:rsidTr="00A22501">
            <w:trPr>
              <w:trHeight w:val="273"/>
              <w:jc w:val="center"/>
            </w:trPr>
            <w:sdt>
              <w:sdtPr>
                <w:tag w:val="_PLD_ea421152d78d40388e20d700f11c5b7c"/>
                <w:id w:val="-713881939"/>
                <w:lock w:val="sdtLocked"/>
              </w:sdtPr>
              <w:sdtEndPr/>
              <w:sdtContent>
                <w:tc>
                  <w:tcPr>
                    <w:tcW w:w="2984" w:type="pct"/>
                    <w:tcBorders>
                      <w:bottom w:val="single" w:sz="4" w:space="0" w:color="auto"/>
                    </w:tcBorders>
                    <w:shd w:val="clear" w:color="auto" w:fill="auto"/>
                    <w:vAlign w:val="center"/>
                  </w:tcPr>
                  <w:p w14:paraId="568D0A59" w14:textId="77777777" w:rsidR="00471D53" w:rsidRDefault="004F686E">
                    <w:pPr>
                      <w:jc w:val="center"/>
                      <w:rPr>
                        <w:szCs w:val="21"/>
                      </w:rPr>
                    </w:pPr>
                    <w:r>
                      <w:rPr>
                        <w:szCs w:val="21"/>
                      </w:rPr>
                      <w:t>账龄</w:t>
                    </w:r>
                  </w:p>
                </w:tc>
              </w:sdtContent>
            </w:sdt>
            <w:sdt>
              <w:sdtPr>
                <w:tag w:val="_PLD_041d6c971e464a898746e2aa12807b27"/>
                <w:id w:val="1552264566"/>
                <w:lock w:val="sdtLocked"/>
              </w:sdtPr>
              <w:sdtEndPr/>
              <w:sdtContent>
                <w:tc>
                  <w:tcPr>
                    <w:tcW w:w="2016" w:type="pct"/>
                    <w:tcBorders>
                      <w:bottom w:val="single" w:sz="4" w:space="0" w:color="auto"/>
                    </w:tcBorders>
                    <w:shd w:val="clear" w:color="auto" w:fill="auto"/>
                    <w:vAlign w:val="center"/>
                  </w:tcPr>
                  <w:p w14:paraId="7938C087" w14:textId="77777777" w:rsidR="00471D53" w:rsidRDefault="004F686E">
                    <w:pPr>
                      <w:jc w:val="center"/>
                      <w:rPr>
                        <w:szCs w:val="21"/>
                      </w:rPr>
                    </w:pPr>
                    <w:r>
                      <w:rPr>
                        <w:szCs w:val="21"/>
                      </w:rPr>
                      <w:t>期末</w:t>
                    </w:r>
                    <w:r>
                      <w:rPr>
                        <w:rFonts w:hint="eastAsia"/>
                        <w:szCs w:val="21"/>
                      </w:rPr>
                      <w:t>账面</w:t>
                    </w:r>
                    <w:r>
                      <w:rPr>
                        <w:szCs w:val="21"/>
                      </w:rPr>
                      <w:t>余额</w:t>
                    </w:r>
                  </w:p>
                </w:tc>
              </w:sdtContent>
            </w:sdt>
          </w:tr>
          <w:tr w:rsidR="00471D53" w14:paraId="39A653C7" w14:textId="77777777" w:rsidTr="007421B8">
            <w:trPr>
              <w:jc w:val="center"/>
            </w:trPr>
            <w:sdt>
              <w:sdtPr>
                <w:tag w:val="_PLD_e7e6a5399aea4d5c9e5e7d69deb45784"/>
                <w:id w:val="-129095755"/>
                <w:lock w:val="sdtLocked"/>
              </w:sdtPr>
              <w:sdtEndPr/>
              <w:sdtContent>
                <w:tc>
                  <w:tcPr>
                    <w:tcW w:w="5000" w:type="pct"/>
                    <w:gridSpan w:val="2"/>
                    <w:shd w:val="clear" w:color="auto" w:fill="auto"/>
                  </w:tcPr>
                  <w:p w14:paraId="7BE6DC16" w14:textId="77777777" w:rsidR="00471D53" w:rsidRDefault="004F686E">
                    <w:pPr>
                      <w:rPr>
                        <w:szCs w:val="21"/>
                      </w:rPr>
                    </w:pPr>
                    <w:r>
                      <w:rPr>
                        <w:rFonts w:hint="eastAsia"/>
                        <w:szCs w:val="21"/>
                      </w:rPr>
                      <w:t>1</w:t>
                    </w:r>
                    <w:r>
                      <w:rPr>
                        <w:szCs w:val="21"/>
                      </w:rPr>
                      <w:t>年以内</w:t>
                    </w:r>
                  </w:p>
                </w:tc>
              </w:sdtContent>
            </w:sdt>
          </w:tr>
          <w:tr w:rsidR="00471D53" w14:paraId="3849F695" w14:textId="77777777" w:rsidTr="007421B8">
            <w:trPr>
              <w:jc w:val="center"/>
            </w:trPr>
            <w:sdt>
              <w:sdtPr>
                <w:tag w:val="_PLD_56f450290f844bc78a2cfb244e386bfb"/>
                <w:id w:val="-1582980811"/>
                <w:lock w:val="sdtLocked"/>
              </w:sdtPr>
              <w:sdtEndPr/>
              <w:sdtContent>
                <w:tc>
                  <w:tcPr>
                    <w:tcW w:w="5000" w:type="pct"/>
                    <w:gridSpan w:val="2"/>
                    <w:shd w:val="clear" w:color="auto" w:fill="auto"/>
                  </w:tcPr>
                  <w:p w14:paraId="3CE8CB7D" w14:textId="77777777" w:rsidR="00471D53" w:rsidRDefault="004F686E">
                    <w:pPr>
                      <w:rPr>
                        <w:szCs w:val="21"/>
                      </w:rPr>
                    </w:pPr>
                    <w:r>
                      <w:rPr>
                        <w:rFonts w:hint="eastAsia"/>
                        <w:szCs w:val="21"/>
                      </w:rPr>
                      <w:t>其中：</w:t>
                    </w:r>
                    <w:r>
                      <w:rPr>
                        <w:szCs w:val="21"/>
                      </w:rPr>
                      <w:t>1年以内分项</w:t>
                    </w:r>
                  </w:p>
                </w:tc>
              </w:sdtContent>
            </w:sdt>
          </w:tr>
          <w:sdt>
            <w:sdtPr>
              <w:rPr>
                <w:szCs w:val="21"/>
              </w:rPr>
              <w:alias w:val="一年以内其他应收款金额明细"/>
              <w:tag w:val="_GBC_860af2b8105d4e3eb381eb65866b7c4e"/>
              <w:id w:val="-974992244"/>
              <w:lock w:val="sdtLocked"/>
              <w:placeholder>
                <w:docPart w:val="GBC11111111111111111111111111111"/>
              </w:placeholder>
            </w:sdtPr>
            <w:sdtEndPr/>
            <w:sdtContent>
              <w:tr w:rsidR="00471D53" w14:paraId="0880B6D1" w14:textId="77777777" w:rsidTr="00A22501">
                <w:trPr>
                  <w:jc w:val="center"/>
                </w:trPr>
                <w:tc>
                  <w:tcPr>
                    <w:tcW w:w="2984" w:type="pct"/>
                    <w:shd w:val="clear" w:color="auto" w:fill="auto"/>
                  </w:tcPr>
                  <w:p w14:paraId="08858BD2" w14:textId="77777777" w:rsidR="00471D53" w:rsidRDefault="00B664AF">
                    <w:pPr>
                      <w:rPr>
                        <w:szCs w:val="21"/>
                      </w:rPr>
                    </w:pPr>
                  </w:p>
                </w:tc>
                <w:tc>
                  <w:tcPr>
                    <w:tcW w:w="2016" w:type="pct"/>
                    <w:shd w:val="clear" w:color="auto" w:fill="auto"/>
                  </w:tcPr>
                  <w:p w14:paraId="0651BB07" w14:textId="77777777" w:rsidR="00471D53" w:rsidRDefault="00B664AF">
                    <w:pPr>
                      <w:jc w:val="right"/>
                      <w:rPr>
                        <w:szCs w:val="21"/>
                      </w:rPr>
                    </w:pPr>
                  </w:p>
                </w:tc>
              </w:tr>
            </w:sdtContent>
          </w:sdt>
          <w:sdt>
            <w:sdtPr>
              <w:rPr>
                <w:szCs w:val="21"/>
              </w:rPr>
              <w:alias w:val="一年以内其他应收款金额明细"/>
              <w:tag w:val="_GBC_860af2b8105d4e3eb381eb65866b7c4e"/>
              <w:id w:val="-1885408425"/>
              <w:lock w:val="sdtLocked"/>
              <w:placeholder>
                <w:docPart w:val="GBC11111111111111111111111111111"/>
              </w:placeholder>
            </w:sdtPr>
            <w:sdtEndPr/>
            <w:sdtContent>
              <w:tr w:rsidR="00471D53" w14:paraId="60F6D6E7" w14:textId="77777777" w:rsidTr="00A22501">
                <w:trPr>
                  <w:jc w:val="center"/>
                </w:trPr>
                <w:tc>
                  <w:tcPr>
                    <w:tcW w:w="2984" w:type="pct"/>
                    <w:shd w:val="clear" w:color="auto" w:fill="auto"/>
                  </w:tcPr>
                  <w:p w14:paraId="5D8C23C9" w14:textId="77777777" w:rsidR="00471D53" w:rsidRDefault="00B664AF">
                    <w:pPr>
                      <w:rPr>
                        <w:szCs w:val="21"/>
                      </w:rPr>
                    </w:pPr>
                  </w:p>
                </w:tc>
                <w:tc>
                  <w:tcPr>
                    <w:tcW w:w="2016" w:type="pct"/>
                    <w:shd w:val="clear" w:color="auto" w:fill="auto"/>
                  </w:tcPr>
                  <w:p w14:paraId="6445B327" w14:textId="77777777" w:rsidR="00471D53" w:rsidRDefault="00B664AF">
                    <w:pPr>
                      <w:jc w:val="right"/>
                      <w:rPr>
                        <w:szCs w:val="21"/>
                      </w:rPr>
                    </w:pPr>
                  </w:p>
                </w:tc>
              </w:tr>
            </w:sdtContent>
          </w:sdt>
          <w:tr w:rsidR="00471D53" w14:paraId="41B37CE3" w14:textId="77777777" w:rsidTr="00A22501">
            <w:trPr>
              <w:jc w:val="center"/>
            </w:trPr>
            <w:sdt>
              <w:sdtPr>
                <w:tag w:val="_PLD_2003791af21f466bb07049d42fca0a81"/>
                <w:id w:val="-1041284573"/>
                <w:lock w:val="sdtLocked"/>
              </w:sdtPr>
              <w:sdtEndPr/>
              <w:sdtContent>
                <w:tc>
                  <w:tcPr>
                    <w:tcW w:w="2984" w:type="pct"/>
                    <w:shd w:val="clear" w:color="auto" w:fill="auto"/>
                  </w:tcPr>
                  <w:p w14:paraId="341F698B" w14:textId="77777777" w:rsidR="00471D53" w:rsidRDefault="004F686E">
                    <w:pPr>
                      <w:rPr>
                        <w:szCs w:val="21"/>
                      </w:rPr>
                    </w:pPr>
                    <w:r>
                      <w:rPr>
                        <w:rFonts w:hint="eastAsia"/>
                        <w:szCs w:val="21"/>
                      </w:rPr>
                      <w:t>1年以内小计</w:t>
                    </w:r>
                  </w:p>
                </w:tc>
              </w:sdtContent>
            </w:sdt>
            <w:tc>
              <w:tcPr>
                <w:tcW w:w="2016" w:type="pct"/>
                <w:shd w:val="clear" w:color="auto" w:fill="auto"/>
              </w:tcPr>
              <w:p w14:paraId="259E3712" w14:textId="77777777" w:rsidR="00471D53" w:rsidRDefault="00B664AF">
                <w:pPr>
                  <w:jc w:val="right"/>
                  <w:rPr>
                    <w:szCs w:val="21"/>
                  </w:rPr>
                </w:pPr>
              </w:p>
            </w:tc>
          </w:tr>
          <w:tr w:rsidR="00471D53" w14:paraId="14FCEEE8" w14:textId="77777777" w:rsidTr="00A22501">
            <w:trPr>
              <w:jc w:val="center"/>
            </w:trPr>
            <w:sdt>
              <w:sdtPr>
                <w:tag w:val="_PLD_95c5c36c109842ad8ca939ca66051b89"/>
                <w:id w:val="-1904201136"/>
                <w:lock w:val="sdtLocked"/>
              </w:sdtPr>
              <w:sdtEndPr/>
              <w:sdtContent>
                <w:tc>
                  <w:tcPr>
                    <w:tcW w:w="2984" w:type="pct"/>
                    <w:shd w:val="clear" w:color="auto" w:fill="auto"/>
                  </w:tcPr>
                  <w:p w14:paraId="1DCAF805" w14:textId="77777777" w:rsidR="00471D53" w:rsidRDefault="004F686E">
                    <w:pPr>
                      <w:rPr>
                        <w:szCs w:val="21"/>
                      </w:rPr>
                    </w:pPr>
                    <w:r>
                      <w:rPr>
                        <w:rFonts w:hint="eastAsia"/>
                        <w:szCs w:val="21"/>
                      </w:rPr>
                      <w:t>1</w:t>
                    </w:r>
                    <w:r>
                      <w:rPr>
                        <w:szCs w:val="21"/>
                      </w:rPr>
                      <w:t>至</w:t>
                    </w:r>
                    <w:r>
                      <w:rPr>
                        <w:rFonts w:hint="eastAsia"/>
                        <w:szCs w:val="21"/>
                      </w:rPr>
                      <w:t>2</w:t>
                    </w:r>
                    <w:r>
                      <w:rPr>
                        <w:szCs w:val="21"/>
                      </w:rPr>
                      <w:t>年</w:t>
                    </w:r>
                  </w:p>
                </w:tc>
              </w:sdtContent>
            </w:sdt>
            <w:tc>
              <w:tcPr>
                <w:tcW w:w="2016" w:type="pct"/>
                <w:shd w:val="clear" w:color="auto" w:fill="auto"/>
              </w:tcPr>
              <w:p w14:paraId="1408143C" w14:textId="77777777" w:rsidR="00471D53" w:rsidRDefault="00B664AF">
                <w:pPr>
                  <w:jc w:val="right"/>
                  <w:rPr>
                    <w:szCs w:val="21"/>
                  </w:rPr>
                </w:pPr>
              </w:p>
            </w:tc>
          </w:tr>
          <w:tr w:rsidR="00471D53" w14:paraId="014A37C4" w14:textId="77777777" w:rsidTr="00A22501">
            <w:trPr>
              <w:jc w:val="center"/>
            </w:trPr>
            <w:sdt>
              <w:sdtPr>
                <w:tag w:val="_PLD_95bded3dfef44f398326fefdfdfa13a1"/>
                <w:id w:val="-2139097236"/>
                <w:lock w:val="sdtLocked"/>
              </w:sdtPr>
              <w:sdtEndPr/>
              <w:sdtContent>
                <w:tc>
                  <w:tcPr>
                    <w:tcW w:w="2984" w:type="pct"/>
                    <w:shd w:val="clear" w:color="auto" w:fill="auto"/>
                  </w:tcPr>
                  <w:p w14:paraId="4665FB18" w14:textId="77777777" w:rsidR="00471D53" w:rsidRDefault="004F686E">
                    <w:pPr>
                      <w:rPr>
                        <w:szCs w:val="21"/>
                      </w:rPr>
                    </w:pPr>
                    <w:r>
                      <w:rPr>
                        <w:rFonts w:hint="eastAsia"/>
                        <w:szCs w:val="21"/>
                      </w:rPr>
                      <w:t>2</w:t>
                    </w:r>
                    <w:r>
                      <w:rPr>
                        <w:szCs w:val="21"/>
                      </w:rPr>
                      <w:t>至</w:t>
                    </w:r>
                    <w:r>
                      <w:rPr>
                        <w:rFonts w:hint="eastAsia"/>
                        <w:szCs w:val="21"/>
                      </w:rPr>
                      <w:t>3</w:t>
                    </w:r>
                    <w:r>
                      <w:rPr>
                        <w:szCs w:val="21"/>
                      </w:rPr>
                      <w:t>年</w:t>
                    </w:r>
                  </w:p>
                </w:tc>
              </w:sdtContent>
            </w:sdt>
            <w:tc>
              <w:tcPr>
                <w:tcW w:w="2016" w:type="pct"/>
                <w:shd w:val="clear" w:color="auto" w:fill="auto"/>
              </w:tcPr>
              <w:p w14:paraId="31E0347C" w14:textId="77777777" w:rsidR="00471D53" w:rsidRDefault="00B664AF">
                <w:pPr>
                  <w:jc w:val="right"/>
                  <w:rPr>
                    <w:szCs w:val="21"/>
                  </w:rPr>
                </w:pPr>
              </w:p>
            </w:tc>
          </w:tr>
          <w:tr w:rsidR="00471D53" w14:paraId="5BF14747" w14:textId="77777777" w:rsidTr="00A22501">
            <w:trPr>
              <w:jc w:val="center"/>
            </w:trPr>
            <w:sdt>
              <w:sdtPr>
                <w:tag w:val="_PLD_8e60c19da192420eac3e17635db6643f"/>
                <w:id w:val="1363245766"/>
                <w:lock w:val="sdtLocked"/>
              </w:sdtPr>
              <w:sdtEndPr/>
              <w:sdtContent>
                <w:tc>
                  <w:tcPr>
                    <w:tcW w:w="2984" w:type="pct"/>
                    <w:shd w:val="clear" w:color="auto" w:fill="auto"/>
                  </w:tcPr>
                  <w:p w14:paraId="174A0EF5" w14:textId="77777777" w:rsidR="00471D53" w:rsidRDefault="004F686E">
                    <w:pPr>
                      <w:rPr>
                        <w:szCs w:val="21"/>
                      </w:rPr>
                    </w:pPr>
                    <w:r>
                      <w:rPr>
                        <w:rFonts w:hint="eastAsia"/>
                        <w:szCs w:val="21"/>
                      </w:rPr>
                      <w:t>3</w:t>
                    </w:r>
                    <w:r>
                      <w:rPr>
                        <w:szCs w:val="21"/>
                      </w:rPr>
                      <w:t>年以上</w:t>
                    </w:r>
                  </w:p>
                </w:tc>
              </w:sdtContent>
            </w:sdt>
            <w:tc>
              <w:tcPr>
                <w:tcW w:w="2016" w:type="pct"/>
                <w:shd w:val="clear" w:color="auto" w:fill="auto"/>
              </w:tcPr>
              <w:p w14:paraId="4D83FF98" w14:textId="77777777" w:rsidR="00471D53" w:rsidRDefault="00B664AF">
                <w:pPr>
                  <w:jc w:val="right"/>
                  <w:rPr>
                    <w:szCs w:val="21"/>
                  </w:rPr>
                </w:pPr>
              </w:p>
            </w:tc>
          </w:tr>
          <w:tr w:rsidR="00471D53" w14:paraId="64123804" w14:textId="77777777" w:rsidTr="00A22501">
            <w:trPr>
              <w:jc w:val="center"/>
            </w:trPr>
            <w:sdt>
              <w:sdtPr>
                <w:tag w:val="_PLD_f2ed966c1e274f61b24a1143926bf921"/>
                <w:id w:val="1621962043"/>
                <w:lock w:val="sdtLocked"/>
              </w:sdtPr>
              <w:sdtEndPr/>
              <w:sdtContent>
                <w:tc>
                  <w:tcPr>
                    <w:tcW w:w="2984" w:type="pct"/>
                    <w:shd w:val="clear" w:color="auto" w:fill="auto"/>
                  </w:tcPr>
                  <w:p w14:paraId="52485F8F" w14:textId="77777777" w:rsidR="00471D53" w:rsidRDefault="004F686E">
                    <w:pPr>
                      <w:rPr>
                        <w:szCs w:val="21"/>
                      </w:rPr>
                    </w:pPr>
                    <w:r>
                      <w:rPr>
                        <w:rFonts w:hint="eastAsia"/>
                        <w:szCs w:val="21"/>
                      </w:rPr>
                      <w:t>3</w:t>
                    </w:r>
                    <w:r>
                      <w:rPr>
                        <w:szCs w:val="21"/>
                      </w:rPr>
                      <w:t>至</w:t>
                    </w:r>
                    <w:r>
                      <w:rPr>
                        <w:rFonts w:hint="eastAsia"/>
                        <w:szCs w:val="21"/>
                      </w:rPr>
                      <w:t>4</w:t>
                    </w:r>
                    <w:r>
                      <w:rPr>
                        <w:szCs w:val="21"/>
                      </w:rPr>
                      <w:t>年</w:t>
                    </w:r>
                  </w:p>
                </w:tc>
              </w:sdtContent>
            </w:sdt>
            <w:tc>
              <w:tcPr>
                <w:tcW w:w="2016" w:type="pct"/>
                <w:shd w:val="clear" w:color="auto" w:fill="auto"/>
              </w:tcPr>
              <w:p w14:paraId="511314CF" w14:textId="77777777" w:rsidR="00471D53" w:rsidRDefault="00B664AF">
                <w:pPr>
                  <w:jc w:val="right"/>
                  <w:rPr>
                    <w:szCs w:val="21"/>
                  </w:rPr>
                </w:pPr>
              </w:p>
            </w:tc>
          </w:tr>
          <w:tr w:rsidR="00471D53" w14:paraId="5E86EB10" w14:textId="77777777" w:rsidTr="00A22501">
            <w:trPr>
              <w:jc w:val="center"/>
            </w:trPr>
            <w:sdt>
              <w:sdtPr>
                <w:tag w:val="_PLD_b619e0e2723e468294b0f0499cb87825"/>
                <w:id w:val="-1819874201"/>
                <w:lock w:val="sdtLocked"/>
              </w:sdtPr>
              <w:sdtEndPr/>
              <w:sdtContent>
                <w:tc>
                  <w:tcPr>
                    <w:tcW w:w="2984" w:type="pct"/>
                    <w:shd w:val="clear" w:color="auto" w:fill="auto"/>
                  </w:tcPr>
                  <w:p w14:paraId="29FBE418" w14:textId="77777777" w:rsidR="00471D53" w:rsidRDefault="004F686E">
                    <w:pPr>
                      <w:rPr>
                        <w:szCs w:val="21"/>
                      </w:rPr>
                    </w:pPr>
                    <w:r>
                      <w:rPr>
                        <w:rFonts w:hint="eastAsia"/>
                        <w:szCs w:val="21"/>
                      </w:rPr>
                      <w:t>4</w:t>
                    </w:r>
                    <w:r>
                      <w:rPr>
                        <w:szCs w:val="21"/>
                      </w:rPr>
                      <w:t>至</w:t>
                    </w:r>
                    <w:r>
                      <w:rPr>
                        <w:rFonts w:hint="eastAsia"/>
                        <w:szCs w:val="21"/>
                      </w:rPr>
                      <w:t>5</w:t>
                    </w:r>
                    <w:r>
                      <w:rPr>
                        <w:szCs w:val="21"/>
                      </w:rPr>
                      <w:t>年</w:t>
                    </w:r>
                  </w:p>
                </w:tc>
              </w:sdtContent>
            </w:sdt>
            <w:tc>
              <w:tcPr>
                <w:tcW w:w="2016" w:type="pct"/>
                <w:shd w:val="clear" w:color="auto" w:fill="auto"/>
              </w:tcPr>
              <w:p w14:paraId="35677F2E" w14:textId="77777777" w:rsidR="00471D53" w:rsidRDefault="00B664AF">
                <w:pPr>
                  <w:jc w:val="right"/>
                  <w:rPr>
                    <w:szCs w:val="21"/>
                  </w:rPr>
                </w:pPr>
              </w:p>
            </w:tc>
          </w:tr>
          <w:tr w:rsidR="00471D53" w14:paraId="6405CD21" w14:textId="77777777" w:rsidTr="00A22501">
            <w:trPr>
              <w:jc w:val="center"/>
            </w:trPr>
            <w:sdt>
              <w:sdtPr>
                <w:tag w:val="_PLD_ba74cee717434a10956280b38ade6234"/>
                <w:id w:val="-1982994090"/>
                <w:lock w:val="sdtLocked"/>
              </w:sdtPr>
              <w:sdtEndPr/>
              <w:sdtContent>
                <w:tc>
                  <w:tcPr>
                    <w:tcW w:w="2984" w:type="pct"/>
                    <w:shd w:val="clear" w:color="auto" w:fill="auto"/>
                  </w:tcPr>
                  <w:p w14:paraId="78F4BF78" w14:textId="77777777" w:rsidR="00471D53" w:rsidRDefault="004F686E">
                    <w:pPr>
                      <w:rPr>
                        <w:szCs w:val="21"/>
                      </w:rPr>
                    </w:pPr>
                    <w:r>
                      <w:rPr>
                        <w:rFonts w:hint="eastAsia"/>
                        <w:szCs w:val="21"/>
                      </w:rPr>
                      <w:t>5</w:t>
                    </w:r>
                    <w:r>
                      <w:rPr>
                        <w:szCs w:val="21"/>
                      </w:rPr>
                      <w:t>年以上</w:t>
                    </w:r>
                  </w:p>
                </w:tc>
              </w:sdtContent>
            </w:sdt>
            <w:tc>
              <w:tcPr>
                <w:tcW w:w="2016" w:type="pct"/>
                <w:shd w:val="clear" w:color="auto" w:fill="auto"/>
              </w:tcPr>
              <w:p w14:paraId="4B890EB3" w14:textId="77777777" w:rsidR="00471D53" w:rsidRDefault="004F686E">
                <w:pPr>
                  <w:jc w:val="right"/>
                  <w:rPr>
                    <w:szCs w:val="21"/>
                  </w:rPr>
                </w:pPr>
                <w:r w:rsidRPr="001A23E1">
                  <w:rPr>
                    <w:sz w:val="22"/>
                    <w:szCs w:val="22"/>
                  </w:rPr>
                  <w:t>340,000,000.00</w:t>
                </w:r>
              </w:p>
            </w:tc>
          </w:tr>
          <w:sdt>
            <w:sdtPr>
              <w:rPr>
                <w:rFonts w:hint="eastAsia"/>
                <w:szCs w:val="21"/>
              </w:rPr>
              <w:alias w:val="按账龄分析法计提坏账准备的其他应收款明细"/>
              <w:tag w:val="_TUP_ab0660a380d2476f8d5fb3374184cc89"/>
              <w:id w:val="-75519324"/>
              <w:lock w:val="sdtLocked"/>
              <w:placeholder>
                <w:docPart w:val="GBC11111111111111111111111111111"/>
              </w:placeholder>
            </w:sdtPr>
            <w:sdtEndPr>
              <w:rPr>
                <w:rFonts w:hint="default"/>
              </w:rPr>
            </w:sdtEndPr>
            <w:sdtContent>
              <w:tr w:rsidR="00471D53" w14:paraId="135865B8" w14:textId="77777777" w:rsidTr="00A22501">
                <w:trPr>
                  <w:jc w:val="center"/>
                </w:trPr>
                <w:tc>
                  <w:tcPr>
                    <w:tcW w:w="2984" w:type="pct"/>
                    <w:shd w:val="clear" w:color="auto" w:fill="auto"/>
                  </w:tcPr>
                  <w:p w14:paraId="4D9B5E9A" w14:textId="77777777" w:rsidR="00471D53" w:rsidRDefault="00B664AF">
                    <w:pPr>
                      <w:rPr>
                        <w:szCs w:val="21"/>
                      </w:rPr>
                    </w:pPr>
                  </w:p>
                </w:tc>
                <w:tc>
                  <w:tcPr>
                    <w:tcW w:w="2016" w:type="pct"/>
                    <w:shd w:val="clear" w:color="auto" w:fill="auto"/>
                  </w:tcPr>
                  <w:p w14:paraId="5C891E33" w14:textId="77777777" w:rsidR="00471D53" w:rsidRDefault="00B664AF">
                    <w:pPr>
                      <w:jc w:val="right"/>
                      <w:rPr>
                        <w:szCs w:val="21"/>
                      </w:rPr>
                    </w:pPr>
                  </w:p>
                </w:tc>
              </w:tr>
            </w:sdtContent>
          </w:sdt>
          <w:sdt>
            <w:sdtPr>
              <w:rPr>
                <w:rFonts w:hint="eastAsia"/>
                <w:szCs w:val="21"/>
              </w:rPr>
              <w:alias w:val="按账龄分析法计提坏账准备的其他应收款明细"/>
              <w:tag w:val="_TUP_ab0660a380d2476f8d5fb3374184cc89"/>
              <w:id w:val="-1142192120"/>
              <w:lock w:val="sdtLocked"/>
              <w:placeholder>
                <w:docPart w:val="GBC11111111111111111111111111111"/>
              </w:placeholder>
            </w:sdtPr>
            <w:sdtEndPr>
              <w:rPr>
                <w:rFonts w:hint="default"/>
              </w:rPr>
            </w:sdtEndPr>
            <w:sdtContent>
              <w:tr w:rsidR="00471D53" w14:paraId="5CFA9C58" w14:textId="77777777" w:rsidTr="00A22501">
                <w:trPr>
                  <w:jc w:val="center"/>
                </w:trPr>
                <w:tc>
                  <w:tcPr>
                    <w:tcW w:w="2984" w:type="pct"/>
                    <w:shd w:val="clear" w:color="auto" w:fill="auto"/>
                  </w:tcPr>
                  <w:p w14:paraId="22284517" w14:textId="77777777" w:rsidR="00471D53" w:rsidRDefault="00B664AF">
                    <w:pPr>
                      <w:rPr>
                        <w:szCs w:val="21"/>
                      </w:rPr>
                    </w:pPr>
                  </w:p>
                </w:tc>
                <w:tc>
                  <w:tcPr>
                    <w:tcW w:w="2016" w:type="pct"/>
                    <w:shd w:val="clear" w:color="auto" w:fill="auto"/>
                  </w:tcPr>
                  <w:p w14:paraId="7DEF3614" w14:textId="77777777" w:rsidR="00471D53" w:rsidRDefault="00B664AF">
                    <w:pPr>
                      <w:jc w:val="right"/>
                      <w:rPr>
                        <w:szCs w:val="21"/>
                      </w:rPr>
                    </w:pPr>
                  </w:p>
                </w:tc>
              </w:tr>
            </w:sdtContent>
          </w:sdt>
          <w:tr w:rsidR="00471D53" w14:paraId="5F2BFE67" w14:textId="77777777" w:rsidTr="00A22501">
            <w:trPr>
              <w:jc w:val="center"/>
            </w:trPr>
            <w:sdt>
              <w:sdtPr>
                <w:tag w:val="_PLD_b07c72d6667b4b8198e844363dff5967"/>
                <w:id w:val="-177196997"/>
                <w:lock w:val="sdtLocked"/>
              </w:sdtPr>
              <w:sdtEndPr/>
              <w:sdtContent>
                <w:tc>
                  <w:tcPr>
                    <w:tcW w:w="2984" w:type="pct"/>
                    <w:shd w:val="clear" w:color="auto" w:fill="auto"/>
                    <w:vAlign w:val="center"/>
                  </w:tcPr>
                  <w:p w14:paraId="2A875BE7" w14:textId="77777777" w:rsidR="00471D53" w:rsidRDefault="004F686E">
                    <w:pPr>
                      <w:jc w:val="center"/>
                      <w:rPr>
                        <w:szCs w:val="21"/>
                      </w:rPr>
                    </w:pPr>
                    <w:r>
                      <w:rPr>
                        <w:szCs w:val="21"/>
                      </w:rPr>
                      <w:t>合计</w:t>
                    </w:r>
                  </w:p>
                </w:tc>
              </w:sdtContent>
            </w:sdt>
            <w:tc>
              <w:tcPr>
                <w:tcW w:w="2016" w:type="pct"/>
                <w:shd w:val="clear" w:color="auto" w:fill="auto"/>
              </w:tcPr>
              <w:p w14:paraId="195EA6A6" w14:textId="77777777" w:rsidR="00471D53" w:rsidRDefault="004F686E">
                <w:pPr>
                  <w:jc w:val="right"/>
                  <w:rPr>
                    <w:szCs w:val="21"/>
                  </w:rPr>
                </w:pPr>
                <w:r w:rsidRPr="001A23E1">
                  <w:rPr>
                    <w:sz w:val="22"/>
                    <w:szCs w:val="22"/>
                  </w:rPr>
                  <w:t>340,000,000.00</w:t>
                </w:r>
              </w:p>
            </w:tc>
          </w:tr>
        </w:tbl>
        <w:p w14:paraId="35CB95ED" w14:textId="77777777" w:rsidR="00471D53" w:rsidRDefault="00B664AF">
          <w:pPr>
            <w:rPr>
              <w:szCs w:val="21"/>
            </w:rPr>
          </w:pPr>
        </w:p>
      </w:sdtContent>
    </w:sdt>
    <w:bookmarkStart w:id="272" w:name="_Hlk10547648" w:displacedByCustomXml="next"/>
    <w:sdt>
      <w:sdtPr>
        <w:rPr>
          <w:rFonts w:ascii="宋体" w:hAnsi="宋体" w:cs="宋体" w:hint="eastAsia"/>
          <w:b w:val="0"/>
          <w:bCs w:val="0"/>
          <w:kern w:val="0"/>
          <w:szCs w:val="24"/>
        </w:rPr>
        <w:alias w:val="模块:其他应收款按款项性质分类情况"/>
        <w:tag w:val="_GBC_c9f7dc8489b74105a28800b5cfad23af"/>
        <w:id w:val="1108238763"/>
        <w:lock w:val="sdtLocked"/>
        <w:placeholder>
          <w:docPart w:val="GBC22222222222222222222222222222"/>
        </w:placeholder>
      </w:sdtPr>
      <w:sdtEndPr/>
      <w:sdtContent>
        <w:p w14:paraId="3C0079F0" w14:textId="77777777" w:rsidR="00471D53" w:rsidRDefault="004F686E" w:rsidP="004F686E">
          <w:pPr>
            <w:pStyle w:val="afffff8"/>
            <w:numPr>
              <w:ilvl w:val="3"/>
              <w:numId w:val="114"/>
            </w:numPr>
            <w:ind w:left="426" w:hanging="426"/>
            <w:rPr>
              <w:rFonts w:ascii="宋体" w:hAnsi="宋体"/>
            </w:rPr>
          </w:pPr>
          <w:r>
            <w:rPr>
              <w:rFonts w:ascii="宋体" w:hAnsi="宋体" w:hint="eastAsia"/>
            </w:rPr>
            <w:t>按款项性质分类</w:t>
          </w:r>
        </w:p>
        <w:sdt>
          <w:sdtPr>
            <w:alias w:val="是否适用：母公司其他应收款按款项性质分类情况[双击切换]"/>
            <w:tag w:val="_GBC_101fec10ac1f41f39330610cac041192"/>
            <w:id w:val="1916671760"/>
            <w:lock w:val="sdtLocked"/>
            <w:placeholder>
              <w:docPart w:val="GBC22222222222222222222222222222"/>
            </w:placeholder>
          </w:sdtPr>
          <w:sdtEndPr/>
          <w:sdtContent>
            <w:p w14:paraId="7952B16B"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04E49EC" w14:textId="4ED7939B" w:rsidR="00471D53" w:rsidRDefault="004F686E">
          <w:pPr>
            <w:jc w:val="right"/>
          </w:pPr>
          <w:r>
            <w:rPr>
              <w:rFonts w:hint="eastAsia"/>
            </w:rPr>
            <w:t>单位：</w:t>
          </w:r>
          <w:sdt>
            <w:sdtPr>
              <w:rPr>
                <w:rFonts w:hint="eastAsia"/>
              </w:rPr>
              <w:alias w:val="单位：财务附注：母公司其他应收款按款项性质分类情况"/>
              <w:tag w:val="_GBC_cdfadb9bdd864b32a99df11dec001a83"/>
              <w:id w:val="3105327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母公司其他应收款按款项性质分类情况"/>
              <w:tag w:val="_GBC_cac854cfb75144bc86635f44f78d6611"/>
              <w:id w:val="214292378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0"/>
            <w:gridCol w:w="2906"/>
            <w:gridCol w:w="2917"/>
          </w:tblGrid>
          <w:tr w:rsidR="00471D53" w14:paraId="488EA00D" w14:textId="77777777" w:rsidTr="00471D53">
            <w:sdt>
              <w:sdtPr>
                <w:tag w:val="_PLD_797d39f4d1fd488e93d36af61d0bebfd"/>
                <w:id w:val="1537463415"/>
                <w:lock w:val="sdtLocked"/>
              </w:sdtPr>
              <w:sdtEndPr/>
              <w:sdtContent>
                <w:tc>
                  <w:tcPr>
                    <w:tcW w:w="1700" w:type="pct"/>
                    <w:shd w:val="clear" w:color="auto" w:fill="auto"/>
                    <w:vAlign w:val="center"/>
                  </w:tcPr>
                  <w:p w14:paraId="5B4E5F7C" w14:textId="77777777" w:rsidR="00471D53" w:rsidRDefault="004F686E" w:rsidP="00471D53">
                    <w:pPr>
                      <w:jc w:val="center"/>
                    </w:pPr>
                    <w:r>
                      <w:rPr>
                        <w:rFonts w:hint="eastAsia"/>
                      </w:rPr>
                      <w:t>款项性质</w:t>
                    </w:r>
                  </w:p>
                </w:tc>
              </w:sdtContent>
            </w:sdt>
            <w:sdt>
              <w:sdtPr>
                <w:tag w:val="_PLD_7853db088d0a4b218482e741ebbac8e0"/>
                <w:id w:val="938957582"/>
                <w:lock w:val="sdtLocked"/>
              </w:sdtPr>
              <w:sdtEndPr/>
              <w:sdtContent>
                <w:tc>
                  <w:tcPr>
                    <w:tcW w:w="1647" w:type="pct"/>
                    <w:shd w:val="clear" w:color="auto" w:fill="auto"/>
                    <w:vAlign w:val="center"/>
                  </w:tcPr>
                  <w:p w14:paraId="75D71F62" w14:textId="77777777" w:rsidR="00471D53" w:rsidRDefault="004F686E" w:rsidP="00471D53">
                    <w:pPr>
                      <w:jc w:val="center"/>
                    </w:pPr>
                    <w:r>
                      <w:rPr>
                        <w:rFonts w:hint="eastAsia"/>
                      </w:rPr>
                      <w:t>期末账面余额</w:t>
                    </w:r>
                  </w:p>
                </w:tc>
              </w:sdtContent>
            </w:sdt>
            <w:sdt>
              <w:sdtPr>
                <w:tag w:val="_PLD_56ab744bffee4ad28664bdf9e16551e2"/>
                <w:id w:val="162593493"/>
                <w:lock w:val="sdtLocked"/>
              </w:sdtPr>
              <w:sdtEndPr/>
              <w:sdtContent>
                <w:tc>
                  <w:tcPr>
                    <w:tcW w:w="1653" w:type="pct"/>
                    <w:shd w:val="clear" w:color="auto" w:fill="auto"/>
                    <w:vAlign w:val="center"/>
                  </w:tcPr>
                  <w:p w14:paraId="20A03AB8" w14:textId="77777777" w:rsidR="00471D53" w:rsidRDefault="004F686E" w:rsidP="00471D53">
                    <w:pPr>
                      <w:jc w:val="center"/>
                    </w:pPr>
                    <w:r>
                      <w:rPr>
                        <w:rFonts w:hint="eastAsia"/>
                      </w:rPr>
                      <w:t>期初账面余额</w:t>
                    </w:r>
                  </w:p>
                </w:tc>
              </w:sdtContent>
            </w:sdt>
          </w:tr>
          <w:sdt>
            <w:sdtPr>
              <w:rPr>
                <w:rFonts w:hint="eastAsia"/>
              </w:rPr>
              <w:alias w:val="其他应收款按款项性质分类情况明细"/>
              <w:tag w:val="_GBC_2dbe9c87fcc94933b5e1adb6fa3a30df"/>
              <w:id w:val="818698361"/>
              <w:lock w:val="sdtLocked"/>
            </w:sdtPr>
            <w:sdtEndPr/>
            <w:sdtContent>
              <w:tr w:rsidR="00471D53" w14:paraId="5BA2F9FD" w14:textId="77777777" w:rsidTr="00471D53">
                <w:tc>
                  <w:tcPr>
                    <w:tcW w:w="1700" w:type="pct"/>
                    <w:shd w:val="clear" w:color="auto" w:fill="auto"/>
                  </w:tcPr>
                  <w:p w14:paraId="229EE67F" w14:textId="77777777" w:rsidR="00471D53" w:rsidRDefault="004F686E" w:rsidP="00471D53">
                    <w:pPr>
                      <w:rPr>
                        <w:highlight w:val="yellow"/>
                      </w:rPr>
                    </w:pPr>
                    <w:r>
                      <w:t>关联借款</w:t>
                    </w:r>
                  </w:p>
                </w:tc>
                <w:tc>
                  <w:tcPr>
                    <w:tcW w:w="1647" w:type="pct"/>
                    <w:shd w:val="clear" w:color="auto" w:fill="auto"/>
                  </w:tcPr>
                  <w:p w14:paraId="44FD4C76" w14:textId="77777777" w:rsidR="00471D53" w:rsidRDefault="004F686E" w:rsidP="00471D53">
                    <w:pPr>
                      <w:jc w:val="right"/>
                    </w:pPr>
                    <w:r>
                      <w:t>340,000,000.00</w:t>
                    </w:r>
                  </w:p>
                </w:tc>
                <w:tc>
                  <w:tcPr>
                    <w:tcW w:w="1653" w:type="pct"/>
                    <w:shd w:val="clear" w:color="auto" w:fill="auto"/>
                  </w:tcPr>
                  <w:p w14:paraId="446B18CB" w14:textId="77777777" w:rsidR="00471D53" w:rsidRDefault="004F686E" w:rsidP="00471D53">
                    <w:pPr>
                      <w:jc w:val="right"/>
                    </w:pPr>
                    <w:r>
                      <w:t>340,000,000.00</w:t>
                    </w:r>
                  </w:p>
                </w:tc>
              </w:tr>
            </w:sdtContent>
          </w:sdt>
          <w:sdt>
            <w:sdtPr>
              <w:rPr>
                <w:rFonts w:hint="eastAsia"/>
              </w:rPr>
              <w:alias w:val="其他应收款按款项性质分类情况明细"/>
              <w:tag w:val="_GBC_2dbe9c87fcc94933b5e1adb6fa3a30df"/>
              <w:id w:val="-2098310692"/>
              <w:lock w:val="sdtLocked"/>
            </w:sdtPr>
            <w:sdtEndPr/>
            <w:sdtContent>
              <w:tr w:rsidR="00471D53" w14:paraId="3FD1A47B" w14:textId="77777777" w:rsidTr="00471D53">
                <w:tc>
                  <w:tcPr>
                    <w:tcW w:w="1700" w:type="pct"/>
                    <w:shd w:val="clear" w:color="auto" w:fill="auto"/>
                  </w:tcPr>
                  <w:p w14:paraId="62CC55CC" w14:textId="77777777" w:rsidR="00471D53" w:rsidRDefault="004F686E" w:rsidP="00471D53">
                    <w:pPr>
                      <w:rPr>
                        <w:highlight w:val="yellow"/>
                      </w:rPr>
                    </w:pPr>
                    <w:r>
                      <w:t>关联往来</w:t>
                    </w:r>
                  </w:p>
                </w:tc>
                <w:tc>
                  <w:tcPr>
                    <w:tcW w:w="1647" w:type="pct"/>
                    <w:shd w:val="clear" w:color="auto" w:fill="auto"/>
                  </w:tcPr>
                  <w:p w14:paraId="54044E72" w14:textId="77777777" w:rsidR="00471D53" w:rsidRDefault="004F686E" w:rsidP="00471D53">
                    <w:pPr>
                      <w:jc w:val="right"/>
                    </w:pPr>
                    <w:r>
                      <w:t>0.00</w:t>
                    </w:r>
                  </w:p>
                </w:tc>
                <w:tc>
                  <w:tcPr>
                    <w:tcW w:w="1653" w:type="pct"/>
                    <w:shd w:val="clear" w:color="auto" w:fill="auto"/>
                  </w:tcPr>
                  <w:p w14:paraId="4442555D" w14:textId="77777777" w:rsidR="00471D53" w:rsidRDefault="004F686E" w:rsidP="00471D53">
                    <w:pPr>
                      <w:jc w:val="right"/>
                    </w:pPr>
                    <w:r>
                      <w:t>6,000,000.00</w:t>
                    </w:r>
                  </w:p>
                </w:tc>
              </w:tr>
            </w:sdtContent>
          </w:sdt>
          <w:tr w:rsidR="00471D53" w14:paraId="6008C7E7" w14:textId="77777777" w:rsidTr="00471D53">
            <w:sdt>
              <w:sdtPr>
                <w:tag w:val="_PLD_2c3163c0b1c149f7a6fc1dfe5449335d"/>
                <w:id w:val="-1146581435"/>
                <w:lock w:val="sdtLocked"/>
              </w:sdtPr>
              <w:sdtEndPr/>
              <w:sdtContent>
                <w:tc>
                  <w:tcPr>
                    <w:tcW w:w="1700" w:type="pct"/>
                    <w:shd w:val="clear" w:color="auto" w:fill="auto"/>
                  </w:tcPr>
                  <w:p w14:paraId="7600E018" w14:textId="77777777" w:rsidR="00471D53" w:rsidRDefault="004F686E" w:rsidP="00471D53">
                    <w:pPr>
                      <w:jc w:val="center"/>
                    </w:pPr>
                    <w:r>
                      <w:t>合计</w:t>
                    </w:r>
                  </w:p>
                </w:tc>
              </w:sdtContent>
            </w:sdt>
            <w:tc>
              <w:tcPr>
                <w:tcW w:w="1647" w:type="pct"/>
                <w:shd w:val="clear" w:color="auto" w:fill="auto"/>
                <w:vAlign w:val="center"/>
              </w:tcPr>
              <w:p w14:paraId="7A6C0513" w14:textId="77777777" w:rsidR="00471D53" w:rsidRPr="00AC6431" w:rsidRDefault="004F686E" w:rsidP="00471D53">
                <w:pPr>
                  <w:snapToGrid w:val="0"/>
                  <w:jc w:val="right"/>
                  <w:rPr>
                    <w:sz w:val="22"/>
                    <w:szCs w:val="22"/>
                  </w:rPr>
                </w:pPr>
                <w:r w:rsidRPr="00AC6431">
                  <w:rPr>
                    <w:sz w:val="22"/>
                    <w:szCs w:val="22"/>
                  </w:rPr>
                  <w:t>340,000,000.00</w:t>
                </w:r>
              </w:p>
            </w:tc>
            <w:tc>
              <w:tcPr>
                <w:tcW w:w="1653" w:type="pct"/>
                <w:shd w:val="clear" w:color="auto" w:fill="auto"/>
                <w:vAlign w:val="center"/>
              </w:tcPr>
              <w:p w14:paraId="1D0B92BB" w14:textId="77777777" w:rsidR="00471D53" w:rsidRPr="00AC6431" w:rsidRDefault="004F686E" w:rsidP="00471D53">
                <w:pPr>
                  <w:snapToGrid w:val="0"/>
                  <w:jc w:val="right"/>
                  <w:rPr>
                    <w:sz w:val="22"/>
                    <w:szCs w:val="22"/>
                  </w:rPr>
                </w:pPr>
                <w:r w:rsidRPr="00AC6431">
                  <w:rPr>
                    <w:sz w:val="22"/>
                    <w:szCs w:val="22"/>
                  </w:rPr>
                  <w:t>346,000,000.00</w:t>
                </w:r>
              </w:p>
            </w:tc>
          </w:tr>
        </w:tbl>
        <w:p w14:paraId="4BE9DD0E" w14:textId="77777777" w:rsidR="00471D53" w:rsidRDefault="00B664AF"/>
        <w:p w14:paraId="65D250C1" w14:textId="77777777" w:rsidR="00471D53" w:rsidRDefault="00B664AF"/>
      </w:sdtContent>
    </w:sdt>
    <w:bookmarkEnd w:id="272" w:displacedByCustomXml="next"/>
    <w:bookmarkStart w:id="273" w:name="_Hlk10547765" w:displacedByCustomXml="next"/>
    <w:sdt>
      <w:sdtPr>
        <w:rPr>
          <w:rFonts w:ascii="宋体" w:hAnsi="宋体" w:cs="宋体" w:hint="eastAsia"/>
          <w:b w:val="0"/>
          <w:bCs w:val="0"/>
          <w:kern w:val="0"/>
          <w:szCs w:val="21"/>
        </w:rPr>
        <w:alias w:val="模块:坏账准备计提情况"/>
        <w:tag w:val="_SEC_15d9e20371d54bec9233b27dd50b301d"/>
        <w:id w:val="-1910840863"/>
        <w:lock w:val="sdtLocked"/>
        <w:placeholder>
          <w:docPart w:val="GBC22222222222222222222222222222"/>
        </w:placeholder>
      </w:sdtPr>
      <w:sdtEndPr/>
      <w:sdtContent>
        <w:p w14:paraId="274FA79A" w14:textId="77777777" w:rsidR="00471D53" w:rsidRDefault="004F686E" w:rsidP="004F686E">
          <w:pPr>
            <w:pStyle w:val="afffff8"/>
            <w:numPr>
              <w:ilvl w:val="3"/>
              <w:numId w:val="114"/>
            </w:numPr>
            <w:ind w:left="426" w:hanging="426"/>
            <w:rPr>
              <w:rFonts w:ascii="宋体" w:hAnsi="宋体"/>
              <w:szCs w:val="21"/>
            </w:rPr>
          </w:pPr>
          <w:r>
            <w:rPr>
              <w:rFonts w:ascii="宋体" w:hAnsi="宋体" w:hint="eastAsia"/>
              <w:szCs w:val="21"/>
            </w:rPr>
            <w:t>坏账准备计提情况</w:t>
          </w:r>
        </w:p>
        <w:sdt>
          <w:sdtPr>
            <w:alias w:val="是否适用：母公司其他应收款坏账准备调节表[双击切换]"/>
            <w:tag w:val="_GBC_550996ad46c8493eb98c011d7acf7dfb"/>
            <w:id w:val="598838574"/>
            <w:lock w:val="sdtLocked"/>
            <w:placeholder>
              <w:docPart w:val="GBC22222222222222222222222222222"/>
            </w:placeholder>
          </w:sdtPr>
          <w:sdtEndPr/>
          <w:sdtContent>
            <w:p w14:paraId="35DD76C5"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3330379" w14:textId="77777777" w:rsidR="00471D53" w:rsidRDefault="00B664AF"/>
        <w:p w14:paraId="5718F845" w14:textId="77777777" w:rsidR="00471D53" w:rsidRDefault="00B664AF">
          <w:pPr>
            <w:rPr>
              <w:szCs w:val="21"/>
            </w:rPr>
          </w:pPr>
        </w:p>
      </w:sdtContent>
    </w:sdt>
    <w:bookmarkEnd w:id="273" w:displacedByCustomXml="prev"/>
    <w:bookmarkStart w:id="274" w:name="_Hlk10548122" w:displacedByCustomXml="next"/>
    <w:sdt>
      <w:sdtPr>
        <w:rPr>
          <w:rFonts w:ascii="宋体" w:hAnsi="宋体" w:cs="宋体" w:hint="eastAsia"/>
          <w:b w:val="0"/>
          <w:bCs w:val="0"/>
          <w:kern w:val="0"/>
          <w:szCs w:val="21"/>
        </w:rPr>
        <w:alias w:val="模块:坏账准备的情况"/>
        <w:tag w:val="_SEC_7efe43f77bc44437a16fe9cc44dc64d6"/>
        <w:id w:val="1294874937"/>
        <w:lock w:val="sdtLocked"/>
        <w:placeholder>
          <w:docPart w:val="GBC22222222222222222222222222222"/>
        </w:placeholder>
      </w:sdtPr>
      <w:sdtEndPr>
        <w:rPr>
          <w:rFonts w:hint="default"/>
        </w:rPr>
      </w:sdtEndPr>
      <w:sdtContent>
        <w:p w14:paraId="22698A41" w14:textId="77777777" w:rsidR="00471D53" w:rsidRDefault="004F686E" w:rsidP="004F686E">
          <w:pPr>
            <w:pStyle w:val="afffff8"/>
            <w:numPr>
              <w:ilvl w:val="3"/>
              <w:numId w:val="114"/>
            </w:numPr>
            <w:ind w:left="426" w:hanging="426"/>
            <w:rPr>
              <w:rFonts w:ascii="宋体" w:hAnsi="宋体"/>
              <w:szCs w:val="21"/>
            </w:rPr>
          </w:pPr>
          <w:r>
            <w:rPr>
              <w:rFonts w:ascii="宋体" w:hAnsi="宋体" w:hint="eastAsia"/>
              <w:szCs w:val="21"/>
            </w:rPr>
            <w:t>坏账准备的情况</w:t>
          </w:r>
        </w:p>
        <w:sdt>
          <w:sdtPr>
            <w:alias w:val="是否适用：其他应收款坏账准备[双击切换]"/>
            <w:tag w:val="_GBC_746f45a984d44f56a795e5587d8e7cf2"/>
            <w:id w:val="-464046546"/>
            <w:lock w:val="sdtLocked"/>
            <w:placeholder>
              <w:docPart w:val="GBC22222222222222222222222222222"/>
            </w:placeholder>
          </w:sdtPr>
          <w:sdtEndPr/>
          <w:sdtContent>
            <w:p w14:paraId="45E9A6CC"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2027860" w14:textId="77777777" w:rsidR="00471D53" w:rsidRDefault="004F686E">
          <w:r>
            <w:rPr>
              <w:rFonts w:hint="eastAsia"/>
            </w:rPr>
            <w:t>其中本期坏账准备转回或收回金额重要的：</w:t>
          </w:r>
        </w:p>
        <w:sdt>
          <w:sdtPr>
            <w:alias w:val="是否适用：其中本期其他应收账款坏账准备收回或转回金额重要的[双击切换]"/>
            <w:tag w:val="_GBC_4d2439aebd644da7889b9f279d8a4ec0"/>
            <w:id w:val="-1017393023"/>
            <w:lock w:val="sdtLocked"/>
            <w:placeholder>
              <w:docPart w:val="GBC22222222222222222222222222222"/>
            </w:placeholder>
          </w:sdtPr>
          <w:sdtEndPr/>
          <w:sdtContent>
            <w:p w14:paraId="13D0E786" w14:textId="77777777" w:rsidR="00471D53" w:rsidRDefault="004F686E" w:rsidP="00471D53">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274" w:displacedByCustomXml="prev"/>
    <w:p w14:paraId="198FBFD1" w14:textId="77777777" w:rsidR="00471D53" w:rsidRDefault="00B664AF" w:rsidP="00471D53">
      <w:pPr>
        <w:ind w:rightChars="-759" w:right="-1594"/>
        <w:rPr>
          <w:szCs w:val="21"/>
        </w:rPr>
      </w:pPr>
    </w:p>
    <w:sdt>
      <w:sdtPr>
        <w:rPr>
          <w:rFonts w:ascii="宋体" w:hAnsi="宋体" w:cs="宋体" w:hint="eastAsia"/>
          <w:b w:val="0"/>
          <w:bCs w:val="0"/>
          <w:kern w:val="0"/>
          <w:szCs w:val="24"/>
        </w:rPr>
        <w:alias w:val="模块:本期实际核销的其他应收款情况"/>
        <w:tag w:val="_SEC_ffe6c87a4f4a49bd9769cbeb746b444b"/>
        <w:id w:val="1865484641"/>
        <w:lock w:val="sdtLocked"/>
        <w:placeholder>
          <w:docPart w:val="GBC22222222222222222222222222222"/>
        </w:placeholder>
      </w:sdtPr>
      <w:sdtEndPr>
        <w:rPr>
          <w:rFonts w:hint="default"/>
          <w:szCs w:val="21"/>
        </w:rPr>
      </w:sdtEndPr>
      <w:sdtContent>
        <w:p w14:paraId="3ABE65DB" w14:textId="77777777" w:rsidR="00471D53" w:rsidRDefault="004F686E" w:rsidP="004F686E">
          <w:pPr>
            <w:pStyle w:val="afffff8"/>
            <w:numPr>
              <w:ilvl w:val="3"/>
              <w:numId w:val="114"/>
            </w:numPr>
            <w:ind w:left="426" w:hanging="426"/>
            <w:rPr>
              <w:rFonts w:ascii="宋体" w:hAnsi="宋体"/>
            </w:rPr>
          </w:pPr>
          <w:r>
            <w:rPr>
              <w:rFonts w:ascii="宋体" w:hAnsi="宋体" w:hint="eastAsia"/>
            </w:rPr>
            <w:t>本期实际核销的其他应收款情况</w:t>
          </w:r>
        </w:p>
        <w:sdt>
          <w:sdtPr>
            <w:alias w:val="是否适用：母公司本期实际核销的其他应收款情况[双击切换]"/>
            <w:tag w:val="_GBC_dd1095756d2b471688ce5b700380fafc"/>
            <w:id w:val="-2078577024"/>
            <w:lock w:val="sdtLocked"/>
            <w:placeholder>
              <w:docPart w:val="GBC22222222222222222222222222222"/>
            </w:placeholder>
          </w:sdtPr>
          <w:sdtEndPr/>
          <w:sdtContent>
            <w:p w14:paraId="35564D7D" w14:textId="77777777" w:rsidR="00471D53" w:rsidRDefault="004F686E" w:rsidP="00471D53">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8CC613E" w14:textId="77777777" w:rsidR="00471D53" w:rsidRDefault="00B664AF">
          <w:pPr>
            <w:jc w:val="right"/>
            <w:rPr>
              <w:szCs w:val="21"/>
            </w:rPr>
          </w:pPr>
        </w:p>
      </w:sdtContent>
    </w:sdt>
    <w:p w14:paraId="28318F79" w14:textId="77777777" w:rsidR="00471D53" w:rsidRDefault="00B664AF">
      <w:pPr>
        <w:snapToGrid w:val="0"/>
        <w:spacing w:line="240" w:lineRule="atLeast"/>
        <w:rPr>
          <w:szCs w:val="21"/>
        </w:rPr>
      </w:pPr>
    </w:p>
    <w:sdt>
      <w:sdtPr>
        <w:rPr>
          <w:rFonts w:hint="eastAsia"/>
          <w:szCs w:val="21"/>
        </w:rPr>
        <w:alias w:val="模块:其他应收款核销说明：  "/>
        <w:tag w:val="_SEC_6c44e00a54d34fb1a03f38b7cf5b8a5d"/>
        <w:id w:val="905801448"/>
        <w:lock w:val="sdtLocked"/>
        <w:placeholder>
          <w:docPart w:val="GBC22222222222222222222222222222"/>
        </w:placeholder>
      </w:sdtPr>
      <w:sdtEndPr>
        <w:rPr>
          <w:rFonts w:hint="default"/>
        </w:rPr>
      </w:sdtEndPr>
      <w:sdtContent>
        <w:p w14:paraId="1059D014" w14:textId="77777777" w:rsidR="00471D53" w:rsidRDefault="004F686E">
          <w:pPr>
            <w:snapToGrid w:val="0"/>
            <w:spacing w:line="240" w:lineRule="atLeast"/>
            <w:rPr>
              <w:szCs w:val="21"/>
            </w:rPr>
          </w:pPr>
          <w:r>
            <w:rPr>
              <w:rFonts w:hint="eastAsia"/>
              <w:szCs w:val="21"/>
            </w:rPr>
            <w:t>其他应收款核销说明：</w:t>
          </w:r>
        </w:p>
        <w:sdt>
          <w:sdtPr>
            <w:rPr>
              <w:bCs/>
              <w:szCs w:val="21"/>
            </w:rPr>
            <w:alias w:val="是否适用：母公司其他应收款核销说明[双击切换]"/>
            <w:tag w:val="_GBC_7e98a555990349648a39fba0c7228ab7"/>
            <w:id w:val="190813178"/>
            <w:lock w:val="sdtLocked"/>
            <w:placeholder>
              <w:docPart w:val="GBC22222222222222222222222222222"/>
            </w:placeholder>
          </w:sdtPr>
          <w:sdtEndPr/>
          <w:sdtContent>
            <w:p w14:paraId="60904ECE" w14:textId="77777777" w:rsidR="00471D53" w:rsidRDefault="004F686E" w:rsidP="00471D53">
              <w:pPr>
                <w:snapToGrid w:val="0"/>
                <w:spacing w:line="240" w:lineRule="atLeast"/>
                <w:rPr>
                  <w:szCs w:val="21"/>
                </w:rPr>
              </w:pPr>
              <w:r>
                <w:rPr>
                  <w:bCs/>
                  <w:szCs w:val="21"/>
                </w:rPr>
                <w:fldChar w:fldCharType="begin"/>
              </w:r>
              <w:r>
                <w:rPr>
                  <w:bCs/>
                  <w:szCs w:val="21"/>
                </w:rPr>
                <w:instrText xml:space="preserve"> MACROBUTTON  SnrToggleCheckbox □适用 </w:instrText>
              </w:r>
              <w:r>
                <w:rPr>
                  <w:bCs/>
                  <w:szCs w:val="21"/>
                </w:rPr>
                <w:fldChar w:fldCharType="end"/>
              </w:r>
              <w:r>
                <w:rPr>
                  <w:bCs/>
                  <w:szCs w:val="21"/>
                </w:rPr>
                <w:fldChar w:fldCharType="begin"/>
              </w:r>
              <w:r>
                <w:rPr>
                  <w:bCs/>
                  <w:szCs w:val="21"/>
                </w:rPr>
                <w:instrText xml:space="preserve"> MACROBUTTON  SnrToggleCheckbox √不适用 </w:instrText>
              </w:r>
              <w:r>
                <w:rPr>
                  <w:bCs/>
                  <w:szCs w:val="21"/>
                </w:rPr>
                <w:fldChar w:fldCharType="end"/>
              </w:r>
            </w:p>
          </w:sdtContent>
        </w:sdt>
      </w:sdtContent>
    </w:sdt>
    <w:p w14:paraId="57615AD7" w14:textId="77777777" w:rsidR="00471D53" w:rsidRDefault="00B664AF"/>
    <w:sdt>
      <w:sdtPr>
        <w:rPr>
          <w:rFonts w:ascii="宋体" w:hAnsi="宋体" w:cs="宋体" w:hint="eastAsia"/>
          <w:b w:val="0"/>
          <w:bCs w:val="0"/>
          <w:kern w:val="0"/>
          <w:szCs w:val="24"/>
        </w:rPr>
        <w:alias w:val="模块:按欠款方归集的期末余额前五名的其他应收款情况"/>
        <w:tag w:val="_GBC_c77f7efeabc1402191807946a9bfe714"/>
        <w:id w:val="-1247883847"/>
        <w:lock w:val="sdtLocked"/>
        <w:placeholder>
          <w:docPart w:val="GBC22222222222222222222222222222"/>
        </w:placeholder>
      </w:sdtPr>
      <w:sdtEndPr/>
      <w:sdtContent>
        <w:p w14:paraId="4CE6C5AB" w14:textId="77777777" w:rsidR="00471D53" w:rsidRDefault="004F686E" w:rsidP="004F686E">
          <w:pPr>
            <w:pStyle w:val="afffff8"/>
            <w:numPr>
              <w:ilvl w:val="3"/>
              <w:numId w:val="114"/>
            </w:numPr>
            <w:ind w:left="426" w:hanging="426"/>
            <w:rPr>
              <w:rFonts w:ascii="宋体" w:hAnsi="宋体"/>
            </w:rPr>
          </w:pPr>
          <w:r>
            <w:rPr>
              <w:rFonts w:ascii="宋体" w:hAnsi="宋体" w:hint="eastAsia"/>
            </w:rPr>
            <w:t>按欠款方归集的期末余额前五名的其他应收款情况</w:t>
          </w:r>
        </w:p>
        <w:sdt>
          <w:sdtPr>
            <w:alias w:val="是否适用：母公司按欠款方归集的期末余额前五名的其他应收款情况[双击切换]"/>
            <w:tag w:val="_GBC_c31bd7806af645a4b98780e353753bee"/>
            <w:id w:val="185566281"/>
            <w:lock w:val="sdtLocked"/>
            <w:placeholder>
              <w:docPart w:val="GBC22222222222222222222222222222"/>
            </w:placeholder>
          </w:sdtPr>
          <w:sdtEndPr/>
          <w:sdtContent>
            <w:p w14:paraId="4C3A099C"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143FEC2" w14:textId="6A175001" w:rsidR="00471D53" w:rsidRDefault="004F686E">
          <w:pPr>
            <w:jc w:val="right"/>
          </w:pPr>
          <w:r>
            <w:rPr>
              <w:rFonts w:hint="eastAsia"/>
            </w:rPr>
            <w:t>单位：</w:t>
          </w:r>
          <w:sdt>
            <w:sdtPr>
              <w:rPr>
                <w:rFonts w:hint="eastAsia"/>
              </w:rPr>
              <w:alias w:val="单位：母公司财务附注：其他应收账款前五名欠款情况"/>
              <w:tag w:val="_GBC_5eaec4085c10422f90a7a09ee515d922"/>
              <w:id w:val="8943991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母公司财务附注：其他应收账款前五名欠款情况"/>
              <w:tag w:val="_GBC_76fb156b47fb495eb1748f1f6ffdfc64"/>
              <w:id w:val="13011147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1447"/>
            <w:gridCol w:w="1266"/>
            <w:gridCol w:w="1605"/>
            <w:gridCol w:w="1241"/>
            <w:gridCol w:w="1672"/>
            <w:gridCol w:w="1586"/>
          </w:tblGrid>
          <w:tr w:rsidR="00471D53" w14:paraId="4E3480D9" w14:textId="77777777" w:rsidTr="00471D53">
            <w:trPr>
              <w:cantSplit/>
            </w:trPr>
            <w:sdt>
              <w:sdtPr>
                <w:tag w:val="_PLD_1bf4103fa73c4527ab273af4182bdac9"/>
                <w:id w:val="-591009169"/>
                <w:lock w:val="sdtLocked"/>
              </w:sdtPr>
              <w:sdtEndPr/>
              <w:sdtContent>
                <w:tc>
                  <w:tcPr>
                    <w:tcW w:w="865" w:type="pct"/>
                    <w:tcBorders>
                      <w:top w:val="single" w:sz="6" w:space="0" w:color="auto"/>
                      <w:left w:val="single" w:sz="6" w:space="0" w:color="auto"/>
                      <w:bottom w:val="single" w:sz="6" w:space="0" w:color="auto"/>
                      <w:right w:val="single" w:sz="6" w:space="0" w:color="auto"/>
                    </w:tcBorders>
                    <w:vAlign w:val="center"/>
                  </w:tcPr>
                  <w:p w14:paraId="5A02FEED" w14:textId="77777777" w:rsidR="00471D53" w:rsidRDefault="004F686E" w:rsidP="00471D53">
                    <w:pPr>
                      <w:ind w:right="105"/>
                      <w:jc w:val="center"/>
                      <w:rPr>
                        <w:szCs w:val="21"/>
                      </w:rPr>
                    </w:pPr>
                    <w:r>
                      <w:rPr>
                        <w:rFonts w:hint="eastAsia"/>
                        <w:szCs w:val="21"/>
                      </w:rPr>
                      <w:t>单位名称</w:t>
                    </w:r>
                  </w:p>
                </w:tc>
              </w:sdtContent>
            </w:sdt>
            <w:sdt>
              <w:sdtPr>
                <w:tag w:val="_PLD_13e90710aaf8432b8989b8a8d1ceae0c"/>
                <w:id w:val="560535627"/>
                <w:lock w:val="sdtLocked"/>
              </w:sdtPr>
              <w:sdtEndPr/>
              <w:sdtContent>
                <w:tc>
                  <w:tcPr>
                    <w:tcW w:w="762" w:type="pct"/>
                    <w:tcBorders>
                      <w:top w:val="single" w:sz="6" w:space="0" w:color="auto"/>
                      <w:left w:val="single" w:sz="6" w:space="0" w:color="auto"/>
                      <w:bottom w:val="single" w:sz="6" w:space="0" w:color="auto"/>
                      <w:right w:val="single" w:sz="6" w:space="0" w:color="auto"/>
                    </w:tcBorders>
                    <w:vAlign w:val="center"/>
                  </w:tcPr>
                  <w:p w14:paraId="3A189D05" w14:textId="77777777" w:rsidR="00471D53" w:rsidRDefault="004F686E" w:rsidP="00471D53">
                    <w:pPr>
                      <w:ind w:right="73"/>
                      <w:jc w:val="center"/>
                      <w:rPr>
                        <w:szCs w:val="21"/>
                      </w:rPr>
                    </w:pPr>
                    <w:r>
                      <w:rPr>
                        <w:rFonts w:hint="eastAsia"/>
                        <w:szCs w:val="21"/>
                      </w:rPr>
                      <w:t>款项的性质</w:t>
                    </w:r>
                  </w:p>
                </w:tc>
              </w:sdtContent>
            </w:sdt>
            <w:sdt>
              <w:sdtPr>
                <w:tag w:val="_PLD_2272ceae47e74a6489bfeb2c73aa1f4a"/>
                <w:id w:val="1108698820"/>
                <w:lock w:val="sdtLocked"/>
              </w:sdtPr>
              <w:sdtEndPr/>
              <w:sdtContent>
                <w:tc>
                  <w:tcPr>
                    <w:tcW w:w="690" w:type="pct"/>
                    <w:tcBorders>
                      <w:top w:val="single" w:sz="6" w:space="0" w:color="auto"/>
                      <w:left w:val="single" w:sz="6" w:space="0" w:color="auto"/>
                      <w:bottom w:val="single" w:sz="6" w:space="0" w:color="auto"/>
                      <w:right w:val="single" w:sz="6" w:space="0" w:color="auto"/>
                    </w:tcBorders>
                    <w:vAlign w:val="center"/>
                  </w:tcPr>
                  <w:p w14:paraId="0FDE313E" w14:textId="77777777" w:rsidR="00471D53" w:rsidRDefault="004F686E" w:rsidP="00471D53">
                    <w:pPr>
                      <w:ind w:right="73"/>
                      <w:jc w:val="center"/>
                      <w:rPr>
                        <w:szCs w:val="21"/>
                      </w:rPr>
                    </w:pPr>
                    <w:r>
                      <w:rPr>
                        <w:rFonts w:hint="eastAsia"/>
                        <w:szCs w:val="21"/>
                      </w:rPr>
                      <w:t>期末余额</w:t>
                    </w:r>
                  </w:p>
                </w:tc>
              </w:sdtContent>
            </w:sdt>
            <w:sdt>
              <w:sdtPr>
                <w:tag w:val="_PLD_fcefa3ecef954c579974ef8beaeadf3a"/>
                <w:id w:val="-1287115939"/>
                <w:lock w:val="sdtLocked"/>
              </w:sdtPr>
              <w:sdtEndPr/>
              <w:sdtContent>
                <w:tc>
                  <w:tcPr>
                    <w:tcW w:w="748" w:type="pct"/>
                    <w:tcBorders>
                      <w:top w:val="single" w:sz="6" w:space="0" w:color="auto"/>
                      <w:left w:val="single" w:sz="6" w:space="0" w:color="auto"/>
                      <w:bottom w:val="single" w:sz="6" w:space="0" w:color="auto"/>
                      <w:right w:val="single" w:sz="6" w:space="0" w:color="auto"/>
                    </w:tcBorders>
                    <w:vAlign w:val="center"/>
                  </w:tcPr>
                  <w:p w14:paraId="4A46AB2D" w14:textId="77777777" w:rsidR="00471D53" w:rsidRDefault="004F686E" w:rsidP="00471D53">
                    <w:pPr>
                      <w:ind w:right="73"/>
                      <w:jc w:val="center"/>
                      <w:rPr>
                        <w:szCs w:val="21"/>
                      </w:rPr>
                    </w:pPr>
                    <w:r>
                      <w:rPr>
                        <w:rFonts w:hint="eastAsia"/>
                        <w:szCs w:val="21"/>
                      </w:rPr>
                      <w:t>账龄</w:t>
                    </w:r>
                  </w:p>
                </w:tc>
              </w:sdtContent>
            </w:sdt>
            <w:sdt>
              <w:sdtPr>
                <w:tag w:val="_PLD_13e1362304be4663873f1e8f72848948"/>
                <w:id w:val="-328607899"/>
                <w:lock w:val="sdtLocked"/>
              </w:sdtPr>
              <w:sdtEndPr/>
              <w:sdtContent>
                <w:tc>
                  <w:tcPr>
                    <w:tcW w:w="992" w:type="pct"/>
                    <w:tcBorders>
                      <w:top w:val="single" w:sz="6" w:space="0" w:color="auto"/>
                      <w:left w:val="single" w:sz="6" w:space="0" w:color="auto"/>
                      <w:bottom w:val="single" w:sz="6" w:space="0" w:color="auto"/>
                      <w:right w:val="single" w:sz="6" w:space="0" w:color="auto"/>
                    </w:tcBorders>
                    <w:vAlign w:val="center"/>
                  </w:tcPr>
                  <w:p w14:paraId="21119502" w14:textId="77777777" w:rsidR="00471D53" w:rsidRDefault="004F686E" w:rsidP="00471D53">
                    <w:pPr>
                      <w:jc w:val="center"/>
                      <w:rPr>
                        <w:szCs w:val="21"/>
                      </w:rPr>
                    </w:pPr>
                    <w:r>
                      <w:rPr>
                        <w:rFonts w:hint="eastAsia"/>
                        <w:szCs w:val="21"/>
                      </w:rPr>
                      <w:t>占其他应收款期末余额合计数的比例(</w:t>
                    </w:r>
                    <w:r>
                      <w:rPr>
                        <w:szCs w:val="21"/>
                      </w:rPr>
                      <w:t>%)</w:t>
                    </w:r>
                  </w:p>
                </w:tc>
              </w:sdtContent>
            </w:sdt>
            <w:sdt>
              <w:sdtPr>
                <w:tag w:val="_PLD_f2c7137b0fd6426d9d9640429eb47701"/>
                <w:id w:val="-1706321538"/>
                <w:lock w:val="sdtLocked"/>
              </w:sdtPr>
              <w:sdtEndPr/>
              <w:sdtContent>
                <w:tc>
                  <w:tcPr>
                    <w:tcW w:w="943" w:type="pct"/>
                    <w:tcBorders>
                      <w:top w:val="single" w:sz="6" w:space="0" w:color="auto"/>
                      <w:left w:val="single" w:sz="6" w:space="0" w:color="auto"/>
                      <w:bottom w:val="single" w:sz="6" w:space="0" w:color="auto"/>
                      <w:right w:val="single" w:sz="6" w:space="0" w:color="auto"/>
                    </w:tcBorders>
                    <w:vAlign w:val="center"/>
                  </w:tcPr>
                  <w:p w14:paraId="0F1958BF" w14:textId="77777777" w:rsidR="00471D53" w:rsidRDefault="004F686E" w:rsidP="00471D53">
                    <w:pPr>
                      <w:jc w:val="center"/>
                      <w:rPr>
                        <w:szCs w:val="21"/>
                      </w:rPr>
                    </w:pPr>
                    <w:r>
                      <w:rPr>
                        <w:rFonts w:hint="eastAsia"/>
                        <w:szCs w:val="21"/>
                      </w:rPr>
                      <w:t>坏账准备</w:t>
                    </w:r>
                  </w:p>
                  <w:p w14:paraId="5A6E593F" w14:textId="77777777" w:rsidR="00471D53" w:rsidRDefault="004F686E" w:rsidP="00471D53">
                    <w:pPr>
                      <w:jc w:val="center"/>
                      <w:rPr>
                        <w:szCs w:val="21"/>
                      </w:rPr>
                    </w:pPr>
                    <w:r>
                      <w:rPr>
                        <w:rFonts w:hint="eastAsia"/>
                        <w:szCs w:val="21"/>
                      </w:rPr>
                      <w:t>期末余额</w:t>
                    </w:r>
                  </w:p>
                </w:tc>
              </w:sdtContent>
            </w:sdt>
          </w:tr>
          <w:sdt>
            <w:sdtPr>
              <w:rPr>
                <w:rFonts w:hint="eastAsia"/>
                <w:szCs w:val="21"/>
              </w:rPr>
              <w:alias w:val="其他应收款欠款户"/>
              <w:tag w:val="_GBC_3912a12d540a40c8946b4121501bca53"/>
              <w:id w:val="-770155635"/>
              <w:lock w:val="sdtLocked"/>
            </w:sdtPr>
            <w:sdtEndPr/>
            <w:sdtContent>
              <w:tr w:rsidR="00471D53" w14:paraId="79AD679A" w14:textId="77777777" w:rsidTr="00471D53">
                <w:trPr>
                  <w:cantSplit/>
                </w:trPr>
                <w:tc>
                  <w:tcPr>
                    <w:tcW w:w="865" w:type="pct"/>
                    <w:tcBorders>
                      <w:top w:val="single" w:sz="6" w:space="0" w:color="auto"/>
                      <w:left w:val="single" w:sz="6" w:space="0" w:color="auto"/>
                      <w:bottom w:val="single" w:sz="6" w:space="0" w:color="auto"/>
                      <w:right w:val="single" w:sz="6" w:space="0" w:color="auto"/>
                    </w:tcBorders>
                  </w:tcPr>
                  <w:p w14:paraId="4F3FDEF8" w14:textId="77777777" w:rsidR="00471D53" w:rsidRDefault="004F686E" w:rsidP="00471D53">
                    <w:pPr>
                      <w:ind w:right="105"/>
                      <w:rPr>
                        <w:szCs w:val="21"/>
                      </w:rPr>
                    </w:pPr>
                    <w:r>
                      <w:t>北京天海工业有限公司</w:t>
                    </w:r>
                  </w:p>
                </w:tc>
                <w:tc>
                  <w:tcPr>
                    <w:tcW w:w="762" w:type="pct"/>
                    <w:tcBorders>
                      <w:top w:val="single" w:sz="6" w:space="0" w:color="auto"/>
                      <w:left w:val="single" w:sz="6" w:space="0" w:color="auto"/>
                      <w:bottom w:val="single" w:sz="6" w:space="0" w:color="auto"/>
                      <w:right w:val="single" w:sz="6" w:space="0" w:color="auto"/>
                    </w:tcBorders>
                  </w:tcPr>
                  <w:p w14:paraId="6059BDA3" w14:textId="77777777" w:rsidR="00471D53" w:rsidRDefault="004F686E" w:rsidP="00471D53">
                    <w:pPr>
                      <w:ind w:right="73"/>
                      <w:rPr>
                        <w:szCs w:val="21"/>
                      </w:rPr>
                    </w:pPr>
                    <w:r>
                      <w:t>关联借款</w:t>
                    </w:r>
                  </w:p>
                </w:tc>
                <w:tc>
                  <w:tcPr>
                    <w:tcW w:w="690" w:type="pct"/>
                    <w:tcBorders>
                      <w:top w:val="single" w:sz="6" w:space="0" w:color="auto"/>
                      <w:left w:val="single" w:sz="6" w:space="0" w:color="auto"/>
                      <w:bottom w:val="single" w:sz="6" w:space="0" w:color="auto"/>
                      <w:right w:val="single" w:sz="6" w:space="0" w:color="auto"/>
                    </w:tcBorders>
                  </w:tcPr>
                  <w:p w14:paraId="6DCD057B" w14:textId="77777777" w:rsidR="00471D53" w:rsidRDefault="004F686E" w:rsidP="00471D53">
                    <w:pPr>
                      <w:ind w:right="73"/>
                      <w:jc w:val="right"/>
                      <w:rPr>
                        <w:szCs w:val="21"/>
                      </w:rPr>
                    </w:pPr>
                    <w:r>
                      <w:t>340,000,000.00</w:t>
                    </w:r>
                  </w:p>
                </w:tc>
                <w:tc>
                  <w:tcPr>
                    <w:tcW w:w="748" w:type="pct"/>
                    <w:tcBorders>
                      <w:top w:val="single" w:sz="6" w:space="0" w:color="auto"/>
                      <w:left w:val="single" w:sz="6" w:space="0" w:color="auto"/>
                      <w:bottom w:val="single" w:sz="6" w:space="0" w:color="auto"/>
                      <w:right w:val="single" w:sz="6" w:space="0" w:color="auto"/>
                    </w:tcBorders>
                  </w:tcPr>
                  <w:p w14:paraId="6D5835C5" w14:textId="77777777" w:rsidR="00471D53" w:rsidRDefault="004F686E" w:rsidP="00471D53">
                    <w:pPr>
                      <w:ind w:right="73"/>
                      <w:rPr>
                        <w:szCs w:val="21"/>
                      </w:rPr>
                    </w:pPr>
                    <w:r>
                      <w:t>5年以上</w:t>
                    </w:r>
                  </w:p>
                </w:tc>
                <w:tc>
                  <w:tcPr>
                    <w:tcW w:w="992" w:type="pct"/>
                    <w:tcBorders>
                      <w:top w:val="single" w:sz="6" w:space="0" w:color="auto"/>
                      <w:left w:val="single" w:sz="6" w:space="0" w:color="auto"/>
                      <w:bottom w:val="single" w:sz="6" w:space="0" w:color="auto"/>
                      <w:right w:val="single" w:sz="6" w:space="0" w:color="auto"/>
                    </w:tcBorders>
                  </w:tcPr>
                  <w:p w14:paraId="6C13AA98" w14:textId="77777777" w:rsidR="00471D53" w:rsidRDefault="004F686E" w:rsidP="00471D53">
                    <w:pPr>
                      <w:jc w:val="right"/>
                      <w:rPr>
                        <w:szCs w:val="21"/>
                      </w:rPr>
                    </w:pPr>
                    <w:r>
                      <w:t>100.00</w:t>
                    </w:r>
                  </w:p>
                </w:tc>
                <w:tc>
                  <w:tcPr>
                    <w:tcW w:w="943" w:type="pct"/>
                    <w:tcBorders>
                      <w:top w:val="single" w:sz="6" w:space="0" w:color="auto"/>
                      <w:left w:val="single" w:sz="6" w:space="0" w:color="auto"/>
                      <w:bottom w:val="single" w:sz="6" w:space="0" w:color="auto"/>
                      <w:right w:val="single" w:sz="6" w:space="0" w:color="auto"/>
                    </w:tcBorders>
                  </w:tcPr>
                  <w:p w14:paraId="498475F0" w14:textId="77777777" w:rsidR="00471D53" w:rsidRDefault="004F686E" w:rsidP="00471D53">
                    <w:pPr>
                      <w:jc w:val="right"/>
                      <w:rPr>
                        <w:szCs w:val="21"/>
                      </w:rPr>
                    </w:pPr>
                    <w:r>
                      <w:t>0.00</w:t>
                    </w:r>
                  </w:p>
                </w:tc>
              </w:tr>
            </w:sdtContent>
          </w:sdt>
          <w:tr w:rsidR="00471D53" w:rsidRPr="00AC6431" w14:paraId="1FA02173" w14:textId="77777777" w:rsidTr="00471D53">
            <w:trPr>
              <w:cantSplit/>
            </w:trPr>
            <w:sdt>
              <w:sdtPr>
                <w:tag w:val="_PLD_4b94fa57164840a68859b565c2ebabb5"/>
                <w:id w:val="-2134162761"/>
                <w:lock w:val="sdtLocked"/>
              </w:sdtPr>
              <w:sdtEndPr/>
              <w:sdtContent>
                <w:tc>
                  <w:tcPr>
                    <w:tcW w:w="865" w:type="pct"/>
                    <w:tcBorders>
                      <w:top w:val="single" w:sz="6" w:space="0" w:color="auto"/>
                      <w:left w:val="single" w:sz="6" w:space="0" w:color="auto"/>
                      <w:bottom w:val="single" w:sz="6" w:space="0" w:color="auto"/>
                      <w:right w:val="single" w:sz="6" w:space="0" w:color="auto"/>
                    </w:tcBorders>
                  </w:tcPr>
                  <w:p w14:paraId="444A47E0" w14:textId="77777777" w:rsidR="00471D53" w:rsidRDefault="004F686E" w:rsidP="00471D53">
                    <w:pPr>
                      <w:ind w:right="105"/>
                      <w:jc w:val="center"/>
                      <w:rPr>
                        <w:szCs w:val="21"/>
                      </w:rPr>
                    </w:pPr>
                    <w:r>
                      <w:rPr>
                        <w:rFonts w:hint="eastAsia"/>
                        <w:szCs w:val="21"/>
                      </w:rPr>
                      <w:t>合计</w:t>
                    </w:r>
                  </w:p>
                </w:tc>
              </w:sdtContent>
            </w:sdt>
            <w:tc>
              <w:tcPr>
                <w:tcW w:w="762" w:type="pct"/>
                <w:tcBorders>
                  <w:top w:val="single" w:sz="6" w:space="0" w:color="auto"/>
                  <w:left w:val="single" w:sz="6" w:space="0" w:color="auto"/>
                  <w:bottom w:val="single" w:sz="6" w:space="0" w:color="auto"/>
                  <w:right w:val="single" w:sz="6" w:space="0" w:color="auto"/>
                </w:tcBorders>
              </w:tcPr>
              <w:p w14:paraId="16A29627" w14:textId="77777777" w:rsidR="00471D53" w:rsidRDefault="004F686E" w:rsidP="00471D53">
                <w:pPr>
                  <w:ind w:right="73"/>
                  <w:jc w:val="center"/>
                  <w:rPr>
                    <w:szCs w:val="21"/>
                  </w:rPr>
                </w:pPr>
                <w:r>
                  <w:rPr>
                    <w:szCs w:val="21"/>
                  </w:rPr>
                  <w:t>/</w:t>
                </w:r>
              </w:p>
            </w:tc>
            <w:tc>
              <w:tcPr>
                <w:tcW w:w="690" w:type="pct"/>
                <w:tcBorders>
                  <w:top w:val="single" w:sz="6" w:space="0" w:color="auto"/>
                  <w:left w:val="single" w:sz="6" w:space="0" w:color="auto"/>
                  <w:bottom w:val="single" w:sz="6" w:space="0" w:color="auto"/>
                  <w:right w:val="single" w:sz="6" w:space="0" w:color="auto"/>
                </w:tcBorders>
              </w:tcPr>
              <w:p w14:paraId="766720A5" w14:textId="77777777" w:rsidR="00471D53" w:rsidRDefault="004F686E" w:rsidP="00471D53">
                <w:pPr>
                  <w:ind w:right="73"/>
                  <w:jc w:val="right"/>
                  <w:rPr>
                    <w:szCs w:val="21"/>
                  </w:rPr>
                </w:pPr>
                <w:r>
                  <w:t>340,000,000.00</w:t>
                </w:r>
              </w:p>
            </w:tc>
            <w:tc>
              <w:tcPr>
                <w:tcW w:w="748" w:type="pct"/>
                <w:tcBorders>
                  <w:top w:val="single" w:sz="6" w:space="0" w:color="auto"/>
                  <w:left w:val="single" w:sz="6" w:space="0" w:color="auto"/>
                  <w:bottom w:val="single" w:sz="6" w:space="0" w:color="auto"/>
                  <w:right w:val="single" w:sz="6" w:space="0" w:color="auto"/>
                </w:tcBorders>
              </w:tcPr>
              <w:p w14:paraId="6D5C48E8" w14:textId="77777777" w:rsidR="00471D53" w:rsidRDefault="004F686E" w:rsidP="00471D53">
                <w:pPr>
                  <w:ind w:right="73"/>
                  <w:jc w:val="center"/>
                  <w:rPr>
                    <w:szCs w:val="21"/>
                  </w:rPr>
                </w:pPr>
                <w:r>
                  <w:rPr>
                    <w:szCs w:val="21"/>
                  </w:rPr>
                  <w:t>/</w:t>
                </w:r>
              </w:p>
            </w:tc>
            <w:tc>
              <w:tcPr>
                <w:tcW w:w="992" w:type="pct"/>
                <w:tcBorders>
                  <w:top w:val="single" w:sz="6" w:space="0" w:color="auto"/>
                  <w:left w:val="single" w:sz="6" w:space="0" w:color="auto"/>
                  <w:bottom w:val="single" w:sz="6" w:space="0" w:color="auto"/>
                  <w:right w:val="single" w:sz="6" w:space="0" w:color="auto"/>
                </w:tcBorders>
              </w:tcPr>
              <w:p w14:paraId="0865ECF0" w14:textId="77777777" w:rsidR="00471D53" w:rsidRPr="00AC6431" w:rsidRDefault="004F686E" w:rsidP="00471D53">
                <w:pPr>
                  <w:jc w:val="right"/>
                </w:pPr>
                <w:r w:rsidRPr="00593398">
                  <w:t>100.00</w:t>
                </w:r>
              </w:p>
            </w:tc>
            <w:tc>
              <w:tcPr>
                <w:tcW w:w="943" w:type="pct"/>
                <w:tcBorders>
                  <w:top w:val="single" w:sz="6" w:space="0" w:color="auto"/>
                  <w:left w:val="single" w:sz="6" w:space="0" w:color="auto"/>
                  <w:bottom w:val="single" w:sz="6" w:space="0" w:color="auto"/>
                  <w:right w:val="single" w:sz="6" w:space="0" w:color="auto"/>
                </w:tcBorders>
              </w:tcPr>
              <w:p w14:paraId="493F6204" w14:textId="77777777" w:rsidR="00471D53" w:rsidRPr="00AC6431" w:rsidRDefault="004F686E" w:rsidP="00471D53">
                <w:pPr>
                  <w:jc w:val="right"/>
                </w:pPr>
                <w:r w:rsidRPr="00593398">
                  <w:t>0.00</w:t>
                </w:r>
              </w:p>
            </w:tc>
          </w:tr>
        </w:tbl>
        <w:p w14:paraId="5D300521" w14:textId="77777777" w:rsidR="00471D53" w:rsidRPr="00AC6431" w:rsidRDefault="00B664AF" w:rsidP="00471D53"/>
      </w:sdtContent>
    </w:sdt>
    <w:p w14:paraId="253AA431" w14:textId="77777777" w:rsidR="00471D53" w:rsidRDefault="00B664AF">
      <w:pPr>
        <w:snapToGrid w:val="0"/>
        <w:spacing w:line="240" w:lineRule="atLeast"/>
      </w:pPr>
    </w:p>
    <w:sdt>
      <w:sdtPr>
        <w:rPr>
          <w:rFonts w:ascii="宋体" w:hAnsi="宋体" w:cs="宋体" w:hint="eastAsia"/>
          <w:b w:val="0"/>
          <w:bCs w:val="0"/>
          <w:kern w:val="0"/>
          <w:szCs w:val="24"/>
        </w:rPr>
        <w:alias w:val="模块:按应收金额确认的政府补助"/>
        <w:tag w:val="_GBC_52bd0b171cc64f85aa1100213c81523c"/>
        <w:id w:val="1093750194"/>
        <w:lock w:val="sdtLocked"/>
        <w:placeholder>
          <w:docPart w:val="GBC22222222222222222222222222222"/>
        </w:placeholder>
      </w:sdtPr>
      <w:sdtEndPr/>
      <w:sdtContent>
        <w:p w14:paraId="55B9A545" w14:textId="77777777" w:rsidR="00471D53" w:rsidRDefault="004F686E" w:rsidP="004F686E">
          <w:pPr>
            <w:pStyle w:val="afffff8"/>
            <w:numPr>
              <w:ilvl w:val="3"/>
              <w:numId w:val="114"/>
            </w:numPr>
            <w:ind w:left="426" w:hanging="426"/>
            <w:rPr>
              <w:rFonts w:ascii="宋体" w:hAnsi="宋体"/>
            </w:rPr>
          </w:pPr>
          <w:r>
            <w:rPr>
              <w:rFonts w:ascii="宋体" w:hAnsi="宋体" w:hint="eastAsia"/>
            </w:rPr>
            <w:t>涉及政府补助的应收款项</w:t>
          </w:r>
        </w:p>
        <w:sdt>
          <w:sdtPr>
            <w:alias w:val="是否适用：母公司涉及政府补助的应收款项[双击切换]"/>
            <w:tag w:val="_GBC_42f77b49fc014baab239badfde6e4fcf"/>
            <w:id w:val="-1761681638"/>
            <w:lock w:val="sdtLocked"/>
            <w:placeholder>
              <w:docPart w:val="GBC22222222222222222222222222222"/>
            </w:placeholder>
          </w:sdtPr>
          <w:sdtEndPr/>
          <w:sdtContent>
            <w:p w14:paraId="4E062E1E"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298362F" w14:textId="77777777" w:rsidR="00471D53" w:rsidRDefault="00B664AF">
          <w:pPr>
            <w:snapToGrid w:val="0"/>
            <w:spacing w:line="240" w:lineRule="atLeast"/>
          </w:pPr>
        </w:p>
        <w:p w14:paraId="7463763F" w14:textId="77777777" w:rsidR="00471D53" w:rsidRDefault="00B664AF">
          <w:pPr>
            <w:snapToGrid w:val="0"/>
            <w:spacing w:line="240" w:lineRule="atLeast"/>
          </w:pPr>
        </w:p>
      </w:sdtContent>
    </w:sdt>
    <w:sdt>
      <w:sdtPr>
        <w:rPr>
          <w:rFonts w:ascii="宋体" w:hAnsi="宋体" w:cs="宋体"/>
          <w:b w:val="0"/>
          <w:bCs w:val="0"/>
          <w:kern w:val="0"/>
          <w:szCs w:val="24"/>
        </w:rPr>
        <w:alias w:val="模块:因金融资产转移而终止确认的其他应收款"/>
        <w:tag w:val="_GBC_338c72ace78c4ba79d60f19b8dbabe9a"/>
        <w:id w:val="-930732715"/>
        <w:lock w:val="sdtLocked"/>
        <w:placeholder>
          <w:docPart w:val="GBC22222222222222222222222222222"/>
        </w:placeholder>
      </w:sdtPr>
      <w:sdtEndPr/>
      <w:sdtContent>
        <w:p w14:paraId="0BE587C7" w14:textId="77777777" w:rsidR="00471D53" w:rsidRDefault="004F686E" w:rsidP="004F686E">
          <w:pPr>
            <w:pStyle w:val="afffff8"/>
            <w:numPr>
              <w:ilvl w:val="3"/>
              <w:numId w:val="114"/>
            </w:numPr>
            <w:ind w:left="426" w:hanging="426"/>
            <w:rPr>
              <w:rFonts w:ascii="宋体" w:hAnsi="宋体"/>
              <w:kern w:val="0"/>
            </w:rPr>
          </w:pPr>
          <w:r>
            <w:rPr>
              <w:rFonts w:ascii="宋体" w:hAnsi="宋体" w:hint="eastAsia"/>
              <w:kern w:val="0"/>
            </w:rPr>
            <w:t>因金融资产</w:t>
          </w:r>
          <w:r>
            <w:rPr>
              <w:rFonts w:ascii="宋体" w:hAnsi="宋体" w:hint="eastAsia"/>
            </w:rPr>
            <w:t>转移</w:t>
          </w:r>
          <w:r>
            <w:rPr>
              <w:rFonts w:ascii="宋体" w:hAnsi="宋体" w:hint="eastAsia"/>
              <w:kern w:val="0"/>
            </w:rPr>
            <w:t>而终止确认的其他应收款</w:t>
          </w:r>
        </w:p>
        <w:sdt>
          <w:sdtPr>
            <w:alias w:val="是否适用：母公司因金融资产转移而终止确认的其他应收款[双击切换]"/>
            <w:tag w:val="_GBC_1512780d2c254c8787e470194d450391"/>
            <w:id w:val="-248959510"/>
            <w:lock w:val="sdtLocked"/>
            <w:placeholder>
              <w:docPart w:val="GBC22222222222222222222222222222"/>
            </w:placeholder>
          </w:sdtPr>
          <w:sdtEndPr/>
          <w:sdtContent>
            <w:p w14:paraId="7F969244" w14:textId="77777777" w:rsidR="00471D53" w:rsidRDefault="004F686E" w:rsidP="00471D53">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278C81EB" w14:textId="77777777" w:rsidR="00471D53" w:rsidRDefault="00B664AF">
      <w:pPr>
        <w:rPr>
          <w:szCs w:val="21"/>
        </w:rPr>
      </w:pPr>
    </w:p>
    <w:sdt>
      <w:sdtPr>
        <w:rPr>
          <w:rFonts w:ascii="宋体" w:hAnsi="宋体" w:cs="宋体" w:hint="eastAsia"/>
          <w:b w:val="0"/>
          <w:bCs w:val="0"/>
          <w:kern w:val="0"/>
          <w:szCs w:val="24"/>
        </w:rPr>
        <w:alias w:val="模块:转移其他应收款且继续涉入的，分项列示继续涉入形成的资产、负债..."/>
        <w:tag w:val="_GBC_86d729c7494a406ba4f51afb2c881955"/>
        <w:id w:val="-779875678"/>
        <w:lock w:val="sdtLocked"/>
        <w:placeholder>
          <w:docPart w:val="GBC22222222222222222222222222222"/>
        </w:placeholder>
      </w:sdtPr>
      <w:sdtEndPr/>
      <w:sdtContent>
        <w:p w14:paraId="5460ED4F" w14:textId="77777777" w:rsidR="00471D53" w:rsidRDefault="004F686E" w:rsidP="004F686E">
          <w:pPr>
            <w:pStyle w:val="afffff8"/>
            <w:numPr>
              <w:ilvl w:val="3"/>
              <w:numId w:val="114"/>
            </w:numPr>
            <w:ind w:left="426" w:hanging="426"/>
            <w:rPr>
              <w:rFonts w:ascii="宋体" w:hAnsi="宋体"/>
              <w:kern w:val="0"/>
            </w:rPr>
          </w:pPr>
          <w:r>
            <w:rPr>
              <w:rFonts w:ascii="宋体" w:hAnsi="宋体" w:hint="eastAsia"/>
              <w:kern w:val="0"/>
            </w:rPr>
            <w:t>转移其他应收款且继续涉入形成的资产、负债金额</w:t>
          </w:r>
        </w:p>
        <w:sdt>
          <w:sdtPr>
            <w:alias w:val="是否适用：母公司转移其他应收款且继续涉入形成的资产、负债金额[双击切换]"/>
            <w:tag w:val="_GBC_bab484b2a177457b977e28c0385a5b58"/>
            <w:id w:val="1872888726"/>
            <w:lock w:val="sdtLocked"/>
            <w:placeholder>
              <w:docPart w:val="GBC22222222222222222222222222222"/>
            </w:placeholder>
          </w:sdtPr>
          <w:sdtEndPr/>
          <w:sdtContent>
            <w:p w14:paraId="257CE0D8" w14:textId="77777777" w:rsidR="00471D53" w:rsidRDefault="004F686E" w:rsidP="00471D53">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2FEE098A" w14:textId="77777777" w:rsidR="00471D53" w:rsidRDefault="00B664AF">
      <w:pPr>
        <w:rPr>
          <w:szCs w:val="21"/>
        </w:rPr>
      </w:pPr>
    </w:p>
    <w:sdt>
      <w:sdtPr>
        <w:rPr>
          <w:rFonts w:hint="eastAsia"/>
          <w:b/>
          <w:bCs/>
        </w:rPr>
        <w:alias w:val="模块:其他应收款其他说明"/>
        <w:tag w:val="_GBC_4b6cd384bee54ff79269fa4457c70d49"/>
        <w:id w:val="1498530236"/>
        <w:lock w:val="sdtLocked"/>
        <w:placeholder>
          <w:docPart w:val="GBC22222222222222222222222222222"/>
        </w:placeholder>
      </w:sdtPr>
      <w:sdtEndPr>
        <w:rPr>
          <w:b w:val="0"/>
          <w:bCs w:val="0"/>
        </w:rPr>
      </w:sdtEndPr>
      <w:sdtContent>
        <w:p w14:paraId="59F0B0A6" w14:textId="77777777" w:rsidR="00471D53" w:rsidRDefault="004F686E">
          <w:r>
            <w:rPr>
              <w:rFonts w:hint="eastAsia"/>
            </w:rPr>
            <w:t>其他</w:t>
          </w:r>
          <w:r>
            <w:t>说明：</w:t>
          </w:r>
        </w:p>
        <w:sdt>
          <w:sdtPr>
            <w:alias w:val="是否适用：母公司其他应收款的其他说明[双击切换]"/>
            <w:tag w:val="_GBC_2e0f632cbc7d4916b89bf8824f4b71f0"/>
            <w:id w:val="697515663"/>
            <w:lock w:val="sdtLocked"/>
            <w:placeholder>
              <w:docPart w:val="GBC22222222222222222222222222222"/>
            </w:placeholder>
          </w:sdtPr>
          <w:sdtEndPr/>
          <w:sdtContent>
            <w:p w14:paraId="01B5AF05" w14:textId="77777777" w:rsidR="00471D53" w:rsidRDefault="004F686E" w:rsidP="00471D53">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A85EA82" w14:textId="77777777" w:rsidR="00471D53" w:rsidRDefault="00B664AF">
          <w:pPr>
            <w:rPr>
              <w:szCs w:val="21"/>
            </w:rPr>
          </w:pPr>
        </w:p>
      </w:sdtContent>
    </w:sdt>
    <w:p w14:paraId="06D0AE27" w14:textId="77777777" w:rsidR="00471D53" w:rsidRDefault="004F686E" w:rsidP="004F686E">
      <w:pPr>
        <w:pStyle w:val="afffff7"/>
        <w:numPr>
          <w:ilvl w:val="0"/>
          <w:numId w:val="112"/>
        </w:numPr>
        <w:rPr>
          <w:rFonts w:ascii="宋体" w:hAnsi="宋体"/>
          <w:szCs w:val="21"/>
        </w:rPr>
      </w:pPr>
      <w:r>
        <w:rPr>
          <w:rFonts w:ascii="宋体" w:hAnsi="宋体" w:hint="eastAsia"/>
          <w:szCs w:val="21"/>
        </w:rPr>
        <w:t>长期股权投资</w:t>
      </w:r>
    </w:p>
    <w:sdt>
      <w:sdtPr>
        <w:alias w:val="是否适用：母公司长期股权投资[双击切换]"/>
        <w:tag w:val="_GBC_61071b9a58624e83bfc4232808751b95"/>
        <w:id w:val="-1148361465"/>
        <w:lock w:val="sdtContentLocked"/>
        <w:placeholder>
          <w:docPart w:val="GBC22222222222222222222222222222"/>
        </w:placeholder>
      </w:sdtPr>
      <w:sdtEndPr/>
      <w:sdtContent>
        <w:p w14:paraId="0EB5BBBA"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b/>
          <w:bCs/>
          <w:szCs w:val="21"/>
        </w:rPr>
        <w:alias w:val="模块:长期股权投资按成本法核算"/>
        <w:tag w:val="_GBC_e5163872166a4141a666e7eec5d9956c"/>
        <w:id w:val="721482479"/>
        <w:lock w:val="sdtLocked"/>
        <w:placeholder>
          <w:docPart w:val="GBC22222222222222222222222222222"/>
        </w:placeholder>
      </w:sdtPr>
      <w:sdtEndPr>
        <w:rPr>
          <w:b w:val="0"/>
          <w:bCs w:val="0"/>
        </w:rPr>
      </w:sdtEndPr>
      <w:sdtContent>
        <w:p w14:paraId="71752BF4" w14:textId="375DD9F4" w:rsidR="00471D53" w:rsidRDefault="004F686E">
          <w:pPr>
            <w:jc w:val="right"/>
            <w:rPr>
              <w:szCs w:val="21"/>
            </w:rPr>
          </w:pPr>
          <w:r>
            <w:rPr>
              <w:rFonts w:hint="eastAsia"/>
              <w:szCs w:val="21"/>
            </w:rPr>
            <w:t>单位：</w:t>
          </w:r>
          <w:sdt>
            <w:sdtPr>
              <w:rPr>
                <w:rFonts w:hint="eastAsia"/>
                <w:szCs w:val="21"/>
              </w:rPr>
              <w:alias w:val="单位：母公司财务附注：长期股权投资"/>
              <w:tag w:val="_GBC_ee2c3454a2494dfca9c0a07bba82ed3d"/>
              <w:id w:val="1096420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母公司财务附注：长期股权投资"/>
              <w:tag w:val="_GBC_4b4d1a2b986f475e8058a041d2f5a6f9"/>
              <w:id w:val="12382870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1405"/>
            <w:gridCol w:w="1602"/>
            <w:gridCol w:w="502"/>
            <w:gridCol w:w="1602"/>
            <w:gridCol w:w="1602"/>
            <w:gridCol w:w="502"/>
            <w:gridCol w:w="1602"/>
          </w:tblGrid>
          <w:tr w:rsidR="00471D53" w14:paraId="4B937750" w14:textId="77777777" w:rsidTr="0017692B">
            <w:trPr>
              <w:cantSplit/>
            </w:trPr>
            <w:sdt>
              <w:sdtPr>
                <w:tag w:val="_PLD_69c4a2f49545484e8b3a149f64c9d21f"/>
                <w:id w:val="1289243747"/>
                <w:lock w:val="sdtLocked"/>
              </w:sdtPr>
              <w:sdtEndPr/>
              <w:sdtContent>
                <w:tc>
                  <w:tcPr>
                    <w:tcW w:w="1279" w:type="pct"/>
                    <w:vMerge w:val="restart"/>
                    <w:shd w:val="clear" w:color="auto" w:fill="auto"/>
                    <w:vAlign w:val="center"/>
                  </w:tcPr>
                  <w:p w14:paraId="69D9C133" w14:textId="77777777" w:rsidR="00471D53" w:rsidRDefault="004F686E">
                    <w:pPr>
                      <w:jc w:val="center"/>
                    </w:pPr>
                    <w:r>
                      <w:rPr>
                        <w:rFonts w:hint="eastAsia"/>
                      </w:rPr>
                      <w:t>项目</w:t>
                    </w:r>
                  </w:p>
                </w:tc>
              </w:sdtContent>
            </w:sdt>
            <w:sdt>
              <w:sdtPr>
                <w:tag w:val="_PLD_f7d0566caa554c4c823029a05c5319eb"/>
                <w:id w:val="-938054615"/>
                <w:lock w:val="sdtLocked"/>
              </w:sdtPr>
              <w:sdtEndPr/>
              <w:sdtContent>
                <w:tc>
                  <w:tcPr>
                    <w:tcW w:w="1856" w:type="pct"/>
                    <w:gridSpan w:val="3"/>
                    <w:shd w:val="clear" w:color="auto" w:fill="auto"/>
                    <w:vAlign w:val="center"/>
                  </w:tcPr>
                  <w:p w14:paraId="32D031FB" w14:textId="77777777" w:rsidR="00471D53" w:rsidRDefault="004F686E">
                    <w:pPr>
                      <w:jc w:val="center"/>
                    </w:pPr>
                    <w:r>
                      <w:rPr>
                        <w:rFonts w:hint="eastAsia"/>
                      </w:rPr>
                      <w:t>期末余额</w:t>
                    </w:r>
                  </w:p>
                </w:tc>
              </w:sdtContent>
            </w:sdt>
            <w:sdt>
              <w:sdtPr>
                <w:tag w:val="_PLD_9d2cfae2492a49c2b441d1371a5e4673"/>
                <w:id w:val="-944609205"/>
                <w:lock w:val="sdtLocked"/>
              </w:sdtPr>
              <w:sdtEndPr/>
              <w:sdtContent>
                <w:tc>
                  <w:tcPr>
                    <w:tcW w:w="1865" w:type="pct"/>
                    <w:gridSpan w:val="3"/>
                    <w:shd w:val="clear" w:color="auto" w:fill="auto"/>
                    <w:vAlign w:val="center"/>
                  </w:tcPr>
                  <w:p w14:paraId="08D7CA2C" w14:textId="77777777" w:rsidR="00471D53" w:rsidRDefault="004F686E">
                    <w:pPr>
                      <w:jc w:val="center"/>
                    </w:pPr>
                    <w:r>
                      <w:rPr>
                        <w:rFonts w:hint="eastAsia"/>
                      </w:rPr>
                      <w:t>期初余额</w:t>
                    </w:r>
                  </w:p>
                </w:tc>
              </w:sdtContent>
            </w:sdt>
          </w:tr>
          <w:tr w:rsidR="00471D53" w14:paraId="13EC1AD8" w14:textId="77777777" w:rsidTr="00471D53">
            <w:trPr>
              <w:cantSplit/>
            </w:trPr>
            <w:tc>
              <w:tcPr>
                <w:tcW w:w="1279" w:type="pct"/>
                <w:vMerge/>
                <w:tcBorders>
                  <w:bottom w:val="single" w:sz="6" w:space="0" w:color="auto"/>
                </w:tcBorders>
                <w:shd w:val="clear" w:color="auto" w:fill="auto"/>
                <w:vAlign w:val="center"/>
              </w:tcPr>
              <w:p w14:paraId="7355272E" w14:textId="77777777" w:rsidR="00471D53" w:rsidRDefault="00B664AF">
                <w:pPr>
                  <w:jc w:val="center"/>
                </w:pPr>
              </w:p>
            </w:tc>
            <w:sdt>
              <w:sdtPr>
                <w:tag w:val="_PLD_9f664b17996c45f08a57544a9ec7e340"/>
                <w:id w:val="1709365092"/>
                <w:lock w:val="sdtLocked"/>
              </w:sdtPr>
              <w:sdtEndPr/>
              <w:sdtContent>
                <w:tc>
                  <w:tcPr>
                    <w:tcW w:w="628" w:type="pct"/>
                    <w:tcBorders>
                      <w:bottom w:val="single" w:sz="6" w:space="0" w:color="auto"/>
                    </w:tcBorders>
                    <w:shd w:val="clear" w:color="auto" w:fill="auto"/>
                    <w:vAlign w:val="center"/>
                  </w:tcPr>
                  <w:p w14:paraId="24CCF7DD" w14:textId="77777777" w:rsidR="00471D53" w:rsidRDefault="004F686E">
                    <w:pPr>
                      <w:jc w:val="center"/>
                    </w:pPr>
                    <w:r>
                      <w:rPr>
                        <w:rFonts w:hint="eastAsia"/>
                      </w:rPr>
                      <w:t>账面余额</w:t>
                    </w:r>
                  </w:p>
                </w:tc>
              </w:sdtContent>
            </w:sdt>
            <w:sdt>
              <w:sdtPr>
                <w:tag w:val="_PLD_5c150a7367994fc29e7f8b50d7ff2eab"/>
                <w:id w:val="1971169719"/>
                <w:lock w:val="sdtLocked"/>
              </w:sdtPr>
              <w:sdtEndPr/>
              <w:sdtContent>
                <w:tc>
                  <w:tcPr>
                    <w:tcW w:w="614" w:type="pct"/>
                    <w:tcBorders>
                      <w:bottom w:val="single" w:sz="6" w:space="0" w:color="auto"/>
                    </w:tcBorders>
                    <w:shd w:val="clear" w:color="auto" w:fill="auto"/>
                    <w:vAlign w:val="center"/>
                  </w:tcPr>
                  <w:p w14:paraId="12579DDE" w14:textId="77777777" w:rsidR="00471D53" w:rsidRDefault="004F686E">
                    <w:pPr>
                      <w:jc w:val="center"/>
                    </w:pPr>
                    <w:r>
                      <w:rPr>
                        <w:rFonts w:hint="eastAsia"/>
                      </w:rPr>
                      <w:t>减值准备</w:t>
                    </w:r>
                  </w:p>
                </w:tc>
              </w:sdtContent>
            </w:sdt>
            <w:sdt>
              <w:sdtPr>
                <w:tag w:val="_PLD_3db48da0eacd49568929884577dae51b"/>
                <w:id w:val="874128449"/>
                <w:lock w:val="sdtLocked"/>
              </w:sdtPr>
              <w:sdtEndPr/>
              <w:sdtContent>
                <w:tc>
                  <w:tcPr>
                    <w:tcW w:w="614" w:type="pct"/>
                    <w:tcBorders>
                      <w:bottom w:val="single" w:sz="6" w:space="0" w:color="auto"/>
                    </w:tcBorders>
                    <w:shd w:val="clear" w:color="auto" w:fill="auto"/>
                    <w:vAlign w:val="center"/>
                  </w:tcPr>
                  <w:p w14:paraId="59214A54" w14:textId="77777777" w:rsidR="00471D53" w:rsidRDefault="004F686E">
                    <w:pPr>
                      <w:jc w:val="center"/>
                    </w:pPr>
                    <w:r>
                      <w:rPr>
                        <w:rFonts w:hint="eastAsia"/>
                      </w:rPr>
                      <w:t>账面价值</w:t>
                    </w:r>
                  </w:p>
                </w:tc>
              </w:sdtContent>
            </w:sdt>
            <w:sdt>
              <w:sdtPr>
                <w:tag w:val="_PLD_00d8a1d3b6754b52929b2c46a2e716c9"/>
                <w:id w:val="229590672"/>
                <w:lock w:val="sdtLocked"/>
              </w:sdtPr>
              <w:sdtEndPr/>
              <w:sdtContent>
                <w:tc>
                  <w:tcPr>
                    <w:tcW w:w="629" w:type="pct"/>
                    <w:tcBorders>
                      <w:bottom w:val="single" w:sz="6" w:space="0" w:color="auto"/>
                    </w:tcBorders>
                    <w:shd w:val="clear" w:color="auto" w:fill="auto"/>
                    <w:vAlign w:val="center"/>
                  </w:tcPr>
                  <w:p w14:paraId="5A5E70EC" w14:textId="77777777" w:rsidR="00471D53" w:rsidRDefault="004F686E">
                    <w:pPr>
                      <w:jc w:val="center"/>
                    </w:pPr>
                    <w:r>
                      <w:rPr>
                        <w:rFonts w:hint="eastAsia"/>
                      </w:rPr>
                      <w:t>账面余额</w:t>
                    </w:r>
                  </w:p>
                </w:tc>
              </w:sdtContent>
            </w:sdt>
            <w:sdt>
              <w:sdtPr>
                <w:tag w:val="_PLD_0f2c77fc41ea456bab34653dee178805"/>
                <w:id w:val="1467928359"/>
                <w:lock w:val="sdtLocked"/>
              </w:sdtPr>
              <w:sdtEndPr/>
              <w:sdtContent>
                <w:tc>
                  <w:tcPr>
                    <w:tcW w:w="621" w:type="pct"/>
                    <w:tcBorders>
                      <w:bottom w:val="single" w:sz="6" w:space="0" w:color="auto"/>
                    </w:tcBorders>
                    <w:shd w:val="clear" w:color="auto" w:fill="auto"/>
                    <w:vAlign w:val="center"/>
                  </w:tcPr>
                  <w:p w14:paraId="3B490795" w14:textId="77777777" w:rsidR="00471D53" w:rsidRDefault="004F686E">
                    <w:pPr>
                      <w:jc w:val="center"/>
                    </w:pPr>
                    <w:r>
                      <w:rPr>
                        <w:rFonts w:hint="eastAsia"/>
                      </w:rPr>
                      <w:t>减值准备</w:t>
                    </w:r>
                  </w:p>
                </w:tc>
              </w:sdtContent>
            </w:sdt>
            <w:sdt>
              <w:sdtPr>
                <w:tag w:val="_PLD_9ae07ed9769c419fa280d4c5ad3f03d7"/>
                <w:id w:val="-2115740139"/>
                <w:lock w:val="sdtLocked"/>
              </w:sdtPr>
              <w:sdtEndPr/>
              <w:sdtContent>
                <w:tc>
                  <w:tcPr>
                    <w:tcW w:w="615" w:type="pct"/>
                    <w:tcBorders>
                      <w:bottom w:val="single" w:sz="6" w:space="0" w:color="auto"/>
                    </w:tcBorders>
                    <w:shd w:val="clear" w:color="auto" w:fill="auto"/>
                    <w:vAlign w:val="center"/>
                  </w:tcPr>
                  <w:p w14:paraId="3ED35544" w14:textId="77777777" w:rsidR="00471D53" w:rsidRDefault="004F686E">
                    <w:pPr>
                      <w:jc w:val="center"/>
                    </w:pPr>
                    <w:r>
                      <w:rPr>
                        <w:rFonts w:hint="eastAsia"/>
                      </w:rPr>
                      <w:t>账面价值</w:t>
                    </w:r>
                  </w:p>
                </w:tc>
              </w:sdtContent>
            </w:sdt>
          </w:tr>
          <w:tr w:rsidR="00471D53" w14:paraId="249C7516" w14:textId="77777777" w:rsidTr="00471D53">
            <w:trPr>
              <w:cantSplit/>
            </w:trPr>
            <w:sdt>
              <w:sdtPr>
                <w:tag w:val="_PLD_b2ce03f2519c40d0a152124161e4337f"/>
                <w:id w:val="-1546595545"/>
                <w:lock w:val="sdtLocked"/>
              </w:sdtPr>
              <w:sdtEndPr/>
              <w:sdtContent>
                <w:tc>
                  <w:tcPr>
                    <w:tcW w:w="1279" w:type="pct"/>
                    <w:shd w:val="clear" w:color="auto" w:fill="auto"/>
                  </w:tcPr>
                  <w:p w14:paraId="63CE8331" w14:textId="77777777" w:rsidR="00471D53" w:rsidRDefault="004F686E">
                    <w:r>
                      <w:rPr>
                        <w:rFonts w:hint="eastAsia"/>
                      </w:rPr>
                      <w:t>对子公司投资</w:t>
                    </w:r>
                  </w:p>
                </w:tc>
              </w:sdtContent>
            </w:sdt>
            <w:tc>
              <w:tcPr>
                <w:tcW w:w="628" w:type="pct"/>
                <w:shd w:val="clear" w:color="auto" w:fill="auto"/>
                <w:vAlign w:val="center"/>
              </w:tcPr>
              <w:p w14:paraId="17C5BD4D" w14:textId="77777777" w:rsidR="00471D53" w:rsidRDefault="004F686E" w:rsidP="00471D53">
                <w:pPr>
                  <w:autoSpaceDE w:val="0"/>
                  <w:autoSpaceDN w:val="0"/>
                  <w:jc w:val="right"/>
                  <w:rPr>
                    <w:sz w:val="22"/>
                    <w:szCs w:val="22"/>
                  </w:rPr>
                </w:pPr>
                <w:r>
                  <w:rPr>
                    <w:rFonts w:cs="Calibri" w:hint="eastAsia"/>
                    <w:sz w:val="22"/>
                    <w:szCs w:val="22"/>
                  </w:rPr>
                  <w:t>902,148,125.05</w:t>
                </w:r>
              </w:p>
            </w:tc>
            <w:tc>
              <w:tcPr>
                <w:tcW w:w="614" w:type="pct"/>
                <w:shd w:val="clear" w:color="auto" w:fill="auto"/>
                <w:vAlign w:val="center"/>
              </w:tcPr>
              <w:p w14:paraId="17FBFB95" w14:textId="77777777" w:rsidR="00471D53" w:rsidRDefault="004F686E" w:rsidP="00471D53">
                <w:pPr>
                  <w:autoSpaceDE w:val="0"/>
                  <w:autoSpaceDN w:val="0"/>
                  <w:jc w:val="right"/>
                  <w:rPr>
                    <w:sz w:val="22"/>
                    <w:szCs w:val="22"/>
                  </w:rPr>
                </w:pPr>
                <w:r>
                  <w:rPr>
                    <w:rFonts w:hint="eastAsia"/>
                    <w:sz w:val="22"/>
                    <w:szCs w:val="22"/>
                  </w:rPr>
                  <w:t>0.00</w:t>
                </w:r>
              </w:p>
            </w:tc>
            <w:tc>
              <w:tcPr>
                <w:tcW w:w="614" w:type="pct"/>
                <w:shd w:val="clear" w:color="auto" w:fill="auto"/>
                <w:vAlign w:val="center"/>
              </w:tcPr>
              <w:p w14:paraId="38EF36FB" w14:textId="77777777" w:rsidR="00471D53" w:rsidRDefault="004F686E" w:rsidP="00471D53">
                <w:pPr>
                  <w:autoSpaceDE w:val="0"/>
                  <w:autoSpaceDN w:val="0"/>
                  <w:jc w:val="right"/>
                  <w:rPr>
                    <w:sz w:val="22"/>
                    <w:szCs w:val="22"/>
                  </w:rPr>
                </w:pPr>
                <w:r>
                  <w:rPr>
                    <w:rFonts w:cs="Calibri" w:hint="eastAsia"/>
                    <w:sz w:val="22"/>
                    <w:szCs w:val="22"/>
                  </w:rPr>
                  <w:t>902,148,125.05</w:t>
                </w:r>
              </w:p>
            </w:tc>
            <w:tc>
              <w:tcPr>
                <w:tcW w:w="629" w:type="pct"/>
                <w:shd w:val="clear" w:color="auto" w:fill="auto"/>
                <w:vAlign w:val="center"/>
              </w:tcPr>
              <w:p w14:paraId="4C1D0955" w14:textId="77777777" w:rsidR="00471D53" w:rsidRDefault="004F686E" w:rsidP="00471D53">
                <w:pPr>
                  <w:autoSpaceDE w:val="0"/>
                  <w:autoSpaceDN w:val="0"/>
                  <w:jc w:val="right"/>
                  <w:rPr>
                    <w:sz w:val="22"/>
                    <w:szCs w:val="22"/>
                  </w:rPr>
                </w:pPr>
                <w:r>
                  <w:rPr>
                    <w:rFonts w:cs="Calibri" w:hint="eastAsia"/>
                    <w:sz w:val="22"/>
                    <w:szCs w:val="22"/>
                  </w:rPr>
                  <w:t>902,148,125.05</w:t>
                </w:r>
              </w:p>
            </w:tc>
            <w:tc>
              <w:tcPr>
                <w:tcW w:w="621" w:type="pct"/>
                <w:shd w:val="clear" w:color="auto" w:fill="auto"/>
                <w:vAlign w:val="center"/>
              </w:tcPr>
              <w:p w14:paraId="10FBED08" w14:textId="77777777" w:rsidR="00471D53" w:rsidRDefault="004F686E" w:rsidP="00471D53">
                <w:pPr>
                  <w:autoSpaceDE w:val="0"/>
                  <w:autoSpaceDN w:val="0"/>
                  <w:jc w:val="right"/>
                  <w:rPr>
                    <w:sz w:val="22"/>
                    <w:szCs w:val="22"/>
                  </w:rPr>
                </w:pPr>
                <w:r>
                  <w:rPr>
                    <w:rFonts w:hint="eastAsia"/>
                    <w:sz w:val="22"/>
                    <w:szCs w:val="22"/>
                  </w:rPr>
                  <w:t>0.00</w:t>
                </w:r>
              </w:p>
            </w:tc>
            <w:tc>
              <w:tcPr>
                <w:tcW w:w="615" w:type="pct"/>
                <w:shd w:val="clear" w:color="auto" w:fill="auto"/>
                <w:vAlign w:val="center"/>
              </w:tcPr>
              <w:p w14:paraId="2BC0F5A5" w14:textId="77777777" w:rsidR="00471D53" w:rsidRDefault="004F686E" w:rsidP="00471D53">
                <w:pPr>
                  <w:autoSpaceDE w:val="0"/>
                  <w:autoSpaceDN w:val="0"/>
                  <w:jc w:val="right"/>
                  <w:rPr>
                    <w:sz w:val="22"/>
                    <w:szCs w:val="22"/>
                  </w:rPr>
                </w:pPr>
                <w:r>
                  <w:rPr>
                    <w:rFonts w:cs="Calibri" w:hint="eastAsia"/>
                    <w:sz w:val="22"/>
                    <w:szCs w:val="22"/>
                  </w:rPr>
                  <w:t>902,148,125.05</w:t>
                </w:r>
              </w:p>
            </w:tc>
          </w:tr>
          <w:tr w:rsidR="00471D53" w14:paraId="0AFE1746" w14:textId="77777777" w:rsidTr="00471D53">
            <w:trPr>
              <w:cantSplit/>
            </w:trPr>
            <w:sdt>
              <w:sdtPr>
                <w:tag w:val="_PLD_da68a71aef6a46449e56205bf88b68ae"/>
                <w:id w:val="-587621071"/>
                <w:lock w:val="sdtLocked"/>
              </w:sdtPr>
              <w:sdtEndPr/>
              <w:sdtContent>
                <w:tc>
                  <w:tcPr>
                    <w:tcW w:w="1279" w:type="pct"/>
                    <w:shd w:val="clear" w:color="auto" w:fill="auto"/>
                  </w:tcPr>
                  <w:p w14:paraId="2144A509" w14:textId="77777777" w:rsidR="00471D53" w:rsidRDefault="004F686E">
                    <w:r>
                      <w:rPr>
                        <w:rFonts w:hint="eastAsia"/>
                      </w:rPr>
                      <w:t>对联营、合营企业投资</w:t>
                    </w:r>
                  </w:p>
                </w:tc>
              </w:sdtContent>
            </w:sdt>
            <w:tc>
              <w:tcPr>
                <w:tcW w:w="628" w:type="pct"/>
                <w:shd w:val="clear" w:color="auto" w:fill="auto"/>
                <w:vAlign w:val="center"/>
              </w:tcPr>
              <w:p w14:paraId="4D4260E5" w14:textId="77777777" w:rsidR="00471D53" w:rsidRDefault="004F686E" w:rsidP="00471D53">
                <w:pPr>
                  <w:autoSpaceDE w:val="0"/>
                  <w:autoSpaceDN w:val="0"/>
                  <w:jc w:val="right"/>
                  <w:rPr>
                    <w:sz w:val="22"/>
                    <w:szCs w:val="22"/>
                  </w:rPr>
                </w:pPr>
                <w:r>
                  <w:rPr>
                    <w:rFonts w:hint="eastAsia"/>
                    <w:sz w:val="22"/>
                    <w:szCs w:val="22"/>
                  </w:rPr>
                  <w:t>0.00</w:t>
                </w:r>
              </w:p>
            </w:tc>
            <w:tc>
              <w:tcPr>
                <w:tcW w:w="614" w:type="pct"/>
                <w:shd w:val="clear" w:color="auto" w:fill="auto"/>
                <w:vAlign w:val="center"/>
              </w:tcPr>
              <w:p w14:paraId="068C04BE" w14:textId="77777777" w:rsidR="00471D53" w:rsidRDefault="004F686E" w:rsidP="00471D53">
                <w:pPr>
                  <w:autoSpaceDE w:val="0"/>
                  <w:autoSpaceDN w:val="0"/>
                  <w:jc w:val="right"/>
                  <w:rPr>
                    <w:sz w:val="22"/>
                    <w:szCs w:val="22"/>
                  </w:rPr>
                </w:pPr>
                <w:r>
                  <w:rPr>
                    <w:rFonts w:hint="eastAsia"/>
                    <w:sz w:val="22"/>
                    <w:szCs w:val="22"/>
                  </w:rPr>
                  <w:t>0.00</w:t>
                </w:r>
              </w:p>
            </w:tc>
            <w:tc>
              <w:tcPr>
                <w:tcW w:w="614" w:type="pct"/>
                <w:shd w:val="clear" w:color="auto" w:fill="auto"/>
                <w:vAlign w:val="center"/>
              </w:tcPr>
              <w:p w14:paraId="449E8E71" w14:textId="77777777" w:rsidR="00471D53" w:rsidRDefault="004F686E" w:rsidP="00471D53">
                <w:pPr>
                  <w:autoSpaceDE w:val="0"/>
                  <w:autoSpaceDN w:val="0"/>
                  <w:jc w:val="right"/>
                  <w:rPr>
                    <w:sz w:val="22"/>
                    <w:szCs w:val="22"/>
                  </w:rPr>
                </w:pPr>
                <w:r>
                  <w:rPr>
                    <w:rFonts w:hint="eastAsia"/>
                    <w:sz w:val="22"/>
                    <w:szCs w:val="22"/>
                  </w:rPr>
                  <w:t>0.00</w:t>
                </w:r>
              </w:p>
            </w:tc>
            <w:tc>
              <w:tcPr>
                <w:tcW w:w="629" w:type="pct"/>
                <w:shd w:val="clear" w:color="auto" w:fill="auto"/>
                <w:vAlign w:val="center"/>
              </w:tcPr>
              <w:p w14:paraId="11CB5F58" w14:textId="77777777" w:rsidR="00471D53" w:rsidRDefault="004F686E" w:rsidP="00471D53">
                <w:pPr>
                  <w:autoSpaceDE w:val="0"/>
                  <w:autoSpaceDN w:val="0"/>
                  <w:jc w:val="right"/>
                  <w:rPr>
                    <w:sz w:val="22"/>
                    <w:szCs w:val="22"/>
                  </w:rPr>
                </w:pPr>
                <w:r>
                  <w:rPr>
                    <w:rFonts w:hint="eastAsia"/>
                    <w:sz w:val="22"/>
                    <w:szCs w:val="22"/>
                  </w:rPr>
                  <w:t>0.00</w:t>
                </w:r>
              </w:p>
            </w:tc>
            <w:tc>
              <w:tcPr>
                <w:tcW w:w="621" w:type="pct"/>
                <w:shd w:val="clear" w:color="auto" w:fill="auto"/>
                <w:vAlign w:val="center"/>
              </w:tcPr>
              <w:p w14:paraId="421561B9" w14:textId="77777777" w:rsidR="00471D53" w:rsidRDefault="004F686E" w:rsidP="00471D53">
                <w:pPr>
                  <w:autoSpaceDE w:val="0"/>
                  <w:autoSpaceDN w:val="0"/>
                  <w:jc w:val="right"/>
                  <w:rPr>
                    <w:sz w:val="22"/>
                    <w:szCs w:val="22"/>
                  </w:rPr>
                </w:pPr>
                <w:r>
                  <w:rPr>
                    <w:rFonts w:hint="eastAsia"/>
                    <w:sz w:val="22"/>
                    <w:szCs w:val="22"/>
                  </w:rPr>
                  <w:t>0.00</w:t>
                </w:r>
              </w:p>
            </w:tc>
            <w:tc>
              <w:tcPr>
                <w:tcW w:w="615" w:type="pct"/>
                <w:shd w:val="clear" w:color="auto" w:fill="auto"/>
                <w:vAlign w:val="center"/>
              </w:tcPr>
              <w:p w14:paraId="4952DD3C" w14:textId="77777777" w:rsidR="00471D53" w:rsidRDefault="004F686E" w:rsidP="00471D53">
                <w:pPr>
                  <w:autoSpaceDE w:val="0"/>
                  <w:autoSpaceDN w:val="0"/>
                  <w:jc w:val="right"/>
                  <w:rPr>
                    <w:sz w:val="22"/>
                    <w:szCs w:val="22"/>
                  </w:rPr>
                </w:pPr>
                <w:r>
                  <w:rPr>
                    <w:rFonts w:hint="eastAsia"/>
                    <w:sz w:val="22"/>
                    <w:szCs w:val="22"/>
                  </w:rPr>
                  <w:t>0.00</w:t>
                </w:r>
              </w:p>
            </w:tc>
          </w:tr>
          <w:tr w:rsidR="00471D53" w14:paraId="47D83AC3" w14:textId="77777777" w:rsidTr="00471D53">
            <w:trPr>
              <w:cantSplit/>
            </w:trPr>
            <w:sdt>
              <w:sdtPr>
                <w:tag w:val="_PLD_5c8b8837c4fd4f29a39327cb72d5dcbf"/>
                <w:id w:val="-771467992"/>
                <w:lock w:val="sdtLocked"/>
              </w:sdtPr>
              <w:sdtEndPr/>
              <w:sdtContent>
                <w:tc>
                  <w:tcPr>
                    <w:tcW w:w="1279" w:type="pct"/>
                    <w:shd w:val="clear" w:color="auto" w:fill="auto"/>
                    <w:vAlign w:val="center"/>
                  </w:tcPr>
                  <w:p w14:paraId="50CF8F0D" w14:textId="77777777" w:rsidR="00471D53" w:rsidRDefault="004F686E">
                    <w:pPr>
                      <w:jc w:val="center"/>
                    </w:pPr>
                    <w:r>
                      <w:rPr>
                        <w:rFonts w:hint="eastAsia"/>
                      </w:rPr>
                      <w:t>合计</w:t>
                    </w:r>
                  </w:p>
                </w:tc>
              </w:sdtContent>
            </w:sdt>
            <w:tc>
              <w:tcPr>
                <w:tcW w:w="628" w:type="pct"/>
                <w:shd w:val="clear" w:color="auto" w:fill="auto"/>
                <w:vAlign w:val="center"/>
              </w:tcPr>
              <w:p w14:paraId="4A455FA6" w14:textId="77777777" w:rsidR="00471D53" w:rsidRPr="00CC2A46" w:rsidRDefault="004F686E" w:rsidP="00471D53">
                <w:pPr>
                  <w:autoSpaceDE w:val="0"/>
                  <w:autoSpaceDN w:val="0"/>
                  <w:jc w:val="right"/>
                  <w:rPr>
                    <w:bCs/>
                    <w:sz w:val="22"/>
                    <w:szCs w:val="22"/>
                  </w:rPr>
                </w:pPr>
                <w:r w:rsidRPr="00CC2A46">
                  <w:rPr>
                    <w:rFonts w:cs="Calibri" w:hint="eastAsia"/>
                    <w:bCs/>
                    <w:sz w:val="22"/>
                    <w:szCs w:val="22"/>
                  </w:rPr>
                  <w:t>902,148,125.05</w:t>
                </w:r>
              </w:p>
            </w:tc>
            <w:tc>
              <w:tcPr>
                <w:tcW w:w="614" w:type="pct"/>
                <w:shd w:val="clear" w:color="auto" w:fill="auto"/>
                <w:vAlign w:val="center"/>
              </w:tcPr>
              <w:p w14:paraId="6273349A" w14:textId="77777777" w:rsidR="00471D53" w:rsidRPr="00CC2A46" w:rsidRDefault="004F686E" w:rsidP="00471D53">
                <w:pPr>
                  <w:autoSpaceDE w:val="0"/>
                  <w:autoSpaceDN w:val="0"/>
                  <w:jc w:val="right"/>
                  <w:rPr>
                    <w:bCs/>
                    <w:sz w:val="22"/>
                    <w:szCs w:val="22"/>
                  </w:rPr>
                </w:pPr>
                <w:r w:rsidRPr="00CC2A46">
                  <w:rPr>
                    <w:rFonts w:hint="eastAsia"/>
                    <w:sz w:val="22"/>
                    <w:szCs w:val="22"/>
                  </w:rPr>
                  <w:t>0.00</w:t>
                </w:r>
              </w:p>
            </w:tc>
            <w:tc>
              <w:tcPr>
                <w:tcW w:w="614" w:type="pct"/>
                <w:shd w:val="clear" w:color="auto" w:fill="auto"/>
                <w:vAlign w:val="center"/>
              </w:tcPr>
              <w:p w14:paraId="78B5D4DA" w14:textId="77777777" w:rsidR="00471D53" w:rsidRPr="00CC2A46" w:rsidRDefault="004F686E" w:rsidP="00471D53">
                <w:pPr>
                  <w:autoSpaceDE w:val="0"/>
                  <w:autoSpaceDN w:val="0"/>
                  <w:jc w:val="right"/>
                  <w:rPr>
                    <w:bCs/>
                    <w:sz w:val="22"/>
                    <w:szCs w:val="22"/>
                  </w:rPr>
                </w:pPr>
                <w:r w:rsidRPr="00CC2A46">
                  <w:rPr>
                    <w:rFonts w:cs="Calibri" w:hint="eastAsia"/>
                    <w:bCs/>
                    <w:sz w:val="22"/>
                    <w:szCs w:val="22"/>
                  </w:rPr>
                  <w:t>902,148,125.05</w:t>
                </w:r>
              </w:p>
            </w:tc>
            <w:tc>
              <w:tcPr>
                <w:tcW w:w="629" w:type="pct"/>
                <w:shd w:val="clear" w:color="auto" w:fill="auto"/>
                <w:vAlign w:val="center"/>
              </w:tcPr>
              <w:p w14:paraId="72B3B863" w14:textId="77777777" w:rsidR="00471D53" w:rsidRPr="00CC2A46" w:rsidRDefault="004F686E" w:rsidP="00471D53">
                <w:pPr>
                  <w:autoSpaceDE w:val="0"/>
                  <w:autoSpaceDN w:val="0"/>
                  <w:jc w:val="right"/>
                  <w:rPr>
                    <w:bCs/>
                    <w:sz w:val="22"/>
                    <w:szCs w:val="22"/>
                  </w:rPr>
                </w:pPr>
                <w:r w:rsidRPr="00CC2A46">
                  <w:rPr>
                    <w:rFonts w:cs="Calibri" w:hint="eastAsia"/>
                    <w:bCs/>
                    <w:sz w:val="22"/>
                    <w:szCs w:val="22"/>
                  </w:rPr>
                  <w:t>902,148,125.05</w:t>
                </w:r>
              </w:p>
            </w:tc>
            <w:tc>
              <w:tcPr>
                <w:tcW w:w="621" w:type="pct"/>
                <w:shd w:val="clear" w:color="auto" w:fill="auto"/>
                <w:vAlign w:val="center"/>
              </w:tcPr>
              <w:p w14:paraId="73B59E48" w14:textId="77777777" w:rsidR="00471D53" w:rsidRPr="00CC2A46" w:rsidRDefault="004F686E" w:rsidP="00471D53">
                <w:pPr>
                  <w:autoSpaceDE w:val="0"/>
                  <w:autoSpaceDN w:val="0"/>
                  <w:jc w:val="right"/>
                  <w:rPr>
                    <w:bCs/>
                    <w:sz w:val="22"/>
                    <w:szCs w:val="22"/>
                  </w:rPr>
                </w:pPr>
                <w:r w:rsidRPr="00CC2A46">
                  <w:rPr>
                    <w:rFonts w:hint="eastAsia"/>
                    <w:sz w:val="22"/>
                    <w:szCs w:val="22"/>
                  </w:rPr>
                  <w:t>0.00</w:t>
                </w:r>
              </w:p>
            </w:tc>
            <w:tc>
              <w:tcPr>
                <w:tcW w:w="615" w:type="pct"/>
                <w:shd w:val="clear" w:color="auto" w:fill="auto"/>
                <w:vAlign w:val="center"/>
              </w:tcPr>
              <w:p w14:paraId="198614CA" w14:textId="77777777" w:rsidR="00471D53" w:rsidRPr="00CC2A46" w:rsidRDefault="004F686E" w:rsidP="00471D53">
                <w:pPr>
                  <w:autoSpaceDE w:val="0"/>
                  <w:autoSpaceDN w:val="0"/>
                  <w:jc w:val="right"/>
                  <w:rPr>
                    <w:bCs/>
                    <w:sz w:val="22"/>
                    <w:szCs w:val="22"/>
                  </w:rPr>
                </w:pPr>
                <w:r w:rsidRPr="00CC2A46">
                  <w:rPr>
                    <w:rFonts w:cs="Calibri" w:hint="eastAsia"/>
                    <w:bCs/>
                    <w:sz w:val="22"/>
                    <w:szCs w:val="22"/>
                  </w:rPr>
                  <w:t>902,148,125.05</w:t>
                </w:r>
              </w:p>
            </w:tc>
          </w:tr>
        </w:tbl>
        <w:p w14:paraId="4D531937" w14:textId="77777777" w:rsidR="00471D53" w:rsidRDefault="00B664AF">
          <w:pPr>
            <w:rPr>
              <w:szCs w:val="21"/>
            </w:rPr>
          </w:pPr>
        </w:p>
      </w:sdtContent>
    </w:sdt>
    <w:sdt>
      <w:sdtPr>
        <w:rPr>
          <w:rFonts w:ascii="宋体" w:hAnsi="宋体" w:cs="宋体" w:hint="eastAsia"/>
          <w:b w:val="0"/>
          <w:bCs w:val="0"/>
          <w:kern w:val="0"/>
          <w:szCs w:val="24"/>
        </w:rPr>
        <w:alias w:val="模块:对子公司投资"/>
        <w:tag w:val="_GBC_354d808d545e41aab5b25112222d90f9"/>
        <w:id w:val="2030839760"/>
        <w:lock w:val="sdtLocked"/>
        <w:placeholder>
          <w:docPart w:val="GBC22222222222222222222222222222"/>
        </w:placeholder>
      </w:sdtPr>
      <w:sdtEndPr>
        <w:rPr>
          <w:szCs w:val="21"/>
        </w:rPr>
      </w:sdtEndPr>
      <w:sdtContent>
        <w:p w14:paraId="3842F3FA" w14:textId="77777777" w:rsidR="00471D53" w:rsidRDefault="004F686E" w:rsidP="004F686E">
          <w:pPr>
            <w:pStyle w:val="afffff8"/>
            <w:numPr>
              <w:ilvl w:val="0"/>
              <w:numId w:val="115"/>
            </w:numPr>
            <w:rPr>
              <w:rFonts w:ascii="宋体" w:hAnsi="宋体"/>
            </w:rPr>
          </w:pPr>
          <w:r>
            <w:rPr>
              <w:rFonts w:ascii="宋体" w:hAnsi="宋体" w:hint="eastAsia"/>
            </w:rPr>
            <w:t>对子公司投资</w:t>
          </w:r>
        </w:p>
        <w:sdt>
          <w:sdtPr>
            <w:alias w:val="是否适用：母公司对子公司投资[双击切换]"/>
            <w:tag w:val="_GBC_c52cee49247d42a9a79deabbd4c8635c"/>
            <w:id w:val="834116377"/>
            <w:lock w:val="sdtLocked"/>
            <w:placeholder>
              <w:docPart w:val="GBC22222222222222222222222222222"/>
            </w:placeholder>
          </w:sdtPr>
          <w:sdtEndPr/>
          <w:sdtContent>
            <w:p w14:paraId="7B968B4B"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2B86851" w14:textId="6DD3C180" w:rsidR="00471D53" w:rsidRDefault="004F686E">
          <w:pPr>
            <w:jc w:val="right"/>
            <w:rPr>
              <w:szCs w:val="21"/>
            </w:rPr>
          </w:pPr>
          <w:r>
            <w:rPr>
              <w:rFonts w:hint="eastAsia"/>
              <w:szCs w:val="21"/>
            </w:rPr>
            <w:t>单位：</w:t>
          </w:r>
          <w:sdt>
            <w:sdtPr>
              <w:rPr>
                <w:rFonts w:hint="eastAsia"/>
                <w:szCs w:val="21"/>
              </w:rPr>
              <w:alias w:val="单位：母公司财务附注：对子公司投资"/>
              <w:tag w:val="_GBC_84c410d0b81f42e3adfddc3699487310"/>
              <w:id w:val="20514162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母公司财务附注：对子公司投资"/>
              <w:tag w:val="_GBC_97fad72310ba4b849377b0e1cebf7303"/>
              <w:id w:val="-20803295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2"/>
            <w:gridCol w:w="1686"/>
            <w:gridCol w:w="973"/>
            <w:gridCol w:w="972"/>
            <w:gridCol w:w="1686"/>
            <w:gridCol w:w="972"/>
            <w:gridCol w:w="972"/>
          </w:tblGrid>
          <w:tr w:rsidR="00471D53" w14:paraId="14B539AA" w14:textId="77777777" w:rsidTr="00471D53">
            <w:sdt>
              <w:sdtPr>
                <w:tag w:val="_PLD_c6f1ebfed2274883870089cc90c0b5b3"/>
                <w:id w:val="-1297375244"/>
                <w:lock w:val="sdtLocked"/>
              </w:sdtPr>
              <w:sdtEndPr/>
              <w:sdtContent>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14:paraId="2FAC6139" w14:textId="77777777" w:rsidR="00471D53" w:rsidRDefault="004F686E" w:rsidP="00471D53">
                    <w:pPr>
                      <w:jc w:val="center"/>
                    </w:pPr>
                    <w:r>
                      <w:rPr>
                        <w:rFonts w:hint="eastAsia"/>
                      </w:rPr>
                      <w:t>被投资单位</w:t>
                    </w:r>
                  </w:p>
                </w:tc>
              </w:sdtContent>
            </w:sdt>
            <w:sdt>
              <w:sdtPr>
                <w:tag w:val="_PLD_c8b6275a3567432ba7b63d4485a9cce5"/>
                <w:id w:val="-1184888243"/>
                <w:lock w:val="sdtLocked"/>
              </w:sdtPr>
              <w:sdtEndPr/>
              <w:sdtContent>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14:paraId="3294DCE8" w14:textId="77777777" w:rsidR="00471D53" w:rsidRDefault="004F686E" w:rsidP="00471D53">
                    <w:pPr>
                      <w:jc w:val="center"/>
                    </w:pPr>
                    <w:r>
                      <w:rPr>
                        <w:rFonts w:hint="eastAsia"/>
                      </w:rPr>
                      <w:t>期初余额</w:t>
                    </w:r>
                  </w:p>
                </w:tc>
              </w:sdtContent>
            </w:sdt>
            <w:sdt>
              <w:sdtPr>
                <w:tag w:val="_PLD_a192e1f764d54f39ad94a065019bc4f2"/>
                <w:id w:val="2111851144"/>
                <w:lock w:val="sdtLocked"/>
              </w:sdtPr>
              <w:sdtEndPr/>
              <w:sdtContent>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01485322" w14:textId="77777777" w:rsidR="00471D53" w:rsidRDefault="004F686E" w:rsidP="00471D53">
                    <w:pPr>
                      <w:jc w:val="center"/>
                    </w:pPr>
                    <w:r>
                      <w:rPr>
                        <w:rFonts w:hint="eastAsia"/>
                      </w:rPr>
                      <w:t>本期增加</w:t>
                    </w:r>
                  </w:p>
                </w:tc>
              </w:sdtContent>
            </w:sdt>
            <w:sdt>
              <w:sdtPr>
                <w:tag w:val="_PLD_3a74d3e1bc0e43debb3fdd0f1f6de769"/>
                <w:id w:val="-1841455921"/>
                <w:lock w:val="sdtLocked"/>
              </w:sdtPr>
              <w:sdtEndPr/>
              <w:sdtContent>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1AD06C5B" w14:textId="77777777" w:rsidR="00471D53" w:rsidRDefault="004F686E" w:rsidP="00471D53">
                    <w:pPr>
                      <w:jc w:val="center"/>
                    </w:pPr>
                    <w:r>
                      <w:rPr>
                        <w:rFonts w:hint="eastAsia"/>
                      </w:rPr>
                      <w:t>本期减少</w:t>
                    </w:r>
                  </w:p>
                </w:tc>
              </w:sdtContent>
            </w:sdt>
            <w:sdt>
              <w:sdtPr>
                <w:tag w:val="_PLD_62acff2435cd434284a753ea8ebfa201"/>
                <w:id w:val="489987788"/>
                <w:lock w:val="sdtLocked"/>
              </w:sdtPr>
              <w:sdtEndPr/>
              <w:sdtContent>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14:paraId="79526DEB" w14:textId="77777777" w:rsidR="00471D53" w:rsidRDefault="004F686E" w:rsidP="00471D53">
                    <w:pPr>
                      <w:jc w:val="center"/>
                    </w:pPr>
                    <w:r>
                      <w:rPr>
                        <w:rFonts w:hint="eastAsia"/>
                      </w:rPr>
                      <w:t>期末余额</w:t>
                    </w:r>
                  </w:p>
                </w:tc>
              </w:sdtContent>
            </w:sdt>
            <w:sdt>
              <w:sdtPr>
                <w:tag w:val="_PLD_67b1a9b1d215409ebb6ceb131ad5e8bf"/>
                <w:id w:val="1277451442"/>
                <w:lock w:val="sdtLocked"/>
              </w:sdtPr>
              <w:sdtEndPr/>
              <w:sdtContent>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54638A51" w14:textId="77777777" w:rsidR="00471D53" w:rsidRDefault="004F686E" w:rsidP="00471D53">
                    <w:pPr>
                      <w:jc w:val="center"/>
                      <w:rPr>
                        <w:szCs w:val="21"/>
                      </w:rPr>
                    </w:pPr>
                    <w:r>
                      <w:rPr>
                        <w:rFonts w:hint="eastAsia"/>
                      </w:rPr>
                      <w:t>本期计提减值准备</w:t>
                    </w:r>
                  </w:p>
                </w:tc>
              </w:sdtContent>
            </w:sdt>
            <w:sdt>
              <w:sdtPr>
                <w:tag w:val="_PLD_bfab2049a5684d7d922489b57382b080"/>
                <w:id w:val="1940338643"/>
                <w:lock w:val="sdtLocked"/>
              </w:sdtPr>
              <w:sdtEndPr/>
              <w:sdtContent>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1A6090BD" w14:textId="77777777" w:rsidR="00471D53" w:rsidRDefault="004F686E" w:rsidP="00471D53">
                    <w:pPr>
                      <w:jc w:val="center"/>
                    </w:pPr>
                    <w:r>
                      <w:rPr>
                        <w:rFonts w:hint="eastAsia"/>
                      </w:rPr>
                      <w:t>减值准备期末余额</w:t>
                    </w:r>
                  </w:p>
                </w:tc>
              </w:sdtContent>
            </w:sdt>
          </w:tr>
          <w:sdt>
            <w:sdtPr>
              <w:alias w:val="长期股权投资明细"/>
              <w:tag w:val="_GBC_daf82e8df55d4ba9bf351c25fd5a63c2"/>
              <w:id w:val="-288208542"/>
              <w:lock w:val="sdtLocked"/>
            </w:sdtPr>
            <w:sdtEndPr/>
            <w:sdtContent>
              <w:tr w:rsidR="00471D53" w14:paraId="1F48CFD6" w14:textId="77777777" w:rsidTr="00471D53">
                <w:tc>
                  <w:tcPr>
                    <w:tcW w:w="895" w:type="pct"/>
                    <w:tcBorders>
                      <w:top w:val="single" w:sz="4" w:space="0" w:color="auto"/>
                      <w:left w:val="single" w:sz="4" w:space="0" w:color="auto"/>
                      <w:bottom w:val="single" w:sz="4" w:space="0" w:color="auto"/>
                      <w:right w:val="single" w:sz="4" w:space="0" w:color="auto"/>
                    </w:tcBorders>
                    <w:vAlign w:val="center"/>
                  </w:tcPr>
                  <w:p w14:paraId="0771E1F1" w14:textId="77777777" w:rsidR="00471D53" w:rsidRDefault="004F686E" w:rsidP="00471D53">
                    <w:r>
                      <w:t>北京天海工业有限公司</w:t>
                    </w:r>
                  </w:p>
                </w:tc>
                <w:tc>
                  <w:tcPr>
                    <w:tcW w:w="932" w:type="pct"/>
                    <w:tcBorders>
                      <w:top w:val="single" w:sz="4" w:space="0" w:color="auto"/>
                      <w:left w:val="single" w:sz="4" w:space="0" w:color="auto"/>
                      <w:bottom w:val="single" w:sz="4" w:space="0" w:color="auto"/>
                      <w:right w:val="single" w:sz="4" w:space="0" w:color="auto"/>
                    </w:tcBorders>
                  </w:tcPr>
                  <w:p w14:paraId="36F580FD" w14:textId="77777777" w:rsidR="00471D53" w:rsidRDefault="004F686E" w:rsidP="00471D53">
                    <w:pPr>
                      <w:jc w:val="right"/>
                    </w:pPr>
                    <w:r>
                      <w:t>760,104,096.95</w:t>
                    </w:r>
                  </w:p>
                </w:tc>
                <w:tc>
                  <w:tcPr>
                    <w:tcW w:w="561" w:type="pct"/>
                    <w:tcBorders>
                      <w:top w:val="single" w:sz="4" w:space="0" w:color="auto"/>
                      <w:left w:val="single" w:sz="4" w:space="0" w:color="auto"/>
                      <w:bottom w:val="single" w:sz="4" w:space="0" w:color="auto"/>
                      <w:right w:val="single" w:sz="4" w:space="0" w:color="auto"/>
                    </w:tcBorders>
                  </w:tcPr>
                  <w:p w14:paraId="03624AB9" w14:textId="77777777" w:rsidR="00471D53" w:rsidRDefault="004F686E" w:rsidP="00471D53">
                    <w:pPr>
                      <w:jc w:val="right"/>
                    </w:pPr>
                    <w:r>
                      <w:t>0.00</w:t>
                    </w:r>
                  </w:p>
                </w:tc>
                <w:tc>
                  <w:tcPr>
                    <w:tcW w:w="560" w:type="pct"/>
                    <w:tcBorders>
                      <w:top w:val="single" w:sz="4" w:space="0" w:color="auto"/>
                      <w:left w:val="single" w:sz="4" w:space="0" w:color="auto"/>
                      <w:bottom w:val="single" w:sz="4" w:space="0" w:color="auto"/>
                      <w:right w:val="single" w:sz="4" w:space="0" w:color="auto"/>
                    </w:tcBorders>
                  </w:tcPr>
                  <w:p w14:paraId="6CD94264" w14:textId="77777777" w:rsidR="00471D53" w:rsidRDefault="004F686E" w:rsidP="00471D53">
                    <w:pPr>
                      <w:jc w:val="right"/>
                    </w:pPr>
                    <w:r>
                      <w:t>0.00</w:t>
                    </w:r>
                  </w:p>
                </w:tc>
                <w:tc>
                  <w:tcPr>
                    <w:tcW w:w="932" w:type="pct"/>
                    <w:tcBorders>
                      <w:top w:val="single" w:sz="4" w:space="0" w:color="auto"/>
                      <w:left w:val="single" w:sz="4" w:space="0" w:color="auto"/>
                      <w:bottom w:val="single" w:sz="4" w:space="0" w:color="auto"/>
                      <w:right w:val="single" w:sz="4" w:space="0" w:color="auto"/>
                    </w:tcBorders>
                  </w:tcPr>
                  <w:p w14:paraId="65D4F674" w14:textId="77777777" w:rsidR="00471D53" w:rsidRDefault="004F686E" w:rsidP="00471D53">
                    <w:pPr>
                      <w:jc w:val="right"/>
                    </w:pPr>
                    <w:r>
                      <w:t>760,104,096.95</w:t>
                    </w:r>
                  </w:p>
                </w:tc>
                <w:tc>
                  <w:tcPr>
                    <w:tcW w:w="560" w:type="pct"/>
                    <w:tcBorders>
                      <w:top w:val="single" w:sz="4" w:space="0" w:color="auto"/>
                      <w:left w:val="single" w:sz="4" w:space="0" w:color="auto"/>
                      <w:bottom w:val="single" w:sz="4" w:space="0" w:color="auto"/>
                      <w:right w:val="single" w:sz="4" w:space="0" w:color="auto"/>
                    </w:tcBorders>
                  </w:tcPr>
                  <w:p w14:paraId="35FFB15C" w14:textId="77777777" w:rsidR="00471D53" w:rsidRDefault="004F686E" w:rsidP="00471D53">
                    <w:pPr>
                      <w:jc w:val="right"/>
                    </w:pPr>
                    <w:r>
                      <w:t>0.00</w:t>
                    </w:r>
                  </w:p>
                </w:tc>
                <w:tc>
                  <w:tcPr>
                    <w:tcW w:w="560" w:type="pct"/>
                    <w:tcBorders>
                      <w:top w:val="single" w:sz="4" w:space="0" w:color="auto"/>
                      <w:left w:val="single" w:sz="4" w:space="0" w:color="auto"/>
                      <w:bottom w:val="single" w:sz="4" w:space="0" w:color="auto"/>
                      <w:right w:val="single" w:sz="4" w:space="0" w:color="auto"/>
                    </w:tcBorders>
                  </w:tcPr>
                  <w:p w14:paraId="2D43DB82" w14:textId="77777777" w:rsidR="00471D53" w:rsidRDefault="004F686E" w:rsidP="00471D53">
                    <w:pPr>
                      <w:jc w:val="right"/>
                    </w:pPr>
                    <w:r>
                      <w:t>0.00</w:t>
                    </w:r>
                  </w:p>
                </w:tc>
              </w:tr>
            </w:sdtContent>
          </w:sdt>
          <w:sdt>
            <w:sdtPr>
              <w:alias w:val="长期股权投资明细"/>
              <w:tag w:val="_GBC_daf82e8df55d4ba9bf351c25fd5a63c2"/>
              <w:id w:val="-2041037660"/>
              <w:lock w:val="sdtLocked"/>
            </w:sdtPr>
            <w:sdtEndPr/>
            <w:sdtContent>
              <w:tr w:rsidR="00471D53" w14:paraId="1AF5278A" w14:textId="77777777" w:rsidTr="00471D53">
                <w:tc>
                  <w:tcPr>
                    <w:tcW w:w="895" w:type="pct"/>
                    <w:tcBorders>
                      <w:top w:val="single" w:sz="4" w:space="0" w:color="auto"/>
                      <w:left w:val="single" w:sz="4" w:space="0" w:color="auto"/>
                      <w:bottom w:val="single" w:sz="4" w:space="0" w:color="auto"/>
                      <w:right w:val="single" w:sz="4" w:space="0" w:color="auto"/>
                    </w:tcBorders>
                    <w:vAlign w:val="center"/>
                  </w:tcPr>
                  <w:p w14:paraId="304D6130" w14:textId="77777777" w:rsidR="00471D53" w:rsidRDefault="004F686E" w:rsidP="00471D53">
                    <w:r>
                      <w:t>京城控股（香港）有限公司</w:t>
                    </w:r>
                  </w:p>
                </w:tc>
                <w:tc>
                  <w:tcPr>
                    <w:tcW w:w="932" w:type="pct"/>
                    <w:tcBorders>
                      <w:top w:val="single" w:sz="4" w:space="0" w:color="auto"/>
                      <w:left w:val="single" w:sz="4" w:space="0" w:color="auto"/>
                      <w:bottom w:val="single" w:sz="4" w:space="0" w:color="auto"/>
                      <w:right w:val="single" w:sz="4" w:space="0" w:color="auto"/>
                    </w:tcBorders>
                  </w:tcPr>
                  <w:p w14:paraId="239631F3" w14:textId="77777777" w:rsidR="00471D53" w:rsidRDefault="004F686E" w:rsidP="00471D53">
                    <w:pPr>
                      <w:jc w:val="right"/>
                    </w:pPr>
                    <w:r>
                      <w:t>142,044,028.10</w:t>
                    </w:r>
                  </w:p>
                </w:tc>
                <w:tc>
                  <w:tcPr>
                    <w:tcW w:w="561" w:type="pct"/>
                    <w:tcBorders>
                      <w:top w:val="single" w:sz="4" w:space="0" w:color="auto"/>
                      <w:left w:val="single" w:sz="4" w:space="0" w:color="auto"/>
                      <w:bottom w:val="single" w:sz="4" w:space="0" w:color="auto"/>
                      <w:right w:val="single" w:sz="4" w:space="0" w:color="auto"/>
                    </w:tcBorders>
                  </w:tcPr>
                  <w:p w14:paraId="54070401" w14:textId="77777777" w:rsidR="00471D53" w:rsidRDefault="004F686E" w:rsidP="00471D53">
                    <w:pPr>
                      <w:jc w:val="right"/>
                    </w:pPr>
                    <w:r>
                      <w:t>0.00</w:t>
                    </w:r>
                  </w:p>
                </w:tc>
                <w:tc>
                  <w:tcPr>
                    <w:tcW w:w="560" w:type="pct"/>
                    <w:tcBorders>
                      <w:top w:val="single" w:sz="4" w:space="0" w:color="auto"/>
                      <w:left w:val="single" w:sz="4" w:space="0" w:color="auto"/>
                      <w:bottom w:val="single" w:sz="4" w:space="0" w:color="auto"/>
                      <w:right w:val="single" w:sz="4" w:space="0" w:color="auto"/>
                    </w:tcBorders>
                  </w:tcPr>
                  <w:p w14:paraId="2C317434" w14:textId="77777777" w:rsidR="00471D53" w:rsidRDefault="004F686E" w:rsidP="00471D53">
                    <w:pPr>
                      <w:jc w:val="right"/>
                    </w:pPr>
                    <w:r>
                      <w:t>0.00</w:t>
                    </w:r>
                  </w:p>
                </w:tc>
                <w:tc>
                  <w:tcPr>
                    <w:tcW w:w="932" w:type="pct"/>
                    <w:tcBorders>
                      <w:top w:val="single" w:sz="4" w:space="0" w:color="auto"/>
                      <w:left w:val="single" w:sz="4" w:space="0" w:color="auto"/>
                      <w:bottom w:val="single" w:sz="4" w:space="0" w:color="auto"/>
                      <w:right w:val="single" w:sz="4" w:space="0" w:color="auto"/>
                    </w:tcBorders>
                  </w:tcPr>
                  <w:p w14:paraId="0043C091" w14:textId="77777777" w:rsidR="00471D53" w:rsidRDefault="004F686E" w:rsidP="00471D53">
                    <w:pPr>
                      <w:jc w:val="right"/>
                    </w:pPr>
                    <w:r>
                      <w:t>142,044,028.10</w:t>
                    </w:r>
                  </w:p>
                </w:tc>
                <w:tc>
                  <w:tcPr>
                    <w:tcW w:w="560" w:type="pct"/>
                    <w:tcBorders>
                      <w:top w:val="single" w:sz="4" w:space="0" w:color="auto"/>
                      <w:left w:val="single" w:sz="4" w:space="0" w:color="auto"/>
                      <w:bottom w:val="single" w:sz="4" w:space="0" w:color="auto"/>
                      <w:right w:val="single" w:sz="4" w:space="0" w:color="auto"/>
                    </w:tcBorders>
                  </w:tcPr>
                  <w:p w14:paraId="423F2DB4" w14:textId="77777777" w:rsidR="00471D53" w:rsidRDefault="004F686E" w:rsidP="00471D53">
                    <w:pPr>
                      <w:jc w:val="right"/>
                    </w:pPr>
                    <w:r>
                      <w:t>0.00</w:t>
                    </w:r>
                  </w:p>
                </w:tc>
                <w:tc>
                  <w:tcPr>
                    <w:tcW w:w="560" w:type="pct"/>
                    <w:tcBorders>
                      <w:top w:val="single" w:sz="4" w:space="0" w:color="auto"/>
                      <w:left w:val="single" w:sz="4" w:space="0" w:color="auto"/>
                      <w:bottom w:val="single" w:sz="4" w:space="0" w:color="auto"/>
                      <w:right w:val="single" w:sz="4" w:space="0" w:color="auto"/>
                    </w:tcBorders>
                  </w:tcPr>
                  <w:p w14:paraId="0CC9209F" w14:textId="77777777" w:rsidR="00471D53" w:rsidRDefault="004F686E" w:rsidP="00471D53">
                    <w:pPr>
                      <w:jc w:val="right"/>
                    </w:pPr>
                    <w:r>
                      <w:t>0.00</w:t>
                    </w:r>
                  </w:p>
                </w:tc>
              </w:tr>
            </w:sdtContent>
          </w:sdt>
          <w:tr w:rsidR="00471D53" w14:paraId="746F4456" w14:textId="77777777" w:rsidTr="00471D53">
            <w:sdt>
              <w:sdtPr>
                <w:tag w:val="_PLD_9515e88574304b2da64302e50d23e6cf"/>
                <w:id w:val="-1617983637"/>
                <w:lock w:val="sdtLocked"/>
              </w:sdtPr>
              <w:sdtEndPr/>
              <w:sdtContent>
                <w:tc>
                  <w:tcPr>
                    <w:tcW w:w="895" w:type="pct"/>
                    <w:tcBorders>
                      <w:top w:val="single" w:sz="4" w:space="0" w:color="auto"/>
                      <w:left w:val="single" w:sz="4" w:space="0" w:color="auto"/>
                      <w:bottom w:val="single" w:sz="4" w:space="0" w:color="auto"/>
                      <w:right w:val="single" w:sz="4" w:space="0" w:color="auto"/>
                    </w:tcBorders>
                    <w:vAlign w:val="center"/>
                  </w:tcPr>
                  <w:p w14:paraId="2416E89B" w14:textId="77777777" w:rsidR="00471D53" w:rsidRDefault="004F686E" w:rsidP="00471D53">
                    <w:pPr>
                      <w:jc w:val="center"/>
                    </w:pPr>
                    <w:r>
                      <w:rPr>
                        <w:rFonts w:hint="eastAsia"/>
                      </w:rPr>
                      <w:t>合计</w:t>
                    </w:r>
                  </w:p>
                </w:tc>
              </w:sdtContent>
            </w:sdt>
            <w:tc>
              <w:tcPr>
                <w:tcW w:w="932" w:type="pct"/>
                <w:tcBorders>
                  <w:top w:val="single" w:sz="4" w:space="0" w:color="auto"/>
                  <w:left w:val="single" w:sz="4" w:space="0" w:color="auto"/>
                  <w:bottom w:val="single" w:sz="4" w:space="0" w:color="auto"/>
                  <w:right w:val="single" w:sz="4" w:space="0" w:color="auto"/>
                </w:tcBorders>
                <w:vAlign w:val="center"/>
              </w:tcPr>
              <w:p w14:paraId="68A96DD1" w14:textId="77777777" w:rsidR="00471D53" w:rsidRDefault="004F686E">
                <w:pPr>
                  <w:rPr>
                    <w:sz w:val="24"/>
                  </w:rPr>
                </w:pPr>
                <w:r>
                  <w:t>902,148,125.05</w:t>
                </w:r>
              </w:p>
            </w:tc>
            <w:tc>
              <w:tcPr>
                <w:tcW w:w="561" w:type="pct"/>
                <w:tcBorders>
                  <w:top w:val="single" w:sz="4" w:space="0" w:color="auto"/>
                  <w:left w:val="single" w:sz="4" w:space="0" w:color="auto"/>
                  <w:bottom w:val="single" w:sz="4" w:space="0" w:color="auto"/>
                  <w:right w:val="single" w:sz="4" w:space="0" w:color="auto"/>
                </w:tcBorders>
                <w:vAlign w:val="center"/>
              </w:tcPr>
              <w:p w14:paraId="46E6EC1A" w14:textId="77777777" w:rsidR="00471D53" w:rsidRDefault="004F686E">
                <w:pPr>
                  <w:rPr>
                    <w:sz w:val="24"/>
                  </w:rPr>
                </w:pPr>
                <w:r>
                  <w:t>0.00</w:t>
                </w:r>
              </w:p>
            </w:tc>
            <w:tc>
              <w:tcPr>
                <w:tcW w:w="560" w:type="pct"/>
                <w:tcBorders>
                  <w:top w:val="single" w:sz="4" w:space="0" w:color="auto"/>
                  <w:left w:val="single" w:sz="4" w:space="0" w:color="auto"/>
                  <w:bottom w:val="single" w:sz="4" w:space="0" w:color="auto"/>
                  <w:right w:val="single" w:sz="4" w:space="0" w:color="auto"/>
                </w:tcBorders>
                <w:vAlign w:val="center"/>
              </w:tcPr>
              <w:p w14:paraId="23FC80FB" w14:textId="77777777" w:rsidR="00471D53" w:rsidRDefault="004F686E">
                <w:pPr>
                  <w:rPr>
                    <w:sz w:val="24"/>
                  </w:rPr>
                </w:pPr>
                <w:r>
                  <w:t>0.00</w:t>
                </w:r>
              </w:p>
            </w:tc>
            <w:tc>
              <w:tcPr>
                <w:tcW w:w="932" w:type="pct"/>
                <w:tcBorders>
                  <w:top w:val="single" w:sz="4" w:space="0" w:color="auto"/>
                  <w:left w:val="single" w:sz="4" w:space="0" w:color="auto"/>
                  <w:bottom w:val="single" w:sz="4" w:space="0" w:color="auto"/>
                  <w:right w:val="single" w:sz="4" w:space="0" w:color="auto"/>
                </w:tcBorders>
                <w:vAlign w:val="center"/>
              </w:tcPr>
              <w:p w14:paraId="28ECE75D" w14:textId="77777777" w:rsidR="00471D53" w:rsidRDefault="004F686E">
                <w:pPr>
                  <w:rPr>
                    <w:sz w:val="24"/>
                  </w:rPr>
                </w:pPr>
                <w:r>
                  <w:t>902,148,125.05</w:t>
                </w:r>
              </w:p>
            </w:tc>
            <w:tc>
              <w:tcPr>
                <w:tcW w:w="560" w:type="pct"/>
                <w:tcBorders>
                  <w:top w:val="single" w:sz="4" w:space="0" w:color="auto"/>
                  <w:left w:val="single" w:sz="4" w:space="0" w:color="auto"/>
                  <w:bottom w:val="single" w:sz="4" w:space="0" w:color="auto"/>
                  <w:right w:val="single" w:sz="4" w:space="0" w:color="auto"/>
                </w:tcBorders>
                <w:vAlign w:val="center"/>
              </w:tcPr>
              <w:p w14:paraId="2374ADE2" w14:textId="77777777" w:rsidR="00471D53" w:rsidRDefault="004F686E">
                <w:pPr>
                  <w:rPr>
                    <w:sz w:val="24"/>
                  </w:rPr>
                </w:pPr>
                <w:r>
                  <w:t>0.00</w:t>
                </w:r>
              </w:p>
            </w:tc>
            <w:tc>
              <w:tcPr>
                <w:tcW w:w="560" w:type="pct"/>
                <w:tcBorders>
                  <w:top w:val="single" w:sz="4" w:space="0" w:color="auto"/>
                  <w:left w:val="single" w:sz="4" w:space="0" w:color="auto"/>
                  <w:bottom w:val="single" w:sz="4" w:space="0" w:color="auto"/>
                  <w:right w:val="single" w:sz="4" w:space="0" w:color="auto"/>
                </w:tcBorders>
                <w:vAlign w:val="center"/>
              </w:tcPr>
              <w:p w14:paraId="4E3F7B70" w14:textId="77777777" w:rsidR="00471D53" w:rsidRDefault="004F686E">
                <w:pPr>
                  <w:rPr>
                    <w:sz w:val="24"/>
                  </w:rPr>
                </w:pPr>
                <w:r>
                  <w:t>0.00</w:t>
                </w:r>
              </w:p>
            </w:tc>
          </w:tr>
        </w:tbl>
        <w:p w14:paraId="6B9D9079" w14:textId="77777777" w:rsidR="00471D53" w:rsidRDefault="00B664AF"/>
        <w:p w14:paraId="16BC6E44" w14:textId="77777777" w:rsidR="00471D53" w:rsidRDefault="00B664AF">
          <w:pPr>
            <w:rPr>
              <w:szCs w:val="21"/>
            </w:rPr>
          </w:pPr>
        </w:p>
      </w:sdtContent>
    </w:sdt>
    <w:sdt>
      <w:sdtPr>
        <w:rPr>
          <w:rFonts w:ascii="宋体" w:hAnsi="宋体" w:cs="宋体" w:hint="eastAsia"/>
          <w:b w:val="0"/>
          <w:bCs w:val="0"/>
          <w:kern w:val="0"/>
          <w:szCs w:val="21"/>
        </w:rPr>
        <w:alias w:val="模块:对联营、合营企业投资"/>
        <w:tag w:val="_GBC_eb61534d0a614526b319605aeaa9bf73"/>
        <w:id w:val="-1655529315"/>
        <w:lock w:val="sdtLocked"/>
        <w:placeholder>
          <w:docPart w:val="GBC22222222222222222222222222222"/>
        </w:placeholder>
      </w:sdtPr>
      <w:sdtEndPr/>
      <w:sdtContent>
        <w:p w14:paraId="479C9DBF" w14:textId="77777777" w:rsidR="00471D53" w:rsidRDefault="004F686E" w:rsidP="004F686E">
          <w:pPr>
            <w:pStyle w:val="afffff8"/>
            <w:numPr>
              <w:ilvl w:val="0"/>
              <w:numId w:val="115"/>
            </w:numPr>
            <w:rPr>
              <w:rFonts w:ascii="宋体" w:hAnsi="宋体"/>
              <w:szCs w:val="21"/>
            </w:rPr>
          </w:pPr>
          <w:r>
            <w:rPr>
              <w:rFonts w:ascii="宋体" w:hAnsi="宋体" w:hint="eastAsia"/>
              <w:szCs w:val="21"/>
            </w:rPr>
            <w:t>对联营、</w:t>
          </w:r>
          <w:r>
            <w:rPr>
              <w:rFonts w:ascii="宋体" w:hAnsi="宋体" w:hint="eastAsia"/>
            </w:rPr>
            <w:t>合营</w:t>
          </w:r>
          <w:r>
            <w:rPr>
              <w:rFonts w:ascii="宋体" w:hAnsi="宋体" w:hint="eastAsia"/>
              <w:szCs w:val="21"/>
            </w:rPr>
            <w:t>企业投资</w:t>
          </w:r>
        </w:p>
        <w:sdt>
          <w:sdtPr>
            <w:alias w:val="是否适用：母公司对联营、合营企业投资[双击切换]"/>
            <w:tag w:val="_GBC_0837f60a15fc4684b64085618adca8d2"/>
            <w:id w:val="-1239547241"/>
            <w:lock w:val="sdtLocked"/>
            <w:placeholder>
              <w:docPart w:val="GBC22222222222222222222222222222"/>
            </w:placeholder>
          </w:sdtPr>
          <w:sdtEndPr/>
          <w:sdtContent>
            <w:p w14:paraId="5E5C922F" w14:textId="77777777" w:rsidR="00471D53" w:rsidRDefault="004F686E" w:rsidP="00471D53">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szCs w:val="21"/>
        </w:rPr>
        <w:alias w:val="模块:长期股权投资的说明"/>
        <w:tag w:val="_GBC_1577b793bbce4a50b07decde0e07491e"/>
        <w:id w:val="-131790002"/>
        <w:lock w:val="sdtLocked"/>
        <w:placeholder>
          <w:docPart w:val="GBC22222222222222222222222222222"/>
        </w:placeholder>
      </w:sdtPr>
      <w:sdtEndPr/>
      <w:sdtContent>
        <w:p w14:paraId="2324C7C6" w14:textId="77777777" w:rsidR="00471D53" w:rsidRDefault="004F686E">
          <w:pPr>
            <w:rPr>
              <w:szCs w:val="21"/>
            </w:rPr>
          </w:pPr>
          <w:r>
            <w:rPr>
              <w:rFonts w:hint="eastAsia"/>
              <w:szCs w:val="21"/>
            </w:rPr>
            <w:t>其他说明：</w:t>
          </w:r>
        </w:p>
        <w:sdt>
          <w:sdtPr>
            <w:rPr>
              <w:szCs w:val="21"/>
            </w:rPr>
            <w:alias w:val="是否适用：母公司长期股权投资其他说明[双击切换]"/>
            <w:tag w:val="_GBC_8b70582854684459adc77f46cbf4aac7"/>
            <w:id w:val="305284676"/>
            <w:lock w:val="sdtLocked"/>
            <w:placeholder>
              <w:docPart w:val="GBC22222222222222222222222222222"/>
            </w:placeholder>
          </w:sdtPr>
          <w:sdtEndPr/>
          <w:sdtContent>
            <w:p w14:paraId="5510C0CF" w14:textId="77777777" w:rsidR="00471D53" w:rsidRDefault="004F686E" w:rsidP="00471D5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14:paraId="250E3C50" w14:textId="77777777" w:rsidR="00471D53" w:rsidRDefault="00B664AF">
      <w:pPr>
        <w:rPr>
          <w:szCs w:val="21"/>
        </w:rPr>
      </w:pPr>
    </w:p>
    <w:p w14:paraId="2E2C9A96" w14:textId="77777777" w:rsidR="00471D53" w:rsidRDefault="004F686E" w:rsidP="004F686E">
      <w:pPr>
        <w:pStyle w:val="afffff7"/>
        <w:numPr>
          <w:ilvl w:val="0"/>
          <w:numId w:val="112"/>
        </w:numPr>
        <w:rPr>
          <w:rFonts w:ascii="宋体" w:hAnsi="宋体"/>
        </w:rPr>
      </w:pPr>
      <w:r>
        <w:rPr>
          <w:rFonts w:ascii="宋体" w:hAnsi="宋体" w:hint="eastAsia"/>
        </w:rPr>
        <w:t>营业收入和营业成本</w:t>
      </w:r>
    </w:p>
    <w:bookmarkStart w:id="275" w:name="_Hlk10548568" w:displacedByCustomXml="next"/>
    <w:sdt>
      <w:sdtPr>
        <w:rPr>
          <w:rFonts w:ascii="宋体" w:hAnsi="宋体" w:cs="宋体" w:hint="eastAsia"/>
          <w:b w:val="0"/>
          <w:bCs w:val="0"/>
          <w:kern w:val="0"/>
          <w:szCs w:val="24"/>
        </w:rPr>
        <w:alias w:val="模块:营业收入和营业成本情况"/>
        <w:tag w:val="_SEC_c20353238d924d35bff1a3e0cee4af4b"/>
        <w:id w:val="-1276712920"/>
        <w:lock w:val="sdtLocked"/>
        <w:placeholder>
          <w:docPart w:val="GBC22222222222222222222222222222"/>
        </w:placeholder>
      </w:sdtPr>
      <w:sdtEndPr>
        <w:rPr>
          <w:rFonts w:hint="default"/>
        </w:rPr>
      </w:sdtEndPr>
      <w:sdtContent>
        <w:p w14:paraId="003337F3" w14:textId="77777777" w:rsidR="00471D53" w:rsidRDefault="004F686E" w:rsidP="004F686E">
          <w:pPr>
            <w:pStyle w:val="afffff8"/>
            <w:numPr>
              <w:ilvl w:val="0"/>
              <w:numId w:val="116"/>
            </w:numPr>
            <w:rPr>
              <w:rFonts w:ascii="宋体" w:hAnsi="宋体"/>
            </w:rPr>
          </w:pPr>
          <w:r>
            <w:rPr>
              <w:rFonts w:ascii="宋体" w:hAnsi="宋体" w:hint="eastAsia"/>
            </w:rPr>
            <w:t>营业收入和营业成本情况</w:t>
          </w:r>
        </w:p>
        <w:sdt>
          <w:sdtPr>
            <w:alias w:val="是否适用：母公司营业收入和营业成本[双击切换]"/>
            <w:tag w:val="_GBC_f62d83b1068f4bfaae3a590b0ac9f4d7"/>
            <w:id w:val="-22711074"/>
            <w:lock w:val="sdtLocked"/>
            <w:placeholder>
              <w:docPart w:val="GBC22222222222222222222222222222"/>
            </w:placeholder>
          </w:sdtPr>
          <w:sdtEndPr/>
          <w:sdtContent>
            <w:p w14:paraId="47F61562" w14:textId="77777777" w:rsidR="00471D53" w:rsidRDefault="004F686E" w:rsidP="00471D53">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275"/>
    <w:p w14:paraId="49CEFFD2" w14:textId="77777777" w:rsidR="00471D53" w:rsidRDefault="00B664AF">
      <w:pPr>
        <w:spacing w:before="60" w:after="60"/>
        <w:rPr>
          <w:szCs w:val="21"/>
        </w:rPr>
      </w:pPr>
    </w:p>
    <w:bookmarkStart w:id="276" w:name="_Hlk10548607" w:displacedByCustomXml="next"/>
    <w:sdt>
      <w:sdtPr>
        <w:rPr>
          <w:rFonts w:ascii="宋体" w:hAnsi="宋体" w:cs="宋体" w:hint="eastAsia"/>
          <w:b w:val="0"/>
          <w:bCs w:val="0"/>
          <w:kern w:val="0"/>
          <w:szCs w:val="21"/>
        </w:rPr>
        <w:alias w:val="模块:合同产生的收入情况："/>
        <w:tag w:val="_SEC_2713156f501a4b5a86eb4ab43bcaf25e"/>
        <w:id w:val="-1739010075"/>
        <w:lock w:val="sdtLocked"/>
        <w:placeholder>
          <w:docPart w:val="GBC22222222222222222222222222222"/>
        </w:placeholder>
      </w:sdtPr>
      <w:sdtEndPr/>
      <w:sdtContent>
        <w:p w14:paraId="25390311" w14:textId="77777777" w:rsidR="00471D53" w:rsidRDefault="004F686E" w:rsidP="004F686E">
          <w:pPr>
            <w:pStyle w:val="afffff8"/>
            <w:numPr>
              <w:ilvl w:val="0"/>
              <w:numId w:val="116"/>
            </w:numPr>
            <w:rPr>
              <w:rFonts w:ascii="宋体" w:hAnsi="宋体"/>
              <w:szCs w:val="21"/>
            </w:rPr>
          </w:pPr>
          <w:r>
            <w:rPr>
              <w:rFonts w:ascii="宋体" w:hAnsi="宋体" w:hint="eastAsia"/>
              <w:szCs w:val="21"/>
            </w:rPr>
            <w:t>合同产生的收入情况</w:t>
          </w:r>
        </w:p>
        <w:sdt>
          <w:sdtPr>
            <w:rPr>
              <w:rFonts w:ascii="宋体" w:hAnsi="宋体"/>
              <w:szCs w:val="21"/>
            </w:rPr>
            <w:alias w:val="是否适用：母公司合同产生的收入[双击切换]"/>
            <w:tag w:val="_GBC_f4f1c383538f4a76af749e49b3462b68"/>
            <w:id w:val="-1322343226"/>
            <w:lock w:val="sdtLocked"/>
            <w:placeholder>
              <w:docPart w:val="GBC22222222222222222222222222222"/>
            </w:placeholder>
          </w:sdtPr>
          <w:sdtEndPr/>
          <w:sdtContent>
            <w:p w14:paraId="17376C9C" w14:textId="77777777" w:rsidR="00471D53" w:rsidRDefault="004F686E" w:rsidP="00471D53">
              <w:pPr>
                <w:pStyle w:val="affffff7"/>
                <w:ind w:firstLineChars="0" w:firstLine="0"/>
                <w:jc w:val="left"/>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14:paraId="0BF13047" w14:textId="77777777" w:rsidR="00471D53" w:rsidRDefault="00B664AF"/>
        <w:p w14:paraId="3ED5BD27" w14:textId="77777777" w:rsidR="00471D53" w:rsidRDefault="00B664AF">
          <w:pPr>
            <w:spacing w:before="60" w:after="60"/>
            <w:rPr>
              <w:szCs w:val="21"/>
            </w:rPr>
          </w:pPr>
        </w:p>
      </w:sdtContent>
    </w:sdt>
    <w:bookmarkEnd w:id="276" w:displacedByCustomXml="prev"/>
    <w:bookmarkStart w:id="277" w:name="_Hlk10548652" w:displacedByCustomXml="next"/>
    <w:bookmarkStart w:id="278" w:name="_Hlk10548661" w:displacedByCustomXml="next"/>
    <w:sdt>
      <w:sdtPr>
        <w:rPr>
          <w:rFonts w:ascii="宋体" w:hAnsi="宋体" w:cs="宋体" w:hint="eastAsia"/>
          <w:b w:val="0"/>
          <w:bCs w:val="0"/>
          <w:kern w:val="0"/>
          <w:szCs w:val="24"/>
        </w:rPr>
        <w:alias w:val="模块:履约义务的说明"/>
        <w:tag w:val="_SEC_53d5f13d55ef41a88538eb4a1cd87f53"/>
        <w:id w:val="-2067094814"/>
        <w:lock w:val="sdtLocked"/>
        <w:placeholder>
          <w:docPart w:val="GBC22222222222222222222222222222"/>
        </w:placeholder>
      </w:sdtPr>
      <w:sdtEndPr>
        <w:rPr>
          <w:rFonts w:hint="default"/>
          <w:szCs w:val="21"/>
        </w:rPr>
      </w:sdtEndPr>
      <w:sdtContent>
        <w:p w14:paraId="50A8BC93" w14:textId="77777777" w:rsidR="00471D53" w:rsidRDefault="004F686E" w:rsidP="004F686E">
          <w:pPr>
            <w:pStyle w:val="afffff8"/>
            <w:numPr>
              <w:ilvl w:val="0"/>
              <w:numId w:val="116"/>
            </w:numPr>
            <w:rPr>
              <w:rFonts w:ascii="宋体" w:hAnsi="宋体"/>
            </w:rPr>
          </w:pPr>
          <w:r>
            <w:rPr>
              <w:rFonts w:ascii="宋体" w:hAnsi="宋体" w:hint="eastAsia"/>
            </w:rPr>
            <w:t>履约义务的说明</w:t>
          </w:r>
          <w:bookmarkEnd w:id="277"/>
        </w:p>
        <w:sdt>
          <w:sdtPr>
            <w:alias w:val="是否适用：母公司履约义务的说明[双击切换]"/>
            <w:tag w:val="_GBC_9fa12dfead42484a96c713de3deeb146"/>
            <w:id w:val="-145516718"/>
            <w:lock w:val="sdtLocked"/>
            <w:placeholder>
              <w:docPart w:val="GBC22222222222222222222222222222"/>
            </w:placeholder>
          </w:sdtPr>
          <w:sdtEndPr/>
          <w:sdtContent>
            <w:p w14:paraId="74572E36" w14:textId="77777777" w:rsidR="00471D53" w:rsidRDefault="004F686E" w:rsidP="00471D5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4368052" w14:textId="77777777" w:rsidR="00471D53" w:rsidRDefault="00B664AF">
          <w:pPr>
            <w:spacing w:before="60" w:after="60"/>
            <w:rPr>
              <w:szCs w:val="21"/>
            </w:rPr>
          </w:pPr>
        </w:p>
      </w:sdtContent>
    </w:sdt>
    <w:bookmarkEnd w:id="278" w:displacedByCustomXml="prev"/>
    <w:bookmarkStart w:id="279" w:name="_Hlk10548677" w:displacedByCustomXml="next"/>
    <w:bookmarkStart w:id="280" w:name="_Hlk10548687" w:displacedByCustomXml="next"/>
    <w:sdt>
      <w:sdtPr>
        <w:rPr>
          <w:rFonts w:ascii="宋体" w:hAnsi="宋体" w:cs="宋体" w:hint="eastAsia"/>
          <w:b w:val="0"/>
          <w:bCs w:val="0"/>
          <w:kern w:val="0"/>
          <w:szCs w:val="24"/>
        </w:rPr>
        <w:alias w:val="模块:分摊至剩余履约义务的说明"/>
        <w:tag w:val="_SEC_70d7b3f4762b43eabe7e1ecc83c000d4"/>
        <w:id w:val="866340914"/>
        <w:lock w:val="sdtLocked"/>
        <w:placeholder>
          <w:docPart w:val="GBC22222222222222222222222222222"/>
        </w:placeholder>
      </w:sdtPr>
      <w:sdtEndPr>
        <w:rPr>
          <w:rFonts w:hint="default"/>
          <w:szCs w:val="21"/>
        </w:rPr>
      </w:sdtEndPr>
      <w:sdtContent>
        <w:p w14:paraId="0CFD6CAE" w14:textId="77777777" w:rsidR="00471D53" w:rsidRDefault="004F686E" w:rsidP="004F686E">
          <w:pPr>
            <w:pStyle w:val="afffff8"/>
            <w:numPr>
              <w:ilvl w:val="0"/>
              <w:numId w:val="116"/>
            </w:numPr>
            <w:rPr>
              <w:rFonts w:ascii="宋体" w:hAnsi="宋体"/>
            </w:rPr>
          </w:pPr>
          <w:r>
            <w:rPr>
              <w:rFonts w:ascii="宋体" w:hAnsi="宋体" w:hint="eastAsia"/>
            </w:rPr>
            <w:t>分摊至剩余履约义务的说明</w:t>
          </w:r>
          <w:bookmarkEnd w:id="279"/>
        </w:p>
        <w:sdt>
          <w:sdtPr>
            <w:alias w:val="是否适用：母公司分摊至剩余履约义务的说明[双击切换]"/>
            <w:tag w:val="_GBC_ed475c258e94496384f686833dfaebba"/>
            <w:id w:val="594296883"/>
            <w:lock w:val="sdtLocked"/>
            <w:placeholder>
              <w:docPart w:val="GBC22222222222222222222222222222"/>
            </w:placeholder>
          </w:sdtPr>
          <w:sdtEndPr/>
          <w:sdtContent>
            <w:p w14:paraId="713F1065" w14:textId="77777777" w:rsidR="00471D53" w:rsidRDefault="004F686E" w:rsidP="00471D53">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921FE04" w14:textId="77777777" w:rsidR="00471D53" w:rsidRDefault="00B664AF">
          <w:pPr>
            <w:rPr>
              <w:szCs w:val="21"/>
            </w:rPr>
          </w:pPr>
        </w:p>
        <w:p w14:paraId="481AAECD" w14:textId="77777777" w:rsidR="00471D53" w:rsidRDefault="00B664AF">
          <w:pPr>
            <w:spacing w:before="60" w:after="60"/>
            <w:rPr>
              <w:szCs w:val="21"/>
            </w:rPr>
          </w:pPr>
        </w:p>
      </w:sdtContent>
    </w:sdt>
    <w:bookmarkEnd w:id="280" w:displacedByCustomXml="prev"/>
    <w:p w14:paraId="0E8A95AE" w14:textId="77777777" w:rsidR="00471D53" w:rsidRDefault="004F686E">
      <w:pPr>
        <w:spacing w:before="60" w:after="60"/>
        <w:rPr>
          <w:szCs w:val="21"/>
        </w:rPr>
      </w:pPr>
      <w:r>
        <w:rPr>
          <w:rFonts w:hint="eastAsia"/>
          <w:szCs w:val="21"/>
        </w:rPr>
        <w:t>其他说明：</w:t>
      </w:r>
    </w:p>
    <w:sdt>
      <w:sdtPr>
        <w:rPr>
          <w:szCs w:val="21"/>
        </w:rPr>
        <w:alias w:val="主营业务说明"/>
        <w:tag w:val="_GBC_67059ac627994738bbd2a2272a5068c8"/>
        <w:id w:val="-230309588"/>
        <w:lock w:val="sdtLocked"/>
        <w:placeholder>
          <w:docPart w:val="GBC22222222222222222222222222222"/>
        </w:placeholder>
      </w:sdtPr>
      <w:sdtEndPr/>
      <w:sdtContent>
        <w:p w14:paraId="759CFA44" w14:textId="77777777" w:rsidR="00471D53" w:rsidRDefault="004F686E">
          <w:pPr>
            <w:rPr>
              <w:szCs w:val="21"/>
            </w:rPr>
          </w:pPr>
          <w:r>
            <w:rPr>
              <w:rFonts w:hint="eastAsia"/>
              <w:szCs w:val="21"/>
            </w:rPr>
            <w:t>无</w:t>
          </w:r>
        </w:p>
      </w:sdtContent>
    </w:sdt>
    <w:p w14:paraId="1F42B411" w14:textId="77777777" w:rsidR="00471D53" w:rsidRDefault="00B664AF">
      <w:pPr>
        <w:rPr>
          <w:szCs w:val="21"/>
        </w:rPr>
      </w:pPr>
    </w:p>
    <w:bookmarkStart w:id="281" w:name="_Hlk10548739" w:displacedByCustomXml="next"/>
    <w:bookmarkStart w:id="282" w:name="OLE_LINK6" w:displacedByCustomXml="next"/>
    <w:sdt>
      <w:sdtPr>
        <w:rPr>
          <w:rFonts w:ascii="宋体" w:hAnsi="宋体" w:cs="宋体" w:hint="eastAsia"/>
          <w:b w:val="0"/>
          <w:bCs w:val="0"/>
          <w:kern w:val="0"/>
          <w:szCs w:val="21"/>
        </w:rPr>
        <w:alias w:val="模块:投资收益"/>
        <w:tag w:val="_SEC_69cb0c27d0a845f8ab1383f9a47646b6"/>
        <w:id w:val="-439675016"/>
        <w:lock w:val="sdtLocked"/>
        <w:placeholder>
          <w:docPart w:val="GBC22222222222222222222222222222"/>
        </w:placeholder>
      </w:sdtPr>
      <w:sdtEndPr>
        <w:rPr>
          <w:rFonts w:hint="default"/>
        </w:rPr>
      </w:sdtEndPr>
      <w:sdtContent>
        <w:bookmarkEnd w:id="281" w:displacedByCustomXml="prev"/>
        <w:bookmarkStart w:id="283" w:name="_Hlk10720480" w:displacedByCustomXml="prev"/>
        <w:p w14:paraId="5D02BCAD" w14:textId="77777777" w:rsidR="00471D53" w:rsidRDefault="004F686E" w:rsidP="004F686E">
          <w:pPr>
            <w:pStyle w:val="afffff7"/>
            <w:numPr>
              <w:ilvl w:val="0"/>
              <w:numId w:val="112"/>
            </w:numPr>
            <w:rPr>
              <w:rFonts w:ascii="宋体" w:hAnsi="宋体"/>
              <w:szCs w:val="21"/>
            </w:rPr>
          </w:pPr>
          <w:r>
            <w:rPr>
              <w:rFonts w:ascii="宋体" w:hAnsi="宋体" w:hint="eastAsia"/>
              <w:szCs w:val="21"/>
            </w:rPr>
            <w:t>投资收益</w:t>
          </w:r>
          <w:bookmarkEnd w:id="282"/>
        </w:p>
        <w:sdt>
          <w:sdtPr>
            <w:alias w:val="是否适用：母公司投资收益[双击切换]"/>
            <w:tag w:val="_GBC_bdba48f0322747499f6908fbbf78a16f"/>
            <w:id w:val="195745372"/>
            <w:lock w:val="sdtLocked"/>
            <w:placeholder>
              <w:docPart w:val="GBC22222222222222222222222222222"/>
            </w:placeholder>
          </w:sdtPr>
          <w:sdtEndPr/>
          <w:sdtContent>
            <w:p w14:paraId="4D0D2425" w14:textId="77777777" w:rsidR="00471D53" w:rsidRDefault="004F686E" w:rsidP="00471D53">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58D1848" w14:textId="77777777" w:rsidR="00471D53" w:rsidRDefault="004F686E">
          <w:pPr>
            <w:spacing w:line="360" w:lineRule="exact"/>
            <w:rPr>
              <w:szCs w:val="21"/>
            </w:rPr>
          </w:pPr>
          <w:r>
            <w:rPr>
              <w:rFonts w:hint="eastAsia"/>
              <w:szCs w:val="21"/>
            </w:rPr>
            <w:t>其他说明：</w:t>
          </w:r>
          <w:bookmarkEnd w:id="283"/>
        </w:p>
        <w:sdt>
          <w:sdtPr>
            <w:rPr>
              <w:szCs w:val="21"/>
            </w:rPr>
            <w:alias w:val="投资收益说明"/>
            <w:tag w:val="_GBC_e91b47a8afc84e119383bf071cb9a50d"/>
            <w:id w:val="-55015063"/>
            <w:lock w:val="sdtLocked"/>
            <w:placeholder>
              <w:docPart w:val="GBC22222222222222222222222222222"/>
            </w:placeholder>
          </w:sdtPr>
          <w:sdtEndPr/>
          <w:sdtContent>
            <w:p w14:paraId="00E9655E" w14:textId="77777777" w:rsidR="00471D53" w:rsidRDefault="004F686E">
              <w:pPr>
                <w:rPr>
                  <w:szCs w:val="21"/>
                </w:rPr>
              </w:pPr>
              <w:r>
                <w:rPr>
                  <w:rFonts w:hint="eastAsia"/>
                  <w:szCs w:val="21"/>
                </w:rPr>
                <w:t>无</w:t>
              </w:r>
            </w:p>
          </w:sdtContent>
        </w:sdt>
      </w:sdtContent>
    </w:sdt>
    <w:p w14:paraId="546FFD89" w14:textId="77777777" w:rsidR="00471D53" w:rsidRDefault="00B664AF">
      <w:pPr>
        <w:rPr>
          <w:szCs w:val="21"/>
        </w:rPr>
      </w:pPr>
    </w:p>
    <w:sdt>
      <w:sdtPr>
        <w:rPr>
          <w:rFonts w:ascii="宋体" w:hAnsi="宋体" w:cs="宋体" w:hint="eastAsia"/>
          <w:b w:val="0"/>
          <w:bCs w:val="0"/>
          <w:kern w:val="0"/>
          <w:szCs w:val="21"/>
        </w:rPr>
        <w:alias w:val="模块:母公司会计报表附注的其他说明事项"/>
        <w:tag w:val="_GBC_23958e5452684882b98c8317e400c8d6"/>
        <w:id w:val="1680075992"/>
        <w:lock w:val="sdtLocked"/>
        <w:placeholder>
          <w:docPart w:val="GBC22222222222222222222222222222"/>
        </w:placeholder>
      </w:sdtPr>
      <w:sdtEndPr/>
      <w:sdtContent>
        <w:p w14:paraId="675E5386" w14:textId="77777777" w:rsidR="00471D53" w:rsidRDefault="004F686E" w:rsidP="004F686E">
          <w:pPr>
            <w:pStyle w:val="afffff7"/>
            <w:numPr>
              <w:ilvl w:val="0"/>
              <w:numId w:val="112"/>
            </w:numPr>
            <w:rPr>
              <w:rFonts w:ascii="宋体" w:hAnsi="宋体"/>
              <w:szCs w:val="21"/>
            </w:rPr>
          </w:pPr>
          <w:r>
            <w:rPr>
              <w:rFonts w:ascii="宋体" w:hAnsi="宋体" w:hint="eastAsia"/>
              <w:szCs w:val="21"/>
            </w:rPr>
            <w:t>其他</w:t>
          </w:r>
        </w:p>
        <w:sdt>
          <w:sdtPr>
            <w:alias w:val="是否适用：母公司会计报表附注的其他说明事项[双击切换]"/>
            <w:tag w:val="_GBC_198503cdf8c8448ea7bb4de3243a4de8"/>
            <w:id w:val="-1498033246"/>
            <w:lock w:val="sdtLocked"/>
            <w:placeholder>
              <w:docPart w:val="GBC22222222222222222222222222222"/>
            </w:placeholder>
          </w:sdtPr>
          <w:sdtEndPr/>
          <w:sdtContent>
            <w:p w14:paraId="28B724F5" w14:textId="77777777" w:rsidR="00471D53" w:rsidRDefault="004F686E" w:rsidP="00471D53">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2A5863DD" w14:textId="77777777" w:rsidR="00471D53" w:rsidRDefault="00B664AF">
      <w:pPr>
        <w:rPr>
          <w:szCs w:val="21"/>
        </w:rPr>
      </w:pPr>
    </w:p>
    <w:p w14:paraId="1BFBD20E" w14:textId="77777777" w:rsidR="00471D53" w:rsidRDefault="004F686E" w:rsidP="004F686E">
      <w:pPr>
        <w:pStyle w:val="afffff6"/>
        <w:numPr>
          <w:ilvl w:val="0"/>
          <w:numId w:val="35"/>
        </w:numPr>
        <w:ind w:left="422" w:hanging="422"/>
        <w:rPr>
          <w:rFonts w:ascii="宋体" w:hAnsi="宋体"/>
        </w:rPr>
      </w:pPr>
      <w:r>
        <w:rPr>
          <w:rFonts w:ascii="宋体" w:hAnsi="宋体" w:hint="eastAsia"/>
        </w:rPr>
        <w:t>补充资料</w:t>
      </w:r>
    </w:p>
    <w:bookmarkStart w:id="284" w:name="_Hlk10548828" w:displacedByCustomXml="next"/>
    <w:sdt>
      <w:sdtPr>
        <w:rPr>
          <w:rFonts w:ascii="宋体" w:hAnsi="宋体" w:cs="宋体" w:hint="eastAsia"/>
          <w:b w:val="0"/>
          <w:bCs w:val="0"/>
          <w:kern w:val="0"/>
          <w:szCs w:val="21"/>
        </w:rPr>
        <w:alias w:val="模块:当期非经常性损益明细"/>
        <w:tag w:val="_GBC_08eb8d7076584daebd23121ab43f25e0"/>
        <w:id w:val="-1914771076"/>
        <w:lock w:val="sdtLocked"/>
        <w:placeholder>
          <w:docPart w:val="GBC22222222222222222222222222222"/>
        </w:placeholder>
      </w:sdtPr>
      <w:sdtEndPr>
        <w:rPr>
          <w:szCs w:val="24"/>
        </w:rPr>
      </w:sdtEndPr>
      <w:sdtContent>
        <w:p w14:paraId="26B6227A" w14:textId="77777777" w:rsidR="00471D53" w:rsidRDefault="004F686E" w:rsidP="004F686E">
          <w:pPr>
            <w:pStyle w:val="afffff7"/>
            <w:numPr>
              <w:ilvl w:val="0"/>
              <w:numId w:val="117"/>
            </w:numPr>
            <w:rPr>
              <w:rFonts w:ascii="宋体" w:hAnsi="宋体"/>
              <w:szCs w:val="21"/>
            </w:rPr>
          </w:pPr>
          <w:r>
            <w:rPr>
              <w:rFonts w:ascii="宋体" w:hAnsi="宋体" w:hint="eastAsia"/>
              <w:szCs w:val="21"/>
            </w:rPr>
            <w:t>当期非经常性损益明细表</w:t>
          </w:r>
        </w:p>
        <w:sdt>
          <w:sdtPr>
            <w:alias w:val="是否适用：当期非经常性损益明细表[双击切换]"/>
            <w:tag w:val="_GBC_8fceb8da54a2446e9747e9ca62cb6a1a"/>
            <w:id w:val="-2122216646"/>
            <w:lock w:val="sdtLocked"/>
            <w:placeholder>
              <w:docPart w:val="GBC22222222222222222222222222222"/>
            </w:placeholder>
          </w:sdtPr>
          <w:sdtEndPr/>
          <w:sdtContent>
            <w:p w14:paraId="34556F6C" w14:textId="12AD8966"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5F66DEE" w14:textId="536EEA90" w:rsidR="00471D53" w:rsidRDefault="004F686E">
          <w:pPr>
            <w:jc w:val="right"/>
            <w:rPr>
              <w:szCs w:val="21"/>
            </w:rPr>
          </w:pPr>
          <w:r>
            <w:rPr>
              <w:rFonts w:hint="eastAsia"/>
              <w:szCs w:val="21"/>
            </w:rPr>
            <w:t>单位：</w:t>
          </w:r>
          <w:sdt>
            <w:sdtPr>
              <w:rPr>
                <w:rFonts w:hint="eastAsia"/>
                <w:szCs w:val="21"/>
              </w:rPr>
              <w:alias w:val="单位：扣除非经常性损益项目和金额"/>
              <w:tag w:val="_GBC_5c7a78a144ce4f78943f6ba4db018dd1"/>
              <w:id w:val="-1875150026"/>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扣除非经常性损益项目和金额"/>
              <w:tag w:val="_GBC_1075279105e04a71a72ba148188834c9"/>
              <w:id w:val="813071299"/>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4"/>
            <w:gridCol w:w="2430"/>
            <w:gridCol w:w="2439"/>
          </w:tblGrid>
          <w:tr w:rsidR="00471D53" w14:paraId="0FBE1D9A" w14:textId="77777777" w:rsidTr="00471D53">
            <w:sdt>
              <w:sdtPr>
                <w:tag w:val="_PLD_4d447086960c4639856414679d1dbf26"/>
                <w:id w:val="950518127"/>
                <w:lock w:val="sdtLocked"/>
              </w:sdtPr>
              <w:sdtEndPr/>
              <w:sdtContent>
                <w:tc>
                  <w:tcPr>
                    <w:tcW w:w="2241" w:type="pct"/>
                    <w:shd w:val="clear" w:color="auto" w:fill="auto"/>
                    <w:vAlign w:val="center"/>
                  </w:tcPr>
                  <w:p w14:paraId="6C20D894" w14:textId="77777777" w:rsidR="00471D53" w:rsidRDefault="004F686E" w:rsidP="00471D53">
                    <w:pPr>
                      <w:jc w:val="center"/>
                      <w:rPr>
                        <w:szCs w:val="21"/>
                      </w:rPr>
                    </w:pPr>
                    <w:r>
                      <w:rPr>
                        <w:rFonts w:hint="eastAsia"/>
                        <w:szCs w:val="21"/>
                      </w:rPr>
                      <w:t>项目</w:t>
                    </w:r>
                  </w:p>
                </w:tc>
              </w:sdtContent>
            </w:sdt>
            <w:sdt>
              <w:sdtPr>
                <w:tag w:val="_PLD_4124386579a74ebabf17d2fb03dfbacc"/>
                <w:id w:val="537093909"/>
                <w:lock w:val="sdtLocked"/>
              </w:sdtPr>
              <w:sdtEndPr/>
              <w:sdtContent>
                <w:tc>
                  <w:tcPr>
                    <w:tcW w:w="1377" w:type="pct"/>
                    <w:shd w:val="clear" w:color="auto" w:fill="auto"/>
                  </w:tcPr>
                  <w:p w14:paraId="0FA9C058" w14:textId="77777777" w:rsidR="00471D53" w:rsidRDefault="004F686E" w:rsidP="00471D53">
                    <w:pPr>
                      <w:jc w:val="center"/>
                      <w:rPr>
                        <w:szCs w:val="21"/>
                      </w:rPr>
                    </w:pPr>
                    <w:r>
                      <w:rPr>
                        <w:rFonts w:hint="eastAsia"/>
                        <w:szCs w:val="21"/>
                      </w:rPr>
                      <w:t>金额</w:t>
                    </w:r>
                  </w:p>
                </w:tc>
              </w:sdtContent>
            </w:sdt>
            <w:sdt>
              <w:sdtPr>
                <w:tag w:val="_PLD_d8bc4effaf7140f69603e5c1fdd518e2"/>
                <w:id w:val="-426733291"/>
                <w:lock w:val="sdtLocked"/>
              </w:sdtPr>
              <w:sdtEndPr/>
              <w:sdtContent>
                <w:tc>
                  <w:tcPr>
                    <w:tcW w:w="1382" w:type="pct"/>
                  </w:tcPr>
                  <w:p w14:paraId="2EC0A51A" w14:textId="77777777" w:rsidR="00471D53" w:rsidRDefault="004F686E" w:rsidP="00471D53">
                    <w:pPr>
                      <w:jc w:val="center"/>
                      <w:rPr>
                        <w:szCs w:val="21"/>
                      </w:rPr>
                    </w:pPr>
                    <w:r>
                      <w:rPr>
                        <w:rFonts w:hint="eastAsia"/>
                        <w:szCs w:val="21"/>
                      </w:rPr>
                      <w:t>说明</w:t>
                    </w:r>
                  </w:p>
                </w:tc>
              </w:sdtContent>
            </w:sdt>
          </w:tr>
          <w:tr w:rsidR="00471D53" w14:paraId="59159B0E" w14:textId="77777777" w:rsidTr="00471D53">
            <w:sdt>
              <w:sdtPr>
                <w:tag w:val="_PLD_a4c284eee58641a284682b8ca51165ce"/>
                <w:id w:val="655112914"/>
                <w:lock w:val="sdtLocked"/>
              </w:sdtPr>
              <w:sdtEndPr/>
              <w:sdtContent>
                <w:tc>
                  <w:tcPr>
                    <w:tcW w:w="2241" w:type="pct"/>
                    <w:shd w:val="clear" w:color="auto" w:fill="auto"/>
                    <w:vAlign w:val="center"/>
                  </w:tcPr>
                  <w:p w14:paraId="0B826182" w14:textId="77777777" w:rsidR="00471D53" w:rsidRDefault="004F686E" w:rsidP="00471D53">
                    <w:pPr>
                      <w:rPr>
                        <w:szCs w:val="21"/>
                      </w:rPr>
                    </w:pPr>
                    <w:r>
                      <w:rPr>
                        <w:rFonts w:hint="eastAsia"/>
                        <w:szCs w:val="21"/>
                      </w:rPr>
                      <w:t>非流动资产处置损益</w:t>
                    </w:r>
                  </w:p>
                </w:tc>
              </w:sdtContent>
            </w:sdt>
            <w:sdt>
              <w:sdtPr>
                <w:rPr>
                  <w:rFonts w:hint="eastAsia"/>
                  <w:sz w:val="22"/>
                </w:rPr>
                <w:alias w:val="非流动性资产处置损益，包括已计提资产减值准备的冲销部分（非经常性损益项目）"/>
                <w:tag w:val="_GBC_f045781906b04458b3ad625ee4515c61"/>
                <w:id w:val="-632793845"/>
                <w:lock w:val="sdtLocked"/>
                <w:dataBinding w:prefixMappings="xmlns:clcid-pte='clcid-pte'" w:xpath="/*/clcid-pte:FeiLiuDongXingZiChanChuZhiSunYiBaoKuoYiJiTiZiChanJianZhiZhunBeiDeChongXiaoBuFenFeiJingChangXingSunYiXiangMu[not(@periodRef)]" w:storeItemID="{89EBAB94-44A0-46A2-B712-30D997D04A6D}"/>
                <w:text/>
              </w:sdtPr>
              <w:sdtEndPr/>
              <w:sdtContent>
                <w:tc>
                  <w:tcPr>
                    <w:tcW w:w="1377" w:type="pct"/>
                    <w:shd w:val="clear" w:color="auto" w:fill="auto"/>
                  </w:tcPr>
                  <w:p w14:paraId="27889BF1" w14:textId="77777777" w:rsidR="00471D53" w:rsidRDefault="004F686E" w:rsidP="00471D53">
                    <w:pPr>
                      <w:jc w:val="right"/>
                      <w:rPr>
                        <w:szCs w:val="21"/>
                      </w:rPr>
                    </w:pPr>
                    <w:r>
                      <w:rPr>
                        <w:rFonts w:hint="eastAsia"/>
                        <w:sz w:val="22"/>
                      </w:rPr>
                      <w:t>-41,990.15</w:t>
                    </w:r>
                  </w:p>
                </w:tc>
              </w:sdtContent>
            </w:sdt>
            <w:sdt>
              <w:sdtPr>
                <w:rPr>
                  <w:szCs w:val="21"/>
                </w:rPr>
                <w:alias w:val="非流动性资产处置损益，包括已计提资产减值准备的冲销部分的说明（非经常性损益项目）"/>
                <w:tag w:val="_GBC_dbf112280e8b447b803745e3222ebaab"/>
                <w:id w:val="-630943403"/>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EndPr/>
              <w:sdtContent>
                <w:tc>
                  <w:tcPr>
                    <w:tcW w:w="1382" w:type="pct"/>
                  </w:tcPr>
                  <w:p w14:paraId="237BC603" w14:textId="77777777" w:rsidR="00471D53" w:rsidRDefault="004F686E" w:rsidP="00471D53">
                    <w:pPr>
                      <w:rPr>
                        <w:b/>
                        <w:szCs w:val="21"/>
                      </w:rPr>
                    </w:pPr>
                    <w:r>
                      <w:rPr>
                        <w:rFonts w:hint="eastAsia"/>
                        <w:color w:val="0000FF"/>
                        <w:szCs w:val="21"/>
                      </w:rPr>
                      <w:t xml:space="preserve">　</w:t>
                    </w:r>
                  </w:p>
                </w:tc>
              </w:sdtContent>
            </w:sdt>
          </w:tr>
          <w:tr w:rsidR="00471D53" w14:paraId="7034AA87" w14:textId="77777777" w:rsidTr="00471D53">
            <w:sdt>
              <w:sdtPr>
                <w:tag w:val="_PLD_111eb25532774c11acc9ef9b04526b48"/>
                <w:id w:val="-988931726"/>
                <w:lock w:val="sdtLocked"/>
              </w:sdtPr>
              <w:sdtEndPr/>
              <w:sdtContent>
                <w:tc>
                  <w:tcPr>
                    <w:tcW w:w="2241" w:type="pct"/>
                    <w:shd w:val="clear" w:color="auto" w:fill="auto"/>
                    <w:vAlign w:val="center"/>
                  </w:tcPr>
                  <w:p w14:paraId="2CEA4C31" w14:textId="77777777" w:rsidR="00471D53" w:rsidRDefault="004F686E" w:rsidP="00471D53">
                    <w:pPr>
                      <w:rPr>
                        <w:szCs w:val="21"/>
                      </w:rPr>
                    </w:pPr>
                    <w:r>
                      <w:rPr>
                        <w:rFonts w:hint="eastAsia"/>
                        <w:szCs w:val="21"/>
                      </w:rPr>
                      <w:t>越权审批或无正式批准文件的税收返还、减免</w:t>
                    </w:r>
                  </w:p>
                </w:tc>
              </w:sdtContent>
            </w:sdt>
            <w:sdt>
              <w:sdtPr>
                <w:rPr>
                  <w:rFonts w:hint="eastAsia"/>
                  <w:szCs w:val="21"/>
                </w:rPr>
                <w:alias w:val="越权审批，或无正式批准文件，或偶发性的税收返还、减免（非经常性损益项目）"/>
                <w:tag w:val="_GBC_739acef0a8fb4cf9ba3480cbf144d0bd"/>
                <w:id w:val="1766104265"/>
                <w:lock w:val="sdtLocked"/>
                <w:showingPlcHdr/>
                <w:dataBinding w:prefixMappings="xmlns:clcid-pte='clcid-pte'" w:xpath="/*/clcid-pte:FeiJingChangXingSunYiZhongYueQuanShenPiHuoWuZhengShiPiZhunWenJianDeShuiShouFanHuanJianMian[not(@periodRef)]" w:storeItemID="{89EBAB94-44A0-46A2-B712-30D997D04A6D}"/>
                <w:text/>
              </w:sdtPr>
              <w:sdtEndPr/>
              <w:sdtContent>
                <w:tc>
                  <w:tcPr>
                    <w:tcW w:w="1377" w:type="pct"/>
                    <w:shd w:val="clear" w:color="auto" w:fill="auto"/>
                  </w:tcPr>
                  <w:p w14:paraId="706F9901" w14:textId="77777777" w:rsidR="00471D53" w:rsidRDefault="004F686E" w:rsidP="00471D53">
                    <w:pPr>
                      <w:ind w:right="6"/>
                      <w:jc w:val="right"/>
                      <w:rPr>
                        <w:szCs w:val="21"/>
                      </w:rPr>
                    </w:pPr>
                    <w:r>
                      <w:rPr>
                        <w:rFonts w:hint="eastAsia"/>
                        <w:color w:val="0000FF"/>
                        <w:szCs w:val="21"/>
                      </w:rPr>
                      <w:t xml:space="preserve">　</w:t>
                    </w:r>
                  </w:p>
                </w:tc>
              </w:sdtContent>
            </w:sdt>
            <w:sdt>
              <w:sdtPr>
                <w:rPr>
                  <w:szCs w:val="21"/>
                </w:rPr>
                <w:alias w:val="越权审批，或无正式批准文件，或偶发性的税收返还、减免的说明（非经常性损益项目）"/>
                <w:tag w:val="_GBC_d1e6861f45b64ca2a145ec60b8eb30fc"/>
                <w:id w:val="490065777"/>
                <w:lock w:val="sdtLocked"/>
                <w:showingPlcHdr/>
                <w:dataBinding w:prefixMappings="xmlns:clcid-pte='clcid-pte'" w:xpath="/*/clcid-pte:FeiJingChangXingSunYiZhongYueQuanShenPiHuoWuZhengShiPiZhunWenJianDeShuiShouFanHuanJianMianShuoMing[not(@periodRef)]" w:storeItemID="{89EBAB94-44A0-46A2-B712-30D997D04A6D}"/>
                <w:text/>
              </w:sdtPr>
              <w:sdtEndPr/>
              <w:sdtContent>
                <w:tc>
                  <w:tcPr>
                    <w:tcW w:w="1382" w:type="pct"/>
                  </w:tcPr>
                  <w:p w14:paraId="5E7FDD8D" w14:textId="77777777" w:rsidR="00471D53" w:rsidRDefault="004F686E" w:rsidP="00471D53">
                    <w:pPr>
                      <w:rPr>
                        <w:szCs w:val="21"/>
                      </w:rPr>
                    </w:pPr>
                    <w:r>
                      <w:rPr>
                        <w:rFonts w:hint="eastAsia"/>
                        <w:color w:val="0000FF"/>
                        <w:szCs w:val="21"/>
                      </w:rPr>
                      <w:t xml:space="preserve">　</w:t>
                    </w:r>
                  </w:p>
                </w:tc>
              </w:sdtContent>
            </w:sdt>
          </w:tr>
          <w:tr w:rsidR="00471D53" w14:paraId="22AB3920" w14:textId="77777777" w:rsidTr="00471D53">
            <w:sdt>
              <w:sdtPr>
                <w:tag w:val="_PLD_1c23f9d3aa08475185cdc79972a7d629"/>
                <w:id w:val="2071467779"/>
                <w:lock w:val="sdtLocked"/>
              </w:sdtPr>
              <w:sdtEndPr/>
              <w:sdtContent>
                <w:tc>
                  <w:tcPr>
                    <w:tcW w:w="2241" w:type="pct"/>
                    <w:shd w:val="clear" w:color="auto" w:fill="auto"/>
                    <w:vAlign w:val="center"/>
                  </w:tcPr>
                  <w:p w14:paraId="2F7EEDF6" w14:textId="77777777" w:rsidR="00471D53" w:rsidRDefault="004F686E" w:rsidP="00471D53">
                    <w:pPr>
                      <w:rPr>
                        <w:szCs w:val="21"/>
                      </w:rPr>
                    </w:pPr>
                    <w:r>
                      <w:rPr>
                        <w:rFonts w:hint="eastAsia"/>
                        <w:szCs w:val="21"/>
                      </w:rPr>
                      <w:t>计入当期损益的政府补助（与企业业务密切相关，按照国家统一标准定额或定量享受的政府补助除外）</w:t>
                    </w:r>
                  </w:p>
                </w:tc>
              </w:sdtContent>
            </w:sdt>
            <w:sdt>
              <w:sdtPr>
                <w:rPr>
                  <w:rFonts w:hint="eastAsia"/>
                  <w:szCs w:val="21"/>
                </w:rPr>
                <w:alias w:val="计入当期损益的政府补助，但与公司正常经营业务密切相关，符合国家政策规定、按照一定标准定额或定量持续享受的政府补助除外（非经常性损"/>
                <w:tag w:val="_GBC_87d17071bbe748b28c703f8eaec85e23"/>
                <w:id w:val="429632917"/>
                <w:lock w:val="sdtLocked"/>
                <w:dataBinding w:prefixMappings="xmlns:clcid-pte='clcid-pte'" w:xpath="/*/clcid-pte:FeiJingChangXingSunYiZhongGeZhongXingShiDeZhengFuBuTie[not(@periodRef)]" w:storeItemID="{89EBAB94-44A0-46A2-B712-30D997D04A6D}"/>
                <w:text/>
              </w:sdtPr>
              <w:sdtEndPr/>
              <w:sdtContent>
                <w:tc>
                  <w:tcPr>
                    <w:tcW w:w="1377" w:type="pct"/>
                    <w:shd w:val="clear" w:color="auto" w:fill="auto"/>
                  </w:tcPr>
                  <w:p w14:paraId="75E4E65B" w14:textId="77777777" w:rsidR="00471D53" w:rsidRDefault="004F686E" w:rsidP="00471D53">
                    <w:pPr>
                      <w:jc w:val="right"/>
                      <w:rPr>
                        <w:szCs w:val="21"/>
                      </w:rPr>
                    </w:pPr>
                    <w:r>
                      <w:rPr>
                        <w:rFonts w:hint="eastAsia"/>
                        <w:szCs w:val="21"/>
                      </w:rPr>
                      <w:t>7,754,445.94</w:t>
                    </w:r>
                  </w:p>
                </w:tc>
              </w:sdtContent>
            </w:sdt>
            <w:sdt>
              <w:sdtPr>
                <w:rPr>
                  <w:szCs w:val="21"/>
                </w:rPr>
                <w:alias w:val="计入当期损益的政府补助，但与公司正常经营业务密切相关，符合国家政策规定、按照一定标准定额或定量持续享受的政府补助除外的说明（非经"/>
                <w:tag w:val="_GBC_4513591570d449de9208898ef81e191f"/>
                <w:id w:val="-1657140174"/>
                <w:lock w:val="sdtLocked"/>
                <w:showingPlcHdr/>
                <w:dataBinding w:prefixMappings="xmlns:clcid-pte='clcid-pte'" w:xpath="/*/clcid-pte:FeiJingChangXingSunYiZhongGeZhongXingShiDeZhengFuBuTieShuoMing[not(@periodRef)]" w:storeItemID="{89EBAB94-44A0-46A2-B712-30D997D04A6D}"/>
                <w:text/>
              </w:sdtPr>
              <w:sdtEndPr/>
              <w:sdtContent>
                <w:tc>
                  <w:tcPr>
                    <w:tcW w:w="1382" w:type="pct"/>
                  </w:tcPr>
                  <w:p w14:paraId="769516CB" w14:textId="77777777" w:rsidR="00471D53" w:rsidRDefault="004F686E" w:rsidP="00471D53">
                    <w:pPr>
                      <w:rPr>
                        <w:szCs w:val="21"/>
                      </w:rPr>
                    </w:pPr>
                    <w:r>
                      <w:rPr>
                        <w:rFonts w:hint="eastAsia"/>
                        <w:color w:val="0000FF"/>
                        <w:szCs w:val="21"/>
                      </w:rPr>
                      <w:t xml:space="preserve">　</w:t>
                    </w:r>
                  </w:p>
                </w:tc>
              </w:sdtContent>
            </w:sdt>
          </w:tr>
          <w:tr w:rsidR="00471D53" w14:paraId="3C4E194C" w14:textId="77777777" w:rsidTr="00471D53">
            <w:sdt>
              <w:sdtPr>
                <w:tag w:val="_PLD_19747bb2b9f64964bff74d0b6c962639"/>
                <w:id w:val="667061166"/>
                <w:lock w:val="sdtLocked"/>
              </w:sdtPr>
              <w:sdtEndPr/>
              <w:sdtContent>
                <w:tc>
                  <w:tcPr>
                    <w:tcW w:w="2241" w:type="pct"/>
                    <w:shd w:val="clear" w:color="auto" w:fill="auto"/>
                    <w:vAlign w:val="center"/>
                  </w:tcPr>
                  <w:p w14:paraId="1DBB3FCB" w14:textId="77777777" w:rsidR="00471D53" w:rsidRDefault="004F686E" w:rsidP="00471D53">
                    <w:pPr>
                      <w:rPr>
                        <w:szCs w:val="21"/>
                      </w:rPr>
                    </w:pPr>
                    <w:r>
                      <w:rPr>
                        <w:rFonts w:hint="eastAsia"/>
                        <w:szCs w:val="21"/>
                      </w:rPr>
                      <w:t>计入当期损益的对非金融企业收取的资金占用费</w:t>
                    </w:r>
                  </w:p>
                </w:tc>
              </w:sdtContent>
            </w:sdt>
            <w:sdt>
              <w:sdtPr>
                <w:rPr>
                  <w:rFonts w:hint="eastAsia"/>
                  <w:szCs w:val="21"/>
                </w:rPr>
                <w:alias w:val="计入当期损益的对非金融企业收取的资金占用费（非经常性损益项目）"/>
                <w:tag w:val="_GBC_fa05ceca6bca4dd9a7d215044dce1e08"/>
                <w:id w:val="-287205478"/>
                <w:lock w:val="sdtLocked"/>
                <w:showingPlcHdr/>
                <w:dataBinding w:prefixMappings="xmlns:clcid-pte='clcid-pte'" w:xpath="/*/clcid-pte:JiRuDangQiSunYiDeDuiFeiJinRongQiYeShouQuDeZiJinZhanYongFeiFeiJingChangXingSunYiXiangMu[not(@periodRef)]" w:storeItemID="{89EBAB94-44A0-46A2-B712-30D997D04A6D}"/>
                <w:text/>
              </w:sdtPr>
              <w:sdtEndPr/>
              <w:sdtContent>
                <w:tc>
                  <w:tcPr>
                    <w:tcW w:w="1377" w:type="pct"/>
                    <w:shd w:val="clear" w:color="auto" w:fill="auto"/>
                  </w:tcPr>
                  <w:p w14:paraId="57786FBD" w14:textId="77777777" w:rsidR="00471D53" w:rsidRDefault="004F686E" w:rsidP="00471D53">
                    <w:pPr>
                      <w:jc w:val="right"/>
                      <w:rPr>
                        <w:szCs w:val="21"/>
                      </w:rPr>
                    </w:pPr>
                    <w:r>
                      <w:rPr>
                        <w:rFonts w:hint="eastAsia"/>
                        <w:color w:val="0000FF"/>
                        <w:szCs w:val="21"/>
                      </w:rPr>
                      <w:t xml:space="preserve">　</w:t>
                    </w:r>
                  </w:p>
                </w:tc>
              </w:sdtContent>
            </w:sdt>
            <w:sdt>
              <w:sdtPr>
                <w:rPr>
                  <w:szCs w:val="21"/>
                </w:rPr>
                <w:alias w:val="计入当期损益的对非金融企业收取的资金占用费的说明（非经常性损益项目）"/>
                <w:tag w:val="_GBC_e39bef666fc347c4b548b1702cce8f81"/>
                <w:id w:val="1036772770"/>
                <w:lock w:val="sdtLocked"/>
                <w:showingPlcHdr/>
                <w:dataBinding w:prefixMappings="xmlns:clcid-pte='clcid-pte'" w:xpath="/*/clcid-pte:JiRuDangQiSunYiDeDuiFeiJinRongQiYeShouQuDeZiJinZhanYongFeiFeiJingChangXingSunYiXiangMuShuoMing[not(@periodRef)]" w:storeItemID="{89EBAB94-44A0-46A2-B712-30D997D04A6D}"/>
                <w:text/>
              </w:sdtPr>
              <w:sdtEndPr/>
              <w:sdtContent>
                <w:tc>
                  <w:tcPr>
                    <w:tcW w:w="1382" w:type="pct"/>
                  </w:tcPr>
                  <w:p w14:paraId="779756E0" w14:textId="77777777" w:rsidR="00471D53" w:rsidRDefault="004F686E" w:rsidP="00471D53">
                    <w:pPr>
                      <w:rPr>
                        <w:szCs w:val="21"/>
                      </w:rPr>
                    </w:pPr>
                    <w:r>
                      <w:rPr>
                        <w:rFonts w:hint="eastAsia"/>
                        <w:color w:val="0000FF"/>
                        <w:szCs w:val="21"/>
                      </w:rPr>
                      <w:t xml:space="preserve">　</w:t>
                    </w:r>
                  </w:p>
                </w:tc>
              </w:sdtContent>
            </w:sdt>
          </w:tr>
          <w:tr w:rsidR="00471D53" w14:paraId="16602D7B" w14:textId="77777777" w:rsidTr="00471D53">
            <w:sdt>
              <w:sdtPr>
                <w:tag w:val="_PLD_6663cd4a4b5d4648b8602f1db92c8537"/>
                <w:id w:val="250319101"/>
                <w:lock w:val="sdtLocked"/>
              </w:sdtPr>
              <w:sdtEndPr/>
              <w:sdtContent>
                <w:tc>
                  <w:tcPr>
                    <w:tcW w:w="2241" w:type="pct"/>
                    <w:shd w:val="clear" w:color="auto" w:fill="auto"/>
                    <w:vAlign w:val="center"/>
                  </w:tcPr>
                  <w:p w14:paraId="1B2D4E8E" w14:textId="77777777" w:rsidR="00471D53" w:rsidRDefault="004F686E" w:rsidP="00471D53">
                    <w:pPr>
                      <w:rPr>
                        <w:szCs w:val="21"/>
                      </w:rPr>
                    </w:pPr>
                    <w:r>
                      <w:rPr>
                        <w:rFonts w:hint="eastAsia"/>
                        <w:szCs w:val="21"/>
                      </w:rPr>
                      <w:t>企业取得子公司、联营企业及合营企业的投资成本小于取得投资时应享有被投资单位可辨认净资产公允价值产生的收益</w:t>
                    </w:r>
                  </w:p>
                </w:tc>
              </w:sdtContent>
            </w:sdt>
            <w:sdt>
              <w:sdtPr>
                <w:rPr>
                  <w:rFonts w:hint="eastAsia"/>
                  <w:szCs w:val="21"/>
                </w:rPr>
                <w:alias w:val="企业取得子公司、联营企业及合营企业的投资成本小于取得投资时应享有被投资单位可辨认净资产公允价值产生的收益（非经常性损益项目）"/>
                <w:tag w:val="_GBC_da8567332bf1414f9b00448bf14a2046"/>
                <w:id w:val="-1754505871"/>
                <w:lock w:val="sdtLocked"/>
                <w:showingPlcHdr/>
                <w:dataBinding w:prefixMappings="xmlns:clcid-pte='clcid-pte'" w:xpath="/*/clcid-pte:QiYeHeBingDeHeBingChengBenXiaoYuHeBingShiYingXiangYouBeiHeBingDanWeiKeBianRenJingZiChanGongYunJiaZhiChanShengDeSunYi[not(@periodRef)]" w:storeItemID="{89EBAB94-44A0-46A2-B712-30D997D04A6D}"/>
                <w:text/>
              </w:sdtPr>
              <w:sdtEndPr/>
              <w:sdtContent>
                <w:tc>
                  <w:tcPr>
                    <w:tcW w:w="1377" w:type="pct"/>
                    <w:shd w:val="clear" w:color="auto" w:fill="auto"/>
                  </w:tcPr>
                  <w:p w14:paraId="73C2654D" w14:textId="77777777" w:rsidR="00471D53" w:rsidRDefault="004F686E" w:rsidP="00471D53">
                    <w:pPr>
                      <w:jc w:val="right"/>
                      <w:rPr>
                        <w:szCs w:val="21"/>
                      </w:rPr>
                    </w:pPr>
                    <w:r>
                      <w:rPr>
                        <w:rFonts w:hint="eastAsia"/>
                        <w:color w:val="0000FF"/>
                        <w:szCs w:val="21"/>
                      </w:rPr>
                      <w:t xml:space="preserve">　</w:t>
                    </w:r>
                  </w:p>
                </w:tc>
              </w:sdtContent>
            </w:sdt>
            <w:sdt>
              <w:sdtPr>
                <w:rPr>
                  <w:szCs w:val="21"/>
                </w:rPr>
                <w:alias w:val="企业取得子公司、联营企业及合营企业的投资成本小于取得投资时应享有被投资单位可辨认净资产公允价值产生的收益的说明（非经常性损益项目"/>
                <w:tag w:val="_GBC_5140be5466d24c06aa7c5dd7b7497384"/>
                <w:id w:val="247309135"/>
                <w:lock w:val="sdtLocked"/>
                <w:showingPlcHdr/>
                <w:dataBinding w:prefixMappings="xmlns:clcid-pte='clcid-pte'" w:xpath="/*/clcid-pte:QiYeHeBingDeHeBingChengBenXiaoYuHeBingShiYingXiangYouBeiHeBingDanWeiKeBianRenJingZiChanGongYunJiaZhiChanShengDeSunYiShuoMing[not(@periodRef)]" w:storeItemID="{89EBAB94-44A0-46A2-B712-30D997D04A6D}"/>
                <w:text/>
              </w:sdtPr>
              <w:sdtEndPr/>
              <w:sdtContent>
                <w:tc>
                  <w:tcPr>
                    <w:tcW w:w="1382" w:type="pct"/>
                  </w:tcPr>
                  <w:p w14:paraId="1FC85D51" w14:textId="77777777" w:rsidR="00471D53" w:rsidRDefault="004F686E" w:rsidP="00471D53">
                    <w:pPr>
                      <w:rPr>
                        <w:szCs w:val="21"/>
                      </w:rPr>
                    </w:pPr>
                    <w:r>
                      <w:rPr>
                        <w:rFonts w:hint="eastAsia"/>
                        <w:color w:val="0000FF"/>
                        <w:szCs w:val="21"/>
                      </w:rPr>
                      <w:t xml:space="preserve">　</w:t>
                    </w:r>
                  </w:p>
                </w:tc>
              </w:sdtContent>
            </w:sdt>
          </w:tr>
          <w:tr w:rsidR="00471D53" w14:paraId="447752D7" w14:textId="77777777" w:rsidTr="00471D53">
            <w:sdt>
              <w:sdtPr>
                <w:tag w:val="_PLD_e784ffc777444dfdb842e34d13c29737"/>
                <w:id w:val="1631899051"/>
                <w:lock w:val="sdtLocked"/>
              </w:sdtPr>
              <w:sdtEndPr/>
              <w:sdtContent>
                <w:tc>
                  <w:tcPr>
                    <w:tcW w:w="2241" w:type="pct"/>
                    <w:shd w:val="clear" w:color="auto" w:fill="auto"/>
                    <w:vAlign w:val="center"/>
                  </w:tcPr>
                  <w:p w14:paraId="02BD7398" w14:textId="77777777" w:rsidR="00471D53" w:rsidRDefault="004F686E" w:rsidP="00471D53">
                    <w:pPr>
                      <w:rPr>
                        <w:szCs w:val="21"/>
                      </w:rPr>
                    </w:pPr>
                    <w:r>
                      <w:rPr>
                        <w:rFonts w:hint="eastAsia"/>
                        <w:szCs w:val="21"/>
                      </w:rPr>
                      <w:t>非货币性资产交换损益</w:t>
                    </w:r>
                  </w:p>
                </w:tc>
              </w:sdtContent>
            </w:sdt>
            <w:sdt>
              <w:sdtPr>
                <w:rPr>
                  <w:rFonts w:hint="eastAsia"/>
                  <w:szCs w:val="21"/>
                </w:rPr>
                <w:alias w:val="非货币性资产交换损益（非经常性损益项目）"/>
                <w:tag w:val="_GBC_4cbe5f86242143498e8a8e52a9159cf4"/>
                <w:id w:val="-1897817186"/>
                <w:lock w:val="sdtLocked"/>
                <w:showingPlcHdr/>
                <w:dataBinding w:prefixMappings="xmlns:clcid-pte='clcid-pte'" w:xpath="/*/clcid-pte:FeiJingChangXingSunYiZhongZiChanZhiHuanSunYi[not(@periodRef)]" w:storeItemID="{89EBAB94-44A0-46A2-B712-30D997D04A6D}"/>
                <w:text/>
              </w:sdtPr>
              <w:sdtEndPr/>
              <w:sdtContent>
                <w:tc>
                  <w:tcPr>
                    <w:tcW w:w="1377" w:type="pct"/>
                    <w:shd w:val="clear" w:color="auto" w:fill="auto"/>
                  </w:tcPr>
                  <w:p w14:paraId="0DC81DEE" w14:textId="77777777" w:rsidR="00471D53" w:rsidRDefault="004F686E" w:rsidP="00471D53">
                    <w:pPr>
                      <w:jc w:val="right"/>
                      <w:rPr>
                        <w:szCs w:val="21"/>
                      </w:rPr>
                    </w:pPr>
                    <w:r>
                      <w:rPr>
                        <w:rFonts w:hint="eastAsia"/>
                        <w:color w:val="0000FF"/>
                        <w:szCs w:val="21"/>
                      </w:rPr>
                      <w:t xml:space="preserve">　</w:t>
                    </w:r>
                  </w:p>
                </w:tc>
              </w:sdtContent>
            </w:sdt>
            <w:sdt>
              <w:sdtPr>
                <w:rPr>
                  <w:szCs w:val="21"/>
                </w:rPr>
                <w:alias w:val="非货币性资产交换损益的说明（非经常性损益项目）"/>
                <w:tag w:val="_GBC_0c3795502b03479fa5ac233060ebd95d"/>
                <w:id w:val="1707211510"/>
                <w:lock w:val="sdtLocked"/>
                <w:showingPlcHdr/>
                <w:dataBinding w:prefixMappings="xmlns:clcid-pte='clcid-pte'" w:xpath="/*/clcid-pte:FeiJingChangXingSunYiZhongZiChanZhiHuanSunYiShuoMing[not(@periodRef)]" w:storeItemID="{89EBAB94-44A0-46A2-B712-30D997D04A6D}"/>
                <w:text/>
              </w:sdtPr>
              <w:sdtEndPr/>
              <w:sdtContent>
                <w:tc>
                  <w:tcPr>
                    <w:tcW w:w="1382" w:type="pct"/>
                  </w:tcPr>
                  <w:p w14:paraId="7206BDE5" w14:textId="77777777" w:rsidR="00471D53" w:rsidRDefault="004F686E" w:rsidP="00471D53">
                    <w:pPr>
                      <w:rPr>
                        <w:szCs w:val="21"/>
                      </w:rPr>
                    </w:pPr>
                    <w:r>
                      <w:rPr>
                        <w:rFonts w:hint="eastAsia"/>
                        <w:color w:val="0000FF"/>
                        <w:szCs w:val="21"/>
                      </w:rPr>
                      <w:t xml:space="preserve">　</w:t>
                    </w:r>
                  </w:p>
                </w:tc>
              </w:sdtContent>
            </w:sdt>
          </w:tr>
          <w:tr w:rsidR="00471D53" w14:paraId="099190BA" w14:textId="77777777" w:rsidTr="00471D53">
            <w:sdt>
              <w:sdtPr>
                <w:tag w:val="_PLD_e05dd2ebe9c4478baeb0638a8ae0cb06"/>
                <w:id w:val="296816419"/>
                <w:lock w:val="sdtLocked"/>
              </w:sdtPr>
              <w:sdtEndPr/>
              <w:sdtContent>
                <w:tc>
                  <w:tcPr>
                    <w:tcW w:w="2241" w:type="pct"/>
                    <w:shd w:val="clear" w:color="auto" w:fill="auto"/>
                    <w:vAlign w:val="center"/>
                  </w:tcPr>
                  <w:p w14:paraId="30B1CF35" w14:textId="77777777" w:rsidR="00471D53" w:rsidRDefault="004F686E" w:rsidP="00471D53">
                    <w:pPr>
                      <w:rPr>
                        <w:szCs w:val="21"/>
                      </w:rPr>
                    </w:pPr>
                    <w:r>
                      <w:rPr>
                        <w:rFonts w:hint="eastAsia"/>
                        <w:szCs w:val="21"/>
                      </w:rPr>
                      <w:t>委托他人投资或管理资产的损益</w:t>
                    </w:r>
                  </w:p>
                </w:tc>
              </w:sdtContent>
            </w:sdt>
            <w:sdt>
              <w:sdtPr>
                <w:rPr>
                  <w:rFonts w:hint="eastAsia"/>
                  <w:szCs w:val="21"/>
                </w:rPr>
                <w:alias w:val="委托他人投资或管理资产的损益（非经常性损益项目）"/>
                <w:tag w:val="_GBC_d2fd11aa21804a79bf75d80767cb7622"/>
                <w:id w:val="-61032182"/>
                <w:lock w:val="sdtLocked"/>
                <w:showingPlcHdr/>
                <w:dataBinding w:prefixMappings="xmlns:clcid-pte='clcid-pte'" w:xpath="/*/clcid-pte:WeiTuoTaRenTouZiHuoGuanLiZiChanDeSunYiFeiJingChangXingSunYiXiangMu[not(@periodRef)]" w:storeItemID="{89EBAB94-44A0-46A2-B712-30D997D04A6D}"/>
                <w:text/>
              </w:sdtPr>
              <w:sdtEndPr/>
              <w:sdtContent>
                <w:tc>
                  <w:tcPr>
                    <w:tcW w:w="1377" w:type="pct"/>
                    <w:shd w:val="clear" w:color="auto" w:fill="auto"/>
                  </w:tcPr>
                  <w:p w14:paraId="2D4454DC" w14:textId="77777777" w:rsidR="00471D53" w:rsidRDefault="004F686E" w:rsidP="00471D53">
                    <w:pPr>
                      <w:jc w:val="right"/>
                      <w:rPr>
                        <w:szCs w:val="21"/>
                      </w:rPr>
                    </w:pPr>
                    <w:r>
                      <w:rPr>
                        <w:rFonts w:hint="eastAsia"/>
                        <w:color w:val="0000FF"/>
                        <w:szCs w:val="21"/>
                      </w:rPr>
                      <w:t xml:space="preserve">　</w:t>
                    </w:r>
                  </w:p>
                </w:tc>
              </w:sdtContent>
            </w:sdt>
            <w:sdt>
              <w:sdtPr>
                <w:rPr>
                  <w:szCs w:val="21"/>
                </w:rPr>
                <w:alias w:val="委托他人投资或管理资产的损益的说明（非经常性损益项目）"/>
                <w:tag w:val="_GBC_556f9aa856334b9cba18fb2f97b39cc5"/>
                <w:id w:val="556131370"/>
                <w:lock w:val="sdtLocked"/>
                <w:showingPlcHdr/>
                <w:dataBinding w:prefixMappings="xmlns:clcid-pte='clcid-pte'" w:xpath="/*/clcid-pte:WeiTuoTaRenTouZiHuoGuanLiZiChanDeSunYiFeiJingChangXingSunYiXiangMuShuoMing[not(@periodRef)]" w:storeItemID="{89EBAB94-44A0-46A2-B712-30D997D04A6D}"/>
                <w:text/>
              </w:sdtPr>
              <w:sdtEndPr/>
              <w:sdtContent>
                <w:tc>
                  <w:tcPr>
                    <w:tcW w:w="1382" w:type="pct"/>
                  </w:tcPr>
                  <w:p w14:paraId="2D655C67" w14:textId="77777777" w:rsidR="00471D53" w:rsidRDefault="004F686E" w:rsidP="00471D53">
                    <w:pPr>
                      <w:rPr>
                        <w:szCs w:val="21"/>
                      </w:rPr>
                    </w:pPr>
                    <w:r>
                      <w:rPr>
                        <w:rFonts w:hint="eastAsia"/>
                        <w:color w:val="0000FF"/>
                        <w:szCs w:val="21"/>
                      </w:rPr>
                      <w:t xml:space="preserve">　</w:t>
                    </w:r>
                  </w:p>
                </w:tc>
              </w:sdtContent>
            </w:sdt>
          </w:tr>
          <w:tr w:rsidR="00471D53" w14:paraId="312FD8EB" w14:textId="77777777" w:rsidTr="00471D53">
            <w:sdt>
              <w:sdtPr>
                <w:tag w:val="_PLD_ceb3f10c4ad1406d91b44f6719ebf8fb"/>
                <w:id w:val="-1804689567"/>
                <w:lock w:val="sdtLocked"/>
              </w:sdtPr>
              <w:sdtEndPr/>
              <w:sdtContent>
                <w:tc>
                  <w:tcPr>
                    <w:tcW w:w="2241" w:type="pct"/>
                    <w:shd w:val="clear" w:color="auto" w:fill="auto"/>
                    <w:vAlign w:val="center"/>
                  </w:tcPr>
                  <w:p w14:paraId="3069EC90" w14:textId="77777777" w:rsidR="00471D53" w:rsidRDefault="004F686E" w:rsidP="00471D53">
                    <w:pPr>
                      <w:rPr>
                        <w:szCs w:val="21"/>
                      </w:rPr>
                    </w:pPr>
                    <w:r>
                      <w:rPr>
                        <w:rFonts w:hint="eastAsia"/>
                        <w:szCs w:val="21"/>
                      </w:rPr>
                      <w:t>因不可抗力因素，如遭受自然灾害而计提的各项资产减值准备</w:t>
                    </w:r>
                  </w:p>
                </w:tc>
              </w:sdtContent>
            </w:sdt>
            <w:sdt>
              <w:sdtPr>
                <w:rPr>
                  <w:rFonts w:hint="eastAsia"/>
                  <w:szCs w:val="21"/>
                </w:rPr>
                <w:alias w:val="因不可抗力因素，如遭受自然灾害而计提的各项资产减值准备（非经常性损益项目）"/>
                <w:tag w:val="_GBC_40e59f580b8446b6a448bfa2d9c39106"/>
                <w:id w:val="-1176966356"/>
                <w:lock w:val="sdtLocked"/>
                <w:showingPlcHdr/>
                <w:dataBinding w:prefixMappings="xmlns:clcid-pte='clcid-pte'" w:xpath="/*/clcid-pte:FeiJingChangXingSunYiZhongJiTiDeGeXiangZiChanJianZhiZhunBei[not(@periodRef)]" w:storeItemID="{89EBAB94-44A0-46A2-B712-30D997D04A6D}"/>
                <w:text/>
              </w:sdtPr>
              <w:sdtEndPr/>
              <w:sdtContent>
                <w:tc>
                  <w:tcPr>
                    <w:tcW w:w="1377" w:type="pct"/>
                    <w:shd w:val="clear" w:color="auto" w:fill="auto"/>
                  </w:tcPr>
                  <w:p w14:paraId="575FD496" w14:textId="77777777" w:rsidR="00471D53" w:rsidRDefault="004F686E" w:rsidP="00471D53">
                    <w:pPr>
                      <w:jc w:val="right"/>
                      <w:rPr>
                        <w:szCs w:val="21"/>
                      </w:rPr>
                    </w:pPr>
                    <w:r>
                      <w:rPr>
                        <w:rFonts w:hint="eastAsia"/>
                        <w:color w:val="0000FF"/>
                        <w:szCs w:val="21"/>
                      </w:rPr>
                      <w:t xml:space="preserve">　</w:t>
                    </w:r>
                  </w:p>
                </w:tc>
              </w:sdtContent>
            </w:sdt>
            <w:sdt>
              <w:sdtPr>
                <w:rPr>
                  <w:szCs w:val="21"/>
                </w:rPr>
                <w:alias w:val="因不可抗力因素，如遭受自然灾害而计提的各项资产减值准备的说明（非经常性损益项目）"/>
                <w:tag w:val="_GBC_4f29c0d978134f4d9ade4cfb9e6e5bfa"/>
                <w:id w:val="1590804558"/>
                <w:lock w:val="sdtLocked"/>
                <w:showingPlcHdr/>
                <w:dataBinding w:prefixMappings="xmlns:clcid-pte='clcid-pte'" w:xpath="/*/clcid-pte:FeiJingChangXingSunYiZhongJiTiDeGeXiangZiChanJianZhiZhunBeiShuoMing[not(@periodRef)]" w:storeItemID="{89EBAB94-44A0-46A2-B712-30D997D04A6D}"/>
                <w:text/>
              </w:sdtPr>
              <w:sdtEndPr/>
              <w:sdtContent>
                <w:tc>
                  <w:tcPr>
                    <w:tcW w:w="1382" w:type="pct"/>
                  </w:tcPr>
                  <w:p w14:paraId="032B480A" w14:textId="77777777" w:rsidR="00471D53" w:rsidRDefault="004F686E" w:rsidP="00471D53">
                    <w:pPr>
                      <w:rPr>
                        <w:szCs w:val="21"/>
                      </w:rPr>
                    </w:pPr>
                    <w:r>
                      <w:rPr>
                        <w:rFonts w:hint="eastAsia"/>
                        <w:color w:val="0000FF"/>
                        <w:szCs w:val="21"/>
                      </w:rPr>
                      <w:t xml:space="preserve">　</w:t>
                    </w:r>
                  </w:p>
                </w:tc>
              </w:sdtContent>
            </w:sdt>
          </w:tr>
          <w:tr w:rsidR="00471D53" w14:paraId="27936AF3" w14:textId="77777777" w:rsidTr="00471D53">
            <w:sdt>
              <w:sdtPr>
                <w:tag w:val="_PLD_176b3ea3b8024c5c8cfe828e8d88f77b"/>
                <w:id w:val="-532808908"/>
                <w:lock w:val="sdtLocked"/>
              </w:sdtPr>
              <w:sdtEndPr/>
              <w:sdtContent>
                <w:tc>
                  <w:tcPr>
                    <w:tcW w:w="2241" w:type="pct"/>
                    <w:shd w:val="clear" w:color="auto" w:fill="auto"/>
                    <w:vAlign w:val="center"/>
                  </w:tcPr>
                  <w:p w14:paraId="13A16ED7" w14:textId="77777777" w:rsidR="00471D53" w:rsidRDefault="004F686E" w:rsidP="00471D53">
                    <w:pPr>
                      <w:rPr>
                        <w:szCs w:val="21"/>
                      </w:rPr>
                    </w:pPr>
                    <w:r>
                      <w:rPr>
                        <w:rFonts w:hint="eastAsia"/>
                        <w:szCs w:val="21"/>
                      </w:rPr>
                      <w:t>债务重组损益</w:t>
                    </w:r>
                  </w:p>
                </w:tc>
              </w:sdtContent>
            </w:sdt>
            <w:sdt>
              <w:sdtPr>
                <w:rPr>
                  <w:rFonts w:hint="eastAsia"/>
                  <w:szCs w:val="21"/>
                </w:rPr>
                <w:alias w:val="债务重组损益（非经常性损益项目）"/>
                <w:tag w:val="_GBC_562f390e991e466084ffd0680a094232"/>
                <w:id w:val="1449511339"/>
                <w:lock w:val="sdtLocked"/>
                <w:showingPlcHdr/>
                <w:dataBinding w:prefixMappings="xmlns:clcid-pte='clcid-pte'" w:xpath="/*/clcid-pte:FeiJingChangXingSunYiZhongZhaiWuZhongZuSunYi[not(@periodRef)]" w:storeItemID="{89EBAB94-44A0-46A2-B712-30D997D04A6D}"/>
                <w:text/>
              </w:sdtPr>
              <w:sdtEndPr/>
              <w:sdtContent>
                <w:tc>
                  <w:tcPr>
                    <w:tcW w:w="1377" w:type="pct"/>
                    <w:shd w:val="clear" w:color="auto" w:fill="auto"/>
                  </w:tcPr>
                  <w:p w14:paraId="021AD249" w14:textId="77777777" w:rsidR="00471D53" w:rsidRDefault="004F686E" w:rsidP="00471D53">
                    <w:pPr>
                      <w:jc w:val="right"/>
                      <w:rPr>
                        <w:szCs w:val="21"/>
                      </w:rPr>
                    </w:pPr>
                    <w:r>
                      <w:rPr>
                        <w:rFonts w:hint="eastAsia"/>
                        <w:color w:val="0000FF"/>
                        <w:szCs w:val="21"/>
                      </w:rPr>
                      <w:t xml:space="preserve">　</w:t>
                    </w:r>
                  </w:p>
                </w:tc>
              </w:sdtContent>
            </w:sdt>
            <w:sdt>
              <w:sdtPr>
                <w:rPr>
                  <w:szCs w:val="21"/>
                </w:rPr>
                <w:alias w:val="债务重组损益的说明（非经常性损益项目）"/>
                <w:tag w:val="_GBC_f43aef808f214d7383de39e3b6c398f4"/>
                <w:id w:val="140705985"/>
                <w:lock w:val="sdtLocked"/>
                <w:showingPlcHdr/>
                <w:dataBinding w:prefixMappings="xmlns:clcid-pte='clcid-pte'" w:xpath="/*/clcid-pte:FeiJingChangXingSunYiZhongZhaiWuZhongZuSunYiShuoMing[not(@periodRef)]" w:storeItemID="{89EBAB94-44A0-46A2-B712-30D997D04A6D}"/>
                <w:text/>
              </w:sdtPr>
              <w:sdtEndPr/>
              <w:sdtContent>
                <w:tc>
                  <w:tcPr>
                    <w:tcW w:w="1382" w:type="pct"/>
                  </w:tcPr>
                  <w:p w14:paraId="6A9B2F27" w14:textId="77777777" w:rsidR="00471D53" w:rsidRDefault="004F686E" w:rsidP="00471D53">
                    <w:pPr>
                      <w:rPr>
                        <w:szCs w:val="21"/>
                      </w:rPr>
                    </w:pPr>
                    <w:r>
                      <w:rPr>
                        <w:rFonts w:hint="eastAsia"/>
                        <w:color w:val="0000FF"/>
                        <w:szCs w:val="21"/>
                      </w:rPr>
                      <w:t xml:space="preserve">　</w:t>
                    </w:r>
                  </w:p>
                </w:tc>
              </w:sdtContent>
            </w:sdt>
          </w:tr>
          <w:tr w:rsidR="00471D53" w14:paraId="2B7E3827" w14:textId="77777777" w:rsidTr="00471D53">
            <w:sdt>
              <w:sdtPr>
                <w:tag w:val="_PLD_36690c4bef8e47aa953ed83e202e410d"/>
                <w:id w:val="861781260"/>
                <w:lock w:val="sdtLocked"/>
              </w:sdtPr>
              <w:sdtEndPr/>
              <w:sdtContent>
                <w:tc>
                  <w:tcPr>
                    <w:tcW w:w="2241" w:type="pct"/>
                    <w:shd w:val="clear" w:color="auto" w:fill="auto"/>
                    <w:vAlign w:val="center"/>
                  </w:tcPr>
                  <w:p w14:paraId="5D7AB81A" w14:textId="77777777" w:rsidR="00471D53" w:rsidRDefault="004F686E" w:rsidP="00471D53">
                    <w:pPr>
                      <w:rPr>
                        <w:szCs w:val="21"/>
                      </w:rPr>
                    </w:pPr>
                    <w:r>
                      <w:rPr>
                        <w:rFonts w:hint="eastAsia"/>
                        <w:szCs w:val="21"/>
                      </w:rPr>
                      <w:t>企业重组费用，如安置职工的支出、整合费用等</w:t>
                    </w:r>
                  </w:p>
                </w:tc>
              </w:sdtContent>
            </w:sdt>
            <w:sdt>
              <w:sdtPr>
                <w:rPr>
                  <w:rFonts w:hint="eastAsia"/>
                  <w:szCs w:val="21"/>
                </w:rPr>
                <w:alias w:val="企业重组费用，如安置职工的支出、整合费用等（非经常性损益项目）"/>
                <w:tag w:val="_GBC_56ec47ca87774d5abcabbca8deefec34"/>
                <w:id w:val="-369917406"/>
                <w:lock w:val="sdtLocked"/>
                <w:showingPlcHdr/>
                <w:dataBinding w:prefixMappings="xmlns:clcid-pte='clcid-pte'" w:xpath="/*/clcid-pte:QiYeZhongZuFeiYongRuAnZhiZhiGongDeZhiChuZhengHeFeiYongDeng[not(@periodRef)]" w:storeItemID="{89EBAB94-44A0-46A2-B712-30D997D04A6D}"/>
                <w:text/>
              </w:sdtPr>
              <w:sdtEndPr/>
              <w:sdtContent>
                <w:tc>
                  <w:tcPr>
                    <w:tcW w:w="1377" w:type="pct"/>
                    <w:shd w:val="clear" w:color="auto" w:fill="auto"/>
                  </w:tcPr>
                  <w:p w14:paraId="5E55F444" w14:textId="77777777" w:rsidR="00471D53" w:rsidRDefault="004F686E" w:rsidP="00471D53">
                    <w:pPr>
                      <w:jc w:val="right"/>
                      <w:rPr>
                        <w:szCs w:val="21"/>
                      </w:rPr>
                    </w:pPr>
                    <w:r>
                      <w:rPr>
                        <w:rFonts w:hint="eastAsia"/>
                        <w:color w:val="0000FF"/>
                        <w:szCs w:val="21"/>
                      </w:rPr>
                      <w:t xml:space="preserve">　</w:t>
                    </w:r>
                  </w:p>
                </w:tc>
              </w:sdtContent>
            </w:sdt>
            <w:sdt>
              <w:sdtPr>
                <w:rPr>
                  <w:szCs w:val="21"/>
                </w:rPr>
                <w:alias w:val="企业重组费用，如安置职工的支出、整合费用等的说明（非经常性损益项目）"/>
                <w:tag w:val="_GBC_a7c33259b38d4d119cc648f5a3558bfe"/>
                <w:id w:val="-1324821868"/>
                <w:lock w:val="sdtLocked"/>
                <w:showingPlcHdr/>
                <w:dataBinding w:prefixMappings="xmlns:clcid-pte='clcid-pte'" w:xpath="/*/clcid-pte:QiYeZhongZuFeiYongRuAnZhiZhiGongDeZhiChuZhengHeFeiYongDengShuoMing[not(@periodRef)]" w:storeItemID="{89EBAB94-44A0-46A2-B712-30D997D04A6D}"/>
                <w:text/>
              </w:sdtPr>
              <w:sdtEndPr/>
              <w:sdtContent>
                <w:tc>
                  <w:tcPr>
                    <w:tcW w:w="1382" w:type="pct"/>
                  </w:tcPr>
                  <w:p w14:paraId="7B36644A" w14:textId="77777777" w:rsidR="00471D53" w:rsidRDefault="004F686E" w:rsidP="00471D53">
                    <w:pPr>
                      <w:rPr>
                        <w:szCs w:val="21"/>
                      </w:rPr>
                    </w:pPr>
                    <w:r>
                      <w:rPr>
                        <w:rFonts w:hint="eastAsia"/>
                        <w:color w:val="0000FF"/>
                        <w:szCs w:val="21"/>
                      </w:rPr>
                      <w:t xml:space="preserve">　</w:t>
                    </w:r>
                  </w:p>
                </w:tc>
              </w:sdtContent>
            </w:sdt>
          </w:tr>
          <w:tr w:rsidR="00471D53" w14:paraId="11E7C47E" w14:textId="77777777" w:rsidTr="00471D53">
            <w:sdt>
              <w:sdtPr>
                <w:tag w:val="_PLD_96c460441b004ae1a19c7e13461c5c75"/>
                <w:id w:val="-540751308"/>
                <w:lock w:val="sdtLocked"/>
              </w:sdtPr>
              <w:sdtEndPr/>
              <w:sdtContent>
                <w:tc>
                  <w:tcPr>
                    <w:tcW w:w="2241" w:type="pct"/>
                    <w:shd w:val="clear" w:color="auto" w:fill="auto"/>
                    <w:vAlign w:val="center"/>
                  </w:tcPr>
                  <w:p w14:paraId="243CED29" w14:textId="77777777" w:rsidR="00471D53" w:rsidRDefault="004F686E" w:rsidP="00471D53">
                    <w:pPr>
                      <w:rPr>
                        <w:szCs w:val="21"/>
                      </w:rPr>
                    </w:pPr>
                    <w:r>
                      <w:rPr>
                        <w:rFonts w:hint="eastAsia"/>
                        <w:szCs w:val="21"/>
                      </w:rPr>
                      <w:t>交易价格显失公允的交易产生的超过公允价值部分的损益</w:t>
                    </w:r>
                  </w:p>
                </w:tc>
              </w:sdtContent>
            </w:sdt>
            <w:sdt>
              <w:sdtPr>
                <w:rPr>
                  <w:rFonts w:hint="eastAsia"/>
                  <w:szCs w:val="21"/>
                </w:rPr>
                <w:alias w:val="交易价格显失公允的交易产生的超过公允价值部分的损益（非经常性损益项目）"/>
                <w:tag w:val="_GBC_6704ec57bd314db499ba1bfa7fe212ec"/>
                <w:id w:val="-1593852047"/>
                <w:lock w:val="sdtLocked"/>
                <w:showingPlcHdr/>
                <w:dataBinding w:prefixMappings="xmlns:clcid-pte='clcid-pte'" w:xpath="/*/clcid-pte:FeiJingChangXingSunYiZhongJiaoYiJiaGeXianShiGongYunDeJiaoYiChanShengDeSunYi[not(@periodRef)]" w:storeItemID="{89EBAB94-44A0-46A2-B712-30D997D04A6D}"/>
                <w:text/>
              </w:sdtPr>
              <w:sdtEndPr/>
              <w:sdtContent>
                <w:tc>
                  <w:tcPr>
                    <w:tcW w:w="1377" w:type="pct"/>
                    <w:shd w:val="clear" w:color="auto" w:fill="auto"/>
                  </w:tcPr>
                  <w:p w14:paraId="1D115F94" w14:textId="77777777" w:rsidR="00471D53" w:rsidRDefault="004F686E" w:rsidP="00471D53">
                    <w:pPr>
                      <w:jc w:val="right"/>
                      <w:rPr>
                        <w:szCs w:val="21"/>
                      </w:rPr>
                    </w:pPr>
                    <w:r>
                      <w:rPr>
                        <w:rFonts w:hint="eastAsia"/>
                        <w:color w:val="0000FF"/>
                        <w:szCs w:val="21"/>
                      </w:rPr>
                      <w:t xml:space="preserve">　</w:t>
                    </w:r>
                  </w:p>
                </w:tc>
              </w:sdtContent>
            </w:sdt>
            <w:sdt>
              <w:sdtPr>
                <w:rPr>
                  <w:szCs w:val="21"/>
                </w:rPr>
                <w:alias w:val="交易价格显失公允的交易产生的超过公允价值部分的损益的说明（非经常性损益项目）"/>
                <w:tag w:val="_GBC_8924193e761244e8b5efdfb510613a4f"/>
                <w:id w:val="-1225058890"/>
                <w:lock w:val="sdtLocked"/>
                <w:showingPlcHdr/>
                <w:dataBinding w:prefixMappings="xmlns:clcid-pte='clcid-pte'" w:xpath="/*/clcid-pte:FeiJingChangXingSunYiZhongJiaoYiJiaGeXianShiGongYunDeJiaoYiChanShengDeSunYiShuoMing[not(@periodRef)]" w:storeItemID="{89EBAB94-44A0-46A2-B712-30D997D04A6D}"/>
                <w:text/>
              </w:sdtPr>
              <w:sdtEndPr/>
              <w:sdtContent>
                <w:tc>
                  <w:tcPr>
                    <w:tcW w:w="1382" w:type="pct"/>
                  </w:tcPr>
                  <w:p w14:paraId="7EBFA6F9" w14:textId="77777777" w:rsidR="00471D53" w:rsidRDefault="004F686E" w:rsidP="00471D53">
                    <w:pPr>
                      <w:rPr>
                        <w:szCs w:val="21"/>
                      </w:rPr>
                    </w:pPr>
                    <w:r>
                      <w:rPr>
                        <w:rFonts w:hint="eastAsia"/>
                        <w:color w:val="0000FF"/>
                        <w:szCs w:val="21"/>
                      </w:rPr>
                      <w:t xml:space="preserve">　</w:t>
                    </w:r>
                  </w:p>
                </w:tc>
              </w:sdtContent>
            </w:sdt>
          </w:tr>
          <w:tr w:rsidR="00471D53" w14:paraId="260E1C5F" w14:textId="77777777" w:rsidTr="00471D53">
            <w:sdt>
              <w:sdtPr>
                <w:tag w:val="_PLD_42cb9feac45d475db521c5436a75bf7e"/>
                <w:id w:val="1040477269"/>
                <w:lock w:val="sdtLocked"/>
              </w:sdtPr>
              <w:sdtEndPr/>
              <w:sdtContent>
                <w:tc>
                  <w:tcPr>
                    <w:tcW w:w="2241" w:type="pct"/>
                    <w:shd w:val="clear" w:color="auto" w:fill="auto"/>
                    <w:vAlign w:val="center"/>
                  </w:tcPr>
                  <w:p w14:paraId="0369DA30" w14:textId="77777777" w:rsidR="00471D53" w:rsidRDefault="004F686E" w:rsidP="00471D53">
                    <w:pPr>
                      <w:rPr>
                        <w:szCs w:val="21"/>
                      </w:rPr>
                    </w:pPr>
                    <w:r>
                      <w:rPr>
                        <w:rFonts w:hint="eastAsia"/>
                        <w:szCs w:val="21"/>
                      </w:rPr>
                      <w:t>同一控制下企业合并产生的子公司期初至合并日的当期净损益</w:t>
                    </w:r>
                  </w:p>
                </w:tc>
              </w:sdtContent>
            </w:sdt>
            <w:sdt>
              <w:sdtPr>
                <w:rPr>
                  <w:rFonts w:hint="eastAsia"/>
                  <w:szCs w:val="21"/>
                </w:rPr>
                <w:alias w:val="同一控制下企业合并产生的子公司期初至合并日的当期净损益（非经常性损益项目）"/>
                <w:tag w:val="_GBC_41b40e6e0f3848d69f00e71731aaf0e1"/>
                <w:id w:val="1267192614"/>
                <w:lock w:val="sdtLocked"/>
                <w:showingPlcHdr/>
                <w:dataBinding w:prefixMappings="xmlns:clcid-pte='clcid-pte'" w:xpath="/*/clcid-pte:TongYiKongZhiXiaQiYeHeBingChanShengDeZiGongSiQiChuZhiHeBingRiDeDangQiJingSunYi[not(@periodRef)]" w:storeItemID="{89EBAB94-44A0-46A2-B712-30D997D04A6D}"/>
                <w:text/>
              </w:sdtPr>
              <w:sdtEndPr/>
              <w:sdtContent>
                <w:tc>
                  <w:tcPr>
                    <w:tcW w:w="1377" w:type="pct"/>
                    <w:shd w:val="clear" w:color="auto" w:fill="auto"/>
                  </w:tcPr>
                  <w:p w14:paraId="5596F7AD" w14:textId="77777777" w:rsidR="00471D53" w:rsidRDefault="004F686E" w:rsidP="00471D53">
                    <w:pPr>
                      <w:jc w:val="right"/>
                      <w:rPr>
                        <w:szCs w:val="21"/>
                      </w:rPr>
                    </w:pPr>
                    <w:r>
                      <w:rPr>
                        <w:rFonts w:hint="eastAsia"/>
                        <w:color w:val="0000FF"/>
                        <w:szCs w:val="21"/>
                      </w:rPr>
                      <w:t xml:space="preserve">　</w:t>
                    </w:r>
                  </w:p>
                </w:tc>
              </w:sdtContent>
            </w:sdt>
            <w:sdt>
              <w:sdtPr>
                <w:rPr>
                  <w:szCs w:val="21"/>
                </w:rPr>
                <w:alias w:val="同一控制下企业合并产生的子公司期初至合并日的当期净损益的说明（非经常性损益项目）"/>
                <w:tag w:val="_GBC_b89a03114e86456eb0c9e31e114ed87a"/>
                <w:id w:val="-882551409"/>
                <w:lock w:val="sdtLocked"/>
                <w:showingPlcHdr/>
                <w:dataBinding w:prefixMappings="xmlns:clcid-pte='clcid-pte'" w:xpath="/*/clcid-pte:TongYiKongZhiXiaQiYeHeBingChanShengDeZiGongSiQiChuZhiHeBingRiDeDangQiJingSunYiShuoMing[not(@periodRef)]" w:storeItemID="{89EBAB94-44A0-46A2-B712-30D997D04A6D}"/>
                <w:text/>
              </w:sdtPr>
              <w:sdtEndPr/>
              <w:sdtContent>
                <w:tc>
                  <w:tcPr>
                    <w:tcW w:w="1382" w:type="pct"/>
                  </w:tcPr>
                  <w:p w14:paraId="2B3D5268" w14:textId="77777777" w:rsidR="00471D53" w:rsidRDefault="004F686E" w:rsidP="00471D53">
                    <w:pPr>
                      <w:rPr>
                        <w:szCs w:val="21"/>
                      </w:rPr>
                    </w:pPr>
                    <w:r>
                      <w:rPr>
                        <w:rFonts w:hint="eastAsia"/>
                        <w:color w:val="0000FF"/>
                        <w:szCs w:val="21"/>
                      </w:rPr>
                      <w:t xml:space="preserve">　</w:t>
                    </w:r>
                  </w:p>
                </w:tc>
              </w:sdtContent>
            </w:sdt>
          </w:tr>
          <w:tr w:rsidR="00471D53" w14:paraId="624C13C9" w14:textId="77777777" w:rsidTr="00471D53">
            <w:sdt>
              <w:sdtPr>
                <w:tag w:val="_PLD_7fc55b419222469eac67ff689744c277"/>
                <w:id w:val="-1799294229"/>
                <w:lock w:val="sdtLocked"/>
              </w:sdtPr>
              <w:sdtEndPr/>
              <w:sdtContent>
                <w:tc>
                  <w:tcPr>
                    <w:tcW w:w="2241" w:type="pct"/>
                    <w:shd w:val="clear" w:color="auto" w:fill="auto"/>
                    <w:vAlign w:val="center"/>
                  </w:tcPr>
                  <w:p w14:paraId="0663297A" w14:textId="77777777" w:rsidR="00471D53" w:rsidRDefault="004F686E" w:rsidP="00471D53">
                    <w:pPr>
                      <w:rPr>
                        <w:szCs w:val="21"/>
                      </w:rPr>
                    </w:pPr>
                    <w:r>
                      <w:rPr>
                        <w:rFonts w:hint="eastAsia"/>
                        <w:szCs w:val="21"/>
                      </w:rPr>
                      <w:t>与公司正常经营业务无关的或有事项产生的损益</w:t>
                    </w:r>
                  </w:p>
                </w:tc>
              </w:sdtContent>
            </w:sdt>
            <w:sdt>
              <w:sdtPr>
                <w:rPr>
                  <w:rFonts w:hint="eastAsia"/>
                  <w:szCs w:val="21"/>
                </w:rPr>
                <w:alias w:val="与公司正常经营业务无关的或有事项产生的损益（非经常性损益项目）"/>
                <w:tag w:val="_GBC_87c0e437c14d4dd3bd5dd001c159ec09"/>
                <w:id w:val="-1763675396"/>
                <w:lock w:val="sdtLocked"/>
                <w:showingPlcHdr/>
                <w:dataBinding w:prefixMappings="xmlns:clcid-pte='clcid-pte'" w:xpath="/*/clcid-pte:YuGongSiZhuYingYeWuWuGuanDeYuJiFuZhaiChanShengDeSunYi[not(@periodRef)]" w:storeItemID="{89EBAB94-44A0-46A2-B712-30D997D04A6D}"/>
                <w:text/>
              </w:sdtPr>
              <w:sdtEndPr/>
              <w:sdtContent>
                <w:tc>
                  <w:tcPr>
                    <w:tcW w:w="1377" w:type="pct"/>
                    <w:shd w:val="clear" w:color="auto" w:fill="auto"/>
                  </w:tcPr>
                  <w:p w14:paraId="2329D40B" w14:textId="77777777" w:rsidR="00471D53" w:rsidRDefault="004F686E" w:rsidP="00471D53">
                    <w:pPr>
                      <w:jc w:val="right"/>
                      <w:rPr>
                        <w:szCs w:val="21"/>
                      </w:rPr>
                    </w:pPr>
                    <w:r>
                      <w:rPr>
                        <w:rFonts w:hint="eastAsia"/>
                        <w:color w:val="0000FF"/>
                        <w:szCs w:val="21"/>
                      </w:rPr>
                      <w:t xml:space="preserve">　</w:t>
                    </w:r>
                  </w:p>
                </w:tc>
              </w:sdtContent>
            </w:sdt>
            <w:sdt>
              <w:sdtPr>
                <w:rPr>
                  <w:szCs w:val="21"/>
                </w:rPr>
                <w:alias w:val="与公司正常经营业务无关的或有事项产生的损益的说明（非经常性损益项目）"/>
                <w:tag w:val="_GBC_c092dcb18a4049e7b48c3f5c5a57f1aa"/>
                <w:id w:val="2025052185"/>
                <w:lock w:val="sdtLocked"/>
                <w:showingPlcHdr/>
                <w:dataBinding w:prefixMappings="xmlns:clcid-pte='clcid-pte'" w:xpath="/*/clcid-pte:YuGongSiZhuYingYeWuWuGuanDeYuJiFuZhaiChanShengDeSunYiShuoMing[not(@periodRef)]" w:storeItemID="{89EBAB94-44A0-46A2-B712-30D997D04A6D}"/>
                <w:text/>
              </w:sdtPr>
              <w:sdtEndPr/>
              <w:sdtContent>
                <w:tc>
                  <w:tcPr>
                    <w:tcW w:w="1382" w:type="pct"/>
                  </w:tcPr>
                  <w:p w14:paraId="03466FC2" w14:textId="77777777" w:rsidR="00471D53" w:rsidRDefault="004F686E" w:rsidP="00471D53">
                    <w:pPr>
                      <w:rPr>
                        <w:szCs w:val="21"/>
                      </w:rPr>
                    </w:pPr>
                    <w:r>
                      <w:rPr>
                        <w:rFonts w:hint="eastAsia"/>
                        <w:color w:val="0000FF"/>
                        <w:szCs w:val="21"/>
                      </w:rPr>
                      <w:t xml:space="preserve">　</w:t>
                    </w:r>
                  </w:p>
                </w:tc>
              </w:sdtContent>
            </w:sdt>
          </w:tr>
          <w:tr w:rsidR="00471D53" w14:paraId="7A330503" w14:textId="77777777" w:rsidTr="00471D53">
            <w:tc>
              <w:tcPr>
                <w:tcW w:w="2241" w:type="pct"/>
                <w:shd w:val="clear" w:color="auto" w:fill="auto"/>
                <w:vAlign w:val="center"/>
              </w:tcPr>
              <w:sdt>
                <w:sdtPr>
                  <w:rPr>
                    <w:rFonts w:hint="eastAsia"/>
                  </w:rPr>
                  <w:tag w:val="_PLD_c8d1dda81a0f44c187552ba8e70f0013"/>
                  <w:id w:val="-1424573115"/>
                  <w:lock w:val="sdtLocked"/>
                </w:sdtPr>
                <w:sdtEndPr/>
                <w:sdtContent>
                  <w:p w14:paraId="1B9FFA03" w14:textId="77777777" w:rsidR="00471D53" w:rsidRDefault="004F686E" w:rsidP="00471D53">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sdt>
              <w:sdtPr>
                <w:rPr>
                  <w:rFonts w:hint="eastAsia"/>
                  <w:szCs w:val="21"/>
                </w:rPr>
                <w:alias w:val="除同公司正常经营业务相关的有效套期保值业务外，持有交易性金融资产、衍生金融资产、交易性金融负债、衍生金融负债产生的公允价值变动损"/>
                <w:tag w:val="_GBC_30456754229745f0b97eaee273d2a4a1"/>
                <w:id w:val="1462388728"/>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not(@periodRef)]" w:storeItemID="{89EBAB94-44A0-46A2-B712-30D997D04A6D}"/>
                <w:text/>
              </w:sdtPr>
              <w:sdtEndPr/>
              <w:sdtContent>
                <w:tc>
                  <w:tcPr>
                    <w:tcW w:w="1377" w:type="pct"/>
                    <w:shd w:val="clear" w:color="auto" w:fill="auto"/>
                  </w:tcPr>
                  <w:p w14:paraId="188DD1AA" w14:textId="77777777" w:rsidR="00471D53" w:rsidRDefault="004F686E" w:rsidP="00471D53">
                    <w:pPr>
                      <w:jc w:val="right"/>
                      <w:rPr>
                        <w:szCs w:val="21"/>
                      </w:rPr>
                    </w:pPr>
                    <w:r>
                      <w:rPr>
                        <w:rStyle w:val="afffffffc"/>
                        <w:rFonts w:hint="eastAsia"/>
                      </w:rPr>
                      <w:t xml:space="preserve">　</w:t>
                    </w:r>
                  </w:p>
                </w:tc>
              </w:sdtContent>
            </w:sdt>
            <w:sdt>
              <w:sdtPr>
                <w:rPr>
                  <w:szCs w:val="21"/>
                </w:rPr>
                <w:alias w:val="除同公司正常经营业务相关的有效套期保值业务外，持有交易性金融资产、衍生金融资产、交易性金融负债、衍生金融负债产生的公允价值变动损"/>
                <w:tag w:val="_GBC_e550f874b5b44395a6eea0cd28e58b6c"/>
                <w:id w:val="1388374449"/>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not(@periodRef)]" w:storeItemID="{89EBAB94-44A0-46A2-B712-30D997D04A6D}"/>
                <w:text/>
              </w:sdtPr>
              <w:sdtEndPr/>
              <w:sdtContent>
                <w:tc>
                  <w:tcPr>
                    <w:tcW w:w="1382" w:type="pct"/>
                  </w:tcPr>
                  <w:p w14:paraId="2CE89AA3" w14:textId="77777777" w:rsidR="00471D53" w:rsidRDefault="004F686E" w:rsidP="00471D53">
                    <w:pPr>
                      <w:rPr>
                        <w:szCs w:val="21"/>
                      </w:rPr>
                    </w:pPr>
                    <w:r>
                      <w:rPr>
                        <w:rStyle w:val="afffffffc"/>
                        <w:rFonts w:hint="eastAsia"/>
                      </w:rPr>
                      <w:t xml:space="preserve">　</w:t>
                    </w:r>
                  </w:p>
                </w:tc>
              </w:sdtContent>
            </w:sdt>
          </w:tr>
          <w:tr w:rsidR="00471D53" w14:paraId="2B82074E" w14:textId="77777777" w:rsidTr="00471D53">
            <w:tc>
              <w:tcPr>
                <w:tcW w:w="2241" w:type="pct"/>
                <w:shd w:val="clear" w:color="auto" w:fill="auto"/>
                <w:vAlign w:val="center"/>
              </w:tcPr>
              <w:sdt>
                <w:sdtPr>
                  <w:rPr>
                    <w:rFonts w:hint="eastAsia"/>
                  </w:rPr>
                  <w:tag w:val="_PLD_96504db5fe914312bc672892fec5c25b"/>
                  <w:id w:val="-2059314190"/>
                  <w:lock w:val="sdtLocked"/>
                </w:sdtPr>
                <w:sdtEndPr/>
                <w:sdtContent>
                  <w:p w14:paraId="12544738" w14:textId="77777777" w:rsidR="00471D53" w:rsidRDefault="004F686E" w:rsidP="00471D53">
                    <w:r>
                      <w:rPr>
                        <w:rFonts w:hint="eastAsia"/>
                      </w:rPr>
                      <w:t>单独进行减值测试的应收款项、合同资产减值准备转回</w:t>
                    </w:r>
                  </w:p>
                </w:sdtContent>
              </w:sdt>
            </w:tc>
            <w:sdt>
              <w:sdtPr>
                <w:rPr>
                  <w:rFonts w:hint="eastAsia"/>
                  <w:szCs w:val="21"/>
                </w:rPr>
                <w:alias w:val="单独进行减值测试的应收款项、合同资产减值准备转回（非经常性损益项目） "/>
                <w:tag w:val="_GBC_0dad62375b814507ac0f44483df2a2b4"/>
                <w:id w:val="-1193986536"/>
                <w:lock w:val="sdtLocked"/>
                <w:dataBinding w:prefixMappings="xmlns:clcid-pte='clcid-pte'" w:xpath="/*/clcid-pte:DanDuJinXingJianZhiCeShiDeYingShouKuanXiangHeTongZiChanJianZhiZhunBeiZhuanHuiFeiJingChangXingSunYiXiangMu[not(@periodRef)]" w:storeItemID="{89EBAB94-44A0-46A2-B712-30D997D04A6D}"/>
                <w:text/>
              </w:sdtPr>
              <w:sdtEndPr/>
              <w:sdtContent>
                <w:tc>
                  <w:tcPr>
                    <w:tcW w:w="1377" w:type="pct"/>
                    <w:shd w:val="clear" w:color="auto" w:fill="auto"/>
                  </w:tcPr>
                  <w:p w14:paraId="322B34C1" w14:textId="77777777" w:rsidR="00471D53" w:rsidRDefault="004F686E" w:rsidP="00471D53">
                    <w:pPr>
                      <w:jc w:val="right"/>
                      <w:rPr>
                        <w:szCs w:val="21"/>
                      </w:rPr>
                    </w:pPr>
                    <w:r>
                      <w:rPr>
                        <w:rFonts w:hint="eastAsia"/>
                        <w:szCs w:val="21"/>
                      </w:rPr>
                      <w:t>819,000.00</w:t>
                    </w:r>
                  </w:p>
                </w:tc>
              </w:sdtContent>
            </w:sdt>
            <w:sdt>
              <w:sdtPr>
                <w:rPr>
                  <w:szCs w:val="21"/>
                </w:rPr>
                <w:alias w:val="单独进行减值测试的应收款项、合同资产减值准备转回的说明（非经常性损益项目）"/>
                <w:tag w:val="_GBC_9bfa6a8beae249d79097f549d5202e73"/>
                <w:id w:val="-1928719013"/>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EndPr/>
              <w:sdtContent>
                <w:tc>
                  <w:tcPr>
                    <w:tcW w:w="1382" w:type="pct"/>
                  </w:tcPr>
                  <w:p w14:paraId="7D776F67" w14:textId="77777777" w:rsidR="00471D53" w:rsidRDefault="004F686E" w:rsidP="00471D53">
                    <w:pPr>
                      <w:rPr>
                        <w:szCs w:val="21"/>
                      </w:rPr>
                    </w:pPr>
                    <w:r>
                      <w:rPr>
                        <w:rStyle w:val="afffffffc"/>
                        <w:rFonts w:hint="eastAsia"/>
                      </w:rPr>
                      <w:t xml:space="preserve">　</w:t>
                    </w:r>
                  </w:p>
                </w:tc>
              </w:sdtContent>
            </w:sdt>
          </w:tr>
          <w:tr w:rsidR="00471D53" w14:paraId="125E3748" w14:textId="77777777" w:rsidTr="00471D53">
            <w:sdt>
              <w:sdtPr>
                <w:tag w:val="_PLD_0d0ce84cff764cbf94ba500578ddc45d"/>
                <w:id w:val="-2098240504"/>
                <w:lock w:val="sdtLocked"/>
              </w:sdtPr>
              <w:sdtEndPr/>
              <w:sdtContent>
                <w:tc>
                  <w:tcPr>
                    <w:tcW w:w="2241" w:type="pct"/>
                    <w:shd w:val="clear" w:color="auto" w:fill="auto"/>
                    <w:vAlign w:val="center"/>
                  </w:tcPr>
                  <w:p w14:paraId="365F10AE" w14:textId="77777777" w:rsidR="00471D53" w:rsidRDefault="004F686E" w:rsidP="00471D53">
                    <w:pPr>
                      <w:rPr>
                        <w:szCs w:val="21"/>
                      </w:rPr>
                    </w:pPr>
                    <w:r>
                      <w:rPr>
                        <w:rFonts w:hint="eastAsia"/>
                        <w:szCs w:val="21"/>
                      </w:rPr>
                      <w:t>对外委托贷款取得的损益</w:t>
                    </w:r>
                  </w:p>
                </w:tc>
              </w:sdtContent>
            </w:sdt>
            <w:sdt>
              <w:sdtPr>
                <w:rPr>
                  <w:rFonts w:hint="eastAsia"/>
                  <w:szCs w:val="21"/>
                </w:rPr>
                <w:alias w:val="对外委托贷款取得的损益（非经常性损益项目）"/>
                <w:tag w:val="_GBC_27b47ed06c97431897415150396a2093"/>
                <w:id w:val="-280420910"/>
                <w:lock w:val="sdtLocked"/>
                <w:showingPlcHdr/>
                <w:dataBinding w:prefixMappings="xmlns:clcid-pte='clcid-pte'" w:xpath="/*/clcid-pte:DuiWaiWeiTuoDaiKuanQuDeDeSunYi[not(@periodRef)]" w:storeItemID="{89EBAB94-44A0-46A2-B712-30D997D04A6D}"/>
                <w:text/>
              </w:sdtPr>
              <w:sdtEndPr/>
              <w:sdtContent>
                <w:tc>
                  <w:tcPr>
                    <w:tcW w:w="1377" w:type="pct"/>
                    <w:shd w:val="clear" w:color="auto" w:fill="auto"/>
                  </w:tcPr>
                  <w:p w14:paraId="78C80163" w14:textId="77777777" w:rsidR="00471D53" w:rsidRDefault="004F686E" w:rsidP="00471D53">
                    <w:pPr>
                      <w:jc w:val="right"/>
                      <w:rPr>
                        <w:szCs w:val="21"/>
                      </w:rPr>
                    </w:pPr>
                    <w:r>
                      <w:rPr>
                        <w:rFonts w:hint="eastAsia"/>
                        <w:color w:val="0000FF"/>
                        <w:szCs w:val="21"/>
                      </w:rPr>
                      <w:t xml:space="preserve">　</w:t>
                    </w:r>
                  </w:p>
                </w:tc>
              </w:sdtContent>
            </w:sdt>
            <w:sdt>
              <w:sdtPr>
                <w:rPr>
                  <w:szCs w:val="21"/>
                </w:rPr>
                <w:alias w:val="对外委托贷款取得的损益的说明（非经常性损益项目）"/>
                <w:tag w:val="_GBC_72c375360c99465bb8170713ed413fe3"/>
                <w:id w:val="1612321385"/>
                <w:lock w:val="sdtLocked"/>
                <w:showingPlcHdr/>
                <w:dataBinding w:prefixMappings="xmlns:clcid-pte='clcid-pte'" w:xpath="/*/clcid-pte:DuiWaiWeiTuoDaiKuanQuDeDeSunYiShuoMing[not(@periodRef)]" w:storeItemID="{89EBAB94-44A0-46A2-B712-30D997D04A6D}"/>
                <w:text/>
              </w:sdtPr>
              <w:sdtEndPr/>
              <w:sdtContent>
                <w:tc>
                  <w:tcPr>
                    <w:tcW w:w="1382" w:type="pct"/>
                  </w:tcPr>
                  <w:p w14:paraId="4320F093" w14:textId="77777777" w:rsidR="00471D53" w:rsidRDefault="004F686E" w:rsidP="00471D53">
                    <w:pPr>
                      <w:rPr>
                        <w:szCs w:val="21"/>
                      </w:rPr>
                    </w:pPr>
                    <w:r>
                      <w:rPr>
                        <w:rFonts w:hint="eastAsia"/>
                        <w:color w:val="0000FF"/>
                        <w:szCs w:val="21"/>
                      </w:rPr>
                      <w:t xml:space="preserve">　</w:t>
                    </w:r>
                  </w:p>
                </w:tc>
              </w:sdtContent>
            </w:sdt>
          </w:tr>
          <w:tr w:rsidR="00471D53" w14:paraId="661C8A1F" w14:textId="77777777" w:rsidTr="00471D53">
            <w:sdt>
              <w:sdtPr>
                <w:tag w:val="_PLD_7681bf6967df4b049ee6f75b59a7329f"/>
                <w:id w:val="-1648051762"/>
                <w:lock w:val="sdtLocked"/>
              </w:sdtPr>
              <w:sdtEndPr/>
              <w:sdtContent>
                <w:tc>
                  <w:tcPr>
                    <w:tcW w:w="2241" w:type="pct"/>
                    <w:shd w:val="clear" w:color="auto" w:fill="auto"/>
                    <w:vAlign w:val="center"/>
                  </w:tcPr>
                  <w:p w14:paraId="437B81D9" w14:textId="77777777" w:rsidR="00471D53" w:rsidRDefault="004F686E" w:rsidP="00471D53">
                    <w:pPr>
                      <w:rPr>
                        <w:szCs w:val="21"/>
                      </w:rPr>
                    </w:pPr>
                    <w:r>
                      <w:rPr>
                        <w:rFonts w:hint="eastAsia"/>
                        <w:szCs w:val="21"/>
                      </w:rPr>
                      <w:t>采用公允价值模式进行后续计量的投资性房地产公允价值变动产生的损益</w:t>
                    </w:r>
                  </w:p>
                </w:tc>
              </w:sdtContent>
            </w:sdt>
            <w:sdt>
              <w:sdtPr>
                <w:rPr>
                  <w:rFonts w:hint="eastAsia"/>
                  <w:szCs w:val="21"/>
                </w:rPr>
                <w:alias w:val="采用公允价值模式进行后续计量的投资性房地产公允价值变动产生的损益（非经常性损益项目）"/>
                <w:tag w:val="_GBC_190716d7e441475687cb1bc366ad6b0c"/>
                <w:id w:val="-1945916572"/>
                <w:lock w:val="sdtLocked"/>
                <w:showingPlcHdr/>
                <w:dataBinding w:prefixMappings="xmlns:clcid-pte='clcid-pte'" w:xpath="/*/clcid-pte:CaiYongGongYunJiaZhiMoShiJinXingHouXuJiLiangDeTouZiXingFangDiChanGongYunJiaZhiBianDongChanShengDeSunYi[not(@periodRef)]" w:storeItemID="{89EBAB94-44A0-46A2-B712-30D997D04A6D}"/>
                <w:text/>
              </w:sdtPr>
              <w:sdtEndPr/>
              <w:sdtContent>
                <w:tc>
                  <w:tcPr>
                    <w:tcW w:w="1377" w:type="pct"/>
                    <w:shd w:val="clear" w:color="auto" w:fill="auto"/>
                  </w:tcPr>
                  <w:p w14:paraId="3905AFB5" w14:textId="77777777" w:rsidR="00471D53" w:rsidRDefault="004F686E" w:rsidP="00471D53">
                    <w:pPr>
                      <w:jc w:val="right"/>
                      <w:rPr>
                        <w:szCs w:val="21"/>
                      </w:rPr>
                    </w:pPr>
                    <w:r>
                      <w:rPr>
                        <w:rFonts w:hint="eastAsia"/>
                        <w:color w:val="0000FF"/>
                        <w:szCs w:val="21"/>
                      </w:rPr>
                      <w:t xml:space="preserve">　</w:t>
                    </w:r>
                  </w:p>
                </w:tc>
              </w:sdtContent>
            </w:sdt>
            <w:sdt>
              <w:sdtPr>
                <w:rPr>
                  <w:szCs w:val="21"/>
                </w:rPr>
                <w:alias w:val="采用公允价值模式进行后续计量的投资性房地产公允价值变动产生的损益的说明（非经常性损益项目）"/>
                <w:tag w:val="_GBC_c174c1c48c424f2b93a5298b3c87d544"/>
                <w:id w:val="-2094546615"/>
                <w:lock w:val="sdtLocked"/>
                <w:showingPlcHdr/>
                <w:dataBinding w:prefixMappings="xmlns:clcid-pte='clcid-pte'" w:xpath="/*/clcid-pte:CaiYongGongYunJiaZhiMoShiJinXingHouXuJiLiangDeTouZiXingFangDiChanGongYunJiaZhiBianDongChanShengDeSunYiShuoMing[not(@periodRef)]" w:storeItemID="{89EBAB94-44A0-46A2-B712-30D997D04A6D}"/>
                <w:text/>
              </w:sdtPr>
              <w:sdtEndPr/>
              <w:sdtContent>
                <w:tc>
                  <w:tcPr>
                    <w:tcW w:w="1382" w:type="pct"/>
                  </w:tcPr>
                  <w:p w14:paraId="7C07C310" w14:textId="77777777" w:rsidR="00471D53" w:rsidRDefault="004F686E" w:rsidP="00471D53">
                    <w:pPr>
                      <w:rPr>
                        <w:szCs w:val="21"/>
                      </w:rPr>
                    </w:pPr>
                    <w:r>
                      <w:rPr>
                        <w:rFonts w:hint="eastAsia"/>
                        <w:color w:val="0000FF"/>
                        <w:szCs w:val="21"/>
                      </w:rPr>
                      <w:t xml:space="preserve">　</w:t>
                    </w:r>
                  </w:p>
                </w:tc>
              </w:sdtContent>
            </w:sdt>
          </w:tr>
          <w:tr w:rsidR="00471D53" w14:paraId="50796D8D" w14:textId="77777777" w:rsidTr="00471D53">
            <w:sdt>
              <w:sdtPr>
                <w:tag w:val="_PLD_2df64da7b21b4209afb1b2e1c87793a4"/>
                <w:id w:val="1952355447"/>
                <w:lock w:val="sdtLocked"/>
              </w:sdtPr>
              <w:sdtEndPr/>
              <w:sdtContent>
                <w:tc>
                  <w:tcPr>
                    <w:tcW w:w="2241" w:type="pct"/>
                    <w:shd w:val="clear" w:color="auto" w:fill="auto"/>
                    <w:vAlign w:val="center"/>
                  </w:tcPr>
                  <w:p w14:paraId="6FEBB8ED" w14:textId="77777777" w:rsidR="00471D53" w:rsidRDefault="004F686E" w:rsidP="00471D53">
                    <w:pPr>
                      <w:rPr>
                        <w:szCs w:val="21"/>
                      </w:rPr>
                    </w:pPr>
                    <w:r>
                      <w:rPr>
                        <w:rFonts w:hint="eastAsia"/>
                        <w:szCs w:val="21"/>
                      </w:rPr>
                      <w:t>根据税收、会计等法律、法规的要求对当期损益进行一次性调整对当期损益的影响</w:t>
                    </w:r>
                  </w:p>
                </w:tc>
              </w:sdtContent>
            </w:sdt>
            <w:sdt>
              <w:sdtPr>
                <w:rPr>
                  <w:rFonts w:hint="eastAsia"/>
                  <w:szCs w:val="21"/>
                </w:rPr>
                <w:alias w:val="根据税收、会计等法律、法规的要求对当期损益进行一次性调整对当期损益的影响（非经常性损益项目）"/>
                <w:tag w:val="_GBC_58c2953c03634423ac62d3dec1a8cbf0"/>
                <w:id w:val="-236793870"/>
                <w:lock w:val="sdtLocked"/>
                <w:showingPlcHdr/>
                <w:dataBinding w:prefixMappings="xmlns:clcid-pte='clcid-pte'" w:xpath="/*/clcid-pte:GenJuShuiShouKuaiJiDengFaLvFaGuiDeYaoQiuDuiDangQiSunYiJinXingYiCiXingTiaoZhengDuiDangQiSunYiDeYingXiang[not(@periodRef)]" w:storeItemID="{89EBAB94-44A0-46A2-B712-30D997D04A6D}"/>
                <w:text/>
              </w:sdtPr>
              <w:sdtEndPr/>
              <w:sdtContent>
                <w:tc>
                  <w:tcPr>
                    <w:tcW w:w="1377" w:type="pct"/>
                    <w:shd w:val="clear" w:color="auto" w:fill="auto"/>
                  </w:tcPr>
                  <w:p w14:paraId="34DD5197" w14:textId="77777777" w:rsidR="00471D53" w:rsidRDefault="004F686E" w:rsidP="00471D53">
                    <w:pPr>
                      <w:jc w:val="right"/>
                      <w:rPr>
                        <w:szCs w:val="21"/>
                      </w:rPr>
                    </w:pPr>
                    <w:r>
                      <w:rPr>
                        <w:rFonts w:hint="eastAsia"/>
                        <w:color w:val="0000FF"/>
                        <w:szCs w:val="21"/>
                      </w:rPr>
                      <w:t xml:space="preserve">　</w:t>
                    </w:r>
                  </w:p>
                </w:tc>
              </w:sdtContent>
            </w:sdt>
            <w:sdt>
              <w:sdtPr>
                <w:rPr>
                  <w:szCs w:val="21"/>
                </w:rPr>
                <w:alias w:val="根据税收、会计等法律、法规的要求对当期损益进行一次性调整对当期损益的影响的说明（非经常性损益项目）"/>
                <w:tag w:val="_GBC_b3ddb30991974cd88ba33a7fc1b11cdc"/>
                <w:id w:val="-623773309"/>
                <w:lock w:val="sdtLocked"/>
                <w:showingPlcHdr/>
                <w:dataBinding w:prefixMappings="xmlns:clcid-pte='clcid-pte'" w:xpath="/*/clcid-pte:GenJuShuiShouKuaiJiDengFaLvFaGuiDeYaoQiuDuiDangQiSunYiJinXingYiCiXingTiaoZhengDuiDangQiSunYiDeYingXiangShuoMing[not(@periodRef)]" w:storeItemID="{89EBAB94-44A0-46A2-B712-30D997D04A6D}"/>
                <w:text/>
              </w:sdtPr>
              <w:sdtEndPr/>
              <w:sdtContent>
                <w:tc>
                  <w:tcPr>
                    <w:tcW w:w="1382" w:type="pct"/>
                  </w:tcPr>
                  <w:p w14:paraId="5B0394E7" w14:textId="77777777" w:rsidR="00471D53" w:rsidRDefault="004F686E" w:rsidP="00471D53">
                    <w:pPr>
                      <w:rPr>
                        <w:szCs w:val="21"/>
                      </w:rPr>
                    </w:pPr>
                    <w:r>
                      <w:rPr>
                        <w:rFonts w:hint="eastAsia"/>
                        <w:color w:val="0000FF"/>
                        <w:szCs w:val="21"/>
                      </w:rPr>
                      <w:t xml:space="preserve">　</w:t>
                    </w:r>
                  </w:p>
                </w:tc>
              </w:sdtContent>
            </w:sdt>
          </w:tr>
          <w:tr w:rsidR="00471D53" w14:paraId="5B2BFFA0" w14:textId="77777777" w:rsidTr="00471D53">
            <w:sdt>
              <w:sdtPr>
                <w:tag w:val="_PLD_65e2f6f2a865433a904f980d5ad452f3"/>
                <w:id w:val="1978102187"/>
                <w:lock w:val="sdtLocked"/>
              </w:sdtPr>
              <w:sdtEndPr/>
              <w:sdtContent>
                <w:tc>
                  <w:tcPr>
                    <w:tcW w:w="2241" w:type="pct"/>
                    <w:shd w:val="clear" w:color="auto" w:fill="auto"/>
                    <w:vAlign w:val="center"/>
                  </w:tcPr>
                  <w:p w14:paraId="5D6C9C74" w14:textId="77777777" w:rsidR="00471D53" w:rsidRDefault="004F686E" w:rsidP="00471D53">
                    <w:pPr>
                      <w:rPr>
                        <w:szCs w:val="21"/>
                      </w:rPr>
                    </w:pPr>
                    <w:r>
                      <w:rPr>
                        <w:rFonts w:hint="eastAsia"/>
                        <w:szCs w:val="21"/>
                      </w:rPr>
                      <w:t>受托经营取得的托管费收入</w:t>
                    </w:r>
                  </w:p>
                </w:tc>
              </w:sdtContent>
            </w:sdt>
            <w:sdt>
              <w:sdtPr>
                <w:rPr>
                  <w:rFonts w:hint="eastAsia"/>
                  <w:szCs w:val="21"/>
                </w:rPr>
                <w:alias w:val="受托经营取得的托管费收入（非经常性损益项目）"/>
                <w:tag w:val="_GBC_663696f2cd0a4fd2bdca4465abf7993f"/>
                <w:id w:val="-40832912"/>
                <w:lock w:val="sdtLocked"/>
                <w:showingPlcHdr/>
                <w:dataBinding w:prefixMappings="xmlns:clcid-pte='clcid-pte'" w:xpath="/*/clcid-pte:ShouTuoJingYingQuDeDeTuoGuanFeiShouRu[not(@periodRef)]" w:storeItemID="{89EBAB94-44A0-46A2-B712-30D997D04A6D}"/>
                <w:text/>
              </w:sdtPr>
              <w:sdtEndPr/>
              <w:sdtContent>
                <w:tc>
                  <w:tcPr>
                    <w:tcW w:w="1377" w:type="pct"/>
                    <w:shd w:val="clear" w:color="auto" w:fill="auto"/>
                  </w:tcPr>
                  <w:p w14:paraId="378BB6A0" w14:textId="77777777" w:rsidR="00471D53" w:rsidRDefault="004F686E" w:rsidP="00471D53">
                    <w:pPr>
                      <w:jc w:val="right"/>
                      <w:rPr>
                        <w:szCs w:val="21"/>
                      </w:rPr>
                    </w:pPr>
                    <w:r>
                      <w:rPr>
                        <w:rFonts w:hint="eastAsia"/>
                        <w:color w:val="0000FF"/>
                        <w:szCs w:val="21"/>
                      </w:rPr>
                      <w:t xml:space="preserve">　</w:t>
                    </w:r>
                  </w:p>
                </w:tc>
              </w:sdtContent>
            </w:sdt>
            <w:sdt>
              <w:sdtPr>
                <w:rPr>
                  <w:szCs w:val="21"/>
                </w:rPr>
                <w:alias w:val="受托经营取得的托管费收入的说明（非经常性损益项目）"/>
                <w:tag w:val="_GBC_55cffaeec7534a328908ea82413d2702"/>
                <w:id w:val="1649782739"/>
                <w:lock w:val="sdtLocked"/>
                <w:showingPlcHdr/>
                <w:dataBinding w:prefixMappings="xmlns:clcid-pte='clcid-pte'" w:xpath="/*/clcid-pte:ShouTuoJingYingQuDeDeTuoGuanFeiShouRuShuoMing[not(@periodRef)]" w:storeItemID="{89EBAB94-44A0-46A2-B712-30D997D04A6D}"/>
                <w:text/>
              </w:sdtPr>
              <w:sdtEndPr/>
              <w:sdtContent>
                <w:tc>
                  <w:tcPr>
                    <w:tcW w:w="1382" w:type="pct"/>
                  </w:tcPr>
                  <w:p w14:paraId="091E8F1C" w14:textId="77777777" w:rsidR="00471D53" w:rsidRDefault="004F686E" w:rsidP="00471D53">
                    <w:pPr>
                      <w:rPr>
                        <w:szCs w:val="21"/>
                      </w:rPr>
                    </w:pPr>
                    <w:r>
                      <w:rPr>
                        <w:rFonts w:hint="eastAsia"/>
                        <w:color w:val="0000FF"/>
                        <w:szCs w:val="21"/>
                      </w:rPr>
                      <w:t xml:space="preserve">　</w:t>
                    </w:r>
                  </w:p>
                </w:tc>
              </w:sdtContent>
            </w:sdt>
          </w:tr>
          <w:tr w:rsidR="00471D53" w14:paraId="2E32C2F3" w14:textId="77777777" w:rsidTr="00471D53">
            <w:sdt>
              <w:sdtPr>
                <w:tag w:val="_PLD_b0f68967a04b4a8a89df6132091b7461"/>
                <w:id w:val="-1492171038"/>
                <w:lock w:val="sdtLocked"/>
              </w:sdtPr>
              <w:sdtEndPr/>
              <w:sdtContent>
                <w:tc>
                  <w:tcPr>
                    <w:tcW w:w="2241" w:type="pct"/>
                    <w:shd w:val="clear" w:color="auto" w:fill="auto"/>
                    <w:vAlign w:val="center"/>
                  </w:tcPr>
                  <w:p w14:paraId="41FA764A" w14:textId="77777777" w:rsidR="00471D53" w:rsidRDefault="004F686E" w:rsidP="00471D53">
                    <w:pPr>
                      <w:rPr>
                        <w:szCs w:val="21"/>
                      </w:rPr>
                    </w:pPr>
                    <w:r>
                      <w:rPr>
                        <w:rFonts w:hint="eastAsia"/>
                        <w:szCs w:val="21"/>
                      </w:rPr>
                      <w:t>除上述各项之外的其他营业外收入和支出</w:t>
                    </w:r>
                  </w:p>
                </w:tc>
              </w:sdtContent>
            </w:sdt>
            <w:sdt>
              <w:sdtPr>
                <w:rPr>
                  <w:rFonts w:hint="eastAsia"/>
                  <w:szCs w:val="21"/>
                </w:rPr>
                <w:alias w:val="除上述各项之外的其他营业外收入和支出（非经常性损益项目）"/>
                <w:tag w:val="_GBC_6402a2f652bb4c68acec62c34d96d8ab"/>
                <w:id w:val="-1614289316"/>
                <w:lock w:val="sdtLocked"/>
                <w:dataBinding w:prefixMappings="xmlns:clcid-pte='clcid-pte'" w:xpath="/*/clcid-pte:ChuShangShuGeXiangZhiWaiDeQiTaYingYeWaiShouZhiJingE[not(@periodRef)]" w:storeItemID="{89EBAB94-44A0-46A2-B712-30D997D04A6D}"/>
                <w:text/>
              </w:sdtPr>
              <w:sdtEndPr/>
              <w:sdtContent>
                <w:tc>
                  <w:tcPr>
                    <w:tcW w:w="1377" w:type="pct"/>
                    <w:shd w:val="clear" w:color="auto" w:fill="auto"/>
                  </w:tcPr>
                  <w:p w14:paraId="50E8B499" w14:textId="77777777" w:rsidR="00471D53" w:rsidRDefault="004F686E" w:rsidP="00471D53">
                    <w:pPr>
                      <w:jc w:val="right"/>
                      <w:rPr>
                        <w:szCs w:val="21"/>
                      </w:rPr>
                    </w:pPr>
                    <w:r>
                      <w:rPr>
                        <w:rFonts w:hint="eastAsia"/>
                        <w:szCs w:val="21"/>
                      </w:rPr>
                      <w:t>583,767.12</w:t>
                    </w:r>
                  </w:p>
                </w:tc>
              </w:sdtContent>
            </w:sdt>
            <w:sdt>
              <w:sdtPr>
                <w:rPr>
                  <w:szCs w:val="21"/>
                </w:rPr>
                <w:alias w:val="除上述各项之外的其他营业外收入和支出的说明（非经常性损益项目）"/>
                <w:tag w:val="_GBC_c4fc3e35307e455db3b9161cb811a087"/>
                <w:id w:val="-793138259"/>
                <w:lock w:val="sdtLocked"/>
                <w:showingPlcHdr/>
                <w:dataBinding w:prefixMappings="xmlns:clcid-pte='clcid-pte'" w:xpath="/*/clcid-pte:ChuShangShuGeXiangZhiWaiDeQiTaYingYeWaiShouZhiJingEShuoMing[not(@periodRef)]" w:storeItemID="{89EBAB94-44A0-46A2-B712-30D997D04A6D}"/>
                <w:text/>
              </w:sdtPr>
              <w:sdtEndPr/>
              <w:sdtContent>
                <w:tc>
                  <w:tcPr>
                    <w:tcW w:w="1382" w:type="pct"/>
                  </w:tcPr>
                  <w:p w14:paraId="6C8994F9" w14:textId="77777777" w:rsidR="00471D53" w:rsidRDefault="004F686E" w:rsidP="00471D53">
                    <w:pPr>
                      <w:rPr>
                        <w:szCs w:val="21"/>
                      </w:rPr>
                    </w:pPr>
                    <w:r>
                      <w:rPr>
                        <w:rFonts w:hint="eastAsia"/>
                        <w:color w:val="0000FF"/>
                        <w:szCs w:val="21"/>
                      </w:rPr>
                      <w:t xml:space="preserve">　</w:t>
                    </w:r>
                  </w:p>
                </w:tc>
              </w:sdtContent>
            </w:sdt>
          </w:tr>
          <w:tr w:rsidR="00471D53" w14:paraId="4115A302" w14:textId="77777777" w:rsidTr="00471D53">
            <w:sdt>
              <w:sdtPr>
                <w:tag w:val="_PLD_659b510fa20e419f93068876515ea27a"/>
                <w:id w:val="1545414765"/>
                <w:lock w:val="sdtLocked"/>
              </w:sdtPr>
              <w:sdtEndPr/>
              <w:sdtContent>
                <w:tc>
                  <w:tcPr>
                    <w:tcW w:w="2241" w:type="pct"/>
                    <w:shd w:val="clear" w:color="auto" w:fill="auto"/>
                    <w:vAlign w:val="center"/>
                  </w:tcPr>
                  <w:p w14:paraId="6C6DB3D9" w14:textId="77777777" w:rsidR="00471D53" w:rsidRDefault="004F686E" w:rsidP="00471D53">
                    <w:pPr>
                      <w:rPr>
                        <w:szCs w:val="21"/>
                      </w:rPr>
                    </w:pPr>
                    <w:r>
                      <w:rPr>
                        <w:rFonts w:hint="eastAsia"/>
                        <w:szCs w:val="21"/>
                      </w:rPr>
                      <w:t>其他符合非经常性损益定义的损益项目</w:t>
                    </w:r>
                  </w:p>
                </w:tc>
              </w:sdtContent>
            </w:sdt>
            <w:sdt>
              <w:sdtPr>
                <w:rPr>
                  <w:rFonts w:hint="eastAsia"/>
                  <w:szCs w:val="21"/>
                </w:rPr>
                <w:alias w:val="其他符合非经常性损益定义的损益项目（非经常性损益项目）"/>
                <w:tag w:val="_GBC_fe4d2d743517484083fb57df1a93df08"/>
                <w:id w:val="780377375"/>
                <w:lock w:val="sdtLocked"/>
                <w:showingPlcHdr/>
                <w:dataBinding w:prefixMappings="xmlns:clcid-pte='clcid-pte'" w:xpath="/*/clcid-pte:QiTaFeiJingChangXingSunYiXiangMu[not(@periodRef)]" w:storeItemID="{89EBAB94-44A0-46A2-B712-30D997D04A6D}"/>
                <w:text/>
              </w:sdtPr>
              <w:sdtEndPr/>
              <w:sdtContent>
                <w:tc>
                  <w:tcPr>
                    <w:tcW w:w="1377" w:type="pct"/>
                    <w:shd w:val="clear" w:color="auto" w:fill="auto"/>
                  </w:tcPr>
                  <w:p w14:paraId="07BF5648" w14:textId="77777777" w:rsidR="00471D53" w:rsidRDefault="004F686E" w:rsidP="00471D53">
                    <w:pPr>
                      <w:jc w:val="right"/>
                      <w:rPr>
                        <w:szCs w:val="21"/>
                      </w:rPr>
                    </w:pPr>
                    <w:r>
                      <w:rPr>
                        <w:rFonts w:hint="eastAsia"/>
                        <w:color w:val="0000FF"/>
                        <w:szCs w:val="21"/>
                      </w:rPr>
                      <w:t xml:space="preserve">　</w:t>
                    </w:r>
                  </w:p>
                </w:tc>
              </w:sdtContent>
            </w:sdt>
            <w:sdt>
              <w:sdtPr>
                <w:rPr>
                  <w:rFonts w:hint="eastAsia"/>
                  <w:szCs w:val="21"/>
                </w:rPr>
                <w:alias w:val="其他符合非经常性损益定义的损益项目说明（非经常性损益项目）"/>
                <w:tag w:val="_GBC_88d5aaf5624d44b4a912d7c291f5337b"/>
                <w:id w:val="211855445"/>
                <w:lock w:val="sdtLocked"/>
                <w:showingPlcHdr/>
                <w:dataBinding w:prefixMappings="xmlns:clcid-pte='clcid-pte'" w:xpath="/*/clcid-pte:QiTaFeiJingChangXingSunYiXiangMuShuoMing[not(@periodRef)]" w:storeItemID="{89EBAB94-44A0-46A2-B712-30D997D04A6D}"/>
                <w:text/>
              </w:sdtPr>
              <w:sdtEndPr/>
              <w:sdtContent>
                <w:tc>
                  <w:tcPr>
                    <w:tcW w:w="1382" w:type="pct"/>
                  </w:tcPr>
                  <w:p w14:paraId="431EFB62" w14:textId="77777777" w:rsidR="00471D53" w:rsidRDefault="004F686E" w:rsidP="00471D53">
                    <w:pPr>
                      <w:rPr>
                        <w:szCs w:val="21"/>
                      </w:rPr>
                    </w:pPr>
                    <w:r>
                      <w:rPr>
                        <w:rFonts w:hint="eastAsia"/>
                        <w:color w:val="0000FF"/>
                        <w:szCs w:val="21"/>
                      </w:rPr>
                      <w:t xml:space="preserve">　</w:t>
                    </w:r>
                  </w:p>
                </w:tc>
              </w:sdtContent>
            </w:sdt>
          </w:tr>
          <w:sdt>
            <w:sdtPr>
              <w:rPr>
                <w:rFonts w:hint="eastAsia"/>
                <w:szCs w:val="21"/>
              </w:rPr>
              <w:alias w:val="扣除的非经常性损益"/>
              <w:tag w:val="_GBC_ae408d2619064c51be0ba5563e62d21d"/>
              <w:id w:val="802273839"/>
              <w:lock w:val="sdtLocked"/>
            </w:sdtPr>
            <w:sdtEndPr/>
            <w:sdtContent>
              <w:tr w:rsidR="00471D53" w14:paraId="2C7E4B86" w14:textId="77777777" w:rsidTr="00471D53">
                <w:tc>
                  <w:tcPr>
                    <w:tcW w:w="2241" w:type="pct"/>
                    <w:shd w:val="clear" w:color="auto" w:fill="auto"/>
                  </w:tcPr>
                  <w:p w14:paraId="761B534C" w14:textId="77777777" w:rsidR="00471D53" w:rsidRDefault="00B664AF" w:rsidP="00471D53">
                    <w:pPr>
                      <w:rPr>
                        <w:szCs w:val="21"/>
                      </w:rPr>
                    </w:pPr>
                  </w:p>
                </w:tc>
                <w:tc>
                  <w:tcPr>
                    <w:tcW w:w="1377" w:type="pct"/>
                    <w:shd w:val="clear" w:color="auto" w:fill="auto"/>
                  </w:tcPr>
                  <w:p w14:paraId="11578712" w14:textId="77777777" w:rsidR="00471D53" w:rsidRDefault="00B664AF" w:rsidP="00471D53">
                    <w:pPr>
                      <w:jc w:val="right"/>
                      <w:rPr>
                        <w:szCs w:val="21"/>
                      </w:rPr>
                    </w:pPr>
                  </w:p>
                </w:tc>
                <w:tc>
                  <w:tcPr>
                    <w:tcW w:w="1382" w:type="pct"/>
                  </w:tcPr>
                  <w:p w14:paraId="65E565C6" w14:textId="77777777" w:rsidR="00471D53" w:rsidRDefault="00B664AF" w:rsidP="00471D53">
                    <w:pPr>
                      <w:rPr>
                        <w:szCs w:val="21"/>
                      </w:rPr>
                    </w:pPr>
                  </w:p>
                </w:tc>
              </w:tr>
            </w:sdtContent>
          </w:sdt>
          <w:sdt>
            <w:sdtPr>
              <w:rPr>
                <w:rFonts w:hint="eastAsia"/>
                <w:szCs w:val="21"/>
              </w:rPr>
              <w:alias w:val="扣除的非经常性损益"/>
              <w:tag w:val="_GBC_ae408d2619064c51be0ba5563e62d21d"/>
              <w:id w:val="-262079065"/>
              <w:lock w:val="sdtLocked"/>
            </w:sdtPr>
            <w:sdtEndPr/>
            <w:sdtContent>
              <w:tr w:rsidR="00471D53" w14:paraId="1CB9C629" w14:textId="77777777" w:rsidTr="00471D53">
                <w:tc>
                  <w:tcPr>
                    <w:tcW w:w="2241" w:type="pct"/>
                    <w:shd w:val="clear" w:color="auto" w:fill="auto"/>
                  </w:tcPr>
                  <w:p w14:paraId="415FFD9D" w14:textId="77777777" w:rsidR="00471D53" w:rsidRDefault="00B664AF" w:rsidP="00471D53">
                    <w:pPr>
                      <w:rPr>
                        <w:szCs w:val="21"/>
                      </w:rPr>
                    </w:pPr>
                  </w:p>
                </w:tc>
                <w:tc>
                  <w:tcPr>
                    <w:tcW w:w="1377" w:type="pct"/>
                    <w:shd w:val="clear" w:color="auto" w:fill="auto"/>
                  </w:tcPr>
                  <w:p w14:paraId="1A9151D2" w14:textId="77777777" w:rsidR="00471D53" w:rsidRDefault="00B664AF" w:rsidP="00471D53">
                    <w:pPr>
                      <w:jc w:val="right"/>
                      <w:rPr>
                        <w:szCs w:val="21"/>
                      </w:rPr>
                    </w:pPr>
                  </w:p>
                </w:tc>
                <w:tc>
                  <w:tcPr>
                    <w:tcW w:w="1382" w:type="pct"/>
                  </w:tcPr>
                  <w:p w14:paraId="53FC9A56" w14:textId="77777777" w:rsidR="00471D53" w:rsidRDefault="00B664AF" w:rsidP="00471D53">
                    <w:pPr>
                      <w:rPr>
                        <w:szCs w:val="21"/>
                      </w:rPr>
                    </w:pPr>
                  </w:p>
                </w:tc>
              </w:tr>
            </w:sdtContent>
          </w:sdt>
          <w:tr w:rsidR="00471D53" w14:paraId="7FA77A0E" w14:textId="77777777" w:rsidTr="00471D53">
            <w:sdt>
              <w:sdtPr>
                <w:tag w:val="_PLD_8cbcd160f56e4221a63548c56021b209"/>
                <w:id w:val="1464380567"/>
                <w:lock w:val="sdtLocked"/>
              </w:sdtPr>
              <w:sdtEndPr/>
              <w:sdtContent>
                <w:tc>
                  <w:tcPr>
                    <w:tcW w:w="2241" w:type="pct"/>
                    <w:shd w:val="clear" w:color="auto" w:fill="auto"/>
                    <w:vAlign w:val="center"/>
                  </w:tcPr>
                  <w:p w14:paraId="38B58D77" w14:textId="77777777" w:rsidR="00471D53" w:rsidRDefault="004F686E" w:rsidP="00471D53">
                    <w:pPr>
                      <w:rPr>
                        <w:szCs w:val="21"/>
                      </w:rPr>
                    </w:pPr>
                    <w:r>
                      <w:rPr>
                        <w:rFonts w:hint="eastAsia"/>
                        <w:szCs w:val="21"/>
                      </w:rPr>
                      <w:t>所得税影响额</w:t>
                    </w:r>
                  </w:p>
                </w:tc>
              </w:sdtContent>
            </w:sdt>
            <w:sdt>
              <w:sdtPr>
                <w:rPr>
                  <w:rFonts w:hint="eastAsia"/>
                  <w:szCs w:val="21"/>
                </w:rPr>
                <w:alias w:val="非经常性损益_对所得税的影响"/>
                <w:tag w:val="_GBC_7c06520ea03942669b02b787ffcbb214"/>
                <w:id w:val="2006934755"/>
                <w:lock w:val="sdtLocked"/>
                <w:dataBinding w:prefixMappings="xmlns:clcid-pte='clcid-pte'" w:xpath="/*/clcid-pte:FeiJingChangXingSunYiDeKouChuXiangMuDuiSuoDeShuiDeYingXiang[not(@periodRef)]" w:storeItemID="{89EBAB94-44A0-46A2-B712-30D997D04A6D}"/>
                <w:text/>
              </w:sdtPr>
              <w:sdtEndPr/>
              <w:sdtContent>
                <w:tc>
                  <w:tcPr>
                    <w:tcW w:w="1377" w:type="pct"/>
                    <w:shd w:val="clear" w:color="auto" w:fill="auto"/>
                  </w:tcPr>
                  <w:p w14:paraId="1F1660DF" w14:textId="77777777" w:rsidR="00471D53" w:rsidRDefault="004F686E" w:rsidP="00471D53">
                    <w:pPr>
                      <w:jc w:val="right"/>
                      <w:rPr>
                        <w:szCs w:val="21"/>
                      </w:rPr>
                    </w:pPr>
                    <w:r>
                      <w:rPr>
                        <w:rFonts w:hint="eastAsia"/>
                        <w:szCs w:val="21"/>
                      </w:rPr>
                      <w:t>-309,390.46</w:t>
                    </w:r>
                  </w:p>
                </w:tc>
              </w:sdtContent>
            </w:sdt>
            <w:sdt>
              <w:sdtPr>
                <w:rPr>
                  <w:szCs w:val="21"/>
                </w:rPr>
                <w:alias w:val="所得税影响额的说明（非经常性损益项目）"/>
                <w:tag w:val="_GBC_7ed1b962000f41dc8da48b033f074791"/>
                <w:id w:val="-1038895365"/>
                <w:lock w:val="sdtLocked"/>
                <w:showingPlcHdr/>
                <w:dataBinding w:prefixMappings="xmlns:clcid-pte='clcid-pte'" w:xpath="/*/clcid-pte:FeiJingChangXingSunYiDeKouChuXiangMuDuiSuoDeShuiDeYingXiangShuoMing[not(@periodRef)]" w:storeItemID="{89EBAB94-44A0-46A2-B712-30D997D04A6D}"/>
                <w:text/>
              </w:sdtPr>
              <w:sdtEndPr/>
              <w:sdtContent>
                <w:tc>
                  <w:tcPr>
                    <w:tcW w:w="1382" w:type="pct"/>
                  </w:tcPr>
                  <w:p w14:paraId="1BD64C5C" w14:textId="77777777" w:rsidR="00471D53" w:rsidRDefault="004F686E" w:rsidP="00471D53">
                    <w:pPr>
                      <w:rPr>
                        <w:szCs w:val="21"/>
                      </w:rPr>
                    </w:pPr>
                    <w:r>
                      <w:rPr>
                        <w:rFonts w:hint="eastAsia"/>
                        <w:color w:val="0000FF"/>
                        <w:szCs w:val="21"/>
                      </w:rPr>
                      <w:t xml:space="preserve">　</w:t>
                    </w:r>
                  </w:p>
                </w:tc>
              </w:sdtContent>
            </w:sdt>
          </w:tr>
          <w:tr w:rsidR="00471D53" w14:paraId="027BDA63" w14:textId="77777777" w:rsidTr="00471D53">
            <w:sdt>
              <w:sdtPr>
                <w:tag w:val="_PLD_f8bdffd50d284f23ab4d0b1e6b4b1b9e"/>
                <w:id w:val="675307621"/>
                <w:lock w:val="sdtLocked"/>
              </w:sdtPr>
              <w:sdtEndPr/>
              <w:sdtContent>
                <w:tc>
                  <w:tcPr>
                    <w:tcW w:w="2241" w:type="pct"/>
                    <w:shd w:val="clear" w:color="auto" w:fill="auto"/>
                    <w:vAlign w:val="center"/>
                  </w:tcPr>
                  <w:p w14:paraId="57025987" w14:textId="77777777" w:rsidR="00471D53" w:rsidRDefault="004F686E" w:rsidP="00471D53">
                    <w:pPr>
                      <w:rPr>
                        <w:szCs w:val="21"/>
                      </w:rPr>
                    </w:pPr>
                    <w:r>
                      <w:rPr>
                        <w:rFonts w:hint="eastAsia"/>
                        <w:szCs w:val="21"/>
                      </w:rPr>
                      <w:t>少数股东权益影响额</w:t>
                    </w:r>
                  </w:p>
                </w:tc>
              </w:sdtContent>
            </w:sdt>
            <w:sdt>
              <w:sdtPr>
                <w:rPr>
                  <w:rFonts w:hint="eastAsia"/>
                  <w:szCs w:val="21"/>
                </w:rPr>
                <w:alias w:val="少数股东权益影响额（非经常性损益项目）"/>
                <w:tag w:val="_GBC_285f00e961c943a8a9d140a4d52403f1"/>
                <w:id w:val="1595590976"/>
                <w:lock w:val="sdtLocked"/>
                <w:dataBinding w:prefixMappings="xmlns:clcid-pte='clcid-pte'" w:xpath="/*/clcid-pte:FeiJingChangXingSunYiXiangMuZhongShaoShuGuDongQuanYiYingXiangE[not(@periodRef)]" w:storeItemID="{89EBAB94-44A0-46A2-B712-30D997D04A6D}"/>
                <w:text/>
              </w:sdtPr>
              <w:sdtEndPr/>
              <w:sdtContent>
                <w:tc>
                  <w:tcPr>
                    <w:tcW w:w="1377" w:type="pct"/>
                    <w:shd w:val="clear" w:color="auto" w:fill="auto"/>
                  </w:tcPr>
                  <w:p w14:paraId="21EFB7C6" w14:textId="77777777" w:rsidR="00471D53" w:rsidRDefault="004F686E" w:rsidP="00471D53">
                    <w:pPr>
                      <w:jc w:val="right"/>
                      <w:rPr>
                        <w:szCs w:val="21"/>
                      </w:rPr>
                    </w:pPr>
                    <w:r>
                      <w:rPr>
                        <w:rFonts w:hint="eastAsia"/>
                        <w:szCs w:val="21"/>
                      </w:rPr>
                      <w:t>-848,526.79</w:t>
                    </w:r>
                  </w:p>
                </w:tc>
              </w:sdtContent>
            </w:sdt>
            <w:sdt>
              <w:sdtPr>
                <w:rPr>
                  <w:szCs w:val="21"/>
                </w:rPr>
                <w:alias w:val="少数股东权益影响额的说明（非经常性损益项目）"/>
                <w:tag w:val="_GBC_c9a288fb29d348cbb8d20de9f399a549"/>
                <w:id w:val="340046255"/>
                <w:lock w:val="sdtLocked"/>
                <w:showingPlcHdr/>
                <w:dataBinding w:prefixMappings="xmlns:clcid-pte='clcid-pte'" w:xpath="/*/clcid-pte:FeiJingChangXingSunYiXiangMuZhongShaoShuGuDongQuanYiYingXiangEShuoMing[not(@periodRef)]" w:storeItemID="{89EBAB94-44A0-46A2-B712-30D997D04A6D}"/>
                <w:text/>
              </w:sdtPr>
              <w:sdtEndPr/>
              <w:sdtContent>
                <w:tc>
                  <w:tcPr>
                    <w:tcW w:w="1382" w:type="pct"/>
                  </w:tcPr>
                  <w:p w14:paraId="764443AD" w14:textId="77777777" w:rsidR="00471D53" w:rsidRDefault="004F686E" w:rsidP="00471D53">
                    <w:pPr>
                      <w:rPr>
                        <w:szCs w:val="21"/>
                      </w:rPr>
                    </w:pPr>
                    <w:r>
                      <w:rPr>
                        <w:rFonts w:hint="eastAsia"/>
                        <w:color w:val="0000FF"/>
                        <w:szCs w:val="21"/>
                      </w:rPr>
                      <w:t xml:space="preserve">　</w:t>
                    </w:r>
                  </w:p>
                </w:tc>
              </w:sdtContent>
            </w:sdt>
          </w:tr>
          <w:tr w:rsidR="00471D53" w14:paraId="4C3DEC68" w14:textId="77777777" w:rsidTr="00471D53">
            <w:sdt>
              <w:sdtPr>
                <w:tag w:val="_PLD_f4375b3f262d423d9aed45796f2bf18d"/>
                <w:id w:val="-343630853"/>
                <w:lock w:val="sdtLocked"/>
              </w:sdtPr>
              <w:sdtEndPr/>
              <w:sdtContent>
                <w:tc>
                  <w:tcPr>
                    <w:tcW w:w="2241" w:type="pct"/>
                    <w:shd w:val="clear" w:color="auto" w:fill="auto"/>
                    <w:vAlign w:val="center"/>
                  </w:tcPr>
                  <w:p w14:paraId="6475C721" w14:textId="77777777" w:rsidR="00471D53" w:rsidRDefault="004F686E" w:rsidP="00471D53">
                    <w:pPr>
                      <w:jc w:val="center"/>
                      <w:rPr>
                        <w:szCs w:val="21"/>
                      </w:rPr>
                    </w:pPr>
                    <w:r>
                      <w:rPr>
                        <w:rFonts w:hint="eastAsia"/>
                        <w:szCs w:val="21"/>
                      </w:rPr>
                      <w:t>合计</w:t>
                    </w:r>
                  </w:p>
                </w:tc>
              </w:sdtContent>
            </w:sdt>
            <w:sdt>
              <w:sdtPr>
                <w:rPr>
                  <w:rFonts w:hint="eastAsia"/>
                  <w:sz w:val="22"/>
                  <w:szCs w:val="22"/>
                </w:rPr>
                <w:alias w:val="扣除的非经常性损益合计"/>
                <w:tag w:val="_GBC_dbd56aa5278f45e1a3a0a62cc2b32d3d"/>
                <w:id w:val="1369872383"/>
                <w:lock w:val="sdtLocked"/>
                <w:dataBinding w:prefixMappings="xmlns:clcid-pte='clcid-pte'" w:xpath="/*/clcid-pte:KouChuDeFeiJingChangXingSunYiHeJi[not(@periodRef)]" w:storeItemID="{89EBAB94-44A0-46A2-B712-30D997D04A6D}"/>
                <w:text/>
              </w:sdtPr>
              <w:sdtEndPr/>
              <w:sdtContent>
                <w:tc>
                  <w:tcPr>
                    <w:tcW w:w="1377" w:type="pct"/>
                    <w:shd w:val="clear" w:color="auto" w:fill="auto"/>
                  </w:tcPr>
                  <w:p w14:paraId="170084BD" w14:textId="77777777" w:rsidR="00471D53" w:rsidRDefault="004F686E" w:rsidP="00471D53">
                    <w:pPr>
                      <w:jc w:val="right"/>
                      <w:rPr>
                        <w:szCs w:val="21"/>
                      </w:rPr>
                    </w:pPr>
                    <w:r>
                      <w:rPr>
                        <w:rFonts w:hint="eastAsia"/>
                        <w:sz w:val="22"/>
                        <w:szCs w:val="22"/>
                      </w:rPr>
                      <w:t>7,957,305.66</w:t>
                    </w:r>
                  </w:p>
                </w:tc>
              </w:sdtContent>
            </w:sdt>
            <w:sdt>
              <w:sdtPr>
                <w:rPr>
                  <w:rFonts w:hint="eastAsia"/>
                  <w:szCs w:val="21"/>
                </w:rPr>
                <w:alias w:val="扣除的非经常性损益合计说明"/>
                <w:tag w:val="_GBC_fd47d890fc7a493192e451b6575f5e8a"/>
                <w:id w:val="1915363065"/>
                <w:lock w:val="sdtLocked"/>
                <w:showingPlcHdr/>
                <w:dataBinding w:prefixMappings="xmlns:clcid-pte='clcid-pte'" w:xpath="/*/clcid-pte:KouChuDeFeiJingChangXingSunYiHeJiShuoMing[not(@periodRef)]" w:storeItemID="{89EBAB94-44A0-46A2-B712-30D997D04A6D}"/>
                <w:text/>
              </w:sdtPr>
              <w:sdtEndPr/>
              <w:sdtContent>
                <w:tc>
                  <w:tcPr>
                    <w:tcW w:w="1382" w:type="pct"/>
                  </w:tcPr>
                  <w:p w14:paraId="04DA84A9" w14:textId="77777777" w:rsidR="00471D53" w:rsidRDefault="004F686E" w:rsidP="00471D53">
                    <w:pPr>
                      <w:rPr>
                        <w:szCs w:val="21"/>
                      </w:rPr>
                    </w:pPr>
                    <w:r>
                      <w:rPr>
                        <w:rFonts w:hint="eastAsia"/>
                      </w:rPr>
                      <w:t xml:space="preserve">　</w:t>
                    </w:r>
                  </w:p>
                </w:tc>
              </w:sdtContent>
            </w:sdt>
          </w:tr>
        </w:tbl>
        <w:p w14:paraId="7EA34012" w14:textId="77777777" w:rsidR="00471D53" w:rsidRDefault="00B664AF"/>
        <w:p w14:paraId="57DE0120" w14:textId="77777777" w:rsidR="00471D53" w:rsidRDefault="00B664AF"/>
      </w:sdtContent>
    </w:sdt>
    <w:bookmarkEnd w:id="284" w:displacedByCustomXml="prev"/>
    <w:sdt>
      <w:sdtPr>
        <w:rPr>
          <w:rFonts w:hint="eastAsia"/>
          <w:szCs w:val="21"/>
        </w:rPr>
        <w:alias w:val="模块:对公司根据《公开发行证券的公司信息披露解释性公告第1号——非..."/>
        <w:tag w:val="_GBC_7944e47348cd4cd186b958ba1902ea3f"/>
        <w:id w:val="1943804558"/>
        <w:lock w:val="sdtLocked"/>
        <w:placeholder>
          <w:docPart w:val="GBC22222222222222222222222222222"/>
        </w:placeholder>
      </w:sdtPr>
      <w:sdtEndPr>
        <w:rPr>
          <w:rFonts w:hint="default"/>
        </w:rPr>
      </w:sdtEndPr>
      <w:sdtContent>
        <w:p w14:paraId="5543FA48" w14:textId="77777777" w:rsidR="00471D53" w:rsidRDefault="004F686E">
          <w:pPr>
            <w:rPr>
              <w:szCs w:val="21"/>
            </w:rPr>
          </w:pPr>
          <w:r>
            <w:rPr>
              <w:rFonts w:hint="eastAsia"/>
              <w:szCs w:val="21"/>
            </w:rPr>
            <w:t>对公司根据《公开发行证券的公司信息披露解释性公告第</w:t>
          </w:r>
          <w:r>
            <w:rPr>
              <w:szCs w:val="21"/>
            </w:rPr>
            <w:t>1号——非经常性损益》定义界定的非经常性损益项目，以及把《公开发行证券的公司信息披露解释性公告第1号——非经常性损益》中列举的非经常性损益项目界定为经常性损益的项目，应说明原因。</w:t>
          </w:r>
        </w:p>
        <w:sdt>
          <w:sdtPr>
            <w:rPr>
              <w:szCs w:val="21"/>
            </w:rPr>
            <w:alias w:val="是否适用：将非经常性损益项目界定为经常性损益项目[双击切换]"/>
            <w:tag w:val="_GBC_5f8a059d4da1440d8ef10197ecd89cd6"/>
            <w:id w:val="-1289810105"/>
            <w:lock w:val="sdtLocked"/>
            <w:placeholder>
              <w:docPart w:val="GBC22222222222222222222222222222"/>
            </w:placeholder>
          </w:sdtPr>
          <w:sdtEndPr/>
          <w:sdtContent>
            <w:p w14:paraId="2BE5849C" w14:textId="77777777" w:rsidR="00471D53" w:rsidRDefault="004F686E" w:rsidP="00471D5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14:paraId="1BA86CD6" w14:textId="77777777" w:rsidR="00471D53" w:rsidRDefault="00B664AF">
      <w:pPr>
        <w:rPr>
          <w:szCs w:val="21"/>
        </w:rPr>
      </w:pPr>
    </w:p>
    <w:sdt>
      <w:sdtPr>
        <w:rPr>
          <w:rFonts w:ascii="宋体" w:hAnsi="宋体" w:cs="宋体" w:hint="eastAsia"/>
          <w:b w:val="0"/>
          <w:bCs w:val="0"/>
          <w:kern w:val="0"/>
          <w:szCs w:val="21"/>
        </w:rPr>
        <w:alias w:val="模块:净资产收益率及每股收益"/>
        <w:tag w:val="_GBC_146d888914ac4591bea1ff0ea9e89617"/>
        <w:id w:val="-1297982081"/>
        <w:lock w:val="sdtLocked"/>
        <w:placeholder>
          <w:docPart w:val="GBC22222222222222222222222222222"/>
        </w:placeholder>
      </w:sdtPr>
      <w:sdtEndPr/>
      <w:sdtContent>
        <w:p w14:paraId="27641C58" w14:textId="77777777" w:rsidR="00471D53" w:rsidRDefault="004F686E" w:rsidP="004F686E">
          <w:pPr>
            <w:pStyle w:val="afffff7"/>
            <w:numPr>
              <w:ilvl w:val="0"/>
              <w:numId w:val="117"/>
            </w:numPr>
            <w:rPr>
              <w:rFonts w:ascii="宋体" w:hAnsi="宋体"/>
              <w:szCs w:val="21"/>
            </w:rPr>
          </w:pPr>
          <w:r>
            <w:rPr>
              <w:rFonts w:ascii="宋体" w:hAnsi="宋体" w:hint="eastAsia"/>
              <w:szCs w:val="21"/>
            </w:rPr>
            <w:t>净资产收益率及每股收益</w:t>
          </w:r>
        </w:p>
        <w:sdt>
          <w:sdtPr>
            <w:alias w:val="是否适用：净资产收益率及每股收益[双击切换]"/>
            <w:tag w:val="_GBC_75866ebc8d184cdd988e79330ad3b083"/>
            <w:id w:val="359482931"/>
            <w:lock w:val="sdtLocked"/>
            <w:placeholder>
              <w:docPart w:val="GBC22222222222222222222222222222"/>
            </w:placeholder>
          </w:sdtPr>
          <w:sdtEndPr/>
          <w:sdtContent>
            <w:p w14:paraId="46A02433"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Style w:val="g4"/>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56"/>
            <w:gridCol w:w="1842"/>
            <w:gridCol w:w="1985"/>
            <w:gridCol w:w="1740"/>
          </w:tblGrid>
          <w:tr w:rsidR="00471D53" w14:paraId="0F080354" w14:textId="77777777" w:rsidTr="00A436AE">
            <w:trPr>
              <w:trHeight w:val="270"/>
            </w:trPr>
            <w:sdt>
              <w:sdtPr>
                <w:tag w:val="_PLD_680a8ba0e71a45459c0939cd6c78c07f"/>
                <w:id w:val="1854143650"/>
                <w:lock w:val="sdtLocked"/>
              </w:sdtPr>
              <w:sdtEndPr/>
              <w:sdtContent>
                <w:tc>
                  <w:tcPr>
                    <w:tcW w:w="1845" w:type="pct"/>
                    <w:vMerge w:val="restart"/>
                    <w:tcBorders>
                      <w:top w:val="single" w:sz="4" w:space="0" w:color="auto"/>
                      <w:left w:val="single" w:sz="4" w:space="0" w:color="auto"/>
                      <w:bottom w:val="single" w:sz="4" w:space="0" w:color="auto"/>
                      <w:right w:val="single" w:sz="4" w:space="0" w:color="auto"/>
                    </w:tcBorders>
                    <w:vAlign w:val="center"/>
                  </w:tcPr>
                  <w:p w14:paraId="67E760FE" w14:textId="77777777" w:rsidR="00471D53" w:rsidRDefault="004F686E">
                    <w:pPr>
                      <w:jc w:val="center"/>
                      <w:rPr>
                        <w:szCs w:val="21"/>
                      </w:rPr>
                    </w:pPr>
                    <w:r>
                      <w:rPr>
                        <w:szCs w:val="21"/>
                      </w:rPr>
                      <w:t>报告期利润</w:t>
                    </w:r>
                  </w:p>
                </w:tc>
              </w:sdtContent>
            </w:sdt>
            <w:sdt>
              <w:sdtPr>
                <w:tag w:val="_PLD_608d0086e1154f8ca6d3c34247132ef0"/>
                <w:id w:val="1219246739"/>
                <w:lock w:val="sdtLocked"/>
              </w:sdtPr>
              <w:sdtEndPr/>
              <w:sdtContent>
                <w:tc>
                  <w:tcPr>
                    <w:tcW w:w="1044" w:type="pct"/>
                    <w:vMerge w:val="restart"/>
                    <w:tcBorders>
                      <w:top w:val="single" w:sz="4" w:space="0" w:color="auto"/>
                      <w:left w:val="single" w:sz="4" w:space="0" w:color="auto"/>
                      <w:right w:val="single" w:sz="4" w:space="0" w:color="auto"/>
                    </w:tcBorders>
                    <w:vAlign w:val="center"/>
                  </w:tcPr>
                  <w:p w14:paraId="29AF152A" w14:textId="77777777" w:rsidR="00471D53" w:rsidRDefault="004F686E">
                    <w:pPr>
                      <w:jc w:val="center"/>
                      <w:rPr>
                        <w:szCs w:val="21"/>
                      </w:rPr>
                    </w:pPr>
                    <w:r>
                      <w:rPr>
                        <w:szCs w:val="21"/>
                      </w:rPr>
                      <w:t>加权平均净资产收益率（%）</w:t>
                    </w:r>
                  </w:p>
                </w:tc>
              </w:sdtContent>
            </w:sdt>
            <w:sdt>
              <w:sdtPr>
                <w:tag w:val="_PLD_8b4a0bf973be4a19862ac5168193db93"/>
                <w:id w:val="1688398281"/>
                <w:lock w:val="sdtLocked"/>
              </w:sdtPr>
              <w:sdtEndPr/>
              <w:sdtContent>
                <w:tc>
                  <w:tcPr>
                    <w:tcW w:w="2111" w:type="pct"/>
                    <w:gridSpan w:val="2"/>
                    <w:tcBorders>
                      <w:top w:val="single" w:sz="4" w:space="0" w:color="auto"/>
                      <w:left w:val="single" w:sz="4" w:space="0" w:color="auto"/>
                      <w:bottom w:val="single" w:sz="4" w:space="0" w:color="auto"/>
                      <w:right w:val="single" w:sz="4" w:space="0" w:color="auto"/>
                    </w:tcBorders>
                    <w:vAlign w:val="center"/>
                  </w:tcPr>
                  <w:p w14:paraId="21ABCF08" w14:textId="77777777" w:rsidR="00471D53" w:rsidRDefault="004F686E">
                    <w:pPr>
                      <w:jc w:val="center"/>
                      <w:rPr>
                        <w:szCs w:val="21"/>
                      </w:rPr>
                    </w:pPr>
                    <w:r>
                      <w:rPr>
                        <w:szCs w:val="21"/>
                      </w:rPr>
                      <w:t>每股收益</w:t>
                    </w:r>
                  </w:p>
                </w:tc>
              </w:sdtContent>
            </w:sdt>
          </w:tr>
          <w:tr w:rsidR="00471D53" w14:paraId="6CA93704" w14:textId="77777777" w:rsidTr="00A436AE">
            <w:trPr>
              <w:trHeight w:val="360"/>
            </w:trPr>
            <w:tc>
              <w:tcPr>
                <w:tcW w:w="1845" w:type="pct"/>
                <w:vMerge/>
                <w:tcBorders>
                  <w:top w:val="single" w:sz="4" w:space="0" w:color="auto"/>
                  <w:left w:val="single" w:sz="4" w:space="0" w:color="auto"/>
                  <w:bottom w:val="single" w:sz="4" w:space="0" w:color="auto"/>
                  <w:right w:val="single" w:sz="4" w:space="0" w:color="auto"/>
                </w:tcBorders>
                <w:vAlign w:val="center"/>
              </w:tcPr>
              <w:p w14:paraId="41746AF5" w14:textId="77777777" w:rsidR="00471D53" w:rsidRDefault="00B664AF">
                <w:pPr>
                  <w:jc w:val="center"/>
                  <w:rPr>
                    <w:szCs w:val="21"/>
                  </w:rPr>
                </w:pPr>
              </w:p>
            </w:tc>
            <w:tc>
              <w:tcPr>
                <w:tcW w:w="1044" w:type="pct"/>
                <w:vMerge/>
                <w:tcBorders>
                  <w:left w:val="single" w:sz="4" w:space="0" w:color="auto"/>
                  <w:bottom w:val="single" w:sz="4" w:space="0" w:color="auto"/>
                  <w:right w:val="single" w:sz="4" w:space="0" w:color="auto"/>
                </w:tcBorders>
                <w:vAlign w:val="center"/>
              </w:tcPr>
              <w:p w14:paraId="2A3810BF" w14:textId="77777777" w:rsidR="00471D53" w:rsidRDefault="00B664AF">
                <w:pPr>
                  <w:jc w:val="center"/>
                  <w:rPr>
                    <w:szCs w:val="21"/>
                  </w:rPr>
                </w:pPr>
              </w:p>
            </w:tc>
            <w:sdt>
              <w:sdtPr>
                <w:tag w:val="_PLD_45472770a81744249d77e54c2efc412a"/>
                <w:id w:val="834351651"/>
                <w:lock w:val="sdtLocked"/>
              </w:sdtPr>
              <w:sdtEndPr/>
              <w:sdtContent>
                <w:tc>
                  <w:tcPr>
                    <w:tcW w:w="1125" w:type="pct"/>
                    <w:tcBorders>
                      <w:top w:val="single" w:sz="4" w:space="0" w:color="auto"/>
                      <w:left w:val="single" w:sz="4" w:space="0" w:color="auto"/>
                      <w:bottom w:val="single" w:sz="4" w:space="0" w:color="auto"/>
                      <w:right w:val="single" w:sz="4" w:space="0" w:color="auto"/>
                    </w:tcBorders>
                    <w:vAlign w:val="center"/>
                  </w:tcPr>
                  <w:p w14:paraId="43E73DC3" w14:textId="77777777" w:rsidR="00471D53" w:rsidRDefault="004F686E">
                    <w:pPr>
                      <w:jc w:val="center"/>
                      <w:rPr>
                        <w:szCs w:val="21"/>
                      </w:rPr>
                    </w:pPr>
                    <w:r>
                      <w:rPr>
                        <w:szCs w:val="21"/>
                      </w:rPr>
                      <w:t>基本每股收益</w:t>
                    </w:r>
                  </w:p>
                </w:tc>
              </w:sdtContent>
            </w:sdt>
            <w:sdt>
              <w:sdtPr>
                <w:tag w:val="_PLD_c4e5be0bbc134fa28e28895e1a12e02c"/>
                <w:id w:val="-1078827684"/>
                <w:lock w:val="sdtLocked"/>
              </w:sdtPr>
              <w:sdtEndPr/>
              <w:sdtContent>
                <w:tc>
                  <w:tcPr>
                    <w:tcW w:w="986" w:type="pct"/>
                    <w:tcBorders>
                      <w:top w:val="single" w:sz="4" w:space="0" w:color="auto"/>
                      <w:left w:val="single" w:sz="4" w:space="0" w:color="auto"/>
                      <w:bottom w:val="single" w:sz="4" w:space="0" w:color="auto"/>
                      <w:right w:val="single" w:sz="4" w:space="0" w:color="auto"/>
                    </w:tcBorders>
                    <w:vAlign w:val="center"/>
                  </w:tcPr>
                  <w:p w14:paraId="75190AB5" w14:textId="77777777" w:rsidR="00471D53" w:rsidRDefault="004F686E">
                    <w:pPr>
                      <w:jc w:val="center"/>
                      <w:rPr>
                        <w:szCs w:val="21"/>
                      </w:rPr>
                    </w:pPr>
                    <w:r>
                      <w:rPr>
                        <w:szCs w:val="21"/>
                      </w:rPr>
                      <w:t>稀释每股收益</w:t>
                    </w:r>
                  </w:p>
                </w:tc>
              </w:sdtContent>
            </w:sdt>
          </w:tr>
          <w:tr w:rsidR="00471D53" w14:paraId="402EC55D" w14:textId="77777777" w:rsidTr="00A436AE">
            <w:trPr>
              <w:trHeight w:val="360"/>
            </w:trPr>
            <w:sdt>
              <w:sdtPr>
                <w:tag w:val="_PLD_c94607fd97d648bd8ca7517a2c7054ea"/>
                <w:id w:val="-463578256"/>
                <w:lock w:val="sdtLocked"/>
              </w:sdtPr>
              <w:sdtEndPr/>
              <w:sdtContent>
                <w:tc>
                  <w:tcPr>
                    <w:tcW w:w="1845" w:type="pct"/>
                    <w:tcBorders>
                      <w:top w:val="single" w:sz="4" w:space="0" w:color="auto"/>
                      <w:left w:val="single" w:sz="4" w:space="0" w:color="auto"/>
                      <w:bottom w:val="single" w:sz="4" w:space="0" w:color="auto"/>
                      <w:right w:val="single" w:sz="4" w:space="0" w:color="auto"/>
                    </w:tcBorders>
                  </w:tcPr>
                  <w:p w14:paraId="32B08FB6" w14:textId="77777777" w:rsidR="00471D53" w:rsidRDefault="004F686E">
                    <w:pPr>
                      <w:rPr>
                        <w:szCs w:val="21"/>
                      </w:rPr>
                    </w:pPr>
                    <w:r>
                      <w:rPr>
                        <w:szCs w:val="21"/>
                      </w:rPr>
                      <w:t>归属于公司普通股股东的净利润</w:t>
                    </w:r>
                  </w:p>
                </w:tc>
              </w:sdtContent>
            </w:sdt>
            <w:tc>
              <w:tcPr>
                <w:tcW w:w="1044" w:type="pct"/>
                <w:tcBorders>
                  <w:top w:val="single" w:sz="4" w:space="0" w:color="auto"/>
                  <w:left w:val="single" w:sz="4" w:space="0" w:color="auto"/>
                  <w:bottom w:val="single" w:sz="4" w:space="0" w:color="auto"/>
                  <w:right w:val="single" w:sz="4" w:space="0" w:color="auto"/>
                </w:tcBorders>
                <w:vAlign w:val="center"/>
              </w:tcPr>
              <w:p w14:paraId="42D51F64" w14:textId="77777777" w:rsidR="00471D53" w:rsidRDefault="004F686E" w:rsidP="00471D53">
                <w:pPr>
                  <w:jc w:val="right"/>
                  <w:rPr>
                    <w:rFonts w:cs="Calibri"/>
                    <w:sz w:val="22"/>
                    <w:szCs w:val="22"/>
                  </w:rPr>
                </w:pPr>
                <w:r w:rsidRPr="00C67F26">
                  <w:rPr>
                    <w:rFonts w:cs="Calibri"/>
                    <w:sz w:val="22"/>
                    <w:szCs w:val="22"/>
                  </w:rPr>
                  <w:t>-0.19</w:t>
                </w:r>
              </w:p>
            </w:tc>
            <w:tc>
              <w:tcPr>
                <w:tcW w:w="1125" w:type="pct"/>
                <w:tcBorders>
                  <w:top w:val="single" w:sz="4" w:space="0" w:color="auto"/>
                  <w:left w:val="single" w:sz="4" w:space="0" w:color="auto"/>
                  <w:bottom w:val="single" w:sz="4" w:space="0" w:color="auto"/>
                  <w:right w:val="single" w:sz="4" w:space="0" w:color="auto"/>
                </w:tcBorders>
                <w:vAlign w:val="center"/>
              </w:tcPr>
              <w:p w14:paraId="05220DB5" w14:textId="77777777" w:rsidR="00471D53" w:rsidRDefault="004F686E" w:rsidP="00471D53">
                <w:pPr>
                  <w:jc w:val="right"/>
                  <w:rPr>
                    <w:sz w:val="22"/>
                    <w:szCs w:val="22"/>
                  </w:rPr>
                </w:pPr>
                <w:r>
                  <w:rPr>
                    <w:rFonts w:hint="eastAsia"/>
                    <w:sz w:val="22"/>
                    <w:szCs w:val="22"/>
                  </w:rPr>
                  <w:t>-0.01</w:t>
                </w:r>
              </w:p>
            </w:tc>
            <w:tc>
              <w:tcPr>
                <w:tcW w:w="986" w:type="pct"/>
                <w:tcBorders>
                  <w:top w:val="single" w:sz="4" w:space="0" w:color="auto"/>
                  <w:left w:val="single" w:sz="4" w:space="0" w:color="auto"/>
                  <w:bottom w:val="single" w:sz="4" w:space="0" w:color="auto"/>
                  <w:right w:val="single" w:sz="4" w:space="0" w:color="auto"/>
                </w:tcBorders>
                <w:vAlign w:val="center"/>
              </w:tcPr>
              <w:p w14:paraId="06748C15" w14:textId="77777777" w:rsidR="00471D53" w:rsidRDefault="004F686E" w:rsidP="00471D53">
                <w:pPr>
                  <w:jc w:val="right"/>
                  <w:rPr>
                    <w:sz w:val="22"/>
                    <w:szCs w:val="22"/>
                  </w:rPr>
                </w:pPr>
                <w:r>
                  <w:rPr>
                    <w:rFonts w:hint="eastAsia"/>
                    <w:sz w:val="22"/>
                    <w:szCs w:val="22"/>
                  </w:rPr>
                  <w:t>-0.01</w:t>
                </w:r>
              </w:p>
            </w:tc>
          </w:tr>
          <w:tr w:rsidR="00471D53" w14:paraId="0871F1F0" w14:textId="77777777" w:rsidTr="00A436AE">
            <w:trPr>
              <w:trHeight w:val="360"/>
            </w:trPr>
            <w:sdt>
              <w:sdtPr>
                <w:tag w:val="_PLD_0794afc706e94e77876df1281577a7d9"/>
                <w:id w:val="812452491"/>
                <w:lock w:val="sdtLocked"/>
              </w:sdtPr>
              <w:sdtEndPr/>
              <w:sdtContent>
                <w:tc>
                  <w:tcPr>
                    <w:tcW w:w="1845" w:type="pct"/>
                    <w:tcBorders>
                      <w:top w:val="single" w:sz="4" w:space="0" w:color="auto"/>
                      <w:left w:val="single" w:sz="4" w:space="0" w:color="auto"/>
                      <w:bottom w:val="single" w:sz="4" w:space="0" w:color="auto"/>
                      <w:right w:val="single" w:sz="4" w:space="0" w:color="auto"/>
                    </w:tcBorders>
                  </w:tcPr>
                  <w:p w14:paraId="5D56626A" w14:textId="77777777" w:rsidR="00471D53" w:rsidRDefault="004F686E">
                    <w:pPr>
                      <w:rPr>
                        <w:szCs w:val="21"/>
                      </w:rPr>
                    </w:pPr>
                    <w:r>
                      <w:rPr>
                        <w:szCs w:val="21"/>
                      </w:rPr>
                      <w:t>扣除非经常性损益后归属于公司普通股股东的净利润</w:t>
                    </w:r>
                  </w:p>
                </w:tc>
              </w:sdtContent>
            </w:sdt>
            <w:tc>
              <w:tcPr>
                <w:tcW w:w="1044" w:type="pct"/>
                <w:tcBorders>
                  <w:top w:val="single" w:sz="4" w:space="0" w:color="auto"/>
                  <w:left w:val="single" w:sz="4" w:space="0" w:color="auto"/>
                  <w:bottom w:val="single" w:sz="4" w:space="0" w:color="auto"/>
                  <w:right w:val="single" w:sz="4" w:space="0" w:color="auto"/>
                </w:tcBorders>
                <w:vAlign w:val="center"/>
              </w:tcPr>
              <w:p w14:paraId="288A95D1" w14:textId="77777777" w:rsidR="00471D53" w:rsidRDefault="004F686E" w:rsidP="00471D53">
                <w:pPr>
                  <w:jc w:val="right"/>
                  <w:rPr>
                    <w:rFonts w:cs="Calibri"/>
                    <w:sz w:val="22"/>
                    <w:szCs w:val="22"/>
                  </w:rPr>
                </w:pPr>
                <w:r w:rsidRPr="00C67F26">
                  <w:rPr>
                    <w:rFonts w:cs="Calibri"/>
                    <w:sz w:val="22"/>
                    <w:szCs w:val="22"/>
                  </w:rPr>
                  <w:t>-1.33</w:t>
                </w:r>
              </w:p>
            </w:tc>
            <w:tc>
              <w:tcPr>
                <w:tcW w:w="1125" w:type="pct"/>
                <w:tcBorders>
                  <w:top w:val="single" w:sz="4" w:space="0" w:color="auto"/>
                  <w:left w:val="single" w:sz="4" w:space="0" w:color="auto"/>
                  <w:bottom w:val="single" w:sz="4" w:space="0" w:color="auto"/>
                  <w:right w:val="single" w:sz="4" w:space="0" w:color="auto"/>
                </w:tcBorders>
                <w:vAlign w:val="center"/>
              </w:tcPr>
              <w:p w14:paraId="67A229B2" w14:textId="77777777" w:rsidR="00471D53" w:rsidRDefault="004F686E" w:rsidP="00471D53">
                <w:pPr>
                  <w:jc w:val="right"/>
                  <w:rPr>
                    <w:sz w:val="22"/>
                    <w:szCs w:val="22"/>
                  </w:rPr>
                </w:pPr>
                <w:r w:rsidRPr="00C67F26">
                  <w:rPr>
                    <w:sz w:val="22"/>
                    <w:szCs w:val="22"/>
                  </w:rPr>
                  <w:t>-0.02</w:t>
                </w:r>
              </w:p>
            </w:tc>
            <w:tc>
              <w:tcPr>
                <w:tcW w:w="986" w:type="pct"/>
                <w:tcBorders>
                  <w:top w:val="single" w:sz="4" w:space="0" w:color="auto"/>
                  <w:left w:val="single" w:sz="4" w:space="0" w:color="auto"/>
                  <w:bottom w:val="single" w:sz="4" w:space="0" w:color="auto"/>
                  <w:right w:val="single" w:sz="4" w:space="0" w:color="auto"/>
                </w:tcBorders>
                <w:vAlign w:val="center"/>
              </w:tcPr>
              <w:p w14:paraId="53268966" w14:textId="77777777" w:rsidR="00471D53" w:rsidRDefault="004F686E" w:rsidP="00471D53">
                <w:pPr>
                  <w:jc w:val="right"/>
                  <w:rPr>
                    <w:sz w:val="22"/>
                    <w:szCs w:val="22"/>
                  </w:rPr>
                </w:pPr>
                <w:r w:rsidRPr="00C67F26">
                  <w:rPr>
                    <w:sz w:val="22"/>
                    <w:szCs w:val="22"/>
                  </w:rPr>
                  <w:t>-0.02</w:t>
                </w:r>
              </w:p>
            </w:tc>
          </w:tr>
        </w:tbl>
        <w:p w14:paraId="165B3C89" w14:textId="77777777" w:rsidR="00471D53" w:rsidRDefault="00B664AF">
          <w:pPr>
            <w:rPr>
              <w:szCs w:val="21"/>
            </w:rPr>
          </w:pPr>
        </w:p>
      </w:sdtContent>
    </w:sdt>
    <w:p w14:paraId="38F07F1A" w14:textId="77777777" w:rsidR="00471D53" w:rsidRDefault="004F686E" w:rsidP="004F686E">
      <w:pPr>
        <w:pStyle w:val="afffff7"/>
        <w:numPr>
          <w:ilvl w:val="0"/>
          <w:numId w:val="117"/>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3482333eff2948139884cfdd1debc958"/>
        <w:id w:val="513354335"/>
        <w:lock w:val="sdtLocked"/>
        <w:placeholder>
          <w:docPart w:val="GBC22222222222222222222222222222"/>
        </w:placeholder>
      </w:sdtPr>
      <w:sdtEndPr/>
      <w:sdtContent>
        <w:p w14:paraId="7396FC4C" w14:textId="2C25CFE6" w:rsidR="00471D53" w:rsidRDefault="004F686E">
          <w:pPr>
            <w:rPr>
              <w:rFonts w:cstheme="minorBidi"/>
              <w:kern w:val="2"/>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259D8F6" w14:textId="77777777" w:rsidR="00471D53" w:rsidRDefault="00B664AF">
      <w:pPr>
        <w:rPr>
          <w:szCs w:val="21"/>
        </w:rPr>
      </w:pPr>
    </w:p>
    <w:sdt>
      <w:sdtPr>
        <w:rPr>
          <w:rFonts w:ascii="宋体" w:hAnsi="宋体" w:cs="宋体"/>
          <w:b w:val="0"/>
          <w:bCs w:val="0"/>
          <w:kern w:val="0"/>
          <w:szCs w:val="21"/>
        </w:rPr>
        <w:alias w:val="模块:补充资料其他说明事项"/>
        <w:tag w:val="_GBC_a60672e5f86e422cbb864ef991c9106b"/>
        <w:id w:val="-1059087473"/>
        <w:lock w:val="sdtLocked"/>
        <w:placeholder>
          <w:docPart w:val="GBC22222222222222222222222222222"/>
        </w:placeholder>
      </w:sdtPr>
      <w:sdtEndPr/>
      <w:sdtContent>
        <w:p w14:paraId="4BE517D4" w14:textId="77777777" w:rsidR="00471D53" w:rsidRDefault="004F686E" w:rsidP="004F686E">
          <w:pPr>
            <w:pStyle w:val="afffff7"/>
            <w:numPr>
              <w:ilvl w:val="0"/>
              <w:numId w:val="117"/>
            </w:numPr>
            <w:rPr>
              <w:rFonts w:ascii="宋体" w:hAnsi="宋体"/>
              <w:szCs w:val="21"/>
            </w:rPr>
          </w:pPr>
          <w:r>
            <w:rPr>
              <w:rFonts w:ascii="宋体" w:hAnsi="宋体" w:hint="eastAsia"/>
              <w:szCs w:val="21"/>
            </w:rPr>
            <w:t>其他</w:t>
          </w:r>
        </w:p>
        <w:sdt>
          <w:sdtPr>
            <w:alias w:val="是否适用：补充资料其他说明事项[双击切换]"/>
            <w:tag w:val="_GBC_8954f89f8426424c966f1b658de53fe5"/>
            <w:id w:val="-1069729315"/>
            <w:lock w:val="sdtLocked"/>
            <w:placeholder>
              <w:docPart w:val="GBC22222222222222222222222222222"/>
            </w:placeholder>
          </w:sdtPr>
          <w:sdtEndPr/>
          <w:sdtContent>
            <w:p w14:paraId="2ECFFE47" w14:textId="77777777" w:rsidR="00471D53" w:rsidRDefault="004F686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szCs w:val="21"/>
            </w:rPr>
            <w:alias w:val="补充资料其他说明事项"/>
            <w:tag w:val="_GBC_44dc80633c8948be87b68b0c5b9c539c"/>
            <w:id w:val="634918056"/>
            <w:lock w:val="sdtLocked"/>
            <w:placeholder>
              <w:docPart w:val="GBC22222222222222222222222222222"/>
            </w:placeholder>
          </w:sdtPr>
          <w:sdtEndPr/>
          <w:sdtContent>
            <w:p w14:paraId="6FF8AD59" w14:textId="77777777" w:rsidR="00471D53" w:rsidRPr="00FB6D17" w:rsidRDefault="004F686E" w:rsidP="004F686E">
              <w:pPr>
                <w:numPr>
                  <w:ilvl w:val="0"/>
                  <w:numId w:val="118"/>
                </w:numPr>
                <w:tabs>
                  <w:tab w:val="clear" w:pos="1160"/>
                  <w:tab w:val="num" w:pos="420"/>
                  <w:tab w:val="left" w:pos="720"/>
                  <w:tab w:val="left" w:pos="993"/>
                </w:tabs>
                <w:spacing w:beforeLines="50" w:before="120" w:afterLines="50" w:after="120" w:line="360" w:lineRule="exact"/>
                <w:ind w:leftChars="200" w:left="947" w:hangingChars="251" w:hanging="527"/>
                <w:outlineLvl w:val="2"/>
                <w:rPr>
                  <w:rFonts w:cs="Times New Roman"/>
                  <w:sz w:val="22"/>
                  <w:szCs w:val="22"/>
                </w:rPr>
              </w:pPr>
              <w:r w:rsidRPr="00FB6D17">
                <w:rPr>
                  <w:rFonts w:cs="Times New Roman" w:hint="eastAsia"/>
                  <w:sz w:val="22"/>
                  <w:szCs w:val="22"/>
                </w:rPr>
                <w:t>营业额</w:t>
              </w:r>
            </w:p>
            <w:p w14:paraId="321F1862" w14:textId="77777777" w:rsidR="00471D53" w:rsidRDefault="004F686E" w:rsidP="00471D53">
              <w:pPr>
                <w:tabs>
                  <w:tab w:val="left" w:pos="900"/>
                  <w:tab w:val="left" w:pos="993"/>
                  <w:tab w:val="left" w:pos="1100"/>
                </w:tabs>
                <w:spacing w:beforeLines="50" w:before="120" w:afterLines="50" w:after="120" w:line="360" w:lineRule="exact"/>
                <w:ind w:firstLineChars="200" w:firstLine="440"/>
                <w:jc w:val="both"/>
                <w:rPr>
                  <w:sz w:val="22"/>
                  <w:szCs w:val="22"/>
                </w:rPr>
              </w:pPr>
              <w:bookmarkStart w:id="285" w:name="_Hlk78889321"/>
              <w:r>
                <w:rPr>
                  <w:rFonts w:hint="eastAsia"/>
                  <w:sz w:val="22"/>
                  <w:szCs w:val="22"/>
                </w:rPr>
                <w:t>营业额是包括已收及应收不同类型低温储运容器销售、备件销售及提供服务之净值，其分析如下：</w:t>
              </w:r>
            </w:p>
            <w:tbl>
              <w:tblPr>
                <w:tblStyle w:val="g4"/>
                <w:tblW w:w="5000" w:type="pct"/>
                <w:tblBorders>
                  <w:top w:val="double" w:sz="4" w:space="0" w:color="auto"/>
                  <w:bottom w:val="double" w:sz="4" w:space="0" w:color="auto"/>
                  <w:insideH w:val="single" w:sz="2" w:space="0" w:color="auto"/>
                  <w:insideV w:val="single" w:sz="2" w:space="0" w:color="auto"/>
                </w:tblBorders>
                <w:tblLook w:val="0000" w:firstRow="0" w:lastRow="0" w:firstColumn="0" w:lastColumn="0" w:noHBand="0" w:noVBand="0"/>
              </w:tblPr>
              <w:tblGrid>
                <w:gridCol w:w="4261"/>
                <w:gridCol w:w="2286"/>
                <w:gridCol w:w="2286"/>
              </w:tblGrid>
              <w:tr w:rsidR="00471D53" w14:paraId="2C04A7AD" w14:textId="77777777" w:rsidTr="00471D53">
                <w:trPr>
                  <w:trHeight w:val="340"/>
                  <w:tblHeader/>
                </w:trPr>
                <w:tc>
                  <w:tcPr>
                    <w:tcW w:w="2412" w:type="pct"/>
                    <w:vAlign w:val="center"/>
                  </w:tcPr>
                  <w:p w14:paraId="6DF7348D" w14:textId="77777777" w:rsidR="00471D53" w:rsidRDefault="004F686E" w:rsidP="00471D53">
                    <w:pPr>
                      <w:jc w:val="both"/>
                      <w:rPr>
                        <w:b/>
                        <w:bCs/>
                        <w:sz w:val="22"/>
                        <w:szCs w:val="22"/>
                      </w:rPr>
                    </w:pPr>
                    <w:r>
                      <w:rPr>
                        <w:rFonts w:hint="eastAsia"/>
                        <w:b/>
                        <w:bCs/>
                        <w:sz w:val="22"/>
                        <w:szCs w:val="22"/>
                      </w:rPr>
                      <w:t>项目</w:t>
                    </w:r>
                  </w:p>
                </w:tc>
                <w:tc>
                  <w:tcPr>
                    <w:tcW w:w="1294" w:type="pct"/>
                    <w:vAlign w:val="center"/>
                  </w:tcPr>
                  <w:p w14:paraId="3FA7F3F8" w14:textId="77777777" w:rsidR="00471D53" w:rsidRDefault="004F686E" w:rsidP="00471D53">
                    <w:pPr>
                      <w:jc w:val="center"/>
                      <w:rPr>
                        <w:b/>
                        <w:bCs/>
                        <w:sz w:val="22"/>
                        <w:szCs w:val="22"/>
                      </w:rPr>
                    </w:pPr>
                    <w:r>
                      <w:rPr>
                        <w:rFonts w:hint="eastAsia"/>
                        <w:b/>
                        <w:bCs/>
                        <w:sz w:val="22"/>
                        <w:szCs w:val="22"/>
                      </w:rPr>
                      <w:t>本期金额</w:t>
                    </w:r>
                  </w:p>
                </w:tc>
                <w:tc>
                  <w:tcPr>
                    <w:tcW w:w="1294" w:type="pct"/>
                    <w:vAlign w:val="center"/>
                  </w:tcPr>
                  <w:p w14:paraId="2947368E" w14:textId="77777777" w:rsidR="00471D53" w:rsidRDefault="004F686E" w:rsidP="00471D53">
                    <w:pPr>
                      <w:jc w:val="center"/>
                      <w:rPr>
                        <w:b/>
                        <w:bCs/>
                        <w:sz w:val="22"/>
                        <w:szCs w:val="22"/>
                      </w:rPr>
                    </w:pPr>
                    <w:r>
                      <w:rPr>
                        <w:rFonts w:hint="eastAsia"/>
                        <w:b/>
                        <w:bCs/>
                        <w:sz w:val="22"/>
                        <w:szCs w:val="22"/>
                      </w:rPr>
                      <w:t>上期金额</w:t>
                    </w:r>
                  </w:p>
                </w:tc>
              </w:tr>
              <w:tr w:rsidR="00471D53" w14:paraId="202EC1B7" w14:textId="77777777" w:rsidTr="00471D53">
                <w:trPr>
                  <w:trHeight w:val="340"/>
                </w:trPr>
                <w:tc>
                  <w:tcPr>
                    <w:tcW w:w="2412" w:type="pct"/>
                    <w:vAlign w:val="center"/>
                  </w:tcPr>
                  <w:p w14:paraId="49A15344" w14:textId="77777777" w:rsidR="00471D53" w:rsidRDefault="004F686E" w:rsidP="00471D53">
                    <w:pPr>
                      <w:jc w:val="both"/>
                      <w:rPr>
                        <w:sz w:val="22"/>
                        <w:szCs w:val="22"/>
                      </w:rPr>
                    </w:pPr>
                    <w:r>
                      <w:rPr>
                        <w:rFonts w:hint="eastAsia"/>
                        <w:sz w:val="22"/>
                        <w:szCs w:val="22"/>
                      </w:rPr>
                      <w:t>钢质无缝气瓶</w:t>
                    </w:r>
                  </w:p>
                </w:tc>
                <w:tc>
                  <w:tcPr>
                    <w:tcW w:w="1294" w:type="pct"/>
                    <w:vAlign w:val="center"/>
                  </w:tcPr>
                  <w:p w14:paraId="4D04331D" w14:textId="77777777" w:rsidR="00471D53" w:rsidRDefault="004F686E" w:rsidP="00471D53">
                    <w:pPr>
                      <w:jc w:val="right"/>
                      <w:rPr>
                        <w:sz w:val="22"/>
                        <w:szCs w:val="22"/>
                      </w:rPr>
                    </w:pPr>
                    <w:r w:rsidRPr="002F3DC0">
                      <w:rPr>
                        <w:sz w:val="22"/>
                        <w:szCs w:val="22"/>
                      </w:rPr>
                      <w:t>254,696,194.16</w:t>
                    </w:r>
                  </w:p>
                </w:tc>
                <w:tc>
                  <w:tcPr>
                    <w:tcW w:w="1294" w:type="pct"/>
                    <w:vAlign w:val="center"/>
                  </w:tcPr>
                  <w:p w14:paraId="3529D074" w14:textId="77777777" w:rsidR="00471D53" w:rsidRDefault="004F686E" w:rsidP="00471D53">
                    <w:pPr>
                      <w:jc w:val="right"/>
                      <w:rPr>
                        <w:sz w:val="22"/>
                        <w:szCs w:val="22"/>
                      </w:rPr>
                    </w:pPr>
                    <w:r w:rsidRPr="002E2C92">
                      <w:rPr>
                        <w:sz w:val="22"/>
                        <w:szCs w:val="22"/>
                      </w:rPr>
                      <w:t>207,812,689.70</w:t>
                    </w:r>
                  </w:p>
                </w:tc>
              </w:tr>
              <w:tr w:rsidR="00471D53" w14:paraId="33679211" w14:textId="77777777" w:rsidTr="00471D53">
                <w:trPr>
                  <w:trHeight w:val="340"/>
                </w:trPr>
                <w:tc>
                  <w:tcPr>
                    <w:tcW w:w="2412" w:type="pct"/>
                    <w:vAlign w:val="center"/>
                  </w:tcPr>
                  <w:p w14:paraId="3CCA5F93" w14:textId="77777777" w:rsidR="00471D53" w:rsidRDefault="004F686E" w:rsidP="00471D53">
                    <w:pPr>
                      <w:jc w:val="both"/>
                      <w:rPr>
                        <w:sz w:val="22"/>
                        <w:szCs w:val="22"/>
                      </w:rPr>
                    </w:pPr>
                    <w:r>
                      <w:rPr>
                        <w:rFonts w:hint="eastAsia"/>
                        <w:sz w:val="22"/>
                        <w:szCs w:val="22"/>
                      </w:rPr>
                      <w:t>缠绕瓶</w:t>
                    </w:r>
                  </w:p>
                </w:tc>
                <w:tc>
                  <w:tcPr>
                    <w:tcW w:w="1294" w:type="pct"/>
                    <w:vAlign w:val="center"/>
                  </w:tcPr>
                  <w:p w14:paraId="3AC158EE" w14:textId="77777777" w:rsidR="00471D53" w:rsidRDefault="004F686E" w:rsidP="00471D53">
                    <w:pPr>
                      <w:jc w:val="right"/>
                      <w:rPr>
                        <w:sz w:val="22"/>
                        <w:szCs w:val="22"/>
                      </w:rPr>
                    </w:pPr>
                    <w:r w:rsidRPr="002F3DC0">
                      <w:rPr>
                        <w:sz w:val="22"/>
                        <w:szCs w:val="22"/>
                      </w:rPr>
                      <w:t>64,916,143.89</w:t>
                    </w:r>
                  </w:p>
                </w:tc>
                <w:tc>
                  <w:tcPr>
                    <w:tcW w:w="1294" w:type="pct"/>
                    <w:vAlign w:val="center"/>
                  </w:tcPr>
                  <w:p w14:paraId="267D63BA" w14:textId="77777777" w:rsidR="00471D53" w:rsidRDefault="004F686E" w:rsidP="00471D53">
                    <w:pPr>
                      <w:jc w:val="right"/>
                      <w:rPr>
                        <w:sz w:val="22"/>
                        <w:szCs w:val="22"/>
                      </w:rPr>
                    </w:pPr>
                    <w:r w:rsidRPr="002E2C92">
                      <w:rPr>
                        <w:sz w:val="22"/>
                        <w:szCs w:val="22"/>
                      </w:rPr>
                      <w:t>43,656,034.81</w:t>
                    </w:r>
                  </w:p>
                </w:tc>
              </w:tr>
              <w:tr w:rsidR="00471D53" w14:paraId="6D20DB0D" w14:textId="77777777" w:rsidTr="00471D53">
                <w:trPr>
                  <w:trHeight w:val="340"/>
                </w:trPr>
                <w:tc>
                  <w:tcPr>
                    <w:tcW w:w="2412" w:type="pct"/>
                    <w:vAlign w:val="center"/>
                  </w:tcPr>
                  <w:p w14:paraId="275B5232" w14:textId="77777777" w:rsidR="00471D53" w:rsidRDefault="004F686E" w:rsidP="00471D53">
                    <w:pPr>
                      <w:jc w:val="both"/>
                      <w:rPr>
                        <w:sz w:val="22"/>
                        <w:szCs w:val="22"/>
                      </w:rPr>
                    </w:pPr>
                    <w:r>
                      <w:rPr>
                        <w:rFonts w:hint="eastAsia"/>
                        <w:sz w:val="22"/>
                        <w:szCs w:val="22"/>
                      </w:rPr>
                      <w:t>低温瓶</w:t>
                    </w:r>
                  </w:p>
                </w:tc>
                <w:tc>
                  <w:tcPr>
                    <w:tcW w:w="1294" w:type="pct"/>
                    <w:vAlign w:val="center"/>
                  </w:tcPr>
                  <w:p w14:paraId="756D0E98" w14:textId="77777777" w:rsidR="00471D53" w:rsidRDefault="004F686E" w:rsidP="00471D53">
                    <w:pPr>
                      <w:jc w:val="right"/>
                      <w:rPr>
                        <w:sz w:val="22"/>
                        <w:szCs w:val="22"/>
                      </w:rPr>
                    </w:pPr>
                    <w:r w:rsidRPr="002F3DC0">
                      <w:rPr>
                        <w:sz w:val="22"/>
                        <w:szCs w:val="22"/>
                      </w:rPr>
                      <w:t>49,708,943.97</w:t>
                    </w:r>
                  </w:p>
                </w:tc>
                <w:tc>
                  <w:tcPr>
                    <w:tcW w:w="1294" w:type="pct"/>
                    <w:vAlign w:val="center"/>
                  </w:tcPr>
                  <w:p w14:paraId="73D5D387" w14:textId="77777777" w:rsidR="00471D53" w:rsidRDefault="004F686E" w:rsidP="00471D53">
                    <w:pPr>
                      <w:jc w:val="right"/>
                      <w:rPr>
                        <w:sz w:val="22"/>
                        <w:szCs w:val="22"/>
                      </w:rPr>
                    </w:pPr>
                    <w:r w:rsidRPr="002E2C92">
                      <w:rPr>
                        <w:sz w:val="22"/>
                        <w:szCs w:val="22"/>
                      </w:rPr>
                      <w:t>87,432,964.03</w:t>
                    </w:r>
                  </w:p>
                </w:tc>
              </w:tr>
              <w:tr w:rsidR="00471D53" w14:paraId="37D653F4" w14:textId="77777777" w:rsidTr="00471D53">
                <w:trPr>
                  <w:trHeight w:val="340"/>
                </w:trPr>
                <w:tc>
                  <w:tcPr>
                    <w:tcW w:w="2412" w:type="pct"/>
                    <w:vAlign w:val="center"/>
                  </w:tcPr>
                  <w:p w14:paraId="2080690D" w14:textId="77777777" w:rsidR="00471D53" w:rsidRDefault="004F686E" w:rsidP="00471D53">
                    <w:pPr>
                      <w:jc w:val="both"/>
                      <w:rPr>
                        <w:sz w:val="22"/>
                        <w:szCs w:val="22"/>
                      </w:rPr>
                    </w:pPr>
                    <w:r>
                      <w:rPr>
                        <w:rFonts w:hint="eastAsia"/>
                        <w:sz w:val="22"/>
                        <w:szCs w:val="22"/>
                      </w:rPr>
                      <w:t>低温储运装备</w:t>
                    </w:r>
                  </w:p>
                </w:tc>
                <w:tc>
                  <w:tcPr>
                    <w:tcW w:w="1294" w:type="pct"/>
                    <w:vAlign w:val="center"/>
                  </w:tcPr>
                  <w:p w14:paraId="794ADDC7" w14:textId="77777777" w:rsidR="00471D53" w:rsidRDefault="004F686E" w:rsidP="00471D53">
                    <w:pPr>
                      <w:jc w:val="right"/>
                      <w:rPr>
                        <w:sz w:val="22"/>
                        <w:szCs w:val="22"/>
                      </w:rPr>
                    </w:pPr>
                    <w:r w:rsidRPr="002F3DC0">
                      <w:rPr>
                        <w:sz w:val="22"/>
                        <w:szCs w:val="22"/>
                      </w:rPr>
                      <w:t>79,600,581.96</w:t>
                    </w:r>
                  </w:p>
                </w:tc>
                <w:tc>
                  <w:tcPr>
                    <w:tcW w:w="1294" w:type="pct"/>
                    <w:vAlign w:val="center"/>
                  </w:tcPr>
                  <w:p w14:paraId="482B1520" w14:textId="77777777" w:rsidR="00471D53" w:rsidRDefault="004F686E" w:rsidP="00471D53">
                    <w:pPr>
                      <w:jc w:val="right"/>
                      <w:rPr>
                        <w:sz w:val="22"/>
                        <w:szCs w:val="22"/>
                      </w:rPr>
                    </w:pPr>
                    <w:r w:rsidRPr="002E2C92">
                      <w:rPr>
                        <w:sz w:val="22"/>
                        <w:szCs w:val="22"/>
                      </w:rPr>
                      <w:t>75,647,600.29</w:t>
                    </w:r>
                  </w:p>
                </w:tc>
              </w:tr>
              <w:tr w:rsidR="00471D53" w14:paraId="48152545" w14:textId="77777777" w:rsidTr="00471D53">
                <w:trPr>
                  <w:trHeight w:val="340"/>
                </w:trPr>
                <w:tc>
                  <w:tcPr>
                    <w:tcW w:w="2412" w:type="pct"/>
                    <w:vAlign w:val="center"/>
                  </w:tcPr>
                  <w:p w14:paraId="345F7DA0" w14:textId="77777777" w:rsidR="00471D53" w:rsidRDefault="004F686E" w:rsidP="00471D53">
                    <w:pPr>
                      <w:rPr>
                        <w:sz w:val="22"/>
                        <w:szCs w:val="22"/>
                      </w:rPr>
                    </w:pPr>
                    <w:r>
                      <w:rPr>
                        <w:rFonts w:hint="eastAsia"/>
                        <w:sz w:val="22"/>
                        <w:szCs w:val="22"/>
                      </w:rPr>
                      <w:t>其他</w:t>
                    </w:r>
                  </w:p>
                </w:tc>
                <w:tc>
                  <w:tcPr>
                    <w:tcW w:w="1294" w:type="pct"/>
                    <w:vAlign w:val="center"/>
                  </w:tcPr>
                  <w:p w14:paraId="4E632FA0" w14:textId="77777777" w:rsidR="00471D53" w:rsidRDefault="004F686E" w:rsidP="00471D53">
                    <w:pPr>
                      <w:jc w:val="right"/>
                      <w:rPr>
                        <w:sz w:val="22"/>
                        <w:szCs w:val="22"/>
                      </w:rPr>
                    </w:pPr>
                    <w:r w:rsidRPr="002F3DC0">
                      <w:rPr>
                        <w:sz w:val="22"/>
                        <w:szCs w:val="22"/>
                      </w:rPr>
                      <w:t>59,350,582.39</w:t>
                    </w:r>
                  </w:p>
                </w:tc>
                <w:tc>
                  <w:tcPr>
                    <w:tcW w:w="1294" w:type="pct"/>
                    <w:vAlign w:val="center"/>
                  </w:tcPr>
                  <w:p w14:paraId="4E26F86C" w14:textId="77777777" w:rsidR="00471D53" w:rsidRDefault="004F686E" w:rsidP="00471D53">
                    <w:pPr>
                      <w:jc w:val="right"/>
                      <w:rPr>
                        <w:sz w:val="22"/>
                        <w:szCs w:val="22"/>
                      </w:rPr>
                    </w:pPr>
                    <w:r w:rsidRPr="002E2C92">
                      <w:rPr>
                        <w:sz w:val="22"/>
                        <w:szCs w:val="22"/>
                      </w:rPr>
                      <w:t>70,725,331.12</w:t>
                    </w:r>
                  </w:p>
                </w:tc>
              </w:tr>
              <w:tr w:rsidR="00471D53" w14:paraId="60F4F0BE" w14:textId="77777777" w:rsidTr="00471D53">
                <w:trPr>
                  <w:trHeight w:val="340"/>
                </w:trPr>
                <w:tc>
                  <w:tcPr>
                    <w:tcW w:w="2412" w:type="pct"/>
                    <w:vAlign w:val="center"/>
                  </w:tcPr>
                  <w:p w14:paraId="6E43A054" w14:textId="77777777" w:rsidR="00471D53" w:rsidRDefault="004F686E" w:rsidP="00471D53">
                    <w:pPr>
                      <w:rPr>
                        <w:b/>
                        <w:sz w:val="22"/>
                        <w:szCs w:val="22"/>
                      </w:rPr>
                    </w:pPr>
                    <w:r>
                      <w:rPr>
                        <w:rFonts w:hint="eastAsia"/>
                        <w:b/>
                        <w:sz w:val="22"/>
                        <w:szCs w:val="22"/>
                      </w:rPr>
                      <w:t>销售总额</w:t>
                    </w:r>
                  </w:p>
                </w:tc>
                <w:tc>
                  <w:tcPr>
                    <w:tcW w:w="1294" w:type="pct"/>
                    <w:vAlign w:val="center"/>
                  </w:tcPr>
                  <w:p w14:paraId="336AB5AC" w14:textId="77777777" w:rsidR="00471D53" w:rsidRDefault="004F686E" w:rsidP="00471D53">
                    <w:pPr>
                      <w:jc w:val="right"/>
                      <w:rPr>
                        <w:rFonts w:cs="Calibri"/>
                        <w:b/>
                        <w:bCs/>
                        <w:sz w:val="22"/>
                        <w:szCs w:val="22"/>
                      </w:rPr>
                    </w:pPr>
                    <w:r w:rsidRPr="002F3DC0">
                      <w:rPr>
                        <w:rFonts w:cs="Calibri"/>
                        <w:b/>
                        <w:bCs/>
                        <w:sz w:val="22"/>
                        <w:szCs w:val="22"/>
                      </w:rPr>
                      <w:t>508,272,446.37</w:t>
                    </w:r>
                  </w:p>
                </w:tc>
                <w:tc>
                  <w:tcPr>
                    <w:tcW w:w="1294" w:type="pct"/>
                    <w:vAlign w:val="center"/>
                  </w:tcPr>
                  <w:p w14:paraId="1FC84467" w14:textId="77777777" w:rsidR="00471D53" w:rsidRDefault="004F686E" w:rsidP="00471D53">
                    <w:pPr>
                      <w:jc w:val="right"/>
                      <w:rPr>
                        <w:b/>
                        <w:bCs/>
                        <w:sz w:val="22"/>
                        <w:szCs w:val="22"/>
                      </w:rPr>
                    </w:pPr>
                    <w:r w:rsidRPr="002E2C92">
                      <w:rPr>
                        <w:b/>
                        <w:bCs/>
                        <w:sz w:val="22"/>
                        <w:szCs w:val="22"/>
                      </w:rPr>
                      <w:t>485,274,619.95</w:t>
                    </w:r>
                  </w:p>
                </w:tc>
              </w:tr>
              <w:tr w:rsidR="00471D53" w14:paraId="009020F6" w14:textId="77777777" w:rsidTr="00471D53">
                <w:trPr>
                  <w:trHeight w:val="340"/>
                </w:trPr>
                <w:tc>
                  <w:tcPr>
                    <w:tcW w:w="2412" w:type="pct"/>
                    <w:vAlign w:val="center"/>
                  </w:tcPr>
                  <w:p w14:paraId="2FC4943F" w14:textId="77777777" w:rsidR="00471D53" w:rsidRDefault="004F686E" w:rsidP="00471D53">
                    <w:pPr>
                      <w:rPr>
                        <w:sz w:val="22"/>
                        <w:szCs w:val="22"/>
                      </w:rPr>
                    </w:pPr>
                    <w:r>
                      <w:rPr>
                        <w:rFonts w:hint="eastAsia"/>
                        <w:sz w:val="22"/>
                        <w:szCs w:val="22"/>
                      </w:rPr>
                      <w:t>减：销售税及其他附加费用</w:t>
                    </w:r>
                  </w:p>
                </w:tc>
                <w:tc>
                  <w:tcPr>
                    <w:tcW w:w="1294" w:type="pct"/>
                    <w:vAlign w:val="center"/>
                  </w:tcPr>
                  <w:p w14:paraId="23780BF5" w14:textId="77777777" w:rsidR="00471D53" w:rsidRDefault="004F686E" w:rsidP="00471D53">
                    <w:pPr>
                      <w:jc w:val="right"/>
                      <w:rPr>
                        <w:sz w:val="22"/>
                        <w:szCs w:val="22"/>
                      </w:rPr>
                    </w:pPr>
                    <w:r w:rsidRPr="002413AB">
                      <w:rPr>
                        <w:sz w:val="22"/>
                        <w:szCs w:val="22"/>
                      </w:rPr>
                      <w:t>2,516,449.29</w:t>
                    </w:r>
                  </w:p>
                </w:tc>
                <w:tc>
                  <w:tcPr>
                    <w:tcW w:w="1294" w:type="pct"/>
                    <w:vAlign w:val="center"/>
                  </w:tcPr>
                  <w:p w14:paraId="4F6F6C07" w14:textId="77777777" w:rsidR="00471D53" w:rsidRDefault="004F686E" w:rsidP="00471D53">
                    <w:pPr>
                      <w:jc w:val="right"/>
                      <w:rPr>
                        <w:sz w:val="22"/>
                        <w:szCs w:val="22"/>
                      </w:rPr>
                    </w:pPr>
                    <w:r w:rsidRPr="002E2C92">
                      <w:rPr>
                        <w:sz w:val="22"/>
                        <w:szCs w:val="22"/>
                      </w:rPr>
                      <w:t>4,103,924.97</w:t>
                    </w:r>
                  </w:p>
                </w:tc>
              </w:tr>
              <w:tr w:rsidR="00471D53" w14:paraId="44DF0ED8" w14:textId="77777777" w:rsidTr="00471D53">
                <w:trPr>
                  <w:trHeight w:val="340"/>
                </w:trPr>
                <w:tc>
                  <w:tcPr>
                    <w:tcW w:w="2412" w:type="pct"/>
                    <w:vAlign w:val="center"/>
                  </w:tcPr>
                  <w:p w14:paraId="344D3DBB" w14:textId="77777777" w:rsidR="00471D53" w:rsidRDefault="004F686E" w:rsidP="00471D53">
                    <w:pPr>
                      <w:rPr>
                        <w:b/>
                        <w:bCs/>
                        <w:sz w:val="22"/>
                        <w:szCs w:val="22"/>
                      </w:rPr>
                    </w:pPr>
                    <w:r>
                      <w:rPr>
                        <w:rFonts w:hint="eastAsia"/>
                        <w:b/>
                        <w:bCs/>
                        <w:sz w:val="22"/>
                        <w:szCs w:val="22"/>
                      </w:rPr>
                      <w:t>合计</w:t>
                    </w:r>
                  </w:p>
                </w:tc>
                <w:tc>
                  <w:tcPr>
                    <w:tcW w:w="1294" w:type="pct"/>
                    <w:vAlign w:val="center"/>
                  </w:tcPr>
                  <w:p w14:paraId="124609E7" w14:textId="77777777" w:rsidR="00471D53" w:rsidRDefault="004F686E" w:rsidP="00471D53">
                    <w:pPr>
                      <w:jc w:val="right"/>
                      <w:rPr>
                        <w:b/>
                        <w:bCs/>
                        <w:sz w:val="22"/>
                        <w:szCs w:val="22"/>
                      </w:rPr>
                    </w:pPr>
                    <w:r w:rsidRPr="002413AB">
                      <w:rPr>
                        <w:b/>
                        <w:bCs/>
                        <w:sz w:val="22"/>
                        <w:szCs w:val="22"/>
                      </w:rPr>
                      <w:t>505,755,997.08</w:t>
                    </w:r>
                  </w:p>
                </w:tc>
                <w:tc>
                  <w:tcPr>
                    <w:tcW w:w="1294" w:type="pct"/>
                    <w:vAlign w:val="center"/>
                  </w:tcPr>
                  <w:p w14:paraId="23F68F2A" w14:textId="77777777" w:rsidR="00471D53" w:rsidRDefault="004F686E" w:rsidP="00471D53">
                    <w:pPr>
                      <w:jc w:val="right"/>
                      <w:rPr>
                        <w:b/>
                        <w:sz w:val="22"/>
                        <w:szCs w:val="22"/>
                      </w:rPr>
                    </w:pPr>
                    <w:r w:rsidRPr="002E2C92">
                      <w:rPr>
                        <w:b/>
                        <w:sz w:val="22"/>
                        <w:szCs w:val="22"/>
                      </w:rPr>
                      <w:t>481,170,694.98</w:t>
                    </w:r>
                  </w:p>
                </w:tc>
              </w:tr>
            </w:tbl>
            <w:bookmarkEnd w:id="285"/>
            <w:p w14:paraId="3C4948BA" w14:textId="77777777" w:rsidR="00471D53" w:rsidRPr="00FB6D17" w:rsidRDefault="004F686E" w:rsidP="004F686E">
              <w:pPr>
                <w:numPr>
                  <w:ilvl w:val="0"/>
                  <w:numId w:val="118"/>
                </w:numPr>
                <w:tabs>
                  <w:tab w:val="clear" w:pos="1160"/>
                  <w:tab w:val="num" w:pos="420"/>
                  <w:tab w:val="left" w:pos="720"/>
                  <w:tab w:val="left" w:pos="993"/>
                </w:tabs>
                <w:spacing w:beforeLines="50" w:before="120" w:afterLines="50" w:after="120" w:line="360" w:lineRule="exact"/>
                <w:ind w:leftChars="200" w:left="972" w:hangingChars="251" w:hanging="552"/>
                <w:outlineLvl w:val="2"/>
                <w:rPr>
                  <w:rFonts w:cs="Times New Roman"/>
                  <w:sz w:val="22"/>
                  <w:szCs w:val="22"/>
                </w:rPr>
              </w:pPr>
              <w:r w:rsidRPr="00FB6D17">
                <w:rPr>
                  <w:rFonts w:cs="Times New Roman" w:hint="eastAsia"/>
                  <w:sz w:val="22"/>
                  <w:szCs w:val="22"/>
                </w:rPr>
                <w:t>税项</w:t>
              </w:r>
            </w:p>
            <w:tbl>
              <w:tblPr>
                <w:tblStyle w:val="g4"/>
                <w:tblW w:w="5000" w:type="pct"/>
                <w:tblBorders>
                  <w:top w:val="double" w:sz="4" w:space="0" w:color="auto"/>
                  <w:bottom w:val="double" w:sz="4" w:space="0" w:color="auto"/>
                  <w:insideH w:val="single" w:sz="2" w:space="0" w:color="auto"/>
                  <w:insideV w:val="single" w:sz="2" w:space="0" w:color="auto"/>
                </w:tblBorders>
                <w:tblLook w:val="0000" w:firstRow="0" w:lastRow="0" w:firstColumn="0" w:lastColumn="0" w:noHBand="0" w:noVBand="0"/>
              </w:tblPr>
              <w:tblGrid>
                <w:gridCol w:w="4260"/>
                <w:gridCol w:w="2287"/>
                <w:gridCol w:w="2286"/>
              </w:tblGrid>
              <w:tr w:rsidR="00471D53" w14:paraId="03E6814F" w14:textId="77777777" w:rsidTr="00471D53">
                <w:trPr>
                  <w:trHeight w:val="340"/>
                </w:trPr>
                <w:tc>
                  <w:tcPr>
                    <w:tcW w:w="2411" w:type="pct"/>
                    <w:vAlign w:val="center"/>
                  </w:tcPr>
                  <w:p w14:paraId="6277D80B" w14:textId="77777777" w:rsidR="00471D53" w:rsidRDefault="004F686E" w:rsidP="00471D53">
                    <w:pPr>
                      <w:jc w:val="both"/>
                      <w:rPr>
                        <w:b/>
                        <w:bCs/>
                        <w:sz w:val="22"/>
                        <w:szCs w:val="22"/>
                      </w:rPr>
                    </w:pPr>
                    <w:bookmarkStart w:id="286" w:name="_Hlk78889359"/>
                    <w:r>
                      <w:rPr>
                        <w:rFonts w:hint="eastAsia"/>
                        <w:b/>
                        <w:bCs/>
                        <w:sz w:val="22"/>
                        <w:szCs w:val="22"/>
                      </w:rPr>
                      <w:t>项目</w:t>
                    </w:r>
                  </w:p>
                </w:tc>
                <w:tc>
                  <w:tcPr>
                    <w:tcW w:w="1294" w:type="pct"/>
                    <w:vAlign w:val="center"/>
                  </w:tcPr>
                  <w:p w14:paraId="2AA7FAFC" w14:textId="77777777" w:rsidR="00471D53" w:rsidRDefault="004F686E" w:rsidP="00471D53">
                    <w:pPr>
                      <w:jc w:val="center"/>
                      <w:rPr>
                        <w:b/>
                        <w:bCs/>
                        <w:sz w:val="22"/>
                        <w:szCs w:val="22"/>
                      </w:rPr>
                    </w:pPr>
                    <w:r>
                      <w:rPr>
                        <w:rFonts w:hint="eastAsia"/>
                        <w:b/>
                        <w:bCs/>
                        <w:sz w:val="22"/>
                        <w:szCs w:val="22"/>
                      </w:rPr>
                      <w:t>本期金额</w:t>
                    </w:r>
                  </w:p>
                </w:tc>
                <w:tc>
                  <w:tcPr>
                    <w:tcW w:w="1294" w:type="pct"/>
                    <w:vAlign w:val="center"/>
                  </w:tcPr>
                  <w:p w14:paraId="095458FC" w14:textId="77777777" w:rsidR="00471D53" w:rsidRDefault="004F686E" w:rsidP="00471D53">
                    <w:pPr>
                      <w:jc w:val="center"/>
                      <w:rPr>
                        <w:b/>
                        <w:bCs/>
                        <w:sz w:val="22"/>
                        <w:szCs w:val="22"/>
                      </w:rPr>
                    </w:pPr>
                    <w:r>
                      <w:rPr>
                        <w:rFonts w:hint="eastAsia"/>
                        <w:b/>
                        <w:bCs/>
                        <w:sz w:val="22"/>
                        <w:szCs w:val="22"/>
                      </w:rPr>
                      <w:t>上期金额</w:t>
                    </w:r>
                  </w:p>
                </w:tc>
              </w:tr>
              <w:tr w:rsidR="00471D53" w14:paraId="4B2DA2A1" w14:textId="77777777" w:rsidTr="00471D53">
                <w:trPr>
                  <w:trHeight w:val="340"/>
                </w:trPr>
                <w:tc>
                  <w:tcPr>
                    <w:tcW w:w="2411" w:type="pct"/>
                    <w:vAlign w:val="center"/>
                  </w:tcPr>
                  <w:p w14:paraId="3CFB6B4C" w14:textId="77777777" w:rsidR="00471D53" w:rsidRDefault="004F686E" w:rsidP="00471D53">
                    <w:pPr>
                      <w:jc w:val="both"/>
                      <w:rPr>
                        <w:sz w:val="22"/>
                        <w:szCs w:val="22"/>
                      </w:rPr>
                    </w:pPr>
                    <w:r>
                      <w:rPr>
                        <w:rFonts w:hint="eastAsia"/>
                        <w:sz w:val="22"/>
                        <w:szCs w:val="22"/>
                      </w:rPr>
                      <w:t>当年企业所得税</w:t>
                    </w:r>
                  </w:p>
                </w:tc>
                <w:tc>
                  <w:tcPr>
                    <w:tcW w:w="1294" w:type="pct"/>
                    <w:vAlign w:val="center"/>
                  </w:tcPr>
                  <w:p w14:paraId="145013E9" w14:textId="77777777" w:rsidR="00471D53" w:rsidRDefault="004F686E" w:rsidP="00471D53">
                    <w:pPr>
                      <w:jc w:val="right"/>
                      <w:rPr>
                        <w:sz w:val="22"/>
                        <w:szCs w:val="22"/>
                      </w:rPr>
                    </w:pPr>
                    <w:r w:rsidRPr="00540F31">
                      <w:rPr>
                        <w:sz w:val="22"/>
                        <w:szCs w:val="22"/>
                      </w:rPr>
                      <w:t>1,616,001.45</w:t>
                    </w:r>
                  </w:p>
                </w:tc>
                <w:tc>
                  <w:tcPr>
                    <w:tcW w:w="1294" w:type="pct"/>
                    <w:vAlign w:val="center"/>
                  </w:tcPr>
                  <w:p w14:paraId="5F188831" w14:textId="77777777" w:rsidR="00471D53" w:rsidRDefault="004F686E" w:rsidP="00471D53">
                    <w:pPr>
                      <w:jc w:val="right"/>
                      <w:rPr>
                        <w:sz w:val="22"/>
                        <w:szCs w:val="22"/>
                      </w:rPr>
                    </w:pPr>
                    <w:r w:rsidRPr="002E2C92">
                      <w:rPr>
                        <w:sz w:val="22"/>
                        <w:szCs w:val="22"/>
                      </w:rPr>
                      <w:t>849,998.08</w:t>
                    </w:r>
                  </w:p>
                </w:tc>
              </w:tr>
              <w:tr w:rsidR="00471D53" w14:paraId="5B44ADDE" w14:textId="77777777" w:rsidTr="00471D53">
                <w:trPr>
                  <w:trHeight w:val="340"/>
                </w:trPr>
                <w:tc>
                  <w:tcPr>
                    <w:tcW w:w="2411" w:type="pct"/>
                    <w:vAlign w:val="center"/>
                  </w:tcPr>
                  <w:p w14:paraId="30C4EABB" w14:textId="77777777" w:rsidR="00471D53" w:rsidRDefault="004F686E" w:rsidP="00471D53">
                    <w:pPr>
                      <w:jc w:val="both"/>
                      <w:rPr>
                        <w:sz w:val="22"/>
                        <w:szCs w:val="22"/>
                      </w:rPr>
                    </w:pPr>
                    <w:r>
                      <w:rPr>
                        <w:rFonts w:hint="eastAsia"/>
                        <w:sz w:val="22"/>
                        <w:szCs w:val="22"/>
                      </w:rPr>
                      <w:t>递延所得税</w:t>
                    </w:r>
                  </w:p>
                </w:tc>
                <w:tc>
                  <w:tcPr>
                    <w:tcW w:w="1294" w:type="pct"/>
                    <w:vAlign w:val="center"/>
                  </w:tcPr>
                  <w:p w14:paraId="0D6DE586" w14:textId="77777777" w:rsidR="00471D53" w:rsidRDefault="004F686E" w:rsidP="00471D53">
                    <w:pPr>
                      <w:jc w:val="right"/>
                      <w:rPr>
                        <w:sz w:val="22"/>
                        <w:szCs w:val="22"/>
                      </w:rPr>
                    </w:pPr>
                    <w:r w:rsidRPr="00540F31">
                      <w:rPr>
                        <w:sz w:val="22"/>
                        <w:szCs w:val="22"/>
                      </w:rPr>
                      <w:t>232,836.29</w:t>
                    </w:r>
                  </w:p>
                </w:tc>
                <w:tc>
                  <w:tcPr>
                    <w:tcW w:w="1294" w:type="pct"/>
                    <w:vAlign w:val="center"/>
                  </w:tcPr>
                  <w:p w14:paraId="4C0AF423" w14:textId="77777777" w:rsidR="00471D53" w:rsidRDefault="004F686E" w:rsidP="00471D53">
                    <w:pPr>
                      <w:jc w:val="right"/>
                      <w:rPr>
                        <w:sz w:val="22"/>
                        <w:szCs w:val="22"/>
                      </w:rPr>
                    </w:pPr>
                    <w:r w:rsidRPr="002E2C92">
                      <w:rPr>
                        <w:sz w:val="22"/>
                        <w:szCs w:val="22"/>
                      </w:rPr>
                      <w:t>140,697.27</w:t>
                    </w:r>
                  </w:p>
                </w:tc>
              </w:tr>
              <w:tr w:rsidR="00471D53" w14:paraId="60ED5C2C" w14:textId="77777777" w:rsidTr="00471D53">
                <w:trPr>
                  <w:trHeight w:val="340"/>
                </w:trPr>
                <w:tc>
                  <w:tcPr>
                    <w:tcW w:w="2411" w:type="pct"/>
                    <w:vAlign w:val="center"/>
                  </w:tcPr>
                  <w:p w14:paraId="74CEFE9A" w14:textId="77777777" w:rsidR="00471D53" w:rsidRDefault="004F686E" w:rsidP="00471D53">
                    <w:pPr>
                      <w:jc w:val="both"/>
                      <w:rPr>
                        <w:b/>
                        <w:bCs/>
                        <w:sz w:val="22"/>
                        <w:szCs w:val="22"/>
                      </w:rPr>
                    </w:pPr>
                    <w:r>
                      <w:rPr>
                        <w:rFonts w:hint="eastAsia"/>
                        <w:b/>
                        <w:bCs/>
                        <w:sz w:val="22"/>
                        <w:szCs w:val="22"/>
                      </w:rPr>
                      <w:t>合计</w:t>
                    </w:r>
                  </w:p>
                </w:tc>
                <w:tc>
                  <w:tcPr>
                    <w:tcW w:w="1294" w:type="pct"/>
                    <w:vAlign w:val="center"/>
                  </w:tcPr>
                  <w:p w14:paraId="440A5BCC" w14:textId="77777777" w:rsidR="00471D53" w:rsidRDefault="004F686E" w:rsidP="00471D53">
                    <w:pPr>
                      <w:jc w:val="right"/>
                      <w:rPr>
                        <w:b/>
                        <w:bCs/>
                        <w:sz w:val="22"/>
                        <w:szCs w:val="22"/>
                      </w:rPr>
                    </w:pPr>
                    <w:r w:rsidRPr="00540F31">
                      <w:rPr>
                        <w:b/>
                        <w:bCs/>
                        <w:sz w:val="22"/>
                        <w:szCs w:val="22"/>
                      </w:rPr>
                      <w:t>1,848,837.74</w:t>
                    </w:r>
                  </w:p>
                </w:tc>
                <w:tc>
                  <w:tcPr>
                    <w:tcW w:w="1294" w:type="pct"/>
                    <w:vAlign w:val="center"/>
                  </w:tcPr>
                  <w:p w14:paraId="5C7072B4" w14:textId="77777777" w:rsidR="00471D53" w:rsidRDefault="004F686E" w:rsidP="00471D53">
                    <w:pPr>
                      <w:jc w:val="right"/>
                      <w:rPr>
                        <w:b/>
                        <w:sz w:val="22"/>
                        <w:szCs w:val="22"/>
                      </w:rPr>
                    </w:pPr>
                    <w:r w:rsidRPr="002E2C92">
                      <w:rPr>
                        <w:b/>
                        <w:sz w:val="22"/>
                        <w:szCs w:val="22"/>
                      </w:rPr>
                      <w:t>990,695.35</w:t>
                    </w:r>
                  </w:p>
                </w:tc>
              </w:tr>
            </w:tbl>
            <w:bookmarkEnd w:id="286"/>
            <w:p w14:paraId="0CF5FCB3" w14:textId="77777777" w:rsidR="00471D53" w:rsidRPr="00FB6D17" w:rsidRDefault="004F686E" w:rsidP="004F686E">
              <w:pPr>
                <w:numPr>
                  <w:ilvl w:val="0"/>
                  <w:numId w:val="118"/>
                </w:numPr>
                <w:tabs>
                  <w:tab w:val="clear" w:pos="1160"/>
                  <w:tab w:val="num" w:pos="420"/>
                  <w:tab w:val="left" w:pos="720"/>
                  <w:tab w:val="left" w:pos="993"/>
                </w:tabs>
                <w:spacing w:beforeLines="50" w:before="120" w:afterLines="50" w:after="120" w:line="360" w:lineRule="exact"/>
                <w:ind w:leftChars="200" w:left="972" w:hangingChars="251" w:hanging="552"/>
                <w:outlineLvl w:val="2"/>
                <w:rPr>
                  <w:rFonts w:cs="Times New Roman"/>
                  <w:sz w:val="22"/>
                  <w:szCs w:val="22"/>
                </w:rPr>
              </w:pPr>
              <w:r w:rsidRPr="00FB6D17">
                <w:rPr>
                  <w:rFonts w:cs="Times New Roman" w:hint="eastAsia"/>
                  <w:sz w:val="22"/>
                  <w:szCs w:val="22"/>
                </w:rPr>
                <w:t>股息</w:t>
              </w:r>
            </w:p>
            <w:p w14:paraId="53EC040B" w14:textId="77777777" w:rsidR="00471D53" w:rsidRDefault="004F686E" w:rsidP="00471D53">
              <w:pPr>
                <w:tabs>
                  <w:tab w:val="left" w:pos="900"/>
                  <w:tab w:val="left" w:pos="993"/>
                  <w:tab w:val="left" w:pos="1100"/>
                </w:tabs>
                <w:spacing w:beforeLines="50" w:before="120" w:afterLines="50" w:after="120" w:line="360" w:lineRule="exact"/>
                <w:ind w:firstLineChars="200" w:firstLine="440"/>
                <w:jc w:val="both"/>
                <w:rPr>
                  <w:sz w:val="22"/>
                  <w:szCs w:val="22"/>
                </w:rPr>
              </w:pPr>
              <w:r>
                <w:rPr>
                  <w:rFonts w:hint="eastAsia"/>
                  <w:sz w:val="22"/>
                  <w:szCs w:val="22"/>
                </w:rPr>
                <w:t>于2021年半年度中并无已付或已建议之股息由报告期间结束起并无建议任何股息（2020年半年度：无）。</w:t>
              </w:r>
            </w:p>
            <w:p w14:paraId="2063E97F" w14:textId="77777777" w:rsidR="00471D53" w:rsidRDefault="00B664AF">
              <w:pPr>
                <w:rPr>
                  <w:szCs w:val="21"/>
                </w:rPr>
              </w:pPr>
            </w:p>
          </w:sdtContent>
        </w:sdt>
      </w:sdtContent>
    </w:sdt>
    <w:p w14:paraId="4B49C908" w14:textId="77777777" w:rsidR="00471D53" w:rsidRDefault="00B664AF"/>
    <w:bookmarkStart w:id="287" w:name="_Hlk76135020" w:displacedByCustomXml="next"/>
    <w:sdt>
      <w:sdtPr>
        <w:rPr>
          <w:b/>
          <w:bCs/>
          <w:sz w:val="24"/>
        </w:rPr>
        <w:alias w:val="模块:落款"/>
        <w:tag w:val="_SEC_05b1791af4454108ad401bb8a64cf5c6"/>
        <w:id w:val="1281603329"/>
        <w:lock w:val="sdtLocked"/>
        <w:placeholder>
          <w:docPart w:val="GBC22222222222222222222222222222"/>
        </w:placeholder>
      </w:sdtPr>
      <w:sdtEndPr>
        <w:rPr>
          <w:b w:val="0"/>
          <w:bCs w:val="0"/>
          <w:sz w:val="21"/>
        </w:rPr>
      </w:sdtEndPr>
      <w:sdtContent>
        <w:p w14:paraId="68B222D4" w14:textId="77777777" w:rsidR="00471D53" w:rsidRDefault="00B664AF">
          <w:pPr>
            <w:spacing w:line="360" w:lineRule="exact"/>
            <w:ind w:right="5"/>
            <w:rPr>
              <w:b/>
              <w:bCs/>
              <w:sz w:val="24"/>
            </w:rPr>
          </w:pPr>
        </w:p>
        <w:p w14:paraId="14EF0093" w14:textId="69551A23" w:rsidR="00471D53" w:rsidRDefault="004F686E">
          <w:pPr>
            <w:wordWrap w:val="0"/>
            <w:spacing w:line="360" w:lineRule="exact"/>
            <w:jc w:val="right"/>
            <w:rPr>
              <w:u w:val="single"/>
            </w:rPr>
          </w:pPr>
          <w:r>
            <w:t>董事长：</w:t>
          </w:r>
          <w:sdt>
            <w:sdtPr>
              <w:alias w:val="报告发布人"/>
              <w:tag w:val="_GBC_f07cbb7287a94e798691f7fcb5112f49"/>
              <w:id w:val="756417107"/>
              <w:lock w:val="sdtLocked"/>
              <w:placeholder>
                <w:docPart w:val="GBC22222222222222222222222222222"/>
              </w:placeholder>
            </w:sdtPr>
            <w:sdtEndPr/>
            <w:sdtContent>
              <w:r>
                <w:rPr>
                  <w:rFonts w:hint="eastAsia"/>
                </w:rPr>
                <w:t>王军</w:t>
              </w:r>
            </w:sdtContent>
          </w:sdt>
          <w:r>
            <w:rPr>
              <w:rFonts w:hint="eastAsia"/>
            </w:rPr>
            <w:t xml:space="preserve"> </w:t>
          </w:r>
        </w:p>
        <w:p w14:paraId="257874C4" w14:textId="5C2ABDCC" w:rsidR="00471D53" w:rsidRDefault="004F686E">
          <w:pPr>
            <w:spacing w:line="360" w:lineRule="exact"/>
            <w:jc w:val="right"/>
          </w:pPr>
          <w:r>
            <w:t>董事会批准报送日期：</w:t>
          </w:r>
          <w:sdt>
            <w:sdtPr>
              <w:alias w:val="报告董事会批准报送日期"/>
              <w:tag w:val="_GBC_56d5d40e768a439aa604555fa2089c42"/>
              <w:id w:val="1839034657"/>
              <w:lock w:val="sdtLocked"/>
              <w:placeholder>
                <w:docPart w:val="GBC22222222222222222222222222222"/>
              </w:placeholder>
              <w:date w:fullDate="2021-08-11T00:00:00Z">
                <w:dateFormat w:val="yyyy'年'M'月'd'日'"/>
                <w:lid w:val="zh-CN"/>
                <w:storeMappedDataAs w:val="dateTime"/>
                <w:calendar w:val="gregorian"/>
              </w:date>
            </w:sdtPr>
            <w:sdtEndPr/>
            <w:sdtContent>
              <w:r>
                <w:rPr>
                  <w:rFonts w:hint="eastAsia"/>
                </w:rPr>
                <w:t>2021年8月11日</w:t>
              </w:r>
            </w:sdtContent>
          </w:sdt>
          <w:r>
            <w:rPr>
              <w:rFonts w:hint="eastAsia"/>
            </w:rPr>
            <w:t xml:space="preserve"> </w:t>
          </w:r>
        </w:p>
      </w:sdtContent>
    </w:sdt>
    <w:bookmarkEnd w:id="287" w:displacedByCustomXml="next"/>
    <w:sdt>
      <w:sdtPr>
        <w:rPr>
          <w:sz w:val="24"/>
        </w:rPr>
        <w:alias w:val="模块:修订信息 "/>
        <w:tag w:val="_GBC_e51b54728b2e4e53b95b0611d0df9b06"/>
        <w:id w:val="1693339373"/>
        <w:lock w:val="sdtLocked"/>
        <w:placeholder>
          <w:docPart w:val="GBC22222222222222222222222222222"/>
        </w:placeholder>
      </w:sdtPr>
      <w:sdtEndPr>
        <w:rPr>
          <w:sz w:val="21"/>
        </w:rPr>
      </w:sdtEndPr>
      <w:sdtContent>
        <w:p w14:paraId="513FEB5F" w14:textId="77777777" w:rsidR="00471D53" w:rsidRDefault="004F686E">
          <w:pPr>
            <w:spacing w:line="360" w:lineRule="exact"/>
            <w:ind w:right="5"/>
            <w:rPr>
              <w:b/>
              <w:sz w:val="24"/>
            </w:rPr>
          </w:pPr>
          <w:r>
            <w:rPr>
              <w:b/>
              <w:sz w:val="24"/>
            </w:rPr>
            <w:t>修订信息</w:t>
          </w:r>
        </w:p>
        <w:sdt>
          <w:sdtPr>
            <w:rPr>
              <w:b/>
              <w:bCs/>
            </w:rPr>
            <w:alias w:val="是否适用：修订信息表[双击切换]"/>
            <w:tag w:val="_GBC_77b96fad3b8a43478db82cf4cb9686be"/>
            <w:id w:val="-1812632684"/>
            <w:lock w:val="sdtLocked"/>
            <w:placeholder>
              <w:docPart w:val="GBC22222222222222222222222222222"/>
            </w:placeholder>
          </w:sdtPr>
          <w:sdtEndPr>
            <w:rPr>
              <w:b w:val="0"/>
            </w:rPr>
          </w:sdtEndPr>
          <w:sdtContent>
            <w:p w14:paraId="1C3575F4" w14:textId="77777777" w:rsidR="00471D53" w:rsidRDefault="004F686E" w:rsidP="006F2932">
              <w:r>
                <w:rPr>
                  <w:bCs/>
                </w:rPr>
                <w:fldChar w:fldCharType="begin"/>
              </w:r>
              <w:r>
                <w:rPr>
                  <w:bCs/>
                </w:rPr>
                <w:instrText xml:space="preserve"> MACROBUTTON  SnrToggleCheckbox □适用 </w:instrText>
              </w:r>
              <w:r>
                <w:rPr>
                  <w:bCs/>
                </w:rPr>
                <w:fldChar w:fldCharType="end"/>
              </w:r>
              <w:r>
                <w:rPr>
                  <w:bCs/>
                </w:rPr>
                <w:fldChar w:fldCharType="begin"/>
              </w:r>
              <w:r>
                <w:rPr>
                  <w:bCs/>
                </w:rPr>
                <w:instrText xml:space="preserve"> MACROBUTTON  SnrToggleCheckbox √不适用 </w:instrText>
              </w:r>
              <w:r>
                <w:rPr>
                  <w:bCs/>
                </w:rPr>
                <w:fldChar w:fldCharType="end"/>
              </w:r>
            </w:p>
          </w:sdtContent>
        </w:sdt>
      </w:sdtContent>
    </w:sdt>
    <w:sectPr w:rsidR="00471D53" w:rsidSect="008E732D">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9338F" w14:textId="77777777" w:rsidR="00B664AF" w:rsidRDefault="00B664AF" w:rsidP="00365E23">
      <w:r>
        <w:separator/>
      </w:r>
    </w:p>
  </w:endnote>
  <w:endnote w:type="continuationSeparator" w:id="0">
    <w:p w14:paraId="2149C075" w14:textId="77777777" w:rsidR="00B664AF" w:rsidRDefault="00B664AF" w:rsidP="0036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SimSun-Identity-H">
    <w:altName w:val="方正舒体"/>
    <w:panose1 w:val="00000000000000000000"/>
    <w:charset w:val="86"/>
    <w:family w:val="auto"/>
    <w:notTrueType/>
    <w:pitch w:val="default"/>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 w:name="MHei-Light-Identity-H">
    <w:altName w:val="MingLiU-ExtB"/>
    <w:charset w:val="88"/>
    <w:family w:val="auto"/>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408834"/>
      <w:docPartObj>
        <w:docPartGallery w:val="Page Numbers (Bottom of Page)"/>
        <w:docPartUnique/>
      </w:docPartObj>
    </w:sdtPr>
    <w:sdtEndPr/>
    <w:sdtContent>
      <w:sdt>
        <w:sdtPr>
          <w:id w:val="98381352"/>
          <w:docPartObj>
            <w:docPartGallery w:val="Page Numbers (Top of Page)"/>
            <w:docPartUnique/>
          </w:docPartObj>
        </w:sdtPr>
        <w:sdtEndPr/>
        <w:sdtContent>
          <w:p w14:paraId="3D9DA9AC" w14:textId="77777777" w:rsidR="007642C0" w:rsidRDefault="007642C0" w:rsidP="004860B6">
            <w:pPr>
              <w:pStyle w:val="af3"/>
              <w:jc w:val="center"/>
            </w:pPr>
            <w:r>
              <w:rPr>
                <w:b/>
                <w:bCs/>
                <w:sz w:val="24"/>
                <w:szCs w:val="24"/>
              </w:rPr>
              <w:fldChar w:fldCharType="begin"/>
            </w:r>
            <w:r>
              <w:rPr>
                <w:b/>
                <w:bCs/>
              </w:rPr>
              <w:instrText>PAGE</w:instrText>
            </w:r>
            <w:r>
              <w:rPr>
                <w:b/>
                <w:bCs/>
                <w:sz w:val="24"/>
                <w:szCs w:val="24"/>
              </w:rPr>
              <w:fldChar w:fldCharType="separate"/>
            </w:r>
            <w:r w:rsidR="002A5206">
              <w:rPr>
                <w:b/>
                <w:bCs/>
                <w:noProof/>
              </w:rPr>
              <w:t>34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A5206">
              <w:rPr>
                <w:b/>
                <w:bCs/>
                <w:noProof/>
              </w:rPr>
              <w:t>161</w:t>
            </w:r>
            <w:r>
              <w:rPr>
                <w:b/>
                <w:bCs/>
                <w:sz w:val="24"/>
                <w:szCs w:val="24"/>
              </w:rPr>
              <w:fldChar w:fldCharType="end"/>
            </w:r>
          </w:p>
        </w:sdtContent>
      </w:sdt>
    </w:sdtContent>
  </w:sdt>
  <w:p w14:paraId="648313B5" w14:textId="77777777" w:rsidR="007642C0" w:rsidRDefault="007642C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4B190" w14:textId="77777777" w:rsidR="00B664AF" w:rsidRDefault="00B664AF" w:rsidP="00365E23">
      <w:r>
        <w:separator/>
      </w:r>
    </w:p>
  </w:footnote>
  <w:footnote w:type="continuationSeparator" w:id="0">
    <w:p w14:paraId="48D05290" w14:textId="77777777" w:rsidR="00B664AF" w:rsidRDefault="00B664AF" w:rsidP="00365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77D19" w14:textId="5085CF93" w:rsidR="007642C0" w:rsidRPr="009B70CF" w:rsidRDefault="00525066" w:rsidP="004B4ABF">
    <w:pPr>
      <w:pStyle w:val="af1"/>
      <w:tabs>
        <w:tab w:val="clear" w:pos="8306"/>
        <w:tab w:val="left" w:pos="8364"/>
        <w:tab w:val="left" w:pos="8505"/>
      </w:tabs>
      <w:ind w:rightChars="10" w:right="21"/>
      <w:rPr>
        <w:b/>
      </w:rPr>
    </w:pPr>
    <w:r>
      <w:rPr>
        <w:rFonts w:hint="eastAsia"/>
      </w:rPr>
      <w:t>2021</w:t>
    </w:r>
    <w:r w:rsidR="007642C0">
      <w:rPr>
        <w:rFonts w:hint="eastAsia"/>
      </w:rPr>
      <w:t>年半年度报告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11C35CC"/>
    <w:multiLevelType w:val="multilevel"/>
    <w:tmpl w:val="DEDC3BB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1C7576E"/>
    <w:multiLevelType w:val="multilevel"/>
    <w:tmpl w:val="6EB0F5E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02633DB0"/>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364DD5"/>
    <w:multiLevelType w:val="hybridMultilevel"/>
    <w:tmpl w:val="FF5E6A46"/>
    <w:lvl w:ilvl="0" w:tplc="6F00D67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918050B"/>
    <w:multiLevelType w:val="multilevel"/>
    <w:tmpl w:val="F190D88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098731CB"/>
    <w:multiLevelType w:val="hybridMultilevel"/>
    <w:tmpl w:val="2C808348"/>
    <w:lvl w:ilvl="0" w:tplc="E758C39A">
      <w:start w:val="1"/>
      <w:numFmt w:val="decimal"/>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C345C04"/>
    <w:multiLevelType w:val="multilevel"/>
    <w:tmpl w:val="69C8693E"/>
    <w:lvl w:ilvl="0">
      <w:start w:val="1"/>
      <w:numFmt w:val="decimal"/>
      <w:lvlText w:val="（%1）"/>
      <w:lvlJc w:val="left"/>
      <w:pPr>
        <w:tabs>
          <w:tab w:val="num" w:pos="1160"/>
        </w:tabs>
        <w:ind w:left="116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DD43CBD"/>
    <w:multiLevelType w:val="multilevel"/>
    <w:tmpl w:val="8E200996"/>
    <w:lvl w:ilvl="0">
      <w:start w:val="1"/>
      <w:numFmt w:val="decimal"/>
      <w:lvlText w:val="(%1). "/>
      <w:lvlJc w:val="left"/>
      <w:pPr>
        <w:ind w:left="420" w:hanging="420"/>
      </w:pPr>
      <w:rPr>
        <w:rFonts w:ascii="宋体" w:eastAsia="宋体" w:hAnsi="宋体"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0FB258A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10314E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15:restartNumberingAfterBreak="0">
    <w:nsid w:val="104977C1"/>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2696DF7"/>
    <w:multiLevelType w:val="hybridMultilevel"/>
    <w:tmpl w:val="995A98E6"/>
    <w:lvl w:ilvl="0" w:tplc="3968BA26">
      <w:start w:val="1"/>
      <w:numFmt w:val="chineseCountingThousand"/>
      <w:suff w:val="space"/>
      <w:lvlText w:val="%1、"/>
      <w:lvlJc w:val="left"/>
      <w:pPr>
        <w:ind w:left="420" w:hanging="420"/>
      </w:pPr>
      <w:rPr>
        <w:rFonts w:hint="eastAsia"/>
      </w:rPr>
    </w:lvl>
    <w:lvl w:ilvl="1" w:tplc="508219B0">
      <w:start w:val="1"/>
      <w:numFmt w:val="decimal"/>
      <w:lvlText w:val="%2、"/>
      <w:lvlJc w:val="left"/>
      <w:pPr>
        <w:ind w:left="785"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2EC0EF1"/>
    <w:multiLevelType w:val="multilevel"/>
    <w:tmpl w:val="E3D05E8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15:restartNumberingAfterBreak="0">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169A565E"/>
    <w:multiLevelType w:val="multilevel"/>
    <w:tmpl w:val="CF940A96"/>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asciiTheme="minorEastAsia" w:eastAsiaTheme="minorEastAsia" w:hAnsiTheme="minorEastAsia" w:hint="eastAsia"/>
        <w:b/>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17316F2F"/>
    <w:multiLevelType w:val="multilevel"/>
    <w:tmpl w:val="24EE0C1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15:restartNumberingAfterBreak="0">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18A812F1"/>
    <w:multiLevelType w:val="multilevel"/>
    <w:tmpl w:val="31D4DE9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19B61093"/>
    <w:multiLevelType w:val="hybridMultilevel"/>
    <w:tmpl w:val="435EE116"/>
    <w:lvl w:ilvl="0" w:tplc="901299E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1F7158DD"/>
    <w:multiLevelType w:val="hybridMultilevel"/>
    <w:tmpl w:val="C77464A4"/>
    <w:lvl w:ilvl="0" w:tplc="78444E8E">
      <w:start w:val="1"/>
      <w:numFmt w:val="decimal"/>
      <w:lvlText w:val="(%1). "/>
      <w:lvlJc w:val="left"/>
      <w:pPr>
        <w:ind w:left="704"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1F9677B9"/>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6" w15:restartNumberingAfterBreak="0">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7" w15:restartNumberingAfterBreak="0">
    <w:nsid w:val="204F3B0A"/>
    <w:multiLevelType w:val="multilevel"/>
    <w:tmpl w:val="FCF8647E"/>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8" w15:restartNumberingAfterBreak="0">
    <w:nsid w:val="210161FC"/>
    <w:multiLevelType w:val="multilevel"/>
    <w:tmpl w:val="210161FC"/>
    <w:lvl w:ilvl="0">
      <w:start w:val="1"/>
      <w:numFmt w:val="decimal"/>
      <w:lvlText w:val="（%1）"/>
      <w:lvlJc w:val="left"/>
      <w:pPr>
        <w:ind w:left="1160" w:hanging="360"/>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29" w15:restartNumberingAfterBreak="0">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21516057"/>
    <w:multiLevelType w:val="multilevel"/>
    <w:tmpl w:val="73C0F85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21F9086D"/>
    <w:multiLevelType w:val="multilevel"/>
    <w:tmpl w:val="EE9EE08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2" w15:restartNumberingAfterBreak="0">
    <w:nsid w:val="2AB9492A"/>
    <w:multiLevelType w:val="multilevel"/>
    <w:tmpl w:val="08C25BD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3" w15:restartNumberingAfterBreak="0">
    <w:nsid w:val="2ABA5091"/>
    <w:multiLevelType w:val="hybridMultilevel"/>
    <w:tmpl w:val="B9847490"/>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15:restartNumberingAfterBreak="0">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2D223BC3"/>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15:restartNumberingAfterBreak="0">
    <w:nsid w:val="2E827FC5"/>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15:restartNumberingAfterBreak="0">
    <w:nsid w:val="2F300F94"/>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0" w15:restartNumberingAfterBreak="0">
    <w:nsid w:val="30712312"/>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15:restartNumberingAfterBreak="0">
    <w:nsid w:val="321F7C35"/>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2" w15:restartNumberingAfterBreak="0">
    <w:nsid w:val="333C38BB"/>
    <w:multiLevelType w:val="multilevel"/>
    <w:tmpl w:val="E6280CB8"/>
    <w:lvl w:ilvl="0">
      <w:start w:val="1"/>
      <w:numFmt w:val="decimal"/>
      <w:lvlText w:val="(%1)"/>
      <w:lvlJc w:val="left"/>
      <w:pPr>
        <w:ind w:left="425" w:hanging="425"/>
      </w:pPr>
      <w:rPr>
        <w:rFonts w:ascii="宋体" w:eastAsia="宋体" w:hAnsi="宋体"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15:restartNumberingAfterBreak="0">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4" w15:restartNumberingAfterBreak="0">
    <w:nsid w:val="352D39A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356C3B2A"/>
    <w:multiLevelType w:val="hybridMultilevel"/>
    <w:tmpl w:val="CD7CCBFE"/>
    <w:lvl w:ilvl="0" w:tplc="66AC3F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360D5FF2"/>
    <w:multiLevelType w:val="multilevel"/>
    <w:tmpl w:val="53E71845"/>
    <w:lvl w:ilvl="0">
      <w:start w:val="1"/>
      <w:numFmt w:val="decimal"/>
      <w:lvlText w:val="%1."/>
      <w:lvlJc w:val="left"/>
      <w:pPr>
        <w:ind w:left="786" w:hanging="360"/>
      </w:pPr>
      <w:rPr>
        <w:rFonts w:hint="default"/>
        <w:b w:val="0"/>
        <w:i w:val="0"/>
        <w:color w:val="auto"/>
        <w:sz w:val="22"/>
        <w:szCs w:val="22"/>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47" w15:restartNumberingAfterBreak="0">
    <w:nsid w:val="36214AF8"/>
    <w:multiLevelType w:val="multilevel"/>
    <w:tmpl w:val="8DACA4D8"/>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8" w15:restartNumberingAfterBreak="0">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383D41D3"/>
    <w:multiLevelType w:val="multilevel"/>
    <w:tmpl w:val="5150CC88"/>
    <w:lvl w:ilvl="0">
      <w:start w:val="1"/>
      <w:numFmt w:val="decimal"/>
      <w:lvlText w:val="(%1). "/>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0" w15:restartNumberingAfterBreak="0">
    <w:nsid w:val="39FE17DC"/>
    <w:multiLevelType w:val="multilevel"/>
    <w:tmpl w:val="565546F2"/>
    <w:lvl w:ilvl="0">
      <w:start w:val="1"/>
      <w:numFmt w:val="decimal"/>
      <w:lvlText w:val="%1."/>
      <w:lvlJc w:val="left"/>
      <w:pPr>
        <w:tabs>
          <w:tab w:val="num" w:pos="928"/>
        </w:tabs>
        <w:ind w:left="928" w:hanging="360"/>
      </w:pPr>
      <w:rPr>
        <w:rFonts w:hint="default"/>
        <w:color w:val="auto"/>
      </w:rPr>
    </w:lvl>
    <w:lvl w:ilvl="1">
      <w:start w:val="1"/>
      <w:numFmt w:val="decimal"/>
      <w:lvlText w:val="（%2）"/>
      <w:lvlJc w:val="left"/>
      <w:pPr>
        <w:tabs>
          <w:tab w:val="num" w:pos="1430"/>
        </w:tabs>
        <w:ind w:left="1130" w:hanging="420"/>
      </w:pPr>
      <w:rPr>
        <w:rFonts w:hint="default"/>
      </w:rPr>
    </w:lvl>
    <w:lvl w:ilvl="2">
      <w:start w:val="1"/>
      <w:numFmt w:val="decimal"/>
      <w:lvlText w:val="（%3）"/>
      <w:lvlJc w:val="left"/>
      <w:pPr>
        <w:tabs>
          <w:tab w:val="num" w:pos="1980"/>
        </w:tabs>
        <w:ind w:left="1980" w:hanging="720"/>
      </w:pPr>
      <w:rPr>
        <w:rFonts w:hint="default"/>
      </w:rPr>
    </w:lvl>
    <w:lvl w:ilvl="3">
      <w:start w:val="1"/>
      <w:numFmt w:val="decimal"/>
      <w:lvlText w:val="%4）"/>
      <w:lvlJc w:val="left"/>
      <w:pPr>
        <w:tabs>
          <w:tab w:val="num" w:pos="2040"/>
        </w:tabs>
        <w:ind w:left="2040" w:hanging="360"/>
      </w:pPr>
      <w:rPr>
        <w:rFonts w:hint="default"/>
      </w:r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1" w15:restartNumberingAfterBreak="0">
    <w:nsid w:val="3A1A29EC"/>
    <w:multiLevelType w:val="multilevel"/>
    <w:tmpl w:val="69C8693E"/>
    <w:lvl w:ilvl="0">
      <w:start w:val="1"/>
      <w:numFmt w:val="decimal"/>
      <w:lvlText w:val="（%1）"/>
      <w:lvlJc w:val="left"/>
      <w:pPr>
        <w:tabs>
          <w:tab w:val="num" w:pos="1160"/>
        </w:tabs>
        <w:ind w:left="116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3D2B6D0A"/>
    <w:multiLevelType w:val="hybridMultilevel"/>
    <w:tmpl w:val="45F663C8"/>
    <w:lvl w:ilvl="0" w:tplc="6254A2C6">
      <w:start w:val="1"/>
      <w:numFmt w:val="chineseCountingThousand"/>
      <w:lvlText w:val="(%1)"/>
      <w:lvlJc w:val="left"/>
      <w:pPr>
        <w:ind w:left="420" w:hanging="420"/>
      </w:pPr>
      <w:rPr>
        <w:rFonts w:asciiTheme="minorHAnsi" w:hAnsiTheme="minorHAnsi" w:hint="default"/>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3DC039A2"/>
    <w:multiLevelType w:val="multilevel"/>
    <w:tmpl w:val="8B34E52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5" w15:restartNumberingAfterBreak="0">
    <w:nsid w:val="3E9941EA"/>
    <w:multiLevelType w:val="hybridMultilevel"/>
    <w:tmpl w:val="029C6152"/>
    <w:lvl w:ilvl="0" w:tplc="38A0B97E">
      <w:start w:val="1"/>
      <w:numFmt w:val="decimal"/>
      <w:lvlText w:val="(%1). "/>
      <w:lvlJc w:val="left"/>
      <w:pPr>
        <w:ind w:left="84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7" w15:restartNumberingAfterBreak="0">
    <w:nsid w:val="41EC2B85"/>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8" w15:restartNumberingAfterBreak="0">
    <w:nsid w:val="42F33200"/>
    <w:multiLevelType w:val="hybridMultilevel"/>
    <w:tmpl w:val="D65413B2"/>
    <w:lvl w:ilvl="0" w:tplc="8856C7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448C6887"/>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0" w15:restartNumberingAfterBreak="0">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1" w15:restartNumberingAfterBreak="0">
    <w:nsid w:val="47281F38"/>
    <w:multiLevelType w:val="multilevel"/>
    <w:tmpl w:val="69C8693E"/>
    <w:lvl w:ilvl="0">
      <w:start w:val="1"/>
      <w:numFmt w:val="decimal"/>
      <w:lvlText w:val="（%1）"/>
      <w:lvlJc w:val="left"/>
      <w:pPr>
        <w:tabs>
          <w:tab w:val="num" w:pos="1160"/>
        </w:tabs>
        <w:ind w:left="116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4802360A"/>
    <w:multiLevelType w:val="hybridMultilevel"/>
    <w:tmpl w:val="D8FA833A"/>
    <w:lvl w:ilvl="0" w:tplc="0EAAE620">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494A67C2"/>
    <w:multiLevelType w:val="multilevel"/>
    <w:tmpl w:val="494A67C2"/>
    <w:lvl w:ilvl="0">
      <w:start w:val="1"/>
      <w:numFmt w:val="decimal"/>
      <w:lvlText w:val="%1）"/>
      <w:lvlJc w:val="left"/>
      <w:pPr>
        <w:tabs>
          <w:tab w:val="num" w:pos="2355"/>
        </w:tabs>
        <w:ind w:left="2355" w:hanging="10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15:restartNumberingAfterBreak="0">
    <w:nsid w:val="4AC23DB8"/>
    <w:multiLevelType w:val="hybridMultilevel"/>
    <w:tmpl w:val="CD8E71FC"/>
    <w:lvl w:ilvl="0" w:tplc="958239C6">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4AF02474"/>
    <w:multiLevelType w:val="multilevel"/>
    <w:tmpl w:val="069E29E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6" w15:restartNumberingAfterBreak="0">
    <w:nsid w:val="4B7E742A"/>
    <w:multiLevelType w:val="multilevel"/>
    <w:tmpl w:val="4B7E742A"/>
    <w:lvl w:ilvl="0">
      <w:start w:val="1"/>
      <w:numFmt w:val="decimal"/>
      <w:lvlText w:val="%1）"/>
      <w:lvlJc w:val="left"/>
      <w:pPr>
        <w:tabs>
          <w:tab w:val="num" w:pos="2355"/>
        </w:tabs>
        <w:ind w:left="2355" w:hanging="10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8" w15:restartNumberingAfterBreak="0">
    <w:nsid w:val="4B9423DA"/>
    <w:multiLevelType w:val="hybridMultilevel"/>
    <w:tmpl w:val="2362B7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4D5D3C22"/>
    <w:multiLevelType w:val="hybridMultilevel"/>
    <w:tmpl w:val="AFE0D34A"/>
    <w:lvl w:ilvl="0" w:tplc="790E8D46">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4EAF4C3A"/>
    <w:multiLevelType w:val="multilevel"/>
    <w:tmpl w:val="E4120AC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1" w15:restartNumberingAfterBreak="0">
    <w:nsid w:val="50C90706"/>
    <w:multiLevelType w:val="multilevel"/>
    <w:tmpl w:val="69C8693E"/>
    <w:lvl w:ilvl="0">
      <w:start w:val="1"/>
      <w:numFmt w:val="decimal"/>
      <w:lvlText w:val="（%1）"/>
      <w:lvlJc w:val="left"/>
      <w:pPr>
        <w:tabs>
          <w:tab w:val="num" w:pos="1160"/>
        </w:tabs>
        <w:ind w:left="116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15:restartNumberingAfterBreak="0">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3" w15:restartNumberingAfterBreak="0">
    <w:nsid w:val="51265863"/>
    <w:multiLevelType w:val="hybridMultilevel"/>
    <w:tmpl w:val="26F4BAD6"/>
    <w:lvl w:ilvl="0" w:tplc="965271B8">
      <w:start w:val="1"/>
      <w:numFmt w:val="chineseCountingThousand"/>
      <w:suff w:val="space"/>
      <w:lvlText w:val="(%1)"/>
      <w:lvlJc w:val="left"/>
      <w:pPr>
        <w:ind w:left="420" w:hanging="420"/>
      </w:pPr>
      <w:rPr>
        <w:rFonts w:hint="eastAsia"/>
      </w:r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15:restartNumberingAfterBreak="0">
    <w:nsid w:val="5141766E"/>
    <w:multiLevelType w:val="multilevel"/>
    <w:tmpl w:val="161EC24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5" w15:restartNumberingAfterBreak="0">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6" w15:restartNumberingAfterBreak="0">
    <w:nsid w:val="54B577AB"/>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7"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8" w15:restartNumberingAfterBreak="0">
    <w:nsid w:val="573E1F07"/>
    <w:multiLevelType w:val="hybridMultilevel"/>
    <w:tmpl w:val="F1D8ACAC"/>
    <w:lvl w:ilvl="0" w:tplc="CFCC539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15:restartNumberingAfterBreak="0">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0" w15:restartNumberingAfterBreak="0">
    <w:nsid w:val="58433A16"/>
    <w:multiLevelType w:val="multilevel"/>
    <w:tmpl w:val="A2541E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1" w15:restartNumberingAfterBreak="0">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2" w15:restartNumberingAfterBreak="0">
    <w:nsid w:val="5C673432"/>
    <w:multiLevelType w:val="multilevel"/>
    <w:tmpl w:val="045EE5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3" w15:restartNumberingAfterBreak="0">
    <w:nsid w:val="5D7B027D"/>
    <w:multiLevelType w:val="hybridMultilevel"/>
    <w:tmpl w:val="785CDC26"/>
    <w:lvl w:ilvl="0" w:tplc="A8AA306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4" w15:restartNumberingAfterBreak="0">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5" w15:restartNumberingAfterBreak="0">
    <w:nsid w:val="63C25BDC"/>
    <w:multiLevelType w:val="multilevel"/>
    <w:tmpl w:val="C0921B8A"/>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6" w15:restartNumberingAfterBreak="0">
    <w:nsid w:val="6505491D"/>
    <w:multiLevelType w:val="multilevel"/>
    <w:tmpl w:val="6D8E811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7" w15:restartNumberingAfterBreak="0">
    <w:nsid w:val="66CA16A7"/>
    <w:multiLevelType w:val="multilevel"/>
    <w:tmpl w:val="D168314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8" w15:restartNumberingAfterBreak="0">
    <w:nsid w:val="694D0F71"/>
    <w:multiLevelType w:val="hybridMultilevel"/>
    <w:tmpl w:val="91305CFA"/>
    <w:lvl w:ilvl="0" w:tplc="F16E98CE">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9" w15:restartNumberingAfterBreak="0">
    <w:nsid w:val="69BA4BB7"/>
    <w:multiLevelType w:val="hybridMultilevel"/>
    <w:tmpl w:val="9C7A82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15:restartNumberingAfterBreak="0">
    <w:nsid w:val="69C8693E"/>
    <w:multiLevelType w:val="multilevel"/>
    <w:tmpl w:val="69C8693E"/>
    <w:lvl w:ilvl="0">
      <w:start w:val="1"/>
      <w:numFmt w:val="decimal"/>
      <w:lvlText w:val="（%1）"/>
      <w:lvlJc w:val="left"/>
      <w:pPr>
        <w:tabs>
          <w:tab w:val="num" w:pos="862"/>
        </w:tabs>
        <w:ind w:left="862" w:hanging="720"/>
      </w:pPr>
      <w:rPr>
        <w:rFonts w:hint="default"/>
      </w:rPr>
    </w:lvl>
    <w:lvl w:ilvl="1">
      <w:start w:val="1"/>
      <w:numFmt w:val="lowerLetter"/>
      <w:lvlText w:val="%2)"/>
      <w:lvlJc w:val="left"/>
      <w:pPr>
        <w:ind w:left="542" w:hanging="420"/>
      </w:pPr>
    </w:lvl>
    <w:lvl w:ilvl="2">
      <w:start w:val="1"/>
      <w:numFmt w:val="lowerRoman"/>
      <w:lvlText w:val="%3."/>
      <w:lvlJc w:val="right"/>
      <w:pPr>
        <w:ind w:left="962" w:hanging="420"/>
      </w:pPr>
    </w:lvl>
    <w:lvl w:ilvl="3">
      <w:start w:val="1"/>
      <w:numFmt w:val="decimal"/>
      <w:lvlText w:val="%4."/>
      <w:lvlJc w:val="left"/>
      <w:pPr>
        <w:ind w:left="1382" w:hanging="420"/>
      </w:pPr>
    </w:lvl>
    <w:lvl w:ilvl="4">
      <w:start w:val="1"/>
      <w:numFmt w:val="lowerLetter"/>
      <w:lvlText w:val="%5)"/>
      <w:lvlJc w:val="left"/>
      <w:pPr>
        <w:ind w:left="1802" w:hanging="420"/>
      </w:pPr>
    </w:lvl>
    <w:lvl w:ilvl="5">
      <w:start w:val="1"/>
      <w:numFmt w:val="lowerRoman"/>
      <w:lvlText w:val="%6."/>
      <w:lvlJc w:val="right"/>
      <w:pPr>
        <w:ind w:left="2222" w:hanging="420"/>
      </w:pPr>
    </w:lvl>
    <w:lvl w:ilvl="6">
      <w:start w:val="1"/>
      <w:numFmt w:val="decimal"/>
      <w:lvlText w:val="%7."/>
      <w:lvlJc w:val="left"/>
      <w:pPr>
        <w:ind w:left="2642" w:hanging="420"/>
      </w:pPr>
    </w:lvl>
    <w:lvl w:ilvl="7">
      <w:start w:val="1"/>
      <w:numFmt w:val="lowerLetter"/>
      <w:lvlText w:val="%8)"/>
      <w:lvlJc w:val="left"/>
      <w:pPr>
        <w:ind w:left="3062" w:hanging="420"/>
      </w:pPr>
    </w:lvl>
    <w:lvl w:ilvl="8">
      <w:start w:val="1"/>
      <w:numFmt w:val="lowerRoman"/>
      <w:lvlText w:val="%9."/>
      <w:lvlJc w:val="right"/>
      <w:pPr>
        <w:ind w:left="3482" w:hanging="420"/>
      </w:pPr>
    </w:lvl>
  </w:abstractNum>
  <w:abstractNum w:abstractNumId="91" w15:restartNumberingAfterBreak="0">
    <w:nsid w:val="6D7319EB"/>
    <w:multiLevelType w:val="multilevel"/>
    <w:tmpl w:val="1C5E9A2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2" w15:restartNumberingAfterBreak="0">
    <w:nsid w:val="6E225922"/>
    <w:multiLevelType w:val="multilevel"/>
    <w:tmpl w:val="45C4E1E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3" w15:restartNumberingAfterBreak="0">
    <w:nsid w:val="6ED94627"/>
    <w:multiLevelType w:val="multilevel"/>
    <w:tmpl w:val="6ED9462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4" w15:restartNumberingAfterBreak="0">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5" w15:restartNumberingAfterBreak="0">
    <w:nsid w:val="701D5786"/>
    <w:multiLevelType w:val="multilevel"/>
    <w:tmpl w:val="166CA36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6" w15:restartNumberingAfterBreak="0">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7" w15:restartNumberingAfterBreak="0">
    <w:nsid w:val="72487AEF"/>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8" w15:restartNumberingAfterBreak="0">
    <w:nsid w:val="728231A6"/>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9" w15:restartNumberingAfterBreak="0">
    <w:nsid w:val="739563DA"/>
    <w:multiLevelType w:val="multilevel"/>
    <w:tmpl w:val="2F16B79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0" w15:restartNumberingAfterBreak="0">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1" w15:restartNumberingAfterBreak="0">
    <w:nsid w:val="750508FB"/>
    <w:multiLevelType w:val="multilevel"/>
    <w:tmpl w:val="2DAA47B6"/>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2" w15:restartNumberingAfterBreak="0">
    <w:nsid w:val="75482B44"/>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3" w15:restartNumberingAfterBreak="0">
    <w:nsid w:val="75824A81"/>
    <w:multiLevelType w:val="multilevel"/>
    <w:tmpl w:val="75824A81"/>
    <w:lvl w:ilvl="0">
      <w:start w:val="1"/>
      <w:numFmt w:val="decimal"/>
      <w:lvlText w:val="%1．"/>
      <w:lvlJc w:val="left"/>
      <w:pPr>
        <w:tabs>
          <w:tab w:val="num" w:pos="1170"/>
        </w:tabs>
        <w:ind w:left="1170" w:hanging="720"/>
      </w:pPr>
      <w:rPr>
        <w:rFonts w:hint="default"/>
      </w:rPr>
    </w:lvl>
    <w:lvl w:ilvl="1">
      <w:start w:val="1"/>
      <w:numFmt w:val="decimal"/>
      <w:lvlText w:val="%2."/>
      <w:lvlJc w:val="left"/>
      <w:pPr>
        <w:tabs>
          <w:tab w:val="num" w:pos="1290"/>
        </w:tabs>
        <w:ind w:left="1290" w:hanging="420"/>
      </w:pPr>
      <w:rPr>
        <w:rFonts w:eastAsia="宋体" w:hint="eastAsia"/>
        <w:sz w:val="22"/>
      </w:rPr>
    </w:lvl>
    <w:lvl w:ilvl="2">
      <w:start w:val="1"/>
      <w:numFmt w:val="lowerRoman"/>
      <w:lvlText w:val="%3."/>
      <w:lvlJc w:val="right"/>
      <w:pPr>
        <w:tabs>
          <w:tab w:val="num" w:pos="1710"/>
        </w:tabs>
        <w:ind w:left="1710" w:hanging="420"/>
      </w:pPr>
      <w:rPr>
        <w:rFonts w:hint="eastAsia"/>
      </w:rPr>
    </w:lvl>
    <w:lvl w:ilvl="3">
      <w:start w:val="1"/>
      <w:numFmt w:val="decimal"/>
      <w:lvlText w:val="%4."/>
      <w:lvlJc w:val="left"/>
      <w:pPr>
        <w:tabs>
          <w:tab w:val="num" w:pos="2130"/>
        </w:tabs>
        <w:ind w:left="2130" w:hanging="420"/>
      </w:pPr>
      <w:rPr>
        <w:rFonts w:hint="eastAsia"/>
      </w:rPr>
    </w:lvl>
    <w:lvl w:ilvl="4">
      <w:start w:val="1"/>
      <w:numFmt w:val="lowerLetter"/>
      <w:lvlText w:val="%5)"/>
      <w:lvlJc w:val="left"/>
      <w:pPr>
        <w:tabs>
          <w:tab w:val="num" w:pos="2550"/>
        </w:tabs>
        <w:ind w:left="2550" w:hanging="420"/>
      </w:pPr>
      <w:rPr>
        <w:rFonts w:hint="eastAsia"/>
      </w:rPr>
    </w:lvl>
    <w:lvl w:ilvl="5">
      <w:start w:val="1"/>
      <w:numFmt w:val="lowerRoman"/>
      <w:lvlText w:val="%6."/>
      <w:lvlJc w:val="right"/>
      <w:pPr>
        <w:tabs>
          <w:tab w:val="num" w:pos="2970"/>
        </w:tabs>
        <w:ind w:left="2970" w:hanging="420"/>
      </w:pPr>
      <w:rPr>
        <w:rFonts w:hint="eastAsia"/>
      </w:rPr>
    </w:lvl>
    <w:lvl w:ilvl="6">
      <w:start w:val="1"/>
      <w:numFmt w:val="decimal"/>
      <w:lvlText w:val="%7."/>
      <w:lvlJc w:val="left"/>
      <w:pPr>
        <w:tabs>
          <w:tab w:val="num" w:pos="3390"/>
        </w:tabs>
        <w:ind w:left="3390" w:hanging="420"/>
      </w:pPr>
      <w:rPr>
        <w:rFonts w:hint="eastAsia"/>
      </w:rPr>
    </w:lvl>
    <w:lvl w:ilvl="7">
      <w:start w:val="1"/>
      <w:numFmt w:val="lowerLetter"/>
      <w:lvlText w:val="%8)"/>
      <w:lvlJc w:val="left"/>
      <w:pPr>
        <w:tabs>
          <w:tab w:val="num" w:pos="3810"/>
        </w:tabs>
        <w:ind w:left="3810" w:hanging="420"/>
      </w:pPr>
      <w:rPr>
        <w:rFonts w:hint="eastAsia"/>
      </w:rPr>
    </w:lvl>
    <w:lvl w:ilvl="8">
      <w:start w:val="1"/>
      <w:numFmt w:val="lowerRoman"/>
      <w:lvlText w:val="%9."/>
      <w:lvlJc w:val="right"/>
      <w:pPr>
        <w:tabs>
          <w:tab w:val="num" w:pos="4230"/>
        </w:tabs>
        <w:ind w:left="4230" w:hanging="420"/>
      </w:pPr>
      <w:rPr>
        <w:rFonts w:hint="eastAsia"/>
      </w:rPr>
    </w:lvl>
  </w:abstractNum>
  <w:abstractNum w:abstractNumId="104" w15:restartNumberingAfterBreak="0">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5" w15:restartNumberingAfterBreak="0">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6" w15:restartNumberingAfterBreak="0">
    <w:nsid w:val="77194021"/>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7" w15:restartNumberingAfterBreak="0">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8" w15:restartNumberingAfterBreak="0">
    <w:nsid w:val="7A6140D4"/>
    <w:multiLevelType w:val="multilevel"/>
    <w:tmpl w:val="43A4806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9" w15:restartNumberingAfterBreak="0">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0" w15:restartNumberingAfterBreak="0">
    <w:nsid w:val="7B606A2D"/>
    <w:multiLevelType w:val="multilevel"/>
    <w:tmpl w:val="E50A3D26"/>
    <w:lvl w:ilvl="0">
      <w:start w:val="1"/>
      <w:numFmt w:val="decimal"/>
      <w:lvlText w:val="(%1). "/>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1" w15:restartNumberingAfterBreak="0">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2" w15:restartNumberingAfterBreak="0">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3" w15:restartNumberingAfterBreak="0">
    <w:nsid w:val="7E7E7E18"/>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4" w15:restartNumberingAfterBreak="0">
    <w:nsid w:val="7FCC199E"/>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48"/>
  </w:num>
  <w:num w:numId="2">
    <w:abstractNumId w:val="77"/>
  </w:num>
  <w:num w:numId="3">
    <w:abstractNumId w:val="23"/>
  </w:num>
  <w:num w:numId="4">
    <w:abstractNumId w:val="14"/>
  </w:num>
  <w:num w:numId="5">
    <w:abstractNumId w:val="27"/>
  </w:num>
  <w:num w:numId="6">
    <w:abstractNumId w:val="12"/>
  </w:num>
  <w:num w:numId="7">
    <w:abstractNumId w:val="14"/>
  </w:num>
  <w:num w:numId="8">
    <w:abstractNumId w:val="52"/>
  </w:num>
  <w:num w:numId="9">
    <w:abstractNumId w:val="17"/>
  </w:num>
  <w:num w:numId="10">
    <w:abstractNumId w:val="22"/>
  </w:num>
  <w:num w:numId="11">
    <w:abstractNumId w:val="98"/>
  </w:num>
  <w:num w:numId="12">
    <w:abstractNumId w:val="68"/>
  </w:num>
  <w:num w:numId="13">
    <w:abstractNumId w:val="3"/>
  </w:num>
  <w:num w:numId="14">
    <w:abstractNumId w:val="78"/>
  </w:num>
  <w:num w:numId="15">
    <w:abstractNumId w:val="97"/>
  </w:num>
  <w:num w:numId="16">
    <w:abstractNumId w:val="32"/>
  </w:num>
  <w:num w:numId="17">
    <w:abstractNumId w:val="89"/>
  </w:num>
  <w:num w:numId="18">
    <w:abstractNumId w:val="4"/>
  </w:num>
  <w:num w:numId="19">
    <w:abstractNumId w:val="37"/>
  </w:num>
  <w:num w:numId="20">
    <w:abstractNumId w:val="83"/>
  </w:num>
  <w:num w:numId="21">
    <w:abstractNumId w:val="26"/>
  </w:num>
  <w:num w:numId="22">
    <w:abstractNumId w:val="88"/>
  </w:num>
  <w:num w:numId="23">
    <w:abstractNumId w:val="27"/>
  </w:num>
  <w:num w:numId="24">
    <w:abstractNumId w:val="60"/>
  </w:num>
  <w:num w:numId="25">
    <w:abstractNumId w:val="109"/>
  </w:num>
  <w:num w:numId="26">
    <w:abstractNumId w:val="75"/>
  </w:num>
  <w:num w:numId="27">
    <w:abstractNumId w:val="53"/>
  </w:num>
  <w:num w:numId="28">
    <w:abstractNumId w:val="64"/>
  </w:num>
  <w:num w:numId="29">
    <w:abstractNumId w:val="33"/>
  </w:num>
  <w:num w:numId="30">
    <w:abstractNumId w:val="96"/>
  </w:num>
  <w:num w:numId="31">
    <w:abstractNumId w:val="82"/>
  </w:num>
  <w:num w:numId="32">
    <w:abstractNumId w:val="16"/>
  </w:num>
  <w:num w:numId="33">
    <w:abstractNumId w:val="31"/>
  </w:num>
  <w:num w:numId="34">
    <w:abstractNumId w:val="21"/>
  </w:num>
  <w:num w:numId="35">
    <w:abstractNumId w:val="105"/>
  </w:num>
  <w:num w:numId="36">
    <w:abstractNumId w:val="90"/>
  </w:num>
  <w:num w:numId="37">
    <w:abstractNumId w:val="103"/>
  </w:num>
  <w:num w:numId="38">
    <w:abstractNumId w:val="58"/>
  </w:num>
  <w:num w:numId="39">
    <w:abstractNumId w:val="54"/>
  </w:num>
  <w:num w:numId="40">
    <w:abstractNumId w:val="2"/>
  </w:num>
  <w:num w:numId="41">
    <w:abstractNumId w:val="2"/>
  </w:num>
  <w:num w:numId="42">
    <w:abstractNumId w:val="63"/>
  </w:num>
  <w:num w:numId="43">
    <w:abstractNumId w:val="66"/>
  </w:num>
  <w:num w:numId="44">
    <w:abstractNumId w:val="2"/>
  </w:num>
  <w:num w:numId="45">
    <w:abstractNumId w:val="76"/>
  </w:num>
  <w:num w:numId="46">
    <w:abstractNumId w:val="40"/>
  </w:num>
  <w:num w:numId="47">
    <w:abstractNumId w:val="29"/>
  </w:num>
  <w:num w:numId="48">
    <w:abstractNumId w:val="94"/>
  </w:num>
  <w:num w:numId="49">
    <w:abstractNumId w:val="5"/>
  </w:num>
  <w:num w:numId="50">
    <w:abstractNumId w:val="25"/>
  </w:num>
  <w:num w:numId="51">
    <w:abstractNumId w:val="93"/>
  </w:num>
  <w:num w:numId="52">
    <w:abstractNumId w:val="11"/>
  </w:num>
  <w:num w:numId="53">
    <w:abstractNumId w:val="39"/>
  </w:num>
  <w:num w:numId="54">
    <w:abstractNumId w:val="95"/>
  </w:num>
  <w:num w:numId="55">
    <w:abstractNumId w:val="104"/>
  </w:num>
  <w:num w:numId="56">
    <w:abstractNumId w:val="7"/>
  </w:num>
  <w:num w:numId="57">
    <w:abstractNumId w:val="28"/>
  </w:num>
  <w:num w:numId="58">
    <w:abstractNumId w:val="50"/>
  </w:num>
  <w:num w:numId="59">
    <w:abstractNumId w:val="57"/>
  </w:num>
  <w:num w:numId="60">
    <w:abstractNumId w:val="19"/>
  </w:num>
  <w:num w:numId="61">
    <w:abstractNumId w:val="15"/>
  </w:num>
  <w:num w:numId="62">
    <w:abstractNumId w:val="99"/>
  </w:num>
  <w:num w:numId="63">
    <w:abstractNumId w:val="41"/>
  </w:num>
  <w:num w:numId="64">
    <w:abstractNumId w:val="92"/>
  </w:num>
  <w:num w:numId="65">
    <w:abstractNumId w:val="106"/>
  </w:num>
  <w:num w:numId="66">
    <w:abstractNumId w:val="113"/>
  </w:num>
  <w:num w:numId="67">
    <w:abstractNumId w:val="114"/>
  </w:num>
  <w:num w:numId="68">
    <w:abstractNumId w:val="42"/>
  </w:num>
  <w:num w:numId="69">
    <w:abstractNumId w:val="10"/>
  </w:num>
  <w:num w:numId="70">
    <w:abstractNumId w:val="8"/>
  </w:num>
  <w:num w:numId="71">
    <w:abstractNumId w:val="110"/>
  </w:num>
  <w:num w:numId="72">
    <w:abstractNumId w:val="18"/>
  </w:num>
  <w:num w:numId="73">
    <w:abstractNumId w:val="49"/>
  </w:num>
  <w:num w:numId="74">
    <w:abstractNumId w:val="101"/>
  </w:num>
  <w:num w:numId="75">
    <w:abstractNumId w:val="45"/>
  </w:num>
  <w:num w:numId="76">
    <w:abstractNumId w:val="107"/>
  </w:num>
  <w:num w:numId="77">
    <w:abstractNumId w:val="65"/>
  </w:num>
  <w:num w:numId="78">
    <w:abstractNumId w:val="85"/>
  </w:num>
  <w:num w:numId="79">
    <w:abstractNumId w:val="34"/>
  </w:num>
  <w:num w:numId="80">
    <w:abstractNumId w:val="112"/>
  </w:num>
  <w:num w:numId="81">
    <w:abstractNumId w:val="38"/>
  </w:num>
  <w:num w:numId="82">
    <w:abstractNumId w:val="111"/>
  </w:num>
  <w:num w:numId="83">
    <w:abstractNumId w:val="24"/>
  </w:num>
  <w:num w:numId="84">
    <w:abstractNumId w:val="13"/>
  </w:num>
  <w:num w:numId="85">
    <w:abstractNumId w:val="20"/>
  </w:num>
  <w:num w:numId="86">
    <w:abstractNumId w:val="86"/>
  </w:num>
  <w:num w:numId="87">
    <w:abstractNumId w:val="44"/>
  </w:num>
  <w:num w:numId="88">
    <w:abstractNumId w:val="30"/>
  </w:num>
  <w:num w:numId="89">
    <w:abstractNumId w:val="62"/>
  </w:num>
  <w:num w:numId="90">
    <w:abstractNumId w:val="80"/>
  </w:num>
  <w:num w:numId="91">
    <w:abstractNumId w:val="69"/>
  </w:num>
  <w:num w:numId="92">
    <w:abstractNumId w:val="1"/>
  </w:num>
  <w:num w:numId="93">
    <w:abstractNumId w:val="84"/>
  </w:num>
  <w:num w:numId="94">
    <w:abstractNumId w:val="67"/>
  </w:num>
  <w:num w:numId="95">
    <w:abstractNumId w:val="72"/>
  </w:num>
  <w:num w:numId="96">
    <w:abstractNumId w:val="100"/>
  </w:num>
  <w:num w:numId="97">
    <w:abstractNumId w:val="46"/>
  </w:num>
  <w:num w:numId="98">
    <w:abstractNumId w:val="61"/>
  </w:num>
  <w:num w:numId="99">
    <w:abstractNumId w:val="43"/>
  </w:num>
  <w:num w:numId="100">
    <w:abstractNumId w:val="9"/>
  </w:num>
  <w:num w:numId="101">
    <w:abstractNumId w:val="71"/>
  </w:num>
  <w:num w:numId="102">
    <w:abstractNumId w:val="74"/>
  </w:num>
  <w:num w:numId="103">
    <w:abstractNumId w:val="91"/>
  </w:num>
  <w:num w:numId="104">
    <w:abstractNumId w:val="56"/>
  </w:num>
  <w:num w:numId="105">
    <w:abstractNumId w:val="79"/>
  </w:num>
  <w:num w:numId="106">
    <w:abstractNumId w:val="70"/>
  </w:num>
  <w:num w:numId="107">
    <w:abstractNumId w:val="35"/>
  </w:num>
  <w:num w:numId="108">
    <w:abstractNumId w:val="81"/>
  </w:num>
  <w:num w:numId="109">
    <w:abstractNumId w:val="47"/>
  </w:num>
  <w:num w:numId="110">
    <w:abstractNumId w:val="6"/>
  </w:num>
  <w:num w:numId="111">
    <w:abstractNumId w:val="73"/>
  </w:num>
  <w:num w:numId="112">
    <w:abstractNumId w:val="0"/>
  </w:num>
  <w:num w:numId="113">
    <w:abstractNumId w:val="55"/>
  </w:num>
  <w:num w:numId="114">
    <w:abstractNumId w:val="59"/>
  </w:num>
  <w:num w:numId="115">
    <w:abstractNumId w:val="87"/>
  </w:num>
  <w:num w:numId="116">
    <w:abstractNumId w:val="102"/>
  </w:num>
  <w:num w:numId="117">
    <w:abstractNumId w:val="36"/>
  </w:num>
  <w:num w:numId="118">
    <w:abstractNumId w:val="51"/>
  </w:num>
  <w:num w:numId="119">
    <w:abstractNumId w:val="108"/>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isclosure_Version" w:val="true"/>
  </w:docVars>
  <w:rsids>
    <w:rsidRoot w:val="00DD256F"/>
    <w:rsid w:val="000005A6"/>
    <w:rsid w:val="000006AC"/>
    <w:rsid w:val="0000102D"/>
    <w:rsid w:val="0000104D"/>
    <w:rsid w:val="00001469"/>
    <w:rsid w:val="000015C9"/>
    <w:rsid w:val="00001B33"/>
    <w:rsid w:val="00001E8C"/>
    <w:rsid w:val="000021DD"/>
    <w:rsid w:val="0000230E"/>
    <w:rsid w:val="000023F5"/>
    <w:rsid w:val="00002545"/>
    <w:rsid w:val="000028BC"/>
    <w:rsid w:val="00002973"/>
    <w:rsid w:val="000033A6"/>
    <w:rsid w:val="000033CD"/>
    <w:rsid w:val="0000372D"/>
    <w:rsid w:val="00003C39"/>
    <w:rsid w:val="0000464C"/>
    <w:rsid w:val="000048B5"/>
    <w:rsid w:val="00004ADF"/>
    <w:rsid w:val="00004E58"/>
    <w:rsid w:val="00005071"/>
    <w:rsid w:val="0000568D"/>
    <w:rsid w:val="000061CF"/>
    <w:rsid w:val="00007207"/>
    <w:rsid w:val="00007BBD"/>
    <w:rsid w:val="00010147"/>
    <w:rsid w:val="0001033D"/>
    <w:rsid w:val="0001041D"/>
    <w:rsid w:val="0001046B"/>
    <w:rsid w:val="000110A4"/>
    <w:rsid w:val="000121BF"/>
    <w:rsid w:val="000122EE"/>
    <w:rsid w:val="00012469"/>
    <w:rsid w:val="00012702"/>
    <w:rsid w:val="00012AFC"/>
    <w:rsid w:val="000130AF"/>
    <w:rsid w:val="000133F7"/>
    <w:rsid w:val="000139E7"/>
    <w:rsid w:val="00013FF0"/>
    <w:rsid w:val="000140AF"/>
    <w:rsid w:val="000141F9"/>
    <w:rsid w:val="00014263"/>
    <w:rsid w:val="00014850"/>
    <w:rsid w:val="0001497A"/>
    <w:rsid w:val="00014DF5"/>
    <w:rsid w:val="000155A0"/>
    <w:rsid w:val="00015963"/>
    <w:rsid w:val="000159B6"/>
    <w:rsid w:val="00015DF7"/>
    <w:rsid w:val="00016321"/>
    <w:rsid w:val="00016625"/>
    <w:rsid w:val="00016D21"/>
    <w:rsid w:val="000176B6"/>
    <w:rsid w:val="00017D54"/>
    <w:rsid w:val="00020074"/>
    <w:rsid w:val="000203A5"/>
    <w:rsid w:val="000205AB"/>
    <w:rsid w:val="00020605"/>
    <w:rsid w:val="00020728"/>
    <w:rsid w:val="00020D46"/>
    <w:rsid w:val="00020DB9"/>
    <w:rsid w:val="0002110B"/>
    <w:rsid w:val="00021700"/>
    <w:rsid w:val="00021BD4"/>
    <w:rsid w:val="000224B7"/>
    <w:rsid w:val="000225C5"/>
    <w:rsid w:val="0002292A"/>
    <w:rsid w:val="00022EDA"/>
    <w:rsid w:val="0002301E"/>
    <w:rsid w:val="000231BD"/>
    <w:rsid w:val="000231DC"/>
    <w:rsid w:val="000239D2"/>
    <w:rsid w:val="00023BEB"/>
    <w:rsid w:val="00023C73"/>
    <w:rsid w:val="00024B79"/>
    <w:rsid w:val="00025469"/>
    <w:rsid w:val="0002560C"/>
    <w:rsid w:val="00025E29"/>
    <w:rsid w:val="00025EAF"/>
    <w:rsid w:val="0002612F"/>
    <w:rsid w:val="00026A17"/>
    <w:rsid w:val="00027348"/>
    <w:rsid w:val="000275C9"/>
    <w:rsid w:val="0002798D"/>
    <w:rsid w:val="000301D0"/>
    <w:rsid w:val="00031700"/>
    <w:rsid w:val="000317CB"/>
    <w:rsid w:val="000317E9"/>
    <w:rsid w:val="00031B72"/>
    <w:rsid w:val="0003243D"/>
    <w:rsid w:val="00032BA9"/>
    <w:rsid w:val="00032FA8"/>
    <w:rsid w:val="0003337C"/>
    <w:rsid w:val="000337FB"/>
    <w:rsid w:val="00033EBB"/>
    <w:rsid w:val="0003408C"/>
    <w:rsid w:val="0003409A"/>
    <w:rsid w:val="00034289"/>
    <w:rsid w:val="000343F2"/>
    <w:rsid w:val="0003468B"/>
    <w:rsid w:val="00034C0D"/>
    <w:rsid w:val="00035352"/>
    <w:rsid w:val="00035464"/>
    <w:rsid w:val="0003626E"/>
    <w:rsid w:val="00036357"/>
    <w:rsid w:val="00036813"/>
    <w:rsid w:val="00037DB8"/>
    <w:rsid w:val="00037EBC"/>
    <w:rsid w:val="00040830"/>
    <w:rsid w:val="00040925"/>
    <w:rsid w:val="000411AF"/>
    <w:rsid w:val="0004146D"/>
    <w:rsid w:val="00041525"/>
    <w:rsid w:val="00041800"/>
    <w:rsid w:val="00041AC3"/>
    <w:rsid w:val="00042574"/>
    <w:rsid w:val="000429ED"/>
    <w:rsid w:val="00043335"/>
    <w:rsid w:val="000436FE"/>
    <w:rsid w:val="000438A3"/>
    <w:rsid w:val="00043C00"/>
    <w:rsid w:val="00043E96"/>
    <w:rsid w:val="00043EED"/>
    <w:rsid w:val="00044579"/>
    <w:rsid w:val="000446C9"/>
    <w:rsid w:val="00044D1E"/>
    <w:rsid w:val="00044DDC"/>
    <w:rsid w:val="00044FE0"/>
    <w:rsid w:val="000451ED"/>
    <w:rsid w:val="000453CA"/>
    <w:rsid w:val="00045DCB"/>
    <w:rsid w:val="00045F39"/>
    <w:rsid w:val="00046637"/>
    <w:rsid w:val="000468DA"/>
    <w:rsid w:val="00046B18"/>
    <w:rsid w:val="00046BF9"/>
    <w:rsid w:val="00046C4A"/>
    <w:rsid w:val="00046DD2"/>
    <w:rsid w:val="000474D7"/>
    <w:rsid w:val="00047621"/>
    <w:rsid w:val="00047AE9"/>
    <w:rsid w:val="000500E7"/>
    <w:rsid w:val="000501F1"/>
    <w:rsid w:val="00050236"/>
    <w:rsid w:val="00050420"/>
    <w:rsid w:val="000505C7"/>
    <w:rsid w:val="000506CB"/>
    <w:rsid w:val="000517E2"/>
    <w:rsid w:val="00051BE5"/>
    <w:rsid w:val="000526A4"/>
    <w:rsid w:val="00052B89"/>
    <w:rsid w:val="00052D38"/>
    <w:rsid w:val="00052FFA"/>
    <w:rsid w:val="0005335F"/>
    <w:rsid w:val="00053E2E"/>
    <w:rsid w:val="00053F3F"/>
    <w:rsid w:val="000544CE"/>
    <w:rsid w:val="00054612"/>
    <w:rsid w:val="0005486C"/>
    <w:rsid w:val="00054D34"/>
    <w:rsid w:val="00055534"/>
    <w:rsid w:val="00055816"/>
    <w:rsid w:val="00055C3F"/>
    <w:rsid w:val="000561D7"/>
    <w:rsid w:val="000562C7"/>
    <w:rsid w:val="000569CC"/>
    <w:rsid w:val="00056B8B"/>
    <w:rsid w:val="0005719E"/>
    <w:rsid w:val="000578C2"/>
    <w:rsid w:val="00057AD2"/>
    <w:rsid w:val="0006013C"/>
    <w:rsid w:val="00060342"/>
    <w:rsid w:val="000604A6"/>
    <w:rsid w:val="00060967"/>
    <w:rsid w:val="00060C85"/>
    <w:rsid w:val="00062017"/>
    <w:rsid w:val="000622D5"/>
    <w:rsid w:val="0006271B"/>
    <w:rsid w:val="0006271F"/>
    <w:rsid w:val="00062AA3"/>
    <w:rsid w:val="00062D8E"/>
    <w:rsid w:val="00063342"/>
    <w:rsid w:val="000636DE"/>
    <w:rsid w:val="00063893"/>
    <w:rsid w:val="000639D3"/>
    <w:rsid w:val="00063A04"/>
    <w:rsid w:val="00063A13"/>
    <w:rsid w:val="00063EE6"/>
    <w:rsid w:val="0006463F"/>
    <w:rsid w:val="00064ADF"/>
    <w:rsid w:val="000658FD"/>
    <w:rsid w:val="00065914"/>
    <w:rsid w:val="00065B7B"/>
    <w:rsid w:val="00065D51"/>
    <w:rsid w:val="00066B5B"/>
    <w:rsid w:val="00066C7F"/>
    <w:rsid w:val="00066F8C"/>
    <w:rsid w:val="0006751E"/>
    <w:rsid w:val="00067AEB"/>
    <w:rsid w:val="00070D92"/>
    <w:rsid w:val="00070E4B"/>
    <w:rsid w:val="00071243"/>
    <w:rsid w:val="0007147E"/>
    <w:rsid w:val="00072361"/>
    <w:rsid w:val="0007246C"/>
    <w:rsid w:val="000729B8"/>
    <w:rsid w:val="00072D7F"/>
    <w:rsid w:val="0007305C"/>
    <w:rsid w:val="000730ED"/>
    <w:rsid w:val="000732D5"/>
    <w:rsid w:val="00073BC2"/>
    <w:rsid w:val="000745DB"/>
    <w:rsid w:val="00074C4E"/>
    <w:rsid w:val="0007507D"/>
    <w:rsid w:val="00075786"/>
    <w:rsid w:val="00075C45"/>
    <w:rsid w:val="00075E3A"/>
    <w:rsid w:val="00075E54"/>
    <w:rsid w:val="00076117"/>
    <w:rsid w:val="000764FD"/>
    <w:rsid w:val="00077397"/>
    <w:rsid w:val="000778E2"/>
    <w:rsid w:val="000778F7"/>
    <w:rsid w:val="0008036E"/>
    <w:rsid w:val="00080509"/>
    <w:rsid w:val="000805BB"/>
    <w:rsid w:val="000808F7"/>
    <w:rsid w:val="000808FF"/>
    <w:rsid w:val="0008095D"/>
    <w:rsid w:val="00080A0F"/>
    <w:rsid w:val="00080BDB"/>
    <w:rsid w:val="000816A2"/>
    <w:rsid w:val="00081D4A"/>
    <w:rsid w:val="0008211C"/>
    <w:rsid w:val="0008231D"/>
    <w:rsid w:val="00082700"/>
    <w:rsid w:val="00082A1A"/>
    <w:rsid w:val="00082AB1"/>
    <w:rsid w:val="00082E5B"/>
    <w:rsid w:val="000830E6"/>
    <w:rsid w:val="0008328D"/>
    <w:rsid w:val="0008332B"/>
    <w:rsid w:val="000837F0"/>
    <w:rsid w:val="000839C3"/>
    <w:rsid w:val="00083C1E"/>
    <w:rsid w:val="00084008"/>
    <w:rsid w:val="000841ED"/>
    <w:rsid w:val="00084294"/>
    <w:rsid w:val="00084531"/>
    <w:rsid w:val="00084634"/>
    <w:rsid w:val="00084A03"/>
    <w:rsid w:val="00084A3C"/>
    <w:rsid w:val="00084F00"/>
    <w:rsid w:val="00085C6B"/>
    <w:rsid w:val="000866A2"/>
    <w:rsid w:val="000868AD"/>
    <w:rsid w:val="000872AC"/>
    <w:rsid w:val="00087446"/>
    <w:rsid w:val="00087492"/>
    <w:rsid w:val="0008759B"/>
    <w:rsid w:val="000877EF"/>
    <w:rsid w:val="00087B6F"/>
    <w:rsid w:val="00087C96"/>
    <w:rsid w:val="00090454"/>
    <w:rsid w:val="00090892"/>
    <w:rsid w:val="00090ADC"/>
    <w:rsid w:val="00090C35"/>
    <w:rsid w:val="00090DA2"/>
    <w:rsid w:val="0009141B"/>
    <w:rsid w:val="00091724"/>
    <w:rsid w:val="00091743"/>
    <w:rsid w:val="000918CD"/>
    <w:rsid w:val="00091930"/>
    <w:rsid w:val="00091E44"/>
    <w:rsid w:val="0009268B"/>
    <w:rsid w:val="000927B1"/>
    <w:rsid w:val="00092823"/>
    <w:rsid w:val="00092C1E"/>
    <w:rsid w:val="00092F5A"/>
    <w:rsid w:val="00092FCE"/>
    <w:rsid w:val="000930A1"/>
    <w:rsid w:val="0009325E"/>
    <w:rsid w:val="000932D6"/>
    <w:rsid w:val="000934F7"/>
    <w:rsid w:val="000938DF"/>
    <w:rsid w:val="00094040"/>
    <w:rsid w:val="0009494E"/>
    <w:rsid w:val="00094993"/>
    <w:rsid w:val="00094A55"/>
    <w:rsid w:val="00094FB5"/>
    <w:rsid w:val="00095082"/>
    <w:rsid w:val="000951D6"/>
    <w:rsid w:val="000952FD"/>
    <w:rsid w:val="00095382"/>
    <w:rsid w:val="00095388"/>
    <w:rsid w:val="000955B9"/>
    <w:rsid w:val="00095CD6"/>
    <w:rsid w:val="000960F5"/>
    <w:rsid w:val="00096746"/>
    <w:rsid w:val="00096E12"/>
    <w:rsid w:val="00097054"/>
    <w:rsid w:val="00097097"/>
    <w:rsid w:val="000974B2"/>
    <w:rsid w:val="000975B1"/>
    <w:rsid w:val="000976C1"/>
    <w:rsid w:val="00097B67"/>
    <w:rsid w:val="00097D61"/>
    <w:rsid w:val="00097E3C"/>
    <w:rsid w:val="000A04A2"/>
    <w:rsid w:val="000A0989"/>
    <w:rsid w:val="000A1026"/>
    <w:rsid w:val="000A11A5"/>
    <w:rsid w:val="000A1547"/>
    <w:rsid w:val="000A16A6"/>
    <w:rsid w:val="000A199C"/>
    <w:rsid w:val="000A1CBE"/>
    <w:rsid w:val="000A25F6"/>
    <w:rsid w:val="000A26EE"/>
    <w:rsid w:val="000A3714"/>
    <w:rsid w:val="000A3DD1"/>
    <w:rsid w:val="000A4309"/>
    <w:rsid w:val="000A4AE5"/>
    <w:rsid w:val="000A4C9E"/>
    <w:rsid w:val="000A5126"/>
    <w:rsid w:val="000A5162"/>
    <w:rsid w:val="000A5A58"/>
    <w:rsid w:val="000A6410"/>
    <w:rsid w:val="000A67B6"/>
    <w:rsid w:val="000A6A70"/>
    <w:rsid w:val="000A6F48"/>
    <w:rsid w:val="000A700E"/>
    <w:rsid w:val="000A7216"/>
    <w:rsid w:val="000A74D2"/>
    <w:rsid w:val="000A76D3"/>
    <w:rsid w:val="000A78D8"/>
    <w:rsid w:val="000A799A"/>
    <w:rsid w:val="000A7C6A"/>
    <w:rsid w:val="000A7FB5"/>
    <w:rsid w:val="000B014F"/>
    <w:rsid w:val="000B0362"/>
    <w:rsid w:val="000B09B7"/>
    <w:rsid w:val="000B0EE6"/>
    <w:rsid w:val="000B1AD4"/>
    <w:rsid w:val="000B1DB7"/>
    <w:rsid w:val="000B2333"/>
    <w:rsid w:val="000B23C8"/>
    <w:rsid w:val="000B28AE"/>
    <w:rsid w:val="000B28F3"/>
    <w:rsid w:val="000B2EEB"/>
    <w:rsid w:val="000B31E0"/>
    <w:rsid w:val="000B3557"/>
    <w:rsid w:val="000B363F"/>
    <w:rsid w:val="000B3C1D"/>
    <w:rsid w:val="000B4A82"/>
    <w:rsid w:val="000B4B18"/>
    <w:rsid w:val="000B4BDA"/>
    <w:rsid w:val="000B5098"/>
    <w:rsid w:val="000B5590"/>
    <w:rsid w:val="000B5992"/>
    <w:rsid w:val="000B5B67"/>
    <w:rsid w:val="000B5F9A"/>
    <w:rsid w:val="000B6B2E"/>
    <w:rsid w:val="000B6BC7"/>
    <w:rsid w:val="000B6C66"/>
    <w:rsid w:val="000B717E"/>
    <w:rsid w:val="000C0038"/>
    <w:rsid w:val="000C01B8"/>
    <w:rsid w:val="000C0519"/>
    <w:rsid w:val="000C063C"/>
    <w:rsid w:val="000C0C72"/>
    <w:rsid w:val="000C0D45"/>
    <w:rsid w:val="000C0F63"/>
    <w:rsid w:val="000C1CEC"/>
    <w:rsid w:val="000C2197"/>
    <w:rsid w:val="000C25F5"/>
    <w:rsid w:val="000C26F5"/>
    <w:rsid w:val="000C2C2E"/>
    <w:rsid w:val="000C3232"/>
    <w:rsid w:val="000C3653"/>
    <w:rsid w:val="000C37A8"/>
    <w:rsid w:val="000C3A06"/>
    <w:rsid w:val="000C3D52"/>
    <w:rsid w:val="000C40B3"/>
    <w:rsid w:val="000C4401"/>
    <w:rsid w:val="000C4768"/>
    <w:rsid w:val="000C4B1F"/>
    <w:rsid w:val="000C4C03"/>
    <w:rsid w:val="000C51AC"/>
    <w:rsid w:val="000C52A2"/>
    <w:rsid w:val="000C5A57"/>
    <w:rsid w:val="000C5B58"/>
    <w:rsid w:val="000C5B78"/>
    <w:rsid w:val="000C60FC"/>
    <w:rsid w:val="000C63C4"/>
    <w:rsid w:val="000C6560"/>
    <w:rsid w:val="000C698C"/>
    <w:rsid w:val="000C6A05"/>
    <w:rsid w:val="000C6DAE"/>
    <w:rsid w:val="000C7371"/>
    <w:rsid w:val="000C7691"/>
    <w:rsid w:val="000C7889"/>
    <w:rsid w:val="000C7C71"/>
    <w:rsid w:val="000C7D9C"/>
    <w:rsid w:val="000C7DF8"/>
    <w:rsid w:val="000C7F30"/>
    <w:rsid w:val="000D057C"/>
    <w:rsid w:val="000D0BE9"/>
    <w:rsid w:val="000D0E23"/>
    <w:rsid w:val="000D1028"/>
    <w:rsid w:val="000D14E3"/>
    <w:rsid w:val="000D15CB"/>
    <w:rsid w:val="000D1E55"/>
    <w:rsid w:val="000D26CD"/>
    <w:rsid w:val="000D28CF"/>
    <w:rsid w:val="000D29E2"/>
    <w:rsid w:val="000D2C5E"/>
    <w:rsid w:val="000D2F52"/>
    <w:rsid w:val="000D3B03"/>
    <w:rsid w:val="000D3B07"/>
    <w:rsid w:val="000D4964"/>
    <w:rsid w:val="000D49EB"/>
    <w:rsid w:val="000D5454"/>
    <w:rsid w:val="000D55C3"/>
    <w:rsid w:val="000D5A34"/>
    <w:rsid w:val="000D5D3B"/>
    <w:rsid w:val="000D5D86"/>
    <w:rsid w:val="000D5DC0"/>
    <w:rsid w:val="000D61FD"/>
    <w:rsid w:val="000D636E"/>
    <w:rsid w:val="000D6BCB"/>
    <w:rsid w:val="000D6D8F"/>
    <w:rsid w:val="000D7213"/>
    <w:rsid w:val="000D7307"/>
    <w:rsid w:val="000D7617"/>
    <w:rsid w:val="000D77D1"/>
    <w:rsid w:val="000D7885"/>
    <w:rsid w:val="000D7ABF"/>
    <w:rsid w:val="000E0052"/>
    <w:rsid w:val="000E01A1"/>
    <w:rsid w:val="000E073D"/>
    <w:rsid w:val="000E0C83"/>
    <w:rsid w:val="000E0EB6"/>
    <w:rsid w:val="000E14B7"/>
    <w:rsid w:val="000E1521"/>
    <w:rsid w:val="000E15A7"/>
    <w:rsid w:val="000E165C"/>
    <w:rsid w:val="000E17B3"/>
    <w:rsid w:val="000E18FC"/>
    <w:rsid w:val="000E1ACA"/>
    <w:rsid w:val="000E1E69"/>
    <w:rsid w:val="000E1F6C"/>
    <w:rsid w:val="000E24F4"/>
    <w:rsid w:val="000E2820"/>
    <w:rsid w:val="000E2BE4"/>
    <w:rsid w:val="000E32FE"/>
    <w:rsid w:val="000E34CD"/>
    <w:rsid w:val="000E35F2"/>
    <w:rsid w:val="000E3894"/>
    <w:rsid w:val="000E3BB8"/>
    <w:rsid w:val="000E3D2D"/>
    <w:rsid w:val="000E41A3"/>
    <w:rsid w:val="000E4352"/>
    <w:rsid w:val="000E4B54"/>
    <w:rsid w:val="000E518E"/>
    <w:rsid w:val="000E567C"/>
    <w:rsid w:val="000E56D0"/>
    <w:rsid w:val="000E5B46"/>
    <w:rsid w:val="000E686A"/>
    <w:rsid w:val="000E6C67"/>
    <w:rsid w:val="000E6CD7"/>
    <w:rsid w:val="000E6F8A"/>
    <w:rsid w:val="000E70DA"/>
    <w:rsid w:val="000E7291"/>
    <w:rsid w:val="000E7956"/>
    <w:rsid w:val="000E7A93"/>
    <w:rsid w:val="000E7F24"/>
    <w:rsid w:val="000F025D"/>
    <w:rsid w:val="000F0456"/>
    <w:rsid w:val="000F04EC"/>
    <w:rsid w:val="000F0542"/>
    <w:rsid w:val="000F0CF0"/>
    <w:rsid w:val="000F13B4"/>
    <w:rsid w:val="000F192B"/>
    <w:rsid w:val="000F262B"/>
    <w:rsid w:val="000F2990"/>
    <w:rsid w:val="000F2A73"/>
    <w:rsid w:val="000F3016"/>
    <w:rsid w:val="000F3044"/>
    <w:rsid w:val="000F3234"/>
    <w:rsid w:val="000F3A6E"/>
    <w:rsid w:val="000F42F3"/>
    <w:rsid w:val="000F438A"/>
    <w:rsid w:val="000F460F"/>
    <w:rsid w:val="000F49E8"/>
    <w:rsid w:val="000F509F"/>
    <w:rsid w:val="000F52DA"/>
    <w:rsid w:val="000F584A"/>
    <w:rsid w:val="000F58FD"/>
    <w:rsid w:val="000F59FB"/>
    <w:rsid w:val="000F5E14"/>
    <w:rsid w:val="000F6058"/>
    <w:rsid w:val="000F6939"/>
    <w:rsid w:val="000F6B1C"/>
    <w:rsid w:val="000F6E38"/>
    <w:rsid w:val="000F6EE3"/>
    <w:rsid w:val="000F7633"/>
    <w:rsid w:val="000F7CB8"/>
    <w:rsid w:val="000F7D3C"/>
    <w:rsid w:val="00100112"/>
    <w:rsid w:val="0010063A"/>
    <w:rsid w:val="001007FD"/>
    <w:rsid w:val="001012ED"/>
    <w:rsid w:val="00101376"/>
    <w:rsid w:val="00101B38"/>
    <w:rsid w:val="001022D3"/>
    <w:rsid w:val="001026CF"/>
    <w:rsid w:val="0010345C"/>
    <w:rsid w:val="00103661"/>
    <w:rsid w:val="001036AD"/>
    <w:rsid w:val="001038D1"/>
    <w:rsid w:val="00103BDD"/>
    <w:rsid w:val="00104087"/>
    <w:rsid w:val="001044B7"/>
    <w:rsid w:val="001044EA"/>
    <w:rsid w:val="001048FE"/>
    <w:rsid w:val="00105238"/>
    <w:rsid w:val="00105556"/>
    <w:rsid w:val="00105921"/>
    <w:rsid w:val="001059D2"/>
    <w:rsid w:val="001059DB"/>
    <w:rsid w:val="00105F72"/>
    <w:rsid w:val="00106740"/>
    <w:rsid w:val="00107599"/>
    <w:rsid w:val="00107A8E"/>
    <w:rsid w:val="00107CD9"/>
    <w:rsid w:val="00107F48"/>
    <w:rsid w:val="0011023E"/>
    <w:rsid w:val="00110611"/>
    <w:rsid w:val="00110717"/>
    <w:rsid w:val="00110D00"/>
    <w:rsid w:val="001116D4"/>
    <w:rsid w:val="00111BAC"/>
    <w:rsid w:val="00111D4E"/>
    <w:rsid w:val="00111E23"/>
    <w:rsid w:val="00112302"/>
    <w:rsid w:val="001126AB"/>
    <w:rsid w:val="001127CC"/>
    <w:rsid w:val="001133FC"/>
    <w:rsid w:val="001137A6"/>
    <w:rsid w:val="001139E6"/>
    <w:rsid w:val="00113B8D"/>
    <w:rsid w:val="00114189"/>
    <w:rsid w:val="00114F3A"/>
    <w:rsid w:val="00115730"/>
    <w:rsid w:val="0011587B"/>
    <w:rsid w:val="00115CFE"/>
    <w:rsid w:val="00116051"/>
    <w:rsid w:val="001165AE"/>
    <w:rsid w:val="001167C6"/>
    <w:rsid w:val="001167C8"/>
    <w:rsid w:val="001167D2"/>
    <w:rsid w:val="00116934"/>
    <w:rsid w:val="00116B75"/>
    <w:rsid w:val="00116D81"/>
    <w:rsid w:val="001170FA"/>
    <w:rsid w:val="001173A8"/>
    <w:rsid w:val="00117404"/>
    <w:rsid w:val="00117599"/>
    <w:rsid w:val="00117BC3"/>
    <w:rsid w:val="00117EDA"/>
    <w:rsid w:val="0012016D"/>
    <w:rsid w:val="001203D4"/>
    <w:rsid w:val="0012063F"/>
    <w:rsid w:val="00120A6A"/>
    <w:rsid w:val="001214B4"/>
    <w:rsid w:val="00121512"/>
    <w:rsid w:val="0012158F"/>
    <w:rsid w:val="0012188F"/>
    <w:rsid w:val="00122BA4"/>
    <w:rsid w:val="00123009"/>
    <w:rsid w:val="001230F3"/>
    <w:rsid w:val="0012321F"/>
    <w:rsid w:val="001234DF"/>
    <w:rsid w:val="00123F0A"/>
    <w:rsid w:val="00124C57"/>
    <w:rsid w:val="001252F2"/>
    <w:rsid w:val="00125470"/>
    <w:rsid w:val="00125B27"/>
    <w:rsid w:val="00125EEF"/>
    <w:rsid w:val="0012608D"/>
    <w:rsid w:val="00126125"/>
    <w:rsid w:val="00126CBD"/>
    <w:rsid w:val="00127157"/>
    <w:rsid w:val="0012728F"/>
    <w:rsid w:val="001272F9"/>
    <w:rsid w:val="001273FD"/>
    <w:rsid w:val="00127E76"/>
    <w:rsid w:val="001304AD"/>
    <w:rsid w:val="00130697"/>
    <w:rsid w:val="00130D6C"/>
    <w:rsid w:val="00130DE5"/>
    <w:rsid w:val="0013119E"/>
    <w:rsid w:val="00131652"/>
    <w:rsid w:val="001316B3"/>
    <w:rsid w:val="0013204C"/>
    <w:rsid w:val="001321A5"/>
    <w:rsid w:val="00132615"/>
    <w:rsid w:val="00132A09"/>
    <w:rsid w:val="00132A1B"/>
    <w:rsid w:val="0013309F"/>
    <w:rsid w:val="00133139"/>
    <w:rsid w:val="001332D2"/>
    <w:rsid w:val="0013379B"/>
    <w:rsid w:val="00133BDB"/>
    <w:rsid w:val="00133C1E"/>
    <w:rsid w:val="00133E33"/>
    <w:rsid w:val="00133F05"/>
    <w:rsid w:val="001346BE"/>
    <w:rsid w:val="00134E3C"/>
    <w:rsid w:val="00135556"/>
    <w:rsid w:val="0013555C"/>
    <w:rsid w:val="0013565E"/>
    <w:rsid w:val="00135794"/>
    <w:rsid w:val="00135FBD"/>
    <w:rsid w:val="00136496"/>
    <w:rsid w:val="00136A9A"/>
    <w:rsid w:val="0013708F"/>
    <w:rsid w:val="001372F3"/>
    <w:rsid w:val="00137861"/>
    <w:rsid w:val="00137C75"/>
    <w:rsid w:val="00140099"/>
    <w:rsid w:val="00140271"/>
    <w:rsid w:val="001406FF"/>
    <w:rsid w:val="0014081B"/>
    <w:rsid w:val="00140BD7"/>
    <w:rsid w:val="00140D9B"/>
    <w:rsid w:val="00140E08"/>
    <w:rsid w:val="00141331"/>
    <w:rsid w:val="00141419"/>
    <w:rsid w:val="00141BE5"/>
    <w:rsid w:val="00142014"/>
    <w:rsid w:val="001420C3"/>
    <w:rsid w:val="0014231A"/>
    <w:rsid w:val="00142509"/>
    <w:rsid w:val="0014259C"/>
    <w:rsid w:val="001428B2"/>
    <w:rsid w:val="00142E7D"/>
    <w:rsid w:val="00143309"/>
    <w:rsid w:val="0014344C"/>
    <w:rsid w:val="00143975"/>
    <w:rsid w:val="00143D08"/>
    <w:rsid w:val="00143F15"/>
    <w:rsid w:val="00143F60"/>
    <w:rsid w:val="00143FDE"/>
    <w:rsid w:val="0014424C"/>
    <w:rsid w:val="001444F7"/>
    <w:rsid w:val="001445D9"/>
    <w:rsid w:val="0014483D"/>
    <w:rsid w:val="00144B78"/>
    <w:rsid w:val="00144BF1"/>
    <w:rsid w:val="0014520A"/>
    <w:rsid w:val="00145561"/>
    <w:rsid w:val="001455E9"/>
    <w:rsid w:val="0014596A"/>
    <w:rsid w:val="001464BB"/>
    <w:rsid w:val="00146FA2"/>
    <w:rsid w:val="00147584"/>
    <w:rsid w:val="00147823"/>
    <w:rsid w:val="00147900"/>
    <w:rsid w:val="00147BFC"/>
    <w:rsid w:val="00147DB1"/>
    <w:rsid w:val="001508C9"/>
    <w:rsid w:val="00150E78"/>
    <w:rsid w:val="00150F67"/>
    <w:rsid w:val="001511B5"/>
    <w:rsid w:val="0015156E"/>
    <w:rsid w:val="0015159B"/>
    <w:rsid w:val="001516EE"/>
    <w:rsid w:val="00151EEF"/>
    <w:rsid w:val="00152156"/>
    <w:rsid w:val="00152734"/>
    <w:rsid w:val="0015290B"/>
    <w:rsid w:val="00152B5E"/>
    <w:rsid w:val="00152FE0"/>
    <w:rsid w:val="0015304B"/>
    <w:rsid w:val="00153852"/>
    <w:rsid w:val="00153F4B"/>
    <w:rsid w:val="00154101"/>
    <w:rsid w:val="001541EB"/>
    <w:rsid w:val="001543D4"/>
    <w:rsid w:val="0015445C"/>
    <w:rsid w:val="0015450F"/>
    <w:rsid w:val="00154ACD"/>
    <w:rsid w:val="00154B6D"/>
    <w:rsid w:val="00154B81"/>
    <w:rsid w:val="00154E9A"/>
    <w:rsid w:val="0015523D"/>
    <w:rsid w:val="00155E3E"/>
    <w:rsid w:val="00155FB6"/>
    <w:rsid w:val="00156C03"/>
    <w:rsid w:val="00156F5B"/>
    <w:rsid w:val="00157106"/>
    <w:rsid w:val="00157457"/>
    <w:rsid w:val="0015748D"/>
    <w:rsid w:val="001575B8"/>
    <w:rsid w:val="001575F4"/>
    <w:rsid w:val="001578D8"/>
    <w:rsid w:val="00157BDB"/>
    <w:rsid w:val="00157BF7"/>
    <w:rsid w:val="00157CE3"/>
    <w:rsid w:val="00157DE4"/>
    <w:rsid w:val="00160787"/>
    <w:rsid w:val="00160818"/>
    <w:rsid w:val="001608C9"/>
    <w:rsid w:val="001614D4"/>
    <w:rsid w:val="00161A39"/>
    <w:rsid w:val="00161B38"/>
    <w:rsid w:val="00161CAF"/>
    <w:rsid w:val="0016204C"/>
    <w:rsid w:val="00162669"/>
    <w:rsid w:val="001626DD"/>
    <w:rsid w:val="0016283C"/>
    <w:rsid w:val="00162C8A"/>
    <w:rsid w:val="00163357"/>
    <w:rsid w:val="0016426E"/>
    <w:rsid w:val="0016523F"/>
    <w:rsid w:val="00165E4D"/>
    <w:rsid w:val="00165FED"/>
    <w:rsid w:val="001662C0"/>
    <w:rsid w:val="001667A9"/>
    <w:rsid w:val="00167185"/>
    <w:rsid w:val="00167739"/>
    <w:rsid w:val="00170327"/>
    <w:rsid w:val="0017040F"/>
    <w:rsid w:val="00170450"/>
    <w:rsid w:val="00170461"/>
    <w:rsid w:val="00170481"/>
    <w:rsid w:val="00170650"/>
    <w:rsid w:val="0017134C"/>
    <w:rsid w:val="001715BD"/>
    <w:rsid w:val="0017251D"/>
    <w:rsid w:val="00172B99"/>
    <w:rsid w:val="00173329"/>
    <w:rsid w:val="00173583"/>
    <w:rsid w:val="00173821"/>
    <w:rsid w:val="00173F1A"/>
    <w:rsid w:val="0017499B"/>
    <w:rsid w:val="00174A05"/>
    <w:rsid w:val="001754A4"/>
    <w:rsid w:val="00175A98"/>
    <w:rsid w:val="00176294"/>
    <w:rsid w:val="00176395"/>
    <w:rsid w:val="0017692B"/>
    <w:rsid w:val="00176E6E"/>
    <w:rsid w:val="00176E78"/>
    <w:rsid w:val="00177133"/>
    <w:rsid w:val="00177D11"/>
    <w:rsid w:val="00177F7C"/>
    <w:rsid w:val="0018000D"/>
    <w:rsid w:val="001806CF"/>
    <w:rsid w:val="00180E29"/>
    <w:rsid w:val="00180F49"/>
    <w:rsid w:val="001815B8"/>
    <w:rsid w:val="001816A6"/>
    <w:rsid w:val="0018228D"/>
    <w:rsid w:val="00182367"/>
    <w:rsid w:val="001826DB"/>
    <w:rsid w:val="0018280C"/>
    <w:rsid w:val="00182BAC"/>
    <w:rsid w:val="0018313C"/>
    <w:rsid w:val="00183957"/>
    <w:rsid w:val="0018413C"/>
    <w:rsid w:val="001844E5"/>
    <w:rsid w:val="00184530"/>
    <w:rsid w:val="00184687"/>
    <w:rsid w:val="001847E6"/>
    <w:rsid w:val="00184EB1"/>
    <w:rsid w:val="00185085"/>
    <w:rsid w:val="001851BD"/>
    <w:rsid w:val="00185D0E"/>
    <w:rsid w:val="00186113"/>
    <w:rsid w:val="00186249"/>
    <w:rsid w:val="00186391"/>
    <w:rsid w:val="00186A2D"/>
    <w:rsid w:val="00186C23"/>
    <w:rsid w:val="00186F1C"/>
    <w:rsid w:val="00187328"/>
    <w:rsid w:val="00187855"/>
    <w:rsid w:val="00187858"/>
    <w:rsid w:val="001878D9"/>
    <w:rsid w:val="00187FB7"/>
    <w:rsid w:val="0019008D"/>
    <w:rsid w:val="0019022B"/>
    <w:rsid w:val="0019037D"/>
    <w:rsid w:val="001903E0"/>
    <w:rsid w:val="0019126B"/>
    <w:rsid w:val="00191C4F"/>
    <w:rsid w:val="00191CAC"/>
    <w:rsid w:val="001921F0"/>
    <w:rsid w:val="00192350"/>
    <w:rsid w:val="00192474"/>
    <w:rsid w:val="00192CCC"/>
    <w:rsid w:val="00193278"/>
    <w:rsid w:val="001933C4"/>
    <w:rsid w:val="0019388E"/>
    <w:rsid w:val="00193C5E"/>
    <w:rsid w:val="00194245"/>
    <w:rsid w:val="001948EB"/>
    <w:rsid w:val="00194F95"/>
    <w:rsid w:val="00195857"/>
    <w:rsid w:val="00195A1C"/>
    <w:rsid w:val="00195DE7"/>
    <w:rsid w:val="00195DFE"/>
    <w:rsid w:val="00196123"/>
    <w:rsid w:val="00196E4C"/>
    <w:rsid w:val="00196F3D"/>
    <w:rsid w:val="0019711B"/>
    <w:rsid w:val="0019763C"/>
    <w:rsid w:val="001976BC"/>
    <w:rsid w:val="0019788A"/>
    <w:rsid w:val="0019799A"/>
    <w:rsid w:val="00197B91"/>
    <w:rsid w:val="00197C0F"/>
    <w:rsid w:val="00197C1F"/>
    <w:rsid w:val="001A02FE"/>
    <w:rsid w:val="001A0769"/>
    <w:rsid w:val="001A0BFC"/>
    <w:rsid w:val="001A0C34"/>
    <w:rsid w:val="001A0F7A"/>
    <w:rsid w:val="001A116E"/>
    <w:rsid w:val="001A1203"/>
    <w:rsid w:val="001A1A11"/>
    <w:rsid w:val="001A2056"/>
    <w:rsid w:val="001A2255"/>
    <w:rsid w:val="001A25C7"/>
    <w:rsid w:val="001A26F2"/>
    <w:rsid w:val="001A27A6"/>
    <w:rsid w:val="001A2AD1"/>
    <w:rsid w:val="001A2B2B"/>
    <w:rsid w:val="001A3215"/>
    <w:rsid w:val="001A3375"/>
    <w:rsid w:val="001A34C9"/>
    <w:rsid w:val="001A35C2"/>
    <w:rsid w:val="001A3637"/>
    <w:rsid w:val="001A37C6"/>
    <w:rsid w:val="001A3C77"/>
    <w:rsid w:val="001A409E"/>
    <w:rsid w:val="001A4780"/>
    <w:rsid w:val="001A4881"/>
    <w:rsid w:val="001A4B57"/>
    <w:rsid w:val="001A4F7F"/>
    <w:rsid w:val="001A5089"/>
    <w:rsid w:val="001A5C8D"/>
    <w:rsid w:val="001A6342"/>
    <w:rsid w:val="001A637E"/>
    <w:rsid w:val="001A652B"/>
    <w:rsid w:val="001A657D"/>
    <w:rsid w:val="001A7C88"/>
    <w:rsid w:val="001A7F1C"/>
    <w:rsid w:val="001B0143"/>
    <w:rsid w:val="001B0472"/>
    <w:rsid w:val="001B06B5"/>
    <w:rsid w:val="001B0B8E"/>
    <w:rsid w:val="001B102B"/>
    <w:rsid w:val="001B11CD"/>
    <w:rsid w:val="001B1B4D"/>
    <w:rsid w:val="001B1D8E"/>
    <w:rsid w:val="001B20B4"/>
    <w:rsid w:val="001B21B7"/>
    <w:rsid w:val="001B25DC"/>
    <w:rsid w:val="001B2678"/>
    <w:rsid w:val="001B40F8"/>
    <w:rsid w:val="001B4B35"/>
    <w:rsid w:val="001B531E"/>
    <w:rsid w:val="001B55DF"/>
    <w:rsid w:val="001B5EAC"/>
    <w:rsid w:val="001B616C"/>
    <w:rsid w:val="001B627A"/>
    <w:rsid w:val="001B63F7"/>
    <w:rsid w:val="001B648A"/>
    <w:rsid w:val="001B6C5E"/>
    <w:rsid w:val="001B75FB"/>
    <w:rsid w:val="001B76F4"/>
    <w:rsid w:val="001B77C3"/>
    <w:rsid w:val="001C0611"/>
    <w:rsid w:val="001C0653"/>
    <w:rsid w:val="001C0748"/>
    <w:rsid w:val="001C114E"/>
    <w:rsid w:val="001C1332"/>
    <w:rsid w:val="001C1BF1"/>
    <w:rsid w:val="001C1EEF"/>
    <w:rsid w:val="001C206C"/>
    <w:rsid w:val="001C243C"/>
    <w:rsid w:val="001C24BF"/>
    <w:rsid w:val="001C26A0"/>
    <w:rsid w:val="001C2748"/>
    <w:rsid w:val="001C2900"/>
    <w:rsid w:val="001C2BDA"/>
    <w:rsid w:val="001C2C05"/>
    <w:rsid w:val="001C2E70"/>
    <w:rsid w:val="001C2F81"/>
    <w:rsid w:val="001C302B"/>
    <w:rsid w:val="001C3C8B"/>
    <w:rsid w:val="001C3F9F"/>
    <w:rsid w:val="001C41F9"/>
    <w:rsid w:val="001C43BB"/>
    <w:rsid w:val="001C479F"/>
    <w:rsid w:val="001C499B"/>
    <w:rsid w:val="001C4AC0"/>
    <w:rsid w:val="001C4B0F"/>
    <w:rsid w:val="001C4F2F"/>
    <w:rsid w:val="001C5048"/>
    <w:rsid w:val="001C5504"/>
    <w:rsid w:val="001C62B5"/>
    <w:rsid w:val="001C685A"/>
    <w:rsid w:val="001C6E80"/>
    <w:rsid w:val="001C70C3"/>
    <w:rsid w:val="001C7153"/>
    <w:rsid w:val="001C78B4"/>
    <w:rsid w:val="001C7937"/>
    <w:rsid w:val="001C7BD4"/>
    <w:rsid w:val="001C7CA1"/>
    <w:rsid w:val="001D09D0"/>
    <w:rsid w:val="001D14AC"/>
    <w:rsid w:val="001D169E"/>
    <w:rsid w:val="001D19A9"/>
    <w:rsid w:val="001D1AF1"/>
    <w:rsid w:val="001D2208"/>
    <w:rsid w:val="001D25CB"/>
    <w:rsid w:val="001D272E"/>
    <w:rsid w:val="001D285A"/>
    <w:rsid w:val="001D2ABC"/>
    <w:rsid w:val="001D2C3C"/>
    <w:rsid w:val="001D2DA2"/>
    <w:rsid w:val="001D2EE3"/>
    <w:rsid w:val="001D3318"/>
    <w:rsid w:val="001D371D"/>
    <w:rsid w:val="001D38C2"/>
    <w:rsid w:val="001D46DF"/>
    <w:rsid w:val="001D48A4"/>
    <w:rsid w:val="001D5016"/>
    <w:rsid w:val="001D5589"/>
    <w:rsid w:val="001D599D"/>
    <w:rsid w:val="001D66F1"/>
    <w:rsid w:val="001D6C22"/>
    <w:rsid w:val="001D701F"/>
    <w:rsid w:val="001D70BF"/>
    <w:rsid w:val="001D7BCD"/>
    <w:rsid w:val="001E00D9"/>
    <w:rsid w:val="001E04DE"/>
    <w:rsid w:val="001E05B5"/>
    <w:rsid w:val="001E0A22"/>
    <w:rsid w:val="001E0A77"/>
    <w:rsid w:val="001E0F47"/>
    <w:rsid w:val="001E13C5"/>
    <w:rsid w:val="001E1559"/>
    <w:rsid w:val="001E1874"/>
    <w:rsid w:val="001E18AC"/>
    <w:rsid w:val="001E1926"/>
    <w:rsid w:val="001E24B5"/>
    <w:rsid w:val="001E2729"/>
    <w:rsid w:val="001E27EC"/>
    <w:rsid w:val="001E2AC2"/>
    <w:rsid w:val="001E2E8E"/>
    <w:rsid w:val="001E3187"/>
    <w:rsid w:val="001E35BF"/>
    <w:rsid w:val="001E35D2"/>
    <w:rsid w:val="001E37CF"/>
    <w:rsid w:val="001E4B1D"/>
    <w:rsid w:val="001E5479"/>
    <w:rsid w:val="001E55CD"/>
    <w:rsid w:val="001E5737"/>
    <w:rsid w:val="001E5F29"/>
    <w:rsid w:val="001E6802"/>
    <w:rsid w:val="001E6B0E"/>
    <w:rsid w:val="001E6D5D"/>
    <w:rsid w:val="001E6EE1"/>
    <w:rsid w:val="001E7E60"/>
    <w:rsid w:val="001F018E"/>
    <w:rsid w:val="001F019F"/>
    <w:rsid w:val="001F07B9"/>
    <w:rsid w:val="001F09C2"/>
    <w:rsid w:val="001F0B04"/>
    <w:rsid w:val="001F0C13"/>
    <w:rsid w:val="001F126D"/>
    <w:rsid w:val="001F157A"/>
    <w:rsid w:val="001F1868"/>
    <w:rsid w:val="001F1A82"/>
    <w:rsid w:val="001F2449"/>
    <w:rsid w:val="001F2645"/>
    <w:rsid w:val="001F294E"/>
    <w:rsid w:val="001F2A1C"/>
    <w:rsid w:val="001F2A57"/>
    <w:rsid w:val="001F2DCA"/>
    <w:rsid w:val="001F30EE"/>
    <w:rsid w:val="001F3221"/>
    <w:rsid w:val="001F33A0"/>
    <w:rsid w:val="001F3AE4"/>
    <w:rsid w:val="001F3C0E"/>
    <w:rsid w:val="001F3C4B"/>
    <w:rsid w:val="001F3E2C"/>
    <w:rsid w:val="001F40B3"/>
    <w:rsid w:val="001F4B16"/>
    <w:rsid w:val="001F4C39"/>
    <w:rsid w:val="001F65A3"/>
    <w:rsid w:val="001F6856"/>
    <w:rsid w:val="001F73D9"/>
    <w:rsid w:val="001F7478"/>
    <w:rsid w:val="001F7EDD"/>
    <w:rsid w:val="001F7FCA"/>
    <w:rsid w:val="00200212"/>
    <w:rsid w:val="002008BE"/>
    <w:rsid w:val="0020111B"/>
    <w:rsid w:val="002019C7"/>
    <w:rsid w:val="00201E61"/>
    <w:rsid w:val="00201F2D"/>
    <w:rsid w:val="00201FE8"/>
    <w:rsid w:val="002024FC"/>
    <w:rsid w:val="0020264D"/>
    <w:rsid w:val="002027BD"/>
    <w:rsid w:val="00202936"/>
    <w:rsid w:val="00202AE4"/>
    <w:rsid w:val="002031C1"/>
    <w:rsid w:val="00203830"/>
    <w:rsid w:val="00203C7C"/>
    <w:rsid w:val="00203D79"/>
    <w:rsid w:val="00204411"/>
    <w:rsid w:val="00204F44"/>
    <w:rsid w:val="002051D4"/>
    <w:rsid w:val="00205758"/>
    <w:rsid w:val="00205782"/>
    <w:rsid w:val="00205B56"/>
    <w:rsid w:val="00205C40"/>
    <w:rsid w:val="00205D66"/>
    <w:rsid w:val="00205EF7"/>
    <w:rsid w:val="0020640C"/>
    <w:rsid w:val="002069B7"/>
    <w:rsid w:val="00206B72"/>
    <w:rsid w:val="00206E10"/>
    <w:rsid w:val="00206E87"/>
    <w:rsid w:val="00206F81"/>
    <w:rsid w:val="00207016"/>
    <w:rsid w:val="00207034"/>
    <w:rsid w:val="00207622"/>
    <w:rsid w:val="002104A6"/>
    <w:rsid w:val="00210673"/>
    <w:rsid w:val="00210D2D"/>
    <w:rsid w:val="0021164B"/>
    <w:rsid w:val="0021176B"/>
    <w:rsid w:val="00211CA5"/>
    <w:rsid w:val="002121E4"/>
    <w:rsid w:val="0021222A"/>
    <w:rsid w:val="002125F9"/>
    <w:rsid w:val="002125FF"/>
    <w:rsid w:val="00212C1C"/>
    <w:rsid w:val="00212E37"/>
    <w:rsid w:val="00213330"/>
    <w:rsid w:val="00213371"/>
    <w:rsid w:val="002137DF"/>
    <w:rsid w:val="002139CB"/>
    <w:rsid w:val="00213D3C"/>
    <w:rsid w:val="00214143"/>
    <w:rsid w:val="0021448A"/>
    <w:rsid w:val="002146DA"/>
    <w:rsid w:val="00214773"/>
    <w:rsid w:val="00214FEB"/>
    <w:rsid w:val="0021514C"/>
    <w:rsid w:val="00215773"/>
    <w:rsid w:val="00215B62"/>
    <w:rsid w:val="00216014"/>
    <w:rsid w:val="00216207"/>
    <w:rsid w:val="002168AE"/>
    <w:rsid w:val="00216C14"/>
    <w:rsid w:val="00216E8F"/>
    <w:rsid w:val="00217811"/>
    <w:rsid w:val="00220B91"/>
    <w:rsid w:val="00220E16"/>
    <w:rsid w:val="00220FF5"/>
    <w:rsid w:val="00221055"/>
    <w:rsid w:val="00221421"/>
    <w:rsid w:val="00221450"/>
    <w:rsid w:val="002214C9"/>
    <w:rsid w:val="00221D4E"/>
    <w:rsid w:val="00221EF8"/>
    <w:rsid w:val="00221F4F"/>
    <w:rsid w:val="002224A3"/>
    <w:rsid w:val="00223A42"/>
    <w:rsid w:val="00224104"/>
    <w:rsid w:val="00224DB1"/>
    <w:rsid w:val="00225079"/>
    <w:rsid w:val="00225113"/>
    <w:rsid w:val="002251B7"/>
    <w:rsid w:val="002252F7"/>
    <w:rsid w:val="0022588B"/>
    <w:rsid w:val="00225DF5"/>
    <w:rsid w:val="0022609D"/>
    <w:rsid w:val="0022618F"/>
    <w:rsid w:val="00226386"/>
    <w:rsid w:val="0022648D"/>
    <w:rsid w:val="00226B61"/>
    <w:rsid w:val="00226C0B"/>
    <w:rsid w:val="00226CB0"/>
    <w:rsid w:val="0022705E"/>
    <w:rsid w:val="00227508"/>
    <w:rsid w:val="00227887"/>
    <w:rsid w:val="00227B03"/>
    <w:rsid w:val="00227F84"/>
    <w:rsid w:val="0023035E"/>
    <w:rsid w:val="002307B2"/>
    <w:rsid w:val="002308BC"/>
    <w:rsid w:val="002308E1"/>
    <w:rsid w:val="0023099B"/>
    <w:rsid w:val="002309E8"/>
    <w:rsid w:val="00230AC8"/>
    <w:rsid w:val="00230C63"/>
    <w:rsid w:val="002310A7"/>
    <w:rsid w:val="0023116F"/>
    <w:rsid w:val="00231FDB"/>
    <w:rsid w:val="002325FB"/>
    <w:rsid w:val="00232703"/>
    <w:rsid w:val="00232824"/>
    <w:rsid w:val="0023298F"/>
    <w:rsid w:val="002329B1"/>
    <w:rsid w:val="00232D34"/>
    <w:rsid w:val="00232EC1"/>
    <w:rsid w:val="002331FD"/>
    <w:rsid w:val="0023329F"/>
    <w:rsid w:val="00233518"/>
    <w:rsid w:val="0023366B"/>
    <w:rsid w:val="0023372E"/>
    <w:rsid w:val="00233C8B"/>
    <w:rsid w:val="00233CC6"/>
    <w:rsid w:val="00233F8F"/>
    <w:rsid w:val="0023402A"/>
    <w:rsid w:val="00234111"/>
    <w:rsid w:val="002344EC"/>
    <w:rsid w:val="0023468B"/>
    <w:rsid w:val="00234AC1"/>
    <w:rsid w:val="00234B4B"/>
    <w:rsid w:val="00235448"/>
    <w:rsid w:val="0023599E"/>
    <w:rsid w:val="00235A3C"/>
    <w:rsid w:val="00235F58"/>
    <w:rsid w:val="002366DD"/>
    <w:rsid w:val="0023677E"/>
    <w:rsid w:val="00237721"/>
    <w:rsid w:val="00237BC1"/>
    <w:rsid w:val="0024010C"/>
    <w:rsid w:val="0024061C"/>
    <w:rsid w:val="002411E8"/>
    <w:rsid w:val="00241BC8"/>
    <w:rsid w:val="00241D41"/>
    <w:rsid w:val="0024280E"/>
    <w:rsid w:val="00243224"/>
    <w:rsid w:val="002434A7"/>
    <w:rsid w:val="00244291"/>
    <w:rsid w:val="00244882"/>
    <w:rsid w:val="00246851"/>
    <w:rsid w:val="002468AE"/>
    <w:rsid w:val="00246D02"/>
    <w:rsid w:val="00246D9D"/>
    <w:rsid w:val="002477E9"/>
    <w:rsid w:val="00247828"/>
    <w:rsid w:val="00247C83"/>
    <w:rsid w:val="002509EE"/>
    <w:rsid w:val="00250D47"/>
    <w:rsid w:val="00251555"/>
    <w:rsid w:val="0025183D"/>
    <w:rsid w:val="00251ACE"/>
    <w:rsid w:val="00251FA9"/>
    <w:rsid w:val="00252017"/>
    <w:rsid w:val="00252036"/>
    <w:rsid w:val="00252B31"/>
    <w:rsid w:val="00252DC2"/>
    <w:rsid w:val="00253109"/>
    <w:rsid w:val="00253678"/>
    <w:rsid w:val="00253C48"/>
    <w:rsid w:val="002541D0"/>
    <w:rsid w:val="002548B1"/>
    <w:rsid w:val="0025561E"/>
    <w:rsid w:val="002557C7"/>
    <w:rsid w:val="00256013"/>
    <w:rsid w:val="0025646B"/>
    <w:rsid w:val="00256E13"/>
    <w:rsid w:val="00257066"/>
    <w:rsid w:val="002578DF"/>
    <w:rsid w:val="00257A5B"/>
    <w:rsid w:val="00260461"/>
    <w:rsid w:val="00260656"/>
    <w:rsid w:val="002606F8"/>
    <w:rsid w:val="00261101"/>
    <w:rsid w:val="0026165B"/>
    <w:rsid w:val="00261743"/>
    <w:rsid w:val="00261C6D"/>
    <w:rsid w:val="00261D4C"/>
    <w:rsid w:val="00261E20"/>
    <w:rsid w:val="00261E3C"/>
    <w:rsid w:val="00262F5B"/>
    <w:rsid w:val="00262F63"/>
    <w:rsid w:val="00263072"/>
    <w:rsid w:val="00263773"/>
    <w:rsid w:val="0026444D"/>
    <w:rsid w:val="00264752"/>
    <w:rsid w:val="00264787"/>
    <w:rsid w:val="002650E3"/>
    <w:rsid w:val="00265B1A"/>
    <w:rsid w:val="00265E58"/>
    <w:rsid w:val="002662C7"/>
    <w:rsid w:val="00266603"/>
    <w:rsid w:val="002674BC"/>
    <w:rsid w:val="00267C19"/>
    <w:rsid w:val="00267FCC"/>
    <w:rsid w:val="0027098C"/>
    <w:rsid w:val="00270A70"/>
    <w:rsid w:val="00270C5C"/>
    <w:rsid w:val="00270F23"/>
    <w:rsid w:val="002715EC"/>
    <w:rsid w:val="00271861"/>
    <w:rsid w:val="00271934"/>
    <w:rsid w:val="002721B5"/>
    <w:rsid w:val="00272416"/>
    <w:rsid w:val="00272D29"/>
    <w:rsid w:val="00272E37"/>
    <w:rsid w:val="00273C7F"/>
    <w:rsid w:val="00273DE8"/>
    <w:rsid w:val="00273E61"/>
    <w:rsid w:val="002741A6"/>
    <w:rsid w:val="00274494"/>
    <w:rsid w:val="002756F8"/>
    <w:rsid w:val="002759C5"/>
    <w:rsid w:val="00275D78"/>
    <w:rsid w:val="00275E59"/>
    <w:rsid w:val="00275F12"/>
    <w:rsid w:val="002765F4"/>
    <w:rsid w:val="002769EA"/>
    <w:rsid w:val="00276BA1"/>
    <w:rsid w:val="00276EA0"/>
    <w:rsid w:val="00277890"/>
    <w:rsid w:val="00277B3D"/>
    <w:rsid w:val="002802DC"/>
    <w:rsid w:val="00280706"/>
    <w:rsid w:val="00280F8D"/>
    <w:rsid w:val="00281606"/>
    <w:rsid w:val="00281E5D"/>
    <w:rsid w:val="00281EC3"/>
    <w:rsid w:val="00282592"/>
    <w:rsid w:val="00283084"/>
    <w:rsid w:val="00283251"/>
    <w:rsid w:val="002833CC"/>
    <w:rsid w:val="00283421"/>
    <w:rsid w:val="00283D22"/>
    <w:rsid w:val="0028412B"/>
    <w:rsid w:val="002847DC"/>
    <w:rsid w:val="00284C17"/>
    <w:rsid w:val="00284EBB"/>
    <w:rsid w:val="00284F64"/>
    <w:rsid w:val="002851FB"/>
    <w:rsid w:val="0028552E"/>
    <w:rsid w:val="00286239"/>
    <w:rsid w:val="00286461"/>
    <w:rsid w:val="0028663A"/>
    <w:rsid w:val="00286B0E"/>
    <w:rsid w:val="00286B4B"/>
    <w:rsid w:val="00286BD1"/>
    <w:rsid w:val="00287088"/>
    <w:rsid w:val="0028710A"/>
    <w:rsid w:val="00287283"/>
    <w:rsid w:val="0028732F"/>
    <w:rsid w:val="00287590"/>
    <w:rsid w:val="00287BFE"/>
    <w:rsid w:val="00287E08"/>
    <w:rsid w:val="00287F30"/>
    <w:rsid w:val="00287FE6"/>
    <w:rsid w:val="00290222"/>
    <w:rsid w:val="0029079D"/>
    <w:rsid w:val="00290C72"/>
    <w:rsid w:val="00290CE2"/>
    <w:rsid w:val="002913B9"/>
    <w:rsid w:val="00291524"/>
    <w:rsid w:val="002917E3"/>
    <w:rsid w:val="002919AB"/>
    <w:rsid w:val="00291A0A"/>
    <w:rsid w:val="00291BF2"/>
    <w:rsid w:val="00291D71"/>
    <w:rsid w:val="00292313"/>
    <w:rsid w:val="00292614"/>
    <w:rsid w:val="00292C86"/>
    <w:rsid w:val="002930F5"/>
    <w:rsid w:val="00293C3E"/>
    <w:rsid w:val="00293F49"/>
    <w:rsid w:val="0029439C"/>
    <w:rsid w:val="0029493A"/>
    <w:rsid w:val="00294A4E"/>
    <w:rsid w:val="00294D6F"/>
    <w:rsid w:val="00295279"/>
    <w:rsid w:val="0029595E"/>
    <w:rsid w:val="0029603B"/>
    <w:rsid w:val="0029641D"/>
    <w:rsid w:val="00296675"/>
    <w:rsid w:val="002967CF"/>
    <w:rsid w:val="00296A9E"/>
    <w:rsid w:val="00296E62"/>
    <w:rsid w:val="002972DF"/>
    <w:rsid w:val="0029765E"/>
    <w:rsid w:val="002A0633"/>
    <w:rsid w:val="002A0826"/>
    <w:rsid w:val="002A0DD3"/>
    <w:rsid w:val="002A0FC3"/>
    <w:rsid w:val="002A12F1"/>
    <w:rsid w:val="002A1346"/>
    <w:rsid w:val="002A1D39"/>
    <w:rsid w:val="002A1D74"/>
    <w:rsid w:val="002A1F07"/>
    <w:rsid w:val="002A2043"/>
    <w:rsid w:val="002A25CB"/>
    <w:rsid w:val="002A2BFE"/>
    <w:rsid w:val="002A2C89"/>
    <w:rsid w:val="002A2D73"/>
    <w:rsid w:val="002A339F"/>
    <w:rsid w:val="002A395B"/>
    <w:rsid w:val="002A431A"/>
    <w:rsid w:val="002A432B"/>
    <w:rsid w:val="002A4B7E"/>
    <w:rsid w:val="002A4BB1"/>
    <w:rsid w:val="002A4C04"/>
    <w:rsid w:val="002A4F95"/>
    <w:rsid w:val="002A5206"/>
    <w:rsid w:val="002A5403"/>
    <w:rsid w:val="002A56DA"/>
    <w:rsid w:val="002A571E"/>
    <w:rsid w:val="002A59FD"/>
    <w:rsid w:val="002A5DA0"/>
    <w:rsid w:val="002A65FE"/>
    <w:rsid w:val="002A6669"/>
    <w:rsid w:val="002A69BC"/>
    <w:rsid w:val="002A69C8"/>
    <w:rsid w:val="002A6DDE"/>
    <w:rsid w:val="002A7272"/>
    <w:rsid w:val="002A7556"/>
    <w:rsid w:val="002A78E4"/>
    <w:rsid w:val="002A7E8B"/>
    <w:rsid w:val="002B0F56"/>
    <w:rsid w:val="002B13CB"/>
    <w:rsid w:val="002B16E0"/>
    <w:rsid w:val="002B1A2F"/>
    <w:rsid w:val="002B1B05"/>
    <w:rsid w:val="002B1D72"/>
    <w:rsid w:val="002B1E91"/>
    <w:rsid w:val="002B1EF1"/>
    <w:rsid w:val="002B22EF"/>
    <w:rsid w:val="002B278A"/>
    <w:rsid w:val="002B3111"/>
    <w:rsid w:val="002B32FC"/>
    <w:rsid w:val="002B3BCE"/>
    <w:rsid w:val="002B3E02"/>
    <w:rsid w:val="002B407B"/>
    <w:rsid w:val="002B417F"/>
    <w:rsid w:val="002B468E"/>
    <w:rsid w:val="002B4AAD"/>
    <w:rsid w:val="002B4DA6"/>
    <w:rsid w:val="002B4F0D"/>
    <w:rsid w:val="002B5024"/>
    <w:rsid w:val="002B525E"/>
    <w:rsid w:val="002B5898"/>
    <w:rsid w:val="002B59CA"/>
    <w:rsid w:val="002B5BA7"/>
    <w:rsid w:val="002B5DF9"/>
    <w:rsid w:val="002B5FB0"/>
    <w:rsid w:val="002B626A"/>
    <w:rsid w:val="002B69F7"/>
    <w:rsid w:val="002B6BE2"/>
    <w:rsid w:val="002B709D"/>
    <w:rsid w:val="002B70F6"/>
    <w:rsid w:val="002B7189"/>
    <w:rsid w:val="002B7900"/>
    <w:rsid w:val="002B7948"/>
    <w:rsid w:val="002C0060"/>
    <w:rsid w:val="002C0078"/>
    <w:rsid w:val="002C0B24"/>
    <w:rsid w:val="002C0B97"/>
    <w:rsid w:val="002C10F7"/>
    <w:rsid w:val="002C1218"/>
    <w:rsid w:val="002C134A"/>
    <w:rsid w:val="002C1409"/>
    <w:rsid w:val="002C18B4"/>
    <w:rsid w:val="002C1D69"/>
    <w:rsid w:val="002C1E79"/>
    <w:rsid w:val="002C1E98"/>
    <w:rsid w:val="002C1E9C"/>
    <w:rsid w:val="002C2270"/>
    <w:rsid w:val="002C22E5"/>
    <w:rsid w:val="002C2532"/>
    <w:rsid w:val="002C2E51"/>
    <w:rsid w:val="002C2F4A"/>
    <w:rsid w:val="002C30A7"/>
    <w:rsid w:val="002C3DB9"/>
    <w:rsid w:val="002C431F"/>
    <w:rsid w:val="002C4C80"/>
    <w:rsid w:val="002C5202"/>
    <w:rsid w:val="002C522F"/>
    <w:rsid w:val="002C6236"/>
    <w:rsid w:val="002C62A6"/>
    <w:rsid w:val="002C6444"/>
    <w:rsid w:val="002C6677"/>
    <w:rsid w:val="002C6BA0"/>
    <w:rsid w:val="002C6F73"/>
    <w:rsid w:val="002C70A1"/>
    <w:rsid w:val="002C7C1A"/>
    <w:rsid w:val="002C7E63"/>
    <w:rsid w:val="002D0E5F"/>
    <w:rsid w:val="002D11A3"/>
    <w:rsid w:val="002D16DB"/>
    <w:rsid w:val="002D18FC"/>
    <w:rsid w:val="002D1953"/>
    <w:rsid w:val="002D19B4"/>
    <w:rsid w:val="002D20A7"/>
    <w:rsid w:val="002D20EC"/>
    <w:rsid w:val="002D21E4"/>
    <w:rsid w:val="002D22A0"/>
    <w:rsid w:val="002D2B57"/>
    <w:rsid w:val="002D2F09"/>
    <w:rsid w:val="002D33D6"/>
    <w:rsid w:val="002D34BC"/>
    <w:rsid w:val="002D35D0"/>
    <w:rsid w:val="002D3A99"/>
    <w:rsid w:val="002D3F35"/>
    <w:rsid w:val="002D4703"/>
    <w:rsid w:val="002D535D"/>
    <w:rsid w:val="002D548B"/>
    <w:rsid w:val="002D58E5"/>
    <w:rsid w:val="002D5F47"/>
    <w:rsid w:val="002D60FB"/>
    <w:rsid w:val="002D62EA"/>
    <w:rsid w:val="002D6996"/>
    <w:rsid w:val="002D6AB5"/>
    <w:rsid w:val="002D7D47"/>
    <w:rsid w:val="002E0263"/>
    <w:rsid w:val="002E0B8F"/>
    <w:rsid w:val="002E0C25"/>
    <w:rsid w:val="002E116E"/>
    <w:rsid w:val="002E149C"/>
    <w:rsid w:val="002E1AA5"/>
    <w:rsid w:val="002E1E43"/>
    <w:rsid w:val="002E26B3"/>
    <w:rsid w:val="002E2D95"/>
    <w:rsid w:val="002E31A4"/>
    <w:rsid w:val="002E4172"/>
    <w:rsid w:val="002E455D"/>
    <w:rsid w:val="002E45C6"/>
    <w:rsid w:val="002E652E"/>
    <w:rsid w:val="002E6559"/>
    <w:rsid w:val="002E685A"/>
    <w:rsid w:val="002E6ABC"/>
    <w:rsid w:val="002E72B2"/>
    <w:rsid w:val="002E75A6"/>
    <w:rsid w:val="002E75F5"/>
    <w:rsid w:val="002F00FF"/>
    <w:rsid w:val="002F03C5"/>
    <w:rsid w:val="002F0CC6"/>
    <w:rsid w:val="002F0D66"/>
    <w:rsid w:val="002F0FF8"/>
    <w:rsid w:val="002F11F3"/>
    <w:rsid w:val="002F148F"/>
    <w:rsid w:val="002F1911"/>
    <w:rsid w:val="002F1D8C"/>
    <w:rsid w:val="002F1EE5"/>
    <w:rsid w:val="002F27BC"/>
    <w:rsid w:val="002F2CDC"/>
    <w:rsid w:val="002F2D68"/>
    <w:rsid w:val="002F3582"/>
    <w:rsid w:val="002F3C64"/>
    <w:rsid w:val="002F3F2F"/>
    <w:rsid w:val="002F43F5"/>
    <w:rsid w:val="002F4581"/>
    <w:rsid w:val="002F460A"/>
    <w:rsid w:val="002F46E1"/>
    <w:rsid w:val="002F4D7C"/>
    <w:rsid w:val="002F50BA"/>
    <w:rsid w:val="002F52A7"/>
    <w:rsid w:val="002F540A"/>
    <w:rsid w:val="002F5C0F"/>
    <w:rsid w:val="002F6316"/>
    <w:rsid w:val="002F660C"/>
    <w:rsid w:val="002F6A62"/>
    <w:rsid w:val="002F6C84"/>
    <w:rsid w:val="002F6FE1"/>
    <w:rsid w:val="002F7171"/>
    <w:rsid w:val="002F79F4"/>
    <w:rsid w:val="002F7B8F"/>
    <w:rsid w:val="002F7FCB"/>
    <w:rsid w:val="0030063B"/>
    <w:rsid w:val="003006A0"/>
    <w:rsid w:val="003007B5"/>
    <w:rsid w:val="00300AA0"/>
    <w:rsid w:val="0030137B"/>
    <w:rsid w:val="0030172B"/>
    <w:rsid w:val="00301798"/>
    <w:rsid w:val="00301897"/>
    <w:rsid w:val="00301B2D"/>
    <w:rsid w:val="00301E85"/>
    <w:rsid w:val="00302084"/>
    <w:rsid w:val="00302635"/>
    <w:rsid w:val="00302826"/>
    <w:rsid w:val="00302CD5"/>
    <w:rsid w:val="00302EA9"/>
    <w:rsid w:val="00303552"/>
    <w:rsid w:val="0030383E"/>
    <w:rsid w:val="003038AA"/>
    <w:rsid w:val="00303ADC"/>
    <w:rsid w:val="00303AFA"/>
    <w:rsid w:val="00303B82"/>
    <w:rsid w:val="00304161"/>
    <w:rsid w:val="00304678"/>
    <w:rsid w:val="00304D95"/>
    <w:rsid w:val="00305763"/>
    <w:rsid w:val="00305947"/>
    <w:rsid w:val="00306732"/>
    <w:rsid w:val="00306A0B"/>
    <w:rsid w:val="00307010"/>
    <w:rsid w:val="003070FA"/>
    <w:rsid w:val="00307186"/>
    <w:rsid w:val="003077A5"/>
    <w:rsid w:val="00307F9B"/>
    <w:rsid w:val="00310188"/>
    <w:rsid w:val="003103BE"/>
    <w:rsid w:val="00310409"/>
    <w:rsid w:val="00310F45"/>
    <w:rsid w:val="00311460"/>
    <w:rsid w:val="00311E4A"/>
    <w:rsid w:val="003121A6"/>
    <w:rsid w:val="00312777"/>
    <w:rsid w:val="003127D5"/>
    <w:rsid w:val="00312878"/>
    <w:rsid w:val="00312B67"/>
    <w:rsid w:val="00312DFD"/>
    <w:rsid w:val="003131DA"/>
    <w:rsid w:val="00313290"/>
    <w:rsid w:val="003132D1"/>
    <w:rsid w:val="00313783"/>
    <w:rsid w:val="00313C71"/>
    <w:rsid w:val="00313C7C"/>
    <w:rsid w:val="00313D44"/>
    <w:rsid w:val="00314563"/>
    <w:rsid w:val="003148A8"/>
    <w:rsid w:val="003148D6"/>
    <w:rsid w:val="00314B9F"/>
    <w:rsid w:val="00314BF3"/>
    <w:rsid w:val="00314C6B"/>
    <w:rsid w:val="00314C8A"/>
    <w:rsid w:val="003155D2"/>
    <w:rsid w:val="003155D5"/>
    <w:rsid w:val="0031567F"/>
    <w:rsid w:val="00315A8B"/>
    <w:rsid w:val="00315F32"/>
    <w:rsid w:val="0031643E"/>
    <w:rsid w:val="00316E30"/>
    <w:rsid w:val="003171D9"/>
    <w:rsid w:val="003174A2"/>
    <w:rsid w:val="003177F2"/>
    <w:rsid w:val="00317C18"/>
    <w:rsid w:val="00317DE3"/>
    <w:rsid w:val="00317E09"/>
    <w:rsid w:val="00320048"/>
    <w:rsid w:val="00320566"/>
    <w:rsid w:val="00320993"/>
    <w:rsid w:val="00320996"/>
    <w:rsid w:val="00320DBB"/>
    <w:rsid w:val="003211F1"/>
    <w:rsid w:val="00321823"/>
    <w:rsid w:val="00321887"/>
    <w:rsid w:val="003218FA"/>
    <w:rsid w:val="003223DE"/>
    <w:rsid w:val="003226F3"/>
    <w:rsid w:val="003228AC"/>
    <w:rsid w:val="003228EA"/>
    <w:rsid w:val="00322B57"/>
    <w:rsid w:val="00322FCD"/>
    <w:rsid w:val="0032310A"/>
    <w:rsid w:val="00323783"/>
    <w:rsid w:val="00323DC0"/>
    <w:rsid w:val="00323F7B"/>
    <w:rsid w:val="003240F6"/>
    <w:rsid w:val="00324208"/>
    <w:rsid w:val="0032458F"/>
    <w:rsid w:val="003245AA"/>
    <w:rsid w:val="00324AF7"/>
    <w:rsid w:val="003259A3"/>
    <w:rsid w:val="00325A7A"/>
    <w:rsid w:val="00325ABC"/>
    <w:rsid w:val="00325DDA"/>
    <w:rsid w:val="003266F4"/>
    <w:rsid w:val="0032670D"/>
    <w:rsid w:val="00326ED8"/>
    <w:rsid w:val="00326F1D"/>
    <w:rsid w:val="00327D35"/>
    <w:rsid w:val="00330385"/>
    <w:rsid w:val="003308AC"/>
    <w:rsid w:val="00330B40"/>
    <w:rsid w:val="00330B78"/>
    <w:rsid w:val="003311C4"/>
    <w:rsid w:val="0033180A"/>
    <w:rsid w:val="0033185B"/>
    <w:rsid w:val="00331FBE"/>
    <w:rsid w:val="003323BB"/>
    <w:rsid w:val="0033253F"/>
    <w:rsid w:val="003327A4"/>
    <w:rsid w:val="0033295D"/>
    <w:rsid w:val="0033296A"/>
    <w:rsid w:val="00332DFF"/>
    <w:rsid w:val="00332E65"/>
    <w:rsid w:val="00333128"/>
    <w:rsid w:val="00333223"/>
    <w:rsid w:val="003346CE"/>
    <w:rsid w:val="00334DF1"/>
    <w:rsid w:val="0033515F"/>
    <w:rsid w:val="00335467"/>
    <w:rsid w:val="00335474"/>
    <w:rsid w:val="003356C8"/>
    <w:rsid w:val="00335AFA"/>
    <w:rsid w:val="003367B9"/>
    <w:rsid w:val="00337797"/>
    <w:rsid w:val="003377BE"/>
    <w:rsid w:val="00340878"/>
    <w:rsid w:val="00340B7E"/>
    <w:rsid w:val="00340BFC"/>
    <w:rsid w:val="00340D15"/>
    <w:rsid w:val="00340D58"/>
    <w:rsid w:val="00341011"/>
    <w:rsid w:val="0034111B"/>
    <w:rsid w:val="00341440"/>
    <w:rsid w:val="003414D2"/>
    <w:rsid w:val="003416BB"/>
    <w:rsid w:val="003417AD"/>
    <w:rsid w:val="00341A8C"/>
    <w:rsid w:val="003422F0"/>
    <w:rsid w:val="0034257E"/>
    <w:rsid w:val="00342877"/>
    <w:rsid w:val="00342895"/>
    <w:rsid w:val="0034333F"/>
    <w:rsid w:val="00343DB9"/>
    <w:rsid w:val="00344502"/>
    <w:rsid w:val="0034538F"/>
    <w:rsid w:val="00345754"/>
    <w:rsid w:val="003459BC"/>
    <w:rsid w:val="00345A10"/>
    <w:rsid w:val="00345B71"/>
    <w:rsid w:val="0034689D"/>
    <w:rsid w:val="003469F1"/>
    <w:rsid w:val="00346A8C"/>
    <w:rsid w:val="00346C96"/>
    <w:rsid w:val="00346F98"/>
    <w:rsid w:val="00347009"/>
    <w:rsid w:val="00347992"/>
    <w:rsid w:val="00347A62"/>
    <w:rsid w:val="00347D0F"/>
    <w:rsid w:val="00347E52"/>
    <w:rsid w:val="003501F6"/>
    <w:rsid w:val="00350E74"/>
    <w:rsid w:val="00351D3A"/>
    <w:rsid w:val="00352335"/>
    <w:rsid w:val="00352505"/>
    <w:rsid w:val="003528AE"/>
    <w:rsid w:val="00352904"/>
    <w:rsid w:val="00352A62"/>
    <w:rsid w:val="00352B17"/>
    <w:rsid w:val="0035309B"/>
    <w:rsid w:val="0035403B"/>
    <w:rsid w:val="0035452D"/>
    <w:rsid w:val="00354A12"/>
    <w:rsid w:val="00354FD7"/>
    <w:rsid w:val="00355116"/>
    <w:rsid w:val="00355379"/>
    <w:rsid w:val="00355AC5"/>
    <w:rsid w:val="0035613B"/>
    <w:rsid w:val="003561CB"/>
    <w:rsid w:val="00356253"/>
    <w:rsid w:val="00356756"/>
    <w:rsid w:val="00356AA4"/>
    <w:rsid w:val="003571FB"/>
    <w:rsid w:val="0035750A"/>
    <w:rsid w:val="0035764B"/>
    <w:rsid w:val="00357680"/>
    <w:rsid w:val="003576F7"/>
    <w:rsid w:val="00357982"/>
    <w:rsid w:val="00357D33"/>
    <w:rsid w:val="0036059C"/>
    <w:rsid w:val="003607C5"/>
    <w:rsid w:val="00360AD9"/>
    <w:rsid w:val="00360CF1"/>
    <w:rsid w:val="00360DA1"/>
    <w:rsid w:val="00360DAA"/>
    <w:rsid w:val="003611C4"/>
    <w:rsid w:val="003614B0"/>
    <w:rsid w:val="003617B8"/>
    <w:rsid w:val="003617B9"/>
    <w:rsid w:val="00361E66"/>
    <w:rsid w:val="00362919"/>
    <w:rsid w:val="00362B31"/>
    <w:rsid w:val="00362C4B"/>
    <w:rsid w:val="00362D1B"/>
    <w:rsid w:val="00363169"/>
    <w:rsid w:val="003634EA"/>
    <w:rsid w:val="00363A15"/>
    <w:rsid w:val="00363CDC"/>
    <w:rsid w:val="00363ECF"/>
    <w:rsid w:val="003646FB"/>
    <w:rsid w:val="00364B2A"/>
    <w:rsid w:val="00364C5E"/>
    <w:rsid w:val="00365560"/>
    <w:rsid w:val="00365701"/>
    <w:rsid w:val="0036573A"/>
    <w:rsid w:val="00365E23"/>
    <w:rsid w:val="0036635B"/>
    <w:rsid w:val="0036668C"/>
    <w:rsid w:val="003669A6"/>
    <w:rsid w:val="00366BFF"/>
    <w:rsid w:val="00367382"/>
    <w:rsid w:val="0036747E"/>
    <w:rsid w:val="003701AC"/>
    <w:rsid w:val="00370645"/>
    <w:rsid w:val="00370B30"/>
    <w:rsid w:val="00370CBF"/>
    <w:rsid w:val="00371090"/>
    <w:rsid w:val="003716BA"/>
    <w:rsid w:val="00371A5B"/>
    <w:rsid w:val="003725BF"/>
    <w:rsid w:val="00372773"/>
    <w:rsid w:val="003728D7"/>
    <w:rsid w:val="0037312C"/>
    <w:rsid w:val="003731C3"/>
    <w:rsid w:val="00373F94"/>
    <w:rsid w:val="00374200"/>
    <w:rsid w:val="00374242"/>
    <w:rsid w:val="003742E9"/>
    <w:rsid w:val="00374504"/>
    <w:rsid w:val="00374549"/>
    <w:rsid w:val="00374761"/>
    <w:rsid w:val="0037484D"/>
    <w:rsid w:val="00374C13"/>
    <w:rsid w:val="003750C2"/>
    <w:rsid w:val="003756A8"/>
    <w:rsid w:val="0037647F"/>
    <w:rsid w:val="00376809"/>
    <w:rsid w:val="00376B6A"/>
    <w:rsid w:val="0037705C"/>
    <w:rsid w:val="0037744F"/>
    <w:rsid w:val="003777E2"/>
    <w:rsid w:val="00377A00"/>
    <w:rsid w:val="00377E05"/>
    <w:rsid w:val="0038054D"/>
    <w:rsid w:val="00380981"/>
    <w:rsid w:val="00381046"/>
    <w:rsid w:val="00381260"/>
    <w:rsid w:val="00381F15"/>
    <w:rsid w:val="0038207B"/>
    <w:rsid w:val="003821E7"/>
    <w:rsid w:val="00382326"/>
    <w:rsid w:val="003824DE"/>
    <w:rsid w:val="0038251E"/>
    <w:rsid w:val="00382526"/>
    <w:rsid w:val="0038258C"/>
    <w:rsid w:val="00382636"/>
    <w:rsid w:val="00382BBA"/>
    <w:rsid w:val="00382F70"/>
    <w:rsid w:val="00382F73"/>
    <w:rsid w:val="003831BC"/>
    <w:rsid w:val="003832AD"/>
    <w:rsid w:val="00383731"/>
    <w:rsid w:val="003837CD"/>
    <w:rsid w:val="00383846"/>
    <w:rsid w:val="0038391C"/>
    <w:rsid w:val="00383BA8"/>
    <w:rsid w:val="0038461D"/>
    <w:rsid w:val="00384693"/>
    <w:rsid w:val="0038480A"/>
    <w:rsid w:val="00384AB5"/>
    <w:rsid w:val="00384C46"/>
    <w:rsid w:val="00384C92"/>
    <w:rsid w:val="00384D9B"/>
    <w:rsid w:val="00384DD8"/>
    <w:rsid w:val="00384F61"/>
    <w:rsid w:val="003852C5"/>
    <w:rsid w:val="0038555F"/>
    <w:rsid w:val="0038567B"/>
    <w:rsid w:val="00385912"/>
    <w:rsid w:val="00385979"/>
    <w:rsid w:val="00385D3D"/>
    <w:rsid w:val="003861D5"/>
    <w:rsid w:val="00386D50"/>
    <w:rsid w:val="00387141"/>
    <w:rsid w:val="00387EAE"/>
    <w:rsid w:val="00387EC3"/>
    <w:rsid w:val="003900E9"/>
    <w:rsid w:val="0039064C"/>
    <w:rsid w:val="00390685"/>
    <w:rsid w:val="0039114E"/>
    <w:rsid w:val="00391591"/>
    <w:rsid w:val="00391716"/>
    <w:rsid w:val="0039191D"/>
    <w:rsid w:val="00391ABF"/>
    <w:rsid w:val="00391E30"/>
    <w:rsid w:val="00391E36"/>
    <w:rsid w:val="00392145"/>
    <w:rsid w:val="0039226A"/>
    <w:rsid w:val="003922C1"/>
    <w:rsid w:val="003924E4"/>
    <w:rsid w:val="0039291E"/>
    <w:rsid w:val="00392944"/>
    <w:rsid w:val="00392C57"/>
    <w:rsid w:val="003936DF"/>
    <w:rsid w:val="00393895"/>
    <w:rsid w:val="00393C62"/>
    <w:rsid w:val="00393CE6"/>
    <w:rsid w:val="00393EDF"/>
    <w:rsid w:val="00394211"/>
    <w:rsid w:val="0039436F"/>
    <w:rsid w:val="0039438A"/>
    <w:rsid w:val="00394791"/>
    <w:rsid w:val="003947BF"/>
    <w:rsid w:val="00395229"/>
    <w:rsid w:val="00395286"/>
    <w:rsid w:val="00395F99"/>
    <w:rsid w:val="00396437"/>
    <w:rsid w:val="0039687E"/>
    <w:rsid w:val="00396A34"/>
    <w:rsid w:val="00396DC3"/>
    <w:rsid w:val="0039769A"/>
    <w:rsid w:val="003A0277"/>
    <w:rsid w:val="003A0316"/>
    <w:rsid w:val="003A063D"/>
    <w:rsid w:val="003A090B"/>
    <w:rsid w:val="003A0E93"/>
    <w:rsid w:val="003A12D7"/>
    <w:rsid w:val="003A13DE"/>
    <w:rsid w:val="003A17C3"/>
    <w:rsid w:val="003A219B"/>
    <w:rsid w:val="003A21F8"/>
    <w:rsid w:val="003A24D1"/>
    <w:rsid w:val="003A284B"/>
    <w:rsid w:val="003A293A"/>
    <w:rsid w:val="003A2A56"/>
    <w:rsid w:val="003A2D67"/>
    <w:rsid w:val="003A3642"/>
    <w:rsid w:val="003A36CE"/>
    <w:rsid w:val="003A444D"/>
    <w:rsid w:val="003A46E9"/>
    <w:rsid w:val="003A472D"/>
    <w:rsid w:val="003A4F03"/>
    <w:rsid w:val="003A4FFA"/>
    <w:rsid w:val="003A5101"/>
    <w:rsid w:val="003A510B"/>
    <w:rsid w:val="003A53D3"/>
    <w:rsid w:val="003A550E"/>
    <w:rsid w:val="003A58DC"/>
    <w:rsid w:val="003A5C62"/>
    <w:rsid w:val="003A5CEA"/>
    <w:rsid w:val="003A5D6F"/>
    <w:rsid w:val="003A5D88"/>
    <w:rsid w:val="003A63DB"/>
    <w:rsid w:val="003A684C"/>
    <w:rsid w:val="003A6A5D"/>
    <w:rsid w:val="003A6EBC"/>
    <w:rsid w:val="003A77A6"/>
    <w:rsid w:val="003A7D3E"/>
    <w:rsid w:val="003B01FF"/>
    <w:rsid w:val="003B0B3A"/>
    <w:rsid w:val="003B0DB6"/>
    <w:rsid w:val="003B0E84"/>
    <w:rsid w:val="003B10A8"/>
    <w:rsid w:val="003B1280"/>
    <w:rsid w:val="003B1636"/>
    <w:rsid w:val="003B1814"/>
    <w:rsid w:val="003B197A"/>
    <w:rsid w:val="003B2537"/>
    <w:rsid w:val="003B3072"/>
    <w:rsid w:val="003B41FC"/>
    <w:rsid w:val="003B45C0"/>
    <w:rsid w:val="003B4634"/>
    <w:rsid w:val="003B4DB9"/>
    <w:rsid w:val="003B51ED"/>
    <w:rsid w:val="003B5958"/>
    <w:rsid w:val="003B61EE"/>
    <w:rsid w:val="003B6FEC"/>
    <w:rsid w:val="003B70FD"/>
    <w:rsid w:val="003B769E"/>
    <w:rsid w:val="003B7C0A"/>
    <w:rsid w:val="003C0190"/>
    <w:rsid w:val="003C021F"/>
    <w:rsid w:val="003C048B"/>
    <w:rsid w:val="003C0C33"/>
    <w:rsid w:val="003C0E9A"/>
    <w:rsid w:val="003C0FB8"/>
    <w:rsid w:val="003C105F"/>
    <w:rsid w:val="003C12B8"/>
    <w:rsid w:val="003C1304"/>
    <w:rsid w:val="003C2DBF"/>
    <w:rsid w:val="003C2F67"/>
    <w:rsid w:val="003C30BF"/>
    <w:rsid w:val="003C33A6"/>
    <w:rsid w:val="003C37A3"/>
    <w:rsid w:val="003C41B5"/>
    <w:rsid w:val="003C4BBF"/>
    <w:rsid w:val="003C4C2D"/>
    <w:rsid w:val="003C4D39"/>
    <w:rsid w:val="003C521E"/>
    <w:rsid w:val="003C54A5"/>
    <w:rsid w:val="003C571A"/>
    <w:rsid w:val="003C590E"/>
    <w:rsid w:val="003C594E"/>
    <w:rsid w:val="003C6565"/>
    <w:rsid w:val="003C684F"/>
    <w:rsid w:val="003C7091"/>
    <w:rsid w:val="003C7212"/>
    <w:rsid w:val="003C733C"/>
    <w:rsid w:val="003C7E88"/>
    <w:rsid w:val="003D04D6"/>
    <w:rsid w:val="003D0662"/>
    <w:rsid w:val="003D0685"/>
    <w:rsid w:val="003D068D"/>
    <w:rsid w:val="003D0AB5"/>
    <w:rsid w:val="003D0BAF"/>
    <w:rsid w:val="003D0C96"/>
    <w:rsid w:val="003D0D3C"/>
    <w:rsid w:val="003D1163"/>
    <w:rsid w:val="003D1240"/>
    <w:rsid w:val="003D188F"/>
    <w:rsid w:val="003D1C3F"/>
    <w:rsid w:val="003D1E1C"/>
    <w:rsid w:val="003D1FF9"/>
    <w:rsid w:val="003D227F"/>
    <w:rsid w:val="003D2A68"/>
    <w:rsid w:val="003D2DC7"/>
    <w:rsid w:val="003D2FBE"/>
    <w:rsid w:val="003D3EC6"/>
    <w:rsid w:val="003D43F0"/>
    <w:rsid w:val="003D4881"/>
    <w:rsid w:val="003D583D"/>
    <w:rsid w:val="003D58FC"/>
    <w:rsid w:val="003D5A9B"/>
    <w:rsid w:val="003D5AB0"/>
    <w:rsid w:val="003D5E6C"/>
    <w:rsid w:val="003D5F07"/>
    <w:rsid w:val="003D5FAC"/>
    <w:rsid w:val="003D6A9A"/>
    <w:rsid w:val="003D6AE2"/>
    <w:rsid w:val="003D771E"/>
    <w:rsid w:val="003D7742"/>
    <w:rsid w:val="003D7AE6"/>
    <w:rsid w:val="003E020B"/>
    <w:rsid w:val="003E039A"/>
    <w:rsid w:val="003E0406"/>
    <w:rsid w:val="003E0471"/>
    <w:rsid w:val="003E0988"/>
    <w:rsid w:val="003E10F4"/>
    <w:rsid w:val="003E126E"/>
    <w:rsid w:val="003E151E"/>
    <w:rsid w:val="003E1535"/>
    <w:rsid w:val="003E1C08"/>
    <w:rsid w:val="003E1C42"/>
    <w:rsid w:val="003E1DC0"/>
    <w:rsid w:val="003E2428"/>
    <w:rsid w:val="003E2D0C"/>
    <w:rsid w:val="003E31BE"/>
    <w:rsid w:val="003E35CF"/>
    <w:rsid w:val="003E3B0F"/>
    <w:rsid w:val="003E3CBD"/>
    <w:rsid w:val="003E3E94"/>
    <w:rsid w:val="003E3E9A"/>
    <w:rsid w:val="003E4721"/>
    <w:rsid w:val="003E5015"/>
    <w:rsid w:val="003E5158"/>
    <w:rsid w:val="003E526A"/>
    <w:rsid w:val="003E5405"/>
    <w:rsid w:val="003E5CDE"/>
    <w:rsid w:val="003E6423"/>
    <w:rsid w:val="003E6513"/>
    <w:rsid w:val="003E710B"/>
    <w:rsid w:val="003E7A91"/>
    <w:rsid w:val="003E7B17"/>
    <w:rsid w:val="003F12CE"/>
    <w:rsid w:val="003F1776"/>
    <w:rsid w:val="003F1843"/>
    <w:rsid w:val="003F1B52"/>
    <w:rsid w:val="003F20A4"/>
    <w:rsid w:val="003F20DE"/>
    <w:rsid w:val="003F23B4"/>
    <w:rsid w:val="003F2764"/>
    <w:rsid w:val="003F3325"/>
    <w:rsid w:val="003F340D"/>
    <w:rsid w:val="003F3E40"/>
    <w:rsid w:val="003F3FAB"/>
    <w:rsid w:val="003F40D1"/>
    <w:rsid w:val="003F4F84"/>
    <w:rsid w:val="003F50E0"/>
    <w:rsid w:val="003F516E"/>
    <w:rsid w:val="003F5716"/>
    <w:rsid w:val="003F60C2"/>
    <w:rsid w:val="003F649F"/>
    <w:rsid w:val="003F698E"/>
    <w:rsid w:val="003F6A94"/>
    <w:rsid w:val="003F704B"/>
    <w:rsid w:val="003F74D8"/>
    <w:rsid w:val="003F76F6"/>
    <w:rsid w:val="003F7758"/>
    <w:rsid w:val="003F7B4F"/>
    <w:rsid w:val="004003C6"/>
    <w:rsid w:val="004008A0"/>
    <w:rsid w:val="00400E28"/>
    <w:rsid w:val="00401287"/>
    <w:rsid w:val="0040218F"/>
    <w:rsid w:val="00402274"/>
    <w:rsid w:val="004026AA"/>
    <w:rsid w:val="00402AD4"/>
    <w:rsid w:val="00403D3C"/>
    <w:rsid w:val="00403F36"/>
    <w:rsid w:val="004040FE"/>
    <w:rsid w:val="00404785"/>
    <w:rsid w:val="00404F2A"/>
    <w:rsid w:val="0040554F"/>
    <w:rsid w:val="00405706"/>
    <w:rsid w:val="00405FB4"/>
    <w:rsid w:val="004062D7"/>
    <w:rsid w:val="004063BD"/>
    <w:rsid w:val="00406B8E"/>
    <w:rsid w:val="00406E86"/>
    <w:rsid w:val="004071AA"/>
    <w:rsid w:val="004071E1"/>
    <w:rsid w:val="00407691"/>
    <w:rsid w:val="00407B1E"/>
    <w:rsid w:val="00407B24"/>
    <w:rsid w:val="00410386"/>
    <w:rsid w:val="004105C1"/>
    <w:rsid w:val="00410BBB"/>
    <w:rsid w:val="004115F5"/>
    <w:rsid w:val="00411607"/>
    <w:rsid w:val="00411C04"/>
    <w:rsid w:val="00411EB7"/>
    <w:rsid w:val="00411F9F"/>
    <w:rsid w:val="00412366"/>
    <w:rsid w:val="004123F4"/>
    <w:rsid w:val="00412488"/>
    <w:rsid w:val="00412DBD"/>
    <w:rsid w:val="00413FE1"/>
    <w:rsid w:val="00414424"/>
    <w:rsid w:val="00414636"/>
    <w:rsid w:val="00414936"/>
    <w:rsid w:val="00414D29"/>
    <w:rsid w:val="0041530D"/>
    <w:rsid w:val="00415552"/>
    <w:rsid w:val="0041560E"/>
    <w:rsid w:val="00415807"/>
    <w:rsid w:val="00416CB0"/>
    <w:rsid w:val="00416D3B"/>
    <w:rsid w:val="00416F71"/>
    <w:rsid w:val="00417431"/>
    <w:rsid w:val="0041773E"/>
    <w:rsid w:val="00417B83"/>
    <w:rsid w:val="00420984"/>
    <w:rsid w:val="00420A6E"/>
    <w:rsid w:val="00420BA9"/>
    <w:rsid w:val="004214FD"/>
    <w:rsid w:val="004216A1"/>
    <w:rsid w:val="004216E4"/>
    <w:rsid w:val="0042209B"/>
    <w:rsid w:val="0042213B"/>
    <w:rsid w:val="00422195"/>
    <w:rsid w:val="004226E7"/>
    <w:rsid w:val="00422C3B"/>
    <w:rsid w:val="00422DF0"/>
    <w:rsid w:val="00423689"/>
    <w:rsid w:val="004237D9"/>
    <w:rsid w:val="004237DE"/>
    <w:rsid w:val="00423847"/>
    <w:rsid w:val="0042391F"/>
    <w:rsid w:val="00423B1B"/>
    <w:rsid w:val="00423BCC"/>
    <w:rsid w:val="00423C21"/>
    <w:rsid w:val="00423D4D"/>
    <w:rsid w:val="004242E0"/>
    <w:rsid w:val="0042443E"/>
    <w:rsid w:val="0042466E"/>
    <w:rsid w:val="0042500C"/>
    <w:rsid w:val="004256F0"/>
    <w:rsid w:val="004257F8"/>
    <w:rsid w:val="004259BC"/>
    <w:rsid w:val="00425B7D"/>
    <w:rsid w:val="00425B9B"/>
    <w:rsid w:val="00425D6B"/>
    <w:rsid w:val="0042695B"/>
    <w:rsid w:val="004273AC"/>
    <w:rsid w:val="004276C1"/>
    <w:rsid w:val="00427CC2"/>
    <w:rsid w:val="00430244"/>
    <w:rsid w:val="00430804"/>
    <w:rsid w:val="00432EBC"/>
    <w:rsid w:val="0043363F"/>
    <w:rsid w:val="004340E1"/>
    <w:rsid w:val="00434DF3"/>
    <w:rsid w:val="00434FF6"/>
    <w:rsid w:val="0043540E"/>
    <w:rsid w:val="00435BDC"/>
    <w:rsid w:val="00436A99"/>
    <w:rsid w:val="00436FF7"/>
    <w:rsid w:val="0043720F"/>
    <w:rsid w:val="00437592"/>
    <w:rsid w:val="00437B42"/>
    <w:rsid w:val="00437C27"/>
    <w:rsid w:val="00437C9C"/>
    <w:rsid w:val="0044008A"/>
    <w:rsid w:val="0044058B"/>
    <w:rsid w:val="0044102C"/>
    <w:rsid w:val="00441ABA"/>
    <w:rsid w:val="00441C5C"/>
    <w:rsid w:val="00441E22"/>
    <w:rsid w:val="00442016"/>
    <w:rsid w:val="00442327"/>
    <w:rsid w:val="004426ED"/>
    <w:rsid w:val="00442947"/>
    <w:rsid w:val="00442EB8"/>
    <w:rsid w:val="00442EC8"/>
    <w:rsid w:val="0044308C"/>
    <w:rsid w:val="00443F4D"/>
    <w:rsid w:val="0044443D"/>
    <w:rsid w:val="00444B47"/>
    <w:rsid w:val="00444B5E"/>
    <w:rsid w:val="00445260"/>
    <w:rsid w:val="004456B2"/>
    <w:rsid w:val="00446087"/>
    <w:rsid w:val="0044611D"/>
    <w:rsid w:val="00446284"/>
    <w:rsid w:val="00446AF2"/>
    <w:rsid w:val="00446D39"/>
    <w:rsid w:val="00446FAD"/>
    <w:rsid w:val="00447064"/>
    <w:rsid w:val="0044726D"/>
    <w:rsid w:val="004476C3"/>
    <w:rsid w:val="00450428"/>
    <w:rsid w:val="00450556"/>
    <w:rsid w:val="0045082C"/>
    <w:rsid w:val="00450AF0"/>
    <w:rsid w:val="00450C2E"/>
    <w:rsid w:val="00450C3E"/>
    <w:rsid w:val="00450C9D"/>
    <w:rsid w:val="00450D05"/>
    <w:rsid w:val="00450FB6"/>
    <w:rsid w:val="004510C4"/>
    <w:rsid w:val="004519EA"/>
    <w:rsid w:val="00452A0A"/>
    <w:rsid w:val="00452B48"/>
    <w:rsid w:val="00452B89"/>
    <w:rsid w:val="00452EB4"/>
    <w:rsid w:val="004538E3"/>
    <w:rsid w:val="00453B5B"/>
    <w:rsid w:val="00453C6F"/>
    <w:rsid w:val="00453CC1"/>
    <w:rsid w:val="004544DA"/>
    <w:rsid w:val="004546AB"/>
    <w:rsid w:val="0045476B"/>
    <w:rsid w:val="0045548A"/>
    <w:rsid w:val="00455A2B"/>
    <w:rsid w:val="00455A6D"/>
    <w:rsid w:val="00455C8B"/>
    <w:rsid w:val="00456124"/>
    <w:rsid w:val="00456237"/>
    <w:rsid w:val="0045644C"/>
    <w:rsid w:val="004568C0"/>
    <w:rsid w:val="00456A16"/>
    <w:rsid w:val="00456A88"/>
    <w:rsid w:val="00456CA0"/>
    <w:rsid w:val="00456E1F"/>
    <w:rsid w:val="004572B1"/>
    <w:rsid w:val="004577C7"/>
    <w:rsid w:val="00460850"/>
    <w:rsid w:val="00460B03"/>
    <w:rsid w:val="00460B37"/>
    <w:rsid w:val="00461694"/>
    <w:rsid w:val="0046177A"/>
    <w:rsid w:val="0046197F"/>
    <w:rsid w:val="00461ABB"/>
    <w:rsid w:val="0046305C"/>
    <w:rsid w:val="00463435"/>
    <w:rsid w:val="00463536"/>
    <w:rsid w:val="00463BE8"/>
    <w:rsid w:val="00463DA0"/>
    <w:rsid w:val="00464220"/>
    <w:rsid w:val="0046433D"/>
    <w:rsid w:val="00464399"/>
    <w:rsid w:val="00464E85"/>
    <w:rsid w:val="0046517B"/>
    <w:rsid w:val="00465293"/>
    <w:rsid w:val="00465503"/>
    <w:rsid w:val="00465C2D"/>
    <w:rsid w:val="00466490"/>
    <w:rsid w:val="004666A1"/>
    <w:rsid w:val="00466E88"/>
    <w:rsid w:val="004672E8"/>
    <w:rsid w:val="00467B5D"/>
    <w:rsid w:val="00467D56"/>
    <w:rsid w:val="00470144"/>
    <w:rsid w:val="00470802"/>
    <w:rsid w:val="00471044"/>
    <w:rsid w:val="0047110B"/>
    <w:rsid w:val="0047136B"/>
    <w:rsid w:val="00471AFF"/>
    <w:rsid w:val="00472108"/>
    <w:rsid w:val="00472192"/>
    <w:rsid w:val="00472374"/>
    <w:rsid w:val="00472C8E"/>
    <w:rsid w:val="004730B6"/>
    <w:rsid w:val="0047333D"/>
    <w:rsid w:val="00473624"/>
    <w:rsid w:val="00473671"/>
    <w:rsid w:val="004738EA"/>
    <w:rsid w:val="00473CFC"/>
    <w:rsid w:val="00473E5F"/>
    <w:rsid w:val="0047429B"/>
    <w:rsid w:val="0047450B"/>
    <w:rsid w:val="0047467E"/>
    <w:rsid w:val="00474A51"/>
    <w:rsid w:val="00474B33"/>
    <w:rsid w:val="00474C30"/>
    <w:rsid w:val="00474D75"/>
    <w:rsid w:val="00475139"/>
    <w:rsid w:val="004751CA"/>
    <w:rsid w:val="00475935"/>
    <w:rsid w:val="004762B1"/>
    <w:rsid w:val="0047667D"/>
    <w:rsid w:val="004772AB"/>
    <w:rsid w:val="0047739F"/>
    <w:rsid w:val="00477E57"/>
    <w:rsid w:val="00480867"/>
    <w:rsid w:val="00481794"/>
    <w:rsid w:val="00481BA3"/>
    <w:rsid w:val="004822A7"/>
    <w:rsid w:val="0048239B"/>
    <w:rsid w:val="0048258F"/>
    <w:rsid w:val="00482834"/>
    <w:rsid w:val="00482BBD"/>
    <w:rsid w:val="00482C31"/>
    <w:rsid w:val="004831A3"/>
    <w:rsid w:val="004836FA"/>
    <w:rsid w:val="0048374D"/>
    <w:rsid w:val="00483758"/>
    <w:rsid w:val="004838CA"/>
    <w:rsid w:val="00484226"/>
    <w:rsid w:val="0048432C"/>
    <w:rsid w:val="004843F9"/>
    <w:rsid w:val="004848A1"/>
    <w:rsid w:val="00484FD5"/>
    <w:rsid w:val="004852D0"/>
    <w:rsid w:val="00485F83"/>
    <w:rsid w:val="004860B6"/>
    <w:rsid w:val="00486140"/>
    <w:rsid w:val="0048724E"/>
    <w:rsid w:val="0048770D"/>
    <w:rsid w:val="004877B8"/>
    <w:rsid w:val="00487C22"/>
    <w:rsid w:val="00487D34"/>
    <w:rsid w:val="004900D9"/>
    <w:rsid w:val="00490118"/>
    <w:rsid w:val="004905CA"/>
    <w:rsid w:val="00490BDA"/>
    <w:rsid w:val="00490D2A"/>
    <w:rsid w:val="004910DF"/>
    <w:rsid w:val="00491B2C"/>
    <w:rsid w:val="00491C77"/>
    <w:rsid w:val="00492045"/>
    <w:rsid w:val="0049239F"/>
    <w:rsid w:val="00492AA2"/>
    <w:rsid w:val="00492F01"/>
    <w:rsid w:val="00493172"/>
    <w:rsid w:val="00493ECF"/>
    <w:rsid w:val="004943BF"/>
    <w:rsid w:val="00494DB5"/>
    <w:rsid w:val="00495181"/>
    <w:rsid w:val="00495402"/>
    <w:rsid w:val="0049558A"/>
    <w:rsid w:val="00495834"/>
    <w:rsid w:val="00495A27"/>
    <w:rsid w:val="00495B68"/>
    <w:rsid w:val="00495E00"/>
    <w:rsid w:val="004960DF"/>
    <w:rsid w:val="00496263"/>
    <w:rsid w:val="0049685F"/>
    <w:rsid w:val="004974A2"/>
    <w:rsid w:val="0049770D"/>
    <w:rsid w:val="00497E2E"/>
    <w:rsid w:val="00497E65"/>
    <w:rsid w:val="00497F67"/>
    <w:rsid w:val="004A0B68"/>
    <w:rsid w:val="004A0D0A"/>
    <w:rsid w:val="004A1263"/>
    <w:rsid w:val="004A12BA"/>
    <w:rsid w:val="004A2129"/>
    <w:rsid w:val="004A2327"/>
    <w:rsid w:val="004A23DA"/>
    <w:rsid w:val="004A23DE"/>
    <w:rsid w:val="004A26AB"/>
    <w:rsid w:val="004A2ADC"/>
    <w:rsid w:val="004A2B24"/>
    <w:rsid w:val="004A2C55"/>
    <w:rsid w:val="004A2CA7"/>
    <w:rsid w:val="004A2E2E"/>
    <w:rsid w:val="004A37A5"/>
    <w:rsid w:val="004A3A7D"/>
    <w:rsid w:val="004A3C0E"/>
    <w:rsid w:val="004A3D2F"/>
    <w:rsid w:val="004A3E7A"/>
    <w:rsid w:val="004A488C"/>
    <w:rsid w:val="004A48E2"/>
    <w:rsid w:val="004A4F19"/>
    <w:rsid w:val="004A4F6D"/>
    <w:rsid w:val="004A4F80"/>
    <w:rsid w:val="004A522D"/>
    <w:rsid w:val="004A63A3"/>
    <w:rsid w:val="004A66BC"/>
    <w:rsid w:val="004A68E7"/>
    <w:rsid w:val="004A6A3E"/>
    <w:rsid w:val="004A6BFE"/>
    <w:rsid w:val="004A6D02"/>
    <w:rsid w:val="004A7491"/>
    <w:rsid w:val="004A7552"/>
    <w:rsid w:val="004B059F"/>
    <w:rsid w:val="004B0E6E"/>
    <w:rsid w:val="004B0F6F"/>
    <w:rsid w:val="004B1019"/>
    <w:rsid w:val="004B1282"/>
    <w:rsid w:val="004B1566"/>
    <w:rsid w:val="004B1638"/>
    <w:rsid w:val="004B19D0"/>
    <w:rsid w:val="004B1ECA"/>
    <w:rsid w:val="004B1F23"/>
    <w:rsid w:val="004B2396"/>
    <w:rsid w:val="004B24CB"/>
    <w:rsid w:val="004B2B7C"/>
    <w:rsid w:val="004B2EED"/>
    <w:rsid w:val="004B35F0"/>
    <w:rsid w:val="004B3729"/>
    <w:rsid w:val="004B3C43"/>
    <w:rsid w:val="004B3D3A"/>
    <w:rsid w:val="004B3F31"/>
    <w:rsid w:val="004B42EB"/>
    <w:rsid w:val="004B444F"/>
    <w:rsid w:val="004B44CB"/>
    <w:rsid w:val="004B4ABF"/>
    <w:rsid w:val="004B4BD8"/>
    <w:rsid w:val="004B4C91"/>
    <w:rsid w:val="004B4CF8"/>
    <w:rsid w:val="004B4E46"/>
    <w:rsid w:val="004B5C7C"/>
    <w:rsid w:val="004B5DD7"/>
    <w:rsid w:val="004B62B2"/>
    <w:rsid w:val="004B7280"/>
    <w:rsid w:val="004B7AC0"/>
    <w:rsid w:val="004B7BA2"/>
    <w:rsid w:val="004B7CC1"/>
    <w:rsid w:val="004C03A3"/>
    <w:rsid w:val="004C04D9"/>
    <w:rsid w:val="004C05AD"/>
    <w:rsid w:val="004C0850"/>
    <w:rsid w:val="004C0857"/>
    <w:rsid w:val="004C0A1A"/>
    <w:rsid w:val="004C147B"/>
    <w:rsid w:val="004C1AB2"/>
    <w:rsid w:val="004C1F0F"/>
    <w:rsid w:val="004C29C0"/>
    <w:rsid w:val="004C3057"/>
    <w:rsid w:val="004C3C92"/>
    <w:rsid w:val="004C43DB"/>
    <w:rsid w:val="004C469A"/>
    <w:rsid w:val="004C47F9"/>
    <w:rsid w:val="004C4900"/>
    <w:rsid w:val="004C4C56"/>
    <w:rsid w:val="004C4CF6"/>
    <w:rsid w:val="004C5C3B"/>
    <w:rsid w:val="004C5C6B"/>
    <w:rsid w:val="004C6049"/>
    <w:rsid w:val="004C6114"/>
    <w:rsid w:val="004C6307"/>
    <w:rsid w:val="004C6751"/>
    <w:rsid w:val="004C6949"/>
    <w:rsid w:val="004C69CF"/>
    <w:rsid w:val="004C7495"/>
    <w:rsid w:val="004D0024"/>
    <w:rsid w:val="004D0614"/>
    <w:rsid w:val="004D0B12"/>
    <w:rsid w:val="004D13B9"/>
    <w:rsid w:val="004D16F6"/>
    <w:rsid w:val="004D19AD"/>
    <w:rsid w:val="004D1BE3"/>
    <w:rsid w:val="004D1F83"/>
    <w:rsid w:val="004D2158"/>
    <w:rsid w:val="004D21A7"/>
    <w:rsid w:val="004D255A"/>
    <w:rsid w:val="004D261C"/>
    <w:rsid w:val="004D2696"/>
    <w:rsid w:val="004D26DB"/>
    <w:rsid w:val="004D3381"/>
    <w:rsid w:val="004D3610"/>
    <w:rsid w:val="004D390D"/>
    <w:rsid w:val="004D40C2"/>
    <w:rsid w:val="004D4540"/>
    <w:rsid w:val="004D4C00"/>
    <w:rsid w:val="004D52DC"/>
    <w:rsid w:val="004D59C6"/>
    <w:rsid w:val="004D5AE9"/>
    <w:rsid w:val="004D5C91"/>
    <w:rsid w:val="004D5F68"/>
    <w:rsid w:val="004D6533"/>
    <w:rsid w:val="004D67E4"/>
    <w:rsid w:val="004D6B48"/>
    <w:rsid w:val="004D6C5B"/>
    <w:rsid w:val="004D723D"/>
    <w:rsid w:val="004D7871"/>
    <w:rsid w:val="004D7ABB"/>
    <w:rsid w:val="004E000C"/>
    <w:rsid w:val="004E0699"/>
    <w:rsid w:val="004E1821"/>
    <w:rsid w:val="004E2195"/>
    <w:rsid w:val="004E2446"/>
    <w:rsid w:val="004E244D"/>
    <w:rsid w:val="004E2B62"/>
    <w:rsid w:val="004E2D6C"/>
    <w:rsid w:val="004E2D89"/>
    <w:rsid w:val="004E2E92"/>
    <w:rsid w:val="004E30D1"/>
    <w:rsid w:val="004E32ED"/>
    <w:rsid w:val="004E32FD"/>
    <w:rsid w:val="004E3677"/>
    <w:rsid w:val="004E3823"/>
    <w:rsid w:val="004E3D10"/>
    <w:rsid w:val="004E4013"/>
    <w:rsid w:val="004E41AF"/>
    <w:rsid w:val="004E41B1"/>
    <w:rsid w:val="004E47B0"/>
    <w:rsid w:val="004E49A5"/>
    <w:rsid w:val="004E4A0D"/>
    <w:rsid w:val="004E4B1E"/>
    <w:rsid w:val="004E4C1A"/>
    <w:rsid w:val="004E4DFC"/>
    <w:rsid w:val="004E502E"/>
    <w:rsid w:val="004E52AE"/>
    <w:rsid w:val="004E56B0"/>
    <w:rsid w:val="004E586C"/>
    <w:rsid w:val="004E5C32"/>
    <w:rsid w:val="004E5ECA"/>
    <w:rsid w:val="004E6DB4"/>
    <w:rsid w:val="004E6E17"/>
    <w:rsid w:val="004E71FB"/>
    <w:rsid w:val="004E75AC"/>
    <w:rsid w:val="004E789C"/>
    <w:rsid w:val="004E7A0E"/>
    <w:rsid w:val="004E7A65"/>
    <w:rsid w:val="004E7AEF"/>
    <w:rsid w:val="004E7F14"/>
    <w:rsid w:val="004F0486"/>
    <w:rsid w:val="004F0563"/>
    <w:rsid w:val="004F0A14"/>
    <w:rsid w:val="004F0C1C"/>
    <w:rsid w:val="004F10AF"/>
    <w:rsid w:val="004F1142"/>
    <w:rsid w:val="004F15FC"/>
    <w:rsid w:val="004F260D"/>
    <w:rsid w:val="004F30C8"/>
    <w:rsid w:val="004F32DA"/>
    <w:rsid w:val="004F3359"/>
    <w:rsid w:val="004F38F7"/>
    <w:rsid w:val="004F3DC4"/>
    <w:rsid w:val="004F405D"/>
    <w:rsid w:val="004F42CB"/>
    <w:rsid w:val="004F4357"/>
    <w:rsid w:val="004F448E"/>
    <w:rsid w:val="004F4600"/>
    <w:rsid w:val="004F4855"/>
    <w:rsid w:val="004F4A04"/>
    <w:rsid w:val="004F4C1D"/>
    <w:rsid w:val="004F4CD0"/>
    <w:rsid w:val="004F4D99"/>
    <w:rsid w:val="004F4F6D"/>
    <w:rsid w:val="004F4F84"/>
    <w:rsid w:val="004F50BF"/>
    <w:rsid w:val="004F5807"/>
    <w:rsid w:val="004F596C"/>
    <w:rsid w:val="004F5B10"/>
    <w:rsid w:val="004F601B"/>
    <w:rsid w:val="004F60FB"/>
    <w:rsid w:val="004F6387"/>
    <w:rsid w:val="004F649F"/>
    <w:rsid w:val="004F686E"/>
    <w:rsid w:val="004F6AAD"/>
    <w:rsid w:val="004F6C98"/>
    <w:rsid w:val="004F78D8"/>
    <w:rsid w:val="004F7901"/>
    <w:rsid w:val="00500220"/>
    <w:rsid w:val="0050170E"/>
    <w:rsid w:val="00501A4C"/>
    <w:rsid w:val="00501FB0"/>
    <w:rsid w:val="00501FDE"/>
    <w:rsid w:val="005028D9"/>
    <w:rsid w:val="00502B2A"/>
    <w:rsid w:val="005030F5"/>
    <w:rsid w:val="00503394"/>
    <w:rsid w:val="00503CDD"/>
    <w:rsid w:val="00503D57"/>
    <w:rsid w:val="00503DB3"/>
    <w:rsid w:val="00503FD2"/>
    <w:rsid w:val="005047DA"/>
    <w:rsid w:val="00504CFC"/>
    <w:rsid w:val="00505979"/>
    <w:rsid w:val="00505E15"/>
    <w:rsid w:val="00506131"/>
    <w:rsid w:val="00506466"/>
    <w:rsid w:val="005067BD"/>
    <w:rsid w:val="00506B18"/>
    <w:rsid w:val="00507B8B"/>
    <w:rsid w:val="00507D3E"/>
    <w:rsid w:val="00507DFB"/>
    <w:rsid w:val="00510B81"/>
    <w:rsid w:val="00511241"/>
    <w:rsid w:val="00512072"/>
    <w:rsid w:val="0051299C"/>
    <w:rsid w:val="005129E1"/>
    <w:rsid w:val="00512D4C"/>
    <w:rsid w:val="00512F79"/>
    <w:rsid w:val="005130FA"/>
    <w:rsid w:val="00513872"/>
    <w:rsid w:val="005142BD"/>
    <w:rsid w:val="00514D63"/>
    <w:rsid w:val="005153DF"/>
    <w:rsid w:val="00515452"/>
    <w:rsid w:val="0051589A"/>
    <w:rsid w:val="00515E02"/>
    <w:rsid w:val="00515E0D"/>
    <w:rsid w:val="0051617A"/>
    <w:rsid w:val="00516AC0"/>
    <w:rsid w:val="00517010"/>
    <w:rsid w:val="0051720A"/>
    <w:rsid w:val="00517E80"/>
    <w:rsid w:val="005202C6"/>
    <w:rsid w:val="0052094C"/>
    <w:rsid w:val="00520B77"/>
    <w:rsid w:val="00520E13"/>
    <w:rsid w:val="00521089"/>
    <w:rsid w:val="00521302"/>
    <w:rsid w:val="005213BD"/>
    <w:rsid w:val="005215E0"/>
    <w:rsid w:val="0052254F"/>
    <w:rsid w:val="005225C4"/>
    <w:rsid w:val="005230E3"/>
    <w:rsid w:val="00523956"/>
    <w:rsid w:val="0052419D"/>
    <w:rsid w:val="00524627"/>
    <w:rsid w:val="00524C31"/>
    <w:rsid w:val="00524C4E"/>
    <w:rsid w:val="00524C5F"/>
    <w:rsid w:val="00524E8A"/>
    <w:rsid w:val="00525066"/>
    <w:rsid w:val="005250A4"/>
    <w:rsid w:val="005257E0"/>
    <w:rsid w:val="00525A58"/>
    <w:rsid w:val="00525ABA"/>
    <w:rsid w:val="0052795F"/>
    <w:rsid w:val="00527DBD"/>
    <w:rsid w:val="00527E0E"/>
    <w:rsid w:val="00527F62"/>
    <w:rsid w:val="0053033B"/>
    <w:rsid w:val="005303FF"/>
    <w:rsid w:val="005310AB"/>
    <w:rsid w:val="00531481"/>
    <w:rsid w:val="00531898"/>
    <w:rsid w:val="00531C1D"/>
    <w:rsid w:val="0053208E"/>
    <w:rsid w:val="0053224B"/>
    <w:rsid w:val="005325AA"/>
    <w:rsid w:val="00532A7B"/>
    <w:rsid w:val="00532A9E"/>
    <w:rsid w:val="005330CC"/>
    <w:rsid w:val="005336A8"/>
    <w:rsid w:val="00533BF8"/>
    <w:rsid w:val="00534404"/>
    <w:rsid w:val="00534515"/>
    <w:rsid w:val="0053528F"/>
    <w:rsid w:val="00535F02"/>
    <w:rsid w:val="00535FF6"/>
    <w:rsid w:val="00536315"/>
    <w:rsid w:val="00536362"/>
    <w:rsid w:val="00536B42"/>
    <w:rsid w:val="00537775"/>
    <w:rsid w:val="00537781"/>
    <w:rsid w:val="005377EA"/>
    <w:rsid w:val="0053784B"/>
    <w:rsid w:val="00537BA9"/>
    <w:rsid w:val="005401AA"/>
    <w:rsid w:val="00540476"/>
    <w:rsid w:val="005404FE"/>
    <w:rsid w:val="00540BCA"/>
    <w:rsid w:val="00540E6E"/>
    <w:rsid w:val="0054148A"/>
    <w:rsid w:val="005414DA"/>
    <w:rsid w:val="00541825"/>
    <w:rsid w:val="00541D70"/>
    <w:rsid w:val="00541FC4"/>
    <w:rsid w:val="00542063"/>
    <w:rsid w:val="0054213F"/>
    <w:rsid w:val="005421E8"/>
    <w:rsid w:val="005428A2"/>
    <w:rsid w:val="00542B7D"/>
    <w:rsid w:val="00542C45"/>
    <w:rsid w:val="00542F75"/>
    <w:rsid w:val="0054344F"/>
    <w:rsid w:val="00543700"/>
    <w:rsid w:val="00543818"/>
    <w:rsid w:val="005441B0"/>
    <w:rsid w:val="00544569"/>
    <w:rsid w:val="00544655"/>
    <w:rsid w:val="00544A5D"/>
    <w:rsid w:val="00544BC9"/>
    <w:rsid w:val="00544DAE"/>
    <w:rsid w:val="005455C1"/>
    <w:rsid w:val="005457F0"/>
    <w:rsid w:val="0054585F"/>
    <w:rsid w:val="00545B21"/>
    <w:rsid w:val="00545B72"/>
    <w:rsid w:val="0054615F"/>
    <w:rsid w:val="00546427"/>
    <w:rsid w:val="0054674E"/>
    <w:rsid w:val="00546851"/>
    <w:rsid w:val="00546868"/>
    <w:rsid w:val="00546A2B"/>
    <w:rsid w:val="0054750A"/>
    <w:rsid w:val="00547893"/>
    <w:rsid w:val="00547A70"/>
    <w:rsid w:val="00547A8E"/>
    <w:rsid w:val="00547B35"/>
    <w:rsid w:val="00550495"/>
    <w:rsid w:val="005507F2"/>
    <w:rsid w:val="00550B0A"/>
    <w:rsid w:val="00550B4C"/>
    <w:rsid w:val="00550D5E"/>
    <w:rsid w:val="00550FB6"/>
    <w:rsid w:val="00550FDD"/>
    <w:rsid w:val="00551695"/>
    <w:rsid w:val="00551D55"/>
    <w:rsid w:val="00551D5C"/>
    <w:rsid w:val="00551F5A"/>
    <w:rsid w:val="00551FC6"/>
    <w:rsid w:val="00552077"/>
    <w:rsid w:val="0055233C"/>
    <w:rsid w:val="00552374"/>
    <w:rsid w:val="005524DF"/>
    <w:rsid w:val="00552516"/>
    <w:rsid w:val="00552876"/>
    <w:rsid w:val="005529A0"/>
    <w:rsid w:val="00552ABE"/>
    <w:rsid w:val="00552D04"/>
    <w:rsid w:val="0055339A"/>
    <w:rsid w:val="005537A5"/>
    <w:rsid w:val="005538DB"/>
    <w:rsid w:val="00553949"/>
    <w:rsid w:val="0055406E"/>
    <w:rsid w:val="00554240"/>
    <w:rsid w:val="00554A8C"/>
    <w:rsid w:val="00554B01"/>
    <w:rsid w:val="00555873"/>
    <w:rsid w:val="0055619C"/>
    <w:rsid w:val="005562D5"/>
    <w:rsid w:val="00557CAA"/>
    <w:rsid w:val="00557DC6"/>
    <w:rsid w:val="005607B6"/>
    <w:rsid w:val="00560CD6"/>
    <w:rsid w:val="005610B6"/>
    <w:rsid w:val="0056124D"/>
    <w:rsid w:val="00561263"/>
    <w:rsid w:val="00561AC7"/>
    <w:rsid w:val="00561B63"/>
    <w:rsid w:val="005621D4"/>
    <w:rsid w:val="00562922"/>
    <w:rsid w:val="005629E7"/>
    <w:rsid w:val="00562A24"/>
    <w:rsid w:val="00562CB0"/>
    <w:rsid w:val="00562FD5"/>
    <w:rsid w:val="00563059"/>
    <w:rsid w:val="00563685"/>
    <w:rsid w:val="005636C8"/>
    <w:rsid w:val="00563752"/>
    <w:rsid w:val="00563B99"/>
    <w:rsid w:val="00563BD3"/>
    <w:rsid w:val="00563EE6"/>
    <w:rsid w:val="00564199"/>
    <w:rsid w:val="005641EF"/>
    <w:rsid w:val="005642B4"/>
    <w:rsid w:val="0056430B"/>
    <w:rsid w:val="005644CD"/>
    <w:rsid w:val="00564918"/>
    <w:rsid w:val="0056555C"/>
    <w:rsid w:val="00565A76"/>
    <w:rsid w:val="0056637D"/>
    <w:rsid w:val="00566518"/>
    <w:rsid w:val="00566B1D"/>
    <w:rsid w:val="005671F2"/>
    <w:rsid w:val="0056780E"/>
    <w:rsid w:val="00567B0D"/>
    <w:rsid w:val="005703D9"/>
    <w:rsid w:val="00571100"/>
    <w:rsid w:val="005719EB"/>
    <w:rsid w:val="00571AE6"/>
    <w:rsid w:val="00571E22"/>
    <w:rsid w:val="00571FBA"/>
    <w:rsid w:val="005720BF"/>
    <w:rsid w:val="00572729"/>
    <w:rsid w:val="005729BF"/>
    <w:rsid w:val="00572FE9"/>
    <w:rsid w:val="00573110"/>
    <w:rsid w:val="00573193"/>
    <w:rsid w:val="0057323E"/>
    <w:rsid w:val="00573521"/>
    <w:rsid w:val="0057385B"/>
    <w:rsid w:val="00573E58"/>
    <w:rsid w:val="0057428B"/>
    <w:rsid w:val="00574629"/>
    <w:rsid w:val="005748E7"/>
    <w:rsid w:val="0057514C"/>
    <w:rsid w:val="00575155"/>
    <w:rsid w:val="005757AF"/>
    <w:rsid w:val="0057630C"/>
    <w:rsid w:val="0057641E"/>
    <w:rsid w:val="00576678"/>
    <w:rsid w:val="005769A0"/>
    <w:rsid w:val="00576E45"/>
    <w:rsid w:val="00576FB0"/>
    <w:rsid w:val="0057734E"/>
    <w:rsid w:val="005777E2"/>
    <w:rsid w:val="005778ED"/>
    <w:rsid w:val="005809B6"/>
    <w:rsid w:val="005810DD"/>
    <w:rsid w:val="00581B40"/>
    <w:rsid w:val="00581E9D"/>
    <w:rsid w:val="0058205F"/>
    <w:rsid w:val="005820A2"/>
    <w:rsid w:val="0058226A"/>
    <w:rsid w:val="00582418"/>
    <w:rsid w:val="00582A25"/>
    <w:rsid w:val="00582C47"/>
    <w:rsid w:val="00583050"/>
    <w:rsid w:val="0058316E"/>
    <w:rsid w:val="005834C8"/>
    <w:rsid w:val="00583522"/>
    <w:rsid w:val="0058454D"/>
    <w:rsid w:val="00584742"/>
    <w:rsid w:val="00584AEF"/>
    <w:rsid w:val="00584BC4"/>
    <w:rsid w:val="00585A6A"/>
    <w:rsid w:val="00585C46"/>
    <w:rsid w:val="00585EF3"/>
    <w:rsid w:val="00586078"/>
    <w:rsid w:val="005860FF"/>
    <w:rsid w:val="00586460"/>
    <w:rsid w:val="00586A14"/>
    <w:rsid w:val="00586E40"/>
    <w:rsid w:val="00587207"/>
    <w:rsid w:val="005873B3"/>
    <w:rsid w:val="005874FE"/>
    <w:rsid w:val="00587BC4"/>
    <w:rsid w:val="00587BDA"/>
    <w:rsid w:val="0059089C"/>
    <w:rsid w:val="005911E9"/>
    <w:rsid w:val="005912D3"/>
    <w:rsid w:val="0059135E"/>
    <w:rsid w:val="00591C6D"/>
    <w:rsid w:val="00592401"/>
    <w:rsid w:val="00592768"/>
    <w:rsid w:val="005932B0"/>
    <w:rsid w:val="005932EE"/>
    <w:rsid w:val="005933A4"/>
    <w:rsid w:val="00593B83"/>
    <w:rsid w:val="00593CD5"/>
    <w:rsid w:val="00593E9C"/>
    <w:rsid w:val="0059421A"/>
    <w:rsid w:val="005947B3"/>
    <w:rsid w:val="00595004"/>
    <w:rsid w:val="00595A3A"/>
    <w:rsid w:val="00595C0F"/>
    <w:rsid w:val="00595E52"/>
    <w:rsid w:val="00596021"/>
    <w:rsid w:val="005960CB"/>
    <w:rsid w:val="005962BE"/>
    <w:rsid w:val="00596609"/>
    <w:rsid w:val="00597973"/>
    <w:rsid w:val="005A143F"/>
    <w:rsid w:val="005A22E4"/>
    <w:rsid w:val="005A2D39"/>
    <w:rsid w:val="005A2DF6"/>
    <w:rsid w:val="005A3049"/>
    <w:rsid w:val="005A3306"/>
    <w:rsid w:val="005A3406"/>
    <w:rsid w:val="005A38D6"/>
    <w:rsid w:val="005A4184"/>
    <w:rsid w:val="005A4780"/>
    <w:rsid w:val="005A4BCE"/>
    <w:rsid w:val="005A4D7F"/>
    <w:rsid w:val="005A5389"/>
    <w:rsid w:val="005A5856"/>
    <w:rsid w:val="005A585A"/>
    <w:rsid w:val="005A5AB2"/>
    <w:rsid w:val="005A5CA2"/>
    <w:rsid w:val="005A60EB"/>
    <w:rsid w:val="005A75B1"/>
    <w:rsid w:val="005A7E78"/>
    <w:rsid w:val="005B020D"/>
    <w:rsid w:val="005B07E6"/>
    <w:rsid w:val="005B10CB"/>
    <w:rsid w:val="005B121D"/>
    <w:rsid w:val="005B150C"/>
    <w:rsid w:val="005B16DF"/>
    <w:rsid w:val="005B2635"/>
    <w:rsid w:val="005B2CF0"/>
    <w:rsid w:val="005B2E57"/>
    <w:rsid w:val="005B338D"/>
    <w:rsid w:val="005B39DF"/>
    <w:rsid w:val="005B3A75"/>
    <w:rsid w:val="005B3F08"/>
    <w:rsid w:val="005B40D8"/>
    <w:rsid w:val="005B486F"/>
    <w:rsid w:val="005B49F6"/>
    <w:rsid w:val="005B5078"/>
    <w:rsid w:val="005B526F"/>
    <w:rsid w:val="005B5389"/>
    <w:rsid w:val="005B567D"/>
    <w:rsid w:val="005B5A1A"/>
    <w:rsid w:val="005B5D50"/>
    <w:rsid w:val="005B6C31"/>
    <w:rsid w:val="005B6DE4"/>
    <w:rsid w:val="005B6E88"/>
    <w:rsid w:val="005B7363"/>
    <w:rsid w:val="005B736B"/>
    <w:rsid w:val="005B76CF"/>
    <w:rsid w:val="005B7BBB"/>
    <w:rsid w:val="005B7F43"/>
    <w:rsid w:val="005C07E6"/>
    <w:rsid w:val="005C0E12"/>
    <w:rsid w:val="005C1159"/>
    <w:rsid w:val="005C2156"/>
    <w:rsid w:val="005C254C"/>
    <w:rsid w:val="005C25AC"/>
    <w:rsid w:val="005C2B04"/>
    <w:rsid w:val="005C3076"/>
    <w:rsid w:val="005C3215"/>
    <w:rsid w:val="005C3478"/>
    <w:rsid w:val="005C36ED"/>
    <w:rsid w:val="005C38AA"/>
    <w:rsid w:val="005C3A65"/>
    <w:rsid w:val="005C41CA"/>
    <w:rsid w:val="005C4406"/>
    <w:rsid w:val="005C44B9"/>
    <w:rsid w:val="005C46FB"/>
    <w:rsid w:val="005C4B55"/>
    <w:rsid w:val="005C4D49"/>
    <w:rsid w:val="005C5107"/>
    <w:rsid w:val="005C51EE"/>
    <w:rsid w:val="005C5E9F"/>
    <w:rsid w:val="005C61AE"/>
    <w:rsid w:val="005C64EE"/>
    <w:rsid w:val="005C6566"/>
    <w:rsid w:val="005C6ED4"/>
    <w:rsid w:val="005C6F0E"/>
    <w:rsid w:val="005C7123"/>
    <w:rsid w:val="005C747A"/>
    <w:rsid w:val="005C7718"/>
    <w:rsid w:val="005C779C"/>
    <w:rsid w:val="005C77AD"/>
    <w:rsid w:val="005C78B7"/>
    <w:rsid w:val="005C79A0"/>
    <w:rsid w:val="005D02DD"/>
    <w:rsid w:val="005D0834"/>
    <w:rsid w:val="005D0DFF"/>
    <w:rsid w:val="005D1436"/>
    <w:rsid w:val="005D149D"/>
    <w:rsid w:val="005D14F8"/>
    <w:rsid w:val="005D174B"/>
    <w:rsid w:val="005D1BB0"/>
    <w:rsid w:val="005D1EB4"/>
    <w:rsid w:val="005D200F"/>
    <w:rsid w:val="005D2675"/>
    <w:rsid w:val="005D27D1"/>
    <w:rsid w:val="005D2AD0"/>
    <w:rsid w:val="005D2B6F"/>
    <w:rsid w:val="005D2BB1"/>
    <w:rsid w:val="005D2BB5"/>
    <w:rsid w:val="005D2EE7"/>
    <w:rsid w:val="005D3D41"/>
    <w:rsid w:val="005D4904"/>
    <w:rsid w:val="005D4A21"/>
    <w:rsid w:val="005D4A61"/>
    <w:rsid w:val="005D4AD6"/>
    <w:rsid w:val="005D55D3"/>
    <w:rsid w:val="005D5790"/>
    <w:rsid w:val="005D5C1C"/>
    <w:rsid w:val="005D646D"/>
    <w:rsid w:val="005D6614"/>
    <w:rsid w:val="005D68F3"/>
    <w:rsid w:val="005D6975"/>
    <w:rsid w:val="005D6DC6"/>
    <w:rsid w:val="005D6DD6"/>
    <w:rsid w:val="005D70A9"/>
    <w:rsid w:val="005D737F"/>
    <w:rsid w:val="005D7598"/>
    <w:rsid w:val="005D78F6"/>
    <w:rsid w:val="005D79E2"/>
    <w:rsid w:val="005D7A3A"/>
    <w:rsid w:val="005D7B99"/>
    <w:rsid w:val="005D7BD2"/>
    <w:rsid w:val="005D7D23"/>
    <w:rsid w:val="005D7FBF"/>
    <w:rsid w:val="005E0938"/>
    <w:rsid w:val="005E1786"/>
    <w:rsid w:val="005E1CEA"/>
    <w:rsid w:val="005E2129"/>
    <w:rsid w:val="005E2150"/>
    <w:rsid w:val="005E262D"/>
    <w:rsid w:val="005E2F8E"/>
    <w:rsid w:val="005E35B3"/>
    <w:rsid w:val="005E3BA1"/>
    <w:rsid w:val="005E3C66"/>
    <w:rsid w:val="005E48AA"/>
    <w:rsid w:val="005E4BDC"/>
    <w:rsid w:val="005E51EC"/>
    <w:rsid w:val="005E536F"/>
    <w:rsid w:val="005E5652"/>
    <w:rsid w:val="005E5790"/>
    <w:rsid w:val="005E588A"/>
    <w:rsid w:val="005E5C7E"/>
    <w:rsid w:val="005E6B16"/>
    <w:rsid w:val="005E6E01"/>
    <w:rsid w:val="005E7032"/>
    <w:rsid w:val="005E7452"/>
    <w:rsid w:val="005F01FB"/>
    <w:rsid w:val="005F0B7D"/>
    <w:rsid w:val="005F0FB1"/>
    <w:rsid w:val="005F114E"/>
    <w:rsid w:val="005F13AB"/>
    <w:rsid w:val="005F2429"/>
    <w:rsid w:val="005F274F"/>
    <w:rsid w:val="005F285F"/>
    <w:rsid w:val="005F2E87"/>
    <w:rsid w:val="005F3050"/>
    <w:rsid w:val="005F321C"/>
    <w:rsid w:val="005F3350"/>
    <w:rsid w:val="005F34A4"/>
    <w:rsid w:val="005F3561"/>
    <w:rsid w:val="005F3920"/>
    <w:rsid w:val="005F41A2"/>
    <w:rsid w:val="005F4706"/>
    <w:rsid w:val="005F4A18"/>
    <w:rsid w:val="005F4C07"/>
    <w:rsid w:val="005F4D4A"/>
    <w:rsid w:val="005F52E4"/>
    <w:rsid w:val="005F536D"/>
    <w:rsid w:val="005F57E1"/>
    <w:rsid w:val="005F5AFE"/>
    <w:rsid w:val="005F5C22"/>
    <w:rsid w:val="005F5E57"/>
    <w:rsid w:val="005F5EDF"/>
    <w:rsid w:val="005F6183"/>
    <w:rsid w:val="005F62B6"/>
    <w:rsid w:val="005F6842"/>
    <w:rsid w:val="005F6ED8"/>
    <w:rsid w:val="005F7039"/>
    <w:rsid w:val="005F7809"/>
    <w:rsid w:val="005F783A"/>
    <w:rsid w:val="005F7B41"/>
    <w:rsid w:val="005F7F36"/>
    <w:rsid w:val="00600371"/>
    <w:rsid w:val="00600462"/>
    <w:rsid w:val="006005CA"/>
    <w:rsid w:val="0060090C"/>
    <w:rsid w:val="00600E75"/>
    <w:rsid w:val="00600F2E"/>
    <w:rsid w:val="006011CA"/>
    <w:rsid w:val="006017BC"/>
    <w:rsid w:val="006017FE"/>
    <w:rsid w:val="00601A8A"/>
    <w:rsid w:val="00601B5D"/>
    <w:rsid w:val="00601CEB"/>
    <w:rsid w:val="00602099"/>
    <w:rsid w:val="006025A2"/>
    <w:rsid w:val="006029E9"/>
    <w:rsid w:val="00602AF4"/>
    <w:rsid w:val="00603633"/>
    <w:rsid w:val="00603696"/>
    <w:rsid w:val="0060373A"/>
    <w:rsid w:val="00603A0F"/>
    <w:rsid w:val="00603C76"/>
    <w:rsid w:val="00603DCC"/>
    <w:rsid w:val="00603E5F"/>
    <w:rsid w:val="006046D0"/>
    <w:rsid w:val="00604FFD"/>
    <w:rsid w:val="00605439"/>
    <w:rsid w:val="006055D6"/>
    <w:rsid w:val="00605C47"/>
    <w:rsid w:val="00605CBD"/>
    <w:rsid w:val="006061F9"/>
    <w:rsid w:val="006069D1"/>
    <w:rsid w:val="00606C49"/>
    <w:rsid w:val="00606E67"/>
    <w:rsid w:val="006078FA"/>
    <w:rsid w:val="00611445"/>
    <w:rsid w:val="00611BC7"/>
    <w:rsid w:val="00611F42"/>
    <w:rsid w:val="00611FC2"/>
    <w:rsid w:val="006122DF"/>
    <w:rsid w:val="006123FE"/>
    <w:rsid w:val="00612622"/>
    <w:rsid w:val="0061263E"/>
    <w:rsid w:val="00612A69"/>
    <w:rsid w:val="00612BE6"/>
    <w:rsid w:val="00612E46"/>
    <w:rsid w:val="00613131"/>
    <w:rsid w:val="006132AD"/>
    <w:rsid w:val="006132B6"/>
    <w:rsid w:val="00613838"/>
    <w:rsid w:val="00613CB4"/>
    <w:rsid w:val="00613E94"/>
    <w:rsid w:val="00614245"/>
    <w:rsid w:val="00614D89"/>
    <w:rsid w:val="00615141"/>
    <w:rsid w:val="00615609"/>
    <w:rsid w:val="00615882"/>
    <w:rsid w:val="006159EC"/>
    <w:rsid w:val="00615C61"/>
    <w:rsid w:val="00615DC5"/>
    <w:rsid w:val="0061656E"/>
    <w:rsid w:val="00616875"/>
    <w:rsid w:val="0061747B"/>
    <w:rsid w:val="006176E8"/>
    <w:rsid w:val="00617885"/>
    <w:rsid w:val="00620068"/>
    <w:rsid w:val="00620121"/>
    <w:rsid w:val="006201C8"/>
    <w:rsid w:val="00620541"/>
    <w:rsid w:val="006208F8"/>
    <w:rsid w:val="00620CBA"/>
    <w:rsid w:val="00620D68"/>
    <w:rsid w:val="006218AB"/>
    <w:rsid w:val="006218C5"/>
    <w:rsid w:val="0062248D"/>
    <w:rsid w:val="00622978"/>
    <w:rsid w:val="00622CE0"/>
    <w:rsid w:val="00622E40"/>
    <w:rsid w:val="00622ED3"/>
    <w:rsid w:val="00623146"/>
    <w:rsid w:val="00623C25"/>
    <w:rsid w:val="006240C0"/>
    <w:rsid w:val="0062480D"/>
    <w:rsid w:val="00624B0A"/>
    <w:rsid w:val="00624B65"/>
    <w:rsid w:val="006251CC"/>
    <w:rsid w:val="00625367"/>
    <w:rsid w:val="0062554B"/>
    <w:rsid w:val="00625F92"/>
    <w:rsid w:val="00626E22"/>
    <w:rsid w:val="00626E78"/>
    <w:rsid w:val="006277F0"/>
    <w:rsid w:val="00627E1A"/>
    <w:rsid w:val="00630263"/>
    <w:rsid w:val="0063079A"/>
    <w:rsid w:val="00630BB7"/>
    <w:rsid w:val="006313F5"/>
    <w:rsid w:val="00631A22"/>
    <w:rsid w:val="00631B7E"/>
    <w:rsid w:val="00632098"/>
    <w:rsid w:val="006326B6"/>
    <w:rsid w:val="00632A7C"/>
    <w:rsid w:val="006337CF"/>
    <w:rsid w:val="006339CF"/>
    <w:rsid w:val="00633DCA"/>
    <w:rsid w:val="00633EBC"/>
    <w:rsid w:val="0063407D"/>
    <w:rsid w:val="0063466E"/>
    <w:rsid w:val="006346DA"/>
    <w:rsid w:val="00634E6E"/>
    <w:rsid w:val="006350DD"/>
    <w:rsid w:val="006351FE"/>
    <w:rsid w:val="006359A0"/>
    <w:rsid w:val="00636106"/>
    <w:rsid w:val="00636E8C"/>
    <w:rsid w:val="00636EBB"/>
    <w:rsid w:val="006374D2"/>
    <w:rsid w:val="00637509"/>
    <w:rsid w:val="006377DF"/>
    <w:rsid w:val="006401DE"/>
    <w:rsid w:val="00640336"/>
    <w:rsid w:val="00640382"/>
    <w:rsid w:val="006404D3"/>
    <w:rsid w:val="00640515"/>
    <w:rsid w:val="006406C5"/>
    <w:rsid w:val="006407D9"/>
    <w:rsid w:val="006409BE"/>
    <w:rsid w:val="00640C41"/>
    <w:rsid w:val="00640E88"/>
    <w:rsid w:val="006410E4"/>
    <w:rsid w:val="0064117F"/>
    <w:rsid w:val="006412EE"/>
    <w:rsid w:val="00641630"/>
    <w:rsid w:val="00641B27"/>
    <w:rsid w:val="00641E96"/>
    <w:rsid w:val="00642308"/>
    <w:rsid w:val="0064262F"/>
    <w:rsid w:val="00642693"/>
    <w:rsid w:val="00642D37"/>
    <w:rsid w:val="00642E4F"/>
    <w:rsid w:val="00642F62"/>
    <w:rsid w:val="00643006"/>
    <w:rsid w:val="00643A18"/>
    <w:rsid w:val="00643BE2"/>
    <w:rsid w:val="00643D49"/>
    <w:rsid w:val="00644868"/>
    <w:rsid w:val="00644A3B"/>
    <w:rsid w:val="00644C14"/>
    <w:rsid w:val="00644C9F"/>
    <w:rsid w:val="00645472"/>
    <w:rsid w:val="00645637"/>
    <w:rsid w:val="006459E2"/>
    <w:rsid w:val="0064663C"/>
    <w:rsid w:val="006469D6"/>
    <w:rsid w:val="00646D13"/>
    <w:rsid w:val="00647BC9"/>
    <w:rsid w:val="00647D67"/>
    <w:rsid w:val="00650173"/>
    <w:rsid w:val="006502E3"/>
    <w:rsid w:val="0065101E"/>
    <w:rsid w:val="006512C1"/>
    <w:rsid w:val="006512CB"/>
    <w:rsid w:val="0065142A"/>
    <w:rsid w:val="00651688"/>
    <w:rsid w:val="0065178C"/>
    <w:rsid w:val="006518B7"/>
    <w:rsid w:val="00651AEA"/>
    <w:rsid w:val="00651B15"/>
    <w:rsid w:val="00652356"/>
    <w:rsid w:val="006527C9"/>
    <w:rsid w:val="00652FD7"/>
    <w:rsid w:val="006545D7"/>
    <w:rsid w:val="00654BAE"/>
    <w:rsid w:val="00654BDE"/>
    <w:rsid w:val="00654EF6"/>
    <w:rsid w:val="00655CCC"/>
    <w:rsid w:val="0065616D"/>
    <w:rsid w:val="006562D0"/>
    <w:rsid w:val="006563F3"/>
    <w:rsid w:val="006564CB"/>
    <w:rsid w:val="006566AA"/>
    <w:rsid w:val="0065671C"/>
    <w:rsid w:val="006567AD"/>
    <w:rsid w:val="00656F28"/>
    <w:rsid w:val="006573BE"/>
    <w:rsid w:val="0066038B"/>
    <w:rsid w:val="00660BFA"/>
    <w:rsid w:val="00660C94"/>
    <w:rsid w:val="00661066"/>
    <w:rsid w:val="00661608"/>
    <w:rsid w:val="00662949"/>
    <w:rsid w:val="00662CA5"/>
    <w:rsid w:val="0066355E"/>
    <w:rsid w:val="00663580"/>
    <w:rsid w:val="00663607"/>
    <w:rsid w:val="00663DFF"/>
    <w:rsid w:val="00663E55"/>
    <w:rsid w:val="00663E99"/>
    <w:rsid w:val="00664277"/>
    <w:rsid w:val="006644BB"/>
    <w:rsid w:val="0066452B"/>
    <w:rsid w:val="00664AA1"/>
    <w:rsid w:val="00664FE6"/>
    <w:rsid w:val="0066581A"/>
    <w:rsid w:val="006659AB"/>
    <w:rsid w:val="006659D5"/>
    <w:rsid w:val="00665CD1"/>
    <w:rsid w:val="00665E22"/>
    <w:rsid w:val="0066673C"/>
    <w:rsid w:val="006669AB"/>
    <w:rsid w:val="00666D8E"/>
    <w:rsid w:val="0066721F"/>
    <w:rsid w:val="006672F9"/>
    <w:rsid w:val="00667310"/>
    <w:rsid w:val="006676A1"/>
    <w:rsid w:val="0066775D"/>
    <w:rsid w:val="00667EC1"/>
    <w:rsid w:val="0067002B"/>
    <w:rsid w:val="0067038F"/>
    <w:rsid w:val="00670C2F"/>
    <w:rsid w:val="00670F32"/>
    <w:rsid w:val="006712F9"/>
    <w:rsid w:val="006717F3"/>
    <w:rsid w:val="0067190B"/>
    <w:rsid w:val="00671994"/>
    <w:rsid w:val="00671EA0"/>
    <w:rsid w:val="00671EF1"/>
    <w:rsid w:val="00672307"/>
    <w:rsid w:val="006730F1"/>
    <w:rsid w:val="00673763"/>
    <w:rsid w:val="006738EC"/>
    <w:rsid w:val="00673905"/>
    <w:rsid w:val="006739B9"/>
    <w:rsid w:val="00673C8D"/>
    <w:rsid w:val="006750FE"/>
    <w:rsid w:val="00675229"/>
    <w:rsid w:val="0067525C"/>
    <w:rsid w:val="00675345"/>
    <w:rsid w:val="00675504"/>
    <w:rsid w:val="0067554D"/>
    <w:rsid w:val="00675A2C"/>
    <w:rsid w:val="006765D1"/>
    <w:rsid w:val="006766BB"/>
    <w:rsid w:val="006767A3"/>
    <w:rsid w:val="00676984"/>
    <w:rsid w:val="0067704A"/>
    <w:rsid w:val="006772D2"/>
    <w:rsid w:val="006773DB"/>
    <w:rsid w:val="0067754A"/>
    <w:rsid w:val="00677650"/>
    <w:rsid w:val="00677A30"/>
    <w:rsid w:val="00677D1E"/>
    <w:rsid w:val="006800A3"/>
    <w:rsid w:val="00680295"/>
    <w:rsid w:val="006806EE"/>
    <w:rsid w:val="0068092A"/>
    <w:rsid w:val="00680A23"/>
    <w:rsid w:val="00680E3C"/>
    <w:rsid w:val="006819B7"/>
    <w:rsid w:val="006820D2"/>
    <w:rsid w:val="00682544"/>
    <w:rsid w:val="006825B6"/>
    <w:rsid w:val="00682846"/>
    <w:rsid w:val="006834D6"/>
    <w:rsid w:val="0068360F"/>
    <w:rsid w:val="006840E5"/>
    <w:rsid w:val="006843CF"/>
    <w:rsid w:val="00684486"/>
    <w:rsid w:val="00684549"/>
    <w:rsid w:val="00684686"/>
    <w:rsid w:val="0068474B"/>
    <w:rsid w:val="006854AB"/>
    <w:rsid w:val="00685D68"/>
    <w:rsid w:val="00686786"/>
    <w:rsid w:val="00686C3D"/>
    <w:rsid w:val="006871EE"/>
    <w:rsid w:val="0068782D"/>
    <w:rsid w:val="00687A7F"/>
    <w:rsid w:val="00687AE3"/>
    <w:rsid w:val="00687CC2"/>
    <w:rsid w:val="00687E95"/>
    <w:rsid w:val="00690729"/>
    <w:rsid w:val="00690CB1"/>
    <w:rsid w:val="00690FC4"/>
    <w:rsid w:val="006910DB"/>
    <w:rsid w:val="0069138B"/>
    <w:rsid w:val="006913A8"/>
    <w:rsid w:val="006914A3"/>
    <w:rsid w:val="0069174B"/>
    <w:rsid w:val="00691E79"/>
    <w:rsid w:val="00692332"/>
    <w:rsid w:val="006926EB"/>
    <w:rsid w:val="00692D73"/>
    <w:rsid w:val="00693853"/>
    <w:rsid w:val="00693ABF"/>
    <w:rsid w:val="00693B86"/>
    <w:rsid w:val="00694E22"/>
    <w:rsid w:val="00695271"/>
    <w:rsid w:val="0069533D"/>
    <w:rsid w:val="00695359"/>
    <w:rsid w:val="006959B5"/>
    <w:rsid w:val="00696061"/>
    <w:rsid w:val="0069699C"/>
    <w:rsid w:val="006969DB"/>
    <w:rsid w:val="00696A4A"/>
    <w:rsid w:val="00697554"/>
    <w:rsid w:val="00697A80"/>
    <w:rsid w:val="00697CCF"/>
    <w:rsid w:val="00697CE8"/>
    <w:rsid w:val="00697DE5"/>
    <w:rsid w:val="00697FA5"/>
    <w:rsid w:val="006A092C"/>
    <w:rsid w:val="006A1646"/>
    <w:rsid w:val="006A175A"/>
    <w:rsid w:val="006A24A8"/>
    <w:rsid w:val="006A29AB"/>
    <w:rsid w:val="006A3412"/>
    <w:rsid w:val="006A40A6"/>
    <w:rsid w:val="006A464C"/>
    <w:rsid w:val="006A4916"/>
    <w:rsid w:val="006A4B26"/>
    <w:rsid w:val="006A4C58"/>
    <w:rsid w:val="006A4CD3"/>
    <w:rsid w:val="006A5414"/>
    <w:rsid w:val="006A55A3"/>
    <w:rsid w:val="006A5DBD"/>
    <w:rsid w:val="006A5E6B"/>
    <w:rsid w:val="006A5EBB"/>
    <w:rsid w:val="006A6273"/>
    <w:rsid w:val="006A6605"/>
    <w:rsid w:val="006A668B"/>
    <w:rsid w:val="006A66BD"/>
    <w:rsid w:val="006A6962"/>
    <w:rsid w:val="006A6D1E"/>
    <w:rsid w:val="006A6DAE"/>
    <w:rsid w:val="006A7648"/>
    <w:rsid w:val="006A76A7"/>
    <w:rsid w:val="006A7800"/>
    <w:rsid w:val="006A789B"/>
    <w:rsid w:val="006A78D9"/>
    <w:rsid w:val="006B00D5"/>
    <w:rsid w:val="006B0358"/>
    <w:rsid w:val="006B0F30"/>
    <w:rsid w:val="006B11FA"/>
    <w:rsid w:val="006B1392"/>
    <w:rsid w:val="006B1855"/>
    <w:rsid w:val="006B231E"/>
    <w:rsid w:val="006B25A9"/>
    <w:rsid w:val="006B2877"/>
    <w:rsid w:val="006B2893"/>
    <w:rsid w:val="006B38FD"/>
    <w:rsid w:val="006B3CDF"/>
    <w:rsid w:val="006B3E5B"/>
    <w:rsid w:val="006B456F"/>
    <w:rsid w:val="006B49F1"/>
    <w:rsid w:val="006B5413"/>
    <w:rsid w:val="006B5414"/>
    <w:rsid w:val="006B5769"/>
    <w:rsid w:val="006B5F44"/>
    <w:rsid w:val="006B619C"/>
    <w:rsid w:val="006B61A4"/>
    <w:rsid w:val="006B6C73"/>
    <w:rsid w:val="006B7331"/>
    <w:rsid w:val="006B73D7"/>
    <w:rsid w:val="006B7491"/>
    <w:rsid w:val="006B7561"/>
    <w:rsid w:val="006B783F"/>
    <w:rsid w:val="006B7896"/>
    <w:rsid w:val="006B7AA0"/>
    <w:rsid w:val="006C0766"/>
    <w:rsid w:val="006C0E2F"/>
    <w:rsid w:val="006C0EC1"/>
    <w:rsid w:val="006C0F5D"/>
    <w:rsid w:val="006C1227"/>
    <w:rsid w:val="006C12B6"/>
    <w:rsid w:val="006C137C"/>
    <w:rsid w:val="006C1412"/>
    <w:rsid w:val="006C14DD"/>
    <w:rsid w:val="006C177D"/>
    <w:rsid w:val="006C1FDD"/>
    <w:rsid w:val="006C247C"/>
    <w:rsid w:val="006C2599"/>
    <w:rsid w:val="006C2E2C"/>
    <w:rsid w:val="006C3583"/>
    <w:rsid w:val="006C393A"/>
    <w:rsid w:val="006C437E"/>
    <w:rsid w:val="006C4B18"/>
    <w:rsid w:val="006C4C17"/>
    <w:rsid w:val="006C51ED"/>
    <w:rsid w:val="006C5571"/>
    <w:rsid w:val="006C5904"/>
    <w:rsid w:val="006C5B9B"/>
    <w:rsid w:val="006C5CC4"/>
    <w:rsid w:val="006C6454"/>
    <w:rsid w:val="006C685E"/>
    <w:rsid w:val="006C6904"/>
    <w:rsid w:val="006C697F"/>
    <w:rsid w:val="006C6B15"/>
    <w:rsid w:val="006C6EC7"/>
    <w:rsid w:val="006C72DD"/>
    <w:rsid w:val="006C73D3"/>
    <w:rsid w:val="006C7507"/>
    <w:rsid w:val="006C7771"/>
    <w:rsid w:val="006C7BE5"/>
    <w:rsid w:val="006C7D05"/>
    <w:rsid w:val="006C7F94"/>
    <w:rsid w:val="006D0BDE"/>
    <w:rsid w:val="006D0CF1"/>
    <w:rsid w:val="006D0F26"/>
    <w:rsid w:val="006D0F7A"/>
    <w:rsid w:val="006D15FC"/>
    <w:rsid w:val="006D1B21"/>
    <w:rsid w:val="006D1BF5"/>
    <w:rsid w:val="006D20D6"/>
    <w:rsid w:val="006D245A"/>
    <w:rsid w:val="006D2624"/>
    <w:rsid w:val="006D276D"/>
    <w:rsid w:val="006D2795"/>
    <w:rsid w:val="006D289D"/>
    <w:rsid w:val="006D2984"/>
    <w:rsid w:val="006D29C4"/>
    <w:rsid w:val="006D2D35"/>
    <w:rsid w:val="006D3C67"/>
    <w:rsid w:val="006D3E32"/>
    <w:rsid w:val="006D4A20"/>
    <w:rsid w:val="006D4B11"/>
    <w:rsid w:val="006D4CF0"/>
    <w:rsid w:val="006D4DFF"/>
    <w:rsid w:val="006D550F"/>
    <w:rsid w:val="006D5568"/>
    <w:rsid w:val="006D5571"/>
    <w:rsid w:val="006D5EDF"/>
    <w:rsid w:val="006D62B8"/>
    <w:rsid w:val="006D6525"/>
    <w:rsid w:val="006D759E"/>
    <w:rsid w:val="006D75DB"/>
    <w:rsid w:val="006D76E6"/>
    <w:rsid w:val="006D7819"/>
    <w:rsid w:val="006E00CA"/>
    <w:rsid w:val="006E05E3"/>
    <w:rsid w:val="006E097F"/>
    <w:rsid w:val="006E0F8D"/>
    <w:rsid w:val="006E159C"/>
    <w:rsid w:val="006E1FF5"/>
    <w:rsid w:val="006E22DB"/>
    <w:rsid w:val="006E2992"/>
    <w:rsid w:val="006E2CC6"/>
    <w:rsid w:val="006E2F1D"/>
    <w:rsid w:val="006E2F6C"/>
    <w:rsid w:val="006E301B"/>
    <w:rsid w:val="006E3113"/>
    <w:rsid w:val="006E38BA"/>
    <w:rsid w:val="006E38C9"/>
    <w:rsid w:val="006E3A3B"/>
    <w:rsid w:val="006E3FC3"/>
    <w:rsid w:val="006E4116"/>
    <w:rsid w:val="006E47E7"/>
    <w:rsid w:val="006E4980"/>
    <w:rsid w:val="006E4EC9"/>
    <w:rsid w:val="006E50B3"/>
    <w:rsid w:val="006E55DF"/>
    <w:rsid w:val="006E5CE9"/>
    <w:rsid w:val="006E5DF8"/>
    <w:rsid w:val="006E5E74"/>
    <w:rsid w:val="006E659F"/>
    <w:rsid w:val="006E6BCB"/>
    <w:rsid w:val="006E6CDD"/>
    <w:rsid w:val="006E7211"/>
    <w:rsid w:val="006E7383"/>
    <w:rsid w:val="006E758C"/>
    <w:rsid w:val="006E769B"/>
    <w:rsid w:val="006E77B9"/>
    <w:rsid w:val="006E79CE"/>
    <w:rsid w:val="006F01B1"/>
    <w:rsid w:val="006F0AF2"/>
    <w:rsid w:val="006F0F39"/>
    <w:rsid w:val="006F0F5C"/>
    <w:rsid w:val="006F0F97"/>
    <w:rsid w:val="006F0F9E"/>
    <w:rsid w:val="006F15FC"/>
    <w:rsid w:val="006F1B12"/>
    <w:rsid w:val="006F1D69"/>
    <w:rsid w:val="006F20F6"/>
    <w:rsid w:val="006F2283"/>
    <w:rsid w:val="006F22B9"/>
    <w:rsid w:val="006F26A9"/>
    <w:rsid w:val="006F2738"/>
    <w:rsid w:val="006F2B76"/>
    <w:rsid w:val="006F3100"/>
    <w:rsid w:val="006F325F"/>
    <w:rsid w:val="006F3367"/>
    <w:rsid w:val="006F3422"/>
    <w:rsid w:val="006F3593"/>
    <w:rsid w:val="006F383D"/>
    <w:rsid w:val="006F391B"/>
    <w:rsid w:val="006F3CE8"/>
    <w:rsid w:val="006F41AF"/>
    <w:rsid w:val="006F42DC"/>
    <w:rsid w:val="006F4714"/>
    <w:rsid w:val="006F4B59"/>
    <w:rsid w:val="006F5356"/>
    <w:rsid w:val="006F577D"/>
    <w:rsid w:val="006F585E"/>
    <w:rsid w:val="006F7B86"/>
    <w:rsid w:val="006F7CD7"/>
    <w:rsid w:val="0070074B"/>
    <w:rsid w:val="0070088A"/>
    <w:rsid w:val="00700D8E"/>
    <w:rsid w:val="00700F26"/>
    <w:rsid w:val="00700F9A"/>
    <w:rsid w:val="007011C5"/>
    <w:rsid w:val="00701A32"/>
    <w:rsid w:val="00701C0D"/>
    <w:rsid w:val="00701C2C"/>
    <w:rsid w:val="00701ED8"/>
    <w:rsid w:val="00701EFE"/>
    <w:rsid w:val="0070227C"/>
    <w:rsid w:val="007027E3"/>
    <w:rsid w:val="007027E9"/>
    <w:rsid w:val="0070287F"/>
    <w:rsid w:val="00702C9F"/>
    <w:rsid w:val="00702FD5"/>
    <w:rsid w:val="007032CA"/>
    <w:rsid w:val="007035DC"/>
    <w:rsid w:val="007038F8"/>
    <w:rsid w:val="00703BAB"/>
    <w:rsid w:val="00703D6E"/>
    <w:rsid w:val="00704124"/>
    <w:rsid w:val="00704C87"/>
    <w:rsid w:val="00704EFA"/>
    <w:rsid w:val="00704F37"/>
    <w:rsid w:val="00706419"/>
    <w:rsid w:val="00706638"/>
    <w:rsid w:val="007074BF"/>
    <w:rsid w:val="007100C5"/>
    <w:rsid w:val="00710166"/>
    <w:rsid w:val="007104B1"/>
    <w:rsid w:val="007108F4"/>
    <w:rsid w:val="007109A3"/>
    <w:rsid w:val="00710F38"/>
    <w:rsid w:val="00711410"/>
    <w:rsid w:val="007116C1"/>
    <w:rsid w:val="007117A0"/>
    <w:rsid w:val="00711F0F"/>
    <w:rsid w:val="007125A4"/>
    <w:rsid w:val="007125E4"/>
    <w:rsid w:val="00712889"/>
    <w:rsid w:val="007128DE"/>
    <w:rsid w:val="0071290D"/>
    <w:rsid w:val="00712B40"/>
    <w:rsid w:val="00712B9E"/>
    <w:rsid w:val="00713E18"/>
    <w:rsid w:val="00714093"/>
    <w:rsid w:val="00714478"/>
    <w:rsid w:val="00714593"/>
    <w:rsid w:val="00714598"/>
    <w:rsid w:val="00715076"/>
    <w:rsid w:val="00715326"/>
    <w:rsid w:val="0071538F"/>
    <w:rsid w:val="007153BB"/>
    <w:rsid w:val="00715799"/>
    <w:rsid w:val="00715B99"/>
    <w:rsid w:val="0071711A"/>
    <w:rsid w:val="0071791A"/>
    <w:rsid w:val="00717F14"/>
    <w:rsid w:val="00720008"/>
    <w:rsid w:val="0072024F"/>
    <w:rsid w:val="0072034F"/>
    <w:rsid w:val="0072054F"/>
    <w:rsid w:val="00720D17"/>
    <w:rsid w:val="00721099"/>
    <w:rsid w:val="00721626"/>
    <w:rsid w:val="00721773"/>
    <w:rsid w:val="0072177B"/>
    <w:rsid w:val="00721925"/>
    <w:rsid w:val="00721C88"/>
    <w:rsid w:val="00721FED"/>
    <w:rsid w:val="00722237"/>
    <w:rsid w:val="00722543"/>
    <w:rsid w:val="00722915"/>
    <w:rsid w:val="00722EB4"/>
    <w:rsid w:val="00722EBA"/>
    <w:rsid w:val="00723170"/>
    <w:rsid w:val="00723504"/>
    <w:rsid w:val="00723B70"/>
    <w:rsid w:val="007244BA"/>
    <w:rsid w:val="00724E53"/>
    <w:rsid w:val="0072535D"/>
    <w:rsid w:val="00725689"/>
    <w:rsid w:val="007259EF"/>
    <w:rsid w:val="0072652D"/>
    <w:rsid w:val="00726F58"/>
    <w:rsid w:val="0072754E"/>
    <w:rsid w:val="007276FE"/>
    <w:rsid w:val="0073012E"/>
    <w:rsid w:val="00730518"/>
    <w:rsid w:val="007306CA"/>
    <w:rsid w:val="00730817"/>
    <w:rsid w:val="00730BA6"/>
    <w:rsid w:val="00730F79"/>
    <w:rsid w:val="007312E9"/>
    <w:rsid w:val="00731650"/>
    <w:rsid w:val="00732055"/>
    <w:rsid w:val="0073232E"/>
    <w:rsid w:val="007325BF"/>
    <w:rsid w:val="007326C6"/>
    <w:rsid w:val="00732BD7"/>
    <w:rsid w:val="007335E0"/>
    <w:rsid w:val="00733611"/>
    <w:rsid w:val="00733709"/>
    <w:rsid w:val="007337F7"/>
    <w:rsid w:val="0073399D"/>
    <w:rsid w:val="00733DFE"/>
    <w:rsid w:val="0073444E"/>
    <w:rsid w:val="00734496"/>
    <w:rsid w:val="007344C9"/>
    <w:rsid w:val="0073497F"/>
    <w:rsid w:val="00734A05"/>
    <w:rsid w:val="00734EEB"/>
    <w:rsid w:val="00734EF2"/>
    <w:rsid w:val="00734FA4"/>
    <w:rsid w:val="0073554E"/>
    <w:rsid w:val="00735786"/>
    <w:rsid w:val="007357AB"/>
    <w:rsid w:val="00735EAA"/>
    <w:rsid w:val="0073610B"/>
    <w:rsid w:val="00736944"/>
    <w:rsid w:val="00736A63"/>
    <w:rsid w:val="00736D76"/>
    <w:rsid w:val="00737085"/>
    <w:rsid w:val="00737AB0"/>
    <w:rsid w:val="007406E8"/>
    <w:rsid w:val="00740905"/>
    <w:rsid w:val="00740D08"/>
    <w:rsid w:val="0074132B"/>
    <w:rsid w:val="0074155B"/>
    <w:rsid w:val="00741B84"/>
    <w:rsid w:val="00741CA7"/>
    <w:rsid w:val="007421B8"/>
    <w:rsid w:val="00742419"/>
    <w:rsid w:val="007427BF"/>
    <w:rsid w:val="00742CE6"/>
    <w:rsid w:val="00743AE4"/>
    <w:rsid w:val="00743D6F"/>
    <w:rsid w:val="0074495E"/>
    <w:rsid w:val="007449A5"/>
    <w:rsid w:val="00744A17"/>
    <w:rsid w:val="00744C0B"/>
    <w:rsid w:val="00744E23"/>
    <w:rsid w:val="00744F08"/>
    <w:rsid w:val="00745192"/>
    <w:rsid w:val="00745421"/>
    <w:rsid w:val="00745502"/>
    <w:rsid w:val="00745F15"/>
    <w:rsid w:val="00745FC7"/>
    <w:rsid w:val="00746185"/>
    <w:rsid w:val="00746482"/>
    <w:rsid w:val="0074655C"/>
    <w:rsid w:val="00746634"/>
    <w:rsid w:val="00746A18"/>
    <w:rsid w:val="00746DCD"/>
    <w:rsid w:val="00747053"/>
    <w:rsid w:val="00747106"/>
    <w:rsid w:val="0074733C"/>
    <w:rsid w:val="00747F08"/>
    <w:rsid w:val="00747F28"/>
    <w:rsid w:val="00747F8A"/>
    <w:rsid w:val="00747FB9"/>
    <w:rsid w:val="007507AB"/>
    <w:rsid w:val="00750DBD"/>
    <w:rsid w:val="00751024"/>
    <w:rsid w:val="00751FE8"/>
    <w:rsid w:val="007527D2"/>
    <w:rsid w:val="00752AC2"/>
    <w:rsid w:val="00752B9E"/>
    <w:rsid w:val="0075321D"/>
    <w:rsid w:val="00753A4B"/>
    <w:rsid w:val="00753FA6"/>
    <w:rsid w:val="007541E6"/>
    <w:rsid w:val="00754472"/>
    <w:rsid w:val="007547DE"/>
    <w:rsid w:val="00754C17"/>
    <w:rsid w:val="007554E8"/>
    <w:rsid w:val="00755890"/>
    <w:rsid w:val="00755B76"/>
    <w:rsid w:val="007563C9"/>
    <w:rsid w:val="0075662D"/>
    <w:rsid w:val="00756BA2"/>
    <w:rsid w:val="00756C45"/>
    <w:rsid w:val="007578FE"/>
    <w:rsid w:val="00757B85"/>
    <w:rsid w:val="00757CA5"/>
    <w:rsid w:val="00757E63"/>
    <w:rsid w:val="0076068E"/>
    <w:rsid w:val="0076072A"/>
    <w:rsid w:val="007608C3"/>
    <w:rsid w:val="00761B1E"/>
    <w:rsid w:val="007623EB"/>
    <w:rsid w:val="0076258B"/>
    <w:rsid w:val="00762CE9"/>
    <w:rsid w:val="00762F17"/>
    <w:rsid w:val="00763A71"/>
    <w:rsid w:val="00763E56"/>
    <w:rsid w:val="007642C0"/>
    <w:rsid w:val="007656A8"/>
    <w:rsid w:val="00765759"/>
    <w:rsid w:val="00765F75"/>
    <w:rsid w:val="007662B2"/>
    <w:rsid w:val="007667A1"/>
    <w:rsid w:val="007669E0"/>
    <w:rsid w:val="00766DB0"/>
    <w:rsid w:val="00766F8A"/>
    <w:rsid w:val="00767B0F"/>
    <w:rsid w:val="00767CEB"/>
    <w:rsid w:val="00767D45"/>
    <w:rsid w:val="00767E82"/>
    <w:rsid w:val="007709DA"/>
    <w:rsid w:val="00770B47"/>
    <w:rsid w:val="00770C53"/>
    <w:rsid w:val="00770E20"/>
    <w:rsid w:val="00771135"/>
    <w:rsid w:val="007713EE"/>
    <w:rsid w:val="007722A8"/>
    <w:rsid w:val="00772654"/>
    <w:rsid w:val="00772D23"/>
    <w:rsid w:val="00772FEB"/>
    <w:rsid w:val="0077344F"/>
    <w:rsid w:val="00773788"/>
    <w:rsid w:val="00773C2C"/>
    <w:rsid w:val="00774441"/>
    <w:rsid w:val="00774AC7"/>
    <w:rsid w:val="00774B23"/>
    <w:rsid w:val="007752A9"/>
    <w:rsid w:val="007754A4"/>
    <w:rsid w:val="0077573C"/>
    <w:rsid w:val="00775746"/>
    <w:rsid w:val="007758E2"/>
    <w:rsid w:val="00775AAC"/>
    <w:rsid w:val="00775B76"/>
    <w:rsid w:val="00775F9F"/>
    <w:rsid w:val="00776211"/>
    <w:rsid w:val="00776590"/>
    <w:rsid w:val="0077677F"/>
    <w:rsid w:val="00776EE9"/>
    <w:rsid w:val="007778C5"/>
    <w:rsid w:val="007800A3"/>
    <w:rsid w:val="007800A6"/>
    <w:rsid w:val="007804F8"/>
    <w:rsid w:val="0078103E"/>
    <w:rsid w:val="007811CE"/>
    <w:rsid w:val="00781BDB"/>
    <w:rsid w:val="00781C30"/>
    <w:rsid w:val="007825C0"/>
    <w:rsid w:val="007830EB"/>
    <w:rsid w:val="007835AF"/>
    <w:rsid w:val="007836FD"/>
    <w:rsid w:val="00783725"/>
    <w:rsid w:val="007837C5"/>
    <w:rsid w:val="0078384C"/>
    <w:rsid w:val="00783D36"/>
    <w:rsid w:val="007846A1"/>
    <w:rsid w:val="007849FE"/>
    <w:rsid w:val="00785009"/>
    <w:rsid w:val="007850CC"/>
    <w:rsid w:val="0078594D"/>
    <w:rsid w:val="00785B98"/>
    <w:rsid w:val="0078602F"/>
    <w:rsid w:val="00786288"/>
    <w:rsid w:val="007863E4"/>
    <w:rsid w:val="007867C4"/>
    <w:rsid w:val="00786FC1"/>
    <w:rsid w:val="0078797B"/>
    <w:rsid w:val="007905AE"/>
    <w:rsid w:val="007907AE"/>
    <w:rsid w:val="00790966"/>
    <w:rsid w:val="007909A2"/>
    <w:rsid w:val="00790F7F"/>
    <w:rsid w:val="00791055"/>
    <w:rsid w:val="00791068"/>
    <w:rsid w:val="00791663"/>
    <w:rsid w:val="00791ADB"/>
    <w:rsid w:val="00791C11"/>
    <w:rsid w:val="007921AC"/>
    <w:rsid w:val="007924C4"/>
    <w:rsid w:val="00792A77"/>
    <w:rsid w:val="00792C19"/>
    <w:rsid w:val="00792D43"/>
    <w:rsid w:val="007930C3"/>
    <w:rsid w:val="00793574"/>
    <w:rsid w:val="00793576"/>
    <w:rsid w:val="00793942"/>
    <w:rsid w:val="007939AE"/>
    <w:rsid w:val="00793A5A"/>
    <w:rsid w:val="00794A2E"/>
    <w:rsid w:val="00794AA0"/>
    <w:rsid w:val="00794EA4"/>
    <w:rsid w:val="00794FC8"/>
    <w:rsid w:val="007950E3"/>
    <w:rsid w:val="0079527C"/>
    <w:rsid w:val="0079545D"/>
    <w:rsid w:val="007954C1"/>
    <w:rsid w:val="00795694"/>
    <w:rsid w:val="0079574A"/>
    <w:rsid w:val="00795A6B"/>
    <w:rsid w:val="00795CC9"/>
    <w:rsid w:val="007962BC"/>
    <w:rsid w:val="0079658D"/>
    <w:rsid w:val="007969A7"/>
    <w:rsid w:val="00796AA4"/>
    <w:rsid w:val="00796DBE"/>
    <w:rsid w:val="00797135"/>
    <w:rsid w:val="00797BD3"/>
    <w:rsid w:val="00797F24"/>
    <w:rsid w:val="007A01DE"/>
    <w:rsid w:val="007A0A3B"/>
    <w:rsid w:val="007A13F1"/>
    <w:rsid w:val="007A143E"/>
    <w:rsid w:val="007A1619"/>
    <w:rsid w:val="007A1D8A"/>
    <w:rsid w:val="007A2778"/>
    <w:rsid w:val="007A2A31"/>
    <w:rsid w:val="007A2E9B"/>
    <w:rsid w:val="007A3837"/>
    <w:rsid w:val="007A3E3E"/>
    <w:rsid w:val="007A41A6"/>
    <w:rsid w:val="007A45EF"/>
    <w:rsid w:val="007A4896"/>
    <w:rsid w:val="007A5C98"/>
    <w:rsid w:val="007A5CA4"/>
    <w:rsid w:val="007A5E38"/>
    <w:rsid w:val="007A6005"/>
    <w:rsid w:val="007A6050"/>
    <w:rsid w:val="007A618F"/>
    <w:rsid w:val="007A63BE"/>
    <w:rsid w:val="007A688C"/>
    <w:rsid w:val="007A715D"/>
    <w:rsid w:val="007A721A"/>
    <w:rsid w:val="007A73A5"/>
    <w:rsid w:val="007A7446"/>
    <w:rsid w:val="007A7525"/>
    <w:rsid w:val="007A7E49"/>
    <w:rsid w:val="007A7E56"/>
    <w:rsid w:val="007A7E9B"/>
    <w:rsid w:val="007B02DA"/>
    <w:rsid w:val="007B03F4"/>
    <w:rsid w:val="007B0869"/>
    <w:rsid w:val="007B0CF4"/>
    <w:rsid w:val="007B103F"/>
    <w:rsid w:val="007B11D4"/>
    <w:rsid w:val="007B1478"/>
    <w:rsid w:val="007B1DF4"/>
    <w:rsid w:val="007B1F6F"/>
    <w:rsid w:val="007B2D9F"/>
    <w:rsid w:val="007B2F75"/>
    <w:rsid w:val="007B3489"/>
    <w:rsid w:val="007B39F5"/>
    <w:rsid w:val="007B3A96"/>
    <w:rsid w:val="007B3AC3"/>
    <w:rsid w:val="007B3F6C"/>
    <w:rsid w:val="007B4685"/>
    <w:rsid w:val="007B468B"/>
    <w:rsid w:val="007B48AA"/>
    <w:rsid w:val="007B48AC"/>
    <w:rsid w:val="007B4F6F"/>
    <w:rsid w:val="007B4FFA"/>
    <w:rsid w:val="007B5201"/>
    <w:rsid w:val="007B54D2"/>
    <w:rsid w:val="007B55D6"/>
    <w:rsid w:val="007B58BF"/>
    <w:rsid w:val="007B5A6D"/>
    <w:rsid w:val="007B5BBD"/>
    <w:rsid w:val="007B6092"/>
    <w:rsid w:val="007B66DA"/>
    <w:rsid w:val="007B6987"/>
    <w:rsid w:val="007B6B93"/>
    <w:rsid w:val="007B6F05"/>
    <w:rsid w:val="007B70F5"/>
    <w:rsid w:val="007B71A6"/>
    <w:rsid w:val="007B7398"/>
    <w:rsid w:val="007B772F"/>
    <w:rsid w:val="007B7960"/>
    <w:rsid w:val="007B7963"/>
    <w:rsid w:val="007B7A8B"/>
    <w:rsid w:val="007B7D17"/>
    <w:rsid w:val="007B7EA1"/>
    <w:rsid w:val="007C0076"/>
    <w:rsid w:val="007C0463"/>
    <w:rsid w:val="007C0DF2"/>
    <w:rsid w:val="007C1043"/>
    <w:rsid w:val="007C11E9"/>
    <w:rsid w:val="007C1293"/>
    <w:rsid w:val="007C1E6F"/>
    <w:rsid w:val="007C2157"/>
    <w:rsid w:val="007C236A"/>
    <w:rsid w:val="007C2429"/>
    <w:rsid w:val="007C2609"/>
    <w:rsid w:val="007C282B"/>
    <w:rsid w:val="007C28A6"/>
    <w:rsid w:val="007C28B1"/>
    <w:rsid w:val="007C32CF"/>
    <w:rsid w:val="007C32D4"/>
    <w:rsid w:val="007C334A"/>
    <w:rsid w:val="007C34C8"/>
    <w:rsid w:val="007C35E6"/>
    <w:rsid w:val="007C4317"/>
    <w:rsid w:val="007C4484"/>
    <w:rsid w:val="007C46C7"/>
    <w:rsid w:val="007C47CB"/>
    <w:rsid w:val="007C483E"/>
    <w:rsid w:val="007C4CBC"/>
    <w:rsid w:val="007C55B9"/>
    <w:rsid w:val="007C58AF"/>
    <w:rsid w:val="007C5D70"/>
    <w:rsid w:val="007C5F8D"/>
    <w:rsid w:val="007C5FC3"/>
    <w:rsid w:val="007C634C"/>
    <w:rsid w:val="007C651F"/>
    <w:rsid w:val="007C6543"/>
    <w:rsid w:val="007C73EA"/>
    <w:rsid w:val="007C794C"/>
    <w:rsid w:val="007C7FC9"/>
    <w:rsid w:val="007C7FCC"/>
    <w:rsid w:val="007D09E0"/>
    <w:rsid w:val="007D12C0"/>
    <w:rsid w:val="007D13F7"/>
    <w:rsid w:val="007D1917"/>
    <w:rsid w:val="007D1EAC"/>
    <w:rsid w:val="007D29E3"/>
    <w:rsid w:val="007D29F7"/>
    <w:rsid w:val="007D2ACF"/>
    <w:rsid w:val="007D34E0"/>
    <w:rsid w:val="007D3A2E"/>
    <w:rsid w:val="007D3AAB"/>
    <w:rsid w:val="007D40B5"/>
    <w:rsid w:val="007D4641"/>
    <w:rsid w:val="007D57CD"/>
    <w:rsid w:val="007D5844"/>
    <w:rsid w:val="007D63C8"/>
    <w:rsid w:val="007D65A0"/>
    <w:rsid w:val="007D6AEE"/>
    <w:rsid w:val="007D6FED"/>
    <w:rsid w:val="007D7110"/>
    <w:rsid w:val="007D733F"/>
    <w:rsid w:val="007D7343"/>
    <w:rsid w:val="007D74B7"/>
    <w:rsid w:val="007D7A7C"/>
    <w:rsid w:val="007D7D82"/>
    <w:rsid w:val="007D7E2C"/>
    <w:rsid w:val="007E013D"/>
    <w:rsid w:val="007E0233"/>
    <w:rsid w:val="007E08DF"/>
    <w:rsid w:val="007E0E82"/>
    <w:rsid w:val="007E124E"/>
    <w:rsid w:val="007E1703"/>
    <w:rsid w:val="007E18DB"/>
    <w:rsid w:val="007E1A61"/>
    <w:rsid w:val="007E1F52"/>
    <w:rsid w:val="007E2500"/>
    <w:rsid w:val="007E2961"/>
    <w:rsid w:val="007E31A2"/>
    <w:rsid w:val="007E3DF7"/>
    <w:rsid w:val="007E3F5C"/>
    <w:rsid w:val="007E4433"/>
    <w:rsid w:val="007E4530"/>
    <w:rsid w:val="007E5149"/>
    <w:rsid w:val="007E5332"/>
    <w:rsid w:val="007E53F0"/>
    <w:rsid w:val="007E562A"/>
    <w:rsid w:val="007E58C5"/>
    <w:rsid w:val="007E5958"/>
    <w:rsid w:val="007E5D35"/>
    <w:rsid w:val="007E5DA7"/>
    <w:rsid w:val="007E5F51"/>
    <w:rsid w:val="007E6AD8"/>
    <w:rsid w:val="007E7C28"/>
    <w:rsid w:val="007E7C34"/>
    <w:rsid w:val="007E7D4F"/>
    <w:rsid w:val="007E7DEE"/>
    <w:rsid w:val="007F0108"/>
    <w:rsid w:val="007F02E5"/>
    <w:rsid w:val="007F0439"/>
    <w:rsid w:val="007F04ED"/>
    <w:rsid w:val="007F0B5C"/>
    <w:rsid w:val="007F1042"/>
    <w:rsid w:val="007F11E4"/>
    <w:rsid w:val="007F144B"/>
    <w:rsid w:val="007F14F6"/>
    <w:rsid w:val="007F22BD"/>
    <w:rsid w:val="007F27A9"/>
    <w:rsid w:val="007F2EAE"/>
    <w:rsid w:val="007F2FDA"/>
    <w:rsid w:val="007F3353"/>
    <w:rsid w:val="007F3412"/>
    <w:rsid w:val="007F3847"/>
    <w:rsid w:val="007F3DD7"/>
    <w:rsid w:val="007F3E20"/>
    <w:rsid w:val="007F4991"/>
    <w:rsid w:val="007F4ABA"/>
    <w:rsid w:val="007F4ED5"/>
    <w:rsid w:val="007F5575"/>
    <w:rsid w:val="007F590E"/>
    <w:rsid w:val="007F59E8"/>
    <w:rsid w:val="007F5E12"/>
    <w:rsid w:val="007F607E"/>
    <w:rsid w:val="007F62C7"/>
    <w:rsid w:val="007F630C"/>
    <w:rsid w:val="007F6397"/>
    <w:rsid w:val="007F63CC"/>
    <w:rsid w:val="007F6926"/>
    <w:rsid w:val="007F6A16"/>
    <w:rsid w:val="007F7532"/>
    <w:rsid w:val="007F7737"/>
    <w:rsid w:val="007F785F"/>
    <w:rsid w:val="007F7BB0"/>
    <w:rsid w:val="00800D74"/>
    <w:rsid w:val="008014F8"/>
    <w:rsid w:val="00801798"/>
    <w:rsid w:val="00801D3E"/>
    <w:rsid w:val="00801DDC"/>
    <w:rsid w:val="00802705"/>
    <w:rsid w:val="00802832"/>
    <w:rsid w:val="00802A9F"/>
    <w:rsid w:val="00802CA4"/>
    <w:rsid w:val="008030CA"/>
    <w:rsid w:val="008030D8"/>
    <w:rsid w:val="008031BA"/>
    <w:rsid w:val="00803278"/>
    <w:rsid w:val="00803317"/>
    <w:rsid w:val="0080347A"/>
    <w:rsid w:val="0080351E"/>
    <w:rsid w:val="00803792"/>
    <w:rsid w:val="00803AA5"/>
    <w:rsid w:val="00803BFA"/>
    <w:rsid w:val="00803C1E"/>
    <w:rsid w:val="00803FE1"/>
    <w:rsid w:val="00804092"/>
    <w:rsid w:val="00804242"/>
    <w:rsid w:val="00804441"/>
    <w:rsid w:val="0080457B"/>
    <w:rsid w:val="00804A51"/>
    <w:rsid w:val="00804C78"/>
    <w:rsid w:val="00804F7C"/>
    <w:rsid w:val="008057CD"/>
    <w:rsid w:val="00805D34"/>
    <w:rsid w:val="00805F9F"/>
    <w:rsid w:val="00805FEE"/>
    <w:rsid w:val="00806438"/>
    <w:rsid w:val="008066CB"/>
    <w:rsid w:val="008069EA"/>
    <w:rsid w:val="00806D82"/>
    <w:rsid w:val="00806F50"/>
    <w:rsid w:val="00807166"/>
    <w:rsid w:val="008072EF"/>
    <w:rsid w:val="0080732E"/>
    <w:rsid w:val="00807414"/>
    <w:rsid w:val="00807796"/>
    <w:rsid w:val="008077F3"/>
    <w:rsid w:val="00810220"/>
    <w:rsid w:val="00810479"/>
    <w:rsid w:val="0081062E"/>
    <w:rsid w:val="00810ACB"/>
    <w:rsid w:val="00811310"/>
    <w:rsid w:val="00811C9D"/>
    <w:rsid w:val="00811D74"/>
    <w:rsid w:val="0081209B"/>
    <w:rsid w:val="008121E3"/>
    <w:rsid w:val="00812D9E"/>
    <w:rsid w:val="00812E80"/>
    <w:rsid w:val="00812E9C"/>
    <w:rsid w:val="00813713"/>
    <w:rsid w:val="0081372B"/>
    <w:rsid w:val="008137A8"/>
    <w:rsid w:val="00814E53"/>
    <w:rsid w:val="00815058"/>
    <w:rsid w:val="00815271"/>
    <w:rsid w:val="008152E0"/>
    <w:rsid w:val="008157DF"/>
    <w:rsid w:val="00816152"/>
    <w:rsid w:val="0081641D"/>
    <w:rsid w:val="0081675F"/>
    <w:rsid w:val="00816949"/>
    <w:rsid w:val="00816984"/>
    <w:rsid w:val="00816F4B"/>
    <w:rsid w:val="00817787"/>
    <w:rsid w:val="00820151"/>
    <w:rsid w:val="0082055C"/>
    <w:rsid w:val="008206FE"/>
    <w:rsid w:val="0082287F"/>
    <w:rsid w:val="00822F1E"/>
    <w:rsid w:val="00822FAF"/>
    <w:rsid w:val="008237B4"/>
    <w:rsid w:val="00823BCC"/>
    <w:rsid w:val="00823C1F"/>
    <w:rsid w:val="00824FD2"/>
    <w:rsid w:val="008254FB"/>
    <w:rsid w:val="00825680"/>
    <w:rsid w:val="00825E8F"/>
    <w:rsid w:val="00825FD4"/>
    <w:rsid w:val="00826D9D"/>
    <w:rsid w:val="00827083"/>
    <w:rsid w:val="00827136"/>
    <w:rsid w:val="008275D5"/>
    <w:rsid w:val="00827A84"/>
    <w:rsid w:val="008302B3"/>
    <w:rsid w:val="0083036D"/>
    <w:rsid w:val="008303C3"/>
    <w:rsid w:val="008304F7"/>
    <w:rsid w:val="00830D84"/>
    <w:rsid w:val="008314E2"/>
    <w:rsid w:val="0083198D"/>
    <w:rsid w:val="00831BC2"/>
    <w:rsid w:val="00832C15"/>
    <w:rsid w:val="00832C19"/>
    <w:rsid w:val="00832D9B"/>
    <w:rsid w:val="00833020"/>
    <w:rsid w:val="0083328B"/>
    <w:rsid w:val="00833425"/>
    <w:rsid w:val="00833957"/>
    <w:rsid w:val="00833AC6"/>
    <w:rsid w:val="00833DA9"/>
    <w:rsid w:val="00834200"/>
    <w:rsid w:val="008347EA"/>
    <w:rsid w:val="00834EA9"/>
    <w:rsid w:val="0083583A"/>
    <w:rsid w:val="00835903"/>
    <w:rsid w:val="00835BD3"/>
    <w:rsid w:val="0083619E"/>
    <w:rsid w:val="00836799"/>
    <w:rsid w:val="00836EFA"/>
    <w:rsid w:val="0083752B"/>
    <w:rsid w:val="008376EB"/>
    <w:rsid w:val="008402CC"/>
    <w:rsid w:val="0084076B"/>
    <w:rsid w:val="0084121E"/>
    <w:rsid w:val="00841923"/>
    <w:rsid w:val="00841B2E"/>
    <w:rsid w:val="0084237F"/>
    <w:rsid w:val="00842869"/>
    <w:rsid w:val="00842BE1"/>
    <w:rsid w:val="00842CD6"/>
    <w:rsid w:val="00842F01"/>
    <w:rsid w:val="008434FC"/>
    <w:rsid w:val="00844297"/>
    <w:rsid w:val="0084459A"/>
    <w:rsid w:val="008445B5"/>
    <w:rsid w:val="008446F3"/>
    <w:rsid w:val="008447BB"/>
    <w:rsid w:val="00844A9A"/>
    <w:rsid w:val="00844EDC"/>
    <w:rsid w:val="00844F8A"/>
    <w:rsid w:val="008453AD"/>
    <w:rsid w:val="008455CB"/>
    <w:rsid w:val="00845673"/>
    <w:rsid w:val="00846048"/>
    <w:rsid w:val="00846312"/>
    <w:rsid w:val="008463AC"/>
    <w:rsid w:val="00846654"/>
    <w:rsid w:val="008474C2"/>
    <w:rsid w:val="00847669"/>
    <w:rsid w:val="0084795A"/>
    <w:rsid w:val="00847A90"/>
    <w:rsid w:val="00847B64"/>
    <w:rsid w:val="00847E0D"/>
    <w:rsid w:val="00847F3D"/>
    <w:rsid w:val="008504C9"/>
    <w:rsid w:val="0085051B"/>
    <w:rsid w:val="00850EE9"/>
    <w:rsid w:val="0085101D"/>
    <w:rsid w:val="0085169D"/>
    <w:rsid w:val="00851A37"/>
    <w:rsid w:val="00851AA5"/>
    <w:rsid w:val="00852369"/>
    <w:rsid w:val="008526FA"/>
    <w:rsid w:val="00852887"/>
    <w:rsid w:val="00852BA9"/>
    <w:rsid w:val="00852C1E"/>
    <w:rsid w:val="00852E8E"/>
    <w:rsid w:val="00852ECE"/>
    <w:rsid w:val="008539A9"/>
    <w:rsid w:val="00853A9F"/>
    <w:rsid w:val="00853DE9"/>
    <w:rsid w:val="00853E14"/>
    <w:rsid w:val="00853EED"/>
    <w:rsid w:val="00854544"/>
    <w:rsid w:val="008547D1"/>
    <w:rsid w:val="008549AF"/>
    <w:rsid w:val="00855637"/>
    <w:rsid w:val="008557D6"/>
    <w:rsid w:val="00855A74"/>
    <w:rsid w:val="00855E2E"/>
    <w:rsid w:val="00855E33"/>
    <w:rsid w:val="00856459"/>
    <w:rsid w:val="00857272"/>
    <w:rsid w:val="00857331"/>
    <w:rsid w:val="0085748B"/>
    <w:rsid w:val="00860077"/>
    <w:rsid w:val="00860283"/>
    <w:rsid w:val="0086058E"/>
    <w:rsid w:val="00860C34"/>
    <w:rsid w:val="00861196"/>
    <w:rsid w:val="008616A5"/>
    <w:rsid w:val="00861DF7"/>
    <w:rsid w:val="0086263A"/>
    <w:rsid w:val="00862F65"/>
    <w:rsid w:val="00862FC7"/>
    <w:rsid w:val="0086342F"/>
    <w:rsid w:val="0086360A"/>
    <w:rsid w:val="008638F0"/>
    <w:rsid w:val="00863A21"/>
    <w:rsid w:val="00863B9C"/>
    <w:rsid w:val="00864760"/>
    <w:rsid w:val="00864A63"/>
    <w:rsid w:val="00864A7D"/>
    <w:rsid w:val="008658E1"/>
    <w:rsid w:val="00865C99"/>
    <w:rsid w:val="00865D9B"/>
    <w:rsid w:val="0086614C"/>
    <w:rsid w:val="0086638D"/>
    <w:rsid w:val="0086659C"/>
    <w:rsid w:val="008666EC"/>
    <w:rsid w:val="00867060"/>
    <w:rsid w:val="00867137"/>
    <w:rsid w:val="0086785E"/>
    <w:rsid w:val="00867997"/>
    <w:rsid w:val="00867FBB"/>
    <w:rsid w:val="0087073A"/>
    <w:rsid w:val="0087115D"/>
    <w:rsid w:val="008711EA"/>
    <w:rsid w:val="00871235"/>
    <w:rsid w:val="00871396"/>
    <w:rsid w:val="00871C5A"/>
    <w:rsid w:val="00871CED"/>
    <w:rsid w:val="00871DC9"/>
    <w:rsid w:val="00871E74"/>
    <w:rsid w:val="00872119"/>
    <w:rsid w:val="008721DC"/>
    <w:rsid w:val="0087221C"/>
    <w:rsid w:val="0087262F"/>
    <w:rsid w:val="008726DF"/>
    <w:rsid w:val="00872BAD"/>
    <w:rsid w:val="00872F22"/>
    <w:rsid w:val="00872F59"/>
    <w:rsid w:val="00873133"/>
    <w:rsid w:val="00873403"/>
    <w:rsid w:val="00873909"/>
    <w:rsid w:val="0087404B"/>
    <w:rsid w:val="00874583"/>
    <w:rsid w:val="00874A50"/>
    <w:rsid w:val="00874A5E"/>
    <w:rsid w:val="00874B4C"/>
    <w:rsid w:val="00874C35"/>
    <w:rsid w:val="00874F29"/>
    <w:rsid w:val="00875351"/>
    <w:rsid w:val="0087541F"/>
    <w:rsid w:val="00875D4D"/>
    <w:rsid w:val="008764A6"/>
    <w:rsid w:val="00876903"/>
    <w:rsid w:val="00876AEB"/>
    <w:rsid w:val="00876E27"/>
    <w:rsid w:val="008779C5"/>
    <w:rsid w:val="00877C13"/>
    <w:rsid w:val="00880FA5"/>
    <w:rsid w:val="008811CC"/>
    <w:rsid w:val="0088175C"/>
    <w:rsid w:val="008818EB"/>
    <w:rsid w:val="00881E57"/>
    <w:rsid w:val="00882A3B"/>
    <w:rsid w:val="008839A8"/>
    <w:rsid w:val="00883F3D"/>
    <w:rsid w:val="00884539"/>
    <w:rsid w:val="008845B3"/>
    <w:rsid w:val="00884FAA"/>
    <w:rsid w:val="008851D2"/>
    <w:rsid w:val="00885467"/>
    <w:rsid w:val="00885BA7"/>
    <w:rsid w:val="008861A9"/>
    <w:rsid w:val="00886964"/>
    <w:rsid w:val="00886DC6"/>
    <w:rsid w:val="00886F07"/>
    <w:rsid w:val="00886F21"/>
    <w:rsid w:val="0089065C"/>
    <w:rsid w:val="00890E77"/>
    <w:rsid w:val="00890E81"/>
    <w:rsid w:val="00890FE6"/>
    <w:rsid w:val="008910FD"/>
    <w:rsid w:val="0089112F"/>
    <w:rsid w:val="008913E0"/>
    <w:rsid w:val="00891454"/>
    <w:rsid w:val="00891EEF"/>
    <w:rsid w:val="008920E9"/>
    <w:rsid w:val="008926DA"/>
    <w:rsid w:val="00892C82"/>
    <w:rsid w:val="00892CB0"/>
    <w:rsid w:val="00892E08"/>
    <w:rsid w:val="00892E89"/>
    <w:rsid w:val="008932D5"/>
    <w:rsid w:val="00893493"/>
    <w:rsid w:val="00893686"/>
    <w:rsid w:val="00893B79"/>
    <w:rsid w:val="00894190"/>
    <w:rsid w:val="0089431A"/>
    <w:rsid w:val="0089442D"/>
    <w:rsid w:val="00894E93"/>
    <w:rsid w:val="00895253"/>
    <w:rsid w:val="0089537D"/>
    <w:rsid w:val="00895896"/>
    <w:rsid w:val="008959BF"/>
    <w:rsid w:val="00895C85"/>
    <w:rsid w:val="00895CF0"/>
    <w:rsid w:val="0089630C"/>
    <w:rsid w:val="00896666"/>
    <w:rsid w:val="00896AB5"/>
    <w:rsid w:val="00897630"/>
    <w:rsid w:val="008977AF"/>
    <w:rsid w:val="008A004D"/>
    <w:rsid w:val="008A0B6B"/>
    <w:rsid w:val="008A10DB"/>
    <w:rsid w:val="008A11E3"/>
    <w:rsid w:val="008A1319"/>
    <w:rsid w:val="008A1855"/>
    <w:rsid w:val="008A1E33"/>
    <w:rsid w:val="008A1FAD"/>
    <w:rsid w:val="008A23E6"/>
    <w:rsid w:val="008A2B9F"/>
    <w:rsid w:val="008A3048"/>
    <w:rsid w:val="008A31C9"/>
    <w:rsid w:val="008A31DB"/>
    <w:rsid w:val="008A3C6A"/>
    <w:rsid w:val="008A3CFB"/>
    <w:rsid w:val="008A3D5E"/>
    <w:rsid w:val="008A3D9C"/>
    <w:rsid w:val="008A409C"/>
    <w:rsid w:val="008A48C5"/>
    <w:rsid w:val="008A5647"/>
    <w:rsid w:val="008A5DB5"/>
    <w:rsid w:val="008A5DEE"/>
    <w:rsid w:val="008A717A"/>
    <w:rsid w:val="008A721A"/>
    <w:rsid w:val="008A7866"/>
    <w:rsid w:val="008A7E22"/>
    <w:rsid w:val="008B008A"/>
    <w:rsid w:val="008B0368"/>
    <w:rsid w:val="008B0376"/>
    <w:rsid w:val="008B0414"/>
    <w:rsid w:val="008B0CDC"/>
    <w:rsid w:val="008B0F2C"/>
    <w:rsid w:val="008B1299"/>
    <w:rsid w:val="008B13D9"/>
    <w:rsid w:val="008B158E"/>
    <w:rsid w:val="008B171F"/>
    <w:rsid w:val="008B219F"/>
    <w:rsid w:val="008B2ECE"/>
    <w:rsid w:val="008B3041"/>
    <w:rsid w:val="008B3407"/>
    <w:rsid w:val="008B42B9"/>
    <w:rsid w:val="008B47F0"/>
    <w:rsid w:val="008B48DB"/>
    <w:rsid w:val="008B4BF0"/>
    <w:rsid w:val="008B4FDC"/>
    <w:rsid w:val="008B5078"/>
    <w:rsid w:val="008B51FF"/>
    <w:rsid w:val="008B521F"/>
    <w:rsid w:val="008B5235"/>
    <w:rsid w:val="008B598F"/>
    <w:rsid w:val="008B5B97"/>
    <w:rsid w:val="008B5C19"/>
    <w:rsid w:val="008B5EA8"/>
    <w:rsid w:val="008B6130"/>
    <w:rsid w:val="008B621E"/>
    <w:rsid w:val="008B6536"/>
    <w:rsid w:val="008B6735"/>
    <w:rsid w:val="008B6827"/>
    <w:rsid w:val="008B6977"/>
    <w:rsid w:val="008B6B7F"/>
    <w:rsid w:val="008B710F"/>
    <w:rsid w:val="008B7129"/>
    <w:rsid w:val="008B72F8"/>
    <w:rsid w:val="008B7683"/>
    <w:rsid w:val="008C0C29"/>
    <w:rsid w:val="008C0F4C"/>
    <w:rsid w:val="008C1510"/>
    <w:rsid w:val="008C26B2"/>
    <w:rsid w:val="008C29DD"/>
    <w:rsid w:val="008C322F"/>
    <w:rsid w:val="008C3287"/>
    <w:rsid w:val="008C34B6"/>
    <w:rsid w:val="008C3773"/>
    <w:rsid w:val="008C3806"/>
    <w:rsid w:val="008C3AE0"/>
    <w:rsid w:val="008C3C72"/>
    <w:rsid w:val="008C3DBA"/>
    <w:rsid w:val="008C3F0B"/>
    <w:rsid w:val="008C3F7C"/>
    <w:rsid w:val="008C4844"/>
    <w:rsid w:val="008C5B54"/>
    <w:rsid w:val="008C5C83"/>
    <w:rsid w:val="008C64AD"/>
    <w:rsid w:val="008C6762"/>
    <w:rsid w:val="008C7537"/>
    <w:rsid w:val="008C7892"/>
    <w:rsid w:val="008C79B0"/>
    <w:rsid w:val="008C7C99"/>
    <w:rsid w:val="008C7CBE"/>
    <w:rsid w:val="008D09E4"/>
    <w:rsid w:val="008D126E"/>
    <w:rsid w:val="008D129B"/>
    <w:rsid w:val="008D195A"/>
    <w:rsid w:val="008D19FC"/>
    <w:rsid w:val="008D208A"/>
    <w:rsid w:val="008D258E"/>
    <w:rsid w:val="008D2725"/>
    <w:rsid w:val="008D2732"/>
    <w:rsid w:val="008D2767"/>
    <w:rsid w:val="008D2C43"/>
    <w:rsid w:val="008D3242"/>
    <w:rsid w:val="008D3C38"/>
    <w:rsid w:val="008D3F63"/>
    <w:rsid w:val="008D4597"/>
    <w:rsid w:val="008D4656"/>
    <w:rsid w:val="008D4AE9"/>
    <w:rsid w:val="008D4F97"/>
    <w:rsid w:val="008D514B"/>
    <w:rsid w:val="008D5DEB"/>
    <w:rsid w:val="008D6553"/>
    <w:rsid w:val="008D663D"/>
    <w:rsid w:val="008D6B90"/>
    <w:rsid w:val="008D6B9B"/>
    <w:rsid w:val="008D75D3"/>
    <w:rsid w:val="008D77E3"/>
    <w:rsid w:val="008D7B53"/>
    <w:rsid w:val="008D7E24"/>
    <w:rsid w:val="008E018E"/>
    <w:rsid w:val="008E05DB"/>
    <w:rsid w:val="008E06E8"/>
    <w:rsid w:val="008E0789"/>
    <w:rsid w:val="008E0A8C"/>
    <w:rsid w:val="008E0B9E"/>
    <w:rsid w:val="008E1600"/>
    <w:rsid w:val="008E1C2A"/>
    <w:rsid w:val="008E1E30"/>
    <w:rsid w:val="008E2493"/>
    <w:rsid w:val="008E2576"/>
    <w:rsid w:val="008E30B6"/>
    <w:rsid w:val="008E3533"/>
    <w:rsid w:val="008E3594"/>
    <w:rsid w:val="008E3968"/>
    <w:rsid w:val="008E3AF1"/>
    <w:rsid w:val="008E4091"/>
    <w:rsid w:val="008E4290"/>
    <w:rsid w:val="008E43CA"/>
    <w:rsid w:val="008E44D2"/>
    <w:rsid w:val="008E4761"/>
    <w:rsid w:val="008E4A8A"/>
    <w:rsid w:val="008E4B64"/>
    <w:rsid w:val="008E4D07"/>
    <w:rsid w:val="008E58B9"/>
    <w:rsid w:val="008E5A5A"/>
    <w:rsid w:val="008E5B41"/>
    <w:rsid w:val="008E5F5E"/>
    <w:rsid w:val="008E6483"/>
    <w:rsid w:val="008E66C1"/>
    <w:rsid w:val="008E6FA3"/>
    <w:rsid w:val="008E732D"/>
    <w:rsid w:val="008E74EE"/>
    <w:rsid w:val="008E78F4"/>
    <w:rsid w:val="008E7ABD"/>
    <w:rsid w:val="008E7C30"/>
    <w:rsid w:val="008E7CDF"/>
    <w:rsid w:val="008E7D53"/>
    <w:rsid w:val="008F00CC"/>
    <w:rsid w:val="008F02A3"/>
    <w:rsid w:val="008F054E"/>
    <w:rsid w:val="008F0AA6"/>
    <w:rsid w:val="008F0C8B"/>
    <w:rsid w:val="008F0FAE"/>
    <w:rsid w:val="008F1006"/>
    <w:rsid w:val="008F1761"/>
    <w:rsid w:val="008F1887"/>
    <w:rsid w:val="008F26A5"/>
    <w:rsid w:val="008F26D4"/>
    <w:rsid w:val="008F27DA"/>
    <w:rsid w:val="008F28BB"/>
    <w:rsid w:val="008F2B79"/>
    <w:rsid w:val="008F2DA1"/>
    <w:rsid w:val="008F3B8B"/>
    <w:rsid w:val="008F3FAC"/>
    <w:rsid w:val="008F4B52"/>
    <w:rsid w:val="008F4E09"/>
    <w:rsid w:val="008F53BA"/>
    <w:rsid w:val="008F546B"/>
    <w:rsid w:val="008F55B0"/>
    <w:rsid w:val="008F6729"/>
    <w:rsid w:val="008F67F4"/>
    <w:rsid w:val="008F686A"/>
    <w:rsid w:val="008F6DC3"/>
    <w:rsid w:val="008F7515"/>
    <w:rsid w:val="008F7547"/>
    <w:rsid w:val="0090088A"/>
    <w:rsid w:val="009008A3"/>
    <w:rsid w:val="009008E8"/>
    <w:rsid w:val="00900B9A"/>
    <w:rsid w:val="00900DA2"/>
    <w:rsid w:val="009011AE"/>
    <w:rsid w:val="009011B7"/>
    <w:rsid w:val="00901D44"/>
    <w:rsid w:val="009021D7"/>
    <w:rsid w:val="0090269C"/>
    <w:rsid w:val="0090278B"/>
    <w:rsid w:val="00902B00"/>
    <w:rsid w:val="00902BCF"/>
    <w:rsid w:val="00903D2A"/>
    <w:rsid w:val="00904B95"/>
    <w:rsid w:val="00905146"/>
    <w:rsid w:val="009051D6"/>
    <w:rsid w:val="0090527B"/>
    <w:rsid w:val="0090532F"/>
    <w:rsid w:val="00905A4C"/>
    <w:rsid w:val="00906319"/>
    <w:rsid w:val="00906775"/>
    <w:rsid w:val="009069CF"/>
    <w:rsid w:val="00907024"/>
    <w:rsid w:val="00907703"/>
    <w:rsid w:val="00907EEB"/>
    <w:rsid w:val="00907EF9"/>
    <w:rsid w:val="009103F1"/>
    <w:rsid w:val="00910F59"/>
    <w:rsid w:val="00911195"/>
    <w:rsid w:val="00911340"/>
    <w:rsid w:val="009114DD"/>
    <w:rsid w:val="00911B7D"/>
    <w:rsid w:val="00911C72"/>
    <w:rsid w:val="009123D2"/>
    <w:rsid w:val="00912B40"/>
    <w:rsid w:val="00912D86"/>
    <w:rsid w:val="009131B7"/>
    <w:rsid w:val="009131C5"/>
    <w:rsid w:val="0091381D"/>
    <w:rsid w:val="009138BF"/>
    <w:rsid w:val="00913A49"/>
    <w:rsid w:val="00913F55"/>
    <w:rsid w:val="00914201"/>
    <w:rsid w:val="0091433A"/>
    <w:rsid w:val="00914494"/>
    <w:rsid w:val="009152EC"/>
    <w:rsid w:val="009157F2"/>
    <w:rsid w:val="00915AAF"/>
    <w:rsid w:val="00915EE7"/>
    <w:rsid w:val="009165C1"/>
    <w:rsid w:val="00916814"/>
    <w:rsid w:val="0091691D"/>
    <w:rsid w:val="00917388"/>
    <w:rsid w:val="00917925"/>
    <w:rsid w:val="00917961"/>
    <w:rsid w:val="00920A39"/>
    <w:rsid w:val="00920F25"/>
    <w:rsid w:val="00921252"/>
    <w:rsid w:val="00921528"/>
    <w:rsid w:val="00921872"/>
    <w:rsid w:val="00921EC9"/>
    <w:rsid w:val="00921FF2"/>
    <w:rsid w:val="0092246D"/>
    <w:rsid w:val="00922919"/>
    <w:rsid w:val="00922A7C"/>
    <w:rsid w:val="00922C4B"/>
    <w:rsid w:val="00922EE3"/>
    <w:rsid w:val="00923082"/>
    <w:rsid w:val="0092380B"/>
    <w:rsid w:val="00923C96"/>
    <w:rsid w:val="00924157"/>
    <w:rsid w:val="0092437C"/>
    <w:rsid w:val="0092479E"/>
    <w:rsid w:val="00924B1A"/>
    <w:rsid w:val="00924B5F"/>
    <w:rsid w:val="00924CF3"/>
    <w:rsid w:val="00924DFB"/>
    <w:rsid w:val="00924E58"/>
    <w:rsid w:val="00925F10"/>
    <w:rsid w:val="0092621F"/>
    <w:rsid w:val="0092692E"/>
    <w:rsid w:val="00927516"/>
    <w:rsid w:val="00927930"/>
    <w:rsid w:val="0092797D"/>
    <w:rsid w:val="00927A37"/>
    <w:rsid w:val="0093008A"/>
    <w:rsid w:val="009302D5"/>
    <w:rsid w:val="00930394"/>
    <w:rsid w:val="00930488"/>
    <w:rsid w:val="00930674"/>
    <w:rsid w:val="0093129E"/>
    <w:rsid w:val="00931519"/>
    <w:rsid w:val="00931889"/>
    <w:rsid w:val="009318E2"/>
    <w:rsid w:val="00931DB8"/>
    <w:rsid w:val="00931E9A"/>
    <w:rsid w:val="00931EF6"/>
    <w:rsid w:val="00931EF8"/>
    <w:rsid w:val="009320B7"/>
    <w:rsid w:val="00932375"/>
    <w:rsid w:val="009323BE"/>
    <w:rsid w:val="009323D9"/>
    <w:rsid w:val="00932BFE"/>
    <w:rsid w:val="00932C1A"/>
    <w:rsid w:val="00932CEB"/>
    <w:rsid w:val="009330DF"/>
    <w:rsid w:val="00933656"/>
    <w:rsid w:val="00933B80"/>
    <w:rsid w:val="00933CB6"/>
    <w:rsid w:val="00933F52"/>
    <w:rsid w:val="0093415B"/>
    <w:rsid w:val="009341A0"/>
    <w:rsid w:val="009341D8"/>
    <w:rsid w:val="0093508E"/>
    <w:rsid w:val="0093520C"/>
    <w:rsid w:val="0093552B"/>
    <w:rsid w:val="009358A9"/>
    <w:rsid w:val="00936218"/>
    <w:rsid w:val="009378CD"/>
    <w:rsid w:val="00937975"/>
    <w:rsid w:val="00940654"/>
    <w:rsid w:val="0094067B"/>
    <w:rsid w:val="00940C04"/>
    <w:rsid w:val="0094106C"/>
    <w:rsid w:val="00941297"/>
    <w:rsid w:val="00941BA3"/>
    <w:rsid w:val="00942798"/>
    <w:rsid w:val="00942BC1"/>
    <w:rsid w:val="00942DB0"/>
    <w:rsid w:val="009433FC"/>
    <w:rsid w:val="009436EA"/>
    <w:rsid w:val="009438A4"/>
    <w:rsid w:val="009438E3"/>
    <w:rsid w:val="0094411A"/>
    <w:rsid w:val="009444C2"/>
    <w:rsid w:val="009445D8"/>
    <w:rsid w:val="00944AE7"/>
    <w:rsid w:val="00944B5A"/>
    <w:rsid w:val="00944B7A"/>
    <w:rsid w:val="0094565C"/>
    <w:rsid w:val="00945D9A"/>
    <w:rsid w:val="009462BB"/>
    <w:rsid w:val="00946360"/>
    <w:rsid w:val="0094665B"/>
    <w:rsid w:val="00946B20"/>
    <w:rsid w:val="009473DA"/>
    <w:rsid w:val="00947464"/>
    <w:rsid w:val="00950077"/>
    <w:rsid w:val="0095015A"/>
    <w:rsid w:val="00950547"/>
    <w:rsid w:val="0095066B"/>
    <w:rsid w:val="00950DC6"/>
    <w:rsid w:val="00950EA7"/>
    <w:rsid w:val="009518F2"/>
    <w:rsid w:val="00951A3C"/>
    <w:rsid w:val="00951B60"/>
    <w:rsid w:val="00951CC7"/>
    <w:rsid w:val="00951FB0"/>
    <w:rsid w:val="009528A1"/>
    <w:rsid w:val="009528C9"/>
    <w:rsid w:val="00952CC5"/>
    <w:rsid w:val="00952CCE"/>
    <w:rsid w:val="009531BD"/>
    <w:rsid w:val="009532B7"/>
    <w:rsid w:val="009536B6"/>
    <w:rsid w:val="009536E6"/>
    <w:rsid w:val="0095387A"/>
    <w:rsid w:val="00953886"/>
    <w:rsid w:val="00953B99"/>
    <w:rsid w:val="00953F9D"/>
    <w:rsid w:val="009544CB"/>
    <w:rsid w:val="00955113"/>
    <w:rsid w:val="009554C1"/>
    <w:rsid w:val="009559B4"/>
    <w:rsid w:val="00955A63"/>
    <w:rsid w:val="00955A6B"/>
    <w:rsid w:val="00955B9C"/>
    <w:rsid w:val="00955E00"/>
    <w:rsid w:val="00955E61"/>
    <w:rsid w:val="009560B3"/>
    <w:rsid w:val="00956235"/>
    <w:rsid w:val="00956969"/>
    <w:rsid w:val="00956C16"/>
    <w:rsid w:val="00956ED4"/>
    <w:rsid w:val="0095710B"/>
    <w:rsid w:val="009575C4"/>
    <w:rsid w:val="009578AA"/>
    <w:rsid w:val="00957B07"/>
    <w:rsid w:val="00960A50"/>
    <w:rsid w:val="00960B83"/>
    <w:rsid w:val="00961291"/>
    <w:rsid w:val="0096133D"/>
    <w:rsid w:val="0096227F"/>
    <w:rsid w:val="009623C9"/>
    <w:rsid w:val="00962651"/>
    <w:rsid w:val="00962EE1"/>
    <w:rsid w:val="00963ABD"/>
    <w:rsid w:val="00963ACA"/>
    <w:rsid w:val="00963BFA"/>
    <w:rsid w:val="0096447C"/>
    <w:rsid w:val="00964499"/>
    <w:rsid w:val="009644BF"/>
    <w:rsid w:val="00964E2F"/>
    <w:rsid w:val="0096527C"/>
    <w:rsid w:val="009654AF"/>
    <w:rsid w:val="009659B2"/>
    <w:rsid w:val="00965D4F"/>
    <w:rsid w:val="009661AB"/>
    <w:rsid w:val="00966511"/>
    <w:rsid w:val="009669B0"/>
    <w:rsid w:val="00966CFF"/>
    <w:rsid w:val="00967793"/>
    <w:rsid w:val="00967C5E"/>
    <w:rsid w:val="00967DFA"/>
    <w:rsid w:val="0097038D"/>
    <w:rsid w:val="0097047C"/>
    <w:rsid w:val="00970627"/>
    <w:rsid w:val="00970C56"/>
    <w:rsid w:val="00970D04"/>
    <w:rsid w:val="009713FE"/>
    <w:rsid w:val="00971566"/>
    <w:rsid w:val="009719C1"/>
    <w:rsid w:val="00971E19"/>
    <w:rsid w:val="00972166"/>
    <w:rsid w:val="00972484"/>
    <w:rsid w:val="009725CE"/>
    <w:rsid w:val="00972DAD"/>
    <w:rsid w:val="00973047"/>
    <w:rsid w:val="009734E7"/>
    <w:rsid w:val="00973873"/>
    <w:rsid w:val="00973D52"/>
    <w:rsid w:val="00973E9B"/>
    <w:rsid w:val="00974A0D"/>
    <w:rsid w:val="00975374"/>
    <w:rsid w:val="009756A8"/>
    <w:rsid w:val="009756DC"/>
    <w:rsid w:val="009758A9"/>
    <w:rsid w:val="00975A47"/>
    <w:rsid w:val="00975E26"/>
    <w:rsid w:val="00976109"/>
    <w:rsid w:val="0097630B"/>
    <w:rsid w:val="00976695"/>
    <w:rsid w:val="00977BC7"/>
    <w:rsid w:val="00980088"/>
    <w:rsid w:val="009802BE"/>
    <w:rsid w:val="00980680"/>
    <w:rsid w:val="00980797"/>
    <w:rsid w:val="00980AE9"/>
    <w:rsid w:val="00981022"/>
    <w:rsid w:val="009811B6"/>
    <w:rsid w:val="009812A4"/>
    <w:rsid w:val="009815ED"/>
    <w:rsid w:val="00981EE5"/>
    <w:rsid w:val="00981EF8"/>
    <w:rsid w:val="0098227B"/>
    <w:rsid w:val="00982413"/>
    <w:rsid w:val="0098252D"/>
    <w:rsid w:val="009826E4"/>
    <w:rsid w:val="00982C74"/>
    <w:rsid w:val="009830B8"/>
    <w:rsid w:val="00983300"/>
    <w:rsid w:val="009834C6"/>
    <w:rsid w:val="00983722"/>
    <w:rsid w:val="009837CE"/>
    <w:rsid w:val="009838B0"/>
    <w:rsid w:val="00983BB5"/>
    <w:rsid w:val="00984D06"/>
    <w:rsid w:val="00984DAA"/>
    <w:rsid w:val="00985131"/>
    <w:rsid w:val="0098699F"/>
    <w:rsid w:val="009869B5"/>
    <w:rsid w:val="00986C76"/>
    <w:rsid w:val="0098791E"/>
    <w:rsid w:val="00987C10"/>
    <w:rsid w:val="009901E7"/>
    <w:rsid w:val="00990290"/>
    <w:rsid w:val="0099071D"/>
    <w:rsid w:val="00991369"/>
    <w:rsid w:val="009919CD"/>
    <w:rsid w:val="00991CD6"/>
    <w:rsid w:val="0099210B"/>
    <w:rsid w:val="009937D3"/>
    <w:rsid w:val="009939A1"/>
    <w:rsid w:val="00994057"/>
    <w:rsid w:val="00994286"/>
    <w:rsid w:val="009945AF"/>
    <w:rsid w:val="0099470F"/>
    <w:rsid w:val="00994D65"/>
    <w:rsid w:val="0099537E"/>
    <w:rsid w:val="009964EA"/>
    <w:rsid w:val="00996716"/>
    <w:rsid w:val="009967D6"/>
    <w:rsid w:val="00996B27"/>
    <w:rsid w:val="00996D56"/>
    <w:rsid w:val="00996DBB"/>
    <w:rsid w:val="0099766E"/>
    <w:rsid w:val="00997CBE"/>
    <w:rsid w:val="009A0794"/>
    <w:rsid w:val="009A07E9"/>
    <w:rsid w:val="009A0CB4"/>
    <w:rsid w:val="009A17FB"/>
    <w:rsid w:val="009A18C3"/>
    <w:rsid w:val="009A191D"/>
    <w:rsid w:val="009A1E12"/>
    <w:rsid w:val="009A36C6"/>
    <w:rsid w:val="009A39E8"/>
    <w:rsid w:val="009A3C7B"/>
    <w:rsid w:val="009A405A"/>
    <w:rsid w:val="009A4150"/>
    <w:rsid w:val="009A43FD"/>
    <w:rsid w:val="009A4A1D"/>
    <w:rsid w:val="009A4E04"/>
    <w:rsid w:val="009A5678"/>
    <w:rsid w:val="009A5751"/>
    <w:rsid w:val="009A583C"/>
    <w:rsid w:val="009A58B2"/>
    <w:rsid w:val="009A5D84"/>
    <w:rsid w:val="009A60D0"/>
    <w:rsid w:val="009A60D8"/>
    <w:rsid w:val="009A65CC"/>
    <w:rsid w:val="009A65D1"/>
    <w:rsid w:val="009A6671"/>
    <w:rsid w:val="009A6783"/>
    <w:rsid w:val="009A6CE5"/>
    <w:rsid w:val="009A6E7C"/>
    <w:rsid w:val="009A7810"/>
    <w:rsid w:val="009B0249"/>
    <w:rsid w:val="009B03E6"/>
    <w:rsid w:val="009B08A9"/>
    <w:rsid w:val="009B1151"/>
    <w:rsid w:val="009B18A7"/>
    <w:rsid w:val="009B1996"/>
    <w:rsid w:val="009B2949"/>
    <w:rsid w:val="009B2AF4"/>
    <w:rsid w:val="009B34C7"/>
    <w:rsid w:val="009B3592"/>
    <w:rsid w:val="009B3FD0"/>
    <w:rsid w:val="009B438C"/>
    <w:rsid w:val="009B43CA"/>
    <w:rsid w:val="009B4AAC"/>
    <w:rsid w:val="009B4B40"/>
    <w:rsid w:val="009B4BB8"/>
    <w:rsid w:val="009B4C32"/>
    <w:rsid w:val="009B4CF4"/>
    <w:rsid w:val="009B4F00"/>
    <w:rsid w:val="009B6455"/>
    <w:rsid w:val="009B6FF9"/>
    <w:rsid w:val="009B70CF"/>
    <w:rsid w:val="009B72CE"/>
    <w:rsid w:val="009C0245"/>
    <w:rsid w:val="009C0AC2"/>
    <w:rsid w:val="009C0D72"/>
    <w:rsid w:val="009C0E26"/>
    <w:rsid w:val="009C0E59"/>
    <w:rsid w:val="009C1AD3"/>
    <w:rsid w:val="009C21F4"/>
    <w:rsid w:val="009C278B"/>
    <w:rsid w:val="009C2A92"/>
    <w:rsid w:val="009C2B18"/>
    <w:rsid w:val="009C332F"/>
    <w:rsid w:val="009C3688"/>
    <w:rsid w:val="009C4106"/>
    <w:rsid w:val="009C41CC"/>
    <w:rsid w:val="009C4268"/>
    <w:rsid w:val="009C4631"/>
    <w:rsid w:val="009C4C72"/>
    <w:rsid w:val="009C4C78"/>
    <w:rsid w:val="009C4FC1"/>
    <w:rsid w:val="009C55B3"/>
    <w:rsid w:val="009C574A"/>
    <w:rsid w:val="009C6966"/>
    <w:rsid w:val="009C6A0E"/>
    <w:rsid w:val="009C6A2C"/>
    <w:rsid w:val="009C6C76"/>
    <w:rsid w:val="009C6D2D"/>
    <w:rsid w:val="009C6FF8"/>
    <w:rsid w:val="009C7161"/>
    <w:rsid w:val="009C7A5C"/>
    <w:rsid w:val="009C7A61"/>
    <w:rsid w:val="009C7ED1"/>
    <w:rsid w:val="009C7EF3"/>
    <w:rsid w:val="009D035E"/>
    <w:rsid w:val="009D0A5C"/>
    <w:rsid w:val="009D0A99"/>
    <w:rsid w:val="009D0E73"/>
    <w:rsid w:val="009D17F5"/>
    <w:rsid w:val="009D19F9"/>
    <w:rsid w:val="009D2282"/>
    <w:rsid w:val="009D2551"/>
    <w:rsid w:val="009D34E7"/>
    <w:rsid w:val="009D355E"/>
    <w:rsid w:val="009D3B21"/>
    <w:rsid w:val="009D3BDB"/>
    <w:rsid w:val="009D3FC3"/>
    <w:rsid w:val="009D457B"/>
    <w:rsid w:val="009D483E"/>
    <w:rsid w:val="009D4BF2"/>
    <w:rsid w:val="009D4CFD"/>
    <w:rsid w:val="009D5985"/>
    <w:rsid w:val="009D5BA1"/>
    <w:rsid w:val="009D5E33"/>
    <w:rsid w:val="009D601F"/>
    <w:rsid w:val="009D632B"/>
    <w:rsid w:val="009D6EEA"/>
    <w:rsid w:val="009D6FAD"/>
    <w:rsid w:val="009D749D"/>
    <w:rsid w:val="009D7A63"/>
    <w:rsid w:val="009D7DE9"/>
    <w:rsid w:val="009D7FD6"/>
    <w:rsid w:val="009E0411"/>
    <w:rsid w:val="009E077F"/>
    <w:rsid w:val="009E0BDC"/>
    <w:rsid w:val="009E134F"/>
    <w:rsid w:val="009E16A1"/>
    <w:rsid w:val="009E1B14"/>
    <w:rsid w:val="009E1DC4"/>
    <w:rsid w:val="009E203F"/>
    <w:rsid w:val="009E2064"/>
    <w:rsid w:val="009E2088"/>
    <w:rsid w:val="009E2401"/>
    <w:rsid w:val="009E3373"/>
    <w:rsid w:val="009E3506"/>
    <w:rsid w:val="009E3570"/>
    <w:rsid w:val="009E36A0"/>
    <w:rsid w:val="009E3CB6"/>
    <w:rsid w:val="009E48EB"/>
    <w:rsid w:val="009E4AA8"/>
    <w:rsid w:val="009E4D0E"/>
    <w:rsid w:val="009E5180"/>
    <w:rsid w:val="009E5380"/>
    <w:rsid w:val="009E5490"/>
    <w:rsid w:val="009E568A"/>
    <w:rsid w:val="009E58BD"/>
    <w:rsid w:val="009E5C2A"/>
    <w:rsid w:val="009E65B9"/>
    <w:rsid w:val="009E69AB"/>
    <w:rsid w:val="009E6ABC"/>
    <w:rsid w:val="009E7191"/>
    <w:rsid w:val="009E7AF4"/>
    <w:rsid w:val="009E7CEE"/>
    <w:rsid w:val="009E7CFF"/>
    <w:rsid w:val="009E7EC6"/>
    <w:rsid w:val="009E7F33"/>
    <w:rsid w:val="009F0D0E"/>
    <w:rsid w:val="009F1267"/>
    <w:rsid w:val="009F1418"/>
    <w:rsid w:val="009F1A40"/>
    <w:rsid w:val="009F20A2"/>
    <w:rsid w:val="009F243B"/>
    <w:rsid w:val="009F2A71"/>
    <w:rsid w:val="009F2CEC"/>
    <w:rsid w:val="009F2FC4"/>
    <w:rsid w:val="009F31C2"/>
    <w:rsid w:val="009F3292"/>
    <w:rsid w:val="009F37B5"/>
    <w:rsid w:val="009F3F39"/>
    <w:rsid w:val="009F418F"/>
    <w:rsid w:val="009F4407"/>
    <w:rsid w:val="009F4A6E"/>
    <w:rsid w:val="009F4DC0"/>
    <w:rsid w:val="009F502C"/>
    <w:rsid w:val="009F50A5"/>
    <w:rsid w:val="009F5151"/>
    <w:rsid w:val="009F5AC0"/>
    <w:rsid w:val="009F634F"/>
    <w:rsid w:val="009F65B7"/>
    <w:rsid w:val="009F69B9"/>
    <w:rsid w:val="009F6C0F"/>
    <w:rsid w:val="009F7915"/>
    <w:rsid w:val="009F7F65"/>
    <w:rsid w:val="00A00233"/>
    <w:rsid w:val="00A00D88"/>
    <w:rsid w:val="00A01108"/>
    <w:rsid w:val="00A01304"/>
    <w:rsid w:val="00A01CAF"/>
    <w:rsid w:val="00A01CF8"/>
    <w:rsid w:val="00A02115"/>
    <w:rsid w:val="00A022FA"/>
    <w:rsid w:val="00A02667"/>
    <w:rsid w:val="00A02CAF"/>
    <w:rsid w:val="00A03205"/>
    <w:rsid w:val="00A034B4"/>
    <w:rsid w:val="00A036F4"/>
    <w:rsid w:val="00A037CA"/>
    <w:rsid w:val="00A037EC"/>
    <w:rsid w:val="00A03BCA"/>
    <w:rsid w:val="00A03E8F"/>
    <w:rsid w:val="00A0429A"/>
    <w:rsid w:val="00A046A3"/>
    <w:rsid w:val="00A04D4D"/>
    <w:rsid w:val="00A051A6"/>
    <w:rsid w:val="00A0544B"/>
    <w:rsid w:val="00A05CC0"/>
    <w:rsid w:val="00A05FB8"/>
    <w:rsid w:val="00A066C9"/>
    <w:rsid w:val="00A06775"/>
    <w:rsid w:val="00A06BED"/>
    <w:rsid w:val="00A07B83"/>
    <w:rsid w:val="00A10163"/>
    <w:rsid w:val="00A10779"/>
    <w:rsid w:val="00A110AF"/>
    <w:rsid w:val="00A11A80"/>
    <w:rsid w:val="00A11AC5"/>
    <w:rsid w:val="00A11BC6"/>
    <w:rsid w:val="00A11D5F"/>
    <w:rsid w:val="00A11E9A"/>
    <w:rsid w:val="00A121B0"/>
    <w:rsid w:val="00A12367"/>
    <w:rsid w:val="00A124EF"/>
    <w:rsid w:val="00A12BF2"/>
    <w:rsid w:val="00A12C60"/>
    <w:rsid w:val="00A13154"/>
    <w:rsid w:val="00A13448"/>
    <w:rsid w:val="00A146EA"/>
    <w:rsid w:val="00A1478E"/>
    <w:rsid w:val="00A1495C"/>
    <w:rsid w:val="00A149E6"/>
    <w:rsid w:val="00A14C95"/>
    <w:rsid w:val="00A14EE6"/>
    <w:rsid w:val="00A14F77"/>
    <w:rsid w:val="00A14F88"/>
    <w:rsid w:val="00A14F8D"/>
    <w:rsid w:val="00A15090"/>
    <w:rsid w:val="00A1513E"/>
    <w:rsid w:val="00A155BB"/>
    <w:rsid w:val="00A15F91"/>
    <w:rsid w:val="00A15FD9"/>
    <w:rsid w:val="00A16145"/>
    <w:rsid w:val="00A1642B"/>
    <w:rsid w:val="00A1667B"/>
    <w:rsid w:val="00A167F5"/>
    <w:rsid w:val="00A1743B"/>
    <w:rsid w:val="00A17500"/>
    <w:rsid w:val="00A175FA"/>
    <w:rsid w:val="00A202ED"/>
    <w:rsid w:val="00A2077F"/>
    <w:rsid w:val="00A209FA"/>
    <w:rsid w:val="00A20AEA"/>
    <w:rsid w:val="00A20B3E"/>
    <w:rsid w:val="00A20B90"/>
    <w:rsid w:val="00A20BB9"/>
    <w:rsid w:val="00A210D8"/>
    <w:rsid w:val="00A21BA3"/>
    <w:rsid w:val="00A21DEA"/>
    <w:rsid w:val="00A21EC1"/>
    <w:rsid w:val="00A22495"/>
    <w:rsid w:val="00A224AE"/>
    <w:rsid w:val="00A224D9"/>
    <w:rsid w:val="00A22501"/>
    <w:rsid w:val="00A2255C"/>
    <w:rsid w:val="00A2257B"/>
    <w:rsid w:val="00A228DC"/>
    <w:rsid w:val="00A22B95"/>
    <w:rsid w:val="00A22C40"/>
    <w:rsid w:val="00A231C3"/>
    <w:rsid w:val="00A23A2A"/>
    <w:rsid w:val="00A23DDA"/>
    <w:rsid w:val="00A24828"/>
    <w:rsid w:val="00A24D10"/>
    <w:rsid w:val="00A24E85"/>
    <w:rsid w:val="00A250A2"/>
    <w:rsid w:val="00A25793"/>
    <w:rsid w:val="00A2583C"/>
    <w:rsid w:val="00A258BA"/>
    <w:rsid w:val="00A25D37"/>
    <w:rsid w:val="00A25E0F"/>
    <w:rsid w:val="00A25FA6"/>
    <w:rsid w:val="00A2609C"/>
    <w:rsid w:val="00A2630F"/>
    <w:rsid w:val="00A265DF"/>
    <w:rsid w:val="00A26770"/>
    <w:rsid w:val="00A268B0"/>
    <w:rsid w:val="00A26D6D"/>
    <w:rsid w:val="00A2742C"/>
    <w:rsid w:val="00A27501"/>
    <w:rsid w:val="00A30449"/>
    <w:rsid w:val="00A305C7"/>
    <w:rsid w:val="00A309C0"/>
    <w:rsid w:val="00A30CE6"/>
    <w:rsid w:val="00A30F5E"/>
    <w:rsid w:val="00A31196"/>
    <w:rsid w:val="00A317E2"/>
    <w:rsid w:val="00A319BC"/>
    <w:rsid w:val="00A31A4A"/>
    <w:rsid w:val="00A31C4C"/>
    <w:rsid w:val="00A31F25"/>
    <w:rsid w:val="00A32332"/>
    <w:rsid w:val="00A32C2C"/>
    <w:rsid w:val="00A32D11"/>
    <w:rsid w:val="00A32EF3"/>
    <w:rsid w:val="00A338DA"/>
    <w:rsid w:val="00A33D39"/>
    <w:rsid w:val="00A33E06"/>
    <w:rsid w:val="00A3404D"/>
    <w:rsid w:val="00A343BC"/>
    <w:rsid w:val="00A348CD"/>
    <w:rsid w:val="00A34BF7"/>
    <w:rsid w:val="00A34DE4"/>
    <w:rsid w:val="00A3507F"/>
    <w:rsid w:val="00A354C9"/>
    <w:rsid w:val="00A356FA"/>
    <w:rsid w:val="00A357E2"/>
    <w:rsid w:val="00A35807"/>
    <w:rsid w:val="00A35CE4"/>
    <w:rsid w:val="00A35EE4"/>
    <w:rsid w:val="00A3678C"/>
    <w:rsid w:val="00A374E1"/>
    <w:rsid w:val="00A376E6"/>
    <w:rsid w:val="00A3791D"/>
    <w:rsid w:val="00A37984"/>
    <w:rsid w:val="00A37AC9"/>
    <w:rsid w:val="00A37D52"/>
    <w:rsid w:val="00A4022B"/>
    <w:rsid w:val="00A405BA"/>
    <w:rsid w:val="00A4067F"/>
    <w:rsid w:val="00A40A25"/>
    <w:rsid w:val="00A40F0D"/>
    <w:rsid w:val="00A41056"/>
    <w:rsid w:val="00A4149C"/>
    <w:rsid w:val="00A41857"/>
    <w:rsid w:val="00A41D88"/>
    <w:rsid w:val="00A41F8C"/>
    <w:rsid w:val="00A42132"/>
    <w:rsid w:val="00A42691"/>
    <w:rsid w:val="00A42CD1"/>
    <w:rsid w:val="00A43091"/>
    <w:rsid w:val="00A4347A"/>
    <w:rsid w:val="00A436AE"/>
    <w:rsid w:val="00A43945"/>
    <w:rsid w:val="00A439D0"/>
    <w:rsid w:val="00A43CE7"/>
    <w:rsid w:val="00A441EA"/>
    <w:rsid w:val="00A4466A"/>
    <w:rsid w:val="00A44ACC"/>
    <w:rsid w:val="00A44B23"/>
    <w:rsid w:val="00A453F3"/>
    <w:rsid w:val="00A45BDD"/>
    <w:rsid w:val="00A45CE8"/>
    <w:rsid w:val="00A46091"/>
    <w:rsid w:val="00A46391"/>
    <w:rsid w:val="00A470D1"/>
    <w:rsid w:val="00A470FB"/>
    <w:rsid w:val="00A47138"/>
    <w:rsid w:val="00A4768D"/>
    <w:rsid w:val="00A4781D"/>
    <w:rsid w:val="00A47A32"/>
    <w:rsid w:val="00A50494"/>
    <w:rsid w:val="00A50DA3"/>
    <w:rsid w:val="00A512D8"/>
    <w:rsid w:val="00A51441"/>
    <w:rsid w:val="00A51CB7"/>
    <w:rsid w:val="00A52DCC"/>
    <w:rsid w:val="00A52EC8"/>
    <w:rsid w:val="00A530CB"/>
    <w:rsid w:val="00A53144"/>
    <w:rsid w:val="00A532E7"/>
    <w:rsid w:val="00A53819"/>
    <w:rsid w:val="00A53E58"/>
    <w:rsid w:val="00A544FE"/>
    <w:rsid w:val="00A545A7"/>
    <w:rsid w:val="00A545C1"/>
    <w:rsid w:val="00A54B42"/>
    <w:rsid w:val="00A55981"/>
    <w:rsid w:val="00A55D6D"/>
    <w:rsid w:val="00A55FD3"/>
    <w:rsid w:val="00A56266"/>
    <w:rsid w:val="00A564E8"/>
    <w:rsid w:val="00A56EBD"/>
    <w:rsid w:val="00A5756B"/>
    <w:rsid w:val="00A5765C"/>
    <w:rsid w:val="00A57A37"/>
    <w:rsid w:val="00A57D38"/>
    <w:rsid w:val="00A60A1E"/>
    <w:rsid w:val="00A60C96"/>
    <w:rsid w:val="00A60D11"/>
    <w:rsid w:val="00A60F2C"/>
    <w:rsid w:val="00A613B1"/>
    <w:rsid w:val="00A61773"/>
    <w:rsid w:val="00A62188"/>
    <w:rsid w:val="00A62699"/>
    <w:rsid w:val="00A62731"/>
    <w:rsid w:val="00A62C5D"/>
    <w:rsid w:val="00A63680"/>
    <w:rsid w:val="00A636FC"/>
    <w:rsid w:val="00A6386C"/>
    <w:rsid w:val="00A638B5"/>
    <w:rsid w:val="00A63961"/>
    <w:rsid w:val="00A63DF9"/>
    <w:rsid w:val="00A6486F"/>
    <w:rsid w:val="00A64FFD"/>
    <w:rsid w:val="00A6520F"/>
    <w:rsid w:val="00A652B3"/>
    <w:rsid w:val="00A6545D"/>
    <w:rsid w:val="00A65566"/>
    <w:rsid w:val="00A66663"/>
    <w:rsid w:val="00A6706E"/>
    <w:rsid w:val="00A671B2"/>
    <w:rsid w:val="00A671F3"/>
    <w:rsid w:val="00A6733E"/>
    <w:rsid w:val="00A679D7"/>
    <w:rsid w:val="00A67D09"/>
    <w:rsid w:val="00A70077"/>
    <w:rsid w:val="00A70B34"/>
    <w:rsid w:val="00A70BF9"/>
    <w:rsid w:val="00A71583"/>
    <w:rsid w:val="00A71D4E"/>
    <w:rsid w:val="00A71E6A"/>
    <w:rsid w:val="00A71ED3"/>
    <w:rsid w:val="00A71FEF"/>
    <w:rsid w:val="00A724D9"/>
    <w:rsid w:val="00A733D7"/>
    <w:rsid w:val="00A73689"/>
    <w:rsid w:val="00A73B3F"/>
    <w:rsid w:val="00A73ECE"/>
    <w:rsid w:val="00A740B0"/>
    <w:rsid w:val="00A74B08"/>
    <w:rsid w:val="00A74C31"/>
    <w:rsid w:val="00A74F2B"/>
    <w:rsid w:val="00A7544B"/>
    <w:rsid w:val="00A764FD"/>
    <w:rsid w:val="00A76542"/>
    <w:rsid w:val="00A76A57"/>
    <w:rsid w:val="00A76AF3"/>
    <w:rsid w:val="00A76CA6"/>
    <w:rsid w:val="00A76D6A"/>
    <w:rsid w:val="00A771E7"/>
    <w:rsid w:val="00A77391"/>
    <w:rsid w:val="00A77435"/>
    <w:rsid w:val="00A7744B"/>
    <w:rsid w:val="00A77522"/>
    <w:rsid w:val="00A775DE"/>
    <w:rsid w:val="00A77B76"/>
    <w:rsid w:val="00A77D13"/>
    <w:rsid w:val="00A77F41"/>
    <w:rsid w:val="00A8030D"/>
    <w:rsid w:val="00A80650"/>
    <w:rsid w:val="00A80679"/>
    <w:rsid w:val="00A80739"/>
    <w:rsid w:val="00A80819"/>
    <w:rsid w:val="00A80B2F"/>
    <w:rsid w:val="00A810B2"/>
    <w:rsid w:val="00A8136E"/>
    <w:rsid w:val="00A815A3"/>
    <w:rsid w:val="00A81848"/>
    <w:rsid w:val="00A8204E"/>
    <w:rsid w:val="00A823C1"/>
    <w:rsid w:val="00A8247C"/>
    <w:rsid w:val="00A8254C"/>
    <w:rsid w:val="00A827C4"/>
    <w:rsid w:val="00A829FA"/>
    <w:rsid w:val="00A82FF1"/>
    <w:rsid w:val="00A831AB"/>
    <w:rsid w:val="00A846F4"/>
    <w:rsid w:val="00A84D67"/>
    <w:rsid w:val="00A84DFE"/>
    <w:rsid w:val="00A85036"/>
    <w:rsid w:val="00A85343"/>
    <w:rsid w:val="00A853A3"/>
    <w:rsid w:val="00A85766"/>
    <w:rsid w:val="00A85817"/>
    <w:rsid w:val="00A862BF"/>
    <w:rsid w:val="00A862F6"/>
    <w:rsid w:val="00A863B6"/>
    <w:rsid w:val="00A863E0"/>
    <w:rsid w:val="00A86682"/>
    <w:rsid w:val="00A86D8F"/>
    <w:rsid w:val="00A86FBA"/>
    <w:rsid w:val="00A87910"/>
    <w:rsid w:val="00A87B77"/>
    <w:rsid w:val="00A90783"/>
    <w:rsid w:val="00A90A42"/>
    <w:rsid w:val="00A90D80"/>
    <w:rsid w:val="00A912F1"/>
    <w:rsid w:val="00A9146B"/>
    <w:rsid w:val="00A9196A"/>
    <w:rsid w:val="00A91CDF"/>
    <w:rsid w:val="00A9316B"/>
    <w:rsid w:val="00A93C7D"/>
    <w:rsid w:val="00A93ED0"/>
    <w:rsid w:val="00A943ED"/>
    <w:rsid w:val="00A9478B"/>
    <w:rsid w:val="00A949DB"/>
    <w:rsid w:val="00A94B3F"/>
    <w:rsid w:val="00A95004"/>
    <w:rsid w:val="00A953A4"/>
    <w:rsid w:val="00A958D5"/>
    <w:rsid w:val="00A95B32"/>
    <w:rsid w:val="00A95BC5"/>
    <w:rsid w:val="00A962A4"/>
    <w:rsid w:val="00A962E6"/>
    <w:rsid w:val="00A969BF"/>
    <w:rsid w:val="00A974BB"/>
    <w:rsid w:val="00AA0121"/>
    <w:rsid w:val="00AA0268"/>
    <w:rsid w:val="00AA0DE7"/>
    <w:rsid w:val="00AA0EB9"/>
    <w:rsid w:val="00AA1075"/>
    <w:rsid w:val="00AA1809"/>
    <w:rsid w:val="00AA194B"/>
    <w:rsid w:val="00AA225E"/>
    <w:rsid w:val="00AA2272"/>
    <w:rsid w:val="00AA2382"/>
    <w:rsid w:val="00AA26AE"/>
    <w:rsid w:val="00AA278E"/>
    <w:rsid w:val="00AA390E"/>
    <w:rsid w:val="00AA3AE0"/>
    <w:rsid w:val="00AA413A"/>
    <w:rsid w:val="00AA4242"/>
    <w:rsid w:val="00AA4344"/>
    <w:rsid w:val="00AA4702"/>
    <w:rsid w:val="00AA4887"/>
    <w:rsid w:val="00AA4899"/>
    <w:rsid w:val="00AA4D13"/>
    <w:rsid w:val="00AA4F2E"/>
    <w:rsid w:val="00AA4FC6"/>
    <w:rsid w:val="00AA5911"/>
    <w:rsid w:val="00AA59BF"/>
    <w:rsid w:val="00AA5C21"/>
    <w:rsid w:val="00AA5C4A"/>
    <w:rsid w:val="00AA5F38"/>
    <w:rsid w:val="00AA60C2"/>
    <w:rsid w:val="00AA6367"/>
    <w:rsid w:val="00AA63D2"/>
    <w:rsid w:val="00AA6893"/>
    <w:rsid w:val="00AA6C18"/>
    <w:rsid w:val="00AA72CF"/>
    <w:rsid w:val="00AA7A05"/>
    <w:rsid w:val="00AA7D67"/>
    <w:rsid w:val="00AB015C"/>
    <w:rsid w:val="00AB0569"/>
    <w:rsid w:val="00AB0D93"/>
    <w:rsid w:val="00AB0FF4"/>
    <w:rsid w:val="00AB103B"/>
    <w:rsid w:val="00AB11FD"/>
    <w:rsid w:val="00AB132C"/>
    <w:rsid w:val="00AB152A"/>
    <w:rsid w:val="00AB18C2"/>
    <w:rsid w:val="00AB1FFB"/>
    <w:rsid w:val="00AB2716"/>
    <w:rsid w:val="00AB2A29"/>
    <w:rsid w:val="00AB33B6"/>
    <w:rsid w:val="00AB37BB"/>
    <w:rsid w:val="00AB395A"/>
    <w:rsid w:val="00AB3E57"/>
    <w:rsid w:val="00AB403C"/>
    <w:rsid w:val="00AB40DD"/>
    <w:rsid w:val="00AB4B3A"/>
    <w:rsid w:val="00AB4BE9"/>
    <w:rsid w:val="00AB4DB4"/>
    <w:rsid w:val="00AB4DF7"/>
    <w:rsid w:val="00AB4F84"/>
    <w:rsid w:val="00AB4FD6"/>
    <w:rsid w:val="00AB5357"/>
    <w:rsid w:val="00AB5FC2"/>
    <w:rsid w:val="00AB63A9"/>
    <w:rsid w:val="00AB641A"/>
    <w:rsid w:val="00AB68C4"/>
    <w:rsid w:val="00AB7378"/>
    <w:rsid w:val="00AB743B"/>
    <w:rsid w:val="00AB78CD"/>
    <w:rsid w:val="00AB792A"/>
    <w:rsid w:val="00AC0202"/>
    <w:rsid w:val="00AC0218"/>
    <w:rsid w:val="00AC041F"/>
    <w:rsid w:val="00AC064B"/>
    <w:rsid w:val="00AC0DF3"/>
    <w:rsid w:val="00AC1105"/>
    <w:rsid w:val="00AC1AF7"/>
    <w:rsid w:val="00AC1F50"/>
    <w:rsid w:val="00AC2226"/>
    <w:rsid w:val="00AC29F8"/>
    <w:rsid w:val="00AC2F8D"/>
    <w:rsid w:val="00AC34BD"/>
    <w:rsid w:val="00AC3976"/>
    <w:rsid w:val="00AC3E8A"/>
    <w:rsid w:val="00AC460D"/>
    <w:rsid w:val="00AC469E"/>
    <w:rsid w:val="00AC4921"/>
    <w:rsid w:val="00AC4E36"/>
    <w:rsid w:val="00AC50BE"/>
    <w:rsid w:val="00AC5299"/>
    <w:rsid w:val="00AC59C2"/>
    <w:rsid w:val="00AC5F49"/>
    <w:rsid w:val="00AC5FF4"/>
    <w:rsid w:val="00AC60E9"/>
    <w:rsid w:val="00AC637C"/>
    <w:rsid w:val="00AC698A"/>
    <w:rsid w:val="00AC75A7"/>
    <w:rsid w:val="00AC7FB9"/>
    <w:rsid w:val="00AD00E6"/>
    <w:rsid w:val="00AD02AF"/>
    <w:rsid w:val="00AD02D3"/>
    <w:rsid w:val="00AD03CF"/>
    <w:rsid w:val="00AD0470"/>
    <w:rsid w:val="00AD0493"/>
    <w:rsid w:val="00AD0530"/>
    <w:rsid w:val="00AD055C"/>
    <w:rsid w:val="00AD05DE"/>
    <w:rsid w:val="00AD06C3"/>
    <w:rsid w:val="00AD0911"/>
    <w:rsid w:val="00AD0B88"/>
    <w:rsid w:val="00AD0E01"/>
    <w:rsid w:val="00AD11D4"/>
    <w:rsid w:val="00AD11FA"/>
    <w:rsid w:val="00AD1204"/>
    <w:rsid w:val="00AD139A"/>
    <w:rsid w:val="00AD15EE"/>
    <w:rsid w:val="00AD173A"/>
    <w:rsid w:val="00AD1E90"/>
    <w:rsid w:val="00AD1F8F"/>
    <w:rsid w:val="00AD2AFB"/>
    <w:rsid w:val="00AD2C41"/>
    <w:rsid w:val="00AD2FF3"/>
    <w:rsid w:val="00AD3371"/>
    <w:rsid w:val="00AD3A33"/>
    <w:rsid w:val="00AD44BD"/>
    <w:rsid w:val="00AD44EE"/>
    <w:rsid w:val="00AD4655"/>
    <w:rsid w:val="00AD4FFB"/>
    <w:rsid w:val="00AD550E"/>
    <w:rsid w:val="00AD5630"/>
    <w:rsid w:val="00AD5714"/>
    <w:rsid w:val="00AD59B0"/>
    <w:rsid w:val="00AD5B3C"/>
    <w:rsid w:val="00AD5BE7"/>
    <w:rsid w:val="00AD5F2F"/>
    <w:rsid w:val="00AD658E"/>
    <w:rsid w:val="00AD6E7C"/>
    <w:rsid w:val="00AD752B"/>
    <w:rsid w:val="00AD7A3A"/>
    <w:rsid w:val="00AD7D86"/>
    <w:rsid w:val="00AD7DC2"/>
    <w:rsid w:val="00AE05EF"/>
    <w:rsid w:val="00AE0A60"/>
    <w:rsid w:val="00AE0CB0"/>
    <w:rsid w:val="00AE0FC2"/>
    <w:rsid w:val="00AE1710"/>
    <w:rsid w:val="00AE1A9F"/>
    <w:rsid w:val="00AE1B44"/>
    <w:rsid w:val="00AE1D35"/>
    <w:rsid w:val="00AE1FB1"/>
    <w:rsid w:val="00AE20D0"/>
    <w:rsid w:val="00AE2386"/>
    <w:rsid w:val="00AE27DE"/>
    <w:rsid w:val="00AE2AEE"/>
    <w:rsid w:val="00AE30C8"/>
    <w:rsid w:val="00AE3A95"/>
    <w:rsid w:val="00AE3D09"/>
    <w:rsid w:val="00AE4F58"/>
    <w:rsid w:val="00AE596B"/>
    <w:rsid w:val="00AE5C10"/>
    <w:rsid w:val="00AE5D9C"/>
    <w:rsid w:val="00AE5EBB"/>
    <w:rsid w:val="00AE6012"/>
    <w:rsid w:val="00AE68E2"/>
    <w:rsid w:val="00AE6ADF"/>
    <w:rsid w:val="00AE703D"/>
    <w:rsid w:val="00AE7480"/>
    <w:rsid w:val="00AF005D"/>
    <w:rsid w:val="00AF041E"/>
    <w:rsid w:val="00AF04ED"/>
    <w:rsid w:val="00AF0690"/>
    <w:rsid w:val="00AF0A1D"/>
    <w:rsid w:val="00AF0CC6"/>
    <w:rsid w:val="00AF1BC5"/>
    <w:rsid w:val="00AF1C33"/>
    <w:rsid w:val="00AF1F2C"/>
    <w:rsid w:val="00AF2397"/>
    <w:rsid w:val="00AF2D3C"/>
    <w:rsid w:val="00AF3309"/>
    <w:rsid w:val="00AF364F"/>
    <w:rsid w:val="00AF36FD"/>
    <w:rsid w:val="00AF3761"/>
    <w:rsid w:val="00AF37E8"/>
    <w:rsid w:val="00AF39CE"/>
    <w:rsid w:val="00AF3E81"/>
    <w:rsid w:val="00AF43D5"/>
    <w:rsid w:val="00AF4654"/>
    <w:rsid w:val="00AF4661"/>
    <w:rsid w:val="00AF47E7"/>
    <w:rsid w:val="00AF4A5F"/>
    <w:rsid w:val="00AF4E7A"/>
    <w:rsid w:val="00AF4F56"/>
    <w:rsid w:val="00AF50DA"/>
    <w:rsid w:val="00AF554E"/>
    <w:rsid w:val="00AF5A12"/>
    <w:rsid w:val="00AF5DB7"/>
    <w:rsid w:val="00AF5F65"/>
    <w:rsid w:val="00AF5FA5"/>
    <w:rsid w:val="00AF630B"/>
    <w:rsid w:val="00AF6CA2"/>
    <w:rsid w:val="00AF6D72"/>
    <w:rsid w:val="00AF6F55"/>
    <w:rsid w:val="00AF6F57"/>
    <w:rsid w:val="00AF7A9D"/>
    <w:rsid w:val="00B00994"/>
    <w:rsid w:val="00B00F85"/>
    <w:rsid w:val="00B00FBC"/>
    <w:rsid w:val="00B0122F"/>
    <w:rsid w:val="00B012F4"/>
    <w:rsid w:val="00B014A4"/>
    <w:rsid w:val="00B014D4"/>
    <w:rsid w:val="00B01532"/>
    <w:rsid w:val="00B016B8"/>
    <w:rsid w:val="00B01F39"/>
    <w:rsid w:val="00B03215"/>
    <w:rsid w:val="00B03A5D"/>
    <w:rsid w:val="00B03F6E"/>
    <w:rsid w:val="00B0409E"/>
    <w:rsid w:val="00B0464D"/>
    <w:rsid w:val="00B04BAD"/>
    <w:rsid w:val="00B04F22"/>
    <w:rsid w:val="00B04FF0"/>
    <w:rsid w:val="00B054EA"/>
    <w:rsid w:val="00B05852"/>
    <w:rsid w:val="00B0735F"/>
    <w:rsid w:val="00B0746F"/>
    <w:rsid w:val="00B07D7C"/>
    <w:rsid w:val="00B07E63"/>
    <w:rsid w:val="00B108C5"/>
    <w:rsid w:val="00B11596"/>
    <w:rsid w:val="00B11D0C"/>
    <w:rsid w:val="00B120C1"/>
    <w:rsid w:val="00B12100"/>
    <w:rsid w:val="00B12889"/>
    <w:rsid w:val="00B12AAA"/>
    <w:rsid w:val="00B12C58"/>
    <w:rsid w:val="00B12F35"/>
    <w:rsid w:val="00B13141"/>
    <w:rsid w:val="00B131F5"/>
    <w:rsid w:val="00B13331"/>
    <w:rsid w:val="00B13B7E"/>
    <w:rsid w:val="00B13E87"/>
    <w:rsid w:val="00B1424B"/>
    <w:rsid w:val="00B142DE"/>
    <w:rsid w:val="00B14495"/>
    <w:rsid w:val="00B15202"/>
    <w:rsid w:val="00B15321"/>
    <w:rsid w:val="00B15684"/>
    <w:rsid w:val="00B1593E"/>
    <w:rsid w:val="00B15ABC"/>
    <w:rsid w:val="00B15E87"/>
    <w:rsid w:val="00B16A40"/>
    <w:rsid w:val="00B170D8"/>
    <w:rsid w:val="00B1732E"/>
    <w:rsid w:val="00B17440"/>
    <w:rsid w:val="00B176F5"/>
    <w:rsid w:val="00B17A42"/>
    <w:rsid w:val="00B17D52"/>
    <w:rsid w:val="00B17EAC"/>
    <w:rsid w:val="00B2040C"/>
    <w:rsid w:val="00B2063E"/>
    <w:rsid w:val="00B20F73"/>
    <w:rsid w:val="00B21AA3"/>
    <w:rsid w:val="00B2248F"/>
    <w:rsid w:val="00B22599"/>
    <w:rsid w:val="00B22644"/>
    <w:rsid w:val="00B22C00"/>
    <w:rsid w:val="00B22D32"/>
    <w:rsid w:val="00B22E0A"/>
    <w:rsid w:val="00B22E59"/>
    <w:rsid w:val="00B23038"/>
    <w:rsid w:val="00B233E0"/>
    <w:rsid w:val="00B2467D"/>
    <w:rsid w:val="00B24E89"/>
    <w:rsid w:val="00B2592F"/>
    <w:rsid w:val="00B25E48"/>
    <w:rsid w:val="00B25E77"/>
    <w:rsid w:val="00B26C38"/>
    <w:rsid w:val="00B26FEF"/>
    <w:rsid w:val="00B274ED"/>
    <w:rsid w:val="00B2771D"/>
    <w:rsid w:val="00B279EA"/>
    <w:rsid w:val="00B307F6"/>
    <w:rsid w:val="00B30B7E"/>
    <w:rsid w:val="00B30C5F"/>
    <w:rsid w:val="00B30E80"/>
    <w:rsid w:val="00B3105D"/>
    <w:rsid w:val="00B31069"/>
    <w:rsid w:val="00B3149A"/>
    <w:rsid w:val="00B316D7"/>
    <w:rsid w:val="00B31901"/>
    <w:rsid w:val="00B31EBC"/>
    <w:rsid w:val="00B3228F"/>
    <w:rsid w:val="00B324D0"/>
    <w:rsid w:val="00B32AE5"/>
    <w:rsid w:val="00B3344B"/>
    <w:rsid w:val="00B339AB"/>
    <w:rsid w:val="00B33D3B"/>
    <w:rsid w:val="00B33EFA"/>
    <w:rsid w:val="00B34CF7"/>
    <w:rsid w:val="00B35C88"/>
    <w:rsid w:val="00B3642C"/>
    <w:rsid w:val="00B3655A"/>
    <w:rsid w:val="00B36703"/>
    <w:rsid w:val="00B3677B"/>
    <w:rsid w:val="00B368FE"/>
    <w:rsid w:val="00B36AE3"/>
    <w:rsid w:val="00B3745E"/>
    <w:rsid w:val="00B375CF"/>
    <w:rsid w:val="00B37741"/>
    <w:rsid w:val="00B37873"/>
    <w:rsid w:val="00B40176"/>
    <w:rsid w:val="00B411AC"/>
    <w:rsid w:val="00B416C6"/>
    <w:rsid w:val="00B42586"/>
    <w:rsid w:val="00B42BC5"/>
    <w:rsid w:val="00B42D26"/>
    <w:rsid w:val="00B42F6B"/>
    <w:rsid w:val="00B431BD"/>
    <w:rsid w:val="00B4325E"/>
    <w:rsid w:val="00B43B7D"/>
    <w:rsid w:val="00B43D36"/>
    <w:rsid w:val="00B43FEC"/>
    <w:rsid w:val="00B441F3"/>
    <w:rsid w:val="00B4554E"/>
    <w:rsid w:val="00B45904"/>
    <w:rsid w:val="00B45A02"/>
    <w:rsid w:val="00B45C67"/>
    <w:rsid w:val="00B45CF8"/>
    <w:rsid w:val="00B45FD1"/>
    <w:rsid w:val="00B46006"/>
    <w:rsid w:val="00B4661A"/>
    <w:rsid w:val="00B46C25"/>
    <w:rsid w:val="00B46F16"/>
    <w:rsid w:val="00B5007C"/>
    <w:rsid w:val="00B504DA"/>
    <w:rsid w:val="00B50FC4"/>
    <w:rsid w:val="00B51611"/>
    <w:rsid w:val="00B5173B"/>
    <w:rsid w:val="00B51CED"/>
    <w:rsid w:val="00B5227A"/>
    <w:rsid w:val="00B5228A"/>
    <w:rsid w:val="00B52440"/>
    <w:rsid w:val="00B524F2"/>
    <w:rsid w:val="00B526F1"/>
    <w:rsid w:val="00B5274C"/>
    <w:rsid w:val="00B52B61"/>
    <w:rsid w:val="00B5317B"/>
    <w:rsid w:val="00B531A1"/>
    <w:rsid w:val="00B53D00"/>
    <w:rsid w:val="00B53D9A"/>
    <w:rsid w:val="00B53E2E"/>
    <w:rsid w:val="00B54496"/>
    <w:rsid w:val="00B54A6B"/>
    <w:rsid w:val="00B55334"/>
    <w:rsid w:val="00B5588A"/>
    <w:rsid w:val="00B55B94"/>
    <w:rsid w:val="00B55C61"/>
    <w:rsid w:val="00B5602E"/>
    <w:rsid w:val="00B56213"/>
    <w:rsid w:val="00B564F7"/>
    <w:rsid w:val="00B5664F"/>
    <w:rsid w:val="00B5677E"/>
    <w:rsid w:val="00B56F6D"/>
    <w:rsid w:val="00B570EE"/>
    <w:rsid w:val="00B5726B"/>
    <w:rsid w:val="00B572E1"/>
    <w:rsid w:val="00B57391"/>
    <w:rsid w:val="00B57791"/>
    <w:rsid w:val="00B57E69"/>
    <w:rsid w:val="00B61319"/>
    <w:rsid w:val="00B617B7"/>
    <w:rsid w:val="00B622BB"/>
    <w:rsid w:val="00B622D7"/>
    <w:rsid w:val="00B62687"/>
    <w:rsid w:val="00B627F2"/>
    <w:rsid w:val="00B62B13"/>
    <w:rsid w:val="00B62CAC"/>
    <w:rsid w:val="00B62FA3"/>
    <w:rsid w:val="00B632EE"/>
    <w:rsid w:val="00B63751"/>
    <w:rsid w:val="00B637DE"/>
    <w:rsid w:val="00B63D0B"/>
    <w:rsid w:val="00B63F83"/>
    <w:rsid w:val="00B64056"/>
    <w:rsid w:val="00B645FF"/>
    <w:rsid w:val="00B64646"/>
    <w:rsid w:val="00B65D1F"/>
    <w:rsid w:val="00B664AF"/>
    <w:rsid w:val="00B6681A"/>
    <w:rsid w:val="00B66ADF"/>
    <w:rsid w:val="00B66D11"/>
    <w:rsid w:val="00B6710F"/>
    <w:rsid w:val="00B67146"/>
    <w:rsid w:val="00B6722E"/>
    <w:rsid w:val="00B67607"/>
    <w:rsid w:val="00B67809"/>
    <w:rsid w:val="00B70F0F"/>
    <w:rsid w:val="00B710B7"/>
    <w:rsid w:val="00B711B7"/>
    <w:rsid w:val="00B712E9"/>
    <w:rsid w:val="00B71840"/>
    <w:rsid w:val="00B71B2C"/>
    <w:rsid w:val="00B71C28"/>
    <w:rsid w:val="00B71CD0"/>
    <w:rsid w:val="00B7216E"/>
    <w:rsid w:val="00B721C1"/>
    <w:rsid w:val="00B722E2"/>
    <w:rsid w:val="00B7237B"/>
    <w:rsid w:val="00B7295A"/>
    <w:rsid w:val="00B729ED"/>
    <w:rsid w:val="00B72C53"/>
    <w:rsid w:val="00B72CB5"/>
    <w:rsid w:val="00B73149"/>
    <w:rsid w:val="00B73154"/>
    <w:rsid w:val="00B731FE"/>
    <w:rsid w:val="00B73801"/>
    <w:rsid w:val="00B738B5"/>
    <w:rsid w:val="00B73E3F"/>
    <w:rsid w:val="00B742B7"/>
    <w:rsid w:val="00B74330"/>
    <w:rsid w:val="00B74755"/>
    <w:rsid w:val="00B74A4E"/>
    <w:rsid w:val="00B74B99"/>
    <w:rsid w:val="00B75217"/>
    <w:rsid w:val="00B75D76"/>
    <w:rsid w:val="00B76283"/>
    <w:rsid w:val="00B76A77"/>
    <w:rsid w:val="00B775A2"/>
    <w:rsid w:val="00B77E22"/>
    <w:rsid w:val="00B80053"/>
    <w:rsid w:val="00B80B4B"/>
    <w:rsid w:val="00B81017"/>
    <w:rsid w:val="00B81A70"/>
    <w:rsid w:val="00B81C07"/>
    <w:rsid w:val="00B81CB9"/>
    <w:rsid w:val="00B820CA"/>
    <w:rsid w:val="00B826AE"/>
    <w:rsid w:val="00B82994"/>
    <w:rsid w:val="00B83046"/>
    <w:rsid w:val="00B83C1E"/>
    <w:rsid w:val="00B840D4"/>
    <w:rsid w:val="00B84A37"/>
    <w:rsid w:val="00B85392"/>
    <w:rsid w:val="00B8569B"/>
    <w:rsid w:val="00B85CED"/>
    <w:rsid w:val="00B85D54"/>
    <w:rsid w:val="00B86096"/>
    <w:rsid w:val="00B864B6"/>
    <w:rsid w:val="00B864CD"/>
    <w:rsid w:val="00B864F6"/>
    <w:rsid w:val="00B86585"/>
    <w:rsid w:val="00B865F0"/>
    <w:rsid w:val="00B8694B"/>
    <w:rsid w:val="00B86BAC"/>
    <w:rsid w:val="00B86C4D"/>
    <w:rsid w:val="00B873A6"/>
    <w:rsid w:val="00B87494"/>
    <w:rsid w:val="00B878FA"/>
    <w:rsid w:val="00B879C3"/>
    <w:rsid w:val="00B87F32"/>
    <w:rsid w:val="00B87F6D"/>
    <w:rsid w:val="00B90146"/>
    <w:rsid w:val="00B9086F"/>
    <w:rsid w:val="00B908BC"/>
    <w:rsid w:val="00B909E2"/>
    <w:rsid w:val="00B90A53"/>
    <w:rsid w:val="00B90B28"/>
    <w:rsid w:val="00B90E8B"/>
    <w:rsid w:val="00B915C3"/>
    <w:rsid w:val="00B921E4"/>
    <w:rsid w:val="00B92206"/>
    <w:rsid w:val="00B9230F"/>
    <w:rsid w:val="00B92320"/>
    <w:rsid w:val="00B92444"/>
    <w:rsid w:val="00B92750"/>
    <w:rsid w:val="00B92BC8"/>
    <w:rsid w:val="00B92CDE"/>
    <w:rsid w:val="00B93521"/>
    <w:rsid w:val="00B937EC"/>
    <w:rsid w:val="00B93D6C"/>
    <w:rsid w:val="00B946D9"/>
    <w:rsid w:val="00B94752"/>
    <w:rsid w:val="00B947BB"/>
    <w:rsid w:val="00B9485D"/>
    <w:rsid w:val="00B94A00"/>
    <w:rsid w:val="00B94F30"/>
    <w:rsid w:val="00B94FA7"/>
    <w:rsid w:val="00B9507A"/>
    <w:rsid w:val="00B950A8"/>
    <w:rsid w:val="00B9510F"/>
    <w:rsid w:val="00B95244"/>
    <w:rsid w:val="00B95A41"/>
    <w:rsid w:val="00B95BD2"/>
    <w:rsid w:val="00B96269"/>
    <w:rsid w:val="00B96407"/>
    <w:rsid w:val="00B96468"/>
    <w:rsid w:val="00B96C1F"/>
    <w:rsid w:val="00B96FB0"/>
    <w:rsid w:val="00B970FC"/>
    <w:rsid w:val="00B977D0"/>
    <w:rsid w:val="00B97810"/>
    <w:rsid w:val="00B97BC3"/>
    <w:rsid w:val="00BA001D"/>
    <w:rsid w:val="00BA0360"/>
    <w:rsid w:val="00BA07DA"/>
    <w:rsid w:val="00BA12DD"/>
    <w:rsid w:val="00BA14D8"/>
    <w:rsid w:val="00BA155C"/>
    <w:rsid w:val="00BA16DC"/>
    <w:rsid w:val="00BA1C8A"/>
    <w:rsid w:val="00BA1CFA"/>
    <w:rsid w:val="00BA1EB8"/>
    <w:rsid w:val="00BA26D9"/>
    <w:rsid w:val="00BA3AC2"/>
    <w:rsid w:val="00BA3CD9"/>
    <w:rsid w:val="00BA3FAE"/>
    <w:rsid w:val="00BA416B"/>
    <w:rsid w:val="00BA4B2D"/>
    <w:rsid w:val="00BA4F09"/>
    <w:rsid w:val="00BA5077"/>
    <w:rsid w:val="00BA5453"/>
    <w:rsid w:val="00BA5B05"/>
    <w:rsid w:val="00BA5C56"/>
    <w:rsid w:val="00BA5D57"/>
    <w:rsid w:val="00BA6738"/>
    <w:rsid w:val="00BA77E9"/>
    <w:rsid w:val="00BA79B5"/>
    <w:rsid w:val="00BA7A2B"/>
    <w:rsid w:val="00BB00D2"/>
    <w:rsid w:val="00BB01A4"/>
    <w:rsid w:val="00BB03BF"/>
    <w:rsid w:val="00BB09C9"/>
    <w:rsid w:val="00BB0EE7"/>
    <w:rsid w:val="00BB1066"/>
    <w:rsid w:val="00BB119F"/>
    <w:rsid w:val="00BB1341"/>
    <w:rsid w:val="00BB141D"/>
    <w:rsid w:val="00BB1B0E"/>
    <w:rsid w:val="00BB1EB6"/>
    <w:rsid w:val="00BB1FE1"/>
    <w:rsid w:val="00BB2479"/>
    <w:rsid w:val="00BB2A0F"/>
    <w:rsid w:val="00BB355C"/>
    <w:rsid w:val="00BB3B82"/>
    <w:rsid w:val="00BB3CDD"/>
    <w:rsid w:val="00BB41C9"/>
    <w:rsid w:val="00BB4350"/>
    <w:rsid w:val="00BB4553"/>
    <w:rsid w:val="00BB463E"/>
    <w:rsid w:val="00BB46A2"/>
    <w:rsid w:val="00BB4F2C"/>
    <w:rsid w:val="00BB5054"/>
    <w:rsid w:val="00BB521F"/>
    <w:rsid w:val="00BB58F3"/>
    <w:rsid w:val="00BB5CE6"/>
    <w:rsid w:val="00BB62AF"/>
    <w:rsid w:val="00BB6393"/>
    <w:rsid w:val="00BB6883"/>
    <w:rsid w:val="00BB73FD"/>
    <w:rsid w:val="00BB7629"/>
    <w:rsid w:val="00BC083A"/>
    <w:rsid w:val="00BC0AE8"/>
    <w:rsid w:val="00BC0D4B"/>
    <w:rsid w:val="00BC13BD"/>
    <w:rsid w:val="00BC1B87"/>
    <w:rsid w:val="00BC1CB9"/>
    <w:rsid w:val="00BC1DEC"/>
    <w:rsid w:val="00BC2233"/>
    <w:rsid w:val="00BC266B"/>
    <w:rsid w:val="00BC279E"/>
    <w:rsid w:val="00BC2A03"/>
    <w:rsid w:val="00BC30C7"/>
    <w:rsid w:val="00BC3CF6"/>
    <w:rsid w:val="00BC3D7B"/>
    <w:rsid w:val="00BC40CA"/>
    <w:rsid w:val="00BC4273"/>
    <w:rsid w:val="00BC45DB"/>
    <w:rsid w:val="00BC49B6"/>
    <w:rsid w:val="00BC4E65"/>
    <w:rsid w:val="00BC4EAB"/>
    <w:rsid w:val="00BC5110"/>
    <w:rsid w:val="00BC51F9"/>
    <w:rsid w:val="00BC54CF"/>
    <w:rsid w:val="00BC55CC"/>
    <w:rsid w:val="00BC5661"/>
    <w:rsid w:val="00BC586C"/>
    <w:rsid w:val="00BC5CD5"/>
    <w:rsid w:val="00BC629F"/>
    <w:rsid w:val="00BC650D"/>
    <w:rsid w:val="00BC6709"/>
    <w:rsid w:val="00BC6776"/>
    <w:rsid w:val="00BC7050"/>
    <w:rsid w:val="00BC707F"/>
    <w:rsid w:val="00BC71B2"/>
    <w:rsid w:val="00BC71D2"/>
    <w:rsid w:val="00BC720F"/>
    <w:rsid w:val="00BC726F"/>
    <w:rsid w:val="00BC7B34"/>
    <w:rsid w:val="00BC7C97"/>
    <w:rsid w:val="00BD006A"/>
    <w:rsid w:val="00BD012A"/>
    <w:rsid w:val="00BD1B09"/>
    <w:rsid w:val="00BD1BB7"/>
    <w:rsid w:val="00BD1F8B"/>
    <w:rsid w:val="00BD202B"/>
    <w:rsid w:val="00BD20E7"/>
    <w:rsid w:val="00BD26ED"/>
    <w:rsid w:val="00BD2A49"/>
    <w:rsid w:val="00BD2ED8"/>
    <w:rsid w:val="00BD3338"/>
    <w:rsid w:val="00BD3954"/>
    <w:rsid w:val="00BD3DF5"/>
    <w:rsid w:val="00BD4615"/>
    <w:rsid w:val="00BD46F3"/>
    <w:rsid w:val="00BD4BCC"/>
    <w:rsid w:val="00BD516E"/>
    <w:rsid w:val="00BD604B"/>
    <w:rsid w:val="00BD60A0"/>
    <w:rsid w:val="00BD6183"/>
    <w:rsid w:val="00BD6591"/>
    <w:rsid w:val="00BD659D"/>
    <w:rsid w:val="00BD6D2D"/>
    <w:rsid w:val="00BD7999"/>
    <w:rsid w:val="00BD7AB6"/>
    <w:rsid w:val="00BD7D14"/>
    <w:rsid w:val="00BD7DE3"/>
    <w:rsid w:val="00BE010F"/>
    <w:rsid w:val="00BE0906"/>
    <w:rsid w:val="00BE0B40"/>
    <w:rsid w:val="00BE180F"/>
    <w:rsid w:val="00BE1B91"/>
    <w:rsid w:val="00BE223F"/>
    <w:rsid w:val="00BE23EF"/>
    <w:rsid w:val="00BE2565"/>
    <w:rsid w:val="00BE25F2"/>
    <w:rsid w:val="00BE2EEF"/>
    <w:rsid w:val="00BE3041"/>
    <w:rsid w:val="00BE3B9C"/>
    <w:rsid w:val="00BE3E56"/>
    <w:rsid w:val="00BE45EE"/>
    <w:rsid w:val="00BE4764"/>
    <w:rsid w:val="00BE4EB9"/>
    <w:rsid w:val="00BE502D"/>
    <w:rsid w:val="00BE53FF"/>
    <w:rsid w:val="00BE5571"/>
    <w:rsid w:val="00BE57DB"/>
    <w:rsid w:val="00BE67D3"/>
    <w:rsid w:val="00BE6E8C"/>
    <w:rsid w:val="00BE7596"/>
    <w:rsid w:val="00BE7681"/>
    <w:rsid w:val="00BE78B9"/>
    <w:rsid w:val="00BF0033"/>
    <w:rsid w:val="00BF02F3"/>
    <w:rsid w:val="00BF0518"/>
    <w:rsid w:val="00BF0E98"/>
    <w:rsid w:val="00BF1466"/>
    <w:rsid w:val="00BF178F"/>
    <w:rsid w:val="00BF1A35"/>
    <w:rsid w:val="00BF1CCE"/>
    <w:rsid w:val="00BF1E82"/>
    <w:rsid w:val="00BF2E71"/>
    <w:rsid w:val="00BF3335"/>
    <w:rsid w:val="00BF3340"/>
    <w:rsid w:val="00BF33FD"/>
    <w:rsid w:val="00BF386B"/>
    <w:rsid w:val="00BF3B2C"/>
    <w:rsid w:val="00BF3E55"/>
    <w:rsid w:val="00BF42B9"/>
    <w:rsid w:val="00BF4654"/>
    <w:rsid w:val="00BF47D6"/>
    <w:rsid w:val="00BF4816"/>
    <w:rsid w:val="00BF49C5"/>
    <w:rsid w:val="00BF4E96"/>
    <w:rsid w:val="00BF4FF6"/>
    <w:rsid w:val="00BF5528"/>
    <w:rsid w:val="00BF5569"/>
    <w:rsid w:val="00BF6052"/>
    <w:rsid w:val="00BF6098"/>
    <w:rsid w:val="00BF643B"/>
    <w:rsid w:val="00BF6873"/>
    <w:rsid w:val="00BF69A5"/>
    <w:rsid w:val="00BF6CBD"/>
    <w:rsid w:val="00BF6E5C"/>
    <w:rsid w:val="00BF6FF1"/>
    <w:rsid w:val="00BF72AB"/>
    <w:rsid w:val="00BF7497"/>
    <w:rsid w:val="00BF770E"/>
    <w:rsid w:val="00BF7BC9"/>
    <w:rsid w:val="00BF7F78"/>
    <w:rsid w:val="00C00552"/>
    <w:rsid w:val="00C00891"/>
    <w:rsid w:val="00C00D48"/>
    <w:rsid w:val="00C0100F"/>
    <w:rsid w:val="00C01F38"/>
    <w:rsid w:val="00C02147"/>
    <w:rsid w:val="00C0216B"/>
    <w:rsid w:val="00C021AE"/>
    <w:rsid w:val="00C0255B"/>
    <w:rsid w:val="00C028E8"/>
    <w:rsid w:val="00C0326B"/>
    <w:rsid w:val="00C0351A"/>
    <w:rsid w:val="00C03B71"/>
    <w:rsid w:val="00C04231"/>
    <w:rsid w:val="00C043C9"/>
    <w:rsid w:val="00C046A0"/>
    <w:rsid w:val="00C04927"/>
    <w:rsid w:val="00C04A07"/>
    <w:rsid w:val="00C052FF"/>
    <w:rsid w:val="00C0535A"/>
    <w:rsid w:val="00C055F4"/>
    <w:rsid w:val="00C05818"/>
    <w:rsid w:val="00C06951"/>
    <w:rsid w:val="00C07342"/>
    <w:rsid w:val="00C07553"/>
    <w:rsid w:val="00C07DCB"/>
    <w:rsid w:val="00C10831"/>
    <w:rsid w:val="00C10F01"/>
    <w:rsid w:val="00C11047"/>
    <w:rsid w:val="00C111A1"/>
    <w:rsid w:val="00C11A09"/>
    <w:rsid w:val="00C12105"/>
    <w:rsid w:val="00C125F5"/>
    <w:rsid w:val="00C126B6"/>
    <w:rsid w:val="00C126CB"/>
    <w:rsid w:val="00C12942"/>
    <w:rsid w:val="00C129DE"/>
    <w:rsid w:val="00C12ACC"/>
    <w:rsid w:val="00C12DCE"/>
    <w:rsid w:val="00C13031"/>
    <w:rsid w:val="00C13734"/>
    <w:rsid w:val="00C13D56"/>
    <w:rsid w:val="00C140E0"/>
    <w:rsid w:val="00C147AC"/>
    <w:rsid w:val="00C1537A"/>
    <w:rsid w:val="00C1548A"/>
    <w:rsid w:val="00C15677"/>
    <w:rsid w:val="00C15FB8"/>
    <w:rsid w:val="00C15FBE"/>
    <w:rsid w:val="00C16672"/>
    <w:rsid w:val="00C168B2"/>
    <w:rsid w:val="00C16B84"/>
    <w:rsid w:val="00C16CF1"/>
    <w:rsid w:val="00C17233"/>
    <w:rsid w:val="00C17453"/>
    <w:rsid w:val="00C175F2"/>
    <w:rsid w:val="00C17942"/>
    <w:rsid w:val="00C1795B"/>
    <w:rsid w:val="00C179C4"/>
    <w:rsid w:val="00C179E6"/>
    <w:rsid w:val="00C17C40"/>
    <w:rsid w:val="00C17CE1"/>
    <w:rsid w:val="00C20097"/>
    <w:rsid w:val="00C20158"/>
    <w:rsid w:val="00C20369"/>
    <w:rsid w:val="00C20CBA"/>
    <w:rsid w:val="00C20CEC"/>
    <w:rsid w:val="00C20DAE"/>
    <w:rsid w:val="00C20E20"/>
    <w:rsid w:val="00C210C2"/>
    <w:rsid w:val="00C21146"/>
    <w:rsid w:val="00C215AA"/>
    <w:rsid w:val="00C21775"/>
    <w:rsid w:val="00C21784"/>
    <w:rsid w:val="00C21E30"/>
    <w:rsid w:val="00C22278"/>
    <w:rsid w:val="00C22325"/>
    <w:rsid w:val="00C2245D"/>
    <w:rsid w:val="00C22701"/>
    <w:rsid w:val="00C22EEC"/>
    <w:rsid w:val="00C23006"/>
    <w:rsid w:val="00C23090"/>
    <w:rsid w:val="00C2333D"/>
    <w:rsid w:val="00C23713"/>
    <w:rsid w:val="00C237EE"/>
    <w:rsid w:val="00C23B06"/>
    <w:rsid w:val="00C23E99"/>
    <w:rsid w:val="00C2404A"/>
    <w:rsid w:val="00C24160"/>
    <w:rsid w:val="00C244D8"/>
    <w:rsid w:val="00C246D6"/>
    <w:rsid w:val="00C25316"/>
    <w:rsid w:val="00C25F3D"/>
    <w:rsid w:val="00C25F7F"/>
    <w:rsid w:val="00C26493"/>
    <w:rsid w:val="00C269F2"/>
    <w:rsid w:val="00C26BB6"/>
    <w:rsid w:val="00C27466"/>
    <w:rsid w:val="00C27697"/>
    <w:rsid w:val="00C27C9F"/>
    <w:rsid w:val="00C30A93"/>
    <w:rsid w:val="00C30ABC"/>
    <w:rsid w:val="00C30B7F"/>
    <w:rsid w:val="00C31EE5"/>
    <w:rsid w:val="00C320F2"/>
    <w:rsid w:val="00C322C9"/>
    <w:rsid w:val="00C322E5"/>
    <w:rsid w:val="00C32E68"/>
    <w:rsid w:val="00C3312E"/>
    <w:rsid w:val="00C33749"/>
    <w:rsid w:val="00C33797"/>
    <w:rsid w:val="00C33B9A"/>
    <w:rsid w:val="00C3474B"/>
    <w:rsid w:val="00C34A6C"/>
    <w:rsid w:val="00C34AAE"/>
    <w:rsid w:val="00C34B7B"/>
    <w:rsid w:val="00C353D3"/>
    <w:rsid w:val="00C358B7"/>
    <w:rsid w:val="00C35AC4"/>
    <w:rsid w:val="00C35B58"/>
    <w:rsid w:val="00C35E80"/>
    <w:rsid w:val="00C35FA6"/>
    <w:rsid w:val="00C3635F"/>
    <w:rsid w:val="00C364C5"/>
    <w:rsid w:val="00C366E0"/>
    <w:rsid w:val="00C36739"/>
    <w:rsid w:val="00C368B9"/>
    <w:rsid w:val="00C36F1C"/>
    <w:rsid w:val="00C37A99"/>
    <w:rsid w:val="00C37F12"/>
    <w:rsid w:val="00C37F2D"/>
    <w:rsid w:val="00C400D0"/>
    <w:rsid w:val="00C40489"/>
    <w:rsid w:val="00C40D00"/>
    <w:rsid w:val="00C41190"/>
    <w:rsid w:val="00C414A0"/>
    <w:rsid w:val="00C41C47"/>
    <w:rsid w:val="00C42284"/>
    <w:rsid w:val="00C42A1F"/>
    <w:rsid w:val="00C42B0F"/>
    <w:rsid w:val="00C42B2F"/>
    <w:rsid w:val="00C43293"/>
    <w:rsid w:val="00C43A0A"/>
    <w:rsid w:val="00C43B99"/>
    <w:rsid w:val="00C43BFE"/>
    <w:rsid w:val="00C43DE6"/>
    <w:rsid w:val="00C44018"/>
    <w:rsid w:val="00C442B6"/>
    <w:rsid w:val="00C449DE"/>
    <w:rsid w:val="00C44ABB"/>
    <w:rsid w:val="00C45077"/>
    <w:rsid w:val="00C4509C"/>
    <w:rsid w:val="00C454D4"/>
    <w:rsid w:val="00C45545"/>
    <w:rsid w:val="00C45B73"/>
    <w:rsid w:val="00C45C2F"/>
    <w:rsid w:val="00C45F38"/>
    <w:rsid w:val="00C4608B"/>
    <w:rsid w:val="00C46AF2"/>
    <w:rsid w:val="00C46C1A"/>
    <w:rsid w:val="00C46EB8"/>
    <w:rsid w:val="00C47193"/>
    <w:rsid w:val="00C471B9"/>
    <w:rsid w:val="00C47993"/>
    <w:rsid w:val="00C47C63"/>
    <w:rsid w:val="00C50262"/>
    <w:rsid w:val="00C508C5"/>
    <w:rsid w:val="00C50AB2"/>
    <w:rsid w:val="00C50C30"/>
    <w:rsid w:val="00C510E8"/>
    <w:rsid w:val="00C513A8"/>
    <w:rsid w:val="00C5172F"/>
    <w:rsid w:val="00C51B4B"/>
    <w:rsid w:val="00C51DB6"/>
    <w:rsid w:val="00C51FDE"/>
    <w:rsid w:val="00C52079"/>
    <w:rsid w:val="00C527E5"/>
    <w:rsid w:val="00C53460"/>
    <w:rsid w:val="00C5391F"/>
    <w:rsid w:val="00C5393E"/>
    <w:rsid w:val="00C53977"/>
    <w:rsid w:val="00C53DCD"/>
    <w:rsid w:val="00C54070"/>
    <w:rsid w:val="00C544D5"/>
    <w:rsid w:val="00C545D9"/>
    <w:rsid w:val="00C54BEA"/>
    <w:rsid w:val="00C54D15"/>
    <w:rsid w:val="00C55629"/>
    <w:rsid w:val="00C55BEB"/>
    <w:rsid w:val="00C564CB"/>
    <w:rsid w:val="00C5658A"/>
    <w:rsid w:val="00C5698E"/>
    <w:rsid w:val="00C56C9D"/>
    <w:rsid w:val="00C56CE0"/>
    <w:rsid w:val="00C5710C"/>
    <w:rsid w:val="00C57377"/>
    <w:rsid w:val="00C574BF"/>
    <w:rsid w:val="00C5758D"/>
    <w:rsid w:val="00C575D8"/>
    <w:rsid w:val="00C5763C"/>
    <w:rsid w:val="00C602B9"/>
    <w:rsid w:val="00C604D4"/>
    <w:rsid w:val="00C604DC"/>
    <w:rsid w:val="00C609ED"/>
    <w:rsid w:val="00C60B8C"/>
    <w:rsid w:val="00C60BCA"/>
    <w:rsid w:val="00C60CD5"/>
    <w:rsid w:val="00C610A7"/>
    <w:rsid w:val="00C6163F"/>
    <w:rsid w:val="00C61F65"/>
    <w:rsid w:val="00C6231D"/>
    <w:rsid w:val="00C62D57"/>
    <w:rsid w:val="00C63094"/>
    <w:rsid w:val="00C635F3"/>
    <w:rsid w:val="00C637EF"/>
    <w:rsid w:val="00C638DD"/>
    <w:rsid w:val="00C63F92"/>
    <w:rsid w:val="00C646DB"/>
    <w:rsid w:val="00C64FA6"/>
    <w:rsid w:val="00C64FBF"/>
    <w:rsid w:val="00C6531B"/>
    <w:rsid w:val="00C65505"/>
    <w:rsid w:val="00C656B5"/>
    <w:rsid w:val="00C65930"/>
    <w:rsid w:val="00C65A63"/>
    <w:rsid w:val="00C65A82"/>
    <w:rsid w:val="00C65A98"/>
    <w:rsid w:val="00C65FBD"/>
    <w:rsid w:val="00C67146"/>
    <w:rsid w:val="00C67501"/>
    <w:rsid w:val="00C67758"/>
    <w:rsid w:val="00C67AAB"/>
    <w:rsid w:val="00C70082"/>
    <w:rsid w:val="00C70250"/>
    <w:rsid w:val="00C704A4"/>
    <w:rsid w:val="00C707EA"/>
    <w:rsid w:val="00C707FA"/>
    <w:rsid w:val="00C70A5C"/>
    <w:rsid w:val="00C70BC8"/>
    <w:rsid w:val="00C70BFA"/>
    <w:rsid w:val="00C70C0D"/>
    <w:rsid w:val="00C7192B"/>
    <w:rsid w:val="00C71CC7"/>
    <w:rsid w:val="00C72141"/>
    <w:rsid w:val="00C72554"/>
    <w:rsid w:val="00C72B92"/>
    <w:rsid w:val="00C7305F"/>
    <w:rsid w:val="00C7325E"/>
    <w:rsid w:val="00C735B9"/>
    <w:rsid w:val="00C7452A"/>
    <w:rsid w:val="00C749C9"/>
    <w:rsid w:val="00C74C29"/>
    <w:rsid w:val="00C75518"/>
    <w:rsid w:val="00C75896"/>
    <w:rsid w:val="00C76EAE"/>
    <w:rsid w:val="00C7714F"/>
    <w:rsid w:val="00C77152"/>
    <w:rsid w:val="00C77366"/>
    <w:rsid w:val="00C77627"/>
    <w:rsid w:val="00C77A33"/>
    <w:rsid w:val="00C77B1D"/>
    <w:rsid w:val="00C77FA9"/>
    <w:rsid w:val="00C8041C"/>
    <w:rsid w:val="00C80588"/>
    <w:rsid w:val="00C8067D"/>
    <w:rsid w:val="00C8078B"/>
    <w:rsid w:val="00C8106E"/>
    <w:rsid w:val="00C81A4D"/>
    <w:rsid w:val="00C81D76"/>
    <w:rsid w:val="00C8234F"/>
    <w:rsid w:val="00C823F2"/>
    <w:rsid w:val="00C826BE"/>
    <w:rsid w:val="00C8280A"/>
    <w:rsid w:val="00C82D1F"/>
    <w:rsid w:val="00C833D1"/>
    <w:rsid w:val="00C834F0"/>
    <w:rsid w:val="00C8396A"/>
    <w:rsid w:val="00C83AF2"/>
    <w:rsid w:val="00C83B15"/>
    <w:rsid w:val="00C84400"/>
    <w:rsid w:val="00C85774"/>
    <w:rsid w:val="00C85A2E"/>
    <w:rsid w:val="00C861A6"/>
    <w:rsid w:val="00C862BB"/>
    <w:rsid w:val="00C8670F"/>
    <w:rsid w:val="00C86CC9"/>
    <w:rsid w:val="00C86FD9"/>
    <w:rsid w:val="00C8717D"/>
    <w:rsid w:val="00C872E1"/>
    <w:rsid w:val="00C876B2"/>
    <w:rsid w:val="00C87A3F"/>
    <w:rsid w:val="00C87B97"/>
    <w:rsid w:val="00C90135"/>
    <w:rsid w:val="00C90337"/>
    <w:rsid w:val="00C904D6"/>
    <w:rsid w:val="00C905C7"/>
    <w:rsid w:val="00C91A09"/>
    <w:rsid w:val="00C91A7B"/>
    <w:rsid w:val="00C92804"/>
    <w:rsid w:val="00C92CCE"/>
    <w:rsid w:val="00C9320F"/>
    <w:rsid w:val="00C93A92"/>
    <w:rsid w:val="00C93C9B"/>
    <w:rsid w:val="00C93D24"/>
    <w:rsid w:val="00C93EFA"/>
    <w:rsid w:val="00C9412E"/>
    <w:rsid w:val="00C94657"/>
    <w:rsid w:val="00C94955"/>
    <w:rsid w:val="00C94AE9"/>
    <w:rsid w:val="00C950E1"/>
    <w:rsid w:val="00C95800"/>
    <w:rsid w:val="00C959DF"/>
    <w:rsid w:val="00C95AE1"/>
    <w:rsid w:val="00C95B42"/>
    <w:rsid w:val="00C95EBC"/>
    <w:rsid w:val="00C965B2"/>
    <w:rsid w:val="00C968D5"/>
    <w:rsid w:val="00C96C86"/>
    <w:rsid w:val="00C96DF2"/>
    <w:rsid w:val="00C97183"/>
    <w:rsid w:val="00C97427"/>
    <w:rsid w:val="00C979C5"/>
    <w:rsid w:val="00C97F8D"/>
    <w:rsid w:val="00CA00D8"/>
    <w:rsid w:val="00CA0157"/>
    <w:rsid w:val="00CA05B3"/>
    <w:rsid w:val="00CA0DB9"/>
    <w:rsid w:val="00CA10B1"/>
    <w:rsid w:val="00CA148B"/>
    <w:rsid w:val="00CA1DD8"/>
    <w:rsid w:val="00CA2264"/>
    <w:rsid w:val="00CA2374"/>
    <w:rsid w:val="00CA2AFC"/>
    <w:rsid w:val="00CA2C80"/>
    <w:rsid w:val="00CA2E2B"/>
    <w:rsid w:val="00CA2F8A"/>
    <w:rsid w:val="00CA3BE7"/>
    <w:rsid w:val="00CA3F97"/>
    <w:rsid w:val="00CA3FF1"/>
    <w:rsid w:val="00CA467D"/>
    <w:rsid w:val="00CA47C7"/>
    <w:rsid w:val="00CA4CD9"/>
    <w:rsid w:val="00CA4D54"/>
    <w:rsid w:val="00CA4D76"/>
    <w:rsid w:val="00CA4F92"/>
    <w:rsid w:val="00CA4FD1"/>
    <w:rsid w:val="00CA550F"/>
    <w:rsid w:val="00CA5666"/>
    <w:rsid w:val="00CA5BB7"/>
    <w:rsid w:val="00CA7297"/>
    <w:rsid w:val="00CA796E"/>
    <w:rsid w:val="00CA7A89"/>
    <w:rsid w:val="00CA7CD5"/>
    <w:rsid w:val="00CA7E99"/>
    <w:rsid w:val="00CB017E"/>
    <w:rsid w:val="00CB0AAA"/>
    <w:rsid w:val="00CB12EE"/>
    <w:rsid w:val="00CB187C"/>
    <w:rsid w:val="00CB1935"/>
    <w:rsid w:val="00CB1DC2"/>
    <w:rsid w:val="00CB1EDC"/>
    <w:rsid w:val="00CB217A"/>
    <w:rsid w:val="00CB2680"/>
    <w:rsid w:val="00CB3139"/>
    <w:rsid w:val="00CB3248"/>
    <w:rsid w:val="00CB3284"/>
    <w:rsid w:val="00CB35A0"/>
    <w:rsid w:val="00CB3756"/>
    <w:rsid w:val="00CB3C23"/>
    <w:rsid w:val="00CB3E76"/>
    <w:rsid w:val="00CB4273"/>
    <w:rsid w:val="00CB477D"/>
    <w:rsid w:val="00CB4A37"/>
    <w:rsid w:val="00CB4DFE"/>
    <w:rsid w:val="00CB50D4"/>
    <w:rsid w:val="00CB567B"/>
    <w:rsid w:val="00CB5EBF"/>
    <w:rsid w:val="00CB5FB2"/>
    <w:rsid w:val="00CB606B"/>
    <w:rsid w:val="00CB60BC"/>
    <w:rsid w:val="00CB63D6"/>
    <w:rsid w:val="00CB68F4"/>
    <w:rsid w:val="00CB6A1F"/>
    <w:rsid w:val="00CB6A51"/>
    <w:rsid w:val="00CB6C84"/>
    <w:rsid w:val="00CB6DC2"/>
    <w:rsid w:val="00CB71EB"/>
    <w:rsid w:val="00CB7D73"/>
    <w:rsid w:val="00CB7E15"/>
    <w:rsid w:val="00CC028B"/>
    <w:rsid w:val="00CC05C4"/>
    <w:rsid w:val="00CC063C"/>
    <w:rsid w:val="00CC0763"/>
    <w:rsid w:val="00CC0B03"/>
    <w:rsid w:val="00CC1071"/>
    <w:rsid w:val="00CC10F9"/>
    <w:rsid w:val="00CC1155"/>
    <w:rsid w:val="00CC11DD"/>
    <w:rsid w:val="00CC12A1"/>
    <w:rsid w:val="00CC1469"/>
    <w:rsid w:val="00CC1C1A"/>
    <w:rsid w:val="00CC1D82"/>
    <w:rsid w:val="00CC296B"/>
    <w:rsid w:val="00CC2E9D"/>
    <w:rsid w:val="00CC342D"/>
    <w:rsid w:val="00CC369B"/>
    <w:rsid w:val="00CC41DD"/>
    <w:rsid w:val="00CC46AA"/>
    <w:rsid w:val="00CC4B60"/>
    <w:rsid w:val="00CC4D5B"/>
    <w:rsid w:val="00CC5665"/>
    <w:rsid w:val="00CC5A69"/>
    <w:rsid w:val="00CC6682"/>
    <w:rsid w:val="00CC6977"/>
    <w:rsid w:val="00CC6C7B"/>
    <w:rsid w:val="00CC71AB"/>
    <w:rsid w:val="00CC7C47"/>
    <w:rsid w:val="00CD0D77"/>
    <w:rsid w:val="00CD0FB3"/>
    <w:rsid w:val="00CD139C"/>
    <w:rsid w:val="00CD1B95"/>
    <w:rsid w:val="00CD1BDF"/>
    <w:rsid w:val="00CD1E04"/>
    <w:rsid w:val="00CD25F6"/>
    <w:rsid w:val="00CD2B5B"/>
    <w:rsid w:val="00CD3593"/>
    <w:rsid w:val="00CD3604"/>
    <w:rsid w:val="00CD3909"/>
    <w:rsid w:val="00CD435D"/>
    <w:rsid w:val="00CD498F"/>
    <w:rsid w:val="00CD4B8D"/>
    <w:rsid w:val="00CD4BB1"/>
    <w:rsid w:val="00CD4EB7"/>
    <w:rsid w:val="00CD5175"/>
    <w:rsid w:val="00CD550C"/>
    <w:rsid w:val="00CD5CB0"/>
    <w:rsid w:val="00CD5E5D"/>
    <w:rsid w:val="00CD62C6"/>
    <w:rsid w:val="00CD6440"/>
    <w:rsid w:val="00CD65E9"/>
    <w:rsid w:val="00CD6BD0"/>
    <w:rsid w:val="00CD6F3E"/>
    <w:rsid w:val="00CD77EA"/>
    <w:rsid w:val="00CE09C2"/>
    <w:rsid w:val="00CE0A59"/>
    <w:rsid w:val="00CE0A95"/>
    <w:rsid w:val="00CE0CE4"/>
    <w:rsid w:val="00CE0D8E"/>
    <w:rsid w:val="00CE0E56"/>
    <w:rsid w:val="00CE10A4"/>
    <w:rsid w:val="00CE17DD"/>
    <w:rsid w:val="00CE1A52"/>
    <w:rsid w:val="00CE1BEC"/>
    <w:rsid w:val="00CE1F85"/>
    <w:rsid w:val="00CE1FF3"/>
    <w:rsid w:val="00CE219F"/>
    <w:rsid w:val="00CE2448"/>
    <w:rsid w:val="00CE2FF0"/>
    <w:rsid w:val="00CE32C6"/>
    <w:rsid w:val="00CE3322"/>
    <w:rsid w:val="00CE3773"/>
    <w:rsid w:val="00CE420A"/>
    <w:rsid w:val="00CE4780"/>
    <w:rsid w:val="00CE5087"/>
    <w:rsid w:val="00CE5938"/>
    <w:rsid w:val="00CE5BC9"/>
    <w:rsid w:val="00CE61FE"/>
    <w:rsid w:val="00CE6922"/>
    <w:rsid w:val="00CE720B"/>
    <w:rsid w:val="00CE7505"/>
    <w:rsid w:val="00CE7642"/>
    <w:rsid w:val="00CE7927"/>
    <w:rsid w:val="00CE7FCD"/>
    <w:rsid w:val="00CF05D5"/>
    <w:rsid w:val="00CF0E55"/>
    <w:rsid w:val="00CF0FBD"/>
    <w:rsid w:val="00CF17A6"/>
    <w:rsid w:val="00CF18D2"/>
    <w:rsid w:val="00CF1941"/>
    <w:rsid w:val="00CF263B"/>
    <w:rsid w:val="00CF294E"/>
    <w:rsid w:val="00CF29B6"/>
    <w:rsid w:val="00CF2A1A"/>
    <w:rsid w:val="00CF2ACE"/>
    <w:rsid w:val="00CF2C34"/>
    <w:rsid w:val="00CF3446"/>
    <w:rsid w:val="00CF3507"/>
    <w:rsid w:val="00CF3526"/>
    <w:rsid w:val="00CF3E93"/>
    <w:rsid w:val="00CF5012"/>
    <w:rsid w:val="00CF5AA9"/>
    <w:rsid w:val="00CF692D"/>
    <w:rsid w:val="00CF6BD3"/>
    <w:rsid w:val="00CF7110"/>
    <w:rsid w:val="00CF7220"/>
    <w:rsid w:val="00CF722A"/>
    <w:rsid w:val="00CF739C"/>
    <w:rsid w:val="00CF7630"/>
    <w:rsid w:val="00CF7788"/>
    <w:rsid w:val="00CF7BBE"/>
    <w:rsid w:val="00D00D39"/>
    <w:rsid w:val="00D00D87"/>
    <w:rsid w:val="00D0155A"/>
    <w:rsid w:val="00D018AA"/>
    <w:rsid w:val="00D01907"/>
    <w:rsid w:val="00D01BE7"/>
    <w:rsid w:val="00D01FC0"/>
    <w:rsid w:val="00D02619"/>
    <w:rsid w:val="00D027CA"/>
    <w:rsid w:val="00D02945"/>
    <w:rsid w:val="00D02B57"/>
    <w:rsid w:val="00D02CE3"/>
    <w:rsid w:val="00D032E1"/>
    <w:rsid w:val="00D033A4"/>
    <w:rsid w:val="00D036D7"/>
    <w:rsid w:val="00D03AEC"/>
    <w:rsid w:val="00D04478"/>
    <w:rsid w:val="00D04546"/>
    <w:rsid w:val="00D046B5"/>
    <w:rsid w:val="00D04A4E"/>
    <w:rsid w:val="00D04AE8"/>
    <w:rsid w:val="00D052AB"/>
    <w:rsid w:val="00D0533D"/>
    <w:rsid w:val="00D054A7"/>
    <w:rsid w:val="00D054DD"/>
    <w:rsid w:val="00D05800"/>
    <w:rsid w:val="00D05BF2"/>
    <w:rsid w:val="00D05C53"/>
    <w:rsid w:val="00D061B4"/>
    <w:rsid w:val="00D0637F"/>
    <w:rsid w:val="00D0662D"/>
    <w:rsid w:val="00D06785"/>
    <w:rsid w:val="00D067B0"/>
    <w:rsid w:val="00D076BB"/>
    <w:rsid w:val="00D077F3"/>
    <w:rsid w:val="00D07C57"/>
    <w:rsid w:val="00D10061"/>
    <w:rsid w:val="00D104DD"/>
    <w:rsid w:val="00D104E3"/>
    <w:rsid w:val="00D1089C"/>
    <w:rsid w:val="00D10A4D"/>
    <w:rsid w:val="00D10BE4"/>
    <w:rsid w:val="00D10C04"/>
    <w:rsid w:val="00D11029"/>
    <w:rsid w:val="00D11254"/>
    <w:rsid w:val="00D11557"/>
    <w:rsid w:val="00D11784"/>
    <w:rsid w:val="00D11C2D"/>
    <w:rsid w:val="00D120DA"/>
    <w:rsid w:val="00D121FA"/>
    <w:rsid w:val="00D1272F"/>
    <w:rsid w:val="00D12B98"/>
    <w:rsid w:val="00D12FC5"/>
    <w:rsid w:val="00D13021"/>
    <w:rsid w:val="00D13AD2"/>
    <w:rsid w:val="00D13B7E"/>
    <w:rsid w:val="00D13B91"/>
    <w:rsid w:val="00D13E64"/>
    <w:rsid w:val="00D13FFE"/>
    <w:rsid w:val="00D14B98"/>
    <w:rsid w:val="00D14C1C"/>
    <w:rsid w:val="00D14F87"/>
    <w:rsid w:val="00D1526E"/>
    <w:rsid w:val="00D158D8"/>
    <w:rsid w:val="00D15DD9"/>
    <w:rsid w:val="00D160B8"/>
    <w:rsid w:val="00D164A3"/>
    <w:rsid w:val="00D165C4"/>
    <w:rsid w:val="00D166DA"/>
    <w:rsid w:val="00D16C91"/>
    <w:rsid w:val="00D16EAF"/>
    <w:rsid w:val="00D170CB"/>
    <w:rsid w:val="00D1712F"/>
    <w:rsid w:val="00D171B2"/>
    <w:rsid w:val="00D174FE"/>
    <w:rsid w:val="00D1763A"/>
    <w:rsid w:val="00D1786F"/>
    <w:rsid w:val="00D17A79"/>
    <w:rsid w:val="00D17AC2"/>
    <w:rsid w:val="00D17AF1"/>
    <w:rsid w:val="00D17BC1"/>
    <w:rsid w:val="00D17DAC"/>
    <w:rsid w:val="00D17F9C"/>
    <w:rsid w:val="00D20700"/>
    <w:rsid w:val="00D207D8"/>
    <w:rsid w:val="00D20A1E"/>
    <w:rsid w:val="00D20FD4"/>
    <w:rsid w:val="00D21187"/>
    <w:rsid w:val="00D212BF"/>
    <w:rsid w:val="00D2131D"/>
    <w:rsid w:val="00D214DE"/>
    <w:rsid w:val="00D21523"/>
    <w:rsid w:val="00D219CE"/>
    <w:rsid w:val="00D21A24"/>
    <w:rsid w:val="00D21EBF"/>
    <w:rsid w:val="00D22203"/>
    <w:rsid w:val="00D23263"/>
    <w:rsid w:val="00D2345B"/>
    <w:rsid w:val="00D237E2"/>
    <w:rsid w:val="00D23893"/>
    <w:rsid w:val="00D23A6F"/>
    <w:rsid w:val="00D23B4C"/>
    <w:rsid w:val="00D24145"/>
    <w:rsid w:val="00D24191"/>
    <w:rsid w:val="00D24665"/>
    <w:rsid w:val="00D2467B"/>
    <w:rsid w:val="00D2483C"/>
    <w:rsid w:val="00D24968"/>
    <w:rsid w:val="00D2501F"/>
    <w:rsid w:val="00D25307"/>
    <w:rsid w:val="00D2539C"/>
    <w:rsid w:val="00D253F2"/>
    <w:rsid w:val="00D254E9"/>
    <w:rsid w:val="00D255CF"/>
    <w:rsid w:val="00D255ED"/>
    <w:rsid w:val="00D2678E"/>
    <w:rsid w:val="00D26863"/>
    <w:rsid w:val="00D2694C"/>
    <w:rsid w:val="00D271C9"/>
    <w:rsid w:val="00D276BB"/>
    <w:rsid w:val="00D27853"/>
    <w:rsid w:val="00D301A2"/>
    <w:rsid w:val="00D301F6"/>
    <w:rsid w:val="00D30AE0"/>
    <w:rsid w:val="00D30AE8"/>
    <w:rsid w:val="00D30BB3"/>
    <w:rsid w:val="00D30FAA"/>
    <w:rsid w:val="00D3114C"/>
    <w:rsid w:val="00D31AC7"/>
    <w:rsid w:val="00D32155"/>
    <w:rsid w:val="00D3239C"/>
    <w:rsid w:val="00D3296E"/>
    <w:rsid w:val="00D32D2D"/>
    <w:rsid w:val="00D3307C"/>
    <w:rsid w:val="00D331A9"/>
    <w:rsid w:val="00D331F1"/>
    <w:rsid w:val="00D33581"/>
    <w:rsid w:val="00D33AC0"/>
    <w:rsid w:val="00D3434A"/>
    <w:rsid w:val="00D34379"/>
    <w:rsid w:val="00D34FB1"/>
    <w:rsid w:val="00D350AF"/>
    <w:rsid w:val="00D35339"/>
    <w:rsid w:val="00D3546A"/>
    <w:rsid w:val="00D358BB"/>
    <w:rsid w:val="00D35EFE"/>
    <w:rsid w:val="00D36107"/>
    <w:rsid w:val="00D36132"/>
    <w:rsid w:val="00D36A87"/>
    <w:rsid w:val="00D37058"/>
    <w:rsid w:val="00D376CF"/>
    <w:rsid w:val="00D37B46"/>
    <w:rsid w:val="00D37BDE"/>
    <w:rsid w:val="00D37F37"/>
    <w:rsid w:val="00D40B8D"/>
    <w:rsid w:val="00D40D1B"/>
    <w:rsid w:val="00D41040"/>
    <w:rsid w:val="00D411B3"/>
    <w:rsid w:val="00D4131F"/>
    <w:rsid w:val="00D413EC"/>
    <w:rsid w:val="00D41983"/>
    <w:rsid w:val="00D41BDF"/>
    <w:rsid w:val="00D41C99"/>
    <w:rsid w:val="00D41D11"/>
    <w:rsid w:val="00D41E44"/>
    <w:rsid w:val="00D42293"/>
    <w:rsid w:val="00D42591"/>
    <w:rsid w:val="00D42923"/>
    <w:rsid w:val="00D4312C"/>
    <w:rsid w:val="00D433C8"/>
    <w:rsid w:val="00D4402D"/>
    <w:rsid w:val="00D440A8"/>
    <w:rsid w:val="00D44136"/>
    <w:rsid w:val="00D4421B"/>
    <w:rsid w:val="00D447BF"/>
    <w:rsid w:val="00D4542C"/>
    <w:rsid w:val="00D45F34"/>
    <w:rsid w:val="00D462E4"/>
    <w:rsid w:val="00D4689C"/>
    <w:rsid w:val="00D472FC"/>
    <w:rsid w:val="00D473AE"/>
    <w:rsid w:val="00D50510"/>
    <w:rsid w:val="00D50DED"/>
    <w:rsid w:val="00D511DD"/>
    <w:rsid w:val="00D516AB"/>
    <w:rsid w:val="00D5282D"/>
    <w:rsid w:val="00D52E71"/>
    <w:rsid w:val="00D5302B"/>
    <w:rsid w:val="00D5380F"/>
    <w:rsid w:val="00D53815"/>
    <w:rsid w:val="00D53ED3"/>
    <w:rsid w:val="00D540FA"/>
    <w:rsid w:val="00D54599"/>
    <w:rsid w:val="00D54D41"/>
    <w:rsid w:val="00D551FD"/>
    <w:rsid w:val="00D55561"/>
    <w:rsid w:val="00D55B36"/>
    <w:rsid w:val="00D55CAA"/>
    <w:rsid w:val="00D55CED"/>
    <w:rsid w:val="00D5678D"/>
    <w:rsid w:val="00D56A30"/>
    <w:rsid w:val="00D56BFE"/>
    <w:rsid w:val="00D56CA6"/>
    <w:rsid w:val="00D57701"/>
    <w:rsid w:val="00D5794B"/>
    <w:rsid w:val="00D57A61"/>
    <w:rsid w:val="00D57C03"/>
    <w:rsid w:val="00D60077"/>
    <w:rsid w:val="00D601E6"/>
    <w:rsid w:val="00D60296"/>
    <w:rsid w:val="00D60DE4"/>
    <w:rsid w:val="00D60E3E"/>
    <w:rsid w:val="00D6125B"/>
    <w:rsid w:val="00D613D5"/>
    <w:rsid w:val="00D61583"/>
    <w:rsid w:val="00D61F26"/>
    <w:rsid w:val="00D6224C"/>
    <w:rsid w:val="00D622F2"/>
    <w:rsid w:val="00D6239D"/>
    <w:rsid w:val="00D62412"/>
    <w:rsid w:val="00D62613"/>
    <w:rsid w:val="00D6267B"/>
    <w:rsid w:val="00D634B7"/>
    <w:rsid w:val="00D635A7"/>
    <w:rsid w:val="00D63938"/>
    <w:rsid w:val="00D63D8D"/>
    <w:rsid w:val="00D63EEE"/>
    <w:rsid w:val="00D6438E"/>
    <w:rsid w:val="00D6441B"/>
    <w:rsid w:val="00D647A5"/>
    <w:rsid w:val="00D647B3"/>
    <w:rsid w:val="00D649DE"/>
    <w:rsid w:val="00D64D7A"/>
    <w:rsid w:val="00D64E6F"/>
    <w:rsid w:val="00D65148"/>
    <w:rsid w:val="00D65430"/>
    <w:rsid w:val="00D65C6F"/>
    <w:rsid w:val="00D66130"/>
    <w:rsid w:val="00D66A2A"/>
    <w:rsid w:val="00D66E79"/>
    <w:rsid w:val="00D67439"/>
    <w:rsid w:val="00D67515"/>
    <w:rsid w:val="00D67AD0"/>
    <w:rsid w:val="00D67C6B"/>
    <w:rsid w:val="00D67CAC"/>
    <w:rsid w:val="00D70C0A"/>
    <w:rsid w:val="00D717BB"/>
    <w:rsid w:val="00D718B4"/>
    <w:rsid w:val="00D71D41"/>
    <w:rsid w:val="00D7226F"/>
    <w:rsid w:val="00D722F2"/>
    <w:rsid w:val="00D72391"/>
    <w:rsid w:val="00D7279E"/>
    <w:rsid w:val="00D727F1"/>
    <w:rsid w:val="00D72902"/>
    <w:rsid w:val="00D72D42"/>
    <w:rsid w:val="00D73626"/>
    <w:rsid w:val="00D73795"/>
    <w:rsid w:val="00D73849"/>
    <w:rsid w:val="00D7389B"/>
    <w:rsid w:val="00D738D4"/>
    <w:rsid w:val="00D73926"/>
    <w:rsid w:val="00D73AE7"/>
    <w:rsid w:val="00D73B6D"/>
    <w:rsid w:val="00D74197"/>
    <w:rsid w:val="00D74352"/>
    <w:rsid w:val="00D74913"/>
    <w:rsid w:val="00D74EF0"/>
    <w:rsid w:val="00D752C0"/>
    <w:rsid w:val="00D755EE"/>
    <w:rsid w:val="00D75740"/>
    <w:rsid w:val="00D75B73"/>
    <w:rsid w:val="00D75DFA"/>
    <w:rsid w:val="00D76007"/>
    <w:rsid w:val="00D76A39"/>
    <w:rsid w:val="00D76FBD"/>
    <w:rsid w:val="00D77217"/>
    <w:rsid w:val="00D774A9"/>
    <w:rsid w:val="00D774C0"/>
    <w:rsid w:val="00D77582"/>
    <w:rsid w:val="00D77C34"/>
    <w:rsid w:val="00D801C7"/>
    <w:rsid w:val="00D80359"/>
    <w:rsid w:val="00D80BB0"/>
    <w:rsid w:val="00D80CC9"/>
    <w:rsid w:val="00D80ECF"/>
    <w:rsid w:val="00D80FF9"/>
    <w:rsid w:val="00D8148B"/>
    <w:rsid w:val="00D8184C"/>
    <w:rsid w:val="00D82110"/>
    <w:rsid w:val="00D823E4"/>
    <w:rsid w:val="00D82472"/>
    <w:rsid w:val="00D82AAF"/>
    <w:rsid w:val="00D83081"/>
    <w:rsid w:val="00D83A5E"/>
    <w:rsid w:val="00D8434E"/>
    <w:rsid w:val="00D84418"/>
    <w:rsid w:val="00D84527"/>
    <w:rsid w:val="00D84B36"/>
    <w:rsid w:val="00D84D13"/>
    <w:rsid w:val="00D84E86"/>
    <w:rsid w:val="00D8514E"/>
    <w:rsid w:val="00D85D8D"/>
    <w:rsid w:val="00D86127"/>
    <w:rsid w:val="00D862A5"/>
    <w:rsid w:val="00D86DAA"/>
    <w:rsid w:val="00D8705E"/>
    <w:rsid w:val="00D871A8"/>
    <w:rsid w:val="00D877B9"/>
    <w:rsid w:val="00D901B9"/>
    <w:rsid w:val="00D90718"/>
    <w:rsid w:val="00D90961"/>
    <w:rsid w:val="00D90A7E"/>
    <w:rsid w:val="00D90D3F"/>
    <w:rsid w:val="00D90DAB"/>
    <w:rsid w:val="00D90E3F"/>
    <w:rsid w:val="00D911C5"/>
    <w:rsid w:val="00D912CC"/>
    <w:rsid w:val="00D915E4"/>
    <w:rsid w:val="00D915EC"/>
    <w:rsid w:val="00D9162B"/>
    <w:rsid w:val="00D917C7"/>
    <w:rsid w:val="00D91EAA"/>
    <w:rsid w:val="00D921F8"/>
    <w:rsid w:val="00D925B0"/>
    <w:rsid w:val="00D92AA1"/>
    <w:rsid w:val="00D92D12"/>
    <w:rsid w:val="00D92E04"/>
    <w:rsid w:val="00D93832"/>
    <w:rsid w:val="00D93C62"/>
    <w:rsid w:val="00D948E4"/>
    <w:rsid w:val="00D94BE4"/>
    <w:rsid w:val="00D953CC"/>
    <w:rsid w:val="00D953FD"/>
    <w:rsid w:val="00D95578"/>
    <w:rsid w:val="00D9568C"/>
    <w:rsid w:val="00D9623F"/>
    <w:rsid w:val="00D96415"/>
    <w:rsid w:val="00D9648C"/>
    <w:rsid w:val="00D964C0"/>
    <w:rsid w:val="00D9660B"/>
    <w:rsid w:val="00D966FB"/>
    <w:rsid w:val="00D96946"/>
    <w:rsid w:val="00D96BC1"/>
    <w:rsid w:val="00D96C63"/>
    <w:rsid w:val="00D96CD6"/>
    <w:rsid w:val="00D96EB1"/>
    <w:rsid w:val="00D9718F"/>
    <w:rsid w:val="00D971BC"/>
    <w:rsid w:val="00D972D1"/>
    <w:rsid w:val="00D97347"/>
    <w:rsid w:val="00D973CF"/>
    <w:rsid w:val="00DA0018"/>
    <w:rsid w:val="00DA0497"/>
    <w:rsid w:val="00DA0678"/>
    <w:rsid w:val="00DA0CDD"/>
    <w:rsid w:val="00DA1133"/>
    <w:rsid w:val="00DA1A47"/>
    <w:rsid w:val="00DA1C12"/>
    <w:rsid w:val="00DA2661"/>
    <w:rsid w:val="00DA2864"/>
    <w:rsid w:val="00DA2FAF"/>
    <w:rsid w:val="00DA356B"/>
    <w:rsid w:val="00DA3584"/>
    <w:rsid w:val="00DA3719"/>
    <w:rsid w:val="00DA39AF"/>
    <w:rsid w:val="00DA41D7"/>
    <w:rsid w:val="00DA4322"/>
    <w:rsid w:val="00DA49C7"/>
    <w:rsid w:val="00DA4BA5"/>
    <w:rsid w:val="00DA5848"/>
    <w:rsid w:val="00DA5E25"/>
    <w:rsid w:val="00DA5F3B"/>
    <w:rsid w:val="00DA5FC3"/>
    <w:rsid w:val="00DA6004"/>
    <w:rsid w:val="00DA6122"/>
    <w:rsid w:val="00DA68C4"/>
    <w:rsid w:val="00DA6DB6"/>
    <w:rsid w:val="00DA7E90"/>
    <w:rsid w:val="00DB006F"/>
    <w:rsid w:val="00DB04A8"/>
    <w:rsid w:val="00DB0659"/>
    <w:rsid w:val="00DB0851"/>
    <w:rsid w:val="00DB0B74"/>
    <w:rsid w:val="00DB1447"/>
    <w:rsid w:val="00DB2612"/>
    <w:rsid w:val="00DB2745"/>
    <w:rsid w:val="00DB28C9"/>
    <w:rsid w:val="00DB2B5E"/>
    <w:rsid w:val="00DB334F"/>
    <w:rsid w:val="00DB33AC"/>
    <w:rsid w:val="00DB36B3"/>
    <w:rsid w:val="00DB36D3"/>
    <w:rsid w:val="00DB390C"/>
    <w:rsid w:val="00DB3EB7"/>
    <w:rsid w:val="00DB410A"/>
    <w:rsid w:val="00DB41E6"/>
    <w:rsid w:val="00DB46E1"/>
    <w:rsid w:val="00DB4A63"/>
    <w:rsid w:val="00DB5596"/>
    <w:rsid w:val="00DB5C18"/>
    <w:rsid w:val="00DB5C7A"/>
    <w:rsid w:val="00DB5D4E"/>
    <w:rsid w:val="00DB5F08"/>
    <w:rsid w:val="00DB60D5"/>
    <w:rsid w:val="00DB6122"/>
    <w:rsid w:val="00DB627F"/>
    <w:rsid w:val="00DB6463"/>
    <w:rsid w:val="00DB66D5"/>
    <w:rsid w:val="00DB6ADD"/>
    <w:rsid w:val="00DB7236"/>
    <w:rsid w:val="00DB7E87"/>
    <w:rsid w:val="00DC00C5"/>
    <w:rsid w:val="00DC0453"/>
    <w:rsid w:val="00DC0C44"/>
    <w:rsid w:val="00DC1550"/>
    <w:rsid w:val="00DC199A"/>
    <w:rsid w:val="00DC19D3"/>
    <w:rsid w:val="00DC2068"/>
    <w:rsid w:val="00DC231A"/>
    <w:rsid w:val="00DC2675"/>
    <w:rsid w:val="00DC2757"/>
    <w:rsid w:val="00DC28E0"/>
    <w:rsid w:val="00DC2CF9"/>
    <w:rsid w:val="00DC2E05"/>
    <w:rsid w:val="00DC2EF5"/>
    <w:rsid w:val="00DC2F7A"/>
    <w:rsid w:val="00DC30FF"/>
    <w:rsid w:val="00DC3147"/>
    <w:rsid w:val="00DC33A5"/>
    <w:rsid w:val="00DC342A"/>
    <w:rsid w:val="00DC3582"/>
    <w:rsid w:val="00DC3911"/>
    <w:rsid w:val="00DC3B80"/>
    <w:rsid w:val="00DC3F2C"/>
    <w:rsid w:val="00DC4385"/>
    <w:rsid w:val="00DC456C"/>
    <w:rsid w:val="00DC4CA6"/>
    <w:rsid w:val="00DC4DE8"/>
    <w:rsid w:val="00DC5174"/>
    <w:rsid w:val="00DC5E34"/>
    <w:rsid w:val="00DC60CC"/>
    <w:rsid w:val="00DC6786"/>
    <w:rsid w:val="00DC6E69"/>
    <w:rsid w:val="00DC7040"/>
    <w:rsid w:val="00DC725F"/>
    <w:rsid w:val="00DC727A"/>
    <w:rsid w:val="00DC73DA"/>
    <w:rsid w:val="00DC78E1"/>
    <w:rsid w:val="00DC7D98"/>
    <w:rsid w:val="00DC7E68"/>
    <w:rsid w:val="00DD0368"/>
    <w:rsid w:val="00DD0860"/>
    <w:rsid w:val="00DD0FCD"/>
    <w:rsid w:val="00DD10AF"/>
    <w:rsid w:val="00DD17BD"/>
    <w:rsid w:val="00DD193F"/>
    <w:rsid w:val="00DD1C41"/>
    <w:rsid w:val="00DD1EEF"/>
    <w:rsid w:val="00DD1F49"/>
    <w:rsid w:val="00DD256F"/>
    <w:rsid w:val="00DD2D0E"/>
    <w:rsid w:val="00DD35F1"/>
    <w:rsid w:val="00DD401E"/>
    <w:rsid w:val="00DD442B"/>
    <w:rsid w:val="00DD47C9"/>
    <w:rsid w:val="00DD4A14"/>
    <w:rsid w:val="00DD4AB7"/>
    <w:rsid w:val="00DD50C0"/>
    <w:rsid w:val="00DD5E51"/>
    <w:rsid w:val="00DD63C8"/>
    <w:rsid w:val="00DD6BDF"/>
    <w:rsid w:val="00DD6D0E"/>
    <w:rsid w:val="00DD76EF"/>
    <w:rsid w:val="00DE0386"/>
    <w:rsid w:val="00DE0635"/>
    <w:rsid w:val="00DE1136"/>
    <w:rsid w:val="00DE1186"/>
    <w:rsid w:val="00DE120C"/>
    <w:rsid w:val="00DE1743"/>
    <w:rsid w:val="00DE19FA"/>
    <w:rsid w:val="00DE2320"/>
    <w:rsid w:val="00DE2958"/>
    <w:rsid w:val="00DE2AD2"/>
    <w:rsid w:val="00DE2D50"/>
    <w:rsid w:val="00DE2F92"/>
    <w:rsid w:val="00DE367F"/>
    <w:rsid w:val="00DE3829"/>
    <w:rsid w:val="00DE38AB"/>
    <w:rsid w:val="00DE3AA0"/>
    <w:rsid w:val="00DE3EE9"/>
    <w:rsid w:val="00DE417C"/>
    <w:rsid w:val="00DE4318"/>
    <w:rsid w:val="00DE476D"/>
    <w:rsid w:val="00DE5ABB"/>
    <w:rsid w:val="00DE64CA"/>
    <w:rsid w:val="00DE6649"/>
    <w:rsid w:val="00DE6A0E"/>
    <w:rsid w:val="00DE6F58"/>
    <w:rsid w:val="00DE7190"/>
    <w:rsid w:val="00DE7306"/>
    <w:rsid w:val="00DE788D"/>
    <w:rsid w:val="00DE79BA"/>
    <w:rsid w:val="00DE7CAA"/>
    <w:rsid w:val="00DE7D84"/>
    <w:rsid w:val="00DE7DEE"/>
    <w:rsid w:val="00DE7E8A"/>
    <w:rsid w:val="00DF019D"/>
    <w:rsid w:val="00DF0206"/>
    <w:rsid w:val="00DF12C9"/>
    <w:rsid w:val="00DF13E0"/>
    <w:rsid w:val="00DF1677"/>
    <w:rsid w:val="00DF1E3F"/>
    <w:rsid w:val="00DF2375"/>
    <w:rsid w:val="00DF271C"/>
    <w:rsid w:val="00DF273A"/>
    <w:rsid w:val="00DF2791"/>
    <w:rsid w:val="00DF279B"/>
    <w:rsid w:val="00DF2941"/>
    <w:rsid w:val="00DF2CBB"/>
    <w:rsid w:val="00DF2FEE"/>
    <w:rsid w:val="00DF35AC"/>
    <w:rsid w:val="00DF35B5"/>
    <w:rsid w:val="00DF3CEC"/>
    <w:rsid w:val="00DF3F04"/>
    <w:rsid w:val="00DF3F7E"/>
    <w:rsid w:val="00DF41D0"/>
    <w:rsid w:val="00DF44F1"/>
    <w:rsid w:val="00DF4698"/>
    <w:rsid w:val="00DF4808"/>
    <w:rsid w:val="00DF4D9C"/>
    <w:rsid w:val="00DF4E30"/>
    <w:rsid w:val="00DF54BA"/>
    <w:rsid w:val="00DF56C1"/>
    <w:rsid w:val="00DF583C"/>
    <w:rsid w:val="00DF596D"/>
    <w:rsid w:val="00DF5A38"/>
    <w:rsid w:val="00DF5D0E"/>
    <w:rsid w:val="00DF60FF"/>
    <w:rsid w:val="00DF6603"/>
    <w:rsid w:val="00DF6660"/>
    <w:rsid w:val="00DF666E"/>
    <w:rsid w:val="00DF6A01"/>
    <w:rsid w:val="00E00098"/>
    <w:rsid w:val="00E00733"/>
    <w:rsid w:val="00E00749"/>
    <w:rsid w:val="00E00863"/>
    <w:rsid w:val="00E00C2D"/>
    <w:rsid w:val="00E00F61"/>
    <w:rsid w:val="00E0145F"/>
    <w:rsid w:val="00E01461"/>
    <w:rsid w:val="00E014D4"/>
    <w:rsid w:val="00E01786"/>
    <w:rsid w:val="00E01AD6"/>
    <w:rsid w:val="00E01F91"/>
    <w:rsid w:val="00E02134"/>
    <w:rsid w:val="00E021BF"/>
    <w:rsid w:val="00E0272B"/>
    <w:rsid w:val="00E027CF"/>
    <w:rsid w:val="00E033E5"/>
    <w:rsid w:val="00E03C28"/>
    <w:rsid w:val="00E03CB6"/>
    <w:rsid w:val="00E04537"/>
    <w:rsid w:val="00E045E4"/>
    <w:rsid w:val="00E047AF"/>
    <w:rsid w:val="00E04C46"/>
    <w:rsid w:val="00E04CA6"/>
    <w:rsid w:val="00E0561E"/>
    <w:rsid w:val="00E0574C"/>
    <w:rsid w:val="00E05880"/>
    <w:rsid w:val="00E06409"/>
    <w:rsid w:val="00E06615"/>
    <w:rsid w:val="00E06A7C"/>
    <w:rsid w:val="00E06FCB"/>
    <w:rsid w:val="00E07227"/>
    <w:rsid w:val="00E07CCC"/>
    <w:rsid w:val="00E1000D"/>
    <w:rsid w:val="00E1005D"/>
    <w:rsid w:val="00E10711"/>
    <w:rsid w:val="00E11264"/>
    <w:rsid w:val="00E116D2"/>
    <w:rsid w:val="00E118A2"/>
    <w:rsid w:val="00E11FC1"/>
    <w:rsid w:val="00E121A1"/>
    <w:rsid w:val="00E1246E"/>
    <w:rsid w:val="00E12579"/>
    <w:rsid w:val="00E125D4"/>
    <w:rsid w:val="00E128FD"/>
    <w:rsid w:val="00E12BA1"/>
    <w:rsid w:val="00E12C60"/>
    <w:rsid w:val="00E12F98"/>
    <w:rsid w:val="00E1301E"/>
    <w:rsid w:val="00E138F6"/>
    <w:rsid w:val="00E141A4"/>
    <w:rsid w:val="00E14302"/>
    <w:rsid w:val="00E14D8B"/>
    <w:rsid w:val="00E15851"/>
    <w:rsid w:val="00E160D6"/>
    <w:rsid w:val="00E16109"/>
    <w:rsid w:val="00E16427"/>
    <w:rsid w:val="00E170BD"/>
    <w:rsid w:val="00E17ED4"/>
    <w:rsid w:val="00E2002D"/>
    <w:rsid w:val="00E2032D"/>
    <w:rsid w:val="00E20BBC"/>
    <w:rsid w:val="00E20CB9"/>
    <w:rsid w:val="00E20E9A"/>
    <w:rsid w:val="00E21E83"/>
    <w:rsid w:val="00E22433"/>
    <w:rsid w:val="00E232E9"/>
    <w:rsid w:val="00E23537"/>
    <w:rsid w:val="00E237D9"/>
    <w:rsid w:val="00E2392C"/>
    <w:rsid w:val="00E23FA5"/>
    <w:rsid w:val="00E2432B"/>
    <w:rsid w:val="00E243D5"/>
    <w:rsid w:val="00E24790"/>
    <w:rsid w:val="00E24C59"/>
    <w:rsid w:val="00E24E26"/>
    <w:rsid w:val="00E24F16"/>
    <w:rsid w:val="00E25371"/>
    <w:rsid w:val="00E254E6"/>
    <w:rsid w:val="00E25819"/>
    <w:rsid w:val="00E25B68"/>
    <w:rsid w:val="00E261B2"/>
    <w:rsid w:val="00E26254"/>
    <w:rsid w:val="00E2651F"/>
    <w:rsid w:val="00E269D1"/>
    <w:rsid w:val="00E26C03"/>
    <w:rsid w:val="00E26CDF"/>
    <w:rsid w:val="00E27D34"/>
    <w:rsid w:val="00E307B5"/>
    <w:rsid w:val="00E30A6F"/>
    <w:rsid w:val="00E30C61"/>
    <w:rsid w:val="00E30F62"/>
    <w:rsid w:val="00E30F75"/>
    <w:rsid w:val="00E31725"/>
    <w:rsid w:val="00E318E6"/>
    <w:rsid w:val="00E319A3"/>
    <w:rsid w:val="00E31AF9"/>
    <w:rsid w:val="00E31B50"/>
    <w:rsid w:val="00E32294"/>
    <w:rsid w:val="00E32699"/>
    <w:rsid w:val="00E327CC"/>
    <w:rsid w:val="00E32E2C"/>
    <w:rsid w:val="00E33140"/>
    <w:rsid w:val="00E333D8"/>
    <w:rsid w:val="00E336F1"/>
    <w:rsid w:val="00E33BD8"/>
    <w:rsid w:val="00E33C8A"/>
    <w:rsid w:val="00E33E29"/>
    <w:rsid w:val="00E33F61"/>
    <w:rsid w:val="00E34480"/>
    <w:rsid w:val="00E34E25"/>
    <w:rsid w:val="00E35484"/>
    <w:rsid w:val="00E365D3"/>
    <w:rsid w:val="00E36708"/>
    <w:rsid w:val="00E36723"/>
    <w:rsid w:val="00E36B77"/>
    <w:rsid w:val="00E36F20"/>
    <w:rsid w:val="00E37307"/>
    <w:rsid w:val="00E37A4F"/>
    <w:rsid w:val="00E37D9F"/>
    <w:rsid w:val="00E37DEB"/>
    <w:rsid w:val="00E40630"/>
    <w:rsid w:val="00E407DE"/>
    <w:rsid w:val="00E40A22"/>
    <w:rsid w:val="00E40CEE"/>
    <w:rsid w:val="00E40DAD"/>
    <w:rsid w:val="00E4167D"/>
    <w:rsid w:val="00E41853"/>
    <w:rsid w:val="00E418FF"/>
    <w:rsid w:val="00E41923"/>
    <w:rsid w:val="00E42757"/>
    <w:rsid w:val="00E42AC8"/>
    <w:rsid w:val="00E42B53"/>
    <w:rsid w:val="00E42BB6"/>
    <w:rsid w:val="00E42CB4"/>
    <w:rsid w:val="00E42FD6"/>
    <w:rsid w:val="00E43074"/>
    <w:rsid w:val="00E43F06"/>
    <w:rsid w:val="00E43FB3"/>
    <w:rsid w:val="00E445FC"/>
    <w:rsid w:val="00E44A7C"/>
    <w:rsid w:val="00E44EE9"/>
    <w:rsid w:val="00E44F95"/>
    <w:rsid w:val="00E45721"/>
    <w:rsid w:val="00E45B61"/>
    <w:rsid w:val="00E45BBC"/>
    <w:rsid w:val="00E45DA8"/>
    <w:rsid w:val="00E45E04"/>
    <w:rsid w:val="00E46574"/>
    <w:rsid w:val="00E465AD"/>
    <w:rsid w:val="00E46AC9"/>
    <w:rsid w:val="00E47CE8"/>
    <w:rsid w:val="00E50071"/>
    <w:rsid w:val="00E50651"/>
    <w:rsid w:val="00E50A0E"/>
    <w:rsid w:val="00E50B5D"/>
    <w:rsid w:val="00E50DB2"/>
    <w:rsid w:val="00E512FB"/>
    <w:rsid w:val="00E514C6"/>
    <w:rsid w:val="00E51636"/>
    <w:rsid w:val="00E521D8"/>
    <w:rsid w:val="00E522B2"/>
    <w:rsid w:val="00E529C3"/>
    <w:rsid w:val="00E52B68"/>
    <w:rsid w:val="00E5340D"/>
    <w:rsid w:val="00E5363B"/>
    <w:rsid w:val="00E539DD"/>
    <w:rsid w:val="00E53DDA"/>
    <w:rsid w:val="00E54169"/>
    <w:rsid w:val="00E543E0"/>
    <w:rsid w:val="00E545C6"/>
    <w:rsid w:val="00E54AAC"/>
    <w:rsid w:val="00E5576B"/>
    <w:rsid w:val="00E5595E"/>
    <w:rsid w:val="00E55AF7"/>
    <w:rsid w:val="00E55E9A"/>
    <w:rsid w:val="00E55F17"/>
    <w:rsid w:val="00E56F6A"/>
    <w:rsid w:val="00E57056"/>
    <w:rsid w:val="00E5764A"/>
    <w:rsid w:val="00E57777"/>
    <w:rsid w:val="00E5793B"/>
    <w:rsid w:val="00E57B75"/>
    <w:rsid w:val="00E57D64"/>
    <w:rsid w:val="00E57E87"/>
    <w:rsid w:val="00E60CDD"/>
    <w:rsid w:val="00E60CF7"/>
    <w:rsid w:val="00E60DDF"/>
    <w:rsid w:val="00E61BEC"/>
    <w:rsid w:val="00E622C3"/>
    <w:rsid w:val="00E6250E"/>
    <w:rsid w:val="00E625CD"/>
    <w:rsid w:val="00E62BE9"/>
    <w:rsid w:val="00E632BF"/>
    <w:rsid w:val="00E640D4"/>
    <w:rsid w:val="00E6453A"/>
    <w:rsid w:val="00E648C7"/>
    <w:rsid w:val="00E649E0"/>
    <w:rsid w:val="00E64D22"/>
    <w:rsid w:val="00E64DDF"/>
    <w:rsid w:val="00E6503E"/>
    <w:rsid w:val="00E650AC"/>
    <w:rsid w:val="00E65BB4"/>
    <w:rsid w:val="00E65C6C"/>
    <w:rsid w:val="00E66931"/>
    <w:rsid w:val="00E66F88"/>
    <w:rsid w:val="00E67342"/>
    <w:rsid w:val="00E67616"/>
    <w:rsid w:val="00E67853"/>
    <w:rsid w:val="00E67ADA"/>
    <w:rsid w:val="00E67B81"/>
    <w:rsid w:val="00E67D2A"/>
    <w:rsid w:val="00E70378"/>
    <w:rsid w:val="00E705CC"/>
    <w:rsid w:val="00E7099A"/>
    <w:rsid w:val="00E70B71"/>
    <w:rsid w:val="00E70DED"/>
    <w:rsid w:val="00E71220"/>
    <w:rsid w:val="00E71602"/>
    <w:rsid w:val="00E718C9"/>
    <w:rsid w:val="00E71B05"/>
    <w:rsid w:val="00E7244E"/>
    <w:rsid w:val="00E727D2"/>
    <w:rsid w:val="00E73258"/>
    <w:rsid w:val="00E73627"/>
    <w:rsid w:val="00E73768"/>
    <w:rsid w:val="00E73A5D"/>
    <w:rsid w:val="00E7461D"/>
    <w:rsid w:val="00E747AC"/>
    <w:rsid w:val="00E74B50"/>
    <w:rsid w:val="00E754E4"/>
    <w:rsid w:val="00E7583A"/>
    <w:rsid w:val="00E75D52"/>
    <w:rsid w:val="00E77038"/>
    <w:rsid w:val="00E77C00"/>
    <w:rsid w:val="00E77EB8"/>
    <w:rsid w:val="00E77F0A"/>
    <w:rsid w:val="00E800ED"/>
    <w:rsid w:val="00E80590"/>
    <w:rsid w:val="00E8072F"/>
    <w:rsid w:val="00E80D20"/>
    <w:rsid w:val="00E811DB"/>
    <w:rsid w:val="00E8171D"/>
    <w:rsid w:val="00E81877"/>
    <w:rsid w:val="00E81BA8"/>
    <w:rsid w:val="00E8212C"/>
    <w:rsid w:val="00E823AB"/>
    <w:rsid w:val="00E82E5B"/>
    <w:rsid w:val="00E83209"/>
    <w:rsid w:val="00E835B4"/>
    <w:rsid w:val="00E836B2"/>
    <w:rsid w:val="00E83949"/>
    <w:rsid w:val="00E83BFB"/>
    <w:rsid w:val="00E83CFD"/>
    <w:rsid w:val="00E83E67"/>
    <w:rsid w:val="00E84598"/>
    <w:rsid w:val="00E848C5"/>
    <w:rsid w:val="00E84ADB"/>
    <w:rsid w:val="00E84EF4"/>
    <w:rsid w:val="00E84FAC"/>
    <w:rsid w:val="00E852CF"/>
    <w:rsid w:val="00E8565A"/>
    <w:rsid w:val="00E85675"/>
    <w:rsid w:val="00E86939"/>
    <w:rsid w:val="00E86C3F"/>
    <w:rsid w:val="00E86CA8"/>
    <w:rsid w:val="00E8766F"/>
    <w:rsid w:val="00E90156"/>
    <w:rsid w:val="00E9042B"/>
    <w:rsid w:val="00E909D4"/>
    <w:rsid w:val="00E90E1D"/>
    <w:rsid w:val="00E91032"/>
    <w:rsid w:val="00E9112C"/>
    <w:rsid w:val="00E9136C"/>
    <w:rsid w:val="00E9149B"/>
    <w:rsid w:val="00E918B9"/>
    <w:rsid w:val="00E91DEC"/>
    <w:rsid w:val="00E91E40"/>
    <w:rsid w:val="00E92BB9"/>
    <w:rsid w:val="00E92BC1"/>
    <w:rsid w:val="00E92C0F"/>
    <w:rsid w:val="00E92C24"/>
    <w:rsid w:val="00E93069"/>
    <w:rsid w:val="00E934BF"/>
    <w:rsid w:val="00E93597"/>
    <w:rsid w:val="00E93772"/>
    <w:rsid w:val="00E94187"/>
    <w:rsid w:val="00E9447C"/>
    <w:rsid w:val="00E94CC7"/>
    <w:rsid w:val="00E94D73"/>
    <w:rsid w:val="00E9503B"/>
    <w:rsid w:val="00E9535E"/>
    <w:rsid w:val="00E95695"/>
    <w:rsid w:val="00E95C7C"/>
    <w:rsid w:val="00E96351"/>
    <w:rsid w:val="00E9658E"/>
    <w:rsid w:val="00E9681B"/>
    <w:rsid w:val="00E96B58"/>
    <w:rsid w:val="00E96E5B"/>
    <w:rsid w:val="00E97754"/>
    <w:rsid w:val="00E97AC6"/>
    <w:rsid w:val="00E97BD4"/>
    <w:rsid w:val="00EA0135"/>
    <w:rsid w:val="00EA05D5"/>
    <w:rsid w:val="00EA0A5B"/>
    <w:rsid w:val="00EA10A5"/>
    <w:rsid w:val="00EA17B6"/>
    <w:rsid w:val="00EA18F1"/>
    <w:rsid w:val="00EA1945"/>
    <w:rsid w:val="00EA1B17"/>
    <w:rsid w:val="00EA1DBB"/>
    <w:rsid w:val="00EA1E33"/>
    <w:rsid w:val="00EA1E84"/>
    <w:rsid w:val="00EA25FF"/>
    <w:rsid w:val="00EA2AC6"/>
    <w:rsid w:val="00EA2B9F"/>
    <w:rsid w:val="00EA348D"/>
    <w:rsid w:val="00EA35C4"/>
    <w:rsid w:val="00EA3606"/>
    <w:rsid w:val="00EA369E"/>
    <w:rsid w:val="00EA3A34"/>
    <w:rsid w:val="00EA4424"/>
    <w:rsid w:val="00EA4475"/>
    <w:rsid w:val="00EA4B34"/>
    <w:rsid w:val="00EA5772"/>
    <w:rsid w:val="00EA5C88"/>
    <w:rsid w:val="00EA619E"/>
    <w:rsid w:val="00EA68A4"/>
    <w:rsid w:val="00EA7284"/>
    <w:rsid w:val="00EA7960"/>
    <w:rsid w:val="00EA7C4C"/>
    <w:rsid w:val="00EB0CC9"/>
    <w:rsid w:val="00EB0CDC"/>
    <w:rsid w:val="00EB0D9A"/>
    <w:rsid w:val="00EB0DC3"/>
    <w:rsid w:val="00EB1098"/>
    <w:rsid w:val="00EB1330"/>
    <w:rsid w:val="00EB1B98"/>
    <w:rsid w:val="00EB2188"/>
    <w:rsid w:val="00EB23AE"/>
    <w:rsid w:val="00EB2E0F"/>
    <w:rsid w:val="00EB2F03"/>
    <w:rsid w:val="00EB3135"/>
    <w:rsid w:val="00EB349D"/>
    <w:rsid w:val="00EB45A7"/>
    <w:rsid w:val="00EB4683"/>
    <w:rsid w:val="00EB4FB8"/>
    <w:rsid w:val="00EB543F"/>
    <w:rsid w:val="00EB56B1"/>
    <w:rsid w:val="00EB5A30"/>
    <w:rsid w:val="00EB5CF1"/>
    <w:rsid w:val="00EB68F8"/>
    <w:rsid w:val="00EB6A6A"/>
    <w:rsid w:val="00EB6FF2"/>
    <w:rsid w:val="00EB7F43"/>
    <w:rsid w:val="00EC0A5C"/>
    <w:rsid w:val="00EC105F"/>
    <w:rsid w:val="00EC1675"/>
    <w:rsid w:val="00EC18E6"/>
    <w:rsid w:val="00EC243C"/>
    <w:rsid w:val="00EC25D8"/>
    <w:rsid w:val="00EC2929"/>
    <w:rsid w:val="00EC2A27"/>
    <w:rsid w:val="00EC33FA"/>
    <w:rsid w:val="00EC36C5"/>
    <w:rsid w:val="00EC3B8D"/>
    <w:rsid w:val="00EC3F4B"/>
    <w:rsid w:val="00EC4379"/>
    <w:rsid w:val="00EC442A"/>
    <w:rsid w:val="00EC458C"/>
    <w:rsid w:val="00EC4C93"/>
    <w:rsid w:val="00EC5988"/>
    <w:rsid w:val="00EC5CF9"/>
    <w:rsid w:val="00EC5EB6"/>
    <w:rsid w:val="00EC5F1F"/>
    <w:rsid w:val="00EC6474"/>
    <w:rsid w:val="00EC6530"/>
    <w:rsid w:val="00EC6B6B"/>
    <w:rsid w:val="00EC6BC1"/>
    <w:rsid w:val="00EC6C26"/>
    <w:rsid w:val="00EC6F12"/>
    <w:rsid w:val="00EC7257"/>
    <w:rsid w:val="00EC7329"/>
    <w:rsid w:val="00EC7C45"/>
    <w:rsid w:val="00ED0342"/>
    <w:rsid w:val="00ED0759"/>
    <w:rsid w:val="00ED10DF"/>
    <w:rsid w:val="00ED1239"/>
    <w:rsid w:val="00ED1806"/>
    <w:rsid w:val="00ED3125"/>
    <w:rsid w:val="00ED31E8"/>
    <w:rsid w:val="00ED372A"/>
    <w:rsid w:val="00ED383D"/>
    <w:rsid w:val="00ED42B5"/>
    <w:rsid w:val="00ED44A3"/>
    <w:rsid w:val="00ED4814"/>
    <w:rsid w:val="00ED50DE"/>
    <w:rsid w:val="00ED53EB"/>
    <w:rsid w:val="00ED5637"/>
    <w:rsid w:val="00ED5C72"/>
    <w:rsid w:val="00ED5DFB"/>
    <w:rsid w:val="00ED5EA8"/>
    <w:rsid w:val="00ED7034"/>
    <w:rsid w:val="00ED7106"/>
    <w:rsid w:val="00ED71F7"/>
    <w:rsid w:val="00ED74A5"/>
    <w:rsid w:val="00ED7570"/>
    <w:rsid w:val="00ED759E"/>
    <w:rsid w:val="00ED75A9"/>
    <w:rsid w:val="00ED7EEA"/>
    <w:rsid w:val="00EE01DB"/>
    <w:rsid w:val="00EE039E"/>
    <w:rsid w:val="00EE0439"/>
    <w:rsid w:val="00EE0619"/>
    <w:rsid w:val="00EE0A56"/>
    <w:rsid w:val="00EE0AD6"/>
    <w:rsid w:val="00EE0B85"/>
    <w:rsid w:val="00EE0BAC"/>
    <w:rsid w:val="00EE1B6B"/>
    <w:rsid w:val="00EE1DA3"/>
    <w:rsid w:val="00EE252D"/>
    <w:rsid w:val="00EE2DDA"/>
    <w:rsid w:val="00EE2E1D"/>
    <w:rsid w:val="00EE300F"/>
    <w:rsid w:val="00EE3199"/>
    <w:rsid w:val="00EE3B57"/>
    <w:rsid w:val="00EE3E09"/>
    <w:rsid w:val="00EE4103"/>
    <w:rsid w:val="00EE42C3"/>
    <w:rsid w:val="00EE487A"/>
    <w:rsid w:val="00EE4DB1"/>
    <w:rsid w:val="00EE520D"/>
    <w:rsid w:val="00EE5AC7"/>
    <w:rsid w:val="00EE6137"/>
    <w:rsid w:val="00EE634C"/>
    <w:rsid w:val="00EE674B"/>
    <w:rsid w:val="00EE71C8"/>
    <w:rsid w:val="00EE737F"/>
    <w:rsid w:val="00EE767B"/>
    <w:rsid w:val="00EE767E"/>
    <w:rsid w:val="00EE76ED"/>
    <w:rsid w:val="00EE7B24"/>
    <w:rsid w:val="00EF0013"/>
    <w:rsid w:val="00EF0BC9"/>
    <w:rsid w:val="00EF11D4"/>
    <w:rsid w:val="00EF1526"/>
    <w:rsid w:val="00EF2092"/>
    <w:rsid w:val="00EF29FE"/>
    <w:rsid w:val="00EF2F49"/>
    <w:rsid w:val="00EF310B"/>
    <w:rsid w:val="00EF3A75"/>
    <w:rsid w:val="00EF3D0C"/>
    <w:rsid w:val="00EF450D"/>
    <w:rsid w:val="00EF45D7"/>
    <w:rsid w:val="00EF4611"/>
    <w:rsid w:val="00EF47C3"/>
    <w:rsid w:val="00EF48BC"/>
    <w:rsid w:val="00EF4967"/>
    <w:rsid w:val="00EF4B4A"/>
    <w:rsid w:val="00EF541C"/>
    <w:rsid w:val="00EF5A9C"/>
    <w:rsid w:val="00EF5C74"/>
    <w:rsid w:val="00EF6FB7"/>
    <w:rsid w:val="00EF6FC3"/>
    <w:rsid w:val="00EF71BD"/>
    <w:rsid w:val="00EF72CB"/>
    <w:rsid w:val="00EF736B"/>
    <w:rsid w:val="00EF74A5"/>
    <w:rsid w:val="00EF7AA8"/>
    <w:rsid w:val="00F0039A"/>
    <w:rsid w:val="00F008B6"/>
    <w:rsid w:val="00F0093A"/>
    <w:rsid w:val="00F00CD6"/>
    <w:rsid w:val="00F00F8C"/>
    <w:rsid w:val="00F01233"/>
    <w:rsid w:val="00F017E4"/>
    <w:rsid w:val="00F01F50"/>
    <w:rsid w:val="00F02370"/>
    <w:rsid w:val="00F02871"/>
    <w:rsid w:val="00F029BA"/>
    <w:rsid w:val="00F02AC7"/>
    <w:rsid w:val="00F02C83"/>
    <w:rsid w:val="00F0301F"/>
    <w:rsid w:val="00F032DC"/>
    <w:rsid w:val="00F03DFF"/>
    <w:rsid w:val="00F03E8D"/>
    <w:rsid w:val="00F0422A"/>
    <w:rsid w:val="00F049F3"/>
    <w:rsid w:val="00F04AF2"/>
    <w:rsid w:val="00F04E85"/>
    <w:rsid w:val="00F04EE0"/>
    <w:rsid w:val="00F050AF"/>
    <w:rsid w:val="00F05C75"/>
    <w:rsid w:val="00F05E9D"/>
    <w:rsid w:val="00F066D7"/>
    <w:rsid w:val="00F0681C"/>
    <w:rsid w:val="00F06B37"/>
    <w:rsid w:val="00F06DF9"/>
    <w:rsid w:val="00F06F97"/>
    <w:rsid w:val="00F07174"/>
    <w:rsid w:val="00F0728D"/>
    <w:rsid w:val="00F07843"/>
    <w:rsid w:val="00F07F57"/>
    <w:rsid w:val="00F10131"/>
    <w:rsid w:val="00F107B8"/>
    <w:rsid w:val="00F10BFD"/>
    <w:rsid w:val="00F10D66"/>
    <w:rsid w:val="00F10FBB"/>
    <w:rsid w:val="00F112BC"/>
    <w:rsid w:val="00F1166E"/>
    <w:rsid w:val="00F11EC8"/>
    <w:rsid w:val="00F11F2E"/>
    <w:rsid w:val="00F12084"/>
    <w:rsid w:val="00F12702"/>
    <w:rsid w:val="00F128CE"/>
    <w:rsid w:val="00F12C6F"/>
    <w:rsid w:val="00F13286"/>
    <w:rsid w:val="00F143F5"/>
    <w:rsid w:val="00F1478E"/>
    <w:rsid w:val="00F14A28"/>
    <w:rsid w:val="00F14A98"/>
    <w:rsid w:val="00F14C76"/>
    <w:rsid w:val="00F14CBB"/>
    <w:rsid w:val="00F15510"/>
    <w:rsid w:val="00F15596"/>
    <w:rsid w:val="00F15AD5"/>
    <w:rsid w:val="00F15F0F"/>
    <w:rsid w:val="00F161E1"/>
    <w:rsid w:val="00F1621C"/>
    <w:rsid w:val="00F164D6"/>
    <w:rsid w:val="00F16BFF"/>
    <w:rsid w:val="00F17518"/>
    <w:rsid w:val="00F17E92"/>
    <w:rsid w:val="00F17FB8"/>
    <w:rsid w:val="00F20241"/>
    <w:rsid w:val="00F20D01"/>
    <w:rsid w:val="00F21296"/>
    <w:rsid w:val="00F21486"/>
    <w:rsid w:val="00F217FD"/>
    <w:rsid w:val="00F21906"/>
    <w:rsid w:val="00F2193C"/>
    <w:rsid w:val="00F21E9D"/>
    <w:rsid w:val="00F22117"/>
    <w:rsid w:val="00F221BC"/>
    <w:rsid w:val="00F2235F"/>
    <w:rsid w:val="00F22726"/>
    <w:rsid w:val="00F228E8"/>
    <w:rsid w:val="00F22D56"/>
    <w:rsid w:val="00F23340"/>
    <w:rsid w:val="00F23397"/>
    <w:rsid w:val="00F2356E"/>
    <w:rsid w:val="00F23D17"/>
    <w:rsid w:val="00F2482F"/>
    <w:rsid w:val="00F24F26"/>
    <w:rsid w:val="00F25323"/>
    <w:rsid w:val="00F2554E"/>
    <w:rsid w:val="00F25BC2"/>
    <w:rsid w:val="00F2604A"/>
    <w:rsid w:val="00F26501"/>
    <w:rsid w:val="00F265E6"/>
    <w:rsid w:val="00F26675"/>
    <w:rsid w:val="00F2709B"/>
    <w:rsid w:val="00F27238"/>
    <w:rsid w:val="00F2765F"/>
    <w:rsid w:val="00F27875"/>
    <w:rsid w:val="00F279CE"/>
    <w:rsid w:val="00F301ED"/>
    <w:rsid w:val="00F302FE"/>
    <w:rsid w:val="00F303E3"/>
    <w:rsid w:val="00F30D13"/>
    <w:rsid w:val="00F30E8A"/>
    <w:rsid w:val="00F30F77"/>
    <w:rsid w:val="00F31123"/>
    <w:rsid w:val="00F3147C"/>
    <w:rsid w:val="00F320F1"/>
    <w:rsid w:val="00F3226F"/>
    <w:rsid w:val="00F32DAB"/>
    <w:rsid w:val="00F33051"/>
    <w:rsid w:val="00F33233"/>
    <w:rsid w:val="00F3371B"/>
    <w:rsid w:val="00F33744"/>
    <w:rsid w:val="00F33B90"/>
    <w:rsid w:val="00F33F0C"/>
    <w:rsid w:val="00F3431C"/>
    <w:rsid w:val="00F35D62"/>
    <w:rsid w:val="00F36097"/>
    <w:rsid w:val="00F36151"/>
    <w:rsid w:val="00F3664C"/>
    <w:rsid w:val="00F36826"/>
    <w:rsid w:val="00F36AF3"/>
    <w:rsid w:val="00F37149"/>
    <w:rsid w:val="00F3745C"/>
    <w:rsid w:val="00F3748B"/>
    <w:rsid w:val="00F37B45"/>
    <w:rsid w:val="00F37C4B"/>
    <w:rsid w:val="00F400D4"/>
    <w:rsid w:val="00F40220"/>
    <w:rsid w:val="00F4046C"/>
    <w:rsid w:val="00F406F8"/>
    <w:rsid w:val="00F4077C"/>
    <w:rsid w:val="00F40D4A"/>
    <w:rsid w:val="00F40F3E"/>
    <w:rsid w:val="00F416A5"/>
    <w:rsid w:val="00F41BD5"/>
    <w:rsid w:val="00F41FAA"/>
    <w:rsid w:val="00F42366"/>
    <w:rsid w:val="00F42C90"/>
    <w:rsid w:val="00F42F9A"/>
    <w:rsid w:val="00F43508"/>
    <w:rsid w:val="00F43679"/>
    <w:rsid w:val="00F43826"/>
    <w:rsid w:val="00F43E2B"/>
    <w:rsid w:val="00F43F8B"/>
    <w:rsid w:val="00F442B1"/>
    <w:rsid w:val="00F44467"/>
    <w:rsid w:val="00F44806"/>
    <w:rsid w:val="00F44AA0"/>
    <w:rsid w:val="00F44C34"/>
    <w:rsid w:val="00F45303"/>
    <w:rsid w:val="00F456A8"/>
    <w:rsid w:val="00F459E9"/>
    <w:rsid w:val="00F45BD1"/>
    <w:rsid w:val="00F45C32"/>
    <w:rsid w:val="00F45CE2"/>
    <w:rsid w:val="00F45D39"/>
    <w:rsid w:val="00F4637F"/>
    <w:rsid w:val="00F46506"/>
    <w:rsid w:val="00F46726"/>
    <w:rsid w:val="00F4689B"/>
    <w:rsid w:val="00F46B54"/>
    <w:rsid w:val="00F46E96"/>
    <w:rsid w:val="00F472F6"/>
    <w:rsid w:val="00F475EE"/>
    <w:rsid w:val="00F4760C"/>
    <w:rsid w:val="00F47660"/>
    <w:rsid w:val="00F4777D"/>
    <w:rsid w:val="00F47A2C"/>
    <w:rsid w:val="00F47D10"/>
    <w:rsid w:val="00F5009E"/>
    <w:rsid w:val="00F50478"/>
    <w:rsid w:val="00F508C1"/>
    <w:rsid w:val="00F50F36"/>
    <w:rsid w:val="00F512C3"/>
    <w:rsid w:val="00F5138E"/>
    <w:rsid w:val="00F517FD"/>
    <w:rsid w:val="00F51B4E"/>
    <w:rsid w:val="00F51E29"/>
    <w:rsid w:val="00F5204E"/>
    <w:rsid w:val="00F52181"/>
    <w:rsid w:val="00F529BF"/>
    <w:rsid w:val="00F53903"/>
    <w:rsid w:val="00F53C64"/>
    <w:rsid w:val="00F53DDB"/>
    <w:rsid w:val="00F5409B"/>
    <w:rsid w:val="00F545FE"/>
    <w:rsid w:val="00F54874"/>
    <w:rsid w:val="00F54942"/>
    <w:rsid w:val="00F54AF1"/>
    <w:rsid w:val="00F54EFC"/>
    <w:rsid w:val="00F55209"/>
    <w:rsid w:val="00F55344"/>
    <w:rsid w:val="00F55C12"/>
    <w:rsid w:val="00F55EC6"/>
    <w:rsid w:val="00F55FF7"/>
    <w:rsid w:val="00F56754"/>
    <w:rsid w:val="00F56AF3"/>
    <w:rsid w:val="00F56D12"/>
    <w:rsid w:val="00F56DD4"/>
    <w:rsid w:val="00F56DFE"/>
    <w:rsid w:val="00F571F2"/>
    <w:rsid w:val="00F574A1"/>
    <w:rsid w:val="00F57B24"/>
    <w:rsid w:val="00F602AB"/>
    <w:rsid w:val="00F603CA"/>
    <w:rsid w:val="00F60852"/>
    <w:rsid w:val="00F60903"/>
    <w:rsid w:val="00F60E89"/>
    <w:rsid w:val="00F61EE4"/>
    <w:rsid w:val="00F6318B"/>
    <w:rsid w:val="00F6377A"/>
    <w:rsid w:val="00F63A69"/>
    <w:rsid w:val="00F642F0"/>
    <w:rsid w:val="00F64703"/>
    <w:rsid w:val="00F647C9"/>
    <w:rsid w:val="00F64B4C"/>
    <w:rsid w:val="00F64E64"/>
    <w:rsid w:val="00F6615C"/>
    <w:rsid w:val="00F668DF"/>
    <w:rsid w:val="00F66B2E"/>
    <w:rsid w:val="00F674F5"/>
    <w:rsid w:val="00F67A7B"/>
    <w:rsid w:val="00F67D61"/>
    <w:rsid w:val="00F700D7"/>
    <w:rsid w:val="00F70486"/>
    <w:rsid w:val="00F7080E"/>
    <w:rsid w:val="00F70862"/>
    <w:rsid w:val="00F70B38"/>
    <w:rsid w:val="00F70F8D"/>
    <w:rsid w:val="00F710A1"/>
    <w:rsid w:val="00F7121D"/>
    <w:rsid w:val="00F712B8"/>
    <w:rsid w:val="00F7139E"/>
    <w:rsid w:val="00F7144B"/>
    <w:rsid w:val="00F71693"/>
    <w:rsid w:val="00F718A1"/>
    <w:rsid w:val="00F722D9"/>
    <w:rsid w:val="00F722FC"/>
    <w:rsid w:val="00F72744"/>
    <w:rsid w:val="00F73201"/>
    <w:rsid w:val="00F73505"/>
    <w:rsid w:val="00F735CD"/>
    <w:rsid w:val="00F736EB"/>
    <w:rsid w:val="00F73C3D"/>
    <w:rsid w:val="00F73CB4"/>
    <w:rsid w:val="00F73E18"/>
    <w:rsid w:val="00F74231"/>
    <w:rsid w:val="00F7437E"/>
    <w:rsid w:val="00F7438A"/>
    <w:rsid w:val="00F746AF"/>
    <w:rsid w:val="00F746FB"/>
    <w:rsid w:val="00F748FD"/>
    <w:rsid w:val="00F74B88"/>
    <w:rsid w:val="00F74F5C"/>
    <w:rsid w:val="00F751FD"/>
    <w:rsid w:val="00F75D5E"/>
    <w:rsid w:val="00F75F63"/>
    <w:rsid w:val="00F7606B"/>
    <w:rsid w:val="00F7637D"/>
    <w:rsid w:val="00F763F3"/>
    <w:rsid w:val="00F7691F"/>
    <w:rsid w:val="00F772D0"/>
    <w:rsid w:val="00F77630"/>
    <w:rsid w:val="00F779BA"/>
    <w:rsid w:val="00F77A1B"/>
    <w:rsid w:val="00F77C4D"/>
    <w:rsid w:val="00F77F4A"/>
    <w:rsid w:val="00F807C9"/>
    <w:rsid w:val="00F80B9E"/>
    <w:rsid w:val="00F80F70"/>
    <w:rsid w:val="00F813BA"/>
    <w:rsid w:val="00F81E30"/>
    <w:rsid w:val="00F821B2"/>
    <w:rsid w:val="00F82630"/>
    <w:rsid w:val="00F82C75"/>
    <w:rsid w:val="00F8347D"/>
    <w:rsid w:val="00F838EB"/>
    <w:rsid w:val="00F83A8A"/>
    <w:rsid w:val="00F83F45"/>
    <w:rsid w:val="00F83FBE"/>
    <w:rsid w:val="00F847EA"/>
    <w:rsid w:val="00F848EF"/>
    <w:rsid w:val="00F849E3"/>
    <w:rsid w:val="00F852BD"/>
    <w:rsid w:val="00F852F4"/>
    <w:rsid w:val="00F85662"/>
    <w:rsid w:val="00F85CCF"/>
    <w:rsid w:val="00F85F59"/>
    <w:rsid w:val="00F86526"/>
    <w:rsid w:val="00F86669"/>
    <w:rsid w:val="00F866A0"/>
    <w:rsid w:val="00F866B1"/>
    <w:rsid w:val="00F8690F"/>
    <w:rsid w:val="00F870E3"/>
    <w:rsid w:val="00F874A9"/>
    <w:rsid w:val="00F877EA"/>
    <w:rsid w:val="00F90A38"/>
    <w:rsid w:val="00F90B95"/>
    <w:rsid w:val="00F913CB"/>
    <w:rsid w:val="00F91465"/>
    <w:rsid w:val="00F91683"/>
    <w:rsid w:val="00F9187E"/>
    <w:rsid w:val="00F91A45"/>
    <w:rsid w:val="00F91D9A"/>
    <w:rsid w:val="00F91E3F"/>
    <w:rsid w:val="00F91E8A"/>
    <w:rsid w:val="00F922F5"/>
    <w:rsid w:val="00F9259F"/>
    <w:rsid w:val="00F92A0C"/>
    <w:rsid w:val="00F92BBE"/>
    <w:rsid w:val="00F92C73"/>
    <w:rsid w:val="00F92E27"/>
    <w:rsid w:val="00F93325"/>
    <w:rsid w:val="00F93EE5"/>
    <w:rsid w:val="00F94B6A"/>
    <w:rsid w:val="00F94B93"/>
    <w:rsid w:val="00F9523F"/>
    <w:rsid w:val="00F958E3"/>
    <w:rsid w:val="00F959DB"/>
    <w:rsid w:val="00F95C16"/>
    <w:rsid w:val="00F95F51"/>
    <w:rsid w:val="00F96290"/>
    <w:rsid w:val="00F968AC"/>
    <w:rsid w:val="00F968C9"/>
    <w:rsid w:val="00F96B30"/>
    <w:rsid w:val="00F96FB5"/>
    <w:rsid w:val="00FA04FF"/>
    <w:rsid w:val="00FA0A3D"/>
    <w:rsid w:val="00FA106C"/>
    <w:rsid w:val="00FA12C0"/>
    <w:rsid w:val="00FA17DE"/>
    <w:rsid w:val="00FA1C96"/>
    <w:rsid w:val="00FA20B3"/>
    <w:rsid w:val="00FA2148"/>
    <w:rsid w:val="00FA2344"/>
    <w:rsid w:val="00FA2603"/>
    <w:rsid w:val="00FA2A61"/>
    <w:rsid w:val="00FA2A6E"/>
    <w:rsid w:val="00FA2DB9"/>
    <w:rsid w:val="00FA2E58"/>
    <w:rsid w:val="00FA331F"/>
    <w:rsid w:val="00FA3E1D"/>
    <w:rsid w:val="00FA46C1"/>
    <w:rsid w:val="00FA4B12"/>
    <w:rsid w:val="00FA4DD8"/>
    <w:rsid w:val="00FA4E1E"/>
    <w:rsid w:val="00FA5411"/>
    <w:rsid w:val="00FA54C8"/>
    <w:rsid w:val="00FA618C"/>
    <w:rsid w:val="00FA61D8"/>
    <w:rsid w:val="00FA6B30"/>
    <w:rsid w:val="00FA6B6A"/>
    <w:rsid w:val="00FA6DEA"/>
    <w:rsid w:val="00FA77A5"/>
    <w:rsid w:val="00FA7955"/>
    <w:rsid w:val="00FA7E79"/>
    <w:rsid w:val="00FB05E1"/>
    <w:rsid w:val="00FB0C6E"/>
    <w:rsid w:val="00FB125E"/>
    <w:rsid w:val="00FB150D"/>
    <w:rsid w:val="00FB165F"/>
    <w:rsid w:val="00FB1BAA"/>
    <w:rsid w:val="00FB20CD"/>
    <w:rsid w:val="00FB222A"/>
    <w:rsid w:val="00FB29F6"/>
    <w:rsid w:val="00FB2BA3"/>
    <w:rsid w:val="00FB2FD0"/>
    <w:rsid w:val="00FB33AC"/>
    <w:rsid w:val="00FB3400"/>
    <w:rsid w:val="00FB3509"/>
    <w:rsid w:val="00FB364D"/>
    <w:rsid w:val="00FB3688"/>
    <w:rsid w:val="00FB3D8A"/>
    <w:rsid w:val="00FB3E31"/>
    <w:rsid w:val="00FB43F0"/>
    <w:rsid w:val="00FB4913"/>
    <w:rsid w:val="00FB4EF8"/>
    <w:rsid w:val="00FB50A7"/>
    <w:rsid w:val="00FB5CF2"/>
    <w:rsid w:val="00FB5E10"/>
    <w:rsid w:val="00FB624E"/>
    <w:rsid w:val="00FB648A"/>
    <w:rsid w:val="00FB65F9"/>
    <w:rsid w:val="00FB6BC2"/>
    <w:rsid w:val="00FB6D52"/>
    <w:rsid w:val="00FB6DE2"/>
    <w:rsid w:val="00FB6F8A"/>
    <w:rsid w:val="00FB715E"/>
    <w:rsid w:val="00FB72E4"/>
    <w:rsid w:val="00FB73C0"/>
    <w:rsid w:val="00FB7784"/>
    <w:rsid w:val="00FB7F41"/>
    <w:rsid w:val="00FC0206"/>
    <w:rsid w:val="00FC0C72"/>
    <w:rsid w:val="00FC0D62"/>
    <w:rsid w:val="00FC0EB1"/>
    <w:rsid w:val="00FC1549"/>
    <w:rsid w:val="00FC1618"/>
    <w:rsid w:val="00FC18FD"/>
    <w:rsid w:val="00FC19B0"/>
    <w:rsid w:val="00FC1C79"/>
    <w:rsid w:val="00FC23DD"/>
    <w:rsid w:val="00FC2950"/>
    <w:rsid w:val="00FC330C"/>
    <w:rsid w:val="00FC37B9"/>
    <w:rsid w:val="00FC38B2"/>
    <w:rsid w:val="00FC3A49"/>
    <w:rsid w:val="00FC3B08"/>
    <w:rsid w:val="00FC42D3"/>
    <w:rsid w:val="00FC486B"/>
    <w:rsid w:val="00FC4C85"/>
    <w:rsid w:val="00FC520C"/>
    <w:rsid w:val="00FC534A"/>
    <w:rsid w:val="00FC54D5"/>
    <w:rsid w:val="00FC5540"/>
    <w:rsid w:val="00FC564A"/>
    <w:rsid w:val="00FC63EA"/>
    <w:rsid w:val="00FC6553"/>
    <w:rsid w:val="00FC65A7"/>
    <w:rsid w:val="00FC668A"/>
    <w:rsid w:val="00FC6B4A"/>
    <w:rsid w:val="00FC6D1B"/>
    <w:rsid w:val="00FC7375"/>
    <w:rsid w:val="00FC7C90"/>
    <w:rsid w:val="00FD009B"/>
    <w:rsid w:val="00FD0142"/>
    <w:rsid w:val="00FD0291"/>
    <w:rsid w:val="00FD04B7"/>
    <w:rsid w:val="00FD0851"/>
    <w:rsid w:val="00FD0E93"/>
    <w:rsid w:val="00FD0EBA"/>
    <w:rsid w:val="00FD107E"/>
    <w:rsid w:val="00FD1D87"/>
    <w:rsid w:val="00FD2F0A"/>
    <w:rsid w:val="00FD33B5"/>
    <w:rsid w:val="00FD33D9"/>
    <w:rsid w:val="00FD35CC"/>
    <w:rsid w:val="00FD3F5B"/>
    <w:rsid w:val="00FD4191"/>
    <w:rsid w:val="00FD4426"/>
    <w:rsid w:val="00FD447A"/>
    <w:rsid w:val="00FD46A6"/>
    <w:rsid w:val="00FD4887"/>
    <w:rsid w:val="00FD5010"/>
    <w:rsid w:val="00FD508A"/>
    <w:rsid w:val="00FD546D"/>
    <w:rsid w:val="00FD549B"/>
    <w:rsid w:val="00FD57C2"/>
    <w:rsid w:val="00FD5A4D"/>
    <w:rsid w:val="00FD6286"/>
    <w:rsid w:val="00FD629F"/>
    <w:rsid w:val="00FD63CE"/>
    <w:rsid w:val="00FD6458"/>
    <w:rsid w:val="00FD645D"/>
    <w:rsid w:val="00FD68DC"/>
    <w:rsid w:val="00FD76C3"/>
    <w:rsid w:val="00FD7B72"/>
    <w:rsid w:val="00FE0679"/>
    <w:rsid w:val="00FE06FE"/>
    <w:rsid w:val="00FE07ED"/>
    <w:rsid w:val="00FE0844"/>
    <w:rsid w:val="00FE0F1B"/>
    <w:rsid w:val="00FE14CF"/>
    <w:rsid w:val="00FE172D"/>
    <w:rsid w:val="00FE1985"/>
    <w:rsid w:val="00FE199C"/>
    <w:rsid w:val="00FE1BE6"/>
    <w:rsid w:val="00FE1E3E"/>
    <w:rsid w:val="00FE2142"/>
    <w:rsid w:val="00FE21D2"/>
    <w:rsid w:val="00FE2375"/>
    <w:rsid w:val="00FE2B13"/>
    <w:rsid w:val="00FE2C1B"/>
    <w:rsid w:val="00FE2C2F"/>
    <w:rsid w:val="00FE2CBB"/>
    <w:rsid w:val="00FE31EB"/>
    <w:rsid w:val="00FE3AC9"/>
    <w:rsid w:val="00FE3BF0"/>
    <w:rsid w:val="00FE4037"/>
    <w:rsid w:val="00FE45C0"/>
    <w:rsid w:val="00FE4640"/>
    <w:rsid w:val="00FE4ED1"/>
    <w:rsid w:val="00FE5244"/>
    <w:rsid w:val="00FE5979"/>
    <w:rsid w:val="00FE5ACA"/>
    <w:rsid w:val="00FE5C42"/>
    <w:rsid w:val="00FE5D19"/>
    <w:rsid w:val="00FE6189"/>
    <w:rsid w:val="00FE6ACB"/>
    <w:rsid w:val="00FE6B3B"/>
    <w:rsid w:val="00FE6C5B"/>
    <w:rsid w:val="00FE7129"/>
    <w:rsid w:val="00FE767F"/>
    <w:rsid w:val="00FE78FD"/>
    <w:rsid w:val="00FE7BCC"/>
    <w:rsid w:val="00FF022D"/>
    <w:rsid w:val="00FF028A"/>
    <w:rsid w:val="00FF03F3"/>
    <w:rsid w:val="00FF08AB"/>
    <w:rsid w:val="00FF0EE5"/>
    <w:rsid w:val="00FF10F0"/>
    <w:rsid w:val="00FF122A"/>
    <w:rsid w:val="00FF1869"/>
    <w:rsid w:val="00FF1D12"/>
    <w:rsid w:val="00FF1FCB"/>
    <w:rsid w:val="00FF2047"/>
    <w:rsid w:val="00FF26F6"/>
    <w:rsid w:val="00FF2C73"/>
    <w:rsid w:val="00FF31F9"/>
    <w:rsid w:val="00FF3610"/>
    <w:rsid w:val="00FF3859"/>
    <w:rsid w:val="00FF3BA1"/>
    <w:rsid w:val="00FF433E"/>
    <w:rsid w:val="00FF4458"/>
    <w:rsid w:val="00FF4512"/>
    <w:rsid w:val="00FF4D52"/>
    <w:rsid w:val="00FF4F84"/>
    <w:rsid w:val="00FF55CD"/>
    <w:rsid w:val="00FF618D"/>
    <w:rsid w:val="00FF6388"/>
    <w:rsid w:val="00FF64BD"/>
    <w:rsid w:val="00FF6869"/>
    <w:rsid w:val="00FF6B05"/>
    <w:rsid w:val="00FF6C1C"/>
    <w:rsid w:val="00FF6CB1"/>
    <w:rsid w:val="00FF6F11"/>
    <w:rsid w:val="00FF7537"/>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1934E"/>
  <w15:docId w15:val="{AC9D5D26-4690-48C4-8F41-9D1255528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F06"/>
    <w:rPr>
      <w:rFonts w:ascii="宋体" w:hAnsi="宋体" w:cs="宋体"/>
      <w:sz w:val="21"/>
      <w:szCs w:val="24"/>
    </w:rPr>
  </w:style>
  <w:style w:type="paragraph" w:styleId="10">
    <w:name w:val="heading 1"/>
    <w:basedOn w:val="a"/>
    <w:next w:val="a"/>
    <w:link w:val="11"/>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0"/>
    <w:qFormat/>
    <w:rsid w:val="000C4401"/>
    <w:pPr>
      <w:keepNext/>
      <w:keepLines/>
      <w:widowControl w:val="0"/>
      <w:spacing w:before="60" w:after="60"/>
      <w:ind w:left="200" w:hangingChars="200" w:hanging="200"/>
      <w:jc w:val="both"/>
      <w:outlineLvl w:val="1"/>
    </w:pPr>
    <w:rPr>
      <w:rFonts w:ascii="Arial" w:hAnsi="Arial" w:cs="Times New Roman"/>
      <w:b/>
      <w:bCs/>
      <w:kern w:val="2"/>
      <w:szCs w:val="21"/>
    </w:rPr>
  </w:style>
  <w:style w:type="paragraph" w:styleId="3">
    <w:name w:val="heading 3"/>
    <w:basedOn w:val="a"/>
    <w:next w:val="a"/>
    <w:link w:val="30"/>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0"/>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styleId="5">
    <w:name w:val="heading 5"/>
    <w:basedOn w:val="a"/>
    <w:next w:val="a"/>
    <w:link w:val="50"/>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0"/>
    <w:uiPriority w:val="9"/>
    <w:unhideWhenUsed/>
    <w:qFormat/>
    <w:rsid w:val="005B5D50"/>
    <w:pPr>
      <w:keepNext/>
      <w:keepLines/>
      <w:spacing w:before="60" w:after="60"/>
      <w:outlineLvl w:val="5"/>
    </w:pPr>
    <w:rPr>
      <w:rFonts w:asciiTheme="majorHAnsi" w:hAnsiTheme="majorHAnsi" w:cstheme="majorBidi"/>
      <w:b/>
      <w:bCs/>
    </w:rPr>
  </w:style>
  <w:style w:type="paragraph" w:styleId="7">
    <w:name w:val="heading 7"/>
    <w:basedOn w:val="a"/>
    <w:next w:val="a"/>
    <w:link w:val="70"/>
    <w:uiPriority w:val="9"/>
    <w:unhideWhenUsed/>
    <w:qFormat/>
    <w:rsid w:val="00FD46A6"/>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rsid w:val="005B5D50"/>
    <w:rPr>
      <w:rFonts w:eastAsia="黑体"/>
      <w:b/>
      <w:bCs/>
      <w:kern w:val="44"/>
      <w:sz w:val="28"/>
      <w:szCs w:val="44"/>
    </w:rPr>
  </w:style>
  <w:style w:type="character" w:customStyle="1" w:styleId="20">
    <w:name w:val="标题 2 字符"/>
    <w:aliases w:val="标题 2 Char Char Char 字符"/>
    <w:basedOn w:val="a0"/>
    <w:link w:val="2"/>
    <w:rsid w:val="000C4401"/>
    <w:rPr>
      <w:rFonts w:ascii="Arial" w:hAnsi="Arial"/>
      <w:b/>
      <w:bCs/>
      <w:kern w:val="2"/>
      <w:sz w:val="21"/>
      <w:szCs w:val="21"/>
    </w:rPr>
  </w:style>
  <w:style w:type="character" w:customStyle="1" w:styleId="30">
    <w:name w:val="标题 3 字符"/>
    <w:basedOn w:val="a0"/>
    <w:link w:val="3"/>
    <w:uiPriority w:val="9"/>
    <w:rsid w:val="005B5D50"/>
    <w:rPr>
      <w:b/>
      <w:bCs/>
      <w:kern w:val="2"/>
      <w:sz w:val="21"/>
      <w:szCs w:val="32"/>
    </w:rPr>
  </w:style>
  <w:style w:type="character" w:customStyle="1" w:styleId="40">
    <w:name w:val="标题 4 字符"/>
    <w:basedOn w:val="a0"/>
    <w:link w:val="4"/>
    <w:uiPriority w:val="9"/>
    <w:rsid w:val="005B5D50"/>
    <w:rPr>
      <w:rFonts w:ascii="Cambria" w:hAnsi="Cambria"/>
      <w:b/>
      <w:bCs/>
      <w:kern w:val="2"/>
      <w:sz w:val="21"/>
      <w:szCs w:val="28"/>
    </w:rPr>
  </w:style>
  <w:style w:type="character" w:customStyle="1" w:styleId="50">
    <w:name w:val="标题 5 字符"/>
    <w:basedOn w:val="a0"/>
    <w:link w:val="5"/>
    <w:uiPriority w:val="9"/>
    <w:rsid w:val="00586078"/>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TOC1">
    <w:name w:val="toc 1"/>
    <w:basedOn w:val="a"/>
    <w:next w:val="a"/>
    <w:autoRedefine/>
    <w:uiPriority w:val="39"/>
    <w:qFormat/>
    <w:rsid w:val="009E568A"/>
    <w:pPr>
      <w:widowControl w:val="0"/>
      <w:tabs>
        <w:tab w:val="left" w:pos="1260"/>
        <w:tab w:val="right" w:leader="dot" w:pos="8823"/>
      </w:tabs>
      <w:spacing w:line="360" w:lineRule="auto"/>
      <w:jc w:val="both"/>
    </w:pPr>
    <w:rPr>
      <w:rFonts w:ascii="Times New Roman" w:hAnsi="Times New Roman" w:cs="Times New Roman"/>
      <w:kern w:val="2"/>
      <w:szCs w:val="21"/>
    </w:rPr>
  </w:style>
  <w:style w:type="paragraph" w:styleId="TOC2">
    <w:name w:val="toc 2"/>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a6"/>
    <w:qFormat/>
    <w:rsid w:val="00DD256F"/>
    <w:pPr>
      <w:widowControl w:val="0"/>
    </w:pPr>
    <w:rPr>
      <w:rFonts w:ascii="Times New Roman" w:hAnsi="Times New Roman" w:cs="Times New Roman"/>
      <w:kern w:val="2"/>
      <w:szCs w:val="21"/>
    </w:rPr>
  </w:style>
  <w:style w:type="character" w:customStyle="1" w:styleId="a6">
    <w:name w:val="批注文字 字符"/>
    <w:basedOn w:val="a0"/>
    <w:link w:val="a5"/>
    <w:rsid w:val="00DD256F"/>
    <w:rPr>
      <w:rFonts w:ascii="Times New Roman" w:eastAsia="宋体" w:hAnsi="Times New Roman" w:cs="Times New Roman"/>
      <w:szCs w:val="21"/>
    </w:rPr>
  </w:style>
  <w:style w:type="table" w:styleId="a7">
    <w:name w:val="Table Grid"/>
    <w:basedOn w:val="a1"/>
    <w:link w:val="a8"/>
    <w:uiPriority w:val="59"/>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unhideWhenUsed/>
    <w:rsid w:val="00DD256F"/>
    <w:pPr>
      <w:widowControl w:val="0"/>
      <w:jc w:val="both"/>
    </w:pPr>
    <w:rPr>
      <w:rFonts w:ascii="Calibri" w:hAnsi="Calibri" w:cs="Times New Roman"/>
      <w:kern w:val="2"/>
      <w:sz w:val="18"/>
      <w:szCs w:val="18"/>
    </w:rPr>
  </w:style>
  <w:style w:type="character" w:customStyle="1" w:styleId="aa">
    <w:name w:val="批注框文本 字符"/>
    <w:basedOn w:val="a0"/>
    <w:link w:val="a9"/>
    <w:uiPriority w:val="99"/>
    <w:rsid w:val="00DD256F"/>
    <w:rPr>
      <w:rFonts w:ascii="Calibri" w:eastAsia="宋体" w:hAnsi="Calibri" w:cs="Times New Roman"/>
      <w:sz w:val="18"/>
      <w:szCs w:val="18"/>
    </w:rPr>
  </w:style>
  <w:style w:type="paragraph" w:styleId="ab">
    <w:name w:val="Salutation"/>
    <w:basedOn w:val="a"/>
    <w:next w:val="a"/>
    <w:link w:val="ac"/>
    <w:uiPriority w:val="99"/>
    <w:rsid w:val="00DD256F"/>
    <w:pPr>
      <w:widowControl w:val="0"/>
      <w:jc w:val="both"/>
    </w:pPr>
    <w:rPr>
      <w:rFonts w:ascii="Times New Roman" w:hAnsi="Times New Roman" w:cs="Times New Roman"/>
      <w:kern w:val="2"/>
      <w:szCs w:val="21"/>
    </w:rPr>
  </w:style>
  <w:style w:type="character" w:customStyle="1" w:styleId="ac">
    <w:name w:val="称呼 字符"/>
    <w:basedOn w:val="a0"/>
    <w:link w:val="ab"/>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d">
    <w:name w:val="List Paragraph"/>
    <w:basedOn w:val="a"/>
    <w:link w:val="ae"/>
    <w:uiPriority w:val="34"/>
    <w:qFormat/>
    <w:rsid w:val="00DD256F"/>
    <w:pPr>
      <w:widowControl w:val="0"/>
      <w:ind w:firstLineChars="200" w:firstLine="420"/>
      <w:jc w:val="both"/>
    </w:pPr>
    <w:rPr>
      <w:rFonts w:ascii="Calibri" w:hAnsi="Calibri" w:cs="Times New Roman"/>
      <w:kern w:val="2"/>
      <w:szCs w:val="22"/>
    </w:rPr>
  </w:style>
  <w:style w:type="character" w:customStyle="1" w:styleId="af">
    <w:name w:val="批注主题 字符"/>
    <w:basedOn w:val="a6"/>
    <w:link w:val="af0"/>
    <w:uiPriority w:val="99"/>
    <w:rsid w:val="00DD256F"/>
    <w:rPr>
      <w:rFonts w:ascii="Calibri" w:eastAsia="宋体" w:hAnsi="Calibri" w:cs="Times New Roman"/>
      <w:b/>
      <w:bCs/>
      <w:szCs w:val="21"/>
    </w:rPr>
  </w:style>
  <w:style w:type="paragraph" w:styleId="af0">
    <w:name w:val="annotation subject"/>
    <w:basedOn w:val="a5"/>
    <w:next w:val="a5"/>
    <w:link w:val="af"/>
    <w:uiPriority w:val="99"/>
    <w:unhideWhenUsed/>
    <w:rsid w:val="00DD256F"/>
    <w:rPr>
      <w:rFonts w:ascii="Calibri" w:hAnsi="Calibri"/>
      <w:b/>
      <w:bCs/>
      <w:szCs w:val="22"/>
    </w:rPr>
  </w:style>
  <w:style w:type="paragraph" w:styleId="TOC3">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f1">
    <w:name w:val="header"/>
    <w:basedOn w:val="a"/>
    <w:link w:val="af2"/>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af2">
    <w:name w:val="页眉 字符"/>
    <w:basedOn w:val="a0"/>
    <w:link w:val="af1"/>
    <w:uiPriority w:val="99"/>
    <w:rsid w:val="00DD256F"/>
    <w:rPr>
      <w:rFonts w:ascii="Calibri" w:eastAsia="宋体" w:hAnsi="Calibri" w:cs="Times New Roman"/>
      <w:sz w:val="18"/>
      <w:szCs w:val="18"/>
    </w:rPr>
  </w:style>
  <w:style w:type="paragraph" w:styleId="af3">
    <w:name w:val="footer"/>
    <w:basedOn w:val="a"/>
    <w:link w:val="af4"/>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af4">
    <w:name w:val="页脚 字符"/>
    <w:basedOn w:val="a0"/>
    <w:link w:val="af3"/>
    <w:uiPriority w:val="99"/>
    <w:rsid w:val="00DD256F"/>
    <w:rPr>
      <w:rFonts w:ascii="Calibri" w:eastAsia="宋体" w:hAnsi="Calibri" w:cs="Times New Roman"/>
      <w:sz w:val="18"/>
      <w:szCs w:val="18"/>
    </w:rPr>
  </w:style>
  <w:style w:type="paragraph" w:styleId="af5">
    <w:name w:val="Plain Text"/>
    <w:basedOn w:val="a"/>
    <w:link w:val="af6"/>
    <w:rsid w:val="00DD256F"/>
    <w:pPr>
      <w:widowControl w:val="0"/>
      <w:jc w:val="both"/>
    </w:pPr>
    <w:rPr>
      <w:rFonts w:hAnsi="Courier New" w:cs="Times New Roman"/>
      <w:kern w:val="2"/>
      <w:szCs w:val="20"/>
    </w:rPr>
  </w:style>
  <w:style w:type="character" w:customStyle="1" w:styleId="af6">
    <w:name w:val="纯文本 字符"/>
    <w:basedOn w:val="a0"/>
    <w:link w:val="af5"/>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f7">
    <w:name w:val="Body Text"/>
    <w:basedOn w:val="a"/>
    <w:link w:val="af8"/>
    <w:uiPriority w:val="99"/>
    <w:rsid w:val="00DD256F"/>
    <w:pPr>
      <w:widowControl w:val="0"/>
      <w:spacing w:after="120"/>
      <w:jc w:val="both"/>
    </w:pPr>
    <w:rPr>
      <w:rFonts w:ascii="Times New Roman" w:hAnsi="Times New Roman" w:cs="Times New Roman"/>
      <w:kern w:val="2"/>
      <w:szCs w:val="21"/>
    </w:rPr>
  </w:style>
  <w:style w:type="character" w:customStyle="1" w:styleId="af8">
    <w:name w:val="正文文本 字符"/>
    <w:basedOn w:val="a0"/>
    <w:link w:val="af7"/>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9">
    <w:name w:val="Date"/>
    <w:basedOn w:val="a"/>
    <w:next w:val="a"/>
    <w:link w:val="afa"/>
    <w:uiPriority w:val="99"/>
    <w:rsid w:val="00DD256F"/>
    <w:pPr>
      <w:widowControl w:val="0"/>
      <w:ind w:leftChars="2500" w:left="100"/>
      <w:jc w:val="both"/>
    </w:pPr>
    <w:rPr>
      <w:rFonts w:ascii="Times New Roman" w:hAnsi="Times New Roman" w:cs="Times New Roman"/>
      <w:kern w:val="2"/>
      <w:szCs w:val="21"/>
    </w:rPr>
  </w:style>
  <w:style w:type="character" w:customStyle="1" w:styleId="afa">
    <w:name w:val="日期 字符"/>
    <w:basedOn w:val="a0"/>
    <w:link w:val="af9"/>
    <w:uiPriority w:val="99"/>
    <w:rsid w:val="00DD256F"/>
    <w:rPr>
      <w:rFonts w:ascii="Times New Roman" w:eastAsia="宋体" w:hAnsi="Times New Roman" w:cs="Times New Roman"/>
      <w:szCs w:val="21"/>
    </w:rPr>
  </w:style>
  <w:style w:type="paragraph" w:styleId="afb">
    <w:name w:val="Note Heading"/>
    <w:basedOn w:val="a"/>
    <w:next w:val="a"/>
    <w:link w:val="afc"/>
    <w:uiPriority w:val="99"/>
    <w:rsid w:val="00DD256F"/>
    <w:pPr>
      <w:widowControl w:val="0"/>
      <w:jc w:val="center"/>
    </w:pPr>
    <w:rPr>
      <w:rFonts w:ascii="Times New Roman" w:hAnsi="Times New Roman" w:cs="Times New Roman"/>
      <w:kern w:val="2"/>
      <w:szCs w:val="21"/>
    </w:rPr>
  </w:style>
  <w:style w:type="character" w:customStyle="1" w:styleId="afc">
    <w:name w:val="注释标题 字符"/>
    <w:basedOn w:val="a0"/>
    <w:link w:val="afb"/>
    <w:uiPriority w:val="99"/>
    <w:rsid w:val="00DD256F"/>
    <w:rPr>
      <w:rFonts w:ascii="Times New Roman" w:eastAsia="宋体" w:hAnsi="Times New Roman" w:cs="Times New Roman"/>
      <w:szCs w:val="21"/>
    </w:rPr>
  </w:style>
  <w:style w:type="paragraph" w:styleId="afd">
    <w:name w:val="toa heading"/>
    <w:basedOn w:val="a"/>
    <w:next w:val="a"/>
    <w:link w:val="afe"/>
    <w:semiHidden/>
    <w:rsid w:val="00DD256F"/>
    <w:pPr>
      <w:widowControl w:val="0"/>
      <w:spacing w:before="120"/>
      <w:jc w:val="both"/>
    </w:pPr>
    <w:rPr>
      <w:rFonts w:ascii="Arial" w:hAnsi="Arial" w:cs="Times New Roman"/>
      <w:b/>
      <w:bCs/>
      <w:kern w:val="2"/>
      <w:szCs w:val="21"/>
    </w:rPr>
  </w:style>
  <w:style w:type="paragraph" w:customStyle="1" w:styleId="51">
    <w:name w:val="标题5"/>
    <w:basedOn w:val="a"/>
    <w:rsid w:val="005B5D50"/>
    <w:pPr>
      <w:keepNext/>
      <w:keepLines/>
      <w:widowControl w:val="0"/>
      <w:spacing w:before="60" w:after="60"/>
      <w:ind w:hangingChars="200" w:hanging="420"/>
      <w:jc w:val="both"/>
      <w:outlineLvl w:val="4"/>
    </w:pPr>
    <w:rPr>
      <w:rFonts w:cs="Times New Roman"/>
      <w:b/>
      <w:bCs/>
      <w:kern w:val="2"/>
      <w:szCs w:val="21"/>
    </w:rPr>
  </w:style>
  <w:style w:type="paragraph" w:styleId="aff">
    <w:name w:val="Revision"/>
    <w:hidden/>
    <w:uiPriority w:val="99"/>
    <w:semiHidden/>
    <w:rsid w:val="00BC1CB9"/>
    <w:rPr>
      <w:kern w:val="2"/>
      <w:sz w:val="21"/>
      <w:szCs w:val="22"/>
    </w:rPr>
  </w:style>
  <w:style w:type="character" w:customStyle="1" w:styleId="Char">
    <w:name w:val="正文的样式 Char"/>
    <w:basedOn w:val="a0"/>
    <w:link w:val="aff0"/>
    <w:qFormat/>
    <w:rsid w:val="006B00D5"/>
    <w:rPr>
      <w:kern w:val="2"/>
      <w:sz w:val="21"/>
      <w:szCs w:val="24"/>
    </w:rPr>
  </w:style>
  <w:style w:type="paragraph" w:customStyle="1" w:styleId="aff0">
    <w:name w:val="正文的样式"/>
    <w:basedOn w:val="a"/>
    <w:link w:val="Char"/>
    <w:qFormat/>
    <w:rsid w:val="006B00D5"/>
    <w:pPr>
      <w:widowControl w:val="0"/>
      <w:spacing w:before="100" w:after="100"/>
      <w:jc w:val="both"/>
    </w:pPr>
    <w:rPr>
      <w:rFonts w:ascii="Calibri" w:hAnsi="Calibri" w:cs="Times New Roman"/>
      <w:kern w:val="2"/>
    </w:rPr>
  </w:style>
  <w:style w:type="paragraph" w:styleId="aff1">
    <w:name w:val="Document Map"/>
    <w:basedOn w:val="a"/>
    <w:link w:val="aff2"/>
    <w:uiPriority w:val="99"/>
    <w:semiHidden/>
    <w:unhideWhenUsed/>
    <w:rsid w:val="0002110B"/>
    <w:pPr>
      <w:widowControl w:val="0"/>
      <w:jc w:val="both"/>
    </w:pPr>
    <w:rPr>
      <w:rFonts w:hAnsi="Calibri" w:cs="Times New Roman"/>
      <w:kern w:val="2"/>
      <w:sz w:val="18"/>
      <w:szCs w:val="18"/>
    </w:rPr>
  </w:style>
  <w:style w:type="character" w:customStyle="1" w:styleId="aff2">
    <w:name w:val="文档结构图 字符"/>
    <w:basedOn w:val="a0"/>
    <w:link w:val="aff1"/>
    <w:uiPriority w:val="99"/>
    <w:semiHidden/>
    <w:rsid w:val="0002110B"/>
    <w:rPr>
      <w:rFonts w:ascii="宋体"/>
      <w:kern w:val="2"/>
      <w:sz w:val="18"/>
      <w:szCs w:val="18"/>
    </w:rPr>
  </w:style>
  <w:style w:type="character" w:styleId="aff3">
    <w:name w:val="Placeholder Text"/>
    <w:basedOn w:val="a0"/>
    <w:link w:val="aff4"/>
    <w:uiPriority w:val="99"/>
    <w:rsid w:val="00205C40"/>
    <w:rPr>
      <w:color w:val="auto"/>
    </w:rPr>
  </w:style>
  <w:style w:type="numbering" w:customStyle="1" w:styleId="1">
    <w:name w:val="样式1"/>
    <w:uiPriority w:val="99"/>
    <w:rsid w:val="00C65930"/>
    <w:pPr>
      <w:numPr>
        <w:numId w:val="2"/>
      </w:numPr>
    </w:pPr>
  </w:style>
  <w:style w:type="paragraph" w:styleId="aff5">
    <w:name w:val="Title"/>
    <w:basedOn w:val="a"/>
    <w:next w:val="a"/>
    <w:link w:val="aff6"/>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aff6">
    <w:name w:val="标题 字符"/>
    <w:basedOn w:val="a0"/>
    <w:link w:val="aff5"/>
    <w:uiPriority w:val="10"/>
    <w:rsid w:val="00F23D17"/>
    <w:rPr>
      <w:rFonts w:asciiTheme="majorHAnsi" w:hAnsiTheme="majorHAnsi" w:cstheme="majorBidi"/>
      <w:b/>
      <w:bCs/>
      <w:kern w:val="2"/>
      <w:sz w:val="32"/>
      <w:szCs w:val="32"/>
    </w:rPr>
  </w:style>
  <w:style w:type="paragraph" w:styleId="aff7">
    <w:name w:val="No Spacing"/>
    <w:link w:val="aff8"/>
    <w:uiPriority w:val="1"/>
    <w:qFormat/>
    <w:rsid w:val="00BE4764"/>
    <w:pPr>
      <w:widowControl w:val="0"/>
      <w:jc w:val="both"/>
    </w:pPr>
    <w:rPr>
      <w:kern w:val="2"/>
      <w:sz w:val="21"/>
      <w:szCs w:val="22"/>
    </w:rPr>
  </w:style>
  <w:style w:type="paragraph" w:styleId="TOC4">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TOC5">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TOC6">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TOC7">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TOC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TOC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0">
    <w:name w:val="标题 6 字符"/>
    <w:basedOn w:val="a0"/>
    <w:link w:val="6"/>
    <w:uiPriority w:val="9"/>
    <w:rsid w:val="005B5D50"/>
    <w:rPr>
      <w:rFonts w:asciiTheme="majorHAnsi" w:hAnsiTheme="majorHAnsi" w:cstheme="majorBidi"/>
      <w:b/>
      <w:bCs/>
      <w:sz w:val="21"/>
      <w:szCs w:val="24"/>
    </w:rPr>
  </w:style>
  <w:style w:type="paragraph" w:styleId="aff9">
    <w:name w:val="Normal (Web)"/>
    <w:basedOn w:val="a"/>
    <w:uiPriority w:val="99"/>
    <w:rsid w:val="00C17CE1"/>
    <w:pPr>
      <w:spacing w:before="100" w:beforeAutospacing="1" w:after="100" w:afterAutospacing="1"/>
    </w:pPr>
    <w:rPr>
      <w:sz w:val="24"/>
    </w:rPr>
  </w:style>
  <w:style w:type="paragraph" w:styleId="affa">
    <w:name w:val="endnote text"/>
    <w:basedOn w:val="a"/>
    <w:link w:val="affb"/>
    <w:uiPriority w:val="99"/>
    <w:semiHidden/>
    <w:unhideWhenUsed/>
    <w:rsid w:val="001116D4"/>
    <w:pPr>
      <w:snapToGrid w:val="0"/>
    </w:pPr>
  </w:style>
  <w:style w:type="character" w:customStyle="1" w:styleId="affb">
    <w:name w:val="尾注文本 字符"/>
    <w:basedOn w:val="a0"/>
    <w:link w:val="affa"/>
    <w:uiPriority w:val="99"/>
    <w:semiHidden/>
    <w:rsid w:val="001116D4"/>
    <w:rPr>
      <w:rFonts w:ascii="宋体" w:hAnsi="宋体" w:cs="宋体"/>
      <w:sz w:val="21"/>
      <w:szCs w:val="24"/>
    </w:rPr>
  </w:style>
  <w:style w:type="character" w:styleId="affc">
    <w:name w:val="endnote reference"/>
    <w:basedOn w:val="a0"/>
    <w:link w:val="affd"/>
    <w:uiPriority w:val="99"/>
    <w:semiHidden/>
    <w:unhideWhenUsed/>
    <w:rsid w:val="001116D4"/>
    <w:rPr>
      <w:vertAlign w:val="superscript"/>
    </w:rPr>
  </w:style>
  <w:style w:type="character" w:customStyle="1" w:styleId="Char1">
    <w:name w:val="批注主题 Char1"/>
    <w:basedOn w:val="a6"/>
    <w:link w:val="affe"/>
    <w:uiPriority w:val="99"/>
    <w:semiHidden/>
    <w:rsid w:val="0067754A"/>
    <w:rPr>
      <w:rFonts w:ascii="Times New Roman" w:eastAsia="宋体" w:hAnsi="Times New Roman" w:cs="Times New Roman"/>
      <w:b/>
      <w:bCs/>
      <w:szCs w:val="21"/>
    </w:rPr>
  </w:style>
  <w:style w:type="paragraph" w:customStyle="1" w:styleId="31">
    <w:name w:val="标题  3"/>
    <w:basedOn w:val="a"/>
    <w:next w:val="a"/>
    <w:link w:val="3Char"/>
    <w:qFormat/>
    <w:rsid w:val="00D30BB3"/>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
    <w:name w:val="标题  3 Char"/>
    <w:basedOn w:val="a0"/>
    <w:link w:val="31"/>
    <w:rsid w:val="00D30BB3"/>
    <w:rPr>
      <w:rFonts w:ascii="Times New Roman" w:hAnsi="Times New Roman"/>
      <w:b/>
      <w:kern w:val="2"/>
      <w:sz w:val="21"/>
      <w:szCs w:val="24"/>
    </w:rPr>
  </w:style>
  <w:style w:type="character" w:customStyle="1" w:styleId="12">
    <w:name w:val="批注主题 字符1"/>
    <w:basedOn w:val="a6"/>
    <w:uiPriority w:val="99"/>
    <w:semiHidden/>
    <w:rsid w:val="005F6ED8"/>
    <w:rPr>
      <w:rFonts w:ascii="Times New Roman" w:eastAsia="宋体" w:hAnsi="Times New Roman" w:cs="Times New Roman"/>
      <w:b/>
      <w:bCs/>
      <w:szCs w:val="21"/>
    </w:rPr>
  </w:style>
  <w:style w:type="character" w:customStyle="1" w:styleId="70">
    <w:name w:val="标题 7 字符"/>
    <w:basedOn w:val="a0"/>
    <w:link w:val="7"/>
    <w:uiPriority w:val="9"/>
    <w:rsid w:val="00FD46A6"/>
    <w:rPr>
      <w:rFonts w:ascii="宋体" w:hAnsi="宋体" w:cs="宋体"/>
      <w:b/>
      <w:bCs/>
      <w:sz w:val="24"/>
      <w:szCs w:val="24"/>
    </w:rPr>
  </w:style>
  <w:style w:type="paragraph" w:styleId="13">
    <w:name w:val="index 1"/>
    <w:basedOn w:val="a"/>
    <w:next w:val="a"/>
    <w:autoRedefine/>
    <w:semiHidden/>
    <w:rsid w:val="00FD46A6"/>
    <w:pPr>
      <w:ind w:firstLineChars="200" w:firstLine="420"/>
    </w:pPr>
    <w:rPr>
      <w:rFonts w:cs="Times New Roman"/>
      <w:color w:val="000000"/>
      <w:szCs w:val="21"/>
    </w:rPr>
  </w:style>
  <w:style w:type="character" w:customStyle="1" w:styleId="span">
    <w:name w:val="span_"/>
    <w:basedOn w:val="a0"/>
    <w:rsid w:val="00FD46A6"/>
  </w:style>
  <w:style w:type="paragraph" w:styleId="afff">
    <w:name w:val="Normal Indent"/>
    <w:basedOn w:val="a"/>
    <w:rsid w:val="00FD46A6"/>
    <w:pPr>
      <w:widowControl w:val="0"/>
      <w:ind w:firstLineChars="200" w:firstLine="420"/>
      <w:jc w:val="both"/>
    </w:pPr>
    <w:rPr>
      <w:rFonts w:ascii="Times New Roman" w:hAnsi="Times New Roman" w:cs="Times New Roman"/>
      <w:kern w:val="2"/>
      <w:szCs w:val="21"/>
    </w:rPr>
  </w:style>
  <w:style w:type="paragraph" w:styleId="32">
    <w:name w:val="List Bullet 3"/>
    <w:basedOn w:val="a"/>
    <w:rsid w:val="00FD46A6"/>
    <w:pPr>
      <w:widowControl w:val="0"/>
      <w:tabs>
        <w:tab w:val="left" w:pos="1200"/>
      </w:tabs>
      <w:jc w:val="both"/>
    </w:pPr>
    <w:rPr>
      <w:rFonts w:ascii="Times New Roman" w:hAnsi="Times New Roman" w:cs="Times New Roman"/>
      <w:kern w:val="2"/>
      <w:szCs w:val="21"/>
    </w:rPr>
  </w:style>
  <w:style w:type="character" w:customStyle="1" w:styleId="4Char">
    <w:name w:val="标题 4 Char"/>
    <w:uiPriority w:val="9"/>
    <w:rsid w:val="00FD46A6"/>
    <w:rPr>
      <w:rFonts w:ascii="Cambria" w:hAnsi="Cambria"/>
      <w:b/>
      <w:bCs/>
      <w:kern w:val="2"/>
      <w:sz w:val="21"/>
      <w:szCs w:val="28"/>
    </w:rPr>
  </w:style>
  <w:style w:type="paragraph" w:customStyle="1" w:styleId="41">
    <w:name w:val="4"/>
    <w:basedOn w:val="a"/>
    <w:next w:val="ad"/>
    <w:uiPriority w:val="34"/>
    <w:qFormat/>
    <w:rsid w:val="00FD46A6"/>
    <w:pPr>
      <w:widowControl w:val="0"/>
      <w:ind w:firstLineChars="200" w:firstLine="420"/>
      <w:jc w:val="both"/>
    </w:pPr>
    <w:rPr>
      <w:rFonts w:ascii="Calibri" w:hAnsi="Calibri" w:cs="Times New Roman"/>
      <w:kern w:val="2"/>
      <w:szCs w:val="22"/>
    </w:rPr>
  </w:style>
  <w:style w:type="paragraph" w:customStyle="1" w:styleId="33">
    <w:name w:val="3"/>
    <w:basedOn w:val="a"/>
    <w:next w:val="ad"/>
    <w:uiPriority w:val="34"/>
    <w:qFormat/>
    <w:rsid w:val="00FD46A6"/>
    <w:pPr>
      <w:widowControl w:val="0"/>
      <w:ind w:firstLineChars="200" w:firstLine="420"/>
      <w:jc w:val="both"/>
    </w:pPr>
    <w:rPr>
      <w:rFonts w:ascii="Calibri" w:hAnsi="Calibri" w:cs="Times New Roman"/>
      <w:kern w:val="2"/>
      <w:szCs w:val="22"/>
    </w:rPr>
  </w:style>
  <w:style w:type="character" w:customStyle="1" w:styleId="3Char0">
    <w:name w:val="标题 3 Char"/>
    <w:uiPriority w:val="9"/>
    <w:rsid w:val="00FD46A6"/>
    <w:rPr>
      <w:b/>
      <w:bCs/>
      <w:kern w:val="2"/>
      <w:sz w:val="21"/>
      <w:szCs w:val="32"/>
    </w:rPr>
  </w:style>
  <w:style w:type="paragraph" w:customStyle="1" w:styleId="21">
    <w:name w:val="2"/>
    <w:basedOn w:val="a"/>
    <w:next w:val="ad"/>
    <w:uiPriority w:val="34"/>
    <w:qFormat/>
    <w:rsid w:val="00FD46A6"/>
    <w:pPr>
      <w:widowControl w:val="0"/>
      <w:ind w:firstLineChars="200" w:firstLine="420"/>
      <w:jc w:val="both"/>
    </w:pPr>
    <w:rPr>
      <w:rFonts w:ascii="Calibri" w:hAnsi="Calibri" w:cs="Times New Roman"/>
      <w:kern w:val="2"/>
      <w:szCs w:val="22"/>
    </w:rPr>
  </w:style>
  <w:style w:type="paragraph" w:customStyle="1" w:styleId="14">
    <w:name w:val="1"/>
    <w:basedOn w:val="a"/>
    <w:next w:val="ad"/>
    <w:uiPriority w:val="34"/>
    <w:qFormat/>
    <w:rsid w:val="00FD46A6"/>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FD46A6"/>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0">
    <w:name w:val="批注文字 Char"/>
    <w:link w:val="afff0"/>
    <w:uiPriority w:val="99"/>
    <w:qFormat/>
    <w:rsid w:val="001C302B"/>
    <w:rPr>
      <w:rFonts w:ascii="Times New Roman" w:hAnsi="Times New Roman"/>
      <w:kern w:val="2"/>
      <w:sz w:val="21"/>
      <w:szCs w:val="21"/>
    </w:rPr>
  </w:style>
  <w:style w:type="character" w:customStyle="1" w:styleId="5Char">
    <w:name w:val="标题 5 Char"/>
    <w:uiPriority w:val="9"/>
    <w:rsid w:val="00233CC6"/>
    <w:rPr>
      <w:b/>
      <w:bCs/>
      <w:kern w:val="2"/>
      <w:sz w:val="21"/>
      <w:szCs w:val="28"/>
    </w:rPr>
  </w:style>
  <w:style w:type="paragraph" w:customStyle="1" w:styleId="afff1">
    <w:basedOn w:val="a"/>
    <w:next w:val="ad"/>
    <w:uiPriority w:val="34"/>
    <w:qFormat/>
    <w:rsid w:val="00AC3976"/>
    <w:pPr>
      <w:widowControl w:val="0"/>
      <w:ind w:firstLineChars="200" w:firstLine="420"/>
      <w:jc w:val="both"/>
    </w:pPr>
    <w:rPr>
      <w:rFonts w:ascii="Calibri" w:hAnsi="Calibri" w:cs="Times New Roman"/>
      <w:kern w:val="2"/>
      <w:szCs w:val="22"/>
    </w:rPr>
  </w:style>
  <w:style w:type="character" w:customStyle="1" w:styleId="Char10">
    <w:name w:val="批注文字 Char1"/>
    <w:rsid w:val="00AC3976"/>
    <w:rPr>
      <w:rFonts w:ascii="Times New Roman" w:hAnsi="Times New Roman"/>
      <w:kern w:val="2"/>
      <w:sz w:val="21"/>
      <w:szCs w:val="21"/>
    </w:rPr>
  </w:style>
  <w:style w:type="character" w:customStyle="1" w:styleId="3Char1">
    <w:name w:val="标题 3 Char1"/>
    <w:uiPriority w:val="9"/>
    <w:rsid w:val="00AC3976"/>
    <w:rPr>
      <w:b/>
      <w:bCs/>
      <w:kern w:val="2"/>
      <w:sz w:val="21"/>
      <w:szCs w:val="32"/>
    </w:rPr>
  </w:style>
  <w:style w:type="character" w:customStyle="1" w:styleId="2Char">
    <w:name w:val="标题 2 Char"/>
    <w:aliases w:val="标题 2 Char Char Char Char"/>
    <w:rsid w:val="000A7FB5"/>
    <w:rPr>
      <w:rFonts w:ascii="Arial" w:hAnsi="Arial"/>
      <w:b/>
      <w:bCs/>
      <w:kern w:val="2"/>
      <w:sz w:val="21"/>
      <w:szCs w:val="21"/>
    </w:rPr>
  </w:style>
  <w:style w:type="character" w:customStyle="1" w:styleId="4Char1">
    <w:name w:val="标题 4 Char1"/>
    <w:uiPriority w:val="9"/>
    <w:rsid w:val="000A7FB5"/>
    <w:rPr>
      <w:rFonts w:ascii="Cambria" w:hAnsi="Cambria"/>
      <w:b/>
      <w:bCs/>
      <w:kern w:val="2"/>
      <w:sz w:val="21"/>
      <w:szCs w:val="28"/>
    </w:rPr>
  </w:style>
  <w:style w:type="character" w:customStyle="1" w:styleId="5Char1">
    <w:name w:val="标题 5 Char1"/>
    <w:uiPriority w:val="9"/>
    <w:rsid w:val="00052FFA"/>
    <w:rPr>
      <w:b/>
      <w:bCs/>
      <w:kern w:val="2"/>
      <w:sz w:val="21"/>
      <w:szCs w:val="28"/>
    </w:rPr>
  </w:style>
  <w:style w:type="paragraph" w:customStyle="1" w:styleId="afff2">
    <w:basedOn w:val="a"/>
    <w:next w:val="ad"/>
    <w:uiPriority w:val="34"/>
    <w:qFormat/>
    <w:rsid w:val="00E521D8"/>
    <w:pPr>
      <w:widowControl w:val="0"/>
      <w:ind w:firstLineChars="200" w:firstLine="420"/>
      <w:jc w:val="both"/>
    </w:pPr>
    <w:rPr>
      <w:rFonts w:ascii="Calibri" w:hAnsi="Calibri" w:cs="Times New Roman"/>
      <w:kern w:val="2"/>
      <w:szCs w:val="22"/>
    </w:rPr>
  </w:style>
  <w:style w:type="table" w:customStyle="1" w:styleId="g1">
    <w:name w:val="g1"/>
    <w:uiPriority w:val="99"/>
    <w:semiHidden/>
    <w:unhideWhenUsed/>
    <w:tblPr>
      <w:tblInd w:w="0" w:type="dxa"/>
      <w:tblCellMar>
        <w:top w:w="0" w:type="dxa"/>
        <w:left w:w="108" w:type="dxa"/>
        <w:bottom w:w="0" w:type="dxa"/>
        <w:right w:w="108" w:type="dxa"/>
      </w:tblCellMar>
    </w:tblPr>
  </w:style>
  <w:style w:type="table" w:customStyle="1" w:styleId="g2">
    <w:name w:val="g2"/>
    <w:basedOn w:val="a1"/>
    <w:uiPriority w:val="59"/>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3">
    <w:name w:val="g3"/>
    <w:uiPriority w:val="99"/>
    <w:semiHidden/>
    <w:unhideWhenUsed/>
    <w:rsid w:val="008E1E93"/>
    <w:tblPr>
      <w:tblInd w:w="0" w:type="dxa"/>
      <w:tblCellMar>
        <w:top w:w="0" w:type="dxa"/>
        <w:left w:w="108" w:type="dxa"/>
        <w:bottom w:w="0" w:type="dxa"/>
        <w:right w:w="108" w:type="dxa"/>
      </w:tblCellMar>
    </w:tblPr>
  </w:style>
  <w:style w:type="table" w:customStyle="1" w:styleId="g4">
    <w:name w:val="g4"/>
    <w:uiPriority w:val="99"/>
    <w:semiHidden/>
    <w:unhideWhenUsed/>
    <w:tblPr>
      <w:tblInd w:w="0" w:type="dxa"/>
      <w:tblCellMar>
        <w:top w:w="0" w:type="dxa"/>
        <w:left w:w="108" w:type="dxa"/>
        <w:bottom w:w="0" w:type="dxa"/>
        <w:right w:w="108" w:type="dxa"/>
      </w:tblCellMar>
    </w:tblPr>
  </w:style>
  <w:style w:type="table" w:customStyle="1" w:styleId="g5">
    <w:name w:val="g5"/>
    <w:basedOn w:val="a1"/>
    <w:uiPriority w:val="59"/>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3">
    <w:basedOn w:val="a1"/>
    <w:uiPriority w:val="59"/>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afff5">
    <w:basedOn w:val="a6"/>
    <w:uiPriority w:val="99"/>
    <w:rsid w:val="00DD256F"/>
    <w:rPr>
      <w:rFonts w:ascii="Calibri" w:eastAsia="宋体" w:hAnsi="Calibri" w:cs="Times New Roman"/>
      <w:b/>
      <w:bCs/>
      <w:szCs w:val="21"/>
    </w:rPr>
  </w:style>
  <w:style w:type="paragraph" w:customStyle="1" w:styleId="afff6">
    <w:basedOn w:val="a5"/>
    <w:next w:val="a5"/>
    <w:uiPriority w:val="99"/>
    <w:unhideWhenUsed/>
    <w:rsid w:val="00DD256F"/>
    <w:rPr>
      <w:rFonts w:ascii="Calibri" w:hAnsi="Calibri"/>
      <w:b/>
      <w:bCs/>
      <w:szCs w:val="22"/>
    </w:rPr>
  </w:style>
  <w:style w:type="paragraph" w:customStyle="1" w:styleId="afff7">
    <w:basedOn w:val="a"/>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afff8">
    <w:basedOn w:val="a0"/>
    <w:uiPriority w:val="99"/>
    <w:rsid w:val="00DD256F"/>
    <w:rPr>
      <w:rFonts w:ascii="Calibri" w:eastAsia="宋体" w:hAnsi="Calibri" w:cs="Times New Roman"/>
      <w:sz w:val="18"/>
      <w:szCs w:val="18"/>
    </w:rPr>
  </w:style>
  <w:style w:type="paragraph" w:customStyle="1" w:styleId="afff9">
    <w:basedOn w:val="a"/>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afffa">
    <w:basedOn w:val="a0"/>
    <w:uiPriority w:val="99"/>
    <w:rsid w:val="00DD256F"/>
    <w:rPr>
      <w:rFonts w:ascii="Calibri" w:eastAsia="宋体" w:hAnsi="Calibri" w:cs="Times New Roman"/>
      <w:sz w:val="18"/>
      <w:szCs w:val="18"/>
    </w:rPr>
  </w:style>
  <w:style w:type="paragraph" w:customStyle="1" w:styleId="afffb">
    <w:basedOn w:val="a"/>
    <w:rsid w:val="00DD256F"/>
    <w:pPr>
      <w:widowControl w:val="0"/>
      <w:jc w:val="both"/>
    </w:pPr>
    <w:rPr>
      <w:rFonts w:hAnsi="Courier New" w:cs="Times New Roman"/>
      <w:kern w:val="2"/>
      <w:szCs w:val="20"/>
    </w:rPr>
  </w:style>
  <w:style w:type="character" w:customStyle="1" w:styleId="afffc">
    <w:basedOn w:val="a0"/>
    <w:rsid w:val="00DD256F"/>
    <w:rPr>
      <w:rFonts w:ascii="宋体" w:eastAsia="宋体" w:hAnsi="Courier New" w:cs="Times New Roman"/>
      <w:szCs w:val="20"/>
    </w:rPr>
  </w:style>
  <w:style w:type="paragraph" w:customStyle="1" w:styleId="afffd">
    <w:basedOn w:val="a"/>
    <w:uiPriority w:val="99"/>
    <w:rsid w:val="00DD256F"/>
    <w:pPr>
      <w:widowControl w:val="0"/>
      <w:spacing w:after="120"/>
      <w:jc w:val="both"/>
    </w:pPr>
    <w:rPr>
      <w:rFonts w:ascii="Times New Roman" w:hAnsi="Times New Roman" w:cs="Times New Roman"/>
      <w:kern w:val="2"/>
      <w:szCs w:val="21"/>
    </w:rPr>
  </w:style>
  <w:style w:type="character" w:customStyle="1" w:styleId="afffe">
    <w:basedOn w:val="a0"/>
    <w:uiPriority w:val="99"/>
    <w:rsid w:val="00DD256F"/>
    <w:rPr>
      <w:rFonts w:ascii="Times New Roman" w:eastAsia="宋体" w:hAnsi="Times New Roman" w:cs="Times New Roman"/>
      <w:szCs w:val="21"/>
    </w:rPr>
  </w:style>
  <w:style w:type="paragraph" w:customStyle="1" w:styleId="affff">
    <w:basedOn w:val="a"/>
    <w:next w:val="a"/>
    <w:uiPriority w:val="99"/>
    <w:rsid w:val="00DD256F"/>
    <w:pPr>
      <w:widowControl w:val="0"/>
      <w:ind w:leftChars="2500" w:left="100"/>
      <w:jc w:val="both"/>
    </w:pPr>
    <w:rPr>
      <w:rFonts w:ascii="Times New Roman" w:hAnsi="Times New Roman" w:cs="Times New Roman"/>
      <w:kern w:val="2"/>
      <w:szCs w:val="21"/>
    </w:rPr>
  </w:style>
  <w:style w:type="character" w:customStyle="1" w:styleId="affff0">
    <w:basedOn w:val="a0"/>
    <w:uiPriority w:val="99"/>
    <w:rsid w:val="00DD256F"/>
    <w:rPr>
      <w:rFonts w:ascii="Times New Roman" w:eastAsia="宋体" w:hAnsi="Times New Roman" w:cs="Times New Roman"/>
      <w:szCs w:val="21"/>
    </w:rPr>
  </w:style>
  <w:style w:type="paragraph" w:customStyle="1" w:styleId="afe">
    <w:name w:val="引文目录标题 字符"/>
    <w:basedOn w:val="a"/>
    <w:next w:val="a"/>
    <w:link w:val="afd"/>
    <w:uiPriority w:val="99"/>
    <w:rsid w:val="00DD256F"/>
    <w:pPr>
      <w:widowControl w:val="0"/>
      <w:jc w:val="center"/>
    </w:pPr>
    <w:rPr>
      <w:rFonts w:ascii="Times New Roman" w:hAnsi="Times New Roman" w:cs="Times New Roman"/>
      <w:kern w:val="2"/>
      <w:szCs w:val="21"/>
    </w:rPr>
  </w:style>
  <w:style w:type="character" w:customStyle="1" w:styleId="affff1">
    <w:basedOn w:val="a0"/>
    <w:uiPriority w:val="99"/>
    <w:rsid w:val="00DD256F"/>
    <w:rPr>
      <w:rFonts w:ascii="Times New Roman" w:eastAsia="宋体" w:hAnsi="Times New Roman" w:cs="Times New Roman"/>
      <w:szCs w:val="21"/>
    </w:rPr>
  </w:style>
  <w:style w:type="paragraph" w:customStyle="1" w:styleId="affff2">
    <w:basedOn w:val="a"/>
    <w:next w:val="a"/>
    <w:semiHidden/>
    <w:rsid w:val="00DD256F"/>
    <w:pPr>
      <w:widowControl w:val="0"/>
      <w:spacing w:before="120"/>
      <w:jc w:val="both"/>
    </w:pPr>
    <w:rPr>
      <w:rFonts w:ascii="Arial" w:hAnsi="Arial" w:cs="Times New Roman"/>
      <w:b/>
      <w:bCs/>
      <w:kern w:val="2"/>
      <w:szCs w:val="21"/>
    </w:rPr>
  </w:style>
  <w:style w:type="paragraph" w:customStyle="1" w:styleId="affff3">
    <w:hidden/>
    <w:uiPriority w:val="99"/>
    <w:semiHidden/>
    <w:rsid w:val="00BC1CB9"/>
    <w:rPr>
      <w:kern w:val="2"/>
      <w:sz w:val="21"/>
      <w:szCs w:val="22"/>
    </w:rPr>
  </w:style>
  <w:style w:type="character" w:customStyle="1" w:styleId="affff4">
    <w:basedOn w:val="a0"/>
    <w:qFormat/>
    <w:rsid w:val="006B00D5"/>
    <w:rPr>
      <w:kern w:val="2"/>
      <w:sz w:val="21"/>
      <w:szCs w:val="24"/>
    </w:rPr>
  </w:style>
  <w:style w:type="paragraph" w:customStyle="1" w:styleId="affff5">
    <w:basedOn w:val="a"/>
    <w:qFormat/>
    <w:rsid w:val="006B00D5"/>
    <w:pPr>
      <w:widowControl w:val="0"/>
      <w:spacing w:before="100" w:after="100"/>
      <w:jc w:val="both"/>
    </w:pPr>
    <w:rPr>
      <w:rFonts w:ascii="Calibri" w:hAnsi="Calibri" w:cs="Times New Roman"/>
      <w:kern w:val="2"/>
    </w:rPr>
  </w:style>
  <w:style w:type="paragraph" w:customStyle="1" w:styleId="aff4">
    <w:basedOn w:val="a"/>
    <w:link w:val="aff3"/>
    <w:uiPriority w:val="99"/>
    <w:unhideWhenUsed/>
    <w:rsid w:val="0002110B"/>
    <w:pPr>
      <w:widowControl w:val="0"/>
      <w:jc w:val="both"/>
    </w:pPr>
    <w:rPr>
      <w:rFonts w:hAnsi="Calibri" w:cs="Times New Roman"/>
      <w:kern w:val="2"/>
      <w:sz w:val="18"/>
      <w:szCs w:val="18"/>
    </w:rPr>
  </w:style>
  <w:style w:type="character" w:customStyle="1" w:styleId="affff6">
    <w:basedOn w:val="a0"/>
    <w:uiPriority w:val="99"/>
    <w:semiHidden/>
    <w:rsid w:val="0002110B"/>
    <w:rPr>
      <w:rFonts w:ascii="宋体"/>
      <w:kern w:val="2"/>
      <w:sz w:val="18"/>
      <w:szCs w:val="18"/>
    </w:rPr>
  </w:style>
  <w:style w:type="character" w:customStyle="1" w:styleId="affff7">
    <w:basedOn w:val="a0"/>
    <w:uiPriority w:val="99"/>
    <w:semiHidden/>
    <w:rsid w:val="00205C40"/>
    <w:rPr>
      <w:color w:val="auto"/>
    </w:rPr>
  </w:style>
  <w:style w:type="numbering" w:customStyle="1" w:styleId="affff8">
    <w:uiPriority w:val="99"/>
    <w:rsid w:val="00C65930"/>
  </w:style>
  <w:style w:type="paragraph" w:customStyle="1" w:styleId="aff8">
    <w:name w:val="无间隔 字符"/>
    <w:basedOn w:val="a"/>
    <w:next w:val="a"/>
    <w:link w:val="aff7"/>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affff9">
    <w:basedOn w:val="a0"/>
    <w:uiPriority w:val="10"/>
    <w:rsid w:val="00F23D17"/>
    <w:rPr>
      <w:rFonts w:asciiTheme="majorHAnsi" w:hAnsiTheme="majorHAnsi" w:cstheme="majorBidi"/>
      <w:b/>
      <w:bCs/>
      <w:kern w:val="2"/>
      <w:sz w:val="32"/>
      <w:szCs w:val="32"/>
    </w:rPr>
  </w:style>
  <w:style w:type="paragraph" w:customStyle="1" w:styleId="affffa">
    <w:uiPriority w:val="1"/>
    <w:qFormat/>
    <w:rsid w:val="00BE4764"/>
    <w:pPr>
      <w:widowControl w:val="0"/>
      <w:jc w:val="both"/>
    </w:pPr>
    <w:rPr>
      <w:kern w:val="2"/>
      <w:sz w:val="21"/>
      <w:szCs w:val="22"/>
    </w:rPr>
  </w:style>
  <w:style w:type="paragraph" w:customStyle="1" w:styleId="affffb">
    <w:basedOn w:val="a"/>
    <w:uiPriority w:val="99"/>
    <w:rsid w:val="00C17CE1"/>
    <w:pPr>
      <w:spacing w:before="100" w:beforeAutospacing="1" w:after="100" w:afterAutospacing="1"/>
    </w:pPr>
    <w:rPr>
      <w:sz w:val="24"/>
    </w:rPr>
  </w:style>
  <w:style w:type="paragraph" w:customStyle="1" w:styleId="affd">
    <w:basedOn w:val="a"/>
    <w:link w:val="affc"/>
    <w:uiPriority w:val="99"/>
    <w:semiHidden/>
    <w:unhideWhenUsed/>
    <w:rsid w:val="001116D4"/>
    <w:pPr>
      <w:snapToGrid w:val="0"/>
    </w:pPr>
  </w:style>
  <w:style w:type="character" w:customStyle="1" w:styleId="affffc">
    <w:basedOn w:val="a0"/>
    <w:uiPriority w:val="99"/>
    <w:semiHidden/>
    <w:rsid w:val="001116D4"/>
    <w:rPr>
      <w:rFonts w:ascii="宋体" w:hAnsi="宋体" w:cs="宋体"/>
      <w:sz w:val="21"/>
      <w:szCs w:val="24"/>
    </w:rPr>
  </w:style>
  <w:style w:type="character" w:customStyle="1" w:styleId="affffd">
    <w:basedOn w:val="a0"/>
    <w:uiPriority w:val="99"/>
    <w:semiHidden/>
    <w:unhideWhenUsed/>
    <w:rsid w:val="001116D4"/>
    <w:rPr>
      <w:vertAlign w:val="superscript"/>
    </w:rPr>
  </w:style>
  <w:style w:type="character" w:customStyle="1" w:styleId="affffe">
    <w:basedOn w:val="a6"/>
    <w:uiPriority w:val="99"/>
    <w:semiHidden/>
    <w:rsid w:val="0067754A"/>
    <w:rPr>
      <w:rFonts w:ascii="Times New Roman" w:eastAsia="宋体" w:hAnsi="Times New Roman" w:cs="Times New Roman"/>
      <w:b/>
      <w:bCs/>
      <w:szCs w:val="21"/>
    </w:rPr>
  </w:style>
  <w:style w:type="paragraph" w:customStyle="1" w:styleId="afffff">
    <w:basedOn w:val="a"/>
    <w:rsid w:val="00FD46A6"/>
    <w:pPr>
      <w:widowControl w:val="0"/>
      <w:ind w:firstLineChars="200" w:firstLine="420"/>
      <w:jc w:val="both"/>
    </w:pPr>
    <w:rPr>
      <w:rFonts w:ascii="Times New Roman" w:hAnsi="Times New Roman" w:cs="Times New Roman"/>
      <w:kern w:val="2"/>
      <w:szCs w:val="21"/>
    </w:rPr>
  </w:style>
  <w:style w:type="paragraph" w:customStyle="1" w:styleId="afffff0">
    <w:basedOn w:val="a"/>
    <w:next w:val="ad"/>
    <w:uiPriority w:val="34"/>
    <w:qFormat/>
    <w:rsid w:val="00FD46A6"/>
    <w:pPr>
      <w:widowControl w:val="0"/>
      <w:ind w:firstLineChars="200" w:firstLine="420"/>
      <w:jc w:val="both"/>
    </w:pPr>
    <w:rPr>
      <w:rFonts w:ascii="Calibri" w:hAnsi="Calibri" w:cs="Times New Roman"/>
      <w:kern w:val="2"/>
      <w:szCs w:val="22"/>
    </w:rPr>
  </w:style>
  <w:style w:type="character" w:customStyle="1" w:styleId="afffff1">
    <w:uiPriority w:val="99"/>
    <w:qFormat/>
    <w:rsid w:val="001C302B"/>
    <w:rPr>
      <w:rFonts w:ascii="Times New Roman" w:hAnsi="Times New Roman"/>
      <w:kern w:val="2"/>
      <w:sz w:val="21"/>
      <w:szCs w:val="21"/>
    </w:rPr>
  </w:style>
  <w:style w:type="paragraph" w:customStyle="1" w:styleId="afffff2">
    <w:basedOn w:val="a"/>
    <w:next w:val="ad"/>
    <w:uiPriority w:val="34"/>
    <w:qFormat/>
    <w:rsid w:val="00AC3976"/>
    <w:pPr>
      <w:widowControl w:val="0"/>
      <w:ind w:firstLineChars="200" w:firstLine="420"/>
      <w:jc w:val="both"/>
    </w:pPr>
    <w:rPr>
      <w:rFonts w:ascii="Calibri" w:hAnsi="Calibri" w:cs="Times New Roman"/>
      <w:kern w:val="2"/>
      <w:szCs w:val="22"/>
    </w:rPr>
  </w:style>
  <w:style w:type="paragraph" w:customStyle="1" w:styleId="afffff3">
    <w:basedOn w:val="a"/>
    <w:next w:val="ad"/>
    <w:uiPriority w:val="34"/>
    <w:qFormat/>
    <w:rsid w:val="00E521D8"/>
    <w:pPr>
      <w:widowControl w:val="0"/>
      <w:ind w:firstLineChars="200" w:firstLine="420"/>
      <w:jc w:val="both"/>
    </w:pPr>
    <w:rPr>
      <w:rFonts w:ascii="Calibri" w:hAnsi="Calibri" w:cs="Times New Roman"/>
      <w:kern w:val="2"/>
      <w:szCs w:val="22"/>
    </w:rPr>
  </w:style>
  <w:style w:type="character" w:customStyle="1" w:styleId="afffff4">
    <w:basedOn w:val="a0"/>
    <w:uiPriority w:val="59"/>
    <w:rsid w:val="008908A3"/>
    <w:rPr>
      <w:rFonts w:ascii="Calibri" w:eastAsia="宋体" w:hAnsi="Calibri" w:cs="Times New Roman"/>
      <w:sz w:val="18"/>
      <w:szCs w:val="18"/>
    </w:rPr>
  </w:style>
  <w:style w:type="paragraph" w:customStyle="1" w:styleId="afffff5">
    <w:basedOn w:val="a"/>
    <w:next w:val="a"/>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customStyle="1" w:styleId="afffff6">
    <w:basedOn w:val="a"/>
    <w:next w:val="a"/>
    <w:qFormat/>
    <w:rsid w:val="000C4401"/>
    <w:pPr>
      <w:keepNext/>
      <w:keepLines/>
      <w:widowControl w:val="0"/>
      <w:spacing w:before="60" w:after="60"/>
      <w:ind w:left="200" w:hangingChars="200" w:hanging="200"/>
      <w:jc w:val="both"/>
      <w:outlineLvl w:val="1"/>
    </w:pPr>
    <w:rPr>
      <w:rFonts w:ascii="Arial" w:hAnsi="Arial" w:cs="Times New Roman"/>
      <w:b/>
      <w:bCs/>
      <w:kern w:val="2"/>
      <w:szCs w:val="21"/>
    </w:rPr>
  </w:style>
  <w:style w:type="paragraph" w:customStyle="1" w:styleId="afffff7">
    <w:basedOn w:val="a"/>
    <w:next w:val="a"/>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customStyle="1" w:styleId="afffff8">
    <w:basedOn w:val="a"/>
    <w:next w:val="a"/>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customStyle="1" w:styleId="afffff9">
    <w:basedOn w:val="a"/>
    <w:next w:val="a"/>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customStyle="1" w:styleId="afffffa">
    <w:basedOn w:val="a"/>
    <w:next w:val="a"/>
    <w:uiPriority w:val="9"/>
    <w:unhideWhenUsed/>
    <w:qFormat/>
    <w:rsid w:val="005B5D50"/>
    <w:pPr>
      <w:keepNext/>
      <w:keepLines/>
      <w:spacing w:before="60" w:after="60"/>
      <w:outlineLvl w:val="5"/>
    </w:pPr>
    <w:rPr>
      <w:rFonts w:asciiTheme="majorHAnsi" w:hAnsiTheme="majorHAnsi" w:cstheme="majorBidi"/>
      <w:b/>
      <w:bCs/>
    </w:rPr>
  </w:style>
  <w:style w:type="paragraph" w:customStyle="1" w:styleId="afffffb">
    <w:basedOn w:val="a"/>
    <w:next w:val="a"/>
    <w:uiPriority w:val="9"/>
    <w:unhideWhenUsed/>
    <w:qFormat/>
    <w:rsid w:val="00FD46A6"/>
    <w:pPr>
      <w:keepNext/>
      <w:keepLines/>
      <w:spacing w:before="240" w:after="64" w:line="320" w:lineRule="auto"/>
      <w:outlineLvl w:val="6"/>
    </w:pPr>
    <w:rPr>
      <w:b/>
      <w:bCs/>
      <w:sz w:val="24"/>
    </w:rPr>
  </w:style>
  <w:style w:type="character" w:customStyle="1" w:styleId="afffffc">
    <w:basedOn w:val="a0"/>
    <w:uiPriority w:val="99"/>
    <w:rsid w:val="005B5D50"/>
    <w:rPr>
      <w:rFonts w:eastAsia="黑体"/>
      <w:b/>
      <w:bCs/>
      <w:kern w:val="44"/>
      <w:sz w:val="28"/>
      <w:szCs w:val="44"/>
    </w:rPr>
  </w:style>
  <w:style w:type="character" w:customStyle="1" w:styleId="afffffd">
    <w:basedOn w:val="a0"/>
    <w:rsid w:val="000C4401"/>
    <w:rPr>
      <w:rFonts w:ascii="Arial" w:hAnsi="Arial"/>
      <w:b/>
      <w:bCs/>
      <w:kern w:val="2"/>
      <w:sz w:val="21"/>
      <w:szCs w:val="21"/>
    </w:rPr>
  </w:style>
  <w:style w:type="character" w:customStyle="1" w:styleId="afffffe">
    <w:basedOn w:val="a0"/>
    <w:uiPriority w:val="9"/>
    <w:rsid w:val="005B5D50"/>
    <w:rPr>
      <w:b/>
      <w:bCs/>
      <w:kern w:val="2"/>
      <w:sz w:val="21"/>
      <w:szCs w:val="32"/>
    </w:rPr>
  </w:style>
  <w:style w:type="character" w:customStyle="1" w:styleId="affffff">
    <w:basedOn w:val="a0"/>
    <w:uiPriority w:val="9"/>
    <w:rsid w:val="005B5D50"/>
    <w:rPr>
      <w:rFonts w:ascii="Cambria" w:hAnsi="Cambria"/>
      <w:b/>
      <w:bCs/>
      <w:kern w:val="2"/>
      <w:sz w:val="21"/>
      <w:szCs w:val="28"/>
    </w:rPr>
  </w:style>
  <w:style w:type="character" w:customStyle="1" w:styleId="affffff0">
    <w:basedOn w:val="a0"/>
    <w:uiPriority w:val="9"/>
    <w:rsid w:val="00586078"/>
    <w:rPr>
      <w:b/>
      <w:bCs/>
      <w:kern w:val="2"/>
      <w:sz w:val="21"/>
      <w:szCs w:val="28"/>
    </w:rPr>
  </w:style>
  <w:style w:type="paragraph" w:customStyle="1" w:styleId="affffff1">
    <w:basedOn w:val="a"/>
    <w:next w:val="a"/>
    <w:autoRedefine/>
    <w:uiPriority w:val="39"/>
    <w:qFormat/>
    <w:rsid w:val="009E568A"/>
    <w:pPr>
      <w:widowControl w:val="0"/>
      <w:tabs>
        <w:tab w:val="left" w:pos="1260"/>
        <w:tab w:val="right" w:leader="dot" w:pos="8823"/>
      </w:tabs>
      <w:spacing w:line="360" w:lineRule="auto"/>
      <w:jc w:val="both"/>
    </w:pPr>
    <w:rPr>
      <w:rFonts w:ascii="Times New Roman" w:hAnsi="Times New Roman" w:cs="Times New Roman"/>
      <w:kern w:val="2"/>
      <w:szCs w:val="21"/>
    </w:rPr>
  </w:style>
  <w:style w:type="paragraph" w:customStyle="1" w:styleId="affffff2">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paragraph" w:customStyle="1" w:styleId="affffff3">
    <w:basedOn w:val="a"/>
    <w:qFormat/>
    <w:rsid w:val="00DD256F"/>
    <w:pPr>
      <w:widowControl w:val="0"/>
    </w:pPr>
    <w:rPr>
      <w:rFonts w:ascii="Times New Roman" w:hAnsi="Times New Roman" w:cs="Times New Roman"/>
      <w:kern w:val="2"/>
      <w:szCs w:val="21"/>
    </w:rPr>
  </w:style>
  <w:style w:type="character" w:customStyle="1" w:styleId="affffff4">
    <w:basedOn w:val="a0"/>
    <w:rsid w:val="00DD256F"/>
    <w:rPr>
      <w:rFonts w:ascii="Times New Roman" w:eastAsia="宋体" w:hAnsi="Times New Roman" w:cs="Times New Roman"/>
      <w:szCs w:val="21"/>
    </w:rPr>
  </w:style>
  <w:style w:type="paragraph" w:customStyle="1" w:styleId="affffff5">
    <w:basedOn w:val="a"/>
    <w:uiPriority w:val="99"/>
    <w:unhideWhenUsed/>
    <w:rsid w:val="00DD256F"/>
    <w:pPr>
      <w:widowControl w:val="0"/>
      <w:jc w:val="both"/>
    </w:pPr>
    <w:rPr>
      <w:rFonts w:ascii="Calibri" w:hAnsi="Calibri" w:cs="Times New Roman"/>
      <w:kern w:val="2"/>
      <w:sz w:val="18"/>
      <w:szCs w:val="18"/>
    </w:rPr>
  </w:style>
  <w:style w:type="character" w:customStyle="1" w:styleId="a8">
    <w:basedOn w:val="a0"/>
    <w:link w:val="a7"/>
    <w:uiPriority w:val="99"/>
    <w:rsid w:val="00DD256F"/>
    <w:rPr>
      <w:rFonts w:ascii="Calibri" w:eastAsia="宋体" w:hAnsi="Calibri" w:cs="Times New Roman"/>
      <w:sz w:val="18"/>
      <w:szCs w:val="18"/>
    </w:rPr>
  </w:style>
  <w:style w:type="paragraph" w:customStyle="1" w:styleId="afff0">
    <w:basedOn w:val="a"/>
    <w:next w:val="a"/>
    <w:link w:val="Char0"/>
    <w:uiPriority w:val="99"/>
    <w:rsid w:val="00DD256F"/>
    <w:pPr>
      <w:widowControl w:val="0"/>
      <w:jc w:val="both"/>
    </w:pPr>
    <w:rPr>
      <w:rFonts w:ascii="Times New Roman" w:hAnsi="Times New Roman" w:cs="Times New Roman"/>
      <w:kern w:val="2"/>
      <w:szCs w:val="21"/>
    </w:rPr>
  </w:style>
  <w:style w:type="character" w:customStyle="1" w:styleId="affffff6">
    <w:basedOn w:val="a0"/>
    <w:uiPriority w:val="99"/>
    <w:rsid w:val="00DD256F"/>
    <w:rPr>
      <w:rFonts w:ascii="Times New Roman" w:eastAsia="宋体" w:hAnsi="Times New Roman" w:cs="Times New Roman"/>
      <w:szCs w:val="21"/>
    </w:rPr>
  </w:style>
  <w:style w:type="paragraph" w:customStyle="1" w:styleId="affffff7">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affffff8">
    <w:basedOn w:val="affffff4"/>
    <w:uiPriority w:val="99"/>
    <w:rsid w:val="00DD256F"/>
    <w:rPr>
      <w:rFonts w:ascii="Calibri" w:eastAsia="宋体" w:hAnsi="Calibri" w:cs="Times New Roman"/>
      <w:b/>
      <w:bCs/>
      <w:szCs w:val="21"/>
    </w:rPr>
  </w:style>
  <w:style w:type="paragraph" w:customStyle="1" w:styleId="affe">
    <w:basedOn w:val="affffff3"/>
    <w:next w:val="a5"/>
    <w:link w:val="Char1"/>
    <w:uiPriority w:val="99"/>
    <w:unhideWhenUsed/>
    <w:rsid w:val="00DD256F"/>
    <w:rPr>
      <w:rFonts w:ascii="Calibri" w:hAnsi="Calibri"/>
      <w:b/>
      <w:bCs/>
      <w:szCs w:val="22"/>
    </w:rPr>
  </w:style>
  <w:style w:type="paragraph" w:customStyle="1" w:styleId="affffff9">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customStyle="1" w:styleId="affffffa">
    <w:basedOn w:val="a"/>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affffffb">
    <w:basedOn w:val="a0"/>
    <w:uiPriority w:val="99"/>
    <w:rsid w:val="00DD256F"/>
    <w:rPr>
      <w:rFonts w:ascii="Calibri" w:eastAsia="宋体" w:hAnsi="Calibri" w:cs="Times New Roman"/>
      <w:sz w:val="18"/>
      <w:szCs w:val="18"/>
    </w:rPr>
  </w:style>
  <w:style w:type="paragraph" w:customStyle="1" w:styleId="affffffc">
    <w:basedOn w:val="a"/>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ae">
    <w:name w:val="列表段落 字符"/>
    <w:basedOn w:val="a0"/>
    <w:link w:val="ad"/>
    <w:uiPriority w:val="99"/>
    <w:rsid w:val="00DD256F"/>
    <w:rPr>
      <w:rFonts w:ascii="Calibri" w:eastAsia="宋体" w:hAnsi="Calibri" w:cs="Times New Roman"/>
      <w:sz w:val="18"/>
      <w:szCs w:val="18"/>
    </w:rPr>
  </w:style>
  <w:style w:type="paragraph" w:customStyle="1" w:styleId="affffffd">
    <w:basedOn w:val="a"/>
    <w:rsid w:val="00DD256F"/>
    <w:pPr>
      <w:widowControl w:val="0"/>
      <w:jc w:val="both"/>
    </w:pPr>
    <w:rPr>
      <w:rFonts w:hAnsi="Courier New" w:cs="Times New Roman"/>
      <w:kern w:val="2"/>
      <w:szCs w:val="20"/>
    </w:rPr>
  </w:style>
  <w:style w:type="character" w:customStyle="1" w:styleId="affffffe">
    <w:basedOn w:val="a0"/>
    <w:rsid w:val="00DD256F"/>
    <w:rPr>
      <w:rFonts w:ascii="宋体" w:eastAsia="宋体" w:hAnsi="Courier New" w:cs="Times New Roman"/>
      <w:szCs w:val="20"/>
    </w:rPr>
  </w:style>
  <w:style w:type="paragraph" w:customStyle="1" w:styleId="afffffff">
    <w:basedOn w:val="a"/>
    <w:uiPriority w:val="99"/>
    <w:rsid w:val="00DD256F"/>
    <w:pPr>
      <w:widowControl w:val="0"/>
      <w:spacing w:after="120"/>
      <w:jc w:val="both"/>
    </w:pPr>
    <w:rPr>
      <w:rFonts w:ascii="Times New Roman" w:hAnsi="Times New Roman" w:cs="Times New Roman"/>
      <w:kern w:val="2"/>
      <w:szCs w:val="21"/>
    </w:rPr>
  </w:style>
  <w:style w:type="character" w:customStyle="1" w:styleId="afffffff0">
    <w:basedOn w:val="a0"/>
    <w:uiPriority w:val="99"/>
    <w:rsid w:val="00DD256F"/>
    <w:rPr>
      <w:rFonts w:ascii="Times New Roman" w:eastAsia="宋体" w:hAnsi="Times New Roman" w:cs="Times New Roman"/>
      <w:szCs w:val="21"/>
    </w:rPr>
  </w:style>
  <w:style w:type="paragraph" w:customStyle="1" w:styleId="afffffff1">
    <w:basedOn w:val="a"/>
    <w:next w:val="a"/>
    <w:uiPriority w:val="99"/>
    <w:rsid w:val="00DD256F"/>
    <w:pPr>
      <w:widowControl w:val="0"/>
      <w:ind w:leftChars="2500" w:left="100"/>
      <w:jc w:val="both"/>
    </w:pPr>
    <w:rPr>
      <w:rFonts w:ascii="Times New Roman" w:hAnsi="Times New Roman" w:cs="Times New Roman"/>
      <w:kern w:val="2"/>
      <w:szCs w:val="21"/>
    </w:rPr>
  </w:style>
  <w:style w:type="character" w:customStyle="1" w:styleId="afffffff2">
    <w:basedOn w:val="a0"/>
    <w:uiPriority w:val="99"/>
    <w:rsid w:val="00DD256F"/>
    <w:rPr>
      <w:rFonts w:ascii="Times New Roman" w:eastAsia="宋体" w:hAnsi="Times New Roman" w:cs="Times New Roman"/>
      <w:szCs w:val="21"/>
    </w:rPr>
  </w:style>
  <w:style w:type="paragraph" w:customStyle="1" w:styleId="afffffff3">
    <w:basedOn w:val="a"/>
    <w:next w:val="a"/>
    <w:uiPriority w:val="99"/>
    <w:rsid w:val="00DD256F"/>
    <w:pPr>
      <w:widowControl w:val="0"/>
      <w:jc w:val="center"/>
    </w:pPr>
    <w:rPr>
      <w:rFonts w:ascii="Times New Roman" w:hAnsi="Times New Roman" w:cs="Times New Roman"/>
      <w:kern w:val="2"/>
      <w:szCs w:val="21"/>
    </w:rPr>
  </w:style>
  <w:style w:type="character" w:customStyle="1" w:styleId="afffffff4">
    <w:basedOn w:val="a0"/>
    <w:uiPriority w:val="99"/>
    <w:rsid w:val="00DD256F"/>
    <w:rPr>
      <w:rFonts w:ascii="Times New Roman" w:eastAsia="宋体" w:hAnsi="Times New Roman" w:cs="Times New Roman"/>
      <w:szCs w:val="21"/>
    </w:rPr>
  </w:style>
  <w:style w:type="paragraph" w:customStyle="1" w:styleId="afffffff5">
    <w:basedOn w:val="a"/>
    <w:next w:val="a"/>
    <w:semiHidden/>
    <w:rsid w:val="00DD256F"/>
    <w:pPr>
      <w:widowControl w:val="0"/>
      <w:spacing w:before="120"/>
      <w:jc w:val="both"/>
    </w:pPr>
    <w:rPr>
      <w:rFonts w:ascii="Arial" w:hAnsi="Arial" w:cs="Times New Roman"/>
      <w:b/>
      <w:bCs/>
      <w:kern w:val="2"/>
      <w:szCs w:val="21"/>
    </w:rPr>
  </w:style>
  <w:style w:type="paragraph" w:customStyle="1" w:styleId="afffffff6">
    <w:basedOn w:val="a"/>
    <w:rsid w:val="005B5D50"/>
    <w:pPr>
      <w:keepNext/>
      <w:keepLines/>
      <w:widowControl w:val="0"/>
      <w:spacing w:before="60" w:after="60"/>
      <w:ind w:hangingChars="200" w:hanging="420"/>
      <w:jc w:val="both"/>
      <w:outlineLvl w:val="4"/>
    </w:pPr>
    <w:rPr>
      <w:rFonts w:cs="Times New Roman"/>
      <w:b/>
      <w:bCs/>
      <w:kern w:val="2"/>
      <w:szCs w:val="21"/>
    </w:rPr>
  </w:style>
  <w:style w:type="paragraph" w:customStyle="1" w:styleId="afffffff7">
    <w:hidden/>
    <w:uiPriority w:val="99"/>
    <w:semiHidden/>
    <w:rsid w:val="00BC1CB9"/>
    <w:rPr>
      <w:kern w:val="2"/>
      <w:sz w:val="21"/>
      <w:szCs w:val="22"/>
    </w:rPr>
  </w:style>
  <w:style w:type="character" w:customStyle="1" w:styleId="afffffff8">
    <w:basedOn w:val="a0"/>
    <w:qFormat/>
    <w:rsid w:val="006B00D5"/>
    <w:rPr>
      <w:kern w:val="2"/>
      <w:sz w:val="21"/>
      <w:szCs w:val="24"/>
    </w:rPr>
  </w:style>
  <w:style w:type="paragraph" w:customStyle="1" w:styleId="afffffff9">
    <w:basedOn w:val="a"/>
    <w:qFormat/>
    <w:rsid w:val="006B00D5"/>
    <w:pPr>
      <w:widowControl w:val="0"/>
      <w:spacing w:before="100" w:after="100"/>
      <w:jc w:val="both"/>
    </w:pPr>
    <w:rPr>
      <w:rFonts w:ascii="Calibri" w:hAnsi="Calibri" w:cs="Times New Roman"/>
      <w:kern w:val="2"/>
    </w:rPr>
  </w:style>
  <w:style w:type="paragraph" w:customStyle="1" w:styleId="afffffffa">
    <w:basedOn w:val="a"/>
    <w:uiPriority w:val="99"/>
    <w:semiHidden/>
    <w:unhideWhenUsed/>
    <w:rsid w:val="0002110B"/>
    <w:pPr>
      <w:widowControl w:val="0"/>
      <w:jc w:val="both"/>
    </w:pPr>
    <w:rPr>
      <w:rFonts w:hAnsi="Calibri" w:cs="Times New Roman"/>
      <w:kern w:val="2"/>
      <w:sz w:val="18"/>
      <w:szCs w:val="18"/>
    </w:rPr>
  </w:style>
  <w:style w:type="character" w:customStyle="1" w:styleId="afffffffb">
    <w:basedOn w:val="a0"/>
    <w:uiPriority w:val="99"/>
    <w:semiHidden/>
    <w:rsid w:val="0002110B"/>
    <w:rPr>
      <w:rFonts w:ascii="宋体"/>
      <w:kern w:val="2"/>
      <w:sz w:val="18"/>
      <w:szCs w:val="18"/>
    </w:rPr>
  </w:style>
  <w:style w:type="character" w:customStyle="1" w:styleId="afffffffc">
    <w:basedOn w:val="a0"/>
    <w:uiPriority w:val="99"/>
    <w:semiHidden/>
    <w:rsid w:val="00205C40"/>
    <w:rPr>
      <w:color w:val="auto"/>
    </w:rPr>
  </w:style>
  <w:style w:type="numbering" w:customStyle="1" w:styleId="afffffffd">
    <w:uiPriority w:val="99"/>
    <w:rsid w:val="00C65930"/>
  </w:style>
  <w:style w:type="paragraph" w:customStyle="1" w:styleId="afffffffe">
    <w:basedOn w:val="a"/>
    <w:next w:val="a"/>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affffffff">
    <w:basedOn w:val="a0"/>
    <w:uiPriority w:val="10"/>
    <w:rsid w:val="00F23D17"/>
    <w:rPr>
      <w:rFonts w:asciiTheme="majorHAnsi" w:hAnsiTheme="majorHAnsi" w:cstheme="majorBidi"/>
      <w:b/>
      <w:bCs/>
      <w:kern w:val="2"/>
      <w:sz w:val="32"/>
      <w:szCs w:val="32"/>
    </w:rPr>
  </w:style>
  <w:style w:type="paragraph" w:customStyle="1" w:styleId="affffffff0">
    <w:uiPriority w:val="1"/>
    <w:qFormat/>
    <w:rsid w:val="00BE4764"/>
    <w:pPr>
      <w:widowControl w:val="0"/>
      <w:jc w:val="both"/>
    </w:pPr>
    <w:rPr>
      <w:kern w:val="2"/>
      <w:sz w:val="21"/>
      <w:szCs w:val="22"/>
    </w:rPr>
  </w:style>
  <w:style w:type="paragraph" w:customStyle="1" w:styleId="affffffff1">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customStyle="1" w:styleId="affffffff2">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customStyle="1" w:styleId="affffffff3">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customStyle="1" w:styleId="affffffff4">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customStyle="1" w:styleId="affffffff5">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customStyle="1" w:styleId="affffffff6">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affffffff7">
    <w:basedOn w:val="a0"/>
    <w:uiPriority w:val="9"/>
    <w:rsid w:val="005B5D50"/>
    <w:rPr>
      <w:rFonts w:asciiTheme="majorHAnsi" w:hAnsiTheme="majorHAnsi" w:cstheme="majorBidi"/>
      <w:b/>
      <w:bCs/>
      <w:sz w:val="21"/>
      <w:szCs w:val="24"/>
    </w:rPr>
  </w:style>
  <w:style w:type="paragraph" w:customStyle="1" w:styleId="affffffff8">
    <w:basedOn w:val="a"/>
    <w:uiPriority w:val="99"/>
    <w:rsid w:val="00C17CE1"/>
    <w:pPr>
      <w:spacing w:before="100" w:beforeAutospacing="1" w:after="100" w:afterAutospacing="1"/>
    </w:pPr>
    <w:rPr>
      <w:sz w:val="24"/>
    </w:rPr>
  </w:style>
  <w:style w:type="paragraph" w:customStyle="1" w:styleId="affffffff9">
    <w:basedOn w:val="a"/>
    <w:uiPriority w:val="99"/>
    <w:semiHidden/>
    <w:unhideWhenUsed/>
    <w:rsid w:val="001116D4"/>
    <w:pPr>
      <w:snapToGrid w:val="0"/>
    </w:pPr>
  </w:style>
  <w:style w:type="character" w:customStyle="1" w:styleId="affffffffa">
    <w:basedOn w:val="a0"/>
    <w:uiPriority w:val="99"/>
    <w:semiHidden/>
    <w:rsid w:val="001116D4"/>
    <w:rPr>
      <w:rFonts w:ascii="宋体" w:hAnsi="宋体" w:cs="宋体"/>
      <w:sz w:val="21"/>
      <w:szCs w:val="24"/>
    </w:rPr>
  </w:style>
  <w:style w:type="character" w:customStyle="1" w:styleId="affffffffb">
    <w:basedOn w:val="a0"/>
    <w:uiPriority w:val="99"/>
    <w:semiHidden/>
    <w:unhideWhenUsed/>
    <w:rsid w:val="001116D4"/>
    <w:rPr>
      <w:vertAlign w:val="superscript"/>
    </w:rPr>
  </w:style>
  <w:style w:type="character" w:customStyle="1" w:styleId="affffffffc">
    <w:basedOn w:val="affffff4"/>
    <w:uiPriority w:val="99"/>
    <w:semiHidden/>
    <w:rsid w:val="0067754A"/>
    <w:rPr>
      <w:rFonts w:ascii="Times New Roman" w:eastAsia="宋体" w:hAnsi="Times New Roman" w:cs="Times New Roman"/>
      <w:b/>
      <w:bCs/>
      <w:szCs w:val="21"/>
    </w:rPr>
  </w:style>
  <w:style w:type="character" w:customStyle="1" w:styleId="affffffffd">
    <w:basedOn w:val="affffff4"/>
    <w:uiPriority w:val="99"/>
    <w:semiHidden/>
    <w:rsid w:val="005F6ED8"/>
    <w:rPr>
      <w:rFonts w:ascii="Times New Roman" w:eastAsia="宋体" w:hAnsi="Times New Roman" w:cs="Times New Roman"/>
      <w:b/>
      <w:bCs/>
      <w:szCs w:val="21"/>
    </w:rPr>
  </w:style>
  <w:style w:type="character" w:customStyle="1" w:styleId="affffffffe">
    <w:basedOn w:val="a0"/>
    <w:uiPriority w:val="9"/>
    <w:rsid w:val="00FD46A6"/>
    <w:rPr>
      <w:rFonts w:ascii="宋体" w:hAnsi="宋体" w:cs="宋体"/>
      <w:b/>
      <w:bCs/>
      <w:sz w:val="24"/>
      <w:szCs w:val="24"/>
    </w:rPr>
  </w:style>
  <w:style w:type="paragraph" w:customStyle="1" w:styleId="afffffffff">
    <w:basedOn w:val="a"/>
    <w:rsid w:val="00FD46A6"/>
    <w:pPr>
      <w:widowControl w:val="0"/>
      <w:ind w:firstLineChars="200" w:firstLine="420"/>
      <w:jc w:val="both"/>
    </w:pPr>
    <w:rPr>
      <w:rFonts w:ascii="Times New Roman" w:hAnsi="Times New Roman" w:cs="Times New Roman"/>
      <w:kern w:val="2"/>
      <w:szCs w:val="21"/>
    </w:rPr>
  </w:style>
  <w:style w:type="paragraph" w:customStyle="1" w:styleId="afffffffff0">
    <w:basedOn w:val="a"/>
    <w:uiPriority w:val="34"/>
    <w:qFormat/>
    <w:rsid w:val="00FD46A6"/>
    <w:pPr>
      <w:widowControl w:val="0"/>
      <w:ind w:firstLineChars="200" w:firstLine="420"/>
      <w:jc w:val="both"/>
    </w:pPr>
    <w:rPr>
      <w:rFonts w:ascii="Calibri" w:hAnsi="Calibri" w:cs="Times New Roman"/>
      <w:kern w:val="2"/>
      <w:szCs w:val="22"/>
    </w:rPr>
  </w:style>
  <w:style w:type="paragraph" w:customStyle="1" w:styleId="afffffffff1">
    <w:basedOn w:val="a"/>
    <w:uiPriority w:val="34"/>
    <w:qFormat/>
    <w:rsid w:val="00FD46A6"/>
    <w:pPr>
      <w:widowControl w:val="0"/>
      <w:ind w:firstLineChars="200" w:firstLine="420"/>
      <w:jc w:val="both"/>
    </w:pPr>
    <w:rPr>
      <w:rFonts w:ascii="Calibri" w:hAnsi="Calibri" w:cs="Times New Roman"/>
      <w:kern w:val="2"/>
      <w:szCs w:val="22"/>
    </w:rPr>
  </w:style>
  <w:style w:type="paragraph" w:customStyle="1" w:styleId="afffffffff2">
    <w:basedOn w:val="a"/>
    <w:uiPriority w:val="34"/>
    <w:qFormat/>
    <w:rsid w:val="00FD46A6"/>
    <w:pPr>
      <w:widowControl w:val="0"/>
      <w:ind w:firstLineChars="200" w:firstLine="420"/>
      <w:jc w:val="both"/>
    </w:pPr>
    <w:rPr>
      <w:rFonts w:ascii="Calibri" w:hAnsi="Calibri" w:cs="Times New Roman"/>
      <w:kern w:val="2"/>
      <w:szCs w:val="22"/>
    </w:rPr>
  </w:style>
  <w:style w:type="paragraph" w:customStyle="1" w:styleId="afffffffff3">
    <w:basedOn w:val="a"/>
    <w:uiPriority w:val="34"/>
    <w:qFormat/>
    <w:rsid w:val="00FD46A6"/>
    <w:pPr>
      <w:widowControl w:val="0"/>
      <w:ind w:firstLineChars="200" w:firstLine="420"/>
      <w:jc w:val="both"/>
    </w:pPr>
    <w:rPr>
      <w:rFonts w:ascii="Calibri" w:hAnsi="Calibri" w:cs="Times New Roman"/>
      <w:kern w:val="2"/>
      <w:szCs w:val="22"/>
    </w:rPr>
  </w:style>
  <w:style w:type="character" w:customStyle="1" w:styleId="afffffffff4">
    <w:uiPriority w:val="99"/>
    <w:qFormat/>
    <w:rsid w:val="001C302B"/>
    <w:rPr>
      <w:rFonts w:ascii="Times New Roman" w:hAnsi="Times New Roman"/>
      <w:kern w:val="2"/>
      <w:sz w:val="21"/>
      <w:szCs w:val="21"/>
    </w:rPr>
  </w:style>
  <w:style w:type="paragraph" w:customStyle="1" w:styleId="afffffffff5">
    <w:basedOn w:val="a"/>
    <w:uiPriority w:val="34"/>
    <w:qFormat/>
    <w:rsid w:val="00AC3976"/>
    <w:pPr>
      <w:widowControl w:val="0"/>
      <w:ind w:firstLineChars="200" w:firstLine="420"/>
      <w:jc w:val="both"/>
    </w:pPr>
    <w:rPr>
      <w:rFonts w:ascii="Calibri" w:hAnsi="Calibri" w:cs="Times New Roman"/>
      <w:kern w:val="2"/>
      <w:szCs w:val="22"/>
    </w:rPr>
  </w:style>
  <w:style w:type="character" w:customStyle="1" w:styleId="afffffffff6">
    <w:rsid w:val="00AC3976"/>
    <w:rPr>
      <w:rFonts w:ascii="Times New Roman" w:hAnsi="Times New Roman"/>
      <w:kern w:val="2"/>
      <w:sz w:val="21"/>
      <w:szCs w:val="21"/>
    </w:rPr>
  </w:style>
  <w:style w:type="paragraph" w:customStyle="1" w:styleId="afffffffff7">
    <w:basedOn w:val="a"/>
    <w:uiPriority w:val="34"/>
    <w:qFormat/>
    <w:rsid w:val="00E521D8"/>
    <w:pPr>
      <w:widowControl w:val="0"/>
      <w:ind w:firstLineChars="200" w:firstLine="420"/>
      <w:jc w:val="both"/>
    </w:pPr>
    <w:rPr>
      <w:rFonts w:ascii="Calibri" w:hAnsi="Calibri" w:cs="Times New Roman"/>
      <w:kern w:val="2"/>
      <w:szCs w:val="22"/>
    </w:rPr>
  </w:style>
  <w:style w:type="paragraph" w:customStyle="1" w:styleId="afffffffff8">
    <w:basedOn w:val="a"/>
    <w:rsid w:val="0019794D"/>
    <w:pPr>
      <w:spacing w:line="360" w:lineRule="auto"/>
      <w:ind w:firstLineChars="208" w:firstLine="437"/>
      <w:jc w:val="both"/>
    </w:pPr>
    <w:rPr>
      <w:bCs/>
    </w:rPr>
  </w:style>
  <w:style w:type="paragraph" w:customStyle="1" w:styleId="afffffffff9">
    <w:rsid w:val="00F46B50"/>
    <w:pPr>
      <w:widowControl w:val="0"/>
      <w:autoSpaceDE w:val="0"/>
      <w:autoSpaceDN w:val="0"/>
      <w:adjustRightInd w:val="0"/>
    </w:pPr>
    <w:rPr>
      <w:rFonts w:ascii="宋体" w:cs="宋体"/>
      <w:color w:val="000000"/>
      <w:sz w:val="24"/>
      <w:szCs w:val="24"/>
    </w:rPr>
  </w:style>
  <w:style w:type="character" w:customStyle="1" w:styleId="afffffffffa">
    <w:rsid w:val="00416C17"/>
    <w:rPr>
      <w:snapToGrid w:val="0"/>
      <w:color w:val="000000"/>
      <w:sz w:val="22"/>
      <w:lang w:eastAsia="en-US"/>
    </w:rPr>
  </w:style>
  <w:style w:type="paragraph" w:customStyle="1" w:styleId="afffffffffb">
    <w:qFormat/>
    <w:rsid w:val="00416C17"/>
    <w:pPr>
      <w:jc w:val="center"/>
    </w:pPr>
    <w:rPr>
      <w:snapToGrid w:val="0"/>
      <w:color w:val="000000"/>
      <w:sz w:val="22"/>
      <w:lang w:eastAsia="en-US"/>
    </w:rPr>
  </w:style>
  <w:style w:type="character" w:styleId="afffffffffc">
    <w:name w:val="Unresolved Mention"/>
    <w:basedOn w:val="a0"/>
    <w:uiPriority w:val="99"/>
    <w:semiHidden/>
    <w:unhideWhenUsed/>
    <w:rsid w:val="00F47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362828816">
      <w:bodyDiv w:val="1"/>
      <w:marLeft w:val="0"/>
      <w:marRight w:val="0"/>
      <w:marTop w:val="0"/>
      <w:marBottom w:val="0"/>
      <w:divBdr>
        <w:top w:val="none" w:sz="0" w:space="0" w:color="auto"/>
        <w:left w:val="none" w:sz="0" w:space="0" w:color="auto"/>
        <w:bottom w:val="none" w:sz="0" w:space="0" w:color="auto"/>
        <w:right w:val="none" w:sz="0" w:space="0" w:color="auto"/>
      </w:divBdr>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2976\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B960C2E6-8E28-4930-AAD5-AA36AFD6E523}"/>
      </w:docPartPr>
      <w:docPartBody>
        <w:p w:rsidR="000958C3" w:rsidRDefault="00E50E43">
          <w:r w:rsidRPr="001852D3">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162653D1-13D4-4E4F-AD1C-ABDFC36FDDF6}"/>
      </w:docPartPr>
      <w:docPartBody>
        <w:p w:rsidR="007675EA" w:rsidRDefault="007675EA">
          <w:r w:rsidRPr="002524F4">
            <w:rPr>
              <w:rStyle w:val="a3"/>
              <w:rFonts w:hint="eastAsia"/>
              <w:color w:val="333399"/>
              <w:u w:val="single"/>
            </w:rPr>
            <w:t xml:space="preserve">　　　</w:t>
          </w:r>
        </w:p>
      </w:docPartBody>
    </w:docPart>
    <w:docPart>
      <w:docPartPr>
        <w:name w:val="9EBB0EB121A54FE492B72C6A28FCD919"/>
        <w:category>
          <w:name w:val="常规"/>
          <w:gallery w:val="placeholder"/>
        </w:category>
        <w:types>
          <w:type w:val="bbPlcHdr"/>
        </w:types>
        <w:behaviors>
          <w:behavior w:val="content"/>
        </w:behaviors>
        <w:guid w:val="{4729D314-345B-448D-B68E-2E35AF2BDDE8}"/>
      </w:docPartPr>
      <w:docPartBody>
        <w:p w:rsidR="004C0760" w:rsidRDefault="0058790D" w:rsidP="0058790D">
          <w:pPr>
            <w:pStyle w:val="9EBB0EB121A54FE492B72C6A28FCD919"/>
          </w:pPr>
          <w:r w:rsidRPr="002524F4">
            <w:rPr>
              <w:rStyle w:val="a3"/>
              <w:rFonts w:hint="eastAsia"/>
              <w:color w:val="333399"/>
              <w:u w:val="single"/>
            </w:rPr>
            <w:t xml:space="preserve">　　　</w:t>
          </w:r>
        </w:p>
      </w:docPartBody>
    </w:docPart>
    <w:docPart>
      <w:docPartPr>
        <w:name w:val="0C7E0B96AE2A48F497B9318326ABEEDA"/>
        <w:category>
          <w:name w:val="常规"/>
          <w:gallery w:val="placeholder"/>
        </w:category>
        <w:types>
          <w:type w:val="bbPlcHdr"/>
        </w:types>
        <w:behaviors>
          <w:behavior w:val="content"/>
        </w:behaviors>
        <w:guid w:val="{900BAE43-403D-489E-A190-56786CE92E0D}"/>
      </w:docPartPr>
      <w:docPartBody>
        <w:p w:rsidR="004C0760" w:rsidRDefault="0058790D" w:rsidP="0058790D">
          <w:pPr>
            <w:pStyle w:val="0C7E0B96AE2A48F497B9318326ABEEDA"/>
          </w:pPr>
          <w:r w:rsidRPr="002524F4">
            <w:rPr>
              <w:rStyle w:val="a3"/>
              <w:rFonts w:hint="eastAsia"/>
              <w:color w:val="333399"/>
              <w:u w:val="single"/>
            </w:rPr>
            <w:t xml:space="preserve">　　　</w:t>
          </w:r>
        </w:p>
      </w:docPartBody>
    </w:docPart>
    <w:docPart>
      <w:docPartPr>
        <w:name w:val="98A867267F8C4563A6AAD77A8E8E5EF5"/>
        <w:category>
          <w:name w:val="常规"/>
          <w:gallery w:val="placeholder"/>
        </w:category>
        <w:types>
          <w:type w:val="bbPlcHdr"/>
        </w:types>
        <w:behaviors>
          <w:behavior w:val="content"/>
        </w:behaviors>
        <w:guid w:val="{60A1DCCE-9B97-48B6-A476-F94E76856AA6}"/>
      </w:docPartPr>
      <w:docPartBody>
        <w:p w:rsidR="00426C92" w:rsidRDefault="00D32B84" w:rsidP="00D32B84">
          <w:pPr>
            <w:pStyle w:val="98A867267F8C4563A6AAD77A8E8E5EF5"/>
          </w:pPr>
          <w:r w:rsidRPr="001852D3">
            <w:rPr>
              <w:rStyle w:val="a3"/>
              <w:rFonts w:hint="eastAsia"/>
            </w:rPr>
            <w:t xml:space="preserve">　</w:t>
          </w:r>
        </w:p>
      </w:docPartBody>
    </w:docPart>
    <w:docPart>
      <w:docPartPr>
        <w:name w:val="A5BD2D8E91CF4C7F9D1ED9665B00CB1F"/>
        <w:category>
          <w:name w:val="常规"/>
          <w:gallery w:val="placeholder"/>
        </w:category>
        <w:types>
          <w:type w:val="bbPlcHdr"/>
        </w:types>
        <w:behaviors>
          <w:behavior w:val="content"/>
        </w:behaviors>
        <w:guid w:val="{D6E2F9AC-BCCE-4202-A148-5EDD51C34733}"/>
      </w:docPartPr>
      <w:docPartBody>
        <w:p w:rsidR="00246071" w:rsidRDefault="00823E5D" w:rsidP="00823E5D">
          <w:pPr>
            <w:pStyle w:val="A5BD2D8E91CF4C7F9D1ED9665B00CB1F"/>
          </w:pPr>
          <w:r w:rsidRPr="001852D3">
            <w:rPr>
              <w:rStyle w:val="a3"/>
              <w:rFonts w:hint="eastAsia"/>
            </w:rPr>
            <w:t xml:space="preserve">　</w:t>
          </w:r>
        </w:p>
      </w:docPartBody>
    </w:docPart>
    <w:docPart>
      <w:docPartPr>
        <w:name w:val="A2E891B2BB804715ABBDB908CF96A744"/>
        <w:category>
          <w:name w:val="常规"/>
          <w:gallery w:val="placeholder"/>
        </w:category>
        <w:types>
          <w:type w:val="bbPlcHdr"/>
        </w:types>
        <w:behaviors>
          <w:behavior w:val="content"/>
        </w:behaviors>
        <w:guid w:val="{06C4B7FB-1381-445C-81DF-E7459F50BA83}"/>
      </w:docPartPr>
      <w:docPartBody>
        <w:p w:rsidR="00246071" w:rsidRDefault="00823E5D" w:rsidP="00823E5D">
          <w:pPr>
            <w:pStyle w:val="A2E891B2BB804715ABBDB908CF96A744"/>
          </w:pPr>
          <w:r w:rsidRPr="009D3B62">
            <w:rPr>
              <w:rStyle w:val="a3"/>
              <w:rFonts w:hint="eastAsia"/>
            </w:rPr>
            <w:t>单击或点击此处输入文字。</w:t>
          </w:r>
        </w:p>
      </w:docPartBody>
    </w:docPart>
    <w:docPart>
      <w:docPartPr>
        <w:name w:val="94D66E61CAAF4383AE6CDCE465418F8B"/>
        <w:category>
          <w:name w:val="常规"/>
          <w:gallery w:val="placeholder"/>
        </w:category>
        <w:types>
          <w:type w:val="bbPlcHdr"/>
        </w:types>
        <w:behaviors>
          <w:behavior w:val="content"/>
        </w:behaviors>
        <w:guid w:val="{9C82C2D2-57F2-46D4-B006-AA79C7561BB9}"/>
      </w:docPartPr>
      <w:docPartBody>
        <w:p w:rsidR="00246071" w:rsidRDefault="00823E5D" w:rsidP="00823E5D">
          <w:pPr>
            <w:pStyle w:val="94D66E61CAAF4383AE6CDCE465418F8B"/>
          </w:pPr>
          <w:r w:rsidRPr="001852D3">
            <w:rPr>
              <w:rStyle w:val="a3"/>
              <w:rFonts w:hint="eastAsia"/>
            </w:rPr>
            <w:t xml:space="preserve">　</w:t>
          </w:r>
        </w:p>
      </w:docPartBody>
    </w:docPart>
    <w:docPart>
      <w:docPartPr>
        <w:name w:val="894B2C27F02941C3AA52D46327730CD7"/>
        <w:category>
          <w:name w:val="常规"/>
          <w:gallery w:val="placeholder"/>
        </w:category>
        <w:types>
          <w:type w:val="bbPlcHdr"/>
        </w:types>
        <w:behaviors>
          <w:behavior w:val="content"/>
        </w:behaviors>
        <w:guid w:val="{BBC0E43F-8B73-4135-85C2-23FC17C07FC0}"/>
      </w:docPartPr>
      <w:docPartBody>
        <w:p w:rsidR="00246071" w:rsidRDefault="00823E5D" w:rsidP="00823E5D">
          <w:pPr>
            <w:pStyle w:val="894B2C27F02941C3AA52D46327730CD7"/>
          </w:pPr>
          <w:r w:rsidRPr="009D3B62">
            <w:rPr>
              <w:rStyle w:val="a3"/>
              <w:rFonts w:hint="eastAsia"/>
            </w:rPr>
            <w:t>单击或点击此处输入文字。</w:t>
          </w:r>
        </w:p>
      </w:docPartBody>
    </w:docPart>
    <w:docPart>
      <w:docPartPr>
        <w:name w:val="638AED0DC5AC4958B423F8867C68076A"/>
        <w:category>
          <w:name w:val="常规"/>
          <w:gallery w:val="placeholder"/>
        </w:category>
        <w:types>
          <w:type w:val="bbPlcHdr"/>
        </w:types>
        <w:behaviors>
          <w:behavior w:val="content"/>
        </w:behaviors>
        <w:guid w:val="{3907033E-D7B8-42A6-8B98-4C9E3C6CB571}"/>
      </w:docPartPr>
      <w:docPartBody>
        <w:p w:rsidR="00246071" w:rsidRDefault="00823E5D" w:rsidP="00823E5D">
          <w:pPr>
            <w:pStyle w:val="638AED0DC5AC4958B423F8867C68076A"/>
          </w:pPr>
          <w:r w:rsidRPr="001852D3">
            <w:rPr>
              <w:rStyle w:val="a3"/>
              <w:rFonts w:hint="eastAsia"/>
            </w:rPr>
            <w:t xml:space="preserve">　</w:t>
          </w:r>
        </w:p>
      </w:docPartBody>
    </w:docPart>
    <w:docPart>
      <w:docPartPr>
        <w:name w:val="32E2895EA715427F98F6AC8C5F4938E6"/>
        <w:category>
          <w:name w:val="常规"/>
          <w:gallery w:val="placeholder"/>
        </w:category>
        <w:types>
          <w:type w:val="bbPlcHdr"/>
        </w:types>
        <w:behaviors>
          <w:behavior w:val="content"/>
        </w:behaviors>
        <w:guid w:val="{96D8557A-27A7-4C98-8E85-CBEC02637E92}"/>
      </w:docPartPr>
      <w:docPartBody>
        <w:p w:rsidR="00246071" w:rsidRDefault="00823E5D" w:rsidP="00823E5D">
          <w:pPr>
            <w:pStyle w:val="32E2895EA715427F98F6AC8C5F4938E6"/>
          </w:pPr>
          <w:r w:rsidRPr="009D3B62">
            <w:rPr>
              <w:rStyle w:val="a3"/>
              <w:rFonts w:hint="eastAsia"/>
            </w:rPr>
            <w:t>单击或点击此处输入文字。</w:t>
          </w:r>
        </w:p>
      </w:docPartBody>
    </w:docPart>
    <w:docPart>
      <w:docPartPr>
        <w:name w:val="0CA56487021F4366A71982D1A3108141"/>
        <w:category>
          <w:name w:val="常规"/>
          <w:gallery w:val="placeholder"/>
        </w:category>
        <w:types>
          <w:type w:val="bbPlcHdr"/>
        </w:types>
        <w:behaviors>
          <w:behavior w:val="content"/>
        </w:behaviors>
        <w:guid w:val="{23A1ACF5-93A0-457C-ABA6-19E3FFB156EF}"/>
      </w:docPartPr>
      <w:docPartBody>
        <w:p w:rsidR="00246071" w:rsidRDefault="00823E5D" w:rsidP="00823E5D">
          <w:pPr>
            <w:pStyle w:val="0CA56487021F4366A71982D1A3108141"/>
          </w:pPr>
          <w:r w:rsidRPr="001852D3">
            <w:rPr>
              <w:rStyle w:val="a3"/>
              <w:rFonts w:hint="eastAsia"/>
            </w:rPr>
            <w:t xml:space="preserve">　</w:t>
          </w:r>
        </w:p>
      </w:docPartBody>
    </w:docPart>
    <w:docPart>
      <w:docPartPr>
        <w:name w:val="43EBC70C8F6D47029DD90B93C55A14C4"/>
        <w:category>
          <w:name w:val="常规"/>
          <w:gallery w:val="placeholder"/>
        </w:category>
        <w:types>
          <w:type w:val="bbPlcHdr"/>
        </w:types>
        <w:behaviors>
          <w:behavior w:val="content"/>
        </w:behaviors>
        <w:guid w:val="{D4C02E4D-0B5E-42E5-93EE-7B0A1E7F6AEF}"/>
      </w:docPartPr>
      <w:docPartBody>
        <w:p w:rsidR="00246071" w:rsidRDefault="00823E5D" w:rsidP="00823E5D">
          <w:pPr>
            <w:pStyle w:val="43EBC70C8F6D47029DD90B93C55A14C4"/>
          </w:pPr>
          <w:r w:rsidRPr="009D3B62">
            <w:rPr>
              <w:rStyle w:val="a3"/>
              <w:rFonts w:hint="eastAsia"/>
            </w:rPr>
            <w:t>单击或点击此处输入文字。</w:t>
          </w:r>
        </w:p>
      </w:docPartBody>
    </w:docPart>
    <w:docPart>
      <w:docPartPr>
        <w:name w:val="EA9900C070584A7E84C0B1E5FEC31324"/>
        <w:category>
          <w:name w:val="常规"/>
          <w:gallery w:val="placeholder"/>
        </w:category>
        <w:types>
          <w:type w:val="bbPlcHdr"/>
        </w:types>
        <w:behaviors>
          <w:behavior w:val="content"/>
        </w:behaviors>
        <w:guid w:val="{6010B8B2-9498-4DB9-BC89-803C992704ED}"/>
      </w:docPartPr>
      <w:docPartBody>
        <w:p w:rsidR="00246071" w:rsidRDefault="00823E5D" w:rsidP="00823E5D">
          <w:pPr>
            <w:pStyle w:val="EA9900C070584A7E84C0B1E5FEC31324"/>
          </w:pPr>
          <w:r w:rsidRPr="001852D3">
            <w:rPr>
              <w:rStyle w:val="a3"/>
              <w:rFonts w:hint="eastAsia"/>
            </w:rPr>
            <w:t xml:space="preserve">　</w:t>
          </w:r>
        </w:p>
      </w:docPartBody>
    </w:docPart>
    <w:docPart>
      <w:docPartPr>
        <w:name w:val="F8AC5B48B5EE44A38D772465DA394D82"/>
        <w:category>
          <w:name w:val="常规"/>
          <w:gallery w:val="placeholder"/>
        </w:category>
        <w:types>
          <w:type w:val="bbPlcHdr"/>
        </w:types>
        <w:behaviors>
          <w:behavior w:val="content"/>
        </w:behaviors>
        <w:guid w:val="{48EB6508-37FF-4BE5-AB5B-BA3434518ACA}"/>
      </w:docPartPr>
      <w:docPartBody>
        <w:p w:rsidR="00246071" w:rsidRDefault="00823E5D" w:rsidP="00823E5D">
          <w:pPr>
            <w:pStyle w:val="F8AC5B48B5EE44A38D772465DA394D82"/>
          </w:pPr>
          <w:r w:rsidRPr="001852D3">
            <w:rPr>
              <w:rStyle w:val="a3"/>
              <w:rFonts w:hint="eastAsia"/>
            </w:rPr>
            <w:t xml:space="preserve">　</w:t>
          </w:r>
        </w:p>
      </w:docPartBody>
    </w:docPart>
    <w:docPart>
      <w:docPartPr>
        <w:name w:val="DEAAABCA1C974778BA2A38A4ECBA805F"/>
        <w:category>
          <w:name w:val="常规"/>
          <w:gallery w:val="placeholder"/>
        </w:category>
        <w:types>
          <w:type w:val="bbPlcHdr"/>
        </w:types>
        <w:behaviors>
          <w:behavior w:val="content"/>
        </w:behaviors>
        <w:guid w:val="{69E28F14-A403-4B44-8476-C55C846390B9}"/>
      </w:docPartPr>
      <w:docPartBody>
        <w:p w:rsidR="00246071" w:rsidRDefault="00823E5D" w:rsidP="00823E5D">
          <w:pPr>
            <w:pStyle w:val="DEAAABCA1C974778BA2A38A4ECBA805F"/>
          </w:pPr>
          <w:r w:rsidRPr="001852D3">
            <w:rPr>
              <w:rStyle w:val="a3"/>
              <w:rFonts w:hint="eastAsia"/>
            </w:rPr>
            <w:t xml:space="preserve">　</w:t>
          </w:r>
        </w:p>
      </w:docPartBody>
    </w:docPart>
    <w:docPart>
      <w:docPartPr>
        <w:name w:val="7A12F8DF15724B62A6ACA095EF8DD699"/>
        <w:category>
          <w:name w:val="常规"/>
          <w:gallery w:val="placeholder"/>
        </w:category>
        <w:types>
          <w:type w:val="bbPlcHdr"/>
        </w:types>
        <w:behaviors>
          <w:behavior w:val="content"/>
        </w:behaviors>
        <w:guid w:val="{5AD4F14C-E644-4AF2-98F6-052F6245CA09}"/>
      </w:docPartPr>
      <w:docPartBody>
        <w:p w:rsidR="00246071" w:rsidRDefault="00823E5D" w:rsidP="00823E5D">
          <w:pPr>
            <w:pStyle w:val="7A12F8DF15724B62A6ACA095EF8DD699"/>
          </w:pPr>
          <w:r w:rsidRPr="009D3B62">
            <w:rPr>
              <w:rStyle w:val="a3"/>
              <w:rFonts w:hint="eastAsia"/>
            </w:rPr>
            <w:t>单击或点击此处输入文字。</w:t>
          </w:r>
        </w:p>
      </w:docPartBody>
    </w:docPart>
    <w:docPart>
      <w:docPartPr>
        <w:name w:val="6C717FBFACA347DAB100EF85504E657C"/>
        <w:category>
          <w:name w:val="常规"/>
          <w:gallery w:val="placeholder"/>
        </w:category>
        <w:types>
          <w:type w:val="bbPlcHdr"/>
        </w:types>
        <w:behaviors>
          <w:behavior w:val="content"/>
        </w:behaviors>
        <w:guid w:val="{E65AB83A-BD9E-4ADD-B73F-66155953D417}"/>
      </w:docPartPr>
      <w:docPartBody>
        <w:p w:rsidR="00246071" w:rsidRDefault="00823E5D" w:rsidP="00823E5D">
          <w:pPr>
            <w:pStyle w:val="6C717FBFACA347DAB100EF85504E657C"/>
          </w:pPr>
          <w:r w:rsidRPr="001852D3">
            <w:rPr>
              <w:rStyle w:val="a3"/>
              <w:rFonts w:hint="eastAsia"/>
            </w:rPr>
            <w:t xml:space="preserve">　</w:t>
          </w:r>
        </w:p>
      </w:docPartBody>
    </w:docPart>
    <w:docPart>
      <w:docPartPr>
        <w:name w:val="21CDE798C933497B8E065BB733A8B089"/>
        <w:category>
          <w:name w:val="常规"/>
          <w:gallery w:val="placeholder"/>
        </w:category>
        <w:types>
          <w:type w:val="bbPlcHdr"/>
        </w:types>
        <w:behaviors>
          <w:behavior w:val="content"/>
        </w:behaviors>
        <w:guid w:val="{629C22F6-4EE8-41FA-95C0-A086800664B0}"/>
      </w:docPartPr>
      <w:docPartBody>
        <w:p w:rsidR="00246071" w:rsidRDefault="00823E5D" w:rsidP="00823E5D">
          <w:pPr>
            <w:pStyle w:val="21CDE798C933497B8E065BB733A8B089"/>
          </w:pPr>
          <w:r w:rsidRPr="009D3B62">
            <w:rPr>
              <w:rStyle w:val="a3"/>
              <w:rFonts w:hint="eastAsia"/>
            </w:rPr>
            <w:t>单击或点击此处输入文字。</w:t>
          </w:r>
        </w:p>
      </w:docPartBody>
    </w:docPart>
    <w:docPart>
      <w:docPartPr>
        <w:name w:val="DB4BB52DFD974F2C9C95F6828E44501D"/>
        <w:category>
          <w:name w:val="常规"/>
          <w:gallery w:val="placeholder"/>
        </w:category>
        <w:types>
          <w:type w:val="bbPlcHdr"/>
        </w:types>
        <w:behaviors>
          <w:behavior w:val="content"/>
        </w:behaviors>
        <w:guid w:val="{BCD48BA9-16D7-4867-9AEF-703EB0E2D391}"/>
      </w:docPartPr>
      <w:docPartBody>
        <w:p w:rsidR="00246071" w:rsidRDefault="00823E5D" w:rsidP="00823E5D">
          <w:pPr>
            <w:pStyle w:val="DB4BB52DFD974F2C9C95F6828E44501D"/>
          </w:pPr>
          <w:r w:rsidRPr="001852D3">
            <w:rPr>
              <w:rStyle w:val="a3"/>
              <w:rFonts w:hint="eastAsia"/>
            </w:rPr>
            <w:t xml:space="preserve">　</w:t>
          </w:r>
        </w:p>
      </w:docPartBody>
    </w:docPart>
    <w:docPart>
      <w:docPartPr>
        <w:name w:val="38F40DA0E9944BE9B766DE9A5D10E715"/>
        <w:category>
          <w:name w:val="常规"/>
          <w:gallery w:val="placeholder"/>
        </w:category>
        <w:types>
          <w:type w:val="bbPlcHdr"/>
        </w:types>
        <w:behaviors>
          <w:behavior w:val="content"/>
        </w:behaviors>
        <w:guid w:val="{0CEDA79B-8FA9-4312-B25D-204FADD23288}"/>
      </w:docPartPr>
      <w:docPartBody>
        <w:p w:rsidR="00246071" w:rsidRDefault="00823E5D" w:rsidP="00823E5D">
          <w:pPr>
            <w:pStyle w:val="38F40DA0E9944BE9B766DE9A5D10E715"/>
          </w:pPr>
          <w:r w:rsidRPr="001852D3">
            <w:rPr>
              <w:rStyle w:val="a3"/>
              <w:rFonts w:hint="eastAsia"/>
            </w:rPr>
            <w:t xml:space="preserve">　</w:t>
          </w:r>
        </w:p>
      </w:docPartBody>
    </w:docPart>
    <w:docPart>
      <w:docPartPr>
        <w:name w:val="4319CD69E25549FD90DEE902259FC074"/>
        <w:category>
          <w:name w:val="常规"/>
          <w:gallery w:val="placeholder"/>
        </w:category>
        <w:types>
          <w:type w:val="bbPlcHdr"/>
        </w:types>
        <w:behaviors>
          <w:behavior w:val="content"/>
        </w:behaviors>
        <w:guid w:val="{6E41E9B8-CD72-418A-9D7B-F548180FD811}"/>
      </w:docPartPr>
      <w:docPartBody>
        <w:p w:rsidR="00246071" w:rsidRDefault="00823E5D" w:rsidP="00823E5D">
          <w:pPr>
            <w:pStyle w:val="4319CD69E25549FD90DEE902259FC074"/>
          </w:pPr>
          <w:r w:rsidRPr="001852D3">
            <w:rPr>
              <w:rStyle w:val="a3"/>
              <w:rFonts w:hint="eastAsia"/>
            </w:rPr>
            <w:t xml:space="preserve">　</w:t>
          </w:r>
        </w:p>
      </w:docPartBody>
    </w:docPart>
    <w:docPart>
      <w:docPartPr>
        <w:name w:val="9AD69D3097E34AACB99696021DA17334"/>
        <w:category>
          <w:name w:val="常规"/>
          <w:gallery w:val="placeholder"/>
        </w:category>
        <w:types>
          <w:type w:val="bbPlcHdr"/>
        </w:types>
        <w:behaviors>
          <w:behavior w:val="content"/>
        </w:behaviors>
        <w:guid w:val="{F356200D-3AA0-425A-8172-8C4EEB0E861C}"/>
      </w:docPartPr>
      <w:docPartBody>
        <w:p w:rsidR="00246071" w:rsidRDefault="00823E5D" w:rsidP="00823E5D">
          <w:pPr>
            <w:pStyle w:val="9AD69D3097E34AACB99696021DA17334"/>
          </w:pPr>
          <w:r w:rsidRPr="009D3B62">
            <w:rPr>
              <w:rStyle w:val="a3"/>
              <w:rFonts w:hint="eastAsia"/>
            </w:rPr>
            <w:t>单击或点击此处输入文字。</w:t>
          </w:r>
        </w:p>
      </w:docPartBody>
    </w:docPart>
    <w:docPart>
      <w:docPartPr>
        <w:name w:val="D611CADFD00C4C4C927E3171764D8985"/>
        <w:category>
          <w:name w:val="常规"/>
          <w:gallery w:val="placeholder"/>
        </w:category>
        <w:types>
          <w:type w:val="bbPlcHdr"/>
        </w:types>
        <w:behaviors>
          <w:behavior w:val="content"/>
        </w:behaviors>
        <w:guid w:val="{9D983E55-8B70-4A02-8D57-54222B85399A}"/>
      </w:docPartPr>
      <w:docPartBody>
        <w:p w:rsidR="00246071" w:rsidRDefault="00823E5D" w:rsidP="00823E5D">
          <w:pPr>
            <w:pStyle w:val="D611CADFD00C4C4C927E3171764D8985"/>
          </w:pPr>
          <w:r w:rsidRPr="001852D3">
            <w:rPr>
              <w:rStyle w:val="a3"/>
              <w:rFonts w:hint="eastAsia"/>
            </w:rPr>
            <w:t xml:space="preserve">　</w:t>
          </w:r>
        </w:p>
      </w:docPartBody>
    </w:docPart>
    <w:docPart>
      <w:docPartPr>
        <w:name w:val="771E34BCC1394A20BE1174FE796E9E06"/>
        <w:category>
          <w:name w:val="常规"/>
          <w:gallery w:val="placeholder"/>
        </w:category>
        <w:types>
          <w:type w:val="bbPlcHdr"/>
        </w:types>
        <w:behaviors>
          <w:behavior w:val="content"/>
        </w:behaviors>
        <w:guid w:val="{EEB57CB0-5387-4E41-9FDC-2BE05119943D}"/>
      </w:docPartPr>
      <w:docPartBody>
        <w:p w:rsidR="00246071" w:rsidRDefault="00823E5D" w:rsidP="00823E5D">
          <w:pPr>
            <w:pStyle w:val="771E34BCC1394A20BE1174FE796E9E06"/>
          </w:pPr>
          <w:r w:rsidRPr="009D3B62">
            <w:rPr>
              <w:rStyle w:val="a3"/>
              <w:rFonts w:hint="eastAsia"/>
            </w:rPr>
            <w:t>单击或点击此处输入文字。</w:t>
          </w:r>
        </w:p>
      </w:docPartBody>
    </w:docPart>
    <w:docPart>
      <w:docPartPr>
        <w:name w:val="DefaultPlaceholder_-1854013440"/>
        <w:category>
          <w:name w:val="常规"/>
          <w:gallery w:val="placeholder"/>
        </w:category>
        <w:types>
          <w:type w:val="bbPlcHdr"/>
        </w:types>
        <w:behaviors>
          <w:behavior w:val="content"/>
        </w:behaviors>
        <w:guid w:val="{BE0DF59D-15BF-4530-AD33-7E3E8102E541}"/>
      </w:docPartPr>
      <w:docPartBody>
        <w:p w:rsidR="00E9081F" w:rsidRDefault="006B11BD">
          <w:r w:rsidRPr="00534CEC">
            <w:rPr>
              <w:rStyle w:val="a3"/>
              <w:rFonts w:hint="eastAsia"/>
            </w:rPr>
            <w:t>单击或点击此处输入文字。</w:t>
          </w:r>
        </w:p>
      </w:docPartBody>
    </w:docPart>
    <w:docPart>
      <w:docPartPr>
        <w:name w:val="FE86601F13554516A734E0C2ADE0CE82"/>
        <w:category>
          <w:name w:val="常规"/>
          <w:gallery w:val="placeholder"/>
        </w:category>
        <w:types>
          <w:type w:val="bbPlcHdr"/>
        </w:types>
        <w:behaviors>
          <w:behavior w:val="content"/>
        </w:behaviors>
        <w:guid w:val="{A21CCDA4-8BA7-46C0-BBB0-22276AEF789B}"/>
      </w:docPartPr>
      <w:docPartBody>
        <w:p w:rsidR="00E9081F" w:rsidRDefault="006B11BD" w:rsidP="006B11BD">
          <w:pPr>
            <w:pStyle w:val="FE86601F13554516A734E0C2ADE0CE82"/>
          </w:pPr>
          <w:r w:rsidRPr="002524F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SimSun-Identity-H">
    <w:altName w:val="方正舒体"/>
    <w:panose1 w:val="00000000000000000000"/>
    <w:charset w:val="86"/>
    <w:family w:val="auto"/>
    <w:notTrueType/>
    <w:pitch w:val="default"/>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 w:name="MHei-Light-Identity-H">
    <w:altName w:val="MingLiU-ExtB"/>
    <w:charset w:val="88"/>
    <w:family w:val="auto"/>
    <w:pitch w:val="default"/>
    <w:sig w:usb0="00000000"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50E43"/>
    <w:rsid w:val="0000161E"/>
    <w:rsid w:val="00002689"/>
    <w:rsid w:val="0000578B"/>
    <w:rsid w:val="00006480"/>
    <w:rsid w:val="00006B48"/>
    <w:rsid w:val="00011C18"/>
    <w:rsid w:val="00011E75"/>
    <w:rsid w:val="00012653"/>
    <w:rsid w:val="00012A0F"/>
    <w:rsid w:val="00013B71"/>
    <w:rsid w:val="00020357"/>
    <w:rsid w:val="00020D37"/>
    <w:rsid w:val="00021BC4"/>
    <w:rsid w:val="000234EA"/>
    <w:rsid w:val="0002361B"/>
    <w:rsid w:val="000236A0"/>
    <w:rsid w:val="0002605F"/>
    <w:rsid w:val="000278B2"/>
    <w:rsid w:val="00031EC1"/>
    <w:rsid w:val="00032504"/>
    <w:rsid w:val="00032ECB"/>
    <w:rsid w:val="000336AB"/>
    <w:rsid w:val="000353DC"/>
    <w:rsid w:val="0003608F"/>
    <w:rsid w:val="000373E9"/>
    <w:rsid w:val="000403D5"/>
    <w:rsid w:val="00040A6F"/>
    <w:rsid w:val="00044179"/>
    <w:rsid w:val="00044916"/>
    <w:rsid w:val="00045444"/>
    <w:rsid w:val="000554CD"/>
    <w:rsid w:val="00055561"/>
    <w:rsid w:val="000565A1"/>
    <w:rsid w:val="0005740A"/>
    <w:rsid w:val="00061F65"/>
    <w:rsid w:val="000633F4"/>
    <w:rsid w:val="00063874"/>
    <w:rsid w:val="00063CC6"/>
    <w:rsid w:val="00065B5A"/>
    <w:rsid w:val="000667C2"/>
    <w:rsid w:val="00067DCC"/>
    <w:rsid w:val="00070ACB"/>
    <w:rsid w:val="00070BF0"/>
    <w:rsid w:val="00076D57"/>
    <w:rsid w:val="0007717F"/>
    <w:rsid w:val="00077530"/>
    <w:rsid w:val="000802FD"/>
    <w:rsid w:val="00081D6E"/>
    <w:rsid w:val="00082580"/>
    <w:rsid w:val="00083A50"/>
    <w:rsid w:val="00083B00"/>
    <w:rsid w:val="00083C63"/>
    <w:rsid w:val="00084E8F"/>
    <w:rsid w:val="00085A90"/>
    <w:rsid w:val="00087193"/>
    <w:rsid w:val="00087F7B"/>
    <w:rsid w:val="0009029E"/>
    <w:rsid w:val="00090A6F"/>
    <w:rsid w:val="00091B0E"/>
    <w:rsid w:val="00093BE5"/>
    <w:rsid w:val="000958C3"/>
    <w:rsid w:val="00096466"/>
    <w:rsid w:val="000A1F58"/>
    <w:rsid w:val="000A31F9"/>
    <w:rsid w:val="000B3464"/>
    <w:rsid w:val="000B5761"/>
    <w:rsid w:val="000B5C82"/>
    <w:rsid w:val="000C50BC"/>
    <w:rsid w:val="000C5E8F"/>
    <w:rsid w:val="000C5F2F"/>
    <w:rsid w:val="000C656D"/>
    <w:rsid w:val="000D0276"/>
    <w:rsid w:val="000E18BB"/>
    <w:rsid w:val="000E3728"/>
    <w:rsid w:val="000E5940"/>
    <w:rsid w:val="000E7091"/>
    <w:rsid w:val="000E7B4D"/>
    <w:rsid w:val="000F0BE1"/>
    <w:rsid w:val="000F147D"/>
    <w:rsid w:val="000F3B57"/>
    <w:rsid w:val="000F41A3"/>
    <w:rsid w:val="000F440D"/>
    <w:rsid w:val="000F597A"/>
    <w:rsid w:val="000F7993"/>
    <w:rsid w:val="001002C0"/>
    <w:rsid w:val="00101C5F"/>
    <w:rsid w:val="00101EE7"/>
    <w:rsid w:val="00103415"/>
    <w:rsid w:val="00105693"/>
    <w:rsid w:val="00105B3C"/>
    <w:rsid w:val="00110AE1"/>
    <w:rsid w:val="001111ED"/>
    <w:rsid w:val="00112E0D"/>
    <w:rsid w:val="001130FF"/>
    <w:rsid w:val="00114109"/>
    <w:rsid w:val="00114DC0"/>
    <w:rsid w:val="00114EE3"/>
    <w:rsid w:val="00117118"/>
    <w:rsid w:val="0011797F"/>
    <w:rsid w:val="001179BE"/>
    <w:rsid w:val="00122BB8"/>
    <w:rsid w:val="001279CA"/>
    <w:rsid w:val="00132C46"/>
    <w:rsid w:val="00133739"/>
    <w:rsid w:val="00140824"/>
    <w:rsid w:val="0014233D"/>
    <w:rsid w:val="00142487"/>
    <w:rsid w:val="001425FD"/>
    <w:rsid w:val="00142BBE"/>
    <w:rsid w:val="00143BEA"/>
    <w:rsid w:val="00144665"/>
    <w:rsid w:val="00151EE9"/>
    <w:rsid w:val="00152DC3"/>
    <w:rsid w:val="00152F0F"/>
    <w:rsid w:val="0015578A"/>
    <w:rsid w:val="00156761"/>
    <w:rsid w:val="00157128"/>
    <w:rsid w:val="00162B35"/>
    <w:rsid w:val="00165D2C"/>
    <w:rsid w:val="00167914"/>
    <w:rsid w:val="00167B4F"/>
    <w:rsid w:val="001705F9"/>
    <w:rsid w:val="001722CC"/>
    <w:rsid w:val="00173A68"/>
    <w:rsid w:val="001812E2"/>
    <w:rsid w:val="00183634"/>
    <w:rsid w:val="00184093"/>
    <w:rsid w:val="0018427A"/>
    <w:rsid w:val="00186ABA"/>
    <w:rsid w:val="00190BFB"/>
    <w:rsid w:val="00191DA7"/>
    <w:rsid w:val="00191ED7"/>
    <w:rsid w:val="00192056"/>
    <w:rsid w:val="001940A4"/>
    <w:rsid w:val="001967D6"/>
    <w:rsid w:val="00197942"/>
    <w:rsid w:val="001A2D80"/>
    <w:rsid w:val="001A3E54"/>
    <w:rsid w:val="001A4390"/>
    <w:rsid w:val="001A4BF1"/>
    <w:rsid w:val="001A57A7"/>
    <w:rsid w:val="001A5C0B"/>
    <w:rsid w:val="001A79B6"/>
    <w:rsid w:val="001B1217"/>
    <w:rsid w:val="001B2FBB"/>
    <w:rsid w:val="001B3DB4"/>
    <w:rsid w:val="001B40F8"/>
    <w:rsid w:val="001B64A1"/>
    <w:rsid w:val="001B7441"/>
    <w:rsid w:val="001B7C3F"/>
    <w:rsid w:val="001C18E2"/>
    <w:rsid w:val="001C2312"/>
    <w:rsid w:val="001C6758"/>
    <w:rsid w:val="001D261F"/>
    <w:rsid w:val="001D2ED1"/>
    <w:rsid w:val="001E2A87"/>
    <w:rsid w:val="001E7AC2"/>
    <w:rsid w:val="001F792E"/>
    <w:rsid w:val="001F7AEB"/>
    <w:rsid w:val="00202BF5"/>
    <w:rsid w:val="00203E4B"/>
    <w:rsid w:val="002040F5"/>
    <w:rsid w:val="002118F6"/>
    <w:rsid w:val="00214451"/>
    <w:rsid w:val="002157E5"/>
    <w:rsid w:val="002203AB"/>
    <w:rsid w:val="00222C1F"/>
    <w:rsid w:val="00223F84"/>
    <w:rsid w:val="002318AF"/>
    <w:rsid w:val="00235A03"/>
    <w:rsid w:val="00235CE8"/>
    <w:rsid w:val="00237E37"/>
    <w:rsid w:val="00237F24"/>
    <w:rsid w:val="00240BD1"/>
    <w:rsid w:val="00240E59"/>
    <w:rsid w:val="00241AA2"/>
    <w:rsid w:val="002424E5"/>
    <w:rsid w:val="00242BA5"/>
    <w:rsid w:val="00245E71"/>
    <w:rsid w:val="00246071"/>
    <w:rsid w:val="00246DDB"/>
    <w:rsid w:val="00247189"/>
    <w:rsid w:val="0025162E"/>
    <w:rsid w:val="00252183"/>
    <w:rsid w:val="0025254C"/>
    <w:rsid w:val="00255510"/>
    <w:rsid w:val="0026700C"/>
    <w:rsid w:val="00267758"/>
    <w:rsid w:val="0027269C"/>
    <w:rsid w:val="00277A8A"/>
    <w:rsid w:val="002806A5"/>
    <w:rsid w:val="00282709"/>
    <w:rsid w:val="00291691"/>
    <w:rsid w:val="002939B4"/>
    <w:rsid w:val="00295B2D"/>
    <w:rsid w:val="00296AA3"/>
    <w:rsid w:val="002A01D2"/>
    <w:rsid w:val="002A047F"/>
    <w:rsid w:val="002A133C"/>
    <w:rsid w:val="002A1B3D"/>
    <w:rsid w:val="002A3D43"/>
    <w:rsid w:val="002A7833"/>
    <w:rsid w:val="002B0D5C"/>
    <w:rsid w:val="002B2E1D"/>
    <w:rsid w:val="002B6A1A"/>
    <w:rsid w:val="002B7219"/>
    <w:rsid w:val="002C052B"/>
    <w:rsid w:val="002C1384"/>
    <w:rsid w:val="002C1FA8"/>
    <w:rsid w:val="002C4EDD"/>
    <w:rsid w:val="002C60AD"/>
    <w:rsid w:val="002C74B0"/>
    <w:rsid w:val="002C7F45"/>
    <w:rsid w:val="002D1456"/>
    <w:rsid w:val="002D36DA"/>
    <w:rsid w:val="002D3F31"/>
    <w:rsid w:val="002D5902"/>
    <w:rsid w:val="002D6E4F"/>
    <w:rsid w:val="002D6EFF"/>
    <w:rsid w:val="002D76CF"/>
    <w:rsid w:val="002E51D6"/>
    <w:rsid w:val="002E52A1"/>
    <w:rsid w:val="002F2BCD"/>
    <w:rsid w:val="003023FA"/>
    <w:rsid w:val="0030473E"/>
    <w:rsid w:val="003052E1"/>
    <w:rsid w:val="00305936"/>
    <w:rsid w:val="003076E0"/>
    <w:rsid w:val="003107C9"/>
    <w:rsid w:val="00311067"/>
    <w:rsid w:val="00313916"/>
    <w:rsid w:val="003145A5"/>
    <w:rsid w:val="003161CE"/>
    <w:rsid w:val="00321D6D"/>
    <w:rsid w:val="00323E29"/>
    <w:rsid w:val="0032625F"/>
    <w:rsid w:val="003262C7"/>
    <w:rsid w:val="00326ECB"/>
    <w:rsid w:val="003333AF"/>
    <w:rsid w:val="00335DE6"/>
    <w:rsid w:val="00342477"/>
    <w:rsid w:val="00343D04"/>
    <w:rsid w:val="00344D91"/>
    <w:rsid w:val="00353AE0"/>
    <w:rsid w:val="00356A92"/>
    <w:rsid w:val="00357D61"/>
    <w:rsid w:val="00363E3B"/>
    <w:rsid w:val="0037315D"/>
    <w:rsid w:val="00374D45"/>
    <w:rsid w:val="00377616"/>
    <w:rsid w:val="003804EA"/>
    <w:rsid w:val="00381BC0"/>
    <w:rsid w:val="00382F4F"/>
    <w:rsid w:val="00386864"/>
    <w:rsid w:val="0039064D"/>
    <w:rsid w:val="003908FA"/>
    <w:rsid w:val="0039324D"/>
    <w:rsid w:val="003962B1"/>
    <w:rsid w:val="003967B0"/>
    <w:rsid w:val="003A26AD"/>
    <w:rsid w:val="003A2DE3"/>
    <w:rsid w:val="003A4370"/>
    <w:rsid w:val="003A5ECC"/>
    <w:rsid w:val="003A61DE"/>
    <w:rsid w:val="003A6580"/>
    <w:rsid w:val="003A738C"/>
    <w:rsid w:val="003B2E3D"/>
    <w:rsid w:val="003B4A6B"/>
    <w:rsid w:val="003B4D40"/>
    <w:rsid w:val="003C0C12"/>
    <w:rsid w:val="003C1982"/>
    <w:rsid w:val="003C1EE8"/>
    <w:rsid w:val="003C44B4"/>
    <w:rsid w:val="003C5569"/>
    <w:rsid w:val="003C56E7"/>
    <w:rsid w:val="003D0725"/>
    <w:rsid w:val="003D3FEC"/>
    <w:rsid w:val="003D5E62"/>
    <w:rsid w:val="003D7851"/>
    <w:rsid w:val="003D7CE7"/>
    <w:rsid w:val="003E169C"/>
    <w:rsid w:val="003E29F3"/>
    <w:rsid w:val="003E3750"/>
    <w:rsid w:val="003E7481"/>
    <w:rsid w:val="003F10C8"/>
    <w:rsid w:val="003F1975"/>
    <w:rsid w:val="003F3961"/>
    <w:rsid w:val="003F3A03"/>
    <w:rsid w:val="003F61C2"/>
    <w:rsid w:val="0040196D"/>
    <w:rsid w:val="0040287B"/>
    <w:rsid w:val="004073B3"/>
    <w:rsid w:val="00410006"/>
    <w:rsid w:val="00410557"/>
    <w:rsid w:val="004140D9"/>
    <w:rsid w:val="00414CEC"/>
    <w:rsid w:val="004158B7"/>
    <w:rsid w:val="00415A60"/>
    <w:rsid w:val="004223B5"/>
    <w:rsid w:val="00424A0C"/>
    <w:rsid w:val="00425135"/>
    <w:rsid w:val="00426C92"/>
    <w:rsid w:val="0043080F"/>
    <w:rsid w:val="00432A1F"/>
    <w:rsid w:val="004336EF"/>
    <w:rsid w:val="0043488A"/>
    <w:rsid w:val="00440F19"/>
    <w:rsid w:val="0044105B"/>
    <w:rsid w:val="00442316"/>
    <w:rsid w:val="00442E13"/>
    <w:rsid w:val="00447E3B"/>
    <w:rsid w:val="004506BE"/>
    <w:rsid w:val="004533D1"/>
    <w:rsid w:val="00455499"/>
    <w:rsid w:val="00455B73"/>
    <w:rsid w:val="00455C0C"/>
    <w:rsid w:val="004565C9"/>
    <w:rsid w:val="00457596"/>
    <w:rsid w:val="00462366"/>
    <w:rsid w:val="004629D5"/>
    <w:rsid w:val="00470F61"/>
    <w:rsid w:val="004714A5"/>
    <w:rsid w:val="004714D5"/>
    <w:rsid w:val="004719CF"/>
    <w:rsid w:val="0047340A"/>
    <w:rsid w:val="004808A5"/>
    <w:rsid w:val="00480CD1"/>
    <w:rsid w:val="0048763F"/>
    <w:rsid w:val="00491337"/>
    <w:rsid w:val="0049223A"/>
    <w:rsid w:val="00492496"/>
    <w:rsid w:val="00492A9F"/>
    <w:rsid w:val="00493BA3"/>
    <w:rsid w:val="00494271"/>
    <w:rsid w:val="004942F5"/>
    <w:rsid w:val="0049694C"/>
    <w:rsid w:val="004A0313"/>
    <w:rsid w:val="004A20D7"/>
    <w:rsid w:val="004B03EC"/>
    <w:rsid w:val="004B2FA4"/>
    <w:rsid w:val="004B3148"/>
    <w:rsid w:val="004B325E"/>
    <w:rsid w:val="004B44B8"/>
    <w:rsid w:val="004B4CFF"/>
    <w:rsid w:val="004B54E9"/>
    <w:rsid w:val="004B59D6"/>
    <w:rsid w:val="004B6A92"/>
    <w:rsid w:val="004C0760"/>
    <w:rsid w:val="004C0CD8"/>
    <w:rsid w:val="004C13E9"/>
    <w:rsid w:val="004C43A4"/>
    <w:rsid w:val="004C559B"/>
    <w:rsid w:val="004C7259"/>
    <w:rsid w:val="004C76CE"/>
    <w:rsid w:val="004D13C4"/>
    <w:rsid w:val="004D1741"/>
    <w:rsid w:val="004D20EE"/>
    <w:rsid w:val="004D2666"/>
    <w:rsid w:val="004D2E52"/>
    <w:rsid w:val="004D431C"/>
    <w:rsid w:val="004D6AE4"/>
    <w:rsid w:val="004D7489"/>
    <w:rsid w:val="004D7840"/>
    <w:rsid w:val="004E04F7"/>
    <w:rsid w:val="004E19E9"/>
    <w:rsid w:val="004E3AF1"/>
    <w:rsid w:val="004E7288"/>
    <w:rsid w:val="004F009B"/>
    <w:rsid w:val="004F0706"/>
    <w:rsid w:val="004F207A"/>
    <w:rsid w:val="004F2904"/>
    <w:rsid w:val="004F6AED"/>
    <w:rsid w:val="004F7002"/>
    <w:rsid w:val="005027B4"/>
    <w:rsid w:val="005027F0"/>
    <w:rsid w:val="00503995"/>
    <w:rsid w:val="00504773"/>
    <w:rsid w:val="00506383"/>
    <w:rsid w:val="005068BC"/>
    <w:rsid w:val="005127FE"/>
    <w:rsid w:val="00516D73"/>
    <w:rsid w:val="00520485"/>
    <w:rsid w:val="00522F6B"/>
    <w:rsid w:val="00523110"/>
    <w:rsid w:val="00523875"/>
    <w:rsid w:val="00524D62"/>
    <w:rsid w:val="00525721"/>
    <w:rsid w:val="00526766"/>
    <w:rsid w:val="005268E0"/>
    <w:rsid w:val="00527DB2"/>
    <w:rsid w:val="005313CD"/>
    <w:rsid w:val="005335BB"/>
    <w:rsid w:val="00533650"/>
    <w:rsid w:val="00533F72"/>
    <w:rsid w:val="00536A57"/>
    <w:rsid w:val="00537979"/>
    <w:rsid w:val="005422E3"/>
    <w:rsid w:val="00542A0E"/>
    <w:rsid w:val="0054615B"/>
    <w:rsid w:val="005472A5"/>
    <w:rsid w:val="00550C78"/>
    <w:rsid w:val="00550DEC"/>
    <w:rsid w:val="00551DFD"/>
    <w:rsid w:val="00552952"/>
    <w:rsid w:val="00556A44"/>
    <w:rsid w:val="0055746E"/>
    <w:rsid w:val="00560A87"/>
    <w:rsid w:val="00562685"/>
    <w:rsid w:val="00564CD3"/>
    <w:rsid w:val="0056541D"/>
    <w:rsid w:val="005654AC"/>
    <w:rsid w:val="00565DA6"/>
    <w:rsid w:val="005670C9"/>
    <w:rsid w:val="00567462"/>
    <w:rsid w:val="00567CB4"/>
    <w:rsid w:val="00567D9E"/>
    <w:rsid w:val="00567F61"/>
    <w:rsid w:val="00571479"/>
    <w:rsid w:val="00573A32"/>
    <w:rsid w:val="005752A8"/>
    <w:rsid w:val="00575D97"/>
    <w:rsid w:val="00576019"/>
    <w:rsid w:val="005779AE"/>
    <w:rsid w:val="005821C1"/>
    <w:rsid w:val="005822A8"/>
    <w:rsid w:val="00582E12"/>
    <w:rsid w:val="005856BC"/>
    <w:rsid w:val="0058588D"/>
    <w:rsid w:val="0058790D"/>
    <w:rsid w:val="0059545D"/>
    <w:rsid w:val="005A2E6F"/>
    <w:rsid w:val="005A6D6C"/>
    <w:rsid w:val="005A6ED8"/>
    <w:rsid w:val="005B07B4"/>
    <w:rsid w:val="005B2C3C"/>
    <w:rsid w:val="005B3CB6"/>
    <w:rsid w:val="005B5439"/>
    <w:rsid w:val="005C028E"/>
    <w:rsid w:val="005C2D90"/>
    <w:rsid w:val="005C4B09"/>
    <w:rsid w:val="005C5DA2"/>
    <w:rsid w:val="005D64A0"/>
    <w:rsid w:val="005D6837"/>
    <w:rsid w:val="005D6C4C"/>
    <w:rsid w:val="005E2D1E"/>
    <w:rsid w:val="005E3B88"/>
    <w:rsid w:val="005E4703"/>
    <w:rsid w:val="005E61F9"/>
    <w:rsid w:val="005E63F7"/>
    <w:rsid w:val="005E7CE3"/>
    <w:rsid w:val="005F0430"/>
    <w:rsid w:val="005F1E03"/>
    <w:rsid w:val="005F3BA5"/>
    <w:rsid w:val="005F589F"/>
    <w:rsid w:val="006008DC"/>
    <w:rsid w:val="00601FDC"/>
    <w:rsid w:val="0060301F"/>
    <w:rsid w:val="006107EB"/>
    <w:rsid w:val="006126EC"/>
    <w:rsid w:val="00617EEA"/>
    <w:rsid w:val="0062450B"/>
    <w:rsid w:val="00624AF3"/>
    <w:rsid w:val="00626F2D"/>
    <w:rsid w:val="00626F33"/>
    <w:rsid w:val="006271F1"/>
    <w:rsid w:val="00627316"/>
    <w:rsid w:val="006277AF"/>
    <w:rsid w:val="00632279"/>
    <w:rsid w:val="00640DE1"/>
    <w:rsid w:val="0064157C"/>
    <w:rsid w:val="006416B8"/>
    <w:rsid w:val="006433CC"/>
    <w:rsid w:val="00643FA8"/>
    <w:rsid w:val="0064473F"/>
    <w:rsid w:val="00644CC2"/>
    <w:rsid w:val="00653689"/>
    <w:rsid w:val="00653904"/>
    <w:rsid w:val="00654ABD"/>
    <w:rsid w:val="0065606C"/>
    <w:rsid w:val="00664E7A"/>
    <w:rsid w:val="006679B5"/>
    <w:rsid w:val="00667ED8"/>
    <w:rsid w:val="0067183E"/>
    <w:rsid w:val="00671DB1"/>
    <w:rsid w:val="00672440"/>
    <w:rsid w:val="00674B33"/>
    <w:rsid w:val="0067564A"/>
    <w:rsid w:val="00675684"/>
    <w:rsid w:val="00676119"/>
    <w:rsid w:val="006812F1"/>
    <w:rsid w:val="0068287F"/>
    <w:rsid w:val="0068482C"/>
    <w:rsid w:val="0069152F"/>
    <w:rsid w:val="00696D0B"/>
    <w:rsid w:val="006A05A7"/>
    <w:rsid w:val="006A20D1"/>
    <w:rsid w:val="006A2991"/>
    <w:rsid w:val="006A6E01"/>
    <w:rsid w:val="006A7E2E"/>
    <w:rsid w:val="006B11BD"/>
    <w:rsid w:val="006B1968"/>
    <w:rsid w:val="006B25FE"/>
    <w:rsid w:val="006B2F1C"/>
    <w:rsid w:val="006B2F7C"/>
    <w:rsid w:val="006B428F"/>
    <w:rsid w:val="006B5B2D"/>
    <w:rsid w:val="006B5E23"/>
    <w:rsid w:val="006B626E"/>
    <w:rsid w:val="006B6DE4"/>
    <w:rsid w:val="006C0371"/>
    <w:rsid w:val="006C425B"/>
    <w:rsid w:val="006C4D76"/>
    <w:rsid w:val="006C4F96"/>
    <w:rsid w:val="006C5037"/>
    <w:rsid w:val="006C59BD"/>
    <w:rsid w:val="006C7EDF"/>
    <w:rsid w:val="006D0081"/>
    <w:rsid w:val="006D0624"/>
    <w:rsid w:val="006D0751"/>
    <w:rsid w:val="006D0FAE"/>
    <w:rsid w:val="006D2E8E"/>
    <w:rsid w:val="006D61A3"/>
    <w:rsid w:val="006D7649"/>
    <w:rsid w:val="006E5795"/>
    <w:rsid w:val="006E6B2E"/>
    <w:rsid w:val="006E7EC9"/>
    <w:rsid w:val="006F09DE"/>
    <w:rsid w:val="006F13FA"/>
    <w:rsid w:val="006F39D6"/>
    <w:rsid w:val="006F4FF6"/>
    <w:rsid w:val="00703C57"/>
    <w:rsid w:val="00705C49"/>
    <w:rsid w:val="00710A14"/>
    <w:rsid w:val="00711502"/>
    <w:rsid w:val="00712509"/>
    <w:rsid w:val="0071327A"/>
    <w:rsid w:val="007172CA"/>
    <w:rsid w:val="00731723"/>
    <w:rsid w:val="00732BBD"/>
    <w:rsid w:val="00734566"/>
    <w:rsid w:val="007355F3"/>
    <w:rsid w:val="00740175"/>
    <w:rsid w:val="00742B8F"/>
    <w:rsid w:val="007433AC"/>
    <w:rsid w:val="00743F53"/>
    <w:rsid w:val="0074600A"/>
    <w:rsid w:val="007534BD"/>
    <w:rsid w:val="00753789"/>
    <w:rsid w:val="0075396A"/>
    <w:rsid w:val="007571F3"/>
    <w:rsid w:val="00761DFB"/>
    <w:rsid w:val="00763A06"/>
    <w:rsid w:val="00764A07"/>
    <w:rsid w:val="00765FF6"/>
    <w:rsid w:val="007675EA"/>
    <w:rsid w:val="007729B5"/>
    <w:rsid w:val="00772AF0"/>
    <w:rsid w:val="0077360B"/>
    <w:rsid w:val="0077366C"/>
    <w:rsid w:val="007737FB"/>
    <w:rsid w:val="00774E2F"/>
    <w:rsid w:val="00775421"/>
    <w:rsid w:val="00776D56"/>
    <w:rsid w:val="00780475"/>
    <w:rsid w:val="00781FC8"/>
    <w:rsid w:val="00782C46"/>
    <w:rsid w:val="00784D7A"/>
    <w:rsid w:val="0079002E"/>
    <w:rsid w:val="00790D3F"/>
    <w:rsid w:val="007945B6"/>
    <w:rsid w:val="007967C1"/>
    <w:rsid w:val="007A0A96"/>
    <w:rsid w:val="007B135F"/>
    <w:rsid w:val="007B1B69"/>
    <w:rsid w:val="007B4384"/>
    <w:rsid w:val="007B5F58"/>
    <w:rsid w:val="007C0882"/>
    <w:rsid w:val="007C1043"/>
    <w:rsid w:val="007C4BE1"/>
    <w:rsid w:val="007C57B7"/>
    <w:rsid w:val="007D419F"/>
    <w:rsid w:val="007D6F29"/>
    <w:rsid w:val="007D735A"/>
    <w:rsid w:val="007E3A9C"/>
    <w:rsid w:val="007E4C54"/>
    <w:rsid w:val="007F0584"/>
    <w:rsid w:val="007F11B8"/>
    <w:rsid w:val="007F3ADC"/>
    <w:rsid w:val="007F3EEA"/>
    <w:rsid w:val="007F776F"/>
    <w:rsid w:val="00801A03"/>
    <w:rsid w:val="00802845"/>
    <w:rsid w:val="00802CB7"/>
    <w:rsid w:val="00803299"/>
    <w:rsid w:val="00804F6D"/>
    <w:rsid w:val="00805068"/>
    <w:rsid w:val="00811EE1"/>
    <w:rsid w:val="008165EA"/>
    <w:rsid w:val="00816907"/>
    <w:rsid w:val="00816CF0"/>
    <w:rsid w:val="0081790A"/>
    <w:rsid w:val="008201BA"/>
    <w:rsid w:val="00821CF3"/>
    <w:rsid w:val="00822E96"/>
    <w:rsid w:val="00823E5D"/>
    <w:rsid w:val="00825D16"/>
    <w:rsid w:val="0083006E"/>
    <w:rsid w:val="00830A74"/>
    <w:rsid w:val="008325A3"/>
    <w:rsid w:val="008339EF"/>
    <w:rsid w:val="008348F3"/>
    <w:rsid w:val="00837A15"/>
    <w:rsid w:val="00842FF3"/>
    <w:rsid w:val="0084344B"/>
    <w:rsid w:val="00846C3B"/>
    <w:rsid w:val="00850ABF"/>
    <w:rsid w:val="00850C34"/>
    <w:rsid w:val="00850F04"/>
    <w:rsid w:val="008543E1"/>
    <w:rsid w:val="008549B6"/>
    <w:rsid w:val="00856596"/>
    <w:rsid w:val="0086068B"/>
    <w:rsid w:val="008620B4"/>
    <w:rsid w:val="008657EC"/>
    <w:rsid w:val="00865910"/>
    <w:rsid w:val="00870DBE"/>
    <w:rsid w:val="00873818"/>
    <w:rsid w:val="00873F7F"/>
    <w:rsid w:val="00874239"/>
    <w:rsid w:val="00877A6D"/>
    <w:rsid w:val="00882006"/>
    <w:rsid w:val="00884EC1"/>
    <w:rsid w:val="00886903"/>
    <w:rsid w:val="00890F00"/>
    <w:rsid w:val="00891373"/>
    <w:rsid w:val="0089283A"/>
    <w:rsid w:val="0089696C"/>
    <w:rsid w:val="00897A46"/>
    <w:rsid w:val="008A12DA"/>
    <w:rsid w:val="008A5DB2"/>
    <w:rsid w:val="008B1A1A"/>
    <w:rsid w:val="008B1FF2"/>
    <w:rsid w:val="008B231B"/>
    <w:rsid w:val="008B4BFE"/>
    <w:rsid w:val="008B691B"/>
    <w:rsid w:val="008C255E"/>
    <w:rsid w:val="008D4FC7"/>
    <w:rsid w:val="008E0178"/>
    <w:rsid w:val="008E02D1"/>
    <w:rsid w:val="008E0994"/>
    <w:rsid w:val="008E42C5"/>
    <w:rsid w:val="008E50FC"/>
    <w:rsid w:val="008F0B49"/>
    <w:rsid w:val="008F16CD"/>
    <w:rsid w:val="008F3574"/>
    <w:rsid w:val="008F4EA3"/>
    <w:rsid w:val="009036E4"/>
    <w:rsid w:val="00904A3E"/>
    <w:rsid w:val="00904B95"/>
    <w:rsid w:val="009050AC"/>
    <w:rsid w:val="009078EE"/>
    <w:rsid w:val="00907A65"/>
    <w:rsid w:val="00910497"/>
    <w:rsid w:val="00913362"/>
    <w:rsid w:val="00916593"/>
    <w:rsid w:val="00916DBA"/>
    <w:rsid w:val="009215B7"/>
    <w:rsid w:val="00921CE2"/>
    <w:rsid w:val="00922EF8"/>
    <w:rsid w:val="009242EA"/>
    <w:rsid w:val="00924381"/>
    <w:rsid w:val="0093045C"/>
    <w:rsid w:val="009309C2"/>
    <w:rsid w:val="009314BE"/>
    <w:rsid w:val="00932281"/>
    <w:rsid w:val="00933DB8"/>
    <w:rsid w:val="00934D2C"/>
    <w:rsid w:val="00935407"/>
    <w:rsid w:val="009402A5"/>
    <w:rsid w:val="009406CA"/>
    <w:rsid w:val="00941728"/>
    <w:rsid w:val="009422D4"/>
    <w:rsid w:val="009450E7"/>
    <w:rsid w:val="009457DA"/>
    <w:rsid w:val="00945BA6"/>
    <w:rsid w:val="0095041C"/>
    <w:rsid w:val="00952BD6"/>
    <w:rsid w:val="00952EAE"/>
    <w:rsid w:val="009535A7"/>
    <w:rsid w:val="00953A46"/>
    <w:rsid w:val="0095529C"/>
    <w:rsid w:val="0096111A"/>
    <w:rsid w:val="00967C28"/>
    <w:rsid w:val="00974A56"/>
    <w:rsid w:val="00976D34"/>
    <w:rsid w:val="009779C3"/>
    <w:rsid w:val="009862E9"/>
    <w:rsid w:val="00986A33"/>
    <w:rsid w:val="00991F79"/>
    <w:rsid w:val="009966D6"/>
    <w:rsid w:val="00996906"/>
    <w:rsid w:val="00997435"/>
    <w:rsid w:val="009A550B"/>
    <w:rsid w:val="009A58AB"/>
    <w:rsid w:val="009A5B98"/>
    <w:rsid w:val="009A67AF"/>
    <w:rsid w:val="009A6C69"/>
    <w:rsid w:val="009A6CCE"/>
    <w:rsid w:val="009B293C"/>
    <w:rsid w:val="009B3A1B"/>
    <w:rsid w:val="009B472A"/>
    <w:rsid w:val="009B6503"/>
    <w:rsid w:val="009C0F45"/>
    <w:rsid w:val="009C2F06"/>
    <w:rsid w:val="009C64EC"/>
    <w:rsid w:val="009D05C1"/>
    <w:rsid w:val="009D15B0"/>
    <w:rsid w:val="009D3FDD"/>
    <w:rsid w:val="009D6F4A"/>
    <w:rsid w:val="009E0E59"/>
    <w:rsid w:val="009E0F04"/>
    <w:rsid w:val="009E3402"/>
    <w:rsid w:val="009E3473"/>
    <w:rsid w:val="009E4101"/>
    <w:rsid w:val="009E4398"/>
    <w:rsid w:val="009E49FB"/>
    <w:rsid w:val="009E5DAB"/>
    <w:rsid w:val="009F0978"/>
    <w:rsid w:val="009F367F"/>
    <w:rsid w:val="009F3C39"/>
    <w:rsid w:val="009F5000"/>
    <w:rsid w:val="009F5450"/>
    <w:rsid w:val="009F7222"/>
    <w:rsid w:val="00A01D8D"/>
    <w:rsid w:val="00A02BBC"/>
    <w:rsid w:val="00A02CA0"/>
    <w:rsid w:val="00A02ED9"/>
    <w:rsid w:val="00A044B5"/>
    <w:rsid w:val="00A04892"/>
    <w:rsid w:val="00A04BB1"/>
    <w:rsid w:val="00A07390"/>
    <w:rsid w:val="00A0798E"/>
    <w:rsid w:val="00A10C4B"/>
    <w:rsid w:val="00A13335"/>
    <w:rsid w:val="00A15BB3"/>
    <w:rsid w:val="00A24107"/>
    <w:rsid w:val="00A24A10"/>
    <w:rsid w:val="00A262B8"/>
    <w:rsid w:val="00A270B9"/>
    <w:rsid w:val="00A27792"/>
    <w:rsid w:val="00A30A00"/>
    <w:rsid w:val="00A32526"/>
    <w:rsid w:val="00A3567A"/>
    <w:rsid w:val="00A41AB8"/>
    <w:rsid w:val="00A423C8"/>
    <w:rsid w:val="00A42B52"/>
    <w:rsid w:val="00A52BC4"/>
    <w:rsid w:val="00A5314E"/>
    <w:rsid w:val="00A54F3D"/>
    <w:rsid w:val="00A616EA"/>
    <w:rsid w:val="00A6203F"/>
    <w:rsid w:val="00A653BB"/>
    <w:rsid w:val="00A65574"/>
    <w:rsid w:val="00A677A4"/>
    <w:rsid w:val="00A70728"/>
    <w:rsid w:val="00A74CBD"/>
    <w:rsid w:val="00A75E22"/>
    <w:rsid w:val="00A76206"/>
    <w:rsid w:val="00A80295"/>
    <w:rsid w:val="00A80F35"/>
    <w:rsid w:val="00A83E9B"/>
    <w:rsid w:val="00A85F54"/>
    <w:rsid w:val="00A93100"/>
    <w:rsid w:val="00A93989"/>
    <w:rsid w:val="00AA1E6B"/>
    <w:rsid w:val="00AA2031"/>
    <w:rsid w:val="00AA2955"/>
    <w:rsid w:val="00AA407F"/>
    <w:rsid w:val="00AA4A42"/>
    <w:rsid w:val="00AB22E0"/>
    <w:rsid w:val="00AB3FDB"/>
    <w:rsid w:val="00AB431D"/>
    <w:rsid w:val="00AB49FC"/>
    <w:rsid w:val="00AB4F81"/>
    <w:rsid w:val="00AB7DCC"/>
    <w:rsid w:val="00AC3C53"/>
    <w:rsid w:val="00AC5F56"/>
    <w:rsid w:val="00AC65C2"/>
    <w:rsid w:val="00AC7870"/>
    <w:rsid w:val="00AD55AC"/>
    <w:rsid w:val="00AE09D4"/>
    <w:rsid w:val="00AE33B7"/>
    <w:rsid w:val="00AE4374"/>
    <w:rsid w:val="00AE47A4"/>
    <w:rsid w:val="00AF2026"/>
    <w:rsid w:val="00AF3746"/>
    <w:rsid w:val="00AF4E8C"/>
    <w:rsid w:val="00AF514D"/>
    <w:rsid w:val="00AF7CDE"/>
    <w:rsid w:val="00B00E2E"/>
    <w:rsid w:val="00B018BE"/>
    <w:rsid w:val="00B02D4F"/>
    <w:rsid w:val="00B0308E"/>
    <w:rsid w:val="00B0508A"/>
    <w:rsid w:val="00B0575F"/>
    <w:rsid w:val="00B10F3E"/>
    <w:rsid w:val="00B116E7"/>
    <w:rsid w:val="00B235ED"/>
    <w:rsid w:val="00B24F71"/>
    <w:rsid w:val="00B251A2"/>
    <w:rsid w:val="00B259FF"/>
    <w:rsid w:val="00B25A6D"/>
    <w:rsid w:val="00B2605C"/>
    <w:rsid w:val="00B269B5"/>
    <w:rsid w:val="00B30435"/>
    <w:rsid w:val="00B314C5"/>
    <w:rsid w:val="00B331CF"/>
    <w:rsid w:val="00B3382F"/>
    <w:rsid w:val="00B355DA"/>
    <w:rsid w:val="00B35B8F"/>
    <w:rsid w:val="00B421E5"/>
    <w:rsid w:val="00B426EF"/>
    <w:rsid w:val="00B4425C"/>
    <w:rsid w:val="00B474C7"/>
    <w:rsid w:val="00B541D3"/>
    <w:rsid w:val="00B54516"/>
    <w:rsid w:val="00B56E85"/>
    <w:rsid w:val="00B57015"/>
    <w:rsid w:val="00B627D0"/>
    <w:rsid w:val="00B6456B"/>
    <w:rsid w:val="00B64A90"/>
    <w:rsid w:val="00B657AC"/>
    <w:rsid w:val="00B703D9"/>
    <w:rsid w:val="00B705F1"/>
    <w:rsid w:val="00B71517"/>
    <w:rsid w:val="00B719E8"/>
    <w:rsid w:val="00B72BF0"/>
    <w:rsid w:val="00B730A9"/>
    <w:rsid w:val="00B75B52"/>
    <w:rsid w:val="00B80537"/>
    <w:rsid w:val="00B81785"/>
    <w:rsid w:val="00B84141"/>
    <w:rsid w:val="00B84645"/>
    <w:rsid w:val="00B85C61"/>
    <w:rsid w:val="00B917D9"/>
    <w:rsid w:val="00BA1623"/>
    <w:rsid w:val="00BA3F3A"/>
    <w:rsid w:val="00BA45EF"/>
    <w:rsid w:val="00BB2D98"/>
    <w:rsid w:val="00BB2FE6"/>
    <w:rsid w:val="00BB64AF"/>
    <w:rsid w:val="00BC285D"/>
    <w:rsid w:val="00BC37E4"/>
    <w:rsid w:val="00BC44A2"/>
    <w:rsid w:val="00BC6582"/>
    <w:rsid w:val="00BD038E"/>
    <w:rsid w:val="00BD1760"/>
    <w:rsid w:val="00BD272F"/>
    <w:rsid w:val="00BD2DA7"/>
    <w:rsid w:val="00BE0542"/>
    <w:rsid w:val="00BE5E61"/>
    <w:rsid w:val="00BF2714"/>
    <w:rsid w:val="00BF278F"/>
    <w:rsid w:val="00BF2A9F"/>
    <w:rsid w:val="00BF5D15"/>
    <w:rsid w:val="00BF5F07"/>
    <w:rsid w:val="00BF7208"/>
    <w:rsid w:val="00C003A4"/>
    <w:rsid w:val="00C054C7"/>
    <w:rsid w:val="00C0767E"/>
    <w:rsid w:val="00C078B0"/>
    <w:rsid w:val="00C100A3"/>
    <w:rsid w:val="00C15DC5"/>
    <w:rsid w:val="00C16784"/>
    <w:rsid w:val="00C16A2C"/>
    <w:rsid w:val="00C20CD3"/>
    <w:rsid w:val="00C23E2C"/>
    <w:rsid w:val="00C23EC6"/>
    <w:rsid w:val="00C2637F"/>
    <w:rsid w:val="00C3021A"/>
    <w:rsid w:val="00C307D6"/>
    <w:rsid w:val="00C30B4B"/>
    <w:rsid w:val="00C31799"/>
    <w:rsid w:val="00C3290A"/>
    <w:rsid w:val="00C360F6"/>
    <w:rsid w:val="00C36EEA"/>
    <w:rsid w:val="00C371D5"/>
    <w:rsid w:val="00C41406"/>
    <w:rsid w:val="00C43F05"/>
    <w:rsid w:val="00C43FC2"/>
    <w:rsid w:val="00C4655D"/>
    <w:rsid w:val="00C47A9A"/>
    <w:rsid w:val="00C508E4"/>
    <w:rsid w:val="00C52C02"/>
    <w:rsid w:val="00C53EF3"/>
    <w:rsid w:val="00C5468E"/>
    <w:rsid w:val="00C54E4F"/>
    <w:rsid w:val="00C62834"/>
    <w:rsid w:val="00C63576"/>
    <w:rsid w:val="00C63E3B"/>
    <w:rsid w:val="00C64B4D"/>
    <w:rsid w:val="00C653A2"/>
    <w:rsid w:val="00C66ECB"/>
    <w:rsid w:val="00C70C3B"/>
    <w:rsid w:val="00C746FA"/>
    <w:rsid w:val="00C82982"/>
    <w:rsid w:val="00C84339"/>
    <w:rsid w:val="00C846DB"/>
    <w:rsid w:val="00C85478"/>
    <w:rsid w:val="00C86AAC"/>
    <w:rsid w:val="00C87130"/>
    <w:rsid w:val="00C953FB"/>
    <w:rsid w:val="00CA08D7"/>
    <w:rsid w:val="00CA2544"/>
    <w:rsid w:val="00CA2B37"/>
    <w:rsid w:val="00CA2D34"/>
    <w:rsid w:val="00CA3008"/>
    <w:rsid w:val="00CB0F42"/>
    <w:rsid w:val="00CB3D3E"/>
    <w:rsid w:val="00CB55CF"/>
    <w:rsid w:val="00CB5A04"/>
    <w:rsid w:val="00CC2B0C"/>
    <w:rsid w:val="00CC4686"/>
    <w:rsid w:val="00CC6DBE"/>
    <w:rsid w:val="00CC71B4"/>
    <w:rsid w:val="00CD1620"/>
    <w:rsid w:val="00CD4579"/>
    <w:rsid w:val="00CD477E"/>
    <w:rsid w:val="00CD6909"/>
    <w:rsid w:val="00CE1EAA"/>
    <w:rsid w:val="00CE47FD"/>
    <w:rsid w:val="00CE4FC8"/>
    <w:rsid w:val="00CE6A40"/>
    <w:rsid w:val="00CE6C5B"/>
    <w:rsid w:val="00CF1B4D"/>
    <w:rsid w:val="00CF3CEB"/>
    <w:rsid w:val="00CF5F3A"/>
    <w:rsid w:val="00D00B95"/>
    <w:rsid w:val="00D03F09"/>
    <w:rsid w:val="00D0472A"/>
    <w:rsid w:val="00D049E9"/>
    <w:rsid w:val="00D05F1A"/>
    <w:rsid w:val="00D13563"/>
    <w:rsid w:val="00D13C3D"/>
    <w:rsid w:val="00D162E1"/>
    <w:rsid w:val="00D21CC4"/>
    <w:rsid w:val="00D22C1E"/>
    <w:rsid w:val="00D27E80"/>
    <w:rsid w:val="00D31746"/>
    <w:rsid w:val="00D323FD"/>
    <w:rsid w:val="00D32B84"/>
    <w:rsid w:val="00D3384A"/>
    <w:rsid w:val="00D346A9"/>
    <w:rsid w:val="00D347F3"/>
    <w:rsid w:val="00D40381"/>
    <w:rsid w:val="00D40765"/>
    <w:rsid w:val="00D411E6"/>
    <w:rsid w:val="00D44153"/>
    <w:rsid w:val="00D443FF"/>
    <w:rsid w:val="00D46FDF"/>
    <w:rsid w:val="00D514A5"/>
    <w:rsid w:val="00D52307"/>
    <w:rsid w:val="00D57F45"/>
    <w:rsid w:val="00D658E6"/>
    <w:rsid w:val="00D7004A"/>
    <w:rsid w:val="00D70462"/>
    <w:rsid w:val="00D725E7"/>
    <w:rsid w:val="00D727F0"/>
    <w:rsid w:val="00D749EE"/>
    <w:rsid w:val="00D75C3F"/>
    <w:rsid w:val="00D76320"/>
    <w:rsid w:val="00D77C39"/>
    <w:rsid w:val="00D8279D"/>
    <w:rsid w:val="00D82E7A"/>
    <w:rsid w:val="00D8504A"/>
    <w:rsid w:val="00D866A6"/>
    <w:rsid w:val="00D87B29"/>
    <w:rsid w:val="00D94305"/>
    <w:rsid w:val="00D945A7"/>
    <w:rsid w:val="00D9649C"/>
    <w:rsid w:val="00DA16AE"/>
    <w:rsid w:val="00DA6EC7"/>
    <w:rsid w:val="00DA7FA8"/>
    <w:rsid w:val="00DB03AF"/>
    <w:rsid w:val="00DB1758"/>
    <w:rsid w:val="00DB2FA7"/>
    <w:rsid w:val="00DB64E6"/>
    <w:rsid w:val="00DC08D5"/>
    <w:rsid w:val="00DC1EB4"/>
    <w:rsid w:val="00DC1FE5"/>
    <w:rsid w:val="00DC5A17"/>
    <w:rsid w:val="00DC639E"/>
    <w:rsid w:val="00DC7D1C"/>
    <w:rsid w:val="00DD0A6A"/>
    <w:rsid w:val="00DD4CDB"/>
    <w:rsid w:val="00DD6A35"/>
    <w:rsid w:val="00DD7C5E"/>
    <w:rsid w:val="00DE3145"/>
    <w:rsid w:val="00DE68D4"/>
    <w:rsid w:val="00DE7148"/>
    <w:rsid w:val="00DF0AA5"/>
    <w:rsid w:val="00DF64A7"/>
    <w:rsid w:val="00DF6DB3"/>
    <w:rsid w:val="00DF7366"/>
    <w:rsid w:val="00E00C93"/>
    <w:rsid w:val="00E02EBD"/>
    <w:rsid w:val="00E0415A"/>
    <w:rsid w:val="00E11CBA"/>
    <w:rsid w:val="00E1473C"/>
    <w:rsid w:val="00E1571C"/>
    <w:rsid w:val="00E15924"/>
    <w:rsid w:val="00E17B79"/>
    <w:rsid w:val="00E22970"/>
    <w:rsid w:val="00E22EA6"/>
    <w:rsid w:val="00E30789"/>
    <w:rsid w:val="00E3194B"/>
    <w:rsid w:val="00E33C52"/>
    <w:rsid w:val="00E33FB8"/>
    <w:rsid w:val="00E35136"/>
    <w:rsid w:val="00E40A31"/>
    <w:rsid w:val="00E40CE8"/>
    <w:rsid w:val="00E42BE9"/>
    <w:rsid w:val="00E45DB2"/>
    <w:rsid w:val="00E45E79"/>
    <w:rsid w:val="00E46646"/>
    <w:rsid w:val="00E50E43"/>
    <w:rsid w:val="00E525E5"/>
    <w:rsid w:val="00E533AE"/>
    <w:rsid w:val="00E6177C"/>
    <w:rsid w:val="00E66266"/>
    <w:rsid w:val="00E70071"/>
    <w:rsid w:val="00E7130C"/>
    <w:rsid w:val="00E71DB2"/>
    <w:rsid w:val="00E750F1"/>
    <w:rsid w:val="00E75506"/>
    <w:rsid w:val="00E80852"/>
    <w:rsid w:val="00E822A7"/>
    <w:rsid w:val="00E83CCB"/>
    <w:rsid w:val="00E86DC6"/>
    <w:rsid w:val="00E87146"/>
    <w:rsid w:val="00E9081F"/>
    <w:rsid w:val="00E91C6E"/>
    <w:rsid w:val="00E92645"/>
    <w:rsid w:val="00E928CB"/>
    <w:rsid w:val="00E93248"/>
    <w:rsid w:val="00EA35D2"/>
    <w:rsid w:val="00EA3BC2"/>
    <w:rsid w:val="00EA4000"/>
    <w:rsid w:val="00EA4F59"/>
    <w:rsid w:val="00EB0325"/>
    <w:rsid w:val="00EB03F0"/>
    <w:rsid w:val="00EB07C7"/>
    <w:rsid w:val="00EB2386"/>
    <w:rsid w:val="00EB271D"/>
    <w:rsid w:val="00EC07FA"/>
    <w:rsid w:val="00EC152B"/>
    <w:rsid w:val="00EC1EF9"/>
    <w:rsid w:val="00EC7F75"/>
    <w:rsid w:val="00ED1BD9"/>
    <w:rsid w:val="00ED27AA"/>
    <w:rsid w:val="00ED4CA9"/>
    <w:rsid w:val="00EE14AE"/>
    <w:rsid w:val="00EE425E"/>
    <w:rsid w:val="00EE58C6"/>
    <w:rsid w:val="00EF40AB"/>
    <w:rsid w:val="00EF5435"/>
    <w:rsid w:val="00EF5A56"/>
    <w:rsid w:val="00EF6749"/>
    <w:rsid w:val="00F002E1"/>
    <w:rsid w:val="00F00B5C"/>
    <w:rsid w:val="00F03828"/>
    <w:rsid w:val="00F04B76"/>
    <w:rsid w:val="00F06716"/>
    <w:rsid w:val="00F0728E"/>
    <w:rsid w:val="00F1025B"/>
    <w:rsid w:val="00F104E1"/>
    <w:rsid w:val="00F10C71"/>
    <w:rsid w:val="00F11BD4"/>
    <w:rsid w:val="00F12194"/>
    <w:rsid w:val="00F127D0"/>
    <w:rsid w:val="00F12DBC"/>
    <w:rsid w:val="00F15795"/>
    <w:rsid w:val="00F1774F"/>
    <w:rsid w:val="00F20FA6"/>
    <w:rsid w:val="00F22B4D"/>
    <w:rsid w:val="00F23E66"/>
    <w:rsid w:val="00F24689"/>
    <w:rsid w:val="00F2506E"/>
    <w:rsid w:val="00F25976"/>
    <w:rsid w:val="00F303F9"/>
    <w:rsid w:val="00F37A07"/>
    <w:rsid w:val="00F42EEF"/>
    <w:rsid w:val="00F44285"/>
    <w:rsid w:val="00F45171"/>
    <w:rsid w:val="00F476B3"/>
    <w:rsid w:val="00F47A33"/>
    <w:rsid w:val="00F51AA8"/>
    <w:rsid w:val="00F548A8"/>
    <w:rsid w:val="00F55406"/>
    <w:rsid w:val="00F6039B"/>
    <w:rsid w:val="00F703C2"/>
    <w:rsid w:val="00F71FBE"/>
    <w:rsid w:val="00F74180"/>
    <w:rsid w:val="00F76512"/>
    <w:rsid w:val="00F77164"/>
    <w:rsid w:val="00F775FB"/>
    <w:rsid w:val="00F80652"/>
    <w:rsid w:val="00F81367"/>
    <w:rsid w:val="00F838AC"/>
    <w:rsid w:val="00F83F69"/>
    <w:rsid w:val="00F8494E"/>
    <w:rsid w:val="00F8531C"/>
    <w:rsid w:val="00F9117D"/>
    <w:rsid w:val="00F94EB2"/>
    <w:rsid w:val="00FA0FA6"/>
    <w:rsid w:val="00FA33ED"/>
    <w:rsid w:val="00FA410E"/>
    <w:rsid w:val="00FA5149"/>
    <w:rsid w:val="00FA688E"/>
    <w:rsid w:val="00FB17A2"/>
    <w:rsid w:val="00FB1807"/>
    <w:rsid w:val="00FB2B02"/>
    <w:rsid w:val="00FB2BD8"/>
    <w:rsid w:val="00FB3EC4"/>
    <w:rsid w:val="00FB4311"/>
    <w:rsid w:val="00FB43DA"/>
    <w:rsid w:val="00FB5A3B"/>
    <w:rsid w:val="00FB73D8"/>
    <w:rsid w:val="00FC1107"/>
    <w:rsid w:val="00FC19AC"/>
    <w:rsid w:val="00FC2DFF"/>
    <w:rsid w:val="00FC30EB"/>
    <w:rsid w:val="00FC3C8C"/>
    <w:rsid w:val="00FC5034"/>
    <w:rsid w:val="00FC5619"/>
    <w:rsid w:val="00FC786E"/>
    <w:rsid w:val="00FC7A92"/>
    <w:rsid w:val="00FE03EB"/>
    <w:rsid w:val="00FE125F"/>
    <w:rsid w:val="00FF064B"/>
    <w:rsid w:val="00FF1A62"/>
    <w:rsid w:val="00FF24FC"/>
    <w:rsid w:val="00FF28D2"/>
    <w:rsid w:val="00FF58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6B11BD"/>
    <w:rPr>
      <w:color w:val="auto"/>
    </w:rPr>
  </w:style>
  <w:style w:type="paragraph" w:customStyle="1" w:styleId="9EBB0EB121A54FE492B72C6A28FCD919">
    <w:name w:val="9EBB0EB121A54FE492B72C6A28FCD919"/>
    <w:rsid w:val="0058790D"/>
    <w:pPr>
      <w:widowControl w:val="0"/>
      <w:jc w:val="both"/>
    </w:pPr>
  </w:style>
  <w:style w:type="paragraph" w:customStyle="1" w:styleId="0C7E0B96AE2A48F497B9318326ABEEDA">
    <w:name w:val="0C7E0B96AE2A48F497B9318326ABEEDA"/>
    <w:rsid w:val="0058790D"/>
    <w:pPr>
      <w:widowControl w:val="0"/>
      <w:jc w:val="both"/>
    </w:pPr>
  </w:style>
  <w:style w:type="paragraph" w:customStyle="1" w:styleId="98A867267F8C4563A6AAD77A8E8E5EF5">
    <w:name w:val="98A867267F8C4563A6AAD77A8E8E5EF5"/>
    <w:rsid w:val="00D32B84"/>
    <w:pPr>
      <w:widowControl w:val="0"/>
      <w:jc w:val="both"/>
    </w:pPr>
  </w:style>
  <w:style w:type="paragraph" w:customStyle="1" w:styleId="A5BD2D8E91CF4C7F9D1ED9665B00CB1F">
    <w:name w:val="A5BD2D8E91CF4C7F9D1ED9665B00CB1F"/>
    <w:rsid w:val="00823E5D"/>
    <w:pPr>
      <w:widowControl w:val="0"/>
      <w:jc w:val="both"/>
    </w:pPr>
  </w:style>
  <w:style w:type="paragraph" w:customStyle="1" w:styleId="A2E891B2BB804715ABBDB908CF96A744">
    <w:name w:val="A2E891B2BB804715ABBDB908CF96A744"/>
    <w:rsid w:val="00823E5D"/>
    <w:pPr>
      <w:widowControl w:val="0"/>
      <w:jc w:val="both"/>
    </w:pPr>
  </w:style>
  <w:style w:type="paragraph" w:customStyle="1" w:styleId="94D66E61CAAF4383AE6CDCE465418F8B">
    <w:name w:val="94D66E61CAAF4383AE6CDCE465418F8B"/>
    <w:rsid w:val="00823E5D"/>
    <w:pPr>
      <w:widowControl w:val="0"/>
      <w:jc w:val="both"/>
    </w:pPr>
  </w:style>
  <w:style w:type="paragraph" w:customStyle="1" w:styleId="894B2C27F02941C3AA52D46327730CD7">
    <w:name w:val="894B2C27F02941C3AA52D46327730CD7"/>
    <w:rsid w:val="00823E5D"/>
    <w:pPr>
      <w:widowControl w:val="0"/>
      <w:jc w:val="both"/>
    </w:pPr>
  </w:style>
  <w:style w:type="paragraph" w:customStyle="1" w:styleId="638AED0DC5AC4958B423F8867C68076A">
    <w:name w:val="638AED0DC5AC4958B423F8867C68076A"/>
    <w:rsid w:val="00823E5D"/>
    <w:pPr>
      <w:widowControl w:val="0"/>
      <w:jc w:val="both"/>
    </w:pPr>
  </w:style>
  <w:style w:type="paragraph" w:customStyle="1" w:styleId="32E2895EA715427F98F6AC8C5F4938E6">
    <w:name w:val="32E2895EA715427F98F6AC8C5F4938E6"/>
    <w:rsid w:val="00823E5D"/>
    <w:pPr>
      <w:widowControl w:val="0"/>
      <w:jc w:val="both"/>
    </w:pPr>
  </w:style>
  <w:style w:type="paragraph" w:customStyle="1" w:styleId="0CA56487021F4366A71982D1A3108141">
    <w:name w:val="0CA56487021F4366A71982D1A3108141"/>
    <w:rsid w:val="00823E5D"/>
    <w:pPr>
      <w:widowControl w:val="0"/>
      <w:jc w:val="both"/>
    </w:pPr>
  </w:style>
  <w:style w:type="paragraph" w:customStyle="1" w:styleId="43EBC70C8F6D47029DD90B93C55A14C4">
    <w:name w:val="43EBC70C8F6D47029DD90B93C55A14C4"/>
    <w:rsid w:val="00823E5D"/>
    <w:pPr>
      <w:widowControl w:val="0"/>
      <w:jc w:val="both"/>
    </w:pPr>
  </w:style>
  <w:style w:type="paragraph" w:customStyle="1" w:styleId="EA9900C070584A7E84C0B1E5FEC31324">
    <w:name w:val="EA9900C070584A7E84C0B1E5FEC31324"/>
    <w:rsid w:val="00823E5D"/>
    <w:pPr>
      <w:widowControl w:val="0"/>
      <w:jc w:val="both"/>
    </w:pPr>
  </w:style>
  <w:style w:type="paragraph" w:customStyle="1" w:styleId="F8AC5B48B5EE44A38D772465DA394D82">
    <w:name w:val="F8AC5B48B5EE44A38D772465DA394D82"/>
    <w:rsid w:val="00823E5D"/>
    <w:pPr>
      <w:widowControl w:val="0"/>
      <w:jc w:val="both"/>
    </w:pPr>
  </w:style>
  <w:style w:type="paragraph" w:customStyle="1" w:styleId="DEAAABCA1C974778BA2A38A4ECBA805F">
    <w:name w:val="DEAAABCA1C974778BA2A38A4ECBA805F"/>
    <w:rsid w:val="00823E5D"/>
    <w:pPr>
      <w:widowControl w:val="0"/>
      <w:jc w:val="both"/>
    </w:pPr>
  </w:style>
  <w:style w:type="paragraph" w:customStyle="1" w:styleId="7A12F8DF15724B62A6ACA095EF8DD699">
    <w:name w:val="7A12F8DF15724B62A6ACA095EF8DD699"/>
    <w:rsid w:val="00823E5D"/>
    <w:pPr>
      <w:widowControl w:val="0"/>
      <w:jc w:val="both"/>
    </w:pPr>
  </w:style>
  <w:style w:type="paragraph" w:customStyle="1" w:styleId="6C717FBFACA347DAB100EF85504E657C">
    <w:name w:val="6C717FBFACA347DAB100EF85504E657C"/>
    <w:rsid w:val="00823E5D"/>
    <w:pPr>
      <w:widowControl w:val="0"/>
      <w:jc w:val="both"/>
    </w:pPr>
  </w:style>
  <w:style w:type="paragraph" w:customStyle="1" w:styleId="21CDE798C933497B8E065BB733A8B089">
    <w:name w:val="21CDE798C933497B8E065BB733A8B089"/>
    <w:rsid w:val="00823E5D"/>
    <w:pPr>
      <w:widowControl w:val="0"/>
      <w:jc w:val="both"/>
    </w:pPr>
  </w:style>
  <w:style w:type="paragraph" w:customStyle="1" w:styleId="DB4BB52DFD974F2C9C95F6828E44501D">
    <w:name w:val="DB4BB52DFD974F2C9C95F6828E44501D"/>
    <w:rsid w:val="00823E5D"/>
    <w:pPr>
      <w:widowControl w:val="0"/>
      <w:jc w:val="both"/>
    </w:pPr>
  </w:style>
  <w:style w:type="paragraph" w:customStyle="1" w:styleId="38F40DA0E9944BE9B766DE9A5D10E715">
    <w:name w:val="38F40DA0E9944BE9B766DE9A5D10E715"/>
    <w:rsid w:val="00823E5D"/>
    <w:pPr>
      <w:widowControl w:val="0"/>
      <w:jc w:val="both"/>
    </w:pPr>
  </w:style>
  <w:style w:type="paragraph" w:customStyle="1" w:styleId="4319CD69E25549FD90DEE902259FC074">
    <w:name w:val="4319CD69E25549FD90DEE902259FC074"/>
    <w:rsid w:val="00823E5D"/>
    <w:pPr>
      <w:widowControl w:val="0"/>
      <w:jc w:val="both"/>
    </w:pPr>
  </w:style>
  <w:style w:type="paragraph" w:customStyle="1" w:styleId="9AD69D3097E34AACB99696021DA17334">
    <w:name w:val="9AD69D3097E34AACB99696021DA17334"/>
    <w:rsid w:val="00823E5D"/>
    <w:pPr>
      <w:widowControl w:val="0"/>
      <w:jc w:val="both"/>
    </w:pPr>
  </w:style>
  <w:style w:type="paragraph" w:customStyle="1" w:styleId="D611CADFD00C4C4C927E3171764D8985">
    <w:name w:val="D611CADFD00C4C4C927E3171764D8985"/>
    <w:rsid w:val="00823E5D"/>
    <w:pPr>
      <w:widowControl w:val="0"/>
      <w:jc w:val="both"/>
    </w:pPr>
  </w:style>
  <w:style w:type="paragraph" w:customStyle="1" w:styleId="771E34BCC1394A20BE1174FE796E9E06">
    <w:name w:val="771E34BCC1394A20BE1174FE796E9E06"/>
    <w:rsid w:val="00823E5D"/>
    <w:pPr>
      <w:widowControl w:val="0"/>
      <w:jc w:val="both"/>
    </w:pPr>
  </w:style>
  <w:style w:type="paragraph" w:customStyle="1" w:styleId="FE86601F13554516A734E0C2ADE0CE82">
    <w:name w:val="FE86601F13554516A734E0C2ADE0CE82"/>
    <w:rsid w:val="006B11B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m4><![CDATA[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]]></m:sm4>
</m:mapping>
</file>

<file path=customXml/item2.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北京京城机电股份有限公司</clcid-cgi:GongSiFaDingZhongWenMingCheng>
  <clcid-mr:GongSiFuZeRenXingMing xmlns:clcid-mr="clcid-mr">王军先生</clcid-mr:GongSiFuZeRenXingMing>
  <clcid-mr:ZhuGuanKuaiJiGongZuoFuZeRenXingMing xmlns:clcid-mr="clcid-mr">姜驰女士</clcid-mr:ZhuGuanKuaiJiGongZuoFuZeRenXingMing>
  <clcid-mr:KuaiJiJiGouFuZeRenXingMing xmlns:clcid-mr="clcid-mr">王艳东先生</clcid-mr:KuaiJiJiGouFuZeRenXingMing>
  <clcid-cgi:GongSiFaDingDaiBiaoRen xmlns:clcid-cgi="clcid-cgi">王军先生</clcid-cgi:GongSiFaDingDaiBiaoRen>
  <clcid-ci-ar:DanWeiKouChuFeiJingChangXingSunYiXiangMuHeJinE xmlns:clcid-ci-ar="clcid-ci-ar">元</clcid-ci-ar:DanWeiKouChuFeiJingChangXingSunYiXiangMuHeJinE>
  <clcid-ci-ar:BiZhongKouChuFeiJingChangXingSunYiXiangMuHeJinE xmlns:clcid-ci-ar="clcid-ci-ar">人民币</clcid-ci-ar:BiZhongKouChuFeiJingChangXingSunYiXiangMuHeJinE>
  <clcid-pte:FeiLiuDongXingZiChanChuZhiSunYiBaoKuoYiJiTiZiChanJianZhiZhunBeiDeChongXiaoBuFenFeiJingChangXingSunYiXiangMu xmlns:clcid-pte="clcid-pte">-41,990.15</clcid-pte:FeiLiuDongXingZiChanChuZhiSunYiBaoKuoYiJiTiZiChanJianZhiZhunBeiDeChongXiaoBuFenFeiJingChangXingSunYiXiangMu>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7,754,445.94</clcid-pte:FeiJingChangXingSunYiZhongGeZhongXingShiDeZhengFuBuTi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583,767.12</clcid-pte:ChuShangShuGeXiangZhiWaiDeQiTaYingYeWaiShouZhiJing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-848,526.79</clcid-pte:FeiJingChangXingSunYiXiangMuZhongShaoShuGuDongQuanYiYingXiangE>
  <clcid-pte:FeiJingChangXingSunYiXiangMuZhongShaoShuGuDongQuanYiYingXiangEShuoMing xmlns:clcid-pte="clcid-pte"/>
  <clcid-pte:FeiJingChangXingSunYiDeKouChuXiangMuDuiSuoDeShuiDeYingXiang xmlns:clcid-pte="clcid-pte">-309,390.46</clcid-pte:FeiJingChangXingSunYiDeKouChuXiangMuDuiSuoDeShuiDeYingXiang>
  <clcid-pte:FeiJingChangXingSunYiDeKouChuXiangMuDuiSuoDeShuiDeYingXiangShuoMing xmlns:clcid-pte="clcid-pte"/>
  <clcid-pte:KouChuDeFeiJingChangXingSunYiHeJi xmlns:clcid-pte="clcid-pte">7,957,305.66</clcid-pte:KouChuDeFeiJingChangXingSunYiHeJi>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ShiFouShiYongTuFaHuanJingShiJianYingJiYuAn/>
</b:binding>
</file>

<file path=customXml/item3.xml><?xml version="1.0" encoding="utf-8"?>
<sc:sections xmlns:sc="http://mapping.word.org/2014/section/customize">
  <section xmlns="http://mapping.word.org/2014/section/customize" name="_GBC_bf89afc47e17438594730edb3412d929" id="280cdcf041525b9b" status="sys">
    <sys>UEsDBBQABgAIAAAAIQAQgUBxfAEAAOkHAAATAAgCW0NvbnRlbnRfVHlwZXNdLnhtbCCiBAIoo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yRT0/DMAzF70h8hyr3Ni1ICFVtJ3HgxCQkQOIaEq/L1vxR7K3rtyfrIGNoNz+/X54cu1kczJDtIaB2tmVVUbIMrHRK275lH+/P+SPLkIRVYnAWWjYBskV3e9NIX0sX4DU4D4E0YBaTLNbSt2xN5GvOUa7BCCwiYaO5csEIijL03Au5FT3wu7J84AZIKEGCHwNznxLZT6SSKdLvwjAHKMlhAAOWkFdFxc8sQTB49cHs/CGNpsnDVfTXTPQBdQLHcSzG+xmN81f8c/nyNn811/a4Kwmsa5SsSdMAXcPPZaxw97UBSad2ErGWAQS5cDKSiGvewjS6oDA6FyqKQSAt47FWGtTTdAL+92IrwF4fD9yVM5HkrC6v2H0DAAD//wMAUEsDBBQABgAIAAAAIQBC938QewEAAM4CAAAQAAgBZG9jUHJvcHMvYXBwLnhtbCCiBAEooA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</sys>
  </section>
</sc:section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t:template xmlns:t="http://mapping.word.org/2012/template">
  <t:sse><![CDATA[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]]></t:sse>
</t:template>
</file>

<file path=customXml/itemProps1.xml><?xml version="1.0" encoding="utf-8"?>
<ds:datastoreItem xmlns:ds="http://schemas.openxmlformats.org/officeDocument/2006/customXml" ds:itemID="{0E9BE6D0-0BE7-4B38-A6AA-4E3F74B37BAE}">
  <ds:schemaRefs>
    <ds:schemaRef ds:uri="http://mapping.word.org/2012/mapping"/>
  </ds:schemaRefs>
</ds:datastoreItem>
</file>

<file path=customXml/itemProps2.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3.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4.xml><?xml version="1.0" encoding="utf-8"?>
<ds:datastoreItem xmlns:ds="http://schemas.openxmlformats.org/officeDocument/2006/customXml" ds:itemID="{58D22E78-ACA9-4B15-891A-026F1E8EFFEB}">
  <ds:schemaRefs>
    <ds:schemaRef ds:uri="http://schemas.openxmlformats.org/officeDocument/2006/bibliography"/>
  </ds:schemaRefs>
</ds:datastoreItem>
</file>

<file path=customXml/itemProps5.xml><?xml version="1.0" encoding="utf-8"?>
<ds:datastoreItem xmlns:ds="http://schemas.openxmlformats.org/officeDocument/2006/customXml" ds:itemID="{08616A19-6DD8-4360-9A18-8272DC5F1FC2}">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10</TotalTime>
  <Pages>168</Pages>
  <Words>27320</Words>
  <Characters>155729</Characters>
  <Application>Microsoft Office Word</Application>
  <DocSecurity>0</DocSecurity>
  <Lines>1297</Lines>
  <Paragraphs>365</Paragraphs>
  <ScaleCrop>false</ScaleCrop>
  <Company>Sky123.Org</Company>
  <LinksUpToDate>false</LinksUpToDate>
  <CharactersWithSpaces>182684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subject/>
  <dc:creator>czq</dc:creator>
  <cp:keywords/>
  <dc:description/>
  <cp:lastModifiedBy>闫 永凯</cp:lastModifiedBy>
  <cp:revision>5</cp:revision>
  <dcterms:created xsi:type="dcterms:W3CDTF">2021-08-11T03:10:00Z</dcterms:created>
  <dcterms:modified xsi:type="dcterms:W3CDTF">2021-08-11T07:47:00Z</dcterms:modified>
</cp:coreProperties>
</file>